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FD7B7" w14:textId="77777777" w:rsidR="002931F6" w:rsidRDefault="002931F6" w:rsidP="002931F6">
      <w:pPr>
        <w:jc w:val="center"/>
        <w:rPr>
          <w:rFonts w:cs="Arial"/>
          <w:szCs w:val="24"/>
          <w:lang w:val="en-GB"/>
        </w:rPr>
      </w:pPr>
      <w:bookmarkStart w:id="0" w:name="_GoBack"/>
      <w:bookmarkEnd w:id="0"/>
      <w:r w:rsidRPr="00E10888">
        <w:rPr>
          <w:b/>
          <w:noProof/>
          <w:lang w:val="en-ZA" w:eastAsia="en-ZA"/>
        </w:rPr>
        <w:drawing>
          <wp:inline distT="0" distB="0" distL="0" distR="0" wp14:anchorId="1548D590" wp14:editId="2635C1D2">
            <wp:extent cx="1038225" cy="1038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14:paraId="31622396" w14:textId="77777777" w:rsidR="002931F6" w:rsidRPr="002931F6" w:rsidRDefault="002931F6" w:rsidP="002931F6">
      <w:pPr>
        <w:jc w:val="center"/>
        <w:rPr>
          <w:rFonts w:ascii="Arial" w:hAnsi="Arial" w:cs="Arial"/>
          <w:sz w:val="24"/>
          <w:szCs w:val="24"/>
          <w:lang w:val="en-GB"/>
        </w:rPr>
      </w:pPr>
      <w:r w:rsidRPr="002931F6">
        <w:rPr>
          <w:rFonts w:ascii="Arial" w:hAnsi="Arial" w:cs="Arial"/>
          <w:sz w:val="24"/>
          <w:szCs w:val="24"/>
          <w:lang w:val="en-GB"/>
        </w:rPr>
        <w:t>IN THE HIGH COURT OF SOUTH AFRICA</w:t>
      </w:r>
    </w:p>
    <w:p w14:paraId="349666E9" w14:textId="112524CC" w:rsidR="002931F6" w:rsidRDefault="002931F6" w:rsidP="002931F6">
      <w:pPr>
        <w:jc w:val="center"/>
        <w:rPr>
          <w:rFonts w:ascii="Arial" w:hAnsi="Arial" w:cs="Arial"/>
          <w:sz w:val="24"/>
          <w:szCs w:val="24"/>
          <w:lang w:val="en-GB"/>
        </w:rPr>
      </w:pPr>
      <w:r w:rsidRPr="002931F6">
        <w:rPr>
          <w:rFonts w:ascii="Arial" w:hAnsi="Arial" w:cs="Arial"/>
          <w:sz w:val="24"/>
          <w:szCs w:val="24"/>
          <w:lang w:val="en-GB"/>
        </w:rPr>
        <w:t>EASTERN CAPE DIVISION, MAKHANDA</w:t>
      </w:r>
    </w:p>
    <w:p w14:paraId="5901607A" w14:textId="34E02209" w:rsidR="00907061" w:rsidRPr="002931F6" w:rsidRDefault="00907061" w:rsidP="002931F6">
      <w:pPr>
        <w:jc w:val="cente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00F703FC">
        <w:rPr>
          <w:rFonts w:ascii="Arial" w:hAnsi="Arial" w:cs="Arial"/>
          <w:sz w:val="24"/>
          <w:szCs w:val="24"/>
          <w:lang w:val="en-GB"/>
        </w:rPr>
        <w:tab/>
      </w:r>
      <w:r w:rsidR="00F703FC">
        <w:rPr>
          <w:rFonts w:ascii="Arial" w:hAnsi="Arial" w:cs="Arial"/>
          <w:sz w:val="24"/>
          <w:szCs w:val="24"/>
          <w:lang w:val="en-GB"/>
        </w:rPr>
        <w:tab/>
      </w:r>
      <w:r w:rsidR="00F703FC">
        <w:rPr>
          <w:rFonts w:ascii="Arial" w:hAnsi="Arial" w:cs="Arial"/>
          <w:sz w:val="24"/>
          <w:szCs w:val="24"/>
          <w:lang w:val="en-GB"/>
        </w:rPr>
        <w:tab/>
      </w:r>
      <w:r>
        <w:rPr>
          <w:rFonts w:ascii="Arial" w:hAnsi="Arial" w:cs="Arial"/>
          <w:sz w:val="24"/>
          <w:szCs w:val="24"/>
          <w:lang w:val="en-GB"/>
        </w:rPr>
        <w:t>REPORTABLE</w:t>
      </w:r>
    </w:p>
    <w:p w14:paraId="08F6CBF8" w14:textId="051A9F05" w:rsidR="002931F6" w:rsidRPr="002931F6" w:rsidRDefault="00907061" w:rsidP="00907061">
      <w:pPr>
        <w:tabs>
          <w:tab w:val="left" w:pos="709"/>
          <w:tab w:val="left" w:pos="1418"/>
          <w:tab w:val="left" w:pos="2127"/>
          <w:tab w:val="left" w:pos="6379"/>
          <w:tab w:val="right" w:pos="9072"/>
        </w:tabs>
        <w:jc w:val="center"/>
        <w:rPr>
          <w:rFonts w:ascii="Arial" w:hAnsi="Arial" w:cs="Arial"/>
          <w:bCs/>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00F703FC">
        <w:rPr>
          <w:rFonts w:ascii="Arial" w:hAnsi="Arial" w:cs="Arial"/>
          <w:sz w:val="24"/>
          <w:szCs w:val="24"/>
          <w:lang w:val="en-GB"/>
        </w:rPr>
        <w:t xml:space="preserve">                      </w:t>
      </w:r>
      <w:r w:rsidR="002931F6" w:rsidRPr="002931F6">
        <w:rPr>
          <w:rFonts w:ascii="Arial" w:hAnsi="Arial" w:cs="Arial"/>
          <w:sz w:val="24"/>
          <w:szCs w:val="24"/>
          <w:lang w:val="en-GB"/>
        </w:rPr>
        <w:t xml:space="preserve">Case No:  </w:t>
      </w:r>
      <w:r w:rsidR="002931F6" w:rsidRPr="002931F6">
        <w:rPr>
          <w:rFonts w:ascii="Arial" w:hAnsi="Arial" w:cs="Arial"/>
          <w:bCs/>
          <w:sz w:val="24"/>
          <w:szCs w:val="24"/>
          <w:lang w:val="en-GB"/>
        </w:rPr>
        <w:t>2091/2021</w:t>
      </w:r>
    </w:p>
    <w:p w14:paraId="7EFB9BF7" w14:textId="41F0F9A5" w:rsidR="002931F6" w:rsidRPr="002931F6" w:rsidRDefault="00F703FC" w:rsidP="00F703FC">
      <w:pPr>
        <w:tabs>
          <w:tab w:val="left" w:pos="709"/>
          <w:tab w:val="left" w:pos="1418"/>
          <w:tab w:val="left" w:pos="2127"/>
          <w:tab w:val="left" w:pos="6379"/>
          <w:tab w:val="right" w:pos="9072"/>
        </w:tabs>
        <w:jc w:val="center"/>
        <w:rPr>
          <w:rFonts w:ascii="Arial" w:hAnsi="Arial" w:cs="Arial"/>
          <w:bCs/>
          <w:sz w:val="24"/>
          <w:szCs w:val="24"/>
          <w:lang w:val="en-GB"/>
        </w:rPr>
      </w:pPr>
      <w:r>
        <w:rPr>
          <w:rFonts w:ascii="Arial" w:hAnsi="Arial" w:cs="Arial"/>
          <w:bCs/>
          <w:sz w:val="24"/>
          <w:szCs w:val="24"/>
          <w:lang w:val="en-GB"/>
        </w:rPr>
        <w:t xml:space="preserve">                                                                   </w:t>
      </w:r>
      <w:r w:rsidR="002931F6" w:rsidRPr="002931F6">
        <w:rPr>
          <w:rFonts w:ascii="Arial" w:hAnsi="Arial" w:cs="Arial"/>
          <w:bCs/>
          <w:sz w:val="24"/>
          <w:szCs w:val="24"/>
          <w:lang w:val="en-GB"/>
        </w:rPr>
        <w:t>Date Heard:  11-1</w:t>
      </w:r>
      <w:r w:rsidR="0026446B">
        <w:rPr>
          <w:rFonts w:ascii="Arial" w:hAnsi="Arial" w:cs="Arial"/>
          <w:bCs/>
          <w:sz w:val="24"/>
          <w:szCs w:val="24"/>
          <w:lang w:val="en-GB"/>
        </w:rPr>
        <w:t>3</w:t>
      </w:r>
      <w:r w:rsidR="002931F6" w:rsidRPr="002931F6">
        <w:rPr>
          <w:rFonts w:ascii="Arial" w:hAnsi="Arial" w:cs="Arial"/>
          <w:bCs/>
          <w:sz w:val="24"/>
          <w:szCs w:val="24"/>
          <w:lang w:val="en-GB"/>
        </w:rPr>
        <w:t xml:space="preserve"> April 2022</w:t>
      </w:r>
    </w:p>
    <w:p w14:paraId="159B5FC0" w14:textId="2BC80F40" w:rsidR="002931F6" w:rsidRPr="002931F6" w:rsidRDefault="002931F6" w:rsidP="002931F6">
      <w:pPr>
        <w:tabs>
          <w:tab w:val="left" w:pos="709"/>
          <w:tab w:val="left" w:pos="1418"/>
          <w:tab w:val="left" w:pos="2127"/>
          <w:tab w:val="left" w:pos="6379"/>
          <w:tab w:val="right" w:pos="9072"/>
        </w:tabs>
        <w:jc w:val="center"/>
        <w:rPr>
          <w:rFonts w:ascii="Arial" w:hAnsi="Arial" w:cs="Arial"/>
          <w:bCs/>
          <w:sz w:val="24"/>
          <w:szCs w:val="24"/>
          <w:lang w:val="en-GB"/>
        </w:rPr>
      </w:pPr>
      <w:r w:rsidRPr="002931F6">
        <w:rPr>
          <w:rFonts w:ascii="Arial" w:hAnsi="Arial" w:cs="Arial"/>
          <w:bCs/>
          <w:sz w:val="24"/>
          <w:szCs w:val="24"/>
          <w:lang w:val="en-GB"/>
        </w:rPr>
        <w:tab/>
      </w:r>
      <w:r w:rsidRPr="002931F6">
        <w:rPr>
          <w:rFonts w:ascii="Arial" w:hAnsi="Arial" w:cs="Arial"/>
          <w:bCs/>
          <w:sz w:val="24"/>
          <w:szCs w:val="24"/>
          <w:lang w:val="en-GB"/>
        </w:rPr>
        <w:tab/>
      </w:r>
      <w:r w:rsidRPr="002931F6">
        <w:rPr>
          <w:rFonts w:ascii="Arial" w:hAnsi="Arial" w:cs="Arial"/>
          <w:bCs/>
          <w:sz w:val="24"/>
          <w:szCs w:val="24"/>
          <w:lang w:val="en-GB"/>
        </w:rPr>
        <w:tab/>
        <w:t xml:space="preserve">            </w:t>
      </w:r>
      <w:r w:rsidR="00D81055">
        <w:rPr>
          <w:rFonts w:ascii="Arial" w:hAnsi="Arial" w:cs="Arial"/>
          <w:bCs/>
          <w:sz w:val="24"/>
          <w:szCs w:val="24"/>
          <w:lang w:val="en-GB"/>
        </w:rPr>
        <w:t xml:space="preserve">                       </w:t>
      </w:r>
      <w:r w:rsidRPr="002931F6">
        <w:rPr>
          <w:rFonts w:ascii="Arial" w:hAnsi="Arial" w:cs="Arial"/>
          <w:bCs/>
          <w:sz w:val="24"/>
          <w:szCs w:val="24"/>
          <w:lang w:val="en-GB"/>
        </w:rPr>
        <w:t xml:space="preserve">Date Delivered:  </w:t>
      </w:r>
      <w:r w:rsidR="00F703FC">
        <w:rPr>
          <w:rFonts w:ascii="Arial" w:hAnsi="Arial" w:cs="Arial"/>
          <w:bCs/>
          <w:sz w:val="24"/>
          <w:szCs w:val="24"/>
          <w:lang w:val="en-GB"/>
        </w:rPr>
        <w:t>21 June 2022</w:t>
      </w:r>
    </w:p>
    <w:p w14:paraId="04B4F689" w14:textId="77777777" w:rsidR="002931F6" w:rsidRPr="002931F6" w:rsidRDefault="002931F6" w:rsidP="002931F6">
      <w:pPr>
        <w:tabs>
          <w:tab w:val="left" w:pos="709"/>
          <w:tab w:val="left" w:pos="1418"/>
          <w:tab w:val="left" w:pos="2127"/>
          <w:tab w:val="right" w:pos="9072"/>
        </w:tabs>
        <w:rPr>
          <w:rFonts w:ascii="Arial" w:hAnsi="Arial" w:cs="Arial"/>
          <w:sz w:val="24"/>
          <w:szCs w:val="24"/>
          <w:lang w:val="en-GB"/>
        </w:rPr>
      </w:pPr>
    </w:p>
    <w:p w14:paraId="2D629893" w14:textId="77777777" w:rsidR="002931F6" w:rsidRPr="002931F6" w:rsidRDefault="002931F6" w:rsidP="002931F6">
      <w:pPr>
        <w:tabs>
          <w:tab w:val="left" w:pos="709"/>
          <w:tab w:val="left" w:pos="1418"/>
          <w:tab w:val="left" w:pos="2127"/>
          <w:tab w:val="right" w:pos="9072"/>
        </w:tabs>
        <w:rPr>
          <w:rFonts w:ascii="Arial" w:hAnsi="Arial" w:cs="Arial"/>
          <w:sz w:val="24"/>
          <w:szCs w:val="24"/>
          <w:lang w:val="en-GB"/>
        </w:rPr>
      </w:pPr>
      <w:r w:rsidRPr="002931F6">
        <w:rPr>
          <w:rFonts w:ascii="Arial" w:hAnsi="Arial" w:cs="Arial"/>
          <w:sz w:val="24"/>
          <w:szCs w:val="24"/>
          <w:lang w:val="en-GB"/>
        </w:rPr>
        <w:t>In the matter between:</w:t>
      </w:r>
    </w:p>
    <w:p w14:paraId="3A83F8B9" w14:textId="77777777" w:rsidR="002931F6" w:rsidRPr="002931F6" w:rsidRDefault="002931F6" w:rsidP="002931F6">
      <w:pPr>
        <w:tabs>
          <w:tab w:val="left" w:pos="709"/>
          <w:tab w:val="left" w:pos="1418"/>
          <w:tab w:val="left" w:pos="2127"/>
          <w:tab w:val="right" w:pos="9072"/>
        </w:tabs>
        <w:rPr>
          <w:rFonts w:ascii="Arial" w:hAnsi="Arial" w:cs="Arial"/>
          <w:sz w:val="24"/>
          <w:szCs w:val="24"/>
          <w:lang w:val="en-GB"/>
        </w:rPr>
      </w:pPr>
    </w:p>
    <w:p w14:paraId="73E9A952" w14:textId="77777777" w:rsidR="002931F6" w:rsidRPr="002931F6" w:rsidRDefault="002931F6" w:rsidP="002931F6">
      <w:pPr>
        <w:tabs>
          <w:tab w:val="right" w:pos="9072"/>
        </w:tabs>
        <w:spacing w:before="120"/>
        <w:rPr>
          <w:rFonts w:ascii="Arial" w:hAnsi="Arial" w:cs="Arial"/>
          <w:b/>
          <w:sz w:val="24"/>
          <w:szCs w:val="24"/>
          <w:lang w:val="en-GB"/>
        </w:rPr>
      </w:pPr>
      <w:bookmarkStart w:id="1" w:name="_Hlk76717175"/>
      <w:r w:rsidRPr="002931F6">
        <w:rPr>
          <w:rFonts w:ascii="Arial" w:hAnsi="Arial" w:cs="Arial"/>
          <w:b/>
          <w:sz w:val="24"/>
          <w:szCs w:val="24"/>
          <w:lang w:val="en-GB"/>
        </w:rPr>
        <w:t>MEMBER OF THE EXECUTIVE COUNCIL FOR</w:t>
      </w:r>
    </w:p>
    <w:p w14:paraId="6611A001" w14:textId="77777777" w:rsidR="002931F6" w:rsidRPr="002931F6" w:rsidRDefault="002931F6" w:rsidP="002931F6">
      <w:pPr>
        <w:tabs>
          <w:tab w:val="right" w:pos="9072"/>
        </w:tabs>
        <w:spacing w:before="120"/>
        <w:rPr>
          <w:rFonts w:ascii="Arial" w:hAnsi="Arial" w:cs="Arial"/>
          <w:b/>
          <w:sz w:val="24"/>
          <w:szCs w:val="24"/>
          <w:lang w:val="en-GB"/>
        </w:rPr>
      </w:pPr>
      <w:r w:rsidRPr="002931F6">
        <w:rPr>
          <w:rFonts w:ascii="Arial" w:hAnsi="Arial" w:cs="Arial"/>
          <w:b/>
          <w:sz w:val="24"/>
          <w:szCs w:val="24"/>
          <w:lang w:val="en-GB"/>
        </w:rPr>
        <w:t>FINANCE, ECONOMIC DEVELOPMENT,</w:t>
      </w:r>
    </w:p>
    <w:p w14:paraId="4D3431E3" w14:textId="77777777" w:rsidR="002931F6" w:rsidRPr="002931F6" w:rsidRDefault="002931F6" w:rsidP="002931F6">
      <w:pPr>
        <w:tabs>
          <w:tab w:val="right" w:pos="9072"/>
        </w:tabs>
        <w:spacing w:before="120"/>
        <w:rPr>
          <w:rFonts w:ascii="Arial" w:hAnsi="Arial" w:cs="Arial"/>
          <w:b/>
          <w:sz w:val="24"/>
          <w:szCs w:val="24"/>
          <w:lang w:val="en-GB"/>
        </w:rPr>
      </w:pPr>
      <w:r w:rsidRPr="002931F6">
        <w:rPr>
          <w:rFonts w:ascii="Arial" w:hAnsi="Arial" w:cs="Arial"/>
          <w:b/>
          <w:sz w:val="24"/>
          <w:szCs w:val="24"/>
          <w:lang w:val="en-GB"/>
        </w:rPr>
        <w:t>ENVIRONMENTAL AFFAIRS AND TOURISM</w:t>
      </w:r>
    </w:p>
    <w:p w14:paraId="666A9E0A" w14:textId="77777777" w:rsidR="002931F6" w:rsidRPr="002931F6" w:rsidRDefault="002931F6" w:rsidP="002931F6">
      <w:pPr>
        <w:tabs>
          <w:tab w:val="right" w:pos="9072"/>
        </w:tabs>
        <w:spacing w:before="120" w:after="360"/>
        <w:rPr>
          <w:rFonts w:ascii="Arial" w:hAnsi="Arial" w:cs="Arial"/>
          <w:sz w:val="24"/>
          <w:szCs w:val="24"/>
          <w:lang w:val="en-GB"/>
        </w:rPr>
      </w:pPr>
      <w:r w:rsidRPr="002931F6">
        <w:rPr>
          <w:rFonts w:ascii="Arial" w:hAnsi="Arial" w:cs="Arial"/>
          <w:b/>
          <w:sz w:val="24"/>
          <w:szCs w:val="24"/>
          <w:lang w:val="en-GB"/>
        </w:rPr>
        <w:t>(EASTERN CAPE)</w:t>
      </w:r>
      <w:r w:rsidRPr="002931F6">
        <w:rPr>
          <w:rFonts w:ascii="Arial" w:hAnsi="Arial" w:cs="Arial"/>
          <w:sz w:val="24"/>
          <w:szCs w:val="24"/>
          <w:lang w:val="en-GB"/>
        </w:rPr>
        <w:tab/>
        <w:t>First Applicant</w:t>
      </w:r>
    </w:p>
    <w:p w14:paraId="233DD7E7" w14:textId="77777777" w:rsidR="002931F6" w:rsidRPr="002931F6" w:rsidRDefault="002931F6" w:rsidP="002931F6">
      <w:pPr>
        <w:tabs>
          <w:tab w:val="right" w:pos="9072"/>
        </w:tabs>
        <w:spacing w:before="120" w:after="360"/>
        <w:rPr>
          <w:rFonts w:ascii="Arial" w:hAnsi="Arial" w:cs="Arial"/>
          <w:b/>
          <w:sz w:val="24"/>
          <w:szCs w:val="24"/>
          <w:lang w:val="en-GB"/>
        </w:rPr>
      </w:pPr>
      <w:r w:rsidRPr="002931F6">
        <w:rPr>
          <w:rFonts w:ascii="Arial" w:hAnsi="Arial" w:cs="Arial"/>
          <w:b/>
          <w:sz w:val="24"/>
          <w:szCs w:val="24"/>
          <w:lang w:val="en-GB"/>
        </w:rPr>
        <w:t>HEAD OF DEPARTMENT EASTERN CAPE</w:t>
      </w:r>
    </w:p>
    <w:p w14:paraId="16906C79" w14:textId="77777777" w:rsidR="002931F6" w:rsidRPr="002931F6" w:rsidRDefault="002931F6" w:rsidP="002931F6">
      <w:pPr>
        <w:tabs>
          <w:tab w:val="right" w:pos="9072"/>
        </w:tabs>
        <w:spacing w:before="120" w:after="360"/>
        <w:rPr>
          <w:rFonts w:ascii="Arial" w:hAnsi="Arial" w:cs="Arial"/>
          <w:sz w:val="24"/>
          <w:szCs w:val="24"/>
          <w:lang w:val="en-GB"/>
        </w:rPr>
      </w:pPr>
      <w:r w:rsidRPr="002931F6">
        <w:rPr>
          <w:rFonts w:ascii="Arial" w:hAnsi="Arial" w:cs="Arial"/>
          <w:b/>
          <w:sz w:val="24"/>
          <w:szCs w:val="24"/>
          <w:lang w:val="en-GB"/>
        </w:rPr>
        <w:t>PROVINCIAL TREASURY</w:t>
      </w:r>
      <w:r w:rsidRPr="002931F6">
        <w:rPr>
          <w:rFonts w:ascii="Arial" w:hAnsi="Arial" w:cs="Arial"/>
          <w:sz w:val="24"/>
          <w:szCs w:val="24"/>
          <w:lang w:val="en-GB"/>
        </w:rPr>
        <w:tab/>
        <w:t>Second Applicant</w:t>
      </w:r>
    </w:p>
    <w:p w14:paraId="3D9E103C" w14:textId="77777777" w:rsidR="002931F6" w:rsidRPr="002931F6" w:rsidRDefault="002931F6" w:rsidP="002931F6">
      <w:pPr>
        <w:tabs>
          <w:tab w:val="right" w:pos="9072"/>
        </w:tabs>
        <w:spacing w:before="120"/>
        <w:rPr>
          <w:rFonts w:ascii="Arial" w:hAnsi="Arial" w:cs="Arial"/>
          <w:b/>
          <w:bCs/>
          <w:sz w:val="24"/>
          <w:szCs w:val="24"/>
          <w:lang w:val="en-GB"/>
        </w:rPr>
      </w:pPr>
      <w:r w:rsidRPr="002931F6">
        <w:rPr>
          <w:rFonts w:ascii="Arial" w:hAnsi="Arial" w:cs="Arial"/>
          <w:b/>
          <w:bCs/>
          <w:sz w:val="24"/>
          <w:szCs w:val="24"/>
          <w:lang w:val="en-GB"/>
        </w:rPr>
        <w:t>MEMBER OF THE EXECUTIVE COUNCIL FOR</w:t>
      </w:r>
    </w:p>
    <w:p w14:paraId="73E1A310" w14:textId="77777777" w:rsidR="002931F6" w:rsidRPr="002931F6" w:rsidRDefault="002931F6" w:rsidP="002931F6">
      <w:pPr>
        <w:tabs>
          <w:tab w:val="right" w:pos="9072"/>
        </w:tabs>
        <w:spacing w:before="120" w:after="360"/>
        <w:rPr>
          <w:rFonts w:ascii="Arial" w:hAnsi="Arial" w:cs="Arial"/>
          <w:b/>
          <w:bCs/>
          <w:sz w:val="24"/>
          <w:szCs w:val="24"/>
          <w:lang w:val="en-GB"/>
        </w:rPr>
      </w:pPr>
      <w:r w:rsidRPr="002931F6">
        <w:rPr>
          <w:rFonts w:ascii="Arial" w:hAnsi="Arial" w:cs="Arial"/>
          <w:b/>
          <w:bCs/>
          <w:sz w:val="24"/>
          <w:szCs w:val="24"/>
          <w:lang w:val="en-GB"/>
        </w:rPr>
        <w:t xml:space="preserve">HEALTH, EASTERN CAPE PROVINCE </w:t>
      </w:r>
      <w:r w:rsidRPr="002931F6">
        <w:rPr>
          <w:rFonts w:ascii="Arial" w:hAnsi="Arial" w:cs="Arial"/>
          <w:sz w:val="24"/>
          <w:szCs w:val="24"/>
          <w:lang w:val="en-GB"/>
        </w:rPr>
        <w:tab/>
        <w:t>Third Applicant</w:t>
      </w:r>
    </w:p>
    <w:p w14:paraId="323991C7" w14:textId="77777777" w:rsidR="002931F6" w:rsidRPr="002931F6" w:rsidRDefault="002931F6" w:rsidP="002931F6">
      <w:pPr>
        <w:tabs>
          <w:tab w:val="right" w:pos="9072"/>
        </w:tabs>
        <w:spacing w:before="120" w:after="240"/>
        <w:rPr>
          <w:rFonts w:ascii="Arial" w:hAnsi="Arial" w:cs="Arial"/>
          <w:sz w:val="24"/>
          <w:szCs w:val="24"/>
          <w:lang w:val="en-GB"/>
        </w:rPr>
      </w:pPr>
      <w:r w:rsidRPr="002931F6">
        <w:rPr>
          <w:rFonts w:ascii="Arial" w:hAnsi="Arial" w:cs="Arial"/>
          <w:b/>
          <w:bCs/>
          <w:sz w:val="24"/>
          <w:szCs w:val="24"/>
          <w:lang w:val="en-GB"/>
        </w:rPr>
        <w:t>HEAD OF DEPARTMENT FOR HEALTH (EASTERN CAPE)</w:t>
      </w:r>
      <w:r w:rsidRPr="002931F6">
        <w:rPr>
          <w:rFonts w:ascii="Arial" w:hAnsi="Arial" w:cs="Arial"/>
          <w:b/>
          <w:bCs/>
          <w:sz w:val="24"/>
          <w:szCs w:val="24"/>
          <w:lang w:val="en-GB"/>
        </w:rPr>
        <w:tab/>
      </w:r>
      <w:r w:rsidRPr="002931F6">
        <w:rPr>
          <w:rFonts w:ascii="Arial" w:hAnsi="Arial" w:cs="Arial"/>
          <w:sz w:val="24"/>
          <w:szCs w:val="24"/>
          <w:lang w:val="en-GB"/>
        </w:rPr>
        <w:t>Fourth Applicant</w:t>
      </w:r>
    </w:p>
    <w:p w14:paraId="659A4799" w14:textId="77777777" w:rsidR="002931F6" w:rsidRPr="002931F6" w:rsidRDefault="002931F6" w:rsidP="002931F6">
      <w:pPr>
        <w:tabs>
          <w:tab w:val="right" w:pos="9072"/>
        </w:tabs>
        <w:spacing w:before="120" w:after="240"/>
        <w:rPr>
          <w:rFonts w:ascii="Arial" w:hAnsi="Arial" w:cs="Arial"/>
          <w:sz w:val="24"/>
          <w:szCs w:val="24"/>
          <w:lang w:val="en-GB"/>
        </w:rPr>
      </w:pPr>
      <w:r w:rsidRPr="002931F6">
        <w:rPr>
          <w:rFonts w:ascii="Arial" w:hAnsi="Arial" w:cs="Arial"/>
          <w:b/>
          <w:bCs/>
          <w:sz w:val="24"/>
          <w:szCs w:val="24"/>
          <w:lang w:val="en-GB"/>
        </w:rPr>
        <w:t>THE PREMIER, EASTERN CAPE PROVINCE</w:t>
      </w:r>
      <w:r w:rsidRPr="002931F6">
        <w:rPr>
          <w:rFonts w:ascii="Arial" w:hAnsi="Arial" w:cs="Arial"/>
          <w:sz w:val="24"/>
          <w:szCs w:val="24"/>
          <w:lang w:val="en-GB"/>
        </w:rPr>
        <w:tab/>
        <w:t>Fifth Applicant</w:t>
      </w:r>
    </w:p>
    <w:bookmarkEnd w:id="1"/>
    <w:p w14:paraId="6AB99D49" w14:textId="77777777" w:rsidR="002931F6" w:rsidRPr="002931F6" w:rsidRDefault="002931F6" w:rsidP="002931F6">
      <w:pPr>
        <w:tabs>
          <w:tab w:val="right" w:pos="8504"/>
          <w:tab w:val="right" w:pos="8931"/>
          <w:tab w:val="right" w:pos="9072"/>
        </w:tabs>
        <w:spacing w:before="360" w:after="240" w:line="480" w:lineRule="auto"/>
        <w:rPr>
          <w:rFonts w:ascii="Arial" w:hAnsi="Arial" w:cs="Arial"/>
          <w:sz w:val="24"/>
          <w:szCs w:val="24"/>
          <w:lang w:val="en-GB"/>
        </w:rPr>
      </w:pPr>
      <w:r w:rsidRPr="002931F6">
        <w:rPr>
          <w:rFonts w:ascii="Arial" w:hAnsi="Arial" w:cs="Arial"/>
          <w:sz w:val="24"/>
          <w:szCs w:val="24"/>
          <w:lang w:val="en-GB"/>
        </w:rPr>
        <w:t>and</w:t>
      </w:r>
    </w:p>
    <w:p w14:paraId="6DD3D827"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sz w:val="24"/>
          <w:szCs w:val="24"/>
          <w:lang w:val="en-GB"/>
        </w:rPr>
        <w:t>THE LEGAL PRACTICE COUNCIL</w:t>
      </w:r>
      <w:r w:rsidRPr="002931F6">
        <w:rPr>
          <w:rFonts w:ascii="Arial" w:hAnsi="Arial" w:cs="Arial"/>
          <w:b/>
          <w:sz w:val="24"/>
          <w:szCs w:val="24"/>
          <w:lang w:val="en-GB"/>
        </w:rPr>
        <w:tab/>
      </w:r>
      <w:r w:rsidRPr="002931F6">
        <w:rPr>
          <w:rFonts w:ascii="Arial" w:hAnsi="Arial" w:cs="Arial"/>
          <w:sz w:val="24"/>
          <w:szCs w:val="24"/>
          <w:lang w:val="en-GB"/>
        </w:rPr>
        <w:t>First Respondent</w:t>
      </w:r>
    </w:p>
    <w:p w14:paraId="731839D0"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t>THE BOARD OF SHERIFFS</w:t>
      </w:r>
      <w:r w:rsidRPr="002931F6">
        <w:rPr>
          <w:rFonts w:ascii="Arial" w:hAnsi="Arial" w:cs="Arial"/>
          <w:b/>
          <w:bCs/>
          <w:sz w:val="24"/>
          <w:szCs w:val="24"/>
          <w:lang w:val="en-GB"/>
        </w:rPr>
        <w:tab/>
      </w:r>
      <w:r w:rsidRPr="002931F6">
        <w:rPr>
          <w:rFonts w:ascii="Arial" w:hAnsi="Arial" w:cs="Arial"/>
          <w:sz w:val="24"/>
          <w:szCs w:val="24"/>
          <w:lang w:val="en-GB"/>
        </w:rPr>
        <w:t>Second Respondent</w:t>
      </w:r>
    </w:p>
    <w:p w14:paraId="036EE544" w14:textId="77777777" w:rsidR="002931F6" w:rsidRPr="002931F6" w:rsidRDefault="002931F6" w:rsidP="002931F6">
      <w:pPr>
        <w:tabs>
          <w:tab w:val="left" w:pos="709"/>
          <w:tab w:val="left" w:pos="1418"/>
          <w:tab w:val="left" w:pos="2127"/>
          <w:tab w:val="right" w:pos="8931"/>
        </w:tabs>
        <w:spacing w:before="120"/>
        <w:rPr>
          <w:rFonts w:ascii="Arial" w:hAnsi="Arial" w:cs="Arial"/>
          <w:sz w:val="24"/>
          <w:szCs w:val="24"/>
          <w:lang w:val="en-GB"/>
        </w:rPr>
      </w:pPr>
      <w:r w:rsidRPr="002931F6">
        <w:rPr>
          <w:rFonts w:ascii="Arial" w:hAnsi="Arial" w:cs="Arial"/>
          <w:b/>
          <w:bCs/>
          <w:sz w:val="24"/>
          <w:szCs w:val="24"/>
          <w:lang w:val="en-GB"/>
        </w:rPr>
        <w:t>ABSA BANK LIMITED</w:t>
      </w:r>
      <w:r w:rsidRPr="002931F6">
        <w:rPr>
          <w:rFonts w:ascii="Arial" w:hAnsi="Arial" w:cs="Arial"/>
          <w:sz w:val="24"/>
          <w:szCs w:val="24"/>
          <w:lang w:val="en-GB"/>
        </w:rPr>
        <w:tab/>
        <w:t>Third Respondent</w:t>
      </w:r>
    </w:p>
    <w:p w14:paraId="505E0931" w14:textId="77777777" w:rsidR="002931F6" w:rsidRPr="002931F6" w:rsidRDefault="002931F6" w:rsidP="002931F6">
      <w:pPr>
        <w:tabs>
          <w:tab w:val="left" w:pos="709"/>
          <w:tab w:val="left" w:pos="1418"/>
          <w:tab w:val="left" w:pos="2127"/>
          <w:tab w:val="right" w:pos="8931"/>
        </w:tabs>
        <w:spacing w:before="120"/>
        <w:rPr>
          <w:rFonts w:ascii="Arial" w:hAnsi="Arial" w:cs="Arial"/>
          <w:sz w:val="24"/>
          <w:szCs w:val="24"/>
          <w:lang w:val="en-GB"/>
        </w:rPr>
      </w:pPr>
      <w:r w:rsidRPr="002931F6">
        <w:rPr>
          <w:rFonts w:ascii="Arial" w:hAnsi="Arial" w:cs="Arial"/>
          <w:b/>
          <w:bCs/>
          <w:sz w:val="24"/>
          <w:szCs w:val="24"/>
          <w:lang w:val="en-GB"/>
        </w:rPr>
        <w:lastRenderedPageBreak/>
        <w:t>NATIONAL DEPARTMENT OF HEALTH</w:t>
      </w:r>
      <w:r w:rsidRPr="002931F6">
        <w:rPr>
          <w:rFonts w:ascii="Arial" w:hAnsi="Arial" w:cs="Arial"/>
          <w:sz w:val="24"/>
          <w:szCs w:val="24"/>
          <w:lang w:val="en-GB"/>
        </w:rPr>
        <w:t xml:space="preserve"> </w:t>
      </w:r>
      <w:r w:rsidRPr="002931F6">
        <w:rPr>
          <w:rFonts w:ascii="Arial" w:hAnsi="Arial" w:cs="Arial"/>
          <w:sz w:val="24"/>
          <w:szCs w:val="24"/>
          <w:lang w:val="en-GB"/>
        </w:rPr>
        <w:tab/>
        <w:t>Fourth Respondent</w:t>
      </w:r>
    </w:p>
    <w:p w14:paraId="42936C13" w14:textId="77777777" w:rsidR="002931F6" w:rsidRPr="002931F6" w:rsidRDefault="002931F6" w:rsidP="002931F6">
      <w:pPr>
        <w:tabs>
          <w:tab w:val="left" w:pos="709"/>
          <w:tab w:val="left" w:pos="1418"/>
          <w:tab w:val="left" w:pos="2127"/>
          <w:tab w:val="right" w:pos="8931"/>
        </w:tabs>
        <w:spacing w:before="120"/>
        <w:rPr>
          <w:rFonts w:ascii="Arial" w:hAnsi="Arial" w:cs="Arial"/>
          <w:b/>
          <w:bCs/>
          <w:sz w:val="24"/>
          <w:szCs w:val="24"/>
          <w:lang w:val="en-GB"/>
        </w:rPr>
      </w:pPr>
      <w:bookmarkStart w:id="2" w:name="_Hlk69225166"/>
      <w:r w:rsidRPr="002931F6">
        <w:rPr>
          <w:rFonts w:ascii="Arial" w:hAnsi="Arial" w:cs="Arial"/>
          <w:b/>
          <w:bCs/>
          <w:sz w:val="24"/>
          <w:szCs w:val="24"/>
          <w:lang w:val="en-GB"/>
        </w:rPr>
        <w:t>NATIONAL TREASURY OF SOUTH AFRICA</w:t>
      </w:r>
      <w:r w:rsidRPr="002931F6">
        <w:rPr>
          <w:rFonts w:ascii="Arial" w:hAnsi="Arial" w:cs="Arial"/>
          <w:sz w:val="24"/>
          <w:szCs w:val="24"/>
          <w:lang w:val="en-GB"/>
        </w:rPr>
        <w:tab/>
        <w:t>Fifth Respondent</w:t>
      </w:r>
    </w:p>
    <w:p w14:paraId="2CA5F57D" w14:textId="77777777" w:rsidR="002931F6" w:rsidRPr="002931F6" w:rsidRDefault="002931F6" w:rsidP="002931F6">
      <w:pPr>
        <w:tabs>
          <w:tab w:val="left" w:pos="709"/>
          <w:tab w:val="left" w:pos="1418"/>
          <w:tab w:val="left" w:pos="2127"/>
          <w:tab w:val="right" w:pos="8931"/>
        </w:tabs>
        <w:spacing w:before="120"/>
        <w:rPr>
          <w:rFonts w:ascii="Arial" w:hAnsi="Arial" w:cs="Arial"/>
          <w:sz w:val="24"/>
          <w:szCs w:val="24"/>
          <w:lang w:val="en-GB"/>
        </w:rPr>
      </w:pPr>
      <w:r w:rsidRPr="002931F6">
        <w:rPr>
          <w:rFonts w:ascii="Arial" w:hAnsi="Arial" w:cs="Arial"/>
          <w:b/>
          <w:bCs/>
          <w:sz w:val="24"/>
          <w:szCs w:val="24"/>
          <w:lang w:val="en-GB"/>
        </w:rPr>
        <w:t xml:space="preserve">HENNIE JORDAAN N.O. (SHERIFF FOR KING </w:t>
      </w:r>
      <w:r w:rsidRPr="002931F6">
        <w:rPr>
          <w:rFonts w:ascii="Arial" w:hAnsi="Arial" w:cs="Arial"/>
          <w:b/>
          <w:bCs/>
          <w:sz w:val="24"/>
          <w:szCs w:val="24"/>
          <w:lang w:val="en-GB"/>
        </w:rPr>
        <w:tab/>
      </w:r>
      <w:r w:rsidRPr="002931F6">
        <w:rPr>
          <w:rFonts w:ascii="Arial" w:hAnsi="Arial" w:cs="Arial"/>
          <w:sz w:val="24"/>
          <w:szCs w:val="24"/>
          <w:lang w:val="en-GB"/>
        </w:rPr>
        <w:t>Sixth Respondent</w:t>
      </w:r>
    </w:p>
    <w:p w14:paraId="75C7750E" w14:textId="77777777" w:rsidR="002931F6" w:rsidRPr="002931F6" w:rsidRDefault="002931F6" w:rsidP="002931F6">
      <w:pPr>
        <w:tabs>
          <w:tab w:val="left" w:pos="709"/>
          <w:tab w:val="left" w:pos="1418"/>
          <w:tab w:val="left" w:pos="2127"/>
          <w:tab w:val="right" w:pos="8931"/>
        </w:tabs>
        <w:spacing w:before="120"/>
        <w:contextualSpacing/>
        <w:rPr>
          <w:rFonts w:ascii="Arial" w:hAnsi="Arial" w:cs="Arial"/>
          <w:b/>
          <w:bCs/>
          <w:sz w:val="24"/>
          <w:szCs w:val="24"/>
          <w:lang w:val="en-GB"/>
        </w:rPr>
      </w:pPr>
      <w:r w:rsidRPr="002931F6">
        <w:rPr>
          <w:rFonts w:ascii="Arial" w:hAnsi="Arial" w:cs="Arial"/>
          <w:b/>
          <w:bCs/>
          <w:sz w:val="24"/>
          <w:szCs w:val="24"/>
          <w:lang w:val="en-GB"/>
        </w:rPr>
        <w:t>WILLIAMS TOWN</w:t>
      </w:r>
      <w:r w:rsidRPr="002931F6">
        <w:rPr>
          <w:rFonts w:ascii="Arial" w:hAnsi="Arial" w:cs="Arial"/>
          <w:sz w:val="24"/>
          <w:szCs w:val="24"/>
          <w:lang w:val="en-GB"/>
        </w:rPr>
        <w:t xml:space="preserve"> </w:t>
      </w:r>
      <w:r w:rsidRPr="002931F6">
        <w:rPr>
          <w:rFonts w:ascii="Arial" w:hAnsi="Arial" w:cs="Arial"/>
          <w:b/>
          <w:bCs/>
          <w:sz w:val="24"/>
          <w:szCs w:val="24"/>
          <w:lang w:val="en-GB"/>
        </w:rPr>
        <w:t>COURT, KING WILLIAMS TOWN)</w:t>
      </w:r>
    </w:p>
    <w:p w14:paraId="7FE28036" w14:textId="77777777" w:rsidR="002931F6" w:rsidRPr="002931F6" w:rsidRDefault="002931F6" w:rsidP="002931F6">
      <w:pPr>
        <w:tabs>
          <w:tab w:val="left" w:pos="709"/>
          <w:tab w:val="left" w:pos="1418"/>
          <w:tab w:val="left" w:pos="2127"/>
          <w:tab w:val="right" w:pos="8931"/>
        </w:tabs>
        <w:spacing w:before="120"/>
        <w:contextualSpacing/>
        <w:rPr>
          <w:rFonts w:ascii="Arial" w:hAnsi="Arial" w:cs="Arial"/>
          <w:sz w:val="24"/>
          <w:szCs w:val="24"/>
          <w:lang w:val="en-GB"/>
        </w:rPr>
      </w:pPr>
      <w:r w:rsidRPr="002931F6">
        <w:rPr>
          <w:rFonts w:ascii="Arial" w:hAnsi="Arial" w:cs="Arial"/>
          <w:b/>
          <w:bCs/>
          <w:sz w:val="24"/>
          <w:szCs w:val="24"/>
          <w:lang w:val="en-GB"/>
        </w:rPr>
        <w:t>MARKS THAPELO MANGABA N.O. (SHERIFF,</w:t>
      </w:r>
      <w:r w:rsidRPr="002931F6">
        <w:rPr>
          <w:rFonts w:ascii="Arial" w:hAnsi="Arial" w:cs="Arial"/>
          <w:b/>
          <w:bCs/>
          <w:sz w:val="24"/>
          <w:szCs w:val="24"/>
          <w:lang w:val="en-GB"/>
        </w:rPr>
        <w:tab/>
      </w:r>
    </w:p>
    <w:p w14:paraId="2F5D87A3"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t>JOHANNESBURG CENTRAL)</w:t>
      </w:r>
      <w:r w:rsidRPr="002931F6">
        <w:rPr>
          <w:rFonts w:ascii="Arial" w:hAnsi="Arial" w:cs="Arial"/>
          <w:sz w:val="24"/>
          <w:szCs w:val="24"/>
          <w:lang w:val="en-GB"/>
        </w:rPr>
        <w:t xml:space="preserve"> </w:t>
      </w:r>
      <w:r w:rsidRPr="002931F6">
        <w:rPr>
          <w:rFonts w:ascii="Arial" w:hAnsi="Arial" w:cs="Arial"/>
          <w:sz w:val="24"/>
          <w:szCs w:val="24"/>
          <w:lang w:val="en-GB"/>
        </w:rPr>
        <w:tab/>
        <w:t>Seventh Respondent</w:t>
      </w:r>
    </w:p>
    <w:p w14:paraId="322940F9" w14:textId="77777777" w:rsidR="002931F6" w:rsidRPr="002931F6" w:rsidRDefault="002931F6" w:rsidP="002931F6">
      <w:pPr>
        <w:tabs>
          <w:tab w:val="left" w:pos="709"/>
          <w:tab w:val="left" w:pos="1418"/>
          <w:tab w:val="left" w:pos="2127"/>
          <w:tab w:val="right" w:pos="8931"/>
        </w:tabs>
        <w:spacing w:before="120"/>
        <w:contextualSpacing/>
        <w:rPr>
          <w:rFonts w:ascii="Arial" w:hAnsi="Arial" w:cs="Arial"/>
          <w:sz w:val="24"/>
          <w:szCs w:val="24"/>
          <w:lang w:val="en-GB"/>
        </w:rPr>
      </w:pPr>
      <w:r w:rsidRPr="002931F6">
        <w:rPr>
          <w:rFonts w:ascii="Arial" w:hAnsi="Arial" w:cs="Arial"/>
          <w:b/>
          <w:bCs/>
          <w:sz w:val="24"/>
          <w:szCs w:val="24"/>
          <w:lang w:val="en-GB"/>
        </w:rPr>
        <w:t>IG BEZUIDENHOUT N.O (DEPUTY SHERIFF, HIGH &amp; LOW)</w:t>
      </w:r>
    </w:p>
    <w:p w14:paraId="73AE523E" w14:textId="77777777" w:rsidR="002931F6" w:rsidRPr="002931F6" w:rsidRDefault="002931F6" w:rsidP="002931F6">
      <w:pPr>
        <w:tabs>
          <w:tab w:val="left" w:pos="709"/>
          <w:tab w:val="left" w:pos="1418"/>
          <w:tab w:val="left" w:pos="2127"/>
          <w:tab w:val="right" w:pos="8931"/>
        </w:tabs>
        <w:spacing w:before="120"/>
        <w:rPr>
          <w:rFonts w:ascii="Arial" w:hAnsi="Arial" w:cs="Arial"/>
          <w:b/>
          <w:bCs/>
          <w:sz w:val="24"/>
          <w:szCs w:val="24"/>
          <w:lang w:val="en-GB"/>
        </w:rPr>
      </w:pPr>
      <w:r w:rsidRPr="002931F6">
        <w:rPr>
          <w:rFonts w:ascii="Arial" w:hAnsi="Arial" w:cs="Arial"/>
          <w:b/>
          <w:bCs/>
          <w:sz w:val="24"/>
          <w:szCs w:val="24"/>
          <w:lang w:val="en-GB"/>
        </w:rPr>
        <w:t>WILLIAMS TOWN</w:t>
      </w:r>
      <w:r w:rsidRPr="002931F6">
        <w:rPr>
          <w:rFonts w:ascii="Arial" w:hAnsi="Arial" w:cs="Arial"/>
          <w:b/>
          <w:bCs/>
          <w:sz w:val="24"/>
          <w:szCs w:val="24"/>
          <w:lang w:val="en-GB"/>
        </w:rPr>
        <w:tab/>
      </w:r>
      <w:r w:rsidRPr="002931F6">
        <w:rPr>
          <w:rFonts w:ascii="Arial" w:hAnsi="Arial" w:cs="Arial"/>
          <w:sz w:val="24"/>
          <w:szCs w:val="24"/>
          <w:lang w:val="en-GB"/>
        </w:rPr>
        <w:tab/>
        <w:t>Eighth Respondent</w:t>
      </w:r>
    </w:p>
    <w:bookmarkEnd w:id="2"/>
    <w:p w14:paraId="019600CD" w14:textId="77777777" w:rsidR="002931F6" w:rsidRPr="002931F6" w:rsidRDefault="002931F6" w:rsidP="002931F6">
      <w:pPr>
        <w:tabs>
          <w:tab w:val="left" w:pos="709"/>
          <w:tab w:val="left" w:pos="1418"/>
          <w:tab w:val="left" w:pos="2127"/>
          <w:tab w:val="right" w:pos="8931"/>
        </w:tabs>
        <w:spacing w:before="120"/>
        <w:contextualSpacing/>
        <w:rPr>
          <w:rFonts w:ascii="Arial" w:hAnsi="Arial" w:cs="Arial"/>
          <w:b/>
          <w:sz w:val="24"/>
          <w:szCs w:val="24"/>
          <w:lang w:val="en-GB"/>
        </w:rPr>
      </w:pPr>
      <w:r w:rsidRPr="002931F6">
        <w:rPr>
          <w:rFonts w:ascii="Arial" w:hAnsi="Arial" w:cs="Arial"/>
          <w:b/>
          <w:sz w:val="24"/>
          <w:szCs w:val="24"/>
          <w:lang w:val="en-GB"/>
        </w:rPr>
        <w:t>FANIE HERMAN N.O. (DEPUTY SHERIFF FOR</w:t>
      </w:r>
    </w:p>
    <w:p w14:paraId="72A957B7" w14:textId="77777777" w:rsidR="002931F6" w:rsidRPr="002931F6" w:rsidRDefault="002931F6" w:rsidP="002931F6">
      <w:pPr>
        <w:tabs>
          <w:tab w:val="right" w:pos="8931"/>
        </w:tabs>
        <w:spacing w:before="120"/>
        <w:rPr>
          <w:rFonts w:ascii="Arial" w:hAnsi="Arial" w:cs="Arial"/>
          <w:sz w:val="24"/>
          <w:szCs w:val="24"/>
          <w:lang w:val="en-GB"/>
        </w:rPr>
      </w:pPr>
      <w:r w:rsidRPr="002931F6">
        <w:rPr>
          <w:rFonts w:ascii="Arial" w:hAnsi="Arial" w:cs="Arial"/>
          <w:b/>
          <w:sz w:val="24"/>
          <w:szCs w:val="24"/>
          <w:lang w:val="en-GB"/>
        </w:rPr>
        <w:t>CENTURION EAST)</w:t>
      </w:r>
      <w:r w:rsidRPr="002931F6">
        <w:rPr>
          <w:rFonts w:ascii="Arial" w:hAnsi="Arial" w:cs="Arial"/>
          <w:b/>
          <w:bCs/>
          <w:sz w:val="24"/>
          <w:szCs w:val="24"/>
          <w:lang w:val="en-GB"/>
        </w:rPr>
        <w:tab/>
      </w:r>
      <w:r w:rsidRPr="002931F6">
        <w:rPr>
          <w:rFonts w:ascii="Arial" w:hAnsi="Arial" w:cs="Arial"/>
          <w:sz w:val="24"/>
          <w:szCs w:val="24"/>
          <w:lang w:val="en-GB"/>
        </w:rPr>
        <w:t>Ninth Respondent</w:t>
      </w:r>
    </w:p>
    <w:p w14:paraId="6596FDDE"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t>ASIPHE MANISE</w:t>
      </w:r>
      <w:r w:rsidRPr="002931F6">
        <w:rPr>
          <w:rFonts w:ascii="Arial" w:hAnsi="Arial" w:cs="Arial"/>
          <w:b/>
          <w:bCs/>
          <w:sz w:val="24"/>
          <w:szCs w:val="24"/>
          <w:lang w:val="en-GB"/>
        </w:rPr>
        <w:tab/>
      </w:r>
      <w:r w:rsidRPr="002931F6">
        <w:rPr>
          <w:rFonts w:ascii="Arial" w:hAnsi="Arial" w:cs="Arial"/>
          <w:b/>
          <w:bCs/>
          <w:sz w:val="24"/>
          <w:szCs w:val="24"/>
          <w:lang w:val="en-GB"/>
        </w:rPr>
        <w:tab/>
      </w:r>
      <w:r w:rsidRPr="002931F6">
        <w:rPr>
          <w:rFonts w:ascii="Arial" w:hAnsi="Arial" w:cs="Arial"/>
          <w:sz w:val="24"/>
          <w:szCs w:val="24"/>
          <w:lang w:val="en-GB"/>
        </w:rPr>
        <w:t>Tenth Respondent</w:t>
      </w:r>
    </w:p>
    <w:p w14:paraId="6C9612B9" w14:textId="77777777" w:rsidR="002931F6" w:rsidRPr="002931F6" w:rsidRDefault="002931F6" w:rsidP="002931F6">
      <w:pPr>
        <w:tabs>
          <w:tab w:val="left" w:pos="709"/>
          <w:tab w:val="left" w:pos="1418"/>
          <w:tab w:val="left" w:pos="2127"/>
          <w:tab w:val="right" w:pos="8931"/>
        </w:tabs>
        <w:spacing w:before="120" w:after="240"/>
        <w:rPr>
          <w:rFonts w:ascii="Arial" w:hAnsi="Arial" w:cs="Arial"/>
          <w:b/>
          <w:sz w:val="24"/>
          <w:szCs w:val="24"/>
          <w:lang w:val="en-GB"/>
        </w:rPr>
      </w:pPr>
      <w:r w:rsidRPr="002931F6">
        <w:rPr>
          <w:rFonts w:ascii="Arial" w:hAnsi="Arial" w:cs="Arial"/>
          <w:b/>
          <w:sz w:val="24"/>
          <w:szCs w:val="24"/>
          <w:lang w:val="en-GB"/>
        </w:rPr>
        <w:t>BABALWA VANTYI-GWAZU</w:t>
      </w:r>
      <w:r w:rsidRPr="002931F6">
        <w:rPr>
          <w:rFonts w:ascii="Arial" w:hAnsi="Arial" w:cs="Arial"/>
          <w:b/>
          <w:sz w:val="24"/>
          <w:szCs w:val="24"/>
          <w:lang w:val="en-GB"/>
        </w:rPr>
        <w:tab/>
      </w:r>
      <w:r w:rsidRPr="002931F6">
        <w:rPr>
          <w:rFonts w:ascii="Arial" w:hAnsi="Arial" w:cs="Arial"/>
          <w:bCs/>
          <w:sz w:val="24"/>
          <w:szCs w:val="24"/>
          <w:lang w:val="en-GB"/>
        </w:rPr>
        <w:t>Eleventh</w:t>
      </w:r>
      <w:r w:rsidRPr="002931F6">
        <w:rPr>
          <w:rFonts w:ascii="Arial" w:hAnsi="Arial" w:cs="Arial"/>
          <w:sz w:val="24"/>
          <w:szCs w:val="24"/>
          <w:lang w:val="en-GB"/>
        </w:rPr>
        <w:t xml:space="preserve"> Respondent</w:t>
      </w:r>
    </w:p>
    <w:p w14:paraId="545944AF"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sz w:val="24"/>
          <w:szCs w:val="24"/>
          <w:lang w:val="en-GB"/>
        </w:rPr>
        <w:t>ANDILE GWAXU</w:t>
      </w:r>
      <w:r w:rsidRPr="002931F6">
        <w:rPr>
          <w:rFonts w:ascii="Arial" w:hAnsi="Arial" w:cs="Arial"/>
          <w:sz w:val="24"/>
          <w:szCs w:val="24"/>
          <w:lang w:val="en-GB"/>
        </w:rPr>
        <w:tab/>
      </w:r>
      <w:r w:rsidRPr="002931F6">
        <w:rPr>
          <w:rFonts w:ascii="Arial" w:hAnsi="Arial" w:cs="Arial"/>
          <w:sz w:val="24"/>
          <w:szCs w:val="24"/>
          <w:lang w:val="en-GB"/>
        </w:rPr>
        <w:tab/>
        <w:t>Twelfth Respondent</w:t>
      </w:r>
    </w:p>
    <w:p w14:paraId="7FACC29D" w14:textId="77777777" w:rsidR="002931F6" w:rsidRPr="002931F6" w:rsidRDefault="002931F6" w:rsidP="002931F6">
      <w:pPr>
        <w:tabs>
          <w:tab w:val="right" w:pos="8931"/>
        </w:tabs>
        <w:spacing w:before="120" w:after="240"/>
        <w:rPr>
          <w:rFonts w:ascii="Arial" w:hAnsi="Arial" w:cs="Arial"/>
          <w:sz w:val="24"/>
          <w:szCs w:val="24"/>
          <w:lang w:val="en-GB"/>
        </w:rPr>
      </w:pPr>
      <w:r w:rsidRPr="002931F6">
        <w:rPr>
          <w:rFonts w:ascii="Arial" w:hAnsi="Arial" w:cs="Arial"/>
          <w:b/>
          <w:bCs/>
          <w:sz w:val="24"/>
          <w:szCs w:val="24"/>
          <w:lang w:val="en-GB"/>
        </w:rPr>
        <w:t>BAPHATHE NDIYA</w:t>
      </w:r>
      <w:r w:rsidRPr="002931F6">
        <w:rPr>
          <w:rFonts w:ascii="Arial" w:hAnsi="Arial" w:cs="Arial"/>
          <w:sz w:val="24"/>
          <w:szCs w:val="24"/>
          <w:lang w:val="en-GB"/>
        </w:rPr>
        <w:tab/>
        <w:t>Thirteenth</w:t>
      </w:r>
      <w:r w:rsidRPr="002931F6">
        <w:rPr>
          <w:rFonts w:ascii="Arial" w:hAnsi="Arial" w:cs="Arial"/>
          <w:b/>
          <w:bCs/>
          <w:sz w:val="24"/>
          <w:szCs w:val="24"/>
          <w:lang w:val="en-GB"/>
        </w:rPr>
        <w:t xml:space="preserve"> </w:t>
      </w:r>
      <w:r w:rsidRPr="002931F6">
        <w:rPr>
          <w:rFonts w:ascii="Arial" w:hAnsi="Arial" w:cs="Arial"/>
          <w:sz w:val="24"/>
          <w:szCs w:val="24"/>
          <w:lang w:val="en-GB"/>
        </w:rPr>
        <w:t>Respondent</w:t>
      </w:r>
    </w:p>
    <w:p w14:paraId="21B30775" w14:textId="77777777" w:rsidR="002931F6" w:rsidRPr="002931F6" w:rsidRDefault="002931F6" w:rsidP="002931F6">
      <w:pPr>
        <w:tabs>
          <w:tab w:val="right" w:pos="8931"/>
        </w:tabs>
        <w:spacing w:before="120" w:after="240"/>
        <w:rPr>
          <w:rFonts w:ascii="Arial" w:hAnsi="Arial" w:cs="Arial"/>
          <w:b/>
          <w:bCs/>
          <w:sz w:val="24"/>
          <w:szCs w:val="24"/>
          <w:lang w:val="en-GB"/>
        </w:rPr>
      </w:pPr>
      <w:r w:rsidRPr="002931F6">
        <w:rPr>
          <w:rFonts w:ascii="Arial" w:hAnsi="Arial" w:cs="Arial"/>
          <w:b/>
          <w:bCs/>
          <w:sz w:val="24"/>
          <w:szCs w:val="24"/>
          <w:lang w:val="en-GB"/>
        </w:rPr>
        <w:t>POZILE DLUNGANE</w:t>
      </w:r>
      <w:r w:rsidRPr="002931F6">
        <w:rPr>
          <w:rFonts w:ascii="Arial" w:hAnsi="Arial" w:cs="Arial"/>
          <w:b/>
          <w:bCs/>
          <w:sz w:val="24"/>
          <w:szCs w:val="24"/>
          <w:lang w:val="en-GB"/>
        </w:rPr>
        <w:tab/>
      </w:r>
      <w:r w:rsidRPr="002931F6">
        <w:rPr>
          <w:rFonts w:ascii="Arial" w:hAnsi="Arial" w:cs="Arial"/>
          <w:sz w:val="24"/>
          <w:szCs w:val="24"/>
          <w:lang w:val="en-GB"/>
        </w:rPr>
        <w:t>Fourteenth Respondent</w:t>
      </w:r>
    </w:p>
    <w:p w14:paraId="6C31E83F" w14:textId="77777777" w:rsidR="002931F6" w:rsidRPr="002931F6" w:rsidRDefault="002931F6" w:rsidP="002931F6">
      <w:pPr>
        <w:tabs>
          <w:tab w:val="left" w:pos="709"/>
          <w:tab w:val="left" w:pos="1418"/>
          <w:tab w:val="left" w:pos="2127"/>
          <w:tab w:val="right" w:pos="8931"/>
        </w:tabs>
        <w:spacing w:before="120" w:after="240"/>
        <w:rPr>
          <w:rFonts w:ascii="Arial" w:hAnsi="Arial" w:cs="Arial"/>
          <w:b/>
          <w:bCs/>
          <w:sz w:val="24"/>
          <w:szCs w:val="24"/>
          <w:lang w:val="en-GB"/>
        </w:rPr>
      </w:pPr>
      <w:r w:rsidRPr="002931F6">
        <w:rPr>
          <w:rFonts w:ascii="Arial" w:hAnsi="Arial" w:cs="Arial"/>
          <w:b/>
          <w:bCs/>
          <w:sz w:val="24"/>
          <w:szCs w:val="24"/>
          <w:lang w:val="en-GB"/>
        </w:rPr>
        <w:t>APHELELE NDAMASE</w:t>
      </w:r>
      <w:r w:rsidRPr="002931F6">
        <w:rPr>
          <w:rFonts w:ascii="Arial" w:hAnsi="Arial" w:cs="Arial"/>
          <w:b/>
          <w:bCs/>
          <w:sz w:val="24"/>
          <w:szCs w:val="24"/>
          <w:lang w:val="en-GB"/>
        </w:rPr>
        <w:tab/>
      </w:r>
      <w:r w:rsidRPr="002931F6">
        <w:rPr>
          <w:rFonts w:ascii="Arial" w:hAnsi="Arial" w:cs="Arial"/>
          <w:sz w:val="24"/>
          <w:szCs w:val="24"/>
          <w:lang w:val="en-GB"/>
        </w:rPr>
        <w:t>Fifteenth Respondent</w:t>
      </w:r>
    </w:p>
    <w:p w14:paraId="51A7A36F" w14:textId="77777777" w:rsidR="002931F6" w:rsidRPr="002931F6" w:rsidRDefault="002931F6" w:rsidP="002931F6">
      <w:pPr>
        <w:tabs>
          <w:tab w:val="right" w:pos="8931"/>
        </w:tabs>
        <w:spacing w:before="120" w:after="240"/>
        <w:rPr>
          <w:rFonts w:ascii="Arial" w:hAnsi="Arial" w:cs="Arial"/>
          <w:sz w:val="24"/>
          <w:szCs w:val="24"/>
          <w:lang w:val="en-GB"/>
        </w:rPr>
      </w:pPr>
      <w:r w:rsidRPr="002931F6">
        <w:rPr>
          <w:rFonts w:ascii="Arial" w:hAnsi="Arial" w:cs="Arial"/>
          <w:b/>
          <w:bCs/>
          <w:caps/>
          <w:sz w:val="24"/>
          <w:szCs w:val="24"/>
          <w:lang w:val="en-GB"/>
        </w:rPr>
        <w:t>Luleka Nophuza</w:t>
      </w:r>
      <w:r w:rsidRPr="002931F6">
        <w:rPr>
          <w:rFonts w:ascii="Arial" w:hAnsi="Arial" w:cs="Arial"/>
          <w:b/>
          <w:bCs/>
          <w:sz w:val="24"/>
          <w:szCs w:val="24"/>
          <w:lang w:val="en-GB"/>
        </w:rPr>
        <w:tab/>
      </w:r>
      <w:r w:rsidRPr="002931F6">
        <w:rPr>
          <w:rFonts w:ascii="Arial" w:hAnsi="Arial" w:cs="Arial"/>
          <w:sz w:val="24"/>
          <w:szCs w:val="24"/>
          <w:lang w:val="en-GB"/>
        </w:rPr>
        <w:t>Sixteenth Respondent</w:t>
      </w:r>
    </w:p>
    <w:p w14:paraId="2735BE8E"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t>LULEKA NTLAKA</w:t>
      </w:r>
      <w:r w:rsidRPr="002931F6">
        <w:rPr>
          <w:rFonts w:ascii="Arial" w:hAnsi="Arial" w:cs="Arial"/>
          <w:b/>
          <w:bCs/>
          <w:sz w:val="24"/>
          <w:szCs w:val="24"/>
          <w:lang w:val="en-GB"/>
        </w:rPr>
        <w:tab/>
      </w:r>
      <w:r w:rsidRPr="002931F6">
        <w:rPr>
          <w:rFonts w:ascii="Arial" w:hAnsi="Arial" w:cs="Arial"/>
          <w:b/>
          <w:bCs/>
          <w:sz w:val="24"/>
          <w:szCs w:val="24"/>
          <w:lang w:val="en-GB"/>
        </w:rPr>
        <w:tab/>
      </w:r>
      <w:r w:rsidRPr="002931F6">
        <w:rPr>
          <w:rFonts w:ascii="Arial" w:hAnsi="Arial" w:cs="Arial"/>
          <w:sz w:val="24"/>
          <w:szCs w:val="24"/>
          <w:lang w:val="en-GB"/>
        </w:rPr>
        <w:t>Seventeenth Respondent</w:t>
      </w:r>
    </w:p>
    <w:p w14:paraId="53DC1045" w14:textId="77777777" w:rsidR="002931F6" w:rsidRPr="002931F6" w:rsidRDefault="002931F6" w:rsidP="002931F6">
      <w:pPr>
        <w:tabs>
          <w:tab w:val="right" w:pos="8931"/>
        </w:tabs>
        <w:spacing w:before="120" w:after="240"/>
        <w:rPr>
          <w:rFonts w:ascii="Arial" w:hAnsi="Arial" w:cs="Arial"/>
          <w:sz w:val="24"/>
          <w:szCs w:val="24"/>
          <w:lang w:val="en-GB"/>
        </w:rPr>
      </w:pPr>
      <w:r w:rsidRPr="002931F6">
        <w:rPr>
          <w:rFonts w:ascii="Arial" w:hAnsi="Arial" w:cs="Arial"/>
          <w:b/>
          <w:bCs/>
          <w:sz w:val="24"/>
          <w:szCs w:val="24"/>
          <w:lang w:val="en-GB"/>
        </w:rPr>
        <w:t>NOBUHLE NDZALA</w:t>
      </w:r>
      <w:r w:rsidRPr="002931F6">
        <w:rPr>
          <w:rFonts w:ascii="Arial" w:hAnsi="Arial" w:cs="Arial"/>
          <w:b/>
          <w:bCs/>
          <w:sz w:val="24"/>
          <w:szCs w:val="24"/>
          <w:lang w:val="en-GB"/>
        </w:rPr>
        <w:tab/>
      </w:r>
      <w:r w:rsidRPr="002931F6">
        <w:rPr>
          <w:rFonts w:ascii="Arial" w:hAnsi="Arial" w:cs="Arial"/>
          <w:sz w:val="24"/>
          <w:szCs w:val="24"/>
          <w:lang w:val="en-GB"/>
        </w:rPr>
        <w:t>Eighteenth Respondent</w:t>
      </w:r>
    </w:p>
    <w:p w14:paraId="3C691A3B" w14:textId="77777777" w:rsidR="002931F6" w:rsidRPr="002931F6" w:rsidRDefault="002931F6" w:rsidP="002931F6">
      <w:pPr>
        <w:tabs>
          <w:tab w:val="right" w:pos="8931"/>
        </w:tabs>
        <w:spacing w:before="120" w:after="240"/>
        <w:rPr>
          <w:rFonts w:ascii="Arial" w:hAnsi="Arial" w:cs="Arial"/>
          <w:sz w:val="24"/>
          <w:szCs w:val="24"/>
          <w:lang w:val="en-GB"/>
        </w:rPr>
      </w:pPr>
      <w:r w:rsidRPr="002931F6">
        <w:rPr>
          <w:rFonts w:ascii="Arial" w:hAnsi="Arial" w:cs="Arial"/>
          <w:b/>
          <w:bCs/>
          <w:sz w:val="24"/>
          <w:szCs w:val="24"/>
          <w:lang w:val="en-GB"/>
        </w:rPr>
        <w:t>PETER BOUCHER</w:t>
      </w:r>
      <w:r w:rsidRPr="002931F6">
        <w:rPr>
          <w:rFonts w:ascii="Arial" w:hAnsi="Arial" w:cs="Arial"/>
          <w:b/>
          <w:bCs/>
          <w:sz w:val="24"/>
          <w:szCs w:val="24"/>
          <w:lang w:val="en-GB"/>
        </w:rPr>
        <w:tab/>
      </w:r>
      <w:r w:rsidRPr="002931F6">
        <w:rPr>
          <w:rFonts w:ascii="Arial" w:hAnsi="Arial" w:cs="Arial"/>
          <w:sz w:val="24"/>
          <w:szCs w:val="24"/>
          <w:lang w:val="en-GB"/>
        </w:rPr>
        <w:t>Nineteenth Respondent</w:t>
      </w:r>
    </w:p>
    <w:p w14:paraId="27202A3E"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t>GRACE JESSICA BOUCHER</w:t>
      </w:r>
      <w:r w:rsidRPr="002931F6">
        <w:rPr>
          <w:rFonts w:ascii="Arial" w:hAnsi="Arial" w:cs="Arial"/>
          <w:sz w:val="24"/>
          <w:szCs w:val="24"/>
          <w:lang w:val="en-GB"/>
        </w:rPr>
        <w:tab/>
        <w:t>Twentieth Respondent</w:t>
      </w:r>
    </w:p>
    <w:p w14:paraId="18015A14"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t xml:space="preserve">MAPHELO ANELISIWE </w:t>
      </w:r>
      <w:r w:rsidRPr="002931F6">
        <w:rPr>
          <w:rFonts w:ascii="Arial" w:hAnsi="Arial" w:cs="Arial"/>
          <w:b/>
          <w:bCs/>
          <w:sz w:val="24"/>
          <w:szCs w:val="24"/>
          <w:lang w:val="en-GB"/>
        </w:rPr>
        <w:tab/>
      </w:r>
      <w:r w:rsidRPr="002931F6">
        <w:rPr>
          <w:rFonts w:ascii="Arial" w:hAnsi="Arial" w:cs="Arial"/>
          <w:sz w:val="24"/>
          <w:szCs w:val="24"/>
          <w:lang w:val="en-GB"/>
        </w:rPr>
        <w:t>Twenty-First Respondent</w:t>
      </w:r>
    </w:p>
    <w:p w14:paraId="06E964AC"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t>LULEKA MBINDA</w:t>
      </w:r>
      <w:r w:rsidRPr="002931F6">
        <w:rPr>
          <w:rFonts w:ascii="Arial" w:hAnsi="Arial" w:cs="Arial"/>
          <w:b/>
          <w:bCs/>
          <w:sz w:val="24"/>
          <w:szCs w:val="24"/>
          <w:lang w:val="en-GB"/>
        </w:rPr>
        <w:tab/>
      </w:r>
      <w:r w:rsidRPr="002931F6">
        <w:rPr>
          <w:rFonts w:ascii="Arial" w:hAnsi="Arial" w:cs="Arial"/>
          <w:b/>
          <w:bCs/>
          <w:sz w:val="24"/>
          <w:szCs w:val="24"/>
          <w:lang w:val="en-GB"/>
        </w:rPr>
        <w:tab/>
      </w:r>
      <w:r w:rsidRPr="002931F6">
        <w:rPr>
          <w:rFonts w:ascii="Arial" w:hAnsi="Arial" w:cs="Arial"/>
          <w:sz w:val="24"/>
          <w:szCs w:val="24"/>
          <w:lang w:val="en-GB"/>
        </w:rPr>
        <w:t>Twenty-Second Respondent</w:t>
      </w:r>
    </w:p>
    <w:p w14:paraId="42C7BED3"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t>CHATHA MAHILIHILI</w:t>
      </w:r>
      <w:r w:rsidRPr="002931F6">
        <w:rPr>
          <w:rFonts w:ascii="Arial" w:hAnsi="Arial" w:cs="Arial"/>
          <w:sz w:val="24"/>
          <w:szCs w:val="24"/>
          <w:lang w:val="en-GB"/>
        </w:rPr>
        <w:t xml:space="preserve"> </w:t>
      </w:r>
      <w:r w:rsidRPr="002931F6">
        <w:rPr>
          <w:rFonts w:ascii="Arial" w:hAnsi="Arial" w:cs="Arial"/>
          <w:sz w:val="24"/>
          <w:szCs w:val="24"/>
          <w:lang w:val="en-GB"/>
        </w:rPr>
        <w:tab/>
        <w:t>Twenty-Third Respondent</w:t>
      </w:r>
    </w:p>
    <w:p w14:paraId="03F0822B"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t>NOMBUSO VIRONIC MAKALUZA</w:t>
      </w:r>
      <w:r w:rsidRPr="002931F6">
        <w:rPr>
          <w:rFonts w:ascii="Arial" w:hAnsi="Arial" w:cs="Arial"/>
          <w:b/>
          <w:bCs/>
          <w:sz w:val="24"/>
          <w:szCs w:val="24"/>
          <w:lang w:val="en-GB"/>
        </w:rPr>
        <w:tab/>
      </w:r>
      <w:r w:rsidRPr="002931F6">
        <w:rPr>
          <w:rFonts w:ascii="Arial" w:hAnsi="Arial" w:cs="Arial"/>
          <w:sz w:val="24"/>
          <w:szCs w:val="24"/>
          <w:lang w:val="en-GB"/>
        </w:rPr>
        <w:t>Twenty-Fourth Respondent</w:t>
      </w:r>
    </w:p>
    <w:p w14:paraId="3CBE531C"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t xml:space="preserve">NOSIPHO AUDREY KATIYA </w:t>
      </w:r>
      <w:r w:rsidRPr="002931F6">
        <w:rPr>
          <w:rFonts w:ascii="Arial" w:hAnsi="Arial" w:cs="Arial"/>
          <w:b/>
          <w:bCs/>
          <w:sz w:val="24"/>
          <w:szCs w:val="24"/>
          <w:lang w:val="en-GB"/>
        </w:rPr>
        <w:tab/>
      </w:r>
      <w:r w:rsidRPr="002931F6">
        <w:rPr>
          <w:rFonts w:ascii="Arial" w:hAnsi="Arial" w:cs="Arial"/>
          <w:sz w:val="24"/>
          <w:szCs w:val="24"/>
          <w:lang w:val="en-GB"/>
        </w:rPr>
        <w:t>Twenty-Fifth Respondent</w:t>
      </w:r>
    </w:p>
    <w:p w14:paraId="6C872872"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t>ANEZIWE TSIPA</w:t>
      </w:r>
      <w:r w:rsidRPr="002931F6">
        <w:rPr>
          <w:rFonts w:ascii="Arial" w:hAnsi="Arial" w:cs="Arial"/>
          <w:b/>
          <w:bCs/>
          <w:sz w:val="24"/>
          <w:szCs w:val="24"/>
          <w:lang w:val="en-GB"/>
        </w:rPr>
        <w:tab/>
      </w:r>
      <w:r w:rsidRPr="002931F6">
        <w:rPr>
          <w:rFonts w:ascii="Arial" w:hAnsi="Arial" w:cs="Arial"/>
          <w:b/>
          <w:bCs/>
          <w:sz w:val="24"/>
          <w:szCs w:val="24"/>
          <w:lang w:val="en-GB"/>
        </w:rPr>
        <w:tab/>
      </w:r>
      <w:r w:rsidRPr="002931F6">
        <w:rPr>
          <w:rFonts w:ascii="Arial" w:hAnsi="Arial" w:cs="Arial"/>
          <w:sz w:val="24"/>
          <w:szCs w:val="24"/>
          <w:lang w:val="en-GB"/>
        </w:rPr>
        <w:t>Twenty-Sixth Respondent</w:t>
      </w:r>
    </w:p>
    <w:p w14:paraId="18277E00"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t>ZODWA TETYANE</w:t>
      </w:r>
      <w:r w:rsidRPr="002931F6">
        <w:rPr>
          <w:rFonts w:ascii="Arial" w:hAnsi="Arial" w:cs="Arial"/>
          <w:b/>
          <w:bCs/>
          <w:sz w:val="24"/>
          <w:szCs w:val="24"/>
          <w:lang w:val="en-GB"/>
        </w:rPr>
        <w:tab/>
      </w:r>
      <w:r w:rsidRPr="002931F6">
        <w:rPr>
          <w:rFonts w:ascii="Arial" w:hAnsi="Arial" w:cs="Arial"/>
          <w:b/>
          <w:bCs/>
          <w:sz w:val="24"/>
          <w:szCs w:val="24"/>
          <w:lang w:val="en-GB"/>
        </w:rPr>
        <w:tab/>
      </w:r>
      <w:r w:rsidRPr="002931F6">
        <w:rPr>
          <w:rFonts w:ascii="Arial" w:hAnsi="Arial" w:cs="Arial"/>
          <w:sz w:val="24"/>
          <w:szCs w:val="24"/>
          <w:lang w:val="en-GB"/>
        </w:rPr>
        <w:t>Twenty-Seventh Respondent</w:t>
      </w:r>
    </w:p>
    <w:p w14:paraId="3E197EB9"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lastRenderedPageBreak/>
        <w:t>VUYANI MAYIBENYE</w:t>
      </w:r>
      <w:r w:rsidRPr="002931F6">
        <w:rPr>
          <w:rFonts w:ascii="Arial" w:hAnsi="Arial" w:cs="Arial"/>
          <w:b/>
          <w:bCs/>
          <w:sz w:val="24"/>
          <w:szCs w:val="24"/>
          <w:lang w:val="en-GB"/>
        </w:rPr>
        <w:tab/>
      </w:r>
      <w:r w:rsidRPr="002931F6">
        <w:rPr>
          <w:rFonts w:ascii="Arial" w:hAnsi="Arial" w:cs="Arial"/>
          <w:sz w:val="24"/>
          <w:szCs w:val="24"/>
          <w:lang w:val="en-GB"/>
        </w:rPr>
        <w:t>Twenty-Eighth Respondent</w:t>
      </w:r>
    </w:p>
    <w:p w14:paraId="731F45F0"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t>SIYOLISE SITHANGA</w:t>
      </w:r>
      <w:r w:rsidRPr="002931F6">
        <w:rPr>
          <w:rFonts w:ascii="Arial" w:hAnsi="Arial" w:cs="Arial"/>
          <w:b/>
          <w:bCs/>
          <w:sz w:val="24"/>
          <w:szCs w:val="24"/>
          <w:lang w:val="en-GB"/>
        </w:rPr>
        <w:tab/>
      </w:r>
      <w:r w:rsidRPr="002931F6">
        <w:rPr>
          <w:rFonts w:ascii="Arial" w:hAnsi="Arial" w:cs="Arial"/>
          <w:sz w:val="24"/>
          <w:szCs w:val="24"/>
          <w:lang w:val="en-GB"/>
        </w:rPr>
        <w:t>Twenty-Ninth Respondent</w:t>
      </w:r>
    </w:p>
    <w:p w14:paraId="11CAF403"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t>BABALWA MBOKODI</w:t>
      </w:r>
      <w:r w:rsidRPr="002931F6">
        <w:rPr>
          <w:rFonts w:ascii="Arial" w:hAnsi="Arial" w:cs="Arial"/>
          <w:b/>
          <w:bCs/>
          <w:sz w:val="24"/>
          <w:szCs w:val="24"/>
          <w:lang w:val="en-GB"/>
        </w:rPr>
        <w:tab/>
      </w:r>
      <w:r w:rsidRPr="002931F6">
        <w:rPr>
          <w:rFonts w:ascii="Arial" w:hAnsi="Arial" w:cs="Arial"/>
          <w:sz w:val="24"/>
          <w:szCs w:val="24"/>
          <w:lang w:val="en-GB"/>
        </w:rPr>
        <w:t>Thirtieth Respondent</w:t>
      </w:r>
    </w:p>
    <w:p w14:paraId="31FFD941"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t>NOLOYISO ANELISA MIRANDA MXONYWA</w:t>
      </w:r>
      <w:r w:rsidRPr="002931F6">
        <w:rPr>
          <w:rFonts w:ascii="Arial" w:hAnsi="Arial" w:cs="Arial"/>
          <w:b/>
          <w:bCs/>
          <w:sz w:val="24"/>
          <w:szCs w:val="24"/>
          <w:lang w:val="en-GB"/>
        </w:rPr>
        <w:tab/>
      </w:r>
      <w:r w:rsidRPr="002931F6">
        <w:rPr>
          <w:rFonts w:ascii="Arial" w:hAnsi="Arial" w:cs="Arial"/>
          <w:sz w:val="24"/>
          <w:szCs w:val="24"/>
          <w:lang w:val="en-GB"/>
        </w:rPr>
        <w:t>Thirty-First Respondent</w:t>
      </w:r>
    </w:p>
    <w:p w14:paraId="3F3E5500" w14:textId="77777777" w:rsidR="002931F6" w:rsidRPr="002931F6" w:rsidRDefault="002931F6" w:rsidP="002931F6">
      <w:pPr>
        <w:tabs>
          <w:tab w:val="right" w:pos="8931"/>
        </w:tabs>
        <w:spacing w:before="120" w:after="240"/>
        <w:rPr>
          <w:rFonts w:ascii="Arial" w:hAnsi="Arial" w:cs="Arial"/>
          <w:sz w:val="24"/>
          <w:szCs w:val="24"/>
          <w:lang w:val="en-GB"/>
        </w:rPr>
      </w:pPr>
      <w:r w:rsidRPr="002931F6">
        <w:rPr>
          <w:rFonts w:ascii="Arial" w:hAnsi="Arial" w:cs="Arial"/>
          <w:b/>
          <w:bCs/>
          <w:sz w:val="24"/>
          <w:szCs w:val="24"/>
          <w:lang w:val="en-GB"/>
        </w:rPr>
        <w:t>ZIKHONA NDWEBI</w:t>
      </w:r>
      <w:r w:rsidRPr="002931F6">
        <w:rPr>
          <w:rFonts w:ascii="Arial" w:hAnsi="Arial" w:cs="Arial"/>
          <w:sz w:val="24"/>
          <w:szCs w:val="24"/>
          <w:lang w:val="en-GB"/>
        </w:rPr>
        <w:tab/>
        <w:t>Thirty-Second Respondent</w:t>
      </w:r>
    </w:p>
    <w:p w14:paraId="554FB84A"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t>NOMFUNDO MNTUYEDWA</w:t>
      </w:r>
      <w:r w:rsidRPr="002931F6">
        <w:rPr>
          <w:rFonts w:ascii="Arial" w:hAnsi="Arial" w:cs="Arial"/>
          <w:b/>
          <w:bCs/>
          <w:sz w:val="24"/>
          <w:szCs w:val="24"/>
          <w:lang w:val="en-GB"/>
        </w:rPr>
        <w:tab/>
      </w:r>
      <w:r w:rsidRPr="002931F6">
        <w:rPr>
          <w:rFonts w:ascii="Arial" w:hAnsi="Arial" w:cs="Arial"/>
          <w:sz w:val="24"/>
          <w:szCs w:val="24"/>
          <w:lang w:val="en-GB"/>
        </w:rPr>
        <w:t>Thirty-Third Respondent</w:t>
      </w:r>
    </w:p>
    <w:p w14:paraId="6E5DE02C" w14:textId="77777777" w:rsidR="002931F6" w:rsidRPr="002931F6" w:rsidRDefault="002931F6" w:rsidP="002931F6">
      <w:pPr>
        <w:tabs>
          <w:tab w:val="right" w:pos="8931"/>
        </w:tabs>
        <w:spacing w:before="120" w:after="240"/>
        <w:rPr>
          <w:rFonts w:ascii="Arial" w:hAnsi="Arial" w:cs="Arial"/>
          <w:sz w:val="24"/>
          <w:szCs w:val="24"/>
          <w:lang w:val="en-GB"/>
        </w:rPr>
      </w:pPr>
      <w:r w:rsidRPr="002931F6">
        <w:rPr>
          <w:rFonts w:ascii="Arial" w:hAnsi="Arial" w:cs="Arial"/>
          <w:b/>
          <w:bCs/>
          <w:sz w:val="24"/>
          <w:szCs w:val="24"/>
          <w:lang w:val="en-GB"/>
        </w:rPr>
        <w:t>NO-ONEST MVELO</w:t>
      </w:r>
      <w:r w:rsidRPr="002931F6">
        <w:rPr>
          <w:rFonts w:ascii="Arial" w:hAnsi="Arial" w:cs="Arial"/>
          <w:b/>
          <w:bCs/>
          <w:sz w:val="24"/>
          <w:szCs w:val="24"/>
          <w:lang w:val="en-GB"/>
        </w:rPr>
        <w:tab/>
      </w:r>
      <w:r w:rsidRPr="002931F6">
        <w:rPr>
          <w:rFonts w:ascii="Arial" w:hAnsi="Arial" w:cs="Arial"/>
          <w:sz w:val="24"/>
          <w:szCs w:val="24"/>
          <w:lang w:val="en-GB"/>
        </w:rPr>
        <w:t>Thirty-Fourth Respondent</w:t>
      </w:r>
    </w:p>
    <w:p w14:paraId="226DEA67"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t>NOWAM YOBO</w:t>
      </w:r>
      <w:r w:rsidRPr="002931F6">
        <w:rPr>
          <w:rFonts w:ascii="Arial" w:hAnsi="Arial" w:cs="Arial"/>
          <w:b/>
          <w:bCs/>
          <w:sz w:val="24"/>
          <w:szCs w:val="24"/>
          <w:lang w:val="en-GB"/>
        </w:rPr>
        <w:tab/>
      </w:r>
      <w:r w:rsidRPr="002931F6">
        <w:rPr>
          <w:rFonts w:ascii="Arial" w:hAnsi="Arial" w:cs="Arial"/>
          <w:b/>
          <w:bCs/>
          <w:sz w:val="24"/>
          <w:szCs w:val="24"/>
          <w:lang w:val="en-GB"/>
        </w:rPr>
        <w:tab/>
      </w:r>
      <w:r w:rsidRPr="002931F6">
        <w:rPr>
          <w:rFonts w:ascii="Arial" w:hAnsi="Arial" w:cs="Arial"/>
          <w:sz w:val="24"/>
          <w:szCs w:val="24"/>
          <w:lang w:val="en-GB"/>
        </w:rPr>
        <w:t>Thirty-Fifth Respondent</w:t>
      </w:r>
    </w:p>
    <w:p w14:paraId="6DC632FA" w14:textId="77777777" w:rsidR="002931F6" w:rsidRPr="002931F6" w:rsidRDefault="002931F6" w:rsidP="002931F6">
      <w:pPr>
        <w:tabs>
          <w:tab w:val="right" w:pos="8931"/>
        </w:tabs>
        <w:spacing w:before="120" w:after="240"/>
        <w:rPr>
          <w:rFonts w:ascii="Arial" w:hAnsi="Arial" w:cs="Arial"/>
          <w:sz w:val="24"/>
          <w:szCs w:val="24"/>
          <w:lang w:val="en-GB"/>
        </w:rPr>
      </w:pPr>
      <w:r w:rsidRPr="002931F6">
        <w:rPr>
          <w:rFonts w:ascii="Arial" w:hAnsi="Arial" w:cs="Arial"/>
          <w:b/>
          <w:bCs/>
          <w:sz w:val="24"/>
          <w:szCs w:val="24"/>
          <w:lang w:val="en-GB"/>
        </w:rPr>
        <w:t>NOZIBELE SIKADE</w:t>
      </w:r>
      <w:r w:rsidRPr="002931F6">
        <w:rPr>
          <w:rFonts w:ascii="Arial" w:hAnsi="Arial" w:cs="Arial"/>
          <w:b/>
          <w:bCs/>
          <w:sz w:val="24"/>
          <w:szCs w:val="24"/>
          <w:lang w:val="en-GB"/>
        </w:rPr>
        <w:tab/>
      </w:r>
      <w:r w:rsidRPr="002931F6">
        <w:rPr>
          <w:rFonts w:ascii="Arial" w:hAnsi="Arial" w:cs="Arial"/>
          <w:sz w:val="24"/>
          <w:szCs w:val="24"/>
          <w:lang w:val="en-GB"/>
        </w:rPr>
        <w:t>Thirty- Sixth Respondent</w:t>
      </w:r>
    </w:p>
    <w:p w14:paraId="679E9E8C" w14:textId="77777777" w:rsidR="002931F6" w:rsidRPr="002931F6" w:rsidRDefault="002931F6" w:rsidP="002931F6">
      <w:pPr>
        <w:tabs>
          <w:tab w:val="left" w:pos="709"/>
          <w:tab w:val="left" w:pos="1418"/>
          <w:tab w:val="left" w:pos="2127"/>
          <w:tab w:val="right" w:pos="8931"/>
        </w:tabs>
        <w:spacing w:before="120" w:after="240"/>
        <w:rPr>
          <w:rFonts w:ascii="Arial" w:hAnsi="Arial" w:cs="Arial"/>
          <w:b/>
          <w:bCs/>
          <w:sz w:val="24"/>
          <w:szCs w:val="24"/>
          <w:lang w:val="en-GB"/>
        </w:rPr>
      </w:pPr>
      <w:r w:rsidRPr="002931F6">
        <w:rPr>
          <w:rFonts w:ascii="Arial" w:hAnsi="Arial" w:cs="Arial"/>
          <w:b/>
          <w:bCs/>
          <w:sz w:val="24"/>
          <w:szCs w:val="24"/>
          <w:lang w:val="en-GB"/>
        </w:rPr>
        <w:t>LUSANDA MPHIKISWA</w:t>
      </w:r>
      <w:r w:rsidRPr="002931F6">
        <w:rPr>
          <w:rFonts w:ascii="Arial" w:hAnsi="Arial" w:cs="Arial"/>
          <w:b/>
          <w:bCs/>
          <w:sz w:val="24"/>
          <w:szCs w:val="24"/>
          <w:lang w:val="en-GB"/>
        </w:rPr>
        <w:tab/>
      </w:r>
      <w:r w:rsidRPr="002931F6">
        <w:rPr>
          <w:rFonts w:ascii="Arial" w:hAnsi="Arial" w:cs="Arial"/>
          <w:sz w:val="24"/>
          <w:szCs w:val="24"/>
          <w:lang w:val="en-GB"/>
        </w:rPr>
        <w:t>Thirty-Seventh Respondent</w:t>
      </w:r>
    </w:p>
    <w:p w14:paraId="4B355945"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t>THANDISWA NOYILA</w:t>
      </w:r>
      <w:r w:rsidRPr="002931F6">
        <w:rPr>
          <w:rFonts w:ascii="Arial" w:hAnsi="Arial" w:cs="Arial"/>
          <w:b/>
          <w:bCs/>
          <w:sz w:val="24"/>
          <w:szCs w:val="24"/>
          <w:lang w:val="en-GB"/>
        </w:rPr>
        <w:tab/>
      </w:r>
      <w:r w:rsidRPr="002931F6">
        <w:rPr>
          <w:rFonts w:ascii="Arial" w:hAnsi="Arial" w:cs="Arial"/>
          <w:sz w:val="24"/>
          <w:szCs w:val="24"/>
          <w:lang w:val="en-GB"/>
        </w:rPr>
        <w:t>Thirty-Eighth Respondent</w:t>
      </w:r>
    </w:p>
    <w:p w14:paraId="58AE81EF"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t>NIWE MADYIBI</w:t>
      </w:r>
      <w:r w:rsidRPr="002931F6">
        <w:rPr>
          <w:rFonts w:ascii="Arial" w:hAnsi="Arial" w:cs="Arial"/>
          <w:b/>
          <w:bCs/>
          <w:sz w:val="24"/>
          <w:szCs w:val="24"/>
          <w:lang w:val="en-GB"/>
        </w:rPr>
        <w:tab/>
      </w:r>
      <w:r w:rsidRPr="002931F6">
        <w:rPr>
          <w:rFonts w:ascii="Arial" w:hAnsi="Arial" w:cs="Arial"/>
          <w:b/>
          <w:bCs/>
          <w:sz w:val="24"/>
          <w:szCs w:val="24"/>
          <w:lang w:val="en-GB"/>
        </w:rPr>
        <w:tab/>
      </w:r>
      <w:r w:rsidRPr="002931F6">
        <w:rPr>
          <w:rFonts w:ascii="Arial" w:hAnsi="Arial" w:cs="Arial"/>
          <w:sz w:val="24"/>
          <w:szCs w:val="24"/>
          <w:lang w:val="en-GB"/>
        </w:rPr>
        <w:t>Thirty-Ninth Respondent</w:t>
      </w:r>
    </w:p>
    <w:p w14:paraId="39BB8DCF"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t>ZIKHONA QWABE (nee MPOFU)</w:t>
      </w:r>
      <w:r w:rsidRPr="002931F6">
        <w:rPr>
          <w:rFonts w:ascii="Arial" w:hAnsi="Arial" w:cs="Arial"/>
          <w:b/>
          <w:bCs/>
          <w:sz w:val="24"/>
          <w:szCs w:val="24"/>
          <w:lang w:val="en-GB"/>
        </w:rPr>
        <w:tab/>
      </w:r>
      <w:r w:rsidRPr="002931F6">
        <w:rPr>
          <w:rFonts w:ascii="Arial" w:hAnsi="Arial" w:cs="Arial"/>
          <w:sz w:val="24"/>
          <w:szCs w:val="24"/>
          <w:lang w:val="en-GB"/>
        </w:rPr>
        <w:t>Fortieth Respondent</w:t>
      </w:r>
    </w:p>
    <w:p w14:paraId="6B3C0BD3"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t xml:space="preserve">THEMBISA SIPHETHUKANA </w:t>
      </w:r>
      <w:r w:rsidRPr="002931F6">
        <w:rPr>
          <w:rFonts w:ascii="Arial" w:hAnsi="Arial" w:cs="Arial"/>
          <w:b/>
          <w:bCs/>
          <w:sz w:val="24"/>
          <w:szCs w:val="24"/>
          <w:lang w:val="en-GB"/>
        </w:rPr>
        <w:tab/>
      </w:r>
      <w:r w:rsidRPr="002931F6">
        <w:rPr>
          <w:rFonts w:ascii="Arial" w:hAnsi="Arial" w:cs="Arial"/>
          <w:sz w:val="24"/>
          <w:szCs w:val="24"/>
          <w:lang w:val="en-GB"/>
        </w:rPr>
        <w:t>Forty-First Respondent</w:t>
      </w:r>
    </w:p>
    <w:p w14:paraId="799E7E62" w14:textId="77777777" w:rsidR="002931F6" w:rsidRPr="002931F6" w:rsidRDefault="002931F6" w:rsidP="002931F6">
      <w:pPr>
        <w:tabs>
          <w:tab w:val="right" w:pos="8931"/>
        </w:tabs>
        <w:spacing w:before="120" w:after="240"/>
        <w:rPr>
          <w:rFonts w:ascii="Arial" w:hAnsi="Arial" w:cs="Arial"/>
          <w:b/>
          <w:bCs/>
          <w:sz w:val="24"/>
          <w:szCs w:val="24"/>
          <w:lang w:val="en-GB"/>
        </w:rPr>
      </w:pPr>
      <w:r w:rsidRPr="002931F6">
        <w:rPr>
          <w:rFonts w:ascii="Arial" w:hAnsi="Arial" w:cs="Arial"/>
          <w:b/>
          <w:bCs/>
          <w:sz w:val="24"/>
          <w:szCs w:val="24"/>
          <w:lang w:val="en-GB"/>
        </w:rPr>
        <w:t>NELISWA MBOLA</w:t>
      </w:r>
      <w:r w:rsidRPr="002931F6">
        <w:rPr>
          <w:rFonts w:ascii="Arial" w:hAnsi="Arial" w:cs="Arial"/>
          <w:sz w:val="24"/>
          <w:szCs w:val="24"/>
          <w:lang w:val="en-GB"/>
        </w:rPr>
        <w:tab/>
        <w:t>Forty-Second Respondent</w:t>
      </w:r>
    </w:p>
    <w:p w14:paraId="5063629F" w14:textId="77777777" w:rsidR="002931F6" w:rsidRPr="002931F6" w:rsidRDefault="002931F6" w:rsidP="002931F6">
      <w:pPr>
        <w:tabs>
          <w:tab w:val="right" w:pos="8931"/>
        </w:tabs>
        <w:spacing w:before="120" w:after="240"/>
        <w:rPr>
          <w:rFonts w:ascii="Arial" w:hAnsi="Arial" w:cs="Arial"/>
          <w:b/>
          <w:bCs/>
          <w:sz w:val="24"/>
          <w:szCs w:val="24"/>
          <w:lang w:val="en-GB"/>
        </w:rPr>
      </w:pPr>
      <w:r w:rsidRPr="002931F6">
        <w:rPr>
          <w:rFonts w:ascii="Arial" w:hAnsi="Arial" w:cs="Arial"/>
          <w:b/>
          <w:bCs/>
          <w:sz w:val="24"/>
          <w:szCs w:val="24"/>
          <w:lang w:val="en-GB"/>
        </w:rPr>
        <w:t>NONESI MBUTUMA</w:t>
      </w:r>
      <w:r w:rsidRPr="002931F6">
        <w:rPr>
          <w:rFonts w:ascii="Arial" w:hAnsi="Arial" w:cs="Arial"/>
          <w:sz w:val="24"/>
          <w:szCs w:val="24"/>
          <w:lang w:val="en-GB"/>
        </w:rPr>
        <w:t xml:space="preserve"> </w:t>
      </w:r>
      <w:r w:rsidRPr="002931F6">
        <w:rPr>
          <w:rFonts w:ascii="Arial" w:hAnsi="Arial" w:cs="Arial"/>
          <w:sz w:val="24"/>
          <w:szCs w:val="24"/>
          <w:lang w:val="en-GB"/>
        </w:rPr>
        <w:tab/>
        <w:t>Forty-Third Respondent</w:t>
      </w:r>
    </w:p>
    <w:p w14:paraId="0FCB52B2" w14:textId="77777777" w:rsidR="002931F6" w:rsidRPr="002931F6" w:rsidRDefault="002931F6" w:rsidP="002931F6">
      <w:pPr>
        <w:tabs>
          <w:tab w:val="left" w:pos="709"/>
          <w:tab w:val="left" w:pos="1418"/>
          <w:tab w:val="left" w:pos="2127"/>
          <w:tab w:val="right" w:pos="8931"/>
        </w:tabs>
        <w:spacing w:before="120" w:after="240"/>
        <w:rPr>
          <w:rFonts w:ascii="Arial" w:hAnsi="Arial" w:cs="Arial"/>
          <w:b/>
          <w:bCs/>
          <w:sz w:val="24"/>
          <w:szCs w:val="24"/>
          <w:lang w:val="en-GB"/>
        </w:rPr>
      </w:pPr>
      <w:r w:rsidRPr="002931F6">
        <w:rPr>
          <w:rFonts w:ascii="Arial" w:hAnsi="Arial" w:cs="Arial"/>
          <w:b/>
          <w:bCs/>
          <w:sz w:val="24"/>
          <w:szCs w:val="24"/>
          <w:lang w:val="en-GB"/>
        </w:rPr>
        <w:t xml:space="preserve">VOYI VUYISWA </w:t>
      </w:r>
      <w:r w:rsidRPr="002931F6">
        <w:rPr>
          <w:rFonts w:ascii="Arial" w:hAnsi="Arial" w:cs="Arial"/>
          <w:b/>
          <w:bCs/>
          <w:sz w:val="24"/>
          <w:szCs w:val="24"/>
          <w:lang w:val="en-GB"/>
        </w:rPr>
        <w:tab/>
      </w:r>
      <w:r w:rsidRPr="002931F6">
        <w:rPr>
          <w:rFonts w:ascii="Arial" w:hAnsi="Arial" w:cs="Arial"/>
          <w:b/>
          <w:bCs/>
          <w:sz w:val="24"/>
          <w:szCs w:val="24"/>
          <w:lang w:val="en-GB"/>
        </w:rPr>
        <w:tab/>
      </w:r>
      <w:r w:rsidRPr="002931F6">
        <w:rPr>
          <w:rFonts w:ascii="Arial" w:hAnsi="Arial" w:cs="Arial"/>
          <w:sz w:val="24"/>
          <w:szCs w:val="24"/>
          <w:lang w:val="en-GB"/>
        </w:rPr>
        <w:t>Forty-Fourth Respondent</w:t>
      </w:r>
    </w:p>
    <w:p w14:paraId="06301D7B" w14:textId="77777777" w:rsidR="002931F6" w:rsidRPr="002931F6" w:rsidRDefault="002931F6" w:rsidP="002931F6">
      <w:pPr>
        <w:tabs>
          <w:tab w:val="left" w:pos="709"/>
          <w:tab w:val="left" w:pos="1418"/>
          <w:tab w:val="left" w:pos="2127"/>
          <w:tab w:val="right" w:pos="8931"/>
        </w:tabs>
        <w:spacing w:before="120" w:after="240"/>
        <w:rPr>
          <w:rFonts w:ascii="Arial" w:hAnsi="Arial" w:cs="Arial"/>
          <w:b/>
          <w:bCs/>
          <w:sz w:val="24"/>
          <w:szCs w:val="24"/>
          <w:lang w:val="en-GB"/>
        </w:rPr>
      </w:pPr>
      <w:r w:rsidRPr="002931F6">
        <w:rPr>
          <w:rFonts w:ascii="Arial" w:hAnsi="Arial" w:cs="Arial"/>
          <w:b/>
          <w:bCs/>
          <w:sz w:val="24"/>
          <w:szCs w:val="24"/>
          <w:lang w:val="en-GB"/>
        </w:rPr>
        <w:t>NOWETHU C. THAFENI</w:t>
      </w:r>
      <w:r w:rsidRPr="002931F6">
        <w:rPr>
          <w:rFonts w:ascii="Arial" w:hAnsi="Arial" w:cs="Arial"/>
          <w:b/>
          <w:bCs/>
          <w:sz w:val="24"/>
          <w:szCs w:val="24"/>
          <w:lang w:val="en-GB"/>
        </w:rPr>
        <w:tab/>
      </w:r>
      <w:r w:rsidRPr="002931F6">
        <w:rPr>
          <w:rFonts w:ascii="Arial" w:hAnsi="Arial" w:cs="Arial"/>
          <w:sz w:val="24"/>
          <w:szCs w:val="24"/>
          <w:lang w:val="en-GB"/>
        </w:rPr>
        <w:t>Forty-Fifth Respondent</w:t>
      </w:r>
    </w:p>
    <w:p w14:paraId="7EE7AE9A" w14:textId="77777777" w:rsidR="002931F6" w:rsidRPr="002931F6" w:rsidRDefault="002931F6" w:rsidP="002931F6">
      <w:pPr>
        <w:tabs>
          <w:tab w:val="left" w:pos="709"/>
          <w:tab w:val="left" w:pos="1418"/>
          <w:tab w:val="left" w:pos="2127"/>
          <w:tab w:val="right" w:pos="8931"/>
        </w:tabs>
        <w:spacing w:before="120" w:after="240"/>
        <w:rPr>
          <w:rFonts w:ascii="Arial" w:hAnsi="Arial" w:cs="Arial"/>
          <w:b/>
          <w:bCs/>
          <w:sz w:val="24"/>
          <w:szCs w:val="24"/>
          <w:lang w:val="en-GB"/>
        </w:rPr>
      </w:pPr>
      <w:r w:rsidRPr="002931F6">
        <w:rPr>
          <w:rFonts w:ascii="Arial" w:hAnsi="Arial" w:cs="Arial"/>
          <w:b/>
          <w:bCs/>
          <w:sz w:val="24"/>
          <w:szCs w:val="24"/>
          <w:lang w:val="en-GB"/>
        </w:rPr>
        <w:t>NELISWA MTUTUZELI</w:t>
      </w:r>
      <w:r w:rsidRPr="002931F6">
        <w:rPr>
          <w:rFonts w:ascii="Arial" w:hAnsi="Arial" w:cs="Arial"/>
          <w:b/>
          <w:bCs/>
          <w:sz w:val="24"/>
          <w:szCs w:val="24"/>
          <w:lang w:val="en-GB"/>
        </w:rPr>
        <w:tab/>
      </w:r>
      <w:r w:rsidRPr="002931F6">
        <w:rPr>
          <w:rFonts w:ascii="Arial" w:hAnsi="Arial" w:cs="Arial"/>
          <w:sz w:val="24"/>
          <w:szCs w:val="24"/>
          <w:lang w:val="en-GB"/>
        </w:rPr>
        <w:t>Forty-Sixth Respondent</w:t>
      </w:r>
    </w:p>
    <w:p w14:paraId="19224F9F" w14:textId="77777777" w:rsidR="002931F6" w:rsidRPr="002931F6" w:rsidRDefault="002931F6" w:rsidP="002931F6">
      <w:pPr>
        <w:tabs>
          <w:tab w:val="left" w:pos="709"/>
          <w:tab w:val="left" w:pos="1418"/>
          <w:tab w:val="left" w:pos="2127"/>
          <w:tab w:val="right" w:pos="8931"/>
        </w:tabs>
        <w:spacing w:before="120" w:after="240"/>
        <w:rPr>
          <w:rFonts w:ascii="Arial" w:hAnsi="Arial" w:cs="Arial"/>
          <w:b/>
          <w:bCs/>
          <w:sz w:val="24"/>
          <w:szCs w:val="24"/>
          <w:lang w:val="en-GB"/>
        </w:rPr>
      </w:pPr>
      <w:r w:rsidRPr="002931F6">
        <w:rPr>
          <w:rFonts w:ascii="Arial" w:hAnsi="Arial" w:cs="Arial"/>
          <w:b/>
          <w:bCs/>
          <w:sz w:val="24"/>
          <w:szCs w:val="24"/>
          <w:lang w:val="en-GB"/>
        </w:rPr>
        <w:t>NOKULUNGA SOMTHI</w:t>
      </w:r>
      <w:r w:rsidRPr="002931F6">
        <w:rPr>
          <w:rFonts w:ascii="Arial" w:hAnsi="Arial" w:cs="Arial"/>
          <w:b/>
          <w:bCs/>
          <w:sz w:val="24"/>
          <w:szCs w:val="24"/>
          <w:lang w:val="en-GB"/>
        </w:rPr>
        <w:tab/>
      </w:r>
      <w:r w:rsidRPr="002931F6">
        <w:rPr>
          <w:rFonts w:ascii="Arial" w:hAnsi="Arial" w:cs="Arial"/>
          <w:sz w:val="24"/>
          <w:szCs w:val="24"/>
          <w:lang w:val="en-GB"/>
        </w:rPr>
        <w:t>Forty-Seventh Respondent</w:t>
      </w:r>
    </w:p>
    <w:p w14:paraId="54553C09" w14:textId="77777777" w:rsidR="002931F6" w:rsidRPr="002931F6" w:rsidRDefault="002931F6" w:rsidP="002931F6">
      <w:pPr>
        <w:tabs>
          <w:tab w:val="left" w:pos="709"/>
          <w:tab w:val="left" w:pos="1418"/>
          <w:tab w:val="left" w:pos="2127"/>
          <w:tab w:val="right" w:pos="8931"/>
        </w:tabs>
        <w:spacing w:before="120" w:after="240"/>
        <w:rPr>
          <w:rFonts w:ascii="Arial" w:hAnsi="Arial" w:cs="Arial"/>
          <w:b/>
          <w:bCs/>
          <w:sz w:val="24"/>
          <w:szCs w:val="24"/>
          <w:lang w:val="en-GB"/>
        </w:rPr>
      </w:pPr>
      <w:r w:rsidRPr="002931F6">
        <w:rPr>
          <w:rFonts w:ascii="Arial" w:hAnsi="Arial" w:cs="Arial"/>
          <w:b/>
          <w:bCs/>
          <w:sz w:val="24"/>
          <w:szCs w:val="24"/>
          <w:lang w:val="en-GB"/>
        </w:rPr>
        <w:t>NOSANGE GLADILE</w:t>
      </w:r>
      <w:r w:rsidRPr="002931F6">
        <w:rPr>
          <w:rFonts w:ascii="Arial" w:hAnsi="Arial" w:cs="Arial"/>
          <w:sz w:val="24"/>
          <w:szCs w:val="24"/>
          <w:lang w:val="en-GB"/>
        </w:rPr>
        <w:t xml:space="preserve"> </w:t>
      </w:r>
      <w:r w:rsidRPr="002931F6">
        <w:rPr>
          <w:rFonts w:ascii="Arial" w:hAnsi="Arial" w:cs="Arial"/>
          <w:sz w:val="24"/>
          <w:szCs w:val="24"/>
          <w:lang w:val="en-GB"/>
        </w:rPr>
        <w:tab/>
        <w:t>Forty-Eighth Respondent</w:t>
      </w:r>
    </w:p>
    <w:p w14:paraId="64ED04BA" w14:textId="77777777" w:rsidR="002931F6" w:rsidRPr="002931F6" w:rsidRDefault="002931F6" w:rsidP="002931F6">
      <w:pPr>
        <w:tabs>
          <w:tab w:val="right" w:pos="8931"/>
        </w:tabs>
        <w:spacing w:before="120" w:after="240"/>
        <w:rPr>
          <w:rFonts w:ascii="Arial" w:hAnsi="Arial" w:cs="Arial"/>
          <w:b/>
          <w:bCs/>
          <w:sz w:val="24"/>
          <w:szCs w:val="24"/>
          <w:lang w:val="en-GB"/>
        </w:rPr>
      </w:pPr>
      <w:r w:rsidRPr="002931F6">
        <w:rPr>
          <w:rFonts w:ascii="Arial" w:hAnsi="Arial" w:cs="Arial"/>
          <w:b/>
          <w:bCs/>
          <w:sz w:val="24"/>
          <w:szCs w:val="24"/>
          <w:lang w:val="en-GB"/>
        </w:rPr>
        <w:t>YONELA SAHLULO</w:t>
      </w:r>
      <w:r w:rsidRPr="002931F6">
        <w:rPr>
          <w:rFonts w:ascii="Arial" w:hAnsi="Arial" w:cs="Arial"/>
          <w:b/>
          <w:bCs/>
          <w:sz w:val="24"/>
          <w:szCs w:val="24"/>
          <w:lang w:val="en-GB"/>
        </w:rPr>
        <w:tab/>
      </w:r>
      <w:r w:rsidRPr="002931F6">
        <w:rPr>
          <w:rFonts w:ascii="Arial" w:hAnsi="Arial" w:cs="Arial"/>
          <w:sz w:val="24"/>
          <w:szCs w:val="24"/>
          <w:lang w:val="en-GB"/>
        </w:rPr>
        <w:t>Forty-Ninth Respondent</w:t>
      </w:r>
    </w:p>
    <w:p w14:paraId="73DB3D24"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t>ASIPHE GOGOSE</w:t>
      </w:r>
      <w:r w:rsidRPr="002931F6">
        <w:rPr>
          <w:rFonts w:ascii="Arial" w:hAnsi="Arial" w:cs="Arial"/>
          <w:b/>
          <w:bCs/>
          <w:sz w:val="24"/>
          <w:szCs w:val="24"/>
          <w:lang w:val="en-GB"/>
        </w:rPr>
        <w:tab/>
      </w:r>
      <w:r w:rsidRPr="002931F6">
        <w:rPr>
          <w:rFonts w:ascii="Arial" w:hAnsi="Arial" w:cs="Arial"/>
          <w:b/>
          <w:bCs/>
          <w:sz w:val="24"/>
          <w:szCs w:val="24"/>
          <w:lang w:val="en-GB"/>
        </w:rPr>
        <w:tab/>
      </w:r>
      <w:r w:rsidRPr="002931F6">
        <w:rPr>
          <w:rFonts w:ascii="Arial" w:hAnsi="Arial" w:cs="Arial"/>
          <w:sz w:val="24"/>
          <w:szCs w:val="24"/>
          <w:lang w:val="en-GB"/>
        </w:rPr>
        <w:t>Fiftieth Respondent</w:t>
      </w:r>
    </w:p>
    <w:p w14:paraId="3CC58BA9" w14:textId="77777777" w:rsidR="002931F6" w:rsidRPr="002931F6" w:rsidRDefault="002931F6" w:rsidP="002931F6">
      <w:pPr>
        <w:tabs>
          <w:tab w:val="left" w:pos="709"/>
          <w:tab w:val="left" w:pos="1418"/>
          <w:tab w:val="left" w:pos="2127"/>
          <w:tab w:val="right" w:pos="9026"/>
        </w:tabs>
        <w:spacing w:before="120" w:after="240"/>
        <w:rPr>
          <w:rFonts w:ascii="Arial" w:hAnsi="Arial" w:cs="Arial"/>
          <w:sz w:val="24"/>
          <w:szCs w:val="24"/>
          <w:lang w:val="en-GB"/>
        </w:rPr>
      </w:pPr>
      <w:r w:rsidRPr="002931F6">
        <w:rPr>
          <w:rFonts w:ascii="Arial" w:hAnsi="Arial" w:cs="Arial"/>
          <w:b/>
          <w:bCs/>
          <w:sz w:val="24"/>
          <w:szCs w:val="24"/>
          <w:lang w:val="en-GB"/>
        </w:rPr>
        <w:t>SANDISILE MATOWANE</w:t>
      </w:r>
      <w:r w:rsidRPr="002931F6">
        <w:rPr>
          <w:rFonts w:ascii="Arial" w:hAnsi="Arial" w:cs="Arial"/>
          <w:sz w:val="24"/>
          <w:szCs w:val="24"/>
          <w:lang w:val="en-GB"/>
        </w:rPr>
        <w:t xml:space="preserve"> </w:t>
      </w:r>
      <w:r w:rsidRPr="002931F6">
        <w:rPr>
          <w:rFonts w:ascii="Arial" w:hAnsi="Arial" w:cs="Arial"/>
          <w:sz w:val="24"/>
          <w:szCs w:val="24"/>
          <w:lang w:val="en-GB"/>
        </w:rPr>
        <w:tab/>
        <w:t>Fifty-First Respondent</w:t>
      </w:r>
    </w:p>
    <w:p w14:paraId="018B965C"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t>DUDULA INC.</w:t>
      </w:r>
      <w:r w:rsidRPr="002931F6">
        <w:rPr>
          <w:rFonts w:ascii="Arial" w:hAnsi="Arial" w:cs="Arial"/>
          <w:b/>
          <w:bCs/>
          <w:sz w:val="24"/>
          <w:szCs w:val="24"/>
          <w:lang w:val="en-GB"/>
        </w:rPr>
        <w:tab/>
      </w:r>
      <w:r w:rsidRPr="002931F6">
        <w:rPr>
          <w:rFonts w:ascii="Arial" w:hAnsi="Arial" w:cs="Arial"/>
          <w:b/>
          <w:bCs/>
          <w:sz w:val="24"/>
          <w:szCs w:val="24"/>
          <w:lang w:val="en-GB"/>
        </w:rPr>
        <w:tab/>
      </w:r>
      <w:r w:rsidRPr="002931F6">
        <w:rPr>
          <w:rFonts w:ascii="Arial" w:hAnsi="Arial" w:cs="Arial"/>
          <w:sz w:val="24"/>
          <w:szCs w:val="24"/>
          <w:lang w:val="en-GB"/>
        </w:rPr>
        <w:t>Fifty-Second Respondent</w:t>
      </w:r>
    </w:p>
    <w:p w14:paraId="6313F13B"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t>W LANGSON &amp; ASSOCIATES</w:t>
      </w:r>
      <w:r w:rsidRPr="002931F6">
        <w:rPr>
          <w:rFonts w:ascii="Arial" w:hAnsi="Arial" w:cs="Arial"/>
          <w:b/>
          <w:bCs/>
          <w:sz w:val="24"/>
          <w:szCs w:val="24"/>
          <w:lang w:val="en-GB"/>
        </w:rPr>
        <w:tab/>
      </w:r>
      <w:r w:rsidRPr="002931F6">
        <w:rPr>
          <w:rFonts w:ascii="Arial" w:hAnsi="Arial" w:cs="Arial"/>
          <w:sz w:val="24"/>
          <w:szCs w:val="24"/>
          <w:lang w:val="en-GB"/>
        </w:rPr>
        <w:t>Fifty-Third Respondent</w:t>
      </w:r>
    </w:p>
    <w:p w14:paraId="0F1A4BEA"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lastRenderedPageBreak/>
        <w:t>MJULELWA INC.</w:t>
      </w:r>
      <w:r w:rsidRPr="002931F6">
        <w:rPr>
          <w:rFonts w:ascii="Arial" w:hAnsi="Arial" w:cs="Arial"/>
          <w:b/>
          <w:bCs/>
          <w:sz w:val="24"/>
          <w:szCs w:val="24"/>
          <w:lang w:val="en-GB"/>
        </w:rPr>
        <w:tab/>
      </w:r>
      <w:r w:rsidRPr="002931F6">
        <w:rPr>
          <w:rFonts w:ascii="Arial" w:hAnsi="Arial" w:cs="Arial"/>
          <w:b/>
          <w:bCs/>
          <w:sz w:val="24"/>
          <w:szCs w:val="24"/>
          <w:lang w:val="en-GB"/>
        </w:rPr>
        <w:tab/>
      </w:r>
      <w:r w:rsidRPr="002931F6">
        <w:rPr>
          <w:rFonts w:ascii="Arial" w:hAnsi="Arial" w:cs="Arial"/>
          <w:sz w:val="24"/>
          <w:szCs w:val="24"/>
          <w:lang w:val="en-GB"/>
        </w:rPr>
        <w:t>Fifty-Fourth Respondent</w:t>
      </w:r>
    </w:p>
    <w:p w14:paraId="7EDF0906"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t>WIM KRYNAUW ATTORNEYS</w:t>
      </w:r>
      <w:r w:rsidRPr="002931F6">
        <w:rPr>
          <w:rFonts w:ascii="Arial" w:hAnsi="Arial" w:cs="Arial"/>
          <w:b/>
          <w:bCs/>
          <w:sz w:val="24"/>
          <w:szCs w:val="24"/>
          <w:lang w:val="en-GB"/>
        </w:rPr>
        <w:tab/>
      </w:r>
      <w:r w:rsidRPr="002931F6">
        <w:rPr>
          <w:rFonts w:ascii="Arial" w:hAnsi="Arial" w:cs="Arial"/>
          <w:sz w:val="24"/>
          <w:szCs w:val="24"/>
          <w:lang w:val="en-GB"/>
        </w:rPr>
        <w:t>Fifty-Fifth Respondent</w:t>
      </w:r>
    </w:p>
    <w:p w14:paraId="4D6A3426"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t>ZYN NDZABELA INC.</w:t>
      </w:r>
      <w:r w:rsidRPr="002931F6">
        <w:rPr>
          <w:rFonts w:ascii="Arial" w:hAnsi="Arial" w:cs="Arial"/>
          <w:b/>
          <w:bCs/>
          <w:sz w:val="24"/>
          <w:szCs w:val="24"/>
          <w:lang w:val="en-GB"/>
        </w:rPr>
        <w:tab/>
      </w:r>
      <w:r w:rsidRPr="002931F6">
        <w:rPr>
          <w:rFonts w:ascii="Arial" w:hAnsi="Arial" w:cs="Arial"/>
          <w:sz w:val="24"/>
          <w:szCs w:val="24"/>
          <w:lang w:val="en-GB"/>
        </w:rPr>
        <w:t>Fifty-Sixth Respondent</w:t>
      </w:r>
    </w:p>
    <w:p w14:paraId="7E5F7124" w14:textId="77777777" w:rsidR="002931F6" w:rsidRPr="002931F6" w:rsidRDefault="002931F6" w:rsidP="002931F6">
      <w:pPr>
        <w:tabs>
          <w:tab w:val="left" w:pos="709"/>
          <w:tab w:val="left" w:pos="1418"/>
          <w:tab w:val="left" w:pos="2127"/>
          <w:tab w:val="right" w:pos="8931"/>
        </w:tabs>
        <w:spacing w:before="120" w:after="240"/>
        <w:rPr>
          <w:rFonts w:ascii="Arial" w:hAnsi="Arial" w:cs="Arial"/>
          <w:b/>
          <w:bCs/>
          <w:sz w:val="24"/>
          <w:szCs w:val="24"/>
          <w:lang w:val="en-GB"/>
        </w:rPr>
      </w:pPr>
      <w:r w:rsidRPr="002931F6">
        <w:rPr>
          <w:rFonts w:ascii="Arial" w:hAnsi="Arial" w:cs="Arial"/>
          <w:b/>
          <w:bCs/>
          <w:sz w:val="24"/>
          <w:szCs w:val="24"/>
          <w:lang w:val="en-GB"/>
        </w:rPr>
        <w:t>AKHONA PELE ATTORNEYS</w:t>
      </w:r>
      <w:r w:rsidRPr="002931F6">
        <w:rPr>
          <w:rFonts w:ascii="Arial" w:hAnsi="Arial" w:cs="Arial"/>
          <w:b/>
          <w:bCs/>
          <w:sz w:val="24"/>
          <w:szCs w:val="24"/>
          <w:lang w:val="en-GB"/>
        </w:rPr>
        <w:tab/>
      </w:r>
      <w:r w:rsidRPr="002931F6">
        <w:rPr>
          <w:rFonts w:ascii="Arial" w:hAnsi="Arial" w:cs="Arial"/>
          <w:sz w:val="24"/>
          <w:szCs w:val="24"/>
          <w:lang w:val="en-GB"/>
        </w:rPr>
        <w:t>Fifty-Seventh Respondent</w:t>
      </w:r>
    </w:p>
    <w:p w14:paraId="2E845C07" w14:textId="77777777" w:rsidR="002931F6" w:rsidRPr="002931F6" w:rsidRDefault="002931F6" w:rsidP="002931F6">
      <w:pPr>
        <w:tabs>
          <w:tab w:val="left" w:pos="709"/>
          <w:tab w:val="left" w:pos="1418"/>
          <w:tab w:val="left" w:pos="2127"/>
          <w:tab w:val="right" w:pos="8931"/>
        </w:tabs>
        <w:spacing w:before="120" w:after="240"/>
        <w:rPr>
          <w:rFonts w:ascii="Arial" w:hAnsi="Arial" w:cs="Arial"/>
          <w:b/>
          <w:bCs/>
          <w:sz w:val="24"/>
          <w:szCs w:val="24"/>
          <w:lang w:val="en-GB"/>
        </w:rPr>
      </w:pPr>
      <w:r w:rsidRPr="002931F6">
        <w:rPr>
          <w:rFonts w:ascii="Arial" w:hAnsi="Arial" w:cs="Arial"/>
          <w:b/>
          <w:bCs/>
          <w:sz w:val="24"/>
          <w:szCs w:val="24"/>
          <w:lang w:val="en-GB"/>
        </w:rPr>
        <w:t>MGWESHE NGQELENI INC</w:t>
      </w:r>
      <w:r w:rsidRPr="002931F6">
        <w:rPr>
          <w:rFonts w:ascii="Arial" w:hAnsi="Arial" w:cs="Arial"/>
          <w:b/>
          <w:bCs/>
          <w:sz w:val="24"/>
          <w:szCs w:val="24"/>
          <w:lang w:val="en-GB"/>
        </w:rPr>
        <w:tab/>
      </w:r>
      <w:r w:rsidRPr="002931F6">
        <w:rPr>
          <w:rFonts w:ascii="Arial" w:hAnsi="Arial" w:cs="Arial"/>
          <w:sz w:val="24"/>
          <w:szCs w:val="24"/>
          <w:lang w:val="en-GB"/>
        </w:rPr>
        <w:t>Fifty-Eighth Respondent</w:t>
      </w:r>
    </w:p>
    <w:p w14:paraId="26CB4C64"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t>M DAYIMANI INC.</w:t>
      </w:r>
      <w:r w:rsidRPr="002931F6">
        <w:rPr>
          <w:rFonts w:ascii="Arial" w:hAnsi="Arial" w:cs="Arial"/>
          <w:b/>
          <w:bCs/>
          <w:sz w:val="24"/>
          <w:szCs w:val="24"/>
          <w:lang w:val="en-GB"/>
        </w:rPr>
        <w:tab/>
      </w:r>
      <w:r w:rsidRPr="002931F6">
        <w:rPr>
          <w:rFonts w:ascii="Arial" w:hAnsi="Arial" w:cs="Arial"/>
          <w:b/>
          <w:bCs/>
          <w:sz w:val="24"/>
          <w:szCs w:val="24"/>
          <w:lang w:val="en-GB"/>
        </w:rPr>
        <w:tab/>
      </w:r>
      <w:r w:rsidRPr="002931F6">
        <w:rPr>
          <w:rFonts w:ascii="Arial" w:hAnsi="Arial" w:cs="Arial"/>
          <w:sz w:val="24"/>
          <w:szCs w:val="24"/>
          <w:lang w:val="en-GB"/>
        </w:rPr>
        <w:t>Fifty-Ninth Respondent</w:t>
      </w:r>
    </w:p>
    <w:p w14:paraId="603E559E"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t>DAYIMANI SAKHELA INC.</w:t>
      </w:r>
      <w:r w:rsidRPr="002931F6">
        <w:rPr>
          <w:rFonts w:ascii="Arial" w:hAnsi="Arial" w:cs="Arial"/>
          <w:b/>
          <w:bCs/>
          <w:sz w:val="24"/>
          <w:szCs w:val="24"/>
          <w:lang w:val="en-GB"/>
        </w:rPr>
        <w:tab/>
      </w:r>
      <w:r w:rsidRPr="002931F6">
        <w:rPr>
          <w:rFonts w:ascii="Arial" w:hAnsi="Arial" w:cs="Arial"/>
          <w:sz w:val="24"/>
          <w:szCs w:val="24"/>
          <w:lang w:val="en-GB"/>
        </w:rPr>
        <w:t>Sixtieth Respondent</w:t>
      </w:r>
    </w:p>
    <w:p w14:paraId="52677E91"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t>Mc WILLIAMS &amp; ELLIOTT ATTORNEYS</w:t>
      </w:r>
      <w:r w:rsidRPr="002931F6">
        <w:rPr>
          <w:rFonts w:ascii="Arial" w:hAnsi="Arial" w:cs="Arial"/>
          <w:b/>
          <w:bCs/>
          <w:sz w:val="24"/>
          <w:szCs w:val="24"/>
          <w:lang w:val="en-GB"/>
        </w:rPr>
        <w:tab/>
      </w:r>
      <w:r w:rsidRPr="002931F6">
        <w:rPr>
          <w:rFonts w:ascii="Arial" w:hAnsi="Arial" w:cs="Arial"/>
          <w:sz w:val="24"/>
          <w:szCs w:val="24"/>
          <w:lang w:val="en-GB"/>
        </w:rPr>
        <w:t>Sixth-First Respondent</w:t>
      </w:r>
    </w:p>
    <w:p w14:paraId="676F574A"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t>MT KLAAS ATTORNEYS</w:t>
      </w:r>
      <w:r w:rsidRPr="002931F6">
        <w:rPr>
          <w:rFonts w:ascii="Arial" w:hAnsi="Arial" w:cs="Arial"/>
          <w:b/>
          <w:bCs/>
          <w:sz w:val="24"/>
          <w:szCs w:val="24"/>
          <w:lang w:val="en-GB"/>
        </w:rPr>
        <w:tab/>
      </w:r>
      <w:r w:rsidRPr="002931F6">
        <w:rPr>
          <w:rFonts w:ascii="Arial" w:hAnsi="Arial" w:cs="Arial"/>
          <w:sz w:val="24"/>
          <w:szCs w:val="24"/>
          <w:lang w:val="en-GB"/>
        </w:rPr>
        <w:t>Sixty-Second Respondent</w:t>
      </w:r>
    </w:p>
    <w:p w14:paraId="3574B130"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t>MPENDULO STOYILE ATTORNEYS</w:t>
      </w:r>
      <w:r w:rsidRPr="002931F6">
        <w:rPr>
          <w:rFonts w:ascii="Arial" w:hAnsi="Arial" w:cs="Arial"/>
          <w:b/>
          <w:bCs/>
          <w:sz w:val="24"/>
          <w:szCs w:val="24"/>
          <w:lang w:val="en-GB"/>
        </w:rPr>
        <w:tab/>
      </w:r>
      <w:r w:rsidRPr="002931F6">
        <w:rPr>
          <w:rFonts w:ascii="Arial" w:hAnsi="Arial" w:cs="Arial"/>
          <w:sz w:val="24"/>
          <w:szCs w:val="24"/>
          <w:lang w:val="en-GB"/>
        </w:rPr>
        <w:t>Sixty-Third Respondent</w:t>
      </w:r>
    </w:p>
    <w:p w14:paraId="58BE4937"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t>MPAMBANISO ATTORNEYS</w:t>
      </w:r>
      <w:r w:rsidRPr="002931F6">
        <w:rPr>
          <w:rFonts w:ascii="Arial" w:hAnsi="Arial" w:cs="Arial"/>
          <w:b/>
          <w:bCs/>
          <w:sz w:val="24"/>
          <w:szCs w:val="24"/>
          <w:lang w:val="en-GB"/>
        </w:rPr>
        <w:tab/>
      </w:r>
      <w:r w:rsidRPr="002931F6">
        <w:rPr>
          <w:rFonts w:ascii="Arial" w:hAnsi="Arial" w:cs="Arial"/>
          <w:sz w:val="24"/>
          <w:szCs w:val="24"/>
          <w:lang w:val="en-GB"/>
        </w:rPr>
        <w:t>Sixty-Fourth Respondent</w:t>
      </w:r>
    </w:p>
    <w:p w14:paraId="170BA776"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t>CINGA NOHAJI INC.</w:t>
      </w:r>
      <w:r w:rsidRPr="002931F6">
        <w:rPr>
          <w:rFonts w:ascii="Arial" w:hAnsi="Arial" w:cs="Arial"/>
          <w:sz w:val="24"/>
          <w:szCs w:val="24"/>
          <w:lang w:val="en-GB"/>
        </w:rPr>
        <w:tab/>
        <w:t>Sixty-Fifth Respondent</w:t>
      </w:r>
    </w:p>
    <w:p w14:paraId="35242399"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t>O JOUBERT ATTORNEYS</w:t>
      </w:r>
      <w:r w:rsidRPr="002931F6">
        <w:rPr>
          <w:rFonts w:ascii="Arial" w:hAnsi="Arial" w:cs="Arial"/>
          <w:b/>
          <w:bCs/>
          <w:sz w:val="24"/>
          <w:szCs w:val="24"/>
          <w:lang w:val="en-GB"/>
        </w:rPr>
        <w:tab/>
      </w:r>
      <w:r w:rsidRPr="002931F6">
        <w:rPr>
          <w:rFonts w:ascii="Arial" w:hAnsi="Arial" w:cs="Arial"/>
          <w:sz w:val="24"/>
          <w:szCs w:val="24"/>
          <w:lang w:val="en-GB"/>
        </w:rPr>
        <w:t>Sixty-Sixth Respondent</w:t>
      </w:r>
    </w:p>
    <w:p w14:paraId="4676743B"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t>T A NKELE AND SONS INC</w:t>
      </w:r>
      <w:r w:rsidRPr="002931F6">
        <w:rPr>
          <w:rFonts w:ascii="Arial" w:hAnsi="Arial" w:cs="Arial"/>
          <w:b/>
          <w:bCs/>
          <w:sz w:val="24"/>
          <w:szCs w:val="24"/>
          <w:lang w:val="en-GB"/>
        </w:rPr>
        <w:tab/>
      </w:r>
      <w:r w:rsidRPr="002931F6">
        <w:rPr>
          <w:rFonts w:ascii="Arial" w:hAnsi="Arial" w:cs="Arial"/>
          <w:sz w:val="24"/>
          <w:szCs w:val="24"/>
          <w:lang w:val="en-GB"/>
        </w:rPr>
        <w:t>Sixty-Seventh Respondent</w:t>
      </w:r>
    </w:p>
    <w:p w14:paraId="4955D87F"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t>WT MNQANDI &amp; ASSOCIATES</w:t>
      </w:r>
      <w:r w:rsidRPr="002931F6">
        <w:rPr>
          <w:rFonts w:ascii="Arial" w:hAnsi="Arial" w:cs="Arial"/>
          <w:b/>
          <w:bCs/>
          <w:sz w:val="24"/>
          <w:szCs w:val="24"/>
          <w:lang w:val="en-GB"/>
        </w:rPr>
        <w:tab/>
      </w:r>
      <w:r w:rsidRPr="002931F6">
        <w:rPr>
          <w:rFonts w:ascii="Arial" w:hAnsi="Arial" w:cs="Arial"/>
          <w:sz w:val="24"/>
          <w:szCs w:val="24"/>
          <w:lang w:val="en-GB"/>
        </w:rPr>
        <w:t>Sixty-Eighth Respondent</w:t>
      </w:r>
    </w:p>
    <w:p w14:paraId="7D5F4A89"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t>CAPS PANGWA &amp; ASSOCIATES</w:t>
      </w:r>
      <w:r w:rsidRPr="002931F6">
        <w:rPr>
          <w:rFonts w:ascii="Arial" w:hAnsi="Arial" w:cs="Arial"/>
          <w:b/>
          <w:bCs/>
          <w:sz w:val="24"/>
          <w:szCs w:val="24"/>
          <w:lang w:val="en-GB"/>
        </w:rPr>
        <w:tab/>
      </w:r>
      <w:r w:rsidRPr="002931F6">
        <w:rPr>
          <w:rFonts w:ascii="Arial" w:hAnsi="Arial" w:cs="Arial"/>
          <w:sz w:val="24"/>
          <w:szCs w:val="24"/>
          <w:lang w:val="en-GB"/>
        </w:rPr>
        <w:t>Sixty-Ninth Respondent</w:t>
      </w:r>
    </w:p>
    <w:p w14:paraId="4BBB7822" w14:textId="77777777" w:rsidR="002931F6" w:rsidRPr="002931F6" w:rsidRDefault="002931F6" w:rsidP="002931F6">
      <w:pPr>
        <w:tabs>
          <w:tab w:val="left" w:pos="709"/>
          <w:tab w:val="left" w:pos="1418"/>
          <w:tab w:val="left" w:pos="2127"/>
          <w:tab w:val="right" w:pos="8931"/>
        </w:tabs>
        <w:spacing w:before="120" w:after="240"/>
        <w:rPr>
          <w:rFonts w:ascii="Arial" w:hAnsi="Arial" w:cs="Arial"/>
          <w:b/>
          <w:bCs/>
          <w:sz w:val="24"/>
          <w:szCs w:val="24"/>
          <w:lang w:val="en-GB"/>
        </w:rPr>
      </w:pPr>
      <w:r w:rsidRPr="002931F6">
        <w:rPr>
          <w:rFonts w:ascii="Arial" w:hAnsi="Arial" w:cs="Arial"/>
          <w:b/>
          <w:bCs/>
          <w:sz w:val="24"/>
          <w:szCs w:val="24"/>
          <w:lang w:val="en-GB"/>
        </w:rPr>
        <w:t>NONXUBA INC.</w:t>
      </w:r>
      <w:r w:rsidRPr="002931F6">
        <w:rPr>
          <w:rFonts w:ascii="Arial" w:hAnsi="Arial" w:cs="Arial"/>
          <w:sz w:val="24"/>
          <w:szCs w:val="24"/>
          <w:lang w:val="en-GB"/>
        </w:rPr>
        <w:tab/>
      </w:r>
      <w:r w:rsidRPr="002931F6">
        <w:rPr>
          <w:rFonts w:ascii="Arial" w:hAnsi="Arial" w:cs="Arial"/>
          <w:sz w:val="24"/>
          <w:szCs w:val="24"/>
          <w:lang w:val="en-GB"/>
        </w:rPr>
        <w:tab/>
        <w:t>Seventieth Respondent</w:t>
      </w:r>
    </w:p>
    <w:p w14:paraId="71FC8EAF"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t>S BOOI &amp; SONS</w:t>
      </w:r>
      <w:r w:rsidRPr="002931F6">
        <w:rPr>
          <w:rFonts w:ascii="Arial" w:hAnsi="Arial" w:cs="Arial"/>
          <w:b/>
          <w:bCs/>
          <w:sz w:val="24"/>
          <w:szCs w:val="24"/>
          <w:lang w:val="en-GB"/>
        </w:rPr>
        <w:tab/>
      </w:r>
      <w:r w:rsidRPr="002931F6">
        <w:rPr>
          <w:rFonts w:ascii="Arial" w:hAnsi="Arial" w:cs="Arial"/>
          <w:b/>
          <w:bCs/>
          <w:sz w:val="24"/>
          <w:szCs w:val="24"/>
          <w:lang w:val="en-GB"/>
        </w:rPr>
        <w:tab/>
      </w:r>
      <w:r w:rsidRPr="002931F6">
        <w:rPr>
          <w:rFonts w:ascii="Arial" w:hAnsi="Arial" w:cs="Arial"/>
          <w:sz w:val="24"/>
          <w:szCs w:val="24"/>
          <w:lang w:val="en-GB"/>
        </w:rPr>
        <w:t>Seventy-First Respondent</w:t>
      </w:r>
    </w:p>
    <w:p w14:paraId="00FAC3B8" w14:textId="77777777" w:rsidR="002931F6" w:rsidRPr="002931F6" w:rsidRDefault="002931F6" w:rsidP="002931F6">
      <w:pPr>
        <w:tabs>
          <w:tab w:val="left" w:pos="709"/>
          <w:tab w:val="left" w:pos="1418"/>
          <w:tab w:val="left" w:pos="2127"/>
          <w:tab w:val="right" w:pos="8931"/>
        </w:tabs>
        <w:spacing w:before="120" w:after="240"/>
        <w:rPr>
          <w:rFonts w:ascii="Arial" w:hAnsi="Arial" w:cs="Arial"/>
          <w:sz w:val="24"/>
          <w:szCs w:val="24"/>
          <w:lang w:val="en-GB"/>
        </w:rPr>
      </w:pPr>
      <w:r w:rsidRPr="002931F6">
        <w:rPr>
          <w:rFonts w:ascii="Arial" w:hAnsi="Arial" w:cs="Arial"/>
          <w:b/>
          <w:bCs/>
          <w:sz w:val="24"/>
          <w:szCs w:val="24"/>
          <w:lang w:val="en-GB"/>
        </w:rPr>
        <w:t>NTYATYEKA ATTORNEYS</w:t>
      </w:r>
      <w:r w:rsidRPr="002931F6">
        <w:rPr>
          <w:rFonts w:ascii="Arial" w:hAnsi="Arial" w:cs="Arial"/>
          <w:b/>
          <w:bCs/>
          <w:sz w:val="24"/>
          <w:szCs w:val="24"/>
          <w:lang w:val="en-GB"/>
        </w:rPr>
        <w:tab/>
      </w:r>
      <w:r w:rsidRPr="002931F6">
        <w:rPr>
          <w:rFonts w:ascii="Arial" w:hAnsi="Arial" w:cs="Arial"/>
          <w:sz w:val="24"/>
          <w:szCs w:val="24"/>
          <w:lang w:val="en-GB"/>
        </w:rPr>
        <w:t>Seventy-Second Respondent</w:t>
      </w:r>
    </w:p>
    <w:p w14:paraId="2F330BF0" w14:textId="77777777" w:rsidR="002931F6" w:rsidRPr="002931F6" w:rsidRDefault="002931F6" w:rsidP="002931F6">
      <w:pPr>
        <w:tabs>
          <w:tab w:val="right" w:pos="9026"/>
        </w:tabs>
        <w:spacing w:before="120" w:after="240"/>
        <w:rPr>
          <w:rFonts w:ascii="Arial" w:hAnsi="Arial" w:cs="Arial"/>
          <w:sz w:val="24"/>
          <w:szCs w:val="24"/>
          <w:lang w:val="en-GB"/>
        </w:rPr>
      </w:pPr>
      <w:r w:rsidRPr="002931F6">
        <w:rPr>
          <w:rFonts w:ascii="Arial" w:hAnsi="Arial" w:cs="Arial"/>
          <w:b/>
          <w:bCs/>
          <w:sz w:val="24"/>
          <w:szCs w:val="24"/>
          <w:lang w:val="en-GB"/>
        </w:rPr>
        <w:t>NIEHAUS Mc MAHON</w:t>
      </w:r>
      <w:r w:rsidRPr="002931F6">
        <w:rPr>
          <w:rFonts w:ascii="Arial" w:hAnsi="Arial" w:cs="Arial"/>
          <w:b/>
          <w:bCs/>
          <w:sz w:val="24"/>
          <w:szCs w:val="24"/>
          <w:lang w:val="en-GB"/>
        </w:rPr>
        <w:tab/>
      </w:r>
      <w:r w:rsidRPr="002931F6">
        <w:rPr>
          <w:rFonts w:ascii="Arial" w:hAnsi="Arial" w:cs="Arial"/>
          <w:sz w:val="24"/>
          <w:szCs w:val="24"/>
          <w:lang w:val="en-GB"/>
        </w:rPr>
        <w:t>Seventy-Third Respondent</w:t>
      </w:r>
    </w:p>
    <w:p w14:paraId="545DC277" w14:textId="77777777" w:rsidR="002931F6" w:rsidRPr="002931F6" w:rsidRDefault="002931F6" w:rsidP="002931F6">
      <w:pPr>
        <w:tabs>
          <w:tab w:val="right" w:pos="9026"/>
        </w:tabs>
        <w:spacing w:before="120" w:after="240"/>
        <w:rPr>
          <w:rFonts w:ascii="Arial" w:hAnsi="Arial" w:cs="Arial"/>
          <w:sz w:val="24"/>
          <w:szCs w:val="24"/>
          <w:lang w:val="en-GB"/>
        </w:rPr>
      </w:pPr>
      <w:r w:rsidRPr="002931F6">
        <w:rPr>
          <w:rFonts w:ascii="Arial" w:hAnsi="Arial" w:cs="Arial"/>
          <w:b/>
          <w:bCs/>
          <w:sz w:val="24"/>
          <w:szCs w:val="24"/>
          <w:lang w:val="en-GB"/>
        </w:rPr>
        <w:t>FUNEKA SICITHI</w:t>
      </w:r>
      <w:r w:rsidRPr="002931F6">
        <w:rPr>
          <w:rFonts w:ascii="Arial" w:hAnsi="Arial" w:cs="Arial"/>
          <w:sz w:val="24"/>
          <w:szCs w:val="24"/>
          <w:lang w:val="en-GB"/>
        </w:rPr>
        <w:tab/>
        <w:t>Seventy-Fourth Respondents</w:t>
      </w:r>
    </w:p>
    <w:p w14:paraId="2BFA3120" w14:textId="77777777" w:rsidR="002931F6" w:rsidRPr="002931F6" w:rsidRDefault="002931F6" w:rsidP="002931F6">
      <w:pPr>
        <w:tabs>
          <w:tab w:val="right" w:pos="9026"/>
        </w:tabs>
        <w:spacing w:before="120" w:after="240"/>
        <w:rPr>
          <w:rFonts w:ascii="Arial" w:hAnsi="Arial" w:cs="Arial"/>
          <w:sz w:val="24"/>
          <w:szCs w:val="24"/>
          <w:lang w:val="en-GB"/>
        </w:rPr>
      </w:pPr>
      <w:r w:rsidRPr="002931F6">
        <w:rPr>
          <w:rFonts w:ascii="Arial" w:hAnsi="Arial" w:cs="Arial"/>
          <w:b/>
          <w:bCs/>
          <w:sz w:val="24"/>
          <w:szCs w:val="24"/>
          <w:lang w:val="en-GB"/>
        </w:rPr>
        <w:t>MSITSHANA &amp; ASSOCIATES</w:t>
      </w:r>
      <w:r w:rsidRPr="002931F6">
        <w:rPr>
          <w:rFonts w:ascii="Arial" w:hAnsi="Arial" w:cs="Arial"/>
          <w:sz w:val="24"/>
          <w:szCs w:val="24"/>
          <w:lang w:val="en-GB"/>
        </w:rPr>
        <w:tab/>
        <w:t>Seventy-fifth Respondent</w:t>
      </w:r>
    </w:p>
    <w:p w14:paraId="383B6B59" w14:textId="77777777" w:rsidR="002931F6" w:rsidRPr="002931F6" w:rsidRDefault="002931F6" w:rsidP="002931F6">
      <w:pPr>
        <w:tabs>
          <w:tab w:val="right" w:pos="9026"/>
        </w:tabs>
        <w:spacing w:before="120" w:after="240"/>
        <w:rPr>
          <w:rFonts w:ascii="Arial" w:hAnsi="Arial" w:cs="Arial"/>
          <w:sz w:val="24"/>
          <w:szCs w:val="24"/>
          <w:lang w:val="en-GB"/>
        </w:rPr>
      </w:pPr>
      <w:r w:rsidRPr="002931F6">
        <w:rPr>
          <w:rFonts w:ascii="Arial" w:hAnsi="Arial" w:cs="Arial"/>
          <w:b/>
          <w:bCs/>
          <w:sz w:val="24"/>
          <w:szCs w:val="24"/>
          <w:lang w:val="en-GB"/>
        </w:rPr>
        <w:t>BONGIWE MAPETU</w:t>
      </w:r>
      <w:r w:rsidRPr="002931F6">
        <w:rPr>
          <w:rFonts w:ascii="Arial" w:hAnsi="Arial" w:cs="Arial"/>
          <w:sz w:val="24"/>
          <w:szCs w:val="24"/>
          <w:lang w:val="en-GB"/>
        </w:rPr>
        <w:tab/>
        <w:t>Seventy-Sixth Respondent</w:t>
      </w:r>
    </w:p>
    <w:p w14:paraId="5A91FD30" w14:textId="77777777" w:rsidR="002931F6" w:rsidRPr="002931F6" w:rsidRDefault="002931F6" w:rsidP="002931F6">
      <w:pPr>
        <w:tabs>
          <w:tab w:val="right" w:pos="9026"/>
        </w:tabs>
        <w:spacing w:before="120" w:after="240"/>
        <w:rPr>
          <w:rFonts w:ascii="Arial" w:hAnsi="Arial" w:cs="Arial"/>
          <w:sz w:val="24"/>
          <w:szCs w:val="24"/>
          <w:lang w:val="en-GB"/>
        </w:rPr>
      </w:pPr>
      <w:r w:rsidRPr="002931F6">
        <w:rPr>
          <w:rFonts w:ascii="Arial" w:hAnsi="Arial" w:cs="Arial"/>
          <w:b/>
          <w:bCs/>
          <w:sz w:val="24"/>
          <w:szCs w:val="24"/>
          <w:lang w:val="en-GB"/>
        </w:rPr>
        <w:t>NCEBAZAKHE MPOFOLWANA</w:t>
      </w:r>
      <w:r w:rsidRPr="002931F6">
        <w:rPr>
          <w:rFonts w:ascii="Arial" w:hAnsi="Arial" w:cs="Arial"/>
          <w:sz w:val="24"/>
          <w:szCs w:val="24"/>
          <w:lang w:val="en-GB"/>
        </w:rPr>
        <w:tab/>
        <w:t>Seventy-Seventh Respondent</w:t>
      </w:r>
    </w:p>
    <w:p w14:paraId="2DAAFBB2" w14:textId="77777777" w:rsidR="002931F6" w:rsidRPr="002931F6" w:rsidRDefault="002931F6" w:rsidP="002931F6">
      <w:pPr>
        <w:tabs>
          <w:tab w:val="right" w:pos="9026"/>
        </w:tabs>
        <w:spacing w:before="120" w:after="240"/>
        <w:rPr>
          <w:rFonts w:ascii="Arial" w:hAnsi="Arial" w:cs="Arial"/>
          <w:sz w:val="24"/>
          <w:szCs w:val="24"/>
          <w:lang w:val="en-GB"/>
        </w:rPr>
      </w:pPr>
      <w:r w:rsidRPr="002931F6">
        <w:rPr>
          <w:rFonts w:ascii="Arial" w:hAnsi="Arial" w:cs="Arial"/>
          <w:b/>
          <w:bCs/>
          <w:sz w:val="24"/>
          <w:szCs w:val="24"/>
          <w:lang w:val="en-GB"/>
        </w:rPr>
        <w:t>WELEKAZI GOWANA</w:t>
      </w:r>
      <w:r w:rsidRPr="002931F6">
        <w:rPr>
          <w:rFonts w:ascii="Arial" w:hAnsi="Arial" w:cs="Arial"/>
          <w:b/>
          <w:bCs/>
          <w:sz w:val="24"/>
          <w:szCs w:val="24"/>
          <w:lang w:val="en-GB"/>
        </w:rPr>
        <w:tab/>
      </w:r>
      <w:r w:rsidRPr="002931F6">
        <w:rPr>
          <w:rFonts w:ascii="Arial" w:hAnsi="Arial" w:cs="Arial"/>
          <w:sz w:val="24"/>
          <w:szCs w:val="24"/>
          <w:lang w:val="en-GB"/>
        </w:rPr>
        <w:t xml:space="preserve">Seventy-Eighth Respondent </w:t>
      </w:r>
    </w:p>
    <w:p w14:paraId="1386ACAA" w14:textId="77777777" w:rsidR="002931F6" w:rsidRPr="002931F6" w:rsidRDefault="002931F6" w:rsidP="002931F6">
      <w:pPr>
        <w:tabs>
          <w:tab w:val="right" w:pos="9026"/>
        </w:tabs>
        <w:spacing w:before="120" w:after="240"/>
        <w:rPr>
          <w:rFonts w:ascii="Arial" w:hAnsi="Arial" w:cs="Arial"/>
          <w:sz w:val="24"/>
          <w:szCs w:val="24"/>
          <w:lang w:val="en-GB"/>
        </w:rPr>
      </w:pPr>
      <w:r w:rsidRPr="002931F6">
        <w:rPr>
          <w:rFonts w:ascii="Arial" w:hAnsi="Arial" w:cs="Arial"/>
          <w:b/>
          <w:bCs/>
          <w:sz w:val="24"/>
          <w:szCs w:val="24"/>
          <w:lang w:val="en-GB"/>
        </w:rPr>
        <w:t>NOXOLO MATROKO</w:t>
      </w:r>
      <w:r w:rsidRPr="002931F6">
        <w:rPr>
          <w:rFonts w:ascii="Arial" w:hAnsi="Arial" w:cs="Arial"/>
          <w:b/>
          <w:bCs/>
          <w:sz w:val="24"/>
          <w:szCs w:val="24"/>
          <w:lang w:val="en-GB"/>
        </w:rPr>
        <w:tab/>
      </w:r>
      <w:r w:rsidRPr="002931F6">
        <w:rPr>
          <w:rFonts w:ascii="Arial" w:hAnsi="Arial" w:cs="Arial"/>
          <w:sz w:val="24"/>
          <w:szCs w:val="24"/>
          <w:lang w:val="en-GB"/>
        </w:rPr>
        <w:t>Seventy-Ninth Respondent</w:t>
      </w:r>
    </w:p>
    <w:p w14:paraId="309AB6CC" w14:textId="77777777" w:rsidR="002931F6" w:rsidRPr="002931F6" w:rsidRDefault="002931F6" w:rsidP="002931F6">
      <w:pPr>
        <w:tabs>
          <w:tab w:val="right" w:pos="9026"/>
        </w:tabs>
        <w:spacing w:before="120" w:after="240"/>
        <w:rPr>
          <w:rFonts w:ascii="Arial" w:hAnsi="Arial" w:cs="Arial"/>
          <w:sz w:val="24"/>
          <w:szCs w:val="24"/>
          <w:lang w:val="en-GB"/>
        </w:rPr>
      </w:pPr>
      <w:r w:rsidRPr="002931F6">
        <w:rPr>
          <w:rFonts w:ascii="Arial" w:hAnsi="Arial" w:cs="Arial"/>
          <w:b/>
          <w:bCs/>
          <w:sz w:val="24"/>
          <w:szCs w:val="24"/>
          <w:lang w:val="en-GB"/>
        </w:rPr>
        <w:lastRenderedPageBreak/>
        <w:t>AMANDA THEMBI PETER</w:t>
      </w:r>
      <w:r w:rsidRPr="002931F6">
        <w:rPr>
          <w:rFonts w:ascii="Arial" w:hAnsi="Arial" w:cs="Arial"/>
          <w:b/>
          <w:bCs/>
          <w:sz w:val="24"/>
          <w:szCs w:val="24"/>
          <w:lang w:val="en-GB"/>
        </w:rPr>
        <w:tab/>
      </w:r>
      <w:r w:rsidRPr="002931F6">
        <w:rPr>
          <w:rFonts w:ascii="Arial" w:hAnsi="Arial" w:cs="Arial"/>
          <w:sz w:val="24"/>
          <w:szCs w:val="24"/>
          <w:lang w:val="en-GB"/>
        </w:rPr>
        <w:t>Eightieth Respondent</w:t>
      </w:r>
    </w:p>
    <w:p w14:paraId="3A637D10" w14:textId="77777777" w:rsidR="002931F6" w:rsidRPr="002931F6" w:rsidRDefault="002931F6" w:rsidP="002931F6">
      <w:pPr>
        <w:tabs>
          <w:tab w:val="right" w:pos="9026"/>
        </w:tabs>
        <w:spacing w:before="120" w:after="240"/>
        <w:rPr>
          <w:rFonts w:ascii="Arial" w:hAnsi="Arial" w:cs="Arial"/>
          <w:sz w:val="24"/>
          <w:szCs w:val="24"/>
          <w:lang w:val="en-GB"/>
        </w:rPr>
      </w:pPr>
      <w:r w:rsidRPr="002931F6">
        <w:rPr>
          <w:rFonts w:ascii="Arial" w:hAnsi="Arial" w:cs="Arial"/>
          <w:b/>
          <w:bCs/>
          <w:sz w:val="24"/>
          <w:szCs w:val="24"/>
          <w:lang w:val="en-GB"/>
        </w:rPr>
        <w:t>ANDISWA NGOXOZA</w:t>
      </w:r>
      <w:r w:rsidRPr="002931F6">
        <w:rPr>
          <w:rFonts w:ascii="Arial" w:hAnsi="Arial" w:cs="Arial"/>
          <w:b/>
          <w:bCs/>
          <w:sz w:val="24"/>
          <w:szCs w:val="24"/>
          <w:lang w:val="en-GB"/>
        </w:rPr>
        <w:tab/>
      </w:r>
      <w:r w:rsidRPr="002931F6">
        <w:rPr>
          <w:rFonts w:ascii="Arial" w:hAnsi="Arial" w:cs="Arial"/>
          <w:sz w:val="24"/>
          <w:szCs w:val="24"/>
          <w:lang w:val="en-GB"/>
        </w:rPr>
        <w:t>Eighty-First Respondent</w:t>
      </w:r>
    </w:p>
    <w:p w14:paraId="15C19732" w14:textId="77777777" w:rsidR="002931F6" w:rsidRPr="002931F6" w:rsidRDefault="002931F6" w:rsidP="002931F6">
      <w:pPr>
        <w:tabs>
          <w:tab w:val="right" w:pos="9026"/>
        </w:tabs>
        <w:spacing w:before="120" w:after="240"/>
        <w:rPr>
          <w:rFonts w:ascii="Arial" w:hAnsi="Arial" w:cs="Arial"/>
          <w:sz w:val="24"/>
          <w:szCs w:val="24"/>
          <w:lang w:val="en-GB"/>
        </w:rPr>
      </w:pPr>
      <w:r w:rsidRPr="002931F6">
        <w:rPr>
          <w:rFonts w:ascii="Arial" w:hAnsi="Arial" w:cs="Arial"/>
          <w:b/>
          <w:bCs/>
          <w:sz w:val="24"/>
          <w:szCs w:val="24"/>
          <w:lang w:val="en-GB"/>
        </w:rPr>
        <w:t>KHUNJULWA PAYI</w:t>
      </w:r>
      <w:r w:rsidRPr="002931F6">
        <w:rPr>
          <w:rFonts w:ascii="Arial" w:hAnsi="Arial" w:cs="Arial"/>
          <w:b/>
          <w:bCs/>
          <w:sz w:val="24"/>
          <w:szCs w:val="24"/>
          <w:lang w:val="en-GB"/>
        </w:rPr>
        <w:tab/>
      </w:r>
      <w:r w:rsidRPr="002931F6">
        <w:rPr>
          <w:rFonts w:ascii="Arial" w:hAnsi="Arial" w:cs="Arial"/>
          <w:sz w:val="24"/>
          <w:szCs w:val="24"/>
          <w:lang w:val="en-GB"/>
        </w:rPr>
        <w:t>Eighty-Second Respondent</w:t>
      </w:r>
    </w:p>
    <w:p w14:paraId="3ED21E79" w14:textId="77777777" w:rsidR="002931F6" w:rsidRPr="002931F6" w:rsidRDefault="002931F6" w:rsidP="002931F6">
      <w:pPr>
        <w:tabs>
          <w:tab w:val="right" w:pos="9026"/>
        </w:tabs>
        <w:spacing w:before="120" w:after="240"/>
        <w:rPr>
          <w:rFonts w:ascii="Arial" w:hAnsi="Arial" w:cs="Arial"/>
          <w:sz w:val="24"/>
          <w:szCs w:val="24"/>
          <w:lang w:val="en-GB"/>
        </w:rPr>
      </w:pPr>
      <w:r w:rsidRPr="002931F6">
        <w:rPr>
          <w:rFonts w:ascii="Arial" w:hAnsi="Arial" w:cs="Arial"/>
          <w:b/>
          <w:bCs/>
          <w:sz w:val="24"/>
          <w:szCs w:val="24"/>
          <w:lang w:val="en-GB"/>
        </w:rPr>
        <w:t>NOSIPHO SANDI</w:t>
      </w:r>
      <w:r w:rsidRPr="002931F6">
        <w:rPr>
          <w:rFonts w:ascii="Arial" w:hAnsi="Arial" w:cs="Arial"/>
          <w:b/>
          <w:bCs/>
          <w:sz w:val="24"/>
          <w:szCs w:val="24"/>
          <w:lang w:val="en-GB"/>
        </w:rPr>
        <w:tab/>
      </w:r>
      <w:r w:rsidRPr="002931F6">
        <w:rPr>
          <w:rFonts w:ascii="Arial" w:hAnsi="Arial" w:cs="Arial"/>
          <w:sz w:val="24"/>
          <w:szCs w:val="24"/>
          <w:lang w:val="en-GB"/>
        </w:rPr>
        <w:t>Eighty-Third Respondent</w:t>
      </w:r>
    </w:p>
    <w:p w14:paraId="1DE7E279" w14:textId="77777777" w:rsidR="002931F6" w:rsidRPr="002931F6" w:rsidRDefault="002931F6" w:rsidP="002931F6">
      <w:pPr>
        <w:tabs>
          <w:tab w:val="right" w:pos="9026"/>
        </w:tabs>
        <w:spacing w:before="120" w:after="240"/>
        <w:rPr>
          <w:rFonts w:ascii="Arial" w:hAnsi="Arial" w:cs="Arial"/>
          <w:sz w:val="24"/>
          <w:szCs w:val="24"/>
          <w:lang w:val="en-GB"/>
        </w:rPr>
      </w:pPr>
      <w:r w:rsidRPr="002931F6">
        <w:rPr>
          <w:rFonts w:ascii="Arial" w:hAnsi="Arial" w:cs="Arial"/>
          <w:b/>
          <w:bCs/>
          <w:sz w:val="24"/>
          <w:szCs w:val="24"/>
          <w:lang w:val="en-GB"/>
        </w:rPr>
        <w:t>N. GAMEDE ATTORNEYS</w:t>
      </w:r>
      <w:r w:rsidRPr="002931F6">
        <w:rPr>
          <w:rFonts w:ascii="Arial" w:hAnsi="Arial" w:cs="Arial"/>
          <w:b/>
          <w:bCs/>
          <w:sz w:val="24"/>
          <w:szCs w:val="24"/>
          <w:lang w:val="en-GB"/>
        </w:rPr>
        <w:tab/>
      </w:r>
      <w:r w:rsidRPr="002931F6">
        <w:rPr>
          <w:rFonts w:ascii="Arial" w:hAnsi="Arial" w:cs="Arial"/>
          <w:sz w:val="24"/>
          <w:szCs w:val="24"/>
          <w:lang w:val="en-GB"/>
        </w:rPr>
        <w:t>Eighty-Fourth Respondent</w:t>
      </w:r>
    </w:p>
    <w:p w14:paraId="63E7FF9E" w14:textId="77777777" w:rsidR="002931F6" w:rsidRPr="002931F6" w:rsidRDefault="002931F6" w:rsidP="002931F6">
      <w:pPr>
        <w:tabs>
          <w:tab w:val="right" w:pos="9026"/>
        </w:tabs>
        <w:spacing w:before="120" w:after="240"/>
        <w:rPr>
          <w:rFonts w:ascii="Arial" w:hAnsi="Arial" w:cs="Arial"/>
          <w:sz w:val="24"/>
          <w:szCs w:val="24"/>
          <w:lang w:val="en-GB"/>
        </w:rPr>
      </w:pPr>
      <w:r w:rsidRPr="002931F6">
        <w:rPr>
          <w:rFonts w:ascii="Arial" w:hAnsi="Arial" w:cs="Arial"/>
          <w:b/>
          <w:bCs/>
          <w:sz w:val="24"/>
          <w:szCs w:val="24"/>
          <w:lang w:val="en-GB"/>
        </w:rPr>
        <w:t>LULEKA QHUPA</w:t>
      </w:r>
      <w:r w:rsidRPr="002931F6">
        <w:rPr>
          <w:rFonts w:ascii="Arial" w:hAnsi="Arial" w:cs="Arial"/>
          <w:b/>
          <w:bCs/>
          <w:sz w:val="24"/>
          <w:szCs w:val="24"/>
          <w:lang w:val="en-GB"/>
        </w:rPr>
        <w:tab/>
      </w:r>
      <w:r w:rsidRPr="002931F6">
        <w:rPr>
          <w:rFonts w:ascii="Arial" w:hAnsi="Arial" w:cs="Arial"/>
          <w:sz w:val="24"/>
          <w:szCs w:val="24"/>
          <w:lang w:val="en-GB"/>
        </w:rPr>
        <w:t>Eighty-Fifth Respondent</w:t>
      </w:r>
    </w:p>
    <w:p w14:paraId="56462B10" w14:textId="77777777" w:rsidR="002931F6" w:rsidRPr="002931F6" w:rsidRDefault="002931F6" w:rsidP="002931F6">
      <w:pPr>
        <w:tabs>
          <w:tab w:val="right" w:pos="9026"/>
        </w:tabs>
        <w:spacing w:before="120" w:after="240"/>
        <w:rPr>
          <w:rFonts w:ascii="Arial" w:hAnsi="Arial" w:cs="Arial"/>
          <w:sz w:val="24"/>
          <w:szCs w:val="24"/>
          <w:lang w:val="en-GB"/>
        </w:rPr>
      </w:pPr>
      <w:r w:rsidRPr="002931F6">
        <w:rPr>
          <w:rFonts w:ascii="Arial" w:hAnsi="Arial" w:cs="Arial"/>
          <w:b/>
          <w:bCs/>
          <w:sz w:val="24"/>
          <w:szCs w:val="24"/>
          <w:lang w:val="en-GB"/>
        </w:rPr>
        <w:t>NOSIPHIWO MTHI</w:t>
      </w:r>
      <w:r w:rsidRPr="002931F6">
        <w:rPr>
          <w:rFonts w:ascii="Arial" w:hAnsi="Arial" w:cs="Arial"/>
          <w:b/>
          <w:bCs/>
          <w:sz w:val="24"/>
          <w:szCs w:val="24"/>
          <w:lang w:val="en-GB"/>
        </w:rPr>
        <w:tab/>
      </w:r>
      <w:r w:rsidRPr="002931F6">
        <w:rPr>
          <w:rFonts w:ascii="Arial" w:hAnsi="Arial" w:cs="Arial"/>
          <w:sz w:val="24"/>
          <w:szCs w:val="24"/>
          <w:lang w:val="en-GB"/>
        </w:rPr>
        <w:t>Eighty-Sixth Respondent</w:t>
      </w:r>
    </w:p>
    <w:p w14:paraId="5CEED668" w14:textId="092E1279" w:rsidR="002931F6" w:rsidRPr="002931F6" w:rsidRDefault="002931F6" w:rsidP="002931F6">
      <w:pPr>
        <w:tabs>
          <w:tab w:val="right" w:pos="9026"/>
        </w:tabs>
        <w:spacing w:before="120" w:after="240"/>
        <w:rPr>
          <w:rFonts w:ascii="Arial" w:hAnsi="Arial" w:cs="Arial"/>
          <w:b/>
          <w:sz w:val="24"/>
          <w:szCs w:val="24"/>
          <w:lang w:val="en-GB"/>
        </w:rPr>
      </w:pPr>
      <w:r w:rsidRPr="002931F6">
        <w:rPr>
          <w:rFonts w:ascii="Arial" w:hAnsi="Arial" w:cs="Arial"/>
          <w:b/>
          <w:sz w:val="24"/>
          <w:szCs w:val="24"/>
          <w:lang w:val="en-GB"/>
        </w:rPr>
        <w:t>PERSONAL INJURY PLAINTIFF</w:t>
      </w:r>
      <w:r w:rsidR="001E7A9D">
        <w:rPr>
          <w:rFonts w:ascii="Arial" w:hAnsi="Arial" w:cs="Arial"/>
          <w:b/>
          <w:sz w:val="24"/>
          <w:szCs w:val="24"/>
          <w:lang w:val="en-GB"/>
        </w:rPr>
        <w:t>’S</w:t>
      </w:r>
      <w:r w:rsidRPr="002931F6">
        <w:rPr>
          <w:rFonts w:ascii="Arial" w:hAnsi="Arial" w:cs="Arial"/>
          <w:b/>
          <w:sz w:val="24"/>
          <w:szCs w:val="24"/>
          <w:lang w:val="en-GB"/>
        </w:rPr>
        <w:t xml:space="preserve"> LAWYERS</w:t>
      </w:r>
    </w:p>
    <w:p w14:paraId="51A44C91" w14:textId="7245BFA0" w:rsidR="002931F6" w:rsidRDefault="002931F6" w:rsidP="002931F6">
      <w:pPr>
        <w:tabs>
          <w:tab w:val="right" w:pos="9026"/>
        </w:tabs>
        <w:spacing w:before="120" w:after="240"/>
        <w:rPr>
          <w:rFonts w:ascii="Arial" w:hAnsi="Arial" w:cs="Arial"/>
          <w:sz w:val="24"/>
          <w:szCs w:val="24"/>
          <w:lang w:val="en-GB"/>
        </w:rPr>
      </w:pPr>
      <w:r w:rsidRPr="002931F6">
        <w:rPr>
          <w:rFonts w:ascii="Arial" w:hAnsi="Arial" w:cs="Arial"/>
          <w:b/>
          <w:sz w:val="24"/>
          <w:szCs w:val="24"/>
          <w:lang w:val="en-GB"/>
        </w:rPr>
        <w:t>ASSOCIATION (‘PIPLA’)</w:t>
      </w:r>
      <w:r w:rsidRPr="002931F6">
        <w:rPr>
          <w:rFonts w:ascii="Arial" w:hAnsi="Arial" w:cs="Arial"/>
          <w:b/>
          <w:sz w:val="24"/>
          <w:szCs w:val="24"/>
          <w:lang w:val="en-GB"/>
        </w:rPr>
        <w:tab/>
      </w:r>
      <w:r w:rsidRPr="002931F6">
        <w:rPr>
          <w:rFonts w:ascii="Arial" w:hAnsi="Arial" w:cs="Arial"/>
          <w:sz w:val="24"/>
          <w:szCs w:val="24"/>
          <w:lang w:val="en-GB"/>
        </w:rPr>
        <w:t>Eighty-Seventh Respondent</w:t>
      </w:r>
    </w:p>
    <w:p w14:paraId="78D55D2D" w14:textId="569E8439" w:rsidR="00907061" w:rsidRPr="00907061" w:rsidRDefault="00907061" w:rsidP="00907061">
      <w:pPr>
        <w:tabs>
          <w:tab w:val="right" w:pos="9026"/>
        </w:tabs>
        <w:spacing w:before="120" w:after="240"/>
        <w:jc w:val="both"/>
        <w:rPr>
          <w:rFonts w:ascii="Arial" w:hAnsi="Arial" w:cs="Arial"/>
          <w:b/>
          <w:i/>
          <w:sz w:val="24"/>
          <w:szCs w:val="24"/>
          <w:lang w:val="en-GB"/>
        </w:rPr>
      </w:pPr>
      <w:r w:rsidRPr="00907061">
        <w:rPr>
          <w:rFonts w:ascii="Arial" w:hAnsi="Arial" w:cs="Arial"/>
          <w:i/>
          <w:sz w:val="24"/>
          <w:szCs w:val="24"/>
          <w:lang w:val="en-GB"/>
        </w:rPr>
        <w:t>Summary – Stay of execution of judgment – common law and s 173 of Constitution – rule 45 of rules of court – delictual debt airing from medico-legal claim – s 3 of State Liability Act, 20 of 1957 – attachment of right title and interest to credit balance in bank account of government department – duties of accounting officer and treasury – Public Finance Management Act, 1 of 1999 – finality of judgments – variation of final orders – once and for all rule – development of common law.</w:t>
      </w:r>
    </w:p>
    <w:p w14:paraId="271A2906" w14:textId="77777777" w:rsidR="002931F6" w:rsidRPr="002931F6" w:rsidRDefault="002931F6" w:rsidP="002931F6">
      <w:pPr>
        <w:pBdr>
          <w:bottom w:val="single" w:sz="12" w:space="1" w:color="auto"/>
        </w:pBdr>
        <w:spacing w:line="360" w:lineRule="auto"/>
        <w:rPr>
          <w:rFonts w:ascii="Arial" w:hAnsi="Arial" w:cs="Arial"/>
          <w:sz w:val="24"/>
          <w:szCs w:val="24"/>
          <w:lang w:val="en-GB"/>
        </w:rPr>
      </w:pPr>
    </w:p>
    <w:p w14:paraId="31A4968F" w14:textId="77777777" w:rsidR="002931F6" w:rsidRPr="002931F6" w:rsidRDefault="002931F6" w:rsidP="002931F6">
      <w:pPr>
        <w:rPr>
          <w:rFonts w:ascii="Arial" w:hAnsi="Arial" w:cs="Arial"/>
          <w:sz w:val="24"/>
          <w:szCs w:val="24"/>
        </w:rPr>
      </w:pPr>
    </w:p>
    <w:p w14:paraId="1230BB74" w14:textId="77777777" w:rsidR="002931F6" w:rsidRPr="002931F6" w:rsidRDefault="002931F6" w:rsidP="002931F6">
      <w:pPr>
        <w:pBdr>
          <w:bottom w:val="single" w:sz="12" w:space="1" w:color="auto"/>
        </w:pBdr>
        <w:jc w:val="center"/>
        <w:rPr>
          <w:rFonts w:ascii="Arial" w:hAnsi="Arial" w:cs="Arial"/>
          <w:b/>
          <w:sz w:val="24"/>
          <w:szCs w:val="24"/>
        </w:rPr>
      </w:pPr>
      <w:r w:rsidRPr="002931F6">
        <w:rPr>
          <w:rFonts w:ascii="Arial" w:hAnsi="Arial" w:cs="Arial"/>
          <w:b/>
          <w:sz w:val="24"/>
          <w:szCs w:val="24"/>
        </w:rPr>
        <w:t>JUDGMENT</w:t>
      </w:r>
    </w:p>
    <w:p w14:paraId="7293F9E6" w14:textId="77777777" w:rsidR="002931F6" w:rsidRPr="002931F6" w:rsidRDefault="002931F6" w:rsidP="002931F6">
      <w:pPr>
        <w:pBdr>
          <w:bottom w:val="single" w:sz="12" w:space="1" w:color="auto"/>
        </w:pBdr>
        <w:jc w:val="center"/>
        <w:rPr>
          <w:rFonts w:ascii="Arial" w:hAnsi="Arial" w:cs="Arial"/>
          <w:b/>
          <w:sz w:val="24"/>
          <w:szCs w:val="24"/>
        </w:rPr>
      </w:pPr>
    </w:p>
    <w:p w14:paraId="0201ACA5" w14:textId="77777777" w:rsidR="002931F6" w:rsidRPr="002931F6" w:rsidRDefault="002931F6" w:rsidP="002931F6">
      <w:pPr>
        <w:rPr>
          <w:rFonts w:ascii="Arial" w:hAnsi="Arial" w:cs="Arial"/>
          <w:b/>
          <w:sz w:val="24"/>
          <w:szCs w:val="24"/>
        </w:rPr>
      </w:pPr>
      <w:r w:rsidRPr="002931F6">
        <w:rPr>
          <w:rFonts w:ascii="Arial" w:hAnsi="Arial" w:cs="Arial"/>
          <w:b/>
          <w:sz w:val="24"/>
          <w:szCs w:val="24"/>
        </w:rPr>
        <w:t>EKSTEEN J:</w:t>
      </w:r>
    </w:p>
    <w:p w14:paraId="6310802D" w14:textId="77777777" w:rsidR="002931F6" w:rsidRDefault="002931F6" w:rsidP="002931F6">
      <w:pPr>
        <w:spacing w:after="0" w:line="480" w:lineRule="auto"/>
        <w:jc w:val="both"/>
        <w:rPr>
          <w:rFonts w:ascii="Arial" w:hAnsi="Arial" w:cs="Arial"/>
          <w:i/>
          <w:sz w:val="24"/>
          <w:szCs w:val="24"/>
        </w:rPr>
      </w:pPr>
    </w:p>
    <w:p w14:paraId="12797670" w14:textId="77777777" w:rsidR="00811ED3" w:rsidRDefault="00A23D67" w:rsidP="00811ED3">
      <w:pPr>
        <w:pStyle w:val="ListParagraph"/>
        <w:numPr>
          <w:ilvl w:val="0"/>
          <w:numId w:val="20"/>
        </w:numPr>
        <w:spacing w:after="0" w:line="480" w:lineRule="auto"/>
        <w:ind w:left="0" w:firstLine="0"/>
        <w:jc w:val="both"/>
        <w:rPr>
          <w:rFonts w:ascii="Arial" w:hAnsi="Arial" w:cs="Arial"/>
          <w:sz w:val="24"/>
          <w:szCs w:val="24"/>
        </w:rPr>
      </w:pPr>
      <w:r w:rsidRPr="002931F6">
        <w:rPr>
          <w:rFonts w:ascii="Arial" w:hAnsi="Arial" w:cs="Arial"/>
          <w:i/>
          <w:sz w:val="24"/>
          <w:szCs w:val="24"/>
        </w:rPr>
        <w:t>“I can get no remedy against this consumption of the purse:  borrowing only lingers and lingers it out, but the disease is incurable”.</w:t>
      </w:r>
      <w:r w:rsidRPr="002931F6">
        <w:rPr>
          <w:rFonts w:ascii="Arial" w:hAnsi="Arial" w:cs="Arial"/>
          <w:sz w:val="24"/>
          <w:szCs w:val="24"/>
        </w:rPr>
        <w:t xml:space="preserve"> </w:t>
      </w:r>
      <w:r>
        <w:rPr>
          <w:rStyle w:val="FootnoteReference"/>
          <w:rFonts w:ascii="Arial" w:hAnsi="Arial" w:cs="Arial"/>
          <w:sz w:val="24"/>
          <w:szCs w:val="24"/>
        </w:rPr>
        <w:footnoteReference w:id="1"/>
      </w:r>
      <w:r w:rsidRPr="002931F6">
        <w:rPr>
          <w:rFonts w:ascii="Arial" w:hAnsi="Arial" w:cs="Arial"/>
          <w:sz w:val="24"/>
          <w:szCs w:val="24"/>
        </w:rPr>
        <w:t xml:space="preserve"> Th</w:t>
      </w:r>
      <w:r w:rsidR="00D9208A" w:rsidRPr="002931F6">
        <w:rPr>
          <w:rFonts w:ascii="Arial" w:hAnsi="Arial" w:cs="Arial"/>
          <w:sz w:val="24"/>
          <w:szCs w:val="24"/>
        </w:rPr>
        <w:t>e</w:t>
      </w:r>
      <w:r w:rsidRPr="002931F6">
        <w:rPr>
          <w:rFonts w:ascii="Arial" w:hAnsi="Arial" w:cs="Arial"/>
          <w:sz w:val="24"/>
          <w:szCs w:val="24"/>
        </w:rPr>
        <w:t xml:space="preserve"> despairing </w:t>
      </w:r>
      <w:r w:rsidR="00A30E35" w:rsidRPr="002931F6">
        <w:rPr>
          <w:rFonts w:ascii="Arial" w:hAnsi="Arial" w:cs="Arial"/>
          <w:sz w:val="24"/>
          <w:szCs w:val="24"/>
        </w:rPr>
        <w:t>cry</w:t>
      </w:r>
      <w:r w:rsidRPr="002931F6">
        <w:rPr>
          <w:rFonts w:ascii="Arial" w:hAnsi="Arial" w:cs="Arial"/>
          <w:sz w:val="24"/>
          <w:szCs w:val="24"/>
        </w:rPr>
        <w:t xml:space="preserve"> resonates through the applicants’ case.  The third app</w:t>
      </w:r>
      <w:r w:rsidR="00D9208A" w:rsidRPr="002931F6">
        <w:rPr>
          <w:rFonts w:ascii="Arial" w:hAnsi="Arial" w:cs="Arial"/>
          <w:sz w:val="24"/>
          <w:szCs w:val="24"/>
        </w:rPr>
        <w:t>licant</w:t>
      </w:r>
      <w:r w:rsidRPr="002931F6">
        <w:rPr>
          <w:rFonts w:ascii="Arial" w:hAnsi="Arial" w:cs="Arial"/>
          <w:sz w:val="24"/>
          <w:szCs w:val="24"/>
        </w:rPr>
        <w:t xml:space="preserve">, the Member of the Executive Council for Health, Eastern Province (the MEC for Health), and the fourth applicant, the Head of the Department of Health, Eastern Cape (the HOD for Health) lament that they struggle to meet their Constitutional obligations in the face of their deteriorating </w:t>
      </w:r>
      <w:r w:rsidRPr="002931F6">
        <w:rPr>
          <w:rFonts w:ascii="Arial" w:hAnsi="Arial" w:cs="Arial"/>
          <w:sz w:val="24"/>
          <w:szCs w:val="24"/>
        </w:rPr>
        <w:lastRenderedPageBreak/>
        <w:t>financial wellbeing, which they ascribe to the ever increasing</w:t>
      </w:r>
      <w:r w:rsidR="0099710F" w:rsidRPr="002931F6">
        <w:rPr>
          <w:rFonts w:ascii="Arial" w:hAnsi="Arial" w:cs="Arial"/>
          <w:sz w:val="24"/>
          <w:szCs w:val="24"/>
        </w:rPr>
        <w:t>, never ending burden of medico-</w:t>
      </w:r>
      <w:r w:rsidRPr="002931F6">
        <w:rPr>
          <w:rFonts w:ascii="Arial" w:hAnsi="Arial" w:cs="Arial"/>
          <w:sz w:val="24"/>
          <w:szCs w:val="24"/>
        </w:rPr>
        <w:t xml:space="preserve">legal claims.  </w:t>
      </w:r>
      <w:r w:rsidR="003C4E60" w:rsidRPr="002931F6">
        <w:rPr>
          <w:rFonts w:ascii="Arial" w:hAnsi="Arial" w:cs="Arial"/>
          <w:sz w:val="24"/>
          <w:szCs w:val="24"/>
        </w:rPr>
        <w:t>They have, from time to time, received additional grants from</w:t>
      </w:r>
      <w:r w:rsidR="0043025C" w:rsidRPr="002931F6">
        <w:rPr>
          <w:rFonts w:ascii="Arial" w:hAnsi="Arial" w:cs="Arial"/>
          <w:sz w:val="24"/>
          <w:szCs w:val="24"/>
        </w:rPr>
        <w:t xml:space="preserve"> n</w:t>
      </w:r>
      <w:r w:rsidR="003C4E60" w:rsidRPr="002931F6">
        <w:rPr>
          <w:rFonts w:ascii="Arial" w:hAnsi="Arial" w:cs="Arial"/>
          <w:sz w:val="24"/>
          <w:szCs w:val="24"/>
        </w:rPr>
        <w:t xml:space="preserve">ational </w:t>
      </w:r>
      <w:r w:rsidR="0043025C" w:rsidRPr="002931F6">
        <w:rPr>
          <w:rFonts w:ascii="Arial" w:hAnsi="Arial" w:cs="Arial"/>
          <w:sz w:val="24"/>
          <w:szCs w:val="24"/>
        </w:rPr>
        <w:t>g</w:t>
      </w:r>
      <w:r w:rsidR="003C4E60" w:rsidRPr="002931F6">
        <w:rPr>
          <w:rFonts w:ascii="Arial" w:hAnsi="Arial" w:cs="Arial"/>
          <w:sz w:val="24"/>
          <w:szCs w:val="24"/>
        </w:rPr>
        <w:t>overnment, but they contend</w:t>
      </w:r>
      <w:r w:rsidR="00A30E35" w:rsidRPr="002931F6">
        <w:rPr>
          <w:rFonts w:ascii="Arial" w:hAnsi="Arial" w:cs="Arial"/>
          <w:sz w:val="24"/>
          <w:szCs w:val="24"/>
        </w:rPr>
        <w:t>,</w:t>
      </w:r>
      <w:r w:rsidR="003C4E60" w:rsidRPr="002931F6">
        <w:rPr>
          <w:rFonts w:ascii="Arial" w:hAnsi="Arial" w:cs="Arial"/>
          <w:sz w:val="24"/>
          <w:szCs w:val="24"/>
        </w:rPr>
        <w:t xml:space="preserve"> that due to the parlous state of the public purse, there is no prospect of further grants.  </w:t>
      </w:r>
      <w:r w:rsidRPr="002931F6">
        <w:rPr>
          <w:rFonts w:ascii="Arial" w:hAnsi="Arial" w:cs="Arial"/>
          <w:sz w:val="24"/>
          <w:szCs w:val="24"/>
        </w:rPr>
        <w:t>Accordingly, they sought an interim interdict to suspend the execution of all judgments by judgment creditors with delictual damages awards</w:t>
      </w:r>
      <w:r w:rsidR="00D9208A" w:rsidRPr="002931F6">
        <w:rPr>
          <w:rFonts w:ascii="Arial" w:hAnsi="Arial" w:cs="Arial"/>
          <w:sz w:val="24"/>
          <w:szCs w:val="24"/>
        </w:rPr>
        <w:t xml:space="preserve"> arising from medico-legal claims</w:t>
      </w:r>
      <w:r w:rsidRPr="002931F6">
        <w:rPr>
          <w:rFonts w:ascii="Arial" w:hAnsi="Arial" w:cs="Arial"/>
          <w:sz w:val="24"/>
          <w:szCs w:val="24"/>
        </w:rPr>
        <w:t>.</w:t>
      </w:r>
    </w:p>
    <w:p w14:paraId="61F58F89" w14:textId="77777777" w:rsidR="00811ED3" w:rsidRDefault="00811ED3" w:rsidP="00811ED3">
      <w:pPr>
        <w:pStyle w:val="ListParagraph"/>
        <w:spacing w:after="0" w:line="480" w:lineRule="auto"/>
        <w:ind w:left="0"/>
        <w:jc w:val="both"/>
        <w:rPr>
          <w:rFonts w:ascii="Arial" w:hAnsi="Arial" w:cs="Arial"/>
          <w:sz w:val="24"/>
          <w:szCs w:val="24"/>
        </w:rPr>
      </w:pPr>
    </w:p>
    <w:p w14:paraId="04191B4F" w14:textId="0514CB7E" w:rsidR="00DD5003" w:rsidRPr="00811ED3" w:rsidRDefault="00DD5003" w:rsidP="00811ED3">
      <w:pPr>
        <w:pStyle w:val="ListParagraph"/>
        <w:numPr>
          <w:ilvl w:val="0"/>
          <w:numId w:val="20"/>
        </w:numPr>
        <w:spacing w:after="0" w:line="480" w:lineRule="auto"/>
        <w:ind w:left="0" w:firstLine="0"/>
        <w:jc w:val="both"/>
        <w:rPr>
          <w:rFonts w:ascii="Arial" w:hAnsi="Arial" w:cs="Arial"/>
          <w:sz w:val="24"/>
          <w:szCs w:val="24"/>
        </w:rPr>
      </w:pPr>
      <w:r w:rsidRPr="00811ED3">
        <w:rPr>
          <w:rFonts w:ascii="Arial" w:hAnsi="Arial" w:cs="Arial"/>
          <w:sz w:val="24"/>
          <w:szCs w:val="24"/>
        </w:rPr>
        <w:t xml:space="preserve">The application was initially launched as an urgent application on 21 July 2021, but it was postponed on several occasions.  </w:t>
      </w:r>
      <w:r w:rsidR="00E1113D" w:rsidRPr="00811ED3">
        <w:rPr>
          <w:rFonts w:ascii="Arial" w:hAnsi="Arial" w:cs="Arial"/>
          <w:sz w:val="24"/>
          <w:szCs w:val="24"/>
        </w:rPr>
        <w:t xml:space="preserve">The urgency of the application dissipated, </w:t>
      </w:r>
      <w:r w:rsidR="003C4E60" w:rsidRPr="00811ED3">
        <w:rPr>
          <w:rFonts w:ascii="Arial" w:hAnsi="Arial" w:cs="Arial"/>
          <w:sz w:val="24"/>
          <w:szCs w:val="24"/>
        </w:rPr>
        <w:t xml:space="preserve">as the respondents gave an undertaking not to proceed with execution, pending a decision by this court.  </w:t>
      </w:r>
      <w:r w:rsidRPr="00811ED3">
        <w:rPr>
          <w:rFonts w:ascii="Arial" w:hAnsi="Arial" w:cs="Arial"/>
          <w:sz w:val="24"/>
          <w:szCs w:val="24"/>
        </w:rPr>
        <w:t xml:space="preserve">A significant number of plaintiff respondents and attorney respondents entered an appearance to oppose, and further respondents were joined at the instance of the applicants.  The eighty-seventh respondent, the Personal </w:t>
      </w:r>
      <w:r w:rsidR="005B3169" w:rsidRPr="00811ED3">
        <w:rPr>
          <w:rFonts w:ascii="Arial" w:hAnsi="Arial" w:cs="Arial"/>
          <w:sz w:val="24"/>
          <w:szCs w:val="24"/>
        </w:rPr>
        <w:t>Injury P</w:t>
      </w:r>
      <w:r w:rsidR="00777CC4">
        <w:rPr>
          <w:rFonts w:ascii="Arial" w:hAnsi="Arial" w:cs="Arial"/>
          <w:sz w:val="24"/>
          <w:szCs w:val="24"/>
        </w:rPr>
        <w:t>laintiff</w:t>
      </w:r>
      <w:r w:rsidR="00D507C1">
        <w:rPr>
          <w:rFonts w:ascii="Arial" w:hAnsi="Arial" w:cs="Arial"/>
          <w:sz w:val="24"/>
          <w:szCs w:val="24"/>
        </w:rPr>
        <w:t>’s</w:t>
      </w:r>
      <w:r w:rsidR="0079561A" w:rsidRPr="00811ED3">
        <w:rPr>
          <w:rFonts w:ascii="Arial" w:hAnsi="Arial" w:cs="Arial"/>
          <w:sz w:val="24"/>
          <w:szCs w:val="24"/>
        </w:rPr>
        <w:t xml:space="preserve"> </w:t>
      </w:r>
      <w:r w:rsidRPr="00811ED3">
        <w:rPr>
          <w:rFonts w:ascii="Arial" w:hAnsi="Arial" w:cs="Arial"/>
          <w:sz w:val="24"/>
          <w:szCs w:val="24"/>
        </w:rPr>
        <w:t>Lawyers Association (PIPLA) were granted leave to join as a respondent.  Ch</w:t>
      </w:r>
      <w:r w:rsidR="00627FAB">
        <w:rPr>
          <w:rFonts w:ascii="Arial" w:hAnsi="Arial" w:cs="Arial"/>
          <w:sz w:val="24"/>
          <w:szCs w:val="24"/>
        </w:rPr>
        <w:t>ance</w:t>
      </w:r>
      <w:r w:rsidRPr="00811ED3">
        <w:rPr>
          <w:rFonts w:ascii="Arial" w:hAnsi="Arial" w:cs="Arial"/>
          <w:sz w:val="24"/>
          <w:szCs w:val="24"/>
        </w:rPr>
        <w:t xml:space="preserve"> </w:t>
      </w:r>
      <w:r w:rsidR="00D9208A" w:rsidRPr="00811ED3">
        <w:rPr>
          <w:rFonts w:ascii="Arial" w:hAnsi="Arial" w:cs="Arial"/>
          <w:sz w:val="24"/>
          <w:szCs w:val="24"/>
        </w:rPr>
        <w:t>at</w:t>
      </w:r>
      <w:r w:rsidRPr="00811ED3">
        <w:rPr>
          <w:rFonts w:ascii="Arial" w:hAnsi="Arial" w:cs="Arial"/>
          <w:sz w:val="24"/>
          <w:szCs w:val="24"/>
        </w:rPr>
        <w:t xml:space="preserve"> Life and the Medical Malpractice Lawyers Association were admitted as </w:t>
      </w:r>
      <w:r w:rsidRPr="00811ED3">
        <w:rPr>
          <w:rFonts w:ascii="Arial" w:hAnsi="Arial" w:cs="Arial"/>
          <w:i/>
          <w:sz w:val="24"/>
          <w:szCs w:val="24"/>
        </w:rPr>
        <w:t xml:space="preserve">amici </w:t>
      </w:r>
      <w:r w:rsidR="0035098A" w:rsidRPr="00811ED3">
        <w:rPr>
          <w:rFonts w:ascii="Arial" w:hAnsi="Arial" w:cs="Arial"/>
          <w:i/>
          <w:sz w:val="24"/>
          <w:szCs w:val="24"/>
        </w:rPr>
        <w:t>curiae</w:t>
      </w:r>
      <w:r w:rsidRPr="00811ED3">
        <w:rPr>
          <w:rFonts w:ascii="Arial" w:hAnsi="Arial" w:cs="Arial"/>
          <w:sz w:val="24"/>
          <w:szCs w:val="24"/>
        </w:rPr>
        <w:t>.</w:t>
      </w:r>
    </w:p>
    <w:p w14:paraId="52396AEF" w14:textId="77777777" w:rsidR="00A23D67" w:rsidRDefault="00A23D67" w:rsidP="00811ED3">
      <w:pPr>
        <w:pStyle w:val="ListParagraph"/>
        <w:spacing w:after="0" w:line="480" w:lineRule="auto"/>
        <w:ind w:left="0"/>
        <w:jc w:val="both"/>
        <w:rPr>
          <w:rFonts w:ascii="Arial" w:hAnsi="Arial" w:cs="Arial"/>
          <w:sz w:val="24"/>
          <w:szCs w:val="24"/>
        </w:rPr>
      </w:pPr>
    </w:p>
    <w:p w14:paraId="7FC8265E" w14:textId="77777777" w:rsidR="00A23D67" w:rsidRDefault="00A23D67" w:rsidP="00811ED3">
      <w:pPr>
        <w:pStyle w:val="ListParagraph"/>
        <w:numPr>
          <w:ilvl w:val="0"/>
          <w:numId w:val="20"/>
        </w:numPr>
        <w:spacing w:after="0" w:line="480" w:lineRule="auto"/>
        <w:ind w:left="0" w:firstLine="0"/>
        <w:jc w:val="both"/>
        <w:rPr>
          <w:rFonts w:ascii="Arial" w:hAnsi="Arial" w:cs="Arial"/>
          <w:sz w:val="24"/>
          <w:szCs w:val="24"/>
        </w:rPr>
      </w:pPr>
      <w:r>
        <w:rPr>
          <w:rFonts w:ascii="Arial" w:hAnsi="Arial" w:cs="Arial"/>
          <w:sz w:val="24"/>
          <w:szCs w:val="24"/>
        </w:rPr>
        <w:t xml:space="preserve">The application was brought in two parts.  At this stage only part A of the application </w:t>
      </w:r>
      <w:r w:rsidR="00CC3BCF">
        <w:rPr>
          <w:rFonts w:ascii="Arial" w:hAnsi="Arial" w:cs="Arial"/>
          <w:sz w:val="24"/>
          <w:szCs w:val="24"/>
        </w:rPr>
        <w:t>is</w:t>
      </w:r>
      <w:r>
        <w:rPr>
          <w:rFonts w:ascii="Arial" w:hAnsi="Arial" w:cs="Arial"/>
          <w:sz w:val="24"/>
          <w:szCs w:val="24"/>
        </w:rPr>
        <w:t xml:space="preserve"> before us for determination.  In it the applicants sought to interdict various respondents (the plaintiff respondents) who have obtained judgment against the MEC for Health for delictual damages, arising from the negligence of their employees, from executing, save to the extent set out later, against any immovable or movable property, whether corporeal or incorporeal, of the Eastern Cape Department of Health (the ECDOH).  They further sought to interdict the attorneys (the attorney respondents), who had acted for the plaintiff respondents in the </w:t>
      </w:r>
      <w:r w:rsidR="00AA2F01">
        <w:rPr>
          <w:rFonts w:ascii="Arial" w:hAnsi="Arial" w:cs="Arial"/>
          <w:sz w:val="24"/>
          <w:szCs w:val="24"/>
        </w:rPr>
        <w:t>underlying</w:t>
      </w:r>
      <w:r>
        <w:rPr>
          <w:rFonts w:ascii="Arial" w:hAnsi="Arial" w:cs="Arial"/>
          <w:sz w:val="24"/>
          <w:szCs w:val="24"/>
        </w:rPr>
        <w:t xml:space="preserve"> litigation, from recovering </w:t>
      </w:r>
      <w:r>
        <w:rPr>
          <w:rFonts w:ascii="Arial" w:hAnsi="Arial" w:cs="Arial"/>
          <w:sz w:val="24"/>
          <w:szCs w:val="24"/>
        </w:rPr>
        <w:lastRenderedPageBreak/>
        <w:t>fees in excess of R125 000,</w:t>
      </w:r>
      <w:r w:rsidR="000E2FF8">
        <w:rPr>
          <w:rFonts w:ascii="Arial" w:hAnsi="Arial" w:cs="Arial"/>
          <w:sz w:val="24"/>
          <w:szCs w:val="24"/>
        </w:rPr>
        <w:t>00</w:t>
      </w:r>
      <w:r>
        <w:rPr>
          <w:rFonts w:ascii="Arial" w:hAnsi="Arial" w:cs="Arial"/>
          <w:sz w:val="24"/>
          <w:szCs w:val="24"/>
        </w:rPr>
        <w:t xml:space="preserve"> from their clients.  The relief in part A was in the form of an interim interdict, pending the finalization of part B</w:t>
      </w:r>
      <w:r w:rsidR="00E1113D">
        <w:rPr>
          <w:rFonts w:ascii="Arial" w:hAnsi="Arial" w:cs="Arial"/>
          <w:sz w:val="24"/>
          <w:szCs w:val="24"/>
        </w:rPr>
        <w:t>,</w:t>
      </w:r>
      <w:r>
        <w:rPr>
          <w:rFonts w:ascii="Arial" w:hAnsi="Arial" w:cs="Arial"/>
          <w:sz w:val="24"/>
          <w:szCs w:val="24"/>
        </w:rPr>
        <w:t xml:space="preserve"> and the applicants said that they sought the relief in terms of the common law and s 173 of the Constitution</w:t>
      </w:r>
      <w:r w:rsidR="003718D4">
        <w:rPr>
          <w:rStyle w:val="FootnoteReference"/>
          <w:rFonts w:ascii="Arial" w:hAnsi="Arial" w:cs="Arial"/>
          <w:sz w:val="24"/>
          <w:szCs w:val="24"/>
        </w:rPr>
        <w:footnoteReference w:id="2"/>
      </w:r>
      <w:r>
        <w:rPr>
          <w:rFonts w:ascii="Arial" w:hAnsi="Arial" w:cs="Arial"/>
          <w:sz w:val="24"/>
          <w:szCs w:val="24"/>
        </w:rPr>
        <w:t>, alternatively, in terms of rule 45A of the Uniform Rules of Court (the rules).</w:t>
      </w:r>
    </w:p>
    <w:p w14:paraId="3C74D24B" w14:textId="77777777" w:rsidR="00DD5003" w:rsidRDefault="00DD5003" w:rsidP="00811ED3">
      <w:pPr>
        <w:pStyle w:val="ListParagraph"/>
        <w:spacing w:after="0" w:line="480" w:lineRule="auto"/>
        <w:ind w:left="0"/>
        <w:jc w:val="both"/>
        <w:rPr>
          <w:rFonts w:ascii="Arial" w:hAnsi="Arial" w:cs="Arial"/>
          <w:sz w:val="24"/>
          <w:szCs w:val="24"/>
        </w:rPr>
      </w:pPr>
    </w:p>
    <w:p w14:paraId="68B461AF" w14:textId="77777777" w:rsidR="00B40F6F" w:rsidRDefault="00B40F6F" w:rsidP="00811ED3">
      <w:pPr>
        <w:pStyle w:val="ListParagraph"/>
        <w:numPr>
          <w:ilvl w:val="0"/>
          <w:numId w:val="20"/>
        </w:numPr>
        <w:spacing w:after="0" w:line="480" w:lineRule="auto"/>
        <w:ind w:left="0" w:firstLine="0"/>
        <w:jc w:val="both"/>
        <w:rPr>
          <w:rFonts w:ascii="Arial" w:hAnsi="Arial" w:cs="Arial"/>
          <w:sz w:val="24"/>
          <w:szCs w:val="24"/>
        </w:rPr>
      </w:pPr>
      <w:r w:rsidRPr="00DD5003">
        <w:rPr>
          <w:rFonts w:ascii="Arial" w:hAnsi="Arial" w:cs="Arial"/>
          <w:sz w:val="24"/>
          <w:szCs w:val="24"/>
        </w:rPr>
        <w:t>The purpose of the interim interdict, they said, was to enable them to vary the terms of the final orders made in favour of the plaintiff respondents.  Thus</w:t>
      </w:r>
      <w:r w:rsidR="00AA2F01">
        <w:rPr>
          <w:rFonts w:ascii="Arial" w:hAnsi="Arial" w:cs="Arial"/>
          <w:sz w:val="24"/>
          <w:szCs w:val="24"/>
        </w:rPr>
        <w:t>,</w:t>
      </w:r>
      <w:r w:rsidRPr="00DD5003">
        <w:rPr>
          <w:rFonts w:ascii="Arial" w:hAnsi="Arial" w:cs="Arial"/>
          <w:sz w:val="24"/>
          <w:szCs w:val="24"/>
        </w:rPr>
        <w:t xml:space="preserve"> they sought an order that the MEC for Health and the HOD for Health “be directed” to endeavor to conclude agreements with the plaintiff respondents to pay the judgment debts in instalments and, failing such agreement, to bring an application for the variation of the court orders to permit instalment payments in a manner that does not disrupt or materially impede the delivery of medical and emergency services at public health facilities in the Eastern Cape.  They said that they would seek a further suspension of all execution proceedings pending the final determination of such applications for variations.  </w:t>
      </w:r>
    </w:p>
    <w:p w14:paraId="06BF5447" w14:textId="77777777" w:rsidR="00A31301" w:rsidRPr="00A31301" w:rsidRDefault="00A31301" w:rsidP="00811ED3">
      <w:pPr>
        <w:pStyle w:val="ListParagraph"/>
        <w:spacing w:after="0" w:line="480" w:lineRule="auto"/>
        <w:ind w:left="0"/>
        <w:jc w:val="both"/>
        <w:rPr>
          <w:rFonts w:ascii="Arial" w:hAnsi="Arial" w:cs="Arial"/>
          <w:sz w:val="24"/>
          <w:szCs w:val="24"/>
        </w:rPr>
      </w:pPr>
    </w:p>
    <w:p w14:paraId="7510D2B9" w14:textId="77777777" w:rsidR="00A31301" w:rsidRPr="002A4ECE" w:rsidRDefault="00AA2F01" w:rsidP="00811ED3">
      <w:pPr>
        <w:pStyle w:val="ListParagraph"/>
        <w:numPr>
          <w:ilvl w:val="0"/>
          <w:numId w:val="20"/>
        </w:numPr>
        <w:spacing w:after="0" w:line="480" w:lineRule="auto"/>
        <w:ind w:left="0" w:firstLine="0"/>
        <w:jc w:val="both"/>
        <w:rPr>
          <w:rFonts w:ascii="Arial" w:hAnsi="Arial" w:cs="Arial"/>
          <w:sz w:val="24"/>
          <w:szCs w:val="24"/>
        </w:rPr>
      </w:pPr>
      <w:r>
        <w:rPr>
          <w:rFonts w:ascii="Arial" w:hAnsi="Arial" w:cs="Arial"/>
          <w:sz w:val="24"/>
          <w:szCs w:val="24"/>
        </w:rPr>
        <w:t>It is necessary to transverse briefly the history of the application.  The relief sought</w:t>
      </w:r>
      <w:r w:rsidR="00A31301">
        <w:rPr>
          <w:rFonts w:ascii="Arial" w:hAnsi="Arial" w:cs="Arial"/>
          <w:sz w:val="24"/>
          <w:szCs w:val="24"/>
        </w:rPr>
        <w:t xml:space="preserve"> </w:t>
      </w:r>
      <w:r w:rsidR="005D34B7">
        <w:rPr>
          <w:rFonts w:ascii="Arial" w:hAnsi="Arial" w:cs="Arial"/>
          <w:sz w:val="24"/>
          <w:szCs w:val="24"/>
        </w:rPr>
        <w:t xml:space="preserve">has </w:t>
      </w:r>
      <w:r w:rsidR="00A31301">
        <w:rPr>
          <w:rFonts w:ascii="Arial" w:hAnsi="Arial" w:cs="Arial"/>
          <w:sz w:val="24"/>
          <w:szCs w:val="24"/>
        </w:rPr>
        <w:t>morphed over time.</w:t>
      </w:r>
      <w:r w:rsidR="00A31301" w:rsidRPr="002A4ECE">
        <w:rPr>
          <w:rFonts w:ascii="Arial" w:hAnsi="Arial" w:cs="Arial"/>
          <w:sz w:val="24"/>
          <w:szCs w:val="24"/>
        </w:rPr>
        <w:t xml:space="preserve">  </w:t>
      </w:r>
      <w:r w:rsidR="00A31301">
        <w:rPr>
          <w:rFonts w:ascii="Arial" w:hAnsi="Arial" w:cs="Arial"/>
          <w:sz w:val="24"/>
          <w:szCs w:val="24"/>
        </w:rPr>
        <w:t>At first, the</w:t>
      </w:r>
      <w:r w:rsidR="00A31301" w:rsidRPr="002A4ECE">
        <w:rPr>
          <w:rFonts w:ascii="Arial" w:hAnsi="Arial" w:cs="Arial"/>
          <w:sz w:val="24"/>
          <w:szCs w:val="24"/>
        </w:rPr>
        <w:t xml:space="preserve"> applic</w:t>
      </w:r>
      <w:r w:rsidR="00A31301">
        <w:rPr>
          <w:rFonts w:ascii="Arial" w:hAnsi="Arial" w:cs="Arial"/>
          <w:sz w:val="24"/>
          <w:szCs w:val="24"/>
        </w:rPr>
        <w:t xml:space="preserve">ants tendered to </w:t>
      </w:r>
      <w:r>
        <w:rPr>
          <w:rFonts w:ascii="Arial" w:hAnsi="Arial" w:cs="Arial"/>
          <w:sz w:val="24"/>
          <w:szCs w:val="24"/>
        </w:rPr>
        <w:t xml:space="preserve">permit </w:t>
      </w:r>
      <w:r w:rsidR="00A31301">
        <w:rPr>
          <w:rFonts w:ascii="Arial" w:hAnsi="Arial" w:cs="Arial"/>
          <w:sz w:val="24"/>
          <w:szCs w:val="24"/>
        </w:rPr>
        <w:t xml:space="preserve">each plaintiff </w:t>
      </w:r>
      <w:r w:rsidR="00A31301" w:rsidRPr="002A4ECE">
        <w:rPr>
          <w:rFonts w:ascii="Arial" w:hAnsi="Arial" w:cs="Arial"/>
          <w:sz w:val="24"/>
          <w:szCs w:val="24"/>
        </w:rPr>
        <w:t xml:space="preserve">respondent </w:t>
      </w:r>
      <w:r>
        <w:rPr>
          <w:rFonts w:ascii="Arial" w:hAnsi="Arial" w:cs="Arial"/>
          <w:sz w:val="24"/>
          <w:szCs w:val="24"/>
        </w:rPr>
        <w:t xml:space="preserve">to attach </w:t>
      </w:r>
      <w:r w:rsidR="00A31301" w:rsidRPr="002A4ECE">
        <w:rPr>
          <w:rFonts w:ascii="Arial" w:hAnsi="Arial" w:cs="Arial"/>
          <w:sz w:val="24"/>
          <w:szCs w:val="24"/>
        </w:rPr>
        <w:t>R500 000,00</w:t>
      </w:r>
      <w:r>
        <w:rPr>
          <w:rFonts w:ascii="Arial" w:hAnsi="Arial" w:cs="Arial"/>
          <w:sz w:val="24"/>
          <w:szCs w:val="24"/>
        </w:rPr>
        <w:t xml:space="preserve"> of its Paymaster General account (PMG account)</w:t>
      </w:r>
      <w:r>
        <w:rPr>
          <w:rStyle w:val="FootnoteReference"/>
          <w:rFonts w:ascii="Arial" w:hAnsi="Arial" w:cs="Arial"/>
          <w:sz w:val="24"/>
          <w:szCs w:val="24"/>
        </w:rPr>
        <w:footnoteReference w:id="3"/>
      </w:r>
      <w:r w:rsidR="00A31301" w:rsidRPr="002A4ECE">
        <w:rPr>
          <w:rFonts w:ascii="Arial" w:hAnsi="Arial" w:cs="Arial"/>
          <w:sz w:val="24"/>
          <w:szCs w:val="24"/>
        </w:rPr>
        <w:t>, of which no more than R125 000,00 was to be paid to the attorney</w:t>
      </w:r>
      <w:r w:rsidR="00A31301">
        <w:rPr>
          <w:rFonts w:ascii="Arial" w:hAnsi="Arial" w:cs="Arial"/>
          <w:sz w:val="24"/>
          <w:szCs w:val="24"/>
        </w:rPr>
        <w:t xml:space="preserve"> respondents</w:t>
      </w:r>
      <w:r w:rsidR="005D34B7">
        <w:rPr>
          <w:rFonts w:ascii="Arial" w:hAnsi="Arial" w:cs="Arial"/>
          <w:sz w:val="24"/>
          <w:szCs w:val="24"/>
        </w:rPr>
        <w:t xml:space="preserve"> in respect of legal fees</w:t>
      </w:r>
      <w:r w:rsidR="00A31301">
        <w:rPr>
          <w:rFonts w:ascii="Arial" w:hAnsi="Arial" w:cs="Arial"/>
          <w:sz w:val="24"/>
          <w:szCs w:val="24"/>
        </w:rPr>
        <w:t>,</w:t>
      </w:r>
      <w:r w:rsidR="005D34B7">
        <w:rPr>
          <w:rFonts w:ascii="Arial" w:hAnsi="Arial" w:cs="Arial"/>
          <w:sz w:val="24"/>
          <w:szCs w:val="24"/>
        </w:rPr>
        <w:t xml:space="preserve"> to which they were contractually entitled,</w:t>
      </w:r>
      <w:r w:rsidR="00A31301">
        <w:rPr>
          <w:rFonts w:ascii="Arial" w:hAnsi="Arial" w:cs="Arial"/>
          <w:sz w:val="24"/>
          <w:szCs w:val="24"/>
        </w:rPr>
        <w:t xml:space="preserve"> </w:t>
      </w:r>
      <w:r w:rsidR="00A31301" w:rsidRPr="002A4ECE">
        <w:rPr>
          <w:rFonts w:ascii="Arial" w:hAnsi="Arial" w:cs="Arial"/>
          <w:sz w:val="24"/>
          <w:szCs w:val="24"/>
        </w:rPr>
        <w:t xml:space="preserve">and suggested that the remaining R375 000,00 would be sufficient to pay for any urgent medical attention required by </w:t>
      </w:r>
      <w:r w:rsidR="00A31301">
        <w:rPr>
          <w:rFonts w:ascii="Arial" w:hAnsi="Arial" w:cs="Arial"/>
          <w:sz w:val="24"/>
          <w:szCs w:val="24"/>
        </w:rPr>
        <w:t xml:space="preserve">them, or by </w:t>
      </w:r>
      <w:r w:rsidR="00A31301" w:rsidRPr="002A4ECE">
        <w:rPr>
          <w:rFonts w:ascii="Arial" w:hAnsi="Arial" w:cs="Arial"/>
          <w:sz w:val="24"/>
          <w:szCs w:val="24"/>
        </w:rPr>
        <w:t>persons on behalf of whom actions had been instituted</w:t>
      </w:r>
      <w:r w:rsidR="00A31301">
        <w:rPr>
          <w:rFonts w:ascii="Arial" w:hAnsi="Arial" w:cs="Arial"/>
          <w:sz w:val="24"/>
          <w:szCs w:val="24"/>
        </w:rPr>
        <w:t xml:space="preserve"> (</w:t>
      </w:r>
      <w:r w:rsidR="005D34B7">
        <w:rPr>
          <w:rFonts w:ascii="Arial" w:hAnsi="Arial" w:cs="Arial"/>
          <w:sz w:val="24"/>
          <w:szCs w:val="24"/>
        </w:rPr>
        <w:t xml:space="preserve">the </w:t>
      </w:r>
      <w:r w:rsidR="005D34B7">
        <w:rPr>
          <w:rFonts w:ascii="Arial" w:hAnsi="Arial" w:cs="Arial"/>
          <w:sz w:val="24"/>
          <w:szCs w:val="24"/>
        </w:rPr>
        <w:lastRenderedPageBreak/>
        <w:t>injured parties</w:t>
      </w:r>
      <w:r w:rsidR="00A31301">
        <w:rPr>
          <w:rFonts w:ascii="Arial" w:hAnsi="Arial" w:cs="Arial"/>
          <w:sz w:val="24"/>
          <w:szCs w:val="24"/>
        </w:rPr>
        <w:t>)</w:t>
      </w:r>
      <w:r w:rsidR="00A31301" w:rsidRPr="002A4ECE">
        <w:rPr>
          <w:rFonts w:ascii="Arial" w:hAnsi="Arial" w:cs="Arial"/>
          <w:sz w:val="24"/>
          <w:szCs w:val="24"/>
        </w:rPr>
        <w:t>.  They tendered that any further urgent medical services required by such persons, over and above those services which are paid for by the R375 000,00</w:t>
      </w:r>
      <w:r>
        <w:rPr>
          <w:rFonts w:ascii="Arial" w:hAnsi="Arial" w:cs="Arial"/>
          <w:sz w:val="24"/>
          <w:szCs w:val="24"/>
        </w:rPr>
        <w:t>,</w:t>
      </w:r>
      <w:r w:rsidR="00A31301" w:rsidRPr="002A4ECE">
        <w:rPr>
          <w:rFonts w:ascii="Arial" w:hAnsi="Arial" w:cs="Arial"/>
          <w:sz w:val="24"/>
          <w:szCs w:val="24"/>
        </w:rPr>
        <w:t xml:space="preserve"> must be delivered by the applicants’ facilities, failing which respondents may</w:t>
      </w:r>
      <w:r w:rsidR="00A31301">
        <w:rPr>
          <w:rFonts w:ascii="Arial" w:hAnsi="Arial" w:cs="Arial"/>
          <w:sz w:val="24"/>
          <w:szCs w:val="24"/>
        </w:rPr>
        <w:t>,</w:t>
      </w:r>
      <w:r w:rsidR="00A31301" w:rsidRPr="002A4ECE">
        <w:rPr>
          <w:rFonts w:ascii="Arial" w:hAnsi="Arial" w:cs="Arial"/>
          <w:sz w:val="24"/>
          <w:szCs w:val="24"/>
        </w:rPr>
        <w:t xml:space="preserve"> on five</w:t>
      </w:r>
      <w:r w:rsidR="00A31301">
        <w:rPr>
          <w:rFonts w:ascii="Arial" w:hAnsi="Arial" w:cs="Arial"/>
          <w:sz w:val="24"/>
          <w:szCs w:val="24"/>
        </w:rPr>
        <w:t xml:space="preserve"> days</w:t>
      </w:r>
      <w:r w:rsidR="00A31301" w:rsidRPr="002A4ECE">
        <w:rPr>
          <w:rFonts w:ascii="Arial" w:hAnsi="Arial" w:cs="Arial"/>
          <w:sz w:val="24"/>
          <w:szCs w:val="24"/>
        </w:rPr>
        <w:t>’ notice</w:t>
      </w:r>
      <w:r w:rsidR="00A31301">
        <w:rPr>
          <w:rFonts w:ascii="Arial" w:hAnsi="Arial" w:cs="Arial"/>
          <w:sz w:val="24"/>
          <w:szCs w:val="24"/>
        </w:rPr>
        <w:t>,</w:t>
      </w:r>
      <w:r w:rsidR="00A31301" w:rsidRPr="002A4ECE">
        <w:rPr>
          <w:rFonts w:ascii="Arial" w:hAnsi="Arial" w:cs="Arial"/>
          <w:sz w:val="24"/>
          <w:szCs w:val="24"/>
        </w:rPr>
        <w:t xml:space="preserve"> approach the </w:t>
      </w:r>
      <w:r w:rsidR="005D34B7">
        <w:rPr>
          <w:rFonts w:ascii="Arial" w:hAnsi="Arial" w:cs="Arial"/>
          <w:sz w:val="24"/>
          <w:szCs w:val="24"/>
        </w:rPr>
        <w:t>h</w:t>
      </w:r>
      <w:r w:rsidR="00A31301" w:rsidRPr="002A4ECE">
        <w:rPr>
          <w:rFonts w:ascii="Arial" w:hAnsi="Arial" w:cs="Arial"/>
          <w:sz w:val="24"/>
          <w:szCs w:val="24"/>
        </w:rPr>
        <w:t xml:space="preserve">igh </w:t>
      </w:r>
      <w:r w:rsidR="005D34B7">
        <w:rPr>
          <w:rFonts w:ascii="Arial" w:hAnsi="Arial" w:cs="Arial"/>
          <w:sz w:val="24"/>
          <w:szCs w:val="24"/>
        </w:rPr>
        <w:t>c</w:t>
      </w:r>
      <w:r w:rsidR="00A31301" w:rsidRPr="002A4ECE">
        <w:rPr>
          <w:rFonts w:ascii="Arial" w:hAnsi="Arial" w:cs="Arial"/>
          <w:sz w:val="24"/>
          <w:szCs w:val="24"/>
        </w:rPr>
        <w:t xml:space="preserve">ourt for relief.  </w:t>
      </w:r>
    </w:p>
    <w:p w14:paraId="2171067C" w14:textId="77777777" w:rsidR="00A31301" w:rsidRDefault="00A31301" w:rsidP="00811ED3">
      <w:pPr>
        <w:spacing w:after="0" w:line="480" w:lineRule="auto"/>
        <w:jc w:val="both"/>
        <w:rPr>
          <w:rFonts w:ascii="Arial" w:hAnsi="Arial" w:cs="Arial"/>
          <w:sz w:val="24"/>
          <w:szCs w:val="24"/>
        </w:rPr>
      </w:pPr>
    </w:p>
    <w:p w14:paraId="08127F85" w14:textId="77777777" w:rsidR="00A31301" w:rsidRPr="002A4ECE" w:rsidRDefault="00A31301" w:rsidP="00811ED3">
      <w:pPr>
        <w:pStyle w:val="ListParagraph"/>
        <w:numPr>
          <w:ilvl w:val="0"/>
          <w:numId w:val="20"/>
        </w:numPr>
        <w:spacing w:after="0" w:line="480" w:lineRule="auto"/>
        <w:ind w:left="0" w:firstLine="0"/>
        <w:jc w:val="both"/>
        <w:rPr>
          <w:rFonts w:ascii="Arial" w:hAnsi="Arial" w:cs="Arial"/>
          <w:sz w:val="24"/>
          <w:szCs w:val="24"/>
        </w:rPr>
      </w:pPr>
      <w:r w:rsidRPr="002A4ECE">
        <w:rPr>
          <w:rFonts w:ascii="Arial" w:hAnsi="Arial" w:cs="Arial"/>
          <w:sz w:val="24"/>
          <w:szCs w:val="24"/>
        </w:rPr>
        <w:t>As I have said, the application was postponed from time to time and</w:t>
      </w:r>
      <w:r w:rsidR="00317071">
        <w:rPr>
          <w:rFonts w:ascii="Arial" w:hAnsi="Arial" w:cs="Arial"/>
          <w:sz w:val="24"/>
          <w:szCs w:val="24"/>
        </w:rPr>
        <w:t>,</w:t>
      </w:r>
      <w:r>
        <w:rPr>
          <w:rFonts w:ascii="Arial" w:hAnsi="Arial" w:cs="Arial"/>
          <w:sz w:val="24"/>
          <w:szCs w:val="24"/>
        </w:rPr>
        <w:t xml:space="preserve"> i</w:t>
      </w:r>
      <w:r w:rsidRPr="002A4ECE">
        <w:rPr>
          <w:rFonts w:ascii="Arial" w:hAnsi="Arial" w:cs="Arial"/>
          <w:sz w:val="24"/>
          <w:szCs w:val="24"/>
        </w:rPr>
        <w:t>n November 2021</w:t>
      </w:r>
      <w:r w:rsidR="00317071">
        <w:rPr>
          <w:rFonts w:ascii="Arial" w:hAnsi="Arial" w:cs="Arial"/>
          <w:sz w:val="24"/>
          <w:szCs w:val="24"/>
        </w:rPr>
        <w:t>,</w:t>
      </w:r>
      <w:r w:rsidRPr="002A4ECE">
        <w:rPr>
          <w:rFonts w:ascii="Arial" w:hAnsi="Arial" w:cs="Arial"/>
          <w:sz w:val="24"/>
          <w:szCs w:val="24"/>
        </w:rPr>
        <w:t xml:space="preserve"> the applicants amended </w:t>
      </w:r>
      <w:r w:rsidR="00317071">
        <w:rPr>
          <w:rFonts w:ascii="Arial" w:hAnsi="Arial" w:cs="Arial"/>
          <w:sz w:val="24"/>
          <w:szCs w:val="24"/>
        </w:rPr>
        <w:t xml:space="preserve">their </w:t>
      </w:r>
      <w:r>
        <w:rPr>
          <w:rFonts w:ascii="Arial" w:hAnsi="Arial" w:cs="Arial"/>
          <w:sz w:val="24"/>
          <w:szCs w:val="24"/>
        </w:rPr>
        <w:t>notice of motion</w:t>
      </w:r>
      <w:r w:rsidR="00317071">
        <w:rPr>
          <w:rFonts w:ascii="Arial" w:hAnsi="Arial" w:cs="Arial"/>
          <w:sz w:val="24"/>
          <w:szCs w:val="24"/>
        </w:rPr>
        <w:t xml:space="preserve"> to include, as the main relief</w:t>
      </w:r>
      <w:r w:rsidRPr="002A4ECE">
        <w:rPr>
          <w:rFonts w:ascii="Arial" w:hAnsi="Arial" w:cs="Arial"/>
          <w:sz w:val="24"/>
          <w:szCs w:val="24"/>
        </w:rPr>
        <w:t xml:space="preserve">, a declaratory order that any attachment </w:t>
      </w:r>
      <w:r w:rsidR="00451173" w:rsidRPr="002A4ECE">
        <w:rPr>
          <w:rFonts w:ascii="Arial" w:hAnsi="Arial" w:cs="Arial"/>
          <w:sz w:val="24"/>
          <w:szCs w:val="24"/>
        </w:rPr>
        <w:t xml:space="preserve">of </w:t>
      </w:r>
      <w:r w:rsidR="00451173">
        <w:rPr>
          <w:rFonts w:ascii="Arial" w:hAnsi="Arial" w:cs="Arial"/>
          <w:sz w:val="24"/>
          <w:szCs w:val="24"/>
        </w:rPr>
        <w:t>the</w:t>
      </w:r>
      <w:r w:rsidR="005D34B7">
        <w:rPr>
          <w:rFonts w:ascii="Arial" w:hAnsi="Arial" w:cs="Arial"/>
          <w:sz w:val="24"/>
          <w:szCs w:val="24"/>
        </w:rPr>
        <w:t xml:space="preserve"> ECDOH’s </w:t>
      </w:r>
      <w:r w:rsidR="00176D27">
        <w:rPr>
          <w:rFonts w:ascii="Arial" w:hAnsi="Arial" w:cs="Arial"/>
          <w:sz w:val="24"/>
          <w:szCs w:val="24"/>
        </w:rPr>
        <w:t>P</w:t>
      </w:r>
      <w:r w:rsidR="00AA2F01">
        <w:rPr>
          <w:rFonts w:ascii="Arial" w:hAnsi="Arial" w:cs="Arial"/>
          <w:sz w:val="24"/>
          <w:szCs w:val="24"/>
        </w:rPr>
        <w:t>MG account</w:t>
      </w:r>
      <w:r w:rsidR="005D34B7">
        <w:rPr>
          <w:rFonts w:ascii="Arial" w:hAnsi="Arial" w:cs="Arial"/>
          <w:sz w:val="24"/>
          <w:szCs w:val="24"/>
        </w:rPr>
        <w:t xml:space="preserve">, </w:t>
      </w:r>
      <w:r w:rsidRPr="002A4ECE">
        <w:rPr>
          <w:rFonts w:ascii="Arial" w:hAnsi="Arial" w:cs="Arial"/>
          <w:sz w:val="24"/>
          <w:szCs w:val="24"/>
        </w:rPr>
        <w:t>in execution was unlawful.</w:t>
      </w:r>
      <w:r>
        <w:rPr>
          <w:rStyle w:val="FootnoteReference"/>
          <w:rFonts w:ascii="Arial" w:hAnsi="Arial" w:cs="Arial"/>
          <w:sz w:val="24"/>
          <w:szCs w:val="24"/>
        </w:rPr>
        <w:footnoteReference w:id="4"/>
      </w:r>
      <w:r w:rsidRPr="002A4ECE">
        <w:rPr>
          <w:rFonts w:ascii="Arial" w:hAnsi="Arial" w:cs="Arial"/>
          <w:sz w:val="24"/>
          <w:szCs w:val="24"/>
        </w:rPr>
        <w:t xml:space="preserve">  The declaratory relief is final</w:t>
      </w:r>
      <w:r w:rsidR="005D34B7">
        <w:rPr>
          <w:rFonts w:ascii="Arial" w:hAnsi="Arial" w:cs="Arial"/>
          <w:sz w:val="24"/>
          <w:szCs w:val="24"/>
        </w:rPr>
        <w:t>,</w:t>
      </w:r>
      <w:r w:rsidRPr="002A4ECE">
        <w:rPr>
          <w:rFonts w:ascii="Arial" w:hAnsi="Arial" w:cs="Arial"/>
          <w:sz w:val="24"/>
          <w:szCs w:val="24"/>
        </w:rPr>
        <w:t xml:space="preserve"> both in form and effect</w:t>
      </w:r>
      <w:r w:rsidR="005D34B7">
        <w:rPr>
          <w:rFonts w:ascii="Arial" w:hAnsi="Arial" w:cs="Arial"/>
          <w:sz w:val="24"/>
          <w:szCs w:val="24"/>
        </w:rPr>
        <w:t>,</w:t>
      </w:r>
      <w:r w:rsidRPr="002A4ECE">
        <w:rPr>
          <w:rFonts w:ascii="Arial" w:hAnsi="Arial" w:cs="Arial"/>
          <w:sz w:val="24"/>
          <w:szCs w:val="24"/>
        </w:rPr>
        <w:t xml:space="preserve"> and </w:t>
      </w:r>
      <w:r>
        <w:rPr>
          <w:rFonts w:ascii="Arial" w:hAnsi="Arial" w:cs="Arial"/>
          <w:sz w:val="24"/>
          <w:szCs w:val="24"/>
        </w:rPr>
        <w:t xml:space="preserve">involves the interpretation of statutory provisions.  </w:t>
      </w:r>
      <w:r w:rsidRPr="002A4ECE">
        <w:rPr>
          <w:rFonts w:ascii="Arial" w:hAnsi="Arial" w:cs="Arial"/>
          <w:sz w:val="24"/>
          <w:szCs w:val="24"/>
        </w:rPr>
        <w:t xml:space="preserve">Accordingly, the </w:t>
      </w:r>
      <w:r>
        <w:rPr>
          <w:rFonts w:ascii="Arial" w:hAnsi="Arial" w:cs="Arial"/>
          <w:sz w:val="24"/>
          <w:szCs w:val="24"/>
        </w:rPr>
        <w:t xml:space="preserve">interim </w:t>
      </w:r>
      <w:r w:rsidRPr="002A4ECE">
        <w:rPr>
          <w:rFonts w:ascii="Arial" w:hAnsi="Arial" w:cs="Arial"/>
          <w:sz w:val="24"/>
          <w:szCs w:val="24"/>
        </w:rPr>
        <w:t>relief adumbrated earlier, was sought in the alternative</w:t>
      </w:r>
      <w:r>
        <w:rPr>
          <w:rFonts w:ascii="Arial" w:hAnsi="Arial" w:cs="Arial"/>
          <w:sz w:val="24"/>
          <w:szCs w:val="24"/>
        </w:rPr>
        <w:t xml:space="preserve"> to the declarator</w:t>
      </w:r>
      <w:r w:rsidRPr="002A4ECE">
        <w:rPr>
          <w:rFonts w:ascii="Arial" w:hAnsi="Arial" w:cs="Arial"/>
          <w:sz w:val="24"/>
          <w:szCs w:val="24"/>
        </w:rPr>
        <w:t xml:space="preserve">.  </w:t>
      </w:r>
    </w:p>
    <w:p w14:paraId="48B2B4D5" w14:textId="77777777" w:rsidR="00A31301" w:rsidRDefault="00A31301" w:rsidP="00811ED3">
      <w:pPr>
        <w:spacing w:after="0" w:line="480" w:lineRule="auto"/>
        <w:jc w:val="both"/>
        <w:rPr>
          <w:rFonts w:ascii="Arial" w:hAnsi="Arial" w:cs="Arial"/>
          <w:sz w:val="24"/>
          <w:szCs w:val="24"/>
        </w:rPr>
      </w:pPr>
    </w:p>
    <w:p w14:paraId="0AD02CF8" w14:textId="11489CCD" w:rsidR="00A31301" w:rsidRPr="002A4ECE" w:rsidRDefault="00A31301" w:rsidP="00811ED3">
      <w:pPr>
        <w:pStyle w:val="ListParagraph"/>
        <w:numPr>
          <w:ilvl w:val="0"/>
          <w:numId w:val="20"/>
        </w:numPr>
        <w:spacing w:after="0" w:line="480" w:lineRule="auto"/>
        <w:ind w:left="0" w:firstLine="0"/>
        <w:jc w:val="both"/>
        <w:rPr>
          <w:rFonts w:ascii="Arial" w:hAnsi="Arial" w:cs="Arial"/>
          <w:sz w:val="24"/>
          <w:szCs w:val="24"/>
        </w:rPr>
      </w:pPr>
      <w:r w:rsidRPr="002A4ECE">
        <w:rPr>
          <w:rFonts w:ascii="Arial" w:hAnsi="Arial" w:cs="Arial"/>
          <w:sz w:val="24"/>
          <w:szCs w:val="24"/>
        </w:rPr>
        <w:t xml:space="preserve">During the course of the argument of the application, Ms </w:t>
      </w:r>
      <w:r w:rsidRPr="002A4ECE">
        <w:rPr>
          <w:rFonts w:ascii="Arial" w:hAnsi="Arial" w:cs="Arial"/>
          <w:i/>
          <w:sz w:val="24"/>
          <w:szCs w:val="24"/>
        </w:rPr>
        <w:t xml:space="preserve">Bawa, </w:t>
      </w:r>
      <w:r w:rsidRPr="002A4ECE">
        <w:rPr>
          <w:rFonts w:ascii="Arial" w:hAnsi="Arial" w:cs="Arial"/>
          <w:sz w:val="24"/>
          <w:szCs w:val="24"/>
        </w:rPr>
        <w:t>on behalf of the applicants, advised that they</w:t>
      </w:r>
      <w:r>
        <w:rPr>
          <w:rFonts w:ascii="Arial" w:hAnsi="Arial" w:cs="Arial"/>
          <w:sz w:val="24"/>
          <w:szCs w:val="24"/>
        </w:rPr>
        <w:t xml:space="preserve"> would</w:t>
      </w:r>
      <w:r w:rsidRPr="002A4ECE">
        <w:rPr>
          <w:rFonts w:ascii="Arial" w:hAnsi="Arial" w:cs="Arial"/>
          <w:sz w:val="24"/>
          <w:szCs w:val="24"/>
        </w:rPr>
        <w:t xml:space="preserve"> no longer seek the relief set out </w:t>
      </w:r>
      <w:r>
        <w:rPr>
          <w:rFonts w:ascii="Arial" w:hAnsi="Arial" w:cs="Arial"/>
          <w:sz w:val="24"/>
          <w:szCs w:val="24"/>
        </w:rPr>
        <w:t>in the notice of motion</w:t>
      </w:r>
      <w:r w:rsidRPr="002A4ECE">
        <w:rPr>
          <w:rFonts w:ascii="Arial" w:hAnsi="Arial" w:cs="Arial"/>
          <w:sz w:val="24"/>
          <w:szCs w:val="24"/>
        </w:rPr>
        <w:t xml:space="preserve"> but, in its stead, she proposed three </w:t>
      </w:r>
      <w:r>
        <w:rPr>
          <w:rFonts w:ascii="Arial" w:hAnsi="Arial" w:cs="Arial"/>
          <w:sz w:val="24"/>
          <w:szCs w:val="24"/>
        </w:rPr>
        <w:t xml:space="preserve">alternative </w:t>
      </w:r>
      <w:r w:rsidRPr="002A4ECE">
        <w:rPr>
          <w:rFonts w:ascii="Arial" w:hAnsi="Arial" w:cs="Arial"/>
          <w:sz w:val="24"/>
          <w:szCs w:val="24"/>
        </w:rPr>
        <w:t xml:space="preserve">draft orders.  The first </w:t>
      </w:r>
      <w:r>
        <w:rPr>
          <w:rFonts w:ascii="Arial" w:hAnsi="Arial" w:cs="Arial"/>
          <w:sz w:val="24"/>
          <w:szCs w:val="24"/>
        </w:rPr>
        <w:t>would apply</w:t>
      </w:r>
      <w:r w:rsidRPr="002A4ECE">
        <w:rPr>
          <w:rFonts w:ascii="Arial" w:hAnsi="Arial" w:cs="Arial"/>
          <w:sz w:val="24"/>
          <w:szCs w:val="24"/>
        </w:rPr>
        <w:t xml:space="preserve"> to the declaratory relief, to which I revert.  Annexed to the second draft order was a table </w:t>
      </w:r>
      <w:r>
        <w:rPr>
          <w:rFonts w:ascii="Arial" w:hAnsi="Arial" w:cs="Arial"/>
          <w:sz w:val="24"/>
          <w:szCs w:val="24"/>
        </w:rPr>
        <w:t xml:space="preserve">that recorded the </w:t>
      </w:r>
      <w:r w:rsidRPr="002A4ECE">
        <w:rPr>
          <w:rFonts w:ascii="Arial" w:hAnsi="Arial" w:cs="Arial"/>
          <w:sz w:val="24"/>
          <w:szCs w:val="24"/>
        </w:rPr>
        <w:t xml:space="preserve">judgment debts due to each of the </w:t>
      </w:r>
      <w:r>
        <w:rPr>
          <w:rFonts w:ascii="Arial" w:hAnsi="Arial" w:cs="Arial"/>
          <w:sz w:val="24"/>
          <w:szCs w:val="24"/>
        </w:rPr>
        <w:t xml:space="preserve">plaintiff </w:t>
      </w:r>
      <w:r w:rsidRPr="002A4ECE">
        <w:rPr>
          <w:rFonts w:ascii="Arial" w:hAnsi="Arial" w:cs="Arial"/>
          <w:sz w:val="24"/>
          <w:szCs w:val="24"/>
        </w:rPr>
        <w:t xml:space="preserve">respondents and a schedule </w:t>
      </w:r>
      <w:r>
        <w:rPr>
          <w:rFonts w:ascii="Arial" w:hAnsi="Arial" w:cs="Arial"/>
          <w:sz w:val="24"/>
          <w:szCs w:val="24"/>
        </w:rPr>
        <w:t xml:space="preserve">of proposed </w:t>
      </w:r>
      <w:r w:rsidRPr="002A4ECE">
        <w:rPr>
          <w:rFonts w:ascii="Arial" w:hAnsi="Arial" w:cs="Arial"/>
          <w:sz w:val="24"/>
          <w:szCs w:val="24"/>
        </w:rPr>
        <w:t>annual instalments</w:t>
      </w:r>
      <w:r>
        <w:rPr>
          <w:rFonts w:ascii="Arial" w:hAnsi="Arial" w:cs="Arial"/>
          <w:sz w:val="24"/>
          <w:szCs w:val="24"/>
        </w:rPr>
        <w:t>,</w:t>
      </w:r>
      <w:r w:rsidRPr="002A4ECE">
        <w:rPr>
          <w:rFonts w:ascii="Arial" w:hAnsi="Arial" w:cs="Arial"/>
          <w:sz w:val="24"/>
          <w:szCs w:val="24"/>
        </w:rPr>
        <w:t xml:space="preserve"> which the </w:t>
      </w:r>
      <w:r w:rsidR="00F90524">
        <w:rPr>
          <w:rFonts w:ascii="Arial" w:hAnsi="Arial" w:cs="Arial"/>
          <w:sz w:val="24"/>
          <w:szCs w:val="24"/>
        </w:rPr>
        <w:t>applicants</w:t>
      </w:r>
      <w:r w:rsidRPr="002A4ECE">
        <w:rPr>
          <w:rFonts w:ascii="Arial" w:hAnsi="Arial" w:cs="Arial"/>
          <w:sz w:val="24"/>
          <w:szCs w:val="24"/>
        </w:rPr>
        <w:t xml:space="preserve"> intended to pay in order to settle the judgment debts.  The </w:t>
      </w:r>
      <w:r>
        <w:rPr>
          <w:rFonts w:ascii="Arial" w:hAnsi="Arial" w:cs="Arial"/>
          <w:sz w:val="24"/>
          <w:szCs w:val="24"/>
        </w:rPr>
        <w:t xml:space="preserve">number of </w:t>
      </w:r>
      <w:r w:rsidRPr="002A4ECE">
        <w:rPr>
          <w:rFonts w:ascii="Arial" w:hAnsi="Arial" w:cs="Arial"/>
          <w:sz w:val="24"/>
          <w:szCs w:val="24"/>
        </w:rPr>
        <w:t>instalment</w:t>
      </w:r>
      <w:r>
        <w:rPr>
          <w:rFonts w:ascii="Arial" w:hAnsi="Arial" w:cs="Arial"/>
          <w:sz w:val="24"/>
          <w:szCs w:val="24"/>
        </w:rPr>
        <w:t>s</w:t>
      </w:r>
      <w:r w:rsidRPr="002A4ECE">
        <w:rPr>
          <w:rFonts w:ascii="Arial" w:hAnsi="Arial" w:cs="Arial"/>
          <w:sz w:val="24"/>
          <w:szCs w:val="24"/>
        </w:rPr>
        <w:t xml:space="preserve"> varie</w:t>
      </w:r>
      <w:r>
        <w:rPr>
          <w:rFonts w:ascii="Arial" w:hAnsi="Arial" w:cs="Arial"/>
          <w:sz w:val="24"/>
          <w:szCs w:val="24"/>
        </w:rPr>
        <w:t>d</w:t>
      </w:r>
      <w:r w:rsidRPr="002A4ECE">
        <w:rPr>
          <w:rFonts w:ascii="Arial" w:hAnsi="Arial" w:cs="Arial"/>
          <w:sz w:val="24"/>
          <w:szCs w:val="24"/>
        </w:rPr>
        <w:t xml:space="preserve"> from two annual payments to ten</w:t>
      </w:r>
      <w:r>
        <w:rPr>
          <w:rFonts w:ascii="Arial" w:hAnsi="Arial" w:cs="Arial"/>
          <w:sz w:val="24"/>
          <w:szCs w:val="24"/>
        </w:rPr>
        <w:t>,</w:t>
      </w:r>
      <w:r w:rsidRPr="002A4ECE">
        <w:rPr>
          <w:rFonts w:ascii="Arial" w:hAnsi="Arial" w:cs="Arial"/>
          <w:sz w:val="24"/>
          <w:szCs w:val="24"/>
        </w:rPr>
        <w:t xml:space="preserve"> depending on the magnitude of the award.  The applicants said that </w:t>
      </w:r>
      <w:r>
        <w:rPr>
          <w:rFonts w:ascii="Arial" w:hAnsi="Arial" w:cs="Arial"/>
          <w:sz w:val="24"/>
          <w:szCs w:val="24"/>
        </w:rPr>
        <w:t>the relief claimed in the second draft would be interim</w:t>
      </w:r>
      <w:r w:rsidRPr="002A4ECE">
        <w:rPr>
          <w:rFonts w:ascii="Arial" w:hAnsi="Arial" w:cs="Arial"/>
          <w:sz w:val="24"/>
          <w:szCs w:val="24"/>
        </w:rPr>
        <w:t>, pending the determination of part B</w:t>
      </w:r>
      <w:r w:rsidR="00281908">
        <w:rPr>
          <w:rFonts w:ascii="Arial" w:hAnsi="Arial" w:cs="Arial"/>
          <w:sz w:val="24"/>
          <w:szCs w:val="24"/>
        </w:rPr>
        <w:t xml:space="preserve"> of the application</w:t>
      </w:r>
      <w:r w:rsidR="00281908">
        <w:rPr>
          <w:rStyle w:val="FootnoteReference"/>
          <w:rFonts w:ascii="Arial" w:hAnsi="Arial" w:cs="Arial"/>
          <w:sz w:val="24"/>
          <w:szCs w:val="24"/>
        </w:rPr>
        <w:footnoteReference w:id="5"/>
      </w:r>
      <w:r>
        <w:rPr>
          <w:rFonts w:ascii="Arial" w:hAnsi="Arial" w:cs="Arial"/>
          <w:sz w:val="24"/>
          <w:szCs w:val="24"/>
        </w:rPr>
        <w:t xml:space="preserve">.  In it they sought </w:t>
      </w:r>
      <w:r w:rsidRPr="002A4ECE">
        <w:rPr>
          <w:rFonts w:ascii="Arial" w:hAnsi="Arial" w:cs="Arial"/>
          <w:sz w:val="24"/>
          <w:szCs w:val="24"/>
        </w:rPr>
        <w:t>to interdict the respondents from issuing writs or attaching the ECDOH’s provincial revenue fund</w:t>
      </w:r>
      <w:r w:rsidR="00176D27">
        <w:rPr>
          <w:rFonts w:ascii="Arial" w:hAnsi="Arial" w:cs="Arial"/>
          <w:sz w:val="24"/>
          <w:szCs w:val="24"/>
        </w:rPr>
        <w:t xml:space="preserve"> or the PMG </w:t>
      </w:r>
      <w:r w:rsidR="00176D27">
        <w:rPr>
          <w:rFonts w:ascii="Arial" w:hAnsi="Arial" w:cs="Arial"/>
          <w:sz w:val="24"/>
          <w:szCs w:val="24"/>
        </w:rPr>
        <w:lastRenderedPageBreak/>
        <w:t>account</w:t>
      </w:r>
      <w:r w:rsidRPr="002A4ECE">
        <w:rPr>
          <w:rFonts w:ascii="Arial" w:hAnsi="Arial" w:cs="Arial"/>
          <w:sz w:val="24"/>
          <w:szCs w:val="24"/>
        </w:rPr>
        <w:t>, or issuing writs and attaching and removing, or continuing with the attachment and removal of any immovable or movable property in possession of the HOD for Health or the Premier of the Eastern Cape.</w:t>
      </w:r>
      <w:r>
        <w:rPr>
          <w:rStyle w:val="FootnoteReference"/>
          <w:rFonts w:ascii="Arial" w:hAnsi="Arial" w:cs="Arial"/>
          <w:sz w:val="24"/>
          <w:szCs w:val="24"/>
        </w:rPr>
        <w:footnoteReference w:id="6"/>
      </w:r>
      <w:r w:rsidRPr="002A4ECE">
        <w:rPr>
          <w:rFonts w:ascii="Arial" w:hAnsi="Arial" w:cs="Arial"/>
          <w:sz w:val="24"/>
          <w:szCs w:val="24"/>
        </w:rPr>
        <w:t xml:space="preserve">  In addition </w:t>
      </w:r>
      <w:r>
        <w:rPr>
          <w:rFonts w:ascii="Arial" w:hAnsi="Arial" w:cs="Arial"/>
          <w:sz w:val="24"/>
          <w:szCs w:val="24"/>
        </w:rPr>
        <w:t>they</w:t>
      </w:r>
      <w:r w:rsidRPr="002A4ECE">
        <w:rPr>
          <w:rFonts w:ascii="Arial" w:hAnsi="Arial" w:cs="Arial"/>
          <w:sz w:val="24"/>
          <w:szCs w:val="24"/>
        </w:rPr>
        <w:t xml:space="preserve"> sought the following further relief:</w:t>
      </w:r>
    </w:p>
    <w:p w14:paraId="6F59D48C" w14:textId="77777777" w:rsidR="00A31301" w:rsidRDefault="00A31301" w:rsidP="00A31301">
      <w:pPr>
        <w:spacing w:after="0" w:line="480" w:lineRule="auto"/>
        <w:jc w:val="both"/>
        <w:rPr>
          <w:rFonts w:ascii="Arial" w:hAnsi="Arial" w:cs="Arial"/>
          <w:sz w:val="24"/>
          <w:szCs w:val="24"/>
        </w:rPr>
      </w:pPr>
    </w:p>
    <w:p w14:paraId="643BF060" w14:textId="77777777" w:rsidR="00A31301" w:rsidRPr="00873342" w:rsidRDefault="00A31301" w:rsidP="00A31301">
      <w:pPr>
        <w:spacing w:after="0" w:line="360" w:lineRule="auto"/>
        <w:ind w:left="1282" w:right="562" w:hanging="720"/>
        <w:jc w:val="both"/>
        <w:rPr>
          <w:rFonts w:ascii="Arial" w:hAnsi="Arial" w:cs="Arial"/>
        </w:rPr>
      </w:pPr>
      <w:r w:rsidRPr="00873342">
        <w:rPr>
          <w:rFonts w:ascii="Arial" w:hAnsi="Arial" w:cs="Arial"/>
        </w:rPr>
        <w:t>“</w:t>
      </w:r>
      <w:r>
        <w:rPr>
          <w:rFonts w:ascii="Arial" w:hAnsi="Arial" w:cs="Arial"/>
        </w:rPr>
        <w:t>3.</w:t>
      </w:r>
      <w:r>
        <w:rPr>
          <w:rFonts w:ascii="Arial" w:hAnsi="Arial" w:cs="Arial"/>
        </w:rPr>
        <w:tab/>
      </w:r>
      <w:r w:rsidRPr="00873342">
        <w:rPr>
          <w:rFonts w:ascii="Arial" w:hAnsi="Arial" w:cs="Arial"/>
        </w:rPr>
        <w:t xml:space="preserve">The … </w:t>
      </w:r>
      <w:r w:rsidR="00183941">
        <w:rPr>
          <w:rFonts w:ascii="Arial" w:hAnsi="Arial" w:cs="Arial"/>
        </w:rPr>
        <w:t>A</w:t>
      </w:r>
      <w:r w:rsidRPr="00873342">
        <w:rPr>
          <w:rFonts w:ascii="Arial" w:hAnsi="Arial" w:cs="Arial"/>
        </w:rPr>
        <w:t>pplicants, are directed … to make further endeavours to conclude agreements with the (</w:t>
      </w:r>
      <w:r>
        <w:rPr>
          <w:rFonts w:ascii="Arial" w:hAnsi="Arial" w:cs="Arial"/>
        </w:rPr>
        <w:t>plaintiff r</w:t>
      </w:r>
      <w:r w:rsidRPr="00873342">
        <w:rPr>
          <w:rFonts w:ascii="Arial" w:hAnsi="Arial" w:cs="Arial"/>
        </w:rPr>
        <w:t>espondents) to pay their damages or awards in instalments in terms of section 3(10) of the State Liability Act … within 60 days of this order, failing such agreement to bring an application for variation of such awards to permit instalment payments, and to take all other necessary steps to address the payments of such awards in a manner that does not prevent, nor have the consequence</w:t>
      </w:r>
      <w:r w:rsidR="00183941">
        <w:rPr>
          <w:rFonts w:ascii="Arial" w:hAnsi="Arial" w:cs="Arial"/>
        </w:rPr>
        <w:t>,</w:t>
      </w:r>
      <w:r w:rsidRPr="00873342">
        <w:rPr>
          <w:rFonts w:ascii="Arial" w:hAnsi="Arial" w:cs="Arial"/>
        </w:rPr>
        <w:t xml:space="preserve"> directly or indirectly of impeding the delivery of medical and emergency services at </w:t>
      </w:r>
      <w:r w:rsidR="00183941">
        <w:rPr>
          <w:rFonts w:ascii="Arial" w:hAnsi="Arial" w:cs="Arial"/>
        </w:rPr>
        <w:t>F</w:t>
      </w:r>
      <w:r w:rsidRPr="00873342">
        <w:rPr>
          <w:rFonts w:ascii="Arial" w:hAnsi="Arial" w:cs="Arial"/>
        </w:rPr>
        <w:t xml:space="preserve">ourth </w:t>
      </w:r>
      <w:r w:rsidR="00183941">
        <w:rPr>
          <w:rFonts w:ascii="Arial" w:hAnsi="Arial" w:cs="Arial"/>
        </w:rPr>
        <w:t>A</w:t>
      </w:r>
      <w:r w:rsidRPr="00873342">
        <w:rPr>
          <w:rFonts w:ascii="Arial" w:hAnsi="Arial" w:cs="Arial"/>
        </w:rPr>
        <w:t>pplicant’s health facilities an</w:t>
      </w:r>
      <w:r w:rsidR="00183941">
        <w:rPr>
          <w:rFonts w:ascii="Arial" w:hAnsi="Arial" w:cs="Arial"/>
        </w:rPr>
        <w:t xml:space="preserve">d which also </w:t>
      </w:r>
      <w:r w:rsidRPr="00873342">
        <w:rPr>
          <w:rFonts w:ascii="Arial" w:hAnsi="Arial" w:cs="Arial"/>
        </w:rPr>
        <w:t xml:space="preserve">does not impede the treatment required for the </w:t>
      </w:r>
      <w:r w:rsidR="00183941">
        <w:rPr>
          <w:rFonts w:ascii="Arial" w:hAnsi="Arial" w:cs="Arial"/>
        </w:rPr>
        <w:t>P</w:t>
      </w:r>
      <w:r w:rsidRPr="00873342">
        <w:rPr>
          <w:rFonts w:ascii="Arial" w:hAnsi="Arial" w:cs="Arial"/>
        </w:rPr>
        <w:t xml:space="preserve">laintiff, or any person on whose behalf the </w:t>
      </w:r>
      <w:r w:rsidR="00183941">
        <w:rPr>
          <w:rFonts w:ascii="Arial" w:hAnsi="Arial" w:cs="Arial"/>
        </w:rPr>
        <w:t>P</w:t>
      </w:r>
      <w:r w:rsidRPr="00873342">
        <w:rPr>
          <w:rFonts w:ascii="Arial" w:hAnsi="Arial" w:cs="Arial"/>
        </w:rPr>
        <w:t>lai</w:t>
      </w:r>
      <w:r w:rsidR="00183941">
        <w:rPr>
          <w:rFonts w:ascii="Arial" w:hAnsi="Arial" w:cs="Arial"/>
        </w:rPr>
        <w:t>ntiff had instituted the action;</w:t>
      </w:r>
    </w:p>
    <w:p w14:paraId="6A8173E8" w14:textId="77777777" w:rsidR="00A31301" w:rsidRPr="00873342" w:rsidRDefault="00A31301" w:rsidP="00A31301">
      <w:pPr>
        <w:spacing w:after="0" w:line="360" w:lineRule="auto"/>
        <w:ind w:left="1282" w:right="562" w:hanging="720"/>
        <w:jc w:val="both"/>
        <w:rPr>
          <w:rFonts w:ascii="Arial" w:hAnsi="Arial" w:cs="Arial"/>
        </w:rPr>
      </w:pPr>
    </w:p>
    <w:p w14:paraId="03486DBE" w14:textId="77777777" w:rsidR="00A31301" w:rsidRPr="00873342" w:rsidRDefault="00A31301" w:rsidP="00A31301">
      <w:pPr>
        <w:spacing w:after="0" w:line="360" w:lineRule="auto"/>
        <w:ind w:left="1282" w:right="562" w:hanging="720"/>
        <w:jc w:val="both"/>
        <w:rPr>
          <w:rFonts w:ascii="Arial" w:hAnsi="Arial" w:cs="Arial"/>
        </w:rPr>
      </w:pPr>
      <w:r>
        <w:rPr>
          <w:rFonts w:ascii="Arial" w:hAnsi="Arial" w:cs="Arial"/>
        </w:rPr>
        <w:t>4.</w:t>
      </w:r>
      <w:r>
        <w:rPr>
          <w:rFonts w:ascii="Arial" w:hAnsi="Arial" w:cs="Arial"/>
        </w:rPr>
        <w:tab/>
      </w:r>
      <w:r w:rsidRPr="00873342">
        <w:rPr>
          <w:rFonts w:ascii="Arial" w:hAnsi="Arial" w:cs="Arial"/>
        </w:rPr>
        <w:t xml:space="preserve">The </w:t>
      </w:r>
      <w:r w:rsidR="007878CC">
        <w:rPr>
          <w:rFonts w:ascii="Arial" w:hAnsi="Arial" w:cs="Arial"/>
        </w:rPr>
        <w:t>F</w:t>
      </w:r>
      <w:r w:rsidRPr="00873342">
        <w:rPr>
          <w:rFonts w:ascii="Arial" w:hAnsi="Arial" w:cs="Arial"/>
        </w:rPr>
        <w:t xml:space="preserve">irst </w:t>
      </w:r>
      <w:r w:rsidR="007878CC">
        <w:rPr>
          <w:rFonts w:ascii="Arial" w:hAnsi="Arial" w:cs="Arial"/>
        </w:rPr>
        <w:t>A</w:t>
      </w:r>
      <w:r w:rsidRPr="00873342">
        <w:rPr>
          <w:rFonts w:ascii="Arial" w:hAnsi="Arial" w:cs="Arial"/>
        </w:rPr>
        <w:t xml:space="preserve">pplicant is directed to report to </w:t>
      </w:r>
      <w:r w:rsidR="007878CC">
        <w:rPr>
          <w:rFonts w:ascii="Arial" w:hAnsi="Arial" w:cs="Arial"/>
        </w:rPr>
        <w:t>C</w:t>
      </w:r>
      <w:r w:rsidRPr="00873342">
        <w:rPr>
          <w:rFonts w:ascii="Arial" w:hAnsi="Arial" w:cs="Arial"/>
        </w:rPr>
        <w:t>ourt in 60 days and every 60 days thereafter in relation to any agreements concluded with plaintiffs in relation to the orders and writs already in existence, or in the absence of any such agreements being concluded, any variation applications instituted in respect of such orders as granted;</w:t>
      </w:r>
    </w:p>
    <w:p w14:paraId="0CA6B911" w14:textId="77777777" w:rsidR="00A31301" w:rsidRPr="00873342" w:rsidRDefault="00A31301" w:rsidP="00A31301">
      <w:pPr>
        <w:spacing w:after="0" w:line="360" w:lineRule="auto"/>
        <w:ind w:left="1282" w:right="562" w:hanging="720"/>
        <w:jc w:val="both"/>
        <w:rPr>
          <w:rFonts w:ascii="Arial" w:hAnsi="Arial" w:cs="Arial"/>
        </w:rPr>
      </w:pPr>
    </w:p>
    <w:p w14:paraId="731666A4" w14:textId="77777777" w:rsidR="00A31301" w:rsidRDefault="00A31301" w:rsidP="00A31301">
      <w:pPr>
        <w:spacing w:after="0" w:line="360" w:lineRule="auto"/>
        <w:ind w:left="1282" w:right="562" w:hanging="720"/>
        <w:jc w:val="both"/>
        <w:rPr>
          <w:rFonts w:ascii="Arial" w:hAnsi="Arial" w:cs="Arial"/>
        </w:rPr>
      </w:pPr>
      <w:r>
        <w:rPr>
          <w:rFonts w:ascii="Arial" w:hAnsi="Arial" w:cs="Arial"/>
        </w:rPr>
        <w:t>5.</w:t>
      </w:r>
      <w:r>
        <w:rPr>
          <w:rFonts w:ascii="Arial" w:hAnsi="Arial" w:cs="Arial"/>
        </w:rPr>
        <w:tab/>
      </w:r>
      <w:r w:rsidR="007878CC">
        <w:rPr>
          <w:rFonts w:ascii="Arial" w:hAnsi="Arial" w:cs="Arial"/>
        </w:rPr>
        <w:t>… t</w:t>
      </w:r>
      <w:r w:rsidRPr="00873342">
        <w:rPr>
          <w:rFonts w:ascii="Arial" w:hAnsi="Arial" w:cs="Arial"/>
        </w:rPr>
        <w:t>hat any urgent medical services required by the (</w:t>
      </w:r>
      <w:r>
        <w:rPr>
          <w:rFonts w:ascii="Arial" w:hAnsi="Arial" w:cs="Arial"/>
        </w:rPr>
        <w:t>plaintiff r</w:t>
      </w:r>
      <w:r w:rsidRPr="00873342">
        <w:rPr>
          <w:rFonts w:ascii="Arial" w:hAnsi="Arial" w:cs="Arial"/>
        </w:rPr>
        <w:t>espondents) or persons on whose behalf they had instituted the medic</w:t>
      </w:r>
      <w:r w:rsidR="007878CC">
        <w:rPr>
          <w:rFonts w:ascii="Arial" w:hAnsi="Arial" w:cs="Arial"/>
        </w:rPr>
        <w:t>o-legal</w:t>
      </w:r>
      <w:r w:rsidRPr="00873342">
        <w:rPr>
          <w:rFonts w:ascii="Arial" w:hAnsi="Arial" w:cs="Arial"/>
        </w:rPr>
        <w:t xml:space="preserve"> claim, arising from such claims, over and above those services which are paid </w:t>
      </w:r>
      <w:r w:rsidR="007878CC">
        <w:rPr>
          <w:rFonts w:ascii="Arial" w:hAnsi="Arial" w:cs="Arial"/>
        </w:rPr>
        <w:t>for by the</w:t>
      </w:r>
      <w:r w:rsidRPr="00873342">
        <w:rPr>
          <w:rFonts w:ascii="Arial" w:hAnsi="Arial" w:cs="Arial"/>
        </w:rPr>
        <w:t xml:space="preserve"> amount</w:t>
      </w:r>
      <w:r w:rsidR="007878CC">
        <w:rPr>
          <w:rFonts w:ascii="Arial" w:hAnsi="Arial" w:cs="Arial"/>
        </w:rPr>
        <w:t>s listed in the columns headed ‘</w:t>
      </w:r>
      <w:r w:rsidR="007878CC">
        <w:rPr>
          <w:rFonts w:ascii="Arial" w:hAnsi="Arial" w:cs="Arial"/>
          <w:i/>
        </w:rPr>
        <w:t>Current year”</w:t>
      </w:r>
      <w:r w:rsidRPr="00873342">
        <w:rPr>
          <w:rFonts w:ascii="Arial" w:hAnsi="Arial" w:cs="Arial"/>
        </w:rPr>
        <w:t>” and “</w:t>
      </w:r>
      <w:r w:rsidR="007878CC">
        <w:rPr>
          <w:rFonts w:ascii="Arial" w:hAnsi="Arial" w:cs="Arial"/>
          <w:i/>
        </w:rPr>
        <w:t>Plus 1</w:t>
      </w:r>
      <w:r w:rsidRPr="00873342">
        <w:rPr>
          <w:rFonts w:ascii="Arial" w:hAnsi="Arial" w:cs="Arial"/>
        </w:rPr>
        <w:t xml:space="preserve">” in </w:t>
      </w:r>
      <w:r w:rsidR="007878CC">
        <w:rPr>
          <w:rFonts w:ascii="Arial" w:hAnsi="Arial" w:cs="Arial"/>
        </w:rPr>
        <w:t>A</w:t>
      </w:r>
      <w:r w:rsidRPr="00873342">
        <w:rPr>
          <w:rFonts w:ascii="Arial" w:hAnsi="Arial" w:cs="Arial"/>
        </w:rPr>
        <w:t xml:space="preserve">nnexure </w:t>
      </w:r>
      <w:r w:rsidR="007878CC">
        <w:rPr>
          <w:rFonts w:ascii="Arial" w:hAnsi="Arial" w:cs="Arial"/>
        </w:rPr>
        <w:t>“</w:t>
      </w:r>
      <w:r w:rsidRPr="00873342">
        <w:rPr>
          <w:rFonts w:ascii="Arial" w:hAnsi="Arial" w:cs="Arial"/>
        </w:rPr>
        <w:t>A</w:t>
      </w:r>
      <w:r w:rsidR="007878CC">
        <w:rPr>
          <w:rFonts w:ascii="Arial" w:hAnsi="Arial" w:cs="Arial"/>
        </w:rPr>
        <w:t>”</w:t>
      </w:r>
      <w:r w:rsidRPr="00873342">
        <w:rPr>
          <w:rFonts w:ascii="Arial" w:hAnsi="Arial" w:cs="Arial"/>
        </w:rPr>
        <w:t xml:space="preserve">, must be delivered by the </w:t>
      </w:r>
      <w:r w:rsidR="007878CC">
        <w:rPr>
          <w:rFonts w:ascii="Arial" w:hAnsi="Arial" w:cs="Arial"/>
        </w:rPr>
        <w:t>F</w:t>
      </w:r>
      <w:r w:rsidRPr="00873342">
        <w:rPr>
          <w:rFonts w:ascii="Arial" w:hAnsi="Arial" w:cs="Arial"/>
        </w:rPr>
        <w:t xml:space="preserve">ourth </w:t>
      </w:r>
      <w:r w:rsidR="007878CC">
        <w:rPr>
          <w:rFonts w:ascii="Arial" w:hAnsi="Arial" w:cs="Arial"/>
        </w:rPr>
        <w:t>A</w:t>
      </w:r>
      <w:r w:rsidRPr="00873342">
        <w:rPr>
          <w:rFonts w:ascii="Arial" w:hAnsi="Arial" w:cs="Arial"/>
        </w:rPr>
        <w:t xml:space="preserve">pplicant’s facilities, failing which, such </w:t>
      </w:r>
      <w:r w:rsidR="007878CC">
        <w:rPr>
          <w:rFonts w:ascii="Arial" w:hAnsi="Arial" w:cs="Arial"/>
        </w:rPr>
        <w:t>R</w:t>
      </w:r>
      <w:r w:rsidRPr="00873342">
        <w:rPr>
          <w:rFonts w:ascii="Arial" w:hAnsi="Arial" w:cs="Arial"/>
        </w:rPr>
        <w:t>espondent</w:t>
      </w:r>
      <w:r w:rsidR="007878CC">
        <w:rPr>
          <w:rFonts w:ascii="Arial" w:hAnsi="Arial" w:cs="Arial"/>
        </w:rPr>
        <w:t>/</w:t>
      </w:r>
      <w:r w:rsidRPr="00873342">
        <w:rPr>
          <w:rFonts w:ascii="Arial" w:hAnsi="Arial" w:cs="Arial"/>
        </w:rPr>
        <w:t xml:space="preserve">s may, on </w:t>
      </w:r>
      <w:r w:rsidR="007878CC">
        <w:rPr>
          <w:rFonts w:ascii="Arial" w:hAnsi="Arial" w:cs="Arial"/>
        </w:rPr>
        <w:t>5</w:t>
      </w:r>
      <w:r w:rsidRPr="00873342">
        <w:rPr>
          <w:rFonts w:ascii="Arial" w:hAnsi="Arial" w:cs="Arial"/>
        </w:rPr>
        <w:t xml:space="preserve"> days’ notice, or on any other lesser notice, as is necessary, depending upon the urgency of the situation, </w:t>
      </w:r>
      <w:r w:rsidRPr="00873342">
        <w:rPr>
          <w:rFonts w:ascii="Arial" w:hAnsi="Arial" w:cs="Arial"/>
        </w:rPr>
        <w:lastRenderedPageBreak/>
        <w:t xml:space="preserve">on notice to the </w:t>
      </w:r>
      <w:r w:rsidR="007878CC">
        <w:rPr>
          <w:rFonts w:ascii="Arial" w:hAnsi="Arial" w:cs="Arial"/>
        </w:rPr>
        <w:t>S</w:t>
      </w:r>
      <w:r w:rsidRPr="00873342">
        <w:rPr>
          <w:rFonts w:ascii="Arial" w:hAnsi="Arial" w:cs="Arial"/>
        </w:rPr>
        <w:t xml:space="preserve">econd and </w:t>
      </w:r>
      <w:r w:rsidR="007878CC">
        <w:rPr>
          <w:rFonts w:ascii="Arial" w:hAnsi="Arial" w:cs="Arial"/>
        </w:rPr>
        <w:t>T</w:t>
      </w:r>
      <w:r w:rsidRPr="00873342">
        <w:rPr>
          <w:rFonts w:ascii="Arial" w:hAnsi="Arial" w:cs="Arial"/>
        </w:rPr>
        <w:t xml:space="preserve">hird applicant, and service </w:t>
      </w:r>
      <w:r w:rsidR="007878CC">
        <w:rPr>
          <w:rFonts w:ascii="Arial" w:hAnsi="Arial" w:cs="Arial"/>
        </w:rPr>
        <w:t>at the office of</w:t>
      </w:r>
      <w:r w:rsidRPr="00873342">
        <w:rPr>
          <w:rFonts w:ascii="Arial" w:hAnsi="Arial" w:cs="Arial"/>
        </w:rPr>
        <w:t xml:space="preserve"> the Premier</w:t>
      </w:r>
      <w:r w:rsidR="007878CC">
        <w:rPr>
          <w:rFonts w:ascii="Arial" w:hAnsi="Arial" w:cs="Arial"/>
        </w:rPr>
        <w:t xml:space="preserve"> Building</w:t>
      </w:r>
      <w:r w:rsidRPr="00873342">
        <w:rPr>
          <w:rFonts w:ascii="Arial" w:hAnsi="Arial" w:cs="Arial"/>
        </w:rPr>
        <w:t>,</w:t>
      </w:r>
      <w:r w:rsidR="007878CC">
        <w:rPr>
          <w:rFonts w:ascii="Arial" w:hAnsi="Arial" w:cs="Arial"/>
        </w:rPr>
        <w:t xml:space="preserve"> …</w:t>
      </w:r>
      <w:r w:rsidRPr="00873342">
        <w:rPr>
          <w:rFonts w:ascii="Arial" w:hAnsi="Arial" w:cs="Arial"/>
        </w:rPr>
        <w:t xml:space="preserve"> approach this </w:t>
      </w:r>
      <w:r w:rsidR="007878CC">
        <w:rPr>
          <w:rFonts w:ascii="Arial" w:hAnsi="Arial" w:cs="Arial"/>
        </w:rPr>
        <w:t>C</w:t>
      </w:r>
      <w:r w:rsidRPr="00873342">
        <w:rPr>
          <w:rFonts w:ascii="Arial" w:hAnsi="Arial" w:cs="Arial"/>
        </w:rPr>
        <w:t>ourt for further relief.”</w:t>
      </w:r>
    </w:p>
    <w:p w14:paraId="3D6C8B85" w14:textId="77777777" w:rsidR="00A31301" w:rsidRDefault="00A31301" w:rsidP="00A31301">
      <w:pPr>
        <w:spacing w:after="0" w:line="360" w:lineRule="auto"/>
        <w:ind w:left="1282" w:right="562" w:hanging="720"/>
        <w:jc w:val="both"/>
        <w:rPr>
          <w:rFonts w:ascii="Arial" w:hAnsi="Arial" w:cs="Arial"/>
        </w:rPr>
      </w:pPr>
    </w:p>
    <w:p w14:paraId="083131E1" w14:textId="77777777" w:rsidR="00A31301" w:rsidRPr="00873342" w:rsidRDefault="00A31301" w:rsidP="00A31301">
      <w:pPr>
        <w:spacing w:after="0" w:line="360" w:lineRule="auto"/>
        <w:ind w:left="1282" w:right="562" w:hanging="720"/>
        <w:jc w:val="both"/>
        <w:rPr>
          <w:rFonts w:ascii="Arial" w:hAnsi="Arial" w:cs="Arial"/>
        </w:rPr>
      </w:pPr>
    </w:p>
    <w:p w14:paraId="62533FEE" w14:textId="77777777" w:rsidR="00A31301" w:rsidRDefault="00A31301" w:rsidP="00811ED3">
      <w:pPr>
        <w:pStyle w:val="ListParagraph"/>
        <w:numPr>
          <w:ilvl w:val="0"/>
          <w:numId w:val="20"/>
        </w:numPr>
        <w:spacing w:after="0" w:line="480" w:lineRule="auto"/>
        <w:ind w:left="0" w:firstLine="0"/>
        <w:jc w:val="both"/>
        <w:rPr>
          <w:rFonts w:ascii="Arial" w:hAnsi="Arial" w:cs="Arial"/>
          <w:sz w:val="24"/>
          <w:szCs w:val="24"/>
        </w:rPr>
      </w:pPr>
      <w:r w:rsidRPr="002A4ECE">
        <w:rPr>
          <w:rFonts w:ascii="Arial" w:hAnsi="Arial" w:cs="Arial"/>
          <w:sz w:val="24"/>
          <w:szCs w:val="24"/>
        </w:rPr>
        <w:t xml:space="preserve">In the third </w:t>
      </w:r>
      <w:r w:rsidR="00E1113D">
        <w:rPr>
          <w:rFonts w:ascii="Arial" w:hAnsi="Arial" w:cs="Arial"/>
          <w:sz w:val="24"/>
          <w:szCs w:val="24"/>
        </w:rPr>
        <w:t xml:space="preserve">alternative </w:t>
      </w:r>
      <w:r w:rsidRPr="002A4ECE">
        <w:rPr>
          <w:rFonts w:ascii="Arial" w:hAnsi="Arial" w:cs="Arial"/>
          <w:sz w:val="24"/>
          <w:szCs w:val="24"/>
        </w:rPr>
        <w:t>draft order the applicants said that they would seek a</w:t>
      </w:r>
      <w:r>
        <w:rPr>
          <w:rFonts w:ascii="Arial" w:hAnsi="Arial" w:cs="Arial"/>
          <w:sz w:val="24"/>
          <w:szCs w:val="24"/>
        </w:rPr>
        <w:t xml:space="preserve"> final</w:t>
      </w:r>
      <w:r w:rsidRPr="002A4ECE">
        <w:rPr>
          <w:rFonts w:ascii="Arial" w:hAnsi="Arial" w:cs="Arial"/>
          <w:sz w:val="24"/>
          <w:szCs w:val="24"/>
        </w:rPr>
        <w:t xml:space="preserve"> order that</w:t>
      </w:r>
      <w:r w:rsidR="00281908">
        <w:rPr>
          <w:rFonts w:ascii="Arial" w:hAnsi="Arial" w:cs="Arial"/>
          <w:sz w:val="24"/>
          <w:szCs w:val="24"/>
        </w:rPr>
        <w:t>, subject to the payment of an initial amount by 31 May 2022,</w:t>
      </w:r>
      <w:r w:rsidRPr="002A4ECE">
        <w:rPr>
          <w:rFonts w:ascii="Arial" w:hAnsi="Arial" w:cs="Arial"/>
          <w:sz w:val="24"/>
          <w:szCs w:val="24"/>
        </w:rPr>
        <w:t xml:space="preserve"> the execution of the judgment</w:t>
      </w:r>
      <w:r>
        <w:rPr>
          <w:rFonts w:ascii="Arial" w:hAnsi="Arial" w:cs="Arial"/>
          <w:sz w:val="24"/>
          <w:szCs w:val="24"/>
        </w:rPr>
        <w:t xml:space="preserve">s in favour of the plaintiff respondents </w:t>
      </w:r>
      <w:r w:rsidRPr="002A4ECE">
        <w:rPr>
          <w:rFonts w:ascii="Arial" w:hAnsi="Arial" w:cs="Arial"/>
          <w:sz w:val="24"/>
          <w:szCs w:val="24"/>
        </w:rPr>
        <w:t xml:space="preserve">be stayed for a period of one year and </w:t>
      </w:r>
      <w:r>
        <w:rPr>
          <w:rFonts w:ascii="Arial" w:hAnsi="Arial" w:cs="Arial"/>
          <w:sz w:val="24"/>
          <w:szCs w:val="24"/>
        </w:rPr>
        <w:t xml:space="preserve">they </w:t>
      </w:r>
      <w:r w:rsidRPr="002A4ECE">
        <w:rPr>
          <w:rFonts w:ascii="Arial" w:hAnsi="Arial" w:cs="Arial"/>
          <w:sz w:val="24"/>
          <w:szCs w:val="24"/>
        </w:rPr>
        <w:t>made a similar tender in respect of the urgent medical treatment required by the plaintiff</w:t>
      </w:r>
      <w:r>
        <w:rPr>
          <w:rFonts w:ascii="Arial" w:hAnsi="Arial" w:cs="Arial"/>
          <w:sz w:val="24"/>
          <w:szCs w:val="24"/>
        </w:rPr>
        <w:t xml:space="preserve"> respondents, or</w:t>
      </w:r>
      <w:r w:rsidRPr="002A4ECE">
        <w:rPr>
          <w:rFonts w:ascii="Arial" w:hAnsi="Arial" w:cs="Arial"/>
          <w:sz w:val="24"/>
          <w:szCs w:val="24"/>
        </w:rPr>
        <w:t xml:space="preserve"> </w:t>
      </w:r>
      <w:r w:rsidR="00317071">
        <w:rPr>
          <w:rFonts w:ascii="Arial" w:hAnsi="Arial" w:cs="Arial"/>
          <w:sz w:val="24"/>
          <w:szCs w:val="24"/>
        </w:rPr>
        <w:t>injured parties.</w:t>
      </w:r>
      <w:r w:rsidRPr="002A4ECE">
        <w:rPr>
          <w:rFonts w:ascii="Arial" w:hAnsi="Arial" w:cs="Arial"/>
          <w:sz w:val="24"/>
          <w:szCs w:val="24"/>
        </w:rPr>
        <w:t xml:space="preserve">  </w:t>
      </w:r>
    </w:p>
    <w:p w14:paraId="2EC87A55" w14:textId="77777777" w:rsidR="00A31301" w:rsidRDefault="00A31301" w:rsidP="00811ED3">
      <w:pPr>
        <w:pStyle w:val="ListParagraph"/>
        <w:spacing w:after="0" w:line="480" w:lineRule="auto"/>
        <w:ind w:left="0"/>
        <w:jc w:val="both"/>
        <w:rPr>
          <w:rFonts w:ascii="Arial" w:hAnsi="Arial" w:cs="Arial"/>
          <w:sz w:val="24"/>
          <w:szCs w:val="24"/>
        </w:rPr>
      </w:pPr>
    </w:p>
    <w:p w14:paraId="5C09E5CB" w14:textId="202B9C3D" w:rsidR="00A31301" w:rsidRDefault="00A31301" w:rsidP="00811ED3">
      <w:pPr>
        <w:pStyle w:val="ListParagraph"/>
        <w:numPr>
          <w:ilvl w:val="0"/>
          <w:numId w:val="20"/>
        </w:numPr>
        <w:spacing w:after="0" w:line="480" w:lineRule="auto"/>
        <w:ind w:left="0" w:firstLine="0"/>
        <w:jc w:val="both"/>
        <w:rPr>
          <w:rFonts w:ascii="Arial" w:hAnsi="Arial" w:cs="Arial"/>
          <w:sz w:val="24"/>
          <w:szCs w:val="24"/>
        </w:rPr>
      </w:pPr>
      <w:r w:rsidRPr="003A1371">
        <w:rPr>
          <w:rFonts w:ascii="Arial" w:hAnsi="Arial" w:cs="Arial"/>
          <w:sz w:val="24"/>
          <w:szCs w:val="24"/>
        </w:rPr>
        <w:t xml:space="preserve">As I have said, the application was argued almost nine months </w:t>
      </w:r>
      <w:r w:rsidR="00281908">
        <w:rPr>
          <w:rFonts w:ascii="Arial" w:hAnsi="Arial" w:cs="Arial"/>
          <w:sz w:val="24"/>
          <w:szCs w:val="24"/>
        </w:rPr>
        <w:t>after it had been launched</w:t>
      </w:r>
      <w:r w:rsidRPr="003A1371">
        <w:rPr>
          <w:rFonts w:ascii="Arial" w:hAnsi="Arial" w:cs="Arial"/>
          <w:sz w:val="24"/>
          <w:szCs w:val="24"/>
        </w:rPr>
        <w:t>.  In the interim the applicants have tried to negotiate with the plaintiff respondents to pay their debt in instalments.  Those who are inclined to do so have c</w:t>
      </w:r>
      <w:r w:rsidR="00176D27">
        <w:rPr>
          <w:rFonts w:ascii="Arial" w:hAnsi="Arial" w:cs="Arial"/>
          <w:sz w:val="24"/>
          <w:szCs w:val="24"/>
        </w:rPr>
        <w:t>oncluded</w:t>
      </w:r>
      <w:r w:rsidRPr="003A1371">
        <w:rPr>
          <w:rFonts w:ascii="Arial" w:hAnsi="Arial" w:cs="Arial"/>
          <w:sz w:val="24"/>
          <w:szCs w:val="24"/>
        </w:rPr>
        <w:t xml:space="preserve"> agreements </w:t>
      </w:r>
      <w:r w:rsidR="00176D27">
        <w:rPr>
          <w:rFonts w:ascii="Arial" w:hAnsi="Arial" w:cs="Arial"/>
          <w:sz w:val="24"/>
          <w:szCs w:val="24"/>
        </w:rPr>
        <w:t xml:space="preserve">with </w:t>
      </w:r>
      <w:r w:rsidR="00F36BFF">
        <w:rPr>
          <w:rFonts w:ascii="Arial" w:hAnsi="Arial" w:cs="Arial"/>
          <w:sz w:val="24"/>
          <w:szCs w:val="24"/>
        </w:rPr>
        <w:t xml:space="preserve">the </w:t>
      </w:r>
      <w:r w:rsidR="00176D27">
        <w:rPr>
          <w:rFonts w:ascii="Arial" w:hAnsi="Arial" w:cs="Arial"/>
          <w:sz w:val="24"/>
          <w:szCs w:val="24"/>
        </w:rPr>
        <w:t xml:space="preserve">applicants, </w:t>
      </w:r>
      <w:r w:rsidRPr="003A1371">
        <w:rPr>
          <w:rFonts w:ascii="Arial" w:hAnsi="Arial" w:cs="Arial"/>
          <w:sz w:val="24"/>
          <w:szCs w:val="24"/>
        </w:rPr>
        <w:t xml:space="preserve">which have been made orders of court.  The remainder have rejected the applicants’ approaches.  There can be no purpose for an order now </w:t>
      </w:r>
      <w:r>
        <w:rPr>
          <w:rFonts w:ascii="Arial" w:hAnsi="Arial" w:cs="Arial"/>
          <w:sz w:val="24"/>
          <w:szCs w:val="24"/>
        </w:rPr>
        <w:t>directing</w:t>
      </w:r>
      <w:r w:rsidR="00F36BFF">
        <w:rPr>
          <w:rFonts w:ascii="Arial" w:hAnsi="Arial" w:cs="Arial"/>
          <w:sz w:val="24"/>
          <w:szCs w:val="24"/>
        </w:rPr>
        <w:t xml:space="preserve"> the applicants</w:t>
      </w:r>
      <w:r w:rsidRPr="003A1371">
        <w:rPr>
          <w:rFonts w:ascii="Arial" w:hAnsi="Arial" w:cs="Arial"/>
          <w:sz w:val="24"/>
          <w:szCs w:val="24"/>
        </w:rPr>
        <w:t xml:space="preserve"> to endeavor to conclude agreements with the remaining plaintiff respondents.  In any event, the applicants do not require an order of court to negotiate with them.  Such a prayer can accordingly</w:t>
      </w:r>
      <w:r w:rsidR="00E1113D">
        <w:rPr>
          <w:rFonts w:ascii="Arial" w:hAnsi="Arial" w:cs="Arial"/>
          <w:sz w:val="24"/>
          <w:szCs w:val="24"/>
        </w:rPr>
        <w:t xml:space="preserve"> not</w:t>
      </w:r>
      <w:r w:rsidRPr="003A1371">
        <w:rPr>
          <w:rFonts w:ascii="Arial" w:hAnsi="Arial" w:cs="Arial"/>
          <w:sz w:val="24"/>
          <w:szCs w:val="24"/>
        </w:rPr>
        <w:t xml:space="preserve"> be sustained.</w:t>
      </w:r>
    </w:p>
    <w:p w14:paraId="56F9FB9B" w14:textId="77777777" w:rsidR="00A31301" w:rsidRPr="003A1371" w:rsidRDefault="00A31301" w:rsidP="00811ED3">
      <w:pPr>
        <w:pStyle w:val="ListParagraph"/>
        <w:spacing w:after="0" w:line="480" w:lineRule="auto"/>
        <w:ind w:left="0"/>
        <w:jc w:val="both"/>
        <w:rPr>
          <w:rFonts w:ascii="Arial" w:hAnsi="Arial" w:cs="Arial"/>
          <w:sz w:val="24"/>
          <w:szCs w:val="24"/>
        </w:rPr>
      </w:pPr>
    </w:p>
    <w:p w14:paraId="4F364F4A" w14:textId="77777777" w:rsidR="00A31301" w:rsidRPr="003A1371" w:rsidRDefault="00A31301" w:rsidP="00811ED3">
      <w:pPr>
        <w:pStyle w:val="ListParagraph"/>
        <w:numPr>
          <w:ilvl w:val="0"/>
          <w:numId w:val="20"/>
        </w:numPr>
        <w:spacing w:after="0" w:line="480" w:lineRule="auto"/>
        <w:ind w:left="0" w:firstLine="0"/>
        <w:jc w:val="both"/>
        <w:rPr>
          <w:rFonts w:ascii="Arial" w:hAnsi="Arial" w:cs="Arial"/>
          <w:sz w:val="24"/>
          <w:szCs w:val="24"/>
        </w:rPr>
      </w:pPr>
      <w:r w:rsidRPr="003A1371">
        <w:rPr>
          <w:rFonts w:ascii="Arial" w:hAnsi="Arial" w:cs="Arial"/>
          <w:sz w:val="24"/>
          <w:szCs w:val="24"/>
        </w:rPr>
        <w:t xml:space="preserve">The relief which the applicants </w:t>
      </w:r>
      <w:r w:rsidR="0079561A">
        <w:rPr>
          <w:rFonts w:ascii="Arial" w:hAnsi="Arial" w:cs="Arial"/>
          <w:sz w:val="24"/>
          <w:szCs w:val="24"/>
        </w:rPr>
        <w:t xml:space="preserve">ultimately </w:t>
      </w:r>
      <w:r w:rsidRPr="003A1371">
        <w:rPr>
          <w:rFonts w:ascii="Arial" w:hAnsi="Arial" w:cs="Arial"/>
          <w:sz w:val="24"/>
          <w:szCs w:val="24"/>
        </w:rPr>
        <w:t>s</w:t>
      </w:r>
      <w:r w:rsidR="00281908">
        <w:rPr>
          <w:rFonts w:ascii="Arial" w:hAnsi="Arial" w:cs="Arial"/>
          <w:sz w:val="24"/>
          <w:szCs w:val="24"/>
        </w:rPr>
        <w:t>ought</w:t>
      </w:r>
      <w:r w:rsidR="007D1AA7">
        <w:rPr>
          <w:rFonts w:ascii="Arial" w:hAnsi="Arial" w:cs="Arial"/>
          <w:sz w:val="24"/>
          <w:szCs w:val="24"/>
        </w:rPr>
        <w:t xml:space="preserve"> in p</w:t>
      </w:r>
      <w:r w:rsidRPr="003A1371">
        <w:rPr>
          <w:rFonts w:ascii="Arial" w:hAnsi="Arial" w:cs="Arial"/>
          <w:sz w:val="24"/>
          <w:szCs w:val="24"/>
        </w:rPr>
        <w:t xml:space="preserve">art A relates only to final orders </w:t>
      </w:r>
      <w:r w:rsidR="00176D27">
        <w:rPr>
          <w:rFonts w:ascii="Arial" w:hAnsi="Arial" w:cs="Arial"/>
          <w:sz w:val="24"/>
          <w:szCs w:val="24"/>
        </w:rPr>
        <w:t xml:space="preserve">already </w:t>
      </w:r>
      <w:r w:rsidRPr="003A1371">
        <w:rPr>
          <w:rFonts w:ascii="Arial" w:hAnsi="Arial" w:cs="Arial"/>
          <w:sz w:val="24"/>
          <w:szCs w:val="24"/>
        </w:rPr>
        <w:t>granted in favour of the plaintiff respon</w:t>
      </w:r>
      <w:r w:rsidR="007D1AA7">
        <w:rPr>
          <w:rFonts w:ascii="Arial" w:hAnsi="Arial" w:cs="Arial"/>
          <w:sz w:val="24"/>
          <w:szCs w:val="24"/>
        </w:rPr>
        <w:t>dents</w:t>
      </w:r>
      <w:r w:rsidR="0079561A">
        <w:rPr>
          <w:rFonts w:ascii="Arial" w:hAnsi="Arial" w:cs="Arial"/>
          <w:sz w:val="24"/>
          <w:szCs w:val="24"/>
        </w:rPr>
        <w:t xml:space="preserve"> and writs already issued</w:t>
      </w:r>
      <w:r w:rsidR="007D1AA7">
        <w:rPr>
          <w:rFonts w:ascii="Arial" w:hAnsi="Arial" w:cs="Arial"/>
          <w:sz w:val="24"/>
          <w:szCs w:val="24"/>
        </w:rPr>
        <w:t>.  By contrast, in p</w:t>
      </w:r>
      <w:r w:rsidRPr="003A1371">
        <w:rPr>
          <w:rFonts w:ascii="Arial" w:hAnsi="Arial" w:cs="Arial"/>
          <w:sz w:val="24"/>
          <w:szCs w:val="24"/>
        </w:rPr>
        <w:t>art B the applicant</w:t>
      </w:r>
      <w:r w:rsidR="00176D27">
        <w:rPr>
          <w:rFonts w:ascii="Arial" w:hAnsi="Arial" w:cs="Arial"/>
          <w:sz w:val="24"/>
          <w:szCs w:val="24"/>
        </w:rPr>
        <w:t>s</w:t>
      </w:r>
      <w:r w:rsidRPr="003A1371">
        <w:rPr>
          <w:rFonts w:ascii="Arial" w:hAnsi="Arial" w:cs="Arial"/>
          <w:sz w:val="24"/>
          <w:szCs w:val="24"/>
        </w:rPr>
        <w:t xml:space="preserve"> seek relief only in respect of </w:t>
      </w:r>
      <w:r w:rsidR="00176D27">
        <w:rPr>
          <w:rFonts w:ascii="Arial" w:hAnsi="Arial" w:cs="Arial"/>
          <w:sz w:val="24"/>
          <w:szCs w:val="24"/>
        </w:rPr>
        <w:t>“</w:t>
      </w:r>
      <w:r w:rsidRPr="003A1371">
        <w:rPr>
          <w:rFonts w:ascii="Arial" w:hAnsi="Arial" w:cs="Arial"/>
          <w:sz w:val="24"/>
          <w:szCs w:val="24"/>
        </w:rPr>
        <w:t>any further orders</w:t>
      </w:r>
      <w:r w:rsidR="00176D27">
        <w:rPr>
          <w:rFonts w:ascii="Arial" w:hAnsi="Arial" w:cs="Arial"/>
          <w:sz w:val="24"/>
          <w:szCs w:val="24"/>
        </w:rPr>
        <w:t>”</w:t>
      </w:r>
      <w:r w:rsidRPr="003A1371">
        <w:rPr>
          <w:rFonts w:ascii="Arial" w:hAnsi="Arial" w:cs="Arial"/>
          <w:sz w:val="24"/>
          <w:szCs w:val="24"/>
        </w:rPr>
        <w:t xml:space="preserve"> that a court may grant in future in favour of a plaintiff.  Usually the purpose of an interim interdict is to preserve or restore the status quo</w:t>
      </w:r>
      <w:r w:rsidR="0079561A">
        <w:rPr>
          <w:rFonts w:ascii="Arial" w:hAnsi="Arial" w:cs="Arial"/>
          <w:sz w:val="24"/>
          <w:szCs w:val="24"/>
        </w:rPr>
        <w:t>,</w:t>
      </w:r>
      <w:r w:rsidRPr="003A1371">
        <w:rPr>
          <w:rFonts w:ascii="Arial" w:hAnsi="Arial" w:cs="Arial"/>
          <w:sz w:val="24"/>
          <w:szCs w:val="24"/>
        </w:rPr>
        <w:t xml:space="preserve"> pending the final determination of the r</w:t>
      </w:r>
      <w:r w:rsidR="007D1AA7">
        <w:rPr>
          <w:rFonts w:ascii="Arial" w:hAnsi="Arial" w:cs="Arial"/>
          <w:sz w:val="24"/>
          <w:szCs w:val="24"/>
        </w:rPr>
        <w:t>ights of the parties.  Whereas p</w:t>
      </w:r>
      <w:r w:rsidRPr="003A1371">
        <w:rPr>
          <w:rFonts w:ascii="Arial" w:hAnsi="Arial" w:cs="Arial"/>
          <w:sz w:val="24"/>
          <w:szCs w:val="24"/>
        </w:rPr>
        <w:t>art B relates only to future</w:t>
      </w:r>
      <w:r w:rsidR="00176D27">
        <w:rPr>
          <w:rFonts w:ascii="Arial" w:hAnsi="Arial" w:cs="Arial"/>
          <w:sz w:val="24"/>
          <w:szCs w:val="24"/>
        </w:rPr>
        <w:t>, or incomplete</w:t>
      </w:r>
      <w:r w:rsidRPr="003A1371">
        <w:rPr>
          <w:rFonts w:ascii="Arial" w:hAnsi="Arial" w:cs="Arial"/>
          <w:sz w:val="24"/>
          <w:szCs w:val="24"/>
        </w:rPr>
        <w:t xml:space="preserve"> litigation, the suggestion of an interim interd</w:t>
      </w:r>
      <w:r w:rsidR="007D1AA7">
        <w:rPr>
          <w:rFonts w:ascii="Arial" w:hAnsi="Arial" w:cs="Arial"/>
          <w:sz w:val="24"/>
          <w:szCs w:val="24"/>
        </w:rPr>
        <w:t>ict, pending the resolution of p</w:t>
      </w:r>
      <w:r w:rsidRPr="003A1371">
        <w:rPr>
          <w:rFonts w:ascii="Arial" w:hAnsi="Arial" w:cs="Arial"/>
          <w:sz w:val="24"/>
          <w:szCs w:val="24"/>
        </w:rPr>
        <w:t>art B is curious.  What the applicants really s</w:t>
      </w:r>
      <w:r w:rsidR="00281908">
        <w:rPr>
          <w:rFonts w:ascii="Arial" w:hAnsi="Arial" w:cs="Arial"/>
          <w:sz w:val="24"/>
          <w:szCs w:val="24"/>
        </w:rPr>
        <w:t>ought</w:t>
      </w:r>
      <w:r w:rsidRPr="003A1371">
        <w:rPr>
          <w:rFonts w:ascii="Arial" w:hAnsi="Arial" w:cs="Arial"/>
          <w:sz w:val="24"/>
          <w:szCs w:val="24"/>
        </w:rPr>
        <w:t xml:space="preserve">, as is evident from the papers and the argument before us, is </w:t>
      </w:r>
      <w:r w:rsidRPr="003A1371">
        <w:rPr>
          <w:rFonts w:ascii="Arial" w:hAnsi="Arial" w:cs="Arial"/>
          <w:sz w:val="24"/>
          <w:szCs w:val="24"/>
        </w:rPr>
        <w:lastRenderedPageBreak/>
        <w:t>an interim interdict pending an application to vary the final orders granted against them.  I shall approach the application thus.</w:t>
      </w:r>
    </w:p>
    <w:p w14:paraId="718C9C87" w14:textId="77777777" w:rsidR="00DD5003" w:rsidRDefault="00DD5003" w:rsidP="00811ED3">
      <w:pPr>
        <w:spacing w:after="0" w:line="480" w:lineRule="auto"/>
        <w:jc w:val="both"/>
        <w:rPr>
          <w:rFonts w:ascii="Arial" w:hAnsi="Arial" w:cs="Arial"/>
          <w:sz w:val="24"/>
          <w:szCs w:val="24"/>
        </w:rPr>
      </w:pPr>
    </w:p>
    <w:p w14:paraId="3A5DCE4B" w14:textId="77777777" w:rsidR="00DD5003" w:rsidRDefault="00DD5003" w:rsidP="00811ED3">
      <w:pPr>
        <w:spacing w:after="0" w:line="480" w:lineRule="auto"/>
        <w:jc w:val="both"/>
        <w:rPr>
          <w:rFonts w:ascii="Arial" w:hAnsi="Arial" w:cs="Arial"/>
          <w:sz w:val="24"/>
          <w:szCs w:val="24"/>
          <w:u w:val="single"/>
        </w:rPr>
      </w:pPr>
      <w:r w:rsidRPr="00DD5003">
        <w:rPr>
          <w:rFonts w:ascii="Arial" w:hAnsi="Arial" w:cs="Arial"/>
          <w:sz w:val="24"/>
          <w:szCs w:val="24"/>
          <w:u w:val="single"/>
        </w:rPr>
        <w:t>Background</w:t>
      </w:r>
    </w:p>
    <w:p w14:paraId="3BBFF8C6" w14:textId="566E07E9" w:rsidR="00DD5003" w:rsidRDefault="00DD5003" w:rsidP="00811ED3">
      <w:pPr>
        <w:pStyle w:val="ListParagraph"/>
        <w:numPr>
          <w:ilvl w:val="0"/>
          <w:numId w:val="20"/>
        </w:numPr>
        <w:spacing w:after="0" w:line="480" w:lineRule="auto"/>
        <w:ind w:left="0" w:firstLine="0"/>
        <w:jc w:val="both"/>
        <w:rPr>
          <w:rFonts w:ascii="Arial" w:hAnsi="Arial" w:cs="Arial"/>
          <w:sz w:val="24"/>
          <w:szCs w:val="24"/>
        </w:rPr>
      </w:pPr>
      <w:r w:rsidRPr="002E7688">
        <w:rPr>
          <w:rFonts w:ascii="Arial" w:hAnsi="Arial" w:cs="Arial"/>
          <w:sz w:val="24"/>
          <w:szCs w:val="24"/>
        </w:rPr>
        <w:t>The applicant</w:t>
      </w:r>
      <w:r w:rsidR="0071059B" w:rsidRPr="002E7688">
        <w:rPr>
          <w:rFonts w:ascii="Arial" w:hAnsi="Arial" w:cs="Arial"/>
          <w:sz w:val="24"/>
          <w:szCs w:val="24"/>
        </w:rPr>
        <w:t>s</w:t>
      </w:r>
      <w:r w:rsidRPr="002E7688">
        <w:rPr>
          <w:rFonts w:ascii="Arial" w:hAnsi="Arial" w:cs="Arial"/>
          <w:sz w:val="24"/>
          <w:szCs w:val="24"/>
        </w:rPr>
        <w:t xml:space="preserve"> said that they had brought the application in their own interest and in the interests of all persons requiring health services in the Eastern Cape.  They explained that medical negligence claims, particularly claims arising from birth injuries, and consequent cerebral palsy, have rapidly increased in recent years and they continue to escalate.  These claims, by their nature, are generally large claims and judgment debts arising from these claims, which are not budgeted for, have had a devastating effect upon the already </w:t>
      </w:r>
      <w:r w:rsidR="00CC3BCF">
        <w:rPr>
          <w:rFonts w:ascii="Arial" w:hAnsi="Arial" w:cs="Arial"/>
          <w:sz w:val="24"/>
          <w:szCs w:val="24"/>
        </w:rPr>
        <w:t>parlous state</w:t>
      </w:r>
      <w:r w:rsidRPr="002E7688">
        <w:rPr>
          <w:rFonts w:ascii="Arial" w:hAnsi="Arial" w:cs="Arial"/>
          <w:sz w:val="24"/>
          <w:szCs w:val="24"/>
        </w:rPr>
        <w:t xml:space="preserve"> of the ECDOH’s finances</w:t>
      </w:r>
      <w:r w:rsidR="00B15A22" w:rsidRPr="002E7688">
        <w:rPr>
          <w:rFonts w:ascii="Arial" w:hAnsi="Arial" w:cs="Arial"/>
          <w:sz w:val="24"/>
          <w:szCs w:val="24"/>
        </w:rPr>
        <w:t>.  The ECDOH has an annual budget of R26</w:t>
      </w:r>
      <w:r w:rsidR="00A6213B">
        <w:rPr>
          <w:rFonts w:ascii="Arial" w:hAnsi="Arial" w:cs="Arial"/>
          <w:sz w:val="24"/>
          <w:szCs w:val="24"/>
        </w:rPr>
        <w:t>.</w:t>
      </w:r>
      <w:r w:rsidR="008F1823">
        <w:rPr>
          <w:rFonts w:ascii="Arial" w:hAnsi="Arial" w:cs="Arial"/>
          <w:sz w:val="24"/>
          <w:szCs w:val="24"/>
        </w:rPr>
        <w:t>43 billion</w:t>
      </w:r>
      <w:r w:rsidR="00281908">
        <w:rPr>
          <w:rFonts w:ascii="Arial" w:hAnsi="Arial" w:cs="Arial"/>
          <w:sz w:val="24"/>
          <w:szCs w:val="24"/>
        </w:rPr>
        <w:t>,</w:t>
      </w:r>
      <w:r w:rsidR="00B15A22" w:rsidRPr="002E7688">
        <w:rPr>
          <w:rFonts w:ascii="Arial" w:hAnsi="Arial" w:cs="Arial"/>
          <w:sz w:val="24"/>
          <w:szCs w:val="24"/>
        </w:rPr>
        <w:t xml:space="preserve"> however, in h</w:t>
      </w:r>
      <w:r w:rsidR="00F36BFF">
        <w:rPr>
          <w:rFonts w:ascii="Arial" w:hAnsi="Arial" w:cs="Arial"/>
          <w:sz w:val="24"/>
          <w:szCs w:val="24"/>
        </w:rPr>
        <w:t>er</w:t>
      </w:r>
      <w:r w:rsidR="00B15A22" w:rsidRPr="002E7688">
        <w:rPr>
          <w:rFonts w:ascii="Arial" w:hAnsi="Arial" w:cs="Arial"/>
          <w:sz w:val="24"/>
          <w:szCs w:val="24"/>
        </w:rPr>
        <w:t xml:space="preserve"> budget speech for 2022, the MEC for Health explained that, if one considers the projected </w:t>
      </w:r>
      <w:r w:rsidR="00D9719B" w:rsidRPr="002E7688">
        <w:rPr>
          <w:rFonts w:ascii="Arial" w:hAnsi="Arial" w:cs="Arial"/>
          <w:sz w:val="24"/>
          <w:szCs w:val="24"/>
        </w:rPr>
        <w:t>over expenditure</w:t>
      </w:r>
      <w:r w:rsidR="00B15A22" w:rsidRPr="002E7688">
        <w:rPr>
          <w:rFonts w:ascii="Arial" w:hAnsi="Arial" w:cs="Arial"/>
          <w:sz w:val="24"/>
          <w:szCs w:val="24"/>
        </w:rPr>
        <w:t xml:space="preserve"> on cost of employment for 2022 and the accruals and payables from 2020/2021, the available budget for the ECDOH for 2021/2022 financial year becomes R21.3 billion, of which R17.9 billion, or 84%, is for the cost of employment.  In the result, the ECDOH has approximately R3.4 billion to render public health care services to the Eastern Cape.</w:t>
      </w:r>
    </w:p>
    <w:p w14:paraId="4EB7A27D" w14:textId="77777777" w:rsidR="006525EF" w:rsidRDefault="006525EF" w:rsidP="00811ED3">
      <w:pPr>
        <w:pStyle w:val="ListParagraph"/>
        <w:spacing w:after="0" w:line="480" w:lineRule="auto"/>
        <w:ind w:left="0"/>
        <w:jc w:val="both"/>
        <w:rPr>
          <w:rFonts w:ascii="Arial" w:hAnsi="Arial" w:cs="Arial"/>
          <w:sz w:val="24"/>
          <w:szCs w:val="24"/>
        </w:rPr>
      </w:pPr>
    </w:p>
    <w:p w14:paraId="75E17816" w14:textId="77777777" w:rsidR="006525EF" w:rsidRPr="006525EF" w:rsidRDefault="006525EF" w:rsidP="00811ED3">
      <w:pPr>
        <w:pStyle w:val="ListParagraph"/>
        <w:numPr>
          <w:ilvl w:val="0"/>
          <w:numId w:val="20"/>
        </w:numPr>
        <w:spacing w:after="0" w:line="480" w:lineRule="auto"/>
        <w:ind w:left="0" w:firstLine="0"/>
        <w:jc w:val="both"/>
        <w:rPr>
          <w:rFonts w:ascii="Arial" w:hAnsi="Arial" w:cs="Arial"/>
          <w:sz w:val="24"/>
          <w:szCs w:val="24"/>
        </w:rPr>
      </w:pPr>
      <w:r w:rsidRPr="006525EF">
        <w:rPr>
          <w:rFonts w:ascii="Arial" w:hAnsi="Arial" w:cs="Arial"/>
          <w:sz w:val="24"/>
          <w:szCs w:val="24"/>
        </w:rPr>
        <w:t>They said that they were constitutionally bound to respect, promote, protect and fulfil the rights in the Bill of Rights</w:t>
      </w:r>
      <w:r>
        <w:rPr>
          <w:rStyle w:val="FootnoteReference"/>
          <w:rFonts w:ascii="Arial" w:hAnsi="Arial" w:cs="Arial"/>
          <w:sz w:val="24"/>
          <w:szCs w:val="24"/>
        </w:rPr>
        <w:footnoteReference w:id="7"/>
      </w:r>
      <w:r w:rsidRPr="006525EF">
        <w:rPr>
          <w:rFonts w:ascii="Arial" w:hAnsi="Arial" w:cs="Arial"/>
          <w:sz w:val="24"/>
          <w:szCs w:val="24"/>
        </w:rPr>
        <w:t xml:space="preserve"> and to take reasonable legislative and other measures, within </w:t>
      </w:r>
      <w:r w:rsidR="00176D27">
        <w:rPr>
          <w:rFonts w:ascii="Arial" w:hAnsi="Arial" w:cs="Arial"/>
          <w:sz w:val="24"/>
          <w:szCs w:val="24"/>
        </w:rPr>
        <w:t>their</w:t>
      </w:r>
      <w:r w:rsidRPr="006525EF">
        <w:rPr>
          <w:rFonts w:ascii="Arial" w:hAnsi="Arial" w:cs="Arial"/>
          <w:sz w:val="24"/>
          <w:szCs w:val="24"/>
        </w:rPr>
        <w:t xml:space="preserve"> available resources, to achieve the realization of the right to access to health services.</w:t>
      </w:r>
      <w:r>
        <w:rPr>
          <w:rStyle w:val="FootnoteReference"/>
          <w:rFonts w:ascii="Arial" w:hAnsi="Arial" w:cs="Arial"/>
          <w:sz w:val="24"/>
          <w:szCs w:val="24"/>
        </w:rPr>
        <w:footnoteReference w:id="8"/>
      </w:r>
      <w:r w:rsidRPr="006525EF">
        <w:rPr>
          <w:rFonts w:ascii="Arial" w:hAnsi="Arial" w:cs="Arial"/>
          <w:sz w:val="24"/>
          <w:szCs w:val="24"/>
        </w:rPr>
        <w:t xml:space="preserve">  They </w:t>
      </w:r>
      <w:r w:rsidR="00176D27">
        <w:rPr>
          <w:rFonts w:ascii="Arial" w:hAnsi="Arial" w:cs="Arial"/>
          <w:sz w:val="24"/>
          <w:szCs w:val="24"/>
        </w:rPr>
        <w:t xml:space="preserve">explained that they </w:t>
      </w:r>
      <w:r w:rsidRPr="006525EF">
        <w:rPr>
          <w:rFonts w:ascii="Arial" w:hAnsi="Arial" w:cs="Arial"/>
          <w:sz w:val="24"/>
          <w:szCs w:val="24"/>
        </w:rPr>
        <w:t xml:space="preserve">are not permitted to refuse </w:t>
      </w:r>
      <w:r w:rsidRPr="006525EF">
        <w:rPr>
          <w:rFonts w:ascii="Arial" w:hAnsi="Arial" w:cs="Arial"/>
          <w:sz w:val="24"/>
          <w:szCs w:val="24"/>
        </w:rPr>
        <w:lastRenderedPageBreak/>
        <w:t>anyone emergency medical treatment</w:t>
      </w:r>
      <w:r>
        <w:rPr>
          <w:rStyle w:val="FootnoteReference"/>
          <w:rFonts w:ascii="Arial" w:hAnsi="Arial" w:cs="Arial"/>
          <w:sz w:val="24"/>
          <w:szCs w:val="24"/>
        </w:rPr>
        <w:footnoteReference w:id="9"/>
      </w:r>
      <w:r w:rsidRPr="006525EF">
        <w:rPr>
          <w:rFonts w:ascii="Arial" w:hAnsi="Arial" w:cs="Arial"/>
          <w:sz w:val="24"/>
          <w:szCs w:val="24"/>
        </w:rPr>
        <w:t xml:space="preserve"> and they are bound to ensure every child’s right to basic health care services.</w:t>
      </w:r>
      <w:r>
        <w:rPr>
          <w:rStyle w:val="FootnoteReference"/>
          <w:rFonts w:ascii="Arial" w:hAnsi="Arial" w:cs="Arial"/>
          <w:sz w:val="24"/>
          <w:szCs w:val="24"/>
        </w:rPr>
        <w:footnoteReference w:id="10"/>
      </w:r>
    </w:p>
    <w:p w14:paraId="65C8ECA9" w14:textId="77777777" w:rsidR="00B15A22" w:rsidRDefault="00B15A22" w:rsidP="00811ED3">
      <w:pPr>
        <w:spacing w:after="0" w:line="480" w:lineRule="auto"/>
        <w:jc w:val="both"/>
        <w:rPr>
          <w:rFonts w:ascii="Arial" w:hAnsi="Arial" w:cs="Arial"/>
          <w:sz w:val="24"/>
          <w:szCs w:val="24"/>
        </w:rPr>
      </w:pPr>
    </w:p>
    <w:p w14:paraId="682BF538" w14:textId="2C4CCC25" w:rsidR="00B15A22" w:rsidRPr="002E7688" w:rsidRDefault="00D9719B" w:rsidP="00811ED3">
      <w:pPr>
        <w:pStyle w:val="ListParagraph"/>
        <w:numPr>
          <w:ilvl w:val="0"/>
          <w:numId w:val="20"/>
        </w:numPr>
        <w:spacing w:after="0" w:line="480" w:lineRule="auto"/>
        <w:ind w:left="0" w:firstLine="0"/>
        <w:jc w:val="both"/>
        <w:rPr>
          <w:rFonts w:ascii="Arial" w:hAnsi="Arial" w:cs="Arial"/>
          <w:sz w:val="24"/>
          <w:szCs w:val="24"/>
        </w:rPr>
      </w:pPr>
      <w:r w:rsidRPr="002E7688">
        <w:rPr>
          <w:rFonts w:ascii="Arial" w:hAnsi="Arial" w:cs="Arial"/>
          <w:sz w:val="24"/>
          <w:szCs w:val="24"/>
        </w:rPr>
        <w:t>During</w:t>
      </w:r>
      <w:r w:rsidR="00B15A22" w:rsidRPr="002E7688">
        <w:rPr>
          <w:rFonts w:ascii="Arial" w:hAnsi="Arial" w:cs="Arial"/>
          <w:sz w:val="24"/>
          <w:szCs w:val="24"/>
        </w:rPr>
        <w:t xml:space="preserve"> the financial year 2020/2021 writs in execution pursuant to judgment debts arising from medic</w:t>
      </w:r>
      <w:r w:rsidR="00176D27">
        <w:rPr>
          <w:rFonts w:ascii="Arial" w:hAnsi="Arial" w:cs="Arial"/>
          <w:sz w:val="24"/>
          <w:szCs w:val="24"/>
        </w:rPr>
        <w:t>o-legal</w:t>
      </w:r>
      <w:r w:rsidR="00B15A22" w:rsidRPr="002E7688">
        <w:rPr>
          <w:rFonts w:ascii="Arial" w:hAnsi="Arial" w:cs="Arial"/>
          <w:sz w:val="24"/>
          <w:szCs w:val="24"/>
        </w:rPr>
        <w:t xml:space="preserve"> </w:t>
      </w:r>
      <w:r w:rsidR="00176D27">
        <w:rPr>
          <w:rFonts w:ascii="Arial" w:hAnsi="Arial" w:cs="Arial"/>
          <w:sz w:val="24"/>
          <w:szCs w:val="24"/>
        </w:rPr>
        <w:t>claims</w:t>
      </w:r>
      <w:r w:rsidR="00B15A22" w:rsidRPr="002E7688">
        <w:rPr>
          <w:rFonts w:ascii="Arial" w:hAnsi="Arial" w:cs="Arial"/>
          <w:sz w:val="24"/>
          <w:szCs w:val="24"/>
        </w:rPr>
        <w:t xml:space="preserve"> </w:t>
      </w:r>
      <w:r w:rsidRPr="002E7688">
        <w:rPr>
          <w:rFonts w:ascii="Arial" w:hAnsi="Arial" w:cs="Arial"/>
          <w:sz w:val="24"/>
          <w:szCs w:val="24"/>
        </w:rPr>
        <w:t>amounted</w:t>
      </w:r>
      <w:r w:rsidR="00B15A22" w:rsidRPr="002E7688">
        <w:rPr>
          <w:rFonts w:ascii="Arial" w:hAnsi="Arial" w:cs="Arial"/>
          <w:sz w:val="24"/>
          <w:szCs w:val="24"/>
        </w:rPr>
        <w:t xml:space="preserve"> to </w:t>
      </w:r>
      <w:r w:rsidR="008F1823">
        <w:rPr>
          <w:rFonts w:ascii="Arial" w:hAnsi="Arial" w:cs="Arial"/>
          <w:sz w:val="24"/>
          <w:szCs w:val="24"/>
        </w:rPr>
        <w:t xml:space="preserve">more than </w:t>
      </w:r>
      <w:r w:rsidR="00B15A22" w:rsidRPr="002E7688">
        <w:rPr>
          <w:rFonts w:ascii="Arial" w:hAnsi="Arial" w:cs="Arial"/>
          <w:sz w:val="24"/>
          <w:szCs w:val="24"/>
        </w:rPr>
        <w:t>R92</w:t>
      </w:r>
      <w:r w:rsidR="00F36BFF">
        <w:rPr>
          <w:rFonts w:ascii="Arial" w:hAnsi="Arial" w:cs="Arial"/>
          <w:sz w:val="24"/>
          <w:szCs w:val="24"/>
        </w:rPr>
        <w:t xml:space="preserve">1 </w:t>
      </w:r>
      <w:r w:rsidR="008F1823">
        <w:rPr>
          <w:rFonts w:ascii="Arial" w:hAnsi="Arial" w:cs="Arial"/>
          <w:sz w:val="24"/>
          <w:szCs w:val="24"/>
        </w:rPr>
        <w:t>million</w:t>
      </w:r>
      <w:r w:rsidR="00B15A22" w:rsidRPr="002E7688">
        <w:rPr>
          <w:rFonts w:ascii="Arial" w:hAnsi="Arial" w:cs="Arial"/>
          <w:sz w:val="24"/>
          <w:szCs w:val="24"/>
        </w:rPr>
        <w:t xml:space="preserve">.  These </w:t>
      </w:r>
      <w:r w:rsidRPr="002E7688">
        <w:rPr>
          <w:rFonts w:ascii="Arial" w:hAnsi="Arial" w:cs="Arial"/>
          <w:sz w:val="24"/>
          <w:szCs w:val="24"/>
        </w:rPr>
        <w:t>writs were issued against</w:t>
      </w:r>
      <w:r w:rsidR="00281908">
        <w:rPr>
          <w:rFonts w:ascii="Arial" w:hAnsi="Arial" w:cs="Arial"/>
          <w:sz w:val="24"/>
          <w:szCs w:val="24"/>
        </w:rPr>
        <w:t>, and paid from,</w:t>
      </w:r>
      <w:r w:rsidRPr="002E7688">
        <w:rPr>
          <w:rFonts w:ascii="Arial" w:hAnsi="Arial" w:cs="Arial"/>
          <w:sz w:val="24"/>
          <w:szCs w:val="24"/>
        </w:rPr>
        <w:t xml:space="preserve"> the </w:t>
      </w:r>
      <w:r w:rsidR="00176D27">
        <w:rPr>
          <w:rFonts w:ascii="Arial" w:hAnsi="Arial" w:cs="Arial"/>
          <w:sz w:val="24"/>
          <w:szCs w:val="24"/>
        </w:rPr>
        <w:t>PMG account</w:t>
      </w:r>
      <w:r w:rsidRPr="002E7688">
        <w:rPr>
          <w:rFonts w:ascii="Arial" w:hAnsi="Arial" w:cs="Arial"/>
          <w:sz w:val="24"/>
          <w:szCs w:val="24"/>
        </w:rPr>
        <w:t>.  When the application was argued before us an amount of R397 million was due t</w:t>
      </w:r>
      <w:r w:rsidR="000037E4">
        <w:rPr>
          <w:rFonts w:ascii="Arial" w:hAnsi="Arial" w:cs="Arial"/>
          <w:sz w:val="24"/>
          <w:szCs w:val="24"/>
        </w:rPr>
        <w:t xml:space="preserve">o the plaintiff </w:t>
      </w:r>
      <w:r w:rsidRPr="002E7688">
        <w:rPr>
          <w:rFonts w:ascii="Arial" w:hAnsi="Arial" w:cs="Arial"/>
          <w:sz w:val="24"/>
          <w:szCs w:val="24"/>
        </w:rPr>
        <w:t>respondents in respect of judgment debts</w:t>
      </w:r>
      <w:r w:rsidR="00CC3BCF">
        <w:rPr>
          <w:rFonts w:ascii="Arial" w:hAnsi="Arial" w:cs="Arial"/>
          <w:sz w:val="24"/>
          <w:szCs w:val="24"/>
        </w:rPr>
        <w:t>,</w:t>
      </w:r>
      <w:r w:rsidRPr="002E7688">
        <w:rPr>
          <w:rFonts w:ascii="Arial" w:hAnsi="Arial" w:cs="Arial"/>
          <w:sz w:val="24"/>
          <w:szCs w:val="24"/>
        </w:rPr>
        <w:t xml:space="preserve"> which had accumulated </w:t>
      </w:r>
      <w:r w:rsidR="00176D27">
        <w:rPr>
          <w:rFonts w:ascii="Arial" w:hAnsi="Arial" w:cs="Arial"/>
          <w:sz w:val="24"/>
          <w:szCs w:val="24"/>
        </w:rPr>
        <w:t xml:space="preserve">from judgments delivered </w:t>
      </w:r>
      <w:r w:rsidRPr="002E7688">
        <w:rPr>
          <w:rFonts w:ascii="Arial" w:hAnsi="Arial" w:cs="Arial"/>
          <w:sz w:val="24"/>
          <w:szCs w:val="24"/>
        </w:rPr>
        <w:t xml:space="preserve">over a period from 2019 to </w:t>
      </w:r>
      <w:r w:rsidR="00F129F8" w:rsidRPr="002E7688">
        <w:rPr>
          <w:rFonts w:ascii="Arial" w:hAnsi="Arial" w:cs="Arial"/>
          <w:sz w:val="24"/>
          <w:szCs w:val="24"/>
        </w:rPr>
        <w:t>mid-2022</w:t>
      </w:r>
      <w:r w:rsidR="00CC3BCF">
        <w:rPr>
          <w:rFonts w:ascii="Arial" w:hAnsi="Arial" w:cs="Arial"/>
          <w:sz w:val="24"/>
          <w:szCs w:val="24"/>
        </w:rPr>
        <w:t>,</w:t>
      </w:r>
      <w:r w:rsidRPr="002E7688">
        <w:rPr>
          <w:rFonts w:ascii="Arial" w:hAnsi="Arial" w:cs="Arial"/>
          <w:sz w:val="24"/>
          <w:szCs w:val="24"/>
        </w:rPr>
        <w:t xml:space="preserve"> and the department estimated that a contingent liability of R38</w:t>
      </w:r>
      <w:r w:rsidR="00A6213B">
        <w:rPr>
          <w:rFonts w:ascii="Arial" w:hAnsi="Arial" w:cs="Arial"/>
          <w:sz w:val="24"/>
          <w:szCs w:val="24"/>
        </w:rPr>
        <w:t>.</w:t>
      </w:r>
      <w:r w:rsidR="008F1823">
        <w:rPr>
          <w:rFonts w:ascii="Arial" w:hAnsi="Arial" w:cs="Arial"/>
          <w:sz w:val="24"/>
          <w:szCs w:val="24"/>
        </w:rPr>
        <w:t>67 billion</w:t>
      </w:r>
      <w:r w:rsidRPr="002E7688">
        <w:rPr>
          <w:rFonts w:ascii="Arial" w:hAnsi="Arial" w:cs="Arial"/>
          <w:sz w:val="24"/>
          <w:szCs w:val="24"/>
        </w:rPr>
        <w:t xml:space="preserve"> existed in respect of unresolved claims.  </w:t>
      </w:r>
    </w:p>
    <w:p w14:paraId="796B5FC6" w14:textId="77777777" w:rsidR="00D9719B" w:rsidRDefault="00D9719B" w:rsidP="00811ED3">
      <w:pPr>
        <w:spacing w:after="0" w:line="480" w:lineRule="auto"/>
        <w:jc w:val="both"/>
        <w:rPr>
          <w:rFonts w:ascii="Arial" w:hAnsi="Arial" w:cs="Arial"/>
          <w:sz w:val="24"/>
          <w:szCs w:val="24"/>
        </w:rPr>
      </w:pPr>
    </w:p>
    <w:p w14:paraId="2746277E" w14:textId="77777777" w:rsidR="00D9719B" w:rsidRDefault="0071059B" w:rsidP="00811ED3">
      <w:pPr>
        <w:pStyle w:val="ListParagraph"/>
        <w:numPr>
          <w:ilvl w:val="0"/>
          <w:numId w:val="20"/>
        </w:numPr>
        <w:spacing w:after="0" w:line="480" w:lineRule="auto"/>
        <w:ind w:left="0" w:firstLine="0"/>
        <w:jc w:val="both"/>
        <w:rPr>
          <w:rFonts w:ascii="Arial" w:hAnsi="Arial" w:cs="Arial"/>
          <w:sz w:val="24"/>
          <w:szCs w:val="24"/>
        </w:rPr>
      </w:pPr>
      <w:r w:rsidRPr="002E7688">
        <w:rPr>
          <w:rFonts w:ascii="Arial" w:hAnsi="Arial" w:cs="Arial"/>
          <w:sz w:val="24"/>
          <w:szCs w:val="24"/>
        </w:rPr>
        <w:t xml:space="preserve">The head of the Eastern Cape Department of Provincial Treasury (HOD for </w:t>
      </w:r>
      <w:r w:rsidR="0043025C">
        <w:rPr>
          <w:rFonts w:ascii="Arial" w:hAnsi="Arial" w:cs="Arial"/>
          <w:sz w:val="24"/>
          <w:szCs w:val="24"/>
        </w:rPr>
        <w:t>t</w:t>
      </w:r>
      <w:r w:rsidRPr="002E7688">
        <w:rPr>
          <w:rFonts w:ascii="Arial" w:hAnsi="Arial" w:cs="Arial"/>
          <w:sz w:val="24"/>
          <w:szCs w:val="24"/>
        </w:rPr>
        <w:t xml:space="preserve">reasury) explained that due to the country’s precarious financial position no further financial assistance, beside the Eastern Cape’s ever diminishing equitable share of the national revenue, will be forthcoming from </w:t>
      </w:r>
      <w:r w:rsidR="00176D27">
        <w:rPr>
          <w:rFonts w:ascii="Arial" w:hAnsi="Arial" w:cs="Arial"/>
          <w:sz w:val="24"/>
          <w:szCs w:val="24"/>
        </w:rPr>
        <w:t>n</w:t>
      </w:r>
      <w:r w:rsidRPr="002E7688">
        <w:rPr>
          <w:rFonts w:ascii="Arial" w:hAnsi="Arial" w:cs="Arial"/>
          <w:sz w:val="24"/>
          <w:szCs w:val="24"/>
        </w:rPr>
        <w:t xml:space="preserve">ational </w:t>
      </w:r>
      <w:r w:rsidR="00176D27">
        <w:rPr>
          <w:rFonts w:ascii="Arial" w:hAnsi="Arial" w:cs="Arial"/>
          <w:sz w:val="24"/>
          <w:szCs w:val="24"/>
        </w:rPr>
        <w:t>t</w:t>
      </w:r>
      <w:r w:rsidRPr="002E7688">
        <w:rPr>
          <w:rFonts w:ascii="Arial" w:hAnsi="Arial" w:cs="Arial"/>
          <w:sz w:val="24"/>
          <w:szCs w:val="24"/>
        </w:rPr>
        <w:t>reasury.  The applicants</w:t>
      </w:r>
      <w:r w:rsidR="00CC3BCF">
        <w:rPr>
          <w:rFonts w:ascii="Arial" w:hAnsi="Arial" w:cs="Arial"/>
          <w:sz w:val="24"/>
          <w:szCs w:val="24"/>
        </w:rPr>
        <w:t>,</w:t>
      </w:r>
      <w:r w:rsidRPr="002E7688">
        <w:rPr>
          <w:rFonts w:ascii="Arial" w:hAnsi="Arial" w:cs="Arial"/>
          <w:sz w:val="24"/>
          <w:szCs w:val="24"/>
        </w:rPr>
        <w:t xml:space="preserve"> accordingly</w:t>
      </w:r>
      <w:r w:rsidR="00CC3BCF">
        <w:rPr>
          <w:rFonts w:ascii="Arial" w:hAnsi="Arial" w:cs="Arial"/>
          <w:sz w:val="24"/>
          <w:szCs w:val="24"/>
        </w:rPr>
        <w:t>,</w:t>
      </w:r>
      <w:r w:rsidRPr="002E7688">
        <w:rPr>
          <w:rFonts w:ascii="Arial" w:hAnsi="Arial" w:cs="Arial"/>
          <w:sz w:val="24"/>
          <w:szCs w:val="24"/>
        </w:rPr>
        <w:t xml:space="preserve"> </w:t>
      </w:r>
      <w:r w:rsidR="00CC3BCF">
        <w:rPr>
          <w:rFonts w:ascii="Arial" w:hAnsi="Arial" w:cs="Arial"/>
          <w:sz w:val="24"/>
          <w:szCs w:val="24"/>
        </w:rPr>
        <w:t>contended</w:t>
      </w:r>
      <w:r w:rsidRPr="002E7688">
        <w:rPr>
          <w:rFonts w:ascii="Arial" w:hAnsi="Arial" w:cs="Arial"/>
          <w:sz w:val="24"/>
          <w:szCs w:val="24"/>
        </w:rPr>
        <w:t xml:space="preserve"> that payment of the existing judgment debts may lead to the total collapse of health services </w:t>
      </w:r>
      <w:r w:rsidR="00281908">
        <w:rPr>
          <w:rFonts w:ascii="Arial" w:hAnsi="Arial" w:cs="Arial"/>
          <w:sz w:val="24"/>
          <w:szCs w:val="24"/>
        </w:rPr>
        <w:t>in</w:t>
      </w:r>
      <w:r w:rsidRPr="002E7688">
        <w:rPr>
          <w:rFonts w:ascii="Arial" w:hAnsi="Arial" w:cs="Arial"/>
          <w:sz w:val="24"/>
          <w:szCs w:val="24"/>
        </w:rPr>
        <w:t xml:space="preserve"> the Eastern Cape.</w:t>
      </w:r>
      <w:r>
        <w:rPr>
          <w:rStyle w:val="FootnoteReference"/>
          <w:rFonts w:ascii="Arial" w:hAnsi="Arial" w:cs="Arial"/>
          <w:sz w:val="24"/>
          <w:szCs w:val="24"/>
        </w:rPr>
        <w:footnoteReference w:id="11"/>
      </w:r>
      <w:r w:rsidRPr="002E7688">
        <w:rPr>
          <w:rFonts w:ascii="Arial" w:hAnsi="Arial" w:cs="Arial"/>
          <w:sz w:val="24"/>
          <w:szCs w:val="24"/>
        </w:rPr>
        <w:t xml:space="preserve">  The collapse of health services, they said, threaten the Constitutional rights of all persons that have existing or potential claims, suffer illnesses or injuries and receive health care in the Eastern Cape.</w:t>
      </w:r>
    </w:p>
    <w:p w14:paraId="4965CA4A" w14:textId="77777777" w:rsidR="00063C86" w:rsidRPr="00063C86" w:rsidRDefault="00063C86" w:rsidP="00811ED3">
      <w:pPr>
        <w:pStyle w:val="ListParagraph"/>
        <w:spacing w:after="0" w:line="480" w:lineRule="auto"/>
        <w:ind w:left="0"/>
        <w:jc w:val="both"/>
        <w:rPr>
          <w:rFonts w:ascii="Arial" w:hAnsi="Arial" w:cs="Arial"/>
          <w:sz w:val="24"/>
          <w:szCs w:val="24"/>
        </w:rPr>
      </w:pPr>
    </w:p>
    <w:p w14:paraId="610E5797" w14:textId="77777777" w:rsidR="00063C86" w:rsidRDefault="00063C86" w:rsidP="00811ED3">
      <w:pPr>
        <w:pStyle w:val="ListParagraph"/>
        <w:numPr>
          <w:ilvl w:val="0"/>
          <w:numId w:val="20"/>
        </w:numPr>
        <w:spacing w:after="0" w:line="480" w:lineRule="auto"/>
        <w:ind w:left="0" w:firstLine="0"/>
        <w:jc w:val="both"/>
        <w:rPr>
          <w:rFonts w:ascii="Arial" w:hAnsi="Arial" w:cs="Arial"/>
          <w:sz w:val="24"/>
          <w:szCs w:val="24"/>
        </w:rPr>
      </w:pPr>
      <w:r>
        <w:rPr>
          <w:rFonts w:ascii="Arial" w:hAnsi="Arial" w:cs="Arial"/>
          <w:sz w:val="24"/>
          <w:szCs w:val="24"/>
        </w:rPr>
        <w:lastRenderedPageBreak/>
        <w:t>The financial constraints imposed on the ECDOH are real and the potential impact thereof is cause for concern.  Excessive medical malpractice litigation against the State may, indeed</w:t>
      </w:r>
      <w:r w:rsidR="00281908">
        <w:rPr>
          <w:rFonts w:ascii="Arial" w:hAnsi="Arial" w:cs="Arial"/>
          <w:sz w:val="24"/>
          <w:szCs w:val="24"/>
        </w:rPr>
        <w:t>,</w:t>
      </w:r>
      <w:r>
        <w:rPr>
          <w:rFonts w:ascii="Arial" w:hAnsi="Arial" w:cs="Arial"/>
          <w:sz w:val="24"/>
          <w:szCs w:val="24"/>
        </w:rPr>
        <w:t xml:space="preserve"> potentially undermine its ability to provide public health</w:t>
      </w:r>
      <w:r w:rsidR="005B7DE7">
        <w:rPr>
          <w:rFonts w:ascii="Arial" w:hAnsi="Arial" w:cs="Arial"/>
          <w:sz w:val="24"/>
          <w:szCs w:val="24"/>
        </w:rPr>
        <w:t xml:space="preserve"> </w:t>
      </w:r>
      <w:r>
        <w:rPr>
          <w:rFonts w:ascii="Arial" w:hAnsi="Arial" w:cs="Arial"/>
          <w:sz w:val="24"/>
          <w:szCs w:val="24"/>
        </w:rPr>
        <w:t>care.</w:t>
      </w:r>
      <w:r>
        <w:rPr>
          <w:rStyle w:val="FootnoteReference"/>
          <w:rFonts w:ascii="Arial" w:hAnsi="Arial" w:cs="Arial"/>
          <w:sz w:val="24"/>
          <w:szCs w:val="24"/>
        </w:rPr>
        <w:footnoteReference w:id="12"/>
      </w:r>
      <w:r>
        <w:rPr>
          <w:rFonts w:ascii="Arial" w:hAnsi="Arial" w:cs="Arial"/>
          <w:sz w:val="24"/>
          <w:szCs w:val="24"/>
        </w:rPr>
        <w:t xml:space="preserve">  However, the symbol of justice is a pair of scales, which requires the particular circumstances of each plaintiff respondent to be weighed.</w:t>
      </w:r>
    </w:p>
    <w:p w14:paraId="7E432C78" w14:textId="77777777" w:rsidR="006C068F" w:rsidRPr="006C068F" w:rsidRDefault="006C068F" w:rsidP="00811ED3">
      <w:pPr>
        <w:pStyle w:val="ListParagraph"/>
        <w:spacing w:after="0" w:line="480" w:lineRule="auto"/>
        <w:ind w:left="0"/>
        <w:jc w:val="both"/>
        <w:rPr>
          <w:rFonts w:ascii="Arial" w:hAnsi="Arial" w:cs="Arial"/>
          <w:sz w:val="24"/>
          <w:szCs w:val="24"/>
        </w:rPr>
      </w:pPr>
    </w:p>
    <w:p w14:paraId="720DF805" w14:textId="77777777" w:rsidR="006C068F" w:rsidRPr="002E7688" w:rsidRDefault="006C068F" w:rsidP="00811ED3">
      <w:pPr>
        <w:pStyle w:val="ListParagraph"/>
        <w:numPr>
          <w:ilvl w:val="0"/>
          <w:numId w:val="20"/>
        </w:numPr>
        <w:spacing w:after="0" w:line="480" w:lineRule="auto"/>
        <w:ind w:left="0" w:firstLine="0"/>
        <w:jc w:val="both"/>
        <w:rPr>
          <w:rFonts w:ascii="Arial" w:hAnsi="Arial" w:cs="Arial"/>
          <w:sz w:val="24"/>
          <w:szCs w:val="24"/>
        </w:rPr>
      </w:pPr>
      <w:r>
        <w:rPr>
          <w:rFonts w:ascii="Arial" w:hAnsi="Arial" w:cs="Arial"/>
          <w:sz w:val="24"/>
          <w:szCs w:val="24"/>
        </w:rPr>
        <w:t>The plaintiff respondents are primarily indigent, rural citizens of the Eastern Cape and the vast majority of claims arise from cerebral palsy inflicted upon children through birth injuries, by the negligence of employees of the ECDOH.  T</w:t>
      </w:r>
      <w:r w:rsidR="00281908">
        <w:rPr>
          <w:rFonts w:ascii="Arial" w:hAnsi="Arial" w:cs="Arial"/>
          <w:sz w:val="24"/>
          <w:szCs w:val="24"/>
        </w:rPr>
        <w:t>he issue</w:t>
      </w:r>
      <w:r>
        <w:rPr>
          <w:rFonts w:ascii="Arial" w:hAnsi="Arial" w:cs="Arial"/>
          <w:sz w:val="24"/>
          <w:szCs w:val="24"/>
        </w:rPr>
        <w:t xml:space="preserve"> of “excessive litigation”</w:t>
      </w:r>
      <w:r w:rsidR="00281908">
        <w:rPr>
          <w:rFonts w:ascii="Arial" w:hAnsi="Arial" w:cs="Arial"/>
          <w:sz w:val="24"/>
          <w:szCs w:val="24"/>
        </w:rPr>
        <w:t xml:space="preserve"> does not arise in respect of the relief sought in </w:t>
      </w:r>
      <w:r w:rsidR="007D1AA7">
        <w:rPr>
          <w:rFonts w:ascii="Arial" w:hAnsi="Arial" w:cs="Arial"/>
          <w:sz w:val="24"/>
          <w:szCs w:val="24"/>
        </w:rPr>
        <w:t>p</w:t>
      </w:r>
      <w:r w:rsidR="00281908">
        <w:rPr>
          <w:rFonts w:ascii="Arial" w:hAnsi="Arial" w:cs="Arial"/>
          <w:sz w:val="24"/>
          <w:szCs w:val="24"/>
        </w:rPr>
        <w:t>art A of the application</w:t>
      </w:r>
      <w:r>
        <w:rPr>
          <w:rFonts w:ascii="Arial" w:hAnsi="Arial" w:cs="Arial"/>
          <w:sz w:val="24"/>
          <w:szCs w:val="24"/>
        </w:rPr>
        <w:t>.  The applicants accept that the litigation in each case was justified, the finding of their negligence is not disputed and the validity and binding effect of the judgment</w:t>
      </w:r>
      <w:r w:rsidR="00317071">
        <w:rPr>
          <w:rFonts w:ascii="Arial" w:hAnsi="Arial" w:cs="Arial"/>
          <w:sz w:val="24"/>
          <w:szCs w:val="24"/>
        </w:rPr>
        <w:t>s</w:t>
      </w:r>
      <w:r>
        <w:rPr>
          <w:rFonts w:ascii="Arial" w:hAnsi="Arial" w:cs="Arial"/>
          <w:sz w:val="24"/>
          <w:szCs w:val="24"/>
        </w:rPr>
        <w:t xml:space="preserve"> is not challenged.  I shall revert to the plight of the injured parties.</w:t>
      </w:r>
    </w:p>
    <w:p w14:paraId="1CF0BE8C" w14:textId="77777777" w:rsidR="003718D4" w:rsidRPr="003718D4" w:rsidRDefault="003718D4" w:rsidP="00811ED3">
      <w:pPr>
        <w:pStyle w:val="ListParagraph"/>
        <w:spacing w:after="0" w:line="480" w:lineRule="auto"/>
        <w:ind w:left="0"/>
        <w:jc w:val="both"/>
        <w:rPr>
          <w:rFonts w:ascii="Arial" w:hAnsi="Arial" w:cs="Arial"/>
          <w:sz w:val="24"/>
          <w:szCs w:val="24"/>
        </w:rPr>
      </w:pPr>
    </w:p>
    <w:p w14:paraId="5ACAB588" w14:textId="77777777" w:rsidR="003718D4" w:rsidRDefault="003718D4" w:rsidP="00811ED3">
      <w:pPr>
        <w:pStyle w:val="ListParagraph"/>
        <w:spacing w:after="0" w:line="480" w:lineRule="auto"/>
        <w:ind w:left="0"/>
        <w:jc w:val="both"/>
        <w:rPr>
          <w:rFonts w:ascii="Arial" w:hAnsi="Arial" w:cs="Arial"/>
          <w:i/>
          <w:sz w:val="24"/>
          <w:szCs w:val="24"/>
          <w:u w:val="single"/>
        </w:rPr>
      </w:pPr>
      <w:r>
        <w:rPr>
          <w:rFonts w:ascii="Arial" w:hAnsi="Arial" w:cs="Arial"/>
          <w:sz w:val="24"/>
          <w:szCs w:val="24"/>
          <w:u w:val="single"/>
        </w:rPr>
        <w:t>The Statutory Regime</w:t>
      </w:r>
    </w:p>
    <w:p w14:paraId="2DA316D9" w14:textId="77777777" w:rsidR="003718D4" w:rsidRDefault="002E7688" w:rsidP="00811ED3">
      <w:pPr>
        <w:pStyle w:val="ListParagraph"/>
        <w:numPr>
          <w:ilvl w:val="0"/>
          <w:numId w:val="20"/>
        </w:numPr>
        <w:spacing w:after="0" w:line="480" w:lineRule="auto"/>
        <w:ind w:left="0" w:firstLine="0"/>
        <w:jc w:val="both"/>
        <w:rPr>
          <w:rFonts w:ascii="Arial" w:hAnsi="Arial" w:cs="Arial"/>
          <w:sz w:val="24"/>
          <w:szCs w:val="24"/>
        </w:rPr>
      </w:pPr>
      <w:r>
        <w:rPr>
          <w:rFonts w:ascii="Arial" w:hAnsi="Arial" w:cs="Arial"/>
          <w:sz w:val="24"/>
          <w:szCs w:val="24"/>
        </w:rPr>
        <w:t>I</w:t>
      </w:r>
      <w:r w:rsidR="003718D4">
        <w:rPr>
          <w:rFonts w:ascii="Arial" w:hAnsi="Arial" w:cs="Arial"/>
          <w:sz w:val="24"/>
          <w:szCs w:val="24"/>
        </w:rPr>
        <w:t>t is instructive</w:t>
      </w:r>
      <w:r w:rsidR="00143DA2">
        <w:rPr>
          <w:rFonts w:ascii="Arial" w:hAnsi="Arial" w:cs="Arial"/>
          <w:sz w:val="24"/>
          <w:szCs w:val="24"/>
        </w:rPr>
        <w:t xml:space="preserve">, before I proceed to consider the </w:t>
      </w:r>
      <w:r w:rsidR="00281908">
        <w:rPr>
          <w:rFonts w:ascii="Arial" w:hAnsi="Arial" w:cs="Arial"/>
          <w:sz w:val="24"/>
          <w:szCs w:val="24"/>
        </w:rPr>
        <w:t>predicament of the applicants</w:t>
      </w:r>
      <w:r w:rsidR="00143DA2">
        <w:rPr>
          <w:rFonts w:ascii="Arial" w:hAnsi="Arial" w:cs="Arial"/>
          <w:sz w:val="24"/>
          <w:szCs w:val="24"/>
        </w:rPr>
        <w:t>, to explore</w:t>
      </w:r>
      <w:r w:rsidR="003718D4">
        <w:rPr>
          <w:rFonts w:ascii="Arial" w:hAnsi="Arial" w:cs="Arial"/>
          <w:sz w:val="24"/>
          <w:szCs w:val="24"/>
        </w:rPr>
        <w:t xml:space="preserve"> the statutory context which finds application</w:t>
      </w:r>
      <w:r>
        <w:rPr>
          <w:rFonts w:ascii="Arial" w:hAnsi="Arial" w:cs="Arial"/>
          <w:sz w:val="24"/>
          <w:szCs w:val="24"/>
        </w:rPr>
        <w:t xml:space="preserve"> to the </w:t>
      </w:r>
      <w:r w:rsidR="00176D27">
        <w:rPr>
          <w:rFonts w:ascii="Arial" w:hAnsi="Arial" w:cs="Arial"/>
          <w:sz w:val="24"/>
          <w:szCs w:val="24"/>
        </w:rPr>
        <w:t xml:space="preserve">financial </w:t>
      </w:r>
      <w:r>
        <w:rPr>
          <w:rFonts w:ascii="Arial" w:hAnsi="Arial" w:cs="Arial"/>
          <w:sz w:val="24"/>
          <w:szCs w:val="24"/>
        </w:rPr>
        <w:t>issues</w:t>
      </w:r>
      <w:r w:rsidR="00176D27">
        <w:rPr>
          <w:rFonts w:ascii="Arial" w:hAnsi="Arial" w:cs="Arial"/>
          <w:sz w:val="24"/>
          <w:szCs w:val="24"/>
        </w:rPr>
        <w:t xml:space="preserve"> in this case</w:t>
      </w:r>
      <w:r w:rsidR="003718D4">
        <w:rPr>
          <w:rFonts w:ascii="Arial" w:hAnsi="Arial" w:cs="Arial"/>
          <w:sz w:val="24"/>
          <w:szCs w:val="24"/>
        </w:rPr>
        <w:t xml:space="preserve">.  Section 27 of the Constitution </w:t>
      </w:r>
      <w:r w:rsidR="006A4B4F">
        <w:rPr>
          <w:rFonts w:ascii="Arial" w:hAnsi="Arial" w:cs="Arial"/>
          <w:sz w:val="24"/>
          <w:szCs w:val="24"/>
        </w:rPr>
        <w:t>provides</w:t>
      </w:r>
      <w:r w:rsidR="003718D4">
        <w:rPr>
          <w:rFonts w:ascii="Arial" w:hAnsi="Arial" w:cs="Arial"/>
          <w:sz w:val="24"/>
          <w:szCs w:val="24"/>
        </w:rPr>
        <w:t xml:space="preserve"> for </w:t>
      </w:r>
      <w:r w:rsidR="006A4B4F">
        <w:rPr>
          <w:rFonts w:ascii="Arial" w:hAnsi="Arial" w:cs="Arial"/>
          <w:sz w:val="24"/>
          <w:szCs w:val="24"/>
        </w:rPr>
        <w:t>everyone</w:t>
      </w:r>
      <w:r w:rsidR="003718D4">
        <w:rPr>
          <w:rFonts w:ascii="Arial" w:hAnsi="Arial" w:cs="Arial"/>
          <w:sz w:val="24"/>
          <w:szCs w:val="24"/>
        </w:rPr>
        <w:t xml:space="preserve"> to have a right to access to health</w:t>
      </w:r>
      <w:r w:rsidR="005B7DE7">
        <w:rPr>
          <w:rFonts w:ascii="Arial" w:hAnsi="Arial" w:cs="Arial"/>
          <w:sz w:val="24"/>
          <w:szCs w:val="24"/>
        </w:rPr>
        <w:t xml:space="preserve"> </w:t>
      </w:r>
      <w:r w:rsidR="003718D4">
        <w:rPr>
          <w:rFonts w:ascii="Arial" w:hAnsi="Arial" w:cs="Arial"/>
          <w:sz w:val="24"/>
          <w:szCs w:val="24"/>
        </w:rPr>
        <w:t xml:space="preserve">care services, including reproductive health care.  It imposes an obligation </w:t>
      </w:r>
      <w:r w:rsidR="006A4B4F">
        <w:rPr>
          <w:rFonts w:ascii="Arial" w:hAnsi="Arial" w:cs="Arial"/>
          <w:sz w:val="24"/>
          <w:szCs w:val="24"/>
        </w:rPr>
        <w:t>on the State to take reasonable legislative, and other measures within its available resources, to achieve the progressive realisation of such rights.  Health services is a functional area of concurrent national and provincial legislative competence.</w:t>
      </w:r>
      <w:r w:rsidR="006A4B4F">
        <w:rPr>
          <w:rStyle w:val="FootnoteReference"/>
          <w:rFonts w:ascii="Arial" w:hAnsi="Arial" w:cs="Arial"/>
          <w:sz w:val="24"/>
          <w:szCs w:val="24"/>
        </w:rPr>
        <w:footnoteReference w:id="13"/>
      </w:r>
      <w:r w:rsidR="006A4B4F">
        <w:rPr>
          <w:rFonts w:ascii="Arial" w:hAnsi="Arial" w:cs="Arial"/>
          <w:sz w:val="24"/>
          <w:szCs w:val="24"/>
        </w:rPr>
        <w:t xml:space="preserve">  </w:t>
      </w:r>
      <w:r w:rsidR="006A4B4F">
        <w:rPr>
          <w:rFonts w:ascii="Arial" w:hAnsi="Arial" w:cs="Arial"/>
          <w:sz w:val="24"/>
          <w:szCs w:val="24"/>
        </w:rPr>
        <w:lastRenderedPageBreak/>
        <w:t xml:space="preserve">Pursuant to the obligation conferred in s 27(2) of the Constitution, </w:t>
      </w:r>
      <w:r w:rsidR="00176D27">
        <w:rPr>
          <w:rFonts w:ascii="Arial" w:hAnsi="Arial" w:cs="Arial"/>
          <w:sz w:val="24"/>
          <w:szCs w:val="24"/>
        </w:rPr>
        <w:t>p</w:t>
      </w:r>
      <w:r w:rsidR="006A4B4F">
        <w:rPr>
          <w:rFonts w:ascii="Arial" w:hAnsi="Arial" w:cs="Arial"/>
          <w:sz w:val="24"/>
          <w:szCs w:val="24"/>
        </w:rPr>
        <w:t>arliament passed the National Health Act (the Health Act),</w:t>
      </w:r>
      <w:r w:rsidR="006A4B4F">
        <w:rPr>
          <w:rStyle w:val="FootnoteReference"/>
          <w:rFonts w:ascii="Arial" w:hAnsi="Arial" w:cs="Arial"/>
          <w:sz w:val="24"/>
          <w:szCs w:val="24"/>
        </w:rPr>
        <w:footnoteReference w:id="14"/>
      </w:r>
      <w:r w:rsidR="006A4B4F">
        <w:rPr>
          <w:rFonts w:ascii="Arial" w:hAnsi="Arial" w:cs="Arial"/>
          <w:sz w:val="24"/>
          <w:szCs w:val="24"/>
        </w:rPr>
        <w:t xml:space="preserve"> which confers the responsibility for the delivery of health services on the provincial health departments.</w:t>
      </w:r>
      <w:r w:rsidR="006A4B4F">
        <w:rPr>
          <w:rStyle w:val="FootnoteReference"/>
          <w:rFonts w:ascii="Arial" w:hAnsi="Arial" w:cs="Arial"/>
          <w:sz w:val="24"/>
          <w:szCs w:val="24"/>
        </w:rPr>
        <w:footnoteReference w:id="15"/>
      </w:r>
    </w:p>
    <w:p w14:paraId="64B040A5" w14:textId="77777777" w:rsidR="006A4B4F" w:rsidRDefault="006A4B4F" w:rsidP="00811ED3">
      <w:pPr>
        <w:pStyle w:val="ListParagraph"/>
        <w:spacing w:after="0" w:line="480" w:lineRule="auto"/>
        <w:ind w:left="0"/>
        <w:jc w:val="both"/>
        <w:rPr>
          <w:rFonts w:ascii="Arial" w:hAnsi="Arial" w:cs="Arial"/>
          <w:sz w:val="24"/>
          <w:szCs w:val="24"/>
        </w:rPr>
      </w:pPr>
    </w:p>
    <w:p w14:paraId="58ACF486" w14:textId="77777777" w:rsidR="00262C32" w:rsidRDefault="006A4B4F" w:rsidP="00811ED3">
      <w:pPr>
        <w:pStyle w:val="ListParagraph"/>
        <w:numPr>
          <w:ilvl w:val="0"/>
          <w:numId w:val="20"/>
        </w:numPr>
        <w:spacing w:after="0" w:line="480" w:lineRule="auto"/>
        <w:ind w:left="0" w:firstLine="0"/>
        <w:jc w:val="both"/>
        <w:rPr>
          <w:rFonts w:ascii="Arial" w:hAnsi="Arial" w:cs="Arial"/>
          <w:sz w:val="24"/>
          <w:szCs w:val="24"/>
        </w:rPr>
      </w:pPr>
      <w:r w:rsidRPr="00E73CC0">
        <w:rPr>
          <w:rFonts w:ascii="Arial" w:hAnsi="Arial" w:cs="Arial"/>
          <w:sz w:val="24"/>
          <w:szCs w:val="24"/>
        </w:rPr>
        <w:t xml:space="preserve">In order to fulfill its obligations and to deliver services to the people of the Eastern Cape, the Eastern Cape Government is funded, partly by its equitable share and allocation of revenue from </w:t>
      </w:r>
      <w:r w:rsidR="008213CC">
        <w:rPr>
          <w:rFonts w:ascii="Arial" w:hAnsi="Arial" w:cs="Arial"/>
          <w:sz w:val="24"/>
          <w:szCs w:val="24"/>
        </w:rPr>
        <w:t>n</w:t>
      </w:r>
      <w:r w:rsidRPr="00E73CC0">
        <w:rPr>
          <w:rFonts w:ascii="Arial" w:hAnsi="Arial" w:cs="Arial"/>
          <w:sz w:val="24"/>
          <w:szCs w:val="24"/>
        </w:rPr>
        <w:t xml:space="preserve">ational </w:t>
      </w:r>
      <w:r w:rsidR="008213CC">
        <w:rPr>
          <w:rFonts w:ascii="Arial" w:hAnsi="Arial" w:cs="Arial"/>
          <w:sz w:val="24"/>
          <w:szCs w:val="24"/>
        </w:rPr>
        <w:t>g</w:t>
      </w:r>
      <w:r w:rsidRPr="00E73CC0">
        <w:rPr>
          <w:rFonts w:ascii="Arial" w:hAnsi="Arial" w:cs="Arial"/>
          <w:sz w:val="24"/>
          <w:szCs w:val="24"/>
        </w:rPr>
        <w:t>overnment,</w:t>
      </w:r>
      <w:r>
        <w:rPr>
          <w:rStyle w:val="FootnoteReference"/>
          <w:rFonts w:ascii="Arial" w:hAnsi="Arial" w:cs="Arial"/>
          <w:sz w:val="24"/>
          <w:szCs w:val="24"/>
        </w:rPr>
        <w:footnoteReference w:id="16"/>
      </w:r>
      <w:r w:rsidRPr="00E73CC0">
        <w:rPr>
          <w:rFonts w:ascii="Arial" w:hAnsi="Arial" w:cs="Arial"/>
          <w:sz w:val="24"/>
          <w:szCs w:val="24"/>
        </w:rPr>
        <w:t xml:space="preserve"> and partly from funds it raises.</w:t>
      </w:r>
      <w:r>
        <w:rPr>
          <w:rStyle w:val="FootnoteReference"/>
          <w:rFonts w:ascii="Arial" w:hAnsi="Arial" w:cs="Arial"/>
          <w:sz w:val="24"/>
          <w:szCs w:val="24"/>
        </w:rPr>
        <w:footnoteReference w:id="17"/>
      </w:r>
      <w:r w:rsidRPr="00E73CC0">
        <w:rPr>
          <w:rFonts w:ascii="Arial" w:hAnsi="Arial" w:cs="Arial"/>
          <w:sz w:val="24"/>
          <w:szCs w:val="24"/>
        </w:rPr>
        <w:t xml:space="preserve">  All money received by a </w:t>
      </w:r>
      <w:r w:rsidR="008213CC">
        <w:rPr>
          <w:rFonts w:ascii="Arial" w:hAnsi="Arial" w:cs="Arial"/>
          <w:sz w:val="24"/>
          <w:szCs w:val="24"/>
        </w:rPr>
        <w:t>p</w:t>
      </w:r>
      <w:r w:rsidRPr="00E73CC0">
        <w:rPr>
          <w:rFonts w:ascii="Arial" w:hAnsi="Arial" w:cs="Arial"/>
          <w:sz w:val="24"/>
          <w:szCs w:val="24"/>
        </w:rPr>
        <w:t xml:space="preserve">rovincial </w:t>
      </w:r>
      <w:r w:rsidR="008213CC">
        <w:rPr>
          <w:rFonts w:ascii="Arial" w:hAnsi="Arial" w:cs="Arial"/>
          <w:sz w:val="24"/>
          <w:szCs w:val="24"/>
        </w:rPr>
        <w:t>g</w:t>
      </w:r>
      <w:r w:rsidRPr="00E73CC0">
        <w:rPr>
          <w:rFonts w:ascii="Arial" w:hAnsi="Arial" w:cs="Arial"/>
          <w:sz w:val="24"/>
          <w:szCs w:val="24"/>
        </w:rPr>
        <w:t>overnment must be paid into the Provincial Revenue Fund</w:t>
      </w:r>
      <w:r w:rsidR="0045135B" w:rsidRPr="00E73CC0">
        <w:rPr>
          <w:rFonts w:ascii="Arial" w:hAnsi="Arial" w:cs="Arial"/>
          <w:sz w:val="24"/>
          <w:szCs w:val="24"/>
        </w:rPr>
        <w:t xml:space="preserve"> (PRF).</w:t>
      </w:r>
      <w:r w:rsidR="0045135B">
        <w:rPr>
          <w:rStyle w:val="FootnoteReference"/>
          <w:rFonts w:ascii="Arial" w:hAnsi="Arial" w:cs="Arial"/>
          <w:sz w:val="24"/>
          <w:szCs w:val="24"/>
        </w:rPr>
        <w:footnoteReference w:id="18"/>
      </w:r>
      <w:r w:rsidR="00262C32" w:rsidRPr="00E73CC0">
        <w:rPr>
          <w:rFonts w:ascii="Arial" w:hAnsi="Arial" w:cs="Arial"/>
          <w:sz w:val="24"/>
          <w:szCs w:val="24"/>
        </w:rPr>
        <w:t xml:space="preserve">  The PRF is controlled by the Provincial Treasury</w:t>
      </w:r>
      <w:r w:rsidR="00262C32">
        <w:rPr>
          <w:rStyle w:val="FootnoteReference"/>
          <w:rFonts w:ascii="Arial" w:hAnsi="Arial" w:cs="Arial"/>
          <w:sz w:val="24"/>
          <w:szCs w:val="24"/>
        </w:rPr>
        <w:footnoteReference w:id="19"/>
      </w:r>
      <w:r w:rsidR="003D41D4">
        <w:rPr>
          <w:rFonts w:ascii="Arial" w:hAnsi="Arial" w:cs="Arial"/>
          <w:sz w:val="24"/>
          <w:szCs w:val="24"/>
        </w:rPr>
        <w:t xml:space="preserve"> (</w:t>
      </w:r>
      <w:r w:rsidR="008213CC">
        <w:rPr>
          <w:rFonts w:ascii="Arial" w:hAnsi="Arial" w:cs="Arial"/>
          <w:sz w:val="24"/>
          <w:szCs w:val="24"/>
        </w:rPr>
        <w:t>t</w:t>
      </w:r>
      <w:r w:rsidR="00262C32" w:rsidRPr="00E73CC0">
        <w:rPr>
          <w:rFonts w:ascii="Arial" w:hAnsi="Arial" w:cs="Arial"/>
          <w:sz w:val="24"/>
          <w:szCs w:val="24"/>
        </w:rPr>
        <w:t>reasury) and money may only be withdrawn from the PRF in terms of a</w:t>
      </w:r>
      <w:r w:rsidR="0043025C">
        <w:rPr>
          <w:rFonts w:ascii="Arial" w:hAnsi="Arial" w:cs="Arial"/>
          <w:sz w:val="24"/>
          <w:szCs w:val="24"/>
        </w:rPr>
        <w:t xml:space="preserve">n appropriation by a provincial </w:t>
      </w:r>
      <w:r w:rsidR="00262C32" w:rsidRPr="00E73CC0">
        <w:rPr>
          <w:rFonts w:ascii="Arial" w:hAnsi="Arial" w:cs="Arial"/>
          <w:sz w:val="24"/>
          <w:szCs w:val="24"/>
        </w:rPr>
        <w:t>act (or as a direct charge against the fund in circumscribed circumstances).</w:t>
      </w:r>
      <w:r w:rsidR="00262C32">
        <w:rPr>
          <w:rStyle w:val="FootnoteReference"/>
          <w:rFonts w:ascii="Arial" w:hAnsi="Arial" w:cs="Arial"/>
          <w:sz w:val="24"/>
          <w:szCs w:val="24"/>
        </w:rPr>
        <w:footnoteReference w:id="20"/>
      </w:r>
    </w:p>
    <w:p w14:paraId="7E2D98CF" w14:textId="77777777" w:rsidR="00E73CC0" w:rsidRPr="00E73CC0" w:rsidRDefault="00E73CC0" w:rsidP="00811ED3">
      <w:pPr>
        <w:pStyle w:val="ListParagraph"/>
        <w:spacing w:after="0" w:line="480" w:lineRule="auto"/>
        <w:ind w:left="0"/>
        <w:jc w:val="both"/>
        <w:rPr>
          <w:rFonts w:ascii="Arial" w:hAnsi="Arial" w:cs="Arial"/>
          <w:sz w:val="24"/>
          <w:szCs w:val="24"/>
        </w:rPr>
      </w:pPr>
    </w:p>
    <w:p w14:paraId="364C3F20" w14:textId="77777777" w:rsidR="00565E18" w:rsidRDefault="00262C32" w:rsidP="00811ED3">
      <w:pPr>
        <w:pStyle w:val="ListParagraph"/>
        <w:numPr>
          <w:ilvl w:val="0"/>
          <w:numId w:val="20"/>
        </w:numPr>
        <w:spacing w:after="0" w:line="480" w:lineRule="auto"/>
        <w:ind w:left="0" w:firstLine="0"/>
        <w:jc w:val="both"/>
        <w:rPr>
          <w:rFonts w:ascii="Arial" w:hAnsi="Arial" w:cs="Arial"/>
          <w:sz w:val="24"/>
          <w:szCs w:val="24"/>
        </w:rPr>
      </w:pPr>
      <w:r>
        <w:rPr>
          <w:rFonts w:ascii="Arial" w:hAnsi="Arial" w:cs="Arial"/>
          <w:sz w:val="24"/>
          <w:szCs w:val="24"/>
        </w:rPr>
        <w:t xml:space="preserve">The equitable share received from </w:t>
      </w:r>
      <w:r w:rsidR="008213CC">
        <w:rPr>
          <w:rFonts w:ascii="Arial" w:hAnsi="Arial" w:cs="Arial"/>
          <w:sz w:val="24"/>
          <w:szCs w:val="24"/>
        </w:rPr>
        <w:t>n</w:t>
      </w:r>
      <w:r>
        <w:rPr>
          <w:rFonts w:ascii="Arial" w:hAnsi="Arial" w:cs="Arial"/>
          <w:sz w:val="24"/>
          <w:szCs w:val="24"/>
        </w:rPr>
        <w:t xml:space="preserve">ational </w:t>
      </w:r>
      <w:r w:rsidR="008213CC">
        <w:rPr>
          <w:rFonts w:ascii="Arial" w:hAnsi="Arial" w:cs="Arial"/>
          <w:sz w:val="24"/>
          <w:szCs w:val="24"/>
        </w:rPr>
        <w:t>g</w:t>
      </w:r>
      <w:r>
        <w:rPr>
          <w:rFonts w:ascii="Arial" w:hAnsi="Arial" w:cs="Arial"/>
          <w:sz w:val="24"/>
          <w:szCs w:val="24"/>
        </w:rPr>
        <w:t xml:space="preserve">overnment is determined each year by a Division of Revenue Act (DORA).  Once it is received, the first </w:t>
      </w:r>
      <w:r w:rsidR="00451173">
        <w:rPr>
          <w:rFonts w:ascii="Arial" w:hAnsi="Arial" w:cs="Arial"/>
          <w:sz w:val="24"/>
          <w:szCs w:val="24"/>
        </w:rPr>
        <w:t>applicant (</w:t>
      </w:r>
      <w:r>
        <w:rPr>
          <w:rFonts w:ascii="Arial" w:hAnsi="Arial" w:cs="Arial"/>
          <w:sz w:val="24"/>
          <w:szCs w:val="24"/>
        </w:rPr>
        <w:t xml:space="preserve">MEC for Finance) is required to present a budget to the </w:t>
      </w:r>
      <w:r w:rsidR="008213CC">
        <w:rPr>
          <w:rFonts w:ascii="Arial" w:hAnsi="Arial" w:cs="Arial"/>
          <w:sz w:val="24"/>
          <w:szCs w:val="24"/>
        </w:rPr>
        <w:t>p</w:t>
      </w:r>
      <w:r>
        <w:rPr>
          <w:rFonts w:ascii="Arial" w:hAnsi="Arial" w:cs="Arial"/>
          <w:sz w:val="24"/>
          <w:szCs w:val="24"/>
        </w:rPr>
        <w:t xml:space="preserve">rovincial </w:t>
      </w:r>
      <w:r w:rsidR="008213CC">
        <w:rPr>
          <w:rFonts w:ascii="Arial" w:hAnsi="Arial" w:cs="Arial"/>
          <w:sz w:val="24"/>
          <w:szCs w:val="24"/>
        </w:rPr>
        <w:t>l</w:t>
      </w:r>
      <w:r>
        <w:rPr>
          <w:rFonts w:ascii="Arial" w:hAnsi="Arial" w:cs="Arial"/>
          <w:sz w:val="24"/>
          <w:szCs w:val="24"/>
        </w:rPr>
        <w:t>egislature which must pass legislation to appropriate the funds to various departments in order to provide for the needs of the province.</w:t>
      </w:r>
      <w:r>
        <w:rPr>
          <w:rStyle w:val="FootnoteReference"/>
          <w:rFonts w:ascii="Arial" w:hAnsi="Arial" w:cs="Arial"/>
          <w:sz w:val="24"/>
          <w:szCs w:val="24"/>
        </w:rPr>
        <w:footnoteReference w:id="21"/>
      </w:r>
      <w:r>
        <w:rPr>
          <w:rFonts w:ascii="Arial" w:hAnsi="Arial" w:cs="Arial"/>
          <w:sz w:val="24"/>
          <w:szCs w:val="24"/>
        </w:rPr>
        <w:t xml:space="preserve">  The </w:t>
      </w:r>
      <w:r w:rsidR="008213CC">
        <w:rPr>
          <w:rFonts w:ascii="Arial" w:hAnsi="Arial" w:cs="Arial"/>
          <w:sz w:val="24"/>
          <w:szCs w:val="24"/>
        </w:rPr>
        <w:t>budget</w:t>
      </w:r>
      <w:r>
        <w:rPr>
          <w:rFonts w:ascii="Arial" w:hAnsi="Arial" w:cs="Arial"/>
          <w:sz w:val="24"/>
          <w:szCs w:val="24"/>
        </w:rPr>
        <w:t xml:space="preserve"> must meet certain minimum requirements.</w:t>
      </w:r>
      <w:r>
        <w:rPr>
          <w:rStyle w:val="FootnoteReference"/>
          <w:rFonts w:ascii="Arial" w:hAnsi="Arial" w:cs="Arial"/>
          <w:sz w:val="24"/>
          <w:szCs w:val="24"/>
        </w:rPr>
        <w:footnoteReference w:id="22"/>
      </w:r>
      <w:r>
        <w:rPr>
          <w:rFonts w:ascii="Arial" w:hAnsi="Arial" w:cs="Arial"/>
          <w:sz w:val="24"/>
          <w:szCs w:val="24"/>
        </w:rPr>
        <w:t xml:space="preserve">  It must contain, </w:t>
      </w:r>
      <w:r>
        <w:rPr>
          <w:rFonts w:ascii="Arial" w:hAnsi="Arial" w:cs="Arial"/>
          <w:i/>
          <w:sz w:val="24"/>
          <w:szCs w:val="24"/>
        </w:rPr>
        <w:t>inter alia</w:t>
      </w:r>
      <w:r>
        <w:rPr>
          <w:rFonts w:ascii="Arial" w:hAnsi="Arial" w:cs="Arial"/>
          <w:sz w:val="24"/>
          <w:szCs w:val="24"/>
        </w:rPr>
        <w:t xml:space="preserve">, proposals for the financing of any anticipated deficit for the particular year and provide an indication as to how the </w:t>
      </w:r>
      <w:r>
        <w:rPr>
          <w:rFonts w:ascii="Arial" w:hAnsi="Arial" w:cs="Arial"/>
          <w:sz w:val="24"/>
          <w:szCs w:val="24"/>
        </w:rPr>
        <w:lastRenderedPageBreak/>
        <w:t>province intends to deal with any public liability that will increase public debt during that financial year and future financial years.</w:t>
      </w:r>
      <w:r>
        <w:rPr>
          <w:rStyle w:val="FootnoteReference"/>
          <w:rFonts w:ascii="Arial" w:hAnsi="Arial" w:cs="Arial"/>
          <w:sz w:val="24"/>
          <w:szCs w:val="24"/>
        </w:rPr>
        <w:footnoteReference w:id="23"/>
      </w:r>
      <w:r>
        <w:rPr>
          <w:rFonts w:ascii="Arial" w:hAnsi="Arial" w:cs="Arial"/>
          <w:sz w:val="24"/>
          <w:szCs w:val="24"/>
        </w:rPr>
        <w:t xml:space="preserve">  As adumbrated earlier, once an appropriation has been made money may only be withdrawn from the PRF in accordance with the appropriation.  In respect of the ECDOH, money appropriated to it is transferred into its </w:t>
      </w:r>
      <w:r w:rsidR="008213CC">
        <w:rPr>
          <w:rFonts w:ascii="Arial" w:hAnsi="Arial" w:cs="Arial"/>
          <w:sz w:val="24"/>
          <w:szCs w:val="24"/>
        </w:rPr>
        <w:t>PMG account to which it then has access.</w:t>
      </w:r>
    </w:p>
    <w:p w14:paraId="7C3810F8" w14:textId="77777777" w:rsidR="00565E18" w:rsidRPr="00565E18" w:rsidRDefault="00565E18" w:rsidP="00811ED3">
      <w:pPr>
        <w:pStyle w:val="ListParagraph"/>
        <w:spacing w:after="0" w:line="480" w:lineRule="auto"/>
        <w:ind w:left="0"/>
        <w:jc w:val="both"/>
        <w:rPr>
          <w:rFonts w:ascii="Arial" w:hAnsi="Arial" w:cs="Arial"/>
          <w:sz w:val="24"/>
          <w:szCs w:val="24"/>
        </w:rPr>
      </w:pPr>
    </w:p>
    <w:p w14:paraId="0DEFEF0F" w14:textId="2688CDBC" w:rsidR="003F2BB4" w:rsidRPr="00565E18" w:rsidRDefault="003F2BB4" w:rsidP="00811ED3">
      <w:pPr>
        <w:pStyle w:val="ListParagraph"/>
        <w:numPr>
          <w:ilvl w:val="0"/>
          <w:numId w:val="20"/>
        </w:numPr>
        <w:spacing w:after="0" w:line="480" w:lineRule="auto"/>
        <w:ind w:left="0" w:firstLine="0"/>
        <w:jc w:val="both"/>
        <w:rPr>
          <w:rFonts w:ascii="Arial" w:hAnsi="Arial" w:cs="Arial"/>
          <w:sz w:val="24"/>
          <w:szCs w:val="24"/>
        </w:rPr>
      </w:pPr>
      <w:r w:rsidRPr="00565E18">
        <w:rPr>
          <w:rFonts w:ascii="Arial" w:hAnsi="Arial" w:cs="Arial"/>
          <w:sz w:val="24"/>
          <w:szCs w:val="24"/>
        </w:rPr>
        <w:t>The finances of the ECDOH resort under the control of the accounting officer, the HOD for Health</w:t>
      </w:r>
      <w:r w:rsidRPr="003C43DE">
        <w:rPr>
          <w:rStyle w:val="FootnoteReference"/>
          <w:rFonts w:ascii="Arial" w:hAnsi="Arial" w:cs="Arial"/>
          <w:sz w:val="24"/>
          <w:szCs w:val="24"/>
        </w:rPr>
        <w:footnoteReference w:id="24"/>
      </w:r>
      <w:r w:rsidRPr="00565E18">
        <w:rPr>
          <w:rFonts w:ascii="Arial" w:hAnsi="Arial" w:cs="Arial"/>
          <w:sz w:val="24"/>
          <w:szCs w:val="24"/>
        </w:rPr>
        <w:t>.  He</w:t>
      </w:r>
      <w:r w:rsidR="0054091F">
        <w:rPr>
          <w:rFonts w:ascii="Arial" w:hAnsi="Arial" w:cs="Arial"/>
          <w:sz w:val="24"/>
          <w:szCs w:val="24"/>
        </w:rPr>
        <w:t xml:space="preserve"> or she</w:t>
      </w:r>
      <w:r w:rsidRPr="00565E18">
        <w:rPr>
          <w:rFonts w:ascii="Arial" w:hAnsi="Arial" w:cs="Arial"/>
          <w:sz w:val="24"/>
          <w:szCs w:val="24"/>
        </w:rPr>
        <w:t xml:space="preserve"> is obliged to take into account all relevant considerations, including issues of proprietary, when proposals affecting his responsibilities are considered and, when necessary, to bring those considerations to the attention of the responsible executive authority.</w:t>
      </w:r>
      <w:r w:rsidRPr="003C43DE">
        <w:rPr>
          <w:rStyle w:val="FootnoteReference"/>
          <w:rFonts w:ascii="Arial" w:hAnsi="Arial" w:cs="Arial"/>
          <w:sz w:val="24"/>
          <w:szCs w:val="24"/>
        </w:rPr>
        <w:footnoteReference w:id="25"/>
      </w:r>
      <w:r w:rsidRPr="00565E18">
        <w:rPr>
          <w:rFonts w:ascii="Arial" w:hAnsi="Arial" w:cs="Arial"/>
          <w:sz w:val="24"/>
          <w:szCs w:val="24"/>
        </w:rPr>
        <w:t xml:space="preserve">  His general responsibilities are set out in s 38 of the </w:t>
      </w:r>
      <w:r w:rsidR="00E1113D">
        <w:rPr>
          <w:rFonts w:ascii="Arial" w:hAnsi="Arial" w:cs="Arial"/>
          <w:sz w:val="24"/>
          <w:szCs w:val="24"/>
        </w:rPr>
        <w:t>Public Finance Management Act (</w:t>
      </w:r>
      <w:r w:rsidRPr="00565E18">
        <w:rPr>
          <w:rFonts w:ascii="Arial" w:hAnsi="Arial" w:cs="Arial"/>
          <w:sz w:val="24"/>
          <w:szCs w:val="24"/>
        </w:rPr>
        <w:t>P</w:t>
      </w:r>
      <w:r w:rsidR="008213CC">
        <w:rPr>
          <w:rFonts w:ascii="Arial" w:hAnsi="Arial" w:cs="Arial"/>
          <w:sz w:val="24"/>
          <w:szCs w:val="24"/>
        </w:rPr>
        <w:t>FMA</w:t>
      </w:r>
      <w:r w:rsidR="00E1113D">
        <w:rPr>
          <w:rFonts w:ascii="Arial" w:hAnsi="Arial" w:cs="Arial"/>
          <w:sz w:val="24"/>
          <w:szCs w:val="24"/>
        </w:rPr>
        <w:t>)</w:t>
      </w:r>
      <w:r w:rsidRPr="00565E18">
        <w:rPr>
          <w:rFonts w:ascii="Arial" w:hAnsi="Arial" w:cs="Arial"/>
          <w:sz w:val="24"/>
          <w:szCs w:val="24"/>
        </w:rPr>
        <w:t xml:space="preserve"> and include:</w:t>
      </w:r>
    </w:p>
    <w:p w14:paraId="48B2DAC1" w14:textId="77777777" w:rsidR="003F2BB4" w:rsidRPr="003C43DE" w:rsidRDefault="007F5137" w:rsidP="00811ED3">
      <w:pPr>
        <w:pStyle w:val="ListParagraph"/>
        <w:numPr>
          <w:ilvl w:val="0"/>
          <w:numId w:val="5"/>
        </w:numPr>
        <w:spacing w:after="0" w:line="480" w:lineRule="auto"/>
        <w:ind w:left="720"/>
        <w:jc w:val="both"/>
        <w:rPr>
          <w:rFonts w:ascii="Arial" w:hAnsi="Arial" w:cs="Arial"/>
          <w:sz w:val="24"/>
          <w:szCs w:val="24"/>
        </w:rPr>
      </w:pPr>
      <w:r>
        <w:rPr>
          <w:rFonts w:ascii="Arial" w:hAnsi="Arial" w:cs="Arial"/>
          <w:sz w:val="24"/>
          <w:szCs w:val="24"/>
        </w:rPr>
        <w:t>The duty t</w:t>
      </w:r>
      <w:r w:rsidR="003F2BB4" w:rsidRPr="003C43DE">
        <w:rPr>
          <w:rFonts w:ascii="Arial" w:hAnsi="Arial" w:cs="Arial"/>
          <w:sz w:val="24"/>
          <w:szCs w:val="24"/>
        </w:rPr>
        <w:t>o ensure that the department has and maintains an effective, efficient and transparent system of financial and risk management and internal control</w:t>
      </w:r>
      <w:r w:rsidR="003F2BB4" w:rsidRPr="003C43DE">
        <w:rPr>
          <w:rStyle w:val="FootnoteReference"/>
          <w:rFonts w:ascii="Arial" w:hAnsi="Arial" w:cs="Arial"/>
          <w:sz w:val="24"/>
          <w:szCs w:val="24"/>
        </w:rPr>
        <w:footnoteReference w:id="26"/>
      </w:r>
      <w:r w:rsidR="003F2BB4" w:rsidRPr="003C43DE">
        <w:rPr>
          <w:rFonts w:ascii="Arial" w:hAnsi="Arial" w:cs="Arial"/>
          <w:sz w:val="24"/>
          <w:szCs w:val="24"/>
        </w:rPr>
        <w:t>;</w:t>
      </w:r>
    </w:p>
    <w:p w14:paraId="107F02D2" w14:textId="77777777" w:rsidR="003F2BB4" w:rsidRPr="003C43DE" w:rsidRDefault="003F2BB4" w:rsidP="00811ED3">
      <w:pPr>
        <w:pStyle w:val="ListParagraph"/>
        <w:numPr>
          <w:ilvl w:val="0"/>
          <w:numId w:val="5"/>
        </w:numPr>
        <w:spacing w:after="0" w:line="480" w:lineRule="auto"/>
        <w:ind w:left="720"/>
        <w:jc w:val="both"/>
        <w:rPr>
          <w:rFonts w:ascii="Arial" w:hAnsi="Arial" w:cs="Arial"/>
          <w:sz w:val="24"/>
          <w:szCs w:val="24"/>
        </w:rPr>
      </w:pPr>
      <w:r w:rsidRPr="003C43DE">
        <w:rPr>
          <w:rFonts w:ascii="Arial" w:hAnsi="Arial" w:cs="Arial"/>
          <w:sz w:val="24"/>
          <w:szCs w:val="24"/>
        </w:rPr>
        <w:t>The management of the liabilities of the department</w:t>
      </w:r>
      <w:r w:rsidRPr="003C43DE">
        <w:rPr>
          <w:rStyle w:val="FootnoteReference"/>
          <w:rFonts w:ascii="Arial" w:hAnsi="Arial" w:cs="Arial"/>
          <w:sz w:val="24"/>
          <w:szCs w:val="24"/>
        </w:rPr>
        <w:footnoteReference w:id="27"/>
      </w:r>
      <w:r w:rsidRPr="003C43DE">
        <w:rPr>
          <w:rFonts w:ascii="Arial" w:hAnsi="Arial" w:cs="Arial"/>
          <w:sz w:val="24"/>
          <w:szCs w:val="24"/>
        </w:rPr>
        <w:t>; and</w:t>
      </w:r>
    </w:p>
    <w:p w14:paraId="739BEA8F" w14:textId="77777777" w:rsidR="003F2BB4" w:rsidRDefault="003F2BB4" w:rsidP="00811ED3">
      <w:pPr>
        <w:pStyle w:val="ListParagraph"/>
        <w:numPr>
          <w:ilvl w:val="0"/>
          <w:numId w:val="5"/>
        </w:numPr>
        <w:spacing w:after="0" w:line="480" w:lineRule="auto"/>
        <w:ind w:left="720"/>
        <w:jc w:val="both"/>
        <w:rPr>
          <w:rFonts w:ascii="Arial" w:hAnsi="Arial" w:cs="Arial"/>
          <w:sz w:val="24"/>
          <w:szCs w:val="24"/>
        </w:rPr>
      </w:pPr>
      <w:r w:rsidRPr="003C43DE">
        <w:rPr>
          <w:rFonts w:ascii="Arial" w:hAnsi="Arial" w:cs="Arial"/>
          <w:sz w:val="24"/>
          <w:szCs w:val="24"/>
        </w:rPr>
        <w:t>The payment of all money owing within the prescribed or agreed period.</w:t>
      </w:r>
      <w:r w:rsidRPr="003C43DE">
        <w:rPr>
          <w:rStyle w:val="FootnoteReference"/>
          <w:rFonts w:ascii="Arial" w:hAnsi="Arial" w:cs="Arial"/>
          <w:sz w:val="24"/>
          <w:szCs w:val="24"/>
        </w:rPr>
        <w:footnoteReference w:id="28"/>
      </w:r>
    </w:p>
    <w:p w14:paraId="3F825999" w14:textId="77777777" w:rsidR="003F2BB4" w:rsidRPr="003C43DE" w:rsidRDefault="003F2BB4" w:rsidP="00811ED3">
      <w:pPr>
        <w:pStyle w:val="ListParagraph"/>
        <w:spacing w:after="0" w:line="480" w:lineRule="auto"/>
        <w:ind w:hanging="720"/>
        <w:jc w:val="both"/>
        <w:rPr>
          <w:rFonts w:ascii="Arial" w:hAnsi="Arial" w:cs="Arial"/>
          <w:sz w:val="24"/>
          <w:szCs w:val="24"/>
        </w:rPr>
      </w:pPr>
    </w:p>
    <w:p w14:paraId="06B420EC" w14:textId="77777777" w:rsidR="00565E18" w:rsidRDefault="003F2BB4" w:rsidP="00811ED3">
      <w:pPr>
        <w:pStyle w:val="ListParagraph"/>
        <w:numPr>
          <w:ilvl w:val="0"/>
          <w:numId w:val="20"/>
        </w:numPr>
        <w:spacing w:after="0" w:line="480" w:lineRule="auto"/>
        <w:ind w:left="0" w:firstLine="0"/>
        <w:jc w:val="both"/>
        <w:rPr>
          <w:rFonts w:ascii="Arial" w:hAnsi="Arial" w:cs="Arial"/>
          <w:sz w:val="24"/>
          <w:szCs w:val="24"/>
        </w:rPr>
      </w:pPr>
      <w:r w:rsidRPr="00565E18">
        <w:rPr>
          <w:rFonts w:ascii="Arial" w:hAnsi="Arial" w:cs="Arial"/>
          <w:sz w:val="24"/>
          <w:szCs w:val="24"/>
        </w:rPr>
        <w:t>In the context of judgment debts the system of financial and risk management</w:t>
      </w:r>
      <w:r w:rsidR="00E1113D">
        <w:rPr>
          <w:rFonts w:ascii="Arial" w:hAnsi="Arial" w:cs="Arial"/>
          <w:sz w:val="24"/>
          <w:szCs w:val="24"/>
        </w:rPr>
        <w:t>,</w:t>
      </w:r>
      <w:r w:rsidRPr="003C43DE">
        <w:rPr>
          <w:rStyle w:val="FootnoteReference"/>
          <w:rFonts w:ascii="Arial" w:hAnsi="Arial" w:cs="Arial"/>
          <w:sz w:val="24"/>
          <w:szCs w:val="24"/>
        </w:rPr>
        <w:footnoteReference w:id="29"/>
      </w:r>
      <w:r w:rsidRPr="00565E18">
        <w:rPr>
          <w:rFonts w:ascii="Arial" w:hAnsi="Arial" w:cs="Arial"/>
          <w:sz w:val="24"/>
          <w:szCs w:val="24"/>
        </w:rPr>
        <w:t xml:space="preserve"> and the prescribed or agreed periods for payment</w:t>
      </w:r>
      <w:r w:rsidR="00E1113D">
        <w:rPr>
          <w:rFonts w:ascii="Arial" w:hAnsi="Arial" w:cs="Arial"/>
          <w:sz w:val="24"/>
          <w:szCs w:val="24"/>
        </w:rPr>
        <w:t>,</w:t>
      </w:r>
      <w:r w:rsidRPr="003C43DE">
        <w:rPr>
          <w:rStyle w:val="FootnoteReference"/>
          <w:rFonts w:ascii="Arial" w:hAnsi="Arial" w:cs="Arial"/>
          <w:sz w:val="24"/>
          <w:szCs w:val="24"/>
        </w:rPr>
        <w:footnoteReference w:id="30"/>
      </w:r>
      <w:r w:rsidRPr="00565E18">
        <w:rPr>
          <w:rFonts w:ascii="Arial" w:hAnsi="Arial" w:cs="Arial"/>
          <w:sz w:val="24"/>
          <w:szCs w:val="24"/>
        </w:rPr>
        <w:t xml:space="preserve"> </w:t>
      </w:r>
      <w:r w:rsidR="007F5137">
        <w:rPr>
          <w:rFonts w:ascii="Arial" w:hAnsi="Arial" w:cs="Arial"/>
          <w:sz w:val="24"/>
          <w:szCs w:val="24"/>
        </w:rPr>
        <w:t xml:space="preserve">emerge from the </w:t>
      </w:r>
      <w:r w:rsidRPr="00565E18">
        <w:rPr>
          <w:rFonts w:ascii="Arial" w:hAnsi="Arial" w:cs="Arial"/>
          <w:sz w:val="24"/>
          <w:szCs w:val="24"/>
        </w:rPr>
        <w:t>State Liability Act, as amended</w:t>
      </w:r>
      <w:r w:rsidR="007F5137">
        <w:rPr>
          <w:rFonts w:ascii="Arial" w:hAnsi="Arial" w:cs="Arial"/>
          <w:sz w:val="24"/>
          <w:szCs w:val="24"/>
        </w:rPr>
        <w:t xml:space="preserve"> (the SLA)</w:t>
      </w:r>
      <w:r w:rsidRPr="00565E18">
        <w:rPr>
          <w:rFonts w:ascii="Arial" w:hAnsi="Arial" w:cs="Arial"/>
          <w:sz w:val="24"/>
          <w:szCs w:val="24"/>
        </w:rPr>
        <w:t>,</w:t>
      </w:r>
      <w:r w:rsidRPr="003C43DE">
        <w:rPr>
          <w:rStyle w:val="FootnoteReference"/>
          <w:rFonts w:ascii="Arial" w:hAnsi="Arial" w:cs="Arial"/>
          <w:sz w:val="24"/>
          <w:szCs w:val="24"/>
        </w:rPr>
        <w:footnoteReference w:id="31"/>
      </w:r>
      <w:r w:rsidRPr="00565E18">
        <w:rPr>
          <w:rFonts w:ascii="Arial" w:hAnsi="Arial" w:cs="Arial"/>
          <w:sz w:val="24"/>
          <w:szCs w:val="24"/>
        </w:rPr>
        <w:t xml:space="preserve"> to which I revert hereafter.</w:t>
      </w:r>
    </w:p>
    <w:p w14:paraId="475FA526" w14:textId="77777777" w:rsidR="00565E18" w:rsidRDefault="00565E18" w:rsidP="00811ED3">
      <w:pPr>
        <w:pStyle w:val="ListParagraph"/>
        <w:spacing w:after="0" w:line="480" w:lineRule="auto"/>
        <w:ind w:left="0"/>
        <w:jc w:val="both"/>
        <w:rPr>
          <w:rFonts w:ascii="Arial" w:hAnsi="Arial" w:cs="Arial"/>
          <w:sz w:val="24"/>
          <w:szCs w:val="24"/>
        </w:rPr>
      </w:pPr>
    </w:p>
    <w:p w14:paraId="3B4F6B1C" w14:textId="77777777" w:rsidR="003F2BB4" w:rsidRPr="00565E18" w:rsidRDefault="003F2BB4" w:rsidP="00811ED3">
      <w:pPr>
        <w:pStyle w:val="ListParagraph"/>
        <w:numPr>
          <w:ilvl w:val="0"/>
          <w:numId w:val="20"/>
        </w:numPr>
        <w:spacing w:after="0" w:line="480" w:lineRule="auto"/>
        <w:ind w:left="0" w:firstLine="0"/>
        <w:jc w:val="both"/>
        <w:rPr>
          <w:rFonts w:ascii="Arial" w:hAnsi="Arial" w:cs="Arial"/>
          <w:sz w:val="24"/>
          <w:szCs w:val="24"/>
        </w:rPr>
      </w:pPr>
      <w:r w:rsidRPr="00565E18">
        <w:rPr>
          <w:rFonts w:ascii="Arial" w:hAnsi="Arial" w:cs="Arial"/>
          <w:sz w:val="24"/>
          <w:szCs w:val="24"/>
        </w:rPr>
        <w:t>In addition to his general responsibilities the accounting officer is required to ensure that effective and appropriate steps</w:t>
      </w:r>
      <w:r w:rsidR="00CE06B8">
        <w:rPr>
          <w:rFonts w:ascii="Arial" w:hAnsi="Arial" w:cs="Arial"/>
          <w:sz w:val="24"/>
          <w:szCs w:val="24"/>
        </w:rPr>
        <w:t xml:space="preserve"> are taken to prevent unauthoris</w:t>
      </w:r>
      <w:r w:rsidRPr="00565E18">
        <w:rPr>
          <w:rFonts w:ascii="Arial" w:hAnsi="Arial" w:cs="Arial"/>
          <w:sz w:val="24"/>
          <w:szCs w:val="24"/>
        </w:rPr>
        <w:t>ed expenditure</w:t>
      </w:r>
      <w:r w:rsidRPr="003C43DE">
        <w:rPr>
          <w:rStyle w:val="FootnoteReference"/>
          <w:rFonts w:ascii="Arial" w:hAnsi="Arial" w:cs="Arial"/>
          <w:sz w:val="24"/>
          <w:szCs w:val="24"/>
        </w:rPr>
        <w:footnoteReference w:id="32"/>
      </w:r>
      <w:r w:rsidRPr="00565E18">
        <w:rPr>
          <w:rFonts w:ascii="Arial" w:hAnsi="Arial" w:cs="Arial"/>
          <w:sz w:val="24"/>
          <w:szCs w:val="24"/>
        </w:rPr>
        <w:t xml:space="preserve"> and, to this end, he must report </w:t>
      </w:r>
      <w:r w:rsidR="009F5C14">
        <w:rPr>
          <w:rFonts w:ascii="Arial" w:hAnsi="Arial" w:cs="Arial"/>
          <w:sz w:val="24"/>
          <w:szCs w:val="24"/>
        </w:rPr>
        <w:t xml:space="preserve">any impending shortfalls in budgeted revenue </w:t>
      </w:r>
      <w:r w:rsidRPr="00565E18">
        <w:rPr>
          <w:rFonts w:ascii="Arial" w:hAnsi="Arial" w:cs="Arial"/>
          <w:sz w:val="24"/>
          <w:szCs w:val="24"/>
        </w:rPr>
        <w:t xml:space="preserve">to the executive authority and the relevant </w:t>
      </w:r>
      <w:r w:rsidR="009F5C14">
        <w:rPr>
          <w:rFonts w:ascii="Arial" w:hAnsi="Arial" w:cs="Arial"/>
          <w:sz w:val="24"/>
          <w:szCs w:val="24"/>
        </w:rPr>
        <w:t>t</w:t>
      </w:r>
      <w:r w:rsidR="003D41D4">
        <w:rPr>
          <w:rFonts w:ascii="Arial" w:hAnsi="Arial" w:cs="Arial"/>
          <w:sz w:val="24"/>
          <w:szCs w:val="24"/>
        </w:rPr>
        <w:t>reasury</w:t>
      </w:r>
      <w:r w:rsidRPr="00565E18">
        <w:rPr>
          <w:rFonts w:ascii="Arial" w:hAnsi="Arial" w:cs="Arial"/>
          <w:sz w:val="24"/>
          <w:szCs w:val="24"/>
        </w:rPr>
        <w:t>.</w:t>
      </w:r>
      <w:r w:rsidRPr="003C43DE">
        <w:rPr>
          <w:rStyle w:val="FootnoteReference"/>
          <w:rFonts w:ascii="Arial" w:hAnsi="Arial" w:cs="Arial"/>
          <w:sz w:val="24"/>
          <w:szCs w:val="24"/>
        </w:rPr>
        <w:footnoteReference w:id="33"/>
      </w:r>
      <w:r w:rsidRPr="00565E18">
        <w:rPr>
          <w:rFonts w:ascii="Arial" w:hAnsi="Arial" w:cs="Arial"/>
          <w:sz w:val="24"/>
          <w:szCs w:val="24"/>
        </w:rPr>
        <w:t xml:space="preserve">  He is guilty of financial misconduct if he willfully or negligently fails to comply with section</w:t>
      </w:r>
      <w:r w:rsidR="00CE06B8">
        <w:rPr>
          <w:rFonts w:ascii="Arial" w:hAnsi="Arial" w:cs="Arial"/>
          <w:sz w:val="24"/>
          <w:szCs w:val="24"/>
        </w:rPr>
        <w:t>s 38 or 39 or permits unauthoris</w:t>
      </w:r>
      <w:r w:rsidRPr="00565E18">
        <w:rPr>
          <w:rFonts w:ascii="Arial" w:hAnsi="Arial" w:cs="Arial"/>
          <w:sz w:val="24"/>
          <w:szCs w:val="24"/>
        </w:rPr>
        <w:t>ed expenditure.</w:t>
      </w:r>
      <w:r w:rsidRPr="003C43DE">
        <w:rPr>
          <w:rStyle w:val="FootnoteReference"/>
          <w:rFonts w:ascii="Arial" w:hAnsi="Arial" w:cs="Arial"/>
          <w:sz w:val="24"/>
          <w:szCs w:val="24"/>
        </w:rPr>
        <w:footnoteReference w:id="34"/>
      </w:r>
      <w:r w:rsidRPr="00565E18">
        <w:rPr>
          <w:rFonts w:ascii="Arial" w:hAnsi="Arial" w:cs="Arial"/>
          <w:sz w:val="24"/>
          <w:szCs w:val="24"/>
        </w:rPr>
        <w:t xml:space="preserve">  Where such financial misconduct is willful or grossly negligent it is an offence punishable with imprisonment</w:t>
      </w:r>
      <w:r w:rsidR="009F5C14">
        <w:rPr>
          <w:rFonts w:ascii="Arial" w:hAnsi="Arial" w:cs="Arial"/>
          <w:sz w:val="24"/>
          <w:szCs w:val="24"/>
        </w:rPr>
        <w:t xml:space="preserve"> of</w:t>
      </w:r>
      <w:r w:rsidRPr="00565E18">
        <w:rPr>
          <w:rFonts w:ascii="Arial" w:hAnsi="Arial" w:cs="Arial"/>
          <w:sz w:val="24"/>
          <w:szCs w:val="24"/>
        </w:rPr>
        <w:t xml:space="preserve"> up to five years.</w:t>
      </w:r>
      <w:r w:rsidRPr="003C43DE">
        <w:rPr>
          <w:rStyle w:val="FootnoteReference"/>
          <w:rFonts w:ascii="Arial" w:hAnsi="Arial" w:cs="Arial"/>
          <w:sz w:val="24"/>
          <w:szCs w:val="24"/>
        </w:rPr>
        <w:footnoteReference w:id="35"/>
      </w:r>
    </w:p>
    <w:p w14:paraId="70CCF5DF" w14:textId="77777777" w:rsidR="0005552A" w:rsidRDefault="0005552A" w:rsidP="00811ED3">
      <w:pPr>
        <w:pStyle w:val="ListParagraph"/>
        <w:spacing w:after="0" w:line="480" w:lineRule="auto"/>
        <w:ind w:left="0"/>
        <w:jc w:val="both"/>
        <w:rPr>
          <w:rFonts w:ascii="Arial" w:hAnsi="Arial" w:cs="Arial"/>
          <w:sz w:val="24"/>
          <w:szCs w:val="24"/>
        </w:rPr>
      </w:pPr>
    </w:p>
    <w:p w14:paraId="02017103" w14:textId="77777777" w:rsidR="0005552A" w:rsidRDefault="0005552A" w:rsidP="00811ED3">
      <w:pPr>
        <w:pStyle w:val="ListParagraph"/>
        <w:numPr>
          <w:ilvl w:val="0"/>
          <w:numId w:val="20"/>
        </w:numPr>
        <w:spacing w:after="0" w:line="480" w:lineRule="auto"/>
        <w:ind w:left="0" w:firstLine="0"/>
        <w:jc w:val="both"/>
        <w:rPr>
          <w:rFonts w:ascii="Arial" w:hAnsi="Arial" w:cs="Arial"/>
          <w:sz w:val="24"/>
          <w:szCs w:val="24"/>
        </w:rPr>
      </w:pPr>
      <w:r>
        <w:rPr>
          <w:rFonts w:ascii="Arial" w:hAnsi="Arial" w:cs="Arial"/>
          <w:sz w:val="24"/>
          <w:szCs w:val="24"/>
        </w:rPr>
        <w:t>As previously indicated, this case is concerned with the execution of judgments in favour of the plaintiff respondents.  The judgments are common cause and the applicants said that they recognize the validity and binding effect of the judgments.  None have been rescinded or appealed and many arise from settlement agreements concluded</w:t>
      </w:r>
      <w:r w:rsidR="00302AE9">
        <w:rPr>
          <w:rFonts w:ascii="Arial" w:hAnsi="Arial" w:cs="Arial"/>
          <w:sz w:val="24"/>
          <w:szCs w:val="24"/>
        </w:rPr>
        <w:t xml:space="preserve"> by the MEC for Health</w:t>
      </w:r>
      <w:r>
        <w:rPr>
          <w:rFonts w:ascii="Arial" w:hAnsi="Arial" w:cs="Arial"/>
          <w:sz w:val="24"/>
          <w:szCs w:val="24"/>
        </w:rPr>
        <w:t xml:space="preserve">.  The judgments have </w:t>
      </w:r>
      <w:r w:rsidR="00281908">
        <w:rPr>
          <w:rFonts w:ascii="Arial" w:hAnsi="Arial" w:cs="Arial"/>
          <w:sz w:val="24"/>
          <w:szCs w:val="24"/>
        </w:rPr>
        <w:t xml:space="preserve">not </w:t>
      </w:r>
      <w:r>
        <w:rPr>
          <w:rFonts w:ascii="Arial" w:hAnsi="Arial" w:cs="Arial"/>
          <w:sz w:val="24"/>
          <w:szCs w:val="24"/>
        </w:rPr>
        <w:t>been satisfied and a number of plaintiff respondents have issued writs of execution, notably for the attachment of the MEC for Health and the HOD for Health’s rights</w:t>
      </w:r>
      <w:r w:rsidR="009F5C14">
        <w:rPr>
          <w:rFonts w:ascii="Arial" w:hAnsi="Arial" w:cs="Arial"/>
          <w:sz w:val="24"/>
          <w:szCs w:val="24"/>
        </w:rPr>
        <w:t>, title and interest</w:t>
      </w:r>
      <w:r>
        <w:rPr>
          <w:rFonts w:ascii="Arial" w:hAnsi="Arial" w:cs="Arial"/>
          <w:sz w:val="24"/>
          <w:szCs w:val="24"/>
        </w:rPr>
        <w:t xml:space="preserve"> in the PMG account.</w:t>
      </w:r>
    </w:p>
    <w:p w14:paraId="0C594374" w14:textId="77777777" w:rsidR="0005552A" w:rsidRDefault="0005552A" w:rsidP="00811ED3">
      <w:pPr>
        <w:pStyle w:val="ListParagraph"/>
        <w:spacing w:after="0" w:line="480" w:lineRule="auto"/>
        <w:ind w:left="0"/>
        <w:jc w:val="both"/>
        <w:rPr>
          <w:rFonts w:ascii="Arial" w:hAnsi="Arial" w:cs="Arial"/>
          <w:sz w:val="24"/>
          <w:szCs w:val="24"/>
        </w:rPr>
      </w:pPr>
    </w:p>
    <w:p w14:paraId="577D77EF" w14:textId="77777777" w:rsidR="0005552A" w:rsidRDefault="0005552A" w:rsidP="00811ED3">
      <w:pPr>
        <w:pStyle w:val="ListParagraph"/>
        <w:numPr>
          <w:ilvl w:val="0"/>
          <w:numId w:val="20"/>
        </w:numPr>
        <w:spacing w:after="0" w:line="480" w:lineRule="auto"/>
        <w:ind w:left="0" w:firstLine="0"/>
        <w:jc w:val="both"/>
        <w:rPr>
          <w:rFonts w:ascii="Arial" w:hAnsi="Arial" w:cs="Arial"/>
          <w:sz w:val="24"/>
          <w:szCs w:val="24"/>
        </w:rPr>
      </w:pPr>
      <w:r>
        <w:rPr>
          <w:rFonts w:ascii="Arial" w:hAnsi="Arial" w:cs="Arial"/>
          <w:sz w:val="24"/>
          <w:szCs w:val="24"/>
        </w:rPr>
        <w:t xml:space="preserve">Execution of judgment debts against the </w:t>
      </w:r>
      <w:r w:rsidR="009F5C14">
        <w:rPr>
          <w:rFonts w:ascii="Arial" w:hAnsi="Arial" w:cs="Arial"/>
          <w:sz w:val="24"/>
          <w:szCs w:val="24"/>
        </w:rPr>
        <w:t>s</w:t>
      </w:r>
      <w:r>
        <w:rPr>
          <w:rFonts w:ascii="Arial" w:hAnsi="Arial" w:cs="Arial"/>
          <w:sz w:val="24"/>
          <w:szCs w:val="24"/>
        </w:rPr>
        <w:t xml:space="preserve">tate is governed by the </w:t>
      </w:r>
      <w:r w:rsidR="009F5C14">
        <w:rPr>
          <w:rFonts w:ascii="Arial" w:hAnsi="Arial" w:cs="Arial"/>
          <w:sz w:val="24"/>
          <w:szCs w:val="24"/>
        </w:rPr>
        <w:t>SLA</w:t>
      </w:r>
      <w:r>
        <w:rPr>
          <w:rFonts w:ascii="Arial" w:hAnsi="Arial" w:cs="Arial"/>
          <w:sz w:val="24"/>
          <w:szCs w:val="24"/>
        </w:rPr>
        <w:t>.</w:t>
      </w:r>
      <w:r w:rsidR="00B54A3D">
        <w:rPr>
          <w:rStyle w:val="FootnoteReference"/>
          <w:rFonts w:ascii="Arial" w:hAnsi="Arial" w:cs="Arial"/>
          <w:sz w:val="24"/>
          <w:szCs w:val="24"/>
        </w:rPr>
        <w:footnoteReference w:id="36"/>
      </w:r>
      <w:r>
        <w:rPr>
          <w:rFonts w:ascii="Arial" w:hAnsi="Arial" w:cs="Arial"/>
          <w:sz w:val="24"/>
          <w:szCs w:val="24"/>
        </w:rPr>
        <w:t xml:space="preserve">  It </w:t>
      </w:r>
      <w:r w:rsidR="009F5C14">
        <w:rPr>
          <w:rFonts w:ascii="Arial" w:hAnsi="Arial" w:cs="Arial"/>
          <w:sz w:val="24"/>
          <w:szCs w:val="24"/>
        </w:rPr>
        <w:t>lays</w:t>
      </w:r>
      <w:r>
        <w:rPr>
          <w:rFonts w:ascii="Arial" w:hAnsi="Arial" w:cs="Arial"/>
          <w:sz w:val="24"/>
          <w:szCs w:val="24"/>
        </w:rPr>
        <w:t xml:space="preserve"> out the structural scheme</w:t>
      </w:r>
      <w:r w:rsidR="009F5C14">
        <w:rPr>
          <w:rFonts w:ascii="Arial" w:hAnsi="Arial" w:cs="Arial"/>
          <w:sz w:val="24"/>
          <w:szCs w:val="24"/>
        </w:rPr>
        <w:t xml:space="preserve"> created</w:t>
      </w:r>
      <w:r>
        <w:rPr>
          <w:rFonts w:ascii="Arial" w:hAnsi="Arial" w:cs="Arial"/>
          <w:sz w:val="24"/>
          <w:szCs w:val="24"/>
        </w:rPr>
        <w:t xml:space="preserve"> to ensure satisfaction </w:t>
      </w:r>
      <w:r w:rsidR="009F5C14">
        <w:rPr>
          <w:rFonts w:ascii="Arial" w:hAnsi="Arial" w:cs="Arial"/>
          <w:sz w:val="24"/>
          <w:szCs w:val="24"/>
        </w:rPr>
        <w:t>of a judgment debt against the s</w:t>
      </w:r>
      <w:r>
        <w:rPr>
          <w:rFonts w:ascii="Arial" w:hAnsi="Arial" w:cs="Arial"/>
          <w:sz w:val="24"/>
          <w:szCs w:val="24"/>
        </w:rPr>
        <w:t>tate.</w:t>
      </w:r>
      <w:r w:rsidR="00B54A3D">
        <w:rPr>
          <w:rStyle w:val="FootnoteReference"/>
          <w:rFonts w:ascii="Arial" w:hAnsi="Arial" w:cs="Arial"/>
          <w:sz w:val="24"/>
          <w:szCs w:val="24"/>
        </w:rPr>
        <w:footnoteReference w:id="37"/>
      </w:r>
      <w:r>
        <w:rPr>
          <w:rFonts w:ascii="Arial" w:hAnsi="Arial" w:cs="Arial"/>
          <w:sz w:val="24"/>
          <w:szCs w:val="24"/>
        </w:rPr>
        <w:t xml:space="preserve">  Where a judgment is entered against a department, as in each instance </w:t>
      </w:r>
      <w:r>
        <w:rPr>
          <w:rFonts w:ascii="Arial" w:hAnsi="Arial" w:cs="Arial"/>
          <w:sz w:val="24"/>
          <w:szCs w:val="24"/>
        </w:rPr>
        <w:lastRenderedPageBreak/>
        <w:t>in this case, the accounting officer</w:t>
      </w:r>
      <w:r w:rsidR="008564E2">
        <w:rPr>
          <w:rFonts w:ascii="Arial" w:hAnsi="Arial" w:cs="Arial"/>
          <w:sz w:val="24"/>
          <w:szCs w:val="24"/>
        </w:rPr>
        <w:t xml:space="preserve"> is </w:t>
      </w:r>
      <w:r>
        <w:rPr>
          <w:rFonts w:ascii="Arial" w:hAnsi="Arial" w:cs="Arial"/>
          <w:sz w:val="24"/>
          <w:szCs w:val="24"/>
        </w:rPr>
        <w:t>obliged to pay the judgment debt from the appropriated budget</w:t>
      </w:r>
      <w:r w:rsidR="009F5C14">
        <w:rPr>
          <w:rFonts w:ascii="Arial" w:hAnsi="Arial" w:cs="Arial"/>
          <w:sz w:val="24"/>
          <w:szCs w:val="24"/>
        </w:rPr>
        <w:t>,</w:t>
      </w:r>
      <w:r>
        <w:rPr>
          <w:rFonts w:ascii="Arial" w:hAnsi="Arial" w:cs="Arial"/>
          <w:sz w:val="24"/>
          <w:szCs w:val="24"/>
        </w:rPr>
        <w:t xml:space="preserve"> with</w:t>
      </w:r>
      <w:r w:rsidR="00E1113D">
        <w:rPr>
          <w:rFonts w:ascii="Arial" w:hAnsi="Arial" w:cs="Arial"/>
          <w:sz w:val="24"/>
          <w:szCs w:val="24"/>
        </w:rPr>
        <w:t>in</w:t>
      </w:r>
      <w:r>
        <w:rPr>
          <w:rFonts w:ascii="Arial" w:hAnsi="Arial" w:cs="Arial"/>
          <w:sz w:val="24"/>
          <w:szCs w:val="24"/>
        </w:rPr>
        <w:t xml:space="preserve"> 30 days of the final judgment, unless a different period is agreed with the judgment creditor.</w:t>
      </w:r>
      <w:r w:rsidR="00B54A3D">
        <w:rPr>
          <w:rStyle w:val="FootnoteReference"/>
          <w:rFonts w:ascii="Arial" w:hAnsi="Arial" w:cs="Arial"/>
          <w:sz w:val="24"/>
          <w:szCs w:val="24"/>
        </w:rPr>
        <w:footnoteReference w:id="38"/>
      </w:r>
      <w:r>
        <w:rPr>
          <w:rFonts w:ascii="Arial" w:hAnsi="Arial" w:cs="Arial"/>
          <w:sz w:val="24"/>
          <w:szCs w:val="24"/>
        </w:rPr>
        <w:t xml:space="preserve">  If the accounting officer fails to pay, whether in dereliction of his duty or as a result of insufficient funds in the </w:t>
      </w:r>
      <w:r w:rsidR="008564E2">
        <w:rPr>
          <w:rFonts w:ascii="Arial" w:hAnsi="Arial" w:cs="Arial"/>
          <w:sz w:val="24"/>
          <w:szCs w:val="24"/>
        </w:rPr>
        <w:t>appropriated</w:t>
      </w:r>
      <w:r>
        <w:rPr>
          <w:rFonts w:ascii="Arial" w:hAnsi="Arial" w:cs="Arial"/>
          <w:sz w:val="24"/>
          <w:szCs w:val="24"/>
        </w:rPr>
        <w:t xml:space="preserve"> budget, </w:t>
      </w:r>
      <w:r w:rsidR="00E1113D">
        <w:rPr>
          <w:rFonts w:ascii="Arial" w:hAnsi="Arial" w:cs="Arial"/>
          <w:sz w:val="24"/>
          <w:szCs w:val="24"/>
        </w:rPr>
        <w:t>the judgment</w:t>
      </w:r>
      <w:r w:rsidR="009F5C14">
        <w:rPr>
          <w:rFonts w:ascii="Arial" w:hAnsi="Arial" w:cs="Arial"/>
          <w:sz w:val="24"/>
          <w:szCs w:val="24"/>
        </w:rPr>
        <w:t xml:space="preserve"> creditor</w:t>
      </w:r>
      <w:r>
        <w:rPr>
          <w:rFonts w:ascii="Arial" w:hAnsi="Arial" w:cs="Arial"/>
          <w:sz w:val="24"/>
          <w:szCs w:val="24"/>
        </w:rPr>
        <w:t xml:space="preserve"> may bring the judgment </w:t>
      </w:r>
      <w:r w:rsidR="008564E2">
        <w:rPr>
          <w:rFonts w:ascii="Arial" w:hAnsi="Arial" w:cs="Arial"/>
          <w:sz w:val="24"/>
          <w:szCs w:val="24"/>
        </w:rPr>
        <w:t>to</w:t>
      </w:r>
      <w:r>
        <w:rPr>
          <w:rFonts w:ascii="Arial" w:hAnsi="Arial" w:cs="Arial"/>
          <w:sz w:val="24"/>
          <w:szCs w:val="24"/>
        </w:rPr>
        <w:t xml:space="preserve"> the attention of the executive authority, the </w:t>
      </w:r>
      <w:r w:rsidR="009F5C14">
        <w:rPr>
          <w:rFonts w:ascii="Arial" w:hAnsi="Arial" w:cs="Arial"/>
          <w:sz w:val="24"/>
          <w:szCs w:val="24"/>
        </w:rPr>
        <w:t>s</w:t>
      </w:r>
      <w:r w:rsidR="008564E2">
        <w:rPr>
          <w:rFonts w:ascii="Arial" w:hAnsi="Arial" w:cs="Arial"/>
          <w:sz w:val="24"/>
          <w:szCs w:val="24"/>
        </w:rPr>
        <w:t>tate</w:t>
      </w:r>
      <w:r>
        <w:rPr>
          <w:rFonts w:ascii="Arial" w:hAnsi="Arial" w:cs="Arial"/>
          <w:sz w:val="24"/>
          <w:szCs w:val="24"/>
        </w:rPr>
        <w:t xml:space="preserve"> </w:t>
      </w:r>
      <w:r w:rsidR="009F5C14">
        <w:rPr>
          <w:rFonts w:ascii="Arial" w:hAnsi="Arial" w:cs="Arial"/>
          <w:sz w:val="24"/>
          <w:szCs w:val="24"/>
        </w:rPr>
        <w:t>a</w:t>
      </w:r>
      <w:r>
        <w:rPr>
          <w:rFonts w:ascii="Arial" w:hAnsi="Arial" w:cs="Arial"/>
          <w:sz w:val="24"/>
          <w:szCs w:val="24"/>
        </w:rPr>
        <w:t xml:space="preserve">ttorney and </w:t>
      </w:r>
      <w:r w:rsidR="009F5C14">
        <w:rPr>
          <w:rFonts w:ascii="Arial" w:hAnsi="Arial" w:cs="Arial"/>
          <w:sz w:val="24"/>
          <w:szCs w:val="24"/>
        </w:rPr>
        <w:t>t</w:t>
      </w:r>
      <w:r>
        <w:rPr>
          <w:rFonts w:ascii="Arial" w:hAnsi="Arial" w:cs="Arial"/>
          <w:sz w:val="24"/>
          <w:szCs w:val="24"/>
        </w:rPr>
        <w:t>reasury.</w:t>
      </w:r>
      <w:r w:rsidR="00B54A3D">
        <w:rPr>
          <w:rStyle w:val="FootnoteReference"/>
          <w:rFonts w:ascii="Arial" w:hAnsi="Arial" w:cs="Arial"/>
          <w:sz w:val="24"/>
          <w:szCs w:val="24"/>
        </w:rPr>
        <w:footnoteReference w:id="39"/>
      </w:r>
      <w:r w:rsidR="008564E2">
        <w:rPr>
          <w:rFonts w:ascii="Arial" w:hAnsi="Arial" w:cs="Arial"/>
          <w:sz w:val="24"/>
          <w:szCs w:val="24"/>
        </w:rPr>
        <w:t xml:space="preserve">  Treasury is then obliged to pay the debt within 14 days of receipt of the judgment</w:t>
      </w:r>
      <w:r w:rsidR="008F263E">
        <w:rPr>
          <w:rFonts w:ascii="Arial" w:hAnsi="Arial" w:cs="Arial"/>
          <w:sz w:val="24"/>
          <w:szCs w:val="24"/>
        </w:rPr>
        <w:t>,</w:t>
      </w:r>
      <w:r w:rsidR="008564E2">
        <w:rPr>
          <w:rFonts w:ascii="Arial" w:hAnsi="Arial" w:cs="Arial"/>
          <w:sz w:val="24"/>
          <w:szCs w:val="24"/>
        </w:rPr>
        <w:t xml:space="preserve"> in the prescribed manner, unless, in the event of the insufficient funds, he has made an acceptable arrangement with the judgment creditor.</w:t>
      </w:r>
      <w:r w:rsidR="00B54A3D">
        <w:rPr>
          <w:rStyle w:val="FootnoteReference"/>
          <w:rFonts w:ascii="Arial" w:hAnsi="Arial" w:cs="Arial"/>
          <w:sz w:val="24"/>
          <w:szCs w:val="24"/>
        </w:rPr>
        <w:footnoteReference w:id="40"/>
      </w:r>
      <w:r w:rsidR="008564E2">
        <w:rPr>
          <w:rFonts w:ascii="Arial" w:hAnsi="Arial" w:cs="Arial"/>
          <w:sz w:val="24"/>
          <w:szCs w:val="24"/>
        </w:rPr>
        <w:t xml:space="preserve"> In order to do so, he is mandated by s 18(2)(i) of the </w:t>
      </w:r>
      <w:r w:rsidR="008213CC">
        <w:rPr>
          <w:rFonts w:ascii="Arial" w:hAnsi="Arial" w:cs="Arial"/>
          <w:sz w:val="24"/>
          <w:szCs w:val="24"/>
        </w:rPr>
        <w:t>PFMA</w:t>
      </w:r>
      <w:r w:rsidR="008564E2">
        <w:rPr>
          <w:rFonts w:ascii="Arial" w:hAnsi="Arial" w:cs="Arial"/>
          <w:sz w:val="24"/>
          <w:szCs w:val="24"/>
        </w:rPr>
        <w:t xml:space="preserve"> to do anything that is necessary to fulfill his responsibilities.  If </w:t>
      </w:r>
      <w:r w:rsidR="008F263E">
        <w:rPr>
          <w:rFonts w:ascii="Arial" w:hAnsi="Arial" w:cs="Arial"/>
          <w:sz w:val="24"/>
          <w:szCs w:val="24"/>
        </w:rPr>
        <w:t>t</w:t>
      </w:r>
      <w:r w:rsidR="008564E2">
        <w:rPr>
          <w:rFonts w:ascii="Arial" w:hAnsi="Arial" w:cs="Arial"/>
          <w:sz w:val="24"/>
          <w:szCs w:val="24"/>
        </w:rPr>
        <w:t>reasury satisfies the judgment debt it must record this fact and debit the amount thereof against the appropriated budget of the department concerned.</w:t>
      </w:r>
      <w:r w:rsidR="00B54A3D">
        <w:rPr>
          <w:rStyle w:val="FootnoteReference"/>
          <w:rFonts w:ascii="Arial" w:hAnsi="Arial" w:cs="Arial"/>
          <w:sz w:val="24"/>
          <w:szCs w:val="24"/>
        </w:rPr>
        <w:footnoteReference w:id="41"/>
      </w:r>
      <w:r w:rsidR="00784D92">
        <w:rPr>
          <w:rFonts w:ascii="Arial" w:hAnsi="Arial" w:cs="Arial"/>
          <w:sz w:val="24"/>
          <w:szCs w:val="24"/>
        </w:rPr>
        <w:t xml:space="preserve">  In the event that there </w:t>
      </w:r>
      <w:r w:rsidR="008F263E">
        <w:rPr>
          <w:rFonts w:ascii="Arial" w:hAnsi="Arial" w:cs="Arial"/>
          <w:sz w:val="24"/>
          <w:szCs w:val="24"/>
        </w:rPr>
        <w:t>are</w:t>
      </w:r>
      <w:r w:rsidR="00784D92">
        <w:rPr>
          <w:rFonts w:ascii="Arial" w:hAnsi="Arial" w:cs="Arial"/>
          <w:sz w:val="24"/>
          <w:szCs w:val="24"/>
        </w:rPr>
        <w:t xml:space="preserve"> insufficient funds available in the appropriated budget of the department for the current year, </w:t>
      </w:r>
      <w:r w:rsidR="008F263E">
        <w:rPr>
          <w:rFonts w:ascii="Arial" w:hAnsi="Arial" w:cs="Arial"/>
          <w:sz w:val="24"/>
          <w:szCs w:val="24"/>
        </w:rPr>
        <w:t>t</w:t>
      </w:r>
      <w:r w:rsidR="00784D92">
        <w:rPr>
          <w:rFonts w:ascii="Arial" w:hAnsi="Arial" w:cs="Arial"/>
          <w:sz w:val="24"/>
          <w:szCs w:val="24"/>
        </w:rPr>
        <w:t>reasury is empowered to debit the payment to the appropriated budget for future years.</w:t>
      </w:r>
      <w:r w:rsidR="00784D92">
        <w:rPr>
          <w:rStyle w:val="FootnoteReference"/>
          <w:rFonts w:ascii="Arial" w:hAnsi="Arial" w:cs="Arial"/>
          <w:sz w:val="24"/>
          <w:szCs w:val="24"/>
        </w:rPr>
        <w:footnoteReference w:id="42"/>
      </w:r>
    </w:p>
    <w:p w14:paraId="036EDE8A" w14:textId="77777777" w:rsidR="00784D92" w:rsidRDefault="00784D92" w:rsidP="00811ED3">
      <w:pPr>
        <w:pStyle w:val="ListParagraph"/>
        <w:spacing w:after="0" w:line="480" w:lineRule="auto"/>
        <w:ind w:left="0"/>
        <w:jc w:val="both"/>
        <w:rPr>
          <w:rFonts w:ascii="Arial" w:hAnsi="Arial" w:cs="Arial"/>
          <w:sz w:val="24"/>
          <w:szCs w:val="24"/>
        </w:rPr>
      </w:pPr>
    </w:p>
    <w:p w14:paraId="4F5C0CB4" w14:textId="77777777" w:rsidR="00784D92" w:rsidRDefault="00784D92" w:rsidP="00811ED3">
      <w:pPr>
        <w:pStyle w:val="ListParagraph"/>
        <w:numPr>
          <w:ilvl w:val="0"/>
          <w:numId w:val="20"/>
        </w:numPr>
        <w:spacing w:after="0" w:line="480" w:lineRule="auto"/>
        <w:ind w:left="0" w:firstLine="0"/>
        <w:jc w:val="both"/>
        <w:rPr>
          <w:rFonts w:ascii="Arial" w:hAnsi="Arial" w:cs="Arial"/>
          <w:sz w:val="24"/>
          <w:szCs w:val="24"/>
        </w:rPr>
      </w:pPr>
      <w:r>
        <w:rPr>
          <w:rFonts w:ascii="Arial" w:hAnsi="Arial" w:cs="Arial"/>
          <w:sz w:val="24"/>
          <w:szCs w:val="24"/>
        </w:rPr>
        <w:t>The accounting officer is obliged to put in place appropriate budgeting procedures, in accordance with instr</w:t>
      </w:r>
      <w:r w:rsidR="008F263E">
        <w:rPr>
          <w:rFonts w:ascii="Arial" w:hAnsi="Arial" w:cs="Arial"/>
          <w:sz w:val="24"/>
          <w:szCs w:val="24"/>
        </w:rPr>
        <w:t>uctions issued by the relevant t</w:t>
      </w:r>
      <w:r>
        <w:rPr>
          <w:rFonts w:ascii="Arial" w:hAnsi="Arial" w:cs="Arial"/>
          <w:sz w:val="24"/>
          <w:szCs w:val="24"/>
        </w:rPr>
        <w:t>reasury,</w:t>
      </w:r>
      <w:r w:rsidR="00117D48">
        <w:rPr>
          <w:rStyle w:val="FootnoteReference"/>
          <w:rFonts w:ascii="Arial" w:hAnsi="Arial" w:cs="Arial"/>
          <w:sz w:val="24"/>
          <w:szCs w:val="24"/>
        </w:rPr>
        <w:footnoteReference w:id="43"/>
      </w:r>
      <w:r>
        <w:rPr>
          <w:rFonts w:ascii="Arial" w:hAnsi="Arial" w:cs="Arial"/>
          <w:sz w:val="24"/>
          <w:szCs w:val="24"/>
        </w:rPr>
        <w:t xml:space="preserve"> in order to ensure the timeous satisfaction of final court orders.</w:t>
      </w:r>
      <w:r w:rsidR="00117D48">
        <w:rPr>
          <w:rStyle w:val="FootnoteReference"/>
          <w:rFonts w:ascii="Arial" w:hAnsi="Arial" w:cs="Arial"/>
          <w:sz w:val="24"/>
          <w:szCs w:val="24"/>
        </w:rPr>
        <w:footnoteReference w:id="44"/>
      </w:r>
      <w:r>
        <w:rPr>
          <w:rFonts w:ascii="Arial" w:hAnsi="Arial" w:cs="Arial"/>
          <w:sz w:val="24"/>
          <w:szCs w:val="24"/>
        </w:rPr>
        <w:t xml:space="preserve">  These budgeting procedures must include measures for the appropriate identification and recording of potential contingent liabilities which may arise as a result of claims which have been instituted </w:t>
      </w:r>
      <w:r>
        <w:rPr>
          <w:rFonts w:ascii="Arial" w:hAnsi="Arial" w:cs="Arial"/>
          <w:sz w:val="24"/>
          <w:szCs w:val="24"/>
        </w:rPr>
        <w:lastRenderedPageBreak/>
        <w:t>against the department.</w:t>
      </w:r>
      <w:r w:rsidR="00117D48">
        <w:rPr>
          <w:rStyle w:val="FootnoteReference"/>
          <w:rFonts w:ascii="Arial" w:hAnsi="Arial" w:cs="Arial"/>
          <w:sz w:val="24"/>
          <w:szCs w:val="24"/>
        </w:rPr>
        <w:footnoteReference w:id="45"/>
      </w:r>
      <w:r>
        <w:rPr>
          <w:rFonts w:ascii="Arial" w:hAnsi="Arial" w:cs="Arial"/>
          <w:sz w:val="24"/>
          <w:szCs w:val="24"/>
        </w:rPr>
        <w:t xml:space="preserve">  An accounting officer who fails to comply with this duty is guilty of financial misconduct,</w:t>
      </w:r>
      <w:r w:rsidR="00117D48">
        <w:rPr>
          <w:rStyle w:val="FootnoteReference"/>
          <w:rFonts w:ascii="Arial" w:hAnsi="Arial" w:cs="Arial"/>
          <w:sz w:val="24"/>
          <w:szCs w:val="24"/>
        </w:rPr>
        <w:footnoteReference w:id="46"/>
      </w:r>
      <w:r>
        <w:rPr>
          <w:rFonts w:ascii="Arial" w:hAnsi="Arial" w:cs="Arial"/>
          <w:sz w:val="24"/>
          <w:szCs w:val="24"/>
        </w:rPr>
        <w:t xml:space="preserve"> and the satisfaction of the judgment debt by </w:t>
      </w:r>
      <w:r w:rsidR="008F263E">
        <w:rPr>
          <w:rFonts w:ascii="Arial" w:hAnsi="Arial" w:cs="Arial"/>
          <w:sz w:val="24"/>
          <w:szCs w:val="24"/>
        </w:rPr>
        <w:t>t</w:t>
      </w:r>
      <w:r>
        <w:rPr>
          <w:rFonts w:ascii="Arial" w:hAnsi="Arial" w:cs="Arial"/>
          <w:sz w:val="24"/>
          <w:szCs w:val="24"/>
        </w:rPr>
        <w:t>reasury does not absolve him of liability for his misconduct.</w:t>
      </w:r>
      <w:r w:rsidR="00117D48">
        <w:rPr>
          <w:rStyle w:val="FootnoteReference"/>
          <w:rFonts w:ascii="Arial" w:hAnsi="Arial" w:cs="Arial"/>
          <w:sz w:val="24"/>
          <w:szCs w:val="24"/>
        </w:rPr>
        <w:footnoteReference w:id="47"/>
      </w:r>
    </w:p>
    <w:p w14:paraId="1960348D" w14:textId="77777777" w:rsidR="00117D48" w:rsidRDefault="00117D48" w:rsidP="00811ED3">
      <w:pPr>
        <w:pStyle w:val="ListParagraph"/>
        <w:spacing w:after="0" w:line="480" w:lineRule="auto"/>
        <w:ind w:left="0"/>
        <w:jc w:val="both"/>
        <w:rPr>
          <w:rFonts w:ascii="Arial" w:hAnsi="Arial" w:cs="Arial"/>
          <w:sz w:val="24"/>
          <w:szCs w:val="24"/>
        </w:rPr>
      </w:pPr>
    </w:p>
    <w:p w14:paraId="1ACCD2ED" w14:textId="77777777" w:rsidR="00117D48" w:rsidRDefault="00E71876" w:rsidP="00811ED3">
      <w:pPr>
        <w:pStyle w:val="ListParagraph"/>
        <w:numPr>
          <w:ilvl w:val="0"/>
          <w:numId w:val="20"/>
        </w:numPr>
        <w:spacing w:after="0" w:line="480" w:lineRule="auto"/>
        <w:ind w:left="0" w:firstLine="0"/>
        <w:jc w:val="both"/>
        <w:rPr>
          <w:rFonts w:ascii="Arial" w:hAnsi="Arial" w:cs="Arial"/>
          <w:sz w:val="24"/>
          <w:szCs w:val="24"/>
        </w:rPr>
      </w:pPr>
      <w:r>
        <w:rPr>
          <w:rFonts w:ascii="Arial" w:hAnsi="Arial" w:cs="Arial"/>
          <w:sz w:val="24"/>
          <w:szCs w:val="24"/>
        </w:rPr>
        <w:t xml:space="preserve">If </w:t>
      </w:r>
      <w:r w:rsidR="00117D48">
        <w:rPr>
          <w:rFonts w:ascii="Arial" w:hAnsi="Arial" w:cs="Arial"/>
          <w:sz w:val="24"/>
          <w:szCs w:val="24"/>
        </w:rPr>
        <w:t xml:space="preserve">both the accounting officer and the relevant </w:t>
      </w:r>
      <w:r w:rsidR="008F263E">
        <w:rPr>
          <w:rFonts w:ascii="Arial" w:hAnsi="Arial" w:cs="Arial"/>
          <w:sz w:val="24"/>
          <w:szCs w:val="24"/>
        </w:rPr>
        <w:t>t</w:t>
      </w:r>
      <w:r w:rsidR="00117D48">
        <w:rPr>
          <w:rFonts w:ascii="Arial" w:hAnsi="Arial" w:cs="Arial"/>
          <w:sz w:val="24"/>
          <w:szCs w:val="24"/>
        </w:rPr>
        <w:t>reasury fail to satisfy</w:t>
      </w:r>
      <w:r w:rsidR="006C79CB">
        <w:rPr>
          <w:rFonts w:ascii="Arial" w:hAnsi="Arial" w:cs="Arial"/>
          <w:sz w:val="24"/>
          <w:szCs w:val="24"/>
        </w:rPr>
        <w:t xml:space="preserve"> the judgment debt</w:t>
      </w:r>
      <w:r>
        <w:rPr>
          <w:rFonts w:ascii="Arial" w:hAnsi="Arial" w:cs="Arial"/>
          <w:sz w:val="24"/>
          <w:szCs w:val="24"/>
        </w:rPr>
        <w:t>,</w:t>
      </w:r>
      <w:r w:rsidR="006C79CB">
        <w:rPr>
          <w:rFonts w:ascii="Arial" w:hAnsi="Arial" w:cs="Arial"/>
          <w:sz w:val="24"/>
          <w:szCs w:val="24"/>
        </w:rPr>
        <w:t xml:space="preserve"> the judgment creditor may proceed</w:t>
      </w:r>
      <w:r>
        <w:rPr>
          <w:rFonts w:ascii="Arial" w:hAnsi="Arial" w:cs="Arial"/>
          <w:sz w:val="24"/>
          <w:szCs w:val="24"/>
        </w:rPr>
        <w:t>,</w:t>
      </w:r>
      <w:r w:rsidR="006C79CB">
        <w:rPr>
          <w:rFonts w:ascii="Arial" w:hAnsi="Arial" w:cs="Arial"/>
          <w:sz w:val="24"/>
          <w:szCs w:val="24"/>
        </w:rPr>
        <w:t xml:space="preserve"> in the prescribed manner</w:t>
      </w:r>
      <w:r>
        <w:rPr>
          <w:rFonts w:ascii="Arial" w:hAnsi="Arial" w:cs="Arial"/>
          <w:sz w:val="24"/>
          <w:szCs w:val="24"/>
        </w:rPr>
        <w:t>,</w:t>
      </w:r>
      <w:r w:rsidR="006C79CB">
        <w:rPr>
          <w:rFonts w:ascii="Arial" w:hAnsi="Arial" w:cs="Arial"/>
          <w:sz w:val="24"/>
          <w:szCs w:val="24"/>
        </w:rPr>
        <w:t xml:space="preserve"> to execution of the judgment against</w:t>
      </w:r>
      <w:r w:rsidR="009F5C14">
        <w:rPr>
          <w:rFonts w:ascii="Arial" w:hAnsi="Arial" w:cs="Arial"/>
          <w:sz w:val="24"/>
          <w:szCs w:val="24"/>
        </w:rPr>
        <w:t xml:space="preserve"> movable property owned by the s</w:t>
      </w:r>
      <w:r w:rsidR="006C79CB">
        <w:rPr>
          <w:rFonts w:ascii="Arial" w:hAnsi="Arial" w:cs="Arial"/>
          <w:sz w:val="24"/>
          <w:szCs w:val="24"/>
        </w:rPr>
        <w:t>tate and used by the department concerned.</w:t>
      </w:r>
      <w:r w:rsidR="003507BF">
        <w:rPr>
          <w:rStyle w:val="FootnoteReference"/>
          <w:rFonts w:ascii="Arial" w:hAnsi="Arial" w:cs="Arial"/>
          <w:sz w:val="24"/>
          <w:szCs w:val="24"/>
        </w:rPr>
        <w:footnoteReference w:id="48"/>
      </w:r>
      <w:r w:rsidR="006C79CB">
        <w:rPr>
          <w:rFonts w:ascii="Arial" w:hAnsi="Arial" w:cs="Arial"/>
          <w:sz w:val="24"/>
          <w:szCs w:val="24"/>
        </w:rPr>
        <w:t xml:space="preserve">  </w:t>
      </w:r>
      <w:r w:rsidR="00441F58">
        <w:rPr>
          <w:rFonts w:ascii="Arial" w:hAnsi="Arial" w:cs="Arial"/>
          <w:sz w:val="24"/>
          <w:szCs w:val="24"/>
        </w:rPr>
        <w:t>Unless</w:t>
      </w:r>
      <w:r w:rsidR="006C79CB">
        <w:rPr>
          <w:rFonts w:ascii="Arial" w:hAnsi="Arial" w:cs="Arial"/>
          <w:sz w:val="24"/>
          <w:szCs w:val="24"/>
        </w:rPr>
        <w:t xml:space="preserve"> agreement can be reached in respect of the movable property which may </w:t>
      </w:r>
      <w:r w:rsidR="00441F58">
        <w:rPr>
          <w:rFonts w:ascii="Arial" w:hAnsi="Arial" w:cs="Arial"/>
          <w:sz w:val="24"/>
          <w:szCs w:val="24"/>
        </w:rPr>
        <w:t xml:space="preserve">not </w:t>
      </w:r>
      <w:r w:rsidR="006C79CB">
        <w:rPr>
          <w:rFonts w:ascii="Arial" w:hAnsi="Arial" w:cs="Arial"/>
          <w:sz w:val="24"/>
          <w:szCs w:val="24"/>
        </w:rPr>
        <w:t>be attached and sold</w:t>
      </w:r>
      <w:r w:rsidR="00441F58">
        <w:rPr>
          <w:rFonts w:ascii="Arial" w:hAnsi="Arial" w:cs="Arial"/>
          <w:sz w:val="24"/>
          <w:szCs w:val="24"/>
        </w:rPr>
        <w:t>,</w:t>
      </w:r>
      <w:r w:rsidR="003507BF">
        <w:rPr>
          <w:rStyle w:val="FootnoteReference"/>
          <w:rFonts w:ascii="Arial" w:hAnsi="Arial" w:cs="Arial"/>
          <w:sz w:val="24"/>
          <w:szCs w:val="24"/>
        </w:rPr>
        <w:footnoteReference w:id="49"/>
      </w:r>
      <w:r w:rsidR="006C79CB">
        <w:rPr>
          <w:rFonts w:ascii="Arial" w:hAnsi="Arial" w:cs="Arial"/>
          <w:sz w:val="24"/>
          <w:szCs w:val="24"/>
        </w:rPr>
        <w:t xml:space="preserve"> the SLA permits the attachment of “any movable property”.  The plaintiff respondents in this case have judgments outstanding and unpaid</w:t>
      </w:r>
      <w:r>
        <w:rPr>
          <w:rFonts w:ascii="Arial" w:hAnsi="Arial" w:cs="Arial"/>
          <w:sz w:val="24"/>
          <w:szCs w:val="24"/>
        </w:rPr>
        <w:t>,</w:t>
      </w:r>
      <w:r w:rsidR="006C79CB">
        <w:rPr>
          <w:rFonts w:ascii="Arial" w:hAnsi="Arial" w:cs="Arial"/>
          <w:sz w:val="24"/>
          <w:szCs w:val="24"/>
        </w:rPr>
        <w:t xml:space="preserve"> which have accumulated over several years starting in 2019.  As I have said</w:t>
      </w:r>
      <w:r>
        <w:rPr>
          <w:rFonts w:ascii="Arial" w:hAnsi="Arial" w:cs="Arial"/>
          <w:sz w:val="24"/>
          <w:szCs w:val="24"/>
        </w:rPr>
        <w:t>,</w:t>
      </w:r>
      <w:r w:rsidR="006C79CB">
        <w:rPr>
          <w:rFonts w:ascii="Arial" w:hAnsi="Arial" w:cs="Arial"/>
          <w:sz w:val="24"/>
          <w:szCs w:val="24"/>
        </w:rPr>
        <w:t xml:space="preserve"> some of the judgment creditors have attached the applicants’ PMG account, which self-evidently, has serious implications that may impact upon the ability of the MEC for Health and the ECDOH to deliver services in the execution of their Constitutional mandate.  Hence the application.</w:t>
      </w:r>
    </w:p>
    <w:p w14:paraId="3EC48F6F" w14:textId="77777777" w:rsidR="00E73CC0" w:rsidRPr="00E73CC0" w:rsidRDefault="00E73CC0" w:rsidP="00811ED3">
      <w:pPr>
        <w:pStyle w:val="ListParagraph"/>
        <w:spacing w:after="0" w:line="480" w:lineRule="auto"/>
        <w:ind w:left="0"/>
        <w:jc w:val="both"/>
        <w:rPr>
          <w:rFonts w:ascii="Arial" w:hAnsi="Arial" w:cs="Arial"/>
          <w:sz w:val="24"/>
          <w:szCs w:val="24"/>
        </w:rPr>
      </w:pPr>
    </w:p>
    <w:p w14:paraId="15BF7E27" w14:textId="77777777" w:rsidR="00E73CC0" w:rsidRDefault="00E73CC0" w:rsidP="00811ED3">
      <w:pPr>
        <w:pStyle w:val="ListParagraph"/>
        <w:spacing w:after="0" w:line="480" w:lineRule="auto"/>
        <w:ind w:left="0"/>
        <w:jc w:val="both"/>
        <w:rPr>
          <w:rFonts w:ascii="Arial" w:hAnsi="Arial" w:cs="Arial"/>
          <w:sz w:val="24"/>
          <w:szCs w:val="24"/>
          <w:u w:val="single"/>
        </w:rPr>
      </w:pPr>
      <w:r>
        <w:rPr>
          <w:rFonts w:ascii="Arial" w:hAnsi="Arial" w:cs="Arial"/>
          <w:sz w:val="24"/>
          <w:szCs w:val="24"/>
          <w:u w:val="single"/>
        </w:rPr>
        <w:t>Declaratory Relief</w:t>
      </w:r>
    </w:p>
    <w:p w14:paraId="6E575610" w14:textId="166E8E36" w:rsidR="00E73CC0" w:rsidRDefault="00E73CC0" w:rsidP="00811ED3">
      <w:pPr>
        <w:pStyle w:val="ListParagraph"/>
        <w:numPr>
          <w:ilvl w:val="0"/>
          <w:numId w:val="20"/>
        </w:numPr>
        <w:spacing w:after="0" w:line="480" w:lineRule="auto"/>
        <w:ind w:left="0" w:firstLine="0"/>
        <w:jc w:val="both"/>
        <w:rPr>
          <w:rFonts w:ascii="Arial" w:hAnsi="Arial" w:cs="Arial"/>
          <w:sz w:val="24"/>
          <w:szCs w:val="24"/>
        </w:rPr>
      </w:pPr>
      <w:r>
        <w:rPr>
          <w:rFonts w:ascii="Arial" w:hAnsi="Arial" w:cs="Arial"/>
          <w:sz w:val="24"/>
          <w:szCs w:val="24"/>
        </w:rPr>
        <w:t xml:space="preserve">I turn to the </w:t>
      </w:r>
      <w:r w:rsidR="00F129F8">
        <w:rPr>
          <w:rFonts w:ascii="Arial" w:hAnsi="Arial" w:cs="Arial"/>
          <w:sz w:val="24"/>
          <w:szCs w:val="24"/>
        </w:rPr>
        <w:t xml:space="preserve">declaratory </w:t>
      </w:r>
      <w:r>
        <w:rPr>
          <w:rFonts w:ascii="Arial" w:hAnsi="Arial" w:cs="Arial"/>
          <w:sz w:val="24"/>
          <w:szCs w:val="24"/>
        </w:rPr>
        <w:t>relief sought</w:t>
      </w:r>
      <w:r w:rsidR="00F129F8">
        <w:rPr>
          <w:rFonts w:ascii="Arial" w:hAnsi="Arial" w:cs="Arial"/>
          <w:sz w:val="24"/>
          <w:szCs w:val="24"/>
        </w:rPr>
        <w:t>, which, as adumbrated earlier, is a purely legal issue</w:t>
      </w:r>
      <w:r>
        <w:rPr>
          <w:rFonts w:ascii="Arial" w:hAnsi="Arial" w:cs="Arial"/>
          <w:sz w:val="24"/>
          <w:szCs w:val="24"/>
        </w:rPr>
        <w:t xml:space="preserve">.  </w:t>
      </w:r>
      <w:r w:rsidR="00F129F8">
        <w:rPr>
          <w:rFonts w:ascii="Arial" w:hAnsi="Arial" w:cs="Arial"/>
          <w:sz w:val="24"/>
          <w:szCs w:val="24"/>
        </w:rPr>
        <w:t>T</w:t>
      </w:r>
      <w:r>
        <w:rPr>
          <w:rFonts w:ascii="Arial" w:hAnsi="Arial" w:cs="Arial"/>
          <w:sz w:val="24"/>
          <w:szCs w:val="24"/>
        </w:rPr>
        <w:t xml:space="preserve">he </w:t>
      </w:r>
      <w:r w:rsidR="00F129F8">
        <w:rPr>
          <w:rFonts w:ascii="Arial" w:hAnsi="Arial" w:cs="Arial"/>
          <w:sz w:val="24"/>
          <w:szCs w:val="24"/>
        </w:rPr>
        <w:t xml:space="preserve">applicants seek the </w:t>
      </w:r>
      <w:r>
        <w:rPr>
          <w:rFonts w:ascii="Arial" w:hAnsi="Arial" w:cs="Arial"/>
          <w:sz w:val="24"/>
          <w:szCs w:val="24"/>
        </w:rPr>
        <w:t>following orders:</w:t>
      </w:r>
    </w:p>
    <w:p w14:paraId="278D90FC" w14:textId="77777777" w:rsidR="00D97655" w:rsidRDefault="00D97655" w:rsidP="00D97655">
      <w:pPr>
        <w:spacing w:after="0" w:line="480" w:lineRule="auto"/>
        <w:jc w:val="both"/>
        <w:rPr>
          <w:rFonts w:ascii="Arial" w:hAnsi="Arial" w:cs="Arial"/>
          <w:sz w:val="24"/>
          <w:szCs w:val="24"/>
        </w:rPr>
      </w:pPr>
    </w:p>
    <w:p w14:paraId="7CFFE00C" w14:textId="77777777" w:rsidR="00D97655" w:rsidRDefault="007B71AC" w:rsidP="007B71AC">
      <w:pPr>
        <w:spacing w:after="0" w:line="360" w:lineRule="auto"/>
        <w:ind w:left="1287" w:right="567" w:hanging="720"/>
        <w:jc w:val="both"/>
        <w:rPr>
          <w:rFonts w:ascii="Arial" w:hAnsi="Arial" w:cs="Arial"/>
        </w:rPr>
      </w:pPr>
      <w:r>
        <w:rPr>
          <w:rFonts w:ascii="Arial" w:hAnsi="Arial" w:cs="Arial"/>
        </w:rPr>
        <w:t>“</w:t>
      </w:r>
      <w:r w:rsidR="00D97655" w:rsidRPr="00EF2672">
        <w:rPr>
          <w:rFonts w:ascii="Arial" w:hAnsi="Arial" w:cs="Arial"/>
        </w:rPr>
        <w:t>2.</w:t>
      </w:r>
      <w:r w:rsidR="00D97655" w:rsidRPr="00EF2672">
        <w:rPr>
          <w:rFonts w:ascii="Arial" w:hAnsi="Arial" w:cs="Arial"/>
        </w:rPr>
        <w:tab/>
      </w:r>
      <w:r w:rsidR="00CE06B8">
        <w:rPr>
          <w:rFonts w:ascii="Arial" w:hAnsi="Arial" w:cs="Arial"/>
        </w:rPr>
        <w:t>D</w:t>
      </w:r>
      <w:r w:rsidR="00D97655" w:rsidRPr="00EF2672">
        <w:rPr>
          <w:rFonts w:ascii="Arial" w:hAnsi="Arial" w:cs="Arial"/>
        </w:rPr>
        <w:t xml:space="preserve">eclaring that the State Liability Act 20 of 1957 does not permit writs to be issued against the </w:t>
      </w:r>
      <w:r w:rsidR="00CE06B8">
        <w:rPr>
          <w:rFonts w:ascii="Arial" w:hAnsi="Arial" w:cs="Arial"/>
        </w:rPr>
        <w:t>T</w:t>
      </w:r>
      <w:r w:rsidR="00D97655" w:rsidRPr="00EF2672">
        <w:rPr>
          <w:rFonts w:ascii="Arial" w:hAnsi="Arial" w:cs="Arial"/>
        </w:rPr>
        <w:t xml:space="preserve">hird and </w:t>
      </w:r>
      <w:r w:rsidR="00CE06B8">
        <w:rPr>
          <w:rFonts w:ascii="Arial" w:hAnsi="Arial" w:cs="Arial"/>
        </w:rPr>
        <w:t>F</w:t>
      </w:r>
      <w:r w:rsidR="00D97655" w:rsidRPr="00EF2672">
        <w:rPr>
          <w:rFonts w:ascii="Arial" w:hAnsi="Arial" w:cs="Arial"/>
        </w:rPr>
        <w:t xml:space="preserve">ourth </w:t>
      </w:r>
      <w:r w:rsidR="00CE06B8">
        <w:rPr>
          <w:rFonts w:ascii="Arial" w:hAnsi="Arial" w:cs="Arial"/>
        </w:rPr>
        <w:t>A</w:t>
      </w:r>
      <w:r w:rsidR="00D97655" w:rsidRPr="00EF2672">
        <w:rPr>
          <w:rFonts w:ascii="Arial" w:hAnsi="Arial" w:cs="Arial"/>
        </w:rPr>
        <w:t>pplicant</w:t>
      </w:r>
      <w:r w:rsidR="00CE06B8">
        <w:rPr>
          <w:rFonts w:ascii="Arial" w:hAnsi="Arial" w:cs="Arial"/>
        </w:rPr>
        <w:t>’</w:t>
      </w:r>
      <w:r w:rsidR="00D97655" w:rsidRPr="00EF2672">
        <w:rPr>
          <w:rFonts w:ascii="Arial" w:hAnsi="Arial" w:cs="Arial"/>
        </w:rPr>
        <w:t xml:space="preserve">s right, interest and title in its </w:t>
      </w:r>
      <w:r w:rsidR="00D97655" w:rsidRPr="00EF2672">
        <w:rPr>
          <w:rFonts w:ascii="Arial" w:hAnsi="Arial" w:cs="Arial"/>
        </w:rPr>
        <w:lastRenderedPageBreak/>
        <w:t>Pay</w:t>
      </w:r>
      <w:r w:rsidR="00CE06B8">
        <w:rPr>
          <w:rFonts w:ascii="Arial" w:hAnsi="Arial" w:cs="Arial"/>
        </w:rPr>
        <w:t xml:space="preserve"> M</w:t>
      </w:r>
      <w:r w:rsidR="00D97655" w:rsidRPr="00EF2672">
        <w:rPr>
          <w:rFonts w:ascii="Arial" w:hAnsi="Arial" w:cs="Arial"/>
        </w:rPr>
        <w:t xml:space="preserve">aster General Bank </w:t>
      </w:r>
      <w:r w:rsidR="00CE06B8">
        <w:rPr>
          <w:rFonts w:ascii="Arial" w:hAnsi="Arial" w:cs="Arial"/>
        </w:rPr>
        <w:t>A</w:t>
      </w:r>
      <w:r w:rsidR="00D97655" w:rsidRPr="00EF2672">
        <w:rPr>
          <w:rFonts w:ascii="Arial" w:hAnsi="Arial" w:cs="Arial"/>
        </w:rPr>
        <w:t xml:space="preserve">ccount … held at the </w:t>
      </w:r>
      <w:r w:rsidR="00CE06B8">
        <w:rPr>
          <w:rFonts w:ascii="Arial" w:hAnsi="Arial" w:cs="Arial"/>
        </w:rPr>
        <w:t>T</w:t>
      </w:r>
      <w:r w:rsidR="00D97655" w:rsidRPr="00EF2672">
        <w:rPr>
          <w:rFonts w:ascii="Arial" w:hAnsi="Arial" w:cs="Arial"/>
        </w:rPr>
        <w:t xml:space="preserve">hird </w:t>
      </w:r>
      <w:r w:rsidR="00CE06B8">
        <w:rPr>
          <w:rFonts w:ascii="Arial" w:hAnsi="Arial" w:cs="Arial"/>
        </w:rPr>
        <w:t>R</w:t>
      </w:r>
      <w:r w:rsidR="00D97655" w:rsidRPr="00EF2672">
        <w:rPr>
          <w:rFonts w:ascii="Arial" w:hAnsi="Arial" w:cs="Arial"/>
        </w:rPr>
        <w:t>espondent (ABSA Bank);</w:t>
      </w:r>
    </w:p>
    <w:p w14:paraId="7F4317A7" w14:textId="77777777" w:rsidR="00EF2672" w:rsidRPr="00EF2672" w:rsidRDefault="00EF2672" w:rsidP="007B71AC">
      <w:pPr>
        <w:spacing w:after="0" w:line="360" w:lineRule="auto"/>
        <w:ind w:left="1287" w:right="567" w:hanging="720"/>
        <w:jc w:val="both"/>
        <w:rPr>
          <w:rFonts w:ascii="Arial" w:hAnsi="Arial" w:cs="Arial"/>
        </w:rPr>
      </w:pPr>
    </w:p>
    <w:p w14:paraId="4BEF6611" w14:textId="77777777" w:rsidR="00D97655" w:rsidRDefault="00D97655" w:rsidP="007B71AC">
      <w:pPr>
        <w:spacing w:after="0" w:line="360" w:lineRule="auto"/>
        <w:ind w:left="1287" w:right="567" w:hanging="720"/>
        <w:jc w:val="both"/>
        <w:rPr>
          <w:rFonts w:ascii="Arial" w:hAnsi="Arial" w:cs="Arial"/>
        </w:rPr>
      </w:pPr>
      <w:r w:rsidRPr="00EF2672">
        <w:rPr>
          <w:rFonts w:ascii="Arial" w:hAnsi="Arial" w:cs="Arial"/>
        </w:rPr>
        <w:t>3.</w:t>
      </w:r>
      <w:r w:rsidRPr="00EF2672">
        <w:rPr>
          <w:rFonts w:ascii="Arial" w:hAnsi="Arial" w:cs="Arial"/>
        </w:rPr>
        <w:tab/>
      </w:r>
      <w:r w:rsidR="00CE06B8">
        <w:rPr>
          <w:rFonts w:ascii="Arial" w:hAnsi="Arial" w:cs="Arial"/>
        </w:rPr>
        <w:t>D</w:t>
      </w:r>
      <w:r w:rsidR="00EF2672" w:rsidRPr="00EF2672">
        <w:rPr>
          <w:rFonts w:ascii="Arial" w:hAnsi="Arial" w:cs="Arial"/>
        </w:rPr>
        <w:t>eclaring that all current and future writs issued against the PMG account are unlawful and invalid;</w:t>
      </w:r>
    </w:p>
    <w:p w14:paraId="3A2B7284" w14:textId="77777777" w:rsidR="00EF2672" w:rsidRPr="00EF2672" w:rsidRDefault="00EF2672" w:rsidP="007B71AC">
      <w:pPr>
        <w:spacing w:after="0" w:line="360" w:lineRule="auto"/>
        <w:ind w:left="1287" w:right="567" w:hanging="720"/>
        <w:jc w:val="both"/>
        <w:rPr>
          <w:rFonts w:ascii="Arial" w:hAnsi="Arial" w:cs="Arial"/>
        </w:rPr>
      </w:pPr>
    </w:p>
    <w:p w14:paraId="2FD511B6" w14:textId="77777777" w:rsidR="00EF2672" w:rsidRDefault="00EF2672" w:rsidP="007B71AC">
      <w:pPr>
        <w:spacing w:after="0" w:line="360" w:lineRule="auto"/>
        <w:ind w:left="1287" w:right="567" w:hanging="720"/>
        <w:jc w:val="both"/>
        <w:rPr>
          <w:rFonts w:ascii="Arial" w:hAnsi="Arial" w:cs="Arial"/>
        </w:rPr>
      </w:pPr>
      <w:r w:rsidRPr="00EF2672">
        <w:rPr>
          <w:rFonts w:ascii="Arial" w:hAnsi="Arial" w:cs="Arial"/>
        </w:rPr>
        <w:t>4.</w:t>
      </w:r>
      <w:r w:rsidRPr="00EF2672">
        <w:rPr>
          <w:rFonts w:ascii="Arial" w:hAnsi="Arial" w:cs="Arial"/>
        </w:rPr>
        <w:tab/>
      </w:r>
      <w:r w:rsidR="00CE06B8">
        <w:rPr>
          <w:rFonts w:ascii="Arial" w:hAnsi="Arial" w:cs="Arial"/>
        </w:rPr>
        <w:t>S</w:t>
      </w:r>
      <w:r w:rsidRPr="00EF2672">
        <w:rPr>
          <w:rFonts w:ascii="Arial" w:hAnsi="Arial" w:cs="Arial"/>
        </w:rPr>
        <w:t xml:space="preserve">etting aside the writs issued by or on behalf of the </w:t>
      </w:r>
      <w:r w:rsidR="00CE06B8">
        <w:rPr>
          <w:rFonts w:ascii="Arial" w:hAnsi="Arial" w:cs="Arial"/>
        </w:rPr>
        <w:t>T</w:t>
      </w:r>
      <w:r w:rsidRPr="00EF2672">
        <w:rPr>
          <w:rFonts w:ascii="Arial" w:hAnsi="Arial" w:cs="Arial"/>
        </w:rPr>
        <w:t xml:space="preserve">enth to </w:t>
      </w:r>
      <w:r w:rsidR="00CE06B8">
        <w:rPr>
          <w:rFonts w:ascii="Arial" w:hAnsi="Arial" w:cs="Arial"/>
        </w:rPr>
        <w:t>S</w:t>
      </w:r>
      <w:r w:rsidRPr="00EF2672">
        <w:rPr>
          <w:rFonts w:ascii="Arial" w:hAnsi="Arial" w:cs="Arial"/>
        </w:rPr>
        <w:t xml:space="preserve">ixteenth, </w:t>
      </w:r>
      <w:r w:rsidR="00CE06B8">
        <w:rPr>
          <w:rFonts w:ascii="Arial" w:hAnsi="Arial" w:cs="Arial"/>
        </w:rPr>
        <w:t>E</w:t>
      </w:r>
      <w:r w:rsidRPr="00EF2672">
        <w:rPr>
          <w:rFonts w:ascii="Arial" w:hAnsi="Arial" w:cs="Arial"/>
        </w:rPr>
        <w:t xml:space="preserve">ighteenth to </w:t>
      </w:r>
      <w:r w:rsidR="00CE06B8">
        <w:rPr>
          <w:rFonts w:ascii="Arial" w:hAnsi="Arial" w:cs="Arial"/>
        </w:rPr>
        <w:t>Twenty-F</w:t>
      </w:r>
      <w:r w:rsidRPr="00EF2672">
        <w:rPr>
          <w:rFonts w:ascii="Arial" w:hAnsi="Arial" w:cs="Arial"/>
        </w:rPr>
        <w:t xml:space="preserve">ourth, </w:t>
      </w:r>
      <w:r w:rsidR="00CE06B8">
        <w:rPr>
          <w:rFonts w:ascii="Arial" w:hAnsi="Arial" w:cs="Arial"/>
        </w:rPr>
        <w:t>Twenty-S</w:t>
      </w:r>
      <w:r w:rsidRPr="00EF2672">
        <w:rPr>
          <w:rFonts w:ascii="Arial" w:hAnsi="Arial" w:cs="Arial"/>
        </w:rPr>
        <w:t xml:space="preserve">ixth to </w:t>
      </w:r>
      <w:r w:rsidR="00CE06B8">
        <w:rPr>
          <w:rFonts w:ascii="Arial" w:hAnsi="Arial" w:cs="Arial"/>
        </w:rPr>
        <w:t>Twenty-N</w:t>
      </w:r>
      <w:r w:rsidRPr="00EF2672">
        <w:rPr>
          <w:rFonts w:ascii="Arial" w:hAnsi="Arial" w:cs="Arial"/>
        </w:rPr>
        <w:t xml:space="preserve">inth, </w:t>
      </w:r>
      <w:r w:rsidR="00CE06B8">
        <w:rPr>
          <w:rFonts w:ascii="Arial" w:hAnsi="Arial" w:cs="Arial"/>
        </w:rPr>
        <w:t>T</w:t>
      </w:r>
      <w:r w:rsidRPr="00EF2672">
        <w:rPr>
          <w:rFonts w:ascii="Arial" w:hAnsi="Arial" w:cs="Arial"/>
        </w:rPr>
        <w:t>hirty</w:t>
      </w:r>
      <w:r w:rsidR="00CE06B8">
        <w:rPr>
          <w:rFonts w:ascii="Arial" w:hAnsi="Arial" w:cs="Arial"/>
        </w:rPr>
        <w:t>-S</w:t>
      </w:r>
      <w:r w:rsidRPr="00EF2672">
        <w:rPr>
          <w:rFonts w:ascii="Arial" w:hAnsi="Arial" w:cs="Arial"/>
        </w:rPr>
        <w:t xml:space="preserve">econd to </w:t>
      </w:r>
      <w:r w:rsidR="00CE06B8">
        <w:rPr>
          <w:rFonts w:ascii="Arial" w:hAnsi="Arial" w:cs="Arial"/>
        </w:rPr>
        <w:t>T</w:t>
      </w:r>
      <w:r w:rsidRPr="00EF2672">
        <w:rPr>
          <w:rFonts w:ascii="Arial" w:hAnsi="Arial" w:cs="Arial"/>
        </w:rPr>
        <w:t>hirty</w:t>
      </w:r>
      <w:r w:rsidR="00CE06B8">
        <w:rPr>
          <w:rFonts w:ascii="Arial" w:hAnsi="Arial" w:cs="Arial"/>
        </w:rPr>
        <w:t>-F</w:t>
      </w:r>
      <w:r w:rsidRPr="00EF2672">
        <w:rPr>
          <w:rFonts w:ascii="Arial" w:hAnsi="Arial" w:cs="Arial"/>
        </w:rPr>
        <w:t xml:space="preserve">ourth, </w:t>
      </w:r>
      <w:r w:rsidR="00CE06B8">
        <w:rPr>
          <w:rFonts w:ascii="Arial" w:hAnsi="Arial" w:cs="Arial"/>
        </w:rPr>
        <w:t>T</w:t>
      </w:r>
      <w:r w:rsidRPr="00EF2672">
        <w:rPr>
          <w:rFonts w:ascii="Arial" w:hAnsi="Arial" w:cs="Arial"/>
        </w:rPr>
        <w:t>hirty</w:t>
      </w:r>
      <w:r w:rsidR="00CE06B8">
        <w:rPr>
          <w:rFonts w:ascii="Arial" w:hAnsi="Arial" w:cs="Arial"/>
        </w:rPr>
        <w:t>-S</w:t>
      </w:r>
      <w:r w:rsidRPr="00EF2672">
        <w:rPr>
          <w:rFonts w:ascii="Arial" w:hAnsi="Arial" w:cs="Arial"/>
        </w:rPr>
        <w:t xml:space="preserve">ixth to </w:t>
      </w:r>
      <w:r w:rsidR="00CE06B8">
        <w:rPr>
          <w:rFonts w:ascii="Arial" w:hAnsi="Arial" w:cs="Arial"/>
        </w:rPr>
        <w:t>T</w:t>
      </w:r>
      <w:r w:rsidRPr="00EF2672">
        <w:rPr>
          <w:rFonts w:ascii="Arial" w:hAnsi="Arial" w:cs="Arial"/>
        </w:rPr>
        <w:t>hirty</w:t>
      </w:r>
      <w:r w:rsidR="00CE06B8">
        <w:rPr>
          <w:rFonts w:ascii="Arial" w:hAnsi="Arial" w:cs="Arial"/>
        </w:rPr>
        <w:t>-S</w:t>
      </w:r>
      <w:r w:rsidRPr="00EF2672">
        <w:rPr>
          <w:rFonts w:ascii="Arial" w:hAnsi="Arial" w:cs="Arial"/>
        </w:rPr>
        <w:t xml:space="preserve">eventh, </w:t>
      </w:r>
      <w:r w:rsidR="00CE06B8">
        <w:rPr>
          <w:rFonts w:ascii="Arial" w:hAnsi="Arial" w:cs="Arial"/>
        </w:rPr>
        <w:t>T</w:t>
      </w:r>
      <w:r w:rsidRPr="00EF2672">
        <w:rPr>
          <w:rFonts w:ascii="Arial" w:hAnsi="Arial" w:cs="Arial"/>
        </w:rPr>
        <w:t>hirty</w:t>
      </w:r>
      <w:r w:rsidR="00CE06B8">
        <w:rPr>
          <w:rFonts w:ascii="Arial" w:hAnsi="Arial" w:cs="Arial"/>
        </w:rPr>
        <w:t>-N</w:t>
      </w:r>
      <w:r w:rsidRPr="00EF2672">
        <w:rPr>
          <w:rFonts w:ascii="Arial" w:hAnsi="Arial" w:cs="Arial"/>
        </w:rPr>
        <w:t xml:space="preserve">inth to </w:t>
      </w:r>
      <w:r w:rsidR="00CE06B8">
        <w:rPr>
          <w:rFonts w:ascii="Arial" w:hAnsi="Arial" w:cs="Arial"/>
        </w:rPr>
        <w:t>S</w:t>
      </w:r>
      <w:r w:rsidRPr="00EF2672">
        <w:rPr>
          <w:rFonts w:ascii="Arial" w:hAnsi="Arial" w:cs="Arial"/>
        </w:rPr>
        <w:t>eventy</w:t>
      </w:r>
      <w:r w:rsidR="00CE06B8">
        <w:rPr>
          <w:rFonts w:ascii="Arial" w:hAnsi="Arial" w:cs="Arial"/>
        </w:rPr>
        <w:t>-S</w:t>
      </w:r>
      <w:r w:rsidRPr="00EF2672">
        <w:rPr>
          <w:rFonts w:ascii="Arial" w:hAnsi="Arial" w:cs="Arial"/>
        </w:rPr>
        <w:t xml:space="preserve">econd, </w:t>
      </w:r>
      <w:r w:rsidR="00CE06B8">
        <w:rPr>
          <w:rFonts w:ascii="Arial" w:hAnsi="Arial" w:cs="Arial"/>
        </w:rPr>
        <w:t>Seventy-F</w:t>
      </w:r>
      <w:r w:rsidRPr="00EF2672">
        <w:rPr>
          <w:rFonts w:ascii="Arial" w:hAnsi="Arial" w:cs="Arial"/>
        </w:rPr>
        <w:t xml:space="preserve">ourth to </w:t>
      </w:r>
      <w:r w:rsidR="00CE06B8">
        <w:rPr>
          <w:rFonts w:ascii="Arial" w:hAnsi="Arial" w:cs="Arial"/>
        </w:rPr>
        <w:t>E</w:t>
      </w:r>
      <w:r w:rsidRPr="00EF2672">
        <w:rPr>
          <w:rFonts w:ascii="Arial" w:hAnsi="Arial" w:cs="Arial"/>
        </w:rPr>
        <w:t>ighty</w:t>
      </w:r>
      <w:r w:rsidR="00CE06B8">
        <w:rPr>
          <w:rFonts w:ascii="Arial" w:hAnsi="Arial" w:cs="Arial"/>
        </w:rPr>
        <w:t>-S</w:t>
      </w:r>
      <w:r w:rsidRPr="00EF2672">
        <w:rPr>
          <w:rFonts w:ascii="Arial" w:hAnsi="Arial" w:cs="Arial"/>
        </w:rPr>
        <w:t xml:space="preserve">ixth </w:t>
      </w:r>
      <w:r w:rsidR="00CE06B8">
        <w:rPr>
          <w:rFonts w:ascii="Arial" w:hAnsi="Arial" w:cs="Arial"/>
        </w:rPr>
        <w:t>R</w:t>
      </w:r>
      <w:r w:rsidRPr="00EF2672">
        <w:rPr>
          <w:rFonts w:ascii="Arial" w:hAnsi="Arial" w:cs="Arial"/>
        </w:rPr>
        <w:t>espondents and by any other plaint</w:t>
      </w:r>
      <w:r w:rsidR="00CE06B8">
        <w:rPr>
          <w:rFonts w:ascii="Arial" w:hAnsi="Arial" w:cs="Arial"/>
        </w:rPr>
        <w:t>iff</w:t>
      </w:r>
      <w:r w:rsidRPr="00EF2672">
        <w:rPr>
          <w:rFonts w:ascii="Arial" w:hAnsi="Arial" w:cs="Arial"/>
        </w:rPr>
        <w:t>s who have obtained writs (which remain unsatisfied) against the PMG account;</w:t>
      </w:r>
    </w:p>
    <w:p w14:paraId="1C155234" w14:textId="77777777" w:rsidR="00EF2672" w:rsidRPr="00EF2672" w:rsidRDefault="00EF2672" w:rsidP="007B71AC">
      <w:pPr>
        <w:spacing w:after="0" w:line="360" w:lineRule="auto"/>
        <w:ind w:left="1287" w:right="567" w:hanging="720"/>
        <w:jc w:val="both"/>
        <w:rPr>
          <w:rFonts w:ascii="Arial" w:hAnsi="Arial" w:cs="Arial"/>
        </w:rPr>
      </w:pPr>
    </w:p>
    <w:p w14:paraId="78FF5B9F" w14:textId="77777777" w:rsidR="00EF2672" w:rsidRPr="00EF2672" w:rsidRDefault="00EF2672" w:rsidP="007B71AC">
      <w:pPr>
        <w:spacing w:after="0" w:line="360" w:lineRule="auto"/>
        <w:ind w:left="1287" w:right="567" w:hanging="720"/>
        <w:jc w:val="both"/>
        <w:rPr>
          <w:rFonts w:ascii="Arial" w:hAnsi="Arial" w:cs="Arial"/>
        </w:rPr>
      </w:pPr>
      <w:r w:rsidRPr="00EF2672">
        <w:rPr>
          <w:rFonts w:ascii="Arial" w:hAnsi="Arial" w:cs="Arial"/>
        </w:rPr>
        <w:t>5.</w:t>
      </w:r>
      <w:r w:rsidRPr="00EF2672">
        <w:rPr>
          <w:rFonts w:ascii="Arial" w:hAnsi="Arial" w:cs="Arial"/>
        </w:rPr>
        <w:tab/>
      </w:r>
      <w:r w:rsidR="00CE06B8">
        <w:rPr>
          <w:rFonts w:ascii="Arial" w:hAnsi="Arial" w:cs="Arial"/>
        </w:rPr>
        <w:t>I</w:t>
      </w:r>
      <w:r w:rsidRPr="00EF2672">
        <w:rPr>
          <w:rFonts w:ascii="Arial" w:hAnsi="Arial" w:cs="Arial"/>
        </w:rPr>
        <w:t xml:space="preserve">nterdicting the </w:t>
      </w:r>
      <w:r w:rsidR="00CE06B8">
        <w:rPr>
          <w:rFonts w:ascii="Arial" w:hAnsi="Arial" w:cs="Arial"/>
        </w:rPr>
        <w:t>S</w:t>
      </w:r>
      <w:r w:rsidRPr="00EF2672">
        <w:rPr>
          <w:rFonts w:ascii="Arial" w:hAnsi="Arial" w:cs="Arial"/>
        </w:rPr>
        <w:t xml:space="preserve">ixth to </w:t>
      </w:r>
      <w:r w:rsidR="00CE06B8">
        <w:rPr>
          <w:rFonts w:ascii="Arial" w:hAnsi="Arial" w:cs="Arial"/>
        </w:rPr>
        <w:t>N</w:t>
      </w:r>
      <w:r w:rsidRPr="00EF2672">
        <w:rPr>
          <w:rFonts w:ascii="Arial" w:hAnsi="Arial" w:cs="Arial"/>
        </w:rPr>
        <w:t xml:space="preserve">inth </w:t>
      </w:r>
      <w:r w:rsidR="00CE06B8">
        <w:rPr>
          <w:rFonts w:ascii="Arial" w:hAnsi="Arial" w:cs="Arial"/>
        </w:rPr>
        <w:t>R</w:t>
      </w:r>
      <w:r w:rsidRPr="00EF2672">
        <w:rPr>
          <w:rFonts w:ascii="Arial" w:hAnsi="Arial" w:cs="Arial"/>
        </w:rPr>
        <w:t xml:space="preserve">espondents and any other </w:t>
      </w:r>
      <w:r w:rsidR="00CE06B8">
        <w:rPr>
          <w:rFonts w:ascii="Arial" w:hAnsi="Arial" w:cs="Arial"/>
        </w:rPr>
        <w:t>S</w:t>
      </w:r>
      <w:r w:rsidRPr="00EF2672">
        <w:rPr>
          <w:rFonts w:ascii="Arial" w:hAnsi="Arial" w:cs="Arial"/>
        </w:rPr>
        <w:t xml:space="preserve">heriff of the </w:t>
      </w:r>
      <w:r w:rsidR="00CE06B8">
        <w:rPr>
          <w:rFonts w:ascii="Arial" w:hAnsi="Arial" w:cs="Arial"/>
        </w:rPr>
        <w:t>C</w:t>
      </w:r>
      <w:r w:rsidRPr="00EF2672">
        <w:rPr>
          <w:rFonts w:ascii="Arial" w:hAnsi="Arial" w:cs="Arial"/>
        </w:rPr>
        <w:t>ourt from issuing of executing writs against the</w:t>
      </w:r>
      <w:r>
        <w:rPr>
          <w:rStyle w:val="FootnoteReference"/>
          <w:rFonts w:ascii="Arial" w:hAnsi="Arial" w:cs="Arial"/>
        </w:rPr>
        <w:footnoteReference w:id="50"/>
      </w:r>
      <w:r w:rsidRPr="00EF2672">
        <w:rPr>
          <w:rFonts w:ascii="Arial" w:hAnsi="Arial" w:cs="Arial"/>
        </w:rPr>
        <w:t xml:space="preserve"> PMG account.”</w:t>
      </w:r>
    </w:p>
    <w:p w14:paraId="776ACE95" w14:textId="77777777" w:rsidR="00F13605" w:rsidRDefault="00F13605" w:rsidP="00F13605">
      <w:pPr>
        <w:spacing w:after="0" w:line="480" w:lineRule="auto"/>
        <w:jc w:val="both"/>
        <w:rPr>
          <w:rFonts w:ascii="Arial" w:hAnsi="Arial" w:cs="Arial"/>
          <w:sz w:val="24"/>
          <w:szCs w:val="24"/>
        </w:rPr>
      </w:pPr>
    </w:p>
    <w:p w14:paraId="578412A7" w14:textId="0DA2966F" w:rsidR="00F13605" w:rsidRPr="00665ECC" w:rsidRDefault="00F13605" w:rsidP="00565E18">
      <w:pPr>
        <w:pStyle w:val="ListParagraph"/>
        <w:spacing w:after="0" w:line="480" w:lineRule="auto"/>
        <w:ind w:left="0"/>
        <w:jc w:val="both"/>
        <w:rPr>
          <w:rFonts w:ascii="Arial" w:hAnsi="Arial" w:cs="Arial"/>
          <w:sz w:val="24"/>
          <w:szCs w:val="24"/>
        </w:rPr>
      </w:pPr>
      <w:r w:rsidRPr="00665ECC">
        <w:rPr>
          <w:rFonts w:ascii="Arial" w:hAnsi="Arial" w:cs="Arial"/>
          <w:sz w:val="24"/>
          <w:szCs w:val="24"/>
        </w:rPr>
        <w:t>The relief sought in paragraphs 4 and 5, they said, would flow from the declarators in paragraphs 2 and 3.</w:t>
      </w:r>
      <w:r w:rsidR="00302AE9">
        <w:rPr>
          <w:rFonts w:ascii="Arial" w:hAnsi="Arial" w:cs="Arial"/>
          <w:sz w:val="24"/>
          <w:szCs w:val="24"/>
        </w:rPr>
        <w:t xml:space="preserve">  As this </w:t>
      </w:r>
      <w:r w:rsidRPr="00665ECC">
        <w:rPr>
          <w:rFonts w:ascii="Arial" w:hAnsi="Arial" w:cs="Arial"/>
          <w:sz w:val="24"/>
          <w:szCs w:val="24"/>
        </w:rPr>
        <w:t>relief is final, both in form and in substance, and is purely a matter of law</w:t>
      </w:r>
      <w:r w:rsidR="00B53117">
        <w:rPr>
          <w:rFonts w:ascii="Arial" w:hAnsi="Arial" w:cs="Arial"/>
          <w:sz w:val="24"/>
          <w:szCs w:val="24"/>
        </w:rPr>
        <w:t>, it</w:t>
      </w:r>
      <w:r w:rsidRPr="00665ECC">
        <w:rPr>
          <w:rFonts w:ascii="Arial" w:hAnsi="Arial" w:cs="Arial"/>
          <w:sz w:val="24"/>
          <w:szCs w:val="24"/>
        </w:rPr>
        <w:t xml:space="preserve"> is convenient to consider these prayers before proceeding to the main relief which has bearing also on the movable property used by the department.</w:t>
      </w:r>
    </w:p>
    <w:p w14:paraId="00CC797F" w14:textId="77777777" w:rsidR="00AF33E9" w:rsidRDefault="00AF33E9" w:rsidP="00565E18">
      <w:pPr>
        <w:spacing w:after="0" w:line="480" w:lineRule="auto"/>
        <w:jc w:val="both"/>
        <w:rPr>
          <w:rFonts w:ascii="Arial" w:hAnsi="Arial" w:cs="Arial"/>
          <w:sz w:val="24"/>
          <w:szCs w:val="24"/>
        </w:rPr>
      </w:pPr>
    </w:p>
    <w:p w14:paraId="3F5DB509" w14:textId="314062CE" w:rsidR="00AF33E9" w:rsidRDefault="00AF33E9" w:rsidP="005F16B4">
      <w:pPr>
        <w:pStyle w:val="ListParagraph"/>
        <w:numPr>
          <w:ilvl w:val="0"/>
          <w:numId w:val="20"/>
        </w:numPr>
        <w:spacing w:after="0" w:line="480" w:lineRule="auto"/>
        <w:ind w:left="0" w:firstLine="0"/>
        <w:jc w:val="both"/>
        <w:rPr>
          <w:rFonts w:ascii="Arial" w:hAnsi="Arial" w:cs="Arial"/>
          <w:sz w:val="24"/>
          <w:szCs w:val="24"/>
        </w:rPr>
      </w:pPr>
      <w:r w:rsidRPr="00665ECC">
        <w:rPr>
          <w:rFonts w:ascii="Arial" w:hAnsi="Arial" w:cs="Arial"/>
          <w:sz w:val="24"/>
          <w:szCs w:val="24"/>
        </w:rPr>
        <w:t>The issue was first raised in the replying papers where it was sought to categorise the PMG account as a subsidiary account of the PRF and it was therefore contended that withdrawals from the PMG account could only occur in accordance with s</w:t>
      </w:r>
      <w:r w:rsidR="00EA5D37">
        <w:rPr>
          <w:rFonts w:ascii="Arial" w:hAnsi="Arial" w:cs="Arial"/>
          <w:sz w:val="24"/>
          <w:szCs w:val="24"/>
        </w:rPr>
        <w:t xml:space="preserve"> </w:t>
      </w:r>
      <w:r w:rsidRPr="00665ECC">
        <w:rPr>
          <w:rFonts w:ascii="Arial" w:hAnsi="Arial" w:cs="Arial"/>
          <w:sz w:val="24"/>
          <w:szCs w:val="24"/>
        </w:rPr>
        <w:t xml:space="preserve">226 of the Constitution and s 22 of the </w:t>
      </w:r>
      <w:r w:rsidR="008213CC">
        <w:rPr>
          <w:rFonts w:ascii="Arial" w:hAnsi="Arial" w:cs="Arial"/>
          <w:sz w:val="24"/>
          <w:szCs w:val="24"/>
        </w:rPr>
        <w:t>PFMA</w:t>
      </w:r>
      <w:r w:rsidRPr="00665ECC">
        <w:rPr>
          <w:rFonts w:ascii="Arial" w:hAnsi="Arial" w:cs="Arial"/>
          <w:sz w:val="24"/>
          <w:szCs w:val="24"/>
        </w:rPr>
        <w:t xml:space="preserve">.  Neither the Constitution nor the </w:t>
      </w:r>
      <w:r w:rsidR="008213CC">
        <w:rPr>
          <w:rFonts w:ascii="Arial" w:hAnsi="Arial" w:cs="Arial"/>
          <w:sz w:val="24"/>
          <w:szCs w:val="24"/>
        </w:rPr>
        <w:t>PFMA</w:t>
      </w:r>
      <w:r w:rsidRPr="00665ECC">
        <w:rPr>
          <w:rFonts w:ascii="Arial" w:hAnsi="Arial" w:cs="Arial"/>
          <w:sz w:val="24"/>
          <w:szCs w:val="24"/>
        </w:rPr>
        <w:t xml:space="preserve"> make</w:t>
      </w:r>
      <w:r w:rsidR="0054091F">
        <w:rPr>
          <w:rFonts w:ascii="Arial" w:hAnsi="Arial" w:cs="Arial"/>
          <w:sz w:val="24"/>
          <w:szCs w:val="24"/>
        </w:rPr>
        <w:t>s</w:t>
      </w:r>
      <w:r w:rsidRPr="00665ECC">
        <w:rPr>
          <w:rFonts w:ascii="Arial" w:hAnsi="Arial" w:cs="Arial"/>
          <w:sz w:val="24"/>
          <w:szCs w:val="24"/>
        </w:rPr>
        <w:t xml:space="preserve"> reference to a PMG account.  On the applicants own averments, however, the argument cannot be sustained.  In its founding papers the second applicant, who attested to the founding affidavit on behalf of all the </w:t>
      </w:r>
      <w:r w:rsidR="00665ECC" w:rsidRPr="00665ECC">
        <w:rPr>
          <w:rFonts w:ascii="Arial" w:hAnsi="Arial" w:cs="Arial"/>
          <w:sz w:val="24"/>
          <w:szCs w:val="24"/>
        </w:rPr>
        <w:t>applicants</w:t>
      </w:r>
      <w:r w:rsidRPr="00665ECC">
        <w:rPr>
          <w:rFonts w:ascii="Arial" w:hAnsi="Arial" w:cs="Arial"/>
          <w:sz w:val="24"/>
          <w:szCs w:val="24"/>
        </w:rPr>
        <w:t xml:space="preserve">, </w:t>
      </w:r>
      <w:r w:rsidRPr="00665ECC">
        <w:rPr>
          <w:rFonts w:ascii="Arial" w:hAnsi="Arial" w:cs="Arial"/>
          <w:sz w:val="24"/>
          <w:szCs w:val="24"/>
        </w:rPr>
        <w:lastRenderedPageBreak/>
        <w:t xml:space="preserve">articulated the harm which the ECDOH would suffer if writs of attachment were issued against the PMG account.  He </w:t>
      </w:r>
      <w:r w:rsidR="00E71876">
        <w:rPr>
          <w:rFonts w:ascii="Arial" w:hAnsi="Arial" w:cs="Arial"/>
          <w:sz w:val="24"/>
          <w:szCs w:val="24"/>
        </w:rPr>
        <w:t>identified</w:t>
      </w:r>
      <w:r w:rsidRPr="00665ECC">
        <w:rPr>
          <w:rFonts w:ascii="Arial" w:hAnsi="Arial" w:cs="Arial"/>
          <w:sz w:val="24"/>
          <w:szCs w:val="24"/>
        </w:rPr>
        <w:t xml:space="preserve"> the harm as follows:</w:t>
      </w:r>
    </w:p>
    <w:p w14:paraId="08F6E115" w14:textId="77777777" w:rsidR="00665ECC" w:rsidRPr="00866822" w:rsidRDefault="00665ECC" w:rsidP="00866822">
      <w:pPr>
        <w:pStyle w:val="ListParagraph"/>
        <w:spacing w:after="0" w:line="360" w:lineRule="auto"/>
        <w:ind w:left="1287" w:right="567" w:hanging="720"/>
        <w:jc w:val="both"/>
        <w:rPr>
          <w:rFonts w:ascii="Arial" w:hAnsi="Arial" w:cs="Arial"/>
        </w:rPr>
      </w:pPr>
    </w:p>
    <w:p w14:paraId="02259429" w14:textId="77777777" w:rsidR="00665ECC" w:rsidRDefault="00665ECC" w:rsidP="00866822">
      <w:pPr>
        <w:pStyle w:val="ListParagraph"/>
        <w:spacing w:after="0" w:line="360" w:lineRule="auto"/>
        <w:ind w:left="1287" w:right="567" w:hanging="720"/>
        <w:jc w:val="both"/>
        <w:rPr>
          <w:rFonts w:ascii="Arial" w:hAnsi="Arial" w:cs="Arial"/>
        </w:rPr>
      </w:pPr>
      <w:r w:rsidRPr="00866822">
        <w:rPr>
          <w:rFonts w:ascii="Arial" w:hAnsi="Arial" w:cs="Arial"/>
        </w:rPr>
        <w:t>“1.</w:t>
      </w:r>
      <w:r w:rsidRPr="00866822">
        <w:rPr>
          <w:rFonts w:ascii="Arial" w:hAnsi="Arial" w:cs="Arial"/>
        </w:rPr>
        <w:tab/>
        <w:t xml:space="preserve">…  the ECDOH will effectively lose control of </w:t>
      </w:r>
      <w:r w:rsidRPr="00866822">
        <w:rPr>
          <w:rFonts w:ascii="Arial" w:hAnsi="Arial" w:cs="Arial"/>
          <w:u w:val="single"/>
        </w:rPr>
        <w:t>its</w:t>
      </w:r>
      <w:r w:rsidRPr="00866822">
        <w:rPr>
          <w:rFonts w:ascii="Arial" w:hAnsi="Arial" w:cs="Arial"/>
        </w:rPr>
        <w:t xml:space="preserve"> bank account;</w:t>
      </w:r>
    </w:p>
    <w:p w14:paraId="76B19ED7" w14:textId="77777777" w:rsidR="00866822" w:rsidRPr="00866822" w:rsidRDefault="00866822" w:rsidP="00866822">
      <w:pPr>
        <w:pStyle w:val="ListParagraph"/>
        <w:spacing w:after="0" w:line="360" w:lineRule="auto"/>
        <w:ind w:left="1287" w:right="567" w:hanging="720"/>
        <w:jc w:val="both"/>
        <w:rPr>
          <w:rFonts w:ascii="Arial" w:hAnsi="Arial" w:cs="Arial"/>
        </w:rPr>
      </w:pPr>
    </w:p>
    <w:p w14:paraId="172795EC" w14:textId="77777777" w:rsidR="00665ECC" w:rsidRDefault="00665ECC" w:rsidP="00866822">
      <w:pPr>
        <w:pStyle w:val="ListParagraph"/>
        <w:spacing w:after="0" w:line="360" w:lineRule="auto"/>
        <w:ind w:left="1287" w:right="567" w:hanging="720"/>
        <w:jc w:val="both"/>
        <w:rPr>
          <w:rFonts w:ascii="Arial" w:hAnsi="Arial" w:cs="Arial"/>
        </w:rPr>
      </w:pPr>
      <w:r w:rsidRPr="00866822">
        <w:rPr>
          <w:rFonts w:ascii="Arial" w:hAnsi="Arial" w:cs="Arial"/>
        </w:rPr>
        <w:t>2.</w:t>
      </w:r>
      <w:r w:rsidRPr="00866822">
        <w:rPr>
          <w:rFonts w:ascii="Arial" w:hAnsi="Arial" w:cs="Arial"/>
        </w:rPr>
        <w:tab/>
        <w:t xml:space="preserve">the </w:t>
      </w:r>
      <w:r w:rsidRPr="00866822">
        <w:rPr>
          <w:rFonts w:ascii="Arial" w:hAnsi="Arial" w:cs="Arial"/>
          <w:u w:val="single"/>
        </w:rPr>
        <w:t>ECDOH will not be able to pay</w:t>
      </w:r>
      <w:r w:rsidRPr="00866822">
        <w:rPr>
          <w:rFonts w:ascii="Arial" w:hAnsi="Arial" w:cs="Arial"/>
        </w:rPr>
        <w:t xml:space="preserve"> its suppliers and service providers and as a result, services and suppliers will be impeded, and ultimately halted;</w:t>
      </w:r>
    </w:p>
    <w:p w14:paraId="64AF33DB" w14:textId="77777777" w:rsidR="00866822" w:rsidRPr="00866822" w:rsidRDefault="00866822" w:rsidP="00866822">
      <w:pPr>
        <w:pStyle w:val="ListParagraph"/>
        <w:spacing w:after="0" w:line="360" w:lineRule="auto"/>
        <w:ind w:left="1287" w:right="567" w:hanging="720"/>
        <w:jc w:val="both"/>
        <w:rPr>
          <w:rFonts w:ascii="Arial" w:hAnsi="Arial" w:cs="Arial"/>
        </w:rPr>
      </w:pPr>
    </w:p>
    <w:p w14:paraId="30655072" w14:textId="77777777" w:rsidR="00665ECC" w:rsidRDefault="00665ECC" w:rsidP="00866822">
      <w:pPr>
        <w:pStyle w:val="ListParagraph"/>
        <w:spacing w:after="0" w:line="360" w:lineRule="auto"/>
        <w:ind w:left="1287" w:right="567" w:hanging="720"/>
        <w:jc w:val="both"/>
        <w:rPr>
          <w:rFonts w:ascii="Arial" w:hAnsi="Arial" w:cs="Arial"/>
        </w:rPr>
      </w:pPr>
      <w:r w:rsidRPr="00866822">
        <w:rPr>
          <w:rFonts w:ascii="Arial" w:hAnsi="Arial" w:cs="Arial"/>
        </w:rPr>
        <w:t>3.</w:t>
      </w:r>
      <w:r w:rsidRPr="00866822">
        <w:rPr>
          <w:rFonts w:ascii="Arial" w:hAnsi="Arial" w:cs="Arial"/>
        </w:rPr>
        <w:tab/>
        <w:t xml:space="preserve">ABSA will potentially place a stop on payments to suppliers, where writs are </w:t>
      </w:r>
      <w:r w:rsidR="002745E8" w:rsidRPr="00866822">
        <w:rPr>
          <w:rFonts w:ascii="Arial" w:hAnsi="Arial" w:cs="Arial"/>
        </w:rPr>
        <w:t>issued; and</w:t>
      </w:r>
    </w:p>
    <w:p w14:paraId="39CBF0DE" w14:textId="77777777" w:rsidR="00866822" w:rsidRPr="00866822" w:rsidRDefault="00866822" w:rsidP="00866822">
      <w:pPr>
        <w:pStyle w:val="ListParagraph"/>
        <w:spacing w:after="0" w:line="360" w:lineRule="auto"/>
        <w:ind w:left="1287" w:right="567" w:hanging="720"/>
        <w:jc w:val="both"/>
        <w:rPr>
          <w:rFonts w:ascii="Arial" w:hAnsi="Arial" w:cs="Arial"/>
        </w:rPr>
      </w:pPr>
    </w:p>
    <w:p w14:paraId="5FE44B1D" w14:textId="77777777" w:rsidR="00665ECC" w:rsidRPr="00866822" w:rsidRDefault="00665ECC" w:rsidP="00866822">
      <w:pPr>
        <w:pStyle w:val="ListParagraph"/>
        <w:spacing w:after="0" w:line="360" w:lineRule="auto"/>
        <w:ind w:left="1287" w:right="567" w:hanging="720"/>
        <w:jc w:val="both"/>
        <w:rPr>
          <w:rFonts w:ascii="Arial" w:hAnsi="Arial" w:cs="Arial"/>
        </w:rPr>
      </w:pPr>
      <w:r w:rsidRPr="00866822">
        <w:rPr>
          <w:rFonts w:ascii="Arial" w:hAnsi="Arial" w:cs="Arial"/>
        </w:rPr>
        <w:t>4.</w:t>
      </w:r>
      <w:r w:rsidRPr="00866822">
        <w:rPr>
          <w:rFonts w:ascii="Arial" w:hAnsi="Arial" w:cs="Arial"/>
        </w:rPr>
        <w:tab/>
        <w:t xml:space="preserve">… the removal of such funds </w:t>
      </w:r>
      <w:r w:rsidRPr="00866822">
        <w:rPr>
          <w:rFonts w:ascii="Arial" w:hAnsi="Arial" w:cs="Arial"/>
          <w:u w:val="single"/>
        </w:rPr>
        <w:t>from the ECDOH’s bank account</w:t>
      </w:r>
      <w:r w:rsidRPr="00866822">
        <w:rPr>
          <w:rFonts w:ascii="Arial" w:hAnsi="Arial" w:cs="Arial"/>
        </w:rPr>
        <w:t xml:space="preserve"> will wreak havoc on the ECDOH placing it in a position where it will be unable to execute its constitutional obligations ….”</w:t>
      </w:r>
    </w:p>
    <w:p w14:paraId="542288E7" w14:textId="77777777" w:rsidR="00665ECC" w:rsidRPr="00866822" w:rsidRDefault="00665ECC" w:rsidP="00866822">
      <w:pPr>
        <w:pStyle w:val="ListParagraph"/>
        <w:spacing w:after="0" w:line="360" w:lineRule="auto"/>
        <w:ind w:left="1287" w:right="567" w:hanging="720"/>
        <w:jc w:val="both"/>
        <w:rPr>
          <w:rFonts w:ascii="Arial" w:hAnsi="Arial" w:cs="Arial"/>
        </w:rPr>
      </w:pPr>
      <w:r w:rsidRPr="00866822">
        <w:rPr>
          <w:rFonts w:ascii="Arial" w:hAnsi="Arial" w:cs="Arial"/>
        </w:rPr>
        <w:t>(Emphasis supplied)</w:t>
      </w:r>
    </w:p>
    <w:p w14:paraId="4BEAD8F0" w14:textId="77777777" w:rsidR="00AF33E9" w:rsidRDefault="00AF33E9" w:rsidP="00F13605">
      <w:pPr>
        <w:spacing w:after="0" w:line="480" w:lineRule="auto"/>
        <w:jc w:val="both"/>
        <w:rPr>
          <w:rFonts w:ascii="Arial" w:hAnsi="Arial" w:cs="Arial"/>
          <w:sz w:val="24"/>
          <w:szCs w:val="24"/>
        </w:rPr>
      </w:pPr>
    </w:p>
    <w:p w14:paraId="0B9152EC" w14:textId="77777777" w:rsidR="00AF33E9" w:rsidRPr="002C72B1" w:rsidRDefault="00AF33E9" w:rsidP="005F16B4">
      <w:pPr>
        <w:pStyle w:val="ListParagraph"/>
        <w:numPr>
          <w:ilvl w:val="0"/>
          <w:numId w:val="20"/>
        </w:numPr>
        <w:spacing w:after="0" w:line="480" w:lineRule="auto"/>
        <w:ind w:left="0" w:firstLine="0"/>
        <w:jc w:val="both"/>
        <w:rPr>
          <w:rFonts w:ascii="Arial" w:hAnsi="Arial" w:cs="Arial"/>
          <w:sz w:val="24"/>
          <w:szCs w:val="24"/>
        </w:rPr>
      </w:pPr>
      <w:r w:rsidRPr="002C72B1">
        <w:rPr>
          <w:rFonts w:ascii="Arial" w:hAnsi="Arial" w:cs="Arial"/>
          <w:sz w:val="24"/>
          <w:szCs w:val="24"/>
        </w:rPr>
        <w:t>In the replyi</w:t>
      </w:r>
      <w:r w:rsidR="00060DFB">
        <w:rPr>
          <w:rFonts w:ascii="Arial" w:hAnsi="Arial" w:cs="Arial"/>
          <w:sz w:val="24"/>
          <w:szCs w:val="24"/>
        </w:rPr>
        <w:t>ng affidavit he explained that t</w:t>
      </w:r>
      <w:r w:rsidRPr="002C72B1">
        <w:rPr>
          <w:rFonts w:ascii="Arial" w:hAnsi="Arial" w:cs="Arial"/>
          <w:sz w:val="24"/>
          <w:szCs w:val="24"/>
        </w:rPr>
        <w:t>reasury has an exchequer account,</w:t>
      </w:r>
      <w:r w:rsidR="002C72B1">
        <w:rPr>
          <w:rStyle w:val="FootnoteReference"/>
          <w:rFonts w:ascii="Arial" w:hAnsi="Arial" w:cs="Arial"/>
          <w:sz w:val="24"/>
          <w:szCs w:val="24"/>
        </w:rPr>
        <w:footnoteReference w:id="51"/>
      </w:r>
      <w:r w:rsidRPr="002C72B1">
        <w:rPr>
          <w:rFonts w:ascii="Arial" w:hAnsi="Arial" w:cs="Arial"/>
          <w:sz w:val="24"/>
          <w:szCs w:val="24"/>
        </w:rPr>
        <w:t xml:space="preserve"> which has sub-accounts known as PMG accounts.  Each department’s allocation is deposited into its own PMG account for the requirements of the respective departments.  The ineluctable conclusion is that the monies allocated to the various departments</w:t>
      </w:r>
      <w:r w:rsidR="00B42DFF">
        <w:rPr>
          <w:rFonts w:ascii="Arial" w:hAnsi="Arial" w:cs="Arial"/>
          <w:sz w:val="24"/>
          <w:szCs w:val="24"/>
        </w:rPr>
        <w:t>,</w:t>
      </w:r>
      <w:r w:rsidRPr="002C72B1">
        <w:rPr>
          <w:rFonts w:ascii="Arial" w:hAnsi="Arial" w:cs="Arial"/>
          <w:sz w:val="24"/>
          <w:szCs w:val="24"/>
        </w:rPr>
        <w:t xml:space="preserve"> in terms of the Provincial Appropriation Act</w:t>
      </w:r>
      <w:r w:rsidR="00B42DFF">
        <w:rPr>
          <w:rFonts w:ascii="Arial" w:hAnsi="Arial" w:cs="Arial"/>
          <w:sz w:val="24"/>
          <w:szCs w:val="24"/>
        </w:rPr>
        <w:t>,</w:t>
      </w:r>
      <w:r w:rsidRPr="002C72B1">
        <w:rPr>
          <w:rFonts w:ascii="Arial" w:hAnsi="Arial" w:cs="Arial"/>
          <w:sz w:val="24"/>
          <w:szCs w:val="24"/>
        </w:rPr>
        <w:t xml:space="preserve"> are withdrawn from the PRF and paid over to</w:t>
      </w:r>
      <w:r w:rsidR="00E71876">
        <w:rPr>
          <w:rFonts w:ascii="Arial" w:hAnsi="Arial" w:cs="Arial"/>
          <w:sz w:val="24"/>
          <w:szCs w:val="24"/>
        </w:rPr>
        <w:t xml:space="preserve"> the account of the department </w:t>
      </w:r>
      <w:r w:rsidR="00B42DFF">
        <w:rPr>
          <w:rFonts w:ascii="Arial" w:hAnsi="Arial" w:cs="Arial"/>
          <w:sz w:val="24"/>
          <w:szCs w:val="24"/>
        </w:rPr>
        <w:t>concerned</w:t>
      </w:r>
      <w:r w:rsidR="00E71876">
        <w:rPr>
          <w:rFonts w:ascii="Arial" w:hAnsi="Arial" w:cs="Arial"/>
          <w:sz w:val="24"/>
          <w:szCs w:val="24"/>
        </w:rPr>
        <w:t>,</w:t>
      </w:r>
      <w:r w:rsidR="00B42DFF">
        <w:rPr>
          <w:rFonts w:ascii="Arial" w:hAnsi="Arial" w:cs="Arial"/>
          <w:sz w:val="24"/>
          <w:szCs w:val="24"/>
        </w:rPr>
        <w:t xml:space="preserve"> </w:t>
      </w:r>
      <w:r w:rsidRPr="002C72B1">
        <w:rPr>
          <w:rFonts w:ascii="Arial" w:hAnsi="Arial" w:cs="Arial"/>
          <w:sz w:val="24"/>
          <w:szCs w:val="24"/>
        </w:rPr>
        <w:t xml:space="preserve">as envisaged in s 226(2)(a) of the Constitution and s 21(1)(b) of the </w:t>
      </w:r>
      <w:r w:rsidR="008213CC">
        <w:rPr>
          <w:rFonts w:ascii="Arial" w:hAnsi="Arial" w:cs="Arial"/>
          <w:sz w:val="24"/>
          <w:szCs w:val="24"/>
        </w:rPr>
        <w:t>PFMA</w:t>
      </w:r>
      <w:r w:rsidRPr="002C72B1">
        <w:rPr>
          <w:rFonts w:ascii="Arial" w:hAnsi="Arial" w:cs="Arial"/>
          <w:sz w:val="24"/>
          <w:szCs w:val="24"/>
        </w:rPr>
        <w:t>.  The PMG account, is accordingly, not an account protected under s 226 of the Constitution.</w:t>
      </w:r>
    </w:p>
    <w:p w14:paraId="6126D224" w14:textId="77777777" w:rsidR="00AF33E9" w:rsidRDefault="00AF33E9" w:rsidP="005F16B4">
      <w:pPr>
        <w:spacing w:after="0" w:line="480" w:lineRule="auto"/>
        <w:jc w:val="both"/>
        <w:rPr>
          <w:rFonts w:ascii="Arial" w:hAnsi="Arial" w:cs="Arial"/>
          <w:sz w:val="24"/>
          <w:szCs w:val="24"/>
        </w:rPr>
      </w:pPr>
    </w:p>
    <w:p w14:paraId="2958A7F0" w14:textId="77777777" w:rsidR="00AF33E9" w:rsidRDefault="00AF33E9" w:rsidP="005F16B4">
      <w:pPr>
        <w:pStyle w:val="ListParagraph"/>
        <w:numPr>
          <w:ilvl w:val="0"/>
          <w:numId w:val="20"/>
        </w:numPr>
        <w:spacing w:after="0" w:line="480" w:lineRule="auto"/>
        <w:ind w:left="0" w:firstLine="0"/>
        <w:jc w:val="both"/>
        <w:rPr>
          <w:rFonts w:ascii="Arial" w:hAnsi="Arial" w:cs="Arial"/>
          <w:sz w:val="24"/>
          <w:szCs w:val="24"/>
        </w:rPr>
      </w:pPr>
      <w:r w:rsidRPr="002C72B1">
        <w:rPr>
          <w:rFonts w:ascii="Arial" w:hAnsi="Arial" w:cs="Arial"/>
          <w:sz w:val="24"/>
          <w:szCs w:val="24"/>
        </w:rPr>
        <w:t xml:space="preserve">In </w:t>
      </w:r>
      <w:r w:rsidRPr="002C72B1">
        <w:rPr>
          <w:rFonts w:ascii="Arial" w:hAnsi="Arial" w:cs="Arial"/>
          <w:i/>
          <w:sz w:val="24"/>
          <w:szCs w:val="24"/>
        </w:rPr>
        <w:t>Ikamva</w:t>
      </w:r>
      <w:r w:rsidR="002C72B1">
        <w:rPr>
          <w:rStyle w:val="FootnoteReference"/>
          <w:rFonts w:ascii="Arial" w:hAnsi="Arial" w:cs="Arial"/>
          <w:i/>
          <w:sz w:val="24"/>
          <w:szCs w:val="24"/>
        </w:rPr>
        <w:footnoteReference w:id="52"/>
      </w:r>
      <w:r w:rsidRPr="002C72B1">
        <w:rPr>
          <w:rFonts w:ascii="Arial" w:hAnsi="Arial" w:cs="Arial"/>
          <w:sz w:val="24"/>
          <w:szCs w:val="24"/>
        </w:rPr>
        <w:t xml:space="preserve"> a </w:t>
      </w:r>
      <w:r w:rsidR="00B42DFF">
        <w:rPr>
          <w:rFonts w:ascii="Arial" w:hAnsi="Arial" w:cs="Arial"/>
          <w:sz w:val="24"/>
          <w:szCs w:val="24"/>
        </w:rPr>
        <w:t>f</w:t>
      </w:r>
      <w:r w:rsidRPr="002C72B1">
        <w:rPr>
          <w:rFonts w:ascii="Arial" w:hAnsi="Arial" w:cs="Arial"/>
          <w:sz w:val="24"/>
          <w:szCs w:val="24"/>
        </w:rPr>
        <w:t xml:space="preserve">ull </w:t>
      </w:r>
      <w:r w:rsidR="00B42DFF">
        <w:rPr>
          <w:rFonts w:ascii="Arial" w:hAnsi="Arial" w:cs="Arial"/>
          <w:sz w:val="24"/>
          <w:szCs w:val="24"/>
        </w:rPr>
        <w:t>court of this d</w:t>
      </w:r>
      <w:r w:rsidRPr="002C72B1">
        <w:rPr>
          <w:rFonts w:ascii="Arial" w:hAnsi="Arial" w:cs="Arial"/>
          <w:sz w:val="24"/>
          <w:szCs w:val="24"/>
        </w:rPr>
        <w:t xml:space="preserve">ivision was called upon to </w:t>
      </w:r>
      <w:r w:rsidR="00B42DFF">
        <w:rPr>
          <w:rFonts w:ascii="Arial" w:hAnsi="Arial" w:cs="Arial"/>
          <w:sz w:val="24"/>
          <w:szCs w:val="24"/>
        </w:rPr>
        <w:t>consider</w:t>
      </w:r>
      <w:r w:rsidRPr="002C72B1">
        <w:rPr>
          <w:rFonts w:ascii="Arial" w:hAnsi="Arial" w:cs="Arial"/>
          <w:sz w:val="24"/>
          <w:szCs w:val="24"/>
        </w:rPr>
        <w:t xml:space="preserve"> the issues raised in </w:t>
      </w:r>
      <w:r w:rsidR="00B53117">
        <w:rPr>
          <w:rFonts w:ascii="Arial" w:hAnsi="Arial" w:cs="Arial"/>
          <w:sz w:val="24"/>
          <w:szCs w:val="24"/>
        </w:rPr>
        <w:t>support of the</w:t>
      </w:r>
      <w:r w:rsidR="00B42DFF">
        <w:rPr>
          <w:rFonts w:ascii="Arial" w:hAnsi="Arial" w:cs="Arial"/>
          <w:sz w:val="24"/>
          <w:szCs w:val="24"/>
        </w:rPr>
        <w:t xml:space="preserve"> declaratory relief</w:t>
      </w:r>
      <w:r w:rsidRPr="002C72B1">
        <w:rPr>
          <w:rFonts w:ascii="Arial" w:hAnsi="Arial" w:cs="Arial"/>
          <w:sz w:val="24"/>
          <w:szCs w:val="24"/>
        </w:rPr>
        <w:t xml:space="preserve">, in particular whether the MEC for Health’s </w:t>
      </w:r>
      <w:r w:rsidRPr="002C72B1">
        <w:rPr>
          <w:rFonts w:ascii="Arial" w:hAnsi="Arial" w:cs="Arial"/>
          <w:sz w:val="24"/>
          <w:szCs w:val="24"/>
        </w:rPr>
        <w:lastRenderedPageBreak/>
        <w:t>right, title and interest in the PMG account was susceptible to attachment</w:t>
      </w:r>
      <w:r w:rsidR="00B42DFF">
        <w:rPr>
          <w:rFonts w:ascii="Arial" w:hAnsi="Arial" w:cs="Arial"/>
          <w:sz w:val="24"/>
          <w:szCs w:val="24"/>
        </w:rPr>
        <w:t xml:space="preserve"> in execution</w:t>
      </w:r>
      <w:r w:rsidRPr="002C72B1">
        <w:rPr>
          <w:rFonts w:ascii="Arial" w:hAnsi="Arial" w:cs="Arial"/>
          <w:sz w:val="24"/>
          <w:szCs w:val="24"/>
        </w:rPr>
        <w:t xml:space="preserve">.  The core argument for the applicants was that, on a proper construction of the SLA, it permitted attachment only of corporeal movable assets.  The </w:t>
      </w:r>
      <w:r w:rsidR="00B42DFF">
        <w:rPr>
          <w:rFonts w:ascii="Arial" w:hAnsi="Arial" w:cs="Arial"/>
          <w:sz w:val="24"/>
          <w:szCs w:val="24"/>
        </w:rPr>
        <w:t>f</w:t>
      </w:r>
      <w:r w:rsidRPr="002C72B1">
        <w:rPr>
          <w:rFonts w:ascii="Arial" w:hAnsi="Arial" w:cs="Arial"/>
          <w:sz w:val="24"/>
          <w:szCs w:val="24"/>
        </w:rPr>
        <w:t xml:space="preserve">ull </w:t>
      </w:r>
      <w:r w:rsidR="00B42DFF">
        <w:rPr>
          <w:rFonts w:ascii="Arial" w:hAnsi="Arial" w:cs="Arial"/>
          <w:sz w:val="24"/>
          <w:szCs w:val="24"/>
        </w:rPr>
        <w:t>c</w:t>
      </w:r>
      <w:r w:rsidRPr="002C72B1">
        <w:rPr>
          <w:rFonts w:ascii="Arial" w:hAnsi="Arial" w:cs="Arial"/>
          <w:sz w:val="24"/>
          <w:szCs w:val="24"/>
        </w:rPr>
        <w:t>ourt embarked upon a detailed analysis of the relevant provisions of the SLA.  It found that, as a matter of interpretation, there was nothing in s 3 that points to a conclusion that “movable property” must be li</w:t>
      </w:r>
      <w:r w:rsidR="00187F88">
        <w:rPr>
          <w:rFonts w:ascii="Arial" w:hAnsi="Arial" w:cs="Arial"/>
          <w:sz w:val="24"/>
          <w:szCs w:val="24"/>
        </w:rPr>
        <w:t>mited</w:t>
      </w:r>
      <w:r w:rsidRPr="002C72B1">
        <w:rPr>
          <w:rFonts w:ascii="Arial" w:hAnsi="Arial" w:cs="Arial"/>
          <w:sz w:val="24"/>
          <w:szCs w:val="24"/>
        </w:rPr>
        <w:t xml:space="preserve"> to corporeal movables.</w:t>
      </w:r>
      <w:r w:rsidR="002C72B1">
        <w:rPr>
          <w:rStyle w:val="FootnoteReference"/>
          <w:rFonts w:ascii="Arial" w:hAnsi="Arial" w:cs="Arial"/>
          <w:sz w:val="24"/>
          <w:szCs w:val="24"/>
        </w:rPr>
        <w:footnoteReference w:id="53"/>
      </w:r>
      <w:r w:rsidRPr="002C72B1">
        <w:rPr>
          <w:rFonts w:ascii="Arial" w:hAnsi="Arial" w:cs="Arial"/>
          <w:sz w:val="24"/>
          <w:szCs w:val="24"/>
        </w:rPr>
        <w:t xml:space="preserve">  It proceeded to conclude:</w:t>
      </w:r>
    </w:p>
    <w:p w14:paraId="492F7B80" w14:textId="77777777" w:rsidR="00792E2D" w:rsidRPr="00792E2D" w:rsidRDefault="00792E2D" w:rsidP="005F16B4">
      <w:pPr>
        <w:pStyle w:val="ListParagraph"/>
        <w:spacing w:after="0" w:line="480" w:lineRule="auto"/>
        <w:ind w:left="0"/>
        <w:jc w:val="both"/>
        <w:rPr>
          <w:rFonts w:ascii="Arial" w:hAnsi="Arial" w:cs="Arial"/>
          <w:sz w:val="24"/>
          <w:szCs w:val="24"/>
        </w:rPr>
      </w:pPr>
    </w:p>
    <w:p w14:paraId="3DA1CB1F" w14:textId="77777777" w:rsidR="00E16379" w:rsidRPr="00E16379" w:rsidRDefault="00E16379" w:rsidP="00E16379">
      <w:pPr>
        <w:pStyle w:val="ListParagraph"/>
        <w:rPr>
          <w:rFonts w:ascii="Arial" w:hAnsi="Arial" w:cs="Arial"/>
          <w:sz w:val="24"/>
          <w:szCs w:val="24"/>
        </w:rPr>
      </w:pPr>
    </w:p>
    <w:p w14:paraId="02FA3424" w14:textId="77777777" w:rsidR="00E16379" w:rsidRPr="00D44C82" w:rsidRDefault="00FF046C" w:rsidP="00D44C82">
      <w:pPr>
        <w:pStyle w:val="ListParagraph"/>
        <w:spacing w:after="0" w:line="360" w:lineRule="auto"/>
        <w:ind w:left="567" w:right="567"/>
        <w:jc w:val="both"/>
        <w:rPr>
          <w:rFonts w:ascii="Arial" w:hAnsi="Arial" w:cs="Arial"/>
        </w:rPr>
      </w:pPr>
      <w:r>
        <w:rPr>
          <w:rFonts w:ascii="Arial" w:hAnsi="Arial" w:cs="Arial"/>
        </w:rPr>
        <w:t>“</w:t>
      </w:r>
      <w:r w:rsidR="00E16379" w:rsidRPr="00D44C82">
        <w:rPr>
          <w:rFonts w:ascii="Arial" w:hAnsi="Arial" w:cs="Arial"/>
        </w:rPr>
        <w:t>The attachment of a judg</w:t>
      </w:r>
      <w:r w:rsidR="00A36142">
        <w:rPr>
          <w:rFonts w:ascii="Arial" w:hAnsi="Arial" w:cs="Arial"/>
        </w:rPr>
        <w:t>e</w:t>
      </w:r>
      <w:r w:rsidR="00E16379" w:rsidRPr="00D44C82">
        <w:rPr>
          <w:rFonts w:ascii="Arial" w:hAnsi="Arial" w:cs="Arial"/>
        </w:rPr>
        <w:t xml:space="preserve">ment debtor’s right to monies </w:t>
      </w:r>
      <w:r w:rsidR="00CE06B8">
        <w:rPr>
          <w:rFonts w:ascii="Arial" w:hAnsi="Arial" w:cs="Arial"/>
        </w:rPr>
        <w:t>in a banking account is authoris</w:t>
      </w:r>
      <w:r w:rsidR="00E16379" w:rsidRPr="00D44C82">
        <w:rPr>
          <w:rFonts w:ascii="Arial" w:hAnsi="Arial" w:cs="Arial"/>
        </w:rPr>
        <w:t xml:space="preserve">ed by </w:t>
      </w:r>
      <w:r w:rsidR="00A36142">
        <w:rPr>
          <w:rFonts w:ascii="Arial" w:hAnsi="Arial" w:cs="Arial"/>
        </w:rPr>
        <w:t>Uniform Rule</w:t>
      </w:r>
      <w:r w:rsidR="00E16379" w:rsidRPr="00D44C82">
        <w:rPr>
          <w:rFonts w:ascii="Arial" w:hAnsi="Arial" w:cs="Arial"/>
        </w:rPr>
        <w:t xml:space="preserve"> 45(8).  It provides that an attachment of an incorporeal right is only complete when the sheriff has given notice of the attachment to all the interested parties, and has taken possession of the writing or document that evidences the judg</w:t>
      </w:r>
      <w:r w:rsidR="00A36142">
        <w:rPr>
          <w:rFonts w:ascii="Arial" w:hAnsi="Arial" w:cs="Arial"/>
        </w:rPr>
        <w:t>e</w:t>
      </w:r>
      <w:r w:rsidR="00E16379" w:rsidRPr="00D44C82">
        <w:rPr>
          <w:rFonts w:ascii="Arial" w:hAnsi="Arial" w:cs="Arial"/>
        </w:rPr>
        <w:t>ment debtor</w:t>
      </w:r>
      <w:r w:rsidR="00A36142">
        <w:rPr>
          <w:rFonts w:ascii="Arial" w:hAnsi="Arial" w:cs="Arial"/>
        </w:rPr>
        <w:t>’</w:t>
      </w:r>
      <w:r w:rsidR="00E16379" w:rsidRPr="00D44C82">
        <w:rPr>
          <w:rFonts w:ascii="Arial" w:hAnsi="Arial" w:cs="Arial"/>
        </w:rPr>
        <w:t xml:space="preserve">s ownership of the right.  The requirements for a complete and effective attachment of the right in a banking account </w:t>
      </w:r>
      <w:r w:rsidR="00A36142">
        <w:rPr>
          <w:rFonts w:ascii="Arial" w:hAnsi="Arial" w:cs="Arial"/>
        </w:rPr>
        <w:t>are</w:t>
      </w:r>
      <w:r w:rsidR="00E16379" w:rsidRPr="00D44C82">
        <w:rPr>
          <w:rFonts w:ascii="Arial" w:hAnsi="Arial" w:cs="Arial"/>
        </w:rPr>
        <w:t xml:space="preserve"> not inconsistent with the process of execution prescribed by section 3 of the Act in that they:</w:t>
      </w:r>
    </w:p>
    <w:p w14:paraId="53AEEE51" w14:textId="77777777" w:rsidR="00D44C82" w:rsidRDefault="00D44C82" w:rsidP="00A36142">
      <w:pPr>
        <w:pStyle w:val="ListParagraph"/>
        <w:numPr>
          <w:ilvl w:val="0"/>
          <w:numId w:val="4"/>
        </w:numPr>
        <w:spacing w:after="0" w:line="360" w:lineRule="auto"/>
        <w:ind w:left="1080" w:right="562" w:firstLine="0"/>
        <w:jc w:val="both"/>
        <w:rPr>
          <w:rFonts w:ascii="Arial" w:hAnsi="Arial" w:cs="Arial"/>
        </w:rPr>
      </w:pPr>
      <w:r>
        <w:rPr>
          <w:rFonts w:ascii="Arial" w:hAnsi="Arial" w:cs="Arial"/>
        </w:rPr>
        <w:t>a</w:t>
      </w:r>
      <w:r w:rsidR="00E16379" w:rsidRPr="00D44C82">
        <w:rPr>
          <w:rFonts w:ascii="Arial" w:hAnsi="Arial" w:cs="Arial"/>
        </w:rPr>
        <w:t>llow the sheriff not to remove the attached property immediately;</w:t>
      </w:r>
    </w:p>
    <w:p w14:paraId="78F97DD4" w14:textId="77777777" w:rsidR="00E16379" w:rsidRPr="00D44C82" w:rsidRDefault="00D44C82" w:rsidP="00A36142">
      <w:pPr>
        <w:pStyle w:val="ListParagraph"/>
        <w:numPr>
          <w:ilvl w:val="0"/>
          <w:numId w:val="4"/>
        </w:numPr>
        <w:spacing w:after="0" w:line="360" w:lineRule="auto"/>
        <w:ind w:left="1440" w:right="562"/>
        <w:jc w:val="both"/>
        <w:rPr>
          <w:rFonts w:ascii="Arial" w:hAnsi="Arial" w:cs="Arial"/>
        </w:rPr>
      </w:pPr>
      <w:r>
        <w:rPr>
          <w:rFonts w:ascii="Arial" w:hAnsi="Arial" w:cs="Arial"/>
        </w:rPr>
        <w:t>e</w:t>
      </w:r>
      <w:r w:rsidR="00E16379" w:rsidRPr="00D44C82">
        <w:rPr>
          <w:rFonts w:ascii="Arial" w:hAnsi="Arial" w:cs="Arial"/>
        </w:rPr>
        <w:t xml:space="preserve">nable the sheriff and the </w:t>
      </w:r>
      <w:r w:rsidRPr="00D44C82">
        <w:rPr>
          <w:rFonts w:ascii="Arial" w:hAnsi="Arial" w:cs="Arial"/>
        </w:rPr>
        <w:t>relevant</w:t>
      </w:r>
      <w:r w:rsidR="00E16379" w:rsidRPr="00D44C82">
        <w:rPr>
          <w:rFonts w:ascii="Arial" w:hAnsi="Arial" w:cs="Arial"/>
        </w:rPr>
        <w:t xml:space="preserve"> </w:t>
      </w:r>
      <w:r w:rsidR="00187F88">
        <w:rPr>
          <w:rFonts w:ascii="Arial" w:hAnsi="Arial" w:cs="Arial"/>
        </w:rPr>
        <w:t>s</w:t>
      </w:r>
      <w:r w:rsidR="00E16379" w:rsidRPr="00D44C82">
        <w:rPr>
          <w:rFonts w:ascii="Arial" w:hAnsi="Arial" w:cs="Arial"/>
        </w:rPr>
        <w:t xml:space="preserve">tate or </w:t>
      </w:r>
      <w:r w:rsidRPr="00D44C82">
        <w:rPr>
          <w:rFonts w:ascii="Arial" w:hAnsi="Arial" w:cs="Arial"/>
        </w:rPr>
        <w:t>provincial</w:t>
      </w:r>
      <w:r w:rsidR="00E16379" w:rsidRPr="00D44C82">
        <w:rPr>
          <w:rFonts w:ascii="Arial" w:hAnsi="Arial" w:cs="Arial"/>
        </w:rPr>
        <w:t xml:space="preserve"> department to instead agree on the </w:t>
      </w:r>
      <w:r w:rsidRPr="00D44C82">
        <w:rPr>
          <w:rFonts w:ascii="Arial" w:hAnsi="Arial" w:cs="Arial"/>
        </w:rPr>
        <w:t>property</w:t>
      </w:r>
      <w:r w:rsidR="00E16379" w:rsidRPr="00D44C82">
        <w:rPr>
          <w:rFonts w:ascii="Arial" w:hAnsi="Arial" w:cs="Arial"/>
        </w:rPr>
        <w:t xml:space="preserve"> to be attached, removed and sold in execution;</w:t>
      </w:r>
    </w:p>
    <w:p w14:paraId="165D2E25" w14:textId="77777777" w:rsidR="00E16379" w:rsidRPr="00D44C82" w:rsidRDefault="00D44C82" w:rsidP="00A36142">
      <w:pPr>
        <w:pStyle w:val="ListParagraph"/>
        <w:numPr>
          <w:ilvl w:val="0"/>
          <w:numId w:val="4"/>
        </w:numPr>
        <w:spacing w:after="0" w:line="360" w:lineRule="auto"/>
        <w:ind w:left="1440" w:right="562"/>
        <w:jc w:val="both"/>
        <w:rPr>
          <w:rFonts w:ascii="Arial" w:hAnsi="Arial" w:cs="Arial"/>
        </w:rPr>
      </w:pPr>
      <w:r>
        <w:rPr>
          <w:rFonts w:ascii="Arial" w:hAnsi="Arial" w:cs="Arial"/>
        </w:rPr>
        <w:t>d</w:t>
      </w:r>
      <w:r w:rsidR="00E16379" w:rsidRPr="00D44C82">
        <w:rPr>
          <w:rFonts w:ascii="Arial" w:hAnsi="Arial" w:cs="Arial"/>
        </w:rPr>
        <w:t xml:space="preserve">o not immediately deprive the relevant department of its use of the property, avoiding the potential for the disruption of </w:t>
      </w:r>
      <w:r w:rsidRPr="00D44C82">
        <w:rPr>
          <w:rFonts w:ascii="Arial" w:hAnsi="Arial" w:cs="Arial"/>
        </w:rPr>
        <w:t>service</w:t>
      </w:r>
      <w:r w:rsidR="00A36142">
        <w:rPr>
          <w:rFonts w:ascii="Arial" w:hAnsi="Arial" w:cs="Arial"/>
        </w:rPr>
        <w:t xml:space="preserve"> delivery </w:t>
      </w:r>
      <w:r w:rsidR="002745E8" w:rsidRPr="00D44C82">
        <w:rPr>
          <w:rFonts w:ascii="Arial" w:hAnsi="Arial" w:cs="Arial"/>
        </w:rPr>
        <w:t>obligations; and</w:t>
      </w:r>
    </w:p>
    <w:p w14:paraId="0FC00C4C" w14:textId="77777777" w:rsidR="00E16379" w:rsidRPr="00D44C82" w:rsidRDefault="00D44C82" w:rsidP="00A36142">
      <w:pPr>
        <w:pStyle w:val="ListParagraph"/>
        <w:numPr>
          <w:ilvl w:val="0"/>
          <w:numId w:val="4"/>
        </w:numPr>
        <w:spacing w:after="0" w:line="360" w:lineRule="auto"/>
        <w:ind w:left="1440" w:right="562"/>
        <w:jc w:val="both"/>
        <w:rPr>
          <w:rFonts w:ascii="Arial" w:hAnsi="Arial" w:cs="Arial"/>
        </w:rPr>
      </w:pPr>
      <w:r>
        <w:rPr>
          <w:rFonts w:ascii="Arial" w:hAnsi="Arial" w:cs="Arial"/>
        </w:rPr>
        <w:t>p</w:t>
      </w:r>
      <w:r w:rsidR="00E16379" w:rsidRPr="00D44C82">
        <w:rPr>
          <w:rFonts w:ascii="Arial" w:hAnsi="Arial" w:cs="Arial"/>
        </w:rPr>
        <w:t>rovide for the sale of the right of the judg</w:t>
      </w:r>
      <w:r w:rsidR="00A36142">
        <w:rPr>
          <w:rFonts w:ascii="Arial" w:hAnsi="Arial" w:cs="Arial"/>
        </w:rPr>
        <w:t>e</w:t>
      </w:r>
      <w:r w:rsidR="00E16379" w:rsidRPr="00D44C82">
        <w:rPr>
          <w:rFonts w:ascii="Arial" w:hAnsi="Arial" w:cs="Arial"/>
        </w:rPr>
        <w:t xml:space="preserve">ment debtor at a sale </w:t>
      </w:r>
      <w:r w:rsidR="00187F88">
        <w:rPr>
          <w:rFonts w:ascii="Arial" w:hAnsi="Arial" w:cs="Arial"/>
        </w:rPr>
        <w:t>in</w:t>
      </w:r>
      <w:r w:rsidR="00E16379" w:rsidRPr="00D44C82">
        <w:rPr>
          <w:rFonts w:ascii="Arial" w:hAnsi="Arial" w:cs="Arial"/>
        </w:rPr>
        <w:t xml:space="preserve"> execution to the highest bidder as envisaged in section 3 of the Act.</w:t>
      </w:r>
    </w:p>
    <w:p w14:paraId="55A484B1" w14:textId="77777777" w:rsidR="00E16379" w:rsidRPr="00D44C82" w:rsidRDefault="00E16379" w:rsidP="00D44C82">
      <w:pPr>
        <w:pStyle w:val="ListParagraph"/>
        <w:spacing w:after="0" w:line="360" w:lineRule="auto"/>
        <w:ind w:left="567" w:right="567"/>
        <w:jc w:val="both"/>
        <w:rPr>
          <w:rFonts w:ascii="Arial" w:hAnsi="Arial" w:cs="Arial"/>
        </w:rPr>
      </w:pPr>
      <w:r w:rsidRPr="00D44C82">
        <w:rPr>
          <w:rFonts w:ascii="Arial" w:hAnsi="Arial" w:cs="Arial"/>
        </w:rPr>
        <w:t xml:space="preserve">Provided that the monies </w:t>
      </w:r>
      <w:r w:rsidR="00187F88">
        <w:rPr>
          <w:rFonts w:ascii="Arial" w:hAnsi="Arial" w:cs="Arial"/>
        </w:rPr>
        <w:t xml:space="preserve">standing </w:t>
      </w:r>
      <w:r w:rsidR="00A36142">
        <w:rPr>
          <w:rFonts w:ascii="Arial" w:hAnsi="Arial" w:cs="Arial"/>
        </w:rPr>
        <w:t>to</w:t>
      </w:r>
      <w:r w:rsidR="00187F88">
        <w:rPr>
          <w:rFonts w:ascii="Arial" w:hAnsi="Arial" w:cs="Arial"/>
        </w:rPr>
        <w:t xml:space="preserve"> the credit of a s</w:t>
      </w:r>
      <w:r w:rsidRPr="00D44C82">
        <w:rPr>
          <w:rFonts w:ascii="Arial" w:hAnsi="Arial" w:cs="Arial"/>
        </w:rPr>
        <w:t xml:space="preserve">tate or provincial department are capable of being identified as monies </w:t>
      </w:r>
      <w:r w:rsidR="00A36142">
        <w:rPr>
          <w:rFonts w:ascii="Arial" w:hAnsi="Arial" w:cs="Arial"/>
        </w:rPr>
        <w:t>which</w:t>
      </w:r>
      <w:r w:rsidRPr="00D44C82">
        <w:rPr>
          <w:rFonts w:ascii="Arial" w:hAnsi="Arial" w:cs="Arial"/>
        </w:rPr>
        <w:t xml:space="preserve"> are being ‘used’ by the department concerned, in that it had been appropriated to the vote of that department, an attach</w:t>
      </w:r>
      <w:r w:rsidR="00187F88">
        <w:rPr>
          <w:rFonts w:ascii="Arial" w:hAnsi="Arial" w:cs="Arial"/>
        </w:rPr>
        <w:t>ment,</w:t>
      </w:r>
      <w:r w:rsidRPr="00D44C82">
        <w:rPr>
          <w:rFonts w:ascii="Arial" w:hAnsi="Arial" w:cs="Arial"/>
        </w:rPr>
        <w:t xml:space="preserve"> as envisaged in </w:t>
      </w:r>
      <w:r w:rsidR="00D44C82" w:rsidRPr="00D44C82">
        <w:rPr>
          <w:rFonts w:ascii="Arial" w:hAnsi="Arial" w:cs="Arial"/>
        </w:rPr>
        <w:t>Uniform</w:t>
      </w:r>
      <w:r w:rsidRPr="00D44C82">
        <w:rPr>
          <w:rFonts w:ascii="Arial" w:hAnsi="Arial" w:cs="Arial"/>
        </w:rPr>
        <w:t xml:space="preserve"> Rule 45(8)</w:t>
      </w:r>
      <w:r w:rsidR="00187F88">
        <w:rPr>
          <w:rFonts w:ascii="Arial" w:hAnsi="Arial" w:cs="Arial"/>
        </w:rPr>
        <w:t xml:space="preserve"> accordingly </w:t>
      </w:r>
      <w:r w:rsidRPr="00D44C82">
        <w:rPr>
          <w:rFonts w:ascii="Arial" w:hAnsi="Arial" w:cs="Arial"/>
        </w:rPr>
        <w:t xml:space="preserve">does not appear to conflict with the </w:t>
      </w:r>
      <w:r w:rsidR="00D44C82" w:rsidRPr="00D44C82">
        <w:rPr>
          <w:rFonts w:ascii="Arial" w:hAnsi="Arial" w:cs="Arial"/>
        </w:rPr>
        <w:t>framework</w:t>
      </w:r>
      <w:r w:rsidRPr="00D44C82">
        <w:rPr>
          <w:rFonts w:ascii="Arial" w:hAnsi="Arial" w:cs="Arial"/>
        </w:rPr>
        <w:t xml:space="preserve"> provided by s 3 of the Act.”</w:t>
      </w:r>
      <w:r w:rsidRPr="00D44C82">
        <w:rPr>
          <w:rStyle w:val="FootnoteReference"/>
          <w:rFonts w:ascii="Arial" w:hAnsi="Arial" w:cs="Arial"/>
        </w:rPr>
        <w:footnoteReference w:id="54"/>
      </w:r>
    </w:p>
    <w:p w14:paraId="23836646" w14:textId="77777777" w:rsidR="0011628E" w:rsidRDefault="0011628E" w:rsidP="00F13605">
      <w:pPr>
        <w:spacing w:after="0" w:line="480" w:lineRule="auto"/>
        <w:jc w:val="both"/>
        <w:rPr>
          <w:rFonts w:ascii="Arial" w:hAnsi="Arial" w:cs="Arial"/>
          <w:sz w:val="24"/>
          <w:szCs w:val="24"/>
        </w:rPr>
      </w:pPr>
    </w:p>
    <w:p w14:paraId="02F75B75" w14:textId="77777777" w:rsidR="0011628E" w:rsidRPr="002C72B1" w:rsidRDefault="0011628E" w:rsidP="005F16B4">
      <w:pPr>
        <w:pStyle w:val="ListParagraph"/>
        <w:numPr>
          <w:ilvl w:val="0"/>
          <w:numId w:val="20"/>
        </w:numPr>
        <w:spacing w:after="0" w:line="480" w:lineRule="auto"/>
        <w:ind w:left="0" w:firstLine="0"/>
        <w:jc w:val="both"/>
        <w:rPr>
          <w:rFonts w:ascii="Arial" w:hAnsi="Arial" w:cs="Arial"/>
          <w:sz w:val="24"/>
          <w:szCs w:val="24"/>
        </w:rPr>
      </w:pPr>
      <w:r w:rsidRPr="002C72B1">
        <w:rPr>
          <w:rFonts w:ascii="Arial" w:hAnsi="Arial" w:cs="Arial"/>
          <w:sz w:val="24"/>
          <w:szCs w:val="24"/>
        </w:rPr>
        <w:lastRenderedPageBreak/>
        <w:t xml:space="preserve">The finding of the </w:t>
      </w:r>
      <w:r w:rsidR="00B42DFF">
        <w:rPr>
          <w:rFonts w:ascii="Arial" w:hAnsi="Arial" w:cs="Arial"/>
          <w:sz w:val="24"/>
          <w:szCs w:val="24"/>
        </w:rPr>
        <w:t xml:space="preserve">full court </w:t>
      </w:r>
      <w:r w:rsidRPr="002C72B1">
        <w:rPr>
          <w:rFonts w:ascii="Arial" w:hAnsi="Arial" w:cs="Arial"/>
          <w:sz w:val="24"/>
          <w:szCs w:val="24"/>
        </w:rPr>
        <w:t xml:space="preserve">is decisive of the relief sought in these paragraphs and binding on this court, a </w:t>
      </w:r>
      <w:r w:rsidR="00565E18">
        <w:rPr>
          <w:rFonts w:ascii="Arial" w:hAnsi="Arial" w:cs="Arial"/>
          <w:sz w:val="24"/>
          <w:szCs w:val="24"/>
        </w:rPr>
        <w:t xml:space="preserve">full court </w:t>
      </w:r>
      <w:r w:rsidRPr="002C72B1">
        <w:rPr>
          <w:rFonts w:ascii="Arial" w:hAnsi="Arial" w:cs="Arial"/>
          <w:sz w:val="24"/>
          <w:szCs w:val="24"/>
        </w:rPr>
        <w:t xml:space="preserve">of the same </w:t>
      </w:r>
      <w:r w:rsidR="00B42DFF">
        <w:rPr>
          <w:rFonts w:ascii="Arial" w:hAnsi="Arial" w:cs="Arial"/>
          <w:sz w:val="24"/>
          <w:szCs w:val="24"/>
        </w:rPr>
        <w:t>d</w:t>
      </w:r>
      <w:r w:rsidRPr="002C72B1">
        <w:rPr>
          <w:rFonts w:ascii="Arial" w:hAnsi="Arial" w:cs="Arial"/>
          <w:sz w:val="24"/>
          <w:szCs w:val="24"/>
        </w:rPr>
        <w:t xml:space="preserve">ivision, unless I am persuaded that it is clearly wrong.  Ms </w:t>
      </w:r>
      <w:r w:rsidRPr="002C72B1">
        <w:rPr>
          <w:rFonts w:ascii="Arial" w:hAnsi="Arial" w:cs="Arial"/>
          <w:i/>
          <w:sz w:val="24"/>
          <w:szCs w:val="24"/>
        </w:rPr>
        <w:t>Bawa</w:t>
      </w:r>
      <w:r w:rsidR="00B42DFF">
        <w:rPr>
          <w:rFonts w:ascii="Arial" w:hAnsi="Arial" w:cs="Arial"/>
          <w:i/>
          <w:sz w:val="24"/>
          <w:szCs w:val="24"/>
        </w:rPr>
        <w:t xml:space="preserve">, </w:t>
      </w:r>
      <w:r w:rsidR="00B42DFF">
        <w:rPr>
          <w:rFonts w:ascii="Arial" w:hAnsi="Arial" w:cs="Arial"/>
          <w:sz w:val="24"/>
          <w:szCs w:val="24"/>
        </w:rPr>
        <w:t xml:space="preserve">for the applicants, </w:t>
      </w:r>
      <w:r w:rsidRPr="002C72B1">
        <w:rPr>
          <w:rFonts w:ascii="Arial" w:hAnsi="Arial" w:cs="Arial"/>
          <w:sz w:val="24"/>
          <w:szCs w:val="24"/>
        </w:rPr>
        <w:t xml:space="preserve">urged me to conclude that it was.  Two contentions for this conclusion were advanced.  First, that adopting the accepted approach to the interpretation of statutes, and viewing the provisions of the SLA in their context, they clearly provide for the attachment of corporeal movables only.  Secondly, it was contended that the </w:t>
      </w:r>
      <w:r w:rsidR="00B42DFF">
        <w:rPr>
          <w:rFonts w:ascii="Arial" w:hAnsi="Arial" w:cs="Arial"/>
          <w:sz w:val="24"/>
          <w:szCs w:val="24"/>
        </w:rPr>
        <w:t>full court</w:t>
      </w:r>
      <w:r w:rsidRPr="002C72B1">
        <w:rPr>
          <w:rFonts w:ascii="Arial" w:hAnsi="Arial" w:cs="Arial"/>
          <w:sz w:val="24"/>
          <w:szCs w:val="24"/>
        </w:rPr>
        <w:t xml:space="preserve"> had erred in having regard to the provisions of rule 45(8) in seeking to interpret the provisions of the SLA.</w:t>
      </w:r>
    </w:p>
    <w:p w14:paraId="667C4AAE" w14:textId="77777777" w:rsidR="0011628E" w:rsidRDefault="0011628E" w:rsidP="005F16B4">
      <w:pPr>
        <w:spacing w:after="0" w:line="480" w:lineRule="auto"/>
        <w:jc w:val="both"/>
        <w:rPr>
          <w:rFonts w:ascii="Arial" w:hAnsi="Arial" w:cs="Arial"/>
          <w:sz w:val="24"/>
          <w:szCs w:val="24"/>
        </w:rPr>
      </w:pPr>
    </w:p>
    <w:p w14:paraId="4949D160" w14:textId="77777777" w:rsidR="002A5F14" w:rsidRDefault="0011628E" w:rsidP="005F16B4">
      <w:pPr>
        <w:pStyle w:val="ListParagraph"/>
        <w:numPr>
          <w:ilvl w:val="0"/>
          <w:numId w:val="20"/>
        </w:numPr>
        <w:spacing w:after="0" w:line="480" w:lineRule="auto"/>
        <w:ind w:left="0" w:firstLine="0"/>
        <w:jc w:val="both"/>
        <w:rPr>
          <w:rFonts w:ascii="Arial" w:hAnsi="Arial" w:cs="Arial"/>
          <w:sz w:val="24"/>
          <w:szCs w:val="24"/>
        </w:rPr>
      </w:pPr>
      <w:r w:rsidRPr="002C72B1">
        <w:rPr>
          <w:rFonts w:ascii="Arial" w:hAnsi="Arial" w:cs="Arial"/>
          <w:sz w:val="24"/>
          <w:szCs w:val="24"/>
        </w:rPr>
        <w:t xml:space="preserve">The </w:t>
      </w:r>
      <w:r w:rsidR="00B42DFF">
        <w:rPr>
          <w:rFonts w:ascii="Arial" w:hAnsi="Arial" w:cs="Arial"/>
          <w:sz w:val="24"/>
          <w:szCs w:val="24"/>
        </w:rPr>
        <w:t xml:space="preserve">full court </w:t>
      </w:r>
      <w:r w:rsidRPr="002C72B1">
        <w:rPr>
          <w:rFonts w:ascii="Arial" w:hAnsi="Arial" w:cs="Arial"/>
          <w:sz w:val="24"/>
          <w:szCs w:val="24"/>
        </w:rPr>
        <w:t xml:space="preserve">correctly recognized the approach to the interpretation of statutes set out in </w:t>
      </w:r>
      <w:r w:rsidRPr="002C72B1">
        <w:rPr>
          <w:rFonts w:ascii="Arial" w:hAnsi="Arial" w:cs="Arial"/>
          <w:i/>
          <w:sz w:val="24"/>
          <w:szCs w:val="24"/>
        </w:rPr>
        <w:t>E</w:t>
      </w:r>
      <w:r w:rsidR="00451173">
        <w:rPr>
          <w:rFonts w:ascii="Arial" w:hAnsi="Arial" w:cs="Arial"/>
          <w:i/>
          <w:sz w:val="24"/>
          <w:szCs w:val="24"/>
        </w:rPr>
        <w:t>n</w:t>
      </w:r>
      <w:r w:rsidRPr="002C72B1">
        <w:rPr>
          <w:rFonts w:ascii="Arial" w:hAnsi="Arial" w:cs="Arial"/>
          <w:i/>
          <w:sz w:val="24"/>
          <w:szCs w:val="24"/>
        </w:rPr>
        <w:t>dumeni</w:t>
      </w:r>
      <w:r w:rsidR="00187F88">
        <w:rPr>
          <w:rFonts w:ascii="Arial" w:hAnsi="Arial" w:cs="Arial"/>
          <w:sz w:val="24"/>
          <w:szCs w:val="24"/>
        </w:rPr>
        <w:t>,</w:t>
      </w:r>
      <w:r w:rsidR="000A154D">
        <w:rPr>
          <w:rStyle w:val="FootnoteReference"/>
          <w:rFonts w:ascii="Arial" w:hAnsi="Arial" w:cs="Arial"/>
          <w:sz w:val="24"/>
          <w:szCs w:val="24"/>
        </w:rPr>
        <w:footnoteReference w:id="55"/>
      </w:r>
      <w:r w:rsidRPr="002C72B1">
        <w:rPr>
          <w:rFonts w:ascii="Arial" w:hAnsi="Arial" w:cs="Arial"/>
          <w:sz w:val="24"/>
          <w:szCs w:val="24"/>
        </w:rPr>
        <w:t xml:space="preserve">  </w:t>
      </w:r>
      <w:r w:rsidR="00187F88">
        <w:rPr>
          <w:rFonts w:ascii="Arial" w:hAnsi="Arial" w:cs="Arial"/>
          <w:sz w:val="24"/>
          <w:szCs w:val="24"/>
        </w:rPr>
        <w:t>w</w:t>
      </w:r>
      <w:r w:rsidR="00B42DFF">
        <w:rPr>
          <w:rFonts w:ascii="Arial" w:hAnsi="Arial" w:cs="Arial"/>
          <w:sz w:val="24"/>
          <w:szCs w:val="24"/>
        </w:rPr>
        <w:t>here</w:t>
      </w:r>
      <w:r w:rsidRPr="002C72B1">
        <w:rPr>
          <w:rFonts w:ascii="Arial" w:hAnsi="Arial" w:cs="Arial"/>
          <w:i/>
          <w:sz w:val="24"/>
          <w:szCs w:val="24"/>
        </w:rPr>
        <w:t xml:space="preserve"> </w:t>
      </w:r>
      <w:r w:rsidRPr="002C72B1">
        <w:rPr>
          <w:rFonts w:ascii="Arial" w:hAnsi="Arial" w:cs="Arial"/>
          <w:sz w:val="24"/>
          <w:szCs w:val="24"/>
        </w:rPr>
        <w:t>the SCA stated:</w:t>
      </w:r>
    </w:p>
    <w:p w14:paraId="2FF22A64" w14:textId="77777777" w:rsidR="002A5F14" w:rsidRDefault="002A5F14">
      <w:pPr>
        <w:rPr>
          <w:rFonts w:ascii="Arial" w:hAnsi="Arial" w:cs="Arial"/>
          <w:sz w:val="24"/>
          <w:szCs w:val="24"/>
        </w:rPr>
      </w:pPr>
    </w:p>
    <w:p w14:paraId="785101FC" w14:textId="77777777" w:rsidR="000A154D" w:rsidRPr="000A2DD9" w:rsidRDefault="000A2DD9" w:rsidP="004431E3">
      <w:pPr>
        <w:pStyle w:val="ListParagraph"/>
        <w:spacing w:after="0" w:line="360" w:lineRule="auto"/>
        <w:ind w:left="562" w:right="562"/>
        <w:jc w:val="both"/>
        <w:rPr>
          <w:rFonts w:ascii="Arial" w:hAnsi="Arial" w:cs="Arial"/>
          <w:sz w:val="24"/>
          <w:szCs w:val="24"/>
        </w:rPr>
      </w:pPr>
      <w:r>
        <w:rPr>
          <w:rFonts w:ascii="Arial" w:hAnsi="Arial" w:cs="Arial"/>
          <w:szCs w:val="24"/>
        </w:rPr>
        <w:t>“</w:t>
      </w:r>
      <w:r w:rsidRPr="000A2DD9">
        <w:rPr>
          <w:rFonts w:ascii="Arial" w:hAnsi="Arial" w:cs="Arial"/>
          <w:szCs w:val="24"/>
        </w:rPr>
        <w:t>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w:t>
      </w:r>
      <w:r>
        <w:rPr>
          <w:rFonts w:ascii="Arial" w:hAnsi="Arial" w:cs="Arial"/>
          <w:szCs w:val="24"/>
        </w:rPr>
        <w:t>”</w:t>
      </w:r>
      <w:r>
        <w:rPr>
          <w:rStyle w:val="FootnoteReference"/>
          <w:rFonts w:ascii="Arial" w:hAnsi="Arial" w:cs="Arial"/>
          <w:szCs w:val="24"/>
        </w:rPr>
        <w:footnoteReference w:id="56"/>
      </w:r>
    </w:p>
    <w:p w14:paraId="56C62193" w14:textId="77777777" w:rsidR="0011628E" w:rsidRDefault="0011628E" w:rsidP="00D825CD">
      <w:pPr>
        <w:spacing w:after="0" w:line="480" w:lineRule="auto"/>
        <w:jc w:val="both"/>
        <w:rPr>
          <w:rFonts w:ascii="Arial" w:hAnsi="Arial" w:cs="Arial"/>
          <w:sz w:val="24"/>
          <w:szCs w:val="24"/>
        </w:rPr>
      </w:pPr>
    </w:p>
    <w:p w14:paraId="0A02D627" w14:textId="77777777" w:rsidR="0011628E" w:rsidRDefault="0011628E" w:rsidP="005F16B4">
      <w:pPr>
        <w:pStyle w:val="ListParagraph"/>
        <w:numPr>
          <w:ilvl w:val="0"/>
          <w:numId w:val="20"/>
        </w:numPr>
        <w:spacing w:after="0" w:line="480" w:lineRule="auto"/>
        <w:ind w:left="0" w:firstLine="0"/>
        <w:jc w:val="both"/>
        <w:rPr>
          <w:rFonts w:ascii="Arial" w:hAnsi="Arial" w:cs="Arial"/>
          <w:sz w:val="24"/>
          <w:szCs w:val="24"/>
        </w:rPr>
      </w:pPr>
      <w:r w:rsidRPr="002C72B1">
        <w:rPr>
          <w:rFonts w:ascii="Arial" w:hAnsi="Arial" w:cs="Arial"/>
          <w:sz w:val="24"/>
          <w:szCs w:val="24"/>
        </w:rPr>
        <w:t xml:space="preserve">It is convenient to consider first the material known to </w:t>
      </w:r>
      <w:r w:rsidR="00187F88">
        <w:rPr>
          <w:rFonts w:ascii="Arial" w:hAnsi="Arial" w:cs="Arial"/>
          <w:sz w:val="24"/>
          <w:szCs w:val="24"/>
        </w:rPr>
        <w:t>p</w:t>
      </w:r>
      <w:r w:rsidRPr="002C72B1">
        <w:rPr>
          <w:rFonts w:ascii="Arial" w:hAnsi="Arial" w:cs="Arial"/>
          <w:sz w:val="24"/>
          <w:szCs w:val="24"/>
        </w:rPr>
        <w:t xml:space="preserve">arliament at the time of the promulgation of the </w:t>
      </w:r>
      <w:r w:rsidR="00187F88">
        <w:rPr>
          <w:rFonts w:ascii="Arial" w:hAnsi="Arial" w:cs="Arial"/>
          <w:sz w:val="24"/>
          <w:szCs w:val="24"/>
        </w:rPr>
        <w:t>amendment to the SLA</w:t>
      </w:r>
      <w:r w:rsidRPr="002C72B1">
        <w:rPr>
          <w:rFonts w:ascii="Arial" w:hAnsi="Arial" w:cs="Arial"/>
          <w:sz w:val="24"/>
          <w:szCs w:val="24"/>
        </w:rPr>
        <w:t xml:space="preserve">.  </w:t>
      </w:r>
      <w:r w:rsidR="00B113A8">
        <w:rPr>
          <w:rFonts w:ascii="Arial" w:hAnsi="Arial" w:cs="Arial"/>
          <w:sz w:val="24"/>
          <w:szCs w:val="24"/>
        </w:rPr>
        <w:t>I</w:t>
      </w:r>
      <w:r w:rsidRPr="002C72B1">
        <w:rPr>
          <w:rFonts w:ascii="Arial" w:hAnsi="Arial" w:cs="Arial"/>
          <w:sz w:val="24"/>
          <w:szCs w:val="24"/>
        </w:rPr>
        <w:t>n common law, incorporeal property</w:t>
      </w:r>
      <w:r w:rsidR="00317071">
        <w:rPr>
          <w:rFonts w:ascii="Arial" w:hAnsi="Arial" w:cs="Arial"/>
          <w:sz w:val="24"/>
          <w:szCs w:val="24"/>
        </w:rPr>
        <w:t xml:space="preserve"> </w:t>
      </w:r>
      <w:r w:rsidR="00317071">
        <w:rPr>
          <w:rFonts w:ascii="Arial" w:hAnsi="Arial" w:cs="Arial"/>
          <w:sz w:val="24"/>
          <w:szCs w:val="24"/>
        </w:rPr>
        <w:lastRenderedPageBreak/>
        <w:t>has</w:t>
      </w:r>
      <w:r w:rsidR="00B113A8">
        <w:rPr>
          <w:rFonts w:ascii="Arial" w:hAnsi="Arial" w:cs="Arial"/>
          <w:sz w:val="24"/>
          <w:szCs w:val="24"/>
        </w:rPr>
        <w:t>, since time immemorial,</w:t>
      </w:r>
      <w:r w:rsidRPr="002C72B1">
        <w:rPr>
          <w:rFonts w:ascii="Arial" w:hAnsi="Arial" w:cs="Arial"/>
          <w:sz w:val="24"/>
          <w:szCs w:val="24"/>
        </w:rPr>
        <w:t xml:space="preserve"> been susceptible to attachment in execution</w:t>
      </w:r>
      <w:r w:rsidR="00B113A8">
        <w:rPr>
          <w:rFonts w:ascii="Arial" w:hAnsi="Arial" w:cs="Arial"/>
          <w:sz w:val="24"/>
          <w:szCs w:val="24"/>
        </w:rPr>
        <w:t>.</w:t>
      </w:r>
      <w:r w:rsidR="000A2DD9">
        <w:rPr>
          <w:rStyle w:val="FootnoteReference"/>
          <w:rFonts w:ascii="Arial" w:hAnsi="Arial" w:cs="Arial"/>
          <w:sz w:val="24"/>
          <w:szCs w:val="24"/>
        </w:rPr>
        <w:footnoteReference w:id="57"/>
      </w:r>
      <w:r w:rsidRPr="002C72B1">
        <w:rPr>
          <w:rFonts w:ascii="Arial" w:hAnsi="Arial" w:cs="Arial"/>
          <w:sz w:val="24"/>
          <w:szCs w:val="24"/>
        </w:rPr>
        <w:t xml:space="preserve">  Thus, in </w:t>
      </w:r>
      <w:r w:rsidRPr="002C72B1">
        <w:rPr>
          <w:rFonts w:ascii="Arial" w:hAnsi="Arial" w:cs="Arial"/>
          <w:i/>
          <w:sz w:val="24"/>
          <w:szCs w:val="24"/>
        </w:rPr>
        <w:t>Snow</w:t>
      </w:r>
      <w:r w:rsidR="000A2DD9">
        <w:rPr>
          <w:rStyle w:val="FootnoteReference"/>
          <w:rFonts w:ascii="Arial" w:hAnsi="Arial" w:cs="Arial"/>
          <w:i/>
          <w:sz w:val="24"/>
          <w:szCs w:val="24"/>
        </w:rPr>
        <w:footnoteReference w:id="58"/>
      </w:r>
      <w:r w:rsidRPr="002C72B1">
        <w:rPr>
          <w:rFonts w:ascii="Arial" w:hAnsi="Arial" w:cs="Arial"/>
          <w:sz w:val="24"/>
          <w:szCs w:val="24"/>
        </w:rPr>
        <w:t xml:space="preserve"> the SCA remarked:</w:t>
      </w:r>
    </w:p>
    <w:p w14:paraId="29DE502A" w14:textId="77777777" w:rsidR="009F56A1" w:rsidRDefault="009F56A1" w:rsidP="009F56A1">
      <w:pPr>
        <w:spacing w:after="0" w:line="480" w:lineRule="auto"/>
        <w:jc w:val="both"/>
        <w:rPr>
          <w:rFonts w:ascii="Arial" w:hAnsi="Arial" w:cs="Arial"/>
          <w:sz w:val="24"/>
          <w:szCs w:val="24"/>
        </w:rPr>
      </w:pPr>
    </w:p>
    <w:p w14:paraId="50B6255C" w14:textId="77777777" w:rsidR="00B73CA4" w:rsidRDefault="009F56A1" w:rsidP="00B73CA4">
      <w:pPr>
        <w:spacing w:after="0" w:line="360" w:lineRule="auto"/>
        <w:ind w:left="562" w:right="562"/>
        <w:jc w:val="both"/>
        <w:rPr>
          <w:rFonts w:ascii="Arial" w:hAnsi="Arial" w:cs="Arial"/>
          <w:color w:val="000000"/>
        </w:rPr>
      </w:pPr>
      <w:r>
        <w:rPr>
          <w:rFonts w:ascii="Arial" w:hAnsi="Arial" w:cs="Arial"/>
          <w:color w:val="000000"/>
        </w:rPr>
        <w:t>“</w:t>
      </w:r>
      <w:r w:rsidRPr="009F56A1">
        <w:rPr>
          <w:rFonts w:ascii="Arial" w:hAnsi="Arial" w:cs="Arial"/>
          <w:color w:val="000000"/>
        </w:rPr>
        <w:t>Some trite observations may be necessary to introduce a discussion of the subject. Rights in relation to the (contractual) performance (</w:t>
      </w:r>
      <w:r w:rsidRPr="009F56A1">
        <w:rPr>
          <w:rFonts w:ascii="Arial" w:hAnsi="Arial" w:cs="Arial"/>
          <w:i/>
          <w:iCs/>
          <w:color w:val="000000"/>
        </w:rPr>
        <w:t>obligatio</w:t>
      </w:r>
      <w:r w:rsidRPr="009F56A1">
        <w:rPr>
          <w:rFonts w:ascii="Arial" w:hAnsi="Arial" w:cs="Arial"/>
          <w:color w:val="000000"/>
        </w:rPr>
        <w:t>) of another have since time immemorial been classified as incorporeal. The obligation of the debtor is not property; it is the right (often referred to as the 'action') of the creditor. Obligations can therefore not be attached because they do not form part of the patrimony of the creditor, whereas rights can be attached and do form an asset in the estate of the creditor.</w:t>
      </w:r>
      <w:r w:rsidR="00B73CA4">
        <w:rPr>
          <w:rFonts w:ascii="Arial" w:hAnsi="Arial" w:cs="Arial"/>
          <w:color w:val="000000"/>
        </w:rPr>
        <w:t>”</w:t>
      </w:r>
    </w:p>
    <w:p w14:paraId="76C42CE9" w14:textId="77777777" w:rsidR="00B73CA4" w:rsidRDefault="00B73CA4" w:rsidP="00B73CA4">
      <w:pPr>
        <w:spacing w:after="0" w:line="360" w:lineRule="auto"/>
        <w:ind w:left="562" w:right="562"/>
        <w:jc w:val="both"/>
        <w:rPr>
          <w:rFonts w:ascii="Arial" w:hAnsi="Arial" w:cs="Arial"/>
          <w:color w:val="000000"/>
        </w:rPr>
      </w:pPr>
    </w:p>
    <w:p w14:paraId="5EFBD576" w14:textId="77777777" w:rsidR="009702B9" w:rsidRDefault="009702B9" w:rsidP="00565E18">
      <w:pPr>
        <w:spacing w:after="0" w:line="480" w:lineRule="auto"/>
        <w:jc w:val="both"/>
        <w:rPr>
          <w:rFonts w:ascii="Arial" w:hAnsi="Arial" w:cs="Arial"/>
          <w:sz w:val="24"/>
          <w:szCs w:val="24"/>
        </w:rPr>
      </w:pPr>
    </w:p>
    <w:p w14:paraId="7E390294" w14:textId="77777777" w:rsidR="009702B9" w:rsidRPr="00987BBC" w:rsidRDefault="009702B9" w:rsidP="005F16B4">
      <w:pPr>
        <w:pStyle w:val="ListParagraph"/>
        <w:numPr>
          <w:ilvl w:val="0"/>
          <w:numId w:val="20"/>
        </w:numPr>
        <w:spacing w:after="0" w:line="480" w:lineRule="auto"/>
        <w:ind w:left="0" w:firstLine="0"/>
        <w:jc w:val="both"/>
        <w:rPr>
          <w:rFonts w:ascii="Arial" w:hAnsi="Arial" w:cs="Arial"/>
          <w:sz w:val="24"/>
          <w:szCs w:val="24"/>
        </w:rPr>
      </w:pPr>
      <w:r w:rsidRPr="00987BBC">
        <w:rPr>
          <w:rFonts w:ascii="Arial" w:hAnsi="Arial" w:cs="Arial"/>
          <w:sz w:val="24"/>
          <w:szCs w:val="24"/>
        </w:rPr>
        <w:t>Incorporeal propert</w:t>
      </w:r>
      <w:r w:rsidR="00B113A8">
        <w:rPr>
          <w:rFonts w:ascii="Arial" w:hAnsi="Arial" w:cs="Arial"/>
          <w:sz w:val="24"/>
          <w:szCs w:val="24"/>
        </w:rPr>
        <w:t>y</w:t>
      </w:r>
      <w:r w:rsidRPr="00987BBC">
        <w:rPr>
          <w:rFonts w:ascii="Arial" w:hAnsi="Arial" w:cs="Arial"/>
          <w:sz w:val="24"/>
          <w:szCs w:val="24"/>
        </w:rPr>
        <w:t xml:space="preserve"> was</w:t>
      </w:r>
      <w:r w:rsidR="00317071">
        <w:rPr>
          <w:rFonts w:ascii="Arial" w:hAnsi="Arial" w:cs="Arial"/>
          <w:sz w:val="24"/>
          <w:szCs w:val="24"/>
        </w:rPr>
        <w:t>,</w:t>
      </w:r>
      <w:r w:rsidRPr="00987BBC">
        <w:rPr>
          <w:rFonts w:ascii="Arial" w:hAnsi="Arial" w:cs="Arial"/>
          <w:sz w:val="24"/>
          <w:szCs w:val="24"/>
        </w:rPr>
        <w:t xml:space="preserve"> in common law, classified as movable or immovable.  In </w:t>
      </w:r>
      <w:r w:rsidRPr="00987BBC">
        <w:rPr>
          <w:rFonts w:ascii="Arial" w:hAnsi="Arial" w:cs="Arial"/>
          <w:i/>
          <w:sz w:val="24"/>
          <w:szCs w:val="24"/>
        </w:rPr>
        <w:t>Ex Parte Master of the Supreme Court</w:t>
      </w:r>
      <w:r w:rsidR="00E8633F">
        <w:rPr>
          <w:rStyle w:val="FootnoteReference"/>
          <w:rFonts w:ascii="Arial" w:hAnsi="Arial" w:cs="Arial"/>
          <w:i/>
          <w:sz w:val="24"/>
          <w:szCs w:val="24"/>
        </w:rPr>
        <w:footnoteReference w:id="59"/>
      </w:r>
      <w:r w:rsidRPr="00987BBC">
        <w:rPr>
          <w:rFonts w:ascii="Arial" w:hAnsi="Arial" w:cs="Arial"/>
          <w:sz w:val="24"/>
          <w:szCs w:val="24"/>
        </w:rPr>
        <w:t xml:space="preserve"> Innes CJ, reliant on </w:t>
      </w:r>
      <w:r w:rsidRPr="00987BBC">
        <w:rPr>
          <w:rFonts w:ascii="Arial" w:hAnsi="Arial" w:cs="Arial"/>
          <w:i/>
          <w:sz w:val="24"/>
          <w:szCs w:val="24"/>
        </w:rPr>
        <w:t>Voet,</w:t>
      </w:r>
      <w:r w:rsidR="004431E3">
        <w:rPr>
          <w:rStyle w:val="FootnoteReference"/>
          <w:rFonts w:ascii="Arial" w:hAnsi="Arial" w:cs="Arial"/>
          <w:i/>
          <w:sz w:val="24"/>
          <w:szCs w:val="24"/>
        </w:rPr>
        <w:footnoteReference w:id="60"/>
      </w:r>
      <w:r w:rsidRPr="00987BBC">
        <w:rPr>
          <w:rFonts w:ascii="Arial" w:hAnsi="Arial" w:cs="Arial"/>
          <w:i/>
          <w:sz w:val="24"/>
          <w:szCs w:val="24"/>
        </w:rPr>
        <w:t xml:space="preserve"> </w:t>
      </w:r>
      <w:r w:rsidRPr="00987BBC">
        <w:rPr>
          <w:rFonts w:ascii="Arial" w:hAnsi="Arial" w:cs="Arial"/>
          <w:sz w:val="24"/>
          <w:szCs w:val="24"/>
        </w:rPr>
        <w:t>held that incorporeal rights should, wherever possible, be divided into movable or immovable</w:t>
      </w:r>
      <w:r w:rsidR="00B42DFF" w:rsidRPr="00987BBC">
        <w:rPr>
          <w:rFonts w:ascii="Arial" w:hAnsi="Arial" w:cs="Arial"/>
          <w:sz w:val="24"/>
          <w:szCs w:val="24"/>
        </w:rPr>
        <w:t>s</w:t>
      </w:r>
      <w:r w:rsidRPr="00987BBC">
        <w:rPr>
          <w:rFonts w:ascii="Arial" w:hAnsi="Arial" w:cs="Arial"/>
          <w:sz w:val="24"/>
          <w:szCs w:val="24"/>
        </w:rPr>
        <w:t>.</w:t>
      </w:r>
      <w:r w:rsidR="00E8633F">
        <w:rPr>
          <w:rStyle w:val="FootnoteReference"/>
          <w:rFonts w:ascii="Arial" w:hAnsi="Arial" w:cs="Arial"/>
          <w:sz w:val="24"/>
          <w:szCs w:val="24"/>
        </w:rPr>
        <w:footnoteReference w:id="61"/>
      </w:r>
      <w:r w:rsidRPr="00987BBC">
        <w:rPr>
          <w:rFonts w:ascii="Arial" w:hAnsi="Arial" w:cs="Arial"/>
          <w:sz w:val="24"/>
          <w:szCs w:val="24"/>
        </w:rPr>
        <w:t xml:space="preserve">  The necessity </w:t>
      </w:r>
      <w:r w:rsidR="00B42DFF" w:rsidRPr="00987BBC">
        <w:rPr>
          <w:rFonts w:ascii="Arial" w:hAnsi="Arial" w:cs="Arial"/>
          <w:sz w:val="24"/>
          <w:szCs w:val="24"/>
        </w:rPr>
        <w:t>for such a classification derives</w:t>
      </w:r>
      <w:r w:rsidRPr="00987BBC">
        <w:rPr>
          <w:rFonts w:ascii="Arial" w:hAnsi="Arial" w:cs="Arial"/>
          <w:sz w:val="24"/>
          <w:szCs w:val="24"/>
        </w:rPr>
        <w:t xml:space="preserve"> from the fact that Roman-Dutch law adopted the Roman classification of corporeals and incorporeals</w:t>
      </w:r>
      <w:r w:rsidR="00ED28AC">
        <w:rPr>
          <w:rFonts w:ascii="Arial" w:hAnsi="Arial" w:cs="Arial"/>
          <w:sz w:val="24"/>
          <w:szCs w:val="24"/>
        </w:rPr>
        <w:t>,</w:t>
      </w:r>
      <w:r w:rsidRPr="00987BBC">
        <w:rPr>
          <w:rFonts w:ascii="Arial" w:hAnsi="Arial" w:cs="Arial"/>
          <w:sz w:val="24"/>
          <w:szCs w:val="24"/>
        </w:rPr>
        <w:t xml:space="preserve"> as well as the Germanic distinction between movable and immovable property.</w:t>
      </w:r>
      <w:r w:rsidR="00E8633F">
        <w:rPr>
          <w:rStyle w:val="FootnoteReference"/>
          <w:rFonts w:ascii="Arial" w:hAnsi="Arial" w:cs="Arial"/>
          <w:sz w:val="24"/>
          <w:szCs w:val="24"/>
        </w:rPr>
        <w:footnoteReference w:id="62"/>
      </w:r>
      <w:r w:rsidRPr="00987BBC">
        <w:rPr>
          <w:rFonts w:ascii="Arial" w:hAnsi="Arial" w:cs="Arial"/>
          <w:sz w:val="24"/>
          <w:szCs w:val="24"/>
        </w:rPr>
        <w:t xml:space="preserve">  The practical importance of the distinction between movable and immovable incorporeal property </w:t>
      </w:r>
      <w:r w:rsidR="00987BBC" w:rsidRPr="00987BBC">
        <w:rPr>
          <w:rFonts w:ascii="Arial" w:hAnsi="Arial" w:cs="Arial"/>
          <w:sz w:val="24"/>
          <w:szCs w:val="24"/>
        </w:rPr>
        <w:t xml:space="preserve">in South African law </w:t>
      </w:r>
      <w:r w:rsidRPr="00987BBC">
        <w:rPr>
          <w:rFonts w:ascii="Arial" w:hAnsi="Arial" w:cs="Arial"/>
          <w:sz w:val="24"/>
          <w:szCs w:val="24"/>
        </w:rPr>
        <w:t xml:space="preserve">includes the fact that </w:t>
      </w:r>
      <w:r w:rsidR="00987BBC" w:rsidRPr="00987BBC">
        <w:rPr>
          <w:rFonts w:ascii="Arial" w:hAnsi="Arial" w:cs="Arial"/>
          <w:sz w:val="24"/>
          <w:szCs w:val="24"/>
        </w:rPr>
        <w:t>o</w:t>
      </w:r>
      <w:r w:rsidRPr="00987BBC">
        <w:rPr>
          <w:rFonts w:ascii="Arial" w:hAnsi="Arial" w:cs="Arial"/>
          <w:sz w:val="24"/>
          <w:szCs w:val="24"/>
        </w:rPr>
        <w:t>n attachment in execution, a judgment debtor’s movable property is attached first and, only if it is insufficient to satisfy the judgment debt, can execution be levied against hi</w:t>
      </w:r>
      <w:r w:rsidR="00B113A8">
        <w:rPr>
          <w:rFonts w:ascii="Arial" w:hAnsi="Arial" w:cs="Arial"/>
          <w:sz w:val="24"/>
          <w:szCs w:val="24"/>
        </w:rPr>
        <w:t>s</w:t>
      </w:r>
      <w:r w:rsidRPr="00987BBC">
        <w:rPr>
          <w:rFonts w:ascii="Arial" w:hAnsi="Arial" w:cs="Arial"/>
          <w:sz w:val="24"/>
          <w:szCs w:val="24"/>
        </w:rPr>
        <w:t xml:space="preserve"> or her immovable </w:t>
      </w:r>
      <w:r w:rsidRPr="00987BBC">
        <w:rPr>
          <w:rFonts w:ascii="Arial" w:hAnsi="Arial" w:cs="Arial"/>
          <w:sz w:val="24"/>
          <w:szCs w:val="24"/>
        </w:rPr>
        <w:lastRenderedPageBreak/>
        <w:t>property.</w:t>
      </w:r>
      <w:r w:rsidR="00E8633F">
        <w:rPr>
          <w:rStyle w:val="FootnoteReference"/>
          <w:rFonts w:ascii="Arial" w:hAnsi="Arial" w:cs="Arial"/>
          <w:sz w:val="24"/>
          <w:szCs w:val="24"/>
        </w:rPr>
        <w:footnoteReference w:id="63"/>
      </w:r>
      <w:r w:rsidR="00987BBC" w:rsidRPr="00987BBC">
        <w:rPr>
          <w:rFonts w:ascii="Arial" w:hAnsi="Arial" w:cs="Arial"/>
          <w:sz w:val="24"/>
          <w:szCs w:val="24"/>
        </w:rPr>
        <w:t xml:space="preserve">  </w:t>
      </w:r>
      <w:r w:rsidR="00745AC0" w:rsidRPr="00987BBC">
        <w:rPr>
          <w:rFonts w:ascii="Arial" w:hAnsi="Arial" w:cs="Arial"/>
          <w:sz w:val="24"/>
          <w:szCs w:val="24"/>
        </w:rPr>
        <w:t xml:space="preserve">The right title and interest </w:t>
      </w:r>
      <w:r w:rsidR="00317071">
        <w:rPr>
          <w:rFonts w:ascii="Arial" w:hAnsi="Arial" w:cs="Arial"/>
          <w:sz w:val="24"/>
          <w:szCs w:val="24"/>
        </w:rPr>
        <w:t>in</w:t>
      </w:r>
      <w:r w:rsidR="00745AC0" w:rsidRPr="00987BBC">
        <w:rPr>
          <w:rFonts w:ascii="Arial" w:hAnsi="Arial" w:cs="Arial"/>
          <w:sz w:val="24"/>
          <w:szCs w:val="24"/>
        </w:rPr>
        <w:t xml:space="preserve"> </w:t>
      </w:r>
      <w:r w:rsidR="00745AC0">
        <w:rPr>
          <w:rFonts w:ascii="Arial" w:hAnsi="Arial" w:cs="Arial"/>
          <w:sz w:val="24"/>
          <w:szCs w:val="24"/>
        </w:rPr>
        <w:t xml:space="preserve">a </w:t>
      </w:r>
      <w:r w:rsidR="00745AC0" w:rsidRPr="00987BBC">
        <w:rPr>
          <w:rFonts w:ascii="Arial" w:hAnsi="Arial" w:cs="Arial"/>
          <w:sz w:val="24"/>
          <w:szCs w:val="24"/>
        </w:rPr>
        <w:t xml:space="preserve">credit balance in a bank account is an </w:t>
      </w:r>
      <w:r w:rsidR="00451173" w:rsidRPr="00987BBC">
        <w:rPr>
          <w:rFonts w:ascii="Arial" w:hAnsi="Arial" w:cs="Arial"/>
          <w:sz w:val="24"/>
          <w:szCs w:val="24"/>
        </w:rPr>
        <w:t xml:space="preserve">incorporeal </w:t>
      </w:r>
      <w:r w:rsidR="00451173">
        <w:rPr>
          <w:rFonts w:ascii="Arial" w:hAnsi="Arial" w:cs="Arial"/>
          <w:sz w:val="24"/>
          <w:szCs w:val="24"/>
        </w:rPr>
        <w:t>movable</w:t>
      </w:r>
      <w:r w:rsidR="00745AC0">
        <w:rPr>
          <w:rFonts w:ascii="Arial" w:hAnsi="Arial" w:cs="Arial"/>
          <w:sz w:val="24"/>
          <w:szCs w:val="24"/>
        </w:rPr>
        <w:t xml:space="preserve"> </w:t>
      </w:r>
      <w:r w:rsidR="00745AC0" w:rsidRPr="00987BBC">
        <w:rPr>
          <w:rFonts w:ascii="Arial" w:hAnsi="Arial" w:cs="Arial"/>
          <w:sz w:val="24"/>
          <w:szCs w:val="24"/>
        </w:rPr>
        <w:t>asset</w:t>
      </w:r>
      <w:r w:rsidR="00745AC0">
        <w:rPr>
          <w:rFonts w:ascii="Arial" w:hAnsi="Arial" w:cs="Arial"/>
          <w:sz w:val="24"/>
          <w:szCs w:val="24"/>
        </w:rPr>
        <w:t>,</w:t>
      </w:r>
      <w:r w:rsidR="00745AC0" w:rsidRPr="00987BBC">
        <w:rPr>
          <w:rFonts w:ascii="Arial" w:hAnsi="Arial" w:cs="Arial"/>
          <w:sz w:val="24"/>
          <w:szCs w:val="24"/>
        </w:rPr>
        <w:t xml:space="preserve"> susceptible to attachment.</w:t>
      </w:r>
      <w:r w:rsidR="00745AC0" w:rsidRPr="00987BBC">
        <w:rPr>
          <w:rStyle w:val="FootnoteReference"/>
          <w:rFonts w:ascii="Arial" w:hAnsi="Arial" w:cs="Arial"/>
          <w:sz w:val="24"/>
          <w:szCs w:val="24"/>
        </w:rPr>
        <w:t xml:space="preserve"> </w:t>
      </w:r>
      <w:r w:rsidR="00745AC0">
        <w:rPr>
          <w:rStyle w:val="FootnoteReference"/>
          <w:rFonts w:ascii="Arial" w:hAnsi="Arial" w:cs="Arial"/>
          <w:sz w:val="24"/>
          <w:szCs w:val="24"/>
        </w:rPr>
        <w:footnoteReference w:id="64"/>
      </w:r>
      <w:r w:rsidR="00745AC0" w:rsidRPr="00987BBC">
        <w:rPr>
          <w:rFonts w:ascii="Arial" w:hAnsi="Arial" w:cs="Arial"/>
          <w:sz w:val="24"/>
          <w:szCs w:val="24"/>
        </w:rPr>
        <w:t xml:space="preserve"> </w:t>
      </w:r>
      <w:r w:rsidR="00745AC0">
        <w:rPr>
          <w:rFonts w:ascii="Arial" w:hAnsi="Arial" w:cs="Arial"/>
          <w:sz w:val="24"/>
          <w:szCs w:val="24"/>
        </w:rPr>
        <w:t xml:space="preserve"> </w:t>
      </w:r>
      <w:r w:rsidRPr="00987BBC">
        <w:rPr>
          <w:rFonts w:ascii="Arial" w:hAnsi="Arial" w:cs="Arial"/>
          <w:sz w:val="24"/>
          <w:szCs w:val="24"/>
        </w:rPr>
        <w:t xml:space="preserve">The </w:t>
      </w:r>
      <w:r w:rsidR="00ED28AC">
        <w:rPr>
          <w:rFonts w:ascii="Arial" w:hAnsi="Arial" w:cs="Arial"/>
          <w:sz w:val="24"/>
          <w:szCs w:val="24"/>
        </w:rPr>
        <w:t>l</w:t>
      </w:r>
      <w:r w:rsidRPr="00987BBC">
        <w:rPr>
          <w:rFonts w:ascii="Arial" w:hAnsi="Arial" w:cs="Arial"/>
          <w:sz w:val="24"/>
          <w:szCs w:val="24"/>
        </w:rPr>
        <w:t xml:space="preserve">egislature must accordingly be deemed to have </w:t>
      </w:r>
      <w:r w:rsidR="00987BBC">
        <w:rPr>
          <w:rFonts w:ascii="Arial" w:hAnsi="Arial" w:cs="Arial"/>
          <w:sz w:val="24"/>
          <w:szCs w:val="24"/>
        </w:rPr>
        <w:t>known</w:t>
      </w:r>
      <w:r w:rsidR="00ED28AC">
        <w:rPr>
          <w:rFonts w:ascii="Arial" w:hAnsi="Arial" w:cs="Arial"/>
          <w:sz w:val="24"/>
          <w:szCs w:val="24"/>
        </w:rPr>
        <w:t>,</w:t>
      </w:r>
      <w:r w:rsidR="00987BBC">
        <w:rPr>
          <w:rFonts w:ascii="Arial" w:hAnsi="Arial" w:cs="Arial"/>
          <w:sz w:val="24"/>
          <w:szCs w:val="24"/>
        </w:rPr>
        <w:t xml:space="preserve"> when </w:t>
      </w:r>
      <w:r w:rsidRPr="00987BBC">
        <w:rPr>
          <w:rFonts w:ascii="Arial" w:hAnsi="Arial" w:cs="Arial"/>
          <w:sz w:val="24"/>
          <w:szCs w:val="24"/>
        </w:rPr>
        <w:t xml:space="preserve">the SLA </w:t>
      </w:r>
      <w:r w:rsidR="00987BBC">
        <w:rPr>
          <w:rFonts w:ascii="Arial" w:hAnsi="Arial" w:cs="Arial"/>
          <w:sz w:val="24"/>
          <w:szCs w:val="24"/>
        </w:rPr>
        <w:t xml:space="preserve">was adopted that </w:t>
      </w:r>
      <w:r w:rsidRPr="00987BBC">
        <w:rPr>
          <w:rFonts w:ascii="Arial" w:hAnsi="Arial" w:cs="Arial"/>
          <w:sz w:val="24"/>
          <w:szCs w:val="24"/>
        </w:rPr>
        <w:t>movable assets, generally</w:t>
      </w:r>
      <w:r w:rsidR="00B113A8">
        <w:rPr>
          <w:rFonts w:ascii="Arial" w:hAnsi="Arial" w:cs="Arial"/>
          <w:sz w:val="24"/>
          <w:szCs w:val="24"/>
        </w:rPr>
        <w:t>,</w:t>
      </w:r>
      <w:r w:rsidRPr="00987BBC">
        <w:rPr>
          <w:rFonts w:ascii="Arial" w:hAnsi="Arial" w:cs="Arial"/>
          <w:sz w:val="24"/>
          <w:szCs w:val="24"/>
        </w:rPr>
        <w:t xml:space="preserve"> include incorporeal movable assets</w:t>
      </w:r>
      <w:r w:rsidR="00CF4D90">
        <w:rPr>
          <w:rFonts w:ascii="Arial" w:hAnsi="Arial" w:cs="Arial"/>
          <w:sz w:val="24"/>
          <w:szCs w:val="24"/>
        </w:rPr>
        <w:t>,</w:t>
      </w:r>
      <w:r w:rsidRPr="00987BBC">
        <w:rPr>
          <w:rFonts w:ascii="Arial" w:hAnsi="Arial" w:cs="Arial"/>
          <w:sz w:val="24"/>
          <w:szCs w:val="24"/>
        </w:rPr>
        <w:t xml:space="preserve"> for purposes of execution.</w:t>
      </w:r>
    </w:p>
    <w:p w14:paraId="6C24EB7D" w14:textId="77777777" w:rsidR="009702B9" w:rsidRDefault="009702B9" w:rsidP="005F16B4">
      <w:pPr>
        <w:spacing w:after="0" w:line="480" w:lineRule="auto"/>
        <w:jc w:val="both"/>
        <w:rPr>
          <w:rFonts w:ascii="Arial" w:hAnsi="Arial" w:cs="Arial"/>
          <w:sz w:val="24"/>
          <w:szCs w:val="24"/>
        </w:rPr>
      </w:pPr>
    </w:p>
    <w:p w14:paraId="5F6B00D6" w14:textId="77777777" w:rsidR="009702B9" w:rsidRPr="002C72B1" w:rsidRDefault="009702B9" w:rsidP="005F16B4">
      <w:pPr>
        <w:pStyle w:val="ListParagraph"/>
        <w:numPr>
          <w:ilvl w:val="0"/>
          <w:numId w:val="20"/>
        </w:numPr>
        <w:spacing w:after="0" w:line="480" w:lineRule="auto"/>
        <w:ind w:left="0" w:firstLine="0"/>
        <w:jc w:val="both"/>
        <w:rPr>
          <w:rFonts w:ascii="Arial" w:hAnsi="Arial" w:cs="Arial"/>
          <w:sz w:val="24"/>
          <w:szCs w:val="24"/>
        </w:rPr>
      </w:pPr>
      <w:r w:rsidRPr="002C72B1">
        <w:rPr>
          <w:rFonts w:ascii="Arial" w:hAnsi="Arial" w:cs="Arial"/>
          <w:sz w:val="24"/>
          <w:szCs w:val="24"/>
        </w:rPr>
        <w:t xml:space="preserve">The apparent purpose of the provisions </w:t>
      </w:r>
      <w:r w:rsidR="00B113A8">
        <w:rPr>
          <w:rFonts w:ascii="Arial" w:hAnsi="Arial" w:cs="Arial"/>
          <w:sz w:val="24"/>
          <w:szCs w:val="24"/>
        </w:rPr>
        <w:t>in</w:t>
      </w:r>
      <w:r w:rsidRPr="002C72B1">
        <w:rPr>
          <w:rFonts w:ascii="Arial" w:hAnsi="Arial" w:cs="Arial"/>
          <w:sz w:val="24"/>
          <w:szCs w:val="24"/>
        </w:rPr>
        <w:t xml:space="preserve"> s 3(5), (6) and (7) emerges from the circumstances giving rise to the amendment of the SLA and the incorporation of the amended s 3, in its current form, in 2011.  Prior to the amendment of the SLA</w:t>
      </w:r>
      <w:r w:rsidR="00B113A8">
        <w:rPr>
          <w:rFonts w:ascii="Arial" w:hAnsi="Arial" w:cs="Arial"/>
          <w:sz w:val="24"/>
          <w:szCs w:val="24"/>
        </w:rPr>
        <w:t>,</w:t>
      </w:r>
      <w:r w:rsidRPr="002C72B1">
        <w:rPr>
          <w:rFonts w:ascii="Arial" w:hAnsi="Arial" w:cs="Arial"/>
          <w:sz w:val="24"/>
          <w:szCs w:val="24"/>
        </w:rPr>
        <w:t xml:space="preserve"> </w:t>
      </w:r>
      <w:r w:rsidR="00B113A8">
        <w:rPr>
          <w:rFonts w:ascii="Arial" w:hAnsi="Arial" w:cs="Arial"/>
          <w:sz w:val="24"/>
          <w:szCs w:val="24"/>
        </w:rPr>
        <w:t xml:space="preserve">it </w:t>
      </w:r>
      <w:r w:rsidRPr="002C72B1">
        <w:rPr>
          <w:rFonts w:ascii="Arial" w:hAnsi="Arial" w:cs="Arial"/>
          <w:sz w:val="24"/>
          <w:szCs w:val="24"/>
        </w:rPr>
        <w:t>provided that no execution, attachment or like process was per</w:t>
      </w:r>
      <w:r w:rsidR="009F5C14">
        <w:rPr>
          <w:rFonts w:ascii="Arial" w:hAnsi="Arial" w:cs="Arial"/>
          <w:sz w:val="24"/>
          <w:szCs w:val="24"/>
        </w:rPr>
        <w:t>mitted against property of the s</w:t>
      </w:r>
      <w:r w:rsidRPr="002C72B1">
        <w:rPr>
          <w:rFonts w:ascii="Arial" w:hAnsi="Arial" w:cs="Arial"/>
          <w:sz w:val="24"/>
          <w:szCs w:val="24"/>
        </w:rPr>
        <w:t xml:space="preserve">tate.  In </w:t>
      </w:r>
      <w:r w:rsidRPr="002C72B1">
        <w:rPr>
          <w:rFonts w:ascii="Arial" w:hAnsi="Arial" w:cs="Arial"/>
          <w:i/>
          <w:sz w:val="24"/>
          <w:szCs w:val="24"/>
        </w:rPr>
        <w:t>Nyathi</w:t>
      </w:r>
      <w:r w:rsidR="000D3F91">
        <w:rPr>
          <w:rStyle w:val="FootnoteReference"/>
          <w:rFonts w:ascii="Arial" w:hAnsi="Arial" w:cs="Arial"/>
          <w:i/>
          <w:sz w:val="24"/>
          <w:szCs w:val="24"/>
        </w:rPr>
        <w:footnoteReference w:id="65"/>
      </w:r>
      <w:r w:rsidRPr="002C72B1">
        <w:rPr>
          <w:rFonts w:ascii="Arial" w:hAnsi="Arial" w:cs="Arial"/>
          <w:sz w:val="24"/>
          <w:szCs w:val="24"/>
        </w:rPr>
        <w:t xml:space="preserve"> the Constitutional Court </w:t>
      </w:r>
      <w:r w:rsidR="00CF4D90">
        <w:rPr>
          <w:rFonts w:ascii="Arial" w:hAnsi="Arial" w:cs="Arial"/>
          <w:sz w:val="24"/>
          <w:szCs w:val="24"/>
        </w:rPr>
        <w:t>held</w:t>
      </w:r>
      <w:r w:rsidRPr="002C72B1">
        <w:rPr>
          <w:rFonts w:ascii="Arial" w:hAnsi="Arial" w:cs="Arial"/>
          <w:sz w:val="24"/>
          <w:szCs w:val="24"/>
        </w:rPr>
        <w:t xml:space="preserve"> the provisions of the SLA </w:t>
      </w:r>
      <w:r w:rsidR="00CF4D90">
        <w:rPr>
          <w:rFonts w:ascii="Arial" w:hAnsi="Arial" w:cs="Arial"/>
          <w:sz w:val="24"/>
          <w:szCs w:val="24"/>
        </w:rPr>
        <w:t xml:space="preserve">(in its unamended form) </w:t>
      </w:r>
      <w:r w:rsidRPr="002C72B1">
        <w:rPr>
          <w:rFonts w:ascii="Arial" w:hAnsi="Arial" w:cs="Arial"/>
          <w:sz w:val="24"/>
          <w:szCs w:val="24"/>
        </w:rPr>
        <w:t xml:space="preserve">did not treat judgment creditors as equal before the law.  It emphasized that the effect of sections 8, 34 and 165 of the Constitution, in particular s 165 (5), was that an order issued by a court is binding on all persons to whom, and organs of </w:t>
      </w:r>
      <w:r w:rsidR="009F5C14">
        <w:rPr>
          <w:rFonts w:ascii="Arial" w:hAnsi="Arial" w:cs="Arial"/>
          <w:sz w:val="24"/>
          <w:szCs w:val="24"/>
        </w:rPr>
        <w:t>s</w:t>
      </w:r>
      <w:r w:rsidRPr="002C72B1">
        <w:rPr>
          <w:rFonts w:ascii="Arial" w:hAnsi="Arial" w:cs="Arial"/>
          <w:sz w:val="24"/>
          <w:szCs w:val="24"/>
        </w:rPr>
        <w:t>tate to which, it applies.  The</w:t>
      </w:r>
      <w:r w:rsidR="00CF4D90">
        <w:rPr>
          <w:rFonts w:ascii="Arial" w:hAnsi="Arial" w:cs="Arial"/>
          <w:sz w:val="24"/>
          <w:szCs w:val="24"/>
        </w:rPr>
        <w:t>se</w:t>
      </w:r>
      <w:r w:rsidRPr="002C72B1">
        <w:rPr>
          <w:rFonts w:ascii="Arial" w:hAnsi="Arial" w:cs="Arial"/>
          <w:sz w:val="24"/>
          <w:szCs w:val="24"/>
        </w:rPr>
        <w:t xml:space="preserve"> provisions of the Constitution do not treat </w:t>
      </w:r>
      <w:r w:rsidR="009F5C14">
        <w:rPr>
          <w:rFonts w:ascii="Arial" w:hAnsi="Arial" w:cs="Arial"/>
          <w:sz w:val="24"/>
          <w:szCs w:val="24"/>
        </w:rPr>
        <w:t>s</w:t>
      </w:r>
      <w:r w:rsidRPr="002C72B1">
        <w:rPr>
          <w:rFonts w:ascii="Arial" w:hAnsi="Arial" w:cs="Arial"/>
          <w:sz w:val="24"/>
          <w:szCs w:val="24"/>
        </w:rPr>
        <w:t>tate litigants differently from private litigants.  It held, accordingly, that s 3 of the SLA was unconstitutional because it effectively prevented private litigants from executing effectively on a judgment leg</w:t>
      </w:r>
      <w:r w:rsidR="009F5C14">
        <w:rPr>
          <w:rFonts w:ascii="Arial" w:hAnsi="Arial" w:cs="Arial"/>
          <w:sz w:val="24"/>
          <w:szCs w:val="24"/>
        </w:rPr>
        <w:t>itimately obtained against the s</w:t>
      </w:r>
      <w:r w:rsidRPr="002C72B1">
        <w:rPr>
          <w:rFonts w:ascii="Arial" w:hAnsi="Arial" w:cs="Arial"/>
          <w:sz w:val="24"/>
          <w:szCs w:val="24"/>
        </w:rPr>
        <w:t xml:space="preserve">tate.  The apparent purpose of the amended s 3 is, accordingly, as the heading of the section suggests, to ensure the satisfaction of final court orders </w:t>
      </w:r>
      <w:r w:rsidR="00EF4FF6">
        <w:rPr>
          <w:rFonts w:ascii="Arial" w:hAnsi="Arial" w:cs="Arial"/>
          <w:sz w:val="24"/>
          <w:szCs w:val="24"/>
        </w:rPr>
        <w:t xml:space="preserve">against the state, </w:t>
      </w:r>
      <w:r w:rsidRPr="002C72B1">
        <w:rPr>
          <w:rFonts w:ascii="Arial" w:hAnsi="Arial" w:cs="Arial"/>
          <w:sz w:val="24"/>
          <w:szCs w:val="24"/>
        </w:rPr>
        <w:t>sounding in money.</w:t>
      </w:r>
    </w:p>
    <w:p w14:paraId="270BF746" w14:textId="77777777" w:rsidR="009702B9" w:rsidRDefault="009702B9" w:rsidP="005F16B4">
      <w:pPr>
        <w:spacing w:after="0" w:line="480" w:lineRule="auto"/>
        <w:jc w:val="both"/>
        <w:rPr>
          <w:rFonts w:ascii="Arial" w:hAnsi="Arial" w:cs="Arial"/>
          <w:sz w:val="24"/>
          <w:szCs w:val="24"/>
        </w:rPr>
      </w:pPr>
    </w:p>
    <w:p w14:paraId="1119F0A1" w14:textId="77777777" w:rsidR="00565E18" w:rsidRDefault="009702B9" w:rsidP="005F16B4">
      <w:pPr>
        <w:pStyle w:val="ListParagraph"/>
        <w:numPr>
          <w:ilvl w:val="0"/>
          <w:numId w:val="20"/>
        </w:numPr>
        <w:spacing w:after="0" w:line="480" w:lineRule="auto"/>
        <w:ind w:left="0" w:firstLine="0"/>
        <w:jc w:val="both"/>
        <w:rPr>
          <w:rFonts w:ascii="Arial" w:hAnsi="Arial" w:cs="Arial"/>
          <w:sz w:val="24"/>
          <w:szCs w:val="24"/>
        </w:rPr>
      </w:pPr>
      <w:r w:rsidRPr="00565E18">
        <w:rPr>
          <w:rFonts w:ascii="Arial" w:hAnsi="Arial" w:cs="Arial"/>
          <w:sz w:val="24"/>
          <w:szCs w:val="24"/>
        </w:rPr>
        <w:t xml:space="preserve">The structure of the </w:t>
      </w:r>
      <w:r w:rsidR="00EF4FF6">
        <w:rPr>
          <w:rFonts w:ascii="Arial" w:hAnsi="Arial" w:cs="Arial"/>
          <w:sz w:val="24"/>
          <w:szCs w:val="24"/>
        </w:rPr>
        <w:t>SLA</w:t>
      </w:r>
      <w:r w:rsidR="00CF4D90" w:rsidRPr="00565E18">
        <w:rPr>
          <w:rFonts w:ascii="Arial" w:hAnsi="Arial" w:cs="Arial"/>
          <w:sz w:val="24"/>
          <w:szCs w:val="24"/>
        </w:rPr>
        <w:t>,</w:t>
      </w:r>
      <w:r w:rsidRPr="00565E18">
        <w:rPr>
          <w:rFonts w:ascii="Arial" w:hAnsi="Arial" w:cs="Arial"/>
          <w:sz w:val="24"/>
          <w:szCs w:val="24"/>
        </w:rPr>
        <w:t xml:space="preserve"> and the context in which s 3(6), (7)</w:t>
      </w:r>
      <w:r w:rsidR="009B4AD6" w:rsidRPr="00565E18">
        <w:rPr>
          <w:rFonts w:ascii="Arial" w:hAnsi="Arial" w:cs="Arial"/>
          <w:sz w:val="24"/>
          <w:szCs w:val="24"/>
        </w:rPr>
        <w:t xml:space="preserve"> and (8) appear</w:t>
      </w:r>
      <w:r w:rsidR="00CF4D90" w:rsidRPr="00565E18">
        <w:rPr>
          <w:rFonts w:ascii="Arial" w:hAnsi="Arial" w:cs="Arial"/>
          <w:sz w:val="24"/>
          <w:szCs w:val="24"/>
        </w:rPr>
        <w:t>,</w:t>
      </w:r>
      <w:r w:rsidR="009B4AD6" w:rsidRPr="00565E18">
        <w:rPr>
          <w:rFonts w:ascii="Arial" w:hAnsi="Arial" w:cs="Arial"/>
          <w:sz w:val="24"/>
          <w:szCs w:val="24"/>
        </w:rPr>
        <w:t xml:space="preserve"> has been set out earlier.  The SLA prescribes that a </w:t>
      </w:r>
      <w:r w:rsidR="00CF4D90" w:rsidRPr="00565E18">
        <w:rPr>
          <w:rFonts w:ascii="Arial" w:hAnsi="Arial" w:cs="Arial"/>
          <w:sz w:val="24"/>
          <w:szCs w:val="24"/>
        </w:rPr>
        <w:t>judgment debt</w:t>
      </w:r>
      <w:r w:rsidR="009B4AD6" w:rsidRPr="00565E18">
        <w:rPr>
          <w:rFonts w:ascii="Arial" w:hAnsi="Arial" w:cs="Arial"/>
          <w:sz w:val="24"/>
          <w:szCs w:val="24"/>
        </w:rPr>
        <w:t xml:space="preserve"> must be paid from the appropriated budget of the relevant depa</w:t>
      </w:r>
      <w:r w:rsidR="00CF4D90" w:rsidRPr="00565E18">
        <w:rPr>
          <w:rFonts w:ascii="Arial" w:hAnsi="Arial" w:cs="Arial"/>
          <w:sz w:val="24"/>
          <w:szCs w:val="24"/>
        </w:rPr>
        <w:t>rtment, which</w:t>
      </w:r>
      <w:r w:rsidR="009B4AD6" w:rsidRPr="00565E18">
        <w:rPr>
          <w:rFonts w:ascii="Arial" w:hAnsi="Arial" w:cs="Arial"/>
          <w:sz w:val="24"/>
          <w:szCs w:val="24"/>
        </w:rPr>
        <w:t>, as I have said</w:t>
      </w:r>
      <w:r w:rsidR="00CF4D90" w:rsidRPr="00565E18">
        <w:rPr>
          <w:rFonts w:ascii="Arial" w:hAnsi="Arial" w:cs="Arial"/>
          <w:sz w:val="24"/>
          <w:szCs w:val="24"/>
        </w:rPr>
        <w:t>,</w:t>
      </w:r>
      <w:r w:rsidR="009B4AD6" w:rsidRPr="00565E18">
        <w:rPr>
          <w:rFonts w:ascii="Arial" w:hAnsi="Arial" w:cs="Arial"/>
          <w:sz w:val="24"/>
          <w:szCs w:val="24"/>
        </w:rPr>
        <w:t xml:space="preserve"> </w:t>
      </w:r>
      <w:r w:rsidR="00CF4D90" w:rsidRPr="00565E18">
        <w:rPr>
          <w:rFonts w:ascii="Arial" w:hAnsi="Arial" w:cs="Arial"/>
          <w:sz w:val="24"/>
          <w:szCs w:val="24"/>
        </w:rPr>
        <w:t>is</w:t>
      </w:r>
      <w:r w:rsidR="009B4AD6" w:rsidRPr="00565E18">
        <w:rPr>
          <w:rFonts w:ascii="Arial" w:hAnsi="Arial" w:cs="Arial"/>
          <w:sz w:val="24"/>
          <w:szCs w:val="24"/>
        </w:rPr>
        <w:t xml:space="preserve"> held in </w:t>
      </w:r>
      <w:r w:rsidR="009B4AD6" w:rsidRPr="00565E18">
        <w:rPr>
          <w:rFonts w:ascii="Arial" w:hAnsi="Arial" w:cs="Arial"/>
          <w:sz w:val="24"/>
          <w:szCs w:val="24"/>
        </w:rPr>
        <w:lastRenderedPageBreak/>
        <w:t>the PMG account of the ECDOH</w:t>
      </w:r>
      <w:r w:rsidR="00CF4D90" w:rsidRPr="00565E18">
        <w:rPr>
          <w:rFonts w:ascii="Arial" w:hAnsi="Arial" w:cs="Arial"/>
          <w:sz w:val="24"/>
          <w:szCs w:val="24"/>
        </w:rPr>
        <w:t>.  Where</w:t>
      </w:r>
      <w:r w:rsidR="009B4AD6" w:rsidRPr="00565E18">
        <w:rPr>
          <w:rFonts w:ascii="Arial" w:hAnsi="Arial" w:cs="Arial"/>
          <w:sz w:val="24"/>
          <w:szCs w:val="24"/>
        </w:rPr>
        <w:t xml:space="preserve"> both the accounting officer of the ECDOH and treasur</w:t>
      </w:r>
      <w:r w:rsidR="00B113A8">
        <w:rPr>
          <w:rFonts w:ascii="Arial" w:hAnsi="Arial" w:cs="Arial"/>
          <w:sz w:val="24"/>
          <w:szCs w:val="24"/>
        </w:rPr>
        <w:t>y</w:t>
      </w:r>
      <w:r w:rsidR="009B4AD6" w:rsidRPr="00565E18">
        <w:rPr>
          <w:rFonts w:ascii="Arial" w:hAnsi="Arial" w:cs="Arial"/>
          <w:sz w:val="24"/>
          <w:szCs w:val="24"/>
        </w:rPr>
        <w:t xml:space="preserve"> have failed to comply with their obligations in terms of the SLA</w:t>
      </w:r>
      <w:r w:rsidR="00CF4D90" w:rsidRPr="00565E18">
        <w:rPr>
          <w:rFonts w:ascii="Arial" w:hAnsi="Arial" w:cs="Arial"/>
          <w:sz w:val="24"/>
          <w:szCs w:val="24"/>
        </w:rPr>
        <w:t>,</w:t>
      </w:r>
      <w:r w:rsidR="009B4AD6" w:rsidRPr="00565E18">
        <w:rPr>
          <w:rFonts w:ascii="Arial" w:hAnsi="Arial" w:cs="Arial"/>
          <w:sz w:val="24"/>
          <w:szCs w:val="24"/>
        </w:rPr>
        <w:t xml:space="preserve"> s 3(6)</w:t>
      </w:r>
      <w:r w:rsidR="00EF4FF6">
        <w:rPr>
          <w:rFonts w:ascii="Arial" w:hAnsi="Arial" w:cs="Arial"/>
          <w:sz w:val="24"/>
          <w:szCs w:val="24"/>
        </w:rPr>
        <w:t xml:space="preserve"> to </w:t>
      </w:r>
      <w:r w:rsidR="009B4AD6" w:rsidRPr="00565E18">
        <w:rPr>
          <w:rFonts w:ascii="Arial" w:hAnsi="Arial" w:cs="Arial"/>
          <w:sz w:val="24"/>
          <w:szCs w:val="24"/>
        </w:rPr>
        <w:t xml:space="preserve">(9) provides for the attachment and sale in execution of movable property.  Failing agreement on the movable property </w:t>
      </w:r>
      <w:r w:rsidR="00B113A8">
        <w:rPr>
          <w:rFonts w:ascii="Arial" w:hAnsi="Arial" w:cs="Arial"/>
          <w:sz w:val="24"/>
          <w:szCs w:val="24"/>
        </w:rPr>
        <w:t xml:space="preserve">which may not be attached </w:t>
      </w:r>
      <w:r w:rsidR="009B4AD6" w:rsidRPr="00565E18">
        <w:rPr>
          <w:rFonts w:ascii="Arial" w:hAnsi="Arial" w:cs="Arial"/>
          <w:sz w:val="24"/>
          <w:szCs w:val="24"/>
        </w:rPr>
        <w:t>the she</w:t>
      </w:r>
      <w:r w:rsidR="00CE06B8">
        <w:rPr>
          <w:rFonts w:ascii="Arial" w:hAnsi="Arial" w:cs="Arial"/>
          <w:sz w:val="24"/>
          <w:szCs w:val="24"/>
        </w:rPr>
        <w:t>riff is authoris</w:t>
      </w:r>
      <w:r w:rsidR="009B4AD6" w:rsidRPr="00565E18">
        <w:rPr>
          <w:rFonts w:ascii="Arial" w:hAnsi="Arial" w:cs="Arial"/>
          <w:sz w:val="24"/>
          <w:szCs w:val="24"/>
        </w:rPr>
        <w:t xml:space="preserve">ed to attach “any movable property”.  Adopting the approach to the interpretation of statutes set out in </w:t>
      </w:r>
      <w:r w:rsidR="009B4AD6" w:rsidRPr="00565E18">
        <w:rPr>
          <w:rFonts w:ascii="Arial" w:hAnsi="Arial" w:cs="Arial"/>
          <w:i/>
          <w:sz w:val="24"/>
          <w:szCs w:val="24"/>
        </w:rPr>
        <w:t>Endumeni</w:t>
      </w:r>
      <w:r w:rsidR="00EF4FF6">
        <w:rPr>
          <w:rFonts w:ascii="Arial" w:hAnsi="Arial" w:cs="Arial"/>
          <w:sz w:val="24"/>
          <w:szCs w:val="24"/>
        </w:rPr>
        <w:t>,</w:t>
      </w:r>
      <w:r w:rsidR="009B4AD6" w:rsidRPr="00565E18">
        <w:rPr>
          <w:rFonts w:ascii="Arial" w:hAnsi="Arial" w:cs="Arial"/>
          <w:sz w:val="24"/>
          <w:szCs w:val="24"/>
        </w:rPr>
        <w:t xml:space="preserve"> and viewing these provisions </w:t>
      </w:r>
      <w:r w:rsidR="0079561A">
        <w:rPr>
          <w:rFonts w:ascii="Arial" w:hAnsi="Arial" w:cs="Arial"/>
          <w:sz w:val="24"/>
          <w:szCs w:val="24"/>
        </w:rPr>
        <w:t xml:space="preserve">against the backdrop of </w:t>
      </w:r>
      <w:r w:rsidR="0079561A" w:rsidRPr="0079561A">
        <w:rPr>
          <w:rFonts w:ascii="Arial" w:hAnsi="Arial" w:cs="Arial"/>
          <w:i/>
          <w:sz w:val="24"/>
          <w:szCs w:val="24"/>
        </w:rPr>
        <w:t>Nyathi</w:t>
      </w:r>
      <w:r w:rsidR="0079561A">
        <w:rPr>
          <w:rFonts w:ascii="Arial" w:hAnsi="Arial" w:cs="Arial"/>
          <w:sz w:val="24"/>
          <w:szCs w:val="24"/>
        </w:rPr>
        <w:t xml:space="preserve">, and </w:t>
      </w:r>
      <w:r w:rsidR="009B4AD6" w:rsidRPr="0079561A">
        <w:rPr>
          <w:rFonts w:ascii="Arial" w:hAnsi="Arial" w:cs="Arial"/>
          <w:sz w:val="24"/>
          <w:szCs w:val="24"/>
        </w:rPr>
        <w:t>in</w:t>
      </w:r>
      <w:r w:rsidR="009B4AD6" w:rsidRPr="00565E18">
        <w:rPr>
          <w:rFonts w:ascii="Arial" w:hAnsi="Arial" w:cs="Arial"/>
          <w:sz w:val="24"/>
          <w:szCs w:val="24"/>
        </w:rPr>
        <w:t xml:space="preserve"> the context</w:t>
      </w:r>
      <w:r w:rsidR="00CF4D90" w:rsidRPr="00565E18">
        <w:rPr>
          <w:rFonts w:ascii="Arial" w:hAnsi="Arial" w:cs="Arial"/>
          <w:sz w:val="24"/>
          <w:szCs w:val="24"/>
        </w:rPr>
        <w:t xml:space="preserve"> in which they appear in the </w:t>
      </w:r>
      <w:r w:rsidR="00EF4FF6">
        <w:rPr>
          <w:rFonts w:ascii="Arial" w:hAnsi="Arial" w:cs="Arial"/>
          <w:sz w:val="24"/>
          <w:szCs w:val="24"/>
        </w:rPr>
        <w:t>SLA</w:t>
      </w:r>
      <w:r w:rsidR="00CF4D90" w:rsidRPr="00565E18">
        <w:rPr>
          <w:rFonts w:ascii="Arial" w:hAnsi="Arial" w:cs="Arial"/>
          <w:sz w:val="24"/>
          <w:szCs w:val="24"/>
        </w:rPr>
        <w:t>,</w:t>
      </w:r>
      <w:r w:rsidR="009B4AD6" w:rsidRPr="00565E18">
        <w:rPr>
          <w:rFonts w:ascii="Arial" w:hAnsi="Arial" w:cs="Arial"/>
          <w:sz w:val="24"/>
          <w:szCs w:val="24"/>
        </w:rPr>
        <w:t xml:space="preserve"> it </w:t>
      </w:r>
      <w:r w:rsidR="00EF4FF6">
        <w:rPr>
          <w:rFonts w:ascii="Arial" w:hAnsi="Arial" w:cs="Arial"/>
          <w:sz w:val="24"/>
          <w:szCs w:val="24"/>
        </w:rPr>
        <w:t xml:space="preserve">would </w:t>
      </w:r>
      <w:r w:rsidR="00CF4D90" w:rsidRPr="00565E18">
        <w:rPr>
          <w:rFonts w:ascii="Arial" w:hAnsi="Arial" w:cs="Arial"/>
          <w:sz w:val="24"/>
          <w:szCs w:val="24"/>
        </w:rPr>
        <w:t xml:space="preserve">be </w:t>
      </w:r>
      <w:r w:rsidR="009B4AD6" w:rsidRPr="00565E18">
        <w:rPr>
          <w:rFonts w:ascii="Arial" w:hAnsi="Arial" w:cs="Arial"/>
          <w:sz w:val="24"/>
          <w:szCs w:val="24"/>
        </w:rPr>
        <w:t xml:space="preserve">inimical to the structure of the </w:t>
      </w:r>
      <w:r w:rsidR="00EF4FF6">
        <w:rPr>
          <w:rFonts w:ascii="Arial" w:hAnsi="Arial" w:cs="Arial"/>
          <w:sz w:val="24"/>
          <w:szCs w:val="24"/>
        </w:rPr>
        <w:t>SLA</w:t>
      </w:r>
      <w:r w:rsidR="009B4AD6" w:rsidRPr="00565E18">
        <w:rPr>
          <w:rFonts w:ascii="Arial" w:hAnsi="Arial" w:cs="Arial"/>
          <w:sz w:val="24"/>
          <w:szCs w:val="24"/>
        </w:rPr>
        <w:t xml:space="preserve"> to exclude the single asset</w:t>
      </w:r>
      <w:r w:rsidR="00EF4FF6">
        <w:rPr>
          <w:rFonts w:ascii="Arial" w:hAnsi="Arial" w:cs="Arial"/>
          <w:sz w:val="24"/>
          <w:szCs w:val="24"/>
        </w:rPr>
        <w:t>,</w:t>
      </w:r>
      <w:r w:rsidR="009B4AD6" w:rsidRPr="00565E18">
        <w:rPr>
          <w:rFonts w:ascii="Arial" w:hAnsi="Arial" w:cs="Arial"/>
          <w:sz w:val="24"/>
          <w:szCs w:val="24"/>
        </w:rPr>
        <w:t xml:space="preserve"> which has been specifically identified in the SLA as the source from which the debt is to be paid</w:t>
      </w:r>
      <w:r w:rsidR="00CF4D90" w:rsidRPr="00565E18">
        <w:rPr>
          <w:rFonts w:ascii="Arial" w:hAnsi="Arial" w:cs="Arial"/>
          <w:sz w:val="24"/>
          <w:szCs w:val="24"/>
        </w:rPr>
        <w:t xml:space="preserve">, from the movable property that is available for </w:t>
      </w:r>
      <w:r w:rsidR="00565E18" w:rsidRPr="00565E18">
        <w:rPr>
          <w:rFonts w:ascii="Arial" w:hAnsi="Arial" w:cs="Arial"/>
          <w:sz w:val="24"/>
          <w:szCs w:val="24"/>
        </w:rPr>
        <w:t>attachment</w:t>
      </w:r>
      <w:r w:rsidR="009B4AD6" w:rsidRPr="00565E18">
        <w:rPr>
          <w:rFonts w:ascii="Arial" w:hAnsi="Arial" w:cs="Arial"/>
          <w:sz w:val="24"/>
          <w:szCs w:val="24"/>
        </w:rPr>
        <w:t xml:space="preserve">.  For these reasons I am unpersuaded that the </w:t>
      </w:r>
      <w:r w:rsidR="00CF4D90" w:rsidRPr="00565E18">
        <w:rPr>
          <w:rFonts w:ascii="Arial" w:hAnsi="Arial" w:cs="Arial"/>
          <w:sz w:val="24"/>
          <w:szCs w:val="24"/>
        </w:rPr>
        <w:t>full court was</w:t>
      </w:r>
      <w:r w:rsidR="009B4AD6" w:rsidRPr="00565E18">
        <w:rPr>
          <w:rFonts w:ascii="Arial" w:hAnsi="Arial" w:cs="Arial"/>
          <w:sz w:val="24"/>
          <w:szCs w:val="24"/>
        </w:rPr>
        <w:t xml:space="preserve"> “clearly wrong” in </w:t>
      </w:r>
      <w:r w:rsidR="009B4AD6" w:rsidRPr="00565E18">
        <w:rPr>
          <w:rFonts w:ascii="Arial" w:hAnsi="Arial" w:cs="Arial"/>
          <w:i/>
          <w:sz w:val="24"/>
          <w:szCs w:val="24"/>
        </w:rPr>
        <w:t>Ikamva</w:t>
      </w:r>
      <w:r w:rsidR="009B4AD6" w:rsidRPr="00565E18">
        <w:rPr>
          <w:rFonts w:ascii="Arial" w:hAnsi="Arial" w:cs="Arial"/>
          <w:sz w:val="24"/>
          <w:szCs w:val="24"/>
        </w:rPr>
        <w:t>.  On the contrary, I consider that they were correct.</w:t>
      </w:r>
    </w:p>
    <w:p w14:paraId="2B310CCF" w14:textId="77777777" w:rsidR="00565E18" w:rsidRDefault="00565E18" w:rsidP="005F16B4">
      <w:pPr>
        <w:pStyle w:val="ListParagraph"/>
        <w:spacing w:after="0" w:line="480" w:lineRule="auto"/>
        <w:ind w:left="0"/>
        <w:jc w:val="both"/>
        <w:rPr>
          <w:rFonts w:ascii="Arial" w:hAnsi="Arial" w:cs="Arial"/>
          <w:sz w:val="24"/>
          <w:szCs w:val="24"/>
        </w:rPr>
      </w:pPr>
    </w:p>
    <w:p w14:paraId="13C51D25" w14:textId="77777777" w:rsidR="009702B9" w:rsidRDefault="00565E18" w:rsidP="005F16B4">
      <w:pPr>
        <w:pStyle w:val="ListParagraph"/>
        <w:numPr>
          <w:ilvl w:val="0"/>
          <w:numId w:val="20"/>
        </w:numPr>
        <w:spacing w:after="0" w:line="480" w:lineRule="auto"/>
        <w:ind w:left="0" w:firstLine="0"/>
        <w:jc w:val="both"/>
        <w:rPr>
          <w:rFonts w:ascii="Arial" w:hAnsi="Arial" w:cs="Arial"/>
          <w:sz w:val="24"/>
          <w:szCs w:val="24"/>
        </w:rPr>
      </w:pPr>
      <w:r w:rsidRPr="00565E18">
        <w:rPr>
          <w:rFonts w:ascii="Arial" w:hAnsi="Arial" w:cs="Arial"/>
          <w:sz w:val="24"/>
          <w:szCs w:val="24"/>
        </w:rPr>
        <w:t xml:space="preserve">I do not understand the judgment in </w:t>
      </w:r>
      <w:r w:rsidRPr="00565E18">
        <w:rPr>
          <w:rFonts w:ascii="Arial" w:hAnsi="Arial" w:cs="Arial"/>
          <w:i/>
          <w:iCs/>
          <w:sz w:val="24"/>
          <w:szCs w:val="24"/>
        </w:rPr>
        <w:t>Ikamva</w:t>
      </w:r>
      <w:r w:rsidRPr="00565E18">
        <w:rPr>
          <w:rFonts w:ascii="Arial" w:hAnsi="Arial" w:cs="Arial"/>
          <w:sz w:val="24"/>
          <w:szCs w:val="24"/>
        </w:rPr>
        <w:t xml:space="preserve"> to mean that the full court had recourse to rule 45(8) to interpret the provisions of the SLA.  Rather, having ascertained the meaning of the SLA, it noted that s 3(9) provided for the application of the rules of court and that rule 45(8) permits the attachment of money held in a bank account.  Even if I err in my understanding of the judgment, for the reasons set out earlier, I am not persuaded that the conclusion reached in </w:t>
      </w:r>
      <w:r w:rsidRPr="00565E18">
        <w:rPr>
          <w:rFonts w:ascii="Arial" w:hAnsi="Arial" w:cs="Arial"/>
          <w:i/>
          <w:iCs/>
          <w:sz w:val="24"/>
          <w:szCs w:val="24"/>
        </w:rPr>
        <w:t>Ikamva</w:t>
      </w:r>
      <w:r w:rsidRPr="00565E18">
        <w:rPr>
          <w:rFonts w:ascii="Arial" w:hAnsi="Arial" w:cs="Arial"/>
          <w:sz w:val="24"/>
          <w:szCs w:val="24"/>
        </w:rPr>
        <w:t xml:space="preserve"> is wrong.  The declaratory relief sought can therefore not be sustained.</w:t>
      </w:r>
    </w:p>
    <w:p w14:paraId="0BFBD3E9" w14:textId="77777777" w:rsidR="00CB662F" w:rsidRPr="00CB662F" w:rsidRDefault="00CB662F" w:rsidP="005F16B4">
      <w:pPr>
        <w:pStyle w:val="ListParagraph"/>
        <w:spacing w:after="0" w:line="480" w:lineRule="auto"/>
        <w:ind w:left="0"/>
        <w:jc w:val="both"/>
        <w:rPr>
          <w:rFonts w:ascii="Arial" w:hAnsi="Arial" w:cs="Arial"/>
          <w:sz w:val="24"/>
          <w:szCs w:val="24"/>
        </w:rPr>
      </w:pPr>
    </w:p>
    <w:p w14:paraId="56FD3F5A" w14:textId="77777777" w:rsidR="00CB662F" w:rsidRDefault="00773C8E" w:rsidP="005F16B4">
      <w:pPr>
        <w:spacing w:after="0" w:line="480" w:lineRule="auto"/>
        <w:jc w:val="both"/>
        <w:rPr>
          <w:rFonts w:ascii="Arial" w:hAnsi="Arial" w:cs="Arial"/>
          <w:sz w:val="24"/>
          <w:szCs w:val="24"/>
          <w:u w:val="single"/>
        </w:rPr>
      </w:pPr>
      <w:r>
        <w:rPr>
          <w:rFonts w:ascii="Arial" w:hAnsi="Arial" w:cs="Arial"/>
          <w:sz w:val="24"/>
          <w:szCs w:val="24"/>
          <w:u w:val="single"/>
        </w:rPr>
        <w:t>Cause of Financial predicament</w:t>
      </w:r>
    </w:p>
    <w:p w14:paraId="4C7431E4" w14:textId="77777777" w:rsidR="00A0249D" w:rsidRDefault="00B113A8" w:rsidP="005F16B4">
      <w:pPr>
        <w:pStyle w:val="ListParagraph"/>
        <w:numPr>
          <w:ilvl w:val="0"/>
          <w:numId w:val="20"/>
        </w:numPr>
        <w:spacing w:after="0" w:line="480" w:lineRule="auto"/>
        <w:ind w:left="0" w:firstLine="0"/>
        <w:jc w:val="both"/>
        <w:rPr>
          <w:rFonts w:ascii="Arial" w:hAnsi="Arial" w:cs="Arial"/>
          <w:sz w:val="24"/>
          <w:szCs w:val="24"/>
        </w:rPr>
      </w:pPr>
      <w:r>
        <w:rPr>
          <w:rFonts w:ascii="Arial" w:hAnsi="Arial" w:cs="Arial"/>
          <w:sz w:val="24"/>
          <w:szCs w:val="24"/>
        </w:rPr>
        <w:t xml:space="preserve">I revert to the applicants’ financial embarrassment.  </w:t>
      </w:r>
      <w:r w:rsidR="00773C8E" w:rsidRPr="00650154">
        <w:rPr>
          <w:rFonts w:ascii="Arial" w:hAnsi="Arial" w:cs="Arial"/>
          <w:sz w:val="24"/>
          <w:szCs w:val="24"/>
        </w:rPr>
        <w:t>As adumbrated earlier</w:t>
      </w:r>
      <w:r>
        <w:rPr>
          <w:rFonts w:ascii="Arial" w:hAnsi="Arial" w:cs="Arial"/>
          <w:sz w:val="24"/>
          <w:szCs w:val="24"/>
        </w:rPr>
        <w:t>,</w:t>
      </w:r>
      <w:r w:rsidR="00773C8E" w:rsidRPr="00650154">
        <w:rPr>
          <w:rFonts w:ascii="Arial" w:hAnsi="Arial" w:cs="Arial"/>
          <w:sz w:val="24"/>
          <w:szCs w:val="24"/>
        </w:rPr>
        <w:t xml:space="preserve"> </w:t>
      </w:r>
      <w:r>
        <w:rPr>
          <w:rFonts w:ascii="Arial" w:hAnsi="Arial" w:cs="Arial"/>
          <w:sz w:val="24"/>
          <w:szCs w:val="24"/>
        </w:rPr>
        <w:t xml:space="preserve">they </w:t>
      </w:r>
      <w:r w:rsidR="00773C8E" w:rsidRPr="00650154">
        <w:rPr>
          <w:rFonts w:ascii="Arial" w:hAnsi="Arial" w:cs="Arial"/>
          <w:sz w:val="24"/>
          <w:szCs w:val="24"/>
        </w:rPr>
        <w:t xml:space="preserve">ascribe their financial woes to medico-legal claims, which undeniably have escalated dramatically, not only in the Eastern Cape, but throughout the country.  It is indeed </w:t>
      </w:r>
      <w:r w:rsidR="00773C8E" w:rsidRPr="00650154">
        <w:rPr>
          <w:rFonts w:ascii="Arial" w:hAnsi="Arial" w:cs="Arial"/>
          <w:sz w:val="24"/>
          <w:szCs w:val="24"/>
        </w:rPr>
        <w:lastRenderedPageBreak/>
        <w:t>cause for concern and, as I shall show later, the Constitutional Court has foreshadowed the possible development of our law to ameliorate the effect thereof on the fiscus and public health care.</w:t>
      </w:r>
    </w:p>
    <w:p w14:paraId="20AADBA3" w14:textId="77777777" w:rsidR="00A0249D" w:rsidRDefault="00A0249D" w:rsidP="005F16B4">
      <w:pPr>
        <w:pStyle w:val="ListParagraph"/>
        <w:spacing w:after="0" w:line="480" w:lineRule="auto"/>
        <w:ind w:left="0"/>
        <w:jc w:val="both"/>
        <w:rPr>
          <w:rFonts w:ascii="Arial" w:hAnsi="Arial" w:cs="Arial"/>
          <w:sz w:val="24"/>
          <w:szCs w:val="24"/>
        </w:rPr>
      </w:pPr>
    </w:p>
    <w:p w14:paraId="55B8AD97" w14:textId="272741ED" w:rsidR="00A0249D" w:rsidRDefault="00650154" w:rsidP="005F16B4">
      <w:pPr>
        <w:pStyle w:val="ListParagraph"/>
        <w:numPr>
          <w:ilvl w:val="0"/>
          <w:numId w:val="20"/>
        </w:numPr>
        <w:spacing w:after="0" w:line="480" w:lineRule="auto"/>
        <w:ind w:left="0" w:firstLine="0"/>
        <w:jc w:val="both"/>
        <w:rPr>
          <w:rFonts w:ascii="Arial" w:hAnsi="Arial" w:cs="Arial"/>
          <w:sz w:val="24"/>
          <w:szCs w:val="24"/>
        </w:rPr>
      </w:pPr>
      <w:r w:rsidRPr="00A0249D">
        <w:rPr>
          <w:rFonts w:ascii="Arial" w:hAnsi="Arial" w:cs="Arial"/>
          <w:sz w:val="24"/>
          <w:szCs w:val="24"/>
        </w:rPr>
        <w:t xml:space="preserve">The applicants acknowledge that the difficulty should </w:t>
      </w:r>
      <w:r w:rsidR="00EF4FF6">
        <w:rPr>
          <w:rFonts w:ascii="Arial" w:hAnsi="Arial" w:cs="Arial"/>
          <w:sz w:val="24"/>
          <w:szCs w:val="24"/>
        </w:rPr>
        <w:t xml:space="preserve">preferably </w:t>
      </w:r>
      <w:r w:rsidRPr="00A0249D">
        <w:rPr>
          <w:rFonts w:ascii="Arial" w:hAnsi="Arial" w:cs="Arial"/>
          <w:sz w:val="24"/>
          <w:szCs w:val="24"/>
        </w:rPr>
        <w:t xml:space="preserve">be resolved by legislation, but they contend that they cannot be expected to wait for </w:t>
      </w:r>
      <w:r w:rsidR="00EF4FF6">
        <w:rPr>
          <w:rFonts w:ascii="Arial" w:hAnsi="Arial" w:cs="Arial"/>
          <w:sz w:val="24"/>
          <w:szCs w:val="24"/>
        </w:rPr>
        <w:t>g</w:t>
      </w:r>
      <w:r w:rsidRPr="00A0249D">
        <w:rPr>
          <w:rFonts w:ascii="Arial" w:hAnsi="Arial" w:cs="Arial"/>
          <w:sz w:val="24"/>
          <w:szCs w:val="24"/>
        </w:rPr>
        <w:t>overnment to legislate</w:t>
      </w:r>
      <w:r w:rsidR="00317071">
        <w:rPr>
          <w:rFonts w:ascii="Arial" w:hAnsi="Arial" w:cs="Arial"/>
          <w:sz w:val="24"/>
          <w:szCs w:val="24"/>
        </w:rPr>
        <w:t xml:space="preserve"> given</w:t>
      </w:r>
      <w:r w:rsidR="00734795">
        <w:rPr>
          <w:rFonts w:ascii="Arial" w:hAnsi="Arial" w:cs="Arial"/>
          <w:sz w:val="24"/>
          <w:szCs w:val="24"/>
        </w:rPr>
        <w:t xml:space="preserve"> </w:t>
      </w:r>
      <w:r w:rsidRPr="00A0249D">
        <w:rPr>
          <w:rFonts w:ascii="Arial" w:hAnsi="Arial" w:cs="Arial"/>
          <w:sz w:val="24"/>
          <w:szCs w:val="24"/>
        </w:rPr>
        <w:t>the</w:t>
      </w:r>
      <w:r w:rsidR="00B113A8">
        <w:rPr>
          <w:rFonts w:ascii="Arial" w:hAnsi="Arial" w:cs="Arial"/>
          <w:sz w:val="24"/>
          <w:szCs w:val="24"/>
        </w:rPr>
        <w:t>ir</w:t>
      </w:r>
      <w:r w:rsidRPr="00A0249D">
        <w:rPr>
          <w:rFonts w:ascii="Arial" w:hAnsi="Arial" w:cs="Arial"/>
          <w:sz w:val="24"/>
          <w:szCs w:val="24"/>
        </w:rPr>
        <w:t xml:space="preserve"> prevailing predicament.  They attribute their current embarrassment to numerous factors, including:  the “excessive” litigation against the ECDOH; unscrupulous and dishonest attorneys; the incompetent and under resourced </w:t>
      </w:r>
      <w:r w:rsidR="009F5C14">
        <w:rPr>
          <w:rFonts w:ascii="Arial" w:hAnsi="Arial" w:cs="Arial"/>
          <w:sz w:val="24"/>
          <w:szCs w:val="24"/>
        </w:rPr>
        <w:t>s</w:t>
      </w:r>
      <w:r w:rsidRPr="00A0249D">
        <w:rPr>
          <w:rFonts w:ascii="Arial" w:hAnsi="Arial" w:cs="Arial"/>
          <w:sz w:val="24"/>
          <w:szCs w:val="24"/>
        </w:rPr>
        <w:t xml:space="preserve">tate </w:t>
      </w:r>
      <w:r w:rsidR="009F5C14">
        <w:rPr>
          <w:rFonts w:ascii="Arial" w:hAnsi="Arial" w:cs="Arial"/>
          <w:sz w:val="24"/>
          <w:szCs w:val="24"/>
        </w:rPr>
        <w:t>a</w:t>
      </w:r>
      <w:r w:rsidRPr="00A0249D">
        <w:rPr>
          <w:rFonts w:ascii="Arial" w:hAnsi="Arial" w:cs="Arial"/>
          <w:sz w:val="24"/>
          <w:szCs w:val="24"/>
        </w:rPr>
        <w:t xml:space="preserve">ttorney, particularly </w:t>
      </w:r>
      <w:r w:rsidR="00EF4FF6">
        <w:rPr>
          <w:rFonts w:ascii="Arial" w:hAnsi="Arial" w:cs="Arial"/>
          <w:sz w:val="24"/>
          <w:szCs w:val="24"/>
        </w:rPr>
        <w:t xml:space="preserve">in </w:t>
      </w:r>
      <w:r w:rsidRPr="00A0249D">
        <w:rPr>
          <w:rFonts w:ascii="Arial" w:hAnsi="Arial" w:cs="Arial"/>
          <w:sz w:val="24"/>
          <w:szCs w:val="24"/>
        </w:rPr>
        <w:t xml:space="preserve">the Mthatha office, who </w:t>
      </w:r>
      <w:r w:rsidR="00B113A8">
        <w:rPr>
          <w:rFonts w:ascii="Arial" w:hAnsi="Arial" w:cs="Arial"/>
          <w:sz w:val="24"/>
          <w:szCs w:val="24"/>
        </w:rPr>
        <w:t>is</w:t>
      </w:r>
      <w:r w:rsidRPr="00A0249D">
        <w:rPr>
          <w:rFonts w:ascii="Arial" w:hAnsi="Arial" w:cs="Arial"/>
          <w:sz w:val="24"/>
          <w:szCs w:val="24"/>
        </w:rPr>
        <w:t xml:space="preserve"> unable to provide effective legal advice </w:t>
      </w:r>
      <w:r w:rsidR="00EF4FF6">
        <w:rPr>
          <w:rFonts w:ascii="Arial" w:hAnsi="Arial" w:cs="Arial"/>
          <w:sz w:val="24"/>
          <w:szCs w:val="24"/>
        </w:rPr>
        <w:t>or</w:t>
      </w:r>
      <w:r w:rsidRPr="00A0249D">
        <w:rPr>
          <w:rFonts w:ascii="Arial" w:hAnsi="Arial" w:cs="Arial"/>
          <w:sz w:val="24"/>
          <w:szCs w:val="24"/>
        </w:rPr>
        <w:t xml:space="preserve"> representation; awards which have over-compensated plaintiff</w:t>
      </w:r>
      <w:r w:rsidR="00EF4FF6">
        <w:rPr>
          <w:rFonts w:ascii="Arial" w:hAnsi="Arial" w:cs="Arial"/>
          <w:sz w:val="24"/>
          <w:szCs w:val="24"/>
        </w:rPr>
        <w:t>s</w:t>
      </w:r>
      <w:r w:rsidRPr="00A0249D">
        <w:rPr>
          <w:rFonts w:ascii="Arial" w:hAnsi="Arial" w:cs="Arial"/>
          <w:sz w:val="24"/>
          <w:szCs w:val="24"/>
        </w:rPr>
        <w:t xml:space="preserve"> in</w:t>
      </w:r>
      <w:r w:rsidR="00EF4FF6">
        <w:rPr>
          <w:rFonts w:ascii="Arial" w:hAnsi="Arial" w:cs="Arial"/>
          <w:sz w:val="24"/>
          <w:szCs w:val="24"/>
        </w:rPr>
        <w:t xml:space="preserve"> medico-legal matters; and the n</w:t>
      </w:r>
      <w:r w:rsidRPr="00A0249D">
        <w:rPr>
          <w:rFonts w:ascii="Arial" w:hAnsi="Arial" w:cs="Arial"/>
          <w:sz w:val="24"/>
          <w:szCs w:val="24"/>
        </w:rPr>
        <w:t xml:space="preserve">ational </w:t>
      </w:r>
      <w:r w:rsidR="00EF4FF6">
        <w:rPr>
          <w:rFonts w:ascii="Arial" w:hAnsi="Arial" w:cs="Arial"/>
          <w:sz w:val="24"/>
          <w:szCs w:val="24"/>
        </w:rPr>
        <w:t>g</w:t>
      </w:r>
      <w:r w:rsidRPr="00A0249D">
        <w:rPr>
          <w:rFonts w:ascii="Arial" w:hAnsi="Arial" w:cs="Arial"/>
          <w:sz w:val="24"/>
          <w:szCs w:val="24"/>
        </w:rPr>
        <w:t>overnment</w:t>
      </w:r>
      <w:r w:rsidR="00EF4FF6">
        <w:rPr>
          <w:rFonts w:ascii="Arial" w:hAnsi="Arial" w:cs="Arial"/>
          <w:sz w:val="24"/>
          <w:szCs w:val="24"/>
        </w:rPr>
        <w:t>, which has</w:t>
      </w:r>
      <w:r w:rsidRPr="00A0249D">
        <w:rPr>
          <w:rFonts w:ascii="Arial" w:hAnsi="Arial" w:cs="Arial"/>
          <w:sz w:val="24"/>
          <w:szCs w:val="24"/>
        </w:rPr>
        <w:t xml:space="preserve"> failed to heed their call for legislative measures.  </w:t>
      </w:r>
    </w:p>
    <w:p w14:paraId="28E86E98" w14:textId="77777777" w:rsidR="00A0249D" w:rsidRPr="00A0249D" w:rsidRDefault="00A0249D" w:rsidP="005F16B4">
      <w:pPr>
        <w:pStyle w:val="ListParagraph"/>
        <w:spacing w:after="0" w:line="480" w:lineRule="auto"/>
        <w:ind w:left="0"/>
        <w:jc w:val="both"/>
        <w:rPr>
          <w:rFonts w:ascii="Arial" w:hAnsi="Arial" w:cs="Arial"/>
          <w:sz w:val="24"/>
          <w:szCs w:val="24"/>
        </w:rPr>
      </w:pPr>
    </w:p>
    <w:p w14:paraId="77E796E8" w14:textId="77777777" w:rsidR="00A0249D" w:rsidRDefault="00650154" w:rsidP="005F16B4">
      <w:pPr>
        <w:pStyle w:val="ListParagraph"/>
        <w:numPr>
          <w:ilvl w:val="0"/>
          <w:numId w:val="20"/>
        </w:numPr>
        <w:spacing w:after="0" w:line="480" w:lineRule="auto"/>
        <w:ind w:left="0" w:firstLine="0"/>
        <w:jc w:val="both"/>
        <w:rPr>
          <w:rFonts w:ascii="Arial" w:hAnsi="Arial" w:cs="Arial"/>
          <w:sz w:val="24"/>
          <w:szCs w:val="24"/>
        </w:rPr>
      </w:pPr>
      <w:r w:rsidRPr="00A0249D">
        <w:rPr>
          <w:rFonts w:ascii="Arial" w:hAnsi="Arial" w:cs="Arial"/>
          <w:sz w:val="24"/>
          <w:szCs w:val="24"/>
        </w:rPr>
        <w:t>The respondents, on the other hand, have attributed the ECDOH’s financial embarrassment to corruption, “state capture” and mismanagement.</w:t>
      </w:r>
    </w:p>
    <w:p w14:paraId="0A952C62" w14:textId="77777777" w:rsidR="00A0249D" w:rsidRDefault="00A0249D" w:rsidP="005F16B4">
      <w:pPr>
        <w:pStyle w:val="ListParagraph"/>
        <w:spacing w:after="0" w:line="480" w:lineRule="auto"/>
        <w:ind w:left="0"/>
        <w:jc w:val="both"/>
        <w:rPr>
          <w:rFonts w:ascii="Arial" w:hAnsi="Arial" w:cs="Arial"/>
          <w:sz w:val="24"/>
          <w:szCs w:val="24"/>
        </w:rPr>
      </w:pPr>
    </w:p>
    <w:p w14:paraId="17D466DF" w14:textId="77777777" w:rsidR="00A0249D" w:rsidRDefault="00650154" w:rsidP="005F16B4">
      <w:pPr>
        <w:pStyle w:val="ListParagraph"/>
        <w:numPr>
          <w:ilvl w:val="0"/>
          <w:numId w:val="20"/>
        </w:numPr>
        <w:spacing w:after="0" w:line="480" w:lineRule="auto"/>
        <w:ind w:left="0" w:firstLine="0"/>
        <w:jc w:val="both"/>
        <w:rPr>
          <w:rFonts w:ascii="Arial" w:hAnsi="Arial" w:cs="Arial"/>
          <w:sz w:val="24"/>
          <w:szCs w:val="24"/>
        </w:rPr>
      </w:pPr>
      <w:r w:rsidRPr="00A0249D">
        <w:rPr>
          <w:rFonts w:ascii="Arial" w:hAnsi="Arial" w:cs="Arial"/>
          <w:sz w:val="24"/>
          <w:szCs w:val="24"/>
        </w:rPr>
        <w:t xml:space="preserve">The </w:t>
      </w:r>
      <w:r w:rsidR="009F5C14">
        <w:rPr>
          <w:rFonts w:ascii="Arial" w:hAnsi="Arial" w:cs="Arial"/>
          <w:sz w:val="24"/>
          <w:szCs w:val="24"/>
        </w:rPr>
        <w:t>s</w:t>
      </w:r>
      <w:r w:rsidRPr="00A0249D">
        <w:rPr>
          <w:rFonts w:ascii="Arial" w:hAnsi="Arial" w:cs="Arial"/>
          <w:sz w:val="24"/>
          <w:szCs w:val="24"/>
        </w:rPr>
        <w:t xml:space="preserve">tate </w:t>
      </w:r>
      <w:r w:rsidR="009F5C14">
        <w:rPr>
          <w:rFonts w:ascii="Arial" w:hAnsi="Arial" w:cs="Arial"/>
          <w:sz w:val="24"/>
          <w:szCs w:val="24"/>
        </w:rPr>
        <w:t>a</w:t>
      </w:r>
      <w:r w:rsidRPr="00A0249D">
        <w:rPr>
          <w:rFonts w:ascii="Arial" w:hAnsi="Arial" w:cs="Arial"/>
          <w:sz w:val="24"/>
          <w:szCs w:val="24"/>
        </w:rPr>
        <w:t>ttorney is not a party before us and it is not appropriate for me to make findings in respect of their conduct whe</w:t>
      </w:r>
      <w:r w:rsidR="00B113A8">
        <w:rPr>
          <w:rFonts w:ascii="Arial" w:hAnsi="Arial" w:cs="Arial"/>
          <w:sz w:val="24"/>
          <w:szCs w:val="24"/>
        </w:rPr>
        <w:t>n</w:t>
      </w:r>
      <w:r w:rsidRPr="00A0249D">
        <w:rPr>
          <w:rFonts w:ascii="Arial" w:hAnsi="Arial" w:cs="Arial"/>
          <w:sz w:val="24"/>
          <w:szCs w:val="24"/>
        </w:rPr>
        <w:t xml:space="preserve"> they have not had the opportunity to be heard.  The election to legislate, or not to legislate, is a matter for </w:t>
      </w:r>
      <w:r w:rsidR="00EF4FF6">
        <w:rPr>
          <w:rFonts w:ascii="Arial" w:hAnsi="Arial" w:cs="Arial"/>
          <w:sz w:val="24"/>
          <w:szCs w:val="24"/>
        </w:rPr>
        <w:t>p</w:t>
      </w:r>
      <w:r w:rsidRPr="00A0249D">
        <w:rPr>
          <w:rFonts w:ascii="Arial" w:hAnsi="Arial" w:cs="Arial"/>
          <w:sz w:val="24"/>
          <w:szCs w:val="24"/>
        </w:rPr>
        <w:t>arliament</w:t>
      </w:r>
      <w:r w:rsidR="00EF4FF6">
        <w:rPr>
          <w:rFonts w:ascii="Arial" w:hAnsi="Arial" w:cs="Arial"/>
          <w:sz w:val="24"/>
          <w:szCs w:val="24"/>
        </w:rPr>
        <w:t>,</w:t>
      </w:r>
      <w:r w:rsidRPr="00A0249D">
        <w:rPr>
          <w:rFonts w:ascii="Arial" w:hAnsi="Arial" w:cs="Arial"/>
          <w:sz w:val="24"/>
          <w:szCs w:val="24"/>
        </w:rPr>
        <w:t xml:space="preserve"> not the courts.  </w:t>
      </w:r>
      <w:r w:rsidR="00EF4FF6">
        <w:rPr>
          <w:rFonts w:ascii="Arial" w:hAnsi="Arial" w:cs="Arial"/>
          <w:sz w:val="24"/>
          <w:szCs w:val="24"/>
        </w:rPr>
        <w:t xml:space="preserve">As I have said, neither </w:t>
      </w:r>
      <w:r w:rsidRPr="00A0249D">
        <w:rPr>
          <w:rFonts w:ascii="Arial" w:hAnsi="Arial" w:cs="Arial"/>
          <w:sz w:val="24"/>
          <w:szCs w:val="24"/>
        </w:rPr>
        <w:t>the fairness of the awards to the plaintiff respondents</w:t>
      </w:r>
      <w:r w:rsidR="008360B2">
        <w:rPr>
          <w:rFonts w:ascii="Arial" w:hAnsi="Arial" w:cs="Arial"/>
          <w:sz w:val="24"/>
          <w:szCs w:val="24"/>
        </w:rPr>
        <w:t>,</w:t>
      </w:r>
      <w:r w:rsidRPr="00A0249D">
        <w:rPr>
          <w:rFonts w:ascii="Arial" w:hAnsi="Arial" w:cs="Arial"/>
          <w:sz w:val="24"/>
          <w:szCs w:val="24"/>
        </w:rPr>
        <w:t xml:space="preserve"> nor the conduct of their attorneys</w:t>
      </w:r>
      <w:r w:rsidR="008360B2">
        <w:rPr>
          <w:rFonts w:ascii="Arial" w:hAnsi="Arial" w:cs="Arial"/>
          <w:sz w:val="24"/>
          <w:szCs w:val="24"/>
        </w:rPr>
        <w:t>,</w:t>
      </w:r>
      <w:r w:rsidRPr="00A0249D">
        <w:rPr>
          <w:rFonts w:ascii="Arial" w:hAnsi="Arial" w:cs="Arial"/>
          <w:sz w:val="24"/>
          <w:szCs w:val="24"/>
        </w:rPr>
        <w:t xml:space="preserve"> are in issue in the application.  </w:t>
      </w:r>
      <w:r w:rsidR="008360B2">
        <w:rPr>
          <w:rFonts w:ascii="Arial" w:hAnsi="Arial" w:cs="Arial"/>
          <w:sz w:val="24"/>
          <w:szCs w:val="24"/>
        </w:rPr>
        <w:t>T</w:t>
      </w:r>
      <w:r w:rsidRPr="00A0249D">
        <w:rPr>
          <w:rFonts w:ascii="Arial" w:hAnsi="Arial" w:cs="Arial"/>
          <w:sz w:val="24"/>
          <w:szCs w:val="24"/>
        </w:rPr>
        <w:t xml:space="preserve">he applicants accept the validity of all the judgments, and most resulted from settlement agreements.  There is no attack on the judgments.  There is also no evidence in the </w:t>
      </w:r>
      <w:r w:rsidRPr="00A0249D">
        <w:rPr>
          <w:rFonts w:ascii="Arial" w:hAnsi="Arial" w:cs="Arial"/>
          <w:sz w:val="24"/>
          <w:szCs w:val="24"/>
        </w:rPr>
        <w:lastRenderedPageBreak/>
        <w:t>papers to justify the sweeping suggestions of corruption or state capture and I do not intend to address these issues any further.</w:t>
      </w:r>
    </w:p>
    <w:p w14:paraId="4A7B467D" w14:textId="77777777" w:rsidR="00A0249D" w:rsidRPr="00A0249D" w:rsidRDefault="00A0249D" w:rsidP="005F16B4">
      <w:pPr>
        <w:pStyle w:val="ListParagraph"/>
        <w:spacing w:after="0" w:line="480" w:lineRule="auto"/>
        <w:ind w:left="0"/>
        <w:jc w:val="both"/>
        <w:rPr>
          <w:rFonts w:ascii="Arial" w:hAnsi="Arial" w:cs="Arial"/>
          <w:sz w:val="24"/>
          <w:szCs w:val="24"/>
        </w:rPr>
      </w:pPr>
    </w:p>
    <w:p w14:paraId="764BFC34" w14:textId="77777777" w:rsidR="00A0249D" w:rsidRPr="00A0249D" w:rsidRDefault="00A0249D" w:rsidP="005F16B4">
      <w:pPr>
        <w:pStyle w:val="ListParagraph"/>
        <w:numPr>
          <w:ilvl w:val="0"/>
          <w:numId w:val="20"/>
        </w:numPr>
        <w:spacing w:after="0" w:line="480" w:lineRule="auto"/>
        <w:ind w:left="0" w:firstLine="0"/>
        <w:jc w:val="both"/>
        <w:rPr>
          <w:rFonts w:ascii="Arial" w:hAnsi="Arial" w:cs="Arial"/>
          <w:sz w:val="24"/>
          <w:szCs w:val="24"/>
        </w:rPr>
      </w:pPr>
      <w:r w:rsidRPr="00A0249D">
        <w:rPr>
          <w:rFonts w:ascii="Arial" w:hAnsi="Arial" w:cs="Arial"/>
          <w:sz w:val="24"/>
          <w:szCs w:val="24"/>
        </w:rPr>
        <w:t xml:space="preserve">Whilst the applicants firmly denied any suggestions of mismanagement, on their own version, the </w:t>
      </w:r>
      <w:r w:rsidR="008360B2">
        <w:rPr>
          <w:rFonts w:ascii="Arial" w:hAnsi="Arial" w:cs="Arial"/>
          <w:sz w:val="24"/>
          <w:szCs w:val="24"/>
        </w:rPr>
        <w:t xml:space="preserve">fiscal </w:t>
      </w:r>
      <w:r w:rsidRPr="00A0249D">
        <w:rPr>
          <w:rFonts w:ascii="Arial" w:hAnsi="Arial" w:cs="Arial"/>
          <w:sz w:val="24"/>
          <w:szCs w:val="24"/>
        </w:rPr>
        <w:t>management of the ECDOH, and, indeed</w:t>
      </w:r>
      <w:r w:rsidR="008360B2">
        <w:rPr>
          <w:rFonts w:ascii="Arial" w:hAnsi="Arial" w:cs="Arial"/>
          <w:sz w:val="24"/>
          <w:szCs w:val="24"/>
        </w:rPr>
        <w:t xml:space="preserve"> of treasury</w:t>
      </w:r>
      <w:r w:rsidRPr="00A0249D">
        <w:rPr>
          <w:rFonts w:ascii="Arial" w:hAnsi="Arial" w:cs="Arial"/>
          <w:sz w:val="24"/>
          <w:szCs w:val="24"/>
        </w:rPr>
        <w:t>, is cause for grave concern.</w:t>
      </w:r>
    </w:p>
    <w:p w14:paraId="5C174C14" w14:textId="77777777" w:rsidR="00773C8E" w:rsidRPr="00773C8E" w:rsidRDefault="00773C8E" w:rsidP="005F16B4">
      <w:pPr>
        <w:spacing w:after="0" w:line="480" w:lineRule="auto"/>
        <w:jc w:val="both"/>
        <w:rPr>
          <w:rFonts w:ascii="Arial" w:hAnsi="Arial" w:cs="Arial"/>
          <w:sz w:val="24"/>
          <w:szCs w:val="24"/>
        </w:rPr>
      </w:pPr>
    </w:p>
    <w:p w14:paraId="04CE7868" w14:textId="77777777" w:rsidR="009A2CEA" w:rsidRDefault="008360B2" w:rsidP="005F16B4">
      <w:pPr>
        <w:pStyle w:val="ListParagraph"/>
        <w:numPr>
          <w:ilvl w:val="0"/>
          <w:numId w:val="20"/>
        </w:numPr>
        <w:tabs>
          <w:tab w:val="left" w:pos="0"/>
        </w:tabs>
        <w:spacing w:after="0" w:line="480" w:lineRule="auto"/>
        <w:ind w:left="0" w:firstLine="0"/>
        <w:jc w:val="both"/>
        <w:rPr>
          <w:rFonts w:ascii="Arial" w:hAnsi="Arial" w:cs="Arial"/>
          <w:sz w:val="24"/>
          <w:szCs w:val="24"/>
        </w:rPr>
      </w:pPr>
      <w:r>
        <w:rPr>
          <w:rFonts w:ascii="Arial" w:hAnsi="Arial" w:cs="Arial"/>
          <w:sz w:val="24"/>
          <w:szCs w:val="24"/>
        </w:rPr>
        <w:t>The HOD for t</w:t>
      </w:r>
      <w:r w:rsidR="00CB662F" w:rsidRPr="007E5BB9">
        <w:rPr>
          <w:rFonts w:ascii="Arial" w:hAnsi="Arial" w:cs="Arial"/>
          <w:sz w:val="24"/>
          <w:szCs w:val="24"/>
        </w:rPr>
        <w:t xml:space="preserve">reasury explained that the ECDOH is allocated a budget annually for its various programs.  </w:t>
      </w:r>
      <w:r w:rsidR="00B10EBE" w:rsidRPr="007E5BB9">
        <w:rPr>
          <w:rFonts w:ascii="Arial" w:hAnsi="Arial" w:cs="Arial"/>
          <w:sz w:val="24"/>
          <w:szCs w:val="24"/>
        </w:rPr>
        <w:t>However, the ECDOH has instead</w:t>
      </w:r>
      <w:r w:rsidR="00317071">
        <w:rPr>
          <w:rFonts w:ascii="Arial" w:hAnsi="Arial" w:cs="Arial"/>
          <w:sz w:val="24"/>
          <w:szCs w:val="24"/>
        </w:rPr>
        <w:t>,</w:t>
      </w:r>
      <w:r w:rsidR="00B10EBE" w:rsidRPr="007E5BB9">
        <w:rPr>
          <w:rFonts w:ascii="Arial" w:hAnsi="Arial" w:cs="Arial"/>
          <w:sz w:val="24"/>
          <w:szCs w:val="24"/>
        </w:rPr>
        <w:t xml:space="preserve"> been spending an ever increasing portion of its allocated annual budget on the settlement of medico</w:t>
      </w:r>
      <w:r w:rsidR="0099710F">
        <w:rPr>
          <w:rFonts w:ascii="Arial" w:hAnsi="Arial" w:cs="Arial"/>
          <w:sz w:val="24"/>
          <w:szCs w:val="24"/>
        </w:rPr>
        <w:t>-</w:t>
      </w:r>
      <w:r w:rsidR="00B10EBE" w:rsidRPr="007E5BB9">
        <w:rPr>
          <w:rFonts w:ascii="Arial" w:hAnsi="Arial" w:cs="Arial"/>
          <w:sz w:val="24"/>
          <w:szCs w:val="24"/>
        </w:rPr>
        <w:t>legal claims</w:t>
      </w:r>
      <w:r w:rsidR="00237B6E">
        <w:rPr>
          <w:rFonts w:ascii="Arial" w:hAnsi="Arial" w:cs="Arial"/>
          <w:sz w:val="24"/>
          <w:szCs w:val="24"/>
        </w:rPr>
        <w:t>,</w:t>
      </w:r>
      <w:r w:rsidR="00B10EBE" w:rsidRPr="007E5BB9">
        <w:rPr>
          <w:rFonts w:ascii="Arial" w:hAnsi="Arial" w:cs="Arial"/>
          <w:sz w:val="24"/>
          <w:szCs w:val="24"/>
        </w:rPr>
        <w:t xml:space="preserve"> which has </w:t>
      </w:r>
      <w:r w:rsidR="00D40345">
        <w:rPr>
          <w:rFonts w:ascii="Arial" w:hAnsi="Arial" w:cs="Arial"/>
          <w:sz w:val="24"/>
          <w:szCs w:val="24"/>
        </w:rPr>
        <w:t xml:space="preserve">had </w:t>
      </w:r>
      <w:r w:rsidR="00B10EBE" w:rsidRPr="007E5BB9">
        <w:rPr>
          <w:rFonts w:ascii="Arial" w:hAnsi="Arial" w:cs="Arial"/>
          <w:sz w:val="24"/>
          <w:szCs w:val="24"/>
        </w:rPr>
        <w:t>the result of funds being shifted from other service delivery budget items in order to pay these claims</w:t>
      </w:r>
      <w:r w:rsidR="00237B6E">
        <w:rPr>
          <w:rFonts w:ascii="Arial" w:hAnsi="Arial" w:cs="Arial"/>
          <w:sz w:val="24"/>
          <w:szCs w:val="24"/>
        </w:rPr>
        <w:t>,</w:t>
      </w:r>
      <w:r w:rsidR="00B10EBE" w:rsidRPr="007E5BB9">
        <w:rPr>
          <w:rFonts w:ascii="Arial" w:hAnsi="Arial" w:cs="Arial"/>
          <w:sz w:val="24"/>
          <w:szCs w:val="24"/>
        </w:rPr>
        <w:t xml:space="preserve"> </w:t>
      </w:r>
      <w:r w:rsidR="00D40345">
        <w:rPr>
          <w:rFonts w:ascii="Arial" w:hAnsi="Arial" w:cs="Arial"/>
          <w:sz w:val="24"/>
          <w:szCs w:val="24"/>
        </w:rPr>
        <w:t>that</w:t>
      </w:r>
      <w:r w:rsidR="00B10EBE" w:rsidRPr="007E5BB9">
        <w:rPr>
          <w:rFonts w:ascii="Arial" w:hAnsi="Arial" w:cs="Arial"/>
          <w:sz w:val="24"/>
          <w:szCs w:val="24"/>
        </w:rPr>
        <w:t xml:space="preserve"> are unbudgeted and unfunded.  He proceeded to contend that the ECDOH is not permitted to budget for these payments as they are not categorised as health service delivery related items (in terms of s 27 of the Constitution) and they need to be legitimised by the SCOPA processes.  </w:t>
      </w:r>
      <w:r w:rsidR="00B10EBE" w:rsidRPr="009A2CEA">
        <w:rPr>
          <w:rFonts w:ascii="Arial" w:hAnsi="Arial" w:cs="Arial"/>
          <w:sz w:val="24"/>
          <w:szCs w:val="24"/>
        </w:rPr>
        <w:t>He said that the E</w:t>
      </w:r>
      <w:r w:rsidR="0099710F" w:rsidRPr="009A2CEA">
        <w:rPr>
          <w:rFonts w:ascii="Arial" w:hAnsi="Arial" w:cs="Arial"/>
          <w:sz w:val="24"/>
          <w:szCs w:val="24"/>
        </w:rPr>
        <w:t>CDOH does not budget for medico-</w:t>
      </w:r>
      <w:r w:rsidR="00B10EBE" w:rsidRPr="009A2CEA">
        <w:rPr>
          <w:rFonts w:ascii="Arial" w:hAnsi="Arial" w:cs="Arial"/>
          <w:sz w:val="24"/>
          <w:szCs w:val="24"/>
        </w:rPr>
        <w:t xml:space="preserve">legal claims on the instructions of </w:t>
      </w:r>
      <w:r w:rsidRPr="009A2CEA">
        <w:rPr>
          <w:rFonts w:ascii="Arial" w:hAnsi="Arial" w:cs="Arial"/>
          <w:sz w:val="24"/>
          <w:szCs w:val="24"/>
        </w:rPr>
        <w:t>t</w:t>
      </w:r>
      <w:r w:rsidR="00B10EBE" w:rsidRPr="009A2CEA">
        <w:rPr>
          <w:rFonts w:ascii="Arial" w:hAnsi="Arial" w:cs="Arial"/>
          <w:sz w:val="24"/>
          <w:szCs w:val="24"/>
        </w:rPr>
        <w:t>reasury.  They preferred a consequence management approach</w:t>
      </w:r>
      <w:r w:rsidR="00237B6E" w:rsidRPr="009A2CEA">
        <w:rPr>
          <w:rFonts w:ascii="Arial" w:hAnsi="Arial" w:cs="Arial"/>
          <w:sz w:val="24"/>
          <w:szCs w:val="24"/>
        </w:rPr>
        <w:t xml:space="preserve">. </w:t>
      </w:r>
    </w:p>
    <w:p w14:paraId="62A2A143" w14:textId="77777777" w:rsidR="009A2CEA" w:rsidRPr="009A2CEA" w:rsidRDefault="009A2CEA" w:rsidP="005F16B4">
      <w:pPr>
        <w:pStyle w:val="ListParagraph"/>
        <w:spacing w:after="0" w:line="480" w:lineRule="auto"/>
        <w:ind w:left="0"/>
        <w:jc w:val="both"/>
        <w:rPr>
          <w:rFonts w:ascii="Arial" w:hAnsi="Arial" w:cs="Arial"/>
          <w:sz w:val="24"/>
          <w:szCs w:val="24"/>
        </w:rPr>
      </w:pPr>
    </w:p>
    <w:p w14:paraId="14116621" w14:textId="77777777" w:rsidR="00477B2D" w:rsidRPr="009A2CEA" w:rsidRDefault="009A2CEA" w:rsidP="005F16B4">
      <w:pPr>
        <w:pStyle w:val="ListParagraph"/>
        <w:numPr>
          <w:ilvl w:val="0"/>
          <w:numId w:val="20"/>
        </w:numPr>
        <w:tabs>
          <w:tab w:val="left" w:pos="0"/>
        </w:tabs>
        <w:spacing w:after="0" w:line="480" w:lineRule="auto"/>
        <w:ind w:left="0" w:firstLine="0"/>
        <w:jc w:val="both"/>
        <w:rPr>
          <w:rFonts w:ascii="Arial" w:hAnsi="Arial" w:cs="Arial"/>
          <w:sz w:val="24"/>
          <w:szCs w:val="24"/>
        </w:rPr>
      </w:pPr>
      <w:r w:rsidRPr="009A2CEA">
        <w:rPr>
          <w:rFonts w:ascii="Arial" w:hAnsi="Arial" w:cs="Arial"/>
          <w:sz w:val="24"/>
          <w:szCs w:val="24"/>
        </w:rPr>
        <w:t>As a direct result of the conscious decision not to budget for these claims</w:t>
      </w:r>
      <w:r w:rsidR="007832D8">
        <w:rPr>
          <w:rFonts w:ascii="Arial" w:hAnsi="Arial" w:cs="Arial"/>
          <w:sz w:val="24"/>
          <w:szCs w:val="24"/>
        </w:rPr>
        <w:t>,</w:t>
      </w:r>
      <w:r w:rsidRPr="009A2CEA">
        <w:rPr>
          <w:rFonts w:ascii="Arial" w:hAnsi="Arial" w:cs="Arial"/>
          <w:sz w:val="24"/>
          <w:szCs w:val="24"/>
        </w:rPr>
        <w:t xml:space="preserve"> any payment of a judgment debt constitutes an unauthorised expenditure in terms of the PFMA.</w:t>
      </w:r>
      <w:r>
        <w:rPr>
          <w:rStyle w:val="FootnoteReference"/>
          <w:rFonts w:ascii="Arial" w:hAnsi="Arial" w:cs="Arial"/>
          <w:sz w:val="24"/>
          <w:szCs w:val="24"/>
        </w:rPr>
        <w:footnoteReference w:id="66"/>
      </w:r>
      <w:r w:rsidRPr="009A2CEA">
        <w:rPr>
          <w:rFonts w:ascii="Arial" w:hAnsi="Arial" w:cs="Arial"/>
          <w:sz w:val="24"/>
          <w:szCs w:val="24"/>
        </w:rPr>
        <w:t xml:space="preserve">  </w:t>
      </w:r>
      <w:r w:rsidR="00477B2D" w:rsidRPr="009A2CEA">
        <w:rPr>
          <w:rFonts w:ascii="Arial" w:hAnsi="Arial" w:cs="Arial"/>
          <w:sz w:val="24"/>
          <w:szCs w:val="24"/>
        </w:rPr>
        <w:t xml:space="preserve">In his consolidated general report on national and provincial outcomes:  </w:t>
      </w:r>
      <w:r w:rsidR="008213CC" w:rsidRPr="009A2CEA">
        <w:rPr>
          <w:rFonts w:ascii="Arial" w:hAnsi="Arial" w:cs="Arial"/>
          <w:sz w:val="24"/>
          <w:szCs w:val="24"/>
        </w:rPr>
        <w:t>PFMA</w:t>
      </w:r>
      <w:r w:rsidR="00477B2D" w:rsidRPr="009A2CEA">
        <w:rPr>
          <w:rFonts w:ascii="Arial" w:hAnsi="Arial" w:cs="Arial"/>
          <w:sz w:val="24"/>
          <w:szCs w:val="24"/>
        </w:rPr>
        <w:t xml:space="preserve"> 2019/2020</w:t>
      </w:r>
      <w:r w:rsidR="00317071">
        <w:rPr>
          <w:rFonts w:ascii="Arial" w:hAnsi="Arial" w:cs="Arial"/>
          <w:sz w:val="24"/>
          <w:szCs w:val="24"/>
        </w:rPr>
        <w:t>,</w:t>
      </w:r>
      <w:r w:rsidR="00477B2D" w:rsidRPr="009A2CEA">
        <w:rPr>
          <w:rFonts w:ascii="Arial" w:hAnsi="Arial" w:cs="Arial"/>
          <w:sz w:val="24"/>
          <w:szCs w:val="24"/>
        </w:rPr>
        <w:t xml:space="preserve"> the A</w:t>
      </w:r>
      <w:r w:rsidR="008F0026" w:rsidRPr="009A2CEA">
        <w:rPr>
          <w:rFonts w:ascii="Arial" w:hAnsi="Arial" w:cs="Arial"/>
          <w:sz w:val="24"/>
          <w:szCs w:val="24"/>
        </w:rPr>
        <w:t>uditor-</w:t>
      </w:r>
      <w:r w:rsidR="00477B2D" w:rsidRPr="009A2CEA">
        <w:rPr>
          <w:rFonts w:ascii="Arial" w:hAnsi="Arial" w:cs="Arial"/>
          <w:sz w:val="24"/>
          <w:szCs w:val="24"/>
        </w:rPr>
        <w:t>General reported:</w:t>
      </w:r>
    </w:p>
    <w:p w14:paraId="7A87AAD8" w14:textId="77777777" w:rsidR="00477B2D" w:rsidRDefault="00477B2D" w:rsidP="00CB662F">
      <w:pPr>
        <w:spacing w:after="0" w:line="480" w:lineRule="auto"/>
        <w:jc w:val="both"/>
        <w:rPr>
          <w:rFonts w:ascii="Arial" w:hAnsi="Arial" w:cs="Arial"/>
          <w:sz w:val="24"/>
          <w:szCs w:val="24"/>
        </w:rPr>
      </w:pPr>
    </w:p>
    <w:p w14:paraId="41B21CC6" w14:textId="77777777" w:rsidR="00477B2D" w:rsidRPr="00BE519E" w:rsidRDefault="00477B2D" w:rsidP="00BE519E">
      <w:pPr>
        <w:spacing w:after="0" w:line="360" w:lineRule="auto"/>
        <w:ind w:left="567" w:right="567"/>
        <w:jc w:val="both"/>
        <w:rPr>
          <w:rFonts w:ascii="Arial" w:hAnsi="Arial" w:cs="Arial"/>
        </w:rPr>
      </w:pPr>
      <w:r w:rsidRPr="00BE519E">
        <w:rPr>
          <w:rFonts w:ascii="Arial" w:hAnsi="Arial" w:cs="Arial"/>
        </w:rPr>
        <w:lastRenderedPageBreak/>
        <w:t xml:space="preserve">“The poor internal control environment negatively affected the outcomes at the key service delivery </w:t>
      </w:r>
      <w:r w:rsidR="00C6676A">
        <w:rPr>
          <w:rFonts w:ascii="Arial" w:hAnsi="Arial" w:cs="Arial"/>
        </w:rPr>
        <w:t>d</w:t>
      </w:r>
      <w:r w:rsidRPr="00BE519E">
        <w:rPr>
          <w:rFonts w:ascii="Arial" w:hAnsi="Arial" w:cs="Arial"/>
        </w:rPr>
        <w:t>epartments of Health, Transport and Educat</w:t>
      </w:r>
      <w:r w:rsidR="00E178C0">
        <w:rPr>
          <w:rFonts w:ascii="Arial" w:hAnsi="Arial" w:cs="Arial"/>
        </w:rPr>
        <w:t>ion, and transgressions of l</w:t>
      </w:r>
      <w:r w:rsidRPr="00BE519E">
        <w:rPr>
          <w:rFonts w:ascii="Arial" w:hAnsi="Arial" w:cs="Arial"/>
        </w:rPr>
        <w:t xml:space="preserve">egislation at these departments had an adverse impact on how they spent the money allocated to them.  </w:t>
      </w:r>
      <w:r w:rsidR="00CE06B8">
        <w:rPr>
          <w:rFonts w:ascii="Arial" w:hAnsi="Arial" w:cs="Arial"/>
        </w:rPr>
        <w:t>At R1.5</w:t>
      </w:r>
      <w:r w:rsidR="00C6676A">
        <w:rPr>
          <w:rFonts w:ascii="Arial" w:hAnsi="Arial" w:cs="Arial"/>
        </w:rPr>
        <w:t>9</w:t>
      </w:r>
      <w:r w:rsidR="00CE06B8">
        <w:rPr>
          <w:rFonts w:ascii="Arial" w:hAnsi="Arial" w:cs="Arial"/>
        </w:rPr>
        <w:t xml:space="preserve"> billion, the unauthoris</w:t>
      </w:r>
      <w:r w:rsidR="0053349C" w:rsidRPr="00BE519E">
        <w:rPr>
          <w:rFonts w:ascii="Arial" w:hAnsi="Arial" w:cs="Arial"/>
        </w:rPr>
        <w:t xml:space="preserve">ed expenditure of the Eastern Cape is the highest of all the provinces.  The Eastern Cape Department of Health made payments of R763 million relating to medical claims that were not budgeted for, which resulted in unathorised expenditure.  By year-end, the Department still had R36.75 billion in </w:t>
      </w:r>
      <w:r w:rsidR="00C6676A">
        <w:rPr>
          <w:rFonts w:ascii="Arial" w:hAnsi="Arial" w:cs="Arial"/>
        </w:rPr>
        <w:t xml:space="preserve">unpaid </w:t>
      </w:r>
      <w:r w:rsidR="0053349C" w:rsidRPr="00BE519E">
        <w:rPr>
          <w:rFonts w:ascii="Arial" w:hAnsi="Arial" w:cs="Arial"/>
        </w:rPr>
        <w:t>medical claims – the highest of all national and provincial auditees.”</w:t>
      </w:r>
      <w:r w:rsidR="0053349C" w:rsidRPr="00BE519E">
        <w:rPr>
          <w:rStyle w:val="FootnoteReference"/>
          <w:rFonts w:ascii="Arial" w:hAnsi="Arial" w:cs="Arial"/>
        </w:rPr>
        <w:footnoteReference w:id="67"/>
      </w:r>
    </w:p>
    <w:p w14:paraId="6906BEF4" w14:textId="77777777" w:rsidR="0053349C" w:rsidRDefault="0053349C" w:rsidP="00CB662F">
      <w:pPr>
        <w:spacing w:after="0" w:line="480" w:lineRule="auto"/>
        <w:jc w:val="both"/>
        <w:rPr>
          <w:rFonts w:ascii="Arial" w:hAnsi="Arial" w:cs="Arial"/>
          <w:sz w:val="24"/>
          <w:szCs w:val="24"/>
        </w:rPr>
      </w:pPr>
    </w:p>
    <w:p w14:paraId="42D88D7A" w14:textId="77777777" w:rsidR="0053349C" w:rsidRPr="007E5BB9" w:rsidRDefault="0053349C" w:rsidP="005F16B4">
      <w:pPr>
        <w:pStyle w:val="ListParagraph"/>
        <w:numPr>
          <w:ilvl w:val="0"/>
          <w:numId w:val="20"/>
        </w:numPr>
        <w:tabs>
          <w:tab w:val="left" w:pos="0"/>
        </w:tabs>
        <w:spacing w:after="0" w:line="480" w:lineRule="auto"/>
        <w:ind w:left="0" w:firstLine="0"/>
        <w:jc w:val="both"/>
        <w:rPr>
          <w:rFonts w:ascii="Arial" w:hAnsi="Arial" w:cs="Arial"/>
          <w:sz w:val="24"/>
          <w:szCs w:val="24"/>
        </w:rPr>
      </w:pPr>
      <w:r w:rsidRPr="007E5BB9">
        <w:rPr>
          <w:rFonts w:ascii="Arial" w:hAnsi="Arial" w:cs="Arial"/>
          <w:sz w:val="24"/>
          <w:szCs w:val="24"/>
        </w:rPr>
        <w:t xml:space="preserve">The HOD for </w:t>
      </w:r>
      <w:r w:rsidR="008360B2">
        <w:rPr>
          <w:rFonts w:ascii="Arial" w:hAnsi="Arial" w:cs="Arial"/>
          <w:sz w:val="24"/>
          <w:szCs w:val="24"/>
        </w:rPr>
        <w:t>t</w:t>
      </w:r>
      <w:r w:rsidRPr="007E5BB9">
        <w:rPr>
          <w:rFonts w:ascii="Arial" w:hAnsi="Arial" w:cs="Arial"/>
          <w:sz w:val="24"/>
          <w:szCs w:val="24"/>
        </w:rPr>
        <w:t>reasury has explained that the R36.75 billion is a reference to contingent liability which has not yet arisen.  The A</w:t>
      </w:r>
      <w:r w:rsidR="008F0026" w:rsidRPr="007E5BB9">
        <w:rPr>
          <w:rFonts w:ascii="Arial" w:hAnsi="Arial" w:cs="Arial"/>
          <w:sz w:val="24"/>
          <w:szCs w:val="24"/>
        </w:rPr>
        <w:t>uditor-</w:t>
      </w:r>
      <w:r w:rsidRPr="007E5BB9">
        <w:rPr>
          <w:rFonts w:ascii="Arial" w:hAnsi="Arial" w:cs="Arial"/>
          <w:sz w:val="24"/>
          <w:szCs w:val="24"/>
        </w:rPr>
        <w:t>General proceeded to express concern about the financial state of health in the provinces.  He reported:</w:t>
      </w:r>
    </w:p>
    <w:p w14:paraId="08B85E4F" w14:textId="77777777" w:rsidR="00215151" w:rsidRDefault="00215151" w:rsidP="00CB662F">
      <w:pPr>
        <w:spacing w:after="0" w:line="480" w:lineRule="auto"/>
        <w:jc w:val="both"/>
        <w:rPr>
          <w:rFonts w:ascii="Arial" w:hAnsi="Arial" w:cs="Arial"/>
          <w:sz w:val="24"/>
          <w:szCs w:val="24"/>
        </w:rPr>
      </w:pPr>
    </w:p>
    <w:p w14:paraId="2406C023" w14:textId="77777777" w:rsidR="0053349C" w:rsidRPr="00BE519E" w:rsidRDefault="0053349C" w:rsidP="00BE519E">
      <w:pPr>
        <w:spacing w:after="0" w:line="360" w:lineRule="auto"/>
        <w:ind w:left="567" w:right="567"/>
        <w:jc w:val="both"/>
        <w:rPr>
          <w:rFonts w:ascii="Arial" w:hAnsi="Arial" w:cs="Arial"/>
        </w:rPr>
      </w:pPr>
      <w:r w:rsidRPr="00BE519E">
        <w:rPr>
          <w:rFonts w:ascii="Arial" w:hAnsi="Arial" w:cs="Arial"/>
        </w:rPr>
        <w:t>“Departments usually do not budget for claims.  Especially in the health sector, not budgeting for medical negligence claims means that all successful claim</w:t>
      </w:r>
      <w:r w:rsidR="008F0026" w:rsidRPr="00BE519E">
        <w:rPr>
          <w:rFonts w:ascii="Arial" w:hAnsi="Arial" w:cs="Arial"/>
        </w:rPr>
        <w:t xml:space="preserve">s will be paid from funds earmarked for the delivery of services, resulting in these </w:t>
      </w:r>
      <w:r w:rsidR="008360B2">
        <w:rPr>
          <w:rFonts w:ascii="Arial" w:hAnsi="Arial" w:cs="Arial"/>
        </w:rPr>
        <w:t>d</w:t>
      </w:r>
      <w:r w:rsidR="008F0026" w:rsidRPr="00BE519E">
        <w:rPr>
          <w:rFonts w:ascii="Arial" w:hAnsi="Arial" w:cs="Arial"/>
        </w:rPr>
        <w:t>epartments using more than what had been allocated to them.  The provincial health and education departments alone incurred R2.3</w:t>
      </w:r>
      <w:r w:rsidR="00C6676A">
        <w:rPr>
          <w:rFonts w:ascii="Arial" w:hAnsi="Arial" w:cs="Arial"/>
        </w:rPr>
        <w:t xml:space="preserve">7 </w:t>
      </w:r>
      <w:r w:rsidR="008F0026" w:rsidRPr="00BE519E">
        <w:rPr>
          <w:rFonts w:ascii="Arial" w:hAnsi="Arial" w:cs="Arial"/>
        </w:rPr>
        <w:t>billion (79%) in unauthorised expenditure.”</w:t>
      </w:r>
      <w:r w:rsidR="008F0026" w:rsidRPr="00BE519E">
        <w:rPr>
          <w:rStyle w:val="FootnoteReference"/>
          <w:rFonts w:ascii="Arial" w:hAnsi="Arial" w:cs="Arial"/>
        </w:rPr>
        <w:footnoteReference w:id="68"/>
      </w:r>
    </w:p>
    <w:p w14:paraId="3205C479" w14:textId="77777777" w:rsidR="008F0026" w:rsidRDefault="008F0026" w:rsidP="00CB662F">
      <w:pPr>
        <w:spacing w:after="0" w:line="480" w:lineRule="auto"/>
        <w:jc w:val="both"/>
        <w:rPr>
          <w:rFonts w:ascii="Arial" w:hAnsi="Arial" w:cs="Arial"/>
          <w:sz w:val="24"/>
          <w:szCs w:val="24"/>
        </w:rPr>
      </w:pPr>
    </w:p>
    <w:p w14:paraId="224F33EB" w14:textId="77777777" w:rsidR="008F0026" w:rsidRDefault="008F0026" w:rsidP="005F16B4">
      <w:pPr>
        <w:pStyle w:val="ListParagraph"/>
        <w:numPr>
          <w:ilvl w:val="0"/>
          <w:numId w:val="20"/>
        </w:numPr>
        <w:tabs>
          <w:tab w:val="left" w:pos="0"/>
        </w:tabs>
        <w:spacing w:after="0" w:line="480" w:lineRule="auto"/>
        <w:ind w:left="0" w:firstLine="0"/>
        <w:jc w:val="both"/>
        <w:rPr>
          <w:rFonts w:ascii="Arial" w:hAnsi="Arial" w:cs="Arial"/>
          <w:sz w:val="24"/>
          <w:szCs w:val="24"/>
        </w:rPr>
      </w:pPr>
      <w:r w:rsidRPr="007E5BB9">
        <w:rPr>
          <w:rFonts w:ascii="Arial" w:hAnsi="Arial" w:cs="Arial"/>
          <w:sz w:val="24"/>
          <w:szCs w:val="24"/>
        </w:rPr>
        <w:t>The suggestion</w:t>
      </w:r>
      <w:r w:rsidR="008360B2">
        <w:rPr>
          <w:rFonts w:ascii="Arial" w:hAnsi="Arial" w:cs="Arial"/>
          <w:sz w:val="24"/>
          <w:szCs w:val="24"/>
        </w:rPr>
        <w:t xml:space="preserve"> of the HOD for treasury</w:t>
      </w:r>
      <w:r w:rsidRPr="007E5BB9">
        <w:rPr>
          <w:rFonts w:ascii="Arial" w:hAnsi="Arial" w:cs="Arial"/>
          <w:sz w:val="24"/>
          <w:szCs w:val="24"/>
        </w:rPr>
        <w:t xml:space="preserve"> that the ECDOH is not permitted to budget for judgment debts is unfounded.  Section 27 of the Constitution contains no </w:t>
      </w:r>
      <w:r w:rsidR="008360B2">
        <w:rPr>
          <w:rFonts w:ascii="Arial" w:hAnsi="Arial" w:cs="Arial"/>
          <w:sz w:val="24"/>
          <w:szCs w:val="24"/>
        </w:rPr>
        <w:t>l</w:t>
      </w:r>
      <w:r w:rsidRPr="007E5BB9">
        <w:rPr>
          <w:rFonts w:ascii="Arial" w:hAnsi="Arial" w:cs="Arial"/>
          <w:sz w:val="24"/>
          <w:szCs w:val="24"/>
        </w:rPr>
        <w:t xml:space="preserve">ine items.  It provides for everyone to have a right to access to health care and obliges the </w:t>
      </w:r>
      <w:r w:rsidR="009F5C14">
        <w:rPr>
          <w:rFonts w:ascii="Arial" w:hAnsi="Arial" w:cs="Arial"/>
          <w:sz w:val="24"/>
          <w:szCs w:val="24"/>
        </w:rPr>
        <w:t>s</w:t>
      </w:r>
      <w:r w:rsidRPr="007E5BB9">
        <w:rPr>
          <w:rFonts w:ascii="Arial" w:hAnsi="Arial" w:cs="Arial"/>
          <w:sz w:val="24"/>
          <w:szCs w:val="24"/>
        </w:rPr>
        <w:t>tate to take reasonable measures</w:t>
      </w:r>
      <w:r w:rsidR="008360B2">
        <w:rPr>
          <w:rFonts w:ascii="Arial" w:hAnsi="Arial" w:cs="Arial"/>
          <w:sz w:val="24"/>
          <w:szCs w:val="24"/>
        </w:rPr>
        <w:t>,</w:t>
      </w:r>
      <w:r w:rsidRPr="007E5BB9">
        <w:rPr>
          <w:rFonts w:ascii="Arial" w:hAnsi="Arial" w:cs="Arial"/>
          <w:sz w:val="24"/>
          <w:szCs w:val="24"/>
        </w:rPr>
        <w:t xml:space="preserve"> within its available resources</w:t>
      </w:r>
      <w:r w:rsidR="008360B2">
        <w:rPr>
          <w:rFonts w:ascii="Arial" w:hAnsi="Arial" w:cs="Arial"/>
          <w:sz w:val="24"/>
          <w:szCs w:val="24"/>
        </w:rPr>
        <w:t>,</w:t>
      </w:r>
      <w:r w:rsidRPr="007E5BB9">
        <w:rPr>
          <w:rFonts w:ascii="Arial" w:hAnsi="Arial" w:cs="Arial"/>
          <w:sz w:val="24"/>
          <w:szCs w:val="24"/>
        </w:rPr>
        <w:t xml:space="preserve"> to achieve the progressive realization of each of the rights set out in the section.  The </w:t>
      </w:r>
      <w:r w:rsidR="00681A0E" w:rsidRPr="007E5BB9">
        <w:rPr>
          <w:rFonts w:ascii="Arial" w:hAnsi="Arial" w:cs="Arial"/>
          <w:sz w:val="24"/>
          <w:szCs w:val="24"/>
        </w:rPr>
        <w:t>available resources are</w:t>
      </w:r>
      <w:r w:rsidRPr="007E5BB9">
        <w:rPr>
          <w:rFonts w:ascii="Arial" w:hAnsi="Arial" w:cs="Arial"/>
          <w:sz w:val="24"/>
          <w:szCs w:val="24"/>
        </w:rPr>
        <w:t xml:space="preserve"> the difference between the income flow of the department and its liabilities.  There is nothing in s 27 of the Constitution which prevents the ECDOH from </w:t>
      </w:r>
      <w:r w:rsidRPr="007E5BB9">
        <w:rPr>
          <w:rFonts w:ascii="Arial" w:hAnsi="Arial" w:cs="Arial"/>
          <w:sz w:val="24"/>
          <w:szCs w:val="24"/>
        </w:rPr>
        <w:lastRenderedPageBreak/>
        <w:t xml:space="preserve">budgeting for known liabilities and contingent liabilities.  </w:t>
      </w:r>
      <w:r w:rsidR="00237B6E">
        <w:rPr>
          <w:rFonts w:ascii="Arial" w:hAnsi="Arial" w:cs="Arial"/>
          <w:sz w:val="24"/>
          <w:szCs w:val="24"/>
        </w:rPr>
        <w:t>The PFMA</w:t>
      </w:r>
      <w:r w:rsidR="00237B6E">
        <w:rPr>
          <w:rStyle w:val="FootnoteReference"/>
          <w:rFonts w:ascii="Arial" w:hAnsi="Arial" w:cs="Arial"/>
          <w:sz w:val="24"/>
          <w:szCs w:val="24"/>
        </w:rPr>
        <w:footnoteReference w:id="69"/>
      </w:r>
      <w:r w:rsidR="00237B6E">
        <w:rPr>
          <w:rFonts w:ascii="Arial" w:hAnsi="Arial" w:cs="Arial"/>
          <w:sz w:val="24"/>
          <w:szCs w:val="24"/>
        </w:rPr>
        <w:t xml:space="preserve"> requires</w:t>
      </w:r>
      <w:r w:rsidRPr="007E5BB9">
        <w:rPr>
          <w:rFonts w:ascii="Arial" w:hAnsi="Arial" w:cs="Arial"/>
          <w:sz w:val="24"/>
          <w:szCs w:val="24"/>
        </w:rPr>
        <w:t xml:space="preserve"> the HOD for Health to advise the MEC for Finance and the MEC for Health on policy proposals affecting his responsibilities.  The preparation </w:t>
      </w:r>
      <w:r w:rsidR="008360B2">
        <w:rPr>
          <w:rFonts w:ascii="Arial" w:hAnsi="Arial" w:cs="Arial"/>
          <w:sz w:val="24"/>
          <w:szCs w:val="24"/>
        </w:rPr>
        <w:t>of</w:t>
      </w:r>
      <w:r w:rsidRPr="007E5BB9">
        <w:rPr>
          <w:rFonts w:ascii="Arial" w:hAnsi="Arial" w:cs="Arial"/>
          <w:sz w:val="24"/>
          <w:szCs w:val="24"/>
        </w:rPr>
        <w:t xml:space="preserve"> the budget is central to his responsibilities.  Where the payment of known debts</w:t>
      </w:r>
      <w:r w:rsidR="00237B6E">
        <w:rPr>
          <w:rFonts w:ascii="Arial" w:hAnsi="Arial" w:cs="Arial"/>
          <w:sz w:val="24"/>
          <w:szCs w:val="24"/>
        </w:rPr>
        <w:t>, as outstanding judgment debts are,</w:t>
      </w:r>
      <w:r w:rsidRPr="007E5BB9">
        <w:rPr>
          <w:rFonts w:ascii="Arial" w:hAnsi="Arial" w:cs="Arial"/>
          <w:sz w:val="24"/>
          <w:szCs w:val="24"/>
        </w:rPr>
        <w:t xml:space="preserve"> and contingent liabilities give rise to an anticipated deficit in the financial year</w:t>
      </w:r>
      <w:r w:rsidR="00237B6E">
        <w:rPr>
          <w:rFonts w:ascii="Arial" w:hAnsi="Arial" w:cs="Arial"/>
          <w:sz w:val="24"/>
          <w:szCs w:val="24"/>
        </w:rPr>
        <w:t>,</w:t>
      </w:r>
      <w:r w:rsidRPr="007E5BB9">
        <w:rPr>
          <w:rFonts w:ascii="Arial" w:hAnsi="Arial" w:cs="Arial"/>
          <w:sz w:val="24"/>
          <w:szCs w:val="24"/>
        </w:rPr>
        <w:t xml:space="preserve"> the MEC for Finance is obliged to set out proposals in his budget to meet these liabilities.</w:t>
      </w:r>
      <w:r>
        <w:rPr>
          <w:rStyle w:val="FootnoteReference"/>
          <w:rFonts w:ascii="Arial" w:hAnsi="Arial" w:cs="Arial"/>
          <w:sz w:val="24"/>
          <w:szCs w:val="24"/>
        </w:rPr>
        <w:footnoteReference w:id="70"/>
      </w:r>
      <w:r w:rsidR="0092683B" w:rsidRPr="007E5BB9">
        <w:rPr>
          <w:rFonts w:ascii="Arial" w:hAnsi="Arial" w:cs="Arial"/>
          <w:sz w:val="24"/>
          <w:szCs w:val="24"/>
        </w:rPr>
        <w:t xml:space="preserve">  Where they would result in an increase in public liability during that financial year the MEC for Finance is obliged, in his budget, to provide an indication of his intentions regarding such liability.</w:t>
      </w:r>
      <w:r w:rsidR="0092683B">
        <w:rPr>
          <w:rStyle w:val="FootnoteReference"/>
          <w:rFonts w:ascii="Arial" w:hAnsi="Arial" w:cs="Arial"/>
          <w:sz w:val="24"/>
          <w:szCs w:val="24"/>
        </w:rPr>
        <w:footnoteReference w:id="71"/>
      </w:r>
      <w:r w:rsidR="00353B6C" w:rsidRPr="007E5BB9">
        <w:rPr>
          <w:rFonts w:ascii="Arial" w:hAnsi="Arial" w:cs="Arial"/>
          <w:sz w:val="24"/>
          <w:szCs w:val="24"/>
        </w:rPr>
        <w:t xml:space="preserve">  The applicants are silent on the budget tabled by the MEC, but where they openly declared that they have taken a conscious decision not to budget for judgment </w:t>
      </w:r>
      <w:r w:rsidR="00237B6E">
        <w:rPr>
          <w:rFonts w:ascii="Arial" w:hAnsi="Arial" w:cs="Arial"/>
          <w:sz w:val="24"/>
          <w:szCs w:val="24"/>
        </w:rPr>
        <w:t>debts</w:t>
      </w:r>
      <w:r w:rsidR="00353B6C" w:rsidRPr="007E5BB9">
        <w:rPr>
          <w:rFonts w:ascii="Arial" w:hAnsi="Arial" w:cs="Arial"/>
          <w:sz w:val="24"/>
          <w:szCs w:val="24"/>
        </w:rPr>
        <w:t xml:space="preserve"> it may be </w:t>
      </w:r>
      <w:r w:rsidR="00237B6E">
        <w:rPr>
          <w:rFonts w:ascii="Arial" w:hAnsi="Arial" w:cs="Arial"/>
          <w:sz w:val="24"/>
          <w:szCs w:val="24"/>
        </w:rPr>
        <w:t>accepted</w:t>
      </w:r>
      <w:r w:rsidR="00353B6C" w:rsidRPr="007E5BB9">
        <w:rPr>
          <w:rFonts w:ascii="Arial" w:hAnsi="Arial" w:cs="Arial"/>
          <w:sz w:val="24"/>
          <w:szCs w:val="24"/>
        </w:rPr>
        <w:t xml:space="preserve"> that no provision was made in the budget for these liabilities, as required by the </w:t>
      </w:r>
      <w:r w:rsidR="008213CC">
        <w:rPr>
          <w:rFonts w:ascii="Arial" w:hAnsi="Arial" w:cs="Arial"/>
          <w:sz w:val="24"/>
          <w:szCs w:val="24"/>
        </w:rPr>
        <w:t>PFMA</w:t>
      </w:r>
      <w:r w:rsidR="00353B6C" w:rsidRPr="007E5BB9">
        <w:rPr>
          <w:rFonts w:ascii="Arial" w:hAnsi="Arial" w:cs="Arial"/>
          <w:sz w:val="24"/>
          <w:szCs w:val="24"/>
        </w:rPr>
        <w:t xml:space="preserve">.  </w:t>
      </w:r>
    </w:p>
    <w:p w14:paraId="53878FAB" w14:textId="77777777" w:rsidR="00721278" w:rsidRPr="007E5BB9" w:rsidRDefault="00721278" w:rsidP="005F16B4">
      <w:pPr>
        <w:pStyle w:val="ListParagraph"/>
        <w:tabs>
          <w:tab w:val="left" w:pos="0"/>
        </w:tabs>
        <w:spacing w:after="0" w:line="480" w:lineRule="auto"/>
        <w:ind w:left="0"/>
        <w:jc w:val="both"/>
        <w:rPr>
          <w:rFonts w:ascii="Arial" w:hAnsi="Arial" w:cs="Arial"/>
          <w:sz w:val="24"/>
          <w:szCs w:val="24"/>
        </w:rPr>
      </w:pPr>
    </w:p>
    <w:p w14:paraId="129F7009" w14:textId="77777777" w:rsidR="00353B6C" w:rsidRPr="007E5BB9" w:rsidRDefault="00353B6C" w:rsidP="005F16B4">
      <w:pPr>
        <w:pStyle w:val="ListParagraph"/>
        <w:numPr>
          <w:ilvl w:val="0"/>
          <w:numId w:val="20"/>
        </w:numPr>
        <w:tabs>
          <w:tab w:val="left" w:pos="0"/>
        </w:tabs>
        <w:spacing w:after="0" w:line="480" w:lineRule="auto"/>
        <w:ind w:left="0" w:firstLine="0"/>
        <w:jc w:val="both"/>
        <w:rPr>
          <w:rFonts w:ascii="Arial" w:hAnsi="Arial" w:cs="Arial"/>
          <w:sz w:val="24"/>
          <w:szCs w:val="24"/>
        </w:rPr>
      </w:pPr>
      <w:r w:rsidRPr="007E5BB9">
        <w:rPr>
          <w:rFonts w:ascii="Arial" w:hAnsi="Arial" w:cs="Arial"/>
          <w:sz w:val="24"/>
          <w:szCs w:val="24"/>
        </w:rPr>
        <w:t>As I have said</w:t>
      </w:r>
      <w:r w:rsidR="008360B2">
        <w:rPr>
          <w:rFonts w:ascii="Arial" w:hAnsi="Arial" w:cs="Arial"/>
          <w:sz w:val="24"/>
          <w:szCs w:val="24"/>
        </w:rPr>
        <w:t>,</w:t>
      </w:r>
      <w:r w:rsidRPr="007E5BB9">
        <w:rPr>
          <w:rFonts w:ascii="Arial" w:hAnsi="Arial" w:cs="Arial"/>
          <w:sz w:val="24"/>
          <w:szCs w:val="24"/>
        </w:rPr>
        <w:t xml:space="preserve"> the finances of the ECDOH resort under the control of the accounting officer.  He is obliged to budget for these liabilities</w:t>
      </w:r>
      <w:r w:rsidR="00416BEE">
        <w:rPr>
          <w:rFonts w:ascii="Arial" w:hAnsi="Arial" w:cs="Arial"/>
          <w:sz w:val="24"/>
          <w:szCs w:val="24"/>
        </w:rPr>
        <w:t>.</w:t>
      </w:r>
      <w:r w:rsidR="00416BEE">
        <w:rPr>
          <w:rStyle w:val="FootnoteReference"/>
          <w:rFonts w:ascii="Arial" w:hAnsi="Arial" w:cs="Arial"/>
          <w:sz w:val="24"/>
          <w:szCs w:val="24"/>
        </w:rPr>
        <w:footnoteReference w:id="72"/>
      </w:r>
      <w:r w:rsidRPr="007E5BB9">
        <w:rPr>
          <w:rFonts w:ascii="Arial" w:hAnsi="Arial" w:cs="Arial"/>
          <w:sz w:val="24"/>
          <w:szCs w:val="24"/>
        </w:rPr>
        <w:t xml:space="preserve"> His failure to do so constitutes financial mismanagement.</w:t>
      </w:r>
      <w:r w:rsidR="00416BEE">
        <w:rPr>
          <w:rStyle w:val="FootnoteReference"/>
          <w:rFonts w:ascii="Arial" w:hAnsi="Arial" w:cs="Arial"/>
          <w:sz w:val="24"/>
          <w:szCs w:val="24"/>
        </w:rPr>
        <w:footnoteReference w:id="73"/>
      </w:r>
      <w:r w:rsidRPr="007E5BB9">
        <w:rPr>
          <w:rFonts w:ascii="Arial" w:hAnsi="Arial" w:cs="Arial"/>
          <w:sz w:val="24"/>
          <w:szCs w:val="24"/>
        </w:rPr>
        <w:t xml:space="preserve">  One of the central obligations of the HOD for Health is to prevent “unauthorised expenditure”</w:t>
      </w:r>
      <w:r>
        <w:rPr>
          <w:rStyle w:val="FootnoteReference"/>
          <w:rFonts w:ascii="Arial" w:hAnsi="Arial" w:cs="Arial"/>
          <w:sz w:val="24"/>
          <w:szCs w:val="24"/>
        </w:rPr>
        <w:footnoteReference w:id="74"/>
      </w:r>
      <w:r w:rsidRPr="007E5BB9">
        <w:rPr>
          <w:rFonts w:ascii="Arial" w:hAnsi="Arial" w:cs="Arial"/>
          <w:sz w:val="24"/>
          <w:szCs w:val="24"/>
        </w:rPr>
        <w:t xml:space="preserve"> and a willful failure to do so constitutes an offence punishable by imprisonment</w:t>
      </w:r>
      <w:r w:rsidR="00416BEE">
        <w:rPr>
          <w:rFonts w:ascii="Arial" w:hAnsi="Arial" w:cs="Arial"/>
          <w:sz w:val="24"/>
          <w:szCs w:val="24"/>
        </w:rPr>
        <w:t xml:space="preserve"> of up to five years.</w:t>
      </w:r>
      <w:r>
        <w:rPr>
          <w:rStyle w:val="FootnoteReference"/>
          <w:rFonts w:ascii="Arial" w:hAnsi="Arial" w:cs="Arial"/>
          <w:sz w:val="24"/>
          <w:szCs w:val="24"/>
        </w:rPr>
        <w:footnoteReference w:id="75"/>
      </w:r>
    </w:p>
    <w:p w14:paraId="0999C5BE" w14:textId="77777777" w:rsidR="00353B6C" w:rsidRDefault="00353B6C" w:rsidP="005F16B4">
      <w:pPr>
        <w:tabs>
          <w:tab w:val="left" w:pos="0"/>
        </w:tabs>
        <w:spacing w:after="0" w:line="480" w:lineRule="auto"/>
        <w:jc w:val="both"/>
        <w:rPr>
          <w:rFonts w:ascii="Arial" w:hAnsi="Arial" w:cs="Arial"/>
          <w:sz w:val="24"/>
          <w:szCs w:val="24"/>
        </w:rPr>
      </w:pPr>
    </w:p>
    <w:p w14:paraId="6B43AD8A" w14:textId="77777777" w:rsidR="00353B6C" w:rsidRPr="007E5BB9" w:rsidRDefault="00353B6C" w:rsidP="005F16B4">
      <w:pPr>
        <w:pStyle w:val="ListParagraph"/>
        <w:numPr>
          <w:ilvl w:val="0"/>
          <w:numId w:val="20"/>
        </w:numPr>
        <w:tabs>
          <w:tab w:val="left" w:pos="0"/>
        </w:tabs>
        <w:spacing w:after="0" w:line="480" w:lineRule="auto"/>
        <w:ind w:left="0" w:firstLine="0"/>
        <w:jc w:val="both"/>
        <w:rPr>
          <w:rFonts w:ascii="Arial" w:hAnsi="Arial" w:cs="Arial"/>
          <w:sz w:val="24"/>
          <w:szCs w:val="24"/>
        </w:rPr>
      </w:pPr>
      <w:r w:rsidRPr="007E5BB9">
        <w:rPr>
          <w:rFonts w:ascii="Arial" w:hAnsi="Arial" w:cs="Arial"/>
          <w:sz w:val="24"/>
          <w:szCs w:val="24"/>
        </w:rPr>
        <w:t xml:space="preserve">I have explained earlier that the </w:t>
      </w:r>
      <w:r w:rsidR="008360B2">
        <w:rPr>
          <w:rFonts w:ascii="Arial" w:hAnsi="Arial" w:cs="Arial"/>
          <w:sz w:val="24"/>
          <w:szCs w:val="24"/>
        </w:rPr>
        <w:t>t</w:t>
      </w:r>
      <w:r w:rsidRPr="007E5BB9">
        <w:rPr>
          <w:rFonts w:ascii="Arial" w:hAnsi="Arial" w:cs="Arial"/>
          <w:sz w:val="24"/>
          <w:szCs w:val="24"/>
        </w:rPr>
        <w:t xml:space="preserve">reasury is entitled to issue instructions, provided that they are not inconsistent with the </w:t>
      </w:r>
      <w:r w:rsidR="008213CC">
        <w:rPr>
          <w:rFonts w:ascii="Arial" w:hAnsi="Arial" w:cs="Arial"/>
          <w:sz w:val="24"/>
          <w:szCs w:val="24"/>
        </w:rPr>
        <w:t>PFMA</w:t>
      </w:r>
      <w:r w:rsidRPr="007E5BB9">
        <w:rPr>
          <w:rFonts w:ascii="Arial" w:hAnsi="Arial" w:cs="Arial"/>
          <w:sz w:val="24"/>
          <w:szCs w:val="24"/>
        </w:rPr>
        <w:t>.</w:t>
      </w:r>
      <w:r>
        <w:rPr>
          <w:rStyle w:val="FootnoteReference"/>
          <w:rFonts w:ascii="Arial" w:hAnsi="Arial" w:cs="Arial"/>
          <w:sz w:val="24"/>
          <w:szCs w:val="24"/>
        </w:rPr>
        <w:footnoteReference w:id="76"/>
      </w:r>
      <w:r w:rsidRPr="007E5BB9">
        <w:rPr>
          <w:rFonts w:ascii="Arial" w:hAnsi="Arial" w:cs="Arial"/>
          <w:sz w:val="24"/>
          <w:szCs w:val="24"/>
        </w:rPr>
        <w:t xml:space="preserve"> </w:t>
      </w:r>
      <w:r w:rsidR="00DD0685">
        <w:rPr>
          <w:rFonts w:ascii="Arial" w:hAnsi="Arial" w:cs="Arial"/>
          <w:sz w:val="24"/>
          <w:szCs w:val="24"/>
        </w:rPr>
        <w:t>It</w:t>
      </w:r>
      <w:r w:rsidRPr="007E5BB9">
        <w:rPr>
          <w:rFonts w:ascii="Arial" w:hAnsi="Arial" w:cs="Arial"/>
          <w:sz w:val="24"/>
          <w:szCs w:val="24"/>
        </w:rPr>
        <w:t xml:space="preserve"> is not empowered to issue </w:t>
      </w:r>
      <w:r w:rsidRPr="007E5BB9">
        <w:rPr>
          <w:rFonts w:ascii="Arial" w:hAnsi="Arial" w:cs="Arial"/>
          <w:sz w:val="24"/>
          <w:szCs w:val="24"/>
        </w:rPr>
        <w:lastRenderedPageBreak/>
        <w:t xml:space="preserve">directives in conflict with the provisions of the </w:t>
      </w:r>
      <w:r w:rsidR="008213CC">
        <w:rPr>
          <w:rFonts w:ascii="Arial" w:hAnsi="Arial" w:cs="Arial"/>
          <w:sz w:val="24"/>
          <w:szCs w:val="24"/>
        </w:rPr>
        <w:t>PFMA</w:t>
      </w:r>
      <w:r w:rsidRPr="007E5BB9">
        <w:rPr>
          <w:rFonts w:ascii="Arial" w:hAnsi="Arial" w:cs="Arial"/>
          <w:sz w:val="24"/>
          <w:szCs w:val="24"/>
        </w:rPr>
        <w:t>.  As adumbrated earlier</w:t>
      </w:r>
      <w:r w:rsidR="008360B2">
        <w:rPr>
          <w:rFonts w:ascii="Arial" w:hAnsi="Arial" w:cs="Arial"/>
          <w:sz w:val="24"/>
          <w:szCs w:val="24"/>
        </w:rPr>
        <w:t>,</w:t>
      </w:r>
      <w:r w:rsidRPr="007E5BB9">
        <w:rPr>
          <w:rFonts w:ascii="Arial" w:hAnsi="Arial" w:cs="Arial"/>
          <w:sz w:val="24"/>
          <w:szCs w:val="24"/>
        </w:rPr>
        <w:t xml:space="preserve"> it is the failure to budget for judgment debts, as prescribed by the SLA, which results directly in unauthorised expenditure.  An instruction not to budget for these known debts</w:t>
      </w:r>
      <w:r w:rsidR="008360B2">
        <w:rPr>
          <w:rFonts w:ascii="Arial" w:hAnsi="Arial" w:cs="Arial"/>
          <w:sz w:val="24"/>
          <w:szCs w:val="24"/>
        </w:rPr>
        <w:t>,</w:t>
      </w:r>
      <w:r>
        <w:rPr>
          <w:rStyle w:val="FootnoteReference"/>
          <w:rFonts w:ascii="Arial" w:hAnsi="Arial" w:cs="Arial"/>
          <w:sz w:val="24"/>
          <w:szCs w:val="24"/>
        </w:rPr>
        <w:footnoteReference w:id="77"/>
      </w:r>
      <w:r w:rsidRPr="007E5BB9">
        <w:rPr>
          <w:rFonts w:ascii="Arial" w:hAnsi="Arial" w:cs="Arial"/>
          <w:sz w:val="24"/>
          <w:szCs w:val="24"/>
        </w:rPr>
        <w:t xml:space="preserve"> and </w:t>
      </w:r>
      <w:r w:rsidR="008360B2">
        <w:rPr>
          <w:rFonts w:ascii="Arial" w:hAnsi="Arial" w:cs="Arial"/>
          <w:sz w:val="24"/>
          <w:szCs w:val="24"/>
        </w:rPr>
        <w:t xml:space="preserve">for </w:t>
      </w:r>
      <w:r w:rsidRPr="007E5BB9">
        <w:rPr>
          <w:rFonts w:ascii="Arial" w:hAnsi="Arial" w:cs="Arial"/>
          <w:sz w:val="24"/>
          <w:szCs w:val="24"/>
        </w:rPr>
        <w:t>contingent debts</w:t>
      </w:r>
      <w:r w:rsidR="008360B2">
        <w:rPr>
          <w:rFonts w:ascii="Arial" w:hAnsi="Arial" w:cs="Arial"/>
          <w:sz w:val="24"/>
          <w:szCs w:val="24"/>
        </w:rPr>
        <w:t>,</w:t>
      </w:r>
      <w:r w:rsidRPr="007E5BB9">
        <w:rPr>
          <w:rFonts w:ascii="Arial" w:hAnsi="Arial" w:cs="Arial"/>
          <w:sz w:val="24"/>
          <w:szCs w:val="24"/>
        </w:rPr>
        <w:t xml:space="preserve"> is an unlawful instruction.</w:t>
      </w:r>
    </w:p>
    <w:p w14:paraId="1E6564B8" w14:textId="77777777" w:rsidR="00353B6C" w:rsidRDefault="00353B6C" w:rsidP="005F16B4">
      <w:pPr>
        <w:tabs>
          <w:tab w:val="left" w:pos="0"/>
        </w:tabs>
        <w:spacing w:after="0" w:line="480" w:lineRule="auto"/>
        <w:jc w:val="both"/>
        <w:rPr>
          <w:rFonts w:ascii="Arial" w:hAnsi="Arial" w:cs="Arial"/>
          <w:sz w:val="24"/>
          <w:szCs w:val="24"/>
        </w:rPr>
      </w:pPr>
    </w:p>
    <w:p w14:paraId="32D5BBBD" w14:textId="544F02CA" w:rsidR="00353B6C" w:rsidRDefault="00353B6C" w:rsidP="005F16B4">
      <w:pPr>
        <w:pStyle w:val="ListParagraph"/>
        <w:numPr>
          <w:ilvl w:val="0"/>
          <w:numId w:val="20"/>
        </w:numPr>
        <w:tabs>
          <w:tab w:val="left" w:pos="0"/>
        </w:tabs>
        <w:spacing w:after="0" w:line="480" w:lineRule="auto"/>
        <w:ind w:left="0" w:firstLine="0"/>
        <w:jc w:val="both"/>
        <w:rPr>
          <w:rFonts w:ascii="Arial" w:hAnsi="Arial" w:cs="Arial"/>
          <w:sz w:val="24"/>
          <w:szCs w:val="24"/>
        </w:rPr>
      </w:pPr>
      <w:r w:rsidRPr="007E5BB9">
        <w:rPr>
          <w:rFonts w:ascii="Arial" w:hAnsi="Arial" w:cs="Arial"/>
          <w:sz w:val="24"/>
          <w:szCs w:val="24"/>
        </w:rPr>
        <w:t xml:space="preserve">The conclusion is inescapable that the management of the finances of the Eastern Cape Government, and in particular the Eastern Cape Department of Health, falls far short of the standard demanded by the </w:t>
      </w:r>
      <w:r w:rsidR="008213CC">
        <w:rPr>
          <w:rFonts w:ascii="Arial" w:hAnsi="Arial" w:cs="Arial"/>
          <w:sz w:val="24"/>
          <w:szCs w:val="24"/>
        </w:rPr>
        <w:t>PFMA</w:t>
      </w:r>
      <w:r w:rsidRPr="007E5BB9">
        <w:rPr>
          <w:rFonts w:ascii="Arial" w:hAnsi="Arial" w:cs="Arial"/>
          <w:sz w:val="24"/>
          <w:szCs w:val="24"/>
        </w:rPr>
        <w:t xml:space="preserve">.  The unlawfulness of the </w:t>
      </w:r>
      <w:r w:rsidRPr="007E5BB9">
        <w:rPr>
          <w:rFonts w:ascii="Arial" w:hAnsi="Arial" w:cs="Arial"/>
          <w:i/>
          <w:sz w:val="24"/>
          <w:szCs w:val="24"/>
        </w:rPr>
        <w:t>modus operandi</w:t>
      </w:r>
      <w:r w:rsidRPr="007E5BB9">
        <w:rPr>
          <w:rFonts w:ascii="Arial" w:hAnsi="Arial" w:cs="Arial"/>
          <w:sz w:val="24"/>
          <w:szCs w:val="24"/>
        </w:rPr>
        <w:t xml:space="preserve"> was drawn to their attention by the Auditor-General as long ago as 2020.  He concluded t</w:t>
      </w:r>
      <w:r w:rsidR="00E178C0">
        <w:rPr>
          <w:rFonts w:ascii="Arial" w:hAnsi="Arial" w:cs="Arial"/>
          <w:sz w:val="24"/>
          <w:szCs w:val="24"/>
        </w:rPr>
        <w:t>hen</w:t>
      </w:r>
      <w:r w:rsidR="008360B2">
        <w:rPr>
          <w:rFonts w:ascii="Arial" w:hAnsi="Arial" w:cs="Arial"/>
          <w:sz w:val="24"/>
          <w:szCs w:val="24"/>
        </w:rPr>
        <w:t>,</w:t>
      </w:r>
      <w:r w:rsidR="00E178C0">
        <w:rPr>
          <w:rFonts w:ascii="Arial" w:hAnsi="Arial" w:cs="Arial"/>
          <w:sz w:val="24"/>
          <w:szCs w:val="24"/>
        </w:rPr>
        <w:t xml:space="preserve"> that the transgressions of l</w:t>
      </w:r>
      <w:r w:rsidRPr="007E5BB9">
        <w:rPr>
          <w:rFonts w:ascii="Arial" w:hAnsi="Arial" w:cs="Arial"/>
          <w:sz w:val="24"/>
          <w:szCs w:val="24"/>
        </w:rPr>
        <w:t xml:space="preserve">egislation had an adverse impact on how the ECDOH spent the money allocated to them. </w:t>
      </w:r>
      <w:r w:rsidR="00DD0685">
        <w:rPr>
          <w:rFonts w:ascii="Arial" w:hAnsi="Arial" w:cs="Arial"/>
          <w:sz w:val="24"/>
          <w:szCs w:val="24"/>
        </w:rPr>
        <w:t>The flagrant disregard for legislation designed to ensure proper financial planning of the fiscus i</w:t>
      </w:r>
      <w:r w:rsidR="00F052B3">
        <w:rPr>
          <w:rFonts w:ascii="Arial" w:hAnsi="Arial" w:cs="Arial"/>
          <w:sz w:val="24"/>
          <w:szCs w:val="24"/>
        </w:rPr>
        <w:t>s</w:t>
      </w:r>
      <w:r w:rsidR="00DD0685">
        <w:rPr>
          <w:rFonts w:ascii="Arial" w:hAnsi="Arial" w:cs="Arial"/>
          <w:sz w:val="24"/>
          <w:szCs w:val="24"/>
        </w:rPr>
        <w:t xml:space="preserve"> </w:t>
      </w:r>
      <w:r w:rsidR="008E5EBA">
        <w:rPr>
          <w:rFonts w:ascii="Arial" w:hAnsi="Arial" w:cs="Arial"/>
          <w:sz w:val="24"/>
          <w:szCs w:val="24"/>
        </w:rPr>
        <w:t>ominous.</w:t>
      </w:r>
      <w:r w:rsidRPr="007E5BB9">
        <w:rPr>
          <w:rFonts w:ascii="Arial" w:hAnsi="Arial" w:cs="Arial"/>
          <w:sz w:val="24"/>
          <w:szCs w:val="24"/>
        </w:rPr>
        <w:t xml:space="preserve"> </w:t>
      </w:r>
      <w:r w:rsidR="008360B2">
        <w:rPr>
          <w:rFonts w:ascii="Arial" w:hAnsi="Arial" w:cs="Arial"/>
          <w:sz w:val="24"/>
          <w:szCs w:val="24"/>
        </w:rPr>
        <w:t>In the circumstances</w:t>
      </w:r>
      <w:r w:rsidR="00DD0685">
        <w:rPr>
          <w:rFonts w:ascii="Arial" w:hAnsi="Arial" w:cs="Arial"/>
          <w:sz w:val="24"/>
          <w:szCs w:val="24"/>
        </w:rPr>
        <w:t xml:space="preserve"> it is appropriate </w:t>
      </w:r>
      <w:r w:rsidR="008360B2">
        <w:rPr>
          <w:rFonts w:ascii="Arial" w:hAnsi="Arial" w:cs="Arial"/>
          <w:sz w:val="24"/>
          <w:szCs w:val="24"/>
        </w:rPr>
        <w:t xml:space="preserve">to refer this judgment to the National Director of Public Prosecutions to consider whether to institute </w:t>
      </w:r>
      <w:r w:rsidR="00A42FA2">
        <w:rPr>
          <w:rFonts w:ascii="Arial" w:hAnsi="Arial" w:cs="Arial"/>
          <w:sz w:val="24"/>
          <w:szCs w:val="24"/>
        </w:rPr>
        <w:t xml:space="preserve">a </w:t>
      </w:r>
      <w:r w:rsidR="008360B2">
        <w:rPr>
          <w:rFonts w:ascii="Arial" w:hAnsi="Arial" w:cs="Arial"/>
          <w:sz w:val="24"/>
          <w:szCs w:val="24"/>
        </w:rPr>
        <w:t>prosecution in terms of s 86 of the PFMA.</w:t>
      </w:r>
    </w:p>
    <w:p w14:paraId="4C9013C8" w14:textId="77777777" w:rsidR="00C86629" w:rsidRPr="00C86629" w:rsidRDefault="00C86629" w:rsidP="005F16B4">
      <w:pPr>
        <w:pStyle w:val="ListParagraph"/>
        <w:spacing w:after="0" w:line="480" w:lineRule="auto"/>
        <w:ind w:left="0"/>
        <w:jc w:val="both"/>
        <w:rPr>
          <w:rFonts w:ascii="Arial" w:hAnsi="Arial" w:cs="Arial"/>
          <w:sz w:val="24"/>
          <w:szCs w:val="24"/>
        </w:rPr>
      </w:pPr>
    </w:p>
    <w:p w14:paraId="4E53BC7E" w14:textId="77777777" w:rsidR="00C86629" w:rsidRDefault="00C86629" w:rsidP="005F16B4">
      <w:pPr>
        <w:pStyle w:val="ListParagraph"/>
        <w:numPr>
          <w:ilvl w:val="0"/>
          <w:numId w:val="20"/>
        </w:numPr>
        <w:tabs>
          <w:tab w:val="left" w:pos="0"/>
        </w:tabs>
        <w:spacing w:after="0" w:line="480" w:lineRule="auto"/>
        <w:ind w:left="0" w:firstLine="0"/>
        <w:jc w:val="both"/>
        <w:rPr>
          <w:rFonts w:ascii="Arial" w:hAnsi="Arial" w:cs="Arial"/>
          <w:sz w:val="24"/>
          <w:szCs w:val="24"/>
        </w:rPr>
      </w:pPr>
      <w:r w:rsidRPr="00416BEE">
        <w:rPr>
          <w:rFonts w:ascii="Arial" w:hAnsi="Arial" w:cs="Arial"/>
          <w:sz w:val="24"/>
          <w:szCs w:val="24"/>
        </w:rPr>
        <w:t>Notwithstanding the disturbing financial mismanagement of ECDOH,</w:t>
      </w:r>
      <w:r>
        <w:rPr>
          <w:rFonts w:ascii="Arial" w:hAnsi="Arial" w:cs="Arial"/>
          <w:sz w:val="24"/>
          <w:szCs w:val="24"/>
        </w:rPr>
        <w:t xml:space="preserve"> the HOD of t</w:t>
      </w:r>
      <w:r w:rsidRPr="00416BEE">
        <w:rPr>
          <w:rFonts w:ascii="Arial" w:hAnsi="Arial" w:cs="Arial"/>
          <w:sz w:val="24"/>
          <w:szCs w:val="24"/>
        </w:rPr>
        <w:t xml:space="preserve">reasury said that even if the expenses had been budgeted for it would simply mean that less would be available from the inception to be allocated to the ECDOH’s programs unless further funding was available.  It is, of course, true of any enterprise that the payment of its debts will result in it having less money available for the implementation of its business.  </w:t>
      </w:r>
      <w:r>
        <w:rPr>
          <w:rFonts w:ascii="Arial" w:hAnsi="Arial" w:cs="Arial"/>
          <w:sz w:val="24"/>
          <w:szCs w:val="24"/>
        </w:rPr>
        <w:t xml:space="preserve">The current position has, at the very least been exacerbated by the continued failure to comply with the legislation.  </w:t>
      </w:r>
      <w:r w:rsidRPr="00416BEE">
        <w:rPr>
          <w:rFonts w:ascii="Arial" w:hAnsi="Arial" w:cs="Arial"/>
          <w:sz w:val="24"/>
          <w:szCs w:val="24"/>
        </w:rPr>
        <w:t>How</w:t>
      </w:r>
      <w:r>
        <w:rPr>
          <w:rFonts w:ascii="Arial" w:hAnsi="Arial" w:cs="Arial"/>
          <w:sz w:val="24"/>
          <w:szCs w:val="24"/>
        </w:rPr>
        <w:t>ever, it is undeniably so that s</w:t>
      </w:r>
      <w:r w:rsidRPr="00416BEE">
        <w:rPr>
          <w:rFonts w:ascii="Arial" w:hAnsi="Arial" w:cs="Arial"/>
          <w:sz w:val="24"/>
          <w:szCs w:val="24"/>
        </w:rPr>
        <w:t xml:space="preserve">tate coffers, including those of the Eastern Cape Government and </w:t>
      </w:r>
      <w:r w:rsidRPr="00416BEE">
        <w:rPr>
          <w:rFonts w:ascii="Arial" w:hAnsi="Arial" w:cs="Arial"/>
          <w:sz w:val="24"/>
          <w:szCs w:val="24"/>
        </w:rPr>
        <w:lastRenderedPageBreak/>
        <w:t>the ECDOH</w:t>
      </w:r>
      <w:r>
        <w:rPr>
          <w:rFonts w:ascii="Arial" w:hAnsi="Arial" w:cs="Arial"/>
          <w:sz w:val="24"/>
          <w:szCs w:val="24"/>
        </w:rPr>
        <w:t>,</w:t>
      </w:r>
      <w:r w:rsidRPr="00416BEE">
        <w:rPr>
          <w:rFonts w:ascii="Arial" w:hAnsi="Arial" w:cs="Arial"/>
          <w:sz w:val="24"/>
          <w:szCs w:val="24"/>
        </w:rPr>
        <w:t xml:space="preserve"> are under significant pressure.  </w:t>
      </w:r>
      <w:r>
        <w:rPr>
          <w:rFonts w:ascii="Arial" w:hAnsi="Arial" w:cs="Arial"/>
          <w:sz w:val="24"/>
          <w:szCs w:val="24"/>
        </w:rPr>
        <w:t xml:space="preserve">Whilst </w:t>
      </w:r>
      <w:r w:rsidR="0079561A">
        <w:rPr>
          <w:rFonts w:ascii="Arial" w:hAnsi="Arial" w:cs="Arial"/>
          <w:sz w:val="24"/>
          <w:szCs w:val="24"/>
        </w:rPr>
        <w:t xml:space="preserve">the </w:t>
      </w:r>
      <w:r>
        <w:rPr>
          <w:rFonts w:ascii="Arial" w:hAnsi="Arial" w:cs="Arial"/>
          <w:sz w:val="24"/>
          <w:szCs w:val="24"/>
        </w:rPr>
        <w:t>applicants have clearly demonstrated the severe fiscal constraints imposed on the ECDOH, I do not think that its imminent collapse is reasonably anticipated.  The SLA provides for the payment of judgment debts by the treasury, if the ECDOH fails or is unable to pay</w:t>
      </w:r>
      <w:r w:rsidR="00D40345">
        <w:rPr>
          <w:rFonts w:ascii="Arial" w:hAnsi="Arial" w:cs="Arial"/>
          <w:sz w:val="24"/>
          <w:szCs w:val="24"/>
        </w:rPr>
        <w:t>,</w:t>
      </w:r>
      <w:r>
        <w:rPr>
          <w:rFonts w:ascii="Arial" w:hAnsi="Arial" w:cs="Arial"/>
          <w:sz w:val="24"/>
          <w:szCs w:val="24"/>
        </w:rPr>
        <w:t xml:space="preserve"> and in the final analysis, health is a joint competency of national and provincial government.  The obligation </w:t>
      </w:r>
      <w:r w:rsidR="00D40345">
        <w:rPr>
          <w:rFonts w:ascii="Arial" w:hAnsi="Arial" w:cs="Arial"/>
          <w:sz w:val="24"/>
          <w:szCs w:val="24"/>
        </w:rPr>
        <w:t xml:space="preserve">imposed by </w:t>
      </w:r>
      <w:r>
        <w:rPr>
          <w:rFonts w:ascii="Arial" w:hAnsi="Arial" w:cs="Arial"/>
          <w:sz w:val="24"/>
          <w:szCs w:val="24"/>
        </w:rPr>
        <w:t>s 27 of the Constitution binds the national government as much as it does the applicants.  Moreover, the Eastern Cape government has it within its power to raise revenue of its own.</w:t>
      </w:r>
      <w:r>
        <w:rPr>
          <w:rStyle w:val="FootnoteReference"/>
          <w:rFonts w:ascii="Arial" w:hAnsi="Arial" w:cs="Arial"/>
          <w:sz w:val="24"/>
          <w:szCs w:val="24"/>
        </w:rPr>
        <w:footnoteReference w:id="78"/>
      </w:r>
    </w:p>
    <w:p w14:paraId="7D7309A2" w14:textId="77777777" w:rsidR="00F052B3" w:rsidRDefault="00F052B3" w:rsidP="005F16B4">
      <w:pPr>
        <w:pStyle w:val="ListParagraph"/>
        <w:tabs>
          <w:tab w:val="left" w:pos="0"/>
        </w:tabs>
        <w:spacing w:after="0" w:line="480" w:lineRule="auto"/>
        <w:ind w:left="0"/>
        <w:jc w:val="both"/>
        <w:rPr>
          <w:rFonts w:ascii="Arial" w:hAnsi="Arial" w:cs="Arial"/>
          <w:sz w:val="24"/>
          <w:szCs w:val="24"/>
        </w:rPr>
      </w:pPr>
    </w:p>
    <w:p w14:paraId="41458037" w14:textId="77777777" w:rsidR="00D31E26" w:rsidRPr="00D31E26" w:rsidRDefault="00D31E26" w:rsidP="005F16B4">
      <w:pPr>
        <w:pStyle w:val="ListParagraph"/>
        <w:tabs>
          <w:tab w:val="left" w:pos="0"/>
        </w:tabs>
        <w:spacing w:after="0" w:line="480" w:lineRule="auto"/>
        <w:ind w:left="0"/>
        <w:jc w:val="both"/>
        <w:rPr>
          <w:rFonts w:ascii="Arial" w:hAnsi="Arial" w:cs="Arial"/>
          <w:sz w:val="24"/>
          <w:szCs w:val="24"/>
          <w:u w:val="single"/>
        </w:rPr>
      </w:pPr>
      <w:r w:rsidRPr="00D31E26">
        <w:rPr>
          <w:rFonts w:ascii="Arial" w:hAnsi="Arial" w:cs="Arial"/>
          <w:sz w:val="24"/>
          <w:szCs w:val="24"/>
          <w:u w:val="single"/>
        </w:rPr>
        <w:t>Application to vary orders of court</w:t>
      </w:r>
    </w:p>
    <w:p w14:paraId="22549B45" w14:textId="77777777" w:rsidR="00262E6D" w:rsidRDefault="00D31E26" w:rsidP="005F16B4">
      <w:pPr>
        <w:pStyle w:val="ListParagraph"/>
        <w:numPr>
          <w:ilvl w:val="0"/>
          <w:numId w:val="20"/>
        </w:numPr>
        <w:tabs>
          <w:tab w:val="left" w:pos="0"/>
        </w:tabs>
        <w:spacing w:after="0" w:line="480" w:lineRule="auto"/>
        <w:ind w:left="0" w:firstLine="0"/>
        <w:jc w:val="both"/>
        <w:rPr>
          <w:rFonts w:ascii="Arial" w:hAnsi="Arial" w:cs="Arial"/>
          <w:sz w:val="24"/>
          <w:szCs w:val="24"/>
        </w:rPr>
      </w:pPr>
      <w:r>
        <w:rPr>
          <w:rFonts w:ascii="Arial" w:hAnsi="Arial" w:cs="Arial"/>
          <w:sz w:val="24"/>
          <w:szCs w:val="24"/>
        </w:rPr>
        <w:t>As adumbrated earlier</w:t>
      </w:r>
      <w:r w:rsidR="002D5304">
        <w:rPr>
          <w:rFonts w:ascii="Arial" w:hAnsi="Arial" w:cs="Arial"/>
          <w:sz w:val="24"/>
          <w:szCs w:val="24"/>
        </w:rPr>
        <w:t>,</w:t>
      </w:r>
      <w:r>
        <w:rPr>
          <w:rFonts w:ascii="Arial" w:hAnsi="Arial" w:cs="Arial"/>
          <w:sz w:val="24"/>
          <w:szCs w:val="24"/>
        </w:rPr>
        <w:t xml:space="preserve"> the applicants</w:t>
      </w:r>
      <w:r w:rsidR="002D5304">
        <w:rPr>
          <w:rFonts w:ascii="Arial" w:hAnsi="Arial" w:cs="Arial"/>
          <w:sz w:val="24"/>
          <w:szCs w:val="24"/>
        </w:rPr>
        <w:t>,</w:t>
      </w:r>
      <w:r>
        <w:rPr>
          <w:rFonts w:ascii="Arial" w:hAnsi="Arial" w:cs="Arial"/>
          <w:sz w:val="24"/>
          <w:szCs w:val="24"/>
        </w:rPr>
        <w:t xml:space="preserve"> </w:t>
      </w:r>
      <w:r w:rsidR="007D1AA7">
        <w:rPr>
          <w:rFonts w:ascii="Arial" w:hAnsi="Arial" w:cs="Arial"/>
          <w:sz w:val="24"/>
          <w:szCs w:val="24"/>
        </w:rPr>
        <w:t>in p</w:t>
      </w:r>
      <w:r>
        <w:rPr>
          <w:rFonts w:ascii="Arial" w:hAnsi="Arial" w:cs="Arial"/>
          <w:sz w:val="24"/>
          <w:szCs w:val="24"/>
        </w:rPr>
        <w:t>art A of their notice of motion</w:t>
      </w:r>
      <w:r w:rsidR="002D5304">
        <w:rPr>
          <w:rFonts w:ascii="Arial" w:hAnsi="Arial" w:cs="Arial"/>
          <w:sz w:val="24"/>
          <w:szCs w:val="24"/>
        </w:rPr>
        <w:t>,</w:t>
      </w:r>
      <w:r>
        <w:rPr>
          <w:rFonts w:ascii="Arial" w:hAnsi="Arial" w:cs="Arial"/>
          <w:sz w:val="24"/>
          <w:szCs w:val="24"/>
        </w:rPr>
        <w:t xml:space="preserve"> </w:t>
      </w:r>
      <w:r w:rsidR="002D5304">
        <w:rPr>
          <w:rFonts w:ascii="Arial" w:hAnsi="Arial" w:cs="Arial"/>
          <w:sz w:val="24"/>
          <w:szCs w:val="24"/>
        </w:rPr>
        <w:t xml:space="preserve">sought an </w:t>
      </w:r>
      <w:r>
        <w:rPr>
          <w:rFonts w:ascii="Arial" w:hAnsi="Arial" w:cs="Arial"/>
          <w:sz w:val="24"/>
          <w:szCs w:val="24"/>
        </w:rPr>
        <w:t>interim interdi</w:t>
      </w:r>
      <w:r w:rsidR="007D1AA7">
        <w:rPr>
          <w:rFonts w:ascii="Arial" w:hAnsi="Arial" w:cs="Arial"/>
          <w:sz w:val="24"/>
          <w:szCs w:val="24"/>
        </w:rPr>
        <w:t>ct pending the finalisation of p</w:t>
      </w:r>
      <w:r>
        <w:rPr>
          <w:rFonts w:ascii="Arial" w:hAnsi="Arial" w:cs="Arial"/>
          <w:sz w:val="24"/>
          <w:szCs w:val="24"/>
        </w:rPr>
        <w:t>art B of the application.  I have explained earlier</w:t>
      </w:r>
      <w:r w:rsidR="00A42FA2">
        <w:rPr>
          <w:rFonts w:ascii="Arial" w:hAnsi="Arial" w:cs="Arial"/>
          <w:sz w:val="24"/>
          <w:szCs w:val="24"/>
        </w:rPr>
        <w:t xml:space="preserve"> that</w:t>
      </w:r>
      <w:r w:rsidR="002B6AD5">
        <w:rPr>
          <w:rFonts w:ascii="Arial" w:hAnsi="Arial" w:cs="Arial"/>
          <w:sz w:val="24"/>
          <w:szCs w:val="24"/>
        </w:rPr>
        <w:t xml:space="preserve"> </w:t>
      </w:r>
      <w:r>
        <w:rPr>
          <w:rFonts w:ascii="Arial" w:hAnsi="Arial" w:cs="Arial"/>
          <w:sz w:val="24"/>
          <w:szCs w:val="24"/>
        </w:rPr>
        <w:t xml:space="preserve">the relief </w:t>
      </w:r>
      <w:r w:rsidR="002D5304">
        <w:rPr>
          <w:rFonts w:ascii="Arial" w:hAnsi="Arial" w:cs="Arial"/>
          <w:sz w:val="24"/>
          <w:szCs w:val="24"/>
        </w:rPr>
        <w:t xml:space="preserve">now </w:t>
      </w:r>
      <w:r>
        <w:rPr>
          <w:rFonts w:ascii="Arial" w:hAnsi="Arial" w:cs="Arial"/>
          <w:sz w:val="24"/>
          <w:szCs w:val="24"/>
        </w:rPr>
        <w:t xml:space="preserve">sought </w:t>
      </w:r>
      <w:r w:rsidR="00262E6D">
        <w:rPr>
          <w:rFonts w:ascii="Arial" w:hAnsi="Arial" w:cs="Arial"/>
          <w:sz w:val="24"/>
          <w:szCs w:val="24"/>
        </w:rPr>
        <w:t>relate</w:t>
      </w:r>
      <w:r w:rsidR="002D5304">
        <w:rPr>
          <w:rFonts w:ascii="Arial" w:hAnsi="Arial" w:cs="Arial"/>
          <w:sz w:val="24"/>
          <w:szCs w:val="24"/>
        </w:rPr>
        <w:t>s</w:t>
      </w:r>
      <w:r w:rsidR="00262E6D">
        <w:rPr>
          <w:rFonts w:ascii="Arial" w:hAnsi="Arial" w:cs="Arial"/>
          <w:sz w:val="24"/>
          <w:szCs w:val="24"/>
        </w:rPr>
        <w:t xml:space="preserve"> only to the orders already obtained by the plaintiff respondents and can </w:t>
      </w:r>
      <w:r w:rsidR="002B6AD5">
        <w:rPr>
          <w:rFonts w:ascii="Arial" w:hAnsi="Arial" w:cs="Arial"/>
          <w:sz w:val="24"/>
          <w:szCs w:val="24"/>
        </w:rPr>
        <w:t xml:space="preserve">therefore </w:t>
      </w:r>
      <w:r w:rsidR="00262E6D">
        <w:rPr>
          <w:rFonts w:ascii="Arial" w:hAnsi="Arial" w:cs="Arial"/>
          <w:sz w:val="24"/>
          <w:szCs w:val="24"/>
        </w:rPr>
        <w:t>only be interim to the determination of the applications for variation.</w:t>
      </w:r>
    </w:p>
    <w:p w14:paraId="22D55F04" w14:textId="77777777" w:rsidR="00262E6D" w:rsidRDefault="00262E6D" w:rsidP="005F16B4">
      <w:pPr>
        <w:pStyle w:val="ListParagraph"/>
        <w:tabs>
          <w:tab w:val="left" w:pos="0"/>
        </w:tabs>
        <w:spacing w:after="0" w:line="480" w:lineRule="auto"/>
        <w:ind w:left="0"/>
        <w:jc w:val="both"/>
        <w:rPr>
          <w:rFonts w:ascii="Arial" w:hAnsi="Arial" w:cs="Arial"/>
          <w:sz w:val="24"/>
          <w:szCs w:val="24"/>
        </w:rPr>
      </w:pPr>
    </w:p>
    <w:p w14:paraId="6EAAD1BA" w14:textId="025E717C" w:rsidR="0013595C" w:rsidRPr="0013595C" w:rsidRDefault="00262E6D" w:rsidP="005F16B4">
      <w:pPr>
        <w:pStyle w:val="ListParagraph"/>
        <w:numPr>
          <w:ilvl w:val="0"/>
          <w:numId w:val="20"/>
        </w:numPr>
        <w:tabs>
          <w:tab w:val="left" w:pos="0"/>
        </w:tabs>
        <w:spacing w:after="0" w:line="480" w:lineRule="auto"/>
        <w:ind w:left="0" w:firstLine="0"/>
        <w:jc w:val="both"/>
        <w:rPr>
          <w:rFonts w:ascii="Arial" w:hAnsi="Arial" w:cs="Arial"/>
          <w:sz w:val="24"/>
          <w:szCs w:val="24"/>
        </w:rPr>
      </w:pPr>
      <w:r w:rsidRPr="00262E6D">
        <w:rPr>
          <w:rFonts w:ascii="Arial" w:hAnsi="Arial" w:cs="Arial"/>
          <w:sz w:val="24"/>
          <w:szCs w:val="24"/>
        </w:rPr>
        <w:t xml:space="preserve">In its founding papers the applicants gave no indication of the nature of the variation </w:t>
      </w:r>
      <w:r w:rsidR="000E2FF8">
        <w:rPr>
          <w:rFonts w:ascii="Arial" w:hAnsi="Arial" w:cs="Arial"/>
          <w:sz w:val="24"/>
          <w:szCs w:val="24"/>
        </w:rPr>
        <w:t>that</w:t>
      </w:r>
      <w:r w:rsidRPr="00262E6D">
        <w:rPr>
          <w:rFonts w:ascii="Arial" w:hAnsi="Arial" w:cs="Arial"/>
          <w:sz w:val="24"/>
          <w:szCs w:val="24"/>
        </w:rPr>
        <w:t xml:space="preserve"> they would seek.  When challenged that they had no plan for the payment of instalments</w:t>
      </w:r>
      <w:r w:rsidR="0079561A">
        <w:rPr>
          <w:rFonts w:ascii="Arial" w:hAnsi="Arial" w:cs="Arial"/>
          <w:sz w:val="24"/>
          <w:szCs w:val="24"/>
        </w:rPr>
        <w:t>,</w:t>
      </w:r>
      <w:r w:rsidRPr="00262E6D">
        <w:rPr>
          <w:rFonts w:ascii="Arial" w:hAnsi="Arial" w:cs="Arial"/>
          <w:sz w:val="24"/>
          <w:szCs w:val="24"/>
        </w:rPr>
        <w:t xml:space="preserve"> the respondents, in reply, produced a schedule, currently annexed to the second draft order, which attributes to each plaintiff respondent an initial payment, as adumbrated earlier, and thereafter equal payments, in some cases extending over ten years.  </w:t>
      </w:r>
      <w:r w:rsidR="002B6AD5">
        <w:rPr>
          <w:rFonts w:ascii="Arial" w:hAnsi="Arial" w:cs="Arial"/>
          <w:sz w:val="24"/>
          <w:szCs w:val="24"/>
        </w:rPr>
        <w:t>The schedule made no provision for the payment of interest that has already accrued</w:t>
      </w:r>
      <w:r w:rsidR="0079561A">
        <w:rPr>
          <w:rFonts w:ascii="Arial" w:hAnsi="Arial" w:cs="Arial"/>
          <w:sz w:val="24"/>
          <w:szCs w:val="24"/>
        </w:rPr>
        <w:t>,</w:t>
      </w:r>
      <w:r w:rsidR="002B6AD5">
        <w:rPr>
          <w:rFonts w:ascii="Arial" w:hAnsi="Arial" w:cs="Arial"/>
          <w:sz w:val="24"/>
          <w:szCs w:val="24"/>
        </w:rPr>
        <w:t xml:space="preserve"> or that will accrue in future</w:t>
      </w:r>
      <w:r w:rsidR="0079561A">
        <w:rPr>
          <w:rFonts w:ascii="Arial" w:hAnsi="Arial" w:cs="Arial"/>
          <w:sz w:val="24"/>
          <w:szCs w:val="24"/>
        </w:rPr>
        <w:t>,</w:t>
      </w:r>
      <w:r w:rsidR="002B6AD5">
        <w:rPr>
          <w:rFonts w:ascii="Arial" w:hAnsi="Arial" w:cs="Arial"/>
          <w:sz w:val="24"/>
          <w:szCs w:val="24"/>
        </w:rPr>
        <w:t xml:space="preserve"> on the outstanding balance.  </w:t>
      </w:r>
      <w:r w:rsidRPr="00262E6D">
        <w:rPr>
          <w:rFonts w:ascii="Arial" w:hAnsi="Arial" w:cs="Arial"/>
          <w:sz w:val="24"/>
          <w:szCs w:val="24"/>
        </w:rPr>
        <w:t xml:space="preserve">It gave no indication of the manner in which these amounts were calculated, made no mention </w:t>
      </w:r>
      <w:r w:rsidRPr="00262E6D">
        <w:rPr>
          <w:rFonts w:ascii="Arial" w:hAnsi="Arial" w:cs="Arial"/>
          <w:sz w:val="24"/>
          <w:szCs w:val="24"/>
        </w:rPr>
        <w:lastRenderedPageBreak/>
        <w:t xml:space="preserve">of </w:t>
      </w:r>
      <w:r w:rsidR="0079561A">
        <w:rPr>
          <w:rFonts w:ascii="Arial" w:hAnsi="Arial" w:cs="Arial"/>
          <w:sz w:val="24"/>
          <w:szCs w:val="24"/>
        </w:rPr>
        <w:t xml:space="preserve">the </w:t>
      </w:r>
      <w:r w:rsidR="00C77E68">
        <w:rPr>
          <w:rFonts w:ascii="Arial" w:hAnsi="Arial" w:cs="Arial"/>
          <w:sz w:val="24"/>
          <w:szCs w:val="24"/>
        </w:rPr>
        <w:t>circumstance</w:t>
      </w:r>
      <w:r w:rsidR="002D5304">
        <w:rPr>
          <w:rFonts w:ascii="Arial" w:hAnsi="Arial" w:cs="Arial"/>
          <w:sz w:val="24"/>
          <w:szCs w:val="24"/>
        </w:rPr>
        <w:t>s</w:t>
      </w:r>
      <w:r w:rsidR="00C77E68">
        <w:rPr>
          <w:rFonts w:ascii="Arial" w:hAnsi="Arial" w:cs="Arial"/>
          <w:sz w:val="24"/>
          <w:szCs w:val="24"/>
        </w:rPr>
        <w:t xml:space="preserve"> or needs of </w:t>
      </w:r>
      <w:r w:rsidRPr="00262E6D">
        <w:rPr>
          <w:rFonts w:ascii="Arial" w:hAnsi="Arial" w:cs="Arial"/>
          <w:sz w:val="24"/>
          <w:szCs w:val="24"/>
        </w:rPr>
        <w:t xml:space="preserve">the individual </w:t>
      </w:r>
      <w:r w:rsidR="002D5304">
        <w:rPr>
          <w:rFonts w:ascii="Arial" w:hAnsi="Arial" w:cs="Arial"/>
          <w:sz w:val="24"/>
          <w:szCs w:val="24"/>
        </w:rPr>
        <w:t xml:space="preserve">plaintiff respondents and </w:t>
      </w:r>
      <w:r w:rsidRPr="00262E6D">
        <w:rPr>
          <w:rFonts w:ascii="Arial" w:hAnsi="Arial" w:cs="Arial"/>
          <w:sz w:val="24"/>
          <w:szCs w:val="24"/>
        </w:rPr>
        <w:t xml:space="preserve">injured </w:t>
      </w:r>
      <w:r w:rsidR="002D5304">
        <w:rPr>
          <w:rFonts w:ascii="Arial" w:hAnsi="Arial" w:cs="Arial"/>
          <w:sz w:val="24"/>
          <w:szCs w:val="24"/>
        </w:rPr>
        <w:t>parties,</w:t>
      </w:r>
      <w:r>
        <w:rPr>
          <w:rFonts w:ascii="Arial" w:hAnsi="Arial" w:cs="Arial"/>
          <w:sz w:val="24"/>
          <w:szCs w:val="24"/>
        </w:rPr>
        <w:t xml:space="preserve"> and the applicants contend</w:t>
      </w:r>
      <w:r w:rsidR="002B6AD5">
        <w:rPr>
          <w:rFonts w:ascii="Arial" w:hAnsi="Arial" w:cs="Arial"/>
          <w:sz w:val="24"/>
          <w:szCs w:val="24"/>
        </w:rPr>
        <w:t>ed</w:t>
      </w:r>
      <w:r>
        <w:rPr>
          <w:rFonts w:ascii="Arial" w:hAnsi="Arial" w:cs="Arial"/>
          <w:sz w:val="24"/>
          <w:szCs w:val="24"/>
        </w:rPr>
        <w:t xml:space="preserve"> that the amounts have been arrived at solely on the basis of their affordability.  </w:t>
      </w:r>
      <w:r w:rsidR="000E2FF8">
        <w:rPr>
          <w:rFonts w:ascii="Arial" w:hAnsi="Arial" w:cs="Arial"/>
          <w:sz w:val="24"/>
          <w:szCs w:val="24"/>
        </w:rPr>
        <w:t>They gave no indication of where these funds would be sourced from</w:t>
      </w:r>
      <w:r w:rsidR="0079561A">
        <w:rPr>
          <w:rFonts w:ascii="Arial" w:hAnsi="Arial" w:cs="Arial"/>
          <w:sz w:val="24"/>
          <w:szCs w:val="24"/>
        </w:rPr>
        <w:t>,</w:t>
      </w:r>
      <w:r w:rsidR="000E2FF8">
        <w:rPr>
          <w:rFonts w:ascii="Arial" w:hAnsi="Arial" w:cs="Arial"/>
          <w:sz w:val="24"/>
          <w:szCs w:val="24"/>
        </w:rPr>
        <w:t xml:space="preserve"> given that they have not been budgeted for</w:t>
      </w:r>
      <w:r w:rsidR="0079561A">
        <w:rPr>
          <w:rFonts w:ascii="Arial" w:hAnsi="Arial" w:cs="Arial"/>
          <w:sz w:val="24"/>
          <w:szCs w:val="24"/>
        </w:rPr>
        <w:t>,</w:t>
      </w:r>
      <w:r w:rsidR="000E2FF8">
        <w:rPr>
          <w:rFonts w:ascii="Arial" w:hAnsi="Arial" w:cs="Arial"/>
          <w:sz w:val="24"/>
          <w:szCs w:val="24"/>
        </w:rPr>
        <w:t xml:space="preserve"> nor </w:t>
      </w:r>
      <w:r w:rsidR="00734795">
        <w:rPr>
          <w:rFonts w:ascii="Arial" w:hAnsi="Arial" w:cs="Arial"/>
          <w:sz w:val="24"/>
          <w:szCs w:val="24"/>
        </w:rPr>
        <w:t>have they shown that the MEC for Finance has put forward any proposals to meet these liabilities in the annual budget</w:t>
      </w:r>
      <w:r w:rsidR="000E2FF8">
        <w:rPr>
          <w:rFonts w:ascii="Arial" w:hAnsi="Arial" w:cs="Arial"/>
          <w:sz w:val="24"/>
          <w:szCs w:val="24"/>
        </w:rPr>
        <w:t>.</w:t>
      </w:r>
      <w:r w:rsidR="0079561A">
        <w:rPr>
          <w:rStyle w:val="FootnoteReference"/>
          <w:rFonts w:ascii="Arial" w:hAnsi="Arial" w:cs="Arial"/>
          <w:sz w:val="24"/>
          <w:szCs w:val="24"/>
        </w:rPr>
        <w:footnoteReference w:id="79"/>
      </w:r>
    </w:p>
    <w:p w14:paraId="2A3CAC08" w14:textId="77777777" w:rsidR="0013595C" w:rsidRPr="0013595C" w:rsidRDefault="0013595C" w:rsidP="005F16B4">
      <w:pPr>
        <w:pStyle w:val="ListParagraph"/>
        <w:spacing w:after="0" w:line="480" w:lineRule="auto"/>
        <w:ind w:left="0"/>
        <w:jc w:val="both"/>
        <w:rPr>
          <w:rFonts w:ascii="Arial" w:hAnsi="Arial" w:cs="Arial"/>
          <w:sz w:val="24"/>
          <w:szCs w:val="24"/>
        </w:rPr>
      </w:pPr>
    </w:p>
    <w:p w14:paraId="74A07244" w14:textId="06487BD0" w:rsidR="00043AD9" w:rsidRDefault="002D5304" w:rsidP="005F16B4">
      <w:pPr>
        <w:pStyle w:val="ListParagraph"/>
        <w:numPr>
          <w:ilvl w:val="0"/>
          <w:numId w:val="20"/>
        </w:numPr>
        <w:tabs>
          <w:tab w:val="left" w:pos="0"/>
        </w:tabs>
        <w:spacing w:after="0" w:line="480" w:lineRule="auto"/>
        <w:ind w:left="0" w:firstLine="0"/>
        <w:jc w:val="both"/>
        <w:rPr>
          <w:rFonts w:ascii="Arial" w:hAnsi="Arial" w:cs="Arial"/>
          <w:sz w:val="24"/>
          <w:szCs w:val="24"/>
        </w:rPr>
      </w:pPr>
      <w:r>
        <w:rPr>
          <w:rFonts w:ascii="Arial" w:hAnsi="Arial" w:cs="Arial"/>
          <w:sz w:val="24"/>
          <w:szCs w:val="24"/>
        </w:rPr>
        <w:t xml:space="preserve">The circumstances of the plaintiff respondents differ from case to case.  </w:t>
      </w:r>
      <w:r w:rsidR="00043AD9">
        <w:rPr>
          <w:rFonts w:ascii="Arial" w:hAnsi="Arial" w:cs="Arial"/>
          <w:sz w:val="24"/>
          <w:szCs w:val="24"/>
        </w:rPr>
        <w:t>The vast majority of claims, as I have observed before, are cerebral palsy related claims.  These judgments often include an award to provide for private caregivers, alter</w:t>
      </w:r>
      <w:r w:rsidR="00734795">
        <w:rPr>
          <w:rFonts w:ascii="Arial" w:hAnsi="Arial" w:cs="Arial"/>
          <w:sz w:val="24"/>
          <w:szCs w:val="24"/>
        </w:rPr>
        <w:t>ations</w:t>
      </w:r>
      <w:r w:rsidR="00043AD9">
        <w:rPr>
          <w:rFonts w:ascii="Arial" w:hAnsi="Arial" w:cs="Arial"/>
          <w:sz w:val="24"/>
          <w:szCs w:val="24"/>
        </w:rPr>
        <w:t xml:space="preserve"> to the primary residence </w:t>
      </w:r>
      <w:r w:rsidR="000E2FF8">
        <w:rPr>
          <w:rFonts w:ascii="Arial" w:hAnsi="Arial" w:cs="Arial"/>
          <w:sz w:val="24"/>
          <w:szCs w:val="24"/>
        </w:rPr>
        <w:t xml:space="preserve">so as </w:t>
      </w:r>
      <w:r w:rsidR="00043AD9">
        <w:rPr>
          <w:rFonts w:ascii="Arial" w:hAnsi="Arial" w:cs="Arial"/>
          <w:sz w:val="24"/>
          <w:szCs w:val="24"/>
        </w:rPr>
        <w:t>to provide for the need for specialised access for wheelchairs, specialised bathing facilities, specialised sleeping facilities, onsite residence for caregivers and the storage of medical equipment.  Where the plaintiffs are resident in remote rural areas the award may often provide for the acquisition and adaptation of specialised transport to bring the child to a cent</w:t>
      </w:r>
      <w:r w:rsidR="00110DA8">
        <w:rPr>
          <w:rFonts w:ascii="Arial" w:hAnsi="Arial" w:cs="Arial"/>
          <w:sz w:val="24"/>
          <w:szCs w:val="24"/>
        </w:rPr>
        <w:t>re</w:t>
      </w:r>
      <w:r w:rsidR="00043AD9">
        <w:rPr>
          <w:rFonts w:ascii="Arial" w:hAnsi="Arial" w:cs="Arial"/>
          <w:sz w:val="24"/>
          <w:szCs w:val="24"/>
        </w:rPr>
        <w:t xml:space="preserve"> where specialised medical or educational needs </w:t>
      </w:r>
      <w:r w:rsidR="00734795">
        <w:rPr>
          <w:rFonts w:ascii="Arial" w:hAnsi="Arial" w:cs="Arial"/>
          <w:sz w:val="24"/>
          <w:szCs w:val="24"/>
        </w:rPr>
        <w:t>may be met</w:t>
      </w:r>
      <w:r w:rsidR="00043AD9">
        <w:rPr>
          <w:rFonts w:ascii="Arial" w:hAnsi="Arial" w:cs="Arial"/>
          <w:sz w:val="24"/>
          <w:szCs w:val="24"/>
        </w:rPr>
        <w:t xml:space="preserve">.  In extreme cases, the applicants acknowledge, provision </w:t>
      </w:r>
      <w:r w:rsidR="000E2FF8">
        <w:rPr>
          <w:rFonts w:ascii="Arial" w:hAnsi="Arial" w:cs="Arial"/>
          <w:sz w:val="24"/>
          <w:szCs w:val="24"/>
        </w:rPr>
        <w:t xml:space="preserve">is sometimes </w:t>
      </w:r>
      <w:r w:rsidR="00043AD9">
        <w:rPr>
          <w:rFonts w:ascii="Arial" w:hAnsi="Arial" w:cs="Arial"/>
          <w:sz w:val="24"/>
          <w:szCs w:val="24"/>
        </w:rPr>
        <w:t xml:space="preserve">made for a second </w:t>
      </w:r>
      <w:r w:rsidR="000E2FF8">
        <w:rPr>
          <w:rFonts w:ascii="Arial" w:hAnsi="Arial" w:cs="Arial"/>
          <w:sz w:val="24"/>
          <w:szCs w:val="24"/>
        </w:rPr>
        <w:t>apartment</w:t>
      </w:r>
      <w:r w:rsidR="00043AD9">
        <w:rPr>
          <w:rFonts w:ascii="Arial" w:hAnsi="Arial" w:cs="Arial"/>
          <w:sz w:val="24"/>
          <w:szCs w:val="24"/>
        </w:rPr>
        <w:t xml:space="preserve"> or home in the city where such services are available.  These constitute very considerable expenses which </w:t>
      </w:r>
      <w:r w:rsidR="0079561A">
        <w:rPr>
          <w:rFonts w:ascii="Arial" w:hAnsi="Arial" w:cs="Arial"/>
          <w:sz w:val="24"/>
          <w:szCs w:val="24"/>
        </w:rPr>
        <w:t>may</w:t>
      </w:r>
      <w:r w:rsidR="00043AD9">
        <w:rPr>
          <w:rFonts w:ascii="Arial" w:hAnsi="Arial" w:cs="Arial"/>
          <w:sz w:val="24"/>
          <w:szCs w:val="24"/>
        </w:rPr>
        <w:t xml:space="preserve"> be required immediately and</w:t>
      </w:r>
      <w:r w:rsidR="0079561A">
        <w:rPr>
          <w:rFonts w:ascii="Arial" w:hAnsi="Arial" w:cs="Arial"/>
          <w:sz w:val="24"/>
          <w:szCs w:val="24"/>
        </w:rPr>
        <w:t>, if an order were made to pay the judgment debt in instalments,</w:t>
      </w:r>
      <w:r w:rsidR="00043AD9">
        <w:rPr>
          <w:rFonts w:ascii="Arial" w:hAnsi="Arial" w:cs="Arial"/>
          <w:sz w:val="24"/>
          <w:szCs w:val="24"/>
        </w:rPr>
        <w:t xml:space="preserve"> would require quantification in order to determine the extent of the first instalment.  The need may </w:t>
      </w:r>
      <w:r w:rsidR="000E2FF8">
        <w:rPr>
          <w:rFonts w:ascii="Arial" w:hAnsi="Arial" w:cs="Arial"/>
          <w:sz w:val="24"/>
          <w:szCs w:val="24"/>
        </w:rPr>
        <w:t>change</w:t>
      </w:r>
      <w:r w:rsidR="00043AD9">
        <w:rPr>
          <w:rFonts w:ascii="Arial" w:hAnsi="Arial" w:cs="Arial"/>
          <w:sz w:val="24"/>
          <w:szCs w:val="24"/>
        </w:rPr>
        <w:t xml:space="preserve"> as the child reaches school going age</w:t>
      </w:r>
      <w:r w:rsidR="000E2FF8">
        <w:rPr>
          <w:rFonts w:ascii="Arial" w:hAnsi="Arial" w:cs="Arial"/>
          <w:sz w:val="24"/>
          <w:szCs w:val="24"/>
        </w:rPr>
        <w:t>,</w:t>
      </w:r>
      <w:r w:rsidR="00043AD9">
        <w:rPr>
          <w:rFonts w:ascii="Arial" w:hAnsi="Arial" w:cs="Arial"/>
          <w:sz w:val="24"/>
          <w:szCs w:val="24"/>
        </w:rPr>
        <w:t xml:space="preserve"> and evidence would be required to determine what the extent of the need might be at that particular time.  These expenses do not relate directly to the provision of the </w:t>
      </w:r>
      <w:r w:rsidR="00043AD9">
        <w:rPr>
          <w:rFonts w:ascii="Arial" w:hAnsi="Arial" w:cs="Arial"/>
          <w:sz w:val="24"/>
          <w:szCs w:val="24"/>
        </w:rPr>
        <w:lastRenderedPageBreak/>
        <w:t xml:space="preserve">emergency medical care </w:t>
      </w:r>
      <w:r w:rsidR="000E2FF8">
        <w:rPr>
          <w:rFonts w:ascii="Arial" w:hAnsi="Arial" w:cs="Arial"/>
          <w:sz w:val="24"/>
          <w:szCs w:val="24"/>
        </w:rPr>
        <w:t>that the applicants have tendered and no consideration has been given to it.</w:t>
      </w:r>
    </w:p>
    <w:p w14:paraId="4A4C7FDB" w14:textId="77777777" w:rsidR="00043AD9" w:rsidRDefault="00043AD9" w:rsidP="005F16B4">
      <w:pPr>
        <w:pStyle w:val="ListParagraph"/>
        <w:tabs>
          <w:tab w:val="left" w:pos="0"/>
        </w:tabs>
        <w:spacing w:after="0" w:line="480" w:lineRule="auto"/>
        <w:ind w:left="0"/>
        <w:jc w:val="both"/>
        <w:rPr>
          <w:rFonts w:ascii="Arial" w:hAnsi="Arial" w:cs="Arial"/>
          <w:sz w:val="24"/>
          <w:szCs w:val="24"/>
        </w:rPr>
      </w:pPr>
    </w:p>
    <w:p w14:paraId="73D1D6C9" w14:textId="77777777" w:rsidR="002D5304" w:rsidRDefault="00262E6D" w:rsidP="005F16B4">
      <w:pPr>
        <w:pStyle w:val="ListParagraph"/>
        <w:numPr>
          <w:ilvl w:val="0"/>
          <w:numId w:val="20"/>
        </w:numPr>
        <w:tabs>
          <w:tab w:val="left" w:pos="0"/>
        </w:tabs>
        <w:spacing w:after="0" w:line="480" w:lineRule="auto"/>
        <w:ind w:left="0" w:firstLine="0"/>
        <w:jc w:val="both"/>
        <w:rPr>
          <w:rFonts w:ascii="Arial" w:hAnsi="Arial" w:cs="Arial"/>
          <w:sz w:val="24"/>
          <w:szCs w:val="24"/>
        </w:rPr>
      </w:pPr>
      <w:r>
        <w:rPr>
          <w:rFonts w:ascii="Arial" w:hAnsi="Arial" w:cs="Arial"/>
          <w:sz w:val="24"/>
          <w:szCs w:val="24"/>
        </w:rPr>
        <w:t>There were, initially, forty plaintiff respondents</w:t>
      </w:r>
      <w:r w:rsidR="002D5304">
        <w:rPr>
          <w:rFonts w:ascii="Arial" w:hAnsi="Arial" w:cs="Arial"/>
          <w:sz w:val="24"/>
          <w:szCs w:val="24"/>
        </w:rPr>
        <w:t>,</w:t>
      </w:r>
      <w:r>
        <w:rPr>
          <w:rFonts w:ascii="Arial" w:hAnsi="Arial" w:cs="Arial"/>
          <w:sz w:val="24"/>
          <w:szCs w:val="24"/>
        </w:rPr>
        <w:t xml:space="preserve"> of which fourteen had obtained </w:t>
      </w:r>
      <w:r w:rsidR="000E2FF8">
        <w:rPr>
          <w:rFonts w:ascii="Arial" w:hAnsi="Arial" w:cs="Arial"/>
          <w:sz w:val="24"/>
          <w:szCs w:val="24"/>
        </w:rPr>
        <w:t xml:space="preserve">orders for </w:t>
      </w:r>
      <w:r>
        <w:rPr>
          <w:rFonts w:ascii="Arial" w:hAnsi="Arial" w:cs="Arial"/>
          <w:sz w:val="24"/>
          <w:szCs w:val="24"/>
        </w:rPr>
        <w:t>interim payments</w:t>
      </w:r>
      <w:r w:rsidR="000E2FF8">
        <w:rPr>
          <w:rFonts w:ascii="Arial" w:hAnsi="Arial" w:cs="Arial"/>
          <w:sz w:val="24"/>
          <w:szCs w:val="24"/>
        </w:rPr>
        <w:t>,</w:t>
      </w:r>
      <w:r>
        <w:rPr>
          <w:rFonts w:ascii="Arial" w:hAnsi="Arial" w:cs="Arial"/>
          <w:sz w:val="24"/>
          <w:szCs w:val="24"/>
        </w:rPr>
        <w:t xml:space="preserve"> in terms of rule 34</w:t>
      </w:r>
      <w:r w:rsidR="00F6293E">
        <w:rPr>
          <w:rFonts w:ascii="Arial" w:hAnsi="Arial" w:cs="Arial"/>
          <w:sz w:val="24"/>
          <w:szCs w:val="24"/>
        </w:rPr>
        <w:t>A</w:t>
      </w:r>
      <w:r w:rsidR="00451173">
        <w:rPr>
          <w:rFonts w:ascii="Arial" w:hAnsi="Arial" w:cs="Arial"/>
          <w:sz w:val="24"/>
          <w:szCs w:val="24"/>
        </w:rPr>
        <w:t>, to</w:t>
      </w:r>
      <w:r w:rsidR="00A42FA2">
        <w:rPr>
          <w:rFonts w:ascii="Arial" w:hAnsi="Arial" w:cs="Arial"/>
          <w:sz w:val="24"/>
          <w:szCs w:val="24"/>
        </w:rPr>
        <w:t xml:space="preserve"> provide for their immediate needs, pending the final qua</w:t>
      </w:r>
      <w:r w:rsidR="00D40345">
        <w:rPr>
          <w:rFonts w:ascii="Arial" w:hAnsi="Arial" w:cs="Arial"/>
          <w:sz w:val="24"/>
          <w:szCs w:val="24"/>
        </w:rPr>
        <w:t>ntification</w:t>
      </w:r>
      <w:r w:rsidR="00A42FA2">
        <w:rPr>
          <w:rFonts w:ascii="Arial" w:hAnsi="Arial" w:cs="Arial"/>
          <w:sz w:val="24"/>
          <w:szCs w:val="24"/>
        </w:rPr>
        <w:t xml:space="preserve"> of their claims</w:t>
      </w:r>
      <w:r w:rsidR="000E2FF8">
        <w:rPr>
          <w:rFonts w:ascii="Arial" w:hAnsi="Arial" w:cs="Arial"/>
          <w:sz w:val="24"/>
          <w:szCs w:val="24"/>
        </w:rPr>
        <w:t>. T</w:t>
      </w:r>
      <w:r>
        <w:rPr>
          <w:rFonts w:ascii="Arial" w:hAnsi="Arial" w:cs="Arial"/>
          <w:sz w:val="24"/>
          <w:szCs w:val="24"/>
        </w:rPr>
        <w:t>he remainder</w:t>
      </w:r>
      <w:r w:rsidR="00F6293E">
        <w:rPr>
          <w:rFonts w:ascii="Arial" w:hAnsi="Arial" w:cs="Arial"/>
          <w:sz w:val="24"/>
          <w:szCs w:val="24"/>
        </w:rPr>
        <w:t xml:space="preserve"> had obtained final judgment in respect of the underlying litigation</w:t>
      </w:r>
      <w:r w:rsidR="000E2FF8">
        <w:rPr>
          <w:rFonts w:ascii="Arial" w:hAnsi="Arial" w:cs="Arial"/>
          <w:sz w:val="24"/>
          <w:szCs w:val="24"/>
        </w:rPr>
        <w:t xml:space="preserve"> and the</w:t>
      </w:r>
      <w:r w:rsidR="00F6293E">
        <w:rPr>
          <w:rFonts w:ascii="Arial" w:hAnsi="Arial" w:cs="Arial"/>
          <w:sz w:val="24"/>
          <w:szCs w:val="24"/>
        </w:rPr>
        <w:t xml:space="preserve"> </w:t>
      </w:r>
      <w:r w:rsidR="000E2FF8">
        <w:rPr>
          <w:rFonts w:ascii="Arial" w:hAnsi="Arial" w:cs="Arial"/>
          <w:sz w:val="24"/>
          <w:szCs w:val="24"/>
        </w:rPr>
        <w:t xml:space="preserve">majority of them </w:t>
      </w:r>
      <w:r w:rsidR="00F6293E">
        <w:rPr>
          <w:rFonts w:ascii="Arial" w:hAnsi="Arial" w:cs="Arial"/>
          <w:sz w:val="24"/>
          <w:szCs w:val="24"/>
        </w:rPr>
        <w:t>were orders granted by consent</w:t>
      </w:r>
      <w:r w:rsidR="000E2FF8">
        <w:rPr>
          <w:rFonts w:ascii="Arial" w:hAnsi="Arial" w:cs="Arial"/>
          <w:sz w:val="24"/>
          <w:szCs w:val="24"/>
        </w:rPr>
        <w:t>.  Some</w:t>
      </w:r>
      <w:r w:rsidR="00F6293E">
        <w:rPr>
          <w:rFonts w:ascii="Arial" w:hAnsi="Arial" w:cs="Arial"/>
          <w:sz w:val="24"/>
          <w:szCs w:val="24"/>
        </w:rPr>
        <w:t xml:space="preserve"> of the orders stipulate the date for payment</w:t>
      </w:r>
      <w:r w:rsidR="00F6293E">
        <w:rPr>
          <w:rStyle w:val="FootnoteReference"/>
          <w:rFonts w:ascii="Arial" w:hAnsi="Arial" w:cs="Arial"/>
          <w:sz w:val="24"/>
          <w:szCs w:val="24"/>
        </w:rPr>
        <w:footnoteReference w:id="80"/>
      </w:r>
      <w:r w:rsidR="00F6293E">
        <w:rPr>
          <w:rFonts w:ascii="Arial" w:hAnsi="Arial" w:cs="Arial"/>
          <w:sz w:val="24"/>
          <w:szCs w:val="24"/>
        </w:rPr>
        <w:t xml:space="preserve">.  </w:t>
      </w:r>
    </w:p>
    <w:p w14:paraId="5429E23E" w14:textId="77777777" w:rsidR="002D5304" w:rsidRPr="002D5304" w:rsidRDefault="002D5304" w:rsidP="005F16B4">
      <w:pPr>
        <w:pStyle w:val="ListParagraph"/>
        <w:spacing w:after="0" w:line="480" w:lineRule="auto"/>
        <w:ind w:left="0"/>
        <w:jc w:val="both"/>
        <w:rPr>
          <w:rFonts w:ascii="Arial" w:hAnsi="Arial" w:cs="Arial"/>
          <w:sz w:val="24"/>
          <w:szCs w:val="24"/>
        </w:rPr>
      </w:pPr>
    </w:p>
    <w:p w14:paraId="65D93CDD" w14:textId="77777777" w:rsidR="00262E6D" w:rsidRDefault="00F6293E" w:rsidP="005F16B4">
      <w:pPr>
        <w:pStyle w:val="ListParagraph"/>
        <w:numPr>
          <w:ilvl w:val="0"/>
          <w:numId w:val="20"/>
        </w:numPr>
        <w:tabs>
          <w:tab w:val="left" w:pos="0"/>
        </w:tabs>
        <w:spacing w:after="0" w:line="480" w:lineRule="auto"/>
        <w:ind w:left="0" w:firstLine="0"/>
        <w:jc w:val="both"/>
        <w:rPr>
          <w:rFonts w:ascii="Arial" w:hAnsi="Arial" w:cs="Arial"/>
          <w:sz w:val="24"/>
          <w:szCs w:val="24"/>
        </w:rPr>
      </w:pPr>
      <w:r>
        <w:rPr>
          <w:rFonts w:ascii="Arial" w:hAnsi="Arial" w:cs="Arial"/>
          <w:sz w:val="24"/>
          <w:szCs w:val="24"/>
        </w:rPr>
        <w:t>A significant feature of rule 34A is that a court is not empowered to make an interim order unless it appears to the court that the defendant is insured in respect of the plaintiff’s claim</w:t>
      </w:r>
      <w:r w:rsidR="002D5304">
        <w:rPr>
          <w:rFonts w:ascii="Arial" w:hAnsi="Arial" w:cs="Arial"/>
          <w:sz w:val="24"/>
          <w:szCs w:val="24"/>
        </w:rPr>
        <w:t>,</w:t>
      </w:r>
      <w:r>
        <w:rPr>
          <w:rFonts w:ascii="Arial" w:hAnsi="Arial" w:cs="Arial"/>
          <w:sz w:val="24"/>
          <w:szCs w:val="24"/>
        </w:rPr>
        <w:t xml:space="preserve"> or that he has the means at his disposal to enable him to make such payment.</w:t>
      </w:r>
      <w:r>
        <w:rPr>
          <w:rStyle w:val="FootnoteReference"/>
          <w:rFonts w:ascii="Arial" w:hAnsi="Arial" w:cs="Arial"/>
          <w:sz w:val="24"/>
          <w:szCs w:val="24"/>
        </w:rPr>
        <w:footnoteReference w:id="81"/>
      </w:r>
      <w:r>
        <w:rPr>
          <w:rFonts w:ascii="Arial" w:hAnsi="Arial" w:cs="Arial"/>
          <w:sz w:val="24"/>
          <w:szCs w:val="24"/>
        </w:rPr>
        <w:t xml:space="preserve">  Where the defendant (the MEC for Health) consent</w:t>
      </w:r>
      <w:r w:rsidR="0013595C">
        <w:rPr>
          <w:rFonts w:ascii="Arial" w:hAnsi="Arial" w:cs="Arial"/>
          <w:sz w:val="24"/>
          <w:szCs w:val="24"/>
        </w:rPr>
        <w:t>ed</w:t>
      </w:r>
      <w:r>
        <w:rPr>
          <w:rFonts w:ascii="Arial" w:hAnsi="Arial" w:cs="Arial"/>
          <w:sz w:val="24"/>
          <w:szCs w:val="24"/>
        </w:rPr>
        <w:t xml:space="preserve"> to a judgment</w:t>
      </w:r>
      <w:r w:rsidR="00A42FA2">
        <w:rPr>
          <w:rFonts w:ascii="Arial" w:hAnsi="Arial" w:cs="Arial"/>
          <w:sz w:val="24"/>
          <w:szCs w:val="24"/>
        </w:rPr>
        <w:t xml:space="preserve"> </w:t>
      </w:r>
      <w:r>
        <w:rPr>
          <w:rFonts w:ascii="Arial" w:hAnsi="Arial" w:cs="Arial"/>
          <w:sz w:val="24"/>
          <w:szCs w:val="24"/>
        </w:rPr>
        <w:t>to make payment</w:t>
      </w:r>
      <w:r w:rsidR="00A42FA2">
        <w:rPr>
          <w:rFonts w:ascii="Arial" w:hAnsi="Arial" w:cs="Arial"/>
          <w:sz w:val="24"/>
          <w:szCs w:val="24"/>
        </w:rPr>
        <w:t>,</w:t>
      </w:r>
      <w:r>
        <w:rPr>
          <w:rFonts w:ascii="Arial" w:hAnsi="Arial" w:cs="Arial"/>
          <w:sz w:val="24"/>
          <w:szCs w:val="24"/>
        </w:rPr>
        <w:t xml:space="preserve"> in terms of rule 34A</w:t>
      </w:r>
      <w:r w:rsidR="00A42FA2">
        <w:rPr>
          <w:rFonts w:ascii="Arial" w:hAnsi="Arial" w:cs="Arial"/>
          <w:sz w:val="24"/>
          <w:szCs w:val="24"/>
        </w:rPr>
        <w:t>,</w:t>
      </w:r>
      <w:r w:rsidR="002D5304">
        <w:rPr>
          <w:rFonts w:ascii="Arial" w:hAnsi="Arial" w:cs="Arial"/>
          <w:sz w:val="24"/>
          <w:szCs w:val="24"/>
        </w:rPr>
        <w:t xml:space="preserve"> at a particular time</w:t>
      </w:r>
      <w:r w:rsidR="0013595C">
        <w:rPr>
          <w:rFonts w:ascii="Arial" w:hAnsi="Arial" w:cs="Arial"/>
          <w:sz w:val="24"/>
          <w:szCs w:val="24"/>
        </w:rPr>
        <w:t>,</w:t>
      </w:r>
      <w:r>
        <w:rPr>
          <w:rFonts w:ascii="Arial" w:hAnsi="Arial" w:cs="Arial"/>
          <w:sz w:val="24"/>
          <w:szCs w:val="24"/>
        </w:rPr>
        <w:t xml:space="preserve"> it seems to me </w:t>
      </w:r>
      <w:r w:rsidR="0013595C">
        <w:rPr>
          <w:rFonts w:ascii="Arial" w:hAnsi="Arial" w:cs="Arial"/>
          <w:sz w:val="24"/>
          <w:szCs w:val="24"/>
        </w:rPr>
        <w:t>that the settlement included</w:t>
      </w:r>
      <w:r>
        <w:rPr>
          <w:rFonts w:ascii="Arial" w:hAnsi="Arial" w:cs="Arial"/>
          <w:sz w:val="24"/>
          <w:szCs w:val="24"/>
        </w:rPr>
        <w:t xml:space="preserve"> at least a tacit </w:t>
      </w:r>
      <w:r w:rsidR="002D5304">
        <w:rPr>
          <w:rFonts w:ascii="Arial" w:hAnsi="Arial" w:cs="Arial"/>
          <w:sz w:val="24"/>
          <w:szCs w:val="24"/>
        </w:rPr>
        <w:t>warranty</w:t>
      </w:r>
      <w:r>
        <w:rPr>
          <w:rFonts w:ascii="Arial" w:hAnsi="Arial" w:cs="Arial"/>
          <w:sz w:val="24"/>
          <w:szCs w:val="24"/>
        </w:rPr>
        <w:t xml:space="preserve"> that he is able to pay.</w:t>
      </w:r>
      <w:r w:rsidR="000E2FF8">
        <w:rPr>
          <w:rFonts w:ascii="Arial" w:hAnsi="Arial" w:cs="Arial"/>
          <w:sz w:val="24"/>
          <w:szCs w:val="24"/>
        </w:rPr>
        <w:t xml:space="preserve">  Where the court delivered a reasoned judgment</w:t>
      </w:r>
      <w:r w:rsidR="0079561A">
        <w:rPr>
          <w:rFonts w:ascii="Arial" w:hAnsi="Arial" w:cs="Arial"/>
          <w:sz w:val="24"/>
          <w:szCs w:val="24"/>
        </w:rPr>
        <w:t>,</w:t>
      </w:r>
      <w:r w:rsidR="000E2FF8">
        <w:rPr>
          <w:rFonts w:ascii="Arial" w:hAnsi="Arial" w:cs="Arial"/>
          <w:sz w:val="24"/>
          <w:szCs w:val="24"/>
        </w:rPr>
        <w:t xml:space="preserve"> a factual finding in this regard </w:t>
      </w:r>
      <w:r w:rsidR="0079561A">
        <w:rPr>
          <w:rFonts w:ascii="Arial" w:hAnsi="Arial" w:cs="Arial"/>
          <w:sz w:val="24"/>
          <w:szCs w:val="24"/>
        </w:rPr>
        <w:t>had to be made and the judgments are not attacked.</w:t>
      </w:r>
    </w:p>
    <w:p w14:paraId="5A00CA0B" w14:textId="77777777" w:rsidR="004C3FC4" w:rsidRPr="004C3FC4" w:rsidRDefault="004C3FC4" w:rsidP="005F16B4">
      <w:pPr>
        <w:pStyle w:val="ListParagraph"/>
        <w:spacing w:after="0" w:line="480" w:lineRule="auto"/>
        <w:ind w:left="0"/>
        <w:jc w:val="both"/>
        <w:rPr>
          <w:rFonts w:ascii="Arial" w:hAnsi="Arial" w:cs="Arial"/>
          <w:sz w:val="24"/>
          <w:szCs w:val="24"/>
        </w:rPr>
      </w:pPr>
    </w:p>
    <w:p w14:paraId="6B53E714" w14:textId="77777777" w:rsidR="004C3FC4" w:rsidRDefault="004C3FC4" w:rsidP="005F16B4">
      <w:pPr>
        <w:pStyle w:val="ListParagraph"/>
        <w:numPr>
          <w:ilvl w:val="0"/>
          <w:numId w:val="20"/>
        </w:numPr>
        <w:tabs>
          <w:tab w:val="left" w:pos="0"/>
        </w:tabs>
        <w:spacing w:after="0" w:line="480" w:lineRule="auto"/>
        <w:ind w:left="0" w:firstLine="0"/>
        <w:jc w:val="both"/>
        <w:rPr>
          <w:rFonts w:ascii="Arial" w:hAnsi="Arial" w:cs="Arial"/>
          <w:sz w:val="24"/>
          <w:szCs w:val="24"/>
        </w:rPr>
      </w:pPr>
      <w:r>
        <w:rPr>
          <w:rFonts w:ascii="Arial" w:hAnsi="Arial" w:cs="Arial"/>
          <w:sz w:val="24"/>
          <w:szCs w:val="24"/>
        </w:rPr>
        <w:t>Many of the final judgments, t</w:t>
      </w:r>
      <w:r w:rsidR="002D5304">
        <w:rPr>
          <w:rFonts w:ascii="Arial" w:hAnsi="Arial" w:cs="Arial"/>
          <w:sz w:val="24"/>
          <w:szCs w:val="24"/>
        </w:rPr>
        <w:t>oo</w:t>
      </w:r>
      <w:r>
        <w:rPr>
          <w:rFonts w:ascii="Arial" w:hAnsi="Arial" w:cs="Arial"/>
          <w:sz w:val="24"/>
          <w:szCs w:val="24"/>
        </w:rPr>
        <w:t xml:space="preserve">, were taken by agreement between the parties and stipulated the date for payment.  They provided for interest to be paid where the defendant (the MEC for Health), is in default of payment.  </w:t>
      </w:r>
    </w:p>
    <w:p w14:paraId="0CD4D75D" w14:textId="77777777" w:rsidR="004C3FC4" w:rsidRPr="004C3FC4" w:rsidRDefault="004C3FC4" w:rsidP="005F16B4">
      <w:pPr>
        <w:pStyle w:val="ListParagraph"/>
        <w:spacing w:after="0" w:line="480" w:lineRule="auto"/>
        <w:ind w:left="0"/>
        <w:jc w:val="both"/>
        <w:rPr>
          <w:rFonts w:ascii="Arial" w:hAnsi="Arial" w:cs="Arial"/>
          <w:sz w:val="24"/>
          <w:szCs w:val="24"/>
        </w:rPr>
      </w:pPr>
    </w:p>
    <w:p w14:paraId="5C56D03E" w14:textId="635E381B" w:rsidR="00F052B3" w:rsidRDefault="002D5304" w:rsidP="005F16B4">
      <w:pPr>
        <w:pStyle w:val="ListParagraph"/>
        <w:numPr>
          <w:ilvl w:val="0"/>
          <w:numId w:val="20"/>
        </w:numPr>
        <w:tabs>
          <w:tab w:val="left" w:pos="0"/>
        </w:tabs>
        <w:spacing w:after="0" w:line="480" w:lineRule="auto"/>
        <w:ind w:left="0" w:firstLine="0"/>
        <w:jc w:val="both"/>
        <w:rPr>
          <w:rFonts w:ascii="Arial" w:hAnsi="Arial" w:cs="Arial"/>
          <w:sz w:val="24"/>
          <w:szCs w:val="24"/>
        </w:rPr>
      </w:pPr>
      <w:r>
        <w:rPr>
          <w:rFonts w:ascii="Arial" w:hAnsi="Arial" w:cs="Arial"/>
          <w:sz w:val="24"/>
          <w:szCs w:val="24"/>
        </w:rPr>
        <w:lastRenderedPageBreak/>
        <w:t xml:space="preserve">Rule 42 provides for the variation or rescission of judgments.  </w:t>
      </w:r>
      <w:r w:rsidR="00C21332">
        <w:rPr>
          <w:rFonts w:ascii="Arial" w:hAnsi="Arial" w:cs="Arial"/>
          <w:sz w:val="24"/>
          <w:szCs w:val="24"/>
        </w:rPr>
        <w:t>It is</w:t>
      </w:r>
      <w:r>
        <w:rPr>
          <w:rFonts w:ascii="Arial" w:hAnsi="Arial" w:cs="Arial"/>
          <w:sz w:val="24"/>
          <w:szCs w:val="24"/>
        </w:rPr>
        <w:t xml:space="preserve"> purely </w:t>
      </w:r>
      <w:r w:rsidR="00C21332">
        <w:rPr>
          <w:rFonts w:ascii="Arial" w:hAnsi="Arial" w:cs="Arial"/>
          <w:sz w:val="24"/>
          <w:szCs w:val="24"/>
        </w:rPr>
        <w:t xml:space="preserve">a </w:t>
      </w:r>
      <w:r>
        <w:rPr>
          <w:rFonts w:ascii="Arial" w:hAnsi="Arial" w:cs="Arial"/>
          <w:sz w:val="24"/>
          <w:szCs w:val="24"/>
        </w:rPr>
        <w:t>procedural mechanism designed to correct an obviously wrong judgment and it must be read against the common law background.  It is common cause that the judgments in issue are not wrong</w:t>
      </w:r>
      <w:r w:rsidR="00A30E35">
        <w:rPr>
          <w:rFonts w:ascii="Arial" w:hAnsi="Arial" w:cs="Arial"/>
          <w:sz w:val="24"/>
          <w:szCs w:val="24"/>
        </w:rPr>
        <w:t xml:space="preserve"> and it has not been suggested that they </w:t>
      </w:r>
      <w:r w:rsidR="00BB4465">
        <w:rPr>
          <w:rFonts w:ascii="Arial" w:hAnsi="Arial" w:cs="Arial"/>
          <w:sz w:val="24"/>
          <w:szCs w:val="24"/>
        </w:rPr>
        <w:t>were</w:t>
      </w:r>
      <w:r w:rsidR="00A30E35">
        <w:rPr>
          <w:rFonts w:ascii="Arial" w:hAnsi="Arial" w:cs="Arial"/>
          <w:sz w:val="24"/>
          <w:szCs w:val="24"/>
        </w:rPr>
        <w:t xml:space="preserve"> erroneously sought or erroneously granted</w:t>
      </w:r>
      <w:r>
        <w:rPr>
          <w:rFonts w:ascii="Arial" w:hAnsi="Arial" w:cs="Arial"/>
          <w:sz w:val="24"/>
          <w:szCs w:val="24"/>
        </w:rPr>
        <w:t xml:space="preserve">.  </w:t>
      </w:r>
      <w:r w:rsidR="00C21332">
        <w:rPr>
          <w:rFonts w:ascii="Arial" w:hAnsi="Arial" w:cs="Arial"/>
          <w:sz w:val="24"/>
          <w:szCs w:val="24"/>
        </w:rPr>
        <w:t xml:space="preserve">The failure by a party to seek relief to which it was entitled is not covered by the rule.  </w:t>
      </w:r>
      <w:r w:rsidR="004C3FC4">
        <w:rPr>
          <w:rFonts w:ascii="Arial" w:hAnsi="Arial" w:cs="Arial"/>
          <w:sz w:val="24"/>
          <w:szCs w:val="24"/>
        </w:rPr>
        <w:t xml:space="preserve">The variation </w:t>
      </w:r>
      <w:r w:rsidR="000E2FF8">
        <w:rPr>
          <w:rFonts w:ascii="Arial" w:hAnsi="Arial" w:cs="Arial"/>
          <w:sz w:val="24"/>
          <w:szCs w:val="24"/>
        </w:rPr>
        <w:t>that</w:t>
      </w:r>
      <w:r w:rsidR="004C3FC4">
        <w:rPr>
          <w:rFonts w:ascii="Arial" w:hAnsi="Arial" w:cs="Arial"/>
          <w:sz w:val="24"/>
          <w:szCs w:val="24"/>
        </w:rPr>
        <w:t xml:space="preserve"> the applicants </w:t>
      </w:r>
      <w:r>
        <w:rPr>
          <w:rFonts w:ascii="Arial" w:hAnsi="Arial" w:cs="Arial"/>
          <w:sz w:val="24"/>
          <w:szCs w:val="24"/>
        </w:rPr>
        <w:t>in</w:t>
      </w:r>
      <w:r w:rsidR="004C3FC4">
        <w:rPr>
          <w:rFonts w:ascii="Arial" w:hAnsi="Arial" w:cs="Arial"/>
          <w:sz w:val="24"/>
          <w:szCs w:val="24"/>
        </w:rPr>
        <w:t xml:space="preserve">tend to seek is </w:t>
      </w:r>
      <w:r w:rsidR="008845A7">
        <w:rPr>
          <w:rFonts w:ascii="Arial" w:hAnsi="Arial" w:cs="Arial"/>
          <w:sz w:val="24"/>
          <w:szCs w:val="24"/>
        </w:rPr>
        <w:t>to</w:t>
      </w:r>
      <w:r w:rsidR="004C3FC4">
        <w:rPr>
          <w:rFonts w:ascii="Arial" w:hAnsi="Arial" w:cs="Arial"/>
          <w:sz w:val="24"/>
          <w:szCs w:val="24"/>
        </w:rPr>
        <w:t xml:space="preserve"> the date of payment</w:t>
      </w:r>
      <w:r w:rsidR="00A42FA2">
        <w:rPr>
          <w:rFonts w:ascii="Arial" w:hAnsi="Arial" w:cs="Arial"/>
          <w:sz w:val="24"/>
          <w:szCs w:val="24"/>
        </w:rPr>
        <w:t>, to provide for various amounts to fall due</w:t>
      </w:r>
      <w:r w:rsidR="004C3FC4">
        <w:rPr>
          <w:rFonts w:ascii="Arial" w:hAnsi="Arial" w:cs="Arial"/>
          <w:sz w:val="24"/>
          <w:szCs w:val="24"/>
        </w:rPr>
        <w:t xml:space="preserve"> as set out in the schedule of instalments p</w:t>
      </w:r>
      <w:r w:rsidR="00C21332">
        <w:rPr>
          <w:rFonts w:ascii="Arial" w:hAnsi="Arial" w:cs="Arial"/>
          <w:sz w:val="24"/>
          <w:szCs w:val="24"/>
        </w:rPr>
        <w:t>rop</w:t>
      </w:r>
      <w:r w:rsidR="004C3FC4">
        <w:rPr>
          <w:rFonts w:ascii="Arial" w:hAnsi="Arial" w:cs="Arial"/>
          <w:sz w:val="24"/>
          <w:szCs w:val="24"/>
        </w:rPr>
        <w:t>osed.</w:t>
      </w:r>
      <w:r>
        <w:rPr>
          <w:rFonts w:ascii="Arial" w:hAnsi="Arial" w:cs="Arial"/>
          <w:sz w:val="24"/>
          <w:szCs w:val="24"/>
        </w:rPr>
        <w:t xml:space="preserve">  The effect of the intended variation is to change the substance of the order.</w:t>
      </w:r>
    </w:p>
    <w:p w14:paraId="097FC2FA" w14:textId="77777777" w:rsidR="00F052B3" w:rsidRPr="00F052B3" w:rsidRDefault="00F052B3" w:rsidP="005F16B4">
      <w:pPr>
        <w:pStyle w:val="ListParagraph"/>
        <w:spacing w:after="0" w:line="480" w:lineRule="auto"/>
        <w:ind w:left="0"/>
        <w:jc w:val="both"/>
        <w:rPr>
          <w:rFonts w:ascii="Arial" w:hAnsi="Arial" w:cs="Arial"/>
          <w:sz w:val="24"/>
          <w:szCs w:val="24"/>
        </w:rPr>
      </w:pPr>
    </w:p>
    <w:p w14:paraId="0567AC3E" w14:textId="77777777" w:rsidR="00F052B3" w:rsidRDefault="002D5304" w:rsidP="005F16B4">
      <w:pPr>
        <w:pStyle w:val="ListParagraph"/>
        <w:numPr>
          <w:ilvl w:val="0"/>
          <w:numId w:val="20"/>
        </w:numPr>
        <w:tabs>
          <w:tab w:val="left" w:pos="0"/>
        </w:tabs>
        <w:spacing w:after="0" w:line="480" w:lineRule="auto"/>
        <w:ind w:left="0" w:firstLine="0"/>
        <w:jc w:val="both"/>
        <w:rPr>
          <w:rFonts w:ascii="Arial" w:hAnsi="Arial" w:cs="Arial"/>
          <w:sz w:val="24"/>
          <w:szCs w:val="24"/>
        </w:rPr>
      </w:pPr>
      <w:r w:rsidRPr="00F052B3">
        <w:rPr>
          <w:rFonts w:ascii="Arial" w:hAnsi="Arial" w:cs="Arial"/>
          <w:sz w:val="24"/>
          <w:szCs w:val="24"/>
        </w:rPr>
        <w:t>Ordinarily</w:t>
      </w:r>
      <w:r w:rsidR="00A42FA2">
        <w:rPr>
          <w:rFonts w:ascii="Arial" w:hAnsi="Arial" w:cs="Arial"/>
          <w:sz w:val="24"/>
          <w:szCs w:val="24"/>
        </w:rPr>
        <w:t>,</w:t>
      </w:r>
      <w:r w:rsidRPr="00F052B3">
        <w:rPr>
          <w:rFonts w:ascii="Arial" w:hAnsi="Arial" w:cs="Arial"/>
          <w:sz w:val="24"/>
          <w:szCs w:val="24"/>
        </w:rPr>
        <w:t xml:space="preserve"> in the case of an award for delictual damages</w:t>
      </w:r>
      <w:r w:rsidR="00A42FA2">
        <w:rPr>
          <w:rFonts w:ascii="Arial" w:hAnsi="Arial" w:cs="Arial"/>
          <w:sz w:val="24"/>
          <w:szCs w:val="24"/>
        </w:rPr>
        <w:t>,</w:t>
      </w:r>
      <w:r w:rsidRPr="00F052B3">
        <w:rPr>
          <w:rFonts w:ascii="Arial" w:hAnsi="Arial" w:cs="Arial"/>
          <w:sz w:val="24"/>
          <w:szCs w:val="24"/>
        </w:rPr>
        <w:t xml:space="preserve"> the judgment debt will bear interest from the date on which the judgment debt is payable, unless the judgment provides otherwise.</w:t>
      </w:r>
      <w:r>
        <w:rPr>
          <w:rStyle w:val="FootnoteReference"/>
          <w:rFonts w:ascii="Arial" w:hAnsi="Arial" w:cs="Arial"/>
          <w:sz w:val="24"/>
          <w:szCs w:val="24"/>
        </w:rPr>
        <w:footnoteReference w:id="82"/>
      </w:r>
      <w:r w:rsidR="008427E3" w:rsidRPr="00F052B3">
        <w:rPr>
          <w:rFonts w:ascii="Arial" w:hAnsi="Arial" w:cs="Arial"/>
          <w:sz w:val="24"/>
          <w:szCs w:val="24"/>
        </w:rPr>
        <w:t xml:space="preserve">  Some of the judgments in issue do stipulate the date from which interest will run, but others do not.</w:t>
      </w:r>
      <w:r w:rsidR="008427E3">
        <w:rPr>
          <w:rStyle w:val="FootnoteReference"/>
          <w:rFonts w:ascii="Arial" w:hAnsi="Arial" w:cs="Arial"/>
          <w:sz w:val="24"/>
          <w:szCs w:val="24"/>
        </w:rPr>
        <w:footnoteReference w:id="83"/>
      </w:r>
      <w:r w:rsidR="004B183B" w:rsidRPr="00F052B3">
        <w:rPr>
          <w:rFonts w:ascii="Arial" w:hAnsi="Arial" w:cs="Arial"/>
          <w:sz w:val="24"/>
          <w:szCs w:val="24"/>
        </w:rPr>
        <w:t xml:space="preserve">  A variation of the date for payment would, in these cases, bring about a reduction in the compensation which the plaintiff’</w:t>
      </w:r>
      <w:r w:rsidR="00F052B3">
        <w:rPr>
          <w:rFonts w:ascii="Arial" w:hAnsi="Arial" w:cs="Arial"/>
          <w:sz w:val="24"/>
          <w:szCs w:val="24"/>
        </w:rPr>
        <w:t>s would receive</w:t>
      </w:r>
      <w:r w:rsidR="00A42FA2">
        <w:rPr>
          <w:rFonts w:ascii="Arial" w:hAnsi="Arial" w:cs="Arial"/>
          <w:sz w:val="24"/>
          <w:szCs w:val="24"/>
        </w:rPr>
        <w:t>, because interest on the sum awarded would</w:t>
      </w:r>
      <w:r w:rsidR="000E2FF8">
        <w:rPr>
          <w:rFonts w:ascii="Arial" w:hAnsi="Arial" w:cs="Arial"/>
          <w:sz w:val="24"/>
          <w:szCs w:val="24"/>
        </w:rPr>
        <w:t xml:space="preserve"> only</w:t>
      </w:r>
      <w:r w:rsidR="00A42FA2">
        <w:rPr>
          <w:rFonts w:ascii="Arial" w:hAnsi="Arial" w:cs="Arial"/>
          <w:sz w:val="24"/>
          <w:szCs w:val="24"/>
        </w:rPr>
        <w:t xml:space="preserve"> commence to run in respect of each payment when it falls due</w:t>
      </w:r>
      <w:r w:rsidR="00F052B3">
        <w:rPr>
          <w:rFonts w:ascii="Arial" w:hAnsi="Arial" w:cs="Arial"/>
          <w:sz w:val="24"/>
          <w:szCs w:val="24"/>
        </w:rPr>
        <w:t>.</w:t>
      </w:r>
    </w:p>
    <w:p w14:paraId="75477B92" w14:textId="77777777" w:rsidR="00F052B3" w:rsidRPr="00F052B3" w:rsidRDefault="00F052B3" w:rsidP="005F16B4">
      <w:pPr>
        <w:pStyle w:val="ListParagraph"/>
        <w:spacing w:after="0" w:line="480" w:lineRule="auto"/>
        <w:ind w:left="0"/>
        <w:jc w:val="both"/>
        <w:rPr>
          <w:rFonts w:ascii="Arial" w:hAnsi="Arial" w:cs="Arial"/>
          <w:sz w:val="24"/>
          <w:szCs w:val="24"/>
        </w:rPr>
      </w:pPr>
    </w:p>
    <w:p w14:paraId="525C80F5" w14:textId="77777777" w:rsidR="004B183B" w:rsidRPr="00F052B3" w:rsidRDefault="004B183B" w:rsidP="005F16B4">
      <w:pPr>
        <w:pStyle w:val="ListParagraph"/>
        <w:numPr>
          <w:ilvl w:val="0"/>
          <w:numId w:val="20"/>
        </w:numPr>
        <w:tabs>
          <w:tab w:val="left" w:pos="0"/>
        </w:tabs>
        <w:spacing w:after="0" w:line="480" w:lineRule="auto"/>
        <w:ind w:left="0" w:firstLine="0"/>
        <w:jc w:val="both"/>
        <w:rPr>
          <w:rFonts w:ascii="Arial" w:hAnsi="Arial" w:cs="Arial"/>
          <w:sz w:val="24"/>
          <w:szCs w:val="24"/>
        </w:rPr>
      </w:pPr>
      <w:r w:rsidRPr="00F052B3">
        <w:rPr>
          <w:rFonts w:ascii="Arial" w:hAnsi="Arial" w:cs="Arial"/>
          <w:sz w:val="24"/>
          <w:szCs w:val="24"/>
        </w:rPr>
        <w:t xml:space="preserve">Moreover, where an award is made in respect of obligations which will be incurred, or benefits which would arise in future, it is ordinarily expressed by calculating the present value thereof, having regard to interest </w:t>
      </w:r>
      <w:r w:rsidR="00A41A6D">
        <w:rPr>
          <w:rFonts w:ascii="Arial" w:hAnsi="Arial" w:cs="Arial"/>
          <w:sz w:val="24"/>
          <w:szCs w:val="24"/>
        </w:rPr>
        <w:t xml:space="preserve">which would be </w:t>
      </w:r>
      <w:r w:rsidRPr="00F052B3">
        <w:rPr>
          <w:rFonts w:ascii="Arial" w:hAnsi="Arial" w:cs="Arial"/>
          <w:sz w:val="24"/>
          <w:szCs w:val="24"/>
        </w:rPr>
        <w:lastRenderedPageBreak/>
        <w:t>received on the award.</w:t>
      </w:r>
      <w:r>
        <w:rPr>
          <w:rStyle w:val="FootnoteReference"/>
          <w:rFonts w:ascii="Arial" w:hAnsi="Arial" w:cs="Arial"/>
          <w:sz w:val="24"/>
          <w:szCs w:val="24"/>
        </w:rPr>
        <w:footnoteReference w:id="84"/>
      </w:r>
      <w:r w:rsidR="00904A0A" w:rsidRPr="00F052B3">
        <w:rPr>
          <w:rFonts w:ascii="Arial" w:hAnsi="Arial" w:cs="Arial"/>
          <w:sz w:val="24"/>
          <w:szCs w:val="24"/>
        </w:rPr>
        <w:t xml:space="preserve">  A variation in the date for payment may, depending on the damages awarded, affect the substance of the award.  It is not merely procedural.  </w:t>
      </w:r>
    </w:p>
    <w:p w14:paraId="41CC06A7" w14:textId="77777777" w:rsidR="004C3FC4" w:rsidRPr="004C3FC4" w:rsidRDefault="004C3FC4" w:rsidP="005F16B4">
      <w:pPr>
        <w:pStyle w:val="ListParagraph"/>
        <w:spacing w:after="0" w:line="480" w:lineRule="auto"/>
        <w:ind w:left="0"/>
        <w:jc w:val="both"/>
        <w:rPr>
          <w:rFonts w:ascii="Arial" w:hAnsi="Arial" w:cs="Arial"/>
          <w:sz w:val="24"/>
          <w:szCs w:val="24"/>
        </w:rPr>
      </w:pPr>
    </w:p>
    <w:p w14:paraId="4B2811BB" w14:textId="77777777" w:rsidR="004C3FC4" w:rsidRDefault="004C3FC4" w:rsidP="005F16B4">
      <w:pPr>
        <w:pStyle w:val="ListParagraph"/>
        <w:numPr>
          <w:ilvl w:val="0"/>
          <w:numId w:val="20"/>
        </w:numPr>
        <w:tabs>
          <w:tab w:val="left" w:pos="0"/>
        </w:tabs>
        <w:spacing w:after="0" w:line="480" w:lineRule="auto"/>
        <w:ind w:left="0" w:firstLine="0"/>
        <w:jc w:val="both"/>
        <w:rPr>
          <w:rFonts w:ascii="Arial" w:hAnsi="Arial" w:cs="Arial"/>
          <w:sz w:val="24"/>
          <w:szCs w:val="24"/>
        </w:rPr>
      </w:pPr>
      <w:r>
        <w:rPr>
          <w:rFonts w:ascii="Arial" w:hAnsi="Arial" w:cs="Arial"/>
          <w:sz w:val="24"/>
          <w:szCs w:val="24"/>
        </w:rPr>
        <w:t xml:space="preserve">At common law the court has no power to set aside or alter its own final order, as opposed to an interim order or an interlocutory order.  In </w:t>
      </w:r>
      <w:r>
        <w:rPr>
          <w:rFonts w:ascii="Arial" w:hAnsi="Arial" w:cs="Arial"/>
          <w:i/>
          <w:sz w:val="24"/>
          <w:szCs w:val="24"/>
        </w:rPr>
        <w:t>Zondi</w:t>
      </w:r>
      <w:r>
        <w:rPr>
          <w:rStyle w:val="FootnoteReference"/>
          <w:rFonts w:ascii="Arial" w:hAnsi="Arial" w:cs="Arial"/>
          <w:i/>
          <w:sz w:val="24"/>
          <w:szCs w:val="24"/>
        </w:rPr>
        <w:footnoteReference w:id="85"/>
      </w:r>
      <w:r>
        <w:rPr>
          <w:rFonts w:ascii="Arial" w:hAnsi="Arial" w:cs="Arial"/>
          <w:sz w:val="24"/>
          <w:szCs w:val="24"/>
        </w:rPr>
        <w:t xml:space="preserve"> the Constitutional Court explained the foundation for the rule thus:</w:t>
      </w:r>
    </w:p>
    <w:p w14:paraId="4DCFB43E" w14:textId="77777777" w:rsidR="004C3FC4" w:rsidRPr="004C3FC4" w:rsidRDefault="004C3FC4" w:rsidP="004C3FC4">
      <w:pPr>
        <w:pStyle w:val="ListParagraph"/>
        <w:rPr>
          <w:rFonts w:ascii="Arial" w:hAnsi="Arial" w:cs="Arial"/>
          <w:sz w:val="24"/>
          <w:szCs w:val="24"/>
        </w:rPr>
      </w:pPr>
    </w:p>
    <w:p w14:paraId="34428CDC" w14:textId="3D08CC27" w:rsidR="004C3FC4" w:rsidRDefault="004C3FC4" w:rsidP="0035098A">
      <w:pPr>
        <w:pStyle w:val="ListParagraph"/>
        <w:tabs>
          <w:tab w:val="left" w:pos="0"/>
        </w:tabs>
        <w:spacing w:before="240" w:after="0" w:line="360" w:lineRule="auto"/>
        <w:ind w:left="561" w:right="561"/>
        <w:jc w:val="both"/>
        <w:rPr>
          <w:rFonts w:ascii="Arial" w:hAnsi="Arial" w:cs="Arial"/>
          <w:color w:val="000000"/>
        </w:rPr>
      </w:pPr>
      <w:r w:rsidRPr="004C3FC4">
        <w:rPr>
          <w:rFonts w:ascii="Arial" w:hAnsi="Arial" w:cs="Arial"/>
        </w:rPr>
        <w:t>“</w:t>
      </w:r>
      <w:r w:rsidRPr="004C3FC4">
        <w:rPr>
          <w:rFonts w:ascii="Arial" w:hAnsi="Arial" w:cs="Arial"/>
          <w:color w:val="000000"/>
        </w:rPr>
        <w:t>The rationale for this principle is two</w:t>
      </w:r>
      <w:r w:rsidR="00557BF9" w:rsidRPr="0035098A">
        <w:rPr>
          <w:rFonts w:ascii="Arial" w:hAnsi="Arial" w:cs="Arial"/>
          <w:color w:val="C00000"/>
        </w:rPr>
        <w:t>-</w:t>
      </w:r>
      <w:r w:rsidR="00E13CA5" w:rsidRPr="004C3FC4">
        <w:rPr>
          <w:rFonts w:ascii="Arial" w:hAnsi="Arial" w:cs="Arial"/>
          <w:color w:val="000000"/>
        </w:rPr>
        <w:t>fold</w:t>
      </w:r>
      <w:r w:rsidR="00E13CA5">
        <w:rPr>
          <w:rFonts w:ascii="Arial" w:hAnsi="Arial" w:cs="Arial"/>
          <w:color w:val="000000"/>
        </w:rPr>
        <w:t xml:space="preserve"> (</w:t>
      </w:r>
      <w:r w:rsidR="00E13CA5">
        <w:rPr>
          <w:rFonts w:ascii="Arial" w:hAnsi="Arial" w:cs="Arial"/>
          <w:i/>
          <w:color w:val="000000"/>
        </w:rPr>
        <w:t>sic)</w:t>
      </w:r>
      <w:r w:rsidRPr="004C3FC4">
        <w:rPr>
          <w:rFonts w:ascii="Arial" w:hAnsi="Arial" w:cs="Arial"/>
          <w:color w:val="000000"/>
        </w:rPr>
        <w:t>. In the first place a Judge who has given a final order is </w:t>
      </w:r>
      <w:r w:rsidRPr="004C3FC4">
        <w:rPr>
          <w:rFonts w:ascii="Arial" w:hAnsi="Arial" w:cs="Arial"/>
          <w:i/>
          <w:iCs/>
          <w:color w:val="000000"/>
        </w:rPr>
        <w:t>functus officio</w:t>
      </w:r>
      <w:r w:rsidRPr="004C3FC4">
        <w:rPr>
          <w:rFonts w:ascii="Arial" w:hAnsi="Arial" w:cs="Arial"/>
          <w:color w:val="000000"/>
        </w:rPr>
        <w:t>. Once a Judge has fully exercised his or her jurisdiction, his or her authority over the subject matter ceases.</w:t>
      </w:r>
      <w:bookmarkStart w:id="3" w:name="0-0-0-365991"/>
      <w:bookmarkEnd w:id="3"/>
      <w:r w:rsidRPr="004C3FC4">
        <w:rPr>
          <w:rFonts w:ascii="Arial" w:hAnsi="Arial" w:cs="Arial"/>
          <w:color w:val="000000"/>
        </w:rPr>
        <w:t>  The other equally important consideration is the public interest in bringing litigation to finality.</w:t>
      </w:r>
      <w:bookmarkStart w:id="4" w:name="0-0-0-365995"/>
      <w:bookmarkEnd w:id="4"/>
      <w:r w:rsidRPr="004C3FC4">
        <w:rPr>
          <w:rFonts w:ascii="Arial" w:hAnsi="Arial" w:cs="Arial"/>
          <w:color w:val="000000"/>
        </w:rPr>
        <w:t>  The parties must be assured that once an order of Court has been made, it is final and they can arrange their affairs in accordance with that order.</w:t>
      </w:r>
      <w:r>
        <w:rPr>
          <w:rFonts w:ascii="Arial" w:hAnsi="Arial" w:cs="Arial"/>
          <w:color w:val="000000"/>
        </w:rPr>
        <w:t>”</w:t>
      </w:r>
      <w:r>
        <w:rPr>
          <w:rStyle w:val="FootnoteReference"/>
          <w:rFonts w:ascii="Arial" w:hAnsi="Arial" w:cs="Arial"/>
          <w:color w:val="000000"/>
        </w:rPr>
        <w:footnoteReference w:id="86"/>
      </w:r>
    </w:p>
    <w:p w14:paraId="7822A1B2" w14:textId="77777777" w:rsidR="004C3FC4" w:rsidRDefault="004C3FC4" w:rsidP="00CF25F5">
      <w:pPr>
        <w:pStyle w:val="ListParagraph"/>
        <w:tabs>
          <w:tab w:val="left" w:pos="0"/>
        </w:tabs>
        <w:spacing w:after="0" w:line="360" w:lineRule="auto"/>
        <w:ind w:left="561" w:right="561"/>
        <w:jc w:val="both"/>
        <w:rPr>
          <w:rFonts w:ascii="Arial" w:hAnsi="Arial" w:cs="Arial"/>
          <w:color w:val="000000"/>
        </w:rPr>
      </w:pPr>
    </w:p>
    <w:p w14:paraId="63A21855" w14:textId="77777777" w:rsidR="007F58C8" w:rsidRDefault="007F58C8" w:rsidP="004C3FC4">
      <w:pPr>
        <w:pStyle w:val="ListParagraph"/>
        <w:tabs>
          <w:tab w:val="left" w:pos="0"/>
        </w:tabs>
        <w:spacing w:after="0" w:line="360" w:lineRule="auto"/>
        <w:ind w:left="562" w:right="562"/>
        <w:jc w:val="both"/>
        <w:rPr>
          <w:rFonts w:ascii="Arial" w:hAnsi="Arial" w:cs="Arial"/>
          <w:color w:val="000000"/>
        </w:rPr>
      </w:pPr>
    </w:p>
    <w:p w14:paraId="5C8C59A8" w14:textId="005DADC0" w:rsidR="00EE07DD" w:rsidRDefault="004C3FC4" w:rsidP="005F16B4">
      <w:pPr>
        <w:pStyle w:val="ListParagraph"/>
        <w:numPr>
          <w:ilvl w:val="0"/>
          <w:numId w:val="20"/>
        </w:numPr>
        <w:tabs>
          <w:tab w:val="left" w:pos="0"/>
        </w:tabs>
        <w:spacing w:after="0" w:line="480" w:lineRule="auto"/>
        <w:ind w:left="0" w:firstLine="0"/>
        <w:jc w:val="both"/>
        <w:rPr>
          <w:rFonts w:ascii="Arial" w:hAnsi="Arial" w:cs="Arial"/>
          <w:sz w:val="24"/>
          <w:szCs w:val="24"/>
        </w:rPr>
      </w:pPr>
      <w:r w:rsidRPr="00EE07DD">
        <w:rPr>
          <w:rFonts w:ascii="Arial" w:hAnsi="Arial" w:cs="Arial"/>
          <w:sz w:val="24"/>
          <w:szCs w:val="24"/>
        </w:rPr>
        <w:t>There were certain exceptions to the rule where obvious errors have been made.  These are supplement</w:t>
      </w:r>
      <w:r w:rsidR="00883856">
        <w:rPr>
          <w:rFonts w:ascii="Arial" w:hAnsi="Arial" w:cs="Arial"/>
          <w:sz w:val="24"/>
          <w:szCs w:val="24"/>
        </w:rPr>
        <w:t xml:space="preserve">ary, </w:t>
      </w:r>
      <w:r w:rsidRPr="00EE07DD">
        <w:rPr>
          <w:rFonts w:ascii="Arial" w:hAnsi="Arial" w:cs="Arial"/>
          <w:sz w:val="24"/>
          <w:szCs w:val="24"/>
        </w:rPr>
        <w:t>accessory or consequential matters such as cost order</w:t>
      </w:r>
      <w:r w:rsidR="002410B7">
        <w:rPr>
          <w:rFonts w:ascii="Arial" w:hAnsi="Arial" w:cs="Arial"/>
          <w:sz w:val="24"/>
          <w:szCs w:val="24"/>
        </w:rPr>
        <w:t>s</w:t>
      </w:r>
      <w:r w:rsidRPr="00EE07DD">
        <w:rPr>
          <w:rFonts w:ascii="Arial" w:hAnsi="Arial" w:cs="Arial"/>
          <w:sz w:val="24"/>
          <w:szCs w:val="24"/>
        </w:rPr>
        <w:t xml:space="preserve"> or interest on judgment debts;  clarification of a judgment or order so as to give effect to the court</w:t>
      </w:r>
      <w:r w:rsidR="002410B7">
        <w:rPr>
          <w:rFonts w:ascii="Arial" w:hAnsi="Arial" w:cs="Arial"/>
          <w:sz w:val="24"/>
          <w:szCs w:val="24"/>
        </w:rPr>
        <w:t>’</w:t>
      </w:r>
      <w:r w:rsidRPr="00EE07DD">
        <w:rPr>
          <w:rFonts w:ascii="Arial" w:hAnsi="Arial" w:cs="Arial"/>
          <w:sz w:val="24"/>
          <w:szCs w:val="24"/>
        </w:rPr>
        <w:t xml:space="preserve">s true intention;  correcting clerical and </w:t>
      </w:r>
      <w:r w:rsidR="0068706A" w:rsidRPr="00EE07DD">
        <w:rPr>
          <w:rFonts w:ascii="Arial" w:hAnsi="Arial" w:cs="Arial"/>
          <w:sz w:val="24"/>
          <w:szCs w:val="24"/>
        </w:rPr>
        <w:t>arithmetical or other errors in its judgment or orders;  and altering an order for costs where it was made without hearing the parties.</w:t>
      </w:r>
      <w:r w:rsidR="0068706A">
        <w:rPr>
          <w:rStyle w:val="FootnoteReference"/>
          <w:rFonts w:ascii="Arial" w:hAnsi="Arial" w:cs="Arial"/>
          <w:sz w:val="24"/>
          <w:szCs w:val="24"/>
        </w:rPr>
        <w:footnoteReference w:id="87"/>
      </w:r>
      <w:r w:rsidR="0068706A" w:rsidRPr="00EE07DD">
        <w:rPr>
          <w:rFonts w:ascii="Arial" w:hAnsi="Arial" w:cs="Arial"/>
          <w:sz w:val="24"/>
          <w:szCs w:val="24"/>
        </w:rPr>
        <w:t xml:space="preserve">  </w:t>
      </w:r>
    </w:p>
    <w:p w14:paraId="0F5867A3" w14:textId="77777777" w:rsidR="00EE07DD" w:rsidRDefault="00EE07DD" w:rsidP="005F16B4">
      <w:pPr>
        <w:pStyle w:val="ListParagraph"/>
        <w:tabs>
          <w:tab w:val="left" w:pos="0"/>
        </w:tabs>
        <w:spacing w:after="0" w:line="480" w:lineRule="auto"/>
        <w:ind w:left="0"/>
        <w:jc w:val="both"/>
        <w:rPr>
          <w:rFonts w:ascii="Arial" w:hAnsi="Arial" w:cs="Arial"/>
          <w:sz w:val="24"/>
          <w:szCs w:val="24"/>
        </w:rPr>
      </w:pPr>
    </w:p>
    <w:p w14:paraId="4D8C9761" w14:textId="77777777" w:rsidR="00EE07DD" w:rsidRDefault="0068706A" w:rsidP="005F16B4">
      <w:pPr>
        <w:pStyle w:val="ListParagraph"/>
        <w:numPr>
          <w:ilvl w:val="0"/>
          <w:numId w:val="20"/>
        </w:numPr>
        <w:tabs>
          <w:tab w:val="left" w:pos="0"/>
        </w:tabs>
        <w:spacing w:after="0" w:line="480" w:lineRule="auto"/>
        <w:ind w:left="0" w:firstLine="0"/>
        <w:jc w:val="both"/>
        <w:rPr>
          <w:rFonts w:ascii="Arial" w:hAnsi="Arial" w:cs="Arial"/>
          <w:sz w:val="24"/>
          <w:szCs w:val="24"/>
        </w:rPr>
      </w:pPr>
      <w:r w:rsidRPr="00EE07DD">
        <w:rPr>
          <w:rFonts w:ascii="Arial" w:hAnsi="Arial" w:cs="Arial"/>
          <w:sz w:val="24"/>
          <w:szCs w:val="24"/>
        </w:rPr>
        <w:t>The variation</w:t>
      </w:r>
      <w:r w:rsidR="002D5304">
        <w:rPr>
          <w:rFonts w:ascii="Arial" w:hAnsi="Arial" w:cs="Arial"/>
          <w:sz w:val="24"/>
          <w:szCs w:val="24"/>
        </w:rPr>
        <w:t>s,</w:t>
      </w:r>
      <w:r w:rsidRPr="00EE07DD">
        <w:rPr>
          <w:rFonts w:ascii="Arial" w:hAnsi="Arial" w:cs="Arial"/>
          <w:sz w:val="24"/>
          <w:szCs w:val="24"/>
        </w:rPr>
        <w:t xml:space="preserve"> which the applicants contend for</w:t>
      </w:r>
      <w:r w:rsidR="00A42FA2">
        <w:rPr>
          <w:rFonts w:ascii="Arial" w:hAnsi="Arial" w:cs="Arial"/>
          <w:sz w:val="24"/>
          <w:szCs w:val="24"/>
        </w:rPr>
        <w:t>,</w:t>
      </w:r>
      <w:r w:rsidRPr="00EE07DD">
        <w:rPr>
          <w:rFonts w:ascii="Arial" w:hAnsi="Arial" w:cs="Arial"/>
          <w:sz w:val="24"/>
          <w:szCs w:val="24"/>
        </w:rPr>
        <w:t xml:space="preserve"> are considerably more substantive and far-reaching</w:t>
      </w:r>
      <w:r w:rsidR="00481670">
        <w:rPr>
          <w:rFonts w:ascii="Arial" w:hAnsi="Arial" w:cs="Arial"/>
          <w:sz w:val="24"/>
          <w:szCs w:val="24"/>
        </w:rPr>
        <w:t>, as I have demonstrated earlier</w:t>
      </w:r>
      <w:r w:rsidRPr="00EE07DD">
        <w:rPr>
          <w:rFonts w:ascii="Arial" w:hAnsi="Arial" w:cs="Arial"/>
          <w:sz w:val="24"/>
          <w:szCs w:val="24"/>
        </w:rPr>
        <w:t xml:space="preserve">.  The applicants contend that they are entitled to the variation by the development of the common law in respect </w:t>
      </w:r>
      <w:r w:rsidRPr="00EE07DD">
        <w:rPr>
          <w:rFonts w:ascii="Arial" w:hAnsi="Arial" w:cs="Arial"/>
          <w:sz w:val="24"/>
          <w:szCs w:val="24"/>
        </w:rPr>
        <w:lastRenderedPageBreak/>
        <w:t xml:space="preserve">of the </w:t>
      </w:r>
      <w:r w:rsidR="00A42FA2">
        <w:rPr>
          <w:rFonts w:ascii="Arial" w:hAnsi="Arial" w:cs="Arial"/>
          <w:sz w:val="24"/>
          <w:szCs w:val="24"/>
        </w:rPr>
        <w:t>“</w:t>
      </w:r>
      <w:r w:rsidRPr="00EE07DD">
        <w:rPr>
          <w:rFonts w:ascii="Arial" w:hAnsi="Arial" w:cs="Arial"/>
          <w:sz w:val="24"/>
          <w:szCs w:val="24"/>
        </w:rPr>
        <w:t>once and for all</w:t>
      </w:r>
      <w:r w:rsidR="00A42FA2">
        <w:rPr>
          <w:rFonts w:ascii="Arial" w:hAnsi="Arial" w:cs="Arial"/>
          <w:sz w:val="24"/>
          <w:szCs w:val="24"/>
        </w:rPr>
        <w:t>”</w:t>
      </w:r>
      <w:r w:rsidRPr="00EE07DD">
        <w:rPr>
          <w:rFonts w:ascii="Arial" w:hAnsi="Arial" w:cs="Arial"/>
          <w:sz w:val="24"/>
          <w:szCs w:val="24"/>
        </w:rPr>
        <w:t xml:space="preserve"> rule to permit for the payment of the judgment debt in instalments. </w:t>
      </w:r>
    </w:p>
    <w:p w14:paraId="259842CD" w14:textId="77777777" w:rsidR="00EE07DD" w:rsidRPr="00EE07DD" w:rsidRDefault="00EE07DD" w:rsidP="005F16B4">
      <w:pPr>
        <w:pStyle w:val="ListParagraph"/>
        <w:spacing w:after="0" w:line="480" w:lineRule="auto"/>
        <w:ind w:left="0"/>
        <w:jc w:val="both"/>
        <w:rPr>
          <w:rFonts w:ascii="Arial" w:hAnsi="Arial" w:cs="Arial"/>
          <w:sz w:val="24"/>
          <w:szCs w:val="24"/>
        </w:rPr>
      </w:pPr>
    </w:p>
    <w:p w14:paraId="5D476ECA" w14:textId="77777777" w:rsidR="0068706A" w:rsidRPr="00EE07DD" w:rsidRDefault="0068706A" w:rsidP="005F16B4">
      <w:pPr>
        <w:pStyle w:val="ListParagraph"/>
        <w:numPr>
          <w:ilvl w:val="0"/>
          <w:numId w:val="20"/>
        </w:numPr>
        <w:tabs>
          <w:tab w:val="left" w:pos="0"/>
        </w:tabs>
        <w:spacing w:after="0" w:line="480" w:lineRule="auto"/>
        <w:ind w:left="0" w:firstLine="0"/>
        <w:jc w:val="both"/>
        <w:rPr>
          <w:rFonts w:ascii="Arial" w:hAnsi="Arial" w:cs="Arial"/>
          <w:sz w:val="24"/>
          <w:szCs w:val="24"/>
        </w:rPr>
      </w:pPr>
      <w:r w:rsidRPr="00EE07DD">
        <w:rPr>
          <w:rFonts w:ascii="Arial" w:hAnsi="Arial" w:cs="Arial"/>
          <w:sz w:val="24"/>
          <w:szCs w:val="24"/>
        </w:rPr>
        <w:t xml:space="preserve">The “once and for all” rule was explained by Corbett JA in </w:t>
      </w:r>
      <w:r w:rsidRPr="00EE07DD">
        <w:rPr>
          <w:rFonts w:ascii="Arial" w:hAnsi="Arial" w:cs="Arial"/>
          <w:i/>
          <w:sz w:val="24"/>
          <w:szCs w:val="24"/>
        </w:rPr>
        <w:t>Evins</w:t>
      </w:r>
      <w:r>
        <w:rPr>
          <w:rStyle w:val="FootnoteReference"/>
          <w:rFonts w:ascii="Arial" w:hAnsi="Arial" w:cs="Arial"/>
          <w:sz w:val="24"/>
          <w:szCs w:val="24"/>
        </w:rPr>
        <w:footnoteReference w:id="88"/>
      </w:r>
      <w:r w:rsidRPr="00EE07DD">
        <w:rPr>
          <w:rFonts w:ascii="Arial" w:hAnsi="Arial" w:cs="Arial"/>
          <w:i/>
          <w:sz w:val="24"/>
          <w:szCs w:val="24"/>
        </w:rPr>
        <w:t xml:space="preserve"> </w:t>
      </w:r>
      <w:r w:rsidRPr="00EE07DD">
        <w:rPr>
          <w:rFonts w:ascii="Arial" w:hAnsi="Arial" w:cs="Arial"/>
          <w:sz w:val="24"/>
          <w:szCs w:val="24"/>
        </w:rPr>
        <w:t>as follows:</w:t>
      </w:r>
    </w:p>
    <w:p w14:paraId="18721DB1" w14:textId="77777777" w:rsidR="0068706A" w:rsidRDefault="0068706A" w:rsidP="00CD2D11">
      <w:pPr>
        <w:tabs>
          <w:tab w:val="left" w:pos="0"/>
        </w:tabs>
        <w:spacing w:after="0" w:line="480" w:lineRule="auto"/>
        <w:jc w:val="both"/>
        <w:rPr>
          <w:rFonts w:ascii="Arial" w:hAnsi="Arial" w:cs="Arial"/>
          <w:sz w:val="24"/>
          <w:szCs w:val="24"/>
        </w:rPr>
      </w:pPr>
    </w:p>
    <w:p w14:paraId="6CE9CEC3" w14:textId="77777777" w:rsidR="0006429B" w:rsidRPr="00F025F0" w:rsidRDefault="0006429B" w:rsidP="00F025F0">
      <w:pPr>
        <w:spacing w:after="0" w:line="360" w:lineRule="auto"/>
        <w:ind w:left="567" w:right="567"/>
        <w:jc w:val="both"/>
        <w:rPr>
          <w:rFonts w:ascii="Arial" w:eastAsia="Times New Roman" w:hAnsi="Arial" w:cs="Arial"/>
          <w:color w:val="000000"/>
        </w:rPr>
      </w:pPr>
      <w:r w:rsidRPr="00F025F0">
        <w:rPr>
          <w:rFonts w:ascii="Arial" w:eastAsia="Times New Roman" w:hAnsi="Arial" w:cs="Arial"/>
          <w:color w:val="000000"/>
        </w:rPr>
        <w:t>“T</w:t>
      </w:r>
      <w:r w:rsidRPr="0006429B">
        <w:rPr>
          <w:rFonts w:ascii="Arial" w:eastAsia="Times New Roman" w:hAnsi="Arial" w:cs="Arial"/>
          <w:color w:val="000000"/>
        </w:rPr>
        <w:t xml:space="preserve">his rule appears to have been introduced into our practice from English law </w:t>
      </w:r>
      <w:r w:rsidRPr="00F025F0">
        <w:rPr>
          <w:rFonts w:ascii="Arial" w:eastAsia="Times New Roman" w:hAnsi="Arial" w:cs="Arial"/>
          <w:color w:val="000000"/>
        </w:rPr>
        <w:t xml:space="preserve">… </w:t>
      </w:r>
      <w:r w:rsidRPr="0006429B">
        <w:rPr>
          <w:rFonts w:ascii="Arial" w:eastAsia="Times New Roman" w:hAnsi="Arial" w:cs="Arial"/>
          <w:color w:val="000000"/>
        </w:rPr>
        <w:t>Its introduction and the m</w:t>
      </w:r>
      <w:r w:rsidR="00F025F0">
        <w:rPr>
          <w:rFonts w:ascii="Arial" w:eastAsia="Times New Roman" w:hAnsi="Arial" w:cs="Arial"/>
          <w:color w:val="000000"/>
        </w:rPr>
        <w:t>anner of its application by our</w:t>
      </w:r>
      <w:r w:rsidRPr="0006429B">
        <w:rPr>
          <w:rFonts w:ascii="Arial" w:eastAsia="Times New Roman" w:hAnsi="Arial" w:cs="Arial"/>
          <w:color w:val="000000"/>
        </w:rPr>
        <w:t xml:space="preserve"> Courts have been subjected to criticism </w:t>
      </w:r>
      <w:r w:rsidRPr="00F025F0">
        <w:rPr>
          <w:rFonts w:ascii="Arial" w:eastAsia="Times New Roman" w:hAnsi="Arial" w:cs="Arial"/>
          <w:color w:val="000000"/>
        </w:rPr>
        <w:t>…</w:t>
      </w:r>
      <w:r w:rsidRPr="0006429B">
        <w:rPr>
          <w:rFonts w:ascii="Arial" w:eastAsia="Times New Roman" w:hAnsi="Arial" w:cs="Arial"/>
          <w:color w:val="000000"/>
        </w:rPr>
        <w:t>, but it is a well-entrenched rule. Its purpose is to prevent a multiplicity of actions based upon a single cause of action and to ensure that there is an end to litigation.</w:t>
      </w:r>
    </w:p>
    <w:p w14:paraId="60AE0945" w14:textId="77777777" w:rsidR="0006429B" w:rsidRPr="0006429B" w:rsidRDefault="0006429B" w:rsidP="00F025F0">
      <w:pPr>
        <w:spacing w:after="0" w:line="360" w:lineRule="auto"/>
        <w:ind w:left="567" w:right="567"/>
        <w:jc w:val="both"/>
        <w:rPr>
          <w:rFonts w:ascii="Arial" w:eastAsia="Times New Roman" w:hAnsi="Arial" w:cs="Arial"/>
          <w:color w:val="000000"/>
        </w:rPr>
      </w:pPr>
    </w:p>
    <w:p w14:paraId="0FA694C7" w14:textId="77777777" w:rsidR="0006429B" w:rsidRPr="0006429B" w:rsidRDefault="0006429B" w:rsidP="00F025F0">
      <w:pPr>
        <w:spacing w:after="0" w:line="360" w:lineRule="auto"/>
        <w:ind w:left="567" w:right="567"/>
        <w:jc w:val="both"/>
        <w:rPr>
          <w:rFonts w:ascii="Arial" w:eastAsia="Times New Roman" w:hAnsi="Arial" w:cs="Arial"/>
          <w:color w:val="000000"/>
        </w:rPr>
      </w:pPr>
      <w:r w:rsidRPr="0006429B">
        <w:rPr>
          <w:rFonts w:ascii="Arial" w:eastAsia="Times New Roman" w:hAnsi="Arial" w:cs="Arial"/>
          <w:color w:val="000000"/>
        </w:rPr>
        <w:t>Closely allied to the 'once and for all' rule is the principle of </w:t>
      </w:r>
      <w:r w:rsidRPr="0006429B">
        <w:rPr>
          <w:rFonts w:ascii="Arial" w:eastAsia="Times New Roman" w:hAnsi="Arial" w:cs="Arial"/>
          <w:i/>
          <w:iCs/>
          <w:color w:val="000000"/>
        </w:rPr>
        <w:t>res  judicata</w:t>
      </w:r>
      <w:r w:rsidRPr="0006429B">
        <w:rPr>
          <w:rFonts w:ascii="Arial" w:eastAsia="Times New Roman" w:hAnsi="Arial" w:cs="Arial"/>
          <w:color w:val="000000"/>
        </w:rPr>
        <w:t> which establishes that, where a final judgment has been given in a matter by a competent court, then subsequent litigation between the same parties, or their privies, in regard to the same subject-matter and based upon the same cause of action is not permissible and, if attempted by one of them, can be met by the </w:t>
      </w:r>
      <w:r w:rsidRPr="0006429B">
        <w:rPr>
          <w:rFonts w:ascii="Arial" w:eastAsia="Times New Roman" w:hAnsi="Arial" w:cs="Arial"/>
          <w:i/>
          <w:iCs/>
          <w:color w:val="000000"/>
        </w:rPr>
        <w:t>exceptio rei judicatae vel litis finitae</w:t>
      </w:r>
      <w:r w:rsidRPr="0006429B">
        <w:rPr>
          <w:rFonts w:ascii="Arial" w:eastAsia="Times New Roman" w:hAnsi="Arial" w:cs="Arial"/>
          <w:color w:val="000000"/>
        </w:rPr>
        <w:t>. The object of this principle is to prevent t</w:t>
      </w:r>
      <w:r w:rsidRPr="00F025F0">
        <w:rPr>
          <w:rFonts w:ascii="Arial" w:eastAsia="Times New Roman" w:hAnsi="Arial" w:cs="Arial"/>
          <w:color w:val="000000"/>
        </w:rPr>
        <w:t>he repetition of lawsuits, the </w:t>
      </w:r>
      <w:r w:rsidRPr="0006429B">
        <w:rPr>
          <w:rFonts w:ascii="Arial" w:eastAsia="Times New Roman" w:hAnsi="Arial" w:cs="Arial"/>
          <w:color w:val="000000"/>
        </w:rPr>
        <w:t xml:space="preserve">harassment of a defendant by a multiplicity of actions and the possibility of conflicting decisions </w:t>
      </w:r>
      <w:r w:rsidRPr="00F025F0">
        <w:rPr>
          <w:rFonts w:ascii="Arial" w:eastAsia="Times New Roman" w:hAnsi="Arial" w:cs="Arial"/>
          <w:color w:val="000000"/>
        </w:rPr>
        <w:t xml:space="preserve">… </w:t>
      </w:r>
      <w:r w:rsidRPr="0006429B">
        <w:rPr>
          <w:rFonts w:ascii="Arial" w:eastAsia="Times New Roman" w:hAnsi="Arial" w:cs="Arial"/>
          <w:color w:val="000000"/>
        </w:rPr>
        <w:t xml:space="preserve"> The claimant must sue for all his damages, accrued and prospective, arising from one cause of action, in one action and, once that action has been pursued to final judgment,</w:t>
      </w:r>
      <w:r w:rsidRPr="00F025F0">
        <w:rPr>
          <w:rFonts w:ascii="Arial" w:eastAsia="Times New Roman" w:hAnsi="Arial" w:cs="Arial"/>
          <w:color w:val="000000"/>
        </w:rPr>
        <w:t xml:space="preserve"> that is the end of the matter.”</w:t>
      </w:r>
      <w:r w:rsidRPr="00F025F0">
        <w:rPr>
          <w:rStyle w:val="FootnoteReference"/>
          <w:rFonts w:ascii="Arial" w:eastAsia="Times New Roman" w:hAnsi="Arial" w:cs="Arial"/>
          <w:color w:val="000000"/>
        </w:rPr>
        <w:footnoteReference w:id="89"/>
      </w:r>
    </w:p>
    <w:p w14:paraId="04A661AD" w14:textId="77777777" w:rsidR="0006429B" w:rsidRDefault="0006429B" w:rsidP="00CD2D11">
      <w:pPr>
        <w:tabs>
          <w:tab w:val="left" w:pos="0"/>
        </w:tabs>
        <w:spacing w:after="0" w:line="480" w:lineRule="auto"/>
        <w:jc w:val="both"/>
        <w:rPr>
          <w:rFonts w:ascii="Arial" w:hAnsi="Arial" w:cs="Arial"/>
          <w:sz w:val="24"/>
          <w:szCs w:val="24"/>
        </w:rPr>
      </w:pPr>
    </w:p>
    <w:p w14:paraId="7DFDD2FB" w14:textId="77777777" w:rsidR="00EE07DD" w:rsidRPr="00481670" w:rsidRDefault="0006429B" w:rsidP="000B44A4">
      <w:pPr>
        <w:pStyle w:val="ListParagraph"/>
        <w:numPr>
          <w:ilvl w:val="0"/>
          <w:numId w:val="20"/>
        </w:numPr>
        <w:tabs>
          <w:tab w:val="left" w:pos="0"/>
        </w:tabs>
        <w:spacing w:after="0" w:line="480" w:lineRule="auto"/>
        <w:ind w:left="0" w:firstLine="0"/>
        <w:jc w:val="both"/>
        <w:rPr>
          <w:rFonts w:ascii="Arial" w:hAnsi="Arial" w:cs="Arial"/>
          <w:sz w:val="24"/>
          <w:szCs w:val="24"/>
        </w:rPr>
      </w:pPr>
      <w:r w:rsidRPr="00481670">
        <w:rPr>
          <w:rFonts w:ascii="Arial" w:hAnsi="Arial" w:cs="Arial"/>
          <w:sz w:val="24"/>
          <w:szCs w:val="24"/>
        </w:rPr>
        <w:t xml:space="preserve">In </w:t>
      </w:r>
      <w:r w:rsidRPr="00481670">
        <w:rPr>
          <w:rFonts w:ascii="Arial" w:hAnsi="Arial" w:cs="Arial"/>
          <w:i/>
          <w:sz w:val="24"/>
          <w:szCs w:val="24"/>
        </w:rPr>
        <w:t>DZ</w:t>
      </w:r>
      <w:r>
        <w:rPr>
          <w:rStyle w:val="FootnoteReference"/>
          <w:rFonts w:ascii="Arial" w:hAnsi="Arial" w:cs="Arial"/>
          <w:sz w:val="24"/>
          <w:szCs w:val="24"/>
        </w:rPr>
        <w:footnoteReference w:id="90"/>
      </w:r>
      <w:r w:rsidRPr="00481670">
        <w:rPr>
          <w:rFonts w:ascii="Arial" w:hAnsi="Arial" w:cs="Arial"/>
          <w:sz w:val="24"/>
          <w:szCs w:val="24"/>
        </w:rPr>
        <w:t xml:space="preserve"> the Consti</w:t>
      </w:r>
      <w:r w:rsidR="00481670" w:rsidRPr="00481670">
        <w:rPr>
          <w:rFonts w:ascii="Arial" w:hAnsi="Arial" w:cs="Arial"/>
          <w:sz w:val="24"/>
          <w:szCs w:val="24"/>
        </w:rPr>
        <w:t xml:space="preserve">tutional Court explained </w:t>
      </w:r>
      <w:r w:rsidR="00A42FA2">
        <w:rPr>
          <w:rFonts w:ascii="Arial" w:hAnsi="Arial" w:cs="Arial"/>
          <w:sz w:val="24"/>
          <w:szCs w:val="24"/>
        </w:rPr>
        <w:t xml:space="preserve">that </w:t>
      </w:r>
      <w:r w:rsidR="00481670" w:rsidRPr="00481670">
        <w:rPr>
          <w:rFonts w:ascii="Arial" w:hAnsi="Arial" w:cs="Arial"/>
          <w:sz w:val="24"/>
          <w:szCs w:val="24"/>
        </w:rPr>
        <w:t>the corollary</w:t>
      </w:r>
      <w:r w:rsidRPr="00481670">
        <w:rPr>
          <w:rFonts w:ascii="Arial" w:hAnsi="Arial" w:cs="Arial"/>
          <w:sz w:val="24"/>
          <w:szCs w:val="24"/>
        </w:rPr>
        <w:t xml:space="preserve"> of the “once and for all” rule is that a court is obliged to award these damages in a lump sum.  </w:t>
      </w:r>
      <w:r w:rsidR="00481670">
        <w:rPr>
          <w:rFonts w:ascii="Arial" w:hAnsi="Arial" w:cs="Arial"/>
          <w:sz w:val="24"/>
          <w:szCs w:val="24"/>
        </w:rPr>
        <w:t>They</w:t>
      </w:r>
      <w:r w:rsidRPr="00481670">
        <w:rPr>
          <w:rFonts w:ascii="Arial" w:hAnsi="Arial" w:cs="Arial"/>
          <w:sz w:val="24"/>
          <w:szCs w:val="24"/>
        </w:rPr>
        <w:t xml:space="preserve"> proceeded to examine the application of the “once and for all” rule and concluded at para [54]:</w:t>
      </w:r>
    </w:p>
    <w:p w14:paraId="0D93DCAD" w14:textId="7FF73397" w:rsidR="0006429B" w:rsidRDefault="0006429B" w:rsidP="00CD2D11">
      <w:pPr>
        <w:tabs>
          <w:tab w:val="left" w:pos="0"/>
        </w:tabs>
        <w:spacing w:after="0" w:line="480" w:lineRule="auto"/>
        <w:jc w:val="both"/>
        <w:rPr>
          <w:rFonts w:ascii="Arial" w:hAnsi="Arial" w:cs="Arial"/>
          <w:sz w:val="24"/>
          <w:szCs w:val="24"/>
        </w:rPr>
      </w:pPr>
    </w:p>
    <w:p w14:paraId="49833612" w14:textId="77777777" w:rsidR="000B44A4" w:rsidRDefault="000B44A4" w:rsidP="00CD2D11">
      <w:pPr>
        <w:tabs>
          <w:tab w:val="left" w:pos="0"/>
        </w:tabs>
        <w:spacing w:after="0" w:line="480" w:lineRule="auto"/>
        <w:jc w:val="both"/>
        <w:rPr>
          <w:rFonts w:ascii="Arial" w:hAnsi="Arial" w:cs="Arial"/>
          <w:sz w:val="24"/>
          <w:szCs w:val="24"/>
        </w:rPr>
      </w:pPr>
    </w:p>
    <w:p w14:paraId="7C858520" w14:textId="77777777" w:rsidR="00BD006F" w:rsidRPr="00F025F0" w:rsidRDefault="00BD006F" w:rsidP="00F025F0">
      <w:pPr>
        <w:spacing w:after="0" w:line="360" w:lineRule="auto"/>
        <w:ind w:left="567" w:right="567"/>
        <w:jc w:val="both"/>
        <w:rPr>
          <w:rFonts w:ascii="Arial" w:eastAsia="Times New Roman" w:hAnsi="Arial" w:cs="Arial"/>
          <w:color w:val="000000"/>
        </w:rPr>
      </w:pPr>
      <w:r w:rsidRPr="00F025F0">
        <w:rPr>
          <w:rFonts w:ascii="Arial" w:eastAsia="Times New Roman" w:hAnsi="Arial" w:cs="Arial"/>
          <w:color w:val="000000"/>
        </w:rPr>
        <w:lastRenderedPageBreak/>
        <w:t>“</w:t>
      </w:r>
      <w:r w:rsidRPr="00BD006F">
        <w:rPr>
          <w:rFonts w:ascii="Arial" w:eastAsia="Times New Roman" w:hAnsi="Arial" w:cs="Arial"/>
          <w:color w:val="000000"/>
        </w:rPr>
        <w:t>Although the 'once and for all' rule, with its bias towards individualism and the free market, cannot be said to be in conflict with our constitutional value system, it can also</w:t>
      </w:r>
      <w:r w:rsidRPr="00F025F0">
        <w:rPr>
          <w:rFonts w:ascii="Arial" w:eastAsia="Times New Roman" w:hAnsi="Arial" w:cs="Arial"/>
          <w:color w:val="000000"/>
        </w:rPr>
        <w:t xml:space="preserve"> not be said that the periodic </w:t>
      </w:r>
      <w:r w:rsidRPr="00BD006F">
        <w:rPr>
          <w:rFonts w:ascii="Arial" w:eastAsia="Times New Roman" w:hAnsi="Arial" w:cs="Arial"/>
          <w:color w:val="000000"/>
        </w:rPr>
        <w:t>payment or rent system is out of sync with the high value the Constitution ascribes to socio</w:t>
      </w:r>
      <w:r w:rsidR="00DE67F4">
        <w:rPr>
          <w:rFonts w:ascii="Arial" w:eastAsia="Times New Roman" w:hAnsi="Arial" w:cs="Arial"/>
          <w:color w:val="000000"/>
        </w:rPr>
        <w:t>-</w:t>
      </w:r>
      <w:r w:rsidRPr="00BD006F">
        <w:rPr>
          <w:rFonts w:ascii="Arial" w:eastAsia="Times New Roman" w:hAnsi="Arial" w:cs="Arial"/>
          <w:color w:val="000000"/>
        </w:rPr>
        <w:t>economic rights.</w:t>
      </w:r>
      <w:r w:rsidR="00F025F0" w:rsidRPr="00F025F0">
        <w:rPr>
          <w:rFonts w:ascii="Arial" w:eastAsia="Times New Roman" w:hAnsi="Arial" w:cs="Arial"/>
          <w:color w:val="000000"/>
        </w:rPr>
        <w:t>”</w:t>
      </w:r>
    </w:p>
    <w:p w14:paraId="29512A3E" w14:textId="77777777" w:rsidR="00F025F0" w:rsidRDefault="00F025F0" w:rsidP="00BD006F">
      <w:pPr>
        <w:spacing w:after="0" w:line="240" w:lineRule="auto"/>
        <w:jc w:val="both"/>
        <w:rPr>
          <w:rFonts w:ascii="Verdana" w:eastAsia="Times New Roman" w:hAnsi="Verdana" w:cs="Times New Roman"/>
          <w:color w:val="000000"/>
          <w:sz w:val="20"/>
          <w:szCs w:val="20"/>
        </w:rPr>
      </w:pPr>
    </w:p>
    <w:p w14:paraId="29CE4BB1" w14:textId="77777777" w:rsidR="00BD006F" w:rsidRDefault="00BD006F" w:rsidP="00BD006F">
      <w:pPr>
        <w:spacing w:after="0" w:line="240" w:lineRule="auto"/>
        <w:jc w:val="both"/>
        <w:rPr>
          <w:rFonts w:ascii="Verdana" w:eastAsia="Times New Roman" w:hAnsi="Verdana" w:cs="Times New Roman"/>
          <w:color w:val="000000"/>
          <w:sz w:val="20"/>
          <w:szCs w:val="20"/>
        </w:rPr>
      </w:pPr>
    </w:p>
    <w:p w14:paraId="6A3A7D7F" w14:textId="77777777" w:rsidR="00EE07DD" w:rsidRDefault="00BD006F" w:rsidP="000B44A4">
      <w:pPr>
        <w:pStyle w:val="ListParagraph"/>
        <w:numPr>
          <w:ilvl w:val="0"/>
          <w:numId w:val="20"/>
        </w:numPr>
        <w:spacing w:after="0" w:line="480" w:lineRule="auto"/>
        <w:ind w:left="0" w:firstLine="0"/>
        <w:jc w:val="both"/>
        <w:rPr>
          <w:rFonts w:ascii="Arial" w:eastAsia="Times New Roman" w:hAnsi="Arial" w:cs="Arial"/>
          <w:color w:val="000000"/>
          <w:sz w:val="24"/>
          <w:szCs w:val="24"/>
        </w:rPr>
      </w:pPr>
      <w:r w:rsidRPr="00EE07DD">
        <w:rPr>
          <w:rFonts w:ascii="Arial" w:eastAsia="Times New Roman" w:hAnsi="Arial" w:cs="Arial"/>
          <w:color w:val="000000"/>
          <w:sz w:val="24"/>
          <w:szCs w:val="24"/>
        </w:rPr>
        <w:t>They opin</w:t>
      </w:r>
      <w:r w:rsidR="00F025F0" w:rsidRPr="00EE07DD">
        <w:rPr>
          <w:rFonts w:ascii="Arial" w:eastAsia="Times New Roman" w:hAnsi="Arial" w:cs="Arial"/>
          <w:color w:val="000000"/>
          <w:sz w:val="24"/>
          <w:szCs w:val="24"/>
        </w:rPr>
        <w:t>ed</w:t>
      </w:r>
      <w:r w:rsidRPr="00EE07DD">
        <w:rPr>
          <w:rFonts w:ascii="Arial" w:eastAsia="Times New Roman" w:hAnsi="Arial" w:cs="Arial"/>
          <w:color w:val="000000"/>
          <w:sz w:val="24"/>
          <w:szCs w:val="24"/>
        </w:rPr>
        <w:t xml:space="preserve"> that there was no obvious choice at the highest level of justification between the two.  With this</w:t>
      </w:r>
      <w:r w:rsidR="00DE67F4">
        <w:rPr>
          <w:rFonts w:ascii="Arial" w:eastAsia="Times New Roman" w:hAnsi="Arial" w:cs="Arial"/>
          <w:color w:val="000000"/>
          <w:sz w:val="24"/>
          <w:szCs w:val="24"/>
        </w:rPr>
        <w:t>,</w:t>
      </w:r>
      <w:r w:rsidRPr="00EE07DD">
        <w:rPr>
          <w:rFonts w:ascii="Arial" w:eastAsia="Times New Roman" w:hAnsi="Arial" w:cs="Arial"/>
          <w:color w:val="000000"/>
          <w:sz w:val="24"/>
          <w:szCs w:val="24"/>
        </w:rPr>
        <w:t xml:space="preserve"> the </w:t>
      </w:r>
      <w:r w:rsidR="00F025F0" w:rsidRPr="00EE07DD">
        <w:rPr>
          <w:rFonts w:ascii="Arial" w:eastAsia="Times New Roman" w:hAnsi="Arial" w:cs="Arial"/>
          <w:color w:val="000000"/>
          <w:sz w:val="24"/>
          <w:szCs w:val="24"/>
        </w:rPr>
        <w:t>Constitutional</w:t>
      </w:r>
      <w:r w:rsidRPr="00EE07DD">
        <w:rPr>
          <w:rFonts w:ascii="Arial" w:eastAsia="Times New Roman" w:hAnsi="Arial" w:cs="Arial"/>
          <w:color w:val="000000"/>
          <w:sz w:val="24"/>
          <w:szCs w:val="24"/>
        </w:rPr>
        <w:t xml:space="preserve"> Court opened the door for the development of the common law so as to provide for payment by instalments.</w:t>
      </w:r>
    </w:p>
    <w:p w14:paraId="60ED53D1" w14:textId="77777777" w:rsidR="00EE07DD" w:rsidRDefault="00EE07DD" w:rsidP="000B44A4">
      <w:pPr>
        <w:pStyle w:val="ListParagraph"/>
        <w:spacing w:after="0" w:line="480" w:lineRule="auto"/>
        <w:ind w:left="0"/>
        <w:jc w:val="both"/>
        <w:rPr>
          <w:rFonts w:ascii="Arial" w:eastAsia="Times New Roman" w:hAnsi="Arial" w:cs="Arial"/>
          <w:color w:val="000000"/>
          <w:sz w:val="24"/>
          <w:szCs w:val="24"/>
        </w:rPr>
      </w:pPr>
    </w:p>
    <w:p w14:paraId="0BB55B3C" w14:textId="77777777" w:rsidR="00EE07DD" w:rsidRDefault="00BD006F" w:rsidP="000B44A4">
      <w:pPr>
        <w:pStyle w:val="ListParagraph"/>
        <w:numPr>
          <w:ilvl w:val="0"/>
          <w:numId w:val="20"/>
        </w:numPr>
        <w:spacing w:after="0" w:line="480" w:lineRule="auto"/>
        <w:ind w:left="0" w:firstLine="0"/>
        <w:jc w:val="both"/>
        <w:rPr>
          <w:rFonts w:ascii="Arial" w:eastAsia="Times New Roman" w:hAnsi="Arial" w:cs="Arial"/>
          <w:color w:val="000000"/>
          <w:sz w:val="24"/>
          <w:szCs w:val="24"/>
        </w:rPr>
      </w:pPr>
      <w:r w:rsidRPr="00EE07DD">
        <w:rPr>
          <w:rFonts w:ascii="Arial" w:eastAsia="Times New Roman" w:hAnsi="Arial" w:cs="Arial"/>
          <w:color w:val="000000"/>
          <w:sz w:val="24"/>
          <w:szCs w:val="24"/>
        </w:rPr>
        <w:t xml:space="preserve">In </w:t>
      </w:r>
      <w:r w:rsidRPr="00EE07DD">
        <w:rPr>
          <w:rFonts w:ascii="Arial" w:eastAsia="Times New Roman" w:hAnsi="Arial" w:cs="Arial"/>
          <w:i/>
          <w:color w:val="000000"/>
          <w:sz w:val="24"/>
          <w:szCs w:val="24"/>
        </w:rPr>
        <w:t>PN</w:t>
      </w:r>
      <w:r w:rsidRPr="00F025F0">
        <w:rPr>
          <w:rStyle w:val="FootnoteReference"/>
          <w:rFonts w:ascii="Arial" w:eastAsia="Times New Roman" w:hAnsi="Arial" w:cs="Arial"/>
          <w:color w:val="000000"/>
          <w:sz w:val="24"/>
          <w:szCs w:val="24"/>
        </w:rPr>
        <w:footnoteReference w:id="91"/>
      </w:r>
      <w:r w:rsidR="00E8660A" w:rsidRPr="00EE07DD">
        <w:rPr>
          <w:rFonts w:ascii="Arial" w:eastAsia="Times New Roman" w:hAnsi="Arial" w:cs="Arial"/>
          <w:color w:val="000000"/>
          <w:sz w:val="24"/>
          <w:szCs w:val="24"/>
        </w:rPr>
        <w:t xml:space="preserve"> the issue again arose before the </w:t>
      </w:r>
      <w:r w:rsidR="00DE67F4">
        <w:rPr>
          <w:rFonts w:ascii="Arial" w:eastAsia="Times New Roman" w:hAnsi="Arial" w:cs="Arial"/>
          <w:color w:val="000000"/>
          <w:sz w:val="24"/>
          <w:szCs w:val="24"/>
        </w:rPr>
        <w:t>same court</w:t>
      </w:r>
      <w:r w:rsidR="00E8660A" w:rsidRPr="00EE07DD">
        <w:rPr>
          <w:rFonts w:ascii="Arial" w:eastAsia="Times New Roman" w:hAnsi="Arial" w:cs="Arial"/>
          <w:color w:val="000000"/>
          <w:sz w:val="24"/>
          <w:szCs w:val="24"/>
        </w:rPr>
        <w:t>.  They recognized the increasing prevalence of medic</w:t>
      </w:r>
      <w:r w:rsidR="00DE67F4">
        <w:rPr>
          <w:rFonts w:ascii="Arial" w:eastAsia="Times New Roman" w:hAnsi="Arial" w:cs="Arial"/>
          <w:color w:val="000000"/>
          <w:sz w:val="24"/>
          <w:szCs w:val="24"/>
        </w:rPr>
        <w:t>o</w:t>
      </w:r>
      <w:r w:rsidR="00E8660A" w:rsidRPr="00EE07DD">
        <w:rPr>
          <w:rFonts w:ascii="Arial" w:eastAsia="Times New Roman" w:hAnsi="Arial" w:cs="Arial"/>
          <w:color w:val="000000"/>
          <w:sz w:val="24"/>
          <w:szCs w:val="24"/>
        </w:rPr>
        <w:t>-legal claims and that they result in a large portion of the health care budget being allocated to medico-legal liabilities</w:t>
      </w:r>
      <w:r w:rsidR="00DE67F4">
        <w:rPr>
          <w:rFonts w:ascii="Arial" w:eastAsia="Times New Roman" w:hAnsi="Arial" w:cs="Arial"/>
          <w:color w:val="000000"/>
          <w:sz w:val="24"/>
          <w:szCs w:val="24"/>
        </w:rPr>
        <w:t>.  They</w:t>
      </w:r>
      <w:r w:rsidR="00E8660A" w:rsidRPr="00EE07DD">
        <w:rPr>
          <w:rFonts w:ascii="Arial" w:eastAsia="Times New Roman" w:hAnsi="Arial" w:cs="Arial"/>
          <w:color w:val="000000"/>
          <w:sz w:val="24"/>
          <w:szCs w:val="24"/>
        </w:rPr>
        <w:t xml:space="preserve"> expressed their concern </w:t>
      </w:r>
      <w:r w:rsidR="00A41A6D">
        <w:rPr>
          <w:rFonts w:ascii="Arial" w:eastAsia="Times New Roman" w:hAnsi="Arial" w:cs="Arial"/>
          <w:color w:val="000000"/>
          <w:sz w:val="24"/>
          <w:szCs w:val="24"/>
        </w:rPr>
        <w:t>at</w:t>
      </w:r>
      <w:r w:rsidR="00E8660A" w:rsidRPr="00EE07DD">
        <w:rPr>
          <w:rFonts w:ascii="Arial" w:eastAsia="Times New Roman" w:hAnsi="Arial" w:cs="Arial"/>
          <w:color w:val="000000"/>
          <w:sz w:val="24"/>
          <w:szCs w:val="24"/>
        </w:rPr>
        <w:t xml:space="preserve"> the impact which it has on the delivery on health care services to “everyone” and </w:t>
      </w:r>
      <w:r w:rsidR="00A42FA2">
        <w:rPr>
          <w:rFonts w:ascii="Arial" w:eastAsia="Times New Roman" w:hAnsi="Arial" w:cs="Arial"/>
          <w:color w:val="000000"/>
          <w:sz w:val="24"/>
          <w:szCs w:val="24"/>
        </w:rPr>
        <w:t>“</w:t>
      </w:r>
      <w:r w:rsidR="00E8660A" w:rsidRPr="00EE07DD">
        <w:rPr>
          <w:rFonts w:ascii="Arial" w:eastAsia="Times New Roman" w:hAnsi="Arial" w:cs="Arial"/>
          <w:color w:val="000000"/>
          <w:sz w:val="24"/>
          <w:szCs w:val="24"/>
        </w:rPr>
        <w:t>every child”.</w:t>
      </w:r>
      <w:r w:rsidR="00E8660A" w:rsidRPr="00F025F0">
        <w:rPr>
          <w:rStyle w:val="FootnoteReference"/>
          <w:rFonts w:ascii="Arial" w:eastAsia="Times New Roman" w:hAnsi="Arial" w:cs="Arial"/>
          <w:color w:val="000000"/>
          <w:sz w:val="24"/>
          <w:szCs w:val="24"/>
        </w:rPr>
        <w:footnoteReference w:id="92"/>
      </w:r>
    </w:p>
    <w:p w14:paraId="4779CC43" w14:textId="77777777" w:rsidR="00EE07DD" w:rsidRDefault="00EE07DD" w:rsidP="000B44A4">
      <w:pPr>
        <w:pStyle w:val="ListParagraph"/>
        <w:spacing w:after="0" w:line="480" w:lineRule="auto"/>
        <w:ind w:left="0"/>
        <w:jc w:val="both"/>
        <w:rPr>
          <w:rFonts w:ascii="Arial" w:eastAsia="Times New Roman" w:hAnsi="Arial" w:cs="Arial"/>
          <w:color w:val="000000"/>
          <w:sz w:val="24"/>
          <w:szCs w:val="24"/>
        </w:rPr>
      </w:pPr>
    </w:p>
    <w:p w14:paraId="269DFA69" w14:textId="77777777" w:rsidR="00E8660A" w:rsidRDefault="00E8660A" w:rsidP="000B44A4">
      <w:pPr>
        <w:pStyle w:val="ListParagraph"/>
        <w:numPr>
          <w:ilvl w:val="0"/>
          <w:numId w:val="20"/>
        </w:numPr>
        <w:spacing w:after="0" w:line="480" w:lineRule="auto"/>
        <w:ind w:left="0" w:firstLine="0"/>
        <w:jc w:val="both"/>
        <w:rPr>
          <w:rFonts w:ascii="Arial" w:eastAsia="Times New Roman" w:hAnsi="Arial" w:cs="Arial"/>
          <w:color w:val="000000"/>
          <w:sz w:val="24"/>
          <w:szCs w:val="24"/>
        </w:rPr>
      </w:pPr>
      <w:r w:rsidRPr="00EE07DD">
        <w:rPr>
          <w:rFonts w:ascii="Arial" w:eastAsia="Times New Roman" w:hAnsi="Arial" w:cs="Arial"/>
          <w:color w:val="000000"/>
          <w:sz w:val="24"/>
          <w:szCs w:val="24"/>
        </w:rPr>
        <w:t>The Constitutional Court declined</w:t>
      </w:r>
      <w:r w:rsidR="000E2FF8">
        <w:rPr>
          <w:rFonts w:ascii="Arial" w:eastAsia="Times New Roman" w:hAnsi="Arial" w:cs="Arial"/>
          <w:color w:val="000000"/>
          <w:sz w:val="24"/>
          <w:szCs w:val="24"/>
        </w:rPr>
        <w:t>,</w:t>
      </w:r>
      <w:r w:rsidRPr="00EE07DD">
        <w:rPr>
          <w:rFonts w:ascii="Arial" w:eastAsia="Times New Roman" w:hAnsi="Arial" w:cs="Arial"/>
          <w:color w:val="000000"/>
          <w:sz w:val="24"/>
          <w:szCs w:val="24"/>
        </w:rPr>
        <w:t xml:space="preserve"> in </w:t>
      </w:r>
      <w:r w:rsidRPr="007546F4">
        <w:rPr>
          <w:rFonts w:ascii="Arial" w:eastAsia="Times New Roman" w:hAnsi="Arial" w:cs="Arial"/>
          <w:i/>
          <w:color w:val="000000"/>
          <w:sz w:val="24"/>
          <w:szCs w:val="24"/>
        </w:rPr>
        <w:t>PN</w:t>
      </w:r>
      <w:r w:rsidR="000E2FF8">
        <w:rPr>
          <w:rFonts w:ascii="Arial" w:eastAsia="Times New Roman" w:hAnsi="Arial" w:cs="Arial"/>
          <w:i/>
          <w:color w:val="000000"/>
          <w:sz w:val="24"/>
          <w:szCs w:val="24"/>
        </w:rPr>
        <w:t>,</w:t>
      </w:r>
      <w:r w:rsidRPr="00EE07DD">
        <w:rPr>
          <w:rFonts w:ascii="Arial" w:eastAsia="Times New Roman" w:hAnsi="Arial" w:cs="Arial"/>
          <w:color w:val="000000"/>
          <w:sz w:val="24"/>
          <w:szCs w:val="24"/>
        </w:rPr>
        <w:t xml:space="preserve"> to make any finding on the development of the common law and commented:</w:t>
      </w:r>
    </w:p>
    <w:p w14:paraId="159C6058" w14:textId="77777777" w:rsidR="00A30E35" w:rsidRPr="00A30E35" w:rsidRDefault="00A30E35" w:rsidP="00A30E35">
      <w:pPr>
        <w:pStyle w:val="ListParagraph"/>
        <w:rPr>
          <w:rFonts w:ascii="Arial" w:eastAsia="Times New Roman" w:hAnsi="Arial" w:cs="Arial"/>
          <w:color w:val="000000"/>
          <w:sz w:val="24"/>
          <w:szCs w:val="24"/>
        </w:rPr>
      </w:pPr>
    </w:p>
    <w:p w14:paraId="2B28CD69" w14:textId="77777777" w:rsidR="00E8660A" w:rsidRDefault="00E8660A" w:rsidP="00F025F0">
      <w:pPr>
        <w:spacing w:after="0" w:line="360" w:lineRule="auto"/>
        <w:ind w:left="567" w:right="567"/>
        <w:jc w:val="both"/>
        <w:rPr>
          <w:rFonts w:ascii="Arial" w:eastAsia="Times New Roman" w:hAnsi="Arial" w:cs="Arial"/>
          <w:color w:val="000000"/>
        </w:rPr>
      </w:pPr>
      <w:r w:rsidRPr="00F025F0">
        <w:rPr>
          <w:rFonts w:ascii="Arial" w:eastAsia="Times New Roman" w:hAnsi="Arial" w:cs="Arial"/>
          <w:color w:val="000000"/>
        </w:rPr>
        <w:t xml:space="preserve">“Considering the significant implications of the development of the common law rules at issue, which – in the context of a matter of this nature – may entail the leading of extensive </w:t>
      </w:r>
      <w:r w:rsidR="00F025F0" w:rsidRPr="00F025F0">
        <w:rPr>
          <w:rFonts w:ascii="Arial" w:eastAsia="Times New Roman" w:hAnsi="Arial" w:cs="Arial"/>
          <w:color w:val="000000"/>
        </w:rPr>
        <w:t>evidentiary</w:t>
      </w:r>
      <w:r w:rsidRPr="00F025F0">
        <w:rPr>
          <w:rFonts w:ascii="Arial" w:eastAsia="Times New Roman" w:hAnsi="Arial" w:cs="Arial"/>
          <w:color w:val="000000"/>
        </w:rPr>
        <w:t xml:space="preserve"> material and the presentation of legal arguments of some magnitude, it is simply not in the interests of justice for this court to depart from the general principle.”</w:t>
      </w:r>
    </w:p>
    <w:p w14:paraId="575D0CE2" w14:textId="77777777" w:rsidR="00EE07DD" w:rsidRPr="00F025F0" w:rsidRDefault="00EE07DD" w:rsidP="00F025F0">
      <w:pPr>
        <w:spacing w:after="0" w:line="360" w:lineRule="auto"/>
        <w:ind w:left="567" w:right="567"/>
        <w:jc w:val="both"/>
        <w:rPr>
          <w:rFonts w:ascii="Arial" w:eastAsia="Times New Roman" w:hAnsi="Arial" w:cs="Arial"/>
          <w:color w:val="000000"/>
        </w:rPr>
      </w:pPr>
    </w:p>
    <w:p w14:paraId="27C42ED7" w14:textId="77777777" w:rsidR="00E8660A" w:rsidRPr="00F025F0" w:rsidRDefault="00E8660A" w:rsidP="00F025F0">
      <w:pPr>
        <w:spacing w:after="0" w:line="360" w:lineRule="auto"/>
        <w:ind w:left="567" w:right="567"/>
        <w:jc w:val="both"/>
        <w:rPr>
          <w:rFonts w:ascii="Arial" w:eastAsia="Times New Roman" w:hAnsi="Arial" w:cs="Arial"/>
          <w:color w:val="000000"/>
        </w:rPr>
      </w:pPr>
    </w:p>
    <w:p w14:paraId="2C45C7CC" w14:textId="77777777" w:rsidR="00E8660A" w:rsidRPr="00EE07DD" w:rsidRDefault="00E8660A" w:rsidP="000B44A4">
      <w:pPr>
        <w:pStyle w:val="ListParagraph"/>
        <w:numPr>
          <w:ilvl w:val="0"/>
          <w:numId w:val="20"/>
        </w:numPr>
        <w:spacing w:after="0" w:line="480" w:lineRule="auto"/>
        <w:ind w:left="0" w:firstLine="0"/>
        <w:jc w:val="both"/>
        <w:rPr>
          <w:rFonts w:ascii="Arial" w:eastAsia="Times New Roman" w:hAnsi="Arial" w:cs="Arial"/>
          <w:color w:val="000000"/>
          <w:sz w:val="24"/>
          <w:szCs w:val="24"/>
        </w:rPr>
      </w:pPr>
      <w:r w:rsidRPr="00EE07DD">
        <w:rPr>
          <w:rFonts w:ascii="Arial" w:eastAsia="Times New Roman" w:hAnsi="Arial" w:cs="Arial"/>
          <w:color w:val="000000"/>
          <w:sz w:val="24"/>
          <w:szCs w:val="24"/>
        </w:rPr>
        <w:lastRenderedPageBreak/>
        <w:t>I accept</w:t>
      </w:r>
      <w:r w:rsidR="00A42FA2">
        <w:rPr>
          <w:rFonts w:ascii="Arial" w:eastAsia="Times New Roman" w:hAnsi="Arial" w:cs="Arial"/>
          <w:color w:val="000000"/>
          <w:sz w:val="24"/>
          <w:szCs w:val="24"/>
        </w:rPr>
        <w:t>,</w:t>
      </w:r>
      <w:r w:rsidRPr="00EE07DD">
        <w:rPr>
          <w:rFonts w:ascii="Arial" w:eastAsia="Times New Roman" w:hAnsi="Arial" w:cs="Arial"/>
          <w:color w:val="000000"/>
          <w:sz w:val="24"/>
          <w:szCs w:val="24"/>
        </w:rPr>
        <w:t xml:space="preserve"> </w:t>
      </w:r>
      <w:r w:rsidR="00DE67F4">
        <w:rPr>
          <w:rFonts w:ascii="Arial" w:eastAsia="Times New Roman" w:hAnsi="Arial" w:cs="Arial"/>
          <w:color w:val="000000"/>
          <w:sz w:val="24"/>
          <w:szCs w:val="24"/>
        </w:rPr>
        <w:t>for purposes of this judgment</w:t>
      </w:r>
      <w:r w:rsidR="00A42FA2">
        <w:rPr>
          <w:rFonts w:ascii="Arial" w:eastAsia="Times New Roman" w:hAnsi="Arial" w:cs="Arial"/>
          <w:color w:val="000000"/>
          <w:sz w:val="24"/>
          <w:szCs w:val="24"/>
        </w:rPr>
        <w:t>,</w:t>
      </w:r>
      <w:r w:rsidR="00DE67F4">
        <w:rPr>
          <w:rFonts w:ascii="Arial" w:eastAsia="Times New Roman" w:hAnsi="Arial" w:cs="Arial"/>
          <w:color w:val="000000"/>
          <w:sz w:val="24"/>
          <w:szCs w:val="24"/>
        </w:rPr>
        <w:t xml:space="preserve"> that </w:t>
      </w:r>
      <w:r w:rsidRPr="00EE07DD">
        <w:rPr>
          <w:rFonts w:ascii="Arial" w:eastAsia="Times New Roman" w:hAnsi="Arial" w:cs="Arial"/>
          <w:i/>
          <w:color w:val="000000"/>
          <w:sz w:val="24"/>
          <w:szCs w:val="24"/>
        </w:rPr>
        <w:t>DZ</w:t>
      </w:r>
      <w:r w:rsidRPr="00EE07DD">
        <w:rPr>
          <w:rFonts w:ascii="Arial" w:eastAsia="Times New Roman" w:hAnsi="Arial" w:cs="Arial"/>
          <w:color w:val="000000"/>
          <w:sz w:val="24"/>
          <w:szCs w:val="24"/>
        </w:rPr>
        <w:t xml:space="preserve"> and </w:t>
      </w:r>
      <w:r w:rsidRPr="00EE07DD">
        <w:rPr>
          <w:rFonts w:ascii="Arial" w:eastAsia="Times New Roman" w:hAnsi="Arial" w:cs="Arial"/>
          <w:i/>
          <w:color w:val="000000"/>
          <w:sz w:val="24"/>
          <w:szCs w:val="24"/>
        </w:rPr>
        <w:t>PN</w:t>
      </w:r>
      <w:r w:rsidRPr="00EE07DD">
        <w:rPr>
          <w:rFonts w:ascii="Arial" w:eastAsia="Times New Roman" w:hAnsi="Arial" w:cs="Arial"/>
          <w:color w:val="000000"/>
          <w:sz w:val="24"/>
          <w:szCs w:val="24"/>
        </w:rPr>
        <w:t xml:space="preserve"> have given a clear indication of the likely development of the common law in this field</w:t>
      </w:r>
      <w:r w:rsidR="00DE67F4">
        <w:rPr>
          <w:rFonts w:ascii="Arial" w:eastAsia="Times New Roman" w:hAnsi="Arial" w:cs="Arial"/>
          <w:color w:val="000000"/>
          <w:sz w:val="24"/>
          <w:szCs w:val="24"/>
        </w:rPr>
        <w:t>,</w:t>
      </w:r>
      <w:r w:rsidRPr="00EE07DD">
        <w:rPr>
          <w:rFonts w:ascii="Arial" w:eastAsia="Times New Roman" w:hAnsi="Arial" w:cs="Arial"/>
          <w:color w:val="000000"/>
          <w:sz w:val="24"/>
          <w:szCs w:val="24"/>
        </w:rPr>
        <w:t xml:space="preserve"> but they emphasised that “this does not mean that the individual interest of </w:t>
      </w:r>
      <w:r w:rsidR="00DE67F4">
        <w:rPr>
          <w:rFonts w:ascii="Arial" w:eastAsia="Times New Roman" w:hAnsi="Arial" w:cs="Arial"/>
          <w:color w:val="000000"/>
          <w:sz w:val="24"/>
          <w:szCs w:val="24"/>
        </w:rPr>
        <w:t>[a plaintiff]</w:t>
      </w:r>
      <w:r w:rsidRPr="00EE07DD">
        <w:rPr>
          <w:rFonts w:ascii="Arial" w:eastAsia="Times New Roman" w:hAnsi="Arial" w:cs="Arial"/>
          <w:color w:val="000000"/>
          <w:sz w:val="24"/>
          <w:szCs w:val="24"/>
        </w:rPr>
        <w:t xml:space="preserve"> and similarly placed individuals must be </w:t>
      </w:r>
      <w:r w:rsidR="00F025F0" w:rsidRPr="00EE07DD">
        <w:rPr>
          <w:rFonts w:ascii="Arial" w:eastAsia="Times New Roman" w:hAnsi="Arial" w:cs="Arial"/>
          <w:color w:val="000000"/>
          <w:sz w:val="24"/>
          <w:szCs w:val="24"/>
        </w:rPr>
        <w:t>re</w:t>
      </w:r>
      <w:r w:rsidR="00DE67F4">
        <w:rPr>
          <w:rFonts w:ascii="Arial" w:eastAsia="Times New Roman" w:hAnsi="Arial" w:cs="Arial"/>
          <w:color w:val="000000"/>
          <w:sz w:val="24"/>
          <w:szCs w:val="24"/>
        </w:rPr>
        <w:t>legated</w:t>
      </w:r>
      <w:r w:rsidRPr="00EE07DD">
        <w:rPr>
          <w:rFonts w:ascii="Arial" w:eastAsia="Times New Roman" w:hAnsi="Arial" w:cs="Arial"/>
          <w:color w:val="000000"/>
          <w:sz w:val="24"/>
          <w:szCs w:val="24"/>
        </w:rPr>
        <w:t xml:space="preserve"> to insignificance.  Each must be afforded an appropriate remedy and compensated fairly for the loss suffered”</w:t>
      </w:r>
      <w:r w:rsidR="00EE07DD" w:rsidRPr="00EE07DD">
        <w:rPr>
          <w:rFonts w:ascii="Arial" w:eastAsia="Times New Roman" w:hAnsi="Arial" w:cs="Arial"/>
          <w:color w:val="000000"/>
          <w:sz w:val="24"/>
          <w:szCs w:val="24"/>
        </w:rPr>
        <w:t>.</w:t>
      </w:r>
      <w:r w:rsidR="00405E28">
        <w:rPr>
          <w:rStyle w:val="FootnoteReference"/>
          <w:rFonts w:ascii="Arial" w:eastAsia="Times New Roman" w:hAnsi="Arial" w:cs="Arial"/>
          <w:color w:val="000000"/>
          <w:sz w:val="24"/>
          <w:szCs w:val="24"/>
        </w:rPr>
        <w:footnoteReference w:id="93"/>
      </w:r>
    </w:p>
    <w:p w14:paraId="0C0EA0D9" w14:textId="77777777" w:rsidR="00E8660A" w:rsidRPr="00EE07DD" w:rsidRDefault="00E8660A" w:rsidP="000B44A4">
      <w:pPr>
        <w:spacing w:after="0" w:line="480" w:lineRule="auto"/>
        <w:jc w:val="both"/>
        <w:rPr>
          <w:rFonts w:ascii="Arial" w:eastAsia="Times New Roman" w:hAnsi="Arial" w:cs="Arial"/>
          <w:color w:val="000000"/>
          <w:sz w:val="24"/>
          <w:szCs w:val="24"/>
        </w:rPr>
      </w:pPr>
    </w:p>
    <w:p w14:paraId="283D601A" w14:textId="77777777" w:rsidR="00A42FA2" w:rsidRPr="00A42FA2" w:rsidRDefault="00E8660A" w:rsidP="000B44A4">
      <w:pPr>
        <w:pStyle w:val="ListParagraph"/>
        <w:numPr>
          <w:ilvl w:val="0"/>
          <w:numId w:val="20"/>
        </w:numPr>
        <w:spacing w:after="0" w:line="480" w:lineRule="auto"/>
        <w:ind w:left="0" w:firstLine="0"/>
        <w:jc w:val="both"/>
        <w:rPr>
          <w:rFonts w:ascii="Arial" w:eastAsia="Times New Roman" w:hAnsi="Arial" w:cs="Arial"/>
          <w:color w:val="000000"/>
          <w:sz w:val="24"/>
          <w:szCs w:val="24"/>
        </w:rPr>
      </w:pPr>
      <w:r w:rsidRPr="00EE07DD">
        <w:rPr>
          <w:rFonts w:ascii="Arial" w:eastAsia="Times New Roman" w:hAnsi="Arial" w:cs="Arial"/>
          <w:color w:val="000000"/>
          <w:sz w:val="24"/>
          <w:szCs w:val="24"/>
        </w:rPr>
        <w:t>The prayer for periodic payments constitutes a special defence to the “once and for all” rule</w:t>
      </w:r>
      <w:r w:rsidR="00DE67F4">
        <w:rPr>
          <w:rFonts w:ascii="Arial" w:eastAsia="Times New Roman" w:hAnsi="Arial" w:cs="Arial"/>
          <w:color w:val="000000"/>
          <w:sz w:val="24"/>
          <w:szCs w:val="24"/>
        </w:rPr>
        <w:t>,</w:t>
      </w:r>
      <w:r w:rsidRPr="00EE07DD">
        <w:rPr>
          <w:rFonts w:ascii="Arial" w:eastAsia="Times New Roman" w:hAnsi="Arial" w:cs="Arial"/>
          <w:color w:val="000000"/>
          <w:sz w:val="24"/>
          <w:szCs w:val="24"/>
        </w:rPr>
        <w:t xml:space="preserve"> which must be properly pleaded.  Evidence must be led to substantiate the defence and the court must, after consideration of all the relevant evidence </w:t>
      </w:r>
      <w:r w:rsidR="00A42FA2">
        <w:rPr>
          <w:rFonts w:ascii="Arial" w:eastAsia="Times New Roman" w:hAnsi="Arial" w:cs="Arial"/>
          <w:color w:val="000000"/>
          <w:sz w:val="24"/>
          <w:szCs w:val="24"/>
        </w:rPr>
        <w:t xml:space="preserve">craft </w:t>
      </w:r>
      <w:r w:rsidRPr="00EE07DD">
        <w:rPr>
          <w:rFonts w:ascii="Arial" w:eastAsia="Times New Roman" w:hAnsi="Arial" w:cs="Arial"/>
          <w:color w:val="000000"/>
          <w:sz w:val="24"/>
          <w:szCs w:val="24"/>
        </w:rPr>
        <w:t xml:space="preserve">an </w:t>
      </w:r>
      <w:r w:rsidR="00F025F0" w:rsidRPr="00EE07DD">
        <w:rPr>
          <w:rFonts w:ascii="Arial" w:eastAsia="Times New Roman" w:hAnsi="Arial" w:cs="Arial"/>
          <w:color w:val="000000"/>
          <w:sz w:val="24"/>
          <w:szCs w:val="24"/>
        </w:rPr>
        <w:t>appropriate</w:t>
      </w:r>
      <w:r w:rsidRPr="00EE07DD">
        <w:rPr>
          <w:rFonts w:ascii="Arial" w:eastAsia="Times New Roman" w:hAnsi="Arial" w:cs="Arial"/>
          <w:color w:val="000000"/>
          <w:sz w:val="24"/>
          <w:szCs w:val="24"/>
        </w:rPr>
        <w:t xml:space="preserve"> remedy for the individual plaintiff.  This will require an assessment of medical evidence as to the nature and condition of the injured party, the extent of the immediate need, which would vary from one victim to </w:t>
      </w:r>
      <w:r w:rsidR="00F025F0" w:rsidRPr="00EE07DD">
        <w:rPr>
          <w:rFonts w:ascii="Arial" w:eastAsia="Times New Roman" w:hAnsi="Arial" w:cs="Arial"/>
          <w:color w:val="000000"/>
          <w:sz w:val="24"/>
          <w:szCs w:val="24"/>
        </w:rPr>
        <w:t>another</w:t>
      </w:r>
      <w:r w:rsidR="001758DA" w:rsidRPr="00EE07DD">
        <w:rPr>
          <w:rFonts w:ascii="Arial" w:eastAsia="Times New Roman" w:hAnsi="Arial" w:cs="Arial"/>
          <w:color w:val="000000"/>
          <w:sz w:val="24"/>
          <w:szCs w:val="24"/>
        </w:rPr>
        <w:t xml:space="preserve">, the time </w:t>
      </w:r>
      <w:r w:rsidR="00DE67F4">
        <w:rPr>
          <w:rFonts w:ascii="Arial" w:eastAsia="Times New Roman" w:hAnsi="Arial" w:cs="Arial"/>
          <w:color w:val="000000"/>
          <w:sz w:val="24"/>
          <w:szCs w:val="24"/>
        </w:rPr>
        <w:t xml:space="preserve">of </w:t>
      </w:r>
      <w:r w:rsidR="001758DA" w:rsidRPr="00EE07DD">
        <w:rPr>
          <w:rFonts w:ascii="Arial" w:eastAsia="Times New Roman" w:hAnsi="Arial" w:cs="Arial"/>
          <w:color w:val="000000"/>
          <w:sz w:val="24"/>
          <w:szCs w:val="24"/>
        </w:rPr>
        <w:t xml:space="preserve">the </w:t>
      </w:r>
      <w:r w:rsidR="00A42FA2" w:rsidRPr="00EE07DD">
        <w:rPr>
          <w:rFonts w:ascii="Arial" w:eastAsia="Times New Roman" w:hAnsi="Arial" w:cs="Arial"/>
          <w:color w:val="000000"/>
          <w:sz w:val="24"/>
          <w:szCs w:val="24"/>
        </w:rPr>
        <w:t xml:space="preserve">likely </w:t>
      </w:r>
      <w:r w:rsidR="00A42FA2">
        <w:rPr>
          <w:rFonts w:ascii="Arial" w:eastAsia="Times New Roman" w:hAnsi="Arial" w:cs="Arial"/>
          <w:color w:val="000000"/>
          <w:sz w:val="24"/>
          <w:szCs w:val="24"/>
        </w:rPr>
        <w:t xml:space="preserve">future </w:t>
      </w:r>
      <w:r w:rsidR="001758DA" w:rsidRPr="00EE07DD">
        <w:rPr>
          <w:rFonts w:ascii="Arial" w:eastAsia="Times New Roman" w:hAnsi="Arial" w:cs="Arial"/>
          <w:color w:val="000000"/>
          <w:sz w:val="24"/>
          <w:szCs w:val="24"/>
        </w:rPr>
        <w:t xml:space="preserve">need and the </w:t>
      </w:r>
      <w:r w:rsidR="00F025F0" w:rsidRPr="00EE07DD">
        <w:rPr>
          <w:rFonts w:ascii="Arial" w:eastAsia="Times New Roman" w:hAnsi="Arial" w:cs="Arial"/>
          <w:color w:val="000000"/>
          <w:sz w:val="24"/>
          <w:szCs w:val="24"/>
        </w:rPr>
        <w:t>extent</w:t>
      </w:r>
      <w:r w:rsidR="00EE07DD" w:rsidRPr="00EE07DD">
        <w:rPr>
          <w:rFonts w:ascii="Arial" w:eastAsia="Times New Roman" w:hAnsi="Arial" w:cs="Arial"/>
          <w:color w:val="000000"/>
          <w:sz w:val="24"/>
          <w:szCs w:val="24"/>
        </w:rPr>
        <w:t xml:space="preserve"> </w:t>
      </w:r>
      <w:r w:rsidR="00A42FA2">
        <w:rPr>
          <w:rFonts w:ascii="Arial" w:eastAsia="Times New Roman" w:hAnsi="Arial" w:cs="Arial"/>
          <w:color w:val="000000"/>
          <w:sz w:val="24"/>
          <w:szCs w:val="24"/>
        </w:rPr>
        <w:t xml:space="preserve">and time </w:t>
      </w:r>
      <w:r w:rsidR="00EE07DD" w:rsidRPr="00EE07DD">
        <w:rPr>
          <w:rFonts w:ascii="Arial" w:eastAsia="Times New Roman" w:hAnsi="Arial" w:cs="Arial"/>
          <w:color w:val="000000"/>
          <w:sz w:val="24"/>
          <w:szCs w:val="24"/>
        </w:rPr>
        <w:t>of the relevant instalments.</w:t>
      </w:r>
      <w:r w:rsidR="00A42FA2">
        <w:rPr>
          <w:rFonts w:ascii="Arial" w:eastAsia="Times New Roman" w:hAnsi="Arial" w:cs="Arial"/>
          <w:color w:val="000000"/>
          <w:sz w:val="24"/>
          <w:szCs w:val="24"/>
        </w:rPr>
        <w:t xml:space="preserve">  </w:t>
      </w:r>
      <w:r w:rsidR="000857EB" w:rsidRPr="00A42FA2">
        <w:rPr>
          <w:rFonts w:ascii="Arial" w:eastAsia="Times New Roman" w:hAnsi="Arial" w:cs="Arial"/>
          <w:color w:val="000000"/>
          <w:sz w:val="24"/>
          <w:szCs w:val="24"/>
        </w:rPr>
        <w:t xml:space="preserve">Each individual case must be considered on </w:t>
      </w:r>
      <w:r w:rsidR="00DE67F4" w:rsidRPr="00A42FA2">
        <w:rPr>
          <w:rFonts w:ascii="Arial" w:eastAsia="Times New Roman" w:hAnsi="Arial" w:cs="Arial"/>
          <w:color w:val="000000"/>
          <w:sz w:val="24"/>
          <w:szCs w:val="24"/>
        </w:rPr>
        <w:t>the basis of the particular</w:t>
      </w:r>
      <w:r w:rsidR="000857EB" w:rsidRPr="00A42FA2">
        <w:rPr>
          <w:rFonts w:ascii="Arial" w:eastAsia="Times New Roman" w:hAnsi="Arial" w:cs="Arial"/>
          <w:color w:val="000000"/>
          <w:sz w:val="24"/>
          <w:szCs w:val="24"/>
        </w:rPr>
        <w:t xml:space="preserve"> circumstances pertaining to it.  </w:t>
      </w:r>
    </w:p>
    <w:p w14:paraId="559C92EC" w14:textId="77777777" w:rsidR="00A42FA2" w:rsidRPr="00A42FA2" w:rsidRDefault="00A42FA2" w:rsidP="000B44A4">
      <w:pPr>
        <w:pStyle w:val="ListParagraph"/>
        <w:spacing w:after="0" w:line="480" w:lineRule="auto"/>
        <w:ind w:left="0"/>
        <w:jc w:val="both"/>
        <w:rPr>
          <w:rFonts w:ascii="Arial" w:eastAsia="Times New Roman" w:hAnsi="Arial" w:cs="Arial"/>
          <w:color w:val="000000"/>
          <w:sz w:val="24"/>
          <w:szCs w:val="24"/>
        </w:rPr>
      </w:pPr>
    </w:p>
    <w:p w14:paraId="72BD3A87" w14:textId="3330D973" w:rsidR="00DE67F4" w:rsidRDefault="000857EB" w:rsidP="000B44A4">
      <w:pPr>
        <w:pStyle w:val="ListParagraph"/>
        <w:numPr>
          <w:ilvl w:val="0"/>
          <w:numId w:val="20"/>
        </w:numPr>
        <w:spacing w:after="0" w:line="480" w:lineRule="auto"/>
        <w:ind w:left="0" w:firstLine="0"/>
        <w:jc w:val="both"/>
        <w:rPr>
          <w:rFonts w:ascii="Arial" w:eastAsia="Times New Roman" w:hAnsi="Arial" w:cs="Arial"/>
          <w:color w:val="000000"/>
          <w:sz w:val="24"/>
          <w:szCs w:val="24"/>
        </w:rPr>
      </w:pPr>
      <w:r w:rsidRPr="00EE07DD">
        <w:rPr>
          <w:rFonts w:ascii="Arial" w:eastAsia="Times New Roman" w:hAnsi="Arial" w:cs="Arial"/>
          <w:color w:val="000000"/>
          <w:sz w:val="24"/>
          <w:szCs w:val="24"/>
        </w:rPr>
        <w:t>The immediate difficulty which the applicant</w:t>
      </w:r>
      <w:r w:rsidR="00DE67F4">
        <w:rPr>
          <w:rFonts w:ascii="Arial" w:eastAsia="Times New Roman" w:hAnsi="Arial" w:cs="Arial"/>
          <w:color w:val="000000"/>
          <w:sz w:val="24"/>
          <w:szCs w:val="24"/>
        </w:rPr>
        <w:t>s</w:t>
      </w:r>
      <w:r w:rsidRPr="00EE07DD">
        <w:rPr>
          <w:rFonts w:ascii="Arial" w:eastAsia="Times New Roman" w:hAnsi="Arial" w:cs="Arial"/>
          <w:color w:val="000000"/>
          <w:sz w:val="24"/>
          <w:szCs w:val="24"/>
        </w:rPr>
        <w:t xml:space="preserve"> encounter is that the defence which they now seek to raise was not raised at the trial.  As a direct result thereof, and flowing from the settlement agreements, medical evidence require</w:t>
      </w:r>
      <w:r w:rsidR="00DE67F4">
        <w:rPr>
          <w:rFonts w:ascii="Arial" w:eastAsia="Times New Roman" w:hAnsi="Arial" w:cs="Arial"/>
          <w:color w:val="000000"/>
          <w:sz w:val="24"/>
          <w:szCs w:val="24"/>
        </w:rPr>
        <w:t>d</w:t>
      </w:r>
      <w:r w:rsidRPr="00EE07DD">
        <w:rPr>
          <w:rFonts w:ascii="Arial" w:eastAsia="Times New Roman" w:hAnsi="Arial" w:cs="Arial"/>
          <w:color w:val="000000"/>
          <w:sz w:val="24"/>
          <w:szCs w:val="24"/>
        </w:rPr>
        <w:t xml:space="preserve"> to determine the extent of the initial instalment and the time and extent of subsequent instalments has not been heard or considered.  It would requi</w:t>
      </w:r>
      <w:r w:rsidR="00DE67F4">
        <w:rPr>
          <w:rFonts w:ascii="Arial" w:eastAsia="Times New Roman" w:hAnsi="Arial" w:cs="Arial"/>
          <w:color w:val="000000"/>
          <w:sz w:val="24"/>
          <w:szCs w:val="24"/>
        </w:rPr>
        <w:t>re the reopening of the trial in each case, which, in turn</w:t>
      </w:r>
      <w:r w:rsidR="000E2FF8">
        <w:rPr>
          <w:rFonts w:ascii="Arial" w:eastAsia="Times New Roman" w:hAnsi="Arial" w:cs="Arial"/>
          <w:color w:val="000000"/>
          <w:sz w:val="24"/>
          <w:szCs w:val="24"/>
        </w:rPr>
        <w:t>,</w:t>
      </w:r>
      <w:r w:rsidR="00DE67F4">
        <w:rPr>
          <w:rFonts w:ascii="Arial" w:eastAsia="Times New Roman" w:hAnsi="Arial" w:cs="Arial"/>
          <w:color w:val="000000"/>
          <w:sz w:val="24"/>
          <w:szCs w:val="24"/>
        </w:rPr>
        <w:t xml:space="preserve"> would have a detrimental impact o</w:t>
      </w:r>
      <w:r w:rsidR="004F40C6">
        <w:rPr>
          <w:rFonts w:ascii="Arial" w:eastAsia="Times New Roman" w:hAnsi="Arial" w:cs="Arial"/>
          <w:color w:val="000000"/>
          <w:sz w:val="24"/>
          <w:szCs w:val="24"/>
        </w:rPr>
        <w:t>n</w:t>
      </w:r>
      <w:r w:rsidR="00DE67F4">
        <w:rPr>
          <w:rFonts w:ascii="Arial" w:eastAsia="Times New Roman" w:hAnsi="Arial" w:cs="Arial"/>
          <w:color w:val="000000"/>
          <w:sz w:val="24"/>
          <w:szCs w:val="24"/>
        </w:rPr>
        <w:t xml:space="preserve"> the plaintiff respondents, mostly </w:t>
      </w:r>
      <w:r w:rsidR="00A30E35">
        <w:rPr>
          <w:rFonts w:ascii="Arial" w:eastAsia="Times New Roman" w:hAnsi="Arial" w:cs="Arial"/>
          <w:color w:val="000000"/>
          <w:sz w:val="24"/>
          <w:szCs w:val="24"/>
        </w:rPr>
        <w:t xml:space="preserve">poor people who have been </w:t>
      </w:r>
      <w:r w:rsidR="00DE67F4">
        <w:rPr>
          <w:rFonts w:ascii="Arial" w:eastAsia="Times New Roman" w:hAnsi="Arial" w:cs="Arial"/>
          <w:color w:val="000000"/>
          <w:sz w:val="24"/>
          <w:szCs w:val="24"/>
        </w:rPr>
        <w:t xml:space="preserve">victims of the </w:t>
      </w:r>
      <w:r w:rsidR="00A41A6D">
        <w:rPr>
          <w:rFonts w:ascii="Arial" w:eastAsia="Times New Roman" w:hAnsi="Arial" w:cs="Arial"/>
          <w:color w:val="000000"/>
          <w:sz w:val="24"/>
          <w:szCs w:val="24"/>
        </w:rPr>
        <w:t>ECDOH’s</w:t>
      </w:r>
      <w:r w:rsidR="00DE67F4">
        <w:rPr>
          <w:rFonts w:ascii="Arial" w:eastAsia="Times New Roman" w:hAnsi="Arial" w:cs="Arial"/>
          <w:color w:val="000000"/>
          <w:sz w:val="24"/>
          <w:szCs w:val="24"/>
        </w:rPr>
        <w:t xml:space="preserve"> negligence, </w:t>
      </w:r>
      <w:r w:rsidR="00A30E35">
        <w:rPr>
          <w:rFonts w:ascii="Arial" w:eastAsia="Times New Roman" w:hAnsi="Arial" w:cs="Arial"/>
          <w:color w:val="000000"/>
          <w:sz w:val="24"/>
          <w:szCs w:val="24"/>
        </w:rPr>
        <w:t>and</w:t>
      </w:r>
      <w:r w:rsidR="00DE67F4">
        <w:rPr>
          <w:rFonts w:ascii="Arial" w:eastAsia="Times New Roman" w:hAnsi="Arial" w:cs="Arial"/>
          <w:color w:val="000000"/>
          <w:sz w:val="24"/>
          <w:szCs w:val="24"/>
        </w:rPr>
        <w:t xml:space="preserve"> have already litigated their matters to finality.</w:t>
      </w:r>
      <w:r w:rsidR="00A42FA2">
        <w:rPr>
          <w:rFonts w:ascii="Arial" w:eastAsia="Times New Roman" w:hAnsi="Arial" w:cs="Arial"/>
          <w:color w:val="000000"/>
          <w:sz w:val="24"/>
          <w:szCs w:val="24"/>
        </w:rPr>
        <w:t xml:space="preserve">  All the evidence </w:t>
      </w:r>
      <w:r w:rsidR="00A41A6D">
        <w:rPr>
          <w:rFonts w:ascii="Arial" w:eastAsia="Times New Roman" w:hAnsi="Arial" w:cs="Arial"/>
          <w:color w:val="000000"/>
          <w:sz w:val="24"/>
          <w:szCs w:val="24"/>
        </w:rPr>
        <w:t>that</w:t>
      </w:r>
      <w:r w:rsidR="00A42FA2">
        <w:rPr>
          <w:rFonts w:ascii="Arial" w:eastAsia="Times New Roman" w:hAnsi="Arial" w:cs="Arial"/>
          <w:color w:val="000000"/>
          <w:sz w:val="24"/>
          <w:szCs w:val="24"/>
        </w:rPr>
        <w:t xml:space="preserve"> is now raised in the application</w:t>
      </w:r>
      <w:r w:rsidR="00A41A6D">
        <w:rPr>
          <w:rFonts w:ascii="Arial" w:eastAsia="Times New Roman" w:hAnsi="Arial" w:cs="Arial"/>
          <w:color w:val="000000"/>
          <w:sz w:val="24"/>
          <w:szCs w:val="24"/>
        </w:rPr>
        <w:t xml:space="preserve">, </w:t>
      </w:r>
      <w:r w:rsidR="00A41A6D">
        <w:rPr>
          <w:rFonts w:ascii="Arial" w:eastAsia="Times New Roman" w:hAnsi="Arial" w:cs="Arial"/>
          <w:color w:val="000000"/>
          <w:sz w:val="24"/>
          <w:szCs w:val="24"/>
        </w:rPr>
        <w:lastRenderedPageBreak/>
        <w:t>and that may arise in the application for variation,</w:t>
      </w:r>
      <w:r w:rsidR="00A42FA2">
        <w:rPr>
          <w:rFonts w:ascii="Arial" w:eastAsia="Times New Roman" w:hAnsi="Arial" w:cs="Arial"/>
          <w:color w:val="000000"/>
          <w:sz w:val="24"/>
          <w:szCs w:val="24"/>
        </w:rPr>
        <w:t xml:space="preserve"> was always available to the applicants at the trial and they chose not to raise the issue or to tender the evidence.</w:t>
      </w:r>
    </w:p>
    <w:p w14:paraId="607B423B" w14:textId="77777777" w:rsidR="00DE67F4" w:rsidRPr="00DE67F4" w:rsidRDefault="00DE67F4" w:rsidP="000B44A4">
      <w:pPr>
        <w:pStyle w:val="ListParagraph"/>
        <w:spacing w:after="0" w:line="480" w:lineRule="auto"/>
        <w:ind w:left="0"/>
        <w:jc w:val="both"/>
        <w:rPr>
          <w:rFonts w:ascii="Arial" w:eastAsia="Times New Roman" w:hAnsi="Arial" w:cs="Arial"/>
          <w:color w:val="000000"/>
          <w:sz w:val="24"/>
          <w:szCs w:val="24"/>
        </w:rPr>
      </w:pPr>
    </w:p>
    <w:p w14:paraId="73A8AE91" w14:textId="3AAF81DF" w:rsidR="00DE67F4" w:rsidRDefault="00DE67F4" w:rsidP="000B44A4">
      <w:pPr>
        <w:pStyle w:val="ListParagraph"/>
        <w:numPr>
          <w:ilvl w:val="0"/>
          <w:numId w:val="20"/>
        </w:numPr>
        <w:spacing w:after="0" w:line="480" w:lineRule="auto"/>
        <w:ind w:left="0" w:firstLine="0"/>
        <w:jc w:val="both"/>
        <w:rPr>
          <w:rFonts w:ascii="Arial" w:eastAsia="Times New Roman" w:hAnsi="Arial" w:cs="Arial"/>
          <w:color w:val="000000"/>
          <w:sz w:val="24"/>
          <w:szCs w:val="24"/>
        </w:rPr>
      </w:pPr>
      <w:r w:rsidRPr="00DE67F4">
        <w:rPr>
          <w:rFonts w:ascii="Arial" w:eastAsia="Times New Roman" w:hAnsi="Arial" w:cs="Arial"/>
          <w:color w:val="000000"/>
          <w:sz w:val="24"/>
          <w:szCs w:val="24"/>
        </w:rPr>
        <w:t xml:space="preserve">For these reasons, the development of the common law contended for, is </w:t>
      </w:r>
      <w:r w:rsidR="00886509">
        <w:rPr>
          <w:rFonts w:ascii="Arial" w:eastAsia="Times New Roman" w:hAnsi="Arial" w:cs="Arial"/>
          <w:color w:val="000000"/>
          <w:sz w:val="24"/>
          <w:szCs w:val="24"/>
        </w:rPr>
        <w:t xml:space="preserve">a </w:t>
      </w:r>
      <w:r w:rsidRPr="00DE67F4">
        <w:rPr>
          <w:rFonts w:ascii="Arial" w:eastAsia="Times New Roman" w:hAnsi="Arial" w:cs="Arial"/>
          <w:color w:val="000000"/>
          <w:sz w:val="24"/>
          <w:szCs w:val="24"/>
        </w:rPr>
        <w:t>matter for trial.  It cannot be raised</w:t>
      </w:r>
      <w:r w:rsidR="004F40C6">
        <w:rPr>
          <w:rFonts w:ascii="Arial" w:eastAsia="Times New Roman" w:hAnsi="Arial" w:cs="Arial"/>
          <w:color w:val="000000"/>
          <w:sz w:val="24"/>
          <w:szCs w:val="24"/>
        </w:rPr>
        <w:t xml:space="preserve"> after the issues have been finally decided</w:t>
      </w:r>
      <w:r w:rsidRPr="00DE67F4">
        <w:rPr>
          <w:rFonts w:ascii="Arial" w:eastAsia="Times New Roman" w:hAnsi="Arial" w:cs="Arial"/>
          <w:color w:val="000000"/>
          <w:sz w:val="24"/>
          <w:szCs w:val="24"/>
        </w:rPr>
        <w:t>, simply because the applicants feel the financial pinch.</w:t>
      </w:r>
    </w:p>
    <w:p w14:paraId="293DE86A" w14:textId="77777777" w:rsidR="006C4528" w:rsidRDefault="006C4528" w:rsidP="000B44A4">
      <w:pPr>
        <w:tabs>
          <w:tab w:val="left" w:pos="0"/>
        </w:tabs>
        <w:spacing w:after="0" w:line="480" w:lineRule="auto"/>
        <w:jc w:val="both"/>
        <w:rPr>
          <w:rFonts w:ascii="Arial" w:hAnsi="Arial" w:cs="Arial"/>
          <w:sz w:val="24"/>
          <w:szCs w:val="24"/>
        </w:rPr>
      </w:pPr>
    </w:p>
    <w:p w14:paraId="4709E82C" w14:textId="77777777" w:rsidR="006C4528" w:rsidRPr="006C4528" w:rsidRDefault="006C4528" w:rsidP="000B44A4">
      <w:pPr>
        <w:tabs>
          <w:tab w:val="left" w:pos="0"/>
        </w:tabs>
        <w:spacing w:after="0" w:line="480" w:lineRule="auto"/>
        <w:jc w:val="both"/>
        <w:rPr>
          <w:rFonts w:ascii="Arial" w:hAnsi="Arial" w:cs="Arial"/>
          <w:sz w:val="24"/>
          <w:szCs w:val="24"/>
          <w:u w:val="single"/>
        </w:rPr>
      </w:pPr>
      <w:r w:rsidRPr="006C4528">
        <w:rPr>
          <w:rFonts w:ascii="Arial" w:hAnsi="Arial" w:cs="Arial"/>
          <w:sz w:val="24"/>
          <w:szCs w:val="24"/>
          <w:u w:val="single"/>
        </w:rPr>
        <w:t>Interim interdict</w:t>
      </w:r>
    </w:p>
    <w:p w14:paraId="621CCCA1" w14:textId="77777777" w:rsidR="005B7DE7" w:rsidRPr="0012098E" w:rsidRDefault="006C4528" w:rsidP="000B44A4">
      <w:pPr>
        <w:pStyle w:val="ListParagraph"/>
        <w:numPr>
          <w:ilvl w:val="0"/>
          <w:numId w:val="20"/>
        </w:numPr>
        <w:tabs>
          <w:tab w:val="left" w:pos="0"/>
        </w:tabs>
        <w:spacing w:after="0" w:line="480" w:lineRule="auto"/>
        <w:ind w:left="0" w:firstLine="0"/>
        <w:jc w:val="both"/>
        <w:rPr>
          <w:rFonts w:ascii="Arial" w:hAnsi="Arial" w:cs="Arial"/>
          <w:sz w:val="24"/>
          <w:szCs w:val="24"/>
        </w:rPr>
      </w:pPr>
      <w:r w:rsidRPr="0012098E">
        <w:rPr>
          <w:rFonts w:ascii="Arial" w:hAnsi="Arial" w:cs="Arial"/>
          <w:sz w:val="24"/>
          <w:szCs w:val="24"/>
        </w:rPr>
        <w:t xml:space="preserve">I have canvassed earlier the periodic </w:t>
      </w:r>
      <w:r w:rsidR="00A41A6D">
        <w:rPr>
          <w:rFonts w:ascii="Arial" w:hAnsi="Arial" w:cs="Arial"/>
          <w:sz w:val="24"/>
          <w:szCs w:val="24"/>
        </w:rPr>
        <w:t>evolution</w:t>
      </w:r>
      <w:r w:rsidRPr="0012098E">
        <w:rPr>
          <w:rFonts w:ascii="Arial" w:hAnsi="Arial" w:cs="Arial"/>
          <w:sz w:val="24"/>
          <w:szCs w:val="24"/>
        </w:rPr>
        <w:t xml:space="preserve"> of the relief sought.  The main relief currently sought is for an interim interdict </w:t>
      </w:r>
      <w:r w:rsidR="0012098E" w:rsidRPr="0012098E">
        <w:rPr>
          <w:rFonts w:ascii="Arial" w:hAnsi="Arial" w:cs="Arial"/>
          <w:sz w:val="24"/>
          <w:szCs w:val="24"/>
        </w:rPr>
        <w:t>pending</w:t>
      </w:r>
      <w:r w:rsidRPr="0012098E">
        <w:rPr>
          <w:rFonts w:ascii="Arial" w:hAnsi="Arial" w:cs="Arial"/>
          <w:sz w:val="24"/>
          <w:szCs w:val="24"/>
        </w:rPr>
        <w:t xml:space="preserve"> the finalisation of part B.  As I have demonstrated earlier</w:t>
      </w:r>
      <w:r w:rsidR="0039464D">
        <w:rPr>
          <w:rFonts w:ascii="Arial" w:hAnsi="Arial" w:cs="Arial"/>
          <w:sz w:val="24"/>
          <w:szCs w:val="24"/>
        </w:rPr>
        <w:t>,</w:t>
      </w:r>
      <w:r w:rsidR="0039464D">
        <w:rPr>
          <w:rStyle w:val="FootnoteReference"/>
          <w:rFonts w:ascii="Arial" w:hAnsi="Arial" w:cs="Arial"/>
          <w:sz w:val="24"/>
          <w:szCs w:val="24"/>
        </w:rPr>
        <w:footnoteReference w:id="94"/>
      </w:r>
      <w:r w:rsidRPr="0012098E">
        <w:rPr>
          <w:rFonts w:ascii="Arial" w:hAnsi="Arial" w:cs="Arial"/>
          <w:sz w:val="24"/>
          <w:szCs w:val="24"/>
        </w:rPr>
        <w:t xml:space="preserve"> the relief currently sought relates only to the judgments granted in favour of the plaintiff respondents</w:t>
      </w:r>
      <w:r w:rsidR="0039464D">
        <w:rPr>
          <w:rFonts w:ascii="Arial" w:hAnsi="Arial" w:cs="Arial"/>
          <w:sz w:val="24"/>
          <w:szCs w:val="24"/>
        </w:rPr>
        <w:t xml:space="preserve"> and the writs issued pursuant thereto</w:t>
      </w:r>
      <w:r w:rsidRPr="0012098E">
        <w:rPr>
          <w:rFonts w:ascii="Arial" w:hAnsi="Arial" w:cs="Arial"/>
          <w:sz w:val="24"/>
          <w:szCs w:val="24"/>
        </w:rPr>
        <w:t>.  Those judgments have no bearing on the relief sought in part B</w:t>
      </w:r>
      <w:r w:rsidR="0039464D">
        <w:rPr>
          <w:rFonts w:ascii="Arial" w:hAnsi="Arial" w:cs="Arial"/>
          <w:sz w:val="24"/>
          <w:szCs w:val="24"/>
        </w:rPr>
        <w:t>,</w:t>
      </w:r>
      <w:r w:rsidRPr="0012098E">
        <w:rPr>
          <w:rFonts w:ascii="Arial" w:hAnsi="Arial" w:cs="Arial"/>
          <w:sz w:val="24"/>
          <w:szCs w:val="24"/>
        </w:rPr>
        <w:t xml:space="preserve"> which relates exclusively to further orders which may be made in favour of a plaintiff.  For that reason </w:t>
      </w:r>
      <w:r w:rsidR="005B7DE7" w:rsidRPr="0012098E">
        <w:rPr>
          <w:rFonts w:ascii="Arial" w:hAnsi="Arial" w:cs="Arial"/>
          <w:sz w:val="24"/>
          <w:szCs w:val="24"/>
        </w:rPr>
        <w:t>alone,</w:t>
      </w:r>
      <w:r w:rsidRPr="0012098E">
        <w:rPr>
          <w:rFonts w:ascii="Arial" w:hAnsi="Arial" w:cs="Arial"/>
          <w:sz w:val="24"/>
          <w:szCs w:val="24"/>
        </w:rPr>
        <w:t xml:space="preserve"> the interim interdict</w:t>
      </w:r>
      <w:r w:rsidR="00A41A6D">
        <w:rPr>
          <w:rFonts w:ascii="Arial" w:hAnsi="Arial" w:cs="Arial"/>
          <w:sz w:val="24"/>
          <w:szCs w:val="24"/>
        </w:rPr>
        <w:t>,</w:t>
      </w:r>
      <w:r w:rsidRPr="0012098E">
        <w:rPr>
          <w:rFonts w:ascii="Arial" w:hAnsi="Arial" w:cs="Arial"/>
          <w:sz w:val="24"/>
          <w:szCs w:val="24"/>
        </w:rPr>
        <w:t xml:space="preserve"> as currently framed</w:t>
      </w:r>
      <w:r w:rsidR="00A41A6D">
        <w:rPr>
          <w:rFonts w:ascii="Arial" w:hAnsi="Arial" w:cs="Arial"/>
          <w:sz w:val="24"/>
          <w:szCs w:val="24"/>
        </w:rPr>
        <w:t>,</w:t>
      </w:r>
      <w:r w:rsidRPr="0012098E">
        <w:rPr>
          <w:rFonts w:ascii="Arial" w:hAnsi="Arial" w:cs="Arial"/>
          <w:sz w:val="24"/>
          <w:szCs w:val="24"/>
        </w:rPr>
        <w:t xml:space="preserve"> could not succeed.  However, I have approached part A of the matter, as I think the papers do and as the argument did, as an interim interdict pending the finalisation of the application for variation.  </w:t>
      </w:r>
    </w:p>
    <w:p w14:paraId="05E324DE" w14:textId="77777777" w:rsidR="005B7DE7" w:rsidRDefault="005B7DE7" w:rsidP="000B44A4">
      <w:pPr>
        <w:pStyle w:val="ListParagraph"/>
        <w:tabs>
          <w:tab w:val="left" w:pos="0"/>
        </w:tabs>
        <w:spacing w:after="0" w:line="480" w:lineRule="auto"/>
        <w:ind w:left="0"/>
        <w:jc w:val="both"/>
        <w:rPr>
          <w:rFonts w:ascii="Arial" w:hAnsi="Arial" w:cs="Arial"/>
          <w:sz w:val="24"/>
          <w:szCs w:val="24"/>
        </w:rPr>
      </w:pPr>
    </w:p>
    <w:p w14:paraId="760A0D18" w14:textId="77777777" w:rsidR="006C4528" w:rsidRPr="005B7DE7" w:rsidRDefault="004E51A4" w:rsidP="000B44A4">
      <w:pPr>
        <w:pStyle w:val="ListParagraph"/>
        <w:numPr>
          <w:ilvl w:val="0"/>
          <w:numId w:val="20"/>
        </w:numPr>
        <w:tabs>
          <w:tab w:val="left" w:pos="0"/>
        </w:tabs>
        <w:spacing w:after="0" w:line="480" w:lineRule="auto"/>
        <w:ind w:left="0" w:firstLine="0"/>
        <w:jc w:val="both"/>
        <w:rPr>
          <w:rFonts w:ascii="Arial" w:hAnsi="Arial" w:cs="Arial"/>
          <w:sz w:val="24"/>
          <w:szCs w:val="24"/>
        </w:rPr>
      </w:pPr>
      <w:r>
        <w:rPr>
          <w:rFonts w:ascii="Arial" w:hAnsi="Arial" w:cs="Arial"/>
          <w:sz w:val="24"/>
          <w:szCs w:val="24"/>
        </w:rPr>
        <w:t xml:space="preserve">The </w:t>
      </w:r>
      <w:r w:rsidR="006C4528" w:rsidRPr="005B7DE7">
        <w:rPr>
          <w:rFonts w:ascii="Arial" w:hAnsi="Arial" w:cs="Arial"/>
          <w:sz w:val="24"/>
          <w:szCs w:val="24"/>
        </w:rPr>
        <w:t>well-established requirements for the granting of an interim interdict are:</w:t>
      </w:r>
    </w:p>
    <w:p w14:paraId="7AA5579D" w14:textId="77777777" w:rsidR="006C4528" w:rsidRDefault="006C4528" w:rsidP="005B7DE7">
      <w:pPr>
        <w:pStyle w:val="ListParagraph"/>
        <w:numPr>
          <w:ilvl w:val="0"/>
          <w:numId w:val="15"/>
        </w:numPr>
        <w:tabs>
          <w:tab w:val="left" w:pos="0"/>
        </w:tabs>
        <w:spacing w:after="0" w:line="480" w:lineRule="auto"/>
        <w:ind w:left="86" w:hanging="86"/>
        <w:jc w:val="both"/>
        <w:rPr>
          <w:rFonts w:ascii="Arial" w:hAnsi="Arial" w:cs="Arial"/>
          <w:sz w:val="24"/>
          <w:szCs w:val="24"/>
        </w:rPr>
      </w:pPr>
      <w:r>
        <w:rPr>
          <w:rFonts w:ascii="Arial" w:hAnsi="Arial" w:cs="Arial"/>
          <w:sz w:val="24"/>
          <w:szCs w:val="24"/>
        </w:rPr>
        <w:t xml:space="preserve">A </w:t>
      </w:r>
      <w:r>
        <w:rPr>
          <w:rFonts w:ascii="Arial" w:hAnsi="Arial" w:cs="Arial"/>
          <w:i/>
          <w:sz w:val="24"/>
          <w:szCs w:val="24"/>
        </w:rPr>
        <w:t>prima facie</w:t>
      </w:r>
      <w:r>
        <w:rPr>
          <w:rFonts w:ascii="Arial" w:hAnsi="Arial" w:cs="Arial"/>
          <w:sz w:val="24"/>
          <w:szCs w:val="24"/>
        </w:rPr>
        <w:t xml:space="preserve"> right, although open to some doubt; </w:t>
      </w:r>
    </w:p>
    <w:p w14:paraId="341F12A7" w14:textId="40E4C353" w:rsidR="006C4528" w:rsidRDefault="00877908" w:rsidP="005B7DE7">
      <w:pPr>
        <w:pStyle w:val="ListParagraph"/>
        <w:numPr>
          <w:ilvl w:val="0"/>
          <w:numId w:val="15"/>
        </w:numPr>
        <w:tabs>
          <w:tab w:val="left" w:pos="0"/>
        </w:tabs>
        <w:spacing w:after="0" w:line="480" w:lineRule="auto"/>
        <w:ind w:hanging="720"/>
        <w:jc w:val="both"/>
        <w:rPr>
          <w:rFonts w:ascii="Arial" w:hAnsi="Arial" w:cs="Arial"/>
          <w:sz w:val="24"/>
          <w:szCs w:val="24"/>
        </w:rPr>
      </w:pPr>
      <w:r>
        <w:rPr>
          <w:rFonts w:ascii="Arial" w:hAnsi="Arial" w:cs="Arial"/>
          <w:sz w:val="24"/>
          <w:szCs w:val="24"/>
        </w:rPr>
        <w:t>a</w:t>
      </w:r>
      <w:r w:rsidR="006C4528">
        <w:rPr>
          <w:rFonts w:ascii="Arial" w:hAnsi="Arial" w:cs="Arial"/>
          <w:sz w:val="24"/>
          <w:szCs w:val="24"/>
        </w:rPr>
        <w:t xml:space="preserve"> wel</w:t>
      </w:r>
      <w:r w:rsidR="009D73BB">
        <w:rPr>
          <w:rFonts w:ascii="Arial" w:hAnsi="Arial" w:cs="Arial"/>
          <w:sz w:val="24"/>
          <w:szCs w:val="24"/>
        </w:rPr>
        <w:t xml:space="preserve">l-grounded apprehension </w:t>
      </w:r>
      <w:r w:rsidR="009D73BB" w:rsidRPr="00F90524">
        <w:rPr>
          <w:rFonts w:ascii="Arial" w:hAnsi="Arial" w:cs="Arial"/>
          <w:sz w:val="24"/>
          <w:szCs w:val="24"/>
        </w:rPr>
        <w:t xml:space="preserve">of </w:t>
      </w:r>
      <w:r w:rsidR="00EE2628" w:rsidRPr="00F90524">
        <w:rPr>
          <w:rFonts w:ascii="Arial" w:hAnsi="Arial" w:cs="Arial"/>
          <w:sz w:val="24"/>
          <w:szCs w:val="24"/>
        </w:rPr>
        <w:t>ir</w:t>
      </w:r>
      <w:r w:rsidR="009D73BB" w:rsidRPr="00F90524">
        <w:rPr>
          <w:rFonts w:ascii="Arial" w:hAnsi="Arial" w:cs="Arial"/>
          <w:sz w:val="24"/>
          <w:szCs w:val="24"/>
        </w:rPr>
        <w:t>repa</w:t>
      </w:r>
      <w:r w:rsidR="006C4528" w:rsidRPr="00F90524">
        <w:rPr>
          <w:rFonts w:ascii="Arial" w:hAnsi="Arial" w:cs="Arial"/>
          <w:sz w:val="24"/>
          <w:szCs w:val="24"/>
        </w:rPr>
        <w:t xml:space="preserve">rable </w:t>
      </w:r>
      <w:r w:rsidR="006C4528">
        <w:rPr>
          <w:rFonts w:ascii="Arial" w:hAnsi="Arial" w:cs="Arial"/>
          <w:sz w:val="24"/>
          <w:szCs w:val="24"/>
        </w:rPr>
        <w:t>harm if the interim</w:t>
      </w:r>
      <w:r>
        <w:rPr>
          <w:rFonts w:ascii="Arial" w:hAnsi="Arial" w:cs="Arial"/>
          <w:sz w:val="24"/>
          <w:szCs w:val="24"/>
        </w:rPr>
        <w:t xml:space="preserve"> interdict is not granted </w:t>
      </w:r>
      <w:r w:rsidR="004F40C6">
        <w:rPr>
          <w:rFonts w:ascii="Arial" w:hAnsi="Arial" w:cs="Arial"/>
          <w:sz w:val="24"/>
          <w:szCs w:val="24"/>
        </w:rPr>
        <w:t xml:space="preserve">and </w:t>
      </w:r>
      <w:r>
        <w:rPr>
          <w:rFonts w:ascii="Arial" w:hAnsi="Arial" w:cs="Arial"/>
          <w:sz w:val="24"/>
          <w:szCs w:val="24"/>
        </w:rPr>
        <w:t>the ultimate relief is eventually granted;</w:t>
      </w:r>
    </w:p>
    <w:p w14:paraId="271B6ACF" w14:textId="77777777" w:rsidR="00877908" w:rsidRDefault="00877908" w:rsidP="005B7DE7">
      <w:pPr>
        <w:pStyle w:val="ListParagraph"/>
        <w:numPr>
          <w:ilvl w:val="0"/>
          <w:numId w:val="15"/>
        </w:numPr>
        <w:tabs>
          <w:tab w:val="left" w:pos="0"/>
        </w:tabs>
        <w:spacing w:after="0" w:line="480" w:lineRule="auto"/>
        <w:ind w:left="86" w:hanging="86"/>
        <w:jc w:val="both"/>
        <w:rPr>
          <w:rFonts w:ascii="Arial" w:hAnsi="Arial" w:cs="Arial"/>
          <w:sz w:val="24"/>
          <w:szCs w:val="24"/>
        </w:rPr>
      </w:pPr>
      <w:r>
        <w:rPr>
          <w:rFonts w:ascii="Arial" w:hAnsi="Arial" w:cs="Arial"/>
          <w:sz w:val="24"/>
          <w:szCs w:val="24"/>
        </w:rPr>
        <w:t xml:space="preserve">a balance of convenience in favour of the granting of an interdict; and </w:t>
      </w:r>
    </w:p>
    <w:p w14:paraId="61DD4E61" w14:textId="287A4983" w:rsidR="00877908" w:rsidRDefault="00877908" w:rsidP="005B7DE7">
      <w:pPr>
        <w:pStyle w:val="ListParagraph"/>
        <w:numPr>
          <w:ilvl w:val="0"/>
          <w:numId w:val="15"/>
        </w:numPr>
        <w:tabs>
          <w:tab w:val="left" w:pos="0"/>
        </w:tabs>
        <w:spacing w:after="0" w:line="480" w:lineRule="auto"/>
        <w:ind w:left="86" w:hanging="86"/>
        <w:jc w:val="both"/>
        <w:rPr>
          <w:rFonts w:ascii="Arial" w:hAnsi="Arial" w:cs="Arial"/>
          <w:sz w:val="24"/>
          <w:szCs w:val="24"/>
        </w:rPr>
      </w:pPr>
      <w:r>
        <w:rPr>
          <w:rFonts w:ascii="Arial" w:hAnsi="Arial" w:cs="Arial"/>
          <w:sz w:val="24"/>
          <w:szCs w:val="24"/>
        </w:rPr>
        <w:t xml:space="preserve">the absence of any other </w:t>
      </w:r>
      <w:r w:rsidR="004F40C6">
        <w:rPr>
          <w:rFonts w:ascii="Arial" w:hAnsi="Arial" w:cs="Arial"/>
          <w:sz w:val="24"/>
          <w:szCs w:val="24"/>
        </w:rPr>
        <w:t>satisfactory</w:t>
      </w:r>
      <w:r>
        <w:rPr>
          <w:rFonts w:ascii="Arial" w:hAnsi="Arial" w:cs="Arial"/>
          <w:sz w:val="24"/>
          <w:szCs w:val="24"/>
        </w:rPr>
        <w:t xml:space="preserve"> remedy.</w:t>
      </w:r>
    </w:p>
    <w:p w14:paraId="0214CE83" w14:textId="77777777" w:rsidR="00877908" w:rsidRDefault="00877908" w:rsidP="00877908">
      <w:pPr>
        <w:pStyle w:val="ListParagraph"/>
        <w:tabs>
          <w:tab w:val="left" w:pos="0"/>
        </w:tabs>
        <w:spacing w:after="0" w:line="480" w:lineRule="auto"/>
        <w:jc w:val="both"/>
        <w:rPr>
          <w:rFonts w:ascii="Arial" w:hAnsi="Arial" w:cs="Arial"/>
          <w:sz w:val="24"/>
          <w:szCs w:val="24"/>
        </w:rPr>
      </w:pPr>
    </w:p>
    <w:p w14:paraId="734320F3" w14:textId="77777777" w:rsidR="004A7C33" w:rsidRDefault="00877908" w:rsidP="000B44A4">
      <w:pPr>
        <w:pStyle w:val="ListParagraph"/>
        <w:numPr>
          <w:ilvl w:val="0"/>
          <w:numId w:val="20"/>
        </w:numPr>
        <w:tabs>
          <w:tab w:val="left" w:pos="0"/>
        </w:tabs>
        <w:spacing w:after="0" w:line="480" w:lineRule="auto"/>
        <w:ind w:left="0" w:firstLine="0"/>
        <w:jc w:val="both"/>
        <w:rPr>
          <w:rFonts w:ascii="Arial" w:hAnsi="Arial" w:cs="Arial"/>
          <w:sz w:val="24"/>
          <w:szCs w:val="24"/>
        </w:rPr>
      </w:pPr>
      <w:r w:rsidRPr="005B7DE7">
        <w:rPr>
          <w:rFonts w:ascii="Arial" w:hAnsi="Arial" w:cs="Arial"/>
          <w:sz w:val="24"/>
          <w:szCs w:val="24"/>
        </w:rPr>
        <w:t xml:space="preserve">On behalf of the applicants it was contended that the </w:t>
      </w:r>
      <w:r w:rsidRPr="005B7DE7">
        <w:rPr>
          <w:rFonts w:ascii="Arial" w:hAnsi="Arial" w:cs="Arial"/>
          <w:i/>
          <w:sz w:val="24"/>
          <w:szCs w:val="24"/>
        </w:rPr>
        <w:t>prima facie</w:t>
      </w:r>
      <w:r w:rsidRPr="005B7DE7">
        <w:rPr>
          <w:rFonts w:ascii="Arial" w:hAnsi="Arial" w:cs="Arial"/>
          <w:sz w:val="24"/>
          <w:szCs w:val="24"/>
        </w:rPr>
        <w:t xml:space="preserve"> right which the applicants seek to protect is the right of all its inhabitants to be afforded access to health care services and to prevent the collapse of health care services.  The argument cannot be sustained.  O</w:t>
      </w:r>
      <w:r w:rsidR="009D73BB">
        <w:rPr>
          <w:rFonts w:ascii="Arial" w:hAnsi="Arial" w:cs="Arial"/>
          <w:sz w:val="24"/>
          <w:szCs w:val="24"/>
        </w:rPr>
        <w:t>f</w:t>
      </w:r>
      <w:r w:rsidRPr="005B7DE7">
        <w:rPr>
          <w:rFonts w:ascii="Arial" w:hAnsi="Arial" w:cs="Arial"/>
          <w:sz w:val="24"/>
          <w:szCs w:val="24"/>
        </w:rPr>
        <w:t xml:space="preserve"> its own</w:t>
      </w:r>
      <w:r w:rsidR="00A41A6D">
        <w:rPr>
          <w:rFonts w:ascii="Arial" w:hAnsi="Arial" w:cs="Arial"/>
          <w:sz w:val="24"/>
          <w:szCs w:val="24"/>
        </w:rPr>
        <w:t>,</w:t>
      </w:r>
      <w:r w:rsidRPr="005B7DE7">
        <w:rPr>
          <w:rFonts w:ascii="Arial" w:hAnsi="Arial" w:cs="Arial"/>
          <w:sz w:val="24"/>
          <w:szCs w:val="24"/>
        </w:rPr>
        <w:t xml:space="preserve"> the applicants have no right as against the plaintiff respondents.  The ECDOH, through its employees, </w:t>
      </w:r>
      <w:r w:rsidR="009D73BB">
        <w:rPr>
          <w:rFonts w:ascii="Arial" w:hAnsi="Arial" w:cs="Arial"/>
          <w:sz w:val="24"/>
          <w:szCs w:val="24"/>
        </w:rPr>
        <w:t>a</w:t>
      </w:r>
      <w:r w:rsidRPr="005B7DE7">
        <w:rPr>
          <w:rFonts w:ascii="Arial" w:hAnsi="Arial" w:cs="Arial"/>
          <w:sz w:val="24"/>
          <w:szCs w:val="24"/>
        </w:rPr>
        <w:t>s the wrongdoer</w:t>
      </w:r>
      <w:r w:rsidR="0039464D">
        <w:rPr>
          <w:rFonts w:ascii="Arial" w:hAnsi="Arial" w:cs="Arial"/>
          <w:sz w:val="24"/>
          <w:szCs w:val="24"/>
        </w:rPr>
        <w:t>,</w:t>
      </w:r>
      <w:r w:rsidRPr="005B7DE7">
        <w:rPr>
          <w:rFonts w:ascii="Arial" w:hAnsi="Arial" w:cs="Arial"/>
          <w:sz w:val="24"/>
          <w:szCs w:val="24"/>
        </w:rPr>
        <w:t xml:space="preserve"> has inflicted a lifetime of suffering upon the injured parties through its negligence.  They have had to </w:t>
      </w:r>
      <w:r w:rsidR="0039464D">
        <w:rPr>
          <w:rFonts w:ascii="Arial" w:hAnsi="Arial" w:cs="Arial"/>
          <w:sz w:val="24"/>
          <w:szCs w:val="24"/>
        </w:rPr>
        <w:t>issue</w:t>
      </w:r>
      <w:r w:rsidRPr="005B7DE7">
        <w:rPr>
          <w:rFonts w:ascii="Arial" w:hAnsi="Arial" w:cs="Arial"/>
          <w:sz w:val="24"/>
          <w:szCs w:val="24"/>
        </w:rPr>
        <w:t xml:space="preserve"> summons to obtain redress and have litigated their matters to finality.  The ECDOH, through the HOD </w:t>
      </w:r>
      <w:r w:rsidR="009D73BB">
        <w:rPr>
          <w:rFonts w:ascii="Arial" w:hAnsi="Arial" w:cs="Arial"/>
          <w:sz w:val="24"/>
          <w:szCs w:val="24"/>
        </w:rPr>
        <w:t>for</w:t>
      </w:r>
      <w:r w:rsidRPr="005B7DE7">
        <w:rPr>
          <w:rFonts w:ascii="Arial" w:hAnsi="Arial" w:cs="Arial"/>
          <w:sz w:val="24"/>
          <w:szCs w:val="24"/>
        </w:rPr>
        <w:t xml:space="preserve"> Health, and subsequently treasury, are in breach of their statutory obligations set out in the SLA and in the PFMA.  They have no </w:t>
      </w:r>
      <w:r w:rsidRPr="005B7DE7">
        <w:rPr>
          <w:rFonts w:ascii="Arial" w:hAnsi="Arial" w:cs="Arial"/>
          <w:i/>
          <w:sz w:val="24"/>
          <w:szCs w:val="24"/>
        </w:rPr>
        <w:t>prima facie</w:t>
      </w:r>
      <w:r w:rsidRPr="005B7DE7">
        <w:rPr>
          <w:rFonts w:ascii="Arial" w:hAnsi="Arial" w:cs="Arial"/>
          <w:sz w:val="24"/>
          <w:szCs w:val="24"/>
        </w:rPr>
        <w:t xml:space="preserve"> right.</w:t>
      </w:r>
    </w:p>
    <w:p w14:paraId="7153EE4E" w14:textId="77777777" w:rsidR="004A7C33" w:rsidRDefault="004A7C33" w:rsidP="000B44A4">
      <w:pPr>
        <w:pStyle w:val="ListParagraph"/>
        <w:tabs>
          <w:tab w:val="left" w:pos="0"/>
        </w:tabs>
        <w:spacing w:after="0" w:line="480" w:lineRule="auto"/>
        <w:ind w:left="0"/>
        <w:jc w:val="both"/>
        <w:rPr>
          <w:rFonts w:ascii="Arial" w:hAnsi="Arial" w:cs="Arial"/>
          <w:sz w:val="24"/>
          <w:szCs w:val="24"/>
        </w:rPr>
      </w:pPr>
    </w:p>
    <w:p w14:paraId="3BEA29FC" w14:textId="77777777" w:rsidR="00823AB6" w:rsidRPr="00E13679" w:rsidRDefault="00877908" w:rsidP="000B44A4">
      <w:pPr>
        <w:pStyle w:val="ListParagraph"/>
        <w:numPr>
          <w:ilvl w:val="0"/>
          <w:numId w:val="20"/>
        </w:numPr>
        <w:tabs>
          <w:tab w:val="left" w:pos="0"/>
        </w:tabs>
        <w:spacing w:after="0" w:line="480" w:lineRule="auto"/>
        <w:ind w:left="0" w:firstLine="0"/>
        <w:jc w:val="both"/>
        <w:rPr>
          <w:rFonts w:ascii="Arial" w:hAnsi="Arial" w:cs="Arial"/>
          <w:sz w:val="24"/>
          <w:szCs w:val="24"/>
        </w:rPr>
      </w:pPr>
      <w:r w:rsidRPr="00E13679">
        <w:rPr>
          <w:rFonts w:ascii="Arial" w:hAnsi="Arial" w:cs="Arial"/>
          <w:sz w:val="24"/>
          <w:szCs w:val="24"/>
        </w:rPr>
        <w:t>As I have said, the</w:t>
      </w:r>
      <w:r w:rsidR="0039464D" w:rsidRPr="00E13679">
        <w:rPr>
          <w:rFonts w:ascii="Arial" w:hAnsi="Arial" w:cs="Arial"/>
          <w:sz w:val="24"/>
          <w:szCs w:val="24"/>
        </w:rPr>
        <w:t>y</w:t>
      </w:r>
      <w:r w:rsidRPr="00E13679">
        <w:rPr>
          <w:rFonts w:ascii="Arial" w:hAnsi="Arial" w:cs="Arial"/>
          <w:sz w:val="24"/>
          <w:szCs w:val="24"/>
        </w:rPr>
        <w:t xml:space="preserve"> also approached the court in the interests of all persons requiring health services in the Eastern Cape.</w:t>
      </w:r>
      <w:r w:rsidR="005B7DE7" w:rsidRPr="00E13679">
        <w:rPr>
          <w:rFonts w:ascii="Arial" w:hAnsi="Arial" w:cs="Arial"/>
          <w:sz w:val="24"/>
          <w:szCs w:val="24"/>
        </w:rPr>
        <w:t xml:space="preserve">  </w:t>
      </w:r>
      <w:r w:rsidR="00823AB6" w:rsidRPr="00E13679">
        <w:rPr>
          <w:rFonts w:ascii="Arial" w:hAnsi="Arial" w:cs="Arial"/>
          <w:sz w:val="24"/>
          <w:szCs w:val="24"/>
        </w:rPr>
        <w:t xml:space="preserve">Section 38 of the Constitution provides, </w:t>
      </w:r>
      <w:r w:rsidR="00823AB6" w:rsidRPr="00E13679">
        <w:rPr>
          <w:rFonts w:ascii="Arial" w:hAnsi="Arial" w:cs="Arial"/>
          <w:i/>
          <w:sz w:val="24"/>
          <w:szCs w:val="24"/>
        </w:rPr>
        <w:t>inter alia</w:t>
      </w:r>
      <w:r w:rsidR="00823AB6" w:rsidRPr="00E13679">
        <w:rPr>
          <w:rFonts w:ascii="Arial" w:hAnsi="Arial" w:cs="Arial"/>
          <w:sz w:val="24"/>
          <w:szCs w:val="24"/>
        </w:rPr>
        <w:t>, for anyone acting as a member of or in the interests of a group or class of persons to approach a competent court, alleging that a right in the Bill of Rights has been infringed or threatened.  Section 27 of the Constitution is contained in the Bill of Rights.  Persons requiring health services in the Eastern Cape have an undeniable right, as against the applicants, to demand the delivery of health care services as contemplated in s 27 of the Constitution.  But the applicants cannot assert the right of the general public to demand services from themselves to the detriment of other health care users who have suffered harm in consequence of the conduct of the ECDOH.  These are predominantly indigent, rural citizens of the Eastern Cape.</w:t>
      </w:r>
    </w:p>
    <w:p w14:paraId="215987EF" w14:textId="77777777" w:rsidR="00A41A6D" w:rsidRPr="00A41A6D" w:rsidRDefault="00A41A6D" w:rsidP="000B44A4">
      <w:pPr>
        <w:pStyle w:val="ListParagraph"/>
        <w:tabs>
          <w:tab w:val="left" w:pos="0"/>
        </w:tabs>
        <w:spacing w:after="0" w:line="480" w:lineRule="auto"/>
        <w:ind w:left="0"/>
        <w:jc w:val="both"/>
        <w:rPr>
          <w:rFonts w:ascii="Arial" w:hAnsi="Arial" w:cs="Arial"/>
          <w:sz w:val="24"/>
          <w:szCs w:val="24"/>
        </w:rPr>
      </w:pPr>
    </w:p>
    <w:p w14:paraId="02C09812" w14:textId="46418400" w:rsidR="004A7C33" w:rsidRPr="0039464D" w:rsidRDefault="005B7DE7" w:rsidP="000B44A4">
      <w:pPr>
        <w:pStyle w:val="ListParagraph"/>
        <w:numPr>
          <w:ilvl w:val="0"/>
          <w:numId w:val="20"/>
        </w:numPr>
        <w:tabs>
          <w:tab w:val="left" w:pos="0"/>
        </w:tabs>
        <w:spacing w:after="0" w:line="480" w:lineRule="auto"/>
        <w:ind w:left="0" w:firstLine="0"/>
        <w:jc w:val="both"/>
        <w:rPr>
          <w:rFonts w:ascii="Arial" w:hAnsi="Arial" w:cs="Arial"/>
          <w:sz w:val="24"/>
          <w:szCs w:val="24"/>
        </w:rPr>
      </w:pPr>
      <w:r w:rsidRPr="0039464D">
        <w:rPr>
          <w:rFonts w:ascii="Arial" w:hAnsi="Arial" w:cs="Arial"/>
          <w:sz w:val="24"/>
          <w:szCs w:val="24"/>
        </w:rPr>
        <w:lastRenderedPageBreak/>
        <w:t>The applicants have not, in my view, demonstrat</w:t>
      </w:r>
      <w:r w:rsidR="00F40F89">
        <w:rPr>
          <w:rFonts w:ascii="Arial" w:hAnsi="Arial" w:cs="Arial"/>
          <w:sz w:val="24"/>
          <w:szCs w:val="24"/>
        </w:rPr>
        <w:t xml:space="preserve">ed a threatened infringement of </w:t>
      </w:r>
      <w:r w:rsidRPr="0039464D">
        <w:rPr>
          <w:rFonts w:ascii="Arial" w:hAnsi="Arial" w:cs="Arial"/>
          <w:sz w:val="24"/>
          <w:szCs w:val="24"/>
        </w:rPr>
        <w:t xml:space="preserve">a right in the Bill of Rights, </w:t>
      </w:r>
      <w:r w:rsidR="0039464D" w:rsidRPr="0039464D">
        <w:rPr>
          <w:rFonts w:ascii="Arial" w:hAnsi="Arial" w:cs="Arial"/>
          <w:sz w:val="24"/>
          <w:szCs w:val="24"/>
        </w:rPr>
        <w:t xml:space="preserve">as </w:t>
      </w:r>
      <w:r w:rsidRPr="0039464D">
        <w:rPr>
          <w:rFonts w:ascii="Arial" w:hAnsi="Arial" w:cs="Arial"/>
          <w:sz w:val="24"/>
          <w:szCs w:val="24"/>
        </w:rPr>
        <w:t>envisaged in s 38 of the Constitution.  The right in issue is contained in s 27 of the Constitution to which I have referred.  It is a progressive right</w:t>
      </w:r>
      <w:r w:rsidR="00A41A6D">
        <w:rPr>
          <w:rFonts w:ascii="Arial" w:hAnsi="Arial" w:cs="Arial"/>
          <w:sz w:val="24"/>
          <w:szCs w:val="24"/>
        </w:rPr>
        <w:t>,</w:t>
      </w:r>
      <w:r w:rsidRPr="0039464D">
        <w:rPr>
          <w:rFonts w:ascii="Arial" w:hAnsi="Arial" w:cs="Arial"/>
          <w:sz w:val="24"/>
          <w:szCs w:val="24"/>
        </w:rPr>
        <w:t xml:space="preserve"> which must be pursued within the available resources of the state.  I have </w:t>
      </w:r>
      <w:r w:rsidR="004A7C33" w:rsidRPr="0039464D">
        <w:rPr>
          <w:rFonts w:ascii="Arial" w:hAnsi="Arial" w:cs="Arial"/>
          <w:sz w:val="24"/>
          <w:szCs w:val="24"/>
        </w:rPr>
        <w:t>recognis</w:t>
      </w:r>
      <w:r w:rsidRPr="0039464D">
        <w:rPr>
          <w:rFonts w:ascii="Arial" w:hAnsi="Arial" w:cs="Arial"/>
          <w:sz w:val="24"/>
          <w:szCs w:val="24"/>
        </w:rPr>
        <w:t xml:space="preserve">ed earlier that payment of judgment debts will, as </w:t>
      </w:r>
      <w:r w:rsidR="00A41A6D">
        <w:rPr>
          <w:rFonts w:ascii="Arial" w:hAnsi="Arial" w:cs="Arial"/>
          <w:sz w:val="24"/>
          <w:szCs w:val="24"/>
        </w:rPr>
        <w:t xml:space="preserve">the payment of </w:t>
      </w:r>
      <w:r w:rsidRPr="0039464D">
        <w:rPr>
          <w:rFonts w:ascii="Arial" w:hAnsi="Arial" w:cs="Arial"/>
          <w:sz w:val="24"/>
          <w:szCs w:val="24"/>
        </w:rPr>
        <w:t xml:space="preserve">any other </w:t>
      </w:r>
      <w:r w:rsidR="00A41A6D">
        <w:rPr>
          <w:rFonts w:ascii="Arial" w:hAnsi="Arial" w:cs="Arial"/>
          <w:sz w:val="24"/>
          <w:szCs w:val="24"/>
        </w:rPr>
        <w:t>liability</w:t>
      </w:r>
      <w:r w:rsidR="0039464D" w:rsidRPr="0039464D">
        <w:rPr>
          <w:rFonts w:ascii="Arial" w:hAnsi="Arial" w:cs="Arial"/>
          <w:sz w:val="24"/>
          <w:szCs w:val="24"/>
        </w:rPr>
        <w:t xml:space="preserve"> would</w:t>
      </w:r>
      <w:r w:rsidRPr="0039464D">
        <w:rPr>
          <w:rFonts w:ascii="Arial" w:hAnsi="Arial" w:cs="Arial"/>
          <w:sz w:val="24"/>
          <w:szCs w:val="24"/>
        </w:rPr>
        <w:t xml:space="preserve">, reduce the available resources, </w:t>
      </w:r>
      <w:r w:rsidR="0039464D" w:rsidRPr="0039464D">
        <w:rPr>
          <w:rFonts w:ascii="Arial" w:hAnsi="Arial" w:cs="Arial"/>
          <w:sz w:val="24"/>
          <w:szCs w:val="24"/>
        </w:rPr>
        <w:t xml:space="preserve">but </w:t>
      </w:r>
      <w:r w:rsidRPr="0039464D">
        <w:rPr>
          <w:rFonts w:ascii="Arial" w:hAnsi="Arial" w:cs="Arial"/>
          <w:sz w:val="24"/>
          <w:szCs w:val="24"/>
        </w:rPr>
        <w:t xml:space="preserve">that </w:t>
      </w:r>
      <w:r w:rsidR="0039464D" w:rsidRPr="0039464D">
        <w:rPr>
          <w:rFonts w:ascii="Arial" w:hAnsi="Arial" w:cs="Arial"/>
          <w:sz w:val="24"/>
          <w:szCs w:val="24"/>
        </w:rPr>
        <w:t>is</w:t>
      </w:r>
      <w:r w:rsidRPr="0039464D">
        <w:rPr>
          <w:rFonts w:ascii="Arial" w:hAnsi="Arial" w:cs="Arial"/>
          <w:sz w:val="24"/>
          <w:szCs w:val="24"/>
        </w:rPr>
        <w:t xml:space="preserve"> not </w:t>
      </w:r>
      <w:r w:rsidR="00EB4C0E">
        <w:rPr>
          <w:rFonts w:ascii="Arial" w:hAnsi="Arial" w:cs="Arial"/>
          <w:sz w:val="24"/>
          <w:szCs w:val="24"/>
        </w:rPr>
        <w:t xml:space="preserve">an </w:t>
      </w:r>
      <w:r w:rsidRPr="0039464D">
        <w:rPr>
          <w:rFonts w:ascii="Arial" w:hAnsi="Arial" w:cs="Arial"/>
          <w:sz w:val="24"/>
          <w:szCs w:val="24"/>
        </w:rPr>
        <w:t>infringement o</w:t>
      </w:r>
      <w:r w:rsidR="00EB4C0E">
        <w:rPr>
          <w:rFonts w:ascii="Arial" w:hAnsi="Arial" w:cs="Arial"/>
          <w:sz w:val="24"/>
          <w:szCs w:val="24"/>
        </w:rPr>
        <w:t>f the</w:t>
      </w:r>
      <w:r w:rsidRPr="0039464D">
        <w:rPr>
          <w:rFonts w:ascii="Arial" w:hAnsi="Arial" w:cs="Arial"/>
          <w:sz w:val="24"/>
          <w:szCs w:val="24"/>
        </w:rPr>
        <w:t xml:space="preserve"> provisions of s 27.  Ms </w:t>
      </w:r>
      <w:r w:rsidRPr="0039464D">
        <w:rPr>
          <w:rFonts w:ascii="Arial" w:hAnsi="Arial" w:cs="Arial"/>
          <w:i/>
          <w:sz w:val="24"/>
          <w:szCs w:val="24"/>
        </w:rPr>
        <w:t>Bawa</w:t>
      </w:r>
      <w:r w:rsidRPr="0039464D">
        <w:rPr>
          <w:rFonts w:ascii="Arial" w:hAnsi="Arial" w:cs="Arial"/>
          <w:sz w:val="24"/>
          <w:szCs w:val="24"/>
        </w:rPr>
        <w:t xml:space="preserve"> candidly </w:t>
      </w:r>
      <w:r w:rsidR="0039464D" w:rsidRPr="0039464D">
        <w:rPr>
          <w:rFonts w:ascii="Arial" w:hAnsi="Arial" w:cs="Arial"/>
          <w:sz w:val="24"/>
          <w:szCs w:val="24"/>
        </w:rPr>
        <w:t>admitted</w:t>
      </w:r>
      <w:r w:rsidRPr="0039464D">
        <w:rPr>
          <w:rFonts w:ascii="Arial" w:hAnsi="Arial" w:cs="Arial"/>
          <w:sz w:val="24"/>
          <w:szCs w:val="24"/>
        </w:rPr>
        <w:t xml:space="preserve"> in her heads of argument, that the health demands in the Eastern Cape far exceed what is available in monetary terms.  Whatever the outcome of these proceedings</w:t>
      </w:r>
      <w:r w:rsidR="00F40F89">
        <w:rPr>
          <w:rFonts w:ascii="Arial" w:hAnsi="Arial" w:cs="Arial"/>
          <w:sz w:val="24"/>
          <w:szCs w:val="24"/>
        </w:rPr>
        <w:t>,</w:t>
      </w:r>
      <w:r w:rsidRPr="0039464D">
        <w:rPr>
          <w:rFonts w:ascii="Arial" w:hAnsi="Arial" w:cs="Arial"/>
          <w:sz w:val="24"/>
          <w:szCs w:val="24"/>
        </w:rPr>
        <w:t xml:space="preserve"> </w:t>
      </w:r>
      <w:r w:rsidR="0039464D" w:rsidRPr="0039464D">
        <w:rPr>
          <w:rFonts w:ascii="Arial" w:hAnsi="Arial" w:cs="Arial"/>
          <w:sz w:val="24"/>
          <w:szCs w:val="24"/>
        </w:rPr>
        <w:t>th</w:t>
      </w:r>
      <w:r w:rsidR="00F40F89">
        <w:rPr>
          <w:rFonts w:ascii="Arial" w:hAnsi="Arial" w:cs="Arial"/>
          <w:sz w:val="24"/>
          <w:szCs w:val="24"/>
        </w:rPr>
        <w:t>ere</w:t>
      </w:r>
      <w:r w:rsidRPr="0039464D">
        <w:rPr>
          <w:rFonts w:ascii="Arial" w:hAnsi="Arial" w:cs="Arial"/>
          <w:sz w:val="24"/>
          <w:szCs w:val="24"/>
        </w:rPr>
        <w:t xml:space="preserve"> will always be a shortfall</w:t>
      </w:r>
      <w:r w:rsidR="00F40F89">
        <w:rPr>
          <w:rFonts w:ascii="Arial" w:hAnsi="Arial" w:cs="Arial"/>
          <w:sz w:val="24"/>
          <w:szCs w:val="24"/>
        </w:rPr>
        <w:t>,</w:t>
      </w:r>
      <w:r w:rsidRPr="0039464D">
        <w:rPr>
          <w:rFonts w:ascii="Arial" w:hAnsi="Arial" w:cs="Arial"/>
          <w:sz w:val="24"/>
          <w:szCs w:val="24"/>
        </w:rPr>
        <w:t xml:space="preserve"> </w:t>
      </w:r>
      <w:r w:rsidR="0039464D" w:rsidRPr="0039464D">
        <w:rPr>
          <w:rFonts w:ascii="Arial" w:hAnsi="Arial" w:cs="Arial"/>
          <w:sz w:val="24"/>
          <w:szCs w:val="24"/>
        </w:rPr>
        <w:t>as measured against the ideal</w:t>
      </w:r>
      <w:r w:rsidR="00F40F89">
        <w:rPr>
          <w:rFonts w:ascii="Arial" w:hAnsi="Arial" w:cs="Arial"/>
          <w:sz w:val="24"/>
          <w:szCs w:val="24"/>
        </w:rPr>
        <w:t>,</w:t>
      </w:r>
      <w:r w:rsidR="0039464D" w:rsidRPr="0039464D">
        <w:rPr>
          <w:rFonts w:ascii="Arial" w:hAnsi="Arial" w:cs="Arial"/>
          <w:sz w:val="24"/>
          <w:szCs w:val="24"/>
        </w:rPr>
        <w:t xml:space="preserve"> because the available resources are limited.</w:t>
      </w:r>
    </w:p>
    <w:p w14:paraId="31969F84" w14:textId="77777777" w:rsidR="004A7C33" w:rsidRPr="004A7C33" w:rsidRDefault="004A7C33" w:rsidP="000B44A4">
      <w:pPr>
        <w:pStyle w:val="ListParagraph"/>
        <w:spacing w:after="0" w:line="480" w:lineRule="auto"/>
        <w:ind w:left="0"/>
        <w:jc w:val="both"/>
        <w:rPr>
          <w:rFonts w:ascii="Arial" w:hAnsi="Arial" w:cs="Arial"/>
          <w:sz w:val="24"/>
          <w:szCs w:val="24"/>
        </w:rPr>
      </w:pPr>
    </w:p>
    <w:p w14:paraId="7A724E8A" w14:textId="0D139B18" w:rsidR="002B7C01" w:rsidRDefault="005B7DE7" w:rsidP="000B44A4">
      <w:pPr>
        <w:pStyle w:val="ListParagraph"/>
        <w:numPr>
          <w:ilvl w:val="0"/>
          <w:numId w:val="20"/>
        </w:numPr>
        <w:tabs>
          <w:tab w:val="left" w:pos="0"/>
        </w:tabs>
        <w:spacing w:after="0" w:line="480" w:lineRule="auto"/>
        <w:ind w:left="0" w:firstLine="0"/>
        <w:jc w:val="both"/>
        <w:rPr>
          <w:rFonts w:ascii="Arial" w:hAnsi="Arial" w:cs="Arial"/>
          <w:sz w:val="24"/>
          <w:szCs w:val="24"/>
        </w:rPr>
      </w:pPr>
      <w:r w:rsidRPr="004A7C33">
        <w:rPr>
          <w:rFonts w:ascii="Arial" w:hAnsi="Arial" w:cs="Arial"/>
          <w:sz w:val="24"/>
          <w:szCs w:val="24"/>
        </w:rPr>
        <w:t xml:space="preserve">The third requisite for </w:t>
      </w:r>
      <w:r w:rsidR="0039464D">
        <w:rPr>
          <w:rFonts w:ascii="Arial" w:hAnsi="Arial" w:cs="Arial"/>
          <w:sz w:val="24"/>
          <w:szCs w:val="24"/>
        </w:rPr>
        <w:t xml:space="preserve">the grant of </w:t>
      </w:r>
      <w:r w:rsidRPr="004A7C33">
        <w:rPr>
          <w:rFonts w:ascii="Arial" w:hAnsi="Arial" w:cs="Arial"/>
          <w:sz w:val="24"/>
          <w:szCs w:val="24"/>
        </w:rPr>
        <w:t>an interim interdict is that the balance of convenience</w:t>
      </w:r>
      <w:r w:rsidR="00EA18BD">
        <w:rPr>
          <w:rFonts w:ascii="Arial" w:hAnsi="Arial" w:cs="Arial"/>
          <w:sz w:val="24"/>
          <w:szCs w:val="24"/>
        </w:rPr>
        <w:t xml:space="preserve"> must favour the grant</w:t>
      </w:r>
      <w:r w:rsidR="00EB4C0E">
        <w:rPr>
          <w:rFonts w:ascii="Arial" w:hAnsi="Arial" w:cs="Arial"/>
          <w:sz w:val="24"/>
          <w:szCs w:val="24"/>
        </w:rPr>
        <w:t>ing</w:t>
      </w:r>
      <w:r w:rsidR="00EA18BD">
        <w:rPr>
          <w:rFonts w:ascii="Arial" w:hAnsi="Arial" w:cs="Arial"/>
          <w:sz w:val="24"/>
          <w:szCs w:val="24"/>
        </w:rPr>
        <w:t xml:space="preserve"> of the order.  In resolving this consideration the court must weigh the prejudice the applicant will suffer if the interim interdict is not granted against the prejudice which the respondent will suffer if it is.</w:t>
      </w:r>
      <w:r w:rsidR="00EA18BD">
        <w:rPr>
          <w:rStyle w:val="FootnoteReference"/>
          <w:rFonts w:ascii="Arial" w:hAnsi="Arial" w:cs="Arial"/>
          <w:sz w:val="24"/>
          <w:szCs w:val="24"/>
        </w:rPr>
        <w:footnoteReference w:id="95"/>
      </w:r>
      <w:r w:rsidR="00EA18BD">
        <w:rPr>
          <w:rFonts w:ascii="Arial" w:hAnsi="Arial" w:cs="Arial"/>
          <w:sz w:val="24"/>
          <w:szCs w:val="24"/>
        </w:rPr>
        <w:t xml:space="preserve">  The exercise of this discretion usually resolves itself into a consideration of the prospects of success a</w:t>
      </w:r>
      <w:r w:rsidR="00D664D9">
        <w:rPr>
          <w:rFonts w:ascii="Arial" w:hAnsi="Arial" w:cs="Arial"/>
          <w:sz w:val="24"/>
          <w:szCs w:val="24"/>
        </w:rPr>
        <w:t xml:space="preserve">nd the balance of convenience; </w:t>
      </w:r>
      <w:r w:rsidR="00EA18BD">
        <w:rPr>
          <w:rFonts w:ascii="Arial" w:hAnsi="Arial" w:cs="Arial"/>
          <w:sz w:val="24"/>
          <w:szCs w:val="24"/>
        </w:rPr>
        <w:t>the stronger the prospects of success, the less the need for such balance to favour the applicant;  the weaker the prospects of success the greater the need for it to favour him.</w:t>
      </w:r>
      <w:r w:rsidR="00EA18BD">
        <w:rPr>
          <w:rStyle w:val="FootnoteReference"/>
          <w:rFonts w:ascii="Arial" w:hAnsi="Arial" w:cs="Arial"/>
          <w:sz w:val="24"/>
          <w:szCs w:val="24"/>
        </w:rPr>
        <w:footnoteReference w:id="96"/>
      </w:r>
      <w:r w:rsidR="00EA18BD">
        <w:rPr>
          <w:rFonts w:ascii="Arial" w:hAnsi="Arial" w:cs="Arial"/>
          <w:sz w:val="24"/>
          <w:szCs w:val="24"/>
        </w:rPr>
        <w:t xml:space="preserve">  </w:t>
      </w:r>
      <w:r w:rsidR="00F40F89">
        <w:rPr>
          <w:rFonts w:ascii="Arial" w:hAnsi="Arial" w:cs="Arial"/>
          <w:sz w:val="24"/>
          <w:szCs w:val="24"/>
        </w:rPr>
        <w:t>For the reasons set out earlier the prospects of success in an application for the variation of final orders already granted, are slim, if they exist at all.</w:t>
      </w:r>
    </w:p>
    <w:p w14:paraId="0E3BEED6" w14:textId="77777777" w:rsidR="002B7C01" w:rsidRDefault="002B7C01" w:rsidP="000B44A4">
      <w:pPr>
        <w:pStyle w:val="ListParagraph"/>
        <w:tabs>
          <w:tab w:val="left" w:pos="0"/>
        </w:tabs>
        <w:spacing w:after="0" w:line="480" w:lineRule="auto"/>
        <w:ind w:left="0"/>
        <w:jc w:val="both"/>
        <w:rPr>
          <w:rFonts w:ascii="Arial" w:hAnsi="Arial" w:cs="Arial"/>
          <w:sz w:val="24"/>
          <w:szCs w:val="24"/>
        </w:rPr>
      </w:pPr>
    </w:p>
    <w:p w14:paraId="2C462E08" w14:textId="1E92C3BA" w:rsidR="005B7DE7" w:rsidRDefault="00EA18BD" w:rsidP="000B44A4">
      <w:pPr>
        <w:pStyle w:val="ListParagraph"/>
        <w:numPr>
          <w:ilvl w:val="0"/>
          <w:numId w:val="20"/>
        </w:numPr>
        <w:tabs>
          <w:tab w:val="left" w:pos="0"/>
        </w:tabs>
        <w:spacing w:after="0" w:line="480" w:lineRule="auto"/>
        <w:ind w:left="0" w:firstLine="0"/>
        <w:jc w:val="both"/>
        <w:rPr>
          <w:rFonts w:ascii="Arial" w:hAnsi="Arial" w:cs="Arial"/>
          <w:sz w:val="24"/>
          <w:szCs w:val="24"/>
        </w:rPr>
      </w:pPr>
      <w:r>
        <w:rPr>
          <w:rFonts w:ascii="Arial" w:hAnsi="Arial" w:cs="Arial"/>
          <w:sz w:val="24"/>
          <w:szCs w:val="24"/>
        </w:rPr>
        <w:lastRenderedPageBreak/>
        <w:t>The prejudice which arises for the applicants</w:t>
      </w:r>
      <w:r w:rsidR="00F40F89">
        <w:rPr>
          <w:rFonts w:ascii="Arial" w:hAnsi="Arial" w:cs="Arial"/>
          <w:sz w:val="24"/>
          <w:szCs w:val="24"/>
        </w:rPr>
        <w:t>,</w:t>
      </w:r>
      <w:r>
        <w:rPr>
          <w:rFonts w:ascii="Arial" w:hAnsi="Arial" w:cs="Arial"/>
          <w:sz w:val="24"/>
          <w:szCs w:val="24"/>
        </w:rPr>
        <w:t xml:space="preserve"> is </w:t>
      </w:r>
      <w:r w:rsidR="00F40F89">
        <w:rPr>
          <w:rFonts w:ascii="Arial" w:hAnsi="Arial" w:cs="Arial"/>
          <w:sz w:val="24"/>
          <w:szCs w:val="24"/>
        </w:rPr>
        <w:t xml:space="preserve">a </w:t>
      </w:r>
      <w:r>
        <w:rPr>
          <w:rFonts w:ascii="Arial" w:hAnsi="Arial" w:cs="Arial"/>
          <w:sz w:val="24"/>
          <w:szCs w:val="24"/>
        </w:rPr>
        <w:t xml:space="preserve">reduction in the </w:t>
      </w:r>
      <w:r w:rsidR="0039464D">
        <w:rPr>
          <w:rFonts w:ascii="Arial" w:hAnsi="Arial" w:cs="Arial"/>
          <w:sz w:val="24"/>
          <w:szCs w:val="24"/>
        </w:rPr>
        <w:t>standard of health care</w:t>
      </w:r>
      <w:r>
        <w:rPr>
          <w:rFonts w:ascii="Arial" w:hAnsi="Arial" w:cs="Arial"/>
          <w:sz w:val="24"/>
          <w:szCs w:val="24"/>
        </w:rPr>
        <w:t xml:space="preserve"> services</w:t>
      </w:r>
      <w:r w:rsidR="0039464D">
        <w:rPr>
          <w:rFonts w:ascii="Arial" w:hAnsi="Arial" w:cs="Arial"/>
          <w:sz w:val="24"/>
          <w:szCs w:val="24"/>
        </w:rPr>
        <w:t xml:space="preserve"> that</w:t>
      </w:r>
      <w:r>
        <w:rPr>
          <w:rFonts w:ascii="Arial" w:hAnsi="Arial" w:cs="Arial"/>
          <w:sz w:val="24"/>
          <w:szCs w:val="24"/>
        </w:rPr>
        <w:t xml:space="preserve"> </w:t>
      </w:r>
      <w:r w:rsidR="00EB4C0E">
        <w:rPr>
          <w:rFonts w:ascii="Arial" w:hAnsi="Arial" w:cs="Arial"/>
          <w:sz w:val="24"/>
          <w:szCs w:val="24"/>
        </w:rPr>
        <w:t>they are</w:t>
      </w:r>
      <w:r>
        <w:rPr>
          <w:rFonts w:ascii="Arial" w:hAnsi="Arial" w:cs="Arial"/>
          <w:sz w:val="24"/>
          <w:szCs w:val="24"/>
        </w:rPr>
        <w:t xml:space="preserve"> able to provide.  The reduction flows, however, </w:t>
      </w:r>
      <w:r w:rsidR="00F40F89">
        <w:rPr>
          <w:rFonts w:ascii="Arial" w:hAnsi="Arial" w:cs="Arial"/>
          <w:sz w:val="24"/>
          <w:szCs w:val="24"/>
        </w:rPr>
        <w:t>at least in part,</w:t>
      </w:r>
      <w:r>
        <w:rPr>
          <w:rFonts w:ascii="Arial" w:hAnsi="Arial" w:cs="Arial"/>
          <w:sz w:val="24"/>
          <w:szCs w:val="24"/>
        </w:rPr>
        <w:t xml:space="preserve"> from its own making.  As </w:t>
      </w:r>
      <w:r w:rsidR="009C4948">
        <w:rPr>
          <w:rFonts w:ascii="Arial" w:hAnsi="Arial" w:cs="Arial"/>
          <w:sz w:val="24"/>
          <w:szCs w:val="24"/>
        </w:rPr>
        <w:t>I have said, the ECDOH is the wrongdoer and is the cause of the liability</w:t>
      </w:r>
      <w:r w:rsidR="00F40F89">
        <w:rPr>
          <w:rFonts w:ascii="Arial" w:hAnsi="Arial" w:cs="Arial"/>
          <w:sz w:val="24"/>
          <w:szCs w:val="24"/>
        </w:rPr>
        <w:t xml:space="preserve"> that it has incurred</w:t>
      </w:r>
      <w:r w:rsidR="009C4948">
        <w:rPr>
          <w:rFonts w:ascii="Arial" w:hAnsi="Arial" w:cs="Arial"/>
          <w:sz w:val="24"/>
          <w:szCs w:val="24"/>
        </w:rPr>
        <w:t>.  As against the prejudice</w:t>
      </w:r>
      <w:r w:rsidR="00EB4C0E">
        <w:rPr>
          <w:rFonts w:ascii="Arial" w:hAnsi="Arial" w:cs="Arial"/>
          <w:sz w:val="24"/>
          <w:szCs w:val="24"/>
        </w:rPr>
        <w:t xml:space="preserve"> to them </w:t>
      </w:r>
      <w:r w:rsidR="009C4948">
        <w:rPr>
          <w:rFonts w:ascii="Arial" w:hAnsi="Arial" w:cs="Arial"/>
          <w:sz w:val="24"/>
          <w:szCs w:val="24"/>
        </w:rPr>
        <w:t xml:space="preserve">is the suffering of injured parties and </w:t>
      </w:r>
      <w:r w:rsidR="00F40F89">
        <w:rPr>
          <w:rFonts w:ascii="Arial" w:hAnsi="Arial" w:cs="Arial"/>
          <w:sz w:val="24"/>
          <w:szCs w:val="24"/>
        </w:rPr>
        <w:t xml:space="preserve">the </w:t>
      </w:r>
      <w:r w:rsidR="009C4948">
        <w:rPr>
          <w:rFonts w:ascii="Arial" w:hAnsi="Arial" w:cs="Arial"/>
          <w:sz w:val="24"/>
          <w:szCs w:val="24"/>
        </w:rPr>
        <w:t xml:space="preserve">hardship of the plaintiff respondents.  Ms </w:t>
      </w:r>
      <w:r w:rsidR="009C4948">
        <w:rPr>
          <w:rFonts w:ascii="Arial" w:hAnsi="Arial" w:cs="Arial"/>
          <w:i/>
          <w:sz w:val="24"/>
          <w:szCs w:val="24"/>
        </w:rPr>
        <w:t>Bawa</w:t>
      </w:r>
      <w:r w:rsidR="00F40F89">
        <w:rPr>
          <w:rFonts w:ascii="Arial" w:hAnsi="Arial" w:cs="Arial"/>
          <w:sz w:val="24"/>
          <w:szCs w:val="24"/>
        </w:rPr>
        <w:t xml:space="preserve"> was constrained to concede, </w:t>
      </w:r>
      <w:r w:rsidR="009C4948">
        <w:rPr>
          <w:rFonts w:ascii="Arial" w:hAnsi="Arial" w:cs="Arial"/>
          <w:sz w:val="24"/>
          <w:szCs w:val="24"/>
        </w:rPr>
        <w:t>during argument</w:t>
      </w:r>
      <w:r w:rsidR="00F40F89">
        <w:rPr>
          <w:rFonts w:ascii="Arial" w:hAnsi="Arial" w:cs="Arial"/>
          <w:sz w:val="24"/>
          <w:szCs w:val="24"/>
        </w:rPr>
        <w:t>,</w:t>
      </w:r>
      <w:r w:rsidR="009C4948">
        <w:rPr>
          <w:rFonts w:ascii="Arial" w:hAnsi="Arial" w:cs="Arial"/>
          <w:sz w:val="24"/>
          <w:szCs w:val="24"/>
        </w:rPr>
        <w:t xml:space="preserve"> that some of the injured parties may even die as</w:t>
      </w:r>
      <w:r w:rsidR="0039464D">
        <w:rPr>
          <w:rFonts w:ascii="Arial" w:hAnsi="Arial" w:cs="Arial"/>
          <w:sz w:val="24"/>
          <w:szCs w:val="24"/>
        </w:rPr>
        <w:t xml:space="preserve"> a </w:t>
      </w:r>
      <w:r w:rsidR="009C4948">
        <w:rPr>
          <w:rFonts w:ascii="Arial" w:hAnsi="Arial" w:cs="Arial"/>
          <w:sz w:val="24"/>
          <w:szCs w:val="24"/>
        </w:rPr>
        <w:t xml:space="preserve">consequence </w:t>
      </w:r>
      <w:r w:rsidR="0039464D">
        <w:rPr>
          <w:rFonts w:ascii="Arial" w:hAnsi="Arial" w:cs="Arial"/>
          <w:sz w:val="24"/>
          <w:szCs w:val="24"/>
        </w:rPr>
        <w:t>of</w:t>
      </w:r>
      <w:r w:rsidR="009C4948">
        <w:rPr>
          <w:rFonts w:ascii="Arial" w:hAnsi="Arial" w:cs="Arial"/>
          <w:sz w:val="24"/>
          <w:szCs w:val="24"/>
        </w:rPr>
        <w:t xml:space="preserve"> the delay in payment of the judgment debts.  </w:t>
      </w:r>
    </w:p>
    <w:p w14:paraId="1B60BBC8" w14:textId="77777777" w:rsidR="009C4948" w:rsidRDefault="009C4948" w:rsidP="000B44A4">
      <w:pPr>
        <w:pStyle w:val="ListParagraph"/>
        <w:tabs>
          <w:tab w:val="left" w:pos="0"/>
        </w:tabs>
        <w:spacing w:after="0" w:line="480" w:lineRule="auto"/>
        <w:ind w:left="0"/>
        <w:jc w:val="both"/>
        <w:rPr>
          <w:rFonts w:ascii="Arial" w:hAnsi="Arial" w:cs="Arial"/>
          <w:sz w:val="24"/>
          <w:szCs w:val="24"/>
        </w:rPr>
      </w:pPr>
    </w:p>
    <w:p w14:paraId="69109715" w14:textId="77777777" w:rsidR="009C4948" w:rsidRDefault="009C4948" w:rsidP="000B44A4">
      <w:pPr>
        <w:pStyle w:val="ListParagraph"/>
        <w:numPr>
          <w:ilvl w:val="0"/>
          <w:numId w:val="20"/>
        </w:numPr>
        <w:tabs>
          <w:tab w:val="left" w:pos="0"/>
        </w:tabs>
        <w:spacing w:after="0" w:line="480" w:lineRule="auto"/>
        <w:ind w:left="0" w:firstLine="0"/>
        <w:jc w:val="both"/>
        <w:rPr>
          <w:rFonts w:ascii="Arial" w:hAnsi="Arial" w:cs="Arial"/>
          <w:sz w:val="24"/>
          <w:szCs w:val="24"/>
        </w:rPr>
      </w:pPr>
      <w:r>
        <w:rPr>
          <w:rFonts w:ascii="Arial" w:hAnsi="Arial" w:cs="Arial"/>
          <w:sz w:val="24"/>
          <w:szCs w:val="24"/>
        </w:rPr>
        <w:t xml:space="preserve">For these reasons I conclude that the applicants have no </w:t>
      </w:r>
      <w:r>
        <w:rPr>
          <w:rFonts w:ascii="Arial" w:hAnsi="Arial" w:cs="Arial"/>
          <w:i/>
          <w:sz w:val="24"/>
          <w:szCs w:val="24"/>
        </w:rPr>
        <w:t>prima facie</w:t>
      </w:r>
      <w:r>
        <w:rPr>
          <w:rFonts w:ascii="Arial" w:hAnsi="Arial" w:cs="Arial"/>
          <w:sz w:val="24"/>
          <w:szCs w:val="24"/>
        </w:rPr>
        <w:t xml:space="preserve"> right to the relief sought nor does the balance of convenience favour them. </w:t>
      </w:r>
    </w:p>
    <w:p w14:paraId="3C810002" w14:textId="77777777" w:rsidR="009C4948" w:rsidRDefault="009C4948" w:rsidP="000B44A4">
      <w:pPr>
        <w:pStyle w:val="ListParagraph"/>
        <w:tabs>
          <w:tab w:val="left" w:pos="0"/>
        </w:tabs>
        <w:spacing w:after="0" w:line="480" w:lineRule="auto"/>
        <w:ind w:left="0"/>
        <w:jc w:val="both"/>
        <w:rPr>
          <w:rFonts w:ascii="Arial" w:hAnsi="Arial" w:cs="Arial"/>
          <w:sz w:val="24"/>
          <w:szCs w:val="24"/>
        </w:rPr>
      </w:pPr>
    </w:p>
    <w:p w14:paraId="3BEA1E79" w14:textId="77777777" w:rsidR="009C4948" w:rsidRDefault="009C4948" w:rsidP="000B44A4">
      <w:pPr>
        <w:pStyle w:val="ListParagraph"/>
        <w:numPr>
          <w:ilvl w:val="0"/>
          <w:numId w:val="20"/>
        </w:numPr>
        <w:tabs>
          <w:tab w:val="left" w:pos="0"/>
        </w:tabs>
        <w:spacing w:after="0" w:line="480" w:lineRule="auto"/>
        <w:ind w:left="0" w:firstLine="0"/>
        <w:jc w:val="both"/>
        <w:rPr>
          <w:rFonts w:ascii="Arial" w:hAnsi="Arial" w:cs="Arial"/>
          <w:sz w:val="24"/>
          <w:szCs w:val="24"/>
        </w:rPr>
      </w:pPr>
      <w:r>
        <w:rPr>
          <w:rFonts w:ascii="Arial" w:hAnsi="Arial" w:cs="Arial"/>
          <w:sz w:val="24"/>
          <w:szCs w:val="24"/>
        </w:rPr>
        <w:t xml:space="preserve">There is </w:t>
      </w:r>
      <w:r w:rsidR="0039464D">
        <w:rPr>
          <w:rFonts w:ascii="Arial" w:hAnsi="Arial" w:cs="Arial"/>
          <w:sz w:val="24"/>
          <w:szCs w:val="24"/>
        </w:rPr>
        <w:t xml:space="preserve">a </w:t>
      </w:r>
      <w:r>
        <w:rPr>
          <w:rFonts w:ascii="Arial" w:hAnsi="Arial" w:cs="Arial"/>
          <w:sz w:val="24"/>
          <w:szCs w:val="24"/>
        </w:rPr>
        <w:t xml:space="preserve">further and more compelling reason why the relief sought cannot be granted.  I have referred earlier to </w:t>
      </w:r>
      <w:r w:rsidR="00B41B71" w:rsidRPr="00B41B71">
        <w:rPr>
          <w:rFonts w:ascii="Arial" w:hAnsi="Arial" w:cs="Arial"/>
          <w:i/>
          <w:sz w:val="24"/>
          <w:szCs w:val="24"/>
        </w:rPr>
        <w:t>Nyathi</w:t>
      </w:r>
      <w:r w:rsidRPr="00B41B71">
        <w:rPr>
          <w:rFonts w:ascii="Arial" w:hAnsi="Arial" w:cs="Arial"/>
          <w:i/>
          <w:color w:val="000000" w:themeColor="text1"/>
          <w:sz w:val="24"/>
          <w:szCs w:val="24"/>
        </w:rPr>
        <w:t xml:space="preserve"> </w:t>
      </w:r>
      <w:r>
        <w:rPr>
          <w:rFonts w:ascii="Arial" w:hAnsi="Arial" w:cs="Arial"/>
          <w:sz w:val="24"/>
          <w:szCs w:val="24"/>
        </w:rPr>
        <w:t>where the Constitutional C</w:t>
      </w:r>
      <w:r w:rsidR="00C557E7">
        <w:rPr>
          <w:rFonts w:ascii="Arial" w:hAnsi="Arial" w:cs="Arial"/>
          <w:sz w:val="24"/>
          <w:szCs w:val="24"/>
        </w:rPr>
        <w:t>ourt declared s 3</w:t>
      </w:r>
      <w:r>
        <w:rPr>
          <w:rFonts w:ascii="Arial" w:hAnsi="Arial" w:cs="Arial"/>
          <w:sz w:val="24"/>
          <w:szCs w:val="24"/>
        </w:rPr>
        <w:t xml:space="preserve">, </w:t>
      </w:r>
      <w:r w:rsidR="0039464D">
        <w:rPr>
          <w:rFonts w:ascii="Arial" w:hAnsi="Arial" w:cs="Arial"/>
          <w:sz w:val="24"/>
          <w:szCs w:val="24"/>
        </w:rPr>
        <w:t xml:space="preserve">prior to the amendment in 2011, </w:t>
      </w:r>
      <w:r>
        <w:rPr>
          <w:rFonts w:ascii="Arial" w:hAnsi="Arial" w:cs="Arial"/>
          <w:sz w:val="24"/>
          <w:szCs w:val="24"/>
        </w:rPr>
        <w:t xml:space="preserve">to be unconstitutional, </w:t>
      </w:r>
      <w:r>
        <w:rPr>
          <w:rFonts w:ascii="Arial" w:hAnsi="Arial" w:cs="Arial"/>
          <w:i/>
          <w:sz w:val="24"/>
          <w:szCs w:val="24"/>
        </w:rPr>
        <w:t>inter alia</w:t>
      </w:r>
      <w:r>
        <w:rPr>
          <w:rFonts w:ascii="Arial" w:hAnsi="Arial" w:cs="Arial"/>
          <w:sz w:val="24"/>
          <w:szCs w:val="24"/>
        </w:rPr>
        <w:t xml:space="preserve">, </w:t>
      </w:r>
      <w:r w:rsidR="0039464D">
        <w:rPr>
          <w:rFonts w:ascii="Arial" w:hAnsi="Arial" w:cs="Arial"/>
          <w:sz w:val="24"/>
          <w:szCs w:val="24"/>
        </w:rPr>
        <w:t xml:space="preserve">because it treated </w:t>
      </w:r>
      <w:r>
        <w:rPr>
          <w:rFonts w:ascii="Arial" w:hAnsi="Arial" w:cs="Arial"/>
          <w:sz w:val="24"/>
          <w:szCs w:val="24"/>
        </w:rPr>
        <w:t>state litigants differently from private litigants.  The stance which the applicants currently adopt is that the plaintiff respondents are not entitled to attach any of its moveable assets, whether corporeal or incorporeal.  It</w:t>
      </w:r>
      <w:r w:rsidR="0039464D">
        <w:rPr>
          <w:rFonts w:ascii="Arial" w:hAnsi="Arial" w:cs="Arial"/>
          <w:sz w:val="24"/>
          <w:szCs w:val="24"/>
        </w:rPr>
        <w:t xml:space="preserve"> says</w:t>
      </w:r>
      <w:r>
        <w:rPr>
          <w:rFonts w:ascii="Arial" w:hAnsi="Arial" w:cs="Arial"/>
          <w:sz w:val="24"/>
          <w:szCs w:val="24"/>
        </w:rPr>
        <w:t xml:space="preserve"> that no execution may be levied against any of its property.  </w:t>
      </w:r>
      <w:r w:rsidR="0039464D">
        <w:rPr>
          <w:rFonts w:ascii="Arial" w:hAnsi="Arial" w:cs="Arial"/>
          <w:sz w:val="24"/>
          <w:szCs w:val="24"/>
        </w:rPr>
        <w:t xml:space="preserve">The effect is a reversion to the </w:t>
      </w:r>
      <w:r>
        <w:rPr>
          <w:rFonts w:ascii="Arial" w:hAnsi="Arial" w:cs="Arial"/>
          <w:sz w:val="24"/>
          <w:szCs w:val="24"/>
        </w:rPr>
        <w:t>position</w:t>
      </w:r>
      <w:r w:rsidR="0039464D">
        <w:rPr>
          <w:rFonts w:ascii="Arial" w:hAnsi="Arial" w:cs="Arial"/>
          <w:sz w:val="24"/>
          <w:szCs w:val="24"/>
        </w:rPr>
        <w:t>,</w:t>
      </w:r>
      <w:r>
        <w:rPr>
          <w:rFonts w:ascii="Arial" w:hAnsi="Arial" w:cs="Arial"/>
          <w:sz w:val="24"/>
          <w:szCs w:val="24"/>
        </w:rPr>
        <w:t xml:space="preserve"> which the Constitutional Court declared to be unconstitutional in </w:t>
      </w:r>
      <w:r w:rsidR="00B41B71" w:rsidRPr="00B41B71">
        <w:rPr>
          <w:rFonts w:ascii="Arial" w:hAnsi="Arial" w:cs="Arial"/>
          <w:i/>
          <w:sz w:val="24"/>
          <w:szCs w:val="24"/>
        </w:rPr>
        <w:t>Nyathi</w:t>
      </w:r>
      <w:r w:rsidRPr="007F58C8">
        <w:rPr>
          <w:rFonts w:ascii="Arial" w:hAnsi="Arial" w:cs="Arial"/>
          <w:color w:val="000000" w:themeColor="text1"/>
          <w:sz w:val="24"/>
          <w:szCs w:val="24"/>
        </w:rPr>
        <w:t>.</w:t>
      </w:r>
      <w:r w:rsidR="008A13A9">
        <w:rPr>
          <w:rStyle w:val="FootnoteReference"/>
          <w:rFonts w:ascii="Arial" w:hAnsi="Arial" w:cs="Arial"/>
          <w:color w:val="000000" w:themeColor="text1"/>
          <w:sz w:val="24"/>
          <w:szCs w:val="24"/>
        </w:rPr>
        <w:footnoteReference w:id="97"/>
      </w:r>
      <w:r>
        <w:rPr>
          <w:rFonts w:ascii="Arial" w:hAnsi="Arial" w:cs="Arial"/>
          <w:sz w:val="24"/>
          <w:szCs w:val="24"/>
        </w:rPr>
        <w:t xml:space="preserve">  Section 9(1) of the </w:t>
      </w:r>
      <w:r w:rsidR="00B86A87">
        <w:rPr>
          <w:rFonts w:ascii="Arial" w:hAnsi="Arial" w:cs="Arial"/>
          <w:sz w:val="24"/>
          <w:szCs w:val="24"/>
        </w:rPr>
        <w:t>Constitution</w:t>
      </w:r>
      <w:r>
        <w:rPr>
          <w:rFonts w:ascii="Arial" w:hAnsi="Arial" w:cs="Arial"/>
          <w:sz w:val="24"/>
          <w:szCs w:val="24"/>
        </w:rPr>
        <w:t xml:space="preserve"> provides for everyone to be equal before the law and to have equal right</w:t>
      </w:r>
      <w:r w:rsidR="0039464D">
        <w:rPr>
          <w:rFonts w:ascii="Arial" w:hAnsi="Arial" w:cs="Arial"/>
          <w:sz w:val="24"/>
          <w:szCs w:val="24"/>
        </w:rPr>
        <w:t>s</w:t>
      </w:r>
      <w:r>
        <w:rPr>
          <w:rFonts w:ascii="Arial" w:hAnsi="Arial" w:cs="Arial"/>
          <w:sz w:val="24"/>
          <w:szCs w:val="24"/>
        </w:rPr>
        <w:t xml:space="preserve"> to </w:t>
      </w:r>
      <w:r w:rsidR="0039464D">
        <w:rPr>
          <w:rFonts w:ascii="Arial" w:hAnsi="Arial" w:cs="Arial"/>
          <w:sz w:val="24"/>
          <w:szCs w:val="24"/>
        </w:rPr>
        <w:t xml:space="preserve">the </w:t>
      </w:r>
      <w:r>
        <w:rPr>
          <w:rFonts w:ascii="Arial" w:hAnsi="Arial" w:cs="Arial"/>
          <w:sz w:val="24"/>
          <w:szCs w:val="24"/>
        </w:rPr>
        <w:t>protection and benefit of the law.  What the applicants seek is to prevent execution</w:t>
      </w:r>
      <w:r w:rsidR="003F1C32">
        <w:rPr>
          <w:rFonts w:ascii="Arial" w:hAnsi="Arial" w:cs="Arial"/>
          <w:sz w:val="24"/>
          <w:szCs w:val="24"/>
        </w:rPr>
        <w:t>,</w:t>
      </w:r>
      <w:r>
        <w:rPr>
          <w:rFonts w:ascii="Arial" w:hAnsi="Arial" w:cs="Arial"/>
          <w:sz w:val="24"/>
          <w:szCs w:val="24"/>
        </w:rPr>
        <w:t xml:space="preserve"> in terms of the SLA</w:t>
      </w:r>
      <w:r w:rsidR="003F1C32">
        <w:rPr>
          <w:rFonts w:ascii="Arial" w:hAnsi="Arial" w:cs="Arial"/>
          <w:sz w:val="24"/>
          <w:szCs w:val="24"/>
        </w:rPr>
        <w:t>,</w:t>
      </w:r>
      <w:r>
        <w:rPr>
          <w:rFonts w:ascii="Arial" w:hAnsi="Arial" w:cs="Arial"/>
          <w:sz w:val="24"/>
          <w:szCs w:val="24"/>
        </w:rPr>
        <w:t xml:space="preserve"> by judgment creditors in </w:t>
      </w:r>
      <w:r w:rsidR="00574831">
        <w:rPr>
          <w:rFonts w:ascii="Arial" w:hAnsi="Arial" w:cs="Arial"/>
          <w:sz w:val="24"/>
          <w:szCs w:val="24"/>
        </w:rPr>
        <w:t>medico-legal claims</w:t>
      </w:r>
      <w:r>
        <w:rPr>
          <w:rFonts w:ascii="Arial" w:hAnsi="Arial" w:cs="Arial"/>
          <w:sz w:val="24"/>
          <w:szCs w:val="24"/>
        </w:rPr>
        <w:t xml:space="preserve"> against the </w:t>
      </w:r>
      <w:r w:rsidR="008A13A9">
        <w:rPr>
          <w:rFonts w:ascii="Arial" w:hAnsi="Arial" w:cs="Arial"/>
          <w:sz w:val="24"/>
          <w:szCs w:val="24"/>
        </w:rPr>
        <w:t>Eastern Cape government</w:t>
      </w:r>
      <w:r>
        <w:rPr>
          <w:rFonts w:ascii="Arial" w:hAnsi="Arial" w:cs="Arial"/>
          <w:sz w:val="24"/>
          <w:szCs w:val="24"/>
        </w:rPr>
        <w:t xml:space="preserve">, but those who have </w:t>
      </w:r>
      <w:r w:rsidR="0039464D">
        <w:rPr>
          <w:rFonts w:ascii="Arial" w:hAnsi="Arial" w:cs="Arial"/>
          <w:sz w:val="24"/>
          <w:szCs w:val="24"/>
        </w:rPr>
        <w:t>obtained judgment in</w:t>
      </w:r>
      <w:r>
        <w:rPr>
          <w:rFonts w:ascii="Arial" w:hAnsi="Arial" w:cs="Arial"/>
          <w:sz w:val="24"/>
          <w:szCs w:val="24"/>
        </w:rPr>
        <w:t xml:space="preserve"> </w:t>
      </w:r>
      <w:r w:rsidR="003F1C32">
        <w:rPr>
          <w:rFonts w:ascii="Arial" w:hAnsi="Arial" w:cs="Arial"/>
          <w:sz w:val="24"/>
          <w:szCs w:val="24"/>
        </w:rPr>
        <w:t>similar cases</w:t>
      </w:r>
      <w:r>
        <w:rPr>
          <w:rFonts w:ascii="Arial" w:hAnsi="Arial" w:cs="Arial"/>
          <w:sz w:val="24"/>
          <w:szCs w:val="24"/>
        </w:rPr>
        <w:t xml:space="preserve"> against private health care providers</w:t>
      </w:r>
      <w:r w:rsidR="008A13A9">
        <w:rPr>
          <w:rFonts w:ascii="Arial" w:hAnsi="Arial" w:cs="Arial"/>
          <w:sz w:val="24"/>
          <w:szCs w:val="24"/>
        </w:rPr>
        <w:t xml:space="preserve">, or public health authorities in other </w:t>
      </w:r>
      <w:r w:rsidR="00886509">
        <w:rPr>
          <w:rFonts w:ascii="Arial" w:hAnsi="Arial" w:cs="Arial"/>
          <w:sz w:val="24"/>
          <w:szCs w:val="24"/>
        </w:rPr>
        <w:t>provinces</w:t>
      </w:r>
      <w:r w:rsidR="008A13A9">
        <w:rPr>
          <w:rFonts w:ascii="Arial" w:hAnsi="Arial" w:cs="Arial"/>
          <w:sz w:val="24"/>
          <w:szCs w:val="24"/>
        </w:rPr>
        <w:t>,</w:t>
      </w:r>
      <w:r>
        <w:rPr>
          <w:rFonts w:ascii="Arial" w:hAnsi="Arial" w:cs="Arial"/>
          <w:sz w:val="24"/>
          <w:szCs w:val="24"/>
        </w:rPr>
        <w:t xml:space="preserve"> </w:t>
      </w:r>
      <w:r>
        <w:rPr>
          <w:rFonts w:ascii="Arial" w:hAnsi="Arial" w:cs="Arial"/>
          <w:sz w:val="24"/>
          <w:szCs w:val="24"/>
        </w:rPr>
        <w:lastRenderedPageBreak/>
        <w:t xml:space="preserve">would be treated differently.  They asserted that only approximately 10% of the population in the Eastern Cape, the wealthier sector, have access to private health care.  </w:t>
      </w:r>
      <w:r w:rsidR="0039464D">
        <w:rPr>
          <w:rFonts w:ascii="Arial" w:hAnsi="Arial" w:cs="Arial"/>
          <w:sz w:val="24"/>
          <w:szCs w:val="24"/>
        </w:rPr>
        <w:t>Thus,</w:t>
      </w:r>
      <w:r w:rsidR="00B86A87">
        <w:rPr>
          <w:rFonts w:ascii="Arial" w:hAnsi="Arial" w:cs="Arial"/>
          <w:sz w:val="24"/>
          <w:szCs w:val="24"/>
        </w:rPr>
        <w:t xml:space="preserve"> </w:t>
      </w:r>
      <w:r w:rsidR="00F40F89">
        <w:rPr>
          <w:rFonts w:ascii="Arial" w:hAnsi="Arial" w:cs="Arial"/>
          <w:sz w:val="24"/>
          <w:szCs w:val="24"/>
        </w:rPr>
        <w:t xml:space="preserve">the </w:t>
      </w:r>
      <w:r w:rsidR="00B86A87">
        <w:rPr>
          <w:rFonts w:ascii="Arial" w:hAnsi="Arial" w:cs="Arial"/>
          <w:sz w:val="24"/>
          <w:szCs w:val="24"/>
        </w:rPr>
        <w:t xml:space="preserve">relief which they </w:t>
      </w:r>
      <w:r w:rsidR="00F40F89">
        <w:rPr>
          <w:rFonts w:ascii="Arial" w:hAnsi="Arial" w:cs="Arial"/>
          <w:sz w:val="24"/>
          <w:szCs w:val="24"/>
        </w:rPr>
        <w:t>sought</w:t>
      </w:r>
      <w:r w:rsidR="00B86A87">
        <w:rPr>
          <w:rFonts w:ascii="Arial" w:hAnsi="Arial" w:cs="Arial"/>
          <w:sz w:val="24"/>
          <w:szCs w:val="24"/>
        </w:rPr>
        <w:t xml:space="preserve"> w</w:t>
      </w:r>
      <w:r w:rsidR="003F1C32">
        <w:rPr>
          <w:rFonts w:ascii="Arial" w:hAnsi="Arial" w:cs="Arial"/>
          <w:sz w:val="24"/>
          <w:szCs w:val="24"/>
        </w:rPr>
        <w:t>ould</w:t>
      </w:r>
      <w:r w:rsidR="00B86A87">
        <w:rPr>
          <w:rFonts w:ascii="Arial" w:hAnsi="Arial" w:cs="Arial"/>
          <w:sz w:val="24"/>
          <w:szCs w:val="24"/>
        </w:rPr>
        <w:t xml:space="preserve"> </w:t>
      </w:r>
      <w:r w:rsidR="008A13A9">
        <w:rPr>
          <w:rFonts w:ascii="Arial" w:hAnsi="Arial" w:cs="Arial"/>
          <w:sz w:val="24"/>
          <w:szCs w:val="24"/>
        </w:rPr>
        <w:t xml:space="preserve">also </w:t>
      </w:r>
      <w:r w:rsidR="00B86A87">
        <w:rPr>
          <w:rFonts w:ascii="Arial" w:hAnsi="Arial" w:cs="Arial"/>
          <w:sz w:val="24"/>
          <w:szCs w:val="24"/>
        </w:rPr>
        <w:t>discriminate against the poorer majority</w:t>
      </w:r>
      <w:r w:rsidR="00F40F89">
        <w:rPr>
          <w:rFonts w:ascii="Arial" w:hAnsi="Arial" w:cs="Arial"/>
          <w:sz w:val="24"/>
          <w:szCs w:val="24"/>
        </w:rPr>
        <w:t xml:space="preserve"> who have been compelled to rely on public health care</w:t>
      </w:r>
      <w:r w:rsidR="00B86A87">
        <w:rPr>
          <w:rFonts w:ascii="Arial" w:hAnsi="Arial" w:cs="Arial"/>
          <w:sz w:val="24"/>
          <w:szCs w:val="24"/>
        </w:rPr>
        <w:t xml:space="preserve">.  </w:t>
      </w:r>
    </w:p>
    <w:p w14:paraId="1F9FE851" w14:textId="77777777" w:rsidR="00B86A87" w:rsidRDefault="00B86A87" w:rsidP="000B44A4">
      <w:pPr>
        <w:pStyle w:val="ListParagraph"/>
        <w:tabs>
          <w:tab w:val="left" w:pos="0"/>
        </w:tabs>
        <w:spacing w:after="0" w:line="480" w:lineRule="auto"/>
        <w:ind w:left="0"/>
        <w:jc w:val="both"/>
        <w:rPr>
          <w:rFonts w:ascii="Arial" w:hAnsi="Arial" w:cs="Arial"/>
          <w:sz w:val="24"/>
          <w:szCs w:val="24"/>
        </w:rPr>
      </w:pPr>
    </w:p>
    <w:p w14:paraId="54A03587" w14:textId="77777777" w:rsidR="00B86A87" w:rsidRDefault="00B86A87" w:rsidP="000B44A4">
      <w:pPr>
        <w:pStyle w:val="ListParagraph"/>
        <w:numPr>
          <w:ilvl w:val="0"/>
          <w:numId w:val="20"/>
        </w:numPr>
        <w:tabs>
          <w:tab w:val="left" w:pos="0"/>
        </w:tabs>
        <w:spacing w:after="0" w:line="480" w:lineRule="auto"/>
        <w:ind w:left="0" w:firstLine="0"/>
        <w:jc w:val="both"/>
        <w:rPr>
          <w:rFonts w:ascii="Arial" w:hAnsi="Arial" w:cs="Arial"/>
          <w:sz w:val="24"/>
          <w:szCs w:val="24"/>
        </w:rPr>
      </w:pPr>
      <w:r>
        <w:rPr>
          <w:rFonts w:ascii="Arial" w:hAnsi="Arial" w:cs="Arial"/>
          <w:sz w:val="24"/>
          <w:szCs w:val="24"/>
        </w:rPr>
        <w:t xml:space="preserve">In addition, they seek to interdict only those who have judgments arising from medico-legal claims against them, but not creditors who obtain judgments </w:t>
      </w:r>
      <w:r w:rsidR="00F40F89">
        <w:rPr>
          <w:rFonts w:ascii="Arial" w:hAnsi="Arial" w:cs="Arial"/>
          <w:sz w:val="24"/>
          <w:szCs w:val="24"/>
        </w:rPr>
        <w:t>for</w:t>
      </w:r>
      <w:r>
        <w:rPr>
          <w:rFonts w:ascii="Arial" w:hAnsi="Arial" w:cs="Arial"/>
          <w:sz w:val="24"/>
          <w:szCs w:val="24"/>
        </w:rPr>
        <w:t xml:space="preserve"> contractual debts.</w:t>
      </w:r>
      <w:r w:rsidR="0039464D">
        <w:rPr>
          <w:rFonts w:ascii="Arial" w:hAnsi="Arial" w:cs="Arial"/>
          <w:sz w:val="24"/>
          <w:szCs w:val="24"/>
        </w:rPr>
        <w:t xml:space="preserve">  The discrimination is not constitutionally defenceable.</w:t>
      </w:r>
    </w:p>
    <w:p w14:paraId="21326E89" w14:textId="77777777" w:rsidR="006A1D98" w:rsidRDefault="006A1D98" w:rsidP="000B44A4">
      <w:pPr>
        <w:tabs>
          <w:tab w:val="left" w:pos="0"/>
        </w:tabs>
        <w:spacing w:after="0" w:line="480" w:lineRule="auto"/>
        <w:jc w:val="both"/>
        <w:rPr>
          <w:rFonts w:ascii="Arial" w:hAnsi="Arial" w:cs="Arial"/>
          <w:sz w:val="24"/>
          <w:szCs w:val="24"/>
          <w:u w:val="single"/>
        </w:rPr>
      </w:pPr>
    </w:p>
    <w:p w14:paraId="26C7463A" w14:textId="77777777" w:rsidR="00F052B3" w:rsidRPr="00204791" w:rsidRDefault="00F052B3" w:rsidP="000B44A4">
      <w:pPr>
        <w:tabs>
          <w:tab w:val="left" w:pos="0"/>
        </w:tabs>
        <w:spacing w:after="0" w:line="480" w:lineRule="auto"/>
        <w:jc w:val="both"/>
        <w:rPr>
          <w:rFonts w:ascii="Arial" w:hAnsi="Arial" w:cs="Arial"/>
          <w:sz w:val="24"/>
          <w:szCs w:val="24"/>
          <w:u w:val="single"/>
        </w:rPr>
      </w:pPr>
      <w:r w:rsidRPr="00204791">
        <w:rPr>
          <w:rFonts w:ascii="Arial" w:hAnsi="Arial" w:cs="Arial"/>
          <w:sz w:val="24"/>
          <w:szCs w:val="24"/>
          <w:u w:val="single"/>
        </w:rPr>
        <w:t>Suspension of writs in execution</w:t>
      </w:r>
    </w:p>
    <w:p w14:paraId="45DDEB59" w14:textId="30CE2448" w:rsidR="00F052B3" w:rsidRDefault="006A1D98" w:rsidP="000B44A4">
      <w:pPr>
        <w:pStyle w:val="ListParagraph"/>
        <w:numPr>
          <w:ilvl w:val="0"/>
          <w:numId w:val="20"/>
        </w:numPr>
        <w:tabs>
          <w:tab w:val="left" w:pos="0"/>
        </w:tabs>
        <w:spacing w:after="0" w:line="480" w:lineRule="auto"/>
        <w:ind w:left="0" w:firstLine="0"/>
        <w:jc w:val="both"/>
        <w:rPr>
          <w:rFonts w:ascii="Arial" w:hAnsi="Arial" w:cs="Arial"/>
          <w:sz w:val="24"/>
          <w:szCs w:val="24"/>
        </w:rPr>
      </w:pPr>
      <w:r>
        <w:rPr>
          <w:rFonts w:ascii="Arial" w:hAnsi="Arial" w:cs="Arial"/>
          <w:sz w:val="24"/>
          <w:szCs w:val="24"/>
        </w:rPr>
        <w:t xml:space="preserve">I turn </w:t>
      </w:r>
      <w:r w:rsidR="00D607E1">
        <w:rPr>
          <w:rFonts w:ascii="Arial" w:hAnsi="Arial" w:cs="Arial"/>
          <w:sz w:val="24"/>
          <w:szCs w:val="24"/>
        </w:rPr>
        <w:t xml:space="preserve">to the </w:t>
      </w:r>
      <w:r>
        <w:rPr>
          <w:rFonts w:ascii="Arial" w:hAnsi="Arial" w:cs="Arial"/>
          <w:sz w:val="24"/>
          <w:szCs w:val="24"/>
        </w:rPr>
        <w:t>stay of execution sought in the third draft order.</w:t>
      </w:r>
      <w:r>
        <w:rPr>
          <w:rStyle w:val="FootnoteReference"/>
          <w:rFonts w:ascii="Arial" w:hAnsi="Arial" w:cs="Arial"/>
          <w:sz w:val="24"/>
          <w:szCs w:val="24"/>
        </w:rPr>
        <w:footnoteReference w:id="98"/>
      </w:r>
      <w:r>
        <w:rPr>
          <w:rFonts w:ascii="Arial" w:hAnsi="Arial" w:cs="Arial"/>
          <w:sz w:val="24"/>
          <w:szCs w:val="24"/>
        </w:rPr>
        <w:t xml:space="preserve">  </w:t>
      </w:r>
      <w:r w:rsidR="00F052B3" w:rsidRPr="00D31E26">
        <w:rPr>
          <w:rFonts w:ascii="Arial" w:hAnsi="Arial" w:cs="Arial"/>
          <w:sz w:val="24"/>
          <w:szCs w:val="24"/>
        </w:rPr>
        <w:t>Execution is a means of enforcing a judgment</w:t>
      </w:r>
      <w:r w:rsidR="00D607E1">
        <w:rPr>
          <w:rFonts w:ascii="Arial" w:hAnsi="Arial" w:cs="Arial"/>
          <w:sz w:val="24"/>
          <w:szCs w:val="24"/>
        </w:rPr>
        <w:t>,</w:t>
      </w:r>
      <w:r w:rsidR="00F052B3" w:rsidRPr="00D31E26">
        <w:rPr>
          <w:rFonts w:ascii="Arial" w:hAnsi="Arial" w:cs="Arial"/>
          <w:sz w:val="24"/>
          <w:szCs w:val="24"/>
        </w:rPr>
        <w:t xml:space="preserve"> or order of court</w:t>
      </w:r>
      <w:r w:rsidR="00D607E1">
        <w:rPr>
          <w:rFonts w:ascii="Arial" w:hAnsi="Arial" w:cs="Arial"/>
          <w:sz w:val="24"/>
          <w:szCs w:val="24"/>
        </w:rPr>
        <w:t>,</w:t>
      </w:r>
      <w:r w:rsidR="00F052B3" w:rsidRPr="00D31E26">
        <w:rPr>
          <w:rFonts w:ascii="Arial" w:hAnsi="Arial" w:cs="Arial"/>
          <w:sz w:val="24"/>
          <w:szCs w:val="24"/>
        </w:rPr>
        <w:t xml:space="preserve"> and is incidental to the judicial process</w:t>
      </w:r>
      <w:r w:rsidR="00F052B3">
        <w:rPr>
          <w:rFonts w:ascii="Arial" w:hAnsi="Arial" w:cs="Arial"/>
          <w:sz w:val="24"/>
          <w:szCs w:val="24"/>
        </w:rPr>
        <w:t>.</w:t>
      </w:r>
      <w:r w:rsidR="00F052B3">
        <w:rPr>
          <w:rStyle w:val="FootnoteReference"/>
          <w:rFonts w:ascii="Arial" w:hAnsi="Arial" w:cs="Arial"/>
          <w:sz w:val="24"/>
          <w:szCs w:val="24"/>
        </w:rPr>
        <w:footnoteReference w:id="99"/>
      </w:r>
      <w:r w:rsidR="00F052B3" w:rsidRPr="00D31E26">
        <w:rPr>
          <w:rFonts w:ascii="Arial" w:hAnsi="Arial" w:cs="Arial"/>
          <w:sz w:val="24"/>
          <w:szCs w:val="24"/>
        </w:rPr>
        <w:t xml:space="preserve"> </w:t>
      </w:r>
      <w:r w:rsidR="00F052B3">
        <w:rPr>
          <w:rFonts w:ascii="Arial" w:hAnsi="Arial" w:cs="Arial"/>
          <w:sz w:val="24"/>
          <w:szCs w:val="24"/>
        </w:rPr>
        <w:t xml:space="preserve"> T</w:t>
      </w:r>
      <w:r w:rsidR="00F052B3" w:rsidRPr="00D31E26">
        <w:rPr>
          <w:rFonts w:ascii="Arial" w:hAnsi="Arial" w:cs="Arial"/>
          <w:sz w:val="24"/>
          <w:szCs w:val="24"/>
        </w:rPr>
        <w:t>he court has the inherent power to regulate its procedures in the interests of proper administration of justice</w:t>
      </w:r>
      <w:r w:rsidR="00D607E1">
        <w:rPr>
          <w:rFonts w:ascii="Arial" w:hAnsi="Arial" w:cs="Arial"/>
          <w:sz w:val="24"/>
          <w:szCs w:val="24"/>
        </w:rPr>
        <w:t>,</w:t>
      </w:r>
      <w:r w:rsidR="00F052B3" w:rsidRPr="00D31E26">
        <w:rPr>
          <w:rFonts w:ascii="Arial" w:hAnsi="Arial" w:cs="Arial"/>
          <w:sz w:val="24"/>
          <w:szCs w:val="24"/>
        </w:rPr>
        <w:t xml:space="preserve"> and s 173 of the Constitution reaffirms this power.</w:t>
      </w:r>
      <w:r w:rsidR="00F052B3">
        <w:rPr>
          <w:rStyle w:val="FootnoteReference"/>
          <w:rFonts w:ascii="Arial" w:hAnsi="Arial" w:cs="Arial"/>
          <w:sz w:val="24"/>
          <w:szCs w:val="24"/>
        </w:rPr>
        <w:footnoteReference w:id="100"/>
      </w:r>
      <w:r w:rsidR="00F052B3" w:rsidRPr="00D31E26">
        <w:rPr>
          <w:rFonts w:ascii="Arial" w:hAnsi="Arial" w:cs="Arial"/>
          <w:sz w:val="24"/>
          <w:szCs w:val="24"/>
        </w:rPr>
        <w:t xml:space="preserve">  Regulati</w:t>
      </w:r>
      <w:r w:rsidR="00F052B3">
        <w:rPr>
          <w:rFonts w:ascii="Arial" w:hAnsi="Arial" w:cs="Arial"/>
          <w:sz w:val="24"/>
          <w:szCs w:val="24"/>
        </w:rPr>
        <w:t>ng</w:t>
      </w:r>
      <w:r w:rsidR="00F052B3" w:rsidRPr="00D31E26">
        <w:rPr>
          <w:rFonts w:ascii="Arial" w:hAnsi="Arial" w:cs="Arial"/>
          <w:sz w:val="24"/>
          <w:szCs w:val="24"/>
        </w:rPr>
        <w:t xml:space="preserve"> the process of execution is purely procedural, not substantive.  </w:t>
      </w:r>
      <w:r w:rsidR="00133B00">
        <w:rPr>
          <w:rFonts w:ascii="Arial" w:hAnsi="Arial" w:cs="Arial"/>
          <w:sz w:val="24"/>
          <w:szCs w:val="24"/>
        </w:rPr>
        <w:t>The inherent jurisdiction of the high court does not, however, include the right to tamper with the principle of finality of judgments other than in the specific circumstances, which do not arise in this case.</w:t>
      </w:r>
      <w:r w:rsidR="00F17F74" w:rsidRPr="00F17F74">
        <w:rPr>
          <w:rStyle w:val="FootnoteReference"/>
          <w:rFonts w:ascii="Arial" w:hAnsi="Arial" w:cs="Arial"/>
          <w:sz w:val="24"/>
          <w:szCs w:val="24"/>
        </w:rPr>
        <w:t xml:space="preserve"> </w:t>
      </w:r>
      <w:r w:rsidR="00F17F74">
        <w:rPr>
          <w:rStyle w:val="FootnoteReference"/>
          <w:rFonts w:ascii="Arial" w:hAnsi="Arial" w:cs="Arial"/>
          <w:sz w:val="24"/>
          <w:szCs w:val="24"/>
        </w:rPr>
        <w:footnoteReference w:id="101"/>
      </w:r>
    </w:p>
    <w:p w14:paraId="6F52BE36" w14:textId="77777777" w:rsidR="00220A00" w:rsidRDefault="00220A00" w:rsidP="00220A00">
      <w:pPr>
        <w:pStyle w:val="ListParagraph"/>
        <w:tabs>
          <w:tab w:val="left" w:pos="0"/>
        </w:tabs>
        <w:spacing w:after="0" w:line="480" w:lineRule="auto"/>
        <w:ind w:left="0"/>
        <w:jc w:val="both"/>
        <w:rPr>
          <w:rFonts w:ascii="Arial" w:hAnsi="Arial" w:cs="Arial"/>
          <w:sz w:val="24"/>
          <w:szCs w:val="24"/>
        </w:rPr>
      </w:pPr>
    </w:p>
    <w:p w14:paraId="6D9A8BB9" w14:textId="77777777" w:rsidR="00F052B3" w:rsidRDefault="00F052B3" w:rsidP="000B44A4">
      <w:pPr>
        <w:pStyle w:val="ListParagraph"/>
        <w:tabs>
          <w:tab w:val="left" w:pos="0"/>
        </w:tabs>
        <w:spacing w:after="0" w:line="480" w:lineRule="auto"/>
        <w:ind w:left="0"/>
        <w:jc w:val="both"/>
        <w:rPr>
          <w:rFonts w:ascii="Arial" w:hAnsi="Arial" w:cs="Arial"/>
          <w:sz w:val="24"/>
          <w:szCs w:val="24"/>
        </w:rPr>
      </w:pPr>
    </w:p>
    <w:p w14:paraId="5CEF229B" w14:textId="77777777" w:rsidR="00F052B3" w:rsidRDefault="00133B00" w:rsidP="000B44A4">
      <w:pPr>
        <w:pStyle w:val="ListParagraph"/>
        <w:numPr>
          <w:ilvl w:val="0"/>
          <w:numId w:val="20"/>
        </w:numPr>
        <w:tabs>
          <w:tab w:val="left" w:pos="0"/>
        </w:tabs>
        <w:spacing w:after="0" w:line="480" w:lineRule="auto"/>
        <w:ind w:left="0" w:firstLine="0"/>
        <w:jc w:val="both"/>
        <w:rPr>
          <w:rFonts w:ascii="Arial" w:hAnsi="Arial" w:cs="Arial"/>
          <w:sz w:val="24"/>
          <w:szCs w:val="24"/>
        </w:rPr>
      </w:pPr>
      <w:r w:rsidRPr="009B64B2">
        <w:rPr>
          <w:rFonts w:ascii="Arial" w:hAnsi="Arial" w:cs="Arial"/>
          <w:sz w:val="24"/>
          <w:szCs w:val="24"/>
        </w:rPr>
        <w:lastRenderedPageBreak/>
        <w:t>The</w:t>
      </w:r>
      <w:r w:rsidR="00F052B3" w:rsidRPr="009B64B2">
        <w:rPr>
          <w:rFonts w:ascii="Arial" w:hAnsi="Arial" w:cs="Arial"/>
          <w:sz w:val="24"/>
          <w:szCs w:val="24"/>
        </w:rPr>
        <w:t xml:space="preserve"> power </w:t>
      </w:r>
      <w:r w:rsidR="00F17F74" w:rsidRPr="009B64B2">
        <w:rPr>
          <w:rFonts w:ascii="Arial" w:hAnsi="Arial" w:cs="Arial"/>
          <w:sz w:val="24"/>
          <w:szCs w:val="24"/>
        </w:rPr>
        <w:t xml:space="preserve">to suspend execution </w:t>
      </w:r>
      <w:r w:rsidR="00F052B3" w:rsidRPr="009B64B2">
        <w:rPr>
          <w:rFonts w:ascii="Arial" w:hAnsi="Arial" w:cs="Arial"/>
          <w:sz w:val="24"/>
          <w:szCs w:val="24"/>
        </w:rPr>
        <w:t xml:space="preserve">will not be exercised as a matter of course and should be used sparingly to come </w:t>
      </w:r>
      <w:r w:rsidR="00B50C43" w:rsidRPr="009B64B2">
        <w:rPr>
          <w:rFonts w:ascii="Arial" w:hAnsi="Arial" w:cs="Arial"/>
          <w:sz w:val="24"/>
          <w:szCs w:val="24"/>
        </w:rPr>
        <w:t xml:space="preserve">to </w:t>
      </w:r>
      <w:r w:rsidR="00F052B3" w:rsidRPr="009B64B2">
        <w:rPr>
          <w:rFonts w:ascii="Arial" w:hAnsi="Arial" w:cs="Arial"/>
          <w:sz w:val="24"/>
          <w:szCs w:val="24"/>
        </w:rPr>
        <w:t>the assistance of an applicant outside of the provisions of the rules of court</w:t>
      </w:r>
      <w:r w:rsidR="00D607E1">
        <w:rPr>
          <w:rFonts w:ascii="Arial" w:hAnsi="Arial" w:cs="Arial"/>
          <w:sz w:val="24"/>
          <w:szCs w:val="24"/>
        </w:rPr>
        <w:t>,</w:t>
      </w:r>
      <w:r w:rsidR="00F052B3" w:rsidRPr="009B64B2">
        <w:rPr>
          <w:rFonts w:ascii="Arial" w:hAnsi="Arial" w:cs="Arial"/>
          <w:sz w:val="24"/>
          <w:szCs w:val="24"/>
        </w:rPr>
        <w:t xml:space="preserve"> when the court is satisfied that the interests of justice require it to do so and that justice cannot be properly done unless relief is granted to the applicant</w:t>
      </w:r>
      <w:r w:rsidR="00F052B3">
        <w:rPr>
          <w:rStyle w:val="FootnoteReference"/>
          <w:rFonts w:ascii="Arial" w:hAnsi="Arial" w:cs="Arial"/>
          <w:sz w:val="24"/>
          <w:szCs w:val="24"/>
        </w:rPr>
        <w:footnoteReference w:id="102"/>
      </w:r>
      <w:r w:rsidR="00F052B3" w:rsidRPr="009B64B2">
        <w:rPr>
          <w:rFonts w:ascii="Arial" w:hAnsi="Arial" w:cs="Arial"/>
          <w:sz w:val="24"/>
          <w:szCs w:val="24"/>
        </w:rPr>
        <w:t>.  The discretion of the court must be judicially exercised, but it cannot be otherwise limited.</w:t>
      </w:r>
      <w:r w:rsidR="00F052B3">
        <w:rPr>
          <w:rStyle w:val="FootnoteReference"/>
          <w:rFonts w:ascii="Arial" w:hAnsi="Arial" w:cs="Arial"/>
          <w:sz w:val="24"/>
          <w:szCs w:val="24"/>
        </w:rPr>
        <w:footnoteReference w:id="103"/>
      </w:r>
    </w:p>
    <w:p w14:paraId="5D0F6B73" w14:textId="77777777" w:rsidR="009B64B2" w:rsidRPr="009B64B2" w:rsidRDefault="009B64B2" w:rsidP="000B44A4">
      <w:pPr>
        <w:pStyle w:val="ListParagraph"/>
        <w:spacing w:after="0" w:line="480" w:lineRule="auto"/>
        <w:ind w:left="0"/>
        <w:jc w:val="both"/>
        <w:rPr>
          <w:rFonts w:ascii="Arial" w:hAnsi="Arial" w:cs="Arial"/>
          <w:sz w:val="24"/>
          <w:szCs w:val="24"/>
        </w:rPr>
      </w:pPr>
    </w:p>
    <w:p w14:paraId="3399FE22" w14:textId="77777777" w:rsidR="00BD006F" w:rsidRPr="00F80057" w:rsidRDefault="00F052B3" w:rsidP="000B44A4">
      <w:pPr>
        <w:pStyle w:val="ListParagraph"/>
        <w:numPr>
          <w:ilvl w:val="0"/>
          <w:numId w:val="20"/>
        </w:numPr>
        <w:tabs>
          <w:tab w:val="left" w:pos="0"/>
        </w:tabs>
        <w:spacing w:after="0" w:line="480" w:lineRule="auto"/>
        <w:ind w:left="0" w:firstLine="0"/>
        <w:jc w:val="both"/>
        <w:rPr>
          <w:rFonts w:ascii="Arial" w:eastAsia="Times New Roman" w:hAnsi="Arial" w:cs="Arial"/>
          <w:color w:val="000000"/>
          <w:sz w:val="24"/>
          <w:szCs w:val="24"/>
        </w:rPr>
      </w:pPr>
      <w:r w:rsidRPr="007546F4">
        <w:rPr>
          <w:rFonts w:ascii="Arial" w:hAnsi="Arial" w:cs="Arial"/>
          <w:sz w:val="24"/>
          <w:szCs w:val="24"/>
        </w:rPr>
        <w:t>Rule 45A of the Uniform Rules of Court does no more than to restate the common law and it is not necessary to consider the provisions of the rule any further for purposes of this application.</w:t>
      </w:r>
    </w:p>
    <w:p w14:paraId="35B732A6" w14:textId="77777777" w:rsidR="00F80057" w:rsidRPr="00F80057" w:rsidRDefault="00F80057" w:rsidP="000B44A4">
      <w:pPr>
        <w:pStyle w:val="ListParagraph"/>
        <w:spacing w:after="0" w:line="480" w:lineRule="auto"/>
        <w:ind w:left="0"/>
        <w:jc w:val="both"/>
        <w:rPr>
          <w:rFonts w:ascii="Arial" w:eastAsia="Times New Roman" w:hAnsi="Arial" w:cs="Arial"/>
          <w:color w:val="000000"/>
          <w:sz w:val="24"/>
          <w:szCs w:val="24"/>
        </w:rPr>
      </w:pPr>
    </w:p>
    <w:p w14:paraId="501ECB0B" w14:textId="77777777" w:rsidR="00F80057" w:rsidRDefault="00F80057" w:rsidP="000B44A4">
      <w:pPr>
        <w:pStyle w:val="ListParagraph"/>
        <w:numPr>
          <w:ilvl w:val="0"/>
          <w:numId w:val="20"/>
        </w:numPr>
        <w:tabs>
          <w:tab w:val="left" w:pos="0"/>
        </w:tabs>
        <w:spacing w:after="0" w:line="480" w:lineRule="auto"/>
        <w:ind w:left="0" w:firstLine="0"/>
        <w:jc w:val="both"/>
        <w:rPr>
          <w:rFonts w:ascii="Arial" w:eastAsia="Times New Roman" w:hAnsi="Arial" w:cs="Arial"/>
          <w:color w:val="000000"/>
          <w:sz w:val="24"/>
          <w:szCs w:val="24"/>
        </w:rPr>
      </w:pPr>
      <w:r>
        <w:rPr>
          <w:rFonts w:ascii="Arial" w:eastAsia="Times New Roman" w:hAnsi="Arial" w:cs="Arial"/>
          <w:color w:val="000000"/>
          <w:sz w:val="24"/>
          <w:szCs w:val="24"/>
        </w:rPr>
        <w:t>In the third draft order the applicants s</w:t>
      </w:r>
      <w:r w:rsidR="00D607E1">
        <w:rPr>
          <w:rFonts w:ascii="Arial" w:eastAsia="Times New Roman" w:hAnsi="Arial" w:cs="Arial"/>
          <w:color w:val="000000"/>
          <w:sz w:val="24"/>
          <w:szCs w:val="24"/>
        </w:rPr>
        <w:t>ought</w:t>
      </w:r>
      <w:r>
        <w:rPr>
          <w:rFonts w:ascii="Arial" w:eastAsia="Times New Roman" w:hAnsi="Arial" w:cs="Arial"/>
          <w:color w:val="000000"/>
          <w:sz w:val="24"/>
          <w:szCs w:val="24"/>
        </w:rPr>
        <w:t xml:space="preserve"> a stay of execution for a period of one year.</w:t>
      </w:r>
      <w:r w:rsidR="00200F5C">
        <w:rPr>
          <w:rFonts w:ascii="Arial" w:eastAsia="Times New Roman" w:hAnsi="Arial" w:cs="Arial"/>
          <w:color w:val="000000"/>
          <w:sz w:val="24"/>
          <w:szCs w:val="24"/>
        </w:rPr>
        <w:t xml:space="preserve">  The prayer is curious </w:t>
      </w:r>
      <w:r w:rsidR="0011303A">
        <w:rPr>
          <w:rFonts w:ascii="Arial" w:eastAsia="Times New Roman" w:hAnsi="Arial" w:cs="Arial"/>
          <w:color w:val="000000"/>
          <w:sz w:val="24"/>
          <w:szCs w:val="24"/>
        </w:rPr>
        <w:t>as</w:t>
      </w:r>
      <w:r w:rsidR="00200F5C">
        <w:rPr>
          <w:rFonts w:ascii="Arial" w:eastAsia="Times New Roman" w:hAnsi="Arial" w:cs="Arial"/>
          <w:color w:val="000000"/>
          <w:sz w:val="24"/>
          <w:szCs w:val="24"/>
        </w:rPr>
        <w:t xml:space="preserve"> no case has been made that the applicants will be in a position to meet their commitments in one year.  On the contrary, in the founding affidavit</w:t>
      </w:r>
      <w:r w:rsidR="00200F5C">
        <w:rPr>
          <w:rStyle w:val="FootnoteReference"/>
          <w:rFonts w:ascii="Arial" w:eastAsia="Times New Roman" w:hAnsi="Arial" w:cs="Arial"/>
          <w:color w:val="000000"/>
          <w:sz w:val="24"/>
          <w:szCs w:val="24"/>
        </w:rPr>
        <w:footnoteReference w:id="104"/>
      </w:r>
      <w:r w:rsidR="00200F5C">
        <w:rPr>
          <w:rFonts w:ascii="Arial" w:eastAsia="Times New Roman" w:hAnsi="Arial" w:cs="Arial"/>
          <w:color w:val="000000"/>
          <w:sz w:val="24"/>
          <w:szCs w:val="24"/>
        </w:rPr>
        <w:t xml:space="preserve"> the HOD for treasury declared that they need at least six months to a year to come up with a funding solution.  The application</w:t>
      </w:r>
      <w:r w:rsidR="00D607E1">
        <w:rPr>
          <w:rFonts w:ascii="Arial" w:eastAsia="Times New Roman" w:hAnsi="Arial" w:cs="Arial"/>
          <w:color w:val="000000"/>
          <w:sz w:val="24"/>
          <w:szCs w:val="24"/>
        </w:rPr>
        <w:t xml:space="preserve">, as previously observed, </w:t>
      </w:r>
      <w:r w:rsidR="00200F5C">
        <w:rPr>
          <w:rFonts w:ascii="Arial" w:eastAsia="Times New Roman" w:hAnsi="Arial" w:cs="Arial"/>
          <w:color w:val="000000"/>
          <w:sz w:val="24"/>
          <w:szCs w:val="24"/>
        </w:rPr>
        <w:t xml:space="preserve">was heard </w:t>
      </w:r>
      <w:r w:rsidR="00D607E1">
        <w:rPr>
          <w:rFonts w:ascii="Arial" w:eastAsia="Times New Roman" w:hAnsi="Arial" w:cs="Arial"/>
          <w:color w:val="000000"/>
          <w:sz w:val="24"/>
          <w:szCs w:val="24"/>
        </w:rPr>
        <w:t>nine</w:t>
      </w:r>
      <w:r w:rsidR="00200F5C">
        <w:rPr>
          <w:rFonts w:ascii="Arial" w:eastAsia="Times New Roman" w:hAnsi="Arial" w:cs="Arial"/>
          <w:color w:val="000000"/>
          <w:sz w:val="24"/>
          <w:szCs w:val="24"/>
        </w:rPr>
        <w:t xml:space="preserve"> months later</w:t>
      </w:r>
      <w:r w:rsidR="0011303A">
        <w:rPr>
          <w:rFonts w:ascii="Arial" w:eastAsia="Times New Roman" w:hAnsi="Arial" w:cs="Arial"/>
          <w:color w:val="000000"/>
          <w:sz w:val="24"/>
          <w:szCs w:val="24"/>
        </w:rPr>
        <w:t>,</w:t>
      </w:r>
      <w:r w:rsidR="00200F5C">
        <w:rPr>
          <w:rFonts w:ascii="Arial" w:eastAsia="Times New Roman" w:hAnsi="Arial" w:cs="Arial"/>
          <w:color w:val="000000"/>
          <w:sz w:val="24"/>
          <w:szCs w:val="24"/>
        </w:rPr>
        <w:t xml:space="preserve"> when the third draft was presented</w:t>
      </w:r>
      <w:r w:rsidR="00D607E1">
        <w:rPr>
          <w:rFonts w:ascii="Arial" w:eastAsia="Times New Roman" w:hAnsi="Arial" w:cs="Arial"/>
          <w:color w:val="000000"/>
          <w:sz w:val="24"/>
          <w:szCs w:val="24"/>
        </w:rPr>
        <w:t>.</w:t>
      </w:r>
    </w:p>
    <w:p w14:paraId="48603C70" w14:textId="77777777" w:rsidR="00200F5C" w:rsidRPr="00200F5C" w:rsidRDefault="00200F5C" w:rsidP="000B44A4">
      <w:pPr>
        <w:pStyle w:val="ListParagraph"/>
        <w:spacing w:after="0" w:line="480" w:lineRule="auto"/>
        <w:ind w:left="0"/>
        <w:jc w:val="both"/>
        <w:rPr>
          <w:rFonts w:ascii="Arial" w:eastAsia="Times New Roman" w:hAnsi="Arial" w:cs="Arial"/>
          <w:color w:val="000000"/>
          <w:sz w:val="24"/>
          <w:szCs w:val="24"/>
        </w:rPr>
      </w:pPr>
    </w:p>
    <w:p w14:paraId="2EFB6D8E" w14:textId="77777777" w:rsidR="00E10758" w:rsidRDefault="00200F5C" w:rsidP="000B44A4">
      <w:pPr>
        <w:pStyle w:val="ListParagraph"/>
        <w:numPr>
          <w:ilvl w:val="0"/>
          <w:numId w:val="20"/>
        </w:numPr>
        <w:tabs>
          <w:tab w:val="left" w:pos="0"/>
        </w:tabs>
        <w:spacing w:after="0" w:line="480" w:lineRule="auto"/>
        <w:ind w:left="0" w:firstLine="0"/>
        <w:jc w:val="both"/>
        <w:rPr>
          <w:rFonts w:ascii="Arial" w:eastAsia="Times New Roman" w:hAnsi="Arial" w:cs="Arial"/>
          <w:color w:val="000000"/>
          <w:sz w:val="24"/>
          <w:szCs w:val="24"/>
        </w:rPr>
      </w:pPr>
      <w:r>
        <w:rPr>
          <w:rFonts w:ascii="Arial" w:eastAsia="Times New Roman" w:hAnsi="Arial" w:cs="Arial"/>
          <w:color w:val="000000"/>
          <w:sz w:val="24"/>
          <w:szCs w:val="24"/>
        </w:rPr>
        <w:t xml:space="preserve">Applicants relied heavily on </w:t>
      </w:r>
      <w:r w:rsidRPr="0011303A">
        <w:rPr>
          <w:rFonts w:ascii="Arial" w:eastAsia="Times New Roman" w:hAnsi="Arial" w:cs="Arial"/>
          <w:i/>
          <w:color w:val="000000"/>
          <w:sz w:val="24"/>
          <w:szCs w:val="24"/>
        </w:rPr>
        <w:t>Road Accident Fund</w:t>
      </w:r>
      <w:r w:rsidR="0011303A">
        <w:rPr>
          <w:rFonts w:ascii="Arial" w:eastAsia="Times New Roman" w:hAnsi="Arial" w:cs="Arial"/>
          <w:i/>
          <w:color w:val="000000"/>
          <w:sz w:val="24"/>
          <w:szCs w:val="24"/>
        </w:rPr>
        <w:t>,</w:t>
      </w:r>
      <w:r w:rsidR="00823AB6">
        <w:rPr>
          <w:rStyle w:val="FootnoteReference"/>
          <w:rFonts w:ascii="Arial" w:eastAsia="Times New Roman" w:hAnsi="Arial" w:cs="Arial"/>
          <w:i/>
          <w:color w:val="000000"/>
          <w:sz w:val="24"/>
          <w:szCs w:val="24"/>
        </w:rPr>
        <w:footnoteReference w:id="105"/>
      </w:r>
      <w:r>
        <w:rPr>
          <w:rFonts w:ascii="Arial" w:eastAsia="Times New Roman" w:hAnsi="Arial" w:cs="Arial"/>
          <w:color w:val="000000"/>
          <w:sz w:val="24"/>
          <w:szCs w:val="24"/>
        </w:rPr>
        <w:t xml:space="preserve"> where a full court in Gauteng, Pretoria</w:t>
      </w:r>
      <w:r w:rsidR="00103878">
        <w:rPr>
          <w:rFonts w:ascii="Arial" w:eastAsia="Times New Roman" w:hAnsi="Arial" w:cs="Arial"/>
          <w:color w:val="000000"/>
          <w:sz w:val="24"/>
          <w:szCs w:val="24"/>
        </w:rPr>
        <w:t>,</w:t>
      </w:r>
      <w:r>
        <w:rPr>
          <w:rFonts w:ascii="Arial" w:eastAsia="Times New Roman" w:hAnsi="Arial" w:cs="Arial"/>
          <w:color w:val="000000"/>
          <w:sz w:val="24"/>
          <w:szCs w:val="24"/>
        </w:rPr>
        <w:t xml:space="preserve"> gave an order suspending all writs of execution and attachments against the Road Accident Fund (RAF)</w:t>
      </w:r>
      <w:r w:rsidR="0011303A">
        <w:rPr>
          <w:rFonts w:ascii="Arial" w:eastAsia="Times New Roman" w:hAnsi="Arial" w:cs="Arial"/>
          <w:color w:val="000000"/>
          <w:sz w:val="24"/>
          <w:szCs w:val="24"/>
        </w:rPr>
        <w:t xml:space="preserve"> in respect of c</w:t>
      </w:r>
      <w:r>
        <w:rPr>
          <w:rFonts w:ascii="Arial" w:eastAsia="Times New Roman" w:hAnsi="Arial" w:cs="Arial"/>
          <w:color w:val="000000"/>
          <w:sz w:val="24"/>
          <w:szCs w:val="24"/>
        </w:rPr>
        <w:t>ourt orders already granted or settlements already reached</w:t>
      </w:r>
      <w:r w:rsidR="00D607E1">
        <w:rPr>
          <w:rFonts w:ascii="Arial" w:eastAsia="Times New Roman" w:hAnsi="Arial" w:cs="Arial"/>
          <w:color w:val="000000"/>
          <w:sz w:val="24"/>
          <w:szCs w:val="24"/>
        </w:rPr>
        <w:t>,</w:t>
      </w:r>
      <w:r>
        <w:rPr>
          <w:rFonts w:ascii="Arial" w:eastAsia="Times New Roman" w:hAnsi="Arial" w:cs="Arial"/>
          <w:color w:val="000000"/>
          <w:sz w:val="24"/>
          <w:szCs w:val="24"/>
        </w:rPr>
        <w:t xml:space="preserve"> in terms of the Road Accident Fund Act, 56 of 1996</w:t>
      </w:r>
      <w:r w:rsidR="0011303A">
        <w:rPr>
          <w:rFonts w:ascii="Arial" w:eastAsia="Times New Roman" w:hAnsi="Arial" w:cs="Arial"/>
          <w:color w:val="000000"/>
          <w:sz w:val="24"/>
          <w:szCs w:val="24"/>
        </w:rPr>
        <w:t>,</w:t>
      </w:r>
      <w:r>
        <w:rPr>
          <w:rFonts w:ascii="Arial" w:eastAsia="Times New Roman" w:hAnsi="Arial" w:cs="Arial"/>
          <w:color w:val="000000"/>
          <w:sz w:val="24"/>
          <w:szCs w:val="24"/>
        </w:rPr>
        <w:t xml:space="preserve"> for </w:t>
      </w:r>
      <w:r>
        <w:rPr>
          <w:rFonts w:ascii="Arial" w:eastAsia="Times New Roman" w:hAnsi="Arial" w:cs="Arial"/>
          <w:color w:val="000000"/>
          <w:sz w:val="24"/>
          <w:szCs w:val="24"/>
        </w:rPr>
        <w:lastRenderedPageBreak/>
        <w:t>a period of six months.  On behalf of the applicants it is argued that the present ap</w:t>
      </w:r>
      <w:r w:rsidR="00690E8D">
        <w:rPr>
          <w:rFonts w:ascii="Arial" w:eastAsia="Times New Roman" w:hAnsi="Arial" w:cs="Arial"/>
          <w:color w:val="000000"/>
          <w:sz w:val="24"/>
          <w:szCs w:val="24"/>
        </w:rPr>
        <w:t xml:space="preserve">plication is on all fours with the </w:t>
      </w:r>
      <w:r w:rsidR="00690E8D" w:rsidRPr="00690E8D">
        <w:rPr>
          <w:rFonts w:ascii="Arial" w:eastAsia="Times New Roman" w:hAnsi="Arial" w:cs="Arial"/>
          <w:i/>
          <w:color w:val="000000"/>
          <w:sz w:val="24"/>
          <w:szCs w:val="24"/>
        </w:rPr>
        <w:t>Road Accident Fund</w:t>
      </w:r>
      <w:r w:rsidR="00690E8D">
        <w:rPr>
          <w:rFonts w:ascii="Arial" w:eastAsia="Times New Roman" w:hAnsi="Arial" w:cs="Arial"/>
          <w:color w:val="000000"/>
          <w:sz w:val="24"/>
          <w:szCs w:val="24"/>
        </w:rPr>
        <w:t xml:space="preserve">.  </w:t>
      </w:r>
    </w:p>
    <w:p w14:paraId="7EA6A464" w14:textId="77777777" w:rsidR="00E10758" w:rsidRPr="00E10758" w:rsidRDefault="00E10758" w:rsidP="000B44A4">
      <w:pPr>
        <w:pStyle w:val="ListParagraph"/>
        <w:spacing w:after="0" w:line="480" w:lineRule="auto"/>
        <w:ind w:left="0"/>
        <w:jc w:val="both"/>
        <w:rPr>
          <w:rFonts w:ascii="Arial" w:eastAsia="Times New Roman" w:hAnsi="Arial" w:cs="Arial"/>
          <w:color w:val="000000"/>
          <w:sz w:val="24"/>
          <w:szCs w:val="24"/>
        </w:rPr>
      </w:pPr>
    </w:p>
    <w:p w14:paraId="59FD9F4A" w14:textId="77777777" w:rsidR="00200F5C" w:rsidRDefault="00690E8D" w:rsidP="000B44A4">
      <w:pPr>
        <w:pStyle w:val="ListParagraph"/>
        <w:numPr>
          <w:ilvl w:val="0"/>
          <w:numId w:val="20"/>
        </w:numPr>
        <w:tabs>
          <w:tab w:val="left" w:pos="0"/>
        </w:tabs>
        <w:spacing w:after="0" w:line="480" w:lineRule="auto"/>
        <w:ind w:left="0" w:firstLine="0"/>
        <w:jc w:val="both"/>
        <w:rPr>
          <w:rFonts w:ascii="Arial" w:eastAsia="Times New Roman" w:hAnsi="Arial" w:cs="Arial"/>
          <w:color w:val="000000"/>
          <w:sz w:val="24"/>
          <w:szCs w:val="24"/>
        </w:rPr>
      </w:pPr>
      <w:r>
        <w:rPr>
          <w:rFonts w:ascii="Arial" w:eastAsia="Times New Roman" w:hAnsi="Arial" w:cs="Arial"/>
          <w:color w:val="000000"/>
          <w:sz w:val="24"/>
          <w:szCs w:val="24"/>
        </w:rPr>
        <w:t xml:space="preserve">In my view there are material differences between </w:t>
      </w:r>
      <w:r w:rsidRPr="00690E8D">
        <w:rPr>
          <w:rFonts w:ascii="Arial" w:eastAsia="Times New Roman" w:hAnsi="Arial" w:cs="Arial"/>
          <w:i/>
          <w:color w:val="000000"/>
          <w:sz w:val="24"/>
          <w:szCs w:val="24"/>
        </w:rPr>
        <w:t>Road Accident Fund</w:t>
      </w:r>
      <w:r>
        <w:rPr>
          <w:rFonts w:ascii="Arial" w:eastAsia="Times New Roman" w:hAnsi="Arial" w:cs="Arial"/>
          <w:color w:val="000000"/>
          <w:sz w:val="24"/>
          <w:szCs w:val="24"/>
        </w:rPr>
        <w:t xml:space="preserve"> and the present application.  First</w:t>
      </w:r>
      <w:r w:rsidR="0011303A">
        <w:rPr>
          <w:rFonts w:ascii="Arial" w:eastAsia="Times New Roman" w:hAnsi="Arial" w:cs="Arial"/>
          <w:color w:val="000000"/>
          <w:sz w:val="24"/>
          <w:szCs w:val="24"/>
        </w:rPr>
        <w:t>,</w:t>
      </w:r>
      <w:r>
        <w:rPr>
          <w:rFonts w:ascii="Arial" w:eastAsia="Times New Roman" w:hAnsi="Arial" w:cs="Arial"/>
          <w:color w:val="000000"/>
          <w:sz w:val="24"/>
          <w:szCs w:val="24"/>
        </w:rPr>
        <w:t xml:space="preserve"> the RAF is a statutory body established to compensate victims of motor vehicle accidents in South Africa.  The</w:t>
      </w:r>
      <w:r w:rsidR="0011303A">
        <w:rPr>
          <w:rFonts w:ascii="Arial" w:eastAsia="Times New Roman" w:hAnsi="Arial" w:cs="Arial"/>
          <w:color w:val="000000"/>
          <w:sz w:val="24"/>
          <w:szCs w:val="24"/>
        </w:rPr>
        <w:t xml:space="preserve">y are </w:t>
      </w:r>
      <w:r>
        <w:rPr>
          <w:rFonts w:ascii="Arial" w:eastAsia="Times New Roman" w:hAnsi="Arial" w:cs="Arial"/>
          <w:color w:val="000000"/>
          <w:sz w:val="24"/>
          <w:szCs w:val="24"/>
        </w:rPr>
        <w:t xml:space="preserve">not a wrongdoer in respect of any of the motor accidents and </w:t>
      </w:r>
      <w:r w:rsidR="0011303A">
        <w:rPr>
          <w:rFonts w:ascii="Arial" w:eastAsia="Times New Roman" w:hAnsi="Arial" w:cs="Arial"/>
          <w:color w:val="000000"/>
          <w:sz w:val="24"/>
          <w:szCs w:val="24"/>
        </w:rPr>
        <w:t>they</w:t>
      </w:r>
      <w:r>
        <w:rPr>
          <w:rFonts w:ascii="Arial" w:eastAsia="Times New Roman" w:hAnsi="Arial" w:cs="Arial"/>
          <w:color w:val="000000"/>
          <w:sz w:val="24"/>
          <w:szCs w:val="24"/>
        </w:rPr>
        <w:t xml:space="preserve"> compensate victims who suffer harm as a result of the negligence of others.  They have no control over the number of motor vehicle accidents or the injuries inflicted.  By contrast the plaintiff respondents have obtained judgment</w:t>
      </w:r>
      <w:r w:rsidR="0011303A">
        <w:rPr>
          <w:rFonts w:ascii="Arial" w:eastAsia="Times New Roman" w:hAnsi="Arial" w:cs="Arial"/>
          <w:color w:val="000000"/>
          <w:sz w:val="24"/>
          <w:szCs w:val="24"/>
        </w:rPr>
        <w:t>s</w:t>
      </w:r>
      <w:r>
        <w:rPr>
          <w:rFonts w:ascii="Arial" w:eastAsia="Times New Roman" w:hAnsi="Arial" w:cs="Arial"/>
          <w:color w:val="000000"/>
          <w:sz w:val="24"/>
          <w:szCs w:val="24"/>
        </w:rPr>
        <w:t xml:space="preserve"> to </w:t>
      </w:r>
      <w:r w:rsidR="0011303A">
        <w:rPr>
          <w:rFonts w:ascii="Arial" w:eastAsia="Times New Roman" w:hAnsi="Arial" w:cs="Arial"/>
          <w:color w:val="000000"/>
          <w:sz w:val="24"/>
          <w:szCs w:val="24"/>
        </w:rPr>
        <w:t>re</w:t>
      </w:r>
      <w:r>
        <w:rPr>
          <w:rFonts w:ascii="Arial" w:eastAsia="Times New Roman" w:hAnsi="Arial" w:cs="Arial"/>
          <w:color w:val="000000"/>
          <w:sz w:val="24"/>
          <w:szCs w:val="24"/>
        </w:rPr>
        <w:t xml:space="preserve">cover damages </w:t>
      </w:r>
      <w:r w:rsidR="0011303A">
        <w:rPr>
          <w:rFonts w:ascii="Arial" w:eastAsia="Times New Roman" w:hAnsi="Arial" w:cs="Arial"/>
          <w:color w:val="000000"/>
          <w:sz w:val="24"/>
          <w:szCs w:val="24"/>
        </w:rPr>
        <w:t xml:space="preserve">that arose </w:t>
      </w:r>
      <w:r>
        <w:rPr>
          <w:rFonts w:ascii="Arial" w:eastAsia="Times New Roman" w:hAnsi="Arial" w:cs="Arial"/>
          <w:color w:val="000000"/>
          <w:sz w:val="24"/>
          <w:szCs w:val="24"/>
        </w:rPr>
        <w:t xml:space="preserve">as a result of the wrongdoing of the ECDOH.  </w:t>
      </w:r>
    </w:p>
    <w:p w14:paraId="71D4C999" w14:textId="77777777" w:rsidR="00690E8D" w:rsidRDefault="00690E8D" w:rsidP="000B44A4">
      <w:pPr>
        <w:pStyle w:val="ListParagraph"/>
        <w:tabs>
          <w:tab w:val="left" w:pos="0"/>
        </w:tabs>
        <w:spacing w:after="0" w:line="480" w:lineRule="auto"/>
        <w:ind w:left="0"/>
        <w:jc w:val="both"/>
        <w:rPr>
          <w:rFonts w:ascii="Arial" w:eastAsia="Times New Roman" w:hAnsi="Arial" w:cs="Arial"/>
          <w:color w:val="000000"/>
          <w:sz w:val="24"/>
          <w:szCs w:val="24"/>
        </w:rPr>
      </w:pPr>
    </w:p>
    <w:p w14:paraId="0B46EC1F" w14:textId="77777777" w:rsidR="00690E8D" w:rsidRDefault="00690E8D" w:rsidP="000B44A4">
      <w:pPr>
        <w:pStyle w:val="ListParagraph"/>
        <w:numPr>
          <w:ilvl w:val="0"/>
          <w:numId w:val="20"/>
        </w:numPr>
        <w:tabs>
          <w:tab w:val="left" w:pos="0"/>
        </w:tabs>
        <w:spacing w:after="0" w:line="480" w:lineRule="auto"/>
        <w:ind w:left="0" w:firstLine="0"/>
        <w:jc w:val="both"/>
        <w:rPr>
          <w:rFonts w:ascii="Arial" w:eastAsia="Times New Roman" w:hAnsi="Arial" w:cs="Arial"/>
          <w:color w:val="000000"/>
          <w:sz w:val="24"/>
          <w:szCs w:val="24"/>
        </w:rPr>
      </w:pPr>
      <w:r>
        <w:rPr>
          <w:rFonts w:ascii="Arial" w:eastAsia="Times New Roman" w:hAnsi="Arial" w:cs="Arial"/>
          <w:color w:val="000000"/>
          <w:sz w:val="24"/>
          <w:szCs w:val="24"/>
        </w:rPr>
        <w:t xml:space="preserve">Second, the RAF has no control over the extent of its finances.  </w:t>
      </w:r>
      <w:r w:rsidR="0011303A">
        <w:rPr>
          <w:rFonts w:ascii="Arial" w:eastAsia="Times New Roman" w:hAnsi="Arial" w:cs="Arial"/>
          <w:color w:val="000000"/>
          <w:sz w:val="24"/>
          <w:szCs w:val="24"/>
        </w:rPr>
        <w:t>It is</w:t>
      </w:r>
      <w:r>
        <w:rPr>
          <w:rFonts w:ascii="Arial" w:eastAsia="Times New Roman" w:hAnsi="Arial" w:cs="Arial"/>
          <w:color w:val="000000"/>
          <w:sz w:val="24"/>
          <w:szCs w:val="24"/>
        </w:rPr>
        <w:t xml:space="preserve"> predetermined </w:t>
      </w:r>
      <w:r w:rsidR="008A01AC">
        <w:rPr>
          <w:rFonts w:ascii="Arial" w:eastAsia="Times New Roman" w:hAnsi="Arial" w:cs="Arial"/>
          <w:color w:val="000000"/>
          <w:sz w:val="24"/>
          <w:szCs w:val="24"/>
        </w:rPr>
        <w:t>by</w:t>
      </w:r>
      <w:r>
        <w:rPr>
          <w:rFonts w:ascii="Arial" w:eastAsia="Times New Roman" w:hAnsi="Arial" w:cs="Arial"/>
          <w:color w:val="000000"/>
          <w:sz w:val="24"/>
          <w:szCs w:val="24"/>
        </w:rPr>
        <w:t xml:space="preserve"> the volume of fuel sold.  By contrast, as I have shown, the applicants are funded partly by national government</w:t>
      </w:r>
      <w:r w:rsidR="008A01AC">
        <w:rPr>
          <w:rFonts w:ascii="Arial" w:eastAsia="Times New Roman" w:hAnsi="Arial" w:cs="Arial"/>
          <w:color w:val="000000"/>
          <w:sz w:val="24"/>
          <w:szCs w:val="24"/>
        </w:rPr>
        <w:t>,</w:t>
      </w:r>
      <w:r>
        <w:rPr>
          <w:rFonts w:ascii="Arial" w:eastAsia="Times New Roman" w:hAnsi="Arial" w:cs="Arial"/>
          <w:color w:val="000000"/>
          <w:sz w:val="24"/>
          <w:szCs w:val="24"/>
        </w:rPr>
        <w:t xml:space="preserve"> in respect of a competency which they share with national government</w:t>
      </w:r>
      <w:r w:rsidR="008A01AC">
        <w:rPr>
          <w:rFonts w:ascii="Arial" w:eastAsia="Times New Roman" w:hAnsi="Arial" w:cs="Arial"/>
          <w:color w:val="000000"/>
          <w:sz w:val="24"/>
          <w:szCs w:val="24"/>
        </w:rPr>
        <w:t>, and they have</w:t>
      </w:r>
      <w:r>
        <w:rPr>
          <w:rFonts w:ascii="Arial" w:eastAsia="Times New Roman" w:hAnsi="Arial" w:cs="Arial"/>
          <w:color w:val="000000"/>
          <w:sz w:val="24"/>
          <w:szCs w:val="24"/>
        </w:rPr>
        <w:t xml:space="preserve"> it within their means to raise further revenue of their own</w:t>
      </w:r>
      <w:r w:rsidR="0011303A">
        <w:rPr>
          <w:rFonts w:ascii="Arial" w:eastAsia="Times New Roman" w:hAnsi="Arial" w:cs="Arial"/>
          <w:color w:val="000000"/>
          <w:sz w:val="24"/>
          <w:szCs w:val="24"/>
        </w:rPr>
        <w:t xml:space="preserve"> by passing legislation and raising taxes</w:t>
      </w:r>
      <w:r>
        <w:rPr>
          <w:rFonts w:ascii="Arial" w:eastAsia="Times New Roman" w:hAnsi="Arial" w:cs="Arial"/>
          <w:color w:val="000000"/>
          <w:sz w:val="24"/>
          <w:szCs w:val="24"/>
        </w:rPr>
        <w:t>.</w:t>
      </w:r>
    </w:p>
    <w:p w14:paraId="3ADD065A" w14:textId="77777777" w:rsidR="00690E8D" w:rsidRDefault="00690E8D" w:rsidP="000B44A4">
      <w:pPr>
        <w:pStyle w:val="ListParagraph"/>
        <w:tabs>
          <w:tab w:val="left" w:pos="0"/>
        </w:tabs>
        <w:spacing w:after="0" w:line="480" w:lineRule="auto"/>
        <w:ind w:left="0"/>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14:paraId="4C49812A" w14:textId="3ED6EBCB" w:rsidR="00690E8D" w:rsidRDefault="00690E8D" w:rsidP="000B44A4">
      <w:pPr>
        <w:pStyle w:val="ListParagraph"/>
        <w:numPr>
          <w:ilvl w:val="0"/>
          <w:numId w:val="20"/>
        </w:numPr>
        <w:tabs>
          <w:tab w:val="left" w:pos="0"/>
        </w:tabs>
        <w:spacing w:after="0" w:line="480" w:lineRule="auto"/>
        <w:ind w:left="0" w:firstLine="0"/>
        <w:jc w:val="both"/>
        <w:rPr>
          <w:rFonts w:ascii="Arial" w:eastAsia="Times New Roman" w:hAnsi="Arial" w:cs="Arial"/>
          <w:color w:val="000000"/>
          <w:sz w:val="24"/>
          <w:szCs w:val="24"/>
        </w:rPr>
      </w:pPr>
      <w:r>
        <w:rPr>
          <w:rFonts w:ascii="Arial" w:eastAsia="Times New Roman" w:hAnsi="Arial" w:cs="Arial"/>
          <w:color w:val="000000"/>
          <w:sz w:val="24"/>
          <w:szCs w:val="24"/>
        </w:rPr>
        <w:t>Third, the RAF approached the court for a suspension of execution in order to enable them to pay the judgment debts for which they were liable.  In particular, they did not seek an order for a stay of payments or payment of interest.  By contrast the applicants have come to court to stay the execution of judgments in order to</w:t>
      </w:r>
      <w:r w:rsidR="0011303A">
        <w:rPr>
          <w:rFonts w:ascii="Arial" w:eastAsia="Times New Roman" w:hAnsi="Arial" w:cs="Arial"/>
          <w:color w:val="000000"/>
          <w:sz w:val="24"/>
          <w:szCs w:val="24"/>
        </w:rPr>
        <w:t xml:space="preserve"> afford them time to</w:t>
      </w:r>
      <w:r>
        <w:rPr>
          <w:rFonts w:ascii="Arial" w:eastAsia="Times New Roman" w:hAnsi="Arial" w:cs="Arial"/>
          <w:color w:val="000000"/>
          <w:sz w:val="24"/>
          <w:szCs w:val="24"/>
        </w:rPr>
        <w:t xml:space="preserve"> vary the judgment</w:t>
      </w:r>
      <w:r w:rsidR="0011303A">
        <w:rPr>
          <w:rFonts w:ascii="Arial" w:eastAsia="Times New Roman" w:hAnsi="Arial" w:cs="Arial"/>
          <w:color w:val="000000"/>
          <w:sz w:val="24"/>
          <w:szCs w:val="24"/>
        </w:rPr>
        <w:t>s</w:t>
      </w:r>
      <w:r>
        <w:rPr>
          <w:rFonts w:ascii="Arial" w:eastAsia="Times New Roman" w:hAnsi="Arial" w:cs="Arial"/>
          <w:color w:val="000000"/>
          <w:sz w:val="24"/>
          <w:szCs w:val="24"/>
        </w:rPr>
        <w:t xml:space="preserve">.  For </w:t>
      </w:r>
      <w:r w:rsidR="0011303A">
        <w:rPr>
          <w:rFonts w:ascii="Arial" w:eastAsia="Times New Roman" w:hAnsi="Arial" w:cs="Arial"/>
          <w:color w:val="000000"/>
          <w:sz w:val="24"/>
          <w:szCs w:val="24"/>
        </w:rPr>
        <w:t xml:space="preserve">the </w:t>
      </w:r>
      <w:r>
        <w:rPr>
          <w:rFonts w:ascii="Arial" w:eastAsia="Times New Roman" w:hAnsi="Arial" w:cs="Arial"/>
          <w:color w:val="000000"/>
          <w:sz w:val="24"/>
          <w:szCs w:val="24"/>
        </w:rPr>
        <w:t xml:space="preserve">reasons set out earlier </w:t>
      </w:r>
      <w:r w:rsidR="0011303A">
        <w:rPr>
          <w:rFonts w:ascii="Arial" w:eastAsia="Times New Roman" w:hAnsi="Arial" w:cs="Arial"/>
          <w:color w:val="000000"/>
          <w:sz w:val="24"/>
          <w:szCs w:val="24"/>
        </w:rPr>
        <w:t xml:space="preserve">it seems to me that </w:t>
      </w:r>
      <w:r>
        <w:rPr>
          <w:rFonts w:ascii="Arial" w:eastAsia="Times New Roman" w:hAnsi="Arial" w:cs="Arial"/>
          <w:color w:val="000000"/>
          <w:sz w:val="24"/>
          <w:szCs w:val="24"/>
        </w:rPr>
        <w:t>is not merely procedural</w:t>
      </w:r>
      <w:r w:rsidR="0011303A">
        <w:rPr>
          <w:rFonts w:ascii="Arial" w:eastAsia="Times New Roman" w:hAnsi="Arial" w:cs="Arial"/>
          <w:color w:val="000000"/>
          <w:sz w:val="24"/>
          <w:szCs w:val="24"/>
        </w:rPr>
        <w:t>,</w:t>
      </w:r>
      <w:r>
        <w:rPr>
          <w:rFonts w:ascii="Arial" w:eastAsia="Times New Roman" w:hAnsi="Arial" w:cs="Arial"/>
          <w:color w:val="000000"/>
          <w:sz w:val="24"/>
          <w:szCs w:val="24"/>
        </w:rPr>
        <w:t xml:space="preserve"> but </w:t>
      </w:r>
      <w:r w:rsidR="0011303A">
        <w:rPr>
          <w:rFonts w:ascii="Arial" w:eastAsia="Times New Roman" w:hAnsi="Arial" w:cs="Arial"/>
          <w:color w:val="000000"/>
          <w:sz w:val="24"/>
          <w:szCs w:val="24"/>
        </w:rPr>
        <w:t>the proposed variation would change</w:t>
      </w:r>
      <w:r>
        <w:rPr>
          <w:rFonts w:ascii="Arial" w:eastAsia="Times New Roman" w:hAnsi="Arial" w:cs="Arial"/>
          <w:color w:val="000000"/>
          <w:sz w:val="24"/>
          <w:szCs w:val="24"/>
        </w:rPr>
        <w:t xml:space="preserve"> the substance of what the plaintiff respondents would receive.  After a final judgment </w:t>
      </w:r>
      <w:r w:rsidR="008A01AC">
        <w:rPr>
          <w:rFonts w:ascii="Arial" w:eastAsia="Times New Roman" w:hAnsi="Arial" w:cs="Arial"/>
          <w:color w:val="000000"/>
          <w:sz w:val="24"/>
          <w:szCs w:val="24"/>
        </w:rPr>
        <w:t xml:space="preserve">resulting from a settlement </w:t>
      </w:r>
      <w:r>
        <w:rPr>
          <w:rFonts w:ascii="Arial" w:eastAsia="Times New Roman" w:hAnsi="Arial" w:cs="Arial"/>
          <w:color w:val="000000"/>
          <w:sz w:val="24"/>
          <w:szCs w:val="24"/>
        </w:rPr>
        <w:t>has been given a court does not</w:t>
      </w:r>
      <w:r w:rsidR="00103878">
        <w:rPr>
          <w:rFonts w:ascii="Arial" w:eastAsia="Times New Roman" w:hAnsi="Arial" w:cs="Arial"/>
          <w:color w:val="000000"/>
          <w:sz w:val="24"/>
          <w:szCs w:val="24"/>
        </w:rPr>
        <w:t>, at common law</w:t>
      </w:r>
      <w:r w:rsidR="003E639C">
        <w:rPr>
          <w:rFonts w:ascii="Arial" w:eastAsia="Times New Roman" w:hAnsi="Arial" w:cs="Arial"/>
          <w:color w:val="000000"/>
          <w:sz w:val="24"/>
          <w:szCs w:val="24"/>
        </w:rPr>
        <w:t>,</w:t>
      </w:r>
      <w:r>
        <w:rPr>
          <w:rFonts w:ascii="Arial" w:eastAsia="Times New Roman" w:hAnsi="Arial" w:cs="Arial"/>
          <w:color w:val="000000"/>
          <w:sz w:val="24"/>
          <w:szCs w:val="24"/>
        </w:rPr>
        <w:t xml:space="preserve"> have the</w:t>
      </w:r>
      <w:r w:rsidR="0011303A">
        <w:rPr>
          <w:rFonts w:ascii="Arial" w:eastAsia="Times New Roman" w:hAnsi="Arial" w:cs="Arial"/>
          <w:color w:val="000000"/>
          <w:sz w:val="24"/>
          <w:szCs w:val="24"/>
        </w:rPr>
        <w:t xml:space="preserve"> jurisdiction to </w:t>
      </w:r>
      <w:r w:rsidR="0011303A">
        <w:rPr>
          <w:rFonts w:ascii="Arial" w:eastAsia="Times New Roman" w:hAnsi="Arial" w:cs="Arial"/>
          <w:color w:val="000000"/>
          <w:sz w:val="24"/>
          <w:szCs w:val="24"/>
        </w:rPr>
        <w:lastRenderedPageBreak/>
        <w:t>vary the order, save in limited circumstances, such as fraud</w:t>
      </w:r>
      <w:r w:rsidR="00103878">
        <w:rPr>
          <w:rFonts w:ascii="Arial" w:eastAsia="Times New Roman" w:hAnsi="Arial" w:cs="Arial"/>
          <w:color w:val="000000"/>
          <w:sz w:val="24"/>
          <w:szCs w:val="24"/>
        </w:rPr>
        <w:t xml:space="preserve">, </w:t>
      </w:r>
      <w:r w:rsidR="008A01AC">
        <w:rPr>
          <w:rFonts w:ascii="Arial" w:eastAsia="Times New Roman" w:hAnsi="Arial" w:cs="Arial"/>
          <w:color w:val="000000"/>
          <w:sz w:val="24"/>
          <w:szCs w:val="24"/>
        </w:rPr>
        <w:t xml:space="preserve">or </w:t>
      </w:r>
      <w:r w:rsidR="00103878">
        <w:rPr>
          <w:rFonts w:ascii="Arial" w:eastAsia="Times New Roman" w:hAnsi="Arial" w:cs="Arial"/>
          <w:color w:val="000000"/>
          <w:sz w:val="24"/>
          <w:szCs w:val="24"/>
        </w:rPr>
        <w:t xml:space="preserve">perhaps </w:t>
      </w:r>
      <w:r w:rsidR="008A01AC">
        <w:rPr>
          <w:rFonts w:ascii="Arial" w:eastAsia="Times New Roman" w:hAnsi="Arial" w:cs="Arial"/>
          <w:i/>
          <w:color w:val="000000"/>
          <w:sz w:val="24"/>
          <w:szCs w:val="24"/>
        </w:rPr>
        <w:t>iustus error</w:t>
      </w:r>
      <w:r w:rsidR="0011303A">
        <w:rPr>
          <w:rFonts w:ascii="Arial" w:eastAsia="Times New Roman" w:hAnsi="Arial" w:cs="Arial"/>
          <w:color w:val="000000"/>
          <w:sz w:val="24"/>
          <w:szCs w:val="24"/>
        </w:rPr>
        <w:t>.</w:t>
      </w:r>
      <w:r w:rsidR="0011303A">
        <w:rPr>
          <w:rStyle w:val="FootnoteReference"/>
          <w:rFonts w:ascii="Arial" w:eastAsia="Times New Roman" w:hAnsi="Arial" w:cs="Arial"/>
          <w:color w:val="000000"/>
          <w:sz w:val="24"/>
          <w:szCs w:val="24"/>
        </w:rPr>
        <w:footnoteReference w:id="106"/>
      </w:r>
      <w:r w:rsidR="008A01AC">
        <w:rPr>
          <w:rFonts w:ascii="Arial" w:eastAsia="Times New Roman" w:hAnsi="Arial" w:cs="Arial"/>
          <w:color w:val="000000"/>
          <w:sz w:val="24"/>
          <w:szCs w:val="24"/>
        </w:rPr>
        <w:t xml:space="preserve">  Neither can arise in this case.</w:t>
      </w:r>
    </w:p>
    <w:p w14:paraId="3AECF343" w14:textId="77777777" w:rsidR="00690E8D" w:rsidRDefault="00690E8D" w:rsidP="000B44A4">
      <w:pPr>
        <w:pStyle w:val="ListParagraph"/>
        <w:tabs>
          <w:tab w:val="left" w:pos="0"/>
        </w:tabs>
        <w:spacing w:after="0" w:line="480" w:lineRule="auto"/>
        <w:ind w:left="0"/>
        <w:jc w:val="both"/>
        <w:rPr>
          <w:rFonts w:ascii="Arial" w:eastAsia="Times New Roman" w:hAnsi="Arial" w:cs="Arial"/>
          <w:color w:val="000000"/>
          <w:sz w:val="24"/>
          <w:szCs w:val="24"/>
        </w:rPr>
      </w:pPr>
    </w:p>
    <w:p w14:paraId="2F3D245D" w14:textId="107ED5AA" w:rsidR="00690E8D" w:rsidRDefault="00690E8D" w:rsidP="000B44A4">
      <w:pPr>
        <w:pStyle w:val="ListParagraph"/>
        <w:numPr>
          <w:ilvl w:val="0"/>
          <w:numId w:val="20"/>
        </w:numPr>
        <w:tabs>
          <w:tab w:val="left" w:pos="0"/>
        </w:tabs>
        <w:spacing w:after="0" w:line="480" w:lineRule="auto"/>
        <w:ind w:left="0" w:firstLine="0"/>
        <w:jc w:val="both"/>
        <w:rPr>
          <w:rFonts w:ascii="Arial" w:eastAsia="Times New Roman" w:hAnsi="Arial" w:cs="Arial"/>
          <w:color w:val="000000"/>
          <w:sz w:val="24"/>
          <w:szCs w:val="24"/>
        </w:rPr>
      </w:pPr>
      <w:r>
        <w:rPr>
          <w:rFonts w:ascii="Arial" w:eastAsia="Times New Roman" w:hAnsi="Arial" w:cs="Arial"/>
          <w:color w:val="000000"/>
          <w:sz w:val="24"/>
          <w:szCs w:val="24"/>
        </w:rPr>
        <w:t>Fourth, the RAF has at its disposal an “offer to pay defence</w:t>
      </w:r>
      <w:r w:rsidR="00E10758">
        <w:rPr>
          <w:rFonts w:ascii="Arial" w:eastAsia="Times New Roman" w:hAnsi="Arial" w:cs="Arial"/>
          <w:color w:val="000000"/>
          <w:sz w:val="24"/>
          <w:szCs w:val="24"/>
        </w:rPr>
        <w:t>”</w:t>
      </w:r>
      <w:r w:rsidR="00520A90">
        <w:rPr>
          <w:rFonts w:ascii="Arial" w:eastAsia="Times New Roman" w:hAnsi="Arial" w:cs="Arial"/>
          <w:color w:val="000000"/>
          <w:sz w:val="24"/>
          <w:szCs w:val="24"/>
        </w:rPr>
        <w:t>.</w:t>
      </w:r>
      <w:r>
        <w:rPr>
          <w:rStyle w:val="FootnoteReference"/>
          <w:rFonts w:ascii="Arial" w:eastAsia="Times New Roman" w:hAnsi="Arial" w:cs="Arial"/>
          <w:color w:val="000000"/>
          <w:sz w:val="24"/>
          <w:szCs w:val="24"/>
        </w:rPr>
        <w:footnoteReference w:id="107"/>
      </w:r>
      <w:r w:rsidR="00520A90">
        <w:rPr>
          <w:rFonts w:ascii="Arial" w:eastAsia="Times New Roman" w:hAnsi="Arial" w:cs="Arial"/>
          <w:color w:val="000000"/>
          <w:sz w:val="24"/>
          <w:szCs w:val="24"/>
        </w:rPr>
        <w:t xml:space="preserve">  Years of experience in our courts have shown that the RAF invariably invokes </w:t>
      </w:r>
      <w:r w:rsidR="00F83910">
        <w:rPr>
          <w:rFonts w:ascii="Arial" w:eastAsia="Times New Roman" w:hAnsi="Arial" w:cs="Arial"/>
          <w:color w:val="000000"/>
          <w:sz w:val="24"/>
          <w:szCs w:val="24"/>
        </w:rPr>
        <w:t xml:space="preserve">the </w:t>
      </w:r>
      <w:r w:rsidR="00520A90">
        <w:rPr>
          <w:rFonts w:ascii="Arial" w:eastAsia="Times New Roman" w:hAnsi="Arial" w:cs="Arial"/>
          <w:color w:val="000000"/>
          <w:sz w:val="24"/>
          <w:szCs w:val="24"/>
        </w:rPr>
        <w:t>provisions of        s 17(4) of the RAF A</w:t>
      </w:r>
      <w:r w:rsidR="00F83910">
        <w:rPr>
          <w:rFonts w:ascii="Arial" w:eastAsia="Times New Roman" w:hAnsi="Arial" w:cs="Arial"/>
          <w:color w:val="000000"/>
          <w:sz w:val="24"/>
          <w:szCs w:val="24"/>
        </w:rPr>
        <w:t>ct.  No suspension of the undertaking</w:t>
      </w:r>
      <w:r w:rsidR="00103878">
        <w:rPr>
          <w:rFonts w:ascii="Arial" w:eastAsia="Times New Roman" w:hAnsi="Arial" w:cs="Arial"/>
          <w:color w:val="000000"/>
          <w:sz w:val="24"/>
          <w:szCs w:val="24"/>
        </w:rPr>
        <w:t>s given</w:t>
      </w:r>
      <w:r w:rsidR="00F83910">
        <w:rPr>
          <w:rFonts w:ascii="Arial" w:eastAsia="Times New Roman" w:hAnsi="Arial" w:cs="Arial"/>
          <w:color w:val="000000"/>
          <w:sz w:val="24"/>
          <w:szCs w:val="24"/>
        </w:rPr>
        <w:t xml:space="preserve"> was sought in </w:t>
      </w:r>
      <w:r w:rsidR="00F83910">
        <w:rPr>
          <w:rFonts w:ascii="Arial" w:eastAsia="Times New Roman" w:hAnsi="Arial" w:cs="Arial"/>
          <w:i/>
          <w:color w:val="000000"/>
          <w:sz w:val="24"/>
          <w:szCs w:val="24"/>
        </w:rPr>
        <w:t>Road Accident Fund</w:t>
      </w:r>
      <w:r w:rsidR="008A01AC">
        <w:rPr>
          <w:rFonts w:ascii="Arial" w:eastAsia="Times New Roman" w:hAnsi="Arial" w:cs="Arial"/>
          <w:color w:val="000000"/>
          <w:sz w:val="24"/>
          <w:szCs w:val="24"/>
        </w:rPr>
        <w:t xml:space="preserve"> and v</w:t>
      </w:r>
      <w:r w:rsidR="00520A90">
        <w:rPr>
          <w:rFonts w:ascii="Arial" w:eastAsia="Times New Roman" w:hAnsi="Arial" w:cs="Arial"/>
          <w:color w:val="000000"/>
          <w:sz w:val="24"/>
          <w:szCs w:val="24"/>
        </w:rPr>
        <w:t xml:space="preserve">ictims </w:t>
      </w:r>
      <w:r w:rsidR="00F83910">
        <w:rPr>
          <w:rFonts w:ascii="Arial" w:eastAsia="Times New Roman" w:hAnsi="Arial" w:cs="Arial"/>
          <w:color w:val="000000"/>
          <w:sz w:val="24"/>
          <w:szCs w:val="24"/>
        </w:rPr>
        <w:t>of road accidents who had</w:t>
      </w:r>
      <w:r w:rsidR="00520A90">
        <w:rPr>
          <w:rFonts w:ascii="Arial" w:eastAsia="Times New Roman" w:hAnsi="Arial" w:cs="Arial"/>
          <w:color w:val="000000"/>
          <w:sz w:val="24"/>
          <w:szCs w:val="24"/>
        </w:rPr>
        <w:t xml:space="preserve"> obtained judgment against the RAF were therefore at liberty to obtain all services covered by s 17(4) of the RAF Act including, home care, adaptation of homes</w:t>
      </w:r>
      <w:r w:rsidR="00F83910">
        <w:rPr>
          <w:rFonts w:ascii="Arial" w:eastAsia="Times New Roman" w:hAnsi="Arial" w:cs="Arial"/>
          <w:color w:val="000000"/>
          <w:sz w:val="24"/>
          <w:szCs w:val="24"/>
        </w:rPr>
        <w:t xml:space="preserve"> and</w:t>
      </w:r>
      <w:r w:rsidR="00520A90">
        <w:rPr>
          <w:rFonts w:ascii="Arial" w:eastAsia="Times New Roman" w:hAnsi="Arial" w:cs="Arial"/>
          <w:color w:val="000000"/>
          <w:sz w:val="24"/>
          <w:szCs w:val="24"/>
        </w:rPr>
        <w:t xml:space="preserve"> motor vehicles and the like.  By contrast, the applicants require the plaintiff respondents to utilise the </w:t>
      </w:r>
      <w:r w:rsidR="00F83910">
        <w:rPr>
          <w:rFonts w:ascii="Arial" w:eastAsia="Times New Roman" w:hAnsi="Arial" w:cs="Arial"/>
          <w:color w:val="000000"/>
          <w:sz w:val="24"/>
          <w:szCs w:val="24"/>
        </w:rPr>
        <w:t>initial payment</w:t>
      </w:r>
      <w:r w:rsidR="008048CB">
        <w:rPr>
          <w:rFonts w:ascii="Arial" w:eastAsia="Times New Roman" w:hAnsi="Arial" w:cs="Arial"/>
          <w:color w:val="000000"/>
          <w:sz w:val="24"/>
          <w:szCs w:val="24"/>
        </w:rPr>
        <w:t xml:space="preserve"> </w:t>
      </w:r>
      <w:r w:rsidR="00520A90">
        <w:rPr>
          <w:rFonts w:ascii="Arial" w:eastAsia="Times New Roman" w:hAnsi="Arial" w:cs="Arial"/>
          <w:color w:val="000000"/>
          <w:sz w:val="24"/>
          <w:szCs w:val="24"/>
        </w:rPr>
        <w:t xml:space="preserve">tendered for </w:t>
      </w:r>
      <w:r w:rsidR="00315317">
        <w:rPr>
          <w:rFonts w:ascii="Arial" w:eastAsia="Times New Roman" w:hAnsi="Arial" w:cs="Arial"/>
          <w:color w:val="000000"/>
          <w:sz w:val="24"/>
          <w:szCs w:val="24"/>
        </w:rPr>
        <w:t>medical</w:t>
      </w:r>
      <w:r w:rsidR="00520A90">
        <w:rPr>
          <w:rFonts w:ascii="Arial" w:eastAsia="Times New Roman" w:hAnsi="Arial" w:cs="Arial"/>
          <w:color w:val="000000"/>
          <w:sz w:val="24"/>
          <w:szCs w:val="24"/>
        </w:rPr>
        <w:t xml:space="preserve"> expenses and tender</w:t>
      </w:r>
      <w:r w:rsidR="00556E45">
        <w:rPr>
          <w:rFonts w:ascii="Arial" w:eastAsia="Times New Roman" w:hAnsi="Arial" w:cs="Arial"/>
          <w:color w:val="000000"/>
          <w:sz w:val="24"/>
          <w:szCs w:val="24"/>
        </w:rPr>
        <w:t xml:space="preserve">ed </w:t>
      </w:r>
      <w:r w:rsidR="00520A90">
        <w:rPr>
          <w:rFonts w:ascii="Arial" w:eastAsia="Times New Roman" w:hAnsi="Arial" w:cs="Arial"/>
          <w:color w:val="000000"/>
          <w:sz w:val="24"/>
          <w:szCs w:val="24"/>
        </w:rPr>
        <w:t>further treatment at the applicants’ facilities, failing which, the said plaintiff respondents may apply to court for further relief.  There are two fundamental difficulties which flow from the tender.  First there is no attempt in the papers to establish that the particular treatment</w:t>
      </w:r>
      <w:r w:rsidR="008A01AC">
        <w:rPr>
          <w:rFonts w:ascii="Arial" w:eastAsia="Times New Roman" w:hAnsi="Arial" w:cs="Arial"/>
          <w:color w:val="000000"/>
          <w:sz w:val="24"/>
          <w:szCs w:val="24"/>
        </w:rPr>
        <w:t>,</w:t>
      </w:r>
      <w:r w:rsidR="00520A90">
        <w:rPr>
          <w:rFonts w:ascii="Arial" w:eastAsia="Times New Roman" w:hAnsi="Arial" w:cs="Arial"/>
          <w:color w:val="000000"/>
          <w:sz w:val="24"/>
          <w:szCs w:val="24"/>
        </w:rPr>
        <w:t xml:space="preserve"> required by the plaintiff respondents or the injured parties</w:t>
      </w:r>
      <w:r w:rsidR="008A01AC">
        <w:rPr>
          <w:rFonts w:ascii="Arial" w:eastAsia="Times New Roman" w:hAnsi="Arial" w:cs="Arial"/>
          <w:color w:val="000000"/>
          <w:sz w:val="24"/>
          <w:szCs w:val="24"/>
        </w:rPr>
        <w:t>,</w:t>
      </w:r>
      <w:r w:rsidR="00520A90">
        <w:rPr>
          <w:rFonts w:ascii="Arial" w:eastAsia="Times New Roman" w:hAnsi="Arial" w:cs="Arial"/>
          <w:color w:val="000000"/>
          <w:sz w:val="24"/>
          <w:szCs w:val="24"/>
        </w:rPr>
        <w:t xml:space="preserve"> is available at a health care institution at a centre where they may be resident.  Second, </w:t>
      </w:r>
      <w:r w:rsidR="00110DA8">
        <w:rPr>
          <w:rFonts w:ascii="Arial" w:eastAsia="Times New Roman" w:hAnsi="Arial" w:cs="Arial"/>
          <w:color w:val="000000"/>
          <w:sz w:val="24"/>
          <w:szCs w:val="24"/>
        </w:rPr>
        <w:t>it requires of indigent parties to litigate again in order to obtain treatment</w:t>
      </w:r>
      <w:r w:rsidR="002A1794">
        <w:rPr>
          <w:rFonts w:ascii="Arial" w:eastAsia="Times New Roman" w:hAnsi="Arial" w:cs="Arial"/>
          <w:color w:val="000000"/>
          <w:sz w:val="24"/>
          <w:szCs w:val="24"/>
        </w:rPr>
        <w:t>,</w:t>
      </w:r>
      <w:r w:rsidR="00110DA8">
        <w:rPr>
          <w:rFonts w:ascii="Arial" w:eastAsia="Times New Roman" w:hAnsi="Arial" w:cs="Arial"/>
          <w:color w:val="000000"/>
          <w:sz w:val="24"/>
          <w:szCs w:val="24"/>
        </w:rPr>
        <w:t xml:space="preserve"> where such treatment is not available close to their residence</w:t>
      </w:r>
      <w:r w:rsidR="00315317">
        <w:rPr>
          <w:rFonts w:ascii="Arial" w:eastAsia="Times New Roman" w:hAnsi="Arial" w:cs="Arial"/>
          <w:color w:val="000000"/>
          <w:sz w:val="24"/>
          <w:szCs w:val="24"/>
        </w:rPr>
        <w:t>, when an award in respect thereof has already been made</w:t>
      </w:r>
      <w:r w:rsidR="00110DA8">
        <w:rPr>
          <w:rFonts w:ascii="Arial" w:eastAsia="Times New Roman" w:hAnsi="Arial" w:cs="Arial"/>
          <w:color w:val="000000"/>
          <w:sz w:val="24"/>
          <w:szCs w:val="24"/>
        </w:rPr>
        <w:t xml:space="preserve">.  I can </w:t>
      </w:r>
      <w:r w:rsidR="00AB36EB">
        <w:rPr>
          <w:rFonts w:ascii="Arial" w:eastAsia="Times New Roman" w:hAnsi="Arial" w:cs="Arial"/>
          <w:color w:val="000000"/>
          <w:sz w:val="24"/>
          <w:szCs w:val="24"/>
        </w:rPr>
        <w:t>conceive</w:t>
      </w:r>
      <w:r w:rsidR="00110DA8">
        <w:rPr>
          <w:rFonts w:ascii="Arial" w:eastAsia="Times New Roman" w:hAnsi="Arial" w:cs="Arial"/>
          <w:color w:val="000000"/>
          <w:sz w:val="24"/>
          <w:szCs w:val="24"/>
        </w:rPr>
        <w:t xml:space="preserve"> no justification to subject successful litigants to this hardship.  </w:t>
      </w:r>
    </w:p>
    <w:p w14:paraId="57A8C126" w14:textId="77777777" w:rsidR="002D64E3" w:rsidRDefault="002D64E3" w:rsidP="000B44A4">
      <w:pPr>
        <w:pStyle w:val="ListParagraph"/>
        <w:tabs>
          <w:tab w:val="left" w:pos="0"/>
        </w:tabs>
        <w:spacing w:after="0" w:line="480" w:lineRule="auto"/>
        <w:ind w:left="0"/>
        <w:jc w:val="both"/>
        <w:rPr>
          <w:rFonts w:ascii="Arial" w:eastAsia="Times New Roman" w:hAnsi="Arial" w:cs="Arial"/>
          <w:color w:val="000000"/>
          <w:sz w:val="24"/>
          <w:szCs w:val="24"/>
        </w:rPr>
      </w:pPr>
    </w:p>
    <w:p w14:paraId="0006C5F2" w14:textId="77777777" w:rsidR="00110DA8" w:rsidRDefault="00110DA8" w:rsidP="000B44A4">
      <w:pPr>
        <w:pStyle w:val="ListParagraph"/>
        <w:numPr>
          <w:ilvl w:val="0"/>
          <w:numId w:val="20"/>
        </w:numPr>
        <w:tabs>
          <w:tab w:val="left" w:pos="0"/>
        </w:tabs>
        <w:spacing w:after="0" w:line="480" w:lineRule="auto"/>
        <w:ind w:left="0" w:firstLine="0"/>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In addition, the constitutional issue flowing from s 9 of the Constitution referred to earlier find</w:t>
      </w:r>
      <w:r w:rsidR="002A1794">
        <w:rPr>
          <w:rFonts w:ascii="Arial" w:eastAsia="Times New Roman" w:hAnsi="Arial" w:cs="Arial"/>
          <w:color w:val="000000"/>
          <w:sz w:val="24"/>
          <w:szCs w:val="24"/>
        </w:rPr>
        <w:t>s</w:t>
      </w:r>
      <w:r>
        <w:rPr>
          <w:rFonts w:ascii="Arial" w:eastAsia="Times New Roman" w:hAnsi="Arial" w:cs="Arial"/>
          <w:color w:val="000000"/>
          <w:sz w:val="24"/>
          <w:szCs w:val="24"/>
        </w:rPr>
        <w:t xml:space="preserve"> equal application to relief sought in the third draft. For these reasons </w:t>
      </w:r>
      <w:r w:rsidR="008A01AC">
        <w:rPr>
          <w:rFonts w:ascii="Arial" w:eastAsia="Times New Roman" w:hAnsi="Arial" w:cs="Arial"/>
          <w:color w:val="000000"/>
          <w:sz w:val="24"/>
          <w:szCs w:val="24"/>
        </w:rPr>
        <w:t>I am unable to find that justice demands the relief sought.  The</w:t>
      </w:r>
      <w:r>
        <w:rPr>
          <w:rFonts w:ascii="Arial" w:eastAsia="Times New Roman" w:hAnsi="Arial" w:cs="Arial"/>
          <w:color w:val="000000"/>
          <w:sz w:val="24"/>
          <w:szCs w:val="24"/>
        </w:rPr>
        <w:t xml:space="preserve"> application was ill-advised and cannot succeed.</w:t>
      </w:r>
    </w:p>
    <w:p w14:paraId="1EE4810D" w14:textId="77777777" w:rsidR="002D64E3" w:rsidRDefault="002D64E3" w:rsidP="000B44A4">
      <w:pPr>
        <w:pStyle w:val="ListParagraph"/>
        <w:tabs>
          <w:tab w:val="left" w:pos="0"/>
        </w:tabs>
        <w:spacing w:after="0" w:line="480" w:lineRule="auto"/>
        <w:ind w:left="0"/>
        <w:jc w:val="both"/>
        <w:rPr>
          <w:rFonts w:ascii="Arial" w:eastAsia="Times New Roman" w:hAnsi="Arial" w:cs="Arial"/>
          <w:color w:val="000000"/>
          <w:sz w:val="24"/>
          <w:szCs w:val="24"/>
        </w:rPr>
      </w:pPr>
    </w:p>
    <w:p w14:paraId="3F3782AD" w14:textId="77777777" w:rsidR="00110DA8" w:rsidRPr="00110DA8" w:rsidRDefault="00110DA8" w:rsidP="000B44A4">
      <w:pPr>
        <w:pStyle w:val="ListParagraph"/>
        <w:tabs>
          <w:tab w:val="left" w:pos="0"/>
        </w:tabs>
        <w:spacing w:after="0" w:line="480" w:lineRule="auto"/>
        <w:ind w:left="0"/>
        <w:jc w:val="both"/>
        <w:rPr>
          <w:rFonts w:ascii="Arial" w:eastAsia="Times New Roman" w:hAnsi="Arial" w:cs="Arial"/>
          <w:color w:val="000000"/>
          <w:sz w:val="24"/>
          <w:szCs w:val="24"/>
          <w:u w:val="single"/>
        </w:rPr>
      </w:pPr>
      <w:r w:rsidRPr="00110DA8">
        <w:rPr>
          <w:rFonts w:ascii="Arial" w:eastAsia="Times New Roman" w:hAnsi="Arial" w:cs="Arial"/>
          <w:color w:val="000000"/>
          <w:sz w:val="24"/>
          <w:szCs w:val="24"/>
          <w:u w:val="single"/>
        </w:rPr>
        <w:t>Costs</w:t>
      </w:r>
    </w:p>
    <w:p w14:paraId="4F9CFBBE" w14:textId="77777777" w:rsidR="002D64E3" w:rsidRDefault="00110DA8" w:rsidP="000B44A4">
      <w:pPr>
        <w:pStyle w:val="ListParagraph"/>
        <w:numPr>
          <w:ilvl w:val="0"/>
          <w:numId w:val="20"/>
        </w:numPr>
        <w:tabs>
          <w:tab w:val="left" w:pos="0"/>
        </w:tabs>
        <w:spacing w:after="0" w:line="480" w:lineRule="auto"/>
        <w:ind w:left="0" w:firstLine="0"/>
        <w:jc w:val="both"/>
        <w:rPr>
          <w:rFonts w:ascii="Arial" w:eastAsia="Times New Roman" w:hAnsi="Arial" w:cs="Arial"/>
          <w:color w:val="000000"/>
          <w:sz w:val="24"/>
          <w:szCs w:val="24"/>
        </w:rPr>
      </w:pPr>
      <w:r w:rsidRPr="002D64E3">
        <w:rPr>
          <w:rFonts w:ascii="Arial" w:eastAsia="Times New Roman" w:hAnsi="Arial" w:cs="Arial"/>
          <w:color w:val="000000"/>
          <w:sz w:val="24"/>
          <w:szCs w:val="24"/>
        </w:rPr>
        <w:t xml:space="preserve">The historic development of the </w:t>
      </w:r>
      <w:r w:rsidR="002A1794">
        <w:rPr>
          <w:rFonts w:ascii="Arial" w:eastAsia="Times New Roman" w:hAnsi="Arial" w:cs="Arial"/>
          <w:color w:val="000000"/>
          <w:sz w:val="24"/>
          <w:szCs w:val="24"/>
        </w:rPr>
        <w:t>relief</w:t>
      </w:r>
      <w:r w:rsidRPr="002D64E3">
        <w:rPr>
          <w:rFonts w:ascii="Arial" w:eastAsia="Times New Roman" w:hAnsi="Arial" w:cs="Arial"/>
          <w:color w:val="000000"/>
          <w:sz w:val="24"/>
          <w:szCs w:val="24"/>
        </w:rPr>
        <w:t xml:space="preserve"> sought</w:t>
      </w:r>
      <w:r w:rsidR="002A1794">
        <w:rPr>
          <w:rFonts w:ascii="Arial" w:eastAsia="Times New Roman" w:hAnsi="Arial" w:cs="Arial"/>
          <w:color w:val="000000"/>
          <w:sz w:val="24"/>
          <w:szCs w:val="24"/>
        </w:rPr>
        <w:t>,</w:t>
      </w:r>
      <w:r w:rsidRPr="002D64E3">
        <w:rPr>
          <w:rFonts w:ascii="Arial" w:eastAsia="Times New Roman" w:hAnsi="Arial" w:cs="Arial"/>
          <w:color w:val="000000"/>
          <w:sz w:val="24"/>
          <w:szCs w:val="24"/>
        </w:rPr>
        <w:t xml:space="preserve"> from time to time</w:t>
      </w:r>
      <w:r w:rsidR="002A1794">
        <w:rPr>
          <w:rFonts w:ascii="Arial" w:eastAsia="Times New Roman" w:hAnsi="Arial" w:cs="Arial"/>
          <w:color w:val="000000"/>
          <w:sz w:val="24"/>
          <w:szCs w:val="24"/>
        </w:rPr>
        <w:t>,</w:t>
      </w:r>
      <w:r w:rsidRPr="002D64E3">
        <w:rPr>
          <w:rFonts w:ascii="Arial" w:eastAsia="Times New Roman" w:hAnsi="Arial" w:cs="Arial"/>
          <w:color w:val="000000"/>
          <w:sz w:val="24"/>
          <w:szCs w:val="24"/>
        </w:rPr>
        <w:t xml:space="preserve"> is set out earlier.  Initially the applicant sought to interdict attorneys who had acted on behalf of plaintiff respondents from exercising their contractual rights against their clients</w:t>
      </w:r>
      <w:r w:rsidR="002A1794">
        <w:rPr>
          <w:rFonts w:ascii="Arial" w:eastAsia="Times New Roman" w:hAnsi="Arial" w:cs="Arial"/>
          <w:color w:val="000000"/>
          <w:sz w:val="24"/>
          <w:szCs w:val="24"/>
        </w:rPr>
        <w:t>,</w:t>
      </w:r>
      <w:r w:rsidRPr="002D64E3">
        <w:rPr>
          <w:rFonts w:ascii="Arial" w:eastAsia="Times New Roman" w:hAnsi="Arial" w:cs="Arial"/>
          <w:color w:val="000000"/>
          <w:sz w:val="24"/>
          <w:szCs w:val="24"/>
        </w:rPr>
        <w:t xml:space="preserve"> by interdicting them from recovering more than R125 000</w:t>
      </w:r>
      <w:r w:rsidR="000E2FF8">
        <w:rPr>
          <w:rFonts w:ascii="Arial" w:eastAsia="Times New Roman" w:hAnsi="Arial" w:cs="Arial"/>
          <w:color w:val="000000"/>
          <w:sz w:val="24"/>
          <w:szCs w:val="24"/>
        </w:rPr>
        <w:t>,</w:t>
      </w:r>
      <w:r w:rsidRPr="002D64E3">
        <w:rPr>
          <w:rFonts w:ascii="Arial" w:eastAsia="Times New Roman" w:hAnsi="Arial" w:cs="Arial"/>
          <w:color w:val="000000"/>
          <w:sz w:val="24"/>
          <w:szCs w:val="24"/>
        </w:rPr>
        <w:t>00 of their</w:t>
      </w:r>
      <w:r w:rsidR="00B41B71">
        <w:rPr>
          <w:rFonts w:ascii="Arial" w:eastAsia="Times New Roman" w:hAnsi="Arial" w:cs="Arial"/>
          <w:color w:val="000000"/>
          <w:sz w:val="24"/>
          <w:szCs w:val="24"/>
        </w:rPr>
        <w:t xml:space="preserve"> </w:t>
      </w:r>
      <w:r w:rsidR="002A1794">
        <w:rPr>
          <w:rFonts w:ascii="Arial" w:eastAsia="Times New Roman" w:hAnsi="Arial" w:cs="Arial"/>
          <w:color w:val="000000"/>
          <w:sz w:val="24"/>
          <w:szCs w:val="24"/>
        </w:rPr>
        <w:t>legitimate charges.</w:t>
      </w:r>
      <w:r w:rsidRPr="002D64E3">
        <w:rPr>
          <w:rFonts w:ascii="Arial" w:eastAsia="Times New Roman" w:hAnsi="Arial" w:cs="Arial"/>
          <w:color w:val="000000"/>
          <w:sz w:val="24"/>
          <w:szCs w:val="24"/>
        </w:rPr>
        <w:t xml:space="preserve">  This understandably</w:t>
      </w:r>
      <w:r w:rsidR="002A1794">
        <w:rPr>
          <w:rFonts w:ascii="Arial" w:eastAsia="Times New Roman" w:hAnsi="Arial" w:cs="Arial"/>
          <w:color w:val="000000"/>
          <w:sz w:val="24"/>
          <w:szCs w:val="24"/>
        </w:rPr>
        <w:t>,</w:t>
      </w:r>
      <w:r w:rsidRPr="002D64E3">
        <w:rPr>
          <w:rFonts w:ascii="Arial" w:eastAsia="Times New Roman" w:hAnsi="Arial" w:cs="Arial"/>
          <w:color w:val="000000"/>
          <w:sz w:val="24"/>
          <w:szCs w:val="24"/>
        </w:rPr>
        <w:t xml:space="preserve"> prompted the attorney respondents and </w:t>
      </w:r>
      <w:r w:rsidR="002A1794">
        <w:rPr>
          <w:rFonts w:ascii="Arial" w:eastAsia="Times New Roman" w:hAnsi="Arial" w:cs="Arial"/>
          <w:color w:val="000000"/>
          <w:sz w:val="24"/>
          <w:szCs w:val="24"/>
        </w:rPr>
        <w:t>PIPLA to enter the fray</w:t>
      </w:r>
      <w:r w:rsidRPr="002D64E3">
        <w:rPr>
          <w:rFonts w:ascii="Arial" w:eastAsia="Times New Roman" w:hAnsi="Arial" w:cs="Arial"/>
          <w:color w:val="000000"/>
          <w:sz w:val="24"/>
          <w:szCs w:val="24"/>
        </w:rPr>
        <w:t>.</w:t>
      </w:r>
    </w:p>
    <w:p w14:paraId="54727A25" w14:textId="77777777" w:rsidR="002D64E3" w:rsidRDefault="002D64E3" w:rsidP="000B44A4">
      <w:pPr>
        <w:pStyle w:val="ListParagraph"/>
        <w:tabs>
          <w:tab w:val="left" w:pos="0"/>
        </w:tabs>
        <w:spacing w:after="0" w:line="480" w:lineRule="auto"/>
        <w:ind w:left="0"/>
        <w:jc w:val="both"/>
        <w:rPr>
          <w:rFonts w:ascii="Arial" w:eastAsia="Times New Roman" w:hAnsi="Arial" w:cs="Arial"/>
          <w:color w:val="000000"/>
          <w:sz w:val="24"/>
          <w:szCs w:val="24"/>
        </w:rPr>
      </w:pPr>
    </w:p>
    <w:p w14:paraId="46C4BA47" w14:textId="2023C47F" w:rsidR="002D64E3" w:rsidRDefault="00110DA8" w:rsidP="000B44A4">
      <w:pPr>
        <w:pStyle w:val="ListParagraph"/>
        <w:numPr>
          <w:ilvl w:val="0"/>
          <w:numId w:val="20"/>
        </w:numPr>
        <w:tabs>
          <w:tab w:val="left" w:pos="0"/>
        </w:tabs>
        <w:spacing w:after="0" w:line="480" w:lineRule="auto"/>
        <w:ind w:left="0" w:firstLine="0"/>
        <w:jc w:val="both"/>
        <w:rPr>
          <w:rFonts w:ascii="Arial" w:eastAsia="Times New Roman" w:hAnsi="Arial" w:cs="Arial"/>
          <w:color w:val="000000"/>
          <w:sz w:val="24"/>
          <w:szCs w:val="24"/>
        </w:rPr>
      </w:pPr>
      <w:r w:rsidRPr="002D64E3">
        <w:rPr>
          <w:rFonts w:ascii="Arial" w:eastAsia="Times New Roman" w:hAnsi="Arial" w:cs="Arial"/>
          <w:color w:val="000000"/>
          <w:sz w:val="24"/>
          <w:szCs w:val="24"/>
        </w:rPr>
        <w:t xml:space="preserve">To add </w:t>
      </w:r>
      <w:r w:rsidR="0030390C" w:rsidRPr="002D64E3">
        <w:rPr>
          <w:rFonts w:ascii="Arial" w:eastAsia="Times New Roman" w:hAnsi="Arial" w:cs="Arial"/>
          <w:color w:val="000000"/>
          <w:sz w:val="24"/>
          <w:szCs w:val="24"/>
        </w:rPr>
        <w:t>insult</w:t>
      </w:r>
      <w:r w:rsidRPr="002D64E3">
        <w:rPr>
          <w:rFonts w:ascii="Arial" w:eastAsia="Times New Roman" w:hAnsi="Arial" w:cs="Arial"/>
          <w:color w:val="000000"/>
          <w:sz w:val="24"/>
          <w:szCs w:val="24"/>
        </w:rPr>
        <w:t xml:space="preserve"> to injury</w:t>
      </w:r>
      <w:r w:rsidR="002A1794">
        <w:rPr>
          <w:rFonts w:ascii="Arial" w:eastAsia="Times New Roman" w:hAnsi="Arial" w:cs="Arial"/>
          <w:color w:val="000000"/>
          <w:sz w:val="24"/>
          <w:szCs w:val="24"/>
        </w:rPr>
        <w:t>,</w:t>
      </w:r>
      <w:r w:rsidRPr="002D64E3">
        <w:rPr>
          <w:rFonts w:ascii="Arial" w:eastAsia="Times New Roman" w:hAnsi="Arial" w:cs="Arial"/>
          <w:color w:val="000000"/>
          <w:sz w:val="24"/>
          <w:szCs w:val="24"/>
        </w:rPr>
        <w:t xml:space="preserve"> the applicants made a thinly veiled charge against personal injury attorneys, generally, and the attorney respondents</w:t>
      </w:r>
      <w:r w:rsidR="002A1794">
        <w:rPr>
          <w:rFonts w:ascii="Arial" w:eastAsia="Times New Roman" w:hAnsi="Arial" w:cs="Arial"/>
          <w:color w:val="000000"/>
          <w:sz w:val="24"/>
          <w:szCs w:val="24"/>
        </w:rPr>
        <w:t>,</w:t>
      </w:r>
      <w:r w:rsidRPr="002D64E3">
        <w:rPr>
          <w:rFonts w:ascii="Arial" w:eastAsia="Times New Roman" w:hAnsi="Arial" w:cs="Arial"/>
          <w:color w:val="000000"/>
          <w:sz w:val="24"/>
          <w:szCs w:val="24"/>
        </w:rPr>
        <w:t xml:space="preserve"> of excessive litigation, raising unscrupulous charges</w:t>
      </w:r>
      <w:r w:rsidR="00E17891">
        <w:rPr>
          <w:rFonts w:ascii="Arial" w:eastAsia="Times New Roman" w:hAnsi="Arial" w:cs="Arial"/>
          <w:color w:val="000000"/>
          <w:sz w:val="24"/>
          <w:szCs w:val="24"/>
        </w:rPr>
        <w:t>,</w:t>
      </w:r>
      <w:r w:rsidRPr="002D64E3">
        <w:rPr>
          <w:rFonts w:ascii="Arial" w:eastAsia="Times New Roman" w:hAnsi="Arial" w:cs="Arial"/>
          <w:color w:val="000000"/>
          <w:sz w:val="24"/>
          <w:szCs w:val="24"/>
        </w:rPr>
        <w:t xml:space="preserve"> and even of dishonesty.  The applicants clearly have no </w:t>
      </w:r>
      <w:r w:rsidRPr="002D64E3">
        <w:rPr>
          <w:rFonts w:ascii="Arial" w:eastAsia="Times New Roman" w:hAnsi="Arial" w:cs="Arial"/>
          <w:i/>
          <w:color w:val="000000"/>
          <w:sz w:val="24"/>
          <w:szCs w:val="24"/>
        </w:rPr>
        <w:t>prima facie</w:t>
      </w:r>
      <w:r w:rsidRPr="002D64E3">
        <w:rPr>
          <w:rFonts w:ascii="Arial" w:eastAsia="Times New Roman" w:hAnsi="Arial" w:cs="Arial"/>
          <w:color w:val="000000"/>
          <w:sz w:val="24"/>
          <w:szCs w:val="24"/>
        </w:rPr>
        <w:t xml:space="preserve"> right to interfere with a contract to which they were not party and, </w:t>
      </w:r>
      <w:r w:rsidR="002A1794">
        <w:rPr>
          <w:rFonts w:ascii="Arial" w:eastAsia="Times New Roman" w:hAnsi="Arial" w:cs="Arial"/>
          <w:color w:val="000000"/>
          <w:sz w:val="24"/>
          <w:szCs w:val="24"/>
        </w:rPr>
        <w:t>wisely</w:t>
      </w:r>
      <w:r w:rsidRPr="002D64E3">
        <w:rPr>
          <w:rFonts w:ascii="Arial" w:eastAsia="Times New Roman" w:hAnsi="Arial" w:cs="Arial"/>
          <w:color w:val="000000"/>
          <w:sz w:val="24"/>
          <w:szCs w:val="24"/>
        </w:rPr>
        <w:t xml:space="preserve">, the relief was </w:t>
      </w:r>
      <w:r w:rsidR="0030390C" w:rsidRPr="002D64E3">
        <w:rPr>
          <w:rFonts w:ascii="Arial" w:eastAsia="Times New Roman" w:hAnsi="Arial" w:cs="Arial"/>
          <w:color w:val="000000"/>
          <w:sz w:val="24"/>
          <w:szCs w:val="24"/>
        </w:rPr>
        <w:t>abandoned</w:t>
      </w:r>
      <w:r w:rsidRPr="002D64E3">
        <w:rPr>
          <w:rFonts w:ascii="Arial" w:eastAsia="Times New Roman" w:hAnsi="Arial" w:cs="Arial"/>
          <w:color w:val="000000"/>
          <w:sz w:val="24"/>
          <w:szCs w:val="24"/>
        </w:rPr>
        <w:t xml:space="preserve"> midway through argument of the application.  Mr </w:t>
      </w:r>
      <w:r w:rsidRPr="002D64E3">
        <w:rPr>
          <w:rFonts w:ascii="Arial" w:eastAsia="Times New Roman" w:hAnsi="Arial" w:cs="Arial"/>
          <w:i/>
          <w:color w:val="000000"/>
          <w:sz w:val="24"/>
          <w:szCs w:val="24"/>
        </w:rPr>
        <w:t>Willis</w:t>
      </w:r>
      <w:r w:rsidRPr="002D64E3">
        <w:rPr>
          <w:rFonts w:ascii="Arial" w:eastAsia="Times New Roman" w:hAnsi="Arial" w:cs="Arial"/>
          <w:color w:val="000000"/>
          <w:sz w:val="24"/>
          <w:szCs w:val="24"/>
        </w:rPr>
        <w:t xml:space="preserve">, on behalf of PIPLA, </w:t>
      </w:r>
      <w:r w:rsidR="002A1794">
        <w:rPr>
          <w:rFonts w:ascii="Arial" w:eastAsia="Times New Roman" w:hAnsi="Arial" w:cs="Arial"/>
          <w:color w:val="000000"/>
          <w:sz w:val="24"/>
          <w:szCs w:val="24"/>
        </w:rPr>
        <w:t xml:space="preserve">and the attorney respondents, </w:t>
      </w:r>
      <w:r w:rsidR="0030390C" w:rsidRPr="002D64E3">
        <w:rPr>
          <w:rFonts w:ascii="Arial" w:eastAsia="Times New Roman" w:hAnsi="Arial" w:cs="Arial"/>
          <w:color w:val="000000"/>
          <w:sz w:val="24"/>
          <w:szCs w:val="24"/>
        </w:rPr>
        <w:t>accordingly</w:t>
      </w:r>
      <w:r w:rsidR="002A1794">
        <w:rPr>
          <w:rFonts w:ascii="Arial" w:eastAsia="Times New Roman" w:hAnsi="Arial" w:cs="Arial"/>
          <w:color w:val="000000"/>
          <w:sz w:val="24"/>
          <w:szCs w:val="24"/>
        </w:rPr>
        <w:t>,</w:t>
      </w:r>
      <w:r w:rsidRPr="002D64E3">
        <w:rPr>
          <w:rFonts w:ascii="Arial" w:eastAsia="Times New Roman" w:hAnsi="Arial" w:cs="Arial"/>
          <w:color w:val="000000"/>
          <w:sz w:val="24"/>
          <w:szCs w:val="24"/>
        </w:rPr>
        <w:t xml:space="preserve"> sought costs on a </w:t>
      </w:r>
      <w:r w:rsidR="0030390C" w:rsidRPr="002D64E3">
        <w:rPr>
          <w:rFonts w:ascii="Arial" w:eastAsia="Times New Roman" w:hAnsi="Arial" w:cs="Arial"/>
          <w:color w:val="000000"/>
          <w:sz w:val="24"/>
          <w:szCs w:val="24"/>
        </w:rPr>
        <w:t xml:space="preserve">punitive </w:t>
      </w:r>
      <w:r w:rsidRPr="002D64E3">
        <w:rPr>
          <w:rFonts w:ascii="Arial" w:eastAsia="Times New Roman" w:hAnsi="Arial" w:cs="Arial"/>
          <w:color w:val="000000"/>
          <w:sz w:val="24"/>
          <w:szCs w:val="24"/>
        </w:rPr>
        <w:t xml:space="preserve">scale against the applicants.  On a careful consideration of the application I think that the relief sought against the attorney respondents and the unjustified allegations made in respect of their conduct was clearly an abuse of the court process.  The request for a </w:t>
      </w:r>
      <w:r w:rsidR="0030390C" w:rsidRPr="002D64E3">
        <w:rPr>
          <w:rFonts w:ascii="Arial" w:eastAsia="Times New Roman" w:hAnsi="Arial" w:cs="Arial"/>
          <w:color w:val="000000"/>
          <w:sz w:val="24"/>
          <w:szCs w:val="24"/>
        </w:rPr>
        <w:t>punitive</w:t>
      </w:r>
      <w:r w:rsidRPr="002D64E3">
        <w:rPr>
          <w:rFonts w:ascii="Arial" w:eastAsia="Times New Roman" w:hAnsi="Arial" w:cs="Arial"/>
          <w:color w:val="000000"/>
          <w:sz w:val="24"/>
          <w:szCs w:val="24"/>
        </w:rPr>
        <w:t xml:space="preserve"> costs order is </w:t>
      </w:r>
      <w:r w:rsidR="0030390C" w:rsidRPr="002D64E3">
        <w:rPr>
          <w:rFonts w:ascii="Arial" w:eastAsia="Times New Roman" w:hAnsi="Arial" w:cs="Arial"/>
          <w:color w:val="000000"/>
          <w:sz w:val="24"/>
          <w:szCs w:val="24"/>
        </w:rPr>
        <w:t>therefore</w:t>
      </w:r>
      <w:r w:rsidRPr="002D64E3">
        <w:rPr>
          <w:rFonts w:ascii="Arial" w:eastAsia="Times New Roman" w:hAnsi="Arial" w:cs="Arial"/>
          <w:color w:val="000000"/>
          <w:sz w:val="24"/>
          <w:szCs w:val="24"/>
        </w:rPr>
        <w:t xml:space="preserve"> justified. </w:t>
      </w:r>
    </w:p>
    <w:p w14:paraId="644335E8" w14:textId="77777777" w:rsidR="00220A00" w:rsidRPr="00220A00" w:rsidRDefault="00220A00" w:rsidP="00220A00">
      <w:pPr>
        <w:pStyle w:val="ListParagraph"/>
        <w:rPr>
          <w:rFonts w:ascii="Arial" w:eastAsia="Times New Roman" w:hAnsi="Arial" w:cs="Arial"/>
          <w:color w:val="000000"/>
          <w:sz w:val="24"/>
          <w:szCs w:val="24"/>
        </w:rPr>
      </w:pPr>
    </w:p>
    <w:p w14:paraId="17360F63" w14:textId="77777777" w:rsidR="00220A00" w:rsidRDefault="00220A00" w:rsidP="00220A00">
      <w:pPr>
        <w:pStyle w:val="ListParagraph"/>
        <w:tabs>
          <w:tab w:val="left" w:pos="0"/>
        </w:tabs>
        <w:spacing w:after="0" w:line="480" w:lineRule="auto"/>
        <w:ind w:left="0"/>
        <w:jc w:val="both"/>
        <w:rPr>
          <w:rFonts w:ascii="Arial" w:eastAsia="Times New Roman" w:hAnsi="Arial" w:cs="Arial"/>
          <w:color w:val="000000"/>
          <w:sz w:val="24"/>
          <w:szCs w:val="24"/>
        </w:rPr>
      </w:pPr>
    </w:p>
    <w:p w14:paraId="042B11A9" w14:textId="77777777" w:rsidR="002D64E3" w:rsidRPr="002D64E3" w:rsidRDefault="002D64E3" w:rsidP="000B44A4">
      <w:pPr>
        <w:pStyle w:val="ListParagraph"/>
        <w:spacing w:after="0" w:line="480" w:lineRule="auto"/>
        <w:ind w:left="0"/>
        <w:jc w:val="both"/>
        <w:rPr>
          <w:rFonts w:ascii="Arial" w:eastAsia="Times New Roman" w:hAnsi="Arial" w:cs="Arial"/>
          <w:color w:val="000000"/>
          <w:sz w:val="24"/>
          <w:szCs w:val="24"/>
        </w:rPr>
      </w:pPr>
    </w:p>
    <w:p w14:paraId="03512809" w14:textId="77777777" w:rsidR="002D64E3" w:rsidRDefault="00110DA8" w:rsidP="000B44A4">
      <w:pPr>
        <w:pStyle w:val="ListParagraph"/>
        <w:numPr>
          <w:ilvl w:val="0"/>
          <w:numId w:val="20"/>
        </w:numPr>
        <w:tabs>
          <w:tab w:val="left" w:pos="0"/>
        </w:tabs>
        <w:spacing w:after="0" w:line="480" w:lineRule="auto"/>
        <w:ind w:left="0" w:firstLine="0"/>
        <w:jc w:val="both"/>
        <w:rPr>
          <w:rFonts w:ascii="Arial" w:eastAsia="Times New Roman" w:hAnsi="Arial" w:cs="Arial"/>
          <w:color w:val="000000"/>
          <w:sz w:val="24"/>
          <w:szCs w:val="24"/>
        </w:rPr>
      </w:pPr>
      <w:r w:rsidRPr="002D64E3">
        <w:rPr>
          <w:rFonts w:ascii="Arial" w:eastAsia="Times New Roman" w:hAnsi="Arial" w:cs="Arial"/>
          <w:color w:val="000000"/>
          <w:sz w:val="24"/>
          <w:szCs w:val="24"/>
        </w:rPr>
        <w:lastRenderedPageBreak/>
        <w:t xml:space="preserve">For the reasons set out earlier, and adopting the </w:t>
      </w:r>
      <w:r w:rsidR="0030390C" w:rsidRPr="002D64E3">
        <w:rPr>
          <w:rFonts w:ascii="Arial" w:eastAsia="Times New Roman" w:hAnsi="Arial" w:cs="Arial"/>
          <w:color w:val="000000"/>
          <w:sz w:val="24"/>
          <w:szCs w:val="24"/>
        </w:rPr>
        <w:t>usual</w:t>
      </w:r>
      <w:r w:rsidRPr="002D64E3">
        <w:rPr>
          <w:rFonts w:ascii="Arial" w:eastAsia="Times New Roman" w:hAnsi="Arial" w:cs="Arial"/>
          <w:color w:val="000000"/>
          <w:sz w:val="24"/>
          <w:szCs w:val="24"/>
        </w:rPr>
        <w:t xml:space="preserve"> rule </w:t>
      </w:r>
      <w:r w:rsidR="0030390C" w:rsidRPr="002D64E3">
        <w:rPr>
          <w:rFonts w:ascii="Arial" w:eastAsia="Times New Roman" w:hAnsi="Arial" w:cs="Arial"/>
          <w:color w:val="000000"/>
          <w:sz w:val="24"/>
          <w:szCs w:val="24"/>
        </w:rPr>
        <w:t>that</w:t>
      </w:r>
      <w:r w:rsidRPr="002D64E3">
        <w:rPr>
          <w:rFonts w:ascii="Arial" w:eastAsia="Times New Roman" w:hAnsi="Arial" w:cs="Arial"/>
          <w:color w:val="000000"/>
          <w:sz w:val="24"/>
          <w:szCs w:val="24"/>
        </w:rPr>
        <w:t xml:space="preserve"> costs follow the result, the plaintiff respondents are </w:t>
      </w:r>
      <w:r w:rsidR="0030390C" w:rsidRPr="002D64E3">
        <w:rPr>
          <w:rFonts w:ascii="Arial" w:eastAsia="Times New Roman" w:hAnsi="Arial" w:cs="Arial"/>
          <w:color w:val="000000"/>
          <w:sz w:val="24"/>
          <w:szCs w:val="24"/>
        </w:rPr>
        <w:t>entitled</w:t>
      </w:r>
      <w:r w:rsidRPr="002D64E3">
        <w:rPr>
          <w:rFonts w:ascii="Arial" w:eastAsia="Times New Roman" w:hAnsi="Arial" w:cs="Arial"/>
          <w:color w:val="000000"/>
          <w:sz w:val="24"/>
          <w:szCs w:val="24"/>
        </w:rPr>
        <w:t xml:space="preserve"> to their costs in the application.  </w:t>
      </w:r>
      <w:r w:rsidR="002A1794">
        <w:rPr>
          <w:rFonts w:ascii="Arial" w:eastAsia="Times New Roman" w:hAnsi="Arial" w:cs="Arial"/>
          <w:color w:val="000000"/>
          <w:sz w:val="24"/>
          <w:szCs w:val="24"/>
        </w:rPr>
        <w:t>Only the 37</w:t>
      </w:r>
      <w:r w:rsidR="002A1794" w:rsidRPr="002A1794">
        <w:rPr>
          <w:rFonts w:ascii="Arial" w:eastAsia="Times New Roman" w:hAnsi="Arial" w:cs="Arial"/>
          <w:color w:val="000000"/>
          <w:sz w:val="24"/>
          <w:szCs w:val="24"/>
          <w:vertAlign w:val="superscript"/>
        </w:rPr>
        <w:t>th</w:t>
      </w:r>
      <w:r w:rsidR="002A1794">
        <w:rPr>
          <w:rFonts w:ascii="Arial" w:eastAsia="Times New Roman" w:hAnsi="Arial" w:cs="Arial"/>
          <w:color w:val="000000"/>
          <w:sz w:val="24"/>
          <w:szCs w:val="24"/>
        </w:rPr>
        <w:t xml:space="preserve"> respondent had given notice of his intention to seek such an order</w:t>
      </w:r>
      <w:r w:rsidR="00E17891">
        <w:rPr>
          <w:rFonts w:ascii="Arial" w:eastAsia="Times New Roman" w:hAnsi="Arial" w:cs="Arial"/>
          <w:color w:val="000000"/>
          <w:sz w:val="24"/>
          <w:szCs w:val="24"/>
        </w:rPr>
        <w:t xml:space="preserve"> on a scale as between attorney and client</w:t>
      </w:r>
      <w:r w:rsidR="002A1794">
        <w:rPr>
          <w:rFonts w:ascii="Arial" w:eastAsia="Times New Roman" w:hAnsi="Arial" w:cs="Arial"/>
          <w:color w:val="000000"/>
          <w:sz w:val="24"/>
          <w:szCs w:val="24"/>
        </w:rPr>
        <w:t xml:space="preserve">.  </w:t>
      </w:r>
      <w:r w:rsidRPr="002D64E3">
        <w:rPr>
          <w:rFonts w:ascii="Arial" w:eastAsia="Times New Roman" w:hAnsi="Arial" w:cs="Arial"/>
          <w:color w:val="000000"/>
          <w:sz w:val="24"/>
          <w:szCs w:val="24"/>
        </w:rPr>
        <w:t xml:space="preserve">At the hearing, however, Mr </w:t>
      </w:r>
      <w:r w:rsidRPr="002D64E3">
        <w:rPr>
          <w:rFonts w:ascii="Arial" w:eastAsia="Times New Roman" w:hAnsi="Arial" w:cs="Arial"/>
          <w:i/>
          <w:color w:val="000000"/>
          <w:sz w:val="24"/>
          <w:szCs w:val="24"/>
        </w:rPr>
        <w:t>Dugmore,</w:t>
      </w:r>
      <w:r w:rsidRPr="002D64E3">
        <w:rPr>
          <w:rFonts w:ascii="Arial" w:eastAsia="Times New Roman" w:hAnsi="Arial" w:cs="Arial"/>
          <w:color w:val="000000"/>
          <w:sz w:val="24"/>
          <w:szCs w:val="24"/>
        </w:rPr>
        <w:t xml:space="preserve"> representing a number of plaintiff </w:t>
      </w:r>
      <w:r w:rsidR="0030390C" w:rsidRPr="002D64E3">
        <w:rPr>
          <w:rFonts w:ascii="Arial" w:eastAsia="Times New Roman" w:hAnsi="Arial" w:cs="Arial"/>
          <w:color w:val="000000"/>
          <w:sz w:val="24"/>
          <w:szCs w:val="24"/>
        </w:rPr>
        <w:t>respondents</w:t>
      </w:r>
      <w:r w:rsidRPr="002D64E3">
        <w:rPr>
          <w:rFonts w:ascii="Arial" w:eastAsia="Times New Roman" w:hAnsi="Arial" w:cs="Arial"/>
          <w:color w:val="000000"/>
          <w:sz w:val="24"/>
          <w:szCs w:val="24"/>
        </w:rPr>
        <w:t xml:space="preserve"> sought an order of </w:t>
      </w:r>
      <w:r w:rsidR="0030390C" w:rsidRPr="002D64E3">
        <w:rPr>
          <w:rFonts w:ascii="Arial" w:eastAsia="Times New Roman" w:hAnsi="Arial" w:cs="Arial"/>
          <w:color w:val="000000"/>
          <w:sz w:val="24"/>
          <w:szCs w:val="24"/>
        </w:rPr>
        <w:t>punitive</w:t>
      </w:r>
      <w:r w:rsidRPr="002D64E3">
        <w:rPr>
          <w:rFonts w:ascii="Arial" w:eastAsia="Times New Roman" w:hAnsi="Arial" w:cs="Arial"/>
          <w:color w:val="000000"/>
          <w:sz w:val="24"/>
          <w:szCs w:val="24"/>
        </w:rPr>
        <w:t xml:space="preserve"> costs in favour of his clients.  The remaining plaintiff respondents followed suit.</w:t>
      </w:r>
    </w:p>
    <w:p w14:paraId="5B79981E" w14:textId="77777777" w:rsidR="002D64E3" w:rsidRDefault="002D64E3" w:rsidP="000B44A4">
      <w:pPr>
        <w:pStyle w:val="ListParagraph"/>
        <w:tabs>
          <w:tab w:val="left" w:pos="0"/>
        </w:tabs>
        <w:spacing w:after="0" w:line="480" w:lineRule="auto"/>
        <w:ind w:left="0"/>
        <w:jc w:val="both"/>
        <w:rPr>
          <w:rFonts w:ascii="Arial" w:eastAsia="Times New Roman" w:hAnsi="Arial" w:cs="Arial"/>
          <w:color w:val="000000"/>
          <w:sz w:val="24"/>
          <w:szCs w:val="24"/>
        </w:rPr>
      </w:pPr>
    </w:p>
    <w:p w14:paraId="62CD8F3D" w14:textId="77777777" w:rsidR="00110DA8" w:rsidRDefault="00110DA8" w:rsidP="000B44A4">
      <w:pPr>
        <w:pStyle w:val="ListParagraph"/>
        <w:numPr>
          <w:ilvl w:val="0"/>
          <w:numId w:val="20"/>
        </w:numPr>
        <w:tabs>
          <w:tab w:val="left" w:pos="0"/>
        </w:tabs>
        <w:spacing w:after="0" w:line="480" w:lineRule="auto"/>
        <w:ind w:left="0" w:firstLine="0"/>
        <w:jc w:val="both"/>
        <w:rPr>
          <w:rFonts w:ascii="Arial" w:eastAsia="Times New Roman" w:hAnsi="Arial" w:cs="Arial"/>
          <w:color w:val="000000"/>
          <w:sz w:val="24"/>
          <w:szCs w:val="24"/>
        </w:rPr>
      </w:pPr>
      <w:r w:rsidRPr="002D64E3">
        <w:rPr>
          <w:rFonts w:ascii="Arial" w:eastAsia="Times New Roman" w:hAnsi="Arial" w:cs="Arial"/>
          <w:color w:val="000000"/>
          <w:sz w:val="24"/>
          <w:szCs w:val="24"/>
        </w:rPr>
        <w:t xml:space="preserve">I have already </w:t>
      </w:r>
      <w:r w:rsidR="0030390C" w:rsidRPr="002D64E3">
        <w:rPr>
          <w:rFonts w:ascii="Arial" w:eastAsia="Times New Roman" w:hAnsi="Arial" w:cs="Arial"/>
          <w:color w:val="000000"/>
          <w:sz w:val="24"/>
          <w:szCs w:val="24"/>
        </w:rPr>
        <w:t>held</w:t>
      </w:r>
      <w:r w:rsidRPr="002D64E3">
        <w:rPr>
          <w:rFonts w:ascii="Arial" w:eastAsia="Times New Roman" w:hAnsi="Arial" w:cs="Arial"/>
          <w:color w:val="000000"/>
          <w:sz w:val="24"/>
          <w:szCs w:val="24"/>
        </w:rPr>
        <w:t xml:space="preserve"> that the application was ill-conceived and it had no prospect of success.  I am not, however, persuaded that it was </w:t>
      </w:r>
      <w:r w:rsidRPr="002D64E3">
        <w:rPr>
          <w:rFonts w:ascii="Arial" w:eastAsia="Times New Roman" w:hAnsi="Arial" w:cs="Arial"/>
          <w:i/>
          <w:color w:val="000000"/>
          <w:sz w:val="24"/>
          <w:szCs w:val="24"/>
        </w:rPr>
        <w:t>mala fide</w:t>
      </w:r>
      <w:r w:rsidRPr="002D64E3">
        <w:rPr>
          <w:rFonts w:ascii="Arial" w:eastAsia="Times New Roman" w:hAnsi="Arial" w:cs="Arial"/>
          <w:color w:val="000000"/>
          <w:sz w:val="24"/>
          <w:szCs w:val="24"/>
        </w:rPr>
        <w:t>.  Whilst much criticism was levelled at the ECDOH for the manner in which the underlying litigation</w:t>
      </w:r>
      <w:r w:rsidR="002A1794">
        <w:rPr>
          <w:rFonts w:ascii="Arial" w:eastAsia="Times New Roman" w:hAnsi="Arial" w:cs="Arial"/>
          <w:color w:val="000000"/>
          <w:sz w:val="24"/>
          <w:szCs w:val="24"/>
        </w:rPr>
        <w:t>, and this application,</w:t>
      </w:r>
      <w:r w:rsidRPr="002D64E3">
        <w:rPr>
          <w:rFonts w:ascii="Arial" w:eastAsia="Times New Roman" w:hAnsi="Arial" w:cs="Arial"/>
          <w:color w:val="000000"/>
          <w:sz w:val="24"/>
          <w:szCs w:val="24"/>
        </w:rPr>
        <w:t xml:space="preserve"> had been conducted</w:t>
      </w:r>
      <w:r w:rsidR="002A1794">
        <w:rPr>
          <w:rFonts w:ascii="Arial" w:eastAsia="Times New Roman" w:hAnsi="Arial" w:cs="Arial"/>
          <w:color w:val="000000"/>
          <w:sz w:val="24"/>
          <w:szCs w:val="24"/>
        </w:rPr>
        <w:t>,</w:t>
      </w:r>
      <w:r w:rsidRPr="002D64E3">
        <w:rPr>
          <w:rFonts w:ascii="Arial" w:eastAsia="Times New Roman" w:hAnsi="Arial" w:cs="Arial"/>
          <w:color w:val="000000"/>
          <w:sz w:val="24"/>
          <w:szCs w:val="24"/>
        </w:rPr>
        <w:t xml:space="preserve"> I am not persuaded that it justifies an order of costs on a </w:t>
      </w:r>
      <w:r w:rsidR="0030390C" w:rsidRPr="002D64E3">
        <w:rPr>
          <w:rFonts w:ascii="Arial" w:eastAsia="Times New Roman" w:hAnsi="Arial" w:cs="Arial"/>
          <w:color w:val="000000"/>
          <w:sz w:val="24"/>
          <w:szCs w:val="24"/>
        </w:rPr>
        <w:t>punitive</w:t>
      </w:r>
      <w:r w:rsidRPr="002D64E3">
        <w:rPr>
          <w:rFonts w:ascii="Arial" w:eastAsia="Times New Roman" w:hAnsi="Arial" w:cs="Arial"/>
          <w:color w:val="000000"/>
          <w:sz w:val="24"/>
          <w:szCs w:val="24"/>
        </w:rPr>
        <w:t xml:space="preserve"> scale.</w:t>
      </w:r>
    </w:p>
    <w:p w14:paraId="02FD0DED" w14:textId="77777777" w:rsidR="00E10758" w:rsidRPr="002D64E3" w:rsidRDefault="00E10758" w:rsidP="000B44A4">
      <w:pPr>
        <w:pStyle w:val="ListParagraph"/>
        <w:tabs>
          <w:tab w:val="left" w:pos="0"/>
        </w:tabs>
        <w:spacing w:after="0" w:line="480" w:lineRule="auto"/>
        <w:ind w:left="0"/>
        <w:jc w:val="both"/>
        <w:rPr>
          <w:rFonts w:ascii="Arial" w:eastAsia="Times New Roman" w:hAnsi="Arial" w:cs="Arial"/>
          <w:color w:val="000000"/>
          <w:sz w:val="24"/>
          <w:szCs w:val="24"/>
        </w:rPr>
      </w:pPr>
    </w:p>
    <w:p w14:paraId="410BECC1" w14:textId="77777777" w:rsidR="002D64E3" w:rsidRDefault="00110DA8" w:rsidP="000B44A4">
      <w:pPr>
        <w:pStyle w:val="ListParagraph"/>
        <w:numPr>
          <w:ilvl w:val="0"/>
          <w:numId w:val="20"/>
        </w:numPr>
        <w:tabs>
          <w:tab w:val="left" w:pos="0"/>
        </w:tabs>
        <w:spacing w:after="0" w:line="480" w:lineRule="auto"/>
        <w:ind w:left="0" w:firstLine="0"/>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2A1794">
        <w:rPr>
          <w:rFonts w:ascii="Arial" w:eastAsia="Times New Roman" w:hAnsi="Arial" w:cs="Arial"/>
          <w:color w:val="000000"/>
          <w:sz w:val="24"/>
          <w:szCs w:val="24"/>
        </w:rPr>
        <w:t>sheriff</w:t>
      </w:r>
      <w:r w:rsidR="0030390C">
        <w:rPr>
          <w:rFonts w:ascii="Arial" w:eastAsia="Times New Roman" w:hAnsi="Arial" w:cs="Arial"/>
          <w:color w:val="000000"/>
          <w:sz w:val="24"/>
          <w:szCs w:val="24"/>
        </w:rPr>
        <w:t xml:space="preserve"> respondents did not enter an appearance to defend and the South African Medical Malpractice Lawyers Association, as an </w:t>
      </w:r>
      <w:r w:rsidR="0030390C" w:rsidRPr="0030390C">
        <w:rPr>
          <w:rFonts w:ascii="Arial" w:eastAsia="Times New Roman" w:hAnsi="Arial" w:cs="Arial"/>
          <w:i/>
          <w:color w:val="000000"/>
          <w:sz w:val="24"/>
          <w:szCs w:val="24"/>
        </w:rPr>
        <w:t>amicus curiae</w:t>
      </w:r>
      <w:r w:rsidR="0030390C">
        <w:rPr>
          <w:rFonts w:ascii="Arial" w:eastAsia="Times New Roman" w:hAnsi="Arial" w:cs="Arial"/>
          <w:color w:val="000000"/>
          <w:sz w:val="24"/>
          <w:szCs w:val="24"/>
        </w:rPr>
        <w:t xml:space="preserve">, did not seek an order for costs.  I am indebted to Ms </w:t>
      </w:r>
      <w:r w:rsidR="0030390C">
        <w:rPr>
          <w:rFonts w:ascii="Arial" w:eastAsia="Times New Roman" w:hAnsi="Arial" w:cs="Arial"/>
          <w:i/>
          <w:color w:val="000000"/>
          <w:sz w:val="24"/>
          <w:szCs w:val="24"/>
        </w:rPr>
        <w:t>Pillay</w:t>
      </w:r>
      <w:r w:rsidR="0030390C">
        <w:rPr>
          <w:rFonts w:ascii="Arial" w:eastAsia="Times New Roman" w:hAnsi="Arial" w:cs="Arial"/>
          <w:color w:val="000000"/>
          <w:sz w:val="24"/>
          <w:szCs w:val="24"/>
        </w:rPr>
        <w:t xml:space="preserve"> and her junior</w:t>
      </w:r>
      <w:r w:rsidR="0054050D">
        <w:rPr>
          <w:rFonts w:ascii="Arial" w:eastAsia="Times New Roman" w:hAnsi="Arial" w:cs="Arial"/>
          <w:color w:val="000000"/>
          <w:sz w:val="24"/>
          <w:szCs w:val="24"/>
        </w:rPr>
        <w:t xml:space="preserve"> colleagues</w:t>
      </w:r>
      <w:r w:rsidR="0030390C">
        <w:rPr>
          <w:rFonts w:ascii="Arial" w:eastAsia="Times New Roman" w:hAnsi="Arial" w:cs="Arial"/>
          <w:color w:val="000000"/>
          <w:sz w:val="24"/>
          <w:szCs w:val="24"/>
        </w:rPr>
        <w:t>, who acted on behalf of the South African Medical Malpractice Lawyers Association, for</w:t>
      </w:r>
      <w:r w:rsidR="0054050D">
        <w:rPr>
          <w:rFonts w:ascii="Arial" w:eastAsia="Times New Roman" w:hAnsi="Arial" w:cs="Arial"/>
          <w:color w:val="000000"/>
          <w:sz w:val="24"/>
          <w:szCs w:val="24"/>
        </w:rPr>
        <w:t xml:space="preserve"> their very helpful submissions, which have assisted the court substantially.</w:t>
      </w:r>
    </w:p>
    <w:p w14:paraId="01866FAD" w14:textId="77777777" w:rsidR="002D64E3" w:rsidRDefault="002D64E3" w:rsidP="000B44A4">
      <w:pPr>
        <w:pStyle w:val="ListParagraph"/>
        <w:tabs>
          <w:tab w:val="left" w:pos="0"/>
        </w:tabs>
        <w:spacing w:after="0" w:line="480" w:lineRule="auto"/>
        <w:ind w:left="0"/>
        <w:jc w:val="both"/>
        <w:rPr>
          <w:rFonts w:ascii="Arial" w:eastAsia="Times New Roman" w:hAnsi="Arial" w:cs="Arial"/>
          <w:color w:val="000000"/>
          <w:sz w:val="24"/>
          <w:szCs w:val="24"/>
        </w:rPr>
      </w:pPr>
    </w:p>
    <w:p w14:paraId="1D76F5E0" w14:textId="70855CAE" w:rsidR="00CB0722" w:rsidRDefault="0030390C" w:rsidP="000B44A4">
      <w:pPr>
        <w:pStyle w:val="ListParagraph"/>
        <w:numPr>
          <w:ilvl w:val="0"/>
          <w:numId w:val="20"/>
        </w:numPr>
        <w:tabs>
          <w:tab w:val="left" w:pos="0"/>
        </w:tabs>
        <w:spacing w:after="0" w:line="480" w:lineRule="auto"/>
        <w:ind w:left="0" w:firstLine="0"/>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second </w:t>
      </w:r>
      <w:r>
        <w:rPr>
          <w:rFonts w:ascii="Arial" w:eastAsia="Times New Roman" w:hAnsi="Arial" w:cs="Arial"/>
          <w:i/>
          <w:color w:val="000000"/>
          <w:sz w:val="24"/>
          <w:szCs w:val="24"/>
        </w:rPr>
        <w:t>amicus curiae</w:t>
      </w:r>
      <w:r>
        <w:rPr>
          <w:rFonts w:ascii="Arial" w:eastAsia="Times New Roman" w:hAnsi="Arial" w:cs="Arial"/>
          <w:color w:val="000000"/>
          <w:sz w:val="24"/>
          <w:szCs w:val="24"/>
        </w:rPr>
        <w:t>, Ch</w:t>
      </w:r>
      <w:r w:rsidR="00627FAB">
        <w:rPr>
          <w:rFonts w:ascii="Arial" w:eastAsia="Times New Roman" w:hAnsi="Arial" w:cs="Arial"/>
          <w:color w:val="000000"/>
          <w:sz w:val="24"/>
          <w:szCs w:val="24"/>
        </w:rPr>
        <w:t>ance</w:t>
      </w:r>
      <w:r>
        <w:rPr>
          <w:rFonts w:ascii="Arial" w:eastAsia="Times New Roman" w:hAnsi="Arial" w:cs="Arial"/>
          <w:color w:val="000000"/>
          <w:sz w:val="24"/>
          <w:szCs w:val="24"/>
        </w:rPr>
        <w:t xml:space="preserve"> at Life, </w:t>
      </w:r>
      <w:r w:rsidR="00CB0722">
        <w:rPr>
          <w:rFonts w:ascii="Arial" w:eastAsia="Times New Roman" w:hAnsi="Arial" w:cs="Arial"/>
          <w:color w:val="000000"/>
          <w:sz w:val="24"/>
          <w:szCs w:val="24"/>
        </w:rPr>
        <w:t>did seek an</w:t>
      </w:r>
      <w:r>
        <w:rPr>
          <w:rFonts w:ascii="Arial" w:eastAsia="Times New Roman" w:hAnsi="Arial" w:cs="Arial"/>
          <w:color w:val="000000"/>
          <w:sz w:val="24"/>
          <w:szCs w:val="24"/>
        </w:rPr>
        <w:t xml:space="preserve"> order for costs, </w:t>
      </w:r>
      <w:r w:rsidR="00CB0722">
        <w:rPr>
          <w:rFonts w:ascii="Arial" w:eastAsia="Times New Roman" w:hAnsi="Arial" w:cs="Arial"/>
          <w:color w:val="000000"/>
          <w:sz w:val="24"/>
          <w:szCs w:val="24"/>
        </w:rPr>
        <w:t xml:space="preserve">they said </w:t>
      </w:r>
      <w:r w:rsidR="002D64E3">
        <w:rPr>
          <w:rFonts w:ascii="Arial" w:eastAsia="Times New Roman" w:hAnsi="Arial" w:cs="Arial"/>
          <w:color w:val="000000"/>
          <w:sz w:val="24"/>
          <w:szCs w:val="24"/>
        </w:rPr>
        <w:t xml:space="preserve">because of the manner in which the litigation had been conducted.  I do not consider that it is generally appropriate to make a costs order in favour of an </w:t>
      </w:r>
      <w:r w:rsidR="002D64E3">
        <w:rPr>
          <w:rFonts w:ascii="Arial" w:eastAsia="Times New Roman" w:hAnsi="Arial" w:cs="Arial"/>
          <w:i/>
          <w:color w:val="000000"/>
          <w:sz w:val="24"/>
          <w:szCs w:val="24"/>
        </w:rPr>
        <w:t>amicus curiae</w:t>
      </w:r>
      <w:r w:rsidR="002D64E3">
        <w:rPr>
          <w:rFonts w:ascii="Arial" w:eastAsia="Times New Roman" w:hAnsi="Arial" w:cs="Arial"/>
          <w:color w:val="000000"/>
          <w:sz w:val="24"/>
          <w:szCs w:val="24"/>
        </w:rPr>
        <w:t xml:space="preserve"> in proceedings of this nature</w:t>
      </w:r>
      <w:r w:rsidR="00E17891">
        <w:rPr>
          <w:rFonts w:ascii="Arial" w:eastAsia="Times New Roman" w:hAnsi="Arial" w:cs="Arial"/>
          <w:color w:val="000000"/>
          <w:sz w:val="24"/>
          <w:szCs w:val="24"/>
        </w:rPr>
        <w:t>,</w:t>
      </w:r>
      <w:r w:rsidR="00CB0722">
        <w:rPr>
          <w:rFonts w:ascii="Arial" w:eastAsia="Times New Roman" w:hAnsi="Arial" w:cs="Arial"/>
          <w:color w:val="000000"/>
          <w:sz w:val="24"/>
          <w:szCs w:val="24"/>
        </w:rPr>
        <w:t xml:space="preserve"> because they are not a party to the litigation in the ordinary sense</w:t>
      </w:r>
      <w:r w:rsidR="002D64E3">
        <w:rPr>
          <w:rFonts w:ascii="Arial" w:eastAsia="Times New Roman" w:hAnsi="Arial" w:cs="Arial"/>
          <w:color w:val="000000"/>
          <w:sz w:val="24"/>
          <w:szCs w:val="24"/>
        </w:rPr>
        <w:t xml:space="preserve">.  Whilst the plaintiff attorneys may have cause to complain about </w:t>
      </w:r>
      <w:r w:rsidR="002D64E3">
        <w:rPr>
          <w:rFonts w:ascii="Arial" w:eastAsia="Times New Roman" w:hAnsi="Arial" w:cs="Arial"/>
          <w:color w:val="000000"/>
          <w:sz w:val="24"/>
          <w:szCs w:val="24"/>
        </w:rPr>
        <w:lastRenderedPageBreak/>
        <w:t>the manner in which the litigation has been conducted</w:t>
      </w:r>
      <w:r w:rsidR="00CB0722">
        <w:rPr>
          <w:rFonts w:ascii="Arial" w:eastAsia="Times New Roman" w:hAnsi="Arial" w:cs="Arial"/>
          <w:color w:val="000000"/>
          <w:sz w:val="24"/>
          <w:szCs w:val="24"/>
        </w:rPr>
        <w:t>,</w:t>
      </w:r>
      <w:r w:rsidR="002D64E3">
        <w:rPr>
          <w:rFonts w:ascii="Arial" w:eastAsia="Times New Roman" w:hAnsi="Arial" w:cs="Arial"/>
          <w:color w:val="000000"/>
          <w:sz w:val="24"/>
          <w:szCs w:val="24"/>
        </w:rPr>
        <w:t xml:space="preserve"> it has little or no impact on the </w:t>
      </w:r>
      <w:r w:rsidR="002D64E3">
        <w:rPr>
          <w:rFonts w:ascii="Arial" w:eastAsia="Times New Roman" w:hAnsi="Arial" w:cs="Arial"/>
          <w:i/>
          <w:color w:val="000000"/>
          <w:sz w:val="24"/>
          <w:szCs w:val="24"/>
        </w:rPr>
        <w:t>amicus curiae</w:t>
      </w:r>
      <w:r w:rsidR="002D64E3">
        <w:rPr>
          <w:rFonts w:ascii="Arial" w:eastAsia="Times New Roman" w:hAnsi="Arial" w:cs="Arial"/>
          <w:color w:val="000000"/>
          <w:sz w:val="24"/>
          <w:szCs w:val="24"/>
        </w:rPr>
        <w:t xml:space="preserve">.  I am disinclined to make a costs order in favour of the </w:t>
      </w:r>
      <w:r w:rsidR="002D64E3">
        <w:rPr>
          <w:rFonts w:ascii="Arial" w:eastAsia="Times New Roman" w:hAnsi="Arial" w:cs="Arial"/>
          <w:i/>
          <w:color w:val="000000"/>
          <w:sz w:val="24"/>
          <w:szCs w:val="24"/>
        </w:rPr>
        <w:t>amicus</w:t>
      </w:r>
      <w:r w:rsidR="002D64E3">
        <w:rPr>
          <w:rFonts w:ascii="Arial" w:eastAsia="Times New Roman" w:hAnsi="Arial" w:cs="Arial"/>
          <w:color w:val="000000"/>
          <w:sz w:val="24"/>
          <w:szCs w:val="24"/>
        </w:rPr>
        <w:t xml:space="preserve">.  </w:t>
      </w:r>
    </w:p>
    <w:p w14:paraId="77C3446D" w14:textId="77777777" w:rsidR="00CB0722" w:rsidRPr="00CB0722" w:rsidRDefault="00CB0722" w:rsidP="000B44A4">
      <w:pPr>
        <w:pStyle w:val="ListParagraph"/>
        <w:spacing w:after="0" w:line="480" w:lineRule="auto"/>
        <w:ind w:left="0"/>
        <w:jc w:val="both"/>
        <w:rPr>
          <w:rFonts w:ascii="Arial" w:eastAsia="Times New Roman" w:hAnsi="Arial" w:cs="Arial"/>
          <w:color w:val="000000"/>
          <w:sz w:val="24"/>
          <w:szCs w:val="24"/>
        </w:rPr>
      </w:pPr>
    </w:p>
    <w:p w14:paraId="1924FBD4" w14:textId="77777777" w:rsidR="006C02D3" w:rsidRDefault="002D64E3" w:rsidP="000B44A4">
      <w:pPr>
        <w:pStyle w:val="ListParagraph"/>
        <w:numPr>
          <w:ilvl w:val="0"/>
          <w:numId w:val="20"/>
        </w:numPr>
        <w:tabs>
          <w:tab w:val="left" w:pos="0"/>
        </w:tabs>
        <w:spacing w:after="0" w:line="480" w:lineRule="auto"/>
        <w:ind w:left="0" w:firstLine="0"/>
        <w:jc w:val="both"/>
        <w:rPr>
          <w:rFonts w:ascii="Arial" w:eastAsia="Times New Roman" w:hAnsi="Arial" w:cs="Arial"/>
          <w:color w:val="000000"/>
          <w:sz w:val="24"/>
          <w:szCs w:val="24"/>
        </w:rPr>
      </w:pPr>
      <w:r>
        <w:rPr>
          <w:rFonts w:ascii="Arial" w:eastAsia="Times New Roman" w:hAnsi="Arial" w:cs="Arial"/>
          <w:color w:val="000000"/>
          <w:sz w:val="24"/>
          <w:szCs w:val="24"/>
        </w:rPr>
        <w:t xml:space="preserve">Finally, there is a matter of reserved costs.  The matter was initially </w:t>
      </w:r>
      <w:r w:rsidR="006C1EF3">
        <w:rPr>
          <w:rFonts w:ascii="Arial" w:eastAsia="Times New Roman" w:hAnsi="Arial" w:cs="Arial"/>
          <w:color w:val="000000"/>
          <w:sz w:val="24"/>
          <w:szCs w:val="24"/>
        </w:rPr>
        <w:t>enrolled on 17 August 2021, when it was postponed to 11 November 2021.  On 11 November 2021, leave was granted to PIPLA to join as a party and the matter was postponed for argument on 18 to 21 January 2022.  In preparing the roll for the first term of 2022 the Judge President resolved that the matter should be heard by a full court and he allocated 11 to 14 April 2022 for argument.  This led to the inevitable postponement of 18 January.  On each occasion to costs occasioned by the postpone</w:t>
      </w:r>
      <w:r w:rsidR="00284D2D">
        <w:rPr>
          <w:rFonts w:ascii="Arial" w:eastAsia="Times New Roman" w:hAnsi="Arial" w:cs="Arial"/>
          <w:color w:val="000000"/>
          <w:sz w:val="24"/>
          <w:szCs w:val="24"/>
        </w:rPr>
        <w:t>ment</w:t>
      </w:r>
      <w:r w:rsidR="00103878">
        <w:rPr>
          <w:rFonts w:ascii="Arial" w:eastAsia="Times New Roman" w:hAnsi="Arial" w:cs="Arial"/>
          <w:color w:val="000000"/>
          <w:sz w:val="24"/>
          <w:szCs w:val="24"/>
        </w:rPr>
        <w:t xml:space="preserve"> were </w:t>
      </w:r>
      <w:r w:rsidR="00DA7E3F">
        <w:rPr>
          <w:rFonts w:ascii="Arial" w:eastAsia="Times New Roman" w:hAnsi="Arial" w:cs="Arial"/>
          <w:color w:val="000000"/>
          <w:sz w:val="24"/>
          <w:szCs w:val="24"/>
        </w:rPr>
        <w:t>reserved</w:t>
      </w:r>
      <w:r w:rsidR="006C1EF3">
        <w:rPr>
          <w:rFonts w:ascii="Arial" w:eastAsia="Times New Roman" w:hAnsi="Arial" w:cs="Arial"/>
          <w:color w:val="000000"/>
          <w:sz w:val="24"/>
          <w:szCs w:val="24"/>
        </w:rPr>
        <w:t>.</w:t>
      </w:r>
    </w:p>
    <w:p w14:paraId="3ADDB760" w14:textId="77777777" w:rsidR="006C02D3" w:rsidRPr="006C02D3" w:rsidRDefault="006C02D3" w:rsidP="000B44A4">
      <w:pPr>
        <w:pStyle w:val="ListParagraph"/>
        <w:spacing w:after="0" w:line="480" w:lineRule="auto"/>
        <w:ind w:left="0"/>
        <w:jc w:val="both"/>
        <w:rPr>
          <w:rFonts w:ascii="Arial" w:eastAsia="Times New Roman" w:hAnsi="Arial" w:cs="Arial"/>
          <w:color w:val="000000"/>
          <w:sz w:val="24"/>
          <w:szCs w:val="24"/>
        </w:rPr>
      </w:pPr>
    </w:p>
    <w:p w14:paraId="66D0C307" w14:textId="6D7BD806" w:rsidR="006C02D3" w:rsidRDefault="006C02D3" w:rsidP="000B44A4">
      <w:pPr>
        <w:pStyle w:val="ListParagraph"/>
        <w:numPr>
          <w:ilvl w:val="0"/>
          <w:numId w:val="20"/>
        </w:numPr>
        <w:tabs>
          <w:tab w:val="left" w:pos="0"/>
        </w:tabs>
        <w:spacing w:after="0" w:line="480" w:lineRule="auto"/>
        <w:ind w:left="0" w:firstLine="0"/>
        <w:jc w:val="both"/>
        <w:rPr>
          <w:rFonts w:ascii="Arial" w:eastAsia="Times New Roman" w:hAnsi="Arial" w:cs="Arial"/>
          <w:color w:val="000000"/>
          <w:sz w:val="24"/>
          <w:szCs w:val="24"/>
        </w:rPr>
      </w:pPr>
      <w:r w:rsidRPr="006C02D3">
        <w:rPr>
          <w:rFonts w:ascii="Arial" w:eastAsia="Times New Roman" w:hAnsi="Arial" w:cs="Arial"/>
          <w:color w:val="000000"/>
          <w:sz w:val="24"/>
          <w:szCs w:val="24"/>
        </w:rPr>
        <w:t xml:space="preserve">The respondents urged me to include the costs occasioned by </w:t>
      </w:r>
      <w:r w:rsidR="00445B1A" w:rsidRPr="006C02D3">
        <w:rPr>
          <w:rFonts w:ascii="Arial" w:eastAsia="Times New Roman" w:hAnsi="Arial" w:cs="Arial"/>
          <w:color w:val="000000"/>
          <w:sz w:val="24"/>
          <w:szCs w:val="24"/>
        </w:rPr>
        <w:t>these postponements</w:t>
      </w:r>
      <w:r w:rsidRPr="006C02D3">
        <w:rPr>
          <w:rFonts w:ascii="Arial" w:eastAsia="Times New Roman" w:hAnsi="Arial" w:cs="Arial"/>
          <w:color w:val="000000"/>
          <w:sz w:val="24"/>
          <w:szCs w:val="24"/>
        </w:rPr>
        <w:t xml:space="preserve"> in the costs orders referred to earlier.  The applicants contended that the costs occasioned by the postponement in January 2022 should be excluded from any order for costs as the postponement occurred at the instance of the Judge President.  Whilst I accept that these costs were occasioned by the decision of the Judge President, I </w:t>
      </w:r>
      <w:r w:rsidR="00103878">
        <w:rPr>
          <w:rFonts w:ascii="Arial" w:eastAsia="Times New Roman" w:hAnsi="Arial" w:cs="Arial"/>
          <w:color w:val="000000"/>
          <w:sz w:val="24"/>
          <w:szCs w:val="24"/>
        </w:rPr>
        <w:t>think</w:t>
      </w:r>
      <w:r w:rsidRPr="006C02D3">
        <w:rPr>
          <w:rFonts w:ascii="Arial" w:eastAsia="Times New Roman" w:hAnsi="Arial" w:cs="Arial"/>
          <w:color w:val="000000"/>
          <w:sz w:val="24"/>
          <w:szCs w:val="24"/>
        </w:rPr>
        <w:t xml:space="preserve"> that they are best considered to be costs in the cause and should follow the result.</w:t>
      </w:r>
    </w:p>
    <w:p w14:paraId="71D6C59F" w14:textId="77777777" w:rsidR="006C02D3" w:rsidRDefault="006C02D3" w:rsidP="000B44A4">
      <w:pPr>
        <w:pStyle w:val="ListParagraph"/>
        <w:tabs>
          <w:tab w:val="left" w:pos="0"/>
        </w:tabs>
        <w:spacing w:after="0" w:line="480" w:lineRule="auto"/>
        <w:ind w:left="0"/>
        <w:jc w:val="both"/>
        <w:rPr>
          <w:rFonts w:ascii="Arial" w:eastAsia="Times New Roman" w:hAnsi="Arial" w:cs="Arial"/>
          <w:color w:val="000000"/>
          <w:sz w:val="24"/>
          <w:szCs w:val="24"/>
        </w:rPr>
      </w:pPr>
    </w:p>
    <w:p w14:paraId="57685C0C" w14:textId="040A1ABA" w:rsidR="00DF44B0" w:rsidRDefault="006C02D3" w:rsidP="000B44A4">
      <w:pPr>
        <w:pStyle w:val="ListParagraph"/>
        <w:numPr>
          <w:ilvl w:val="0"/>
          <w:numId w:val="20"/>
        </w:numPr>
        <w:tabs>
          <w:tab w:val="left" w:pos="0"/>
        </w:tabs>
        <w:spacing w:after="0" w:line="480" w:lineRule="auto"/>
        <w:ind w:left="0" w:firstLine="0"/>
        <w:jc w:val="both"/>
        <w:rPr>
          <w:rFonts w:ascii="Arial" w:eastAsia="Times New Roman" w:hAnsi="Arial" w:cs="Arial"/>
          <w:color w:val="000000"/>
          <w:sz w:val="24"/>
          <w:szCs w:val="24"/>
        </w:rPr>
      </w:pPr>
      <w:r w:rsidRPr="006C02D3">
        <w:rPr>
          <w:rFonts w:ascii="Arial" w:eastAsia="Times New Roman" w:hAnsi="Arial" w:cs="Arial"/>
          <w:color w:val="000000"/>
          <w:sz w:val="24"/>
          <w:szCs w:val="24"/>
        </w:rPr>
        <w:t>The costs order set out below will exclude the costs of those respondents who have settled with the applicants after the issue of the application.</w:t>
      </w:r>
    </w:p>
    <w:p w14:paraId="76993994" w14:textId="77777777" w:rsidR="00220A00" w:rsidRPr="00220A00" w:rsidRDefault="00220A00" w:rsidP="00220A00">
      <w:pPr>
        <w:pStyle w:val="ListParagraph"/>
        <w:rPr>
          <w:rFonts w:ascii="Arial" w:eastAsia="Times New Roman" w:hAnsi="Arial" w:cs="Arial"/>
          <w:color w:val="000000"/>
          <w:sz w:val="24"/>
          <w:szCs w:val="24"/>
        </w:rPr>
      </w:pPr>
    </w:p>
    <w:p w14:paraId="12B00C3E" w14:textId="77777777" w:rsidR="00220A00" w:rsidRPr="00220A00" w:rsidRDefault="00220A00" w:rsidP="00220A00">
      <w:pPr>
        <w:tabs>
          <w:tab w:val="left" w:pos="0"/>
        </w:tabs>
        <w:spacing w:after="0" w:line="480" w:lineRule="auto"/>
        <w:jc w:val="both"/>
        <w:rPr>
          <w:rFonts w:ascii="Arial" w:eastAsia="Times New Roman" w:hAnsi="Arial" w:cs="Arial"/>
          <w:color w:val="000000"/>
          <w:sz w:val="24"/>
          <w:szCs w:val="24"/>
        </w:rPr>
      </w:pPr>
    </w:p>
    <w:p w14:paraId="5D33E44B" w14:textId="77777777" w:rsidR="00EB6928" w:rsidRPr="00EB6928" w:rsidRDefault="00EB6928" w:rsidP="000B44A4">
      <w:pPr>
        <w:tabs>
          <w:tab w:val="left" w:pos="0"/>
        </w:tabs>
        <w:spacing w:after="0" w:line="480" w:lineRule="auto"/>
        <w:jc w:val="both"/>
        <w:rPr>
          <w:rFonts w:ascii="Arial" w:eastAsia="Times New Roman" w:hAnsi="Arial" w:cs="Arial"/>
          <w:color w:val="000000"/>
          <w:sz w:val="24"/>
          <w:szCs w:val="24"/>
        </w:rPr>
      </w:pPr>
    </w:p>
    <w:p w14:paraId="2ACA0084" w14:textId="77777777" w:rsidR="006C02D3" w:rsidRPr="00DF44B0" w:rsidRDefault="006C02D3" w:rsidP="000B44A4">
      <w:pPr>
        <w:pStyle w:val="ListParagraph"/>
        <w:numPr>
          <w:ilvl w:val="0"/>
          <w:numId w:val="20"/>
        </w:numPr>
        <w:tabs>
          <w:tab w:val="left" w:pos="0"/>
        </w:tabs>
        <w:spacing w:after="0" w:line="480" w:lineRule="auto"/>
        <w:ind w:left="0" w:firstLine="0"/>
        <w:jc w:val="both"/>
        <w:rPr>
          <w:rFonts w:ascii="Arial" w:eastAsia="Times New Roman" w:hAnsi="Arial" w:cs="Arial"/>
          <w:color w:val="000000"/>
          <w:sz w:val="24"/>
          <w:szCs w:val="24"/>
        </w:rPr>
      </w:pPr>
      <w:r w:rsidRPr="00DF44B0">
        <w:rPr>
          <w:rFonts w:ascii="Arial" w:eastAsia="Times New Roman" w:hAnsi="Arial" w:cs="Arial"/>
          <w:color w:val="000000"/>
          <w:sz w:val="24"/>
          <w:szCs w:val="24"/>
        </w:rPr>
        <w:lastRenderedPageBreak/>
        <w:t>In the result:</w:t>
      </w:r>
    </w:p>
    <w:p w14:paraId="228297AE" w14:textId="5F02A398" w:rsidR="006C02D3" w:rsidRDefault="004E197B" w:rsidP="005B3169">
      <w:pPr>
        <w:pStyle w:val="ListParagraph"/>
        <w:numPr>
          <w:ilvl w:val="0"/>
          <w:numId w:val="17"/>
        </w:numPr>
        <w:tabs>
          <w:tab w:val="left" w:pos="0"/>
        </w:tabs>
        <w:spacing w:after="0" w:line="480" w:lineRule="auto"/>
        <w:ind w:left="0" w:firstLine="0"/>
        <w:jc w:val="both"/>
        <w:rPr>
          <w:rFonts w:ascii="Arial" w:eastAsia="Times New Roman" w:hAnsi="Arial" w:cs="Arial"/>
          <w:color w:val="000000"/>
          <w:sz w:val="24"/>
          <w:szCs w:val="24"/>
        </w:rPr>
      </w:pPr>
      <w:r>
        <w:rPr>
          <w:rFonts w:ascii="Arial" w:eastAsia="Times New Roman" w:hAnsi="Arial" w:cs="Arial"/>
          <w:color w:val="000000"/>
          <w:sz w:val="24"/>
          <w:szCs w:val="24"/>
        </w:rPr>
        <w:t xml:space="preserve">Part A of the </w:t>
      </w:r>
      <w:r w:rsidR="006C02D3">
        <w:rPr>
          <w:rFonts w:ascii="Arial" w:eastAsia="Times New Roman" w:hAnsi="Arial" w:cs="Arial"/>
          <w:color w:val="000000"/>
          <w:sz w:val="24"/>
          <w:szCs w:val="24"/>
        </w:rPr>
        <w:t>application is dismissed</w:t>
      </w:r>
      <w:r w:rsidR="00DB1463">
        <w:rPr>
          <w:rFonts w:ascii="Arial" w:eastAsia="Times New Roman" w:hAnsi="Arial" w:cs="Arial"/>
          <w:color w:val="000000"/>
          <w:sz w:val="24"/>
          <w:szCs w:val="24"/>
        </w:rPr>
        <w:t>.</w:t>
      </w:r>
    </w:p>
    <w:p w14:paraId="0701ABE1" w14:textId="77777777" w:rsidR="006C02D3" w:rsidRDefault="006C02D3" w:rsidP="005B3169">
      <w:pPr>
        <w:pStyle w:val="ListParagraph"/>
        <w:tabs>
          <w:tab w:val="left" w:pos="0"/>
        </w:tabs>
        <w:spacing w:after="0" w:line="480" w:lineRule="auto"/>
        <w:ind w:left="0"/>
        <w:jc w:val="both"/>
        <w:rPr>
          <w:rFonts w:ascii="Arial" w:eastAsia="Times New Roman" w:hAnsi="Arial" w:cs="Arial"/>
          <w:color w:val="000000"/>
          <w:sz w:val="24"/>
          <w:szCs w:val="24"/>
        </w:rPr>
      </w:pPr>
    </w:p>
    <w:p w14:paraId="662B9D05" w14:textId="7A4BB645" w:rsidR="006C02D3" w:rsidRPr="005B3169" w:rsidRDefault="006C02D3" w:rsidP="005B3169">
      <w:pPr>
        <w:pStyle w:val="ListParagraph"/>
        <w:numPr>
          <w:ilvl w:val="0"/>
          <w:numId w:val="17"/>
        </w:numPr>
        <w:tabs>
          <w:tab w:val="left" w:pos="0"/>
        </w:tabs>
        <w:spacing w:after="0" w:line="480" w:lineRule="auto"/>
        <w:ind w:hanging="720"/>
        <w:jc w:val="both"/>
        <w:rPr>
          <w:rFonts w:ascii="Arial" w:eastAsia="Times New Roman" w:hAnsi="Arial" w:cs="Arial"/>
          <w:color w:val="000000"/>
          <w:sz w:val="24"/>
          <w:szCs w:val="24"/>
        </w:rPr>
      </w:pPr>
      <w:r w:rsidRPr="005B3169">
        <w:rPr>
          <w:rFonts w:ascii="Arial" w:eastAsia="Times New Roman" w:hAnsi="Arial" w:cs="Arial"/>
          <w:color w:val="000000"/>
          <w:sz w:val="24"/>
          <w:szCs w:val="24"/>
        </w:rPr>
        <w:t xml:space="preserve">The applicants are ordered to pay the costs of all </w:t>
      </w:r>
      <w:r w:rsidR="004E197B">
        <w:rPr>
          <w:rFonts w:ascii="Arial" w:eastAsia="Times New Roman" w:hAnsi="Arial" w:cs="Arial"/>
          <w:color w:val="000000"/>
          <w:sz w:val="24"/>
          <w:szCs w:val="24"/>
        </w:rPr>
        <w:t xml:space="preserve">the </w:t>
      </w:r>
      <w:r w:rsidRPr="005B3169">
        <w:rPr>
          <w:rFonts w:ascii="Arial" w:eastAsia="Times New Roman" w:hAnsi="Arial" w:cs="Arial"/>
          <w:color w:val="000000"/>
          <w:sz w:val="24"/>
          <w:szCs w:val="24"/>
        </w:rPr>
        <w:t xml:space="preserve">respondents who have entered an appearance to defend, including </w:t>
      </w:r>
      <w:r w:rsidR="00DB1463" w:rsidRPr="005B3169">
        <w:rPr>
          <w:rFonts w:ascii="Arial" w:eastAsia="Times New Roman" w:hAnsi="Arial" w:cs="Arial"/>
          <w:color w:val="000000"/>
          <w:sz w:val="24"/>
          <w:szCs w:val="24"/>
        </w:rPr>
        <w:t>the Personal Injury P</w:t>
      </w:r>
      <w:r w:rsidR="00495778">
        <w:rPr>
          <w:rFonts w:ascii="Arial" w:eastAsia="Times New Roman" w:hAnsi="Arial" w:cs="Arial"/>
          <w:color w:val="000000"/>
          <w:sz w:val="24"/>
          <w:szCs w:val="24"/>
        </w:rPr>
        <w:t>laintiff</w:t>
      </w:r>
      <w:r w:rsidR="00D507C1">
        <w:rPr>
          <w:rFonts w:ascii="Arial" w:eastAsia="Times New Roman" w:hAnsi="Arial" w:cs="Arial"/>
          <w:color w:val="000000"/>
          <w:sz w:val="24"/>
          <w:szCs w:val="24"/>
        </w:rPr>
        <w:t>’s</w:t>
      </w:r>
      <w:r w:rsidR="00DB1463" w:rsidRPr="005B3169">
        <w:rPr>
          <w:rFonts w:ascii="Arial" w:eastAsia="Times New Roman" w:hAnsi="Arial" w:cs="Arial"/>
          <w:color w:val="000000"/>
          <w:sz w:val="24"/>
          <w:szCs w:val="24"/>
        </w:rPr>
        <w:t xml:space="preserve"> Lawyers Association</w:t>
      </w:r>
      <w:r w:rsidRPr="005B3169">
        <w:rPr>
          <w:rFonts w:ascii="Arial" w:eastAsia="Times New Roman" w:hAnsi="Arial" w:cs="Arial"/>
          <w:color w:val="000000"/>
          <w:sz w:val="24"/>
          <w:szCs w:val="24"/>
        </w:rPr>
        <w:t>, and such costs are to include the costs</w:t>
      </w:r>
      <w:r w:rsidR="004E197B">
        <w:rPr>
          <w:rFonts w:ascii="Arial" w:eastAsia="Times New Roman" w:hAnsi="Arial" w:cs="Arial"/>
          <w:color w:val="000000"/>
          <w:sz w:val="24"/>
          <w:szCs w:val="24"/>
        </w:rPr>
        <w:t xml:space="preserve"> of two counsel</w:t>
      </w:r>
      <w:r w:rsidR="00A26D18">
        <w:rPr>
          <w:rFonts w:ascii="Arial" w:eastAsia="Times New Roman" w:hAnsi="Arial" w:cs="Arial"/>
          <w:color w:val="000000"/>
          <w:sz w:val="24"/>
          <w:szCs w:val="24"/>
        </w:rPr>
        <w:t>,</w:t>
      </w:r>
      <w:r w:rsidR="004E197B">
        <w:rPr>
          <w:rFonts w:ascii="Arial" w:eastAsia="Times New Roman" w:hAnsi="Arial" w:cs="Arial"/>
          <w:color w:val="000000"/>
          <w:sz w:val="24"/>
          <w:szCs w:val="24"/>
        </w:rPr>
        <w:t xml:space="preserve"> where so employed in each instance, and the costs</w:t>
      </w:r>
      <w:r w:rsidRPr="005B3169">
        <w:rPr>
          <w:rFonts w:ascii="Arial" w:eastAsia="Times New Roman" w:hAnsi="Arial" w:cs="Arial"/>
          <w:color w:val="000000"/>
          <w:sz w:val="24"/>
          <w:szCs w:val="24"/>
        </w:rPr>
        <w:t xml:space="preserve"> reserved on 17 August 2021, 11 November 2021 and 18 January 2022.</w:t>
      </w:r>
    </w:p>
    <w:p w14:paraId="3233B131" w14:textId="77777777" w:rsidR="006C02D3" w:rsidRDefault="006C02D3" w:rsidP="005B3169">
      <w:pPr>
        <w:pStyle w:val="ListParagraph"/>
        <w:tabs>
          <w:tab w:val="left" w:pos="0"/>
        </w:tabs>
        <w:spacing w:after="0" w:line="480" w:lineRule="auto"/>
        <w:ind w:hanging="720"/>
        <w:jc w:val="both"/>
        <w:rPr>
          <w:rFonts w:ascii="Arial" w:eastAsia="Times New Roman" w:hAnsi="Arial" w:cs="Arial"/>
          <w:color w:val="000000"/>
          <w:sz w:val="24"/>
          <w:szCs w:val="24"/>
        </w:rPr>
      </w:pPr>
    </w:p>
    <w:p w14:paraId="04217F9E" w14:textId="73415D78" w:rsidR="006C02D3" w:rsidRDefault="006C02D3" w:rsidP="005B3169">
      <w:pPr>
        <w:pStyle w:val="ListParagraph"/>
        <w:numPr>
          <w:ilvl w:val="0"/>
          <w:numId w:val="17"/>
        </w:numPr>
        <w:tabs>
          <w:tab w:val="left" w:pos="0"/>
        </w:tabs>
        <w:spacing w:after="0" w:line="480" w:lineRule="auto"/>
        <w:ind w:hanging="720"/>
        <w:jc w:val="both"/>
        <w:rPr>
          <w:rFonts w:ascii="Arial" w:eastAsia="Times New Roman" w:hAnsi="Arial" w:cs="Arial"/>
          <w:color w:val="000000"/>
          <w:sz w:val="24"/>
          <w:szCs w:val="24"/>
        </w:rPr>
      </w:pPr>
      <w:r>
        <w:rPr>
          <w:rFonts w:ascii="Arial" w:eastAsia="Times New Roman" w:hAnsi="Arial" w:cs="Arial"/>
          <w:color w:val="000000"/>
          <w:sz w:val="24"/>
          <w:szCs w:val="24"/>
        </w:rPr>
        <w:t>The costs</w:t>
      </w:r>
      <w:r w:rsidR="004E197B">
        <w:rPr>
          <w:rFonts w:ascii="Arial" w:eastAsia="Times New Roman" w:hAnsi="Arial" w:cs="Arial"/>
          <w:color w:val="000000"/>
          <w:sz w:val="24"/>
          <w:szCs w:val="24"/>
        </w:rPr>
        <w:t>, as set out in paragraph 2 above, incurred</w:t>
      </w:r>
      <w:r>
        <w:rPr>
          <w:rFonts w:ascii="Arial" w:eastAsia="Times New Roman" w:hAnsi="Arial" w:cs="Arial"/>
          <w:color w:val="000000"/>
          <w:sz w:val="24"/>
          <w:szCs w:val="24"/>
        </w:rPr>
        <w:t xml:space="preserve"> by</w:t>
      </w:r>
      <w:r w:rsidR="00DB1463">
        <w:rPr>
          <w:rFonts w:ascii="Arial" w:eastAsia="Times New Roman" w:hAnsi="Arial" w:cs="Arial"/>
          <w:color w:val="000000"/>
          <w:sz w:val="24"/>
          <w:szCs w:val="24"/>
        </w:rPr>
        <w:t xml:space="preserve"> the Personal Injury P</w:t>
      </w:r>
      <w:r w:rsidR="00495778">
        <w:rPr>
          <w:rFonts w:ascii="Arial" w:eastAsia="Times New Roman" w:hAnsi="Arial" w:cs="Arial"/>
          <w:color w:val="000000"/>
          <w:sz w:val="24"/>
          <w:szCs w:val="24"/>
        </w:rPr>
        <w:t>laintiff</w:t>
      </w:r>
      <w:r w:rsidR="00D507C1">
        <w:rPr>
          <w:rFonts w:ascii="Arial" w:eastAsia="Times New Roman" w:hAnsi="Arial" w:cs="Arial"/>
          <w:color w:val="000000"/>
          <w:sz w:val="24"/>
          <w:szCs w:val="24"/>
        </w:rPr>
        <w:t>’s</w:t>
      </w:r>
      <w:r w:rsidR="00DB1463">
        <w:rPr>
          <w:rFonts w:ascii="Arial" w:eastAsia="Times New Roman" w:hAnsi="Arial" w:cs="Arial"/>
          <w:color w:val="000000"/>
          <w:sz w:val="24"/>
          <w:szCs w:val="24"/>
        </w:rPr>
        <w:t xml:space="preserve"> Lawyers Association</w:t>
      </w:r>
      <w:r>
        <w:rPr>
          <w:rFonts w:ascii="Arial" w:eastAsia="Times New Roman" w:hAnsi="Arial" w:cs="Arial"/>
          <w:color w:val="000000"/>
          <w:sz w:val="24"/>
          <w:szCs w:val="24"/>
        </w:rPr>
        <w:t xml:space="preserve"> and the attorney respondents are to be paid on a scale as between attorney and client.</w:t>
      </w:r>
    </w:p>
    <w:p w14:paraId="14298992" w14:textId="77777777" w:rsidR="006C02D3" w:rsidRDefault="006C02D3" w:rsidP="005B3169">
      <w:pPr>
        <w:pStyle w:val="ListParagraph"/>
        <w:tabs>
          <w:tab w:val="left" w:pos="0"/>
        </w:tabs>
        <w:spacing w:after="0" w:line="480" w:lineRule="auto"/>
        <w:ind w:hanging="720"/>
        <w:jc w:val="both"/>
        <w:rPr>
          <w:rFonts w:ascii="Arial" w:eastAsia="Times New Roman" w:hAnsi="Arial" w:cs="Arial"/>
          <w:color w:val="000000"/>
          <w:sz w:val="24"/>
          <w:szCs w:val="24"/>
        </w:rPr>
      </w:pPr>
    </w:p>
    <w:p w14:paraId="188F7039" w14:textId="55EA139B" w:rsidR="006C02D3" w:rsidRDefault="006C02D3" w:rsidP="005B3169">
      <w:pPr>
        <w:pStyle w:val="ListParagraph"/>
        <w:numPr>
          <w:ilvl w:val="0"/>
          <w:numId w:val="17"/>
        </w:numPr>
        <w:tabs>
          <w:tab w:val="left" w:pos="0"/>
        </w:tabs>
        <w:spacing w:after="0" w:line="480" w:lineRule="auto"/>
        <w:ind w:hanging="720"/>
        <w:jc w:val="both"/>
        <w:rPr>
          <w:rFonts w:ascii="Arial" w:eastAsia="Times New Roman" w:hAnsi="Arial" w:cs="Arial"/>
          <w:color w:val="000000"/>
          <w:sz w:val="24"/>
          <w:szCs w:val="24"/>
        </w:rPr>
      </w:pPr>
      <w:r>
        <w:rPr>
          <w:rFonts w:ascii="Arial" w:eastAsia="Times New Roman" w:hAnsi="Arial" w:cs="Arial"/>
          <w:color w:val="000000"/>
          <w:sz w:val="24"/>
          <w:szCs w:val="24"/>
        </w:rPr>
        <w:t>The registrar of this court is directed to deliver a copy of this judgment to the National Director of Public Prosecutions to consider a possible prosecution in terms of s 86 of the P</w:t>
      </w:r>
      <w:r w:rsidR="00DB1463">
        <w:rPr>
          <w:rFonts w:ascii="Arial" w:eastAsia="Times New Roman" w:hAnsi="Arial" w:cs="Arial"/>
          <w:color w:val="000000"/>
          <w:sz w:val="24"/>
          <w:szCs w:val="24"/>
        </w:rPr>
        <w:t>ublic Financial Management Act</w:t>
      </w:r>
      <w:r>
        <w:rPr>
          <w:rFonts w:ascii="Arial" w:eastAsia="Times New Roman" w:hAnsi="Arial" w:cs="Arial"/>
          <w:color w:val="000000"/>
          <w:sz w:val="24"/>
          <w:szCs w:val="24"/>
        </w:rPr>
        <w:t>.</w:t>
      </w:r>
    </w:p>
    <w:p w14:paraId="09B8FA34" w14:textId="77777777" w:rsidR="00C06C38" w:rsidRPr="00C06C38" w:rsidRDefault="00C06C38" w:rsidP="00C06C38">
      <w:pPr>
        <w:pStyle w:val="ListParagraph"/>
        <w:rPr>
          <w:rFonts w:ascii="Arial" w:eastAsia="Times New Roman" w:hAnsi="Arial" w:cs="Arial"/>
          <w:color w:val="000000"/>
          <w:sz w:val="24"/>
          <w:szCs w:val="24"/>
        </w:rPr>
      </w:pPr>
    </w:p>
    <w:p w14:paraId="43DD71AD" w14:textId="77777777" w:rsidR="00C06C38" w:rsidRDefault="00C06C38" w:rsidP="00C06C38">
      <w:pPr>
        <w:tabs>
          <w:tab w:val="left" w:pos="0"/>
        </w:tabs>
        <w:spacing w:after="0" w:line="480" w:lineRule="auto"/>
        <w:jc w:val="both"/>
        <w:rPr>
          <w:rFonts w:ascii="Arial" w:eastAsia="Times New Roman" w:hAnsi="Arial" w:cs="Arial"/>
          <w:color w:val="000000"/>
          <w:sz w:val="24"/>
          <w:szCs w:val="24"/>
        </w:rPr>
      </w:pPr>
    </w:p>
    <w:p w14:paraId="3EFC1109" w14:textId="725DCACE" w:rsidR="00220A00" w:rsidRDefault="009E6C0E" w:rsidP="009E6C0E">
      <w:pPr>
        <w:tabs>
          <w:tab w:val="left" w:pos="0"/>
          <w:tab w:val="left" w:pos="5572"/>
        </w:tabs>
        <w:spacing w:after="0" w:line="48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ab/>
      </w:r>
    </w:p>
    <w:p w14:paraId="1C4EBFC0" w14:textId="4F59B185" w:rsidR="00C06C38" w:rsidRPr="00C06C38" w:rsidRDefault="00C06C38" w:rsidP="00C06C38">
      <w:pPr>
        <w:tabs>
          <w:tab w:val="left" w:pos="0"/>
        </w:tabs>
        <w:spacing w:after="0" w:line="480" w:lineRule="auto"/>
        <w:jc w:val="both"/>
        <w:rPr>
          <w:rFonts w:ascii="Arial" w:eastAsia="Times New Roman" w:hAnsi="Arial" w:cs="Arial"/>
          <w:b/>
          <w:color w:val="000000"/>
          <w:sz w:val="24"/>
          <w:szCs w:val="24"/>
        </w:rPr>
      </w:pPr>
      <w:r w:rsidRPr="00C06C38">
        <w:rPr>
          <w:rFonts w:ascii="Arial" w:eastAsia="Times New Roman" w:hAnsi="Arial" w:cs="Arial"/>
          <w:b/>
          <w:color w:val="000000"/>
          <w:sz w:val="24"/>
          <w:szCs w:val="24"/>
        </w:rPr>
        <w:t>J W EKSTEEN</w:t>
      </w:r>
    </w:p>
    <w:p w14:paraId="12B3AC56" w14:textId="01F39A4B" w:rsidR="00C06C38" w:rsidRDefault="00C06C38" w:rsidP="00C06C38">
      <w:pPr>
        <w:tabs>
          <w:tab w:val="left" w:pos="0"/>
        </w:tabs>
        <w:spacing w:after="0" w:line="480" w:lineRule="auto"/>
        <w:jc w:val="both"/>
        <w:rPr>
          <w:rFonts w:ascii="Arial" w:eastAsia="Times New Roman" w:hAnsi="Arial" w:cs="Arial"/>
          <w:b/>
          <w:color w:val="000000"/>
          <w:sz w:val="24"/>
          <w:szCs w:val="24"/>
        </w:rPr>
      </w:pPr>
      <w:r w:rsidRPr="00C06C38">
        <w:rPr>
          <w:rFonts w:ascii="Arial" w:eastAsia="Times New Roman" w:hAnsi="Arial" w:cs="Arial"/>
          <w:b/>
          <w:color w:val="000000"/>
          <w:sz w:val="24"/>
          <w:szCs w:val="24"/>
        </w:rPr>
        <w:t>JUDGE OF THE HIGH COURT</w:t>
      </w:r>
    </w:p>
    <w:p w14:paraId="4596B9C4" w14:textId="77777777" w:rsidR="00220A00" w:rsidRDefault="00220A00" w:rsidP="00C06C38">
      <w:pPr>
        <w:tabs>
          <w:tab w:val="left" w:pos="0"/>
        </w:tabs>
        <w:spacing w:after="0" w:line="480" w:lineRule="auto"/>
        <w:jc w:val="both"/>
        <w:rPr>
          <w:rFonts w:ascii="Arial" w:eastAsia="Times New Roman" w:hAnsi="Arial" w:cs="Arial"/>
          <w:color w:val="000000"/>
          <w:sz w:val="24"/>
          <w:szCs w:val="24"/>
        </w:rPr>
      </w:pPr>
    </w:p>
    <w:p w14:paraId="0FC8D476" w14:textId="77777777" w:rsidR="00220A00" w:rsidRDefault="00220A00" w:rsidP="00C06C38">
      <w:pPr>
        <w:tabs>
          <w:tab w:val="left" w:pos="0"/>
        </w:tabs>
        <w:spacing w:after="0" w:line="480" w:lineRule="auto"/>
        <w:jc w:val="both"/>
        <w:rPr>
          <w:rFonts w:ascii="Arial" w:eastAsia="Times New Roman" w:hAnsi="Arial" w:cs="Arial"/>
          <w:color w:val="000000"/>
          <w:sz w:val="24"/>
          <w:szCs w:val="24"/>
        </w:rPr>
      </w:pPr>
    </w:p>
    <w:p w14:paraId="4B8536D3" w14:textId="77777777" w:rsidR="00220A00" w:rsidRDefault="00220A00" w:rsidP="00C06C38">
      <w:pPr>
        <w:tabs>
          <w:tab w:val="left" w:pos="0"/>
        </w:tabs>
        <w:spacing w:after="0" w:line="480" w:lineRule="auto"/>
        <w:jc w:val="both"/>
        <w:rPr>
          <w:rFonts w:ascii="Arial" w:eastAsia="Times New Roman" w:hAnsi="Arial" w:cs="Arial"/>
          <w:color w:val="000000"/>
          <w:sz w:val="24"/>
          <w:szCs w:val="24"/>
        </w:rPr>
      </w:pPr>
    </w:p>
    <w:p w14:paraId="292D426E" w14:textId="77777777" w:rsidR="00220A00" w:rsidRDefault="00220A00" w:rsidP="00C06C38">
      <w:pPr>
        <w:tabs>
          <w:tab w:val="left" w:pos="0"/>
        </w:tabs>
        <w:spacing w:after="0" w:line="480" w:lineRule="auto"/>
        <w:jc w:val="both"/>
        <w:rPr>
          <w:rFonts w:ascii="Arial" w:eastAsia="Times New Roman" w:hAnsi="Arial" w:cs="Arial"/>
          <w:color w:val="000000"/>
          <w:sz w:val="24"/>
          <w:szCs w:val="24"/>
        </w:rPr>
      </w:pPr>
    </w:p>
    <w:p w14:paraId="78BF4ADB" w14:textId="77777777" w:rsidR="00220A00" w:rsidRDefault="00220A00" w:rsidP="00C06C38">
      <w:pPr>
        <w:tabs>
          <w:tab w:val="left" w:pos="0"/>
        </w:tabs>
        <w:spacing w:after="0" w:line="480" w:lineRule="auto"/>
        <w:jc w:val="both"/>
        <w:rPr>
          <w:rFonts w:ascii="Arial" w:eastAsia="Times New Roman" w:hAnsi="Arial" w:cs="Arial"/>
          <w:color w:val="000000"/>
          <w:sz w:val="24"/>
          <w:szCs w:val="24"/>
        </w:rPr>
      </w:pPr>
    </w:p>
    <w:p w14:paraId="6C1FBEA5" w14:textId="316E8A60" w:rsidR="00C06C38" w:rsidRDefault="00C06C38" w:rsidP="00C06C38">
      <w:pPr>
        <w:tabs>
          <w:tab w:val="left" w:pos="0"/>
        </w:tabs>
        <w:spacing w:after="0" w:line="480" w:lineRule="auto"/>
        <w:jc w:val="both"/>
        <w:rPr>
          <w:rFonts w:ascii="Arial" w:eastAsia="Times New Roman" w:hAnsi="Arial" w:cs="Arial"/>
          <w:color w:val="000000"/>
          <w:sz w:val="24"/>
          <w:szCs w:val="24"/>
        </w:rPr>
      </w:pPr>
      <w:r>
        <w:rPr>
          <w:rFonts w:ascii="Arial" w:eastAsia="Times New Roman" w:hAnsi="Arial" w:cs="Arial"/>
          <w:color w:val="000000"/>
          <w:sz w:val="24"/>
          <w:szCs w:val="24"/>
        </w:rPr>
        <w:t>BESHE J:</w:t>
      </w:r>
    </w:p>
    <w:p w14:paraId="359B7A21" w14:textId="1B83D666" w:rsidR="00C06C38" w:rsidRDefault="00C06C38" w:rsidP="00C06C38">
      <w:pPr>
        <w:tabs>
          <w:tab w:val="left" w:pos="0"/>
        </w:tabs>
        <w:spacing w:after="0" w:line="480" w:lineRule="auto"/>
        <w:jc w:val="both"/>
        <w:rPr>
          <w:rFonts w:ascii="Arial" w:eastAsia="Times New Roman" w:hAnsi="Arial" w:cs="Arial"/>
          <w:color w:val="000000"/>
          <w:sz w:val="24"/>
          <w:szCs w:val="24"/>
        </w:rPr>
      </w:pPr>
      <w:r>
        <w:rPr>
          <w:rFonts w:ascii="Arial" w:eastAsia="Times New Roman" w:hAnsi="Arial" w:cs="Arial"/>
          <w:color w:val="000000"/>
          <w:sz w:val="24"/>
          <w:szCs w:val="24"/>
        </w:rPr>
        <w:t>I agree.</w:t>
      </w:r>
    </w:p>
    <w:p w14:paraId="2BC4C7DF" w14:textId="77777777" w:rsidR="00894F47" w:rsidRDefault="00894F47" w:rsidP="00C06C38">
      <w:pPr>
        <w:tabs>
          <w:tab w:val="left" w:pos="0"/>
        </w:tabs>
        <w:spacing w:after="0" w:line="480" w:lineRule="auto"/>
        <w:jc w:val="both"/>
        <w:rPr>
          <w:rFonts w:ascii="Arial" w:eastAsia="Times New Roman" w:hAnsi="Arial" w:cs="Arial"/>
          <w:color w:val="000000"/>
          <w:sz w:val="24"/>
          <w:szCs w:val="24"/>
        </w:rPr>
      </w:pPr>
    </w:p>
    <w:p w14:paraId="08D099C3" w14:textId="77777777" w:rsidR="00C06C38" w:rsidRDefault="00C06C38" w:rsidP="00C06C38">
      <w:pPr>
        <w:tabs>
          <w:tab w:val="left" w:pos="0"/>
        </w:tabs>
        <w:spacing w:after="0" w:line="480" w:lineRule="auto"/>
        <w:jc w:val="both"/>
        <w:rPr>
          <w:rFonts w:ascii="Arial" w:eastAsia="Times New Roman" w:hAnsi="Arial" w:cs="Arial"/>
          <w:color w:val="000000"/>
          <w:sz w:val="24"/>
          <w:szCs w:val="24"/>
        </w:rPr>
      </w:pPr>
    </w:p>
    <w:p w14:paraId="2C9AA7DB" w14:textId="79B110E6" w:rsidR="00C06C38" w:rsidRPr="00C06C38" w:rsidRDefault="0004119E" w:rsidP="00C06C38">
      <w:pPr>
        <w:tabs>
          <w:tab w:val="left" w:pos="0"/>
        </w:tabs>
        <w:spacing w:after="0" w:line="48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N G</w:t>
      </w:r>
      <w:r w:rsidR="00C06C38" w:rsidRPr="00C06C38">
        <w:rPr>
          <w:rFonts w:ascii="Arial" w:eastAsia="Times New Roman" w:hAnsi="Arial" w:cs="Arial"/>
          <w:b/>
          <w:color w:val="000000"/>
          <w:sz w:val="24"/>
          <w:szCs w:val="24"/>
        </w:rPr>
        <w:t xml:space="preserve"> BESHE</w:t>
      </w:r>
    </w:p>
    <w:p w14:paraId="4E065E30" w14:textId="2F9B655E" w:rsidR="00C06C38" w:rsidRPr="00C06C38" w:rsidRDefault="00C06C38" w:rsidP="00C06C38">
      <w:pPr>
        <w:tabs>
          <w:tab w:val="left" w:pos="0"/>
        </w:tabs>
        <w:spacing w:after="0" w:line="480" w:lineRule="auto"/>
        <w:jc w:val="both"/>
        <w:rPr>
          <w:rFonts w:ascii="Arial" w:eastAsia="Times New Roman" w:hAnsi="Arial" w:cs="Arial"/>
          <w:b/>
          <w:color w:val="000000"/>
          <w:sz w:val="24"/>
          <w:szCs w:val="24"/>
        </w:rPr>
      </w:pPr>
      <w:r w:rsidRPr="00C06C38">
        <w:rPr>
          <w:rFonts w:ascii="Arial" w:eastAsia="Times New Roman" w:hAnsi="Arial" w:cs="Arial"/>
          <w:b/>
          <w:color w:val="000000"/>
          <w:sz w:val="24"/>
          <w:szCs w:val="24"/>
        </w:rPr>
        <w:t>JUDGE OF THE HIGH COURT</w:t>
      </w:r>
    </w:p>
    <w:p w14:paraId="778C9E36" w14:textId="22B1BAB8" w:rsidR="00C06C38" w:rsidRDefault="00C06C38" w:rsidP="00C06C38">
      <w:pPr>
        <w:tabs>
          <w:tab w:val="left" w:pos="0"/>
        </w:tabs>
        <w:spacing w:after="0" w:line="480" w:lineRule="auto"/>
        <w:jc w:val="both"/>
        <w:rPr>
          <w:rFonts w:ascii="Arial" w:eastAsia="Times New Roman" w:hAnsi="Arial" w:cs="Arial"/>
          <w:color w:val="000000"/>
          <w:sz w:val="24"/>
          <w:szCs w:val="24"/>
        </w:rPr>
      </w:pPr>
    </w:p>
    <w:p w14:paraId="1754F937" w14:textId="28E6E89E" w:rsidR="0018387C" w:rsidRDefault="0018387C" w:rsidP="00C06C38">
      <w:pPr>
        <w:tabs>
          <w:tab w:val="left" w:pos="0"/>
        </w:tabs>
        <w:spacing w:after="0" w:line="480" w:lineRule="auto"/>
        <w:jc w:val="both"/>
        <w:rPr>
          <w:rFonts w:ascii="Arial" w:eastAsia="Times New Roman" w:hAnsi="Arial" w:cs="Arial"/>
          <w:color w:val="000000"/>
          <w:sz w:val="24"/>
          <w:szCs w:val="24"/>
        </w:rPr>
      </w:pPr>
    </w:p>
    <w:p w14:paraId="7D7856D7" w14:textId="620EFBCE" w:rsidR="00C06C38" w:rsidRDefault="00C06C38" w:rsidP="00C06C38">
      <w:pPr>
        <w:tabs>
          <w:tab w:val="left" w:pos="0"/>
        </w:tabs>
        <w:spacing w:after="0" w:line="480" w:lineRule="auto"/>
        <w:jc w:val="both"/>
        <w:rPr>
          <w:rFonts w:ascii="Arial" w:eastAsia="Times New Roman" w:hAnsi="Arial" w:cs="Arial"/>
          <w:color w:val="000000"/>
          <w:sz w:val="24"/>
          <w:szCs w:val="24"/>
        </w:rPr>
      </w:pPr>
      <w:r>
        <w:rPr>
          <w:rFonts w:ascii="Arial" w:eastAsia="Times New Roman" w:hAnsi="Arial" w:cs="Arial"/>
          <w:color w:val="000000"/>
          <w:sz w:val="24"/>
          <w:szCs w:val="24"/>
        </w:rPr>
        <w:t>LAING J:</w:t>
      </w:r>
    </w:p>
    <w:p w14:paraId="73DEED11" w14:textId="049ED8BB" w:rsidR="00C06C38" w:rsidRDefault="00C06C38" w:rsidP="00C06C38">
      <w:pPr>
        <w:tabs>
          <w:tab w:val="left" w:pos="0"/>
        </w:tabs>
        <w:spacing w:after="0" w:line="480" w:lineRule="auto"/>
        <w:jc w:val="both"/>
        <w:rPr>
          <w:rFonts w:ascii="Arial" w:eastAsia="Times New Roman" w:hAnsi="Arial" w:cs="Arial"/>
          <w:color w:val="000000"/>
          <w:sz w:val="24"/>
          <w:szCs w:val="24"/>
        </w:rPr>
      </w:pPr>
      <w:r>
        <w:rPr>
          <w:rFonts w:ascii="Arial" w:eastAsia="Times New Roman" w:hAnsi="Arial" w:cs="Arial"/>
          <w:color w:val="000000"/>
          <w:sz w:val="24"/>
          <w:szCs w:val="24"/>
        </w:rPr>
        <w:t>I agree.</w:t>
      </w:r>
    </w:p>
    <w:p w14:paraId="5CED2798" w14:textId="77777777" w:rsidR="00C06C38" w:rsidRDefault="00C06C38" w:rsidP="00C06C38">
      <w:pPr>
        <w:tabs>
          <w:tab w:val="left" w:pos="0"/>
        </w:tabs>
        <w:spacing w:after="0" w:line="480" w:lineRule="auto"/>
        <w:jc w:val="both"/>
        <w:rPr>
          <w:rFonts w:ascii="Arial" w:eastAsia="Times New Roman" w:hAnsi="Arial" w:cs="Arial"/>
          <w:color w:val="000000"/>
          <w:sz w:val="24"/>
          <w:szCs w:val="24"/>
        </w:rPr>
      </w:pPr>
    </w:p>
    <w:p w14:paraId="56AC2D14" w14:textId="2D192891" w:rsidR="00C06C38" w:rsidRDefault="00C06C38" w:rsidP="00C06C38">
      <w:pPr>
        <w:tabs>
          <w:tab w:val="left" w:pos="0"/>
        </w:tabs>
        <w:spacing w:after="0" w:line="480" w:lineRule="auto"/>
        <w:jc w:val="both"/>
        <w:rPr>
          <w:rFonts w:ascii="Arial" w:eastAsia="Times New Roman" w:hAnsi="Arial" w:cs="Arial"/>
          <w:color w:val="000000"/>
          <w:sz w:val="24"/>
          <w:szCs w:val="24"/>
        </w:rPr>
      </w:pPr>
    </w:p>
    <w:p w14:paraId="39361A0B" w14:textId="2E26960D" w:rsidR="00C06C38" w:rsidRPr="00C06C38" w:rsidRDefault="00C06C38" w:rsidP="00C06C38">
      <w:pPr>
        <w:tabs>
          <w:tab w:val="left" w:pos="0"/>
        </w:tabs>
        <w:spacing w:after="0" w:line="480" w:lineRule="auto"/>
        <w:jc w:val="both"/>
        <w:rPr>
          <w:rFonts w:ascii="Arial" w:eastAsia="Times New Roman" w:hAnsi="Arial" w:cs="Arial"/>
          <w:b/>
          <w:color w:val="000000"/>
          <w:sz w:val="24"/>
          <w:szCs w:val="24"/>
        </w:rPr>
      </w:pPr>
      <w:r w:rsidRPr="00C06C38">
        <w:rPr>
          <w:rFonts w:ascii="Arial" w:eastAsia="Times New Roman" w:hAnsi="Arial" w:cs="Arial"/>
          <w:b/>
          <w:color w:val="000000"/>
          <w:sz w:val="24"/>
          <w:szCs w:val="24"/>
        </w:rPr>
        <w:t xml:space="preserve">J </w:t>
      </w:r>
      <w:r w:rsidR="0004119E">
        <w:rPr>
          <w:rFonts w:ascii="Arial" w:eastAsia="Times New Roman" w:hAnsi="Arial" w:cs="Arial"/>
          <w:b/>
          <w:color w:val="000000"/>
          <w:sz w:val="24"/>
          <w:szCs w:val="24"/>
        </w:rPr>
        <w:t xml:space="preserve">G A </w:t>
      </w:r>
      <w:r w:rsidRPr="00C06C38">
        <w:rPr>
          <w:rFonts w:ascii="Arial" w:eastAsia="Times New Roman" w:hAnsi="Arial" w:cs="Arial"/>
          <w:b/>
          <w:color w:val="000000"/>
          <w:sz w:val="24"/>
          <w:szCs w:val="24"/>
        </w:rPr>
        <w:t>LAING</w:t>
      </w:r>
    </w:p>
    <w:p w14:paraId="415C32F5" w14:textId="38E18AAE" w:rsidR="00894F47" w:rsidRDefault="00C06C38" w:rsidP="00C06C38">
      <w:pPr>
        <w:tabs>
          <w:tab w:val="left" w:pos="0"/>
        </w:tabs>
        <w:spacing w:after="0" w:line="480" w:lineRule="auto"/>
        <w:jc w:val="both"/>
        <w:rPr>
          <w:rFonts w:ascii="Arial" w:eastAsia="Times New Roman" w:hAnsi="Arial" w:cs="Arial"/>
          <w:b/>
          <w:color w:val="000000"/>
          <w:sz w:val="24"/>
          <w:szCs w:val="24"/>
        </w:rPr>
      </w:pPr>
      <w:r w:rsidRPr="00C06C38">
        <w:rPr>
          <w:rFonts w:ascii="Arial" w:eastAsia="Times New Roman" w:hAnsi="Arial" w:cs="Arial"/>
          <w:b/>
          <w:color w:val="000000"/>
          <w:sz w:val="24"/>
          <w:szCs w:val="24"/>
        </w:rPr>
        <w:t>JUDGE OF THE HIGH COURT</w:t>
      </w:r>
    </w:p>
    <w:p w14:paraId="3F91FB7E" w14:textId="77777777" w:rsidR="00894F47" w:rsidRDefault="00894F47">
      <w:pPr>
        <w:rPr>
          <w:rFonts w:ascii="Arial" w:eastAsia="Times New Roman" w:hAnsi="Arial" w:cs="Arial"/>
          <w:b/>
          <w:color w:val="000000"/>
          <w:sz w:val="24"/>
          <w:szCs w:val="24"/>
        </w:rPr>
      </w:pPr>
      <w:r>
        <w:rPr>
          <w:rFonts w:ascii="Arial" w:eastAsia="Times New Roman" w:hAnsi="Arial" w:cs="Arial"/>
          <w:b/>
          <w:color w:val="000000"/>
          <w:sz w:val="24"/>
          <w:szCs w:val="24"/>
        </w:rPr>
        <w:br w:type="page"/>
      </w:r>
    </w:p>
    <w:p w14:paraId="40ADEE71" w14:textId="22F44930" w:rsidR="00B53969" w:rsidRDefault="00B53969" w:rsidP="00B53969">
      <w:pPr>
        <w:ind w:left="1440" w:hanging="1440"/>
        <w:jc w:val="both"/>
        <w:rPr>
          <w:rFonts w:ascii="Arial" w:hAnsi="Arial" w:cs="Arial"/>
          <w:sz w:val="24"/>
          <w:szCs w:val="24"/>
          <w:lang w:val="en-GB"/>
        </w:rPr>
      </w:pPr>
      <w:r>
        <w:rPr>
          <w:rFonts w:ascii="Arial" w:hAnsi="Arial" w:cs="Arial"/>
          <w:sz w:val="24"/>
          <w:szCs w:val="24"/>
          <w:lang w:val="en-GB"/>
        </w:rPr>
        <w:lastRenderedPageBreak/>
        <w:t>Appearances:</w:t>
      </w:r>
    </w:p>
    <w:p w14:paraId="10A8705C" w14:textId="039F31DA" w:rsidR="00894F47" w:rsidRDefault="00894F47" w:rsidP="00B53969">
      <w:pPr>
        <w:ind w:left="1440" w:hanging="1440"/>
        <w:jc w:val="both"/>
        <w:rPr>
          <w:rFonts w:ascii="Arial" w:hAnsi="Arial" w:cs="Arial"/>
          <w:sz w:val="24"/>
          <w:szCs w:val="24"/>
          <w:lang w:val="en-GB"/>
        </w:rPr>
      </w:pPr>
    </w:p>
    <w:p w14:paraId="62E53589" w14:textId="77777777" w:rsidR="00507AC6" w:rsidRDefault="00894F47" w:rsidP="00894F47">
      <w:pPr>
        <w:ind w:left="2160" w:hanging="2160"/>
        <w:jc w:val="both"/>
        <w:rPr>
          <w:rFonts w:ascii="Arial" w:hAnsi="Arial" w:cs="Arial"/>
          <w:i/>
          <w:sz w:val="24"/>
          <w:szCs w:val="24"/>
          <w:lang w:val="en-GB"/>
        </w:rPr>
      </w:pPr>
      <w:r w:rsidRPr="00452572">
        <w:rPr>
          <w:rFonts w:ascii="Arial" w:hAnsi="Arial" w:cs="Arial"/>
          <w:i/>
          <w:sz w:val="24"/>
          <w:szCs w:val="24"/>
          <w:lang w:val="en-GB"/>
        </w:rPr>
        <w:t>Amicus Curiae</w:t>
      </w:r>
      <w:r w:rsidR="00507AC6">
        <w:rPr>
          <w:rFonts w:ascii="Arial" w:hAnsi="Arial" w:cs="Arial"/>
          <w:i/>
          <w:sz w:val="24"/>
          <w:szCs w:val="24"/>
          <w:lang w:val="en-GB"/>
        </w:rPr>
        <w:t xml:space="preserve"> for the South African Medical Malpractice Lawyers Association </w:t>
      </w:r>
    </w:p>
    <w:p w14:paraId="5F7E2271" w14:textId="07A86988" w:rsidR="00894F47" w:rsidRPr="00AA34FE" w:rsidRDefault="00894F47" w:rsidP="00507AC6">
      <w:pPr>
        <w:ind w:left="2160"/>
        <w:jc w:val="both"/>
        <w:rPr>
          <w:rFonts w:ascii="Arial" w:hAnsi="Arial" w:cs="Arial"/>
          <w:sz w:val="24"/>
          <w:szCs w:val="24"/>
          <w:lang w:val="en-GB"/>
        </w:rPr>
      </w:pPr>
      <w:r w:rsidRPr="00A71615">
        <w:rPr>
          <w:rFonts w:ascii="Arial" w:hAnsi="Arial" w:cs="Arial"/>
          <w:sz w:val="24"/>
          <w:szCs w:val="24"/>
          <w:lang w:val="en-GB"/>
        </w:rPr>
        <w:t>Adv K Pillay SC and Adv Z Cornelissen instructed by Joseph’s Attorneys c/o Huxtable Attorneys, Makhanda</w:t>
      </w:r>
    </w:p>
    <w:p w14:paraId="7B146A17" w14:textId="77777777" w:rsidR="00507AC6" w:rsidRDefault="00894F47" w:rsidP="00507AC6">
      <w:pPr>
        <w:spacing w:after="0" w:line="240" w:lineRule="auto"/>
        <w:jc w:val="both"/>
        <w:rPr>
          <w:rFonts w:ascii="Arial" w:hAnsi="Arial" w:cs="Arial"/>
          <w:i/>
          <w:sz w:val="24"/>
          <w:szCs w:val="24"/>
          <w:lang w:val="en-GB"/>
        </w:rPr>
      </w:pPr>
      <w:r w:rsidRPr="00AA34FE">
        <w:rPr>
          <w:rFonts w:ascii="Arial" w:hAnsi="Arial" w:cs="Arial"/>
          <w:i/>
          <w:sz w:val="24"/>
          <w:szCs w:val="24"/>
          <w:lang w:val="en-GB"/>
        </w:rPr>
        <w:t>Amicus Curiae for Ch</w:t>
      </w:r>
      <w:r>
        <w:rPr>
          <w:rFonts w:ascii="Arial" w:hAnsi="Arial" w:cs="Arial"/>
          <w:i/>
          <w:sz w:val="24"/>
          <w:szCs w:val="24"/>
          <w:lang w:val="en-GB"/>
        </w:rPr>
        <w:t>ance</w:t>
      </w:r>
      <w:r w:rsidRPr="00AA34FE">
        <w:rPr>
          <w:rFonts w:ascii="Arial" w:hAnsi="Arial" w:cs="Arial"/>
          <w:i/>
          <w:sz w:val="24"/>
          <w:szCs w:val="24"/>
          <w:lang w:val="en-GB"/>
        </w:rPr>
        <w:t xml:space="preserve"> at Life</w:t>
      </w:r>
    </w:p>
    <w:p w14:paraId="5AA1F62B" w14:textId="02EA01DD" w:rsidR="00894F47" w:rsidRPr="00AA34FE" w:rsidRDefault="00894F47" w:rsidP="00507AC6">
      <w:pPr>
        <w:spacing w:after="0" w:line="240" w:lineRule="auto"/>
        <w:ind w:left="2160"/>
        <w:jc w:val="both"/>
        <w:rPr>
          <w:rFonts w:ascii="Arial" w:hAnsi="Arial" w:cs="Arial"/>
          <w:sz w:val="24"/>
          <w:szCs w:val="24"/>
          <w:lang w:val="en-GB"/>
        </w:rPr>
      </w:pPr>
      <w:r>
        <w:rPr>
          <w:rFonts w:ascii="Arial" w:hAnsi="Arial" w:cs="Arial"/>
          <w:sz w:val="24"/>
          <w:szCs w:val="24"/>
          <w:lang w:val="en-GB"/>
        </w:rPr>
        <w:t xml:space="preserve">Mr </w:t>
      </w:r>
      <w:r w:rsidR="00DB79CF">
        <w:rPr>
          <w:rFonts w:ascii="Arial" w:hAnsi="Arial" w:cs="Arial"/>
          <w:sz w:val="24"/>
          <w:szCs w:val="24"/>
          <w:lang w:val="en-GB"/>
        </w:rPr>
        <w:t>T</w:t>
      </w:r>
      <w:r>
        <w:rPr>
          <w:rFonts w:ascii="Arial" w:hAnsi="Arial" w:cs="Arial"/>
          <w:sz w:val="24"/>
          <w:szCs w:val="24"/>
          <w:lang w:val="en-GB"/>
        </w:rPr>
        <w:t xml:space="preserve"> </w:t>
      </w:r>
      <w:r w:rsidRPr="00AA34FE">
        <w:rPr>
          <w:rFonts w:ascii="Arial" w:hAnsi="Arial" w:cs="Arial"/>
          <w:sz w:val="24"/>
          <w:szCs w:val="24"/>
          <w:lang w:val="en-GB"/>
        </w:rPr>
        <w:t xml:space="preserve">Ndabeni instructed by </w:t>
      </w:r>
      <w:r>
        <w:rPr>
          <w:rFonts w:ascii="Arial" w:hAnsi="Arial" w:cs="Arial"/>
          <w:sz w:val="24"/>
          <w:szCs w:val="24"/>
          <w:lang w:val="en-GB"/>
        </w:rPr>
        <w:t>Ndabeni Inc, c/o Netteltons, Makhanda</w:t>
      </w:r>
    </w:p>
    <w:p w14:paraId="6BA1488E" w14:textId="77777777" w:rsidR="00B53969" w:rsidRDefault="00B53969" w:rsidP="00B53969">
      <w:pPr>
        <w:ind w:left="1440" w:hanging="1440"/>
        <w:jc w:val="both"/>
        <w:rPr>
          <w:rFonts w:ascii="Arial" w:hAnsi="Arial" w:cs="Arial"/>
          <w:sz w:val="24"/>
          <w:szCs w:val="24"/>
          <w:lang w:val="en-GB"/>
        </w:rPr>
      </w:pPr>
    </w:p>
    <w:p w14:paraId="256951D2" w14:textId="77777777" w:rsidR="00B53969" w:rsidRPr="00AA34FE" w:rsidRDefault="00B53969" w:rsidP="00B53969">
      <w:pPr>
        <w:ind w:left="2160" w:hanging="2160"/>
        <w:jc w:val="both"/>
        <w:rPr>
          <w:rFonts w:ascii="Arial" w:hAnsi="Arial" w:cs="Arial"/>
          <w:sz w:val="24"/>
          <w:szCs w:val="24"/>
          <w:lang w:val="en-GB"/>
        </w:rPr>
      </w:pPr>
      <w:r w:rsidRPr="00AA34FE">
        <w:rPr>
          <w:rFonts w:ascii="Arial" w:hAnsi="Arial" w:cs="Arial"/>
          <w:sz w:val="24"/>
          <w:szCs w:val="24"/>
          <w:lang w:val="en-GB"/>
        </w:rPr>
        <w:t xml:space="preserve">Applicants:  </w:t>
      </w:r>
      <w:r w:rsidRPr="00AA34FE">
        <w:rPr>
          <w:rFonts w:ascii="Arial" w:hAnsi="Arial" w:cs="Arial"/>
          <w:sz w:val="24"/>
          <w:szCs w:val="24"/>
          <w:lang w:val="en-GB"/>
        </w:rPr>
        <w:tab/>
        <w:t xml:space="preserve">Adv </w:t>
      </w:r>
      <w:r>
        <w:rPr>
          <w:rFonts w:ascii="Arial" w:hAnsi="Arial" w:cs="Arial"/>
          <w:sz w:val="24"/>
          <w:szCs w:val="24"/>
          <w:lang w:val="en-GB"/>
        </w:rPr>
        <w:t xml:space="preserve">N </w:t>
      </w:r>
      <w:r w:rsidRPr="00AA34FE">
        <w:rPr>
          <w:rFonts w:ascii="Arial" w:hAnsi="Arial" w:cs="Arial"/>
          <w:sz w:val="24"/>
          <w:szCs w:val="24"/>
          <w:lang w:val="en-GB"/>
        </w:rPr>
        <w:t xml:space="preserve">Bawa SC, Adv </w:t>
      </w:r>
      <w:r>
        <w:rPr>
          <w:rFonts w:ascii="Arial" w:hAnsi="Arial" w:cs="Arial"/>
          <w:sz w:val="24"/>
          <w:szCs w:val="24"/>
          <w:lang w:val="en-GB"/>
        </w:rPr>
        <w:t xml:space="preserve">M </w:t>
      </w:r>
      <w:r w:rsidRPr="00AA34FE">
        <w:rPr>
          <w:rFonts w:ascii="Arial" w:hAnsi="Arial" w:cs="Arial"/>
          <w:sz w:val="24"/>
          <w:szCs w:val="24"/>
          <w:lang w:val="en-GB"/>
        </w:rPr>
        <w:t>O’Sullivan, Adv N Redpath-Molony instructed by The State Attorney</w:t>
      </w:r>
      <w:r>
        <w:rPr>
          <w:rFonts w:ascii="Arial" w:hAnsi="Arial" w:cs="Arial"/>
          <w:sz w:val="24"/>
          <w:szCs w:val="24"/>
          <w:lang w:val="en-GB"/>
        </w:rPr>
        <w:t>, East London</w:t>
      </w:r>
      <w:r w:rsidRPr="00AA34FE">
        <w:rPr>
          <w:rFonts w:ascii="Arial" w:hAnsi="Arial" w:cs="Arial"/>
          <w:sz w:val="24"/>
          <w:szCs w:val="24"/>
          <w:lang w:val="en-GB"/>
        </w:rPr>
        <w:t xml:space="preserve"> c/o N N Dullabh &amp; Co., Makhanda</w:t>
      </w:r>
    </w:p>
    <w:p w14:paraId="1A3517CF" w14:textId="77777777" w:rsidR="00B53969" w:rsidRPr="00AA34FE" w:rsidRDefault="00B53969" w:rsidP="00B53969">
      <w:pPr>
        <w:jc w:val="both"/>
        <w:rPr>
          <w:rFonts w:ascii="Arial" w:hAnsi="Arial" w:cs="Arial"/>
          <w:sz w:val="24"/>
          <w:szCs w:val="24"/>
          <w:lang w:val="en-GB"/>
        </w:rPr>
      </w:pPr>
    </w:p>
    <w:p w14:paraId="76C13BA0" w14:textId="77777777" w:rsidR="00507AC6" w:rsidRDefault="00B53969" w:rsidP="00673014">
      <w:pPr>
        <w:jc w:val="both"/>
        <w:rPr>
          <w:rFonts w:ascii="Arial" w:hAnsi="Arial" w:cs="Arial"/>
          <w:sz w:val="24"/>
          <w:szCs w:val="24"/>
          <w:vertAlign w:val="superscript"/>
          <w:lang w:val="en-GB"/>
        </w:rPr>
      </w:pPr>
      <w:r w:rsidRPr="00AA34FE">
        <w:rPr>
          <w:rFonts w:ascii="Arial" w:hAnsi="Arial" w:cs="Arial"/>
          <w:sz w:val="24"/>
          <w:szCs w:val="24"/>
          <w:lang w:val="en-GB"/>
        </w:rPr>
        <w:t>10</w:t>
      </w:r>
      <w:r w:rsidRPr="00AA34FE">
        <w:rPr>
          <w:rFonts w:ascii="Arial" w:hAnsi="Arial" w:cs="Arial"/>
          <w:sz w:val="24"/>
          <w:szCs w:val="24"/>
          <w:vertAlign w:val="superscript"/>
          <w:lang w:val="en-GB"/>
        </w:rPr>
        <w:t>th</w:t>
      </w:r>
      <w:r w:rsidR="00673014">
        <w:rPr>
          <w:rFonts w:ascii="Arial" w:hAnsi="Arial" w:cs="Arial"/>
          <w:sz w:val="24"/>
          <w:szCs w:val="24"/>
          <w:vertAlign w:val="superscript"/>
          <w:lang w:val="en-GB"/>
        </w:rPr>
        <w:t xml:space="preserve">, </w:t>
      </w:r>
      <w:r w:rsidR="00673014">
        <w:rPr>
          <w:rFonts w:ascii="Arial" w:hAnsi="Arial" w:cs="Arial"/>
          <w:sz w:val="24"/>
          <w:szCs w:val="24"/>
          <w:lang w:val="en-GB"/>
        </w:rPr>
        <w:t>15</w:t>
      </w:r>
      <w:r w:rsidR="00673014" w:rsidRPr="00673014">
        <w:rPr>
          <w:rFonts w:ascii="Arial" w:hAnsi="Arial" w:cs="Arial"/>
          <w:sz w:val="24"/>
          <w:szCs w:val="24"/>
          <w:vertAlign w:val="superscript"/>
          <w:lang w:val="en-GB"/>
        </w:rPr>
        <w:t>th</w:t>
      </w:r>
      <w:r w:rsidR="00673014">
        <w:rPr>
          <w:rFonts w:ascii="Arial" w:hAnsi="Arial" w:cs="Arial"/>
          <w:sz w:val="24"/>
          <w:szCs w:val="24"/>
          <w:lang w:val="en-GB"/>
        </w:rPr>
        <w:t>, 16</w:t>
      </w:r>
      <w:r w:rsidR="00673014" w:rsidRPr="00673014">
        <w:rPr>
          <w:rFonts w:ascii="Arial" w:hAnsi="Arial" w:cs="Arial"/>
          <w:sz w:val="24"/>
          <w:szCs w:val="24"/>
          <w:vertAlign w:val="superscript"/>
          <w:lang w:val="en-GB"/>
        </w:rPr>
        <w:t>th</w:t>
      </w:r>
      <w:r w:rsidR="00673014">
        <w:rPr>
          <w:rFonts w:ascii="Arial" w:hAnsi="Arial" w:cs="Arial"/>
          <w:sz w:val="24"/>
          <w:szCs w:val="24"/>
          <w:lang w:val="en-GB"/>
        </w:rPr>
        <w:t>, 24</w:t>
      </w:r>
      <w:r w:rsidR="00673014" w:rsidRPr="00673014">
        <w:rPr>
          <w:rFonts w:ascii="Arial" w:hAnsi="Arial" w:cs="Arial"/>
          <w:sz w:val="24"/>
          <w:szCs w:val="24"/>
          <w:vertAlign w:val="superscript"/>
          <w:lang w:val="en-GB"/>
        </w:rPr>
        <w:t>th</w:t>
      </w:r>
      <w:r w:rsidR="00673014">
        <w:rPr>
          <w:rFonts w:ascii="Arial" w:hAnsi="Arial" w:cs="Arial"/>
          <w:sz w:val="24"/>
          <w:szCs w:val="24"/>
          <w:lang w:val="en-GB"/>
        </w:rPr>
        <w:t xml:space="preserve"> ,26</w:t>
      </w:r>
      <w:r w:rsidR="00673014" w:rsidRPr="00673014">
        <w:rPr>
          <w:rFonts w:ascii="Arial" w:hAnsi="Arial" w:cs="Arial"/>
          <w:sz w:val="24"/>
          <w:szCs w:val="24"/>
          <w:vertAlign w:val="superscript"/>
          <w:lang w:val="en-GB"/>
        </w:rPr>
        <w:t>th</w:t>
      </w:r>
      <w:r w:rsidR="00673014">
        <w:rPr>
          <w:rFonts w:ascii="Arial" w:hAnsi="Arial" w:cs="Arial"/>
          <w:sz w:val="24"/>
          <w:szCs w:val="24"/>
          <w:lang w:val="en-GB"/>
        </w:rPr>
        <w:t xml:space="preserve"> ,27</w:t>
      </w:r>
      <w:r w:rsidR="00673014" w:rsidRPr="00673014">
        <w:rPr>
          <w:rFonts w:ascii="Arial" w:hAnsi="Arial" w:cs="Arial"/>
          <w:sz w:val="24"/>
          <w:szCs w:val="24"/>
          <w:vertAlign w:val="superscript"/>
          <w:lang w:val="en-GB"/>
        </w:rPr>
        <w:t>th</w:t>
      </w:r>
      <w:r w:rsidR="00673014">
        <w:rPr>
          <w:rFonts w:ascii="Arial" w:hAnsi="Arial" w:cs="Arial"/>
          <w:sz w:val="24"/>
          <w:szCs w:val="24"/>
          <w:lang w:val="en-GB"/>
        </w:rPr>
        <w:t xml:space="preserve"> ,28</w:t>
      </w:r>
      <w:r w:rsidR="00673014" w:rsidRPr="00673014">
        <w:rPr>
          <w:rFonts w:ascii="Arial" w:hAnsi="Arial" w:cs="Arial"/>
          <w:sz w:val="24"/>
          <w:szCs w:val="24"/>
          <w:vertAlign w:val="superscript"/>
          <w:lang w:val="en-GB"/>
        </w:rPr>
        <w:t>th</w:t>
      </w:r>
      <w:r w:rsidR="00673014">
        <w:rPr>
          <w:rFonts w:ascii="Arial" w:hAnsi="Arial" w:cs="Arial"/>
          <w:sz w:val="24"/>
          <w:szCs w:val="24"/>
          <w:lang w:val="en-GB"/>
        </w:rPr>
        <w:t>, 34</w:t>
      </w:r>
      <w:r w:rsidR="00673014" w:rsidRPr="00673014">
        <w:rPr>
          <w:rFonts w:ascii="Arial" w:hAnsi="Arial" w:cs="Arial"/>
          <w:sz w:val="24"/>
          <w:szCs w:val="24"/>
          <w:vertAlign w:val="superscript"/>
          <w:lang w:val="en-GB"/>
        </w:rPr>
        <w:t>th</w:t>
      </w:r>
      <w:r w:rsidR="00673014">
        <w:rPr>
          <w:rFonts w:ascii="Arial" w:hAnsi="Arial" w:cs="Arial"/>
          <w:sz w:val="24"/>
          <w:szCs w:val="24"/>
          <w:lang w:val="en-GB"/>
        </w:rPr>
        <w:t>, 42</w:t>
      </w:r>
      <w:r w:rsidR="00673014" w:rsidRPr="00673014">
        <w:rPr>
          <w:rFonts w:ascii="Arial" w:hAnsi="Arial" w:cs="Arial"/>
          <w:sz w:val="24"/>
          <w:szCs w:val="24"/>
          <w:vertAlign w:val="superscript"/>
          <w:lang w:val="en-GB"/>
        </w:rPr>
        <w:t>nd</w:t>
      </w:r>
      <w:r w:rsidR="00673014">
        <w:rPr>
          <w:rFonts w:ascii="Arial" w:hAnsi="Arial" w:cs="Arial"/>
          <w:sz w:val="24"/>
          <w:szCs w:val="24"/>
          <w:lang w:val="en-GB"/>
        </w:rPr>
        <w:t>, 46</w:t>
      </w:r>
      <w:r w:rsidR="00673014" w:rsidRPr="00673014">
        <w:rPr>
          <w:rFonts w:ascii="Arial" w:hAnsi="Arial" w:cs="Arial"/>
          <w:sz w:val="24"/>
          <w:szCs w:val="24"/>
          <w:vertAlign w:val="superscript"/>
          <w:lang w:val="en-GB"/>
        </w:rPr>
        <w:t>th</w:t>
      </w:r>
      <w:r w:rsidR="00673014">
        <w:rPr>
          <w:rFonts w:ascii="Arial" w:hAnsi="Arial" w:cs="Arial"/>
          <w:sz w:val="24"/>
          <w:szCs w:val="24"/>
          <w:lang w:val="en-GB"/>
        </w:rPr>
        <w:t>, 49</w:t>
      </w:r>
      <w:r w:rsidR="00673014" w:rsidRPr="00673014">
        <w:rPr>
          <w:rFonts w:ascii="Arial" w:hAnsi="Arial" w:cs="Arial"/>
          <w:sz w:val="24"/>
          <w:szCs w:val="24"/>
          <w:vertAlign w:val="superscript"/>
          <w:lang w:val="en-GB"/>
        </w:rPr>
        <w:t>th</w:t>
      </w:r>
      <w:r w:rsidR="00673014">
        <w:rPr>
          <w:rFonts w:ascii="Arial" w:hAnsi="Arial" w:cs="Arial"/>
          <w:sz w:val="24"/>
          <w:szCs w:val="24"/>
          <w:lang w:val="en-GB"/>
        </w:rPr>
        <w:t>, 50</w:t>
      </w:r>
      <w:r w:rsidR="00673014" w:rsidRPr="00673014">
        <w:rPr>
          <w:rFonts w:ascii="Arial" w:hAnsi="Arial" w:cs="Arial"/>
          <w:sz w:val="24"/>
          <w:szCs w:val="24"/>
          <w:vertAlign w:val="superscript"/>
          <w:lang w:val="en-GB"/>
        </w:rPr>
        <w:t>th</w:t>
      </w:r>
      <w:r w:rsidR="00673014">
        <w:rPr>
          <w:rFonts w:ascii="Arial" w:hAnsi="Arial" w:cs="Arial"/>
          <w:sz w:val="24"/>
          <w:szCs w:val="24"/>
          <w:lang w:val="en-GB"/>
        </w:rPr>
        <w:t>, 51</w:t>
      </w:r>
      <w:r w:rsidR="00673014" w:rsidRPr="00673014">
        <w:rPr>
          <w:rFonts w:ascii="Arial" w:hAnsi="Arial" w:cs="Arial"/>
          <w:sz w:val="24"/>
          <w:szCs w:val="24"/>
          <w:vertAlign w:val="superscript"/>
          <w:lang w:val="en-GB"/>
        </w:rPr>
        <w:t>st</w:t>
      </w:r>
      <w:r w:rsidR="00673014">
        <w:rPr>
          <w:rFonts w:ascii="Arial" w:hAnsi="Arial" w:cs="Arial"/>
          <w:sz w:val="24"/>
          <w:szCs w:val="24"/>
          <w:lang w:val="en-GB"/>
        </w:rPr>
        <w:t>, 56</w:t>
      </w:r>
      <w:r w:rsidR="00673014" w:rsidRPr="00673014">
        <w:rPr>
          <w:rFonts w:ascii="Arial" w:hAnsi="Arial" w:cs="Arial"/>
          <w:sz w:val="24"/>
          <w:szCs w:val="24"/>
          <w:vertAlign w:val="superscript"/>
          <w:lang w:val="en-GB"/>
        </w:rPr>
        <w:t>th</w:t>
      </w:r>
      <w:r w:rsidR="00673014">
        <w:rPr>
          <w:rFonts w:ascii="Arial" w:hAnsi="Arial" w:cs="Arial"/>
          <w:sz w:val="24"/>
          <w:szCs w:val="24"/>
          <w:lang w:val="en-GB"/>
        </w:rPr>
        <w:t>, 57</w:t>
      </w:r>
      <w:r w:rsidR="00673014" w:rsidRPr="00673014">
        <w:rPr>
          <w:rFonts w:ascii="Arial" w:hAnsi="Arial" w:cs="Arial"/>
          <w:sz w:val="24"/>
          <w:szCs w:val="24"/>
          <w:vertAlign w:val="superscript"/>
          <w:lang w:val="en-GB"/>
        </w:rPr>
        <w:t>th</w:t>
      </w:r>
      <w:r w:rsidR="00673014">
        <w:rPr>
          <w:rFonts w:ascii="Arial" w:hAnsi="Arial" w:cs="Arial"/>
          <w:sz w:val="24"/>
          <w:szCs w:val="24"/>
          <w:lang w:val="en-GB"/>
        </w:rPr>
        <w:t>, 70</w:t>
      </w:r>
      <w:r w:rsidR="00673014" w:rsidRPr="00673014">
        <w:rPr>
          <w:rFonts w:ascii="Arial" w:hAnsi="Arial" w:cs="Arial"/>
          <w:sz w:val="24"/>
          <w:szCs w:val="24"/>
          <w:vertAlign w:val="superscript"/>
          <w:lang w:val="en-GB"/>
        </w:rPr>
        <w:t>th</w:t>
      </w:r>
      <w:r w:rsidR="00673014">
        <w:rPr>
          <w:rFonts w:ascii="Arial" w:hAnsi="Arial" w:cs="Arial"/>
          <w:sz w:val="24"/>
          <w:szCs w:val="24"/>
          <w:lang w:val="en-GB"/>
        </w:rPr>
        <w:t>, 72</w:t>
      </w:r>
      <w:r w:rsidR="00673014" w:rsidRPr="00673014">
        <w:rPr>
          <w:rFonts w:ascii="Arial" w:hAnsi="Arial" w:cs="Arial"/>
          <w:sz w:val="24"/>
          <w:szCs w:val="24"/>
          <w:vertAlign w:val="superscript"/>
          <w:lang w:val="en-GB"/>
        </w:rPr>
        <w:t>nd</w:t>
      </w:r>
      <w:r w:rsidR="00673014">
        <w:rPr>
          <w:rFonts w:ascii="Arial" w:hAnsi="Arial" w:cs="Arial"/>
          <w:sz w:val="24"/>
          <w:szCs w:val="24"/>
          <w:lang w:val="en-GB"/>
        </w:rPr>
        <w:t>, 77</w:t>
      </w:r>
      <w:r w:rsidR="00673014" w:rsidRPr="00673014">
        <w:rPr>
          <w:rFonts w:ascii="Arial" w:hAnsi="Arial" w:cs="Arial"/>
          <w:sz w:val="24"/>
          <w:szCs w:val="24"/>
          <w:vertAlign w:val="superscript"/>
          <w:lang w:val="en-GB"/>
        </w:rPr>
        <w:t>th</w:t>
      </w:r>
      <w:r w:rsidR="00673014">
        <w:rPr>
          <w:rFonts w:ascii="Arial" w:hAnsi="Arial" w:cs="Arial"/>
          <w:sz w:val="24"/>
          <w:szCs w:val="24"/>
          <w:lang w:val="en-GB"/>
        </w:rPr>
        <w:t>, 79</w:t>
      </w:r>
      <w:r w:rsidR="00673014" w:rsidRPr="00673014">
        <w:rPr>
          <w:rFonts w:ascii="Arial" w:hAnsi="Arial" w:cs="Arial"/>
          <w:sz w:val="24"/>
          <w:szCs w:val="24"/>
          <w:vertAlign w:val="superscript"/>
          <w:lang w:val="en-GB"/>
        </w:rPr>
        <w:t>th</w:t>
      </w:r>
      <w:r w:rsidR="00673014">
        <w:rPr>
          <w:rFonts w:ascii="Arial" w:hAnsi="Arial" w:cs="Arial"/>
          <w:sz w:val="24"/>
          <w:szCs w:val="24"/>
          <w:lang w:val="en-GB"/>
        </w:rPr>
        <w:t>, 83</w:t>
      </w:r>
      <w:r w:rsidR="00673014" w:rsidRPr="00673014">
        <w:rPr>
          <w:rFonts w:ascii="Arial" w:hAnsi="Arial" w:cs="Arial"/>
          <w:sz w:val="24"/>
          <w:szCs w:val="24"/>
          <w:vertAlign w:val="superscript"/>
          <w:lang w:val="en-GB"/>
        </w:rPr>
        <w:t>rd</w:t>
      </w:r>
      <w:r w:rsidR="00673014">
        <w:rPr>
          <w:rFonts w:ascii="Arial" w:hAnsi="Arial" w:cs="Arial"/>
          <w:sz w:val="24"/>
          <w:szCs w:val="24"/>
          <w:lang w:val="en-GB"/>
        </w:rPr>
        <w:t>, 84</w:t>
      </w:r>
      <w:r w:rsidR="00673014" w:rsidRPr="00673014">
        <w:rPr>
          <w:rFonts w:ascii="Arial" w:hAnsi="Arial" w:cs="Arial"/>
          <w:sz w:val="24"/>
          <w:szCs w:val="24"/>
          <w:vertAlign w:val="superscript"/>
          <w:lang w:val="en-GB"/>
        </w:rPr>
        <w:t>th</w:t>
      </w:r>
      <w:r w:rsidR="00673014">
        <w:rPr>
          <w:rFonts w:ascii="Arial" w:hAnsi="Arial" w:cs="Arial"/>
          <w:sz w:val="24"/>
          <w:szCs w:val="24"/>
          <w:lang w:val="en-GB"/>
        </w:rPr>
        <w:t>, 85</w:t>
      </w:r>
      <w:r w:rsidR="00673014" w:rsidRPr="00673014">
        <w:rPr>
          <w:rFonts w:ascii="Arial" w:hAnsi="Arial" w:cs="Arial"/>
          <w:sz w:val="24"/>
          <w:szCs w:val="24"/>
          <w:vertAlign w:val="superscript"/>
          <w:lang w:val="en-GB"/>
        </w:rPr>
        <w:t>th</w:t>
      </w:r>
    </w:p>
    <w:p w14:paraId="01DF181A" w14:textId="74F337E1" w:rsidR="00B53969" w:rsidRPr="00AA34FE" w:rsidRDefault="00673014" w:rsidP="00507AC6">
      <w:pPr>
        <w:ind w:left="1620" w:hanging="1710"/>
        <w:jc w:val="both"/>
        <w:rPr>
          <w:rFonts w:ascii="Arial" w:hAnsi="Arial" w:cs="Arial"/>
          <w:sz w:val="24"/>
          <w:szCs w:val="24"/>
          <w:lang w:val="en-GB"/>
        </w:rPr>
      </w:pPr>
      <w:r>
        <w:rPr>
          <w:rFonts w:ascii="Arial" w:hAnsi="Arial" w:cs="Arial"/>
          <w:sz w:val="24"/>
          <w:szCs w:val="24"/>
          <w:lang w:val="en-GB"/>
        </w:rPr>
        <w:t xml:space="preserve">Respondents:  </w:t>
      </w:r>
      <w:r w:rsidR="00B53969" w:rsidRPr="00AA34FE">
        <w:rPr>
          <w:rFonts w:ascii="Arial" w:hAnsi="Arial" w:cs="Arial"/>
          <w:sz w:val="24"/>
          <w:szCs w:val="24"/>
          <w:lang w:val="en-GB"/>
        </w:rPr>
        <w:t xml:space="preserve">Adv A G Dugmore SC instructed by </w:t>
      </w:r>
      <w:r w:rsidR="00B53969">
        <w:rPr>
          <w:rFonts w:ascii="Arial" w:hAnsi="Arial" w:cs="Arial"/>
          <w:sz w:val="24"/>
          <w:szCs w:val="24"/>
          <w:lang w:val="en-GB"/>
        </w:rPr>
        <w:t>Enzo Meyers Attorneys, East London</w:t>
      </w:r>
    </w:p>
    <w:p w14:paraId="375981F5" w14:textId="77777777" w:rsidR="00B53969" w:rsidRPr="00AA34FE" w:rsidRDefault="00B53969" w:rsidP="00B53969">
      <w:pPr>
        <w:jc w:val="both"/>
        <w:rPr>
          <w:rFonts w:ascii="Arial" w:hAnsi="Arial" w:cs="Arial"/>
          <w:sz w:val="24"/>
          <w:szCs w:val="24"/>
          <w:lang w:val="en-GB"/>
        </w:rPr>
      </w:pPr>
    </w:p>
    <w:p w14:paraId="7FDB6D8A" w14:textId="77777777" w:rsidR="00B53969" w:rsidRPr="00AA34FE" w:rsidRDefault="00B53969" w:rsidP="00B53969">
      <w:pPr>
        <w:jc w:val="both"/>
        <w:rPr>
          <w:rFonts w:ascii="Arial" w:hAnsi="Arial" w:cs="Arial"/>
          <w:sz w:val="24"/>
          <w:szCs w:val="24"/>
          <w:lang w:val="en-GB"/>
        </w:rPr>
      </w:pPr>
      <w:r w:rsidRPr="00AA34FE">
        <w:rPr>
          <w:rFonts w:ascii="Arial" w:hAnsi="Arial" w:cs="Arial"/>
          <w:sz w:val="24"/>
          <w:szCs w:val="24"/>
          <w:lang w:val="en-GB"/>
        </w:rPr>
        <w:t>29</w:t>
      </w:r>
      <w:r>
        <w:rPr>
          <w:rFonts w:ascii="Arial" w:hAnsi="Arial" w:cs="Arial"/>
          <w:sz w:val="24"/>
          <w:szCs w:val="24"/>
          <w:vertAlign w:val="superscript"/>
          <w:lang w:val="en-GB"/>
        </w:rPr>
        <w:t xml:space="preserve">th </w:t>
      </w:r>
      <w:r>
        <w:rPr>
          <w:rFonts w:ascii="Arial" w:hAnsi="Arial" w:cs="Arial"/>
          <w:sz w:val="24"/>
          <w:szCs w:val="24"/>
          <w:lang w:val="en-GB"/>
        </w:rPr>
        <w:t>Respondent:</w:t>
      </w:r>
      <w:r>
        <w:rPr>
          <w:rFonts w:ascii="Arial" w:hAnsi="Arial" w:cs="Arial"/>
          <w:sz w:val="24"/>
          <w:szCs w:val="24"/>
          <w:lang w:val="en-GB"/>
        </w:rPr>
        <w:tab/>
      </w:r>
      <w:r w:rsidRPr="00AA34FE">
        <w:rPr>
          <w:rFonts w:ascii="Arial" w:hAnsi="Arial" w:cs="Arial"/>
          <w:sz w:val="24"/>
          <w:szCs w:val="24"/>
          <w:lang w:val="en-GB"/>
        </w:rPr>
        <w:t>Adv A D Schoeman SC instructed by</w:t>
      </w:r>
      <w:r>
        <w:rPr>
          <w:rFonts w:ascii="Arial" w:hAnsi="Arial" w:cs="Arial"/>
          <w:sz w:val="24"/>
          <w:szCs w:val="24"/>
          <w:lang w:val="en-GB"/>
        </w:rPr>
        <w:t xml:space="preserve"> Dayimani Inc, Mthatha</w:t>
      </w:r>
    </w:p>
    <w:p w14:paraId="200649A9" w14:textId="77777777" w:rsidR="00B53969" w:rsidRPr="00AA34FE" w:rsidRDefault="00B53969" w:rsidP="00B53969">
      <w:pPr>
        <w:jc w:val="both"/>
        <w:rPr>
          <w:rFonts w:ascii="Arial" w:hAnsi="Arial" w:cs="Arial"/>
          <w:sz w:val="24"/>
          <w:szCs w:val="24"/>
          <w:lang w:val="en-GB"/>
        </w:rPr>
      </w:pPr>
    </w:p>
    <w:p w14:paraId="74B45A58" w14:textId="77777777" w:rsidR="00B53969" w:rsidRPr="00AA34FE" w:rsidRDefault="00B53969" w:rsidP="00B53969">
      <w:pPr>
        <w:ind w:left="2160" w:hanging="2160"/>
        <w:jc w:val="both"/>
        <w:rPr>
          <w:rFonts w:ascii="Arial" w:hAnsi="Arial" w:cs="Arial"/>
          <w:sz w:val="24"/>
          <w:szCs w:val="24"/>
          <w:lang w:val="en-GB"/>
        </w:rPr>
      </w:pPr>
      <w:r w:rsidRPr="00AA34FE">
        <w:rPr>
          <w:rFonts w:ascii="Arial" w:hAnsi="Arial" w:cs="Arial"/>
          <w:sz w:val="24"/>
          <w:szCs w:val="24"/>
          <w:lang w:val="en-GB"/>
        </w:rPr>
        <w:t>36</w:t>
      </w:r>
      <w:r w:rsidRPr="00AA34FE">
        <w:rPr>
          <w:rFonts w:ascii="Arial" w:hAnsi="Arial" w:cs="Arial"/>
          <w:sz w:val="24"/>
          <w:szCs w:val="24"/>
          <w:vertAlign w:val="superscript"/>
          <w:lang w:val="en-GB"/>
        </w:rPr>
        <w:t xml:space="preserve">th </w:t>
      </w:r>
      <w:r w:rsidRPr="00AA34FE">
        <w:rPr>
          <w:rFonts w:ascii="Arial" w:hAnsi="Arial" w:cs="Arial"/>
          <w:sz w:val="24"/>
          <w:szCs w:val="24"/>
          <w:lang w:val="en-GB"/>
        </w:rPr>
        <w:t>Respondent</w:t>
      </w:r>
      <w:r>
        <w:rPr>
          <w:rFonts w:ascii="Arial" w:hAnsi="Arial" w:cs="Arial"/>
          <w:sz w:val="24"/>
          <w:szCs w:val="24"/>
          <w:lang w:val="en-GB"/>
        </w:rPr>
        <w:t>:</w:t>
      </w:r>
      <w:r w:rsidRPr="00AA34FE">
        <w:rPr>
          <w:rFonts w:ascii="Arial" w:hAnsi="Arial" w:cs="Arial"/>
          <w:sz w:val="24"/>
          <w:szCs w:val="24"/>
          <w:lang w:val="en-GB"/>
        </w:rPr>
        <w:t xml:space="preserve"> </w:t>
      </w:r>
      <w:r>
        <w:rPr>
          <w:rFonts w:ascii="Arial" w:hAnsi="Arial" w:cs="Arial"/>
          <w:sz w:val="24"/>
          <w:szCs w:val="24"/>
          <w:lang w:val="en-GB"/>
        </w:rPr>
        <w:tab/>
      </w:r>
      <w:r w:rsidRPr="00AA34FE">
        <w:rPr>
          <w:rFonts w:ascii="Arial" w:hAnsi="Arial" w:cs="Arial"/>
          <w:sz w:val="24"/>
          <w:szCs w:val="24"/>
          <w:lang w:val="en-GB"/>
        </w:rPr>
        <w:t>Adv A D Schoeman SC and Adv H Ayerst instructed by</w:t>
      </w:r>
      <w:r>
        <w:rPr>
          <w:rFonts w:ascii="Arial" w:hAnsi="Arial" w:cs="Arial"/>
          <w:sz w:val="24"/>
          <w:szCs w:val="24"/>
          <w:lang w:val="en-GB"/>
        </w:rPr>
        <w:t xml:space="preserve"> Mjulelwa Inc, Mthatha</w:t>
      </w:r>
    </w:p>
    <w:p w14:paraId="45FADAC1" w14:textId="77777777" w:rsidR="00B53969" w:rsidRPr="00AA34FE" w:rsidRDefault="00B53969" w:rsidP="00B53969">
      <w:pPr>
        <w:jc w:val="both"/>
        <w:rPr>
          <w:rFonts w:ascii="Arial" w:hAnsi="Arial" w:cs="Arial"/>
          <w:sz w:val="24"/>
          <w:szCs w:val="24"/>
          <w:lang w:val="en-GB"/>
        </w:rPr>
      </w:pPr>
    </w:p>
    <w:p w14:paraId="43A6F076" w14:textId="77777777" w:rsidR="00B53969" w:rsidRPr="00AA34FE" w:rsidRDefault="00B53969" w:rsidP="00B53969">
      <w:pPr>
        <w:jc w:val="both"/>
        <w:rPr>
          <w:rFonts w:ascii="Arial" w:hAnsi="Arial" w:cs="Arial"/>
          <w:sz w:val="24"/>
          <w:szCs w:val="24"/>
          <w:lang w:val="en-GB"/>
        </w:rPr>
      </w:pPr>
      <w:r w:rsidRPr="00AA34FE">
        <w:rPr>
          <w:rFonts w:ascii="Arial" w:hAnsi="Arial" w:cs="Arial"/>
          <w:sz w:val="24"/>
          <w:szCs w:val="24"/>
          <w:lang w:val="en-GB"/>
        </w:rPr>
        <w:t>37</w:t>
      </w:r>
      <w:r w:rsidRPr="00AA34FE">
        <w:rPr>
          <w:rFonts w:ascii="Arial" w:hAnsi="Arial" w:cs="Arial"/>
          <w:sz w:val="24"/>
          <w:szCs w:val="24"/>
          <w:vertAlign w:val="superscript"/>
          <w:lang w:val="en-GB"/>
        </w:rPr>
        <w:t xml:space="preserve">th </w:t>
      </w:r>
      <w:r w:rsidRPr="00AA34FE">
        <w:rPr>
          <w:rFonts w:ascii="Arial" w:hAnsi="Arial" w:cs="Arial"/>
          <w:sz w:val="24"/>
          <w:szCs w:val="24"/>
          <w:lang w:val="en-GB"/>
        </w:rPr>
        <w:t>Respondent</w:t>
      </w:r>
      <w:r>
        <w:rPr>
          <w:rFonts w:ascii="Arial" w:hAnsi="Arial" w:cs="Arial"/>
          <w:sz w:val="24"/>
          <w:szCs w:val="24"/>
          <w:lang w:val="en-GB"/>
        </w:rPr>
        <w:t>:</w:t>
      </w:r>
      <w:r w:rsidRPr="00AA34FE">
        <w:rPr>
          <w:rFonts w:ascii="Arial" w:hAnsi="Arial" w:cs="Arial"/>
          <w:sz w:val="24"/>
          <w:szCs w:val="24"/>
          <w:lang w:val="en-GB"/>
        </w:rPr>
        <w:t xml:space="preserve"> </w:t>
      </w:r>
      <w:r>
        <w:rPr>
          <w:rFonts w:ascii="Arial" w:hAnsi="Arial" w:cs="Arial"/>
          <w:sz w:val="24"/>
          <w:szCs w:val="24"/>
          <w:lang w:val="en-GB"/>
        </w:rPr>
        <w:tab/>
      </w:r>
      <w:r w:rsidRPr="00AA34FE">
        <w:rPr>
          <w:rFonts w:ascii="Arial" w:hAnsi="Arial" w:cs="Arial"/>
          <w:sz w:val="24"/>
          <w:szCs w:val="24"/>
          <w:lang w:val="en-GB"/>
        </w:rPr>
        <w:t>Adv A G Dugmore SC and Adv T S Miller Mjulelwa Inc</w:t>
      </w:r>
      <w:r>
        <w:rPr>
          <w:rFonts w:ascii="Arial" w:hAnsi="Arial" w:cs="Arial"/>
          <w:sz w:val="24"/>
          <w:szCs w:val="24"/>
          <w:lang w:val="en-GB"/>
        </w:rPr>
        <w:t>, Mthatha</w:t>
      </w:r>
    </w:p>
    <w:p w14:paraId="7663AA3E" w14:textId="77777777" w:rsidR="00B53969" w:rsidRPr="00AA34FE" w:rsidRDefault="00B53969" w:rsidP="00B53969">
      <w:pPr>
        <w:jc w:val="both"/>
        <w:rPr>
          <w:rFonts w:ascii="Arial" w:hAnsi="Arial" w:cs="Arial"/>
          <w:sz w:val="24"/>
          <w:szCs w:val="24"/>
          <w:lang w:val="en-GB"/>
        </w:rPr>
      </w:pPr>
    </w:p>
    <w:p w14:paraId="68870262" w14:textId="77777777" w:rsidR="00B53969" w:rsidRPr="00AA34FE" w:rsidRDefault="00B53969" w:rsidP="00B53969">
      <w:pPr>
        <w:ind w:left="2160" w:hanging="2160"/>
        <w:jc w:val="both"/>
        <w:rPr>
          <w:rFonts w:ascii="Arial" w:hAnsi="Arial" w:cs="Arial"/>
          <w:sz w:val="24"/>
          <w:szCs w:val="24"/>
          <w:lang w:val="en-GB"/>
        </w:rPr>
      </w:pPr>
      <w:r w:rsidRPr="00AA34FE">
        <w:rPr>
          <w:rFonts w:ascii="Arial" w:hAnsi="Arial" w:cs="Arial"/>
          <w:sz w:val="24"/>
          <w:szCs w:val="24"/>
          <w:lang w:val="en-GB"/>
        </w:rPr>
        <w:t>39</w:t>
      </w:r>
      <w:r w:rsidRPr="00AA34FE">
        <w:rPr>
          <w:rFonts w:ascii="Arial" w:hAnsi="Arial" w:cs="Arial"/>
          <w:sz w:val="24"/>
          <w:szCs w:val="24"/>
          <w:vertAlign w:val="superscript"/>
          <w:lang w:val="en-GB"/>
        </w:rPr>
        <w:t xml:space="preserve">th </w:t>
      </w:r>
      <w:r w:rsidRPr="00AA34FE">
        <w:rPr>
          <w:rFonts w:ascii="Arial" w:hAnsi="Arial" w:cs="Arial"/>
          <w:sz w:val="24"/>
          <w:szCs w:val="24"/>
          <w:lang w:val="en-GB"/>
        </w:rPr>
        <w:t>Respondent</w:t>
      </w:r>
      <w:r>
        <w:rPr>
          <w:rFonts w:ascii="Arial" w:hAnsi="Arial" w:cs="Arial"/>
          <w:sz w:val="24"/>
          <w:szCs w:val="24"/>
          <w:lang w:val="en-GB"/>
        </w:rPr>
        <w:t>:</w:t>
      </w:r>
      <w:r w:rsidRPr="00AA34FE">
        <w:rPr>
          <w:rFonts w:ascii="Arial" w:hAnsi="Arial" w:cs="Arial"/>
          <w:sz w:val="24"/>
          <w:szCs w:val="24"/>
          <w:lang w:val="en-GB"/>
        </w:rPr>
        <w:t xml:space="preserve"> </w:t>
      </w:r>
      <w:r>
        <w:rPr>
          <w:rFonts w:ascii="Arial" w:hAnsi="Arial" w:cs="Arial"/>
          <w:sz w:val="24"/>
          <w:szCs w:val="24"/>
          <w:lang w:val="en-GB"/>
        </w:rPr>
        <w:tab/>
      </w:r>
      <w:r w:rsidRPr="00AA34FE">
        <w:rPr>
          <w:rFonts w:ascii="Arial" w:hAnsi="Arial" w:cs="Arial"/>
          <w:sz w:val="24"/>
          <w:szCs w:val="24"/>
          <w:lang w:val="en-GB"/>
        </w:rPr>
        <w:t>Adv A D Schoeman SC and Adv H Ayerst instructed by</w:t>
      </w:r>
      <w:r>
        <w:rPr>
          <w:rFonts w:ascii="Arial" w:hAnsi="Arial" w:cs="Arial"/>
          <w:sz w:val="24"/>
          <w:szCs w:val="24"/>
          <w:lang w:val="en-GB"/>
        </w:rPr>
        <w:t xml:space="preserve"> Mpambaniso Attorneys, Queenstown</w:t>
      </w:r>
    </w:p>
    <w:p w14:paraId="1E735F2B" w14:textId="77777777" w:rsidR="00B53969" w:rsidRPr="00AA34FE" w:rsidRDefault="00B53969" w:rsidP="00B53969">
      <w:pPr>
        <w:jc w:val="both"/>
        <w:rPr>
          <w:rFonts w:ascii="Arial" w:hAnsi="Arial" w:cs="Arial"/>
          <w:sz w:val="24"/>
          <w:szCs w:val="24"/>
          <w:lang w:val="en-GB"/>
        </w:rPr>
      </w:pPr>
    </w:p>
    <w:p w14:paraId="3082187F" w14:textId="77777777" w:rsidR="002C1F08" w:rsidRDefault="00B53969" w:rsidP="00B53969">
      <w:pPr>
        <w:ind w:left="2160" w:hanging="2160"/>
        <w:jc w:val="both"/>
        <w:rPr>
          <w:rFonts w:ascii="Arial" w:hAnsi="Arial" w:cs="Arial"/>
          <w:sz w:val="24"/>
          <w:szCs w:val="24"/>
          <w:lang w:val="en-GB"/>
        </w:rPr>
      </w:pPr>
      <w:r w:rsidRPr="00AA34FE">
        <w:rPr>
          <w:rFonts w:ascii="Arial" w:hAnsi="Arial" w:cs="Arial"/>
          <w:sz w:val="24"/>
          <w:szCs w:val="24"/>
          <w:lang w:val="en-GB"/>
        </w:rPr>
        <w:t>41</w:t>
      </w:r>
      <w:r w:rsidRPr="00AA34FE">
        <w:rPr>
          <w:rFonts w:ascii="Arial" w:hAnsi="Arial" w:cs="Arial"/>
          <w:sz w:val="24"/>
          <w:szCs w:val="24"/>
          <w:vertAlign w:val="superscript"/>
          <w:lang w:val="en-GB"/>
        </w:rPr>
        <w:t>st</w:t>
      </w:r>
      <w:r w:rsidRPr="00AA34FE">
        <w:rPr>
          <w:rFonts w:ascii="Arial" w:hAnsi="Arial" w:cs="Arial"/>
          <w:sz w:val="24"/>
          <w:szCs w:val="24"/>
          <w:lang w:val="en-GB"/>
        </w:rPr>
        <w:t xml:space="preserve"> </w:t>
      </w:r>
      <w:r w:rsidR="002C1F08">
        <w:rPr>
          <w:rFonts w:ascii="Arial" w:hAnsi="Arial" w:cs="Arial"/>
          <w:sz w:val="24"/>
          <w:szCs w:val="24"/>
          <w:lang w:val="en-GB"/>
        </w:rPr>
        <w:t>&amp; 52</w:t>
      </w:r>
      <w:r w:rsidR="002C1F08" w:rsidRPr="002C1F08">
        <w:rPr>
          <w:rFonts w:ascii="Arial" w:hAnsi="Arial" w:cs="Arial"/>
          <w:sz w:val="24"/>
          <w:szCs w:val="24"/>
          <w:vertAlign w:val="superscript"/>
          <w:lang w:val="en-GB"/>
        </w:rPr>
        <w:t>nd</w:t>
      </w:r>
      <w:r w:rsidR="002C1F08">
        <w:rPr>
          <w:rFonts w:ascii="Arial" w:hAnsi="Arial" w:cs="Arial"/>
          <w:sz w:val="24"/>
          <w:szCs w:val="24"/>
          <w:lang w:val="en-GB"/>
        </w:rPr>
        <w:t xml:space="preserve"> </w:t>
      </w:r>
    </w:p>
    <w:p w14:paraId="4B16A7DF" w14:textId="4FBD696B" w:rsidR="00B53969" w:rsidRPr="00AA34FE" w:rsidRDefault="00B53969" w:rsidP="00B53969">
      <w:pPr>
        <w:ind w:left="2160" w:hanging="2160"/>
        <w:jc w:val="both"/>
        <w:rPr>
          <w:rFonts w:ascii="Arial" w:hAnsi="Arial" w:cs="Arial"/>
          <w:sz w:val="24"/>
          <w:szCs w:val="24"/>
          <w:lang w:val="en-GB"/>
        </w:rPr>
      </w:pPr>
      <w:r w:rsidRPr="00AA34FE">
        <w:rPr>
          <w:rFonts w:ascii="Arial" w:hAnsi="Arial" w:cs="Arial"/>
          <w:sz w:val="24"/>
          <w:szCs w:val="24"/>
          <w:lang w:val="en-GB"/>
        </w:rPr>
        <w:t>Respondent</w:t>
      </w:r>
      <w:r>
        <w:rPr>
          <w:rFonts w:ascii="Arial" w:hAnsi="Arial" w:cs="Arial"/>
          <w:sz w:val="24"/>
          <w:szCs w:val="24"/>
          <w:lang w:val="en-GB"/>
        </w:rPr>
        <w:t>:</w:t>
      </w:r>
      <w:r w:rsidRPr="00AA34FE">
        <w:rPr>
          <w:rFonts w:ascii="Arial" w:hAnsi="Arial" w:cs="Arial"/>
          <w:sz w:val="24"/>
          <w:szCs w:val="24"/>
          <w:lang w:val="en-GB"/>
        </w:rPr>
        <w:t xml:space="preserve"> </w:t>
      </w:r>
      <w:r>
        <w:rPr>
          <w:rFonts w:ascii="Arial" w:hAnsi="Arial" w:cs="Arial"/>
          <w:sz w:val="24"/>
          <w:szCs w:val="24"/>
          <w:lang w:val="en-GB"/>
        </w:rPr>
        <w:tab/>
      </w:r>
      <w:r w:rsidRPr="00AA34FE">
        <w:rPr>
          <w:rFonts w:ascii="Arial" w:hAnsi="Arial" w:cs="Arial"/>
          <w:sz w:val="24"/>
          <w:szCs w:val="24"/>
          <w:lang w:val="en-GB"/>
        </w:rPr>
        <w:t>Adv D du Plessis SC instructed by</w:t>
      </w:r>
      <w:r>
        <w:rPr>
          <w:rFonts w:ascii="Arial" w:hAnsi="Arial" w:cs="Arial"/>
          <w:sz w:val="24"/>
          <w:szCs w:val="24"/>
          <w:lang w:val="en-GB"/>
        </w:rPr>
        <w:t xml:space="preserve"> Mlonyeni &amp; Lesele Inc, King Williams Town</w:t>
      </w:r>
    </w:p>
    <w:p w14:paraId="2FA81B7B" w14:textId="77777777" w:rsidR="00B53969" w:rsidRPr="00AA34FE" w:rsidRDefault="00B53969" w:rsidP="00B53969">
      <w:pPr>
        <w:jc w:val="both"/>
        <w:rPr>
          <w:rFonts w:ascii="Arial" w:hAnsi="Arial" w:cs="Arial"/>
          <w:sz w:val="24"/>
          <w:szCs w:val="24"/>
          <w:lang w:val="en-GB"/>
        </w:rPr>
      </w:pPr>
    </w:p>
    <w:p w14:paraId="5F331400" w14:textId="22AD2320" w:rsidR="00B53969" w:rsidRPr="00AA34FE" w:rsidRDefault="00B53969" w:rsidP="00B53969">
      <w:pPr>
        <w:ind w:left="2160" w:hanging="2160"/>
        <w:jc w:val="both"/>
        <w:rPr>
          <w:rFonts w:ascii="Arial" w:hAnsi="Arial" w:cs="Arial"/>
          <w:sz w:val="24"/>
          <w:szCs w:val="24"/>
          <w:lang w:val="en-GB"/>
        </w:rPr>
      </w:pPr>
      <w:r w:rsidRPr="00AA34FE">
        <w:rPr>
          <w:rFonts w:ascii="Arial" w:hAnsi="Arial" w:cs="Arial"/>
          <w:sz w:val="24"/>
          <w:szCs w:val="24"/>
          <w:lang w:val="en-GB"/>
        </w:rPr>
        <w:t>45</w:t>
      </w:r>
      <w:r w:rsidRPr="00AA34FE">
        <w:rPr>
          <w:rFonts w:ascii="Arial" w:hAnsi="Arial" w:cs="Arial"/>
          <w:sz w:val="24"/>
          <w:szCs w:val="24"/>
          <w:vertAlign w:val="superscript"/>
          <w:lang w:val="en-GB"/>
        </w:rPr>
        <w:t xml:space="preserve">th </w:t>
      </w:r>
      <w:r w:rsidRPr="00AA34FE">
        <w:rPr>
          <w:rFonts w:ascii="Arial" w:hAnsi="Arial" w:cs="Arial"/>
          <w:sz w:val="24"/>
          <w:szCs w:val="24"/>
          <w:lang w:val="en-GB"/>
        </w:rPr>
        <w:t>Respondent</w:t>
      </w:r>
      <w:r>
        <w:rPr>
          <w:rFonts w:ascii="Arial" w:hAnsi="Arial" w:cs="Arial"/>
          <w:sz w:val="24"/>
          <w:szCs w:val="24"/>
          <w:lang w:val="en-GB"/>
        </w:rPr>
        <w:t>:</w:t>
      </w:r>
      <w:r w:rsidRPr="00AA34FE">
        <w:rPr>
          <w:rFonts w:ascii="Arial" w:hAnsi="Arial" w:cs="Arial"/>
          <w:sz w:val="24"/>
          <w:szCs w:val="24"/>
          <w:lang w:val="en-GB"/>
        </w:rPr>
        <w:t xml:space="preserve"> </w:t>
      </w:r>
      <w:r>
        <w:rPr>
          <w:rFonts w:ascii="Arial" w:hAnsi="Arial" w:cs="Arial"/>
          <w:sz w:val="24"/>
          <w:szCs w:val="24"/>
          <w:lang w:val="en-GB"/>
        </w:rPr>
        <w:tab/>
      </w:r>
      <w:r w:rsidRPr="00AA34FE">
        <w:rPr>
          <w:rFonts w:ascii="Arial" w:hAnsi="Arial" w:cs="Arial"/>
          <w:sz w:val="24"/>
          <w:szCs w:val="24"/>
          <w:lang w:val="en-GB"/>
        </w:rPr>
        <w:t>Adv A D Schoeman SC instructed by</w:t>
      </w:r>
      <w:r>
        <w:rPr>
          <w:rFonts w:ascii="Arial" w:hAnsi="Arial" w:cs="Arial"/>
          <w:sz w:val="24"/>
          <w:szCs w:val="24"/>
          <w:lang w:val="en-GB"/>
        </w:rPr>
        <w:t xml:space="preserve"> W T Mn</w:t>
      </w:r>
      <w:r w:rsidR="00BC4D59">
        <w:rPr>
          <w:rFonts w:ascii="Arial" w:hAnsi="Arial" w:cs="Arial"/>
          <w:sz w:val="24"/>
          <w:szCs w:val="24"/>
          <w:lang w:val="en-GB"/>
        </w:rPr>
        <w:t>qa</w:t>
      </w:r>
      <w:r>
        <w:rPr>
          <w:rFonts w:ascii="Arial" w:hAnsi="Arial" w:cs="Arial"/>
          <w:sz w:val="24"/>
          <w:szCs w:val="24"/>
          <w:lang w:val="en-GB"/>
        </w:rPr>
        <w:t>ndi &amp; Associates, Mthatha</w:t>
      </w:r>
    </w:p>
    <w:p w14:paraId="5E8595E2" w14:textId="77777777" w:rsidR="00B53969" w:rsidRPr="00AA34FE" w:rsidRDefault="00B53969" w:rsidP="00B53969">
      <w:pPr>
        <w:jc w:val="both"/>
        <w:rPr>
          <w:rFonts w:ascii="Arial" w:hAnsi="Arial" w:cs="Arial"/>
          <w:sz w:val="24"/>
          <w:szCs w:val="24"/>
          <w:lang w:val="en-GB"/>
        </w:rPr>
      </w:pPr>
    </w:p>
    <w:p w14:paraId="560860C9" w14:textId="77777777" w:rsidR="00B53969" w:rsidRPr="00AA34FE" w:rsidRDefault="00B53969" w:rsidP="00B53969">
      <w:pPr>
        <w:jc w:val="both"/>
        <w:rPr>
          <w:rFonts w:ascii="Arial" w:hAnsi="Arial" w:cs="Arial"/>
          <w:sz w:val="24"/>
          <w:szCs w:val="24"/>
          <w:lang w:val="en-GB"/>
        </w:rPr>
      </w:pPr>
    </w:p>
    <w:p w14:paraId="1A75F123" w14:textId="77777777" w:rsidR="00B53969" w:rsidRPr="00AA34FE" w:rsidRDefault="00B53969" w:rsidP="00B53969">
      <w:pPr>
        <w:ind w:left="2160" w:hanging="2160"/>
        <w:jc w:val="both"/>
        <w:rPr>
          <w:rFonts w:ascii="Arial" w:hAnsi="Arial" w:cs="Arial"/>
          <w:sz w:val="24"/>
          <w:szCs w:val="24"/>
          <w:lang w:val="en-GB"/>
        </w:rPr>
      </w:pPr>
      <w:r w:rsidRPr="00AE386D">
        <w:rPr>
          <w:rFonts w:ascii="Arial" w:hAnsi="Arial" w:cs="Arial"/>
          <w:sz w:val="24"/>
          <w:szCs w:val="24"/>
          <w:lang w:val="en-GB"/>
        </w:rPr>
        <w:t>54</w:t>
      </w:r>
      <w:r w:rsidRPr="00AE386D">
        <w:rPr>
          <w:rFonts w:ascii="Arial" w:hAnsi="Arial" w:cs="Arial"/>
          <w:sz w:val="24"/>
          <w:szCs w:val="24"/>
          <w:vertAlign w:val="superscript"/>
          <w:lang w:val="en-GB"/>
        </w:rPr>
        <w:t xml:space="preserve">th </w:t>
      </w:r>
      <w:r w:rsidRPr="00AE386D">
        <w:rPr>
          <w:rFonts w:ascii="Arial" w:hAnsi="Arial" w:cs="Arial"/>
          <w:sz w:val="24"/>
          <w:szCs w:val="24"/>
          <w:lang w:val="en-GB"/>
        </w:rPr>
        <w:t>Respondent</w:t>
      </w:r>
      <w:r>
        <w:rPr>
          <w:rFonts w:ascii="Arial" w:hAnsi="Arial" w:cs="Arial"/>
          <w:sz w:val="24"/>
          <w:szCs w:val="24"/>
          <w:lang w:val="en-GB"/>
        </w:rPr>
        <w:t>:</w:t>
      </w:r>
      <w:r w:rsidRPr="00AE386D">
        <w:rPr>
          <w:rFonts w:ascii="Arial" w:hAnsi="Arial" w:cs="Arial"/>
          <w:sz w:val="24"/>
          <w:szCs w:val="24"/>
          <w:lang w:val="en-GB"/>
        </w:rPr>
        <w:t xml:space="preserve"> </w:t>
      </w:r>
      <w:r w:rsidRPr="00AE386D">
        <w:rPr>
          <w:rFonts w:ascii="Arial" w:hAnsi="Arial" w:cs="Arial"/>
          <w:sz w:val="24"/>
          <w:szCs w:val="24"/>
          <w:lang w:val="en-GB"/>
        </w:rPr>
        <w:tab/>
        <w:t>Adv A D Schoeman SC and Adv H Ayerst instructed by Mjulelwa Inc</w:t>
      </w:r>
      <w:r>
        <w:rPr>
          <w:rFonts w:ascii="Arial" w:hAnsi="Arial" w:cs="Arial"/>
          <w:sz w:val="24"/>
          <w:szCs w:val="24"/>
          <w:lang w:val="en-GB"/>
        </w:rPr>
        <w:t>, Mthatha</w:t>
      </w:r>
    </w:p>
    <w:p w14:paraId="39B097B1" w14:textId="77777777" w:rsidR="00B53969" w:rsidRPr="00AA34FE" w:rsidRDefault="00B53969" w:rsidP="00B53969">
      <w:pPr>
        <w:jc w:val="both"/>
        <w:rPr>
          <w:rFonts w:ascii="Arial" w:hAnsi="Arial" w:cs="Arial"/>
          <w:sz w:val="24"/>
          <w:szCs w:val="24"/>
          <w:lang w:val="en-GB"/>
        </w:rPr>
      </w:pPr>
    </w:p>
    <w:p w14:paraId="421727C6" w14:textId="77777777" w:rsidR="00B53969" w:rsidRDefault="00B53969" w:rsidP="00B53969">
      <w:pPr>
        <w:jc w:val="both"/>
        <w:rPr>
          <w:rFonts w:ascii="Arial" w:hAnsi="Arial" w:cs="Arial"/>
          <w:sz w:val="24"/>
          <w:szCs w:val="24"/>
          <w:lang w:val="en-GB"/>
        </w:rPr>
      </w:pPr>
      <w:r w:rsidRPr="00AE386D">
        <w:rPr>
          <w:rFonts w:ascii="Arial" w:hAnsi="Arial" w:cs="Arial"/>
          <w:sz w:val="24"/>
          <w:szCs w:val="24"/>
          <w:lang w:val="en-GB"/>
        </w:rPr>
        <w:t>59</w:t>
      </w:r>
      <w:r w:rsidRPr="00AE386D">
        <w:rPr>
          <w:rFonts w:ascii="Arial" w:hAnsi="Arial" w:cs="Arial"/>
          <w:sz w:val="24"/>
          <w:szCs w:val="24"/>
          <w:vertAlign w:val="superscript"/>
          <w:lang w:val="en-GB"/>
        </w:rPr>
        <w:t xml:space="preserve">th </w:t>
      </w:r>
      <w:r>
        <w:rPr>
          <w:rFonts w:ascii="Arial" w:hAnsi="Arial" w:cs="Arial"/>
          <w:sz w:val="24"/>
          <w:szCs w:val="24"/>
          <w:lang w:val="en-GB"/>
        </w:rPr>
        <w:t>Respondent:</w:t>
      </w:r>
      <w:r w:rsidRPr="00AE386D">
        <w:rPr>
          <w:rFonts w:ascii="Arial" w:hAnsi="Arial" w:cs="Arial"/>
          <w:sz w:val="24"/>
          <w:szCs w:val="24"/>
          <w:lang w:val="en-GB"/>
        </w:rPr>
        <w:tab/>
        <w:t>Adv A D Schoeman SC instructed by</w:t>
      </w:r>
      <w:r w:rsidRPr="00AA34FE">
        <w:rPr>
          <w:rFonts w:ascii="Arial" w:hAnsi="Arial" w:cs="Arial"/>
          <w:sz w:val="24"/>
          <w:szCs w:val="24"/>
          <w:lang w:val="en-GB"/>
        </w:rPr>
        <w:t xml:space="preserve"> </w:t>
      </w:r>
      <w:r>
        <w:rPr>
          <w:rFonts w:ascii="Arial" w:hAnsi="Arial" w:cs="Arial"/>
          <w:sz w:val="24"/>
          <w:szCs w:val="24"/>
          <w:lang w:val="en-GB"/>
        </w:rPr>
        <w:t>Dayimani Inc, Mthatha</w:t>
      </w:r>
    </w:p>
    <w:p w14:paraId="0D5DB68B" w14:textId="77777777" w:rsidR="00B53969" w:rsidRPr="00AA34FE" w:rsidRDefault="00B53969" w:rsidP="00B53969">
      <w:pPr>
        <w:jc w:val="both"/>
        <w:rPr>
          <w:rFonts w:ascii="Arial" w:hAnsi="Arial" w:cs="Arial"/>
          <w:sz w:val="24"/>
          <w:szCs w:val="24"/>
          <w:lang w:val="en-GB"/>
        </w:rPr>
      </w:pPr>
    </w:p>
    <w:p w14:paraId="5F309D47" w14:textId="77777777" w:rsidR="00B53969" w:rsidRPr="00AA34FE" w:rsidRDefault="00B53969" w:rsidP="00B53969">
      <w:pPr>
        <w:ind w:left="2160" w:hanging="2160"/>
        <w:jc w:val="both"/>
        <w:rPr>
          <w:rFonts w:ascii="Arial" w:hAnsi="Arial" w:cs="Arial"/>
          <w:sz w:val="24"/>
          <w:szCs w:val="24"/>
          <w:lang w:val="en-GB"/>
        </w:rPr>
      </w:pPr>
      <w:r w:rsidRPr="00AA34FE">
        <w:rPr>
          <w:rFonts w:ascii="Arial" w:hAnsi="Arial" w:cs="Arial"/>
          <w:sz w:val="24"/>
          <w:szCs w:val="24"/>
          <w:lang w:val="en-GB"/>
        </w:rPr>
        <w:t>64</w:t>
      </w:r>
      <w:r w:rsidRPr="00AA34FE">
        <w:rPr>
          <w:rFonts w:ascii="Arial" w:hAnsi="Arial" w:cs="Arial"/>
          <w:sz w:val="24"/>
          <w:szCs w:val="24"/>
          <w:vertAlign w:val="superscript"/>
          <w:lang w:val="en-GB"/>
        </w:rPr>
        <w:t xml:space="preserve">th </w:t>
      </w:r>
      <w:r w:rsidRPr="00AA34FE">
        <w:rPr>
          <w:rFonts w:ascii="Arial" w:hAnsi="Arial" w:cs="Arial"/>
          <w:sz w:val="24"/>
          <w:szCs w:val="24"/>
          <w:lang w:val="en-GB"/>
        </w:rPr>
        <w:t>Respondent</w:t>
      </w:r>
      <w:r>
        <w:rPr>
          <w:rFonts w:ascii="Arial" w:hAnsi="Arial" w:cs="Arial"/>
          <w:sz w:val="24"/>
          <w:szCs w:val="24"/>
          <w:lang w:val="en-GB"/>
        </w:rPr>
        <w:t>:</w:t>
      </w:r>
      <w:r w:rsidRPr="00AA34FE">
        <w:rPr>
          <w:rFonts w:ascii="Arial" w:hAnsi="Arial" w:cs="Arial"/>
          <w:sz w:val="24"/>
          <w:szCs w:val="24"/>
          <w:lang w:val="en-GB"/>
        </w:rPr>
        <w:t xml:space="preserve"> </w:t>
      </w:r>
      <w:r>
        <w:rPr>
          <w:rFonts w:ascii="Arial" w:hAnsi="Arial" w:cs="Arial"/>
          <w:sz w:val="24"/>
          <w:szCs w:val="24"/>
          <w:lang w:val="en-GB"/>
        </w:rPr>
        <w:tab/>
      </w:r>
      <w:r w:rsidRPr="00AA34FE">
        <w:rPr>
          <w:rFonts w:ascii="Arial" w:hAnsi="Arial" w:cs="Arial"/>
          <w:sz w:val="24"/>
          <w:szCs w:val="24"/>
          <w:lang w:val="en-GB"/>
        </w:rPr>
        <w:t>Adv A D Schoeman SC and Adv H Ayerst instructed by</w:t>
      </w:r>
      <w:r>
        <w:rPr>
          <w:rFonts w:ascii="Arial" w:hAnsi="Arial" w:cs="Arial"/>
          <w:sz w:val="24"/>
          <w:szCs w:val="24"/>
          <w:lang w:val="en-GB"/>
        </w:rPr>
        <w:t xml:space="preserve"> Mpambaniso Attorneys, Queenstown</w:t>
      </w:r>
    </w:p>
    <w:p w14:paraId="670EA221" w14:textId="77777777" w:rsidR="00B53969" w:rsidRPr="00AA34FE" w:rsidRDefault="00B53969" w:rsidP="00B53969">
      <w:pPr>
        <w:jc w:val="both"/>
        <w:rPr>
          <w:rFonts w:ascii="Arial" w:hAnsi="Arial" w:cs="Arial"/>
          <w:sz w:val="24"/>
          <w:szCs w:val="24"/>
          <w:lang w:val="en-GB"/>
        </w:rPr>
      </w:pPr>
    </w:p>
    <w:p w14:paraId="376EB710" w14:textId="77777777" w:rsidR="00B53969" w:rsidRPr="00AA34FE" w:rsidRDefault="00B53969" w:rsidP="00B53969">
      <w:pPr>
        <w:ind w:left="2160" w:hanging="2160"/>
        <w:jc w:val="both"/>
        <w:rPr>
          <w:rFonts w:ascii="Arial" w:hAnsi="Arial" w:cs="Arial"/>
          <w:sz w:val="24"/>
          <w:szCs w:val="24"/>
          <w:lang w:val="en-GB"/>
        </w:rPr>
      </w:pPr>
      <w:r w:rsidRPr="00AA34FE">
        <w:rPr>
          <w:rFonts w:ascii="Arial" w:hAnsi="Arial" w:cs="Arial"/>
          <w:sz w:val="24"/>
          <w:szCs w:val="24"/>
          <w:lang w:val="en-GB"/>
        </w:rPr>
        <w:t>68</w:t>
      </w:r>
      <w:r w:rsidRPr="00AA34FE">
        <w:rPr>
          <w:rFonts w:ascii="Arial" w:hAnsi="Arial" w:cs="Arial"/>
          <w:sz w:val="24"/>
          <w:szCs w:val="24"/>
          <w:vertAlign w:val="superscript"/>
          <w:lang w:val="en-GB"/>
        </w:rPr>
        <w:t xml:space="preserve">th </w:t>
      </w:r>
      <w:r w:rsidRPr="00AA34FE">
        <w:rPr>
          <w:rFonts w:ascii="Arial" w:hAnsi="Arial" w:cs="Arial"/>
          <w:sz w:val="24"/>
          <w:szCs w:val="24"/>
          <w:lang w:val="en-GB"/>
        </w:rPr>
        <w:t>Respondent</w:t>
      </w:r>
      <w:r>
        <w:rPr>
          <w:rFonts w:ascii="Arial" w:hAnsi="Arial" w:cs="Arial"/>
          <w:sz w:val="24"/>
          <w:szCs w:val="24"/>
          <w:lang w:val="en-GB"/>
        </w:rPr>
        <w:t>:</w:t>
      </w:r>
      <w:r w:rsidRPr="00AA34FE">
        <w:rPr>
          <w:rFonts w:ascii="Arial" w:hAnsi="Arial" w:cs="Arial"/>
          <w:sz w:val="24"/>
          <w:szCs w:val="24"/>
          <w:lang w:val="en-GB"/>
        </w:rPr>
        <w:t xml:space="preserve"> </w:t>
      </w:r>
      <w:r>
        <w:rPr>
          <w:rFonts w:ascii="Arial" w:hAnsi="Arial" w:cs="Arial"/>
          <w:sz w:val="24"/>
          <w:szCs w:val="24"/>
          <w:lang w:val="en-GB"/>
        </w:rPr>
        <w:tab/>
      </w:r>
      <w:r w:rsidRPr="00AA34FE">
        <w:rPr>
          <w:rFonts w:ascii="Arial" w:hAnsi="Arial" w:cs="Arial"/>
          <w:sz w:val="24"/>
          <w:szCs w:val="24"/>
          <w:lang w:val="en-GB"/>
        </w:rPr>
        <w:t>Adv A D Schoeman SC and Adv H Ayerst instructed by</w:t>
      </w:r>
      <w:r>
        <w:rPr>
          <w:rFonts w:ascii="Arial" w:hAnsi="Arial" w:cs="Arial"/>
          <w:sz w:val="24"/>
          <w:szCs w:val="24"/>
          <w:lang w:val="en-GB"/>
        </w:rPr>
        <w:t xml:space="preserve"> WT Mnqandi &amp; Associates, Mthatha</w:t>
      </w:r>
    </w:p>
    <w:p w14:paraId="739E3FB7" w14:textId="77777777" w:rsidR="00B53969" w:rsidRPr="00AA34FE" w:rsidRDefault="00B53969" w:rsidP="00B53969">
      <w:pPr>
        <w:jc w:val="both"/>
        <w:rPr>
          <w:rFonts w:ascii="Arial" w:hAnsi="Arial" w:cs="Arial"/>
          <w:sz w:val="24"/>
          <w:szCs w:val="24"/>
          <w:lang w:val="en-GB"/>
        </w:rPr>
      </w:pPr>
    </w:p>
    <w:p w14:paraId="18FF457F" w14:textId="77777777" w:rsidR="00B53969" w:rsidRPr="00AA34FE" w:rsidRDefault="00B53969" w:rsidP="00B53969">
      <w:pPr>
        <w:ind w:left="2160" w:hanging="2160"/>
        <w:jc w:val="both"/>
        <w:rPr>
          <w:rFonts w:ascii="Arial" w:hAnsi="Arial" w:cs="Arial"/>
          <w:sz w:val="24"/>
          <w:szCs w:val="24"/>
          <w:lang w:val="en-GB"/>
        </w:rPr>
      </w:pPr>
      <w:r w:rsidRPr="00AA34FE">
        <w:rPr>
          <w:rFonts w:ascii="Arial" w:hAnsi="Arial" w:cs="Arial"/>
          <w:sz w:val="24"/>
          <w:szCs w:val="24"/>
          <w:lang w:val="en-GB"/>
        </w:rPr>
        <w:t>82</w:t>
      </w:r>
      <w:r w:rsidRPr="00AA34FE">
        <w:rPr>
          <w:rFonts w:ascii="Arial" w:hAnsi="Arial" w:cs="Arial"/>
          <w:sz w:val="24"/>
          <w:szCs w:val="24"/>
          <w:vertAlign w:val="superscript"/>
          <w:lang w:val="en-GB"/>
        </w:rPr>
        <w:t>nd</w:t>
      </w:r>
      <w:r w:rsidRPr="00AA34FE">
        <w:rPr>
          <w:rFonts w:ascii="Arial" w:hAnsi="Arial" w:cs="Arial"/>
          <w:sz w:val="24"/>
          <w:szCs w:val="24"/>
          <w:lang w:val="en-GB"/>
        </w:rPr>
        <w:t xml:space="preserve"> Respondent</w:t>
      </w:r>
      <w:r>
        <w:rPr>
          <w:rFonts w:ascii="Arial" w:hAnsi="Arial" w:cs="Arial"/>
          <w:sz w:val="24"/>
          <w:szCs w:val="24"/>
          <w:lang w:val="en-GB"/>
        </w:rPr>
        <w:t>:</w:t>
      </w:r>
      <w:r w:rsidRPr="00AA34FE">
        <w:rPr>
          <w:rFonts w:ascii="Arial" w:hAnsi="Arial" w:cs="Arial"/>
          <w:sz w:val="24"/>
          <w:szCs w:val="24"/>
          <w:lang w:val="en-GB"/>
        </w:rPr>
        <w:t xml:space="preserve"> </w:t>
      </w:r>
      <w:r>
        <w:rPr>
          <w:rFonts w:ascii="Arial" w:hAnsi="Arial" w:cs="Arial"/>
          <w:sz w:val="24"/>
          <w:szCs w:val="24"/>
          <w:lang w:val="en-GB"/>
        </w:rPr>
        <w:tab/>
      </w:r>
      <w:r w:rsidRPr="00AA34FE">
        <w:rPr>
          <w:rFonts w:ascii="Arial" w:hAnsi="Arial" w:cs="Arial"/>
          <w:sz w:val="24"/>
          <w:szCs w:val="24"/>
          <w:lang w:val="en-GB"/>
        </w:rPr>
        <w:t>Adv D du Plessis SC instructed by</w:t>
      </w:r>
      <w:r>
        <w:rPr>
          <w:rFonts w:ascii="Arial" w:hAnsi="Arial" w:cs="Arial"/>
          <w:sz w:val="24"/>
          <w:szCs w:val="24"/>
          <w:lang w:val="en-GB"/>
        </w:rPr>
        <w:t xml:space="preserve"> Dudula Attorneys, Johannesburg</w:t>
      </w:r>
    </w:p>
    <w:p w14:paraId="58635055" w14:textId="77777777" w:rsidR="00B53969" w:rsidRPr="00AA34FE" w:rsidRDefault="00B53969" w:rsidP="00B53969">
      <w:pPr>
        <w:jc w:val="both"/>
        <w:rPr>
          <w:rFonts w:ascii="Arial" w:hAnsi="Arial" w:cs="Arial"/>
          <w:sz w:val="24"/>
          <w:szCs w:val="24"/>
          <w:lang w:val="en-GB"/>
        </w:rPr>
      </w:pPr>
    </w:p>
    <w:p w14:paraId="3EAA8BCB" w14:textId="77777777" w:rsidR="00B53969" w:rsidRPr="00AA34FE" w:rsidRDefault="00B53969" w:rsidP="00B53969">
      <w:pPr>
        <w:jc w:val="both"/>
        <w:rPr>
          <w:rFonts w:ascii="Arial" w:hAnsi="Arial" w:cs="Arial"/>
          <w:sz w:val="24"/>
          <w:szCs w:val="24"/>
          <w:lang w:val="en-GB"/>
        </w:rPr>
      </w:pPr>
      <w:r w:rsidRPr="00AA34FE">
        <w:rPr>
          <w:rFonts w:ascii="Arial" w:hAnsi="Arial" w:cs="Arial"/>
          <w:sz w:val="24"/>
          <w:szCs w:val="24"/>
          <w:lang w:val="en-GB"/>
        </w:rPr>
        <w:t>86</w:t>
      </w:r>
      <w:r w:rsidRPr="00AA34FE">
        <w:rPr>
          <w:rFonts w:ascii="Arial" w:hAnsi="Arial" w:cs="Arial"/>
          <w:sz w:val="24"/>
          <w:szCs w:val="24"/>
          <w:vertAlign w:val="superscript"/>
          <w:lang w:val="en-GB"/>
        </w:rPr>
        <w:t xml:space="preserve">th </w:t>
      </w:r>
      <w:r w:rsidRPr="00AA34FE">
        <w:rPr>
          <w:rFonts w:ascii="Arial" w:hAnsi="Arial" w:cs="Arial"/>
          <w:sz w:val="24"/>
          <w:szCs w:val="24"/>
          <w:lang w:val="en-GB"/>
        </w:rPr>
        <w:t>Respondent</w:t>
      </w:r>
      <w:r>
        <w:rPr>
          <w:rFonts w:ascii="Arial" w:hAnsi="Arial" w:cs="Arial"/>
          <w:sz w:val="24"/>
          <w:szCs w:val="24"/>
          <w:lang w:val="en-GB"/>
        </w:rPr>
        <w:t>:</w:t>
      </w:r>
      <w:r w:rsidRPr="00AA34FE">
        <w:rPr>
          <w:rFonts w:ascii="Arial" w:hAnsi="Arial" w:cs="Arial"/>
          <w:sz w:val="24"/>
          <w:szCs w:val="24"/>
          <w:lang w:val="en-GB"/>
        </w:rPr>
        <w:t xml:space="preserve"> </w:t>
      </w:r>
      <w:r>
        <w:rPr>
          <w:rFonts w:ascii="Arial" w:hAnsi="Arial" w:cs="Arial"/>
          <w:sz w:val="24"/>
          <w:szCs w:val="24"/>
          <w:lang w:val="en-GB"/>
        </w:rPr>
        <w:tab/>
      </w:r>
      <w:r w:rsidRPr="00AA34FE">
        <w:rPr>
          <w:rFonts w:ascii="Arial" w:hAnsi="Arial" w:cs="Arial"/>
          <w:sz w:val="24"/>
          <w:szCs w:val="24"/>
          <w:lang w:val="en-GB"/>
        </w:rPr>
        <w:t>Adv A D Schoeman SC instructed by</w:t>
      </w:r>
      <w:r>
        <w:rPr>
          <w:rFonts w:ascii="Arial" w:hAnsi="Arial" w:cs="Arial"/>
          <w:sz w:val="24"/>
          <w:szCs w:val="24"/>
          <w:lang w:val="en-GB"/>
        </w:rPr>
        <w:t xml:space="preserve"> Mjulelwa Inc, Mthatha</w:t>
      </w:r>
    </w:p>
    <w:p w14:paraId="2FC1BA79" w14:textId="77777777" w:rsidR="00B53969" w:rsidRPr="00AA34FE" w:rsidRDefault="00B53969" w:rsidP="00B53969">
      <w:pPr>
        <w:tabs>
          <w:tab w:val="left" w:pos="5760"/>
        </w:tabs>
        <w:jc w:val="both"/>
        <w:rPr>
          <w:rFonts w:ascii="Arial" w:hAnsi="Arial" w:cs="Arial"/>
          <w:sz w:val="24"/>
          <w:szCs w:val="24"/>
          <w:lang w:val="en-GB"/>
        </w:rPr>
      </w:pPr>
      <w:r>
        <w:rPr>
          <w:rFonts w:ascii="Arial" w:hAnsi="Arial" w:cs="Arial"/>
          <w:sz w:val="24"/>
          <w:szCs w:val="24"/>
          <w:lang w:val="en-GB"/>
        </w:rPr>
        <w:tab/>
      </w:r>
    </w:p>
    <w:p w14:paraId="361B71A0" w14:textId="3E57DA2E" w:rsidR="00B53969" w:rsidRPr="00AA34FE" w:rsidRDefault="00B53969" w:rsidP="00B53969">
      <w:pPr>
        <w:ind w:left="2160" w:hanging="2160"/>
        <w:jc w:val="both"/>
        <w:rPr>
          <w:rFonts w:ascii="Arial" w:hAnsi="Arial" w:cs="Arial"/>
          <w:sz w:val="24"/>
          <w:szCs w:val="24"/>
          <w:lang w:val="en-GB"/>
        </w:rPr>
      </w:pPr>
      <w:r w:rsidRPr="00AA34FE">
        <w:rPr>
          <w:rFonts w:ascii="Arial" w:hAnsi="Arial" w:cs="Arial"/>
          <w:sz w:val="24"/>
          <w:szCs w:val="24"/>
          <w:lang w:val="en-GB"/>
        </w:rPr>
        <w:t>87</w:t>
      </w:r>
      <w:r w:rsidRPr="00AA34FE">
        <w:rPr>
          <w:rFonts w:ascii="Arial" w:hAnsi="Arial" w:cs="Arial"/>
          <w:sz w:val="24"/>
          <w:szCs w:val="24"/>
          <w:vertAlign w:val="superscript"/>
          <w:lang w:val="en-GB"/>
        </w:rPr>
        <w:t>th</w:t>
      </w:r>
      <w:r w:rsidRPr="00AA34FE">
        <w:rPr>
          <w:rFonts w:ascii="Arial" w:hAnsi="Arial" w:cs="Arial"/>
          <w:sz w:val="24"/>
          <w:szCs w:val="24"/>
          <w:lang w:val="en-GB"/>
        </w:rPr>
        <w:t xml:space="preserve"> Respondent</w:t>
      </w:r>
      <w:r>
        <w:rPr>
          <w:rFonts w:ascii="Arial" w:hAnsi="Arial" w:cs="Arial"/>
          <w:sz w:val="24"/>
          <w:szCs w:val="24"/>
          <w:lang w:val="en-GB"/>
        </w:rPr>
        <w:t>:</w:t>
      </w:r>
      <w:r w:rsidRPr="00AA34FE">
        <w:rPr>
          <w:rFonts w:ascii="Arial" w:hAnsi="Arial" w:cs="Arial"/>
          <w:sz w:val="24"/>
          <w:szCs w:val="24"/>
          <w:lang w:val="en-GB"/>
        </w:rPr>
        <w:t xml:space="preserve"> </w:t>
      </w:r>
      <w:r>
        <w:rPr>
          <w:rFonts w:ascii="Arial" w:hAnsi="Arial" w:cs="Arial"/>
          <w:sz w:val="24"/>
          <w:szCs w:val="24"/>
          <w:lang w:val="en-GB"/>
        </w:rPr>
        <w:tab/>
      </w:r>
      <w:r w:rsidRPr="00AA34FE">
        <w:rPr>
          <w:rFonts w:ascii="Arial" w:hAnsi="Arial" w:cs="Arial"/>
          <w:sz w:val="24"/>
          <w:szCs w:val="24"/>
          <w:lang w:val="en-GB"/>
        </w:rPr>
        <w:t>Adv R S Willis and Adv G Badela instructed by</w:t>
      </w:r>
      <w:r w:rsidR="00362660">
        <w:rPr>
          <w:rFonts w:ascii="Arial" w:hAnsi="Arial" w:cs="Arial"/>
          <w:sz w:val="24"/>
          <w:szCs w:val="24"/>
          <w:lang w:val="en-GB"/>
        </w:rPr>
        <w:t xml:space="preserve"> De Broglio Attorneys </w:t>
      </w:r>
      <w:r>
        <w:rPr>
          <w:rFonts w:ascii="Arial" w:hAnsi="Arial" w:cs="Arial"/>
          <w:sz w:val="24"/>
          <w:szCs w:val="24"/>
          <w:lang w:val="en-GB"/>
        </w:rPr>
        <w:t>c/o Huxtable Attorneys, Makhanda</w:t>
      </w:r>
    </w:p>
    <w:p w14:paraId="2C71E686" w14:textId="5A989E47" w:rsidR="00F50B37" w:rsidRPr="00AE32FD" w:rsidRDefault="00F50B37">
      <w:pPr>
        <w:rPr>
          <w:rFonts w:ascii="Arial" w:eastAsia="Times New Roman" w:hAnsi="Arial" w:cs="Arial"/>
          <w:color w:val="000000"/>
          <w:sz w:val="24"/>
          <w:szCs w:val="24"/>
        </w:rPr>
      </w:pPr>
    </w:p>
    <w:sectPr w:rsidR="00F50B37" w:rsidRPr="00AE32FD" w:rsidSect="00F628DC">
      <w:headerReference w:type="default" r:id="rId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25B74" w14:textId="77777777" w:rsidR="00585E8D" w:rsidRDefault="00585E8D" w:rsidP="00A23D67">
      <w:pPr>
        <w:spacing w:after="0" w:line="240" w:lineRule="auto"/>
      </w:pPr>
      <w:r>
        <w:separator/>
      </w:r>
    </w:p>
  </w:endnote>
  <w:endnote w:type="continuationSeparator" w:id="0">
    <w:p w14:paraId="05F28277" w14:textId="77777777" w:rsidR="00585E8D" w:rsidRDefault="00585E8D" w:rsidP="00A23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A9E38" w14:textId="77777777" w:rsidR="00585E8D" w:rsidRDefault="00585E8D" w:rsidP="00A23D67">
      <w:pPr>
        <w:spacing w:after="0" w:line="240" w:lineRule="auto"/>
      </w:pPr>
      <w:r>
        <w:separator/>
      </w:r>
    </w:p>
  </w:footnote>
  <w:footnote w:type="continuationSeparator" w:id="0">
    <w:p w14:paraId="32140C1C" w14:textId="77777777" w:rsidR="00585E8D" w:rsidRDefault="00585E8D" w:rsidP="00A23D67">
      <w:pPr>
        <w:spacing w:after="0" w:line="240" w:lineRule="auto"/>
      </w:pPr>
      <w:r>
        <w:continuationSeparator/>
      </w:r>
    </w:p>
  </w:footnote>
  <w:footnote w:id="1">
    <w:p w14:paraId="3FA6E80C" w14:textId="3CFCF3FE" w:rsidR="00777CC4" w:rsidRPr="00A23D67" w:rsidRDefault="00777CC4" w:rsidP="005B3169">
      <w:pPr>
        <w:pStyle w:val="FootnoteText"/>
        <w:jc w:val="both"/>
      </w:pPr>
      <w:r>
        <w:rPr>
          <w:rStyle w:val="FootnoteReference"/>
        </w:rPr>
        <w:footnoteRef/>
      </w:r>
      <w:r>
        <w:t xml:space="preserve"> </w:t>
      </w:r>
      <w:r>
        <w:rPr>
          <w:i/>
        </w:rPr>
        <w:t xml:space="preserve">William Shakespeare:  Henry IV, </w:t>
      </w:r>
      <w:r>
        <w:t>Part 2</w:t>
      </w:r>
    </w:p>
  </w:footnote>
  <w:footnote w:id="2">
    <w:p w14:paraId="0120E1FD" w14:textId="77777777" w:rsidR="00777CC4" w:rsidRDefault="00777CC4">
      <w:pPr>
        <w:pStyle w:val="FootnoteText"/>
      </w:pPr>
      <w:r>
        <w:rPr>
          <w:rStyle w:val="FootnoteReference"/>
        </w:rPr>
        <w:footnoteRef/>
      </w:r>
      <w:r>
        <w:t xml:space="preserve"> The Constitution of the Republic of South Africa, 1996</w:t>
      </w:r>
    </w:p>
  </w:footnote>
  <w:footnote w:id="3">
    <w:p w14:paraId="658A6147" w14:textId="77777777" w:rsidR="00777CC4" w:rsidRDefault="00777CC4" w:rsidP="005B3169">
      <w:pPr>
        <w:pStyle w:val="FootnoteText"/>
        <w:jc w:val="both"/>
      </w:pPr>
      <w:r>
        <w:rPr>
          <w:rStyle w:val="FootnoteReference"/>
        </w:rPr>
        <w:footnoteRef/>
      </w:r>
      <w:r>
        <w:t xml:space="preserve"> The function of the PMG account is set out in para [28] and [29] of the judgment.</w:t>
      </w:r>
    </w:p>
  </w:footnote>
  <w:footnote w:id="4">
    <w:p w14:paraId="08C2CDBE" w14:textId="77777777" w:rsidR="00777CC4" w:rsidRDefault="00777CC4" w:rsidP="005B3169">
      <w:pPr>
        <w:pStyle w:val="FootnoteText"/>
        <w:jc w:val="both"/>
      </w:pPr>
      <w:r>
        <w:rPr>
          <w:rStyle w:val="FootnoteReference"/>
        </w:rPr>
        <w:footnoteRef/>
      </w:r>
      <w:r>
        <w:t xml:space="preserve"> The declaratory relief sought is set out in para [27] of the judgment.</w:t>
      </w:r>
    </w:p>
  </w:footnote>
  <w:footnote w:id="5">
    <w:p w14:paraId="345BB503" w14:textId="77777777" w:rsidR="00777CC4" w:rsidRDefault="00777CC4">
      <w:pPr>
        <w:pStyle w:val="FootnoteText"/>
      </w:pPr>
      <w:r>
        <w:rPr>
          <w:rStyle w:val="FootnoteReference"/>
        </w:rPr>
        <w:footnoteRef/>
      </w:r>
      <w:r>
        <w:t xml:space="preserve"> The relief sought in part B is described in para [10] of the judgment.</w:t>
      </w:r>
    </w:p>
  </w:footnote>
  <w:footnote w:id="6">
    <w:p w14:paraId="3D3BF667" w14:textId="77777777" w:rsidR="00777CC4" w:rsidRDefault="00777CC4" w:rsidP="00FA41F5">
      <w:pPr>
        <w:pStyle w:val="FootnoteText"/>
        <w:jc w:val="both"/>
      </w:pPr>
      <w:r>
        <w:rPr>
          <w:rStyle w:val="FootnoteReference"/>
        </w:rPr>
        <w:footnoteRef/>
      </w:r>
      <w:r>
        <w:t xml:space="preserve"> The schedule was prepared in 2021 reflecting an initial payment in 2021 (the current year) and a second payment in 2022 (plus one).  The interim interdict contained in the second draft order is subject to the payment of these two annual instalments before 31 May 2022.</w:t>
      </w:r>
    </w:p>
  </w:footnote>
  <w:footnote w:id="7">
    <w:p w14:paraId="40689DBE" w14:textId="77777777" w:rsidR="00777CC4" w:rsidRDefault="00777CC4" w:rsidP="006525EF">
      <w:pPr>
        <w:pStyle w:val="FootnoteText"/>
      </w:pPr>
      <w:r>
        <w:rPr>
          <w:rStyle w:val="FootnoteReference"/>
        </w:rPr>
        <w:footnoteRef/>
      </w:r>
      <w:r>
        <w:t xml:space="preserve"> Section 7(2) of the Constitution</w:t>
      </w:r>
    </w:p>
  </w:footnote>
  <w:footnote w:id="8">
    <w:p w14:paraId="08785114" w14:textId="77777777" w:rsidR="00777CC4" w:rsidRDefault="00777CC4" w:rsidP="006525EF">
      <w:pPr>
        <w:pStyle w:val="FootnoteText"/>
      </w:pPr>
      <w:r>
        <w:rPr>
          <w:rStyle w:val="FootnoteReference"/>
        </w:rPr>
        <w:footnoteRef/>
      </w:r>
      <w:r>
        <w:t xml:space="preserve"> Section 27(1)(a) and s 27(2) of the Constitution</w:t>
      </w:r>
    </w:p>
  </w:footnote>
  <w:footnote w:id="9">
    <w:p w14:paraId="0ACB1195" w14:textId="77777777" w:rsidR="00777CC4" w:rsidRDefault="00777CC4" w:rsidP="006525EF">
      <w:pPr>
        <w:pStyle w:val="FootnoteText"/>
      </w:pPr>
      <w:r>
        <w:rPr>
          <w:rStyle w:val="FootnoteReference"/>
        </w:rPr>
        <w:footnoteRef/>
      </w:r>
      <w:r>
        <w:t xml:space="preserve"> Section 27(3) of the Constitution </w:t>
      </w:r>
    </w:p>
  </w:footnote>
  <w:footnote w:id="10">
    <w:p w14:paraId="2B6E4624" w14:textId="77777777" w:rsidR="00777CC4" w:rsidRDefault="00777CC4" w:rsidP="006525EF">
      <w:pPr>
        <w:pStyle w:val="FootnoteText"/>
      </w:pPr>
      <w:r>
        <w:rPr>
          <w:rStyle w:val="FootnoteReference"/>
        </w:rPr>
        <w:footnoteRef/>
      </w:r>
      <w:r>
        <w:t xml:space="preserve"> Section 28(1)(c) of the Constitution</w:t>
      </w:r>
    </w:p>
  </w:footnote>
  <w:footnote w:id="11">
    <w:p w14:paraId="408591B8" w14:textId="77777777" w:rsidR="00777CC4" w:rsidRDefault="00777CC4" w:rsidP="00063C86">
      <w:pPr>
        <w:pStyle w:val="FootnoteText"/>
        <w:jc w:val="both"/>
      </w:pPr>
      <w:r>
        <w:rPr>
          <w:rStyle w:val="FootnoteReference"/>
        </w:rPr>
        <w:footnoteRef/>
      </w:r>
      <w:r>
        <w:t xml:space="preserve"> In respect of the contingent liabilities the applicants have instructed their legal representatives to raise a public health defence in respect of future medical expenses and to seek orders developing the common law to provide for payments in instalments in respect of such claims.  They will be dealt with in the individual trials as and when they arise.</w:t>
      </w:r>
    </w:p>
  </w:footnote>
  <w:footnote w:id="12">
    <w:p w14:paraId="6BEFAA13" w14:textId="4053B851" w:rsidR="00777CC4" w:rsidRPr="00063C86" w:rsidRDefault="00777CC4" w:rsidP="0054091F">
      <w:pPr>
        <w:shd w:val="clear" w:color="auto" w:fill="FFFFFF"/>
        <w:spacing w:after="0" w:line="240" w:lineRule="auto"/>
        <w:jc w:val="both"/>
        <w:rPr>
          <w:rFonts w:ascii="Calibri" w:hAnsi="Calibri"/>
          <w:i/>
          <w:color w:val="000000" w:themeColor="text1"/>
        </w:rPr>
      </w:pPr>
      <w:r>
        <w:rPr>
          <w:rStyle w:val="FootnoteReference"/>
        </w:rPr>
        <w:footnoteRef/>
      </w:r>
      <w:r>
        <w:t xml:space="preserve"> </w:t>
      </w:r>
      <w:r>
        <w:rPr>
          <w:i/>
        </w:rPr>
        <w:t>AB</w:t>
      </w:r>
      <w:r>
        <w:t xml:space="preserve"> </w:t>
      </w:r>
      <w:r w:rsidRPr="00063C86">
        <w:rPr>
          <w:rFonts w:ascii="Calibri" w:hAnsi="Calibri"/>
          <w:i/>
          <w:sz w:val="20"/>
          <w:szCs w:val="20"/>
        </w:rPr>
        <w:t>Wessels: “The Expansion of the State’s Liability for Harm Arising from Medical Malpractice:  Underlying Reasons, Deleterious Consequences and Potential Reform</w:t>
      </w:r>
      <w:r w:rsidRPr="00063C86">
        <w:rPr>
          <w:rFonts w:ascii="Calibri" w:hAnsi="Calibri"/>
          <w:i/>
          <w:color w:val="000000" w:themeColor="text1"/>
          <w:sz w:val="20"/>
          <w:szCs w:val="20"/>
        </w:rPr>
        <w:t>”</w:t>
      </w:r>
      <w:r w:rsidRPr="00063C86">
        <w:rPr>
          <w:rFonts w:ascii="Calibri" w:eastAsia="Times New Roman" w:hAnsi="Calibri" w:cs="Arial"/>
          <w:i/>
          <w:color w:val="000000" w:themeColor="text1"/>
          <w:sz w:val="20"/>
          <w:szCs w:val="20"/>
        </w:rPr>
        <w:t xml:space="preserve"> </w:t>
      </w:r>
      <w:r w:rsidRPr="00063C86">
        <w:rPr>
          <w:rFonts w:ascii="Calibri" w:eastAsia="Times New Roman" w:hAnsi="Calibri" w:cs="Arial"/>
          <w:color w:val="000000" w:themeColor="text1"/>
          <w:sz w:val="20"/>
          <w:szCs w:val="20"/>
        </w:rPr>
        <w:t>(2019) 1</w:t>
      </w:r>
      <w:r w:rsidRPr="00063C86">
        <w:rPr>
          <w:rFonts w:ascii="Calibri" w:eastAsia="Times New Roman" w:hAnsi="Calibri" w:cs="Arial"/>
          <w:i/>
          <w:color w:val="000000" w:themeColor="text1"/>
          <w:sz w:val="20"/>
          <w:szCs w:val="20"/>
        </w:rPr>
        <w:t xml:space="preserve"> </w:t>
      </w:r>
      <w:r w:rsidRPr="00063C86">
        <w:rPr>
          <w:rFonts w:ascii="Calibri" w:eastAsia="Times New Roman" w:hAnsi="Calibri" w:cs="Arial"/>
          <w:color w:val="000000" w:themeColor="text1"/>
          <w:sz w:val="20"/>
          <w:szCs w:val="20"/>
        </w:rPr>
        <w:t xml:space="preserve">TSAR 1 at 15, referred to by the Constitutional Court in </w:t>
      </w:r>
      <w:r w:rsidRPr="000035A9">
        <w:rPr>
          <w:rFonts w:ascii="Calibri" w:eastAsia="Times New Roman" w:hAnsi="Calibri" w:cs="Arial"/>
          <w:i/>
          <w:color w:val="000000" w:themeColor="text1"/>
          <w:sz w:val="20"/>
          <w:szCs w:val="20"/>
        </w:rPr>
        <w:t xml:space="preserve">MEC for Health, Gauteng v </w:t>
      </w:r>
      <w:r w:rsidRPr="00F90524">
        <w:rPr>
          <w:rFonts w:ascii="Calibri" w:eastAsia="Times New Roman" w:hAnsi="Calibri" w:cs="Arial"/>
          <w:i/>
          <w:sz w:val="20"/>
          <w:szCs w:val="20"/>
        </w:rPr>
        <w:t>PN</w:t>
      </w:r>
      <w:r w:rsidRPr="00F90524">
        <w:rPr>
          <w:rFonts w:ascii="Calibri" w:eastAsia="Times New Roman" w:hAnsi="Calibri" w:cs="Arial"/>
          <w:sz w:val="20"/>
          <w:szCs w:val="20"/>
        </w:rPr>
        <w:t xml:space="preserve"> [2021] </w:t>
      </w:r>
      <w:r w:rsidRPr="00063C86">
        <w:rPr>
          <w:rFonts w:ascii="Calibri" w:eastAsia="Times New Roman" w:hAnsi="Calibri" w:cs="Arial"/>
          <w:color w:val="000000" w:themeColor="text1"/>
          <w:sz w:val="20"/>
          <w:szCs w:val="20"/>
        </w:rPr>
        <w:t>ZACC 6;  2021 (6) BCLR 584 (CC)</w:t>
      </w:r>
    </w:p>
  </w:footnote>
  <w:footnote w:id="13">
    <w:p w14:paraId="645C7A95" w14:textId="77777777" w:rsidR="00777CC4" w:rsidRDefault="00777CC4">
      <w:pPr>
        <w:pStyle w:val="FootnoteText"/>
      </w:pPr>
      <w:r>
        <w:rPr>
          <w:rStyle w:val="FootnoteReference"/>
        </w:rPr>
        <w:footnoteRef/>
      </w:r>
      <w:r>
        <w:t xml:space="preserve"> Schedule 4 to the Constitution</w:t>
      </w:r>
    </w:p>
  </w:footnote>
  <w:footnote w:id="14">
    <w:p w14:paraId="4AD7A4AF" w14:textId="77777777" w:rsidR="00777CC4" w:rsidRDefault="00777CC4">
      <w:pPr>
        <w:pStyle w:val="FootnoteText"/>
      </w:pPr>
      <w:r>
        <w:rPr>
          <w:rStyle w:val="FootnoteReference"/>
        </w:rPr>
        <w:footnoteRef/>
      </w:r>
      <w:r>
        <w:t xml:space="preserve"> Act 61 of 2003</w:t>
      </w:r>
    </w:p>
  </w:footnote>
  <w:footnote w:id="15">
    <w:p w14:paraId="4DD59F65" w14:textId="77777777" w:rsidR="00777CC4" w:rsidRDefault="00777CC4">
      <w:pPr>
        <w:pStyle w:val="FootnoteText"/>
      </w:pPr>
      <w:r>
        <w:rPr>
          <w:rStyle w:val="FootnoteReference"/>
        </w:rPr>
        <w:footnoteRef/>
      </w:r>
      <w:r>
        <w:t xml:space="preserve"> Section 25 of the Health Act</w:t>
      </w:r>
    </w:p>
  </w:footnote>
  <w:footnote w:id="16">
    <w:p w14:paraId="1750CD05" w14:textId="77777777" w:rsidR="00777CC4" w:rsidRDefault="00777CC4">
      <w:pPr>
        <w:pStyle w:val="FootnoteText"/>
      </w:pPr>
      <w:r>
        <w:rPr>
          <w:rStyle w:val="FootnoteReference"/>
        </w:rPr>
        <w:footnoteRef/>
      </w:r>
      <w:r>
        <w:t xml:space="preserve"> Section 214 of the Constitution</w:t>
      </w:r>
    </w:p>
  </w:footnote>
  <w:footnote w:id="17">
    <w:p w14:paraId="11D5FECD" w14:textId="77777777" w:rsidR="00777CC4" w:rsidRDefault="00777CC4">
      <w:pPr>
        <w:pStyle w:val="FootnoteText"/>
      </w:pPr>
      <w:r>
        <w:rPr>
          <w:rStyle w:val="FootnoteReference"/>
        </w:rPr>
        <w:footnoteRef/>
      </w:r>
      <w:r>
        <w:t xml:space="preserve"> Section 228 as read with s 227(2) of the Constitution</w:t>
      </w:r>
    </w:p>
  </w:footnote>
  <w:footnote w:id="18">
    <w:p w14:paraId="599CCAF9" w14:textId="77777777" w:rsidR="00777CC4" w:rsidRDefault="00777CC4">
      <w:pPr>
        <w:pStyle w:val="FootnoteText"/>
      </w:pPr>
      <w:r>
        <w:rPr>
          <w:rStyle w:val="FootnoteReference"/>
        </w:rPr>
        <w:footnoteRef/>
      </w:r>
      <w:r>
        <w:t xml:space="preserve"> Section 226(1) of the Constitution, s 22 of the Public Finance Management Act, 1 of 1999 (PFMA)</w:t>
      </w:r>
    </w:p>
  </w:footnote>
  <w:footnote w:id="19">
    <w:p w14:paraId="6F239DC0" w14:textId="77777777" w:rsidR="00777CC4" w:rsidRDefault="00777CC4">
      <w:pPr>
        <w:pStyle w:val="FootnoteText"/>
      </w:pPr>
      <w:r>
        <w:rPr>
          <w:rStyle w:val="FootnoteReference"/>
        </w:rPr>
        <w:footnoteRef/>
      </w:r>
      <w:r>
        <w:t xml:space="preserve"> Section 21(1) of the PFMA</w:t>
      </w:r>
    </w:p>
  </w:footnote>
  <w:footnote w:id="20">
    <w:p w14:paraId="4467D326" w14:textId="77777777" w:rsidR="00777CC4" w:rsidRDefault="00777CC4">
      <w:pPr>
        <w:pStyle w:val="FootnoteText"/>
      </w:pPr>
      <w:r>
        <w:rPr>
          <w:rStyle w:val="FootnoteReference"/>
        </w:rPr>
        <w:footnoteRef/>
      </w:r>
      <w:r>
        <w:t xml:space="preserve"> Section 226(2) of the Constitution and s 21(1)(b) of the PFMA</w:t>
      </w:r>
    </w:p>
  </w:footnote>
  <w:footnote w:id="21">
    <w:p w14:paraId="5E1C3125" w14:textId="77777777" w:rsidR="00777CC4" w:rsidRDefault="00777CC4" w:rsidP="005B3169">
      <w:pPr>
        <w:pStyle w:val="FootnoteText"/>
        <w:jc w:val="both"/>
      </w:pPr>
      <w:r>
        <w:rPr>
          <w:rStyle w:val="FootnoteReference"/>
        </w:rPr>
        <w:footnoteRef/>
      </w:r>
      <w:r>
        <w:t xml:space="preserve"> Section 26 and 27(2) of the PFMA</w:t>
      </w:r>
    </w:p>
  </w:footnote>
  <w:footnote w:id="22">
    <w:p w14:paraId="7A963832" w14:textId="77777777" w:rsidR="00777CC4" w:rsidRDefault="00777CC4" w:rsidP="005B3169">
      <w:pPr>
        <w:pStyle w:val="FootnoteText"/>
        <w:jc w:val="both"/>
      </w:pPr>
      <w:r>
        <w:rPr>
          <w:rStyle w:val="FootnoteReference"/>
        </w:rPr>
        <w:footnoteRef/>
      </w:r>
      <w:r>
        <w:t xml:space="preserve"> Section 27(2) and (3) of the PFMA</w:t>
      </w:r>
    </w:p>
  </w:footnote>
  <w:footnote w:id="23">
    <w:p w14:paraId="6FF6DB9C" w14:textId="77777777" w:rsidR="00777CC4" w:rsidRDefault="00777CC4" w:rsidP="005B3169">
      <w:pPr>
        <w:pStyle w:val="FootnoteText"/>
        <w:jc w:val="both"/>
      </w:pPr>
      <w:r>
        <w:rPr>
          <w:rStyle w:val="FootnoteReference"/>
        </w:rPr>
        <w:footnoteRef/>
      </w:r>
      <w:r>
        <w:t xml:space="preserve"> Section 27(3)(g) and (h), as read with s 18(1)(c) of the PFMA</w:t>
      </w:r>
    </w:p>
  </w:footnote>
  <w:footnote w:id="24">
    <w:p w14:paraId="6C53DCD7" w14:textId="77777777" w:rsidR="00777CC4" w:rsidRDefault="00777CC4" w:rsidP="005B3169">
      <w:pPr>
        <w:pStyle w:val="FootnoteText"/>
        <w:jc w:val="both"/>
      </w:pPr>
      <w:r>
        <w:rPr>
          <w:rStyle w:val="FootnoteReference"/>
        </w:rPr>
        <w:footnoteRef/>
      </w:r>
      <w:r>
        <w:t xml:space="preserve"> In terms of s 36(1) of the PFMA every department must have an accounting officer and s 36(2) provides that it would usually be the head of the department.</w:t>
      </w:r>
    </w:p>
  </w:footnote>
  <w:footnote w:id="25">
    <w:p w14:paraId="684C16F8" w14:textId="77777777" w:rsidR="00777CC4" w:rsidRDefault="00777CC4" w:rsidP="005B3169">
      <w:pPr>
        <w:pStyle w:val="FootnoteText"/>
        <w:jc w:val="both"/>
      </w:pPr>
      <w:r>
        <w:rPr>
          <w:rStyle w:val="FootnoteReference"/>
        </w:rPr>
        <w:footnoteRef/>
      </w:r>
      <w:r>
        <w:t xml:space="preserve"> Section 38(1)(l)</w:t>
      </w:r>
    </w:p>
  </w:footnote>
  <w:footnote w:id="26">
    <w:p w14:paraId="4A1A1377" w14:textId="77777777" w:rsidR="00777CC4" w:rsidRDefault="00777CC4" w:rsidP="005B3169">
      <w:pPr>
        <w:pStyle w:val="FootnoteText"/>
        <w:jc w:val="both"/>
      </w:pPr>
      <w:r>
        <w:rPr>
          <w:rStyle w:val="FootnoteReference"/>
        </w:rPr>
        <w:footnoteRef/>
      </w:r>
      <w:r>
        <w:t xml:space="preserve"> Section 38(1)(a)(i)</w:t>
      </w:r>
    </w:p>
  </w:footnote>
  <w:footnote w:id="27">
    <w:p w14:paraId="6569A13B" w14:textId="77777777" w:rsidR="00777CC4" w:rsidRDefault="00777CC4" w:rsidP="005B3169">
      <w:pPr>
        <w:pStyle w:val="FootnoteText"/>
        <w:jc w:val="both"/>
      </w:pPr>
      <w:r>
        <w:rPr>
          <w:rStyle w:val="FootnoteReference"/>
        </w:rPr>
        <w:footnoteRef/>
      </w:r>
      <w:r>
        <w:t xml:space="preserve"> Section 38(1)(d)</w:t>
      </w:r>
    </w:p>
  </w:footnote>
  <w:footnote w:id="28">
    <w:p w14:paraId="205B4EF2" w14:textId="77777777" w:rsidR="00777CC4" w:rsidRDefault="00777CC4" w:rsidP="005B3169">
      <w:pPr>
        <w:pStyle w:val="FootnoteText"/>
        <w:jc w:val="both"/>
      </w:pPr>
      <w:r>
        <w:rPr>
          <w:rStyle w:val="FootnoteReference"/>
        </w:rPr>
        <w:footnoteRef/>
      </w:r>
      <w:r>
        <w:t xml:space="preserve"> Section 38(1)(f)</w:t>
      </w:r>
    </w:p>
  </w:footnote>
  <w:footnote w:id="29">
    <w:p w14:paraId="69F04CB7" w14:textId="77777777" w:rsidR="00777CC4" w:rsidRDefault="00777CC4" w:rsidP="003F2BB4">
      <w:pPr>
        <w:pStyle w:val="FootnoteText"/>
      </w:pPr>
      <w:r>
        <w:rPr>
          <w:rStyle w:val="FootnoteReference"/>
        </w:rPr>
        <w:footnoteRef/>
      </w:r>
      <w:r>
        <w:t xml:space="preserve"> As envisaged in s 38(1)(a)(i) of the PFMA</w:t>
      </w:r>
    </w:p>
  </w:footnote>
  <w:footnote w:id="30">
    <w:p w14:paraId="42BBE82A" w14:textId="77777777" w:rsidR="00777CC4" w:rsidRDefault="00777CC4" w:rsidP="003F2BB4">
      <w:pPr>
        <w:pStyle w:val="FootnoteText"/>
      </w:pPr>
      <w:r>
        <w:rPr>
          <w:rStyle w:val="FootnoteReference"/>
        </w:rPr>
        <w:footnoteRef/>
      </w:r>
      <w:r>
        <w:t xml:space="preserve"> As envisaged in s 38(1)(f) of the PFMA</w:t>
      </w:r>
    </w:p>
  </w:footnote>
  <w:footnote w:id="31">
    <w:p w14:paraId="3DC66B60" w14:textId="77777777" w:rsidR="00777CC4" w:rsidRDefault="00777CC4" w:rsidP="003F2BB4">
      <w:pPr>
        <w:pStyle w:val="FootnoteText"/>
      </w:pPr>
      <w:r>
        <w:rPr>
          <w:rStyle w:val="FootnoteReference"/>
        </w:rPr>
        <w:footnoteRef/>
      </w:r>
      <w:r>
        <w:t xml:space="preserve"> Amended by Act 14 of 2011</w:t>
      </w:r>
    </w:p>
  </w:footnote>
  <w:footnote w:id="32">
    <w:p w14:paraId="00120CBC" w14:textId="77777777" w:rsidR="00777CC4" w:rsidRDefault="00777CC4" w:rsidP="003F2BB4">
      <w:pPr>
        <w:pStyle w:val="FootnoteText"/>
      </w:pPr>
      <w:r>
        <w:rPr>
          <w:rStyle w:val="FootnoteReference"/>
        </w:rPr>
        <w:footnoteRef/>
      </w:r>
      <w:r>
        <w:t xml:space="preserve"> Section 39(1)(b) of the PFMA</w:t>
      </w:r>
    </w:p>
  </w:footnote>
  <w:footnote w:id="33">
    <w:p w14:paraId="4F7F2704" w14:textId="77777777" w:rsidR="00777CC4" w:rsidRDefault="00777CC4" w:rsidP="003F2BB4">
      <w:pPr>
        <w:pStyle w:val="FootnoteText"/>
      </w:pPr>
      <w:r>
        <w:rPr>
          <w:rStyle w:val="FootnoteReference"/>
        </w:rPr>
        <w:footnoteRef/>
      </w:r>
      <w:r>
        <w:t xml:space="preserve"> Section 39(2)(b)(ii) of the PFMA</w:t>
      </w:r>
    </w:p>
  </w:footnote>
  <w:footnote w:id="34">
    <w:p w14:paraId="5C08B06D" w14:textId="77777777" w:rsidR="00777CC4" w:rsidRDefault="00777CC4" w:rsidP="003F2BB4">
      <w:pPr>
        <w:pStyle w:val="FootnoteText"/>
      </w:pPr>
      <w:r>
        <w:rPr>
          <w:rStyle w:val="FootnoteReference"/>
        </w:rPr>
        <w:footnoteRef/>
      </w:r>
      <w:r>
        <w:t xml:space="preserve"> Section 81(1) of the PFMA</w:t>
      </w:r>
    </w:p>
  </w:footnote>
  <w:footnote w:id="35">
    <w:p w14:paraId="54652342" w14:textId="77777777" w:rsidR="00777CC4" w:rsidRDefault="00777CC4" w:rsidP="003F2BB4">
      <w:pPr>
        <w:pStyle w:val="FootnoteText"/>
      </w:pPr>
      <w:r>
        <w:rPr>
          <w:rStyle w:val="FootnoteReference"/>
        </w:rPr>
        <w:footnoteRef/>
      </w:r>
      <w:r>
        <w:t xml:space="preserve"> Section 86(1) of the PFMA</w:t>
      </w:r>
    </w:p>
  </w:footnote>
  <w:footnote w:id="36">
    <w:p w14:paraId="470676C3" w14:textId="77777777" w:rsidR="00777CC4" w:rsidRDefault="00777CC4" w:rsidP="00CF25F5">
      <w:pPr>
        <w:pStyle w:val="FootnoteText"/>
        <w:jc w:val="both"/>
      </w:pPr>
      <w:r>
        <w:rPr>
          <w:rStyle w:val="FootnoteReference"/>
        </w:rPr>
        <w:footnoteRef/>
      </w:r>
      <w:r>
        <w:t xml:space="preserve"> Act 20 of 1957, as amended from time to time</w:t>
      </w:r>
    </w:p>
  </w:footnote>
  <w:footnote w:id="37">
    <w:p w14:paraId="5E07043C" w14:textId="77777777" w:rsidR="00777CC4" w:rsidRDefault="00777CC4" w:rsidP="00CF25F5">
      <w:pPr>
        <w:pStyle w:val="FootnoteText"/>
        <w:jc w:val="both"/>
      </w:pPr>
      <w:r>
        <w:rPr>
          <w:rStyle w:val="FootnoteReference"/>
        </w:rPr>
        <w:footnoteRef/>
      </w:r>
      <w:r>
        <w:t xml:space="preserve"> The heading to Act 14 of 2011 (The State Liability Amendment Act) records:  “To amend the State Liability Act …, so as to regulate the manner in which a final court order sounding in money against the State must be satisfied”.</w:t>
      </w:r>
    </w:p>
  </w:footnote>
  <w:footnote w:id="38">
    <w:p w14:paraId="4E3A5321" w14:textId="77777777" w:rsidR="00777CC4" w:rsidRDefault="00777CC4" w:rsidP="00CF25F5">
      <w:pPr>
        <w:pStyle w:val="FootnoteText"/>
        <w:jc w:val="both"/>
      </w:pPr>
      <w:r>
        <w:rPr>
          <w:rStyle w:val="FootnoteReference"/>
        </w:rPr>
        <w:footnoteRef/>
      </w:r>
      <w:r>
        <w:t xml:space="preserve"> Section 3(3)(a) and (b) of the SLA and s 38(1)(f) of the PFMA</w:t>
      </w:r>
    </w:p>
  </w:footnote>
  <w:footnote w:id="39">
    <w:p w14:paraId="2E93F0F5" w14:textId="77777777" w:rsidR="00777CC4" w:rsidRDefault="00777CC4" w:rsidP="00CF25F5">
      <w:pPr>
        <w:pStyle w:val="FootnoteText"/>
        <w:jc w:val="both"/>
      </w:pPr>
      <w:r>
        <w:rPr>
          <w:rStyle w:val="FootnoteReference"/>
        </w:rPr>
        <w:footnoteRef/>
      </w:r>
      <w:r>
        <w:t xml:space="preserve"> Section 3(4) of the SLA</w:t>
      </w:r>
    </w:p>
  </w:footnote>
  <w:footnote w:id="40">
    <w:p w14:paraId="7C8FA3EB" w14:textId="77777777" w:rsidR="00777CC4" w:rsidRDefault="00777CC4" w:rsidP="00CF25F5">
      <w:pPr>
        <w:pStyle w:val="FootnoteText"/>
        <w:jc w:val="both"/>
      </w:pPr>
      <w:r>
        <w:rPr>
          <w:rStyle w:val="FootnoteReference"/>
        </w:rPr>
        <w:footnoteRef/>
      </w:r>
      <w:r>
        <w:t xml:space="preserve"> Section 3(5) of the SLA</w:t>
      </w:r>
    </w:p>
  </w:footnote>
  <w:footnote w:id="41">
    <w:p w14:paraId="2D906210" w14:textId="77777777" w:rsidR="00777CC4" w:rsidRDefault="00777CC4" w:rsidP="00CF25F5">
      <w:pPr>
        <w:pStyle w:val="FootnoteText"/>
        <w:jc w:val="both"/>
      </w:pPr>
      <w:r>
        <w:rPr>
          <w:rStyle w:val="FootnoteReference"/>
        </w:rPr>
        <w:footnoteRef/>
      </w:r>
      <w:r>
        <w:t xml:space="preserve"> Section 3(11) of the SLA</w:t>
      </w:r>
    </w:p>
  </w:footnote>
  <w:footnote w:id="42">
    <w:p w14:paraId="170EC4AD" w14:textId="77777777" w:rsidR="00777CC4" w:rsidRDefault="00777CC4" w:rsidP="00CF25F5">
      <w:pPr>
        <w:pStyle w:val="FootnoteText"/>
        <w:jc w:val="both"/>
      </w:pPr>
      <w:r>
        <w:rPr>
          <w:rStyle w:val="FootnoteReference"/>
        </w:rPr>
        <w:footnoteRef/>
      </w:r>
      <w:r>
        <w:t xml:space="preserve"> Section 3(12) of the SLA</w:t>
      </w:r>
    </w:p>
  </w:footnote>
  <w:footnote w:id="43">
    <w:p w14:paraId="2C9BD18D" w14:textId="77777777" w:rsidR="00777CC4" w:rsidRDefault="00777CC4" w:rsidP="00CF25F5">
      <w:pPr>
        <w:pStyle w:val="FootnoteText"/>
        <w:jc w:val="both"/>
      </w:pPr>
      <w:r>
        <w:rPr>
          <w:rStyle w:val="FootnoteReference"/>
        </w:rPr>
        <w:footnoteRef/>
      </w:r>
      <w:r>
        <w:t xml:space="preserve"> Section 18(2)(a) of the PFMA empowers treasury to issue instructions which are not inconsistent with the PFMA</w:t>
      </w:r>
    </w:p>
  </w:footnote>
  <w:footnote w:id="44">
    <w:p w14:paraId="70C2EA9B" w14:textId="77777777" w:rsidR="00777CC4" w:rsidRDefault="00777CC4" w:rsidP="00CF25F5">
      <w:pPr>
        <w:pStyle w:val="FootnoteText"/>
        <w:jc w:val="both"/>
      </w:pPr>
      <w:r>
        <w:rPr>
          <w:rStyle w:val="FootnoteReference"/>
        </w:rPr>
        <w:footnoteRef/>
      </w:r>
      <w:r>
        <w:t xml:space="preserve"> Section 3(15)(a) of the SLA</w:t>
      </w:r>
    </w:p>
  </w:footnote>
  <w:footnote w:id="45">
    <w:p w14:paraId="00AF3B17" w14:textId="77777777" w:rsidR="00777CC4" w:rsidRDefault="00777CC4" w:rsidP="00CF25F5">
      <w:pPr>
        <w:pStyle w:val="FootnoteText"/>
        <w:jc w:val="both"/>
      </w:pPr>
      <w:r>
        <w:rPr>
          <w:rStyle w:val="FootnoteReference"/>
        </w:rPr>
        <w:footnoteRef/>
      </w:r>
      <w:r>
        <w:t xml:space="preserve"> Section 3(15)(b) of the SLA</w:t>
      </w:r>
    </w:p>
  </w:footnote>
  <w:footnote w:id="46">
    <w:p w14:paraId="5D7AA1B8" w14:textId="77777777" w:rsidR="00777CC4" w:rsidRDefault="00777CC4" w:rsidP="00CF25F5">
      <w:pPr>
        <w:pStyle w:val="FootnoteText"/>
        <w:jc w:val="both"/>
      </w:pPr>
      <w:r>
        <w:rPr>
          <w:rStyle w:val="FootnoteReference"/>
        </w:rPr>
        <w:footnoteRef/>
      </w:r>
      <w:r>
        <w:t xml:space="preserve"> Section 3(16) of the SLA</w:t>
      </w:r>
    </w:p>
  </w:footnote>
  <w:footnote w:id="47">
    <w:p w14:paraId="449AEACF" w14:textId="77777777" w:rsidR="00777CC4" w:rsidRDefault="00777CC4" w:rsidP="00CF25F5">
      <w:pPr>
        <w:pStyle w:val="FootnoteText"/>
        <w:jc w:val="both"/>
      </w:pPr>
      <w:r>
        <w:rPr>
          <w:rStyle w:val="FootnoteReference"/>
        </w:rPr>
        <w:footnoteRef/>
      </w:r>
      <w:r>
        <w:t xml:space="preserve"> Section 3(13)(b) of the SLA</w:t>
      </w:r>
    </w:p>
  </w:footnote>
  <w:footnote w:id="48">
    <w:p w14:paraId="062ED9C6" w14:textId="77777777" w:rsidR="00777CC4" w:rsidRDefault="00777CC4" w:rsidP="00CF25F5">
      <w:pPr>
        <w:pStyle w:val="FootnoteText"/>
        <w:jc w:val="both"/>
      </w:pPr>
      <w:r>
        <w:rPr>
          <w:rStyle w:val="FootnoteReference"/>
        </w:rPr>
        <w:footnoteRef/>
      </w:r>
      <w:r>
        <w:t xml:space="preserve"> Section 3(5)-3(9) of the SLA</w:t>
      </w:r>
    </w:p>
  </w:footnote>
  <w:footnote w:id="49">
    <w:p w14:paraId="4E653AD9" w14:textId="77777777" w:rsidR="00777CC4" w:rsidRDefault="00777CC4" w:rsidP="00CF25F5">
      <w:pPr>
        <w:pStyle w:val="FootnoteText"/>
        <w:jc w:val="both"/>
      </w:pPr>
      <w:r>
        <w:rPr>
          <w:rStyle w:val="FootnoteReference"/>
        </w:rPr>
        <w:footnoteRef/>
      </w:r>
      <w:r>
        <w:t xml:space="preserve"> Section 3(7)(b) and (c) of the SLA</w:t>
      </w:r>
    </w:p>
  </w:footnote>
  <w:footnote w:id="50">
    <w:p w14:paraId="1C8F8055" w14:textId="77777777" w:rsidR="00777CC4" w:rsidRDefault="00777CC4">
      <w:pPr>
        <w:pStyle w:val="FootnoteText"/>
      </w:pPr>
      <w:r>
        <w:rPr>
          <w:rStyle w:val="FootnoteReference"/>
        </w:rPr>
        <w:footnoteRef/>
      </w:r>
      <w:r>
        <w:t xml:space="preserve"> The sixth to ninth respondents are sheriffs who have made attachments on the PMG accounts.</w:t>
      </w:r>
    </w:p>
  </w:footnote>
  <w:footnote w:id="51">
    <w:p w14:paraId="483B0D20" w14:textId="77777777" w:rsidR="00777CC4" w:rsidRDefault="00777CC4">
      <w:pPr>
        <w:pStyle w:val="FootnoteText"/>
      </w:pPr>
      <w:r>
        <w:rPr>
          <w:rStyle w:val="FootnoteReference"/>
        </w:rPr>
        <w:footnoteRef/>
      </w:r>
      <w:r>
        <w:t xml:space="preserve"> The account envisaged in s 21(2) of the PFMA</w:t>
      </w:r>
    </w:p>
  </w:footnote>
  <w:footnote w:id="52">
    <w:p w14:paraId="1C737312" w14:textId="77777777" w:rsidR="00777CC4" w:rsidRPr="00F90524" w:rsidRDefault="00777CC4" w:rsidP="00CF25F5">
      <w:pPr>
        <w:pStyle w:val="FootnoteText"/>
        <w:jc w:val="both"/>
      </w:pPr>
      <w:r>
        <w:rPr>
          <w:rStyle w:val="FootnoteReference"/>
        </w:rPr>
        <w:footnoteRef/>
      </w:r>
      <w:r>
        <w:t xml:space="preserve"> </w:t>
      </w:r>
      <w:r>
        <w:rPr>
          <w:i/>
        </w:rPr>
        <w:t>The MEC for the Department of Public Works and Others v Ikamva Architects and Others</w:t>
      </w:r>
      <w:r>
        <w:t xml:space="preserve">,  a judgment of the full court of this division delivered on 17 March 2022 (case number 235/2021) </w:t>
      </w:r>
      <w:r w:rsidRPr="00F90524">
        <w:t>[2022] ZAECBHC 6</w:t>
      </w:r>
    </w:p>
  </w:footnote>
  <w:footnote w:id="53">
    <w:p w14:paraId="14124957" w14:textId="77777777" w:rsidR="00777CC4" w:rsidRDefault="00777CC4" w:rsidP="00CF25F5">
      <w:pPr>
        <w:pStyle w:val="FootnoteText"/>
        <w:jc w:val="both"/>
      </w:pPr>
      <w:r>
        <w:rPr>
          <w:rStyle w:val="FootnoteReference"/>
        </w:rPr>
        <w:footnoteRef/>
      </w:r>
      <w:r>
        <w:t xml:space="preserve"> At para [41]</w:t>
      </w:r>
    </w:p>
  </w:footnote>
  <w:footnote w:id="54">
    <w:p w14:paraId="1C94533E" w14:textId="2C06F4D2" w:rsidR="00777CC4" w:rsidRDefault="00777CC4">
      <w:pPr>
        <w:pStyle w:val="FootnoteText"/>
      </w:pPr>
      <w:r>
        <w:rPr>
          <w:rStyle w:val="FootnoteReference"/>
        </w:rPr>
        <w:footnoteRef/>
      </w:r>
      <w:r>
        <w:t xml:space="preserve"> At para [4</w:t>
      </w:r>
      <w:r w:rsidRPr="00F90524">
        <w:t>6</w:t>
      </w:r>
      <w:r>
        <w:t>]</w:t>
      </w:r>
    </w:p>
  </w:footnote>
  <w:footnote w:id="55">
    <w:p w14:paraId="014A33B0" w14:textId="77777777" w:rsidR="00777CC4" w:rsidRDefault="00777CC4">
      <w:pPr>
        <w:pStyle w:val="FootnoteText"/>
      </w:pPr>
      <w:r>
        <w:rPr>
          <w:rStyle w:val="FootnoteReference"/>
        </w:rPr>
        <w:footnoteRef/>
      </w:r>
      <w:r>
        <w:t xml:space="preserve"> </w:t>
      </w:r>
      <w:r w:rsidRPr="000A154D">
        <w:rPr>
          <w:i/>
        </w:rPr>
        <w:t>Natal Joint Municipal Pension Fund v Endumeni Municipality</w:t>
      </w:r>
      <w:r>
        <w:t xml:space="preserve"> 2012 (4) SA 593 (SCA)</w:t>
      </w:r>
    </w:p>
  </w:footnote>
  <w:footnote w:id="56">
    <w:p w14:paraId="16ADA954" w14:textId="77777777" w:rsidR="00777CC4" w:rsidRPr="000A2DD9" w:rsidRDefault="00777CC4" w:rsidP="00CF25F5">
      <w:pPr>
        <w:pStyle w:val="FootnoteText"/>
        <w:jc w:val="both"/>
      </w:pPr>
      <w:r>
        <w:rPr>
          <w:rStyle w:val="FootnoteReference"/>
        </w:rPr>
        <w:footnoteRef/>
      </w:r>
      <w:r>
        <w:t xml:space="preserve"> </w:t>
      </w:r>
      <w:r>
        <w:rPr>
          <w:i/>
        </w:rPr>
        <w:t>Endumeni</w:t>
      </w:r>
      <w:r>
        <w:t xml:space="preserve"> at para [18]</w:t>
      </w:r>
    </w:p>
  </w:footnote>
  <w:footnote w:id="57">
    <w:p w14:paraId="1F45AC73" w14:textId="77777777" w:rsidR="00777CC4" w:rsidRPr="000A2DD9" w:rsidRDefault="00777CC4" w:rsidP="00CF25F5">
      <w:pPr>
        <w:pStyle w:val="FootnoteText"/>
        <w:jc w:val="both"/>
      </w:pPr>
      <w:r>
        <w:rPr>
          <w:rStyle w:val="FootnoteReference"/>
        </w:rPr>
        <w:footnoteRef/>
      </w:r>
      <w:r>
        <w:t xml:space="preserve"> </w:t>
      </w:r>
      <w:r>
        <w:rPr>
          <w:i/>
        </w:rPr>
        <w:t>Voet</w:t>
      </w:r>
      <w:r>
        <w:t xml:space="preserve"> 42.1.42</w:t>
      </w:r>
    </w:p>
  </w:footnote>
  <w:footnote w:id="58">
    <w:p w14:paraId="4EF567D8" w14:textId="77777777" w:rsidR="00777CC4" w:rsidRPr="000A2DD9" w:rsidRDefault="00777CC4" w:rsidP="00CF25F5">
      <w:pPr>
        <w:pStyle w:val="FootnoteText"/>
        <w:jc w:val="both"/>
      </w:pPr>
      <w:r>
        <w:rPr>
          <w:rStyle w:val="FootnoteReference"/>
        </w:rPr>
        <w:footnoteRef/>
      </w:r>
      <w:r>
        <w:t xml:space="preserve"> </w:t>
      </w:r>
      <w:r>
        <w:rPr>
          <w:i/>
        </w:rPr>
        <w:t xml:space="preserve">MV Snow Delta:  Serva Ship Limited v Discount Tonnage Limited </w:t>
      </w:r>
      <w:r>
        <w:t>2000 (4) SA 746 (SCA) at 753E-F</w:t>
      </w:r>
    </w:p>
  </w:footnote>
  <w:footnote w:id="59">
    <w:p w14:paraId="379DA42C" w14:textId="77777777" w:rsidR="00777CC4" w:rsidRDefault="00777CC4" w:rsidP="00CF25F5">
      <w:pPr>
        <w:pStyle w:val="FootnoteText"/>
        <w:jc w:val="both"/>
      </w:pPr>
      <w:r>
        <w:rPr>
          <w:rStyle w:val="FootnoteReference"/>
        </w:rPr>
        <w:footnoteRef/>
      </w:r>
      <w:r>
        <w:t xml:space="preserve"> 1906 TS 563 at 566</w:t>
      </w:r>
    </w:p>
  </w:footnote>
  <w:footnote w:id="60">
    <w:p w14:paraId="35AFEDEC" w14:textId="77777777" w:rsidR="00777CC4" w:rsidRDefault="00777CC4" w:rsidP="00CF25F5">
      <w:pPr>
        <w:pStyle w:val="FootnoteText"/>
        <w:jc w:val="both"/>
      </w:pPr>
      <w:r>
        <w:rPr>
          <w:rStyle w:val="FootnoteReference"/>
        </w:rPr>
        <w:footnoteRef/>
      </w:r>
      <w:r>
        <w:t xml:space="preserve"> 1.8.18</w:t>
      </w:r>
    </w:p>
  </w:footnote>
  <w:footnote w:id="61">
    <w:p w14:paraId="39474A94" w14:textId="7835C54D" w:rsidR="00777CC4" w:rsidRDefault="00777CC4" w:rsidP="00CF25F5">
      <w:pPr>
        <w:pStyle w:val="FootnoteText"/>
        <w:jc w:val="both"/>
      </w:pPr>
      <w:r>
        <w:rPr>
          <w:rStyle w:val="FootnoteReference"/>
        </w:rPr>
        <w:footnoteRef/>
      </w:r>
      <w:r>
        <w:t xml:space="preserve"> The decision has been criticized on the ground that Innes CJ failed to have regard to other portions of the writings of </w:t>
      </w:r>
      <w:r w:rsidRPr="00A31301">
        <w:rPr>
          <w:i/>
        </w:rPr>
        <w:t>Voet</w:t>
      </w:r>
      <w:r>
        <w:t>, in particular, 1.8.29.  However, the decision has remained uncontradicted for more than hundred years.</w:t>
      </w:r>
    </w:p>
  </w:footnote>
  <w:footnote w:id="62">
    <w:p w14:paraId="7F04F36B" w14:textId="77777777" w:rsidR="00777CC4" w:rsidRPr="00E8633F" w:rsidRDefault="00777CC4" w:rsidP="00CF25F5">
      <w:pPr>
        <w:pStyle w:val="FootnoteText"/>
        <w:jc w:val="both"/>
      </w:pPr>
      <w:r>
        <w:rPr>
          <w:rStyle w:val="FootnoteReference"/>
        </w:rPr>
        <w:footnoteRef/>
      </w:r>
      <w:r>
        <w:t xml:space="preserve"> </w:t>
      </w:r>
      <w:r w:rsidRPr="00E8633F">
        <w:rPr>
          <w:i/>
        </w:rPr>
        <w:t>C</w:t>
      </w:r>
      <w:r>
        <w:rPr>
          <w:i/>
        </w:rPr>
        <w:t>G</w:t>
      </w:r>
      <w:r w:rsidRPr="00E8633F">
        <w:rPr>
          <w:i/>
        </w:rPr>
        <w:t xml:space="preserve"> van der Merwe:  Sakereg</w:t>
      </w:r>
      <w:r>
        <w:t xml:space="preserve"> (2</w:t>
      </w:r>
      <w:r w:rsidRPr="00E8633F">
        <w:rPr>
          <w:vertAlign w:val="superscript"/>
        </w:rPr>
        <w:t>nd</w:t>
      </w:r>
      <w:r>
        <w:t xml:space="preserve"> ed) at 41;  </w:t>
      </w:r>
      <w:r w:rsidRPr="00E8633F">
        <w:rPr>
          <w:i/>
        </w:rPr>
        <w:t>Wille’s Principles of South African Law</w:t>
      </w:r>
      <w:r>
        <w:t xml:space="preserve"> (9</w:t>
      </w:r>
      <w:r w:rsidRPr="00E8633F">
        <w:rPr>
          <w:vertAlign w:val="superscript"/>
        </w:rPr>
        <w:t>th</w:t>
      </w:r>
      <w:r>
        <w:t xml:space="preserve"> ed) at 421 and </w:t>
      </w:r>
      <w:r>
        <w:rPr>
          <w:i/>
        </w:rPr>
        <w:t>The Law of South Africa (</w:t>
      </w:r>
      <w:r w:rsidRPr="00E8633F">
        <w:t>2</w:t>
      </w:r>
      <w:r w:rsidRPr="00E8633F">
        <w:rPr>
          <w:vertAlign w:val="superscript"/>
        </w:rPr>
        <w:t>nd</w:t>
      </w:r>
      <w:r w:rsidRPr="00E8633F">
        <w:t xml:space="preserve"> ed) volume 27 para [46]</w:t>
      </w:r>
    </w:p>
  </w:footnote>
  <w:footnote w:id="63">
    <w:p w14:paraId="7BFB4009" w14:textId="77777777" w:rsidR="00777CC4" w:rsidRDefault="00777CC4" w:rsidP="00CF25F5">
      <w:pPr>
        <w:pStyle w:val="FootnoteText"/>
        <w:jc w:val="both"/>
      </w:pPr>
      <w:r>
        <w:rPr>
          <w:rStyle w:val="FootnoteReference"/>
        </w:rPr>
        <w:footnoteRef/>
      </w:r>
      <w:r>
        <w:t xml:space="preserve"> </w:t>
      </w:r>
      <w:r w:rsidRPr="00E8633F">
        <w:rPr>
          <w:i/>
        </w:rPr>
        <w:t>Wille’s Principles</w:t>
      </w:r>
      <w:r>
        <w:t xml:space="preserve"> at 424</w:t>
      </w:r>
      <w:r w:rsidRPr="00E8633F">
        <w:rPr>
          <w:i/>
        </w:rPr>
        <w:t>;  Sakereg</w:t>
      </w:r>
      <w:r>
        <w:t xml:space="preserve"> at 46-47 and </w:t>
      </w:r>
      <w:r w:rsidRPr="00E8633F">
        <w:rPr>
          <w:i/>
        </w:rPr>
        <w:t>LAWSA</w:t>
      </w:r>
      <w:r>
        <w:t xml:space="preserve"> at para [46]</w:t>
      </w:r>
    </w:p>
  </w:footnote>
  <w:footnote w:id="64">
    <w:p w14:paraId="70D49652" w14:textId="77777777" w:rsidR="00777CC4" w:rsidRPr="00E8633F" w:rsidRDefault="00777CC4" w:rsidP="00CF25F5">
      <w:pPr>
        <w:pStyle w:val="FootnoteText"/>
        <w:jc w:val="both"/>
      </w:pPr>
      <w:r>
        <w:rPr>
          <w:rStyle w:val="FootnoteReference"/>
        </w:rPr>
        <w:footnoteRef/>
      </w:r>
      <w:r>
        <w:t xml:space="preserve"> </w:t>
      </w:r>
      <w:r>
        <w:rPr>
          <w:i/>
        </w:rPr>
        <w:t>Bobroff and Another v National Director of Public Prosecutions</w:t>
      </w:r>
      <w:r>
        <w:t xml:space="preserve"> 2021 (2) SACR 53 (SCA) at para [10]</w:t>
      </w:r>
    </w:p>
  </w:footnote>
  <w:footnote w:id="65">
    <w:p w14:paraId="2697CE23" w14:textId="77777777" w:rsidR="00777CC4" w:rsidRPr="000D3F91" w:rsidRDefault="00777CC4" w:rsidP="00CF25F5">
      <w:pPr>
        <w:pStyle w:val="FootnoteText"/>
        <w:jc w:val="both"/>
      </w:pPr>
      <w:r>
        <w:rPr>
          <w:rStyle w:val="FootnoteReference"/>
        </w:rPr>
        <w:footnoteRef/>
      </w:r>
      <w:r>
        <w:t xml:space="preserve"> </w:t>
      </w:r>
      <w:r>
        <w:rPr>
          <w:i/>
        </w:rPr>
        <w:t xml:space="preserve">Nyathi v Member of the Executive Council for the Department of Health, Gauteng and Another </w:t>
      </w:r>
      <w:r>
        <w:t>[2008] ZACC 8</w:t>
      </w:r>
    </w:p>
  </w:footnote>
  <w:footnote w:id="66">
    <w:p w14:paraId="28CBE26B" w14:textId="77777777" w:rsidR="00777CC4" w:rsidRPr="00B10EBE" w:rsidRDefault="00777CC4" w:rsidP="00CF25F5">
      <w:pPr>
        <w:pStyle w:val="FootnoteText"/>
        <w:jc w:val="both"/>
      </w:pPr>
      <w:r>
        <w:rPr>
          <w:rStyle w:val="FootnoteReference"/>
        </w:rPr>
        <w:footnoteRef/>
      </w:r>
      <w:r>
        <w:t xml:space="preserve"> Section 1 of the PFMA defines “unathorised expenditure” to mean, </w:t>
      </w:r>
      <w:r>
        <w:rPr>
          <w:i/>
        </w:rPr>
        <w:t>inter alia</w:t>
      </w:r>
      <w:r>
        <w:t>, “expenditure not in accordance with the purpose of a vote or, in the case of a main division, not in accordance with the purpose of the main division”.</w:t>
      </w:r>
    </w:p>
  </w:footnote>
  <w:footnote w:id="67">
    <w:p w14:paraId="30B9E436" w14:textId="77777777" w:rsidR="00777CC4" w:rsidRDefault="00777CC4" w:rsidP="00CF25F5">
      <w:pPr>
        <w:pStyle w:val="FootnoteText"/>
        <w:jc w:val="both"/>
      </w:pPr>
      <w:r>
        <w:rPr>
          <w:rStyle w:val="FootnoteReference"/>
        </w:rPr>
        <w:footnoteRef/>
      </w:r>
      <w:r>
        <w:t xml:space="preserve"> At p 16 of the report</w:t>
      </w:r>
    </w:p>
  </w:footnote>
  <w:footnote w:id="68">
    <w:p w14:paraId="6674AE14" w14:textId="77777777" w:rsidR="00777CC4" w:rsidRDefault="00777CC4" w:rsidP="00CF25F5">
      <w:pPr>
        <w:pStyle w:val="FootnoteText"/>
        <w:jc w:val="both"/>
      </w:pPr>
      <w:r>
        <w:rPr>
          <w:rStyle w:val="FootnoteReference"/>
        </w:rPr>
        <w:footnoteRef/>
      </w:r>
      <w:r>
        <w:t xml:space="preserve"> At p 61 of the report</w:t>
      </w:r>
    </w:p>
  </w:footnote>
  <w:footnote w:id="69">
    <w:p w14:paraId="25471387" w14:textId="77777777" w:rsidR="00777CC4" w:rsidRDefault="00777CC4">
      <w:pPr>
        <w:pStyle w:val="FootnoteText"/>
      </w:pPr>
      <w:r>
        <w:rPr>
          <w:rStyle w:val="FootnoteReference"/>
        </w:rPr>
        <w:footnoteRef/>
      </w:r>
      <w:r>
        <w:t xml:space="preserve"> Section 38(1)(l)</w:t>
      </w:r>
    </w:p>
  </w:footnote>
  <w:footnote w:id="70">
    <w:p w14:paraId="32C4E8DA" w14:textId="77777777" w:rsidR="00777CC4" w:rsidRDefault="00777CC4">
      <w:pPr>
        <w:pStyle w:val="FootnoteText"/>
      </w:pPr>
      <w:r>
        <w:rPr>
          <w:rStyle w:val="FootnoteReference"/>
        </w:rPr>
        <w:footnoteRef/>
      </w:r>
      <w:r>
        <w:t xml:space="preserve"> Section 27(3)(g) of the PFMA</w:t>
      </w:r>
    </w:p>
  </w:footnote>
  <w:footnote w:id="71">
    <w:p w14:paraId="4725BF9F" w14:textId="77777777" w:rsidR="00777CC4" w:rsidRDefault="00777CC4">
      <w:pPr>
        <w:pStyle w:val="FootnoteText"/>
      </w:pPr>
      <w:r>
        <w:rPr>
          <w:rStyle w:val="FootnoteReference"/>
        </w:rPr>
        <w:footnoteRef/>
      </w:r>
      <w:r>
        <w:t xml:space="preserve"> Section 27(3)(h) of the PFMA</w:t>
      </w:r>
    </w:p>
  </w:footnote>
  <w:footnote w:id="72">
    <w:p w14:paraId="0E351B18" w14:textId="77777777" w:rsidR="00777CC4" w:rsidRDefault="00777CC4">
      <w:pPr>
        <w:pStyle w:val="FootnoteText"/>
      </w:pPr>
      <w:r>
        <w:rPr>
          <w:rStyle w:val="FootnoteReference"/>
        </w:rPr>
        <w:footnoteRef/>
      </w:r>
      <w:r>
        <w:t xml:space="preserve"> Section 3(15) of the SLA</w:t>
      </w:r>
    </w:p>
  </w:footnote>
  <w:footnote w:id="73">
    <w:p w14:paraId="265D2383" w14:textId="77777777" w:rsidR="00777CC4" w:rsidRDefault="00777CC4">
      <w:pPr>
        <w:pStyle w:val="FootnoteText"/>
      </w:pPr>
      <w:r>
        <w:rPr>
          <w:rStyle w:val="FootnoteReference"/>
        </w:rPr>
        <w:footnoteRef/>
      </w:r>
      <w:r>
        <w:t xml:space="preserve"> Section 3(16) and 3(13)(b) of the SLA</w:t>
      </w:r>
    </w:p>
  </w:footnote>
  <w:footnote w:id="74">
    <w:p w14:paraId="5E28307B" w14:textId="77777777" w:rsidR="00777CC4" w:rsidRDefault="00777CC4">
      <w:pPr>
        <w:pStyle w:val="FootnoteText"/>
      </w:pPr>
      <w:r>
        <w:rPr>
          <w:rStyle w:val="FootnoteReference"/>
        </w:rPr>
        <w:footnoteRef/>
      </w:r>
      <w:r>
        <w:t xml:space="preserve"> Section 39(1) of the PFMA</w:t>
      </w:r>
    </w:p>
  </w:footnote>
  <w:footnote w:id="75">
    <w:p w14:paraId="46D8BAFF" w14:textId="77777777" w:rsidR="00777CC4" w:rsidRDefault="00777CC4">
      <w:pPr>
        <w:pStyle w:val="FootnoteText"/>
      </w:pPr>
      <w:r>
        <w:rPr>
          <w:rStyle w:val="FootnoteReference"/>
        </w:rPr>
        <w:footnoteRef/>
      </w:r>
      <w:r>
        <w:t xml:space="preserve"> Section 86(1) of the PFMA</w:t>
      </w:r>
    </w:p>
  </w:footnote>
  <w:footnote w:id="76">
    <w:p w14:paraId="038A9A16" w14:textId="77777777" w:rsidR="00777CC4" w:rsidRDefault="00777CC4">
      <w:pPr>
        <w:pStyle w:val="FootnoteText"/>
      </w:pPr>
      <w:r>
        <w:rPr>
          <w:rStyle w:val="FootnoteReference"/>
        </w:rPr>
        <w:footnoteRef/>
      </w:r>
      <w:r>
        <w:t xml:space="preserve"> Section 18(2)(a) of the PFMA</w:t>
      </w:r>
    </w:p>
  </w:footnote>
  <w:footnote w:id="77">
    <w:p w14:paraId="77460279" w14:textId="77777777" w:rsidR="00777CC4" w:rsidRDefault="00777CC4">
      <w:pPr>
        <w:pStyle w:val="FootnoteText"/>
      </w:pPr>
      <w:r>
        <w:rPr>
          <w:rStyle w:val="FootnoteReference"/>
        </w:rPr>
        <w:footnoteRef/>
      </w:r>
      <w:r>
        <w:t xml:space="preserve"> Judgments delivered in preceding years</w:t>
      </w:r>
    </w:p>
  </w:footnote>
  <w:footnote w:id="78">
    <w:p w14:paraId="53D9DCE8" w14:textId="77777777" w:rsidR="00777CC4" w:rsidRDefault="00777CC4" w:rsidP="00C86629">
      <w:pPr>
        <w:pStyle w:val="FootnoteText"/>
      </w:pPr>
      <w:r>
        <w:rPr>
          <w:rStyle w:val="FootnoteReference"/>
        </w:rPr>
        <w:footnoteRef/>
      </w:r>
      <w:r>
        <w:t xml:space="preserve"> Section 227 and 228 of the Constitution</w:t>
      </w:r>
    </w:p>
  </w:footnote>
  <w:footnote w:id="79">
    <w:p w14:paraId="67FCA159" w14:textId="77777777" w:rsidR="00777CC4" w:rsidRPr="0079561A" w:rsidRDefault="00777CC4">
      <w:pPr>
        <w:pStyle w:val="FootnoteText"/>
        <w:rPr>
          <w:lang w:val="en-ZA"/>
        </w:rPr>
      </w:pPr>
      <w:r>
        <w:rPr>
          <w:rStyle w:val="FootnoteReference"/>
        </w:rPr>
        <w:footnoteRef/>
      </w:r>
      <w:r>
        <w:t xml:space="preserve"> </w:t>
      </w:r>
      <w:r>
        <w:rPr>
          <w:lang w:val="en-ZA"/>
        </w:rPr>
        <w:t>Section 27(3)(g) and (h) of the PFMA</w:t>
      </w:r>
    </w:p>
  </w:footnote>
  <w:footnote w:id="80">
    <w:p w14:paraId="61C6B0D7" w14:textId="77777777" w:rsidR="00777CC4" w:rsidRDefault="00777CC4" w:rsidP="00F6293E">
      <w:pPr>
        <w:pStyle w:val="FootnoteText"/>
        <w:jc w:val="both"/>
      </w:pPr>
      <w:r>
        <w:rPr>
          <w:rStyle w:val="FootnoteReference"/>
        </w:rPr>
        <w:footnoteRef/>
      </w:r>
      <w:r>
        <w:t xml:space="preserve"> The time for payment is stipulated in the SLA referred to earlier.  Some of the interim orders stipulated a time for payment at variance with the statutory provision and in one instance (the 86</w:t>
      </w:r>
      <w:r w:rsidRPr="00F6293E">
        <w:rPr>
          <w:vertAlign w:val="superscript"/>
        </w:rPr>
        <w:t>th</w:t>
      </w:r>
      <w:r>
        <w:t xml:space="preserve"> respondent) an agreement was concluded (on 20 July 2021) for the payment in two separate instalments to be paid on 31 August 2021 and 20 August 2023, respectively, and an order was made accordingly.  The applicants sought to vary these orders on the ground that they are unable to pay.  </w:t>
      </w:r>
    </w:p>
  </w:footnote>
  <w:footnote w:id="81">
    <w:p w14:paraId="1E7B1C52" w14:textId="77777777" w:rsidR="00777CC4" w:rsidRDefault="00777CC4">
      <w:pPr>
        <w:pStyle w:val="FootnoteText"/>
      </w:pPr>
      <w:r>
        <w:rPr>
          <w:rStyle w:val="FootnoteReference"/>
        </w:rPr>
        <w:footnoteRef/>
      </w:r>
      <w:r>
        <w:t xml:space="preserve"> Rule 34A(5)</w:t>
      </w:r>
    </w:p>
  </w:footnote>
  <w:footnote w:id="82">
    <w:p w14:paraId="73FA450F" w14:textId="77777777" w:rsidR="00777CC4" w:rsidRDefault="00777CC4">
      <w:pPr>
        <w:pStyle w:val="FootnoteText"/>
      </w:pPr>
      <w:r>
        <w:rPr>
          <w:rStyle w:val="FootnoteReference"/>
        </w:rPr>
        <w:footnoteRef/>
      </w:r>
      <w:r>
        <w:t xml:space="preserve"> Section 2 of the Prescribed Rate of Interest Act, 55 of 1975</w:t>
      </w:r>
    </w:p>
  </w:footnote>
  <w:footnote w:id="83">
    <w:p w14:paraId="63385765" w14:textId="77777777" w:rsidR="00777CC4" w:rsidRDefault="00777CC4" w:rsidP="00A41A6D">
      <w:pPr>
        <w:pStyle w:val="FootnoteText"/>
        <w:jc w:val="both"/>
      </w:pPr>
      <w:r>
        <w:rPr>
          <w:rStyle w:val="FootnoteReference"/>
        </w:rPr>
        <w:footnoteRef/>
      </w:r>
      <w:r>
        <w:t xml:space="preserve"> For example, the order in respect of the sixteenth respondent directs the defendant to compensate the plaintiff and her minor son in the amount of R16 500 000, within 30 days of the order.  It is silent in respect of interest.  Similarly, the order in respect of the twenty-first respondent is silent.  In the case of the twenty-third respondent the court ordered that the awarded damages were to be paid within 14 days from the date of the order and that it would attract interest “in terms of section 2 of the Prescribed Rate of Interest Act”.  The order in respect of the thirty-seventh respondent provided that, in the event that the defendant fails to make payment, it was “to pay interest at the legal rate from the date of default to the date of payment”.</w:t>
      </w:r>
    </w:p>
  </w:footnote>
  <w:footnote w:id="84">
    <w:p w14:paraId="037D9CC8" w14:textId="78266429" w:rsidR="00777CC4" w:rsidRDefault="00777CC4" w:rsidP="00A41A6D">
      <w:pPr>
        <w:pStyle w:val="FootnoteText"/>
        <w:jc w:val="both"/>
      </w:pPr>
      <w:r>
        <w:rPr>
          <w:rStyle w:val="FootnoteReference"/>
        </w:rPr>
        <w:footnoteRef/>
      </w:r>
      <w:r>
        <w:t xml:space="preserve"> Compare </w:t>
      </w:r>
      <w:r w:rsidRPr="00F052B3">
        <w:rPr>
          <w:i/>
        </w:rPr>
        <w:t>Goldie v City Council of Johannesburg</w:t>
      </w:r>
      <w:r>
        <w:t xml:space="preserve"> 1948 (2) SA 913 (W), where an interest rate of 3.5% was used;  and </w:t>
      </w:r>
      <w:r w:rsidRPr="00F052B3">
        <w:rPr>
          <w:i/>
        </w:rPr>
        <w:t>New India Assurance Co, Ltd v Naidoo</w:t>
      </w:r>
      <w:r>
        <w:t xml:space="preserve"> </w:t>
      </w:r>
      <w:r w:rsidRPr="00F90524">
        <w:t>1949</w:t>
      </w:r>
      <w:r>
        <w:t xml:space="preserve"> (2) PH J15, confirmed on appeal 1950 (1) PH J4 </w:t>
      </w:r>
      <w:r w:rsidRPr="00F90524">
        <w:t xml:space="preserve">(AD), </w:t>
      </w:r>
      <w:r>
        <w:t>where an interest rate of 4% was employed in the calculation of the future loss of earnings.</w:t>
      </w:r>
    </w:p>
  </w:footnote>
  <w:footnote w:id="85">
    <w:p w14:paraId="04F44507" w14:textId="77777777" w:rsidR="00777CC4" w:rsidRPr="004C3FC4" w:rsidRDefault="00777CC4" w:rsidP="00A41A6D">
      <w:pPr>
        <w:pStyle w:val="FootnoteText"/>
        <w:jc w:val="both"/>
      </w:pPr>
      <w:r>
        <w:rPr>
          <w:rStyle w:val="FootnoteReference"/>
        </w:rPr>
        <w:footnoteRef/>
      </w:r>
      <w:r>
        <w:t xml:space="preserve"> </w:t>
      </w:r>
      <w:r w:rsidRPr="004C3FC4">
        <w:rPr>
          <w:i/>
        </w:rPr>
        <w:t>Zondi v</w:t>
      </w:r>
      <w:r>
        <w:rPr>
          <w:i/>
        </w:rPr>
        <w:t xml:space="preserve"> MEC Traditional and Local Government Affairs and Others </w:t>
      </w:r>
      <w:r w:rsidRPr="004C3FC4">
        <w:t>2006 (3) SA 1 (CC) at para [28]</w:t>
      </w:r>
    </w:p>
  </w:footnote>
  <w:footnote w:id="86">
    <w:p w14:paraId="2A08E301" w14:textId="77777777" w:rsidR="00777CC4" w:rsidRDefault="00777CC4" w:rsidP="00A41A6D">
      <w:pPr>
        <w:pStyle w:val="FootnoteText"/>
        <w:jc w:val="both"/>
      </w:pPr>
      <w:r>
        <w:rPr>
          <w:rStyle w:val="FootnoteReference"/>
        </w:rPr>
        <w:footnoteRef/>
      </w:r>
      <w:r>
        <w:t xml:space="preserve"> See also </w:t>
      </w:r>
      <w:r w:rsidRPr="004C3FC4">
        <w:rPr>
          <w:i/>
        </w:rPr>
        <w:t>Freedom Stati</w:t>
      </w:r>
      <w:r>
        <w:rPr>
          <w:i/>
        </w:rPr>
        <w:t xml:space="preserve">onery </w:t>
      </w:r>
      <w:r w:rsidRPr="00B2720B">
        <w:rPr>
          <w:i/>
        </w:rPr>
        <w:t>(Pty)</w:t>
      </w:r>
      <w:r>
        <w:rPr>
          <w:i/>
        </w:rPr>
        <w:t xml:space="preserve"> Ltd and Others v Hassa</w:t>
      </w:r>
      <w:r w:rsidRPr="004C3FC4">
        <w:rPr>
          <w:i/>
        </w:rPr>
        <w:t>m and Others</w:t>
      </w:r>
      <w:r>
        <w:t xml:space="preserve"> 2019 (4) SA 459 (SCA) at para [16]</w:t>
      </w:r>
    </w:p>
  </w:footnote>
  <w:footnote w:id="87">
    <w:p w14:paraId="31F95F74" w14:textId="77777777" w:rsidR="00777CC4" w:rsidRDefault="00777CC4">
      <w:pPr>
        <w:pStyle w:val="FootnoteText"/>
      </w:pPr>
      <w:r>
        <w:rPr>
          <w:rStyle w:val="FootnoteReference"/>
        </w:rPr>
        <w:footnoteRef/>
      </w:r>
      <w:r>
        <w:t xml:space="preserve"> </w:t>
      </w:r>
      <w:r w:rsidRPr="0068706A">
        <w:rPr>
          <w:i/>
        </w:rPr>
        <w:t xml:space="preserve">Firestone South Africa </w:t>
      </w:r>
      <w:r w:rsidRPr="00B2720B">
        <w:rPr>
          <w:i/>
        </w:rPr>
        <w:t>(Pty)</w:t>
      </w:r>
      <w:r w:rsidRPr="0068706A">
        <w:rPr>
          <w:i/>
        </w:rPr>
        <w:t xml:space="preserve"> Ltd v Genticuro AG</w:t>
      </w:r>
      <w:r>
        <w:t xml:space="preserve"> 1977 (4) SA 298 (A) at 306F-G</w:t>
      </w:r>
    </w:p>
  </w:footnote>
  <w:footnote w:id="88">
    <w:p w14:paraId="46CFA08F" w14:textId="77777777" w:rsidR="00777CC4" w:rsidRDefault="00777CC4">
      <w:pPr>
        <w:pStyle w:val="FootnoteText"/>
      </w:pPr>
      <w:r>
        <w:rPr>
          <w:rStyle w:val="FootnoteReference"/>
        </w:rPr>
        <w:footnoteRef/>
      </w:r>
      <w:r>
        <w:t xml:space="preserve"> </w:t>
      </w:r>
      <w:r w:rsidRPr="0006429B">
        <w:rPr>
          <w:i/>
        </w:rPr>
        <w:t>Evins v Shield Insurance Co. Ltd</w:t>
      </w:r>
      <w:r>
        <w:t xml:space="preserve"> 1980 (2) SA 814 (A)</w:t>
      </w:r>
    </w:p>
  </w:footnote>
  <w:footnote w:id="89">
    <w:p w14:paraId="264F695D" w14:textId="77777777" w:rsidR="00777CC4" w:rsidRDefault="00777CC4">
      <w:pPr>
        <w:pStyle w:val="FootnoteText"/>
      </w:pPr>
      <w:r>
        <w:rPr>
          <w:rStyle w:val="FootnoteReference"/>
        </w:rPr>
        <w:footnoteRef/>
      </w:r>
      <w:r>
        <w:t xml:space="preserve"> </w:t>
      </w:r>
      <w:r w:rsidRPr="00BD006F">
        <w:rPr>
          <w:i/>
        </w:rPr>
        <w:t>Evins</w:t>
      </w:r>
      <w:r>
        <w:t xml:space="preserve"> at 835D-H</w:t>
      </w:r>
    </w:p>
  </w:footnote>
  <w:footnote w:id="90">
    <w:p w14:paraId="4F89DF57" w14:textId="77777777" w:rsidR="00777CC4" w:rsidRDefault="00777CC4" w:rsidP="00CF25F5">
      <w:pPr>
        <w:pStyle w:val="FootnoteText"/>
        <w:jc w:val="both"/>
      </w:pPr>
      <w:r>
        <w:rPr>
          <w:rStyle w:val="FootnoteReference"/>
        </w:rPr>
        <w:footnoteRef/>
      </w:r>
      <w:r>
        <w:t xml:space="preserve"> </w:t>
      </w:r>
      <w:r w:rsidRPr="00BD006F">
        <w:rPr>
          <w:i/>
        </w:rPr>
        <w:t xml:space="preserve">MEC for </w:t>
      </w:r>
      <w:r>
        <w:rPr>
          <w:i/>
        </w:rPr>
        <w:t xml:space="preserve">Health and Social Development, Gauteng </w:t>
      </w:r>
      <w:r w:rsidRPr="00BD006F">
        <w:rPr>
          <w:i/>
        </w:rPr>
        <w:t xml:space="preserve"> v DZ</w:t>
      </w:r>
      <w:r>
        <w:rPr>
          <w:i/>
        </w:rPr>
        <w:t xml:space="preserve"> obo WZ </w:t>
      </w:r>
      <w:r>
        <w:t xml:space="preserve"> 2018 (1) SA 335 (CC)</w:t>
      </w:r>
    </w:p>
  </w:footnote>
  <w:footnote w:id="91">
    <w:p w14:paraId="7749DC2D" w14:textId="77777777" w:rsidR="00777CC4" w:rsidRDefault="00777CC4" w:rsidP="00CF25F5">
      <w:pPr>
        <w:pStyle w:val="FootnoteText"/>
        <w:jc w:val="both"/>
      </w:pPr>
      <w:r>
        <w:rPr>
          <w:rStyle w:val="FootnoteReference"/>
        </w:rPr>
        <w:footnoteRef/>
      </w:r>
      <w:r>
        <w:t xml:space="preserve"> </w:t>
      </w:r>
      <w:r w:rsidRPr="00F025F0">
        <w:rPr>
          <w:i/>
        </w:rPr>
        <w:t>Member of the Executive Council for Health, Gauteng Provincial Government v PN</w:t>
      </w:r>
      <w:r>
        <w:t xml:space="preserve"> [2021] ZACC 6;  2021 (6) BCLR 584 (CC)</w:t>
      </w:r>
    </w:p>
  </w:footnote>
  <w:footnote w:id="92">
    <w:p w14:paraId="6790A6CD" w14:textId="4D51FF5D" w:rsidR="00777CC4" w:rsidRPr="004F40C6" w:rsidRDefault="00777CC4" w:rsidP="00CF25F5">
      <w:pPr>
        <w:pStyle w:val="FootnoteText"/>
        <w:jc w:val="both"/>
        <w:rPr>
          <w:i/>
        </w:rPr>
      </w:pPr>
      <w:r>
        <w:rPr>
          <w:rStyle w:val="FootnoteReference"/>
        </w:rPr>
        <w:footnoteRef/>
      </w:r>
      <w:r>
        <w:t xml:space="preserve"> </w:t>
      </w:r>
      <w:r w:rsidRPr="00F025F0">
        <w:rPr>
          <w:i/>
        </w:rPr>
        <w:t>PN</w:t>
      </w:r>
      <w:r>
        <w:t xml:space="preserve"> at para [28] and [29].  See also </w:t>
      </w:r>
      <w:r>
        <w:rPr>
          <w:i/>
        </w:rPr>
        <w:t xml:space="preserve">MSM obo KBM v Member of the Executive Council for Health, Gauteng Provincial Government </w:t>
      </w:r>
      <w:r w:rsidRPr="004F40C6">
        <w:t>2020 (2) SA 567 (G</w:t>
      </w:r>
      <w:r>
        <w:t>J</w:t>
      </w:r>
      <w:r w:rsidRPr="004F40C6">
        <w:t>);  [2020] 2 All SA 177 (GJ).</w:t>
      </w:r>
    </w:p>
  </w:footnote>
  <w:footnote w:id="93">
    <w:p w14:paraId="335BFB70" w14:textId="77777777" w:rsidR="00777CC4" w:rsidRPr="00405E28" w:rsidRDefault="00777CC4">
      <w:pPr>
        <w:pStyle w:val="FootnoteText"/>
      </w:pPr>
      <w:r>
        <w:rPr>
          <w:rStyle w:val="FootnoteReference"/>
        </w:rPr>
        <w:footnoteRef/>
      </w:r>
      <w:r>
        <w:t xml:space="preserve"> </w:t>
      </w:r>
      <w:r>
        <w:rPr>
          <w:i/>
        </w:rPr>
        <w:t>PN</w:t>
      </w:r>
      <w:r>
        <w:t xml:space="preserve"> para [29]</w:t>
      </w:r>
    </w:p>
  </w:footnote>
  <w:footnote w:id="94">
    <w:p w14:paraId="6AC9BFEB" w14:textId="77777777" w:rsidR="00777CC4" w:rsidRDefault="00777CC4">
      <w:pPr>
        <w:pStyle w:val="FootnoteText"/>
      </w:pPr>
      <w:r>
        <w:rPr>
          <w:rStyle w:val="FootnoteReference"/>
        </w:rPr>
        <w:footnoteRef/>
      </w:r>
      <w:r>
        <w:t xml:space="preserve"> In the second draft order referred to in para [7]</w:t>
      </w:r>
    </w:p>
  </w:footnote>
  <w:footnote w:id="95">
    <w:p w14:paraId="58D4781B" w14:textId="67F7D6B3" w:rsidR="00777CC4" w:rsidRDefault="00777CC4" w:rsidP="00CF25F5">
      <w:pPr>
        <w:pStyle w:val="FootnoteText"/>
        <w:jc w:val="both"/>
      </w:pPr>
      <w:r>
        <w:rPr>
          <w:rStyle w:val="FootnoteReference"/>
        </w:rPr>
        <w:footnoteRef/>
      </w:r>
      <w:r>
        <w:t xml:space="preserve"> </w:t>
      </w:r>
      <w:r w:rsidRPr="00EA18BD">
        <w:rPr>
          <w:i/>
        </w:rPr>
        <w:t>LF Boshoff Investments (Pty) Ltd v Cape Town Municipality</w:t>
      </w:r>
      <w:r w:rsidRPr="0035098A">
        <w:rPr>
          <w:i/>
          <w:color w:val="C00000"/>
        </w:rPr>
        <w:t>;</w:t>
      </w:r>
      <w:r w:rsidRPr="00EA18BD">
        <w:rPr>
          <w:i/>
        </w:rPr>
        <w:t xml:space="preserve"> Cape Town Municipality v LF Boshoff Investments (Pty) Ltd</w:t>
      </w:r>
      <w:r>
        <w:t xml:space="preserve"> [1969] 1 All SA 430 (C); 969 (2) SA 256 (C) </w:t>
      </w:r>
      <w:r w:rsidRPr="00EE2628">
        <w:rPr>
          <w:color w:val="C00000"/>
        </w:rPr>
        <w:t>at</w:t>
      </w:r>
      <w:r>
        <w:t xml:space="preserve"> 267.</w:t>
      </w:r>
    </w:p>
  </w:footnote>
  <w:footnote w:id="96">
    <w:p w14:paraId="6A1086A3" w14:textId="77777777" w:rsidR="00777CC4" w:rsidRDefault="00777CC4" w:rsidP="00CF25F5">
      <w:pPr>
        <w:pStyle w:val="FootnoteText"/>
        <w:jc w:val="both"/>
      </w:pPr>
      <w:r>
        <w:rPr>
          <w:rStyle w:val="FootnoteReference"/>
        </w:rPr>
        <w:footnoteRef/>
      </w:r>
      <w:r>
        <w:t xml:space="preserve"> </w:t>
      </w:r>
      <w:r w:rsidRPr="00EA18BD">
        <w:rPr>
          <w:i/>
        </w:rPr>
        <w:t>LAWSA</w:t>
      </w:r>
      <w:r>
        <w:t xml:space="preserve"> (2</w:t>
      </w:r>
      <w:r w:rsidRPr="00EA18BD">
        <w:rPr>
          <w:vertAlign w:val="superscript"/>
        </w:rPr>
        <w:t>nd</w:t>
      </w:r>
      <w:r>
        <w:t xml:space="preserve"> ed) vol 11 para [406]</w:t>
      </w:r>
    </w:p>
  </w:footnote>
  <w:footnote w:id="97">
    <w:p w14:paraId="170A0B76" w14:textId="77777777" w:rsidR="00777CC4" w:rsidRPr="008A13A9" w:rsidRDefault="00777CC4">
      <w:pPr>
        <w:pStyle w:val="FootnoteText"/>
        <w:rPr>
          <w:lang w:val="en-ZA"/>
        </w:rPr>
      </w:pPr>
      <w:r>
        <w:rPr>
          <w:rStyle w:val="FootnoteReference"/>
        </w:rPr>
        <w:footnoteRef/>
      </w:r>
      <w:r>
        <w:t xml:space="preserve"> </w:t>
      </w:r>
      <w:r>
        <w:rPr>
          <w:lang w:val="en-ZA"/>
        </w:rPr>
        <w:t xml:space="preserve">See also </w:t>
      </w:r>
      <w:r>
        <w:rPr>
          <w:i/>
          <w:lang w:val="en-ZA"/>
        </w:rPr>
        <w:t xml:space="preserve">Moodley v Kenmont School and Others </w:t>
      </w:r>
      <w:r>
        <w:rPr>
          <w:lang w:val="en-ZA"/>
        </w:rPr>
        <w:t>2020 (1) SA 410 (CC) paras [17] to [22]</w:t>
      </w:r>
    </w:p>
  </w:footnote>
  <w:footnote w:id="98">
    <w:p w14:paraId="77666516" w14:textId="77777777" w:rsidR="00777CC4" w:rsidRDefault="00777CC4">
      <w:pPr>
        <w:pStyle w:val="FootnoteText"/>
      </w:pPr>
      <w:r>
        <w:rPr>
          <w:rStyle w:val="FootnoteReference"/>
        </w:rPr>
        <w:footnoteRef/>
      </w:r>
      <w:r>
        <w:t xml:space="preserve"> Referred to in para [8] above.</w:t>
      </w:r>
    </w:p>
  </w:footnote>
  <w:footnote w:id="99">
    <w:p w14:paraId="2E40F82D" w14:textId="77777777" w:rsidR="00777CC4" w:rsidRDefault="00777CC4" w:rsidP="00EA18BD">
      <w:pPr>
        <w:pStyle w:val="FootnoteText"/>
        <w:jc w:val="both"/>
      </w:pPr>
      <w:r>
        <w:rPr>
          <w:rStyle w:val="FootnoteReference"/>
        </w:rPr>
        <w:footnoteRef/>
      </w:r>
      <w:r>
        <w:t xml:space="preserve"> </w:t>
      </w:r>
      <w:r w:rsidRPr="00204791">
        <w:rPr>
          <w:i/>
        </w:rPr>
        <w:t>Chief Lesapo v The North West Agricultural Bank and Another</w:t>
      </w:r>
      <w:r>
        <w:t xml:space="preserve"> 2000 (1) SA 409 (CC), 1999 (12) BCLR 1420, [1999] ZACC 16 para [13];  </w:t>
      </w:r>
      <w:r w:rsidRPr="00204791">
        <w:rPr>
          <w:i/>
        </w:rPr>
        <w:t>Mjeni v Minister of Health and Welfare</w:t>
      </w:r>
      <w:r>
        <w:rPr>
          <w:i/>
        </w:rPr>
        <w:t>,</w:t>
      </w:r>
      <w:r w:rsidRPr="00204791">
        <w:rPr>
          <w:i/>
        </w:rPr>
        <w:t xml:space="preserve"> Eastern Cape</w:t>
      </w:r>
      <w:r>
        <w:t xml:space="preserve"> 2000 (4) SA 446 (TkH) at 453C-D;  and </w:t>
      </w:r>
      <w:r w:rsidRPr="00204791">
        <w:rPr>
          <w:i/>
        </w:rPr>
        <w:t>Road Accident Fund v The Legal Practice Council and Others</w:t>
      </w:r>
      <w:r>
        <w:t xml:space="preserve"> 2021 (6) SA 230 (GP) at 244 para [28]</w:t>
      </w:r>
    </w:p>
  </w:footnote>
  <w:footnote w:id="100">
    <w:p w14:paraId="0D7DA181" w14:textId="77777777" w:rsidR="00777CC4" w:rsidRDefault="00777CC4" w:rsidP="00EA18BD">
      <w:pPr>
        <w:pStyle w:val="FootnoteText"/>
        <w:jc w:val="both"/>
      </w:pPr>
      <w:r>
        <w:rPr>
          <w:rStyle w:val="FootnoteReference"/>
        </w:rPr>
        <w:footnoteRef/>
      </w:r>
      <w:r>
        <w:t xml:space="preserve"> </w:t>
      </w:r>
      <w:r w:rsidRPr="00682955">
        <w:rPr>
          <w:i/>
        </w:rPr>
        <w:t xml:space="preserve">Universal City Studios Incorporated and Others v Network Video </w:t>
      </w:r>
      <w:r w:rsidRPr="00B2720B">
        <w:rPr>
          <w:i/>
        </w:rPr>
        <w:t>(Pty)</w:t>
      </w:r>
      <w:r w:rsidRPr="00682955">
        <w:rPr>
          <w:i/>
        </w:rPr>
        <w:t xml:space="preserve"> Ltd </w:t>
      </w:r>
      <w:r>
        <w:t xml:space="preserve">[1986] ZASCA 3;  [1986] 2 All SA 192 (A);  and </w:t>
      </w:r>
      <w:r w:rsidRPr="00682955">
        <w:rPr>
          <w:i/>
        </w:rPr>
        <w:t>Road Accident Fund</w:t>
      </w:r>
      <w:r>
        <w:t xml:space="preserve"> at para [30]</w:t>
      </w:r>
    </w:p>
  </w:footnote>
  <w:footnote w:id="101">
    <w:p w14:paraId="27A98C76" w14:textId="77777777" w:rsidR="00777CC4" w:rsidRDefault="00777CC4" w:rsidP="00EA18BD">
      <w:pPr>
        <w:pStyle w:val="FootnoteText"/>
        <w:jc w:val="both"/>
      </w:pPr>
      <w:r>
        <w:rPr>
          <w:rStyle w:val="FootnoteReference"/>
        </w:rPr>
        <w:footnoteRef/>
      </w:r>
      <w:r>
        <w:t xml:space="preserve"> </w:t>
      </w:r>
      <w:r w:rsidRPr="00133B00">
        <w:rPr>
          <w:i/>
        </w:rPr>
        <w:t xml:space="preserve">Moraitis Investments (Pty) Ltd and Others v Montic Dairy </w:t>
      </w:r>
      <w:r>
        <w:rPr>
          <w:i/>
        </w:rPr>
        <w:t>(</w:t>
      </w:r>
      <w:r w:rsidRPr="00133B00">
        <w:rPr>
          <w:i/>
        </w:rPr>
        <w:t>Pty</w:t>
      </w:r>
      <w:r>
        <w:rPr>
          <w:i/>
        </w:rPr>
        <w:t>)</w:t>
      </w:r>
      <w:r w:rsidRPr="00133B00">
        <w:rPr>
          <w:i/>
        </w:rPr>
        <w:t xml:space="preserve"> Ltd and Others</w:t>
      </w:r>
      <w:r>
        <w:t xml:space="preserve"> 2017 (5) SA 508 (SCA) para [12];  and </w:t>
      </w:r>
      <w:r w:rsidRPr="003C5D1E">
        <w:rPr>
          <w:i/>
        </w:rPr>
        <w:t>JN v NN</w:t>
      </w:r>
      <w:r>
        <w:t xml:space="preserve"> (unreported)(Eastern Cape Division, Makhanda)(case no. 2283/2021) at para [22]</w:t>
      </w:r>
    </w:p>
  </w:footnote>
  <w:footnote w:id="102">
    <w:p w14:paraId="2E7E3FFE" w14:textId="77777777" w:rsidR="00777CC4" w:rsidRPr="00682955" w:rsidRDefault="00777CC4" w:rsidP="00F052B3">
      <w:pPr>
        <w:pStyle w:val="FootnoteText"/>
        <w:jc w:val="both"/>
      </w:pPr>
      <w:r>
        <w:rPr>
          <w:rStyle w:val="FootnoteReference"/>
        </w:rPr>
        <w:footnoteRef/>
      </w:r>
      <w:r>
        <w:t xml:space="preserve"> </w:t>
      </w:r>
      <w:r w:rsidRPr="00682955">
        <w:rPr>
          <w:i/>
        </w:rPr>
        <w:t>Moulded Components and Rotomo</w:t>
      </w:r>
      <w:r>
        <w:rPr>
          <w:i/>
        </w:rPr>
        <w:t xml:space="preserve">ulding South Africa </w:t>
      </w:r>
      <w:r w:rsidRPr="00B2720B">
        <w:rPr>
          <w:i/>
        </w:rPr>
        <w:t>(Pty)</w:t>
      </w:r>
      <w:r>
        <w:rPr>
          <w:i/>
        </w:rPr>
        <w:t xml:space="preserve"> Ltd v Coucourakis and Another</w:t>
      </w:r>
      <w:r>
        <w:t xml:space="preserve"> 1979 (2) SA 457 (W) at 462H-463B;  and </w:t>
      </w:r>
      <w:r>
        <w:rPr>
          <w:i/>
        </w:rPr>
        <w:t>Whitfield v Van Aarde</w:t>
      </w:r>
      <w:r>
        <w:t xml:space="preserve"> 1993 (1) SA 332 (E) at 337E-G</w:t>
      </w:r>
    </w:p>
  </w:footnote>
  <w:footnote w:id="103">
    <w:p w14:paraId="3C69C4CC" w14:textId="77777777" w:rsidR="00777CC4" w:rsidRPr="00542A4C" w:rsidRDefault="00777CC4" w:rsidP="00F052B3">
      <w:pPr>
        <w:pStyle w:val="FootnoteText"/>
        <w:jc w:val="both"/>
      </w:pPr>
      <w:r>
        <w:rPr>
          <w:rStyle w:val="FootnoteReference"/>
        </w:rPr>
        <w:footnoteRef/>
      </w:r>
      <w:r>
        <w:t xml:space="preserve"> </w:t>
      </w:r>
      <w:r>
        <w:rPr>
          <w:i/>
        </w:rPr>
        <w:t>Whitfield</w:t>
      </w:r>
      <w:r>
        <w:t xml:space="preserve"> at 337F-G</w:t>
      </w:r>
    </w:p>
  </w:footnote>
  <w:footnote w:id="104">
    <w:p w14:paraId="40AF9190" w14:textId="77777777" w:rsidR="00777CC4" w:rsidRDefault="00777CC4">
      <w:pPr>
        <w:pStyle w:val="FootnoteText"/>
      </w:pPr>
      <w:r>
        <w:rPr>
          <w:rStyle w:val="FootnoteReference"/>
        </w:rPr>
        <w:footnoteRef/>
      </w:r>
      <w:r>
        <w:t xml:space="preserve"> Attested to on 14 July 2021</w:t>
      </w:r>
    </w:p>
  </w:footnote>
  <w:footnote w:id="105">
    <w:p w14:paraId="2A7017C8" w14:textId="77777777" w:rsidR="00777CC4" w:rsidRPr="00823AB6" w:rsidRDefault="00777CC4">
      <w:pPr>
        <w:pStyle w:val="FootnoteText"/>
        <w:rPr>
          <w:lang w:val="en-ZA"/>
        </w:rPr>
      </w:pPr>
      <w:r>
        <w:rPr>
          <w:rStyle w:val="FootnoteReference"/>
        </w:rPr>
        <w:footnoteRef/>
      </w:r>
      <w:r>
        <w:t xml:space="preserve"> </w:t>
      </w:r>
      <w:r>
        <w:rPr>
          <w:lang w:val="en-ZA"/>
        </w:rPr>
        <w:t>Referred to in fn 99</w:t>
      </w:r>
    </w:p>
  </w:footnote>
  <w:footnote w:id="106">
    <w:p w14:paraId="294D1EA9" w14:textId="77777777" w:rsidR="00777CC4" w:rsidRDefault="00777CC4" w:rsidP="00C1633C">
      <w:pPr>
        <w:pStyle w:val="FootnoteText"/>
        <w:jc w:val="both"/>
      </w:pPr>
      <w:r>
        <w:rPr>
          <w:rStyle w:val="FootnoteReference"/>
        </w:rPr>
        <w:footnoteRef/>
      </w:r>
      <w:r>
        <w:t xml:space="preserve"> </w:t>
      </w:r>
      <w:r w:rsidRPr="0011303A">
        <w:rPr>
          <w:i/>
        </w:rPr>
        <w:t>Moraitis</w:t>
      </w:r>
      <w:r>
        <w:t xml:space="preserve"> para [112] and [15];  and </w:t>
      </w:r>
      <w:r w:rsidRPr="0011303A">
        <w:rPr>
          <w:i/>
        </w:rPr>
        <w:t>Childerley Estate Stores v Standard Bank of South Africa</w:t>
      </w:r>
      <w:r>
        <w:t xml:space="preserve"> 1924 OPD 163</w:t>
      </w:r>
    </w:p>
  </w:footnote>
  <w:footnote w:id="107">
    <w:p w14:paraId="0E9E0C6B" w14:textId="77777777" w:rsidR="00777CC4" w:rsidRDefault="00777CC4" w:rsidP="00C1633C">
      <w:pPr>
        <w:pStyle w:val="FootnoteText"/>
        <w:jc w:val="both"/>
      </w:pPr>
      <w:r>
        <w:rPr>
          <w:rStyle w:val="FootnoteReference"/>
        </w:rPr>
        <w:footnoteRef/>
      </w:r>
      <w:r>
        <w:t xml:space="preserve"> Section 17(4) of the Road Accident Fund Act, 56 of 1996 (the RAF Act) provides:  </w:t>
      </w:r>
    </w:p>
    <w:p w14:paraId="604F223C" w14:textId="77777777" w:rsidR="00777CC4" w:rsidRDefault="00777CC4" w:rsidP="00C1633C">
      <w:pPr>
        <w:pStyle w:val="FootnoteText"/>
        <w:jc w:val="both"/>
      </w:pPr>
      <w:r>
        <w:t>“(4) Where a claim for compensation under subsection (1)-</w:t>
      </w:r>
    </w:p>
    <w:p w14:paraId="56E14EEF" w14:textId="77777777" w:rsidR="00777CC4" w:rsidRDefault="00777CC4" w:rsidP="00C1633C">
      <w:pPr>
        <w:pStyle w:val="FootnoteText"/>
        <w:numPr>
          <w:ilvl w:val="0"/>
          <w:numId w:val="18"/>
        </w:numPr>
        <w:jc w:val="both"/>
      </w:pPr>
      <w:r>
        <w:t>includes a claim for the costs of the future accommodation of any person in a hospital or nursing home or treatment or rendering of a service or supplying of goods to him or her, the Fund or an agent shall be entitled, after furnishing the third party concerned with an undertaking to that effect or a competent court has directed the Fund or the agent to furnish such undertaking, to compensate-</w:t>
      </w:r>
    </w:p>
    <w:p w14:paraId="1C9DF953" w14:textId="77777777" w:rsidR="00777CC4" w:rsidRDefault="00777CC4" w:rsidP="00C1633C">
      <w:pPr>
        <w:pStyle w:val="FootnoteText"/>
        <w:numPr>
          <w:ilvl w:val="0"/>
          <w:numId w:val="19"/>
        </w:numPr>
        <w:ind w:left="709" w:hanging="283"/>
        <w:jc w:val="both"/>
      </w:pPr>
      <w:r>
        <w:t>the third party in respect of the said costs after the costs have been incurred and on proof thereof;  or</w:t>
      </w:r>
    </w:p>
    <w:p w14:paraId="7372981A" w14:textId="77777777" w:rsidR="00777CC4" w:rsidRDefault="00777CC4" w:rsidP="00C1633C">
      <w:pPr>
        <w:pStyle w:val="FootnoteText"/>
        <w:numPr>
          <w:ilvl w:val="0"/>
          <w:numId w:val="19"/>
        </w:numPr>
        <w:ind w:left="284" w:firstLine="142"/>
        <w:jc w:val="both"/>
      </w:pPr>
      <w:r>
        <w:t>the provider of such service or treatment directly, notwithstanding section 19(c) and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730227"/>
      <w:docPartObj>
        <w:docPartGallery w:val="Page Numbers (Top of Page)"/>
        <w:docPartUnique/>
      </w:docPartObj>
    </w:sdtPr>
    <w:sdtEndPr>
      <w:rPr>
        <w:noProof/>
      </w:rPr>
    </w:sdtEndPr>
    <w:sdtContent>
      <w:p w14:paraId="7640B696" w14:textId="613CF3A0" w:rsidR="00777CC4" w:rsidRDefault="00777CC4">
        <w:pPr>
          <w:pStyle w:val="Header"/>
          <w:jc w:val="center"/>
        </w:pPr>
        <w:r>
          <w:fldChar w:fldCharType="begin"/>
        </w:r>
        <w:r>
          <w:instrText xml:space="preserve"> PAGE   \* MERGEFORMAT </w:instrText>
        </w:r>
        <w:r>
          <w:fldChar w:fldCharType="separate"/>
        </w:r>
        <w:r w:rsidR="00DA78F2">
          <w:rPr>
            <w:noProof/>
          </w:rPr>
          <w:t>20</w:t>
        </w:r>
        <w:r>
          <w:rPr>
            <w:noProof/>
          </w:rPr>
          <w:fldChar w:fldCharType="end"/>
        </w:r>
      </w:p>
    </w:sdtContent>
  </w:sdt>
  <w:p w14:paraId="2BA99566" w14:textId="77777777" w:rsidR="00777CC4" w:rsidRDefault="00777C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7479"/>
    <w:multiLevelType w:val="hybridMultilevel"/>
    <w:tmpl w:val="2A92A10C"/>
    <w:lvl w:ilvl="0" w:tplc="F9688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42BBA"/>
    <w:multiLevelType w:val="hybridMultilevel"/>
    <w:tmpl w:val="821E4E84"/>
    <w:lvl w:ilvl="0" w:tplc="FB9636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95498"/>
    <w:multiLevelType w:val="hybridMultilevel"/>
    <w:tmpl w:val="1C0C608E"/>
    <w:lvl w:ilvl="0" w:tplc="F9688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E0765"/>
    <w:multiLevelType w:val="multilevel"/>
    <w:tmpl w:val="9B8C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B39A9"/>
    <w:multiLevelType w:val="hybridMultilevel"/>
    <w:tmpl w:val="888034E8"/>
    <w:lvl w:ilvl="0" w:tplc="F9688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F25B8"/>
    <w:multiLevelType w:val="hybridMultilevel"/>
    <w:tmpl w:val="56AC991C"/>
    <w:lvl w:ilvl="0" w:tplc="F9688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E542F"/>
    <w:multiLevelType w:val="hybridMultilevel"/>
    <w:tmpl w:val="D0F0398A"/>
    <w:lvl w:ilvl="0" w:tplc="F9688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24816"/>
    <w:multiLevelType w:val="hybridMultilevel"/>
    <w:tmpl w:val="8486679A"/>
    <w:lvl w:ilvl="0" w:tplc="F9688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34655"/>
    <w:multiLevelType w:val="hybridMultilevel"/>
    <w:tmpl w:val="57E0C7E0"/>
    <w:lvl w:ilvl="0" w:tplc="F9688C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967E9"/>
    <w:multiLevelType w:val="hybridMultilevel"/>
    <w:tmpl w:val="38E061F2"/>
    <w:lvl w:ilvl="0" w:tplc="F9688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D307D"/>
    <w:multiLevelType w:val="hybridMultilevel"/>
    <w:tmpl w:val="D86AF3C8"/>
    <w:lvl w:ilvl="0" w:tplc="F9688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F22BE"/>
    <w:multiLevelType w:val="hybridMultilevel"/>
    <w:tmpl w:val="09C4E916"/>
    <w:lvl w:ilvl="0" w:tplc="F9688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55CCB"/>
    <w:multiLevelType w:val="hybridMultilevel"/>
    <w:tmpl w:val="426A3774"/>
    <w:lvl w:ilvl="0" w:tplc="F9688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C6C29"/>
    <w:multiLevelType w:val="hybridMultilevel"/>
    <w:tmpl w:val="40A087B0"/>
    <w:lvl w:ilvl="0" w:tplc="D2BAB01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1601AB2"/>
    <w:multiLevelType w:val="hybridMultilevel"/>
    <w:tmpl w:val="AF9C5E80"/>
    <w:lvl w:ilvl="0" w:tplc="F9688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4652F3"/>
    <w:multiLevelType w:val="hybridMultilevel"/>
    <w:tmpl w:val="255CA534"/>
    <w:lvl w:ilvl="0" w:tplc="F9688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C64C1"/>
    <w:multiLevelType w:val="hybridMultilevel"/>
    <w:tmpl w:val="4E3E1D7C"/>
    <w:lvl w:ilvl="0" w:tplc="A592457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B05E8F"/>
    <w:multiLevelType w:val="hybridMultilevel"/>
    <w:tmpl w:val="D9FC28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1CB4FAF"/>
    <w:multiLevelType w:val="hybridMultilevel"/>
    <w:tmpl w:val="A84AC1D6"/>
    <w:lvl w:ilvl="0" w:tplc="44E6903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7F09419B"/>
    <w:multiLevelType w:val="hybridMultilevel"/>
    <w:tmpl w:val="161EBBEA"/>
    <w:lvl w:ilvl="0" w:tplc="4A924A56">
      <w:start w:val="1"/>
      <w:numFmt w:val="lowerRoman"/>
      <w:lvlText w:val="(%1)"/>
      <w:lvlJc w:val="left"/>
      <w:pPr>
        <w:ind w:left="9720" w:hanging="72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num w:numId="1">
    <w:abstractNumId w:val="8"/>
  </w:num>
  <w:num w:numId="2">
    <w:abstractNumId w:val="5"/>
  </w:num>
  <w:num w:numId="3">
    <w:abstractNumId w:val="14"/>
  </w:num>
  <w:num w:numId="4">
    <w:abstractNumId w:val="16"/>
  </w:num>
  <w:num w:numId="5">
    <w:abstractNumId w:val="19"/>
  </w:num>
  <w:num w:numId="6">
    <w:abstractNumId w:val="7"/>
  </w:num>
  <w:num w:numId="7">
    <w:abstractNumId w:val="6"/>
  </w:num>
  <w:num w:numId="8">
    <w:abstractNumId w:val="9"/>
  </w:num>
  <w:num w:numId="9">
    <w:abstractNumId w:val="3"/>
  </w:num>
  <w:num w:numId="10">
    <w:abstractNumId w:val="11"/>
  </w:num>
  <w:num w:numId="11">
    <w:abstractNumId w:val="12"/>
  </w:num>
  <w:num w:numId="12">
    <w:abstractNumId w:val="2"/>
  </w:num>
  <w:num w:numId="13">
    <w:abstractNumId w:val="4"/>
  </w:num>
  <w:num w:numId="14">
    <w:abstractNumId w:val="10"/>
  </w:num>
  <w:num w:numId="15">
    <w:abstractNumId w:val="1"/>
  </w:num>
  <w:num w:numId="16">
    <w:abstractNumId w:val="0"/>
  </w:num>
  <w:num w:numId="17">
    <w:abstractNumId w:val="17"/>
  </w:num>
  <w:num w:numId="18">
    <w:abstractNumId w:val="18"/>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67"/>
    <w:rsid w:val="000035A9"/>
    <w:rsid w:val="000037E4"/>
    <w:rsid w:val="00021C9D"/>
    <w:rsid w:val="000255C5"/>
    <w:rsid w:val="0004119E"/>
    <w:rsid w:val="00043AD9"/>
    <w:rsid w:val="0005552A"/>
    <w:rsid w:val="00060DFB"/>
    <w:rsid w:val="00063C86"/>
    <w:rsid w:val="0006429B"/>
    <w:rsid w:val="00064AA8"/>
    <w:rsid w:val="000849D2"/>
    <w:rsid w:val="000857EB"/>
    <w:rsid w:val="000A154D"/>
    <w:rsid w:val="000A1D32"/>
    <w:rsid w:val="000A2DD9"/>
    <w:rsid w:val="000A3D9D"/>
    <w:rsid w:val="000B44A4"/>
    <w:rsid w:val="000D3F91"/>
    <w:rsid w:val="000D7A63"/>
    <w:rsid w:val="000E2FF8"/>
    <w:rsid w:val="000F6DB2"/>
    <w:rsid w:val="00103681"/>
    <w:rsid w:val="00103878"/>
    <w:rsid w:val="00110DA8"/>
    <w:rsid w:val="0011303A"/>
    <w:rsid w:val="0011628E"/>
    <w:rsid w:val="00117D48"/>
    <w:rsid w:val="0012098E"/>
    <w:rsid w:val="001317A3"/>
    <w:rsid w:val="00133B00"/>
    <w:rsid w:val="0013595C"/>
    <w:rsid w:val="00141248"/>
    <w:rsid w:val="00143DA2"/>
    <w:rsid w:val="0015343A"/>
    <w:rsid w:val="00166CE6"/>
    <w:rsid w:val="001758DA"/>
    <w:rsid w:val="00176D27"/>
    <w:rsid w:val="0018387C"/>
    <w:rsid w:val="00183941"/>
    <w:rsid w:val="00187F88"/>
    <w:rsid w:val="001E3153"/>
    <w:rsid w:val="001E6D07"/>
    <w:rsid w:val="001E7A9D"/>
    <w:rsid w:val="00200F5C"/>
    <w:rsid w:val="00204791"/>
    <w:rsid w:val="00206BA3"/>
    <w:rsid w:val="00210CE5"/>
    <w:rsid w:val="00212EE7"/>
    <w:rsid w:val="00214F68"/>
    <w:rsid w:val="00215151"/>
    <w:rsid w:val="00220A00"/>
    <w:rsid w:val="002248E3"/>
    <w:rsid w:val="002318CD"/>
    <w:rsid w:val="00237B6E"/>
    <w:rsid w:val="002410B7"/>
    <w:rsid w:val="00254B57"/>
    <w:rsid w:val="0026228C"/>
    <w:rsid w:val="00262C32"/>
    <w:rsid w:val="00262E6D"/>
    <w:rsid w:val="0026446B"/>
    <w:rsid w:val="00264678"/>
    <w:rsid w:val="002745E8"/>
    <w:rsid w:val="00277C3C"/>
    <w:rsid w:val="00281908"/>
    <w:rsid w:val="00281EEE"/>
    <w:rsid w:val="00282B5E"/>
    <w:rsid w:val="00283031"/>
    <w:rsid w:val="00284D2D"/>
    <w:rsid w:val="002931F6"/>
    <w:rsid w:val="002A1794"/>
    <w:rsid w:val="002A4ECE"/>
    <w:rsid w:val="002A5F14"/>
    <w:rsid w:val="002A73BA"/>
    <w:rsid w:val="002B40D7"/>
    <w:rsid w:val="002B6AD5"/>
    <w:rsid w:val="002B7C01"/>
    <w:rsid w:val="002C1F08"/>
    <w:rsid w:val="002C72B1"/>
    <w:rsid w:val="002D12D7"/>
    <w:rsid w:val="002D5304"/>
    <w:rsid w:val="002D64E3"/>
    <w:rsid w:val="002E0855"/>
    <w:rsid w:val="002E357A"/>
    <w:rsid w:val="002E7688"/>
    <w:rsid w:val="00300670"/>
    <w:rsid w:val="00302AE9"/>
    <w:rsid w:val="0030390C"/>
    <w:rsid w:val="00306C6E"/>
    <w:rsid w:val="00315317"/>
    <w:rsid w:val="00317071"/>
    <w:rsid w:val="00327FF7"/>
    <w:rsid w:val="003430EC"/>
    <w:rsid w:val="003507BF"/>
    <w:rsid w:val="0035098A"/>
    <w:rsid w:val="00353B6C"/>
    <w:rsid w:val="00362660"/>
    <w:rsid w:val="003718D4"/>
    <w:rsid w:val="0039464D"/>
    <w:rsid w:val="003A1371"/>
    <w:rsid w:val="003C100A"/>
    <w:rsid w:val="003C4E60"/>
    <w:rsid w:val="003C5D1E"/>
    <w:rsid w:val="003D41D4"/>
    <w:rsid w:val="003E1288"/>
    <w:rsid w:val="003E1FBC"/>
    <w:rsid w:val="003E639C"/>
    <w:rsid w:val="003F1C32"/>
    <w:rsid w:val="003F2BB4"/>
    <w:rsid w:val="00405E28"/>
    <w:rsid w:val="00416BEE"/>
    <w:rsid w:val="00425292"/>
    <w:rsid w:val="0043025C"/>
    <w:rsid w:val="00441F58"/>
    <w:rsid w:val="004431E3"/>
    <w:rsid w:val="00445A4E"/>
    <w:rsid w:val="00445B1A"/>
    <w:rsid w:val="00451173"/>
    <w:rsid w:val="0045135B"/>
    <w:rsid w:val="00462EA9"/>
    <w:rsid w:val="004715C9"/>
    <w:rsid w:val="00477B2D"/>
    <w:rsid w:val="00481670"/>
    <w:rsid w:val="00481B5D"/>
    <w:rsid w:val="00495778"/>
    <w:rsid w:val="004A7C33"/>
    <w:rsid w:val="004B183B"/>
    <w:rsid w:val="004B535F"/>
    <w:rsid w:val="004C3A29"/>
    <w:rsid w:val="004C3FC4"/>
    <w:rsid w:val="004D6A77"/>
    <w:rsid w:val="004D7C92"/>
    <w:rsid w:val="004E197B"/>
    <w:rsid w:val="004E51A4"/>
    <w:rsid w:val="004F40C6"/>
    <w:rsid w:val="004F58BA"/>
    <w:rsid w:val="00504154"/>
    <w:rsid w:val="00507AC6"/>
    <w:rsid w:val="00520A90"/>
    <w:rsid w:val="0053349C"/>
    <w:rsid w:val="0054050D"/>
    <w:rsid w:val="0054091F"/>
    <w:rsid w:val="00542A4C"/>
    <w:rsid w:val="00550D3F"/>
    <w:rsid w:val="005524E3"/>
    <w:rsid w:val="00556E45"/>
    <w:rsid w:val="00557BF9"/>
    <w:rsid w:val="00562704"/>
    <w:rsid w:val="00565E18"/>
    <w:rsid w:val="005727C3"/>
    <w:rsid w:val="00574831"/>
    <w:rsid w:val="00582B26"/>
    <w:rsid w:val="00585E8D"/>
    <w:rsid w:val="005B3169"/>
    <w:rsid w:val="005B7DE7"/>
    <w:rsid w:val="005C176F"/>
    <w:rsid w:val="005D34B7"/>
    <w:rsid w:val="005E373C"/>
    <w:rsid w:val="005F16B4"/>
    <w:rsid w:val="006268C3"/>
    <w:rsid w:val="00627FAB"/>
    <w:rsid w:val="00633DCB"/>
    <w:rsid w:val="00636B7E"/>
    <w:rsid w:val="00650154"/>
    <w:rsid w:val="006525EF"/>
    <w:rsid w:val="00654751"/>
    <w:rsid w:val="00656F66"/>
    <w:rsid w:val="00665ECC"/>
    <w:rsid w:val="00666077"/>
    <w:rsid w:val="006719D7"/>
    <w:rsid w:val="00673014"/>
    <w:rsid w:val="00681A0E"/>
    <w:rsid w:val="00682955"/>
    <w:rsid w:val="0068706A"/>
    <w:rsid w:val="00690E8D"/>
    <w:rsid w:val="006A1D98"/>
    <w:rsid w:val="006A4B4F"/>
    <w:rsid w:val="006B4B3A"/>
    <w:rsid w:val="006B7A6B"/>
    <w:rsid w:val="006C02D3"/>
    <w:rsid w:val="006C068F"/>
    <w:rsid w:val="006C1618"/>
    <w:rsid w:val="006C1EF3"/>
    <w:rsid w:val="006C4528"/>
    <w:rsid w:val="006C79CB"/>
    <w:rsid w:val="0071059B"/>
    <w:rsid w:val="00721278"/>
    <w:rsid w:val="00727132"/>
    <w:rsid w:val="00734795"/>
    <w:rsid w:val="00745AC0"/>
    <w:rsid w:val="007546F4"/>
    <w:rsid w:val="00773C8E"/>
    <w:rsid w:val="00777CC4"/>
    <w:rsid w:val="007832D8"/>
    <w:rsid w:val="00784D92"/>
    <w:rsid w:val="007878CC"/>
    <w:rsid w:val="00792E2D"/>
    <w:rsid w:val="0079561A"/>
    <w:rsid w:val="007B71AC"/>
    <w:rsid w:val="007D1AA7"/>
    <w:rsid w:val="007D51C9"/>
    <w:rsid w:val="007E5BB9"/>
    <w:rsid w:val="007F04A9"/>
    <w:rsid w:val="007F20F2"/>
    <w:rsid w:val="007F5137"/>
    <w:rsid w:val="007F58C8"/>
    <w:rsid w:val="008048CB"/>
    <w:rsid w:val="00811ED3"/>
    <w:rsid w:val="008213CC"/>
    <w:rsid w:val="00823AB6"/>
    <w:rsid w:val="008360B2"/>
    <w:rsid w:val="008427E3"/>
    <w:rsid w:val="008564E2"/>
    <w:rsid w:val="00864F2C"/>
    <w:rsid w:val="00866822"/>
    <w:rsid w:val="00873342"/>
    <w:rsid w:val="00877908"/>
    <w:rsid w:val="00883856"/>
    <w:rsid w:val="008845A7"/>
    <w:rsid w:val="00886509"/>
    <w:rsid w:val="00894F47"/>
    <w:rsid w:val="008A01AC"/>
    <w:rsid w:val="008A13A9"/>
    <w:rsid w:val="008B75BB"/>
    <w:rsid w:val="008C2740"/>
    <w:rsid w:val="008D30E3"/>
    <w:rsid w:val="008E5EBA"/>
    <w:rsid w:val="008F0026"/>
    <w:rsid w:val="008F1823"/>
    <w:rsid w:val="008F263E"/>
    <w:rsid w:val="008F4AE5"/>
    <w:rsid w:val="00902AC7"/>
    <w:rsid w:val="00904A0A"/>
    <w:rsid w:val="00904B3B"/>
    <w:rsid w:val="00907061"/>
    <w:rsid w:val="00910CE8"/>
    <w:rsid w:val="0092683B"/>
    <w:rsid w:val="00946163"/>
    <w:rsid w:val="0095020F"/>
    <w:rsid w:val="009702B9"/>
    <w:rsid w:val="00987BBC"/>
    <w:rsid w:val="00993A8C"/>
    <w:rsid w:val="0099710F"/>
    <w:rsid w:val="009A2CEA"/>
    <w:rsid w:val="009B4AD6"/>
    <w:rsid w:val="009B64B2"/>
    <w:rsid w:val="009C4948"/>
    <w:rsid w:val="009D11F8"/>
    <w:rsid w:val="009D73BB"/>
    <w:rsid w:val="009E6C0E"/>
    <w:rsid w:val="009F2B4F"/>
    <w:rsid w:val="009F56A1"/>
    <w:rsid w:val="009F5C14"/>
    <w:rsid w:val="00A0249D"/>
    <w:rsid w:val="00A05AAF"/>
    <w:rsid w:val="00A16E95"/>
    <w:rsid w:val="00A23D67"/>
    <w:rsid w:val="00A26D18"/>
    <w:rsid w:val="00A30DA5"/>
    <w:rsid w:val="00A30E35"/>
    <w:rsid w:val="00A31301"/>
    <w:rsid w:val="00A36142"/>
    <w:rsid w:val="00A41A6D"/>
    <w:rsid w:val="00A42FA2"/>
    <w:rsid w:val="00A46650"/>
    <w:rsid w:val="00A5074B"/>
    <w:rsid w:val="00A50B4D"/>
    <w:rsid w:val="00A55A4E"/>
    <w:rsid w:val="00A570FB"/>
    <w:rsid w:val="00A6213B"/>
    <w:rsid w:val="00A6588A"/>
    <w:rsid w:val="00A9670A"/>
    <w:rsid w:val="00AA2F01"/>
    <w:rsid w:val="00AB1C21"/>
    <w:rsid w:val="00AB36EB"/>
    <w:rsid w:val="00AD4648"/>
    <w:rsid w:val="00AE32FD"/>
    <w:rsid w:val="00AF33E9"/>
    <w:rsid w:val="00B01D51"/>
    <w:rsid w:val="00B0600F"/>
    <w:rsid w:val="00B10EBE"/>
    <w:rsid w:val="00B113A8"/>
    <w:rsid w:val="00B152A5"/>
    <w:rsid w:val="00B15A22"/>
    <w:rsid w:val="00B220F2"/>
    <w:rsid w:val="00B2260A"/>
    <w:rsid w:val="00B2720B"/>
    <w:rsid w:val="00B40F6F"/>
    <w:rsid w:val="00B41B71"/>
    <w:rsid w:val="00B42DFF"/>
    <w:rsid w:val="00B50C43"/>
    <w:rsid w:val="00B53117"/>
    <w:rsid w:val="00B53969"/>
    <w:rsid w:val="00B54A3D"/>
    <w:rsid w:val="00B56AAA"/>
    <w:rsid w:val="00B73CA4"/>
    <w:rsid w:val="00B86A87"/>
    <w:rsid w:val="00B9139C"/>
    <w:rsid w:val="00BB4465"/>
    <w:rsid w:val="00BC4D59"/>
    <w:rsid w:val="00BD006F"/>
    <w:rsid w:val="00BE4D96"/>
    <w:rsid w:val="00BE519E"/>
    <w:rsid w:val="00C06C38"/>
    <w:rsid w:val="00C1633C"/>
    <w:rsid w:val="00C21332"/>
    <w:rsid w:val="00C30662"/>
    <w:rsid w:val="00C42067"/>
    <w:rsid w:val="00C44CD9"/>
    <w:rsid w:val="00C557E7"/>
    <w:rsid w:val="00C6603C"/>
    <w:rsid w:val="00C6676A"/>
    <w:rsid w:val="00C77E68"/>
    <w:rsid w:val="00C86629"/>
    <w:rsid w:val="00C92B44"/>
    <w:rsid w:val="00CA02F9"/>
    <w:rsid w:val="00CA166A"/>
    <w:rsid w:val="00CB0722"/>
    <w:rsid w:val="00CB15D8"/>
    <w:rsid w:val="00CB662F"/>
    <w:rsid w:val="00CC3BCF"/>
    <w:rsid w:val="00CC556B"/>
    <w:rsid w:val="00CD2D11"/>
    <w:rsid w:val="00CE06B8"/>
    <w:rsid w:val="00CE4CBE"/>
    <w:rsid w:val="00CF25F5"/>
    <w:rsid w:val="00CF4D90"/>
    <w:rsid w:val="00D172CB"/>
    <w:rsid w:val="00D31E26"/>
    <w:rsid w:val="00D40345"/>
    <w:rsid w:val="00D433F5"/>
    <w:rsid w:val="00D44C82"/>
    <w:rsid w:val="00D507C1"/>
    <w:rsid w:val="00D55DD4"/>
    <w:rsid w:val="00D607E1"/>
    <w:rsid w:val="00D664D9"/>
    <w:rsid w:val="00D81055"/>
    <w:rsid w:val="00D825CD"/>
    <w:rsid w:val="00D830DA"/>
    <w:rsid w:val="00D9208A"/>
    <w:rsid w:val="00D9719B"/>
    <w:rsid w:val="00D97655"/>
    <w:rsid w:val="00DA78F2"/>
    <w:rsid w:val="00DA7E3F"/>
    <w:rsid w:val="00DB1463"/>
    <w:rsid w:val="00DB79CF"/>
    <w:rsid w:val="00DD0685"/>
    <w:rsid w:val="00DD1687"/>
    <w:rsid w:val="00DD5003"/>
    <w:rsid w:val="00DE67F4"/>
    <w:rsid w:val="00DF44B0"/>
    <w:rsid w:val="00E10758"/>
    <w:rsid w:val="00E1113D"/>
    <w:rsid w:val="00E13679"/>
    <w:rsid w:val="00E13CA5"/>
    <w:rsid w:val="00E16379"/>
    <w:rsid w:val="00E17891"/>
    <w:rsid w:val="00E178C0"/>
    <w:rsid w:val="00E336EB"/>
    <w:rsid w:val="00E637DE"/>
    <w:rsid w:val="00E71876"/>
    <w:rsid w:val="00E73CC0"/>
    <w:rsid w:val="00E8633F"/>
    <w:rsid w:val="00E8660A"/>
    <w:rsid w:val="00EA18BD"/>
    <w:rsid w:val="00EA2210"/>
    <w:rsid w:val="00EA36B3"/>
    <w:rsid w:val="00EA5D37"/>
    <w:rsid w:val="00EB4C0E"/>
    <w:rsid w:val="00EB6928"/>
    <w:rsid w:val="00EC6FC3"/>
    <w:rsid w:val="00ED0E6C"/>
    <w:rsid w:val="00ED28AC"/>
    <w:rsid w:val="00ED2D69"/>
    <w:rsid w:val="00EE07DD"/>
    <w:rsid w:val="00EE2628"/>
    <w:rsid w:val="00EF2672"/>
    <w:rsid w:val="00EF4FF6"/>
    <w:rsid w:val="00F01161"/>
    <w:rsid w:val="00F025F0"/>
    <w:rsid w:val="00F052B3"/>
    <w:rsid w:val="00F129F8"/>
    <w:rsid w:val="00F13605"/>
    <w:rsid w:val="00F17F74"/>
    <w:rsid w:val="00F36BFF"/>
    <w:rsid w:val="00F40F89"/>
    <w:rsid w:val="00F50B37"/>
    <w:rsid w:val="00F628DC"/>
    <w:rsid w:val="00F6293E"/>
    <w:rsid w:val="00F67777"/>
    <w:rsid w:val="00F703FC"/>
    <w:rsid w:val="00F80057"/>
    <w:rsid w:val="00F83910"/>
    <w:rsid w:val="00F90524"/>
    <w:rsid w:val="00F94971"/>
    <w:rsid w:val="00FA41F5"/>
    <w:rsid w:val="00FA6B19"/>
    <w:rsid w:val="00FD5011"/>
    <w:rsid w:val="00FE1FD5"/>
    <w:rsid w:val="00FF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AD32"/>
  <w15:chartTrackingRefBased/>
  <w15:docId w15:val="{A0B50967-6756-4305-82EF-DAA3E0C2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D67"/>
    <w:pPr>
      <w:ind w:left="720"/>
      <w:contextualSpacing/>
    </w:pPr>
  </w:style>
  <w:style w:type="paragraph" w:styleId="FootnoteText">
    <w:name w:val="footnote text"/>
    <w:basedOn w:val="Normal"/>
    <w:link w:val="FootnoteTextChar"/>
    <w:uiPriority w:val="99"/>
    <w:semiHidden/>
    <w:unhideWhenUsed/>
    <w:rsid w:val="00A2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3D67"/>
    <w:rPr>
      <w:sz w:val="20"/>
      <w:szCs w:val="20"/>
    </w:rPr>
  </w:style>
  <w:style w:type="character" w:styleId="FootnoteReference">
    <w:name w:val="footnote reference"/>
    <w:basedOn w:val="DefaultParagraphFont"/>
    <w:uiPriority w:val="99"/>
    <w:semiHidden/>
    <w:unhideWhenUsed/>
    <w:rsid w:val="00A23D67"/>
    <w:rPr>
      <w:vertAlign w:val="superscript"/>
    </w:rPr>
  </w:style>
  <w:style w:type="paragraph" w:styleId="Header">
    <w:name w:val="header"/>
    <w:basedOn w:val="Normal"/>
    <w:link w:val="HeaderChar"/>
    <w:uiPriority w:val="99"/>
    <w:unhideWhenUsed/>
    <w:rsid w:val="00262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28C"/>
  </w:style>
  <w:style w:type="paragraph" w:styleId="Footer">
    <w:name w:val="footer"/>
    <w:basedOn w:val="Normal"/>
    <w:link w:val="FooterChar"/>
    <w:uiPriority w:val="99"/>
    <w:unhideWhenUsed/>
    <w:rsid w:val="00262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28C"/>
  </w:style>
  <w:style w:type="paragraph" w:styleId="BalloonText">
    <w:name w:val="Balloon Text"/>
    <w:basedOn w:val="Normal"/>
    <w:link w:val="BalloonTextChar"/>
    <w:uiPriority w:val="99"/>
    <w:semiHidden/>
    <w:unhideWhenUsed/>
    <w:rsid w:val="00BE4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D96"/>
    <w:rPr>
      <w:rFonts w:ascii="Segoe UI" w:hAnsi="Segoe UI" w:cs="Segoe UI"/>
      <w:sz w:val="18"/>
      <w:szCs w:val="18"/>
    </w:rPr>
  </w:style>
  <w:style w:type="character" w:customStyle="1" w:styleId="mc">
    <w:name w:val="mc"/>
    <w:basedOn w:val="DefaultParagraphFont"/>
    <w:rsid w:val="009F56A1"/>
  </w:style>
  <w:style w:type="character" w:styleId="Emphasis">
    <w:name w:val="Emphasis"/>
    <w:basedOn w:val="DefaultParagraphFont"/>
    <w:uiPriority w:val="20"/>
    <w:qFormat/>
    <w:rsid w:val="00063C86"/>
    <w:rPr>
      <w:i/>
      <w:iCs/>
    </w:rPr>
  </w:style>
  <w:style w:type="character" w:customStyle="1" w:styleId="g1">
    <w:name w:val="g1"/>
    <w:basedOn w:val="DefaultParagraphFont"/>
    <w:rsid w:val="004C3FC4"/>
  </w:style>
  <w:style w:type="character" w:styleId="Hyperlink">
    <w:name w:val="Hyperlink"/>
    <w:basedOn w:val="DefaultParagraphFont"/>
    <w:uiPriority w:val="99"/>
    <w:semiHidden/>
    <w:unhideWhenUsed/>
    <w:rsid w:val="004C3FC4"/>
    <w:rPr>
      <w:color w:val="0000FF"/>
      <w:u w:val="single"/>
    </w:rPr>
  </w:style>
  <w:style w:type="character" w:styleId="CommentReference">
    <w:name w:val="annotation reference"/>
    <w:basedOn w:val="DefaultParagraphFont"/>
    <w:uiPriority w:val="99"/>
    <w:semiHidden/>
    <w:unhideWhenUsed/>
    <w:rsid w:val="00EE2628"/>
    <w:rPr>
      <w:sz w:val="16"/>
      <w:szCs w:val="16"/>
    </w:rPr>
  </w:style>
  <w:style w:type="paragraph" w:styleId="CommentText">
    <w:name w:val="annotation text"/>
    <w:basedOn w:val="Normal"/>
    <w:link w:val="CommentTextChar"/>
    <w:uiPriority w:val="99"/>
    <w:semiHidden/>
    <w:unhideWhenUsed/>
    <w:rsid w:val="00EE2628"/>
    <w:pPr>
      <w:spacing w:line="240" w:lineRule="auto"/>
    </w:pPr>
    <w:rPr>
      <w:sz w:val="20"/>
      <w:szCs w:val="20"/>
    </w:rPr>
  </w:style>
  <w:style w:type="character" w:customStyle="1" w:styleId="CommentTextChar">
    <w:name w:val="Comment Text Char"/>
    <w:basedOn w:val="DefaultParagraphFont"/>
    <w:link w:val="CommentText"/>
    <w:uiPriority w:val="99"/>
    <w:semiHidden/>
    <w:rsid w:val="00EE2628"/>
    <w:rPr>
      <w:sz w:val="20"/>
      <w:szCs w:val="20"/>
    </w:rPr>
  </w:style>
  <w:style w:type="paragraph" w:styleId="CommentSubject">
    <w:name w:val="annotation subject"/>
    <w:basedOn w:val="CommentText"/>
    <w:next w:val="CommentText"/>
    <w:link w:val="CommentSubjectChar"/>
    <w:uiPriority w:val="99"/>
    <w:semiHidden/>
    <w:unhideWhenUsed/>
    <w:rsid w:val="00EE2628"/>
    <w:rPr>
      <w:b/>
      <w:bCs/>
    </w:rPr>
  </w:style>
  <w:style w:type="character" w:customStyle="1" w:styleId="CommentSubjectChar">
    <w:name w:val="Comment Subject Char"/>
    <w:basedOn w:val="CommentTextChar"/>
    <w:link w:val="CommentSubject"/>
    <w:uiPriority w:val="99"/>
    <w:semiHidden/>
    <w:rsid w:val="00EE26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671">
      <w:bodyDiv w:val="1"/>
      <w:marLeft w:val="0"/>
      <w:marRight w:val="0"/>
      <w:marTop w:val="0"/>
      <w:marBottom w:val="0"/>
      <w:divBdr>
        <w:top w:val="none" w:sz="0" w:space="0" w:color="auto"/>
        <w:left w:val="none" w:sz="0" w:space="0" w:color="auto"/>
        <w:bottom w:val="none" w:sz="0" w:space="0" w:color="auto"/>
        <w:right w:val="none" w:sz="0" w:space="0" w:color="auto"/>
      </w:divBdr>
      <w:divsChild>
        <w:div w:id="2082410464">
          <w:marLeft w:val="0"/>
          <w:marRight w:val="0"/>
          <w:marTop w:val="0"/>
          <w:marBottom w:val="0"/>
          <w:divBdr>
            <w:top w:val="none" w:sz="0" w:space="0" w:color="auto"/>
            <w:left w:val="none" w:sz="0" w:space="0" w:color="auto"/>
            <w:bottom w:val="none" w:sz="0" w:space="0" w:color="auto"/>
            <w:right w:val="none" w:sz="0" w:space="0" w:color="auto"/>
          </w:divBdr>
          <w:divsChild>
            <w:div w:id="1332827849">
              <w:marLeft w:val="0"/>
              <w:marRight w:val="0"/>
              <w:marTop w:val="0"/>
              <w:marBottom w:val="450"/>
              <w:divBdr>
                <w:top w:val="none" w:sz="0" w:space="0" w:color="auto"/>
                <w:left w:val="none" w:sz="0" w:space="0" w:color="auto"/>
                <w:bottom w:val="none" w:sz="0" w:space="0" w:color="auto"/>
                <w:right w:val="none" w:sz="0" w:space="0" w:color="auto"/>
              </w:divBdr>
              <w:divsChild>
                <w:div w:id="536967549">
                  <w:marLeft w:val="0"/>
                  <w:marRight w:val="0"/>
                  <w:marTop w:val="0"/>
                  <w:marBottom w:val="0"/>
                  <w:divBdr>
                    <w:top w:val="none" w:sz="0" w:space="0" w:color="auto"/>
                    <w:left w:val="none" w:sz="0" w:space="0" w:color="auto"/>
                    <w:bottom w:val="none" w:sz="0" w:space="0" w:color="auto"/>
                    <w:right w:val="none" w:sz="0" w:space="0" w:color="auto"/>
                  </w:divBdr>
                  <w:divsChild>
                    <w:div w:id="1012531347">
                      <w:marLeft w:val="0"/>
                      <w:marRight w:val="0"/>
                      <w:marTop w:val="0"/>
                      <w:marBottom w:val="0"/>
                      <w:divBdr>
                        <w:top w:val="none" w:sz="0" w:space="0" w:color="auto"/>
                        <w:left w:val="none" w:sz="0" w:space="0" w:color="auto"/>
                        <w:bottom w:val="none" w:sz="0" w:space="0" w:color="auto"/>
                        <w:right w:val="none" w:sz="0" w:space="0" w:color="auto"/>
                      </w:divBdr>
                      <w:divsChild>
                        <w:div w:id="411319125">
                          <w:marLeft w:val="0"/>
                          <w:marRight w:val="0"/>
                          <w:marTop w:val="0"/>
                          <w:marBottom w:val="0"/>
                          <w:divBdr>
                            <w:top w:val="none" w:sz="0" w:space="0" w:color="auto"/>
                            <w:left w:val="none" w:sz="0" w:space="0" w:color="auto"/>
                            <w:bottom w:val="none" w:sz="0" w:space="0" w:color="auto"/>
                            <w:right w:val="none" w:sz="0" w:space="0" w:color="auto"/>
                          </w:divBdr>
                          <w:divsChild>
                            <w:div w:id="314535270">
                              <w:marLeft w:val="0"/>
                              <w:marRight w:val="0"/>
                              <w:marTop w:val="0"/>
                              <w:marBottom w:val="0"/>
                              <w:divBdr>
                                <w:top w:val="none" w:sz="0" w:space="0" w:color="auto"/>
                                <w:left w:val="none" w:sz="0" w:space="0" w:color="auto"/>
                                <w:bottom w:val="none" w:sz="0" w:space="0" w:color="auto"/>
                                <w:right w:val="none" w:sz="0" w:space="0" w:color="auto"/>
                              </w:divBdr>
                              <w:divsChild>
                                <w:div w:id="1390492626">
                                  <w:marLeft w:val="0"/>
                                  <w:marRight w:val="0"/>
                                  <w:marTop w:val="0"/>
                                  <w:marBottom w:val="0"/>
                                  <w:divBdr>
                                    <w:top w:val="none" w:sz="0" w:space="0" w:color="auto"/>
                                    <w:left w:val="none" w:sz="0" w:space="0" w:color="auto"/>
                                    <w:bottom w:val="none" w:sz="0" w:space="0" w:color="auto"/>
                                    <w:right w:val="none" w:sz="0" w:space="0" w:color="auto"/>
                                  </w:divBdr>
                                  <w:divsChild>
                                    <w:div w:id="213073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815437">
      <w:bodyDiv w:val="1"/>
      <w:marLeft w:val="0"/>
      <w:marRight w:val="0"/>
      <w:marTop w:val="0"/>
      <w:marBottom w:val="0"/>
      <w:divBdr>
        <w:top w:val="none" w:sz="0" w:space="0" w:color="auto"/>
        <w:left w:val="none" w:sz="0" w:space="0" w:color="auto"/>
        <w:bottom w:val="none" w:sz="0" w:space="0" w:color="auto"/>
        <w:right w:val="none" w:sz="0" w:space="0" w:color="auto"/>
      </w:divBdr>
      <w:divsChild>
        <w:div w:id="1780444527">
          <w:marLeft w:val="0"/>
          <w:marRight w:val="0"/>
          <w:marTop w:val="120"/>
          <w:marBottom w:val="0"/>
          <w:divBdr>
            <w:top w:val="none" w:sz="0" w:space="0" w:color="auto"/>
            <w:left w:val="none" w:sz="0" w:space="0" w:color="auto"/>
            <w:bottom w:val="none" w:sz="0" w:space="0" w:color="auto"/>
            <w:right w:val="none" w:sz="0" w:space="0" w:color="auto"/>
          </w:divBdr>
        </w:div>
        <w:div w:id="1792745634">
          <w:marLeft w:val="0"/>
          <w:marRight w:val="0"/>
          <w:marTop w:val="240"/>
          <w:marBottom w:val="24"/>
          <w:divBdr>
            <w:top w:val="single" w:sz="8" w:space="2" w:color="808080"/>
            <w:left w:val="none" w:sz="0" w:space="0" w:color="auto"/>
            <w:bottom w:val="none" w:sz="0" w:space="0" w:color="auto"/>
            <w:right w:val="none" w:sz="0" w:space="0" w:color="auto"/>
          </w:divBdr>
        </w:div>
        <w:div w:id="12071065">
          <w:marLeft w:val="0"/>
          <w:marRight w:val="0"/>
          <w:marTop w:val="120"/>
          <w:marBottom w:val="0"/>
          <w:divBdr>
            <w:top w:val="none" w:sz="0" w:space="0" w:color="auto"/>
            <w:left w:val="none" w:sz="0" w:space="0" w:color="auto"/>
            <w:bottom w:val="none" w:sz="0" w:space="0" w:color="auto"/>
            <w:right w:val="none" w:sz="0" w:space="0" w:color="auto"/>
          </w:divBdr>
        </w:div>
        <w:div w:id="1681354966">
          <w:marLeft w:val="0"/>
          <w:marRight w:val="0"/>
          <w:marTop w:val="120"/>
          <w:marBottom w:val="0"/>
          <w:divBdr>
            <w:top w:val="none" w:sz="0" w:space="0" w:color="auto"/>
            <w:left w:val="none" w:sz="0" w:space="0" w:color="auto"/>
            <w:bottom w:val="none" w:sz="0" w:space="0" w:color="auto"/>
            <w:right w:val="none" w:sz="0" w:space="0" w:color="auto"/>
          </w:divBdr>
        </w:div>
        <w:div w:id="1643462314">
          <w:marLeft w:val="567"/>
          <w:marRight w:val="0"/>
          <w:marTop w:val="120"/>
          <w:marBottom w:val="0"/>
          <w:divBdr>
            <w:top w:val="none" w:sz="0" w:space="0" w:color="auto"/>
            <w:left w:val="none" w:sz="0" w:space="0" w:color="auto"/>
            <w:bottom w:val="none" w:sz="0" w:space="0" w:color="auto"/>
            <w:right w:val="none" w:sz="0" w:space="0" w:color="auto"/>
          </w:divBdr>
        </w:div>
      </w:divsChild>
    </w:div>
    <w:div w:id="894707812">
      <w:bodyDiv w:val="1"/>
      <w:marLeft w:val="0"/>
      <w:marRight w:val="0"/>
      <w:marTop w:val="0"/>
      <w:marBottom w:val="0"/>
      <w:divBdr>
        <w:top w:val="none" w:sz="0" w:space="0" w:color="auto"/>
        <w:left w:val="none" w:sz="0" w:space="0" w:color="auto"/>
        <w:bottom w:val="none" w:sz="0" w:space="0" w:color="auto"/>
        <w:right w:val="none" w:sz="0" w:space="0" w:color="auto"/>
      </w:divBdr>
      <w:divsChild>
        <w:div w:id="1707683757">
          <w:marLeft w:val="0"/>
          <w:marRight w:val="0"/>
          <w:marTop w:val="120"/>
          <w:marBottom w:val="0"/>
          <w:divBdr>
            <w:top w:val="none" w:sz="0" w:space="0" w:color="auto"/>
            <w:left w:val="none" w:sz="0" w:space="0" w:color="auto"/>
            <w:bottom w:val="none" w:sz="0" w:space="0" w:color="auto"/>
            <w:right w:val="none" w:sz="0" w:space="0" w:color="auto"/>
          </w:divBdr>
        </w:div>
        <w:div w:id="590814414">
          <w:marLeft w:val="0"/>
          <w:marRight w:val="0"/>
          <w:marTop w:val="120"/>
          <w:marBottom w:val="0"/>
          <w:divBdr>
            <w:top w:val="none" w:sz="0" w:space="0" w:color="auto"/>
            <w:left w:val="none" w:sz="0" w:space="0" w:color="auto"/>
            <w:bottom w:val="none" w:sz="0" w:space="0" w:color="auto"/>
            <w:right w:val="none" w:sz="0" w:space="0" w:color="auto"/>
          </w:divBdr>
        </w:div>
        <w:div w:id="487090787">
          <w:marLeft w:val="0"/>
          <w:marRight w:val="0"/>
          <w:marTop w:val="240"/>
          <w:marBottom w:val="24"/>
          <w:divBdr>
            <w:top w:val="single" w:sz="8" w:space="2" w:color="808080"/>
            <w:left w:val="none" w:sz="0" w:space="0" w:color="auto"/>
            <w:bottom w:val="none" w:sz="0" w:space="0" w:color="auto"/>
            <w:right w:val="none" w:sz="0" w:space="0" w:color="auto"/>
          </w:divBdr>
        </w:div>
        <w:div w:id="229463675">
          <w:marLeft w:val="0"/>
          <w:marRight w:val="0"/>
          <w:marTop w:val="120"/>
          <w:marBottom w:val="0"/>
          <w:divBdr>
            <w:top w:val="none" w:sz="0" w:space="0" w:color="auto"/>
            <w:left w:val="none" w:sz="0" w:space="0" w:color="auto"/>
            <w:bottom w:val="none" w:sz="0" w:space="0" w:color="auto"/>
            <w:right w:val="none" w:sz="0" w:space="0" w:color="auto"/>
          </w:divBdr>
        </w:div>
        <w:div w:id="158880868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5B993-D910-476F-99AE-6E0F9693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11834</Words>
  <Characters>67459</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Larna Herman</dc:creator>
  <cp:keywords/>
  <dc:description/>
  <cp:lastModifiedBy>HOME</cp:lastModifiedBy>
  <cp:revision>2</cp:revision>
  <cp:lastPrinted>2022-06-22T10:19:00Z</cp:lastPrinted>
  <dcterms:created xsi:type="dcterms:W3CDTF">2022-07-18T19:36:00Z</dcterms:created>
  <dcterms:modified xsi:type="dcterms:W3CDTF">2022-07-18T19:36:00Z</dcterms:modified>
</cp:coreProperties>
</file>