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77777777" w:rsidR="00D450B5" w:rsidRPr="00044B50" w:rsidRDefault="00D450B5" w:rsidP="00772E4B">
      <w:pPr>
        <w:jc w:val="center"/>
        <w:rPr>
          <w:b/>
          <w:bCs/>
          <w:lang w:val="en-GB"/>
        </w:rPr>
      </w:pPr>
      <w:r w:rsidRPr="00044B50">
        <w:rPr>
          <w:b/>
          <w:bCs/>
          <w:lang w:val="en-GB"/>
        </w:rPr>
        <w:t>(EASTERN CAPE DIVISION, GRAHAMSTOWN)</w:t>
      </w:r>
    </w:p>
    <w:p w14:paraId="260381A7" w14:textId="77777777" w:rsidR="00D450B5" w:rsidRPr="00044B50" w:rsidRDefault="00D450B5" w:rsidP="00772E4B">
      <w:pPr>
        <w:widowControl w:val="0"/>
        <w:jc w:val="both"/>
        <w:rPr>
          <w:spacing w:val="14"/>
          <w:kern w:val="2"/>
          <w:u w:val="single"/>
          <w:lang w:val="en-GB"/>
        </w:rPr>
      </w:pPr>
    </w:p>
    <w:p w14:paraId="434E4AD9" w14:textId="63BD71E3" w:rsidR="00D450B5" w:rsidRPr="00044B50" w:rsidRDefault="00D450B5" w:rsidP="000B13CD">
      <w:pPr>
        <w:ind w:right="89"/>
        <w:jc w:val="right"/>
        <w:rPr>
          <w:b/>
          <w:bCs/>
          <w:lang w:val="en-GB"/>
        </w:rPr>
      </w:pPr>
      <w:r w:rsidRPr="00044B50">
        <w:rPr>
          <w:lang w:val="en-GB"/>
        </w:rPr>
        <w:t xml:space="preserve">                                                                                           </w:t>
      </w:r>
      <w:r w:rsidR="00871511">
        <w:rPr>
          <w:b/>
          <w:bCs/>
          <w:lang w:val="en-GB"/>
        </w:rPr>
        <w:t>Of interest</w:t>
      </w:r>
      <w:r w:rsidRPr="00044B50">
        <w:rPr>
          <w:b/>
          <w:bCs/>
          <w:lang w:val="en-GB"/>
        </w:rPr>
        <w:t xml:space="preserve">                                     </w:t>
      </w:r>
    </w:p>
    <w:p w14:paraId="4934DB4B" w14:textId="69DDFBE7" w:rsidR="00E44987" w:rsidRPr="00044B50" w:rsidRDefault="00E44987" w:rsidP="00871511">
      <w:pPr>
        <w:jc w:val="right"/>
        <w:rPr>
          <w:lang w:val="en-GB"/>
        </w:rPr>
      </w:pPr>
      <w:r w:rsidRPr="00044B50">
        <w:rPr>
          <w:lang w:val="en-GB"/>
        </w:rPr>
        <w:t xml:space="preserve">                                                                                                   Case no:</w:t>
      </w:r>
      <w:r w:rsidR="00871511">
        <w:rPr>
          <w:lang w:val="en-GB"/>
        </w:rPr>
        <w:t xml:space="preserve"> </w:t>
      </w:r>
      <w:r w:rsidRPr="00044B50">
        <w:rPr>
          <w:lang w:val="en-GB"/>
        </w:rPr>
        <w:t xml:space="preserve"> </w:t>
      </w:r>
      <w:r w:rsidR="00871511">
        <w:rPr>
          <w:lang w:val="en-GB"/>
        </w:rPr>
        <w:t xml:space="preserve">1123/2021 </w:t>
      </w:r>
      <w:r w:rsidR="00871511">
        <w:rPr>
          <w:lang w:val="en-GB"/>
        </w:rPr>
        <w:tab/>
      </w:r>
      <w:r w:rsidR="00871511">
        <w:rPr>
          <w:lang w:val="en-GB"/>
        </w:rPr>
        <w:tab/>
      </w:r>
      <w:r w:rsidR="00871511">
        <w:rPr>
          <w:lang w:val="en-GB"/>
        </w:rPr>
        <w:tab/>
      </w:r>
      <w:r w:rsidR="00871511">
        <w:rPr>
          <w:lang w:val="en-GB"/>
        </w:rPr>
        <w:tab/>
      </w:r>
      <w:r w:rsidR="00871511">
        <w:rPr>
          <w:lang w:val="en-GB"/>
        </w:rPr>
        <w:tab/>
      </w:r>
      <w:r w:rsidR="00871511">
        <w:rPr>
          <w:lang w:val="en-GB"/>
        </w:rPr>
        <w:tab/>
      </w:r>
      <w:r w:rsidR="00871511">
        <w:rPr>
          <w:lang w:val="en-GB"/>
        </w:rPr>
        <w:tab/>
      </w:r>
      <w:r w:rsidR="00871511">
        <w:rPr>
          <w:lang w:val="en-GB"/>
        </w:rPr>
        <w:tab/>
      </w:r>
      <w:r w:rsidR="00871511">
        <w:rPr>
          <w:lang w:val="en-GB"/>
        </w:rPr>
        <w:tab/>
        <w:t>361/2021</w:t>
      </w:r>
    </w:p>
    <w:p w14:paraId="13EEBE4B" w14:textId="77777777" w:rsidR="00D450B5" w:rsidRPr="00044B50" w:rsidRDefault="00D450B5" w:rsidP="00772E4B">
      <w:pPr>
        <w:widowControl w:val="0"/>
        <w:jc w:val="right"/>
        <w:rPr>
          <w:spacing w:val="14"/>
          <w:kern w:val="2"/>
          <w:lang w:val="en-GB"/>
        </w:rPr>
      </w:pPr>
    </w:p>
    <w:p w14:paraId="49070A0E" w14:textId="117A2368"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5F1017F0" w14:textId="15AD00EF" w:rsidR="00C246F2" w:rsidRDefault="00871511" w:rsidP="00871511">
      <w:pPr>
        <w:widowControl w:val="0"/>
        <w:tabs>
          <w:tab w:val="left" w:pos="6804"/>
          <w:tab w:val="right" w:pos="8198"/>
        </w:tabs>
        <w:jc w:val="both"/>
        <w:rPr>
          <w:b/>
          <w:bCs/>
          <w:spacing w:val="14"/>
          <w:kern w:val="2"/>
          <w:lang w:val="en-GB"/>
        </w:rPr>
      </w:pPr>
      <w:r>
        <w:rPr>
          <w:b/>
          <w:bCs/>
          <w:spacing w:val="14"/>
          <w:kern w:val="2"/>
          <w:lang w:val="en-GB"/>
        </w:rPr>
        <w:t>NONTUTHUZELO VOKO</w:t>
      </w:r>
      <w:r>
        <w:rPr>
          <w:b/>
          <w:bCs/>
          <w:spacing w:val="14"/>
          <w:kern w:val="2"/>
          <w:lang w:val="en-GB"/>
        </w:rPr>
        <w:tab/>
        <w:t>APPLICANT</w:t>
      </w:r>
    </w:p>
    <w:p w14:paraId="0D746988" w14:textId="667A90F2" w:rsidR="00D450B5" w:rsidRPr="00C43571" w:rsidRDefault="00871511" w:rsidP="00C43571">
      <w:pPr>
        <w:widowControl w:val="0"/>
        <w:tabs>
          <w:tab w:val="right" w:pos="8198"/>
        </w:tabs>
        <w:jc w:val="both"/>
        <w:rPr>
          <w:b/>
          <w:bCs/>
          <w:spacing w:val="14"/>
          <w:kern w:val="2"/>
          <w:lang w:val="en-GB"/>
        </w:rPr>
      </w:pPr>
      <w:r>
        <w:rPr>
          <w:b/>
          <w:bCs/>
          <w:spacing w:val="14"/>
          <w:kern w:val="2"/>
          <w:lang w:val="en-GB"/>
        </w:rPr>
        <w:tab/>
      </w: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752CE422" w14:textId="77777777" w:rsidR="00DE3371" w:rsidRDefault="00871511" w:rsidP="00871511">
      <w:pPr>
        <w:tabs>
          <w:tab w:val="left" w:pos="6804"/>
        </w:tabs>
        <w:ind w:right="-52"/>
        <w:jc w:val="both"/>
        <w:rPr>
          <w:lang w:val="en-GB"/>
        </w:rPr>
      </w:pPr>
      <w:r>
        <w:rPr>
          <w:b/>
          <w:bCs/>
          <w:lang w:val="en-GB"/>
        </w:rPr>
        <w:t>THE ROAD ACCIDENT FUND</w:t>
      </w:r>
      <w:r w:rsidR="00772E4B" w:rsidRPr="00044B50">
        <w:rPr>
          <w:b/>
          <w:bCs/>
          <w:lang w:val="en-GB"/>
        </w:rPr>
        <w:tab/>
      </w:r>
      <w:r>
        <w:rPr>
          <w:b/>
          <w:bCs/>
          <w:lang w:val="en-GB"/>
        </w:rPr>
        <w:t>RESPONDENT</w:t>
      </w:r>
      <w:r w:rsidR="00C246F2" w:rsidRPr="00044B50">
        <w:rPr>
          <w:lang w:val="en-GB"/>
        </w:rPr>
        <w:tab/>
      </w:r>
    </w:p>
    <w:p w14:paraId="623B99BD" w14:textId="77777777" w:rsidR="00DE3371" w:rsidRDefault="00DE3371" w:rsidP="00871511">
      <w:pPr>
        <w:tabs>
          <w:tab w:val="left" w:pos="6804"/>
        </w:tabs>
        <w:ind w:right="-52"/>
        <w:jc w:val="both"/>
        <w:rPr>
          <w:b/>
          <w:bCs/>
          <w:lang w:val="en-GB"/>
        </w:rPr>
      </w:pPr>
    </w:p>
    <w:p w14:paraId="0CF1A60A" w14:textId="77777777" w:rsidR="00DE3371" w:rsidRDefault="00DE3371" w:rsidP="00871511">
      <w:pPr>
        <w:tabs>
          <w:tab w:val="left" w:pos="6804"/>
        </w:tabs>
        <w:ind w:right="-52"/>
        <w:jc w:val="both"/>
        <w:rPr>
          <w:lang w:val="en-GB"/>
        </w:rPr>
      </w:pPr>
      <w:r>
        <w:rPr>
          <w:lang w:val="en-GB"/>
        </w:rPr>
        <w:t>and in the matter between:</w:t>
      </w:r>
    </w:p>
    <w:p w14:paraId="7853C6FA" w14:textId="77777777" w:rsidR="00DE3371" w:rsidRDefault="00DE3371" w:rsidP="00871511">
      <w:pPr>
        <w:tabs>
          <w:tab w:val="left" w:pos="6804"/>
        </w:tabs>
        <w:ind w:right="-52"/>
        <w:jc w:val="both"/>
        <w:rPr>
          <w:lang w:val="en-GB"/>
        </w:rPr>
      </w:pPr>
    </w:p>
    <w:p w14:paraId="1818B8C0" w14:textId="77777777" w:rsidR="00DE3371" w:rsidRDefault="00DE3371" w:rsidP="00871511">
      <w:pPr>
        <w:tabs>
          <w:tab w:val="left" w:pos="6804"/>
        </w:tabs>
        <w:ind w:right="-52"/>
        <w:jc w:val="both"/>
        <w:rPr>
          <w:b/>
          <w:bCs/>
          <w:lang w:val="en-GB"/>
        </w:rPr>
      </w:pPr>
      <w:r>
        <w:rPr>
          <w:b/>
          <w:bCs/>
          <w:spacing w:val="14"/>
          <w:kern w:val="2"/>
          <w:lang w:val="en-GB"/>
        </w:rPr>
        <w:t>MAKAGONGWE SAWULA</w:t>
      </w:r>
      <w:r w:rsidR="00C246F2" w:rsidRPr="00044B50">
        <w:rPr>
          <w:lang w:val="en-GB"/>
        </w:rPr>
        <w:tab/>
      </w:r>
      <w:r>
        <w:rPr>
          <w:b/>
          <w:bCs/>
          <w:lang w:val="en-GB"/>
        </w:rPr>
        <w:t>APPLICANT</w:t>
      </w:r>
    </w:p>
    <w:p w14:paraId="16AD151B" w14:textId="77777777" w:rsidR="00DE3371" w:rsidRDefault="00DE3371" w:rsidP="00871511">
      <w:pPr>
        <w:tabs>
          <w:tab w:val="left" w:pos="6804"/>
        </w:tabs>
        <w:ind w:right="-52"/>
        <w:jc w:val="both"/>
        <w:rPr>
          <w:b/>
          <w:bCs/>
          <w:lang w:val="en-GB"/>
        </w:rPr>
      </w:pPr>
    </w:p>
    <w:p w14:paraId="6D432EDF" w14:textId="77777777" w:rsidR="00DE3371" w:rsidRDefault="00DE3371" w:rsidP="00871511">
      <w:pPr>
        <w:tabs>
          <w:tab w:val="left" w:pos="6804"/>
        </w:tabs>
        <w:ind w:right="-52"/>
        <w:jc w:val="both"/>
        <w:rPr>
          <w:lang w:val="en-GB"/>
        </w:rPr>
      </w:pPr>
      <w:r>
        <w:rPr>
          <w:lang w:val="en-GB"/>
        </w:rPr>
        <w:t>and</w:t>
      </w:r>
    </w:p>
    <w:p w14:paraId="11A62275" w14:textId="77777777" w:rsidR="00DE3371" w:rsidRDefault="00DE3371" w:rsidP="00871511">
      <w:pPr>
        <w:tabs>
          <w:tab w:val="left" w:pos="6804"/>
        </w:tabs>
        <w:ind w:right="-52"/>
        <w:jc w:val="both"/>
        <w:rPr>
          <w:lang w:val="en-GB"/>
        </w:rPr>
      </w:pPr>
    </w:p>
    <w:p w14:paraId="4F0E2CE6" w14:textId="6EB658DD" w:rsidR="00C246F2" w:rsidRPr="00DE3371" w:rsidRDefault="00DE3371" w:rsidP="00871511">
      <w:pPr>
        <w:tabs>
          <w:tab w:val="left" w:pos="6804"/>
        </w:tabs>
        <w:ind w:right="-52"/>
        <w:jc w:val="both"/>
        <w:rPr>
          <w:lang w:val="en-GB"/>
        </w:rPr>
      </w:pPr>
      <w:r>
        <w:rPr>
          <w:b/>
          <w:bCs/>
          <w:lang w:val="en-GB"/>
        </w:rPr>
        <w:t>THE ROAD ACCIDENT FUND</w:t>
      </w:r>
      <w:r>
        <w:rPr>
          <w:b/>
          <w:bCs/>
          <w:lang w:val="en-GB"/>
        </w:rPr>
        <w:tab/>
        <w:t>RESPONDENT</w:t>
      </w:r>
      <w:r w:rsidR="00C246F2" w:rsidRPr="00044B50">
        <w:rPr>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01CF188D" w:rsidR="00D450B5" w:rsidRPr="00044B50" w:rsidRDefault="00871511" w:rsidP="00772E4B">
      <w:pPr>
        <w:jc w:val="center"/>
        <w:rPr>
          <w:b/>
          <w:bCs/>
          <w:lang w:val="en-GB"/>
        </w:rPr>
      </w:pPr>
      <w:r>
        <w:rPr>
          <w:b/>
          <w:bCs/>
          <w:lang w:val="en-GB"/>
        </w:rPr>
        <w:t>REASONS</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5B72F230"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5A33CD6A" w14:textId="497F8970" w:rsidR="00E922BE" w:rsidRPr="00044B50" w:rsidRDefault="00C246F2" w:rsidP="00682CE5">
      <w:pPr>
        <w:pStyle w:val="ListParagraph"/>
        <w:numPr>
          <w:ilvl w:val="0"/>
          <w:numId w:val="10"/>
        </w:numPr>
        <w:autoSpaceDE w:val="0"/>
        <w:autoSpaceDN w:val="0"/>
        <w:adjustRightInd w:val="0"/>
        <w:ind w:left="142" w:hanging="142"/>
        <w:jc w:val="both"/>
        <w:rPr>
          <w:lang w:val="en-GB"/>
        </w:rPr>
      </w:pPr>
      <w:r w:rsidRPr="00044B50">
        <w:rPr>
          <w:lang w:val="en-GB"/>
        </w:rPr>
        <w:t>The</w:t>
      </w:r>
      <w:r w:rsidR="00871511">
        <w:rPr>
          <w:lang w:val="en-GB"/>
        </w:rPr>
        <w:t xml:space="preserve"> abovementioned matters were moved on my mo</w:t>
      </w:r>
      <w:r w:rsidR="00557280">
        <w:rPr>
          <w:lang w:val="en-GB"/>
        </w:rPr>
        <w:t>tion court roll on 22 March 2022</w:t>
      </w:r>
      <w:r w:rsidR="00871511">
        <w:rPr>
          <w:lang w:val="en-GB"/>
        </w:rPr>
        <w:t xml:space="preserve">. They are practically identical in substance. The applicants both seek orders removing and transferring their proceedings against the respondent to the </w:t>
      </w:r>
      <w:r w:rsidR="00E6406A">
        <w:rPr>
          <w:lang w:val="en-GB"/>
        </w:rPr>
        <w:t>‘</w:t>
      </w:r>
      <w:r w:rsidR="00871511">
        <w:rPr>
          <w:lang w:val="en-GB"/>
        </w:rPr>
        <w:t>East London Circuit Local Division</w:t>
      </w:r>
      <w:r w:rsidR="00E6406A">
        <w:rPr>
          <w:lang w:val="en-GB"/>
        </w:rPr>
        <w:t>’</w:t>
      </w:r>
      <w:r w:rsidR="00871511">
        <w:rPr>
          <w:lang w:val="en-GB"/>
        </w:rPr>
        <w:t xml:space="preserve">, with costs to be costs in the </w:t>
      </w:r>
      <w:r w:rsidR="00C172BF">
        <w:rPr>
          <w:lang w:val="en-GB"/>
        </w:rPr>
        <w:t xml:space="preserve">undefended </w:t>
      </w:r>
      <w:r w:rsidR="00871511">
        <w:rPr>
          <w:lang w:val="en-GB"/>
        </w:rPr>
        <w:t>main action</w:t>
      </w:r>
      <w:r w:rsidR="00542080">
        <w:rPr>
          <w:lang w:val="en-GB"/>
        </w:rPr>
        <w:t>s</w:t>
      </w:r>
      <w:r w:rsidR="00871511">
        <w:rPr>
          <w:lang w:val="en-GB"/>
        </w:rPr>
        <w:t xml:space="preserve"> between the parties. </w:t>
      </w:r>
    </w:p>
    <w:p w14:paraId="06EEF5D7" w14:textId="77777777" w:rsidR="00D45942" w:rsidRPr="00044B50" w:rsidRDefault="00D45942" w:rsidP="00682CE5">
      <w:pPr>
        <w:pStyle w:val="ListParagraph"/>
        <w:autoSpaceDE w:val="0"/>
        <w:autoSpaceDN w:val="0"/>
        <w:adjustRightInd w:val="0"/>
        <w:ind w:left="142"/>
        <w:jc w:val="both"/>
        <w:rPr>
          <w:lang w:val="en-GB"/>
        </w:rPr>
      </w:pPr>
    </w:p>
    <w:p w14:paraId="4B4F05F2" w14:textId="77777777" w:rsidR="00431BF0" w:rsidRDefault="00C172BF" w:rsidP="00682CE5">
      <w:pPr>
        <w:pStyle w:val="ListParagraph"/>
        <w:numPr>
          <w:ilvl w:val="0"/>
          <w:numId w:val="10"/>
        </w:numPr>
        <w:autoSpaceDE w:val="0"/>
        <w:autoSpaceDN w:val="0"/>
        <w:adjustRightInd w:val="0"/>
        <w:ind w:left="142" w:hanging="142"/>
        <w:jc w:val="both"/>
        <w:rPr>
          <w:lang w:val="en-GB"/>
        </w:rPr>
      </w:pPr>
      <w:r>
        <w:rPr>
          <w:lang w:val="en-GB"/>
        </w:rPr>
        <w:t xml:space="preserve">The applicants rely on affidavits from their legal representative. The essence of both affidavits is the same. The </w:t>
      </w:r>
      <w:r w:rsidR="00542080">
        <w:rPr>
          <w:lang w:val="en-GB"/>
        </w:rPr>
        <w:t>applications are premised on s 27 of the Superior Courts Act, 2013 (‘the Act’)</w:t>
      </w:r>
      <w:r w:rsidR="00431BF0">
        <w:rPr>
          <w:lang w:val="en-GB"/>
        </w:rPr>
        <w:t>:</w:t>
      </w:r>
      <w:r w:rsidR="00542080">
        <w:rPr>
          <w:rStyle w:val="FootnoteReference"/>
          <w:lang w:val="en-GB"/>
        </w:rPr>
        <w:footnoteReference w:id="1"/>
      </w:r>
    </w:p>
    <w:p w14:paraId="7D634519" w14:textId="7DD46565" w:rsidR="004B7E82" w:rsidRPr="00431BF0" w:rsidRDefault="00431BF0" w:rsidP="00431BF0">
      <w:pPr>
        <w:autoSpaceDE w:val="0"/>
        <w:autoSpaceDN w:val="0"/>
        <w:adjustRightInd w:val="0"/>
        <w:ind w:left="142"/>
        <w:jc w:val="both"/>
        <w:rPr>
          <w:b/>
          <w:bCs/>
          <w:sz w:val="22"/>
          <w:szCs w:val="22"/>
          <w:lang w:val="en-GB"/>
        </w:rPr>
      </w:pPr>
      <w:r w:rsidRPr="00431BF0">
        <w:rPr>
          <w:sz w:val="22"/>
          <w:szCs w:val="22"/>
          <w:lang w:val="en-GB"/>
        </w:rPr>
        <w:t>‘</w:t>
      </w:r>
      <w:r w:rsidRPr="00431BF0">
        <w:rPr>
          <w:b/>
          <w:bCs/>
          <w:sz w:val="22"/>
          <w:szCs w:val="22"/>
          <w:lang w:val="en-GB"/>
        </w:rPr>
        <w:t>Removal of proceedings from one Division to another or from one seat to another in same Division</w:t>
      </w:r>
    </w:p>
    <w:p w14:paraId="5842DF35" w14:textId="552FCBB1" w:rsidR="00431BF0" w:rsidRPr="00431BF0" w:rsidRDefault="00431BF0" w:rsidP="00431BF0">
      <w:pPr>
        <w:pStyle w:val="ListParagraph"/>
        <w:numPr>
          <w:ilvl w:val="0"/>
          <w:numId w:val="11"/>
        </w:numPr>
        <w:autoSpaceDE w:val="0"/>
        <w:autoSpaceDN w:val="0"/>
        <w:adjustRightInd w:val="0"/>
        <w:jc w:val="both"/>
        <w:rPr>
          <w:sz w:val="22"/>
          <w:szCs w:val="22"/>
          <w:lang w:val="en-GB"/>
        </w:rPr>
      </w:pPr>
      <w:r w:rsidRPr="00431BF0">
        <w:rPr>
          <w:sz w:val="22"/>
          <w:szCs w:val="22"/>
          <w:lang w:val="en-GB"/>
        </w:rPr>
        <w:t xml:space="preserve">If any proceedings have been instituted in a Division or at a seat of a Division, and it appears to the court that such proceedings – </w:t>
      </w:r>
    </w:p>
    <w:p w14:paraId="7170B528" w14:textId="77777777" w:rsidR="00431BF0" w:rsidRPr="00431BF0" w:rsidRDefault="00431BF0" w:rsidP="00431BF0">
      <w:pPr>
        <w:pStyle w:val="ListParagraph"/>
        <w:numPr>
          <w:ilvl w:val="0"/>
          <w:numId w:val="12"/>
        </w:numPr>
        <w:autoSpaceDE w:val="0"/>
        <w:autoSpaceDN w:val="0"/>
        <w:adjustRightInd w:val="0"/>
        <w:jc w:val="both"/>
        <w:rPr>
          <w:sz w:val="22"/>
          <w:szCs w:val="22"/>
          <w:lang w:val="en-GB"/>
        </w:rPr>
      </w:pPr>
      <w:r w:rsidRPr="00431BF0">
        <w:rPr>
          <w:sz w:val="22"/>
          <w:szCs w:val="22"/>
          <w:lang w:val="en-GB"/>
        </w:rPr>
        <w:t>should have been instituted in another Division or at another seat of that Division; or</w:t>
      </w:r>
    </w:p>
    <w:p w14:paraId="55B2CE1F" w14:textId="77777777" w:rsidR="00431BF0" w:rsidRPr="00431BF0" w:rsidRDefault="00431BF0" w:rsidP="00431BF0">
      <w:pPr>
        <w:pStyle w:val="ListParagraph"/>
        <w:numPr>
          <w:ilvl w:val="0"/>
          <w:numId w:val="12"/>
        </w:numPr>
        <w:autoSpaceDE w:val="0"/>
        <w:autoSpaceDN w:val="0"/>
        <w:adjustRightInd w:val="0"/>
        <w:jc w:val="both"/>
        <w:rPr>
          <w:sz w:val="22"/>
          <w:szCs w:val="22"/>
          <w:lang w:val="en-GB"/>
        </w:rPr>
      </w:pPr>
      <w:r w:rsidRPr="00431BF0">
        <w:rPr>
          <w:sz w:val="22"/>
          <w:szCs w:val="22"/>
          <w:lang w:val="en-GB"/>
        </w:rPr>
        <w:t xml:space="preserve">would be more conveniently or more appropriately heard or determined – </w:t>
      </w:r>
    </w:p>
    <w:p w14:paraId="60185497" w14:textId="46583BCF" w:rsidR="00431BF0" w:rsidRPr="00431BF0" w:rsidRDefault="00431BF0" w:rsidP="00431BF0">
      <w:pPr>
        <w:pStyle w:val="ListParagraph"/>
        <w:numPr>
          <w:ilvl w:val="0"/>
          <w:numId w:val="13"/>
        </w:numPr>
        <w:autoSpaceDE w:val="0"/>
        <w:autoSpaceDN w:val="0"/>
        <w:adjustRightInd w:val="0"/>
        <w:jc w:val="both"/>
        <w:rPr>
          <w:i/>
          <w:iCs/>
          <w:sz w:val="22"/>
          <w:szCs w:val="22"/>
          <w:lang w:val="en-GB"/>
        </w:rPr>
      </w:pPr>
      <w:r w:rsidRPr="00431BF0">
        <w:rPr>
          <w:sz w:val="22"/>
          <w:szCs w:val="22"/>
          <w:lang w:val="en-GB"/>
        </w:rPr>
        <w:t>at another seat of that Division; or</w:t>
      </w:r>
    </w:p>
    <w:p w14:paraId="61C1E26D" w14:textId="552B3BED" w:rsidR="00431BF0" w:rsidRPr="00431BF0" w:rsidRDefault="00431BF0" w:rsidP="00431BF0">
      <w:pPr>
        <w:pStyle w:val="ListParagraph"/>
        <w:numPr>
          <w:ilvl w:val="0"/>
          <w:numId w:val="13"/>
        </w:numPr>
        <w:autoSpaceDE w:val="0"/>
        <w:autoSpaceDN w:val="0"/>
        <w:adjustRightInd w:val="0"/>
        <w:jc w:val="both"/>
        <w:rPr>
          <w:i/>
          <w:iCs/>
          <w:sz w:val="22"/>
          <w:szCs w:val="22"/>
          <w:lang w:val="en-GB"/>
        </w:rPr>
      </w:pPr>
      <w:r w:rsidRPr="00431BF0">
        <w:rPr>
          <w:sz w:val="22"/>
          <w:szCs w:val="22"/>
          <w:lang w:val="en-GB"/>
        </w:rPr>
        <w:t>by another Division,</w:t>
      </w:r>
    </w:p>
    <w:p w14:paraId="76A6E6A2" w14:textId="37A2E022" w:rsidR="00431BF0" w:rsidRPr="00431BF0" w:rsidRDefault="00431BF0" w:rsidP="00431BF0">
      <w:pPr>
        <w:autoSpaceDE w:val="0"/>
        <w:autoSpaceDN w:val="0"/>
        <w:adjustRightInd w:val="0"/>
        <w:ind w:left="567"/>
        <w:jc w:val="both"/>
        <w:rPr>
          <w:sz w:val="22"/>
          <w:szCs w:val="22"/>
          <w:lang w:val="en-GB"/>
        </w:rPr>
      </w:pPr>
      <w:r w:rsidRPr="00431BF0">
        <w:rPr>
          <w:sz w:val="22"/>
          <w:szCs w:val="22"/>
          <w:lang w:val="en-GB"/>
        </w:rPr>
        <w:t>that court may, upon application by any party thereto and after hearing all other parties thereto, order such proceedings to be removed to that other Division or seat, as the case may be.’</w:t>
      </w:r>
    </w:p>
    <w:p w14:paraId="4CD9AA23" w14:textId="08BAB592" w:rsidR="00E57C72" w:rsidRPr="00431BF0" w:rsidRDefault="00431BF0" w:rsidP="00431BF0">
      <w:pPr>
        <w:jc w:val="both"/>
        <w:rPr>
          <w:lang w:val="en-GB"/>
        </w:rPr>
      </w:pPr>
      <w:r>
        <w:rPr>
          <w:lang w:val="en-GB"/>
        </w:rPr>
        <w:tab/>
      </w:r>
    </w:p>
    <w:p w14:paraId="48EF6EC8" w14:textId="147B5FDC" w:rsidR="00E57C72" w:rsidRPr="00044B50" w:rsidRDefault="00144ADB" w:rsidP="00682CE5">
      <w:pPr>
        <w:pStyle w:val="ListParagraph"/>
        <w:numPr>
          <w:ilvl w:val="0"/>
          <w:numId w:val="10"/>
        </w:numPr>
        <w:autoSpaceDE w:val="0"/>
        <w:autoSpaceDN w:val="0"/>
        <w:adjustRightInd w:val="0"/>
        <w:ind w:left="142" w:hanging="142"/>
        <w:jc w:val="both"/>
        <w:rPr>
          <w:lang w:val="en-GB"/>
        </w:rPr>
      </w:pPr>
      <w:r>
        <w:rPr>
          <w:lang w:val="en-GB"/>
        </w:rPr>
        <w:t xml:space="preserve">The main actions were instituted in this court because of the location of the respective motor vehicle collisions. The actions could not have been instituted in the East London Circuit </w:t>
      </w:r>
      <w:r w:rsidR="007D69F4">
        <w:rPr>
          <w:lang w:val="en-GB"/>
        </w:rPr>
        <w:t>Court</w:t>
      </w:r>
      <w:r>
        <w:rPr>
          <w:lang w:val="en-GB"/>
        </w:rPr>
        <w:t xml:space="preserve">, which lacks the requisite jurisdiction. </w:t>
      </w:r>
      <w:r w:rsidR="008B1D88">
        <w:rPr>
          <w:lang w:val="en-GB"/>
        </w:rPr>
        <w:t xml:space="preserve">The basis for the applications is the </w:t>
      </w:r>
      <w:r w:rsidR="0068325A">
        <w:rPr>
          <w:lang w:val="en-GB"/>
        </w:rPr>
        <w:t>place of business</w:t>
      </w:r>
      <w:r w:rsidR="008B1D88">
        <w:rPr>
          <w:lang w:val="en-GB"/>
        </w:rPr>
        <w:t xml:space="preserve"> of the applicants’ legal representatives</w:t>
      </w:r>
      <w:r w:rsidR="0068325A">
        <w:rPr>
          <w:lang w:val="en-GB"/>
        </w:rPr>
        <w:t xml:space="preserve"> (East London)</w:t>
      </w:r>
      <w:r w:rsidR="0032209D">
        <w:rPr>
          <w:lang w:val="en-GB"/>
        </w:rPr>
        <w:t xml:space="preserve">, </w:t>
      </w:r>
      <w:r w:rsidR="0068325A">
        <w:rPr>
          <w:lang w:val="en-GB"/>
        </w:rPr>
        <w:t>the extra costs necessitated by the appointment of correspondents in Makhanda</w:t>
      </w:r>
      <w:r w:rsidR="000070EE">
        <w:rPr>
          <w:lang w:val="en-GB"/>
        </w:rPr>
        <w:t xml:space="preserve"> and the need for the applicants’ legal practitioner to travel and be accommodated here.</w:t>
      </w:r>
      <w:r w:rsidR="00F941DA">
        <w:rPr>
          <w:lang w:val="en-GB"/>
        </w:rPr>
        <w:t xml:space="preserve"> The deponent also avers that costs will be saved by the filing of documentation in East London rather than by incurring postage costs</w:t>
      </w:r>
      <w:r w:rsidR="00E36F37">
        <w:rPr>
          <w:lang w:val="en-GB"/>
        </w:rPr>
        <w:t xml:space="preserve"> to Makhanda</w:t>
      </w:r>
      <w:r w:rsidR="0032209D">
        <w:rPr>
          <w:lang w:val="en-GB"/>
        </w:rPr>
        <w:t>.</w:t>
      </w:r>
      <w:r w:rsidR="008210EC">
        <w:rPr>
          <w:lang w:val="en-GB"/>
        </w:rPr>
        <w:t xml:space="preserve"> In addition, the respondent’s head office is in East London</w:t>
      </w:r>
      <w:r w:rsidR="00A962CC">
        <w:rPr>
          <w:lang w:val="en-GB"/>
        </w:rPr>
        <w:t>, and the applicants’ orthopaedic surgeon is located there.</w:t>
      </w:r>
      <w:r w:rsidR="00CD29EF">
        <w:rPr>
          <w:lang w:val="en-GB"/>
        </w:rPr>
        <w:t xml:space="preserve"> In essence, it was submitted that it </w:t>
      </w:r>
      <w:r w:rsidR="00CD29EF">
        <w:rPr>
          <w:lang w:val="en-GB"/>
        </w:rPr>
        <w:lastRenderedPageBreak/>
        <w:t xml:space="preserve">would be convenient and cost-efficient to remove the </w:t>
      </w:r>
      <w:r w:rsidR="00BD06C8">
        <w:rPr>
          <w:lang w:val="en-GB"/>
        </w:rPr>
        <w:t xml:space="preserve">main </w:t>
      </w:r>
      <w:r w:rsidR="00CD29EF">
        <w:rPr>
          <w:lang w:val="en-GB"/>
        </w:rPr>
        <w:t>proceedings from this court to the East London Circuit Court.</w:t>
      </w:r>
    </w:p>
    <w:p w14:paraId="3225DD1D" w14:textId="6F3974AE" w:rsidR="008C480D" w:rsidRPr="00D30CEE" w:rsidRDefault="008C480D" w:rsidP="00D30CEE">
      <w:pPr>
        <w:autoSpaceDE w:val="0"/>
        <w:autoSpaceDN w:val="0"/>
        <w:adjustRightInd w:val="0"/>
        <w:jc w:val="both"/>
        <w:rPr>
          <w:lang w:val="en-GB"/>
        </w:rPr>
      </w:pPr>
    </w:p>
    <w:p w14:paraId="38E7DD69" w14:textId="5DB7CD6B" w:rsidR="008C480D" w:rsidRDefault="000A6533" w:rsidP="00AF6DF0">
      <w:pPr>
        <w:pStyle w:val="ListParagraph"/>
        <w:numPr>
          <w:ilvl w:val="0"/>
          <w:numId w:val="10"/>
        </w:numPr>
        <w:autoSpaceDE w:val="0"/>
        <w:autoSpaceDN w:val="0"/>
        <w:adjustRightInd w:val="0"/>
        <w:ind w:left="142" w:hanging="142"/>
        <w:jc w:val="both"/>
        <w:rPr>
          <w:lang w:val="en-GB"/>
        </w:rPr>
      </w:pPr>
      <w:r>
        <w:rPr>
          <w:lang w:val="en-GB"/>
        </w:rPr>
        <w:t xml:space="preserve">I </w:t>
      </w:r>
      <w:r w:rsidR="002800AB">
        <w:rPr>
          <w:lang w:val="en-GB"/>
        </w:rPr>
        <w:t xml:space="preserve">have previously considered identical arguments in a matter argued before me during November 2021. As in that instance, </w:t>
      </w:r>
      <w:r w:rsidR="007A5853">
        <w:rPr>
          <w:lang w:val="en-GB"/>
        </w:rPr>
        <w:t xml:space="preserve">I </w:t>
      </w:r>
      <w:r>
        <w:rPr>
          <w:lang w:val="en-GB"/>
        </w:rPr>
        <w:t>find myself unable to agree</w:t>
      </w:r>
      <w:r w:rsidR="007A5853">
        <w:rPr>
          <w:lang w:val="en-GB"/>
        </w:rPr>
        <w:t xml:space="preserve"> with counsel’s submissions and the applications stand to be dismissed</w:t>
      </w:r>
      <w:r w:rsidR="00AF34BC">
        <w:rPr>
          <w:lang w:val="en-GB"/>
        </w:rPr>
        <w:t xml:space="preserve"> in my view</w:t>
      </w:r>
      <w:r>
        <w:rPr>
          <w:lang w:val="en-GB"/>
        </w:rPr>
        <w:t>.</w:t>
      </w:r>
      <w:r w:rsidR="007A5853">
        <w:rPr>
          <w:lang w:val="en-GB"/>
        </w:rPr>
        <w:t xml:space="preserve"> </w:t>
      </w:r>
      <w:r w:rsidR="006954B0">
        <w:rPr>
          <w:lang w:val="en-GB"/>
        </w:rPr>
        <w:t xml:space="preserve">I suggested to counsel that it might be appropriate for me to provide written reasons for my decision on this occasion, also to ensure that counsel moving similar applications in future can at least bring this </w:t>
      </w:r>
      <w:r w:rsidR="00771798">
        <w:rPr>
          <w:lang w:val="en-GB"/>
        </w:rPr>
        <w:t xml:space="preserve">line of </w:t>
      </w:r>
      <w:r w:rsidR="006954B0">
        <w:rPr>
          <w:lang w:val="en-GB"/>
        </w:rPr>
        <w:t xml:space="preserve">reasoning to the attention of presiding officers. I understand that orders granting </w:t>
      </w:r>
      <w:r w:rsidR="00EA52B9">
        <w:rPr>
          <w:lang w:val="en-GB"/>
        </w:rPr>
        <w:t>similar relief</w:t>
      </w:r>
      <w:r w:rsidR="006954B0">
        <w:rPr>
          <w:lang w:val="en-GB"/>
        </w:rPr>
        <w:t xml:space="preserve"> </w:t>
      </w:r>
      <w:r w:rsidR="00EA52B9">
        <w:rPr>
          <w:lang w:val="en-GB"/>
        </w:rPr>
        <w:t xml:space="preserve">may </w:t>
      </w:r>
      <w:r w:rsidR="006954B0">
        <w:rPr>
          <w:lang w:val="en-GB"/>
        </w:rPr>
        <w:t xml:space="preserve">have been granted on occasion </w:t>
      </w:r>
      <w:r w:rsidR="00EA52B9">
        <w:rPr>
          <w:lang w:val="en-GB"/>
        </w:rPr>
        <w:t xml:space="preserve">in the past </w:t>
      </w:r>
      <w:r w:rsidR="006954B0">
        <w:rPr>
          <w:lang w:val="en-GB"/>
        </w:rPr>
        <w:t>and consider it important that the position is clarified.</w:t>
      </w:r>
      <w:r w:rsidR="003E3745">
        <w:rPr>
          <w:lang w:val="en-GB"/>
        </w:rPr>
        <w:t xml:space="preserve"> The reasons for my approach follow.</w:t>
      </w:r>
    </w:p>
    <w:p w14:paraId="676BECC7" w14:textId="77777777" w:rsidR="008040D8" w:rsidRPr="008040D8" w:rsidRDefault="008040D8" w:rsidP="008040D8">
      <w:pPr>
        <w:pStyle w:val="ListParagraph"/>
        <w:rPr>
          <w:lang w:val="en-GB"/>
        </w:rPr>
      </w:pPr>
    </w:p>
    <w:p w14:paraId="63B30FA4" w14:textId="5D344121" w:rsidR="008040D8" w:rsidRDefault="00A45E1D" w:rsidP="00AF6DF0">
      <w:pPr>
        <w:pStyle w:val="ListParagraph"/>
        <w:numPr>
          <w:ilvl w:val="0"/>
          <w:numId w:val="10"/>
        </w:numPr>
        <w:autoSpaceDE w:val="0"/>
        <w:autoSpaceDN w:val="0"/>
        <w:adjustRightInd w:val="0"/>
        <w:ind w:left="142" w:hanging="142"/>
        <w:jc w:val="both"/>
        <w:rPr>
          <w:lang w:val="en-GB"/>
        </w:rPr>
      </w:pPr>
      <w:r>
        <w:rPr>
          <w:lang w:val="en-GB"/>
        </w:rPr>
        <w:t xml:space="preserve">The Constitution of the Republic of South Africa, 1996, </w:t>
      </w:r>
      <w:r w:rsidR="00D803DC">
        <w:rPr>
          <w:lang w:val="en-GB"/>
        </w:rPr>
        <w:t xml:space="preserve">(‘the Constitution’) </w:t>
      </w:r>
      <w:r>
        <w:rPr>
          <w:lang w:val="en-GB"/>
        </w:rPr>
        <w:t>was amended in 2012 to constitute a single High Court in South Africa.</w:t>
      </w:r>
      <w:r w:rsidR="00D803DC">
        <w:rPr>
          <w:rStyle w:val="FootnoteReference"/>
          <w:lang w:val="en-GB"/>
        </w:rPr>
        <w:footnoteReference w:id="2"/>
      </w:r>
      <w:r>
        <w:rPr>
          <w:lang w:val="en-GB"/>
        </w:rPr>
        <w:t xml:space="preserve"> The Act</w:t>
      </w:r>
      <w:r w:rsidR="00852315">
        <w:rPr>
          <w:lang w:val="en-GB"/>
        </w:rPr>
        <w:t xml:space="preserve">, following suit, </w:t>
      </w:r>
      <w:r>
        <w:rPr>
          <w:lang w:val="en-GB"/>
        </w:rPr>
        <w:t>abolished local divisions and constituted the High Court in its present divisions,</w:t>
      </w:r>
      <w:r w:rsidR="00CD0B86">
        <w:rPr>
          <w:rStyle w:val="FootnoteReference"/>
          <w:lang w:val="en-GB"/>
        </w:rPr>
        <w:footnoteReference w:id="3"/>
      </w:r>
      <w:r>
        <w:rPr>
          <w:lang w:val="en-GB"/>
        </w:rPr>
        <w:t xml:space="preserve"> corresponding to the nine provinces, with main seats in each division </w:t>
      </w:r>
      <w:r w:rsidR="0023160A">
        <w:rPr>
          <w:lang w:val="en-GB"/>
        </w:rPr>
        <w:t>and</w:t>
      </w:r>
      <w:r>
        <w:rPr>
          <w:lang w:val="en-GB"/>
        </w:rPr>
        <w:t xml:space="preserve"> some local seats.</w:t>
      </w:r>
      <w:r w:rsidR="00E81547">
        <w:rPr>
          <w:rStyle w:val="FootnoteReference"/>
          <w:lang w:val="en-GB"/>
        </w:rPr>
        <w:footnoteReference w:id="4"/>
      </w:r>
      <w:r w:rsidR="008E265A">
        <w:rPr>
          <w:lang w:val="en-GB"/>
        </w:rPr>
        <w:t xml:space="preserve"> </w:t>
      </w:r>
      <w:r w:rsidR="00807B87">
        <w:rPr>
          <w:lang w:val="en-GB"/>
        </w:rPr>
        <w:t>The main seat of the Eastern Cape Division is Grahamstown.</w:t>
      </w:r>
      <w:r w:rsidR="00807B87">
        <w:rPr>
          <w:rStyle w:val="FootnoteReference"/>
          <w:lang w:val="en-GB"/>
        </w:rPr>
        <w:footnoteReference w:id="5"/>
      </w:r>
      <w:r w:rsidR="00807B87">
        <w:rPr>
          <w:lang w:val="en-GB"/>
        </w:rPr>
        <w:t xml:space="preserve"> </w:t>
      </w:r>
      <w:r w:rsidR="008E265A">
        <w:rPr>
          <w:lang w:val="en-GB"/>
        </w:rPr>
        <w:t>Erstwhile local divisions (the South-Eastern Cape Local Division, the Witwatersrand Local Division and the Durban and Coast Local Division, with their seats in Port Elizabeth,</w:t>
      </w:r>
      <w:r w:rsidR="008E265A">
        <w:rPr>
          <w:rStyle w:val="FootnoteReference"/>
          <w:lang w:val="en-GB"/>
        </w:rPr>
        <w:footnoteReference w:id="6"/>
      </w:r>
      <w:r w:rsidR="008E265A">
        <w:rPr>
          <w:lang w:val="en-GB"/>
        </w:rPr>
        <w:t xml:space="preserve"> Johannesburg and Durban, respectively)</w:t>
      </w:r>
      <w:r w:rsidR="0016439B">
        <w:rPr>
          <w:lang w:val="en-GB"/>
        </w:rPr>
        <w:t xml:space="preserve"> were separately constituted as High Courts prior to the Act establishing a single High Court for South Africa. Following the abolition of local divisions, </w:t>
      </w:r>
      <w:r w:rsidR="00995D6D">
        <w:rPr>
          <w:lang w:val="en-GB"/>
        </w:rPr>
        <w:t>those courts</w:t>
      </w:r>
      <w:r w:rsidR="0016439B">
        <w:rPr>
          <w:lang w:val="en-GB"/>
        </w:rPr>
        <w:t xml:space="preserve">, and those in Mthatha, Bhisho and Thohoyandou, are now </w:t>
      </w:r>
      <w:r w:rsidR="00904E2E">
        <w:rPr>
          <w:lang w:val="en-GB"/>
        </w:rPr>
        <w:t>‘</w:t>
      </w:r>
      <w:r w:rsidR="0016439B">
        <w:rPr>
          <w:lang w:val="en-GB"/>
        </w:rPr>
        <w:t>local seats</w:t>
      </w:r>
      <w:r w:rsidR="00904E2E">
        <w:rPr>
          <w:lang w:val="en-GB"/>
        </w:rPr>
        <w:t>’</w:t>
      </w:r>
      <w:r w:rsidR="0016439B">
        <w:rPr>
          <w:lang w:val="en-GB"/>
        </w:rPr>
        <w:t xml:space="preserve"> of the provincial divisions.</w:t>
      </w:r>
      <w:r w:rsidR="00C6798D">
        <w:rPr>
          <w:rStyle w:val="FootnoteReference"/>
          <w:lang w:val="en-GB"/>
        </w:rPr>
        <w:footnoteReference w:id="7"/>
      </w:r>
      <w:r w:rsidR="0016439B">
        <w:rPr>
          <w:lang w:val="en-GB"/>
        </w:rPr>
        <w:t xml:space="preserve"> As the SCA held in </w:t>
      </w:r>
      <w:r w:rsidR="0016439B">
        <w:rPr>
          <w:i/>
          <w:iCs/>
          <w:lang w:val="en-GB"/>
        </w:rPr>
        <w:t>Murray NO and others v African Global Holdings (Pty) Ltd and others</w:t>
      </w:r>
      <w:r w:rsidR="0016439B">
        <w:rPr>
          <w:lang w:val="en-GB"/>
        </w:rPr>
        <w:t xml:space="preserve">, ‘They are not </w:t>
      </w:r>
      <w:r w:rsidR="0016439B">
        <w:rPr>
          <w:lang w:val="en-GB"/>
        </w:rPr>
        <w:lastRenderedPageBreak/>
        <w:t>separate courts and it is no longer appropriate to refer to them as such or to describe them as local divisions’.</w:t>
      </w:r>
      <w:r w:rsidR="0016614F">
        <w:rPr>
          <w:rStyle w:val="FootnoteReference"/>
          <w:lang w:val="en-GB"/>
        </w:rPr>
        <w:footnoteReference w:id="8"/>
      </w:r>
    </w:p>
    <w:p w14:paraId="26B94C21" w14:textId="77777777" w:rsidR="00807B87" w:rsidRPr="00807B87" w:rsidRDefault="00807B87" w:rsidP="00807B87">
      <w:pPr>
        <w:pStyle w:val="ListParagraph"/>
        <w:rPr>
          <w:lang w:val="en-GB"/>
        </w:rPr>
      </w:pPr>
    </w:p>
    <w:p w14:paraId="4BD4331A" w14:textId="62182BD3" w:rsidR="00807B87" w:rsidRDefault="00807B87" w:rsidP="00AF6DF0">
      <w:pPr>
        <w:pStyle w:val="ListParagraph"/>
        <w:numPr>
          <w:ilvl w:val="0"/>
          <w:numId w:val="10"/>
        </w:numPr>
        <w:autoSpaceDE w:val="0"/>
        <w:autoSpaceDN w:val="0"/>
        <w:adjustRightInd w:val="0"/>
        <w:ind w:left="142" w:hanging="142"/>
        <w:jc w:val="both"/>
        <w:rPr>
          <w:lang w:val="en-GB"/>
        </w:rPr>
      </w:pPr>
      <w:r>
        <w:rPr>
          <w:lang w:val="en-GB"/>
        </w:rPr>
        <w:t>It is the responsibility of the Minister of Justice and Correctional Services</w:t>
      </w:r>
      <w:r w:rsidR="00C01C96">
        <w:rPr>
          <w:lang w:val="en-GB"/>
        </w:rPr>
        <w:t xml:space="preserve"> (‘the Minister’)</w:t>
      </w:r>
      <w:r>
        <w:rPr>
          <w:lang w:val="en-GB"/>
        </w:rPr>
        <w:t>, after consultation with the Judicial Service Commission</w:t>
      </w:r>
      <w:r w:rsidR="00B8423C">
        <w:rPr>
          <w:lang w:val="en-GB"/>
        </w:rPr>
        <w:t xml:space="preserve"> (‘JSC’)</w:t>
      </w:r>
      <w:r>
        <w:rPr>
          <w:lang w:val="en-GB"/>
        </w:rPr>
        <w:t xml:space="preserve">, to </w:t>
      </w:r>
      <w:r w:rsidR="00964AF3">
        <w:rPr>
          <w:lang w:val="en-GB"/>
        </w:rPr>
        <w:t xml:space="preserve">determine </w:t>
      </w:r>
      <w:r w:rsidR="00964D22">
        <w:rPr>
          <w:lang w:val="en-GB"/>
        </w:rPr>
        <w:t xml:space="preserve">the area under the jurisdiction of a </w:t>
      </w:r>
      <w:r w:rsidR="00D75BEA">
        <w:rPr>
          <w:lang w:val="en-GB"/>
        </w:rPr>
        <w:t>d</w:t>
      </w:r>
      <w:r w:rsidR="00964D22">
        <w:rPr>
          <w:lang w:val="en-GB"/>
        </w:rPr>
        <w:t>ivision by notice in the Government Gazette.</w:t>
      </w:r>
      <w:r w:rsidR="00964D22">
        <w:rPr>
          <w:rStyle w:val="FootnoteReference"/>
          <w:lang w:val="en-GB"/>
        </w:rPr>
        <w:footnoteReference w:id="9"/>
      </w:r>
      <w:r w:rsidR="00E247ED">
        <w:rPr>
          <w:lang w:val="en-GB"/>
        </w:rPr>
        <w:t xml:space="preserve"> Importantly, the Minister may, after consultation with the Judicial Service Commission, by notice in the Gazette establish ‘one or more local seats for a Division, in addition to the main seats … and determine the area under the jurisdiction of such a local seat …’</w:t>
      </w:r>
      <w:r w:rsidR="0051487F">
        <w:rPr>
          <w:rStyle w:val="FootnoteReference"/>
          <w:lang w:val="en-GB"/>
        </w:rPr>
        <w:footnoteReference w:id="10"/>
      </w:r>
    </w:p>
    <w:p w14:paraId="2D8DF4EF" w14:textId="77777777" w:rsidR="00D97D9D" w:rsidRPr="00D97D9D" w:rsidRDefault="00D97D9D" w:rsidP="00D97D9D">
      <w:pPr>
        <w:pStyle w:val="ListParagraph"/>
        <w:rPr>
          <w:lang w:val="en-GB"/>
        </w:rPr>
      </w:pPr>
    </w:p>
    <w:p w14:paraId="0DF93C60" w14:textId="3D37D742" w:rsidR="00D97D9D" w:rsidRDefault="00D97D9D" w:rsidP="00AF6DF0">
      <w:pPr>
        <w:pStyle w:val="ListParagraph"/>
        <w:numPr>
          <w:ilvl w:val="0"/>
          <w:numId w:val="10"/>
        </w:numPr>
        <w:autoSpaceDE w:val="0"/>
        <w:autoSpaceDN w:val="0"/>
        <w:adjustRightInd w:val="0"/>
        <w:ind w:left="142" w:hanging="142"/>
        <w:jc w:val="both"/>
        <w:rPr>
          <w:lang w:val="en-GB"/>
        </w:rPr>
      </w:pPr>
      <w:r>
        <w:rPr>
          <w:lang w:val="en-GB"/>
        </w:rPr>
        <w:t xml:space="preserve">A Judge President of a </w:t>
      </w:r>
      <w:r w:rsidR="00393348">
        <w:rPr>
          <w:lang w:val="en-GB"/>
        </w:rPr>
        <w:t>d</w:t>
      </w:r>
      <w:r>
        <w:rPr>
          <w:lang w:val="en-GB"/>
        </w:rPr>
        <w:t xml:space="preserve">ivision may, after consultation with the Minister, hold a sitting for the hearing of any matter at a place other than at the seat or a local seat of the </w:t>
      </w:r>
      <w:r w:rsidR="00393348">
        <w:rPr>
          <w:lang w:val="en-GB"/>
        </w:rPr>
        <w:t>d</w:t>
      </w:r>
      <w:r>
        <w:rPr>
          <w:lang w:val="en-GB"/>
        </w:rPr>
        <w:t>ivision when it is expedient or in the interests of justice to do so.</w:t>
      </w:r>
      <w:r>
        <w:rPr>
          <w:rStyle w:val="FootnoteReference"/>
          <w:lang w:val="en-GB"/>
        </w:rPr>
        <w:footnoteReference w:id="11"/>
      </w:r>
      <w:r w:rsidR="00103770">
        <w:rPr>
          <w:lang w:val="en-GB"/>
        </w:rPr>
        <w:t xml:space="preserve"> The Judge President may also establish a ‘circuit court of the Division’</w:t>
      </w:r>
      <w:r w:rsidR="00665B33">
        <w:rPr>
          <w:lang w:val="en-GB"/>
        </w:rPr>
        <w:t>,</w:t>
      </w:r>
      <w:r w:rsidR="00103770">
        <w:rPr>
          <w:rStyle w:val="FootnoteReference"/>
          <w:lang w:val="en-GB"/>
        </w:rPr>
        <w:footnoteReference w:id="12"/>
      </w:r>
      <w:r w:rsidR="00665B33">
        <w:rPr>
          <w:lang w:val="en-GB"/>
        </w:rPr>
        <w:t xml:space="preserve"> by establishing circuit districts for the adjudication of civil and criminal matters by notice in the Gazette.</w:t>
      </w:r>
      <w:r w:rsidR="00115835">
        <w:rPr>
          <w:rStyle w:val="FootnoteReference"/>
          <w:lang w:val="en-GB"/>
        </w:rPr>
        <w:footnoteReference w:id="13"/>
      </w:r>
      <w:r w:rsidR="00C01555">
        <w:rPr>
          <w:lang w:val="en-GB"/>
        </w:rPr>
        <w:t xml:space="preserve"> </w:t>
      </w:r>
    </w:p>
    <w:p w14:paraId="15687A4D" w14:textId="77777777" w:rsidR="007A2EA6" w:rsidRPr="007A2EA6" w:rsidRDefault="007A2EA6" w:rsidP="007A2EA6">
      <w:pPr>
        <w:pStyle w:val="ListParagraph"/>
        <w:rPr>
          <w:lang w:val="en-GB"/>
        </w:rPr>
      </w:pPr>
    </w:p>
    <w:p w14:paraId="2BA93524" w14:textId="24A88F46" w:rsidR="007A2EA6" w:rsidRDefault="007A2EA6" w:rsidP="00AF6DF0">
      <w:pPr>
        <w:pStyle w:val="ListParagraph"/>
        <w:numPr>
          <w:ilvl w:val="0"/>
          <w:numId w:val="10"/>
        </w:numPr>
        <w:autoSpaceDE w:val="0"/>
        <w:autoSpaceDN w:val="0"/>
        <w:adjustRightInd w:val="0"/>
        <w:ind w:left="142" w:hanging="142"/>
        <w:jc w:val="both"/>
        <w:rPr>
          <w:lang w:val="en-GB"/>
        </w:rPr>
      </w:pPr>
      <w:r>
        <w:rPr>
          <w:lang w:val="en-GB"/>
        </w:rPr>
        <w:t>S 7(3) of the now repealed Supreme Court Act, 1959</w:t>
      </w:r>
      <w:r>
        <w:rPr>
          <w:rStyle w:val="FootnoteReference"/>
          <w:lang w:val="en-GB"/>
        </w:rPr>
        <w:footnoteReference w:id="14"/>
      </w:r>
      <w:r w:rsidR="000675E7">
        <w:rPr>
          <w:lang w:val="en-GB"/>
        </w:rPr>
        <w:t xml:space="preserve"> provided that such courts were to be known as ‘the circuit local division’ for the district in question. The statute provided specifically that such courts were deemed, for all purposes, to be a local division.</w:t>
      </w:r>
      <w:r w:rsidR="003C77F0">
        <w:rPr>
          <w:lang w:val="en-GB"/>
        </w:rPr>
        <w:t xml:space="preserve"> The East London ‘circuit local division’ was established for the Eastern Cape Division on this basis.</w:t>
      </w:r>
      <w:r w:rsidR="00403408">
        <w:rPr>
          <w:rStyle w:val="FootnoteReference"/>
          <w:lang w:val="en-GB"/>
        </w:rPr>
        <w:footnoteReference w:id="15"/>
      </w:r>
      <w:r w:rsidR="002128FA">
        <w:rPr>
          <w:lang w:val="en-GB"/>
        </w:rPr>
        <w:t xml:space="preserve"> The Circuit Court Rules ‘Regulating the conduct of the proceedings of the several provincial and local divisions of the Supreme Court of South Africa relating to Circuit Courts’</w:t>
      </w:r>
      <w:r w:rsidR="009F5EF2">
        <w:rPr>
          <w:lang w:val="en-GB"/>
        </w:rPr>
        <w:t xml:space="preserve"> were made in terms of s 43(2)</w:t>
      </w:r>
      <w:r w:rsidR="009F5EF2">
        <w:rPr>
          <w:i/>
          <w:iCs/>
          <w:lang w:val="en-GB"/>
        </w:rPr>
        <w:t xml:space="preserve">(a) </w:t>
      </w:r>
      <w:r w:rsidR="009F5EF2">
        <w:rPr>
          <w:lang w:val="en-GB"/>
        </w:rPr>
        <w:t xml:space="preserve">of the now </w:t>
      </w:r>
      <w:r w:rsidR="009F5EF2">
        <w:rPr>
          <w:lang w:val="en-GB"/>
        </w:rPr>
        <w:lastRenderedPageBreak/>
        <w:t>repealed Supreme Court Act, 1959.</w:t>
      </w:r>
      <w:r w:rsidR="008D2940">
        <w:rPr>
          <w:rStyle w:val="FootnoteReference"/>
          <w:lang w:val="en-GB"/>
        </w:rPr>
        <w:footnoteReference w:id="16"/>
      </w:r>
      <w:r w:rsidR="00624758">
        <w:rPr>
          <w:lang w:val="en-GB"/>
        </w:rPr>
        <w:t xml:space="preserve"> ‘Circuit court’ was defined with reference to the now repealed s 7</w:t>
      </w:r>
      <w:r w:rsidR="00482741">
        <w:rPr>
          <w:lang w:val="en-GB"/>
        </w:rPr>
        <w:t xml:space="preserve"> of that Act</w:t>
      </w:r>
      <w:r w:rsidR="006A34F6">
        <w:rPr>
          <w:lang w:val="en-GB"/>
        </w:rPr>
        <w:t>, to be ‘held within the area of jurisdiction of the provincial or local division’.</w:t>
      </w:r>
      <w:r w:rsidR="00B45374">
        <w:rPr>
          <w:lang w:val="en-GB"/>
        </w:rPr>
        <w:t xml:space="preserve"> As indicated, the nomenclature of a ‘local division’ is now inappropriate given the wording of s 166</w:t>
      </w:r>
      <w:r w:rsidR="006E3AEB">
        <w:rPr>
          <w:i/>
          <w:iCs/>
          <w:lang w:val="en-GB"/>
        </w:rPr>
        <w:t>(c)</w:t>
      </w:r>
      <w:r w:rsidR="006E3AEB">
        <w:rPr>
          <w:lang w:val="en-GB"/>
        </w:rPr>
        <w:t xml:space="preserve"> of the Constitution, read with ss 6 and 50 of the Act.</w:t>
      </w:r>
      <w:r w:rsidR="008216BB">
        <w:rPr>
          <w:lang w:val="en-GB"/>
        </w:rPr>
        <w:t xml:space="preserve"> Any circuit court established under any law repealed by the Act and in existence immediately before the commencement of the Act is deemed to have been duly established in terms of the Act ‘as a Circuit Court of the Division concerned’.</w:t>
      </w:r>
      <w:r w:rsidR="006C39FC">
        <w:rPr>
          <w:rStyle w:val="FootnoteReference"/>
          <w:lang w:val="en-GB"/>
        </w:rPr>
        <w:footnoteReference w:id="17"/>
      </w:r>
    </w:p>
    <w:p w14:paraId="245D951F" w14:textId="77777777" w:rsidR="00315DCA" w:rsidRDefault="00315DCA" w:rsidP="00315DCA">
      <w:pPr>
        <w:pStyle w:val="ListParagraph"/>
        <w:autoSpaceDE w:val="0"/>
        <w:autoSpaceDN w:val="0"/>
        <w:adjustRightInd w:val="0"/>
        <w:ind w:left="142"/>
        <w:jc w:val="both"/>
        <w:rPr>
          <w:lang w:val="en-GB"/>
        </w:rPr>
      </w:pPr>
    </w:p>
    <w:p w14:paraId="5DE24E24" w14:textId="6CD6011E" w:rsidR="00315DCA" w:rsidRDefault="00315DCA" w:rsidP="00AF6DF0">
      <w:pPr>
        <w:pStyle w:val="ListParagraph"/>
        <w:numPr>
          <w:ilvl w:val="0"/>
          <w:numId w:val="10"/>
        </w:numPr>
        <w:autoSpaceDE w:val="0"/>
        <w:autoSpaceDN w:val="0"/>
        <w:adjustRightInd w:val="0"/>
        <w:ind w:left="142" w:hanging="142"/>
        <w:jc w:val="both"/>
        <w:rPr>
          <w:lang w:val="en-GB"/>
        </w:rPr>
      </w:pPr>
      <w:r>
        <w:rPr>
          <w:lang w:val="en-GB"/>
        </w:rPr>
        <w:t>It must be accepted that the legislature, in repealing the Supreme Court Act, 1959 and enacting the Act, acted deliberately in crafting the provisos dealing with circuit courts differently</w:t>
      </w:r>
      <w:r w:rsidR="00DB09A5">
        <w:rPr>
          <w:lang w:val="en-GB"/>
        </w:rPr>
        <w:t xml:space="preserve"> than it had done in the past</w:t>
      </w:r>
      <w:r w:rsidR="000E2D55">
        <w:rPr>
          <w:lang w:val="en-GB"/>
        </w:rPr>
        <w:t>. A court held in a circuit district is now called a circuit court of the division in question. More importantly, the deeming provision that resulted in a circuit court for the district being equated to a local division has been repealed. The powers of circuit courts are also affected by other sections of the Act. For example, neither s 7 of the Act, nor any other section thereof, provides for the constitution of a circuit court before more than one judge. It has therefore been submitted that a circuit court cannot hear appeals or any other cases where a quorum of two or more judges is required.</w:t>
      </w:r>
      <w:r w:rsidR="00B92BF6">
        <w:rPr>
          <w:rStyle w:val="FootnoteReference"/>
          <w:lang w:val="en-GB"/>
        </w:rPr>
        <w:footnoteReference w:id="18"/>
      </w:r>
      <w:r w:rsidR="00BD017E">
        <w:rPr>
          <w:lang w:val="en-GB"/>
        </w:rPr>
        <w:t xml:space="preserve"> In the Eastern Cape Division, this is confirmed </w:t>
      </w:r>
      <w:r w:rsidR="00D064B4">
        <w:rPr>
          <w:lang w:val="en-GB"/>
        </w:rPr>
        <w:t xml:space="preserve">explicitly </w:t>
      </w:r>
      <w:r w:rsidR="00BD017E">
        <w:rPr>
          <w:lang w:val="en-GB"/>
        </w:rPr>
        <w:t>by Rule 18</w:t>
      </w:r>
      <w:r w:rsidR="00BD017E">
        <w:rPr>
          <w:i/>
          <w:iCs/>
          <w:lang w:val="en-GB"/>
        </w:rPr>
        <w:t>(c)</w:t>
      </w:r>
      <w:r w:rsidR="00BD017E">
        <w:rPr>
          <w:lang w:val="en-GB"/>
        </w:rPr>
        <w:t xml:space="preserve"> of the Joint Rules of Practice</w:t>
      </w:r>
      <w:r w:rsidR="00D064B4">
        <w:rPr>
          <w:lang w:val="en-GB"/>
        </w:rPr>
        <w:t>.</w:t>
      </w:r>
      <w:r w:rsidR="003B5CB7">
        <w:rPr>
          <w:lang w:val="en-GB"/>
        </w:rPr>
        <w:t xml:space="preserve"> In addition, </w:t>
      </w:r>
      <w:r w:rsidR="00234FA6">
        <w:rPr>
          <w:lang w:val="en-GB"/>
        </w:rPr>
        <w:t xml:space="preserve">these rules provide that no bail appeals or applications for the admission, suspension, striking-off or readmission of a legal practitioner will be heard in a </w:t>
      </w:r>
      <w:r w:rsidR="00390492">
        <w:rPr>
          <w:lang w:val="en-GB"/>
        </w:rPr>
        <w:t>‘circuit local division’ (now to be read as ‘circuit court of the division’).</w:t>
      </w:r>
      <w:r w:rsidR="00A26BE4">
        <w:rPr>
          <w:rStyle w:val="FootnoteReference"/>
          <w:lang w:val="en-GB"/>
        </w:rPr>
        <w:footnoteReference w:id="19"/>
      </w:r>
      <w:r w:rsidR="00321FA2">
        <w:rPr>
          <w:lang w:val="en-GB"/>
        </w:rPr>
        <w:t xml:space="preserve"> There is a distinction between the matters that may be heard by the main seat of the division, the local seats of the division and the circuit courts of the division.</w:t>
      </w:r>
    </w:p>
    <w:p w14:paraId="1B11760A" w14:textId="77777777" w:rsidR="000E2D55" w:rsidRPr="000E2D55" w:rsidRDefault="000E2D55" w:rsidP="000E2D55">
      <w:pPr>
        <w:pStyle w:val="ListParagraph"/>
        <w:rPr>
          <w:lang w:val="en-GB"/>
        </w:rPr>
      </w:pPr>
    </w:p>
    <w:p w14:paraId="1FE7CF89" w14:textId="19832F84" w:rsidR="000E2D55" w:rsidRDefault="00A27A11" w:rsidP="00AF6DF0">
      <w:pPr>
        <w:pStyle w:val="ListParagraph"/>
        <w:numPr>
          <w:ilvl w:val="0"/>
          <w:numId w:val="10"/>
        </w:numPr>
        <w:autoSpaceDE w:val="0"/>
        <w:autoSpaceDN w:val="0"/>
        <w:adjustRightInd w:val="0"/>
        <w:ind w:left="142" w:hanging="142"/>
        <w:jc w:val="both"/>
        <w:rPr>
          <w:lang w:val="en-GB"/>
        </w:rPr>
      </w:pPr>
      <w:r>
        <w:rPr>
          <w:lang w:val="en-GB"/>
        </w:rPr>
        <w:t xml:space="preserve">Section 27 of the Act must be considered against this backdrop. </w:t>
      </w:r>
      <w:r w:rsidR="00857565">
        <w:rPr>
          <w:lang w:val="en-GB"/>
        </w:rPr>
        <w:t xml:space="preserve">Leaving aside proceedings removed from one </w:t>
      </w:r>
      <w:r w:rsidR="00231F49">
        <w:rPr>
          <w:lang w:val="en-GB"/>
        </w:rPr>
        <w:t>d</w:t>
      </w:r>
      <w:r w:rsidR="00857565">
        <w:rPr>
          <w:lang w:val="en-GB"/>
        </w:rPr>
        <w:t xml:space="preserve">ivision to another, it is possible for instituted proceedings to be heard or determined by a different court within the </w:t>
      </w:r>
      <w:r w:rsidR="00231F49">
        <w:rPr>
          <w:lang w:val="en-GB"/>
        </w:rPr>
        <w:t>d</w:t>
      </w:r>
      <w:r w:rsidR="00857565">
        <w:rPr>
          <w:lang w:val="en-GB"/>
        </w:rPr>
        <w:t xml:space="preserve">ivision. There </w:t>
      </w:r>
      <w:r w:rsidR="00857565">
        <w:rPr>
          <w:lang w:val="en-GB"/>
        </w:rPr>
        <w:lastRenderedPageBreak/>
        <w:t xml:space="preserve">are two possible reasons for this. Firstly, that it appears to the court that the proceedings should have been instituted at another seat of the </w:t>
      </w:r>
      <w:r w:rsidR="00231F49">
        <w:rPr>
          <w:lang w:val="en-GB"/>
        </w:rPr>
        <w:t>d</w:t>
      </w:r>
      <w:r w:rsidR="00857565">
        <w:rPr>
          <w:lang w:val="en-GB"/>
        </w:rPr>
        <w:t xml:space="preserve">ivision. Secondly, that the court considers it to be more convenient or more appropriate for the proceedings to be heard or determined at another seat of the </w:t>
      </w:r>
      <w:r w:rsidR="00231F49">
        <w:rPr>
          <w:lang w:val="en-GB"/>
        </w:rPr>
        <w:t>d</w:t>
      </w:r>
      <w:r w:rsidR="00857565">
        <w:rPr>
          <w:lang w:val="en-GB"/>
        </w:rPr>
        <w:t>ivision.</w:t>
      </w:r>
      <w:r w:rsidR="004873C7">
        <w:rPr>
          <w:rStyle w:val="FootnoteReference"/>
          <w:lang w:val="en-GB"/>
        </w:rPr>
        <w:footnoteReference w:id="20"/>
      </w:r>
      <w:r w:rsidR="000872A6">
        <w:rPr>
          <w:lang w:val="en-GB"/>
        </w:rPr>
        <w:t xml:space="preserve"> The court may then order such proceedings to be removed to the other seat upon application by any party, and after hearing all other parties.</w:t>
      </w:r>
      <w:r w:rsidR="002E2ECA">
        <w:rPr>
          <w:rStyle w:val="FootnoteReference"/>
          <w:lang w:val="en-GB"/>
        </w:rPr>
        <w:footnoteReference w:id="21"/>
      </w:r>
    </w:p>
    <w:p w14:paraId="2340759F" w14:textId="77777777" w:rsidR="00C01C96" w:rsidRPr="00C01C96" w:rsidRDefault="00C01C96" w:rsidP="00C01C96">
      <w:pPr>
        <w:pStyle w:val="ListParagraph"/>
        <w:rPr>
          <w:lang w:val="en-GB"/>
        </w:rPr>
      </w:pPr>
    </w:p>
    <w:p w14:paraId="694BFD47" w14:textId="5CAAA0F4" w:rsidR="00C01C96" w:rsidRDefault="00C01C96" w:rsidP="00AF6DF0">
      <w:pPr>
        <w:pStyle w:val="ListParagraph"/>
        <w:numPr>
          <w:ilvl w:val="0"/>
          <w:numId w:val="10"/>
        </w:numPr>
        <w:autoSpaceDE w:val="0"/>
        <w:autoSpaceDN w:val="0"/>
        <w:adjustRightInd w:val="0"/>
        <w:ind w:left="142" w:hanging="142"/>
        <w:jc w:val="both"/>
        <w:rPr>
          <w:lang w:val="en-GB"/>
        </w:rPr>
      </w:pPr>
      <w:r>
        <w:rPr>
          <w:lang w:val="en-GB"/>
        </w:rPr>
        <w:t xml:space="preserve">As indicated, in addition to the main seats referred to in s 6(1) of the Act, </w:t>
      </w:r>
      <w:r w:rsidR="00B8423C">
        <w:rPr>
          <w:lang w:val="en-GB"/>
        </w:rPr>
        <w:t>it is open for the Minister, after consultation with the JSC, to establish one or more ‘local seats for a Division’ and determine the areas under their jurisdiction.</w:t>
      </w:r>
      <w:r w:rsidR="00EE77B5">
        <w:rPr>
          <w:rStyle w:val="FootnoteReference"/>
          <w:lang w:val="en-GB"/>
        </w:rPr>
        <w:footnoteReference w:id="22"/>
      </w:r>
      <w:r w:rsidR="00046CF6">
        <w:rPr>
          <w:lang w:val="en-GB"/>
        </w:rPr>
        <w:t xml:space="preserve"> In the Eastern Cape Division, it is only the Eastern Cape High Court, Bhisho, the Eastern Cape High Court, Mthatha, and the Eastern Cape High Court, Port Elizabeth, that became local seats of this division</w:t>
      </w:r>
      <w:r w:rsidR="00106E85">
        <w:rPr>
          <w:lang w:val="en-GB"/>
        </w:rPr>
        <w:t xml:space="preserve"> when the Act commenced.</w:t>
      </w:r>
      <w:r w:rsidR="00804C36">
        <w:rPr>
          <w:rStyle w:val="FootnoteReference"/>
          <w:lang w:val="en-GB"/>
        </w:rPr>
        <w:footnoteReference w:id="23"/>
      </w:r>
      <w:r w:rsidR="00EE77B5">
        <w:rPr>
          <w:lang w:val="en-GB"/>
        </w:rPr>
        <w:t xml:space="preserve"> This was subject to the Minister’s power to amend or withdraw this by notice in the Gazette</w:t>
      </w:r>
      <w:r w:rsidR="00F32122">
        <w:rPr>
          <w:lang w:val="en-GB"/>
        </w:rPr>
        <w:t>.</w:t>
      </w:r>
      <w:r w:rsidR="00F32122">
        <w:rPr>
          <w:rStyle w:val="FootnoteReference"/>
          <w:lang w:val="en-GB"/>
        </w:rPr>
        <w:footnoteReference w:id="24"/>
      </w:r>
      <w:r w:rsidR="00420671">
        <w:rPr>
          <w:lang w:val="en-GB"/>
        </w:rPr>
        <w:t xml:space="preserve"> </w:t>
      </w:r>
      <w:r w:rsidR="005F68AD">
        <w:rPr>
          <w:lang w:val="en-GB"/>
        </w:rPr>
        <w:t>The East London ‘circuit local division’ is not a ‘local seat’ of the</w:t>
      </w:r>
      <w:r w:rsidR="00D75BEA">
        <w:rPr>
          <w:lang w:val="en-GB"/>
        </w:rPr>
        <w:t xml:space="preserve"> d</w:t>
      </w:r>
      <w:r w:rsidR="005F68AD">
        <w:rPr>
          <w:lang w:val="en-GB"/>
        </w:rPr>
        <w:t xml:space="preserve">ivision. It has not been established by the Minister as such, following consultation with the JSC. It is, in fact, a </w:t>
      </w:r>
      <w:r w:rsidR="00D75BEA">
        <w:rPr>
          <w:lang w:val="en-GB"/>
        </w:rPr>
        <w:t>c</w:t>
      </w:r>
      <w:r w:rsidR="005F68AD">
        <w:rPr>
          <w:lang w:val="en-GB"/>
        </w:rPr>
        <w:t xml:space="preserve">ircuit </w:t>
      </w:r>
      <w:r w:rsidR="00D75BEA">
        <w:rPr>
          <w:lang w:val="en-GB"/>
        </w:rPr>
        <w:t>c</w:t>
      </w:r>
      <w:r w:rsidR="005F68AD">
        <w:rPr>
          <w:lang w:val="en-GB"/>
        </w:rPr>
        <w:t xml:space="preserve">ourt of the </w:t>
      </w:r>
      <w:r w:rsidR="00D75BEA">
        <w:rPr>
          <w:lang w:val="en-GB"/>
        </w:rPr>
        <w:t>d</w:t>
      </w:r>
      <w:r w:rsidR="005F68AD">
        <w:rPr>
          <w:lang w:val="en-GB"/>
        </w:rPr>
        <w:t>ivision. The power of a court to remove proceedings from one seat in a division, in terms of s 27 of the Act, is restricted to removal to ‘another seat’.</w:t>
      </w:r>
      <w:r w:rsidR="00863645">
        <w:rPr>
          <w:lang w:val="en-GB"/>
        </w:rPr>
        <w:t xml:space="preserve"> This must relate to ‘local seats’ established by the Minister for a </w:t>
      </w:r>
      <w:r w:rsidR="00D75BEA">
        <w:rPr>
          <w:lang w:val="en-GB"/>
        </w:rPr>
        <w:t>d</w:t>
      </w:r>
      <w:r w:rsidR="00863645">
        <w:rPr>
          <w:lang w:val="en-GB"/>
        </w:rPr>
        <w:t>ivision in terms of s 6(3)</w:t>
      </w:r>
      <w:r w:rsidR="00863645">
        <w:rPr>
          <w:i/>
          <w:iCs/>
          <w:lang w:val="en-GB"/>
        </w:rPr>
        <w:t>(c)</w:t>
      </w:r>
      <w:r w:rsidR="00863645">
        <w:rPr>
          <w:lang w:val="en-GB"/>
        </w:rPr>
        <w:t xml:space="preserve"> of the Act.</w:t>
      </w:r>
    </w:p>
    <w:p w14:paraId="7CBB27D5" w14:textId="77777777" w:rsidR="00524714" w:rsidRPr="00524714" w:rsidRDefault="00524714" w:rsidP="00524714">
      <w:pPr>
        <w:pStyle w:val="ListParagraph"/>
        <w:rPr>
          <w:lang w:val="en-GB"/>
        </w:rPr>
      </w:pPr>
    </w:p>
    <w:p w14:paraId="1DBE7B3F" w14:textId="5E73BAC7" w:rsidR="00833934" w:rsidRDefault="00524714" w:rsidP="00833934">
      <w:pPr>
        <w:pStyle w:val="ListParagraph"/>
        <w:numPr>
          <w:ilvl w:val="0"/>
          <w:numId w:val="10"/>
        </w:numPr>
        <w:autoSpaceDE w:val="0"/>
        <w:autoSpaceDN w:val="0"/>
        <w:adjustRightInd w:val="0"/>
        <w:ind w:left="142" w:hanging="142"/>
        <w:jc w:val="both"/>
        <w:rPr>
          <w:lang w:val="en-GB"/>
        </w:rPr>
      </w:pPr>
      <w:r w:rsidRPr="00681E09">
        <w:rPr>
          <w:lang w:val="en-GB"/>
        </w:rPr>
        <w:t xml:space="preserve">In coming to this conclusion, I have considered the suggestion by Van Loggerenberg in </w:t>
      </w:r>
      <w:r w:rsidRPr="00681E09">
        <w:rPr>
          <w:i/>
          <w:iCs/>
          <w:lang w:val="en-GB"/>
        </w:rPr>
        <w:t>Erasmus</w:t>
      </w:r>
      <w:r w:rsidRPr="00681E09">
        <w:rPr>
          <w:lang w:val="en-GB"/>
        </w:rPr>
        <w:t xml:space="preserve"> that ‘the words “seat of a Division” and “another seat of the Division” in s 27(1) include the place for the holding of a circuit court as determined by the Judge President of a division in terms of s 7(2) of the Act’</w:t>
      </w:r>
      <w:r w:rsidR="00145271" w:rsidRPr="00681E09">
        <w:rPr>
          <w:lang w:val="en-GB"/>
        </w:rPr>
        <w:t xml:space="preserve">.  </w:t>
      </w:r>
      <w:r w:rsidR="00145271" w:rsidRPr="00681E09">
        <w:rPr>
          <w:i/>
          <w:iCs/>
          <w:lang w:val="en-GB"/>
        </w:rPr>
        <w:t xml:space="preserve"> </w:t>
      </w:r>
      <w:r w:rsidR="00145271" w:rsidRPr="00681E09">
        <w:rPr>
          <w:lang w:val="en-GB"/>
        </w:rPr>
        <w:t xml:space="preserve">I have been unable to find any authorities to support such an interpretation. </w:t>
      </w:r>
      <w:r w:rsidR="00A340F6" w:rsidRPr="00681E09">
        <w:rPr>
          <w:lang w:val="en-GB"/>
        </w:rPr>
        <w:t xml:space="preserve">The authority relied upon by the learned author for the submission that a matter may be removed </w:t>
      </w:r>
      <w:r w:rsidR="00A340F6" w:rsidRPr="00681E09">
        <w:rPr>
          <w:lang w:val="en-GB"/>
        </w:rPr>
        <w:lastRenderedPageBreak/>
        <w:t xml:space="preserve">from a division of the High Court to a circuit court is </w:t>
      </w:r>
      <w:r w:rsidR="00A340F6" w:rsidRPr="00681E09">
        <w:rPr>
          <w:i/>
          <w:iCs/>
          <w:lang w:val="en-GB"/>
        </w:rPr>
        <w:t>Rainer v Rainer</w:t>
      </w:r>
      <w:r w:rsidR="00A340F6" w:rsidRPr="00681E09">
        <w:rPr>
          <w:lang w:val="en-GB"/>
        </w:rPr>
        <w:t>.</w:t>
      </w:r>
      <w:r w:rsidR="00A340F6">
        <w:rPr>
          <w:rStyle w:val="FootnoteReference"/>
          <w:lang w:val="en-GB"/>
        </w:rPr>
        <w:footnoteReference w:id="25"/>
      </w:r>
      <w:r w:rsidR="00DB0175" w:rsidRPr="00681E09">
        <w:rPr>
          <w:lang w:val="en-GB"/>
        </w:rPr>
        <w:t xml:space="preserve"> That matter was an unopposed application that considered whether the provincial division had the authority to remove a matter to one circuit court in circumstances where both parties resided in a district covered by a different circuit court. After referring to the legislation applicable at the time, the court held that this was permissible</w:t>
      </w:r>
      <w:r w:rsidR="007F73CF" w:rsidRPr="00681E09">
        <w:rPr>
          <w:lang w:val="en-GB"/>
        </w:rPr>
        <w:t>.</w:t>
      </w:r>
      <w:r w:rsidR="001B18DE" w:rsidRPr="00681E09">
        <w:rPr>
          <w:lang w:val="en-GB"/>
        </w:rPr>
        <w:t xml:space="preserve"> In </w:t>
      </w:r>
      <w:r w:rsidR="001B18DE" w:rsidRPr="00681E09">
        <w:rPr>
          <w:i/>
          <w:iCs/>
          <w:lang w:val="en-GB"/>
        </w:rPr>
        <w:t>Van Niekerk v Van Niekerk</w:t>
      </w:r>
      <w:r w:rsidR="001B18DE" w:rsidRPr="00681E09">
        <w:rPr>
          <w:lang w:val="en-GB"/>
        </w:rPr>
        <w:t>,</w:t>
      </w:r>
      <w:r w:rsidR="001B18DE">
        <w:rPr>
          <w:rStyle w:val="FootnoteReference"/>
          <w:lang w:val="en-GB"/>
        </w:rPr>
        <w:footnoteReference w:id="26"/>
      </w:r>
      <w:r w:rsidR="001B18DE" w:rsidRPr="00681E09">
        <w:rPr>
          <w:lang w:val="en-GB"/>
        </w:rPr>
        <w:t xml:space="preserve"> </w:t>
      </w:r>
      <w:r w:rsidR="00CE6882" w:rsidRPr="00681E09">
        <w:rPr>
          <w:lang w:val="en-GB"/>
        </w:rPr>
        <w:t>Van Winsen J considered the balance of convenience to be strongly in favour of a matter being removed from a provincial division to a circuit court where the parties and witnesses resi</w:t>
      </w:r>
      <w:r w:rsidR="00833934" w:rsidRPr="00681E09">
        <w:rPr>
          <w:lang w:val="en-GB"/>
        </w:rPr>
        <w:t xml:space="preserve">ded. There was no reference to the provisions of the Supreme Court Act, 1959 in the judgment. </w:t>
      </w:r>
    </w:p>
    <w:p w14:paraId="18D13E22" w14:textId="77777777" w:rsidR="00681E09" w:rsidRPr="00681E09" w:rsidRDefault="00681E09" w:rsidP="00681E09">
      <w:pPr>
        <w:pStyle w:val="ListParagraph"/>
        <w:autoSpaceDE w:val="0"/>
        <w:autoSpaceDN w:val="0"/>
        <w:adjustRightInd w:val="0"/>
        <w:ind w:left="142"/>
        <w:jc w:val="both"/>
        <w:rPr>
          <w:lang w:val="en-GB"/>
        </w:rPr>
      </w:pPr>
    </w:p>
    <w:p w14:paraId="1EAF255D" w14:textId="7E71F1EF" w:rsidR="00E126A3" w:rsidRPr="00E126A3" w:rsidRDefault="00833934" w:rsidP="00145271">
      <w:pPr>
        <w:pStyle w:val="ListParagraph"/>
        <w:numPr>
          <w:ilvl w:val="0"/>
          <w:numId w:val="10"/>
        </w:numPr>
        <w:autoSpaceDE w:val="0"/>
        <w:autoSpaceDN w:val="0"/>
        <w:adjustRightInd w:val="0"/>
        <w:ind w:left="142" w:hanging="142"/>
        <w:jc w:val="both"/>
        <w:rPr>
          <w:lang w:val="en-GB"/>
        </w:rPr>
      </w:pPr>
      <w:r>
        <w:rPr>
          <w:lang w:val="en-GB"/>
        </w:rPr>
        <w:t xml:space="preserve">I consider myself bound to consider the question of removal based on s 27 of the Act, which is the issue that appears from the papers, rather than based on any inherent power the court might have to regulate the proceedings before it. </w:t>
      </w:r>
      <w:r w:rsidR="007C2BF9">
        <w:rPr>
          <w:lang w:val="en-GB"/>
        </w:rPr>
        <w:t xml:space="preserve">In </w:t>
      </w:r>
      <w:r w:rsidR="007C2BF9">
        <w:rPr>
          <w:i/>
          <w:iCs/>
          <w:lang w:val="en-GB"/>
        </w:rPr>
        <w:t>Thembani Wholesalers v September</w:t>
      </w:r>
      <w:r w:rsidR="007C2BF9">
        <w:rPr>
          <w:lang w:val="en-GB"/>
        </w:rPr>
        <w:t>, Chetty J noted that the constitutional right to access to justice could not ‘ … be invoked to endow a local seat with original territorial jurisdiction when the Act itself merely vests it with concurrent jurisdiction …’</w:t>
      </w:r>
      <w:r w:rsidR="007C2BF9">
        <w:rPr>
          <w:rStyle w:val="FootnoteReference"/>
          <w:lang w:val="en-GB"/>
        </w:rPr>
        <w:footnoteReference w:id="27"/>
      </w:r>
      <w:r w:rsidR="00E126A3">
        <w:rPr>
          <w:lang w:val="en-GB"/>
        </w:rPr>
        <w:t xml:space="preserve"> The learned judge went on to add that the s 27 power to order the removal of a matter from one court to another was discretionary, </w:t>
      </w:r>
      <w:r w:rsidR="00834816">
        <w:rPr>
          <w:lang w:val="en-GB"/>
        </w:rPr>
        <w:t xml:space="preserve">citing authority premised on the wording of now repealed proclamations and the Supreme Court Act. </w:t>
      </w:r>
      <w:r w:rsidR="00CD60D8">
        <w:rPr>
          <w:lang w:val="en-GB"/>
        </w:rPr>
        <w:t xml:space="preserve">Those authorities, including the judgment of Plasket J in </w:t>
      </w:r>
      <w:r w:rsidR="00CD60D8">
        <w:rPr>
          <w:i/>
          <w:iCs/>
          <w:lang w:val="en-GB"/>
        </w:rPr>
        <w:t>Davis v Denton</w:t>
      </w:r>
      <w:r w:rsidR="00CD60D8">
        <w:rPr>
          <w:lang w:val="en-GB"/>
        </w:rPr>
        <w:t xml:space="preserve">, </w:t>
      </w:r>
      <w:r w:rsidR="00681E09">
        <w:rPr>
          <w:lang w:val="en-GB"/>
        </w:rPr>
        <w:t xml:space="preserve">which considered removal of an action from Grahamstown to Port Elizabeth, </w:t>
      </w:r>
      <w:r w:rsidR="00CD60D8">
        <w:rPr>
          <w:lang w:val="en-GB"/>
        </w:rPr>
        <w:t>ground the power of the court to remove matters to another court firmly in legislation.</w:t>
      </w:r>
      <w:r w:rsidR="00F00566">
        <w:rPr>
          <w:rStyle w:val="FootnoteReference"/>
          <w:lang w:val="en-GB"/>
        </w:rPr>
        <w:footnoteReference w:id="28"/>
      </w:r>
      <w:r w:rsidR="00C37473">
        <w:rPr>
          <w:lang w:val="en-GB"/>
        </w:rPr>
        <w:t xml:space="preserve"> It is out </w:t>
      </w:r>
      <w:r w:rsidR="00CB791A">
        <w:rPr>
          <w:lang w:val="en-GB"/>
        </w:rPr>
        <w:t xml:space="preserve">of </w:t>
      </w:r>
      <w:r w:rsidR="00C37473">
        <w:rPr>
          <w:lang w:val="en-GB"/>
        </w:rPr>
        <w:t>legislation that the ‘balance of convenience’ principle emerges. In the context of</w:t>
      </w:r>
      <w:r w:rsidR="00E126A3">
        <w:rPr>
          <w:lang w:val="en-GB"/>
        </w:rPr>
        <w:t xml:space="preserve"> s 27 </w:t>
      </w:r>
      <w:r w:rsidR="00C37473">
        <w:rPr>
          <w:lang w:val="en-GB"/>
        </w:rPr>
        <w:t xml:space="preserve">of the Act, </w:t>
      </w:r>
      <w:r w:rsidR="00E126A3">
        <w:rPr>
          <w:lang w:val="en-GB"/>
        </w:rPr>
        <w:t>the convenience principle</w:t>
      </w:r>
      <w:r w:rsidR="00C37473">
        <w:rPr>
          <w:lang w:val="en-GB"/>
        </w:rPr>
        <w:t xml:space="preserve"> is restricted to instances where application is made</w:t>
      </w:r>
      <w:r w:rsidR="004F4184">
        <w:rPr>
          <w:rStyle w:val="FootnoteReference"/>
          <w:lang w:val="en-GB"/>
        </w:rPr>
        <w:footnoteReference w:id="29"/>
      </w:r>
      <w:r w:rsidR="00C37473">
        <w:rPr>
          <w:lang w:val="en-GB"/>
        </w:rPr>
        <w:t xml:space="preserve"> </w:t>
      </w:r>
      <w:r w:rsidR="00FA6C7E">
        <w:rPr>
          <w:lang w:val="en-GB"/>
        </w:rPr>
        <w:t>for the removal of</w:t>
      </w:r>
      <w:r w:rsidR="00C37473">
        <w:rPr>
          <w:lang w:val="en-GB"/>
        </w:rPr>
        <w:t xml:space="preserve"> proceedings to another </w:t>
      </w:r>
      <w:r w:rsidR="001B39BC">
        <w:rPr>
          <w:lang w:val="en-GB"/>
        </w:rPr>
        <w:t>division or seat</w:t>
      </w:r>
      <w:r w:rsidR="00184DE2">
        <w:rPr>
          <w:lang w:val="en-GB"/>
        </w:rPr>
        <w:t>, and finds no application in the matters before me.</w:t>
      </w:r>
      <w:r w:rsidR="00E126A3">
        <w:rPr>
          <w:lang w:val="en-GB"/>
        </w:rPr>
        <w:t xml:space="preserve"> </w:t>
      </w:r>
      <w:r w:rsidR="007C2BF9">
        <w:rPr>
          <w:i/>
          <w:iCs/>
          <w:lang w:val="en-GB"/>
        </w:rPr>
        <w:t xml:space="preserve"> </w:t>
      </w:r>
    </w:p>
    <w:p w14:paraId="403927E4" w14:textId="77777777" w:rsidR="00E126A3" w:rsidRPr="00E126A3" w:rsidRDefault="00E126A3" w:rsidP="00E126A3">
      <w:pPr>
        <w:pStyle w:val="ListParagraph"/>
        <w:rPr>
          <w:lang w:val="en-GB"/>
        </w:rPr>
      </w:pPr>
    </w:p>
    <w:p w14:paraId="3EA3AE91" w14:textId="37E4139B" w:rsidR="00CF0AFB" w:rsidRPr="001D7E25" w:rsidRDefault="00FF07BD" w:rsidP="001D7E25">
      <w:pPr>
        <w:pStyle w:val="ListParagraph"/>
        <w:numPr>
          <w:ilvl w:val="0"/>
          <w:numId w:val="10"/>
        </w:numPr>
        <w:autoSpaceDE w:val="0"/>
        <w:autoSpaceDN w:val="0"/>
        <w:adjustRightInd w:val="0"/>
        <w:ind w:left="142" w:hanging="142"/>
        <w:jc w:val="both"/>
        <w:rPr>
          <w:lang w:val="en-GB"/>
        </w:rPr>
      </w:pPr>
      <w:r>
        <w:rPr>
          <w:lang w:val="en-GB"/>
        </w:rPr>
        <w:lastRenderedPageBreak/>
        <w:t>It is now firmly established that a High Court has no power to exercise a discretion to decline to hear a matter falling within its jurisdiction on the ground that another court has concurrent jurisdiction.</w:t>
      </w:r>
      <w:r>
        <w:rPr>
          <w:rStyle w:val="FootnoteReference"/>
          <w:lang w:val="en-GB"/>
        </w:rPr>
        <w:footnoteReference w:id="30"/>
      </w:r>
      <w:r>
        <w:rPr>
          <w:lang w:val="en-GB"/>
        </w:rPr>
        <w:t xml:space="preserve"> </w:t>
      </w:r>
      <w:r w:rsidR="002061AE" w:rsidRPr="00FF07BD">
        <w:rPr>
          <w:lang w:val="en-GB"/>
        </w:rPr>
        <w:t xml:space="preserve">A </w:t>
      </w:r>
      <w:r w:rsidR="00E9688E" w:rsidRPr="00FF07BD">
        <w:rPr>
          <w:lang w:val="en-GB"/>
        </w:rPr>
        <w:t>High Court</w:t>
      </w:r>
      <w:r w:rsidR="002061AE" w:rsidRPr="00FF07BD">
        <w:rPr>
          <w:lang w:val="en-GB"/>
        </w:rPr>
        <w:t xml:space="preserve"> is </w:t>
      </w:r>
      <w:r>
        <w:rPr>
          <w:lang w:val="en-GB"/>
        </w:rPr>
        <w:t xml:space="preserve">therefore </w:t>
      </w:r>
      <w:r w:rsidR="002061AE" w:rsidRPr="00FF07BD">
        <w:rPr>
          <w:lang w:val="en-GB"/>
        </w:rPr>
        <w:t>obliged by law to hear any matter that falls within its jurisdiction</w:t>
      </w:r>
      <w:r w:rsidR="00E9688E" w:rsidRPr="00FF07BD">
        <w:rPr>
          <w:lang w:val="en-GB"/>
        </w:rPr>
        <w:t>.</w:t>
      </w:r>
      <w:r w:rsidR="005958A4">
        <w:rPr>
          <w:lang w:val="en-GB"/>
        </w:rPr>
        <w:t xml:space="preserve"> This includes the obligation </w:t>
      </w:r>
      <w:r w:rsidR="000B134D">
        <w:rPr>
          <w:lang w:val="en-GB"/>
        </w:rPr>
        <w:t xml:space="preserve">on the part of a main seat </w:t>
      </w:r>
      <w:r w:rsidR="005958A4">
        <w:rPr>
          <w:lang w:val="en-GB"/>
        </w:rPr>
        <w:t xml:space="preserve">to entertain matters that fall within the jurisdiction of a local seat of a </w:t>
      </w:r>
      <w:r w:rsidR="00973731">
        <w:rPr>
          <w:lang w:val="en-GB"/>
        </w:rPr>
        <w:t>d</w:t>
      </w:r>
      <w:r w:rsidR="005958A4">
        <w:rPr>
          <w:lang w:val="en-GB"/>
        </w:rPr>
        <w:t>ivision, because the main seat has concurrent jurisdiction.</w:t>
      </w:r>
      <w:r w:rsidR="000B134D">
        <w:rPr>
          <w:rStyle w:val="FootnoteReference"/>
          <w:lang w:val="en-GB"/>
        </w:rPr>
        <w:footnoteReference w:id="31"/>
      </w:r>
      <w:r w:rsidR="00E9688E" w:rsidRPr="00FF07BD">
        <w:rPr>
          <w:lang w:val="en-GB"/>
        </w:rPr>
        <w:t xml:space="preserve"> It is a fundamental misconception to suggest that it may decline to hear a matter which is within its jurisdiction.</w:t>
      </w:r>
      <w:r w:rsidR="00E9688E">
        <w:rPr>
          <w:rStyle w:val="FootnoteReference"/>
          <w:lang w:val="en-GB"/>
        </w:rPr>
        <w:footnoteReference w:id="32"/>
      </w:r>
      <w:r w:rsidR="00E9688E" w:rsidRPr="00FF07BD">
        <w:rPr>
          <w:lang w:val="en-GB"/>
        </w:rPr>
        <w:t xml:space="preserve"> </w:t>
      </w:r>
      <w:r w:rsidR="002061AE" w:rsidRPr="00FF07BD">
        <w:rPr>
          <w:lang w:val="en-GB"/>
        </w:rPr>
        <w:t xml:space="preserve"> </w:t>
      </w:r>
      <w:r w:rsidR="0021116E" w:rsidRPr="00FF07BD">
        <w:rPr>
          <w:lang w:val="en-GB"/>
        </w:rPr>
        <w:t>It is, furthermore, untenable to argue that a High Court enjoys a discretion to do so based on s 169 of the Constitution.</w:t>
      </w:r>
      <w:r w:rsidR="0021116E">
        <w:rPr>
          <w:rStyle w:val="FootnoteReference"/>
          <w:lang w:val="en-GB"/>
        </w:rPr>
        <w:footnoteReference w:id="33"/>
      </w:r>
      <w:r w:rsidR="0021116E" w:rsidRPr="00FF07BD">
        <w:rPr>
          <w:lang w:val="en-GB"/>
        </w:rPr>
        <w:t xml:space="preserve"> </w:t>
      </w:r>
      <w:r w:rsidR="00077D23" w:rsidRPr="00FF07BD">
        <w:rPr>
          <w:lang w:val="en-GB"/>
        </w:rPr>
        <w:t>It is equally misconceived to invoke the concept of the High Court’s inherent jurisdiction to regulate its own process to support the applicants’ arguments.</w:t>
      </w:r>
      <w:r w:rsidR="00C03B68" w:rsidRPr="00FF07BD">
        <w:rPr>
          <w:lang w:val="en-GB"/>
        </w:rPr>
        <w:t xml:space="preserve"> The inherent jurisdiction of the High Court can only be applied</w:t>
      </w:r>
      <w:r w:rsidR="003319D3" w:rsidRPr="00FF07BD">
        <w:rPr>
          <w:lang w:val="en-GB"/>
        </w:rPr>
        <w:t>, with caution,</w:t>
      </w:r>
      <w:r w:rsidR="00C03B68" w:rsidRPr="00FF07BD">
        <w:rPr>
          <w:lang w:val="en-GB"/>
        </w:rPr>
        <w:t xml:space="preserve"> to address a lacuna which, in the absence of judicial intervention, would result in injustice.</w:t>
      </w:r>
      <w:r w:rsidR="00C03B68">
        <w:rPr>
          <w:rStyle w:val="FootnoteReference"/>
          <w:lang w:val="en-GB"/>
        </w:rPr>
        <w:footnoteReference w:id="34"/>
      </w:r>
      <w:r w:rsidR="000F67C7" w:rsidRPr="00FF07BD">
        <w:rPr>
          <w:lang w:val="en-GB"/>
        </w:rPr>
        <w:t xml:space="preserve"> </w:t>
      </w:r>
      <w:r w:rsidR="005958A4">
        <w:rPr>
          <w:lang w:val="en-GB"/>
        </w:rPr>
        <w:t xml:space="preserve">It cannot be the basis for overtaking the clear intention of the legislature. </w:t>
      </w:r>
      <w:r w:rsidR="00CF0AFB">
        <w:rPr>
          <w:lang w:val="en-GB"/>
        </w:rPr>
        <w:t xml:space="preserve">As the Constitutional Court held in </w:t>
      </w:r>
      <w:r w:rsidR="00CF0AFB">
        <w:rPr>
          <w:i/>
          <w:iCs/>
          <w:lang w:val="en-GB"/>
        </w:rPr>
        <w:t>Phillips and others v National Director of Public Prosecutions</w:t>
      </w:r>
      <w:r w:rsidR="00CF0AFB">
        <w:rPr>
          <w:lang w:val="en-GB"/>
        </w:rPr>
        <w:t>:</w:t>
      </w:r>
      <w:r w:rsidR="00CF0AFB">
        <w:rPr>
          <w:rStyle w:val="FootnoteReference"/>
          <w:lang w:val="en-GB"/>
        </w:rPr>
        <w:footnoteReference w:id="35"/>
      </w:r>
      <w:r w:rsidR="00CF0AFB">
        <w:rPr>
          <w:i/>
          <w:iCs/>
          <w:lang w:val="en-GB"/>
        </w:rPr>
        <w:t xml:space="preserve"> </w:t>
      </w:r>
    </w:p>
    <w:p w14:paraId="31C2AF3F" w14:textId="2CFDD2A9" w:rsidR="002061AE" w:rsidRPr="00513080" w:rsidRDefault="00513080" w:rsidP="00513080">
      <w:pPr>
        <w:autoSpaceDE w:val="0"/>
        <w:autoSpaceDN w:val="0"/>
        <w:adjustRightInd w:val="0"/>
        <w:ind w:left="142"/>
        <w:jc w:val="both"/>
        <w:rPr>
          <w:sz w:val="22"/>
          <w:szCs w:val="22"/>
          <w:lang w:val="en-GB"/>
        </w:rPr>
      </w:pPr>
      <w:r>
        <w:rPr>
          <w:sz w:val="22"/>
          <w:szCs w:val="22"/>
          <w:lang w:val="en-GB"/>
        </w:rPr>
        <w:t>‘</w:t>
      </w:r>
      <w:r w:rsidR="004F5262">
        <w:rPr>
          <w:sz w:val="22"/>
          <w:szCs w:val="22"/>
          <w:lang w:val="en-GB"/>
        </w:rPr>
        <w:t xml:space="preserve"> …[A]</w:t>
      </w:r>
      <w:r w:rsidR="00CF0AFB" w:rsidRPr="00513080">
        <w:rPr>
          <w:sz w:val="22"/>
          <w:szCs w:val="22"/>
          <w:lang w:val="en-GB"/>
        </w:rPr>
        <w:t>n Act of Parliament cannot simply be ignored and reliance placed directly on a provision in the Constitution, nor is it permissible to side-step an Act of Parliament by resorting to the common law.</w:t>
      </w:r>
      <w:r>
        <w:rPr>
          <w:sz w:val="22"/>
          <w:szCs w:val="22"/>
          <w:lang w:val="en-GB"/>
        </w:rPr>
        <w:t>’</w:t>
      </w:r>
    </w:p>
    <w:p w14:paraId="74143EB2" w14:textId="77777777" w:rsidR="00FF07BD" w:rsidRPr="00FF07BD" w:rsidRDefault="00FF07BD" w:rsidP="00FF07BD">
      <w:pPr>
        <w:autoSpaceDE w:val="0"/>
        <w:autoSpaceDN w:val="0"/>
        <w:adjustRightInd w:val="0"/>
        <w:jc w:val="both"/>
        <w:rPr>
          <w:lang w:val="en-GB"/>
        </w:rPr>
      </w:pPr>
    </w:p>
    <w:p w14:paraId="37816AB1" w14:textId="06D975F3" w:rsidR="00AF6DF0" w:rsidRDefault="00204EC4" w:rsidP="00145271">
      <w:pPr>
        <w:pStyle w:val="ListParagraph"/>
        <w:numPr>
          <w:ilvl w:val="0"/>
          <w:numId w:val="10"/>
        </w:numPr>
        <w:autoSpaceDE w:val="0"/>
        <w:autoSpaceDN w:val="0"/>
        <w:adjustRightInd w:val="0"/>
        <w:ind w:left="142" w:hanging="142"/>
        <w:jc w:val="both"/>
        <w:rPr>
          <w:lang w:val="en-GB"/>
        </w:rPr>
      </w:pPr>
      <w:r>
        <w:rPr>
          <w:lang w:val="en-GB"/>
        </w:rPr>
        <w:t>Even</w:t>
      </w:r>
      <w:r w:rsidR="00DF5EF0">
        <w:rPr>
          <w:lang w:val="en-GB"/>
        </w:rPr>
        <w:t xml:space="preserve"> if I was </w:t>
      </w:r>
      <w:r w:rsidR="00E84904">
        <w:rPr>
          <w:lang w:val="en-GB"/>
        </w:rPr>
        <w:t xml:space="preserve">somehow </w:t>
      </w:r>
      <w:r w:rsidR="00DF5EF0">
        <w:rPr>
          <w:lang w:val="en-GB"/>
        </w:rPr>
        <w:t xml:space="preserve">empowered to consider whether it was more convenient or appropriate to hear the applications in the East London Circuit Court, </w:t>
      </w:r>
      <w:r w:rsidR="005B24E5">
        <w:rPr>
          <w:lang w:val="en-GB"/>
        </w:rPr>
        <w:t>I would answer that question in the negative in these matters.</w:t>
      </w:r>
      <w:r w:rsidR="00E126A3">
        <w:rPr>
          <w:lang w:val="en-GB"/>
        </w:rPr>
        <w:t xml:space="preserve"> </w:t>
      </w:r>
      <w:r w:rsidR="0027302B">
        <w:rPr>
          <w:lang w:val="en-GB"/>
        </w:rPr>
        <w:t xml:space="preserve">In determining the removal </w:t>
      </w:r>
      <w:r w:rsidR="002F1635">
        <w:rPr>
          <w:lang w:val="en-GB"/>
        </w:rPr>
        <w:t xml:space="preserve">on that basis, </w:t>
      </w:r>
      <w:r w:rsidR="0027302B">
        <w:rPr>
          <w:lang w:val="en-GB"/>
        </w:rPr>
        <w:t xml:space="preserve">the court must have regard to the convenience of the parties, the </w:t>
      </w:r>
      <w:r w:rsidR="0027302B">
        <w:rPr>
          <w:lang w:val="en-GB"/>
        </w:rPr>
        <w:lastRenderedPageBreak/>
        <w:t>convenience of the court and the general disposal of litigation.</w:t>
      </w:r>
      <w:r w:rsidR="0027302B">
        <w:rPr>
          <w:rStyle w:val="FootnoteReference"/>
          <w:lang w:val="en-GB"/>
        </w:rPr>
        <w:footnoteReference w:id="36"/>
      </w:r>
      <w:r w:rsidR="00BC7BAA">
        <w:rPr>
          <w:lang w:val="en-GB"/>
        </w:rPr>
        <w:t xml:space="preserve"> In </w:t>
      </w:r>
      <w:r w:rsidR="00BC7BAA">
        <w:rPr>
          <w:i/>
          <w:iCs/>
          <w:lang w:val="en-GB"/>
        </w:rPr>
        <w:t>Mekula v Road Accident Fund</w:t>
      </w:r>
      <w:r w:rsidR="00BC7BAA">
        <w:rPr>
          <w:lang w:val="en-GB"/>
        </w:rPr>
        <w:t>, Pickering J considered similar arguments as that advanced by the applicants in these matters, but in the context of a</w:t>
      </w:r>
      <w:r w:rsidR="0016325F">
        <w:rPr>
          <w:lang w:val="en-GB"/>
        </w:rPr>
        <w:t xml:space="preserve"> </w:t>
      </w:r>
      <w:r w:rsidR="00BC7BAA">
        <w:rPr>
          <w:lang w:val="en-GB"/>
        </w:rPr>
        <w:t xml:space="preserve">s 27 </w:t>
      </w:r>
      <w:r w:rsidR="0016325F">
        <w:rPr>
          <w:lang w:val="en-GB"/>
        </w:rPr>
        <w:t xml:space="preserve">application for </w:t>
      </w:r>
      <w:r w:rsidR="00BC7BAA">
        <w:rPr>
          <w:lang w:val="en-GB"/>
        </w:rPr>
        <w:t>removal of a matter from Grahamstown to Port Elizabeth.</w:t>
      </w:r>
      <w:r w:rsidR="005234B1">
        <w:rPr>
          <w:rStyle w:val="FootnoteReference"/>
          <w:lang w:val="en-GB"/>
        </w:rPr>
        <w:footnoteReference w:id="37"/>
      </w:r>
      <w:r>
        <w:rPr>
          <w:lang w:val="en-GB"/>
        </w:rPr>
        <w:t xml:space="preserve"> The way the learned judge disposed of the arguments advanced in respect of costs</w:t>
      </w:r>
      <w:r w:rsidR="00295BBB">
        <w:rPr>
          <w:lang w:val="en-GB"/>
        </w:rPr>
        <w:t>, consultation with experts</w:t>
      </w:r>
      <w:r>
        <w:rPr>
          <w:lang w:val="en-GB"/>
        </w:rPr>
        <w:t xml:space="preserve"> and convenience is instructive</w:t>
      </w:r>
      <w:r w:rsidR="002E4B67">
        <w:rPr>
          <w:lang w:val="en-GB"/>
        </w:rPr>
        <w:t xml:space="preserve">, and should be considered by </w:t>
      </w:r>
      <w:r w:rsidR="00520653">
        <w:rPr>
          <w:lang w:val="en-GB"/>
        </w:rPr>
        <w:t xml:space="preserve">legal practitioners before launching applications, based </w:t>
      </w:r>
      <w:r w:rsidR="00295BBB">
        <w:rPr>
          <w:lang w:val="en-GB"/>
        </w:rPr>
        <w:t xml:space="preserve">solely </w:t>
      </w:r>
      <w:r w:rsidR="00520653">
        <w:rPr>
          <w:lang w:val="en-GB"/>
        </w:rPr>
        <w:t>on their own convenience, for removal in terms of</w:t>
      </w:r>
      <w:r w:rsidR="00BD7BC7">
        <w:rPr>
          <w:lang w:val="en-GB"/>
        </w:rPr>
        <w:t xml:space="preserve"> s 27</w:t>
      </w:r>
      <w:r w:rsidR="00520653">
        <w:rPr>
          <w:lang w:val="en-GB"/>
        </w:rPr>
        <w:t>.</w:t>
      </w:r>
      <w:r w:rsidR="00A30650">
        <w:rPr>
          <w:lang w:val="en-GB"/>
        </w:rPr>
        <w:t xml:space="preserve"> It goes without saying that a party’s choice of legal representatives is not a factor that is ordinarily relevant to the exercise of a discretion in terms of this section.</w:t>
      </w:r>
      <w:r w:rsidR="00A30650">
        <w:rPr>
          <w:rStyle w:val="FootnoteReference"/>
          <w:lang w:val="en-GB"/>
        </w:rPr>
        <w:footnoteReference w:id="38"/>
      </w:r>
    </w:p>
    <w:p w14:paraId="4C413AAB" w14:textId="77777777" w:rsidR="0016336C" w:rsidRDefault="0016336C" w:rsidP="0016336C">
      <w:pPr>
        <w:pStyle w:val="ListParagraph"/>
        <w:autoSpaceDE w:val="0"/>
        <w:autoSpaceDN w:val="0"/>
        <w:adjustRightInd w:val="0"/>
        <w:ind w:left="142"/>
        <w:jc w:val="both"/>
        <w:rPr>
          <w:lang w:val="en-GB"/>
        </w:rPr>
      </w:pPr>
    </w:p>
    <w:p w14:paraId="5A2B92E7" w14:textId="4E137F4F" w:rsidR="00637957" w:rsidRDefault="0016336C" w:rsidP="005A6624">
      <w:pPr>
        <w:pStyle w:val="ListParagraph"/>
        <w:numPr>
          <w:ilvl w:val="0"/>
          <w:numId w:val="10"/>
        </w:numPr>
        <w:autoSpaceDE w:val="0"/>
        <w:autoSpaceDN w:val="0"/>
        <w:adjustRightInd w:val="0"/>
        <w:ind w:left="142" w:hanging="142"/>
        <w:jc w:val="both"/>
        <w:rPr>
          <w:lang w:val="en-GB"/>
        </w:rPr>
      </w:pPr>
      <w:r>
        <w:rPr>
          <w:lang w:val="en-GB"/>
        </w:rPr>
        <w:t xml:space="preserve">It might be added that these applications were launched in this court because of </w:t>
      </w:r>
      <w:r w:rsidR="00096C85">
        <w:rPr>
          <w:lang w:val="en-GB"/>
        </w:rPr>
        <w:t xml:space="preserve">the </w:t>
      </w:r>
      <w:r>
        <w:rPr>
          <w:lang w:val="en-GB"/>
        </w:rPr>
        <w:t xml:space="preserve">place where </w:t>
      </w:r>
      <w:r w:rsidR="00096C85">
        <w:rPr>
          <w:lang w:val="en-GB"/>
        </w:rPr>
        <w:t xml:space="preserve">the </w:t>
      </w:r>
      <w:r>
        <w:rPr>
          <w:lang w:val="en-GB"/>
        </w:rPr>
        <w:t xml:space="preserve">motor vehicle collisions occurred. In the first instance the collision occurred in Mthatha, and in the second on the road between Cala and Tsomo. In both cases the main actions could not have been instituted in the East London Circuit Court because of a lack of jurisdiction. </w:t>
      </w:r>
      <w:r w:rsidR="00BF5F1D">
        <w:rPr>
          <w:lang w:val="en-GB"/>
        </w:rPr>
        <w:t>The applicants seek, effectively, to circumvent that jurisdictional difficulty by invoking s 27 of the Act</w:t>
      </w:r>
      <w:r w:rsidR="00173E1A">
        <w:rPr>
          <w:lang w:val="en-GB"/>
        </w:rPr>
        <w:t xml:space="preserve">. Given the wording of that section, and the difference between ‘another seat’ of that </w:t>
      </w:r>
      <w:r w:rsidR="00D75BEA">
        <w:rPr>
          <w:lang w:val="en-GB"/>
        </w:rPr>
        <w:t>d</w:t>
      </w:r>
      <w:r w:rsidR="00173E1A">
        <w:rPr>
          <w:lang w:val="en-GB"/>
        </w:rPr>
        <w:t xml:space="preserve">ivision and a ‘circuit court of the </w:t>
      </w:r>
      <w:r w:rsidR="00D75BEA">
        <w:rPr>
          <w:lang w:val="en-GB"/>
        </w:rPr>
        <w:t>d</w:t>
      </w:r>
      <w:r w:rsidR="00173E1A">
        <w:rPr>
          <w:lang w:val="en-GB"/>
        </w:rPr>
        <w:t>ivision’, the</w:t>
      </w:r>
      <w:r w:rsidR="007D2929">
        <w:rPr>
          <w:lang w:val="en-GB"/>
        </w:rPr>
        <w:t xml:space="preserve">y </w:t>
      </w:r>
      <w:r w:rsidR="00173E1A">
        <w:rPr>
          <w:lang w:val="en-GB"/>
        </w:rPr>
        <w:t xml:space="preserve">cannot succeed. </w:t>
      </w:r>
    </w:p>
    <w:p w14:paraId="33DFFDBE" w14:textId="5E642F8A" w:rsidR="005A6624" w:rsidRDefault="005A6624" w:rsidP="005A6624">
      <w:pPr>
        <w:autoSpaceDE w:val="0"/>
        <w:autoSpaceDN w:val="0"/>
        <w:adjustRightInd w:val="0"/>
        <w:jc w:val="both"/>
        <w:rPr>
          <w:lang w:val="en-GB"/>
        </w:rPr>
      </w:pPr>
    </w:p>
    <w:p w14:paraId="4480ADA1" w14:textId="77777777" w:rsidR="000A6772" w:rsidRDefault="000A6772" w:rsidP="005A6624">
      <w:pPr>
        <w:autoSpaceDE w:val="0"/>
        <w:autoSpaceDN w:val="0"/>
        <w:adjustRightInd w:val="0"/>
        <w:jc w:val="both"/>
        <w:rPr>
          <w:lang w:val="en-GB"/>
        </w:rPr>
      </w:pPr>
    </w:p>
    <w:p w14:paraId="4D4F8412" w14:textId="587FD945" w:rsidR="005A6624" w:rsidRDefault="005A6624" w:rsidP="005A6624">
      <w:pPr>
        <w:autoSpaceDE w:val="0"/>
        <w:autoSpaceDN w:val="0"/>
        <w:adjustRightInd w:val="0"/>
        <w:jc w:val="both"/>
        <w:rPr>
          <w:b/>
          <w:bCs/>
          <w:lang w:val="en-GB"/>
        </w:rPr>
      </w:pPr>
      <w:r>
        <w:rPr>
          <w:b/>
          <w:bCs/>
          <w:lang w:val="en-GB"/>
        </w:rPr>
        <w:t>Order</w:t>
      </w:r>
    </w:p>
    <w:p w14:paraId="3BBF1B69" w14:textId="77777777" w:rsidR="0088241E" w:rsidRPr="005A6624" w:rsidRDefault="0088241E" w:rsidP="005A6624">
      <w:pPr>
        <w:autoSpaceDE w:val="0"/>
        <w:autoSpaceDN w:val="0"/>
        <w:adjustRightInd w:val="0"/>
        <w:jc w:val="both"/>
        <w:rPr>
          <w:b/>
          <w:bCs/>
          <w:lang w:val="en-GB"/>
        </w:rPr>
      </w:pPr>
    </w:p>
    <w:p w14:paraId="0155F884" w14:textId="43593083" w:rsidR="00637957" w:rsidRPr="00145271" w:rsidRDefault="00637957" w:rsidP="00145271">
      <w:pPr>
        <w:pStyle w:val="ListParagraph"/>
        <w:numPr>
          <w:ilvl w:val="0"/>
          <w:numId w:val="10"/>
        </w:numPr>
        <w:autoSpaceDE w:val="0"/>
        <w:autoSpaceDN w:val="0"/>
        <w:adjustRightInd w:val="0"/>
        <w:ind w:left="142" w:hanging="142"/>
        <w:jc w:val="both"/>
        <w:rPr>
          <w:lang w:val="en-GB"/>
        </w:rPr>
      </w:pPr>
      <w:r>
        <w:rPr>
          <w:lang w:val="en-GB"/>
        </w:rPr>
        <w:t>The applications are dismissed.</w:t>
      </w:r>
    </w:p>
    <w:p w14:paraId="1C5235EA" w14:textId="77777777" w:rsidR="00AF6DF0" w:rsidRPr="008C480D" w:rsidRDefault="00AF6DF0" w:rsidP="008C480D">
      <w:pPr>
        <w:autoSpaceDE w:val="0"/>
        <w:autoSpaceDN w:val="0"/>
        <w:adjustRightInd w:val="0"/>
        <w:jc w:val="both"/>
        <w:rPr>
          <w:lang w:val="en-GB"/>
        </w:rPr>
      </w:pPr>
    </w:p>
    <w:p w14:paraId="38FC7F46" w14:textId="4985D41D" w:rsidR="003C3BC6" w:rsidRDefault="003C3BC6" w:rsidP="00682CE5">
      <w:pPr>
        <w:autoSpaceDE w:val="0"/>
        <w:autoSpaceDN w:val="0"/>
        <w:adjustRightInd w:val="0"/>
        <w:jc w:val="both"/>
        <w:rPr>
          <w:lang w:val="en-GB"/>
        </w:rPr>
      </w:pPr>
    </w:p>
    <w:p w14:paraId="2E272E5C" w14:textId="48BB94CC" w:rsidR="000A6772" w:rsidRDefault="000A6772" w:rsidP="00682CE5">
      <w:pPr>
        <w:autoSpaceDE w:val="0"/>
        <w:autoSpaceDN w:val="0"/>
        <w:adjustRightInd w:val="0"/>
        <w:jc w:val="both"/>
        <w:rPr>
          <w:lang w:val="en-GB"/>
        </w:rPr>
      </w:pPr>
    </w:p>
    <w:p w14:paraId="5F4833EB" w14:textId="0D982F8A" w:rsidR="000A6772" w:rsidRDefault="000A6772" w:rsidP="00682CE5">
      <w:pPr>
        <w:autoSpaceDE w:val="0"/>
        <w:autoSpaceDN w:val="0"/>
        <w:adjustRightInd w:val="0"/>
        <w:jc w:val="both"/>
        <w:rPr>
          <w:lang w:val="en-GB"/>
        </w:rPr>
      </w:pPr>
    </w:p>
    <w:p w14:paraId="22646FAA" w14:textId="71AD60E7" w:rsidR="000A6772" w:rsidRDefault="000A6772" w:rsidP="00682CE5">
      <w:pPr>
        <w:autoSpaceDE w:val="0"/>
        <w:autoSpaceDN w:val="0"/>
        <w:adjustRightInd w:val="0"/>
        <w:jc w:val="both"/>
        <w:rPr>
          <w:lang w:val="en-GB"/>
        </w:rPr>
      </w:pPr>
    </w:p>
    <w:p w14:paraId="236B66E5" w14:textId="5D69C642" w:rsidR="000A6772" w:rsidRDefault="000A6772" w:rsidP="00682CE5">
      <w:pPr>
        <w:autoSpaceDE w:val="0"/>
        <w:autoSpaceDN w:val="0"/>
        <w:adjustRightInd w:val="0"/>
        <w:jc w:val="both"/>
        <w:rPr>
          <w:lang w:val="en-GB"/>
        </w:rPr>
      </w:pPr>
    </w:p>
    <w:p w14:paraId="3DE7C78A" w14:textId="1A2858D3" w:rsidR="000A6772" w:rsidRDefault="000A6772" w:rsidP="00682CE5">
      <w:pPr>
        <w:autoSpaceDE w:val="0"/>
        <w:autoSpaceDN w:val="0"/>
        <w:adjustRightInd w:val="0"/>
        <w:jc w:val="both"/>
        <w:rPr>
          <w:lang w:val="en-GB"/>
        </w:rPr>
      </w:pPr>
    </w:p>
    <w:p w14:paraId="18E44B7B" w14:textId="77777777" w:rsidR="000A6772" w:rsidRPr="00044B50" w:rsidRDefault="000A6772" w:rsidP="00682CE5">
      <w:pPr>
        <w:autoSpaceDE w:val="0"/>
        <w:autoSpaceDN w:val="0"/>
        <w:adjustRightInd w:val="0"/>
        <w:jc w:val="both"/>
        <w:rPr>
          <w:lang w:val="en-GB"/>
        </w:rPr>
      </w:pPr>
    </w:p>
    <w:p w14:paraId="603DA4ED" w14:textId="77777777" w:rsidR="00280A66" w:rsidRPr="00280A66" w:rsidRDefault="00280A66" w:rsidP="00280A66">
      <w:pPr>
        <w:ind w:left="4320" w:firstLine="720"/>
        <w:jc w:val="both"/>
        <w:rPr>
          <w:color w:val="auto"/>
          <w:sz w:val="28"/>
          <w:szCs w:val="28"/>
        </w:rPr>
      </w:pPr>
      <w:r w:rsidRPr="00280A66">
        <w:rPr>
          <w:color w:val="auto"/>
          <w:sz w:val="28"/>
          <w:szCs w:val="28"/>
        </w:rPr>
        <w:t>_________________________</w:t>
      </w:r>
    </w:p>
    <w:p w14:paraId="37ED10F5" w14:textId="77777777" w:rsidR="00280A66" w:rsidRPr="00280A66" w:rsidRDefault="00280A66" w:rsidP="00280A66">
      <w:pPr>
        <w:ind w:left="4320" w:firstLine="720"/>
        <w:jc w:val="both"/>
        <w:rPr>
          <w:b/>
          <w:color w:val="auto"/>
          <w:sz w:val="28"/>
          <w:szCs w:val="28"/>
        </w:rPr>
      </w:pPr>
      <w:r w:rsidRPr="00280A66">
        <w:rPr>
          <w:b/>
          <w:color w:val="auto"/>
          <w:sz w:val="28"/>
          <w:szCs w:val="28"/>
        </w:rPr>
        <w:t xml:space="preserve">A. GOVINDJEE                                                                                                                                                       </w:t>
      </w:r>
    </w:p>
    <w:p w14:paraId="1CB06052" w14:textId="77777777" w:rsidR="00280A66" w:rsidRPr="00280A66" w:rsidRDefault="00280A66" w:rsidP="00280A66">
      <w:pPr>
        <w:ind w:left="5040"/>
        <w:jc w:val="both"/>
        <w:rPr>
          <w:b/>
          <w:color w:val="auto"/>
          <w:sz w:val="28"/>
          <w:szCs w:val="28"/>
        </w:rPr>
      </w:pPr>
      <w:r w:rsidRPr="00280A66">
        <w:rPr>
          <w:b/>
          <w:color w:val="auto"/>
          <w:sz w:val="28"/>
          <w:szCs w:val="28"/>
        </w:rPr>
        <w:t>JUDGE OF THE HIGH COURT</w:t>
      </w:r>
    </w:p>
    <w:p w14:paraId="356BF10C" w14:textId="77777777" w:rsidR="00280A66" w:rsidRPr="00280A66" w:rsidRDefault="00280A66" w:rsidP="00280A66">
      <w:pPr>
        <w:autoSpaceDE w:val="0"/>
        <w:autoSpaceDN w:val="0"/>
        <w:adjustRightInd w:val="0"/>
        <w:jc w:val="both"/>
        <w:rPr>
          <w:lang w:val="en-GB"/>
        </w:rPr>
      </w:pPr>
    </w:p>
    <w:p w14:paraId="090B293D" w14:textId="77777777" w:rsidR="00280A66" w:rsidRPr="00280A66" w:rsidRDefault="00280A66" w:rsidP="00280A66">
      <w:pPr>
        <w:ind w:right="-52"/>
        <w:jc w:val="right"/>
        <w:rPr>
          <w:b/>
          <w:lang w:val="en-GB"/>
        </w:rPr>
      </w:pPr>
      <w:r w:rsidRPr="00280A66">
        <w:rPr>
          <w:b/>
          <w:lang w:val="en-GB"/>
        </w:rPr>
        <w:t xml:space="preserve">                                                                              </w:t>
      </w:r>
    </w:p>
    <w:p w14:paraId="0C39AE67" w14:textId="77777777" w:rsidR="00280A66" w:rsidRPr="00280A66" w:rsidRDefault="00280A66" w:rsidP="00280A66">
      <w:pPr>
        <w:ind w:right="-52"/>
        <w:rPr>
          <w:b/>
          <w:lang w:val="en-GB"/>
        </w:rPr>
      </w:pPr>
    </w:p>
    <w:p w14:paraId="1BE46376" w14:textId="2A6D54F7" w:rsidR="00280A66" w:rsidRPr="00280A66" w:rsidRDefault="00280A66" w:rsidP="00280A66">
      <w:pPr>
        <w:ind w:left="4320" w:right="-52" w:firstLine="720"/>
        <w:rPr>
          <w:bCs/>
          <w:lang w:val="en-GB"/>
        </w:rPr>
      </w:pPr>
      <w:r w:rsidRPr="00280A66">
        <w:rPr>
          <w:b/>
          <w:lang w:val="en-GB"/>
        </w:rPr>
        <w:t xml:space="preserve">Heard: </w:t>
      </w:r>
      <w:r w:rsidRPr="00280A66">
        <w:rPr>
          <w:b/>
          <w:lang w:val="en-GB"/>
        </w:rPr>
        <w:tab/>
      </w:r>
      <w:r>
        <w:rPr>
          <w:bCs/>
          <w:lang w:val="en-GB"/>
        </w:rPr>
        <w:t xml:space="preserve">22 March </w:t>
      </w:r>
      <w:r w:rsidRPr="00280A66">
        <w:rPr>
          <w:bCs/>
          <w:lang w:val="en-GB"/>
        </w:rPr>
        <w:t>2022</w:t>
      </w:r>
      <w:r w:rsidRPr="00280A66">
        <w:rPr>
          <w:b/>
          <w:lang w:val="en-GB"/>
        </w:rPr>
        <w:t xml:space="preserve">                                                                          </w:t>
      </w:r>
    </w:p>
    <w:p w14:paraId="23C868A1" w14:textId="5057F55D" w:rsidR="00280A66" w:rsidRPr="00280A66" w:rsidRDefault="00280A66" w:rsidP="00280A66">
      <w:pPr>
        <w:ind w:left="4320" w:right="-52" w:firstLine="720"/>
        <w:rPr>
          <w:b/>
          <w:lang w:val="en-GB"/>
        </w:rPr>
      </w:pPr>
      <w:r w:rsidRPr="00280A66">
        <w:rPr>
          <w:b/>
          <w:lang w:val="en-GB"/>
        </w:rPr>
        <w:t xml:space="preserve">Delivered: </w:t>
      </w:r>
      <w:r w:rsidRPr="00280A66">
        <w:rPr>
          <w:b/>
          <w:lang w:val="en-GB"/>
        </w:rPr>
        <w:tab/>
      </w:r>
      <w:r>
        <w:rPr>
          <w:bCs/>
          <w:lang w:val="en-GB"/>
        </w:rPr>
        <w:t>29</w:t>
      </w:r>
      <w:r w:rsidRPr="00280A66">
        <w:rPr>
          <w:bCs/>
          <w:lang w:val="en-GB"/>
        </w:rPr>
        <w:t xml:space="preserve"> March 2022</w:t>
      </w:r>
      <w:r w:rsidRPr="00280A66">
        <w:rPr>
          <w:b/>
          <w:lang w:val="en-GB"/>
        </w:rPr>
        <w:t xml:space="preserve"> </w:t>
      </w:r>
    </w:p>
    <w:p w14:paraId="5A62BC42" w14:textId="77777777" w:rsidR="00280A66" w:rsidRPr="00280A66" w:rsidRDefault="00280A66" w:rsidP="00280A66">
      <w:pPr>
        <w:jc w:val="both"/>
        <w:rPr>
          <w:lang w:val="en-GB"/>
        </w:rPr>
      </w:pPr>
    </w:p>
    <w:p w14:paraId="398380BF" w14:textId="77777777" w:rsidR="007A7BBE" w:rsidRPr="00044B50" w:rsidRDefault="007A7BBE" w:rsidP="004A5151">
      <w:pPr>
        <w:autoSpaceDE w:val="0"/>
        <w:autoSpaceDN w:val="0"/>
        <w:adjustRightInd w:val="0"/>
        <w:jc w:val="both"/>
        <w:rPr>
          <w:lang w:val="en-GB"/>
        </w:rPr>
      </w:pPr>
    </w:p>
    <w:p w14:paraId="61E71028" w14:textId="65E28C61" w:rsidR="000A6772" w:rsidRDefault="000A6772" w:rsidP="00772E4B">
      <w:pPr>
        <w:jc w:val="both"/>
        <w:rPr>
          <w:lang w:val="en-GB"/>
        </w:rPr>
      </w:pPr>
    </w:p>
    <w:p w14:paraId="441EB276" w14:textId="77777777" w:rsidR="000A6772" w:rsidRPr="00EE2CA5" w:rsidRDefault="000A6772" w:rsidP="000A6772">
      <w:pPr>
        <w:jc w:val="both"/>
        <w:rPr>
          <w:color w:val="auto"/>
        </w:rPr>
      </w:pPr>
      <w:r w:rsidRPr="00EE2CA5">
        <w:rPr>
          <w:color w:val="auto"/>
        </w:rPr>
        <w:t>Appearances:</w:t>
      </w:r>
    </w:p>
    <w:p w14:paraId="68B138EC" w14:textId="77777777" w:rsidR="000A6772" w:rsidRPr="00EE2CA5" w:rsidRDefault="000A6772" w:rsidP="000A6772">
      <w:pPr>
        <w:tabs>
          <w:tab w:val="left" w:pos="4395"/>
          <w:tab w:val="left" w:pos="4536"/>
        </w:tabs>
        <w:jc w:val="both"/>
        <w:rPr>
          <w:color w:val="auto"/>
        </w:rPr>
      </w:pPr>
      <w:r w:rsidRPr="00EE2CA5">
        <w:rPr>
          <w:color w:val="auto"/>
        </w:rPr>
        <w:t xml:space="preserve">                                                                 </w:t>
      </w:r>
    </w:p>
    <w:p w14:paraId="71E1B0B0" w14:textId="3ECF498E" w:rsidR="000A6772" w:rsidRPr="00EE2CA5" w:rsidRDefault="000A6772" w:rsidP="000A6772">
      <w:pPr>
        <w:tabs>
          <w:tab w:val="left" w:pos="4253"/>
        </w:tabs>
        <w:jc w:val="both"/>
        <w:rPr>
          <w:color w:val="auto"/>
        </w:rPr>
      </w:pPr>
      <w:r w:rsidRPr="00EE2CA5">
        <w:rPr>
          <w:color w:val="auto"/>
        </w:rPr>
        <w:t xml:space="preserve">For the Plaintiff: </w:t>
      </w:r>
      <w:r w:rsidRPr="00EE2CA5">
        <w:rPr>
          <w:color w:val="auto"/>
        </w:rPr>
        <w:tab/>
        <w:t xml:space="preserve">Adv </w:t>
      </w:r>
      <w:r>
        <w:rPr>
          <w:color w:val="auto"/>
        </w:rPr>
        <w:t>A E Teko</w:t>
      </w:r>
    </w:p>
    <w:p w14:paraId="7A4452E9" w14:textId="5E27BE9F" w:rsidR="000A6772" w:rsidRDefault="000A6772" w:rsidP="000A6772">
      <w:pPr>
        <w:tabs>
          <w:tab w:val="left" w:pos="4253"/>
        </w:tabs>
        <w:jc w:val="both"/>
        <w:rPr>
          <w:color w:val="auto"/>
        </w:rPr>
      </w:pPr>
      <w:r w:rsidRPr="00EE2CA5">
        <w:rPr>
          <w:color w:val="auto"/>
        </w:rPr>
        <w:t>Instructed by:</w:t>
      </w:r>
      <w:r w:rsidRPr="00EE2CA5">
        <w:rPr>
          <w:color w:val="auto"/>
        </w:rPr>
        <w:tab/>
      </w:r>
      <w:r>
        <w:rPr>
          <w:color w:val="auto"/>
        </w:rPr>
        <w:t xml:space="preserve">Whitesides Attorneys </w:t>
      </w:r>
    </w:p>
    <w:p w14:paraId="35C8CBBB" w14:textId="547DC2AA" w:rsidR="000A6772" w:rsidRDefault="000A6772" w:rsidP="000A6772">
      <w:pPr>
        <w:tabs>
          <w:tab w:val="left" w:pos="4253"/>
        </w:tabs>
        <w:jc w:val="both"/>
        <w:rPr>
          <w:color w:val="auto"/>
        </w:rPr>
      </w:pPr>
      <w:r>
        <w:rPr>
          <w:color w:val="auto"/>
        </w:rPr>
        <w:tab/>
        <w:t>Makhanda</w:t>
      </w:r>
    </w:p>
    <w:p w14:paraId="77A1D383" w14:textId="54B129F0" w:rsidR="000A6772" w:rsidRDefault="000A6772" w:rsidP="000A6772">
      <w:pPr>
        <w:tabs>
          <w:tab w:val="left" w:pos="4253"/>
        </w:tabs>
        <w:jc w:val="both"/>
        <w:rPr>
          <w:color w:val="auto"/>
        </w:rPr>
      </w:pPr>
      <w:r>
        <w:rPr>
          <w:color w:val="auto"/>
        </w:rPr>
        <w:tab/>
        <w:t>046 622 7117</w:t>
      </w:r>
    </w:p>
    <w:p w14:paraId="2BA2BBB9" w14:textId="4E70EDA6" w:rsidR="000A6772" w:rsidRPr="00EE2CA5" w:rsidRDefault="000A6772" w:rsidP="000A6772">
      <w:pPr>
        <w:tabs>
          <w:tab w:val="left" w:pos="4253"/>
        </w:tabs>
        <w:jc w:val="both"/>
        <w:rPr>
          <w:color w:val="auto"/>
        </w:rPr>
      </w:pPr>
      <w:r>
        <w:rPr>
          <w:color w:val="auto"/>
        </w:rPr>
        <w:tab/>
        <w:t>Pa1@whitesides.co.za</w:t>
      </w:r>
    </w:p>
    <w:p w14:paraId="3F304BF7" w14:textId="77777777" w:rsidR="000A6772" w:rsidRPr="00044B50" w:rsidRDefault="000A6772" w:rsidP="00772E4B">
      <w:pPr>
        <w:jc w:val="both"/>
        <w:rPr>
          <w:lang w:val="en-GB"/>
        </w:rPr>
      </w:pPr>
    </w:p>
    <w:p w14:paraId="412BB833" w14:textId="77777777" w:rsidR="007C247A" w:rsidRPr="00044B50" w:rsidRDefault="007C247A" w:rsidP="00772E4B">
      <w:pPr>
        <w:jc w:val="both"/>
        <w:rPr>
          <w:lang w:val="en-GB"/>
        </w:rPr>
      </w:pPr>
    </w:p>
    <w:p w14:paraId="5F4493FD" w14:textId="78FE8978" w:rsidR="00C038B8" w:rsidRPr="00044B50" w:rsidRDefault="00441E70" w:rsidP="00772E4B">
      <w:pPr>
        <w:tabs>
          <w:tab w:val="left" w:pos="3402"/>
          <w:tab w:val="center" w:pos="4003"/>
        </w:tabs>
        <w:jc w:val="both"/>
        <w:rPr>
          <w:lang w:val="en-GB"/>
        </w:rPr>
      </w:pPr>
      <w:r w:rsidRPr="00044B50">
        <w:rPr>
          <w:lang w:val="en-GB"/>
        </w:rPr>
        <w:tab/>
      </w: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8A422" w14:textId="77777777" w:rsidR="009C70E1" w:rsidRDefault="009C70E1" w:rsidP="00005691">
      <w:r>
        <w:separator/>
      </w:r>
    </w:p>
  </w:endnote>
  <w:endnote w:type="continuationSeparator" w:id="0">
    <w:p w14:paraId="4ADD01D6" w14:textId="77777777" w:rsidR="009C70E1" w:rsidRDefault="009C70E1"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5D184" w14:textId="77777777" w:rsidR="009C70E1" w:rsidRDefault="009C70E1" w:rsidP="00005691">
      <w:r>
        <w:separator/>
      </w:r>
    </w:p>
  </w:footnote>
  <w:footnote w:type="continuationSeparator" w:id="0">
    <w:p w14:paraId="6C35CF47" w14:textId="77777777" w:rsidR="009C70E1" w:rsidRDefault="009C70E1" w:rsidP="00005691">
      <w:r>
        <w:continuationSeparator/>
      </w:r>
    </w:p>
  </w:footnote>
  <w:footnote w:id="1">
    <w:p w14:paraId="34BD1281" w14:textId="217AA451" w:rsidR="00542080" w:rsidRPr="00542080" w:rsidRDefault="00542080" w:rsidP="00F02196">
      <w:pPr>
        <w:pStyle w:val="FootnoteText"/>
        <w:spacing w:line="240" w:lineRule="auto"/>
        <w:jc w:val="both"/>
        <w:rPr>
          <w:lang w:val="en-US"/>
        </w:rPr>
      </w:pPr>
      <w:r>
        <w:rPr>
          <w:rStyle w:val="FootnoteReference"/>
        </w:rPr>
        <w:footnoteRef/>
      </w:r>
      <w:r>
        <w:t xml:space="preserve"> </w:t>
      </w:r>
      <w:r>
        <w:rPr>
          <w:lang w:val="en-US"/>
        </w:rPr>
        <w:t>Act 10 of 2013.</w:t>
      </w:r>
    </w:p>
  </w:footnote>
  <w:footnote w:id="2">
    <w:p w14:paraId="264C4322" w14:textId="3CFEDF2A" w:rsidR="00D803DC" w:rsidRPr="009433CC" w:rsidRDefault="00D803DC" w:rsidP="00F02196">
      <w:pPr>
        <w:pStyle w:val="FootnoteText"/>
        <w:spacing w:line="240" w:lineRule="auto"/>
        <w:jc w:val="both"/>
        <w:rPr>
          <w:lang w:val="en-US"/>
        </w:rPr>
      </w:pPr>
      <w:r>
        <w:rPr>
          <w:rStyle w:val="FootnoteReference"/>
        </w:rPr>
        <w:footnoteRef/>
      </w:r>
      <w:r>
        <w:t xml:space="preserve"> </w:t>
      </w:r>
      <w:r>
        <w:rPr>
          <w:lang w:val="en-US"/>
        </w:rPr>
        <w:t>S 166</w:t>
      </w:r>
      <w:r w:rsidR="00B45374">
        <w:rPr>
          <w:i/>
          <w:iCs/>
          <w:lang w:val="en-US"/>
        </w:rPr>
        <w:t>(c)</w:t>
      </w:r>
      <w:r>
        <w:rPr>
          <w:lang w:val="en-US"/>
        </w:rPr>
        <w:t xml:space="preserve"> of the Constitution.</w:t>
      </w:r>
      <w:r w:rsidR="009433CC">
        <w:rPr>
          <w:lang w:val="en-US"/>
        </w:rPr>
        <w:t xml:space="preserve"> For a useful synopsis of the history of the Act and its application in the Eastern Cape Division, see the judgment of Chetty J in </w:t>
      </w:r>
      <w:r w:rsidR="009433CC">
        <w:rPr>
          <w:i/>
          <w:iCs/>
          <w:lang w:val="en-US"/>
        </w:rPr>
        <w:t xml:space="preserve">Thembani Wholesalers v September </w:t>
      </w:r>
      <w:r w:rsidR="009433CC">
        <w:rPr>
          <w:lang w:val="en-US"/>
        </w:rPr>
        <w:t>2014 (5) SA 51 (E).</w:t>
      </w:r>
    </w:p>
  </w:footnote>
  <w:footnote w:id="3">
    <w:p w14:paraId="5753B49F" w14:textId="3E4F54E8" w:rsidR="00CD0B86" w:rsidRPr="00CD0B86" w:rsidRDefault="00CD0B86" w:rsidP="00F02196">
      <w:pPr>
        <w:pStyle w:val="FootnoteText"/>
        <w:spacing w:line="240" w:lineRule="auto"/>
        <w:jc w:val="both"/>
        <w:rPr>
          <w:lang w:val="en-US"/>
        </w:rPr>
      </w:pPr>
      <w:r>
        <w:rPr>
          <w:rStyle w:val="FootnoteReference"/>
        </w:rPr>
        <w:footnoteRef/>
      </w:r>
      <w:r>
        <w:t xml:space="preserve"> </w:t>
      </w:r>
      <w:r>
        <w:rPr>
          <w:lang w:val="en-US"/>
        </w:rPr>
        <w:t>‘Division’ is defined in the Act to mean ‘any Division of the High Court’</w:t>
      </w:r>
      <w:r w:rsidR="00895349">
        <w:rPr>
          <w:lang w:val="en-US"/>
        </w:rPr>
        <w:t>, and ‘High Court’ is defined to mean ‘the High Court of South Africa referred to in section 6(1)’.</w:t>
      </w:r>
    </w:p>
  </w:footnote>
  <w:footnote w:id="4">
    <w:p w14:paraId="565BCDEB" w14:textId="72A7F00A" w:rsidR="00E81547" w:rsidRPr="00E81547" w:rsidRDefault="00E81547" w:rsidP="00F02196">
      <w:pPr>
        <w:pStyle w:val="FootnoteText"/>
        <w:spacing w:line="240" w:lineRule="auto"/>
        <w:jc w:val="both"/>
        <w:rPr>
          <w:lang w:val="en-US"/>
        </w:rPr>
      </w:pPr>
      <w:r>
        <w:rPr>
          <w:rStyle w:val="FootnoteReference"/>
        </w:rPr>
        <w:footnoteRef/>
      </w:r>
      <w:r>
        <w:t xml:space="preserve"> </w:t>
      </w:r>
      <w:r>
        <w:rPr>
          <w:i/>
          <w:iCs/>
          <w:lang w:val="en-US"/>
        </w:rPr>
        <w:t xml:space="preserve">Murray </w:t>
      </w:r>
      <w:r w:rsidR="0016614F">
        <w:rPr>
          <w:i/>
          <w:iCs/>
          <w:lang w:val="en-US"/>
        </w:rPr>
        <w:t xml:space="preserve">NO </w:t>
      </w:r>
      <w:r>
        <w:rPr>
          <w:i/>
          <w:iCs/>
          <w:lang w:val="en-US"/>
        </w:rPr>
        <w:t>and others v African Global Holdings (Pty) Ltd and others</w:t>
      </w:r>
      <w:r>
        <w:rPr>
          <w:lang w:val="en-US"/>
        </w:rPr>
        <w:t xml:space="preserve"> 2020 (2) SA 93 (SCA) para 15.</w:t>
      </w:r>
    </w:p>
  </w:footnote>
  <w:footnote w:id="5">
    <w:p w14:paraId="0523C0F4" w14:textId="67AD2FA3" w:rsidR="00807B87" w:rsidRPr="008216BB" w:rsidRDefault="00807B87" w:rsidP="00F02196">
      <w:pPr>
        <w:pStyle w:val="FootnoteText"/>
        <w:spacing w:line="240" w:lineRule="auto"/>
        <w:jc w:val="both"/>
        <w:rPr>
          <w:lang w:val="en-US"/>
        </w:rPr>
      </w:pPr>
      <w:r>
        <w:rPr>
          <w:rStyle w:val="FootnoteReference"/>
        </w:rPr>
        <w:footnoteRef/>
      </w:r>
      <w:r>
        <w:t xml:space="preserve"> </w:t>
      </w:r>
      <w:r>
        <w:rPr>
          <w:lang w:val="en-US"/>
        </w:rPr>
        <w:t>S 6(1)</w:t>
      </w:r>
      <w:r>
        <w:rPr>
          <w:i/>
          <w:iCs/>
          <w:lang w:val="en-US"/>
        </w:rPr>
        <w:t>(a)</w:t>
      </w:r>
      <w:r w:rsidR="008216BB">
        <w:rPr>
          <w:lang w:val="en-US"/>
        </w:rPr>
        <w:t>, read with s 50(1)</w:t>
      </w:r>
      <w:r w:rsidR="008216BB">
        <w:rPr>
          <w:i/>
          <w:iCs/>
          <w:lang w:val="en-US"/>
        </w:rPr>
        <w:t>(b)</w:t>
      </w:r>
      <w:r w:rsidR="008216BB">
        <w:rPr>
          <w:lang w:val="en-US"/>
        </w:rPr>
        <w:t xml:space="preserve"> of the Act.</w:t>
      </w:r>
      <w:r w:rsidR="00CC22EC">
        <w:rPr>
          <w:lang w:val="en-US"/>
        </w:rPr>
        <w:t xml:space="preserve"> It may be noted that the name ‘Grahamstown’ has been changed to ‘Makhanda’ and that legal proceedings challenging this name-change are ongoing.</w:t>
      </w:r>
    </w:p>
  </w:footnote>
  <w:footnote w:id="6">
    <w:p w14:paraId="09C9F87F" w14:textId="6E2DAA5B" w:rsidR="008E265A" w:rsidRPr="008E265A" w:rsidRDefault="008E265A" w:rsidP="00F02196">
      <w:pPr>
        <w:pStyle w:val="FootnoteText"/>
        <w:spacing w:line="240" w:lineRule="auto"/>
        <w:jc w:val="both"/>
        <w:rPr>
          <w:lang w:val="en-US"/>
        </w:rPr>
      </w:pPr>
      <w:r>
        <w:rPr>
          <w:rStyle w:val="FootnoteReference"/>
        </w:rPr>
        <w:footnoteRef/>
      </w:r>
      <w:r>
        <w:t xml:space="preserve"> </w:t>
      </w:r>
      <w:r>
        <w:rPr>
          <w:lang w:val="en-US"/>
        </w:rPr>
        <w:t>Now Gqeberha.</w:t>
      </w:r>
    </w:p>
  </w:footnote>
  <w:footnote w:id="7">
    <w:p w14:paraId="27376D40" w14:textId="49EC5DA3" w:rsidR="00C6798D" w:rsidRPr="00C6798D" w:rsidRDefault="00C6798D" w:rsidP="00F02196">
      <w:pPr>
        <w:pStyle w:val="FootnoteText"/>
        <w:spacing w:line="240" w:lineRule="auto"/>
        <w:jc w:val="both"/>
        <w:rPr>
          <w:lang w:val="en-US"/>
        </w:rPr>
      </w:pPr>
      <w:r>
        <w:rPr>
          <w:rStyle w:val="FootnoteReference"/>
        </w:rPr>
        <w:footnoteRef/>
      </w:r>
      <w:r>
        <w:t xml:space="preserve"> </w:t>
      </w:r>
      <w:r>
        <w:rPr>
          <w:lang w:val="en-US"/>
        </w:rPr>
        <w:t>S 50(1)</w:t>
      </w:r>
      <w:r>
        <w:rPr>
          <w:i/>
          <w:iCs/>
          <w:lang w:val="en-US"/>
        </w:rPr>
        <w:t xml:space="preserve">(a), (c) </w:t>
      </w:r>
      <w:r>
        <w:rPr>
          <w:lang w:val="en-US"/>
        </w:rPr>
        <w:t xml:space="preserve">and </w:t>
      </w:r>
      <w:r>
        <w:rPr>
          <w:i/>
          <w:iCs/>
          <w:lang w:val="en-US"/>
        </w:rPr>
        <w:t>(d)</w:t>
      </w:r>
      <w:r>
        <w:rPr>
          <w:lang w:val="en-US"/>
        </w:rPr>
        <w:t xml:space="preserve"> of the Act.</w:t>
      </w:r>
      <w:r w:rsidR="008216BB">
        <w:rPr>
          <w:lang w:val="en-US"/>
        </w:rPr>
        <w:t xml:space="preserve"> </w:t>
      </w:r>
    </w:p>
  </w:footnote>
  <w:footnote w:id="8">
    <w:p w14:paraId="42CC5AA7" w14:textId="7B3FFC13" w:rsidR="0016614F" w:rsidRPr="00131015" w:rsidRDefault="0016614F" w:rsidP="00F02196">
      <w:pPr>
        <w:pStyle w:val="FootnoteText"/>
        <w:spacing w:line="240" w:lineRule="auto"/>
        <w:jc w:val="both"/>
        <w:rPr>
          <w:lang w:val="en-US"/>
        </w:rPr>
      </w:pPr>
      <w:r>
        <w:rPr>
          <w:rStyle w:val="FootnoteReference"/>
        </w:rPr>
        <w:footnoteRef/>
      </w:r>
      <w:r>
        <w:t xml:space="preserve"> </w:t>
      </w:r>
      <w:r w:rsidR="00131015">
        <w:rPr>
          <w:i/>
          <w:iCs/>
        </w:rPr>
        <w:t xml:space="preserve">Murray NO and others v African Global Holdings (Pty) Ltd and others </w:t>
      </w:r>
      <w:r w:rsidR="00131015">
        <w:t>op cit para 18.</w:t>
      </w:r>
    </w:p>
  </w:footnote>
  <w:footnote w:id="9">
    <w:p w14:paraId="2B0195D5" w14:textId="664ADB24" w:rsidR="00964D22" w:rsidRPr="00964D22" w:rsidRDefault="00964D22" w:rsidP="00F02196">
      <w:pPr>
        <w:pStyle w:val="FootnoteText"/>
        <w:spacing w:line="240" w:lineRule="auto"/>
        <w:jc w:val="both"/>
        <w:rPr>
          <w:lang w:val="en-US"/>
        </w:rPr>
      </w:pPr>
      <w:r>
        <w:rPr>
          <w:rStyle w:val="FootnoteReference"/>
        </w:rPr>
        <w:footnoteRef/>
      </w:r>
      <w:r>
        <w:t xml:space="preserve"> </w:t>
      </w:r>
      <w:r>
        <w:rPr>
          <w:lang w:val="en-US"/>
        </w:rPr>
        <w:t>S 6(3)</w:t>
      </w:r>
      <w:r>
        <w:rPr>
          <w:i/>
          <w:iCs/>
          <w:lang w:val="en-US"/>
        </w:rPr>
        <w:t xml:space="preserve">(a) </w:t>
      </w:r>
      <w:r>
        <w:rPr>
          <w:lang w:val="en-US"/>
        </w:rPr>
        <w:t>of the Act. The Minister may, in the same manner, amend or withdraw such a notice.</w:t>
      </w:r>
    </w:p>
  </w:footnote>
  <w:footnote w:id="10">
    <w:p w14:paraId="7082D011" w14:textId="4BBDB828" w:rsidR="0051487F" w:rsidRPr="0051487F" w:rsidRDefault="0051487F" w:rsidP="00F02196">
      <w:pPr>
        <w:pStyle w:val="FootnoteText"/>
        <w:spacing w:line="240" w:lineRule="auto"/>
        <w:jc w:val="both"/>
        <w:rPr>
          <w:lang w:val="en-US"/>
        </w:rPr>
      </w:pPr>
      <w:r>
        <w:rPr>
          <w:rStyle w:val="FootnoteReference"/>
        </w:rPr>
        <w:footnoteRef/>
      </w:r>
      <w:r>
        <w:t xml:space="preserve"> </w:t>
      </w:r>
      <w:r>
        <w:rPr>
          <w:lang w:val="en-US"/>
        </w:rPr>
        <w:t>S 6(3)</w:t>
      </w:r>
      <w:r>
        <w:rPr>
          <w:i/>
          <w:iCs/>
          <w:lang w:val="en-US"/>
        </w:rPr>
        <w:t xml:space="preserve">(c) </w:t>
      </w:r>
      <w:r>
        <w:rPr>
          <w:lang w:val="en-US"/>
        </w:rPr>
        <w:t>of the Act.</w:t>
      </w:r>
      <w:r w:rsidR="00D97D9D">
        <w:rPr>
          <w:lang w:val="en-US"/>
        </w:rPr>
        <w:t xml:space="preserve"> </w:t>
      </w:r>
    </w:p>
  </w:footnote>
  <w:footnote w:id="11">
    <w:p w14:paraId="1D44832A" w14:textId="6D8C26C9" w:rsidR="00D97D9D" w:rsidRPr="00D97D9D" w:rsidRDefault="00D97D9D" w:rsidP="00F02196">
      <w:pPr>
        <w:pStyle w:val="FootnoteText"/>
        <w:spacing w:line="240" w:lineRule="auto"/>
        <w:jc w:val="both"/>
        <w:rPr>
          <w:lang w:val="en-US"/>
        </w:rPr>
      </w:pPr>
      <w:r>
        <w:rPr>
          <w:rStyle w:val="FootnoteReference"/>
        </w:rPr>
        <w:footnoteRef/>
      </w:r>
      <w:r>
        <w:t xml:space="preserve"> </w:t>
      </w:r>
      <w:r>
        <w:rPr>
          <w:lang w:val="en-US"/>
        </w:rPr>
        <w:t>S 6(7) of the Act.</w:t>
      </w:r>
    </w:p>
  </w:footnote>
  <w:footnote w:id="12">
    <w:p w14:paraId="2C16F51E" w14:textId="0B9E9519" w:rsidR="00103770" w:rsidRPr="00103770" w:rsidRDefault="00103770" w:rsidP="00F02196">
      <w:pPr>
        <w:pStyle w:val="FootnoteText"/>
        <w:spacing w:line="240" w:lineRule="auto"/>
        <w:jc w:val="both"/>
        <w:rPr>
          <w:lang w:val="en-US"/>
        </w:rPr>
      </w:pPr>
      <w:r>
        <w:rPr>
          <w:rStyle w:val="FootnoteReference"/>
        </w:rPr>
        <w:footnoteRef/>
      </w:r>
      <w:r>
        <w:t xml:space="preserve"> </w:t>
      </w:r>
      <w:r>
        <w:rPr>
          <w:lang w:val="en-US"/>
        </w:rPr>
        <w:t>S 7(3) of the Act.</w:t>
      </w:r>
    </w:p>
  </w:footnote>
  <w:footnote w:id="13">
    <w:p w14:paraId="0C83CAB1" w14:textId="6D636F55" w:rsidR="00115835" w:rsidRPr="00115835" w:rsidRDefault="00115835" w:rsidP="00F02196">
      <w:pPr>
        <w:pStyle w:val="FootnoteText"/>
        <w:spacing w:line="240" w:lineRule="auto"/>
        <w:jc w:val="both"/>
        <w:rPr>
          <w:lang w:val="en-US"/>
        </w:rPr>
      </w:pPr>
      <w:r>
        <w:rPr>
          <w:rStyle w:val="FootnoteReference"/>
        </w:rPr>
        <w:footnoteRef/>
      </w:r>
      <w:r>
        <w:t xml:space="preserve"> </w:t>
      </w:r>
      <w:r>
        <w:rPr>
          <w:lang w:val="en-US"/>
        </w:rPr>
        <w:t xml:space="preserve">S 7(1) of the Act. In each circuit district of a </w:t>
      </w:r>
      <w:r w:rsidR="00D75BEA">
        <w:rPr>
          <w:lang w:val="en-US"/>
        </w:rPr>
        <w:t>d</w:t>
      </w:r>
      <w:r>
        <w:rPr>
          <w:lang w:val="en-US"/>
        </w:rPr>
        <w:t xml:space="preserve">ivision there must be held, at least twice a year and at such times and places as may be determined by the Judge President concerned, a court which must be presided over by a judge of that </w:t>
      </w:r>
      <w:r w:rsidR="00D75BEA">
        <w:rPr>
          <w:lang w:val="en-US"/>
        </w:rPr>
        <w:t>d</w:t>
      </w:r>
      <w:r>
        <w:rPr>
          <w:lang w:val="en-US"/>
        </w:rPr>
        <w:t>ivision: s 7(2) of the Act.</w:t>
      </w:r>
    </w:p>
  </w:footnote>
  <w:footnote w:id="14">
    <w:p w14:paraId="7A9E9266" w14:textId="19B8496C" w:rsidR="007A2EA6" w:rsidRPr="007A2EA6" w:rsidRDefault="007A2EA6" w:rsidP="00F02196">
      <w:pPr>
        <w:pStyle w:val="FootnoteText"/>
        <w:spacing w:line="240" w:lineRule="auto"/>
        <w:jc w:val="both"/>
        <w:rPr>
          <w:lang w:val="en-US"/>
        </w:rPr>
      </w:pPr>
      <w:r>
        <w:rPr>
          <w:rStyle w:val="FootnoteReference"/>
        </w:rPr>
        <w:footnoteRef/>
      </w:r>
      <w:r>
        <w:t xml:space="preserve"> </w:t>
      </w:r>
      <w:r>
        <w:rPr>
          <w:lang w:val="en-US"/>
        </w:rPr>
        <w:t>Act 59 of 1959.</w:t>
      </w:r>
    </w:p>
  </w:footnote>
  <w:footnote w:id="15">
    <w:p w14:paraId="78CAD486" w14:textId="1A996793" w:rsidR="00403408" w:rsidRPr="00403408" w:rsidRDefault="00403408" w:rsidP="00F02196">
      <w:pPr>
        <w:pStyle w:val="FootnoteText"/>
        <w:spacing w:line="240" w:lineRule="auto"/>
        <w:jc w:val="both"/>
        <w:rPr>
          <w:lang w:val="en-US"/>
        </w:rPr>
      </w:pPr>
      <w:r>
        <w:rPr>
          <w:rStyle w:val="FootnoteReference"/>
        </w:rPr>
        <w:footnoteRef/>
      </w:r>
      <w:r>
        <w:t xml:space="preserve"> </w:t>
      </w:r>
      <w:r>
        <w:rPr>
          <w:lang w:val="en-US"/>
        </w:rPr>
        <w:t>Four civil terms and four criminal terms are held during the year and two motion courts are provided each month throughout the year (sitting on the second and fourth Tuesday of every month).</w:t>
      </w:r>
    </w:p>
  </w:footnote>
  <w:footnote w:id="16">
    <w:p w14:paraId="718D380F" w14:textId="73399A78" w:rsidR="008D2940" w:rsidRPr="008D2940" w:rsidRDefault="008D2940" w:rsidP="00F02196">
      <w:pPr>
        <w:pStyle w:val="FootnoteText"/>
        <w:spacing w:line="240" w:lineRule="auto"/>
        <w:jc w:val="both"/>
        <w:rPr>
          <w:lang w:val="en-US"/>
        </w:rPr>
      </w:pPr>
      <w:r>
        <w:rPr>
          <w:rStyle w:val="FootnoteReference"/>
        </w:rPr>
        <w:footnoteRef/>
      </w:r>
      <w:r>
        <w:t xml:space="preserve"> </w:t>
      </w:r>
      <w:r>
        <w:rPr>
          <w:lang w:val="en-US"/>
        </w:rPr>
        <w:t>S 51 of the Act provides that the rules applicable to the various High Courts immediately before the commencement of this section remain in force to the extent that they are not inconsistent with the Act, until repealed or amended.</w:t>
      </w:r>
    </w:p>
  </w:footnote>
  <w:footnote w:id="17">
    <w:p w14:paraId="04E9365D" w14:textId="0C5A99EA" w:rsidR="006C39FC" w:rsidRPr="006C39FC" w:rsidRDefault="006C39FC" w:rsidP="00F02196">
      <w:pPr>
        <w:pStyle w:val="FootnoteText"/>
        <w:spacing w:line="240" w:lineRule="auto"/>
        <w:jc w:val="both"/>
        <w:rPr>
          <w:lang w:val="en-US"/>
        </w:rPr>
      </w:pPr>
      <w:r>
        <w:rPr>
          <w:rStyle w:val="FootnoteReference"/>
        </w:rPr>
        <w:footnoteRef/>
      </w:r>
      <w:r>
        <w:t xml:space="preserve"> </w:t>
      </w:r>
      <w:r>
        <w:rPr>
          <w:lang w:val="en-US"/>
        </w:rPr>
        <w:t>S 50(3) of the Act.</w:t>
      </w:r>
    </w:p>
  </w:footnote>
  <w:footnote w:id="18">
    <w:p w14:paraId="53E8B218" w14:textId="197CA517" w:rsidR="00B92BF6" w:rsidRPr="00B92BF6" w:rsidRDefault="00B92BF6" w:rsidP="00F02196">
      <w:pPr>
        <w:pStyle w:val="FootnoteText"/>
        <w:spacing w:line="240" w:lineRule="auto"/>
        <w:jc w:val="both"/>
        <w:rPr>
          <w:lang w:val="en-US"/>
        </w:rPr>
      </w:pPr>
      <w:r>
        <w:rPr>
          <w:rStyle w:val="FootnoteReference"/>
        </w:rPr>
        <w:footnoteRef/>
      </w:r>
      <w:r>
        <w:t xml:space="preserve"> </w:t>
      </w:r>
      <w:r>
        <w:rPr>
          <w:lang w:val="en-US"/>
        </w:rPr>
        <w:t xml:space="preserve">See DE van Loggerenberg </w:t>
      </w:r>
      <w:r>
        <w:rPr>
          <w:i/>
          <w:iCs/>
          <w:lang w:val="en-US"/>
        </w:rPr>
        <w:t>Erasmus: Superior Court Practice</w:t>
      </w:r>
      <w:r>
        <w:rPr>
          <w:lang w:val="en-US"/>
        </w:rPr>
        <w:t xml:space="preserve"> RS 12 (2020) A2-10F.</w:t>
      </w:r>
    </w:p>
  </w:footnote>
  <w:footnote w:id="19">
    <w:p w14:paraId="7AD61677" w14:textId="334A20B4" w:rsidR="00A26BE4" w:rsidRPr="00A26BE4" w:rsidRDefault="00A26BE4" w:rsidP="00F02196">
      <w:pPr>
        <w:pStyle w:val="FootnoteText"/>
        <w:spacing w:line="240" w:lineRule="auto"/>
        <w:jc w:val="both"/>
        <w:rPr>
          <w:lang w:val="en-US"/>
        </w:rPr>
      </w:pPr>
      <w:r>
        <w:rPr>
          <w:rStyle w:val="FootnoteReference"/>
        </w:rPr>
        <w:footnoteRef/>
      </w:r>
      <w:r>
        <w:t xml:space="preserve"> </w:t>
      </w:r>
      <w:r>
        <w:rPr>
          <w:lang w:val="en-US"/>
        </w:rPr>
        <w:t>Similarly, reference to the ‘Joint Rules of Practice for the High Courts of the Eastern Cape Province’ should be read as ‘Joint Rules of Practice for the Eastern Cape Division of the High Court of South Africa’: s 6</w:t>
      </w:r>
      <w:r>
        <w:rPr>
          <w:i/>
          <w:iCs/>
          <w:lang w:val="en-US"/>
        </w:rPr>
        <w:t xml:space="preserve">(a) </w:t>
      </w:r>
      <w:r>
        <w:rPr>
          <w:lang w:val="en-US"/>
        </w:rPr>
        <w:t>of the Act.</w:t>
      </w:r>
    </w:p>
  </w:footnote>
  <w:footnote w:id="20">
    <w:p w14:paraId="26D35B65" w14:textId="0B86CB6A" w:rsidR="004873C7" w:rsidRPr="004873C7" w:rsidRDefault="004873C7" w:rsidP="00F02196">
      <w:pPr>
        <w:pStyle w:val="FootnoteText"/>
        <w:spacing w:line="240" w:lineRule="auto"/>
        <w:jc w:val="both"/>
        <w:rPr>
          <w:lang w:val="en-US"/>
        </w:rPr>
      </w:pPr>
      <w:r>
        <w:rPr>
          <w:rStyle w:val="FootnoteReference"/>
        </w:rPr>
        <w:footnoteRef/>
      </w:r>
      <w:r>
        <w:t xml:space="preserve"> </w:t>
      </w:r>
      <w:r>
        <w:rPr>
          <w:lang w:val="en-US"/>
        </w:rPr>
        <w:t>S</w:t>
      </w:r>
      <w:r w:rsidR="000872A6">
        <w:rPr>
          <w:lang w:val="en-US"/>
        </w:rPr>
        <w:t>s</w:t>
      </w:r>
      <w:r>
        <w:rPr>
          <w:lang w:val="en-US"/>
        </w:rPr>
        <w:t xml:space="preserve"> 27(1)</w:t>
      </w:r>
      <w:r>
        <w:rPr>
          <w:i/>
          <w:iCs/>
          <w:lang w:val="en-US"/>
        </w:rPr>
        <w:t>(a)</w:t>
      </w:r>
      <w:r>
        <w:rPr>
          <w:lang w:val="en-US"/>
        </w:rPr>
        <w:t xml:space="preserve"> and </w:t>
      </w:r>
      <w:r>
        <w:rPr>
          <w:i/>
          <w:iCs/>
          <w:lang w:val="en-US"/>
        </w:rPr>
        <w:t>(b)</w:t>
      </w:r>
      <w:r>
        <w:rPr>
          <w:lang w:val="en-US"/>
        </w:rPr>
        <w:t xml:space="preserve"> of the Act.</w:t>
      </w:r>
    </w:p>
  </w:footnote>
  <w:footnote w:id="21">
    <w:p w14:paraId="60BBC316" w14:textId="29DA2305" w:rsidR="002E2ECA" w:rsidRPr="002E2ECA" w:rsidRDefault="002E2ECA" w:rsidP="00F02196">
      <w:pPr>
        <w:pStyle w:val="FootnoteText"/>
        <w:spacing w:line="240" w:lineRule="auto"/>
        <w:jc w:val="both"/>
        <w:rPr>
          <w:lang w:val="en-US"/>
        </w:rPr>
      </w:pPr>
      <w:r>
        <w:rPr>
          <w:rStyle w:val="FootnoteReference"/>
        </w:rPr>
        <w:footnoteRef/>
      </w:r>
      <w:r>
        <w:t xml:space="preserve"> </w:t>
      </w:r>
      <w:r>
        <w:rPr>
          <w:lang w:val="en-US"/>
        </w:rPr>
        <w:t>S 27(1) of the Act.</w:t>
      </w:r>
      <w:r w:rsidR="0057665C">
        <w:rPr>
          <w:lang w:val="en-US"/>
        </w:rPr>
        <w:t xml:space="preserve"> An order for removal under subs (1) must be transmitted to the registrar of the court to which the removal is ordered, and upon receipt of such order that court may hear and determine the proceedings in question: s 27(2) of the Act.</w:t>
      </w:r>
    </w:p>
  </w:footnote>
  <w:footnote w:id="22">
    <w:p w14:paraId="32E55FD3" w14:textId="7F22CBE6" w:rsidR="00EE77B5" w:rsidRPr="00EE77B5" w:rsidRDefault="00EE77B5" w:rsidP="00F02196">
      <w:pPr>
        <w:pStyle w:val="FootnoteText"/>
        <w:spacing w:line="240" w:lineRule="auto"/>
        <w:jc w:val="both"/>
        <w:rPr>
          <w:lang w:val="en-US"/>
        </w:rPr>
      </w:pPr>
      <w:r>
        <w:rPr>
          <w:rStyle w:val="FootnoteReference"/>
        </w:rPr>
        <w:footnoteRef/>
      </w:r>
      <w:r>
        <w:t xml:space="preserve"> </w:t>
      </w:r>
      <w:r>
        <w:rPr>
          <w:lang w:val="en-US"/>
        </w:rPr>
        <w:t>S 6(3)</w:t>
      </w:r>
      <w:r>
        <w:rPr>
          <w:i/>
          <w:iCs/>
          <w:lang w:val="en-US"/>
        </w:rPr>
        <w:t>(c)</w:t>
      </w:r>
      <w:r>
        <w:rPr>
          <w:lang w:val="en-US"/>
        </w:rPr>
        <w:t xml:space="preserve"> of the Act.</w:t>
      </w:r>
    </w:p>
  </w:footnote>
  <w:footnote w:id="23">
    <w:p w14:paraId="43DD4C91" w14:textId="7A8EDFF5" w:rsidR="00804C36" w:rsidRPr="00804C36" w:rsidRDefault="00804C36" w:rsidP="00F02196">
      <w:pPr>
        <w:pStyle w:val="FootnoteText"/>
        <w:spacing w:line="240" w:lineRule="auto"/>
        <w:jc w:val="both"/>
        <w:rPr>
          <w:lang w:val="en-US"/>
        </w:rPr>
      </w:pPr>
      <w:r>
        <w:rPr>
          <w:rStyle w:val="FootnoteReference"/>
        </w:rPr>
        <w:footnoteRef/>
      </w:r>
      <w:r>
        <w:t xml:space="preserve"> </w:t>
      </w:r>
      <w:r>
        <w:rPr>
          <w:lang w:val="en-US"/>
        </w:rPr>
        <w:t xml:space="preserve">These local seats are endowed with concurrent jurisdiction over smaller areas than that enjoyed by the division’s main seat: </w:t>
      </w:r>
      <w:r>
        <w:rPr>
          <w:i/>
          <w:iCs/>
          <w:lang w:val="en-US"/>
        </w:rPr>
        <w:t xml:space="preserve">Thembani Wholesalers v September </w:t>
      </w:r>
      <w:r>
        <w:rPr>
          <w:lang w:val="en-US"/>
        </w:rPr>
        <w:t xml:space="preserve">op cit </w:t>
      </w:r>
      <w:r w:rsidR="00133F24">
        <w:rPr>
          <w:lang w:val="en-US"/>
        </w:rPr>
        <w:t>para 10</w:t>
      </w:r>
      <w:r w:rsidR="00C901AA">
        <w:rPr>
          <w:lang w:val="en-US"/>
        </w:rPr>
        <w:t xml:space="preserve">, cited with approval in </w:t>
      </w:r>
      <w:r w:rsidR="005F7D8A">
        <w:rPr>
          <w:i/>
          <w:iCs/>
        </w:rPr>
        <w:t xml:space="preserve">The </w:t>
      </w:r>
      <w:r w:rsidR="005F7D8A">
        <w:rPr>
          <w:i/>
          <w:iCs/>
          <w:lang w:val="en-US"/>
        </w:rPr>
        <w:t>Standard Bank of SA Ltd and others v Thobejane and others</w:t>
      </w:r>
      <w:r w:rsidR="005F7D8A">
        <w:rPr>
          <w:lang w:val="en-US"/>
        </w:rPr>
        <w:t xml:space="preserve"> and </w:t>
      </w:r>
      <w:r w:rsidR="005F7D8A">
        <w:rPr>
          <w:i/>
          <w:iCs/>
          <w:lang w:val="en-US"/>
        </w:rPr>
        <w:t>The Standard Bank of SA Ltd v Gqirana NO and another</w:t>
      </w:r>
      <w:r w:rsidR="005F7D8A">
        <w:rPr>
          <w:lang w:val="en-US"/>
        </w:rPr>
        <w:t xml:space="preserve"> [2021] ZASCA 92 para 33.</w:t>
      </w:r>
    </w:p>
  </w:footnote>
  <w:footnote w:id="24">
    <w:p w14:paraId="157632FB" w14:textId="2C7D8C9A" w:rsidR="00F32122" w:rsidRPr="00F32122" w:rsidRDefault="00F32122" w:rsidP="00F02196">
      <w:pPr>
        <w:pStyle w:val="FootnoteText"/>
        <w:spacing w:line="240" w:lineRule="auto"/>
        <w:jc w:val="both"/>
        <w:rPr>
          <w:lang w:val="en-US"/>
        </w:rPr>
      </w:pPr>
      <w:r>
        <w:rPr>
          <w:rStyle w:val="FootnoteReference"/>
        </w:rPr>
        <w:footnoteRef/>
      </w:r>
      <w:r>
        <w:t xml:space="preserve"> </w:t>
      </w:r>
      <w:r>
        <w:rPr>
          <w:lang w:val="en-US"/>
        </w:rPr>
        <w:t>S 50(1) of the Act, read with s 6(3)</w:t>
      </w:r>
      <w:r>
        <w:rPr>
          <w:i/>
          <w:iCs/>
          <w:lang w:val="en-US"/>
        </w:rPr>
        <w:t>(a)</w:t>
      </w:r>
      <w:r>
        <w:rPr>
          <w:lang w:val="en-US"/>
        </w:rPr>
        <w:t>.</w:t>
      </w:r>
    </w:p>
  </w:footnote>
  <w:footnote w:id="25">
    <w:p w14:paraId="7EA927D7" w14:textId="368EF6E6" w:rsidR="00A340F6" w:rsidRPr="00A340F6" w:rsidRDefault="00A340F6" w:rsidP="00F02196">
      <w:pPr>
        <w:pStyle w:val="FootnoteText"/>
        <w:spacing w:line="240" w:lineRule="auto"/>
        <w:jc w:val="both"/>
        <w:rPr>
          <w:lang w:val="en-US"/>
        </w:rPr>
      </w:pPr>
      <w:r>
        <w:rPr>
          <w:rStyle w:val="FootnoteReference"/>
        </w:rPr>
        <w:footnoteRef/>
      </w:r>
      <w:r>
        <w:t xml:space="preserve"> </w:t>
      </w:r>
      <w:r>
        <w:rPr>
          <w:lang w:val="en-US"/>
        </w:rPr>
        <w:t>1941 CPD 391.</w:t>
      </w:r>
    </w:p>
  </w:footnote>
  <w:footnote w:id="26">
    <w:p w14:paraId="21FDEB3F" w14:textId="4435185D" w:rsidR="001B18DE" w:rsidRPr="001B18DE" w:rsidRDefault="001B18DE" w:rsidP="00F02196">
      <w:pPr>
        <w:pStyle w:val="FootnoteText"/>
        <w:spacing w:line="240" w:lineRule="auto"/>
        <w:jc w:val="both"/>
        <w:rPr>
          <w:lang w:val="en-US"/>
        </w:rPr>
      </w:pPr>
      <w:r>
        <w:rPr>
          <w:rStyle w:val="FootnoteReference"/>
        </w:rPr>
        <w:footnoteRef/>
      </w:r>
      <w:r>
        <w:t xml:space="preserve"> </w:t>
      </w:r>
      <w:r>
        <w:rPr>
          <w:lang w:val="en-US"/>
        </w:rPr>
        <w:t>1969 (2) SA 430 (C).</w:t>
      </w:r>
    </w:p>
  </w:footnote>
  <w:footnote w:id="27">
    <w:p w14:paraId="2D451FBC" w14:textId="76D5EAC6" w:rsidR="007C2BF9" w:rsidRPr="00A32079" w:rsidRDefault="007C2BF9" w:rsidP="00F02196">
      <w:pPr>
        <w:pStyle w:val="FootnoteText"/>
        <w:spacing w:line="240" w:lineRule="auto"/>
        <w:jc w:val="both"/>
        <w:rPr>
          <w:lang w:val="en-US"/>
        </w:rPr>
      </w:pPr>
      <w:r>
        <w:rPr>
          <w:rStyle w:val="FootnoteReference"/>
        </w:rPr>
        <w:footnoteRef/>
      </w:r>
      <w:r>
        <w:t xml:space="preserve"> </w:t>
      </w:r>
      <w:r>
        <w:rPr>
          <w:i/>
          <w:iCs/>
          <w:lang w:val="en-US"/>
        </w:rPr>
        <w:t xml:space="preserve">Thembani Wholesalers v September </w:t>
      </w:r>
      <w:r>
        <w:rPr>
          <w:lang w:val="en-US"/>
        </w:rPr>
        <w:t>op cit para 11.</w:t>
      </w:r>
      <w:r w:rsidR="00A32079">
        <w:rPr>
          <w:lang w:val="en-US"/>
        </w:rPr>
        <w:t xml:space="preserve"> Also see </w:t>
      </w:r>
      <w:r w:rsidR="00A32079">
        <w:rPr>
          <w:i/>
          <w:iCs/>
        </w:rPr>
        <w:t xml:space="preserve">The </w:t>
      </w:r>
      <w:r w:rsidR="00A32079">
        <w:rPr>
          <w:i/>
          <w:iCs/>
          <w:lang w:val="en-US"/>
        </w:rPr>
        <w:t>Standard Bank of SA Ltd and others v Thobejane and others</w:t>
      </w:r>
      <w:r w:rsidR="00A32079">
        <w:rPr>
          <w:lang w:val="en-US"/>
        </w:rPr>
        <w:t xml:space="preserve"> and </w:t>
      </w:r>
      <w:r w:rsidR="00A32079">
        <w:rPr>
          <w:i/>
          <w:iCs/>
          <w:lang w:val="en-US"/>
        </w:rPr>
        <w:t>The Standard Bank of SA Ltd v Gqirana NO and another</w:t>
      </w:r>
      <w:r w:rsidR="00A32079">
        <w:rPr>
          <w:lang w:val="en-US"/>
        </w:rPr>
        <w:t xml:space="preserve"> op cit para</w:t>
      </w:r>
      <w:r w:rsidR="0010516C">
        <w:rPr>
          <w:lang w:val="en-US"/>
        </w:rPr>
        <w:t>s 50, 51.</w:t>
      </w:r>
    </w:p>
  </w:footnote>
  <w:footnote w:id="28">
    <w:p w14:paraId="63EA1BE0" w14:textId="0EC7CBE8" w:rsidR="00F00566" w:rsidRPr="00F00566" w:rsidRDefault="00F00566" w:rsidP="00F02196">
      <w:pPr>
        <w:pStyle w:val="FootnoteText"/>
        <w:spacing w:line="240" w:lineRule="auto"/>
        <w:jc w:val="both"/>
        <w:rPr>
          <w:lang w:val="en-US"/>
        </w:rPr>
      </w:pPr>
      <w:r>
        <w:rPr>
          <w:rStyle w:val="FootnoteReference"/>
        </w:rPr>
        <w:footnoteRef/>
      </w:r>
      <w:r>
        <w:t xml:space="preserve"> </w:t>
      </w:r>
      <w:r>
        <w:rPr>
          <w:i/>
          <w:iCs/>
          <w:lang w:val="en-US"/>
        </w:rPr>
        <w:t>Davis v Denton</w:t>
      </w:r>
      <w:r>
        <w:rPr>
          <w:lang w:val="en-US"/>
        </w:rPr>
        <w:t xml:space="preserve"> </w:t>
      </w:r>
      <w:r w:rsidR="00681E09">
        <w:rPr>
          <w:lang w:val="en-US"/>
        </w:rPr>
        <w:t xml:space="preserve">2008] ZAECHC 138 </w:t>
      </w:r>
      <w:r>
        <w:rPr>
          <w:lang w:val="en-US"/>
        </w:rPr>
        <w:t>para 5.</w:t>
      </w:r>
    </w:p>
  </w:footnote>
  <w:footnote w:id="29">
    <w:p w14:paraId="38E87BB2" w14:textId="19082D23" w:rsidR="004F4184" w:rsidRPr="00FA6C7E" w:rsidRDefault="004F4184" w:rsidP="00F02196">
      <w:pPr>
        <w:pStyle w:val="FootnoteText"/>
        <w:spacing w:line="240" w:lineRule="auto"/>
        <w:jc w:val="both"/>
        <w:rPr>
          <w:lang w:val="en-US"/>
        </w:rPr>
      </w:pPr>
      <w:r>
        <w:rPr>
          <w:rStyle w:val="FootnoteReference"/>
        </w:rPr>
        <w:footnoteRef/>
      </w:r>
      <w:r>
        <w:t xml:space="preserve"> </w:t>
      </w:r>
      <w:r w:rsidR="00FA6C7E">
        <w:rPr>
          <w:lang w:val="en-US"/>
        </w:rPr>
        <w:t xml:space="preserve">For the suggestion that the court may exercise such power </w:t>
      </w:r>
      <w:r w:rsidR="00FA6C7E">
        <w:rPr>
          <w:i/>
          <w:iCs/>
          <w:lang w:val="en-US"/>
        </w:rPr>
        <w:t>mero motu</w:t>
      </w:r>
      <w:r w:rsidR="00FA6C7E">
        <w:rPr>
          <w:lang w:val="en-US"/>
        </w:rPr>
        <w:t>, see</w:t>
      </w:r>
      <w:r>
        <w:rPr>
          <w:lang w:val="en-US"/>
        </w:rPr>
        <w:t xml:space="preserve"> </w:t>
      </w:r>
      <w:r>
        <w:rPr>
          <w:i/>
          <w:iCs/>
          <w:lang w:val="en-US"/>
        </w:rPr>
        <w:t xml:space="preserve">Thembani Wholesalers v September </w:t>
      </w:r>
      <w:r>
        <w:rPr>
          <w:lang w:val="en-US"/>
        </w:rPr>
        <w:t>op cit para 13.</w:t>
      </w:r>
      <w:r w:rsidR="00FA6C7E">
        <w:rPr>
          <w:lang w:val="en-US"/>
        </w:rPr>
        <w:t xml:space="preserve"> </w:t>
      </w:r>
      <w:r w:rsidR="00FA6C7E">
        <w:rPr>
          <w:i/>
          <w:iCs/>
          <w:lang w:val="en-US"/>
        </w:rPr>
        <w:t>Cf</w:t>
      </w:r>
      <w:r w:rsidR="00FA6C7E">
        <w:rPr>
          <w:lang w:val="en-US"/>
        </w:rPr>
        <w:t xml:space="preserve"> </w:t>
      </w:r>
    </w:p>
  </w:footnote>
  <w:footnote w:id="30">
    <w:p w14:paraId="47DD0E40" w14:textId="77777777" w:rsidR="00FF07BD" w:rsidRPr="00FA6C7E" w:rsidRDefault="00FF07BD" w:rsidP="00F02196">
      <w:pPr>
        <w:pStyle w:val="FootnoteText"/>
        <w:spacing w:line="240" w:lineRule="auto"/>
        <w:jc w:val="both"/>
        <w:rPr>
          <w:lang w:val="en-US"/>
        </w:rPr>
      </w:pPr>
      <w:r>
        <w:rPr>
          <w:rStyle w:val="FootnoteReference"/>
        </w:rPr>
        <w:footnoteRef/>
      </w:r>
      <w:r>
        <w:t xml:space="preserve"> </w:t>
      </w:r>
      <w:r>
        <w:rPr>
          <w:i/>
          <w:iCs/>
        </w:rPr>
        <w:t xml:space="preserve">The </w:t>
      </w:r>
      <w:r>
        <w:rPr>
          <w:i/>
          <w:iCs/>
          <w:lang w:val="en-US"/>
        </w:rPr>
        <w:t>Standard Bank of SA Ltd and others v Thobejane and others</w:t>
      </w:r>
      <w:r>
        <w:rPr>
          <w:lang w:val="en-US"/>
        </w:rPr>
        <w:t xml:space="preserve"> and </w:t>
      </w:r>
      <w:r>
        <w:rPr>
          <w:i/>
          <w:iCs/>
          <w:lang w:val="en-US"/>
        </w:rPr>
        <w:t>The Standard Bank of SA Ltd v Gqirana NO and another</w:t>
      </w:r>
      <w:r>
        <w:rPr>
          <w:lang w:val="en-US"/>
        </w:rPr>
        <w:t xml:space="preserve"> op cit para 25: it must be the plaintiff who chooses a court of competent jurisdiction and the granting of an order for the transfer of legal proceedings from a High Court to a Magistrate’s Court, in the absence of plaintiff’s consent, would infringe upon this right.</w:t>
      </w:r>
    </w:p>
  </w:footnote>
  <w:footnote w:id="31">
    <w:p w14:paraId="08CCA73C" w14:textId="1B6F0AB7" w:rsidR="000B134D" w:rsidRPr="000B134D" w:rsidRDefault="000B134D" w:rsidP="00F02196">
      <w:pPr>
        <w:pStyle w:val="FootnoteText"/>
        <w:spacing w:line="240" w:lineRule="auto"/>
        <w:jc w:val="both"/>
        <w:rPr>
          <w:lang w:val="en-US"/>
        </w:rPr>
      </w:pPr>
      <w:r>
        <w:rPr>
          <w:rStyle w:val="FootnoteReference"/>
        </w:rPr>
        <w:footnoteRef/>
      </w:r>
      <w:r>
        <w:t xml:space="preserve"> </w:t>
      </w:r>
      <w:r>
        <w:rPr>
          <w:i/>
          <w:iCs/>
        </w:rPr>
        <w:t xml:space="preserve">The </w:t>
      </w:r>
      <w:r>
        <w:rPr>
          <w:i/>
          <w:iCs/>
          <w:lang w:val="en-US"/>
        </w:rPr>
        <w:t>Standard Bank of SA Ltd and others v Thobejane and others</w:t>
      </w:r>
      <w:r>
        <w:rPr>
          <w:lang w:val="en-US"/>
        </w:rPr>
        <w:t xml:space="preserve"> and </w:t>
      </w:r>
      <w:r>
        <w:rPr>
          <w:i/>
          <w:iCs/>
          <w:lang w:val="en-US"/>
        </w:rPr>
        <w:t>The Standard Bank of SA Ltd v Gqirana NO and another</w:t>
      </w:r>
      <w:r>
        <w:rPr>
          <w:lang w:val="en-US"/>
        </w:rPr>
        <w:t xml:space="preserve"> op cit para 88.</w:t>
      </w:r>
    </w:p>
  </w:footnote>
  <w:footnote w:id="32">
    <w:p w14:paraId="400BA7A7" w14:textId="78BFC90C" w:rsidR="00E9688E" w:rsidRPr="00E9688E" w:rsidRDefault="00E9688E" w:rsidP="00F02196">
      <w:pPr>
        <w:pStyle w:val="FootnoteText"/>
        <w:spacing w:line="240" w:lineRule="auto"/>
        <w:jc w:val="both"/>
        <w:rPr>
          <w:lang w:val="en-US"/>
        </w:rPr>
      </w:pPr>
      <w:r>
        <w:rPr>
          <w:rStyle w:val="FootnoteReference"/>
        </w:rPr>
        <w:footnoteRef/>
      </w:r>
      <w:r>
        <w:t xml:space="preserve"> </w:t>
      </w:r>
      <w:r>
        <w:rPr>
          <w:i/>
          <w:iCs/>
        </w:rPr>
        <w:t xml:space="preserve">The </w:t>
      </w:r>
      <w:r>
        <w:rPr>
          <w:i/>
          <w:iCs/>
          <w:lang w:val="en-US"/>
        </w:rPr>
        <w:t>Standard Bank of SA Ltd and others v Thobejane and others</w:t>
      </w:r>
      <w:r>
        <w:rPr>
          <w:lang w:val="en-US"/>
        </w:rPr>
        <w:t xml:space="preserve"> and </w:t>
      </w:r>
      <w:r>
        <w:rPr>
          <w:i/>
          <w:iCs/>
          <w:lang w:val="en-US"/>
        </w:rPr>
        <w:t xml:space="preserve">The Standard Bank of SA Ltd v Gqirana NO and another </w:t>
      </w:r>
      <w:r w:rsidR="00986B42">
        <w:rPr>
          <w:lang w:val="en-US"/>
        </w:rPr>
        <w:t xml:space="preserve">op cit </w:t>
      </w:r>
      <w:r>
        <w:rPr>
          <w:lang w:val="en-US"/>
        </w:rPr>
        <w:t>para 39</w:t>
      </w:r>
      <w:r w:rsidR="002B0B16">
        <w:rPr>
          <w:lang w:val="en-US"/>
        </w:rPr>
        <w:t>.</w:t>
      </w:r>
    </w:p>
  </w:footnote>
  <w:footnote w:id="33">
    <w:p w14:paraId="1D049BBE" w14:textId="26A350EC" w:rsidR="0021116E" w:rsidRPr="002B0B16" w:rsidRDefault="0021116E" w:rsidP="00F02196">
      <w:pPr>
        <w:pStyle w:val="FootnoteText"/>
        <w:spacing w:line="240" w:lineRule="auto"/>
        <w:jc w:val="both"/>
        <w:rPr>
          <w:lang w:val="en-US"/>
        </w:rPr>
      </w:pPr>
      <w:r>
        <w:rPr>
          <w:rStyle w:val="FootnoteReference"/>
        </w:rPr>
        <w:footnoteRef/>
      </w:r>
      <w:r>
        <w:t xml:space="preserve"> </w:t>
      </w:r>
      <w:r>
        <w:rPr>
          <w:i/>
          <w:iCs/>
        </w:rPr>
        <w:t xml:space="preserve">The </w:t>
      </w:r>
      <w:r>
        <w:rPr>
          <w:i/>
          <w:iCs/>
          <w:lang w:val="en-US"/>
        </w:rPr>
        <w:t>Standard Bank of SA Ltd and others v Thobejane and others</w:t>
      </w:r>
      <w:r>
        <w:rPr>
          <w:lang w:val="en-US"/>
        </w:rPr>
        <w:t xml:space="preserve"> and </w:t>
      </w:r>
      <w:r>
        <w:rPr>
          <w:i/>
          <w:iCs/>
          <w:lang w:val="en-US"/>
        </w:rPr>
        <w:t>The Standard Bank of SA Ltd v Gqirana NO and another</w:t>
      </w:r>
      <w:r>
        <w:rPr>
          <w:lang w:val="en-US"/>
        </w:rPr>
        <w:t xml:space="preserve"> ibid para</w:t>
      </w:r>
      <w:r w:rsidR="002B0B16">
        <w:rPr>
          <w:lang w:val="en-US"/>
        </w:rPr>
        <w:t xml:space="preserve">s 40, 41: s 169(1) of the Constitution provides that the ‘High Court of South Africa may decide’ the types of matter listed in subs </w:t>
      </w:r>
      <w:r w:rsidR="002B0B16">
        <w:rPr>
          <w:i/>
          <w:iCs/>
          <w:lang w:val="en-US"/>
        </w:rPr>
        <w:t>(a)</w:t>
      </w:r>
      <w:r w:rsidR="002B0B16">
        <w:rPr>
          <w:lang w:val="en-US"/>
        </w:rPr>
        <w:t xml:space="preserve"> and </w:t>
      </w:r>
      <w:r w:rsidR="002B0B16">
        <w:rPr>
          <w:i/>
          <w:iCs/>
          <w:lang w:val="en-US"/>
        </w:rPr>
        <w:t>(b)</w:t>
      </w:r>
      <w:r w:rsidR="002B0B16">
        <w:rPr>
          <w:lang w:val="en-US"/>
        </w:rPr>
        <w:t>.</w:t>
      </w:r>
    </w:p>
  </w:footnote>
  <w:footnote w:id="34">
    <w:p w14:paraId="7117E582" w14:textId="53B907B3" w:rsidR="00C03B68" w:rsidRPr="00C03B68" w:rsidRDefault="00C03B68" w:rsidP="00F02196">
      <w:pPr>
        <w:pStyle w:val="FootnoteText"/>
        <w:spacing w:line="240" w:lineRule="auto"/>
        <w:jc w:val="both"/>
        <w:rPr>
          <w:lang w:val="en-US"/>
        </w:rPr>
      </w:pPr>
      <w:r>
        <w:rPr>
          <w:rStyle w:val="FootnoteReference"/>
        </w:rPr>
        <w:footnoteRef/>
      </w:r>
      <w:r>
        <w:t xml:space="preserve"> </w:t>
      </w:r>
      <w:r>
        <w:rPr>
          <w:i/>
          <w:iCs/>
        </w:rPr>
        <w:t xml:space="preserve">The </w:t>
      </w:r>
      <w:r>
        <w:rPr>
          <w:i/>
          <w:iCs/>
          <w:lang w:val="en-US"/>
        </w:rPr>
        <w:t>Standard Bank of SA Ltd and others v Thobejane and others</w:t>
      </w:r>
      <w:r>
        <w:rPr>
          <w:lang w:val="en-US"/>
        </w:rPr>
        <w:t xml:space="preserve"> and </w:t>
      </w:r>
      <w:r>
        <w:rPr>
          <w:i/>
          <w:iCs/>
          <w:lang w:val="en-US"/>
        </w:rPr>
        <w:t>The Standard Bank of SA Ltd v Gqirana NO and another</w:t>
      </w:r>
      <w:r>
        <w:rPr>
          <w:lang w:val="en-US"/>
        </w:rPr>
        <w:t xml:space="preserve"> op cit para</w:t>
      </w:r>
      <w:r w:rsidR="00152847">
        <w:rPr>
          <w:lang w:val="en-US"/>
        </w:rPr>
        <w:t>s 53-55.</w:t>
      </w:r>
    </w:p>
  </w:footnote>
  <w:footnote w:id="35">
    <w:p w14:paraId="0F859CAF" w14:textId="087A09F0" w:rsidR="00CF0AFB" w:rsidRPr="00CF0AFB" w:rsidRDefault="00CF0AFB" w:rsidP="00F02196">
      <w:pPr>
        <w:pStyle w:val="FootnoteText"/>
        <w:spacing w:line="240" w:lineRule="auto"/>
        <w:jc w:val="both"/>
        <w:rPr>
          <w:lang w:val="en-US"/>
        </w:rPr>
      </w:pPr>
      <w:r>
        <w:rPr>
          <w:rStyle w:val="FootnoteReference"/>
        </w:rPr>
        <w:footnoteRef/>
      </w:r>
      <w:r>
        <w:t xml:space="preserve"> </w:t>
      </w:r>
      <w:r>
        <w:rPr>
          <w:i/>
          <w:iCs/>
          <w:lang w:val="en-US"/>
        </w:rPr>
        <w:t>Phillips and others v National Director of Public Prosecutions</w:t>
      </w:r>
      <w:r>
        <w:rPr>
          <w:lang w:val="en-US"/>
        </w:rPr>
        <w:t xml:space="preserve"> [2005] ZACC 15; 2006 (1) SA 505 (CC) paras 47-51.</w:t>
      </w:r>
    </w:p>
  </w:footnote>
  <w:footnote w:id="36">
    <w:p w14:paraId="52776E26" w14:textId="18215F12" w:rsidR="0027302B" w:rsidRPr="0027302B" w:rsidRDefault="0027302B" w:rsidP="00F0219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Mulder v Beacon Island Shareblock Ltd</w:t>
      </w:r>
      <w:r>
        <w:rPr>
          <w:lang w:val="en-US"/>
        </w:rPr>
        <w:t xml:space="preserve"> 1999 (2) SA 274 (C); </w:t>
      </w:r>
      <w:r>
        <w:rPr>
          <w:i/>
          <w:iCs/>
          <w:lang w:val="en-US"/>
        </w:rPr>
        <w:t>Nongovu NO v Road Accident Fund</w:t>
      </w:r>
      <w:r>
        <w:rPr>
          <w:lang w:val="en-US"/>
        </w:rPr>
        <w:t xml:space="preserve"> 2007 (1) SA 59 (T) and </w:t>
      </w:r>
      <w:r>
        <w:rPr>
          <w:i/>
          <w:iCs/>
          <w:lang w:val="en-US"/>
        </w:rPr>
        <w:t>Mekula v Road Accident Fund</w:t>
      </w:r>
      <w:r>
        <w:rPr>
          <w:lang w:val="en-US"/>
        </w:rPr>
        <w:t xml:space="preserve"> [2017] ZAECGHC 118</w:t>
      </w:r>
      <w:r w:rsidR="00BD1B15">
        <w:rPr>
          <w:lang w:val="en-US"/>
        </w:rPr>
        <w:t xml:space="preserve"> para 5.</w:t>
      </w:r>
    </w:p>
  </w:footnote>
  <w:footnote w:id="37">
    <w:p w14:paraId="59D6865A" w14:textId="5C8C5316" w:rsidR="005234B1" w:rsidRPr="005234B1" w:rsidRDefault="005234B1" w:rsidP="00F02196">
      <w:pPr>
        <w:pStyle w:val="FootnoteText"/>
        <w:spacing w:line="240" w:lineRule="auto"/>
        <w:jc w:val="both"/>
        <w:rPr>
          <w:lang w:val="en-US"/>
        </w:rPr>
      </w:pPr>
      <w:r>
        <w:rPr>
          <w:rStyle w:val="FootnoteReference"/>
        </w:rPr>
        <w:footnoteRef/>
      </w:r>
      <w:r>
        <w:t xml:space="preserve"> </w:t>
      </w:r>
      <w:r>
        <w:rPr>
          <w:i/>
          <w:iCs/>
          <w:lang w:val="en-US"/>
        </w:rPr>
        <w:t>Mekula v Road Accident Fund</w:t>
      </w:r>
      <w:r>
        <w:rPr>
          <w:lang w:val="en-US"/>
        </w:rPr>
        <w:t xml:space="preserve"> ibid.</w:t>
      </w:r>
    </w:p>
  </w:footnote>
  <w:footnote w:id="38">
    <w:p w14:paraId="0BF30587" w14:textId="16A77D9D" w:rsidR="00A30650" w:rsidRPr="00A30650" w:rsidRDefault="00A30650" w:rsidP="00F02196">
      <w:pPr>
        <w:pStyle w:val="FootnoteText"/>
        <w:spacing w:line="240" w:lineRule="auto"/>
        <w:jc w:val="both"/>
        <w:rPr>
          <w:lang w:val="en-US"/>
        </w:rPr>
      </w:pPr>
      <w:r>
        <w:rPr>
          <w:rStyle w:val="FootnoteReference"/>
        </w:rPr>
        <w:footnoteRef/>
      </w:r>
      <w:r>
        <w:t xml:space="preserve"> </w:t>
      </w:r>
      <w:r>
        <w:rPr>
          <w:i/>
          <w:iCs/>
          <w:lang w:val="en-US"/>
        </w:rPr>
        <w:t xml:space="preserve">Davis v Denton </w:t>
      </w:r>
      <w:r>
        <w:rPr>
          <w:lang w:val="en-US"/>
        </w:rPr>
        <w:t>op cit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66A3F861"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01CDE">
          <w:rPr>
            <w:rStyle w:val="PageNumber"/>
            <w:noProof/>
          </w:rPr>
          <w:t>10</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00AD1"/>
    <w:multiLevelType w:val="hybridMultilevel"/>
    <w:tmpl w:val="7B9227BE"/>
    <w:lvl w:ilvl="0" w:tplc="48E84572">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24F85"/>
    <w:multiLevelType w:val="hybridMultilevel"/>
    <w:tmpl w:val="9F2E3898"/>
    <w:lvl w:ilvl="0" w:tplc="E83CE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B71E2"/>
    <w:multiLevelType w:val="hybridMultilevel"/>
    <w:tmpl w:val="AC7C9652"/>
    <w:lvl w:ilvl="0" w:tplc="7320149A">
      <w:start w:val="1"/>
      <w:numFmt w:val="lowerLetter"/>
      <w:lvlText w:val="(%1)"/>
      <w:lvlJc w:val="left"/>
      <w:pPr>
        <w:ind w:left="862" w:hanging="360"/>
      </w:pPr>
      <w:rPr>
        <w:rFonts w:hint="default"/>
        <w:i/>
        <w:iCs/>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0"/>
  </w:num>
  <w:num w:numId="6">
    <w:abstractNumId w:val="8"/>
  </w:num>
  <w:num w:numId="7">
    <w:abstractNumId w:val="12"/>
  </w:num>
  <w:num w:numId="8">
    <w:abstractNumId w:val="1"/>
  </w:num>
  <w:num w:numId="9">
    <w:abstractNumId w:val="6"/>
  </w:num>
  <w:num w:numId="10">
    <w:abstractNumId w:val="9"/>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17A"/>
    <w:rsid w:val="00004E1E"/>
    <w:rsid w:val="00005691"/>
    <w:rsid w:val="00005ABB"/>
    <w:rsid w:val="00005BC2"/>
    <w:rsid w:val="0000642E"/>
    <w:rsid w:val="00006EF3"/>
    <w:rsid w:val="00007087"/>
    <w:rsid w:val="000070EE"/>
    <w:rsid w:val="00007904"/>
    <w:rsid w:val="000109B4"/>
    <w:rsid w:val="00012A2F"/>
    <w:rsid w:val="00014437"/>
    <w:rsid w:val="00014770"/>
    <w:rsid w:val="00016FDA"/>
    <w:rsid w:val="000220C3"/>
    <w:rsid w:val="00022804"/>
    <w:rsid w:val="00027DA3"/>
    <w:rsid w:val="00030A25"/>
    <w:rsid w:val="000323B0"/>
    <w:rsid w:val="000341AF"/>
    <w:rsid w:val="00034B32"/>
    <w:rsid w:val="0003553E"/>
    <w:rsid w:val="0004040E"/>
    <w:rsid w:val="00040F79"/>
    <w:rsid w:val="000422CD"/>
    <w:rsid w:val="0004347D"/>
    <w:rsid w:val="0004373B"/>
    <w:rsid w:val="00044B50"/>
    <w:rsid w:val="000451D0"/>
    <w:rsid w:val="00046CF6"/>
    <w:rsid w:val="00047035"/>
    <w:rsid w:val="000478E8"/>
    <w:rsid w:val="0005061D"/>
    <w:rsid w:val="00051F6C"/>
    <w:rsid w:val="000536DD"/>
    <w:rsid w:val="00053D81"/>
    <w:rsid w:val="00054DEC"/>
    <w:rsid w:val="00056042"/>
    <w:rsid w:val="00056FBA"/>
    <w:rsid w:val="000574BF"/>
    <w:rsid w:val="00063188"/>
    <w:rsid w:val="00063C6E"/>
    <w:rsid w:val="00063D5A"/>
    <w:rsid w:val="000675E7"/>
    <w:rsid w:val="0007050F"/>
    <w:rsid w:val="0007234C"/>
    <w:rsid w:val="00073EFC"/>
    <w:rsid w:val="000778A4"/>
    <w:rsid w:val="00077D23"/>
    <w:rsid w:val="00080D4E"/>
    <w:rsid w:val="000815F5"/>
    <w:rsid w:val="00083322"/>
    <w:rsid w:val="00083386"/>
    <w:rsid w:val="000833DB"/>
    <w:rsid w:val="00084C6F"/>
    <w:rsid w:val="00086278"/>
    <w:rsid w:val="00086A06"/>
    <w:rsid w:val="000872A6"/>
    <w:rsid w:val="0009015D"/>
    <w:rsid w:val="000910CD"/>
    <w:rsid w:val="00091F8C"/>
    <w:rsid w:val="0009497C"/>
    <w:rsid w:val="00096BC1"/>
    <w:rsid w:val="00096C85"/>
    <w:rsid w:val="000976CA"/>
    <w:rsid w:val="000A59DC"/>
    <w:rsid w:val="000A6533"/>
    <w:rsid w:val="000A6772"/>
    <w:rsid w:val="000B0946"/>
    <w:rsid w:val="000B0DC8"/>
    <w:rsid w:val="000B134D"/>
    <w:rsid w:val="000B13CD"/>
    <w:rsid w:val="000B26AE"/>
    <w:rsid w:val="000B26CF"/>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05"/>
    <w:rsid w:val="000D4BFA"/>
    <w:rsid w:val="000D667A"/>
    <w:rsid w:val="000E1C45"/>
    <w:rsid w:val="000E2444"/>
    <w:rsid w:val="000E2D55"/>
    <w:rsid w:val="000E3E15"/>
    <w:rsid w:val="000E4F0D"/>
    <w:rsid w:val="000E5100"/>
    <w:rsid w:val="000E7ECD"/>
    <w:rsid w:val="000F05E0"/>
    <w:rsid w:val="000F0B8A"/>
    <w:rsid w:val="000F1A95"/>
    <w:rsid w:val="000F67C7"/>
    <w:rsid w:val="000F6BFE"/>
    <w:rsid w:val="000F7DF4"/>
    <w:rsid w:val="0010068E"/>
    <w:rsid w:val="00101695"/>
    <w:rsid w:val="0010218C"/>
    <w:rsid w:val="00102D5B"/>
    <w:rsid w:val="00103770"/>
    <w:rsid w:val="001044DB"/>
    <w:rsid w:val="0010516C"/>
    <w:rsid w:val="0010622C"/>
    <w:rsid w:val="00106E85"/>
    <w:rsid w:val="001078B5"/>
    <w:rsid w:val="00107A5F"/>
    <w:rsid w:val="0011026A"/>
    <w:rsid w:val="00110EF0"/>
    <w:rsid w:val="001124A5"/>
    <w:rsid w:val="00115835"/>
    <w:rsid w:val="00116EB9"/>
    <w:rsid w:val="00120E93"/>
    <w:rsid w:val="001226DE"/>
    <w:rsid w:val="00123296"/>
    <w:rsid w:val="0012621C"/>
    <w:rsid w:val="00130228"/>
    <w:rsid w:val="00131015"/>
    <w:rsid w:val="00131984"/>
    <w:rsid w:val="00131A28"/>
    <w:rsid w:val="001337CC"/>
    <w:rsid w:val="00133F24"/>
    <w:rsid w:val="00134C11"/>
    <w:rsid w:val="00135C81"/>
    <w:rsid w:val="00137682"/>
    <w:rsid w:val="00137E08"/>
    <w:rsid w:val="00142F79"/>
    <w:rsid w:val="001435EB"/>
    <w:rsid w:val="00144974"/>
    <w:rsid w:val="00144ADB"/>
    <w:rsid w:val="00145271"/>
    <w:rsid w:val="00146BA3"/>
    <w:rsid w:val="001517E0"/>
    <w:rsid w:val="00152847"/>
    <w:rsid w:val="00157785"/>
    <w:rsid w:val="00157898"/>
    <w:rsid w:val="00157C19"/>
    <w:rsid w:val="00160EBC"/>
    <w:rsid w:val="00160F58"/>
    <w:rsid w:val="0016325F"/>
    <w:rsid w:val="0016336C"/>
    <w:rsid w:val="00163A58"/>
    <w:rsid w:val="0016439B"/>
    <w:rsid w:val="0016614F"/>
    <w:rsid w:val="00172B5C"/>
    <w:rsid w:val="00173547"/>
    <w:rsid w:val="00173E1A"/>
    <w:rsid w:val="00174B6D"/>
    <w:rsid w:val="0017614D"/>
    <w:rsid w:val="0018006A"/>
    <w:rsid w:val="00180F4E"/>
    <w:rsid w:val="00181923"/>
    <w:rsid w:val="00181E7E"/>
    <w:rsid w:val="00182175"/>
    <w:rsid w:val="00184625"/>
    <w:rsid w:val="00184DE2"/>
    <w:rsid w:val="00186769"/>
    <w:rsid w:val="001870AF"/>
    <w:rsid w:val="00191768"/>
    <w:rsid w:val="00192869"/>
    <w:rsid w:val="001943D2"/>
    <w:rsid w:val="001954F0"/>
    <w:rsid w:val="00195571"/>
    <w:rsid w:val="001955AB"/>
    <w:rsid w:val="00196742"/>
    <w:rsid w:val="001A4F33"/>
    <w:rsid w:val="001B0D01"/>
    <w:rsid w:val="001B18DE"/>
    <w:rsid w:val="001B2578"/>
    <w:rsid w:val="001B2FE4"/>
    <w:rsid w:val="001B39BC"/>
    <w:rsid w:val="001B505F"/>
    <w:rsid w:val="001B69E3"/>
    <w:rsid w:val="001C04BC"/>
    <w:rsid w:val="001C2DD7"/>
    <w:rsid w:val="001C48A5"/>
    <w:rsid w:val="001C7061"/>
    <w:rsid w:val="001D0962"/>
    <w:rsid w:val="001D214B"/>
    <w:rsid w:val="001D26CD"/>
    <w:rsid w:val="001D5A9D"/>
    <w:rsid w:val="001D5F83"/>
    <w:rsid w:val="001D61C8"/>
    <w:rsid w:val="001D7E25"/>
    <w:rsid w:val="001E0F36"/>
    <w:rsid w:val="001E1834"/>
    <w:rsid w:val="001E1B07"/>
    <w:rsid w:val="001E24E0"/>
    <w:rsid w:val="001E4824"/>
    <w:rsid w:val="001E640A"/>
    <w:rsid w:val="001E6A6E"/>
    <w:rsid w:val="001E701F"/>
    <w:rsid w:val="001E7844"/>
    <w:rsid w:val="001E78D5"/>
    <w:rsid w:val="001E7C8F"/>
    <w:rsid w:val="001F335C"/>
    <w:rsid w:val="001F3A41"/>
    <w:rsid w:val="001F59AB"/>
    <w:rsid w:val="00201DC6"/>
    <w:rsid w:val="00201F12"/>
    <w:rsid w:val="00204EC4"/>
    <w:rsid w:val="002061AE"/>
    <w:rsid w:val="00206D6C"/>
    <w:rsid w:val="00207573"/>
    <w:rsid w:val="0021116E"/>
    <w:rsid w:val="002115FE"/>
    <w:rsid w:val="002128FA"/>
    <w:rsid w:val="0021430F"/>
    <w:rsid w:val="00215EBC"/>
    <w:rsid w:val="0021730A"/>
    <w:rsid w:val="00217399"/>
    <w:rsid w:val="002203EC"/>
    <w:rsid w:val="00222854"/>
    <w:rsid w:val="00224363"/>
    <w:rsid w:val="0022594E"/>
    <w:rsid w:val="00226444"/>
    <w:rsid w:val="00226ADA"/>
    <w:rsid w:val="00227379"/>
    <w:rsid w:val="00231325"/>
    <w:rsid w:val="0023160A"/>
    <w:rsid w:val="00231F49"/>
    <w:rsid w:val="0023410F"/>
    <w:rsid w:val="00234FA6"/>
    <w:rsid w:val="0023677B"/>
    <w:rsid w:val="00236B9D"/>
    <w:rsid w:val="0023768E"/>
    <w:rsid w:val="002402F6"/>
    <w:rsid w:val="0024033D"/>
    <w:rsid w:val="00245504"/>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705E9"/>
    <w:rsid w:val="0027302B"/>
    <w:rsid w:val="00274C64"/>
    <w:rsid w:val="00275410"/>
    <w:rsid w:val="00276100"/>
    <w:rsid w:val="00277EB6"/>
    <w:rsid w:val="002800AB"/>
    <w:rsid w:val="00280A66"/>
    <w:rsid w:val="002852C4"/>
    <w:rsid w:val="00285664"/>
    <w:rsid w:val="00287A18"/>
    <w:rsid w:val="00287A26"/>
    <w:rsid w:val="00290DC6"/>
    <w:rsid w:val="00290E92"/>
    <w:rsid w:val="0029395B"/>
    <w:rsid w:val="00294129"/>
    <w:rsid w:val="00294313"/>
    <w:rsid w:val="00295BBB"/>
    <w:rsid w:val="002960D0"/>
    <w:rsid w:val="002A01B5"/>
    <w:rsid w:val="002A080F"/>
    <w:rsid w:val="002A0EB5"/>
    <w:rsid w:val="002A157A"/>
    <w:rsid w:val="002A182B"/>
    <w:rsid w:val="002A1950"/>
    <w:rsid w:val="002A1D97"/>
    <w:rsid w:val="002A1E2F"/>
    <w:rsid w:val="002A21AF"/>
    <w:rsid w:val="002A2AA4"/>
    <w:rsid w:val="002A3836"/>
    <w:rsid w:val="002A3C5C"/>
    <w:rsid w:val="002A61D9"/>
    <w:rsid w:val="002A6332"/>
    <w:rsid w:val="002A6593"/>
    <w:rsid w:val="002A6B82"/>
    <w:rsid w:val="002A73A7"/>
    <w:rsid w:val="002B0B16"/>
    <w:rsid w:val="002B31B7"/>
    <w:rsid w:val="002B3FE3"/>
    <w:rsid w:val="002B54B7"/>
    <w:rsid w:val="002B6730"/>
    <w:rsid w:val="002B7874"/>
    <w:rsid w:val="002C1ECF"/>
    <w:rsid w:val="002C3A0D"/>
    <w:rsid w:val="002C45D8"/>
    <w:rsid w:val="002C7128"/>
    <w:rsid w:val="002D4CBC"/>
    <w:rsid w:val="002D6D70"/>
    <w:rsid w:val="002E0CCA"/>
    <w:rsid w:val="002E141A"/>
    <w:rsid w:val="002E1B95"/>
    <w:rsid w:val="002E2ECA"/>
    <w:rsid w:val="002E3EC7"/>
    <w:rsid w:val="002E4808"/>
    <w:rsid w:val="002E483E"/>
    <w:rsid w:val="002E4B67"/>
    <w:rsid w:val="002E7045"/>
    <w:rsid w:val="002E7199"/>
    <w:rsid w:val="002F012F"/>
    <w:rsid w:val="002F0513"/>
    <w:rsid w:val="002F0990"/>
    <w:rsid w:val="002F0C58"/>
    <w:rsid w:val="002F13D1"/>
    <w:rsid w:val="002F1635"/>
    <w:rsid w:val="002F37F8"/>
    <w:rsid w:val="002F4EDB"/>
    <w:rsid w:val="002F60D3"/>
    <w:rsid w:val="002F7574"/>
    <w:rsid w:val="003005EE"/>
    <w:rsid w:val="00300A59"/>
    <w:rsid w:val="0030214A"/>
    <w:rsid w:val="00302E78"/>
    <w:rsid w:val="00306288"/>
    <w:rsid w:val="003140F9"/>
    <w:rsid w:val="003148EA"/>
    <w:rsid w:val="003150CA"/>
    <w:rsid w:val="00315CB8"/>
    <w:rsid w:val="00315D8D"/>
    <w:rsid w:val="00315DCA"/>
    <w:rsid w:val="003168ED"/>
    <w:rsid w:val="003172EB"/>
    <w:rsid w:val="00317AB4"/>
    <w:rsid w:val="00321E11"/>
    <w:rsid w:val="00321FA2"/>
    <w:rsid w:val="0032209D"/>
    <w:rsid w:val="003228A7"/>
    <w:rsid w:val="00324CE8"/>
    <w:rsid w:val="00325BD4"/>
    <w:rsid w:val="00326A33"/>
    <w:rsid w:val="0032785C"/>
    <w:rsid w:val="00327E36"/>
    <w:rsid w:val="00330795"/>
    <w:rsid w:val="00330E85"/>
    <w:rsid w:val="003319D3"/>
    <w:rsid w:val="0033219D"/>
    <w:rsid w:val="00334624"/>
    <w:rsid w:val="00335693"/>
    <w:rsid w:val="00335897"/>
    <w:rsid w:val="0033634C"/>
    <w:rsid w:val="0033669D"/>
    <w:rsid w:val="003367DD"/>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5992"/>
    <w:rsid w:val="00366631"/>
    <w:rsid w:val="003679D5"/>
    <w:rsid w:val="00367B79"/>
    <w:rsid w:val="003700BB"/>
    <w:rsid w:val="0037015D"/>
    <w:rsid w:val="0037217E"/>
    <w:rsid w:val="00373BB6"/>
    <w:rsid w:val="00374F02"/>
    <w:rsid w:val="00375614"/>
    <w:rsid w:val="00380E60"/>
    <w:rsid w:val="00381483"/>
    <w:rsid w:val="00381C36"/>
    <w:rsid w:val="00381D62"/>
    <w:rsid w:val="003869D5"/>
    <w:rsid w:val="00390492"/>
    <w:rsid w:val="003905B9"/>
    <w:rsid w:val="0039206E"/>
    <w:rsid w:val="00392A4B"/>
    <w:rsid w:val="00392AA2"/>
    <w:rsid w:val="003930F0"/>
    <w:rsid w:val="00393348"/>
    <w:rsid w:val="00393BA3"/>
    <w:rsid w:val="0039527F"/>
    <w:rsid w:val="00395A71"/>
    <w:rsid w:val="0039682A"/>
    <w:rsid w:val="003A37F4"/>
    <w:rsid w:val="003A4F1D"/>
    <w:rsid w:val="003A4F95"/>
    <w:rsid w:val="003A6F71"/>
    <w:rsid w:val="003A745C"/>
    <w:rsid w:val="003A7AA6"/>
    <w:rsid w:val="003B01D4"/>
    <w:rsid w:val="003B10EC"/>
    <w:rsid w:val="003B1570"/>
    <w:rsid w:val="003B3C31"/>
    <w:rsid w:val="003B43B8"/>
    <w:rsid w:val="003B5CB7"/>
    <w:rsid w:val="003B5FEE"/>
    <w:rsid w:val="003B76D9"/>
    <w:rsid w:val="003C0CEB"/>
    <w:rsid w:val="003C351A"/>
    <w:rsid w:val="003C3BC6"/>
    <w:rsid w:val="003C5934"/>
    <w:rsid w:val="003C7080"/>
    <w:rsid w:val="003C77F0"/>
    <w:rsid w:val="003D0898"/>
    <w:rsid w:val="003D11D0"/>
    <w:rsid w:val="003D239A"/>
    <w:rsid w:val="003D2C74"/>
    <w:rsid w:val="003D5245"/>
    <w:rsid w:val="003D5507"/>
    <w:rsid w:val="003D5A10"/>
    <w:rsid w:val="003D5E6D"/>
    <w:rsid w:val="003D7CB9"/>
    <w:rsid w:val="003E0F7C"/>
    <w:rsid w:val="003E2B73"/>
    <w:rsid w:val="003E2F03"/>
    <w:rsid w:val="003E3745"/>
    <w:rsid w:val="003E3BBF"/>
    <w:rsid w:val="003E424A"/>
    <w:rsid w:val="003E75F3"/>
    <w:rsid w:val="003F0D9E"/>
    <w:rsid w:val="003F1974"/>
    <w:rsid w:val="003F2109"/>
    <w:rsid w:val="003F50FF"/>
    <w:rsid w:val="003F5900"/>
    <w:rsid w:val="003F6355"/>
    <w:rsid w:val="00400266"/>
    <w:rsid w:val="00401A9A"/>
    <w:rsid w:val="00402EEA"/>
    <w:rsid w:val="00403408"/>
    <w:rsid w:val="00405CEF"/>
    <w:rsid w:val="00406337"/>
    <w:rsid w:val="00406A00"/>
    <w:rsid w:val="004074B3"/>
    <w:rsid w:val="004075EA"/>
    <w:rsid w:val="00410C82"/>
    <w:rsid w:val="0041108E"/>
    <w:rsid w:val="00412DF2"/>
    <w:rsid w:val="004138F5"/>
    <w:rsid w:val="00413D22"/>
    <w:rsid w:val="00414C90"/>
    <w:rsid w:val="004165B0"/>
    <w:rsid w:val="004165D6"/>
    <w:rsid w:val="00420671"/>
    <w:rsid w:val="0042163E"/>
    <w:rsid w:val="00423163"/>
    <w:rsid w:val="00427318"/>
    <w:rsid w:val="004276CD"/>
    <w:rsid w:val="0042778E"/>
    <w:rsid w:val="00427843"/>
    <w:rsid w:val="004302B6"/>
    <w:rsid w:val="00431BF0"/>
    <w:rsid w:val="0043230A"/>
    <w:rsid w:val="0043511C"/>
    <w:rsid w:val="00435538"/>
    <w:rsid w:val="00437E88"/>
    <w:rsid w:val="00440672"/>
    <w:rsid w:val="00441E70"/>
    <w:rsid w:val="00443779"/>
    <w:rsid w:val="00443CCC"/>
    <w:rsid w:val="004441E4"/>
    <w:rsid w:val="004448E8"/>
    <w:rsid w:val="004474FB"/>
    <w:rsid w:val="004528CC"/>
    <w:rsid w:val="004529C3"/>
    <w:rsid w:val="0045608B"/>
    <w:rsid w:val="004652FD"/>
    <w:rsid w:val="004657F4"/>
    <w:rsid w:val="00466979"/>
    <w:rsid w:val="00466D17"/>
    <w:rsid w:val="00467E20"/>
    <w:rsid w:val="00472A4C"/>
    <w:rsid w:val="00472B05"/>
    <w:rsid w:val="00472E85"/>
    <w:rsid w:val="00473068"/>
    <w:rsid w:val="004735D5"/>
    <w:rsid w:val="0047556B"/>
    <w:rsid w:val="00475C2D"/>
    <w:rsid w:val="00477226"/>
    <w:rsid w:val="004813E8"/>
    <w:rsid w:val="00482741"/>
    <w:rsid w:val="004827F3"/>
    <w:rsid w:val="00483B31"/>
    <w:rsid w:val="00486114"/>
    <w:rsid w:val="004863E4"/>
    <w:rsid w:val="00487264"/>
    <w:rsid w:val="004873C7"/>
    <w:rsid w:val="00490D2A"/>
    <w:rsid w:val="0049105D"/>
    <w:rsid w:val="004918C4"/>
    <w:rsid w:val="004932A2"/>
    <w:rsid w:val="00496E8C"/>
    <w:rsid w:val="00496EAA"/>
    <w:rsid w:val="004A00B9"/>
    <w:rsid w:val="004A08D7"/>
    <w:rsid w:val="004A5151"/>
    <w:rsid w:val="004A5DB1"/>
    <w:rsid w:val="004A687F"/>
    <w:rsid w:val="004A7359"/>
    <w:rsid w:val="004B3161"/>
    <w:rsid w:val="004B5BAF"/>
    <w:rsid w:val="004B5CB4"/>
    <w:rsid w:val="004B632A"/>
    <w:rsid w:val="004B7E82"/>
    <w:rsid w:val="004C06AD"/>
    <w:rsid w:val="004C0946"/>
    <w:rsid w:val="004C0C08"/>
    <w:rsid w:val="004C13CF"/>
    <w:rsid w:val="004C7EB2"/>
    <w:rsid w:val="004D0163"/>
    <w:rsid w:val="004D0AC5"/>
    <w:rsid w:val="004D19EB"/>
    <w:rsid w:val="004D35C6"/>
    <w:rsid w:val="004E06B4"/>
    <w:rsid w:val="004E189A"/>
    <w:rsid w:val="004E2076"/>
    <w:rsid w:val="004E318F"/>
    <w:rsid w:val="004E5A0A"/>
    <w:rsid w:val="004E6764"/>
    <w:rsid w:val="004F021C"/>
    <w:rsid w:val="004F1757"/>
    <w:rsid w:val="004F1D20"/>
    <w:rsid w:val="004F326C"/>
    <w:rsid w:val="004F38A6"/>
    <w:rsid w:val="004F4184"/>
    <w:rsid w:val="004F444A"/>
    <w:rsid w:val="004F5262"/>
    <w:rsid w:val="004F5575"/>
    <w:rsid w:val="004F79D9"/>
    <w:rsid w:val="005014BC"/>
    <w:rsid w:val="00501617"/>
    <w:rsid w:val="00502229"/>
    <w:rsid w:val="005030DE"/>
    <w:rsid w:val="0050634D"/>
    <w:rsid w:val="005078B2"/>
    <w:rsid w:val="005079C1"/>
    <w:rsid w:val="00507BBF"/>
    <w:rsid w:val="00511260"/>
    <w:rsid w:val="00511565"/>
    <w:rsid w:val="0051172C"/>
    <w:rsid w:val="00513080"/>
    <w:rsid w:val="0051380C"/>
    <w:rsid w:val="00514878"/>
    <w:rsid w:val="0051487F"/>
    <w:rsid w:val="0051706E"/>
    <w:rsid w:val="00520653"/>
    <w:rsid w:val="00520E7F"/>
    <w:rsid w:val="005234B1"/>
    <w:rsid w:val="00523DBC"/>
    <w:rsid w:val="005244E9"/>
    <w:rsid w:val="00524714"/>
    <w:rsid w:val="00530509"/>
    <w:rsid w:val="00532080"/>
    <w:rsid w:val="00542080"/>
    <w:rsid w:val="00545009"/>
    <w:rsid w:val="00545140"/>
    <w:rsid w:val="00545668"/>
    <w:rsid w:val="0055098F"/>
    <w:rsid w:val="005517B9"/>
    <w:rsid w:val="00553E7D"/>
    <w:rsid w:val="005542BD"/>
    <w:rsid w:val="00556489"/>
    <w:rsid w:val="00556EDA"/>
    <w:rsid w:val="00556FC7"/>
    <w:rsid w:val="00557280"/>
    <w:rsid w:val="005573D6"/>
    <w:rsid w:val="0056029F"/>
    <w:rsid w:val="0056509F"/>
    <w:rsid w:val="00565326"/>
    <w:rsid w:val="00570A0D"/>
    <w:rsid w:val="005754FC"/>
    <w:rsid w:val="00575F9C"/>
    <w:rsid w:val="0057665C"/>
    <w:rsid w:val="00576979"/>
    <w:rsid w:val="00577D50"/>
    <w:rsid w:val="00580D85"/>
    <w:rsid w:val="005813AC"/>
    <w:rsid w:val="0058354A"/>
    <w:rsid w:val="00584BA7"/>
    <w:rsid w:val="00586BB9"/>
    <w:rsid w:val="00586CFB"/>
    <w:rsid w:val="00587D29"/>
    <w:rsid w:val="00591072"/>
    <w:rsid w:val="005934B8"/>
    <w:rsid w:val="00594C9D"/>
    <w:rsid w:val="005958A4"/>
    <w:rsid w:val="00595C65"/>
    <w:rsid w:val="005969E2"/>
    <w:rsid w:val="00597705"/>
    <w:rsid w:val="005A2449"/>
    <w:rsid w:val="005A2C73"/>
    <w:rsid w:val="005A3E4D"/>
    <w:rsid w:val="005A4FC0"/>
    <w:rsid w:val="005A6624"/>
    <w:rsid w:val="005A71F7"/>
    <w:rsid w:val="005B1333"/>
    <w:rsid w:val="005B1872"/>
    <w:rsid w:val="005B24E5"/>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560B"/>
    <w:rsid w:val="005E601A"/>
    <w:rsid w:val="005F03D5"/>
    <w:rsid w:val="005F04A5"/>
    <w:rsid w:val="005F158C"/>
    <w:rsid w:val="005F236B"/>
    <w:rsid w:val="005F2DDB"/>
    <w:rsid w:val="005F68AD"/>
    <w:rsid w:val="005F6D85"/>
    <w:rsid w:val="005F77BC"/>
    <w:rsid w:val="005F7D8A"/>
    <w:rsid w:val="00600269"/>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0F77"/>
    <w:rsid w:val="006215E6"/>
    <w:rsid w:val="00621B4B"/>
    <w:rsid w:val="006232F1"/>
    <w:rsid w:val="00623DDE"/>
    <w:rsid w:val="00624695"/>
    <w:rsid w:val="00624758"/>
    <w:rsid w:val="00625D2D"/>
    <w:rsid w:val="006271A4"/>
    <w:rsid w:val="00630138"/>
    <w:rsid w:val="006313FC"/>
    <w:rsid w:val="006332F2"/>
    <w:rsid w:val="00634B17"/>
    <w:rsid w:val="00637957"/>
    <w:rsid w:val="00637A17"/>
    <w:rsid w:val="00641035"/>
    <w:rsid w:val="00641661"/>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B33"/>
    <w:rsid w:val="00665D94"/>
    <w:rsid w:val="006668FE"/>
    <w:rsid w:val="00667591"/>
    <w:rsid w:val="00667F9F"/>
    <w:rsid w:val="006710E7"/>
    <w:rsid w:val="00671A0B"/>
    <w:rsid w:val="0067210D"/>
    <w:rsid w:val="00675C81"/>
    <w:rsid w:val="0068034D"/>
    <w:rsid w:val="00681152"/>
    <w:rsid w:val="00681E09"/>
    <w:rsid w:val="00682987"/>
    <w:rsid w:val="00682CE5"/>
    <w:rsid w:val="0068325A"/>
    <w:rsid w:val="006841DC"/>
    <w:rsid w:val="0068468E"/>
    <w:rsid w:val="00685DAD"/>
    <w:rsid w:val="0068615D"/>
    <w:rsid w:val="0068675A"/>
    <w:rsid w:val="0069106B"/>
    <w:rsid w:val="00691AF2"/>
    <w:rsid w:val="00691CB2"/>
    <w:rsid w:val="00694527"/>
    <w:rsid w:val="006954B0"/>
    <w:rsid w:val="0069550C"/>
    <w:rsid w:val="00697465"/>
    <w:rsid w:val="00697EB1"/>
    <w:rsid w:val="006A2310"/>
    <w:rsid w:val="006A2706"/>
    <w:rsid w:val="006A34F6"/>
    <w:rsid w:val="006A498B"/>
    <w:rsid w:val="006B150C"/>
    <w:rsid w:val="006B1DCE"/>
    <w:rsid w:val="006B42B2"/>
    <w:rsid w:val="006B6180"/>
    <w:rsid w:val="006B692B"/>
    <w:rsid w:val="006C177A"/>
    <w:rsid w:val="006C1B13"/>
    <w:rsid w:val="006C32C4"/>
    <w:rsid w:val="006C39FC"/>
    <w:rsid w:val="006D067F"/>
    <w:rsid w:val="006D07FB"/>
    <w:rsid w:val="006D5A67"/>
    <w:rsid w:val="006D5DA3"/>
    <w:rsid w:val="006D762E"/>
    <w:rsid w:val="006D7DFD"/>
    <w:rsid w:val="006E16D1"/>
    <w:rsid w:val="006E2B6D"/>
    <w:rsid w:val="006E3AEB"/>
    <w:rsid w:val="006E3C88"/>
    <w:rsid w:val="006E4C1C"/>
    <w:rsid w:val="006E608C"/>
    <w:rsid w:val="006F09D8"/>
    <w:rsid w:val="006F1624"/>
    <w:rsid w:val="006F25ED"/>
    <w:rsid w:val="006F3052"/>
    <w:rsid w:val="006F31BD"/>
    <w:rsid w:val="006F3259"/>
    <w:rsid w:val="006F3C00"/>
    <w:rsid w:val="006F78DB"/>
    <w:rsid w:val="00702C42"/>
    <w:rsid w:val="00704A2E"/>
    <w:rsid w:val="007057AB"/>
    <w:rsid w:val="00707343"/>
    <w:rsid w:val="007073FB"/>
    <w:rsid w:val="00710C28"/>
    <w:rsid w:val="00711C08"/>
    <w:rsid w:val="00711CC1"/>
    <w:rsid w:val="00712ED3"/>
    <w:rsid w:val="00714697"/>
    <w:rsid w:val="00714C9E"/>
    <w:rsid w:val="00715651"/>
    <w:rsid w:val="00717903"/>
    <w:rsid w:val="00717B10"/>
    <w:rsid w:val="00720AC6"/>
    <w:rsid w:val="00724B29"/>
    <w:rsid w:val="00727A78"/>
    <w:rsid w:val="00730A5A"/>
    <w:rsid w:val="00731207"/>
    <w:rsid w:val="00734430"/>
    <w:rsid w:val="0074053C"/>
    <w:rsid w:val="00743D4D"/>
    <w:rsid w:val="00743EB1"/>
    <w:rsid w:val="0074485F"/>
    <w:rsid w:val="007451A8"/>
    <w:rsid w:val="00745BF2"/>
    <w:rsid w:val="00745E2B"/>
    <w:rsid w:val="00746757"/>
    <w:rsid w:val="00751ADD"/>
    <w:rsid w:val="007520F6"/>
    <w:rsid w:val="007532C0"/>
    <w:rsid w:val="00756020"/>
    <w:rsid w:val="00756098"/>
    <w:rsid w:val="00757F3C"/>
    <w:rsid w:val="007631E0"/>
    <w:rsid w:val="00763628"/>
    <w:rsid w:val="00763BF3"/>
    <w:rsid w:val="00764F87"/>
    <w:rsid w:val="00767A6B"/>
    <w:rsid w:val="00771094"/>
    <w:rsid w:val="00771421"/>
    <w:rsid w:val="00771798"/>
    <w:rsid w:val="00772E4B"/>
    <w:rsid w:val="007744D5"/>
    <w:rsid w:val="0077459E"/>
    <w:rsid w:val="00775448"/>
    <w:rsid w:val="0077676B"/>
    <w:rsid w:val="00782782"/>
    <w:rsid w:val="007841E0"/>
    <w:rsid w:val="007863FC"/>
    <w:rsid w:val="007866DC"/>
    <w:rsid w:val="00791465"/>
    <w:rsid w:val="0079276A"/>
    <w:rsid w:val="00794AA8"/>
    <w:rsid w:val="00796986"/>
    <w:rsid w:val="00796F39"/>
    <w:rsid w:val="00796F7A"/>
    <w:rsid w:val="00797A49"/>
    <w:rsid w:val="007A1488"/>
    <w:rsid w:val="007A1A81"/>
    <w:rsid w:val="007A2884"/>
    <w:rsid w:val="007A2EA6"/>
    <w:rsid w:val="007A3705"/>
    <w:rsid w:val="007A39B0"/>
    <w:rsid w:val="007A5853"/>
    <w:rsid w:val="007A7BBE"/>
    <w:rsid w:val="007B196E"/>
    <w:rsid w:val="007B1F09"/>
    <w:rsid w:val="007B566C"/>
    <w:rsid w:val="007B686F"/>
    <w:rsid w:val="007B6CEF"/>
    <w:rsid w:val="007C17AD"/>
    <w:rsid w:val="007C247A"/>
    <w:rsid w:val="007C2BF9"/>
    <w:rsid w:val="007C4731"/>
    <w:rsid w:val="007C546A"/>
    <w:rsid w:val="007D0644"/>
    <w:rsid w:val="007D0A2D"/>
    <w:rsid w:val="007D2929"/>
    <w:rsid w:val="007D3ACE"/>
    <w:rsid w:val="007D64EC"/>
    <w:rsid w:val="007D69F4"/>
    <w:rsid w:val="007E05A2"/>
    <w:rsid w:val="007E1089"/>
    <w:rsid w:val="007E1B26"/>
    <w:rsid w:val="007E1F8D"/>
    <w:rsid w:val="007E5E24"/>
    <w:rsid w:val="007F1E72"/>
    <w:rsid w:val="007F2C37"/>
    <w:rsid w:val="007F4798"/>
    <w:rsid w:val="007F73CF"/>
    <w:rsid w:val="00800438"/>
    <w:rsid w:val="008019A5"/>
    <w:rsid w:val="00801CDE"/>
    <w:rsid w:val="008020C2"/>
    <w:rsid w:val="008020CD"/>
    <w:rsid w:val="00803543"/>
    <w:rsid w:val="008040D8"/>
    <w:rsid w:val="00804C36"/>
    <w:rsid w:val="00806AFC"/>
    <w:rsid w:val="00807B87"/>
    <w:rsid w:val="00810336"/>
    <w:rsid w:val="0081156D"/>
    <w:rsid w:val="00811B30"/>
    <w:rsid w:val="00812D95"/>
    <w:rsid w:val="00813448"/>
    <w:rsid w:val="00814EDE"/>
    <w:rsid w:val="0081612B"/>
    <w:rsid w:val="00816ED1"/>
    <w:rsid w:val="008210EC"/>
    <w:rsid w:val="008216BB"/>
    <w:rsid w:val="00821D82"/>
    <w:rsid w:val="008230F2"/>
    <w:rsid w:val="00823442"/>
    <w:rsid w:val="008242ED"/>
    <w:rsid w:val="008276BB"/>
    <w:rsid w:val="00830F6A"/>
    <w:rsid w:val="00832EA6"/>
    <w:rsid w:val="00832FD6"/>
    <w:rsid w:val="008330FF"/>
    <w:rsid w:val="0083336E"/>
    <w:rsid w:val="00833934"/>
    <w:rsid w:val="00834066"/>
    <w:rsid w:val="008343B4"/>
    <w:rsid w:val="00834816"/>
    <w:rsid w:val="00837B9A"/>
    <w:rsid w:val="00837E1F"/>
    <w:rsid w:val="008405CE"/>
    <w:rsid w:val="008405CF"/>
    <w:rsid w:val="00841726"/>
    <w:rsid w:val="008426AA"/>
    <w:rsid w:val="0084295A"/>
    <w:rsid w:val="0084393F"/>
    <w:rsid w:val="00846269"/>
    <w:rsid w:val="00851511"/>
    <w:rsid w:val="00852315"/>
    <w:rsid w:val="008536CA"/>
    <w:rsid w:val="008547C2"/>
    <w:rsid w:val="00854A89"/>
    <w:rsid w:val="00855355"/>
    <w:rsid w:val="008557C2"/>
    <w:rsid w:val="00855F97"/>
    <w:rsid w:val="00857565"/>
    <w:rsid w:val="0086080D"/>
    <w:rsid w:val="008634DE"/>
    <w:rsid w:val="00863645"/>
    <w:rsid w:val="008647BD"/>
    <w:rsid w:val="008665C4"/>
    <w:rsid w:val="0086751C"/>
    <w:rsid w:val="008677E3"/>
    <w:rsid w:val="00870B41"/>
    <w:rsid w:val="00871511"/>
    <w:rsid w:val="0087195C"/>
    <w:rsid w:val="0087374D"/>
    <w:rsid w:val="00873C6E"/>
    <w:rsid w:val="00875D5A"/>
    <w:rsid w:val="00875F1E"/>
    <w:rsid w:val="00880351"/>
    <w:rsid w:val="0088086C"/>
    <w:rsid w:val="0088241E"/>
    <w:rsid w:val="00882735"/>
    <w:rsid w:val="00882EFE"/>
    <w:rsid w:val="00885C05"/>
    <w:rsid w:val="00885F6F"/>
    <w:rsid w:val="00890F28"/>
    <w:rsid w:val="00892541"/>
    <w:rsid w:val="0089372D"/>
    <w:rsid w:val="00893E14"/>
    <w:rsid w:val="0089533C"/>
    <w:rsid w:val="00895349"/>
    <w:rsid w:val="00895554"/>
    <w:rsid w:val="008957A8"/>
    <w:rsid w:val="00895A54"/>
    <w:rsid w:val="00896B6A"/>
    <w:rsid w:val="008A0454"/>
    <w:rsid w:val="008A1381"/>
    <w:rsid w:val="008A1A60"/>
    <w:rsid w:val="008A3B56"/>
    <w:rsid w:val="008A4281"/>
    <w:rsid w:val="008A537D"/>
    <w:rsid w:val="008A7240"/>
    <w:rsid w:val="008A7BFC"/>
    <w:rsid w:val="008A7CF7"/>
    <w:rsid w:val="008A7FAD"/>
    <w:rsid w:val="008B100F"/>
    <w:rsid w:val="008B1D88"/>
    <w:rsid w:val="008B1DA6"/>
    <w:rsid w:val="008B3660"/>
    <w:rsid w:val="008C210D"/>
    <w:rsid w:val="008C3E59"/>
    <w:rsid w:val="008C480D"/>
    <w:rsid w:val="008C4C45"/>
    <w:rsid w:val="008C651B"/>
    <w:rsid w:val="008C7138"/>
    <w:rsid w:val="008D2564"/>
    <w:rsid w:val="008D2940"/>
    <w:rsid w:val="008D3C26"/>
    <w:rsid w:val="008E1626"/>
    <w:rsid w:val="008E265A"/>
    <w:rsid w:val="008E270C"/>
    <w:rsid w:val="008E51D4"/>
    <w:rsid w:val="008E66F8"/>
    <w:rsid w:val="008E74EF"/>
    <w:rsid w:val="008E7904"/>
    <w:rsid w:val="008E7EFA"/>
    <w:rsid w:val="008F051D"/>
    <w:rsid w:val="008F0FC5"/>
    <w:rsid w:val="008F0FD2"/>
    <w:rsid w:val="008F17A3"/>
    <w:rsid w:val="008F4376"/>
    <w:rsid w:val="008F59AF"/>
    <w:rsid w:val="008F5B07"/>
    <w:rsid w:val="008F61FC"/>
    <w:rsid w:val="008F74A5"/>
    <w:rsid w:val="00901474"/>
    <w:rsid w:val="009014FD"/>
    <w:rsid w:val="0090293F"/>
    <w:rsid w:val="00902AA7"/>
    <w:rsid w:val="00903496"/>
    <w:rsid w:val="00903A37"/>
    <w:rsid w:val="009041F8"/>
    <w:rsid w:val="00904D53"/>
    <w:rsid w:val="00904E2E"/>
    <w:rsid w:val="00905A70"/>
    <w:rsid w:val="00905C49"/>
    <w:rsid w:val="00906C53"/>
    <w:rsid w:val="0090737A"/>
    <w:rsid w:val="0091491D"/>
    <w:rsid w:val="0091517B"/>
    <w:rsid w:val="00921597"/>
    <w:rsid w:val="00921696"/>
    <w:rsid w:val="0092525C"/>
    <w:rsid w:val="009257EE"/>
    <w:rsid w:val="009262E3"/>
    <w:rsid w:val="00927E7F"/>
    <w:rsid w:val="009300E6"/>
    <w:rsid w:val="00931856"/>
    <w:rsid w:val="00931957"/>
    <w:rsid w:val="00932259"/>
    <w:rsid w:val="00937B2D"/>
    <w:rsid w:val="00937F6E"/>
    <w:rsid w:val="00940225"/>
    <w:rsid w:val="009429D4"/>
    <w:rsid w:val="009433CC"/>
    <w:rsid w:val="00943D4D"/>
    <w:rsid w:val="00944464"/>
    <w:rsid w:val="00945BC4"/>
    <w:rsid w:val="009503FE"/>
    <w:rsid w:val="0095291D"/>
    <w:rsid w:val="00954778"/>
    <w:rsid w:val="0095687B"/>
    <w:rsid w:val="00957730"/>
    <w:rsid w:val="00960CDB"/>
    <w:rsid w:val="00962E0E"/>
    <w:rsid w:val="00964882"/>
    <w:rsid w:val="009648F1"/>
    <w:rsid w:val="00964AF3"/>
    <w:rsid w:val="00964C44"/>
    <w:rsid w:val="00964D22"/>
    <w:rsid w:val="00964DFA"/>
    <w:rsid w:val="0096634B"/>
    <w:rsid w:val="0097136D"/>
    <w:rsid w:val="00973731"/>
    <w:rsid w:val="009737E6"/>
    <w:rsid w:val="0097492C"/>
    <w:rsid w:val="00974E2D"/>
    <w:rsid w:val="00975DB5"/>
    <w:rsid w:val="00976DCD"/>
    <w:rsid w:val="00976F0D"/>
    <w:rsid w:val="0098066C"/>
    <w:rsid w:val="009812F2"/>
    <w:rsid w:val="009814B0"/>
    <w:rsid w:val="00981871"/>
    <w:rsid w:val="00984181"/>
    <w:rsid w:val="0098571F"/>
    <w:rsid w:val="00986B42"/>
    <w:rsid w:val="00987780"/>
    <w:rsid w:val="0099005D"/>
    <w:rsid w:val="00992B0D"/>
    <w:rsid w:val="00995D6D"/>
    <w:rsid w:val="009969E0"/>
    <w:rsid w:val="00996B5C"/>
    <w:rsid w:val="009A0545"/>
    <w:rsid w:val="009A0B4E"/>
    <w:rsid w:val="009A1EC2"/>
    <w:rsid w:val="009A36AF"/>
    <w:rsid w:val="009A3E97"/>
    <w:rsid w:val="009A591E"/>
    <w:rsid w:val="009A77E7"/>
    <w:rsid w:val="009B1B5C"/>
    <w:rsid w:val="009B306D"/>
    <w:rsid w:val="009B5983"/>
    <w:rsid w:val="009B7B65"/>
    <w:rsid w:val="009C052D"/>
    <w:rsid w:val="009C09A0"/>
    <w:rsid w:val="009C2135"/>
    <w:rsid w:val="009C323D"/>
    <w:rsid w:val="009C36F1"/>
    <w:rsid w:val="009C3E3C"/>
    <w:rsid w:val="009C4F54"/>
    <w:rsid w:val="009C5271"/>
    <w:rsid w:val="009C63A4"/>
    <w:rsid w:val="009C63D5"/>
    <w:rsid w:val="009C6B5F"/>
    <w:rsid w:val="009C70E1"/>
    <w:rsid w:val="009C787C"/>
    <w:rsid w:val="009C7FC6"/>
    <w:rsid w:val="009D161A"/>
    <w:rsid w:val="009D1693"/>
    <w:rsid w:val="009D1BCC"/>
    <w:rsid w:val="009D4AB7"/>
    <w:rsid w:val="009D5302"/>
    <w:rsid w:val="009D62F3"/>
    <w:rsid w:val="009D754F"/>
    <w:rsid w:val="009E1896"/>
    <w:rsid w:val="009E1980"/>
    <w:rsid w:val="009E1ACC"/>
    <w:rsid w:val="009E2833"/>
    <w:rsid w:val="009E2BB3"/>
    <w:rsid w:val="009E325E"/>
    <w:rsid w:val="009E3484"/>
    <w:rsid w:val="009E569F"/>
    <w:rsid w:val="009E5FDA"/>
    <w:rsid w:val="009E646F"/>
    <w:rsid w:val="009E776E"/>
    <w:rsid w:val="009F1760"/>
    <w:rsid w:val="009F4396"/>
    <w:rsid w:val="009F5D93"/>
    <w:rsid w:val="009F5EF2"/>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914"/>
    <w:rsid w:val="00A12EEB"/>
    <w:rsid w:val="00A14173"/>
    <w:rsid w:val="00A167B8"/>
    <w:rsid w:val="00A17060"/>
    <w:rsid w:val="00A17ED7"/>
    <w:rsid w:val="00A20492"/>
    <w:rsid w:val="00A2185E"/>
    <w:rsid w:val="00A21919"/>
    <w:rsid w:val="00A26381"/>
    <w:rsid w:val="00A26BE4"/>
    <w:rsid w:val="00A27A11"/>
    <w:rsid w:val="00A30650"/>
    <w:rsid w:val="00A31C08"/>
    <w:rsid w:val="00A32079"/>
    <w:rsid w:val="00A32889"/>
    <w:rsid w:val="00A331C2"/>
    <w:rsid w:val="00A340F6"/>
    <w:rsid w:val="00A36A40"/>
    <w:rsid w:val="00A36D42"/>
    <w:rsid w:val="00A414A1"/>
    <w:rsid w:val="00A41BC0"/>
    <w:rsid w:val="00A42893"/>
    <w:rsid w:val="00A42906"/>
    <w:rsid w:val="00A43E5D"/>
    <w:rsid w:val="00A45490"/>
    <w:rsid w:val="00A45E1D"/>
    <w:rsid w:val="00A4723D"/>
    <w:rsid w:val="00A47250"/>
    <w:rsid w:val="00A5180C"/>
    <w:rsid w:val="00A51F8F"/>
    <w:rsid w:val="00A521EE"/>
    <w:rsid w:val="00A5427C"/>
    <w:rsid w:val="00A603C3"/>
    <w:rsid w:val="00A61267"/>
    <w:rsid w:val="00A63829"/>
    <w:rsid w:val="00A64250"/>
    <w:rsid w:val="00A64FD8"/>
    <w:rsid w:val="00A6550F"/>
    <w:rsid w:val="00A67C97"/>
    <w:rsid w:val="00A711F9"/>
    <w:rsid w:val="00A71783"/>
    <w:rsid w:val="00A719FE"/>
    <w:rsid w:val="00A74937"/>
    <w:rsid w:val="00A75B8E"/>
    <w:rsid w:val="00A80111"/>
    <w:rsid w:val="00A81DF8"/>
    <w:rsid w:val="00A82B55"/>
    <w:rsid w:val="00A83F39"/>
    <w:rsid w:val="00A84210"/>
    <w:rsid w:val="00A85465"/>
    <w:rsid w:val="00A866AE"/>
    <w:rsid w:val="00A878A5"/>
    <w:rsid w:val="00A92225"/>
    <w:rsid w:val="00A9381F"/>
    <w:rsid w:val="00A958D5"/>
    <w:rsid w:val="00A95B9A"/>
    <w:rsid w:val="00A95CB4"/>
    <w:rsid w:val="00A962CC"/>
    <w:rsid w:val="00A976E6"/>
    <w:rsid w:val="00AA00D8"/>
    <w:rsid w:val="00AA32DA"/>
    <w:rsid w:val="00AA45A4"/>
    <w:rsid w:val="00AA4712"/>
    <w:rsid w:val="00AA4FAB"/>
    <w:rsid w:val="00AA65F4"/>
    <w:rsid w:val="00AA7A71"/>
    <w:rsid w:val="00AB01B3"/>
    <w:rsid w:val="00AB1B2B"/>
    <w:rsid w:val="00AB43EE"/>
    <w:rsid w:val="00AB4F07"/>
    <w:rsid w:val="00AB5121"/>
    <w:rsid w:val="00AB51EA"/>
    <w:rsid w:val="00AB6F0C"/>
    <w:rsid w:val="00AC1EC5"/>
    <w:rsid w:val="00AC4AC4"/>
    <w:rsid w:val="00AC7F40"/>
    <w:rsid w:val="00AC7FDF"/>
    <w:rsid w:val="00AD0544"/>
    <w:rsid w:val="00AD061A"/>
    <w:rsid w:val="00AE099A"/>
    <w:rsid w:val="00AE154F"/>
    <w:rsid w:val="00AE18E1"/>
    <w:rsid w:val="00AE1EE1"/>
    <w:rsid w:val="00AE207E"/>
    <w:rsid w:val="00AE2782"/>
    <w:rsid w:val="00AE2C20"/>
    <w:rsid w:val="00AE3DAE"/>
    <w:rsid w:val="00AE412E"/>
    <w:rsid w:val="00AE5E46"/>
    <w:rsid w:val="00AF05EC"/>
    <w:rsid w:val="00AF2AE0"/>
    <w:rsid w:val="00AF34BC"/>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ECD"/>
    <w:rsid w:val="00B36696"/>
    <w:rsid w:val="00B418D6"/>
    <w:rsid w:val="00B446F9"/>
    <w:rsid w:val="00B45374"/>
    <w:rsid w:val="00B50382"/>
    <w:rsid w:val="00B512A3"/>
    <w:rsid w:val="00B51F04"/>
    <w:rsid w:val="00B53331"/>
    <w:rsid w:val="00B559B2"/>
    <w:rsid w:val="00B565D4"/>
    <w:rsid w:val="00B56BAF"/>
    <w:rsid w:val="00B56D2F"/>
    <w:rsid w:val="00B56DA8"/>
    <w:rsid w:val="00B57BF8"/>
    <w:rsid w:val="00B60E51"/>
    <w:rsid w:val="00B63F7F"/>
    <w:rsid w:val="00B6537F"/>
    <w:rsid w:val="00B65433"/>
    <w:rsid w:val="00B65D0C"/>
    <w:rsid w:val="00B65DEE"/>
    <w:rsid w:val="00B673D7"/>
    <w:rsid w:val="00B71571"/>
    <w:rsid w:val="00B715B1"/>
    <w:rsid w:val="00B7619E"/>
    <w:rsid w:val="00B77677"/>
    <w:rsid w:val="00B77BF3"/>
    <w:rsid w:val="00B83257"/>
    <w:rsid w:val="00B8381D"/>
    <w:rsid w:val="00B8423C"/>
    <w:rsid w:val="00B84964"/>
    <w:rsid w:val="00B849F3"/>
    <w:rsid w:val="00B85F87"/>
    <w:rsid w:val="00B9092D"/>
    <w:rsid w:val="00B91527"/>
    <w:rsid w:val="00B92470"/>
    <w:rsid w:val="00B929D1"/>
    <w:rsid w:val="00B92BF6"/>
    <w:rsid w:val="00B93AC6"/>
    <w:rsid w:val="00B95349"/>
    <w:rsid w:val="00B955C0"/>
    <w:rsid w:val="00B95B9C"/>
    <w:rsid w:val="00B961E2"/>
    <w:rsid w:val="00B977A0"/>
    <w:rsid w:val="00BA0067"/>
    <w:rsid w:val="00BA0F9A"/>
    <w:rsid w:val="00BA2179"/>
    <w:rsid w:val="00BA2979"/>
    <w:rsid w:val="00BA65AC"/>
    <w:rsid w:val="00BB2985"/>
    <w:rsid w:val="00BC0A20"/>
    <w:rsid w:val="00BC21A0"/>
    <w:rsid w:val="00BC4EF3"/>
    <w:rsid w:val="00BC77C0"/>
    <w:rsid w:val="00BC7BAA"/>
    <w:rsid w:val="00BD017E"/>
    <w:rsid w:val="00BD06C8"/>
    <w:rsid w:val="00BD0B25"/>
    <w:rsid w:val="00BD1B15"/>
    <w:rsid w:val="00BD234D"/>
    <w:rsid w:val="00BD2561"/>
    <w:rsid w:val="00BD5DCD"/>
    <w:rsid w:val="00BD616D"/>
    <w:rsid w:val="00BD6C4D"/>
    <w:rsid w:val="00BD7BC7"/>
    <w:rsid w:val="00BE0997"/>
    <w:rsid w:val="00BE1907"/>
    <w:rsid w:val="00BE1A97"/>
    <w:rsid w:val="00BE3AF3"/>
    <w:rsid w:val="00BE485B"/>
    <w:rsid w:val="00BE6A74"/>
    <w:rsid w:val="00BE7D08"/>
    <w:rsid w:val="00BF0840"/>
    <w:rsid w:val="00BF0DFF"/>
    <w:rsid w:val="00BF22B8"/>
    <w:rsid w:val="00BF2603"/>
    <w:rsid w:val="00BF51CE"/>
    <w:rsid w:val="00BF5F1D"/>
    <w:rsid w:val="00BF6541"/>
    <w:rsid w:val="00C01555"/>
    <w:rsid w:val="00C01A0D"/>
    <w:rsid w:val="00C01C96"/>
    <w:rsid w:val="00C028D9"/>
    <w:rsid w:val="00C036E4"/>
    <w:rsid w:val="00C038B8"/>
    <w:rsid w:val="00C03B35"/>
    <w:rsid w:val="00C03B68"/>
    <w:rsid w:val="00C06574"/>
    <w:rsid w:val="00C06F31"/>
    <w:rsid w:val="00C11EE9"/>
    <w:rsid w:val="00C12B8C"/>
    <w:rsid w:val="00C155D9"/>
    <w:rsid w:val="00C172BF"/>
    <w:rsid w:val="00C2211D"/>
    <w:rsid w:val="00C2274C"/>
    <w:rsid w:val="00C2344F"/>
    <w:rsid w:val="00C246F2"/>
    <w:rsid w:val="00C26707"/>
    <w:rsid w:val="00C27719"/>
    <w:rsid w:val="00C31BCD"/>
    <w:rsid w:val="00C320EB"/>
    <w:rsid w:val="00C32F7B"/>
    <w:rsid w:val="00C3513F"/>
    <w:rsid w:val="00C355AA"/>
    <w:rsid w:val="00C36223"/>
    <w:rsid w:val="00C37473"/>
    <w:rsid w:val="00C40725"/>
    <w:rsid w:val="00C4207E"/>
    <w:rsid w:val="00C43571"/>
    <w:rsid w:val="00C451A3"/>
    <w:rsid w:val="00C4577E"/>
    <w:rsid w:val="00C50C8F"/>
    <w:rsid w:val="00C51156"/>
    <w:rsid w:val="00C53FD7"/>
    <w:rsid w:val="00C55C61"/>
    <w:rsid w:val="00C57047"/>
    <w:rsid w:val="00C64F44"/>
    <w:rsid w:val="00C650ED"/>
    <w:rsid w:val="00C65132"/>
    <w:rsid w:val="00C65F6A"/>
    <w:rsid w:val="00C6798D"/>
    <w:rsid w:val="00C67F3E"/>
    <w:rsid w:val="00C70CD5"/>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1AA"/>
    <w:rsid w:val="00C9243B"/>
    <w:rsid w:val="00C953C0"/>
    <w:rsid w:val="00C96E5A"/>
    <w:rsid w:val="00C97ACC"/>
    <w:rsid w:val="00CA181F"/>
    <w:rsid w:val="00CA2A54"/>
    <w:rsid w:val="00CA3219"/>
    <w:rsid w:val="00CB01EB"/>
    <w:rsid w:val="00CB0DFA"/>
    <w:rsid w:val="00CB250C"/>
    <w:rsid w:val="00CB34D5"/>
    <w:rsid w:val="00CB6CB0"/>
    <w:rsid w:val="00CB791A"/>
    <w:rsid w:val="00CC134C"/>
    <w:rsid w:val="00CC22EC"/>
    <w:rsid w:val="00CC36F9"/>
    <w:rsid w:val="00CC3E8F"/>
    <w:rsid w:val="00CD0B86"/>
    <w:rsid w:val="00CD0BA2"/>
    <w:rsid w:val="00CD18DE"/>
    <w:rsid w:val="00CD29EF"/>
    <w:rsid w:val="00CD60D8"/>
    <w:rsid w:val="00CD643B"/>
    <w:rsid w:val="00CE0D42"/>
    <w:rsid w:val="00CE19D1"/>
    <w:rsid w:val="00CE23EF"/>
    <w:rsid w:val="00CE55D0"/>
    <w:rsid w:val="00CE6197"/>
    <w:rsid w:val="00CE6490"/>
    <w:rsid w:val="00CE6882"/>
    <w:rsid w:val="00CE6BEE"/>
    <w:rsid w:val="00CE702E"/>
    <w:rsid w:val="00CE7723"/>
    <w:rsid w:val="00CF088A"/>
    <w:rsid w:val="00CF0AFB"/>
    <w:rsid w:val="00CF1AEC"/>
    <w:rsid w:val="00CF38F2"/>
    <w:rsid w:val="00CF5CD7"/>
    <w:rsid w:val="00CF79DF"/>
    <w:rsid w:val="00D00702"/>
    <w:rsid w:val="00D01E61"/>
    <w:rsid w:val="00D02296"/>
    <w:rsid w:val="00D02B99"/>
    <w:rsid w:val="00D0306C"/>
    <w:rsid w:val="00D034FA"/>
    <w:rsid w:val="00D06027"/>
    <w:rsid w:val="00D064B4"/>
    <w:rsid w:val="00D0751A"/>
    <w:rsid w:val="00D078F8"/>
    <w:rsid w:val="00D07D25"/>
    <w:rsid w:val="00D110F0"/>
    <w:rsid w:val="00D116BA"/>
    <w:rsid w:val="00D12852"/>
    <w:rsid w:val="00D13010"/>
    <w:rsid w:val="00D133F0"/>
    <w:rsid w:val="00D143ED"/>
    <w:rsid w:val="00D16C5A"/>
    <w:rsid w:val="00D16DAA"/>
    <w:rsid w:val="00D17E12"/>
    <w:rsid w:val="00D21B84"/>
    <w:rsid w:val="00D22983"/>
    <w:rsid w:val="00D25359"/>
    <w:rsid w:val="00D25E7D"/>
    <w:rsid w:val="00D26D6A"/>
    <w:rsid w:val="00D27842"/>
    <w:rsid w:val="00D30628"/>
    <w:rsid w:val="00D309C3"/>
    <w:rsid w:val="00D30CEE"/>
    <w:rsid w:val="00D31C13"/>
    <w:rsid w:val="00D31D6C"/>
    <w:rsid w:val="00D32B3D"/>
    <w:rsid w:val="00D33C8D"/>
    <w:rsid w:val="00D34674"/>
    <w:rsid w:val="00D37148"/>
    <w:rsid w:val="00D37A00"/>
    <w:rsid w:val="00D40860"/>
    <w:rsid w:val="00D4280D"/>
    <w:rsid w:val="00D42B76"/>
    <w:rsid w:val="00D43787"/>
    <w:rsid w:val="00D447D8"/>
    <w:rsid w:val="00D450B5"/>
    <w:rsid w:val="00D45623"/>
    <w:rsid w:val="00D45942"/>
    <w:rsid w:val="00D45968"/>
    <w:rsid w:val="00D468AF"/>
    <w:rsid w:val="00D470FA"/>
    <w:rsid w:val="00D47F57"/>
    <w:rsid w:val="00D50983"/>
    <w:rsid w:val="00D53B35"/>
    <w:rsid w:val="00D5648F"/>
    <w:rsid w:val="00D56E3B"/>
    <w:rsid w:val="00D57CC2"/>
    <w:rsid w:val="00D601F5"/>
    <w:rsid w:val="00D616EC"/>
    <w:rsid w:val="00D648BA"/>
    <w:rsid w:val="00D66A4D"/>
    <w:rsid w:val="00D724E1"/>
    <w:rsid w:val="00D75BEA"/>
    <w:rsid w:val="00D76A95"/>
    <w:rsid w:val="00D801E1"/>
    <w:rsid w:val="00D803DC"/>
    <w:rsid w:val="00D82515"/>
    <w:rsid w:val="00D82682"/>
    <w:rsid w:val="00D82E21"/>
    <w:rsid w:val="00D840E2"/>
    <w:rsid w:val="00D846FE"/>
    <w:rsid w:val="00D860CB"/>
    <w:rsid w:val="00D87C68"/>
    <w:rsid w:val="00D92783"/>
    <w:rsid w:val="00D92B70"/>
    <w:rsid w:val="00D92D3B"/>
    <w:rsid w:val="00D9456A"/>
    <w:rsid w:val="00D94B4E"/>
    <w:rsid w:val="00D94DBD"/>
    <w:rsid w:val="00D97D9D"/>
    <w:rsid w:val="00DA00BB"/>
    <w:rsid w:val="00DA38F9"/>
    <w:rsid w:val="00DA776D"/>
    <w:rsid w:val="00DA7AAB"/>
    <w:rsid w:val="00DB0175"/>
    <w:rsid w:val="00DB0815"/>
    <w:rsid w:val="00DB09A5"/>
    <w:rsid w:val="00DB1859"/>
    <w:rsid w:val="00DB6676"/>
    <w:rsid w:val="00DC2ABE"/>
    <w:rsid w:val="00DC59DE"/>
    <w:rsid w:val="00DC7217"/>
    <w:rsid w:val="00DC79BB"/>
    <w:rsid w:val="00DD11EB"/>
    <w:rsid w:val="00DD1B8B"/>
    <w:rsid w:val="00DD1F32"/>
    <w:rsid w:val="00DD23D6"/>
    <w:rsid w:val="00DD4855"/>
    <w:rsid w:val="00DD75C4"/>
    <w:rsid w:val="00DE1FBA"/>
    <w:rsid w:val="00DE3371"/>
    <w:rsid w:val="00DE4550"/>
    <w:rsid w:val="00DE55DE"/>
    <w:rsid w:val="00DE5968"/>
    <w:rsid w:val="00DE6A2A"/>
    <w:rsid w:val="00DF1227"/>
    <w:rsid w:val="00DF131F"/>
    <w:rsid w:val="00DF2C98"/>
    <w:rsid w:val="00DF5EF0"/>
    <w:rsid w:val="00DF77FD"/>
    <w:rsid w:val="00DF7AB6"/>
    <w:rsid w:val="00E00DCA"/>
    <w:rsid w:val="00E033B7"/>
    <w:rsid w:val="00E038DB"/>
    <w:rsid w:val="00E04FFB"/>
    <w:rsid w:val="00E05EEE"/>
    <w:rsid w:val="00E065DD"/>
    <w:rsid w:val="00E075A8"/>
    <w:rsid w:val="00E07D5A"/>
    <w:rsid w:val="00E105EE"/>
    <w:rsid w:val="00E10D91"/>
    <w:rsid w:val="00E126A3"/>
    <w:rsid w:val="00E134FC"/>
    <w:rsid w:val="00E1436B"/>
    <w:rsid w:val="00E14F22"/>
    <w:rsid w:val="00E151BD"/>
    <w:rsid w:val="00E170FA"/>
    <w:rsid w:val="00E2020E"/>
    <w:rsid w:val="00E20D15"/>
    <w:rsid w:val="00E247ED"/>
    <w:rsid w:val="00E25A13"/>
    <w:rsid w:val="00E26F75"/>
    <w:rsid w:val="00E3064C"/>
    <w:rsid w:val="00E33007"/>
    <w:rsid w:val="00E34483"/>
    <w:rsid w:val="00E3456D"/>
    <w:rsid w:val="00E36F37"/>
    <w:rsid w:val="00E406B2"/>
    <w:rsid w:val="00E4190D"/>
    <w:rsid w:val="00E44987"/>
    <w:rsid w:val="00E44F34"/>
    <w:rsid w:val="00E45859"/>
    <w:rsid w:val="00E47666"/>
    <w:rsid w:val="00E47C2B"/>
    <w:rsid w:val="00E504E9"/>
    <w:rsid w:val="00E507A9"/>
    <w:rsid w:val="00E5253D"/>
    <w:rsid w:val="00E53860"/>
    <w:rsid w:val="00E554E7"/>
    <w:rsid w:val="00E5688C"/>
    <w:rsid w:val="00E57C72"/>
    <w:rsid w:val="00E60AEE"/>
    <w:rsid w:val="00E6406A"/>
    <w:rsid w:val="00E6547E"/>
    <w:rsid w:val="00E65E36"/>
    <w:rsid w:val="00E669A1"/>
    <w:rsid w:val="00E67625"/>
    <w:rsid w:val="00E700D9"/>
    <w:rsid w:val="00E75FF6"/>
    <w:rsid w:val="00E77A6F"/>
    <w:rsid w:val="00E81547"/>
    <w:rsid w:val="00E8390A"/>
    <w:rsid w:val="00E83A3B"/>
    <w:rsid w:val="00E84904"/>
    <w:rsid w:val="00E901D7"/>
    <w:rsid w:val="00E9172D"/>
    <w:rsid w:val="00E922BE"/>
    <w:rsid w:val="00E9258D"/>
    <w:rsid w:val="00E9268E"/>
    <w:rsid w:val="00E92B00"/>
    <w:rsid w:val="00E9368B"/>
    <w:rsid w:val="00E94D9A"/>
    <w:rsid w:val="00E953FA"/>
    <w:rsid w:val="00E9688E"/>
    <w:rsid w:val="00E97E28"/>
    <w:rsid w:val="00EA484D"/>
    <w:rsid w:val="00EA4A96"/>
    <w:rsid w:val="00EA52B9"/>
    <w:rsid w:val="00EB1A14"/>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7B5"/>
    <w:rsid w:val="00EE7B6D"/>
    <w:rsid w:val="00EF13A5"/>
    <w:rsid w:val="00EF1724"/>
    <w:rsid w:val="00EF1AA9"/>
    <w:rsid w:val="00EF1B4E"/>
    <w:rsid w:val="00EF1CC2"/>
    <w:rsid w:val="00EF5079"/>
    <w:rsid w:val="00EF7A77"/>
    <w:rsid w:val="00EF7DE3"/>
    <w:rsid w:val="00F00566"/>
    <w:rsid w:val="00F006C9"/>
    <w:rsid w:val="00F02149"/>
    <w:rsid w:val="00F02196"/>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4CF2"/>
    <w:rsid w:val="00F25235"/>
    <w:rsid w:val="00F254F6"/>
    <w:rsid w:val="00F3022D"/>
    <w:rsid w:val="00F30708"/>
    <w:rsid w:val="00F31B3B"/>
    <w:rsid w:val="00F31E35"/>
    <w:rsid w:val="00F32122"/>
    <w:rsid w:val="00F3228A"/>
    <w:rsid w:val="00F3395E"/>
    <w:rsid w:val="00F33A72"/>
    <w:rsid w:val="00F3415D"/>
    <w:rsid w:val="00F363F1"/>
    <w:rsid w:val="00F37256"/>
    <w:rsid w:val="00F43DFC"/>
    <w:rsid w:val="00F45E5A"/>
    <w:rsid w:val="00F54740"/>
    <w:rsid w:val="00F57A3E"/>
    <w:rsid w:val="00F62899"/>
    <w:rsid w:val="00F637A9"/>
    <w:rsid w:val="00F63A4A"/>
    <w:rsid w:val="00F63E31"/>
    <w:rsid w:val="00F645AE"/>
    <w:rsid w:val="00F67D00"/>
    <w:rsid w:val="00F67D2C"/>
    <w:rsid w:val="00F70011"/>
    <w:rsid w:val="00F720FA"/>
    <w:rsid w:val="00F733B2"/>
    <w:rsid w:val="00F75DF6"/>
    <w:rsid w:val="00F772EA"/>
    <w:rsid w:val="00F77698"/>
    <w:rsid w:val="00F83BC2"/>
    <w:rsid w:val="00F84ED2"/>
    <w:rsid w:val="00F90290"/>
    <w:rsid w:val="00F915B8"/>
    <w:rsid w:val="00F91B3B"/>
    <w:rsid w:val="00F941DA"/>
    <w:rsid w:val="00F94EC0"/>
    <w:rsid w:val="00F976C6"/>
    <w:rsid w:val="00FA0C52"/>
    <w:rsid w:val="00FA215D"/>
    <w:rsid w:val="00FA2451"/>
    <w:rsid w:val="00FA457D"/>
    <w:rsid w:val="00FA6C7E"/>
    <w:rsid w:val="00FA6E33"/>
    <w:rsid w:val="00FA72B1"/>
    <w:rsid w:val="00FB1ABC"/>
    <w:rsid w:val="00FC479C"/>
    <w:rsid w:val="00FC6E57"/>
    <w:rsid w:val="00FC7151"/>
    <w:rsid w:val="00FD0C02"/>
    <w:rsid w:val="00FD1FCF"/>
    <w:rsid w:val="00FD282F"/>
    <w:rsid w:val="00FD6EAA"/>
    <w:rsid w:val="00FE0ABB"/>
    <w:rsid w:val="00FE141F"/>
    <w:rsid w:val="00FE20F0"/>
    <w:rsid w:val="00FE7911"/>
    <w:rsid w:val="00FF07BD"/>
    <w:rsid w:val="00FF1735"/>
    <w:rsid w:val="00FF31C9"/>
    <w:rsid w:val="00FF3D51"/>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57AE-9063-4488-836B-F04215C4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2022-07-21T09:32:00Z</dcterms:created>
  <dcterms:modified xsi:type="dcterms:W3CDTF">2022-07-21T09:32:00Z</dcterms:modified>
</cp:coreProperties>
</file>