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2186F9C9" w:rsidR="00D450B5" w:rsidRPr="00044B50" w:rsidRDefault="00D450B5" w:rsidP="00772E4B">
      <w:pPr>
        <w:jc w:val="center"/>
        <w:rPr>
          <w:b/>
          <w:bCs/>
          <w:lang w:val="en-GB"/>
        </w:rPr>
      </w:pPr>
      <w:r w:rsidRPr="00044B50">
        <w:rPr>
          <w:b/>
          <w:bCs/>
          <w:lang w:val="en-GB"/>
        </w:rPr>
        <w:t xml:space="preserve">(EASTERN CAPE DIVISION, </w:t>
      </w:r>
      <w:r w:rsidR="00D261EA">
        <w:rPr>
          <w:b/>
          <w:bCs/>
          <w:lang w:val="en-GB"/>
        </w:rPr>
        <w:t>MAKHANDA</w:t>
      </w:r>
      <w:r w:rsidRPr="00044B50">
        <w:rPr>
          <w:b/>
          <w:bCs/>
          <w:lang w:val="en-GB"/>
        </w:rPr>
        <w:t>)</w:t>
      </w:r>
    </w:p>
    <w:p w14:paraId="454368F9" w14:textId="77777777" w:rsidR="0089565C" w:rsidRDefault="00D450B5" w:rsidP="0089565C">
      <w:pPr>
        <w:ind w:left="5760" w:right="-52" w:firstLine="720"/>
        <w:jc w:val="right"/>
        <w:rPr>
          <w:b/>
          <w:lang w:val="en-GB"/>
        </w:rPr>
      </w:pPr>
      <w:r w:rsidRPr="00044B50">
        <w:rPr>
          <w:lang w:val="en-GB"/>
        </w:rPr>
        <w:t xml:space="preserve">                                                                                           </w:t>
      </w:r>
      <w:r w:rsidR="0089565C" w:rsidRPr="00245CF8">
        <w:rPr>
          <w:b/>
          <w:lang w:val="en-GB"/>
        </w:rPr>
        <w:t>Not Reportable</w:t>
      </w:r>
    </w:p>
    <w:p w14:paraId="461EEB1A" w14:textId="1D058874" w:rsidR="0089565C" w:rsidRPr="00044B50" w:rsidRDefault="0089565C" w:rsidP="0089565C">
      <w:pPr>
        <w:ind w:right="-52"/>
        <w:jc w:val="center"/>
        <w:rPr>
          <w:spacing w:val="14"/>
          <w:kern w:val="2"/>
          <w:lang w:val="en-GB"/>
        </w:rPr>
      </w:pPr>
      <w:r>
        <w:rPr>
          <w:bCs/>
          <w:lang w:val="en-GB"/>
        </w:rPr>
        <w:t xml:space="preserve">                        </w:t>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t xml:space="preserve">          </w:t>
      </w:r>
      <w:r w:rsidRPr="00245CF8">
        <w:rPr>
          <w:bCs/>
          <w:lang w:val="en-GB"/>
        </w:rPr>
        <w:t xml:space="preserve">Case no: </w:t>
      </w:r>
      <w:r>
        <w:rPr>
          <w:bCs/>
          <w:lang w:val="en-GB"/>
        </w:rPr>
        <w:t>20</w:t>
      </w:r>
      <w:r w:rsidRPr="00245CF8">
        <w:rPr>
          <w:bCs/>
          <w:lang w:val="en-GB"/>
        </w:rPr>
        <w:t>/202</w:t>
      </w:r>
      <w:r>
        <w:rPr>
          <w:bCs/>
          <w:lang w:val="en-GB"/>
        </w:rPr>
        <w:t>2</w:t>
      </w:r>
    </w:p>
    <w:p w14:paraId="13EEBE4B" w14:textId="78A0A0BD" w:rsidR="00D450B5" w:rsidRPr="00044B50" w:rsidRDefault="00D450B5" w:rsidP="0089565C">
      <w:pPr>
        <w:ind w:right="-52"/>
        <w:jc w:val="center"/>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5F1017F0" w14:textId="317224CA" w:rsidR="00C246F2" w:rsidRPr="00044B50" w:rsidRDefault="00D133F0" w:rsidP="00772E4B">
      <w:pPr>
        <w:widowControl w:val="0"/>
        <w:tabs>
          <w:tab w:val="right" w:pos="8198"/>
        </w:tabs>
        <w:jc w:val="both"/>
        <w:rPr>
          <w:b/>
          <w:bCs/>
          <w:spacing w:val="14"/>
          <w:kern w:val="2"/>
          <w:lang w:val="en-GB"/>
        </w:rPr>
      </w:pPr>
      <w:r w:rsidRPr="00044B50">
        <w:rPr>
          <w:b/>
          <w:bCs/>
          <w:spacing w:val="14"/>
          <w:kern w:val="2"/>
          <w:lang w:val="en-GB"/>
        </w:rPr>
        <w:t>THE STATE</w:t>
      </w:r>
    </w:p>
    <w:p w14:paraId="0D746988" w14:textId="77777777" w:rsidR="00D450B5" w:rsidRPr="00044B50" w:rsidRDefault="00D450B5"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4993EEFD" w:rsidR="00C246F2" w:rsidRPr="00044B50" w:rsidRDefault="005220B3" w:rsidP="00772E4B">
      <w:pPr>
        <w:jc w:val="both"/>
        <w:rPr>
          <w:b/>
          <w:bCs/>
          <w:lang w:val="en-GB"/>
        </w:rPr>
      </w:pPr>
      <w:r>
        <w:rPr>
          <w:b/>
          <w:bCs/>
          <w:lang w:val="en-GB"/>
        </w:rPr>
        <w:t>GERMAN BILLA</w:t>
      </w:r>
      <w:r>
        <w:rPr>
          <w:b/>
          <w:bCs/>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b/>
          <w:bCs/>
          <w:lang w:val="en-GB"/>
        </w:rPr>
        <w:t>Accused</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2C44FDE2" w:rsidR="00D450B5" w:rsidRPr="00044B50" w:rsidRDefault="00C530EE" w:rsidP="00772E4B">
      <w:pPr>
        <w:jc w:val="center"/>
        <w:rPr>
          <w:b/>
          <w:bCs/>
          <w:lang w:val="en-GB"/>
        </w:rPr>
      </w:pPr>
      <w:r>
        <w:rPr>
          <w:b/>
          <w:bCs/>
          <w:lang w:val="en-GB"/>
        </w:rPr>
        <w:t>SENTENCE</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5B72F230"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5132AB61" w14:textId="77777777" w:rsidR="00D450B5" w:rsidRPr="00044B50" w:rsidRDefault="00D450B5" w:rsidP="00682CE5">
      <w:pPr>
        <w:jc w:val="both"/>
        <w:rPr>
          <w:lang w:val="en-GB"/>
        </w:rPr>
      </w:pPr>
    </w:p>
    <w:p w14:paraId="34F7781B" w14:textId="3B72618C" w:rsidR="00D468AF" w:rsidRDefault="002F5913" w:rsidP="00682CE5">
      <w:pPr>
        <w:autoSpaceDE w:val="0"/>
        <w:autoSpaceDN w:val="0"/>
        <w:adjustRightInd w:val="0"/>
        <w:jc w:val="both"/>
        <w:rPr>
          <w:b/>
          <w:bCs/>
          <w:lang w:val="en-GB"/>
        </w:rPr>
      </w:pPr>
      <w:r>
        <w:rPr>
          <w:b/>
          <w:bCs/>
          <w:lang w:val="en-GB"/>
        </w:rPr>
        <w:t>Background</w:t>
      </w:r>
    </w:p>
    <w:p w14:paraId="2E150ABB" w14:textId="77777777" w:rsidR="002F5913" w:rsidRPr="002F5913" w:rsidRDefault="002F5913" w:rsidP="00682CE5">
      <w:pPr>
        <w:autoSpaceDE w:val="0"/>
        <w:autoSpaceDN w:val="0"/>
        <w:adjustRightInd w:val="0"/>
        <w:jc w:val="both"/>
        <w:rPr>
          <w:b/>
          <w:bCs/>
          <w:lang w:val="en-GB"/>
        </w:rPr>
      </w:pPr>
    </w:p>
    <w:p w14:paraId="5A33CD6A" w14:textId="340B78F8" w:rsidR="00E922BE" w:rsidRDefault="005220B3" w:rsidP="00682CE5">
      <w:pPr>
        <w:pStyle w:val="ListParagraph"/>
        <w:numPr>
          <w:ilvl w:val="0"/>
          <w:numId w:val="10"/>
        </w:numPr>
        <w:autoSpaceDE w:val="0"/>
        <w:autoSpaceDN w:val="0"/>
        <w:adjustRightInd w:val="0"/>
        <w:ind w:left="142" w:hanging="142"/>
        <w:jc w:val="both"/>
        <w:rPr>
          <w:lang w:val="en-GB"/>
        </w:rPr>
      </w:pPr>
      <w:r>
        <w:rPr>
          <w:lang w:val="en-GB"/>
        </w:rPr>
        <w:t>Mr Billa</w:t>
      </w:r>
      <w:r w:rsidR="00D5686A">
        <w:rPr>
          <w:lang w:val="en-GB"/>
        </w:rPr>
        <w:t xml:space="preserve"> pleaded guilty to charges of murder, robbery (with aggravating circumstances as defined in s 1 of the Criminal Procedure Act, 1977</w:t>
      </w:r>
      <w:r w:rsidR="00772E4B" w:rsidRPr="00044B50">
        <w:rPr>
          <w:rStyle w:val="FootnoteReference"/>
          <w:lang w:val="en-GB"/>
        </w:rPr>
        <w:footnoteReference w:id="1"/>
      </w:r>
      <w:r w:rsidR="003F1EE9">
        <w:rPr>
          <w:lang w:val="en-GB"/>
        </w:rPr>
        <w:t xml:space="preserve"> (‘the Act’)</w:t>
      </w:r>
      <w:r w:rsidR="00D5686A">
        <w:rPr>
          <w:lang w:val="en-GB"/>
        </w:rPr>
        <w:t>) and unlawful</w:t>
      </w:r>
      <w:r w:rsidR="00383846">
        <w:rPr>
          <w:lang w:val="en-GB"/>
        </w:rPr>
        <w:t>ly</w:t>
      </w:r>
      <w:r w:rsidR="00D5686A">
        <w:rPr>
          <w:lang w:val="en-GB"/>
        </w:rPr>
        <w:t xml:space="preserve"> entering and remaining in the Republic of South Africa in contravention of s 49(1)</w:t>
      </w:r>
      <w:r w:rsidR="00D5686A">
        <w:rPr>
          <w:i/>
          <w:iCs/>
          <w:lang w:val="en-GB"/>
        </w:rPr>
        <w:t>(a)</w:t>
      </w:r>
      <w:r w:rsidR="00D5686A">
        <w:rPr>
          <w:lang w:val="en-GB"/>
        </w:rPr>
        <w:t xml:space="preserve"> of the Immigration Act, 2002</w:t>
      </w:r>
      <w:r w:rsidR="005A0866">
        <w:rPr>
          <w:lang w:val="en-GB"/>
        </w:rPr>
        <w:t>.</w:t>
      </w:r>
      <w:r w:rsidR="00D5686A">
        <w:rPr>
          <w:rStyle w:val="FootnoteReference"/>
          <w:lang w:val="en-GB"/>
        </w:rPr>
        <w:footnoteReference w:id="2"/>
      </w:r>
      <w:r w:rsidR="003F1EE9">
        <w:rPr>
          <w:lang w:val="en-GB"/>
        </w:rPr>
        <w:t xml:space="preserve"> His plea was accepted by the prosecutor </w:t>
      </w:r>
      <w:r w:rsidR="003F1EE9">
        <w:rPr>
          <w:lang w:val="en-GB"/>
        </w:rPr>
        <w:lastRenderedPageBreak/>
        <w:t xml:space="preserve">and, in terms of s 112 of the Act, he was convicted on </w:t>
      </w:r>
      <w:r w:rsidR="00FC0614">
        <w:rPr>
          <w:lang w:val="en-GB"/>
        </w:rPr>
        <w:t xml:space="preserve">all counts on </w:t>
      </w:r>
      <w:r w:rsidR="003F1EE9">
        <w:rPr>
          <w:lang w:val="en-GB"/>
        </w:rPr>
        <w:t xml:space="preserve">the basis of a signed statement setting out various admitted facts. </w:t>
      </w:r>
    </w:p>
    <w:p w14:paraId="0E56CC84" w14:textId="77777777" w:rsidR="003F1EE9" w:rsidRDefault="003F1EE9" w:rsidP="003F1EE9">
      <w:pPr>
        <w:pStyle w:val="ListParagraph"/>
        <w:autoSpaceDE w:val="0"/>
        <w:autoSpaceDN w:val="0"/>
        <w:adjustRightInd w:val="0"/>
        <w:ind w:left="142"/>
        <w:jc w:val="both"/>
        <w:rPr>
          <w:lang w:val="en-GB"/>
        </w:rPr>
      </w:pPr>
    </w:p>
    <w:p w14:paraId="38174318" w14:textId="6C56D2AE" w:rsidR="003F1EE9" w:rsidRPr="00044B50" w:rsidRDefault="005220B3" w:rsidP="00682CE5">
      <w:pPr>
        <w:pStyle w:val="ListParagraph"/>
        <w:numPr>
          <w:ilvl w:val="0"/>
          <w:numId w:val="10"/>
        </w:numPr>
        <w:autoSpaceDE w:val="0"/>
        <w:autoSpaceDN w:val="0"/>
        <w:adjustRightInd w:val="0"/>
        <w:ind w:left="142" w:hanging="142"/>
        <w:jc w:val="both"/>
        <w:rPr>
          <w:lang w:val="en-GB"/>
        </w:rPr>
      </w:pPr>
      <w:r>
        <w:rPr>
          <w:lang w:val="en-GB"/>
        </w:rPr>
        <w:t xml:space="preserve">Mr Billa is a 28-year-old Mozambican adult. He was contacted by </w:t>
      </w:r>
      <w:r w:rsidR="00A073E8">
        <w:rPr>
          <w:lang w:val="en-GB"/>
        </w:rPr>
        <w:t>Nelson Shelauli</w:t>
      </w:r>
      <w:r w:rsidR="006875E6">
        <w:rPr>
          <w:lang w:val="en-GB"/>
        </w:rPr>
        <w:t xml:space="preserve"> (‘Shelauli’)</w:t>
      </w:r>
      <w:r w:rsidR="00A073E8">
        <w:rPr>
          <w:lang w:val="en-GB"/>
        </w:rPr>
        <w:t xml:space="preserve">, </w:t>
      </w:r>
      <w:r>
        <w:rPr>
          <w:lang w:val="en-GB"/>
        </w:rPr>
        <w:t>a former school friend</w:t>
      </w:r>
      <w:r w:rsidR="00A073E8">
        <w:rPr>
          <w:lang w:val="en-GB"/>
        </w:rPr>
        <w:t>,</w:t>
      </w:r>
      <w:r>
        <w:rPr>
          <w:lang w:val="en-GB"/>
        </w:rPr>
        <w:t xml:space="preserve"> during May 2021</w:t>
      </w:r>
      <w:r w:rsidR="00A073E8">
        <w:rPr>
          <w:lang w:val="en-GB"/>
        </w:rPr>
        <w:t>.</w:t>
      </w:r>
      <w:r>
        <w:rPr>
          <w:lang w:val="en-GB"/>
        </w:rPr>
        <w:t xml:space="preserve"> </w:t>
      </w:r>
      <w:r w:rsidR="00A073E8">
        <w:rPr>
          <w:lang w:val="en-GB"/>
        </w:rPr>
        <w:t>Shelauli</w:t>
      </w:r>
      <w:r>
        <w:rPr>
          <w:lang w:val="en-GB"/>
        </w:rPr>
        <w:t xml:space="preserve"> met with him in Nelspruit</w:t>
      </w:r>
      <w:r w:rsidR="00A073E8">
        <w:rPr>
          <w:lang w:val="en-GB"/>
        </w:rPr>
        <w:t xml:space="preserve"> and told him about a house </w:t>
      </w:r>
      <w:r w:rsidR="00353EE6">
        <w:rPr>
          <w:lang w:val="en-GB"/>
        </w:rPr>
        <w:t xml:space="preserve">in East London </w:t>
      </w:r>
      <w:r w:rsidR="00A073E8">
        <w:rPr>
          <w:lang w:val="en-GB"/>
        </w:rPr>
        <w:t>containing a safe loaded with cash.</w:t>
      </w:r>
      <w:r w:rsidR="00FC0614">
        <w:rPr>
          <w:lang w:val="en-GB"/>
        </w:rPr>
        <w:t xml:space="preserve"> </w:t>
      </w:r>
      <w:r w:rsidR="00353EE6">
        <w:rPr>
          <w:lang w:val="en-GB"/>
        </w:rPr>
        <w:t>After initially refusing, Mr Billa agreed to accompany him in the hope of becoming wealthy.</w:t>
      </w:r>
      <w:r w:rsidR="004F43B8">
        <w:rPr>
          <w:lang w:val="en-GB"/>
        </w:rPr>
        <w:t xml:space="preserve"> </w:t>
      </w:r>
      <w:r w:rsidR="003643EC">
        <w:rPr>
          <w:lang w:val="en-GB"/>
        </w:rPr>
        <w:t>He knew then that this was money to which he had no claim.</w:t>
      </w:r>
    </w:p>
    <w:p w14:paraId="06EEF5D7" w14:textId="77777777" w:rsidR="00D45942" w:rsidRPr="00044B50" w:rsidRDefault="00D45942" w:rsidP="00682CE5">
      <w:pPr>
        <w:pStyle w:val="ListParagraph"/>
        <w:autoSpaceDE w:val="0"/>
        <w:autoSpaceDN w:val="0"/>
        <w:adjustRightInd w:val="0"/>
        <w:ind w:left="142"/>
        <w:jc w:val="both"/>
        <w:rPr>
          <w:lang w:val="en-GB"/>
        </w:rPr>
      </w:pPr>
    </w:p>
    <w:p w14:paraId="3F0D18D3" w14:textId="4AA80BC5" w:rsidR="00F7530E" w:rsidRDefault="004F43B8" w:rsidP="00682CE5">
      <w:pPr>
        <w:pStyle w:val="ListParagraph"/>
        <w:numPr>
          <w:ilvl w:val="0"/>
          <w:numId w:val="10"/>
        </w:numPr>
        <w:autoSpaceDE w:val="0"/>
        <w:autoSpaceDN w:val="0"/>
        <w:adjustRightInd w:val="0"/>
        <w:ind w:left="142" w:hanging="142"/>
        <w:jc w:val="both"/>
        <w:rPr>
          <w:lang w:val="en-GB"/>
        </w:rPr>
      </w:pPr>
      <w:r>
        <w:rPr>
          <w:lang w:val="en-GB"/>
        </w:rPr>
        <w:t xml:space="preserve">Shelauli </w:t>
      </w:r>
      <w:r w:rsidR="005D4CBA">
        <w:rPr>
          <w:lang w:val="en-GB"/>
        </w:rPr>
        <w:t xml:space="preserve">shared with Mr Billa WhatsApp voice notes with his contact </w:t>
      </w:r>
      <w:r w:rsidR="00FE16CB">
        <w:rPr>
          <w:lang w:val="en-GB"/>
        </w:rPr>
        <w:t xml:space="preserve">and friend </w:t>
      </w:r>
      <w:r w:rsidR="005D4CBA">
        <w:rPr>
          <w:lang w:val="en-GB"/>
        </w:rPr>
        <w:t>in East London (‘Nico’)</w:t>
      </w:r>
      <w:r w:rsidR="00A61F0A">
        <w:rPr>
          <w:lang w:val="en-GB"/>
        </w:rPr>
        <w:t xml:space="preserve"> indicating plans to obtain the money</w:t>
      </w:r>
      <w:r w:rsidR="005A0866">
        <w:rPr>
          <w:lang w:val="en-GB"/>
        </w:rPr>
        <w:t xml:space="preserve"> from the house</w:t>
      </w:r>
      <w:r w:rsidR="00A61F0A">
        <w:rPr>
          <w:lang w:val="en-GB"/>
        </w:rPr>
        <w:t xml:space="preserve">. Shelauli advised </w:t>
      </w:r>
      <w:r w:rsidR="00FE16CB">
        <w:rPr>
          <w:lang w:val="en-GB"/>
        </w:rPr>
        <w:t>Mr Billa that the house was unoccupied. Upon arrival in East London, Shelauli took Mr Billa to meet Nico</w:t>
      </w:r>
      <w:r w:rsidR="0066366D">
        <w:rPr>
          <w:lang w:val="en-GB"/>
        </w:rPr>
        <w:t>, who took them to</w:t>
      </w:r>
      <w:r w:rsidR="009577E8">
        <w:rPr>
          <w:lang w:val="en-GB"/>
        </w:rPr>
        <w:t xml:space="preserve"> </w:t>
      </w:r>
      <w:r w:rsidR="00632E1F">
        <w:rPr>
          <w:lang w:val="en-GB"/>
        </w:rPr>
        <w:t xml:space="preserve">a large </w:t>
      </w:r>
      <w:r w:rsidR="0066366D">
        <w:rPr>
          <w:lang w:val="en-GB"/>
        </w:rPr>
        <w:t>house</w:t>
      </w:r>
      <w:r w:rsidR="0066200A">
        <w:rPr>
          <w:lang w:val="en-GB"/>
        </w:rPr>
        <w:t xml:space="preserve"> indicated as the target.</w:t>
      </w:r>
      <w:r w:rsidR="00F7530E">
        <w:rPr>
          <w:lang w:val="en-GB"/>
        </w:rPr>
        <w:t xml:space="preserve"> They visited the house during the day and at night. </w:t>
      </w:r>
    </w:p>
    <w:p w14:paraId="747E26AA" w14:textId="77777777" w:rsidR="00F7530E" w:rsidRPr="00F7530E" w:rsidRDefault="00F7530E" w:rsidP="00F7530E">
      <w:pPr>
        <w:pStyle w:val="ListParagraph"/>
        <w:rPr>
          <w:lang w:val="en-GB"/>
        </w:rPr>
      </w:pPr>
    </w:p>
    <w:p w14:paraId="7D634519" w14:textId="7A61243C" w:rsidR="004B7E82" w:rsidRDefault="00F7530E" w:rsidP="00682CE5">
      <w:pPr>
        <w:pStyle w:val="ListParagraph"/>
        <w:numPr>
          <w:ilvl w:val="0"/>
          <w:numId w:val="10"/>
        </w:numPr>
        <w:autoSpaceDE w:val="0"/>
        <w:autoSpaceDN w:val="0"/>
        <w:adjustRightInd w:val="0"/>
        <w:ind w:left="142" w:hanging="142"/>
        <w:jc w:val="both"/>
        <w:rPr>
          <w:lang w:val="en-GB"/>
        </w:rPr>
      </w:pPr>
      <w:r>
        <w:rPr>
          <w:lang w:val="en-GB"/>
        </w:rPr>
        <w:t xml:space="preserve">After two days, they returned to the house at approximately 19h00. Shelauli was armed with a black firearm. </w:t>
      </w:r>
      <w:r w:rsidR="002A1DD2">
        <w:rPr>
          <w:lang w:val="en-GB"/>
        </w:rPr>
        <w:t>Nico was sent to see if a room occupied by the owner’s son was vacant. He communicated with Shelauli using WhatsApp, advising that the room was unoccupied but that there was a cell phone and laptop visible.</w:t>
      </w:r>
    </w:p>
    <w:p w14:paraId="5BEE45E8" w14:textId="77777777" w:rsidR="002A1DD2" w:rsidRPr="002A1DD2" w:rsidRDefault="002A1DD2" w:rsidP="002A1DD2">
      <w:pPr>
        <w:pStyle w:val="ListParagraph"/>
        <w:rPr>
          <w:lang w:val="en-GB"/>
        </w:rPr>
      </w:pPr>
    </w:p>
    <w:p w14:paraId="7BB7F992" w14:textId="79F1E5AF" w:rsidR="002A1DD2" w:rsidRDefault="002E2821" w:rsidP="00682CE5">
      <w:pPr>
        <w:pStyle w:val="ListParagraph"/>
        <w:numPr>
          <w:ilvl w:val="0"/>
          <w:numId w:val="10"/>
        </w:numPr>
        <w:autoSpaceDE w:val="0"/>
        <w:autoSpaceDN w:val="0"/>
        <w:adjustRightInd w:val="0"/>
        <w:ind w:left="142" w:hanging="142"/>
        <w:jc w:val="both"/>
        <w:rPr>
          <w:lang w:val="en-GB"/>
        </w:rPr>
      </w:pPr>
      <w:r>
        <w:rPr>
          <w:lang w:val="en-GB"/>
        </w:rPr>
        <w:t xml:space="preserve">Upon entering that room, Mr Billa was surprised and discomforted to find the son inside. </w:t>
      </w:r>
      <w:r w:rsidR="008C0436">
        <w:rPr>
          <w:lang w:val="en-GB"/>
        </w:rPr>
        <w:t xml:space="preserve">He foresaw the possibility of resistance from the occupiers, including the possibility of shooting taking place. </w:t>
      </w:r>
      <w:r w:rsidR="004F6EFC">
        <w:rPr>
          <w:lang w:val="en-GB"/>
        </w:rPr>
        <w:t xml:space="preserve">The son was </w:t>
      </w:r>
      <w:r w:rsidR="00BE3016">
        <w:rPr>
          <w:lang w:val="en-GB"/>
        </w:rPr>
        <w:t>tied</w:t>
      </w:r>
      <w:r w:rsidR="000E754F">
        <w:rPr>
          <w:lang w:val="en-GB"/>
        </w:rPr>
        <w:t xml:space="preserve"> up</w:t>
      </w:r>
      <w:r w:rsidR="004F6EFC">
        <w:rPr>
          <w:lang w:val="en-GB"/>
        </w:rPr>
        <w:t xml:space="preserve"> with shoe laces and taken to an upstairs room. The home owner heard this and asked what was happening. Mr Billa was nervous as he observed </w:t>
      </w:r>
      <w:r w:rsidR="006D4156">
        <w:rPr>
          <w:lang w:val="en-GB"/>
        </w:rPr>
        <w:t xml:space="preserve">that the owner was carrying a firearm. He then saw Shelauli firing two shots at the owner, who fell down, his firearm dropping to the floor. </w:t>
      </w:r>
    </w:p>
    <w:p w14:paraId="389182B4" w14:textId="77777777" w:rsidR="006D4156" w:rsidRPr="006D4156" w:rsidRDefault="006D4156" w:rsidP="006D4156">
      <w:pPr>
        <w:pStyle w:val="ListParagraph"/>
        <w:rPr>
          <w:lang w:val="en-GB"/>
        </w:rPr>
      </w:pPr>
    </w:p>
    <w:p w14:paraId="651382E5" w14:textId="52507353" w:rsidR="006D4156" w:rsidRDefault="006D4156" w:rsidP="00682CE5">
      <w:pPr>
        <w:pStyle w:val="ListParagraph"/>
        <w:numPr>
          <w:ilvl w:val="0"/>
          <w:numId w:val="10"/>
        </w:numPr>
        <w:autoSpaceDE w:val="0"/>
        <w:autoSpaceDN w:val="0"/>
        <w:adjustRightInd w:val="0"/>
        <w:ind w:left="142" w:hanging="142"/>
        <w:jc w:val="both"/>
        <w:rPr>
          <w:lang w:val="en-GB"/>
        </w:rPr>
      </w:pPr>
      <w:r>
        <w:rPr>
          <w:lang w:val="en-GB"/>
        </w:rPr>
        <w:t>All the family members were tied up</w:t>
      </w:r>
      <w:r w:rsidR="004103A8">
        <w:rPr>
          <w:lang w:val="en-GB"/>
        </w:rPr>
        <w:t xml:space="preserve"> using shoelaces</w:t>
      </w:r>
      <w:r>
        <w:rPr>
          <w:lang w:val="en-GB"/>
        </w:rPr>
        <w:t>, other than a baby girl and the injured owner.</w:t>
      </w:r>
      <w:r w:rsidR="00D068F0">
        <w:rPr>
          <w:lang w:val="en-GB"/>
        </w:rPr>
        <w:t xml:space="preserve"> Mr Billa was still nervous and shaking. He observed Shelauli and Nico taking the lady of the house and the elder son to the room containing a safe, while he remained in the dining room with the other members of the household.</w:t>
      </w:r>
      <w:r w:rsidR="00B26261">
        <w:rPr>
          <w:lang w:val="en-GB"/>
        </w:rPr>
        <w:t xml:space="preserve"> When Shelauli realised that Mr Billa was nervous, he assaulted him with an open hand. After some time, the other two returned with a school bag and laptop bag. The three </w:t>
      </w:r>
      <w:r w:rsidR="00B26261">
        <w:rPr>
          <w:lang w:val="en-GB"/>
        </w:rPr>
        <w:lastRenderedPageBreak/>
        <w:t>left the house with the bags and three bicycles and returned to Nico’s house. When the bags were emptied</w:t>
      </w:r>
      <w:r w:rsidR="00383846">
        <w:rPr>
          <w:lang w:val="en-GB"/>
        </w:rPr>
        <w:t>,</w:t>
      </w:r>
      <w:r w:rsidR="00B26261">
        <w:rPr>
          <w:lang w:val="en-GB"/>
        </w:rPr>
        <w:t xml:space="preserve"> he observed laptops, cell phones, the owner’s firearm and other things.</w:t>
      </w:r>
    </w:p>
    <w:p w14:paraId="2242128C" w14:textId="77777777" w:rsidR="006B6D66" w:rsidRPr="006B6D66" w:rsidRDefault="006B6D66" w:rsidP="006B6D66">
      <w:pPr>
        <w:pStyle w:val="ListParagraph"/>
        <w:rPr>
          <w:lang w:val="en-GB"/>
        </w:rPr>
      </w:pPr>
    </w:p>
    <w:p w14:paraId="502478FB" w14:textId="45A2EB0A" w:rsidR="006B6D66" w:rsidRPr="00044B50" w:rsidRDefault="006B6D66" w:rsidP="00682CE5">
      <w:pPr>
        <w:pStyle w:val="ListParagraph"/>
        <w:numPr>
          <w:ilvl w:val="0"/>
          <w:numId w:val="10"/>
        </w:numPr>
        <w:autoSpaceDE w:val="0"/>
        <w:autoSpaceDN w:val="0"/>
        <w:adjustRightInd w:val="0"/>
        <w:ind w:left="142" w:hanging="142"/>
        <w:jc w:val="both"/>
        <w:rPr>
          <w:lang w:val="en-GB"/>
        </w:rPr>
      </w:pPr>
      <w:r>
        <w:rPr>
          <w:lang w:val="en-GB"/>
        </w:rPr>
        <w:t>A few days later, Mr Billa received his share: he was given a black cell phone to use, and Shelauli informed him that he had wasted his money by bringing him to East London.</w:t>
      </w:r>
      <w:r w:rsidR="002262D5">
        <w:rPr>
          <w:lang w:val="en-GB"/>
        </w:rPr>
        <w:t xml:space="preserve"> Mr Billa’s statement indicated that he had panicked when he realised that there were people in the house. This was not part of the plan but he had not done anything </w:t>
      </w:r>
      <w:r w:rsidR="003C431C">
        <w:rPr>
          <w:lang w:val="en-GB"/>
        </w:rPr>
        <w:t>to extricate himself from the situation.</w:t>
      </w:r>
      <w:r w:rsidR="005C2603">
        <w:rPr>
          <w:lang w:val="en-GB"/>
        </w:rPr>
        <w:t xml:space="preserve"> He eventually returned to Nelspruit.</w:t>
      </w:r>
    </w:p>
    <w:p w14:paraId="4CD9AA23" w14:textId="77777777" w:rsidR="00E57C72" w:rsidRPr="00044B50" w:rsidRDefault="00E57C72" w:rsidP="00682CE5">
      <w:pPr>
        <w:pStyle w:val="ListParagraph"/>
        <w:jc w:val="both"/>
        <w:rPr>
          <w:lang w:val="en-GB"/>
        </w:rPr>
      </w:pPr>
    </w:p>
    <w:p w14:paraId="1D4FA725" w14:textId="4CD752F7" w:rsidR="00507CE6" w:rsidRPr="00507CE6" w:rsidRDefault="005C2603" w:rsidP="00507CE6">
      <w:pPr>
        <w:pStyle w:val="ListParagraph"/>
        <w:numPr>
          <w:ilvl w:val="0"/>
          <w:numId w:val="10"/>
        </w:numPr>
        <w:autoSpaceDE w:val="0"/>
        <w:autoSpaceDN w:val="0"/>
        <w:adjustRightInd w:val="0"/>
        <w:ind w:left="142" w:hanging="142"/>
        <w:jc w:val="both"/>
        <w:rPr>
          <w:lang w:val="en-GB"/>
        </w:rPr>
      </w:pPr>
      <w:r>
        <w:rPr>
          <w:lang w:val="en-GB"/>
        </w:rPr>
        <w:t>Mr Billa stated that: ‘I knew at the time of being involved with Nelson and Nico in the commission of the crime that it was unlawful and is punishable by law, but I nevertheless continued with my actions and associated myself with their actions by assisting them when we went to commit robbery and the deceased got shot in the process. I associated myself with the actions of my co-perpetrators as I also did nothing to save the deceased and his family.</w:t>
      </w:r>
      <w:r w:rsidR="00B42EDF">
        <w:rPr>
          <w:lang w:val="en-GB"/>
        </w:rPr>
        <w:t>’</w:t>
      </w:r>
      <w:r w:rsidR="00E91594">
        <w:rPr>
          <w:lang w:val="en-GB"/>
        </w:rPr>
        <w:t xml:space="preserve"> When approached by the police two months later, during July 2021, he immediately </w:t>
      </w:r>
      <w:r w:rsidR="00374158">
        <w:rPr>
          <w:lang w:val="en-GB"/>
        </w:rPr>
        <w:t>admitted</w:t>
      </w:r>
      <w:r w:rsidR="00E91594">
        <w:rPr>
          <w:lang w:val="en-GB"/>
        </w:rPr>
        <w:t xml:space="preserve"> to the crimes</w:t>
      </w:r>
      <w:r w:rsidR="00F81C49">
        <w:rPr>
          <w:lang w:val="en-GB"/>
        </w:rPr>
        <w:t xml:space="preserve"> and explained what had occurred.</w:t>
      </w:r>
      <w:r w:rsidR="000E6E92">
        <w:rPr>
          <w:lang w:val="en-GB"/>
        </w:rPr>
        <w:t xml:space="preserve"> He became aware that the home owner had succumbed to his injuries on the day of the incident. </w:t>
      </w:r>
      <w:r w:rsidR="00507CE6">
        <w:rPr>
          <w:lang w:val="en-GB"/>
        </w:rPr>
        <w:t>He offered an apology to the court and the family of the deceased as part of his statement, indicating that he felt remorse for what had transpired.</w:t>
      </w:r>
    </w:p>
    <w:p w14:paraId="23D52838" w14:textId="77777777" w:rsidR="008A7715" w:rsidRPr="008A7715" w:rsidRDefault="008A7715" w:rsidP="008A7715">
      <w:pPr>
        <w:pStyle w:val="ListParagraph"/>
        <w:rPr>
          <w:lang w:val="en-GB"/>
        </w:rPr>
      </w:pPr>
    </w:p>
    <w:p w14:paraId="01368691" w14:textId="0369A0B0" w:rsidR="008A7715" w:rsidRPr="00044B50" w:rsidRDefault="00B42EDF" w:rsidP="00682CE5">
      <w:pPr>
        <w:pStyle w:val="ListParagraph"/>
        <w:numPr>
          <w:ilvl w:val="0"/>
          <w:numId w:val="10"/>
        </w:numPr>
        <w:autoSpaceDE w:val="0"/>
        <w:autoSpaceDN w:val="0"/>
        <w:adjustRightInd w:val="0"/>
        <w:ind w:left="142" w:hanging="142"/>
        <w:jc w:val="both"/>
        <w:rPr>
          <w:lang w:val="en-GB"/>
        </w:rPr>
      </w:pPr>
      <w:r>
        <w:rPr>
          <w:lang w:val="en-GB"/>
        </w:rPr>
        <w:t xml:space="preserve">Mr Billa also </w:t>
      </w:r>
      <w:r w:rsidR="000E6E92">
        <w:rPr>
          <w:lang w:val="en-GB"/>
        </w:rPr>
        <w:t>indicated that he had not obtained the necessary papers to be able to remain in South Africa</w:t>
      </w:r>
      <w:r w:rsidR="005D2EE1">
        <w:rPr>
          <w:lang w:val="en-GB"/>
        </w:rPr>
        <w:t xml:space="preserve"> from the Department of Home Affairs. </w:t>
      </w:r>
      <w:r w:rsidR="00562DAF">
        <w:rPr>
          <w:lang w:val="en-GB"/>
        </w:rPr>
        <w:t>After being found guilty, the state proved a prior conviction in this respect, for which he had been fined R1500.</w:t>
      </w:r>
      <w:r w:rsidR="002F5913">
        <w:rPr>
          <w:lang w:val="en-GB"/>
        </w:rPr>
        <w:t xml:space="preserve"> </w:t>
      </w:r>
    </w:p>
    <w:p w14:paraId="3225DD1D" w14:textId="0646427A" w:rsidR="008C480D" w:rsidRDefault="008C480D" w:rsidP="00D30CEE">
      <w:pPr>
        <w:autoSpaceDE w:val="0"/>
        <w:autoSpaceDN w:val="0"/>
        <w:adjustRightInd w:val="0"/>
        <w:jc w:val="both"/>
        <w:rPr>
          <w:lang w:val="en-GB"/>
        </w:rPr>
      </w:pPr>
    </w:p>
    <w:p w14:paraId="5071012F" w14:textId="72D37326" w:rsidR="002F5913" w:rsidRDefault="002F5913" w:rsidP="00D30CEE">
      <w:pPr>
        <w:autoSpaceDE w:val="0"/>
        <w:autoSpaceDN w:val="0"/>
        <w:adjustRightInd w:val="0"/>
        <w:jc w:val="both"/>
        <w:rPr>
          <w:b/>
          <w:bCs/>
          <w:lang w:val="en-GB"/>
        </w:rPr>
      </w:pPr>
      <w:r>
        <w:rPr>
          <w:b/>
          <w:bCs/>
          <w:lang w:val="en-GB"/>
        </w:rPr>
        <w:t>Aggravation and mitigation</w:t>
      </w:r>
    </w:p>
    <w:p w14:paraId="34F5605B" w14:textId="77777777" w:rsidR="002F5913" w:rsidRPr="002F5913" w:rsidRDefault="002F5913" w:rsidP="00D30CEE">
      <w:pPr>
        <w:autoSpaceDE w:val="0"/>
        <w:autoSpaceDN w:val="0"/>
        <w:adjustRightInd w:val="0"/>
        <w:jc w:val="both"/>
        <w:rPr>
          <w:b/>
          <w:bCs/>
          <w:lang w:val="en-GB"/>
        </w:rPr>
      </w:pPr>
    </w:p>
    <w:p w14:paraId="7E126A5C" w14:textId="4A2FAB09" w:rsidR="00BC0E67" w:rsidRDefault="006B24BE" w:rsidP="00AF6DF0">
      <w:pPr>
        <w:pStyle w:val="ListParagraph"/>
        <w:numPr>
          <w:ilvl w:val="0"/>
          <w:numId w:val="10"/>
        </w:numPr>
        <w:autoSpaceDE w:val="0"/>
        <w:autoSpaceDN w:val="0"/>
        <w:adjustRightInd w:val="0"/>
        <w:ind w:left="142" w:hanging="142"/>
        <w:jc w:val="both"/>
        <w:rPr>
          <w:lang w:val="en-GB"/>
        </w:rPr>
      </w:pPr>
      <w:r>
        <w:rPr>
          <w:lang w:val="en-GB"/>
        </w:rPr>
        <w:t>Dr Solomon Zondi testified that he was the Chief Medical Officer at Forensic Pathology Services in Woodbrook, East London. He had conducted a post-mortem examination on the body of Joseph Jongile (‘the deceased’) on 17 May 2021.</w:t>
      </w:r>
      <w:r w:rsidR="00BC0E67">
        <w:rPr>
          <w:lang w:val="en-GB"/>
        </w:rPr>
        <w:t xml:space="preserve"> The </w:t>
      </w:r>
      <w:r w:rsidR="007A0F8C">
        <w:rPr>
          <w:lang w:val="en-GB"/>
        </w:rPr>
        <w:lastRenderedPageBreak/>
        <w:t xml:space="preserve">uncontested </w:t>
      </w:r>
      <w:r w:rsidR="00BC0E67">
        <w:rPr>
          <w:lang w:val="en-GB"/>
        </w:rPr>
        <w:t>chief post-mortem findings</w:t>
      </w:r>
      <w:r w:rsidR="005B771E">
        <w:rPr>
          <w:lang w:val="en-GB"/>
        </w:rPr>
        <w:t xml:space="preserve">, supported by a photo album </w:t>
      </w:r>
      <w:r w:rsidR="003D4294">
        <w:rPr>
          <w:lang w:val="en-GB"/>
        </w:rPr>
        <w:t xml:space="preserve">and diagrams </w:t>
      </w:r>
      <w:r w:rsidR="005B771E">
        <w:rPr>
          <w:lang w:val="en-GB"/>
        </w:rPr>
        <w:t>accepted into evidence,</w:t>
      </w:r>
      <w:r w:rsidR="00BC0E67">
        <w:rPr>
          <w:lang w:val="en-GB"/>
        </w:rPr>
        <w:t xml:space="preserve"> were the following:</w:t>
      </w:r>
    </w:p>
    <w:p w14:paraId="16C39E04" w14:textId="4D6DF2BB" w:rsidR="00BC0E67" w:rsidRDefault="00BC0E67" w:rsidP="00BC0E67">
      <w:pPr>
        <w:pStyle w:val="ListParagraph"/>
        <w:numPr>
          <w:ilvl w:val="0"/>
          <w:numId w:val="11"/>
        </w:numPr>
        <w:autoSpaceDE w:val="0"/>
        <w:autoSpaceDN w:val="0"/>
        <w:adjustRightInd w:val="0"/>
        <w:jc w:val="both"/>
        <w:rPr>
          <w:lang w:val="en-GB"/>
        </w:rPr>
      </w:pPr>
      <w:r>
        <w:rPr>
          <w:lang w:val="en-GB"/>
        </w:rPr>
        <w:t>A projectile had entered the deceased’s left lateral chest wall, had perforated the left dome of the diaphragm, descending into the colon and left kidney and exiting on the left posterior lumbar region.</w:t>
      </w:r>
    </w:p>
    <w:p w14:paraId="0E05CF8C" w14:textId="06A1C343" w:rsidR="00BC0E67" w:rsidRDefault="00BC0E67" w:rsidP="00BC0E67">
      <w:pPr>
        <w:pStyle w:val="ListParagraph"/>
        <w:numPr>
          <w:ilvl w:val="0"/>
          <w:numId w:val="11"/>
        </w:numPr>
        <w:autoSpaceDE w:val="0"/>
        <w:autoSpaceDN w:val="0"/>
        <w:adjustRightInd w:val="0"/>
        <w:jc w:val="both"/>
        <w:rPr>
          <w:lang w:val="en-GB"/>
        </w:rPr>
      </w:pPr>
      <w:r>
        <w:rPr>
          <w:lang w:val="en-GB"/>
        </w:rPr>
        <w:t>A second projectile had entered the left thigh, medially, traversing the thigh muscles, from left to right in an upward direction, exiting on the left medial aspect of the buttock.</w:t>
      </w:r>
    </w:p>
    <w:p w14:paraId="06CC9FE9" w14:textId="2A49E6F5" w:rsidR="00BC0E67" w:rsidRDefault="00BC0E67" w:rsidP="00BC0E67">
      <w:pPr>
        <w:pStyle w:val="ListParagraph"/>
        <w:numPr>
          <w:ilvl w:val="0"/>
          <w:numId w:val="11"/>
        </w:numPr>
        <w:autoSpaceDE w:val="0"/>
        <w:autoSpaceDN w:val="0"/>
        <w:adjustRightInd w:val="0"/>
        <w:jc w:val="both"/>
        <w:rPr>
          <w:lang w:val="en-GB"/>
        </w:rPr>
      </w:pPr>
      <w:r>
        <w:rPr>
          <w:lang w:val="en-GB"/>
        </w:rPr>
        <w:t>The cause of death was the abdominal injuries caused to the left kidney, which had been injured as a result of the gunshot wound to the left chest wall.</w:t>
      </w:r>
    </w:p>
    <w:p w14:paraId="702E06DD" w14:textId="2BB44DFA" w:rsidR="007A0F8C" w:rsidRDefault="00EB2EEA" w:rsidP="00BC0E67">
      <w:pPr>
        <w:pStyle w:val="ListParagraph"/>
        <w:numPr>
          <w:ilvl w:val="0"/>
          <w:numId w:val="11"/>
        </w:numPr>
        <w:autoSpaceDE w:val="0"/>
        <w:autoSpaceDN w:val="0"/>
        <w:adjustRightInd w:val="0"/>
        <w:jc w:val="both"/>
        <w:rPr>
          <w:lang w:val="en-GB"/>
        </w:rPr>
      </w:pPr>
      <w:r>
        <w:rPr>
          <w:lang w:val="en-GB"/>
        </w:rPr>
        <w:t>The deceased, who had seemingly been a person of good health, barring high blood pressure, was likely to have suffered a slow and painful death</w:t>
      </w:r>
      <w:r w:rsidR="002E29D5">
        <w:rPr>
          <w:lang w:val="en-GB"/>
        </w:rPr>
        <w:t>. This was</w:t>
      </w:r>
      <w:r w:rsidR="007A5C4E">
        <w:rPr>
          <w:lang w:val="en-GB"/>
        </w:rPr>
        <w:t xml:space="preserve"> caused by the gunshot at close range</w:t>
      </w:r>
      <w:r w:rsidR="002E29D5">
        <w:rPr>
          <w:lang w:val="en-GB"/>
        </w:rPr>
        <w:t xml:space="preserve">, which had </w:t>
      </w:r>
      <w:r w:rsidR="00883512">
        <w:rPr>
          <w:lang w:val="en-GB"/>
        </w:rPr>
        <w:t>permeated the colon and the kidney</w:t>
      </w:r>
      <w:r w:rsidR="00731A48">
        <w:rPr>
          <w:lang w:val="en-GB"/>
        </w:rPr>
        <w:t xml:space="preserve">, </w:t>
      </w:r>
      <w:r w:rsidR="002E29D5">
        <w:rPr>
          <w:lang w:val="en-GB"/>
        </w:rPr>
        <w:t>result</w:t>
      </w:r>
      <w:r w:rsidR="00731A48">
        <w:rPr>
          <w:lang w:val="en-GB"/>
        </w:rPr>
        <w:t>ing</w:t>
      </w:r>
      <w:r w:rsidR="002E29D5">
        <w:rPr>
          <w:lang w:val="en-GB"/>
        </w:rPr>
        <w:t xml:space="preserve"> in multiple organ failure and the deceased’s lungs being congested with blood.</w:t>
      </w:r>
    </w:p>
    <w:p w14:paraId="3F204983" w14:textId="77777777" w:rsidR="00857AA4" w:rsidRDefault="00857AA4" w:rsidP="00857AA4">
      <w:pPr>
        <w:pStyle w:val="ListParagraph"/>
        <w:autoSpaceDE w:val="0"/>
        <w:autoSpaceDN w:val="0"/>
        <w:adjustRightInd w:val="0"/>
        <w:ind w:left="862"/>
        <w:jc w:val="both"/>
        <w:rPr>
          <w:lang w:val="en-GB"/>
        </w:rPr>
      </w:pPr>
    </w:p>
    <w:p w14:paraId="08403B93" w14:textId="7C8DC27F" w:rsidR="00CC1F76" w:rsidRDefault="006B24BE" w:rsidP="005C6DF0">
      <w:pPr>
        <w:pStyle w:val="ListParagraph"/>
        <w:numPr>
          <w:ilvl w:val="0"/>
          <w:numId w:val="10"/>
        </w:numPr>
        <w:autoSpaceDE w:val="0"/>
        <w:autoSpaceDN w:val="0"/>
        <w:adjustRightInd w:val="0"/>
        <w:ind w:left="142" w:hanging="142"/>
        <w:jc w:val="both"/>
        <w:rPr>
          <w:lang w:val="en-GB"/>
        </w:rPr>
      </w:pPr>
      <w:r>
        <w:rPr>
          <w:lang w:val="en-GB"/>
        </w:rPr>
        <w:t xml:space="preserve"> </w:t>
      </w:r>
      <w:r w:rsidR="00840086">
        <w:rPr>
          <w:lang w:val="en-GB"/>
        </w:rPr>
        <w:t xml:space="preserve">Mrs Jongile, the wife of the deceased, also testified. </w:t>
      </w:r>
      <w:r w:rsidR="00957168">
        <w:rPr>
          <w:lang w:val="en-GB"/>
        </w:rPr>
        <w:t>They had been married for 23 years</w:t>
      </w:r>
      <w:r w:rsidR="00CC6551">
        <w:rPr>
          <w:lang w:val="en-GB"/>
        </w:rPr>
        <w:t xml:space="preserve"> and had two children</w:t>
      </w:r>
      <w:r w:rsidR="00675515">
        <w:rPr>
          <w:lang w:val="en-GB"/>
        </w:rPr>
        <w:t>, aged 22 and eight</w:t>
      </w:r>
      <w:r w:rsidR="00CC6551">
        <w:rPr>
          <w:lang w:val="en-GB"/>
        </w:rPr>
        <w:t>.</w:t>
      </w:r>
      <w:r w:rsidR="005A446D">
        <w:rPr>
          <w:lang w:val="en-GB"/>
        </w:rPr>
        <w:t xml:space="preserve"> </w:t>
      </w:r>
      <w:r w:rsidR="005F4FD7">
        <w:rPr>
          <w:lang w:val="en-GB"/>
        </w:rPr>
        <w:t>The elder child was studying at the University of Cape Town</w:t>
      </w:r>
      <w:r w:rsidR="00C25302">
        <w:rPr>
          <w:lang w:val="en-GB"/>
        </w:rPr>
        <w:t>.</w:t>
      </w:r>
      <w:r w:rsidR="005F4FD7">
        <w:rPr>
          <w:lang w:val="en-GB"/>
        </w:rPr>
        <w:t xml:space="preserve"> </w:t>
      </w:r>
      <w:r w:rsidR="00C25302">
        <w:rPr>
          <w:lang w:val="en-GB"/>
        </w:rPr>
        <w:t>T</w:t>
      </w:r>
      <w:r w:rsidR="005F4FD7">
        <w:rPr>
          <w:lang w:val="en-GB"/>
        </w:rPr>
        <w:t>he younger</w:t>
      </w:r>
      <w:r w:rsidR="00FD7D55">
        <w:rPr>
          <w:lang w:val="en-GB"/>
        </w:rPr>
        <w:t>, who had been adopted at the age of four months,</w:t>
      </w:r>
      <w:r w:rsidR="005F4FD7">
        <w:rPr>
          <w:lang w:val="en-GB"/>
        </w:rPr>
        <w:t xml:space="preserve"> </w:t>
      </w:r>
      <w:r w:rsidR="00C837E5">
        <w:rPr>
          <w:lang w:val="en-GB"/>
        </w:rPr>
        <w:t>is schooling</w:t>
      </w:r>
      <w:r w:rsidR="00FD7D55">
        <w:rPr>
          <w:lang w:val="en-GB"/>
        </w:rPr>
        <w:t xml:space="preserve"> </w:t>
      </w:r>
      <w:r w:rsidR="004420CF">
        <w:rPr>
          <w:lang w:val="en-GB"/>
        </w:rPr>
        <w:t>at a private school in</w:t>
      </w:r>
      <w:r w:rsidR="005F4FD7">
        <w:rPr>
          <w:lang w:val="en-GB"/>
        </w:rPr>
        <w:t xml:space="preserve"> Makhanda</w:t>
      </w:r>
      <w:r w:rsidR="00D637B9">
        <w:rPr>
          <w:lang w:val="en-GB"/>
        </w:rPr>
        <w:t>.</w:t>
      </w:r>
      <w:r w:rsidR="00C30D22">
        <w:rPr>
          <w:lang w:val="en-GB"/>
        </w:rPr>
        <w:t xml:space="preserve"> F</w:t>
      </w:r>
      <w:r w:rsidR="00656E14">
        <w:rPr>
          <w:lang w:val="en-GB"/>
        </w:rPr>
        <w:t xml:space="preserve">unds </w:t>
      </w:r>
      <w:r w:rsidR="00C30D22">
        <w:rPr>
          <w:lang w:val="en-GB"/>
        </w:rPr>
        <w:t>had</w:t>
      </w:r>
      <w:r w:rsidR="000B7359">
        <w:rPr>
          <w:lang w:val="en-GB"/>
        </w:rPr>
        <w:t xml:space="preserve"> </w:t>
      </w:r>
      <w:r w:rsidR="00656E14">
        <w:rPr>
          <w:lang w:val="en-GB"/>
        </w:rPr>
        <w:t>be</w:t>
      </w:r>
      <w:r w:rsidR="00F267B1">
        <w:rPr>
          <w:lang w:val="en-GB"/>
        </w:rPr>
        <w:t>en</w:t>
      </w:r>
      <w:r w:rsidR="00656E14">
        <w:rPr>
          <w:lang w:val="en-GB"/>
        </w:rPr>
        <w:t xml:space="preserve"> provided by the deceased to enable </w:t>
      </w:r>
      <w:r w:rsidR="00C30D22">
        <w:rPr>
          <w:lang w:val="en-GB"/>
        </w:rPr>
        <w:t>the children’s</w:t>
      </w:r>
      <w:r w:rsidR="00656E14">
        <w:rPr>
          <w:lang w:val="en-GB"/>
        </w:rPr>
        <w:t xml:space="preserve"> education. </w:t>
      </w:r>
      <w:r w:rsidR="00CC1F76">
        <w:rPr>
          <w:lang w:val="en-GB"/>
        </w:rPr>
        <w:t>The deceased had played a crucial role in their upbringing, communicating with them better than their mother could.</w:t>
      </w:r>
      <w:r w:rsidR="000264DE">
        <w:rPr>
          <w:lang w:val="en-GB"/>
        </w:rPr>
        <w:t xml:space="preserve"> </w:t>
      </w:r>
      <w:r w:rsidR="00B40005">
        <w:rPr>
          <w:lang w:val="en-GB"/>
        </w:rPr>
        <w:t>For example, h</w:t>
      </w:r>
      <w:r w:rsidR="000264DE">
        <w:rPr>
          <w:lang w:val="en-GB"/>
        </w:rPr>
        <w:t>e would unhesitatingly leave his work in Bhisho and travel to Makhanda whenever his children needed him. They meant the world to him.</w:t>
      </w:r>
      <w:r w:rsidR="00AB64D4">
        <w:rPr>
          <w:lang w:val="en-GB"/>
        </w:rPr>
        <w:t xml:space="preserve"> He knew their friends and the parents of their friends by name. </w:t>
      </w:r>
      <w:r w:rsidR="00094FB3">
        <w:rPr>
          <w:lang w:val="en-GB"/>
        </w:rPr>
        <w:t>It was the deceased who had raised and bottle</w:t>
      </w:r>
      <w:r w:rsidR="007D2359">
        <w:rPr>
          <w:lang w:val="en-GB"/>
        </w:rPr>
        <w:t>-</w:t>
      </w:r>
      <w:r w:rsidR="00094FB3">
        <w:rPr>
          <w:lang w:val="en-GB"/>
        </w:rPr>
        <w:t>fed the younger child</w:t>
      </w:r>
      <w:r w:rsidR="00766824">
        <w:rPr>
          <w:lang w:val="en-GB"/>
        </w:rPr>
        <w:t xml:space="preserve">, who </w:t>
      </w:r>
      <w:r w:rsidR="007D2359">
        <w:rPr>
          <w:lang w:val="en-GB"/>
        </w:rPr>
        <w:t xml:space="preserve">had been present at the time of the incident. </w:t>
      </w:r>
    </w:p>
    <w:p w14:paraId="0A3D04B7" w14:textId="77777777" w:rsidR="00CC1F76" w:rsidRDefault="00CC1F76" w:rsidP="00CC1F76">
      <w:pPr>
        <w:pStyle w:val="ListParagraph"/>
        <w:autoSpaceDE w:val="0"/>
        <w:autoSpaceDN w:val="0"/>
        <w:adjustRightInd w:val="0"/>
        <w:ind w:left="142"/>
        <w:jc w:val="both"/>
        <w:rPr>
          <w:lang w:val="en-GB"/>
        </w:rPr>
      </w:pPr>
    </w:p>
    <w:p w14:paraId="080E10C6" w14:textId="751BAC45" w:rsidR="00840086" w:rsidRDefault="005A446D" w:rsidP="005C6DF0">
      <w:pPr>
        <w:pStyle w:val="ListParagraph"/>
        <w:numPr>
          <w:ilvl w:val="0"/>
          <w:numId w:val="10"/>
        </w:numPr>
        <w:autoSpaceDE w:val="0"/>
        <w:autoSpaceDN w:val="0"/>
        <w:adjustRightInd w:val="0"/>
        <w:ind w:left="142" w:hanging="142"/>
        <w:jc w:val="both"/>
        <w:rPr>
          <w:lang w:val="en-GB"/>
        </w:rPr>
      </w:pPr>
      <w:r>
        <w:rPr>
          <w:lang w:val="en-GB"/>
        </w:rPr>
        <w:t>The deceased</w:t>
      </w:r>
      <w:r w:rsidR="005B247F">
        <w:rPr>
          <w:lang w:val="en-GB"/>
        </w:rPr>
        <w:t xml:space="preserve"> had been </w:t>
      </w:r>
      <w:r w:rsidR="00622991">
        <w:rPr>
          <w:lang w:val="en-GB"/>
        </w:rPr>
        <w:t xml:space="preserve">a police officer </w:t>
      </w:r>
      <w:r w:rsidR="00540989">
        <w:rPr>
          <w:lang w:val="en-GB"/>
        </w:rPr>
        <w:t xml:space="preserve">holding the rank of Director and </w:t>
      </w:r>
      <w:r w:rsidR="00622991">
        <w:rPr>
          <w:lang w:val="en-GB"/>
        </w:rPr>
        <w:t>stationed in Bhisho,</w:t>
      </w:r>
      <w:r>
        <w:rPr>
          <w:lang w:val="en-GB"/>
        </w:rPr>
        <w:t xml:space="preserve"> </w:t>
      </w:r>
      <w:r w:rsidR="005B247F">
        <w:rPr>
          <w:lang w:val="en-GB"/>
        </w:rPr>
        <w:t>prior to his retirement</w:t>
      </w:r>
      <w:r>
        <w:rPr>
          <w:lang w:val="en-GB"/>
        </w:rPr>
        <w:t xml:space="preserve">. </w:t>
      </w:r>
      <w:r w:rsidR="0010563E">
        <w:rPr>
          <w:lang w:val="en-GB"/>
        </w:rPr>
        <w:t xml:space="preserve">He had </w:t>
      </w:r>
      <w:r w:rsidR="00A12A8E">
        <w:rPr>
          <w:lang w:val="en-GB"/>
        </w:rPr>
        <w:t>been the head of the family</w:t>
      </w:r>
      <w:r w:rsidR="00511884">
        <w:rPr>
          <w:lang w:val="en-GB"/>
        </w:rPr>
        <w:t xml:space="preserve"> and also filled the role of father to the witness’s other children prior to his passing. </w:t>
      </w:r>
      <w:r w:rsidR="00352B0A">
        <w:rPr>
          <w:lang w:val="en-GB"/>
        </w:rPr>
        <w:t xml:space="preserve">The child aged eight had been adopted and knew no other father. </w:t>
      </w:r>
      <w:r w:rsidR="00F06391">
        <w:rPr>
          <w:lang w:val="en-GB"/>
        </w:rPr>
        <w:t xml:space="preserve">The deceased </w:t>
      </w:r>
      <w:r w:rsidR="00EE4606">
        <w:rPr>
          <w:lang w:val="en-GB"/>
        </w:rPr>
        <w:t xml:space="preserve">was also considered as a father figure </w:t>
      </w:r>
      <w:r w:rsidR="00294E65">
        <w:rPr>
          <w:lang w:val="en-GB"/>
        </w:rPr>
        <w:t xml:space="preserve">and leader </w:t>
      </w:r>
      <w:r w:rsidR="00EE4606">
        <w:rPr>
          <w:lang w:val="en-GB"/>
        </w:rPr>
        <w:t>by various community members</w:t>
      </w:r>
      <w:r w:rsidR="00294E65">
        <w:rPr>
          <w:lang w:val="en-GB"/>
        </w:rPr>
        <w:t xml:space="preserve">, </w:t>
      </w:r>
      <w:r w:rsidR="003C6CB4">
        <w:rPr>
          <w:lang w:val="en-GB"/>
        </w:rPr>
        <w:lastRenderedPageBreak/>
        <w:t>particular</w:t>
      </w:r>
      <w:r w:rsidR="00BF5D60">
        <w:rPr>
          <w:lang w:val="en-GB"/>
        </w:rPr>
        <w:t>l</w:t>
      </w:r>
      <w:r w:rsidR="003C6CB4">
        <w:rPr>
          <w:lang w:val="en-GB"/>
        </w:rPr>
        <w:t xml:space="preserve">y </w:t>
      </w:r>
      <w:r w:rsidR="00294E65">
        <w:rPr>
          <w:lang w:val="en-GB"/>
        </w:rPr>
        <w:t>for households where a father figure was absent</w:t>
      </w:r>
      <w:r w:rsidR="00EE4606">
        <w:rPr>
          <w:lang w:val="en-GB"/>
        </w:rPr>
        <w:t>.</w:t>
      </w:r>
      <w:r w:rsidR="00E12A08">
        <w:rPr>
          <w:lang w:val="en-GB"/>
        </w:rPr>
        <w:t xml:space="preserve"> </w:t>
      </w:r>
      <w:r w:rsidR="00FB4E75">
        <w:rPr>
          <w:lang w:val="en-GB"/>
        </w:rPr>
        <w:t xml:space="preserve">In some </w:t>
      </w:r>
      <w:r w:rsidR="00FD7D55">
        <w:rPr>
          <w:lang w:val="en-GB"/>
        </w:rPr>
        <w:t>instances,</w:t>
      </w:r>
      <w:r w:rsidR="00FB4E75">
        <w:rPr>
          <w:lang w:val="en-GB"/>
        </w:rPr>
        <w:t xml:space="preserve"> the children supported had obtained tertiary qualifications. </w:t>
      </w:r>
      <w:r w:rsidR="00FC0B28">
        <w:rPr>
          <w:lang w:val="en-GB"/>
        </w:rPr>
        <w:t>A children’s bicycle race, the Eastern Cape Cycling Tour, had also been initiated by the deceased</w:t>
      </w:r>
      <w:r w:rsidR="001C096A">
        <w:rPr>
          <w:lang w:val="en-GB"/>
        </w:rPr>
        <w:t>, to provide opportunities to children. He had been a freedom fighter and a veteran of Umkhonto we Sizwe. He was a patriot who would frequently feed community members who were struggling financially.</w:t>
      </w:r>
      <w:r w:rsidR="00085961">
        <w:rPr>
          <w:lang w:val="en-GB"/>
        </w:rPr>
        <w:t xml:space="preserve"> He was also an active member of the Anglican Church working with the youth.</w:t>
      </w:r>
      <w:r w:rsidR="00960199">
        <w:rPr>
          <w:lang w:val="en-GB"/>
        </w:rPr>
        <w:t xml:space="preserve"> He </w:t>
      </w:r>
      <w:r w:rsidR="00CE75DD">
        <w:rPr>
          <w:lang w:val="en-GB"/>
        </w:rPr>
        <w:t>played a role as</w:t>
      </w:r>
      <w:r w:rsidR="00960199">
        <w:rPr>
          <w:lang w:val="en-GB"/>
        </w:rPr>
        <w:t xml:space="preserve"> a unifier of families and a</w:t>
      </w:r>
      <w:r w:rsidR="00CE75DD">
        <w:rPr>
          <w:lang w:val="en-GB"/>
        </w:rPr>
        <w:t>s a</w:t>
      </w:r>
      <w:r w:rsidR="00960199">
        <w:rPr>
          <w:lang w:val="en-GB"/>
        </w:rPr>
        <w:t xml:space="preserve"> mediator.</w:t>
      </w:r>
      <w:r w:rsidR="00CE75DD">
        <w:rPr>
          <w:lang w:val="en-GB"/>
        </w:rPr>
        <w:t xml:space="preserve"> He was a commissioner of the South African Defence Force at the time of his passing</w:t>
      </w:r>
      <w:r w:rsidR="00391537">
        <w:rPr>
          <w:lang w:val="en-GB"/>
        </w:rPr>
        <w:t xml:space="preserve">, working </w:t>
      </w:r>
      <w:r w:rsidR="00AA7D47">
        <w:rPr>
          <w:lang w:val="en-GB"/>
        </w:rPr>
        <w:t xml:space="preserve">even in retirement </w:t>
      </w:r>
      <w:r w:rsidR="00391537">
        <w:rPr>
          <w:lang w:val="en-GB"/>
        </w:rPr>
        <w:t xml:space="preserve">to protect the rights of </w:t>
      </w:r>
      <w:r w:rsidR="003926BF">
        <w:rPr>
          <w:lang w:val="en-GB"/>
        </w:rPr>
        <w:t>the country’s soldiers.</w:t>
      </w:r>
      <w:r w:rsidR="00971B18">
        <w:rPr>
          <w:lang w:val="en-GB"/>
        </w:rPr>
        <w:t xml:space="preserve"> </w:t>
      </w:r>
    </w:p>
    <w:p w14:paraId="396C5B3D" w14:textId="77777777" w:rsidR="004160A7" w:rsidRDefault="004160A7" w:rsidP="004160A7">
      <w:pPr>
        <w:pStyle w:val="ListParagraph"/>
        <w:autoSpaceDE w:val="0"/>
        <w:autoSpaceDN w:val="0"/>
        <w:adjustRightInd w:val="0"/>
        <w:ind w:left="142"/>
        <w:jc w:val="both"/>
        <w:rPr>
          <w:lang w:val="en-GB"/>
        </w:rPr>
      </w:pPr>
    </w:p>
    <w:p w14:paraId="5C86F7F0" w14:textId="0A767B59" w:rsidR="009208FB" w:rsidRDefault="007308AC" w:rsidP="005C6DF0">
      <w:pPr>
        <w:pStyle w:val="ListParagraph"/>
        <w:numPr>
          <w:ilvl w:val="0"/>
          <w:numId w:val="10"/>
        </w:numPr>
        <w:autoSpaceDE w:val="0"/>
        <w:autoSpaceDN w:val="0"/>
        <w:adjustRightInd w:val="0"/>
        <w:ind w:left="142" w:hanging="142"/>
        <w:jc w:val="both"/>
        <w:rPr>
          <w:lang w:val="en-GB"/>
        </w:rPr>
      </w:pPr>
      <w:r>
        <w:rPr>
          <w:lang w:val="en-GB"/>
        </w:rPr>
        <w:t xml:space="preserve">The witness and another family </w:t>
      </w:r>
      <w:r w:rsidR="00102A2A">
        <w:rPr>
          <w:lang w:val="en-GB"/>
        </w:rPr>
        <w:t xml:space="preserve">member </w:t>
      </w:r>
      <w:r>
        <w:rPr>
          <w:lang w:val="en-GB"/>
        </w:rPr>
        <w:t xml:space="preserve">had been taken to </w:t>
      </w:r>
      <w:r w:rsidR="00753800">
        <w:rPr>
          <w:lang w:val="en-GB"/>
        </w:rPr>
        <w:t>the</w:t>
      </w:r>
      <w:r>
        <w:rPr>
          <w:lang w:val="en-GB"/>
        </w:rPr>
        <w:t xml:space="preserve"> </w:t>
      </w:r>
      <w:r w:rsidR="004D76FA">
        <w:rPr>
          <w:lang w:val="en-GB"/>
        </w:rPr>
        <w:t>main bed</w:t>
      </w:r>
      <w:r>
        <w:rPr>
          <w:lang w:val="en-GB"/>
        </w:rPr>
        <w:t xml:space="preserve">room </w:t>
      </w:r>
      <w:r w:rsidR="00753800">
        <w:rPr>
          <w:lang w:val="en-GB"/>
        </w:rPr>
        <w:t>containing the safe</w:t>
      </w:r>
      <w:r w:rsidR="00B17D99">
        <w:rPr>
          <w:lang w:val="en-GB"/>
        </w:rPr>
        <w:t xml:space="preserve">. The perpetrators </w:t>
      </w:r>
      <w:r w:rsidR="00753800">
        <w:rPr>
          <w:lang w:val="en-GB"/>
        </w:rPr>
        <w:t>were disappointed to find that there was no money</w:t>
      </w:r>
      <w:r w:rsidR="00825593">
        <w:rPr>
          <w:lang w:val="en-GB"/>
        </w:rPr>
        <w:t xml:space="preserve"> there</w:t>
      </w:r>
      <w:r w:rsidR="00753800">
        <w:rPr>
          <w:lang w:val="en-GB"/>
        </w:rPr>
        <w:t xml:space="preserve">. They </w:t>
      </w:r>
      <w:r w:rsidR="008B1311">
        <w:rPr>
          <w:lang w:val="en-GB"/>
        </w:rPr>
        <w:t xml:space="preserve">then </w:t>
      </w:r>
      <w:r w:rsidR="00753800">
        <w:rPr>
          <w:lang w:val="en-GB"/>
        </w:rPr>
        <w:t>assaulted the witness</w:t>
      </w:r>
      <w:r w:rsidR="007B1617">
        <w:rPr>
          <w:lang w:val="en-GB"/>
        </w:rPr>
        <w:t xml:space="preserve">. The person holding the fire-arm attempted to fire at the witness but it mis-fired. The magazine in the firearm was removed and reinserted, </w:t>
      </w:r>
      <w:r w:rsidR="00932217">
        <w:rPr>
          <w:lang w:val="en-GB"/>
        </w:rPr>
        <w:t xml:space="preserve">and another attempt was made to shoot the witness. She was pleading with them, saying that they could accompany her while she withdrew money. </w:t>
      </w:r>
      <w:r w:rsidR="00612AA0">
        <w:rPr>
          <w:lang w:val="en-GB"/>
        </w:rPr>
        <w:t>Instead</w:t>
      </w:r>
      <w:r w:rsidR="00271FFA">
        <w:rPr>
          <w:lang w:val="en-GB"/>
        </w:rPr>
        <w:t>,</w:t>
      </w:r>
      <w:r w:rsidR="00612AA0">
        <w:rPr>
          <w:lang w:val="en-GB"/>
        </w:rPr>
        <w:t xml:space="preserve"> they ransacked the wardrobe, throwing many items on the floor. </w:t>
      </w:r>
      <w:r w:rsidR="004136F2">
        <w:rPr>
          <w:lang w:val="en-GB"/>
        </w:rPr>
        <w:t xml:space="preserve">The witness was subsequently gagged </w:t>
      </w:r>
      <w:r w:rsidR="00271FFA">
        <w:rPr>
          <w:lang w:val="en-GB"/>
        </w:rPr>
        <w:t xml:space="preserve">with a rope </w:t>
      </w:r>
      <w:r w:rsidR="004136F2">
        <w:rPr>
          <w:lang w:val="en-GB"/>
        </w:rPr>
        <w:t>and dragged to the en</w:t>
      </w:r>
      <w:r w:rsidR="00541BFB">
        <w:rPr>
          <w:lang w:val="en-GB"/>
        </w:rPr>
        <w:t xml:space="preserve"> </w:t>
      </w:r>
      <w:r w:rsidR="004136F2">
        <w:rPr>
          <w:lang w:val="en-GB"/>
        </w:rPr>
        <w:t>suite bathroom</w:t>
      </w:r>
      <w:r w:rsidR="007348F1">
        <w:rPr>
          <w:lang w:val="en-GB"/>
        </w:rPr>
        <w:t xml:space="preserve"> and made to lie down, facing the toilet</w:t>
      </w:r>
      <w:r w:rsidR="003B74EA">
        <w:rPr>
          <w:lang w:val="en-GB"/>
        </w:rPr>
        <w:t>, her hands and feet tied</w:t>
      </w:r>
      <w:r w:rsidR="00D70338">
        <w:rPr>
          <w:lang w:val="en-GB"/>
        </w:rPr>
        <w:t xml:space="preserve"> with chargers and cords</w:t>
      </w:r>
      <w:r w:rsidR="007348F1">
        <w:rPr>
          <w:lang w:val="en-GB"/>
        </w:rPr>
        <w:t>.</w:t>
      </w:r>
      <w:r w:rsidR="00F74F1B">
        <w:rPr>
          <w:lang w:val="en-GB"/>
        </w:rPr>
        <w:t xml:space="preserve"> The witness asked her attacker if she was to be raped. He was busy pulling </w:t>
      </w:r>
      <w:r w:rsidR="00066B9E">
        <w:rPr>
          <w:lang w:val="en-GB"/>
        </w:rPr>
        <w:t xml:space="preserve">down </w:t>
      </w:r>
      <w:r w:rsidR="00F74F1B">
        <w:rPr>
          <w:lang w:val="en-GB"/>
        </w:rPr>
        <w:t>her trousers and panty</w:t>
      </w:r>
      <w:r w:rsidR="002D1093">
        <w:rPr>
          <w:lang w:val="en-GB"/>
        </w:rPr>
        <w:t xml:space="preserve"> to her knees</w:t>
      </w:r>
      <w:r w:rsidR="00F74F1B">
        <w:rPr>
          <w:lang w:val="en-GB"/>
        </w:rPr>
        <w:t xml:space="preserve">, </w:t>
      </w:r>
      <w:r w:rsidR="002D1093">
        <w:rPr>
          <w:lang w:val="en-GB"/>
        </w:rPr>
        <w:t>told her that he was not going to rape her but would shoot her in the genitals</w:t>
      </w:r>
      <w:r w:rsidR="00A82BBA">
        <w:rPr>
          <w:lang w:val="en-GB"/>
        </w:rPr>
        <w:t xml:space="preserve"> instead</w:t>
      </w:r>
      <w:r w:rsidR="002D1093">
        <w:rPr>
          <w:lang w:val="en-GB"/>
        </w:rPr>
        <w:t xml:space="preserve">. </w:t>
      </w:r>
      <w:r w:rsidR="00A82BBA">
        <w:rPr>
          <w:lang w:val="en-GB"/>
        </w:rPr>
        <w:t>When he attempted to do so,</w:t>
      </w:r>
      <w:r w:rsidR="00066B9E">
        <w:rPr>
          <w:lang w:val="en-GB"/>
        </w:rPr>
        <w:t xml:space="preserve"> </w:t>
      </w:r>
      <w:r w:rsidR="00A82BBA">
        <w:rPr>
          <w:lang w:val="en-GB"/>
        </w:rPr>
        <w:t>t</w:t>
      </w:r>
      <w:r w:rsidR="00066B9E">
        <w:rPr>
          <w:lang w:val="en-GB"/>
        </w:rPr>
        <w:t>he firearm again misfired.</w:t>
      </w:r>
      <w:r w:rsidR="00B17C6C">
        <w:rPr>
          <w:lang w:val="en-GB"/>
        </w:rPr>
        <w:t xml:space="preserve"> The witness prayed for her life.</w:t>
      </w:r>
      <w:r w:rsidR="00623AFA">
        <w:rPr>
          <w:lang w:val="en-GB"/>
        </w:rPr>
        <w:t xml:space="preserve"> Her attacker left and then returned</w:t>
      </w:r>
      <w:r w:rsidR="00F03278">
        <w:rPr>
          <w:lang w:val="en-GB"/>
        </w:rPr>
        <w:t xml:space="preserve">, made a hand gesture </w:t>
      </w:r>
      <w:r w:rsidR="00A3457A">
        <w:rPr>
          <w:lang w:val="en-GB"/>
        </w:rPr>
        <w:t xml:space="preserve">towards her </w:t>
      </w:r>
      <w:r w:rsidR="00F03278">
        <w:rPr>
          <w:lang w:val="en-GB"/>
        </w:rPr>
        <w:t>and then left.</w:t>
      </w:r>
      <w:r w:rsidR="00B1792E">
        <w:rPr>
          <w:lang w:val="en-GB"/>
        </w:rPr>
        <w:t xml:space="preserve"> </w:t>
      </w:r>
    </w:p>
    <w:p w14:paraId="05BDF81B" w14:textId="77777777" w:rsidR="002B287C" w:rsidRPr="002B287C" w:rsidRDefault="002B287C" w:rsidP="002B287C">
      <w:pPr>
        <w:pStyle w:val="ListParagraph"/>
        <w:rPr>
          <w:lang w:val="en-GB"/>
        </w:rPr>
      </w:pPr>
    </w:p>
    <w:p w14:paraId="47DD0963" w14:textId="1D937BCC" w:rsidR="002B287C" w:rsidRDefault="004B5D40" w:rsidP="005C6DF0">
      <w:pPr>
        <w:pStyle w:val="ListParagraph"/>
        <w:numPr>
          <w:ilvl w:val="0"/>
          <w:numId w:val="10"/>
        </w:numPr>
        <w:autoSpaceDE w:val="0"/>
        <w:autoSpaceDN w:val="0"/>
        <w:adjustRightInd w:val="0"/>
        <w:ind w:left="142" w:hanging="142"/>
        <w:jc w:val="both"/>
        <w:rPr>
          <w:lang w:val="en-GB"/>
        </w:rPr>
      </w:pPr>
      <w:r>
        <w:rPr>
          <w:lang w:val="en-GB"/>
        </w:rPr>
        <w:t xml:space="preserve">Once she had managed to untie herself, the witness ran to her husband’s body and saw that </w:t>
      </w:r>
      <w:r w:rsidR="00541BFB">
        <w:rPr>
          <w:lang w:val="en-GB"/>
        </w:rPr>
        <w:t>he</w:t>
      </w:r>
      <w:r>
        <w:rPr>
          <w:lang w:val="en-GB"/>
        </w:rPr>
        <w:t xml:space="preserve"> was still. </w:t>
      </w:r>
      <w:r w:rsidR="002A25CB">
        <w:rPr>
          <w:lang w:val="en-GB"/>
        </w:rPr>
        <w:t xml:space="preserve">One of the other inhabitants had been tied </w:t>
      </w:r>
      <w:r w:rsidR="00D637B9">
        <w:rPr>
          <w:lang w:val="en-GB"/>
        </w:rPr>
        <w:t xml:space="preserve">up </w:t>
      </w:r>
      <w:r w:rsidR="002A25CB">
        <w:rPr>
          <w:lang w:val="en-GB"/>
        </w:rPr>
        <w:t xml:space="preserve">so tightly that he had lost circulation. The witness </w:t>
      </w:r>
      <w:r w:rsidR="00BC66C8">
        <w:rPr>
          <w:lang w:val="en-GB"/>
        </w:rPr>
        <w:t xml:space="preserve">then </w:t>
      </w:r>
      <w:r w:rsidR="002A25CB">
        <w:rPr>
          <w:lang w:val="en-GB"/>
        </w:rPr>
        <w:t>called the police</w:t>
      </w:r>
      <w:r w:rsidR="00E262A8">
        <w:rPr>
          <w:lang w:val="en-GB"/>
        </w:rPr>
        <w:t xml:space="preserve">. </w:t>
      </w:r>
      <w:r w:rsidR="007E6413">
        <w:rPr>
          <w:lang w:val="en-GB"/>
        </w:rPr>
        <w:t xml:space="preserve">She confirmed that various items had been taken from the inhabitants and placed in a bag taken from the </w:t>
      </w:r>
      <w:r w:rsidR="003F1E75">
        <w:rPr>
          <w:lang w:val="en-GB"/>
        </w:rPr>
        <w:t>bed</w:t>
      </w:r>
      <w:r w:rsidR="007E6413">
        <w:rPr>
          <w:lang w:val="en-GB"/>
        </w:rPr>
        <w:t>room</w:t>
      </w:r>
      <w:r w:rsidR="00170BAF">
        <w:rPr>
          <w:lang w:val="en-GB"/>
        </w:rPr>
        <w:t>.</w:t>
      </w:r>
      <w:r w:rsidR="007E6413">
        <w:rPr>
          <w:lang w:val="en-GB"/>
        </w:rPr>
        <w:t xml:space="preserve"> </w:t>
      </w:r>
    </w:p>
    <w:p w14:paraId="40E293BF" w14:textId="77777777" w:rsidR="009208FB" w:rsidRPr="009208FB" w:rsidRDefault="009208FB" w:rsidP="009208FB">
      <w:pPr>
        <w:pStyle w:val="ListParagraph"/>
        <w:rPr>
          <w:lang w:val="en-GB"/>
        </w:rPr>
      </w:pPr>
    </w:p>
    <w:p w14:paraId="496194B4" w14:textId="2D5436E1" w:rsidR="00B5143D" w:rsidRDefault="0023772E" w:rsidP="005C6DF0">
      <w:pPr>
        <w:pStyle w:val="ListParagraph"/>
        <w:numPr>
          <w:ilvl w:val="0"/>
          <w:numId w:val="10"/>
        </w:numPr>
        <w:autoSpaceDE w:val="0"/>
        <w:autoSpaceDN w:val="0"/>
        <w:adjustRightInd w:val="0"/>
        <w:ind w:left="142" w:hanging="142"/>
        <w:jc w:val="both"/>
        <w:rPr>
          <w:lang w:val="en-GB"/>
        </w:rPr>
      </w:pPr>
      <w:r>
        <w:rPr>
          <w:lang w:val="en-GB"/>
        </w:rPr>
        <w:t>The robbery and murder had resulted in the witness being suspected</w:t>
      </w:r>
      <w:r w:rsidR="002C0D2D">
        <w:rPr>
          <w:lang w:val="en-GB"/>
        </w:rPr>
        <w:t xml:space="preserve"> </w:t>
      </w:r>
      <w:r w:rsidR="005623DC">
        <w:rPr>
          <w:lang w:val="en-GB"/>
        </w:rPr>
        <w:t xml:space="preserve">by certain community members </w:t>
      </w:r>
      <w:r w:rsidR="002C0D2D">
        <w:rPr>
          <w:lang w:val="en-GB"/>
        </w:rPr>
        <w:t xml:space="preserve">of </w:t>
      </w:r>
      <w:r w:rsidR="005623DC">
        <w:rPr>
          <w:lang w:val="en-GB"/>
        </w:rPr>
        <w:t xml:space="preserve">some </w:t>
      </w:r>
      <w:r w:rsidR="002C0D2D">
        <w:rPr>
          <w:lang w:val="en-GB"/>
        </w:rPr>
        <w:t xml:space="preserve">involvement. </w:t>
      </w:r>
      <w:r w:rsidR="00B17322">
        <w:rPr>
          <w:lang w:val="en-GB"/>
        </w:rPr>
        <w:t xml:space="preserve">Her relationship with her in-laws had </w:t>
      </w:r>
      <w:r w:rsidR="00F5125B">
        <w:rPr>
          <w:lang w:val="en-GB"/>
        </w:rPr>
        <w:t xml:space="preserve">also </w:t>
      </w:r>
      <w:r w:rsidR="00B17322">
        <w:rPr>
          <w:lang w:val="en-GB"/>
        </w:rPr>
        <w:t>been</w:t>
      </w:r>
      <w:r w:rsidR="009428DF">
        <w:rPr>
          <w:lang w:val="en-GB"/>
        </w:rPr>
        <w:t xml:space="preserve"> negatively</w:t>
      </w:r>
      <w:r w:rsidR="00B17322">
        <w:rPr>
          <w:lang w:val="en-GB"/>
        </w:rPr>
        <w:t xml:space="preserve"> affected.</w:t>
      </w:r>
      <w:r w:rsidR="00F5125B">
        <w:rPr>
          <w:lang w:val="en-GB"/>
        </w:rPr>
        <w:t xml:space="preserve"> </w:t>
      </w:r>
      <w:r w:rsidR="003A43DC">
        <w:rPr>
          <w:lang w:val="en-GB"/>
        </w:rPr>
        <w:t xml:space="preserve">Her own family-life had been </w:t>
      </w:r>
      <w:r w:rsidR="007537D1">
        <w:rPr>
          <w:lang w:val="en-GB"/>
        </w:rPr>
        <w:t xml:space="preserve">severely </w:t>
      </w:r>
      <w:r w:rsidR="003A43DC">
        <w:rPr>
          <w:lang w:val="en-GB"/>
        </w:rPr>
        <w:t>disrupted</w:t>
      </w:r>
      <w:r w:rsidR="00ED72B5">
        <w:rPr>
          <w:lang w:val="en-GB"/>
        </w:rPr>
        <w:t xml:space="preserve">. </w:t>
      </w:r>
      <w:r w:rsidR="007537D1">
        <w:rPr>
          <w:lang w:val="en-GB"/>
        </w:rPr>
        <w:t xml:space="preserve">The </w:t>
      </w:r>
      <w:r w:rsidR="007537D1">
        <w:rPr>
          <w:lang w:val="en-GB"/>
        </w:rPr>
        <w:lastRenderedPageBreak/>
        <w:t xml:space="preserve">deceased’s passing had left an irreparable void. Their farm had </w:t>
      </w:r>
      <w:r w:rsidR="00F40F89">
        <w:rPr>
          <w:lang w:val="en-GB"/>
        </w:rPr>
        <w:t xml:space="preserve">also </w:t>
      </w:r>
      <w:r w:rsidR="007537D1">
        <w:rPr>
          <w:lang w:val="en-GB"/>
        </w:rPr>
        <w:t>suffered</w:t>
      </w:r>
      <w:r w:rsidR="00A70770">
        <w:rPr>
          <w:lang w:val="en-GB"/>
        </w:rPr>
        <w:t xml:space="preserve"> and people were now trespassing regularly</w:t>
      </w:r>
      <w:r w:rsidR="00F40F89">
        <w:rPr>
          <w:lang w:val="en-GB"/>
        </w:rPr>
        <w:t>.</w:t>
      </w:r>
      <w:r w:rsidR="00E93D67">
        <w:rPr>
          <w:lang w:val="en-GB"/>
        </w:rPr>
        <w:t xml:space="preserve"> Employees had left and animals had died.</w:t>
      </w:r>
      <w:r w:rsidR="00F40F89">
        <w:rPr>
          <w:lang w:val="en-GB"/>
        </w:rPr>
        <w:t xml:space="preserve"> </w:t>
      </w:r>
      <w:r w:rsidR="00234FA7">
        <w:rPr>
          <w:lang w:val="en-GB"/>
        </w:rPr>
        <w:t>A security company had since been contr</w:t>
      </w:r>
      <w:r w:rsidR="00000C99">
        <w:rPr>
          <w:lang w:val="en-GB"/>
        </w:rPr>
        <w:t>ac</w:t>
      </w:r>
      <w:r w:rsidR="00234FA7">
        <w:rPr>
          <w:lang w:val="en-GB"/>
        </w:rPr>
        <w:t xml:space="preserve">ted. </w:t>
      </w:r>
      <w:r w:rsidR="009D6894">
        <w:rPr>
          <w:lang w:val="en-GB"/>
        </w:rPr>
        <w:t>The witness</w:t>
      </w:r>
      <w:r w:rsidR="00A43118">
        <w:rPr>
          <w:lang w:val="en-GB"/>
        </w:rPr>
        <w:t xml:space="preserve"> had been deeply hurt and required treatment for depression</w:t>
      </w:r>
      <w:r w:rsidR="0076723C">
        <w:rPr>
          <w:lang w:val="en-GB"/>
        </w:rPr>
        <w:t>, including in-patient treatment for 14 days and anti-depressant medication</w:t>
      </w:r>
      <w:r w:rsidR="00A43118">
        <w:rPr>
          <w:lang w:val="en-GB"/>
        </w:rPr>
        <w:t xml:space="preserve">. </w:t>
      </w:r>
      <w:r w:rsidR="008D75D5">
        <w:rPr>
          <w:lang w:val="en-GB"/>
        </w:rPr>
        <w:t xml:space="preserve">While the medication had helped, there was now some dependence on this. </w:t>
      </w:r>
      <w:r w:rsidR="0076723C">
        <w:rPr>
          <w:lang w:val="en-GB"/>
        </w:rPr>
        <w:t>Her work</w:t>
      </w:r>
      <w:r w:rsidR="00EB5716">
        <w:rPr>
          <w:lang w:val="en-GB"/>
        </w:rPr>
        <w:t xml:space="preserve">, as </w:t>
      </w:r>
      <w:r w:rsidR="00D11DBC">
        <w:rPr>
          <w:lang w:val="en-GB"/>
        </w:rPr>
        <w:t xml:space="preserve">a </w:t>
      </w:r>
      <w:r w:rsidR="00EB5716">
        <w:rPr>
          <w:lang w:val="en-GB"/>
        </w:rPr>
        <w:t>chief financial officer</w:t>
      </w:r>
      <w:r w:rsidR="00D11DBC">
        <w:rPr>
          <w:lang w:val="en-GB"/>
        </w:rPr>
        <w:t xml:space="preserve">, </w:t>
      </w:r>
      <w:r w:rsidR="0076723C">
        <w:rPr>
          <w:lang w:val="en-GB"/>
        </w:rPr>
        <w:t xml:space="preserve">had been </w:t>
      </w:r>
      <w:r w:rsidR="006E1D9A">
        <w:rPr>
          <w:lang w:val="en-GB"/>
        </w:rPr>
        <w:t xml:space="preserve">severely </w:t>
      </w:r>
      <w:r w:rsidR="0076723C">
        <w:rPr>
          <w:lang w:val="en-GB"/>
        </w:rPr>
        <w:t>affected and she suffered from loss of memor</w:t>
      </w:r>
      <w:r w:rsidR="00433ACA">
        <w:rPr>
          <w:lang w:val="en-GB"/>
        </w:rPr>
        <w:t>y. Her performance at work had declined.</w:t>
      </w:r>
      <w:r w:rsidR="0076723C">
        <w:rPr>
          <w:lang w:val="en-GB"/>
        </w:rPr>
        <w:t xml:space="preserve"> </w:t>
      </w:r>
      <w:r w:rsidR="00E3517E">
        <w:rPr>
          <w:lang w:val="en-GB"/>
        </w:rPr>
        <w:t xml:space="preserve">Her youngest child had observed what had happened and was also </w:t>
      </w:r>
      <w:r w:rsidR="00234238">
        <w:rPr>
          <w:lang w:val="en-GB"/>
        </w:rPr>
        <w:t>traumatised</w:t>
      </w:r>
      <w:r w:rsidR="00B92826">
        <w:rPr>
          <w:lang w:val="en-GB"/>
        </w:rPr>
        <w:t xml:space="preserve">. She had started bed-wetting and </w:t>
      </w:r>
      <w:r w:rsidR="000325DB">
        <w:rPr>
          <w:lang w:val="en-GB"/>
        </w:rPr>
        <w:t>requir</w:t>
      </w:r>
      <w:r w:rsidR="00A7254F">
        <w:rPr>
          <w:lang w:val="en-GB"/>
        </w:rPr>
        <w:t>ed</w:t>
      </w:r>
      <w:r w:rsidR="000325DB">
        <w:rPr>
          <w:lang w:val="en-GB"/>
        </w:rPr>
        <w:t xml:space="preserve"> therapy.</w:t>
      </w:r>
      <w:r w:rsidR="00FE53D7">
        <w:rPr>
          <w:lang w:val="en-GB"/>
        </w:rPr>
        <w:t xml:space="preserve"> </w:t>
      </w:r>
    </w:p>
    <w:p w14:paraId="37763C45" w14:textId="7A1A0EBD" w:rsidR="005C6DF0" w:rsidRDefault="005C6DF0" w:rsidP="005C6DF0">
      <w:pPr>
        <w:autoSpaceDE w:val="0"/>
        <w:autoSpaceDN w:val="0"/>
        <w:adjustRightInd w:val="0"/>
        <w:jc w:val="both"/>
        <w:rPr>
          <w:lang w:val="en-GB"/>
        </w:rPr>
      </w:pPr>
    </w:p>
    <w:p w14:paraId="54B45468" w14:textId="422A8D84" w:rsidR="005C6DF0" w:rsidRDefault="005C6DF0" w:rsidP="005C6DF0">
      <w:pPr>
        <w:autoSpaceDE w:val="0"/>
        <w:autoSpaceDN w:val="0"/>
        <w:adjustRightInd w:val="0"/>
        <w:jc w:val="both"/>
        <w:rPr>
          <w:b/>
          <w:bCs/>
          <w:lang w:val="en-GB"/>
        </w:rPr>
      </w:pPr>
      <w:r>
        <w:rPr>
          <w:b/>
          <w:bCs/>
          <w:lang w:val="en-GB"/>
        </w:rPr>
        <w:t>Analysis</w:t>
      </w:r>
    </w:p>
    <w:p w14:paraId="7583CC2E" w14:textId="77777777" w:rsidR="005C6DF0" w:rsidRPr="005C6DF0" w:rsidRDefault="005C6DF0" w:rsidP="005C6DF0">
      <w:pPr>
        <w:autoSpaceDE w:val="0"/>
        <w:autoSpaceDN w:val="0"/>
        <w:adjustRightInd w:val="0"/>
        <w:jc w:val="both"/>
        <w:rPr>
          <w:b/>
          <w:bCs/>
          <w:lang w:val="en-GB"/>
        </w:rPr>
      </w:pPr>
    </w:p>
    <w:p w14:paraId="2FF8EDD9" w14:textId="4153586B" w:rsidR="005C6DF0" w:rsidRDefault="00AA7C4D" w:rsidP="00AF6DF0">
      <w:pPr>
        <w:pStyle w:val="ListParagraph"/>
        <w:numPr>
          <w:ilvl w:val="0"/>
          <w:numId w:val="10"/>
        </w:numPr>
        <w:autoSpaceDE w:val="0"/>
        <w:autoSpaceDN w:val="0"/>
        <w:adjustRightInd w:val="0"/>
        <w:ind w:left="142" w:hanging="142"/>
        <w:jc w:val="both"/>
        <w:rPr>
          <w:lang w:val="en-GB"/>
        </w:rPr>
      </w:pPr>
      <w:r>
        <w:rPr>
          <w:lang w:val="en-GB"/>
        </w:rPr>
        <w:t xml:space="preserve">Murder </w:t>
      </w:r>
      <w:r w:rsidR="00082639">
        <w:rPr>
          <w:lang w:val="en-GB"/>
        </w:rPr>
        <w:t>when committed by a group of persons acting in common purpose is listed in Part I of Schedule 2 of the Criminal Law Amendment Act, 1997 (‘the Minimum Sentences Act’).</w:t>
      </w:r>
      <w:r w:rsidR="00082639">
        <w:rPr>
          <w:rStyle w:val="FootnoteReference"/>
          <w:lang w:val="en-GB"/>
        </w:rPr>
        <w:footnoteReference w:id="3"/>
      </w:r>
      <w:r w:rsidR="00082639">
        <w:rPr>
          <w:lang w:val="en-GB"/>
        </w:rPr>
        <w:t xml:space="preserve"> </w:t>
      </w:r>
      <w:r w:rsidR="008F53AB">
        <w:rPr>
          <w:lang w:val="en-GB"/>
        </w:rPr>
        <w:t xml:space="preserve">Murder when the death of the victim was caused by the accused in committing or attempting to commit or after having committed robbery with aggravating circumstances, as defined in s 1 of the Act, is also listed in this part. </w:t>
      </w:r>
      <w:r w:rsidR="0086679A">
        <w:rPr>
          <w:lang w:val="en-GB"/>
        </w:rPr>
        <w:t>The consequence is that the crime</w:t>
      </w:r>
      <w:r w:rsidR="00082639">
        <w:rPr>
          <w:lang w:val="en-GB"/>
        </w:rPr>
        <w:t xml:space="preserve"> attracts a minimum sentence of life imprisonment unless the court finds substantial and compelling circumstances to deviate from this.</w:t>
      </w:r>
      <w:r w:rsidR="008F53AB">
        <w:rPr>
          <w:lang w:val="en-GB"/>
        </w:rPr>
        <w:t xml:space="preserve"> </w:t>
      </w:r>
    </w:p>
    <w:p w14:paraId="3573D64A" w14:textId="77777777" w:rsidR="00003CA8" w:rsidRDefault="00003CA8" w:rsidP="00003CA8">
      <w:pPr>
        <w:pStyle w:val="ListParagraph"/>
        <w:autoSpaceDE w:val="0"/>
        <w:autoSpaceDN w:val="0"/>
        <w:adjustRightInd w:val="0"/>
        <w:ind w:left="142"/>
        <w:jc w:val="both"/>
        <w:rPr>
          <w:lang w:val="en-GB"/>
        </w:rPr>
      </w:pPr>
    </w:p>
    <w:p w14:paraId="016D315C" w14:textId="710B924A" w:rsidR="00003CA8" w:rsidRDefault="00003CA8" w:rsidP="00AF6DF0">
      <w:pPr>
        <w:pStyle w:val="ListParagraph"/>
        <w:numPr>
          <w:ilvl w:val="0"/>
          <w:numId w:val="10"/>
        </w:numPr>
        <w:autoSpaceDE w:val="0"/>
        <w:autoSpaceDN w:val="0"/>
        <w:adjustRightInd w:val="0"/>
        <w:ind w:left="142" w:hanging="142"/>
        <w:jc w:val="both"/>
        <w:rPr>
          <w:lang w:val="en-GB"/>
        </w:rPr>
      </w:pPr>
      <w:r>
        <w:rPr>
          <w:lang w:val="en-GB"/>
        </w:rPr>
        <w:t>Courts are expected to temper the punishments they impose with a modicum of mercy in order to attempt to achieve a balanced, even-handed outcome.</w:t>
      </w:r>
      <w:r w:rsidR="00B82E78">
        <w:rPr>
          <w:rStyle w:val="FootnoteReference"/>
          <w:lang w:val="en-GB"/>
        </w:rPr>
        <w:footnoteReference w:id="4"/>
      </w:r>
      <w:r>
        <w:rPr>
          <w:lang w:val="en-GB"/>
        </w:rPr>
        <w:t xml:space="preserve"> </w:t>
      </w:r>
      <w:r w:rsidR="00B82E78">
        <w:rPr>
          <w:lang w:val="en-GB"/>
        </w:rPr>
        <w:t>The triad of factors to be considered consists of the crime, the offender and the interests of society and these factors must be applied to consider whether substantial and compelling circumstances exist to deviate from the prescribed minimum sentence.</w:t>
      </w:r>
      <w:r w:rsidR="00A4793C">
        <w:rPr>
          <w:rStyle w:val="FootnoteReference"/>
          <w:lang w:val="en-GB"/>
        </w:rPr>
        <w:footnoteReference w:id="5"/>
      </w:r>
      <w:r w:rsidR="00B82E78">
        <w:rPr>
          <w:lang w:val="en-GB"/>
        </w:rPr>
        <w:t xml:space="preserve"> </w:t>
      </w:r>
      <w:r w:rsidR="00B759E8">
        <w:rPr>
          <w:lang w:val="en-GB"/>
        </w:rPr>
        <w:t>A court must exercise a reasoned discretion in determining an appropriate sentence.</w:t>
      </w:r>
      <w:r w:rsidR="00CF4A3E">
        <w:rPr>
          <w:lang w:val="en-GB"/>
        </w:rPr>
        <w:t xml:space="preserve"> </w:t>
      </w:r>
    </w:p>
    <w:p w14:paraId="1B990E53" w14:textId="77777777" w:rsidR="00EC4578" w:rsidRPr="00EC4578" w:rsidRDefault="00EC4578" w:rsidP="00EC4578">
      <w:pPr>
        <w:pStyle w:val="ListParagraph"/>
        <w:rPr>
          <w:lang w:val="en-GB"/>
        </w:rPr>
      </w:pPr>
    </w:p>
    <w:p w14:paraId="5989EEBF" w14:textId="72C6052C" w:rsidR="00EC4578" w:rsidRDefault="00EC4578" w:rsidP="00AF6DF0">
      <w:pPr>
        <w:pStyle w:val="ListParagraph"/>
        <w:numPr>
          <w:ilvl w:val="0"/>
          <w:numId w:val="10"/>
        </w:numPr>
        <w:autoSpaceDE w:val="0"/>
        <w:autoSpaceDN w:val="0"/>
        <w:adjustRightInd w:val="0"/>
        <w:ind w:left="142" w:hanging="142"/>
        <w:jc w:val="both"/>
        <w:rPr>
          <w:lang w:val="en-GB"/>
        </w:rPr>
      </w:pPr>
      <w:r>
        <w:rPr>
          <w:lang w:val="en-GB"/>
        </w:rPr>
        <w:lastRenderedPageBreak/>
        <w:t xml:space="preserve">The approach to be applied </w:t>
      </w:r>
      <w:r w:rsidR="003638BC">
        <w:rPr>
          <w:lang w:val="en-GB"/>
        </w:rPr>
        <w:t xml:space="preserve">in imposing </w:t>
      </w:r>
      <w:r w:rsidR="00D8622A">
        <w:rPr>
          <w:lang w:val="en-GB"/>
        </w:rPr>
        <w:t xml:space="preserve">a </w:t>
      </w:r>
      <w:r w:rsidR="003638BC">
        <w:rPr>
          <w:lang w:val="en-GB"/>
        </w:rPr>
        <w:t xml:space="preserve">sentence when the Minimum Sentences Act applies has been set out by Nugent JA in </w:t>
      </w:r>
      <w:r w:rsidR="003638BC">
        <w:rPr>
          <w:i/>
          <w:iCs/>
          <w:lang w:val="en-GB"/>
        </w:rPr>
        <w:t>S v Vilakazi</w:t>
      </w:r>
      <w:r w:rsidR="003638BC">
        <w:rPr>
          <w:lang w:val="en-GB"/>
        </w:rPr>
        <w:t>:</w:t>
      </w:r>
      <w:r w:rsidR="003638BC">
        <w:rPr>
          <w:rStyle w:val="FootnoteReference"/>
          <w:lang w:val="en-GB"/>
        </w:rPr>
        <w:footnoteReference w:id="6"/>
      </w:r>
    </w:p>
    <w:p w14:paraId="6A92554A" w14:textId="75320FEA" w:rsidR="009E19D6" w:rsidRDefault="009E19D6" w:rsidP="00771C95">
      <w:pPr>
        <w:ind w:left="142"/>
        <w:jc w:val="both"/>
        <w:rPr>
          <w:sz w:val="22"/>
          <w:szCs w:val="22"/>
          <w:lang w:val="en-GB"/>
        </w:rPr>
      </w:pPr>
      <w:r>
        <w:rPr>
          <w:sz w:val="22"/>
          <w:szCs w:val="22"/>
          <w:lang w:val="en-GB"/>
        </w:rPr>
        <w:t xml:space="preserve">‘It is clear from the terms in which the test was framed in </w:t>
      </w:r>
      <w:r>
        <w:rPr>
          <w:i/>
          <w:iCs/>
          <w:sz w:val="22"/>
          <w:szCs w:val="22"/>
          <w:lang w:val="en-GB"/>
        </w:rPr>
        <w:t>Malgas</w:t>
      </w:r>
      <w:r>
        <w:rPr>
          <w:sz w:val="22"/>
          <w:szCs w:val="22"/>
          <w:lang w:val="en-GB"/>
        </w:rPr>
        <w:t xml:space="preserve"> and endorsed in </w:t>
      </w:r>
      <w:r>
        <w:rPr>
          <w:i/>
          <w:iCs/>
          <w:sz w:val="22"/>
          <w:szCs w:val="22"/>
          <w:lang w:val="en-GB"/>
        </w:rPr>
        <w:t>Dodo</w:t>
      </w:r>
      <w:r>
        <w:rPr>
          <w:sz w:val="22"/>
          <w:szCs w:val="22"/>
          <w:lang w:val="en-GB"/>
        </w:rPr>
        <w:t xml:space="preserve"> that it is incumbent upon a court in every case, before it imposes a prescribed sentence, to assess, upon a consideration of all the circumstances of the particular case, whether the prescribed sentence is indeed proportionate to the particular offence. The Constitutional Court made it clear that what is meant by the “offence” in the context … “consists of all factors relevant to the nature and seriousness of the criminal act itself, as well as all relevant personal and other circumstances relating to the offender which could have a bearing on the seriousness of the offence and the culpability of the offender”.</w:t>
      </w:r>
      <w:r w:rsidR="005510B8">
        <w:rPr>
          <w:sz w:val="22"/>
          <w:szCs w:val="22"/>
          <w:lang w:val="en-GB"/>
        </w:rPr>
        <w:t xml:space="preserve"> If a court is indeed satisfied that a lesser sentence is called for in the particular case, thus justifying a departure from the prescribed sentence, then it hardly needs saying </w:t>
      </w:r>
      <w:r w:rsidR="00242184">
        <w:rPr>
          <w:sz w:val="22"/>
          <w:szCs w:val="22"/>
          <w:lang w:val="en-GB"/>
        </w:rPr>
        <w:t>that the court is bound to impose that lesser sentence.’</w:t>
      </w:r>
    </w:p>
    <w:p w14:paraId="1C997873" w14:textId="77777777" w:rsidR="00575102" w:rsidRPr="009E19D6" w:rsidRDefault="00575102" w:rsidP="009E19D6">
      <w:pPr>
        <w:ind w:left="142"/>
        <w:rPr>
          <w:sz w:val="22"/>
          <w:szCs w:val="22"/>
          <w:lang w:val="en-GB"/>
        </w:rPr>
      </w:pPr>
    </w:p>
    <w:p w14:paraId="2EC9C435" w14:textId="2A15DDF9" w:rsidR="001D31FD" w:rsidRDefault="0017409D" w:rsidP="00AF6DF0">
      <w:pPr>
        <w:pStyle w:val="ListParagraph"/>
        <w:numPr>
          <w:ilvl w:val="0"/>
          <w:numId w:val="10"/>
        </w:numPr>
        <w:autoSpaceDE w:val="0"/>
        <w:autoSpaceDN w:val="0"/>
        <w:adjustRightInd w:val="0"/>
        <w:ind w:left="142" w:hanging="142"/>
        <w:jc w:val="both"/>
        <w:rPr>
          <w:lang w:val="en-GB"/>
        </w:rPr>
      </w:pPr>
      <w:r>
        <w:rPr>
          <w:lang w:val="en-GB"/>
        </w:rPr>
        <w:t xml:space="preserve">As noted by Mr Mtsila, for the state, it must </w:t>
      </w:r>
      <w:r w:rsidR="00FE4EE8">
        <w:rPr>
          <w:lang w:val="en-GB"/>
        </w:rPr>
        <w:t>be borne</w:t>
      </w:r>
      <w:r>
        <w:rPr>
          <w:lang w:val="en-GB"/>
        </w:rPr>
        <w:t xml:space="preserve"> in mind that personal aversion to life imprisonment or doubts as to the efficacy of the policy implicit in the Minimum Sentences Act cannot be elevated to ‘substantial and compelling’ factors. </w:t>
      </w:r>
      <w:r w:rsidR="00F25096">
        <w:rPr>
          <w:lang w:val="en-GB"/>
        </w:rPr>
        <w:t>The prescribed minimum sentences must be imposed unless there are ‘truly convincing reasons’ for departure.</w:t>
      </w:r>
      <w:r w:rsidR="00F25096">
        <w:rPr>
          <w:rStyle w:val="FootnoteReference"/>
          <w:lang w:val="en-GB"/>
        </w:rPr>
        <w:footnoteReference w:id="7"/>
      </w:r>
      <w:r w:rsidR="00F25096">
        <w:rPr>
          <w:lang w:val="en-GB"/>
        </w:rPr>
        <w:t xml:space="preserve"> </w:t>
      </w:r>
      <w:r w:rsidR="001D31FD">
        <w:rPr>
          <w:lang w:val="en-GB"/>
        </w:rPr>
        <w:t>These are sentences to be imposed ‘ordinarily and in the absence of weighty justification’.</w:t>
      </w:r>
      <w:r w:rsidR="001D31FD">
        <w:rPr>
          <w:rStyle w:val="FootnoteReference"/>
          <w:lang w:val="en-GB"/>
        </w:rPr>
        <w:footnoteReference w:id="8"/>
      </w:r>
      <w:r w:rsidR="00C01120">
        <w:rPr>
          <w:lang w:val="en-GB"/>
        </w:rPr>
        <w:t xml:space="preserve"> If the sentencing court, on consideration of the circumstances of the particular case, is satisfied that they render the prescribed sentence unjust in that it would be disproportionate to the crime, the criminal and the needs of society, so that an injustice would be done by imposing that sentence, it is entitled to impose a lesser sentence.</w:t>
      </w:r>
      <w:r w:rsidR="00475898">
        <w:rPr>
          <w:rStyle w:val="FootnoteReference"/>
          <w:lang w:val="en-GB"/>
        </w:rPr>
        <w:footnoteReference w:id="9"/>
      </w:r>
    </w:p>
    <w:p w14:paraId="7110C4BD" w14:textId="77777777" w:rsidR="001D31FD" w:rsidRDefault="001D31FD" w:rsidP="001D31FD">
      <w:pPr>
        <w:pStyle w:val="ListParagraph"/>
        <w:autoSpaceDE w:val="0"/>
        <w:autoSpaceDN w:val="0"/>
        <w:adjustRightInd w:val="0"/>
        <w:ind w:left="142"/>
        <w:jc w:val="both"/>
        <w:rPr>
          <w:lang w:val="en-GB"/>
        </w:rPr>
      </w:pPr>
    </w:p>
    <w:p w14:paraId="301D2E9F" w14:textId="76A21704" w:rsidR="009E19D6" w:rsidRDefault="00771C95" w:rsidP="00AF6DF0">
      <w:pPr>
        <w:pStyle w:val="ListParagraph"/>
        <w:numPr>
          <w:ilvl w:val="0"/>
          <w:numId w:val="10"/>
        </w:numPr>
        <w:autoSpaceDE w:val="0"/>
        <w:autoSpaceDN w:val="0"/>
        <w:adjustRightInd w:val="0"/>
        <w:ind w:left="142" w:hanging="142"/>
        <w:jc w:val="both"/>
        <w:rPr>
          <w:lang w:val="en-GB"/>
        </w:rPr>
      </w:pPr>
      <w:r>
        <w:rPr>
          <w:lang w:val="en-GB"/>
        </w:rPr>
        <w:t xml:space="preserve">The personal circumstances of </w:t>
      </w:r>
      <w:r w:rsidR="004910A7">
        <w:rPr>
          <w:lang w:val="en-GB"/>
        </w:rPr>
        <w:t>Mr Billa</w:t>
      </w:r>
      <w:r>
        <w:rPr>
          <w:lang w:val="en-GB"/>
        </w:rPr>
        <w:t xml:space="preserve"> were presented to the court by Ms Mt</w:t>
      </w:r>
      <w:r w:rsidR="0089565C">
        <w:rPr>
          <w:lang w:val="en-GB"/>
        </w:rPr>
        <w:t>h</w:t>
      </w:r>
      <w:r>
        <w:rPr>
          <w:lang w:val="en-GB"/>
        </w:rPr>
        <w:t>ini. He is 28 years of age and worked in Nelspruit as a hairstylist earning R2500 per month prior to his arrest.</w:t>
      </w:r>
      <w:r w:rsidR="00415640">
        <w:rPr>
          <w:lang w:val="en-GB"/>
        </w:rPr>
        <w:t xml:space="preserve"> His parents and elder sister have passed away and he occasionally sends money to a younger sister in Mozambique.</w:t>
      </w:r>
      <w:r w:rsidR="00BA1479">
        <w:rPr>
          <w:lang w:val="en-GB"/>
        </w:rPr>
        <w:t xml:space="preserve"> He </w:t>
      </w:r>
      <w:r w:rsidR="00831C13">
        <w:rPr>
          <w:lang w:val="en-GB"/>
        </w:rPr>
        <w:t>is father to</w:t>
      </w:r>
      <w:r w:rsidR="00BA1479">
        <w:rPr>
          <w:lang w:val="en-GB"/>
        </w:rPr>
        <w:t xml:space="preserve"> two </w:t>
      </w:r>
      <w:r w:rsidR="002959FD">
        <w:rPr>
          <w:lang w:val="en-GB"/>
        </w:rPr>
        <w:t xml:space="preserve">young </w:t>
      </w:r>
      <w:r w:rsidR="00BA1479">
        <w:rPr>
          <w:lang w:val="en-GB"/>
        </w:rPr>
        <w:t>children</w:t>
      </w:r>
      <w:r w:rsidR="003538A2">
        <w:rPr>
          <w:lang w:val="en-GB"/>
        </w:rPr>
        <w:t xml:space="preserve"> and unmarried.</w:t>
      </w:r>
    </w:p>
    <w:p w14:paraId="36D9E5B7" w14:textId="77777777" w:rsidR="00AC7B31" w:rsidRDefault="00AC7B31" w:rsidP="00AC7B31">
      <w:pPr>
        <w:pStyle w:val="ListParagraph"/>
        <w:autoSpaceDE w:val="0"/>
        <w:autoSpaceDN w:val="0"/>
        <w:adjustRightInd w:val="0"/>
        <w:ind w:left="142"/>
        <w:jc w:val="both"/>
        <w:rPr>
          <w:lang w:val="en-GB"/>
        </w:rPr>
      </w:pPr>
    </w:p>
    <w:p w14:paraId="6B61B074" w14:textId="0E05AD16" w:rsidR="00AC7B31" w:rsidRDefault="004910A7" w:rsidP="00AF6DF0">
      <w:pPr>
        <w:pStyle w:val="ListParagraph"/>
        <w:numPr>
          <w:ilvl w:val="0"/>
          <w:numId w:val="10"/>
        </w:numPr>
        <w:autoSpaceDE w:val="0"/>
        <w:autoSpaceDN w:val="0"/>
        <w:adjustRightInd w:val="0"/>
        <w:ind w:left="142" w:hanging="142"/>
        <w:jc w:val="both"/>
        <w:rPr>
          <w:lang w:val="en-GB"/>
        </w:rPr>
      </w:pPr>
      <w:r>
        <w:rPr>
          <w:lang w:val="en-GB"/>
        </w:rPr>
        <w:lastRenderedPageBreak/>
        <w:t xml:space="preserve">Mr Billa is a first offender in respect of his convictions for murder and robbery with aggravated </w:t>
      </w:r>
      <w:r w:rsidR="006F7DAF">
        <w:rPr>
          <w:lang w:val="en-GB"/>
        </w:rPr>
        <w:t>circumstances. He pleaded guilty and, since he was approached by police in Nelspruit, has been forthright about his involvement in these crimes.</w:t>
      </w:r>
      <w:r w:rsidR="00D3467C">
        <w:rPr>
          <w:lang w:val="en-GB"/>
        </w:rPr>
        <w:t xml:space="preserve"> </w:t>
      </w:r>
      <w:r w:rsidR="00C64085">
        <w:rPr>
          <w:lang w:val="en-GB"/>
        </w:rPr>
        <w:t>He was not the main instigator of the crimes</w:t>
      </w:r>
      <w:r w:rsidR="00E87F61">
        <w:rPr>
          <w:lang w:val="en-GB"/>
        </w:rPr>
        <w:t xml:space="preserve">, had himself been unarmed </w:t>
      </w:r>
      <w:r w:rsidR="00C64085">
        <w:rPr>
          <w:lang w:val="en-GB"/>
        </w:rPr>
        <w:t>and had played a less active role</w:t>
      </w:r>
      <w:r w:rsidR="00967F5D">
        <w:rPr>
          <w:lang w:val="en-GB"/>
        </w:rPr>
        <w:t xml:space="preserve"> in the commission of the crimes</w:t>
      </w:r>
      <w:r w:rsidR="00C64085">
        <w:rPr>
          <w:lang w:val="en-GB"/>
        </w:rPr>
        <w:t xml:space="preserve"> than his co-perpetrators. </w:t>
      </w:r>
      <w:r w:rsidR="00D3467C">
        <w:rPr>
          <w:lang w:val="en-GB"/>
        </w:rPr>
        <w:t xml:space="preserve">It was submitted that he had shown </w:t>
      </w:r>
      <w:r w:rsidR="00C64085">
        <w:rPr>
          <w:lang w:val="en-GB"/>
        </w:rPr>
        <w:t xml:space="preserve">genuine </w:t>
      </w:r>
      <w:r w:rsidR="00D3467C">
        <w:rPr>
          <w:lang w:val="en-GB"/>
        </w:rPr>
        <w:t>remorse</w:t>
      </w:r>
      <w:r w:rsidR="00C64085">
        <w:rPr>
          <w:lang w:val="en-GB"/>
        </w:rPr>
        <w:t xml:space="preserve"> for his actions. </w:t>
      </w:r>
      <w:r w:rsidR="00AE1731">
        <w:rPr>
          <w:lang w:val="en-GB"/>
        </w:rPr>
        <w:t xml:space="preserve">He had been motivated by greed and influenced </w:t>
      </w:r>
      <w:r w:rsidR="00125449">
        <w:rPr>
          <w:lang w:val="en-GB"/>
        </w:rPr>
        <w:t xml:space="preserve">by peer-pressure </w:t>
      </w:r>
      <w:r w:rsidR="00D97B76">
        <w:rPr>
          <w:lang w:val="en-GB"/>
        </w:rPr>
        <w:t>to participate in a criminal activity</w:t>
      </w:r>
      <w:r w:rsidR="00125449">
        <w:rPr>
          <w:lang w:val="en-GB"/>
        </w:rPr>
        <w:t>.</w:t>
      </w:r>
      <w:r w:rsidR="00AE570F">
        <w:rPr>
          <w:lang w:val="en-GB"/>
        </w:rPr>
        <w:t xml:space="preserve"> Counsel submitted that Mr Billa was not a danger to society and would testify against his co-perpetrators if </w:t>
      </w:r>
      <w:r w:rsidR="00376D8C">
        <w:rPr>
          <w:lang w:val="en-GB"/>
        </w:rPr>
        <w:t>they were apprehended.</w:t>
      </w:r>
      <w:r w:rsidR="00EC2844">
        <w:rPr>
          <w:lang w:val="en-GB"/>
        </w:rPr>
        <w:t xml:space="preserve"> There was a possibility of rehabilitation and the effect of a sentence of life imprisonment would be disproportionate to his crimes.</w:t>
      </w:r>
      <w:r w:rsidR="0045164F">
        <w:rPr>
          <w:lang w:val="en-GB"/>
        </w:rPr>
        <w:t xml:space="preserve"> Mr Billa has been in custody awaiting trial for approximately ten months. </w:t>
      </w:r>
    </w:p>
    <w:p w14:paraId="1615E3D9" w14:textId="77777777" w:rsidR="00AD15A5" w:rsidRPr="00AD15A5" w:rsidRDefault="00AD15A5" w:rsidP="00AD15A5">
      <w:pPr>
        <w:pStyle w:val="ListParagraph"/>
        <w:rPr>
          <w:lang w:val="en-GB"/>
        </w:rPr>
      </w:pPr>
    </w:p>
    <w:p w14:paraId="0ACDD94C" w14:textId="31C16597" w:rsidR="00AD15A5" w:rsidRDefault="00AD15A5" w:rsidP="00AF6DF0">
      <w:pPr>
        <w:pStyle w:val="ListParagraph"/>
        <w:numPr>
          <w:ilvl w:val="0"/>
          <w:numId w:val="10"/>
        </w:numPr>
        <w:autoSpaceDE w:val="0"/>
        <w:autoSpaceDN w:val="0"/>
        <w:adjustRightInd w:val="0"/>
        <w:ind w:left="142" w:hanging="142"/>
        <w:jc w:val="both"/>
        <w:rPr>
          <w:lang w:val="en-GB"/>
        </w:rPr>
      </w:pPr>
      <w:r>
        <w:rPr>
          <w:lang w:val="en-GB"/>
        </w:rPr>
        <w:t xml:space="preserve">The aggravating features of the crimes are well-illustrated by the testimony of Mrs Jongile. </w:t>
      </w:r>
      <w:r w:rsidR="00651EE3">
        <w:rPr>
          <w:lang w:val="en-GB"/>
        </w:rPr>
        <w:t>Attacked in the sanctity of her home in the evening, her husband murdered, her child traumatised, the community suspicious, h</w:t>
      </w:r>
      <w:r>
        <w:rPr>
          <w:lang w:val="en-GB"/>
        </w:rPr>
        <w:t>er life, and that of the family members who depended upon the deceased, will never be the same.</w:t>
      </w:r>
      <w:r w:rsidR="00651EE3">
        <w:rPr>
          <w:lang w:val="en-GB"/>
        </w:rPr>
        <w:t xml:space="preserve"> </w:t>
      </w:r>
      <w:r w:rsidR="002D26D4">
        <w:rPr>
          <w:lang w:val="en-GB"/>
        </w:rPr>
        <w:t>There can be no doubt that society is appalled by serious crimes of this nature</w:t>
      </w:r>
      <w:r w:rsidR="00017D8D">
        <w:rPr>
          <w:lang w:val="en-GB"/>
        </w:rPr>
        <w:t xml:space="preserve"> and expect</w:t>
      </w:r>
      <w:r w:rsidR="00B20267">
        <w:rPr>
          <w:lang w:val="en-GB"/>
        </w:rPr>
        <w:t>s</w:t>
      </w:r>
      <w:r w:rsidR="00017D8D">
        <w:rPr>
          <w:lang w:val="en-GB"/>
        </w:rPr>
        <w:t xml:space="preserve"> commensurate punishments to be imposed.</w:t>
      </w:r>
    </w:p>
    <w:p w14:paraId="1C08B22C" w14:textId="330B8E66" w:rsidR="00E57235" w:rsidRPr="00E57235" w:rsidRDefault="00E57235" w:rsidP="00E57235">
      <w:pPr>
        <w:rPr>
          <w:b/>
          <w:bCs/>
          <w:lang w:val="en-GB"/>
        </w:rPr>
      </w:pPr>
    </w:p>
    <w:p w14:paraId="42DA8279" w14:textId="63632E64" w:rsidR="00E57235" w:rsidRDefault="00E57235" w:rsidP="00AF6DF0">
      <w:pPr>
        <w:pStyle w:val="ListParagraph"/>
        <w:numPr>
          <w:ilvl w:val="0"/>
          <w:numId w:val="10"/>
        </w:numPr>
        <w:autoSpaceDE w:val="0"/>
        <w:autoSpaceDN w:val="0"/>
        <w:adjustRightInd w:val="0"/>
        <w:ind w:left="142" w:hanging="142"/>
        <w:jc w:val="both"/>
        <w:rPr>
          <w:lang w:val="en-GB"/>
        </w:rPr>
      </w:pPr>
      <w:r>
        <w:rPr>
          <w:lang w:val="en-GB"/>
        </w:rPr>
        <w:t>In determining whether substantial and compelling circumstances exist for deviating from the prescribed minimum sentence for murder</w:t>
      </w:r>
      <w:r w:rsidR="002B4303">
        <w:rPr>
          <w:lang w:val="en-GB"/>
        </w:rPr>
        <w:t>, it is useful to consider the plea of guilty and Mr Billa’s remorse. It has been held that a guilty plea in these circumstances is ‘of little moment’ once an accused person is caught, but that it ‘counts for something that he did not unduly burden the state with the need to prove the charges’ and had, furthermore, expressed remorse.</w:t>
      </w:r>
      <w:r w:rsidR="00BB2C35">
        <w:rPr>
          <w:rStyle w:val="FootnoteReference"/>
          <w:lang w:val="en-GB"/>
        </w:rPr>
        <w:footnoteReference w:id="10"/>
      </w:r>
      <w:r w:rsidR="0013134D">
        <w:rPr>
          <w:lang w:val="en-GB"/>
        </w:rPr>
        <w:t xml:space="preserve"> It is a question of fact whether this remorse is genuine or not, requiring consideration of an accused’s conduct after the offence and during a trial.</w:t>
      </w:r>
      <w:r w:rsidR="0013134D">
        <w:rPr>
          <w:rStyle w:val="FootnoteReference"/>
          <w:lang w:val="en-GB"/>
        </w:rPr>
        <w:footnoteReference w:id="11"/>
      </w:r>
      <w:r w:rsidR="00DF4430">
        <w:rPr>
          <w:lang w:val="en-GB"/>
        </w:rPr>
        <w:t xml:space="preserve"> The reality is that Mr Billa did not confess out of his own volition but spoke openly about his involvement once he was confronted by the police</w:t>
      </w:r>
      <w:r w:rsidR="002D373B">
        <w:rPr>
          <w:lang w:val="en-GB"/>
        </w:rPr>
        <w:t>, suggesting a case of ‘regret’ rather than ‘remorse’.</w:t>
      </w:r>
      <w:r w:rsidR="00914CED">
        <w:rPr>
          <w:lang w:val="en-GB"/>
        </w:rPr>
        <w:t xml:space="preserve"> </w:t>
      </w:r>
      <w:r w:rsidR="00076D05">
        <w:rPr>
          <w:lang w:val="en-GB"/>
        </w:rPr>
        <w:t xml:space="preserve">He also failed to testify in mitigation of sentence, leaving it to his representative to explain his </w:t>
      </w:r>
      <w:r w:rsidR="00076D05">
        <w:rPr>
          <w:lang w:val="en-GB"/>
        </w:rPr>
        <w:lastRenderedPageBreak/>
        <w:t>position.</w:t>
      </w:r>
      <w:r w:rsidR="00076D05">
        <w:rPr>
          <w:rStyle w:val="FootnoteReference"/>
          <w:lang w:val="en-GB"/>
        </w:rPr>
        <w:footnoteReference w:id="12"/>
      </w:r>
      <w:r w:rsidR="00076D05">
        <w:rPr>
          <w:lang w:val="en-GB"/>
        </w:rPr>
        <w:t xml:space="preserve"> </w:t>
      </w:r>
      <w:r w:rsidR="00C16834">
        <w:rPr>
          <w:lang w:val="en-GB"/>
        </w:rPr>
        <w:t>Still, his offer to testify against the co-perpetrators, his explanation of events</w:t>
      </w:r>
      <w:r w:rsidR="00E80BC0">
        <w:rPr>
          <w:lang w:val="en-GB"/>
        </w:rPr>
        <w:t>, plea of guilty and tendered apology cannot be ignored.</w:t>
      </w:r>
      <w:r w:rsidR="00FE461D">
        <w:rPr>
          <w:rStyle w:val="FootnoteReference"/>
          <w:lang w:val="en-GB"/>
        </w:rPr>
        <w:footnoteReference w:id="13"/>
      </w:r>
      <w:r w:rsidR="00076D05">
        <w:rPr>
          <w:lang w:val="en-GB"/>
        </w:rPr>
        <w:t xml:space="preserve"> </w:t>
      </w:r>
    </w:p>
    <w:p w14:paraId="2BA929B2" w14:textId="77777777" w:rsidR="00D8622A" w:rsidRPr="00D8622A" w:rsidRDefault="00D8622A" w:rsidP="00D8622A">
      <w:pPr>
        <w:pStyle w:val="ListParagraph"/>
        <w:rPr>
          <w:lang w:val="en-GB"/>
        </w:rPr>
      </w:pPr>
    </w:p>
    <w:p w14:paraId="4F8B165B" w14:textId="60BF858C" w:rsidR="006B1EEF" w:rsidRPr="001A55B6" w:rsidRDefault="00D8622A" w:rsidP="001A55B6">
      <w:pPr>
        <w:pStyle w:val="ListParagraph"/>
        <w:numPr>
          <w:ilvl w:val="0"/>
          <w:numId w:val="10"/>
        </w:numPr>
        <w:autoSpaceDE w:val="0"/>
        <w:autoSpaceDN w:val="0"/>
        <w:adjustRightInd w:val="0"/>
        <w:ind w:left="142" w:hanging="142"/>
        <w:jc w:val="both"/>
        <w:rPr>
          <w:lang w:val="en-GB"/>
        </w:rPr>
      </w:pPr>
      <w:r w:rsidRPr="001A55B6">
        <w:rPr>
          <w:lang w:val="en-GB"/>
        </w:rPr>
        <w:t xml:space="preserve">Added to this is his less active role in the commission of the murder and the events subsequent thereto. </w:t>
      </w:r>
      <w:r w:rsidR="001A55B6">
        <w:rPr>
          <w:lang w:val="en-GB"/>
        </w:rPr>
        <w:t xml:space="preserve">Mr Billa’s statement regarding his involvement, including that he was assaulted by Shelauli, must be accepted. Mrs Jongile herself recalled </w:t>
      </w:r>
      <w:r w:rsidR="0014281B">
        <w:rPr>
          <w:lang w:val="en-GB"/>
        </w:rPr>
        <w:t>such an</w:t>
      </w:r>
      <w:r w:rsidR="001A55B6">
        <w:rPr>
          <w:lang w:val="en-GB"/>
        </w:rPr>
        <w:t xml:space="preserve"> occurrence. </w:t>
      </w:r>
      <w:r w:rsidR="006B1EEF" w:rsidRPr="001A55B6">
        <w:rPr>
          <w:lang w:val="en-GB"/>
        </w:rPr>
        <w:t xml:space="preserve">In this regard, it may be noted that </w:t>
      </w:r>
      <w:r w:rsidR="006B1EEF" w:rsidRPr="001A55B6">
        <w:rPr>
          <w:i/>
          <w:iCs/>
          <w:lang w:val="en-GB"/>
        </w:rPr>
        <w:t>S v Erskine</w:t>
      </w:r>
      <w:r w:rsidR="006B1EEF" w:rsidRPr="001A55B6">
        <w:rPr>
          <w:lang w:val="en-GB"/>
        </w:rPr>
        <w:t xml:space="preserve"> is one of the cases where a court has drawn a distinction between the various roles played by offenders in the execution of a common purpose.</w:t>
      </w:r>
      <w:r w:rsidR="006B1EEF">
        <w:rPr>
          <w:rStyle w:val="FootnoteReference"/>
          <w:lang w:val="en-GB"/>
        </w:rPr>
        <w:footnoteReference w:id="14"/>
      </w:r>
      <w:r w:rsidR="006B1EEF" w:rsidRPr="001A55B6">
        <w:rPr>
          <w:lang w:val="en-GB"/>
        </w:rPr>
        <w:t xml:space="preserve"> In that matter, an effective term of 30 years’ imprisonment was considered to be unduly harsh on a first offender who had played a less active role in kidnapping the complainant and in circumstances where there was no proof that he had himself assaulted her.</w:t>
      </w:r>
      <w:r w:rsidR="006B1EEF">
        <w:rPr>
          <w:rStyle w:val="FootnoteReference"/>
          <w:lang w:val="en-GB"/>
        </w:rPr>
        <w:footnoteReference w:id="15"/>
      </w:r>
      <w:r w:rsidR="001A55B6" w:rsidRPr="001A55B6">
        <w:rPr>
          <w:lang w:val="en-GB"/>
        </w:rPr>
        <w:t xml:space="preserve"> </w:t>
      </w:r>
    </w:p>
    <w:p w14:paraId="292019D0" w14:textId="77777777" w:rsidR="006B1EEF" w:rsidRDefault="006B1EEF" w:rsidP="008D7246">
      <w:pPr>
        <w:pStyle w:val="ListParagraph"/>
        <w:autoSpaceDE w:val="0"/>
        <w:autoSpaceDN w:val="0"/>
        <w:adjustRightInd w:val="0"/>
        <w:ind w:left="142"/>
        <w:jc w:val="both"/>
        <w:rPr>
          <w:lang w:val="en-GB"/>
        </w:rPr>
      </w:pPr>
    </w:p>
    <w:p w14:paraId="6692FF36" w14:textId="6163BDAD" w:rsidR="007709AD" w:rsidRDefault="00115A75" w:rsidP="007709AD">
      <w:pPr>
        <w:pStyle w:val="ListParagraph"/>
        <w:numPr>
          <w:ilvl w:val="0"/>
          <w:numId w:val="10"/>
        </w:numPr>
        <w:autoSpaceDE w:val="0"/>
        <w:autoSpaceDN w:val="0"/>
        <w:adjustRightInd w:val="0"/>
        <w:ind w:left="142" w:hanging="142"/>
        <w:jc w:val="both"/>
        <w:rPr>
          <w:lang w:val="en-GB"/>
        </w:rPr>
      </w:pPr>
      <w:r>
        <w:rPr>
          <w:lang w:val="en-GB"/>
        </w:rPr>
        <w:t>Cumulatively c</w:t>
      </w:r>
      <w:r w:rsidR="008D7246">
        <w:rPr>
          <w:lang w:val="en-GB"/>
        </w:rPr>
        <w:t>onsidering that Mr Billa is a first offender, his less active role in the commission of the murder and the events subsequent thereto, and his plea of guilty</w:t>
      </w:r>
      <w:r w:rsidR="00C37552">
        <w:rPr>
          <w:lang w:val="en-GB"/>
        </w:rPr>
        <w:t xml:space="preserve"> and subsequent conduct</w:t>
      </w:r>
      <w:r>
        <w:rPr>
          <w:lang w:val="en-GB"/>
        </w:rPr>
        <w:t xml:space="preserve">, I am of the view that substantial and compelling circumstances exist </w:t>
      </w:r>
      <w:r w:rsidR="002770FB">
        <w:rPr>
          <w:lang w:val="en-GB"/>
        </w:rPr>
        <w:t>so that a minimum life sentence for murder should not be imposed.</w:t>
      </w:r>
      <w:r w:rsidR="00C077E0">
        <w:rPr>
          <w:lang w:val="en-GB"/>
        </w:rPr>
        <w:t xml:space="preserve"> </w:t>
      </w:r>
      <w:r w:rsidR="00390403">
        <w:rPr>
          <w:lang w:val="en-GB"/>
        </w:rPr>
        <w:t xml:space="preserve">These are not light or flimsy considerations. </w:t>
      </w:r>
      <w:r w:rsidR="00F23E39">
        <w:rPr>
          <w:lang w:val="en-GB"/>
        </w:rPr>
        <w:t>Life imprisonment as an outcome</w:t>
      </w:r>
      <w:r w:rsidR="00C077E0">
        <w:rPr>
          <w:lang w:val="en-GB"/>
        </w:rPr>
        <w:t xml:space="preserve"> would be unjust in the circumstances, </w:t>
      </w:r>
      <w:r w:rsidR="000C020D">
        <w:rPr>
          <w:lang w:val="en-GB"/>
        </w:rPr>
        <w:t xml:space="preserve">and destroy any prospect of rehabilitation, </w:t>
      </w:r>
      <w:r w:rsidR="00C077E0">
        <w:rPr>
          <w:lang w:val="en-GB"/>
        </w:rPr>
        <w:t>warranting a departure. Suffice to say that</w:t>
      </w:r>
      <w:r w:rsidR="00C75CC9">
        <w:rPr>
          <w:lang w:val="en-GB"/>
        </w:rPr>
        <w:t>, upon consideration of the crime, the criminal and the interests of society,</w:t>
      </w:r>
      <w:r w:rsidR="00C077E0">
        <w:rPr>
          <w:lang w:val="en-GB"/>
        </w:rPr>
        <w:t xml:space="preserve"> I have no similar misgivings in respect of imposing the prescribed minimum sentence for the </w:t>
      </w:r>
      <w:r w:rsidR="00411FE8">
        <w:rPr>
          <w:lang w:val="en-GB"/>
        </w:rPr>
        <w:t>conviction in respect</w:t>
      </w:r>
      <w:r w:rsidR="00C077E0">
        <w:rPr>
          <w:lang w:val="en-GB"/>
        </w:rPr>
        <w:t xml:space="preserve"> of robbery with aggravating circumstances</w:t>
      </w:r>
      <w:r w:rsidR="00C75CC9">
        <w:rPr>
          <w:lang w:val="en-GB"/>
        </w:rPr>
        <w:t>.</w:t>
      </w:r>
      <w:r w:rsidR="007709AD">
        <w:rPr>
          <w:lang w:val="en-GB"/>
        </w:rPr>
        <w:t xml:space="preserve"> Plasket J held as follows in </w:t>
      </w:r>
      <w:r w:rsidR="007709AD">
        <w:rPr>
          <w:i/>
          <w:iCs/>
          <w:lang w:val="en-GB"/>
        </w:rPr>
        <w:t xml:space="preserve">S v Arends and </w:t>
      </w:r>
      <w:r w:rsidR="007709AD" w:rsidRPr="009A2F84">
        <w:rPr>
          <w:i/>
          <w:iCs/>
          <w:lang w:val="en-GB"/>
        </w:rPr>
        <w:t>Others</w:t>
      </w:r>
      <w:r w:rsidR="007709AD">
        <w:rPr>
          <w:lang w:val="en-GB"/>
        </w:rPr>
        <w:t>:</w:t>
      </w:r>
      <w:r w:rsidR="007709AD">
        <w:rPr>
          <w:rStyle w:val="FootnoteReference"/>
          <w:lang w:val="en-GB"/>
        </w:rPr>
        <w:footnoteReference w:id="16"/>
      </w:r>
      <w:r w:rsidR="007709AD">
        <w:rPr>
          <w:lang w:val="en-GB"/>
        </w:rPr>
        <w:t xml:space="preserve"> </w:t>
      </w:r>
    </w:p>
    <w:p w14:paraId="6EF798AD" w14:textId="71D5750F" w:rsidR="00D8622A" w:rsidRPr="007709AD" w:rsidRDefault="007709AD" w:rsidP="00687392">
      <w:pPr>
        <w:ind w:left="142"/>
        <w:jc w:val="both"/>
        <w:rPr>
          <w:sz w:val="22"/>
          <w:szCs w:val="22"/>
          <w:lang w:val="en-GB"/>
        </w:rPr>
      </w:pPr>
      <w:r>
        <w:rPr>
          <w:sz w:val="22"/>
          <w:szCs w:val="22"/>
          <w:lang w:val="en-GB"/>
        </w:rPr>
        <w:t>‘The offence of robbery with aggravating circumstances is also … all too prevalent, causing grave harm to the physical, psychological and economic interests of victims of this form of predatory conduct. All too often, the offence is committed at the same time as rape … and murder. Society’s interest in the effective punishment of this offence by the courts is obvious.’</w:t>
      </w:r>
    </w:p>
    <w:p w14:paraId="6C322A3F" w14:textId="77777777" w:rsidR="007F6DDE" w:rsidRPr="007F6DDE" w:rsidRDefault="007F6DDE" w:rsidP="007F6DDE">
      <w:pPr>
        <w:pStyle w:val="ListParagraph"/>
        <w:rPr>
          <w:lang w:val="en-GB"/>
        </w:rPr>
      </w:pPr>
    </w:p>
    <w:p w14:paraId="0CD0B61C" w14:textId="5CEDF2E0" w:rsidR="003C59EE" w:rsidRDefault="00C36A97" w:rsidP="00C36A97">
      <w:pPr>
        <w:pStyle w:val="ListParagraph"/>
        <w:numPr>
          <w:ilvl w:val="0"/>
          <w:numId w:val="10"/>
        </w:numPr>
        <w:autoSpaceDE w:val="0"/>
        <w:autoSpaceDN w:val="0"/>
        <w:adjustRightInd w:val="0"/>
        <w:ind w:left="142" w:hanging="142"/>
        <w:jc w:val="both"/>
        <w:rPr>
          <w:lang w:val="en-GB"/>
        </w:rPr>
      </w:pPr>
      <w:r>
        <w:rPr>
          <w:lang w:val="en-GB"/>
        </w:rPr>
        <w:t xml:space="preserve">As to the appropriate sentence for the murder conviction, various remarks are apposite. </w:t>
      </w:r>
      <w:r w:rsidR="0041510B" w:rsidRPr="002C7CD1">
        <w:rPr>
          <w:lang w:val="en-GB"/>
        </w:rPr>
        <w:t xml:space="preserve">Although deterrence is one of the important purposes of punishment, the </w:t>
      </w:r>
      <w:r w:rsidR="0041510B" w:rsidRPr="002C7CD1">
        <w:rPr>
          <w:lang w:val="en-GB"/>
        </w:rPr>
        <w:lastRenderedPageBreak/>
        <w:t xml:space="preserve">reasons for not </w:t>
      </w:r>
      <w:r w:rsidR="00390403">
        <w:rPr>
          <w:lang w:val="en-GB"/>
        </w:rPr>
        <w:t>‘</w:t>
      </w:r>
      <w:r w:rsidR="0041510B" w:rsidRPr="002C7CD1">
        <w:rPr>
          <w:lang w:val="en-GB"/>
        </w:rPr>
        <w:t>sacrificing an accused person on its altar’ have been expressed in a range of decisions. The issue of prevalence of crimes also requires careful consideration. It has been explained that s</w:t>
      </w:r>
      <w:r w:rsidR="00441332" w:rsidRPr="002C7CD1">
        <w:rPr>
          <w:lang w:val="en-GB"/>
        </w:rPr>
        <w:t>entencing courts cannot keep on imposing more and more severe sentences simply because the particular crime is prevalent or on the increase.</w:t>
      </w:r>
      <w:r w:rsidR="00B751E2">
        <w:rPr>
          <w:rStyle w:val="FootnoteReference"/>
          <w:lang w:val="en-GB"/>
        </w:rPr>
        <w:footnoteReference w:id="17"/>
      </w:r>
      <w:r w:rsidR="00441332" w:rsidRPr="002C7CD1">
        <w:rPr>
          <w:lang w:val="en-GB"/>
        </w:rPr>
        <w:t xml:space="preserve"> </w:t>
      </w:r>
      <w:r w:rsidR="00D83F64" w:rsidRPr="002C7CD1">
        <w:rPr>
          <w:lang w:val="en-GB"/>
        </w:rPr>
        <w:t>The purpose of sentencing is not to satisfy or meet public opinion but to serve and promote the public interest.</w:t>
      </w:r>
      <w:r w:rsidR="001F0047">
        <w:rPr>
          <w:rStyle w:val="FootnoteReference"/>
          <w:lang w:val="en-GB"/>
        </w:rPr>
        <w:footnoteReference w:id="18"/>
      </w:r>
      <w:r w:rsidR="000C3E68" w:rsidRPr="002C7CD1">
        <w:rPr>
          <w:lang w:val="en-GB"/>
        </w:rPr>
        <w:t xml:space="preserve"> A court should not too easily be swayed by the argument that society demands a severe sentence</w:t>
      </w:r>
      <w:r w:rsidR="00B9262A" w:rsidRPr="002C7CD1">
        <w:rPr>
          <w:lang w:val="en-GB"/>
        </w:rPr>
        <w:t>, it being its function to ensure that a convicted offender is treated fairly</w:t>
      </w:r>
      <w:r w:rsidR="00BA54C1" w:rsidRPr="002C7CD1">
        <w:rPr>
          <w:lang w:val="en-GB"/>
        </w:rPr>
        <w:t>. This includes the treatment meted out</w:t>
      </w:r>
      <w:r w:rsidR="00A96EF7" w:rsidRPr="002C7CD1">
        <w:rPr>
          <w:lang w:val="en-GB"/>
        </w:rPr>
        <w:t xml:space="preserve"> during the sentencing process</w:t>
      </w:r>
      <w:r w:rsidR="00F37FB9" w:rsidRPr="002C7CD1">
        <w:rPr>
          <w:lang w:val="en-GB"/>
        </w:rPr>
        <w:t>,</w:t>
      </w:r>
      <w:r w:rsidR="00BA54C1" w:rsidRPr="002C7CD1">
        <w:rPr>
          <w:lang w:val="en-GB"/>
        </w:rPr>
        <w:t xml:space="preserve"> when the court exercises its discretion </w:t>
      </w:r>
      <w:r w:rsidR="00F37FB9" w:rsidRPr="002C7CD1">
        <w:rPr>
          <w:lang w:val="en-GB"/>
        </w:rPr>
        <w:t>upon a consideration of all the applicable factors.</w:t>
      </w:r>
      <w:r w:rsidR="00320D2B" w:rsidRPr="002C7CD1">
        <w:rPr>
          <w:lang w:val="en-GB"/>
        </w:rPr>
        <w:t xml:space="preserve"> Decided cases, while being a useful guideline, cannot straightjacket a court into a particular position.</w:t>
      </w:r>
    </w:p>
    <w:p w14:paraId="0E8F59E2" w14:textId="77777777" w:rsidR="00FF69A5" w:rsidRPr="00FF69A5" w:rsidRDefault="00FF69A5" w:rsidP="00FF69A5">
      <w:pPr>
        <w:pStyle w:val="ListParagraph"/>
        <w:rPr>
          <w:lang w:val="en-GB"/>
        </w:rPr>
      </w:pPr>
    </w:p>
    <w:p w14:paraId="56BE8181" w14:textId="77777777" w:rsidR="00C37552" w:rsidRPr="00C37552" w:rsidRDefault="00FF69A5" w:rsidP="006F282C">
      <w:pPr>
        <w:pStyle w:val="ListParagraph"/>
        <w:numPr>
          <w:ilvl w:val="0"/>
          <w:numId w:val="10"/>
        </w:numPr>
        <w:autoSpaceDE w:val="0"/>
        <w:autoSpaceDN w:val="0"/>
        <w:adjustRightInd w:val="0"/>
        <w:ind w:left="142" w:hanging="142"/>
        <w:jc w:val="both"/>
        <w:rPr>
          <w:sz w:val="22"/>
          <w:szCs w:val="22"/>
          <w:lang w:val="en-GB"/>
        </w:rPr>
      </w:pPr>
      <w:r>
        <w:rPr>
          <w:lang w:val="en-GB"/>
        </w:rPr>
        <w:t>Having said that, Mr Billa</w:t>
      </w:r>
      <w:r w:rsidR="00390403">
        <w:rPr>
          <w:lang w:val="en-GB"/>
        </w:rPr>
        <w:t xml:space="preserve"> </w:t>
      </w:r>
      <w:r>
        <w:rPr>
          <w:lang w:val="en-GB"/>
        </w:rPr>
        <w:t>willingly participated in a planned robbery, travelling from Nelspruit to East London for that purpose. He knew that Shelauli was armed</w:t>
      </w:r>
      <w:r w:rsidR="00390403">
        <w:rPr>
          <w:lang w:val="en-GB"/>
        </w:rPr>
        <w:t xml:space="preserve"> en route to the scene of the crime</w:t>
      </w:r>
      <w:r>
        <w:rPr>
          <w:lang w:val="en-GB"/>
        </w:rPr>
        <w:t>, foresaw the possibility of violence and shooting once he realised that the target house was occupied and nonetheless proceeded regardless. The subsequent events</w:t>
      </w:r>
      <w:r w:rsidR="006F282C">
        <w:rPr>
          <w:lang w:val="en-GB"/>
        </w:rPr>
        <w:t>, particularly the murder for which Mr Billa has been convicted,</w:t>
      </w:r>
      <w:r>
        <w:rPr>
          <w:lang w:val="en-GB"/>
        </w:rPr>
        <w:t xml:space="preserve"> have shattered the life of Mrs Jongile and the family she holds dear.</w:t>
      </w:r>
      <w:r w:rsidR="009F3A44">
        <w:rPr>
          <w:lang w:val="en-GB"/>
        </w:rPr>
        <w:t xml:space="preserve"> </w:t>
      </w:r>
    </w:p>
    <w:p w14:paraId="657B1B6F" w14:textId="77777777" w:rsidR="00C37552" w:rsidRPr="00C37552" w:rsidRDefault="00C37552" w:rsidP="00C37552">
      <w:pPr>
        <w:pStyle w:val="ListParagraph"/>
        <w:rPr>
          <w:lang w:val="en-GB"/>
        </w:rPr>
      </w:pPr>
    </w:p>
    <w:p w14:paraId="2C3529BF" w14:textId="4A70717C" w:rsidR="00FF69A5" w:rsidRPr="006F282C" w:rsidRDefault="00121B47" w:rsidP="006F282C">
      <w:pPr>
        <w:pStyle w:val="ListParagraph"/>
        <w:numPr>
          <w:ilvl w:val="0"/>
          <w:numId w:val="10"/>
        </w:numPr>
        <w:autoSpaceDE w:val="0"/>
        <w:autoSpaceDN w:val="0"/>
        <w:adjustRightInd w:val="0"/>
        <w:ind w:left="142" w:hanging="142"/>
        <w:jc w:val="both"/>
        <w:rPr>
          <w:sz w:val="22"/>
          <w:szCs w:val="22"/>
          <w:lang w:val="en-GB"/>
        </w:rPr>
      </w:pPr>
      <w:r>
        <w:rPr>
          <w:lang w:val="en-GB"/>
        </w:rPr>
        <w:t>Moreover, the deceased’s community has lost one of its stalwarts and pillars</w:t>
      </w:r>
      <w:r w:rsidR="00EA36D7">
        <w:rPr>
          <w:lang w:val="en-GB"/>
        </w:rPr>
        <w:t xml:space="preserve"> needlessly</w:t>
      </w:r>
      <w:r>
        <w:rPr>
          <w:lang w:val="en-GB"/>
        </w:rPr>
        <w:t xml:space="preserve">. </w:t>
      </w:r>
      <w:r w:rsidR="009F3A44">
        <w:rPr>
          <w:lang w:val="en-GB"/>
        </w:rPr>
        <w:t xml:space="preserve">In considering the appropriate sentence to be imposed, these consequences, and society’s disgust at the brazen violation of </w:t>
      </w:r>
      <w:r w:rsidR="00E3035F">
        <w:rPr>
          <w:lang w:val="en-GB"/>
        </w:rPr>
        <w:t xml:space="preserve">human life and property that has become commonplace, </w:t>
      </w:r>
      <w:r w:rsidR="00066BB6">
        <w:rPr>
          <w:lang w:val="en-GB"/>
        </w:rPr>
        <w:t xml:space="preserve">far </w:t>
      </w:r>
      <w:r w:rsidR="00E3035F">
        <w:rPr>
          <w:lang w:val="en-GB"/>
        </w:rPr>
        <w:t>outweigh Mr Billa’s right to freedom</w:t>
      </w:r>
      <w:r w:rsidR="007300B4">
        <w:rPr>
          <w:lang w:val="en-GB"/>
        </w:rPr>
        <w:t xml:space="preserve"> and the various mitigating factors already listed.</w:t>
      </w:r>
      <w:r w:rsidR="00DC39EA">
        <w:rPr>
          <w:lang w:val="en-GB"/>
        </w:rPr>
        <w:t xml:space="preserve"> A lengthy period of imprisonment is certainly warranted.</w:t>
      </w:r>
      <w:r w:rsidR="006F282C">
        <w:rPr>
          <w:lang w:val="en-GB"/>
        </w:rPr>
        <w:t xml:space="preserve"> </w:t>
      </w:r>
      <w:r w:rsidR="00AC0546" w:rsidRPr="006F282C">
        <w:rPr>
          <w:lang w:val="en-GB"/>
        </w:rPr>
        <w:t xml:space="preserve">Bearing in mind the time already spent in custody, </w:t>
      </w:r>
      <w:r w:rsidR="00F06775" w:rsidRPr="006F282C">
        <w:rPr>
          <w:lang w:val="en-GB"/>
        </w:rPr>
        <w:t xml:space="preserve">I consider a sentence of 22 years imprisonment to be appropriate for the </w:t>
      </w:r>
      <w:r w:rsidR="00B006E1" w:rsidRPr="006F282C">
        <w:rPr>
          <w:lang w:val="en-GB"/>
        </w:rPr>
        <w:t>murder</w:t>
      </w:r>
      <w:r w:rsidR="00F06775" w:rsidRPr="006F282C">
        <w:rPr>
          <w:lang w:val="en-GB"/>
        </w:rPr>
        <w:t xml:space="preserve"> </w:t>
      </w:r>
      <w:r w:rsidR="00B006E1" w:rsidRPr="006F282C">
        <w:rPr>
          <w:lang w:val="en-GB"/>
        </w:rPr>
        <w:t>conviction</w:t>
      </w:r>
      <w:r w:rsidR="00F06775" w:rsidRPr="006F282C">
        <w:rPr>
          <w:lang w:val="en-GB"/>
        </w:rPr>
        <w:t>.</w:t>
      </w:r>
    </w:p>
    <w:p w14:paraId="00CDD0A7" w14:textId="77777777" w:rsidR="00A23601" w:rsidRPr="00A23601" w:rsidRDefault="00A23601" w:rsidP="00A23601">
      <w:pPr>
        <w:pStyle w:val="ListParagraph"/>
        <w:rPr>
          <w:lang w:val="en-GB"/>
        </w:rPr>
      </w:pPr>
    </w:p>
    <w:p w14:paraId="75BA2296" w14:textId="4063EF8B" w:rsidR="00A23601" w:rsidRDefault="00A23601" w:rsidP="00C36A97">
      <w:pPr>
        <w:pStyle w:val="ListParagraph"/>
        <w:numPr>
          <w:ilvl w:val="0"/>
          <w:numId w:val="10"/>
        </w:numPr>
        <w:autoSpaceDE w:val="0"/>
        <w:autoSpaceDN w:val="0"/>
        <w:adjustRightInd w:val="0"/>
        <w:ind w:left="142" w:hanging="142"/>
        <w:jc w:val="both"/>
        <w:rPr>
          <w:lang w:val="en-GB"/>
        </w:rPr>
      </w:pPr>
      <w:r>
        <w:rPr>
          <w:lang w:val="en-GB"/>
        </w:rPr>
        <w:lastRenderedPageBreak/>
        <w:t xml:space="preserve">As already indicated, there is no basis to depart from the prescribed minimum sentence in respect of the conviction for robbery with aggravating circumstances. Considering the circumstances of that offence and the resultant murder, it is appropriate for this sentence to run concurrently with </w:t>
      </w:r>
      <w:r w:rsidR="00066D66">
        <w:rPr>
          <w:lang w:val="en-GB"/>
        </w:rPr>
        <w:t>the sentence for count one.</w:t>
      </w:r>
    </w:p>
    <w:p w14:paraId="1AE30B23" w14:textId="77777777" w:rsidR="008A0931" w:rsidRPr="008A0931" w:rsidRDefault="008A0931" w:rsidP="008A0931">
      <w:pPr>
        <w:pStyle w:val="ListParagraph"/>
        <w:rPr>
          <w:lang w:val="en-GB"/>
        </w:rPr>
      </w:pPr>
    </w:p>
    <w:p w14:paraId="60616772" w14:textId="64B7BBB4" w:rsidR="004941FB" w:rsidRDefault="000706E8" w:rsidP="00BF5519">
      <w:pPr>
        <w:pStyle w:val="ListParagraph"/>
        <w:numPr>
          <w:ilvl w:val="0"/>
          <w:numId w:val="10"/>
        </w:numPr>
        <w:autoSpaceDE w:val="0"/>
        <w:autoSpaceDN w:val="0"/>
        <w:adjustRightInd w:val="0"/>
        <w:ind w:left="142" w:hanging="142"/>
        <w:jc w:val="both"/>
        <w:rPr>
          <w:lang w:val="en-GB"/>
        </w:rPr>
      </w:pPr>
      <w:r>
        <w:rPr>
          <w:lang w:val="en-GB"/>
        </w:rPr>
        <w:t xml:space="preserve">Finally, </w:t>
      </w:r>
      <w:r w:rsidR="005E1195" w:rsidRPr="00A1367A">
        <w:rPr>
          <w:lang w:val="en-GB"/>
        </w:rPr>
        <w:t>Mr Billa has also been convicted for the second time for a statutory offence. Section 49(1)</w:t>
      </w:r>
      <w:r w:rsidR="005E1195" w:rsidRPr="00A1367A">
        <w:rPr>
          <w:i/>
          <w:iCs/>
          <w:lang w:val="en-GB"/>
        </w:rPr>
        <w:t xml:space="preserve">(a) </w:t>
      </w:r>
      <w:r w:rsidR="005E1195" w:rsidRPr="00A1367A">
        <w:rPr>
          <w:lang w:val="en-GB"/>
        </w:rPr>
        <w:t xml:space="preserve">of the Immigration Act, 2002, provides that anyone who enters or remains in, or departs from the country in contravention of this Act, shall be guilty of an offence and liable on conviction to a fine or </w:t>
      </w:r>
      <w:r w:rsidR="00AC0546" w:rsidRPr="00A1367A">
        <w:rPr>
          <w:lang w:val="en-GB"/>
        </w:rPr>
        <w:t xml:space="preserve">to </w:t>
      </w:r>
      <w:r w:rsidR="005E1195" w:rsidRPr="00A1367A">
        <w:rPr>
          <w:lang w:val="en-GB"/>
        </w:rPr>
        <w:t>imprisonment</w:t>
      </w:r>
      <w:r w:rsidR="00462368" w:rsidRPr="00A1367A">
        <w:rPr>
          <w:lang w:val="en-GB"/>
        </w:rPr>
        <w:t xml:space="preserve"> not exceeding two years.</w:t>
      </w:r>
      <w:r w:rsidR="00CB43BF" w:rsidRPr="00A1367A">
        <w:rPr>
          <w:lang w:val="en-GB"/>
        </w:rPr>
        <w:t xml:space="preserve"> </w:t>
      </w:r>
      <w:r w:rsidR="00076035">
        <w:rPr>
          <w:lang w:val="en-GB"/>
        </w:rPr>
        <w:t xml:space="preserve">While non-citizens enjoy a range of rights in South Africa, they are expected to comply with the country’s laws, particularly when they have already received a non-custodial sentence for a previous infraction. </w:t>
      </w:r>
      <w:r w:rsidR="00CB43BF" w:rsidRPr="00A1367A">
        <w:rPr>
          <w:lang w:val="en-GB"/>
        </w:rPr>
        <w:t>A period of imprisonment of six months is considered to be appropriate in this regard.</w:t>
      </w:r>
      <w:r w:rsidR="005E1195" w:rsidRPr="00A1367A">
        <w:rPr>
          <w:lang w:val="en-GB"/>
        </w:rPr>
        <w:t xml:space="preserve"> </w:t>
      </w:r>
    </w:p>
    <w:p w14:paraId="0E35668C" w14:textId="5932C167" w:rsidR="00BF5519" w:rsidRDefault="00BF5519" w:rsidP="00BF5519">
      <w:pPr>
        <w:autoSpaceDE w:val="0"/>
        <w:autoSpaceDN w:val="0"/>
        <w:adjustRightInd w:val="0"/>
        <w:jc w:val="both"/>
        <w:rPr>
          <w:lang w:val="en-GB"/>
        </w:rPr>
      </w:pPr>
    </w:p>
    <w:p w14:paraId="0B3275D8" w14:textId="540F74B8" w:rsidR="00BF5519" w:rsidRPr="00BF5519" w:rsidRDefault="00BF5519" w:rsidP="00BF5519">
      <w:pPr>
        <w:autoSpaceDE w:val="0"/>
        <w:autoSpaceDN w:val="0"/>
        <w:adjustRightInd w:val="0"/>
        <w:jc w:val="both"/>
        <w:rPr>
          <w:b/>
          <w:bCs/>
          <w:lang w:val="en-GB"/>
        </w:rPr>
      </w:pPr>
      <w:r>
        <w:rPr>
          <w:b/>
          <w:bCs/>
          <w:lang w:val="en-GB"/>
        </w:rPr>
        <w:t>Order</w:t>
      </w:r>
    </w:p>
    <w:p w14:paraId="1AAFABE0" w14:textId="0F16C5BB" w:rsidR="004941FB" w:rsidRDefault="00BF5519" w:rsidP="009668FC">
      <w:pPr>
        <w:pStyle w:val="ListParagraph"/>
        <w:numPr>
          <w:ilvl w:val="0"/>
          <w:numId w:val="10"/>
        </w:numPr>
        <w:autoSpaceDE w:val="0"/>
        <w:autoSpaceDN w:val="0"/>
        <w:adjustRightInd w:val="0"/>
        <w:ind w:left="142" w:hanging="142"/>
        <w:jc w:val="both"/>
        <w:rPr>
          <w:lang w:val="en-GB"/>
        </w:rPr>
      </w:pPr>
      <w:r>
        <w:rPr>
          <w:lang w:val="en-GB"/>
        </w:rPr>
        <w:t>The accused is sentenced as follows:</w:t>
      </w:r>
    </w:p>
    <w:p w14:paraId="77AC4443" w14:textId="77777777" w:rsidR="00C530EE" w:rsidRDefault="00C530EE" w:rsidP="00C530EE">
      <w:pPr>
        <w:pStyle w:val="ListParagraph"/>
        <w:autoSpaceDE w:val="0"/>
        <w:autoSpaceDN w:val="0"/>
        <w:adjustRightInd w:val="0"/>
        <w:ind w:left="142"/>
        <w:jc w:val="both"/>
        <w:rPr>
          <w:lang w:val="en-GB"/>
        </w:rPr>
      </w:pPr>
    </w:p>
    <w:p w14:paraId="4B2F6552" w14:textId="2BC22022" w:rsidR="00BF5519" w:rsidRDefault="00BF5519" w:rsidP="00BF5519">
      <w:pPr>
        <w:pStyle w:val="ListParagraph"/>
        <w:numPr>
          <w:ilvl w:val="0"/>
          <w:numId w:val="13"/>
        </w:numPr>
        <w:autoSpaceDE w:val="0"/>
        <w:autoSpaceDN w:val="0"/>
        <w:adjustRightInd w:val="0"/>
        <w:jc w:val="both"/>
        <w:rPr>
          <w:lang w:val="en-GB"/>
        </w:rPr>
      </w:pPr>
      <w:r>
        <w:rPr>
          <w:lang w:val="en-GB"/>
        </w:rPr>
        <w:t>Count 1: Murder (Mr Joseph Jongile): 22 years’ imprisonment;</w:t>
      </w:r>
    </w:p>
    <w:p w14:paraId="51579051" w14:textId="77777777" w:rsidR="0047684B" w:rsidRDefault="0047684B" w:rsidP="0047684B">
      <w:pPr>
        <w:pStyle w:val="ListParagraph"/>
        <w:autoSpaceDE w:val="0"/>
        <w:autoSpaceDN w:val="0"/>
        <w:adjustRightInd w:val="0"/>
        <w:ind w:left="1080"/>
        <w:jc w:val="both"/>
        <w:rPr>
          <w:lang w:val="en-GB"/>
        </w:rPr>
      </w:pPr>
    </w:p>
    <w:p w14:paraId="187ED652" w14:textId="1EE8262A" w:rsidR="00BF5519" w:rsidRDefault="00BF5519" w:rsidP="00BF5519">
      <w:pPr>
        <w:pStyle w:val="ListParagraph"/>
        <w:numPr>
          <w:ilvl w:val="0"/>
          <w:numId w:val="13"/>
        </w:numPr>
        <w:autoSpaceDE w:val="0"/>
        <w:autoSpaceDN w:val="0"/>
        <w:adjustRightInd w:val="0"/>
        <w:jc w:val="both"/>
        <w:rPr>
          <w:lang w:val="en-GB"/>
        </w:rPr>
      </w:pPr>
      <w:r>
        <w:rPr>
          <w:lang w:val="en-GB"/>
        </w:rPr>
        <w:t>Count 2: Robbery (with aggravating circumstances</w:t>
      </w:r>
      <w:r w:rsidR="007A41D7">
        <w:rPr>
          <w:lang w:val="en-GB"/>
        </w:rPr>
        <w:t>)</w:t>
      </w:r>
      <w:r>
        <w:rPr>
          <w:lang w:val="en-GB"/>
        </w:rPr>
        <w:t>: 15 years’ imprisonment;</w:t>
      </w:r>
    </w:p>
    <w:p w14:paraId="4B0CED8D" w14:textId="0FAB49CC" w:rsidR="0047684B" w:rsidRPr="0047684B" w:rsidRDefault="0047684B" w:rsidP="0047684B">
      <w:pPr>
        <w:autoSpaceDE w:val="0"/>
        <w:autoSpaceDN w:val="0"/>
        <w:adjustRightInd w:val="0"/>
        <w:jc w:val="both"/>
        <w:rPr>
          <w:lang w:val="en-GB"/>
        </w:rPr>
      </w:pPr>
    </w:p>
    <w:p w14:paraId="4D1A1626" w14:textId="3E3CC95A" w:rsidR="0078534D" w:rsidRDefault="00BF5519" w:rsidP="00684559">
      <w:pPr>
        <w:pStyle w:val="ListParagraph"/>
        <w:numPr>
          <w:ilvl w:val="0"/>
          <w:numId w:val="13"/>
        </w:numPr>
        <w:autoSpaceDE w:val="0"/>
        <w:autoSpaceDN w:val="0"/>
        <w:adjustRightInd w:val="0"/>
        <w:jc w:val="both"/>
        <w:rPr>
          <w:lang w:val="en-GB"/>
        </w:rPr>
      </w:pPr>
      <w:r>
        <w:rPr>
          <w:lang w:val="en-GB"/>
        </w:rPr>
        <w:t>Count 3: Unlawfully entering and remaining in the Republic of South Africa in contravention of s 49(1)</w:t>
      </w:r>
      <w:r>
        <w:rPr>
          <w:i/>
          <w:iCs/>
          <w:lang w:val="en-GB"/>
        </w:rPr>
        <w:t>(a)</w:t>
      </w:r>
      <w:r>
        <w:rPr>
          <w:lang w:val="en-GB"/>
        </w:rPr>
        <w:t xml:space="preserve"> of the Immigration Act, 2002: 6 months’ imprisonment</w:t>
      </w:r>
      <w:r w:rsidR="00C24989">
        <w:rPr>
          <w:lang w:val="en-GB"/>
        </w:rPr>
        <w:t>.</w:t>
      </w:r>
    </w:p>
    <w:p w14:paraId="3D055CA9" w14:textId="5E69D346" w:rsidR="0047684B" w:rsidRPr="0047684B" w:rsidRDefault="0047684B" w:rsidP="0047684B">
      <w:pPr>
        <w:autoSpaceDE w:val="0"/>
        <w:autoSpaceDN w:val="0"/>
        <w:adjustRightInd w:val="0"/>
        <w:jc w:val="both"/>
        <w:rPr>
          <w:lang w:val="en-GB"/>
        </w:rPr>
      </w:pPr>
    </w:p>
    <w:p w14:paraId="333AF964" w14:textId="4B47341E" w:rsidR="00C44FCC" w:rsidRDefault="0078534D" w:rsidP="0078534D">
      <w:pPr>
        <w:pStyle w:val="ListParagraph"/>
        <w:autoSpaceDE w:val="0"/>
        <w:autoSpaceDN w:val="0"/>
        <w:adjustRightInd w:val="0"/>
        <w:ind w:left="1080"/>
        <w:jc w:val="both"/>
        <w:rPr>
          <w:lang w:val="en-GB"/>
        </w:rPr>
      </w:pPr>
      <w:r>
        <w:rPr>
          <w:lang w:val="en-GB"/>
        </w:rPr>
        <w:t>It is directed that t</w:t>
      </w:r>
      <w:r w:rsidR="00C44FCC">
        <w:rPr>
          <w:lang w:val="en-GB"/>
        </w:rPr>
        <w:t xml:space="preserve">he sentences </w:t>
      </w:r>
      <w:r>
        <w:rPr>
          <w:lang w:val="en-GB"/>
        </w:rPr>
        <w:t>imposed in respect of</w:t>
      </w:r>
      <w:r w:rsidR="00C44FCC">
        <w:rPr>
          <w:lang w:val="en-GB"/>
        </w:rPr>
        <w:t xml:space="preserve"> count </w:t>
      </w:r>
      <w:r w:rsidR="00684559">
        <w:rPr>
          <w:lang w:val="en-GB"/>
        </w:rPr>
        <w:t>2</w:t>
      </w:r>
      <w:r w:rsidR="00C44FCC">
        <w:rPr>
          <w:lang w:val="en-GB"/>
        </w:rPr>
        <w:t xml:space="preserve"> </w:t>
      </w:r>
      <w:r w:rsidR="00684559">
        <w:rPr>
          <w:lang w:val="en-GB"/>
        </w:rPr>
        <w:t>shall be served concurrently with the sentence imposed in respect of count 1, giving an effective sentence of 22 years’ and 6 months.</w:t>
      </w:r>
    </w:p>
    <w:p w14:paraId="3117877B" w14:textId="4DAE734A" w:rsidR="003C3BC6" w:rsidRPr="00044B50" w:rsidRDefault="003C3BC6" w:rsidP="00AF6DF0">
      <w:pPr>
        <w:autoSpaceDE w:val="0"/>
        <w:autoSpaceDN w:val="0"/>
        <w:adjustRightInd w:val="0"/>
        <w:jc w:val="both"/>
        <w:rPr>
          <w:lang w:val="en-GB"/>
        </w:rPr>
      </w:pPr>
    </w:p>
    <w:p w14:paraId="38FC7F46" w14:textId="1D7BF4D2" w:rsidR="003C3BC6" w:rsidRDefault="003C3BC6" w:rsidP="00682CE5">
      <w:pPr>
        <w:autoSpaceDE w:val="0"/>
        <w:autoSpaceDN w:val="0"/>
        <w:adjustRightInd w:val="0"/>
        <w:jc w:val="both"/>
        <w:rPr>
          <w:lang w:val="en-GB"/>
        </w:rPr>
      </w:pPr>
    </w:p>
    <w:p w14:paraId="376BDBE7" w14:textId="56A28C78" w:rsidR="0047684B" w:rsidRDefault="0047684B" w:rsidP="00682CE5">
      <w:pPr>
        <w:autoSpaceDE w:val="0"/>
        <w:autoSpaceDN w:val="0"/>
        <w:adjustRightInd w:val="0"/>
        <w:jc w:val="both"/>
        <w:rPr>
          <w:lang w:val="en-GB"/>
        </w:rPr>
      </w:pPr>
    </w:p>
    <w:p w14:paraId="34F3C118" w14:textId="3FD13796" w:rsidR="0047684B" w:rsidRDefault="0047684B" w:rsidP="00682CE5">
      <w:pPr>
        <w:autoSpaceDE w:val="0"/>
        <w:autoSpaceDN w:val="0"/>
        <w:adjustRightInd w:val="0"/>
        <w:jc w:val="both"/>
        <w:rPr>
          <w:lang w:val="en-GB"/>
        </w:rPr>
      </w:pPr>
    </w:p>
    <w:p w14:paraId="584E42F8" w14:textId="4D6BF6E4" w:rsidR="00CD43F8" w:rsidRDefault="00CD43F8" w:rsidP="00682CE5">
      <w:pPr>
        <w:autoSpaceDE w:val="0"/>
        <w:autoSpaceDN w:val="0"/>
        <w:adjustRightInd w:val="0"/>
        <w:jc w:val="both"/>
        <w:rPr>
          <w:lang w:val="en-GB"/>
        </w:rPr>
      </w:pPr>
    </w:p>
    <w:p w14:paraId="41EB57A7" w14:textId="7C8E7ECD" w:rsidR="00CD43F8" w:rsidRDefault="00CD43F8" w:rsidP="00682CE5">
      <w:pPr>
        <w:autoSpaceDE w:val="0"/>
        <w:autoSpaceDN w:val="0"/>
        <w:adjustRightInd w:val="0"/>
        <w:jc w:val="both"/>
        <w:rPr>
          <w:lang w:val="en-GB"/>
        </w:rPr>
      </w:pPr>
    </w:p>
    <w:p w14:paraId="01A37636" w14:textId="77777777" w:rsidR="00CD43F8" w:rsidRDefault="00CD43F8" w:rsidP="00682CE5">
      <w:pPr>
        <w:autoSpaceDE w:val="0"/>
        <w:autoSpaceDN w:val="0"/>
        <w:adjustRightInd w:val="0"/>
        <w:jc w:val="both"/>
        <w:rPr>
          <w:lang w:val="en-GB"/>
        </w:rPr>
      </w:pPr>
    </w:p>
    <w:p w14:paraId="01EFB4E0" w14:textId="78837DC8" w:rsidR="0047684B" w:rsidRDefault="0047684B" w:rsidP="00682CE5">
      <w:pPr>
        <w:autoSpaceDE w:val="0"/>
        <w:autoSpaceDN w:val="0"/>
        <w:adjustRightInd w:val="0"/>
        <w:jc w:val="both"/>
        <w:rPr>
          <w:lang w:val="en-GB"/>
        </w:rPr>
      </w:pPr>
    </w:p>
    <w:p w14:paraId="677D62E8" w14:textId="77777777" w:rsidR="0047684B" w:rsidRPr="00044B50" w:rsidRDefault="0047684B" w:rsidP="00682CE5">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6924A04D" w:rsidR="00AA32DA" w:rsidRDefault="00AA32DA" w:rsidP="004A5151">
      <w:pPr>
        <w:autoSpaceDE w:val="0"/>
        <w:autoSpaceDN w:val="0"/>
        <w:adjustRightInd w:val="0"/>
        <w:jc w:val="both"/>
        <w:rPr>
          <w:lang w:val="en-GB"/>
        </w:rPr>
      </w:pPr>
    </w:p>
    <w:p w14:paraId="3D26A2FB" w14:textId="77777777" w:rsidR="00E00FCD" w:rsidRDefault="00E00FCD" w:rsidP="004A5151">
      <w:pPr>
        <w:autoSpaceDE w:val="0"/>
        <w:autoSpaceDN w:val="0"/>
        <w:adjustRightInd w:val="0"/>
        <w:jc w:val="both"/>
        <w:rPr>
          <w:lang w:val="en-GB"/>
        </w:rPr>
      </w:pPr>
    </w:p>
    <w:p w14:paraId="04EEEF0A" w14:textId="00495A3D" w:rsidR="007A7BBE" w:rsidRPr="0047684B" w:rsidRDefault="007A7BBE" w:rsidP="007A7BBE">
      <w:pPr>
        <w:widowControl w:val="0"/>
        <w:jc w:val="right"/>
        <w:rPr>
          <w:b/>
          <w:spacing w:val="14"/>
          <w:kern w:val="2"/>
          <w:lang w:val="en-GB"/>
        </w:rPr>
      </w:pPr>
      <w:r w:rsidRPr="0047684B">
        <w:rPr>
          <w:b/>
          <w:spacing w:val="14"/>
          <w:kern w:val="2"/>
          <w:lang w:val="en-GB"/>
        </w:rPr>
        <w:t>Heard:</w:t>
      </w:r>
      <w:r w:rsidR="0047684B" w:rsidRPr="0047684B">
        <w:rPr>
          <w:b/>
          <w:spacing w:val="14"/>
          <w:kern w:val="2"/>
          <w:lang w:val="en-GB"/>
        </w:rPr>
        <w:t>09 May 2022</w:t>
      </w:r>
    </w:p>
    <w:p w14:paraId="5D550954" w14:textId="714993BA" w:rsidR="007A7BBE" w:rsidRPr="0047684B" w:rsidRDefault="007A7BBE" w:rsidP="007A7BBE">
      <w:pPr>
        <w:widowControl w:val="0"/>
        <w:jc w:val="right"/>
        <w:rPr>
          <w:b/>
          <w:spacing w:val="14"/>
          <w:kern w:val="2"/>
          <w:lang w:val="en-GB"/>
        </w:rPr>
      </w:pPr>
      <w:r w:rsidRPr="0047684B">
        <w:rPr>
          <w:b/>
          <w:spacing w:val="14"/>
          <w:kern w:val="2"/>
          <w:lang w:val="en-GB"/>
        </w:rPr>
        <w:t>Delivered:</w:t>
      </w:r>
      <w:r w:rsidR="0047684B" w:rsidRPr="0047684B">
        <w:rPr>
          <w:b/>
          <w:spacing w:val="14"/>
          <w:kern w:val="2"/>
          <w:lang w:val="en-GB"/>
        </w:rPr>
        <w:t>12 May 2022</w:t>
      </w:r>
    </w:p>
    <w:p w14:paraId="2EB52A27" w14:textId="77777777" w:rsidR="0047684B" w:rsidRPr="00451115" w:rsidRDefault="0047684B" w:rsidP="007A7BBE">
      <w:pPr>
        <w:widowControl w:val="0"/>
        <w:jc w:val="right"/>
        <w:rPr>
          <w:spacing w:val="14"/>
          <w:kern w:val="2"/>
          <w:lang w:val="en-GB"/>
        </w:rPr>
      </w:pPr>
    </w:p>
    <w:p w14:paraId="7421C503" w14:textId="77777777" w:rsidR="0047684B" w:rsidRPr="00245CF8" w:rsidRDefault="0047684B" w:rsidP="0047684B">
      <w:pPr>
        <w:jc w:val="both"/>
        <w:rPr>
          <w:color w:val="auto"/>
          <w:lang w:val="en-GB"/>
        </w:rPr>
      </w:pPr>
      <w:r w:rsidRPr="00245CF8">
        <w:rPr>
          <w:color w:val="auto"/>
          <w:lang w:val="en-GB"/>
        </w:rPr>
        <w:t>Appearances:</w:t>
      </w:r>
    </w:p>
    <w:p w14:paraId="4E9005CA" w14:textId="77777777" w:rsidR="0047684B" w:rsidRPr="00245CF8" w:rsidRDefault="0047684B" w:rsidP="0047684B">
      <w:pPr>
        <w:jc w:val="both"/>
        <w:rPr>
          <w:color w:val="auto"/>
          <w:lang w:val="en-GB"/>
        </w:rPr>
      </w:pPr>
    </w:p>
    <w:p w14:paraId="063B0069" w14:textId="65F9C9A8" w:rsidR="0047684B" w:rsidRDefault="0047684B" w:rsidP="0047684B">
      <w:pPr>
        <w:tabs>
          <w:tab w:val="left" w:pos="3261"/>
          <w:tab w:val="center" w:pos="4003"/>
        </w:tabs>
        <w:jc w:val="both"/>
        <w:rPr>
          <w:color w:val="auto"/>
        </w:rPr>
      </w:pPr>
      <w:r w:rsidRPr="00245CF8">
        <w:rPr>
          <w:color w:val="auto"/>
        </w:rPr>
        <w:t>Counsel for the State:</w:t>
      </w:r>
      <w:r w:rsidRPr="00245CF8">
        <w:rPr>
          <w:color w:val="auto"/>
        </w:rPr>
        <w:tab/>
        <w:t xml:space="preserve">Adv </w:t>
      </w:r>
      <w:r>
        <w:rPr>
          <w:color w:val="auto"/>
        </w:rPr>
        <w:t>S. Mtsila</w:t>
      </w:r>
    </w:p>
    <w:p w14:paraId="208B7072" w14:textId="77777777" w:rsidR="0047684B" w:rsidRPr="00245CF8" w:rsidRDefault="0047684B" w:rsidP="0047684B">
      <w:pPr>
        <w:tabs>
          <w:tab w:val="left" w:pos="3261"/>
          <w:tab w:val="center" w:pos="4003"/>
        </w:tabs>
        <w:jc w:val="both"/>
        <w:rPr>
          <w:color w:val="auto"/>
        </w:rPr>
      </w:pPr>
      <w:r>
        <w:rPr>
          <w:color w:val="auto"/>
        </w:rPr>
        <w:tab/>
      </w:r>
      <w:r w:rsidRPr="00245CF8">
        <w:rPr>
          <w:color w:val="auto"/>
        </w:rPr>
        <w:t>Director of Public Prosecutions</w:t>
      </w:r>
    </w:p>
    <w:p w14:paraId="20659703" w14:textId="77777777" w:rsidR="0047684B" w:rsidRPr="00245CF8" w:rsidRDefault="0047684B" w:rsidP="0047684B">
      <w:pPr>
        <w:tabs>
          <w:tab w:val="left" w:pos="3261"/>
          <w:tab w:val="center" w:pos="4003"/>
        </w:tabs>
        <w:jc w:val="both"/>
        <w:rPr>
          <w:color w:val="auto"/>
        </w:rPr>
      </w:pPr>
      <w:r w:rsidRPr="00245CF8">
        <w:rPr>
          <w:color w:val="auto"/>
        </w:rPr>
        <w:t xml:space="preserve">                                                 Makhanda</w:t>
      </w:r>
    </w:p>
    <w:p w14:paraId="745F2082" w14:textId="77777777" w:rsidR="0047684B" w:rsidRPr="00245CF8" w:rsidRDefault="0047684B" w:rsidP="0047684B">
      <w:pPr>
        <w:tabs>
          <w:tab w:val="left" w:pos="3261"/>
          <w:tab w:val="left" w:pos="3402"/>
          <w:tab w:val="left" w:pos="3686"/>
          <w:tab w:val="center" w:pos="4003"/>
        </w:tabs>
        <w:jc w:val="both"/>
        <w:rPr>
          <w:color w:val="auto"/>
        </w:rPr>
      </w:pPr>
      <w:r w:rsidRPr="00245CF8">
        <w:rPr>
          <w:color w:val="auto"/>
        </w:rPr>
        <w:t xml:space="preserve">                                                 046 602 3000</w:t>
      </w:r>
    </w:p>
    <w:p w14:paraId="006F13F1" w14:textId="77777777" w:rsidR="0047684B" w:rsidRDefault="0047684B" w:rsidP="0047684B">
      <w:pPr>
        <w:tabs>
          <w:tab w:val="center" w:pos="3989"/>
        </w:tabs>
        <w:rPr>
          <w:color w:val="auto"/>
        </w:rPr>
      </w:pPr>
    </w:p>
    <w:p w14:paraId="405CA9A4" w14:textId="77777777" w:rsidR="0047684B" w:rsidRPr="00245CF8" w:rsidRDefault="0047684B" w:rsidP="0047684B">
      <w:pPr>
        <w:autoSpaceDE w:val="0"/>
        <w:autoSpaceDN w:val="0"/>
        <w:adjustRightInd w:val="0"/>
        <w:jc w:val="both"/>
        <w:rPr>
          <w:color w:val="auto"/>
          <w:lang w:val="en-GB"/>
        </w:rPr>
      </w:pPr>
    </w:p>
    <w:p w14:paraId="3DE4CF0C" w14:textId="1D89E9A2" w:rsidR="0047684B" w:rsidRPr="00245CF8" w:rsidRDefault="0047684B" w:rsidP="0047684B">
      <w:pPr>
        <w:tabs>
          <w:tab w:val="left" w:pos="3261"/>
          <w:tab w:val="center" w:pos="3989"/>
        </w:tabs>
        <w:rPr>
          <w:color w:val="auto"/>
        </w:rPr>
      </w:pPr>
      <w:r w:rsidRPr="00245CF8">
        <w:rPr>
          <w:color w:val="auto"/>
        </w:rPr>
        <w:t xml:space="preserve">Attorney for Accused:     </w:t>
      </w:r>
      <w:r>
        <w:rPr>
          <w:color w:val="auto"/>
        </w:rPr>
        <w:tab/>
      </w:r>
      <w:r w:rsidRPr="00245CF8">
        <w:rPr>
          <w:color w:val="auto"/>
        </w:rPr>
        <w:t>M</w:t>
      </w:r>
      <w:r>
        <w:rPr>
          <w:color w:val="auto"/>
        </w:rPr>
        <w:t>s</w:t>
      </w:r>
      <w:r w:rsidRPr="00245CF8">
        <w:rPr>
          <w:color w:val="auto"/>
        </w:rPr>
        <w:t xml:space="preserve"> </w:t>
      </w:r>
      <w:r>
        <w:rPr>
          <w:color w:val="auto"/>
        </w:rPr>
        <w:t>N.</w:t>
      </w:r>
      <w:r w:rsidRPr="00245CF8">
        <w:rPr>
          <w:color w:val="auto"/>
        </w:rPr>
        <w:t xml:space="preserve"> </w:t>
      </w:r>
      <w:r>
        <w:rPr>
          <w:color w:val="auto"/>
        </w:rPr>
        <w:t>Mthini</w:t>
      </w:r>
    </w:p>
    <w:p w14:paraId="0DE7D5D4" w14:textId="77777777" w:rsidR="0047684B" w:rsidRPr="00245CF8" w:rsidRDefault="0047684B" w:rsidP="0047684B">
      <w:pPr>
        <w:tabs>
          <w:tab w:val="left" w:pos="3119"/>
          <w:tab w:val="center" w:pos="3989"/>
        </w:tabs>
        <w:rPr>
          <w:color w:val="auto"/>
        </w:rPr>
      </w:pPr>
      <w:r w:rsidRPr="00245CF8">
        <w:rPr>
          <w:color w:val="auto"/>
        </w:rPr>
        <w:t xml:space="preserve">                                                 Legal Aid of South Africa</w:t>
      </w:r>
      <w:r w:rsidRPr="00245CF8">
        <w:rPr>
          <w:color w:val="auto"/>
        </w:rPr>
        <w:tab/>
      </w:r>
    </w:p>
    <w:p w14:paraId="1202F106" w14:textId="68411965" w:rsidR="0047684B" w:rsidRPr="00245CF8" w:rsidRDefault="0047684B" w:rsidP="0047684B">
      <w:pPr>
        <w:tabs>
          <w:tab w:val="center" w:pos="3989"/>
        </w:tabs>
        <w:rPr>
          <w:color w:val="auto"/>
        </w:rPr>
      </w:pPr>
      <w:r w:rsidRPr="00245CF8">
        <w:rPr>
          <w:color w:val="auto"/>
        </w:rPr>
        <w:t xml:space="preserve">                                                 </w:t>
      </w:r>
      <w:r>
        <w:rPr>
          <w:color w:val="auto"/>
        </w:rPr>
        <w:t>East London</w:t>
      </w:r>
    </w:p>
    <w:p w14:paraId="15E51FD7" w14:textId="64645FBD" w:rsidR="0047684B" w:rsidRPr="00245CF8" w:rsidRDefault="0047684B" w:rsidP="0047684B">
      <w:pPr>
        <w:tabs>
          <w:tab w:val="left" w:pos="3261"/>
          <w:tab w:val="center" w:pos="3989"/>
        </w:tabs>
        <w:rPr>
          <w:color w:val="auto"/>
        </w:rPr>
      </w:pPr>
      <w:r w:rsidRPr="00245CF8">
        <w:rPr>
          <w:color w:val="auto"/>
        </w:rPr>
        <w:t xml:space="preserve">                                                 04</w:t>
      </w:r>
      <w:r>
        <w:rPr>
          <w:color w:val="auto"/>
        </w:rPr>
        <w:t>3 704 4700</w:t>
      </w:r>
    </w:p>
    <w:p w14:paraId="398380BF" w14:textId="77777777" w:rsidR="007A7BBE" w:rsidRPr="00451115" w:rsidRDefault="007A7BBE" w:rsidP="004A5151">
      <w:pPr>
        <w:autoSpaceDE w:val="0"/>
        <w:autoSpaceDN w:val="0"/>
        <w:adjustRightInd w:val="0"/>
        <w:jc w:val="both"/>
        <w:rPr>
          <w:lang w:val="en-GB"/>
        </w:rPr>
      </w:pP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E689F" w14:textId="77777777" w:rsidR="00D671A7" w:rsidRDefault="00D671A7" w:rsidP="00005691">
      <w:r>
        <w:separator/>
      </w:r>
    </w:p>
  </w:endnote>
  <w:endnote w:type="continuationSeparator" w:id="0">
    <w:p w14:paraId="51A4E51F" w14:textId="77777777" w:rsidR="00D671A7" w:rsidRDefault="00D671A7"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BE34C" w14:textId="77777777" w:rsidR="00D671A7" w:rsidRDefault="00D671A7" w:rsidP="00005691">
      <w:r>
        <w:separator/>
      </w:r>
    </w:p>
  </w:footnote>
  <w:footnote w:type="continuationSeparator" w:id="0">
    <w:p w14:paraId="6BA7C58D" w14:textId="77777777" w:rsidR="00D671A7" w:rsidRDefault="00D671A7" w:rsidP="00005691">
      <w:r>
        <w:continuationSeparator/>
      </w:r>
    </w:p>
  </w:footnote>
  <w:footnote w:id="1">
    <w:p w14:paraId="790707DA" w14:textId="45982A86" w:rsidR="00772E4B" w:rsidRPr="00772E4B" w:rsidRDefault="00772E4B" w:rsidP="00FE4EE8">
      <w:pPr>
        <w:pStyle w:val="FootnoteText"/>
        <w:spacing w:line="240" w:lineRule="auto"/>
        <w:jc w:val="both"/>
        <w:rPr>
          <w:lang w:val="en-US"/>
        </w:rPr>
      </w:pPr>
      <w:r>
        <w:rPr>
          <w:rStyle w:val="FootnoteReference"/>
        </w:rPr>
        <w:footnoteRef/>
      </w:r>
      <w:r>
        <w:t xml:space="preserve"> </w:t>
      </w:r>
      <w:r w:rsidR="00D5686A">
        <w:t>Act 51 of 1977.</w:t>
      </w:r>
    </w:p>
  </w:footnote>
  <w:footnote w:id="2">
    <w:p w14:paraId="18700027" w14:textId="3BEB1BD9" w:rsidR="00D5686A" w:rsidRPr="00D5686A" w:rsidRDefault="00D5686A" w:rsidP="00FE4EE8">
      <w:pPr>
        <w:pStyle w:val="FootnoteText"/>
        <w:spacing w:line="240" w:lineRule="auto"/>
        <w:jc w:val="both"/>
        <w:rPr>
          <w:lang w:val="en-US"/>
        </w:rPr>
      </w:pPr>
      <w:r>
        <w:rPr>
          <w:rStyle w:val="FootnoteReference"/>
        </w:rPr>
        <w:footnoteRef/>
      </w:r>
      <w:r>
        <w:t xml:space="preserve"> </w:t>
      </w:r>
      <w:r>
        <w:rPr>
          <w:lang w:val="en-US"/>
        </w:rPr>
        <w:t>Act 13 of 2002.</w:t>
      </w:r>
    </w:p>
  </w:footnote>
  <w:footnote w:id="3">
    <w:p w14:paraId="14135B35" w14:textId="4DFF1217" w:rsidR="00082639" w:rsidRPr="00C36A97" w:rsidRDefault="00082639" w:rsidP="00FE4EE8">
      <w:pPr>
        <w:pStyle w:val="FootnoteText"/>
        <w:spacing w:line="240" w:lineRule="auto"/>
        <w:jc w:val="both"/>
        <w:rPr>
          <w:lang w:val="en-US"/>
        </w:rPr>
      </w:pPr>
      <w:r>
        <w:rPr>
          <w:rStyle w:val="FootnoteReference"/>
        </w:rPr>
        <w:footnoteRef/>
      </w:r>
      <w:r>
        <w:t xml:space="preserve"> </w:t>
      </w:r>
      <w:r>
        <w:rPr>
          <w:lang w:val="en-US"/>
        </w:rPr>
        <w:t>Act 105 of 1997.</w:t>
      </w:r>
      <w:r w:rsidR="00C36A97">
        <w:rPr>
          <w:lang w:val="en-US"/>
        </w:rPr>
        <w:t xml:space="preserve"> See </w:t>
      </w:r>
      <w:r w:rsidR="00C36A97">
        <w:rPr>
          <w:i/>
          <w:iCs/>
          <w:lang w:val="en-US"/>
        </w:rPr>
        <w:t>S v N</w:t>
      </w:r>
      <w:r w:rsidR="00C36A97">
        <w:rPr>
          <w:lang w:val="en-US"/>
        </w:rPr>
        <w:t xml:space="preserve"> 2000 (1) SACR 209 (W), confirming that the prescribed minimum sentence is applicable to a person convicted of murder with common purpose.</w:t>
      </w:r>
    </w:p>
  </w:footnote>
  <w:footnote w:id="4">
    <w:p w14:paraId="1BF9DAE2" w14:textId="596C2A4D" w:rsidR="00B82E78" w:rsidRPr="00B82E78" w:rsidRDefault="00B82E78" w:rsidP="00FE4EE8">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Khulu</w:t>
      </w:r>
      <w:r>
        <w:rPr>
          <w:lang w:val="en-US"/>
        </w:rPr>
        <w:t xml:space="preserve"> 1975 (2) SA 518 (N) at 521-522.</w:t>
      </w:r>
    </w:p>
  </w:footnote>
  <w:footnote w:id="5">
    <w:p w14:paraId="0F98A2A9" w14:textId="072592A0" w:rsidR="00A4793C" w:rsidRPr="00152640" w:rsidRDefault="00A4793C" w:rsidP="00FE4EE8">
      <w:pPr>
        <w:pStyle w:val="FootnoteText"/>
        <w:spacing w:line="240" w:lineRule="auto"/>
        <w:jc w:val="both"/>
        <w:rPr>
          <w:lang w:val="en-US"/>
        </w:rPr>
      </w:pPr>
      <w:r>
        <w:rPr>
          <w:rStyle w:val="FootnoteReference"/>
        </w:rPr>
        <w:footnoteRef/>
      </w:r>
      <w:r>
        <w:t xml:space="preserve"> </w:t>
      </w:r>
      <w:r>
        <w:rPr>
          <w:i/>
          <w:iCs/>
          <w:lang w:val="en-US"/>
        </w:rPr>
        <w:t xml:space="preserve">Malgas v S </w:t>
      </w:r>
      <w:r>
        <w:rPr>
          <w:lang w:val="en-US"/>
        </w:rPr>
        <w:t>2001 (1) SACR 469 (SCA)</w:t>
      </w:r>
      <w:r w:rsidR="00F25096">
        <w:rPr>
          <w:lang w:val="en-US"/>
        </w:rPr>
        <w:t xml:space="preserve"> (‘</w:t>
      </w:r>
      <w:r w:rsidR="00F25096">
        <w:rPr>
          <w:i/>
          <w:iCs/>
          <w:lang w:val="en-US"/>
        </w:rPr>
        <w:t>Malgas</w:t>
      </w:r>
      <w:r w:rsidR="00F25096">
        <w:rPr>
          <w:lang w:val="en-US"/>
        </w:rPr>
        <w:t>’)</w:t>
      </w:r>
      <w:r>
        <w:rPr>
          <w:lang w:val="en-US"/>
        </w:rPr>
        <w:t xml:space="preserve">; </w:t>
      </w:r>
      <w:r>
        <w:rPr>
          <w:i/>
          <w:iCs/>
          <w:lang w:val="en-US"/>
        </w:rPr>
        <w:t>Radebe v The State</w:t>
      </w:r>
      <w:r>
        <w:rPr>
          <w:lang w:val="en-US"/>
        </w:rPr>
        <w:t xml:space="preserve"> [2019] ZAGPPHC 406 para 12.</w:t>
      </w:r>
      <w:r w:rsidR="00152640">
        <w:rPr>
          <w:lang w:val="en-US"/>
        </w:rPr>
        <w:t xml:space="preserve"> On the functions of sentencing, see </w:t>
      </w:r>
      <w:r w:rsidR="00152640">
        <w:rPr>
          <w:i/>
          <w:iCs/>
          <w:lang w:val="en-US"/>
        </w:rPr>
        <w:t>S v Van Loggenberg</w:t>
      </w:r>
      <w:r w:rsidR="00152640">
        <w:rPr>
          <w:lang w:val="en-US"/>
        </w:rPr>
        <w:t xml:space="preserve"> 2012 (1) SACR 462 (GSJ) and </w:t>
      </w:r>
      <w:r w:rsidR="00152640">
        <w:rPr>
          <w:i/>
          <w:iCs/>
          <w:lang w:val="en-US"/>
        </w:rPr>
        <w:t>S v Tsotetsi</w:t>
      </w:r>
      <w:r w:rsidR="00152640">
        <w:rPr>
          <w:lang w:val="en-US"/>
        </w:rPr>
        <w:t xml:space="preserve"> 2019 (2) SACR 594 (WCC) para 29.</w:t>
      </w:r>
    </w:p>
  </w:footnote>
  <w:footnote w:id="6">
    <w:p w14:paraId="4121DD17" w14:textId="655B7810" w:rsidR="003638BC" w:rsidRPr="003638BC" w:rsidRDefault="003638BC" w:rsidP="00FE4EE8">
      <w:pPr>
        <w:pStyle w:val="FootnoteText"/>
        <w:spacing w:line="240" w:lineRule="auto"/>
        <w:jc w:val="both"/>
        <w:rPr>
          <w:lang w:val="en-US"/>
        </w:rPr>
      </w:pPr>
      <w:r>
        <w:rPr>
          <w:rStyle w:val="FootnoteReference"/>
        </w:rPr>
        <w:footnoteRef/>
      </w:r>
      <w:r>
        <w:t xml:space="preserve"> </w:t>
      </w:r>
      <w:r>
        <w:rPr>
          <w:i/>
          <w:iCs/>
          <w:lang w:val="en-US"/>
        </w:rPr>
        <w:t>S v Vilakazi</w:t>
      </w:r>
      <w:r>
        <w:rPr>
          <w:lang w:val="en-US"/>
        </w:rPr>
        <w:t xml:space="preserve"> 2009 (1) SACR 552 (SCA) </w:t>
      </w:r>
      <w:r w:rsidR="001D31FD">
        <w:rPr>
          <w:lang w:val="en-US"/>
        </w:rPr>
        <w:t>(‘</w:t>
      </w:r>
      <w:r w:rsidR="001D31FD">
        <w:rPr>
          <w:i/>
          <w:iCs/>
          <w:lang w:val="en-US"/>
        </w:rPr>
        <w:t>Vilakazi</w:t>
      </w:r>
      <w:r w:rsidR="001D31FD">
        <w:rPr>
          <w:lang w:val="en-US"/>
        </w:rPr>
        <w:t>’)</w:t>
      </w:r>
      <w:r w:rsidR="001D31FD">
        <w:rPr>
          <w:i/>
          <w:iCs/>
          <w:lang w:val="en-US"/>
        </w:rPr>
        <w:t xml:space="preserve"> </w:t>
      </w:r>
      <w:r>
        <w:rPr>
          <w:lang w:val="en-US"/>
        </w:rPr>
        <w:t>para 15.</w:t>
      </w:r>
    </w:p>
  </w:footnote>
  <w:footnote w:id="7">
    <w:p w14:paraId="3777FC5A" w14:textId="025A6207" w:rsidR="00F25096" w:rsidRPr="00F25096" w:rsidRDefault="00F25096" w:rsidP="00FE4EE8">
      <w:pPr>
        <w:pStyle w:val="FootnoteText"/>
        <w:spacing w:line="240" w:lineRule="auto"/>
        <w:jc w:val="both"/>
        <w:rPr>
          <w:lang w:val="en-US"/>
        </w:rPr>
      </w:pPr>
      <w:r>
        <w:rPr>
          <w:rStyle w:val="FootnoteReference"/>
        </w:rPr>
        <w:footnoteRef/>
      </w:r>
      <w:r>
        <w:t xml:space="preserve"> </w:t>
      </w:r>
      <w:r>
        <w:rPr>
          <w:i/>
          <w:iCs/>
          <w:lang w:val="en-US"/>
        </w:rPr>
        <w:t xml:space="preserve">Malgas </w:t>
      </w:r>
      <w:r>
        <w:rPr>
          <w:lang w:val="en-US"/>
        </w:rPr>
        <w:t xml:space="preserve">supra </w:t>
      </w:r>
      <w:r w:rsidR="00C530EE">
        <w:rPr>
          <w:lang w:val="en-US"/>
        </w:rPr>
        <w:t xml:space="preserve">fn 5 </w:t>
      </w:r>
      <w:r>
        <w:rPr>
          <w:lang w:val="en-US"/>
        </w:rPr>
        <w:t>para 23.</w:t>
      </w:r>
    </w:p>
  </w:footnote>
  <w:footnote w:id="8">
    <w:p w14:paraId="5C7DDE3B" w14:textId="009EA7DC" w:rsidR="001D31FD" w:rsidRPr="001D31FD" w:rsidRDefault="001D31FD" w:rsidP="00FE4EE8">
      <w:pPr>
        <w:pStyle w:val="FootnoteText"/>
        <w:spacing w:line="240" w:lineRule="auto"/>
        <w:jc w:val="both"/>
        <w:rPr>
          <w:lang w:val="en-US"/>
        </w:rPr>
      </w:pPr>
      <w:r>
        <w:rPr>
          <w:rStyle w:val="FootnoteReference"/>
        </w:rPr>
        <w:footnoteRef/>
      </w:r>
      <w:r>
        <w:t xml:space="preserve"> </w:t>
      </w:r>
      <w:r>
        <w:rPr>
          <w:i/>
          <w:iCs/>
        </w:rPr>
        <w:t>Vilakazi</w:t>
      </w:r>
      <w:r>
        <w:t xml:space="preserve"> supra</w:t>
      </w:r>
      <w:r w:rsidR="00C530EE">
        <w:t xml:space="preserve"> fn 6</w:t>
      </w:r>
      <w:r>
        <w:t xml:space="preserve"> para 16.</w:t>
      </w:r>
    </w:p>
  </w:footnote>
  <w:footnote w:id="9">
    <w:p w14:paraId="3F9EB8A2" w14:textId="7A86DC9D" w:rsidR="00475898" w:rsidRPr="00475898" w:rsidRDefault="00475898" w:rsidP="00FE4EE8">
      <w:pPr>
        <w:pStyle w:val="FootnoteText"/>
        <w:spacing w:line="240" w:lineRule="auto"/>
        <w:jc w:val="both"/>
        <w:rPr>
          <w:lang w:val="en-US"/>
        </w:rPr>
      </w:pPr>
      <w:r>
        <w:rPr>
          <w:rStyle w:val="FootnoteReference"/>
        </w:rPr>
        <w:footnoteRef/>
      </w:r>
      <w:r>
        <w:t xml:space="preserve"> </w:t>
      </w:r>
      <w:r>
        <w:rPr>
          <w:lang w:val="en-US"/>
        </w:rPr>
        <w:t>Ibid para 14.</w:t>
      </w:r>
    </w:p>
  </w:footnote>
  <w:footnote w:id="10">
    <w:p w14:paraId="014EF52F" w14:textId="05C54EEB" w:rsidR="00BB2C35" w:rsidRPr="009005B5" w:rsidRDefault="00BB2C35" w:rsidP="00FE4EE8">
      <w:pPr>
        <w:pStyle w:val="FootnoteText"/>
        <w:spacing w:line="240" w:lineRule="auto"/>
        <w:jc w:val="both"/>
        <w:rPr>
          <w:lang w:val="en-US"/>
        </w:rPr>
      </w:pPr>
      <w:r>
        <w:rPr>
          <w:rStyle w:val="FootnoteReference"/>
        </w:rPr>
        <w:footnoteRef/>
      </w:r>
      <w:r>
        <w:t xml:space="preserve"> </w:t>
      </w:r>
      <w:r>
        <w:rPr>
          <w:i/>
          <w:iCs/>
          <w:lang w:val="en-US"/>
        </w:rPr>
        <w:t>S v Mathe</w:t>
      </w:r>
      <w:r>
        <w:rPr>
          <w:lang w:val="en-US"/>
        </w:rPr>
        <w:t xml:space="preserve"> 2014 (2) SACR 298 (KZD) para 27.</w:t>
      </w:r>
      <w:r w:rsidR="009005B5">
        <w:rPr>
          <w:lang w:val="en-US"/>
        </w:rPr>
        <w:t xml:space="preserve"> Also see </w:t>
      </w:r>
      <w:r w:rsidR="009005B5">
        <w:rPr>
          <w:i/>
          <w:iCs/>
          <w:lang w:val="en-US"/>
        </w:rPr>
        <w:t>S v Matshiba</w:t>
      </w:r>
      <w:r w:rsidR="009005B5">
        <w:rPr>
          <w:lang w:val="en-US"/>
        </w:rPr>
        <w:t xml:space="preserve"> 2012 (1) SACR 577 (ECG) para 17 and </w:t>
      </w:r>
      <w:r w:rsidR="009005B5">
        <w:rPr>
          <w:i/>
          <w:iCs/>
          <w:lang w:val="en-US"/>
        </w:rPr>
        <w:t>S v Britz</w:t>
      </w:r>
      <w:r w:rsidR="009005B5">
        <w:rPr>
          <w:lang w:val="en-US"/>
        </w:rPr>
        <w:t xml:space="preserve"> 2016 JDR 0980 (SCA) para 10.</w:t>
      </w:r>
    </w:p>
  </w:footnote>
  <w:footnote w:id="11">
    <w:p w14:paraId="14D1A0F0" w14:textId="7DB12253" w:rsidR="0013134D" w:rsidRPr="0013134D" w:rsidRDefault="0013134D" w:rsidP="00FE4EE8">
      <w:pPr>
        <w:pStyle w:val="FootnoteText"/>
        <w:spacing w:line="240" w:lineRule="auto"/>
        <w:jc w:val="both"/>
        <w:rPr>
          <w:lang w:val="en-US"/>
        </w:rPr>
      </w:pPr>
      <w:r>
        <w:rPr>
          <w:rStyle w:val="FootnoteReference"/>
        </w:rPr>
        <w:footnoteRef/>
      </w:r>
      <w:r>
        <w:t xml:space="preserve"> </w:t>
      </w:r>
      <w:r>
        <w:rPr>
          <w:i/>
          <w:iCs/>
          <w:lang w:val="en-US"/>
        </w:rPr>
        <w:t>Director of Public Prosecutions, Grahamstown v Peli</w:t>
      </w:r>
      <w:r>
        <w:rPr>
          <w:lang w:val="en-US"/>
        </w:rPr>
        <w:t xml:space="preserve"> 2018 (2) SACR 1 (SCA) para 10.</w:t>
      </w:r>
    </w:p>
  </w:footnote>
  <w:footnote w:id="12">
    <w:p w14:paraId="7AF1E6BA" w14:textId="27AF6D36" w:rsidR="00076D05" w:rsidRPr="00076D05" w:rsidRDefault="00076D05" w:rsidP="00FE4EE8">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PZ</w:t>
      </w:r>
      <w:r>
        <w:rPr>
          <w:lang w:val="en-US"/>
        </w:rPr>
        <w:t xml:space="preserve"> (unreported, WCC case no A283/2019, 8 November 2019 para 3.</w:t>
      </w:r>
    </w:p>
  </w:footnote>
  <w:footnote w:id="13">
    <w:p w14:paraId="3015CF5C" w14:textId="166C2666" w:rsidR="00FE461D" w:rsidRPr="00FE461D" w:rsidRDefault="00FE461D" w:rsidP="00FE4EE8">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Gouws</w:t>
      </w:r>
      <w:r>
        <w:rPr>
          <w:lang w:val="en-US"/>
        </w:rPr>
        <w:t xml:space="preserve"> (unreported, GP case no A224/2016, 13 December 2016) para 37.</w:t>
      </w:r>
      <w:r w:rsidR="00076D05">
        <w:rPr>
          <w:lang w:val="en-US"/>
        </w:rPr>
        <w:t xml:space="preserve"> </w:t>
      </w:r>
    </w:p>
  </w:footnote>
  <w:footnote w:id="14">
    <w:p w14:paraId="79CE8ED0" w14:textId="77777777" w:rsidR="006B1EEF" w:rsidRPr="003C59EE" w:rsidRDefault="006B1EEF" w:rsidP="00FE4EE8">
      <w:pPr>
        <w:pStyle w:val="FootnoteText"/>
        <w:spacing w:line="240" w:lineRule="auto"/>
        <w:jc w:val="both"/>
        <w:rPr>
          <w:lang w:val="en-US"/>
        </w:rPr>
      </w:pPr>
      <w:r>
        <w:rPr>
          <w:rStyle w:val="FootnoteReference"/>
        </w:rPr>
        <w:footnoteRef/>
      </w:r>
      <w:r>
        <w:t xml:space="preserve"> </w:t>
      </w:r>
      <w:r>
        <w:rPr>
          <w:i/>
          <w:iCs/>
          <w:lang w:val="en-US"/>
        </w:rPr>
        <w:t>S v Erskine</w:t>
      </w:r>
      <w:r>
        <w:rPr>
          <w:lang w:val="en-US"/>
        </w:rPr>
        <w:t xml:space="preserve"> 2008 (1) SACR 468 (C).</w:t>
      </w:r>
    </w:p>
  </w:footnote>
  <w:footnote w:id="15">
    <w:p w14:paraId="0449AD17" w14:textId="77777777" w:rsidR="006B1EEF" w:rsidRPr="00B12541" w:rsidRDefault="006B1EEF" w:rsidP="00FE4EE8">
      <w:pPr>
        <w:pStyle w:val="FootnoteText"/>
        <w:spacing w:line="240" w:lineRule="auto"/>
        <w:jc w:val="both"/>
        <w:rPr>
          <w:lang w:val="en-US"/>
        </w:rPr>
      </w:pPr>
      <w:r>
        <w:rPr>
          <w:rStyle w:val="FootnoteReference"/>
        </w:rPr>
        <w:footnoteRef/>
      </w:r>
      <w:r>
        <w:t xml:space="preserve"> </w:t>
      </w:r>
      <w:r>
        <w:rPr>
          <w:lang w:val="en-US"/>
        </w:rPr>
        <w:t xml:space="preserve">Also see </w:t>
      </w:r>
      <w:r>
        <w:rPr>
          <w:i/>
          <w:iCs/>
          <w:lang w:val="en-US"/>
        </w:rPr>
        <w:t>S v Matoewa</w:t>
      </w:r>
      <w:r>
        <w:rPr>
          <w:lang w:val="en-US"/>
        </w:rPr>
        <w:t xml:space="preserve"> 2009 (2) SACR 303 (ECG).</w:t>
      </w:r>
    </w:p>
  </w:footnote>
  <w:footnote w:id="16">
    <w:p w14:paraId="5BC29F06" w14:textId="77777777" w:rsidR="007709AD" w:rsidRPr="009A2F84" w:rsidRDefault="007709AD" w:rsidP="007709AD">
      <w:pPr>
        <w:pStyle w:val="FootnoteText"/>
        <w:rPr>
          <w:lang w:val="en-US"/>
        </w:rPr>
      </w:pPr>
      <w:r>
        <w:rPr>
          <w:rStyle w:val="FootnoteReference"/>
        </w:rPr>
        <w:footnoteRef/>
      </w:r>
      <w:r>
        <w:t xml:space="preserve"> </w:t>
      </w:r>
      <w:r>
        <w:rPr>
          <w:i/>
          <w:iCs/>
        </w:rPr>
        <w:t>S v Arends and Others</w:t>
      </w:r>
      <w:r>
        <w:t xml:space="preserve"> [2010] ZAECGHC 11 para 19.</w:t>
      </w:r>
    </w:p>
  </w:footnote>
  <w:footnote w:id="17">
    <w:p w14:paraId="59477BD4" w14:textId="3BA189F0" w:rsidR="00B751E2" w:rsidRPr="00B751E2" w:rsidRDefault="00B751E2" w:rsidP="00FE4EE8">
      <w:pPr>
        <w:pStyle w:val="FootnoteText"/>
        <w:spacing w:line="240" w:lineRule="auto"/>
        <w:jc w:val="both"/>
        <w:rPr>
          <w:lang w:val="en-US"/>
        </w:rPr>
      </w:pPr>
      <w:r>
        <w:rPr>
          <w:rStyle w:val="FootnoteReference"/>
        </w:rPr>
        <w:footnoteRef/>
      </w:r>
      <w:r>
        <w:t xml:space="preserve"> </w:t>
      </w:r>
      <w:r>
        <w:rPr>
          <w:i/>
          <w:iCs/>
          <w:lang w:val="en-US"/>
        </w:rPr>
        <w:t xml:space="preserve">S v Qamata </w:t>
      </w:r>
      <w:r>
        <w:rPr>
          <w:lang w:val="en-US"/>
        </w:rPr>
        <w:t>1997 (1) SACR 479 (E) at 482</w:t>
      </w:r>
      <w:r>
        <w:rPr>
          <w:i/>
          <w:iCs/>
          <w:lang w:val="en-US"/>
        </w:rPr>
        <w:t>c-d</w:t>
      </w:r>
      <w:r>
        <w:rPr>
          <w:lang w:val="en-US"/>
        </w:rPr>
        <w:t>.</w:t>
      </w:r>
      <w:r w:rsidR="00DD13F1">
        <w:rPr>
          <w:lang w:val="en-US"/>
        </w:rPr>
        <w:t xml:space="preserve"> Cf </w:t>
      </w:r>
      <w:r w:rsidR="00DD13F1">
        <w:rPr>
          <w:i/>
          <w:iCs/>
          <w:lang w:val="en-US"/>
        </w:rPr>
        <w:t>S v Ndou</w:t>
      </w:r>
      <w:r w:rsidR="00DD13F1">
        <w:rPr>
          <w:lang w:val="en-US"/>
        </w:rPr>
        <w:t xml:space="preserve"> 2019 (2) SACR 243 (SCA) para 23.</w:t>
      </w:r>
    </w:p>
  </w:footnote>
  <w:footnote w:id="18">
    <w:p w14:paraId="7BF58B4A" w14:textId="73F0ED62" w:rsidR="001F0047" w:rsidRPr="00537971" w:rsidRDefault="001F0047" w:rsidP="00FE4EE8">
      <w:pPr>
        <w:pStyle w:val="FootnoteText"/>
        <w:spacing w:line="240" w:lineRule="auto"/>
        <w:jc w:val="both"/>
        <w:rPr>
          <w:lang w:val="en-US"/>
        </w:rPr>
      </w:pPr>
      <w:r>
        <w:rPr>
          <w:rStyle w:val="FootnoteReference"/>
        </w:rPr>
        <w:footnoteRef/>
      </w:r>
      <w:r>
        <w:t xml:space="preserve"> </w:t>
      </w:r>
      <w:r>
        <w:rPr>
          <w:i/>
          <w:iCs/>
          <w:lang w:val="en-US"/>
        </w:rPr>
        <w:t>S v Mhlakaza and Another</w:t>
      </w:r>
      <w:r>
        <w:rPr>
          <w:lang w:val="en-US"/>
        </w:rPr>
        <w:t xml:space="preserve"> 1997 (1) SACR 515 (SCA) at 518</w:t>
      </w:r>
      <w:r>
        <w:rPr>
          <w:i/>
          <w:iCs/>
          <w:lang w:val="en-US"/>
        </w:rPr>
        <w:t>e-f</w:t>
      </w:r>
      <w:r>
        <w:rPr>
          <w:lang w:val="en-US"/>
        </w:rPr>
        <w:t>.</w:t>
      </w:r>
      <w:r w:rsidR="006E5C66">
        <w:rPr>
          <w:lang w:val="en-US"/>
        </w:rPr>
        <w:t xml:space="preserve"> Also see </w:t>
      </w:r>
      <w:r w:rsidR="006E5C66">
        <w:rPr>
          <w:i/>
          <w:iCs/>
          <w:lang w:val="en-US"/>
        </w:rPr>
        <w:t>S v Jimenez</w:t>
      </w:r>
      <w:r w:rsidR="006E5C66">
        <w:rPr>
          <w:lang w:val="en-US"/>
        </w:rPr>
        <w:t xml:space="preserve"> 2003 (1) SACR 507 (SCA)</w:t>
      </w:r>
      <w:r w:rsidR="0063231B">
        <w:rPr>
          <w:lang w:val="en-US"/>
        </w:rPr>
        <w:t xml:space="preserve"> and </w:t>
      </w:r>
      <w:r w:rsidR="00687D53">
        <w:rPr>
          <w:i/>
          <w:iCs/>
          <w:lang w:val="en-US"/>
        </w:rPr>
        <w:t>S v Van de Venter</w:t>
      </w:r>
      <w:r w:rsidR="00687D53">
        <w:rPr>
          <w:lang w:val="en-US"/>
        </w:rPr>
        <w:t xml:space="preserve"> 2011 (1) SACR 238 (SCA) para 15</w:t>
      </w:r>
      <w:r w:rsidR="0063231B">
        <w:rPr>
          <w:lang w:val="en-US"/>
        </w:rPr>
        <w:t xml:space="preserve">. In </w:t>
      </w:r>
      <w:r w:rsidR="00537971">
        <w:rPr>
          <w:i/>
          <w:iCs/>
          <w:lang w:val="en-US"/>
        </w:rPr>
        <w:t>S v O</w:t>
      </w:r>
      <w:r w:rsidR="00537971">
        <w:rPr>
          <w:lang w:val="en-US"/>
        </w:rPr>
        <w:t xml:space="preserve"> 2003 (2) SACR 147 (C)</w:t>
      </w:r>
      <w:r w:rsidR="0063231B">
        <w:rPr>
          <w:lang w:val="en-US"/>
        </w:rPr>
        <w:t xml:space="preserve"> it was held that the court should be constantly vigilant against taking the easy way out by simply joining the ranks of the mob and imposing sentence for which a crowd in a street may be screaming, without it properly consulting its own common judgment and experience.</w:t>
      </w:r>
      <w:r w:rsidR="007837F0">
        <w:rPr>
          <w:lang w:val="en-US"/>
        </w:rPr>
        <w:t xml:space="preserve"> Of course this does not mean that the court can simply ignore the wishes and expectations of the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5FC31BB0"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24E7">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727A43"/>
    <w:multiLevelType w:val="hybridMultilevel"/>
    <w:tmpl w:val="95FEDB2A"/>
    <w:lvl w:ilvl="0" w:tplc="E5384C9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6507F1F"/>
    <w:multiLevelType w:val="hybridMultilevel"/>
    <w:tmpl w:val="40F8D6EE"/>
    <w:lvl w:ilvl="0" w:tplc="3EEEC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9015EE"/>
    <w:multiLevelType w:val="hybridMultilevel"/>
    <w:tmpl w:val="070C9E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1"/>
  </w:num>
  <w:num w:numId="6">
    <w:abstractNumId w:val="6"/>
  </w:num>
  <w:num w:numId="7">
    <w:abstractNumId w:val="12"/>
  </w:num>
  <w:num w:numId="8">
    <w:abstractNumId w:val="1"/>
  </w:num>
  <w:num w:numId="9">
    <w:abstractNumId w:val="5"/>
  </w:num>
  <w:num w:numId="10">
    <w:abstractNumId w:val="7"/>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0C99"/>
    <w:rsid w:val="0000217A"/>
    <w:rsid w:val="00003CA8"/>
    <w:rsid w:val="00004E1E"/>
    <w:rsid w:val="00005691"/>
    <w:rsid w:val="00005ABB"/>
    <w:rsid w:val="00005BC2"/>
    <w:rsid w:val="0000642E"/>
    <w:rsid w:val="00006EF3"/>
    <w:rsid w:val="00007087"/>
    <w:rsid w:val="00007904"/>
    <w:rsid w:val="000109B4"/>
    <w:rsid w:val="00012A2F"/>
    <w:rsid w:val="00014437"/>
    <w:rsid w:val="00014770"/>
    <w:rsid w:val="00015759"/>
    <w:rsid w:val="00016FDA"/>
    <w:rsid w:val="00017D8D"/>
    <w:rsid w:val="000220C3"/>
    <w:rsid w:val="00022804"/>
    <w:rsid w:val="000264DE"/>
    <w:rsid w:val="00027DA3"/>
    <w:rsid w:val="00030A25"/>
    <w:rsid w:val="000323B0"/>
    <w:rsid w:val="000325DB"/>
    <w:rsid w:val="000341AF"/>
    <w:rsid w:val="00034B32"/>
    <w:rsid w:val="0003553E"/>
    <w:rsid w:val="0004040E"/>
    <w:rsid w:val="00040F79"/>
    <w:rsid w:val="000422CD"/>
    <w:rsid w:val="0004347D"/>
    <w:rsid w:val="0004373B"/>
    <w:rsid w:val="00044B50"/>
    <w:rsid w:val="000451D0"/>
    <w:rsid w:val="000460AC"/>
    <w:rsid w:val="00047035"/>
    <w:rsid w:val="000478E8"/>
    <w:rsid w:val="00047962"/>
    <w:rsid w:val="0005061D"/>
    <w:rsid w:val="00051F6C"/>
    <w:rsid w:val="000536DD"/>
    <w:rsid w:val="00053D81"/>
    <w:rsid w:val="00054DEC"/>
    <w:rsid w:val="00056042"/>
    <w:rsid w:val="00056FBA"/>
    <w:rsid w:val="000574BF"/>
    <w:rsid w:val="00063188"/>
    <w:rsid w:val="00063C6E"/>
    <w:rsid w:val="00063D5A"/>
    <w:rsid w:val="00066B9E"/>
    <w:rsid w:val="00066BB6"/>
    <w:rsid w:val="00066D66"/>
    <w:rsid w:val="0007050F"/>
    <w:rsid w:val="000706E8"/>
    <w:rsid w:val="0007234C"/>
    <w:rsid w:val="00073B24"/>
    <w:rsid w:val="00073EFC"/>
    <w:rsid w:val="00074CED"/>
    <w:rsid w:val="00076035"/>
    <w:rsid w:val="00076D05"/>
    <w:rsid w:val="000778A4"/>
    <w:rsid w:val="00080D4E"/>
    <w:rsid w:val="000815F5"/>
    <w:rsid w:val="00082639"/>
    <w:rsid w:val="00083322"/>
    <w:rsid w:val="00083386"/>
    <w:rsid w:val="000833DB"/>
    <w:rsid w:val="00084C6F"/>
    <w:rsid w:val="00085961"/>
    <w:rsid w:val="00086278"/>
    <w:rsid w:val="00086A06"/>
    <w:rsid w:val="0009015D"/>
    <w:rsid w:val="000910CD"/>
    <w:rsid w:val="00091F8C"/>
    <w:rsid w:val="0009497C"/>
    <w:rsid w:val="00094FB3"/>
    <w:rsid w:val="00096BC1"/>
    <w:rsid w:val="000976CA"/>
    <w:rsid w:val="000A59DC"/>
    <w:rsid w:val="000B0946"/>
    <w:rsid w:val="000B0DC8"/>
    <w:rsid w:val="000B26AE"/>
    <w:rsid w:val="000B26CF"/>
    <w:rsid w:val="000B3467"/>
    <w:rsid w:val="000B5790"/>
    <w:rsid w:val="000B5FBC"/>
    <w:rsid w:val="000B6309"/>
    <w:rsid w:val="000B643B"/>
    <w:rsid w:val="000B7359"/>
    <w:rsid w:val="000B78EC"/>
    <w:rsid w:val="000C020D"/>
    <w:rsid w:val="000C22C0"/>
    <w:rsid w:val="000C2D21"/>
    <w:rsid w:val="000C3531"/>
    <w:rsid w:val="000C3620"/>
    <w:rsid w:val="000C39A5"/>
    <w:rsid w:val="000C3E68"/>
    <w:rsid w:val="000C4064"/>
    <w:rsid w:val="000C450C"/>
    <w:rsid w:val="000C7746"/>
    <w:rsid w:val="000C7A27"/>
    <w:rsid w:val="000D085B"/>
    <w:rsid w:val="000D0D78"/>
    <w:rsid w:val="000D22FB"/>
    <w:rsid w:val="000D3151"/>
    <w:rsid w:val="000D487F"/>
    <w:rsid w:val="000D4BFA"/>
    <w:rsid w:val="000D667A"/>
    <w:rsid w:val="000E1C45"/>
    <w:rsid w:val="000E2444"/>
    <w:rsid w:val="000E3E15"/>
    <w:rsid w:val="000E4F0D"/>
    <w:rsid w:val="000E5100"/>
    <w:rsid w:val="000E6E92"/>
    <w:rsid w:val="000E754F"/>
    <w:rsid w:val="000E7ECD"/>
    <w:rsid w:val="000F05E0"/>
    <w:rsid w:val="000F1A95"/>
    <w:rsid w:val="000F6BFE"/>
    <w:rsid w:val="000F7DF4"/>
    <w:rsid w:val="0010022D"/>
    <w:rsid w:val="0010068E"/>
    <w:rsid w:val="0010218C"/>
    <w:rsid w:val="00102A2A"/>
    <w:rsid w:val="00102D5B"/>
    <w:rsid w:val="001044DB"/>
    <w:rsid w:val="001049F4"/>
    <w:rsid w:val="001054A7"/>
    <w:rsid w:val="0010563E"/>
    <w:rsid w:val="0010622C"/>
    <w:rsid w:val="001078B5"/>
    <w:rsid w:val="00107A5F"/>
    <w:rsid w:val="0011026A"/>
    <w:rsid w:val="00110EF0"/>
    <w:rsid w:val="001124A5"/>
    <w:rsid w:val="00115A75"/>
    <w:rsid w:val="00116EB9"/>
    <w:rsid w:val="00120E93"/>
    <w:rsid w:val="00121B47"/>
    <w:rsid w:val="001226DE"/>
    <w:rsid w:val="00123296"/>
    <w:rsid w:val="00125449"/>
    <w:rsid w:val="0012621C"/>
    <w:rsid w:val="00130228"/>
    <w:rsid w:val="0013134D"/>
    <w:rsid w:val="00131984"/>
    <w:rsid w:val="00131A28"/>
    <w:rsid w:val="001337CC"/>
    <w:rsid w:val="00133DA2"/>
    <w:rsid w:val="00134C11"/>
    <w:rsid w:val="00135C81"/>
    <w:rsid w:val="0013758A"/>
    <w:rsid w:val="00137E08"/>
    <w:rsid w:val="0014281B"/>
    <w:rsid w:val="00142F79"/>
    <w:rsid w:val="001435EB"/>
    <w:rsid w:val="00144974"/>
    <w:rsid w:val="00146BA3"/>
    <w:rsid w:val="001517E0"/>
    <w:rsid w:val="00152640"/>
    <w:rsid w:val="00156F74"/>
    <w:rsid w:val="00157785"/>
    <w:rsid w:val="00157898"/>
    <w:rsid w:val="00157C19"/>
    <w:rsid w:val="00160EBC"/>
    <w:rsid w:val="00160F58"/>
    <w:rsid w:val="00163A58"/>
    <w:rsid w:val="00170BAF"/>
    <w:rsid w:val="001719E4"/>
    <w:rsid w:val="00172B5C"/>
    <w:rsid w:val="00173547"/>
    <w:rsid w:val="0017409D"/>
    <w:rsid w:val="00174B6D"/>
    <w:rsid w:val="0017614D"/>
    <w:rsid w:val="001776B3"/>
    <w:rsid w:val="0018006A"/>
    <w:rsid w:val="00180F4E"/>
    <w:rsid w:val="00181923"/>
    <w:rsid w:val="00181E7E"/>
    <w:rsid w:val="00182175"/>
    <w:rsid w:val="00184625"/>
    <w:rsid w:val="00186769"/>
    <w:rsid w:val="001870AF"/>
    <w:rsid w:val="00191768"/>
    <w:rsid w:val="00192869"/>
    <w:rsid w:val="001943D2"/>
    <w:rsid w:val="001954F0"/>
    <w:rsid w:val="00195571"/>
    <w:rsid w:val="001955AB"/>
    <w:rsid w:val="00196742"/>
    <w:rsid w:val="001A4F33"/>
    <w:rsid w:val="001A55B6"/>
    <w:rsid w:val="001B0D01"/>
    <w:rsid w:val="001B2578"/>
    <w:rsid w:val="001B2FE4"/>
    <w:rsid w:val="001B505F"/>
    <w:rsid w:val="001B69E3"/>
    <w:rsid w:val="001C04BC"/>
    <w:rsid w:val="001C096A"/>
    <w:rsid w:val="001C2DD7"/>
    <w:rsid w:val="001C48A5"/>
    <w:rsid w:val="001C7061"/>
    <w:rsid w:val="001D0962"/>
    <w:rsid w:val="001D214B"/>
    <w:rsid w:val="001D31FD"/>
    <w:rsid w:val="001D5A9D"/>
    <w:rsid w:val="001D5F83"/>
    <w:rsid w:val="001D61C8"/>
    <w:rsid w:val="001E0F36"/>
    <w:rsid w:val="001E1810"/>
    <w:rsid w:val="001E1834"/>
    <w:rsid w:val="001E1B07"/>
    <w:rsid w:val="001E24E0"/>
    <w:rsid w:val="001E4824"/>
    <w:rsid w:val="001E640A"/>
    <w:rsid w:val="001E6A6E"/>
    <w:rsid w:val="001E701F"/>
    <w:rsid w:val="001E7844"/>
    <w:rsid w:val="001E78D5"/>
    <w:rsid w:val="001E7C8F"/>
    <w:rsid w:val="001F0047"/>
    <w:rsid w:val="001F2219"/>
    <w:rsid w:val="001F2276"/>
    <w:rsid w:val="001F335C"/>
    <w:rsid w:val="001F3A41"/>
    <w:rsid w:val="001F59AB"/>
    <w:rsid w:val="00201DC6"/>
    <w:rsid w:val="00201F12"/>
    <w:rsid w:val="00206D6C"/>
    <w:rsid w:val="00207573"/>
    <w:rsid w:val="002115FE"/>
    <w:rsid w:val="0021430F"/>
    <w:rsid w:val="00215EBC"/>
    <w:rsid w:val="0021730A"/>
    <w:rsid w:val="00217399"/>
    <w:rsid w:val="002203EC"/>
    <w:rsid w:val="00222854"/>
    <w:rsid w:val="00224363"/>
    <w:rsid w:val="0022594E"/>
    <w:rsid w:val="002262D5"/>
    <w:rsid w:val="00226444"/>
    <w:rsid w:val="00226ADA"/>
    <w:rsid w:val="00227379"/>
    <w:rsid w:val="00231325"/>
    <w:rsid w:val="00231C6D"/>
    <w:rsid w:val="0023410F"/>
    <w:rsid w:val="00234238"/>
    <w:rsid w:val="00234FA7"/>
    <w:rsid w:val="0023677B"/>
    <w:rsid w:val="00236B9D"/>
    <w:rsid w:val="0023768E"/>
    <w:rsid w:val="0023772E"/>
    <w:rsid w:val="002402F6"/>
    <w:rsid w:val="00241EE0"/>
    <w:rsid w:val="00242184"/>
    <w:rsid w:val="00245504"/>
    <w:rsid w:val="00245BEB"/>
    <w:rsid w:val="00247551"/>
    <w:rsid w:val="00250530"/>
    <w:rsid w:val="0025056A"/>
    <w:rsid w:val="00252FC1"/>
    <w:rsid w:val="00253273"/>
    <w:rsid w:val="00253923"/>
    <w:rsid w:val="00256208"/>
    <w:rsid w:val="00256FCC"/>
    <w:rsid w:val="00257A15"/>
    <w:rsid w:val="00260404"/>
    <w:rsid w:val="002606D8"/>
    <w:rsid w:val="00260725"/>
    <w:rsid w:val="00260A94"/>
    <w:rsid w:val="00260B67"/>
    <w:rsid w:val="002612A5"/>
    <w:rsid w:val="00261583"/>
    <w:rsid w:val="0026158F"/>
    <w:rsid w:val="00262D2A"/>
    <w:rsid w:val="00263057"/>
    <w:rsid w:val="002635B7"/>
    <w:rsid w:val="00263B8D"/>
    <w:rsid w:val="0026495C"/>
    <w:rsid w:val="00265010"/>
    <w:rsid w:val="00265180"/>
    <w:rsid w:val="00265AEB"/>
    <w:rsid w:val="0026634E"/>
    <w:rsid w:val="0026645C"/>
    <w:rsid w:val="002705E9"/>
    <w:rsid w:val="00271FFA"/>
    <w:rsid w:val="00274C64"/>
    <w:rsid w:val="00275410"/>
    <w:rsid w:val="00276100"/>
    <w:rsid w:val="00276B34"/>
    <w:rsid w:val="002770FB"/>
    <w:rsid w:val="00277EB6"/>
    <w:rsid w:val="002852C4"/>
    <w:rsid w:val="00285664"/>
    <w:rsid w:val="00287A18"/>
    <w:rsid w:val="00287A26"/>
    <w:rsid w:val="00287D2F"/>
    <w:rsid w:val="00290DC6"/>
    <w:rsid w:val="00290E92"/>
    <w:rsid w:val="00293619"/>
    <w:rsid w:val="0029395B"/>
    <w:rsid w:val="00294129"/>
    <w:rsid w:val="00294313"/>
    <w:rsid w:val="00294E65"/>
    <w:rsid w:val="002959FD"/>
    <w:rsid w:val="002960D0"/>
    <w:rsid w:val="002A01B5"/>
    <w:rsid w:val="002A080F"/>
    <w:rsid w:val="002A0EB5"/>
    <w:rsid w:val="002A157A"/>
    <w:rsid w:val="002A1950"/>
    <w:rsid w:val="002A1D97"/>
    <w:rsid w:val="002A1DD2"/>
    <w:rsid w:val="002A1E2F"/>
    <w:rsid w:val="002A21AF"/>
    <w:rsid w:val="002A25CB"/>
    <w:rsid w:val="002A2AA4"/>
    <w:rsid w:val="002A3836"/>
    <w:rsid w:val="002A3C5C"/>
    <w:rsid w:val="002A61D9"/>
    <w:rsid w:val="002A6332"/>
    <w:rsid w:val="002A6593"/>
    <w:rsid w:val="002A6B82"/>
    <w:rsid w:val="002A73A7"/>
    <w:rsid w:val="002B287C"/>
    <w:rsid w:val="002B31B7"/>
    <w:rsid w:val="002B3FE3"/>
    <w:rsid w:val="002B4303"/>
    <w:rsid w:val="002B54B7"/>
    <w:rsid w:val="002B6730"/>
    <w:rsid w:val="002B7874"/>
    <w:rsid w:val="002C0D2D"/>
    <w:rsid w:val="002C1ECF"/>
    <w:rsid w:val="002C35A5"/>
    <w:rsid w:val="002C3A0D"/>
    <w:rsid w:val="002C45D8"/>
    <w:rsid w:val="002C7128"/>
    <w:rsid w:val="002C7CD1"/>
    <w:rsid w:val="002D1093"/>
    <w:rsid w:val="002D26D4"/>
    <w:rsid w:val="002D373B"/>
    <w:rsid w:val="002D4CBC"/>
    <w:rsid w:val="002D6D70"/>
    <w:rsid w:val="002E0CCA"/>
    <w:rsid w:val="002E141A"/>
    <w:rsid w:val="002E1B95"/>
    <w:rsid w:val="002E2821"/>
    <w:rsid w:val="002E29D5"/>
    <w:rsid w:val="002E3EC7"/>
    <w:rsid w:val="002E4808"/>
    <w:rsid w:val="002E483E"/>
    <w:rsid w:val="002E7045"/>
    <w:rsid w:val="002E7199"/>
    <w:rsid w:val="002F012F"/>
    <w:rsid w:val="002F0513"/>
    <w:rsid w:val="002F0990"/>
    <w:rsid w:val="002F0C58"/>
    <w:rsid w:val="002F13D1"/>
    <w:rsid w:val="002F37F8"/>
    <w:rsid w:val="002F4EDB"/>
    <w:rsid w:val="002F5913"/>
    <w:rsid w:val="002F60D3"/>
    <w:rsid w:val="002F7574"/>
    <w:rsid w:val="00300A59"/>
    <w:rsid w:val="0030214A"/>
    <w:rsid w:val="00302E78"/>
    <w:rsid w:val="00306288"/>
    <w:rsid w:val="003140F9"/>
    <w:rsid w:val="003148EA"/>
    <w:rsid w:val="003150CA"/>
    <w:rsid w:val="00315CB8"/>
    <w:rsid w:val="00315D8D"/>
    <w:rsid w:val="003168ED"/>
    <w:rsid w:val="00317279"/>
    <w:rsid w:val="003172EB"/>
    <w:rsid w:val="00317AB4"/>
    <w:rsid w:val="00320D2B"/>
    <w:rsid w:val="00321E11"/>
    <w:rsid w:val="003228A7"/>
    <w:rsid w:val="00324CE8"/>
    <w:rsid w:val="00325BD4"/>
    <w:rsid w:val="00326A33"/>
    <w:rsid w:val="0032785C"/>
    <w:rsid w:val="00327E36"/>
    <w:rsid w:val="00330795"/>
    <w:rsid w:val="00330E85"/>
    <w:rsid w:val="0033219D"/>
    <w:rsid w:val="00332E4A"/>
    <w:rsid w:val="00334624"/>
    <w:rsid w:val="00335693"/>
    <w:rsid w:val="00335897"/>
    <w:rsid w:val="0033634C"/>
    <w:rsid w:val="0033669D"/>
    <w:rsid w:val="003367DD"/>
    <w:rsid w:val="00341ACD"/>
    <w:rsid w:val="00343E5D"/>
    <w:rsid w:val="0034439B"/>
    <w:rsid w:val="003455A7"/>
    <w:rsid w:val="003469BB"/>
    <w:rsid w:val="00346C79"/>
    <w:rsid w:val="00350743"/>
    <w:rsid w:val="00350A47"/>
    <w:rsid w:val="003513CA"/>
    <w:rsid w:val="00351FAC"/>
    <w:rsid w:val="003529AF"/>
    <w:rsid w:val="00352B0A"/>
    <w:rsid w:val="00353652"/>
    <w:rsid w:val="003538A2"/>
    <w:rsid w:val="00353EE6"/>
    <w:rsid w:val="003564CA"/>
    <w:rsid w:val="0035756C"/>
    <w:rsid w:val="00357751"/>
    <w:rsid w:val="003601F1"/>
    <w:rsid w:val="00360BFC"/>
    <w:rsid w:val="00362A40"/>
    <w:rsid w:val="003638BC"/>
    <w:rsid w:val="00363BF3"/>
    <w:rsid w:val="003643EC"/>
    <w:rsid w:val="003649E8"/>
    <w:rsid w:val="00365617"/>
    <w:rsid w:val="00366631"/>
    <w:rsid w:val="003679D5"/>
    <w:rsid w:val="00367B79"/>
    <w:rsid w:val="003700BB"/>
    <w:rsid w:val="0037015D"/>
    <w:rsid w:val="003709E4"/>
    <w:rsid w:val="0037217E"/>
    <w:rsid w:val="00373BB6"/>
    <w:rsid w:val="00373F1C"/>
    <w:rsid w:val="00374158"/>
    <w:rsid w:val="00374F02"/>
    <w:rsid w:val="00375614"/>
    <w:rsid w:val="0037584F"/>
    <w:rsid w:val="0037647C"/>
    <w:rsid w:val="00376D8C"/>
    <w:rsid w:val="00380E60"/>
    <w:rsid w:val="00381483"/>
    <w:rsid w:val="00381C36"/>
    <w:rsid w:val="00381D62"/>
    <w:rsid w:val="00383846"/>
    <w:rsid w:val="003869D5"/>
    <w:rsid w:val="00390403"/>
    <w:rsid w:val="003905B9"/>
    <w:rsid w:val="00391537"/>
    <w:rsid w:val="0039206E"/>
    <w:rsid w:val="003926BF"/>
    <w:rsid w:val="00392A4B"/>
    <w:rsid w:val="00392AA2"/>
    <w:rsid w:val="00393BA3"/>
    <w:rsid w:val="00394EED"/>
    <w:rsid w:val="0039527F"/>
    <w:rsid w:val="00395A71"/>
    <w:rsid w:val="0039682A"/>
    <w:rsid w:val="003A37F4"/>
    <w:rsid w:val="003A43DC"/>
    <w:rsid w:val="003A4F1D"/>
    <w:rsid w:val="003A4F95"/>
    <w:rsid w:val="003A6F71"/>
    <w:rsid w:val="003A745C"/>
    <w:rsid w:val="003A7AA6"/>
    <w:rsid w:val="003B01D4"/>
    <w:rsid w:val="003B10EC"/>
    <w:rsid w:val="003B1570"/>
    <w:rsid w:val="003B3C31"/>
    <w:rsid w:val="003B43B8"/>
    <w:rsid w:val="003B5FEE"/>
    <w:rsid w:val="003B74EA"/>
    <w:rsid w:val="003B76D9"/>
    <w:rsid w:val="003C0CEB"/>
    <w:rsid w:val="003C351A"/>
    <w:rsid w:val="003C3BC6"/>
    <w:rsid w:val="003C431C"/>
    <w:rsid w:val="003C5934"/>
    <w:rsid w:val="003C59EE"/>
    <w:rsid w:val="003C6CB4"/>
    <w:rsid w:val="003C7080"/>
    <w:rsid w:val="003D11D0"/>
    <w:rsid w:val="003D239A"/>
    <w:rsid w:val="003D2C74"/>
    <w:rsid w:val="003D4294"/>
    <w:rsid w:val="003D5245"/>
    <w:rsid w:val="003D5507"/>
    <w:rsid w:val="003D5A10"/>
    <w:rsid w:val="003D5E6D"/>
    <w:rsid w:val="003D7CB9"/>
    <w:rsid w:val="003E0F7C"/>
    <w:rsid w:val="003E2552"/>
    <w:rsid w:val="003E2B73"/>
    <w:rsid w:val="003E2F03"/>
    <w:rsid w:val="003E3BBF"/>
    <w:rsid w:val="003E424A"/>
    <w:rsid w:val="003E60EC"/>
    <w:rsid w:val="003E75F3"/>
    <w:rsid w:val="003F0D9E"/>
    <w:rsid w:val="003F1788"/>
    <w:rsid w:val="003F1974"/>
    <w:rsid w:val="003F1E75"/>
    <w:rsid w:val="003F1EE9"/>
    <w:rsid w:val="003F2109"/>
    <w:rsid w:val="003F50FF"/>
    <w:rsid w:val="003F5900"/>
    <w:rsid w:val="003F6355"/>
    <w:rsid w:val="00400266"/>
    <w:rsid w:val="00401A9A"/>
    <w:rsid w:val="00402EEA"/>
    <w:rsid w:val="00405CEF"/>
    <w:rsid w:val="00406337"/>
    <w:rsid w:val="00406A00"/>
    <w:rsid w:val="004074B3"/>
    <w:rsid w:val="004075EA"/>
    <w:rsid w:val="004103A8"/>
    <w:rsid w:val="00410C82"/>
    <w:rsid w:val="0041108E"/>
    <w:rsid w:val="00411FE8"/>
    <w:rsid w:val="00412DF2"/>
    <w:rsid w:val="004136F2"/>
    <w:rsid w:val="004138F5"/>
    <w:rsid w:val="00413D22"/>
    <w:rsid w:val="00414C90"/>
    <w:rsid w:val="0041510B"/>
    <w:rsid w:val="004151DF"/>
    <w:rsid w:val="00415640"/>
    <w:rsid w:val="004160A7"/>
    <w:rsid w:val="004165B0"/>
    <w:rsid w:val="004165D6"/>
    <w:rsid w:val="0042163E"/>
    <w:rsid w:val="00423163"/>
    <w:rsid w:val="00427318"/>
    <w:rsid w:val="004276CD"/>
    <w:rsid w:val="0042778E"/>
    <w:rsid w:val="00427843"/>
    <w:rsid w:val="004302B6"/>
    <w:rsid w:val="0043127D"/>
    <w:rsid w:val="0043230A"/>
    <w:rsid w:val="00433ACA"/>
    <w:rsid w:val="0043511C"/>
    <w:rsid w:val="00435538"/>
    <w:rsid w:val="00437E88"/>
    <w:rsid w:val="00440672"/>
    <w:rsid w:val="00441332"/>
    <w:rsid w:val="00441E70"/>
    <w:rsid w:val="004420CF"/>
    <w:rsid w:val="00443779"/>
    <w:rsid w:val="00443CCC"/>
    <w:rsid w:val="004441E4"/>
    <w:rsid w:val="004448A6"/>
    <w:rsid w:val="004448E8"/>
    <w:rsid w:val="004474FB"/>
    <w:rsid w:val="00451115"/>
    <w:rsid w:val="0045164F"/>
    <w:rsid w:val="004528CC"/>
    <w:rsid w:val="004529C3"/>
    <w:rsid w:val="0045608B"/>
    <w:rsid w:val="00462368"/>
    <w:rsid w:val="004652FD"/>
    <w:rsid w:val="004657F4"/>
    <w:rsid w:val="00466979"/>
    <w:rsid w:val="00466D17"/>
    <w:rsid w:val="00467E20"/>
    <w:rsid w:val="00472A4C"/>
    <w:rsid w:val="00472B05"/>
    <w:rsid w:val="00472E85"/>
    <w:rsid w:val="00473068"/>
    <w:rsid w:val="004735D5"/>
    <w:rsid w:val="0047556B"/>
    <w:rsid w:val="00475898"/>
    <w:rsid w:val="00475C2D"/>
    <w:rsid w:val="0047684B"/>
    <w:rsid w:val="00477226"/>
    <w:rsid w:val="004802BA"/>
    <w:rsid w:val="004813E8"/>
    <w:rsid w:val="004827F3"/>
    <w:rsid w:val="00486114"/>
    <w:rsid w:val="004863E4"/>
    <w:rsid w:val="00487264"/>
    <w:rsid w:val="00490530"/>
    <w:rsid w:val="00490D2A"/>
    <w:rsid w:val="0049105D"/>
    <w:rsid w:val="004910A7"/>
    <w:rsid w:val="004918C4"/>
    <w:rsid w:val="004932A2"/>
    <w:rsid w:val="004941FB"/>
    <w:rsid w:val="00496E8C"/>
    <w:rsid w:val="00496EAA"/>
    <w:rsid w:val="004A00B9"/>
    <w:rsid w:val="004A08D7"/>
    <w:rsid w:val="004A5151"/>
    <w:rsid w:val="004A5DB1"/>
    <w:rsid w:val="004A687F"/>
    <w:rsid w:val="004A7359"/>
    <w:rsid w:val="004B3161"/>
    <w:rsid w:val="004B5BAF"/>
    <w:rsid w:val="004B5CB4"/>
    <w:rsid w:val="004B5D40"/>
    <w:rsid w:val="004B632A"/>
    <w:rsid w:val="004B7E82"/>
    <w:rsid w:val="004C06AD"/>
    <w:rsid w:val="004C0946"/>
    <w:rsid w:val="004C0B1F"/>
    <w:rsid w:val="004C0C08"/>
    <w:rsid w:val="004C13CF"/>
    <w:rsid w:val="004C7EB2"/>
    <w:rsid w:val="004D0163"/>
    <w:rsid w:val="004D0AC5"/>
    <w:rsid w:val="004D16FD"/>
    <w:rsid w:val="004D19EB"/>
    <w:rsid w:val="004D35C6"/>
    <w:rsid w:val="004D76FA"/>
    <w:rsid w:val="004D7EFD"/>
    <w:rsid w:val="004E06B4"/>
    <w:rsid w:val="004E189A"/>
    <w:rsid w:val="004E2076"/>
    <w:rsid w:val="004E318F"/>
    <w:rsid w:val="004E5A0A"/>
    <w:rsid w:val="004E6764"/>
    <w:rsid w:val="004F021C"/>
    <w:rsid w:val="004F1757"/>
    <w:rsid w:val="004F1D20"/>
    <w:rsid w:val="004F326C"/>
    <w:rsid w:val="004F38A6"/>
    <w:rsid w:val="004F43B8"/>
    <w:rsid w:val="004F444A"/>
    <w:rsid w:val="004F5575"/>
    <w:rsid w:val="004F6EFC"/>
    <w:rsid w:val="004F79D9"/>
    <w:rsid w:val="0050043E"/>
    <w:rsid w:val="005014BC"/>
    <w:rsid w:val="00501617"/>
    <w:rsid w:val="00502229"/>
    <w:rsid w:val="005030DE"/>
    <w:rsid w:val="0050634D"/>
    <w:rsid w:val="005078B2"/>
    <w:rsid w:val="005079C1"/>
    <w:rsid w:val="00507BBF"/>
    <w:rsid w:val="00507CE6"/>
    <w:rsid w:val="00511260"/>
    <w:rsid w:val="00511565"/>
    <w:rsid w:val="0051172C"/>
    <w:rsid w:val="00511884"/>
    <w:rsid w:val="005133DB"/>
    <w:rsid w:val="0051380C"/>
    <w:rsid w:val="00514878"/>
    <w:rsid w:val="0051706E"/>
    <w:rsid w:val="00520E7F"/>
    <w:rsid w:val="005220B3"/>
    <w:rsid w:val="00523DBC"/>
    <w:rsid w:val="005244E9"/>
    <w:rsid w:val="00530509"/>
    <w:rsid w:val="00532080"/>
    <w:rsid w:val="00537971"/>
    <w:rsid w:val="00540989"/>
    <w:rsid w:val="00541BFB"/>
    <w:rsid w:val="00545009"/>
    <w:rsid w:val="00545140"/>
    <w:rsid w:val="00545668"/>
    <w:rsid w:val="0055098F"/>
    <w:rsid w:val="005510B8"/>
    <w:rsid w:val="005512B0"/>
    <w:rsid w:val="005517B9"/>
    <w:rsid w:val="0055245D"/>
    <w:rsid w:val="00553E7D"/>
    <w:rsid w:val="005542BD"/>
    <w:rsid w:val="005543D4"/>
    <w:rsid w:val="00556489"/>
    <w:rsid w:val="00556EDA"/>
    <w:rsid w:val="00556FC7"/>
    <w:rsid w:val="005573D6"/>
    <w:rsid w:val="0056029F"/>
    <w:rsid w:val="005623DC"/>
    <w:rsid w:val="00562DAF"/>
    <w:rsid w:val="005648AC"/>
    <w:rsid w:val="0056509F"/>
    <w:rsid w:val="00565326"/>
    <w:rsid w:val="00570A0D"/>
    <w:rsid w:val="00575102"/>
    <w:rsid w:val="005754FC"/>
    <w:rsid w:val="00575F9C"/>
    <w:rsid w:val="00576979"/>
    <w:rsid w:val="00577D50"/>
    <w:rsid w:val="00580D85"/>
    <w:rsid w:val="005813AC"/>
    <w:rsid w:val="0058354A"/>
    <w:rsid w:val="00584BA7"/>
    <w:rsid w:val="00586CFB"/>
    <w:rsid w:val="00587D29"/>
    <w:rsid w:val="00591072"/>
    <w:rsid w:val="005934B8"/>
    <w:rsid w:val="00594C9D"/>
    <w:rsid w:val="00595C65"/>
    <w:rsid w:val="005964E5"/>
    <w:rsid w:val="005969E2"/>
    <w:rsid w:val="00597705"/>
    <w:rsid w:val="005A0866"/>
    <w:rsid w:val="005A2449"/>
    <w:rsid w:val="005A2623"/>
    <w:rsid w:val="005A2C73"/>
    <w:rsid w:val="005A3E4D"/>
    <w:rsid w:val="005A446D"/>
    <w:rsid w:val="005A4FC0"/>
    <w:rsid w:val="005A71F7"/>
    <w:rsid w:val="005A7D45"/>
    <w:rsid w:val="005B1333"/>
    <w:rsid w:val="005B1872"/>
    <w:rsid w:val="005B247F"/>
    <w:rsid w:val="005B649F"/>
    <w:rsid w:val="005B771E"/>
    <w:rsid w:val="005B7922"/>
    <w:rsid w:val="005B7CEE"/>
    <w:rsid w:val="005C1439"/>
    <w:rsid w:val="005C15DC"/>
    <w:rsid w:val="005C1DEC"/>
    <w:rsid w:val="005C2603"/>
    <w:rsid w:val="005C28AE"/>
    <w:rsid w:val="005C36E4"/>
    <w:rsid w:val="005C4FDA"/>
    <w:rsid w:val="005C5C47"/>
    <w:rsid w:val="005C6A41"/>
    <w:rsid w:val="005C6DF0"/>
    <w:rsid w:val="005D0320"/>
    <w:rsid w:val="005D0B78"/>
    <w:rsid w:val="005D25D6"/>
    <w:rsid w:val="005D2EE1"/>
    <w:rsid w:val="005D3407"/>
    <w:rsid w:val="005D3941"/>
    <w:rsid w:val="005D411A"/>
    <w:rsid w:val="005D47C3"/>
    <w:rsid w:val="005D4CBA"/>
    <w:rsid w:val="005D5E9D"/>
    <w:rsid w:val="005D6A44"/>
    <w:rsid w:val="005D6BF3"/>
    <w:rsid w:val="005D6D77"/>
    <w:rsid w:val="005E1195"/>
    <w:rsid w:val="005E2F30"/>
    <w:rsid w:val="005E3541"/>
    <w:rsid w:val="005E560B"/>
    <w:rsid w:val="005E601A"/>
    <w:rsid w:val="005F03D5"/>
    <w:rsid w:val="005F04A5"/>
    <w:rsid w:val="005F158C"/>
    <w:rsid w:val="005F236B"/>
    <w:rsid w:val="005F4FD7"/>
    <w:rsid w:val="005F6D85"/>
    <w:rsid w:val="005F77BC"/>
    <w:rsid w:val="00600269"/>
    <w:rsid w:val="0060138F"/>
    <w:rsid w:val="0060391E"/>
    <w:rsid w:val="0060443D"/>
    <w:rsid w:val="0060486E"/>
    <w:rsid w:val="006062FB"/>
    <w:rsid w:val="00606867"/>
    <w:rsid w:val="00607419"/>
    <w:rsid w:val="006101AF"/>
    <w:rsid w:val="00611AFF"/>
    <w:rsid w:val="00612393"/>
    <w:rsid w:val="00612AA0"/>
    <w:rsid w:val="00612ACF"/>
    <w:rsid w:val="0061328B"/>
    <w:rsid w:val="00613E36"/>
    <w:rsid w:val="00614A7A"/>
    <w:rsid w:val="00614B7F"/>
    <w:rsid w:val="00616B35"/>
    <w:rsid w:val="00617A30"/>
    <w:rsid w:val="00617F99"/>
    <w:rsid w:val="006215E6"/>
    <w:rsid w:val="00621B4B"/>
    <w:rsid w:val="00622991"/>
    <w:rsid w:val="006232F1"/>
    <w:rsid w:val="00623AFA"/>
    <w:rsid w:val="00623DDE"/>
    <w:rsid w:val="00624695"/>
    <w:rsid w:val="00625D2D"/>
    <w:rsid w:val="006271A4"/>
    <w:rsid w:val="00630138"/>
    <w:rsid w:val="006313FC"/>
    <w:rsid w:val="0063231B"/>
    <w:rsid w:val="00632E1F"/>
    <w:rsid w:val="006332F2"/>
    <w:rsid w:val="00634B17"/>
    <w:rsid w:val="00634F96"/>
    <w:rsid w:val="00637A17"/>
    <w:rsid w:val="00640A6A"/>
    <w:rsid w:val="00641035"/>
    <w:rsid w:val="00641661"/>
    <w:rsid w:val="00644FB0"/>
    <w:rsid w:val="006476E6"/>
    <w:rsid w:val="00650545"/>
    <w:rsid w:val="00650EE2"/>
    <w:rsid w:val="006511A4"/>
    <w:rsid w:val="006513E2"/>
    <w:rsid w:val="00651916"/>
    <w:rsid w:val="00651BCA"/>
    <w:rsid w:val="00651DE7"/>
    <w:rsid w:val="00651EE3"/>
    <w:rsid w:val="006531C9"/>
    <w:rsid w:val="006535E1"/>
    <w:rsid w:val="00656E14"/>
    <w:rsid w:val="0066025E"/>
    <w:rsid w:val="00661D64"/>
    <w:rsid w:val="0066200A"/>
    <w:rsid w:val="00662682"/>
    <w:rsid w:val="0066366D"/>
    <w:rsid w:val="006639A0"/>
    <w:rsid w:val="00663D7F"/>
    <w:rsid w:val="00664CD0"/>
    <w:rsid w:val="00665D94"/>
    <w:rsid w:val="006668FE"/>
    <w:rsid w:val="00667591"/>
    <w:rsid w:val="00667F9F"/>
    <w:rsid w:val="006710E7"/>
    <w:rsid w:val="00671A0B"/>
    <w:rsid w:val="00671EE6"/>
    <w:rsid w:val="0067210D"/>
    <w:rsid w:val="00672F69"/>
    <w:rsid w:val="00675515"/>
    <w:rsid w:val="00675C81"/>
    <w:rsid w:val="006779BD"/>
    <w:rsid w:val="0068034D"/>
    <w:rsid w:val="00681152"/>
    <w:rsid w:val="00682987"/>
    <w:rsid w:val="00682CE5"/>
    <w:rsid w:val="006841DC"/>
    <w:rsid w:val="00684559"/>
    <w:rsid w:val="0068468E"/>
    <w:rsid w:val="00685DAD"/>
    <w:rsid w:val="0068615D"/>
    <w:rsid w:val="0068675A"/>
    <w:rsid w:val="00687392"/>
    <w:rsid w:val="006875E6"/>
    <w:rsid w:val="00687D53"/>
    <w:rsid w:val="0069106B"/>
    <w:rsid w:val="00691AF2"/>
    <w:rsid w:val="00691CB2"/>
    <w:rsid w:val="00692F48"/>
    <w:rsid w:val="00694527"/>
    <w:rsid w:val="0069550C"/>
    <w:rsid w:val="00697465"/>
    <w:rsid w:val="00697EB1"/>
    <w:rsid w:val="006A2310"/>
    <w:rsid w:val="006A2706"/>
    <w:rsid w:val="006A498B"/>
    <w:rsid w:val="006A504A"/>
    <w:rsid w:val="006B150C"/>
    <w:rsid w:val="006B1DCE"/>
    <w:rsid w:val="006B1EEF"/>
    <w:rsid w:val="006B24BE"/>
    <w:rsid w:val="006B42B2"/>
    <w:rsid w:val="006B6180"/>
    <w:rsid w:val="006B692B"/>
    <w:rsid w:val="006B6D66"/>
    <w:rsid w:val="006C177A"/>
    <w:rsid w:val="006C1B13"/>
    <w:rsid w:val="006C32C4"/>
    <w:rsid w:val="006D067F"/>
    <w:rsid w:val="006D07FB"/>
    <w:rsid w:val="006D4156"/>
    <w:rsid w:val="006D5A67"/>
    <w:rsid w:val="006D762E"/>
    <w:rsid w:val="006D7DFD"/>
    <w:rsid w:val="006E16D1"/>
    <w:rsid w:val="006E1D9A"/>
    <w:rsid w:val="006E2B6D"/>
    <w:rsid w:val="006E3C88"/>
    <w:rsid w:val="006E4C1C"/>
    <w:rsid w:val="006E5C66"/>
    <w:rsid w:val="006F09D8"/>
    <w:rsid w:val="006F1624"/>
    <w:rsid w:val="006F282C"/>
    <w:rsid w:val="006F3052"/>
    <w:rsid w:val="006F31BD"/>
    <w:rsid w:val="006F3259"/>
    <w:rsid w:val="006F3C00"/>
    <w:rsid w:val="006F78DB"/>
    <w:rsid w:val="006F7DAF"/>
    <w:rsid w:val="00702046"/>
    <w:rsid w:val="00702C42"/>
    <w:rsid w:val="00704A2E"/>
    <w:rsid w:val="007057AB"/>
    <w:rsid w:val="00707343"/>
    <w:rsid w:val="007073FB"/>
    <w:rsid w:val="00710C28"/>
    <w:rsid w:val="00711C08"/>
    <w:rsid w:val="00711CC1"/>
    <w:rsid w:val="00712ED3"/>
    <w:rsid w:val="00714697"/>
    <w:rsid w:val="00714C9E"/>
    <w:rsid w:val="00715651"/>
    <w:rsid w:val="00717903"/>
    <w:rsid w:val="00717B10"/>
    <w:rsid w:val="00724B29"/>
    <w:rsid w:val="0072753D"/>
    <w:rsid w:val="00727A78"/>
    <w:rsid w:val="007300B4"/>
    <w:rsid w:val="007308AC"/>
    <w:rsid w:val="00730A5A"/>
    <w:rsid w:val="00731207"/>
    <w:rsid w:val="00731A48"/>
    <w:rsid w:val="00734430"/>
    <w:rsid w:val="007348F1"/>
    <w:rsid w:val="00735A7A"/>
    <w:rsid w:val="00737455"/>
    <w:rsid w:val="0074053C"/>
    <w:rsid w:val="00743D4D"/>
    <w:rsid w:val="00743EB1"/>
    <w:rsid w:val="0074485F"/>
    <w:rsid w:val="007451A8"/>
    <w:rsid w:val="00745BF2"/>
    <w:rsid w:val="00745E2B"/>
    <w:rsid w:val="00746757"/>
    <w:rsid w:val="00751ADD"/>
    <w:rsid w:val="007520F6"/>
    <w:rsid w:val="007532C0"/>
    <w:rsid w:val="007537D1"/>
    <w:rsid w:val="00753800"/>
    <w:rsid w:val="0075466D"/>
    <w:rsid w:val="00756020"/>
    <w:rsid w:val="00756098"/>
    <w:rsid w:val="00757F3C"/>
    <w:rsid w:val="007631E0"/>
    <w:rsid w:val="00763628"/>
    <w:rsid w:val="00763BF3"/>
    <w:rsid w:val="00764F87"/>
    <w:rsid w:val="00766824"/>
    <w:rsid w:val="0076723C"/>
    <w:rsid w:val="00767A6B"/>
    <w:rsid w:val="007709AD"/>
    <w:rsid w:val="00771094"/>
    <w:rsid w:val="00771421"/>
    <w:rsid w:val="00771C95"/>
    <w:rsid w:val="00772E4B"/>
    <w:rsid w:val="007744D5"/>
    <w:rsid w:val="0077459E"/>
    <w:rsid w:val="00775448"/>
    <w:rsid w:val="0077676B"/>
    <w:rsid w:val="00782782"/>
    <w:rsid w:val="007837F0"/>
    <w:rsid w:val="007841E0"/>
    <w:rsid w:val="0078534D"/>
    <w:rsid w:val="007863FC"/>
    <w:rsid w:val="007866DC"/>
    <w:rsid w:val="00791465"/>
    <w:rsid w:val="0079276A"/>
    <w:rsid w:val="00794AA8"/>
    <w:rsid w:val="00796986"/>
    <w:rsid w:val="00796F39"/>
    <w:rsid w:val="00796F7A"/>
    <w:rsid w:val="00797A49"/>
    <w:rsid w:val="007A0F8C"/>
    <w:rsid w:val="007A1488"/>
    <w:rsid w:val="007A1A81"/>
    <w:rsid w:val="007A244B"/>
    <w:rsid w:val="007A2884"/>
    <w:rsid w:val="007A3705"/>
    <w:rsid w:val="007A39B0"/>
    <w:rsid w:val="007A41D7"/>
    <w:rsid w:val="007A4E13"/>
    <w:rsid w:val="007A5C4E"/>
    <w:rsid w:val="007A7BBE"/>
    <w:rsid w:val="007B1617"/>
    <w:rsid w:val="007B196E"/>
    <w:rsid w:val="007B1F09"/>
    <w:rsid w:val="007B566C"/>
    <w:rsid w:val="007B686F"/>
    <w:rsid w:val="007B6CEF"/>
    <w:rsid w:val="007C17AD"/>
    <w:rsid w:val="007C247A"/>
    <w:rsid w:val="007C4731"/>
    <w:rsid w:val="007C546A"/>
    <w:rsid w:val="007C6FB2"/>
    <w:rsid w:val="007C72E3"/>
    <w:rsid w:val="007D0644"/>
    <w:rsid w:val="007D0A2D"/>
    <w:rsid w:val="007D2359"/>
    <w:rsid w:val="007D3ACE"/>
    <w:rsid w:val="007D64EC"/>
    <w:rsid w:val="007E0079"/>
    <w:rsid w:val="007E05A2"/>
    <w:rsid w:val="007E1089"/>
    <w:rsid w:val="007E1B26"/>
    <w:rsid w:val="007E1F8D"/>
    <w:rsid w:val="007E5E24"/>
    <w:rsid w:val="007E6413"/>
    <w:rsid w:val="007F1E72"/>
    <w:rsid w:val="007F2C37"/>
    <w:rsid w:val="007F4798"/>
    <w:rsid w:val="007F6DDE"/>
    <w:rsid w:val="00800438"/>
    <w:rsid w:val="008019A5"/>
    <w:rsid w:val="008020C2"/>
    <w:rsid w:val="008020CD"/>
    <w:rsid w:val="00803543"/>
    <w:rsid w:val="00806AFC"/>
    <w:rsid w:val="00810336"/>
    <w:rsid w:val="0081156D"/>
    <w:rsid w:val="00811B30"/>
    <w:rsid w:val="00812D95"/>
    <w:rsid w:val="00813448"/>
    <w:rsid w:val="00814EDE"/>
    <w:rsid w:val="0081612B"/>
    <w:rsid w:val="00816D62"/>
    <w:rsid w:val="00816ED1"/>
    <w:rsid w:val="00821D82"/>
    <w:rsid w:val="008230F2"/>
    <w:rsid w:val="00823442"/>
    <w:rsid w:val="008242ED"/>
    <w:rsid w:val="00825593"/>
    <w:rsid w:val="008276BB"/>
    <w:rsid w:val="00830F6A"/>
    <w:rsid w:val="00831589"/>
    <w:rsid w:val="00831C13"/>
    <w:rsid w:val="00832EA6"/>
    <w:rsid w:val="00832FD6"/>
    <w:rsid w:val="0083336E"/>
    <w:rsid w:val="00834066"/>
    <w:rsid w:val="008343B4"/>
    <w:rsid w:val="00837B9A"/>
    <w:rsid w:val="00837E1F"/>
    <w:rsid w:val="00840086"/>
    <w:rsid w:val="008405CE"/>
    <w:rsid w:val="008405CF"/>
    <w:rsid w:val="00841726"/>
    <w:rsid w:val="008426AA"/>
    <w:rsid w:val="0084295A"/>
    <w:rsid w:val="0084393F"/>
    <w:rsid w:val="00846269"/>
    <w:rsid w:val="00850E95"/>
    <w:rsid w:val="00851511"/>
    <w:rsid w:val="008536CA"/>
    <w:rsid w:val="008547C2"/>
    <w:rsid w:val="00854A89"/>
    <w:rsid w:val="00855355"/>
    <w:rsid w:val="008557C2"/>
    <w:rsid w:val="00855F97"/>
    <w:rsid w:val="00857AA4"/>
    <w:rsid w:val="00857C88"/>
    <w:rsid w:val="0086080D"/>
    <w:rsid w:val="008626AC"/>
    <w:rsid w:val="008634DE"/>
    <w:rsid w:val="008647BD"/>
    <w:rsid w:val="008665C4"/>
    <w:rsid w:val="0086679A"/>
    <w:rsid w:val="0086751C"/>
    <w:rsid w:val="008677E3"/>
    <w:rsid w:val="00867E2A"/>
    <w:rsid w:val="00870B41"/>
    <w:rsid w:val="0087195C"/>
    <w:rsid w:val="00873C6E"/>
    <w:rsid w:val="00875D5A"/>
    <w:rsid w:val="00875F1E"/>
    <w:rsid w:val="00877536"/>
    <w:rsid w:val="00880351"/>
    <w:rsid w:val="0088086C"/>
    <w:rsid w:val="00882735"/>
    <w:rsid w:val="00882EFE"/>
    <w:rsid w:val="00883512"/>
    <w:rsid w:val="00885C05"/>
    <w:rsid w:val="00885F6F"/>
    <w:rsid w:val="00886D5F"/>
    <w:rsid w:val="00890F28"/>
    <w:rsid w:val="00892541"/>
    <w:rsid w:val="0089372D"/>
    <w:rsid w:val="00893E14"/>
    <w:rsid w:val="0089533C"/>
    <w:rsid w:val="00895554"/>
    <w:rsid w:val="0089565C"/>
    <w:rsid w:val="008957A8"/>
    <w:rsid w:val="00895A54"/>
    <w:rsid w:val="00895B93"/>
    <w:rsid w:val="00896B6A"/>
    <w:rsid w:val="008A0454"/>
    <w:rsid w:val="008A0931"/>
    <w:rsid w:val="008A1381"/>
    <w:rsid w:val="008A1A60"/>
    <w:rsid w:val="008A3B56"/>
    <w:rsid w:val="008A4281"/>
    <w:rsid w:val="008A537D"/>
    <w:rsid w:val="008A7240"/>
    <w:rsid w:val="008A7715"/>
    <w:rsid w:val="008A7BFC"/>
    <w:rsid w:val="008A7CF7"/>
    <w:rsid w:val="008A7FAD"/>
    <w:rsid w:val="008B100F"/>
    <w:rsid w:val="008B1311"/>
    <w:rsid w:val="008B1DA6"/>
    <w:rsid w:val="008B3660"/>
    <w:rsid w:val="008B4543"/>
    <w:rsid w:val="008B64EF"/>
    <w:rsid w:val="008C0436"/>
    <w:rsid w:val="008C210D"/>
    <w:rsid w:val="008C24E7"/>
    <w:rsid w:val="008C3E59"/>
    <w:rsid w:val="008C480D"/>
    <w:rsid w:val="008C4C45"/>
    <w:rsid w:val="008C651B"/>
    <w:rsid w:val="008C7138"/>
    <w:rsid w:val="008D2564"/>
    <w:rsid w:val="008D3C26"/>
    <w:rsid w:val="008D7246"/>
    <w:rsid w:val="008D75D5"/>
    <w:rsid w:val="008E1626"/>
    <w:rsid w:val="008E270C"/>
    <w:rsid w:val="008E51D4"/>
    <w:rsid w:val="008E66F8"/>
    <w:rsid w:val="008E74EF"/>
    <w:rsid w:val="008E7904"/>
    <w:rsid w:val="008E7EFA"/>
    <w:rsid w:val="008F051D"/>
    <w:rsid w:val="008F0FC5"/>
    <w:rsid w:val="008F0FD2"/>
    <w:rsid w:val="008F17A3"/>
    <w:rsid w:val="008F4376"/>
    <w:rsid w:val="008F53AB"/>
    <w:rsid w:val="008F59AF"/>
    <w:rsid w:val="008F5B07"/>
    <w:rsid w:val="008F61FC"/>
    <w:rsid w:val="008F74A5"/>
    <w:rsid w:val="009005B5"/>
    <w:rsid w:val="00901474"/>
    <w:rsid w:val="009014FD"/>
    <w:rsid w:val="00902AA7"/>
    <w:rsid w:val="00903496"/>
    <w:rsid w:val="00903A37"/>
    <w:rsid w:val="009041F8"/>
    <w:rsid w:val="00904D53"/>
    <w:rsid w:val="00905C49"/>
    <w:rsid w:val="00906C53"/>
    <w:rsid w:val="0090737A"/>
    <w:rsid w:val="0091491D"/>
    <w:rsid w:val="00914CED"/>
    <w:rsid w:val="0091517B"/>
    <w:rsid w:val="0091707F"/>
    <w:rsid w:val="0092024B"/>
    <w:rsid w:val="009208FB"/>
    <w:rsid w:val="00921597"/>
    <w:rsid w:val="00921696"/>
    <w:rsid w:val="0092525C"/>
    <w:rsid w:val="009257EE"/>
    <w:rsid w:val="009262E3"/>
    <w:rsid w:val="00927E7F"/>
    <w:rsid w:val="009300E6"/>
    <w:rsid w:val="00931856"/>
    <w:rsid w:val="00931957"/>
    <w:rsid w:val="00932217"/>
    <w:rsid w:val="00932259"/>
    <w:rsid w:val="00932565"/>
    <w:rsid w:val="00932831"/>
    <w:rsid w:val="00937B2D"/>
    <w:rsid w:val="00937F6E"/>
    <w:rsid w:val="00940225"/>
    <w:rsid w:val="009428DF"/>
    <w:rsid w:val="009429D4"/>
    <w:rsid w:val="00943C4C"/>
    <w:rsid w:val="00943D4D"/>
    <w:rsid w:val="00944464"/>
    <w:rsid w:val="00945BC4"/>
    <w:rsid w:val="009503FE"/>
    <w:rsid w:val="0095291D"/>
    <w:rsid w:val="009534A1"/>
    <w:rsid w:val="00954778"/>
    <w:rsid w:val="0095687B"/>
    <w:rsid w:val="00957168"/>
    <w:rsid w:val="00957730"/>
    <w:rsid w:val="009577E8"/>
    <w:rsid w:val="00960199"/>
    <w:rsid w:val="00960CDB"/>
    <w:rsid w:val="00962E0E"/>
    <w:rsid w:val="00964882"/>
    <w:rsid w:val="009648F1"/>
    <w:rsid w:val="00964C44"/>
    <w:rsid w:val="00964DFA"/>
    <w:rsid w:val="0096634B"/>
    <w:rsid w:val="009668FC"/>
    <w:rsid w:val="00967F5D"/>
    <w:rsid w:val="0097136D"/>
    <w:rsid w:val="00971B18"/>
    <w:rsid w:val="009737E6"/>
    <w:rsid w:val="0097492C"/>
    <w:rsid w:val="00974E2D"/>
    <w:rsid w:val="00975DB5"/>
    <w:rsid w:val="00976DCD"/>
    <w:rsid w:val="00976F0D"/>
    <w:rsid w:val="0098066C"/>
    <w:rsid w:val="009812F2"/>
    <w:rsid w:val="009814B0"/>
    <w:rsid w:val="00981871"/>
    <w:rsid w:val="00984181"/>
    <w:rsid w:val="0098571F"/>
    <w:rsid w:val="00985BE3"/>
    <w:rsid w:val="00987780"/>
    <w:rsid w:val="00987CE1"/>
    <w:rsid w:val="0099005D"/>
    <w:rsid w:val="00992B0D"/>
    <w:rsid w:val="00992C8B"/>
    <w:rsid w:val="009969E0"/>
    <w:rsid w:val="00996B5C"/>
    <w:rsid w:val="009A0545"/>
    <w:rsid w:val="009A0B4E"/>
    <w:rsid w:val="009A1EC2"/>
    <w:rsid w:val="009A2F84"/>
    <w:rsid w:val="009A36AF"/>
    <w:rsid w:val="009A3E97"/>
    <w:rsid w:val="009A591E"/>
    <w:rsid w:val="009A77E7"/>
    <w:rsid w:val="009B1B5C"/>
    <w:rsid w:val="009B306D"/>
    <w:rsid w:val="009B5983"/>
    <w:rsid w:val="009B7B65"/>
    <w:rsid w:val="009C052D"/>
    <w:rsid w:val="009C09A0"/>
    <w:rsid w:val="009C2135"/>
    <w:rsid w:val="009C323D"/>
    <w:rsid w:val="009C36F1"/>
    <w:rsid w:val="009C3BC3"/>
    <w:rsid w:val="009C3E3C"/>
    <w:rsid w:val="009C4F54"/>
    <w:rsid w:val="009C5271"/>
    <w:rsid w:val="009C63A4"/>
    <w:rsid w:val="009C63D5"/>
    <w:rsid w:val="009C6B5F"/>
    <w:rsid w:val="009C787C"/>
    <w:rsid w:val="009C7FC6"/>
    <w:rsid w:val="009D161A"/>
    <w:rsid w:val="009D1693"/>
    <w:rsid w:val="009D1BCC"/>
    <w:rsid w:val="009D4AB7"/>
    <w:rsid w:val="009D5302"/>
    <w:rsid w:val="009D62F3"/>
    <w:rsid w:val="009D6894"/>
    <w:rsid w:val="009D754F"/>
    <w:rsid w:val="009E1896"/>
    <w:rsid w:val="009E1980"/>
    <w:rsid w:val="009E19D6"/>
    <w:rsid w:val="009E1ACC"/>
    <w:rsid w:val="009E2833"/>
    <w:rsid w:val="009E2BB3"/>
    <w:rsid w:val="009E325E"/>
    <w:rsid w:val="009E3484"/>
    <w:rsid w:val="009E569F"/>
    <w:rsid w:val="009E5FDA"/>
    <w:rsid w:val="009E646F"/>
    <w:rsid w:val="009E776E"/>
    <w:rsid w:val="009F1760"/>
    <w:rsid w:val="009F1878"/>
    <w:rsid w:val="009F1970"/>
    <w:rsid w:val="009F3A44"/>
    <w:rsid w:val="009F4396"/>
    <w:rsid w:val="009F5D93"/>
    <w:rsid w:val="009F6F14"/>
    <w:rsid w:val="009F7433"/>
    <w:rsid w:val="00A00F3C"/>
    <w:rsid w:val="00A0144A"/>
    <w:rsid w:val="00A02844"/>
    <w:rsid w:val="00A034F2"/>
    <w:rsid w:val="00A042CC"/>
    <w:rsid w:val="00A06BF5"/>
    <w:rsid w:val="00A073E8"/>
    <w:rsid w:val="00A076B8"/>
    <w:rsid w:val="00A07E9C"/>
    <w:rsid w:val="00A10D46"/>
    <w:rsid w:val="00A11066"/>
    <w:rsid w:val="00A1196D"/>
    <w:rsid w:val="00A11A36"/>
    <w:rsid w:val="00A122F8"/>
    <w:rsid w:val="00A12914"/>
    <w:rsid w:val="00A12A8E"/>
    <w:rsid w:val="00A12EEB"/>
    <w:rsid w:val="00A1367A"/>
    <w:rsid w:val="00A14173"/>
    <w:rsid w:val="00A167B8"/>
    <w:rsid w:val="00A17060"/>
    <w:rsid w:val="00A17ED7"/>
    <w:rsid w:val="00A20492"/>
    <w:rsid w:val="00A2185E"/>
    <w:rsid w:val="00A21919"/>
    <w:rsid w:val="00A23601"/>
    <w:rsid w:val="00A26381"/>
    <w:rsid w:val="00A31C08"/>
    <w:rsid w:val="00A32889"/>
    <w:rsid w:val="00A331C2"/>
    <w:rsid w:val="00A3457A"/>
    <w:rsid w:val="00A36A40"/>
    <w:rsid w:val="00A36D42"/>
    <w:rsid w:val="00A414A1"/>
    <w:rsid w:val="00A41BC0"/>
    <w:rsid w:val="00A42893"/>
    <w:rsid w:val="00A42906"/>
    <w:rsid w:val="00A43118"/>
    <w:rsid w:val="00A43E5D"/>
    <w:rsid w:val="00A45490"/>
    <w:rsid w:val="00A4723D"/>
    <w:rsid w:val="00A47250"/>
    <w:rsid w:val="00A4793C"/>
    <w:rsid w:val="00A506FB"/>
    <w:rsid w:val="00A5180C"/>
    <w:rsid w:val="00A521EE"/>
    <w:rsid w:val="00A5427C"/>
    <w:rsid w:val="00A603C3"/>
    <w:rsid w:val="00A61267"/>
    <w:rsid w:val="00A61F0A"/>
    <w:rsid w:val="00A63829"/>
    <w:rsid w:val="00A64250"/>
    <w:rsid w:val="00A64FD8"/>
    <w:rsid w:val="00A6550F"/>
    <w:rsid w:val="00A66B50"/>
    <w:rsid w:val="00A67C97"/>
    <w:rsid w:val="00A70770"/>
    <w:rsid w:val="00A711F9"/>
    <w:rsid w:val="00A71783"/>
    <w:rsid w:val="00A719FE"/>
    <w:rsid w:val="00A7254F"/>
    <w:rsid w:val="00A73CDC"/>
    <w:rsid w:val="00A74937"/>
    <w:rsid w:val="00A75B8E"/>
    <w:rsid w:val="00A80111"/>
    <w:rsid w:val="00A817F5"/>
    <w:rsid w:val="00A81DF8"/>
    <w:rsid w:val="00A82B55"/>
    <w:rsid w:val="00A82BBA"/>
    <w:rsid w:val="00A83F39"/>
    <w:rsid w:val="00A84210"/>
    <w:rsid w:val="00A85465"/>
    <w:rsid w:val="00A866AE"/>
    <w:rsid w:val="00A878A5"/>
    <w:rsid w:val="00A92225"/>
    <w:rsid w:val="00A9381F"/>
    <w:rsid w:val="00A958D5"/>
    <w:rsid w:val="00A95B9A"/>
    <w:rsid w:val="00A95BEF"/>
    <w:rsid w:val="00A95CB4"/>
    <w:rsid w:val="00A96EF7"/>
    <w:rsid w:val="00A976E6"/>
    <w:rsid w:val="00AA00D8"/>
    <w:rsid w:val="00AA32DA"/>
    <w:rsid w:val="00AA45A4"/>
    <w:rsid w:val="00AA4712"/>
    <w:rsid w:val="00AA4FAB"/>
    <w:rsid w:val="00AA65F4"/>
    <w:rsid w:val="00AA7A71"/>
    <w:rsid w:val="00AA7C4D"/>
    <w:rsid w:val="00AA7D47"/>
    <w:rsid w:val="00AB01B3"/>
    <w:rsid w:val="00AB1B2B"/>
    <w:rsid w:val="00AB2D22"/>
    <w:rsid w:val="00AB43EE"/>
    <w:rsid w:val="00AB4F07"/>
    <w:rsid w:val="00AB5121"/>
    <w:rsid w:val="00AB51EA"/>
    <w:rsid w:val="00AB64D4"/>
    <w:rsid w:val="00AB6F0C"/>
    <w:rsid w:val="00AB7962"/>
    <w:rsid w:val="00AC0546"/>
    <w:rsid w:val="00AC1895"/>
    <w:rsid w:val="00AC1EC5"/>
    <w:rsid w:val="00AC4AC4"/>
    <w:rsid w:val="00AC7B31"/>
    <w:rsid w:val="00AC7F40"/>
    <w:rsid w:val="00AC7FDF"/>
    <w:rsid w:val="00AD0544"/>
    <w:rsid w:val="00AD061A"/>
    <w:rsid w:val="00AD15A5"/>
    <w:rsid w:val="00AD4D80"/>
    <w:rsid w:val="00AE099A"/>
    <w:rsid w:val="00AE154F"/>
    <w:rsid w:val="00AE1731"/>
    <w:rsid w:val="00AE18E1"/>
    <w:rsid w:val="00AE1EE1"/>
    <w:rsid w:val="00AE207E"/>
    <w:rsid w:val="00AE2782"/>
    <w:rsid w:val="00AE2C20"/>
    <w:rsid w:val="00AE3DAE"/>
    <w:rsid w:val="00AE412E"/>
    <w:rsid w:val="00AE570F"/>
    <w:rsid w:val="00AE5E46"/>
    <w:rsid w:val="00AF05EC"/>
    <w:rsid w:val="00AF2AE0"/>
    <w:rsid w:val="00AF399D"/>
    <w:rsid w:val="00AF3D6B"/>
    <w:rsid w:val="00AF4917"/>
    <w:rsid w:val="00AF4DC9"/>
    <w:rsid w:val="00AF6292"/>
    <w:rsid w:val="00AF680F"/>
    <w:rsid w:val="00AF6DF0"/>
    <w:rsid w:val="00B00514"/>
    <w:rsid w:val="00B006E1"/>
    <w:rsid w:val="00B00763"/>
    <w:rsid w:val="00B00C04"/>
    <w:rsid w:val="00B01C2D"/>
    <w:rsid w:val="00B01FAF"/>
    <w:rsid w:val="00B04260"/>
    <w:rsid w:val="00B04A4E"/>
    <w:rsid w:val="00B0511A"/>
    <w:rsid w:val="00B05D39"/>
    <w:rsid w:val="00B100BE"/>
    <w:rsid w:val="00B11284"/>
    <w:rsid w:val="00B11F80"/>
    <w:rsid w:val="00B12541"/>
    <w:rsid w:val="00B13A6B"/>
    <w:rsid w:val="00B14FF9"/>
    <w:rsid w:val="00B15D9A"/>
    <w:rsid w:val="00B160F4"/>
    <w:rsid w:val="00B1684F"/>
    <w:rsid w:val="00B1722F"/>
    <w:rsid w:val="00B17322"/>
    <w:rsid w:val="00B1792E"/>
    <w:rsid w:val="00B17A09"/>
    <w:rsid w:val="00B17C6C"/>
    <w:rsid w:val="00B17CCB"/>
    <w:rsid w:val="00B17D99"/>
    <w:rsid w:val="00B20267"/>
    <w:rsid w:val="00B207AC"/>
    <w:rsid w:val="00B20D36"/>
    <w:rsid w:val="00B21512"/>
    <w:rsid w:val="00B21FA2"/>
    <w:rsid w:val="00B235FF"/>
    <w:rsid w:val="00B24486"/>
    <w:rsid w:val="00B24846"/>
    <w:rsid w:val="00B26261"/>
    <w:rsid w:val="00B26963"/>
    <w:rsid w:val="00B26AA4"/>
    <w:rsid w:val="00B30BDA"/>
    <w:rsid w:val="00B30C98"/>
    <w:rsid w:val="00B32AE8"/>
    <w:rsid w:val="00B3323A"/>
    <w:rsid w:val="00B34ECD"/>
    <w:rsid w:val="00B36696"/>
    <w:rsid w:val="00B40005"/>
    <w:rsid w:val="00B41372"/>
    <w:rsid w:val="00B4169E"/>
    <w:rsid w:val="00B418D6"/>
    <w:rsid w:val="00B42EDF"/>
    <w:rsid w:val="00B446F9"/>
    <w:rsid w:val="00B45FAE"/>
    <w:rsid w:val="00B5010F"/>
    <w:rsid w:val="00B50382"/>
    <w:rsid w:val="00B512A3"/>
    <w:rsid w:val="00B5143D"/>
    <w:rsid w:val="00B51D10"/>
    <w:rsid w:val="00B51F04"/>
    <w:rsid w:val="00B53331"/>
    <w:rsid w:val="00B559B2"/>
    <w:rsid w:val="00B565D4"/>
    <w:rsid w:val="00B56BAF"/>
    <w:rsid w:val="00B56D2F"/>
    <w:rsid w:val="00B56DA8"/>
    <w:rsid w:val="00B57BF8"/>
    <w:rsid w:val="00B60E51"/>
    <w:rsid w:val="00B63F7F"/>
    <w:rsid w:val="00B6537F"/>
    <w:rsid w:val="00B65433"/>
    <w:rsid w:val="00B65D0C"/>
    <w:rsid w:val="00B65DEE"/>
    <w:rsid w:val="00B673D7"/>
    <w:rsid w:val="00B71571"/>
    <w:rsid w:val="00B715B1"/>
    <w:rsid w:val="00B74A88"/>
    <w:rsid w:val="00B751E2"/>
    <w:rsid w:val="00B759E8"/>
    <w:rsid w:val="00B7619E"/>
    <w:rsid w:val="00B77677"/>
    <w:rsid w:val="00B77BF3"/>
    <w:rsid w:val="00B82E78"/>
    <w:rsid w:val="00B83257"/>
    <w:rsid w:val="00B8381D"/>
    <w:rsid w:val="00B84964"/>
    <w:rsid w:val="00B849F3"/>
    <w:rsid w:val="00B85F87"/>
    <w:rsid w:val="00B9092D"/>
    <w:rsid w:val="00B91527"/>
    <w:rsid w:val="00B92470"/>
    <w:rsid w:val="00B9262A"/>
    <w:rsid w:val="00B92826"/>
    <w:rsid w:val="00B929D1"/>
    <w:rsid w:val="00B93AC6"/>
    <w:rsid w:val="00B95349"/>
    <w:rsid w:val="00B955C0"/>
    <w:rsid w:val="00B95B9C"/>
    <w:rsid w:val="00B961E2"/>
    <w:rsid w:val="00BA0067"/>
    <w:rsid w:val="00BA0F9A"/>
    <w:rsid w:val="00BA1479"/>
    <w:rsid w:val="00BA2179"/>
    <w:rsid w:val="00BA3D7E"/>
    <w:rsid w:val="00BA4D71"/>
    <w:rsid w:val="00BA54C1"/>
    <w:rsid w:val="00BA65AC"/>
    <w:rsid w:val="00BB2985"/>
    <w:rsid w:val="00BB2C35"/>
    <w:rsid w:val="00BC0A20"/>
    <w:rsid w:val="00BC0E67"/>
    <w:rsid w:val="00BC21A0"/>
    <w:rsid w:val="00BC4EF3"/>
    <w:rsid w:val="00BC66C8"/>
    <w:rsid w:val="00BC683A"/>
    <w:rsid w:val="00BC77C0"/>
    <w:rsid w:val="00BD0B25"/>
    <w:rsid w:val="00BD234D"/>
    <w:rsid w:val="00BD2561"/>
    <w:rsid w:val="00BD5DCD"/>
    <w:rsid w:val="00BD616D"/>
    <w:rsid w:val="00BD6C4D"/>
    <w:rsid w:val="00BD7772"/>
    <w:rsid w:val="00BE0997"/>
    <w:rsid w:val="00BE1907"/>
    <w:rsid w:val="00BE1A97"/>
    <w:rsid w:val="00BE3016"/>
    <w:rsid w:val="00BE3AF3"/>
    <w:rsid w:val="00BE485B"/>
    <w:rsid w:val="00BE6A74"/>
    <w:rsid w:val="00BE7D08"/>
    <w:rsid w:val="00BF0840"/>
    <w:rsid w:val="00BF0DFF"/>
    <w:rsid w:val="00BF22B8"/>
    <w:rsid w:val="00BF2603"/>
    <w:rsid w:val="00BF51CE"/>
    <w:rsid w:val="00BF5519"/>
    <w:rsid w:val="00BF5D60"/>
    <w:rsid w:val="00BF6541"/>
    <w:rsid w:val="00C01120"/>
    <w:rsid w:val="00C01A0D"/>
    <w:rsid w:val="00C028D9"/>
    <w:rsid w:val="00C036E4"/>
    <w:rsid w:val="00C038B8"/>
    <w:rsid w:val="00C03B35"/>
    <w:rsid w:val="00C04B28"/>
    <w:rsid w:val="00C06574"/>
    <w:rsid w:val="00C0688E"/>
    <w:rsid w:val="00C06F31"/>
    <w:rsid w:val="00C077E0"/>
    <w:rsid w:val="00C11EE9"/>
    <w:rsid w:val="00C12B8C"/>
    <w:rsid w:val="00C155D9"/>
    <w:rsid w:val="00C16834"/>
    <w:rsid w:val="00C2211D"/>
    <w:rsid w:val="00C2344F"/>
    <w:rsid w:val="00C246F2"/>
    <w:rsid w:val="00C247CC"/>
    <w:rsid w:val="00C24989"/>
    <w:rsid w:val="00C25302"/>
    <w:rsid w:val="00C26707"/>
    <w:rsid w:val="00C26A23"/>
    <w:rsid w:val="00C27719"/>
    <w:rsid w:val="00C30D22"/>
    <w:rsid w:val="00C31BCD"/>
    <w:rsid w:val="00C320EB"/>
    <w:rsid w:val="00C32F7B"/>
    <w:rsid w:val="00C3513F"/>
    <w:rsid w:val="00C355AA"/>
    <w:rsid w:val="00C36223"/>
    <w:rsid w:val="00C36A97"/>
    <w:rsid w:val="00C37552"/>
    <w:rsid w:val="00C40725"/>
    <w:rsid w:val="00C4207E"/>
    <w:rsid w:val="00C420B9"/>
    <w:rsid w:val="00C44FCC"/>
    <w:rsid w:val="00C451A3"/>
    <w:rsid w:val="00C4577E"/>
    <w:rsid w:val="00C50C8F"/>
    <w:rsid w:val="00C51156"/>
    <w:rsid w:val="00C51DCC"/>
    <w:rsid w:val="00C530EE"/>
    <w:rsid w:val="00C5382A"/>
    <w:rsid w:val="00C53FD7"/>
    <w:rsid w:val="00C55C61"/>
    <w:rsid w:val="00C57047"/>
    <w:rsid w:val="00C64085"/>
    <w:rsid w:val="00C64F44"/>
    <w:rsid w:val="00C650ED"/>
    <w:rsid w:val="00C65132"/>
    <w:rsid w:val="00C65F6A"/>
    <w:rsid w:val="00C679A9"/>
    <w:rsid w:val="00C67F3E"/>
    <w:rsid w:val="00C70CD5"/>
    <w:rsid w:val="00C7216F"/>
    <w:rsid w:val="00C730E4"/>
    <w:rsid w:val="00C73BB8"/>
    <w:rsid w:val="00C74CC5"/>
    <w:rsid w:val="00C75CC9"/>
    <w:rsid w:val="00C76B48"/>
    <w:rsid w:val="00C76CC4"/>
    <w:rsid w:val="00C77815"/>
    <w:rsid w:val="00C823C5"/>
    <w:rsid w:val="00C82D42"/>
    <w:rsid w:val="00C8322A"/>
    <w:rsid w:val="00C83583"/>
    <w:rsid w:val="00C837E5"/>
    <w:rsid w:val="00C84B12"/>
    <w:rsid w:val="00C869BC"/>
    <w:rsid w:val="00C8737E"/>
    <w:rsid w:val="00C9243B"/>
    <w:rsid w:val="00C953C0"/>
    <w:rsid w:val="00C96B8B"/>
    <w:rsid w:val="00C96E5A"/>
    <w:rsid w:val="00C97ACC"/>
    <w:rsid w:val="00CA181F"/>
    <w:rsid w:val="00CA2A54"/>
    <w:rsid w:val="00CA3219"/>
    <w:rsid w:val="00CB01EB"/>
    <w:rsid w:val="00CB0DFA"/>
    <w:rsid w:val="00CB250C"/>
    <w:rsid w:val="00CB34D5"/>
    <w:rsid w:val="00CB43BF"/>
    <w:rsid w:val="00CB6CB0"/>
    <w:rsid w:val="00CC03A9"/>
    <w:rsid w:val="00CC134C"/>
    <w:rsid w:val="00CC1F76"/>
    <w:rsid w:val="00CC36F9"/>
    <w:rsid w:val="00CC3E8F"/>
    <w:rsid w:val="00CC6551"/>
    <w:rsid w:val="00CD0BA2"/>
    <w:rsid w:val="00CD18DE"/>
    <w:rsid w:val="00CD43F8"/>
    <w:rsid w:val="00CD6218"/>
    <w:rsid w:val="00CD643B"/>
    <w:rsid w:val="00CE0D42"/>
    <w:rsid w:val="00CE1023"/>
    <w:rsid w:val="00CE19D1"/>
    <w:rsid w:val="00CE1BE8"/>
    <w:rsid w:val="00CE23EF"/>
    <w:rsid w:val="00CE6197"/>
    <w:rsid w:val="00CE6490"/>
    <w:rsid w:val="00CE6BEE"/>
    <w:rsid w:val="00CE702E"/>
    <w:rsid w:val="00CE75DD"/>
    <w:rsid w:val="00CE7723"/>
    <w:rsid w:val="00CF088A"/>
    <w:rsid w:val="00CF1AEC"/>
    <w:rsid w:val="00CF38F2"/>
    <w:rsid w:val="00CF4A3E"/>
    <w:rsid w:val="00CF5CD7"/>
    <w:rsid w:val="00CF7767"/>
    <w:rsid w:val="00CF79DF"/>
    <w:rsid w:val="00D00702"/>
    <w:rsid w:val="00D00CEC"/>
    <w:rsid w:val="00D01E61"/>
    <w:rsid w:val="00D02296"/>
    <w:rsid w:val="00D02B99"/>
    <w:rsid w:val="00D0306C"/>
    <w:rsid w:val="00D034FA"/>
    <w:rsid w:val="00D06027"/>
    <w:rsid w:val="00D068F0"/>
    <w:rsid w:val="00D0751A"/>
    <w:rsid w:val="00D078F8"/>
    <w:rsid w:val="00D07D25"/>
    <w:rsid w:val="00D1005F"/>
    <w:rsid w:val="00D110F0"/>
    <w:rsid w:val="00D116BA"/>
    <w:rsid w:val="00D11DBC"/>
    <w:rsid w:val="00D12327"/>
    <w:rsid w:val="00D12852"/>
    <w:rsid w:val="00D13010"/>
    <w:rsid w:val="00D133F0"/>
    <w:rsid w:val="00D143ED"/>
    <w:rsid w:val="00D16C5A"/>
    <w:rsid w:val="00D16DAA"/>
    <w:rsid w:val="00D17E12"/>
    <w:rsid w:val="00D21B84"/>
    <w:rsid w:val="00D22983"/>
    <w:rsid w:val="00D25359"/>
    <w:rsid w:val="00D25E7D"/>
    <w:rsid w:val="00D261EA"/>
    <w:rsid w:val="00D26D6A"/>
    <w:rsid w:val="00D27842"/>
    <w:rsid w:val="00D30628"/>
    <w:rsid w:val="00D30CEE"/>
    <w:rsid w:val="00D31D6C"/>
    <w:rsid w:val="00D32B3D"/>
    <w:rsid w:val="00D33C8D"/>
    <w:rsid w:val="00D3467C"/>
    <w:rsid w:val="00D37148"/>
    <w:rsid w:val="00D37A00"/>
    <w:rsid w:val="00D40860"/>
    <w:rsid w:val="00D4280D"/>
    <w:rsid w:val="00D42B76"/>
    <w:rsid w:val="00D43787"/>
    <w:rsid w:val="00D447D8"/>
    <w:rsid w:val="00D450B5"/>
    <w:rsid w:val="00D45623"/>
    <w:rsid w:val="00D45942"/>
    <w:rsid w:val="00D45968"/>
    <w:rsid w:val="00D468AF"/>
    <w:rsid w:val="00D470FA"/>
    <w:rsid w:val="00D47F57"/>
    <w:rsid w:val="00D50983"/>
    <w:rsid w:val="00D52B36"/>
    <w:rsid w:val="00D53B35"/>
    <w:rsid w:val="00D5648F"/>
    <w:rsid w:val="00D5686A"/>
    <w:rsid w:val="00D56E3B"/>
    <w:rsid w:val="00D57CC2"/>
    <w:rsid w:val="00D616EC"/>
    <w:rsid w:val="00D637B9"/>
    <w:rsid w:val="00D648BA"/>
    <w:rsid w:val="00D66A4D"/>
    <w:rsid w:val="00D66CAE"/>
    <w:rsid w:val="00D671A7"/>
    <w:rsid w:val="00D70338"/>
    <w:rsid w:val="00D724E1"/>
    <w:rsid w:val="00D76A95"/>
    <w:rsid w:val="00D801E1"/>
    <w:rsid w:val="00D82515"/>
    <w:rsid w:val="00D82682"/>
    <w:rsid w:val="00D82E21"/>
    <w:rsid w:val="00D83F64"/>
    <w:rsid w:val="00D840E2"/>
    <w:rsid w:val="00D846FE"/>
    <w:rsid w:val="00D860CB"/>
    <w:rsid w:val="00D8622A"/>
    <w:rsid w:val="00D87C68"/>
    <w:rsid w:val="00D918B6"/>
    <w:rsid w:val="00D92783"/>
    <w:rsid w:val="00D92B70"/>
    <w:rsid w:val="00D92D3B"/>
    <w:rsid w:val="00D9456A"/>
    <w:rsid w:val="00D94B4E"/>
    <w:rsid w:val="00D94DBD"/>
    <w:rsid w:val="00D9751A"/>
    <w:rsid w:val="00D97B76"/>
    <w:rsid w:val="00DA00BB"/>
    <w:rsid w:val="00DA38F9"/>
    <w:rsid w:val="00DA776D"/>
    <w:rsid w:val="00DA7AAB"/>
    <w:rsid w:val="00DB0815"/>
    <w:rsid w:val="00DB1859"/>
    <w:rsid w:val="00DB6676"/>
    <w:rsid w:val="00DC2ABE"/>
    <w:rsid w:val="00DC39EA"/>
    <w:rsid w:val="00DC59DE"/>
    <w:rsid w:val="00DC7217"/>
    <w:rsid w:val="00DC79BB"/>
    <w:rsid w:val="00DC7DF5"/>
    <w:rsid w:val="00DD11EB"/>
    <w:rsid w:val="00DD13F1"/>
    <w:rsid w:val="00DD1B8B"/>
    <w:rsid w:val="00DD1F32"/>
    <w:rsid w:val="00DD23D6"/>
    <w:rsid w:val="00DD4855"/>
    <w:rsid w:val="00DD75C4"/>
    <w:rsid w:val="00DE1FBA"/>
    <w:rsid w:val="00DE4550"/>
    <w:rsid w:val="00DE55DE"/>
    <w:rsid w:val="00DE5968"/>
    <w:rsid w:val="00DE59E0"/>
    <w:rsid w:val="00DE6A2A"/>
    <w:rsid w:val="00DF1227"/>
    <w:rsid w:val="00DF131F"/>
    <w:rsid w:val="00DF2C98"/>
    <w:rsid w:val="00DF4430"/>
    <w:rsid w:val="00DF77FD"/>
    <w:rsid w:val="00DF7AB6"/>
    <w:rsid w:val="00E00DCA"/>
    <w:rsid w:val="00E00FCD"/>
    <w:rsid w:val="00E033B7"/>
    <w:rsid w:val="00E038DB"/>
    <w:rsid w:val="00E04FFB"/>
    <w:rsid w:val="00E05EEE"/>
    <w:rsid w:val="00E065DD"/>
    <w:rsid w:val="00E075A8"/>
    <w:rsid w:val="00E07D5A"/>
    <w:rsid w:val="00E105EE"/>
    <w:rsid w:val="00E10D91"/>
    <w:rsid w:val="00E12A08"/>
    <w:rsid w:val="00E134FC"/>
    <w:rsid w:val="00E1436B"/>
    <w:rsid w:val="00E14F22"/>
    <w:rsid w:val="00E151BD"/>
    <w:rsid w:val="00E170FA"/>
    <w:rsid w:val="00E2020E"/>
    <w:rsid w:val="00E20D15"/>
    <w:rsid w:val="00E2486C"/>
    <w:rsid w:val="00E25A13"/>
    <w:rsid w:val="00E262A8"/>
    <w:rsid w:val="00E26F75"/>
    <w:rsid w:val="00E3035F"/>
    <w:rsid w:val="00E3064C"/>
    <w:rsid w:val="00E328D2"/>
    <w:rsid w:val="00E33007"/>
    <w:rsid w:val="00E34483"/>
    <w:rsid w:val="00E3456D"/>
    <w:rsid w:val="00E3517E"/>
    <w:rsid w:val="00E406B2"/>
    <w:rsid w:val="00E4190D"/>
    <w:rsid w:val="00E44987"/>
    <w:rsid w:val="00E44F34"/>
    <w:rsid w:val="00E45859"/>
    <w:rsid w:val="00E47666"/>
    <w:rsid w:val="00E47C2B"/>
    <w:rsid w:val="00E504E9"/>
    <w:rsid w:val="00E507A9"/>
    <w:rsid w:val="00E5253D"/>
    <w:rsid w:val="00E52E3C"/>
    <w:rsid w:val="00E53860"/>
    <w:rsid w:val="00E554E7"/>
    <w:rsid w:val="00E5688C"/>
    <w:rsid w:val="00E57235"/>
    <w:rsid w:val="00E57C72"/>
    <w:rsid w:val="00E60AEE"/>
    <w:rsid w:val="00E6547E"/>
    <w:rsid w:val="00E65E36"/>
    <w:rsid w:val="00E669A1"/>
    <w:rsid w:val="00E67625"/>
    <w:rsid w:val="00E700D9"/>
    <w:rsid w:val="00E75FF6"/>
    <w:rsid w:val="00E77488"/>
    <w:rsid w:val="00E77A6F"/>
    <w:rsid w:val="00E80BC0"/>
    <w:rsid w:val="00E8390A"/>
    <w:rsid w:val="00E83A3B"/>
    <w:rsid w:val="00E87F61"/>
    <w:rsid w:val="00E901D7"/>
    <w:rsid w:val="00E91594"/>
    <w:rsid w:val="00E9172D"/>
    <w:rsid w:val="00E922BE"/>
    <w:rsid w:val="00E9258D"/>
    <w:rsid w:val="00E9268E"/>
    <w:rsid w:val="00E92B00"/>
    <w:rsid w:val="00E9368B"/>
    <w:rsid w:val="00E93D67"/>
    <w:rsid w:val="00E94D9A"/>
    <w:rsid w:val="00E953FA"/>
    <w:rsid w:val="00E97E28"/>
    <w:rsid w:val="00EA1839"/>
    <w:rsid w:val="00EA36D7"/>
    <w:rsid w:val="00EA484D"/>
    <w:rsid w:val="00EA4A96"/>
    <w:rsid w:val="00EB1A14"/>
    <w:rsid w:val="00EB240B"/>
    <w:rsid w:val="00EB2EEA"/>
    <w:rsid w:val="00EB3B0A"/>
    <w:rsid w:val="00EB3DAC"/>
    <w:rsid w:val="00EB4093"/>
    <w:rsid w:val="00EB46F3"/>
    <w:rsid w:val="00EB4958"/>
    <w:rsid w:val="00EB5716"/>
    <w:rsid w:val="00EC1371"/>
    <w:rsid w:val="00EC2445"/>
    <w:rsid w:val="00EC2844"/>
    <w:rsid w:val="00EC33B2"/>
    <w:rsid w:val="00EC3796"/>
    <w:rsid w:val="00EC41A4"/>
    <w:rsid w:val="00EC4578"/>
    <w:rsid w:val="00EC5D78"/>
    <w:rsid w:val="00EC6563"/>
    <w:rsid w:val="00EC7294"/>
    <w:rsid w:val="00EC7555"/>
    <w:rsid w:val="00EC7728"/>
    <w:rsid w:val="00ED0109"/>
    <w:rsid w:val="00ED0680"/>
    <w:rsid w:val="00ED10A6"/>
    <w:rsid w:val="00ED27B9"/>
    <w:rsid w:val="00ED2905"/>
    <w:rsid w:val="00ED3D65"/>
    <w:rsid w:val="00ED4AAB"/>
    <w:rsid w:val="00ED4AC2"/>
    <w:rsid w:val="00ED72B5"/>
    <w:rsid w:val="00ED7E7A"/>
    <w:rsid w:val="00EE0B2C"/>
    <w:rsid w:val="00EE0D8C"/>
    <w:rsid w:val="00EE149D"/>
    <w:rsid w:val="00EE172B"/>
    <w:rsid w:val="00EE3F56"/>
    <w:rsid w:val="00EE4606"/>
    <w:rsid w:val="00EE4BB2"/>
    <w:rsid w:val="00EE5206"/>
    <w:rsid w:val="00EE560A"/>
    <w:rsid w:val="00EE6B47"/>
    <w:rsid w:val="00EE733B"/>
    <w:rsid w:val="00EE7B6D"/>
    <w:rsid w:val="00EF13A5"/>
    <w:rsid w:val="00EF1724"/>
    <w:rsid w:val="00EF1AA9"/>
    <w:rsid w:val="00EF1B4E"/>
    <w:rsid w:val="00EF1CC2"/>
    <w:rsid w:val="00EF28B7"/>
    <w:rsid w:val="00EF5079"/>
    <w:rsid w:val="00EF7A77"/>
    <w:rsid w:val="00EF7DE3"/>
    <w:rsid w:val="00F006C9"/>
    <w:rsid w:val="00F02F54"/>
    <w:rsid w:val="00F03278"/>
    <w:rsid w:val="00F03638"/>
    <w:rsid w:val="00F039ED"/>
    <w:rsid w:val="00F03F16"/>
    <w:rsid w:val="00F0620D"/>
    <w:rsid w:val="00F06391"/>
    <w:rsid w:val="00F06775"/>
    <w:rsid w:val="00F07ECC"/>
    <w:rsid w:val="00F10116"/>
    <w:rsid w:val="00F11B23"/>
    <w:rsid w:val="00F1261A"/>
    <w:rsid w:val="00F1344F"/>
    <w:rsid w:val="00F13850"/>
    <w:rsid w:val="00F13A34"/>
    <w:rsid w:val="00F146CB"/>
    <w:rsid w:val="00F14B1E"/>
    <w:rsid w:val="00F15D92"/>
    <w:rsid w:val="00F173D1"/>
    <w:rsid w:val="00F220EF"/>
    <w:rsid w:val="00F221EE"/>
    <w:rsid w:val="00F22379"/>
    <w:rsid w:val="00F2298C"/>
    <w:rsid w:val="00F23E39"/>
    <w:rsid w:val="00F24CF2"/>
    <w:rsid w:val="00F25096"/>
    <w:rsid w:val="00F25235"/>
    <w:rsid w:val="00F254F6"/>
    <w:rsid w:val="00F267B1"/>
    <w:rsid w:val="00F3022D"/>
    <w:rsid w:val="00F30708"/>
    <w:rsid w:val="00F31B3B"/>
    <w:rsid w:val="00F31E35"/>
    <w:rsid w:val="00F3228A"/>
    <w:rsid w:val="00F3395E"/>
    <w:rsid w:val="00F33A72"/>
    <w:rsid w:val="00F3415D"/>
    <w:rsid w:val="00F363F1"/>
    <w:rsid w:val="00F37256"/>
    <w:rsid w:val="00F37FB9"/>
    <w:rsid w:val="00F40F89"/>
    <w:rsid w:val="00F43DFC"/>
    <w:rsid w:val="00F45E5A"/>
    <w:rsid w:val="00F5125B"/>
    <w:rsid w:val="00F54740"/>
    <w:rsid w:val="00F57A3E"/>
    <w:rsid w:val="00F62899"/>
    <w:rsid w:val="00F637A9"/>
    <w:rsid w:val="00F63A4A"/>
    <w:rsid w:val="00F63E31"/>
    <w:rsid w:val="00F645AE"/>
    <w:rsid w:val="00F67D00"/>
    <w:rsid w:val="00F67D2C"/>
    <w:rsid w:val="00F70011"/>
    <w:rsid w:val="00F720FA"/>
    <w:rsid w:val="00F733B2"/>
    <w:rsid w:val="00F74F1B"/>
    <w:rsid w:val="00F7530E"/>
    <w:rsid w:val="00F75DF6"/>
    <w:rsid w:val="00F772EA"/>
    <w:rsid w:val="00F77698"/>
    <w:rsid w:val="00F81C49"/>
    <w:rsid w:val="00F83BC2"/>
    <w:rsid w:val="00F84ED2"/>
    <w:rsid w:val="00F90290"/>
    <w:rsid w:val="00F915B8"/>
    <w:rsid w:val="00F91B3B"/>
    <w:rsid w:val="00F92370"/>
    <w:rsid w:val="00F94EC0"/>
    <w:rsid w:val="00F976C6"/>
    <w:rsid w:val="00FA093E"/>
    <w:rsid w:val="00FA0C52"/>
    <w:rsid w:val="00FA215D"/>
    <w:rsid w:val="00FA2451"/>
    <w:rsid w:val="00FA457D"/>
    <w:rsid w:val="00FA6E33"/>
    <w:rsid w:val="00FA72B1"/>
    <w:rsid w:val="00FB4E75"/>
    <w:rsid w:val="00FC0614"/>
    <w:rsid w:val="00FC0B28"/>
    <w:rsid w:val="00FC479C"/>
    <w:rsid w:val="00FC548B"/>
    <w:rsid w:val="00FC6E57"/>
    <w:rsid w:val="00FC7151"/>
    <w:rsid w:val="00FD0C02"/>
    <w:rsid w:val="00FD1FCF"/>
    <w:rsid w:val="00FD282F"/>
    <w:rsid w:val="00FD29CF"/>
    <w:rsid w:val="00FD6EAA"/>
    <w:rsid w:val="00FD7D55"/>
    <w:rsid w:val="00FE0ABB"/>
    <w:rsid w:val="00FE141F"/>
    <w:rsid w:val="00FE16CB"/>
    <w:rsid w:val="00FE20F0"/>
    <w:rsid w:val="00FE3AD7"/>
    <w:rsid w:val="00FE461D"/>
    <w:rsid w:val="00FE4EE8"/>
    <w:rsid w:val="00FE53D7"/>
    <w:rsid w:val="00FE7911"/>
    <w:rsid w:val="00FF1735"/>
    <w:rsid w:val="00FF31C9"/>
    <w:rsid w:val="00FF3D51"/>
    <w:rsid w:val="00FF663F"/>
    <w:rsid w:val="00FF69A5"/>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82A9-4713-486F-828C-527FB50E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dcterms:created xsi:type="dcterms:W3CDTF">2022-07-20T17:53:00Z</dcterms:created>
  <dcterms:modified xsi:type="dcterms:W3CDTF">2022-07-20T17:53:00Z</dcterms:modified>
</cp:coreProperties>
</file>