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08731" w14:textId="6D467AB1" w:rsidR="004A1092" w:rsidRPr="00430469" w:rsidRDefault="004A1092" w:rsidP="004A1092">
      <w:pPr>
        <w:spacing w:line="360" w:lineRule="auto"/>
        <w:jc w:val="center"/>
        <w:rPr>
          <w:rFonts w:ascii="Arial" w:hAnsi="Arial" w:cs="Arial"/>
          <w:b/>
          <w:lang w:val="en-GB"/>
        </w:rPr>
      </w:pPr>
      <w:bookmarkStart w:id="0" w:name="_GoBack"/>
      <w:bookmarkEnd w:id="0"/>
      <w:r w:rsidRPr="00430469">
        <w:rPr>
          <w:noProof/>
          <w:sz w:val="32"/>
          <w:lang w:eastAsia="en-ZA"/>
        </w:rPr>
        <w:drawing>
          <wp:inline distT="0" distB="0" distL="0" distR="0" wp14:anchorId="49333EE7" wp14:editId="4E010972">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6FF3094" w14:textId="77777777" w:rsidR="004A1092" w:rsidRPr="00430469" w:rsidRDefault="004A1092" w:rsidP="004A1092">
      <w:pPr>
        <w:spacing w:line="360" w:lineRule="auto"/>
        <w:jc w:val="center"/>
        <w:rPr>
          <w:rFonts w:ascii="Arial" w:hAnsi="Arial" w:cs="Arial"/>
          <w:b/>
          <w:lang w:val="en-GB"/>
        </w:rPr>
      </w:pPr>
      <w:r w:rsidRPr="00430469">
        <w:rPr>
          <w:rFonts w:ascii="Arial" w:hAnsi="Arial" w:cs="Arial"/>
          <w:b/>
          <w:lang w:val="en-GB"/>
        </w:rPr>
        <w:t>IN THE HIGH COURT OF SOUTH AFRICA</w:t>
      </w:r>
    </w:p>
    <w:p w14:paraId="56F76612" w14:textId="77777777" w:rsidR="004A1092" w:rsidRPr="00430469" w:rsidRDefault="004A1092" w:rsidP="004A1092">
      <w:pPr>
        <w:spacing w:line="360" w:lineRule="auto"/>
        <w:jc w:val="center"/>
        <w:rPr>
          <w:rFonts w:ascii="Arial" w:hAnsi="Arial" w:cs="Arial"/>
          <w:b/>
          <w:lang w:val="en-GB"/>
        </w:rPr>
      </w:pPr>
      <w:r w:rsidRPr="00430469">
        <w:rPr>
          <w:rFonts w:ascii="Arial" w:hAnsi="Arial" w:cs="Arial"/>
          <w:b/>
          <w:lang w:val="en-GB"/>
        </w:rPr>
        <w:t>(EASTERN CAPE DIVISION, GRAHAMSTOWN)</w:t>
      </w:r>
    </w:p>
    <w:p w14:paraId="56BED93A" w14:textId="77777777" w:rsidR="004A1092" w:rsidRDefault="004A1092" w:rsidP="004A1092">
      <w:pPr>
        <w:spacing w:line="360" w:lineRule="auto"/>
        <w:jc w:val="center"/>
        <w:rPr>
          <w:rFonts w:ascii="Arial" w:hAnsi="Arial" w:cs="Arial"/>
          <w:b/>
          <w:lang w:val="en-GB"/>
        </w:rPr>
      </w:pPr>
    </w:p>
    <w:p w14:paraId="48B71A28" w14:textId="36971787" w:rsidR="004A1092" w:rsidRDefault="004A1092" w:rsidP="004A1092">
      <w:pPr>
        <w:spacing w:line="360" w:lineRule="auto"/>
        <w:jc w:val="center"/>
        <w:rPr>
          <w:rFonts w:ascii="Arial" w:hAnsi="Arial" w:cs="Arial"/>
          <w:b/>
          <w:lang w:val="en-GB"/>
        </w:rPr>
      </w:pPr>
      <w:r w:rsidRPr="00430469">
        <w:rPr>
          <w:rFonts w:ascii="Arial" w:hAnsi="Arial" w:cs="Arial"/>
          <w:b/>
          <w:lang w:val="en-GB"/>
        </w:rPr>
        <w:t xml:space="preserve">                                                                             </w:t>
      </w:r>
      <w:r w:rsidR="001E6D8F">
        <w:rPr>
          <w:rFonts w:ascii="Arial" w:hAnsi="Arial" w:cs="Arial"/>
          <w:b/>
          <w:lang w:val="en-GB"/>
        </w:rPr>
        <w:t xml:space="preserve">                      Case no: 1359</w:t>
      </w:r>
      <w:r w:rsidRPr="00430469">
        <w:rPr>
          <w:rFonts w:ascii="Arial" w:hAnsi="Arial" w:cs="Arial"/>
          <w:b/>
          <w:lang w:val="en-GB"/>
        </w:rPr>
        <w:t>/2021</w:t>
      </w:r>
    </w:p>
    <w:p w14:paraId="33735A42" w14:textId="7AB8E9BB" w:rsidR="004A1092" w:rsidRDefault="00D529BC" w:rsidP="00D529BC">
      <w:pPr>
        <w:tabs>
          <w:tab w:val="left" w:pos="8364"/>
          <w:tab w:val="left" w:pos="8505"/>
        </w:tabs>
        <w:spacing w:line="360" w:lineRule="auto"/>
        <w:rPr>
          <w:rFonts w:ascii="Arial" w:hAnsi="Arial" w:cs="Arial"/>
          <w:b/>
          <w:lang w:val="en-GB"/>
        </w:rPr>
      </w:pPr>
      <w:r>
        <w:rPr>
          <w:rFonts w:ascii="Arial" w:hAnsi="Arial" w:cs="Arial"/>
          <w:b/>
          <w:lang w:val="en-GB"/>
        </w:rPr>
        <w:t xml:space="preserve">                                                                                   Date heard:03 December 2021</w:t>
      </w:r>
    </w:p>
    <w:p w14:paraId="6B5A54C4" w14:textId="51DC1AE7" w:rsidR="004A1092" w:rsidRPr="00430469" w:rsidRDefault="004A1092" w:rsidP="004A1092">
      <w:pPr>
        <w:spacing w:line="360" w:lineRule="auto"/>
        <w:jc w:val="center"/>
        <w:rPr>
          <w:rFonts w:ascii="Arial" w:hAnsi="Arial" w:cs="Arial"/>
          <w:b/>
          <w:lang w:val="en-GB"/>
        </w:rPr>
      </w:pPr>
      <w:r>
        <w:rPr>
          <w:rFonts w:ascii="Arial" w:hAnsi="Arial" w:cs="Arial"/>
          <w:b/>
          <w:lang w:val="en-GB"/>
        </w:rPr>
        <w:t xml:space="preserve">                                                          </w:t>
      </w:r>
      <w:r w:rsidR="001E6D8F">
        <w:rPr>
          <w:rFonts w:ascii="Arial" w:hAnsi="Arial" w:cs="Arial"/>
          <w:b/>
          <w:lang w:val="en-GB"/>
        </w:rPr>
        <w:t xml:space="preserve">              </w:t>
      </w:r>
      <w:r w:rsidR="00D529BC">
        <w:rPr>
          <w:rFonts w:ascii="Arial" w:hAnsi="Arial" w:cs="Arial"/>
          <w:b/>
          <w:lang w:val="en-GB"/>
        </w:rPr>
        <w:t xml:space="preserve">    </w:t>
      </w:r>
      <w:r w:rsidR="001E6D8F">
        <w:rPr>
          <w:rFonts w:ascii="Arial" w:hAnsi="Arial" w:cs="Arial"/>
          <w:b/>
          <w:lang w:val="en-GB"/>
        </w:rPr>
        <w:t>Date delivered: 15</w:t>
      </w:r>
      <w:r>
        <w:rPr>
          <w:rFonts w:ascii="Arial" w:hAnsi="Arial" w:cs="Arial"/>
          <w:b/>
          <w:lang w:val="en-GB"/>
        </w:rPr>
        <w:t xml:space="preserve"> February 2022</w:t>
      </w:r>
    </w:p>
    <w:p w14:paraId="261B3208" w14:textId="404B2C6C" w:rsidR="004A1092" w:rsidRPr="00D9573F" w:rsidRDefault="004A1092" w:rsidP="004A1092">
      <w:pPr>
        <w:spacing w:line="360" w:lineRule="auto"/>
        <w:jc w:val="both"/>
        <w:rPr>
          <w:rFonts w:ascii="Times New Roman" w:hAnsi="Times New Roman" w:cs="Times New Roman"/>
          <w:b/>
          <w:bCs/>
          <w:color w:val="000000" w:themeColor="text1"/>
          <w:sz w:val="28"/>
          <w:szCs w:val="28"/>
          <w:lang w:val="en-US"/>
        </w:rPr>
      </w:pPr>
      <w:r w:rsidRPr="00430469">
        <w:rPr>
          <w:rFonts w:ascii="Arial" w:hAnsi="Arial" w:cs="Arial"/>
          <w:b/>
          <w:lang w:val="en-GB"/>
        </w:rPr>
        <w:t xml:space="preserve">                                                         </w:t>
      </w:r>
      <w:r>
        <w:rPr>
          <w:rFonts w:ascii="Arial" w:hAnsi="Arial" w:cs="Arial"/>
          <w:b/>
          <w:lang w:val="en-GB"/>
        </w:rPr>
        <w:t xml:space="preserve">                                             </w:t>
      </w:r>
      <w:r w:rsidRPr="00430469">
        <w:rPr>
          <w:rFonts w:ascii="Arial" w:hAnsi="Arial" w:cs="Arial"/>
          <w:b/>
          <w:lang w:val="en-GB"/>
        </w:rPr>
        <w:t xml:space="preserve">  </w:t>
      </w:r>
      <w:r w:rsidR="00D529BC">
        <w:rPr>
          <w:rFonts w:ascii="Arial" w:hAnsi="Arial" w:cs="Arial"/>
          <w:b/>
          <w:lang w:val="en-GB"/>
        </w:rPr>
        <w:t xml:space="preserve">  </w:t>
      </w:r>
      <w:r>
        <w:rPr>
          <w:rFonts w:ascii="Times New Roman" w:hAnsi="Times New Roman" w:cs="Times New Roman"/>
          <w:b/>
          <w:bCs/>
          <w:color w:val="000000" w:themeColor="text1"/>
          <w:sz w:val="28"/>
          <w:szCs w:val="28"/>
          <w:lang w:val="en-US"/>
        </w:rPr>
        <w:t>OF INTEREST</w:t>
      </w:r>
    </w:p>
    <w:p w14:paraId="0372C54A" w14:textId="0A096959" w:rsidR="004A1092" w:rsidRPr="00430469" w:rsidRDefault="004A1092" w:rsidP="004A1092">
      <w:pPr>
        <w:spacing w:line="360" w:lineRule="auto"/>
        <w:ind w:right="-52"/>
        <w:jc w:val="center"/>
        <w:rPr>
          <w:rFonts w:ascii="Arial" w:hAnsi="Arial" w:cs="Arial"/>
          <w:b/>
          <w:lang w:val="en-GB"/>
        </w:rPr>
      </w:pPr>
    </w:p>
    <w:p w14:paraId="64F5795A" w14:textId="77777777" w:rsidR="004A1092" w:rsidRPr="00430469" w:rsidRDefault="004A1092" w:rsidP="004A1092">
      <w:pPr>
        <w:widowControl w:val="0"/>
        <w:spacing w:line="360" w:lineRule="auto"/>
        <w:jc w:val="right"/>
        <w:rPr>
          <w:spacing w:val="14"/>
          <w:kern w:val="2"/>
          <w:lang w:val="en-GB"/>
        </w:rPr>
      </w:pPr>
    </w:p>
    <w:p w14:paraId="383D6503" w14:textId="77777777" w:rsidR="004A1092" w:rsidRPr="00430469" w:rsidRDefault="004A1092" w:rsidP="004A1092">
      <w:pPr>
        <w:widowControl w:val="0"/>
        <w:spacing w:line="360" w:lineRule="auto"/>
        <w:jc w:val="both"/>
        <w:rPr>
          <w:rFonts w:ascii="Arial" w:hAnsi="Arial" w:cs="Arial"/>
          <w:spacing w:val="14"/>
          <w:kern w:val="2"/>
          <w:lang w:val="en-GB"/>
        </w:rPr>
      </w:pPr>
      <w:r w:rsidRPr="00430469">
        <w:rPr>
          <w:rFonts w:ascii="Arial" w:hAnsi="Arial" w:cs="Arial"/>
          <w:spacing w:val="14"/>
          <w:kern w:val="2"/>
          <w:lang w:val="en-GB"/>
        </w:rPr>
        <w:t>In the matter between</w:t>
      </w:r>
    </w:p>
    <w:p w14:paraId="2658EC79" w14:textId="77777777" w:rsidR="004A1092" w:rsidRPr="00430469" w:rsidRDefault="004A1092" w:rsidP="004A1092">
      <w:pPr>
        <w:widowControl w:val="0"/>
        <w:tabs>
          <w:tab w:val="right" w:pos="8198"/>
        </w:tabs>
        <w:spacing w:line="360" w:lineRule="auto"/>
        <w:jc w:val="both"/>
        <w:rPr>
          <w:spacing w:val="14"/>
          <w:kern w:val="2"/>
          <w:lang w:val="en-GB"/>
        </w:rPr>
      </w:pPr>
    </w:p>
    <w:p w14:paraId="471B788D" w14:textId="24A0814B" w:rsidR="001E6D8F" w:rsidRDefault="001E6D8F" w:rsidP="002647FF">
      <w:pPr>
        <w:widowControl w:val="0"/>
        <w:tabs>
          <w:tab w:val="right" w:pos="8647"/>
        </w:tabs>
        <w:spacing w:line="480" w:lineRule="auto"/>
        <w:rPr>
          <w:rFonts w:ascii="Arial" w:hAnsi="Arial" w:cs="Arial"/>
          <w:b/>
        </w:rPr>
      </w:pPr>
      <w:r>
        <w:rPr>
          <w:rFonts w:ascii="Arial" w:hAnsi="Arial" w:cs="Arial"/>
          <w:b/>
        </w:rPr>
        <w:t>DEAPARTMENT OF PUBLIC WORKS AND</w:t>
      </w:r>
      <w:r w:rsidRPr="00D353B1">
        <w:rPr>
          <w:rFonts w:ascii="Arial" w:hAnsi="Arial" w:cs="Arial"/>
          <w:b/>
        </w:rPr>
        <w:tab/>
      </w:r>
      <w:r w:rsidR="002647FF">
        <w:rPr>
          <w:rFonts w:ascii="Arial" w:hAnsi="Arial" w:cs="Arial"/>
          <w:b/>
        </w:rPr>
        <w:t xml:space="preserve"> </w:t>
      </w:r>
      <w:r w:rsidRPr="00D353B1">
        <w:rPr>
          <w:rFonts w:ascii="Arial" w:hAnsi="Arial" w:cs="Arial"/>
          <w:b/>
        </w:rPr>
        <w:t>Applicant</w:t>
      </w:r>
    </w:p>
    <w:p w14:paraId="6F8DBEC4" w14:textId="30570C22" w:rsidR="001E6D8F" w:rsidRPr="00D353B1" w:rsidRDefault="001E6D8F" w:rsidP="001E6D8F">
      <w:pPr>
        <w:widowControl w:val="0"/>
        <w:tabs>
          <w:tab w:val="right" w:pos="8647"/>
        </w:tabs>
        <w:spacing w:line="480" w:lineRule="auto"/>
        <w:rPr>
          <w:rFonts w:ascii="Arial" w:hAnsi="Arial" w:cs="Arial"/>
          <w:b/>
        </w:rPr>
      </w:pPr>
      <w:r>
        <w:rPr>
          <w:rFonts w:ascii="Arial" w:hAnsi="Arial" w:cs="Arial"/>
          <w:b/>
        </w:rPr>
        <w:t>INFRASTRUCTURE</w:t>
      </w:r>
    </w:p>
    <w:p w14:paraId="03EC9563" w14:textId="77777777" w:rsidR="001E6D8F" w:rsidRPr="00D353B1" w:rsidRDefault="001E6D8F" w:rsidP="001E6D8F">
      <w:pPr>
        <w:widowControl w:val="0"/>
        <w:tabs>
          <w:tab w:val="right" w:pos="8640"/>
        </w:tabs>
        <w:rPr>
          <w:rFonts w:ascii="Arial" w:hAnsi="Arial" w:cs="Arial"/>
          <w:b/>
        </w:rPr>
      </w:pPr>
    </w:p>
    <w:p w14:paraId="4284137D" w14:textId="77777777" w:rsidR="001E6D8F" w:rsidRPr="00D353B1" w:rsidRDefault="001E6D8F" w:rsidP="001E6D8F">
      <w:pPr>
        <w:widowControl w:val="0"/>
        <w:tabs>
          <w:tab w:val="right" w:pos="8640"/>
        </w:tabs>
        <w:spacing w:line="480" w:lineRule="auto"/>
        <w:rPr>
          <w:rFonts w:ascii="Arial" w:hAnsi="Arial" w:cs="Arial"/>
          <w:b/>
        </w:rPr>
      </w:pPr>
      <w:r w:rsidRPr="00D353B1">
        <w:rPr>
          <w:rFonts w:ascii="Arial" w:hAnsi="Arial" w:cs="Arial"/>
          <w:b/>
        </w:rPr>
        <w:t>AND</w:t>
      </w:r>
    </w:p>
    <w:p w14:paraId="5FEC6E89" w14:textId="77777777" w:rsidR="001E6D8F" w:rsidRPr="00D353B1" w:rsidRDefault="001E6D8F" w:rsidP="001E6D8F">
      <w:pPr>
        <w:widowControl w:val="0"/>
        <w:tabs>
          <w:tab w:val="right" w:pos="8640"/>
        </w:tabs>
        <w:spacing w:line="480" w:lineRule="auto"/>
        <w:rPr>
          <w:rFonts w:ascii="Arial" w:hAnsi="Arial" w:cs="Arial"/>
          <w:b/>
        </w:rPr>
      </w:pPr>
    </w:p>
    <w:p w14:paraId="0C596C98" w14:textId="63A14E61" w:rsidR="001E6D8F" w:rsidRPr="00D353B1" w:rsidRDefault="001E6D8F" w:rsidP="002647FF">
      <w:pPr>
        <w:widowControl w:val="0"/>
        <w:tabs>
          <w:tab w:val="right" w:pos="8640"/>
        </w:tabs>
        <w:spacing w:line="480" w:lineRule="auto"/>
        <w:rPr>
          <w:rFonts w:ascii="Arial" w:hAnsi="Arial" w:cs="Arial"/>
          <w:b/>
        </w:rPr>
      </w:pPr>
      <w:r>
        <w:rPr>
          <w:rFonts w:ascii="Arial" w:hAnsi="Arial" w:cs="Arial"/>
          <w:b/>
        </w:rPr>
        <w:t xml:space="preserve">WHITTLESEA BUILDERS AND CIVILS CC          </w:t>
      </w:r>
      <w:r w:rsidR="002647FF">
        <w:rPr>
          <w:rFonts w:ascii="Arial" w:hAnsi="Arial" w:cs="Arial"/>
          <w:b/>
        </w:rPr>
        <w:t xml:space="preserve">                    </w:t>
      </w:r>
      <w:r>
        <w:rPr>
          <w:rFonts w:ascii="Arial" w:hAnsi="Arial" w:cs="Arial"/>
          <w:b/>
        </w:rPr>
        <w:t>First</w:t>
      </w:r>
      <w:r w:rsidRPr="00D353B1">
        <w:rPr>
          <w:rFonts w:ascii="Arial" w:hAnsi="Arial" w:cs="Arial"/>
          <w:b/>
        </w:rPr>
        <w:t xml:space="preserve"> Respondent</w:t>
      </w:r>
    </w:p>
    <w:p w14:paraId="5DA7A922" w14:textId="6AA30A59" w:rsidR="001E6D8F" w:rsidRDefault="001E6D8F" w:rsidP="002647FF">
      <w:pPr>
        <w:widowControl w:val="0"/>
        <w:tabs>
          <w:tab w:val="right" w:pos="8640"/>
        </w:tabs>
        <w:spacing w:line="480" w:lineRule="auto"/>
        <w:rPr>
          <w:rFonts w:ascii="Arial" w:hAnsi="Arial" w:cs="Arial"/>
          <w:b/>
        </w:rPr>
      </w:pPr>
      <w:r>
        <w:rPr>
          <w:rFonts w:ascii="Arial" w:hAnsi="Arial" w:cs="Arial"/>
          <w:b/>
        </w:rPr>
        <w:t xml:space="preserve">WHITTLESEA TYRE REPAIRS AND MOTOR </w:t>
      </w:r>
      <w:r w:rsidR="002647FF">
        <w:rPr>
          <w:rFonts w:ascii="Arial" w:hAnsi="Arial" w:cs="Arial"/>
          <w:b/>
        </w:rPr>
        <w:t xml:space="preserve">                   </w:t>
      </w:r>
      <w:r>
        <w:rPr>
          <w:rFonts w:ascii="Arial" w:hAnsi="Arial" w:cs="Arial"/>
          <w:b/>
        </w:rPr>
        <w:t xml:space="preserve"> Second Respondent</w:t>
      </w:r>
    </w:p>
    <w:p w14:paraId="014D495E" w14:textId="465515F2" w:rsidR="001E6D8F" w:rsidRPr="00D353B1" w:rsidRDefault="001E6D8F" w:rsidP="001E6D8F">
      <w:pPr>
        <w:widowControl w:val="0"/>
        <w:tabs>
          <w:tab w:val="right" w:pos="8640"/>
        </w:tabs>
        <w:spacing w:line="480" w:lineRule="auto"/>
        <w:rPr>
          <w:rFonts w:ascii="Arial" w:hAnsi="Arial" w:cs="Arial"/>
          <w:b/>
        </w:rPr>
      </w:pPr>
      <w:r>
        <w:rPr>
          <w:rFonts w:ascii="Arial" w:hAnsi="Arial" w:cs="Arial"/>
          <w:b/>
        </w:rPr>
        <w:t>DEALERS</w:t>
      </w:r>
    </w:p>
    <w:p w14:paraId="01698A6D" w14:textId="6FB4645F" w:rsidR="001E6D8F" w:rsidRDefault="001E6D8F" w:rsidP="002647FF">
      <w:pPr>
        <w:widowControl w:val="0"/>
        <w:tabs>
          <w:tab w:val="right" w:pos="8364"/>
          <w:tab w:val="left" w:pos="8789"/>
        </w:tabs>
        <w:spacing w:line="480" w:lineRule="auto"/>
        <w:ind w:right="231"/>
        <w:rPr>
          <w:rFonts w:ascii="Arial" w:hAnsi="Arial" w:cs="Arial"/>
          <w:b/>
        </w:rPr>
      </w:pPr>
      <w:r>
        <w:rPr>
          <w:rFonts w:ascii="Arial" w:hAnsi="Arial" w:cs="Arial"/>
          <w:b/>
        </w:rPr>
        <w:t xml:space="preserve">FURTHER OCCUPIERS OF THE STRUCTURES                    Third </w:t>
      </w:r>
      <w:r w:rsidRPr="00D353B1">
        <w:rPr>
          <w:rFonts w:ascii="Arial" w:hAnsi="Arial" w:cs="Arial"/>
          <w:b/>
        </w:rPr>
        <w:t>Respondent</w:t>
      </w:r>
    </w:p>
    <w:p w14:paraId="767B75F6" w14:textId="05F69B7C" w:rsidR="001E6D8F" w:rsidRDefault="001E6D8F" w:rsidP="001E6D8F">
      <w:pPr>
        <w:widowControl w:val="0"/>
        <w:pBdr>
          <w:bottom w:val="single" w:sz="12" w:space="1" w:color="auto"/>
        </w:pBdr>
        <w:tabs>
          <w:tab w:val="right" w:pos="8364"/>
          <w:tab w:val="left" w:pos="8647"/>
        </w:tabs>
        <w:ind w:right="231"/>
        <w:rPr>
          <w:rFonts w:ascii="Arial" w:hAnsi="Arial" w:cs="Arial"/>
          <w:b/>
        </w:rPr>
      </w:pPr>
      <w:r>
        <w:rPr>
          <w:rFonts w:ascii="Arial" w:hAnsi="Arial" w:cs="Arial"/>
          <w:b/>
        </w:rPr>
        <w:t>AND/OR BUILDINGS ON ERF 166, WHITTLESEA</w:t>
      </w:r>
    </w:p>
    <w:p w14:paraId="60B79054" w14:textId="77777777" w:rsidR="00ED7081" w:rsidRPr="00D353B1" w:rsidRDefault="00ED7081" w:rsidP="001E6D8F">
      <w:pPr>
        <w:widowControl w:val="0"/>
        <w:pBdr>
          <w:bottom w:val="single" w:sz="12" w:space="1" w:color="auto"/>
        </w:pBdr>
        <w:tabs>
          <w:tab w:val="right" w:pos="8364"/>
          <w:tab w:val="left" w:pos="8647"/>
        </w:tabs>
        <w:ind w:right="231"/>
        <w:rPr>
          <w:rFonts w:ascii="Arial" w:hAnsi="Arial" w:cs="Arial"/>
          <w:b/>
        </w:rPr>
      </w:pPr>
    </w:p>
    <w:p w14:paraId="4C173AB7" w14:textId="77777777" w:rsidR="00FE0F79" w:rsidRPr="0007121F" w:rsidRDefault="00FE0F79" w:rsidP="002647FF">
      <w:pPr>
        <w:spacing w:line="360" w:lineRule="auto"/>
        <w:jc w:val="both"/>
        <w:rPr>
          <w:rFonts w:ascii="Arial" w:hAnsi="Arial" w:cs="Arial"/>
          <w:b/>
        </w:rPr>
      </w:pPr>
    </w:p>
    <w:p w14:paraId="0D273151" w14:textId="00C36FE5" w:rsidR="002647FF" w:rsidRDefault="002647FF" w:rsidP="002647FF">
      <w:pPr>
        <w:spacing w:line="360" w:lineRule="auto"/>
        <w:jc w:val="center"/>
        <w:rPr>
          <w:rFonts w:ascii="Arial" w:hAnsi="Arial" w:cs="Arial"/>
          <w:b/>
        </w:rPr>
      </w:pPr>
      <w:r w:rsidRPr="0007121F">
        <w:rPr>
          <w:rFonts w:ascii="Arial" w:hAnsi="Arial" w:cs="Arial"/>
          <w:b/>
        </w:rPr>
        <w:t xml:space="preserve">JUDGMENT </w:t>
      </w:r>
    </w:p>
    <w:p w14:paraId="49C05906" w14:textId="4CB39B11" w:rsidR="004A1092" w:rsidRPr="00430469" w:rsidRDefault="002647FF" w:rsidP="00EB7CFC">
      <w:pPr>
        <w:spacing w:line="360" w:lineRule="auto"/>
        <w:jc w:val="both"/>
        <w:rPr>
          <w:rFonts w:ascii="Arial" w:hAnsi="Arial" w:cs="Arial"/>
          <w:b/>
          <w:lang w:val="en-GB"/>
        </w:rPr>
      </w:pPr>
      <w:r w:rsidRPr="0007121F">
        <w:rPr>
          <w:rFonts w:ascii="Arial" w:hAnsi="Arial" w:cs="Arial"/>
          <w:b/>
        </w:rPr>
        <w:t>___________________________________</w:t>
      </w:r>
      <w:r w:rsidR="00FE0F79">
        <w:rPr>
          <w:rFonts w:ascii="Arial" w:hAnsi="Arial" w:cs="Arial"/>
          <w:b/>
        </w:rPr>
        <w:t>_______________________________</w:t>
      </w:r>
    </w:p>
    <w:p w14:paraId="73240DD3" w14:textId="77777777" w:rsidR="004A1092" w:rsidRDefault="004A1092" w:rsidP="004A1092">
      <w:pPr>
        <w:spacing w:line="360" w:lineRule="auto"/>
        <w:jc w:val="both"/>
        <w:rPr>
          <w:rFonts w:ascii="Arial" w:hAnsi="Arial" w:cs="Arial"/>
          <w:b/>
          <w:lang w:val="en-GB"/>
        </w:rPr>
      </w:pPr>
      <w:r w:rsidRPr="00430469">
        <w:rPr>
          <w:rFonts w:ascii="Arial" w:hAnsi="Arial" w:cs="Arial"/>
          <w:b/>
          <w:lang w:val="en-GB"/>
        </w:rPr>
        <w:t>GOVINDJEE, J</w:t>
      </w:r>
    </w:p>
    <w:p w14:paraId="0E2C3B16" w14:textId="537AC341" w:rsidR="00624487" w:rsidRDefault="00624487" w:rsidP="00504179">
      <w:pPr>
        <w:spacing w:line="360" w:lineRule="auto"/>
        <w:jc w:val="both"/>
        <w:rPr>
          <w:rFonts w:ascii="Arial" w:hAnsi="Arial" w:cs="Arial"/>
          <w:b/>
          <w:bCs/>
          <w:color w:val="000000" w:themeColor="text1"/>
          <w:lang w:val="en-US"/>
        </w:rPr>
      </w:pPr>
      <w:r w:rsidRPr="003073BF">
        <w:rPr>
          <w:rFonts w:ascii="Arial" w:hAnsi="Arial" w:cs="Arial"/>
          <w:b/>
          <w:bCs/>
          <w:color w:val="000000" w:themeColor="text1"/>
          <w:lang w:val="en-US"/>
        </w:rPr>
        <w:lastRenderedPageBreak/>
        <w:t>Background</w:t>
      </w:r>
    </w:p>
    <w:p w14:paraId="27A1684F" w14:textId="77777777" w:rsidR="00D529BC" w:rsidRPr="003073BF" w:rsidRDefault="00D529BC" w:rsidP="00504179">
      <w:pPr>
        <w:spacing w:line="360" w:lineRule="auto"/>
        <w:jc w:val="both"/>
        <w:rPr>
          <w:rFonts w:ascii="Arial" w:hAnsi="Arial" w:cs="Arial"/>
          <w:b/>
          <w:bCs/>
          <w:color w:val="000000" w:themeColor="text1"/>
          <w:lang w:val="en-US"/>
        </w:rPr>
      </w:pPr>
    </w:p>
    <w:p w14:paraId="02A76800" w14:textId="5567AD88" w:rsidR="00BA0554" w:rsidRPr="00F6521F" w:rsidRDefault="00611706" w:rsidP="004A1092">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The first respondent entered into a standard lease agreement with ‘The Provincial Government of the Eastern Cape (</w:t>
      </w:r>
      <w:r w:rsidR="00D529BC" w:rsidRPr="00F6521F">
        <w:rPr>
          <w:rFonts w:ascii="Arial" w:hAnsi="Arial" w:cs="Arial"/>
          <w:color w:val="000000" w:themeColor="text1"/>
          <w:lang w:val="en-US"/>
        </w:rPr>
        <w:t>Dep</w:t>
      </w:r>
      <w:r w:rsidR="00D529BC">
        <w:rPr>
          <w:rFonts w:ascii="Arial" w:hAnsi="Arial" w:cs="Arial"/>
          <w:color w:val="000000" w:themeColor="text1"/>
          <w:lang w:val="en-US"/>
        </w:rPr>
        <w:t>a</w:t>
      </w:r>
      <w:r w:rsidR="00D529BC" w:rsidRPr="00F6521F">
        <w:rPr>
          <w:rFonts w:ascii="Arial" w:hAnsi="Arial" w:cs="Arial"/>
          <w:color w:val="000000" w:themeColor="text1"/>
          <w:lang w:val="en-US"/>
        </w:rPr>
        <w:t>rtment</w:t>
      </w:r>
      <w:r w:rsidRPr="00F6521F">
        <w:rPr>
          <w:rFonts w:ascii="Arial" w:hAnsi="Arial" w:cs="Arial"/>
          <w:color w:val="000000" w:themeColor="text1"/>
          <w:lang w:val="en-US"/>
        </w:rPr>
        <w:t xml:space="preserve"> of Public Works)’ in October 2008.</w:t>
      </w:r>
      <w:r w:rsidR="00E4101D" w:rsidRPr="00F6521F">
        <w:rPr>
          <w:rFonts w:ascii="Arial" w:hAnsi="Arial" w:cs="Arial"/>
          <w:color w:val="000000" w:themeColor="text1"/>
          <w:lang w:val="en-US"/>
        </w:rPr>
        <w:t xml:space="preserve"> </w:t>
      </w:r>
      <w:r w:rsidR="008572A3" w:rsidRPr="00F6521F">
        <w:rPr>
          <w:rFonts w:ascii="Arial" w:hAnsi="Arial" w:cs="Arial"/>
          <w:color w:val="000000" w:themeColor="text1"/>
          <w:lang w:val="en-US"/>
        </w:rPr>
        <w:t xml:space="preserve">The property leased is described as Erf 166, Whittlesea (the premises). </w:t>
      </w:r>
      <w:r w:rsidR="00E4101D" w:rsidRPr="00F6521F">
        <w:rPr>
          <w:rFonts w:ascii="Arial" w:hAnsi="Arial" w:cs="Arial"/>
          <w:color w:val="000000" w:themeColor="text1"/>
          <w:lang w:val="en-US"/>
        </w:rPr>
        <w:t>The lease commenced on 27 August 2008 and terminated on 27 August 2009. The agreement was then extended on at least four occasions, most recently for the period between 3 September 2013 and 2 September 2015.</w:t>
      </w:r>
      <w:r w:rsidR="00BA0554" w:rsidRPr="00F6521F">
        <w:rPr>
          <w:rFonts w:ascii="Arial" w:hAnsi="Arial" w:cs="Arial"/>
          <w:color w:val="000000" w:themeColor="text1"/>
          <w:lang w:val="en-US"/>
        </w:rPr>
        <w:t xml:space="preserve"> </w:t>
      </w:r>
    </w:p>
    <w:p w14:paraId="170DE2EB" w14:textId="77777777" w:rsidR="00BA0554" w:rsidRPr="00F6521F" w:rsidRDefault="00BA0554" w:rsidP="00504179">
      <w:pPr>
        <w:pStyle w:val="ListParagraph"/>
        <w:spacing w:line="360" w:lineRule="auto"/>
        <w:jc w:val="both"/>
        <w:rPr>
          <w:rFonts w:ascii="Arial" w:hAnsi="Arial" w:cs="Arial"/>
          <w:color w:val="000000" w:themeColor="text1"/>
          <w:lang w:val="en-US"/>
        </w:rPr>
      </w:pPr>
    </w:p>
    <w:p w14:paraId="2789025C" w14:textId="79590395" w:rsidR="00611706" w:rsidRPr="00F6521F" w:rsidRDefault="00BA0554" w:rsidP="004A1092">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The first respondent fell into arrears with payment of its monthly rental and signed an acknowledgement of debt during August 2012</w:t>
      </w:r>
      <w:r w:rsidR="00E66D7C" w:rsidRPr="00F6521F">
        <w:rPr>
          <w:rFonts w:ascii="Arial" w:hAnsi="Arial" w:cs="Arial"/>
          <w:color w:val="000000" w:themeColor="text1"/>
          <w:lang w:val="en-US"/>
        </w:rPr>
        <w:t xml:space="preserve">, including a commitment to repay the arrears by means of monthly instalments. </w:t>
      </w:r>
      <w:r w:rsidR="00AD3C02" w:rsidRPr="00F6521F">
        <w:rPr>
          <w:rFonts w:ascii="Arial" w:hAnsi="Arial" w:cs="Arial"/>
          <w:color w:val="000000" w:themeColor="text1"/>
          <w:lang w:val="en-US"/>
        </w:rPr>
        <w:t>These payments were not maintained, and notice was given to the first respondent on 17 March 2016 to vacate the premises</w:t>
      </w:r>
      <w:r w:rsidR="00EB1A3D" w:rsidRPr="00F6521F">
        <w:rPr>
          <w:rFonts w:ascii="Arial" w:hAnsi="Arial" w:cs="Arial"/>
          <w:color w:val="000000" w:themeColor="text1"/>
          <w:lang w:val="en-US"/>
        </w:rPr>
        <w:t>, which it claims was not received</w:t>
      </w:r>
      <w:r w:rsidR="00AD3C02" w:rsidRPr="00F6521F">
        <w:rPr>
          <w:rFonts w:ascii="Arial" w:hAnsi="Arial" w:cs="Arial"/>
          <w:color w:val="000000" w:themeColor="text1"/>
          <w:lang w:val="en-US"/>
        </w:rPr>
        <w:t>.</w:t>
      </w:r>
    </w:p>
    <w:p w14:paraId="3C1EA395" w14:textId="77777777" w:rsidR="00BA0554" w:rsidRPr="00F6521F" w:rsidRDefault="00BA0554" w:rsidP="00504179">
      <w:pPr>
        <w:pStyle w:val="ListParagraph"/>
        <w:spacing w:line="360" w:lineRule="auto"/>
        <w:jc w:val="both"/>
        <w:rPr>
          <w:rFonts w:ascii="Arial" w:hAnsi="Arial" w:cs="Arial"/>
          <w:color w:val="000000" w:themeColor="text1"/>
          <w:lang w:val="en-US"/>
        </w:rPr>
      </w:pPr>
    </w:p>
    <w:p w14:paraId="29BAD3B9" w14:textId="77777777" w:rsidR="00696C01" w:rsidRPr="00F6521F" w:rsidRDefault="00E11E4B" w:rsidP="004A1092">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The first respondent remains in occupation of the premises</w:t>
      </w:r>
      <w:r w:rsidR="00621743" w:rsidRPr="00F6521F">
        <w:rPr>
          <w:rFonts w:ascii="Arial" w:hAnsi="Arial" w:cs="Arial"/>
          <w:color w:val="000000" w:themeColor="text1"/>
          <w:lang w:val="en-US"/>
        </w:rPr>
        <w:t xml:space="preserve"> and has </w:t>
      </w:r>
      <w:r w:rsidR="00071325" w:rsidRPr="00F6521F">
        <w:rPr>
          <w:rFonts w:ascii="Arial" w:hAnsi="Arial" w:cs="Arial"/>
          <w:color w:val="000000" w:themeColor="text1"/>
          <w:lang w:val="en-US"/>
        </w:rPr>
        <w:t xml:space="preserve">sublet </w:t>
      </w:r>
      <w:r w:rsidR="00621743" w:rsidRPr="00F6521F">
        <w:rPr>
          <w:rFonts w:ascii="Arial" w:hAnsi="Arial" w:cs="Arial"/>
          <w:color w:val="000000" w:themeColor="text1"/>
          <w:lang w:val="en-US"/>
        </w:rPr>
        <w:t xml:space="preserve">various portions of the premises </w:t>
      </w:r>
      <w:r w:rsidR="00071325" w:rsidRPr="00F6521F">
        <w:rPr>
          <w:rFonts w:ascii="Arial" w:hAnsi="Arial" w:cs="Arial"/>
          <w:color w:val="000000" w:themeColor="text1"/>
          <w:lang w:val="en-US"/>
        </w:rPr>
        <w:t>to no less than seven individuals, who operate various types of businesses on the property.</w:t>
      </w:r>
      <w:r w:rsidR="00D60E1F" w:rsidRPr="00F6521F">
        <w:rPr>
          <w:rFonts w:ascii="Arial" w:hAnsi="Arial" w:cs="Arial"/>
          <w:color w:val="000000" w:themeColor="text1"/>
          <w:lang w:val="en-US"/>
        </w:rPr>
        <w:t xml:space="preserve"> </w:t>
      </w:r>
    </w:p>
    <w:p w14:paraId="7F591A6C" w14:textId="77777777" w:rsidR="00696C01" w:rsidRPr="00F6521F" w:rsidRDefault="00696C01" w:rsidP="00504179">
      <w:pPr>
        <w:pStyle w:val="ListParagraph"/>
        <w:spacing w:line="360" w:lineRule="auto"/>
        <w:jc w:val="both"/>
        <w:rPr>
          <w:rFonts w:ascii="Arial" w:hAnsi="Arial" w:cs="Arial"/>
          <w:color w:val="000000" w:themeColor="text1"/>
          <w:lang w:val="en-US"/>
        </w:rPr>
      </w:pPr>
    </w:p>
    <w:p w14:paraId="55C519C5" w14:textId="18B22BA0" w:rsidR="00696C01" w:rsidRPr="00F6521F" w:rsidRDefault="00696C01" w:rsidP="004A1092">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 xml:space="preserve">The second respondent entered into a lease agreement with the ‘Department of Roads and Public Works Eastern Cape Provincial Government’ on 2 September 2013. The lease was to terminate on 31 July 2016. </w:t>
      </w:r>
      <w:r w:rsidR="00DA7F5C" w:rsidRPr="00F6521F">
        <w:rPr>
          <w:rFonts w:ascii="Arial" w:hAnsi="Arial" w:cs="Arial"/>
          <w:color w:val="000000" w:themeColor="text1"/>
          <w:lang w:val="en-US"/>
        </w:rPr>
        <w:t xml:space="preserve">The property is described in this agreement as ‘Erf 166 Main Road, situated in the Lukhanji Municipality, Division of Whittlesea, Eastern Cape Province’. </w:t>
      </w:r>
      <w:r w:rsidRPr="00F6521F">
        <w:rPr>
          <w:rFonts w:ascii="Arial" w:hAnsi="Arial" w:cs="Arial"/>
          <w:color w:val="000000" w:themeColor="text1"/>
          <w:lang w:val="en-US"/>
        </w:rPr>
        <w:t>The second respondent fell into arrears and Zoleka Bula, representing the second respondent, signed an acknowledgment of debt in favour of the applicant on 9 March 2016.</w:t>
      </w:r>
      <w:r w:rsidR="00F05B23" w:rsidRPr="00F6521F">
        <w:rPr>
          <w:rFonts w:ascii="Arial" w:hAnsi="Arial" w:cs="Arial"/>
          <w:color w:val="000000" w:themeColor="text1"/>
          <w:lang w:val="en-US"/>
        </w:rPr>
        <w:t xml:space="preserve"> </w:t>
      </w:r>
      <w:r w:rsidR="00CD4A52" w:rsidRPr="00F6521F">
        <w:rPr>
          <w:rFonts w:ascii="Arial" w:hAnsi="Arial" w:cs="Arial"/>
          <w:color w:val="000000" w:themeColor="text1"/>
          <w:lang w:val="en-US"/>
        </w:rPr>
        <w:t>The applicant</w:t>
      </w:r>
      <w:r w:rsidR="00855BB0" w:rsidRPr="00F6521F">
        <w:rPr>
          <w:rFonts w:ascii="Arial" w:hAnsi="Arial" w:cs="Arial"/>
          <w:color w:val="000000" w:themeColor="text1"/>
          <w:lang w:val="en-US"/>
        </w:rPr>
        <w:t xml:space="preserve"> alleges that it</w:t>
      </w:r>
      <w:r w:rsidR="00CD4A52" w:rsidRPr="00F6521F">
        <w:rPr>
          <w:rFonts w:ascii="Arial" w:hAnsi="Arial" w:cs="Arial"/>
          <w:color w:val="000000" w:themeColor="text1"/>
          <w:lang w:val="en-US"/>
        </w:rPr>
        <w:t xml:space="preserve"> cancelled that lease agreement on 19 September 2016</w:t>
      </w:r>
      <w:r w:rsidR="00855BB0" w:rsidRPr="00F6521F">
        <w:rPr>
          <w:rFonts w:ascii="Arial" w:hAnsi="Arial" w:cs="Arial"/>
          <w:color w:val="000000" w:themeColor="text1"/>
          <w:lang w:val="en-US"/>
        </w:rPr>
        <w:t xml:space="preserve"> and </w:t>
      </w:r>
      <w:r w:rsidR="00A05281" w:rsidRPr="00F6521F">
        <w:rPr>
          <w:rFonts w:ascii="Arial" w:hAnsi="Arial" w:cs="Arial"/>
          <w:color w:val="000000" w:themeColor="text1"/>
          <w:lang w:val="en-US"/>
        </w:rPr>
        <w:t>gave notice to the second respondent</w:t>
      </w:r>
      <w:r w:rsidR="000F00FB" w:rsidRPr="00F6521F">
        <w:rPr>
          <w:rFonts w:ascii="Arial" w:hAnsi="Arial" w:cs="Arial"/>
          <w:color w:val="000000" w:themeColor="text1"/>
          <w:lang w:val="en-US"/>
        </w:rPr>
        <w:t xml:space="preserve"> to vacate the premises</w:t>
      </w:r>
      <w:r w:rsidR="00F87FB0" w:rsidRPr="00F6521F">
        <w:rPr>
          <w:rFonts w:ascii="Arial" w:hAnsi="Arial" w:cs="Arial"/>
          <w:color w:val="000000" w:themeColor="text1"/>
          <w:lang w:val="en-US"/>
        </w:rPr>
        <w:t>. Despite this, the second respondent</w:t>
      </w:r>
      <w:r w:rsidR="000F00FB" w:rsidRPr="00F6521F">
        <w:rPr>
          <w:rFonts w:ascii="Arial" w:hAnsi="Arial" w:cs="Arial"/>
          <w:color w:val="000000" w:themeColor="text1"/>
          <w:lang w:val="en-US"/>
        </w:rPr>
        <w:t xml:space="preserve"> remains in occupation.</w:t>
      </w:r>
      <w:r w:rsidR="00455C0F" w:rsidRPr="00F6521F">
        <w:rPr>
          <w:rFonts w:ascii="Arial" w:hAnsi="Arial" w:cs="Arial"/>
          <w:color w:val="000000" w:themeColor="text1"/>
          <w:lang w:val="en-US"/>
        </w:rPr>
        <w:t xml:space="preserve"> </w:t>
      </w:r>
      <w:r w:rsidR="009D7BF6" w:rsidRPr="00F6521F">
        <w:rPr>
          <w:rFonts w:ascii="Arial" w:hAnsi="Arial" w:cs="Arial"/>
          <w:color w:val="000000" w:themeColor="text1"/>
          <w:lang w:val="en-US"/>
        </w:rPr>
        <w:t xml:space="preserve">Other than claiming that the first respondent never received notice of cancellation, </w:t>
      </w:r>
      <w:r w:rsidR="00902731" w:rsidRPr="00F6521F">
        <w:rPr>
          <w:rFonts w:ascii="Arial" w:hAnsi="Arial" w:cs="Arial"/>
          <w:color w:val="000000" w:themeColor="text1"/>
          <w:lang w:val="en-US"/>
        </w:rPr>
        <w:t>this is admitted</w:t>
      </w:r>
      <w:r w:rsidR="00CE1F5F" w:rsidRPr="00F6521F">
        <w:rPr>
          <w:rFonts w:ascii="Arial" w:hAnsi="Arial" w:cs="Arial"/>
          <w:color w:val="000000" w:themeColor="text1"/>
          <w:lang w:val="en-US"/>
        </w:rPr>
        <w:t xml:space="preserve"> by the respondents.</w:t>
      </w:r>
      <w:r w:rsidR="00455C0F" w:rsidRPr="00F6521F">
        <w:rPr>
          <w:rFonts w:ascii="Arial" w:hAnsi="Arial" w:cs="Arial"/>
          <w:color w:val="000000" w:themeColor="text1"/>
          <w:lang w:val="en-US"/>
        </w:rPr>
        <w:t xml:space="preserve"> </w:t>
      </w:r>
    </w:p>
    <w:p w14:paraId="057A7ED3" w14:textId="77777777" w:rsidR="00696C01" w:rsidRPr="00F6521F" w:rsidRDefault="00696C01" w:rsidP="00504179">
      <w:pPr>
        <w:pStyle w:val="ListParagraph"/>
        <w:spacing w:line="360" w:lineRule="auto"/>
        <w:jc w:val="both"/>
        <w:rPr>
          <w:rFonts w:ascii="Arial" w:hAnsi="Arial" w:cs="Arial"/>
          <w:color w:val="000000" w:themeColor="text1"/>
          <w:lang w:val="en-US"/>
        </w:rPr>
      </w:pPr>
    </w:p>
    <w:p w14:paraId="71658EDF" w14:textId="5A3E295A" w:rsidR="00624487" w:rsidRPr="00F6521F" w:rsidRDefault="00AF7C6D" w:rsidP="004A1092">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During March 2021, t</w:t>
      </w:r>
      <w:r w:rsidR="00DA7F5C" w:rsidRPr="00F6521F">
        <w:rPr>
          <w:rFonts w:ascii="Arial" w:hAnsi="Arial" w:cs="Arial"/>
          <w:color w:val="000000" w:themeColor="text1"/>
          <w:lang w:val="en-US"/>
        </w:rPr>
        <w:t>he respondents were given further noti</w:t>
      </w:r>
      <w:r w:rsidR="003132D5" w:rsidRPr="00F6521F">
        <w:rPr>
          <w:rFonts w:ascii="Arial" w:hAnsi="Arial" w:cs="Arial"/>
          <w:color w:val="000000" w:themeColor="text1"/>
          <w:lang w:val="en-US"/>
        </w:rPr>
        <w:t>c</w:t>
      </w:r>
      <w:r w:rsidR="00DA7F5C" w:rsidRPr="00F6521F">
        <w:rPr>
          <w:rFonts w:ascii="Arial" w:hAnsi="Arial" w:cs="Arial"/>
          <w:color w:val="000000" w:themeColor="text1"/>
          <w:lang w:val="en-US"/>
        </w:rPr>
        <w:t xml:space="preserve">e to vacate the structure and / or </w:t>
      </w:r>
      <w:r w:rsidR="003132D5" w:rsidRPr="00F6521F">
        <w:rPr>
          <w:rFonts w:ascii="Arial" w:hAnsi="Arial" w:cs="Arial"/>
          <w:color w:val="000000" w:themeColor="text1"/>
          <w:lang w:val="en-US"/>
        </w:rPr>
        <w:t xml:space="preserve">buildings situated on the premises. The first respondent denies </w:t>
      </w:r>
      <w:r w:rsidR="003132D5" w:rsidRPr="00F6521F">
        <w:rPr>
          <w:rFonts w:ascii="Arial" w:hAnsi="Arial" w:cs="Arial"/>
          <w:color w:val="000000" w:themeColor="text1"/>
          <w:lang w:val="en-US"/>
        </w:rPr>
        <w:lastRenderedPageBreak/>
        <w:t>receiving this notice</w:t>
      </w:r>
      <w:r w:rsidRPr="00F6521F">
        <w:rPr>
          <w:rFonts w:ascii="Arial" w:hAnsi="Arial" w:cs="Arial"/>
          <w:color w:val="000000" w:themeColor="text1"/>
          <w:lang w:val="en-US"/>
        </w:rPr>
        <w:t>, e</w:t>
      </w:r>
      <w:r w:rsidR="00C662A1" w:rsidRPr="00F6521F">
        <w:rPr>
          <w:rFonts w:ascii="Arial" w:hAnsi="Arial" w:cs="Arial"/>
          <w:color w:val="000000" w:themeColor="text1"/>
          <w:lang w:val="en-US"/>
        </w:rPr>
        <w:t xml:space="preserve">ven though </w:t>
      </w:r>
      <w:r w:rsidR="00AC4D6A" w:rsidRPr="00F6521F">
        <w:rPr>
          <w:rFonts w:ascii="Arial" w:hAnsi="Arial" w:cs="Arial"/>
          <w:color w:val="000000" w:themeColor="text1"/>
          <w:lang w:val="en-US"/>
        </w:rPr>
        <w:t>it was signed for</w:t>
      </w:r>
      <w:r w:rsidR="003132D5" w:rsidRPr="00F6521F">
        <w:rPr>
          <w:rFonts w:ascii="Arial" w:hAnsi="Arial" w:cs="Arial"/>
          <w:color w:val="000000" w:themeColor="text1"/>
          <w:lang w:val="en-US"/>
        </w:rPr>
        <w:t>.</w:t>
      </w:r>
      <w:r w:rsidR="00AC4D6A" w:rsidRPr="00F6521F">
        <w:rPr>
          <w:rStyle w:val="FootnoteReference"/>
          <w:rFonts w:ascii="Arial" w:hAnsi="Arial" w:cs="Arial"/>
          <w:color w:val="000000" w:themeColor="text1"/>
          <w:lang w:val="en-US"/>
        </w:rPr>
        <w:footnoteReference w:id="1"/>
      </w:r>
      <w:r w:rsidR="003132D5" w:rsidRPr="00F6521F">
        <w:rPr>
          <w:rFonts w:ascii="Arial" w:hAnsi="Arial" w:cs="Arial"/>
          <w:color w:val="000000" w:themeColor="text1"/>
          <w:lang w:val="en-US"/>
        </w:rPr>
        <w:t xml:space="preserve"> </w:t>
      </w:r>
      <w:r w:rsidR="00106934" w:rsidRPr="00F6521F">
        <w:rPr>
          <w:rFonts w:ascii="Arial" w:hAnsi="Arial" w:cs="Arial"/>
          <w:color w:val="000000" w:themeColor="text1"/>
          <w:lang w:val="en-US"/>
        </w:rPr>
        <w:t xml:space="preserve">The applicant seeks an order for cancellation of </w:t>
      </w:r>
      <w:r w:rsidR="005C333B" w:rsidRPr="00F6521F">
        <w:rPr>
          <w:rFonts w:ascii="Arial" w:hAnsi="Arial" w:cs="Arial"/>
          <w:color w:val="000000" w:themeColor="text1"/>
          <w:lang w:val="en-US"/>
        </w:rPr>
        <w:t>the</w:t>
      </w:r>
      <w:r w:rsidR="00106934" w:rsidRPr="00F6521F">
        <w:rPr>
          <w:rFonts w:ascii="Arial" w:hAnsi="Arial" w:cs="Arial"/>
          <w:color w:val="000000" w:themeColor="text1"/>
          <w:lang w:val="en-US"/>
        </w:rPr>
        <w:t xml:space="preserve"> lease agreement</w:t>
      </w:r>
      <w:r w:rsidR="005C333B" w:rsidRPr="00F6521F">
        <w:rPr>
          <w:rFonts w:ascii="Arial" w:hAnsi="Arial" w:cs="Arial"/>
          <w:color w:val="000000" w:themeColor="text1"/>
          <w:lang w:val="en-US"/>
        </w:rPr>
        <w:t>s</w:t>
      </w:r>
      <w:r w:rsidR="00106934" w:rsidRPr="00F6521F">
        <w:rPr>
          <w:rFonts w:ascii="Arial" w:hAnsi="Arial" w:cs="Arial"/>
          <w:color w:val="000000" w:themeColor="text1"/>
          <w:lang w:val="en-US"/>
        </w:rPr>
        <w:t xml:space="preserve">, and eviction of the respondents from the structures and / or buildings </w:t>
      </w:r>
      <w:r w:rsidR="00F268A3" w:rsidRPr="00F6521F">
        <w:rPr>
          <w:rFonts w:ascii="Arial" w:hAnsi="Arial" w:cs="Arial"/>
          <w:color w:val="000000" w:themeColor="text1"/>
          <w:lang w:val="en-US"/>
        </w:rPr>
        <w:t xml:space="preserve">on </w:t>
      </w:r>
      <w:r w:rsidR="00106934" w:rsidRPr="00F6521F">
        <w:rPr>
          <w:rFonts w:ascii="Arial" w:hAnsi="Arial" w:cs="Arial"/>
          <w:color w:val="000000" w:themeColor="text1"/>
          <w:lang w:val="en-US"/>
        </w:rPr>
        <w:t>the premises.</w:t>
      </w:r>
    </w:p>
    <w:p w14:paraId="1DC5408F" w14:textId="77777777" w:rsidR="00E313CD" w:rsidRPr="00F6521F" w:rsidRDefault="00E313CD" w:rsidP="00504179">
      <w:pPr>
        <w:spacing w:line="360" w:lineRule="auto"/>
        <w:jc w:val="both"/>
        <w:rPr>
          <w:rFonts w:ascii="Arial" w:hAnsi="Arial" w:cs="Arial"/>
          <w:color w:val="000000" w:themeColor="text1"/>
          <w:lang w:val="en-US"/>
        </w:rPr>
      </w:pPr>
    </w:p>
    <w:p w14:paraId="125870E4" w14:textId="74F4CFDA" w:rsidR="00D5243A" w:rsidRPr="00F6521F" w:rsidRDefault="00106934" w:rsidP="004A1092">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 xml:space="preserve"> </w:t>
      </w:r>
      <w:r w:rsidR="00D5243A" w:rsidRPr="00F6521F">
        <w:rPr>
          <w:rFonts w:ascii="Arial" w:hAnsi="Arial" w:cs="Arial"/>
          <w:color w:val="000000" w:themeColor="text1"/>
          <w:lang w:val="en-US"/>
        </w:rPr>
        <w:t>The respondents raised three main grounds of opposition</w:t>
      </w:r>
      <w:r w:rsidR="000436CC" w:rsidRPr="00F6521F">
        <w:rPr>
          <w:rFonts w:ascii="Arial" w:hAnsi="Arial" w:cs="Arial"/>
          <w:color w:val="000000" w:themeColor="text1"/>
          <w:lang w:val="en-US"/>
        </w:rPr>
        <w:t>, detailed as follows</w:t>
      </w:r>
      <w:r w:rsidR="00D5243A" w:rsidRPr="00F6521F">
        <w:rPr>
          <w:rFonts w:ascii="Arial" w:hAnsi="Arial" w:cs="Arial"/>
          <w:color w:val="000000" w:themeColor="text1"/>
          <w:lang w:val="en-US"/>
        </w:rPr>
        <w:t xml:space="preserve">: </w:t>
      </w:r>
    </w:p>
    <w:p w14:paraId="22C34566" w14:textId="1208CA36" w:rsidR="00CA60C0" w:rsidRPr="00F6521F" w:rsidRDefault="00D13FA7" w:rsidP="00504179">
      <w:pPr>
        <w:pStyle w:val="ListParagraph"/>
        <w:numPr>
          <w:ilvl w:val="0"/>
          <w:numId w:val="2"/>
        </w:numPr>
        <w:spacing w:line="360" w:lineRule="auto"/>
        <w:jc w:val="both"/>
        <w:rPr>
          <w:rFonts w:ascii="Arial" w:hAnsi="Arial" w:cs="Arial"/>
          <w:color w:val="000000" w:themeColor="text1"/>
          <w:lang w:val="en-US"/>
        </w:rPr>
      </w:pPr>
      <w:r w:rsidRPr="00F6521F">
        <w:rPr>
          <w:rFonts w:ascii="Arial" w:hAnsi="Arial" w:cs="Arial"/>
          <w:color w:val="000000" w:themeColor="text1"/>
          <w:lang w:val="en-US"/>
        </w:rPr>
        <w:t xml:space="preserve">The applicant lacks locus standi to institute the proceedings. </w:t>
      </w:r>
      <w:r w:rsidR="00D5243A" w:rsidRPr="00F6521F">
        <w:rPr>
          <w:rFonts w:ascii="Arial" w:hAnsi="Arial" w:cs="Arial"/>
          <w:color w:val="000000" w:themeColor="text1"/>
          <w:lang w:val="en-US"/>
        </w:rPr>
        <w:t>There is no legal entity by the name of the ‘Provincial Department of Public Works’. The department is supposed to be represented in legal proceedings by the executing authority, who is its member of executive council for public works, who is accountable for the applicant in the provincial legislature in terms of section 4A of the State Liability Act, 1957</w:t>
      </w:r>
      <w:r w:rsidR="0033218A" w:rsidRPr="00F6521F">
        <w:rPr>
          <w:rFonts w:ascii="Arial" w:hAnsi="Arial" w:cs="Arial"/>
          <w:color w:val="000000" w:themeColor="text1"/>
          <w:lang w:val="en-US"/>
        </w:rPr>
        <w:t xml:space="preserve"> (‘SLA’)</w:t>
      </w:r>
      <w:r w:rsidR="00D5243A" w:rsidRPr="00F6521F">
        <w:rPr>
          <w:rFonts w:ascii="Arial" w:hAnsi="Arial" w:cs="Arial"/>
          <w:color w:val="000000" w:themeColor="text1"/>
          <w:lang w:val="en-US"/>
        </w:rPr>
        <w:t>.</w:t>
      </w:r>
      <w:r w:rsidR="00D5243A" w:rsidRPr="00F6521F">
        <w:rPr>
          <w:rStyle w:val="FootnoteReference"/>
          <w:rFonts w:ascii="Arial" w:hAnsi="Arial" w:cs="Arial"/>
          <w:color w:val="000000" w:themeColor="text1"/>
          <w:lang w:val="en-US"/>
        </w:rPr>
        <w:footnoteReference w:id="2"/>
      </w:r>
      <w:r w:rsidR="001E07D1" w:rsidRPr="00F6521F">
        <w:rPr>
          <w:rFonts w:ascii="Arial" w:hAnsi="Arial" w:cs="Arial"/>
          <w:color w:val="000000" w:themeColor="text1"/>
          <w:lang w:val="en-US"/>
        </w:rPr>
        <w:t xml:space="preserve"> At best for the applicant, it is the premier</w:t>
      </w:r>
      <w:r w:rsidR="00827496" w:rsidRPr="00F6521F">
        <w:rPr>
          <w:rFonts w:ascii="Arial" w:hAnsi="Arial" w:cs="Arial"/>
          <w:color w:val="000000" w:themeColor="text1"/>
          <w:lang w:val="en-US"/>
        </w:rPr>
        <w:t>, who is not party to the proceedings,</w:t>
      </w:r>
      <w:r w:rsidR="001E07D1" w:rsidRPr="00F6521F">
        <w:rPr>
          <w:rFonts w:ascii="Arial" w:hAnsi="Arial" w:cs="Arial"/>
          <w:color w:val="000000" w:themeColor="text1"/>
          <w:lang w:val="en-US"/>
        </w:rPr>
        <w:t xml:space="preserve"> who has the right to institute the </w:t>
      </w:r>
      <w:r w:rsidR="00CB6564" w:rsidRPr="00F6521F">
        <w:rPr>
          <w:rFonts w:ascii="Arial" w:hAnsi="Arial" w:cs="Arial"/>
          <w:color w:val="000000" w:themeColor="text1"/>
          <w:lang w:val="en-US"/>
        </w:rPr>
        <w:t>claim</w:t>
      </w:r>
      <w:r w:rsidR="001E07D1" w:rsidRPr="00F6521F">
        <w:rPr>
          <w:rFonts w:ascii="Arial" w:hAnsi="Arial" w:cs="Arial"/>
          <w:color w:val="000000" w:themeColor="text1"/>
          <w:lang w:val="en-US"/>
        </w:rPr>
        <w:t xml:space="preserve"> in terms of the SLA.</w:t>
      </w:r>
      <w:r w:rsidR="009D4345" w:rsidRPr="00F6521F">
        <w:rPr>
          <w:rFonts w:ascii="Arial" w:hAnsi="Arial" w:cs="Arial"/>
          <w:color w:val="000000" w:themeColor="text1"/>
          <w:lang w:val="en-US"/>
        </w:rPr>
        <w:t xml:space="preserve"> </w:t>
      </w:r>
      <w:r w:rsidR="00CA60C0" w:rsidRPr="00F6521F">
        <w:rPr>
          <w:rFonts w:ascii="Arial" w:hAnsi="Arial" w:cs="Arial"/>
          <w:color w:val="000000" w:themeColor="text1"/>
          <w:lang w:val="en-US"/>
        </w:rPr>
        <w:t xml:space="preserve">The applicant has failed to establish a nexus between its right to institute the proceedings </w:t>
      </w:r>
      <w:r w:rsidR="009D4345" w:rsidRPr="00F6521F">
        <w:rPr>
          <w:rFonts w:ascii="Arial" w:hAnsi="Arial" w:cs="Arial"/>
          <w:color w:val="000000" w:themeColor="text1"/>
          <w:lang w:val="en-US"/>
        </w:rPr>
        <w:t>given that the property is registered in the name of the government of the province of the Eastern Cape, whose executing authority is the Premier, and not the applicant.</w:t>
      </w:r>
      <w:r w:rsidR="00EE59D3" w:rsidRPr="00F6521F">
        <w:rPr>
          <w:rStyle w:val="FootnoteReference"/>
          <w:rFonts w:ascii="Arial" w:hAnsi="Arial" w:cs="Arial"/>
          <w:color w:val="000000" w:themeColor="text1"/>
          <w:lang w:val="en-US"/>
        </w:rPr>
        <w:footnoteReference w:id="3"/>
      </w:r>
    </w:p>
    <w:p w14:paraId="3D629946" w14:textId="45492954" w:rsidR="00E26EDE" w:rsidRPr="00F6521F" w:rsidRDefault="00E26EDE" w:rsidP="00504179">
      <w:pPr>
        <w:pStyle w:val="ListParagraph"/>
        <w:numPr>
          <w:ilvl w:val="0"/>
          <w:numId w:val="2"/>
        </w:numPr>
        <w:spacing w:line="360" w:lineRule="auto"/>
        <w:jc w:val="both"/>
        <w:rPr>
          <w:rFonts w:ascii="Arial" w:hAnsi="Arial" w:cs="Arial"/>
          <w:color w:val="000000" w:themeColor="text1"/>
          <w:lang w:val="en-US"/>
        </w:rPr>
      </w:pPr>
      <w:r w:rsidRPr="00F6521F">
        <w:rPr>
          <w:rFonts w:ascii="Arial" w:hAnsi="Arial" w:cs="Arial"/>
          <w:color w:val="000000" w:themeColor="text1"/>
          <w:lang w:val="en-US"/>
        </w:rPr>
        <w:t>Paragraph 5.1 of the lease agreement provides that ‘The property may only be used for single residential purposes for private occupation’. As such, the applicant’s contention that the Prevention of Illegal Eviction from and Unlawful Occupation of Land Act, 1998</w:t>
      </w:r>
      <w:r w:rsidRPr="00F6521F">
        <w:rPr>
          <w:rStyle w:val="FootnoteReference"/>
          <w:rFonts w:ascii="Arial" w:hAnsi="Arial" w:cs="Arial"/>
          <w:color w:val="000000" w:themeColor="text1"/>
          <w:lang w:val="en-US"/>
        </w:rPr>
        <w:footnoteReference w:id="4"/>
      </w:r>
      <w:r w:rsidR="0005611D" w:rsidRPr="00F6521F">
        <w:rPr>
          <w:rFonts w:ascii="Arial" w:hAnsi="Arial" w:cs="Arial"/>
          <w:color w:val="000000" w:themeColor="text1"/>
          <w:lang w:val="en-US"/>
        </w:rPr>
        <w:t xml:space="preserve"> was inapplicable could not be accepted.</w:t>
      </w:r>
    </w:p>
    <w:p w14:paraId="0B10F2D8" w14:textId="2CE7AFE6" w:rsidR="0057124B" w:rsidRPr="00F6521F" w:rsidRDefault="0057124B" w:rsidP="00504179">
      <w:pPr>
        <w:pStyle w:val="ListParagraph"/>
        <w:numPr>
          <w:ilvl w:val="0"/>
          <w:numId w:val="2"/>
        </w:numPr>
        <w:spacing w:line="360" w:lineRule="auto"/>
        <w:jc w:val="both"/>
        <w:rPr>
          <w:rFonts w:ascii="Arial" w:hAnsi="Arial" w:cs="Arial"/>
          <w:color w:val="000000" w:themeColor="text1"/>
          <w:lang w:val="en-US"/>
        </w:rPr>
      </w:pPr>
      <w:r w:rsidRPr="00F6521F">
        <w:rPr>
          <w:rFonts w:ascii="Arial" w:hAnsi="Arial" w:cs="Arial"/>
          <w:color w:val="000000" w:themeColor="text1"/>
          <w:lang w:val="en-US"/>
        </w:rPr>
        <w:t>The land was leased as vacant land, and the respondents effected improvements thereon, apparently with full knowledge of the applicant</w:t>
      </w:r>
      <w:r w:rsidR="007C544D" w:rsidRPr="00F6521F">
        <w:rPr>
          <w:rFonts w:ascii="Arial" w:hAnsi="Arial" w:cs="Arial"/>
          <w:color w:val="000000" w:themeColor="text1"/>
          <w:lang w:val="en-US"/>
        </w:rPr>
        <w:t>, so that a</w:t>
      </w:r>
      <w:r w:rsidR="00BF0FB7" w:rsidRPr="00F6521F">
        <w:rPr>
          <w:rFonts w:ascii="Arial" w:hAnsi="Arial" w:cs="Arial"/>
          <w:color w:val="000000" w:themeColor="text1"/>
          <w:lang w:val="en-US"/>
        </w:rPr>
        <w:t>n enrichment</w:t>
      </w:r>
      <w:r w:rsidR="007C544D" w:rsidRPr="00F6521F">
        <w:rPr>
          <w:rFonts w:ascii="Arial" w:hAnsi="Arial" w:cs="Arial"/>
          <w:color w:val="000000" w:themeColor="text1"/>
          <w:lang w:val="en-US"/>
        </w:rPr>
        <w:t xml:space="preserve"> lien was created.</w:t>
      </w:r>
      <w:r w:rsidR="00BF0FB7" w:rsidRPr="00F6521F">
        <w:rPr>
          <w:rFonts w:ascii="Arial" w:hAnsi="Arial" w:cs="Arial"/>
          <w:color w:val="000000" w:themeColor="text1"/>
          <w:lang w:val="en-US"/>
        </w:rPr>
        <w:t xml:space="preserve"> The respondents </w:t>
      </w:r>
      <w:r w:rsidR="00507AEB" w:rsidRPr="00F6521F">
        <w:rPr>
          <w:rFonts w:ascii="Arial" w:hAnsi="Arial" w:cs="Arial"/>
          <w:color w:val="000000" w:themeColor="text1"/>
          <w:lang w:val="en-US"/>
        </w:rPr>
        <w:t>were therefore entitled to remain in occupation of the property until they had been compensated for the improvements by the applicant.</w:t>
      </w:r>
    </w:p>
    <w:p w14:paraId="399A6E67" w14:textId="363E3F37" w:rsidR="00D5243A" w:rsidRDefault="00D5243A" w:rsidP="00504179">
      <w:pPr>
        <w:spacing w:line="360" w:lineRule="auto"/>
        <w:jc w:val="both"/>
        <w:rPr>
          <w:rFonts w:ascii="Times New Roman" w:hAnsi="Times New Roman" w:cs="Times New Roman"/>
          <w:color w:val="000000" w:themeColor="text1"/>
          <w:sz w:val="28"/>
          <w:szCs w:val="28"/>
          <w:lang w:val="en-US"/>
        </w:rPr>
      </w:pPr>
    </w:p>
    <w:p w14:paraId="0D0BE8C4" w14:textId="77777777" w:rsidR="007D7C49" w:rsidRPr="004C0F29" w:rsidRDefault="007D7C49" w:rsidP="00504179">
      <w:pPr>
        <w:spacing w:line="360" w:lineRule="auto"/>
        <w:jc w:val="both"/>
        <w:rPr>
          <w:rFonts w:ascii="Times New Roman" w:hAnsi="Times New Roman" w:cs="Times New Roman"/>
          <w:color w:val="000000" w:themeColor="text1"/>
          <w:sz w:val="28"/>
          <w:szCs w:val="28"/>
          <w:lang w:val="en-US"/>
        </w:rPr>
      </w:pPr>
    </w:p>
    <w:p w14:paraId="7CF62CB9" w14:textId="58F34AC2" w:rsidR="002A38DD" w:rsidRPr="009B7CD2" w:rsidRDefault="002A38DD" w:rsidP="00504179">
      <w:pPr>
        <w:spacing w:line="360" w:lineRule="auto"/>
        <w:jc w:val="both"/>
        <w:rPr>
          <w:rFonts w:ascii="Times New Roman" w:hAnsi="Times New Roman" w:cs="Times New Roman"/>
          <w:b/>
          <w:bCs/>
          <w:color w:val="000000" w:themeColor="text1"/>
          <w:sz w:val="28"/>
          <w:szCs w:val="28"/>
          <w:lang w:val="en-US"/>
        </w:rPr>
      </w:pPr>
      <w:r w:rsidRPr="009B7CD2">
        <w:rPr>
          <w:rFonts w:ascii="Times New Roman" w:hAnsi="Times New Roman" w:cs="Times New Roman"/>
          <w:b/>
          <w:bCs/>
          <w:color w:val="000000" w:themeColor="text1"/>
          <w:sz w:val="28"/>
          <w:szCs w:val="28"/>
          <w:lang w:val="en-US"/>
        </w:rPr>
        <w:lastRenderedPageBreak/>
        <w:t>Locus standi</w:t>
      </w:r>
    </w:p>
    <w:p w14:paraId="0887CADF" w14:textId="5C7E910C" w:rsidR="002A38DD" w:rsidRPr="004C0F29" w:rsidRDefault="002A38DD" w:rsidP="00504179">
      <w:pPr>
        <w:spacing w:line="360" w:lineRule="auto"/>
        <w:jc w:val="both"/>
        <w:rPr>
          <w:rFonts w:ascii="Times New Roman" w:hAnsi="Times New Roman" w:cs="Times New Roman"/>
          <w:color w:val="000000" w:themeColor="text1"/>
          <w:sz w:val="28"/>
          <w:szCs w:val="28"/>
          <w:lang w:val="en-US"/>
        </w:rPr>
      </w:pPr>
    </w:p>
    <w:p w14:paraId="7E8F507F" w14:textId="3C798A97" w:rsidR="002A38DD" w:rsidRPr="00F6521F" w:rsidRDefault="00623E8D" w:rsidP="004A1092">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The first respondent admits that ‘On or about 2007, the Department of Public Works of the South African Government (“the Applicant”) issued my business with a right to occupy and develop a vacant land for business use’.</w:t>
      </w:r>
      <w:r w:rsidR="00D05D6F" w:rsidRPr="00F6521F">
        <w:rPr>
          <w:rFonts w:ascii="Arial" w:hAnsi="Arial" w:cs="Arial"/>
          <w:color w:val="000000" w:themeColor="text1"/>
          <w:lang w:val="en-US"/>
        </w:rPr>
        <w:t xml:space="preserve"> Both </w:t>
      </w:r>
      <w:r w:rsidR="00243CBA" w:rsidRPr="00F6521F">
        <w:rPr>
          <w:rFonts w:ascii="Arial" w:hAnsi="Arial" w:cs="Arial"/>
          <w:color w:val="000000" w:themeColor="text1"/>
          <w:lang w:val="en-US"/>
        </w:rPr>
        <w:t xml:space="preserve">the first and second </w:t>
      </w:r>
      <w:r w:rsidR="00D05D6F" w:rsidRPr="00F6521F">
        <w:rPr>
          <w:rFonts w:ascii="Arial" w:hAnsi="Arial" w:cs="Arial"/>
          <w:color w:val="000000" w:themeColor="text1"/>
          <w:lang w:val="en-US"/>
        </w:rPr>
        <w:t xml:space="preserve">respondents admit the description </w:t>
      </w:r>
      <w:r w:rsidR="00C7349D" w:rsidRPr="00F6521F">
        <w:rPr>
          <w:rFonts w:ascii="Arial" w:hAnsi="Arial" w:cs="Arial"/>
          <w:color w:val="000000" w:themeColor="text1"/>
          <w:lang w:val="en-US"/>
        </w:rPr>
        <w:t>of</w:t>
      </w:r>
      <w:r w:rsidR="00D05D6F" w:rsidRPr="00F6521F">
        <w:rPr>
          <w:rFonts w:ascii="Arial" w:hAnsi="Arial" w:cs="Arial"/>
          <w:color w:val="000000" w:themeColor="text1"/>
          <w:lang w:val="en-US"/>
        </w:rPr>
        <w:t xml:space="preserve"> the applicant</w:t>
      </w:r>
      <w:r w:rsidR="00B51E24" w:rsidRPr="00F6521F">
        <w:rPr>
          <w:rFonts w:ascii="Arial" w:hAnsi="Arial" w:cs="Arial"/>
          <w:color w:val="000000" w:themeColor="text1"/>
          <w:lang w:val="en-US"/>
        </w:rPr>
        <w:t xml:space="preserve"> and there is no dispute on the papers that the lease agreements that were previously conclude</w:t>
      </w:r>
      <w:r w:rsidR="00097614" w:rsidRPr="00F6521F">
        <w:rPr>
          <w:rFonts w:ascii="Arial" w:hAnsi="Arial" w:cs="Arial"/>
          <w:color w:val="000000" w:themeColor="text1"/>
          <w:lang w:val="en-US"/>
        </w:rPr>
        <w:t>d</w:t>
      </w:r>
      <w:r w:rsidR="00B51E24" w:rsidRPr="00F6521F">
        <w:rPr>
          <w:rFonts w:ascii="Arial" w:hAnsi="Arial" w:cs="Arial"/>
          <w:color w:val="000000" w:themeColor="text1"/>
          <w:lang w:val="en-US"/>
        </w:rPr>
        <w:t xml:space="preserve"> between the parties were concluded with the applicant as the lessor.</w:t>
      </w:r>
      <w:r w:rsidR="00097614" w:rsidRPr="00F6521F">
        <w:rPr>
          <w:rFonts w:ascii="Arial" w:hAnsi="Arial" w:cs="Arial"/>
          <w:color w:val="000000" w:themeColor="text1"/>
          <w:lang w:val="en-US"/>
        </w:rPr>
        <w:t xml:space="preserve"> Indeed, it is apparent from the lease agreements attached in respect of both the first and second respondents, as well as from the subsequent addendums, that the contracting party (lessor) was the applicant, variously described as:</w:t>
      </w:r>
    </w:p>
    <w:p w14:paraId="6782FCE1" w14:textId="3970AB15" w:rsidR="00097614" w:rsidRPr="00F6521F" w:rsidRDefault="00097614" w:rsidP="00504179">
      <w:pPr>
        <w:pStyle w:val="ListParagraph"/>
        <w:numPr>
          <w:ilvl w:val="0"/>
          <w:numId w:val="3"/>
        </w:numPr>
        <w:spacing w:line="360" w:lineRule="auto"/>
        <w:jc w:val="both"/>
        <w:rPr>
          <w:rFonts w:ascii="Arial" w:hAnsi="Arial" w:cs="Arial"/>
          <w:color w:val="000000" w:themeColor="text1"/>
          <w:lang w:val="en-US"/>
        </w:rPr>
      </w:pPr>
      <w:r w:rsidRPr="00F6521F">
        <w:rPr>
          <w:rFonts w:ascii="Arial" w:hAnsi="Arial" w:cs="Arial"/>
          <w:color w:val="000000" w:themeColor="text1"/>
          <w:lang w:val="en-US"/>
        </w:rPr>
        <w:t>The Provincial Government of the Eastern Cape (Department of Public Works);</w:t>
      </w:r>
      <w:r w:rsidRPr="00F6521F">
        <w:rPr>
          <w:rStyle w:val="FootnoteReference"/>
          <w:rFonts w:ascii="Arial" w:hAnsi="Arial" w:cs="Arial"/>
          <w:color w:val="000000" w:themeColor="text1"/>
          <w:lang w:val="en-US"/>
        </w:rPr>
        <w:footnoteReference w:id="5"/>
      </w:r>
    </w:p>
    <w:p w14:paraId="326020DE" w14:textId="1BBDC797" w:rsidR="005471B3" w:rsidRPr="00F6521F" w:rsidRDefault="005471B3" w:rsidP="00504179">
      <w:pPr>
        <w:pStyle w:val="ListParagraph"/>
        <w:numPr>
          <w:ilvl w:val="0"/>
          <w:numId w:val="3"/>
        </w:numPr>
        <w:spacing w:line="360" w:lineRule="auto"/>
        <w:jc w:val="both"/>
        <w:rPr>
          <w:rFonts w:ascii="Arial" w:hAnsi="Arial" w:cs="Arial"/>
          <w:color w:val="000000" w:themeColor="text1"/>
          <w:lang w:val="en-US"/>
        </w:rPr>
      </w:pPr>
      <w:r w:rsidRPr="00F6521F">
        <w:rPr>
          <w:rFonts w:ascii="Arial" w:hAnsi="Arial" w:cs="Arial"/>
          <w:color w:val="000000" w:themeColor="text1"/>
          <w:lang w:val="en-US"/>
        </w:rPr>
        <w:t>The Eastern Cape Provincial Government (Department of Roads and Public Works);</w:t>
      </w:r>
      <w:r w:rsidRPr="00F6521F">
        <w:rPr>
          <w:rStyle w:val="FootnoteReference"/>
          <w:rFonts w:ascii="Arial" w:hAnsi="Arial" w:cs="Arial"/>
          <w:color w:val="000000" w:themeColor="text1"/>
          <w:lang w:val="en-US"/>
        </w:rPr>
        <w:footnoteReference w:id="6"/>
      </w:r>
    </w:p>
    <w:p w14:paraId="65DA6CF3" w14:textId="130A970E" w:rsidR="00097614" w:rsidRPr="00F6521F" w:rsidRDefault="00097614" w:rsidP="00504179">
      <w:pPr>
        <w:pStyle w:val="ListParagraph"/>
        <w:numPr>
          <w:ilvl w:val="0"/>
          <w:numId w:val="3"/>
        </w:numPr>
        <w:spacing w:line="360" w:lineRule="auto"/>
        <w:jc w:val="both"/>
        <w:rPr>
          <w:rFonts w:ascii="Arial" w:hAnsi="Arial" w:cs="Arial"/>
          <w:color w:val="000000" w:themeColor="text1"/>
          <w:lang w:val="en-US"/>
        </w:rPr>
      </w:pPr>
      <w:r w:rsidRPr="00F6521F">
        <w:rPr>
          <w:rFonts w:ascii="Arial" w:hAnsi="Arial" w:cs="Arial"/>
          <w:color w:val="000000" w:themeColor="text1"/>
          <w:lang w:val="en-US"/>
        </w:rPr>
        <w:t>The Department of Public Works, Eastern Cape Provincial Government;</w:t>
      </w:r>
      <w:r w:rsidRPr="00F6521F">
        <w:rPr>
          <w:rStyle w:val="FootnoteReference"/>
          <w:rFonts w:ascii="Arial" w:hAnsi="Arial" w:cs="Arial"/>
          <w:color w:val="000000" w:themeColor="text1"/>
          <w:lang w:val="en-US"/>
        </w:rPr>
        <w:footnoteReference w:id="7"/>
      </w:r>
    </w:p>
    <w:p w14:paraId="1851ABE9" w14:textId="02B1F776" w:rsidR="00097614" w:rsidRPr="00F6521F" w:rsidRDefault="00097614" w:rsidP="00504179">
      <w:pPr>
        <w:pStyle w:val="ListParagraph"/>
        <w:numPr>
          <w:ilvl w:val="0"/>
          <w:numId w:val="3"/>
        </w:numPr>
        <w:spacing w:line="360" w:lineRule="auto"/>
        <w:jc w:val="both"/>
        <w:rPr>
          <w:rFonts w:ascii="Arial" w:hAnsi="Arial" w:cs="Arial"/>
          <w:color w:val="000000" w:themeColor="text1"/>
          <w:lang w:val="en-US"/>
        </w:rPr>
      </w:pPr>
      <w:r w:rsidRPr="00F6521F">
        <w:rPr>
          <w:rFonts w:ascii="Arial" w:hAnsi="Arial" w:cs="Arial"/>
          <w:color w:val="000000" w:themeColor="text1"/>
          <w:lang w:val="en-US"/>
        </w:rPr>
        <w:t>The Department of Public Works</w:t>
      </w:r>
      <w:r w:rsidR="00A444E8" w:rsidRPr="00F6521F">
        <w:rPr>
          <w:rFonts w:ascii="Arial" w:hAnsi="Arial" w:cs="Arial"/>
          <w:color w:val="000000" w:themeColor="text1"/>
          <w:lang w:val="en-US"/>
        </w:rPr>
        <w:t>;</w:t>
      </w:r>
      <w:r w:rsidR="00A444E8" w:rsidRPr="00F6521F">
        <w:rPr>
          <w:rStyle w:val="FootnoteReference"/>
          <w:rFonts w:ascii="Arial" w:hAnsi="Arial" w:cs="Arial"/>
          <w:color w:val="000000" w:themeColor="text1"/>
          <w:lang w:val="en-US"/>
        </w:rPr>
        <w:footnoteReference w:id="8"/>
      </w:r>
      <w:r w:rsidR="007A2933" w:rsidRPr="00F6521F">
        <w:rPr>
          <w:rFonts w:ascii="Arial" w:hAnsi="Arial" w:cs="Arial"/>
          <w:color w:val="000000" w:themeColor="text1"/>
          <w:lang w:val="en-US"/>
        </w:rPr>
        <w:t xml:space="preserve"> and</w:t>
      </w:r>
    </w:p>
    <w:p w14:paraId="6A1CAC93" w14:textId="404A1BB7" w:rsidR="00A444E8" w:rsidRPr="00F6521F" w:rsidRDefault="00A444E8" w:rsidP="00504179">
      <w:pPr>
        <w:pStyle w:val="ListParagraph"/>
        <w:numPr>
          <w:ilvl w:val="0"/>
          <w:numId w:val="3"/>
        </w:numPr>
        <w:spacing w:line="360" w:lineRule="auto"/>
        <w:jc w:val="both"/>
        <w:rPr>
          <w:rFonts w:ascii="Arial" w:hAnsi="Arial" w:cs="Arial"/>
          <w:color w:val="000000" w:themeColor="text1"/>
          <w:lang w:val="en-US"/>
        </w:rPr>
      </w:pPr>
      <w:r w:rsidRPr="00F6521F">
        <w:rPr>
          <w:rFonts w:ascii="Arial" w:hAnsi="Arial" w:cs="Arial"/>
          <w:color w:val="000000" w:themeColor="text1"/>
          <w:lang w:val="en-US"/>
        </w:rPr>
        <w:t>Department of Roads and Public Works</w:t>
      </w:r>
      <w:r w:rsidR="007A2933" w:rsidRPr="00F6521F">
        <w:rPr>
          <w:rFonts w:ascii="Arial" w:hAnsi="Arial" w:cs="Arial"/>
          <w:color w:val="000000" w:themeColor="text1"/>
          <w:lang w:val="en-US"/>
        </w:rPr>
        <w:t>.</w:t>
      </w:r>
      <w:r w:rsidRPr="00F6521F">
        <w:rPr>
          <w:rStyle w:val="FootnoteReference"/>
          <w:rFonts w:ascii="Arial" w:hAnsi="Arial" w:cs="Arial"/>
          <w:color w:val="000000" w:themeColor="text1"/>
          <w:lang w:val="en-US"/>
        </w:rPr>
        <w:footnoteReference w:id="9"/>
      </w:r>
    </w:p>
    <w:p w14:paraId="6357C7D7" w14:textId="3251947D" w:rsidR="00D5243A" w:rsidRPr="00F6521F" w:rsidRDefault="00D5243A" w:rsidP="00504179">
      <w:pPr>
        <w:spacing w:line="360" w:lineRule="auto"/>
        <w:jc w:val="both"/>
        <w:rPr>
          <w:rFonts w:ascii="Arial" w:hAnsi="Arial" w:cs="Arial"/>
          <w:color w:val="000000" w:themeColor="text1"/>
          <w:lang w:val="en-US"/>
        </w:rPr>
      </w:pPr>
    </w:p>
    <w:p w14:paraId="2962F4DA" w14:textId="5A69B2BC" w:rsidR="00D5243A" w:rsidRPr="00F6521F" w:rsidRDefault="007A2933" w:rsidP="004A1092">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The letters addressed to the respondents to vacate emanated from the ‘Province of the Eastern Cape: Roads and Public Works’</w:t>
      </w:r>
      <w:r w:rsidR="000F172A" w:rsidRPr="00F6521F">
        <w:rPr>
          <w:rFonts w:ascii="Arial" w:hAnsi="Arial" w:cs="Arial"/>
          <w:color w:val="000000" w:themeColor="text1"/>
          <w:lang w:val="en-US"/>
        </w:rPr>
        <w:t>, or the Office of the State Attorney, acting on behalf of the applicant.</w:t>
      </w:r>
    </w:p>
    <w:p w14:paraId="23FAAD5E" w14:textId="77777777" w:rsidR="004C0F29" w:rsidRPr="00F6521F" w:rsidRDefault="004C0F29" w:rsidP="004C0F29">
      <w:pPr>
        <w:pStyle w:val="ListParagraph"/>
        <w:spacing w:line="360" w:lineRule="auto"/>
        <w:jc w:val="both"/>
        <w:rPr>
          <w:rFonts w:ascii="Arial" w:hAnsi="Arial" w:cs="Arial"/>
          <w:color w:val="000000" w:themeColor="text1"/>
          <w:lang w:val="en-US"/>
        </w:rPr>
      </w:pPr>
    </w:p>
    <w:p w14:paraId="78075765" w14:textId="22F22DF8" w:rsidR="00202E84" w:rsidRPr="00F6521F" w:rsidRDefault="00202E84" w:rsidP="00F6521F">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 xml:space="preserve">‘Provincial department’ is defined in the Public Finance Management Act 1 of 1999 (‘PFMA’) to include ‘a provincial department listed in Schedule 2 to the Public Service Act, 1994’. That schedule lists the applicant as a provincial department and confirms that it is headed by the ‘Head: Public Works and Infrastructure’. </w:t>
      </w:r>
      <w:r w:rsidR="008F5495" w:rsidRPr="00F6521F">
        <w:rPr>
          <w:rFonts w:ascii="Arial" w:hAnsi="Arial" w:cs="Arial"/>
          <w:color w:val="000000" w:themeColor="text1"/>
          <w:lang w:val="en-US"/>
        </w:rPr>
        <w:t>The suggestion that no such legal entity exists</w:t>
      </w:r>
      <w:r w:rsidR="008A5631" w:rsidRPr="00F6521F">
        <w:rPr>
          <w:rFonts w:ascii="Arial" w:hAnsi="Arial" w:cs="Arial"/>
          <w:color w:val="000000" w:themeColor="text1"/>
          <w:lang w:val="en-US"/>
        </w:rPr>
        <w:t xml:space="preserve">, </w:t>
      </w:r>
      <w:r w:rsidR="008F5495" w:rsidRPr="00F6521F">
        <w:rPr>
          <w:rFonts w:ascii="Arial" w:hAnsi="Arial" w:cs="Arial"/>
          <w:color w:val="000000" w:themeColor="text1"/>
          <w:lang w:val="en-US"/>
        </w:rPr>
        <w:t>is accordingly erroneous.</w:t>
      </w:r>
    </w:p>
    <w:p w14:paraId="52A26166" w14:textId="77777777" w:rsidR="004C0F29" w:rsidRPr="00F6521F" w:rsidRDefault="004C0F29" w:rsidP="00F6521F">
      <w:pPr>
        <w:spacing w:line="360" w:lineRule="auto"/>
        <w:jc w:val="both"/>
        <w:rPr>
          <w:rFonts w:ascii="Arial" w:hAnsi="Arial" w:cs="Arial"/>
          <w:color w:val="000000" w:themeColor="text1"/>
          <w:lang w:val="en-US"/>
        </w:rPr>
      </w:pPr>
    </w:p>
    <w:p w14:paraId="4C34741C" w14:textId="1DB541A7" w:rsidR="00202E84" w:rsidRPr="00F6521F" w:rsidRDefault="00202E84" w:rsidP="00F6521F">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Thandolwethu Manda, as Head of Department (‘HOD”) for the applicant, is the accounting officer envisaged in the PFMA. His authority stems from s 38 of the PFMA, and includes responsibility for the effective, efficient, economical and transparent use of the resources of the applicant. S 38 of the PFMA confirms the HOD’s duty to take appropriate steps to collect all monies and / or revenue due to the applicant and that he is responsible for the management, including the safeguarding and maintenance of the assets, of the applicant.</w:t>
      </w:r>
      <w:r w:rsidRPr="00F6521F">
        <w:rPr>
          <w:rStyle w:val="FootnoteReference"/>
          <w:rFonts w:ascii="Arial" w:hAnsi="Arial" w:cs="Arial"/>
          <w:color w:val="000000" w:themeColor="text1"/>
          <w:lang w:val="en-US"/>
        </w:rPr>
        <w:footnoteReference w:id="10"/>
      </w:r>
      <w:r w:rsidR="00172A17" w:rsidRPr="00F6521F">
        <w:rPr>
          <w:rFonts w:ascii="Arial" w:hAnsi="Arial" w:cs="Arial"/>
          <w:color w:val="000000" w:themeColor="text1"/>
          <w:lang w:val="en-US"/>
        </w:rPr>
        <w:t xml:space="preserve"> The applicant is described in the papers as being the department under whose custodianship certain State-owned land resorts. The respondents admit this description. </w:t>
      </w:r>
    </w:p>
    <w:p w14:paraId="6A73A9BE" w14:textId="77777777" w:rsidR="004C0F29" w:rsidRPr="00F6521F" w:rsidRDefault="004C0F29" w:rsidP="00F6521F">
      <w:pPr>
        <w:spacing w:line="360" w:lineRule="auto"/>
        <w:jc w:val="both"/>
        <w:rPr>
          <w:rFonts w:ascii="Arial" w:hAnsi="Arial" w:cs="Arial"/>
          <w:color w:val="000000" w:themeColor="text1"/>
          <w:lang w:val="en-US"/>
        </w:rPr>
      </w:pPr>
    </w:p>
    <w:p w14:paraId="7A0A4AC0" w14:textId="307D72A8" w:rsidR="001C7A13" w:rsidRPr="00F6521F" w:rsidRDefault="00F17FC5" w:rsidP="00F6521F">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 xml:space="preserve">In </w:t>
      </w:r>
      <w:r w:rsidRPr="00F6521F">
        <w:rPr>
          <w:rFonts w:ascii="Arial" w:hAnsi="Arial" w:cs="Arial"/>
          <w:i/>
          <w:iCs/>
          <w:color w:val="000000" w:themeColor="text1"/>
          <w:lang w:val="en-US"/>
        </w:rPr>
        <w:t>Farocean Marine v Minister of Trade and Industry</w:t>
      </w:r>
      <w:r w:rsidRPr="00F6521F">
        <w:rPr>
          <w:rFonts w:ascii="Arial" w:hAnsi="Arial" w:cs="Arial"/>
          <w:color w:val="000000" w:themeColor="text1"/>
          <w:lang w:val="en-US"/>
        </w:rPr>
        <w:t>,</w:t>
      </w:r>
      <w:r w:rsidRPr="00F6521F">
        <w:rPr>
          <w:rStyle w:val="FootnoteReference"/>
          <w:rFonts w:ascii="Arial" w:hAnsi="Arial" w:cs="Arial"/>
          <w:color w:val="000000" w:themeColor="text1"/>
          <w:lang w:val="en-US"/>
        </w:rPr>
        <w:footnoteReference w:id="11"/>
      </w:r>
      <w:r w:rsidRPr="00F6521F">
        <w:rPr>
          <w:rFonts w:ascii="Arial" w:hAnsi="Arial" w:cs="Arial"/>
          <w:color w:val="000000" w:themeColor="text1"/>
          <w:lang w:val="en-US"/>
        </w:rPr>
        <w:t xml:space="preserve"> the Supreme Court of Appeal confirmed that proceedings on behalf of the State may be commenced both in the name of the State or the Government and in the name of a nominal plaintiff or applicant, usually the Minister as the embodiment of </w:t>
      </w:r>
      <w:r w:rsidR="00016FDA" w:rsidRPr="00F6521F">
        <w:rPr>
          <w:rFonts w:ascii="Arial" w:hAnsi="Arial" w:cs="Arial"/>
          <w:color w:val="000000" w:themeColor="text1"/>
          <w:lang w:val="en-US"/>
        </w:rPr>
        <w:t>a (national)</w:t>
      </w:r>
      <w:r w:rsidRPr="00F6521F">
        <w:rPr>
          <w:rFonts w:ascii="Arial" w:hAnsi="Arial" w:cs="Arial"/>
          <w:color w:val="000000" w:themeColor="text1"/>
          <w:lang w:val="en-US"/>
        </w:rPr>
        <w:t xml:space="preserve"> Department.</w:t>
      </w:r>
      <w:r w:rsidRPr="00F6521F">
        <w:rPr>
          <w:rStyle w:val="FootnoteReference"/>
          <w:rFonts w:ascii="Arial" w:hAnsi="Arial" w:cs="Arial"/>
          <w:color w:val="000000" w:themeColor="text1"/>
          <w:lang w:val="en-US"/>
        </w:rPr>
        <w:footnoteReference w:id="12"/>
      </w:r>
      <w:r w:rsidRPr="00F6521F">
        <w:rPr>
          <w:rFonts w:ascii="Arial" w:hAnsi="Arial" w:cs="Arial"/>
          <w:color w:val="000000" w:themeColor="text1"/>
          <w:lang w:val="en-US"/>
        </w:rPr>
        <w:t xml:space="preserve">  </w:t>
      </w:r>
      <w:r w:rsidR="001C7A13" w:rsidRPr="00F6521F">
        <w:rPr>
          <w:rFonts w:ascii="Arial" w:hAnsi="Arial" w:cs="Arial"/>
          <w:color w:val="000000" w:themeColor="text1"/>
          <w:lang w:val="en-US"/>
        </w:rPr>
        <w:t>Proceedings may also be commenced by the administrative head of a department.</w:t>
      </w:r>
      <w:r w:rsidR="001C7A13" w:rsidRPr="00F6521F">
        <w:rPr>
          <w:rStyle w:val="FootnoteReference"/>
          <w:rFonts w:ascii="Arial" w:hAnsi="Arial" w:cs="Arial"/>
          <w:color w:val="000000" w:themeColor="text1"/>
          <w:lang w:val="en-US"/>
        </w:rPr>
        <w:footnoteReference w:id="13"/>
      </w:r>
    </w:p>
    <w:p w14:paraId="77E2A0FB" w14:textId="77777777" w:rsidR="001C7A13" w:rsidRPr="00F6521F" w:rsidRDefault="001C7A13" w:rsidP="00F6521F">
      <w:pPr>
        <w:pStyle w:val="ListParagraph"/>
        <w:spacing w:line="360" w:lineRule="auto"/>
        <w:jc w:val="both"/>
        <w:rPr>
          <w:rFonts w:ascii="Arial" w:hAnsi="Arial" w:cs="Arial"/>
          <w:color w:val="000000" w:themeColor="text1"/>
          <w:lang w:val="en-US"/>
        </w:rPr>
      </w:pPr>
    </w:p>
    <w:p w14:paraId="4ADFDD6A" w14:textId="015020E3" w:rsidR="004C6562" w:rsidRPr="00F6521F" w:rsidRDefault="00EB560E" w:rsidP="00F6521F">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The submissions and authorities relied upon by the respondents in respect of the State Liability Act, 1957</w:t>
      </w:r>
      <w:r w:rsidRPr="00F6521F">
        <w:rPr>
          <w:rStyle w:val="FootnoteReference"/>
          <w:rFonts w:ascii="Arial" w:hAnsi="Arial" w:cs="Arial"/>
          <w:color w:val="000000" w:themeColor="text1"/>
          <w:lang w:val="en-US"/>
        </w:rPr>
        <w:footnoteReference w:id="14"/>
      </w:r>
      <w:r w:rsidRPr="00F6521F">
        <w:rPr>
          <w:rFonts w:ascii="Arial" w:hAnsi="Arial" w:cs="Arial"/>
          <w:color w:val="000000" w:themeColor="text1"/>
          <w:lang w:val="en-US"/>
        </w:rPr>
        <w:t xml:space="preserve"> appear to be misplaced. </w:t>
      </w:r>
      <w:r w:rsidR="00E008F1" w:rsidRPr="00F6521F">
        <w:rPr>
          <w:rFonts w:ascii="Arial" w:hAnsi="Arial" w:cs="Arial"/>
          <w:color w:val="000000" w:themeColor="text1"/>
          <w:lang w:val="en-US"/>
        </w:rPr>
        <w:t xml:space="preserve">That legislation is concerned with the </w:t>
      </w:r>
      <w:r w:rsidR="00E008F1" w:rsidRPr="00F6521F">
        <w:rPr>
          <w:rFonts w:ascii="Arial" w:hAnsi="Arial" w:cs="Arial"/>
          <w:i/>
          <w:iCs/>
          <w:color w:val="000000" w:themeColor="text1"/>
          <w:lang w:val="en-US"/>
        </w:rPr>
        <w:t>liability</w:t>
      </w:r>
      <w:r w:rsidR="00E008F1" w:rsidRPr="00F6521F">
        <w:rPr>
          <w:rFonts w:ascii="Arial" w:hAnsi="Arial" w:cs="Arial"/>
          <w:color w:val="000000" w:themeColor="text1"/>
          <w:lang w:val="en-US"/>
        </w:rPr>
        <w:t xml:space="preserve"> of the State, indicating the required citation when proceedings are instituted against a national or provincial department</w:t>
      </w:r>
      <w:r w:rsidR="00A40891" w:rsidRPr="00F6521F">
        <w:rPr>
          <w:rFonts w:ascii="Arial" w:hAnsi="Arial" w:cs="Arial"/>
          <w:color w:val="000000" w:themeColor="text1"/>
          <w:lang w:val="en-US"/>
        </w:rPr>
        <w:t>.</w:t>
      </w:r>
    </w:p>
    <w:p w14:paraId="2E61425D" w14:textId="77777777" w:rsidR="004C0F29" w:rsidRPr="00F6521F" w:rsidRDefault="004C0F29" w:rsidP="00F6521F">
      <w:pPr>
        <w:spacing w:line="360" w:lineRule="auto"/>
        <w:jc w:val="both"/>
        <w:rPr>
          <w:rFonts w:ascii="Arial" w:hAnsi="Arial" w:cs="Arial"/>
          <w:color w:val="000000" w:themeColor="text1"/>
          <w:lang w:val="en-US"/>
        </w:rPr>
      </w:pPr>
    </w:p>
    <w:p w14:paraId="01FA16CA" w14:textId="3B09ED4F" w:rsidR="00F33218" w:rsidRPr="00F6521F" w:rsidRDefault="00651AAA" w:rsidP="00F6521F">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 xml:space="preserve">In </w:t>
      </w:r>
      <w:r w:rsidRPr="00F6521F">
        <w:rPr>
          <w:rFonts w:ascii="Arial" w:hAnsi="Arial" w:cs="Arial"/>
          <w:i/>
          <w:iCs/>
          <w:color w:val="000000" w:themeColor="text1"/>
          <w:lang w:val="en-US"/>
        </w:rPr>
        <w:t>Distcor Export Partners and Another v The Director-General of the Department of Trade and Industry</w:t>
      </w:r>
      <w:r w:rsidRPr="00F6521F">
        <w:rPr>
          <w:rFonts w:ascii="Arial" w:hAnsi="Arial" w:cs="Arial"/>
          <w:color w:val="000000" w:themeColor="text1"/>
          <w:lang w:val="en-US"/>
        </w:rPr>
        <w:t>, the Supreme Court of Appeal stated as follows:</w:t>
      </w:r>
      <w:r w:rsidRPr="00F6521F">
        <w:rPr>
          <w:rStyle w:val="FootnoteReference"/>
          <w:rFonts w:ascii="Arial" w:hAnsi="Arial" w:cs="Arial"/>
          <w:color w:val="000000" w:themeColor="text1"/>
          <w:lang w:val="en-US"/>
        </w:rPr>
        <w:footnoteReference w:id="15"/>
      </w:r>
    </w:p>
    <w:p w14:paraId="4222BCA6" w14:textId="03798FB6" w:rsidR="004C0F29" w:rsidRPr="00F6521F" w:rsidRDefault="00F40A67" w:rsidP="007D7C49">
      <w:pPr>
        <w:pStyle w:val="ListParagraph"/>
        <w:spacing w:line="360" w:lineRule="auto"/>
        <w:ind w:left="142" w:right="-52"/>
        <w:jc w:val="both"/>
        <w:rPr>
          <w:rFonts w:ascii="Arial" w:hAnsi="Arial" w:cs="Arial"/>
          <w:color w:val="000000" w:themeColor="text1"/>
          <w:sz w:val="22"/>
          <w:szCs w:val="22"/>
          <w:lang w:val="en-US"/>
        </w:rPr>
      </w:pPr>
      <w:r>
        <w:rPr>
          <w:rFonts w:ascii="Arial" w:hAnsi="Arial" w:cs="Arial"/>
          <w:color w:val="000000" w:themeColor="text1"/>
          <w:sz w:val="22"/>
          <w:szCs w:val="22"/>
          <w:lang w:val="en-US"/>
        </w:rPr>
        <w:t>‘</w:t>
      </w:r>
      <w:r w:rsidR="00F33218" w:rsidRPr="00F6521F">
        <w:rPr>
          <w:rFonts w:ascii="Arial" w:hAnsi="Arial" w:cs="Arial"/>
          <w:color w:val="000000" w:themeColor="text1"/>
          <w:sz w:val="22"/>
          <w:szCs w:val="22"/>
          <w:lang w:val="en-US"/>
        </w:rPr>
        <w:t xml:space="preserve">There </w:t>
      </w:r>
      <w:r w:rsidR="00B04496" w:rsidRPr="00F6521F">
        <w:rPr>
          <w:rFonts w:ascii="Arial" w:hAnsi="Arial" w:cs="Arial"/>
          <w:color w:val="000000" w:themeColor="text1"/>
          <w:sz w:val="22"/>
          <w:szCs w:val="22"/>
          <w:lang w:val="en-US"/>
        </w:rPr>
        <w:t>is no statutory provision on how the State may initiate proceedings</w:t>
      </w:r>
      <w:r w:rsidR="00324D84" w:rsidRPr="00F6521F">
        <w:rPr>
          <w:rFonts w:ascii="Arial" w:hAnsi="Arial" w:cs="Arial"/>
          <w:color w:val="000000" w:themeColor="text1"/>
          <w:sz w:val="22"/>
          <w:szCs w:val="22"/>
          <w:lang w:val="en-US"/>
        </w:rPr>
        <w:t>…Although</w:t>
      </w:r>
      <w:r w:rsidR="00FE0F79">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   </w:t>
      </w:r>
      <w:r w:rsidR="007D7C49">
        <w:rPr>
          <w:rFonts w:ascii="Arial" w:hAnsi="Arial" w:cs="Arial"/>
          <w:color w:val="000000" w:themeColor="text1"/>
          <w:sz w:val="22"/>
          <w:szCs w:val="22"/>
          <w:lang w:val="en-US"/>
        </w:rPr>
        <w:t xml:space="preserve"> </w:t>
      </w:r>
      <w:r w:rsidR="00324D84" w:rsidRPr="00F6521F">
        <w:rPr>
          <w:rFonts w:ascii="Arial" w:hAnsi="Arial" w:cs="Arial"/>
          <w:color w:val="000000" w:themeColor="text1"/>
          <w:sz w:val="22"/>
          <w:szCs w:val="22"/>
          <w:lang w:val="en-US"/>
        </w:rPr>
        <w:t>proceedings may, as commonly happens, be commenced in the name of the Government of the Republic of South Africa, the government may also sue through a nominal plaintiff or applicant, usually the ministerial head of a department. According to the appellants the latter</w:t>
      </w:r>
      <w:r w:rsidR="00B3297F" w:rsidRPr="00F6521F">
        <w:rPr>
          <w:rFonts w:ascii="Arial" w:hAnsi="Arial" w:cs="Arial"/>
          <w:color w:val="000000" w:themeColor="text1"/>
          <w:sz w:val="22"/>
          <w:szCs w:val="22"/>
          <w:lang w:val="en-US"/>
        </w:rPr>
        <w:t xml:space="preserve"> practice is so inflexible that it precludes the administrative head of a department from instituting action on behalf of a department of State. In my view the practice is more relaxed. </w:t>
      </w:r>
      <w:r w:rsidR="00B3297F" w:rsidRPr="00F6521F">
        <w:rPr>
          <w:rFonts w:ascii="Arial" w:hAnsi="Arial" w:cs="Arial"/>
          <w:color w:val="000000" w:themeColor="text1"/>
          <w:sz w:val="22"/>
          <w:szCs w:val="22"/>
          <w:lang w:val="en-US"/>
        </w:rPr>
        <w:lastRenderedPageBreak/>
        <w:t>It is a matter of authority</w:t>
      </w:r>
      <w:r w:rsidR="007861B2" w:rsidRPr="00F6521F">
        <w:rPr>
          <w:rFonts w:ascii="Arial" w:hAnsi="Arial" w:cs="Arial"/>
          <w:color w:val="000000" w:themeColor="text1"/>
          <w:sz w:val="22"/>
          <w:szCs w:val="22"/>
          <w:lang w:val="en-US"/>
        </w:rPr>
        <w:t>…Particulars of claim alleging that an administrative head of a department sues on behalf of the government may elicit a puzzled request for further particulars on the scope of his authority but if authority can be satisfactorily established that is the end of the matter.’</w:t>
      </w:r>
    </w:p>
    <w:p w14:paraId="1387D54B" w14:textId="576F3B0C" w:rsidR="00ED3358" w:rsidRPr="004C0F29" w:rsidRDefault="00ED3358" w:rsidP="00504179">
      <w:pPr>
        <w:pStyle w:val="ListParagraph"/>
        <w:spacing w:line="360" w:lineRule="auto"/>
        <w:jc w:val="both"/>
        <w:rPr>
          <w:rFonts w:ascii="Times New Roman" w:hAnsi="Times New Roman" w:cs="Times New Roman"/>
          <w:color w:val="000000" w:themeColor="text1"/>
          <w:sz w:val="28"/>
          <w:szCs w:val="28"/>
          <w:lang w:val="en-US"/>
        </w:rPr>
      </w:pPr>
    </w:p>
    <w:p w14:paraId="61392C46" w14:textId="17220286" w:rsidR="00797ACD" w:rsidRPr="00F6521F" w:rsidRDefault="0076071A" w:rsidP="004A1092">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 xml:space="preserve">In </w:t>
      </w:r>
      <w:r w:rsidRPr="00F6521F">
        <w:rPr>
          <w:rFonts w:ascii="Arial" w:hAnsi="Arial" w:cs="Arial"/>
          <w:i/>
          <w:iCs/>
          <w:color w:val="000000" w:themeColor="text1"/>
          <w:lang w:val="en-US"/>
        </w:rPr>
        <w:t>MEC: Department of Public Works &amp; Infrastructure: Free State Province v Tuscaloosa 21 (Pty) Ltd</w:t>
      </w:r>
      <w:r w:rsidR="001B5C5A" w:rsidRPr="00F6521F">
        <w:rPr>
          <w:rFonts w:ascii="Arial" w:hAnsi="Arial" w:cs="Arial"/>
          <w:color w:val="000000" w:themeColor="text1"/>
          <w:lang w:val="en-US"/>
        </w:rPr>
        <w:t>,</w:t>
      </w:r>
      <w:r w:rsidRPr="00F6521F">
        <w:rPr>
          <w:rStyle w:val="FootnoteReference"/>
          <w:rFonts w:ascii="Arial" w:hAnsi="Arial" w:cs="Arial"/>
          <w:color w:val="000000" w:themeColor="text1"/>
          <w:lang w:val="en-US"/>
        </w:rPr>
        <w:footnoteReference w:id="16"/>
      </w:r>
      <w:r w:rsidR="001B5C5A" w:rsidRPr="00F6521F">
        <w:rPr>
          <w:rFonts w:ascii="Arial" w:hAnsi="Arial" w:cs="Arial"/>
          <w:color w:val="000000" w:themeColor="text1"/>
          <w:lang w:val="en-US"/>
        </w:rPr>
        <w:t xml:space="preserve"> the </w:t>
      </w:r>
      <w:r w:rsidR="005D3ADF" w:rsidRPr="00F6521F">
        <w:rPr>
          <w:rFonts w:ascii="Arial" w:hAnsi="Arial" w:cs="Arial"/>
          <w:color w:val="000000" w:themeColor="text1"/>
          <w:lang w:val="en-US"/>
        </w:rPr>
        <w:t>c</w:t>
      </w:r>
      <w:r w:rsidR="001B5C5A" w:rsidRPr="00F6521F">
        <w:rPr>
          <w:rFonts w:ascii="Arial" w:hAnsi="Arial" w:cs="Arial"/>
          <w:color w:val="000000" w:themeColor="text1"/>
          <w:lang w:val="en-US"/>
        </w:rPr>
        <w:t>ourt seemed to accept that it was appropriate for a Provincial Department of Public Works and Infrastructure to launch proceedings involving property that had been leased on behalf of another provincial governmental department (the Department of Cooperative Governance and Traditional Affairs).</w:t>
      </w:r>
      <w:r w:rsidR="003F7B20" w:rsidRPr="00F6521F">
        <w:rPr>
          <w:rStyle w:val="FootnoteReference"/>
          <w:rFonts w:ascii="Arial" w:hAnsi="Arial" w:cs="Arial"/>
          <w:color w:val="000000" w:themeColor="text1"/>
          <w:lang w:val="en-US"/>
        </w:rPr>
        <w:footnoteReference w:id="17"/>
      </w:r>
      <w:r w:rsidR="001B5C5A" w:rsidRPr="00F6521F">
        <w:rPr>
          <w:rFonts w:ascii="Arial" w:hAnsi="Arial" w:cs="Arial"/>
          <w:color w:val="000000" w:themeColor="text1"/>
          <w:lang w:val="en-US"/>
        </w:rPr>
        <w:t xml:space="preserve"> </w:t>
      </w:r>
      <w:r w:rsidRPr="00F6521F">
        <w:rPr>
          <w:rFonts w:ascii="Arial" w:hAnsi="Arial" w:cs="Arial"/>
          <w:i/>
          <w:iCs/>
          <w:color w:val="000000" w:themeColor="text1"/>
          <w:lang w:val="en-US"/>
        </w:rPr>
        <w:t xml:space="preserve"> </w:t>
      </w:r>
      <w:r w:rsidR="00797ACD" w:rsidRPr="00F6521F">
        <w:rPr>
          <w:rFonts w:ascii="Arial" w:hAnsi="Arial" w:cs="Arial"/>
          <w:color w:val="000000" w:themeColor="text1"/>
          <w:lang w:val="en-US"/>
        </w:rPr>
        <w:t>Proceedings on behalf of the State may be commenced both in the name of the State or Government and in the name of a nominal plaintiff or applicant. In the case of a national Department, it is usually the Minister who serves as nominal plaintiff or applicant.</w:t>
      </w:r>
      <w:r w:rsidR="00797ACD" w:rsidRPr="00F6521F">
        <w:rPr>
          <w:rStyle w:val="FootnoteReference"/>
          <w:rFonts w:ascii="Arial" w:hAnsi="Arial" w:cs="Arial"/>
          <w:color w:val="000000" w:themeColor="text1"/>
          <w:lang w:val="en-US"/>
        </w:rPr>
        <w:footnoteReference w:id="18"/>
      </w:r>
      <w:r w:rsidR="00797ACD" w:rsidRPr="00F6521F">
        <w:rPr>
          <w:rFonts w:ascii="Arial" w:hAnsi="Arial" w:cs="Arial"/>
          <w:color w:val="000000" w:themeColor="text1"/>
          <w:lang w:val="en-US"/>
        </w:rPr>
        <w:t xml:space="preserve"> </w:t>
      </w:r>
      <w:r w:rsidR="005717F2" w:rsidRPr="00F6521F">
        <w:rPr>
          <w:rFonts w:ascii="Arial" w:hAnsi="Arial" w:cs="Arial"/>
          <w:color w:val="000000" w:themeColor="text1"/>
          <w:lang w:val="en-US"/>
        </w:rPr>
        <w:t>Proceedings may also be commenced by the administrative head of a department.</w:t>
      </w:r>
      <w:r w:rsidR="005717F2" w:rsidRPr="00F6521F">
        <w:rPr>
          <w:rStyle w:val="FootnoteReference"/>
          <w:rFonts w:ascii="Arial" w:hAnsi="Arial" w:cs="Arial"/>
          <w:color w:val="000000" w:themeColor="text1"/>
          <w:lang w:val="en-US"/>
        </w:rPr>
        <w:footnoteReference w:id="19"/>
      </w:r>
      <w:r w:rsidR="00AB0124" w:rsidRPr="00F6521F">
        <w:rPr>
          <w:rFonts w:ascii="Arial" w:hAnsi="Arial" w:cs="Arial"/>
          <w:color w:val="000000" w:themeColor="text1"/>
          <w:lang w:val="en-US"/>
        </w:rPr>
        <w:t xml:space="preserve"> There is, however, no basis </w:t>
      </w:r>
      <w:r w:rsidR="001E24AD" w:rsidRPr="00F6521F">
        <w:rPr>
          <w:rFonts w:ascii="Arial" w:hAnsi="Arial" w:cs="Arial"/>
          <w:color w:val="000000" w:themeColor="text1"/>
          <w:lang w:val="en-US"/>
        </w:rPr>
        <w:t>(and certainly none emanating from the SLA</w:t>
      </w:r>
      <w:r w:rsidR="00474F5D" w:rsidRPr="00F6521F">
        <w:rPr>
          <w:rFonts w:ascii="Arial" w:hAnsi="Arial" w:cs="Arial"/>
          <w:color w:val="000000" w:themeColor="text1"/>
          <w:lang w:val="en-US"/>
        </w:rPr>
        <w:t xml:space="preserve">, as argued) </w:t>
      </w:r>
      <w:r w:rsidR="00AB0124" w:rsidRPr="00F6521F">
        <w:rPr>
          <w:rFonts w:ascii="Arial" w:hAnsi="Arial" w:cs="Arial"/>
          <w:color w:val="000000" w:themeColor="text1"/>
          <w:lang w:val="en-US"/>
        </w:rPr>
        <w:t>for suggesting that this is obligatory.</w:t>
      </w:r>
      <w:r w:rsidR="001E24AD" w:rsidRPr="00F6521F">
        <w:rPr>
          <w:rFonts w:ascii="Arial" w:hAnsi="Arial" w:cs="Arial"/>
          <w:color w:val="000000" w:themeColor="text1"/>
          <w:lang w:val="en-US"/>
        </w:rPr>
        <w:t xml:space="preserve"> </w:t>
      </w:r>
    </w:p>
    <w:p w14:paraId="0BE9EAAC" w14:textId="77777777" w:rsidR="004C0F29" w:rsidRPr="00F6521F" w:rsidRDefault="004C0F29" w:rsidP="004C0F29">
      <w:pPr>
        <w:pStyle w:val="ListParagraph"/>
        <w:spacing w:line="360" w:lineRule="auto"/>
        <w:jc w:val="both"/>
        <w:rPr>
          <w:rFonts w:ascii="Arial" w:hAnsi="Arial" w:cs="Arial"/>
          <w:color w:val="000000" w:themeColor="text1"/>
          <w:lang w:val="en-US"/>
        </w:rPr>
      </w:pPr>
    </w:p>
    <w:p w14:paraId="754A68FE" w14:textId="25E29F66" w:rsidR="00896F2A" w:rsidRPr="00F6521F" w:rsidRDefault="00896F2A" w:rsidP="004A1092">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 xml:space="preserve">In this instance, the application has been launched by the ‘Department of Public Works and Infrastructure’ in its own name, and not through a nominal </w:t>
      </w:r>
      <w:r w:rsidR="005D3A54" w:rsidRPr="00F6521F">
        <w:rPr>
          <w:rFonts w:ascii="Arial" w:hAnsi="Arial" w:cs="Arial"/>
          <w:color w:val="000000" w:themeColor="text1"/>
          <w:lang w:val="en-US"/>
        </w:rPr>
        <w:t>citation.</w:t>
      </w:r>
      <w:r w:rsidR="00276D6D" w:rsidRPr="00F6521F">
        <w:rPr>
          <w:rFonts w:ascii="Arial" w:hAnsi="Arial" w:cs="Arial"/>
          <w:color w:val="000000" w:themeColor="text1"/>
          <w:lang w:val="en-US"/>
        </w:rPr>
        <w:t xml:space="preserve"> </w:t>
      </w:r>
      <w:r w:rsidR="004F5DC6" w:rsidRPr="00F6521F">
        <w:rPr>
          <w:rFonts w:ascii="Arial" w:hAnsi="Arial" w:cs="Arial"/>
          <w:color w:val="000000" w:themeColor="text1"/>
          <w:lang w:val="en-US"/>
        </w:rPr>
        <w:t xml:space="preserve">Manda was duly authorised to depose to the founding affidavit and to take the necessary steps to launch the application. The </w:t>
      </w:r>
      <w:r w:rsidR="006D082F" w:rsidRPr="00F6521F">
        <w:rPr>
          <w:rFonts w:ascii="Arial" w:hAnsi="Arial" w:cs="Arial"/>
          <w:color w:val="000000" w:themeColor="text1"/>
          <w:lang w:val="en-US"/>
        </w:rPr>
        <w:t>applicant</w:t>
      </w:r>
      <w:r w:rsidR="004F5DC6" w:rsidRPr="00F6521F">
        <w:rPr>
          <w:rFonts w:ascii="Arial" w:hAnsi="Arial" w:cs="Arial"/>
          <w:color w:val="000000" w:themeColor="text1"/>
          <w:lang w:val="en-US"/>
        </w:rPr>
        <w:t xml:space="preserve"> remains the Department and t</w:t>
      </w:r>
      <w:r w:rsidR="00276D6D" w:rsidRPr="00F6521F">
        <w:rPr>
          <w:rFonts w:ascii="Arial" w:hAnsi="Arial" w:cs="Arial"/>
          <w:color w:val="000000" w:themeColor="text1"/>
          <w:lang w:val="en-US"/>
        </w:rPr>
        <w:t xml:space="preserve">he remarks in cases such as </w:t>
      </w:r>
      <w:r w:rsidR="00276D6D" w:rsidRPr="00F6521F">
        <w:rPr>
          <w:rFonts w:ascii="Arial" w:hAnsi="Arial" w:cs="Arial"/>
          <w:i/>
          <w:iCs/>
          <w:color w:val="000000" w:themeColor="text1"/>
          <w:lang w:val="en-US"/>
        </w:rPr>
        <w:t>Distcor</w:t>
      </w:r>
      <w:r w:rsidR="00276D6D" w:rsidRPr="00F6521F">
        <w:rPr>
          <w:rFonts w:ascii="Arial" w:hAnsi="Arial" w:cs="Arial"/>
          <w:color w:val="000000" w:themeColor="text1"/>
          <w:lang w:val="en-US"/>
        </w:rPr>
        <w:t xml:space="preserve"> about the locus standi of nominal plaintiffs / applicants are therefore inapposite. The essential locus standi enquiry is whether the applicant has a sufficient interest in the proceedings.</w:t>
      </w:r>
      <w:r w:rsidR="00106219" w:rsidRPr="00F6521F">
        <w:rPr>
          <w:rStyle w:val="FootnoteReference"/>
          <w:rFonts w:ascii="Arial" w:hAnsi="Arial" w:cs="Arial"/>
          <w:color w:val="000000" w:themeColor="text1"/>
          <w:lang w:val="en-US"/>
        </w:rPr>
        <w:footnoteReference w:id="20"/>
      </w:r>
      <w:r w:rsidR="00AB06B6" w:rsidRPr="00F6521F">
        <w:rPr>
          <w:rFonts w:ascii="Arial" w:hAnsi="Arial" w:cs="Arial"/>
          <w:color w:val="000000" w:themeColor="text1"/>
          <w:lang w:val="en-US"/>
        </w:rPr>
        <w:t xml:space="preserve"> Given the nature of the </w:t>
      </w:r>
      <w:r w:rsidR="0012611B" w:rsidRPr="00F6521F">
        <w:rPr>
          <w:rFonts w:ascii="Arial" w:hAnsi="Arial" w:cs="Arial"/>
          <w:color w:val="000000" w:themeColor="text1"/>
          <w:lang w:val="en-US"/>
        </w:rPr>
        <w:t xml:space="preserve">various </w:t>
      </w:r>
      <w:r w:rsidR="00AB06B6" w:rsidRPr="00F6521F">
        <w:rPr>
          <w:rFonts w:ascii="Arial" w:hAnsi="Arial" w:cs="Arial"/>
          <w:color w:val="000000" w:themeColor="text1"/>
          <w:lang w:val="en-US"/>
        </w:rPr>
        <w:t xml:space="preserve">agreements entered into between the parties, </w:t>
      </w:r>
      <w:r w:rsidR="0012611B" w:rsidRPr="00F6521F">
        <w:rPr>
          <w:rFonts w:ascii="Arial" w:hAnsi="Arial" w:cs="Arial"/>
          <w:color w:val="000000" w:themeColor="text1"/>
          <w:lang w:val="en-US"/>
        </w:rPr>
        <w:t xml:space="preserve">as detailed above, </w:t>
      </w:r>
      <w:r w:rsidR="004A121A" w:rsidRPr="00F6521F">
        <w:rPr>
          <w:rFonts w:ascii="Arial" w:hAnsi="Arial" w:cs="Arial"/>
          <w:color w:val="000000" w:themeColor="text1"/>
          <w:lang w:val="en-US"/>
        </w:rPr>
        <w:t xml:space="preserve">and the purpose of the application, </w:t>
      </w:r>
      <w:r w:rsidR="00AB06B6" w:rsidRPr="00F6521F">
        <w:rPr>
          <w:rFonts w:ascii="Arial" w:hAnsi="Arial" w:cs="Arial"/>
          <w:color w:val="000000" w:themeColor="text1"/>
          <w:lang w:val="en-US"/>
        </w:rPr>
        <w:t xml:space="preserve">this cannot be gainsaid. </w:t>
      </w:r>
      <w:r w:rsidR="00A05281" w:rsidRPr="00F6521F">
        <w:rPr>
          <w:rFonts w:ascii="Arial" w:hAnsi="Arial" w:cs="Arial"/>
          <w:color w:val="000000" w:themeColor="text1"/>
          <w:lang w:val="en-US"/>
        </w:rPr>
        <w:t>The respondents admit the description of the applicant</w:t>
      </w:r>
      <w:r w:rsidR="009E66E5" w:rsidRPr="00F6521F">
        <w:rPr>
          <w:rFonts w:ascii="Arial" w:hAnsi="Arial" w:cs="Arial"/>
          <w:color w:val="000000" w:themeColor="text1"/>
          <w:lang w:val="en-US"/>
        </w:rPr>
        <w:t xml:space="preserve"> on the papers</w:t>
      </w:r>
      <w:r w:rsidR="00A05281" w:rsidRPr="00F6521F">
        <w:rPr>
          <w:rFonts w:ascii="Arial" w:hAnsi="Arial" w:cs="Arial"/>
          <w:color w:val="000000" w:themeColor="text1"/>
          <w:lang w:val="en-US"/>
        </w:rPr>
        <w:t xml:space="preserve">, including that ‘[I]t is . . . the Department </w:t>
      </w:r>
      <w:r w:rsidR="00A05281" w:rsidRPr="00F6521F">
        <w:rPr>
          <w:rFonts w:ascii="Arial" w:hAnsi="Arial" w:cs="Arial"/>
          <w:color w:val="000000" w:themeColor="text1"/>
          <w:lang w:val="en-US"/>
        </w:rPr>
        <w:lastRenderedPageBreak/>
        <w:t>under whose custodianship certain State-owned land resorts.’</w:t>
      </w:r>
      <w:r w:rsidR="009E66E5" w:rsidRPr="00F6521F">
        <w:rPr>
          <w:rStyle w:val="FootnoteReference"/>
          <w:rFonts w:ascii="Arial" w:hAnsi="Arial" w:cs="Arial"/>
          <w:color w:val="000000" w:themeColor="text1"/>
          <w:lang w:val="en-US"/>
        </w:rPr>
        <w:footnoteReference w:id="21"/>
      </w:r>
      <w:r w:rsidR="00A05281" w:rsidRPr="00F6521F">
        <w:rPr>
          <w:rFonts w:ascii="Arial" w:hAnsi="Arial" w:cs="Arial"/>
          <w:color w:val="000000" w:themeColor="text1"/>
          <w:lang w:val="en-US"/>
        </w:rPr>
        <w:t xml:space="preserve"> </w:t>
      </w:r>
      <w:r w:rsidR="004A121A" w:rsidRPr="00F6521F">
        <w:rPr>
          <w:rFonts w:ascii="Arial" w:hAnsi="Arial" w:cs="Arial"/>
          <w:color w:val="000000" w:themeColor="text1"/>
          <w:lang w:val="en-US"/>
        </w:rPr>
        <w:t>To suggest that the proceedings had to have been launched by the MEC, alternatively the Premier, because of the provisions of the SLA is untenable.</w:t>
      </w:r>
      <w:r w:rsidR="00515C7A" w:rsidRPr="00F6521F">
        <w:rPr>
          <w:rStyle w:val="FootnoteReference"/>
          <w:rFonts w:ascii="Arial" w:hAnsi="Arial" w:cs="Arial"/>
          <w:color w:val="000000" w:themeColor="text1"/>
          <w:lang w:val="en-US"/>
        </w:rPr>
        <w:footnoteReference w:id="22"/>
      </w:r>
      <w:r w:rsidR="007C78A0" w:rsidRPr="00F6521F">
        <w:rPr>
          <w:rFonts w:ascii="Arial" w:hAnsi="Arial" w:cs="Arial"/>
          <w:color w:val="000000" w:themeColor="text1"/>
          <w:lang w:val="en-US"/>
        </w:rPr>
        <w:t xml:space="preserve"> I am satisfied that the applicant’s right to institute the present proceedings has been established</w:t>
      </w:r>
    </w:p>
    <w:p w14:paraId="4F6CEAF9" w14:textId="5374C094" w:rsidR="004C0F29" w:rsidRPr="00F6521F" w:rsidRDefault="004C0F29" w:rsidP="004C0F29">
      <w:pPr>
        <w:spacing w:line="360" w:lineRule="auto"/>
        <w:jc w:val="both"/>
        <w:rPr>
          <w:rFonts w:ascii="Arial" w:hAnsi="Arial" w:cs="Arial"/>
          <w:color w:val="000000" w:themeColor="text1"/>
          <w:lang w:val="en-US"/>
        </w:rPr>
      </w:pPr>
    </w:p>
    <w:p w14:paraId="410CDDDC" w14:textId="439984E7" w:rsidR="009D7BF6" w:rsidRPr="00F6521F" w:rsidRDefault="009D7BF6" w:rsidP="004C0F29">
      <w:pPr>
        <w:spacing w:line="360" w:lineRule="auto"/>
        <w:jc w:val="both"/>
        <w:rPr>
          <w:rFonts w:ascii="Arial" w:hAnsi="Arial" w:cs="Arial"/>
          <w:b/>
          <w:bCs/>
          <w:color w:val="000000" w:themeColor="text1"/>
          <w:lang w:val="en-US"/>
        </w:rPr>
      </w:pPr>
      <w:r w:rsidRPr="00F6521F">
        <w:rPr>
          <w:rFonts w:ascii="Arial" w:hAnsi="Arial" w:cs="Arial"/>
          <w:b/>
          <w:bCs/>
          <w:color w:val="000000" w:themeColor="text1"/>
          <w:lang w:val="en-US"/>
        </w:rPr>
        <w:t>The use of the property</w:t>
      </w:r>
    </w:p>
    <w:p w14:paraId="738C7259" w14:textId="77777777" w:rsidR="000B151D" w:rsidRPr="009D7BF6" w:rsidRDefault="000B151D" w:rsidP="004C0F29">
      <w:pPr>
        <w:spacing w:line="360" w:lineRule="auto"/>
        <w:jc w:val="both"/>
        <w:rPr>
          <w:rFonts w:ascii="Times New Roman" w:hAnsi="Times New Roman" w:cs="Times New Roman"/>
          <w:b/>
          <w:bCs/>
          <w:color w:val="000000" w:themeColor="text1"/>
          <w:sz w:val="28"/>
          <w:szCs w:val="28"/>
          <w:lang w:val="en-US"/>
        </w:rPr>
      </w:pPr>
    </w:p>
    <w:p w14:paraId="41D2ED75" w14:textId="27297E02" w:rsidR="00A05281" w:rsidRPr="00F6521F" w:rsidRDefault="009B7CD2" w:rsidP="004A1092">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 xml:space="preserve">The respondents </w:t>
      </w:r>
      <w:r w:rsidR="00065088" w:rsidRPr="00F6521F">
        <w:rPr>
          <w:rFonts w:ascii="Arial" w:hAnsi="Arial" w:cs="Arial"/>
          <w:color w:val="000000" w:themeColor="text1"/>
          <w:lang w:val="en-US"/>
        </w:rPr>
        <w:t>do not deny</w:t>
      </w:r>
      <w:r w:rsidRPr="00F6521F">
        <w:rPr>
          <w:rFonts w:ascii="Arial" w:hAnsi="Arial" w:cs="Arial"/>
          <w:color w:val="000000" w:themeColor="text1"/>
          <w:lang w:val="en-US"/>
        </w:rPr>
        <w:t xml:space="preserve"> that the </w:t>
      </w:r>
      <w:r w:rsidR="00065088" w:rsidRPr="00F6521F">
        <w:rPr>
          <w:rFonts w:ascii="Arial" w:hAnsi="Arial" w:cs="Arial"/>
          <w:color w:val="000000" w:themeColor="text1"/>
          <w:lang w:val="en-US"/>
        </w:rPr>
        <w:t>structures on the premises are commercial in nature and income generating.</w:t>
      </w:r>
      <w:r w:rsidR="004175CD" w:rsidRPr="00F6521F">
        <w:rPr>
          <w:rStyle w:val="FootnoteReference"/>
          <w:rFonts w:ascii="Arial" w:hAnsi="Arial" w:cs="Arial"/>
          <w:color w:val="000000" w:themeColor="text1"/>
          <w:lang w:val="en-US"/>
        </w:rPr>
        <w:footnoteReference w:id="23"/>
      </w:r>
      <w:r w:rsidR="00065088" w:rsidRPr="00F6521F">
        <w:rPr>
          <w:rFonts w:ascii="Arial" w:hAnsi="Arial" w:cs="Arial"/>
          <w:color w:val="000000" w:themeColor="text1"/>
          <w:lang w:val="en-US"/>
        </w:rPr>
        <w:t xml:space="preserve"> </w:t>
      </w:r>
      <w:r w:rsidR="004175CD" w:rsidRPr="00F6521F">
        <w:rPr>
          <w:rFonts w:ascii="Arial" w:hAnsi="Arial" w:cs="Arial"/>
          <w:color w:val="000000" w:themeColor="text1"/>
          <w:lang w:val="en-US"/>
        </w:rPr>
        <w:t>Mr Nobatana nevertheless persisted</w:t>
      </w:r>
      <w:r w:rsidR="007423A8" w:rsidRPr="00F6521F">
        <w:rPr>
          <w:rFonts w:ascii="Arial" w:hAnsi="Arial" w:cs="Arial"/>
          <w:color w:val="000000" w:themeColor="text1"/>
          <w:lang w:val="en-US"/>
        </w:rPr>
        <w:t xml:space="preserve"> in his submission that the Prevention of Illegal Eviction From and Unlawful Occupation of Land Act, 1998</w:t>
      </w:r>
      <w:r w:rsidR="00EB705C" w:rsidRPr="00F6521F">
        <w:rPr>
          <w:rFonts w:ascii="Arial" w:hAnsi="Arial" w:cs="Arial"/>
          <w:color w:val="000000" w:themeColor="text1"/>
          <w:lang w:val="en-US"/>
        </w:rPr>
        <w:t xml:space="preserve"> (‘PIE’)</w:t>
      </w:r>
      <w:r w:rsidR="007423A8" w:rsidRPr="00F6521F">
        <w:rPr>
          <w:rStyle w:val="FootnoteReference"/>
          <w:rFonts w:ascii="Arial" w:hAnsi="Arial" w:cs="Arial"/>
          <w:color w:val="000000" w:themeColor="text1"/>
          <w:lang w:val="en-US"/>
        </w:rPr>
        <w:footnoteReference w:id="24"/>
      </w:r>
      <w:r w:rsidR="00833788" w:rsidRPr="00F6521F">
        <w:rPr>
          <w:rFonts w:ascii="Arial" w:hAnsi="Arial" w:cs="Arial"/>
          <w:color w:val="000000" w:themeColor="text1"/>
          <w:lang w:val="en-US"/>
        </w:rPr>
        <w:t xml:space="preserve"> was applicable. </w:t>
      </w:r>
    </w:p>
    <w:p w14:paraId="4315E684" w14:textId="77777777" w:rsidR="00833788" w:rsidRPr="00F6521F" w:rsidRDefault="00833788" w:rsidP="00381AEB">
      <w:pPr>
        <w:pStyle w:val="ListParagraph"/>
        <w:spacing w:line="360" w:lineRule="auto"/>
        <w:jc w:val="both"/>
        <w:rPr>
          <w:rFonts w:ascii="Arial" w:hAnsi="Arial" w:cs="Arial"/>
          <w:color w:val="000000" w:themeColor="text1"/>
          <w:lang w:val="en-US"/>
        </w:rPr>
      </w:pPr>
    </w:p>
    <w:p w14:paraId="5C102908" w14:textId="5C6960CF" w:rsidR="00833788" w:rsidRPr="00F6521F" w:rsidRDefault="00833788" w:rsidP="004A1092">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This submission was based on the inclusion of paragraph 5.1of the lease agreement, which states:</w:t>
      </w:r>
    </w:p>
    <w:p w14:paraId="77F8414D" w14:textId="34F21B2B" w:rsidR="00833788" w:rsidRPr="00F40A67" w:rsidRDefault="00F40A67" w:rsidP="00F40A67">
      <w:pPr>
        <w:spacing w:line="36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  </w:t>
      </w:r>
      <w:r w:rsidR="00833788" w:rsidRPr="00F40A67">
        <w:rPr>
          <w:rFonts w:ascii="Arial" w:hAnsi="Arial" w:cs="Arial"/>
          <w:color w:val="000000" w:themeColor="text1"/>
          <w:sz w:val="22"/>
          <w:szCs w:val="22"/>
          <w:lang w:val="en-US"/>
        </w:rPr>
        <w:t>‘The Property may only be used for single residential purposes for private occupation.’</w:t>
      </w:r>
    </w:p>
    <w:p w14:paraId="4F509DFA" w14:textId="06ECD427" w:rsidR="00833788" w:rsidRPr="00F40A67" w:rsidRDefault="00F40A67" w:rsidP="00F40A67">
      <w:pPr>
        <w:spacing w:line="360" w:lineRule="auto"/>
        <w:ind w:left="142" w:hanging="142"/>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  </w:t>
      </w:r>
      <w:r w:rsidR="0003495D" w:rsidRPr="007D7C49">
        <w:rPr>
          <w:rFonts w:ascii="Arial" w:hAnsi="Arial" w:cs="Arial"/>
          <w:color w:val="000000" w:themeColor="text1"/>
          <w:lang w:val="en-US"/>
        </w:rPr>
        <w:t xml:space="preserve">The ostensible reason for this is provided in paragraph 5.2, namely to enable the lessor </w:t>
      </w:r>
      <w:r w:rsidRPr="007D7C49">
        <w:rPr>
          <w:rFonts w:ascii="Arial" w:hAnsi="Arial" w:cs="Arial"/>
          <w:color w:val="000000" w:themeColor="text1"/>
          <w:lang w:val="en-US"/>
        </w:rPr>
        <w:t>to terminate</w:t>
      </w:r>
      <w:r w:rsidR="0003495D" w:rsidRPr="007D7C49">
        <w:rPr>
          <w:rFonts w:ascii="Arial" w:hAnsi="Arial" w:cs="Arial"/>
          <w:color w:val="000000" w:themeColor="text1"/>
          <w:lang w:val="en-US"/>
        </w:rPr>
        <w:t xml:space="preserve"> the lease agreement with immediate effect in the event that the property is used for any other function without prior written approval</w:t>
      </w:r>
      <w:r w:rsidR="0003495D" w:rsidRPr="00F40A67">
        <w:rPr>
          <w:rFonts w:ascii="Arial" w:hAnsi="Arial" w:cs="Arial"/>
          <w:color w:val="000000" w:themeColor="text1"/>
          <w:sz w:val="22"/>
          <w:szCs w:val="22"/>
          <w:lang w:val="en-US"/>
        </w:rPr>
        <w:t>.</w:t>
      </w:r>
    </w:p>
    <w:p w14:paraId="5618F6F5" w14:textId="77777777" w:rsidR="0003495D" w:rsidRPr="00833788" w:rsidRDefault="0003495D" w:rsidP="00381AEB">
      <w:pPr>
        <w:pStyle w:val="ListParagraph"/>
        <w:spacing w:line="360" w:lineRule="auto"/>
        <w:rPr>
          <w:rFonts w:ascii="Times New Roman" w:hAnsi="Times New Roman" w:cs="Times New Roman"/>
          <w:color w:val="000000" w:themeColor="text1"/>
          <w:lang w:val="en-US"/>
        </w:rPr>
      </w:pPr>
    </w:p>
    <w:p w14:paraId="51B3C0CC" w14:textId="0ABC40C6" w:rsidR="00833788" w:rsidRPr="00F6521F" w:rsidRDefault="00EB705C" w:rsidP="00F6521F">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 xml:space="preserve">The argument cannot be accepted. </w:t>
      </w:r>
      <w:r w:rsidR="00B12499" w:rsidRPr="00F6521F">
        <w:rPr>
          <w:rFonts w:ascii="Arial" w:hAnsi="Arial" w:cs="Arial"/>
          <w:color w:val="000000" w:themeColor="text1"/>
          <w:lang w:val="en-US"/>
        </w:rPr>
        <w:t xml:space="preserve">PIE flows directly from s 26(3) of the Constitution, which provides that no person may be evicted from their home or have their home demolished, without an order of court granted after consideration of all relevant circumstances. </w:t>
      </w:r>
      <w:r w:rsidR="00815632" w:rsidRPr="00F6521F">
        <w:rPr>
          <w:rFonts w:ascii="Arial" w:hAnsi="Arial" w:cs="Arial"/>
          <w:color w:val="000000" w:themeColor="text1"/>
          <w:lang w:val="en-US"/>
        </w:rPr>
        <w:t xml:space="preserve">While PIE provides for the prohibition of unlawful eviction and arbitrary deprivation of property, its preamble </w:t>
      </w:r>
      <w:r w:rsidR="002E5576" w:rsidRPr="00F6521F">
        <w:rPr>
          <w:rFonts w:ascii="Arial" w:hAnsi="Arial" w:cs="Arial"/>
          <w:color w:val="000000" w:themeColor="text1"/>
          <w:lang w:val="en-US"/>
        </w:rPr>
        <w:t xml:space="preserve">further confirms </w:t>
      </w:r>
      <w:r w:rsidR="00815632" w:rsidRPr="00F6521F">
        <w:rPr>
          <w:rFonts w:ascii="Arial" w:hAnsi="Arial" w:cs="Arial"/>
          <w:color w:val="000000" w:themeColor="text1"/>
          <w:lang w:val="en-US"/>
        </w:rPr>
        <w:t>that the context in which it applies is eviction from a ‘home’</w:t>
      </w:r>
      <w:r w:rsidR="00D77FB7" w:rsidRPr="00F6521F">
        <w:rPr>
          <w:rFonts w:ascii="Arial" w:hAnsi="Arial" w:cs="Arial"/>
          <w:color w:val="000000" w:themeColor="text1"/>
          <w:lang w:val="en-US"/>
        </w:rPr>
        <w:t xml:space="preserve"> or demolition of a person’s home</w:t>
      </w:r>
      <w:r w:rsidR="00815632" w:rsidRPr="00F6521F">
        <w:rPr>
          <w:rFonts w:ascii="Arial" w:hAnsi="Arial" w:cs="Arial"/>
          <w:color w:val="000000" w:themeColor="text1"/>
          <w:lang w:val="en-US"/>
        </w:rPr>
        <w:t>.</w:t>
      </w:r>
      <w:r w:rsidR="00B12499" w:rsidRPr="00F6521F">
        <w:rPr>
          <w:rFonts w:ascii="Arial" w:hAnsi="Arial" w:cs="Arial"/>
          <w:color w:val="000000" w:themeColor="text1"/>
          <w:lang w:val="en-US"/>
        </w:rPr>
        <w:t xml:space="preserve"> </w:t>
      </w:r>
      <w:r w:rsidR="00D221DD" w:rsidRPr="00F6521F">
        <w:rPr>
          <w:rFonts w:ascii="Arial" w:hAnsi="Arial" w:cs="Arial"/>
          <w:color w:val="000000" w:themeColor="text1"/>
          <w:lang w:val="en-US"/>
        </w:rPr>
        <w:t>As a result, i</w:t>
      </w:r>
      <w:r w:rsidR="0078242E" w:rsidRPr="00F6521F">
        <w:rPr>
          <w:rFonts w:ascii="Arial" w:hAnsi="Arial" w:cs="Arial"/>
          <w:color w:val="000000" w:themeColor="text1"/>
          <w:lang w:val="en-US"/>
        </w:rPr>
        <w:t xml:space="preserve">t is during the course of </w:t>
      </w:r>
      <w:r w:rsidR="00381AEB" w:rsidRPr="00F6521F">
        <w:rPr>
          <w:rFonts w:ascii="Arial" w:hAnsi="Arial" w:cs="Arial"/>
          <w:color w:val="000000" w:themeColor="text1"/>
          <w:lang w:val="en-US"/>
        </w:rPr>
        <w:t>a ‘residential’ eviction that PIE provides for special consideration to be given to the rights of the eld</w:t>
      </w:r>
      <w:r w:rsidR="007D7C49">
        <w:rPr>
          <w:rFonts w:ascii="Arial" w:hAnsi="Arial" w:cs="Arial"/>
          <w:color w:val="000000" w:themeColor="text1"/>
          <w:lang w:val="en-US"/>
        </w:rPr>
        <w:t>erly, children, disabled persons</w:t>
      </w:r>
      <w:r w:rsidR="00381AEB" w:rsidRPr="00F6521F">
        <w:rPr>
          <w:rFonts w:ascii="Arial" w:hAnsi="Arial" w:cs="Arial"/>
          <w:color w:val="000000" w:themeColor="text1"/>
          <w:lang w:val="en-US"/>
        </w:rPr>
        <w:t xml:space="preserve"> and, particularly, households headed by women.</w:t>
      </w:r>
      <w:r w:rsidR="00B12499" w:rsidRPr="00F6521F">
        <w:rPr>
          <w:rFonts w:ascii="Arial" w:hAnsi="Arial" w:cs="Arial"/>
          <w:color w:val="000000" w:themeColor="text1"/>
          <w:lang w:val="en-US"/>
        </w:rPr>
        <w:t xml:space="preserve"> </w:t>
      </w:r>
    </w:p>
    <w:p w14:paraId="25C9F6E7" w14:textId="77777777" w:rsidR="00381AEB" w:rsidRPr="00F6521F" w:rsidRDefault="00381AEB" w:rsidP="00F6521F">
      <w:pPr>
        <w:pStyle w:val="ListParagraph"/>
        <w:spacing w:line="360" w:lineRule="auto"/>
        <w:jc w:val="both"/>
        <w:rPr>
          <w:rFonts w:ascii="Arial" w:hAnsi="Arial" w:cs="Arial"/>
          <w:color w:val="000000" w:themeColor="text1"/>
          <w:lang w:val="en-US"/>
        </w:rPr>
      </w:pPr>
    </w:p>
    <w:p w14:paraId="1E9E5A7F" w14:textId="1D09E1E4" w:rsidR="00A47D09" w:rsidRPr="00F6521F" w:rsidRDefault="0023668A" w:rsidP="00F6521F">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lastRenderedPageBreak/>
        <w:t xml:space="preserve">It appears to be clear that </w:t>
      </w:r>
      <w:r w:rsidR="006655BC" w:rsidRPr="00F6521F">
        <w:rPr>
          <w:rFonts w:ascii="Arial" w:hAnsi="Arial" w:cs="Arial"/>
          <w:color w:val="000000" w:themeColor="text1"/>
          <w:lang w:val="en-US"/>
        </w:rPr>
        <w:t xml:space="preserve">it is the use to which the property is put that determines whether or not PIE is applicable. </w:t>
      </w:r>
      <w:r w:rsidR="00692A63" w:rsidRPr="00F6521F">
        <w:rPr>
          <w:rFonts w:ascii="Arial" w:hAnsi="Arial" w:cs="Arial"/>
          <w:color w:val="000000" w:themeColor="text1"/>
          <w:lang w:val="en-US"/>
        </w:rPr>
        <w:t xml:space="preserve">In </w:t>
      </w:r>
      <w:r w:rsidR="00692A63" w:rsidRPr="00F6521F">
        <w:rPr>
          <w:rFonts w:ascii="Arial" w:hAnsi="Arial" w:cs="Arial"/>
          <w:i/>
          <w:iCs/>
          <w:color w:val="000000" w:themeColor="text1"/>
          <w:lang w:val="en-US"/>
        </w:rPr>
        <w:t>Ndlovu v Ngcobo; Bekker v Jika</w:t>
      </w:r>
      <w:r w:rsidR="00C331D4" w:rsidRPr="00F6521F">
        <w:rPr>
          <w:rFonts w:ascii="Arial" w:hAnsi="Arial" w:cs="Arial"/>
          <w:color w:val="000000" w:themeColor="text1"/>
          <w:lang w:val="en-US"/>
        </w:rPr>
        <w:t>,</w:t>
      </w:r>
      <w:r w:rsidR="00692A63" w:rsidRPr="00F6521F">
        <w:rPr>
          <w:rStyle w:val="FootnoteReference"/>
          <w:rFonts w:ascii="Arial" w:hAnsi="Arial" w:cs="Arial"/>
          <w:color w:val="000000" w:themeColor="text1"/>
          <w:lang w:val="en-US"/>
        </w:rPr>
        <w:footnoteReference w:id="25"/>
      </w:r>
      <w:r w:rsidR="00C331D4" w:rsidRPr="00F6521F">
        <w:rPr>
          <w:rFonts w:ascii="Arial" w:hAnsi="Arial" w:cs="Arial"/>
          <w:color w:val="000000" w:themeColor="text1"/>
          <w:lang w:val="en-US"/>
        </w:rPr>
        <w:t xml:space="preserve"> the Supreme Court of Appeal confirmed that PIE has to be employed in all instances where persons are evicted from homes, shelter, residential accommodation </w:t>
      </w:r>
      <w:r w:rsidR="00742A79" w:rsidRPr="00F6521F">
        <w:rPr>
          <w:rFonts w:ascii="Arial" w:hAnsi="Arial" w:cs="Arial"/>
          <w:color w:val="000000" w:themeColor="text1"/>
          <w:lang w:val="en-US"/>
        </w:rPr>
        <w:t xml:space="preserve">(including leases) </w:t>
      </w:r>
      <w:r w:rsidR="00C331D4" w:rsidRPr="00F6521F">
        <w:rPr>
          <w:rFonts w:ascii="Arial" w:hAnsi="Arial" w:cs="Arial"/>
          <w:color w:val="000000" w:themeColor="text1"/>
          <w:lang w:val="en-US"/>
        </w:rPr>
        <w:t>and dwellings.</w:t>
      </w:r>
      <w:r w:rsidR="00692A63" w:rsidRPr="00F6521F">
        <w:rPr>
          <w:rFonts w:ascii="Arial" w:hAnsi="Arial" w:cs="Arial"/>
          <w:i/>
          <w:iCs/>
          <w:color w:val="000000" w:themeColor="text1"/>
          <w:lang w:val="en-US"/>
        </w:rPr>
        <w:t xml:space="preserve"> </w:t>
      </w:r>
      <w:r w:rsidR="009D5FC1" w:rsidRPr="00F6521F">
        <w:rPr>
          <w:rFonts w:ascii="Arial" w:hAnsi="Arial" w:cs="Arial"/>
          <w:color w:val="000000" w:themeColor="text1"/>
          <w:lang w:val="en-US"/>
        </w:rPr>
        <w:t>In this case, there is no suggestion in the opposing papers that the structures on the premises served as housing or were utilised for that purpose.</w:t>
      </w:r>
    </w:p>
    <w:p w14:paraId="422D4388" w14:textId="77777777" w:rsidR="00E01E82" w:rsidRPr="00F6521F" w:rsidRDefault="00E01E82" w:rsidP="00F6521F">
      <w:pPr>
        <w:spacing w:line="360" w:lineRule="auto"/>
        <w:jc w:val="both"/>
        <w:rPr>
          <w:rFonts w:ascii="Arial" w:hAnsi="Arial" w:cs="Arial"/>
          <w:color w:val="000000" w:themeColor="text1"/>
          <w:lang w:val="en-US"/>
        </w:rPr>
      </w:pPr>
    </w:p>
    <w:p w14:paraId="6174FA07" w14:textId="6D182D1C" w:rsidR="00381AEB" w:rsidRPr="00F6521F" w:rsidRDefault="00600F73" w:rsidP="00F6521F">
      <w:pPr>
        <w:pStyle w:val="ListParagraph"/>
        <w:numPr>
          <w:ilvl w:val="0"/>
          <w:numId w:val="1"/>
        </w:numPr>
        <w:spacing w:line="360" w:lineRule="auto"/>
        <w:ind w:left="142" w:hanging="142"/>
        <w:jc w:val="both"/>
        <w:rPr>
          <w:rFonts w:ascii="Arial" w:hAnsi="Arial" w:cs="Arial"/>
          <w:color w:val="000000" w:themeColor="text1"/>
          <w:lang w:val="en-US"/>
        </w:rPr>
      </w:pPr>
      <w:r w:rsidRPr="00F6521F">
        <w:rPr>
          <w:rFonts w:ascii="Arial" w:hAnsi="Arial" w:cs="Arial"/>
          <w:color w:val="000000" w:themeColor="text1"/>
          <w:lang w:val="en-US"/>
        </w:rPr>
        <w:t>The insertion of a clause restricting the lessee to private residence was probably erroneously included</w:t>
      </w:r>
      <w:r w:rsidR="00C14DFD" w:rsidRPr="00F6521F">
        <w:rPr>
          <w:rFonts w:ascii="Arial" w:hAnsi="Arial" w:cs="Arial"/>
          <w:color w:val="000000" w:themeColor="text1"/>
          <w:lang w:val="en-US"/>
        </w:rPr>
        <w:t xml:space="preserve"> in this instance</w:t>
      </w:r>
      <w:r w:rsidRPr="00F6521F">
        <w:rPr>
          <w:rFonts w:ascii="Arial" w:hAnsi="Arial" w:cs="Arial"/>
          <w:color w:val="000000" w:themeColor="text1"/>
          <w:lang w:val="en-US"/>
        </w:rPr>
        <w:t xml:space="preserve">. It is certainly no longer apposite given the use to which the property has subsequently been put, the nature of the first and second respondents’ enterprises and the parties’ understanding that the property was now </w:t>
      </w:r>
      <w:r w:rsidR="00CA6A6F" w:rsidRPr="00F6521F">
        <w:rPr>
          <w:rFonts w:ascii="Arial" w:hAnsi="Arial" w:cs="Arial"/>
          <w:color w:val="000000" w:themeColor="text1"/>
          <w:lang w:val="en-US"/>
        </w:rPr>
        <w:t xml:space="preserve">utilised for </w:t>
      </w:r>
      <w:r w:rsidRPr="00F6521F">
        <w:rPr>
          <w:rFonts w:ascii="Arial" w:hAnsi="Arial" w:cs="Arial"/>
          <w:color w:val="000000" w:themeColor="text1"/>
          <w:lang w:val="en-US"/>
        </w:rPr>
        <w:t>commercial premises.</w:t>
      </w:r>
      <w:r w:rsidR="009A7261" w:rsidRPr="00F6521F">
        <w:rPr>
          <w:rFonts w:ascii="Arial" w:hAnsi="Arial" w:cs="Arial"/>
          <w:color w:val="000000" w:themeColor="text1"/>
          <w:lang w:val="en-US"/>
        </w:rPr>
        <w:t xml:space="preserve"> The mere inclusion of such wording in the lease agreement cannot, on its own, result in the protection offered by PIE becoming applicable </w:t>
      </w:r>
      <w:r w:rsidR="00D56D3C" w:rsidRPr="00F6521F">
        <w:rPr>
          <w:rFonts w:ascii="Arial" w:hAnsi="Arial" w:cs="Arial"/>
          <w:color w:val="000000" w:themeColor="text1"/>
          <w:lang w:val="en-US"/>
        </w:rPr>
        <w:t>prior to</w:t>
      </w:r>
      <w:r w:rsidR="00945B0D" w:rsidRPr="00F6521F">
        <w:rPr>
          <w:rFonts w:ascii="Arial" w:hAnsi="Arial" w:cs="Arial"/>
          <w:color w:val="000000" w:themeColor="text1"/>
          <w:lang w:val="en-US"/>
        </w:rPr>
        <w:t xml:space="preserve"> eviction.</w:t>
      </w:r>
      <w:r w:rsidR="00E01E82" w:rsidRPr="00F6521F">
        <w:rPr>
          <w:rFonts w:ascii="Arial" w:hAnsi="Arial" w:cs="Arial"/>
          <w:color w:val="000000" w:themeColor="text1"/>
          <w:lang w:val="en-US"/>
        </w:rPr>
        <w:t xml:space="preserve"> As Muller </w:t>
      </w:r>
      <w:r w:rsidR="00E01E82" w:rsidRPr="00F6521F">
        <w:rPr>
          <w:rFonts w:ascii="Arial" w:hAnsi="Arial" w:cs="Arial"/>
          <w:i/>
          <w:iCs/>
          <w:color w:val="000000" w:themeColor="text1"/>
          <w:lang w:val="en-US"/>
        </w:rPr>
        <w:t>et al</w:t>
      </w:r>
      <w:r w:rsidR="00E01E82" w:rsidRPr="00F6521F">
        <w:rPr>
          <w:rFonts w:ascii="Arial" w:hAnsi="Arial" w:cs="Arial"/>
          <w:color w:val="000000" w:themeColor="text1"/>
          <w:lang w:val="en-US"/>
        </w:rPr>
        <w:t xml:space="preserve"> have confirmed, where rental premises are employed for business, trade, industr</w:t>
      </w:r>
      <w:r w:rsidR="006267C4" w:rsidRPr="00F6521F">
        <w:rPr>
          <w:rFonts w:ascii="Arial" w:hAnsi="Arial" w:cs="Arial"/>
          <w:color w:val="000000" w:themeColor="text1"/>
          <w:lang w:val="en-US"/>
        </w:rPr>
        <w:t>i</w:t>
      </w:r>
      <w:r w:rsidR="00E01E82" w:rsidRPr="00F6521F">
        <w:rPr>
          <w:rFonts w:ascii="Arial" w:hAnsi="Arial" w:cs="Arial"/>
          <w:color w:val="000000" w:themeColor="text1"/>
          <w:lang w:val="en-US"/>
        </w:rPr>
        <w:t>al or commercial purposes, PIE would be inapplicable given that s 26(3) of the Constitution, linked to access to adequate housing, is not at stake.</w:t>
      </w:r>
      <w:r w:rsidR="00E01E82" w:rsidRPr="00F6521F">
        <w:rPr>
          <w:rStyle w:val="FootnoteReference"/>
          <w:rFonts w:ascii="Arial" w:hAnsi="Arial" w:cs="Arial"/>
          <w:color w:val="000000" w:themeColor="text1"/>
          <w:lang w:val="en-US"/>
        </w:rPr>
        <w:footnoteReference w:id="26"/>
      </w:r>
    </w:p>
    <w:p w14:paraId="25E9EC6C" w14:textId="76D6BF74" w:rsidR="009D07CC" w:rsidRPr="00F6521F" w:rsidRDefault="009D07CC" w:rsidP="00F6521F">
      <w:pPr>
        <w:spacing w:line="360" w:lineRule="auto"/>
        <w:jc w:val="both"/>
        <w:rPr>
          <w:rFonts w:ascii="Arial" w:hAnsi="Arial" w:cs="Arial"/>
          <w:color w:val="000000" w:themeColor="text1"/>
          <w:lang w:val="en-US"/>
        </w:rPr>
      </w:pPr>
    </w:p>
    <w:p w14:paraId="277BB2C3" w14:textId="4C4EF646" w:rsidR="009D07CC" w:rsidRPr="00F6521F" w:rsidRDefault="009D07CC" w:rsidP="000B151D">
      <w:pPr>
        <w:spacing w:line="360" w:lineRule="auto"/>
        <w:rPr>
          <w:rFonts w:ascii="Arial" w:hAnsi="Arial" w:cs="Arial"/>
          <w:b/>
          <w:bCs/>
          <w:color w:val="000000" w:themeColor="text1"/>
          <w:lang w:val="en-US"/>
        </w:rPr>
      </w:pPr>
      <w:r w:rsidRPr="00F6521F">
        <w:rPr>
          <w:rFonts w:ascii="Arial" w:hAnsi="Arial" w:cs="Arial"/>
          <w:b/>
          <w:bCs/>
          <w:color w:val="000000" w:themeColor="text1"/>
          <w:lang w:val="en-US"/>
        </w:rPr>
        <w:t>The creation of an enrichment lien</w:t>
      </w:r>
    </w:p>
    <w:p w14:paraId="0C4AAE01" w14:textId="77777777" w:rsidR="009D07CC" w:rsidRPr="009D07CC" w:rsidRDefault="009D07CC" w:rsidP="000B151D">
      <w:pPr>
        <w:spacing w:line="360" w:lineRule="auto"/>
        <w:rPr>
          <w:rFonts w:ascii="Times New Roman" w:hAnsi="Times New Roman" w:cs="Times New Roman"/>
          <w:b/>
          <w:bCs/>
          <w:color w:val="000000" w:themeColor="text1"/>
          <w:sz w:val="28"/>
          <w:szCs w:val="28"/>
          <w:lang w:val="en-US"/>
        </w:rPr>
      </w:pPr>
    </w:p>
    <w:p w14:paraId="209597B6" w14:textId="0D8E5916" w:rsidR="009D07CC" w:rsidRPr="009E3800" w:rsidRDefault="00682ACC" w:rsidP="009E3800">
      <w:pPr>
        <w:pStyle w:val="ListParagraph"/>
        <w:numPr>
          <w:ilvl w:val="0"/>
          <w:numId w:val="1"/>
        </w:numPr>
        <w:spacing w:line="360" w:lineRule="auto"/>
        <w:ind w:left="142" w:hanging="142"/>
        <w:jc w:val="both"/>
        <w:rPr>
          <w:rFonts w:ascii="Arial" w:hAnsi="Arial" w:cs="Arial"/>
          <w:color w:val="000000" w:themeColor="text1"/>
          <w:lang w:val="en-US"/>
        </w:rPr>
      </w:pPr>
      <w:r w:rsidRPr="009E3800">
        <w:rPr>
          <w:rFonts w:ascii="Arial" w:hAnsi="Arial" w:cs="Arial"/>
          <w:color w:val="000000" w:themeColor="text1"/>
          <w:lang w:val="en-US"/>
        </w:rPr>
        <w:t xml:space="preserve">The first and second respondents argued that they enjoyed a </w:t>
      </w:r>
      <w:r w:rsidR="00B46836" w:rsidRPr="009E3800">
        <w:rPr>
          <w:rFonts w:ascii="Arial" w:hAnsi="Arial" w:cs="Arial"/>
          <w:color w:val="000000" w:themeColor="text1"/>
          <w:lang w:val="en-US"/>
        </w:rPr>
        <w:t xml:space="preserve">real </w:t>
      </w:r>
      <w:r w:rsidRPr="009E3800">
        <w:rPr>
          <w:rFonts w:ascii="Arial" w:hAnsi="Arial" w:cs="Arial"/>
          <w:color w:val="000000" w:themeColor="text1"/>
          <w:lang w:val="en-US"/>
        </w:rPr>
        <w:t xml:space="preserve">right of retention over the property given the improvements </w:t>
      </w:r>
      <w:r w:rsidR="00866411" w:rsidRPr="009E3800">
        <w:rPr>
          <w:rFonts w:ascii="Arial" w:hAnsi="Arial" w:cs="Arial"/>
          <w:color w:val="000000" w:themeColor="text1"/>
          <w:lang w:val="en-US"/>
        </w:rPr>
        <w:t>that</w:t>
      </w:r>
      <w:r w:rsidRPr="009E3800">
        <w:rPr>
          <w:rFonts w:ascii="Arial" w:hAnsi="Arial" w:cs="Arial"/>
          <w:color w:val="000000" w:themeColor="text1"/>
          <w:lang w:val="en-US"/>
        </w:rPr>
        <w:t xml:space="preserve"> had </w:t>
      </w:r>
      <w:r w:rsidR="00866411" w:rsidRPr="009E3800">
        <w:rPr>
          <w:rFonts w:ascii="Arial" w:hAnsi="Arial" w:cs="Arial"/>
          <w:color w:val="000000" w:themeColor="text1"/>
          <w:lang w:val="en-US"/>
        </w:rPr>
        <w:t xml:space="preserve">been </w:t>
      </w:r>
      <w:r w:rsidRPr="009E3800">
        <w:rPr>
          <w:rFonts w:ascii="Arial" w:hAnsi="Arial" w:cs="Arial"/>
          <w:color w:val="000000" w:themeColor="text1"/>
          <w:lang w:val="en-US"/>
        </w:rPr>
        <w:t>effected.</w:t>
      </w:r>
      <w:r w:rsidR="000A242B" w:rsidRPr="009E3800">
        <w:rPr>
          <w:rFonts w:ascii="Arial" w:hAnsi="Arial" w:cs="Arial"/>
          <w:color w:val="000000" w:themeColor="text1"/>
          <w:lang w:val="en-US"/>
        </w:rPr>
        <w:t xml:space="preserve"> The answering papers reflect the contention that the first and second respondents </w:t>
      </w:r>
      <w:r w:rsidR="00006A70" w:rsidRPr="009E3800">
        <w:rPr>
          <w:rFonts w:ascii="Arial" w:hAnsi="Arial" w:cs="Arial"/>
          <w:color w:val="000000" w:themeColor="text1"/>
          <w:lang w:val="en-US"/>
        </w:rPr>
        <w:t>developed vacant land for business use</w:t>
      </w:r>
      <w:r w:rsidR="001742F1" w:rsidRPr="009E3800">
        <w:rPr>
          <w:rFonts w:ascii="Arial" w:hAnsi="Arial" w:cs="Arial"/>
          <w:color w:val="000000" w:themeColor="text1"/>
          <w:lang w:val="en-US"/>
        </w:rPr>
        <w:t>, from as early as 1992 and on an ongoing basis</w:t>
      </w:r>
      <w:r w:rsidR="00006A70" w:rsidRPr="009E3800">
        <w:rPr>
          <w:rFonts w:ascii="Arial" w:hAnsi="Arial" w:cs="Arial"/>
          <w:color w:val="000000" w:themeColor="text1"/>
          <w:lang w:val="en-US"/>
        </w:rPr>
        <w:t>.</w:t>
      </w:r>
      <w:r w:rsidR="00006A70" w:rsidRPr="009E3800">
        <w:rPr>
          <w:rStyle w:val="FootnoteReference"/>
          <w:rFonts w:ascii="Arial" w:hAnsi="Arial" w:cs="Arial"/>
          <w:color w:val="000000" w:themeColor="text1"/>
          <w:lang w:val="en-US"/>
        </w:rPr>
        <w:footnoteReference w:id="27"/>
      </w:r>
    </w:p>
    <w:p w14:paraId="0E5BEB5F" w14:textId="77777777" w:rsidR="000A242B" w:rsidRPr="009E3800" w:rsidRDefault="000A242B" w:rsidP="009E3800">
      <w:pPr>
        <w:pStyle w:val="ListParagraph"/>
        <w:spacing w:line="360" w:lineRule="auto"/>
        <w:jc w:val="both"/>
        <w:rPr>
          <w:rFonts w:ascii="Arial" w:hAnsi="Arial" w:cs="Arial"/>
          <w:color w:val="000000" w:themeColor="text1"/>
          <w:lang w:val="en-US"/>
        </w:rPr>
      </w:pPr>
    </w:p>
    <w:p w14:paraId="43FE7777" w14:textId="52855925" w:rsidR="00A30CE6" w:rsidRPr="009E3800" w:rsidRDefault="00A037E1" w:rsidP="009E3800">
      <w:pPr>
        <w:pStyle w:val="ListParagraph"/>
        <w:numPr>
          <w:ilvl w:val="0"/>
          <w:numId w:val="1"/>
        </w:numPr>
        <w:spacing w:line="360" w:lineRule="auto"/>
        <w:ind w:left="142" w:hanging="142"/>
        <w:jc w:val="both"/>
        <w:rPr>
          <w:rFonts w:ascii="Arial" w:hAnsi="Arial" w:cs="Arial"/>
          <w:color w:val="000000" w:themeColor="text1"/>
          <w:lang w:val="en-US"/>
        </w:rPr>
      </w:pPr>
      <w:r w:rsidRPr="009E3800">
        <w:rPr>
          <w:rFonts w:ascii="Arial" w:hAnsi="Arial" w:cs="Arial"/>
          <w:color w:val="000000" w:themeColor="text1"/>
          <w:lang w:val="en-US"/>
        </w:rPr>
        <w:t xml:space="preserve">Liens are known and often described as a ‘right of retention’. </w:t>
      </w:r>
      <w:r w:rsidR="007C52AF" w:rsidRPr="009E3800">
        <w:rPr>
          <w:rFonts w:ascii="Arial" w:hAnsi="Arial" w:cs="Arial"/>
          <w:color w:val="000000" w:themeColor="text1"/>
          <w:lang w:val="en-US"/>
        </w:rPr>
        <w:t xml:space="preserve">An improvement lien is one for useful expenses that enhance the market value of property, even if these improvements were not necessary to protect it. </w:t>
      </w:r>
      <w:r w:rsidR="00810180" w:rsidRPr="009E3800">
        <w:rPr>
          <w:rFonts w:ascii="Arial" w:hAnsi="Arial" w:cs="Arial"/>
          <w:color w:val="000000" w:themeColor="text1"/>
          <w:lang w:val="en-US"/>
        </w:rPr>
        <w:t xml:space="preserve">Together with salvage liens, </w:t>
      </w:r>
      <w:r w:rsidR="00810180" w:rsidRPr="009E3800">
        <w:rPr>
          <w:rFonts w:ascii="Arial" w:hAnsi="Arial" w:cs="Arial"/>
          <w:color w:val="000000" w:themeColor="text1"/>
          <w:lang w:val="en-US"/>
        </w:rPr>
        <w:lastRenderedPageBreak/>
        <w:t>they are frequently referred to as ‘enrichment liens’, being based on the principle that no one should be unjustifiably enriched at the expense of another.</w:t>
      </w:r>
      <w:r w:rsidR="008439BC" w:rsidRPr="009E3800">
        <w:rPr>
          <w:rStyle w:val="FootnoteReference"/>
          <w:rFonts w:ascii="Arial" w:hAnsi="Arial" w:cs="Arial"/>
          <w:color w:val="000000" w:themeColor="text1"/>
          <w:lang w:val="en-US"/>
        </w:rPr>
        <w:footnoteReference w:id="28"/>
      </w:r>
      <w:r w:rsidR="008439BC" w:rsidRPr="009E3800">
        <w:rPr>
          <w:rFonts w:ascii="Arial" w:hAnsi="Arial" w:cs="Arial"/>
          <w:color w:val="000000" w:themeColor="text1"/>
          <w:lang w:val="en-US"/>
        </w:rPr>
        <w:t xml:space="preserve"> </w:t>
      </w:r>
    </w:p>
    <w:p w14:paraId="4EC885CC" w14:textId="77777777" w:rsidR="00B33362" w:rsidRPr="009E3800" w:rsidRDefault="00B33362" w:rsidP="009E3800">
      <w:pPr>
        <w:pStyle w:val="ListParagraph"/>
        <w:jc w:val="both"/>
        <w:rPr>
          <w:rFonts w:ascii="Arial" w:hAnsi="Arial" w:cs="Arial"/>
          <w:color w:val="000000" w:themeColor="text1"/>
          <w:lang w:val="en-US"/>
        </w:rPr>
      </w:pPr>
    </w:p>
    <w:p w14:paraId="1439EC18" w14:textId="545DE6C4" w:rsidR="00A30CE6" w:rsidRPr="009E3800" w:rsidRDefault="00EC2827" w:rsidP="009E3800">
      <w:pPr>
        <w:pStyle w:val="ListParagraph"/>
        <w:numPr>
          <w:ilvl w:val="0"/>
          <w:numId w:val="1"/>
        </w:numPr>
        <w:spacing w:line="360" w:lineRule="auto"/>
        <w:ind w:left="142" w:hanging="142"/>
        <w:jc w:val="both"/>
        <w:rPr>
          <w:rFonts w:ascii="Arial" w:hAnsi="Arial" w:cs="Arial"/>
          <w:color w:val="000000" w:themeColor="text1"/>
          <w:lang w:val="en-US"/>
        </w:rPr>
      </w:pPr>
      <w:r w:rsidRPr="009E3800">
        <w:rPr>
          <w:rFonts w:ascii="Arial" w:hAnsi="Arial" w:cs="Arial"/>
          <w:color w:val="000000" w:themeColor="text1"/>
          <w:lang w:val="en-US"/>
        </w:rPr>
        <w:t xml:space="preserve">Courts enjoy an overriding discretion </w:t>
      </w:r>
      <w:r w:rsidR="003B404E" w:rsidRPr="009E3800">
        <w:rPr>
          <w:rFonts w:ascii="Arial" w:hAnsi="Arial" w:cs="Arial"/>
          <w:color w:val="000000" w:themeColor="text1"/>
          <w:lang w:val="en-US"/>
        </w:rPr>
        <w:t xml:space="preserve">whether or not </w:t>
      </w:r>
      <w:r w:rsidRPr="009E3800">
        <w:rPr>
          <w:rFonts w:ascii="Arial" w:hAnsi="Arial" w:cs="Arial"/>
          <w:color w:val="000000" w:themeColor="text1"/>
          <w:lang w:val="en-US"/>
        </w:rPr>
        <w:t>to recognise a lien. This is based on determining a fair and equitable outcome, even if the normal requirements o</w:t>
      </w:r>
      <w:r w:rsidR="000C20C7" w:rsidRPr="009E3800">
        <w:rPr>
          <w:rFonts w:ascii="Arial" w:hAnsi="Arial" w:cs="Arial"/>
          <w:color w:val="000000" w:themeColor="text1"/>
          <w:lang w:val="en-US"/>
        </w:rPr>
        <w:t>f</w:t>
      </w:r>
      <w:r w:rsidRPr="009E3800">
        <w:rPr>
          <w:rFonts w:ascii="Arial" w:hAnsi="Arial" w:cs="Arial"/>
          <w:color w:val="000000" w:themeColor="text1"/>
          <w:lang w:val="en-US"/>
        </w:rPr>
        <w:t xml:space="preserve"> enrichment liability and liens are met.</w:t>
      </w:r>
      <w:r w:rsidRPr="009E3800">
        <w:rPr>
          <w:rStyle w:val="FootnoteReference"/>
          <w:rFonts w:ascii="Arial" w:hAnsi="Arial" w:cs="Arial"/>
          <w:color w:val="000000" w:themeColor="text1"/>
          <w:lang w:val="en-US"/>
        </w:rPr>
        <w:footnoteReference w:id="29"/>
      </w:r>
      <w:r w:rsidR="00814581" w:rsidRPr="009E3800">
        <w:rPr>
          <w:rFonts w:ascii="Arial" w:hAnsi="Arial" w:cs="Arial"/>
          <w:color w:val="000000" w:themeColor="text1"/>
          <w:lang w:val="en-US"/>
        </w:rPr>
        <w:t xml:space="preserve"> </w:t>
      </w:r>
    </w:p>
    <w:p w14:paraId="316AC924" w14:textId="77777777" w:rsidR="00F855A4" w:rsidRPr="009E3800" w:rsidRDefault="00F855A4" w:rsidP="009E3800">
      <w:pPr>
        <w:spacing w:line="360" w:lineRule="auto"/>
        <w:jc w:val="both"/>
        <w:rPr>
          <w:rFonts w:ascii="Arial" w:hAnsi="Arial" w:cs="Arial"/>
          <w:color w:val="000000" w:themeColor="text1"/>
          <w:lang w:val="en-US"/>
        </w:rPr>
      </w:pPr>
    </w:p>
    <w:p w14:paraId="319E5D03" w14:textId="62369B36" w:rsidR="00E805B8" w:rsidRPr="009E3800" w:rsidRDefault="00C95B2C" w:rsidP="009E3800">
      <w:pPr>
        <w:pStyle w:val="ListParagraph"/>
        <w:numPr>
          <w:ilvl w:val="0"/>
          <w:numId w:val="1"/>
        </w:numPr>
        <w:spacing w:line="360" w:lineRule="auto"/>
        <w:ind w:left="142" w:hanging="142"/>
        <w:jc w:val="both"/>
        <w:rPr>
          <w:rFonts w:ascii="Arial" w:hAnsi="Arial" w:cs="Arial"/>
          <w:color w:val="000000" w:themeColor="text1"/>
          <w:lang w:val="en-US"/>
        </w:rPr>
      </w:pPr>
      <w:r w:rsidRPr="009E3800">
        <w:rPr>
          <w:rFonts w:ascii="Arial" w:hAnsi="Arial" w:cs="Arial"/>
          <w:color w:val="000000" w:themeColor="text1"/>
          <w:lang w:val="en-US"/>
        </w:rPr>
        <w:t xml:space="preserve">The </w:t>
      </w:r>
      <w:r w:rsidR="00E805B8" w:rsidRPr="009E3800">
        <w:rPr>
          <w:rFonts w:ascii="Arial" w:hAnsi="Arial" w:cs="Arial"/>
          <w:color w:val="000000" w:themeColor="text1"/>
          <w:lang w:val="en-US"/>
        </w:rPr>
        <w:t xml:space="preserve">first difficulty for the first and second respondents is their reliance on the development of vacant land in order to </w:t>
      </w:r>
      <w:r w:rsidR="00DE2B8C" w:rsidRPr="009E3800">
        <w:rPr>
          <w:rFonts w:ascii="Arial" w:hAnsi="Arial" w:cs="Arial"/>
          <w:color w:val="000000" w:themeColor="text1"/>
          <w:lang w:val="en-US"/>
        </w:rPr>
        <w:t>support their right of retention.</w:t>
      </w:r>
      <w:r w:rsidR="00040576" w:rsidRPr="009E3800">
        <w:rPr>
          <w:rStyle w:val="FootnoteReference"/>
          <w:rFonts w:ascii="Arial" w:hAnsi="Arial" w:cs="Arial"/>
          <w:color w:val="000000" w:themeColor="text1"/>
          <w:lang w:val="en-US"/>
        </w:rPr>
        <w:footnoteReference w:id="30"/>
      </w:r>
      <w:r w:rsidR="00DE2B8C" w:rsidRPr="009E3800">
        <w:rPr>
          <w:rFonts w:ascii="Arial" w:hAnsi="Arial" w:cs="Arial"/>
          <w:color w:val="000000" w:themeColor="text1"/>
          <w:lang w:val="en-US"/>
        </w:rPr>
        <w:t xml:space="preserve"> </w:t>
      </w:r>
      <w:r w:rsidR="00F128D2" w:rsidRPr="009E3800">
        <w:rPr>
          <w:rFonts w:ascii="Arial" w:hAnsi="Arial" w:cs="Arial"/>
          <w:color w:val="000000" w:themeColor="text1"/>
          <w:lang w:val="en-US"/>
        </w:rPr>
        <w:t xml:space="preserve">The lease agreements that </w:t>
      </w:r>
      <w:r w:rsidR="003E2E43" w:rsidRPr="009E3800">
        <w:rPr>
          <w:rFonts w:ascii="Arial" w:hAnsi="Arial" w:cs="Arial"/>
          <w:color w:val="000000" w:themeColor="text1"/>
          <w:lang w:val="en-US"/>
        </w:rPr>
        <w:t xml:space="preserve">they entered into subsequently with the applicant clearly related to ‘property’, defined to include </w:t>
      </w:r>
      <w:r w:rsidR="005F2228" w:rsidRPr="009E3800">
        <w:rPr>
          <w:rFonts w:ascii="Arial" w:hAnsi="Arial" w:cs="Arial"/>
          <w:color w:val="000000" w:themeColor="text1"/>
          <w:lang w:val="en-US"/>
        </w:rPr>
        <w:t xml:space="preserve">‘the Buildings and all other improvements to or upon the Property’. ‘Buildings’ </w:t>
      </w:r>
      <w:r w:rsidR="00D47B6C" w:rsidRPr="009E3800">
        <w:rPr>
          <w:rFonts w:ascii="Arial" w:hAnsi="Arial" w:cs="Arial"/>
          <w:color w:val="000000" w:themeColor="text1"/>
          <w:lang w:val="en-US"/>
        </w:rPr>
        <w:t>was</w:t>
      </w:r>
      <w:r w:rsidR="005F2228" w:rsidRPr="009E3800">
        <w:rPr>
          <w:rFonts w:ascii="Arial" w:hAnsi="Arial" w:cs="Arial"/>
          <w:color w:val="000000" w:themeColor="text1"/>
          <w:lang w:val="en-US"/>
        </w:rPr>
        <w:t xml:space="preserve"> defined to mean ‘the house and outbuildings situated on the Property’.</w:t>
      </w:r>
      <w:r w:rsidR="00F128D2" w:rsidRPr="009E3800">
        <w:rPr>
          <w:rFonts w:ascii="Arial" w:hAnsi="Arial" w:cs="Arial"/>
          <w:color w:val="000000" w:themeColor="text1"/>
          <w:lang w:val="en-US"/>
        </w:rPr>
        <w:t xml:space="preserve"> </w:t>
      </w:r>
      <w:r w:rsidR="00E805B8" w:rsidRPr="009E3800">
        <w:rPr>
          <w:rFonts w:ascii="Arial" w:hAnsi="Arial" w:cs="Arial"/>
          <w:color w:val="000000" w:themeColor="text1"/>
          <w:lang w:val="en-US"/>
        </w:rPr>
        <w:t xml:space="preserve"> </w:t>
      </w:r>
      <w:r w:rsidR="00E53BD0" w:rsidRPr="009E3800">
        <w:rPr>
          <w:rFonts w:ascii="Arial" w:hAnsi="Arial" w:cs="Arial"/>
          <w:color w:val="000000" w:themeColor="text1"/>
          <w:lang w:val="en-US"/>
        </w:rPr>
        <w:t xml:space="preserve">In other words, </w:t>
      </w:r>
      <w:r w:rsidR="00F855A4" w:rsidRPr="009E3800">
        <w:rPr>
          <w:rFonts w:ascii="Arial" w:hAnsi="Arial" w:cs="Arial"/>
          <w:color w:val="000000" w:themeColor="text1"/>
          <w:lang w:val="en-US"/>
        </w:rPr>
        <w:t xml:space="preserve">in terms of the lease agreement, </w:t>
      </w:r>
      <w:r w:rsidR="00E53BD0" w:rsidRPr="009E3800">
        <w:rPr>
          <w:rFonts w:ascii="Arial" w:hAnsi="Arial" w:cs="Arial"/>
          <w:color w:val="000000" w:themeColor="text1"/>
          <w:lang w:val="en-US"/>
        </w:rPr>
        <w:t xml:space="preserve">the applicant let and the first and second respondents hired ‘property’ as described on the terms and conditions contained in the </w:t>
      </w:r>
      <w:r w:rsidR="00A666F8" w:rsidRPr="009E3800">
        <w:rPr>
          <w:rFonts w:ascii="Arial" w:hAnsi="Arial" w:cs="Arial"/>
          <w:color w:val="000000" w:themeColor="text1"/>
          <w:lang w:val="en-US"/>
        </w:rPr>
        <w:t>lease agreement, which was not vacant land.</w:t>
      </w:r>
      <w:r w:rsidR="00944063" w:rsidRPr="009E3800">
        <w:rPr>
          <w:rStyle w:val="FootnoteReference"/>
          <w:rFonts w:ascii="Arial" w:hAnsi="Arial" w:cs="Arial"/>
          <w:color w:val="000000" w:themeColor="text1"/>
          <w:lang w:val="en-US"/>
        </w:rPr>
        <w:footnoteReference w:id="31"/>
      </w:r>
    </w:p>
    <w:p w14:paraId="23631961" w14:textId="77777777" w:rsidR="00E805B8" w:rsidRPr="00E805B8" w:rsidRDefault="00E805B8" w:rsidP="00E805B8">
      <w:pPr>
        <w:pStyle w:val="ListParagraph"/>
        <w:rPr>
          <w:rFonts w:ascii="Times New Roman" w:hAnsi="Times New Roman" w:cs="Times New Roman"/>
          <w:color w:val="000000" w:themeColor="text1"/>
          <w:sz w:val="28"/>
          <w:szCs w:val="28"/>
          <w:lang w:val="en-US"/>
        </w:rPr>
      </w:pPr>
    </w:p>
    <w:p w14:paraId="1B2334E5" w14:textId="6D1E80EA" w:rsidR="00241C4E" w:rsidRPr="009E3800" w:rsidRDefault="00025FE0" w:rsidP="004A1092">
      <w:pPr>
        <w:pStyle w:val="ListParagraph"/>
        <w:numPr>
          <w:ilvl w:val="0"/>
          <w:numId w:val="1"/>
        </w:numPr>
        <w:spacing w:line="360" w:lineRule="auto"/>
        <w:ind w:left="142" w:hanging="142"/>
        <w:jc w:val="both"/>
        <w:rPr>
          <w:rFonts w:ascii="Arial" w:hAnsi="Arial" w:cs="Arial"/>
          <w:color w:val="000000" w:themeColor="text1"/>
          <w:lang w:val="en-US"/>
        </w:rPr>
      </w:pPr>
      <w:r w:rsidRPr="009E3800">
        <w:rPr>
          <w:rFonts w:ascii="Arial" w:hAnsi="Arial" w:cs="Arial"/>
          <w:color w:val="000000" w:themeColor="text1"/>
          <w:lang w:val="en-US"/>
        </w:rPr>
        <w:t>A related</w:t>
      </w:r>
      <w:r w:rsidR="00E805B8" w:rsidRPr="009E3800">
        <w:rPr>
          <w:rFonts w:ascii="Arial" w:hAnsi="Arial" w:cs="Arial"/>
          <w:color w:val="000000" w:themeColor="text1"/>
          <w:lang w:val="en-US"/>
        </w:rPr>
        <w:t xml:space="preserve"> </w:t>
      </w:r>
      <w:r w:rsidR="00C95B2C" w:rsidRPr="009E3800">
        <w:rPr>
          <w:rFonts w:ascii="Arial" w:hAnsi="Arial" w:cs="Arial"/>
          <w:color w:val="000000" w:themeColor="text1"/>
          <w:lang w:val="en-US"/>
        </w:rPr>
        <w:t xml:space="preserve">difficulty </w:t>
      </w:r>
      <w:r w:rsidR="007F2FBB" w:rsidRPr="009E3800">
        <w:rPr>
          <w:rFonts w:ascii="Arial" w:hAnsi="Arial" w:cs="Arial"/>
          <w:color w:val="000000" w:themeColor="text1"/>
          <w:lang w:val="en-US"/>
        </w:rPr>
        <w:t>stems from the agreed terms and conditions</w:t>
      </w:r>
      <w:r w:rsidR="00D851B1" w:rsidRPr="009E3800">
        <w:rPr>
          <w:rFonts w:ascii="Arial" w:hAnsi="Arial" w:cs="Arial"/>
          <w:color w:val="000000" w:themeColor="text1"/>
          <w:lang w:val="en-US"/>
        </w:rPr>
        <w:t xml:space="preserve"> </w:t>
      </w:r>
      <w:r w:rsidR="00241C4E" w:rsidRPr="009E3800">
        <w:rPr>
          <w:rFonts w:ascii="Arial" w:hAnsi="Arial" w:cs="Arial"/>
          <w:color w:val="000000" w:themeColor="text1"/>
          <w:lang w:val="en-US"/>
        </w:rPr>
        <w:t>of the original lease agreements, coupled to subsequent addendums and extended on various occasions. In particular:</w:t>
      </w:r>
    </w:p>
    <w:p w14:paraId="416817B7" w14:textId="2564111C" w:rsidR="001B1461" w:rsidRPr="009E3800" w:rsidRDefault="009C3A9E" w:rsidP="00F40A67">
      <w:pPr>
        <w:pStyle w:val="ListParagraph"/>
        <w:spacing w:line="360" w:lineRule="auto"/>
        <w:ind w:left="142" w:hanging="142"/>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  </w:t>
      </w:r>
      <w:r w:rsidR="006B7783" w:rsidRPr="009E3800">
        <w:rPr>
          <w:rFonts w:ascii="Arial" w:hAnsi="Arial" w:cs="Arial"/>
          <w:color w:val="000000" w:themeColor="text1"/>
          <w:sz w:val="22"/>
          <w:szCs w:val="22"/>
          <w:lang w:val="en-US"/>
        </w:rPr>
        <w:t>‘</w:t>
      </w:r>
      <w:r w:rsidR="001B1461" w:rsidRPr="009E3800">
        <w:rPr>
          <w:rFonts w:ascii="Arial" w:hAnsi="Arial" w:cs="Arial"/>
          <w:color w:val="000000" w:themeColor="text1"/>
          <w:sz w:val="22"/>
          <w:szCs w:val="22"/>
          <w:lang w:val="en-US"/>
        </w:rPr>
        <w:t>14. Alterations, Additions and Improvement</w:t>
      </w:r>
    </w:p>
    <w:p w14:paraId="4961BF79" w14:textId="064EDFEC" w:rsidR="001B1461" w:rsidRPr="009E3800" w:rsidRDefault="009C3A9E" w:rsidP="00F40A67">
      <w:pPr>
        <w:pStyle w:val="ListParagraph"/>
        <w:ind w:left="142" w:hanging="142"/>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   </w:t>
      </w:r>
      <w:r w:rsidR="001B1461" w:rsidRPr="009E3800">
        <w:rPr>
          <w:rFonts w:ascii="Arial" w:hAnsi="Arial" w:cs="Arial"/>
          <w:color w:val="000000" w:themeColor="text1"/>
          <w:sz w:val="22"/>
          <w:szCs w:val="22"/>
          <w:lang w:val="en-US"/>
        </w:rPr>
        <w:t>14.1 The Lessee shall not make any alterations or additions to any of the buildings, the property, or any part thereof, without the Lessor’s prior written consent</w:t>
      </w:r>
      <w:r w:rsidR="007D7C49">
        <w:rPr>
          <w:rFonts w:ascii="Arial" w:hAnsi="Arial" w:cs="Arial"/>
          <w:color w:val="000000" w:themeColor="text1"/>
          <w:sz w:val="22"/>
          <w:szCs w:val="22"/>
          <w:lang w:val="en-US"/>
        </w:rPr>
        <w:t>, but the Lessor shall not wit</w:t>
      </w:r>
      <w:r w:rsidR="007D7C49" w:rsidRPr="009E3800">
        <w:rPr>
          <w:rFonts w:ascii="Arial" w:hAnsi="Arial" w:cs="Arial"/>
          <w:color w:val="000000" w:themeColor="text1"/>
          <w:sz w:val="22"/>
          <w:szCs w:val="22"/>
          <w:lang w:val="en-US"/>
        </w:rPr>
        <w:t>hhold</w:t>
      </w:r>
      <w:r w:rsidR="001B1461" w:rsidRPr="009E3800">
        <w:rPr>
          <w:rFonts w:ascii="Arial" w:hAnsi="Arial" w:cs="Arial"/>
          <w:color w:val="000000" w:themeColor="text1"/>
          <w:sz w:val="22"/>
          <w:szCs w:val="22"/>
          <w:lang w:val="en-US"/>
        </w:rPr>
        <w:t xml:space="preserve"> its consent unreasonably to any such alterations or addition which is of a minor nature and not structural.</w:t>
      </w:r>
    </w:p>
    <w:p w14:paraId="0E0DA3C1" w14:textId="6DF99F5A" w:rsidR="001B1461" w:rsidRPr="009E3800" w:rsidRDefault="009C3A9E" w:rsidP="00F40A67">
      <w:pPr>
        <w:pStyle w:val="ListParagraph"/>
        <w:ind w:left="142" w:hanging="142"/>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  </w:t>
      </w:r>
      <w:r w:rsidR="001B1461" w:rsidRPr="009E3800">
        <w:rPr>
          <w:rFonts w:ascii="Arial" w:hAnsi="Arial" w:cs="Arial"/>
          <w:color w:val="000000" w:themeColor="text1"/>
          <w:sz w:val="22"/>
          <w:szCs w:val="22"/>
          <w:lang w:val="en-US"/>
        </w:rPr>
        <w:t xml:space="preserve">14.2 </w:t>
      </w:r>
      <w:r w:rsidR="004B118F" w:rsidRPr="009E3800">
        <w:rPr>
          <w:rFonts w:ascii="Arial" w:hAnsi="Arial" w:cs="Arial"/>
          <w:color w:val="000000" w:themeColor="text1"/>
          <w:sz w:val="22"/>
          <w:szCs w:val="22"/>
          <w:lang w:val="en-US"/>
        </w:rPr>
        <w:t>I</w:t>
      </w:r>
      <w:r w:rsidR="001B1461" w:rsidRPr="009E3800">
        <w:rPr>
          <w:rFonts w:ascii="Arial" w:hAnsi="Arial" w:cs="Arial"/>
          <w:color w:val="000000" w:themeColor="text1"/>
          <w:sz w:val="22"/>
          <w:szCs w:val="22"/>
          <w:lang w:val="en-US"/>
        </w:rPr>
        <w:t xml:space="preserve">f the Lessee does altar, add to, or improve the </w:t>
      </w:r>
      <w:r w:rsidR="0014277E" w:rsidRPr="009E3800">
        <w:rPr>
          <w:rFonts w:ascii="Arial" w:hAnsi="Arial" w:cs="Arial"/>
          <w:color w:val="000000" w:themeColor="text1"/>
          <w:sz w:val="22"/>
          <w:szCs w:val="22"/>
          <w:lang w:val="en-US"/>
        </w:rPr>
        <w:t>P</w:t>
      </w:r>
      <w:r w:rsidR="001B1461" w:rsidRPr="009E3800">
        <w:rPr>
          <w:rFonts w:ascii="Arial" w:hAnsi="Arial" w:cs="Arial"/>
          <w:color w:val="000000" w:themeColor="text1"/>
          <w:sz w:val="22"/>
          <w:szCs w:val="22"/>
          <w:lang w:val="en-US"/>
        </w:rPr>
        <w:t xml:space="preserve">roperty in anyway, whether in breach of §14.1 or not, the Lessee shall, if so required in writing by the </w:t>
      </w:r>
      <w:r w:rsidR="001E591C" w:rsidRPr="009E3800">
        <w:rPr>
          <w:rFonts w:ascii="Arial" w:hAnsi="Arial" w:cs="Arial"/>
          <w:color w:val="000000" w:themeColor="text1"/>
          <w:sz w:val="22"/>
          <w:szCs w:val="22"/>
          <w:lang w:val="en-US"/>
        </w:rPr>
        <w:t>L</w:t>
      </w:r>
      <w:r w:rsidR="001B1461" w:rsidRPr="009E3800">
        <w:rPr>
          <w:rFonts w:ascii="Arial" w:hAnsi="Arial" w:cs="Arial"/>
          <w:color w:val="000000" w:themeColor="text1"/>
          <w:sz w:val="22"/>
          <w:szCs w:val="22"/>
          <w:lang w:val="en-US"/>
        </w:rPr>
        <w:t xml:space="preserve">essor, restore the property on the termination of this lease to its condition as it was prior to such alteration, addition or improvement having been made. The </w:t>
      </w:r>
      <w:r w:rsidR="00C106D1" w:rsidRPr="009E3800">
        <w:rPr>
          <w:rFonts w:ascii="Arial" w:hAnsi="Arial" w:cs="Arial"/>
          <w:color w:val="000000" w:themeColor="text1"/>
          <w:sz w:val="22"/>
          <w:szCs w:val="22"/>
          <w:lang w:val="en-US"/>
        </w:rPr>
        <w:t>Lessor’s</w:t>
      </w:r>
      <w:r w:rsidR="001B1461" w:rsidRPr="009E3800">
        <w:rPr>
          <w:rFonts w:ascii="Arial" w:hAnsi="Arial" w:cs="Arial"/>
          <w:color w:val="000000" w:themeColor="text1"/>
          <w:sz w:val="22"/>
          <w:szCs w:val="22"/>
          <w:lang w:val="en-US"/>
        </w:rPr>
        <w:t xml:space="preserve"> requirement in this regard may</w:t>
      </w:r>
      <w:r w:rsidR="00C106D1" w:rsidRPr="009E3800">
        <w:rPr>
          <w:rFonts w:ascii="Arial" w:hAnsi="Arial" w:cs="Arial"/>
          <w:color w:val="000000" w:themeColor="text1"/>
          <w:sz w:val="22"/>
          <w:szCs w:val="22"/>
          <w:lang w:val="en-US"/>
        </w:rPr>
        <w:t xml:space="preserve"> </w:t>
      </w:r>
      <w:r w:rsidR="001B1461" w:rsidRPr="009E3800">
        <w:rPr>
          <w:rFonts w:ascii="Arial" w:hAnsi="Arial" w:cs="Arial"/>
          <w:color w:val="000000" w:themeColor="text1"/>
          <w:sz w:val="22"/>
          <w:szCs w:val="22"/>
          <w:lang w:val="en-US"/>
        </w:rPr>
        <w:t>be</w:t>
      </w:r>
      <w:r w:rsidR="00C106D1" w:rsidRPr="009E3800">
        <w:rPr>
          <w:rFonts w:ascii="Arial" w:hAnsi="Arial" w:cs="Arial"/>
          <w:color w:val="000000" w:themeColor="text1"/>
          <w:sz w:val="22"/>
          <w:szCs w:val="22"/>
          <w:lang w:val="en-US"/>
        </w:rPr>
        <w:t xml:space="preserve"> communicated to the Lessee at any time, but not later the 21</w:t>
      </w:r>
      <w:r w:rsidR="00C106D1" w:rsidRPr="009E3800">
        <w:rPr>
          <w:rFonts w:ascii="Arial" w:hAnsi="Arial" w:cs="Arial"/>
          <w:color w:val="000000" w:themeColor="text1"/>
          <w:sz w:val="22"/>
          <w:szCs w:val="22"/>
          <w:vertAlign w:val="superscript"/>
          <w:lang w:val="en-US"/>
        </w:rPr>
        <w:t>st</w:t>
      </w:r>
      <w:r w:rsidR="00C106D1" w:rsidRPr="009E3800">
        <w:rPr>
          <w:rFonts w:ascii="Arial" w:hAnsi="Arial" w:cs="Arial"/>
          <w:color w:val="000000" w:themeColor="text1"/>
          <w:sz w:val="22"/>
          <w:szCs w:val="22"/>
          <w:lang w:val="en-US"/>
        </w:rPr>
        <w:t xml:space="preserve"> (twenty first) day after the Lessee had delivered up the </w:t>
      </w:r>
      <w:r w:rsidR="0014277E" w:rsidRPr="009E3800">
        <w:rPr>
          <w:rFonts w:ascii="Arial" w:hAnsi="Arial" w:cs="Arial"/>
          <w:color w:val="000000" w:themeColor="text1"/>
          <w:sz w:val="22"/>
          <w:szCs w:val="22"/>
          <w:lang w:val="en-US"/>
        </w:rPr>
        <w:t>P</w:t>
      </w:r>
      <w:r w:rsidR="00C106D1" w:rsidRPr="009E3800">
        <w:rPr>
          <w:rFonts w:ascii="Arial" w:hAnsi="Arial" w:cs="Arial"/>
          <w:color w:val="000000" w:themeColor="text1"/>
          <w:sz w:val="22"/>
          <w:szCs w:val="22"/>
          <w:lang w:val="en-US"/>
        </w:rPr>
        <w:t xml:space="preserve">roperty pursuant to the termination of this lease; and this clause shall not be construed as excluding any other or further remedy which the </w:t>
      </w:r>
      <w:r w:rsidR="00B45F52" w:rsidRPr="009E3800">
        <w:rPr>
          <w:rFonts w:ascii="Arial" w:hAnsi="Arial" w:cs="Arial"/>
          <w:color w:val="000000" w:themeColor="text1"/>
          <w:sz w:val="22"/>
          <w:szCs w:val="22"/>
          <w:lang w:val="en-US"/>
        </w:rPr>
        <w:t>Lessor</w:t>
      </w:r>
      <w:r w:rsidR="00C106D1" w:rsidRPr="009E3800">
        <w:rPr>
          <w:rFonts w:ascii="Arial" w:hAnsi="Arial" w:cs="Arial"/>
          <w:color w:val="000000" w:themeColor="text1"/>
          <w:sz w:val="22"/>
          <w:szCs w:val="22"/>
          <w:lang w:val="en-US"/>
        </w:rPr>
        <w:t xml:space="preserve"> may have in consequence of the breach by the </w:t>
      </w:r>
      <w:r w:rsidR="00DD7ECF" w:rsidRPr="009E3800">
        <w:rPr>
          <w:rFonts w:ascii="Arial" w:hAnsi="Arial" w:cs="Arial"/>
          <w:color w:val="000000" w:themeColor="text1"/>
          <w:sz w:val="22"/>
          <w:szCs w:val="22"/>
          <w:lang w:val="en-US"/>
        </w:rPr>
        <w:t>Lessee</w:t>
      </w:r>
      <w:r w:rsidR="00C106D1" w:rsidRPr="009E3800">
        <w:rPr>
          <w:rFonts w:ascii="Arial" w:hAnsi="Arial" w:cs="Arial"/>
          <w:color w:val="000000" w:themeColor="text1"/>
          <w:sz w:val="22"/>
          <w:szCs w:val="22"/>
          <w:lang w:val="en-US"/>
        </w:rPr>
        <w:t xml:space="preserve"> of §14.1</w:t>
      </w:r>
      <w:r w:rsidR="00DD7ECF" w:rsidRPr="009E3800">
        <w:rPr>
          <w:rFonts w:ascii="Arial" w:hAnsi="Arial" w:cs="Arial"/>
          <w:color w:val="000000" w:themeColor="text1"/>
          <w:sz w:val="22"/>
          <w:szCs w:val="22"/>
          <w:lang w:val="en-US"/>
        </w:rPr>
        <w:t>.</w:t>
      </w:r>
    </w:p>
    <w:p w14:paraId="5E98611E" w14:textId="4F2F8353" w:rsidR="00DD7ECF" w:rsidRPr="009E3800" w:rsidRDefault="007D7C49" w:rsidP="00F40A67">
      <w:pPr>
        <w:pStyle w:val="ListParagraph"/>
        <w:ind w:left="142" w:hanging="142"/>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  </w:t>
      </w:r>
      <w:r w:rsidR="00DD7ECF" w:rsidRPr="009E3800">
        <w:rPr>
          <w:rFonts w:ascii="Arial" w:hAnsi="Arial" w:cs="Arial"/>
          <w:color w:val="000000" w:themeColor="text1"/>
          <w:sz w:val="22"/>
          <w:szCs w:val="22"/>
          <w:lang w:val="en-US"/>
        </w:rPr>
        <w:t xml:space="preserve">14.3 </w:t>
      </w:r>
      <w:r w:rsidR="00D9190E" w:rsidRPr="009E3800">
        <w:rPr>
          <w:rFonts w:ascii="Arial" w:hAnsi="Arial" w:cs="Arial"/>
          <w:color w:val="000000" w:themeColor="text1"/>
          <w:sz w:val="22"/>
          <w:szCs w:val="22"/>
          <w:lang w:val="en-US"/>
        </w:rPr>
        <w:t>S</w:t>
      </w:r>
      <w:r w:rsidR="00DD7ECF" w:rsidRPr="009E3800">
        <w:rPr>
          <w:rFonts w:ascii="Arial" w:hAnsi="Arial" w:cs="Arial"/>
          <w:color w:val="000000" w:themeColor="text1"/>
          <w:sz w:val="22"/>
          <w:szCs w:val="22"/>
          <w:lang w:val="en-US"/>
        </w:rPr>
        <w:t xml:space="preserve">ave for any improvement, which is removed from the </w:t>
      </w:r>
      <w:r w:rsidR="00F9560F" w:rsidRPr="009E3800">
        <w:rPr>
          <w:rFonts w:ascii="Arial" w:hAnsi="Arial" w:cs="Arial"/>
          <w:color w:val="000000" w:themeColor="text1"/>
          <w:sz w:val="22"/>
          <w:szCs w:val="22"/>
          <w:lang w:val="en-US"/>
        </w:rPr>
        <w:t>P</w:t>
      </w:r>
      <w:r w:rsidR="00DD7ECF" w:rsidRPr="009E3800">
        <w:rPr>
          <w:rFonts w:ascii="Arial" w:hAnsi="Arial" w:cs="Arial"/>
          <w:color w:val="000000" w:themeColor="text1"/>
          <w:sz w:val="22"/>
          <w:szCs w:val="22"/>
          <w:lang w:val="en-US"/>
        </w:rPr>
        <w:t xml:space="preserve">roperty as required by the </w:t>
      </w:r>
      <w:r w:rsidR="0078648E" w:rsidRPr="009E3800">
        <w:rPr>
          <w:rFonts w:ascii="Arial" w:hAnsi="Arial" w:cs="Arial"/>
          <w:color w:val="000000" w:themeColor="text1"/>
          <w:sz w:val="22"/>
          <w:szCs w:val="22"/>
          <w:lang w:val="en-US"/>
        </w:rPr>
        <w:t xml:space="preserve">Lessor </w:t>
      </w:r>
      <w:r w:rsidR="00DD7ECF" w:rsidRPr="009E3800">
        <w:rPr>
          <w:rFonts w:ascii="Arial" w:hAnsi="Arial" w:cs="Arial"/>
          <w:color w:val="000000" w:themeColor="text1"/>
          <w:sz w:val="22"/>
          <w:szCs w:val="22"/>
          <w:lang w:val="en-US"/>
        </w:rPr>
        <w:t xml:space="preserve">in terms of </w:t>
      </w:r>
      <w:r w:rsidR="005A4E7D" w:rsidRPr="009E3800">
        <w:rPr>
          <w:rFonts w:ascii="Arial" w:hAnsi="Arial" w:cs="Arial"/>
          <w:color w:val="000000" w:themeColor="text1"/>
          <w:sz w:val="22"/>
          <w:szCs w:val="22"/>
          <w:lang w:val="en-US"/>
        </w:rPr>
        <w:t>§</w:t>
      </w:r>
      <w:r w:rsidR="00DD7ECF" w:rsidRPr="009E3800">
        <w:rPr>
          <w:rFonts w:ascii="Arial" w:hAnsi="Arial" w:cs="Arial"/>
          <w:color w:val="000000" w:themeColor="text1"/>
          <w:sz w:val="22"/>
          <w:szCs w:val="22"/>
          <w:lang w:val="en-US"/>
        </w:rPr>
        <w:t>1</w:t>
      </w:r>
      <w:r w:rsidR="00ED1954" w:rsidRPr="009E3800">
        <w:rPr>
          <w:rFonts w:ascii="Arial" w:hAnsi="Arial" w:cs="Arial"/>
          <w:color w:val="000000" w:themeColor="text1"/>
          <w:sz w:val="22"/>
          <w:szCs w:val="22"/>
          <w:lang w:val="en-US"/>
        </w:rPr>
        <w:t>4</w:t>
      </w:r>
      <w:r w:rsidR="00DD7ECF" w:rsidRPr="009E3800">
        <w:rPr>
          <w:rFonts w:ascii="Arial" w:hAnsi="Arial" w:cs="Arial"/>
          <w:color w:val="000000" w:themeColor="text1"/>
          <w:sz w:val="22"/>
          <w:szCs w:val="22"/>
          <w:lang w:val="en-US"/>
        </w:rPr>
        <w:t xml:space="preserve">.2, </w:t>
      </w:r>
      <w:r w:rsidR="005A4E7D" w:rsidRPr="009E3800">
        <w:rPr>
          <w:rFonts w:ascii="Arial" w:hAnsi="Arial" w:cs="Arial"/>
          <w:color w:val="000000" w:themeColor="text1"/>
          <w:sz w:val="22"/>
          <w:szCs w:val="22"/>
          <w:lang w:val="en-US"/>
        </w:rPr>
        <w:t>all</w:t>
      </w:r>
      <w:r w:rsidR="00DD7ECF" w:rsidRPr="009E3800">
        <w:rPr>
          <w:rFonts w:ascii="Arial" w:hAnsi="Arial" w:cs="Arial"/>
          <w:color w:val="000000" w:themeColor="text1"/>
          <w:sz w:val="22"/>
          <w:szCs w:val="22"/>
          <w:lang w:val="en-US"/>
        </w:rPr>
        <w:t xml:space="preserve"> improvements made on or to the </w:t>
      </w:r>
      <w:r w:rsidR="00F9560F" w:rsidRPr="009E3800">
        <w:rPr>
          <w:rFonts w:ascii="Arial" w:hAnsi="Arial" w:cs="Arial"/>
          <w:color w:val="000000" w:themeColor="text1"/>
          <w:sz w:val="22"/>
          <w:szCs w:val="22"/>
          <w:lang w:val="en-US"/>
        </w:rPr>
        <w:t>P</w:t>
      </w:r>
      <w:r w:rsidR="00DD7ECF" w:rsidRPr="009E3800">
        <w:rPr>
          <w:rFonts w:ascii="Arial" w:hAnsi="Arial" w:cs="Arial"/>
          <w:color w:val="000000" w:themeColor="text1"/>
          <w:sz w:val="22"/>
          <w:szCs w:val="22"/>
          <w:lang w:val="en-US"/>
        </w:rPr>
        <w:t xml:space="preserve">roperty shall belong to the </w:t>
      </w:r>
      <w:r w:rsidR="00DD7ECF" w:rsidRPr="009E3800">
        <w:rPr>
          <w:rFonts w:ascii="Arial" w:hAnsi="Arial" w:cs="Arial"/>
          <w:color w:val="000000" w:themeColor="text1"/>
          <w:sz w:val="22"/>
          <w:szCs w:val="22"/>
          <w:lang w:val="en-US"/>
        </w:rPr>
        <w:lastRenderedPageBreak/>
        <w:t xml:space="preserve">Lessor and may not be removed from the </w:t>
      </w:r>
      <w:r w:rsidR="003F60E9" w:rsidRPr="009E3800">
        <w:rPr>
          <w:rFonts w:ascii="Arial" w:hAnsi="Arial" w:cs="Arial"/>
          <w:color w:val="000000" w:themeColor="text1"/>
          <w:sz w:val="22"/>
          <w:szCs w:val="22"/>
          <w:lang w:val="en-US"/>
        </w:rPr>
        <w:t>P</w:t>
      </w:r>
      <w:r w:rsidR="00DD7ECF" w:rsidRPr="009E3800">
        <w:rPr>
          <w:rFonts w:ascii="Arial" w:hAnsi="Arial" w:cs="Arial"/>
          <w:color w:val="000000" w:themeColor="text1"/>
          <w:sz w:val="22"/>
          <w:szCs w:val="22"/>
          <w:lang w:val="en-US"/>
        </w:rPr>
        <w:t xml:space="preserve">roperty at any time. </w:t>
      </w:r>
      <w:r w:rsidR="00DD7ECF" w:rsidRPr="009E3800">
        <w:rPr>
          <w:rFonts w:ascii="Arial" w:hAnsi="Arial" w:cs="Arial"/>
          <w:i/>
          <w:iCs/>
          <w:color w:val="000000" w:themeColor="text1"/>
          <w:sz w:val="22"/>
          <w:szCs w:val="22"/>
          <w:lang w:val="en-US"/>
        </w:rPr>
        <w:t xml:space="preserve">The </w:t>
      </w:r>
      <w:r w:rsidR="00080312" w:rsidRPr="009E3800">
        <w:rPr>
          <w:rFonts w:ascii="Arial" w:hAnsi="Arial" w:cs="Arial"/>
          <w:i/>
          <w:iCs/>
          <w:color w:val="000000" w:themeColor="text1"/>
          <w:sz w:val="22"/>
          <w:szCs w:val="22"/>
          <w:lang w:val="en-US"/>
        </w:rPr>
        <w:t>Lessee</w:t>
      </w:r>
      <w:r w:rsidR="00DD7ECF" w:rsidRPr="009E3800">
        <w:rPr>
          <w:rFonts w:ascii="Arial" w:hAnsi="Arial" w:cs="Arial"/>
          <w:i/>
          <w:iCs/>
          <w:color w:val="000000" w:themeColor="text1"/>
          <w:sz w:val="22"/>
          <w:szCs w:val="22"/>
          <w:lang w:val="en-US"/>
        </w:rPr>
        <w:t xml:space="preserve"> shall not, whatsoever the circumstances, have any claim against the </w:t>
      </w:r>
      <w:r w:rsidR="0037730F" w:rsidRPr="009E3800">
        <w:rPr>
          <w:rFonts w:ascii="Arial" w:hAnsi="Arial" w:cs="Arial"/>
          <w:i/>
          <w:iCs/>
          <w:color w:val="000000" w:themeColor="text1"/>
          <w:sz w:val="22"/>
          <w:szCs w:val="22"/>
          <w:lang w:val="en-US"/>
        </w:rPr>
        <w:t>Lessor</w:t>
      </w:r>
      <w:r w:rsidR="00DD7ECF" w:rsidRPr="009E3800">
        <w:rPr>
          <w:rFonts w:ascii="Arial" w:hAnsi="Arial" w:cs="Arial"/>
          <w:i/>
          <w:iCs/>
          <w:color w:val="000000" w:themeColor="text1"/>
          <w:sz w:val="22"/>
          <w:szCs w:val="22"/>
          <w:lang w:val="en-US"/>
        </w:rPr>
        <w:t xml:space="preserve"> for compensation for any improvement or repairs to the </w:t>
      </w:r>
      <w:r w:rsidR="00812EB1" w:rsidRPr="009E3800">
        <w:rPr>
          <w:rFonts w:ascii="Arial" w:hAnsi="Arial" w:cs="Arial"/>
          <w:i/>
          <w:iCs/>
          <w:color w:val="000000" w:themeColor="text1"/>
          <w:sz w:val="22"/>
          <w:szCs w:val="22"/>
          <w:lang w:val="en-US"/>
        </w:rPr>
        <w:t>P</w:t>
      </w:r>
      <w:r w:rsidR="00DD7ECF" w:rsidRPr="009E3800">
        <w:rPr>
          <w:rFonts w:ascii="Arial" w:hAnsi="Arial" w:cs="Arial"/>
          <w:i/>
          <w:iCs/>
          <w:color w:val="000000" w:themeColor="text1"/>
          <w:sz w:val="22"/>
          <w:szCs w:val="22"/>
          <w:lang w:val="en-US"/>
        </w:rPr>
        <w:t xml:space="preserve">roperty, nor shall the </w:t>
      </w:r>
      <w:r w:rsidR="00812EB1" w:rsidRPr="009E3800">
        <w:rPr>
          <w:rFonts w:ascii="Arial" w:hAnsi="Arial" w:cs="Arial"/>
          <w:i/>
          <w:iCs/>
          <w:color w:val="000000" w:themeColor="text1"/>
          <w:sz w:val="22"/>
          <w:szCs w:val="22"/>
          <w:lang w:val="en-US"/>
        </w:rPr>
        <w:t>Lessee</w:t>
      </w:r>
      <w:r w:rsidR="00DD7ECF" w:rsidRPr="009E3800">
        <w:rPr>
          <w:rFonts w:ascii="Arial" w:hAnsi="Arial" w:cs="Arial"/>
          <w:i/>
          <w:iCs/>
          <w:color w:val="000000" w:themeColor="text1"/>
          <w:sz w:val="22"/>
          <w:szCs w:val="22"/>
          <w:lang w:val="en-US"/>
        </w:rPr>
        <w:t xml:space="preserve"> have a right of retention in</w:t>
      </w:r>
      <w:r w:rsidR="00A76BBA" w:rsidRPr="009E3800">
        <w:rPr>
          <w:rFonts w:ascii="Arial" w:hAnsi="Arial" w:cs="Arial"/>
          <w:i/>
          <w:iCs/>
          <w:color w:val="000000" w:themeColor="text1"/>
          <w:sz w:val="22"/>
          <w:szCs w:val="22"/>
          <w:lang w:val="en-US"/>
        </w:rPr>
        <w:t xml:space="preserve"> respect of any improvements.</w:t>
      </w:r>
      <w:r w:rsidR="006B52DC" w:rsidRPr="009E3800">
        <w:rPr>
          <w:rFonts w:ascii="Arial" w:hAnsi="Arial" w:cs="Arial"/>
          <w:color w:val="000000" w:themeColor="text1"/>
          <w:sz w:val="22"/>
          <w:szCs w:val="22"/>
          <w:lang w:val="en-US"/>
        </w:rPr>
        <w:t xml:space="preserve">’ </w:t>
      </w:r>
      <w:r w:rsidR="006B52DC" w:rsidRPr="008D7150">
        <w:rPr>
          <w:rFonts w:ascii="Arial" w:hAnsi="Arial" w:cs="Arial"/>
          <w:color w:val="000000" w:themeColor="text1"/>
          <w:lang w:val="en-US"/>
        </w:rPr>
        <w:t>(Own emphasis).</w:t>
      </w:r>
      <w:r w:rsidR="008A1D0C" w:rsidRPr="008D7150">
        <w:rPr>
          <w:rStyle w:val="FootnoteReference"/>
          <w:rFonts w:ascii="Arial" w:hAnsi="Arial" w:cs="Arial"/>
          <w:color w:val="000000" w:themeColor="text1"/>
          <w:lang w:val="en-US"/>
        </w:rPr>
        <w:footnoteReference w:id="32"/>
      </w:r>
    </w:p>
    <w:p w14:paraId="55D29C67" w14:textId="77777777" w:rsidR="001B1461" w:rsidRPr="004C54A8" w:rsidRDefault="001B1461" w:rsidP="004C54A8">
      <w:pPr>
        <w:rPr>
          <w:rFonts w:ascii="Times New Roman" w:hAnsi="Times New Roman" w:cs="Times New Roman"/>
          <w:color w:val="000000" w:themeColor="text1"/>
          <w:lang w:val="en-US"/>
        </w:rPr>
      </w:pPr>
    </w:p>
    <w:p w14:paraId="4FF79AB1" w14:textId="36E57344" w:rsidR="00411A4F" w:rsidRPr="00AA28F6" w:rsidRDefault="00411A4F" w:rsidP="004A1092">
      <w:pPr>
        <w:pStyle w:val="ListParagraph"/>
        <w:numPr>
          <w:ilvl w:val="0"/>
          <w:numId w:val="1"/>
        </w:numPr>
        <w:spacing w:line="360" w:lineRule="auto"/>
        <w:ind w:left="142" w:hanging="142"/>
        <w:jc w:val="both"/>
        <w:rPr>
          <w:rFonts w:ascii="Arial" w:hAnsi="Arial" w:cs="Arial"/>
          <w:color w:val="000000" w:themeColor="text1"/>
          <w:lang w:val="en-US"/>
        </w:rPr>
      </w:pPr>
      <w:r w:rsidRPr="00AA28F6">
        <w:rPr>
          <w:rFonts w:ascii="Arial" w:hAnsi="Arial" w:cs="Arial"/>
          <w:color w:val="000000" w:themeColor="text1"/>
          <w:lang w:val="en-US"/>
        </w:rPr>
        <w:t>In terms of an addendum signed by the first respondent on 27 August 2008, the following was recorded:</w:t>
      </w:r>
    </w:p>
    <w:p w14:paraId="1B83C70E" w14:textId="5D68B740" w:rsidR="00411A4F" w:rsidRPr="008D7150" w:rsidRDefault="00411A4F" w:rsidP="008D7150">
      <w:pPr>
        <w:pStyle w:val="ListParagraph"/>
        <w:spacing w:line="360" w:lineRule="auto"/>
        <w:ind w:left="284" w:hanging="142"/>
        <w:jc w:val="both"/>
        <w:rPr>
          <w:rFonts w:ascii="Arial" w:hAnsi="Arial" w:cs="Arial"/>
          <w:color w:val="000000" w:themeColor="text1"/>
          <w:sz w:val="22"/>
          <w:szCs w:val="22"/>
          <w:lang w:val="en-US"/>
        </w:rPr>
      </w:pPr>
      <w:r w:rsidRPr="008D7150">
        <w:rPr>
          <w:rFonts w:ascii="Arial" w:hAnsi="Arial" w:cs="Arial"/>
          <w:color w:val="000000" w:themeColor="text1"/>
          <w:sz w:val="22"/>
          <w:szCs w:val="22"/>
          <w:lang w:val="en-US"/>
        </w:rPr>
        <w:t>‘1. The installation of water and electricity will be the responsibility of Whittlesea Builders &amp; Civil CC.</w:t>
      </w:r>
    </w:p>
    <w:p w14:paraId="154AFF80" w14:textId="5A34E71F" w:rsidR="00411A4F" w:rsidRPr="008D7150" w:rsidRDefault="00411A4F" w:rsidP="008D7150">
      <w:pPr>
        <w:pStyle w:val="ListParagraph"/>
        <w:spacing w:line="360" w:lineRule="auto"/>
        <w:ind w:left="284" w:hanging="142"/>
        <w:jc w:val="both"/>
        <w:rPr>
          <w:rFonts w:ascii="Arial" w:hAnsi="Arial" w:cs="Arial"/>
          <w:color w:val="000000" w:themeColor="text1"/>
          <w:sz w:val="22"/>
          <w:szCs w:val="22"/>
          <w:lang w:val="en-US"/>
        </w:rPr>
      </w:pPr>
      <w:r w:rsidRPr="008D7150">
        <w:rPr>
          <w:rFonts w:ascii="Arial" w:hAnsi="Arial" w:cs="Arial"/>
          <w:color w:val="000000" w:themeColor="text1"/>
          <w:sz w:val="22"/>
          <w:szCs w:val="22"/>
          <w:lang w:val="en-US"/>
        </w:rPr>
        <w:t>2. Only temporal structures may be constructed on erf 166.</w:t>
      </w:r>
    </w:p>
    <w:p w14:paraId="3A9379FC" w14:textId="0FD3A393" w:rsidR="00411A4F" w:rsidRPr="008D7150" w:rsidRDefault="00411A4F" w:rsidP="008D7150">
      <w:pPr>
        <w:pStyle w:val="ListParagraph"/>
        <w:spacing w:line="360" w:lineRule="auto"/>
        <w:ind w:left="284" w:hanging="142"/>
        <w:jc w:val="both"/>
        <w:rPr>
          <w:rFonts w:ascii="Arial" w:hAnsi="Arial" w:cs="Arial"/>
          <w:color w:val="000000" w:themeColor="text1"/>
          <w:sz w:val="22"/>
          <w:szCs w:val="22"/>
          <w:lang w:val="en-US"/>
        </w:rPr>
      </w:pPr>
      <w:r w:rsidRPr="008D7150">
        <w:rPr>
          <w:rFonts w:ascii="Arial" w:hAnsi="Arial" w:cs="Arial"/>
          <w:color w:val="000000" w:themeColor="text1"/>
          <w:sz w:val="22"/>
          <w:szCs w:val="22"/>
          <w:lang w:val="en-US"/>
        </w:rPr>
        <w:t>3. Whittlesea Builders and Civil CC should inform the Department of any new developments or temporal structures to the site.</w:t>
      </w:r>
    </w:p>
    <w:p w14:paraId="4536E6CA" w14:textId="137759F1" w:rsidR="00411A4F" w:rsidRPr="008D7150" w:rsidRDefault="00411A4F" w:rsidP="008D7150">
      <w:pPr>
        <w:pStyle w:val="ListParagraph"/>
        <w:spacing w:line="360" w:lineRule="auto"/>
        <w:ind w:left="284" w:hanging="142"/>
        <w:jc w:val="both"/>
        <w:rPr>
          <w:rFonts w:ascii="Arial" w:hAnsi="Arial" w:cs="Arial"/>
          <w:color w:val="000000" w:themeColor="text1"/>
          <w:sz w:val="22"/>
          <w:szCs w:val="22"/>
          <w:lang w:val="en-US"/>
        </w:rPr>
      </w:pPr>
      <w:r w:rsidRPr="008D7150">
        <w:rPr>
          <w:rFonts w:ascii="Arial" w:hAnsi="Arial" w:cs="Arial"/>
          <w:color w:val="000000" w:themeColor="text1"/>
          <w:sz w:val="22"/>
          <w:szCs w:val="22"/>
          <w:lang w:val="en-US"/>
        </w:rPr>
        <w:t>4. The escalation rate shall be 10% per annum.’</w:t>
      </w:r>
    </w:p>
    <w:p w14:paraId="0631705D" w14:textId="1E74FEDA" w:rsidR="002B5EED" w:rsidRPr="00AA28F6" w:rsidRDefault="002B5EED" w:rsidP="008D7150">
      <w:pPr>
        <w:spacing w:line="360" w:lineRule="auto"/>
        <w:ind w:left="284"/>
        <w:jc w:val="both"/>
        <w:rPr>
          <w:rFonts w:ascii="Arial" w:hAnsi="Arial" w:cs="Arial"/>
          <w:color w:val="000000" w:themeColor="text1"/>
          <w:lang w:val="en-US"/>
        </w:rPr>
      </w:pPr>
      <w:r w:rsidRPr="00AA28F6">
        <w:rPr>
          <w:rFonts w:ascii="Arial" w:hAnsi="Arial" w:cs="Arial"/>
          <w:color w:val="000000" w:themeColor="text1"/>
          <w:lang w:val="en-US"/>
        </w:rPr>
        <w:t>As Mr Gajjar for the applicant pointed out, t</w:t>
      </w:r>
      <w:r w:rsidR="004012EE" w:rsidRPr="00AA28F6">
        <w:rPr>
          <w:rFonts w:ascii="Arial" w:hAnsi="Arial" w:cs="Arial"/>
          <w:color w:val="000000" w:themeColor="text1"/>
          <w:lang w:val="en-US"/>
        </w:rPr>
        <w:t xml:space="preserve">hese terms were incorporated in the last extension of the lease agreement concluded on 3 September 2013 between the applicant and first respondent. </w:t>
      </w:r>
    </w:p>
    <w:p w14:paraId="032D992D" w14:textId="77777777" w:rsidR="002B5EED" w:rsidRPr="002B5EED" w:rsidRDefault="002B5EED" w:rsidP="002B5EED">
      <w:pPr>
        <w:spacing w:line="360" w:lineRule="auto"/>
        <w:ind w:left="720"/>
        <w:jc w:val="both"/>
        <w:rPr>
          <w:rFonts w:ascii="Times New Roman" w:hAnsi="Times New Roman" w:cs="Times New Roman"/>
          <w:color w:val="000000" w:themeColor="text1"/>
          <w:sz w:val="28"/>
          <w:szCs w:val="28"/>
          <w:lang w:val="en-US"/>
        </w:rPr>
      </w:pPr>
    </w:p>
    <w:p w14:paraId="1BBA1B1B" w14:textId="2127024E" w:rsidR="0034281C" w:rsidRPr="00AA28F6" w:rsidRDefault="004C54A8" w:rsidP="004A1092">
      <w:pPr>
        <w:pStyle w:val="ListParagraph"/>
        <w:numPr>
          <w:ilvl w:val="0"/>
          <w:numId w:val="1"/>
        </w:numPr>
        <w:spacing w:line="360" w:lineRule="auto"/>
        <w:ind w:left="142" w:hanging="142"/>
        <w:jc w:val="both"/>
        <w:rPr>
          <w:rFonts w:ascii="Arial" w:hAnsi="Arial" w:cs="Arial"/>
          <w:color w:val="000000" w:themeColor="text1"/>
          <w:lang w:val="en-US"/>
        </w:rPr>
      </w:pPr>
      <w:r w:rsidRPr="00AA28F6">
        <w:rPr>
          <w:rFonts w:ascii="Arial" w:hAnsi="Arial" w:cs="Arial"/>
          <w:color w:val="000000" w:themeColor="text1"/>
          <w:lang w:val="en-US"/>
        </w:rPr>
        <w:t>Glover confirms that parties are at liberty to agree expressly in their contract on what rights to removal and what compensation in the absence of removal the lessee may have.</w:t>
      </w:r>
      <w:r w:rsidR="000F077F" w:rsidRPr="00AA28F6">
        <w:rPr>
          <w:rStyle w:val="FootnoteReference"/>
          <w:rFonts w:ascii="Arial" w:hAnsi="Arial" w:cs="Arial"/>
          <w:color w:val="000000" w:themeColor="text1"/>
          <w:lang w:val="en-US"/>
        </w:rPr>
        <w:footnoteReference w:id="33"/>
      </w:r>
      <w:r w:rsidRPr="00AA28F6">
        <w:rPr>
          <w:rFonts w:ascii="Arial" w:hAnsi="Arial" w:cs="Arial"/>
          <w:color w:val="000000" w:themeColor="text1"/>
          <w:lang w:val="en-US"/>
        </w:rPr>
        <w:t xml:space="preserve"> </w:t>
      </w:r>
      <w:r w:rsidR="00A767C3" w:rsidRPr="00AA28F6">
        <w:rPr>
          <w:rFonts w:ascii="Arial" w:hAnsi="Arial" w:cs="Arial"/>
          <w:color w:val="000000" w:themeColor="text1"/>
          <w:lang w:val="en-US"/>
        </w:rPr>
        <w:t>In these circumstances, the contractual provisions agreed to between the parties</w:t>
      </w:r>
      <w:r w:rsidR="00D732FE" w:rsidRPr="00AA28F6">
        <w:rPr>
          <w:rFonts w:ascii="Arial" w:hAnsi="Arial" w:cs="Arial"/>
          <w:color w:val="000000" w:themeColor="text1"/>
          <w:lang w:val="en-US"/>
        </w:rPr>
        <w:t>, quoted above,</w:t>
      </w:r>
      <w:r w:rsidR="00A767C3" w:rsidRPr="00AA28F6">
        <w:rPr>
          <w:rFonts w:ascii="Arial" w:hAnsi="Arial" w:cs="Arial"/>
          <w:color w:val="000000" w:themeColor="text1"/>
          <w:lang w:val="en-US"/>
        </w:rPr>
        <w:t xml:space="preserve"> appear to be fatal to the </w:t>
      </w:r>
      <w:r w:rsidR="0067697B" w:rsidRPr="00AA28F6">
        <w:rPr>
          <w:rFonts w:ascii="Arial" w:hAnsi="Arial" w:cs="Arial"/>
          <w:color w:val="000000" w:themeColor="text1"/>
          <w:lang w:val="en-US"/>
        </w:rPr>
        <w:t>defence</w:t>
      </w:r>
      <w:r w:rsidR="00A767C3" w:rsidRPr="00AA28F6">
        <w:rPr>
          <w:rFonts w:ascii="Arial" w:hAnsi="Arial" w:cs="Arial"/>
          <w:color w:val="000000" w:themeColor="text1"/>
          <w:lang w:val="en-US"/>
        </w:rPr>
        <w:t xml:space="preserve"> of an enrichment lien.</w:t>
      </w:r>
      <w:r w:rsidR="00717991" w:rsidRPr="00AA28F6">
        <w:rPr>
          <w:rStyle w:val="FootnoteReference"/>
          <w:rFonts w:ascii="Arial" w:hAnsi="Arial" w:cs="Arial"/>
          <w:color w:val="000000" w:themeColor="text1"/>
          <w:lang w:val="en-US"/>
        </w:rPr>
        <w:footnoteReference w:id="34"/>
      </w:r>
      <w:r w:rsidR="00A767C3" w:rsidRPr="00AA28F6">
        <w:rPr>
          <w:rFonts w:ascii="Arial" w:hAnsi="Arial" w:cs="Arial"/>
          <w:color w:val="000000" w:themeColor="text1"/>
          <w:lang w:val="en-US"/>
        </w:rPr>
        <w:t xml:space="preserve"> </w:t>
      </w:r>
    </w:p>
    <w:p w14:paraId="3F7DD6B2" w14:textId="77777777" w:rsidR="0034281C" w:rsidRPr="00AA28F6" w:rsidRDefault="0034281C" w:rsidP="0034281C">
      <w:pPr>
        <w:pStyle w:val="ListParagraph"/>
        <w:spacing w:line="360" w:lineRule="auto"/>
        <w:jc w:val="both"/>
        <w:rPr>
          <w:rFonts w:ascii="Arial" w:hAnsi="Arial" w:cs="Arial"/>
          <w:color w:val="000000" w:themeColor="text1"/>
          <w:lang w:val="en-US"/>
        </w:rPr>
      </w:pPr>
    </w:p>
    <w:p w14:paraId="255BE6CA" w14:textId="3E29600C" w:rsidR="006B7783" w:rsidRPr="00AA28F6" w:rsidRDefault="00665CCA" w:rsidP="00AA28F6">
      <w:pPr>
        <w:pStyle w:val="ListParagraph"/>
        <w:numPr>
          <w:ilvl w:val="0"/>
          <w:numId w:val="1"/>
        </w:numPr>
        <w:spacing w:line="360" w:lineRule="auto"/>
        <w:ind w:left="142" w:hanging="142"/>
        <w:jc w:val="both"/>
        <w:rPr>
          <w:rFonts w:ascii="Arial" w:hAnsi="Arial" w:cs="Arial"/>
          <w:color w:val="000000" w:themeColor="text1"/>
          <w:lang w:val="en-US"/>
        </w:rPr>
      </w:pPr>
      <w:r w:rsidRPr="00AA28F6">
        <w:rPr>
          <w:rFonts w:ascii="Arial" w:hAnsi="Arial" w:cs="Arial"/>
          <w:color w:val="000000" w:themeColor="text1"/>
          <w:lang w:val="en-US"/>
        </w:rPr>
        <w:t>I might add that I am unconvinced that the position would have been different even if this had not been the case</w:t>
      </w:r>
      <w:r w:rsidR="00124EEA" w:rsidRPr="00AA28F6">
        <w:rPr>
          <w:rFonts w:ascii="Arial" w:hAnsi="Arial" w:cs="Arial"/>
          <w:color w:val="000000" w:themeColor="text1"/>
          <w:lang w:val="en-US"/>
        </w:rPr>
        <w:t>, and would not be inclined to exercise a discretion in favour of the respondents</w:t>
      </w:r>
      <w:r w:rsidRPr="00AA28F6">
        <w:rPr>
          <w:rFonts w:ascii="Arial" w:hAnsi="Arial" w:cs="Arial"/>
          <w:color w:val="000000" w:themeColor="text1"/>
          <w:lang w:val="en-US"/>
        </w:rPr>
        <w:t>.</w:t>
      </w:r>
      <w:r w:rsidR="000C743A" w:rsidRPr="00AA28F6">
        <w:rPr>
          <w:rStyle w:val="FootnoteReference"/>
          <w:rFonts w:ascii="Arial" w:hAnsi="Arial" w:cs="Arial"/>
          <w:color w:val="000000" w:themeColor="text1"/>
          <w:lang w:val="en-US"/>
        </w:rPr>
        <w:footnoteReference w:id="35"/>
      </w:r>
      <w:r w:rsidR="0034281C" w:rsidRPr="00AA28F6">
        <w:rPr>
          <w:rFonts w:ascii="Arial" w:hAnsi="Arial" w:cs="Arial"/>
          <w:color w:val="000000" w:themeColor="text1"/>
          <w:lang w:val="en-US"/>
        </w:rPr>
        <w:t xml:space="preserve"> This is because</w:t>
      </w:r>
      <w:r w:rsidR="007C6A88" w:rsidRPr="00AA28F6">
        <w:rPr>
          <w:rFonts w:ascii="Arial" w:hAnsi="Arial" w:cs="Arial"/>
          <w:color w:val="000000" w:themeColor="text1"/>
          <w:lang w:val="en-US"/>
        </w:rPr>
        <w:t>, firstly,</w:t>
      </w:r>
      <w:r w:rsidR="0034281C" w:rsidRPr="00AA28F6">
        <w:rPr>
          <w:rFonts w:ascii="Arial" w:hAnsi="Arial" w:cs="Arial"/>
          <w:color w:val="000000" w:themeColor="text1"/>
          <w:lang w:val="en-US"/>
        </w:rPr>
        <w:t xml:space="preserve"> it is for a lessee claiming a lien to allege and prove that improvements were in fact made.</w:t>
      </w:r>
      <w:r w:rsidR="003E72EF" w:rsidRPr="00AA28F6">
        <w:rPr>
          <w:rStyle w:val="FootnoteReference"/>
          <w:rFonts w:ascii="Arial" w:hAnsi="Arial" w:cs="Arial"/>
          <w:color w:val="000000" w:themeColor="text1"/>
          <w:lang w:val="en-US"/>
        </w:rPr>
        <w:footnoteReference w:id="36"/>
      </w:r>
      <w:r w:rsidR="0034281C" w:rsidRPr="00AA28F6">
        <w:rPr>
          <w:rFonts w:ascii="Arial" w:hAnsi="Arial" w:cs="Arial"/>
          <w:color w:val="000000" w:themeColor="text1"/>
          <w:lang w:val="en-US"/>
        </w:rPr>
        <w:t xml:space="preserve"> </w:t>
      </w:r>
      <w:r w:rsidR="0011076F" w:rsidRPr="00AA28F6">
        <w:rPr>
          <w:rFonts w:ascii="Arial" w:hAnsi="Arial" w:cs="Arial"/>
          <w:color w:val="000000" w:themeColor="text1"/>
          <w:lang w:val="en-US"/>
        </w:rPr>
        <w:t>This includes</w:t>
      </w:r>
      <w:r w:rsidR="0011076F">
        <w:rPr>
          <w:rFonts w:ascii="Times New Roman" w:hAnsi="Times New Roman" w:cs="Times New Roman"/>
          <w:color w:val="000000" w:themeColor="text1"/>
          <w:sz w:val="28"/>
          <w:szCs w:val="28"/>
          <w:lang w:val="en-US"/>
        </w:rPr>
        <w:t xml:space="preserve"> </w:t>
      </w:r>
      <w:r w:rsidR="0011076F" w:rsidRPr="00AA28F6">
        <w:rPr>
          <w:rFonts w:ascii="Arial" w:hAnsi="Arial" w:cs="Arial"/>
          <w:color w:val="000000" w:themeColor="text1"/>
          <w:lang w:val="en-US"/>
        </w:rPr>
        <w:t xml:space="preserve">alleging </w:t>
      </w:r>
      <w:r w:rsidR="0011076F" w:rsidRPr="00AA28F6">
        <w:rPr>
          <w:rFonts w:ascii="Arial" w:hAnsi="Arial" w:cs="Arial"/>
          <w:color w:val="000000" w:themeColor="text1"/>
          <w:lang w:val="en-US"/>
        </w:rPr>
        <w:lastRenderedPageBreak/>
        <w:t>and proving that the expenses were useful for the property’s improvement. The respondents should also have alleged and proved the actual expenses and the extent of the enrichment of the applicant</w:t>
      </w:r>
      <w:r w:rsidR="00024210" w:rsidRPr="00AA28F6">
        <w:rPr>
          <w:rFonts w:ascii="Arial" w:hAnsi="Arial" w:cs="Arial"/>
          <w:color w:val="000000" w:themeColor="text1"/>
          <w:lang w:val="en-US"/>
        </w:rPr>
        <w:t>, since a lien only covers the lesser of these two amounts.</w:t>
      </w:r>
      <w:r w:rsidR="00024210" w:rsidRPr="00AA28F6">
        <w:rPr>
          <w:rStyle w:val="FootnoteReference"/>
          <w:rFonts w:ascii="Arial" w:hAnsi="Arial" w:cs="Arial"/>
          <w:color w:val="000000" w:themeColor="text1"/>
          <w:lang w:val="en-US"/>
        </w:rPr>
        <w:footnoteReference w:id="37"/>
      </w:r>
      <w:r w:rsidR="009754EF" w:rsidRPr="00AA28F6">
        <w:rPr>
          <w:rFonts w:ascii="Arial" w:hAnsi="Arial" w:cs="Arial"/>
          <w:color w:val="000000" w:themeColor="text1"/>
          <w:lang w:val="en-US"/>
        </w:rPr>
        <w:t xml:space="preserve"> This has not occurred.</w:t>
      </w:r>
    </w:p>
    <w:p w14:paraId="5AAD9B7E" w14:textId="77777777" w:rsidR="006D67EA" w:rsidRPr="00AA28F6" w:rsidRDefault="006D67EA" w:rsidP="00AA28F6">
      <w:pPr>
        <w:pStyle w:val="ListParagraph"/>
        <w:jc w:val="both"/>
        <w:rPr>
          <w:rFonts w:ascii="Arial" w:hAnsi="Arial" w:cs="Arial"/>
          <w:color w:val="000000" w:themeColor="text1"/>
          <w:lang w:val="en-US"/>
        </w:rPr>
      </w:pPr>
    </w:p>
    <w:p w14:paraId="68F090FB" w14:textId="0A427D06" w:rsidR="00466DF7" w:rsidRPr="00AA28F6" w:rsidRDefault="007C6A88" w:rsidP="00AA28F6">
      <w:pPr>
        <w:pStyle w:val="ListParagraph"/>
        <w:numPr>
          <w:ilvl w:val="0"/>
          <w:numId w:val="1"/>
        </w:numPr>
        <w:spacing w:line="360" w:lineRule="auto"/>
        <w:ind w:left="142" w:hanging="142"/>
        <w:jc w:val="both"/>
        <w:rPr>
          <w:rFonts w:ascii="Arial" w:hAnsi="Arial" w:cs="Arial"/>
          <w:color w:val="000000" w:themeColor="text1"/>
          <w:lang w:val="en-US"/>
        </w:rPr>
      </w:pPr>
      <w:r w:rsidRPr="00AA28F6">
        <w:rPr>
          <w:rFonts w:ascii="Arial" w:hAnsi="Arial" w:cs="Arial"/>
          <w:color w:val="000000" w:themeColor="text1"/>
          <w:lang w:val="en-US"/>
        </w:rPr>
        <w:t>Secondly, t</w:t>
      </w:r>
      <w:r w:rsidR="00466DF7" w:rsidRPr="00AA28F6">
        <w:rPr>
          <w:rFonts w:ascii="Arial" w:hAnsi="Arial" w:cs="Arial"/>
          <w:color w:val="000000" w:themeColor="text1"/>
          <w:lang w:val="en-US"/>
        </w:rPr>
        <w:t xml:space="preserve">he first and second respondents both referred to </w:t>
      </w:r>
      <w:r w:rsidRPr="00AA28F6">
        <w:rPr>
          <w:rFonts w:ascii="Arial" w:hAnsi="Arial" w:cs="Arial"/>
          <w:color w:val="000000" w:themeColor="text1"/>
          <w:lang w:val="en-US"/>
        </w:rPr>
        <w:t xml:space="preserve">correspondence pertaining to the late Mr Bula, in the context of the development of vacant land some years ago. A similar claim was made in </w:t>
      </w:r>
      <w:r w:rsidRPr="00AA28F6">
        <w:rPr>
          <w:rFonts w:ascii="Arial" w:hAnsi="Arial" w:cs="Arial"/>
          <w:i/>
          <w:iCs/>
          <w:color w:val="000000" w:themeColor="text1"/>
          <w:lang w:val="en-US"/>
        </w:rPr>
        <w:t>De Aguiar v Real People Housing</w:t>
      </w:r>
      <w:r w:rsidR="00B56959" w:rsidRPr="00AA28F6">
        <w:rPr>
          <w:rFonts w:ascii="Arial" w:hAnsi="Arial" w:cs="Arial"/>
          <w:color w:val="000000" w:themeColor="text1"/>
          <w:lang w:val="en-US"/>
        </w:rPr>
        <w:t>.</w:t>
      </w:r>
      <w:r w:rsidRPr="00AA28F6">
        <w:rPr>
          <w:rStyle w:val="FootnoteReference"/>
          <w:rFonts w:ascii="Arial" w:hAnsi="Arial" w:cs="Arial"/>
          <w:color w:val="000000" w:themeColor="text1"/>
          <w:lang w:val="en-US"/>
        </w:rPr>
        <w:footnoteReference w:id="38"/>
      </w:r>
      <w:r w:rsidR="00B56959" w:rsidRPr="00AA28F6">
        <w:rPr>
          <w:rFonts w:ascii="Arial" w:hAnsi="Arial" w:cs="Arial"/>
          <w:color w:val="000000" w:themeColor="text1"/>
          <w:lang w:val="en-US"/>
        </w:rPr>
        <w:t xml:space="preserve"> Griesel AJA, for a unanimous court, held that:</w:t>
      </w:r>
      <w:r w:rsidR="007C5D37" w:rsidRPr="00AA28F6">
        <w:rPr>
          <w:rStyle w:val="FootnoteReference"/>
          <w:rFonts w:ascii="Arial" w:hAnsi="Arial" w:cs="Arial"/>
          <w:color w:val="000000" w:themeColor="text1"/>
          <w:lang w:val="en-US"/>
        </w:rPr>
        <w:footnoteReference w:id="39"/>
      </w:r>
    </w:p>
    <w:p w14:paraId="23DDB514" w14:textId="48634CB0" w:rsidR="00B56959" w:rsidRPr="00AA28F6" w:rsidRDefault="00B56959" w:rsidP="008D7150">
      <w:pPr>
        <w:spacing w:line="360" w:lineRule="auto"/>
        <w:ind w:left="142"/>
        <w:jc w:val="both"/>
        <w:rPr>
          <w:rFonts w:ascii="Arial" w:hAnsi="Arial" w:cs="Arial"/>
          <w:color w:val="000000" w:themeColor="text1"/>
          <w:sz w:val="22"/>
          <w:szCs w:val="22"/>
          <w:lang w:val="en-US"/>
        </w:rPr>
      </w:pPr>
      <w:r w:rsidRPr="00AA28F6">
        <w:rPr>
          <w:rFonts w:ascii="Arial" w:hAnsi="Arial" w:cs="Arial"/>
          <w:color w:val="000000" w:themeColor="text1"/>
          <w:sz w:val="22"/>
          <w:szCs w:val="22"/>
          <w:lang w:val="en-US"/>
        </w:rPr>
        <w:t xml:space="preserve">‘…the appellant made mention of various improvements effected to the property over the years, making it clear that it was </w:t>
      </w:r>
      <w:r w:rsidRPr="00AA28F6">
        <w:rPr>
          <w:rFonts w:ascii="Arial" w:hAnsi="Arial" w:cs="Arial"/>
          <w:i/>
          <w:iCs/>
          <w:color w:val="000000" w:themeColor="text1"/>
          <w:sz w:val="22"/>
          <w:szCs w:val="22"/>
          <w:lang w:val="en-US"/>
        </w:rPr>
        <w:t>his father</w:t>
      </w:r>
      <w:r w:rsidRPr="00AA28F6">
        <w:rPr>
          <w:rFonts w:ascii="Arial" w:hAnsi="Arial" w:cs="Arial"/>
          <w:color w:val="000000" w:themeColor="text1"/>
          <w:sz w:val="22"/>
          <w:szCs w:val="22"/>
          <w:lang w:val="en-US"/>
        </w:rPr>
        <w:t xml:space="preserve"> who had developed the property and paid for the various improvements….no mention was made of any improvements for which the appellant himself can claim credit…Any improvements effected by his father are, of course, completely irrelevant to a consideration of the lien on which the appellant seeks to rely.’</w:t>
      </w:r>
    </w:p>
    <w:p w14:paraId="6FF6D6D4" w14:textId="77777777" w:rsidR="00466DF7" w:rsidRPr="00466DF7" w:rsidRDefault="00466DF7" w:rsidP="00466DF7">
      <w:pPr>
        <w:pStyle w:val="ListParagraph"/>
        <w:rPr>
          <w:rFonts w:ascii="Times New Roman" w:hAnsi="Times New Roman" w:cs="Times New Roman"/>
          <w:color w:val="000000" w:themeColor="text1"/>
          <w:sz w:val="28"/>
          <w:szCs w:val="28"/>
          <w:lang w:val="en-US"/>
        </w:rPr>
      </w:pPr>
    </w:p>
    <w:p w14:paraId="351A9DC2" w14:textId="1EE237FF" w:rsidR="00621BB0" w:rsidRPr="00AA28F6" w:rsidRDefault="006D46F1" w:rsidP="004A1092">
      <w:pPr>
        <w:pStyle w:val="ListParagraph"/>
        <w:numPr>
          <w:ilvl w:val="0"/>
          <w:numId w:val="1"/>
        </w:numPr>
        <w:spacing w:line="360" w:lineRule="auto"/>
        <w:ind w:left="142" w:hanging="142"/>
        <w:jc w:val="both"/>
        <w:rPr>
          <w:rFonts w:ascii="Arial" w:hAnsi="Arial" w:cs="Arial"/>
          <w:color w:val="000000" w:themeColor="text1"/>
          <w:lang w:val="en-US"/>
        </w:rPr>
      </w:pPr>
      <w:r w:rsidRPr="00AA28F6">
        <w:rPr>
          <w:rFonts w:ascii="Arial" w:hAnsi="Arial" w:cs="Arial"/>
          <w:color w:val="000000" w:themeColor="text1"/>
          <w:lang w:val="en-US"/>
        </w:rPr>
        <w:t xml:space="preserve">The respondents in this case encounter the same obstacle. </w:t>
      </w:r>
      <w:r w:rsidR="009754EF" w:rsidRPr="00AA28F6">
        <w:rPr>
          <w:rFonts w:ascii="Arial" w:hAnsi="Arial" w:cs="Arial"/>
          <w:color w:val="000000" w:themeColor="text1"/>
          <w:lang w:val="en-US"/>
        </w:rPr>
        <w:t>T</w:t>
      </w:r>
      <w:r w:rsidR="00E1093F" w:rsidRPr="00AA28F6">
        <w:rPr>
          <w:rFonts w:ascii="Arial" w:hAnsi="Arial" w:cs="Arial"/>
          <w:color w:val="000000" w:themeColor="text1"/>
          <w:lang w:val="en-US"/>
        </w:rPr>
        <w:t xml:space="preserve">here is </w:t>
      </w:r>
      <w:r w:rsidR="00C72BC6" w:rsidRPr="00AA28F6">
        <w:rPr>
          <w:rFonts w:ascii="Arial" w:hAnsi="Arial" w:cs="Arial"/>
          <w:color w:val="000000" w:themeColor="text1"/>
          <w:lang w:val="en-US"/>
        </w:rPr>
        <w:t xml:space="preserve">also </w:t>
      </w:r>
      <w:r w:rsidR="00E1093F" w:rsidRPr="00AA28F6">
        <w:rPr>
          <w:rFonts w:ascii="Arial" w:hAnsi="Arial" w:cs="Arial"/>
          <w:color w:val="000000" w:themeColor="text1"/>
          <w:lang w:val="en-US"/>
        </w:rPr>
        <w:t>a complete dearth of detail relating to the alleged improvements themselves.</w:t>
      </w:r>
      <w:r w:rsidR="00E1093F" w:rsidRPr="00AA28F6">
        <w:rPr>
          <w:rStyle w:val="FootnoteReference"/>
          <w:rFonts w:ascii="Arial" w:hAnsi="Arial" w:cs="Arial"/>
          <w:color w:val="000000" w:themeColor="text1"/>
          <w:lang w:val="en-US"/>
        </w:rPr>
        <w:footnoteReference w:id="40"/>
      </w:r>
      <w:r w:rsidR="00816310" w:rsidRPr="00AA28F6">
        <w:rPr>
          <w:rFonts w:ascii="Arial" w:hAnsi="Arial" w:cs="Arial"/>
          <w:color w:val="000000" w:themeColor="text1"/>
          <w:lang w:val="en-US"/>
        </w:rPr>
        <w:t xml:space="preserve"> I</w:t>
      </w:r>
      <w:r w:rsidR="006D67EA" w:rsidRPr="00AA28F6">
        <w:rPr>
          <w:rFonts w:ascii="Arial" w:hAnsi="Arial" w:cs="Arial"/>
          <w:color w:val="000000" w:themeColor="text1"/>
          <w:lang w:val="en-US"/>
        </w:rPr>
        <w:t xml:space="preserve">n </w:t>
      </w:r>
      <w:r w:rsidR="006D67EA" w:rsidRPr="00AA28F6">
        <w:rPr>
          <w:rFonts w:ascii="Arial" w:hAnsi="Arial" w:cs="Arial"/>
          <w:i/>
          <w:iCs/>
          <w:color w:val="000000" w:themeColor="text1"/>
          <w:lang w:val="en-US"/>
        </w:rPr>
        <w:t>Rhoode v De Kock</w:t>
      </w:r>
      <w:r w:rsidR="004104C6" w:rsidRPr="00AA28F6">
        <w:rPr>
          <w:rFonts w:ascii="Arial" w:hAnsi="Arial" w:cs="Arial"/>
          <w:color w:val="000000" w:themeColor="text1"/>
          <w:lang w:val="en-US"/>
        </w:rPr>
        <w:t>,</w:t>
      </w:r>
      <w:r w:rsidR="006D67EA" w:rsidRPr="00AA28F6">
        <w:rPr>
          <w:rStyle w:val="FootnoteReference"/>
          <w:rFonts w:ascii="Arial" w:hAnsi="Arial" w:cs="Arial"/>
          <w:color w:val="000000" w:themeColor="text1"/>
          <w:lang w:val="en-US"/>
        </w:rPr>
        <w:footnoteReference w:id="41"/>
      </w:r>
      <w:r w:rsidR="004104C6" w:rsidRPr="00AA28F6">
        <w:rPr>
          <w:rFonts w:ascii="Arial" w:hAnsi="Arial" w:cs="Arial"/>
          <w:color w:val="000000" w:themeColor="text1"/>
          <w:lang w:val="en-US"/>
        </w:rPr>
        <w:t xml:space="preserve"> evidence estimating </w:t>
      </w:r>
      <w:r w:rsidR="005178E1" w:rsidRPr="00AA28F6">
        <w:rPr>
          <w:rFonts w:ascii="Arial" w:hAnsi="Arial" w:cs="Arial"/>
          <w:color w:val="000000" w:themeColor="text1"/>
          <w:lang w:val="en-US"/>
        </w:rPr>
        <w:t>what improvements would cost was held to be irrelevant for purposes of establishing that the appellant had actually expended anything in money or materials</w:t>
      </w:r>
      <w:r w:rsidR="00621BB0" w:rsidRPr="00AA28F6">
        <w:rPr>
          <w:rFonts w:ascii="Arial" w:hAnsi="Arial" w:cs="Arial"/>
          <w:color w:val="000000" w:themeColor="text1"/>
          <w:lang w:val="en-US"/>
        </w:rPr>
        <w:t>. The Supreme Court of Appeal added as follows:</w:t>
      </w:r>
      <w:r w:rsidR="001E730D" w:rsidRPr="00AA28F6">
        <w:rPr>
          <w:rStyle w:val="FootnoteReference"/>
          <w:rFonts w:ascii="Arial" w:hAnsi="Arial" w:cs="Arial"/>
          <w:color w:val="000000" w:themeColor="text1"/>
          <w:lang w:val="en-US"/>
        </w:rPr>
        <w:footnoteReference w:id="42"/>
      </w:r>
    </w:p>
    <w:p w14:paraId="70F50E6D" w14:textId="042A0800" w:rsidR="00621BB0" w:rsidRPr="00AA28F6" w:rsidRDefault="00621BB0" w:rsidP="008D7150">
      <w:pPr>
        <w:spacing w:line="360" w:lineRule="auto"/>
        <w:ind w:left="142"/>
        <w:jc w:val="both"/>
        <w:rPr>
          <w:rFonts w:ascii="Arial" w:hAnsi="Arial" w:cs="Arial"/>
          <w:color w:val="000000" w:themeColor="text1"/>
          <w:sz w:val="22"/>
          <w:szCs w:val="22"/>
          <w:lang w:val="en-US"/>
        </w:rPr>
      </w:pPr>
      <w:r w:rsidRPr="00AA28F6">
        <w:rPr>
          <w:rFonts w:ascii="Arial" w:hAnsi="Arial" w:cs="Arial"/>
          <w:color w:val="000000" w:themeColor="text1"/>
          <w:sz w:val="22"/>
          <w:szCs w:val="22"/>
          <w:lang w:val="en-US"/>
        </w:rPr>
        <w:t>‘…one does not know what the appellant’s actual expenses were. In addition, there is no acceptable evidence that the value of the property was increased. The opinion expressed by Van der Spuy is of no assistance as neither the factual foundation nor his motivation therefor are set out</w:t>
      </w:r>
      <w:r w:rsidR="001E730D" w:rsidRPr="00AA28F6">
        <w:rPr>
          <w:rFonts w:ascii="Arial" w:hAnsi="Arial" w:cs="Arial"/>
          <w:color w:val="000000" w:themeColor="text1"/>
          <w:sz w:val="22"/>
          <w:szCs w:val="22"/>
          <w:lang w:val="en-US"/>
        </w:rPr>
        <w:t>…The criticism by the respondent’s counsel of the answering affidavit on this aspect as containing ‘vague, bald, terse, sketchy and insufficient allegations’ is entirely justified.’</w:t>
      </w:r>
    </w:p>
    <w:p w14:paraId="5922E907" w14:textId="77777777" w:rsidR="00621BB0" w:rsidRPr="00621BB0" w:rsidRDefault="00621BB0" w:rsidP="00621BB0">
      <w:pPr>
        <w:pStyle w:val="ListParagraph"/>
        <w:rPr>
          <w:rFonts w:ascii="Times New Roman" w:hAnsi="Times New Roman" w:cs="Times New Roman"/>
          <w:color w:val="000000" w:themeColor="text1"/>
          <w:sz w:val="28"/>
          <w:szCs w:val="28"/>
          <w:lang w:val="en-US"/>
        </w:rPr>
      </w:pPr>
    </w:p>
    <w:p w14:paraId="77BED053" w14:textId="104A4497" w:rsidR="00C409F0" w:rsidRPr="00AA28F6" w:rsidRDefault="008245C2" w:rsidP="004A1092">
      <w:pPr>
        <w:pStyle w:val="ListParagraph"/>
        <w:numPr>
          <w:ilvl w:val="0"/>
          <w:numId w:val="1"/>
        </w:numPr>
        <w:spacing w:line="360" w:lineRule="auto"/>
        <w:ind w:left="142" w:hanging="142"/>
        <w:jc w:val="both"/>
        <w:rPr>
          <w:rFonts w:ascii="Arial" w:hAnsi="Arial" w:cs="Arial"/>
          <w:color w:val="000000" w:themeColor="text1"/>
          <w:lang w:val="en-US"/>
        </w:rPr>
      </w:pPr>
      <w:r w:rsidRPr="00AA28F6">
        <w:rPr>
          <w:rFonts w:ascii="Arial" w:hAnsi="Arial" w:cs="Arial"/>
          <w:color w:val="000000" w:themeColor="text1"/>
          <w:lang w:val="en-US"/>
        </w:rPr>
        <w:lastRenderedPageBreak/>
        <w:t xml:space="preserve">The same may be said in this case, and the conclusion of Cloete JA in </w:t>
      </w:r>
      <w:r w:rsidRPr="00AA28F6">
        <w:rPr>
          <w:rFonts w:ascii="Arial" w:hAnsi="Arial" w:cs="Arial"/>
          <w:i/>
          <w:iCs/>
          <w:color w:val="000000" w:themeColor="text1"/>
          <w:lang w:val="en-US"/>
        </w:rPr>
        <w:t>Rhoode</w:t>
      </w:r>
      <w:r w:rsidRPr="00AA28F6">
        <w:rPr>
          <w:rFonts w:ascii="Arial" w:hAnsi="Arial" w:cs="Arial"/>
          <w:color w:val="000000" w:themeColor="text1"/>
          <w:lang w:val="en-US"/>
        </w:rPr>
        <w:t xml:space="preserve"> is </w:t>
      </w:r>
      <w:r w:rsidR="00C409F0" w:rsidRPr="00AA28F6">
        <w:rPr>
          <w:rFonts w:ascii="Arial" w:hAnsi="Arial" w:cs="Arial"/>
          <w:color w:val="000000" w:themeColor="text1"/>
          <w:lang w:val="en-US"/>
        </w:rPr>
        <w:t>equally applicable</w:t>
      </w:r>
      <w:r w:rsidR="00D11F1C" w:rsidRPr="00AA28F6">
        <w:rPr>
          <w:rFonts w:ascii="Arial" w:hAnsi="Arial" w:cs="Arial"/>
          <w:color w:val="000000" w:themeColor="text1"/>
          <w:lang w:val="en-US"/>
        </w:rPr>
        <w:t xml:space="preserve"> (substituting the respondents in the present matter for the appellants in the quotation to follow)</w:t>
      </w:r>
      <w:r w:rsidR="00C409F0" w:rsidRPr="00AA28F6">
        <w:rPr>
          <w:rFonts w:ascii="Arial" w:hAnsi="Arial" w:cs="Arial"/>
          <w:color w:val="000000" w:themeColor="text1"/>
          <w:lang w:val="en-US"/>
        </w:rPr>
        <w:t>:</w:t>
      </w:r>
      <w:r w:rsidR="00250417" w:rsidRPr="00AA28F6">
        <w:rPr>
          <w:rStyle w:val="FootnoteReference"/>
          <w:rFonts w:ascii="Arial" w:hAnsi="Arial" w:cs="Arial"/>
          <w:color w:val="000000" w:themeColor="text1"/>
          <w:lang w:val="en-US"/>
        </w:rPr>
        <w:footnoteReference w:id="43"/>
      </w:r>
    </w:p>
    <w:p w14:paraId="2198D1E8" w14:textId="1F6E76C4" w:rsidR="00944063" w:rsidRPr="00AA28F6" w:rsidRDefault="00C409F0" w:rsidP="008C3204">
      <w:pPr>
        <w:pStyle w:val="ListParagraph"/>
        <w:spacing w:line="360" w:lineRule="auto"/>
        <w:ind w:left="142"/>
        <w:jc w:val="both"/>
        <w:rPr>
          <w:rFonts w:ascii="Arial" w:hAnsi="Arial" w:cs="Arial"/>
          <w:color w:val="000000" w:themeColor="text1"/>
          <w:sz w:val="22"/>
          <w:szCs w:val="22"/>
          <w:lang w:val="en-US"/>
        </w:rPr>
      </w:pPr>
      <w:r w:rsidRPr="00AA28F6">
        <w:rPr>
          <w:rFonts w:ascii="Arial" w:hAnsi="Arial" w:cs="Arial"/>
          <w:color w:val="000000" w:themeColor="text1"/>
          <w:sz w:val="22"/>
          <w:szCs w:val="22"/>
          <w:lang w:val="en-US"/>
        </w:rPr>
        <w:t xml:space="preserve">‘The present is not a case where it is common cause or cannot on the papers be disputed </w:t>
      </w:r>
      <w:r w:rsidR="008D7150">
        <w:rPr>
          <w:rFonts w:ascii="Arial" w:hAnsi="Arial" w:cs="Arial"/>
          <w:color w:val="000000" w:themeColor="text1"/>
          <w:sz w:val="22"/>
          <w:szCs w:val="22"/>
          <w:lang w:val="en-US"/>
        </w:rPr>
        <w:t xml:space="preserve">   </w:t>
      </w:r>
      <w:r w:rsidR="008C3204">
        <w:rPr>
          <w:rFonts w:ascii="Arial" w:hAnsi="Arial" w:cs="Arial"/>
          <w:color w:val="000000" w:themeColor="text1"/>
          <w:sz w:val="22"/>
          <w:szCs w:val="22"/>
          <w:lang w:val="en-US"/>
        </w:rPr>
        <w:t xml:space="preserve">       </w:t>
      </w:r>
      <w:r w:rsidRPr="00AA28F6">
        <w:rPr>
          <w:rFonts w:ascii="Arial" w:hAnsi="Arial" w:cs="Arial"/>
          <w:color w:val="000000" w:themeColor="text1"/>
          <w:sz w:val="22"/>
          <w:szCs w:val="22"/>
          <w:lang w:val="en-US"/>
        </w:rPr>
        <w:t xml:space="preserve">that the property has been increased in value…Here, there is not even a </w:t>
      </w:r>
      <w:r w:rsidRPr="00AA28F6">
        <w:rPr>
          <w:rFonts w:ascii="Arial" w:hAnsi="Arial" w:cs="Arial"/>
          <w:i/>
          <w:iCs/>
          <w:color w:val="000000" w:themeColor="text1"/>
          <w:sz w:val="22"/>
          <w:szCs w:val="22"/>
          <w:lang w:val="en-US"/>
        </w:rPr>
        <w:t xml:space="preserve">prima facie </w:t>
      </w:r>
      <w:r w:rsidRPr="00AA28F6">
        <w:rPr>
          <w:rFonts w:ascii="Arial" w:hAnsi="Arial" w:cs="Arial"/>
          <w:color w:val="000000" w:themeColor="text1"/>
          <w:sz w:val="22"/>
          <w:szCs w:val="22"/>
          <w:lang w:val="en-US"/>
        </w:rPr>
        <w:t>case for the respondents to meet. The appellant’s case amounts to this</w:t>
      </w:r>
      <w:r w:rsidR="00D11F1C" w:rsidRPr="00AA28F6">
        <w:rPr>
          <w:rFonts w:ascii="Arial" w:hAnsi="Arial" w:cs="Arial"/>
          <w:color w:val="000000" w:themeColor="text1"/>
          <w:sz w:val="22"/>
          <w:szCs w:val="22"/>
          <w:lang w:val="en-US"/>
        </w:rPr>
        <w:t>: “I have made alterations and additions to the respondents’ property. I have produced no accepta</w:t>
      </w:r>
      <w:r w:rsidR="006D177B" w:rsidRPr="00AA28F6">
        <w:rPr>
          <w:rFonts w:ascii="Arial" w:hAnsi="Arial" w:cs="Arial"/>
          <w:color w:val="000000" w:themeColor="text1"/>
          <w:sz w:val="22"/>
          <w:szCs w:val="22"/>
          <w:lang w:val="en-US"/>
        </w:rPr>
        <w:t>b</w:t>
      </w:r>
      <w:r w:rsidR="00D11F1C" w:rsidRPr="00AA28F6">
        <w:rPr>
          <w:rFonts w:ascii="Arial" w:hAnsi="Arial" w:cs="Arial"/>
          <w:color w:val="000000" w:themeColor="text1"/>
          <w:sz w:val="22"/>
          <w:szCs w:val="22"/>
          <w:lang w:val="en-US"/>
        </w:rPr>
        <w:t>le evidence to establish whether the property has been improved in value, nor have I disclosed what I expended in money or materials. But I wish to resist an application for ejectment until compensated for an amount that I have not begun to quantify.” To enforce a lien in these circumstances would in my view be to allow an abuse of the process of the court.’</w:t>
      </w:r>
    </w:p>
    <w:p w14:paraId="13FCD64D" w14:textId="77777777" w:rsidR="008439BC" w:rsidRPr="008439BC" w:rsidRDefault="008439BC" w:rsidP="008439BC">
      <w:pPr>
        <w:pStyle w:val="ListParagraph"/>
        <w:rPr>
          <w:rFonts w:ascii="Times New Roman" w:hAnsi="Times New Roman" w:cs="Times New Roman"/>
          <w:color w:val="000000" w:themeColor="text1"/>
          <w:sz w:val="28"/>
          <w:szCs w:val="28"/>
          <w:lang w:val="en-US"/>
        </w:rPr>
      </w:pPr>
    </w:p>
    <w:p w14:paraId="7CDC564B" w14:textId="690EAD93" w:rsidR="007C7E0E" w:rsidRPr="00AA28F6" w:rsidRDefault="006D177B" w:rsidP="004A1092">
      <w:pPr>
        <w:pStyle w:val="ListParagraph"/>
        <w:numPr>
          <w:ilvl w:val="0"/>
          <w:numId w:val="1"/>
        </w:numPr>
        <w:spacing w:line="360" w:lineRule="auto"/>
        <w:ind w:left="142" w:hanging="142"/>
        <w:jc w:val="both"/>
        <w:rPr>
          <w:rFonts w:ascii="Arial" w:hAnsi="Arial" w:cs="Arial"/>
          <w:color w:val="000000" w:themeColor="text1"/>
          <w:lang w:val="en-US"/>
        </w:rPr>
      </w:pPr>
      <w:r w:rsidRPr="00AA28F6">
        <w:rPr>
          <w:rFonts w:ascii="Arial" w:hAnsi="Arial" w:cs="Arial"/>
          <w:color w:val="000000" w:themeColor="text1"/>
          <w:lang w:val="en-US"/>
        </w:rPr>
        <w:t>In these circumstances I am satisfied that the applicant has made out a proper case for the relief that it seeks.</w:t>
      </w:r>
      <w:r w:rsidR="000E4ED7" w:rsidRPr="00AA28F6">
        <w:rPr>
          <w:rFonts w:ascii="Arial" w:hAnsi="Arial" w:cs="Arial"/>
          <w:color w:val="000000" w:themeColor="text1"/>
          <w:lang w:val="en-US"/>
        </w:rPr>
        <w:t xml:space="preserve"> It would, in my view, be just and equitable for the respondents to be afforded a period of 30 days within which to vacate.</w:t>
      </w:r>
    </w:p>
    <w:p w14:paraId="76FF25C7" w14:textId="1C5B1C97" w:rsidR="00380A2E" w:rsidRPr="004C0F29" w:rsidRDefault="00380A2E" w:rsidP="00504179">
      <w:pPr>
        <w:spacing w:line="360" w:lineRule="auto"/>
        <w:jc w:val="both"/>
        <w:rPr>
          <w:rFonts w:ascii="Times New Roman" w:hAnsi="Times New Roman" w:cs="Times New Roman"/>
          <w:color w:val="000000" w:themeColor="text1"/>
          <w:sz w:val="28"/>
          <w:szCs w:val="28"/>
          <w:lang w:val="en-US"/>
        </w:rPr>
      </w:pPr>
    </w:p>
    <w:p w14:paraId="25F1C9FB" w14:textId="7325C853" w:rsidR="00FA3BB9" w:rsidRPr="000E4ED7" w:rsidRDefault="00030691" w:rsidP="00504179">
      <w:pPr>
        <w:spacing w:line="360" w:lineRule="auto"/>
        <w:jc w:val="both"/>
        <w:rPr>
          <w:rFonts w:ascii="Times New Roman" w:hAnsi="Times New Roman" w:cs="Times New Roman"/>
          <w:b/>
          <w:bCs/>
          <w:color w:val="000000" w:themeColor="text1"/>
          <w:sz w:val="28"/>
          <w:szCs w:val="28"/>
          <w:lang w:val="en-US"/>
        </w:rPr>
      </w:pPr>
      <w:r w:rsidRPr="00362113">
        <w:rPr>
          <w:rFonts w:ascii="Times New Roman" w:hAnsi="Times New Roman" w:cs="Times New Roman"/>
          <w:b/>
          <w:bCs/>
          <w:color w:val="000000" w:themeColor="text1"/>
          <w:sz w:val="28"/>
          <w:szCs w:val="28"/>
          <w:lang w:val="en-US"/>
        </w:rPr>
        <w:t>Order</w:t>
      </w:r>
    </w:p>
    <w:p w14:paraId="3CECC7FE" w14:textId="77777777" w:rsidR="00FA3BB9" w:rsidRDefault="00FA3BB9" w:rsidP="00504179">
      <w:pPr>
        <w:spacing w:line="360" w:lineRule="auto"/>
        <w:jc w:val="both"/>
        <w:rPr>
          <w:rFonts w:ascii="Times New Roman" w:hAnsi="Times New Roman" w:cs="Times New Roman"/>
          <w:color w:val="000000" w:themeColor="text1"/>
          <w:sz w:val="28"/>
          <w:szCs w:val="28"/>
          <w:lang w:val="en-US"/>
        </w:rPr>
      </w:pPr>
    </w:p>
    <w:p w14:paraId="45BE6EB7" w14:textId="413B0413" w:rsidR="006D177B" w:rsidRPr="00AA28F6" w:rsidRDefault="006D177B" w:rsidP="004A1092">
      <w:pPr>
        <w:pStyle w:val="ListParagraph"/>
        <w:numPr>
          <w:ilvl w:val="0"/>
          <w:numId w:val="1"/>
        </w:numPr>
        <w:spacing w:line="360" w:lineRule="auto"/>
        <w:ind w:left="142" w:hanging="142"/>
        <w:jc w:val="both"/>
        <w:rPr>
          <w:rFonts w:ascii="Arial" w:hAnsi="Arial" w:cs="Arial"/>
          <w:color w:val="000000" w:themeColor="text1"/>
          <w:lang w:val="en-US"/>
        </w:rPr>
      </w:pPr>
      <w:r w:rsidRPr="00AA28F6">
        <w:rPr>
          <w:rFonts w:ascii="Arial" w:hAnsi="Arial" w:cs="Arial"/>
          <w:color w:val="000000" w:themeColor="text1"/>
          <w:lang w:val="en-US"/>
        </w:rPr>
        <w:t>The following order will issue.</w:t>
      </w:r>
    </w:p>
    <w:p w14:paraId="19FC8DC2" w14:textId="2B5849A9" w:rsidR="00030691" w:rsidRPr="00AA28F6" w:rsidRDefault="00030691" w:rsidP="00504179">
      <w:pPr>
        <w:pStyle w:val="ListParagraph"/>
        <w:numPr>
          <w:ilvl w:val="1"/>
          <w:numId w:val="1"/>
        </w:numPr>
        <w:spacing w:line="360" w:lineRule="auto"/>
        <w:jc w:val="both"/>
        <w:rPr>
          <w:rFonts w:ascii="Arial" w:hAnsi="Arial" w:cs="Arial"/>
          <w:color w:val="000000" w:themeColor="text1"/>
          <w:lang w:val="en-US"/>
        </w:rPr>
      </w:pPr>
      <w:r w:rsidRPr="00AA28F6">
        <w:rPr>
          <w:rFonts w:ascii="Arial" w:hAnsi="Arial" w:cs="Arial"/>
          <w:color w:val="000000" w:themeColor="text1"/>
          <w:lang w:val="en-US"/>
        </w:rPr>
        <w:t>The first, second and third respondents (the respondents) are evicted from the structures and / or buildings on Erf 166, Whittlesea, situated in Main Road, Whittlesea (the premises).</w:t>
      </w:r>
    </w:p>
    <w:p w14:paraId="7F8BB1CF" w14:textId="0B8315E3" w:rsidR="00030691" w:rsidRPr="00AA28F6" w:rsidRDefault="00030691" w:rsidP="00504179">
      <w:pPr>
        <w:pStyle w:val="ListParagraph"/>
        <w:numPr>
          <w:ilvl w:val="1"/>
          <w:numId w:val="1"/>
        </w:numPr>
        <w:spacing w:line="360" w:lineRule="auto"/>
        <w:jc w:val="both"/>
        <w:rPr>
          <w:rFonts w:ascii="Arial" w:hAnsi="Arial" w:cs="Arial"/>
          <w:color w:val="000000" w:themeColor="text1"/>
          <w:lang w:val="en-US"/>
        </w:rPr>
      </w:pPr>
      <w:r w:rsidRPr="00AA28F6">
        <w:rPr>
          <w:rFonts w:ascii="Arial" w:hAnsi="Arial" w:cs="Arial"/>
          <w:color w:val="000000" w:themeColor="text1"/>
          <w:lang w:val="en-US"/>
        </w:rPr>
        <w:t xml:space="preserve">The respondents shall vacate the premises within </w:t>
      </w:r>
      <w:r w:rsidR="009565A2" w:rsidRPr="00AA28F6">
        <w:rPr>
          <w:rFonts w:ascii="Arial" w:hAnsi="Arial" w:cs="Arial"/>
          <w:color w:val="000000" w:themeColor="text1"/>
          <w:lang w:val="en-US"/>
        </w:rPr>
        <w:t>30 days of service of the order on them.</w:t>
      </w:r>
    </w:p>
    <w:p w14:paraId="62754AA4" w14:textId="49D977B8" w:rsidR="009565A2" w:rsidRPr="00AA28F6" w:rsidRDefault="009565A2" w:rsidP="00504179">
      <w:pPr>
        <w:pStyle w:val="ListParagraph"/>
        <w:numPr>
          <w:ilvl w:val="1"/>
          <w:numId w:val="1"/>
        </w:numPr>
        <w:spacing w:line="360" w:lineRule="auto"/>
        <w:jc w:val="both"/>
        <w:rPr>
          <w:rFonts w:ascii="Arial" w:hAnsi="Arial" w:cs="Arial"/>
          <w:color w:val="000000" w:themeColor="text1"/>
          <w:lang w:val="en-US"/>
        </w:rPr>
      </w:pPr>
      <w:r w:rsidRPr="00AA28F6">
        <w:rPr>
          <w:rFonts w:ascii="Arial" w:hAnsi="Arial" w:cs="Arial"/>
          <w:color w:val="000000" w:themeColor="text1"/>
          <w:lang w:val="en-US"/>
        </w:rPr>
        <w:t>The Sheriff of this Honourable Court, and where necessary, with the assistance of members of the South African Police Service, shall execute the eviction order in the event that the respondents fail to voluntarily vacate the premises within</w:t>
      </w:r>
      <w:r w:rsidR="004E5F1A" w:rsidRPr="00AA28F6">
        <w:rPr>
          <w:rFonts w:ascii="Arial" w:hAnsi="Arial" w:cs="Arial"/>
          <w:color w:val="000000" w:themeColor="text1"/>
          <w:lang w:val="en-US"/>
        </w:rPr>
        <w:t xml:space="preserve"> 30 days after service of the order on them.</w:t>
      </w:r>
    </w:p>
    <w:p w14:paraId="685DA051" w14:textId="7830A7CD" w:rsidR="004E5F1A" w:rsidRPr="00AA28F6" w:rsidRDefault="004E5F1A" w:rsidP="00504179">
      <w:pPr>
        <w:pStyle w:val="ListParagraph"/>
        <w:numPr>
          <w:ilvl w:val="1"/>
          <w:numId w:val="1"/>
        </w:numPr>
        <w:spacing w:line="360" w:lineRule="auto"/>
        <w:jc w:val="both"/>
        <w:rPr>
          <w:rFonts w:ascii="Arial" w:hAnsi="Arial" w:cs="Arial"/>
          <w:color w:val="000000" w:themeColor="text1"/>
          <w:lang w:val="en-US"/>
        </w:rPr>
      </w:pPr>
      <w:r w:rsidRPr="00AA28F6">
        <w:rPr>
          <w:rFonts w:ascii="Arial" w:hAnsi="Arial" w:cs="Arial"/>
          <w:color w:val="000000" w:themeColor="text1"/>
          <w:lang w:val="en-US"/>
        </w:rPr>
        <w:lastRenderedPageBreak/>
        <w:t>The costs of the application shall be borne by the first and second respondents, jointly and severally, the one paying the other to be absolved.</w:t>
      </w:r>
    </w:p>
    <w:p w14:paraId="0E1D5853" w14:textId="3FA7B8D4" w:rsidR="00D5243A" w:rsidRDefault="00D5243A" w:rsidP="00504179">
      <w:pPr>
        <w:spacing w:line="360" w:lineRule="auto"/>
        <w:jc w:val="both"/>
        <w:rPr>
          <w:rFonts w:ascii="Times New Roman" w:hAnsi="Times New Roman" w:cs="Times New Roman"/>
          <w:color w:val="000000" w:themeColor="text1"/>
          <w:sz w:val="28"/>
          <w:szCs w:val="28"/>
          <w:lang w:val="en-US"/>
        </w:rPr>
      </w:pPr>
    </w:p>
    <w:p w14:paraId="206A671F" w14:textId="474FA7DA" w:rsidR="00AA28F6" w:rsidRDefault="00AA28F6" w:rsidP="00504179">
      <w:pPr>
        <w:spacing w:line="360" w:lineRule="auto"/>
        <w:jc w:val="both"/>
        <w:rPr>
          <w:rFonts w:ascii="Times New Roman" w:hAnsi="Times New Roman" w:cs="Times New Roman"/>
          <w:color w:val="000000" w:themeColor="text1"/>
          <w:sz w:val="28"/>
          <w:szCs w:val="28"/>
          <w:lang w:val="en-US"/>
        </w:rPr>
      </w:pPr>
    </w:p>
    <w:p w14:paraId="55E72026" w14:textId="77777777" w:rsidR="00AA28F6" w:rsidRDefault="00AA28F6" w:rsidP="00504179">
      <w:pPr>
        <w:spacing w:line="360" w:lineRule="auto"/>
        <w:jc w:val="both"/>
        <w:rPr>
          <w:rFonts w:ascii="Times New Roman" w:hAnsi="Times New Roman" w:cs="Times New Roman"/>
          <w:color w:val="000000" w:themeColor="text1"/>
          <w:sz w:val="28"/>
          <w:szCs w:val="28"/>
          <w:lang w:val="en-US"/>
        </w:rPr>
      </w:pPr>
    </w:p>
    <w:p w14:paraId="28B0BEE1" w14:textId="77777777" w:rsidR="00F6521F" w:rsidRPr="0089313F" w:rsidRDefault="00F6521F" w:rsidP="00F6521F">
      <w:pPr>
        <w:spacing w:line="276" w:lineRule="auto"/>
        <w:jc w:val="both"/>
        <w:rPr>
          <w:sz w:val="28"/>
          <w:szCs w:val="28"/>
        </w:rPr>
      </w:pPr>
      <w:r w:rsidRPr="0089313F">
        <w:rPr>
          <w:sz w:val="28"/>
          <w:szCs w:val="28"/>
        </w:rPr>
        <w:t>_______</w:t>
      </w:r>
      <w:r>
        <w:rPr>
          <w:sz w:val="28"/>
          <w:szCs w:val="28"/>
        </w:rPr>
        <w:t>________</w:t>
      </w:r>
      <w:r w:rsidRPr="0089313F">
        <w:rPr>
          <w:sz w:val="28"/>
          <w:szCs w:val="28"/>
        </w:rPr>
        <w:t xml:space="preserve"> </w:t>
      </w:r>
    </w:p>
    <w:p w14:paraId="1F97750A" w14:textId="77777777" w:rsidR="00F6521F" w:rsidRPr="0089313F" w:rsidRDefault="00F6521F" w:rsidP="00F6521F">
      <w:pPr>
        <w:spacing w:line="276" w:lineRule="auto"/>
        <w:jc w:val="both"/>
        <w:rPr>
          <w:b/>
          <w:sz w:val="28"/>
          <w:szCs w:val="28"/>
        </w:rPr>
      </w:pPr>
      <w:r>
        <w:rPr>
          <w:b/>
          <w:sz w:val="28"/>
          <w:szCs w:val="28"/>
        </w:rPr>
        <w:t xml:space="preserve">A. GOVINDJEE                                                                                                                                                       </w:t>
      </w:r>
    </w:p>
    <w:p w14:paraId="1071B60F" w14:textId="77777777" w:rsidR="00F6521F" w:rsidRDefault="00F6521F" w:rsidP="00F6521F">
      <w:pPr>
        <w:spacing w:line="276" w:lineRule="auto"/>
        <w:jc w:val="both"/>
        <w:rPr>
          <w:b/>
          <w:sz w:val="28"/>
          <w:szCs w:val="28"/>
        </w:rPr>
      </w:pPr>
      <w:r w:rsidRPr="0089313F">
        <w:rPr>
          <w:b/>
          <w:sz w:val="28"/>
          <w:szCs w:val="28"/>
        </w:rPr>
        <w:t>JUDGE OF THE HIGH COURT</w:t>
      </w:r>
    </w:p>
    <w:p w14:paraId="0F8FE62A" w14:textId="31DE230D" w:rsidR="00F6521F" w:rsidRDefault="00F6521F" w:rsidP="00504179">
      <w:pPr>
        <w:spacing w:line="360" w:lineRule="auto"/>
        <w:jc w:val="both"/>
        <w:rPr>
          <w:rFonts w:ascii="Times New Roman" w:hAnsi="Times New Roman" w:cs="Times New Roman"/>
          <w:color w:val="000000" w:themeColor="text1"/>
          <w:sz w:val="28"/>
          <w:szCs w:val="28"/>
          <w:lang w:val="en-US"/>
        </w:rPr>
      </w:pPr>
    </w:p>
    <w:p w14:paraId="31F36E6F" w14:textId="2307125E" w:rsidR="00AA28F6" w:rsidRDefault="00AA28F6" w:rsidP="00504179">
      <w:pPr>
        <w:spacing w:line="360" w:lineRule="auto"/>
        <w:jc w:val="both"/>
        <w:rPr>
          <w:rFonts w:ascii="Times New Roman" w:hAnsi="Times New Roman" w:cs="Times New Roman"/>
          <w:color w:val="000000" w:themeColor="text1"/>
          <w:sz w:val="28"/>
          <w:szCs w:val="28"/>
          <w:lang w:val="en-US"/>
        </w:rPr>
      </w:pPr>
    </w:p>
    <w:p w14:paraId="61586BF9" w14:textId="563041BE" w:rsidR="008C3204" w:rsidRDefault="008C3204" w:rsidP="00504179">
      <w:pPr>
        <w:spacing w:line="360" w:lineRule="auto"/>
        <w:jc w:val="both"/>
        <w:rPr>
          <w:rFonts w:ascii="Times New Roman" w:hAnsi="Times New Roman" w:cs="Times New Roman"/>
          <w:color w:val="000000" w:themeColor="text1"/>
          <w:sz w:val="28"/>
          <w:szCs w:val="28"/>
          <w:lang w:val="en-US"/>
        </w:rPr>
      </w:pPr>
    </w:p>
    <w:p w14:paraId="1456EFB7" w14:textId="1E67CACB" w:rsidR="008C3204" w:rsidRDefault="008C3204" w:rsidP="00504179">
      <w:pPr>
        <w:spacing w:line="360" w:lineRule="auto"/>
        <w:jc w:val="both"/>
        <w:rPr>
          <w:rFonts w:ascii="Times New Roman" w:hAnsi="Times New Roman" w:cs="Times New Roman"/>
          <w:color w:val="000000" w:themeColor="text1"/>
          <w:sz w:val="28"/>
          <w:szCs w:val="28"/>
          <w:lang w:val="en-US"/>
        </w:rPr>
      </w:pPr>
    </w:p>
    <w:p w14:paraId="0EDB8486" w14:textId="730416B2" w:rsidR="008C3204" w:rsidRDefault="008C3204" w:rsidP="00504179">
      <w:pPr>
        <w:spacing w:line="360" w:lineRule="auto"/>
        <w:jc w:val="both"/>
        <w:rPr>
          <w:rFonts w:ascii="Times New Roman" w:hAnsi="Times New Roman" w:cs="Times New Roman"/>
          <w:color w:val="000000" w:themeColor="text1"/>
          <w:sz w:val="28"/>
          <w:szCs w:val="28"/>
          <w:lang w:val="en-US"/>
        </w:rPr>
      </w:pPr>
    </w:p>
    <w:p w14:paraId="7EE7A05F" w14:textId="6E34BD32" w:rsidR="008C3204" w:rsidRDefault="008C3204" w:rsidP="00504179">
      <w:pPr>
        <w:spacing w:line="360" w:lineRule="auto"/>
        <w:jc w:val="both"/>
        <w:rPr>
          <w:rFonts w:ascii="Times New Roman" w:hAnsi="Times New Roman" w:cs="Times New Roman"/>
          <w:color w:val="000000" w:themeColor="text1"/>
          <w:sz w:val="28"/>
          <w:szCs w:val="28"/>
          <w:lang w:val="en-US"/>
        </w:rPr>
      </w:pPr>
    </w:p>
    <w:p w14:paraId="784B1C93" w14:textId="3AD74FD3" w:rsidR="008C3204" w:rsidRDefault="008C3204" w:rsidP="00504179">
      <w:pPr>
        <w:spacing w:line="360" w:lineRule="auto"/>
        <w:jc w:val="both"/>
        <w:rPr>
          <w:rFonts w:ascii="Times New Roman" w:hAnsi="Times New Roman" w:cs="Times New Roman"/>
          <w:color w:val="000000" w:themeColor="text1"/>
          <w:sz w:val="28"/>
          <w:szCs w:val="28"/>
          <w:lang w:val="en-US"/>
        </w:rPr>
      </w:pPr>
    </w:p>
    <w:p w14:paraId="711E1B01" w14:textId="6D298B78" w:rsidR="008C3204" w:rsidRDefault="008C3204" w:rsidP="00504179">
      <w:pPr>
        <w:spacing w:line="360" w:lineRule="auto"/>
        <w:jc w:val="both"/>
        <w:rPr>
          <w:rFonts w:ascii="Times New Roman" w:hAnsi="Times New Roman" w:cs="Times New Roman"/>
          <w:color w:val="000000" w:themeColor="text1"/>
          <w:sz w:val="28"/>
          <w:szCs w:val="28"/>
          <w:lang w:val="en-US"/>
        </w:rPr>
      </w:pPr>
    </w:p>
    <w:p w14:paraId="6DD87374" w14:textId="0AA46D85" w:rsidR="008C3204" w:rsidRDefault="008C3204" w:rsidP="00504179">
      <w:pPr>
        <w:spacing w:line="360" w:lineRule="auto"/>
        <w:jc w:val="both"/>
        <w:rPr>
          <w:rFonts w:ascii="Times New Roman" w:hAnsi="Times New Roman" w:cs="Times New Roman"/>
          <w:color w:val="000000" w:themeColor="text1"/>
          <w:sz w:val="28"/>
          <w:szCs w:val="28"/>
          <w:lang w:val="en-US"/>
        </w:rPr>
      </w:pPr>
    </w:p>
    <w:p w14:paraId="610A4AAD" w14:textId="77AD42A5" w:rsidR="008C3204" w:rsidRDefault="008C3204" w:rsidP="00504179">
      <w:pPr>
        <w:spacing w:line="360" w:lineRule="auto"/>
        <w:jc w:val="both"/>
        <w:rPr>
          <w:rFonts w:ascii="Times New Roman" w:hAnsi="Times New Roman" w:cs="Times New Roman"/>
          <w:color w:val="000000" w:themeColor="text1"/>
          <w:sz w:val="28"/>
          <w:szCs w:val="28"/>
          <w:lang w:val="en-US"/>
        </w:rPr>
      </w:pPr>
    </w:p>
    <w:p w14:paraId="4CE2A36F" w14:textId="3AF8BD97" w:rsidR="008C3204" w:rsidRDefault="008C3204" w:rsidP="00504179">
      <w:pPr>
        <w:spacing w:line="360" w:lineRule="auto"/>
        <w:jc w:val="both"/>
        <w:rPr>
          <w:rFonts w:ascii="Times New Roman" w:hAnsi="Times New Roman" w:cs="Times New Roman"/>
          <w:color w:val="000000" w:themeColor="text1"/>
          <w:sz w:val="28"/>
          <w:szCs w:val="28"/>
          <w:lang w:val="en-US"/>
        </w:rPr>
      </w:pPr>
    </w:p>
    <w:p w14:paraId="738E1AC6" w14:textId="484DB100" w:rsidR="008C3204" w:rsidRDefault="008C3204" w:rsidP="00504179">
      <w:pPr>
        <w:spacing w:line="360" w:lineRule="auto"/>
        <w:jc w:val="both"/>
        <w:rPr>
          <w:rFonts w:ascii="Times New Roman" w:hAnsi="Times New Roman" w:cs="Times New Roman"/>
          <w:color w:val="000000" w:themeColor="text1"/>
          <w:sz w:val="28"/>
          <w:szCs w:val="28"/>
          <w:lang w:val="en-US"/>
        </w:rPr>
      </w:pPr>
    </w:p>
    <w:p w14:paraId="678C1AC6" w14:textId="5E788527" w:rsidR="008C3204" w:rsidRDefault="008C3204" w:rsidP="00504179">
      <w:pPr>
        <w:spacing w:line="360" w:lineRule="auto"/>
        <w:jc w:val="both"/>
        <w:rPr>
          <w:rFonts w:ascii="Times New Roman" w:hAnsi="Times New Roman" w:cs="Times New Roman"/>
          <w:color w:val="000000" w:themeColor="text1"/>
          <w:sz w:val="28"/>
          <w:szCs w:val="28"/>
          <w:lang w:val="en-US"/>
        </w:rPr>
      </w:pPr>
    </w:p>
    <w:p w14:paraId="509912E4" w14:textId="2A663E45" w:rsidR="008C3204" w:rsidRDefault="008C3204" w:rsidP="00504179">
      <w:pPr>
        <w:spacing w:line="360" w:lineRule="auto"/>
        <w:jc w:val="both"/>
        <w:rPr>
          <w:rFonts w:ascii="Times New Roman" w:hAnsi="Times New Roman" w:cs="Times New Roman"/>
          <w:color w:val="000000" w:themeColor="text1"/>
          <w:sz w:val="28"/>
          <w:szCs w:val="28"/>
          <w:lang w:val="en-US"/>
        </w:rPr>
      </w:pPr>
    </w:p>
    <w:p w14:paraId="2F6FA5D3" w14:textId="799B83B5" w:rsidR="008C3204" w:rsidRDefault="008C3204" w:rsidP="00504179">
      <w:pPr>
        <w:spacing w:line="360" w:lineRule="auto"/>
        <w:jc w:val="both"/>
        <w:rPr>
          <w:rFonts w:ascii="Times New Roman" w:hAnsi="Times New Roman" w:cs="Times New Roman"/>
          <w:color w:val="000000" w:themeColor="text1"/>
          <w:sz w:val="28"/>
          <w:szCs w:val="28"/>
          <w:lang w:val="en-US"/>
        </w:rPr>
      </w:pPr>
    </w:p>
    <w:p w14:paraId="5E18B635" w14:textId="79B6D95E" w:rsidR="008C3204" w:rsidRDefault="008C3204" w:rsidP="00504179">
      <w:pPr>
        <w:spacing w:line="360" w:lineRule="auto"/>
        <w:jc w:val="both"/>
        <w:rPr>
          <w:rFonts w:ascii="Times New Roman" w:hAnsi="Times New Roman" w:cs="Times New Roman"/>
          <w:color w:val="000000" w:themeColor="text1"/>
          <w:sz w:val="28"/>
          <w:szCs w:val="28"/>
          <w:lang w:val="en-US"/>
        </w:rPr>
      </w:pPr>
    </w:p>
    <w:p w14:paraId="76BDEA99" w14:textId="25A45AFD" w:rsidR="008C3204" w:rsidRDefault="008C3204" w:rsidP="00504179">
      <w:pPr>
        <w:spacing w:line="360" w:lineRule="auto"/>
        <w:jc w:val="both"/>
        <w:rPr>
          <w:rFonts w:ascii="Times New Roman" w:hAnsi="Times New Roman" w:cs="Times New Roman"/>
          <w:color w:val="000000" w:themeColor="text1"/>
          <w:sz w:val="28"/>
          <w:szCs w:val="28"/>
          <w:lang w:val="en-US"/>
        </w:rPr>
      </w:pPr>
    </w:p>
    <w:p w14:paraId="2D436E08" w14:textId="4E80833A" w:rsidR="008C3204" w:rsidRDefault="008C3204" w:rsidP="00504179">
      <w:pPr>
        <w:spacing w:line="360" w:lineRule="auto"/>
        <w:jc w:val="both"/>
        <w:rPr>
          <w:rFonts w:ascii="Times New Roman" w:hAnsi="Times New Roman" w:cs="Times New Roman"/>
          <w:color w:val="000000" w:themeColor="text1"/>
          <w:sz w:val="28"/>
          <w:szCs w:val="28"/>
          <w:lang w:val="en-US"/>
        </w:rPr>
      </w:pPr>
    </w:p>
    <w:p w14:paraId="33371CBE" w14:textId="1B3340D4" w:rsidR="008C3204" w:rsidRDefault="008C3204" w:rsidP="00504179">
      <w:pPr>
        <w:spacing w:line="360" w:lineRule="auto"/>
        <w:jc w:val="both"/>
        <w:rPr>
          <w:rFonts w:ascii="Times New Roman" w:hAnsi="Times New Roman" w:cs="Times New Roman"/>
          <w:color w:val="000000" w:themeColor="text1"/>
          <w:sz w:val="28"/>
          <w:szCs w:val="28"/>
          <w:lang w:val="en-US"/>
        </w:rPr>
      </w:pPr>
    </w:p>
    <w:p w14:paraId="184ABFE9" w14:textId="33D313DB" w:rsidR="008C3204" w:rsidRDefault="008C3204" w:rsidP="00504179">
      <w:pPr>
        <w:spacing w:line="360" w:lineRule="auto"/>
        <w:jc w:val="both"/>
        <w:rPr>
          <w:rFonts w:ascii="Times New Roman" w:hAnsi="Times New Roman" w:cs="Times New Roman"/>
          <w:color w:val="000000" w:themeColor="text1"/>
          <w:sz w:val="28"/>
          <w:szCs w:val="28"/>
          <w:lang w:val="en-US"/>
        </w:rPr>
      </w:pPr>
    </w:p>
    <w:p w14:paraId="43AD861C" w14:textId="747FF699" w:rsidR="008C3204" w:rsidRDefault="008C3204" w:rsidP="00504179">
      <w:pPr>
        <w:spacing w:line="360" w:lineRule="auto"/>
        <w:jc w:val="both"/>
        <w:rPr>
          <w:rFonts w:ascii="Times New Roman" w:hAnsi="Times New Roman" w:cs="Times New Roman"/>
          <w:color w:val="000000" w:themeColor="text1"/>
          <w:sz w:val="28"/>
          <w:szCs w:val="28"/>
          <w:lang w:val="en-US"/>
        </w:rPr>
      </w:pPr>
    </w:p>
    <w:p w14:paraId="7A82D6EE" w14:textId="79F644C3" w:rsidR="00F6521F" w:rsidRDefault="00F6521F" w:rsidP="008C3204">
      <w:pPr>
        <w:tabs>
          <w:tab w:val="left" w:pos="2552"/>
        </w:tabs>
        <w:spacing w:line="360" w:lineRule="auto"/>
        <w:ind w:hanging="142"/>
        <w:jc w:val="both"/>
        <w:rPr>
          <w:rFonts w:ascii="Arial" w:hAnsi="Arial" w:cs="Arial"/>
          <w:lang w:val="en-GB"/>
        </w:rPr>
      </w:pPr>
      <w:r>
        <w:rPr>
          <w:rFonts w:ascii="Arial" w:hAnsi="Arial" w:cs="Arial"/>
          <w:lang w:val="en-GB"/>
        </w:rPr>
        <w:lastRenderedPageBreak/>
        <w:t>Appearances:</w:t>
      </w:r>
    </w:p>
    <w:p w14:paraId="087C533D" w14:textId="77777777" w:rsidR="00F6521F" w:rsidRDefault="00F6521F" w:rsidP="00F6521F">
      <w:pPr>
        <w:spacing w:line="360" w:lineRule="auto"/>
        <w:jc w:val="both"/>
        <w:rPr>
          <w:rFonts w:ascii="Arial" w:hAnsi="Arial" w:cs="Arial"/>
          <w:lang w:val="en-GB"/>
        </w:rPr>
      </w:pPr>
    </w:p>
    <w:p w14:paraId="2491F87E" w14:textId="1380F0BE" w:rsidR="00F6521F" w:rsidRDefault="003D1F56" w:rsidP="002B3BF5">
      <w:pPr>
        <w:tabs>
          <w:tab w:val="left" w:pos="2552"/>
          <w:tab w:val="left" w:pos="3261"/>
          <w:tab w:val="center" w:pos="4003"/>
        </w:tabs>
        <w:spacing w:after="268"/>
        <w:ind w:hanging="142"/>
        <w:jc w:val="both"/>
        <w:rPr>
          <w:rFonts w:ascii="Arial" w:hAnsi="Arial" w:cs="Arial"/>
        </w:rPr>
      </w:pPr>
      <w:r>
        <w:rPr>
          <w:rFonts w:ascii="Arial" w:hAnsi="Arial" w:cs="Arial"/>
        </w:rPr>
        <w:t xml:space="preserve"> Counsel for</w:t>
      </w:r>
      <w:r w:rsidR="000F6FB8">
        <w:rPr>
          <w:rFonts w:ascii="Arial" w:hAnsi="Arial" w:cs="Arial"/>
        </w:rPr>
        <w:t xml:space="preserve"> the Applicant</w:t>
      </w:r>
      <w:r w:rsidR="00F6521F">
        <w:rPr>
          <w:rFonts w:ascii="Arial" w:hAnsi="Arial" w:cs="Arial"/>
        </w:rPr>
        <w:t>:</w:t>
      </w:r>
      <w:r w:rsidR="00F6521F" w:rsidRPr="00442C0F">
        <w:rPr>
          <w:rFonts w:ascii="Arial" w:hAnsi="Arial" w:cs="Arial"/>
        </w:rPr>
        <w:tab/>
      </w:r>
      <w:r w:rsidR="00F6521F">
        <w:rPr>
          <w:rFonts w:ascii="Arial" w:hAnsi="Arial" w:cs="Arial"/>
        </w:rPr>
        <w:t xml:space="preserve">Adv </w:t>
      </w:r>
      <w:r w:rsidR="00F939CE">
        <w:rPr>
          <w:rFonts w:ascii="Arial" w:hAnsi="Arial" w:cs="Arial"/>
        </w:rPr>
        <w:t>GJ Gajjar</w:t>
      </w:r>
    </w:p>
    <w:p w14:paraId="5F6CFA0B" w14:textId="214C123A" w:rsidR="00F939CE" w:rsidRDefault="00F939CE" w:rsidP="003D1F56">
      <w:pPr>
        <w:tabs>
          <w:tab w:val="left" w:pos="3261"/>
          <w:tab w:val="left" w:pos="3544"/>
        </w:tabs>
        <w:spacing w:after="268"/>
        <w:jc w:val="both"/>
        <w:rPr>
          <w:rFonts w:ascii="Arial" w:hAnsi="Arial" w:cs="Arial"/>
        </w:rPr>
      </w:pPr>
      <w:r>
        <w:rPr>
          <w:rFonts w:ascii="Arial" w:hAnsi="Arial" w:cs="Arial"/>
        </w:rPr>
        <w:t xml:space="preserve">Instructed by              </w:t>
      </w:r>
      <w:r w:rsidR="002B3BF5">
        <w:rPr>
          <w:rFonts w:ascii="Arial" w:hAnsi="Arial" w:cs="Arial"/>
        </w:rPr>
        <w:t xml:space="preserve">   :</w:t>
      </w:r>
      <w:r>
        <w:rPr>
          <w:rFonts w:ascii="Arial" w:hAnsi="Arial" w:cs="Arial"/>
        </w:rPr>
        <w:tab/>
        <w:t>Whitesides attorneys</w:t>
      </w:r>
    </w:p>
    <w:p w14:paraId="3CAAB29E" w14:textId="4A6872D8" w:rsidR="00F939CE" w:rsidRDefault="00F939CE" w:rsidP="00F6521F">
      <w:pPr>
        <w:tabs>
          <w:tab w:val="left" w:pos="3261"/>
          <w:tab w:val="left" w:pos="3402"/>
          <w:tab w:val="left" w:pos="3686"/>
          <w:tab w:val="center" w:pos="4003"/>
        </w:tabs>
        <w:spacing w:after="268"/>
        <w:jc w:val="both"/>
        <w:rPr>
          <w:rFonts w:ascii="Arial" w:hAnsi="Arial" w:cs="Arial"/>
        </w:rPr>
      </w:pPr>
      <w:r>
        <w:rPr>
          <w:rFonts w:ascii="Arial" w:hAnsi="Arial" w:cs="Arial"/>
        </w:rPr>
        <w:tab/>
        <w:t>53 African Street</w:t>
      </w:r>
    </w:p>
    <w:p w14:paraId="240AA1DC" w14:textId="66C2D7FC" w:rsidR="00F939CE" w:rsidRDefault="00F939CE" w:rsidP="00F6521F">
      <w:pPr>
        <w:tabs>
          <w:tab w:val="left" w:pos="3261"/>
          <w:tab w:val="left" w:pos="3402"/>
          <w:tab w:val="left" w:pos="3686"/>
          <w:tab w:val="center" w:pos="4003"/>
        </w:tabs>
        <w:spacing w:after="268"/>
        <w:jc w:val="both"/>
        <w:rPr>
          <w:rFonts w:ascii="Arial" w:hAnsi="Arial" w:cs="Arial"/>
        </w:rPr>
      </w:pPr>
      <w:r>
        <w:rPr>
          <w:rFonts w:ascii="Arial" w:hAnsi="Arial" w:cs="Arial"/>
        </w:rPr>
        <w:tab/>
      </w:r>
      <w:r w:rsidR="002B3BF5">
        <w:rPr>
          <w:rFonts w:ascii="Arial" w:hAnsi="Arial" w:cs="Arial"/>
        </w:rPr>
        <w:t>Makhanda</w:t>
      </w:r>
    </w:p>
    <w:p w14:paraId="57650B0B" w14:textId="56612777" w:rsidR="00F939CE" w:rsidRDefault="00F939CE" w:rsidP="00F939CE">
      <w:pPr>
        <w:tabs>
          <w:tab w:val="left" w:pos="3261"/>
          <w:tab w:val="left" w:pos="3402"/>
          <w:tab w:val="left" w:pos="3686"/>
          <w:tab w:val="center" w:pos="4003"/>
        </w:tabs>
        <w:spacing w:after="268"/>
        <w:jc w:val="both"/>
        <w:rPr>
          <w:rFonts w:ascii="Arial" w:hAnsi="Arial" w:cs="Arial"/>
        </w:rPr>
      </w:pPr>
      <w:r>
        <w:rPr>
          <w:rFonts w:ascii="Arial" w:hAnsi="Arial" w:cs="Arial"/>
        </w:rPr>
        <w:tab/>
        <w:t>046 622 711</w:t>
      </w:r>
    </w:p>
    <w:p w14:paraId="74CACC69" w14:textId="63B96B7F" w:rsidR="00F939CE" w:rsidRDefault="00F939CE" w:rsidP="00F939CE">
      <w:pPr>
        <w:tabs>
          <w:tab w:val="left" w:pos="3261"/>
          <w:tab w:val="left" w:pos="3402"/>
          <w:tab w:val="left" w:pos="3686"/>
          <w:tab w:val="center" w:pos="4003"/>
        </w:tabs>
        <w:spacing w:after="268"/>
        <w:jc w:val="both"/>
        <w:rPr>
          <w:rFonts w:ascii="Arial" w:hAnsi="Arial" w:cs="Arial"/>
        </w:rPr>
      </w:pPr>
      <w:r>
        <w:rPr>
          <w:rFonts w:ascii="Arial" w:hAnsi="Arial" w:cs="Arial"/>
        </w:rPr>
        <w:tab/>
        <w:t>Pa1whitesides.co.za</w:t>
      </w:r>
    </w:p>
    <w:p w14:paraId="0753CA85" w14:textId="77777777" w:rsidR="00F6521F" w:rsidRPr="00442C0F" w:rsidRDefault="00F6521F" w:rsidP="00F6521F">
      <w:pPr>
        <w:tabs>
          <w:tab w:val="center" w:pos="4003"/>
        </w:tabs>
        <w:spacing w:after="268"/>
        <w:rPr>
          <w:rFonts w:ascii="Arial" w:hAnsi="Arial" w:cs="Arial"/>
        </w:rPr>
      </w:pPr>
    </w:p>
    <w:p w14:paraId="348CF794" w14:textId="738AB1FD" w:rsidR="00F6521F" w:rsidRDefault="003D1F56" w:rsidP="00F939CE">
      <w:pPr>
        <w:tabs>
          <w:tab w:val="left" w:pos="3261"/>
          <w:tab w:val="center" w:pos="3989"/>
        </w:tabs>
        <w:spacing w:line="360" w:lineRule="auto"/>
        <w:ind w:hanging="142"/>
        <w:rPr>
          <w:rFonts w:ascii="Arial" w:hAnsi="Arial" w:cs="Arial"/>
        </w:rPr>
      </w:pPr>
      <w:r>
        <w:rPr>
          <w:rFonts w:ascii="Arial" w:hAnsi="Arial" w:cs="Arial"/>
        </w:rPr>
        <w:t xml:space="preserve"> </w:t>
      </w:r>
      <w:r w:rsidR="00F939CE">
        <w:rPr>
          <w:rFonts w:ascii="Arial" w:hAnsi="Arial" w:cs="Arial"/>
        </w:rPr>
        <w:t>Counsel for the Respondents</w:t>
      </w:r>
      <w:r w:rsidR="00F6521F">
        <w:rPr>
          <w:rFonts w:ascii="Arial" w:hAnsi="Arial" w:cs="Arial"/>
        </w:rPr>
        <w:t xml:space="preserve">:   Mr </w:t>
      </w:r>
      <w:r w:rsidR="00F939CE">
        <w:rPr>
          <w:rFonts w:ascii="Arial" w:hAnsi="Arial" w:cs="Arial"/>
        </w:rPr>
        <w:t>MW Nobatana</w:t>
      </w:r>
    </w:p>
    <w:p w14:paraId="17693949" w14:textId="15A6A78A" w:rsidR="00D5243A" w:rsidRDefault="008C3204" w:rsidP="002B3BF5">
      <w:pPr>
        <w:tabs>
          <w:tab w:val="left" w:pos="3402"/>
          <w:tab w:val="center" w:pos="3989"/>
        </w:tabs>
        <w:spacing w:line="360" w:lineRule="auto"/>
        <w:rPr>
          <w:rFonts w:ascii="Arial" w:hAnsi="Arial" w:cs="Arial"/>
        </w:rPr>
      </w:pPr>
      <w:r>
        <w:rPr>
          <w:rFonts w:ascii="Arial" w:hAnsi="Arial" w:cs="Arial"/>
        </w:rPr>
        <w:t xml:space="preserve"> </w:t>
      </w:r>
    </w:p>
    <w:p w14:paraId="6912233C" w14:textId="14432BD4" w:rsidR="008C3204" w:rsidRDefault="008C3204" w:rsidP="003D1F56">
      <w:pPr>
        <w:tabs>
          <w:tab w:val="left" w:pos="2410"/>
          <w:tab w:val="left" w:pos="3261"/>
          <w:tab w:val="left" w:pos="3402"/>
          <w:tab w:val="left" w:pos="3686"/>
          <w:tab w:val="center" w:pos="4003"/>
        </w:tabs>
        <w:spacing w:after="268"/>
        <w:jc w:val="both"/>
        <w:rPr>
          <w:rFonts w:ascii="Arial" w:hAnsi="Arial" w:cs="Arial"/>
        </w:rPr>
      </w:pPr>
      <w:r>
        <w:rPr>
          <w:rFonts w:ascii="Arial" w:hAnsi="Arial" w:cs="Arial"/>
        </w:rPr>
        <w:t>Instructed by                       :</w:t>
      </w:r>
      <w:r>
        <w:rPr>
          <w:rFonts w:ascii="Arial" w:hAnsi="Arial" w:cs="Arial"/>
        </w:rPr>
        <w:tab/>
        <w:t>Mti Attorneys</w:t>
      </w:r>
    </w:p>
    <w:p w14:paraId="77DEB0CD" w14:textId="47DA08E2" w:rsidR="008C3204" w:rsidRDefault="008C3204" w:rsidP="008C3204">
      <w:pPr>
        <w:tabs>
          <w:tab w:val="left" w:pos="3261"/>
          <w:tab w:val="left" w:pos="3402"/>
          <w:tab w:val="left" w:pos="3686"/>
          <w:tab w:val="center" w:pos="4003"/>
        </w:tabs>
        <w:spacing w:after="268"/>
        <w:jc w:val="both"/>
        <w:rPr>
          <w:rFonts w:ascii="Arial" w:hAnsi="Arial" w:cs="Arial"/>
        </w:rPr>
      </w:pPr>
      <w:r>
        <w:rPr>
          <w:rFonts w:ascii="Arial" w:hAnsi="Arial" w:cs="Arial"/>
        </w:rPr>
        <w:tab/>
        <w:t>39 New Street</w:t>
      </w:r>
    </w:p>
    <w:p w14:paraId="353199EA" w14:textId="17D0629F" w:rsidR="008C3204" w:rsidRDefault="008C3204" w:rsidP="008C3204">
      <w:pPr>
        <w:tabs>
          <w:tab w:val="left" w:pos="3261"/>
          <w:tab w:val="left" w:pos="3402"/>
          <w:tab w:val="left" w:pos="3686"/>
          <w:tab w:val="center" w:pos="4003"/>
        </w:tabs>
        <w:spacing w:after="268"/>
        <w:jc w:val="both"/>
        <w:rPr>
          <w:rFonts w:ascii="Arial" w:hAnsi="Arial" w:cs="Arial"/>
        </w:rPr>
      </w:pPr>
      <w:r>
        <w:rPr>
          <w:rFonts w:ascii="Arial" w:hAnsi="Arial" w:cs="Arial"/>
        </w:rPr>
        <w:tab/>
        <w:t>Makhanda</w:t>
      </w:r>
    </w:p>
    <w:p w14:paraId="30642163" w14:textId="0AB274D9" w:rsidR="002B0F90" w:rsidRDefault="002B0F90" w:rsidP="008C3204">
      <w:pPr>
        <w:tabs>
          <w:tab w:val="left" w:pos="3261"/>
          <w:tab w:val="left" w:pos="3402"/>
          <w:tab w:val="left" w:pos="3686"/>
          <w:tab w:val="center" w:pos="4003"/>
        </w:tabs>
        <w:spacing w:after="268"/>
        <w:jc w:val="both"/>
        <w:rPr>
          <w:rFonts w:ascii="Arial" w:hAnsi="Arial" w:cs="Arial"/>
        </w:rPr>
      </w:pPr>
      <w:r>
        <w:rPr>
          <w:rFonts w:ascii="Arial" w:hAnsi="Arial" w:cs="Arial"/>
        </w:rPr>
        <w:tab/>
        <w:t>046 622 2047</w:t>
      </w:r>
    </w:p>
    <w:p w14:paraId="0D6BCF04" w14:textId="5C396CE7" w:rsidR="002B0F90" w:rsidRDefault="002B0F90" w:rsidP="008C3204">
      <w:pPr>
        <w:tabs>
          <w:tab w:val="left" w:pos="3261"/>
          <w:tab w:val="left" w:pos="3402"/>
          <w:tab w:val="left" w:pos="3686"/>
          <w:tab w:val="center" w:pos="4003"/>
        </w:tabs>
        <w:spacing w:after="268"/>
        <w:jc w:val="both"/>
        <w:rPr>
          <w:rFonts w:ascii="Arial" w:hAnsi="Arial" w:cs="Arial"/>
        </w:rPr>
      </w:pPr>
      <w:r>
        <w:rPr>
          <w:rFonts w:ascii="Arial" w:hAnsi="Arial" w:cs="Arial"/>
        </w:rPr>
        <w:tab/>
        <w:t>office@mtilaw.co.za</w:t>
      </w:r>
    </w:p>
    <w:p w14:paraId="2142F8FD" w14:textId="78ECECAD" w:rsidR="008C3204" w:rsidRDefault="008C3204" w:rsidP="008C3204">
      <w:pPr>
        <w:tabs>
          <w:tab w:val="left" w:pos="3261"/>
          <w:tab w:val="left" w:pos="3402"/>
          <w:tab w:val="left" w:pos="3686"/>
          <w:tab w:val="center" w:pos="4003"/>
        </w:tabs>
        <w:spacing w:after="268"/>
        <w:jc w:val="both"/>
        <w:rPr>
          <w:rFonts w:ascii="Arial" w:hAnsi="Arial" w:cs="Arial"/>
        </w:rPr>
      </w:pPr>
      <w:r>
        <w:rPr>
          <w:rFonts w:ascii="Arial" w:hAnsi="Arial" w:cs="Arial"/>
        </w:rPr>
        <w:tab/>
      </w:r>
    </w:p>
    <w:p w14:paraId="35760A96" w14:textId="77777777" w:rsidR="008C3204" w:rsidRPr="004C0F29" w:rsidRDefault="008C3204" w:rsidP="002B3BF5">
      <w:pPr>
        <w:tabs>
          <w:tab w:val="left" w:pos="3402"/>
          <w:tab w:val="center" w:pos="3989"/>
        </w:tabs>
        <w:spacing w:line="360" w:lineRule="auto"/>
        <w:rPr>
          <w:rFonts w:ascii="Times New Roman" w:hAnsi="Times New Roman" w:cs="Times New Roman"/>
          <w:color w:val="000000" w:themeColor="text1"/>
          <w:sz w:val="28"/>
          <w:szCs w:val="28"/>
          <w:lang w:val="en-US"/>
        </w:rPr>
      </w:pPr>
    </w:p>
    <w:sectPr w:rsidR="008C3204" w:rsidRPr="004C0F29" w:rsidSect="005D015B">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C22AA" w14:textId="77777777" w:rsidR="00E628BA" w:rsidRDefault="00E628BA" w:rsidP="00AC4D6A">
      <w:r>
        <w:separator/>
      </w:r>
    </w:p>
  </w:endnote>
  <w:endnote w:type="continuationSeparator" w:id="0">
    <w:p w14:paraId="3262B51D" w14:textId="77777777" w:rsidR="00E628BA" w:rsidRDefault="00E628BA" w:rsidP="00AC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C88E7" w14:textId="77777777" w:rsidR="00E628BA" w:rsidRDefault="00E628BA" w:rsidP="00AC4D6A">
      <w:r>
        <w:separator/>
      </w:r>
    </w:p>
  </w:footnote>
  <w:footnote w:type="continuationSeparator" w:id="0">
    <w:p w14:paraId="032F0B64" w14:textId="77777777" w:rsidR="00E628BA" w:rsidRDefault="00E628BA" w:rsidP="00AC4D6A">
      <w:r>
        <w:continuationSeparator/>
      </w:r>
    </w:p>
  </w:footnote>
  <w:footnote w:id="1">
    <w:p w14:paraId="306052EE" w14:textId="53A01DA3" w:rsidR="00AC4D6A" w:rsidRPr="00F6521F" w:rsidRDefault="00AC4D6A">
      <w:pPr>
        <w:pStyle w:val="FootnoteText"/>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lang w:val="en-US"/>
        </w:rPr>
        <w:t>P 81 of the index.</w:t>
      </w:r>
    </w:p>
  </w:footnote>
  <w:footnote w:id="2">
    <w:p w14:paraId="70703A01" w14:textId="5AE023A1" w:rsidR="00D5243A" w:rsidRPr="00F6521F" w:rsidRDefault="00D5243A"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lang w:val="en-US"/>
        </w:rPr>
        <w:t>Act 20 of 1957.</w:t>
      </w:r>
    </w:p>
  </w:footnote>
  <w:footnote w:id="3">
    <w:p w14:paraId="59271466" w14:textId="1CAA99FA" w:rsidR="00EE59D3" w:rsidRPr="00F6521F" w:rsidRDefault="00EE59D3"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lang w:val="en-US"/>
        </w:rPr>
        <w:t xml:space="preserve">The issue of the applicant’s locus standi to litigate in its own name, in the context of eviction, was left open in </w:t>
      </w:r>
      <w:r w:rsidRPr="00F6521F">
        <w:rPr>
          <w:rFonts w:ascii="Arial" w:hAnsi="Arial" w:cs="Arial"/>
          <w:i/>
          <w:iCs/>
          <w:lang w:val="en-US"/>
        </w:rPr>
        <w:t>Department of Public Works v M S Moos Construction CC</w:t>
      </w:r>
      <w:r w:rsidRPr="00F6521F">
        <w:rPr>
          <w:rFonts w:ascii="Arial" w:hAnsi="Arial" w:cs="Arial"/>
          <w:lang w:val="en-US"/>
        </w:rPr>
        <w:t xml:space="preserve"> [2006] SCA 63 (RSA) at para 11.</w:t>
      </w:r>
    </w:p>
  </w:footnote>
  <w:footnote w:id="4">
    <w:p w14:paraId="46B8C4E1" w14:textId="68A22BD8" w:rsidR="00E26EDE" w:rsidRPr="00F6521F" w:rsidRDefault="00E26EDE"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lang w:val="en-US"/>
        </w:rPr>
        <w:t>Act 19 of 1998.</w:t>
      </w:r>
    </w:p>
  </w:footnote>
  <w:footnote w:id="5">
    <w:p w14:paraId="1D9F8A2A" w14:textId="227E5EDB" w:rsidR="00097614" w:rsidRPr="00F6521F" w:rsidRDefault="00097614"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lang w:val="en-US"/>
        </w:rPr>
        <w:t xml:space="preserve">P 95 of the index. </w:t>
      </w:r>
    </w:p>
  </w:footnote>
  <w:footnote w:id="6">
    <w:p w14:paraId="437329FB" w14:textId="2261C48B" w:rsidR="005471B3" w:rsidRPr="00F6521F" w:rsidRDefault="005471B3"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lang w:val="en-US"/>
        </w:rPr>
        <w:t>P 41 of the index.</w:t>
      </w:r>
    </w:p>
  </w:footnote>
  <w:footnote w:id="7">
    <w:p w14:paraId="7747BC65" w14:textId="20FFDE94" w:rsidR="00097614" w:rsidRPr="00F6521F" w:rsidRDefault="00097614"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lang w:val="en-US"/>
        </w:rPr>
        <w:t>P 96 of the index.</w:t>
      </w:r>
    </w:p>
  </w:footnote>
  <w:footnote w:id="8">
    <w:p w14:paraId="0C849C9F" w14:textId="17BE9477" w:rsidR="00A444E8" w:rsidRPr="00F6521F" w:rsidRDefault="00A444E8"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lang w:val="en-US"/>
        </w:rPr>
        <w:t>P 110 of the index.</w:t>
      </w:r>
    </w:p>
  </w:footnote>
  <w:footnote w:id="9">
    <w:p w14:paraId="58B6C6B4" w14:textId="6C9265E1" w:rsidR="00A444E8" w:rsidRPr="00F6521F" w:rsidRDefault="00A444E8"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lang w:val="en-US"/>
        </w:rPr>
        <w:t>P 111</w:t>
      </w:r>
      <w:r w:rsidR="00BC02AA" w:rsidRPr="00F6521F">
        <w:rPr>
          <w:rFonts w:ascii="Arial" w:hAnsi="Arial" w:cs="Arial"/>
          <w:lang w:val="en-US"/>
        </w:rPr>
        <w:t>, 112</w:t>
      </w:r>
      <w:r w:rsidR="00394B6A" w:rsidRPr="00F6521F">
        <w:rPr>
          <w:rFonts w:ascii="Arial" w:hAnsi="Arial" w:cs="Arial"/>
          <w:lang w:val="en-US"/>
        </w:rPr>
        <w:t>, 113</w:t>
      </w:r>
      <w:r w:rsidRPr="00F6521F">
        <w:rPr>
          <w:rFonts w:ascii="Arial" w:hAnsi="Arial" w:cs="Arial"/>
          <w:lang w:val="en-US"/>
        </w:rPr>
        <w:t xml:space="preserve"> of the index.</w:t>
      </w:r>
    </w:p>
  </w:footnote>
  <w:footnote w:id="10">
    <w:p w14:paraId="42C29E71" w14:textId="77777777" w:rsidR="00202E84" w:rsidRPr="00F6521F" w:rsidRDefault="00202E84"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lang w:val="en-US"/>
        </w:rPr>
        <w:t>Ss 38(1)(c) and (d) of the PFMA.</w:t>
      </w:r>
    </w:p>
  </w:footnote>
  <w:footnote w:id="11">
    <w:p w14:paraId="1272A7A8" w14:textId="514957BB" w:rsidR="00F17FC5" w:rsidRPr="00F6521F" w:rsidRDefault="00F17FC5"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lang w:val="en-US"/>
        </w:rPr>
        <w:t xml:space="preserve">2006 SCA 165 (RSA). </w:t>
      </w:r>
    </w:p>
  </w:footnote>
  <w:footnote w:id="12">
    <w:p w14:paraId="645EF928" w14:textId="6A11FFD8" w:rsidR="00F17FC5" w:rsidRPr="00F6521F" w:rsidRDefault="00F17FC5"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lang w:val="en-US"/>
        </w:rPr>
        <w:t>Para 8.</w:t>
      </w:r>
      <w:r w:rsidR="0076071A" w:rsidRPr="00F6521F">
        <w:rPr>
          <w:rFonts w:ascii="Arial" w:hAnsi="Arial" w:cs="Arial"/>
          <w:lang w:val="en-US"/>
        </w:rPr>
        <w:t xml:space="preserve"> </w:t>
      </w:r>
    </w:p>
  </w:footnote>
  <w:footnote w:id="13">
    <w:p w14:paraId="61D22A2B" w14:textId="73C28A7F" w:rsidR="001C7A13" w:rsidRPr="00F6521F" w:rsidRDefault="001C7A13"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007928DE" w:rsidRPr="00F6521F">
        <w:rPr>
          <w:rFonts w:ascii="Arial" w:hAnsi="Arial" w:cs="Arial"/>
          <w:i/>
          <w:iCs/>
        </w:rPr>
        <w:t>Ibid</w:t>
      </w:r>
      <w:r w:rsidR="007928DE" w:rsidRPr="00F6521F">
        <w:rPr>
          <w:rFonts w:ascii="Arial" w:hAnsi="Arial" w:cs="Arial"/>
        </w:rPr>
        <w:t>, with reference to</w:t>
      </w:r>
      <w:r w:rsidR="007928DE" w:rsidRPr="00F6521F">
        <w:rPr>
          <w:rFonts w:ascii="Arial" w:hAnsi="Arial" w:cs="Arial"/>
          <w:i/>
          <w:iCs/>
        </w:rPr>
        <w:t xml:space="preserve"> </w:t>
      </w:r>
      <w:r w:rsidRPr="00F6521F">
        <w:rPr>
          <w:rFonts w:ascii="Arial" w:hAnsi="Arial" w:cs="Arial"/>
          <w:i/>
          <w:iCs/>
          <w:lang w:val="en-US"/>
        </w:rPr>
        <w:t>Distcor Export</w:t>
      </w:r>
      <w:r w:rsidRPr="00F6521F">
        <w:rPr>
          <w:rFonts w:ascii="Arial" w:hAnsi="Arial" w:cs="Arial"/>
          <w:lang w:val="en-US"/>
        </w:rPr>
        <w:t xml:space="preserve"> paras 6,10.</w:t>
      </w:r>
    </w:p>
  </w:footnote>
  <w:footnote w:id="14">
    <w:p w14:paraId="71B6C392" w14:textId="479ED1BA" w:rsidR="00EB560E" w:rsidRPr="00F6521F" w:rsidRDefault="00EB560E"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lang w:val="en-US"/>
        </w:rPr>
        <w:t>Act 20 of 1957.</w:t>
      </w:r>
    </w:p>
  </w:footnote>
  <w:footnote w:id="15">
    <w:p w14:paraId="494B2435" w14:textId="47B91738" w:rsidR="00651AAA" w:rsidRPr="00F6521F" w:rsidRDefault="00651AAA"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lang w:val="en-US"/>
        </w:rPr>
        <w:t>[2005] ZASCA 13</w:t>
      </w:r>
      <w:r w:rsidR="00F33218" w:rsidRPr="00F6521F">
        <w:rPr>
          <w:rFonts w:ascii="Arial" w:hAnsi="Arial" w:cs="Arial"/>
          <w:lang w:val="en-US"/>
        </w:rPr>
        <w:t xml:space="preserve"> at para</w:t>
      </w:r>
      <w:r w:rsidR="00B04496" w:rsidRPr="00F6521F">
        <w:rPr>
          <w:rFonts w:ascii="Arial" w:hAnsi="Arial" w:cs="Arial"/>
          <w:lang w:val="en-US"/>
        </w:rPr>
        <w:t>s</w:t>
      </w:r>
      <w:r w:rsidR="00F33218" w:rsidRPr="00F6521F">
        <w:rPr>
          <w:rFonts w:ascii="Arial" w:hAnsi="Arial" w:cs="Arial"/>
          <w:lang w:val="en-US"/>
        </w:rPr>
        <w:t xml:space="preserve"> 5</w:t>
      </w:r>
      <w:r w:rsidR="00B04496" w:rsidRPr="00F6521F">
        <w:rPr>
          <w:rFonts w:ascii="Arial" w:hAnsi="Arial" w:cs="Arial"/>
          <w:lang w:val="en-US"/>
        </w:rPr>
        <w:t>, 6</w:t>
      </w:r>
      <w:r w:rsidR="00F33218" w:rsidRPr="00F6521F">
        <w:rPr>
          <w:rFonts w:ascii="Arial" w:hAnsi="Arial" w:cs="Arial"/>
          <w:lang w:val="en-US"/>
        </w:rPr>
        <w:t>.</w:t>
      </w:r>
    </w:p>
  </w:footnote>
  <w:footnote w:id="16">
    <w:p w14:paraId="6DD45B44" w14:textId="793ABE64" w:rsidR="0076071A" w:rsidRPr="00F6521F" w:rsidRDefault="0076071A"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lang w:val="en-US"/>
        </w:rPr>
        <w:t>Unreported case no 3778 / 2017 (High Court of South Africa, Free State Division, Bloemfontein)</w:t>
      </w:r>
      <w:r w:rsidR="001B5C5A" w:rsidRPr="00F6521F">
        <w:rPr>
          <w:rFonts w:ascii="Arial" w:hAnsi="Arial" w:cs="Arial"/>
          <w:lang w:val="en-US"/>
        </w:rPr>
        <w:t xml:space="preserve"> para 9.</w:t>
      </w:r>
    </w:p>
  </w:footnote>
  <w:footnote w:id="17">
    <w:p w14:paraId="2C9A8CFE" w14:textId="20D93806" w:rsidR="003F7B20" w:rsidRPr="00F6521F" w:rsidRDefault="003F7B20"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lang w:val="en-US"/>
        </w:rPr>
        <w:t xml:space="preserve">The distinction between the Provincial Department of Public Works and Infrastructure instituting action in its own name, as opposed to the MEC instituting action as a nominal </w:t>
      </w:r>
      <w:r w:rsidR="002B18F0" w:rsidRPr="00F6521F">
        <w:rPr>
          <w:rFonts w:ascii="Arial" w:hAnsi="Arial" w:cs="Arial"/>
          <w:lang w:val="en-US"/>
        </w:rPr>
        <w:t>applic</w:t>
      </w:r>
      <w:r w:rsidR="00867C97" w:rsidRPr="00F6521F">
        <w:rPr>
          <w:rFonts w:ascii="Arial" w:hAnsi="Arial" w:cs="Arial"/>
          <w:lang w:val="en-US"/>
        </w:rPr>
        <w:t>ant</w:t>
      </w:r>
      <w:r w:rsidRPr="00F6521F">
        <w:rPr>
          <w:rFonts w:ascii="Arial" w:hAnsi="Arial" w:cs="Arial"/>
          <w:lang w:val="en-US"/>
        </w:rPr>
        <w:t>, as appears to have been the case, seems, with respect, to have been overlooked.</w:t>
      </w:r>
    </w:p>
  </w:footnote>
  <w:footnote w:id="18">
    <w:p w14:paraId="1A020A34" w14:textId="04E54CB8" w:rsidR="00797ACD" w:rsidRPr="00F6521F" w:rsidRDefault="00797ACD" w:rsidP="00F6521F">
      <w:pPr>
        <w:pStyle w:val="FootnoteText"/>
        <w:jc w:val="both"/>
        <w:rPr>
          <w:rFonts w:ascii="Arial" w:hAnsi="Arial" w:cs="Arial"/>
          <w:lang w:val="en-US"/>
        </w:rPr>
      </w:pPr>
      <w:r w:rsidRPr="00F6521F">
        <w:rPr>
          <w:rStyle w:val="FootnoteReference"/>
          <w:rFonts w:ascii="Arial" w:hAnsi="Arial" w:cs="Arial"/>
          <w:i/>
          <w:iCs/>
        </w:rPr>
        <w:footnoteRef/>
      </w:r>
      <w:r w:rsidRPr="00F6521F">
        <w:rPr>
          <w:rFonts w:ascii="Arial" w:hAnsi="Arial" w:cs="Arial"/>
          <w:i/>
          <w:iCs/>
        </w:rPr>
        <w:t xml:space="preserve"> </w:t>
      </w:r>
      <w:r w:rsidRPr="00F6521F">
        <w:rPr>
          <w:rFonts w:ascii="Arial" w:hAnsi="Arial" w:cs="Arial"/>
          <w:i/>
          <w:iCs/>
          <w:lang w:val="en-US"/>
        </w:rPr>
        <w:t>Farocean Marine (Pty) Ltd v Minister of Trade and Industry</w:t>
      </w:r>
      <w:r w:rsidRPr="00F6521F">
        <w:rPr>
          <w:rFonts w:ascii="Arial" w:hAnsi="Arial" w:cs="Arial"/>
          <w:lang w:val="en-US"/>
        </w:rPr>
        <w:t xml:space="preserve"> [2006] ZASCA 137 at para 8.</w:t>
      </w:r>
    </w:p>
  </w:footnote>
  <w:footnote w:id="19">
    <w:p w14:paraId="0C11DD86" w14:textId="52F55547" w:rsidR="005717F2" w:rsidRPr="00F6521F" w:rsidRDefault="005717F2"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i/>
          <w:iCs/>
          <w:lang w:val="en-US"/>
        </w:rPr>
        <w:t>Ibid</w:t>
      </w:r>
      <w:r w:rsidRPr="00F6521F">
        <w:rPr>
          <w:rFonts w:ascii="Arial" w:hAnsi="Arial" w:cs="Arial"/>
          <w:lang w:val="en-US"/>
        </w:rPr>
        <w:t>.</w:t>
      </w:r>
    </w:p>
  </w:footnote>
  <w:footnote w:id="20">
    <w:p w14:paraId="36F517D2" w14:textId="64DA782D" w:rsidR="00106219" w:rsidRPr="00F6521F" w:rsidRDefault="00106219" w:rsidP="00F6521F">
      <w:pPr>
        <w:pStyle w:val="FootnoteText"/>
        <w:jc w:val="both"/>
        <w:rPr>
          <w:rFonts w:ascii="Arial" w:hAnsi="Arial" w:cs="Arial"/>
          <w:lang w:val="en-US"/>
        </w:rPr>
      </w:pPr>
      <w:r w:rsidRPr="00F6521F">
        <w:rPr>
          <w:rStyle w:val="FootnoteReference"/>
          <w:rFonts w:ascii="Arial" w:hAnsi="Arial" w:cs="Arial"/>
        </w:rPr>
        <w:footnoteRef/>
      </w:r>
      <w:r w:rsidRPr="00F6521F">
        <w:rPr>
          <w:rFonts w:ascii="Arial" w:hAnsi="Arial" w:cs="Arial"/>
        </w:rPr>
        <w:t xml:space="preserve"> </w:t>
      </w:r>
      <w:r w:rsidRPr="00F6521F">
        <w:rPr>
          <w:rFonts w:ascii="Arial" w:hAnsi="Arial" w:cs="Arial"/>
          <w:i/>
          <w:iCs/>
          <w:lang w:val="en-US"/>
        </w:rPr>
        <w:t>Distcor</w:t>
      </w:r>
      <w:r w:rsidRPr="00F6521F">
        <w:rPr>
          <w:rFonts w:ascii="Arial" w:hAnsi="Arial" w:cs="Arial"/>
          <w:lang w:val="en-US"/>
        </w:rPr>
        <w:t xml:space="preserve"> </w:t>
      </w:r>
      <w:r w:rsidRPr="00F6521F">
        <w:rPr>
          <w:rFonts w:ascii="Arial" w:hAnsi="Arial" w:cs="Arial"/>
          <w:i/>
          <w:iCs/>
          <w:lang w:val="en-US"/>
        </w:rPr>
        <w:t>supra</w:t>
      </w:r>
      <w:r w:rsidRPr="00F6521F">
        <w:rPr>
          <w:rFonts w:ascii="Arial" w:hAnsi="Arial" w:cs="Arial"/>
          <w:lang w:val="en-US"/>
        </w:rPr>
        <w:t xml:space="preserve"> para 7</w:t>
      </w:r>
      <w:r w:rsidR="005D015B" w:rsidRPr="00F6521F">
        <w:rPr>
          <w:rFonts w:ascii="Arial" w:hAnsi="Arial" w:cs="Arial"/>
          <w:lang w:val="en-US"/>
        </w:rPr>
        <w:t xml:space="preserve">; </w:t>
      </w:r>
      <w:r w:rsidR="005D015B" w:rsidRPr="00F6521F">
        <w:rPr>
          <w:rFonts w:ascii="Arial" w:hAnsi="Arial" w:cs="Arial"/>
          <w:i/>
          <w:iCs/>
          <w:lang w:val="en-US"/>
        </w:rPr>
        <w:t>Farocean Marine supra</w:t>
      </w:r>
      <w:r w:rsidR="005D015B" w:rsidRPr="00F6521F">
        <w:rPr>
          <w:rFonts w:ascii="Arial" w:hAnsi="Arial" w:cs="Arial"/>
          <w:lang w:val="en-US"/>
        </w:rPr>
        <w:t xml:space="preserve"> para 8.</w:t>
      </w:r>
    </w:p>
  </w:footnote>
  <w:footnote w:id="21">
    <w:p w14:paraId="2A44435B" w14:textId="13C42604" w:rsidR="009E66E5" w:rsidRPr="007D7C49" w:rsidRDefault="009E66E5" w:rsidP="007D7C49">
      <w:pPr>
        <w:pStyle w:val="FootnoteText"/>
        <w:jc w:val="both"/>
        <w:rPr>
          <w:rFonts w:ascii="Arial" w:hAnsi="Arial" w:cs="Arial"/>
          <w:lang w:val="en-US"/>
        </w:rPr>
      </w:pPr>
      <w:r w:rsidRPr="007D7C49">
        <w:rPr>
          <w:rStyle w:val="FootnoteReference"/>
          <w:rFonts w:ascii="Arial" w:hAnsi="Arial" w:cs="Arial"/>
        </w:rPr>
        <w:footnoteRef/>
      </w:r>
      <w:r w:rsidRPr="007D7C49">
        <w:rPr>
          <w:rFonts w:ascii="Arial" w:hAnsi="Arial" w:cs="Arial"/>
        </w:rPr>
        <w:t xml:space="preserve"> </w:t>
      </w:r>
      <w:r w:rsidRPr="007D7C49">
        <w:rPr>
          <w:rFonts w:ascii="Arial" w:hAnsi="Arial" w:cs="Arial"/>
          <w:lang w:val="en-US"/>
        </w:rPr>
        <w:t xml:space="preserve">Respondent’s counsel’s heads of argument, by contrast, suggests that there is no law or document to support the allegation that land that is registered in the name of the Province of the Eastern Cape vests with the applicant. </w:t>
      </w:r>
    </w:p>
  </w:footnote>
  <w:footnote w:id="22">
    <w:p w14:paraId="50FCE0EC" w14:textId="112AFA56" w:rsidR="00515C7A" w:rsidRPr="007D7C49" w:rsidRDefault="00515C7A" w:rsidP="007D7C49">
      <w:pPr>
        <w:pStyle w:val="FootnoteText"/>
        <w:jc w:val="both"/>
        <w:rPr>
          <w:rFonts w:ascii="Arial" w:hAnsi="Arial" w:cs="Arial"/>
          <w:lang w:val="en-US"/>
        </w:rPr>
      </w:pPr>
      <w:r w:rsidRPr="007D7C49">
        <w:rPr>
          <w:rStyle w:val="FootnoteReference"/>
          <w:rFonts w:ascii="Arial" w:hAnsi="Arial" w:cs="Arial"/>
        </w:rPr>
        <w:footnoteRef/>
      </w:r>
      <w:r w:rsidRPr="007D7C49">
        <w:rPr>
          <w:rFonts w:ascii="Arial" w:hAnsi="Arial" w:cs="Arial"/>
        </w:rPr>
        <w:t xml:space="preserve"> </w:t>
      </w:r>
      <w:r w:rsidRPr="007D7C49">
        <w:rPr>
          <w:rFonts w:ascii="Arial" w:hAnsi="Arial" w:cs="Arial"/>
          <w:lang w:val="en-US"/>
        </w:rPr>
        <w:t xml:space="preserve">It might be added that such an approach would render the notion of locus standi unnecessarily formalistic and technical: see </w:t>
      </w:r>
      <w:r w:rsidRPr="007D7C49">
        <w:rPr>
          <w:rFonts w:ascii="Arial" w:hAnsi="Arial" w:cs="Arial"/>
          <w:i/>
          <w:iCs/>
          <w:lang w:val="en-US"/>
        </w:rPr>
        <w:t>Jacobs v Waks</w:t>
      </w:r>
      <w:r w:rsidRPr="007D7C49">
        <w:rPr>
          <w:rFonts w:ascii="Arial" w:hAnsi="Arial" w:cs="Arial"/>
          <w:lang w:val="en-US"/>
        </w:rPr>
        <w:t xml:space="preserve"> 1992 (1) SA 521</w:t>
      </w:r>
      <w:r w:rsidR="00442D3D" w:rsidRPr="007D7C49">
        <w:rPr>
          <w:rFonts w:ascii="Arial" w:hAnsi="Arial" w:cs="Arial"/>
          <w:lang w:val="en-US"/>
        </w:rPr>
        <w:t xml:space="preserve"> (A).</w:t>
      </w:r>
    </w:p>
  </w:footnote>
  <w:footnote w:id="23">
    <w:p w14:paraId="1AF152C5" w14:textId="3A697DAF" w:rsidR="004175CD" w:rsidRPr="007D7C49" w:rsidRDefault="004175CD" w:rsidP="007D7C49">
      <w:pPr>
        <w:pStyle w:val="FootnoteText"/>
        <w:jc w:val="both"/>
        <w:rPr>
          <w:rFonts w:ascii="Arial" w:hAnsi="Arial" w:cs="Arial"/>
          <w:lang w:val="en-US"/>
        </w:rPr>
      </w:pPr>
      <w:r w:rsidRPr="007D7C49">
        <w:rPr>
          <w:rStyle w:val="FootnoteReference"/>
          <w:rFonts w:ascii="Arial" w:hAnsi="Arial" w:cs="Arial"/>
        </w:rPr>
        <w:footnoteRef/>
      </w:r>
      <w:r w:rsidRPr="007D7C49">
        <w:rPr>
          <w:rFonts w:ascii="Arial" w:hAnsi="Arial" w:cs="Arial"/>
        </w:rPr>
        <w:t xml:space="preserve"> </w:t>
      </w:r>
      <w:r w:rsidRPr="007D7C49">
        <w:rPr>
          <w:rFonts w:ascii="Arial" w:hAnsi="Arial" w:cs="Arial"/>
          <w:lang w:val="en-US"/>
        </w:rPr>
        <w:t>Paras 14 and 15 of the founding affidavit and the responses thereto.</w:t>
      </w:r>
    </w:p>
  </w:footnote>
  <w:footnote w:id="24">
    <w:p w14:paraId="1F1EC2F9" w14:textId="170241D7" w:rsidR="007423A8" w:rsidRPr="007D7C49" w:rsidRDefault="007423A8" w:rsidP="007D7C49">
      <w:pPr>
        <w:pStyle w:val="FootnoteText"/>
        <w:jc w:val="both"/>
        <w:rPr>
          <w:rFonts w:ascii="Arial" w:hAnsi="Arial" w:cs="Arial"/>
          <w:lang w:val="en-US"/>
        </w:rPr>
      </w:pPr>
      <w:r w:rsidRPr="007D7C49">
        <w:rPr>
          <w:rStyle w:val="FootnoteReference"/>
          <w:rFonts w:ascii="Arial" w:hAnsi="Arial" w:cs="Arial"/>
        </w:rPr>
        <w:footnoteRef/>
      </w:r>
      <w:r w:rsidRPr="007D7C49">
        <w:rPr>
          <w:rFonts w:ascii="Arial" w:hAnsi="Arial" w:cs="Arial"/>
        </w:rPr>
        <w:t xml:space="preserve"> </w:t>
      </w:r>
      <w:r w:rsidRPr="007D7C49">
        <w:rPr>
          <w:rFonts w:ascii="Arial" w:hAnsi="Arial" w:cs="Arial"/>
          <w:lang w:val="en-US"/>
        </w:rPr>
        <w:t>Act 19 of 1998.</w:t>
      </w:r>
    </w:p>
  </w:footnote>
  <w:footnote w:id="25">
    <w:p w14:paraId="13476913" w14:textId="3CFD0351" w:rsidR="00692A63" w:rsidRPr="00692A63" w:rsidRDefault="00692A63">
      <w:pPr>
        <w:pStyle w:val="FootnoteText"/>
        <w:rPr>
          <w:lang w:val="en-US"/>
        </w:rPr>
      </w:pPr>
      <w:r>
        <w:rPr>
          <w:rStyle w:val="FootnoteReference"/>
        </w:rPr>
        <w:footnoteRef/>
      </w:r>
      <w:r>
        <w:t xml:space="preserve"> </w:t>
      </w:r>
      <w:r>
        <w:rPr>
          <w:lang w:val="en-US"/>
        </w:rPr>
        <w:t>2003 (1) SA 113 (SCA).</w:t>
      </w:r>
    </w:p>
  </w:footnote>
  <w:footnote w:id="26">
    <w:p w14:paraId="2E1284A6" w14:textId="5567227F" w:rsidR="00E01E82" w:rsidRPr="00E01E82" w:rsidRDefault="00E01E82">
      <w:pPr>
        <w:pStyle w:val="FootnoteText"/>
        <w:rPr>
          <w:lang w:val="en-US"/>
        </w:rPr>
      </w:pPr>
      <w:r>
        <w:rPr>
          <w:rStyle w:val="FootnoteReference"/>
        </w:rPr>
        <w:footnoteRef/>
      </w:r>
      <w:r>
        <w:t xml:space="preserve"> G </w:t>
      </w:r>
      <w:r>
        <w:rPr>
          <w:lang w:val="en-US"/>
        </w:rPr>
        <w:t xml:space="preserve">Muller </w:t>
      </w:r>
      <w:r>
        <w:rPr>
          <w:i/>
          <w:iCs/>
          <w:lang w:val="en-US"/>
        </w:rPr>
        <w:t>et al Silberberg and Schoeman’s The Law of Property</w:t>
      </w:r>
      <w:r>
        <w:rPr>
          <w:lang w:val="en-US"/>
        </w:rPr>
        <w:t xml:space="preserve"> (6</w:t>
      </w:r>
      <w:r w:rsidRPr="00E01E82">
        <w:rPr>
          <w:vertAlign w:val="superscript"/>
          <w:lang w:val="en-US"/>
        </w:rPr>
        <w:t>th</w:t>
      </w:r>
      <w:r>
        <w:rPr>
          <w:lang w:val="en-US"/>
        </w:rPr>
        <w:t xml:space="preserve"> Ed) (2019) (LexisNexis) 500.</w:t>
      </w:r>
    </w:p>
  </w:footnote>
  <w:footnote w:id="27">
    <w:p w14:paraId="3CED30FC" w14:textId="1C9E279C" w:rsidR="00006A70" w:rsidRPr="00006A70" w:rsidRDefault="00006A70">
      <w:pPr>
        <w:pStyle w:val="FootnoteText"/>
        <w:rPr>
          <w:lang w:val="en-US"/>
        </w:rPr>
      </w:pPr>
      <w:r>
        <w:rPr>
          <w:rStyle w:val="FootnoteReference"/>
        </w:rPr>
        <w:footnoteRef/>
      </w:r>
      <w:r>
        <w:t xml:space="preserve"> </w:t>
      </w:r>
      <w:r>
        <w:rPr>
          <w:lang w:val="en-US"/>
        </w:rPr>
        <w:t>Pp 85, 122-123 of the answering affidavits.</w:t>
      </w:r>
      <w:r w:rsidR="000B151D">
        <w:rPr>
          <w:lang w:val="en-US"/>
        </w:rPr>
        <w:t xml:space="preserve"> </w:t>
      </w:r>
    </w:p>
  </w:footnote>
  <w:footnote w:id="28">
    <w:p w14:paraId="33E48EDE" w14:textId="6BEFAF9F" w:rsidR="008439BC" w:rsidRPr="007D7C49" w:rsidRDefault="008439BC">
      <w:pPr>
        <w:pStyle w:val="FootnoteText"/>
        <w:rPr>
          <w:rFonts w:ascii="Arial" w:hAnsi="Arial" w:cs="Arial"/>
          <w:lang w:val="en-US"/>
        </w:rPr>
      </w:pPr>
      <w:r>
        <w:rPr>
          <w:rStyle w:val="FootnoteReference"/>
        </w:rPr>
        <w:footnoteRef/>
      </w:r>
      <w:r>
        <w:t xml:space="preserve"> </w:t>
      </w:r>
      <w:r w:rsidRPr="007D7C49">
        <w:rPr>
          <w:rFonts w:ascii="Arial" w:hAnsi="Arial" w:cs="Arial"/>
          <w:lang w:val="en-US"/>
        </w:rPr>
        <w:t xml:space="preserve">There is a key distinction between an enrichment lien, as described, and a ‘contractual lien’, when a claim to right of retention originates in contract. </w:t>
      </w:r>
    </w:p>
  </w:footnote>
  <w:footnote w:id="29">
    <w:p w14:paraId="1F9C96AD" w14:textId="577A06C4" w:rsidR="00EC2827" w:rsidRPr="007D7C49" w:rsidRDefault="00EC2827" w:rsidP="009E3800">
      <w:pPr>
        <w:pStyle w:val="FootnoteText"/>
        <w:jc w:val="both"/>
        <w:rPr>
          <w:rFonts w:ascii="Arial" w:hAnsi="Arial" w:cs="Arial"/>
          <w:lang w:val="en-US"/>
        </w:rPr>
      </w:pPr>
      <w:r w:rsidRPr="007D7C49">
        <w:rPr>
          <w:rStyle w:val="FootnoteReference"/>
          <w:rFonts w:ascii="Arial" w:hAnsi="Arial" w:cs="Arial"/>
        </w:rPr>
        <w:footnoteRef/>
      </w:r>
      <w:r w:rsidRPr="007D7C49">
        <w:rPr>
          <w:rFonts w:ascii="Arial" w:hAnsi="Arial" w:cs="Arial"/>
        </w:rPr>
        <w:t xml:space="preserve"> </w:t>
      </w:r>
      <w:r w:rsidR="00696B5A" w:rsidRPr="007D7C49">
        <w:rPr>
          <w:rFonts w:ascii="Arial" w:hAnsi="Arial" w:cs="Arial"/>
          <w:i/>
          <w:iCs/>
        </w:rPr>
        <w:t xml:space="preserve">Fletcher and Fletcher v Bulwayo Waterworks Col Ltd; Bulawayo Waterworks Co Ltd v Fletcher and Fletcher </w:t>
      </w:r>
      <w:r w:rsidR="00696B5A" w:rsidRPr="007D7C49">
        <w:rPr>
          <w:rFonts w:ascii="Arial" w:hAnsi="Arial" w:cs="Arial"/>
        </w:rPr>
        <w:t xml:space="preserve">1915 AD 636 648; </w:t>
      </w:r>
      <w:r w:rsidRPr="007D7C49">
        <w:rPr>
          <w:rFonts w:ascii="Arial" w:hAnsi="Arial" w:cs="Arial"/>
          <w:lang w:val="en-US"/>
        </w:rPr>
        <w:t>R Brits</w:t>
      </w:r>
      <w:r w:rsidRPr="007D7C49">
        <w:rPr>
          <w:rFonts w:ascii="Arial" w:hAnsi="Arial" w:cs="Arial"/>
          <w:i/>
          <w:iCs/>
          <w:lang w:val="en-US"/>
        </w:rPr>
        <w:t xml:space="preserve"> Real Security Law </w:t>
      </w:r>
      <w:r w:rsidRPr="007D7C49">
        <w:rPr>
          <w:rFonts w:ascii="Arial" w:hAnsi="Arial" w:cs="Arial"/>
          <w:lang w:val="en-US"/>
        </w:rPr>
        <w:t>(2016) (Juta) 493.</w:t>
      </w:r>
    </w:p>
  </w:footnote>
  <w:footnote w:id="30">
    <w:p w14:paraId="5CB5491B" w14:textId="0E9158C7" w:rsidR="00040576" w:rsidRPr="007D7C49" w:rsidRDefault="00040576" w:rsidP="009E3800">
      <w:pPr>
        <w:pStyle w:val="FootnoteText"/>
        <w:jc w:val="both"/>
        <w:rPr>
          <w:rFonts w:ascii="Arial" w:hAnsi="Arial" w:cs="Arial"/>
          <w:lang w:val="en-US"/>
        </w:rPr>
      </w:pPr>
      <w:r w:rsidRPr="007D7C49">
        <w:rPr>
          <w:rStyle w:val="FootnoteReference"/>
          <w:rFonts w:ascii="Arial" w:hAnsi="Arial" w:cs="Arial"/>
        </w:rPr>
        <w:footnoteRef/>
      </w:r>
      <w:r w:rsidRPr="007D7C49">
        <w:rPr>
          <w:rFonts w:ascii="Arial" w:hAnsi="Arial" w:cs="Arial"/>
        </w:rPr>
        <w:t xml:space="preserve"> </w:t>
      </w:r>
      <w:r w:rsidR="007D47A8" w:rsidRPr="007D7C49">
        <w:rPr>
          <w:rFonts w:ascii="Arial" w:hAnsi="Arial" w:cs="Arial"/>
          <w:lang w:val="en-US"/>
        </w:rPr>
        <w:t>P 85, 123 of the index.</w:t>
      </w:r>
      <w:r w:rsidR="002637C5" w:rsidRPr="007D7C49">
        <w:rPr>
          <w:rFonts w:ascii="Arial" w:hAnsi="Arial" w:cs="Arial"/>
          <w:lang w:val="en-US"/>
        </w:rPr>
        <w:t xml:space="preserve"> The first </w:t>
      </w:r>
      <w:r w:rsidR="004B7698" w:rsidRPr="007D7C49">
        <w:rPr>
          <w:rFonts w:ascii="Arial" w:hAnsi="Arial" w:cs="Arial"/>
          <w:lang w:val="en-US"/>
        </w:rPr>
        <w:t xml:space="preserve">and second </w:t>
      </w:r>
      <w:r w:rsidR="002637C5" w:rsidRPr="007D7C49">
        <w:rPr>
          <w:rFonts w:ascii="Arial" w:hAnsi="Arial" w:cs="Arial"/>
          <w:lang w:val="en-US"/>
        </w:rPr>
        <w:t>respondent</w:t>
      </w:r>
      <w:r w:rsidR="004B7698" w:rsidRPr="007D7C49">
        <w:rPr>
          <w:rFonts w:ascii="Arial" w:hAnsi="Arial" w:cs="Arial"/>
          <w:lang w:val="en-US"/>
        </w:rPr>
        <w:t>s</w:t>
      </w:r>
      <w:r w:rsidR="002637C5" w:rsidRPr="007D7C49">
        <w:rPr>
          <w:rFonts w:ascii="Arial" w:hAnsi="Arial" w:cs="Arial"/>
          <w:lang w:val="en-US"/>
        </w:rPr>
        <w:t xml:space="preserve"> suggests that </w:t>
      </w:r>
      <w:r w:rsidR="004B7698" w:rsidRPr="007D7C49">
        <w:rPr>
          <w:rFonts w:ascii="Arial" w:hAnsi="Arial" w:cs="Arial"/>
          <w:lang w:val="en-US"/>
        </w:rPr>
        <w:t xml:space="preserve">they </w:t>
      </w:r>
      <w:r w:rsidR="002637C5" w:rsidRPr="007D7C49">
        <w:rPr>
          <w:rFonts w:ascii="Arial" w:hAnsi="Arial" w:cs="Arial"/>
          <w:lang w:val="en-US"/>
        </w:rPr>
        <w:t xml:space="preserve">developed vacant land </w:t>
      </w:r>
      <w:r w:rsidR="002F76AF" w:rsidRPr="007D7C49">
        <w:rPr>
          <w:rFonts w:ascii="Arial" w:hAnsi="Arial" w:cs="Arial"/>
          <w:lang w:val="en-US"/>
        </w:rPr>
        <w:t xml:space="preserve">(in the second respondent’s case that it was Ms Bula’s father who did this) </w:t>
      </w:r>
      <w:r w:rsidR="002637C5" w:rsidRPr="007D7C49">
        <w:rPr>
          <w:rFonts w:ascii="Arial" w:hAnsi="Arial" w:cs="Arial"/>
          <w:lang w:val="en-US"/>
        </w:rPr>
        <w:t>by having services installed and constructed buildings on the erf, including the building from which it operates.</w:t>
      </w:r>
    </w:p>
  </w:footnote>
  <w:footnote w:id="31">
    <w:p w14:paraId="59B19940" w14:textId="4B6FFD10" w:rsidR="00944063" w:rsidRPr="007D7C49" w:rsidRDefault="00944063" w:rsidP="009E3800">
      <w:pPr>
        <w:pStyle w:val="FootnoteText"/>
        <w:jc w:val="both"/>
        <w:rPr>
          <w:rFonts w:ascii="Arial" w:hAnsi="Arial" w:cs="Arial"/>
          <w:lang w:val="en-US"/>
        </w:rPr>
      </w:pPr>
      <w:r w:rsidRPr="007D7C49">
        <w:rPr>
          <w:rStyle w:val="FootnoteReference"/>
          <w:rFonts w:ascii="Arial" w:hAnsi="Arial" w:cs="Arial"/>
        </w:rPr>
        <w:footnoteRef/>
      </w:r>
      <w:r w:rsidRPr="007D7C49">
        <w:rPr>
          <w:rFonts w:ascii="Arial" w:hAnsi="Arial" w:cs="Arial"/>
        </w:rPr>
        <w:t xml:space="preserve"> </w:t>
      </w:r>
      <w:r w:rsidRPr="007D7C49">
        <w:rPr>
          <w:rFonts w:ascii="Arial" w:hAnsi="Arial" w:cs="Arial"/>
          <w:lang w:val="en-US"/>
        </w:rPr>
        <w:t>The wording and definitions contained in the lease agreement with the second respondent is slightly different, but the effect is the same.</w:t>
      </w:r>
    </w:p>
  </w:footnote>
  <w:footnote w:id="32">
    <w:p w14:paraId="13A665E3" w14:textId="7411FC1E" w:rsidR="008A1D0C" w:rsidRPr="00AA28F6" w:rsidRDefault="008A1D0C" w:rsidP="00AA28F6">
      <w:pPr>
        <w:pStyle w:val="FootnoteText"/>
        <w:jc w:val="both"/>
        <w:rPr>
          <w:rFonts w:ascii="Arial" w:hAnsi="Arial" w:cs="Arial"/>
          <w:lang w:val="en-US"/>
        </w:rPr>
      </w:pPr>
      <w:r>
        <w:rPr>
          <w:rStyle w:val="FootnoteReference"/>
        </w:rPr>
        <w:footnoteRef/>
      </w:r>
      <w:r>
        <w:t xml:space="preserve"> </w:t>
      </w:r>
      <w:r w:rsidRPr="00AA28F6">
        <w:rPr>
          <w:rFonts w:ascii="Arial" w:hAnsi="Arial" w:cs="Arial"/>
          <w:lang w:val="en-US"/>
        </w:rPr>
        <w:t>Similar wording is reflected in the lease agreement entered into with the second respondent, save that ‘Property’ is replaced by ‘Premises’ and compensation may be claimed for improvements made with the Lessor’s prior written consent: p 144 of the Index, clauses 11.1-11.3 of the lease agreement.</w:t>
      </w:r>
    </w:p>
  </w:footnote>
  <w:footnote w:id="33">
    <w:p w14:paraId="269319C4" w14:textId="350FCCCA" w:rsidR="000F077F" w:rsidRPr="00AA28F6" w:rsidRDefault="000F077F" w:rsidP="00AA28F6">
      <w:pPr>
        <w:pStyle w:val="FootnoteText"/>
        <w:jc w:val="both"/>
        <w:rPr>
          <w:rFonts w:ascii="Arial" w:hAnsi="Arial" w:cs="Arial"/>
          <w:lang w:val="en-US"/>
        </w:rPr>
      </w:pPr>
      <w:r w:rsidRPr="00AA28F6">
        <w:rPr>
          <w:rStyle w:val="FootnoteReference"/>
          <w:rFonts w:ascii="Arial" w:hAnsi="Arial" w:cs="Arial"/>
        </w:rPr>
        <w:footnoteRef/>
      </w:r>
      <w:r w:rsidRPr="00AA28F6">
        <w:rPr>
          <w:rFonts w:ascii="Arial" w:hAnsi="Arial" w:cs="Arial"/>
        </w:rPr>
        <w:t xml:space="preserve"> </w:t>
      </w:r>
      <w:r w:rsidRPr="00AA28F6">
        <w:rPr>
          <w:rFonts w:ascii="Arial" w:hAnsi="Arial" w:cs="Arial"/>
          <w:lang w:val="en-US"/>
        </w:rPr>
        <w:t xml:space="preserve">G Glover </w:t>
      </w:r>
      <w:r w:rsidRPr="00AA28F6">
        <w:rPr>
          <w:rFonts w:ascii="Arial" w:hAnsi="Arial" w:cs="Arial"/>
          <w:i/>
          <w:iCs/>
          <w:lang w:val="en-US"/>
        </w:rPr>
        <w:t>Kerr’s Law of Sale and Lease</w:t>
      </w:r>
      <w:r w:rsidRPr="00AA28F6">
        <w:rPr>
          <w:rFonts w:ascii="Arial" w:hAnsi="Arial" w:cs="Arial"/>
          <w:lang w:val="en-US"/>
        </w:rPr>
        <w:t xml:space="preserve"> (4</w:t>
      </w:r>
      <w:r w:rsidRPr="00AA28F6">
        <w:rPr>
          <w:rFonts w:ascii="Arial" w:hAnsi="Arial" w:cs="Arial"/>
          <w:vertAlign w:val="superscript"/>
          <w:lang w:val="en-US"/>
        </w:rPr>
        <w:t>th</w:t>
      </w:r>
      <w:r w:rsidRPr="00AA28F6">
        <w:rPr>
          <w:rFonts w:ascii="Arial" w:hAnsi="Arial" w:cs="Arial"/>
          <w:lang w:val="en-US"/>
        </w:rPr>
        <w:t xml:space="preserve"> Ed) (2014) (LexisNexis) 554.</w:t>
      </w:r>
      <w:r w:rsidR="00C07DA8" w:rsidRPr="00AA28F6">
        <w:rPr>
          <w:rFonts w:ascii="Arial" w:hAnsi="Arial" w:cs="Arial"/>
          <w:lang w:val="en-US"/>
        </w:rPr>
        <w:t xml:space="preserve"> </w:t>
      </w:r>
      <w:r w:rsidR="003A3BE4" w:rsidRPr="00AA28F6">
        <w:rPr>
          <w:rFonts w:ascii="Arial" w:hAnsi="Arial" w:cs="Arial"/>
          <w:lang w:val="en-US"/>
        </w:rPr>
        <w:t xml:space="preserve">See </w:t>
      </w:r>
      <w:r w:rsidR="003A3BE4" w:rsidRPr="00AA28F6">
        <w:rPr>
          <w:rFonts w:ascii="Arial" w:hAnsi="Arial" w:cs="Arial"/>
          <w:i/>
          <w:iCs/>
          <w:lang w:val="en-US"/>
        </w:rPr>
        <w:t>Bowhay v Ward</w:t>
      </w:r>
      <w:r w:rsidR="003A3BE4" w:rsidRPr="00AA28F6">
        <w:rPr>
          <w:rFonts w:ascii="Arial" w:hAnsi="Arial" w:cs="Arial"/>
          <w:lang w:val="en-US"/>
        </w:rPr>
        <w:t xml:space="preserve"> 1903 TS 772 for an example of an agreement between the parties favouring the lessor and prohibiting removal of improvements altogether.</w:t>
      </w:r>
    </w:p>
  </w:footnote>
  <w:footnote w:id="34">
    <w:p w14:paraId="7CF8B154" w14:textId="6127EF2A" w:rsidR="00717991" w:rsidRPr="00AA28F6" w:rsidRDefault="00717991" w:rsidP="00AA28F6">
      <w:pPr>
        <w:pStyle w:val="FootnoteText"/>
        <w:jc w:val="both"/>
        <w:rPr>
          <w:rFonts w:ascii="Arial" w:hAnsi="Arial" w:cs="Arial"/>
          <w:lang w:val="en-US"/>
        </w:rPr>
      </w:pPr>
      <w:r w:rsidRPr="00AA28F6">
        <w:rPr>
          <w:rStyle w:val="FootnoteReference"/>
          <w:rFonts w:ascii="Arial" w:hAnsi="Arial" w:cs="Arial"/>
        </w:rPr>
        <w:footnoteRef/>
      </w:r>
      <w:r w:rsidRPr="00AA28F6">
        <w:rPr>
          <w:rFonts w:ascii="Arial" w:hAnsi="Arial" w:cs="Arial"/>
        </w:rPr>
        <w:t xml:space="preserve"> </w:t>
      </w:r>
      <w:r w:rsidR="00A7747B" w:rsidRPr="00AA28F6">
        <w:rPr>
          <w:rFonts w:ascii="Arial" w:hAnsi="Arial" w:cs="Arial"/>
          <w:lang w:val="en-US"/>
        </w:rPr>
        <w:t xml:space="preserve">Also see </w:t>
      </w:r>
      <w:r w:rsidR="00FB12B9" w:rsidRPr="00AA28F6">
        <w:rPr>
          <w:rFonts w:ascii="Arial" w:hAnsi="Arial" w:cs="Arial"/>
          <w:lang w:val="en-US"/>
        </w:rPr>
        <w:t xml:space="preserve">LTC Harms </w:t>
      </w:r>
      <w:r w:rsidR="00FB12B9" w:rsidRPr="00AA28F6">
        <w:rPr>
          <w:rFonts w:ascii="Arial" w:hAnsi="Arial" w:cs="Arial"/>
          <w:i/>
          <w:iCs/>
          <w:lang w:val="en-US"/>
        </w:rPr>
        <w:t xml:space="preserve">Amler’s Precedents of Pleadings </w:t>
      </w:r>
      <w:r w:rsidR="00FB12B9" w:rsidRPr="00AA28F6">
        <w:rPr>
          <w:rFonts w:ascii="Arial" w:hAnsi="Arial" w:cs="Arial"/>
          <w:lang w:val="en-US"/>
        </w:rPr>
        <w:t>(9</w:t>
      </w:r>
      <w:r w:rsidR="00FB12B9" w:rsidRPr="00AA28F6">
        <w:rPr>
          <w:rFonts w:ascii="Arial" w:hAnsi="Arial" w:cs="Arial"/>
          <w:vertAlign w:val="superscript"/>
          <w:lang w:val="en-US"/>
        </w:rPr>
        <w:t>th</w:t>
      </w:r>
      <w:r w:rsidR="00FB12B9" w:rsidRPr="00AA28F6">
        <w:rPr>
          <w:rFonts w:ascii="Arial" w:hAnsi="Arial" w:cs="Arial"/>
          <w:lang w:val="en-US"/>
        </w:rPr>
        <w:t xml:space="preserve"> Ed) (2018) (LexisNexis)</w:t>
      </w:r>
      <w:r w:rsidR="006B771E" w:rsidRPr="00AA28F6">
        <w:rPr>
          <w:rFonts w:ascii="Arial" w:hAnsi="Arial" w:cs="Arial"/>
          <w:lang w:val="en-US"/>
        </w:rPr>
        <w:t xml:space="preserve"> 249</w:t>
      </w:r>
      <w:r w:rsidR="00E751C6" w:rsidRPr="00AA28F6">
        <w:rPr>
          <w:rFonts w:ascii="Arial" w:hAnsi="Arial" w:cs="Arial"/>
          <w:lang w:val="en-US"/>
        </w:rPr>
        <w:t>: it is for the parties relying on the lien to allege and prove that there was no contractual arrangement between the parties in respect of the expenses.</w:t>
      </w:r>
    </w:p>
  </w:footnote>
  <w:footnote w:id="35">
    <w:p w14:paraId="55415329" w14:textId="4BF67D1D" w:rsidR="000C743A" w:rsidRPr="00AA28F6" w:rsidRDefault="000C743A" w:rsidP="00AA28F6">
      <w:pPr>
        <w:pStyle w:val="FootnoteText"/>
        <w:jc w:val="both"/>
        <w:rPr>
          <w:rFonts w:ascii="Arial" w:hAnsi="Arial" w:cs="Arial"/>
          <w:lang w:val="en-US"/>
        </w:rPr>
      </w:pPr>
      <w:r w:rsidRPr="00AA28F6">
        <w:rPr>
          <w:rStyle w:val="FootnoteReference"/>
          <w:rFonts w:ascii="Arial" w:hAnsi="Arial" w:cs="Arial"/>
        </w:rPr>
        <w:footnoteRef/>
      </w:r>
      <w:r w:rsidRPr="00AA28F6">
        <w:rPr>
          <w:rFonts w:ascii="Arial" w:hAnsi="Arial" w:cs="Arial"/>
        </w:rPr>
        <w:t xml:space="preserve"> </w:t>
      </w:r>
      <w:r w:rsidRPr="00AA28F6">
        <w:rPr>
          <w:rFonts w:ascii="Arial" w:hAnsi="Arial" w:cs="Arial"/>
          <w:lang w:val="en-US"/>
        </w:rPr>
        <w:t xml:space="preserve">As Brits has noted, restriction on ownership imposed by an enrichment lien should be treated as an </w:t>
      </w:r>
      <w:r w:rsidR="00BA2322" w:rsidRPr="00AA28F6">
        <w:rPr>
          <w:rFonts w:ascii="Arial" w:hAnsi="Arial" w:cs="Arial"/>
          <w:lang w:val="en-US"/>
        </w:rPr>
        <w:t>‘</w:t>
      </w:r>
      <w:r w:rsidRPr="00AA28F6">
        <w:rPr>
          <w:rFonts w:ascii="Arial" w:hAnsi="Arial" w:cs="Arial"/>
          <w:lang w:val="en-US"/>
        </w:rPr>
        <w:t xml:space="preserve">exceptional privilege that the law offers an improver and therefore the lien should be interpreted restrictively </w:t>
      </w:r>
      <w:r w:rsidR="00BA2322" w:rsidRPr="00AA28F6">
        <w:rPr>
          <w:rFonts w:ascii="Arial" w:hAnsi="Arial" w:cs="Arial"/>
          <w:lang w:val="en-US"/>
        </w:rPr>
        <w:t>[</w:t>
      </w:r>
      <w:r w:rsidRPr="00AA28F6">
        <w:rPr>
          <w:rFonts w:ascii="Arial" w:hAnsi="Arial" w:cs="Arial"/>
          <w:lang w:val="en-US"/>
        </w:rPr>
        <w:t>by</w:t>
      </w:r>
      <w:r w:rsidR="00BA2322" w:rsidRPr="00AA28F6">
        <w:rPr>
          <w:rFonts w:ascii="Arial" w:hAnsi="Arial" w:cs="Arial"/>
          <w:lang w:val="en-US"/>
        </w:rPr>
        <w:t>]</w:t>
      </w:r>
      <w:r w:rsidRPr="00AA28F6">
        <w:rPr>
          <w:rFonts w:ascii="Arial" w:hAnsi="Arial" w:cs="Arial"/>
          <w:lang w:val="en-US"/>
        </w:rPr>
        <w:t xml:space="preserve"> giving the owner the benefit of the doubt unless equity clearly dictates that the retentor should be allowed to retain </w:t>
      </w:r>
      <w:r w:rsidR="00303625" w:rsidRPr="00AA28F6">
        <w:rPr>
          <w:rFonts w:ascii="Arial" w:hAnsi="Arial" w:cs="Arial"/>
          <w:lang w:val="en-US"/>
        </w:rPr>
        <w:t>[</w:t>
      </w:r>
      <w:r w:rsidRPr="00AA28F6">
        <w:rPr>
          <w:rFonts w:ascii="Arial" w:hAnsi="Arial" w:cs="Arial"/>
          <w:lang w:val="en-US"/>
        </w:rPr>
        <w:t>a</w:t>
      </w:r>
      <w:r w:rsidR="00303625" w:rsidRPr="00AA28F6">
        <w:rPr>
          <w:rFonts w:ascii="Arial" w:hAnsi="Arial" w:cs="Arial"/>
          <w:lang w:val="en-US"/>
        </w:rPr>
        <w:t>]</w:t>
      </w:r>
      <w:r w:rsidRPr="00AA28F6">
        <w:rPr>
          <w:rFonts w:ascii="Arial" w:hAnsi="Arial" w:cs="Arial"/>
          <w:lang w:val="en-US"/>
        </w:rPr>
        <w:t xml:space="preserve"> hold over the property: Brits </w:t>
      </w:r>
      <w:r w:rsidRPr="00AA28F6">
        <w:rPr>
          <w:rFonts w:ascii="Arial" w:hAnsi="Arial" w:cs="Arial"/>
          <w:i/>
          <w:iCs/>
          <w:lang w:val="en-US"/>
        </w:rPr>
        <w:t>supra</w:t>
      </w:r>
      <w:r w:rsidRPr="00AA28F6">
        <w:rPr>
          <w:rFonts w:ascii="Arial" w:hAnsi="Arial" w:cs="Arial"/>
          <w:lang w:val="en-US"/>
        </w:rPr>
        <w:t xml:space="preserve"> 556.</w:t>
      </w:r>
    </w:p>
  </w:footnote>
  <w:footnote w:id="36">
    <w:p w14:paraId="4596E3F5" w14:textId="3C26F285" w:rsidR="003E72EF" w:rsidRPr="00AA28F6" w:rsidRDefault="003E72EF" w:rsidP="00AA28F6">
      <w:pPr>
        <w:pStyle w:val="FootnoteText"/>
        <w:jc w:val="both"/>
        <w:rPr>
          <w:rFonts w:ascii="Arial" w:hAnsi="Arial" w:cs="Arial"/>
          <w:lang w:val="en-US"/>
        </w:rPr>
      </w:pPr>
      <w:r w:rsidRPr="00AA28F6">
        <w:rPr>
          <w:rStyle w:val="FootnoteReference"/>
          <w:rFonts w:ascii="Arial" w:hAnsi="Arial" w:cs="Arial"/>
        </w:rPr>
        <w:footnoteRef/>
      </w:r>
      <w:r w:rsidRPr="00AA28F6">
        <w:rPr>
          <w:rFonts w:ascii="Arial" w:hAnsi="Arial" w:cs="Arial"/>
        </w:rPr>
        <w:t xml:space="preserve"> </w:t>
      </w:r>
      <w:r w:rsidRPr="00AA28F6">
        <w:rPr>
          <w:rFonts w:ascii="Arial" w:hAnsi="Arial" w:cs="Arial"/>
          <w:lang w:val="en-US"/>
        </w:rPr>
        <w:t xml:space="preserve">Glover </w:t>
      </w:r>
      <w:r w:rsidRPr="00AA28F6">
        <w:rPr>
          <w:rFonts w:ascii="Arial" w:hAnsi="Arial" w:cs="Arial"/>
          <w:i/>
          <w:iCs/>
          <w:lang w:val="en-US"/>
        </w:rPr>
        <w:t>supra</w:t>
      </w:r>
      <w:r w:rsidRPr="00AA28F6">
        <w:rPr>
          <w:rFonts w:ascii="Arial" w:hAnsi="Arial" w:cs="Arial"/>
          <w:lang w:val="en-US"/>
        </w:rPr>
        <w:t xml:space="preserve"> 562</w:t>
      </w:r>
      <w:r w:rsidR="00E72BAC" w:rsidRPr="00AA28F6">
        <w:rPr>
          <w:rFonts w:ascii="Arial" w:hAnsi="Arial" w:cs="Arial"/>
          <w:lang w:val="en-US"/>
        </w:rPr>
        <w:t xml:space="preserve">; </w:t>
      </w:r>
      <w:r w:rsidR="00207741" w:rsidRPr="00AA28F6">
        <w:rPr>
          <w:rFonts w:ascii="Arial" w:hAnsi="Arial" w:cs="Arial"/>
          <w:lang w:val="en-US"/>
        </w:rPr>
        <w:t xml:space="preserve">Harms </w:t>
      </w:r>
      <w:r w:rsidR="00207741" w:rsidRPr="00AA28F6">
        <w:rPr>
          <w:rFonts w:ascii="Arial" w:hAnsi="Arial" w:cs="Arial"/>
          <w:i/>
          <w:iCs/>
          <w:lang w:val="en-US"/>
        </w:rPr>
        <w:t>supra</w:t>
      </w:r>
      <w:r w:rsidR="00207741" w:rsidRPr="00AA28F6">
        <w:rPr>
          <w:rFonts w:ascii="Arial" w:hAnsi="Arial" w:cs="Arial"/>
          <w:lang w:val="en-US"/>
        </w:rPr>
        <w:t xml:space="preserve"> 249.</w:t>
      </w:r>
      <w:r w:rsidR="00B62E7E" w:rsidRPr="00AA28F6">
        <w:rPr>
          <w:rFonts w:ascii="Arial" w:hAnsi="Arial" w:cs="Arial"/>
          <w:lang w:val="en-US"/>
        </w:rPr>
        <w:t xml:space="preserve"> This </w:t>
      </w:r>
      <w:r w:rsidR="00A20798" w:rsidRPr="00AA28F6">
        <w:rPr>
          <w:rFonts w:ascii="Arial" w:hAnsi="Arial" w:cs="Arial"/>
          <w:lang w:val="en-US"/>
        </w:rPr>
        <w:t xml:space="preserve">assumes </w:t>
      </w:r>
      <w:r w:rsidR="00B62E7E" w:rsidRPr="00AA28F6">
        <w:rPr>
          <w:rFonts w:ascii="Arial" w:hAnsi="Arial" w:cs="Arial"/>
          <w:lang w:val="en-US"/>
        </w:rPr>
        <w:t xml:space="preserve">that </w:t>
      </w:r>
      <w:r w:rsidR="0024549E" w:rsidRPr="00AA28F6">
        <w:rPr>
          <w:rFonts w:ascii="Arial" w:hAnsi="Arial" w:cs="Arial"/>
          <w:lang w:val="en-US"/>
        </w:rPr>
        <w:t xml:space="preserve">the respondents are not </w:t>
      </w:r>
      <w:r w:rsidR="0024549E" w:rsidRPr="00AA28F6">
        <w:rPr>
          <w:rFonts w:ascii="Arial" w:hAnsi="Arial" w:cs="Arial"/>
          <w:i/>
          <w:iCs/>
          <w:lang w:val="en-US"/>
        </w:rPr>
        <w:t>mala fide</w:t>
      </w:r>
      <w:r w:rsidR="0024549E" w:rsidRPr="00AA28F6">
        <w:rPr>
          <w:rFonts w:ascii="Arial" w:hAnsi="Arial" w:cs="Arial"/>
          <w:lang w:val="en-US"/>
        </w:rPr>
        <w:t xml:space="preserve"> occupiers, given that their lease periods have been cancelled</w:t>
      </w:r>
      <w:r w:rsidR="00A20798" w:rsidRPr="00AA28F6">
        <w:rPr>
          <w:rFonts w:ascii="Arial" w:hAnsi="Arial" w:cs="Arial"/>
          <w:lang w:val="en-US"/>
        </w:rPr>
        <w:t xml:space="preserve">, or that, even if they are </w:t>
      </w:r>
      <w:r w:rsidR="00A20798" w:rsidRPr="00AA28F6">
        <w:rPr>
          <w:rFonts w:ascii="Arial" w:hAnsi="Arial" w:cs="Arial"/>
          <w:i/>
          <w:iCs/>
          <w:lang w:val="en-US"/>
        </w:rPr>
        <w:t xml:space="preserve">mala fide </w:t>
      </w:r>
      <w:r w:rsidR="00A20798" w:rsidRPr="00AA28F6">
        <w:rPr>
          <w:rFonts w:ascii="Arial" w:hAnsi="Arial" w:cs="Arial"/>
          <w:lang w:val="en-US"/>
        </w:rPr>
        <w:t xml:space="preserve">occupiers, they may nevertheless, in principle, have a claim to exercise a lien: Brits </w:t>
      </w:r>
      <w:r w:rsidR="00A20798" w:rsidRPr="00AA28F6">
        <w:rPr>
          <w:rFonts w:ascii="Arial" w:hAnsi="Arial" w:cs="Arial"/>
          <w:i/>
          <w:iCs/>
          <w:lang w:val="en-US"/>
        </w:rPr>
        <w:t>supra</w:t>
      </w:r>
      <w:r w:rsidR="00A20798" w:rsidRPr="00AA28F6">
        <w:rPr>
          <w:rFonts w:ascii="Arial" w:hAnsi="Arial" w:cs="Arial"/>
          <w:lang w:val="en-US"/>
        </w:rPr>
        <w:t xml:space="preserve"> 503.</w:t>
      </w:r>
    </w:p>
  </w:footnote>
  <w:footnote w:id="37">
    <w:p w14:paraId="29D94732" w14:textId="2C5767BA" w:rsidR="00024210" w:rsidRPr="00AA28F6" w:rsidRDefault="00024210">
      <w:pPr>
        <w:pStyle w:val="FootnoteText"/>
        <w:rPr>
          <w:rFonts w:ascii="Arial" w:hAnsi="Arial" w:cs="Arial"/>
          <w:lang w:val="en-US"/>
        </w:rPr>
      </w:pPr>
      <w:r>
        <w:rPr>
          <w:rStyle w:val="FootnoteReference"/>
        </w:rPr>
        <w:footnoteRef/>
      </w:r>
      <w:r>
        <w:t xml:space="preserve"> </w:t>
      </w:r>
      <w:r w:rsidRPr="00AA28F6">
        <w:rPr>
          <w:rFonts w:ascii="Arial" w:hAnsi="Arial" w:cs="Arial"/>
          <w:lang w:val="en-US"/>
        </w:rPr>
        <w:t xml:space="preserve">Harms </w:t>
      </w:r>
      <w:r w:rsidRPr="00AA28F6">
        <w:rPr>
          <w:rFonts w:ascii="Arial" w:hAnsi="Arial" w:cs="Arial"/>
          <w:i/>
          <w:iCs/>
          <w:lang w:val="en-US"/>
        </w:rPr>
        <w:t>supra</w:t>
      </w:r>
      <w:r w:rsidRPr="00AA28F6">
        <w:rPr>
          <w:rFonts w:ascii="Arial" w:hAnsi="Arial" w:cs="Arial"/>
          <w:lang w:val="en-US"/>
        </w:rPr>
        <w:t xml:space="preserve"> 249.</w:t>
      </w:r>
    </w:p>
  </w:footnote>
  <w:footnote w:id="38">
    <w:p w14:paraId="121798DC" w14:textId="7B370EDF" w:rsidR="007C6A88" w:rsidRPr="00AA28F6" w:rsidRDefault="007C6A88">
      <w:pPr>
        <w:pStyle w:val="FootnoteText"/>
        <w:rPr>
          <w:rFonts w:ascii="Arial" w:hAnsi="Arial" w:cs="Arial"/>
          <w:lang w:val="en-US"/>
        </w:rPr>
      </w:pPr>
      <w:r w:rsidRPr="00AA28F6">
        <w:rPr>
          <w:rStyle w:val="FootnoteReference"/>
          <w:rFonts w:ascii="Arial" w:hAnsi="Arial" w:cs="Arial"/>
        </w:rPr>
        <w:footnoteRef/>
      </w:r>
      <w:r w:rsidRPr="00AA28F6">
        <w:rPr>
          <w:rFonts w:ascii="Arial" w:hAnsi="Arial" w:cs="Arial"/>
        </w:rPr>
        <w:t xml:space="preserve"> </w:t>
      </w:r>
      <w:r w:rsidRPr="00AA28F6">
        <w:rPr>
          <w:rFonts w:ascii="Arial" w:hAnsi="Arial" w:cs="Arial"/>
          <w:lang w:val="en-US"/>
        </w:rPr>
        <w:t>2011 (1) SA 16</w:t>
      </w:r>
      <w:r w:rsidR="007C5D37" w:rsidRPr="00AA28F6">
        <w:rPr>
          <w:rFonts w:ascii="Arial" w:hAnsi="Arial" w:cs="Arial"/>
          <w:lang w:val="en-US"/>
        </w:rPr>
        <w:t>.</w:t>
      </w:r>
    </w:p>
  </w:footnote>
  <w:footnote w:id="39">
    <w:p w14:paraId="33C2F3F8" w14:textId="6CFB6208" w:rsidR="007C5D37" w:rsidRPr="00AA28F6" w:rsidRDefault="007C5D37">
      <w:pPr>
        <w:pStyle w:val="FootnoteText"/>
        <w:rPr>
          <w:rFonts w:ascii="Arial" w:hAnsi="Arial" w:cs="Arial"/>
          <w:lang w:val="en-US"/>
        </w:rPr>
      </w:pPr>
      <w:r w:rsidRPr="00AA28F6">
        <w:rPr>
          <w:rStyle w:val="FootnoteReference"/>
          <w:rFonts w:ascii="Arial" w:hAnsi="Arial" w:cs="Arial"/>
        </w:rPr>
        <w:footnoteRef/>
      </w:r>
      <w:r w:rsidRPr="00AA28F6">
        <w:rPr>
          <w:rFonts w:ascii="Arial" w:hAnsi="Arial" w:cs="Arial"/>
        </w:rPr>
        <w:t xml:space="preserve"> </w:t>
      </w:r>
      <w:r w:rsidRPr="00AA28F6">
        <w:rPr>
          <w:rFonts w:ascii="Arial" w:hAnsi="Arial" w:cs="Arial"/>
          <w:lang w:val="en-US"/>
        </w:rPr>
        <w:t>Para 18.</w:t>
      </w:r>
    </w:p>
  </w:footnote>
  <w:footnote w:id="40">
    <w:p w14:paraId="0005E380" w14:textId="07D4657B" w:rsidR="00E1093F" w:rsidRPr="00AA28F6" w:rsidRDefault="00E1093F">
      <w:pPr>
        <w:pStyle w:val="FootnoteText"/>
        <w:rPr>
          <w:rFonts w:ascii="Arial" w:hAnsi="Arial" w:cs="Arial"/>
          <w:lang w:val="en-US"/>
        </w:rPr>
      </w:pPr>
      <w:r w:rsidRPr="00AA28F6">
        <w:rPr>
          <w:rStyle w:val="FootnoteReference"/>
          <w:rFonts w:ascii="Arial" w:hAnsi="Arial" w:cs="Arial"/>
        </w:rPr>
        <w:footnoteRef/>
      </w:r>
      <w:r w:rsidRPr="00AA28F6">
        <w:rPr>
          <w:rFonts w:ascii="Arial" w:hAnsi="Arial" w:cs="Arial"/>
        </w:rPr>
        <w:t xml:space="preserve"> </w:t>
      </w:r>
      <w:r w:rsidRPr="00AA28F6">
        <w:rPr>
          <w:rFonts w:ascii="Arial" w:hAnsi="Arial" w:cs="Arial"/>
          <w:i/>
          <w:iCs/>
          <w:lang w:val="en-US"/>
        </w:rPr>
        <w:t>De Aguiar supra</w:t>
      </w:r>
      <w:r w:rsidRPr="00AA28F6">
        <w:rPr>
          <w:rFonts w:ascii="Arial" w:hAnsi="Arial" w:cs="Arial"/>
          <w:lang w:val="en-US"/>
        </w:rPr>
        <w:t xml:space="preserve"> para 19.</w:t>
      </w:r>
    </w:p>
  </w:footnote>
  <w:footnote w:id="41">
    <w:p w14:paraId="63D40E70" w14:textId="6A59EE50" w:rsidR="006D67EA" w:rsidRPr="00AA28F6" w:rsidRDefault="006D67EA">
      <w:pPr>
        <w:pStyle w:val="FootnoteText"/>
        <w:rPr>
          <w:rFonts w:ascii="Arial" w:hAnsi="Arial" w:cs="Arial"/>
          <w:lang w:val="en-US"/>
        </w:rPr>
      </w:pPr>
      <w:r w:rsidRPr="00AA28F6">
        <w:rPr>
          <w:rStyle w:val="FootnoteReference"/>
          <w:rFonts w:ascii="Arial" w:hAnsi="Arial" w:cs="Arial"/>
        </w:rPr>
        <w:footnoteRef/>
      </w:r>
      <w:r w:rsidRPr="00AA28F6">
        <w:rPr>
          <w:rFonts w:ascii="Arial" w:hAnsi="Arial" w:cs="Arial"/>
        </w:rPr>
        <w:t xml:space="preserve"> </w:t>
      </w:r>
      <w:r w:rsidRPr="00AA28F6">
        <w:rPr>
          <w:rFonts w:ascii="Arial" w:hAnsi="Arial" w:cs="Arial"/>
          <w:lang w:val="en-US"/>
        </w:rPr>
        <w:t>2013 (3) SA 123</w:t>
      </w:r>
      <w:r w:rsidR="001E730D" w:rsidRPr="00AA28F6">
        <w:rPr>
          <w:rFonts w:ascii="Arial" w:hAnsi="Arial" w:cs="Arial"/>
          <w:lang w:val="en-US"/>
        </w:rPr>
        <w:t>.</w:t>
      </w:r>
    </w:p>
  </w:footnote>
  <w:footnote w:id="42">
    <w:p w14:paraId="189AAD73" w14:textId="50353D8E" w:rsidR="001E730D" w:rsidRPr="00AA28F6" w:rsidRDefault="001E730D">
      <w:pPr>
        <w:pStyle w:val="FootnoteText"/>
        <w:rPr>
          <w:rFonts w:ascii="Arial" w:hAnsi="Arial" w:cs="Arial"/>
          <w:lang w:val="en-US"/>
        </w:rPr>
      </w:pPr>
      <w:r w:rsidRPr="00AA28F6">
        <w:rPr>
          <w:rStyle w:val="FootnoteReference"/>
          <w:rFonts w:ascii="Arial" w:hAnsi="Arial" w:cs="Arial"/>
        </w:rPr>
        <w:footnoteRef/>
      </w:r>
      <w:r w:rsidRPr="00AA28F6">
        <w:rPr>
          <w:rFonts w:ascii="Arial" w:hAnsi="Arial" w:cs="Arial"/>
        </w:rPr>
        <w:t xml:space="preserve"> Para 13 </w:t>
      </w:r>
      <w:r w:rsidRPr="00AA28F6">
        <w:rPr>
          <w:rFonts w:ascii="Arial" w:hAnsi="Arial" w:cs="Arial"/>
          <w:i/>
          <w:iCs/>
        </w:rPr>
        <w:t>et seq</w:t>
      </w:r>
      <w:r w:rsidRPr="00AA28F6">
        <w:rPr>
          <w:rFonts w:ascii="Arial" w:hAnsi="Arial" w:cs="Arial"/>
        </w:rPr>
        <w:t>.</w:t>
      </w:r>
    </w:p>
  </w:footnote>
  <w:footnote w:id="43">
    <w:p w14:paraId="0C361BBE" w14:textId="244A4396" w:rsidR="00250417" w:rsidRPr="00AA28F6" w:rsidRDefault="00250417" w:rsidP="00AA28F6">
      <w:pPr>
        <w:pStyle w:val="FootnoteText"/>
        <w:jc w:val="both"/>
        <w:rPr>
          <w:rFonts w:ascii="Arial" w:hAnsi="Arial" w:cs="Arial"/>
          <w:lang w:val="en-US"/>
        </w:rPr>
      </w:pPr>
      <w:r w:rsidRPr="00AA28F6">
        <w:rPr>
          <w:rStyle w:val="FootnoteReference"/>
          <w:rFonts w:ascii="Arial" w:hAnsi="Arial" w:cs="Arial"/>
        </w:rPr>
        <w:footnoteRef/>
      </w:r>
      <w:r w:rsidRPr="00AA28F6">
        <w:rPr>
          <w:rFonts w:ascii="Arial" w:hAnsi="Arial" w:cs="Arial"/>
        </w:rPr>
        <w:t xml:space="preserve"> </w:t>
      </w:r>
      <w:r w:rsidRPr="00AA28F6">
        <w:rPr>
          <w:rFonts w:ascii="Arial" w:hAnsi="Arial" w:cs="Arial"/>
          <w:lang w:val="en-US"/>
        </w:rPr>
        <w:t>Para 17.</w:t>
      </w:r>
      <w:r w:rsidR="00247292" w:rsidRPr="00AA28F6">
        <w:rPr>
          <w:rFonts w:ascii="Arial" w:hAnsi="Arial" w:cs="Arial"/>
          <w:lang w:val="en-US"/>
        </w:rPr>
        <w:t xml:space="preserve"> The most that the first respondent says is that the deponent to its answering affidavit requested a property evaluation ‘…to determine the value thereof </w:t>
      </w:r>
      <w:r w:rsidR="00247292" w:rsidRPr="00AA28F6">
        <w:rPr>
          <w:rFonts w:ascii="Arial" w:hAnsi="Arial" w:cs="Arial"/>
          <w:i/>
          <w:iCs/>
          <w:lang w:val="en-US"/>
        </w:rPr>
        <w:t>in order for the rental amount of the land only to be determined</w:t>
      </w:r>
      <w:r w:rsidR="00247292" w:rsidRPr="00AA28F6">
        <w:rPr>
          <w:rFonts w:ascii="Arial" w:hAnsi="Arial" w:cs="Arial"/>
          <w:lang w:val="en-US"/>
        </w:rPr>
        <w:t xml:space="preserve">’ (own emphasis).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1056043"/>
      <w:docPartObj>
        <w:docPartGallery w:val="Page Numbers (Top of Page)"/>
        <w:docPartUnique/>
      </w:docPartObj>
    </w:sdtPr>
    <w:sdtEndPr>
      <w:rPr>
        <w:rStyle w:val="PageNumber"/>
      </w:rPr>
    </w:sdtEndPr>
    <w:sdtContent>
      <w:p w14:paraId="45C32FFE" w14:textId="7E5E5AC3" w:rsidR="005D015B" w:rsidRDefault="005D015B" w:rsidP="00533F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F99483" w14:textId="77777777" w:rsidR="005D015B" w:rsidRDefault="005D015B" w:rsidP="005D01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40682980"/>
      <w:docPartObj>
        <w:docPartGallery w:val="Page Numbers (Top of Page)"/>
        <w:docPartUnique/>
      </w:docPartObj>
    </w:sdtPr>
    <w:sdtEndPr>
      <w:rPr>
        <w:rStyle w:val="PageNumber"/>
      </w:rPr>
    </w:sdtEndPr>
    <w:sdtContent>
      <w:p w14:paraId="4BD754D7" w14:textId="1790012C" w:rsidR="005D015B" w:rsidRDefault="005D015B" w:rsidP="00533F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90AC9">
          <w:rPr>
            <w:rStyle w:val="PageNumber"/>
            <w:noProof/>
          </w:rPr>
          <w:t>2</w:t>
        </w:r>
        <w:r>
          <w:rPr>
            <w:rStyle w:val="PageNumber"/>
          </w:rPr>
          <w:fldChar w:fldCharType="end"/>
        </w:r>
      </w:p>
    </w:sdtContent>
  </w:sdt>
  <w:p w14:paraId="2273B444" w14:textId="77777777" w:rsidR="005D015B" w:rsidRDefault="005D015B" w:rsidP="005D015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56A4"/>
    <w:multiLevelType w:val="hybridMultilevel"/>
    <w:tmpl w:val="9ABCA6A2"/>
    <w:lvl w:ilvl="0" w:tplc="641880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3808BA"/>
    <w:multiLevelType w:val="hybridMultilevel"/>
    <w:tmpl w:val="BF32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B681F"/>
    <w:multiLevelType w:val="hybridMultilevel"/>
    <w:tmpl w:val="72B4C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0087FC5"/>
    <w:multiLevelType w:val="hybridMultilevel"/>
    <w:tmpl w:val="C9EE225C"/>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E4509F"/>
    <w:multiLevelType w:val="hybridMultilevel"/>
    <w:tmpl w:val="9828BC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C3"/>
    <w:rsid w:val="00006A70"/>
    <w:rsid w:val="00016FDA"/>
    <w:rsid w:val="00024210"/>
    <w:rsid w:val="00025FE0"/>
    <w:rsid w:val="00030691"/>
    <w:rsid w:val="0003495D"/>
    <w:rsid w:val="00040576"/>
    <w:rsid w:val="000436CC"/>
    <w:rsid w:val="00051228"/>
    <w:rsid w:val="0005611D"/>
    <w:rsid w:val="00065088"/>
    <w:rsid w:val="00071325"/>
    <w:rsid w:val="00080132"/>
    <w:rsid w:val="00080312"/>
    <w:rsid w:val="000910CD"/>
    <w:rsid w:val="00097614"/>
    <w:rsid w:val="000A242B"/>
    <w:rsid w:val="000B151D"/>
    <w:rsid w:val="000C20C7"/>
    <w:rsid w:val="000C743A"/>
    <w:rsid w:val="000E4ED7"/>
    <w:rsid w:val="000F00FB"/>
    <w:rsid w:val="000F077F"/>
    <w:rsid w:val="000F172A"/>
    <w:rsid w:val="000F6FB8"/>
    <w:rsid w:val="00106219"/>
    <w:rsid w:val="00106934"/>
    <w:rsid w:val="0011076F"/>
    <w:rsid w:val="00124EEA"/>
    <w:rsid w:val="0012611B"/>
    <w:rsid w:val="0014277E"/>
    <w:rsid w:val="00172A17"/>
    <w:rsid w:val="001742F1"/>
    <w:rsid w:val="001B1461"/>
    <w:rsid w:val="001B5C5A"/>
    <w:rsid w:val="001C7A13"/>
    <w:rsid w:val="001E07D1"/>
    <w:rsid w:val="001E24AD"/>
    <w:rsid w:val="001E39B3"/>
    <w:rsid w:val="001E591C"/>
    <w:rsid w:val="001E5BEB"/>
    <w:rsid w:val="001E6D8F"/>
    <w:rsid w:val="001E730D"/>
    <w:rsid w:val="00202E84"/>
    <w:rsid w:val="00207741"/>
    <w:rsid w:val="0023668A"/>
    <w:rsid w:val="00241C4E"/>
    <w:rsid w:val="00243CBA"/>
    <w:rsid w:val="0024549E"/>
    <w:rsid w:val="00247292"/>
    <w:rsid w:val="00250417"/>
    <w:rsid w:val="002637C5"/>
    <w:rsid w:val="002647FF"/>
    <w:rsid w:val="00276D6D"/>
    <w:rsid w:val="002930C1"/>
    <w:rsid w:val="002A38DD"/>
    <w:rsid w:val="002B0F90"/>
    <w:rsid w:val="002B18F0"/>
    <w:rsid w:val="002B3BF5"/>
    <w:rsid w:val="002B5EED"/>
    <w:rsid w:val="002E5576"/>
    <w:rsid w:val="002F76AF"/>
    <w:rsid w:val="00303625"/>
    <w:rsid w:val="003073BF"/>
    <w:rsid w:val="00312E0A"/>
    <w:rsid w:val="00313001"/>
    <w:rsid w:val="003132D5"/>
    <w:rsid w:val="00324D84"/>
    <w:rsid w:val="0033218A"/>
    <w:rsid w:val="00332EA2"/>
    <w:rsid w:val="0034281C"/>
    <w:rsid w:val="00357832"/>
    <w:rsid w:val="00362113"/>
    <w:rsid w:val="0037421C"/>
    <w:rsid w:val="0037730F"/>
    <w:rsid w:val="00380A2E"/>
    <w:rsid w:val="00381AEB"/>
    <w:rsid w:val="00394B6A"/>
    <w:rsid w:val="00396189"/>
    <w:rsid w:val="003A3BE4"/>
    <w:rsid w:val="003B118F"/>
    <w:rsid w:val="003B404E"/>
    <w:rsid w:val="003D1F56"/>
    <w:rsid w:val="003E1AED"/>
    <w:rsid w:val="003E2E43"/>
    <w:rsid w:val="003E72EF"/>
    <w:rsid w:val="003F60E9"/>
    <w:rsid w:val="003F7B20"/>
    <w:rsid w:val="004012EE"/>
    <w:rsid w:val="004104C6"/>
    <w:rsid w:val="00411A4F"/>
    <w:rsid w:val="004175CD"/>
    <w:rsid w:val="00442D3D"/>
    <w:rsid w:val="00455320"/>
    <w:rsid w:val="00455C0F"/>
    <w:rsid w:val="004639D7"/>
    <w:rsid w:val="00466DF7"/>
    <w:rsid w:val="00474F5D"/>
    <w:rsid w:val="0047630D"/>
    <w:rsid w:val="004826B8"/>
    <w:rsid w:val="00490AC9"/>
    <w:rsid w:val="004A1092"/>
    <w:rsid w:val="004A121A"/>
    <w:rsid w:val="004B118F"/>
    <w:rsid w:val="004B44D3"/>
    <w:rsid w:val="004B7698"/>
    <w:rsid w:val="004C0F29"/>
    <w:rsid w:val="004C54A8"/>
    <w:rsid w:val="004C6562"/>
    <w:rsid w:val="004E33E3"/>
    <w:rsid w:val="004E5F1A"/>
    <w:rsid w:val="004F4211"/>
    <w:rsid w:val="004F5DC6"/>
    <w:rsid w:val="00504179"/>
    <w:rsid w:val="005043FF"/>
    <w:rsid w:val="00507AEB"/>
    <w:rsid w:val="00515C7A"/>
    <w:rsid w:val="005178E1"/>
    <w:rsid w:val="005471B3"/>
    <w:rsid w:val="0057124B"/>
    <w:rsid w:val="005717F2"/>
    <w:rsid w:val="00586FE6"/>
    <w:rsid w:val="00597EB4"/>
    <w:rsid w:val="005A4E7D"/>
    <w:rsid w:val="005C333B"/>
    <w:rsid w:val="005D015B"/>
    <w:rsid w:val="005D0AF0"/>
    <w:rsid w:val="005D1125"/>
    <w:rsid w:val="005D17C1"/>
    <w:rsid w:val="005D3A54"/>
    <w:rsid w:val="005D3ADF"/>
    <w:rsid w:val="005F2228"/>
    <w:rsid w:val="00600F73"/>
    <w:rsid w:val="00611706"/>
    <w:rsid w:val="00621743"/>
    <w:rsid w:val="00621BB0"/>
    <w:rsid w:val="00623E8D"/>
    <w:rsid w:val="00624487"/>
    <w:rsid w:val="006267C4"/>
    <w:rsid w:val="006338A7"/>
    <w:rsid w:val="006455A4"/>
    <w:rsid w:val="00651AAA"/>
    <w:rsid w:val="006551D6"/>
    <w:rsid w:val="006655BC"/>
    <w:rsid w:val="00665CCA"/>
    <w:rsid w:val="0067697B"/>
    <w:rsid w:val="00682ACC"/>
    <w:rsid w:val="00692A63"/>
    <w:rsid w:val="00696B5A"/>
    <w:rsid w:val="00696C01"/>
    <w:rsid w:val="006B400D"/>
    <w:rsid w:val="006B52DC"/>
    <w:rsid w:val="006B771E"/>
    <w:rsid w:val="006B7783"/>
    <w:rsid w:val="006D082F"/>
    <w:rsid w:val="006D177B"/>
    <w:rsid w:val="006D3D1D"/>
    <w:rsid w:val="006D46F1"/>
    <w:rsid w:val="006D67EA"/>
    <w:rsid w:val="0070797E"/>
    <w:rsid w:val="00717991"/>
    <w:rsid w:val="007423A8"/>
    <w:rsid w:val="007424BA"/>
    <w:rsid w:val="00742A79"/>
    <w:rsid w:val="0076071A"/>
    <w:rsid w:val="0078242E"/>
    <w:rsid w:val="007861B2"/>
    <w:rsid w:val="0078648E"/>
    <w:rsid w:val="0079109D"/>
    <w:rsid w:val="007928DE"/>
    <w:rsid w:val="00797ACD"/>
    <w:rsid w:val="007A2933"/>
    <w:rsid w:val="007B7972"/>
    <w:rsid w:val="007C52AF"/>
    <w:rsid w:val="007C544D"/>
    <w:rsid w:val="007C5D37"/>
    <w:rsid w:val="007C6A88"/>
    <w:rsid w:val="007C78A0"/>
    <w:rsid w:val="007C7E0E"/>
    <w:rsid w:val="007D24D7"/>
    <w:rsid w:val="007D32E6"/>
    <w:rsid w:val="007D47A8"/>
    <w:rsid w:val="007D7C49"/>
    <w:rsid w:val="007F2FBB"/>
    <w:rsid w:val="007F6CF0"/>
    <w:rsid w:val="00801002"/>
    <w:rsid w:val="00810180"/>
    <w:rsid w:val="00812EB1"/>
    <w:rsid w:val="00814581"/>
    <w:rsid w:val="00815632"/>
    <w:rsid w:val="00816310"/>
    <w:rsid w:val="008240A9"/>
    <w:rsid w:val="008245C2"/>
    <w:rsid w:val="00827496"/>
    <w:rsid w:val="00833788"/>
    <w:rsid w:val="008439BC"/>
    <w:rsid w:val="00855BB0"/>
    <w:rsid w:val="008572A3"/>
    <w:rsid w:val="00866411"/>
    <w:rsid w:val="00867C97"/>
    <w:rsid w:val="00873FFA"/>
    <w:rsid w:val="00896F2A"/>
    <w:rsid w:val="008A1D0C"/>
    <w:rsid w:val="008A5631"/>
    <w:rsid w:val="008C3204"/>
    <w:rsid w:val="008D3ECC"/>
    <w:rsid w:val="008D7150"/>
    <w:rsid w:val="008F1997"/>
    <w:rsid w:val="008F4D80"/>
    <w:rsid w:val="008F5495"/>
    <w:rsid w:val="00902731"/>
    <w:rsid w:val="00944063"/>
    <w:rsid w:val="00945B0D"/>
    <w:rsid w:val="009565A2"/>
    <w:rsid w:val="00963380"/>
    <w:rsid w:val="009664B8"/>
    <w:rsid w:val="009754EF"/>
    <w:rsid w:val="009A6294"/>
    <w:rsid w:val="009A7261"/>
    <w:rsid w:val="009B7CD2"/>
    <w:rsid w:val="009C3A9E"/>
    <w:rsid w:val="009D07CC"/>
    <w:rsid w:val="009D4345"/>
    <w:rsid w:val="009D5FC1"/>
    <w:rsid w:val="009D7BF6"/>
    <w:rsid w:val="009E3800"/>
    <w:rsid w:val="009E66E5"/>
    <w:rsid w:val="00A037E1"/>
    <w:rsid w:val="00A05281"/>
    <w:rsid w:val="00A06256"/>
    <w:rsid w:val="00A149AA"/>
    <w:rsid w:val="00A15960"/>
    <w:rsid w:val="00A20798"/>
    <w:rsid w:val="00A30CE6"/>
    <w:rsid w:val="00A40891"/>
    <w:rsid w:val="00A444E8"/>
    <w:rsid w:val="00A47D09"/>
    <w:rsid w:val="00A666F8"/>
    <w:rsid w:val="00A767C3"/>
    <w:rsid w:val="00A76BBA"/>
    <w:rsid w:val="00A7747B"/>
    <w:rsid w:val="00AA28F6"/>
    <w:rsid w:val="00AB0124"/>
    <w:rsid w:val="00AB06B6"/>
    <w:rsid w:val="00AB2E7E"/>
    <w:rsid w:val="00AC4D6A"/>
    <w:rsid w:val="00AD3C02"/>
    <w:rsid w:val="00AF7C6D"/>
    <w:rsid w:val="00B04496"/>
    <w:rsid w:val="00B12499"/>
    <w:rsid w:val="00B26D3B"/>
    <w:rsid w:val="00B3297F"/>
    <w:rsid w:val="00B33362"/>
    <w:rsid w:val="00B37DC1"/>
    <w:rsid w:val="00B44DC4"/>
    <w:rsid w:val="00B45F52"/>
    <w:rsid w:val="00B46836"/>
    <w:rsid w:val="00B51E24"/>
    <w:rsid w:val="00B533D3"/>
    <w:rsid w:val="00B56959"/>
    <w:rsid w:val="00B62E7E"/>
    <w:rsid w:val="00B74905"/>
    <w:rsid w:val="00B80B73"/>
    <w:rsid w:val="00BA03C6"/>
    <w:rsid w:val="00BA0554"/>
    <w:rsid w:val="00BA2322"/>
    <w:rsid w:val="00BC02AA"/>
    <w:rsid w:val="00BC41FF"/>
    <w:rsid w:val="00BE6184"/>
    <w:rsid w:val="00BF0FB7"/>
    <w:rsid w:val="00C07DA8"/>
    <w:rsid w:val="00C106D1"/>
    <w:rsid w:val="00C14DFD"/>
    <w:rsid w:val="00C255F8"/>
    <w:rsid w:val="00C27953"/>
    <w:rsid w:val="00C331D4"/>
    <w:rsid w:val="00C409F0"/>
    <w:rsid w:val="00C662A1"/>
    <w:rsid w:val="00C72BC6"/>
    <w:rsid w:val="00C7349D"/>
    <w:rsid w:val="00C7794A"/>
    <w:rsid w:val="00C95B2C"/>
    <w:rsid w:val="00CA03CC"/>
    <w:rsid w:val="00CA60C0"/>
    <w:rsid w:val="00CA6A6F"/>
    <w:rsid w:val="00CB6564"/>
    <w:rsid w:val="00CD4A52"/>
    <w:rsid w:val="00CE1F5F"/>
    <w:rsid w:val="00D05D6F"/>
    <w:rsid w:val="00D11F1C"/>
    <w:rsid w:val="00D13FA7"/>
    <w:rsid w:val="00D221DD"/>
    <w:rsid w:val="00D47B6C"/>
    <w:rsid w:val="00D5243A"/>
    <w:rsid w:val="00D529BC"/>
    <w:rsid w:val="00D56D3C"/>
    <w:rsid w:val="00D60E1F"/>
    <w:rsid w:val="00D732FE"/>
    <w:rsid w:val="00D77FB7"/>
    <w:rsid w:val="00D851B1"/>
    <w:rsid w:val="00D9190E"/>
    <w:rsid w:val="00D9573F"/>
    <w:rsid w:val="00DA7F5C"/>
    <w:rsid w:val="00DB46D7"/>
    <w:rsid w:val="00DD7ECF"/>
    <w:rsid w:val="00DE2B8C"/>
    <w:rsid w:val="00E008F1"/>
    <w:rsid w:val="00E01E82"/>
    <w:rsid w:val="00E033B7"/>
    <w:rsid w:val="00E1093F"/>
    <w:rsid w:val="00E11E4B"/>
    <w:rsid w:val="00E26EDE"/>
    <w:rsid w:val="00E313CD"/>
    <w:rsid w:val="00E4101D"/>
    <w:rsid w:val="00E52661"/>
    <w:rsid w:val="00E53BD0"/>
    <w:rsid w:val="00E56736"/>
    <w:rsid w:val="00E628BA"/>
    <w:rsid w:val="00E66D7C"/>
    <w:rsid w:val="00E72BAC"/>
    <w:rsid w:val="00E751C6"/>
    <w:rsid w:val="00E805B8"/>
    <w:rsid w:val="00EB1A3D"/>
    <w:rsid w:val="00EB4D33"/>
    <w:rsid w:val="00EB560E"/>
    <w:rsid w:val="00EB705C"/>
    <w:rsid w:val="00EB7CFC"/>
    <w:rsid w:val="00EC2827"/>
    <w:rsid w:val="00ED1954"/>
    <w:rsid w:val="00ED3358"/>
    <w:rsid w:val="00ED7081"/>
    <w:rsid w:val="00EE3EC3"/>
    <w:rsid w:val="00EE59D3"/>
    <w:rsid w:val="00EF6890"/>
    <w:rsid w:val="00F01775"/>
    <w:rsid w:val="00F05B23"/>
    <w:rsid w:val="00F128D2"/>
    <w:rsid w:val="00F17FC5"/>
    <w:rsid w:val="00F268A3"/>
    <w:rsid w:val="00F33218"/>
    <w:rsid w:val="00F40A67"/>
    <w:rsid w:val="00F55BC3"/>
    <w:rsid w:val="00F6521F"/>
    <w:rsid w:val="00F855A4"/>
    <w:rsid w:val="00F87FB0"/>
    <w:rsid w:val="00F939CE"/>
    <w:rsid w:val="00F9560F"/>
    <w:rsid w:val="00FA3BB9"/>
    <w:rsid w:val="00FB12B9"/>
    <w:rsid w:val="00FB780D"/>
    <w:rsid w:val="00FC05DF"/>
    <w:rsid w:val="00FE0F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61AE"/>
  <w15:chartTrackingRefBased/>
  <w15:docId w15:val="{4FF96F1D-CD1D-6D47-BFEC-0F4602D8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C3"/>
    <w:pPr>
      <w:ind w:left="720"/>
      <w:contextualSpacing/>
    </w:pPr>
  </w:style>
  <w:style w:type="paragraph" w:styleId="FootnoteText">
    <w:name w:val="footnote text"/>
    <w:basedOn w:val="Normal"/>
    <w:link w:val="FootnoteTextChar"/>
    <w:uiPriority w:val="99"/>
    <w:semiHidden/>
    <w:unhideWhenUsed/>
    <w:rsid w:val="00AC4D6A"/>
    <w:rPr>
      <w:sz w:val="20"/>
      <w:szCs w:val="20"/>
    </w:rPr>
  </w:style>
  <w:style w:type="character" w:customStyle="1" w:styleId="FootnoteTextChar">
    <w:name w:val="Footnote Text Char"/>
    <w:basedOn w:val="DefaultParagraphFont"/>
    <w:link w:val="FootnoteText"/>
    <w:uiPriority w:val="99"/>
    <w:semiHidden/>
    <w:rsid w:val="00AC4D6A"/>
    <w:rPr>
      <w:sz w:val="20"/>
      <w:szCs w:val="20"/>
    </w:rPr>
  </w:style>
  <w:style w:type="character" w:styleId="FootnoteReference">
    <w:name w:val="footnote reference"/>
    <w:basedOn w:val="DefaultParagraphFont"/>
    <w:uiPriority w:val="99"/>
    <w:semiHidden/>
    <w:unhideWhenUsed/>
    <w:rsid w:val="00AC4D6A"/>
    <w:rPr>
      <w:vertAlign w:val="superscript"/>
    </w:rPr>
  </w:style>
  <w:style w:type="paragraph" w:styleId="Header">
    <w:name w:val="header"/>
    <w:basedOn w:val="Normal"/>
    <w:link w:val="HeaderChar"/>
    <w:uiPriority w:val="99"/>
    <w:unhideWhenUsed/>
    <w:rsid w:val="005D015B"/>
    <w:pPr>
      <w:tabs>
        <w:tab w:val="center" w:pos="4513"/>
        <w:tab w:val="right" w:pos="9026"/>
      </w:tabs>
    </w:pPr>
  </w:style>
  <w:style w:type="character" w:customStyle="1" w:styleId="HeaderChar">
    <w:name w:val="Header Char"/>
    <w:basedOn w:val="DefaultParagraphFont"/>
    <w:link w:val="Header"/>
    <w:uiPriority w:val="99"/>
    <w:rsid w:val="005D015B"/>
  </w:style>
  <w:style w:type="character" w:styleId="PageNumber">
    <w:name w:val="page number"/>
    <w:basedOn w:val="DefaultParagraphFont"/>
    <w:uiPriority w:val="99"/>
    <w:semiHidden/>
    <w:unhideWhenUsed/>
    <w:rsid w:val="005D015B"/>
  </w:style>
  <w:style w:type="character" w:styleId="Hyperlink">
    <w:name w:val="Hyperlink"/>
    <w:basedOn w:val="DefaultParagraphFont"/>
    <w:uiPriority w:val="99"/>
    <w:unhideWhenUsed/>
    <w:rsid w:val="00F939CE"/>
    <w:rPr>
      <w:color w:val="0563C1" w:themeColor="hyperlink"/>
      <w:u w:val="single"/>
    </w:rPr>
  </w:style>
  <w:style w:type="paragraph" w:styleId="BalloonText">
    <w:name w:val="Balloon Text"/>
    <w:basedOn w:val="Normal"/>
    <w:link w:val="BalloonTextChar"/>
    <w:uiPriority w:val="99"/>
    <w:semiHidden/>
    <w:unhideWhenUsed/>
    <w:rsid w:val="008D3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BF350-DE8E-453E-8868-9C6EF43E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HOME</cp:lastModifiedBy>
  <cp:revision>3</cp:revision>
  <cp:lastPrinted>2022-02-11T10:14:00Z</cp:lastPrinted>
  <dcterms:created xsi:type="dcterms:W3CDTF">2022-07-20T17:41:00Z</dcterms:created>
  <dcterms:modified xsi:type="dcterms:W3CDTF">2022-07-20T17:41:00Z</dcterms:modified>
</cp:coreProperties>
</file>