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29859" w14:textId="77777777" w:rsidR="006A6955" w:rsidRPr="005E0A83" w:rsidRDefault="006A6955" w:rsidP="00DD3AF8">
      <w:pPr>
        <w:pStyle w:val="GW11"/>
        <w:jc w:val="left"/>
        <w:rPr>
          <w:rFonts w:ascii="Arial" w:hAnsi="Arial" w:cs="Arial"/>
          <w:b/>
          <w:szCs w:val="24"/>
        </w:rPr>
      </w:pPr>
      <w:bookmarkStart w:id="0" w:name="_GoBack"/>
      <w:bookmarkEnd w:id="0"/>
      <w:r w:rsidRPr="005E0A83">
        <w:rPr>
          <w:rFonts w:ascii="Arial" w:hAnsi="Arial" w:cs="Arial"/>
          <w:b/>
          <w:szCs w:val="24"/>
        </w:rPr>
        <w:t>IN THE HIGH COURT OF SOUTH AFRICA</w:t>
      </w:r>
    </w:p>
    <w:p w14:paraId="3D0B7FEC" w14:textId="35CB296F" w:rsidR="006A6955" w:rsidRPr="005E0A83" w:rsidRDefault="006A6955" w:rsidP="00DD3AF8">
      <w:pPr>
        <w:pStyle w:val="GW11"/>
        <w:jc w:val="left"/>
        <w:rPr>
          <w:rFonts w:ascii="Arial" w:hAnsi="Arial" w:cs="Arial"/>
          <w:b/>
          <w:szCs w:val="24"/>
        </w:rPr>
      </w:pPr>
      <w:r w:rsidRPr="005E0A83">
        <w:rPr>
          <w:rFonts w:ascii="Arial" w:hAnsi="Arial" w:cs="Arial"/>
          <w:b/>
          <w:szCs w:val="24"/>
        </w:rPr>
        <w:t>(EASTERN CAPE DIVISION, MAKHANDA)</w:t>
      </w:r>
    </w:p>
    <w:p w14:paraId="7D3768A8" w14:textId="3549CF61" w:rsidR="006A6955" w:rsidRPr="005E0A83" w:rsidRDefault="006A6955" w:rsidP="006A6955">
      <w:pPr>
        <w:pStyle w:val="GW11"/>
        <w:tabs>
          <w:tab w:val="clear" w:pos="6048"/>
          <w:tab w:val="left" w:pos="4820"/>
          <w:tab w:val="left" w:pos="9071"/>
        </w:tabs>
        <w:ind w:right="-45"/>
        <w:jc w:val="right"/>
        <w:rPr>
          <w:rFonts w:ascii="Arial" w:hAnsi="Arial" w:cs="Arial"/>
          <w:szCs w:val="24"/>
        </w:rPr>
      </w:pPr>
      <w:r w:rsidRPr="005E0A83">
        <w:rPr>
          <w:rFonts w:ascii="Arial" w:hAnsi="Arial" w:cs="Arial"/>
          <w:szCs w:val="24"/>
        </w:rPr>
        <w:tab/>
      </w:r>
      <w:r w:rsidRPr="005E0A83">
        <w:rPr>
          <w:rFonts w:ascii="Arial" w:hAnsi="Arial" w:cs="Arial"/>
          <w:szCs w:val="24"/>
        </w:rPr>
        <w:tab/>
      </w:r>
      <w:r w:rsidRPr="005E0A83">
        <w:rPr>
          <w:rFonts w:ascii="Arial" w:hAnsi="Arial" w:cs="Arial"/>
          <w:szCs w:val="24"/>
        </w:rPr>
        <w:tab/>
        <w:t xml:space="preserve">     Case No. 3703/2019</w:t>
      </w:r>
    </w:p>
    <w:p w14:paraId="51B6F2C3" w14:textId="77777777" w:rsidR="006A6955" w:rsidRPr="005E0A83" w:rsidRDefault="006A6955" w:rsidP="006A6955">
      <w:pPr>
        <w:pStyle w:val="GW11"/>
        <w:tabs>
          <w:tab w:val="clear" w:pos="4464"/>
          <w:tab w:val="clear" w:pos="6048"/>
          <w:tab w:val="left" w:pos="4820"/>
          <w:tab w:val="left" w:pos="5103"/>
          <w:tab w:val="left" w:pos="9071"/>
        </w:tabs>
        <w:ind w:left="720" w:right="-45"/>
        <w:jc w:val="left"/>
        <w:rPr>
          <w:rFonts w:ascii="Arial" w:hAnsi="Arial" w:cs="Arial"/>
          <w:szCs w:val="24"/>
        </w:rPr>
      </w:pPr>
      <w:r w:rsidRPr="005E0A83">
        <w:rPr>
          <w:rFonts w:ascii="Arial" w:hAnsi="Arial" w:cs="Arial"/>
          <w:szCs w:val="24"/>
        </w:rPr>
        <w:tab/>
      </w:r>
      <w:r w:rsidRPr="005E0A83">
        <w:rPr>
          <w:rFonts w:ascii="Arial" w:hAnsi="Arial" w:cs="Arial"/>
          <w:szCs w:val="24"/>
        </w:rPr>
        <w:tab/>
      </w:r>
      <w:r w:rsidRPr="005E0A83">
        <w:rPr>
          <w:rFonts w:ascii="Arial" w:hAnsi="Arial" w:cs="Arial"/>
          <w:szCs w:val="24"/>
        </w:rPr>
        <w:tab/>
      </w:r>
    </w:p>
    <w:p w14:paraId="728BF4E2" w14:textId="3133806A" w:rsidR="006A6955" w:rsidRPr="005E0A83" w:rsidRDefault="006A6955" w:rsidP="006A6955">
      <w:pPr>
        <w:pStyle w:val="GW11"/>
        <w:tabs>
          <w:tab w:val="clear" w:pos="4464"/>
          <w:tab w:val="clear" w:pos="6048"/>
          <w:tab w:val="left" w:pos="4820"/>
          <w:tab w:val="left" w:pos="5103"/>
          <w:tab w:val="left" w:pos="9071"/>
        </w:tabs>
        <w:ind w:right="-45"/>
        <w:jc w:val="left"/>
        <w:rPr>
          <w:rFonts w:ascii="Arial" w:hAnsi="Arial" w:cs="Arial"/>
          <w:szCs w:val="24"/>
        </w:rPr>
      </w:pPr>
      <w:r w:rsidRPr="005E0A83">
        <w:rPr>
          <w:rFonts w:ascii="Arial" w:hAnsi="Arial" w:cs="Arial"/>
          <w:szCs w:val="24"/>
        </w:rPr>
        <w:t xml:space="preserve">In the matter </w:t>
      </w:r>
      <w:r w:rsidR="00992424" w:rsidRPr="005E0A83">
        <w:rPr>
          <w:rFonts w:ascii="Arial" w:hAnsi="Arial" w:cs="Arial"/>
          <w:szCs w:val="24"/>
        </w:rPr>
        <w:t>between: -</w:t>
      </w:r>
    </w:p>
    <w:p w14:paraId="7E3E7E54" w14:textId="77777777" w:rsidR="006A6955" w:rsidRPr="005E0A83" w:rsidRDefault="006A6955" w:rsidP="006A6955">
      <w:pPr>
        <w:pStyle w:val="GW11"/>
        <w:rPr>
          <w:rFonts w:ascii="Arial" w:hAnsi="Arial" w:cs="Arial"/>
          <w:szCs w:val="24"/>
        </w:rPr>
      </w:pPr>
    </w:p>
    <w:p w14:paraId="3E816303" w14:textId="537ADCB1" w:rsidR="006A6955" w:rsidRPr="005E0A83" w:rsidRDefault="006A6955" w:rsidP="006A6955">
      <w:pPr>
        <w:pStyle w:val="GW12"/>
        <w:tabs>
          <w:tab w:val="clear" w:pos="6048"/>
          <w:tab w:val="clear" w:pos="8640"/>
          <w:tab w:val="left" w:pos="4820"/>
          <w:tab w:val="right" w:pos="8931"/>
        </w:tabs>
        <w:ind w:right="-46"/>
        <w:jc w:val="left"/>
        <w:rPr>
          <w:rFonts w:ascii="Arial" w:hAnsi="Arial" w:cs="Arial"/>
          <w:bCs/>
          <w:szCs w:val="24"/>
        </w:rPr>
      </w:pPr>
      <w:r w:rsidRPr="005E0A83">
        <w:rPr>
          <w:rFonts w:ascii="Arial" w:hAnsi="Arial" w:cs="Arial"/>
          <w:b/>
          <w:szCs w:val="24"/>
        </w:rPr>
        <w:t xml:space="preserve">SONWABO CIBI                                                                                   </w:t>
      </w:r>
      <w:r w:rsidR="009E1308">
        <w:rPr>
          <w:rFonts w:ascii="Arial" w:hAnsi="Arial" w:cs="Arial"/>
          <w:b/>
          <w:szCs w:val="24"/>
        </w:rPr>
        <w:t xml:space="preserve">  </w:t>
      </w:r>
      <w:r w:rsidRPr="005E0A83">
        <w:rPr>
          <w:rFonts w:ascii="Arial" w:hAnsi="Arial" w:cs="Arial"/>
          <w:bCs/>
          <w:szCs w:val="24"/>
        </w:rPr>
        <w:t>First Applicant</w:t>
      </w:r>
    </w:p>
    <w:p w14:paraId="06DBEA7C" w14:textId="737EBEA6" w:rsidR="006A6955" w:rsidRPr="005E0A83" w:rsidRDefault="006A6955" w:rsidP="002D0164">
      <w:pPr>
        <w:pStyle w:val="GW12"/>
        <w:tabs>
          <w:tab w:val="clear" w:pos="6048"/>
          <w:tab w:val="clear" w:pos="8640"/>
          <w:tab w:val="left" w:pos="4820"/>
          <w:tab w:val="right" w:pos="9072"/>
        </w:tabs>
        <w:ind w:right="-46"/>
        <w:jc w:val="left"/>
        <w:rPr>
          <w:rFonts w:ascii="Arial" w:hAnsi="Arial" w:cs="Arial"/>
          <w:bCs/>
          <w:szCs w:val="24"/>
        </w:rPr>
      </w:pPr>
      <w:r w:rsidRPr="005E0A83">
        <w:rPr>
          <w:rFonts w:ascii="Arial" w:hAnsi="Arial" w:cs="Arial"/>
          <w:b/>
          <w:szCs w:val="24"/>
        </w:rPr>
        <w:t>PIWOKUHLE ZITSHU</w:t>
      </w:r>
      <w:r w:rsidRPr="005E0A83">
        <w:rPr>
          <w:rFonts w:ascii="Arial" w:hAnsi="Arial" w:cs="Arial"/>
          <w:b/>
          <w:szCs w:val="24"/>
        </w:rPr>
        <w:tab/>
      </w:r>
      <w:r w:rsidRPr="005E0A83">
        <w:rPr>
          <w:rFonts w:ascii="Arial" w:hAnsi="Arial" w:cs="Arial"/>
          <w:b/>
          <w:szCs w:val="24"/>
        </w:rPr>
        <w:tab/>
      </w:r>
      <w:r w:rsidRPr="005E0A83">
        <w:rPr>
          <w:rFonts w:ascii="Arial" w:hAnsi="Arial" w:cs="Arial"/>
          <w:b/>
          <w:szCs w:val="24"/>
        </w:rPr>
        <w:tab/>
      </w:r>
      <w:r w:rsidR="002D0164" w:rsidRPr="005E0A83">
        <w:rPr>
          <w:rFonts w:ascii="Arial" w:hAnsi="Arial" w:cs="Arial"/>
          <w:b/>
          <w:szCs w:val="24"/>
        </w:rPr>
        <w:tab/>
        <w:t xml:space="preserve">      </w:t>
      </w:r>
      <w:r w:rsidRPr="005E0A83">
        <w:rPr>
          <w:rFonts w:ascii="Arial" w:hAnsi="Arial" w:cs="Arial"/>
          <w:bCs/>
          <w:szCs w:val="24"/>
        </w:rPr>
        <w:t>Second Applicant</w:t>
      </w:r>
    </w:p>
    <w:p w14:paraId="4CB65DA2" w14:textId="4138CE89" w:rsidR="006A6955" w:rsidRPr="005E0A83" w:rsidRDefault="006A6955" w:rsidP="002D0164">
      <w:pPr>
        <w:pStyle w:val="GW12"/>
        <w:tabs>
          <w:tab w:val="clear" w:pos="6048"/>
          <w:tab w:val="clear" w:pos="8640"/>
          <w:tab w:val="left" w:pos="4820"/>
          <w:tab w:val="right" w:pos="9072"/>
        </w:tabs>
        <w:ind w:right="-46"/>
        <w:jc w:val="left"/>
        <w:rPr>
          <w:rFonts w:ascii="Arial" w:hAnsi="Arial" w:cs="Arial"/>
          <w:b/>
          <w:szCs w:val="24"/>
        </w:rPr>
      </w:pPr>
      <w:r w:rsidRPr="005E0A83">
        <w:rPr>
          <w:rFonts w:ascii="Arial" w:hAnsi="Arial" w:cs="Arial"/>
          <w:b/>
          <w:szCs w:val="24"/>
        </w:rPr>
        <w:t>FIKELWA SETI</w:t>
      </w:r>
      <w:r w:rsidRPr="005E0A83">
        <w:rPr>
          <w:rFonts w:ascii="Arial" w:hAnsi="Arial" w:cs="Arial"/>
          <w:b/>
          <w:szCs w:val="24"/>
        </w:rPr>
        <w:tab/>
      </w:r>
      <w:r w:rsidRPr="005E0A83">
        <w:rPr>
          <w:rFonts w:ascii="Arial" w:hAnsi="Arial" w:cs="Arial"/>
          <w:b/>
          <w:szCs w:val="24"/>
        </w:rPr>
        <w:tab/>
      </w:r>
      <w:r w:rsidRPr="005E0A83">
        <w:rPr>
          <w:rFonts w:ascii="Arial" w:hAnsi="Arial" w:cs="Arial"/>
          <w:b/>
          <w:szCs w:val="24"/>
        </w:rPr>
        <w:tab/>
      </w:r>
      <w:r w:rsidR="002D0164" w:rsidRPr="005E0A83">
        <w:rPr>
          <w:rFonts w:ascii="Arial" w:hAnsi="Arial" w:cs="Arial"/>
          <w:b/>
          <w:szCs w:val="24"/>
        </w:rPr>
        <w:tab/>
      </w:r>
      <w:r w:rsidRPr="005E0A83">
        <w:rPr>
          <w:rFonts w:ascii="Arial" w:hAnsi="Arial" w:cs="Arial"/>
          <w:bCs/>
          <w:szCs w:val="24"/>
        </w:rPr>
        <w:t>Third Applicant</w:t>
      </w:r>
    </w:p>
    <w:p w14:paraId="2D1B30FC" w14:textId="5BC7664F" w:rsidR="006A6955" w:rsidRPr="005E0A83" w:rsidRDefault="006A6955" w:rsidP="002D0164">
      <w:pPr>
        <w:pStyle w:val="GW12"/>
        <w:tabs>
          <w:tab w:val="clear" w:pos="6048"/>
          <w:tab w:val="clear" w:pos="8640"/>
          <w:tab w:val="left" w:pos="4820"/>
          <w:tab w:val="right" w:pos="9072"/>
        </w:tabs>
        <w:ind w:right="-46"/>
        <w:jc w:val="left"/>
        <w:rPr>
          <w:rFonts w:ascii="Arial" w:hAnsi="Arial" w:cs="Arial"/>
          <w:b/>
          <w:szCs w:val="24"/>
        </w:rPr>
      </w:pPr>
      <w:r w:rsidRPr="005E0A83">
        <w:rPr>
          <w:rFonts w:ascii="Arial" w:hAnsi="Arial" w:cs="Arial"/>
          <w:b/>
          <w:szCs w:val="24"/>
        </w:rPr>
        <w:t>NOXOLO MARU</w:t>
      </w:r>
      <w:r w:rsidRPr="005E0A83">
        <w:rPr>
          <w:rFonts w:ascii="Arial" w:hAnsi="Arial" w:cs="Arial"/>
          <w:b/>
          <w:szCs w:val="24"/>
        </w:rPr>
        <w:tab/>
      </w:r>
      <w:r w:rsidRPr="005E0A83">
        <w:rPr>
          <w:rFonts w:ascii="Arial" w:hAnsi="Arial" w:cs="Arial"/>
          <w:b/>
          <w:szCs w:val="24"/>
        </w:rPr>
        <w:tab/>
      </w:r>
      <w:r w:rsidRPr="005E0A83">
        <w:rPr>
          <w:rFonts w:ascii="Arial" w:hAnsi="Arial" w:cs="Arial"/>
          <w:b/>
          <w:szCs w:val="24"/>
        </w:rPr>
        <w:tab/>
      </w:r>
      <w:r w:rsidR="002D0164" w:rsidRPr="005E0A83">
        <w:rPr>
          <w:rFonts w:ascii="Arial" w:hAnsi="Arial" w:cs="Arial"/>
          <w:b/>
          <w:szCs w:val="24"/>
        </w:rPr>
        <w:tab/>
      </w:r>
      <w:r w:rsidRPr="005E0A83">
        <w:rPr>
          <w:rFonts w:ascii="Arial" w:hAnsi="Arial" w:cs="Arial"/>
          <w:bCs/>
          <w:szCs w:val="24"/>
        </w:rPr>
        <w:t>Fourth Applicant</w:t>
      </w:r>
    </w:p>
    <w:p w14:paraId="483E6C62" w14:textId="7A2E095D" w:rsidR="006A6955" w:rsidRPr="005E0A83" w:rsidRDefault="006A6955" w:rsidP="002D0164">
      <w:pPr>
        <w:pStyle w:val="GW12"/>
        <w:tabs>
          <w:tab w:val="clear" w:pos="6048"/>
          <w:tab w:val="clear" w:pos="8640"/>
          <w:tab w:val="left" w:pos="4820"/>
          <w:tab w:val="right" w:pos="9072"/>
        </w:tabs>
        <w:ind w:right="-46"/>
        <w:jc w:val="left"/>
        <w:rPr>
          <w:rFonts w:ascii="Arial" w:hAnsi="Arial" w:cs="Arial"/>
          <w:b/>
          <w:szCs w:val="24"/>
        </w:rPr>
      </w:pPr>
      <w:r w:rsidRPr="005E0A83">
        <w:rPr>
          <w:rFonts w:ascii="Arial" w:hAnsi="Arial" w:cs="Arial"/>
          <w:b/>
          <w:szCs w:val="24"/>
        </w:rPr>
        <w:t>NOMBEKO MAZWI</w:t>
      </w:r>
      <w:r w:rsidRPr="005E0A83">
        <w:rPr>
          <w:rFonts w:ascii="Arial" w:hAnsi="Arial" w:cs="Arial"/>
          <w:b/>
          <w:szCs w:val="24"/>
        </w:rPr>
        <w:tab/>
      </w:r>
      <w:r w:rsidRPr="005E0A83">
        <w:rPr>
          <w:rFonts w:ascii="Arial" w:hAnsi="Arial" w:cs="Arial"/>
          <w:b/>
          <w:szCs w:val="24"/>
        </w:rPr>
        <w:tab/>
      </w:r>
      <w:r w:rsidR="002D0164" w:rsidRPr="005E0A83">
        <w:rPr>
          <w:rFonts w:ascii="Arial" w:hAnsi="Arial" w:cs="Arial"/>
          <w:b/>
          <w:szCs w:val="24"/>
        </w:rPr>
        <w:t xml:space="preserve"> </w:t>
      </w:r>
      <w:r w:rsidR="005E0A83">
        <w:rPr>
          <w:rFonts w:ascii="Arial" w:hAnsi="Arial" w:cs="Arial"/>
          <w:b/>
          <w:szCs w:val="24"/>
        </w:rPr>
        <w:tab/>
      </w:r>
      <w:r w:rsidR="002D0164" w:rsidRPr="005E0A83">
        <w:rPr>
          <w:rFonts w:ascii="Arial" w:hAnsi="Arial" w:cs="Arial"/>
          <w:b/>
          <w:szCs w:val="24"/>
        </w:rPr>
        <w:tab/>
      </w:r>
      <w:r w:rsidRPr="005E0A83">
        <w:rPr>
          <w:rFonts w:ascii="Arial" w:hAnsi="Arial" w:cs="Arial"/>
          <w:bCs/>
          <w:szCs w:val="24"/>
        </w:rPr>
        <w:t>Fifth Applicant</w:t>
      </w:r>
    </w:p>
    <w:p w14:paraId="6091D7FB" w14:textId="13D9C2A8" w:rsidR="006A6955" w:rsidRPr="005E0A83" w:rsidRDefault="006A6955" w:rsidP="002D0164">
      <w:pPr>
        <w:pStyle w:val="GW12"/>
        <w:tabs>
          <w:tab w:val="clear" w:pos="6048"/>
          <w:tab w:val="clear" w:pos="8640"/>
          <w:tab w:val="left" w:pos="4820"/>
          <w:tab w:val="right" w:pos="9072"/>
        </w:tabs>
        <w:ind w:right="-46"/>
        <w:jc w:val="left"/>
        <w:rPr>
          <w:rFonts w:ascii="Arial" w:hAnsi="Arial" w:cs="Arial"/>
          <w:b/>
          <w:szCs w:val="24"/>
        </w:rPr>
      </w:pPr>
      <w:r w:rsidRPr="005E0A83">
        <w:rPr>
          <w:rFonts w:ascii="Arial" w:hAnsi="Arial" w:cs="Arial"/>
          <w:b/>
          <w:szCs w:val="24"/>
        </w:rPr>
        <w:t>JOSHUA ZWELOBUSI JITA</w:t>
      </w:r>
      <w:r w:rsidRPr="005E0A83">
        <w:rPr>
          <w:rFonts w:ascii="Arial" w:hAnsi="Arial" w:cs="Arial"/>
          <w:b/>
          <w:szCs w:val="24"/>
        </w:rPr>
        <w:tab/>
      </w:r>
      <w:r w:rsidRPr="005E0A83">
        <w:rPr>
          <w:rFonts w:ascii="Arial" w:hAnsi="Arial" w:cs="Arial"/>
          <w:b/>
          <w:szCs w:val="24"/>
        </w:rPr>
        <w:tab/>
      </w:r>
      <w:r w:rsidR="005E0A83">
        <w:rPr>
          <w:rFonts w:ascii="Arial" w:hAnsi="Arial" w:cs="Arial"/>
          <w:b/>
          <w:szCs w:val="24"/>
        </w:rPr>
        <w:t xml:space="preserve">   </w:t>
      </w:r>
      <w:r w:rsidR="00DD3AF8" w:rsidRPr="005E0A83">
        <w:rPr>
          <w:rFonts w:ascii="Arial" w:hAnsi="Arial" w:cs="Arial"/>
          <w:b/>
          <w:szCs w:val="24"/>
        </w:rPr>
        <w:t xml:space="preserve">                                    </w:t>
      </w:r>
      <w:r w:rsidRPr="005E0A83">
        <w:rPr>
          <w:rFonts w:ascii="Arial" w:hAnsi="Arial" w:cs="Arial"/>
          <w:bCs/>
          <w:szCs w:val="24"/>
        </w:rPr>
        <w:t>Sixth Applicant</w:t>
      </w:r>
    </w:p>
    <w:p w14:paraId="27AC8305" w14:textId="7D30D2D8" w:rsidR="006A6955" w:rsidRPr="005E0A83" w:rsidRDefault="006A6955" w:rsidP="002D0164">
      <w:pPr>
        <w:pStyle w:val="GW12"/>
        <w:tabs>
          <w:tab w:val="clear" w:pos="6048"/>
          <w:tab w:val="clear" w:pos="8640"/>
          <w:tab w:val="left" w:pos="4820"/>
          <w:tab w:val="right" w:pos="9072"/>
        </w:tabs>
        <w:ind w:right="-46"/>
        <w:jc w:val="left"/>
        <w:rPr>
          <w:rFonts w:ascii="Arial" w:hAnsi="Arial" w:cs="Arial"/>
          <w:b/>
          <w:szCs w:val="24"/>
        </w:rPr>
      </w:pPr>
      <w:r w:rsidRPr="005E0A83">
        <w:rPr>
          <w:rFonts w:ascii="Arial" w:hAnsi="Arial" w:cs="Arial"/>
          <w:b/>
          <w:szCs w:val="24"/>
        </w:rPr>
        <w:t>LOMEX MZANELE SISILANA</w:t>
      </w:r>
      <w:r w:rsidRPr="005E0A83">
        <w:rPr>
          <w:rFonts w:ascii="Arial" w:hAnsi="Arial" w:cs="Arial"/>
          <w:b/>
          <w:szCs w:val="24"/>
        </w:rPr>
        <w:tab/>
      </w:r>
      <w:r w:rsidR="002D0164" w:rsidRPr="005E0A83">
        <w:rPr>
          <w:rFonts w:ascii="Arial" w:hAnsi="Arial" w:cs="Arial"/>
          <w:b/>
          <w:szCs w:val="24"/>
        </w:rPr>
        <w:t xml:space="preserve"> </w:t>
      </w:r>
      <w:r w:rsidR="002D0164" w:rsidRPr="005E0A83">
        <w:rPr>
          <w:rFonts w:ascii="Arial" w:hAnsi="Arial" w:cs="Arial"/>
          <w:b/>
          <w:szCs w:val="24"/>
        </w:rPr>
        <w:tab/>
      </w:r>
      <w:r w:rsidRPr="005E0A83">
        <w:rPr>
          <w:rFonts w:ascii="Arial" w:hAnsi="Arial" w:cs="Arial"/>
          <w:b/>
          <w:szCs w:val="24"/>
        </w:rPr>
        <w:tab/>
      </w:r>
      <w:r w:rsidRPr="005E0A83">
        <w:rPr>
          <w:rFonts w:ascii="Arial" w:hAnsi="Arial" w:cs="Arial"/>
          <w:bCs/>
          <w:szCs w:val="24"/>
        </w:rPr>
        <w:t>Seventh Applicant</w:t>
      </w:r>
    </w:p>
    <w:p w14:paraId="719B2822" w14:textId="5778BEE0" w:rsidR="006A6955" w:rsidRPr="005E0A83" w:rsidRDefault="006A6955" w:rsidP="002D0164">
      <w:pPr>
        <w:pStyle w:val="GW12"/>
        <w:tabs>
          <w:tab w:val="clear" w:pos="6048"/>
          <w:tab w:val="clear" w:pos="8640"/>
          <w:tab w:val="left" w:pos="4820"/>
          <w:tab w:val="right" w:pos="9072"/>
        </w:tabs>
        <w:ind w:right="-46"/>
        <w:jc w:val="left"/>
        <w:rPr>
          <w:rFonts w:ascii="Arial" w:hAnsi="Arial" w:cs="Arial"/>
          <w:b/>
          <w:szCs w:val="24"/>
        </w:rPr>
      </w:pPr>
      <w:r w:rsidRPr="005E0A83">
        <w:rPr>
          <w:rFonts w:ascii="Arial" w:hAnsi="Arial" w:cs="Arial"/>
          <w:b/>
          <w:szCs w:val="24"/>
        </w:rPr>
        <w:t xml:space="preserve">NOMTHANDAZO NTOZAKHE </w:t>
      </w:r>
      <w:r w:rsidRPr="005E0A83">
        <w:rPr>
          <w:rFonts w:ascii="Arial" w:hAnsi="Arial" w:cs="Arial"/>
          <w:b/>
          <w:szCs w:val="24"/>
        </w:rPr>
        <w:tab/>
      </w:r>
      <w:r w:rsidR="002D0164" w:rsidRPr="005E0A83">
        <w:rPr>
          <w:rFonts w:ascii="Arial" w:hAnsi="Arial" w:cs="Arial"/>
          <w:b/>
          <w:szCs w:val="24"/>
        </w:rPr>
        <w:t xml:space="preserve"> </w:t>
      </w:r>
      <w:r w:rsidR="002D0164" w:rsidRPr="005E0A83">
        <w:rPr>
          <w:rFonts w:ascii="Arial" w:hAnsi="Arial" w:cs="Arial"/>
          <w:b/>
          <w:szCs w:val="24"/>
        </w:rPr>
        <w:tab/>
      </w:r>
      <w:r w:rsidR="002D0164" w:rsidRPr="005E0A83">
        <w:rPr>
          <w:rFonts w:ascii="Arial" w:hAnsi="Arial" w:cs="Arial"/>
          <w:b/>
          <w:szCs w:val="24"/>
        </w:rPr>
        <w:tab/>
      </w:r>
      <w:r w:rsidRPr="005E0A83">
        <w:rPr>
          <w:rFonts w:ascii="Arial" w:hAnsi="Arial" w:cs="Arial"/>
          <w:bCs/>
          <w:szCs w:val="24"/>
        </w:rPr>
        <w:t>Eighth Applicant</w:t>
      </w:r>
    </w:p>
    <w:p w14:paraId="7DA4D669" w14:textId="548810B7" w:rsidR="006A6955" w:rsidRPr="005E0A83" w:rsidRDefault="006A6955" w:rsidP="002D0164">
      <w:pPr>
        <w:pStyle w:val="GW12"/>
        <w:tabs>
          <w:tab w:val="clear" w:pos="6048"/>
          <w:tab w:val="clear" w:pos="8640"/>
          <w:tab w:val="left" w:pos="4820"/>
          <w:tab w:val="right" w:pos="9072"/>
        </w:tabs>
        <w:ind w:right="-46"/>
        <w:jc w:val="left"/>
        <w:rPr>
          <w:rFonts w:ascii="Arial" w:hAnsi="Arial" w:cs="Arial"/>
          <w:b/>
          <w:szCs w:val="24"/>
        </w:rPr>
      </w:pPr>
      <w:r w:rsidRPr="005E0A83">
        <w:rPr>
          <w:rFonts w:ascii="Arial" w:hAnsi="Arial" w:cs="Arial"/>
          <w:b/>
          <w:szCs w:val="24"/>
        </w:rPr>
        <w:t>THULISA SONJANI</w:t>
      </w:r>
      <w:r w:rsidRPr="005E0A83">
        <w:rPr>
          <w:rFonts w:ascii="Arial" w:hAnsi="Arial" w:cs="Arial"/>
          <w:b/>
          <w:szCs w:val="24"/>
        </w:rPr>
        <w:tab/>
      </w:r>
      <w:r w:rsidR="002D0164" w:rsidRPr="005E0A83">
        <w:rPr>
          <w:rFonts w:ascii="Arial" w:hAnsi="Arial" w:cs="Arial"/>
          <w:b/>
          <w:szCs w:val="24"/>
        </w:rPr>
        <w:t xml:space="preserve"> </w:t>
      </w:r>
      <w:r w:rsidR="002D0164" w:rsidRPr="005E0A83">
        <w:rPr>
          <w:rFonts w:ascii="Arial" w:hAnsi="Arial" w:cs="Arial"/>
          <w:b/>
          <w:szCs w:val="24"/>
        </w:rPr>
        <w:tab/>
      </w:r>
      <w:r w:rsidR="002D0164" w:rsidRPr="005E0A83">
        <w:rPr>
          <w:rFonts w:ascii="Arial" w:hAnsi="Arial" w:cs="Arial"/>
          <w:b/>
          <w:szCs w:val="24"/>
        </w:rPr>
        <w:tab/>
      </w:r>
      <w:r w:rsidR="002D0164" w:rsidRPr="005E0A83">
        <w:rPr>
          <w:rFonts w:ascii="Arial" w:hAnsi="Arial" w:cs="Arial"/>
          <w:b/>
          <w:szCs w:val="24"/>
        </w:rPr>
        <w:tab/>
      </w:r>
      <w:r w:rsidRPr="005E0A83">
        <w:rPr>
          <w:rFonts w:ascii="Arial" w:hAnsi="Arial" w:cs="Arial"/>
          <w:bCs/>
          <w:szCs w:val="24"/>
        </w:rPr>
        <w:t>Nineth Applicant</w:t>
      </w:r>
    </w:p>
    <w:p w14:paraId="2BAEDACD" w14:textId="6CF01993" w:rsidR="006A6955" w:rsidRPr="005E0A83" w:rsidRDefault="006A6955" w:rsidP="002D0164">
      <w:pPr>
        <w:pStyle w:val="GW12"/>
        <w:tabs>
          <w:tab w:val="clear" w:pos="6048"/>
          <w:tab w:val="clear" w:pos="8640"/>
          <w:tab w:val="left" w:pos="4820"/>
          <w:tab w:val="right" w:pos="9072"/>
        </w:tabs>
        <w:ind w:right="-46"/>
        <w:jc w:val="left"/>
        <w:rPr>
          <w:rFonts w:ascii="Arial" w:hAnsi="Arial" w:cs="Arial"/>
          <w:b/>
          <w:szCs w:val="24"/>
        </w:rPr>
      </w:pPr>
      <w:r w:rsidRPr="005E0A83">
        <w:rPr>
          <w:rFonts w:ascii="Arial" w:hAnsi="Arial" w:cs="Arial"/>
          <w:b/>
          <w:szCs w:val="24"/>
        </w:rPr>
        <w:t>ANITA MODIKOE</w:t>
      </w:r>
      <w:r w:rsidRPr="005E0A83">
        <w:rPr>
          <w:rFonts w:ascii="Arial" w:hAnsi="Arial" w:cs="Arial"/>
          <w:b/>
          <w:szCs w:val="24"/>
        </w:rPr>
        <w:tab/>
      </w:r>
      <w:r w:rsidR="002D0164" w:rsidRPr="005E0A83">
        <w:rPr>
          <w:rFonts w:ascii="Arial" w:hAnsi="Arial" w:cs="Arial"/>
          <w:b/>
          <w:szCs w:val="24"/>
        </w:rPr>
        <w:t xml:space="preserve"> </w:t>
      </w:r>
      <w:r w:rsidR="002D0164" w:rsidRPr="005E0A83">
        <w:rPr>
          <w:rFonts w:ascii="Arial" w:hAnsi="Arial" w:cs="Arial"/>
          <w:b/>
          <w:szCs w:val="24"/>
        </w:rPr>
        <w:tab/>
      </w:r>
      <w:r w:rsidR="002D0164" w:rsidRPr="005E0A83">
        <w:rPr>
          <w:rFonts w:ascii="Arial" w:hAnsi="Arial" w:cs="Arial"/>
          <w:b/>
          <w:szCs w:val="24"/>
        </w:rPr>
        <w:tab/>
      </w:r>
      <w:r w:rsidR="002D0164" w:rsidRPr="005E0A83">
        <w:rPr>
          <w:rFonts w:ascii="Arial" w:hAnsi="Arial" w:cs="Arial"/>
          <w:b/>
          <w:szCs w:val="24"/>
        </w:rPr>
        <w:tab/>
      </w:r>
      <w:r w:rsidRPr="005E0A83">
        <w:rPr>
          <w:rFonts w:ascii="Arial" w:hAnsi="Arial" w:cs="Arial"/>
          <w:bCs/>
          <w:szCs w:val="24"/>
        </w:rPr>
        <w:t>Tenth Applicant</w:t>
      </w:r>
    </w:p>
    <w:p w14:paraId="575EC1A1" w14:textId="59002F20" w:rsidR="006A6955" w:rsidRPr="005E0A83" w:rsidRDefault="006A6955" w:rsidP="002D0164">
      <w:pPr>
        <w:pStyle w:val="GW12"/>
        <w:tabs>
          <w:tab w:val="clear" w:pos="6048"/>
          <w:tab w:val="clear" w:pos="8640"/>
          <w:tab w:val="left" w:pos="4820"/>
          <w:tab w:val="right" w:pos="9072"/>
        </w:tabs>
        <w:ind w:right="-46"/>
        <w:jc w:val="left"/>
        <w:rPr>
          <w:rFonts w:ascii="Arial" w:hAnsi="Arial" w:cs="Arial"/>
          <w:b/>
          <w:szCs w:val="24"/>
        </w:rPr>
      </w:pPr>
      <w:r w:rsidRPr="005E0A83">
        <w:rPr>
          <w:rFonts w:ascii="Arial" w:hAnsi="Arial" w:cs="Arial"/>
          <w:b/>
          <w:szCs w:val="24"/>
        </w:rPr>
        <w:t>ANDILE MINI</w:t>
      </w:r>
      <w:r w:rsidRPr="005E0A83">
        <w:rPr>
          <w:rFonts w:ascii="Arial" w:hAnsi="Arial" w:cs="Arial"/>
          <w:b/>
          <w:szCs w:val="24"/>
        </w:rPr>
        <w:tab/>
      </w:r>
      <w:r w:rsidR="002D0164" w:rsidRPr="005E0A83">
        <w:rPr>
          <w:rFonts w:ascii="Arial" w:hAnsi="Arial" w:cs="Arial"/>
          <w:b/>
          <w:szCs w:val="24"/>
        </w:rPr>
        <w:t xml:space="preserve"> </w:t>
      </w:r>
      <w:r w:rsidR="002D0164" w:rsidRPr="005E0A83">
        <w:rPr>
          <w:rFonts w:ascii="Arial" w:hAnsi="Arial" w:cs="Arial"/>
          <w:b/>
          <w:szCs w:val="24"/>
        </w:rPr>
        <w:tab/>
      </w:r>
      <w:r w:rsidR="002D0164" w:rsidRPr="005E0A83">
        <w:rPr>
          <w:rFonts w:ascii="Arial" w:hAnsi="Arial" w:cs="Arial"/>
          <w:b/>
          <w:szCs w:val="24"/>
        </w:rPr>
        <w:tab/>
      </w:r>
      <w:r w:rsidR="002D0164" w:rsidRPr="005E0A83">
        <w:rPr>
          <w:rFonts w:ascii="Arial" w:hAnsi="Arial" w:cs="Arial"/>
          <w:b/>
          <w:szCs w:val="24"/>
        </w:rPr>
        <w:tab/>
      </w:r>
      <w:r w:rsidRPr="005E0A83">
        <w:rPr>
          <w:rFonts w:ascii="Arial" w:hAnsi="Arial" w:cs="Arial"/>
          <w:bCs/>
          <w:szCs w:val="24"/>
        </w:rPr>
        <w:t>Eleventh Applicant</w:t>
      </w:r>
    </w:p>
    <w:p w14:paraId="39F8458B" w14:textId="6216FD27" w:rsidR="006A6955" w:rsidRPr="005E0A83" w:rsidRDefault="006A6955" w:rsidP="002D0164">
      <w:pPr>
        <w:pStyle w:val="GW12"/>
        <w:tabs>
          <w:tab w:val="clear" w:pos="6048"/>
          <w:tab w:val="clear" w:pos="8640"/>
          <w:tab w:val="left" w:pos="4820"/>
          <w:tab w:val="right" w:pos="9072"/>
        </w:tabs>
        <w:ind w:right="-46"/>
        <w:jc w:val="left"/>
        <w:rPr>
          <w:rFonts w:ascii="Arial" w:hAnsi="Arial" w:cs="Arial"/>
          <w:b/>
          <w:szCs w:val="24"/>
        </w:rPr>
      </w:pPr>
      <w:r w:rsidRPr="005E0A83">
        <w:rPr>
          <w:rFonts w:ascii="Arial" w:hAnsi="Arial" w:cs="Arial"/>
          <w:b/>
          <w:szCs w:val="24"/>
        </w:rPr>
        <w:t xml:space="preserve">NOSIPHIWO SOMDYALA </w:t>
      </w:r>
      <w:r w:rsidRPr="005E0A83">
        <w:rPr>
          <w:rFonts w:ascii="Arial" w:hAnsi="Arial" w:cs="Arial"/>
          <w:b/>
          <w:szCs w:val="24"/>
        </w:rPr>
        <w:tab/>
      </w:r>
      <w:r w:rsidR="002D0164" w:rsidRPr="005E0A83">
        <w:rPr>
          <w:rFonts w:ascii="Arial" w:hAnsi="Arial" w:cs="Arial"/>
          <w:b/>
          <w:szCs w:val="24"/>
        </w:rPr>
        <w:t xml:space="preserve"> </w:t>
      </w:r>
      <w:r w:rsidR="002D0164" w:rsidRPr="005E0A83">
        <w:rPr>
          <w:rFonts w:ascii="Arial" w:hAnsi="Arial" w:cs="Arial"/>
          <w:b/>
          <w:szCs w:val="24"/>
        </w:rPr>
        <w:tab/>
      </w:r>
      <w:r w:rsidR="002D0164" w:rsidRPr="005E0A83">
        <w:rPr>
          <w:rFonts w:ascii="Arial" w:hAnsi="Arial" w:cs="Arial"/>
          <w:b/>
          <w:szCs w:val="24"/>
        </w:rPr>
        <w:tab/>
      </w:r>
      <w:r w:rsidR="00DD3AF8" w:rsidRPr="005E0A83">
        <w:rPr>
          <w:rFonts w:ascii="Arial" w:hAnsi="Arial" w:cs="Arial"/>
          <w:b/>
          <w:szCs w:val="24"/>
        </w:rPr>
        <w:t xml:space="preserve">                                    </w:t>
      </w:r>
      <w:r w:rsidR="002D0164" w:rsidRPr="005E0A83">
        <w:rPr>
          <w:rFonts w:ascii="Arial" w:hAnsi="Arial" w:cs="Arial"/>
          <w:bCs/>
          <w:szCs w:val="24"/>
        </w:rPr>
        <w:t>Twelfth</w:t>
      </w:r>
      <w:r w:rsidRPr="005E0A83">
        <w:rPr>
          <w:rFonts w:ascii="Arial" w:hAnsi="Arial" w:cs="Arial"/>
          <w:bCs/>
          <w:szCs w:val="24"/>
        </w:rPr>
        <w:t xml:space="preserve"> Applicant</w:t>
      </w:r>
    </w:p>
    <w:p w14:paraId="1B7527AF" w14:textId="64388AFE" w:rsidR="006A6955" w:rsidRPr="005E0A83" w:rsidRDefault="006A6955" w:rsidP="005E0A83">
      <w:pPr>
        <w:pStyle w:val="GW12"/>
        <w:tabs>
          <w:tab w:val="clear" w:pos="6048"/>
          <w:tab w:val="clear" w:pos="8640"/>
          <w:tab w:val="left" w:pos="4820"/>
          <w:tab w:val="right" w:pos="9072"/>
        </w:tabs>
        <w:ind w:right="-46"/>
        <w:jc w:val="left"/>
        <w:rPr>
          <w:rFonts w:ascii="Arial" w:hAnsi="Arial" w:cs="Arial"/>
          <w:b/>
          <w:szCs w:val="24"/>
        </w:rPr>
      </w:pPr>
      <w:r w:rsidRPr="005E0A83">
        <w:rPr>
          <w:rFonts w:ascii="Arial" w:hAnsi="Arial" w:cs="Arial"/>
          <w:b/>
          <w:szCs w:val="24"/>
        </w:rPr>
        <w:t xml:space="preserve">SIYABONGA STOMPI </w:t>
      </w:r>
      <w:r w:rsidRPr="005E0A83">
        <w:rPr>
          <w:rFonts w:ascii="Arial" w:hAnsi="Arial" w:cs="Arial"/>
          <w:b/>
          <w:szCs w:val="24"/>
        </w:rPr>
        <w:tab/>
      </w:r>
      <w:r w:rsidR="002D0164" w:rsidRPr="005E0A83">
        <w:rPr>
          <w:rFonts w:ascii="Arial" w:hAnsi="Arial" w:cs="Arial"/>
          <w:b/>
          <w:szCs w:val="24"/>
        </w:rPr>
        <w:t xml:space="preserve"> </w:t>
      </w:r>
      <w:r w:rsidR="002D0164" w:rsidRPr="005E0A83">
        <w:rPr>
          <w:rFonts w:ascii="Arial" w:hAnsi="Arial" w:cs="Arial"/>
          <w:b/>
          <w:szCs w:val="24"/>
        </w:rPr>
        <w:tab/>
      </w:r>
      <w:r w:rsidR="002D0164" w:rsidRPr="005E0A83">
        <w:rPr>
          <w:rFonts w:ascii="Arial" w:hAnsi="Arial" w:cs="Arial"/>
          <w:b/>
          <w:szCs w:val="24"/>
        </w:rPr>
        <w:tab/>
      </w:r>
      <w:r w:rsidR="002D0164" w:rsidRPr="005E0A83">
        <w:rPr>
          <w:rFonts w:ascii="Arial" w:hAnsi="Arial" w:cs="Arial"/>
          <w:b/>
          <w:szCs w:val="24"/>
        </w:rPr>
        <w:tab/>
      </w:r>
      <w:r w:rsidR="002D0164" w:rsidRPr="005E0A83">
        <w:rPr>
          <w:rFonts w:ascii="Arial" w:hAnsi="Arial" w:cs="Arial"/>
          <w:bCs/>
          <w:szCs w:val="24"/>
        </w:rPr>
        <w:t>Thirteenth</w:t>
      </w:r>
      <w:r w:rsidRPr="005E0A83">
        <w:rPr>
          <w:rFonts w:ascii="Arial" w:hAnsi="Arial" w:cs="Arial"/>
          <w:bCs/>
          <w:szCs w:val="24"/>
        </w:rPr>
        <w:t xml:space="preserve"> Applicant</w:t>
      </w:r>
    </w:p>
    <w:p w14:paraId="04C045BB" w14:textId="77777777" w:rsidR="006A6955" w:rsidRPr="005E0A83" w:rsidRDefault="006A6955" w:rsidP="005E0A83">
      <w:pPr>
        <w:pStyle w:val="GW11"/>
        <w:rPr>
          <w:rFonts w:ascii="Arial" w:hAnsi="Arial" w:cs="Arial"/>
          <w:szCs w:val="24"/>
        </w:rPr>
      </w:pPr>
    </w:p>
    <w:p w14:paraId="5F3FD007" w14:textId="77777777" w:rsidR="006A6955" w:rsidRPr="005E0A83" w:rsidRDefault="006A6955" w:rsidP="005E0A83">
      <w:pPr>
        <w:pStyle w:val="GW11"/>
        <w:rPr>
          <w:rFonts w:ascii="Arial" w:hAnsi="Arial" w:cs="Arial"/>
          <w:szCs w:val="24"/>
        </w:rPr>
      </w:pPr>
      <w:r w:rsidRPr="005E0A83">
        <w:rPr>
          <w:rFonts w:ascii="Arial" w:hAnsi="Arial" w:cs="Arial"/>
          <w:szCs w:val="24"/>
        </w:rPr>
        <w:t>and</w:t>
      </w:r>
    </w:p>
    <w:p w14:paraId="2E1C861E" w14:textId="7BDD45CE" w:rsidR="006A6955" w:rsidRPr="005E0A83" w:rsidRDefault="00DD3AF8" w:rsidP="005E0A83">
      <w:pPr>
        <w:pStyle w:val="GW12"/>
        <w:tabs>
          <w:tab w:val="clear" w:pos="8640"/>
          <w:tab w:val="right" w:pos="9072"/>
        </w:tabs>
        <w:ind w:right="471"/>
        <w:rPr>
          <w:rFonts w:ascii="Arial" w:hAnsi="Arial" w:cs="Arial"/>
          <w:b/>
          <w:szCs w:val="24"/>
        </w:rPr>
      </w:pPr>
      <w:r w:rsidRPr="005E0A83">
        <w:rPr>
          <w:rFonts w:ascii="Arial" w:hAnsi="Arial" w:cs="Arial"/>
          <w:b/>
          <w:szCs w:val="24"/>
        </w:rPr>
        <w:t xml:space="preserve"> </w:t>
      </w:r>
    </w:p>
    <w:p w14:paraId="1752041E" w14:textId="7D5E104F" w:rsidR="006A6955" w:rsidRPr="005E0A83" w:rsidRDefault="002D0164" w:rsidP="005E0A83">
      <w:pPr>
        <w:pStyle w:val="GW12"/>
        <w:tabs>
          <w:tab w:val="clear" w:pos="6048"/>
          <w:tab w:val="clear" w:pos="8640"/>
          <w:tab w:val="right" w:pos="8931"/>
        </w:tabs>
        <w:ind w:right="-46"/>
        <w:rPr>
          <w:rFonts w:ascii="Arial" w:hAnsi="Arial" w:cs="Arial"/>
          <w:szCs w:val="24"/>
        </w:rPr>
      </w:pPr>
      <w:r w:rsidRPr="005E0A83">
        <w:rPr>
          <w:rFonts w:ascii="Arial" w:hAnsi="Arial" w:cs="Arial"/>
          <w:b/>
          <w:szCs w:val="24"/>
        </w:rPr>
        <w:t>THE PUBLIC SERVICE COMMISSION</w:t>
      </w:r>
      <w:r w:rsidR="006A6955" w:rsidRPr="005E0A83">
        <w:rPr>
          <w:rFonts w:ascii="Arial" w:hAnsi="Arial" w:cs="Arial"/>
          <w:b/>
          <w:szCs w:val="24"/>
        </w:rPr>
        <w:t xml:space="preserve">                          </w:t>
      </w:r>
      <w:r w:rsidR="00DD3AF8" w:rsidRPr="005E0A83">
        <w:rPr>
          <w:rFonts w:ascii="Arial" w:hAnsi="Arial" w:cs="Arial"/>
          <w:b/>
          <w:szCs w:val="24"/>
        </w:rPr>
        <w:t xml:space="preserve">                        </w:t>
      </w:r>
      <w:r w:rsidR="006A6955" w:rsidRPr="005E0A83">
        <w:rPr>
          <w:rFonts w:ascii="Arial" w:hAnsi="Arial" w:cs="Arial"/>
          <w:b/>
          <w:szCs w:val="24"/>
        </w:rPr>
        <w:t xml:space="preserve"> </w:t>
      </w:r>
      <w:r w:rsidRPr="005E0A83">
        <w:rPr>
          <w:rFonts w:ascii="Arial" w:hAnsi="Arial" w:cs="Arial"/>
          <w:szCs w:val="24"/>
        </w:rPr>
        <w:t>First Respondent</w:t>
      </w:r>
    </w:p>
    <w:p w14:paraId="5994A6C4" w14:textId="7817503E" w:rsidR="002D0164" w:rsidRPr="005E0A83" w:rsidRDefault="002D0164" w:rsidP="005E0A83">
      <w:pPr>
        <w:pStyle w:val="GW12"/>
        <w:tabs>
          <w:tab w:val="clear" w:pos="6048"/>
          <w:tab w:val="clear" w:pos="8640"/>
          <w:tab w:val="right" w:pos="9072"/>
        </w:tabs>
        <w:ind w:right="-46"/>
        <w:rPr>
          <w:rFonts w:ascii="Arial" w:hAnsi="Arial" w:cs="Arial"/>
          <w:b/>
          <w:bCs/>
          <w:szCs w:val="24"/>
        </w:rPr>
      </w:pPr>
      <w:r w:rsidRPr="005E0A83">
        <w:rPr>
          <w:rFonts w:ascii="Arial" w:hAnsi="Arial" w:cs="Arial"/>
          <w:b/>
          <w:bCs/>
          <w:szCs w:val="24"/>
        </w:rPr>
        <w:t xml:space="preserve">MEC: DEPARTMENT OF </w:t>
      </w:r>
      <w:r w:rsidR="00992424" w:rsidRPr="005E0A83">
        <w:rPr>
          <w:rFonts w:ascii="Arial" w:hAnsi="Arial" w:cs="Arial"/>
          <w:b/>
          <w:bCs/>
          <w:szCs w:val="24"/>
        </w:rPr>
        <w:t xml:space="preserve">TRANSPORT </w:t>
      </w:r>
      <w:r w:rsidR="00992424" w:rsidRPr="005E0A83">
        <w:rPr>
          <w:rFonts w:ascii="Arial" w:hAnsi="Arial" w:cs="Arial"/>
          <w:b/>
          <w:bCs/>
          <w:szCs w:val="24"/>
        </w:rPr>
        <w:tab/>
      </w:r>
      <w:r w:rsidRPr="005E0A83">
        <w:rPr>
          <w:rFonts w:ascii="Arial" w:hAnsi="Arial" w:cs="Arial"/>
          <w:b/>
          <w:bCs/>
          <w:szCs w:val="24"/>
        </w:rPr>
        <w:t xml:space="preserve"> </w:t>
      </w:r>
      <w:r w:rsidRPr="005E0A83">
        <w:rPr>
          <w:rFonts w:ascii="Arial" w:hAnsi="Arial" w:cs="Arial"/>
          <w:b/>
          <w:bCs/>
          <w:szCs w:val="24"/>
        </w:rPr>
        <w:tab/>
      </w:r>
      <w:r w:rsidRPr="005E0A83">
        <w:rPr>
          <w:rFonts w:ascii="Arial" w:hAnsi="Arial" w:cs="Arial"/>
          <w:szCs w:val="24"/>
        </w:rPr>
        <w:t>Second Respondent</w:t>
      </w:r>
    </w:p>
    <w:p w14:paraId="5BA5C56A" w14:textId="2711A97C" w:rsidR="002D0164" w:rsidRPr="005E0A83" w:rsidRDefault="002D0164" w:rsidP="002D0164">
      <w:pPr>
        <w:pStyle w:val="GW12"/>
        <w:tabs>
          <w:tab w:val="clear" w:pos="6048"/>
          <w:tab w:val="clear" w:pos="8640"/>
          <w:tab w:val="right" w:pos="9072"/>
        </w:tabs>
        <w:ind w:right="-46"/>
        <w:rPr>
          <w:rFonts w:ascii="Arial" w:hAnsi="Arial" w:cs="Arial"/>
          <w:b/>
          <w:bCs/>
          <w:szCs w:val="24"/>
        </w:rPr>
      </w:pPr>
      <w:r w:rsidRPr="005E0A83">
        <w:rPr>
          <w:rFonts w:ascii="Arial" w:hAnsi="Arial" w:cs="Arial"/>
          <w:b/>
          <w:bCs/>
          <w:szCs w:val="24"/>
        </w:rPr>
        <w:t xml:space="preserve">PREMIER: EASTERN </w:t>
      </w:r>
      <w:r w:rsidR="00992424" w:rsidRPr="005E0A83">
        <w:rPr>
          <w:rFonts w:ascii="Arial" w:hAnsi="Arial" w:cs="Arial"/>
          <w:b/>
          <w:bCs/>
          <w:szCs w:val="24"/>
        </w:rPr>
        <w:t xml:space="preserve">CAPE </w:t>
      </w:r>
      <w:r w:rsidR="00992424" w:rsidRPr="005E0A83">
        <w:rPr>
          <w:rFonts w:ascii="Arial" w:hAnsi="Arial" w:cs="Arial"/>
          <w:b/>
          <w:bCs/>
          <w:szCs w:val="24"/>
        </w:rPr>
        <w:tab/>
      </w:r>
      <w:r w:rsidRPr="005E0A83">
        <w:rPr>
          <w:rFonts w:ascii="Arial" w:hAnsi="Arial" w:cs="Arial"/>
          <w:b/>
          <w:bCs/>
          <w:szCs w:val="24"/>
        </w:rPr>
        <w:tab/>
      </w:r>
      <w:r w:rsidRPr="005E0A83">
        <w:rPr>
          <w:rFonts w:ascii="Arial" w:hAnsi="Arial" w:cs="Arial"/>
          <w:szCs w:val="24"/>
        </w:rPr>
        <w:t>Third Respondent</w:t>
      </w:r>
    </w:p>
    <w:p w14:paraId="5DABD9BD" w14:textId="1DD4D987" w:rsidR="002D0164" w:rsidRPr="005E0A83" w:rsidRDefault="002D0164" w:rsidP="002D0164">
      <w:pPr>
        <w:pStyle w:val="GW12"/>
        <w:tabs>
          <w:tab w:val="clear" w:pos="6048"/>
          <w:tab w:val="clear" w:pos="8640"/>
          <w:tab w:val="right" w:pos="9072"/>
        </w:tabs>
        <w:ind w:right="-46"/>
        <w:rPr>
          <w:rFonts w:ascii="Arial" w:hAnsi="Arial" w:cs="Arial"/>
          <w:b/>
          <w:bCs/>
          <w:szCs w:val="24"/>
        </w:rPr>
      </w:pPr>
      <w:r w:rsidRPr="005E0A83">
        <w:rPr>
          <w:rFonts w:ascii="Arial" w:hAnsi="Arial" w:cs="Arial"/>
          <w:b/>
          <w:bCs/>
          <w:szCs w:val="24"/>
        </w:rPr>
        <w:t xml:space="preserve">SPEAKER: EASTERN CAPE LEGISLATURE </w:t>
      </w:r>
      <w:r w:rsidR="00DD3AF8" w:rsidRPr="005E0A83">
        <w:rPr>
          <w:rFonts w:ascii="Arial" w:hAnsi="Arial" w:cs="Arial"/>
          <w:b/>
          <w:bCs/>
          <w:szCs w:val="24"/>
        </w:rPr>
        <w:t xml:space="preserve">                                   </w:t>
      </w:r>
      <w:r w:rsidRPr="005E0A83">
        <w:rPr>
          <w:rFonts w:ascii="Arial" w:hAnsi="Arial" w:cs="Arial"/>
          <w:szCs w:val="24"/>
        </w:rPr>
        <w:t>Fourth Respondent</w:t>
      </w:r>
    </w:p>
    <w:p w14:paraId="4074B6DC" w14:textId="51368B8E" w:rsidR="006A6955" w:rsidRPr="005E0A83" w:rsidRDefault="006A6955" w:rsidP="000D3E29">
      <w:pPr>
        <w:pStyle w:val="GW12"/>
        <w:tabs>
          <w:tab w:val="clear" w:pos="6048"/>
          <w:tab w:val="clear" w:pos="8640"/>
          <w:tab w:val="right" w:pos="9072"/>
        </w:tabs>
        <w:spacing w:line="240" w:lineRule="auto"/>
        <w:ind w:right="-46"/>
        <w:rPr>
          <w:rFonts w:ascii="Arial" w:hAnsi="Arial" w:cs="Arial"/>
          <w:b/>
          <w:szCs w:val="24"/>
          <w:u w:val="single"/>
        </w:rPr>
      </w:pPr>
      <w:r w:rsidRPr="005E0A83">
        <w:rPr>
          <w:rFonts w:ascii="Arial" w:hAnsi="Arial" w:cs="Arial"/>
          <w:b/>
          <w:szCs w:val="24"/>
          <w:u w:val="single"/>
        </w:rPr>
        <w:t>___________________________________________________________________</w:t>
      </w:r>
    </w:p>
    <w:p w14:paraId="5897E618" w14:textId="77777777" w:rsidR="006A6955" w:rsidRPr="005E0A83" w:rsidRDefault="006A6955" w:rsidP="00DD3AF8">
      <w:pPr>
        <w:pStyle w:val="GW13"/>
        <w:tabs>
          <w:tab w:val="clear" w:pos="8640"/>
        </w:tabs>
        <w:spacing w:line="240" w:lineRule="auto"/>
        <w:ind w:right="-45"/>
        <w:jc w:val="center"/>
        <w:rPr>
          <w:rFonts w:ascii="Arial" w:hAnsi="Arial" w:cs="Arial"/>
          <w:b/>
          <w:szCs w:val="24"/>
        </w:rPr>
      </w:pPr>
    </w:p>
    <w:p w14:paraId="56630E32" w14:textId="77777777" w:rsidR="006A6955" w:rsidRPr="005E0A83" w:rsidRDefault="006A6955" w:rsidP="00DD3AF8">
      <w:pPr>
        <w:pStyle w:val="GW12"/>
        <w:tabs>
          <w:tab w:val="clear" w:pos="6048"/>
          <w:tab w:val="clear" w:pos="8640"/>
          <w:tab w:val="right" w:pos="8931"/>
        </w:tabs>
        <w:spacing w:line="240" w:lineRule="auto"/>
        <w:ind w:right="-46"/>
        <w:rPr>
          <w:rFonts w:ascii="Arial" w:hAnsi="Arial" w:cs="Arial"/>
          <w:szCs w:val="24"/>
        </w:rPr>
      </w:pPr>
      <w:r w:rsidRPr="005E0A83">
        <w:rPr>
          <w:rFonts w:ascii="Arial" w:hAnsi="Arial" w:cs="Arial"/>
          <w:szCs w:val="24"/>
        </w:rPr>
        <w:t xml:space="preserve">Coram: </w:t>
      </w:r>
      <w:r w:rsidRPr="005E0A83">
        <w:rPr>
          <w:rFonts w:ascii="Arial" w:hAnsi="Arial" w:cs="Arial"/>
          <w:szCs w:val="24"/>
        </w:rPr>
        <w:tab/>
      </w:r>
      <w:r w:rsidRPr="005E0A83">
        <w:rPr>
          <w:rFonts w:ascii="Arial" w:hAnsi="Arial" w:cs="Arial"/>
          <w:szCs w:val="24"/>
        </w:rPr>
        <w:tab/>
        <w:t>Bands AJ</w:t>
      </w:r>
    </w:p>
    <w:p w14:paraId="31246816" w14:textId="2E49F6F2" w:rsidR="006A6955" w:rsidRPr="005E0A83" w:rsidRDefault="006A6955" w:rsidP="00DD3AF8">
      <w:pPr>
        <w:pStyle w:val="GW12"/>
        <w:tabs>
          <w:tab w:val="clear" w:pos="6048"/>
          <w:tab w:val="clear" w:pos="8640"/>
          <w:tab w:val="right" w:pos="8931"/>
        </w:tabs>
        <w:spacing w:line="240" w:lineRule="auto"/>
        <w:ind w:right="-46"/>
        <w:rPr>
          <w:rFonts w:ascii="Arial" w:hAnsi="Arial" w:cs="Arial"/>
          <w:szCs w:val="24"/>
        </w:rPr>
      </w:pPr>
      <w:r w:rsidRPr="005E0A83">
        <w:rPr>
          <w:rFonts w:ascii="Arial" w:hAnsi="Arial" w:cs="Arial"/>
          <w:szCs w:val="24"/>
        </w:rPr>
        <w:t xml:space="preserve">Date heard: </w:t>
      </w:r>
      <w:r w:rsidRPr="005E0A83">
        <w:rPr>
          <w:rFonts w:ascii="Arial" w:hAnsi="Arial" w:cs="Arial"/>
          <w:szCs w:val="24"/>
        </w:rPr>
        <w:tab/>
        <w:t>21 July 2022</w:t>
      </w:r>
    </w:p>
    <w:p w14:paraId="5CB9D840" w14:textId="3C9F5CCF" w:rsidR="006A6955" w:rsidRPr="005E0A83" w:rsidRDefault="006A6955" w:rsidP="00DD3AF8">
      <w:pPr>
        <w:pStyle w:val="GW12"/>
        <w:tabs>
          <w:tab w:val="clear" w:pos="6048"/>
          <w:tab w:val="clear" w:pos="8640"/>
          <w:tab w:val="right" w:pos="8931"/>
        </w:tabs>
        <w:spacing w:line="240" w:lineRule="auto"/>
        <w:ind w:right="-46"/>
        <w:rPr>
          <w:rFonts w:ascii="Arial" w:hAnsi="Arial" w:cs="Arial"/>
          <w:szCs w:val="24"/>
        </w:rPr>
      </w:pPr>
      <w:r w:rsidRPr="005E0A83">
        <w:rPr>
          <w:rFonts w:ascii="Arial" w:hAnsi="Arial" w:cs="Arial"/>
          <w:szCs w:val="24"/>
        </w:rPr>
        <w:t>Delivered:</w:t>
      </w:r>
      <w:r w:rsidRPr="005E0A83">
        <w:rPr>
          <w:rFonts w:ascii="Arial" w:hAnsi="Arial" w:cs="Arial"/>
          <w:szCs w:val="24"/>
        </w:rPr>
        <w:tab/>
      </w:r>
      <w:r w:rsidRPr="005E0A83">
        <w:rPr>
          <w:rFonts w:ascii="Arial" w:hAnsi="Arial" w:cs="Arial"/>
          <w:szCs w:val="24"/>
        </w:rPr>
        <w:tab/>
        <w:t>2</w:t>
      </w:r>
      <w:r w:rsidR="00E80FB5">
        <w:rPr>
          <w:rFonts w:ascii="Arial" w:hAnsi="Arial" w:cs="Arial"/>
          <w:szCs w:val="24"/>
        </w:rPr>
        <w:t>8</w:t>
      </w:r>
      <w:r w:rsidRPr="005E0A83">
        <w:rPr>
          <w:rFonts w:ascii="Arial" w:hAnsi="Arial" w:cs="Arial"/>
          <w:szCs w:val="24"/>
        </w:rPr>
        <w:t xml:space="preserve"> July 2022</w:t>
      </w:r>
    </w:p>
    <w:p w14:paraId="60A9FB4C" w14:textId="1ABE6B25" w:rsidR="006A6955" w:rsidRPr="005E0A83" w:rsidRDefault="006A6955" w:rsidP="00DD3AF8">
      <w:pPr>
        <w:pStyle w:val="GW12"/>
        <w:tabs>
          <w:tab w:val="clear" w:pos="6048"/>
          <w:tab w:val="clear" w:pos="8640"/>
          <w:tab w:val="right" w:pos="9072"/>
        </w:tabs>
        <w:spacing w:line="240" w:lineRule="auto"/>
        <w:ind w:right="-46"/>
        <w:rPr>
          <w:rFonts w:ascii="Arial" w:hAnsi="Arial" w:cs="Arial"/>
          <w:b/>
          <w:szCs w:val="24"/>
          <w:u w:val="single"/>
        </w:rPr>
      </w:pPr>
      <w:r w:rsidRPr="005E0A83">
        <w:rPr>
          <w:rFonts w:ascii="Arial" w:hAnsi="Arial" w:cs="Arial"/>
          <w:b/>
          <w:szCs w:val="24"/>
          <w:u w:val="single"/>
        </w:rPr>
        <w:t>___________________________________________________________________</w:t>
      </w:r>
    </w:p>
    <w:p w14:paraId="741A6999" w14:textId="77777777" w:rsidR="006A6955" w:rsidRPr="005E0A83" w:rsidRDefault="006A6955" w:rsidP="00DD3AF8">
      <w:pPr>
        <w:pStyle w:val="GW13"/>
        <w:tabs>
          <w:tab w:val="clear" w:pos="8640"/>
        </w:tabs>
        <w:spacing w:line="240" w:lineRule="auto"/>
        <w:ind w:right="-45"/>
        <w:jc w:val="center"/>
        <w:rPr>
          <w:rFonts w:ascii="Arial" w:hAnsi="Arial" w:cs="Arial"/>
          <w:b/>
          <w:szCs w:val="24"/>
        </w:rPr>
      </w:pPr>
    </w:p>
    <w:p w14:paraId="34520E5D" w14:textId="77777777" w:rsidR="006A6955" w:rsidRPr="005E0A83" w:rsidRDefault="006A6955" w:rsidP="00DD3AF8">
      <w:pPr>
        <w:pStyle w:val="GW13"/>
        <w:tabs>
          <w:tab w:val="clear" w:pos="8640"/>
          <w:tab w:val="right" w:pos="9072"/>
        </w:tabs>
        <w:spacing w:line="240" w:lineRule="auto"/>
        <w:ind w:right="-45"/>
        <w:jc w:val="center"/>
        <w:rPr>
          <w:rFonts w:ascii="Arial" w:hAnsi="Arial" w:cs="Arial"/>
          <w:b/>
          <w:szCs w:val="24"/>
        </w:rPr>
      </w:pPr>
      <w:r w:rsidRPr="005E0A83">
        <w:rPr>
          <w:rFonts w:ascii="Arial" w:hAnsi="Arial" w:cs="Arial"/>
          <w:b/>
          <w:szCs w:val="24"/>
        </w:rPr>
        <w:t>JUDGMENT</w:t>
      </w:r>
    </w:p>
    <w:p w14:paraId="4AFDE252" w14:textId="19A5E04C" w:rsidR="006A6955" w:rsidRPr="005E0A83" w:rsidRDefault="00DD3AF8" w:rsidP="00DD3AF8">
      <w:pPr>
        <w:pStyle w:val="GW13"/>
        <w:tabs>
          <w:tab w:val="clear" w:pos="8640"/>
          <w:tab w:val="right" w:pos="9072"/>
        </w:tabs>
        <w:spacing w:line="240" w:lineRule="auto"/>
        <w:ind w:right="-45"/>
        <w:jc w:val="center"/>
        <w:rPr>
          <w:rFonts w:ascii="Arial" w:hAnsi="Arial" w:cs="Arial"/>
          <w:b/>
          <w:szCs w:val="24"/>
        </w:rPr>
      </w:pPr>
      <w:r w:rsidRPr="005E0A83">
        <w:rPr>
          <w:rFonts w:ascii="Arial" w:hAnsi="Arial" w:cs="Arial"/>
          <w:b/>
          <w:szCs w:val="24"/>
        </w:rPr>
        <w:t>________</w:t>
      </w:r>
      <w:r w:rsidR="006A6955" w:rsidRPr="005E0A83">
        <w:rPr>
          <w:rFonts w:ascii="Arial" w:hAnsi="Arial" w:cs="Arial"/>
          <w:b/>
          <w:szCs w:val="24"/>
        </w:rPr>
        <w:t>___________________________________________________________</w:t>
      </w:r>
    </w:p>
    <w:p w14:paraId="08E04A25" w14:textId="77777777" w:rsidR="006A6955" w:rsidRPr="005E0A83" w:rsidRDefault="006A6955" w:rsidP="006A6955">
      <w:pPr>
        <w:pStyle w:val="GW13"/>
        <w:tabs>
          <w:tab w:val="clear" w:pos="8640"/>
          <w:tab w:val="right" w:pos="9072"/>
        </w:tabs>
        <w:spacing w:line="480" w:lineRule="auto"/>
        <w:ind w:right="-46"/>
        <w:rPr>
          <w:rFonts w:ascii="Arial" w:hAnsi="Arial" w:cs="Arial"/>
          <w:b/>
          <w:szCs w:val="24"/>
        </w:rPr>
      </w:pPr>
    </w:p>
    <w:p w14:paraId="1F892591" w14:textId="77777777" w:rsidR="006A6955" w:rsidRPr="005E0A83" w:rsidRDefault="006A6955" w:rsidP="006A6955">
      <w:pPr>
        <w:pStyle w:val="GW13"/>
        <w:tabs>
          <w:tab w:val="clear" w:pos="8640"/>
          <w:tab w:val="right" w:pos="9072"/>
        </w:tabs>
        <w:spacing w:line="480" w:lineRule="auto"/>
        <w:ind w:right="-46"/>
        <w:rPr>
          <w:rFonts w:ascii="Arial" w:hAnsi="Arial" w:cs="Arial"/>
          <w:b/>
          <w:szCs w:val="24"/>
        </w:rPr>
      </w:pPr>
      <w:r w:rsidRPr="005E0A83">
        <w:rPr>
          <w:rFonts w:ascii="Arial" w:hAnsi="Arial" w:cs="Arial"/>
          <w:b/>
          <w:szCs w:val="24"/>
        </w:rPr>
        <w:lastRenderedPageBreak/>
        <w:t>BANDS AJ:</w:t>
      </w:r>
    </w:p>
    <w:p w14:paraId="6B72E106" w14:textId="77777777" w:rsidR="006A6955" w:rsidRPr="005E0A83" w:rsidRDefault="006A6955" w:rsidP="006A6955">
      <w:pPr>
        <w:pStyle w:val="ListParagraph"/>
        <w:spacing w:after="0" w:line="480" w:lineRule="auto"/>
        <w:ind w:left="851"/>
        <w:jc w:val="both"/>
        <w:rPr>
          <w:rFonts w:ascii="Arial" w:hAnsi="Arial" w:cs="Arial"/>
          <w:sz w:val="24"/>
          <w:szCs w:val="24"/>
        </w:rPr>
      </w:pPr>
    </w:p>
    <w:p w14:paraId="0A93EAE0" w14:textId="6E00A42A" w:rsidR="00E96057" w:rsidRPr="005E0A83" w:rsidRDefault="00E96057" w:rsidP="00523DE0">
      <w:pPr>
        <w:pStyle w:val="ListParagraph"/>
        <w:numPr>
          <w:ilvl w:val="0"/>
          <w:numId w:val="1"/>
        </w:numPr>
        <w:spacing w:after="0" w:line="480" w:lineRule="auto"/>
        <w:ind w:left="851" w:hanging="851"/>
        <w:jc w:val="both"/>
        <w:rPr>
          <w:rFonts w:ascii="Arial" w:hAnsi="Arial" w:cs="Arial"/>
          <w:sz w:val="24"/>
          <w:szCs w:val="24"/>
        </w:rPr>
      </w:pPr>
      <w:r w:rsidRPr="005E0A83">
        <w:rPr>
          <w:rFonts w:ascii="Arial" w:hAnsi="Arial" w:cs="Arial"/>
          <w:sz w:val="24"/>
          <w:szCs w:val="24"/>
        </w:rPr>
        <w:t>This application served before me on the opposed motion court roll on Thursday, 21 July 2022, having been postponed to the said date, by agreement between the parties who were present in court on 24 February 2022.</w:t>
      </w:r>
      <w:r w:rsidR="007D24F1" w:rsidRPr="005E0A83">
        <w:rPr>
          <w:rStyle w:val="FootnoteReference"/>
          <w:rFonts w:ascii="Arial" w:hAnsi="Arial" w:cs="Arial"/>
          <w:sz w:val="24"/>
          <w:szCs w:val="24"/>
        </w:rPr>
        <w:footnoteReference w:id="1"/>
      </w:r>
      <w:r w:rsidR="00E80FB5">
        <w:rPr>
          <w:rFonts w:ascii="Arial" w:hAnsi="Arial" w:cs="Arial"/>
          <w:sz w:val="24"/>
          <w:szCs w:val="24"/>
        </w:rPr>
        <w:t xml:space="preserve">  </w:t>
      </w:r>
    </w:p>
    <w:p w14:paraId="7A24B71E" w14:textId="5E94B941" w:rsidR="00E96057" w:rsidRPr="005E0A83" w:rsidRDefault="00E96057" w:rsidP="00523DE0">
      <w:pPr>
        <w:pStyle w:val="ListParagraph"/>
        <w:spacing w:after="0" w:line="480" w:lineRule="auto"/>
        <w:ind w:left="851"/>
        <w:jc w:val="both"/>
        <w:rPr>
          <w:rFonts w:ascii="Arial" w:hAnsi="Arial" w:cs="Arial"/>
          <w:sz w:val="24"/>
          <w:szCs w:val="24"/>
        </w:rPr>
      </w:pPr>
      <w:r w:rsidRPr="005E0A83">
        <w:rPr>
          <w:rFonts w:ascii="Arial" w:hAnsi="Arial" w:cs="Arial"/>
          <w:sz w:val="24"/>
          <w:szCs w:val="24"/>
        </w:rPr>
        <w:t xml:space="preserve"> </w:t>
      </w:r>
    </w:p>
    <w:p w14:paraId="6EDEC2EB" w14:textId="77777777" w:rsidR="007D24F1" w:rsidRPr="005E0A83" w:rsidRDefault="0081383D" w:rsidP="00523DE0">
      <w:pPr>
        <w:pStyle w:val="ListParagraph"/>
        <w:numPr>
          <w:ilvl w:val="0"/>
          <w:numId w:val="1"/>
        </w:numPr>
        <w:spacing w:after="0" w:line="480" w:lineRule="auto"/>
        <w:ind w:left="851" w:hanging="851"/>
        <w:jc w:val="both"/>
        <w:rPr>
          <w:rFonts w:ascii="Arial" w:hAnsi="Arial" w:cs="Arial"/>
          <w:sz w:val="24"/>
          <w:szCs w:val="24"/>
        </w:rPr>
      </w:pPr>
      <w:r w:rsidRPr="005E0A83">
        <w:rPr>
          <w:rFonts w:ascii="Arial" w:hAnsi="Arial" w:cs="Arial"/>
          <w:sz w:val="24"/>
          <w:szCs w:val="24"/>
        </w:rPr>
        <w:t>The application, in which the applicants</w:t>
      </w:r>
      <w:r w:rsidR="00674BEE" w:rsidRPr="005E0A83">
        <w:rPr>
          <w:rFonts w:ascii="Arial" w:hAnsi="Arial" w:cs="Arial"/>
          <w:sz w:val="24"/>
          <w:szCs w:val="24"/>
        </w:rPr>
        <w:t>,</w:t>
      </w:r>
      <w:r w:rsidRPr="005E0A83">
        <w:rPr>
          <w:rFonts w:ascii="Arial" w:hAnsi="Arial" w:cs="Arial"/>
          <w:sz w:val="24"/>
          <w:szCs w:val="24"/>
        </w:rPr>
        <w:t xml:space="preserve"> </w:t>
      </w:r>
      <w:r w:rsidR="00674BEE" w:rsidRPr="005E0A83">
        <w:rPr>
          <w:rFonts w:ascii="Arial" w:hAnsi="Arial" w:cs="Arial"/>
          <w:i/>
          <w:iCs/>
          <w:sz w:val="24"/>
          <w:szCs w:val="24"/>
        </w:rPr>
        <w:t>inter alia</w:t>
      </w:r>
      <w:r w:rsidR="00674BEE" w:rsidRPr="005E0A83">
        <w:rPr>
          <w:rFonts w:ascii="Arial" w:hAnsi="Arial" w:cs="Arial"/>
          <w:sz w:val="24"/>
          <w:szCs w:val="24"/>
        </w:rPr>
        <w:t>,</w:t>
      </w:r>
      <w:r w:rsidR="00674BEE" w:rsidRPr="005E0A83">
        <w:rPr>
          <w:rFonts w:ascii="Arial" w:hAnsi="Arial" w:cs="Arial"/>
          <w:i/>
          <w:iCs/>
          <w:sz w:val="24"/>
          <w:szCs w:val="24"/>
        </w:rPr>
        <w:t xml:space="preserve"> </w:t>
      </w:r>
      <w:r w:rsidRPr="005E0A83">
        <w:rPr>
          <w:rFonts w:ascii="Arial" w:hAnsi="Arial" w:cs="Arial"/>
          <w:sz w:val="24"/>
          <w:szCs w:val="24"/>
        </w:rPr>
        <w:t>seek to review and set aside</w:t>
      </w:r>
      <w:r w:rsidR="00674BEE" w:rsidRPr="005E0A83">
        <w:rPr>
          <w:rFonts w:ascii="Arial" w:hAnsi="Arial" w:cs="Arial"/>
          <w:sz w:val="24"/>
          <w:szCs w:val="24"/>
        </w:rPr>
        <w:t xml:space="preserve"> a report of the first respondent, entitled “</w:t>
      </w:r>
      <w:r w:rsidR="00674BEE" w:rsidRPr="005E0A83">
        <w:rPr>
          <w:rFonts w:ascii="Arial" w:hAnsi="Arial" w:cs="Arial"/>
          <w:i/>
          <w:iCs/>
          <w:sz w:val="24"/>
          <w:szCs w:val="24"/>
        </w:rPr>
        <w:t>PSC report on the investigation into allegation</w:t>
      </w:r>
      <w:r w:rsidR="008E1800" w:rsidRPr="005E0A83">
        <w:rPr>
          <w:rFonts w:ascii="Arial" w:hAnsi="Arial" w:cs="Arial"/>
          <w:i/>
          <w:iCs/>
          <w:sz w:val="24"/>
          <w:szCs w:val="24"/>
        </w:rPr>
        <w:t>s</w:t>
      </w:r>
      <w:r w:rsidR="00674BEE" w:rsidRPr="005E0A83">
        <w:rPr>
          <w:rFonts w:ascii="Arial" w:hAnsi="Arial" w:cs="Arial"/>
          <w:i/>
          <w:iCs/>
          <w:sz w:val="24"/>
          <w:szCs w:val="24"/>
        </w:rPr>
        <w:t xml:space="preserve"> of irregular appointment of staff, consultants and contractors in the Department of Transport: Eastern Cape Province</w:t>
      </w:r>
      <w:r w:rsidR="00674BEE" w:rsidRPr="005E0A83">
        <w:rPr>
          <w:rFonts w:ascii="Arial" w:hAnsi="Arial" w:cs="Arial"/>
          <w:sz w:val="24"/>
          <w:szCs w:val="24"/>
        </w:rPr>
        <w:t>”, dated November 2019, was issued during the course of December 2019.</w:t>
      </w:r>
      <w:r w:rsidR="001F78E5" w:rsidRPr="005E0A83">
        <w:rPr>
          <w:rFonts w:ascii="Arial" w:hAnsi="Arial" w:cs="Arial"/>
          <w:sz w:val="24"/>
          <w:szCs w:val="24"/>
        </w:rPr>
        <w:t xml:space="preserve">  </w:t>
      </w:r>
    </w:p>
    <w:p w14:paraId="72E89998" w14:textId="77777777" w:rsidR="007D24F1" w:rsidRPr="005E0A83" w:rsidRDefault="007D24F1" w:rsidP="00523DE0">
      <w:pPr>
        <w:pStyle w:val="ListParagraph"/>
        <w:spacing w:after="0" w:line="480" w:lineRule="auto"/>
        <w:rPr>
          <w:rFonts w:ascii="Arial" w:hAnsi="Arial" w:cs="Arial"/>
          <w:sz w:val="24"/>
          <w:szCs w:val="24"/>
        </w:rPr>
      </w:pPr>
    </w:p>
    <w:p w14:paraId="7291AA2F" w14:textId="259CB272" w:rsidR="00523DE0" w:rsidRPr="005E0A83" w:rsidRDefault="001F78E5" w:rsidP="00523DE0">
      <w:pPr>
        <w:pStyle w:val="ListParagraph"/>
        <w:numPr>
          <w:ilvl w:val="0"/>
          <w:numId w:val="1"/>
        </w:numPr>
        <w:spacing w:after="0" w:line="480" w:lineRule="auto"/>
        <w:ind w:left="851" w:hanging="851"/>
        <w:jc w:val="both"/>
        <w:rPr>
          <w:rFonts w:ascii="Arial" w:hAnsi="Arial" w:cs="Arial"/>
          <w:sz w:val="24"/>
          <w:szCs w:val="24"/>
        </w:rPr>
      </w:pPr>
      <w:r w:rsidRPr="005E0A83">
        <w:rPr>
          <w:rFonts w:ascii="Arial" w:hAnsi="Arial" w:cs="Arial"/>
          <w:sz w:val="24"/>
          <w:szCs w:val="24"/>
        </w:rPr>
        <w:t>Following the filing of the first respondent’s answering affidavit on 29 September 202</w:t>
      </w:r>
      <w:r w:rsidR="007D24F1" w:rsidRPr="005E0A83">
        <w:rPr>
          <w:rFonts w:ascii="Arial" w:hAnsi="Arial" w:cs="Arial"/>
          <w:sz w:val="24"/>
          <w:szCs w:val="24"/>
        </w:rPr>
        <w:t>0</w:t>
      </w:r>
      <w:r w:rsidRPr="005E0A83">
        <w:rPr>
          <w:rFonts w:ascii="Arial" w:hAnsi="Arial" w:cs="Arial"/>
          <w:sz w:val="24"/>
          <w:szCs w:val="24"/>
        </w:rPr>
        <w:t>, and the applicants’ reply thereto on, what appears to be,</w:t>
      </w:r>
      <w:r w:rsidRPr="005E0A83">
        <w:rPr>
          <w:rStyle w:val="FootnoteReference"/>
          <w:rFonts w:ascii="Arial" w:hAnsi="Arial" w:cs="Arial"/>
          <w:sz w:val="24"/>
          <w:szCs w:val="24"/>
        </w:rPr>
        <w:footnoteReference w:id="2"/>
      </w:r>
      <w:r w:rsidRPr="005E0A83">
        <w:rPr>
          <w:rFonts w:ascii="Arial" w:hAnsi="Arial" w:cs="Arial"/>
          <w:sz w:val="24"/>
          <w:szCs w:val="24"/>
        </w:rPr>
        <w:t xml:space="preserve"> 30 April 2021, the matter was enrolled for hearing by the first respondent on 24 February 2022.</w:t>
      </w:r>
      <w:r w:rsidR="007D24F1" w:rsidRPr="005E0A83">
        <w:rPr>
          <w:rFonts w:ascii="Arial" w:hAnsi="Arial" w:cs="Arial"/>
          <w:sz w:val="24"/>
          <w:szCs w:val="24"/>
        </w:rPr>
        <w:t xml:space="preserve">  </w:t>
      </w:r>
    </w:p>
    <w:p w14:paraId="593ACDF3" w14:textId="77777777" w:rsidR="00523DE0" w:rsidRPr="005E0A83" w:rsidRDefault="00523DE0" w:rsidP="00523DE0">
      <w:pPr>
        <w:pStyle w:val="ListParagraph"/>
        <w:spacing w:after="0" w:line="480" w:lineRule="auto"/>
        <w:rPr>
          <w:rFonts w:ascii="Arial" w:hAnsi="Arial" w:cs="Arial"/>
          <w:sz w:val="24"/>
          <w:szCs w:val="24"/>
        </w:rPr>
      </w:pPr>
    </w:p>
    <w:p w14:paraId="661F9C78" w14:textId="77777777" w:rsidR="00362C8A" w:rsidRDefault="003F63CC" w:rsidP="00523DE0">
      <w:pPr>
        <w:pStyle w:val="ListParagraph"/>
        <w:numPr>
          <w:ilvl w:val="0"/>
          <w:numId w:val="1"/>
        </w:numPr>
        <w:spacing w:after="0" w:line="480" w:lineRule="auto"/>
        <w:ind w:left="851" w:hanging="851"/>
        <w:jc w:val="both"/>
        <w:rPr>
          <w:rFonts w:ascii="Arial" w:hAnsi="Arial" w:cs="Arial"/>
          <w:sz w:val="24"/>
          <w:szCs w:val="24"/>
        </w:rPr>
      </w:pPr>
      <w:r w:rsidRPr="005E0A83">
        <w:rPr>
          <w:rFonts w:ascii="Arial" w:hAnsi="Arial" w:cs="Arial"/>
          <w:sz w:val="24"/>
          <w:szCs w:val="24"/>
        </w:rPr>
        <w:t xml:space="preserve">The Applicants’ </w:t>
      </w:r>
      <w:r w:rsidR="005F4394" w:rsidRPr="005E0A83">
        <w:rPr>
          <w:rFonts w:ascii="Arial" w:hAnsi="Arial" w:cs="Arial"/>
          <w:sz w:val="24"/>
          <w:szCs w:val="24"/>
        </w:rPr>
        <w:t xml:space="preserve">erstwhile </w:t>
      </w:r>
      <w:r w:rsidRPr="005E0A83">
        <w:rPr>
          <w:rFonts w:ascii="Arial" w:hAnsi="Arial" w:cs="Arial"/>
          <w:sz w:val="24"/>
          <w:szCs w:val="24"/>
        </w:rPr>
        <w:t>attorney of record filed a notice of withdrawal as attorneys of record on 30 June 2021,</w:t>
      </w:r>
      <w:r w:rsidRPr="005E0A83">
        <w:rPr>
          <w:rStyle w:val="FootnoteReference"/>
          <w:rFonts w:ascii="Arial" w:hAnsi="Arial" w:cs="Arial"/>
          <w:sz w:val="24"/>
          <w:szCs w:val="24"/>
        </w:rPr>
        <w:footnoteReference w:id="3"/>
      </w:r>
      <w:r w:rsidRPr="005E0A83">
        <w:rPr>
          <w:rFonts w:ascii="Arial" w:hAnsi="Arial" w:cs="Arial"/>
          <w:sz w:val="24"/>
          <w:szCs w:val="24"/>
        </w:rPr>
        <w:t xml:space="preserve"> the relevance of which, I return to later.</w:t>
      </w:r>
      <w:r w:rsidR="00523DE0" w:rsidRPr="005E0A83">
        <w:rPr>
          <w:rFonts w:ascii="Arial" w:hAnsi="Arial" w:cs="Arial"/>
          <w:sz w:val="24"/>
          <w:szCs w:val="24"/>
        </w:rPr>
        <w:t xml:space="preserve">  </w:t>
      </w:r>
    </w:p>
    <w:p w14:paraId="7C6B5A5C" w14:textId="5BA2C3E6" w:rsidR="00EC4657" w:rsidRDefault="00EF5993" w:rsidP="006D5B45">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lastRenderedPageBreak/>
        <w:t>When the matter came before the court some eight months later</w:t>
      </w:r>
      <w:r w:rsidR="00362C8A">
        <w:rPr>
          <w:rFonts w:ascii="Arial" w:hAnsi="Arial" w:cs="Arial"/>
          <w:sz w:val="24"/>
          <w:szCs w:val="24"/>
        </w:rPr>
        <w:t>,</w:t>
      </w:r>
      <w:r>
        <w:rPr>
          <w:rFonts w:ascii="Arial" w:hAnsi="Arial" w:cs="Arial"/>
          <w:sz w:val="24"/>
          <w:szCs w:val="24"/>
        </w:rPr>
        <w:t xml:space="preserve"> on 24 February 2022, the applicants remained unrepresented.  </w:t>
      </w:r>
      <w:r w:rsidR="009E04C2">
        <w:rPr>
          <w:rFonts w:ascii="Arial" w:hAnsi="Arial" w:cs="Arial"/>
          <w:sz w:val="24"/>
          <w:szCs w:val="24"/>
        </w:rPr>
        <w:t>Th</w:t>
      </w:r>
      <w:r>
        <w:rPr>
          <w:rFonts w:ascii="Arial" w:hAnsi="Arial" w:cs="Arial"/>
          <w:sz w:val="24"/>
          <w:szCs w:val="24"/>
        </w:rPr>
        <w:t xml:space="preserve">e first respondent’s counsel, who was present in court on the said date, </w:t>
      </w:r>
      <w:r w:rsidR="009E04C2">
        <w:rPr>
          <w:rFonts w:ascii="Arial" w:hAnsi="Arial" w:cs="Arial"/>
          <w:sz w:val="24"/>
          <w:szCs w:val="24"/>
        </w:rPr>
        <w:t xml:space="preserve">advised </w:t>
      </w:r>
      <w:r>
        <w:rPr>
          <w:rFonts w:ascii="Arial" w:hAnsi="Arial" w:cs="Arial"/>
          <w:sz w:val="24"/>
          <w:szCs w:val="24"/>
        </w:rPr>
        <w:t xml:space="preserve">that the fourth; seventh; and eighth applicants appeared in person and sought a postponement of the matter </w:t>
      </w:r>
      <w:r w:rsidR="006D5B45">
        <w:rPr>
          <w:rFonts w:ascii="Arial" w:hAnsi="Arial" w:cs="Arial"/>
          <w:sz w:val="24"/>
          <w:szCs w:val="24"/>
        </w:rPr>
        <w:t>for the purposes of</w:t>
      </w:r>
      <w:r>
        <w:rPr>
          <w:rFonts w:ascii="Arial" w:hAnsi="Arial" w:cs="Arial"/>
          <w:sz w:val="24"/>
          <w:szCs w:val="24"/>
        </w:rPr>
        <w:t xml:space="preserve"> obtain</w:t>
      </w:r>
      <w:r w:rsidR="006D5B45">
        <w:rPr>
          <w:rFonts w:ascii="Arial" w:hAnsi="Arial" w:cs="Arial"/>
          <w:sz w:val="24"/>
          <w:szCs w:val="24"/>
        </w:rPr>
        <w:t>ing</w:t>
      </w:r>
      <w:r>
        <w:rPr>
          <w:rFonts w:ascii="Arial" w:hAnsi="Arial" w:cs="Arial"/>
          <w:sz w:val="24"/>
          <w:szCs w:val="24"/>
        </w:rPr>
        <w:t xml:space="preserve"> legal representation.</w:t>
      </w:r>
      <w:r w:rsidR="00362C8A">
        <w:rPr>
          <w:rFonts w:ascii="Arial" w:hAnsi="Arial" w:cs="Arial"/>
          <w:sz w:val="24"/>
          <w:szCs w:val="24"/>
        </w:rPr>
        <w:t xml:space="preserve">  </w:t>
      </w:r>
    </w:p>
    <w:p w14:paraId="03CDCDC2" w14:textId="77777777" w:rsidR="00EC4657" w:rsidRDefault="00EC4657" w:rsidP="00EC4657">
      <w:pPr>
        <w:pStyle w:val="ListParagraph"/>
        <w:spacing w:after="0" w:line="480" w:lineRule="auto"/>
        <w:ind w:left="851"/>
        <w:jc w:val="both"/>
        <w:rPr>
          <w:rFonts w:ascii="Arial" w:hAnsi="Arial" w:cs="Arial"/>
          <w:sz w:val="24"/>
          <w:szCs w:val="24"/>
        </w:rPr>
      </w:pPr>
    </w:p>
    <w:p w14:paraId="7A6D8C3A" w14:textId="1215B4DF" w:rsidR="00EF5993" w:rsidRDefault="00362C8A" w:rsidP="006D5B45">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The matter was accordingly postponed, by agreement between the parties, to 21 July 2022, with the applicants to pay the wasted costs occasioned by the postponement.</w:t>
      </w:r>
      <w:r w:rsidR="00EF5993">
        <w:rPr>
          <w:rFonts w:ascii="Arial" w:hAnsi="Arial" w:cs="Arial"/>
          <w:sz w:val="24"/>
          <w:szCs w:val="24"/>
        </w:rPr>
        <w:t xml:space="preserve">  I am further advised that Beshe J, who was seized with the matter, stressed</w:t>
      </w:r>
      <w:r w:rsidR="00023371">
        <w:rPr>
          <w:rFonts w:ascii="Arial" w:hAnsi="Arial" w:cs="Arial"/>
          <w:sz w:val="24"/>
          <w:szCs w:val="24"/>
        </w:rPr>
        <w:t>,</w:t>
      </w:r>
      <w:r w:rsidR="006D5B45">
        <w:rPr>
          <w:rFonts w:ascii="Arial" w:hAnsi="Arial" w:cs="Arial"/>
          <w:sz w:val="24"/>
          <w:szCs w:val="24"/>
        </w:rPr>
        <w:t xml:space="preserve"> to </w:t>
      </w:r>
      <w:r w:rsidR="00023371">
        <w:rPr>
          <w:rFonts w:ascii="Arial" w:hAnsi="Arial" w:cs="Arial"/>
          <w:sz w:val="24"/>
          <w:szCs w:val="24"/>
        </w:rPr>
        <w:t>the aforementioned</w:t>
      </w:r>
      <w:r w:rsidR="006D5B45">
        <w:rPr>
          <w:rFonts w:ascii="Arial" w:hAnsi="Arial" w:cs="Arial"/>
          <w:sz w:val="24"/>
          <w:szCs w:val="24"/>
        </w:rPr>
        <w:t xml:space="preserve"> applicants</w:t>
      </w:r>
      <w:r w:rsidR="00023371">
        <w:rPr>
          <w:rFonts w:ascii="Arial" w:hAnsi="Arial" w:cs="Arial"/>
          <w:sz w:val="24"/>
          <w:szCs w:val="24"/>
        </w:rPr>
        <w:t>,</w:t>
      </w:r>
      <w:r w:rsidR="00EF5993">
        <w:rPr>
          <w:rFonts w:ascii="Arial" w:hAnsi="Arial" w:cs="Arial"/>
          <w:sz w:val="24"/>
          <w:szCs w:val="24"/>
        </w:rPr>
        <w:t xml:space="preserve"> the importance of </w:t>
      </w:r>
      <w:r>
        <w:rPr>
          <w:rFonts w:ascii="Arial" w:hAnsi="Arial" w:cs="Arial"/>
          <w:sz w:val="24"/>
          <w:szCs w:val="24"/>
        </w:rPr>
        <w:t xml:space="preserve">obtaining legal representation </w:t>
      </w:r>
      <w:r w:rsidR="006D5B45">
        <w:rPr>
          <w:rFonts w:ascii="Arial" w:hAnsi="Arial" w:cs="Arial"/>
          <w:sz w:val="24"/>
          <w:szCs w:val="24"/>
        </w:rPr>
        <w:t>to enable the matter to proceed on 21 July 2022.</w:t>
      </w:r>
      <w:r>
        <w:rPr>
          <w:rFonts w:ascii="Arial" w:hAnsi="Arial" w:cs="Arial"/>
          <w:sz w:val="24"/>
          <w:szCs w:val="24"/>
        </w:rPr>
        <w:t xml:space="preserve"> </w:t>
      </w:r>
    </w:p>
    <w:p w14:paraId="57A99211" w14:textId="77777777" w:rsidR="00EF5993" w:rsidRPr="00EF5993" w:rsidRDefault="00EF5993" w:rsidP="006D5B45">
      <w:pPr>
        <w:pStyle w:val="ListParagraph"/>
        <w:spacing w:after="0" w:line="480" w:lineRule="auto"/>
        <w:rPr>
          <w:rFonts w:ascii="Arial" w:hAnsi="Arial" w:cs="Arial"/>
          <w:sz w:val="24"/>
          <w:szCs w:val="24"/>
        </w:rPr>
      </w:pPr>
    </w:p>
    <w:p w14:paraId="73CF0D87" w14:textId="58342418" w:rsidR="00523DE0" w:rsidRPr="005E0A83" w:rsidRDefault="00523DE0" w:rsidP="006D5B45">
      <w:pPr>
        <w:pStyle w:val="ListParagraph"/>
        <w:numPr>
          <w:ilvl w:val="0"/>
          <w:numId w:val="1"/>
        </w:numPr>
        <w:spacing w:after="0" w:line="480" w:lineRule="auto"/>
        <w:ind w:left="851" w:hanging="851"/>
        <w:jc w:val="both"/>
        <w:rPr>
          <w:rFonts w:ascii="Arial" w:hAnsi="Arial" w:cs="Arial"/>
          <w:sz w:val="24"/>
          <w:szCs w:val="24"/>
        </w:rPr>
      </w:pPr>
      <w:r w:rsidRPr="005E0A83">
        <w:rPr>
          <w:rFonts w:ascii="Arial" w:hAnsi="Arial" w:cs="Arial"/>
          <w:sz w:val="24"/>
          <w:szCs w:val="24"/>
        </w:rPr>
        <w:t>A notice of acting, on behalf of the third</w:t>
      </w:r>
      <w:r w:rsidR="00BA70E4">
        <w:rPr>
          <w:rFonts w:ascii="Arial" w:hAnsi="Arial" w:cs="Arial"/>
          <w:sz w:val="24"/>
          <w:szCs w:val="24"/>
        </w:rPr>
        <w:t>;</w:t>
      </w:r>
      <w:r w:rsidRPr="005E0A83">
        <w:rPr>
          <w:rFonts w:ascii="Arial" w:hAnsi="Arial" w:cs="Arial"/>
          <w:sz w:val="24"/>
          <w:szCs w:val="24"/>
        </w:rPr>
        <w:t xml:space="preserve"> fourth</w:t>
      </w:r>
      <w:r w:rsidR="00BA70E4">
        <w:rPr>
          <w:rFonts w:ascii="Arial" w:hAnsi="Arial" w:cs="Arial"/>
          <w:sz w:val="24"/>
          <w:szCs w:val="24"/>
        </w:rPr>
        <w:t>;</w:t>
      </w:r>
      <w:r w:rsidRPr="005E0A83">
        <w:rPr>
          <w:rFonts w:ascii="Arial" w:hAnsi="Arial" w:cs="Arial"/>
          <w:sz w:val="24"/>
          <w:szCs w:val="24"/>
        </w:rPr>
        <w:t xml:space="preserve"> seventh</w:t>
      </w:r>
      <w:r w:rsidR="00BA70E4">
        <w:rPr>
          <w:rFonts w:ascii="Arial" w:hAnsi="Arial" w:cs="Arial"/>
          <w:sz w:val="24"/>
          <w:szCs w:val="24"/>
        </w:rPr>
        <w:t>;</w:t>
      </w:r>
      <w:r w:rsidRPr="005E0A83">
        <w:rPr>
          <w:rFonts w:ascii="Arial" w:hAnsi="Arial" w:cs="Arial"/>
          <w:sz w:val="24"/>
          <w:szCs w:val="24"/>
        </w:rPr>
        <w:t xml:space="preserve"> eighth</w:t>
      </w:r>
      <w:r w:rsidR="00BA70E4">
        <w:rPr>
          <w:rFonts w:ascii="Arial" w:hAnsi="Arial" w:cs="Arial"/>
          <w:sz w:val="24"/>
          <w:szCs w:val="24"/>
        </w:rPr>
        <w:t>;</w:t>
      </w:r>
      <w:r w:rsidRPr="005E0A83">
        <w:rPr>
          <w:rFonts w:ascii="Arial" w:hAnsi="Arial" w:cs="Arial"/>
          <w:sz w:val="24"/>
          <w:szCs w:val="24"/>
        </w:rPr>
        <w:t xml:space="preserve"> and nineth </w:t>
      </w:r>
      <w:r w:rsidR="008F30B4">
        <w:rPr>
          <w:rFonts w:ascii="Arial" w:hAnsi="Arial" w:cs="Arial"/>
          <w:sz w:val="24"/>
          <w:szCs w:val="24"/>
        </w:rPr>
        <w:t>applicants</w:t>
      </w:r>
      <w:r w:rsidR="002C5A4F" w:rsidRPr="005E0A83">
        <w:rPr>
          <w:rFonts w:ascii="Arial" w:hAnsi="Arial" w:cs="Arial"/>
          <w:sz w:val="24"/>
          <w:szCs w:val="24"/>
        </w:rPr>
        <w:t xml:space="preserve"> (whom I shall collectively refer to as “</w:t>
      </w:r>
      <w:r w:rsidR="002C5A4F" w:rsidRPr="005E0A83">
        <w:rPr>
          <w:rFonts w:ascii="Arial" w:hAnsi="Arial" w:cs="Arial"/>
          <w:i/>
          <w:iCs/>
          <w:sz w:val="24"/>
          <w:szCs w:val="24"/>
        </w:rPr>
        <w:t>the applicants</w:t>
      </w:r>
      <w:r w:rsidR="002C5A4F" w:rsidRPr="005E0A83">
        <w:rPr>
          <w:rFonts w:ascii="Arial" w:hAnsi="Arial" w:cs="Arial"/>
          <w:sz w:val="24"/>
          <w:szCs w:val="24"/>
        </w:rPr>
        <w:t>”)</w:t>
      </w:r>
      <w:r w:rsidRPr="005E0A83">
        <w:rPr>
          <w:rFonts w:ascii="Arial" w:hAnsi="Arial" w:cs="Arial"/>
          <w:sz w:val="24"/>
          <w:szCs w:val="24"/>
        </w:rPr>
        <w:t xml:space="preserve"> was filed by the applicants’ present attorney of record</w:t>
      </w:r>
      <w:r w:rsidR="0085718C">
        <w:rPr>
          <w:rFonts w:ascii="Arial" w:hAnsi="Arial" w:cs="Arial"/>
          <w:sz w:val="24"/>
          <w:szCs w:val="24"/>
        </w:rPr>
        <w:t xml:space="preserve"> some five months later,</w:t>
      </w:r>
      <w:r w:rsidR="004C231B" w:rsidRPr="005E0A83">
        <w:rPr>
          <w:rFonts w:ascii="Arial" w:hAnsi="Arial" w:cs="Arial"/>
          <w:sz w:val="24"/>
          <w:szCs w:val="24"/>
        </w:rPr>
        <w:t xml:space="preserve"> on 21 July 2022, being on the date of hearing</w:t>
      </w:r>
      <w:r w:rsidRPr="005E0A83">
        <w:rPr>
          <w:rFonts w:ascii="Arial" w:hAnsi="Arial" w:cs="Arial"/>
          <w:sz w:val="24"/>
          <w:szCs w:val="24"/>
        </w:rPr>
        <w:t>.</w:t>
      </w:r>
      <w:r w:rsidR="0085718C">
        <w:rPr>
          <w:rFonts w:ascii="Arial" w:hAnsi="Arial" w:cs="Arial"/>
          <w:sz w:val="24"/>
          <w:szCs w:val="24"/>
        </w:rPr>
        <w:t xml:space="preserve">  Strikingly, the notice of acting was filed more than one year</w:t>
      </w:r>
      <w:r w:rsidR="00EA3716">
        <w:rPr>
          <w:rFonts w:ascii="Arial" w:hAnsi="Arial" w:cs="Arial"/>
          <w:sz w:val="24"/>
          <w:szCs w:val="24"/>
        </w:rPr>
        <w:t xml:space="preserve"> following</w:t>
      </w:r>
      <w:r w:rsidR="0085718C">
        <w:rPr>
          <w:rFonts w:ascii="Arial" w:hAnsi="Arial" w:cs="Arial"/>
          <w:sz w:val="24"/>
          <w:szCs w:val="24"/>
        </w:rPr>
        <w:t xml:space="preserve"> the withdrawal of the applicants’ erstwhile attorney of record. </w:t>
      </w:r>
      <w:r w:rsidR="006D5B45">
        <w:rPr>
          <w:rFonts w:ascii="Arial" w:hAnsi="Arial" w:cs="Arial"/>
          <w:sz w:val="24"/>
          <w:szCs w:val="24"/>
        </w:rPr>
        <w:t xml:space="preserve">  </w:t>
      </w:r>
      <w:r w:rsidR="002C5A4F" w:rsidRPr="005E0A83">
        <w:rPr>
          <w:rFonts w:ascii="Arial" w:hAnsi="Arial" w:cs="Arial"/>
          <w:sz w:val="24"/>
          <w:szCs w:val="24"/>
        </w:rPr>
        <w:t xml:space="preserve">  </w:t>
      </w:r>
    </w:p>
    <w:p w14:paraId="6946EDF3" w14:textId="77777777" w:rsidR="00523DE0" w:rsidRPr="005E0A83" w:rsidRDefault="00523DE0" w:rsidP="00523DE0">
      <w:pPr>
        <w:pStyle w:val="ListParagraph"/>
        <w:spacing w:after="0" w:line="480" w:lineRule="auto"/>
        <w:rPr>
          <w:rFonts w:ascii="Arial" w:hAnsi="Arial" w:cs="Arial"/>
          <w:sz w:val="24"/>
          <w:szCs w:val="24"/>
        </w:rPr>
      </w:pPr>
    </w:p>
    <w:p w14:paraId="3B4132CD" w14:textId="54480A68" w:rsidR="003F683C" w:rsidRPr="005E0A83" w:rsidRDefault="002C5A4F" w:rsidP="001572AD">
      <w:pPr>
        <w:pStyle w:val="ListParagraph"/>
        <w:numPr>
          <w:ilvl w:val="0"/>
          <w:numId w:val="1"/>
        </w:numPr>
        <w:spacing w:after="0" w:line="480" w:lineRule="auto"/>
        <w:ind w:left="851" w:hanging="851"/>
        <w:jc w:val="both"/>
        <w:rPr>
          <w:rFonts w:ascii="Arial" w:hAnsi="Arial" w:cs="Arial"/>
          <w:sz w:val="24"/>
          <w:szCs w:val="24"/>
        </w:rPr>
      </w:pPr>
      <w:r w:rsidRPr="005E0A83">
        <w:rPr>
          <w:rFonts w:ascii="Arial" w:hAnsi="Arial" w:cs="Arial"/>
          <w:sz w:val="24"/>
          <w:szCs w:val="24"/>
        </w:rPr>
        <w:t>As a consequence of the late engagement of the applicants’ attorney of record, a postponement of the matter was sought for the purposes of consulting with “</w:t>
      </w:r>
      <w:r w:rsidRPr="005E0A83">
        <w:rPr>
          <w:rFonts w:ascii="Arial" w:hAnsi="Arial" w:cs="Arial"/>
          <w:i/>
          <w:iCs/>
          <w:sz w:val="24"/>
          <w:szCs w:val="24"/>
        </w:rPr>
        <w:t>the Applicants in order to consult with a Counsel</w:t>
      </w:r>
      <w:r w:rsidRPr="005E0A83">
        <w:rPr>
          <w:rFonts w:ascii="Arial" w:hAnsi="Arial" w:cs="Arial"/>
          <w:sz w:val="24"/>
          <w:szCs w:val="24"/>
        </w:rPr>
        <w:t>”.</w:t>
      </w:r>
      <w:r w:rsidR="003F683C" w:rsidRPr="005E0A83">
        <w:rPr>
          <w:rFonts w:ascii="Arial" w:hAnsi="Arial" w:cs="Arial"/>
          <w:sz w:val="24"/>
          <w:szCs w:val="24"/>
        </w:rPr>
        <w:t xml:space="preserve">  Whilst the first respondent</w:t>
      </w:r>
      <w:r w:rsidR="001572AD" w:rsidRPr="005E0A83">
        <w:rPr>
          <w:rFonts w:ascii="Arial" w:hAnsi="Arial" w:cs="Arial"/>
          <w:sz w:val="24"/>
          <w:szCs w:val="24"/>
        </w:rPr>
        <w:t xml:space="preserve"> </w:t>
      </w:r>
      <w:r w:rsidR="003F683C" w:rsidRPr="005E0A83">
        <w:rPr>
          <w:rFonts w:ascii="Arial" w:hAnsi="Arial" w:cs="Arial"/>
          <w:sz w:val="24"/>
          <w:szCs w:val="24"/>
        </w:rPr>
        <w:t xml:space="preserve">reluctantly agreed to the belated request for a postponement, the parties were unable to agree on the </w:t>
      </w:r>
      <w:r w:rsidR="00806C13" w:rsidRPr="005E0A83">
        <w:rPr>
          <w:rFonts w:ascii="Arial" w:hAnsi="Arial" w:cs="Arial"/>
          <w:sz w:val="24"/>
          <w:szCs w:val="24"/>
        </w:rPr>
        <w:t xml:space="preserve">scale of costs for which the applicants </w:t>
      </w:r>
      <w:r w:rsidR="00806C13" w:rsidRPr="005E0A83">
        <w:rPr>
          <w:rFonts w:ascii="Arial" w:hAnsi="Arial" w:cs="Arial"/>
          <w:sz w:val="24"/>
          <w:szCs w:val="24"/>
        </w:rPr>
        <w:lastRenderedPageBreak/>
        <w:t>would be liable</w:t>
      </w:r>
      <w:r w:rsidR="003F683C" w:rsidRPr="005E0A83">
        <w:rPr>
          <w:rFonts w:ascii="Arial" w:hAnsi="Arial" w:cs="Arial"/>
          <w:sz w:val="24"/>
          <w:szCs w:val="24"/>
        </w:rPr>
        <w:t>.</w:t>
      </w:r>
      <w:r w:rsidR="002E593F" w:rsidRPr="005E0A83">
        <w:rPr>
          <w:rFonts w:ascii="Arial" w:hAnsi="Arial" w:cs="Arial"/>
          <w:sz w:val="24"/>
          <w:szCs w:val="24"/>
        </w:rPr>
        <w:t xml:space="preserve">  The applicants contend</w:t>
      </w:r>
      <w:r w:rsidR="0074486D" w:rsidRPr="005E0A83">
        <w:rPr>
          <w:rFonts w:ascii="Arial" w:hAnsi="Arial" w:cs="Arial"/>
          <w:sz w:val="24"/>
          <w:szCs w:val="24"/>
        </w:rPr>
        <w:t>ed</w:t>
      </w:r>
      <w:r w:rsidR="002E593F" w:rsidRPr="005E0A83">
        <w:rPr>
          <w:rFonts w:ascii="Arial" w:hAnsi="Arial" w:cs="Arial"/>
          <w:sz w:val="24"/>
          <w:szCs w:val="24"/>
        </w:rPr>
        <w:t xml:space="preserve"> that their liability in respect of the wasted costs occasioned by the postponement ought to be on a party-and-party scale.  The first respondent, on the other hand, contend</w:t>
      </w:r>
      <w:r w:rsidR="0074486D" w:rsidRPr="005E0A83">
        <w:rPr>
          <w:rFonts w:ascii="Arial" w:hAnsi="Arial" w:cs="Arial"/>
          <w:sz w:val="24"/>
          <w:szCs w:val="24"/>
        </w:rPr>
        <w:t>ed</w:t>
      </w:r>
      <w:r w:rsidR="002E593F" w:rsidRPr="005E0A83">
        <w:rPr>
          <w:rFonts w:ascii="Arial" w:hAnsi="Arial" w:cs="Arial"/>
          <w:sz w:val="24"/>
          <w:szCs w:val="24"/>
        </w:rPr>
        <w:t xml:space="preserve"> that</w:t>
      </w:r>
      <w:r w:rsidR="0074486D" w:rsidRPr="005E0A83">
        <w:rPr>
          <w:rFonts w:ascii="Arial" w:hAnsi="Arial" w:cs="Arial"/>
          <w:sz w:val="24"/>
          <w:szCs w:val="24"/>
        </w:rPr>
        <w:t xml:space="preserve"> this was an appropriate matter for the award of costs on an attorney-and-client scale.</w:t>
      </w:r>
      <w:r w:rsidR="002E593F" w:rsidRPr="005E0A83">
        <w:rPr>
          <w:rFonts w:ascii="Arial" w:hAnsi="Arial" w:cs="Arial"/>
          <w:sz w:val="24"/>
          <w:szCs w:val="24"/>
        </w:rPr>
        <w:t xml:space="preserve"> </w:t>
      </w:r>
    </w:p>
    <w:p w14:paraId="4F46C707" w14:textId="77777777" w:rsidR="003F683C" w:rsidRPr="005E0A83" w:rsidRDefault="003F683C" w:rsidP="001572AD">
      <w:pPr>
        <w:pStyle w:val="ListParagraph"/>
        <w:spacing w:after="0" w:line="480" w:lineRule="auto"/>
        <w:rPr>
          <w:rFonts w:ascii="Arial" w:hAnsi="Arial" w:cs="Arial"/>
          <w:sz w:val="24"/>
          <w:szCs w:val="24"/>
        </w:rPr>
      </w:pPr>
    </w:p>
    <w:p w14:paraId="049072E7" w14:textId="607BBEAF" w:rsidR="002E593F" w:rsidRPr="005E0A83" w:rsidRDefault="002E593F" w:rsidP="00BB0379">
      <w:pPr>
        <w:pStyle w:val="ListParagraph"/>
        <w:numPr>
          <w:ilvl w:val="0"/>
          <w:numId w:val="1"/>
        </w:numPr>
        <w:spacing w:after="0" w:line="480" w:lineRule="auto"/>
        <w:ind w:left="851" w:hanging="851"/>
        <w:jc w:val="both"/>
        <w:rPr>
          <w:rFonts w:ascii="Arial" w:hAnsi="Arial" w:cs="Arial"/>
          <w:sz w:val="24"/>
          <w:szCs w:val="24"/>
        </w:rPr>
      </w:pPr>
      <w:r w:rsidRPr="005E0A83">
        <w:rPr>
          <w:rFonts w:ascii="Arial" w:hAnsi="Arial" w:cs="Arial"/>
          <w:sz w:val="24"/>
          <w:szCs w:val="24"/>
        </w:rPr>
        <w:t xml:space="preserve">In support of the applicants’ </w:t>
      </w:r>
      <w:r w:rsidR="0074486D" w:rsidRPr="005E0A83">
        <w:rPr>
          <w:rFonts w:ascii="Arial" w:hAnsi="Arial" w:cs="Arial"/>
          <w:sz w:val="24"/>
          <w:szCs w:val="24"/>
        </w:rPr>
        <w:t>submissions, an affidavit deposed to by the applicants’ attorney of record</w:t>
      </w:r>
      <w:r w:rsidR="00AD6090" w:rsidRPr="005E0A83">
        <w:rPr>
          <w:rFonts w:ascii="Arial" w:hAnsi="Arial" w:cs="Arial"/>
          <w:sz w:val="24"/>
          <w:szCs w:val="24"/>
        </w:rPr>
        <w:t xml:space="preserve"> on the date of hearing, </w:t>
      </w:r>
      <w:r w:rsidR="0074486D" w:rsidRPr="005E0A83">
        <w:rPr>
          <w:rFonts w:ascii="Arial" w:hAnsi="Arial" w:cs="Arial"/>
          <w:sz w:val="24"/>
          <w:szCs w:val="24"/>
        </w:rPr>
        <w:t>was handed up from the bar by the applicants’ counsel</w:t>
      </w:r>
      <w:r w:rsidR="00AD6090" w:rsidRPr="005E0A83">
        <w:rPr>
          <w:rFonts w:ascii="Arial" w:hAnsi="Arial" w:cs="Arial"/>
          <w:sz w:val="24"/>
          <w:szCs w:val="24"/>
        </w:rPr>
        <w:t>.  A copy of the affidavit was simultaneously provided to the first respondent’s counsel</w:t>
      </w:r>
      <w:r w:rsidR="0004028F" w:rsidRPr="005E0A83">
        <w:rPr>
          <w:rFonts w:ascii="Arial" w:hAnsi="Arial" w:cs="Arial"/>
          <w:sz w:val="24"/>
          <w:szCs w:val="24"/>
        </w:rPr>
        <w:t>,</w:t>
      </w:r>
      <w:r w:rsidR="00AD6090" w:rsidRPr="005E0A83">
        <w:rPr>
          <w:rFonts w:ascii="Arial" w:hAnsi="Arial" w:cs="Arial"/>
          <w:sz w:val="24"/>
          <w:szCs w:val="24"/>
        </w:rPr>
        <w:t xml:space="preserve"> who had not previously had sight thereof. </w:t>
      </w:r>
    </w:p>
    <w:p w14:paraId="3494AC56" w14:textId="77777777" w:rsidR="002E593F" w:rsidRPr="005E0A83" w:rsidRDefault="002E593F" w:rsidP="00BB0379">
      <w:pPr>
        <w:pStyle w:val="ListParagraph"/>
        <w:spacing w:after="0" w:line="480" w:lineRule="auto"/>
        <w:rPr>
          <w:rFonts w:ascii="Arial" w:hAnsi="Arial" w:cs="Arial"/>
          <w:sz w:val="24"/>
          <w:szCs w:val="24"/>
        </w:rPr>
      </w:pPr>
    </w:p>
    <w:p w14:paraId="2E386CAA" w14:textId="16150D26" w:rsidR="00A61D34" w:rsidRPr="005E0A83" w:rsidRDefault="00AD6090" w:rsidP="00F14C1B">
      <w:pPr>
        <w:pStyle w:val="ListParagraph"/>
        <w:numPr>
          <w:ilvl w:val="0"/>
          <w:numId w:val="1"/>
        </w:numPr>
        <w:spacing w:after="0" w:line="480" w:lineRule="auto"/>
        <w:ind w:left="851" w:hanging="851"/>
        <w:jc w:val="both"/>
        <w:rPr>
          <w:rFonts w:ascii="Arial" w:hAnsi="Arial" w:cs="Arial"/>
          <w:sz w:val="24"/>
          <w:szCs w:val="24"/>
        </w:rPr>
      </w:pPr>
      <w:r w:rsidRPr="005E0A83">
        <w:rPr>
          <w:rFonts w:ascii="Arial" w:hAnsi="Arial" w:cs="Arial"/>
          <w:sz w:val="24"/>
          <w:szCs w:val="24"/>
        </w:rPr>
        <w:t xml:space="preserve">In argument, the first respondent’s counsel </w:t>
      </w:r>
      <w:r w:rsidR="00672F5F" w:rsidRPr="005E0A83">
        <w:rPr>
          <w:rFonts w:ascii="Arial" w:hAnsi="Arial" w:cs="Arial"/>
          <w:sz w:val="24"/>
          <w:szCs w:val="24"/>
        </w:rPr>
        <w:t>contended that the attestation clause</w:t>
      </w:r>
      <w:r w:rsidR="00A61D34" w:rsidRPr="005E0A83">
        <w:rPr>
          <w:rFonts w:ascii="Arial" w:hAnsi="Arial" w:cs="Arial"/>
          <w:sz w:val="24"/>
          <w:szCs w:val="24"/>
        </w:rPr>
        <w:t xml:space="preserve"> at the base of the affidavit, which referred to the deponent, as “</w:t>
      </w:r>
      <w:r w:rsidR="00A61D34" w:rsidRPr="005E0A83">
        <w:rPr>
          <w:rFonts w:ascii="Arial" w:hAnsi="Arial" w:cs="Arial"/>
          <w:i/>
          <w:iCs/>
          <w:sz w:val="24"/>
          <w:szCs w:val="24"/>
        </w:rPr>
        <w:t>he</w:t>
      </w:r>
      <w:r w:rsidR="00A61D34" w:rsidRPr="005E0A83">
        <w:rPr>
          <w:rFonts w:ascii="Arial" w:hAnsi="Arial" w:cs="Arial"/>
          <w:sz w:val="24"/>
          <w:szCs w:val="24"/>
        </w:rPr>
        <w:t>”, in circumstances where the deponent was recorded as being an adult female, rendered the affidavit invalid</w:t>
      </w:r>
      <w:r w:rsidR="00005EFD" w:rsidRPr="005E0A83">
        <w:rPr>
          <w:rFonts w:ascii="Arial" w:hAnsi="Arial" w:cs="Arial"/>
          <w:sz w:val="24"/>
          <w:szCs w:val="24"/>
        </w:rPr>
        <w:t xml:space="preserve">.  Accordingly, so the argument went, </w:t>
      </w:r>
      <w:r w:rsidR="003D5FCD" w:rsidRPr="005E0A83">
        <w:rPr>
          <w:rFonts w:ascii="Arial" w:hAnsi="Arial" w:cs="Arial"/>
          <w:sz w:val="24"/>
          <w:szCs w:val="24"/>
        </w:rPr>
        <w:t>it was not possible to verify whether the affidavit had been attested to in the presence of the commissioner of oaths</w:t>
      </w:r>
      <w:r w:rsidR="00A61D34" w:rsidRPr="005E0A83">
        <w:rPr>
          <w:rFonts w:ascii="Arial" w:hAnsi="Arial" w:cs="Arial"/>
          <w:sz w:val="24"/>
          <w:szCs w:val="24"/>
        </w:rPr>
        <w:t>.  In the event of a finding that the affidavit was invalid, no such affidavit served before the Court.</w:t>
      </w:r>
    </w:p>
    <w:p w14:paraId="45AD712D" w14:textId="77777777" w:rsidR="00A61D34" w:rsidRPr="005E0A83" w:rsidRDefault="00A61D34" w:rsidP="00F14C1B">
      <w:pPr>
        <w:pStyle w:val="ListParagraph"/>
        <w:spacing w:after="0" w:line="480" w:lineRule="auto"/>
        <w:rPr>
          <w:rFonts w:ascii="Arial" w:hAnsi="Arial" w:cs="Arial"/>
          <w:sz w:val="24"/>
          <w:szCs w:val="24"/>
        </w:rPr>
      </w:pPr>
    </w:p>
    <w:p w14:paraId="5EDDBD62" w14:textId="77777777" w:rsidR="00BB0379" w:rsidRPr="005E0A83" w:rsidRDefault="003F683C" w:rsidP="00F14C1B">
      <w:pPr>
        <w:pStyle w:val="ListParagraph"/>
        <w:numPr>
          <w:ilvl w:val="0"/>
          <w:numId w:val="1"/>
        </w:numPr>
        <w:spacing w:after="0" w:line="480" w:lineRule="auto"/>
        <w:ind w:left="851" w:hanging="851"/>
        <w:jc w:val="both"/>
        <w:rPr>
          <w:rFonts w:ascii="Arial" w:hAnsi="Arial" w:cs="Arial"/>
          <w:sz w:val="24"/>
          <w:szCs w:val="24"/>
        </w:rPr>
      </w:pPr>
      <w:r w:rsidRPr="005E0A83">
        <w:rPr>
          <w:rFonts w:ascii="Arial" w:hAnsi="Arial" w:cs="Arial"/>
          <w:sz w:val="24"/>
          <w:szCs w:val="24"/>
        </w:rPr>
        <w:t>Accordingly,</w:t>
      </w:r>
      <w:r w:rsidR="00BB0379" w:rsidRPr="005E0A83">
        <w:rPr>
          <w:rFonts w:ascii="Arial" w:hAnsi="Arial" w:cs="Arial"/>
          <w:sz w:val="24"/>
          <w:szCs w:val="24"/>
        </w:rPr>
        <w:t xml:space="preserve"> the issues</w:t>
      </w:r>
      <w:r w:rsidRPr="005E0A83">
        <w:rPr>
          <w:rFonts w:ascii="Arial" w:hAnsi="Arial" w:cs="Arial"/>
          <w:sz w:val="24"/>
          <w:szCs w:val="24"/>
        </w:rPr>
        <w:t xml:space="preserve"> which fall to be determined</w:t>
      </w:r>
      <w:r w:rsidR="002E593F" w:rsidRPr="005E0A83">
        <w:rPr>
          <w:rFonts w:ascii="Arial" w:hAnsi="Arial" w:cs="Arial"/>
          <w:sz w:val="24"/>
          <w:szCs w:val="24"/>
        </w:rPr>
        <w:t xml:space="preserve"> </w:t>
      </w:r>
      <w:r w:rsidR="00BB0379" w:rsidRPr="005E0A83">
        <w:rPr>
          <w:rFonts w:ascii="Arial" w:hAnsi="Arial" w:cs="Arial"/>
          <w:sz w:val="24"/>
          <w:szCs w:val="24"/>
        </w:rPr>
        <w:t xml:space="preserve">by me </w:t>
      </w:r>
      <w:r w:rsidR="002E593F" w:rsidRPr="005E0A83">
        <w:rPr>
          <w:rFonts w:ascii="Arial" w:hAnsi="Arial" w:cs="Arial"/>
          <w:sz w:val="24"/>
          <w:szCs w:val="24"/>
        </w:rPr>
        <w:t>pertain to the</w:t>
      </w:r>
      <w:r w:rsidR="00BB0379" w:rsidRPr="005E0A83">
        <w:rPr>
          <w:rFonts w:ascii="Arial" w:hAnsi="Arial" w:cs="Arial"/>
          <w:sz w:val="24"/>
          <w:szCs w:val="24"/>
        </w:rPr>
        <w:t xml:space="preserve"> validity of the said affidavit; and the</w:t>
      </w:r>
      <w:r w:rsidR="002E593F" w:rsidRPr="005E0A83">
        <w:rPr>
          <w:rFonts w:ascii="Arial" w:hAnsi="Arial" w:cs="Arial"/>
          <w:sz w:val="24"/>
          <w:szCs w:val="24"/>
        </w:rPr>
        <w:t xml:space="preserve"> scale of </w:t>
      </w:r>
      <w:r w:rsidR="00BB0379" w:rsidRPr="005E0A83">
        <w:rPr>
          <w:rFonts w:ascii="Arial" w:hAnsi="Arial" w:cs="Arial"/>
          <w:sz w:val="24"/>
          <w:szCs w:val="24"/>
        </w:rPr>
        <w:t>costs for which the applicants are liable.</w:t>
      </w:r>
    </w:p>
    <w:p w14:paraId="7BB74FF6" w14:textId="60DB9D7A" w:rsidR="00BB0379" w:rsidRDefault="00BB0379" w:rsidP="00413C4E">
      <w:pPr>
        <w:spacing w:after="0" w:line="480" w:lineRule="auto"/>
        <w:rPr>
          <w:rFonts w:ascii="Arial" w:hAnsi="Arial" w:cs="Arial"/>
          <w:sz w:val="24"/>
          <w:szCs w:val="24"/>
        </w:rPr>
      </w:pPr>
    </w:p>
    <w:p w14:paraId="643544A2" w14:textId="2A1BBD7D" w:rsidR="00413C4E" w:rsidRDefault="00413C4E" w:rsidP="00413C4E">
      <w:pPr>
        <w:spacing w:after="0" w:line="480" w:lineRule="auto"/>
        <w:rPr>
          <w:rFonts w:ascii="Arial" w:hAnsi="Arial" w:cs="Arial"/>
          <w:sz w:val="24"/>
          <w:szCs w:val="24"/>
          <w:u w:val="single"/>
        </w:rPr>
      </w:pPr>
      <w:r>
        <w:rPr>
          <w:rFonts w:ascii="Arial" w:hAnsi="Arial" w:cs="Arial"/>
          <w:sz w:val="24"/>
          <w:szCs w:val="24"/>
          <w:u w:val="single"/>
        </w:rPr>
        <w:t>Validity of the affidavit</w:t>
      </w:r>
    </w:p>
    <w:p w14:paraId="05411CC3" w14:textId="77777777" w:rsidR="00413C4E" w:rsidRPr="00413C4E" w:rsidRDefault="00413C4E" w:rsidP="00413C4E">
      <w:pPr>
        <w:spacing w:after="0" w:line="480" w:lineRule="auto"/>
        <w:rPr>
          <w:rFonts w:ascii="Arial" w:hAnsi="Arial" w:cs="Arial"/>
          <w:sz w:val="24"/>
          <w:szCs w:val="24"/>
          <w:u w:val="single"/>
        </w:rPr>
      </w:pPr>
    </w:p>
    <w:p w14:paraId="2F7DFBF1" w14:textId="77941D19" w:rsidR="003D5FCD" w:rsidRPr="005E0A83" w:rsidRDefault="003D5FCD" w:rsidP="00376979">
      <w:pPr>
        <w:pStyle w:val="ListParagraph"/>
        <w:numPr>
          <w:ilvl w:val="0"/>
          <w:numId w:val="1"/>
        </w:numPr>
        <w:spacing w:after="0" w:line="480" w:lineRule="auto"/>
        <w:ind w:left="851" w:hanging="851"/>
        <w:jc w:val="both"/>
        <w:rPr>
          <w:rFonts w:ascii="Arial" w:hAnsi="Arial" w:cs="Arial"/>
          <w:sz w:val="24"/>
          <w:szCs w:val="24"/>
        </w:rPr>
      </w:pPr>
      <w:r w:rsidRPr="005E0A83">
        <w:rPr>
          <w:rFonts w:ascii="Arial" w:hAnsi="Arial" w:cs="Arial"/>
          <w:sz w:val="24"/>
          <w:szCs w:val="24"/>
        </w:rPr>
        <w:lastRenderedPageBreak/>
        <w:t>Affidavits must satisfy the requirements set out in the Regulations Governing the Administering of an Oath or Affirmation</w:t>
      </w:r>
      <w:r w:rsidR="00F14C1B" w:rsidRPr="005E0A83">
        <w:rPr>
          <w:rStyle w:val="FootnoteReference"/>
          <w:rFonts w:ascii="Arial" w:hAnsi="Arial" w:cs="Arial"/>
          <w:sz w:val="24"/>
          <w:szCs w:val="24"/>
        </w:rPr>
        <w:footnoteReference w:id="4"/>
      </w:r>
      <w:r w:rsidRPr="005E0A83">
        <w:rPr>
          <w:rFonts w:ascii="Arial" w:hAnsi="Arial" w:cs="Arial"/>
          <w:sz w:val="24"/>
          <w:szCs w:val="24"/>
        </w:rPr>
        <w:t xml:space="preserve"> (“</w:t>
      </w:r>
      <w:r w:rsidRPr="005E0A83">
        <w:rPr>
          <w:rFonts w:ascii="Arial" w:hAnsi="Arial" w:cs="Arial"/>
          <w:i/>
          <w:iCs/>
          <w:sz w:val="24"/>
          <w:szCs w:val="24"/>
        </w:rPr>
        <w:t>the Regulations</w:t>
      </w:r>
      <w:r w:rsidRPr="005E0A83">
        <w:rPr>
          <w:rFonts w:ascii="Arial" w:hAnsi="Arial" w:cs="Arial"/>
          <w:sz w:val="24"/>
          <w:szCs w:val="24"/>
        </w:rPr>
        <w:t>”) promulgated in terms of the Justices of the Peace and Commissioners of Oaths Act 16 of 1963</w:t>
      </w:r>
      <w:r w:rsidR="00F14C1B" w:rsidRPr="005E0A83">
        <w:rPr>
          <w:rFonts w:ascii="Arial" w:hAnsi="Arial" w:cs="Arial"/>
          <w:sz w:val="24"/>
          <w:szCs w:val="24"/>
        </w:rPr>
        <w:t xml:space="preserve">.  </w:t>
      </w:r>
    </w:p>
    <w:p w14:paraId="49C286B8" w14:textId="77777777" w:rsidR="001D6A36" w:rsidRPr="005E0A83" w:rsidRDefault="001D6A36" w:rsidP="00376979">
      <w:pPr>
        <w:pStyle w:val="ListParagraph"/>
        <w:spacing w:after="0" w:line="480" w:lineRule="auto"/>
        <w:rPr>
          <w:rFonts w:ascii="Arial" w:hAnsi="Arial" w:cs="Arial"/>
          <w:sz w:val="24"/>
          <w:szCs w:val="24"/>
        </w:rPr>
      </w:pPr>
    </w:p>
    <w:p w14:paraId="39278F57" w14:textId="03098AE7" w:rsidR="001D6A36" w:rsidRPr="005E0A83" w:rsidRDefault="001D6A36" w:rsidP="00376979">
      <w:pPr>
        <w:pStyle w:val="ListParagraph"/>
        <w:numPr>
          <w:ilvl w:val="0"/>
          <w:numId w:val="1"/>
        </w:numPr>
        <w:spacing w:after="0" w:line="480" w:lineRule="auto"/>
        <w:ind w:left="851" w:hanging="851"/>
        <w:jc w:val="both"/>
        <w:rPr>
          <w:rFonts w:ascii="Arial" w:hAnsi="Arial" w:cs="Arial"/>
          <w:sz w:val="24"/>
          <w:szCs w:val="24"/>
        </w:rPr>
      </w:pPr>
      <w:r w:rsidRPr="005E0A83">
        <w:rPr>
          <w:rFonts w:ascii="Arial" w:hAnsi="Arial" w:cs="Arial"/>
          <w:sz w:val="24"/>
          <w:szCs w:val="24"/>
        </w:rPr>
        <w:t>In terms of Regulation 2(1), read with 2(2), before a commissioner of oaths administers the oath to any person, he shall ask the deponent: (a) whether he knows and understands the contents of the declaration; (b) whether he has any objection to taking the prescribed oath; and (c) whether he considers the prescribed oath to be binding on his conscience.  In the event of the deponent answering the aforesaid questions in the affirmative, the commissioner of oaths shall administer the oath.</w:t>
      </w:r>
    </w:p>
    <w:p w14:paraId="6701E0B9" w14:textId="77777777" w:rsidR="00376979" w:rsidRPr="005E0A83" w:rsidRDefault="00376979" w:rsidP="00376979">
      <w:pPr>
        <w:pStyle w:val="ListParagraph"/>
        <w:spacing w:after="0" w:line="480" w:lineRule="auto"/>
        <w:rPr>
          <w:rFonts w:ascii="Arial" w:hAnsi="Arial" w:cs="Arial"/>
          <w:sz w:val="24"/>
          <w:szCs w:val="24"/>
        </w:rPr>
      </w:pPr>
    </w:p>
    <w:p w14:paraId="202282D5" w14:textId="40A62732" w:rsidR="00376979" w:rsidRPr="005E0A83" w:rsidRDefault="00376979" w:rsidP="00376979">
      <w:pPr>
        <w:pStyle w:val="ListParagraph"/>
        <w:numPr>
          <w:ilvl w:val="0"/>
          <w:numId w:val="1"/>
        </w:numPr>
        <w:spacing w:after="0" w:line="480" w:lineRule="auto"/>
        <w:ind w:left="851" w:hanging="851"/>
        <w:jc w:val="both"/>
        <w:rPr>
          <w:rFonts w:ascii="Arial" w:hAnsi="Arial" w:cs="Arial"/>
          <w:sz w:val="24"/>
          <w:szCs w:val="24"/>
        </w:rPr>
      </w:pPr>
      <w:r w:rsidRPr="005E0A83">
        <w:rPr>
          <w:rFonts w:ascii="Arial" w:hAnsi="Arial" w:cs="Arial"/>
          <w:sz w:val="24"/>
          <w:szCs w:val="24"/>
        </w:rPr>
        <w:t xml:space="preserve">For the present purposes, the content of Regulation 3(1), which requires the deponent to sign the declaration in the presence of the commissioner of oaths, is apposite. </w:t>
      </w:r>
    </w:p>
    <w:p w14:paraId="0F370F77" w14:textId="77777777" w:rsidR="003D5FCD" w:rsidRPr="005E0A83" w:rsidRDefault="003D5FCD" w:rsidP="00376979">
      <w:pPr>
        <w:pStyle w:val="ListParagraph"/>
        <w:spacing w:after="0" w:line="480" w:lineRule="auto"/>
        <w:rPr>
          <w:rFonts w:ascii="Arial" w:hAnsi="Arial" w:cs="Arial"/>
          <w:sz w:val="24"/>
          <w:szCs w:val="24"/>
        </w:rPr>
      </w:pPr>
    </w:p>
    <w:p w14:paraId="38DE8A43" w14:textId="3D2E76F9" w:rsidR="007D0F68" w:rsidRPr="005E0A83" w:rsidRDefault="00551CD5" w:rsidP="005E0A83">
      <w:pPr>
        <w:pStyle w:val="ListParagraph"/>
        <w:numPr>
          <w:ilvl w:val="0"/>
          <w:numId w:val="1"/>
        </w:numPr>
        <w:spacing w:after="0" w:line="480" w:lineRule="auto"/>
        <w:ind w:left="851" w:hanging="851"/>
        <w:jc w:val="both"/>
        <w:rPr>
          <w:rFonts w:ascii="Arial" w:hAnsi="Arial" w:cs="Arial"/>
          <w:sz w:val="24"/>
          <w:szCs w:val="24"/>
        </w:rPr>
      </w:pPr>
      <w:r w:rsidRPr="005E0A83">
        <w:rPr>
          <w:rFonts w:ascii="Arial" w:hAnsi="Arial" w:cs="Arial"/>
          <w:sz w:val="24"/>
          <w:szCs w:val="24"/>
        </w:rPr>
        <w:t xml:space="preserve">In </w:t>
      </w:r>
      <w:r w:rsidRPr="005E0A83">
        <w:rPr>
          <w:rFonts w:ascii="Arial" w:hAnsi="Arial" w:cs="Arial"/>
          <w:i/>
          <w:iCs/>
          <w:sz w:val="24"/>
          <w:szCs w:val="24"/>
        </w:rPr>
        <w:t>Absa Bank v Botha NO</w:t>
      </w:r>
      <w:r w:rsidRPr="005E0A83">
        <w:rPr>
          <w:rFonts w:ascii="Arial" w:hAnsi="Arial" w:cs="Arial"/>
          <w:sz w:val="24"/>
          <w:szCs w:val="24"/>
        </w:rPr>
        <w:t>,</w:t>
      </w:r>
      <w:r w:rsidRPr="005E0A83">
        <w:rPr>
          <w:rStyle w:val="FootnoteReference"/>
          <w:rFonts w:ascii="Arial" w:hAnsi="Arial" w:cs="Arial"/>
          <w:sz w:val="24"/>
          <w:szCs w:val="24"/>
        </w:rPr>
        <w:footnoteReference w:id="5"/>
      </w:r>
      <w:r w:rsidRPr="005E0A83">
        <w:rPr>
          <w:rFonts w:ascii="Arial" w:hAnsi="Arial" w:cs="Arial"/>
          <w:sz w:val="24"/>
          <w:szCs w:val="24"/>
        </w:rPr>
        <w:t xml:space="preserve"> Kathree-Setiloane J, in the context of summary judgment proceedings, had an occasion to consider the validity of </w:t>
      </w:r>
      <w:r w:rsidR="00D3617E" w:rsidRPr="005E0A83">
        <w:rPr>
          <w:rFonts w:ascii="Arial" w:hAnsi="Arial" w:cs="Arial"/>
          <w:sz w:val="24"/>
          <w:szCs w:val="24"/>
        </w:rPr>
        <w:t>an affidavit where</w:t>
      </w:r>
      <w:r w:rsidR="007D0F68" w:rsidRPr="005E0A83">
        <w:rPr>
          <w:rFonts w:ascii="Arial" w:hAnsi="Arial" w:cs="Arial"/>
          <w:sz w:val="24"/>
          <w:szCs w:val="24"/>
        </w:rPr>
        <w:t>in</w:t>
      </w:r>
      <w:r w:rsidR="00D3617E" w:rsidRPr="005E0A83">
        <w:rPr>
          <w:rFonts w:ascii="Arial" w:hAnsi="Arial" w:cs="Arial"/>
          <w:sz w:val="24"/>
          <w:szCs w:val="24"/>
        </w:rPr>
        <w:t xml:space="preserve"> the defendant’s principal ground of objection thereto</w:t>
      </w:r>
      <w:r w:rsidR="007D0F68" w:rsidRPr="005E0A83">
        <w:rPr>
          <w:rFonts w:ascii="Arial" w:hAnsi="Arial" w:cs="Arial"/>
          <w:sz w:val="24"/>
          <w:szCs w:val="24"/>
        </w:rPr>
        <w:t xml:space="preserve"> was</w:t>
      </w:r>
      <w:r w:rsidR="00D3617E" w:rsidRPr="005E0A83">
        <w:rPr>
          <w:rFonts w:ascii="Arial" w:hAnsi="Arial" w:cs="Arial"/>
          <w:sz w:val="24"/>
          <w:szCs w:val="24"/>
        </w:rPr>
        <w:t xml:space="preserve"> “</w:t>
      </w:r>
      <w:r w:rsidR="00D3617E" w:rsidRPr="005E0A83">
        <w:rPr>
          <w:rFonts w:ascii="Arial" w:hAnsi="Arial" w:cs="Arial"/>
          <w:i/>
          <w:iCs/>
          <w:sz w:val="24"/>
          <w:szCs w:val="24"/>
        </w:rPr>
        <w:t xml:space="preserve">that the plaintiff’s purported verifying affidavit does not constitute an affidavit as the deponent to the affidavit, Ms Suney du Plessis, declares that she is a female </w:t>
      </w:r>
      <w:r w:rsidR="007D0F68" w:rsidRPr="005E0A83">
        <w:rPr>
          <w:rFonts w:ascii="Arial" w:hAnsi="Arial" w:cs="Arial"/>
          <w:i/>
          <w:iCs/>
          <w:sz w:val="24"/>
          <w:szCs w:val="24"/>
        </w:rPr>
        <w:lastRenderedPageBreak/>
        <w:t>in the affidavit, yet the commissioner of oaths certifies that she is a male.  Ms Du Plessis specifically declared, in this regard, that she was ‘a major person in the employment of the Plaintiff as a manageress of the Plaintiff’, yet the commissioner of oaths certified that ‘the Deponent acknowledged that he knows and understands the contents of this affidavit…</w:t>
      </w:r>
      <w:r w:rsidR="007D0F68" w:rsidRPr="005E0A83">
        <w:rPr>
          <w:rFonts w:ascii="Arial" w:hAnsi="Arial" w:cs="Arial"/>
          <w:sz w:val="24"/>
          <w:szCs w:val="24"/>
        </w:rPr>
        <w:t>”</w:t>
      </w:r>
      <w:r w:rsidR="007D0F68" w:rsidRPr="005E0A83">
        <w:rPr>
          <w:rStyle w:val="FootnoteReference"/>
          <w:rFonts w:ascii="Arial" w:hAnsi="Arial" w:cs="Arial"/>
          <w:sz w:val="24"/>
          <w:szCs w:val="24"/>
        </w:rPr>
        <w:footnoteReference w:id="6"/>
      </w:r>
    </w:p>
    <w:p w14:paraId="4C6B0F78" w14:textId="77777777" w:rsidR="007D0F68" w:rsidRPr="005E0A83" w:rsidRDefault="007D0F68" w:rsidP="004D3C16">
      <w:pPr>
        <w:pStyle w:val="ListParagraph"/>
        <w:spacing w:after="0" w:line="480" w:lineRule="auto"/>
        <w:rPr>
          <w:rFonts w:ascii="Arial" w:hAnsi="Arial" w:cs="Arial"/>
          <w:sz w:val="24"/>
          <w:szCs w:val="24"/>
        </w:rPr>
      </w:pPr>
    </w:p>
    <w:p w14:paraId="1D4C3387" w14:textId="77777777" w:rsidR="00D80EC8" w:rsidRPr="005E0A83" w:rsidRDefault="0085590F" w:rsidP="005E0A83">
      <w:pPr>
        <w:pStyle w:val="ListParagraph"/>
        <w:numPr>
          <w:ilvl w:val="0"/>
          <w:numId w:val="1"/>
        </w:numPr>
        <w:spacing w:after="0" w:line="480" w:lineRule="auto"/>
        <w:ind w:left="851" w:hanging="851"/>
        <w:jc w:val="both"/>
        <w:rPr>
          <w:rFonts w:ascii="Arial" w:hAnsi="Arial" w:cs="Arial"/>
          <w:sz w:val="24"/>
          <w:szCs w:val="24"/>
        </w:rPr>
      </w:pPr>
      <w:r w:rsidRPr="005E0A83">
        <w:rPr>
          <w:rFonts w:ascii="Arial" w:hAnsi="Arial" w:cs="Arial"/>
          <w:sz w:val="24"/>
          <w:szCs w:val="24"/>
        </w:rPr>
        <w:t xml:space="preserve">The </w:t>
      </w:r>
      <w:r w:rsidR="00D80EC8" w:rsidRPr="005E0A83">
        <w:rPr>
          <w:rFonts w:ascii="Arial" w:hAnsi="Arial" w:cs="Arial"/>
          <w:sz w:val="24"/>
          <w:szCs w:val="24"/>
        </w:rPr>
        <w:t>confusion which arose</w:t>
      </w:r>
      <w:r w:rsidRPr="005E0A83">
        <w:rPr>
          <w:rFonts w:ascii="Arial" w:hAnsi="Arial" w:cs="Arial"/>
          <w:sz w:val="24"/>
          <w:szCs w:val="24"/>
        </w:rPr>
        <w:t xml:space="preserve"> in </w:t>
      </w:r>
      <w:r w:rsidRPr="005E0A83">
        <w:rPr>
          <w:rFonts w:ascii="Arial" w:hAnsi="Arial" w:cs="Arial"/>
          <w:i/>
          <w:iCs/>
          <w:sz w:val="24"/>
          <w:szCs w:val="24"/>
        </w:rPr>
        <w:t>Absa Bank v Botha NO</w:t>
      </w:r>
      <w:r w:rsidRPr="005E0A83">
        <w:rPr>
          <w:rFonts w:ascii="Arial" w:hAnsi="Arial" w:cs="Arial"/>
          <w:sz w:val="24"/>
          <w:szCs w:val="24"/>
        </w:rPr>
        <w:t xml:space="preserve"> was compounded by the reference to the deponent as a manager in the certificate of balance upon which the plaintiff relied.  </w:t>
      </w:r>
    </w:p>
    <w:p w14:paraId="0F618FAC" w14:textId="77777777" w:rsidR="00D80EC8" w:rsidRPr="005E0A83" w:rsidRDefault="00D80EC8" w:rsidP="005E0A83">
      <w:pPr>
        <w:pStyle w:val="ListParagraph"/>
        <w:spacing w:after="0" w:line="480" w:lineRule="auto"/>
        <w:rPr>
          <w:rFonts w:ascii="Arial" w:hAnsi="Arial" w:cs="Arial"/>
          <w:sz w:val="24"/>
          <w:szCs w:val="24"/>
        </w:rPr>
      </w:pPr>
    </w:p>
    <w:p w14:paraId="177A9902" w14:textId="4A44609D" w:rsidR="004D3C16" w:rsidRPr="005E0A83" w:rsidRDefault="0085590F" w:rsidP="005E0A83">
      <w:pPr>
        <w:pStyle w:val="ListParagraph"/>
        <w:numPr>
          <w:ilvl w:val="0"/>
          <w:numId w:val="1"/>
        </w:numPr>
        <w:spacing w:after="0" w:line="480" w:lineRule="auto"/>
        <w:ind w:left="851" w:hanging="851"/>
        <w:jc w:val="both"/>
        <w:rPr>
          <w:rFonts w:ascii="Arial" w:hAnsi="Arial" w:cs="Arial"/>
          <w:sz w:val="24"/>
          <w:szCs w:val="24"/>
        </w:rPr>
      </w:pPr>
      <w:r w:rsidRPr="005E0A83">
        <w:rPr>
          <w:rFonts w:ascii="Arial" w:hAnsi="Arial" w:cs="Arial"/>
          <w:sz w:val="24"/>
          <w:szCs w:val="24"/>
        </w:rPr>
        <w:t>Ultimately, the court</w:t>
      </w:r>
      <w:r w:rsidR="00DF2CF1" w:rsidRPr="005E0A83">
        <w:rPr>
          <w:rFonts w:ascii="Arial" w:hAnsi="Arial" w:cs="Arial"/>
          <w:sz w:val="24"/>
          <w:szCs w:val="24"/>
        </w:rPr>
        <w:t>, in the exercise of its discretion,</w:t>
      </w:r>
      <w:r w:rsidRPr="005E0A83">
        <w:rPr>
          <w:rFonts w:ascii="Arial" w:hAnsi="Arial" w:cs="Arial"/>
          <w:sz w:val="24"/>
          <w:szCs w:val="24"/>
        </w:rPr>
        <w:t xml:space="preserve"> </w:t>
      </w:r>
      <w:r w:rsidR="004D3C16" w:rsidRPr="005E0A83">
        <w:rPr>
          <w:rFonts w:ascii="Arial" w:hAnsi="Arial" w:cs="Arial"/>
          <w:sz w:val="24"/>
          <w:szCs w:val="24"/>
        </w:rPr>
        <w:t>found that the affidavit in question did not constitute an affidavit for the purposes of Rule 32(2)</w:t>
      </w:r>
      <w:r w:rsidR="00D80EC8" w:rsidRPr="005E0A83">
        <w:rPr>
          <w:rFonts w:ascii="Arial" w:hAnsi="Arial" w:cs="Arial"/>
          <w:sz w:val="24"/>
          <w:szCs w:val="24"/>
        </w:rPr>
        <w:t xml:space="preserve"> for want of compliance with the Regulations</w:t>
      </w:r>
      <w:r w:rsidR="004D3C16" w:rsidRPr="005E0A83">
        <w:rPr>
          <w:rFonts w:ascii="Arial" w:hAnsi="Arial" w:cs="Arial"/>
          <w:sz w:val="24"/>
          <w:szCs w:val="24"/>
        </w:rPr>
        <w:t xml:space="preserve">.  In coming to such </w:t>
      </w:r>
      <w:r w:rsidR="00E77ECB" w:rsidRPr="005E0A83">
        <w:rPr>
          <w:rFonts w:ascii="Arial" w:hAnsi="Arial" w:cs="Arial"/>
          <w:sz w:val="24"/>
          <w:szCs w:val="24"/>
        </w:rPr>
        <w:t xml:space="preserve">a </w:t>
      </w:r>
      <w:r w:rsidR="004D3C16" w:rsidRPr="005E0A83">
        <w:rPr>
          <w:rFonts w:ascii="Arial" w:hAnsi="Arial" w:cs="Arial"/>
          <w:sz w:val="24"/>
          <w:szCs w:val="24"/>
        </w:rPr>
        <w:t xml:space="preserve">finding, the court stressed </w:t>
      </w:r>
      <w:r w:rsidRPr="005E0A83">
        <w:rPr>
          <w:rFonts w:ascii="Arial" w:hAnsi="Arial" w:cs="Arial"/>
          <w:sz w:val="24"/>
          <w:szCs w:val="24"/>
        </w:rPr>
        <w:t>that it should not be placed in a situation in which it was required to speculate as to the gender of the deponent</w:t>
      </w:r>
      <w:r w:rsidR="004D3C16" w:rsidRPr="005E0A83">
        <w:rPr>
          <w:rFonts w:ascii="Arial" w:hAnsi="Arial" w:cs="Arial"/>
          <w:sz w:val="24"/>
          <w:szCs w:val="24"/>
        </w:rPr>
        <w:t xml:space="preserve"> and as to whether the affidavit had been sworn to and signed in the presence of </w:t>
      </w:r>
      <w:r w:rsidR="00E77ECB" w:rsidRPr="005E0A83">
        <w:rPr>
          <w:rFonts w:ascii="Arial" w:hAnsi="Arial" w:cs="Arial"/>
          <w:sz w:val="24"/>
          <w:szCs w:val="24"/>
        </w:rPr>
        <w:t>a</w:t>
      </w:r>
      <w:r w:rsidR="004D3C16" w:rsidRPr="005E0A83">
        <w:rPr>
          <w:rFonts w:ascii="Arial" w:hAnsi="Arial" w:cs="Arial"/>
          <w:sz w:val="24"/>
          <w:szCs w:val="24"/>
        </w:rPr>
        <w:t xml:space="preserve"> commissioner of oaths.</w:t>
      </w:r>
    </w:p>
    <w:p w14:paraId="67A442FB" w14:textId="77777777" w:rsidR="004D3C16" w:rsidRPr="005E0A83" w:rsidRDefault="004D3C16" w:rsidP="005E0A83">
      <w:pPr>
        <w:pStyle w:val="ListParagraph"/>
        <w:spacing w:after="0" w:line="480" w:lineRule="auto"/>
        <w:rPr>
          <w:rFonts w:ascii="Arial" w:hAnsi="Arial" w:cs="Arial"/>
          <w:sz w:val="24"/>
          <w:szCs w:val="24"/>
        </w:rPr>
      </w:pPr>
    </w:p>
    <w:p w14:paraId="40603534" w14:textId="326ADA8C" w:rsidR="001978F9" w:rsidRDefault="002E0BEE" w:rsidP="001978F9">
      <w:pPr>
        <w:pStyle w:val="ListParagraph"/>
        <w:numPr>
          <w:ilvl w:val="0"/>
          <w:numId w:val="1"/>
        </w:numPr>
        <w:spacing w:after="0" w:line="480" w:lineRule="auto"/>
        <w:ind w:left="851" w:hanging="851"/>
        <w:jc w:val="both"/>
        <w:rPr>
          <w:rFonts w:ascii="Arial" w:hAnsi="Arial" w:cs="Arial"/>
          <w:sz w:val="24"/>
          <w:szCs w:val="24"/>
        </w:rPr>
      </w:pPr>
      <w:r w:rsidRPr="005E0A83">
        <w:rPr>
          <w:rFonts w:ascii="Arial" w:hAnsi="Arial" w:cs="Arial"/>
          <w:i/>
          <w:iCs/>
          <w:sz w:val="24"/>
          <w:szCs w:val="24"/>
        </w:rPr>
        <w:t>Absa Bank v Botha NO</w:t>
      </w:r>
      <w:r>
        <w:rPr>
          <w:rFonts w:ascii="Arial" w:hAnsi="Arial" w:cs="Arial"/>
          <w:i/>
          <w:iCs/>
          <w:sz w:val="24"/>
          <w:szCs w:val="24"/>
        </w:rPr>
        <w:t xml:space="preserve"> </w:t>
      </w:r>
      <w:r>
        <w:rPr>
          <w:rFonts w:ascii="Arial" w:hAnsi="Arial" w:cs="Arial"/>
          <w:sz w:val="24"/>
          <w:szCs w:val="24"/>
        </w:rPr>
        <w:t>is oft</w:t>
      </w:r>
      <w:r w:rsidR="001978F9">
        <w:rPr>
          <w:rFonts w:ascii="Arial" w:hAnsi="Arial" w:cs="Arial"/>
          <w:sz w:val="24"/>
          <w:szCs w:val="24"/>
        </w:rPr>
        <w:t>en</w:t>
      </w:r>
      <w:r>
        <w:rPr>
          <w:rFonts w:ascii="Arial" w:hAnsi="Arial" w:cs="Arial"/>
          <w:sz w:val="24"/>
          <w:szCs w:val="24"/>
        </w:rPr>
        <w:t xml:space="preserve"> </w:t>
      </w:r>
      <w:r w:rsidR="001B10F5">
        <w:rPr>
          <w:rFonts w:ascii="Arial" w:hAnsi="Arial" w:cs="Arial"/>
          <w:sz w:val="24"/>
          <w:szCs w:val="24"/>
        </w:rPr>
        <w:t>cited</w:t>
      </w:r>
      <w:r>
        <w:rPr>
          <w:rFonts w:ascii="Arial" w:hAnsi="Arial" w:cs="Arial"/>
          <w:sz w:val="24"/>
          <w:szCs w:val="24"/>
        </w:rPr>
        <w:t xml:space="preserve"> by practitioners as authority for the proposition that </w:t>
      </w:r>
      <w:r w:rsidR="001978F9">
        <w:rPr>
          <w:rFonts w:ascii="Arial" w:hAnsi="Arial" w:cs="Arial"/>
          <w:sz w:val="24"/>
          <w:szCs w:val="24"/>
        </w:rPr>
        <w:t xml:space="preserve">affidavits are invalid simply </w:t>
      </w:r>
      <w:r w:rsidR="00C95261">
        <w:rPr>
          <w:rFonts w:ascii="Arial" w:hAnsi="Arial" w:cs="Arial"/>
          <w:sz w:val="24"/>
          <w:szCs w:val="24"/>
        </w:rPr>
        <w:t>if</w:t>
      </w:r>
      <w:r w:rsidR="00394834">
        <w:rPr>
          <w:rFonts w:ascii="Arial" w:hAnsi="Arial" w:cs="Arial"/>
          <w:sz w:val="24"/>
          <w:szCs w:val="24"/>
        </w:rPr>
        <w:t xml:space="preserve"> </w:t>
      </w:r>
      <w:r w:rsidR="001978F9">
        <w:rPr>
          <w:rFonts w:ascii="Arial" w:hAnsi="Arial" w:cs="Arial"/>
          <w:sz w:val="24"/>
          <w:szCs w:val="24"/>
        </w:rPr>
        <w:t xml:space="preserve">there is a disparity between the gender selected by the deponent and that selected by the commissioner of oaths.  This is not so. </w:t>
      </w:r>
    </w:p>
    <w:p w14:paraId="45E5F098" w14:textId="77777777" w:rsidR="001978F9" w:rsidRPr="001978F9" w:rsidRDefault="001978F9" w:rsidP="001978F9">
      <w:pPr>
        <w:pStyle w:val="ListParagraph"/>
        <w:spacing w:after="0" w:line="480" w:lineRule="auto"/>
        <w:rPr>
          <w:rFonts w:ascii="Arial" w:hAnsi="Arial" w:cs="Arial"/>
          <w:sz w:val="24"/>
          <w:szCs w:val="24"/>
        </w:rPr>
      </w:pPr>
    </w:p>
    <w:p w14:paraId="4D1CA7CB" w14:textId="3FEB3BB9" w:rsidR="001978F9" w:rsidRPr="005E0A83" w:rsidRDefault="001978F9" w:rsidP="001978F9">
      <w:pPr>
        <w:pStyle w:val="ListParagraph"/>
        <w:numPr>
          <w:ilvl w:val="0"/>
          <w:numId w:val="1"/>
        </w:numPr>
        <w:spacing w:after="0" w:line="480" w:lineRule="auto"/>
        <w:ind w:left="851" w:hanging="851"/>
        <w:jc w:val="both"/>
        <w:rPr>
          <w:rFonts w:ascii="Arial" w:hAnsi="Arial" w:cs="Arial"/>
          <w:sz w:val="24"/>
          <w:szCs w:val="24"/>
        </w:rPr>
      </w:pPr>
      <w:r w:rsidRPr="005E0A83">
        <w:rPr>
          <w:rFonts w:ascii="Arial" w:hAnsi="Arial" w:cs="Arial"/>
          <w:sz w:val="24"/>
          <w:szCs w:val="24"/>
        </w:rPr>
        <w:t xml:space="preserve">It is settled law that the court retains a discretion to refuse an affidavit which does not comply with the Regulations, such Regulations being directory rather </w:t>
      </w:r>
      <w:r w:rsidRPr="005E0A83">
        <w:rPr>
          <w:rFonts w:ascii="Arial" w:hAnsi="Arial" w:cs="Arial"/>
          <w:sz w:val="24"/>
          <w:szCs w:val="24"/>
        </w:rPr>
        <w:lastRenderedPageBreak/>
        <w:t>than peremptory.</w:t>
      </w:r>
      <w:r>
        <w:rPr>
          <w:rFonts w:ascii="Arial" w:hAnsi="Arial" w:cs="Arial"/>
          <w:sz w:val="24"/>
          <w:szCs w:val="24"/>
        </w:rPr>
        <w:t xml:space="preserve">  It remains a question of fact in each </w:t>
      </w:r>
      <w:r w:rsidR="00CE751E">
        <w:rPr>
          <w:rFonts w:ascii="Arial" w:hAnsi="Arial" w:cs="Arial"/>
          <w:sz w:val="24"/>
          <w:szCs w:val="24"/>
        </w:rPr>
        <w:t xml:space="preserve">individual </w:t>
      </w:r>
      <w:r>
        <w:rPr>
          <w:rFonts w:ascii="Arial" w:hAnsi="Arial" w:cs="Arial"/>
          <w:sz w:val="24"/>
          <w:szCs w:val="24"/>
        </w:rPr>
        <w:t>case as to whether or not there has been substantial compliance with the Regulations.</w:t>
      </w:r>
      <w:r w:rsidRPr="005E0A83">
        <w:rPr>
          <w:rFonts w:ascii="Arial" w:hAnsi="Arial" w:cs="Arial"/>
          <w:sz w:val="24"/>
          <w:szCs w:val="24"/>
        </w:rPr>
        <w:t xml:space="preserve"> </w:t>
      </w:r>
    </w:p>
    <w:p w14:paraId="5F5DFCCC" w14:textId="77777777" w:rsidR="001978F9" w:rsidRPr="005E0A83" w:rsidRDefault="001978F9" w:rsidP="001978F9">
      <w:pPr>
        <w:pStyle w:val="ListParagraph"/>
        <w:spacing w:after="0" w:line="480" w:lineRule="auto"/>
        <w:rPr>
          <w:rFonts w:ascii="Arial" w:hAnsi="Arial" w:cs="Arial"/>
          <w:sz w:val="24"/>
          <w:szCs w:val="24"/>
        </w:rPr>
      </w:pPr>
    </w:p>
    <w:p w14:paraId="52F70B7A" w14:textId="07057FC6" w:rsidR="00DF334B" w:rsidRPr="005E0A83" w:rsidRDefault="00DF334B" w:rsidP="00BA4961">
      <w:pPr>
        <w:pStyle w:val="ListParagraph"/>
        <w:numPr>
          <w:ilvl w:val="0"/>
          <w:numId w:val="1"/>
        </w:numPr>
        <w:spacing w:after="0" w:line="480" w:lineRule="auto"/>
        <w:ind w:left="851" w:hanging="851"/>
        <w:jc w:val="both"/>
        <w:rPr>
          <w:rFonts w:ascii="Arial" w:hAnsi="Arial" w:cs="Arial"/>
          <w:sz w:val="24"/>
          <w:szCs w:val="24"/>
        </w:rPr>
      </w:pPr>
      <w:r w:rsidRPr="005E0A83">
        <w:rPr>
          <w:rFonts w:ascii="Arial" w:hAnsi="Arial" w:cs="Arial"/>
          <w:sz w:val="24"/>
          <w:szCs w:val="24"/>
        </w:rPr>
        <w:t xml:space="preserve">In </w:t>
      </w:r>
      <w:r w:rsidRPr="005E0A83">
        <w:rPr>
          <w:rFonts w:ascii="Arial" w:hAnsi="Arial" w:cs="Arial"/>
          <w:i/>
          <w:iCs/>
          <w:sz w:val="24"/>
          <w:szCs w:val="24"/>
        </w:rPr>
        <w:t>Mndiyata and Others v Umgungundlovu CPA and Others</w:t>
      </w:r>
      <w:r w:rsidRPr="005E0A83">
        <w:rPr>
          <w:rFonts w:ascii="Arial" w:hAnsi="Arial" w:cs="Arial"/>
          <w:sz w:val="24"/>
          <w:szCs w:val="24"/>
        </w:rPr>
        <w:t>,</w:t>
      </w:r>
      <w:r w:rsidRPr="005E0A83">
        <w:rPr>
          <w:rStyle w:val="FootnoteReference"/>
          <w:rFonts w:ascii="Arial" w:hAnsi="Arial" w:cs="Arial"/>
          <w:sz w:val="24"/>
          <w:szCs w:val="24"/>
        </w:rPr>
        <w:footnoteReference w:id="7"/>
      </w:r>
      <w:r w:rsidRPr="005E0A83">
        <w:rPr>
          <w:rFonts w:ascii="Arial" w:hAnsi="Arial" w:cs="Arial"/>
          <w:sz w:val="24"/>
          <w:szCs w:val="24"/>
        </w:rPr>
        <w:t xml:space="preserve"> a recent decision of the Mthatha High Court, the court, </w:t>
      </w:r>
      <w:r w:rsidR="00CE751E">
        <w:rPr>
          <w:rFonts w:ascii="Arial" w:hAnsi="Arial" w:cs="Arial"/>
          <w:sz w:val="24"/>
          <w:szCs w:val="24"/>
        </w:rPr>
        <w:t xml:space="preserve">in considering errors in the commissioning of affidavits, stated as follows </w:t>
      </w:r>
      <w:r w:rsidRPr="005E0A83">
        <w:rPr>
          <w:rFonts w:ascii="Arial" w:hAnsi="Arial" w:cs="Arial"/>
          <w:sz w:val="24"/>
          <w:szCs w:val="24"/>
        </w:rPr>
        <w:t>at paragraph [14]</w:t>
      </w:r>
      <w:r w:rsidR="00CE751E">
        <w:rPr>
          <w:rFonts w:ascii="Arial" w:hAnsi="Arial" w:cs="Arial"/>
          <w:sz w:val="24"/>
          <w:szCs w:val="24"/>
        </w:rPr>
        <w:t>:</w:t>
      </w:r>
    </w:p>
    <w:p w14:paraId="6A80383C" w14:textId="77777777" w:rsidR="00DF334B" w:rsidRPr="005E0A83" w:rsidRDefault="00DF334B" w:rsidP="00BA4961">
      <w:pPr>
        <w:pStyle w:val="ListParagraph"/>
        <w:spacing w:after="0" w:line="480" w:lineRule="auto"/>
        <w:rPr>
          <w:rFonts w:ascii="Arial" w:hAnsi="Arial" w:cs="Arial"/>
        </w:rPr>
      </w:pPr>
    </w:p>
    <w:p w14:paraId="13119EC0" w14:textId="6D25A89A" w:rsidR="0084274B" w:rsidRPr="005E0A83" w:rsidRDefault="00DF334B" w:rsidP="00DF334B">
      <w:pPr>
        <w:pStyle w:val="ListParagraph"/>
        <w:spacing w:after="0" w:line="360" w:lineRule="auto"/>
        <w:ind w:left="851"/>
        <w:jc w:val="both"/>
        <w:rPr>
          <w:rFonts w:ascii="Arial" w:hAnsi="Arial" w:cs="Arial"/>
          <w:i/>
          <w:iCs/>
        </w:rPr>
      </w:pPr>
      <w:r w:rsidRPr="005E0A83">
        <w:rPr>
          <w:rFonts w:ascii="Arial" w:hAnsi="Arial" w:cs="Arial"/>
        </w:rPr>
        <w:t>“</w:t>
      </w:r>
      <w:r w:rsidR="0084274B" w:rsidRPr="005E0A83">
        <w:rPr>
          <w:rFonts w:ascii="Arial" w:hAnsi="Arial" w:cs="Arial"/>
          <w:i/>
          <w:iCs/>
          <w:color w:val="000000"/>
          <w:shd w:val="clear" w:color="auto" w:fill="FFFFFF"/>
        </w:rPr>
        <w:t>Furthermore, the second respondent (who deposed to the answering affidavit on behalf of the respondents) stated at the beginning of the affidavit that he is an adult male.  There is no evidence that another person other than the first respondent appeared before the Commissioner.  The applicants simply ask this court to infer that, as the affidavit refers to a “she” in the attestation clause, it could not have been the first respondent who had signed the affidavit.  It will be noted that the word “she” forms part of the pre-typed document that must have been placed before the Commissioner.  If the Commissioner had, for instance, personally written the word “she” in the attestation clause, it could have made for a stronger case for the applicants.  It is, therefore, clear that this must have been an error on the part of the Commissioner.</w:t>
      </w:r>
      <w:r w:rsidRPr="005E0A83">
        <w:rPr>
          <w:rFonts w:ascii="Arial" w:hAnsi="Arial" w:cs="Arial"/>
          <w:i/>
          <w:iCs/>
          <w:color w:val="000000"/>
          <w:shd w:val="clear" w:color="auto" w:fill="FFFFFF"/>
        </w:rPr>
        <w:t>”</w:t>
      </w:r>
    </w:p>
    <w:p w14:paraId="2603D9C2" w14:textId="75C978A6" w:rsidR="0084274B" w:rsidRPr="005E0A83" w:rsidRDefault="0084274B" w:rsidP="00BA4961">
      <w:pPr>
        <w:spacing w:after="0" w:line="480" w:lineRule="auto"/>
        <w:rPr>
          <w:rFonts w:ascii="Arial" w:hAnsi="Arial" w:cs="Arial"/>
          <w:color w:val="000000"/>
          <w:shd w:val="clear" w:color="auto" w:fill="FFFFFF"/>
        </w:rPr>
      </w:pPr>
    </w:p>
    <w:p w14:paraId="56E7309D" w14:textId="0FCC3620" w:rsidR="008216B0" w:rsidRPr="005E0A83" w:rsidRDefault="008216B0" w:rsidP="00BA4961">
      <w:pPr>
        <w:pStyle w:val="ListParagraph"/>
        <w:numPr>
          <w:ilvl w:val="0"/>
          <w:numId w:val="1"/>
        </w:numPr>
        <w:spacing w:after="0" w:line="480" w:lineRule="auto"/>
        <w:ind w:left="851" w:hanging="851"/>
        <w:jc w:val="both"/>
        <w:rPr>
          <w:rFonts w:ascii="Arial" w:hAnsi="Arial" w:cs="Arial"/>
          <w:sz w:val="24"/>
          <w:szCs w:val="24"/>
        </w:rPr>
      </w:pPr>
      <w:r w:rsidRPr="005E0A83">
        <w:rPr>
          <w:rFonts w:ascii="Arial" w:hAnsi="Arial" w:cs="Arial"/>
          <w:sz w:val="24"/>
          <w:szCs w:val="24"/>
        </w:rPr>
        <w:t xml:space="preserve">Similarly, in the present instance, the attestation clause in question forms part of a pre-typed affidavit, which </w:t>
      </w:r>
      <w:r w:rsidR="00DD6F79" w:rsidRPr="005E0A83">
        <w:rPr>
          <w:rFonts w:ascii="Arial" w:hAnsi="Arial" w:cs="Arial"/>
          <w:sz w:val="24"/>
          <w:szCs w:val="24"/>
        </w:rPr>
        <w:t>I accept was</w:t>
      </w:r>
      <w:r w:rsidRPr="005E0A83">
        <w:rPr>
          <w:rFonts w:ascii="Arial" w:hAnsi="Arial" w:cs="Arial"/>
          <w:sz w:val="24"/>
          <w:szCs w:val="24"/>
        </w:rPr>
        <w:t xml:space="preserve"> placed before the commissioner of oaths</w:t>
      </w:r>
      <w:r w:rsidR="002678A1">
        <w:rPr>
          <w:rFonts w:ascii="Arial" w:hAnsi="Arial" w:cs="Arial"/>
          <w:sz w:val="24"/>
          <w:szCs w:val="24"/>
        </w:rPr>
        <w:t xml:space="preserve"> and did not emanate from him</w:t>
      </w:r>
      <w:r w:rsidRPr="005E0A83">
        <w:rPr>
          <w:rFonts w:ascii="Arial" w:hAnsi="Arial" w:cs="Arial"/>
          <w:sz w:val="24"/>
          <w:szCs w:val="24"/>
        </w:rPr>
        <w:t>.</w:t>
      </w:r>
    </w:p>
    <w:p w14:paraId="375A00D2" w14:textId="05B129BB" w:rsidR="008216B0" w:rsidRPr="005E0A83" w:rsidRDefault="008216B0" w:rsidP="008216B0">
      <w:pPr>
        <w:pStyle w:val="ListParagraph"/>
        <w:spacing w:after="0" w:line="480" w:lineRule="auto"/>
        <w:ind w:left="851"/>
        <w:jc w:val="both"/>
        <w:rPr>
          <w:rFonts w:ascii="Arial" w:hAnsi="Arial" w:cs="Arial"/>
          <w:sz w:val="24"/>
          <w:szCs w:val="24"/>
        </w:rPr>
      </w:pPr>
    </w:p>
    <w:p w14:paraId="3777728F" w14:textId="33D3E335" w:rsidR="002270C5" w:rsidRPr="005E0A83" w:rsidRDefault="00106D5A" w:rsidP="00D0614C">
      <w:pPr>
        <w:pStyle w:val="ListParagraph"/>
        <w:numPr>
          <w:ilvl w:val="0"/>
          <w:numId w:val="1"/>
        </w:numPr>
        <w:spacing w:after="0" w:line="480" w:lineRule="auto"/>
        <w:ind w:left="851" w:hanging="851"/>
        <w:jc w:val="both"/>
        <w:rPr>
          <w:rFonts w:ascii="Arial" w:hAnsi="Arial" w:cs="Arial"/>
          <w:sz w:val="24"/>
          <w:szCs w:val="24"/>
        </w:rPr>
      </w:pPr>
      <w:r w:rsidRPr="005E0A83">
        <w:rPr>
          <w:rFonts w:ascii="Arial" w:hAnsi="Arial" w:cs="Arial"/>
          <w:color w:val="000000"/>
          <w:sz w:val="24"/>
          <w:szCs w:val="24"/>
          <w:shd w:val="clear" w:color="auto" w:fill="FFFFFF"/>
        </w:rPr>
        <w:t xml:space="preserve">In </w:t>
      </w:r>
      <w:r w:rsidR="00DD6F79" w:rsidRPr="005E0A83">
        <w:rPr>
          <w:rFonts w:ascii="Arial" w:hAnsi="Arial" w:cs="Arial"/>
          <w:i/>
          <w:iCs/>
          <w:color w:val="000000"/>
          <w:sz w:val="24"/>
          <w:szCs w:val="24"/>
          <w:shd w:val="clear" w:color="auto" w:fill="FFFFFF"/>
        </w:rPr>
        <w:t>Capriati </w:t>
      </w:r>
      <w:r w:rsidR="00DD6F79" w:rsidRPr="005E0A83">
        <w:rPr>
          <w:rFonts w:ascii="Arial" w:hAnsi="Arial" w:cs="Arial"/>
          <w:color w:val="000000"/>
          <w:sz w:val="24"/>
          <w:szCs w:val="24"/>
          <w:shd w:val="clear" w:color="auto" w:fill="FFFFFF"/>
        </w:rPr>
        <w:t>v </w:t>
      </w:r>
      <w:r w:rsidR="00DD6F79" w:rsidRPr="005E0A83">
        <w:rPr>
          <w:rFonts w:ascii="Arial" w:hAnsi="Arial" w:cs="Arial"/>
          <w:i/>
          <w:iCs/>
          <w:color w:val="000000"/>
          <w:sz w:val="24"/>
          <w:szCs w:val="24"/>
          <w:shd w:val="clear" w:color="auto" w:fill="FFFFFF"/>
        </w:rPr>
        <w:t>Bonnox (Pty) Ltd and Another</w:t>
      </w:r>
      <w:r w:rsidR="00D17941" w:rsidRPr="005E0A83">
        <w:rPr>
          <w:rFonts w:ascii="Arial" w:hAnsi="Arial" w:cs="Arial"/>
          <w:color w:val="000000"/>
          <w:sz w:val="24"/>
          <w:szCs w:val="24"/>
          <w:shd w:val="clear" w:color="auto" w:fill="FFFFFF"/>
        </w:rPr>
        <w:t>,</w:t>
      </w:r>
      <w:r w:rsidR="00757D2C" w:rsidRPr="005E0A83">
        <w:rPr>
          <w:rStyle w:val="FootnoteReference"/>
          <w:rFonts w:ascii="Arial" w:hAnsi="Arial" w:cs="Arial"/>
          <w:color w:val="000000"/>
          <w:sz w:val="24"/>
          <w:szCs w:val="24"/>
          <w:shd w:val="clear" w:color="auto" w:fill="FFFFFF"/>
        </w:rPr>
        <w:footnoteReference w:id="8"/>
      </w:r>
      <w:r w:rsidR="00DD6F79" w:rsidRPr="005E0A83">
        <w:rPr>
          <w:rFonts w:ascii="Arial" w:hAnsi="Arial" w:cs="Arial"/>
          <w:color w:val="000000"/>
          <w:sz w:val="24"/>
          <w:szCs w:val="24"/>
          <w:shd w:val="clear" w:color="auto" w:fill="FFFFFF"/>
        </w:rPr>
        <w:t> </w:t>
      </w:r>
      <w:r w:rsidR="00D80EC8" w:rsidRPr="005E0A83">
        <w:rPr>
          <w:rFonts w:ascii="Arial" w:hAnsi="Arial" w:cs="Arial"/>
          <w:color w:val="000000"/>
          <w:sz w:val="24"/>
          <w:szCs w:val="24"/>
          <w:shd w:val="clear" w:color="auto" w:fill="FFFFFF"/>
        </w:rPr>
        <w:t>the court was called upon to consider whether an affidavit, which made specific reference to the deponent being an adult female</w:t>
      </w:r>
      <w:r w:rsidR="008E664F" w:rsidRPr="005E0A83">
        <w:rPr>
          <w:rFonts w:ascii="Arial" w:hAnsi="Arial" w:cs="Arial"/>
          <w:color w:val="000000"/>
          <w:sz w:val="24"/>
          <w:szCs w:val="24"/>
          <w:shd w:val="clear" w:color="auto" w:fill="FFFFFF"/>
        </w:rPr>
        <w:t xml:space="preserve">, was invalid in circumstances where the commissioner of oaths omitted to identity the gender of the deponent in the attestation </w:t>
      </w:r>
      <w:r w:rsidR="008E664F" w:rsidRPr="005E0A83">
        <w:rPr>
          <w:rFonts w:ascii="Arial" w:hAnsi="Arial" w:cs="Arial"/>
          <w:color w:val="000000"/>
          <w:sz w:val="24"/>
          <w:szCs w:val="24"/>
          <w:shd w:val="clear" w:color="auto" w:fill="FFFFFF"/>
        </w:rPr>
        <w:lastRenderedPageBreak/>
        <w:t xml:space="preserve">clause.  </w:t>
      </w:r>
      <w:r w:rsidR="002270C5" w:rsidRPr="005E0A83">
        <w:rPr>
          <w:rFonts w:ascii="Arial" w:hAnsi="Arial" w:cs="Arial"/>
          <w:sz w:val="24"/>
          <w:szCs w:val="24"/>
        </w:rPr>
        <w:t>In considering</w:t>
      </w:r>
      <w:r w:rsidR="00E925E7" w:rsidRPr="005E0A83">
        <w:rPr>
          <w:rFonts w:ascii="Arial" w:hAnsi="Arial" w:cs="Arial"/>
          <w:sz w:val="24"/>
          <w:szCs w:val="24"/>
        </w:rPr>
        <w:t xml:space="preserve"> the court’s discretion arising in such matters, </w:t>
      </w:r>
      <w:r w:rsidR="002270C5" w:rsidRPr="005E0A83">
        <w:rPr>
          <w:rFonts w:ascii="Arial" w:hAnsi="Arial" w:cs="Arial"/>
          <w:sz w:val="24"/>
          <w:szCs w:val="24"/>
        </w:rPr>
        <w:t>the court stated</w:t>
      </w:r>
      <w:r w:rsidR="00E925E7" w:rsidRPr="005E0A83">
        <w:rPr>
          <w:rFonts w:ascii="Arial" w:hAnsi="Arial" w:cs="Arial"/>
          <w:sz w:val="24"/>
          <w:szCs w:val="24"/>
        </w:rPr>
        <w:t xml:space="preserve">, </w:t>
      </w:r>
      <w:r w:rsidR="00E925E7" w:rsidRPr="002678A1">
        <w:rPr>
          <w:rFonts w:ascii="Arial" w:hAnsi="Arial" w:cs="Arial"/>
          <w:i/>
          <w:iCs/>
          <w:sz w:val="24"/>
          <w:szCs w:val="24"/>
        </w:rPr>
        <w:t>in</w:t>
      </w:r>
      <w:r w:rsidR="002678A1" w:rsidRPr="002678A1">
        <w:rPr>
          <w:rFonts w:ascii="Arial" w:hAnsi="Arial" w:cs="Arial"/>
          <w:i/>
          <w:iCs/>
          <w:sz w:val="24"/>
          <w:szCs w:val="24"/>
        </w:rPr>
        <w:t>ter alia</w:t>
      </w:r>
      <w:r w:rsidR="00E925E7" w:rsidRPr="005E0A83">
        <w:rPr>
          <w:rFonts w:ascii="Arial" w:hAnsi="Arial" w:cs="Arial"/>
          <w:sz w:val="24"/>
          <w:szCs w:val="24"/>
        </w:rPr>
        <w:t xml:space="preserve"> with reference to </w:t>
      </w:r>
      <w:r w:rsidR="00E925E7" w:rsidRPr="005E0A83">
        <w:rPr>
          <w:rFonts w:ascii="Arial" w:hAnsi="Arial" w:cs="Arial"/>
          <w:i/>
          <w:iCs/>
          <w:sz w:val="24"/>
          <w:szCs w:val="24"/>
        </w:rPr>
        <w:t>Absa Bank v Botha NO</w:t>
      </w:r>
      <w:r w:rsidR="00E925E7" w:rsidRPr="005E0A83">
        <w:rPr>
          <w:rFonts w:ascii="Arial" w:hAnsi="Arial" w:cs="Arial"/>
          <w:sz w:val="24"/>
          <w:szCs w:val="24"/>
        </w:rPr>
        <w:t>,</w:t>
      </w:r>
      <w:r w:rsidR="002270C5" w:rsidRPr="005E0A83">
        <w:rPr>
          <w:rFonts w:ascii="Arial" w:hAnsi="Arial" w:cs="Arial"/>
          <w:sz w:val="24"/>
          <w:szCs w:val="24"/>
        </w:rPr>
        <w:t xml:space="preserve"> as follows:</w:t>
      </w:r>
    </w:p>
    <w:p w14:paraId="78B0C45C" w14:textId="77777777" w:rsidR="00DD3AF8" w:rsidRPr="005E0A83" w:rsidRDefault="00DD3AF8" w:rsidP="00D0614C">
      <w:pPr>
        <w:pStyle w:val="ListParagraph"/>
        <w:spacing w:after="0" w:line="480" w:lineRule="auto"/>
        <w:ind w:left="851"/>
        <w:jc w:val="both"/>
        <w:rPr>
          <w:rFonts w:ascii="Arial" w:hAnsi="Arial" w:cs="Arial"/>
          <w:i/>
          <w:iCs/>
          <w:color w:val="000000"/>
          <w:shd w:val="clear" w:color="auto" w:fill="FFFFFF"/>
        </w:rPr>
      </w:pPr>
    </w:p>
    <w:p w14:paraId="7C72B7DB" w14:textId="52EA1191" w:rsidR="002270C5" w:rsidRPr="005E0A83" w:rsidRDefault="002270C5" w:rsidP="002270C5">
      <w:pPr>
        <w:pStyle w:val="ListParagraph"/>
        <w:spacing w:after="0" w:line="360" w:lineRule="auto"/>
        <w:ind w:left="851"/>
        <w:jc w:val="both"/>
        <w:rPr>
          <w:rFonts w:ascii="Arial" w:hAnsi="Arial" w:cs="Arial"/>
          <w:i/>
          <w:iCs/>
          <w:color w:val="000000"/>
          <w:shd w:val="clear" w:color="auto" w:fill="FFFFFF"/>
        </w:rPr>
      </w:pPr>
      <w:r w:rsidRPr="005E0A83">
        <w:rPr>
          <w:rFonts w:ascii="Arial" w:hAnsi="Arial" w:cs="Arial"/>
          <w:i/>
          <w:iCs/>
          <w:color w:val="000000"/>
          <w:shd w:val="clear" w:color="auto" w:fill="FFFFFF"/>
        </w:rPr>
        <w:t>“</w:t>
      </w:r>
      <w:r w:rsidR="00E925E7" w:rsidRPr="005E0A83">
        <w:rPr>
          <w:rFonts w:ascii="Arial" w:hAnsi="Arial" w:cs="Arial"/>
          <w:i/>
          <w:iCs/>
          <w:color w:val="000000"/>
          <w:shd w:val="clear" w:color="auto" w:fill="FFFFFF"/>
        </w:rPr>
        <w:t xml:space="preserve">[6] </w:t>
      </w:r>
      <w:r w:rsidRPr="005E0A83">
        <w:rPr>
          <w:rFonts w:ascii="Arial" w:hAnsi="Arial" w:cs="Arial"/>
          <w:i/>
          <w:iCs/>
          <w:color w:val="000000"/>
          <w:shd w:val="clear" w:color="auto" w:fill="FFFFFF"/>
        </w:rPr>
        <w:t>The decision was handed down in the context of a summary judgment application which, if granted by a court, brings finality to litigation as an extraordinary procedural step. It is important to emphasize, as the judge noted, that the court is vested with a discretion to refuse an affidavit which does not comply with the Regulations. The corollary, in my view, is that a court is vested with a discretion to condone non</w:t>
      </w:r>
      <w:r w:rsidRPr="005E0A83">
        <w:rPr>
          <w:rFonts w:ascii="Arial" w:hAnsi="Arial" w:cs="Arial"/>
          <w:i/>
          <w:iCs/>
          <w:color w:val="000000"/>
          <w:shd w:val="clear" w:color="auto" w:fill="FFFFFF"/>
        </w:rPr>
        <w:softHyphen/>
        <w:t>compliance with the Regulations and to admit an affidavit.</w:t>
      </w:r>
    </w:p>
    <w:p w14:paraId="6EF2DC15" w14:textId="75F20C0F" w:rsidR="00E925E7" w:rsidRPr="005E0A83" w:rsidRDefault="00E925E7" w:rsidP="002270C5">
      <w:pPr>
        <w:pStyle w:val="ListParagraph"/>
        <w:spacing w:after="0" w:line="360" w:lineRule="auto"/>
        <w:ind w:left="851"/>
        <w:jc w:val="both"/>
        <w:rPr>
          <w:rFonts w:ascii="Arial" w:hAnsi="Arial" w:cs="Arial"/>
          <w:i/>
          <w:iCs/>
          <w:color w:val="000000"/>
          <w:shd w:val="clear" w:color="auto" w:fill="FFFFFF"/>
        </w:rPr>
      </w:pPr>
    </w:p>
    <w:p w14:paraId="6920E3A7" w14:textId="77777777" w:rsidR="00E925E7" w:rsidRPr="005E0A83" w:rsidRDefault="00E925E7" w:rsidP="005E0A83">
      <w:pPr>
        <w:pStyle w:val="ListParagraph"/>
        <w:spacing w:after="0" w:line="360" w:lineRule="auto"/>
        <w:ind w:left="851"/>
        <w:jc w:val="both"/>
        <w:rPr>
          <w:rFonts w:ascii="Arial" w:hAnsi="Arial" w:cs="Arial"/>
          <w:i/>
          <w:iCs/>
          <w:color w:val="000000"/>
          <w:shd w:val="clear" w:color="auto" w:fill="FFFFFF"/>
        </w:rPr>
      </w:pPr>
      <w:r w:rsidRPr="005E0A83">
        <w:rPr>
          <w:rFonts w:ascii="Arial" w:hAnsi="Arial" w:cs="Arial"/>
          <w:i/>
          <w:iCs/>
          <w:color w:val="000000"/>
          <w:shd w:val="clear" w:color="auto" w:fill="FFFFFF"/>
        </w:rPr>
        <w:t>[7] In Lohrman v Vaal Ontwikkeling </w:t>
      </w:r>
      <w:hyperlink r:id="rId8" w:tooltip="View LawCiteRecord" w:history="1">
        <w:r w:rsidRPr="005E0A83">
          <w:rPr>
            <w:rFonts w:ascii="Arial" w:hAnsi="Arial" w:cs="Arial"/>
            <w:i/>
            <w:iCs/>
            <w:color w:val="000000"/>
            <w:shd w:val="clear" w:color="auto" w:fill="FFFFFF"/>
          </w:rPr>
          <w:t>1979 (3) SA 391</w:t>
        </w:r>
      </w:hyperlink>
      <w:r w:rsidRPr="005E0A83">
        <w:rPr>
          <w:rFonts w:ascii="Arial" w:hAnsi="Arial" w:cs="Arial"/>
          <w:i/>
          <w:iCs/>
          <w:color w:val="000000"/>
          <w:shd w:val="clear" w:color="auto" w:fill="FFFFFF"/>
        </w:rPr>
        <w:t> (T), a full bench of this Division, dealt with, amongst others, the question of substantial compliance with the regulations governing attestation of affidavits in the context of an application for summary judgment. Nestadt J said at page 398E-H- 399A:</w:t>
      </w:r>
    </w:p>
    <w:p w14:paraId="77730197" w14:textId="77777777" w:rsidR="00E925E7" w:rsidRPr="005E0A83" w:rsidRDefault="00E925E7" w:rsidP="005E0A83">
      <w:pPr>
        <w:pStyle w:val="ListParagraph"/>
        <w:spacing w:after="0" w:line="360" w:lineRule="auto"/>
        <w:ind w:left="851"/>
        <w:jc w:val="both"/>
        <w:rPr>
          <w:rFonts w:ascii="Arial" w:hAnsi="Arial" w:cs="Arial"/>
          <w:i/>
          <w:iCs/>
          <w:color w:val="000000"/>
          <w:shd w:val="clear" w:color="auto" w:fill="FFFFFF"/>
        </w:rPr>
      </w:pPr>
    </w:p>
    <w:p w14:paraId="2DCA72EF" w14:textId="676C065A" w:rsidR="00E925E7" w:rsidRPr="005E0A83" w:rsidRDefault="00E925E7" w:rsidP="005E0A83">
      <w:pPr>
        <w:pStyle w:val="ListParagraph"/>
        <w:spacing w:after="0" w:line="360" w:lineRule="auto"/>
        <w:ind w:left="1440"/>
        <w:jc w:val="both"/>
        <w:rPr>
          <w:rFonts w:ascii="Arial" w:hAnsi="Arial" w:cs="Arial"/>
          <w:i/>
          <w:iCs/>
          <w:color w:val="242121"/>
        </w:rPr>
      </w:pPr>
      <w:r w:rsidRPr="005E0A83">
        <w:rPr>
          <w:rFonts w:ascii="Arial" w:hAnsi="Arial" w:cs="Arial"/>
          <w:i/>
          <w:iCs/>
          <w:color w:val="000000"/>
          <w:shd w:val="clear" w:color="auto" w:fill="FFFFFF"/>
        </w:rPr>
        <w:t>"I should have mentioned that the commissioner is described as</w:t>
      </w:r>
      <w:r w:rsidRPr="005E0A83">
        <w:rPr>
          <w:rFonts w:ascii="Arial" w:hAnsi="Arial" w:cs="Arial"/>
          <w:i/>
          <w:iCs/>
          <w:color w:val="1C1C1C"/>
        </w:rPr>
        <w:t xml:space="preserve"> being a practising attorney…it seems to me that where an attorney (who is an officer of this Court) describes the statement as being a "beedigde verklaring", it can and must be accepted that it was sworn to on oath. To require that, in addition to these words, there should again in conjunction with "geteken" be added the word "beedig" would be to insist on an unnecessary duplication of allegations.</w:t>
      </w:r>
    </w:p>
    <w:p w14:paraId="4AA7F891" w14:textId="77777777" w:rsidR="00E925E7" w:rsidRPr="005E0A83" w:rsidRDefault="00E925E7" w:rsidP="005E0A83">
      <w:pPr>
        <w:pStyle w:val="NormalWeb"/>
        <w:shd w:val="clear" w:color="auto" w:fill="FFFFFF"/>
        <w:spacing w:before="0" w:beforeAutospacing="0" w:after="0" w:afterAutospacing="0" w:line="360" w:lineRule="auto"/>
        <w:ind w:left="1440"/>
        <w:jc w:val="both"/>
        <w:rPr>
          <w:rFonts w:ascii="Arial" w:hAnsi="Arial" w:cs="Arial"/>
          <w:i/>
          <w:iCs/>
          <w:color w:val="242121"/>
          <w:sz w:val="22"/>
          <w:szCs w:val="22"/>
        </w:rPr>
      </w:pPr>
      <w:r w:rsidRPr="005E0A83">
        <w:rPr>
          <w:rFonts w:ascii="Arial" w:hAnsi="Arial" w:cs="Arial"/>
          <w:i/>
          <w:iCs/>
          <w:color w:val="1C1C1C"/>
          <w:sz w:val="22"/>
          <w:szCs w:val="22"/>
        </w:rPr>
        <w:t xml:space="preserve">Even, however, if this approach be insufficiently formalistic, it nevertheless seems to me that the document in question is an affidavit. It is now settled (at least in the Transvaal) that the requirements as contained in regs 1,2, 3 and 4 are not peremptory but merely directory; the Court has a discretion to refuse to receive an affidavit attested otherwise than in accordance with the regulations depending upon whether substantial compliance with them has been proved </w:t>
      </w:r>
      <w:r w:rsidRPr="005E0A83">
        <w:rPr>
          <w:rFonts w:ascii="Arial" w:hAnsi="Arial" w:cs="Arial"/>
          <w:i/>
          <w:iCs/>
          <w:sz w:val="22"/>
          <w:szCs w:val="22"/>
        </w:rPr>
        <w:t>or not (S v Msibi </w:t>
      </w:r>
      <w:hyperlink r:id="rId9" w:tooltip="View LawCiteRecord" w:history="1">
        <w:r w:rsidRPr="005E0A83">
          <w:rPr>
            <w:rStyle w:val="Hyperlink"/>
            <w:rFonts w:ascii="Arial" w:hAnsi="Arial" w:cs="Arial"/>
            <w:i/>
            <w:iCs/>
            <w:color w:val="auto"/>
            <w:sz w:val="22"/>
            <w:szCs w:val="22"/>
            <w:u w:val="none"/>
          </w:rPr>
          <w:t>1974 (4) SA 821</w:t>
        </w:r>
      </w:hyperlink>
      <w:r w:rsidRPr="005E0A83">
        <w:rPr>
          <w:rFonts w:ascii="Arial" w:hAnsi="Arial" w:cs="Arial"/>
          <w:i/>
          <w:iCs/>
          <w:sz w:val="22"/>
          <w:szCs w:val="22"/>
        </w:rPr>
        <w:t> (T</w:t>
      </w:r>
      <w:r w:rsidRPr="005E0A83">
        <w:rPr>
          <w:rFonts w:ascii="Arial" w:hAnsi="Arial" w:cs="Arial"/>
          <w:i/>
          <w:iCs/>
          <w:color w:val="1C1C1C"/>
          <w:sz w:val="22"/>
          <w:szCs w:val="22"/>
        </w:rPr>
        <w:t xml:space="preserve">)). In Ladybrand Hotels v Stellenbosch Farmers' supra a similar conclusion was arrived at. In that case the admissibility of an affidavit was attacked on the basis that the certification did not state that the deponents' had signed it in the presence of the commissioner of oaths. It was held that the maxim omnia praesumuntur rite essa acta applied, that there was an onus on the person who disputes the validity of the affidavit to prove by evidence the failure to comply with the prescribed formalities and </w:t>
      </w:r>
      <w:r w:rsidRPr="005E0A83">
        <w:rPr>
          <w:rFonts w:ascii="Arial" w:hAnsi="Arial" w:cs="Arial"/>
          <w:i/>
          <w:iCs/>
          <w:color w:val="1C1C1C"/>
          <w:sz w:val="22"/>
          <w:szCs w:val="22"/>
        </w:rPr>
        <w:lastRenderedPageBreak/>
        <w:t>that in the absence of such evidence the objection taken failed. In any event, it was held that if the affidavit was defective it should be condoned.</w:t>
      </w:r>
    </w:p>
    <w:p w14:paraId="28F79FEE" w14:textId="547A487D" w:rsidR="00E925E7" w:rsidRPr="005E0A83" w:rsidRDefault="00E925E7" w:rsidP="005E0A83">
      <w:pPr>
        <w:pStyle w:val="NormalWeb"/>
        <w:shd w:val="clear" w:color="auto" w:fill="FFFFFF"/>
        <w:spacing w:before="0" w:beforeAutospacing="0" w:after="0" w:afterAutospacing="0" w:line="360" w:lineRule="auto"/>
        <w:ind w:left="1440"/>
        <w:jc w:val="both"/>
        <w:rPr>
          <w:rFonts w:ascii="Arial" w:hAnsi="Arial" w:cs="Arial"/>
          <w:i/>
          <w:iCs/>
          <w:color w:val="242121"/>
          <w:sz w:val="22"/>
          <w:szCs w:val="22"/>
        </w:rPr>
      </w:pPr>
      <w:r w:rsidRPr="005E0A83">
        <w:rPr>
          <w:rFonts w:ascii="Arial" w:hAnsi="Arial" w:cs="Arial"/>
          <w:i/>
          <w:iCs/>
          <w:color w:val="1C1C1C"/>
          <w:sz w:val="22"/>
          <w:szCs w:val="22"/>
        </w:rPr>
        <w:t>lt is of course a question of fact in each case whether there has been substantial compliance or not."</w:t>
      </w:r>
    </w:p>
    <w:p w14:paraId="61C59428" w14:textId="77777777" w:rsidR="00E925E7" w:rsidRPr="005E0A83" w:rsidRDefault="00E925E7" w:rsidP="007B53CD">
      <w:pPr>
        <w:pStyle w:val="ListParagraph"/>
        <w:spacing w:after="0" w:line="480" w:lineRule="auto"/>
        <w:ind w:left="851"/>
        <w:jc w:val="both"/>
        <w:rPr>
          <w:rFonts w:ascii="Arial" w:hAnsi="Arial" w:cs="Arial"/>
          <w:i/>
          <w:iCs/>
          <w:color w:val="000000"/>
          <w:shd w:val="clear" w:color="auto" w:fill="FFFFFF"/>
        </w:rPr>
      </w:pPr>
    </w:p>
    <w:p w14:paraId="7B848FBE" w14:textId="6A5AB27A" w:rsidR="00D80EC8" w:rsidRPr="005E0A83" w:rsidRDefault="008E664F" w:rsidP="007B53CD">
      <w:pPr>
        <w:pStyle w:val="ListParagraph"/>
        <w:numPr>
          <w:ilvl w:val="0"/>
          <w:numId w:val="1"/>
        </w:numPr>
        <w:spacing w:after="0" w:line="480" w:lineRule="auto"/>
        <w:ind w:left="851" w:hanging="851"/>
        <w:jc w:val="both"/>
        <w:rPr>
          <w:rFonts w:ascii="Arial" w:hAnsi="Arial" w:cs="Arial"/>
          <w:sz w:val="24"/>
          <w:szCs w:val="24"/>
        </w:rPr>
      </w:pPr>
      <w:r w:rsidRPr="005E0A83">
        <w:rPr>
          <w:rFonts w:ascii="Arial" w:hAnsi="Arial" w:cs="Arial"/>
          <w:color w:val="000000"/>
          <w:sz w:val="24"/>
          <w:szCs w:val="24"/>
          <w:shd w:val="clear" w:color="auto" w:fill="FFFFFF"/>
        </w:rPr>
        <w:t xml:space="preserve">The court, at paragraph [8] </w:t>
      </w:r>
      <w:r w:rsidR="002270C5" w:rsidRPr="005E0A83">
        <w:rPr>
          <w:rFonts w:ascii="Arial" w:hAnsi="Arial" w:cs="Arial"/>
          <w:color w:val="000000"/>
          <w:sz w:val="24"/>
          <w:szCs w:val="24"/>
          <w:shd w:val="clear" w:color="auto" w:fill="FFFFFF"/>
        </w:rPr>
        <w:t>went on further to state:</w:t>
      </w:r>
      <w:r w:rsidR="00D80EC8" w:rsidRPr="005E0A83">
        <w:rPr>
          <w:rFonts w:ascii="Arial" w:hAnsi="Arial" w:cs="Arial"/>
          <w:color w:val="000000"/>
          <w:sz w:val="24"/>
          <w:szCs w:val="24"/>
          <w:shd w:val="clear" w:color="auto" w:fill="FFFFFF"/>
        </w:rPr>
        <w:t xml:space="preserve"> </w:t>
      </w:r>
    </w:p>
    <w:p w14:paraId="278B5FB7" w14:textId="77777777" w:rsidR="00D80EC8" w:rsidRPr="005E0A83" w:rsidRDefault="00D80EC8" w:rsidP="007B53CD">
      <w:pPr>
        <w:pStyle w:val="ListParagraph"/>
        <w:spacing w:after="0" w:line="480" w:lineRule="auto"/>
        <w:rPr>
          <w:rFonts w:ascii="Arial" w:hAnsi="Arial" w:cs="Arial"/>
          <w:color w:val="000000"/>
          <w:sz w:val="24"/>
          <w:szCs w:val="24"/>
          <w:shd w:val="clear" w:color="auto" w:fill="FFFFFF"/>
        </w:rPr>
      </w:pPr>
    </w:p>
    <w:p w14:paraId="4D2671C3" w14:textId="652C3C4E" w:rsidR="008216B0" w:rsidRPr="005E0A83" w:rsidRDefault="00DD6F79" w:rsidP="008E664F">
      <w:pPr>
        <w:pStyle w:val="ListParagraph"/>
        <w:spacing w:after="0" w:line="360" w:lineRule="auto"/>
        <w:ind w:left="851"/>
        <w:jc w:val="both"/>
        <w:rPr>
          <w:rFonts w:ascii="Arial" w:hAnsi="Arial" w:cs="Arial"/>
          <w:i/>
          <w:iCs/>
          <w:color w:val="000000"/>
          <w:shd w:val="clear" w:color="auto" w:fill="FFFFFF"/>
        </w:rPr>
      </w:pPr>
      <w:r w:rsidRPr="005E0A83">
        <w:rPr>
          <w:rFonts w:ascii="Arial" w:hAnsi="Arial" w:cs="Arial"/>
          <w:i/>
          <w:iCs/>
          <w:color w:val="000000"/>
          <w:shd w:val="clear" w:color="auto" w:fill="FFFFFF"/>
        </w:rPr>
        <w:t>"In the present matter there is no evidence that the founding affidavit was not sworn to properly except for an allegation that the omission indicating the correct pronoun "she" should lead to an inference that the founding affidavit was not properly commissioned</w:t>
      </w:r>
      <w:r w:rsidR="008E664F" w:rsidRPr="005E0A83">
        <w:rPr>
          <w:rFonts w:ascii="Arial" w:hAnsi="Arial" w:cs="Arial"/>
          <w:i/>
          <w:iCs/>
          <w:color w:val="000000"/>
          <w:shd w:val="clear" w:color="auto" w:fill="FFFFFF"/>
        </w:rPr>
        <w:t>.</w:t>
      </w:r>
      <w:r w:rsidRPr="005E0A83">
        <w:rPr>
          <w:rFonts w:ascii="Arial" w:hAnsi="Arial" w:cs="Arial"/>
          <w:i/>
          <w:iCs/>
          <w:color w:val="000000"/>
          <w:shd w:val="clear" w:color="auto" w:fill="FFFFFF"/>
        </w:rPr>
        <w:t xml:space="preserve"> </w:t>
      </w:r>
      <w:r w:rsidR="008E664F" w:rsidRPr="005E0A83">
        <w:rPr>
          <w:rFonts w:ascii="Arial" w:hAnsi="Arial" w:cs="Arial"/>
          <w:i/>
          <w:iCs/>
          <w:color w:val="000000"/>
          <w:shd w:val="clear" w:color="auto" w:fill="FFFFFF"/>
        </w:rPr>
        <w:t xml:space="preserve"> </w:t>
      </w:r>
      <w:r w:rsidRPr="005E0A83">
        <w:rPr>
          <w:rFonts w:ascii="Arial" w:hAnsi="Arial" w:cs="Arial"/>
          <w:i/>
          <w:iCs/>
          <w:color w:val="000000"/>
          <w:shd w:val="clear" w:color="auto" w:fill="FFFFFF"/>
        </w:rPr>
        <w:t xml:space="preserve">The founding affidavit was attested to by an attorney of this court. </w:t>
      </w:r>
      <w:r w:rsidR="008E664F" w:rsidRPr="005E0A83">
        <w:rPr>
          <w:rFonts w:ascii="Arial" w:hAnsi="Arial" w:cs="Arial"/>
          <w:i/>
          <w:iCs/>
          <w:color w:val="000000"/>
          <w:shd w:val="clear" w:color="auto" w:fill="FFFFFF"/>
        </w:rPr>
        <w:t xml:space="preserve"> </w:t>
      </w:r>
      <w:r w:rsidRPr="005E0A83">
        <w:rPr>
          <w:rFonts w:ascii="Arial" w:hAnsi="Arial" w:cs="Arial"/>
          <w:i/>
          <w:iCs/>
          <w:color w:val="000000"/>
          <w:shd w:val="clear" w:color="auto" w:fill="FFFFFF"/>
        </w:rPr>
        <w:t>In the absence of evidence to the contrary, this court accepts that, the attorney who attested the affidavit of the applicant, </w:t>
      </w:r>
      <w:r w:rsidR="002270C5" w:rsidRPr="005E0A83">
        <w:rPr>
          <w:rFonts w:ascii="Arial" w:hAnsi="Arial" w:cs="Arial"/>
          <w:i/>
          <w:iCs/>
          <w:color w:val="000000"/>
          <w:shd w:val="clear" w:color="auto" w:fill="FFFFFF"/>
        </w:rPr>
        <w:t>who happens to be an advocate of this court,</w:t>
      </w:r>
      <w:r w:rsidRPr="005E0A83">
        <w:rPr>
          <w:rFonts w:ascii="Arial" w:hAnsi="Arial" w:cs="Arial"/>
          <w:color w:val="000000"/>
          <w:shd w:val="clear" w:color="auto" w:fill="FFFFFF"/>
        </w:rPr>
        <w:t> </w:t>
      </w:r>
      <w:r w:rsidRPr="005E0A83">
        <w:rPr>
          <w:rFonts w:ascii="Arial" w:hAnsi="Arial" w:cs="Arial"/>
          <w:i/>
          <w:iCs/>
          <w:color w:val="000000"/>
          <w:shd w:val="clear" w:color="auto" w:fill="FFFFFF"/>
        </w:rPr>
        <w:t>complied substantially with the regulations save for failing to make a deletion indicating the gender of the applicant</w:t>
      </w:r>
      <w:r w:rsidR="002270C5" w:rsidRPr="005E0A83">
        <w:rPr>
          <w:rFonts w:ascii="Arial" w:hAnsi="Arial" w:cs="Arial"/>
          <w:i/>
          <w:iCs/>
          <w:color w:val="000000"/>
          <w:shd w:val="clear" w:color="auto" w:fill="FFFFFF"/>
        </w:rPr>
        <w:t>.”</w:t>
      </w:r>
    </w:p>
    <w:p w14:paraId="6D127172" w14:textId="77971EF1" w:rsidR="00E925E7" w:rsidRPr="005E0A83" w:rsidRDefault="00E925E7" w:rsidP="00C83423">
      <w:pPr>
        <w:pStyle w:val="ListParagraph"/>
        <w:spacing w:after="0" w:line="480" w:lineRule="auto"/>
        <w:ind w:left="851"/>
        <w:jc w:val="both"/>
        <w:rPr>
          <w:rFonts w:ascii="Arial" w:hAnsi="Arial" w:cs="Arial"/>
          <w:i/>
          <w:iCs/>
          <w:color w:val="000000"/>
          <w:shd w:val="clear" w:color="auto" w:fill="FFFFFF"/>
        </w:rPr>
      </w:pPr>
    </w:p>
    <w:p w14:paraId="01C46362" w14:textId="523ECB47" w:rsidR="00C83423" w:rsidRPr="00C83423" w:rsidRDefault="00C83423" w:rsidP="00095D14">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color w:val="000000"/>
          <w:sz w:val="24"/>
          <w:szCs w:val="24"/>
          <w:shd w:val="clear" w:color="auto" w:fill="FFFFFF"/>
        </w:rPr>
        <w:t xml:space="preserve">I see no reason why the same rationale ought not to be applied in </w:t>
      </w:r>
      <w:r w:rsidR="007B53CD">
        <w:rPr>
          <w:rFonts w:ascii="Arial" w:hAnsi="Arial" w:cs="Arial"/>
          <w:color w:val="000000"/>
          <w:sz w:val="24"/>
          <w:szCs w:val="24"/>
          <w:shd w:val="clear" w:color="auto" w:fill="FFFFFF"/>
        </w:rPr>
        <w:t xml:space="preserve">the present instance, </w:t>
      </w:r>
      <w:r>
        <w:rPr>
          <w:rFonts w:ascii="Arial" w:hAnsi="Arial" w:cs="Arial"/>
          <w:color w:val="000000"/>
          <w:sz w:val="24"/>
          <w:szCs w:val="24"/>
          <w:shd w:val="clear" w:color="auto" w:fill="FFFFFF"/>
        </w:rPr>
        <w:t>where the deponent herself is an attorney of this court.</w:t>
      </w:r>
    </w:p>
    <w:p w14:paraId="3E4E25FB" w14:textId="09E3C334" w:rsidR="00C83423" w:rsidRPr="00C83423" w:rsidRDefault="00C83423" w:rsidP="00095D14">
      <w:pPr>
        <w:pStyle w:val="ListParagraph"/>
        <w:spacing w:after="0" w:line="480" w:lineRule="auto"/>
        <w:ind w:left="851"/>
        <w:jc w:val="both"/>
        <w:rPr>
          <w:rFonts w:ascii="Arial" w:hAnsi="Arial" w:cs="Arial"/>
          <w:sz w:val="24"/>
          <w:szCs w:val="24"/>
        </w:rPr>
      </w:pPr>
      <w:r>
        <w:rPr>
          <w:rFonts w:ascii="Arial" w:hAnsi="Arial" w:cs="Arial"/>
          <w:sz w:val="24"/>
          <w:szCs w:val="24"/>
        </w:rPr>
        <w:t xml:space="preserve"> </w:t>
      </w:r>
    </w:p>
    <w:p w14:paraId="725FA318" w14:textId="5C770C59" w:rsidR="00C83423" w:rsidRPr="00C83423" w:rsidRDefault="00AA6C62" w:rsidP="00095D14">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color w:val="000000"/>
          <w:sz w:val="24"/>
          <w:szCs w:val="24"/>
          <w:shd w:val="clear" w:color="auto" w:fill="FFFFFF"/>
        </w:rPr>
        <w:t>T</w:t>
      </w:r>
      <w:r w:rsidR="0067747D">
        <w:rPr>
          <w:rFonts w:ascii="Arial" w:hAnsi="Arial" w:cs="Arial"/>
          <w:color w:val="000000"/>
          <w:sz w:val="24"/>
          <w:szCs w:val="24"/>
          <w:shd w:val="clear" w:color="auto" w:fill="FFFFFF"/>
        </w:rPr>
        <w:t>he deponent to the affidavit in question is the applicants’ attorney of record</w:t>
      </w:r>
      <w:r w:rsidR="00B869CA">
        <w:rPr>
          <w:rFonts w:ascii="Arial" w:hAnsi="Arial" w:cs="Arial"/>
          <w:color w:val="000000"/>
          <w:sz w:val="24"/>
          <w:szCs w:val="24"/>
          <w:shd w:val="clear" w:color="auto" w:fill="FFFFFF"/>
        </w:rPr>
        <w:t>,</w:t>
      </w:r>
      <w:r w:rsidR="0067747D">
        <w:rPr>
          <w:rFonts w:ascii="Arial" w:hAnsi="Arial" w:cs="Arial"/>
          <w:color w:val="000000"/>
          <w:sz w:val="24"/>
          <w:szCs w:val="24"/>
          <w:shd w:val="clear" w:color="auto" w:fill="FFFFFF"/>
        </w:rPr>
        <w:t xml:space="preserve"> who describes herself as “</w:t>
      </w:r>
      <w:r w:rsidR="0067747D" w:rsidRPr="0067747D">
        <w:rPr>
          <w:rFonts w:ascii="Arial" w:hAnsi="Arial" w:cs="Arial"/>
          <w:i/>
          <w:iCs/>
          <w:color w:val="000000"/>
          <w:sz w:val="24"/>
          <w:szCs w:val="24"/>
          <w:shd w:val="clear" w:color="auto" w:fill="FFFFFF"/>
        </w:rPr>
        <w:t>an adult female attorney</w:t>
      </w:r>
      <w:r w:rsidR="0067747D">
        <w:rPr>
          <w:rFonts w:ascii="Arial" w:hAnsi="Arial" w:cs="Arial"/>
          <w:color w:val="000000"/>
          <w:sz w:val="24"/>
          <w:szCs w:val="24"/>
          <w:shd w:val="clear" w:color="auto" w:fill="FFFFFF"/>
        </w:rPr>
        <w:t xml:space="preserve">”.  Absent any evidence to the contrary, and </w:t>
      </w:r>
      <w:r w:rsidR="00B869CA">
        <w:rPr>
          <w:rFonts w:ascii="Arial" w:hAnsi="Arial" w:cs="Arial"/>
          <w:color w:val="000000"/>
          <w:sz w:val="24"/>
          <w:szCs w:val="24"/>
          <w:shd w:val="clear" w:color="auto" w:fill="FFFFFF"/>
        </w:rPr>
        <w:t>due regard being had to the above authorities, I accept that an attorney, when deposing to an affidavit, will do so cognisant</w:t>
      </w:r>
      <w:r w:rsidR="00D0614C">
        <w:rPr>
          <w:rFonts w:ascii="Arial" w:hAnsi="Arial" w:cs="Arial"/>
          <w:color w:val="000000"/>
          <w:sz w:val="24"/>
          <w:szCs w:val="24"/>
          <w:shd w:val="clear" w:color="auto" w:fill="FFFFFF"/>
        </w:rPr>
        <w:t xml:space="preserve"> of, and in compliance with,</w:t>
      </w:r>
      <w:r w:rsidR="00B869CA">
        <w:rPr>
          <w:rFonts w:ascii="Arial" w:hAnsi="Arial" w:cs="Arial"/>
          <w:color w:val="000000"/>
          <w:sz w:val="24"/>
          <w:szCs w:val="24"/>
          <w:shd w:val="clear" w:color="auto" w:fill="FFFFFF"/>
        </w:rPr>
        <w:t xml:space="preserve"> the requirements set out in the Regulations</w:t>
      </w:r>
      <w:r w:rsidR="00413C4E">
        <w:rPr>
          <w:rFonts w:ascii="Arial" w:hAnsi="Arial" w:cs="Arial"/>
          <w:color w:val="000000"/>
          <w:sz w:val="24"/>
          <w:szCs w:val="24"/>
          <w:shd w:val="clear" w:color="auto" w:fill="FFFFFF"/>
        </w:rPr>
        <w:t>.  It, of necessity</w:t>
      </w:r>
      <w:r w:rsidR="00931E7E">
        <w:rPr>
          <w:rFonts w:ascii="Arial" w:hAnsi="Arial" w:cs="Arial"/>
          <w:color w:val="000000"/>
          <w:sz w:val="24"/>
          <w:szCs w:val="24"/>
          <w:shd w:val="clear" w:color="auto" w:fill="FFFFFF"/>
        </w:rPr>
        <w:t>,</w:t>
      </w:r>
      <w:r w:rsidR="00413C4E">
        <w:rPr>
          <w:rFonts w:ascii="Arial" w:hAnsi="Arial" w:cs="Arial"/>
          <w:color w:val="000000"/>
          <w:sz w:val="24"/>
          <w:szCs w:val="24"/>
          <w:shd w:val="clear" w:color="auto" w:fill="FFFFFF"/>
        </w:rPr>
        <w:t xml:space="preserve"> follows that</w:t>
      </w:r>
      <w:r w:rsidR="009F226B">
        <w:rPr>
          <w:rFonts w:ascii="Arial" w:hAnsi="Arial" w:cs="Arial"/>
          <w:color w:val="000000"/>
          <w:sz w:val="24"/>
          <w:szCs w:val="24"/>
          <w:shd w:val="clear" w:color="auto" w:fill="FFFFFF"/>
        </w:rPr>
        <w:t xml:space="preserve"> the reference to the deponent as “he”</w:t>
      </w:r>
      <w:r w:rsidR="00C83423">
        <w:rPr>
          <w:rFonts w:ascii="Arial" w:hAnsi="Arial" w:cs="Arial"/>
          <w:color w:val="000000"/>
          <w:sz w:val="24"/>
          <w:szCs w:val="24"/>
          <w:shd w:val="clear" w:color="auto" w:fill="FFFFFF"/>
        </w:rPr>
        <w:t xml:space="preserve"> was no more than an oversight on behalf of the commissioner of oaths, having been presented with the typed affidavit.  </w:t>
      </w:r>
    </w:p>
    <w:p w14:paraId="5A00B2D9" w14:textId="77777777" w:rsidR="00C83423" w:rsidRPr="00C83423" w:rsidRDefault="00C83423" w:rsidP="00095D14">
      <w:pPr>
        <w:pStyle w:val="ListParagraph"/>
        <w:spacing w:after="0" w:line="480" w:lineRule="auto"/>
        <w:rPr>
          <w:rFonts w:ascii="Arial" w:hAnsi="Arial" w:cs="Arial"/>
          <w:color w:val="000000"/>
          <w:sz w:val="24"/>
          <w:szCs w:val="24"/>
          <w:shd w:val="clear" w:color="auto" w:fill="FFFFFF"/>
        </w:rPr>
      </w:pPr>
    </w:p>
    <w:p w14:paraId="1E7ADC1B" w14:textId="01673505" w:rsidR="00E925E7" w:rsidRPr="00E904C9" w:rsidRDefault="002E0BEE" w:rsidP="00095D14">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color w:val="000000"/>
          <w:sz w:val="24"/>
          <w:szCs w:val="24"/>
          <w:shd w:val="clear" w:color="auto" w:fill="FFFFFF"/>
        </w:rPr>
        <w:lastRenderedPageBreak/>
        <w:t>O</w:t>
      </w:r>
      <w:r w:rsidR="00B869CA">
        <w:rPr>
          <w:rFonts w:ascii="Arial" w:hAnsi="Arial" w:cs="Arial"/>
          <w:color w:val="000000"/>
          <w:sz w:val="24"/>
          <w:szCs w:val="24"/>
          <w:shd w:val="clear" w:color="auto" w:fill="FFFFFF"/>
        </w:rPr>
        <w:t xml:space="preserve">n the facts of the present matter, </w:t>
      </w:r>
      <w:r w:rsidR="00451D14">
        <w:rPr>
          <w:rFonts w:ascii="Arial" w:hAnsi="Arial" w:cs="Arial"/>
          <w:color w:val="000000"/>
          <w:sz w:val="24"/>
          <w:szCs w:val="24"/>
          <w:shd w:val="clear" w:color="auto" w:fill="FFFFFF"/>
        </w:rPr>
        <w:t xml:space="preserve">and in the exercise of my discretion, </w:t>
      </w:r>
      <w:r w:rsidR="00B869CA">
        <w:rPr>
          <w:rFonts w:ascii="Arial" w:hAnsi="Arial" w:cs="Arial"/>
          <w:color w:val="000000"/>
          <w:sz w:val="24"/>
          <w:szCs w:val="24"/>
          <w:shd w:val="clear" w:color="auto" w:fill="FFFFFF"/>
        </w:rPr>
        <w:t xml:space="preserve">I see no compelling reason to depart from the maxim </w:t>
      </w:r>
      <w:r w:rsidR="00B869CA" w:rsidRPr="00B869CA">
        <w:rPr>
          <w:rFonts w:ascii="Arial" w:hAnsi="Arial" w:cs="Arial"/>
          <w:i/>
          <w:iCs/>
          <w:color w:val="000000"/>
          <w:sz w:val="24"/>
          <w:szCs w:val="24"/>
          <w:shd w:val="clear" w:color="auto" w:fill="FFFFFF"/>
        </w:rPr>
        <w:t>omnia praesumuntur rite essa acta</w:t>
      </w:r>
      <w:r>
        <w:rPr>
          <w:rFonts w:ascii="Arial" w:hAnsi="Arial" w:cs="Arial"/>
          <w:color w:val="000000"/>
          <w:sz w:val="24"/>
          <w:szCs w:val="24"/>
          <w:shd w:val="clear" w:color="auto" w:fill="FFFFFF"/>
        </w:rPr>
        <w:t>, and accordingly, the objection to the affidavit must fail</w:t>
      </w:r>
      <w:r w:rsidR="00B869CA">
        <w:rPr>
          <w:rFonts w:ascii="Arial" w:hAnsi="Arial" w:cs="Arial"/>
          <w:color w:val="000000"/>
          <w:sz w:val="24"/>
          <w:szCs w:val="24"/>
          <w:shd w:val="clear" w:color="auto" w:fill="FFFFFF"/>
        </w:rPr>
        <w:t xml:space="preserve">. </w:t>
      </w:r>
      <w:r w:rsidR="0067747D">
        <w:rPr>
          <w:rFonts w:ascii="Arial" w:hAnsi="Arial" w:cs="Arial"/>
          <w:color w:val="000000"/>
          <w:sz w:val="24"/>
          <w:szCs w:val="24"/>
          <w:shd w:val="clear" w:color="auto" w:fill="FFFFFF"/>
        </w:rPr>
        <w:t xml:space="preserve">  </w:t>
      </w:r>
    </w:p>
    <w:p w14:paraId="02115945" w14:textId="77777777" w:rsidR="00E904C9" w:rsidRPr="00E904C9" w:rsidRDefault="00E904C9" w:rsidP="00095D14">
      <w:pPr>
        <w:pStyle w:val="ListParagraph"/>
        <w:spacing w:after="0" w:line="480" w:lineRule="auto"/>
        <w:rPr>
          <w:rFonts w:ascii="Arial" w:hAnsi="Arial" w:cs="Arial"/>
          <w:sz w:val="24"/>
          <w:szCs w:val="24"/>
        </w:rPr>
      </w:pPr>
    </w:p>
    <w:p w14:paraId="027A794F" w14:textId="1A1B3381" w:rsidR="00E904C9" w:rsidRDefault="00E904C9" w:rsidP="00095D14">
      <w:pPr>
        <w:spacing w:after="0" w:line="480" w:lineRule="auto"/>
        <w:rPr>
          <w:rFonts w:ascii="Arial" w:hAnsi="Arial" w:cs="Arial"/>
          <w:sz w:val="24"/>
          <w:szCs w:val="24"/>
          <w:u w:val="single"/>
        </w:rPr>
      </w:pPr>
      <w:r>
        <w:rPr>
          <w:rFonts w:ascii="Arial" w:hAnsi="Arial" w:cs="Arial"/>
          <w:sz w:val="24"/>
          <w:szCs w:val="24"/>
          <w:u w:val="single"/>
        </w:rPr>
        <w:t>Costs</w:t>
      </w:r>
    </w:p>
    <w:p w14:paraId="42744895" w14:textId="1D5DE700" w:rsidR="00E904C9" w:rsidRDefault="00E904C9" w:rsidP="00095D14">
      <w:pPr>
        <w:spacing w:after="0" w:line="480" w:lineRule="auto"/>
        <w:jc w:val="both"/>
        <w:rPr>
          <w:rFonts w:ascii="Arial" w:hAnsi="Arial" w:cs="Arial"/>
          <w:sz w:val="24"/>
          <w:szCs w:val="24"/>
        </w:rPr>
      </w:pPr>
    </w:p>
    <w:p w14:paraId="6A7F81A2" w14:textId="77777777" w:rsidR="00313D8C" w:rsidRDefault="006231D7" w:rsidP="00095D14">
      <w:pPr>
        <w:pStyle w:val="ListParagraph"/>
        <w:numPr>
          <w:ilvl w:val="0"/>
          <w:numId w:val="1"/>
        </w:numPr>
        <w:spacing w:after="0" w:line="480" w:lineRule="auto"/>
        <w:ind w:left="851" w:hanging="851"/>
        <w:jc w:val="both"/>
        <w:rPr>
          <w:rFonts w:ascii="Arial" w:hAnsi="Arial" w:cs="Arial"/>
          <w:sz w:val="24"/>
          <w:szCs w:val="24"/>
        </w:rPr>
      </w:pPr>
      <w:r w:rsidRPr="00F510CD">
        <w:rPr>
          <w:rFonts w:ascii="Arial" w:hAnsi="Arial" w:cs="Arial"/>
          <w:sz w:val="24"/>
          <w:szCs w:val="24"/>
        </w:rPr>
        <w:t>The first respondent complains that the applicants have been persistently dilatory in the conduct</w:t>
      </w:r>
      <w:r w:rsidR="00023371" w:rsidRPr="00F510CD">
        <w:rPr>
          <w:rFonts w:ascii="Arial" w:hAnsi="Arial" w:cs="Arial"/>
          <w:sz w:val="24"/>
          <w:szCs w:val="24"/>
        </w:rPr>
        <w:t xml:space="preserve"> of the application</w:t>
      </w:r>
      <w:r w:rsidR="00682312">
        <w:rPr>
          <w:rFonts w:ascii="Arial" w:hAnsi="Arial" w:cs="Arial"/>
          <w:sz w:val="24"/>
          <w:szCs w:val="24"/>
        </w:rPr>
        <w:t>, warranting an order of costs on a punitive scale</w:t>
      </w:r>
      <w:r w:rsidR="00023371" w:rsidRPr="00F510CD">
        <w:rPr>
          <w:rFonts w:ascii="Arial" w:hAnsi="Arial" w:cs="Arial"/>
          <w:sz w:val="24"/>
          <w:szCs w:val="24"/>
        </w:rPr>
        <w:t xml:space="preserve">.  </w:t>
      </w:r>
    </w:p>
    <w:p w14:paraId="668C505E" w14:textId="6A7274AB" w:rsidR="00F510CD" w:rsidRDefault="00F510CD" w:rsidP="00095D14">
      <w:pPr>
        <w:pStyle w:val="ListParagraph"/>
        <w:spacing w:after="0" w:line="480" w:lineRule="auto"/>
        <w:ind w:left="851"/>
        <w:jc w:val="both"/>
        <w:rPr>
          <w:rFonts w:ascii="Arial" w:hAnsi="Arial" w:cs="Arial"/>
          <w:sz w:val="24"/>
          <w:szCs w:val="24"/>
        </w:rPr>
      </w:pPr>
    </w:p>
    <w:p w14:paraId="0D42C695" w14:textId="0D25785A" w:rsidR="00B44642" w:rsidRDefault="006231D7" w:rsidP="00095D14">
      <w:pPr>
        <w:pStyle w:val="ListParagraph"/>
        <w:numPr>
          <w:ilvl w:val="0"/>
          <w:numId w:val="1"/>
        </w:numPr>
        <w:spacing w:after="0" w:line="480" w:lineRule="auto"/>
        <w:ind w:left="851" w:hanging="851"/>
        <w:jc w:val="both"/>
        <w:rPr>
          <w:rFonts w:ascii="Arial" w:hAnsi="Arial" w:cs="Arial"/>
          <w:sz w:val="24"/>
          <w:szCs w:val="24"/>
        </w:rPr>
      </w:pPr>
      <w:r w:rsidRPr="00F510CD">
        <w:rPr>
          <w:rFonts w:ascii="Arial" w:hAnsi="Arial" w:cs="Arial"/>
          <w:sz w:val="24"/>
          <w:szCs w:val="24"/>
        </w:rPr>
        <w:t xml:space="preserve">On the other hand, it was submitted </w:t>
      </w:r>
      <w:r w:rsidR="00901728">
        <w:rPr>
          <w:rFonts w:ascii="Arial" w:hAnsi="Arial" w:cs="Arial"/>
          <w:sz w:val="24"/>
          <w:szCs w:val="24"/>
        </w:rPr>
        <w:t>from the bar,</w:t>
      </w:r>
      <w:r w:rsidRPr="00F510CD">
        <w:rPr>
          <w:rFonts w:ascii="Arial" w:hAnsi="Arial" w:cs="Arial"/>
          <w:sz w:val="24"/>
          <w:szCs w:val="24"/>
        </w:rPr>
        <w:t xml:space="preserve"> on behalf of the applicants,</w:t>
      </w:r>
      <w:r w:rsidR="00901728">
        <w:rPr>
          <w:rFonts w:ascii="Arial" w:hAnsi="Arial" w:cs="Arial"/>
          <w:sz w:val="24"/>
          <w:szCs w:val="24"/>
        </w:rPr>
        <w:t xml:space="preserve"> that</w:t>
      </w:r>
      <w:r w:rsidR="0053469F">
        <w:rPr>
          <w:rFonts w:ascii="Arial" w:hAnsi="Arial" w:cs="Arial"/>
          <w:sz w:val="24"/>
          <w:szCs w:val="24"/>
        </w:rPr>
        <w:t>:</w:t>
      </w:r>
      <w:r w:rsidRPr="00F510CD">
        <w:rPr>
          <w:rFonts w:ascii="Arial" w:hAnsi="Arial" w:cs="Arial"/>
          <w:sz w:val="24"/>
          <w:szCs w:val="24"/>
        </w:rPr>
        <w:t xml:space="preserve"> </w:t>
      </w:r>
      <w:r w:rsidR="00682312">
        <w:rPr>
          <w:rFonts w:ascii="Arial" w:hAnsi="Arial" w:cs="Arial"/>
          <w:sz w:val="24"/>
          <w:szCs w:val="24"/>
        </w:rPr>
        <w:t xml:space="preserve">(1) they are lay persons; (2) </w:t>
      </w:r>
      <w:r w:rsidR="0053469F">
        <w:rPr>
          <w:rFonts w:ascii="Arial" w:hAnsi="Arial" w:cs="Arial"/>
          <w:sz w:val="24"/>
          <w:szCs w:val="24"/>
        </w:rPr>
        <w:t xml:space="preserve">they </w:t>
      </w:r>
      <w:r w:rsidR="00682312">
        <w:rPr>
          <w:rFonts w:ascii="Arial" w:hAnsi="Arial" w:cs="Arial"/>
          <w:sz w:val="24"/>
          <w:szCs w:val="24"/>
        </w:rPr>
        <w:t>would undoubtably have had difficulties in obtaining legal representation</w:t>
      </w:r>
      <w:r w:rsidR="0053469F">
        <w:rPr>
          <w:rFonts w:ascii="Arial" w:hAnsi="Arial" w:cs="Arial"/>
          <w:sz w:val="24"/>
          <w:szCs w:val="24"/>
        </w:rPr>
        <w:t xml:space="preserve">; </w:t>
      </w:r>
      <w:r w:rsidR="00682312">
        <w:rPr>
          <w:rFonts w:ascii="Arial" w:hAnsi="Arial" w:cs="Arial"/>
          <w:sz w:val="24"/>
          <w:szCs w:val="24"/>
        </w:rPr>
        <w:t xml:space="preserve">and (3) </w:t>
      </w:r>
      <w:r w:rsidR="0053469F">
        <w:rPr>
          <w:rFonts w:ascii="Arial" w:hAnsi="Arial" w:cs="Arial"/>
          <w:sz w:val="24"/>
          <w:szCs w:val="24"/>
        </w:rPr>
        <w:t xml:space="preserve">in any event, </w:t>
      </w:r>
      <w:r w:rsidR="00682312">
        <w:rPr>
          <w:rFonts w:ascii="Arial" w:hAnsi="Arial" w:cs="Arial"/>
          <w:sz w:val="24"/>
          <w:szCs w:val="24"/>
        </w:rPr>
        <w:t xml:space="preserve">the applicants </w:t>
      </w:r>
      <w:r w:rsidR="00610B30" w:rsidRPr="00F510CD">
        <w:rPr>
          <w:rFonts w:ascii="Arial" w:hAnsi="Arial" w:cs="Arial"/>
          <w:sz w:val="24"/>
          <w:szCs w:val="24"/>
        </w:rPr>
        <w:t>had taken heed of the court’s advice to obtain legal representation</w:t>
      </w:r>
      <w:r w:rsidR="00682312">
        <w:rPr>
          <w:rFonts w:ascii="Arial" w:hAnsi="Arial" w:cs="Arial"/>
          <w:sz w:val="24"/>
          <w:szCs w:val="24"/>
        </w:rPr>
        <w:t>, regardless of whether or not they were able to proceed with argument on the date allocated for same</w:t>
      </w:r>
      <w:r w:rsidR="00610B30" w:rsidRPr="00F510CD">
        <w:rPr>
          <w:rFonts w:ascii="Arial" w:hAnsi="Arial" w:cs="Arial"/>
          <w:sz w:val="24"/>
          <w:szCs w:val="24"/>
        </w:rPr>
        <w:t>.</w:t>
      </w:r>
      <w:r w:rsidR="00986949">
        <w:rPr>
          <w:rFonts w:ascii="Arial" w:hAnsi="Arial" w:cs="Arial"/>
          <w:sz w:val="24"/>
          <w:szCs w:val="24"/>
        </w:rPr>
        <w:t xml:space="preserve">  With this in mind, it was argued on behalf of the applicants, that a punitive order as to costs would not be appropriate</w:t>
      </w:r>
      <w:r w:rsidR="009D3BDB">
        <w:rPr>
          <w:rFonts w:ascii="Arial" w:hAnsi="Arial" w:cs="Arial"/>
          <w:sz w:val="24"/>
          <w:szCs w:val="24"/>
        </w:rPr>
        <w:t>.</w:t>
      </w:r>
      <w:r w:rsidR="00986949">
        <w:rPr>
          <w:rFonts w:ascii="Arial" w:hAnsi="Arial" w:cs="Arial"/>
          <w:sz w:val="24"/>
          <w:szCs w:val="24"/>
        </w:rPr>
        <w:t xml:space="preserve"> </w:t>
      </w:r>
      <w:r w:rsidR="00610B30" w:rsidRPr="00F510CD">
        <w:rPr>
          <w:rFonts w:ascii="Arial" w:hAnsi="Arial" w:cs="Arial"/>
          <w:sz w:val="24"/>
          <w:szCs w:val="24"/>
        </w:rPr>
        <w:t xml:space="preserve">  </w:t>
      </w:r>
    </w:p>
    <w:p w14:paraId="55C8EBCA" w14:textId="77777777" w:rsidR="00B44642" w:rsidRPr="00B44642" w:rsidRDefault="00B44642" w:rsidP="00095D14">
      <w:pPr>
        <w:pStyle w:val="ListParagraph"/>
        <w:spacing w:after="0" w:line="480" w:lineRule="auto"/>
        <w:rPr>
          <w:rFonts w:ascii="Arial" w:hAnsi="Arial" w:cs="Arial"/>
          <w:sz w:val="24"/>
          <w:szCs w:val="24"/>
        </w:rPr>
      </w:pPr>
    </w:p>
    <w:p w14:paraId="39E082E2" w14:textId="68F7393F" w:rsidR="00570EB5" w:rsidRDefault="00B46C54" w:rsidP="001A3C34">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At this juncture, I am constrained to mention that t</w:t>
      </w:r>
      <w:r w:rsidR="00570EB5">
        <w:rPr>
          <w:rFonts w:ascii="Arial" w:hAnsi="Arial" w:cs="Arial"/>
          <w:sz w:val="24"/>
          <w:szCs w:val="24"/>
        </w:rPr>
        <w:t xml:space="preserve">he applicants elected not to tender an explanation, under oath, in respect of the aforesaid.  The only explanation before me, </w:t>
      </w:r>
      <w:r>
        <w:rPr>
          <w:rFonts w:ascii="Arial" w:hAnsi="Arial" w:cs="Arial"/>
          <w:sz w:val="24"/>
          <w:szCs w:val="24"/>
        </w:rPr>
        <w:t xml:space="preserve">is </w:t>
      </w:r>
      <w:r w:rsidR="00570EB5">
        <w:rPr>
          <w:rFonts w:ascii="Arial" w:hAnsi="Arial" w:cs="Arial"/>
          <w:sz w:val="24"/>
          <w:szCs w:val="24"/>
        </w:rPr>
        <w:t>that of the applicants’ attorney of record,</w:t>
      </w:r>
      <w:r w:rsidR="00F9702B">
        <w:rPr>
          <w:rFonts w:ascii="Arial" w:hAnsi="Arial" w:cs="Arial"/>
          <w:sz w:val="24"/>
          <w:szCs w:val="24"/>
        </w:rPr>
        <w:t xml:space="preserve"> </w:t>
      </w:r>
      <w:r>
        <w:rPr>
          <w:rFonts w:ascii="Arial" w:hAnsi="Arial" w:cs="Arial"/>
          <w:sz w:val="24"/>
          <w:szCs w:val="24"/>
        </w:rPr>
        <w:t>which I deal with in detail later.</w:t>
      </w:r>
      <w:r w:rsidR="00570EB5">
        <w:rPr>
          <w:rFonts w:ascii="Arial" w:hAnsi="Arial" w:cs="Arial"/>
          <w:sz w:val="24"/>
          <w:szCs w:val="24"/>
        </w:rPr>
        <w:t xml:space="preserve"> </w:t>
      </w:r>
    </w:p>
    <w:p w14:paraId="7509FB27" w14:textId="77777777" w:rsidR="00570EB5" w:rsidRPr="00570EB5" w:rsidRDefault="00570EB5" w:rsidP="00570EB5">
      <w:pPr>
        <w:pStyle w:val="ListParagraph"/>
        <w:rPr>
          <w:rFonts w:ascii="Arial" w:hAnsi="Arial" w:cs="Arial"/>
          <w:sz w:val="24"/>
          <w:szCs w:val="24"/>
        </w:rPr>
      </w:pPr>
    </w:p>
    <w:p w14:paraId="1883A502" w14:textId="3B2C9F1A" w:rsidR="001A3C34" w:rsidRDefault="001A3C34" w:rsidP="001A3C34">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lastRenderedPageBreak/>
        <w:t>Generally, a party whose conduct gives rise to the postponement of a matter must pay the wasted costs occasioned thereby.</w:t>
      </w:r>
      <w:r>
        <w:rPr>
          <w:rStyle w:val="FootnoteReference"/>
          <w:rFonts w:ascii="Arial" w:hAnsi="Arial" w:cs="Arial"/>
          <w:sz w:val="24"/>
          <w:szCs w:val="24"/>
        </w:rPr>
        <w:footnoteReference w:id="9"/>
      </w:r>
      <w:r>
        <w:rPr>
          <w:rFonts w:ascii="Arial" w:hAnsi="Arial" w:cs="Arial"/>
          <w:sz w:val="24"/>
          <w:szCs w:val="24"/>
        </w:rPr>
        <w:t xml:space="preserve">  </w:t>
      </w:r>
    </w:p>
    <w:p w14:paraId="44B33843" w14:textId="77777777" w:rsidR="001A3C34" w:rsidRDefault="001A3C34" w:rsidP="001A3C34">
      <w:pPr>
        <w:pStyle w:val="ListParagraph"/>
        <w:spacing w:after="0" w:line="480" w:lineRule="auto"/>
        <w:ind w:left="851"/>
        <w:jc w:val="both"/>
        <w:rPr>
          <w:rFonts w:ascii="Arial" w:hAnsi="Arial" w:cs="Arial"/>
          <w:sz w:val="24"/>
          <w:szCs w:val="24"/>
        </w:rPr>
      </w:pPr>
    </w:p>
    <w:p w14:paraId="67C76BE3" w14:textId="7F2EE279" w:rsidR="001A3C34" w:rsidRDefault="001A3C34" w:rsidP="001A3C34">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 xml:space="preserve">In </w:t>
      </w:r>
      <w:r w:rsidRPr="00C62875">
        <w:rPr>
          <w:rFonts w:ascii="Arial" w:hAnsi="Arial" w:cs="Arial"/>
          <w:i/>
          <w:iCs/>
          <w:sz w:val="24"/>
          <w:szCs w:val="24"/>
        </w:rPr>
        <w:t>Sublime Technologies (Pty) Ltd v Jonker and Another</w:t>
      </w:r>
      <w:r>
        <w:rPr>
          <w:rFonts w:ascii="Arial" w:hAnsi="Arial" w:cs="Arial"/>
          <w:sz w:val="24"/>
          <w:szCs w:val="24"/>
        </w:rPr>
        <w:t>,</w:t>
      </w:r>
      <w:r>
        <w:rPr>
          <w:rStyle w:val="FootnoteReference"/>
          <w:rFonts w:ascii="Arial" w:hAnsi="Arial" w:cs="Arial"/>
          <w:sz w:val="24"/>
          <w:szCs w:val="24"/>
        </w:rPr>
        <w:footnoteReference w:id="10"/>
      </w:r>
      <w:r>
        <w:rPr>
          <w:rFonts w:ascii="Arial" w:hAnsi="Arial" w:cs="Arial"/>
          <w:sz w:val="24"/>
          <w:szCs w:val="24"/>
        </w:rPr>
        <w:t xml:space="preserve"> it was held at paragraph [3] as follows:</w:t>
      </w:r>
    </w:p>
    <w:p w14:paraId="6882E0AB" w14:textId="77777777" w:rsidR="001A3C34" w:rsidRDefault="001A3C34" w:rsidP="001A3C34">
      <w:pPr>
        <w:pStyle w:val="ListParagraph"/>
        <w:spacing w:after="0" w:line="480" w:lineRule="auto"/>
        <w:rPr>
          <w:rFonts w:ascii="Arial" w:hAnsi="Arial" w:cs="Arial"/>
          <w:sz w:val="24"/>
          <w:szCs w:val="24"/>
        </w:rPr>
      </w:pPr>
    </w:p>
    <w:p w14:paraId="7FF1EDF6" w14:textId="77777777" w:rsidR="001A3C34" w:rsidRPr="000941AD" w:rsidRDefault="001A3C34" w:rsidP="001A3C34">
      <w:pPr>
        <w:pStyle w:val="ListParagraph"/>
        <w:spacing w:after="0" w:line="360" w:lineRule="auto"/>
        <w:ind w:left="851"/>
        <w:rPr>
          <w:rFonts w:ascii="Arial" w:hAnsi="Arial" w:cs="Arial"/>
        </w:rPr>
      </w:pPr>
      <w:r w:rsidRPr="000941AD">
        <w:rPr>
          <w:rFonts w:ascii="Arial" w:hAnsi="Arial" w:cs="Arial"/>
        </w:rPr>
        <w:t>“</w:t>
      </w:r>
      <w:r w:rsidRPr="000941AD">
        <w:rPr>
          <w:rFonts w:ascii="Arial" w:hAnsi="Arial" w:cs="Arial"/>
          <w:i/>
          <w:iCs/>
        </w:rPr>
        <w:t>With regard to costs occasioned by a postponement, the general rule is that the party which is responsible for a case not proceeding on the day set down for hearing must ordinarily pay the wasted costs...</w:t>
      </w:r>
      <w:r>
        <w:rPr>
          <w:rFonts w:ascii="Arial" w:hAnsi="Arial" w:cs="Arial"/>
        </w:rPr>
        <w:t>”</w:t>
      </w:r>
    </w:p>
    <w:p w14:paraId="7F430181" w14:textId="77777777" w:rsidR="001A3C34" w:rsidRPr="0098317F" w:rsidRDefault="001A3C34" w:rsidP="001A3C34">
      <w:pPr>
        <w:pStyle w:val="ListParagraph"/>
        <w:spacing w:after="0" w:line="480" w:lineRule="auto"/>
        <w:rPr>
          <w:rFonts w:ascii="Arial" w:hAnsi="Arial" w:cs="Arial"/>
          <w:sz w:val="24"/>
          <w:szCs w:val="24"/>
        </w:rPr>
      </w:pPr>
    </w:p>
    <w:p w14:paraId="489DBDE7" w14:textId="77777777" w:rsidR="001A3C34" w:rsidRDefault="001A3C34" w:rsidP="001A3C34">
      <w:pPr>
        <w:pStyle w:val="ListParagraph"/>
        <w:numPr>
          <w:ilvl w:val="0"/>
          <w:numId w:val="1"/>
        </w:numPr>
        <w:spacing w:after="0" w:line="480" w:lineRule="auto"/>
        <w:ind w:left="851" w:hanging="851"/>
        <w:jc w:val="both"/>
        <w:rPr>
          <w:rFonts w:ascii="Arial" w:hAnsi="Arial" w:cs="Arial"/>
          <w:sz w:val="24"/>
          <w:szCs w:val="24"/>
        </w:rPr>
      </w:pPr>
      <w:r w:rsidRPr="00427B79">
        <w:rPr>
          <w:rFonts w:ascii="Arial" w:hAnsi="Arial" w:cs="Arial"/>
          <w:sz w:val="24"/>
          <w:szCs w:val="24"/>
        </w:rPr>
        <w:t xml:space="preserve">Having said that, the award of costs is an issue within the discretion of the court. </w:t>
      </w:r>
      <w:r>
        <w:rPr>
          <w:rFonts w:ascii="Arial" w:hAnsi="Arial" w:cs="Arial"/>
          <w:sz w:val="24"/>
          <w:szCs w:val="24"/>
        </w:rPr>
        <w:t xml:space="preserve"> </w:t>
      </w:r>
      <w:r w:rsidRPr="00427B79">
        <w:rPr>
          <w:rFonts w:ascii="Arial" w:hAnsi="Arial" w:cs="Arial"/>
          <w:sz w:val="24"/>
          <w:szCs w:val="24"/>
        </w:rPr>
        <w:t>In</w:t>
      </w:r>
      <w:r>
        <w:rPr>
          <w:rFonts w:ascii="Arial" w:hAnsi="Arial" w:cs="Arial"/>
          <w:sz w:val="24"/>
          <w:szCs w:val="24"/>
        </w:rPr>
        <w:t xml:space="preserve"> considering the court’s discretion, it was held in</w:t>
      </w:r>
      <w:r w:rsidRPr="00427B79">
        <w:rPr>
          <w:rFonts w:ascii="Arial" w:hAnsi="Arial" w:cs="Arial"/>
          <w:sz w:val="24"/>
          <w:szCs w:val="24"/>
        </w:rPr>
        <w:t xml:space="preserve"> </w:t>
      </w:r>
      <w:r w:rsidRPr="00427B79">
        <w:rPr>
          <w:rFonts w:ascii="Arial" w:hAnsi="Arial" w:cs="Arial"/>
          <w:i/>
          <w:iCs/>
          <w:sz w:val="24"/>
          <w:szCs w:val="24"/>
        </w:rPr>
        <w:t>Fripp v Gibbon &amp; Co</w:t>
      </w:r>
      <w:r w:rsidRPr="00427B79">
        <w:rPr>
          <w:rStyle w:val="FootnoteReference"/>
          <w:rFonts w:ascii="Arial" w:hAnsi="Arial" w:cs="Arial"/>
          <w:sz w:val="24"/>
          <w:szCs w:val="24"/>
        </w:rPr>
        <w:footnoteReference w:id="11"/>
      </w:r>
      <w:r w:rsidRPr="00427B79">
        <w:rPr>
          <w:rFonts w:ascii="Arial" w:hAnsi="Arial" w:cs="Arial"/>
          <w:sz w:val="24"/>
          <w:szCs w:val="24"/>
        </w:rPr>
        <w:t xml:space="preserve"> </w:t>
      </w:r>
      <w:r>
        <w:rPr>
          <w:rFonts w:ascii="Arial" w:hAnsi="Arial" w:cs="Arial"/>
          <w:sz w:val="24"/>
          <w:szCs w:val="24"/>
        </w:rPr>
        <w:t>that:</w:t>
      </w:r>
    </w:p>
    <w:p w14:paraId="668B337D" w14:textId="77777777" w:rsidR="001A3C34" w:rsidRPr="00427B79" w:rsidRDefault="001A3C34" w:rsidP="001A3C34">
      <w:pPr>
        <w:pStyle w:val="ListParagraph"/>
        <w:spacing w:after="0" w:line="480" w:lineRule="auto"/>
        <w:rPr>
          <w:rFonts w:ascii="Arial" w:hAnsi="Arial" w:cs="Arial"/>
          <w:sz w:val="24"/>
          <w:szCs w:val="24"/>
        </w:rPr>
      </w:pPr>
    </w:p>
    <w:p w14:paraId="054323D2" w14:textId="77777777" w:rsidR="001A3C34" w:rsidRPr="00427B79" w:rsidRDefault="001A3C34" w:rsidP="001A3C34">
      <w:pPr>
        <w:pStyle w:val="ListParagraph"/>
        <w:spacing w:after="0" w:line="360" w:lineRule="auto"/>
        <w:ind w:left="851"/>
        <w:jc w:val="both"/>
        <w:rPr>
          <w:rFonts w:ascii="Arial" w:hAnsi="Arial" w:cs="Arial"/>
        </w:rPr>
      </w:pPr>
      <w:r w:rsidRPr="00427B79">
        <w:rPr>
          <w:rFonts w:ascii="Arial" w:hAnsi="Arial" w:cs="Arial"/>
        </w:rPr>
        <w:t>“</w:t>
      </w:r>
      <w:r w:rsidRPr="007C7BCC">
        <w:rPr>
          <w:rFonts w:ascii="Arial" w:hAnsi="Arial" w:cs="Arial"/>
          <w:i/>
          <w:iCs/>
        </w:rPr>
        <w:t xml:space="preserve">the law contemplates that </w:t>
      </w:r>
      <w:r w:rsidRPr="007C7BCC">
        <w:rPr>
          <w:rFonts w:ascii="Arial" w:hAnsi="Arial" w:cs="Arial"/>
        </w:rPr>
        <w:t>[the Judge]</w:t>
      </w:r>
      <w:r w:rsidRPr="007C7BCC">
        <w:rPr>
          <w:rFonts w:ascii="Arial" w:hAnsi="Arial" w:cs="Arial"/>
          <w:i/>
          <w:iCs/>
        </w:rPr>
        <w:t xml:space="preserve"> should take into consideration the circumstances of each case, carefully weighing the various issues in the case, the conduct of the parties and any other circumstance which may have a bearing upon the question of costs, and then make such order as to costs as would be fair and just between the parties</w:t>
      </w:r>
      <w:r w:rsidRPr="00427B79">
        <w:rPr>
          <w:rFonts w:ascii="Arial" w:hAnsi="Arial" w:cs="Arial"/>
        </w:rPr>
        <w:t>.”</w:t>
      </w:r>
    </w:p>
    <w:p w14:paraId="7BC1E7DB" w14:textId="77777777" w:rsidR="001A3C34" w:rsidRPr="00427B79" w:rsidRDefault="001A3C34" w:rsidP="001A3C34">
      <w:pPr>
        <w:pStyle w:val="ListParagraph"/>
        <w:spacing w:after="0" w:line="480" w:lineRule="auto"/>
        <w:rPr>
          <w:rFonts w:ascii="Arial" w:hAnsi="Arial" w:cs="Arial"/>
          <w:sz w:val="24"/>
          <w:szCs w:val="24"/>
        </w:rPr>
      </w:pPr>
    </w:p>
    <w:p w14:paraId="58E8C214" w14:textId="77777777" w:rsidR="001A3C34" w:rsidRDefault="001A3C34" w:rsidP="001A3C34">
      <w:pPr>
        <w:pStyle w:val="ListParagraph"/>
        <w:numPr>
          <w:ilvl w:val="0"/>
          <w:numId w:val="1"/>
        </w:numPr>
        <w:spacing w:after="0" w:line="480" w:lineRule="auto"/>
        <w:ind w:left="851" w:hanging="851"/>
        <w:jc w:val="both"/>
        <w:rPr>
          <w:rFonts w:ascii="Arial" w:hAnsi="Arial" w:cs="Arial"/>
          <w:sz w:val="24"/>
          <w:szCs w:val="24"/>
        </w:rPr>
      </w:pPr>
      <w:r w:rsidRPr="00C72A93">
        <w:rPr>
          <w:rFonts w:ascii="Arial" w:hAnsi="Arial" w:cs="Arial"/>
          <w:sz w:val="24"/>
          <w:szCs w:val="24"/>
        </w:rPr>
        <w:t xml:space="preserve">In </w:t>
      </w:r>
      <w:r w:rsidRPr="00C72A93">
        <w:rPr>
          <w:rFonts w:ascii="Arial" w:hAnsi="Arial" w:cs="Arial"/>
          <w:i/>
          <w:iCs/>
          <w:sz w:val="24"/>
          <w:szCs w:val="24"/>
        </w:rPr>
        <w:t>Plastic Converters Association of South Africa</w:t>
      </w:r>
      <w:r>
        <w:rPr>
          <w:rFonts w:ascii="Arial" w:hAnsi="Arial" w:cs="Arial"/>
          <w:i/>
          <w:iCs/>
          <w:sz w:val="24"/>
          <w:szCs w:val="24"/>
        </w:rPr>
        <w:t xml:space="preserve"> on behalf of members v National Union of Metalworkers of SA</w:t>
      </w:r>
      <w:r w:rsidRPr="00C72A93">
        <w:rPr>
          <w:rFonts w:ascii="Arial" w:hAnsi="Arial" w:cs="Arial"/>
          <w:sz w:val="24"/>
          <w:szCs w:val="24"/>
        </w:rPr>
        <w:t>,</w:t>
      </w:r>
      <w:r>
        <w:rPr>
          <w:rStyle w:val="FootnoteReference"/>
          <w:rFonts w:ascii="Arial" w:hAnsi="Arial" w:cs="Arial"/>
          <w:sz w:val="24"/>
          <w:szCs w:val="24"/>
        </w:rPr>
        <w:footnoteReference w:id="12"/>
      </w:r>
      <w:r>
        <w:rPr>
          <w:rFonts w:ascii="Arial" w:hAnsi="Arial" w:cs="Arial"/>
          <w:sz w:val="24"/>
          <w:szCs w:val="24"/>
        </w:rPr>
        <w:t xml:space="preserve"> which</w:t>
      </w:r>
      <w:r w:rsidRPr="00C72A93">
        <w:rPr>
          <w:rFonts w:ascii="Arial" w:hAnsi="Arial" w:cs="Arial"/>
          <w:sz w:val="24"/>
          <w:szCs w:val="24"/>
        </w:rPr>
        <w:t xml:space="preserve"> </w:t>
      </w:r>
      <w:r>
        <w:rPr>
          <w:rFonts w:ascii="Arial" w:hAnsi="Arial" w:cs="Arial"/>
          <w:sz w:val="24"/>
          <w:szCs w:val="24"/>
        </w:rPr>
        <w:t xml:space="preserve">was </w:t>
      </w:r>
      <w:r w:rsidRPr="00C72A93">
        <w:rPr>
          <w:rFonts w:ascii="Arial" w:hAnsi="Arial" w:cs="Arial"/>
          <w:sz w:val="24"/>
          <w:szCs w:val="24"/>
        </w:rPr>
        <w:t xml:space="preserve">cited with approval by </w:t>
      </w:r>
      <w:r>
        <w:rPr>
          <w:rFonts w:ascii="Arial" w:hAnsi="Arial" w:cs="Arial"/>
          <w:sz w:val="24"/>
          <w:szCs w:val="24"/>
        </w:rPr>
        <w:t xml:space="preserve">the </w:t>
      </w:r>
      <w:r>
        <w:rPr>
          <w:rFonts w:ascii="Arial" w:hAnsi="Arial" w:cs="Arial"/>
          <w:sz w:val="24"/>
          <w:szCs w:val="24"/>
        </w:rPr>
        <w:lastRenderedPageBreak/>
        <w:t xml:space="preserve">Constitutional Court in </w:t>
      </w:r>
      <w:r w:rsidRPr="00C72A93">
        <w:rPr>
          <w:rFonts w:ascii="Arial" w:hAnsi="Arial" w:cs="Arial"/>
          <w:i/>
          <w:iCs/>
          <w:sz w:val="24"/>
          <w:szCs w:val="24"/>
        </w:rPr>
        <w:t>Limpopo Legal Solutions</w:t>
      </w:r>
      <w:r>
        <w:rPr>
          <w:rFonts w:ascii="Arial" w:hAnsi="Arial" w:cs="Arial"/>
          <w:i/>
          <w:iCs/>
          <w:sz w:val="24"/>
          <w:szCs w:val="24"/>
        </w:rPr>
        <w:t xml:space="preserve"> v Vhembe District Municipality</w:t>
      </w:r>
      <w:r w:rsidRPr="00C72A93">
        <w:rPr>
          <w:rFonts w:ascii="Arial" w:hAnsi="Arial" w:cs="Arial"/>
          <w:sz w:val="24"/>
          <w:szCs w:val="24"/>
        </w:rPr>
        <w:t>,</w:t>
      </w:r>
      <w:r>
        <w:rPr>
          <w:rStyle w:val="FootnoteReference"/>
          <w:rFonts w:ascii="Arial" w:hAnsi="Arial" w:cs="Arial"/>
          <w:sz w:val="24"/>
          <w:szCs w:val="24"/>
        </w:rPr>
        <w:footnoteReference w:id="13"/>
      </w:r>
      <w:r w:rsidRPr="00C72A93">
        <w:rPr>
          <w:rFonts w:ascii="Arial" w:hAnsi="Arial" w:cs="Arial"/>
          <w:sz w:val="24"/>
          <w:szCs w:val="24"/>
        </w:rPr>
        <w:t xml:space="preserve"> </w:t>
      </w:r>
      <w:r>
        <w:rPr>
          <w:rFonts w:ascii="Arial" w:hAnsi="Arial" w:cs="Arial"/>
          <w:sz w:val="24"/>
          <w:szCs w:val="24"/>
        </w:rPr>
        <w:t xml:space="preserve">it was </w:t>
      </w:r>
      <w:r w:rsidRPr="00C72A93">
        <w:rPr>
          <w:rFonts w:ascii="Arial" w:hAnsi="Arial" w:cs="Arial"/>
          <w:sz w:val="24"/>
          <w:szCs w:val="24"/>
        </w:rPr>
        <w:t>held, in the context of non-constitutional matters, that</w:t>
      </w:r>
      <w:r>
        <w:rPr>
          <w:rFonts w:ascii="Arial" w:hAnsi="Arial" w:cs="Arial"/>
          <w:sz w:val="24"/>
          <w:szCs w:val="24"/>
        </w:rPr>
        <w:t xml:space="preserve">: </w:t>
      </w:r>
    </w:p>
    <w:p w14:paraId="746A6D7A" w14:textId="77777777" w:rsidR="001A3C34" w:rsidRDefault="001A3C34" w:rsidP="001A3C34">
      <w:pPr>
        <w:pStyle w:val="ListParagraph"/>
        <w:spacing w:after="0" w:line="480" w:lineRule="auto"/>
        <w:ind w:left="851"/>
        <w:jc w:val="both"/>
        <w:rPr>
          <w:rFonts w:ascii="Arial" w:hAnsi="Arial" w:cs="Arial"/>
          <w:sz w:val="24"/>
          <w:szCs w:val="24"/>
        </w:rPr>
      </w:pPr>
    </w:p>
    <w:p w14:paraId="31F6D6F5" w14:textId="77777777" w:rsidR="001A3C34" w:rsidRPr="00AD3BE0" w:rsidRDefault="001A3C34" w:rsidP="001A3C34">
      <w:pPr>
        <w:pStyle w:val="ListParagraph"/>
        <w:spacing w:after="0" w:line="360" w:lineRule="auto"/>
        <w:ind w:left="851"/>
        <w:jc w:val="both"/>
        <w:rPr>
          <w:rFonts w:ascii="Arial" w:hAnsi="Arial" w:cs="Arial"/>
          <w:i/>
          <w:iCs/>
        </w:rPr>
      </w:pPr>
      <w:r w:rsidRPr="00AD3BE0">
        <w:rPr>
          <w:rFonts w:ascii="Arial" w:hAnsi="Arial" w:cs="Arial"/>
          <w:i/>
          <w:iCs/>
        </w:rPr>
        <w:t>“[t]he scale of attorney and client is an extraordinary one which should be reserved for cases where it can be found that a litigant conducted itself in a clear and indubitably vexatious and reprehensible conduct. Such an award is exceptional and is intended to be very punitive and indicative of extreme opprobrium.</w:t>
      </w:r>
    </w:p>
    <w:p w14:paraId="3A841E71" w14:textId="77777777" w:rsidR="00F72F9F" w:rsidRDefault="00F72F9F" w:rsidP="00F72F9F">
      <w:pPr>
        <w:pStyle w:val="ListParagraph"/>
        <w:spacing w:after="0" w:line="480" w:lineRule="auto"/>
        <w:ind w:left="851"/>
        <w:jc w:val="both"/>
        <w:rPr>
          <w:rFonts w:ascii="Arial" w:hAnsi="Arial" w:cs="Arial"/>
          <w:sz w:val="24"/>
          <w:szCs w:val="24"/>
        </w:rPr>
      </w:pPr>
    </w:p>
    <w:p w14:paraId="65A155BC" w14:textId="1CB72E9E" w:rsidR="001A3C34" w:rsidRDefault="001A3C34" w:rsidP="001A3C34">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 xml:space="preserve">In </w:t>
      </w:r>
      <w:r w:rsidRPr="0098317F">
        <w:rPr>
          <w:rFonts w:ascii="Arial" w:hAnsi="Arial" w:cs="Arial"/>
          <w:i/>
          <w:iCs/>
          <w:sz w:val="24"/>
          <w:szCs w:val="24"/>
        </w:rPr>
        <w:t>Nel v Davis SC N.O.</w:t>
      </w:r>
      <w:r w:rsidRPr="0098317F">
        <w:rPr>
          <w:rStyle w:val="FootnoteReference"/>
          <w:rFonts w:ascii="Arial" w:hAnsi="Arial" w:cs="Arial"/>
          <w:sz w:val="24"/>
          <w:szCs w:val="24"/>
        </w:rPr>
        <w:footnoteReference w:id="14"/>
      </w:r>
      <w:r w:rsidRPr="0098317F">
        <w:rPr>
          <w:rFonts w:ascii="Arial" w:hAnsi="Arial" w:cs="Arial"/>
          <w:sz w:val="24"/>
          <w:szCs w:val="24"/>
        </w:rPr>
        <w:t xml:space="preserve"> </w:t>
      </w:r>
      <w:r>
        <w:rPr>
          <w:rFonts w:ascii="Arial" w:hAnsi="Arial" w:cs="Arial"/>
          <w:sz w:val="24"/>
          <w:szCs w:val="24"/>
        </w:rPr>
        <w:t>the court, in relation to attorney and client costs, held that:</w:t>
      </w:r>
    </w:p>
    <w:p w14:paraId="7962FA3D" w14:textId="77777777" w:rsidR="001A3C34" w:rsidRDefault="001A3C34" w:rsidP="001A3C34">
      <w:pPr>
        <w:pStyle w:val="ListParagraph"/>
        <w:spacing w:after="0" w:line="480" w:lineRule="auto"/>
        <w:ind w:left="851"/>
        <w:jc w:val="both"/>
        <w:rPr>
          <w:rFonts w:ascii="Arial" w:hAnsi="Arial" w:cs="Arial"/>
          <w:sz w:val="24"/>
          <w:szCs w:val="24"/>
        </w:rPr>
      </w:pPr>
    </w:p>
    <w:p w14:paraId="6526FA68" w14:textId="77777777" w:rsidR="001A3C34" w:rsidRPr="0098317F" w:rsidRDefault="001A3C34" w:rsidP="001A3C34">
      <w:pPr>
        <w:pStyle w:val="ListParagraph"/>
        <w:spacing w:after="0" w:line="360" w:lineRule="auto"/>
        <w:ind w:left="851"/>
        <w:jc w:val="both"/>
        <w:rPr>
          <w:rFonts w:ascii="Arial" w:hAnsi="Arial" w:cs="Arial"/>
          <w:sz w:val="24"/>
          <w:szCs w:val="24"/>
        </w:rPr>
      </w:pPr>
      <w:r w:rsidRPr="0098317F">
        <w:rPr>
          <w:rFonts w:ascii="Arial" w:hAnsi="Arial" w:cs="Arial"/>
          <w:sz w:val="24"/>
          <w:szCs w:val="24"/>
        </w:rPr>
        <w:t>“</w:t>
      </w:r>
      <w:r w:rsidRPr="0098317F">
        <w:rPr>
          <w:rFonts w:ascii="Arial" w:hAnsi="Arial" w:cs="Arial"/>
          <w:i/>
          <w:iCs/>
        </w:rPr>
        <w:t>A costs order on an attorney and client scale is an extra-ordinary one which should not be easily resorted to, and only when by reason of special considerations, arising either from the circumstances which gave rise to the action or from the conduct of a party, should a court in a particular case deem it just, to ensure that the other party is not out of pocket in respect of the expense caused to it by the litigation.</w:t>
      </w:r>
      <w:r w:rsidRPr="0098317F">
        <w:rPr>
          <w:rFonts w:ascii="Arial" w:hAnsi="Arial" w:cs="Arial"/>
          <w:sz w:val="24"/>
          <w:szCs w:val="24"/>
        </w:rPr>
        <w:t>”</w:t>
      </w:r>
    </w:p>
    <w:p w14:paraId="2361588D" w14:textId="77777777" w:rsidR="001A3C34" w:rsidRDefault="001A3C34" w:rsidP="001A3C34">
      <w:pPr>
        <w:pStyle w:val="ListParagraph"/>
        <w:spacing w:after="0" w:line="480" w:lineRule="auto"/>
        <w:ind w:left="851"/>
        <w:jc w:val="both"/>
        <w:rPr>
          <w:rFonts w:ascii="Arial" w:hAnsi="Arial" w:cs="Arial"/>
        </w:rPr>
      </w:pPr>
    </w:p>
    <w:p w14:paraId="688EDADC" w14:textId="77777777" w:rsidR="001A3C34" w:rsidRDefault="001A3C34" w:rsidP="001A3C34">
      <w:pPr>
        <w:pStyle w:val="ListParagraph"/>
        <w:numPr>
          <w:ilvl w:val="0"/>
          <w:numId w:val="1"/>
        </w:numPr>
        <w:spacing w:after="0" w:line="480" w:lineRule="auto"/>
        <w:ind w:left="851" w:hanging="851"/>
        <w:jc w:val="both"/>
        <w:rPr>
          <w:rFonts w:ascii="Arial" w:hAnsi="Arial" w:cs="Arial"/>
          <w:sz w:val="24"/>
          <w:szCs w:val="24"/>
        </w:rPr>
      </w:pPr>
      <w:r w:rsidRPr="00995D32">
        <w:rPr>
          <w:rFonts w:ascii="Arial" w:hAnsi="Arial" w:cs="Arial"/>
          <w:sz w:val="24"/>
          <w:szCs w:val="24"/>
        </w:rPr>
        <w:t xml:space="preserve">The learned authors, Cilliers and Loots, and Nel, of </w:t>
      </w:r>
      <w:r w:rsidRPr="00F7314D">
        <w:rPr>
          <w:rFonts w:ascii="Arial" w:hAnsi="Arial" w:cs="Arial"/>
          <w:i/>
          <w:iCs/>
          <w:sz w:val="24"/>
          <w:szCs w:val="24"/>
        </w:rPr>
        <w:t>Herbstein and Van Winsen: Civil Practice of the High Courts of South Africa,</w:t>
      </w:r>
      <w:r>
        <w:rPr>
          <w:rStyle w:val="FootnoteReference"/>
          <w:rFonts w:ascii="Arial" w:hAnsi="Arial" w:cs="Arial"/>
          <w:sz w:val="24"/>
          <w:szCs w:val="24"/>
        </w:rPr>
        <w:footnoteReference w:id="15"/>
      </w:r>
      <w:r>
        <w:rPr>
          <w:rFonts w:ascii="Arial" w:hAnsi="Arial" w:cs="Arial"/>
          <w:sz w:val="24"/>
          <w:szCs w:val="24"/>
        </w:rPr>
        <w:t xml:space="preserve"> set out, by way of example, that:</w:t>
      </w:r>
    </w:p>
    <w:p w14:paraId="4B6F0842" w14:textId="77777777" w:rsidR="001A3C34" w:rsidRDefault="001A3C34" w:rsidP="001A3C34">
      <w:pPr>
        <w:pStyle w:val="ListParagraph"/>
        <w:spacing w:after="0" w:line="480" w:lineRule="auto"/>
        <w:ind w:left="851"/>
        <w:jc w:val="both"/>
        <w:rPr>
          <w:rFonts w:ascii="Arial" w:hAnsi="Arial" w:cs="Arial"/>
          <w:sz w:val="24"/>
          <w:szCs w:val="24"/>
        </w:rPr>
      </w:pPr>
    </w:p>
    <w:p w14:paraId="7D9C99C0" w14:textId="77777777" w:rsidR="001A3C34" w:rsidRDefault="001A3C34" w:rsidP="001A3C34">
      <w:pPr>
        <w:pStyle w:val="ListParagraph"/>
        <w:spacing w:after="0" w:line="360" w:lineRule="auto"/>
        <w:ind w:left="851"/>
        <w:jc w:val="both"/>
        <w:rPr>
          <w:rFonts w:ascii="Arial" w:hAnsi="Arial" w:cs="Arial"/>
          <w:sz w:val="24"/>
          <w:szCs w:val="24"/>
        </w:rPr>
      </w:pPr>
      <w:r>
        <w:rPr>
          <w:rFonts w:ascii="Arial" w:hAnsi="Arial" w:cs="Arial"/>
          <w:sz w:val="24"/>
          <w:szCs w:val="24"/>
        </w:rPr>
        <w:t>“</w:t>
      </w:r>
      <w:r w:rsidRPr="00995D32">
        <w:rPr>
          <w:rFonts w:ascii="Arial" w:hAnsi="Arial" w:cs="Arial"/>
          <w:i/>
          <w:iCs/>
        </w:rPr>
        <w:t>Attorney-and-client costs may be awarded on the grounds of an abuse of the process of court; vexatious, unscrupulous, dilatory, or mendacious conduct on the part of the unsuccessful litigant;… reprehensible or blameworthy conduct; an attitude towards the court that is deplorable and high</w:t>
      </w:r>
      <w:r>
        <w:rPr>
          <w:rFonts w:ascii="Arial" w:hAnsi="Arial" w:cs="Arial"/>
          <w:i/>
          <w:iCs/>
        </w:rPr>
        <w:t>l</w:t>
      </w:r>
      <w:r w:rsidRPr="00995D32">
        <w:rPr>
          <w:rFonts w:ascii="Arial" w:hAnsi="Arial" w:cs="Arial"/>
          <w:i/>
          <w:iCs/>
        </w:rPr>
        <w:t xml:space="preserve">y contemptuous of the court; conduct that smacks of petulance, and that is vexatious and an abuse of the process of the </w:t>
      </w:r>
      <w:r w:rsidRPr="00995D32">
        <w:rPr>
          <w:rFonts w:ascii="Arial" w:hAnsi="Arial" w:cs="Arial"/>
          <w:i/>
          <w:iCs/>
        </w:rPr>
        <w:lastRenderedPageBreak/>
        <w:t>court;… as a mark of the court’s disapproval of some conduct that should be frowned upon…</w:t>
      </w:r>
      <w:r>
        <w:rPr>
          <w:rFonts w:ascii="Arial" w:hAnsi="Arial" w:cs="Arial"/>
          <w:sz w:val="24"/>
          <w:szCs w:val="24"/>
        </w:rPr>
        <w:t>”</w:t>
      </w:r>
    </w:p>
    <w:p w14:paraId="32FE5F66" w14:textId="77777777" w:rsidR="001A3C34" w:rsidRPr="001A3C34" w:rsidRDefault="001A3C34" w:rsidP="001A3C34">
      <w:pPr>
        <w:pStyle w:val="ListParagraph"/>
        <w:spacing w:after="0" w:line="480" w:lineRule="auto"/>
        <w:rPr>
          <w:rFonts w:ascii="Arial" w:hAnsi="Arial" w:cs="Arial"/>
          <w:sz w:val="24"/>
          <w:szCs w:val="24"/>
        </w:rPr>
      </w:pPr>
    </w:p>
    <w:p w14:paraId="21AC3602" w14:textId="22571A9E" w:rsidR="0048423C" w:rsidRDefault="001A3C34" w:rsidP="001A3C34">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 xml:space="preserve">Turning to the facts at hand, </w:t>
      </w:r>
      <w:r w:rsidR="00F72F9F">
        <w:rPr>
          <w:rFonts w:ascii="Arial" w:hAnsi="Arial" w:cs="Arial"/>
          <w:sz w:val="24"/>
          <w:szCs w:val="24"/>
        </w:rPr>
        <w:t>the only</w:t>
      </w:r>
      <w:r w:rsidR="00AB7E6A">
        <w:rPr>
          <w:rFonts w:ascii="Arial" w:hAnsi="Arial" w:cs="Arial"/>
          <w:sz w:val="24"/>
          <w:szCs w:val="24"/>
        </w:rPr>
        <w:t xml:space="preserve"> </w:t>
      </w:r>
      <w:r w:rsidR="00EA60AA">
        <w:rPr>
          <w:rFonts w:ascii="Arial" w:hAnsi="Arial" w:cs="Arial"/>
          <w:sz w:val="24"/>
          <w:szCs w:val="24"/>
        </w:rPr>
        <w:t>e</w:t>
      </w:r>
      <w:r w:rsidR="00AB7E6A">
        <w:rPr>
          <w:rFonts w:ascii="Arial" w:hAnsi="Arial" w:cs="Arial"/>
          <w:sz w:val="24"/>
          <w:szCs w:val="24"/>
        </w:rPr>
        <w:t xml:space="preserve">xplanation </w:t>
      </w:r>
      <w:r w:rsidR="0053469F">
        <w:rPr>
          <w:rFonts w:ascii="Arial" w:hAnsi="Arial" w:cs="Arial"/>
          <w:sz w:val="24"/>
          <w:szCs w:val="24"/>
        </w:rPr>
        <w:t>before this court</w:t>
      </w:r>
      <w:r w:rsidR="00F72F9F">
        <w:rPr>
          <w:rFonts w:ascii="Arial" w:hAnsi="Arial" w:cs="Arial"/>
          <w:sz w:val="24"/>
          <w:szCs w:val="24"/>
        </w:rPr>
        <w:t>,</w:t>
      </w:r>
      <w:r w:rsidR="0053469F">
        <w:rPr>
          <w:rFonts w:ascii="Arial" w:hAnsi="Arial" w:cs="Arial"/>
          <w:sz w:val="24"/>
          <w:szCs w:val="24"/>
        </w:rPr>
        <w:t xml:space="preserve"> </w:t>
      </w:r>
      <w:r w:rsidR="00EB7F57">
        <w:rPr>
          <w:rFonts w:ascii="Arial" w:hAnsi="Arial" w:cs="Arial"/>
          <w:sz w:val="24"/>
          <w:szCs w:val="24"/>
        </w:rPr>
        <w:t>is a</w:t>
      </w:r>
      <w:r w:rsidR="00B44642">
        <w:rPr>
          <w:rFonts w:ascii="Arial" w:hAnsi="Arial" w:cs="Arial"/>
          <w:sz w:val="24"/>
          <w:szCs w:val="24"/>
        </w:rPr>
        <w:t xml:space="preserve"> narration of events</w:t>
      </w:r>
      <w:r w:rsidR="00EB7F57">
        <w:rPr>
          <w:rFonts w:ascii="Arial" w:hAnsi="Arial" w:cs="Arial"/>
          <w:sz w:val="24"/>
          <w:szCs w:val="24"/>
        </w:rPr>
        <w:t xml:space="preserve"> as from </w:t>
      </w:r>
      <w:r w:rsidR="00EA60AA">
        <w:rPr>
          <w:rFonts w:ascii="Arial" w:hAnsi="Arial" w:cs="Arial"/>
          <w:sz w:val="24"/>
          <w:szCs w:val="24"/>
        </w:rPr>
        <w:t>9 June 2022</w:t>
      </w:r>
      <w:r w:rsidR="00F72F9F">
        <w:rPr>
          <w:rFonts w:ascii="Arial" w:hAnsi="Arial" w:cs="Arial"/>
          <w:sz w:val="24"/>
          <w:szCs w:val="24"/>
        </w:rPr>
        <w:t>, as set out by the applicants’ attorney of record</w:t>
      </w:r>
      <w:r w:rsidR="00EA60AA">
        <w:rPr>
          <w:rFonts w:ascii="Arial" w:hAnsi="Arial" w:cs="Arial"/>
          <w:sz w:val="24"/>
          <w:szCs w:val="24"/>
        </w:rPr>
        <w:t>.</w:t>
      </w:r>
      <w:r w:rsidR="0048423C">
        <w:rPr>
          <w:rFonts w:ascii="Arial" w:hAnsi="Arial" w:cs="Arial"/>
          <w:sz w:val="24"/>
          <w:szCs w:val="24"/>
        </w:rPr>
        <w:t xml:space="preserve">  The relevant portions of the affidavit read as follows:</w:t>
      </w:r>
    </w:p>
    <w:p w14:paraId="69D27F5E" w14:textId="77777777" w:rsidR="00095D14" w:rsidRPr="00095D14" w:rsidRDefault="00095D14" w:rsidP="000B6A7F">
      <w:pPr>
        <w:pStyle w:val="ListParagraph"/>
        <w:spacing w:after="0" w:line="480" w:lineRule="auto"/>
        <w:rPr>
          <w:rFonts w:ascii="Arial" w:hAnsi="Arial" w:cs="Arial"/>
          <w:sz w:val="24"/>
          <w:szCs w:val="24"/>
        </w:rPr>
      </w:pPr>
    </w:p>
    <w:p w14:paraId="65EA6704" w14:textId="21FB4B87" w:rsidR="0048423C" w:rsidRPr="00981631" w:rsidRDefault="0048423C" w:rsidP="00981631">
      <w:pPr>
        <w:pStyle w:val="ListParagraph"/>
        <w:spacing w:after="0" w:line="360" w:lineRule="auto"/>
        <w:ind w:left="1436" w:hanging="585"/>
        <w:jc w:val="both"/>
        <w:rPr>
          <w:rFonts w:ascii="Arial" w:hAnsi="Arial" w:cs="Arial"/>
          <w:i/>
          <w:iCs/>
        </w:rPr>
      </w:pPr>
      <w:r w:rsidRPr="00981631">
        <w:rPr>
          <w:rFonts w:ascii="Arial" w:hAnsi="Arial" w:cs="Arial"/>
        </w:rPr>
        <w:t>“</w:t>
      </w:r>
      <w:r w:rsidRPr="00981631">
        <w:rPr>
          <w:rFonts w:ascii="Arial" w:hAnsi="Arial" w:cs="Arial"/>
          <w:i/>
          <w:iCs/>
        </w:rPr>
        <w:t>3.</w:t>
      </w:r>
      <w:r w:rsidRPr="00981631">
        <w:rPr>
          <w:rFonts w:ascii="Arial" w:hAnsi="Arial" w:cs="Arial"/>
          <w:i/>
          <w:iCs/>
        </w:rPr>
        <w:tab/>
        <w:t>On 9 June 2022 I was approach (sic) by the Applicants to represent them on the mat</w:t>
      </w:r>
      <w:r w:rsidR="00981631" w:rsidRPr="00981631">
        <w:rPr>
          <w:rFonts w:ascii="Arial" w:hAnsi="Arial" w:cs="Arial"/>
          <w:i/>
          <w:iCs/>
        </w:rPr>
        <w:t>t</w:t>
      </w:r>
      <w:r w:rsidRPr="00981631">
        <w:rPr>
          <w:rFonts w:ascii="Arial" w:hAnsi="Arial" w:cs="Arial"/>
          <w:i/>
          <w:iCs/>
        </w:rPr>
        <w:t>er as their previous attorney withdrew.  I took instructions and requested the Applicants to collect all the relevant documents relating to the matter so that I can peruse before a preparatory consultation.</w:t>
      </w:r>
    </w:p>
    <w:p w14:paraId="62677C99" w14:textId="77777777" w:rsidR="00EB7F57" w:rsidRDefault="00EB7F57" w:rsidP="00981631">
      <w:pPr>
        <w:pStyle w:val="ListParagraph"/>
        <w:spacing w:after="0" w:line="360" w:lineRule="auto"/>
        <w:ind w:left="1436" w:hanging="585"/>
        <w:jc w:val="both"/>
        <w:rPr>
          <w:rFonts w:ascii="Arial" w:hAnsi="Arial" w:cs="Arial"/>
          <w:i/>
          <w:iCs/>
        </w:rPr>
      </w:pPr>
    </w:p>
    <w:p w14:paraId="5E3625F9" w14:textId="25C71B1A" w:rsidR="0048423C" w:rsidRPr="00981631" w:rsidRDefault="0048423C" w:rsidP="00981631">
      <w:pPr>
        <w:pStyle w:val="ListParagraph"/>
        <w:spacing w:after="0" w:line="360" w:lineRule="auto"/>
        <w:ind w:left="1436" w:hanging="585"/>
        <w:jc w:val="both"/>
        <w:rPr>
          <w:rFonts w:ascii="Arial" w:hAnsi="Arial" w:cs="Arial"/>
          <w:i/>
          <w:iCs/>
        </w:rPr>
      </w:pPr>
      <w:r w:rsidRPr="00981631">
        <w:rPr>
          <w:rFonts w:ascii="Arial" w:hAnsi="Arial" w:cs="Arial"/>
          <w:i/>
          <w:iCs/>
        </w:rPr>
        <w:t>4.</w:t>
      </w:r>
      <w:r w:rsidRPr="00981631">
        <w:rPr>
          <w:rFonts w:ascii="Arial" w:hAnsi="Arial" w:cs="Arial"/>
          <w:i/>
          <w:iCs/>
        </w:rPr>
        <w:tab/>
        <w:t>On or about 4 July 2022 I received the documents from the Applicants but could not consult with them due to the fact that some of the Applicants opted to seek legal services elsewhere and there was a division amongst themselves.</w:t>
      </w:r>
    </w:p>
    <w:p w14:paraId="5B82CBB0" w14:textId="43CD13FA" w:rsidR="0048423C" w:rsidRPr="00981631" w:rsidRDefault="0048423C" w:rsidP="00981631">
      <w:pPr>
        <w:pStyle w:val="ListParagraph"/>
        <w:spacing w:after="0" w:line="360" w:lineRule="auto"/>
        <w:ind w:left="851"/>
        <w:jc w:val="both"/>
        <w:rPr>
          <w:rFonts w:ascii="Arial" w:hAnsi="Arial" w:cs="Arial"/>
          <w:i/>
          <w:iCs/>
        </w:rPr>
      </w:pPr>
    </w:p>
    <w:p w14:paraId="2D842D05" w14:textId="02B5247C" w:rsidR="0048423C" w:rsidRPr="00981631" w:rsidRDefault="0048423C" w:rsidP="00981631">
      <w:pPr>
        <w:pStyle w:val="ListParagraph"/>
        <w:spacing w:after="0" w:line="360" w:lineRule="auto"/>
        <w:ind w:left="1436" w:hanging="585"/>
        <w:jc w:val="both"/>
        <w:rPr>
          <w:rFonts w:ascii="Arial" w:hAnsi="Arial" w:cs="Arial"/>
          <w:i/>
          <w:iCs/>
        </w:rPr>
      </w:pPr>
      <w:r w:rsidRPr="00981631">
        <w:rPr>
          <w:rFonts w:ascii="Arial" w:hAnsi="Arial" w:cs="Arial"/>
          <w:i/>
          <w:iCs/>
        </w:rPr>
        <w:t xml:space="preserve">5. </w:t>
      </w:r>
      <w:r w:rsidRPr="00981631">
        <w:rPr>
          <w:rFonts w:ascii="Arial" w:hAnsi="Arial" w:cs="Arial"/>
          <w:i/>
          <w:iCs/>
        </w:rPr>
        <w:tab/>
        <w:t>On 6 July 2022 while reading the papers I realised that I do not have adequate time to prepare due to the fact that I needed to apply my mind properly on the papers and then consult with each and every one of the applicants that I am representing.</w:t>
      </w:r>
    </w:p>
    <w:p w14:paraId="0B7E2DF1" w14:textId="77777777" w:rsidR="0048423C" w:rsidRPr="00981631" w:rsidRDefault="0048423C" w:rsidP="00981631">
      <w:pPr>
        <w:pStyle w:val="ListParagraph"/>
        <w:spacing w:after="0" w:line="360" w:lineRule="auto"/>
        <w:ind w:left="851"/>
        <w:jc w:val="both"/>
        <w:rPr>
          <w:rFonts w:ascii="Arial" w:hAnsi="Arial" w:cs="Arial"/>
          <w:i/>
          <w:iCs/>
        </w:rPr>
      </w:pPr>
    </w:p>
    <w:p w14:paraId="6FD56DF4" w14:textId="408D3C94" w:rsidR="00EA60AA" w:rsidRPr="00981631" w:rsidRDefault="0048423C" w:rsidP="00981631">
      <w:pPr>
        <w:pStyle w:val="ListParagraph"/>
        <w:spacing w:after="0" w:line="360" w:lineRule="auto"/>
        <w:ind w:left="1436" w:hanging="525"/>
        <w:jc w:val="both"/>
        <w:rPr>
          <w:rFonts w:ascii="Arial" w:hAnsi="Arial" w:cs="Arial"/>
          <w:i/>
          <w:iCs/>
        </w:rPr>
      </w:pPr>
      <w:r w:rsidRPr="00981631">
        <w:rPr>
          <w:rFonts w:ascii="Arial" w:hAnsi="Arial" w:cs="Arial"/>
          <w:i/>
          <w:iCs/>
        </w:rPr>
        <w:t>6.</w:t>
      </w:r>
      <w:r w:rsidRPr="00981631">
        <w:rPr>
          <w:rFonts w:ascii="Arial" w:hAnsi="Arial" w:cs="Arial"/>
          <w:i/>
          <w:iCs/>
        </w:rPr>
        <w:tab/>
        <w:t>On 18 July 2022, I met with the Applicants save for the 4</w:t>
      </w:r>
      <w:r w:rsidRPr="00981631">
        <w:rPr>
          <w:rFonts w:ascii="Arial" w:hAnsi="Arial" w:cs="Arial"/>
          <w:i/>
          <w:iCs/>
          <w:vertAlign w:val="superscript"/>
        </w:rPr>
        <w:t>th</w:t>
      </w:r>
      <w:r w:rsidRPr="00981631">
        <w:rPr>
          <w:rFonts w:ascii="Arial" w:hAnsi="Arial" w:cs="Arial"/>
          <w:i/>
          <w:iCs/>
        </w:rPr>
        <w:t xml:space="preserve"> Applicant who was not present and they formally instructed me in this matter, I then contacted the legal team of the 1</w:t>
      </w:r>
      <w:r w:rsidRPr="00981631">
        <w:rPr>
          <w:rFonts w:ascii="Arial" w:hAnsi="Arial" w:cs="Arial"/>
          <w:i/>
          <w:iCs/>
          <w:vertAlign w:val="superscript"/>
        </w:rPr>
        <w:t>st</w:t>
      </w:r>
      <w:r w:rsidRPr="00981631">
        <w:rPr>
          <w:rFonts w:ascii="Arial" w:hAnsi="Arial" w:cs="Arial"/>
          <w:i/>
          <w:iCs/>
        </w:rPr>
        <w:t xml:space="preserve"> Respondent to seek a postponement </w:t>
      </w:r>
      <w:r w:rsidR="00981631" w:rsidRPr="00981631">
        <w:rPr>
          <w:rFonts w:ascii="Arial" w:hAnsi="Arial" w:cs="Arial"/>
          <w:i/>
          <w:iCs/>
        </w:rPr>
        <w:t>by agreement.  The clients were prepared to tender costs as the court procedure states that who seeks postponement (sic) bears the costs, however we could not reach such agreement.</w:t>
      </w:r>
    </w:p>
    <w:p w14:paraId="0F3F1F61" w14:textId="03A3942C" w:rsidR="00981631" w:rsidRPr="00981631" w:rsidRDefault="00981631" w:rsidP="00981631">
      <w:pPr>
        <w:pStyle w:val="ListParagraph"/>
        <w:spacing w:after="0" w:line="360" w:lineRule="auto"/>
        <w:ind w:left="851"/>
        <w:jc w:val="both"/>
        <w:rPr>
          <w:rFonts w:ascii="Arial" w:hAnsi="Arial" w:cs="Arial"/>
          <w:i/>
          <w:iCs/>
        </w:rPr>
      </w:pPr>
    </w:p>
    <w:p w14:paraId="356693A7" w14:textId="67EC9206" w:rsidR="00981631" w:rsidRPr="00981631" w:rsidRDefault="00981631" w:rsidP="00981631">
      <w:pPr>
        <w:pStyle w:val="ListParagraph"/>
        <w:spacing w:after="0" w:line="360" w:lineRule="auto"/>
        <w:ind w:left="1436" w:hanging="585"/>
        <w:jc w:val="both"/>
        <w:rPr>
          <w:rFonts w:ascii="Arial" w:hAnsi="Arial" w:cs="Arial"/>
          <w:i/>
          <w:iCs/>
        </w:rPr>
      </w:pPr>
      <w:r w:rsidRPr="00981631">
        <w:rPr>
          <w:rFonts w:ascii="Arial" w:hAnsi="Arial" w:cs="Arial"/>
          <w:i/>
          <w:iCs/>
        </w:rPr>
        <w:t>7.</w:t>
      </w:r>
      <w:r w:rsidRPr="00981631">
        <w:rPr>
          <w:rFonts w:ascii="Arial" w:hAnsi="Arial" w:cs="Arial"/>
          <w:i/>
          <w:iCs/>
        </w:rPr>
        <w:tab/>
        <w:t>On 21 July 2022 I file</w:t>
      </w:r>
      <w:r w:rsidR="00722B66">
        <w:rPr>
          <w:rFonts w:ascii="Arial" w:hAnsi="Arial" w:cs="Arial"/>
          <w:i/>
          <w:iCs/>
        </w:rPr>
        <w:t>d</w:t>
      </w:r>
      <w:r w:rsidRPr="00981631">
        <w:rPr>
          <w:rFonts w:ascii="Arial" w:hAnsi="Arial" w:cs="Arial"/>
          <w:i/>
          <w:iCs/>
        </w:rPr>
        <w:t xml:space="preserve"> and serve (sic) notice of acting.  I also required the services of a Counsel, however I have not furnished him with the papers of this matter.</w:t>
      </w:r>
    </w:p>
    <w:p w14:paraId="698F964A" w14:textId="77777777" w:rsidR="00981631" w:rsidRPr="00981631" w:rsidRDefault="00981631" w:rsidP="00981631">
      <w:pPr>
        <w:pStyle w:val="ListParagraph"/>
        <w:spacing w:after="0" w:line="360" w:lineRule="auto"/>
        <w:ind w:left="851"/>
        <w:jc w:val="both"/>
        <w:rPr>
          <w:rFonts w:ascii="Arial" w:hAnsi="Arial" w:cs="Arial"/>
          <w:i/>
          <w:iCs/>
        </w:rPr>
      </w:pPr>
    </w:p>
    <w:p w14:paraId="35781DD9" w14:textId="07406531" w:rsidR="00981631" w:rsidRDefault="00981631" w:rsidP="00981631">
      <w:pPr>
        <w:pStyle w:val="ListParagraph"/>
        <w:spacing w:after="0" w:line="360" w:lineRule="auto"/>
        <w:ind w:left="1436" w:hanging="585"/>
        <w:jc w:val="both"/>
        <w:rPr>
          <w:rFonts w:ascii="Arial" w:hAnsi="Arial" w:cs="Arial"/>
          <w:sz w:val="24"/>
          <w:szCs w:val="24"/>
        </w:rPr>
      </w:pPr>
      <w:r w:rsidRPr="00981631">
        <w:rPr>
          <w:rFonts w:ascii="Arial" w:hAnsi="Arial" w:cs="Arial"/>
          <w:i/>
          <w:iCs/>
        </w:rPr>
        <w:t>9.</w:t>
      </w:r>
      <w:r w:rsidRPr="00981631">
        <w:rPr>
          <w:rFonts w:ascii="Arial" w:hAnsi="Arial" w:cs="Arial"/>
          <w:i/>
          <w:iCs/>
        </w:rPr>
        <w:tab/>
        <w:t xml:space="preserve">I seek a postponement in order to consult with all the Applicants in order to consult with a Counsel.  The Respondent will not suffer any prejudice by the </w:t>
      </w:r>
      <w:r w:rsidRPr="00981631">
        <w:rPr>
          <w:rFonts w:ascii="Arial" w:hAnsi="Arial" w:cs="Arial"/>
          <w:i/>
          <w:iCs/>
        </w:rPr>
        <w:lastRenderedPageBreak/>
        <w:t>postponement, however the Applicant’s will be prejudice (sic) and this court ought to balance the suffering that will be caused if the Applicant’s (sic) case is not heard.</w:t>
      </w:r>
      <w:r>
        <w:rPr>
          <w:rFonts w:ascii="Arial" w:hAnsi="Arial" w:cs="Arial"/>
          <w:sz w:val="24"/>
          <w:szCs w:val="24"/>
        </w:rPr>
        <w:t>”</w:t>
      </w:r>
    </w:p>
    <w:p w14:paraId="69E81DDA" w14:textId="77777777" w:rsidR="00EA60AA" w:rsidRPr="00EA60AA" w:rsidRDefault="00EA60AA" w:rsidP="00981631">
      <w:pPr>
        <w:pStyle w:val="ListParagraph"/>
        <w:spacing w:after="0" w:line="480" w:lineRule="auto"/>
        <w:rPr>
          <w:rFonts w:ascii="Arial" w:hAnsi="Arial" w:cs="Arial"/>
          <w:sz w:val="24"/>
          <w:szCs w:val="24"/>
        </w:rPr>
      </w:pPr>
    </w:p>
    <w:p w14:paraId="781CE01B" w14:textId="5DEF91FA" w:rsidR="00156AF9" w:rsidRDefault="00156AF9" w:rsidP="00095D14">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Given that the applicants’ attorney of record consulted with the applicants</w:t>
      </w:r>
      <w:r>
        <w:rPr>
          <w:rStyle w:val="FootnoteReference"/>
          <w:rFonts w:ascii="Arial" w:hAnsi="Arial" w:cs="Arial"/>
          <w:sz w:val="24"/>
          <w:szCs w:val="24"/>
        </w:rPr>
        <w:footnoteReference w:id="16"/>
      </w:r>
      <w:r>
        <w:rPr>
          <w:rFonts w:ascii="Arial" w:hAnsi="Arial" w:cs="Arial"/>
          <w:sz w:val="24"/>
          <w:szCs w:val="24"/>
        </w:rPr>
        <w:t xml:space="preserve"> on 18 July 2022, I </w:t>
      </w:r>
      <w:r w:rsidR="009550BE">
        <w:rPr>
          <w:rFonts w:ascii="Arial" w:hAnsi="Arial" w:cs="Arial"/>
          <w:sz w:val="24"/>
          <w:szCs w:val="24"/>
        </w:rPr>
        <w:t>fail to</w:t>
      </w:r>
      <w:r>
        <w:rPr>
          <w:rFonts w:ascii="Arial" w:hAnsi="Arial" w:cs="Arial"/>
          <w:sz w:val="24"/>
          <w:szCs w:val="24"/>
        </w:rPr>
        <w:t xml:space="preserve"> understand the need for a further consultation as contended for in paragraph 9 of the affidavit</w:t>
      </w:r>
      <w:r w:rsidR="002530A8">
        <w:rPr>
          <w:rFonts w:ascii="Arial" w:hAnsi="Arial" w:cs="Arial"/>
          <w:sz w:val="24"/>
          <w:szCs w:val="24"/>
        </w:rPr>
        <w:t xml:space="preserve"> (nor is such need explained).  This is p</w:t>
      </w:r>
      <w:r>
        <w:rPr>
          <w:rFonts w:ascii="Arial" w:hAnsi="Arial" w:cs="Arial"/>
          <w:sz w:val="24"/>
          <w:szCs w:val="24"/>
        </w:rPr>
        <w:t>articularly</w:t>
      </w:r>
      <w:r w:rsidR="002530A8">
        <w:rPr>
          <w:rFonts w:ascii="Arial" w:hAnsi="Arial" w:cs="Arial"/>
          <w:sz w:val="24"/>
          <w:szCs w:val="24"/>
        </w:rPr>
        <w:t xml:space="preserve"> so</w:t>
      </w:r>
      <w:r>
        <w:rPr>
          <w:rFonts w:ascii="Arial" w:hAnsi="Arial" w:cs="Arial"/>
          <w:sz w:val="24"/>
          <w:szCs w:val="24"/>
        </w:rPr>
        <w:t xml:space="preserve"> in circumstances in which</w:t>
      </w:r>
      <w:r w:rsidR="002530A8">
        <w:rPr>
          <w:rFonts w:ascii="Arial" w:hAnsi="Arial" w:cs="Arial"/>
          <w:sz w:val="24"/>
          <w:szCs w:val="24"/>
        </w:rPr>
        <w:t xml:space="preserve"> the proverbial d</w:t>
      </w:r>
      <w:r w:rsidR="00802BCA">
        <w:rPr>
          <w:rFonts w:ascii="Arial" w:hAnsi="Arial" w:cs="Arial"/>
          <w:sz w:val="24"/>
          <w:szCs w:val="24"/>
        </w:rPr>
        <w:t>i</w:t>
      </w:r>
      <w:r w:rsidR="002530A8">
        <w:rPr>
          <w:rFonts w:ascii="Arial" w:hAnsi="Arial" w:cs="Arial"/>
          <w:sz w:val="24"/>
          <w:szCs w:val="24"/>
        </w:rPr>
        <w:t>e has been cast in that</w:t>
      </w:r>
      <w:r>
        <w:rPr>
          <w:rFonts w:ascii="Arial" w:hAnsi="Arial" w:cs="Arial"/>
          <w:sz w:val="24"/>
          <w:szCs w:val="24"/>
        </w:rPr>
        <w:t xml:space="preserve"> papers have already been </w:t>
      </w:r>
      <w:r w:rsidR="004D000E">
        <w:rPr>
          <w:rFonts w:ascii="Arial" w:hAnsi="Arial" w:cs="Arial"/>
          <w:sz w:val="24"/>
          <w:szCs w:val="24"/>
        </w:rPr>
        <w:t>exchanged</w:t>
      </w:r>
      <w:r w:rsidR="00C62875">
        <w:rPr>
          <w:rFonts w:ascii="Arial" w:hAnsi="Arial" w:cs="Arial"/>
          <w:sz w:val="24"/>
          <w:szCs w:val="24"/>
        </w:rPr>
        <w:t>; heads of argument have been filed</w:t>
      </w:r>
      <w:r w:rsidR="00F00D3F">
        <w:rPr>
          <w:rFonts w:ascii="Arial" w:hAnsi="Arial" w:cs="Arial"/>
          <w:sz w:val="24"/>
          <w:szCs w:val="24"/>
        </w:rPr>
        <w:t>,</w:t>
      </w:r>
      <w:r w:rsidR="00C62875">
        <w:rPr>
          <w:rFonts w:ascii="Arial" w:hAnsi="Arial" w:cs="Arial"/>
          <w:sz w:val="24"/>
          <w:szCs w:val="24"/>
        </w:rPr>
        <w:t xml:space="preserve"> in accordance with the Rules of Court;</w:t>
      </w:r>
      <w:r>
        <w:rPr>
          <w:rFonts w:ascii="Arial" w:hAnsi="Arial" w:cs="Arial"/>
          <w:sz w:val="24"/>
          <w:szCs w:val="24"/>
        </w:rPr>
        <w:t xml:space="preserve"> and the matter is ripe for hearing.</w:t>
      </w:r>
    </w:p>
    <w:p w14:paraId="0EBBE7A1" w14:textId="77777777" w:rsidR="00F9702B" w:rsidRDefault="00F9702B" w:rsidP="00F9702B">
      <w:pPr>
        <w:pStyle w:val="ListParagraph"/>
        <w:spacing w:after="0" w:line="480" w:lineRule="auto"/>
        <w:ind w:left="851"/>
        <w:jc w:val="both"/>
        <w:rPr>
          <w:rFonts w:ascii="Arial" w:hAnsi="Arial" w:cs="Arial"/>
          <w:sz w:val="24"/>
          <w:szCs w:val="24"/>
        </w:rPr>
      </w:pPr>
    </w:p>
    <w:p w14:paraId="01B72E02" w14:textId="7AA7B446" w:rsidR="00C62875" w:rsidRDefault="00156AF9" w:rsidP="00095D14">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In essence</w:t>
      </w:r>
      <w:r w:rsidR="00C62875">
        <w:rPr>
          <w:rFonts w:ascii="Arial" w:hAnsi="Arial" w:cs="Arial"/>
          <w:sz w:val="24"/>
          <w:szCs w:val="24"/>
        </w:rPr>
        <w:t xml:space="preserve">, </w:t>
      </w:r>
      <w:r w:rsidR="004D000E">
        <w:rPr>
          <w:rFonts w:ascii="Arial" w:hAnsi="Arial" w:cs="Arial"/>
          <w:sz w:val="24"/>
          <w:szCs w:val="24"/>
        </w:rPr>
        <w:t>the essential basis upon which the postponement is sought</w:t>
      </w:r>
      <w:r w:rsidR="00C62875">
        <w:rPr>
          <w:rFonts w:ascii="Arial" w:hAnsi="Arial" w:cs="Arial"/>
          <w:sz w:val="24"/>
          <w:szCs w:val="24"/>
        </w:rPr>
        <w:t>, is founded upon the applicants’ inability to have prepared for argument of the matter given the late engagement of their attorney of record.</w:t>
      </w:r>
    </w:p>
    <w:p w14:paraId="436BC804" w14:textId="26F62DB3" w:rsidR="00C62875" w:rsidRDefault="00C62875" w:rsidP="00C62875">
      <w:pPr>
        <w:pStyle w:val="ListParagraph"/>
        <w:spacing w:after="0" w:line="480" w:lineRule="auto"/>
        <w:ind w:left="851"/>
        <w:jc w:val="both"/>
        <w:rPr>
          <w:rFonts w:ascii="Arial" w:hAnsi="Arial" w:cs="Arial"/>
          <w:sz w:val="24"/>
          <w:szCs w:val="24"/>
        </w:rPr>
      </w:pPr>
    </w:p>
    <w:p w14:paraId="1E25ABF8" w14:textId="2F1C7BAB" w:rsidR="00F53D6C" w:rsidRDefault="00981631" w:rsidP="00095D14">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 xml:space="preserve">Counsel appearing on behalf of the applicants was unable to </w:t>
      </w:r>
      <w:r w:rsidR="001E3C31">
        <w:rPr>
          <w:rFonts w:ascii="Arial" w:hAnsi="Arial" w:cs="Arial"/>
          <w:sz w:val="24"/>
          <w:szCs w:val="24"/>
        </w:rPr>
        <w:t xml:space="preserve">provide </w:t>
      </w:r>
      <w:r w:rsidR="00ED51A9">
        <w:rPr>
          <w:rFonts w:ascii="Arial" w:hAnsi="Arial" w:cs="Arial"/>
          <w:sz w:val="24"/>
          <w:szCs w:val="24"/>
        </w:rPr>
        <w:t xml:space="preserve">the court </w:t>
      </w:r>
      <w:r w:rsidR="00C74BE4">
        <w:rPr>
          <w:rFonts w:ascii="Arial" w:hAnsi="Arial" w:cs="Arial"/>
          <w:sz w:val="24"/>
          <w:szCs w:val="24"/>
        </w:rPr>
        <w:t xml:space="preserve">with </w:t>
      </w:r>
      <w:r w:rsidR="001E3C31">
        <w:rPr>
          <w:rFonts w:ascii="Arial" w:hAnsi="Arial" w:cs="Arial"/>
          <w:sz w:val="24"/>
          <w:szCs w:val="24"/>
        </w:rPr>
        <w:t>an explanation as to what had occurred</w:t>
      </w:r>
      <w:r w:rsidR="00ED51A9">
        <w:rPr>
          <w:rFonts w:ascii="Arial" w:hAnsi="Arial" w:cs="Arial"/>
          <w:sz w:val="24"/>
          <w:szCs w:val="24"/>
        </w:rPr>
        <w:t>, between 30 June 2021, being the date o</w:t>
      </w:r>
      <w:r w:rsidR="00C74BE4">
        <w:rPr>
          <w:rFonts w:ascii="Arial" w:hAnsi="Arial" w:cs="Arial"/>
          <w:sz w:val="24"/>
          <w:szCs w:val="24"/>
        </w:rPr>
        <w:t>n</w:t>
      </w:r>
      <w:r w:rsidR="00ED51A9">
        <w:rPr>
          <w:rFonts w:ascii="Arial" w:hAnsi="Arial" w:cs="Arial"/>
          <w:sz w:val="24"/>
          <w:szCs w:val="24"/>
        </w:rPr>
        <w:t xml:space="preserve"> which the applicants’ erstwhile attorney of record withdrew, and 9 June 2022, being the date on which the applicants approached their present legal representative.</w:t>
      </w:r>
      <w:r w:rsidR="00C74BE4">
        <w:rPr>
          <w:rFonts w:ascii="Arial" w:hAnsi="Arial" w:cs="Arial"/>
          <w:sz w:val="24"/>
          <w:szCs w:val="24"/>
        </w:rPr>
        <w:t xml:space="preserve">  </w:t>
      </w:r>
    </w:p>
    <w:p w14:paraId="73E2F312" w14:textId="77777777" w:rsidR="00F53D6C" w:rsidRDefault="00F53D6C" w:rsidP="00095D14">
      <w:pPr>
        <w:pStyle w:val="ListParagraph"/>
        <w:spacing w:after="0" w:line="480" w:lineRule="auto"/>
        <w:ind w:left="851"/>
        <w:jc w:val="both"/>
        <w:rPr>
          <w:rFonts w:ascii="Arial" w:hAnsi="Arial" w:cs="Arial"/>
          <w:sz w:val="24"/>
          <w:szCs w:val="24"/>
        </w:rPr>
      </w:pPr>
    </w:p>
    <w:p w14:paraId="54357A6C" w14:textId="47AD811D" w:rsidR="000941AD" w:rsidRDefault="00C74BE4" w:rsidP="000941AD">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This is a period of almost one year, which is unaccounted for</w:t>
      </w:r>
      <w:r w:rsidR="00122325">
        <w:rPr>
          <w:rFonts w:ascii="Arial" w:hAnsi="Arial" w:cs="Arial"/>
          <w:sz w:val="24"/>
          <w:szCs w:val="24"/>
        </w:rPr>
        <w:t>.</w:t>
      </w:r>
      <w:r w:rsidR="000941AD">
        <w:rPr>
          <w:rFonts w:ascii="Arial" w:hAnsi="Arial" w:cs="Arial"/>
          <w:sz w:val="24"/>
          <w:szCs w:val="24"/>
        </w:rPr>
        <w:t xml:space="preserve">  In the absence of an explanation, the only inference that can be drawn is that the applicants did little</w:t>
      </w:r>
      <w:r w:rsidR="00F00D3F">
        <w:rPr>
          <w:rFonts w:ascii="Arial" w:hAnsi="Arial" w:cs="Arial"/>
          <w:sz w:val="24"/>
          <w:szCs w:val="24"/>
        </w:rPr>
        <w:t>, if anything,</w:t>
      </w:r>
      <w:r w:rsidR="000941AD">
        <w:rPr>
          <w:rFonts w:ascii="Arial" w:hAnsi="Arial" w:cs="Arial"/>
          <w:sz w:val="24"/>
          <w:szCs w:val="24"/>
        </w:rPr>
        <w:t xml:space="preserve"> to obtain legal representation during this period.</w:t>
      </w:r>
    </w:p>
    <w:p w14:paraId="22A65C20" w14:textId="77777777" w:rsidR="000941AD" w:rsidRPr="000941AD" w:rsidRDefault="000941AD" w:rsidP="000941AD">
      <w:pPr>
        <w:pStyle w:val="ListParagraph"/>
        <w:spacing w:after="0" w:line="480" w:lineRule="auto"/>
        <w:rPr>
          <w:rFonts w:ascii="Arial" w:hAnsi="Arial" w:cs="Arial"/>
          <w:sz w:val="24"/>
          <w:szCs w:val="24"/>
        </w:rPr>
      </w:pPr>
    </w:p>
    <w:p w14:paraId="623F28C1" w14:textId="5251DCE5" w:rsidR="00AB0DAD" w:rsidRDefault="00122325" w:rsidP="000941AD">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lastRenderedPageBreak/>
        <w:t>The lack of explanation is e</w:t>
      </w:r>
      <w:r w:rsidR="00C74BE4">
        <w:rPr>
          <w:rFonts w:ascii="Arial" w:hAnsi="Arial" w:cs="Arial"/>
          <w:sz w:val="24"/>
          <w:szCs w:val="24"/>
        </w:rPr>
        <w:t xml:space="preserve">xacerbated by the fact that </w:t>
      </w:r>
      <w:r w:rsidR="001D6006">
        <w:rPr>
          <w:rFonts w:ascii="Arial" w:hAnsi="Arial" w:cs="Arial"/>
          <w:sz w:val="24"/>
          <w:szCs w:val="24"/>
        </w:rPr>
        <w:t>the applicants are silent on why legal representation was not obtained prior to the hearing of the matter on 24 February 2022</w:t>
      </w:r>
      <w:r w:rsidR="00722B66">
        <w:rPr>
          <w:rFonts w:ascii="Arial" w:hAnsi="Arial" w:cs="Arial"/>
          <w:sz w:val="24"/>
          <w:szCs w:val="24"/>
        </w:rPr>
        <w:t>,</w:t>
      </w:r>
      <w:r w:rsidR="001D6006">
        <w:rPr>
          <w:rFonts w:ascii="Arial" w:hAnsi="Arial" w:cs="Arial"/>
          <w:sz w:val="24"/>
          <w:szCs w:val="24"/>
        </w:rPr>
        <w:t xml:space="preserve"> and why </w:t>
      </w:r>
      <w:r w:rsidR="00F53D6C">
        <w:rPr>
          <w:rFonts w:ascii="Arial" w:hAnsi="Arial" w:cs="Arial"/>
          <w:sz w:val="24"/>
          <w:szCs w:val="24"/>
        </w:rPr>
        <w:t>adequate</w:t>
      </w:r>
      <w:r w:rsidR="00AB0DAD">
        <w:rPr>
          <w:rFonts w:ascii="Arial" w:hAnsi="Arial" w:cs="Arial"/>
          <w:sz w:val="24"/>
          <w:szCs w:val="24"/>
        </w:rPr>
        <w:t xml:space="preserve"> </w:t>
      </w:r>
      <w:r w:rsidR="001D6006">
        <w:rPr>
          <w:rFonts w:ascii="Arial" w:hAnsi="Arial" w:cs="Arial"/>
          <w:sz w:val="24"/>
          <w:szCs w:val="24"/>
        </w:rPr>
        <w:t>steps were not taken to ensure that the</w:t>
      </w:r>
      <w:r w:rsidR="00F53D6C">
        <w:rPr>
          <w:rFonts w:ascii="Arial" w:hAnsi="Arial" w:cs="Arial"/>
          <w:sz w:val="24"/>
          <w:szCs w:val="24"/>
        </w:rPr>
        <w:t xml:space="preserve"> matter could proceed on </w:t>
      </w:r>
      <w:r w:rsidR="001D6006">
        <w:rPr>
          <w:rFonts w:ascii="Arial" w:hAnsi="Arial" w:cs="Arial"/>
          <w:sz w:val="24"/>
          <w:szCs w:val="24"/>
        </w:rPr>
        <w:t>21 July 2022</w:t>
      </w:r>
      <w:r w:rsidR="00AB0DAD">
        <w:rPr>
          <w:rFonts w:ascii="Arial" w:hAnsi="Arial" w:cs="Arial"/>
          <w:sz w:val="24"/>
          <w:szCs w:val="24"/>
        </w:rPr>
        <w:t>, having personally agreed to the date some five months prior, and having been expressly warned to do so timeously, by Beshe J.</w:t>
      </w:r>
    </w:p>
    <w:p w14:paraId="0F81262A" w14:textId="77777777" w:rsidR="00E124E7" w:rsidRDefault="00E124E7" w:rsidP="00095D14">
      <w:pPr>
        <w:pStyle w:val="ListParagraph"/>
        <w:spacing w:after="0" w:line="480" w:lineRule="auto"/>
        <w:ind w:left="851"/>
        <w:jc w:val="both"/>
        <w:rPr>
          <w:rFonts w:ascii="Arial" w:hAnsi="Arial" w:cs="Arial"/>
          <w:sz w:val="24"/>
          <w:szCs w:val="24"/>
        </w:rPr>
      </w:pPr>
    </w:p>
    <w:p w14:paraId="3A564FE4" w14:textId="401FCB98" w:rsidR="00E124E7" w:rsidRDefault="00722B66" w:rsidP="00095D14">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T</w:t>
      </w:r>
      <w:r w:rsidR="00E124E7">
        <w:rPr>
          <w:rFonts w:ascii="Arial" w:hAnsi="Arial" w:cs="Arial"/>
          <w:sz w:val="24"/>
          <w:szCs w:val="24"/>
        </w:rPr>
        <w:t xml:space="preserve">he </w:t>
      </w:r>
      <w:r w:rsidR="00044D3D">
        <w:rPr>
          <w:rFonts w:ascii="Arial" w:hAnsi="Arial" w:cs="Arial"/>
          <w:sz w:val="24"/>
          <w:szCs w:val="24"/>
        </w:rPr>
        <w:t>account of events</w:t>
      </w:r>
      <w:r w:rsidR="00B0091B">
        <w:rPr>
          <w:rFonts w:ascii="Arial" w:hAnsi="Arial" w:cs="Arial"/>
          <w:sz w:val="24"/>
          <w:szCs w:val="24"/>
        </w:rPr>
        <w:t xml:space="preserve"> </w:t>
      </w:r>
      <w:r w:rsidR="00E124E7">
        <w:rPr>
          <w:rFonts w:ascii="Arial" w:hAnsi="Arial" w:cs="Arial"/>
          <w:sz w:val="24"/>
          <w:szCs w:val="24"/>
        </w:rPr>
        <w:t>is lacking in detail as to what transpired between 9 June 2022 and 4 July 2022</w:t>
      </w:r>
      <w:r w:rsidR="00B72C23">
        <w:rPr>
          <w:rFonts w:ascii="Arial" w:hAnsi="Arial" w:cs="Arial"/>
          <w:sz w:val="24"/>
          <w:szCs w:val="24"/>
        </w:rPr>
        <w:t xml:space="preserve">, and more particularly, it </w:t>
      </w:r>
      <w:r w:rsidR="00726ECA">
        <w:rPr>
          <w:rFonts w:ascii="Arial" w:hAnsi="Arial" w:cs="Arial"/>
          <w:sz w:val="24"/>
          <w:szCs w:val="24"/>
        </w:rPr>
        <w:t xml:space="preserve">offers no clarity </w:t>
      </w:r>
      <w:r w:rsidR="00946843">
        <w:rPr>
          <w:rFonts w:ascii="Arial" w:hAnsi="Arial" w:cs="Arial"/>
          <w:sz w:val="24"/>
          <w:szCs w:val="24"/>
        </w:rPr>
        <w:t>as to</w:t>
      </w:r>
      <w:r w:rsidR="00B72C23">
        <w:rPr>
          <w:rFonts w:ascii="Arial" w:hAnsi="Arial" w:cs="Arial"/>
          <w:sz w:val="24"/>
          <w:szCs w:val="24"/>
        </w:rPr>
        <w:t xml:space="preserve"> </w:t>
      </w:r>
      <w:r w:rsidR="00726ECA">
        <w:rPr>
          <w:rFonts w:ascii="Arial" w:hAnsi="Arial" w:cs="Arial"/>
          <w:sz w:val="24"/>
          <w:szCs w:val="24"/>
        </w:rPr>
        <w:t>the delay in providing their attorney of record</w:t>
      </w:r>
      <w:r w:rsidR="00B72C23">
        <w:rPr>
          <w:rFonts w:ascii="Arial" w:hAnsi="Arial" w:cs="Arial"/>
          <w:sz w:val="24"/>
          <w:szCs w:val="24"/>
        </w:rPr>
        <w:t xml:space="preserve"> with the relevant documentation, which </w:t>
      </w:r>
      <w:r w:rsidR="00946843">
        <w:rPr>
          <w:rFonts w:ascii="Arial" w:hAnsi="Arial" w:cs="Arial"/>
          <w:sz w:val="24"/>
          <w:szCs w:val="24"/>
        </w:rPr>
        <w:t xml:space="preserve">had been </w:t>
      </w:r>
      <w:r w:rsidR="00B72C23">
        <w:rPr>
          <w:rFonts w:ascii="Arial" w:hAnsi="Arial" w:cs="Arial"/>
          <w:sz w:val="24"/>
          <w:szCs w:val="24"/>
        </w:rPr>
        <w:t xml:space="preserve">requested some </w:t>
      </w:r>
      <w:r w:rsidR="00946843">
        <w:rPr>
          <w:rFonts w:ascii="Arial" w:hAnsi="Arial" w:cs="Arial"/>
          <w:sz w:val="24"/>
          <w:szCs w:val="24"/>
        </w:rPr>
        <w:t>three and a half</w:t>
      </w:r>
      <w:r w:rsidR="00B72C23">
        <w:rPr>
          <w:rFonts w:ascii="Arial" w:hAnsi="Arial" w:cs="Arial"/>
          <w:sz w:val="24"/>
          <w:szCs w:val="24"/>
        </w:rPr>
        <w:t xml:space="preserve"> weeks prior</w:t>
      </w:r>
      <w:r w:rsidR="00E124E7">
        <w:rPr>
          <w:rFonts w:ascii="Arial" w:hAnsi="Arial" w:cs="Arial"/>
          <w:sz w:val="24"/>
          <w:szCs w:val="24"/>
        </w:rPr>
        <w:t>.</w:t>
      </w:r>
    </w:p>
    <w:p w14:paraId="727FE32F" w14:textId="77777777" w:rsidR="00726ECA" w:rsidRDefault="00726ECA" w:rsidP="00726ECA">
      <w:pPr>
        <w:pStyle w:val="ListParagraph"/>
        <w:spacing w:after="0" w:line="480" w:lineRule="auto"/>
        <w:ind w:left="851"/>
        <w:jc w:val="both"/>
        <w:rPr>
          <w:rFonts w:ascii="Arial" w:hAnsi="Arial" w:cs="Arial"/>
          <w:sz w:val="24"/>
          <w:szCs w:val="24"/>
        </w:rPr>
      </w:pPr>
    </w:p>
    <w:p w14:paraId="437296C4" w14:textId="17805E06" w:rsidR="00B72C23" w:rsidRDefault="00B72C23" w:rsidP="00D74CE1">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Strikingly</w:t>
      </w:r>
      <w:r w:rsidR="00946843">
        <w:rPr>
          <w:rFonts w:ascii="Arial" w:hAnsi="Arial" w:cs="Arial"/>
          <w:sz w:val="24"/>
          <w:szCs w:val="24"/>
        </w:rPr>
        <w:t xml:space="preserve"> apparent </w:t>
      </w:r>
      <w:r>
        <w:rPr>
          <w:rFonts w:ascii="Arial" w:hAnsi="Arial" w:cs="Arial"/>
          <w:sz w:val="24"/>
          <w:szCs w:val="24"/>
        </w:rPr>
        <w:t xml:space="preserve">from the affidavit is that as early as 6 July 2022, </w:t>
      </w:r>
      <w:r w:rsidR="00946843">
        <w:rPr>
          <w:rFonts w:ascii="Arial" w:hAnsi="Arial" w:cs="Arial"/>
          <w:sz w:val="24"/>
          <w:szCs w:val="24"/>
        </w:rPr>
        <w:t xml:space="preserve">being three weeks prior to the hearing of the matter, </w:t>
      </w:r>
      <w:r w:rsidR="00726ECA">
        <w:rPr>
          <w:rFonts w:ascii="Arial" w:hAnsi="Arial" w:cs="Arial"/>
          <w:sz w:val="24"/>
          <w:szCs w:val="24"/>
        </w:rPr>
        <w:t>the applicants’ attorney</w:t>
      </w:r>
      <w:r>
        <w:rPr>
          <w:rFonts w:ascii="Arial" w:hAnsi="Arial" w:cs="Arial"/>
          <w:sz w:val="24"/>
          <w:szCs w:val="24"/>
        </w:rPr>
        <w:t xml:space="preserve"> had concluded that </w:t>
      </w:r>
      <w:r w:rsidR="00946843">
        <w:rPr>
          <w:rFonts w:ascii="Arial" w:hAnsi="Arial" w:cs="Arial"/>
          <w:sz w:val="24"/>
          <w:szCs w:val="24"/>
        </w:rPr>
        <w:t xml:space="preserve">the matter would not be able to proceed on </w:t>
      </w:r>
      <w:r>
        <w:rPr>
          <w:rFonts w:ascii="Arial" w:hAnsi="Arial" w:cs="Arial"/>
          <w:sz w:val="24"/>
          <w:szCs w:val="24"/>
        </w:rPr>
        <w:t>21 July 2022.</w:t>
      </w:r>
      <w:r w:rsidR="00946843">
        <w:rPr>
          <w:rFonts w:ascii="Arial" w:hAnsi="Arial" w:cs="Arial"/>
          <w:sz w:val="24"/>
          <w:szCs w:val="24"/>
        </w:rPr>
        <w:t xml:space="preserve">  Notwithstanding such </w:t>
      </w:r>
      <w:r w:rsidR="00F53D6C">
        <w:rPr>
          <w:rFonts w:ascii="Arial" w:hAnsi="Arial" w:cs="Arial"/>
          <w:sz w:val="24"/>
          <w:szCs w:val="24"/>
        </w:rPr>
        <w:t>determination</w:t>
      </w:r>
      <w:r w:rsidR="00946843">
        <w:rPr>
          <w:rFonts w:ascii="Arial" w:hAnsi="Arial" w:cs="Arial"/>
          <w:sz w:val="24"/>
          <w:szCs w:val="24"/>
        </w:rPr>
        <w:t>, an informal request for postponement was only forthcoming 3 court days prior to the hearing of the matter, and when same was refused, an affidavit</w:t>
      </w:r>
      <w:r w:rsidR="00F53D6C">
        <w:rPr>
          <w:rFonts w:ascii="Arial" w:hAnsi="Arial" w:cs="Arial"/>
          <w:sz w:val="24"/>
          <w:szCs w:val="24"/>
        </w:rPr>
        <w:t xml:space="preserve"> in support of an application for postponement</w:t>
      </w:r>
      <w:r w:rsidR="00946843">
        <w:rPr>
          <w:rFonts w:ascii="Arial" w:hAnsi="Arial" w:cs="Arial"/>
          <w:sz w:val="24"/>
          <w:szCs w:val="24"/>
        </w:rPr>
        <w:t xml:space="preserve">, absent a notice of application, was signed </w:t>
      </w:r>
      <w:r w:rsidR="00953F54">
        <w:rPr>
          <w:rFonts w:ascii="Arial" w:hAnsi="Arial" w:cs="Arial"/>
          <w:sz w:val="24"/>
          <w:szCs w:val="24"/>
        </w:rPr>
        <w:t xml:space="preserve">on </w:t>
      </w:r>
      <w:r w:rsidR="00F53D6C">
        <w:rPr>
          <w:rFonts w:ascii="Arial" w:hAnsi="Arial" w:cs="Arial"/>
          <w:sz w:val="24"/>
          <w:szCs w:val="24"/>
        </w:rPr>
        <w:t xml:space="preserve">the day of the hearing </w:t>
      </w:r>
      <w:r w:rsidR="00946843">
        <w:rPr>
          <w:rFonts w:ascii="Arial" w:hAnsi="Arial" w:cs="Arial"/>
          <w:sz w:val="24"/>
          <w:szCs w:val="24"/>
        </w:rPr>
        <w:t>and handed up in court</w:t>
      </w:r>
      <w:r w:rsidR="00953F54">
        <w:rPr>
          <w:rFonts w:ascii="Arial" w:hAnsi="Arial" w:cs="Arial"/>
          <w:sz w:val="24"/>
          <w:szCs w:val="24"/>
        </w:rPr>
        <w:t xml:space="preserve"> from the bar.</w:t>
      </w:r>
      <w:r w:rsidR="009C7A6B">
        <w:rPr>
          <w:rFonts w:ascii="Arial" w:hAnsi="Arial" w:cs="Arial"/>
          <w:sz w:val="24"/>
          <w:szCs w:val="24"/>
        </w:rPr>
        <w:t xml:space="preserve">  The reasons for such delay are not sufficiently explained and </w:t>
      </w:r>
      <w:r w:rsidR="008D0FBD">
        <w:rPr>
          <w:rFonts w:ascii="Arial" w:hAnsi="Arial" w:cs="Arial"/>
          <w:sz w:val="24"/>
          <w:szCs w:val="24"/>
        </w:rPr>
        <w:t>are</w:t>
      </w:r>
      <w:r w:rsidR="009C7A6B">
        <w:rPr>
          <w:rFonts w:ascii="Arial" w:hAnsi="Arial" w:cs="Arial"/>
          <w:sz w:val="24"/>
          <w:szCs w:val="24"/>
        </w:rPr>
        <w:t xml:space="preserve"> no more than an extension of the previous dilatory approach of the applicants to the litigation</w:t>
      </w:r>
      <w:r w:rsidR="008D0FBD">
        <w:rPr>
          <w:rFonts w:ascii="Arial" w:hAnsi="Arial" w:cs="Arial"/>
          <w:sz w:val="24"/>
          <w:szCs w:val="24"/>
        </w:rPr>
        <w:t>, which in the context of the present matter, deserves the court’s censure</w:t>
      </w:r>
      <w:r w:rsidR="009C7A6B">
        <w:rPr>
          <w:rFonts w:ascii="Arial" w:hAnsi="Arial" w:cs="Arial"/>
          <w:sz w:val="24"/>
          <w:szCs w:val="24"/>
        </w:rPr>
        <w:t xml:space="preserve">. </w:t>
      </w:r>
    </w:p>
    <w:p w14:paraId="2BDEFA61" w14:textId="77777777" w:rsidR="00095D14" w:rsidRPr="00095D14" w:rsidRDefault="00095D14" w:rsidP="00D74CE1">
      <w:pPr>
        <w:pStyle w:val="ListParagraph"/>
        <w:spacing w:after="0" w:line="480" w:lineRule="auto"/>
        <w:rPr>
          <w:rFonts w:ascii="Arial" w:hAnsi="Arial" w:cs="Arial"/>
          <w:sz w:val="24"/>
          <w:szCs w:val="24"/>
        </w:rPr>
      </w:pPr>
    </w:p>
    <w:p w14:paraId="064B87D4" w14:textId="77777777" w:rsidR="00D74CE1" w:rsidRDefault="00F45DEB" w:rsidP="004D7BEA">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lastRenderedPageBreak/>
        <w:t xml:space="preserve">I do not intend reiterating the trite legal principles in respect of postponement applications, suffice to state that they are not for the mere asking; that an applicant is enjoined to fully explain the reason for his unpreparedness, in order to satisfy the court that his unreadiness is not a delaying tactic; and that such application ought to be brought as soon as the circumstances, which might justify such a postponement become known to the applicant.  </w:t>
      </w:r>
    </w:p>
    <w:p w14:paraId="1AA676FB" w14:textId="77777777" w:rsidR="00D74CE1" w:rsidRPr="00D74CE1" w:rsidRDefault="00D74CE1" w:rsidP="004D7BEA">
      <w:pPr>
        <w:pStyle w:val="ListParagraph"/>
        <w:spacing w:after="0" w:line="480" w:lineRule="auto"/>
        <w:jc w:val="both"/>
        <w:rPr>
          <w:rFonts w:ascii="Arial" w:hAnsi="Arial" w:cs="Arial"/>
          <w:sz w:val="24"/>
          <w:szCs w:val="24"/>
        </w:rPr>
      </w:pPr>
    </w:p>
    <w:p w14:paraId="23A2A325" w14:textId="1E53E62A" w:rsidR="00095D14" w:rsidRDefault="00D74CE1" w:rsidP="004D7BEA">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With respect, not only have the applicants merely paid lip-service to the aforesaid</w:t>
      </w:r>
      <w:r w:rsidR="00C35A66">
        <w:rPr>
          <w:rFonts w:ascii="Arial" w:hAnsi="Arial" w:cs="Arial"/>
          <w:sz w:val="24"/>
          <w:szCs w:val="24"/>
        </w:rPr>
        <w:t>,</w:t>
      </w:r>
      <w:r>
        <w:rPr>
          <w:rFonts w:ascii="Arial" w:hAnsi="Arial" w:cs="Arial"/>
          <w:sz w:val="24"/>
          <w:szCs w:val="24"/>
        </w:rPr>
        <w:t xml:space="preserve"> but their</w:t>
      </w:r>
      <w:r w:rsidR="00095D14" w:rsidRPr="00D74CE1">
        <w:rPr>
          <w:rFonts w:ascii="Arial" w:hAnsi="Arial" w:cs="Arial"/>
          <w:sz w:val="24"/>
          <w:szCs w:val="24"/>
        </w:rPr>
        <w:t xml:space="preserve"> impetus to pursue the application to completion is</w:t>
      </w:r>
      <w:r w:rsidR="00C35A66">
        <w:rPr>
          <w:rFonts w:ascii="Arial" w:hAnsi="Arial" w:cs="Arial"/>
          <w:sz w:val="24"/>
          <w:szCs w:val="24"/>
        </w:rPr>
        <w:t xml:space="preserve"> self-evident from</w:t>
      </w:r>
      <w:r w:rsidR="00095D14" w:rsidRPr="00D74CE1">
        <w:rPr>
          <w:rFonts w:ascii="Arial" w:hAnsi="Arial" w:cs="Arial"/>
          <w:sz w:val="24"/>
          <w:szCs w:val="24"/>
        </w:rPr>
        <w:t xml:space="preserve"> the timeline of events and the</w:t>
      </w:r>
      <w:r w:rsidR="00C35A66">
        <w:rPr>
          <w:rFonts w:ascii="Arial" w:hAnsi="Arial" w:cs="Arial"/>
          <w:sz w:val="24"/>
          <w:szCs w:val="24"/>
        </w:rPr>
        <w:t xml:space="preserve"> applicants’</w:t>
      </w:r>
      <w:r w:rsidR="00095D14" w:rsidRPr="00D74CE1">
        <w:rPr>
          <w:rFonts w:ascii="Arial" w:hAnsi="Arial" w:cs="Arial"/>
          <w:sz w:val="24"/>
          <w:szCs w:val="24"/>
        </w:rPr>
        <w:t xml:space="preserve"> continued inaction.</w:t>
      </w:r>
    </w:p>
    <w:p w14:paraId="1D59DB01" w14:textId="77777777" w:rsidR="004D7BEA" w:rsidRPr="004D7BEA" w:rsidRDefault="004D7BEA" w:rsidP="004D7BEA">
      <w:pPr>
        <w:pStyle w:val="ListParagraph"/>
        <w:spacing w:after="0" w:line="480" w:lineRule="auto"/>
        <w:jc w:val="both"/>
        <w:rPr>
          <w:rFonts w:ascii="Arial" w:hAnsi="Arial" w:cs="Arial"/>
          <w:sz w:val="24"/>
          <w:szCs w:val="24"/>
        </w:rPr>
      </w:pPr>
    </w:p>
    <w:p w14:paraId="13B18C23" w14:textId="059711E9" w:rsidR="004D7BEA" w:rsidRDefault="000B610C" w:rsidP="00934CA9">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H</w:t>
      </w:r>
      <w:r w:rsidR="004D7BEA">
        <w:rPr>
          <w:rFonts w:ascii="Arial" w:hAnsi="Arial" w:cs="Arial"/>
          <w:sz w:val="24"/>
          <w:szCs w:val="24"/>
        </w:rPr>
        <w:t>aving considered all of the above</w:t>
      </w:r>
      <w:r>
        <w:rPr>
          <w:rFonts w:ascii="Arial" w:hAnsi="Arial" w:cs="Arial"/>
          <w:sz w:val="24"/>
          <w:szCs w:val="24"/>
        </w:rPr>
        <w:t>, I am satisfied that the conduct on behalf of the applicants is such that warrants an order as to costs on a punitive scale.  I see no reason as to why the first respondent ought to be out of pocket in respect of the postponement of the matter on 21 July 2022.</w:t>
      </w:r>
    </w:p>
    <w:p w14:paraId="24A270F7" w14:textId="77777777" w:rsidR="000B610C" w:rsidRPr="000B610C" w:rsidRDefault="000B610C" w:rsidP="00934CA9">
      <w:pPr>
        <w:pStyle w:val="ListParagraph"/>
        <w:spacing w:after="0" w:line="480" w:lineRule="auto"/>
        <w:rPr>
          <w:rFonts w:ascii="Arial" w:hAnsi="Arial" w:cs="Arial"/>
          <w:sz w:val="24"/>
          <w:szCs w:val="24"/>
        </w:rPr>
      </w:pPr>
    </w:p>
    <w:p w14:paraId="0F96BB77" w14:textId="49633419" w:rsidR="000B610C" w:rsidRDefault="001120AF" w:rsidP="00934CA9">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 xml:space="preserve">I have </w:t>
      </w:r>
      <w:r w:rsidR="00150656">
        <w:rPr>
          <w:rFonts w:ascii="Arial" w:hAnsi="Arial" w:cs="Arial"/>
          <w:sz w:val="24"/>
          <w:szCs w:val="24"/>
        </w:rPr>
        <w:t xml:space="preserve">already granted an order </w:t>
      </w:r>
      <w:r w:rsidR="00D555B1">
        <w:rPr>
          <w:rFonts w:ascii="Arial" w:hAnsi="Arial" w:cs="Arial"/>
          <w:sz w:val="24"/>
          <w:szCs w:val="24"/>
        </w:rPr>
        <w:t>for</w:t>
      </w:r>
      <w:r w:rsidR="00150656">
        <w:rPr>
          <w:rFonts w:ascii="Arial" w:hAnsi="Arial" w:cs="Arial"/>
          <w:sz w:val="24"/>
          <w:szCs w:val="24"/>
        </w:rPr>
        <w:t xml:space="preserve"> postponement of the matter to </w:t>
      </w:r>
      <w:r w:rsidR="00D555B1">
        <w:rPr>
          <w:rFonts w:ascii="Arial" w:hAnsi="Arial" w:cs="Arial"/>
          <w:sz w:val="24"/>
          <w:szCs w:val="24"/>
        </w:rPr>
        <w:t>19 January 2023</w:t>
      </w:r>
      <w:r w:rsidR="000B610C">
        <w:rPr>
          <w:rFonts w:ascii="Arial" w:hAnsi="Arial" w:cs="Arial"/>
          <w:sz w:val="24"/>
          <w:szCs w:val="24"/>
        </w:rPr>
        <w:t xml:space="preserve">, </w:t>
      </w:r>
      <w:r>
        <w:rPr>
          <w:rFonts w:ascii="Arial" w:hAnsi="Arial" w:cs="Arial"/>
          <w:sz w:val="24"/>
          <w:szCs w:val="24"/>
        </w:rPr>
        <w:t>and accordingly</w:t>
      </w:r>
      <w:r w:rsidR="00954D58">
        <w:rPr>
          <w:rFonts w:ascii="Arial" w:hAnsi="Arial" w:cs="Arial"/>
          <w:sz w:val="24"/>
          <w:szCs w:val="24"/>
        </w:rPr>
        <w:t>,</w:t>
      </w:r>
      <w:r>
        <w:rPr>
          <w:rFonts w:ascii="Arial" w:hAnsi="Arial" w:cs="Arial"/>
          <w:sz w:val="24"/>
          <w:szCs w:val="24"/>
        </w:rPr>
        <w:t xml:space="preserve"> </w:t>
      </w:r>
      <w:r w:rsidR="000B610C">
        <w:rPr>
          <w:rFonts w:ascii="Arial" w:hAnsi="Arial" w:cs="Arial"/>
          <w:sz w:val="24"/>
          <w:szCs w:val="24"/>
        </w:rPr>
        <w:t>the following order shall issue:</w:t>
      </w:r>
    </w:p>
    <w:p w14:paraId="38B8AFBF" w14:textId="77777777" w:rsidR="000B610C" w:rsidRPr="000B610C" w:rsidRDefault="000B610C" w:rsidP="00934CA9">
      <w:pPr>
        <w:pStyle w:val="ListParagraph"/>
        <w:spacing w:after="0" w:line="480" w:lineRule="auto"/>
        <w:rPr>
          <w:rFonts w:ascii="Arial" w:hAnsi="Arial" w:cs="Arial"/>
          <w:sz w:val="24"/>
          <w:szCs w:val="24"/>
        </w:rPr>
      </w:pPr>
    </w:p>
    <w:p w14:paraId="7A19427F" w14:textId="4C6EC97A" w:rsidR="00934CA9" w:rsidRPr="00D74CE1" w:rsidRDefault="00934CA9" w:rsidP="00D555B1">
      <w:pPr>
        <w:pStyle w:val="ListParagraph"/>
        <w:numPr>
          <w:ilvl w:val="0"/>
          <w:numId w:val="5"/>
        </w:numPr>
        <w:spacing w:after="0" w:line="480" w:lineRule="auto"/>
        <w:ind w:left="1418" w:hanging="567"/>
        <w:jc w:val="both"/>
        <w:rPr>
          <w:rFonts w:ascii="Arial" w:hAnsi="Arial" w:cs="Arial"/>
          <w:sz w:val="24"/>
          <w:szCs w:val="24"/>
        </w:rPr>
      </w:pPr>
      <w:r>
        <w:rPr>
          <w:rFonts w:ascii="Arial" w:hAnsi="Arial" w:cs="Arial"/>
          <w:sz w:val="24"/>
          <w:szCs w:val="24"/>
        </w:rPr>
        <w:t xml:space="preserve">The applicants are jointly and severally ordered to pay the </w:t>
      </w:r>
      <w:r w:rsidR="00D555B1">
        <w:rPr>
          <w:rFonts w:ascii="Arial" w:hAnsi="Arial" w:cs="Arial"/>
          <w:sz w:val="24"/>
          <w:szCs w:val="24"/>
        </w:rPr>
        <w:t>f</w:t>
      </w:r>
      <w:r>
        <w:rPr>
          <w:rFonts w:ascii="Arial" w:hAnsi="Arial" w:cs="Arial"/>
          <w:sz w:val="24"/>
          <w:szCs w:val="24"/>
        </w:rPr>
        <w:t xml:space="preserve">irst </w:t>
      </w:r>
      <w:r w:rsidR="00D555B1">
        <w:rPr>
          <w:rFonts w:ascii="Arial" w:hAnsi="Arial" w:cs="Arial"/>
          <w:sz w:val="24"/>
          <w:szCs w:val="24"/>
        </w:rPr>
        <w:t>r</w:t>
      </w:r>
      <w:r>
        <w:rPr>
          <w:rFonts w:ascii="Arial" w:hAnsi="Arial" w:cs="Arial"/>
          <w:sz w:val="24"/>
          <w:szCs w:val="24"/>
        </w:rPr>
        <w:t xml:space="preserve">espondent’s costs occasioned by the postponement, on the scale as between attorney and client.  </w:t>
      </w:r>
    </w:p>
    <w:p w14:paraId="03CAC2CC" w14:textId="77777777" w:rsidR="00934CA9" w:rsidRDefault="00934CA9" w:rsidP="006A6955">
      <w:pPr>
        <w:spacing w:after="0" w:line="480" w:lineRule="auto"/>
        <w:jc w:val="both"/>
        <w:rPr>
          <w:rStyle w:val="Hyperlink"/>
          <w:rFonts w:ascii="Arial" w:hAnsi="Arial" w:cs="Arial"/>
          <w:i/>
          <w:iCs/>
          <w:color w:val="auto"/>
          <w:sz w:val="24"/>
          <w:szCs w:val="24"/>
        </w:rPr>
      </w:pPr>
    </w:p>
    <w:p w14:paraId="2C41A470" w14:textId="77777777" w:rsidR="00150656" w:rsidRDefault="00150656" w:rsidP="006A6955">
      <w:pPr>
        <w:spacing w:after="0" w:line="480" w:lineRule="auto"/>
        <w:jc w:val="both"/>
        <w:rPr>
          <w:rStyle w:val="Hyperlink"/>
          <w:rFonts w:ascii="Arial" w:hAnsi="Arial" w:cs="Arial"/>
          <w:i/>
          <w:iCs/>
          <w:color w:val="auto"/>
          <w:sz w:val="24"/>
          <w:szCs w:val="24"/>
        </w:rPr>
      </w:pPr>
    </w:p>
    <w:p w14:paraId="69C00B0B" w14:textId="77777777" w:rsidR="00150656" w:rsidRDefault="00150656" w:rsidP="006A6955">
      <w:pPr>
        <w:spacing w:after="0" w:line="480" w:lineRule="auto"/>
        <w:jc w:val="both"/>
        <w:rPr>
          <w:rStyle w:val="Hyperlink"/>
          <w:rFonts w:ascii="Arial" w:hAnsi="Arial" w:cs="Arial"/>
          <w:i/>
          <w:iCs/>
          <w:color w:val="auto"/>
          <w:sz w:val="24"/>
          <w:szCs w:val="24"/>
        </w:rPr>
      </w:pPr>
    </w:p>
    <w:p w14:paraId="45BFAAFF" w14:textId="6D4E23CB" w:rsidR="006A6955" w:rsidRPr="005E0A83" w:rsidRDefault="006A6955" w:rsidP="006A6955">
      <w:pPr>
        <w:spacing w:after="0" w:line="480" w:lineRule="auto"/>
        <w:jc w:val="both"/>
        <w:rPr>
          <w:rStyle w:val="Hyperlink"/>
          <w:rFonts w:ascii="Arial" w:hAnsi="Arial" w:cs="Arial"/>
          <w:i/>
          <w:iCs/>
          <w:color w:val="auto"/>
          <w:sz w:val="24"/>
          <w:szCs w:val="24"/>
        </w:rPr>
      </w:pPr>
      <w:r w:rsidRPr="005E0A83">
        <w:rPr>
          <w:rStyle w:val="Hyperlink"/>
          <w:rFonts w:ascii="Arial" w:hAnsi="Arial" w:cs="Arial"/>
          <w:i/>
          <w:iCs/>
          <w:color w:val="auto"/>
          <w:sz w:val="24"/>
          <w:szCs w:val="24"/>
        </w:rPr>
        <w:lastRenderedPageBreak/>
        <w:t>________________________________</w:t>
      </w:r>
    </w:p>
    <w:p w14:paraId="650FC729" w14:textId="77777777" w:rsidR="006A6955" w:rsidRPr="005E0A83" w:rsidRDefault="006A6955" w:rsidP="006A6955">
      <w:pPr>
        <w:spacing w:after="0" w:line="480" w:lineRule="auto"/>
        <w:jc w:val="both"/>
        <w:rPr>
          <w:rFonts w:ascii="Arial" w:hAnsi="Arial" w:cs="Arial"/>
          <w:b/>
          <w:bCs/>
          <w:sz w:val="24"/>
          <w:szCs w:val="24"/>
        </w:rPr>
      </w:pPr>
      <w:r w:rsidRPr="005E0A83">
        <w:rPr>
          <w:rFonts w:ascii="Arial" w:hAnsi="Arial" w:cs="Arial"/>
          <w:b/>
          <w:bCs/>
          <w:sz w:val="24"/>
          <w:szCs w:val="24"/>
        </w:rPr>
        <w:t xml:space="preserve">I BANDS </w:t>
      </w:r>
    </w:p>
    <w:p w14:paraId="29585786" w14:textId="77777777" w:rsidR="006A6955" w:rsidRPr="005E0A83" w:rsidRDefault="006A6955" w:rsidP="006A6955">
      <w:pPr>
        <w:spacing w:after="0" w:line="480" w:lineRule="auto"/>
        <w:jc w:val="both"/>
        <w:rPr>
          <w:rFonts w:ascii="Arial" w:hAnsi="Arial" w:cs="Arial"/>
          <w:b/>
          <w:bCs/>
          <w:sz w:val="24"/>
          <w:szCs w:val="24"/>
        </w:rPr>
      </w:pPr>
      <w:r w:rsidRPr="005E0A83">
        <w:rPr>
          <w:rFonts w:ascii="Arial" w:hAnsi="Arial" w:cs="Arial"/>
          <w:b/>
          <w:bCs/>
          <w:sz w:val="24"/>
          <w:szCs w:val="24"/>
        </w:rPr>
        <w:t xml:space="preserve">ACTING JUDGE OF THE HIGH COURT </w:t>
      </w:r>
    </w:p>
    <w:p w14:paraId="3D226B2C" w14:textId="77777777" w:rsidR="006A6955" w:rsidRPr="005E0A83" w:rsidRDefault="006A6955" w:rsidP="006A6955">
      <w:pPr>
        <w:spacing w:after="0" w:line="480" w:lineRule="auto"/>
        <w:jc w:val="both"/>
        <w:rPr>
          <w:rFonts w:ascii="Arial" w:hAnsi="Arial" w:cs="Arial"/>
          <w:sz w:val="24"/>
          <w:szCs w:val="24"/>
        </w:rPr>
      </w:pPr>
    </w:p>
    <w:p w14:paraId="6C76595D" w14:textId="77777777" w:rsidR="006A6955" w:rsidRPr="005E0A83" w:rsidRDefault="006A6955" w:rsidP="006A6955">
      <w:pPr>
        <w:spacing w:after="0" w:line="480" w:lineRule="auto"/>
        <w:jc w:val="both"/>
        <w:rPr>
          <w:rFonts w:ascii="Arial" w:hAnsi="Arial" w:cs="Arial"/>
          <w:b/>
          <w:bCs/>
          <w:sz w:val="24"/>
          <w:szCs w:val="24"/>
        </w:rPr>
      </w:pPr>
      <w:r w:rsidRPr="005E0A83">
        <w:rPr>
          <w:rFonts w:ascii="Arial" w:hAnsi="Arial" w:cs="Arial"/>
          <w:b/>
          <w:bCs/>
          <w:sz w:val="24"/>
          <w:szCs w:val="24"/>
        </w:rPr>
        <w:t xml:space="preserve">Appearances: </w:t>
      </w:r>
    </w:p>
    <w:p w14:paraId="140A5783" w14:textId="77777777" w:rsidR="001B23F7" w:rsidRDefault="006A6955" w:rsidP="00AE4DFC">
      <w:pPr>
        <w:spacing w:after="0" w:line="360" w:lineRule="auto"/>
        <w:jc w:val="both"/>
        <w:rPr>
          <w:rFonts w:ascii="Arial" w:hAnsi="Arial" w:cs="Arial"/>
          <w:sz w:val="24"/>
          <w:szCs w:val="24"/>
        </w:rPr>
      </w:pPr>
      <w:r w:rsidRPr="005E0A83">
        <w:rPr>
          <w:rFonts w:ascii="Arial" w:hAnsi="Arial" w:cs="Arial"/>
          <w:sz w:val="24"/>
          <w:szCs w:val="24"/>
        </w:rPr>
        <w:t xml:space="preserve">For the </w:t>
      </w:r>
      <w:r w:rsidR="00B34F39">
        <w:rPr>
          <w:rFonts w:ascii="Arial" w:hAnsi="Arial" w:cs="Arial"/>
          <w:sz w:val="24"/>
          <w:szCs w:val="24"/>
        </w:rPr>
        <w:t>T</w:t>
      </w:r>
      <w:r w:rsidR="008F30B4" w:rsidRPr="005E0A83">
        <w:rPr>
          <w:rFonts w:ascii="Arial" w:hAnsi="Arial" w:cs="Arial"/>
          <w:sz w:val="24"/>
          <w:szCs w:val="24"/>
        </w:rPr>
        <w:t>hird</w:t>
      </w:r>
      <w:r w:rsidR="008F30B4">
        <w:rPr>
          <w:rFonts w:ascii="Arial" w:hAnsi="Arial" w:cs="Arial"/>
          <w:sz w:val="24"/>
          <w:szCs w:val="24"/>
        </w:rPr>
        <w:t>;</w:t>
      </w:r>
      <w:r w:rsidR="008F30B4" w:rsidRPr="005E0A83">
        <w:rPr>
          <w:rFonts w:ascii="Arial" w:hAnsi="Arial" w:cs="Arial"/>
          <w:sz w:val="24"/>
          <w:szCs w:val="24"/>
        </w:rPr>
        <w:t xml:space="preserve"> </w:t>
      </w:r>
      <w:r w:rsidR="00B34F39">
        <w:rPr>
          <w:rFonts w:ascii="Arial" w:hAnsi="Arial" w:cs="Arial"/>
          <w:sz w:val="24"/>
          <w:szCs w:val="24"/>
        </w:rPr>
        <w:t>F</w:t>
      </w:r>
      <w:r w:rsidR="008F30B4" w:rsidRPr="005E0A83">
        <w:rPr>
          <w:rFonts w:ascii="Arial" w:hAnsi="Arial" w:cs="Arial"/>
          <w:sz w:val="24"/>
          <w:szCs w:val="24"/>
        </w:rPr>
        <w:t>ourth</w:t>
      </w:r>
      <w:r w:rsidR="008F30B4">
        <w:rPr>
          <w:rFonts w:ascii="Arial" w:hAnsi="Arial" w:cs="Arial"/>
          <w:sz w:val="24"/>
          <w:szCs w:val="24"/>
        </w:rPr>
        <w:t>;</w:t>
      </w:r>
      <w:r w:rsidR="008F30B4" w:rsidRPr="005E0A83">
        <w:rPr>
          <w:rFonts w:ascii="Arial" w:hAnsi="Arial" w:cs="Arial"/>
          <w:sz w:val="24"/>
          <w:szCs w:val="24"/>
        </w:rPr>
        <w:t xml:space="preserve"> </w:t>
      </w:r>
      <w:r w:rsidR="00B34F39">
        <w:rPr>
          <w:rFonts w:ascii="Arial" w:hAnsi="Arial" w:cs="Arial"/>
          <w:sz w:val="24"/>
          <w:szCs w:val="24"/>
        </w:rPr>
        <w:t>S</w:t>
      </w:r>
      <w:r w:rsidR="008F30B4" w:rsidRPr="005E0A83">
        <w:rPr>
          <w:rFonts w:ascii="Arial" w:hAnsi="Arial" w:cs="Arial"/>
          <w:sz w:val="24"/>
          <w:szCs w:val="24"/>
        </w:rPr>
        <w:t>eventh</w:t>
      </w:r>
      <w:r w:rsidR="008F30B4">
        <w:rPr>
          <w:rFonts w:ascii="Arial" w:hAnsi="Arial" w:cs="Arial"/>
          <w:sz w:val="24"/>
          <w:szCs w:val="24"/>
        </w:rPr>
        <w:t>;</w:t>
      </w:r>
      <w:r w:rsidR="008F30B4" w:rsidRPr="005E0A83">
        <w:rPr>
          <w:rFonts w:ascii="Arial" w:hAnsi="Arial" w:cs="Arial"/>
          <w:sz w:val="24"/>
          <w:szCs w:val="24"/>
        </w:rPr>
        <w:t xml:space="preserve"> </w:t>
      </w:r>
    </w:p>
    <w:p w14:paraId="134F3196" w14:textId="3EC439A6" w:rsidR="006A6955" w:rsidRPr="005E0A83" w:rsidRDefault="00B34F39" w:rsidP="00AE4DFC">
      <w:pPr>
        <w:spacing w:after="0" w:line="360" w:lineRule="auto"/>
        <w:jc w:val="both"/>
        <w:rPr>
          <w:rFonts w:ascii="Arial" w:hAnsi="Arial" w:cs="Arial"/>
          <w:sz w:val="24"/>
          <w:szCs w:val="24"/>
        </w:rPr>
      </w:pPr>
      <w:r>
        <w:rPr>
          <w:rFonts w:ascii="Arial" w:hAnsi="Arial" w:cs="Arial"/>
          <w:sz w:val="24"/>
          <w:szCs w:val="24"/>
        </w:rPr>
        <w:t>E</w:t>
      </w:r>
      <w:r w:rsidR="008F30B4" w:rsidRPr="005E0A83">
        <w:rPr>
          <w:rFonts w:ascii="Arial" w:hAnsi="Arial" w:cs="Arial"/>
          <w:sz w:val="24"/>
          <w:szCs w:val="24"/>
        </w:rPr>
        <w:t>ighth</w:t>
      </w:r>
      <w:r w:rsidR="008F30B4">
        <w:rPr>
          <w:rFonts w:ascii="Arial" w:hAnsi="Arial" w:cs="Arial"/>
          <w:sz w:val="24"/>
          <w:szCs w:val="24"/>
        </w:rPr>
        <w:t>;</w:t>
      </w:r>
      <w:r w:rsidR="008F30B4" w:rsidRPr="005E0A83">
        <w:rPr>
          <w:rFonts w:ascii="Arial" w:hAnsi="Arial" w:cs="Arial"/>
          <w:sz w:val="24"/>
          <w:szCs w:val="24"/>
        </w:rPr>
        <w:t xml:space="preserve"> and </w:t>
      </w:r>
      <w:r>
        <w:rPr>
          <w:rFonts w:ascii="Arial" w:hAnsi="Arial" w:cs="Arial"/>
          <w:sz w:val="24"/>
          <w:szCs w:val="24"/>
        </w:rPr>
        <w:t>N</w:t>
      </w:r>
      <w:r w:rsidR="008F30B4" w:rsidRPr="005E0A83">
        <w:rPr>
          <w:rFonts w:ascii="Arial" w:hAnsi="Arial" w:cs="Arial"/>
          <w:sz w:val="24"/>
          <w:szCs w:val="24"/>
        </w:rPr>
        <w:t xml:space="preserve">ineth </w:t>
      </w:r>
      <w:r w:rsidR="008F30B4">
        <w:rPr>
          <w:rFonts w:ascii="Arial" w:hAnsi="Arial" w:cs="Arial"/>
          <w:sz w:val="24"/>
          <w:szCs w:val="24"/>
        </w:rPr>
        <w:t>applicants</w:t>
      </w:r>
      <w:r w:rsidR="006A6955" w:rsidRPr="005E0A83">
        <w:rPr>
          <w:rFonts w:ascii="Arial" w:hAnsi="Arial" w:cs="Arial"/>
          <w:sz w:val="24"/>
          <w:szCs w:val="24"/>
        </w:rPr>
        <w:t>:</w:t>
      </w:r>
      <w:r w:rsidR="001B23F7">
        <w:rPr>
          <w:rFonts w:ascii="Arial" w:hAnsi="Arial" w:cs="Arial"/>
          <w:sz w:val="24"/>
          <w:szCs w:val="24"/>
        </w:rPr>
        <w:tab/>
        <w:t>Adv Mzamo</w:t>
      </w:r>
      <w:r w:rsidR="006A6955" w:rsidRPr="005E0A83">
        <w:rPr>
          <w:rFonts w:ascii="Arial" w:hAnsi="Arial" w:cs="Arial"/>
          <w:sz w:val="24"/>
          <w:szCs w:val="24"/>
        </w:rPr>
        <w:t xml:space="preserve"> </w:t>
      </w:r>
      <w:r w:rsidR="006A6955" w:rsidRPr="005E0A83">
        <w:rPr>
          <w:rFonts w:ascii="Arial" w:hAnsi="Arial" w:cs="Arial"/>
          <w:sz w:val="24"/>
          <w:szCs w:val="24"/>
        </w:rPr>
        <w:tab/>
      </w:r>
      <w:r w:rsidR="001B23F7">
        <w:rPr>
          <w:rFonts w:ascii="Arial" w:hAnsi="Arial" w:cs="Arial"/>
          <w:sz w:val="24"/>
          <w:szCs w:val="24"/>
        </w:rPr>
        <w:tab/>
      </w:r>
      <w:r w:rsidR="006A6955" w:rsidRPr="005E0A83">
        <w:rPr>
          <w:rFonts w:ascii="Arial" w:hAnsi="Arial" w:cs="Arial"/>
          <w:sz w:val="24"/>
          <w:szCs w:val="24"/>
        </w:rPr>
        <w:tab/>
      </w:r>
    </w:p>
    <w:p w14:paraId="3F7B949E" w14:textId="77777777" w:rsidR="00AE4DFC" w:rsidRDefault="001B23F7" w:rsidP="00AE4DFC">
      <w:pPr>
        <w:spacing w:after="0" w:line="36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Pr>
          <w:rFonts w:ascii="Arial" w:hAnsi="Arial" w:cs="Arial"/>
          <w:sz w:val="24"/>
          <w:szCs w:val="24"/>
        </w:rPr>
        <w:tab/>
      </w:r>
      <w:r w:rsidR="00AE4DFC">
        <w:rPr>
          <w:rFonts w:ascii="Arial" w:hAnsi="Arial" w:cs="Arial"/>
          <w:sz w:val="24"/>
          <w:szCs w:val="24"/>
        </w:rPr>
        <w:t xml:space="preserve">Mgangatho Attorney </w:t>
      </w:r>
    </w:p>
    <w:p w14:paraId="06272811" w14:textId="6F1F6F0A" w:rsidR="00D555B1" w:rsidRDefault="00AE4DFC" w:rsidP="00AE4DFC">
      <w:pPr>
        <w:spacing w:after="0" w:line="360" w:lineRule="auto"/>
        <w:ind w:left="2880" w:firstLine="720"/>
        <w:jc w:val="both"/>
        <w:rPr>
          <w:rFonts w:ascii="Arial" w:hAnsi="Arial" w:cs="Arial"/>
          <w:sz w:val="24"/>
          <w:szCs w:val="24"/>
        </w:rPr>
      </w:pPr>
      <w:r>
        <w:rPr>
          <w:rFonts w:ascii="Arial" w:hAnsi="Arial" w:cs="Arial"/>
          <w:sz w:val="24"/>
          <w:szCs w:val="24"/>
        </w:rPr>
        <w:t>100 High Street, Makhanda</w:t>
      </w:r>
    </w:p>
    <w:p w14:paraId="4092A31E" w14:textId="77777777" w:rsidR="001B23F7" w:rsidRDefault="001B23F7" w:rsidP="00AE4DFC">
      <w:pPr>
        <w:spacing w:after="0" w:line="360" w:lineRule="auto"/>
        <w:jc w:val="both"/>
        <w:rPr>
          <w:rFonts w:ascii="Arial" w:hAnsi="Arial" w:cs="Arial"/>
          <w:sz w:val="24"/>
          <w:szCs w:val="24"/>
        </w:rPr>
      </w:pPr>
    </w:p>
    <w:p w14:paraId="602DF113" w14:textId="4CF726A7" w:rsidR="006A6955" w:rsidRPr="005E0A83" w:rsidRDefault="006A6955" w:rsidP="00AE4DFC">
      <w:pPr>
        <w:spacing w:after="0" w:line="360" w:lineRule="auto"/>
        <w:jc w:val="both"/>
        <w:rPr>
          <w:rFonts w:ascii="Arial" w:hAnsi="Arial" w:cs="Arial"/>
          <w:sz w:val="24"/>
          <w:szCs w:val="24"/>
        </w:rPr>
      </w:pPr>
      <w:r w:rsidRPr="005E0A83">
        <w:rPr>
          <w:rFonts w:ascii="Arial" w:hAnsi="Arial" w:cs="Arial"/>
          <w:sz w:val="24"/>
          <w:szCs w:val="24"/>
        </w:rPr>
        <w:t xml:space="preserve">For the </w:t>
      </w:r>
      <w:r w:rsidR="004D7BEA">
        <w:rPr>
          <w:rFonts w:ascii="Arial" w:hAnsi="Arial" w:cs="Arial"/>
          <w:sz w:val="24"/>
          <w:szCs w:val="24"/>
        </w:rPr>
        <w:t>First Respondent</w:t>
      </w:r>
      <w:r w:rsidRPr="005E0A83">
        <w:rPr>
          <w:rFonts w:ascii="Arial" w:hAnsi="Arial" w:cs="Arial"/>
          <w:sz w:val="24"/>
          <w:szCs w:val="24"/>
        </w:rPr>
        <w:t>:</w:t>
      </w:r>
      <w:r w:rsidRPr="005E0A83">
        <w:rPr>
          <w:rFonts w:ascii="Arial" w:hAnsi="Arial" w:cs="Arial"/>
          <w:sz w:val="24"/>
          <w:szCs w:val="24"/>
        </w:rPr>
        <w:tab/>
      </w:r>
      <w:r w:rsidRPr="005E0A83">
        <w:rPr>
          <w:rFonts w:ascii="Arial" w:hAnsi="Arial" w:cs="Arial"/>
          <w:sz w:val="24"/>
          <w:szCs w:val="24"/>
        </w:rPr>
        <w:tab/>
      </w:r>
      <w:r w:rsidR="001B23F7">
        <w:rPr>
          <w:rFonts w:ascii="Arial" w:hAnsi="Arial" w:cs="Arial"/>
          <w:sz w:val="24"/>
          <w:szCs w:val="24"/>
        </w:rPr>
        <w:t>Adv Gaisa</w:t>
      </w:r>
    </w:p>
    <w:p w14:paraId="5D865ED6" w14:textId="0900337D" w:rsidR="00E74B5B" w:rsidRDefault="001B23F7" w:rsidP="00AE4DFC">
      <w:pPr>
        <w:spacing w:after="0" w:line="360" w:lineRule="auto"/>
        <w:rPr>
          <w:rFonts w:ascii="Arial" w:hAnsi="Arial" w:cs="Arial"/>
        </w:rPr>
      </w:pPr>
      <w:r>
        <w:rPr>
          <w:rFonts w:ascii="Arial" w:hAnsi="Arial" w:cs="Arial"/>
        </w:rPr>
        <w:t>Instructed by:</w:t>
      </w:r>
      <w:r>
        <w:rPr>
          <w:rFonts w:ascii="Arial" w:hAnsi="Arial" w:cs="Arial"/>
        </w:rPr>
        <w:tab/>
      </w:r>
      <w:r>
        <w:rPr>
          <w:rFonts w:ascii="Arial" w:hAnsi="Arial" w:cs="Arial"/>
        </w:rPr>
        <w:tab/>
      </w:r>
      <w:r>
        <w:rPr>
          <w:rFonts w:ascii="Arial" w:hAnsi="Arial" w:cs="Arial"/>
        </w:rPr>
        <w:tab/>
      </w:r>
      <w:r>
        <w:rPr>
          <w:rFonts w:ascii="Arial" w:hAnsi="Arial" w:cs="Arial"/>
        </w:rPr>
        <w:tab/>
        <w:t>Zilwa Attorneys</w:t>
      </w:r>
    </w:p>
    <w:p w14:paraId="1C45F61A" w14:textId="15B87DC1" w:rsidR="001B23F7" w:rsidRDefault="001B23F7" w:rsidP="00AE4DFC">
      <w:pPr>
        <w:spacing w:after="0"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Office No. 3, 41 African Street, Makhanda</w:t>
      </w:r>
    </w:p>
    <w:p w14:paraId="7D54356C" w14:textId="044F016C" w:rsidR="001B23F7" w:rsidRPr="005E0A83" w:rsidRDefault="001B23F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sectPr w:rsidR="001B23F7" w:rsidRPr="005E0A83" w:rsidSect="0058220B">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45F80" w14:textId="77777777" w:rsidR="0025769A" w:rsidRDefault="0025769A" w:rsidP="006A6955">
      <w:pPr>
        <w:spacing w:after="0" w:line="240" w:lineRule="auto"/>
      </w:pPr>
      <w:r>
        <w:separator/>
      </w:r>
    </w:p>
  </w:endnote>
  <w:endnote w:type="continuationSeparator" w:id="0">
    <w:p w14:paraId="53D8D073" w14:textId="77777777" w:rsidR="0025769A" w:rsidRDefault="0025769A" w:rsidP="006A6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EF4520" w14:textId="77777777" w:rsidR="0025769A" w:rsidRDefault="0025769A" w:rsidP="006A6955">
      <w:pPr>
        <w:spacing w:after="0" w:line="240" w:lineRule="auto"/>
      </w:pPr>
      <w:r>
        <w:separator/>
      </w:r>
    </w:p>
  </w:footnote>
  <w:footnote w:type="continuationSeparator" w:id="0">
    <w:p w14:paraId="525AB350" w14:textId="77777777" w:rsidR="0025769A" w:rsidRDefault="0025769A" w:rsidP="006A6955">
      <w:pPr>
        <w:spacing w:after="0" w:line="240" w:lineRule="auto"/>
      </w:pPr>
      <w:r>
        <w:continuationSeparator/>
      </w:r>
    </w:p>
  </w:footnote>
  <w:footnote w:id="1">
    <w:p w14:paraId="41D423DE" w14:textId="52648AB3" w:rsidR="007D24F1" w:rsidRPr="00EC4657" w:rsidRDefault="007D24F1" w:rsidP="00EC4657">
      <w:pPr>
        <w:pStyle w:val="FootnoteText"/>
        <w:spacing w:line="360" w:lineRule="auto"/>
        <w:jc w:val="both"/>
        <w:rPr>
          <w:rFonts w:ascii="Arial" w:hAnsi="Arial" w:cs="Arial"/>
        </w:rPr>
      </w:pPr>
      <w:r w:rsidRPr="00EC4657">
        <w:rPr>
          <w:rStyle w:val="FootnoteReference"/>
          <w:rFonts w:ascii="Arial" w:hAnsi="Arial" w:cs="Arial"/>
        </w:rPr>
        <w:footnoteRef/>
      </w:r>
      <w:r w:rsidRPr="00EC4657">
        <w:rPr>
          <w:rFonts w:ascii="Arial" w:hAnsi="Arial" w:cs="Arial"/>
        </w:rPr>
        <w:t xml:space="preserve"> The fourth, seventh, and eighth </w:t>
      </w:r>
      <w:r w:rsidR="00053694">
        <w:rPr>
          <w:rFonts w:ascii="Arial" w:hAnsi="Arial" w:cs="Arial"/>
        </w:rPr>
        <w:t>applicants</w:t>
      </w:r>
      <w:r w:rsidRPr="00EC4657">
        <w:rPr>
          <w:rFonts w:ascii="Arial" w:hAnsi="Arial" w:cs="Arial"/>
        </w:rPr>
        <w:t xml:space="preserve"> were present in person, whilst the first respondent was legally represented. </w:t>
      </w:r>
    </w:p>
  </w:footnote>
  <w:footnote w:id="2">
    <w:p w14:paraId="6A53EA97" w14:textId="7263F52D" w:rsidR="001F78E5" w:rsidRPr="00EC4657" w:rsidRDefault="001F78E5" w:rsidP="00EC4657">
      <w:pPr>
        <w:pStyle w:val="FootnoteText"/>
        <w:spacing w:line="360" w:lineRule="auto"/>
        <w:jc w:val="both"/>
        <w:rPr>
          <w:rFonts w:ascii="Arial" w:hAnsi="Arial" w:cs="Arial"/>
        </w:rPr>
      </w:pPr>
      <w:r w:rsidRPr="00EC4657">
        <w:rPr>
          <w:rStyle w:val="FootnoteReference"/>
          <w:rFonts w:ascii="Arial" w:hAnsi="Arial" w:cs="Arial"/>
        </w:rPr>
        <w:footnoteRef/>
      </w:r>
      <w:r w:rsidRPr="00EC4657">
        <w:rPr>
          <w:rFonts w:ascii="Arial" w:hAnsi="Arial" w:cs="Arial"/>
        </w:rPr>
        <w:t xml:space="preserve"> </w:t>
      </w:r>
      <w:r w:rsidR="003A2E30" w:rsidRPr="00EC4657">
        <w:rPr>
          <w:rFonts w:ascii="Arial" w:hAnsi="Arial" w:cs="Arial"/>
        </w:rPr>
        <w:t xml:space="preserve">Whilst the </w:t>
      </w:r>
      <w:r w:rsidRPr="00EC4657">
        <w:rPr>
          <w:rFonts w:ascii="Arial" w:hAnsi="Arial" w:cs="Arial"/>
        </w:rPr>
        <w:t xml:space="preserve">Notice of </w:t>
      </w:r>
      <w:r w:rsidR="003A2E30" w:rsidRPr="00EC4657">
        <w:rPr>
          <w:rFonts w:ascii="Arial" w:hAnsi="Arial" w:cs="Arial"/>
        </w:rPr>
        <w:t xml:space="preserve">Filing, in respect of the first respondent’s answering affidavit, is dated 30 April 2021, it does not contain a receipt stamp from the offices of the first respondent’s attorney of record. </w:t>
      </w:r>
    </w:p>
  </w:footnote>
  <w:footnote w:id="3">
    <w:p w14:paraId="77A84318" w14:textId="49CD140E" w:rsidR="003F63CC" w:rsidRDefault="003F63CC" w:rsidP="00EC4657">
      <w:pPr>
        <w:pStyle w:val="FootnoteText"/>
        <w:spacing w:line="360" w:lineRule="auto"/>
        <w:jc w:val="both"/>
      </w:pPr>
      <w:r w:rsidRPr="00EC4657">
        <w:rPr>
          <w:rStyle w:val="FootnoteReference"/>
          <w:rFonts w:ascii="Arial" w:hAnsi="Arial" w:cs="Arial"/>
        </w:rPr>
        <w:footnoteRef/>
      </w:r>
      <w:r w:rsidRPr="00EC4657">
        <w:rPr>
          <w:rFonts w:ascii="Arial" w:hAnsi="Arial" w:cs="Arial"/>
        </w:rPr>
        <w:t xml:space="preserve"> </w:t>
      </w:r>
      <w:r w:rsidR="005F4394" w:rsidRPr="00EC4657">
        <w:rPr>
          <w:rFonts w:ascii="Arial" w:hAnsi="Arial" w:cs="Arial"/>
        </w:rPr>
        <w:t>I make mention of the fact that t</w:t>
      </w:r>
      <w:r w:rsidRPr="00EC4657">
        <w:rPr>
          <w:rFonts w:ascii="Arial" w:hAnsi="Arial" w:cs="Arial"/>
        </w:rPr>
        <w:t xml:space="preserve">he said notice is </w:t>
      </w:r>
      <w:r w:rsidR="005F4394" w:rsidRPr="00EC4657">
        <w:rPr>
          <w:rFonts w:ascii="Arial" w:hAnsi="Arial" w:cs="Arial"/>
        </w:rPr>
        <w:t>not</w:t>
      </w:r>
      <w:r w:rsidRPr="00EC4657">
        <w:rPr>
          <w:rFonts w:ascii="Arial" w:hAnsi="Arial" w:cs="Arial"/>
        </w:rPr>
        <w:t xml:space="preserve"> compliant with</w:t>
      </w:r>
      <w:r w:rsidR="005F4394" w:rsidRPr="00EC4657">
        <w:rPr>
          <w:rFonts w:ascii="Arial" w:hAnsi="Arial" w:cs="Arial"/>
        </w:rPr>
        <w:t xml:space="preserve"> the provisions of Uniform Rule 16(4)(a), read with Rule 7(a) of the Joint Rules of Practice for the High Courts of the Eastern Cape Province.</w:t>
      </w:r>
      <w:r w:rsidRPr="00EC4657">
        <w:rPr>
          <w:rFonts w:ascii="Arial" w:hAnsi="Arial" w:cs="Arial"/>
        </w:rPr>
        <w:t xml:space="preserve"> </w:t>
      </w:r>
    </w:p>
  </w:footnote>
  <w:footnote w:id="4">
    <w:p w14:paraId="43AC6012" w14:textId="77A42013" w:rsidR="00F14C1B" w:rsidRPr="00C95261" w:rsidRDefault="00F14C1B" w:rsidP="00C95261">
      <w:pPr>
        <w:pStyle w:val="FootnoteText"/>
        <w:spacing w:line="360" w:lineRule="auto"/>
        <w:jc w:val="both"/>
        <w:rPr>
          <w:rFonts w:ascii="Arial" w:hAnsi="Arial" w:cs="Arial"/>
        </w:rPr>
      </w:pPr>
      <w:r w:rsidRPr="00C95261">
        <w:rPr>
          <w:rStyle w:val="FootnoteReference"/>
          <w:rFonts w:ascii="Arial" w:hAnsi="Arial" w:cs="Arial"/>
        </w:rPr>
        <w:footnoteRef/>
      </w:r>
      <w:r w:rsidRPr="00C95261">
        <w:rPr>
          <w:rFonts w:ascii="Arial" w:hAnsi="Arial" w:cs="Arial"/>
        </w:rPr>
        <w:t xml:space="preserve"> Promulgated in Government Gazette 3619, Government Notice R1258 of 21 July 1972, as amended by Government Notice R1648 of 19 August 1977, Government Notice R1428 of 11 July 1980 and Government Notice R774 of 23 April 1983. </w:t>
      </w:r>
    </w:p>
  </w:footnote>
  <w:footnote w:id="5">
    <w:p w14:paraId="1E7BFE21" w14:textId="19DBE42E" w:rsidR="00551CD5" w:rsidRDefault="00551CD5" w:rsidP="00C95261">
      <w:pPr>
        <w:pStyle w:val="FootnoteText"/>
        <w:spacing w:line="360" w:lineRule="auto"/>
        <w:jc w:val="both"/>
      </w:pPr>
      <w:r w:rsidRPr="00C95261">
        <w:rPr>
          <w:rStyle w:val="FootnoteReference"/>
          <w:rFonts w:ascii="Arial" w:hAnsi="Arial" w:cs="Arial"/>
        </w:rPr>
        <w:footnoteRef/>
      </w:r>
      <w:r w:rsidRPr="00C95261">
        <w:rPr>
          <w:rFonts w:ascii="Arial" w:hAnsi="Arial" w:cs="Arial"/>
        </w:rPr>
        <w:t xml:space="preserve"> 2013 (5) SA 563.</w:t>
      </w:r>
      <w:r>
        <w:t xml:space="preserve"> </w:t>
      </w:r>
    </w:p>
  </w:footnote>
  <w:footnote w:id="6">
    <w:p w14:paraId="38E6E550" w14:textId="22AAB168" w:rsidR="007D0F68" w:rsidRPr="006E2AAD" w:rsidRDefault="007D0F68" w:rsidP="007D0F68">
      <w:pPr>
        <w:pStyle w:val="FootnoteText"/>
        <w:rPr>
          <w:rFonts w:ascii="Arial" w:hAnsi="Arial" w:cs="Arial"/>
        </w:rPr>
      </w:pPr>
      <w:r w:rsidRPr="006E2AAD">
        <w:rPr>
          <w:rStyle w:val="FootnoteReference"/>
          <w:rFonts w:ascii="Arial" w:hAnsi="Arial" w:cs="Arial"/>
        </w:rPr>
        <w:footnoteRef/>
      </w:r>
      <w:r w:rsidRPr="006E2AAD">
        <w:rPr>
          <w:rFonts w:ascii="Arial" w:hAnsi="Arial" w:cs="Arial"/>
        </w:rPr>
        <w:t xml:space="preserve"> At paragraph [3].</w:t>
      </w:r>
    </w:p>
  </w:footnote>
  <w:footnote w:id="7">
    <w:p w14:paraId="3C665142" w14:textId="32CFE890" w:rsidR="00DF334B" w:rsidRPr="006E2AAD" w:rsidRDefault="00DF334B" w:rsidP="006E2AAD">
      <w:pPr>
        <w:pStyle w:val="FootnoteText"/>
        <w:spacing w:line="360" w:lineRule="auto"/>
        <w:jc w:val="both"/>
        <w:rPr>
          <w:rFonts w:ascii="Arial" w:hAnsi="Arial" w:cs="Arial"/>
        </w:rPr>
      </w:pPr>
      <w:r w:rsidRPr="006E2AAD">
        <w:rPr>
          <w:rStyle w:val="FootnoteReference"/>
          <w:rFonts w:ascii="Arial" w:hAnsi="Arial" w:cs="Arial"/>
        </w:rPr>
        <w:footnoteRef/>
      </w:r>
      <w:r w:rsidRPr="006E2AAD">
        <w:rPr>
          <w:rFonts w:ascii="Arial" w:hAnsi="Arial" w:cs="Arial"/>
        </w:rPr>
        <w:t xml:space="preserve"> Unreported judgment by Coltman AJ, </w:t>
      </w:r>
      <w:r w:rsidRPr="006E2AAD">
        <w:rPr>
          <w:rFonts w:ascii="Arial" w:eastAsia="Times New Roman" w:hAnsi="Arial" w:cs="Arial"/>
          <w:lang w:eastAsia="en-ZA"/>
        </w:rPr>
        <w:t>(1606/20) [2021] ZAECMHC 6 (28 January 2021).</w:t>
      </w:r>
    </w:p>
  </w:footnote>
  <w:footnote w:id="8">
    <w:p w14:paraId="1ACEC3A0" w14:textId="7E54DFE9" w:rsidR="00757D2C" w:rsidRDefault="00757D2C" w:rsidP="006E2AAD">
      <w:pPr>
        <w:pStyle w:val="FootnoteText"/>
        <w:spacing w:line="360" w:lineRule="auto"/>
        <w:jc w:val="both"/>
      </w:pPr>
      <w:r w:rsidRPr="006E2AAD">
        <w:rPr>
          <w:rStyle w:val="FootnoteReference"/>
          <w:rFonts w:ascii="Arial" w:hAnsi="Arial" w:cs="Arial"/>
        </w:rPr>
        <w:footnoteRef/>
      </w:r>
      <w:r w:rsidRPr="006E2AAD">
        <w:rPr>
          <w:rFonts w:ascii="Arial" w:hAnsi="Arial" w:cs="Arial"/>
        </w:rPr>
        <w:t xml:space="preserve"> Unreported judgment of </w:t>
      </w:r>
      <w:r w:rsidR="00D17941" w:rsidRPr="006E2AAD">
        <w:rPr>
          <w:rFonts w:ascii="Arial" w:hAnsi="Arial" w:cs="Arial"/>
        </w:rPr>
        <w:t xml:space="preserve">Petersen AJ, </w:t>
      </w:r>
      <w:r w:rsidRPr="006E2AAD">
        <w:rPr>
          <w:rFonts w:ascii="Arial" w:hAnsi="Arial" w:cs="Arial"/>
        </w:rPr>
        <w:t>(101816/2016) (2018] ZAGPPHC 345 (10 May 2018)</w:t>
      </w:r>
      <w:r w:rsidR="00D17941" w:rsidRPr="006E2AAD">
        <w:rPr>
          <w:rFonts w:ascii="Arial" w:hAnsi="Arial" w:cs="Arial"/>
        </w:rPr>
        <w:t>.</w:t>
      </w:r>
    </w:p>
  </w:footnote>
  <w:footnote w:id="9">
    <w:p w14:paraId="7BC3496A" w14:textId="77777777" w:rsidR="001A3C34" w:rsidRPr="00795D09" w:rsidRDefault="001A3C34" w:rsidP="001A3C34">
      <w:pPr>
        <w:pStyle w:val="FootnoteText"/>
        <w:spacing w:line="360" w:lineRule="auto"/>
        <w:jc w:val="both"/>
        <w:rPr>
          <w:rFonts w:ascii="Arial" w:hAnsi="Arial" w:cs="Arial"/>
        </w:rPr>
      </w:pPr>
      <w:r w:rsidRPr="00795D09">
        <w:rPr>
          <w:rStyle w:val="FootnoteReference"/>
          <w:rFonts w:ascii="Arial" w:hAnsi="Arial" w:cs="Arial"/>
        </w:rPr>
        <w:footnoteRef/>
      </w:r>
      <w:r w:rsidRPr="00795D09">
        <w:rPr>
          <w:rFonts w:ascii="Arial" w:hAnsi="Arial" w:cs="Arial"/>
        </w:rPr>
        <w:t xml:space="preserve"> See </w:t>
      </w:r>
      <w:r w:rsidRPr="00795D09">
        <w:rPr>
          <w:rFonts w:ascii="Arial" w:hAnsi="Arial" w:cs="Arial"/>
          <w:i/>
          <w:iCs/>
        </w:rPr>
        <w:t>Ferreira v Levin N.O.; Vryenhoek v Powell N.O</w:t>
      </w:r>
      <w:r w:rsidRPr="00795D09">
        <w:rPr>
          <w:rFonts w:ascii="Arial" w:hAnsi="Arial" w:cs="Arial"/>
        </w:rPr>
        <w:t xml:space="preserve">. [1996] ZACC 27; 1996 (2) SA 621 (CC); 1996 (4) BCLR 441 (CC) at para 3; </w:t>
      </w:r>
      <w:r w:rsidRPr="00795D09">
        <w:rPr>
          <w:rFonts w:ascii="Arial" w:hAnsi="Arial" w:cs="Arial"/>
          <w:i/>
          <w:iCs/>
        </w:rPr>
        <w:t>Abbott v Von Theleman</w:t>
      </w:r>
      <w:r w:rsidRPr="00795D09">
        <w:rPr>
          <w:rFonts w:ascii="Arial" w:hAnsi="Arial" w:cs="Arial"/>
        </w:rPr>
        <w:t xml:space="preserve"> 1997 (2) SA 848 (C) at 854B; and </w:t>
      </w:r>
      <w:r w:rsidRPr="00795D09">
        <w:rPr>
          <w:rFonts w:ascii="Arial" w:hAnsi="Arial" w:cs="Arial"/>
          <w:i/>
          <w:iCs/>
        </w:rPr>
        <w:t xml:space="preserve">Mahlangu v De Jager </w:t>
      </w:r>
      <w:r w:rsidRPr="00795D09">
        <w:rPr>
          <w:rFonts w:ascii="Arial" w:hAnsi="Arial" w:cs="Arial"/>
        </w:rPr>
        <w:t>1996 (3) SA 235 (LCC) at 246C-E</w:t>
      </w:r>
    </w:p>
  </w:footnote>
  <w:footnote w:id="10">
    <w:p w14:paraId="0DE472A7" w14:textId="77777777" w:rsidR="001A3C34" w:rsidRPr="007F5289" w:rsidRDefault="001A3C34" w:rsidP="001A3C34">
      <w:pPr>
        <w:pStyle w:val="FootnoteText"/>
        <w:spacing w:line="360" w:lineRule="auto"/>
        <w:rPr>
          <w:rFonts w:ascii="Arial" w:hAnsi="Arial" w:cs="Arial"/>
        </w:rPr>
      </w:pPr>
      <w:r w:rsidRPr="007F5289">
        <w:rPr>
          <w:rStyle w:val="FootnoteReference"/>
          <w:rFonts w:ascii="Arial" w:hAnsi="Arial" w:cs="Arial"/>
        </w:rPr>
        <w:footnoteRef/>
      </w:r>
      <w:r w:rsidRPr="007F5289">
        <w:rPr>
          <w:rFonts w:ascii="Arial" w:hAnsi="Arial" w:cs="Arial"/>
        </w:rPr>
        <w:t xml:space="preserve"> 2010 (2) SA 522 (SCA).</w:t>
      </w:r>
    </w:p>
  </w:footnote>
  <w:footnote w:id="11">
    <w:p w14:paraId="100F2FFC" w14:textId="77777777" w:rsidR="001A3C34" w:rsidRPr="007F5289" w:rsidRDefault="001A3C34" w:rsidP="001A3C34">
      <w:pPr>
        <w:pStyle w:val="FootnoteText"/>
        <w:spacing w:line="360" w:lineRule="auto"/>
        <w:rPr>
          <w:rFonts w:ascii="Arial" w:hAnsi="Arial" w:cs="Arial"/>
        </w:rPr>
      </w:pPr>
      <w:r w:rsidRPr="007F5289">
        <w:rPr>
          <w:rStyle w:val="FootnoteReference"/>
          <w:rFonts w:ascii="Arial" w:hAnsi="Arial" w:cs="Arial"/>
        </w:rPr>
        <w:footnoteRef/>
      </w:r>
      <w:r w:rsidRPr="007F5289">
        <w:rPr>
          <w:rFonts w:ascii="Arial" w:hAnsi="Arial" w:cs="Arial"/>
        </w:rPr>
        <w:t xml:space="preserve"> 1913 AD 354 at 363</w:t>
      </w:r>
      <w:r>
        <w:rPr>
          <w:rFonts w:ascii="Arial" w:hAnsi="Arial" w:cs="Arial"/>
        </w:rPr>
        <w:t>.</w:t>
      </w:r>
    </w:p>
  </w:footnote>
  <w:footnote w:id="12">
    <w:p w14:paraId="31B09CAE" w14:textId="77777777" w:rsidR="001A3C34" w:rsidRPr="007F5289" w:rsidRDefault="001A3C34" w:rsidP="001A3C34">
      <w:pPr>
        <w:pStyle w:val="FootnoteText"/>
        <w:spacing w:line="360" w:lineRule="auto"/>
        <w:rPr>
          <w:rFonts w:ascii="Arial" w:hAnsi="Arial" w:cs="Arial"/>
        </w:rPr>
      </w:pPr>
      <w:r w:rsidRPr="007F5289">
        <w:rPr>
          <w:rStyle w:val="FootnoteReference"/>
          <w:rFonts w:ascii="Arial" w:hAnsi="Arial" w:cs="Arial"/>
        </w:rPr>
        <w:footnoteRef/>
      </w:r>
      <w:r w:rsidRPr="007F5289">
        <w:rPr>
          <w:rFonts w:ascii="Arial" w:hAnsi="Arial" w:cs="Arial"/>
        </w:rPr>
        <w:t xml:space="preserve"> [2016] ZALAC 39, [2016] 37 ILJ 2815 (LAC).</w:t>
      </w:r>
    </w:p>
  </w:footnote>
  <w:footnote w:id="13">
    <w:p w14:paraId="5F7799A6" w14:textId="77777777" w:rsidR="001A3C34" w:rsidRDefault="001A3C34" w:rsidP="001A3C34">
      <w:pPr>
        <w:pStyle w:val="FootnoteText"/>
        <w:spacing w:line="360" w:lineRule="auto"/>
      </w:pPr>
      <w:r w:rsidRPr="007F5289">
        <w:rPr>
          <w:rStyle w:val="FootnoteReference"/>
          <w:rFonts w:ascii="Arial" w:hAnsi="Arial" w:cs="Arial"/>
        </w:rPr>
        <w:footnoteRef/>
      </w:r>
      <w:r w:rsidRPr="007F5289">
        <w:rPr>
          <w:rFonts w:ascii="Arial" w:hAnsi="Arial" w:cs="Arial"/>
        </w:rPr>
        <w:t xml:space="preserve"> [2017] ZACC 14; 2017 (9) BCLR 1216 (CC)</w:t>
      </w:r>
      <w:r>
        <w:rPr>
          <w:rFonts w:ascii="Arial" w:hAnsi="Arial" w:cs="Arial"/>
        </w:rPr>
        <w:t>.</w:t>
      </w:r>
    </w:p>
  </w:footnote>
  <w:footnote w:id="14">
    <w:p w14:paraId="0A4E585D" w14:textId="77777777" w:rsidR="001A3C34" w:rsidRPr="00F7314D" w:rsidRDefault="001A3C34" w:rsidP="001A3C34">
      <w:pPr>
        <w:pStyle w:val="FootnoteText"/>
        <w:spacing w:line="360" w:lineRule="auto"/>
        <w:rPr>
          <w:rFonts w:ascii="Arial" w:hAnsi="Arial" w:cs="Arial"/>
        </w:rPr>
      </w:pPr>
      <w:r w:rsidRPr="00F7314D">
        <w:rPr>
          <w:rStyle w:val="FootnoteReference"/>
          <w:rFonts w:ascii="Arial" w:hAnsi="Arial" w:cs="Arial"/>
        </w:rPr>
        <w:footnoteRef/>
      </w:r>
      <w:r w:rsidRPr="00F7314D">
        <w:rPr>
          <w:rFonts w:ascii="Arial" w:hAnsi="Arial" w:cs="Arial"/>
        </w:rPr>
        <w:t xml:space="preserve"> 2016 JDR 1339 (GP).</w:t>
      </w:r>
    </w:p>
  </w:footnote>
  <w:footnote w:id="15">
    <w:p w14:paraId="7AA0A034" w14:textId="77777777" w:rsidR="001A3C34" w:rsidRDefault="001A3C34" w:rsidP="001A3C34">
      <w:pPr>
        <w:pStyle w:val="FootnoteText"/>
        <w:spacing w:line="360" w:lineRule="auto"/>
      </w:pPr>
      <w:r w:rsidRPr="00F7314D">
        <w:rPr>
          <w:rStyle w:val="FootnoteReference"/>
          <w:rFonts w:ascii="Arial" w:hAnsi="Arial" w:cs="Arial"/>
        </w:rPr>
        <w:footnoteRef/>
      </w:r>
      <w:r w:rsidRPr="00F7314D">
        <w:rPr>
          <w:rFonts w:ascii="Arial" w:hAnsi="Arial" w:cs="Arial"/>
        </w:rPr>
        <w:t xml:space="preserve"> 5</w:t>
      </w:r>
      <w:r w:rsidRPr="00F7314D">
        <w:rPr>
          <w:rFonts w:ascii="Arial" w:hAnsi="Arial" w:cs="Arial"/>
          <w:vertAlign w:val="superscript"/>
        </w:rPr>
        <w:t>th</w:t>
      </w:r>
      <w:r w:rsidRPr="00F7314D">
        <w:rPr>
          <w:rFonts w:ascii="Arial" w:hAnsi="Arial" w:cs="Arial"/>
        </w:rPr>
        <w:t xml:space="preserve"> Edition at p 973.</w:t>
      </w:r>
    </w:p>
  </w:footnote>
  <w:footnote w:id="16">
    <w:p w14:paraId="2508FCD9" w14:textId="4835EA0C" w:rsidR="00156AF9" w:rsidRPr="00F00D3F" w:rsidRDefault="00156AF9">
      <w:pPr>
        <w:pStyle w:val="FootnoteText"/>
        <w:rPr>
          <w:rFonts w:ascii="Arial" w:hAnsi="Arial" w:cs="Arial"/>
        </w:rPr>
      </w:pPr>
      <w:r w:rsidRPr="00F00D3F">
        <w:rPr>
          <w:rStyle w:val="FootnoteReference"/>
          <w:rFonts w:ascii="Arial" w:hAnsi="Arial" w:cs="Arial"/>
        </w:rPr>
        <w:footnoteRef/>
      </w:r>
      <w:r w:rsidRPr="00F00D3F">
        <w:rPr>
          <w:rFonts w:ascii="Arial" w:hAnsi="Arial" w:cs="Arial"/>
        </w:rPr>
        <w:t xml:space="preserve"> Save for the fourth applicant.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6718054"/>
      <w:docPartObj>
        <w:docPartGallery w:val="Page Numbers (Top of Page)"/>
        <w:docPartUnique/>
      </w:docPartObj>
    </w:sdtPr>
    <w:sdtEndPr>
      <w:rPr>
        <w:noProof/>
      </w:rPr>
    </w:sdtEndPr>
    <w:sdtContent>
      <w:p w14:paraId="29448C37" w14:textId="7D1C1692" w:rsidR="0058220B" w:rsidRDefault="0058220B">
        <w:pPr>
          <w:pStyle w:val="Header"/>
          <w:jc w:val="center"/>
        </w:pPr>
        <w:r>
          <w:fldChar w:fldCharType="begin"/>
        </w:r>
        <w:r>
          <w:instrText xml:space="preserve"> PAGE   \* MERGEFORMAT </w:instrText>
        </w:r>
        <w:r>
          <w:fldChar w:fldCharType="separate"/>
        </w:r>
        <w:r w:rsidR="0011784B">
          <w:rPr>
            <w:noProof/>
          </w:rPr>
          <w:t>2</w:t>
        </w:r>
        <w:r>
          <w:rPr>
            <w:noProof/>
          </w:rPr>
          <w:fldChar w:fldCharType="end"/>
        </w:r>
      </w:p>
    </w:sdtContent>
  </w:sdt>
  <w:p w14:paraId="5E7FF9A0" w14:textId="77777777" w:rsidR="0058220B" w:rsidRDefault="005822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07C4A"/>
    <w:multiLevelType w:val="hybridMultilevel"/>
    <w:tmpl w:val="5E7E606A"/>
    <w:lvl w:ilvl="0" w:tplc="33CCAAF0">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 w15:restartNumberingAfterBreak="0">
    <w:nsid w:val="276F7481"/>
    <w:multiLevelType w:val="hybridMultilevel"/>
    <w:tmpl w:val="A4A861A8"/>
    <w:lvl w:ilvl="0" w:tplc="E5D26C5C">
      <w:start w:val="1"/>
      <w:numFmt w:val="decimal"/>
      <w:lvlText w:val="%1."/>
      <w:lvlJc w:val="left"/>
      <w:pPr>
        <w:ind w:left="1211" w:hanging="360"/>
      </w:pPr>
      <w:rPr>
        <w:rFonts w:hint="default"/>
        <w:color w:val="4A4A4A"/>
        <w:sz w:val="22"/>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 w15:restartNumberingAfterBreak="0">
    <w:nsid w:val="330D490F"/>
    <w:multiLevelType w:val="hybridMultilevel"/>
    <w:tmpl w:val="0A4ED7C0"/>
    <w:lvl w:ilvl="0" w:tplc="87FC32EC">
      <w:start w:val="1"/>
      <w:numFmt w:val="decimal"/>
      <w:lvlText w:val="[%1]"/>
      <w:lvlJc w:val="left"/>
      <w:pPr>
        <w:ind w:left="720" w:hanging="360"/>
      </w:pPr>
      <w:rPr>
        <w:rFonts w:ascii="Arial" w:hAnsi="Arial" w:cs="Arial" w:hint="default"/>
        <w:i w:val="0"/>
        <w:iCs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40B4098"/>
    <w:multiLevelType w:val="hybridMultilevel"/>
    <w:tmpl w:val="8DF0BD8C"/>
    <w:lvl w:ilvl="0" w:tplc="C7E08DBA">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 w15:restartNumberingAfterBreak="0">
    <w:nsid w:val="3E0F7C33"/>
    <w:multiLevelType w:val="hybridMultilevel"/>
    <w:tmpl w:val="C5B2F5E8"/>
    <w:lvl w:ilvl="0" w:tplc="9DE26D2C">
      <w:start w:val="2"/>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955"/>
    <w:rsid w:val="00005EFD"/>
    <w:rsid w:val="00023371"/>
    <w:rsid w:val="000259BD"/>
    <w:rsid w:val="0004028F"/>
    <w:rsid w:val="00044D3D"/>
    <w:rsid w:val="00053694"/>
    <w:rsid w:val="000941AD"/>
    <w:rsid w:val="00095D14"/>
    <w:rsid w:val="000B610C"/>
    <w:rsid w:val="000B6A7F"/>
    <w:rsid w:val="000D3E29"/>
    <w:rsid w:val="000E19ED"/>
    <w:rsid w:val="00106D5A"/>
    <w:rsid w:val="001120AF"/>
    <w:rsid w:val="0011784B"/>
    <w:rsid w:val="00122325"/>
    <w:rsid w:val="001232B2"/>
    <w:rsid w:val="00150656"/>
    <w:rsid w:val="00156AF9"/>
    <w:rsid w:val="001572AD"/>
    <w:rsid w:val="001978F9"/>
    <w:rsid w:val="001A3C34"/>
    <w:rsid w:val="001B10F5"/>
    <w:rsid w:val="001B23F7"/>
    <w:rsid w:val="001D6006"/>
    <w:rsid w:val="001D6A36"/>
    <w:rsid w:val="001E3C31"/>
    <w:rsid w:val="001E7FA8"/>
    <w:rsid w:val="001F78E5"/>
    <w:rsid w:val="002270C5"/>
    <w:rsid w:val="002530A8"/>
    <w:rsid w:val="0025769A"/>
    <w:rsid w:val="00262E50"/>
    <w:rsid w:val="002678A1"/>
    <w:rsid w:val="002C5A4F"/>
    <w:rsid w:val="002D0164"/>
    <w:rsid w:val="002E0BEE"/>
    <w:rsid w:val="002E593F"/>
    <w:rsid w:val="00313D8C"/>
    <w:rsid w:val="003615C4"/>
    <w:rsid w:val="00362C8A"/>
    <w:rsid w:val="00363E35"/>
    <w:rsid w:val="00376979"/>
    <w:rsid w:val="0038004E"/>
    <w:rsid w:val="003802B7"/>
    <w:rsid w:val="00394834"/>
    <w:rsid w:val="003A2E30"/>
    <w:rsid w:val="003A62EB"/>
    <w:rsid w:val="003B5B58"/>
    <w:rsid w:val="003D5FCD"/>
    <w:rsid w:val="003F63CC"/>
    <w:rsid w:val="003F683C"/>
    <w:rsid w:val="00413C4E"/>
    <w:rsid w:val="00427B79"/>
    <w:rsid w:val="00451D14"/>
    <w:rsid w:val="0048423C"/>
    <w:rsid w:val="004C231B"/>
    <w:rsid w:val="004D000E"/>
    <w:rsid w:val="004D3C16"/>
    <w:rsid w:val="004D7BEA"/>
    <w:rsid w:val="005040FF"/>
    <w:rsid w:val="00523DE0"/>
    <w:rsid w:val="0053469F"/>
    <w:rsid w:val="00551CD5"/>
    <w:rsid w:val="00570EB5"/>
    <w:rsid w:val="0058220B"/>
    <w:rsid w:val="005E0A83"/>
    <w:rsid w:val="005F4394"/>
    <w:rsid w:val="00610B30"/>
    <w:rsid w:val="00621743"/>
    <w:rsid w:val="006231D7"/>
    <w:rsid w:val="00672F5F"/>
    <w:rsid w:val="00674BEE"/>
    <w:rsid w:val="0067747D"/>
    <w:rsid w:val="00682312"/>
    <w:rsid w:val="006A6955"/>
    <w:rsid w:val="006D5B45"/>
    <w:rsid w:val="006E2AAD"/>
    <w:rsid w:val="00703A08"/>
    <w:rsid w:val="00705095"/>
    <w:rsid w:val="00710874"/>
    <w:rsid w:val="00722B66"/>
    <w:rsid w:val="00726ECA"/>
    <w:rsid w:val="0074486D"/>
    <w:rsid w:val="00757D2C"/>
    <w:rsid w:val="00795D09"/>
    <w:rsid w:val="007B53CD"/>
    <w:rsid w:val="007C7BCC"/>
    <w:rsid w:val="007D0F68"/>
    <w:rsid w:val="007D24F1"/>
    <w:rsid w:val="007F5289"/>
    <w:rsid w:val="00802BCA"/>
    <w:rsid w:val="00806C13"/>
    <w:rsid w:val="0081383D"/>
    <w:rsid w:val="008216B0"/>
    <w:rsid w:val="0084274B"/>
    <w:rsid w:val="0085590F"/>
    <w:rsid w:val="0085718C"/>
    <w:rsid w:val="008D0FBD"/>
    <w:rsid w:val="008E1800"/>
    <w:rsid w:val="008E664F"/>
    <w:rsid w:val="008F30B4"/>
    <w:rsid w:val="00901728"/>
    <w:rsid w:val="00931E7E"/>
    <w:rsid w:val="00934CA9"/>
    <w:rsid w:val="009420BA"/>
    <w:rsid w:val="0094406A"/>
    <w:rsid w:val="00946843"/>
    <w:rsid w:val="00953F54"/>
    <w:rsid w:val="00954D58"/>
    <w:rsid w:val="009550BE"/>
    <w:rsid w:val="00981631"/>
    <w:rsid w:val="0098317F"/>
    <w:rsid w:val="00986949"/>
    <w:rsid w:val="00992424"/>
    <w:rsid w:val="00995D32"/>
    <w:rsid w:val="009C7A6B"/>
    <w:rsid w:val="009D3BDB"/>
    <w:rsid w:val="009E04C2"/>
    <w:rsid w:val="009E1308"/>
    <w:rsid w:val="009F226B"/>
    <w:rsid w:val="00A15826"/>
    <w:rsid w:val="00A61D34"/>
    <w:rsid w:val="00AA6C62"/>
    <w:rsid w:val="00AB0DAD"/>
    <w:rsid w:val="00AB7E6A"/>
    <w:rsid w:val="00AD3BE0"/>
    <w:rsid w:val="00AD6090"/>
    <w:rsid w:val="00AD7809"/>
    <w:rsid w:val="00AE4DFC"/>
    <w:rsid w:val="00B0091B"/>
    <w:rsid w:val="00B34F39"/>
    <w:rsid w:val="00B44642"/>
    <w:rsid w:val="00B46C54"/>
    <w:rsid w:val="00B72C23"/>
    <w:rsid w:val="00B869CA"/>
    <w:rsid w:val="00BA4961"/>
    <w:rsid w:val="00BA70E4"/>
    <w:rsid w:val="00BA78C9"/>
    <w:rsid w:val="00BB0379"/>
    <w:rsid w:val="00BB6232"/>
    <w:rsid w:val="00C35A66"/>
    <w:rsid w:val="00C62875"/>
    <w:rsid w:val="00C72A93"/>
    <w:rsid w:val="00C74BE4"/>
    <w:rsid w:val="00C83423"/>
    <w:rsid w:val="00C864D3"/>
    <w:rsid w:val="00C95261"/>
    <w:rsid w:val="00CB06FE"/>
    <w:rsid w:val="00CE751E"/>
    <w:rsid w:val="00D0614C"/>
    <w:rsid w:val="00D1033B"/>
    <w:rsid w:val="00D17941"/>
    <w:rsid w:val="00D3617E"/>
    <w:rsid w:val="00D555B1"/>
    <w:rsid w:val="00D60058"/>
    <w:rsid w:val="00D6331E"/>
    <w:rsid w:val="00D74CE1"/>
    <w:rsid w:val="00D80EC8"/>
    <w:rsid w:val="00DD3AF8"/>
    <w:rsid w:val="00DD6F79"/>
    <w:rsid w:val="00DF2CF1"/>
    <w:rsid w:val="00DF334B"/>
    <w:rsid w:val="00E124E7"/>
    <w:rsid w:val="00E21257"/>
    <w:rsid w:val="00E619E8"/>
    <w:rsid w:val="00E74B5B"/>
    <w:rsid w:val="00E77ECB"/>
    <w:rsid w:val="00E80FB5"/>
    <w:rsid w:val="00E904C9"/>
    <w:rsid w:val="00E925E7"/>
    <w:rsid w:val="00E96057"/>
    <w:rsid w:val="00EA3716"/>
    <w:rsid w:val="00EA60AA"/>
    <w:rsid w:val="00EB7F57"/>
    <w:rsid w:val="00EC4657"/>
    <w:rsid w:val="00ED51A9"/>
    <w:rsid w:val="00EF5993"/>
    <w:rsid w:val="00F00D3F"/>
    <w:rsid w:val="00F14C1B"/>
    <w:rsid w:val="00F37568"/>
    <w:rsid w:val="00F45DEB"/>
    <w:rsid w:val="00F510CD"/>
    <w:rsid w:val="00F53D6C"/>
    <w:rsid w:val="00F72F9F"/>
    <w:rsid w:val="00F7314D"/>
    <w:rsid w:val="00F9702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D066D"/>
  <w15:chartTrackingRefBased/>
  <w15:docId w15:val="{8EC3FEBA-300C-4319-96CF-94B84741C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955"/>
  </w:style>
  <w:style w:type="paragraph" w:styleId="Heading2">
    <w:name w:val="heading 2"/>
    <w:basedOn w:val="Normal"/>
    <w:link w:val="Heading2Char"/>
    <w:uiPriority w:val="9"/>
    <w:qFormat/>
    <w:rsid w:val="006A6955"/>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6955"/>
    <w:rPr>
      <w:rFonts w:ascii="Times New Roman" w:eastAsia="Times New Roman" w:hAnsi="Times New Roman" w:cs="Times New Roman"/>
      <w:b/>
      <w:bCs/>
      <w:sz w:val="36"/>
      <w:szCs w:val="36"/>
      <w:lang w:eastAsia="en-ZA"/>
    </w:rPr>
  </w:style>
  <w:style w:type="paragraph" w:styleId="ListParagraph">
    <w:name w:val="List Paragraph"/>
    <w:basedOn w:val="Normal"/>
    <w:link w:val="ListParagraphChar"/>
    <w:uiPriority w:val="34"/>
    <w:qFormat/>
    <w:rsid w:val="006A6955"/>
    <w:pPr>
      <w:ind w:left="720"/>
      <w:contextualSpacing/>
    </w:pPr>
  </w:style>
  <w:style w:type="paragraph" w:customStyle="1" w:styleId="GW11">
    <w:name w:val="GW1.1"/>
    <w:basedOn w:val="Normal"/>
    <w:rsid w:val="006A6955"/>
    <w:pPr>
      <w:tabs>
        <w:tab w:val="left" w:pos="0"/>
        <w:tab w:val="left" w:pos="1152"/>
        <w:tab w:val="left" w:pos="2592"/>
        <w:tab w:val="left" w:pos="4464"/>
        <w:tab w:val="left" w:pos="6048"/>
      </w:tabs>
      <w:spacing w:after="0" w:line="360" w:lineRule="auto"/>
      <w:ind w:right="1145"/>
      <w:jc w:val="both"/>
    </w:pPr>
    <w:rPr>
      <w:rFonts w:ascii="Courier" w:eastAsia="Times New Roman" w:hAnsi="Courier" w:cs="Times New Roman"/>
      <w:snapToGrid w:val="0"/>
      <w:sz w:val="24"/>
      <w:szCs w:val="20"/>
      <w:lang w:val="en-US"/>
    </w:rPr>
  </w:style>
  <w:style w:type="paragraph" w:customStyle="1" w:styleId="GW12">
    <w:name w:val="GW1.2"/>
    <w:basedOn w:val="Normal"/>
    <w:rsid w:val="006A6955"/>
    <w:pPr>
      <w:tabs>
        <w:tab w:val="left" w:pos="0"/>
        <w:tab w:val="left" w:pos="1152"/>
        <w:tab w:val="left" w:pos="2592"/>
        <w:tab w:val="left" w:pos="4464"/>
        <w:tab w:val="left" w:pos="6048"/>
        <w:tab w:val="right" w:pos="8640"/>
      </w:tabs>
      <w:spacing w:after="0" w:line="360" w:lineRule="auto"/>
      <w:ind w:right="1145"/>
      <w:jc w:val="both"/>
    </w:pPr>
    <w:rPr>
      <w:rFonts w:ascii="Courier" w:eastAsia="Times New Roman" w:hAnsi="Courier" w:cs="Times New Roman"/>
      <w:snapToGrid w:val="0"/>
      <w:sz w:val="24"/>
      <w:szCs w:val="20"/>
      <w:lang w:val="en-US"/>
    </w:rPr>
  </w:style>
  <w:style w:type="paragraph" w:customStyle="1" w:styleId="GW13">
    <w:name w:val="GW1.3"/>
    <w:basedOn w:val="Normal"/>
    <w:rsid w:val="006A6955"/>
    <w:pPr>
      <w:tabs>
        <w:tab w:val="right" w:pos="8640"/>
      </w:tabs>
      <w:spacing w:after="0" w:line="360" w:lineRule="auto"/>
      <w:ind w:right="1145"/>
      <w:jc w:val="both"/>
    </w:pPr>
    <w:rPr>
      <w:rFonts w:ascii="Courier" w:eastAsia="Times New Roman" w:hAnsi="Courier" w:cs="Times New Roman"/>
      <w:snapToGrid w:val="0"/>
      <w:sz w:val="24"/>
      <w:szCs w:val="20"/>
      <w:lang w:val="en-US"/>
    </w:rPr>
  </w:style>
  <w:style w:type="character" w:styleId="Hyperlink">
    <w:name w:val="Hyperlink"/>
    <w:basedOn w:val="DefaultParagraphFont"/>
    <w:uiPriority w:val="99"/>
    <w:semiHidden/>
    <w:unhideWhenUsed/>
    <w:rsid w:val="006A6955"/>
    <w:rPr>
      <w:color w:val="0000FF"/>
      <w:u w:val="single"/>
    </w:rPr>
  </w:style>
  <w:style w:type="paragraph" w:styleId="FootnoteText">
    <w:name w:val="footnote text"/>
    <w:basedOn w:val="Normal"/>
    <w:link w:val="FootnoteTextChar"/>
    <w:uiPriority w:val="99"/>
    <w:unhideWhenUsed/>
    <w:rsid w:val="006A6955"/>
    <w:pPr>
      <w:spacing w:after="0" w:line="240" w:lineRule="auto"/>
    </w:pPr>
    <w:rPr>
      <w:sz w:val="20"/>
      <w:szCs w:val="20"/>
    </w:rPr>
  </w:style>
  <w:style w:type="character" w:customStyle="1" w:styleId="FootnoteTextChar">
    <w:name w:val="Footnote Text Char"/>
    <w:basedOn w:val="DefaultParagraphFont"/>
    <w:link w:val="FootnoteText"/>
    <w:uiPriority w:val="99"/>
    <w:rsid w:val="006A6955"/>
    <w:rPr>
      <w:sz w:val="20"/>
      <w:szCs w:val="20"/>
    </w:rPr>
  </w:style>
  <w:style w:type="character" w:styleId="FootnoteReference">
    <w:name w:val="footnote reference"/>
    <w:basedOn w:val="DefaultParagraphFont"/>
    <w:uiPriority w:val="99"/>
    <w:semiHidden/>
    <w:unhideWhenUsed/>
    <w:rsid w:val="006A6955"/>
    <w:rPr>
      <w:vertAlign w:val="superscript"/>
    </w:rPr>
  </w:style>
  <w:style w:type="character" w:customStyle="1" w:styleId="ListParagraphChar">
    <w:name w:val="List Paragraph Char"/>
    <w:link w:val="ListParagraph"/>
    <w:uiPriority w:val="34"/>
    <w:rsid w:val="005F4394"/>
  </w:style>
  <w:style w:type="paragraph" w:styleId="NormalWeb">
    <w:name w:val="Normal (Web)"/>
    <w:basedOn w:val="Normal"/>
    <w:uiPriority w:val="99"/>
    <w:semiHidden/>
    <w:unhideWhenUsed/>
    <w:rsid w:val="001D6A36"/>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Header">
    <w:name w:val="header"/>
    <w:basedOn w:val="Normal"/>
    <w:link w:val="HeaderChar"/>
    <w:uiPriority w:val="99"/>
    <w:unhideWhenUsed/>
    <w:rsid w:val="005822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20B"/>
  </w:style>
  <w:style w:type="paragraph" w:styleId="Footer">
    <w:name w:val="footer"/>
    <w:basedOn w:val="Normal"/>
    <w:link w:val="FooterChar"/>
    <w:uiPriority w:val="99"/>
    <w:unhideWhenUsed/>
    <w:rsid w:val="005822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504191">
      <w:bodyDiv w:val="1"/>
      <w:marLeft w:val="0"/>
      <w:marRight w:val="0"/>
      <w:marTop w:val="0"/>
      <w:marBottom w:val="0"/>
      <w:divBdr>
        <w:top w:val="none" w:sz="0" w:space="0" w:color="auto"/>
        <w:left w:val="none" w:sz="0" w:space="0" w:color="auto"/>
        <w:bottom w:val="none" w:sz="0" w:space="0" w:color="auto"/>
        <w:right w:val="none" w:sz="0" w:space="0" w:color="auto"/>
      </w:divBdr>
    </w:div>
    <w:div w:id="167348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lii.org/cgi-bin/LawCite?cit=1979%20%283%29%20SA%2039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aflii.org/cgi-bin/LawCite?cit=1974%20%284%29%20SA%208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A30F6-8DC2-4F78-9670-084786A8F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3611</Words>
  <Characters>20585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Bands</dc:creator>
  <cp:keywords/>
  <dc:description/>
  <cp:lastModifiedBy>HOME</cp:lastModifiedBy>
  <cp:revision>2</cp:revision>
  <cp:lastPrinted>2022-07-28T06:24:00Z</cp:lastPrinted>
  <dcterms:created xsi:type="dcterms:W3CDTF">2022-08-14T09:00:00Z</dcterms:created>
  <dcterms:modified xsi:type="dcterms:W3CDTF">2022-08-14T09:00:00Z</dcterms:modified>
</cp:coreProperties>
</file>