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8B9" w:rsidRPr="00B05C5F" w:rsidRDefault="009F68B9" w:rsidP="009F68B9">
      <w:pPr>
        <w:widowControl w:val="0"/>
        <w:spacing w:after="0" w:line="360" w:lineRule="auto"/>
        <w:jc w:val="center"/>
        <w:rPr>
          <w:rFonts w:ascii="Arial" w:eastAsia="Times New Roman" w:hAnsi="Arial" w:cs="Arial"/>
          <w:sz w:val="24"/>
          <w:szCs w:val="24"/>
        </w:rPr>
      </w:pPr>
      <w:bookmarkStart w:id="0" w:name="_GoBack"/>
      <w:bookmarkEnd w:id="0"/>
      <w:r w:rsidRPr="00B05C5F">
        <w:rPr>
          <w:rFonts w:ascii="Arial" w:eastAsia="Times New Roman" w:hAnsi="Arial" w:cs="Arial"/>
          <w:noProof/>
          <w:sz w:val="24"/>
          <w:szCs w:val="24"/>
          <w:lang w:eastAsia="en-ZA"/>
        </w:rPr>
        <w:drawing>
          <wp:inline distT="0" distB="0" distL="0" distR="0" wp14:anchorId="678B17F2" wp14:editId="5E227E12">
            <wp:extent cx="987425" cy="987425"/>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7425" cy="987425"/>
                    </a:xfrm>
                    <a:prstGeom prst="rect">
                      <a:avLst/>
                    </a:prstGeom>
                    <a:noFill/>
                  </pic:spPr>
                </pic:pic>
              </a:graphicData>
            </a:graphic>
          </wp:inline>
        </w:drawing>
      </w:r>
    </w:p>
    <w:p w:rsidR="009F68B9" w:rsidRPr="00B05C5F" w:rsidRDefault="009F68B9" w:rsidP="009F68B9">
      <w:pPr>
        <w:widowControl w:val="0"/>
        <w:spacing w:after="0" w:line="360" w:lineRule="auto"/>
        <w:jc w:val="center"/>
        <w:rPr>
          <w:rFonts w:ascii="Arial" w:eastAsia="Times New Roman" w:hAnsi="Arial" w:cs="Arial"/>
          <w:b/>
          <w:sz w:val="24"/>
          <w:szCs w:val="24"/>
        </w:rPr>
      </w:pPr>
      <w:r w:rsidRPr="00B05C5F">
        <w:rPr>
          <w:rFonts w:ascii="Arial" w:eastAsia="Times New Roman" w:hAnsi="Arial" w:cs="Arial"/>
          <w:b/>
          <w:sz w:val="24"/>
          <w:szCs w:val="24"/>
        </w:rPr>
        <w:t>IN THE HIGH COURT OF SOUTH AFRICA</w:t>
      </w:r>
    </w:p>
    <w:p w:rsidR="009F68B9" w:rsidRPr="00B05C5F" w:rsidRDefault="009F68B9" w:rsidP="009F68B9">
      <w:pPr>
        <w:widowControl w:val="0"/>
        <w:tabs>
          <w:tab w:val="right" w:pos="9213"/>
        </w:tabs>
        <w:spacing w:line="360" w:lineRule="auto"/>
        <w:jc w:val="center"/>
        <w:rPr>
          <w:rFonts w:ascii="Arial" w:hAnsi="Arial" w:cs="Arial"/>
          <w:b/>
          <w:sz w:val="24"/>
          <w:szCs w:val="24"/>
        </w:rPr>
      </w:pPr>
      <w:r w:rsidRPr="00B05C5F">
        <w:rPr>
          <w:rFonts w:ascii="Arial" w:hAnsi="Arial" w:cs="Arial"/>
          <w:b/>
          <w:sz w:val="24"/>
          <w:szCs w:val="24"/>
        </w:rPr>
        <w:t xml:space="preserve">EASTERN CAPE DIVISION, </w:t>
      </w:r>
      <w:r w:rsidR="006C5C9A">
        <w:rPr>
          <w:rFonts w:ascii="Arial" w:hAnsi="Arial" w:cs="Arial"/>
          <w:b/>
          <w:sz w:val="24"/>
          <w:szCs w:val="24"/>
        </w:rPr>
        <w:t>MAKHANDA</w:t>
      </w:r>
    </w:p>
    <w:p w:rsidR="009F68B9" w:rsidRPr="009F68B9" w:rsidRDefault="009F68B9" w:rsidP="009F68B9">
      <w:pPr>
        <w:spacing w:after="0" w:line="360" w:lineRule="auto"/>
        <w:ind w:left="360" w:hanging="360"/>
        <w:jc w:val="right"/>
        <w:rPr>
          <w:rFonts w:ascii="Arial" w:hAnsi="Arial"/>
          <w:b/>
          <w:sz w:val="24"/>
          <w:lang w:val="en-US"/>
        </w:rPr>
      </w:pPr>
      <w:r w:rsidRPr="009F68B9">
        <w:rPr>
          <w:rFonts w:ascii="Arial" w:hAnsi="Arial"/>
          <w:b/>
          <w:sz w:val="24"/>
          <w:lang w:val="en-US"/>
        </w:rPr>
        <w:t>CASE NO: 1770/2020</w:t>
      </w:r>
    </w:p>
    <w:p w:rsidR="009F68B9" w:rsidRPr="009F68B9" w:rsidRDefault="009F68B9" w:rsidP="009F68B9">
      <w:pPr>
        <w:tabs>
          <w:tab w:val="left" w:pos="5670"/>
        </w:tabs>
        <w:spacing w:after="0" w:line="240" w:lineRule="auto"/>
        <w:jc w:val="both"/>
        <w:rPr>
          <w:rFonts w:ascii="Arial" w:hAnsi="Arial"/>
          <w:sz w:val="24"/>
          <w:szCs w:val="24"/>
          <w:lang w:val="en-US"/>
        </w:rPr>
      </w:pPr>
    </w:p>
    <w:p w:rsidR="009F68B9" w:rsidRPr="009F68B9" w:rsidRDefault="009F68B9" w:rsidP="009F68B9">
      <w:pPr>
        <w:tabs>
          <w:tab w:val="left" w:pos="5670"/>
        </w:tabs>
        <w:spacing w:after="0" w:line="240" w:lineRule="auto"/>
        <w:jc w:val="both"/>
        <w:rPr>
          <w:rFonts w:ascii="Arial" w:hAnsi="Arial"/>
          <w:sz w:val="24"/>
          <w:szCs w:val="24"/>
          <w:lang w:val="en-US"/>
        </w:rPr>
      </w:pPr>
    </w:p>
    <w:p w:rsidR="009F68B9" w:rsidRPr="009F68B9" w:rsidRDefault="009F68B9" w:rsidP="009F68B9">
      <w:pPr>
        <w:tabs>
          <w:tab w:val="left" w:pos="5670"/>
        </w:tabs>
        <w:spacing w:after="0" w:line="240" w:lineRule="auto"/>
        <w:jc w:val="both"/>
        <w:rPr>
          <w:rFonts w:ascii="Arial" w:hAnsi="Arial"/>
          <w:sz w:val="24"/>
          <w:szCs w:val="24"/>
          <w:lang w:val="en-US"/>
        </w:rPr>
      </w:pPr>
      <w:r w:rsidRPr="009F68B9">
        <w:rPr>
          <w:rFonts w:ascii="Arial" w:hAnsi="Arial"/>
          <w:sz w:val="24"/>
          <w:szCs w:val="24"/>
          <w:lang w:val="en-US"/>
        </w:rPr>
        <w:t>In the matter between:</w:t>
      </w:r>
    </w:p>
    <w:p w:rsidR="009F68B9" w:rsidRPr="009F68B9" w:rsidRDefault="009F68B9" w:rsidP="009F68B9">
      <w:pPr>
        <w:spacing w:after="0" w:line="240" w:lineRule="auto"/>
        <w:ind w:left="360" w:hanging="360"/>
        <w:jc w:val="both"/>
        <w:rPr>
          <w:rFonts w:ascii="Arial" w:hAnsi="Arial"/>
          <w:sz w:val="24"/>
          <w:szCs w:val="24"/>
          <w:lang w:val="en-US"/>
        </w:rPr>
      </w:pPr>
    </w:p>
    <w:p w:rsidR="009F68B9" w:rsidRPr="009F68B9" w:rsidRDefault="009F68B9" w:rsidP="009F68B9">
      <w:pPr>
        <w:spacing w:after="0" w:line="360" w:lineRule="auto"/>
        <w:ind w:left="360" w:hanging="360"/>
        <w:jc w:val="both"/>
        <w:rPr>
          <w:rFonts w:ascii="Arial" w:hAnsi="Arial" w:cs="Arial"/>
          <w:b/>
          <w:bCs/>
          <w:sz w:val="24"/>
          <w:szCs w:val="24"/>
          <w:lang w:val="en-US"/>
        </w:rPr>
      </w:pPr>
      <w:r w:rsidRPr="009F68B9">
        <w:rPr>
          <w:rFonts w:ascii="Arial" w:hAnsi="Arial" w:cs="Arial"/>
          <w:b/>
          <w:bCs/>
          <w:sz w:val="24"/>
          <w:szCs w:val="24"/>
          <w:lang w:val="en-US"/>
        </w:rPr>
        <w:t>EAST LONDON JEWISH HELPING HAND</w:t>
      </w:r>
    </w:p>
    <w:p w:rsidR="009F68B9" w:rsidRPr="009F68B9" w:rsidRDefault="009F68B9" w:rsidP="009F68B9">
      <w:pPr>
        <w:spacing w:after="0" w:line="360" w:lineRule="auto"/>
        <w:ind w:left="360" w:hanging="360"/>
        <w:jc w:val="both"/>
        <w:rPr>
          <w:rFonts w:ascii="Arial" w:hAnsi="Arial" w:cs="Arial"/>
          <w:b/>
          <w:bCs/>
          <w:sz w:val="24"/>
          <w:szCs w:val="24"/>
          <w:lang w:val="en-US"/>
        </w:rPr>
      </w:pPr>
      <w:r w:rsidRPr="009F68B9">
        <w:rPr>
          <w:rFonts w:ascii="Arial" w:hAnsi="Arial" w:cs="Arial"/>
          <w:b/>
          <w:bCs/>
          <w:sz w:val="24"/>
          <w:szCs w:val="24"/>
          <w:lang w:val="en-US"/>
        </w:rPr>
        <w:t xml:space="preserve">AND BURIAL SOCIETY (ALSO KNOWN AS </w:t>
      </w:r>
    </w:p>
    <w:p w:rsidR="009F68B9" w:rsidRDefault="009F68B9" w:rsidP="009F68B9">
      <w:pPr>
        <w:tabs>
          <w:tab w:val="right" w:pos="9356"/>
        </w:tabs>
        <w:spacing w:after="0" w:line="360" w:lineRule="auto"/>
        <w:ind w:left="360" w:hanging="360"/>
        <w:jc w:val="both"/>
        <w:rPr>
          <w:rFonts w:ascii="Arial" w:hAnsi="Arial"/>
          <w:b/>
          <w:sz w:val="24"/>
          <w:szCs w:val="24"/>
          <w:lang w:val="en-US"/>
        </w:rPr>
      </w:pPr>
      <w:r w:rsidRPr="009F68B9">
        <w:rPr>
          <w:rFonts w:ascii="Arial" w:hAnsi="Arial" w:cs="Arial"/>
          <w:b/>
          <w:bCs/>
          <w:sz w:val="24"/>
          <w:szCs w:val="24"/>
          <w:lang w:val="en-US"/>
        </w:rPr>
        <w:t>THE EAST LONDON CHEVRA KADISHA)</w:t>
      </w:r>
      <w:r w:rsidRPr="009F68B9">
        <w:rPr>
          <w:rFonts w:ascii="Arial" w:hAnsi="Arial"/>
          <w:b/>
          <w:sz w:val="24"/>
          <w:szCs w:val="24"/>
          <w:lang w:val="en-US"/>
        </w:rPr>
        <w:tab/>
        <w:t>Applicant</w:t>
      </w:r>
    </w:p>
    <w:p w:rsidR="009F68B9" w:rsidRDefault="009F68B9" w:rsidP="009F68B9">
      <w:pPr>
        <w:tabs>
          <w:tab w:val="right" w:pos="9356"/>
        </w:tabs>
        <w:spacing w:after="0" w:line="360" w:lineRule="auto"/>
        <w:ind w:left="360" w:hanging="360"/>
        <w:jc w:val="both"/>
        <w:rPr>
          <w:rFonts w:ascii="Arial" w:hAnsi="Arial"/>
          <w:b/>
          <w:sz w:val="24"/>
          <w:szCs w:val="24"/>
          <w:lang w:val="en-US"/>
        </w:rPr>
      </w:pPr>
    </w:p>
    <w:p w:rsidR="009F68B9" w:rsidRPr="009F68B9" w:rsidRDefault="009F68B9" w:rsidP="009F68B9">
      <w:pPr>
        <w:tabs>
          <w:tab w:val="right" w:pos="9356"/>
        </w:tabs>
        <w:spacing w:after="0" w:line="360" w:lineRule="auto"/>
        <w:ind w:left="360" w:hanging="360"/>
        <w:jc w:val="both"/>
        <w:rPr>
          <w:rFonts w:ascii="Arial" w:hAnsi="Arial" w:cs="Arial"/>
          <w:bCs/>
          <w:sz w:val="24"/>
          <w:szCs w:val="24"/>
          <w:lang w:val="en-US"/>
        </w:rPr>
      </w:pPr>
      <w:r w:rsidRPr="009F68B9">
        <w:rPr>
          <w:rFonts w:ascii="Arial" w:hAnsi="Arial" w:cs="Arial"/>
          <w:bCs/>
          <w:sz w:val="24"/>
          <w:szCs w:val="24"/>
          <w:lang w:val="en-US"/>
        </w:rPr>
        <w:t>and</w:t>
      </w:r>
    </w:p>
    <w:p w:rsidR="009F68B9" w:rsidRDefault="009F68B9" w:rsidP="009F68B9">
      <w:pPr>
        <w:tabs>
          <w:tab w:val="right" w:pos="9356"/>
        </w:tabs>
        <w:spacing w:after="0" w:line="360" w:lineRule="auto"/>
        <w:ind w:left="360" w:hanging="360"/>
        <w:jc w:val="both"/>
        <w:rPr>
          <w:rFonts w:ascii="Arial" w:hAnsi="Arial" w:cs="Arial"/>
          <w:b/>
          <w:bCs/>
          <w:sz w:val="24"/>
          <w:szCs w:val="24"/>
          <w:lang w:val="en-US"/>
        </w:rPr>
      </w:pPr>
    </w:p>
    <w:p w:rsidR="009F68B9" w:rsidRDefault="009F68B9" w:rsidP="009F68B9">
      <w:pPr>
        <w:tabs>
          <w:tab w:val="right" w:pos="9356"/>
        </w:tabs>
        <w:spacing w:after="0" w:line="360" w:lineRule="auto"/>
        <w:ind w:left="360" w:hanging="360"/>
        <w:jc w:val="both"/>
        <w:rPr>
          <w:rFonts w:ascii="Arial" w:hAnsi="Arial" w:cs="Arial"/>
          <w:b/>
          <w:bCs/>
          <w:sz w:val="24"/>
          <w:szCs w:val="24"/>
          <w:lang w:val="en-US"/>
        </w:rPr>
      </w:pPr>
      <w:r>
        <w:rPr>
          <w:rFonts w:ascii="Arial" w:hAnsi="Arial" w:cs="Arial"/>
          <w:b/>
          <w:bCs/>
          <w:sz w:val="24"/>
          <w:szCs w:val="24"/>
          <w:lang w:val="en-US"/>
        </w:rPr>
        <w:t>CHANOCH GALPERIN</w:t>
      </w:r>
      <w:r>
        <w:rPr>
          <w:rFonts w:ascii="Arial" w:hAnsi="Arial" w:cs="Arial"/>
          <w:b/>
          <w:bCs/>
          <w:sz w:val="24"/>
          <w:szCs w:val="24"/>
          <w:lang w:val="en-US"/>
        </w:rPr>
        <w:tab/>
        <w:t>First respondent</w:t>
      </w:r>
    </w:p>
    <w:p w:rsidR="009F68B9" w:rsidRDefault="009F68B9" w:rsidP="009F68B9">
      <w:pPr>
        <w:tabs>
          <w:tab w:val="right" w:pos="9356"/>
        </w:tabs>
        <w:spacing w:after="0" w:line="360" w:lineRule="auto"/>
        <w:ind w:left="360" w:hanging="360"/>
        <w:jc w:val="both"/>
        <w:rPr>
          <w:rFonts w:ascii="Arial" w:hAnsi="Arial" w:cs="Arial"/>
          <w:b/>
          <w:bCs/>
          <w:sz w:val="24"/>
          <w:szCs w:val="24"/>
          <w:lang w:val="en-US"/>
        </w:rPr>
      </w:pPr>
    </w:p>
    <w:p w:rsidR="009F68B9" w:rsidRDefault="009F68B9" w:rsidP="009F68B9">
      <w:pPr>
        <w:tabs>
          <w:tab w:val="right" w:pos="9356"/>
        </w:tabs>
        <w:spacing w:after="0" w:line="360" w:lineRule="auto"/>
        <w:ind w:left="360" w:hanging="360"/>
        <w:jc w:val="both"/>
        <w:rPr>
          <w:rFonts w:ascii="Arial" w:hAnsi="Arial" w:cs="Arial"/>
          <w:b/>
          <w:bCs/>
          <w:sz w:val="24"/>
          <w:szCs w:val="24"/>
          <w:lang w:val="en-US"/>
        </w:rPr>
      </w:pPr>
      <w:r>
        <w:rPr>
          <w:rFonts w:ascii="Arial" w:hAnsi="Arial" w:cs="Arial"/>
          <w:b/>
          <w:bCs/>
          <w:sz w:val="24"/>
          <w:szCs w:val="24"/>
          <w:lang w:val="en-US"/>
        </w:rPr>
        <w:t xml:space="preserve">THE JEWISH ECCLESIASTICAL COURT (ALSO </w:t>
      </w:r>
    </w:p>
    <w:p w:rsidR="009F68B9" w:rsidRDefault="009F68B9" w:rsidP="009F68B9">
      <w:pPr>
        <w:tabs>
          <w:tab w:val="right" w:pos="9356"/>
        </w:tabs>
        <w:spacing w:after="0" w:line="360" w:lineRule="auto"/>
        <w:ind w:left="360" w:hanging="360"/>
        <w:jc w:val="both"/>
        <w:rPr>
          <w:rFonts w:ascii="Arial" w:hAnsi="Arial" w:cs="Arial"/>
          <w:b/>
          <w:bCs/>
          <w:sz w:val="24"/>
          <w:szCs w:val="24"/>
          <w:lang w:val="en-US"/>
        </w:rPr>
      </w:pPr>
      <w:r>
        <w:rPr>
          <w:rFonts w:ascii="Arial" w:hAnsi="Arial" w:cs="Arial"/>
          <w:b/>
          <w:bCs/>
          <w:sz w:val="24"/>
          <w:szCs w:val="24"/>
          <w:lang w:val="en-US"/>
        </w:rPr>
        <w:t>KNOWN AS THE BETH DIN OF JOHANNESBURG)</w:t>
      </w:r>
      <w:r>
        <w:rPr>
          <w:rFonts w:ascii="Arial" w:hAnsi="Arial" w:cs="Arial"/>
          <w:b/>
          <w:bCs/>
          <w:sz w:val="24"/>
          <w:szCs w:val="24"/>
          <w:lang w:val="en-US"/>
        </w:rPr>
        <w:tab/>
        <w:t>Second respondent</w:t>
      </w:r>
    </w:p>
    <w:p w:rsidR="009F68B9" w:rsidRDefault="009F68B9" w:rsidP="009F68B9">
      <w:pPr>
        <w:tabs>
          <w:tab w:val="right" w:pos="9356"/>
        </w:tabs>
        <w:spacing w:after="0" w:line="360" w:lineRule="auto"/>
        <w:ind w:left="360" w:hanging="360"/>
        <w:jc w:val="both"/>
        <w:rPr>
          <w:rFonts w:ascii="Arial" w:hAnsi="Arial" w:cs="Arial"/>
          <w:b/>
          <w:bCs/>
          <w:sz w:val="24"/>
          <w:szCs w:val="24"/>
          <w:lang w:val="en-US"/>
        </w:rPr>
      </w:pPr>
    </w:p>
    <w:p w:rsidR="009F68B9" w:rsidRDefault="009F68B9" w:rsidP="009F68B9">
      <w:pPr>
        <w:tabs>
          <w:tab w:val="right" w:pos="9356"/>
        </w:tabs>
        <w:spacing w:after="0" w:line="360" w:lineRule="auto"/>
        <w:ind w:left="360" w:hanging="360"/>
        <w:jc w:val="both"/>
        <w:rPr>
          <w:rFonts w:ascii="Arial" w:hAnsi="Arial" w:cs="Arial"/>
          <w:b/>
          <w:bCs/>
          <w:sz w:val="24"/>
          <w:szCs w:val="24"/>
          <w:lang w:val="en-US"/>
        </w:rPr>
      </w:pPr>
      <w:r>
        <w:rPr>
          <w:rFonts w:ascii="Arial" w:hAnsi="Arial" w:cs="Arial"/>
          <w:b/>
          <w:bCs/>
          <w:sz w:val="24"/>
          <w:szCs w:val="24"/>
          <w:lang w:val="en-US"/>
        </w:rPr>
        <w:t>GIDEON FOX N.O.</w:t>
      </w:r>
      <w:r>
        <w:rPr>
          <w:rFonts w:ascii="Arial" w:hAnsi="Arial" w:cs="Arial"/>
          <w:b/>
          <w:bCs/>
          <w:sz w:val="24"/>
          <w:szCs w:val="24"/>
          <w:lang w:val="en-US"/>
        </w:rPr>
        <w:tab/>
        <w:t>Fifth respondent</w:t>
      </w:r>
    </w:p>
    <w:p w:rsidR="009F68B9" w:rsidRDefault="009F68B9" w:rsidP="009F68B9">
      <w:pPr>
        <w:tabs>
          <w:tab w:val="right" w:pos="9356"/>
        </w:tabs>
        <w:spacing w:after="0" w:line="360" w:lineRule="auto"/>
        <w:ind w:left="360" w:hanging="360"/>
        <w:jc w:val="both"/>
        <w:rPr>
          <w:rFonts w:ascii="Arial" w:hAnsi="Arial" w:cs="Arial"/>
          <w:b/>
          <w:bCs/>
          <w:sz w:val="24"/>
          <w:szCs w:val="24"/>
          <w:lang w:val="en-US"/>
        </w:rPr>
      </w:pPr>
    </w:p>
    <w:p w:rsidR="009F68B9" w:rsidRDefault="009F68B9" w:rsidP="009F68B9">
      <w:pPr>
        <w:tabs>
          <w:tab w:val="right" w:pos="9356"/>
        </w:tabs>
        <w:spacing w:after="0" w:line="360" w:lineRule="auto"/>
        <w:ind w:left="360" w:hanging="360"/>
        <w:jc w:val="both"/>
        <w:rPr>
          <w:rFonts w:ascii="Arial" w:hAnsi="Arial" w:cs="Arial"/>
          <w:b/>
          <w:bCs/>
          <w:sz w:val="24"/>
          <w:szCs w:val="24"/>
          <w:lang w:val="en-US"/>
        </w:rPr>
      </w:pPr>
      <w:r>
        <w:rPr>
          <w:rFonts w:ascii="Arial" w:hAnsi="Arial" w:cs="Arial"/>
          <w:b/>
          <w:bCs/>
          <w:sz w:val="24"/>
          <w:szCs w:val="24"/>
          <w:lang w:val="en-US"/>
        </w:rPr>
        <w:t>YOEL SMITH N.O.</w:t>
      </w:r>
      <w:r>
        <w:rPr>
          <w:rFonts w:ascii="Arial" w:hAnsi="Arial" w:cs="Arial"/>
          <w:b/>
          <w:bCs/>
          <w:sz w:val="24"/>
          <w:szCs w:val="24"/>
          <w:lang w:val="en-US"/>
        </w:rPr>
        <w:tab/>
        <w:t>Sixth respondent</w:t>
      </w:r>
    </w:p>
    <w:p w:rsidR="009F68B9" w:rsidRDefault="009F68B9" w:rsidP="009F68B9">
      <w:pPr>
        <w:tabs>
          <w:tab w:val="right" w:pos="9356"/>
        </w:tabs>
        <w:spacing w:after="0" w:line="360" w:lineRule="auto"/>
        <w:ind w:left="360" w:hanging="360"/>
        <w:jc w:val="both"/>
        <w:rPr>
          <w:rFonts w:ascii="Arial" w:hAnsi="Arial" w:cs="Arial"/>
          <w:b/>
          <w:bCs/>
          <w:sz w:val="24"/>
          <w:szCs w:val="24"/>
          <w:lang w:val="en-US"/>
        </w:rPr>
      </w:pPr>
    </w:p>
    <w:p w:rsidR="009F68B9" w:rsidRPr="009F68B9" w:rsidRDefault="009F68B9" w:rsidP="009F68B9">
      <w:pPr>
        <w:tabs>
          <w:tab w:val="right" w:pos="9356"/>
        </w:tabs>
        <w:spacing w:after="0" w:line="360" w:lineRule="auto"/>
        <w:ind w:left="360" w:hanging="360"/>
        <w:jc w:val="both"/>
        <w:rPr>
          <w:rFonts w:ascii="Arial" w:hAnsi="Arial"/>
          <w:b/>
          <w:sz w:val="24"/>
          <w:szCs w:val="24"/>
          <w:lang w:val="en-US"/>
        </w:rPr>
      </w:pPr>
      <w:r>
        <w:rPr>
          <w:rFonts w:ascii="Arial" w:hAnsi="Arial" w:cs="Arial"/>
          <w:b/>
          <w:bCs/>
          <w:sz w:val="24"/>
          <w:szCs w:val="24"/>
          <w:lang w:val="en-US"/>
        </w:rPr>
        <w:t>THE MASTER OF THE HIGH COURT, GRAHAMSTOWN</w:t>
      </w:r>
      <w:r>
        <w:rPr>
          <w:rFonts w:ascii="Arial" w:hAnsi="Arial" w:cs="Arial"/>
          <w:b/>
          <w:bCs/>
          <w:sz w:val="24"/>
          <w:szCs w:val="24"/>
          <w:lang w:val="en-US"/>
        </w:rPr>
        <w:tab/>
        <w:t>Seventh respondent</w:t>
      </w:r>
    </w:p>
    <w:p w:rsidR="005C2273" w:rsidRPr="005C2273" w:rsidRDefault="005C2273" w:rsidP="005C2273">
      <w:pPr>
        <w:spacing w:line="360" w:lineRule="auto"/>
        <w:rPr>
          <w:rFonts w:ascii="Arial" w:hAnsi="Arial" w:cs="Arial"/>
          <w:sz w:val="24"/>
          <w:szCs w:val="24"/>
          <w:lang w:val="en-GB"/>
        </w:rPr>
      </w:pPr>
      <w:r w:rsidRPr="005C2273">
        <w:rPr>
          <w:rFonts w:ascii="Arial" w:hAnsi="Arial" w:cs="Arial"/>
          <w:sz w:val="24"/>
          <w:szCs w:val="24"/>
          <w:lang w:val="en-GB"/>
        </w:rPr>
        <w:t>______________________________________________________</w:t>
      </w:r>
      <w:r>
        <w:rPr>
          <w:rFonts w:ascii="Arial" w:hAnsi="Arial" w:cs="Arial"/>
          <w:sz w:val="24"/>
          <w:szCs w:val="24"/>
          <w:lang w:val="en-GB"/>
        </w:rPr>
        <w:t>_____________</w:t>
      </w:r>
    </w:p>
    <w:p w:rsidR="005C2273" w:rsidRPr="005C2273" w:rsidRDefault="005C2273" w:rsidP="005C2273">
      <w:pPr>
        <w:spacing w:line="360" w:lineRule="auto"/>
        <w:jc w:val="center"/>
        <w:rPr>
          <w:rFonts w:ascii="Arial" w:hAnsi="Arial" w:cs="Arial"/>
          <w:b/>
          <w:sz w:val="24"/>
          <w:szCs w:val="24"/>
          <w:lang w:val="en-GB"/>
        </w:rPr>
      </w:pPr>
      <w:r w:rsidRPr="005C2273">
        <w:rPr>
          <w:rFonts w:ascii="Arial" w:hAnsi="Arial" w:cs="Arial"/>
          <w:b/>
          <w:sz w:val="24"/>
          <w:szCs w:val="24"/>
          <w:lang w:val="en-GB"/>
        </w:rPr>
        <w:t>JUDGMENT</w:t>
      </w:r>
    </w:p>
    <w:p w:rsidR="005C2273" w:rsidRPr="005C2273" w:rsidRDefault="005C2273" w:rsidP="005C2273">
      <w:pPr>
        <w:spacing w:line="360" w:lineRule="auto"/>
        <w:rPr>
          <w:rFonts w:ascii="Arial" w:hAnsi="Arial" w:cs="Arial"/>
          <w:sz w:val="24"/>
          <w:szCs w:val="24"/>
          <w:lang w:val="en-GB"/>
        </w:rPr>
      </w:pPr>
      <w:r w:rsidRPr="005C2273">
        <w:rPr>
          <w:rFonts w:ascii="Arial" w:hAnsi="Arial" w:cs="Arial"/>
          <w:sz w:val="24"/>
          <w:szCs w:val="24"/>
          <w:lang w:val="en-GB"/>
        </w:rPr>
        <w:t>___________________________________________________</w:t>
      </w:r>
      <w:r>
        <w:rPr>
          <w:rFonts w:ascii="Arial" w:hAnsi="Arial" w:cs="Arial"/>
          <w:sz w:val="24"/>
          <w:szCs w:val="24"/>
          <w:lang w:val="en-GB"/>
        </w:rPr>
        <w:t>________________</w:t>
      </w:r>
    </w:p>
    <w:p w:rsidR="005C2273" w:rsidRDefault="005C2273" w:rsidP="005C2273">
      <w:pPr>
        <w:spacing w:line="360" w:lineRule="auto"/>
        <w:rPr>
          <w:rFonts w:ascii="Arial" w:hAnsi="Arial" w:cs="Arial"/>
          <w:b/>
          <w:sz w:val="24"/>
          <w:szCs w:val="24"/>
          <w:lang w:val="en-GB"/>
        </w:rPr>
      </w:pPr>
      <w:r w:rsidRPr="005C2273">
        <w:rPr>
          <w:rFonts w:ascii="Arial" w:hAnsi="Arial" w:cs="Arial"/>
          <w:b/>
          <w:sz w:val="24"/>
          <w:szCs w:val="24"/>
          <w:lang w:val="en-GB"/>
        </w:rPr>
        <w:t>LAING J</w:t>
      </w:r>
    </w:p>
    <w:p w:rsidR="00A736AD" w:rsidRPr="009F68B9" w:rsidRDefault="005C2273" w:rsidP="005C2273">
      <w:pPr>
        <w:pStyle w:val="ListParagraph"/>
        <w:numPr>
          <w:ilvl w:val="0"/>
          <w:numId w:val="2"/>
        </w:numPr>
        <w:spacing w:line="360" w:lineRule="auto"/>
        <w:ind w:left="0" w:firstLine="0"/>
        <w:jc w:val="both"/>
        <w:rPr>
          <w:rFonts w:ascii="Arial" w:hAnsi="Arial" w:cs="Arial"/>
          <w:b/>
          <w:sz w:val="24"/>
          <w:szCs w:val="24"/>
          <w:lang w:val="en-GB"/>
        </w:rPr>
      </w:pPr>
      <w:r w:rsidRPr="009F68B9">
        <w:rPr>
          <w:rFonts w:ascii="Arial" w:hAnsi="Arial" w:cs="Arial"/>
          <w:sz w:val="24"/>
          <w:szCs w:val="24"/>
          <w:lang w:val="en-GB"/>
        </w:rPr>
        <w:t>This is an application for leave to appeal</w:t>
      </w:r>
      <w:r w:rsidR="00026E2B" w:rsidRPr="009F68B9">
        <w:rPr>
          <w:rFonts w:ascii="Arial" w:hAnsi="Arial" w:cs="Arial"/>
          <w:sz w:val="24"/>
          <w:szCs w:val="24"/>
          <w:lang w:val="en-GB"/>
        </w:rPr>
        <w:t xml:space="preserve"> against the whole of the judgment of this court, handed down on 2 December 2021. </w:t>
      </w:r>
    </w:p>
    <w:p w:rsidR="009F68B9" w:rsidRPr="009F68B9" w:rsidRDefault="009F68B9" w:rsidP="009F68B9">
      <w:pPr>
        <w:pStyle w:val="ListParagraph"/>
        <w:spacing w:line="360" w:lineRule="auto"/>
        <w:ind w:left="0"/>
        <w:jc w:val="both"/>
        <w:rPr>
          <w:rFonts w:ascii="Arial" w:hAnsi="Arial" w:cs="Arial"/>
          <w:b/>
          <w:sz w:val="24"/>
          <w:szCs w:val="24"/>
          <w:lang w:val="en-GB"/>
        </w:rPr>
      </w:pPr>
    </w:p>
    <w:p w:rsidR="00F646C5" w:rsidRPr="009F68B9" w:rsidRDefault="00026E2B" w:rsidP="005C2273">
      <w:pPr>
        <w:pStyle w:val="ListParagraph"/>
        <w:numPr>
          <w:ilvl w:val="0"/>
          <w:numId w:val="2"/>
        </w:numPr>
        <w:spacing w:line="360" w:lineRule="auto"/>
        <w:ind w:left="0" w:firstLine="0"/>
        <w:jc w:val="both"/>
        <w:rPr>
          <w:rFonts w:ascii="Arial" w:hAnsi="Arial" w:cs="Arial"/>
          <w:b/>
          <w:sz w:val="24"/>
          <w:szCs w:val="24"/>
          <w:lang w:val="en-GB"/>
        </w:rPr>
      </w:pPr>
      <w:r w:rsidRPr="009F68B9">
        <w:rPr>
          <w:rFonts w:ascii="Arial" w:hAnsi="Arial" w:cs="Arial"/>
          <w:sz w:val="24"/>
          <w:szCs w:val="24"/>
          <w:lang w:val="en-GB"/>
        </w:rPr>
        <w:t xml:space="preserve">The matter </w:t>
      </w:r>
      <w:r w:rsidR="00A736AD" w:rsidRPr="009F68B9">
        <w:rPr>
          <w:rFonts w:ascii="Arial" w:hAnsi="Arial" w:cs="Arial"/>
          <w:sz w:val="24"/>
          <w:szCs w:val="24"/>
          <w:lang w:val="en-GB"/>
        </w:rPr>
        <w:t xml:space="preserve">has a complicated history. For immediate purposes, it is necessary </w:t>
      </w:r>
      <w:r w:rsidR="00F646C5" w:rsidRPr="009F68B9">
        <w:rPr>
          <w:rFonts w:ascii="Arial" w:hAnsi="Arial" w:cs="Arial"/>
          <w:sz w:val="24"/>
          <w:szCs w:val="24"/>
          <w:lang w:val="en-GB"/>
        </w:rPr>
        <w:t xml:space="preserve">to indicate </w:t>
      </w:r>
      <w:r w:rsidR="00A736AD" w:rsidRPr="009F68B9">
        <w:rPr>
          <w:rFonts w:ascii="Arial" w:hAnsi="Arial" w:cs="Arial"/>
          <w:sz w:val="24"/>
          <w:szCs w:val="24"/>
          <w:lang w:val="en-GB"/>
        </w:rPr>
        <w:t xml:space="preserve">that the judgment </w:t>
      </w:r>
      <w:r w:rsidRPr="009F68B9">
        <w:rPr>
          <w:rFonts w:ascii="Arial" w:hAnsi="Arial" w:cs="Arial"/>
          <w:sz w:val="24"/>
          <w:szCs w:val="24"/>
          <w:lang w:val="en-GB"/>
        </w:rPr>
        <w:t>pertain</w:t>
      </w:r>
      <w:r w:rsidR="00A736AD" w:rsidRPr="009F68B9">
        <w:rPr>
          <w:rFonts w:ascii="Arial" w:hAnsi="Arial" w:cs="Arial"/>
          <w:sz w:val="24"/>
          <w:szCs w:val="24"/>
          <w:lang w:val="en-GB"/>
        </w:rPr>
        <w:t>ed</w:t>
      </w:r>
      <w:r w:rsidRPr="009F68B9">
        <w:rPr>
          <w:rFonts w:ascii="Arial" w:hAnsi="Arial" w:cs="Arial"/>
          <w:sz w:val="24"/>
          <w:szCs w:val="24"/>
          <w:lang w:val="en-GB"/>
        </w:rPr>
        <w:t xml:space="preserve"> to an application to amend and</w:t>
      </w:r>
      <w:r w:rsidR="00F32AB5" w:rsidRPr="009F68B9">
        <w:rPr>
          <w:rFonts w:ascii="Arial" w:hAnsi="Arial" w:cs="Arial"/>
          <w:sz w:val="24"/>
          <w:szCs w:val="24"/>
          <w:lang w:val="en-GB"/>
        </w:rPr>
        <w:t xml:space="preserve"> a joinder application that were </w:t>
      </w:r>
      <w:r w:rsidRPr="009F68B9">
        <w:rPr>
          <w:rFonts w:ascii="Arial" w:hAnsi="Arial" w:cs="Arial"/>
          <w:sz w:val="24"/>
          <w:szCs w:val="24"/>
          <w:lang w:val="en-GB"/>
        </w:rPr>
        <w:t xml:space="preserve">previously </w:t>
      </w:r>
      <w:r w:rsidR="00F32AB5" w:rsidRPr="009F68B9">
        <w:rPr>
          <w:rFonts w:ascii="Arial" w:hAnsi="Arial" w:cs="Arial"/>
          <w:sz w:val="24"/>
          <w:szCs w:val="24"/>
          <w:lang w:val="en-GB"/>
        </w:rPr>
        <w:t xml:space="preserve">brought </w:t>
      </w:r>
      <w:r w:rsidRPr="009F68B9">
        <w:rPr>
          <w:rFonts w:ascii="Arial" w:hAnsi="Arial" w:cs="Arial"/>
          <w:sz w:val="24"/>
          <w:szCs w:val="24"/>
          <w:lang w:val="en-GB"/>
        </w:rPr>
        <w:t>by the applicant (‘the Society’)</w:t>
      </w:r>
      <w:r w:rsidR="00F32AB5" w:rsidRPr="009F68B9">
        <w:rPr>
          <w:rFonts w:ascii="Arial" w:hAnsi="Arial" w:cs="Arial"/>
          <w:sz w:val="24"/>
          <w:szCs w:val="24"/>
          <w:lang w:val="en-GB"/>
        </w:rPr>
        <w:t xml:space="preserve"> in relation to an earlier application that was brought by the first respondent (‘Rabbi Galperin’). The earlier application (‘the main application’) was for the findings of the second respondent (‘the Beth Din’) to be made an order of court</w:t>
      </w:r>
      <w:r w:rsidR="00A736AD" w:rsidRPr="009F68B9">
        <w:rPr>
          <w:rFonts w:ascii="Arial" w:hAnsi="Arial" w:cs="Arial"/>
          <w:sz w:val="24"/>
          <w:szCs w:val="24"/>
          <w:lang w:val="en-GB"/>
        </w:rPr>
        <w:t xml:space="preserve">. </w:t>
      </w:r>
    </w:p>
    <w:p w:rsidR="009F68B9" w:rsidRPr="009F68B9" w:rsidRDefault="009F68B9" w:rsidP="009F68B9">
      <w:pPr>
        <w:pStyle w:val="ListParagraph"/>
        <w:rPr>
          <w:rFonts w:ascii="Arial" w:hAnsi="Arial" w:cs="Arial"/>
          <w:b/>
          <w:sz w:val="24"/>
          <w:szCs w:val="24"/>
          <w:lang w:val="en-GB"/>
        </w:rPr>
      </w:pPr>
    </w:p>
    <w:p w:rsidR="00F646C5" w:rsidRPr="009F68B9" w:rsidRDefault="00A736AD" w:rsidP="005C2273">
      <w:pPr>
        <w:pStyle w:val="ListParagraph"/>
        <w:numPr>
          <w:ilvl w:val="0"/>
          <w:numId w:val="2"/>
        </w:numPr>
        <w:spacing w:line="360" w:lineRule="auto"/>
        <w:ind w:left="0" w:firstLine="0"/>
        <w:jc w:val="both"/>
        <w:rPr>
          <w:rFonts w:ascii="Arial" w:hAnsi="Arial" w:cs="Arial"/>
          <w:b/>
          <w:sz w:val="24"/>
          <w:szCs w:val="24"/>
          <w:lang w:val="en-GB"/>
        </w:rPr>
      </w:pPr>
      <w:r w:rsidRPr="009F68B9">
        <w:rPr>
          <w:rFonts w:ascii="Arial" w:hAnsi="Arial" w:cs="Arial"/>
          <w:sz w:val="24"/>
          <w:szCs w:val="24"/>
          <w:lang w:val="en-GB"/>
        </w:rPr>
        <w:t xml:space="preserve">At the time that the Society opposed the main application, it brought a ‘conditional counter-application’ that it would pursue </w:t>
      </w:r>
      <w:r w:rsidR="00F646C5" w:rsidRPr="009F68B9">
        <w:rPr>
          <w:rFonts w:ascii="Arial" w:hAnsi="Arial" w:cs="Arial"/>
          <w:sz w:val="24"/>
          <w:szCs w:val="24"/>
          <w:lang w:val="en-GB"/>
        </w:rPr>
        <w:t xml:space="preserve">only </w:t>
      </w:r>
      <w:r w:rsidRPr="009F68B9">
        <w:rPr>
          <w:rFonts w:ascii="Arial" w:hAnsi="Arial" w:cs="Arial"/>
          <w:sz w:val="24"/>
          <w:szCs w:val="24"/>
          <w:lang w:val="en-GB"/>
        </w:rPr>
        <w:t xml:space="preserve">in the event that its opposition </w:t>
      </w:r>
      <w:r w:rsidR="00F646C5" w:rsidRPr="009F68B9">
        <w:rPr>
          <w:rFonts w:ascii="Arial" w:hAnsi="Arial" w:cs="Arial"/>
          <w:sz w:val="24"/>
          <w:szCs w:val="24"/>
          <w:lang w:val="en-GB"/>
        </w:rPr>
        <w:t xml:space="preserve">to the main application </w:t>
      </w:r>
      <w:r w:rsidRPr="009F68B9">
        <w:rPr>
          <w:rFonts w:ascii="Arial" w:hAnsi="Arial" w:cs="Arial"/>
          <w:sz w:val="24"/>
          <w:szCs w:val="24"/>
          <w:lang w:val="en-GB"/>
        </w:rPr>
        <w:t>was unsuccessful</w:t>
      </w:r>
      <w:r w:rsidR="00026E2B" w:rsidRPr="009F68B9">
        <w:rPr>
          <w:rFonts w:ascii="Arial" w:hAnsi="Arial" w:cs="Arial"/>
          <w:sz w:val="24"/>
          <w:szCs w:val="24"/>
          <w:lang w:val="en-GB"/>
        </w:rPr>
        <w:t>.</w:t>
      </w:r>
      <w:r w:rsidRPr="009F68B9">
        <w:rPr>
          <w:rFonts w:ascii="Arial" w:hAnsi="Arial" w:cs="Arial"/>
          <w:sz w:val="24"/>
          <w:szCs w:val="24"/>
          <w:lang w:val="en-GB"/>
        </w:rPr>
        <w:t xml:space="preserve"> As it turned out, Rabbi Galperin subsequently withdrew the main application</w:t>
      </w:r>
      <w:r w:rsidR="00A06DBD" w:rsidRPr="009F68B9">
        <w:rPr>
          <w:rFonts w:ascii="Arial" w:hAnsi="Arial" w:cs="Arial"/>
          <w:sz w:val="24"/>
          <w:szCs w:val="24"/>
          <w:lang w:val="en-GB"/>
        </w:rPr>
        <w:t xml:space="preserve">. The parties, however, </w:t>
      </w:r>
      <w:r w:rsidR="00712040">
        <w:rPr>
          <w:rFonts w:ascii="Arial" w:hAnsi="Arial" w:cs="Arial"/>
          <w:sz w:val="24"/>
          <w:szCs w:val="24"/>
          <w:lang w:val="en-GB"/>
        </w:rPr>
        <w:t>beca</w:t>
      </w:r>
      <w:r w:rsidR="00F646C5" w:rsidRPr="009F68B9">
        <w:rPr>
          <w:rFonts w:ascii="Arial" w:hAnsi="Arial" w:cs="Arial"/>
          <w:sz w:val="24"/>
          <w:szCs w:val="24"/>
          <w:lang w:val="en-GB"/>
        </w:rPr>
        <w:t>me embroiled in separate action proceedings which ultimately prompted the Society to pursue its counter-application, but not before bringing the present application to amend</w:t>
      </w:r>
      <w:r w:rsidR="00AA5B35" w:rsidRPr="009F68B9">
        <w:rPr>
          <w:rFonts w:ascii="Arial" w:hAnsi="Arial" w:cs="Arial"/>
          <w:sz w:val="24"/>
          <w:szCs w:val="24"/>
          <w:lang w:val="en-GB"/>
        </w:rPr>
        <w:t xml:space="preserve">, as well as the </w:t>
      </w:r>
      <w:r w:rsidR="00F646C5" w:rsidRPr="009F68B9">
        <w:rPr>
          <w:rFonts w:ascii="Arial" w:hAnsi="Arial" w:cs="Arial"/>
          <w:sz w:val="24"/>
          <w:szCs w:val="24"/>
          <w:lang w:val="en-GB"/>
        </w:rPr>
        <w:t>joinder application.</w:t>
      </w:r>
    </w:p>
    <w:p w:rsidR="009F68B9" w:rsidRPr="009F68B9" w:rsidRDefault="009F68B9" w:rsidP="009F68B9">
      <w:pPr>
        <w:pStyle w:val="ListParagraph"/>
        <w:rPr>
          <w:rFonts w:ascii="Arial" w:hAnsi="Arial" w:cs="Arial"/>
          <w:b/>
          <w:sz w:val="24"/>
          <w:szCs w:val="24"/>
          <w:lang w:val="en-GB"/>
        </w:rPr>
      </w:pPr>
    </w:p>
    <w:p w:rsidR="00026E2B" w:rsidRPr="009F68B9" w:rsidRDefault="00AA5B35" w:rsidP="005C2273">
      <w:pPr>
        <w:pStyle w:val="ListParagraph"/>
        <w:numPr>
          <w:ilvl w:val="0"/>
          <w:numId w:val="2"/>
        </w:numPr>
        <w:spacing w:line="360" w:lineRule="auto"/>
        <w:ind w:left="0" w:firstLine="0"/>
        <w:jc w:val="both"/>
        <w:rPr>
          <w:rFonts w:ascii="Arial" w:hAnsi="Arial" w:cs="Arial"/>
          <w:b/>
          <w:sz w:val="24"/>
          <w:szCs w:val="24"/>
          <w:lang w:val="en-GB"/>
        </w:rPr>
      </w:pPr>
      <w:r w:rsidRPr="009F68B9">
        <w:rPr>
          <w:rFonts w:ascii="Arial" w:hAnsi="Arial" w:cs="Arial"/>
          <w:sz w:val="24"/>
          <w:szCs w:val="24"/>
          <w:lang w:val="en-GB"/>
        </w:rPr>
        <w:t xml:space="preserve">The grounds for </w:t>
      </w:r>
      <w:r w:rsidR="00026E2B" w:rsidRPr="009F68B9">
        <w:rPr>
          <w:rFonts w:ascii="Arial" w:hAnsi="Arial" w:cs="Arial"/>
          <w:sz w:val="24"/>
          <w:szCs w:val="24"/>
          <w:lang w:val="en-GB"/>
        </w:rPr>
        <w:t>the application for leave to appeal include</w:t>
      </w:r>
      <w:r w:rsidR="00987658" w:rsidRPr="009F68B9">
        <w:rPr>
          <w:rFonts w:ascii="Arial" w:hAnsi="Arial" w:cs="Arial"/>
          <w:sz w:val="24"/>
          <w:szCs w:val="24"/>
          <w:lang w:val="en-GB"/>
        </w:rPr>
        <w:t xml:space="preserve">, </w:t>
      </w:r>
      <w:r w:rsidR="00987658" w:rsidRPr="009F68B9">
        <w:rPr>
          <w:rFonts w:ascii="Arial" w:hAnsi="Arial" w:cs="Arial"/>
          <w:i/>
          <w:sz w:val="24"/>
          <w:szCs w:val="24"/>
          <w:lang w:val="en-GB"/>
        </w:rPr>
        <w:t>inter alia</w:t>
      </w:r>
      <w:r w:rsidR="00987658" w:rsidRPr="009F68B9">
        <w:rPr>
          <w:rFonts w:ascii="Arial" w:hAnsi="Arial" w:cs="Arial"/>
          <w:sz w:val="24"/>
          <w:szCs w:val="24"/>
          <w:lang w:val="en-GB"/>
        </w:rPr>
        <w:t>,</w:t>
      </w:r>
      <w:r w:rsidR="00026E2B" w:rsidRPr="009F68B9">
        <w:rPr>
          <w:rFonts w:ascii="Arial" w:hAnsi="Arial" w:cs="Arial"/>
          <w:sz w:val="24"/>
          <w:szCs w:val="24"/>
          <w:lang w:val="en-GB"/>
        </w:rPr>
        <w:t xml:space="preserve"> the following: the </w:t>
      </w:r>
      <w:r w:rsidRPr="009F68B9">
        <w:rPr>
          <w:rFonts w:ascii="Arial" w:hAnsi="Arial" w:cs="Arial"/>
          <w:sz w:val="24"/>
          <w:szCs w:val="24"/>
          <w:lang w:val="en-GB"/>
        </w:rPr>
        <w:t xml:space="preserve">court ought to have found that </w:t>
      </w:r>
      <w:r w:rsidR="00026E2B" w:rsidRPr="009F68B9">
        <w:rPr>
          <w:rFonts w:ascii="Arial" w:hAnsi="Arial" w:cs="Arial"/>
          <w:sz w:val="24"/>
          <w:szCs w:val="24"/>
          <w:lang w:val="en-GB"/>
        </w:rPr>
        <w:t>Rabbi Galperin was confined to the grounds set out in his notice of objection and that his contention to the effect</w:t>
      </w:r>
      <w:r w:rsidR="00F32AB5" w:rsidRPr="009F68B9">
        <w:rPr>
          <w:rFonts w:ascii="Arial" w:hAnsi="Arial" w:cs="Arial"/>
          <w:sz w:val="24"/>
          <w:szCs w:val="24"/>
          <w:lang w:val="en-GB"/>
        </w:rPr>
        <w:t xml:space="preserve"> that the </w:t>
      </w:r>
      <w:r w:rsidR="00204D09" w:rsidRPr="009F68B9">
        <w:rPr>
          <w:rFonts w:ascii="Arial" w:hAnsi="Arial" w:cs="Arial"/>
          <w:sz w:val="24"/>
          <w:szCs w:val="24"/>
          <w:lang w:val="en-GB"/>
        </w:rPr>
        <w:t>averments made in the counter-application were</w:t>
      </w:r>
      <w:r w:rsidR="00F32AB5" w:rsidRPr="009F68B9">
        <w:rPr>
          <w:rFonts w:ascii="Arial" w:hAnsi="Arial" w:cs="Arial"/>
          <w:sz w:val="24"/>
          <w:szCs w:val="24"/>
          <w:lang w:val="en-GB"/>
        </w:rPr>
        <w:t xml:space="preserve"> inextricably linked to the main application</w:t>
      </w:r>
      <w:r w:rsidR="00204D09" w:rsidRPr="009F68B9">
        <w:rPr>
          <w:rFonts w:ascii="Arial" w:hAnsi="Arial" w:cs="Arial"/>
          <w:sz w:val="24"/>
          <w:szCs w:val="24"/>
          <w:lang w:val="en-GB"/>
        </w:rPr>
        <w:t xml:space="preserve"> did not appear in either the above notice or his opposing affidavit</w:t>
      </w:r>
      <w:r w:rsidR="00026E2B" w:rsidRPr="009F68B9">
        <w:rPr>
          <w:rFonts w:ascii="Arial" w:hAnsi="Arial" w:cs="Arial"/>
          <w:sz w:val="24"/>
          <w:szCs w:val="24"/>
          <w:lang w:val="en-GB"/>
        </w:rPr>
        <w:t xml:space="preserve">; the </w:t>
      </w:r>
      <w:r w:rsidR="00204D09" w:rsidRPr="009F68B9">
        <w:rPr>
          <w:rFonts w:ascii="Arial" w:hAnsi="Arial" w:cs="Arial"/>
          <w:sz w:val="24"/>
          <w:szCs w:val="24"/>
          <w:lang w:val="en-GB"/>
        </w:rPr>
        <w:t>court erred in relying upon such contention</w:t>
      </w:r>
      <w:r w:rsidRPr="009F68B9">
        <w:rPr>
          <w:rFonts w:ascii="Arial" w:hAnsi="Arial" w:cs="Arial"/>
          <w:sz w:val="24"/>
          <w:szCs w:val="24"/>
          <w:lang w:val="en-GB"/>
        </w:rPr>
        <w:t xml:space="preserve">; the court ought to have found that </w:t>
      </w:r>
      <w:r w:rsidR="00985F0D" w:rsidRPr="009F68B9">
        <w:rPr>
          <w:rFonts w:ascii="Arial" w:hAnsi="Arial" w:cs="Arial"/>
          <w:sz w:val="24"/>
          <w:szCs w:val="24"/>
          <w:lang w:val="en-GB"/>
        </w:rPr>
        <w:t xml:space="preserve">paragraph 16 of the founding affidavit to the counter-application, read with </w:t>
      </w:r>
      <w:r w:rsidRPr="009F68B9">
        <w:rPr>
          <w:rFonts w:ascii="Arial" w:hAnsi="Arial" w:cs="Arial"/>
          <w:sz w:val="24"/>
          <w:szCs w:val="24"/>
          <w:lang w:val="en-GB"/>
        </w:rPr>
        <w:t xml:space="preserve">paragraphs 8 to </w:t>
      </w:r>
      <w:r w:rsidR="00985F0D" w:rsidRPr="009F68B9">
        <w:rPr>
          <w:rFonts w:ascii="Arial" w:hAnsi="Arial" w:cs="Arial"/>
          <w:sz w:val="24"/>
          <w:szCs w:val="24"/>
          <w:lang w:val="en-GB"/>
        </w:rPr>
        <w:t>102 of the answering affidavit, only pertained to the facts applicable to the counter-application and did not pertain to either the allegations made by Rabbi Galperin in his founding affidavit in the main application or to the pleadings in the separate action proceedings; the court erred in finding that the paragraphs could not be incorporated by reference, without qualification,</w:t>
      </w:r>
      <w:r w:rsidR="008138B1" w:rsidRPr="009F68B9">
        <w:rPr>
          <w:rFonts w:ascii="Arial" w:hAnsi="Arial" w:cs="Arial"/>
          <w:sz w:val="24"/>
          <w:szCs w:val="24"/>
          <w:lang w:val="en-GB"/>
        </w:rPr>
        <w:t xml:space="preserve"> into the founding affidavit; the decision in </w:t>
      </w:r>
      <w:r w:rsidR="008138B1" w:rsidRPr="009F68B9">
        <w:rPr>
          <w:rFonts w:ascii="Arial" w:hAnsi="Arial" w:cs="Arial"/>
          <w:i/>
          <w:sz w:val="24"/>
          <w:szCs w:val="24"/>
          <w:lang w:val="en-GB"/>
        </w:rPr>
        <w:t>Pearson and Hutton, NNO v Hitzeroth and others</w:t>
      </w:r>
      <w:r w:rsidR="008138B1" w:rsidRPr="009F68B9">
        <w:rPr>
          <w:rFonts w:ascii="Arial" w:hAnsi="Arial" w:cs="Arial"/>
          <w:sz w:val="24"/>
          <w:szCs w:val="24"/>
          <w:lang w:val="en-GB"/>
        </w:rPr>
        <w:t xml:space="preserve"> [1967] 4 All SA 67 (E) was distinguishable from the present matter; the court erred in finding that the counter-application would become unmanageable in the event that the application to amend and the joinder application were granted</w:t>
      </w:r>
      <w:r w:rsidR="008774FD" w:rsidRPr="009F68B9">
        <w:rPr>
          <w:rFonts w:ascii="Arial" w:hAnsi="Arial" w:cs="Arial"/>
          <w:sz w:val="24"/>
          <w:szCs w:val="24"/>
          <w:lang w:val="en-GB"/>
        </w:rPr>
        <w:t xml:space="preserve">; the court failed to apply the relevant legal principles, as enunciated in decided cases and the matter of </w:t>
      </w:r>
      <w:r w:rsidR="008774FD" w:rsidRPr="009F68B9">
        <w:rPr>
          <w:rFonts w:ascii="Arial" w:hAnsi="Arial" w:cs="Arial"/>
          <w:i/>
          <w:sz w:val="24"/>
          <w:szCs w:val="24"/>
          <w:lang w:val="en-GB"/>
        </w:rPr>
        <w:t>Whittaker v Roos and another; Morant v Roos and another</w:t>
      </w:r>
      <w:r w:rsidR="008774FD" w:rsidRPr="009F68B9">
        <w:rPr>
          <w:rFonts w:ascii="Arial" w:hAnsi="Arial" w:cs="Arial"/>
          <w:sz w:val="24"/>
          <w:szCs w:val="24"/>
          <w:lang w:val="en-GB"/>
        </w:rPr>
        <w:t xml:space="preserve"> 1911 TPD 1092; the court erred in finding that the granting of the </w:t>
      </w:r>
      <w:r w:rsidR="008774FD" w:rsidRPr="009F68B9">
        <w:rPr>
          <w:rFonts w:ascii="Arial" w:hAnsi="Arial" w:cs="Arial"/>
          <w:sz w:val="24"/>
          <w:szCs w:val="24"/>
          <w:lang w:val="en-GB"/>
        </w:rPr>
        <w:lastRenderedPageBreak/>
        <w:t xml:space="preserve">applications in question would lead to the over-complication of the matter to the prejudice of Rabbi Galperin and the second, third and fourth respondents; the court erred in relying upon the principle of whether it was in the interests of justice to </w:t>
      </w:r>
      <w:r w:rsidR="00987658" w:rsidRPr="009F68B9">
        <w:rPr>
          <w:rFonts w:ascii="Arial" w:hAnsi="Arial" w:cs="Arial"/>
          <w:sz w:val="24"/>
          <w:szCs w:val="24"/>
          <w:lang w:val="en-GB"/>
        </w:rPr>
        <w:t xml:space="preserve">grant the application to amend, rather than whether same was </w:t>
      </w:r>
      <w:r w:rsidR="00987658" w:rsidRPr="009F68B9">
        <w:rPr>
          <w:rFonts w:ascii="Arial" w:hAnsi="Arial" w:cs="Arial"/>
          <w:i/>
          <w:sz w:val="24"/>
          <w:szCs w:val="24"/>
          <w:lang w:val="en-GB"/>
        </w:rPr>
        <w:t>bona fide</w:t>
      </w:r>
      <w:r w:rsidR="00987658" w:rsidRPr="009F68B9">
        <w:rPr>
          <w:rFonts w:ascii="Arial" w:hAnsi="Arial" w:cs="Arial"/>
          <w:sz w:val="24"/>
          <w:szCs w:val="24"/>
          <w:lang w:val="en-GB"/>
        </w:rPr>
        <w:t xml:space="preserve"> and whether it would cause prejudice or an injustice; and the court failed to exercise its discretion judicially,</w:t>
      </w:r>
      <w:r w:rsidR="00987658">
        <w:rPr>
          <w:rStyle w:val="FootnoteReference"/>
          <w:rFonts w:ascii="Arial" w:hAnsi="Arial" w:cs="Arial"/>
          <w:sz w:val="24"/>
          <w:szCs w:val="24"/>
          <w:lang w:val="en-GB"/>
        </w:rPr>
        <w:footnoteReference w:id="1"/>
      </w:r>
      <w:r w:rsidR="00987658" w:rsidRPr="009F68B9">
        <w:rPr>
          <w:rFonts w:ascii="Arial" w:hAnsi="Arial" w:cs="Arial"/>
          <w:sz w:val="24"/>
          <w:szCs w:val="24"/>
          <w:lang w:val="en-GB"/>
        </w:rPr>
        <w:t xml:space="preserve"> having had regard to the relevant principles and facts of the matter.</w:t>
      </w:r>
    </w:p>
    <w:p w:rsidR="009F68B9" w:rsidRPr="009F68B9" w:rsidRDefault="009F68B9" w:rsidP="009F68B9">
      <w:pPr>
        <w:pStyle w:val="ListParagraph"/>
        <w:spacing w:line="360" w:lineRule="auto"/>
        <w:ind w:left="0"/>
        <w:jc w:val="both"/>
        <w:rPr>
          <w:rFonts w:ascii="Arial" w:hAnsi="Arial" w:cs="Arial"/>
          <w:b/>
          <w:sz w:val="24"/>
          <w:szCs w:val="24"/>
          <w:lang w:val="en-GB"/>
        </w:rPr>
      </w:pPr>
    </w:p>
    <w:p w:rsidR="00987658" w:rsidRPr="009F68B9" w:rsidRDefault="00987658" w:rsidP="00987658">
      <w:pPr>
        <w:pStyle w:val="ListParagraph"/>
        <w:numPr>
          <w:ilvl w:val="0"/>
          <w:numId w:val="2"/>
        </w:numPr>
        <w:spacing w:line="360" w:lineRule="auto"/>
        <w:ind w:left="0" w:firstLine="0"/>
        <w:jc w:val="both"/>
        <w:rPr>
          <w:rFonts w:ascii="Arial" w:hAnsi="Arial" w:cs="Arial"/>
          <w:b/>
          <w:sz w:val="24"/>
          <w:szCs w:val="24"/>
          <w:lang w:val="en-GB"/>
        </w:rPr>
      </w:pPr>
      <w:r w:rsidRPr="009F68B9">
        <w:rPr>
          <w:rFonts w:ascii="Arial" w:hAnsi="Arial" w:cs="Arial"/>
          <w:sz w:val="24"/>
          <w:szCs w:val="24"/>
          <w:lang w:val="en-GB"/>
        </w:rPr>
        <w:t xml:space="preserve">The provisions of section 17(1)(a) of the Superior Courts Act 10 of 2013 provide that leave to appeal may only be given where, </w:t>
      </w:r>
      <w:r w:rsidRPr="009F68B9">
        <w:rPr>
          <w:rFonts w:ascii="Arial" w:hAnsi="Arial" w:cs="Arial"/>
          <w:i/>
          <w:sz w:val="24"/>
          <w:szCs w:val="24"/>
          <w:lang w:val="en-GB"/>
        </w:rPr>
        <w:t>inter alia</w:t>
      </w:r>
      <w:r w:rsidRPr="009F68B9">
        <w:rPr>
          <w:rFonts w:ascii="Arial" w:hAnsi="Arial" w:cs="Arial"/>
          <w:sz w:val="24"/>
          <w:szCs w:val="24"/>
          <w:lang w:val="en-GB"/>
        </w:rPr>
        <w:t xml:space="preserve">, the court is of the opinion that the appeal would have a reasonable prospect of success. Consequent to the repeal of the Supreme Court Act 59 of 1959, it is generally accepted that a stricter test applies. See </w:t>
      </w:r>
      <w:r w:rsidRPr="009F68B9">
        <w:rPr>
          <w:rFonts w:ascii="Arial" w:hAnsi="Arial" w:cs="Arial"/>
          <w:i/>
          <w:sz w:val="24"/>
          <w:szCs w:val="24"/>
          <w:lang w:val="en-GB"/>
        </w:rPr>
        <w:t>The Mont Chevaux Trust (IT 2012/28) v Tina Goosen</w:t>
      </w:r>
      <w:r w:rsidRPr="009F68B9">
        <w:rPr>
          <w:rFonts w:ascii="Arial" w:hAnsi="Arial" w:cs="Arial"/>
          <w:sz w:val="24"/>
          <w:szCs w:val="24"/>
          <w:lang w:val="en-GB"/>
        </w:rPr>
        <w:t xml:space="preserve"> (unreported, LCC case no. LCC 14R/2014, 3 November 2014), which was cited with approval in </w:t>
      </w:r>
      <w:r w:rsidRPr="009F68B9">
        <w:rPr>
          <w:rFonts w:ascii="Arial" w:hAnsi="Arial" w:cs="Arial"/>
          <w:i/>
          <w:sz w:val="24"/>
          <w:szCs w:val="24"/>
          <w:lang w:val="en-GB"/>
        </w:rPr>
        <w:t>The Acting National Director of Public Prosecution v Democratic Alliance</w:t>
      </w:r>
      <w:r w:rsidRPr="009F68B9">
        <w:rPr>
          <w:rFonts w:ascii="Arial" w:hAnsi="Arial" w:cs="Arial"/>
          <w:sz w:val="24"/>
          <w:szCs w:val="24"/>
          <w:lang w:val="en-GB"/>
        </w:rPr>
        <w:t xml:space="preserve"> (unreported, GP case no. 19577/09, 24 June 2016).</w:t>
      </w:r>
      <w:r w:rsidRPr="00987658">
        <w:rPr>
          <w:vertAlign w:val="superscript"/>
          <w:lang w:val="en-GB"/>
        </w:rPr>
        <w:footnoteReference w:id="2"/>
      </w:r>
      <w:r w:rsidR="00384E2D" w:rsidRPr="009F68B9">
        <w:rPr>
          <w:rFonts w:ascii="Arial" w:hAnsi="Arial" w:cs="Arial"/>
          <w:sz w:val="24"/>
          <w:szCs w:val="24"/>
          <w:lang w:val="en-GB"/>
        </w:rPr>
        <w:t xml:space="preserve"> </w:t>
      </w:r>
      <w:r w:rsidRPr="009F68B9">
        <w:rPr>
          <w:rFonts w:ascii="Arial" w:hAnsi="Arial" w:cs="Arial"/>
          <w:sz w:val="24"/>
          <w:szCs w:val="24"/>
          <w:lang w:val="en-GB"/>
        </w:rPr>
        <w:t xml:space="preserve">The court must </w:t>
      </w:r>
      <w:r w:rsidR="00384E2D" w:rsidRPr="009F68B9">
        <w:rPr>
          <w:rFonts w:ascii="Arial" w:hAnsi="Arial" w:cs="Arial"/>
          <w:sz w:val="24"/>
          <w:szCs w:val="24"/>
          <w:lang w:val="en-GB"/>
        </w:rPr>
        <w:t xml:space="preserve">decide </w:t>
      </w:r>
      <w:r w:rsidRPr="009F68B9">
        <w:rPr>
          <w:rFonts w:ascii="Arial" w:hAnsi="Arial" w:cs="Arial"/>
          <w:sz w:val="24"/>
          <w:szCs w:val="24"/>
          <w:lang w:val="en-GB"/>
        </w:rPr>
        <w:t xml:space="preserve">whether the appeal </w:t>
      </w:r>
      <w:r w:rsidRPr="009F68B9">
        <w:rPr>
          <w:rFonts w:ascii="Arial" w:hAnsi="Arial" w:cs="Arial"/>
          <w:i/>
          <w:sz w:val="24"/>
          <w:szCs w:val="24"/>
          <w:lang w:val="en-GB"/>
        </w:rPr>
        <w:t>would</w:t>
      </w:r>
      <w:r w:rsidRPr="009F68B9">
        <w:rPr>
          <w:rFonts w:ascii="Arial" w:hAnsi="Arial" w:cs="Arial"/>
          <w:sz w:val="24"/>
          <w:szCs w:val="24"/>
          <w:lang w:val="en-GB"/>
        </w:rPr>
        <w:t xml:space="preserve"> have a </w:t>
      </w:r>
      <w:r w:rsidR="00384E2D" w:rsidRPr="009F68B9">
        <w:rPr>
          <w:rFonts w:ascii="Arial" w:hAnsi="Arial" w:cs="Arial"/>
          <w:sz w:val="24"/>
          <w:szCs w:val="24"/>
          <w:lang w:val="en-GB"/>
        </w:rPr>
        <w:t>reasonable prospect of success and t</w:t>
      </w:r>
      <w:r w:rsidRPr="009F68B9">
        <w:rPr>
          <w:rFonts w:ascii="Arial" w:hAnsi="Arial" w:cs="Arial"/>
          <w:sz w:val="24"/>
          <w:szCs w:val="24"/>
          <w:lang w:val="en-GB"/>
        </w:rPr>
        <w:t xml:space="preserve">here must be a sound, rational basis for any conclusion to that effect. See </w:t>
      </w:r>
      <w:r w:rsidRPr="009F68B9">
        <w:rPr>
          <w:rFonts w:ascii="Arial" w:hAnsi="Arial" w:cs="Arial"/>
          <w:i/>
          <w:sz w:val="24"/>
          <w:szCs w:val="24"/>
          <w:lang w:val="en-GB"/>
        </w:rPr>
        <w:t>Four Wheel Drive Accessory Distributors CC v Rattan NO</w:t>
      </w:r>
      <w:r w:rsidRPr="009F68B9">
        <w:rPr>
          <w:rFonts w:ascii="Arial" w:hAnsi="Arial" w:cs="Arial"/>
          <w:sz w:val="24"/>
          <w:szCs w:val="24"/>
          <w:lang w:val="en-GB"/>
        </w:rPr>
        <w:t xml:space="preserve"> 2019 (3) SA 451 (SCA), at 463F.</w:t>
      </w:r>
    </w:p>
    <w:p w:rsidR="009F68B9" w:rsidRPr="009F68B9" w:rsidRDefault="009F68B9" w:rsidP="009F68B9">
      <w:pPr>
        <w:pStyle w:val="ListParagraph"/>
        <w:rPr>
          <w:rFonts w:ascii="Arial" w:hAnsi="Arial" w:cs="Arial"/>
          <w:b/>
          <w:sz w:val="24"/>
          <w:szCs w:val="24"/>
          <w:lang w:val="en-GB"/>
        </w:rPr>
      </w:pPr>
    </w:p>
    <w:p w:rsidR="00384E2D" w:rsidRPr="009F68B9" w:rsidRDefault="00384E2D" w:rsidP="00987658">
      <w:pPr>
        <w:pStyle w:val="ListParagraph"/>
        <w:numPr>
          <w:ilvl w:val="0"/>
          <w:numId w:val="2"/>
        </w:numPr>
        <w:spacing w:line="360" w:lineRule="auto"/>
        <w:ind w:left="0" w:firstLine="0"/>
        <w:jc w:val="both"/>
        <w:rPr>
          <w:rFonts w:ascii="Arial" w:hAnsi="Arial" w:cs="Arial"/>
          <w:b/>
          <w:sz w:val="24"/>
          <w:szCs w:val="24"/>
          <w:lang w:val="en-GB"/>
        </w:rPr>
      </w:pPr>
      <w:r w:rsidRPr="009F68B9">
        <w:rPr>
          <w:rFonts w:ascii="Arial" w:hAnsi="Arial" w:cs="Arial"/>
          <w:sz w:val="24"/>
          <w:szCs w:val="24"/>
          <w:lang w:val="en-GB"/>
        </w:rPr>
        <w:t xml:space="preserve">Turning directly to the Society’s grounds of appeal, </w:t>
      </w:r>
      <w:r w:rsidR="00DB1610" w:rsidRPr="009F68B9">
        <w:rPr>
          <w:rFonts w:ascii="Arial" w:hAnsi="Arial" w:cs="Arial"/>
          <w:sz w:val="24"/>
          <w:szCs w:val="24"/>
          <w:lang w:val="en-GB"/>
        </w:rPr>
        <w:t xml:space="preserve">the Society’s notice of intention to amend was limited to the deletion of the word, ‘conditional’, wherever it appeared ‘in the heading and body’ of the counter-application. Its subsequent application to amend was more expansive in nature, seeking leave </w:t>
      </w:r>
      <w:r w:rsidR="003B14C2" w:rsidRPr="009F68B9">
        <w:rPr>
          <w:rFonts w:ascii="Arial" w:hAnsi="Arial" w:cs="Arial"/>
          <w:sz w:val="24"/>
          <w:szCs w:val="24"/>
          <w:lang w:val="en-GB"/>
        </w:rPr>
        <w:t xml:space="preserve">also </w:t>
      </w:r>
      <w:r w:rsidR="00DB1610" w:rsidRPr="009F68B9">
        <w:rPr>
          <w:rFonts w:ascii="Arial" w:hAnsi="Arial" w:cs="Arial"/>
          <w:sz w:val="24"/>
          <w:szCs w:val="24"/>
          <w:lang w:val="en-GB"/>
        </w:rPr>
        <w:t xml:space="preserve">to deliver a supplementary founding affidavit. </w:t>
      </w:r>
      <w:r w:rsidR="00252502" w:rsidRPr="009F68B9">
        <w:rPr>
          <w:rFonts w:ascii="Arial" w:hAnsi="Arial" w:cs="Arial"/>
          <w:sz w:val="24"/>
          <w:szCs w:val="24"/>
          <w:lang w:val="en-GB"/>
        </w:rPr>
        <w:t>Accordingly, i</w:t>
      </w:r>
      <w:r w:rsidR="00DB1610" w:rsidRPr="009F68B9">
        <w:rPr>
          <w:rFonts w:ascii="Arial" w:hAnsi="Arial" w:cs="Arial"/>
          <w:sz w:val="24"/>
          <w:szCs w:val="24"/>
          <w:lang w:val="en-GB"/>
        </w:rPr>
        <w:t xml:space="preserve">t would be patently unfair to restrict </w:t>
      </w:r>
      <w:r w:rsidRPr="009F68B9">
        <w:rPr>
          <w:rFonts w:ascii="Arial" w:hAnsi="Arial" w:cs="Arial"/>
          <w:sz w:val="24"/>
          <w:szCs w:val="24"/>
          <w:lang w:val="en-GB"/>
        </w:rPr>
        <w:t xml:space="preserve">Rabbi Galperin </w:t>
      </w:r>
      <w:r w:rsidR="00DB1610" w:rsidRPr="009F68B9">
        <w:rPr>
          <w:rFonts w:ascii="Arial" w:hAnsi="Arial" w:cs="Arial"/>
          <w:sz w:val="24"/>
          <w:szCs w:val="24"/>
          <w:lang w:val="en-GB"/>
        </w:rPr>
        <w:t>to the grounds set out in his notice of objection</w:t>
      </w:r>
      <w:r w:rsidR="00712040">
        <w:rPr>
          <w:rFonts w:ascii="Arial" w:hAnsi="Arial" w:cs="Arial"/>
          <w:sz w:val="24"/>
          <w:szCs w:val="24"/>
          <w:lang w:val="en-GB"/>
        </w:rPr>
        <w:t xml:space="preserve"> which merely addressed the society’s terse notice of intention to amend</w:t>
      </w:r>
      <w:r w:rsidR="00DB1610" w:rsidRPr="009F68B9">
        <w:rPr>
          <w:rFonts w:ascii="Arial" w:hAnsi="Arial" w:cs="Arial"/>
          <w:sz w:val="24"/>
          <w:szCs w:val="24"/>
          <w:lang w:val="en-GB"/>
        </w:rPr>
        <w:t>.</w:t>
      </w:r>
      <w:r w:rsidR="00712040">
        <w:rPr>
          <w:rFonts w:ascii="Arial" w:hAnsi="Arial" w:cs="Arial"/>
          <w:sz w:val="24"/>
          <w:szCs w:val="24"/>
          <w:lang w:val="en-GB"/>
        </w:rPr>
        <w:t xml:space="preserve"> Furthermore, Rabbi Galperin</w:t>
      </w:r>
      <w:r w:rsidR="00DB1610" w:rsidRPr="009F68B9">
        <w:rPr>
          <w:rFonts w:ascii="Arial" w:hAnsi="Arial" w:cs="Arial"/>
          <w:sz w:val="24"/>
          <w:szCs w:val="24"/>
          <w:lang w:val="en-GB"/>
        </w:rPr>
        <w:t xml:space="preserve"> raises</w:t>
      </w:r>
      <w:r w:rsidR="00252502" w:rsidRPr="009F68B9">
        <w:rPr>
          <w:rFonts w:ascii="Arial" w:hAnsi="Arial" w:cs="Arial"/>
          <w:sz w:val="24"/>
          <w:szCs w:val="24"/>
          <w:lang w:val="en-GB"/>
        </w:rPr>
        <w:t>, squarely,</w:t>
      </w:r>
      <w:r w:rsidR="00DB1610" w:rsidRPr="009F68B9">
        <w:rPr>
          <w:rFonts w:ascii="Arial" w:hAnsi="Arial" w:cs="Arial"/>
          <w:sz w:val="24"/>
          <w:szCs w:val="24"/>
          <w:lang w:val="en-GB"/>
        </w:rPr>
        <w:t xml:space="preserve"> the argument in relation to the closeness of the connection between the counter-application and the main application in his heads of argument</w:t>
      </w:r>
      <w:r w:rsidR="00252502" w:rsidRPr="009F68B9">
        <w:rPr>
          <w:rFonts w:ascii="Arial" w:hAnsi="Arial" w:cs="Arial"/>
          <w:sz w:val="24"/>
          <w:szCs w:val="24"/>
          <w:lang w:val="en-GB"/>
        </w:rPr>
        <w:t xml:space="preserve">, which was foreshadowed in both the notice of objection and his opposing affidavit inasmuch as he indicated that one of the reasons for his objection to the proposed amendment was that the Society sought to transform a conditional counter-application </w:t>
      </w:r>
      <w:r w:rsidR="00252502" w:rsidRPr="009F68B9">
        <w:rPr>
          <w:rFonts w:ascii="Arial" w:hAnsi="Arial" w:cs="Arial"/>
          <w:sz w:val="24"/>
          <w:szCs w:val="24"/>
          <w:lang w:val="en-GB"/>
        </w:rPr>
        <w:lastRenderedPageBreak/>
        <w:t xml:space="preserve">(filed in relation to an application which </w:t>
      </w:r>
      <w:r w:rsidR="001F0C73">
        <w:rPr>
          <w:rFonts w:ascii="Arial" w:hAnsi="Arial" w:cs="Arial"/>
          <w:sz w:val="24"/>
          <w:szCs w:val="24"/>
          <w:lang w:val="en-GB"/>
        </w:rPr>
        <w:t>was</w:t>
      </w:r>
      <w:r w:rsidR="00252502" w:rsidRPr="009F68B9">
        <w:rPr>
          <w:rFonts w:ascii="Arial" w:hAnsi="Arial" w:cs="Arial"/>
          <w:sz w:val="24"/>
          <w:szCs w:val="24"/>
          <w:lang w:val="en-GB"/>
        </w:rPr>
        <w:t xml:space="preserve"> later withdrawn) into a ‘substantive stand-alone application’.</w:t>
      </w:r>
      <w:r w:rsidR="00252502">
        <w:rPr>
          <w:rStyle w:val="FootnoteReference"/>
          <w:rFonts w:ascii="Arial" w:hAnsi="Arial" w:cs="Arial"/>
          <w:sz w:val="24"/>
          <w:szCs w:val="24"/>
          <w:lang w:val="en-GB"/>
        </w:rPr>
        <w:footnoteReference w:id="3"/>
      </w:r>
    </w:p>
    <w:p w:rsidR="009F68B9" w:rsidRPr="009F68B9" w:rsidRDefault="009F68B9" w:rsidP="009F68B9">
      <w:pPr>
        <w:pStyle w:val="ListParagraph"/>
        <w:rPr>
          <w:rFonts w:ascii="Arial" w:hAnsi="Arial" w:cs="Arial"/>
          <w:b/>
          <w:sz w:val="24"/>
          <w:szCs w:val="24"/>
          <w:lang w:val="en-GB"/>
        </w:rPr>
      </w:pPr>
    </w:p>
    <w:p w:rsidR="001F2F18" w:rsidRPr="009F68B9" w:rsidRDefault="00B412BC" w:rsidP="005C2273">
      <w:pPr>
        <w:pStyle w:val="ListParagraph"/>
        <w:numPr>
          <w:ilvl w:val="0"/>
          <w:numId w:val="2"/>
        </w:numPr>
        <w:spacing w:line="360" w:lineRule="auto"/>
        <w:ind w:left="0" w:firstLine="0"/>
        <w:jc w:val="both"/>
        <w:rPr>
          <w:rFonts w:ascii="Arial" w:hAnsi="Arial" w:cs="Arial"/>
          <w:b/>
          <w:sz w:val="24"/>
          <w:szCs w:val="24"/>
          <w:lang w:val="en-GB"/>
        </w:rPr>
      </w:pPr>
      <w:r w:rsidRPr="009F68B9">
        <w:rPr>
          <w:rFonts w:ascii="Arial" w:hAnsi="Arial" w:cs="Arial"/>
          <w:sz w:val="24"/>
          <w:szCs w:val="24"/>
          <w:lang w:val="en-GB"/>
        </w:rPr>
        <w:t xml:space="preserve">The contents of paragraph 16 of the founding affidavit to the counter-application, read with paragraphs 8 to 102 of the answering affidavit, set out in great detail the history of the dispute between the parties. The averments are substantiated by numerous annexures. </w:t>
      </w:r>
      <w:r w:rsidR="00933879" w:rsidRPr="009F68B9">
        <w:rPr>
          <w:rFonts w:ascii="Arial" w:hAnsi="Arial" w:cs="Arial"/>
          <w:sz w:val="24"/>
          <w:szCs w:val="24"/>
          <w:lang w:val="en-GB"/>
        </w:rPr>
        <w:t>It cannot be said, as the Society argues, that they had nothing to do with the allegations made by Rabbi Galperin in his founding affidavit in the main application</w:t>
      </w:r>
      <w:r w:rsidR="00FF2492" w:rsidRPr="009F68B9">
        <w:rPr>
          <w:rFonts w:ascii="Arial" w:hAnsi="Arial" w:cs="Arial"/>
          <w:sz w:val="24"/>
          <w:szCs w:val="24"/>
          <w:lang w:val="en-GB"/>
        </w:rPr>
        <w:t xml:space="preserve"> and pertained only to the subject of the counter-application</w:t>
      </w:r>
      <w:r w:rsidR="00933879" w:rsidRPr="009F68B9">
        <w:rPr>
          <w:rFonts w:ascii="Arial" w:hAnsi="Arial" w:cs="Arial"/>
          <w:sz w:val="24"/>
          <w:szCs w:val="24"/>
          <w:lang w:val="en-GB"/>
        </w:rPr>
        <w:t xml:space="preserve">. They represent the </w:t>
      </w:r>
      <w:r w:rsidR="00FF2492" w:rsidRPr="009F68B9">
        <w:rPr>
          <w:rFonts w:ascii="Arial" w:hAnsi="Arial" w:cs="Arial"/>
          <w:sz w:val="24"/>
          <w:szCs w:val="24"/>
          <w:lang w:val="en-GB"/>
        </w:rPr>
        <w:t xml:space="preserve">basis upon which the </w:t>
      </w:r>
      <w:r w:rsidR="00933879" w:rsidRPr="009F68B9">
        <w:rPr>
          <w:rFonts w:ascii="Arial" w:hAnsi="Arial" w:cs="Arial"/>
          <w:sz w:val="24"/>
          <w:szCs w:val="24"/>
          <w:lang w:val="en-GB"/>
        </w:rPr>
        <w:t>Society</w:t>
      </w:r>
      <w:r w:rsidR="00FF2492" w:rsidRPr="009F68B9">
        <w:rPr>
          <w:rFonts w:ascii="Arial" w:hAnsi="Arial" w:cs="Arial"/>
          <w:sz w:val="24"/>
          <w:szCs w:val="24"/>
          <w:lang w:val="en-GB"/>
        </w:rPr>
        <w:t xml:space="preserve"> opposed the main application;</w:t>
      </w:r>
      <w:r w:rsidR="003B14C2" w:rsidRPr="009F68B9">
        <w:rPr>
          <w:rFonts w:ascii="Arial" w:hAnsi="Arial" w:cs="Arial"/>
          <w:sz w:val="24"/>
          <w:szCs w:val="24"/>
          <w:lang w:val="en-GB"/>
        </w:rPr>
        <w:t xml:space="preserve"> they</w:t>
      </w:r>
      <w:r w:rsidR="00933879" w:rsidRPr="009F68B9">
        <w:rPr>
          <w:rFonts w:ascii="Arial" w:hAnsi="Arial" w:cs="Arial"/>
          <w:sz w:val="24"/>
          <w:szCs w:val="24"/>
          <w:lang w:val="en-GB"/>
        </w:rPr>
        <w:t xml:space="preserve"> are the ‘relevant facts’</w:t>
      </w:r>
      <w:r w:rsidR="00FF2492" w:rsidRPr="009F68B9">
        <w:rPr>
          <w:rFonts w:ascii="Arial" w:hAnsi="Arial" w:cs="Arial"/>
          <w:sz w:val="24"/>
          <w:szCs w:val="24"/>
          <w:lang w:val="en-GB"/>
        </w:rPr>
        <w:t xml:space="preserve"> for such purposes</w:t>
      </w:r>
      <w:r w:rsidR="00933879">
        <w:rPr>
          <w:rStyle w:val="FootnoteReference"/>
          <w:rFonts w:ascii="Arial" w:hAnsi="Arial" w:cs="Arial"/>
          <w:sz w:val="24"/>
          <w:szCs w:val="24"/>
          <w:lang w:val="en-GB"/>
        </w:rPr>
        <w:footnoteReference w:id="4"/>
      </w:r>
      <w:r w:rsidR="00FF2492" w:rsidRPr="009F68B9">
        <w:rPr>
          <w:rFonts w:ascii="Arial" w:hAnsi="Arial" w:cs="Arial"/>
          <w:sz w:val="24"/>
          <w:szCs w:val="24"/>
          <w:lang w:val="en-GB"/>
        </w:rPr>
        <w:t>. This</w:t>
      </w:r>
      <w:r w:rsidR="003B14C2" w:rsidRPr="009F68B9">
        <w:rPr>
          <w:rFonts w:ascii="Arial" w:hAnsi="Arial" w:cs="Arial"/>
          <w:sz w:val="24"/>
          <w:szCs w:val="24"/>
          <w:lang w:val="en-GB"/>
        </w:rPr>
        <w:t xml:space="preserve"> court found that the</w:t>
      </w:r>
      <w:r w:rsidR="00FF2492" w:rsidRPr="009F68B9">
        <w:rPr>
          <w:rFonts w:ascii="Arial" w:hAnsi="Arial" w:cs="Arial"/>
          <w:sz w:val="24"/>
          <w:szCs w:val="24"/>
          <w:lang w:val="en-GB"/>
        </w:rPr>
        <w:t>ir incorporation by reference into an affidavit intended for other purposes was problematic for the reasons set out in the judgment</w:t>
      </w:r>
      <w:r w:rsidR="00933879" w:rsidRPr="009F68B9">
        <w:rPr>
          <w:rFonts w:ascii="Arial" w:hAnsi="Arial" w:cs="Arial"/>
          <w:sz w:val="24"/>
          <w:szCs w:val="24"/>
          <w:lang w:val="en-GB"/>
        </w:rPr>
        <w:t>.</w:t>
      </w:r>
      <w:r w:rsidR="00FF2492" w:rsidRPr="009F68B9">
        <w:rPr>
          <w:rFonts w:ascii="Arial" w:hAnsi="Arial" w:cs="Arial"/>
          <w:sz w:val="24"/>
          <w:szCs w:val="24"/>
          <w:lang w:val="en-GB"/>
        </w:rPr>
        <w:t xml:space="preserve"> </w:t>
      </w:r>
    </w:p>
    <w:p w:rsidR="009F68B9" w:rsidRPr="009F68B9" w:rsidRDefault="009F68B9" w:rsidP="009F68B9">
      <w:pPr>
        <w:pStyle w:val="ListParagraph"/>
        <w:rPr>
          <w:rFonts w:ascii="Arial" w:hAnsi="Arial" w:cs="Arial"/>
          <w:b/>
          <w:sz w:val="24"/>
          <w:szCs w:val="24"/>
          <w:lang w:val="en-GB"/>
        </w:rPr>
      </w:pPr>
    </w:p>
    <w:p w:rsidR="005014A6" w:rsidRPr="009F68B9" w:rsidRDefault="005014A6" w:rsidP="005C2273">
      <w:pPr>
        <w:pStyle w:val="ListParagraph"/>
        <w:numPr>
          <w:ilvl w:val="0"/>
          <w:numId w:val="2"/>
        </w:numPr>
        <w:spacing w:line="360" w:lineRule="auto"/>
        <w:ind w:left="0" w:firstLine="0"/>
        <w:jc w:val="both"/>
        <w:rPr>
          <w:rFonts w:ascii="Arial" w:hAnsi="Arial" w:cs="Arial"/>
          <w:b/>
          <w:sz w:val="24"/>
          <w:szCs w:val="24"/>
          <w:lang w:val="en-GB"/>
        </w:rPr>
      </w:pPr>
      <w:r w:rsidRPr="009F68B9">
        <w:rPr>
          <w:rFonts w:ascii="Arial" w:hAnsi="Arial" w:cs="Arial"/>
          <w:sz w:val="24"/>
          <w:szCs w:val="24"/>
          <w:lang w:val="en-GB"/>
        </w:rPr>
        <w:t xml:space="preserve">The general principles expressed in </w:t>
      </w:r>
      <w:r w:rsidRPr="009F68B9">
        <w:rPr>
          <w:rFonts w:ascii="Arial" w:hAnsi="Arial" w:cs="Arial"/>
          <w:i/>
          <w:sz w:val="24"/>
          <w:szCs w:val="24"/>
          <w:lang w:val="en-GB"/>
        </w:rPr>
        <w:t>Pearson and Hutton, NNO v Hitzeroth and others</w:t>
      </w:r>
      <w:r w:rsidRPr="009F68B9">
        <w:rPr>
          <w:rFonts w:ascii="Arial" w:hAnsi="Arial" w:cs="Arial"/>
          <w:sz w:val="24"/>
          <w:szCs w:val="24"/>
          <w:lang w:val="en-GB"/>
        </w:rPr>
        <w:t xml:space="preserve"> are undoubtedly relevant and it is difficult to see how the above authority, in that regard, is distinguishable from the present matter. The granting o</w:t>
      </w:r>
      <w:r w:rsidR="00220182" w:rsidRPr="009F68B9">
        <w:rPr>
          <w:rFonts w:ascii="Arial" w:hAnsi="Arial" w:cs="Arial"/>
          <w:sz w:val="24"/>
          <w:szCs w:val="24"/>
          <w:lang w:val="en-GB"/>
        </w:rPr>
        <w:t xml:space="preserve">f the applications would risk </w:t>
      </w:r>
      <w:r w:rsidRPr="009F68B9">
        <w:rPr>
          <w:rFonts w:ascii="Arial" w:hAnsi="Arial" w:cs="Arial"/>
          <w:sz w:val="24"/>
          <w:szCs w:val="24"/>
          <w:lang w:val="en-GB"/>
        </w:rPr>
        <w:t xml:space="preserve">the ‘highly cumbersome and </w:t>
      </w:r>
      <w:r w:rsidR="00220182" w:rsidRPr="009F68B9">
        <w:rPr>
          <w:rFonts w:ascii="Arial" w:hAnsi="Arial" w:cs="Arial"/>
          <w:sz w:val="24"/>
          <w:szCs w:val="24"/>
          <w:lang w:val="en-GB"/>
        </w:rPr>
        <w:t>undesirable course’ to which Addleson J referred, as well as the ‘considerable perusal and cross-checking of the evidence and documents already filed’, thereby incurring additional costs.</w:t>
      </w:r>
      <w:r w:rsidR="00220182">
        <w:rPr>
          <w:rStyle w:val="FootnoteReference"/>
          <w:rFonts w:ascii="Arial" w:hAnsi="Arial" w:cs="Arial"/>
          <w:sz w:val="24"/>
          <w:szCs w:val="24"/>
          <w:lang w:val="en-GB"/>
        </w:rPr>
        <w:footnoteReference w:id="5"/>
      </w:r>
      <w:r w:rsidR="00220182" w:rsidRPr="009F68B9">
        <w:rPr>
          <w:rFonts w:ascii="Arial" w:hAnsi="Arial" w:cs="Arial"/>
          <w:sz w:val="24"/>
          <w:szCs w:val="24"/>
          <w:lang w:val="en-GB"/>
        </w:rPr>
        <w:t xml:space="preserve"> </w:t>
      </w:r>
      <w:r w:rsidR="00951AC3" w:rsidRPr="009F68B9">
        <w:rPr>
          <w:rFonts w:ascii="Arial" w:hAnsi="Arial" w:cs="Arial"/>
          <w:sz w:val="24"/>
          <w:szCs w:val="24"/>
          <w:lang w:val="en-GB"/>
        </w:rPr>
        <w:t xml:space="preserve">If </w:t>
      </w:r>
      <w:r w:rsidR="00573D7F" w:rsidRPr="009F68B9">
        <w:rPr>
          <w:rFonts w:ascii="Arial" w:hAnsi="Arial" w:cs="Arial"/>
          <w:sz w:val="24"/>
          <w:szCs w:val="24"/>
          <w:lang w:val="en-GB"/>
        </w:rPr>
        <w:t xml:space="preserve">the action is </w:t>
      </w:r>
      <w:r w:rsidR="00951AC3" w:rsidRPr="009F68B9">
        <w:rPr>
          <w:rFonts w:ascii="Arial" w:hAnsi="Arial" w:cs="Arial"/>
          <w:sz w:val="24"/>
          <w:szCs w:val="24"/>
          <w:lang w:val="en-GB"/>
        </w:rPr>
        <w:t xml:space="preserve">taken into account, too, then the </w:t>
      </w:r>
      <w:r w:rsidR="00573D7F" w:rsidRPr="009F68B9">
        <w:rPr>
          <w:rFonts w:ascii="Arial" w:hAnsi="Arial" w:cs="Arial"/>
          <w:sz w:val="24"/>
          <w:szCs w:val="24"/>
          <w:lang w:val="en-GB"/>
        </w:rPr>
        <w:t xml:space="preserve">prospect of overlapping proceedings </w:t>
      </w:r>
      <w:r w:rsidR="003A0A26">
        <w:rPr>
          <w:rFonts w:ascii="Arial" w:hAnsi="Arial" w:cs="Arial"/>
          <w:sz w:val="24"/>
          <w:szCs w:val="24"/>
          <w:lang w:val="en-GB"/>
        </w:rPr>
        <w:t xml:space="preserve">between the same parties </w:t>
      </w:r>
      <w:r w:rsidR="00573D7F" w:rsidRPr="009F68B9">
        <w:rPr>
          <w:rFonts w:ascii="Arial" w:hAnsi="Arial" w:cs="Arial"/>
          <w:sz w:val="24"/>
          <w:szCs w:val="24"/>
          <w:lang w:val="en-GB"/>
        </w:rPr>
        <w:t>beco</w:t>
      </w:r>
      <w:r w:rsidR="003A0A26">
        <w:rPr>
          <w:rFonts w:ascii="Arial" w:hAnsi="Arial" w:cs="Arial"/>
          <w:sz w:val="24"/>
          <w:szCs w:val="24"/>
          <w:lang w:val="en-GB"/>
        </w:rPr>
        <w:t xml:space="preserve">mes unavoidable and the dispute as a whole </w:t>
      </w:r>
      <w:r w:rsidR="00573D7F" w:rsidRPr="009F68B9">
        <w:rPr>
          <w:rFonts w:ascii="Arial" w:hAnsi="Arial" w:cs="Arial"/>
          <w:sz w:val="24"/>
          <w:szCs w:val="24"/>
          <w:lang w:val="en-GB"/>
        </w:rPr>
        <w:t>becomes unmanageable.</w:t>
      </w:r>
      <w:r w:rsidR="004D7389">
        <w:rPr>
          <w:rStyle w:val="FootnoteReference"/>
          <w:rFonts w:ascii="Arial" w:hAnsi="Arial" w:cs="Arial"/>
          <w:sz w:val="24"/>
          <w:szCs w:val="24"/>
          <w:lang w:val="en-GB"/>
        </w:rPr>
        <w:footnoteReference w:id="6"/>
      </w:r>
      <w:r w:rsidR="00573D7F" w:rsidRPr="009F68B9">
        <w:rPr>
          <w:rFonts w:ascii="Arial" w:hAnsi="Arial" w:cs="Arial"/>
          <w:sz w:val="24"/>
          <w:szCs w:val="24"/>
          <w:lang w:val="en-GB"/>
        </w:rPr>
        <w:t xml:space="preserve"> The prejudice</w:t>
      </w:r>
      <w:r w:rsidR="00F14FD6" w:rsidRPr="009F68B9">
        <w:rPr>
          <w:rFonts w:ascii="Arial" w:hAnsi="Arial" w:cs="Arial"/>
          <w:sz w:val="24"/>
          <w:szCs w:val="24"/>
          <w:lang w:val="en-GB"/>
        </w:rPr>
        <w:t xml:space="preserve"> to the respondents is self-evident</w:t>
      </w:r>
      <w:r w:rsidR="00573D7F" w:rsidRPr="009F68B9">
        <w:rPr>
          <w:rFonts w:ascii="Arial" w:hAnsi="Arial" w:cs="Arial"/>
          <w:sz w:val="24"/>
          <w:szCs w:val="24"/>
          <w:lang w:val="en-GB"/>
        </w:rPr>
        <w:t xml:space="preserve">. </w:t>
      </w:r>
    </w:p>
    <w:p w:rsidR="009F68B9" w:rsidRPr="009F68B9" w:rsidRDefault="009F68B9" w:rsidP="009F68B9">
      <w:pPr>
        <w:pStyle w:val="ListParagraph"/>
        <w:rPr>
          <w:rFonts w:ascii="Arial" w:hAnsi="Arial" w:cs="Arial"/>
          <w:b/>
          <w:sz w:val="24"/>
          <w:szCs w:val="24"/>
          <w:lang w:val="en-GB"/>
        </w:rPr>
      </w:pPr>
    </w:p>
    <w:p w:rsidR="00573D7F" w:rsidRPr="009F68B9" w:rsidRDefault="00573D7F" w:rsidP="005C2273">
      <w:pPr>
        <w:pStyle w:val="ListParagraph"/>
        <w:numPr>
          <w:ilvl w:val="0"/>
          <w:numId w:val="2"/>
        </w:numPr>
        <w:spacing w:line="360" w:lineRule="auto"/>
        <w:ind w:left="0" w:firstLine="0"/>
        <w:jc w:val="both"/>
        <w:rPr>
          <w:rFonts w:ascii="Arial" w:hAnsi="Arial" w:cs="Arial"/>
          <w:b/>
          <w:sz w:val="24"/>
          <w:szCs w:val="24"/>
          <w:lang w:val="en-GB"/>
        </w:rPr>
      </w:pPr>
      <w:r w:rsidRPr="009F68B9">
        <w:rPr>
          <w:rFonts w:ascii="Arial" w:hAnsi="Arial" w:cs="Arial"/>
          <w:sz w:val="24"/>
          <w:szCs w:val="24"/>
          <w:lang w:val="en-GB"/>
        </w:rPr>
        <w:t xml:space="preserve">The wide ambit of discretion that the court enjoys was stated unequivocally in </w:t>
      </w:r>
      <w:r w:rsidRPr="009F68B9">
        <w:rPr>
          <w:rFonts w:ascii="Arial" w:hAnsi="Arial" w:cs="Arial"/>
          <w:i/>
          <w:sz w:val="24"/>
          <w:szCs w:val="24"/>
          <w:lang w:val="en-GB"/>
        </w:rPr>
        <w:t>Whittaker v Roos and another; Morant v Roos and another</w:t>
      </w:r>
      <w:r w:rsidR="004D7389" w:rsidRPr="009F68B9">
        <w:rPr>
          <w:rFonts w:ascii="Arial" w:hAnsi="Arial" w:cs="Arial"/>
          <w:i/>
          <w:sz w:val="24"/>
          <w:szCs w:val="24"/>
          <w:lang w:val="en-GB"/>
        </w:rPr>
        <w:t xml:space="preserve">. </w:t>
      </w:r>
      <w:r w:rsidR="004D7389" w:rsidRPr="009F68B9">
        <w:rPr>
          <w:rFonts w:ascii="Arial" w:hAnsi="Arial" w:cs="Arial"/>
          <w:sz w:val="24"/>
          <w:szCs w:val="24"/>
          <w:lang w:val="en-GB"/>
        </w:rPr>
        <w:t>Moreover, Wessels J made it clear that the purpose of granting an amendment was to ensure that the court obtained ‘a true account of what actually took place</w:t>
      </w:r>
      <w:r w:rsidR="00F14FD6" w:rsidRPr="009F68B9">
        <w:rPr>
          <w:rFonts w:ascii="Arial" w:hAnsi="Arial" w:cs="Arial"/>
          <w:sz w:val="24"/>
          <w:szCs w:val="24"/>
          <w:lang w:val="en-GB"/>
        </w:rPr>
        <w:t>’</w:t>
      </w:r>
      <w:r w:rsidR="004D7389" w:rsidRPr="009F68B9">
        <w:rPr>
          <w:rFonts w:ascii="Arial" w:hAnsi="Arial" w:cs="Arial"/>
          <w:sz w:val="24"/>
          <w:szCs w:val="24"/>
          <w:lang w:val="en-GB"/>
        </w:rPr>
        <w:t>, such that a decision was not made on the ‘wrong facts’.</w:t>
      </w:r>
      <w:r w:rsidR="004D7389">
        <w:rPr>
          <w:rStyle w:val="FootnoteReference"/>
          <w:rFonts w:ascii="Arial" w:hAnsi="Arial" w:cs="Arial"/>
          <w:sz w:val="24"/>
          <w:szCs w:val="24"/>
          <w:lang w:val="en-GB"/>
        </w:rPr>
        <w:footnoteReference w:id="7"/>
      </w:r>
      <w:r w:rsidR="00F14FD6" w:rsidRPr="009F68B9">
        <w:rPr>
          <w:rFonts w:ascii="Arial" w:hAnsi="Arial" w:cs="Arial"/>
          <w:sz w:val="24"/>
          <w:szCs w:val="24"/>
          <w:lang w:val="en-GB"/>
        </w:rPr>
        <w:t xml:space="preserve"> Here,</w:t>
      </w:r>
      <w:r w:rsidR="00E703EB" w:rsidRPr="009F68B9">
        <w:rPr>
          <w:rFonts w:ascii="Arial" w:hAnsi="Arial" w:cs="Arial"/>
          <w:sz w:val="24"/>
          <w:szCs w:val="24"/>
          <w:lang w:val="en-GB"/>
        </w:rPr>
        <w:t xml:space="preserve"> </w:t>
      </w:r>
      <w:r w:rsidR="00F14FD6" w:rsidRPr="009F68B9">
        <w:rPr>
          <w:rFonts w:ascii="Arial" w:hAnsi="Arial" w:cs="Arial"/>
          <w:sz w:val="24"/>
          <w:szCs w:val="24"/>
          <w:lang w:val="en-GB"/>
        </w:rPr>
        <w:t xml:space="preserve">the application for amendment is not </w:t>
      </w:r>
      <w:r w:rsidR="00E703EB" w:rsidRPr="009F68B9">
        <w:rPr>
          <w:rFonts w:ascii="Arial" w:hAnsi="Arial" w:cs="Arial"/>
          <w:sz w:val="24"/>
          <w:szCs w:val="24"/>
          <w:lang w:val="en-GB"/>
        </w:rPr>
        <w:t xml:space="preserve">so much for </w:t>
      </w:r>
      <w:r w:rsidR="00E703EB" w:rsidRPr="009F68B9">
        <w:rPr>
          <w:rFonts w:ascii="Arial" w:hAnsi="Arial" w:cs="Arial"/>
          <w:sz w:val="24"/>
          <w:szCs w:val="24"/>
          <w:lang w:val="en-GB"/>
        </w:rPr>
        <w:lastRenderedPageBreak/>
        <w:t>purposes of</w:t>
      </w:r>
      <w:r w:rsidR="003A0A26">
        <w:rPr>
          <w:rFonts w:ascii="Arial" w:hAnsi="Arial" w:cs="Arial"/>
          <w:sz w:val="24"/>
          <w:szCs w:val="24"/>
          <w:lang w:val="en-GB"/>
        </w:rPr>
        <w:t xml:space="preserve"> placing the correct facts before the court, to allow for</w:t>
      </w:r>
      <w:r w:rsidR="00E703EB" w:rsidRPr="009F68B9">
        <w:rPr>
          <w:rFonts w:ascii="Arial" w:hAnsi="Arial" w:cs="Arial"/>
          <w:sz w:val="24"/>
          <w:szCs w:val="24"/>
          <w:lang w:val="en-GB"/>
        </w:rPr>
        <w:t xml:space="preserve"> </w:t>
      </w:r>
      <w:r w:rsidR="00F14FD6" w:rsidRPr="009F68B9">
        <w:rPr>
          <w:rFonts w:ascii="Arial" w:hAnsi="Arial" w:cs="Arial"/>
          <w:sz w:val="24"/>
          <w:szCs w:val="24"/>
          <w:lang w:val="en-GB"/>
        </w:rPr>
        <w:t xml:space="preserve">the proper ventilation of the dispute or </w:t>
      </w:r>
      <w:r w:rsidR="00E703EB" w:rsidRPr="009F68B9">
        <w:rPr>
          <w:rFonts w:ascii="Arial" w:hAnsi="Arial" w:cs="Arial"/>
          <w:sz w:val="24"/>
          <w:szCs w:val="24"/>
          <w:lang w:val="en-GB"/>
        </w:rPr>
        <w:t>for the real issues between the parties to be decided</w:t>
      </w:r>
      <w:r w:rsidR="003A0A26">
        <w:rPr>
          <w:rFonts w:ascii="Arial" w:hAnsi="Arial" w:cs="Arial"/>
          <w:sz w:val="24"/>
          <w:szCs w:val="24"/>
          <w:lang w:val="en-GB"/>
        </w:rPr>
        <w:t>,</w:t>
      </w:r>
      <w:r w:rsidR="00E703EB" w:rsidRPr="009F68B9">
        <w:rPr>
          <w:rFonts w:ascii="Arial" w:hAnsi="Arial" w:cs="Arial"/>
          <w:sz w:val="24"/>
          <w:szCs w:val="24"/>
          <w:lang w:val="en-GB"/>
        </w:rPr>
        <w:t xml:space="preserve"> as for the Society to pursue a counter-application </w:t>
      </w:r>
      <w:r w:rsidR="003A0A26">
        <w:rPr>
          <w:rFonts w:ascii="Arial" w:hAnsi="Arial" w:cs="Arial"/>
          <w:sz w:val="24"/>
          <w:szCs w:val="24"/>
          <w:lang w:val="en-GB"/>
        </w:rPr>
        <w:t xml:space="preserve">as a safeguard against </w:t>
      </w:r>
      <w:r w:rsidR="00E703EB" w:rsidRPr="009F68B9">
        <w:rPr>
          <w:rFonts w:ascii="Arial" w:hAnsi="Arial" w:cs="Arial"/>
          <w:sz w:val="24"/>
          <w:szCs w:val="24"/>
          <w:lang w:val="en-GB"/>
        </w:rPr>
        <w:t>the failure of its defences in relation to Rabbi Galperin’s special plea.</w:t>
      </w:r>
      <w:r w:rsidR="00E703EB">
        <w:rPr>
          <w:rStyle w:val="FootnoteReference"/>
          <w:rFonts w:ascii="Arial" w:hAnsi="Arial" w:cs="Arial"/>
          <w:sz w:val="24"/>
          <w:szCs w:val="24"/>
          <w:lang w:val="en-GB"/>
        </w:rPr>
        <w:footnoteReference w:id="8"/>
      </w:r>
      <w:r w:rsidR="00E703EB" w:rsidRPr="009F68B9">
        <w:rPr>
          <w:rFonts w:ascii="Arial" w:hAnsi="Arial" w:cs="Arial"/>
          <w:sz w:val="24"/>
          <w:szCs w:val="24"/>
          <w:lang w:val="en-GB"/>
        </w:rPr>
        <w:t xml:space="preserve"> </w:t>
      </w:r>
      <w:r w:rsidR="00940D57" w:rsidRPr="009F68B9">
        <w:rPr>
          <w:rFonts w:ascii="Arial" w:hAnsi="Arial" w:cs="Arial"/>
          <w:sz w:val="24"/>
          <w:szCs w:val="24"/>
          <w:lang w:val="en-GB"/>
        </w:rPr>
        <w:t>The trial, however, remains the most appropriate forum in which to test the relevant facts. It is far</w:t>
      </w:r>
      <w:r w:rsidR="007F3716" w:rsidRPr="009F68B9">
        <w:rPr>
          <w:rFonts w:ascii="Arial" w:hAnsi="Arial" w:cs="Arial"/>
          <w:sz w:val="24"/>
          <w:szCs w:val="24"/>
          <w:lang w:val="en-GB"/>
        </w:rPr>
        <w:t xml:space="preserve"> from satisfactory to permit the same or si</w:t>
      </w:r>
      <w:r w:rsidR="00D93B8D" w:rsidRPr="009F68B9">
        <w:rPr>
          <w:rFonts w:ascii="Arial" w:hAnsi="Arial" w:cs="Arial"/>
          <w:sz w:val="24"/>
          <w:szCs w:val="24"/>
          <w:lang w:val="en-GB"/>
        </w:rPr>
        <w:t>milar issues to be determined under a parallel process and it remains unclear as to why the dispute cannot be decided under a single, consolidated set of proceedings. At the least, to grant the application for amendment and the joinder application would hamper the efficient conduct and adjudication of the issues.</w:t>
      </w:r>
    </w:p>
    <w:p w:rsidR="009F68B9" w:rsidRPr="009F68B9" w:rsidRDefault="009F68B9" w:rsidP="009F68B9">
      <w:pPr>
        <w:pStyle w:val="ListParagraph"/>
        <w:spacing w:line="360" w:lineRule="auto"/>
        <w:ind w:left="0"/>
        <w:jc w:val="both"/>
        <w:rPr>
          <w:rFonts w:ascii="Arial" w:hAnsi="Arial" w:cs="Arial"/>
          <w:b/>
          <w:sz w:val="24"/>
          <w:szCs w:val="24"/>
          <w:lang w:val="en-GB"/>
        </w:rPr>
      </w:pPr>
    </w:p>
    <w:p w:rsidR="00D93B8D" w:rsidRPr="009F68B9" w:rsidRDefault="00D93B8D" w:rsidP="005C2273">
      <w:pPr>
        <w:pStyle w:val="ListParagraph"/>
        <w:numPr>
          <w:ilvl w:val="0"/>
          <w:numId w:val="2"/>
        </w:numPr>
        <w:spacing w:line="360" w:lineRule="auto"/>
        <w:ind w:left="0" w:firstLine="0"/>
        <w:jc w:val="both"/>
        <w:rPr>
          <w:rFonts w:ascii="Arial" w:hAnsi="Arial" w:cs="Arial"/>
          <w:b/>
          <w:sz w:val="24"/>
          <w:szCs w:val="24"/>
          <w:lang w:val="en-GB"/>
        </w:rPr>
      </w:pPr>
      <w:r w:rsidRPr="009F68B9">
        <w:rPr>
          <w:rFonts w:ascii="Arial" w:hAnsi="Arial" w:cs="Arial"/>
          <w:sz w:val="24"/>
          <w:szCs w:val="24"/>
          <w:lang w:val="en-GB"/>
        </w:rPr>
        <w:t xml:space="preserve">In </w:t>
      </w:r>
      <w:r w:rsidRPr="009F68B9">
        <w:rPr>
          <w:rFonts w:ascii="Arial" w:hAnsi="Arial" w:cs="Arial"/>
          <w:i/>
          <w:sz w:val="24"/>
          <w:szCs w:val="24"/>
          <w:lang w:val="en-GB"/>
        </w:rPr>
        <w:t>GMF Kontrakteurs (Edms) Bpk and another v Pretoria City Council</w:t>
      </w:r>
      <w:r w:rsidRPr="009F68B9">
        <w:rPr>
          <w:rFonts w:ascii="Arial" w:hAnsi="Arial" w:cs="Arial"/>
          <w:sz w:val="24"/>
          <w:szCs w:val="24"/>
          <w:lang w:val="en-GB"/>
        </w:rPr>
        <w:t xml:space="preserve"> [1978] 2 All SA 407 (T), Franklin J emphasised, at 411, that</w:t>
      </w:r>
      <w:r w:rsidR="0027598C" w:rsidRPr="009F68B9">
        <w:rPr>
          <w:rFonts w:ascii="Arial" w:hAnsi="Arial" w:cs="Arial"/>
          <w:sz w:val="24"/>
          <w:szCs w:val="24"/>
          <w:lang w:val="en-GB"/>
        </w:rPr>
        <w:t>:</w:t>
      </w:r>
      <w:r w:rsidRPr="009F68B9">
        <w:rPr>
          <w:rFonts w:ascii="Arial" w:hAnsi="Arial" w:cs="Arial"/>
          <w:sz w:val="24"/>
          <w:szCs w:val="24"/>
          <w:lang w:val="en-GB"/>
        </w:rPr>
        <w:t xml:space="preserve"> </w:t>
      </w:r>
    </w:p>
    <w:p w:rsidR="0027598C" w:rsidRPr="00FF6BBB" w:rsidRDefault="0027598C" w:rsidP="006070FC">
      <w:pPr>
        <w:spacing w:line="360" w:lineRule="auto"/>
        <w:ind w:left="720"/>
        <w:jc w:val="both"/>
        <w:rPr>
          <w:rFonts w:ascii="Arial" w:hAnsi="Arial" w:cs="Arial"/>
          <w:sz w:val="20"/>
          <w:szCs w:val="20"/>
          <w:lang w:val="en-GB"/>
        </w:rPr>
      </w:pPr>
      <w:r w:rsidRPr="00FF6BBB">
        <w:rPr>
          <w:rFonts w:ascii="Arial" w:hAnsi="Arial" w:cs="Arial"/>
          <w:sz w:val="20"/>
          <w:szCs w:val="20"/>
          <w:lang w:val="en-GB"/>
        </w:rPr>
        <w:t>‘The granting or refusal of an application for the amendment of pleadings is a matter for the discretion of the Court, to be exercised judicially in the light of all the facts and circumstances of the case before it.’</w:t>
      </w:r>
    </w:p>
    <w:p w:rsidR="009F68B9" w:rsidRDefault="0027598C" w:rsidP="0027598C">
      <w:pPr>
        <w:pStyle w:val="ListParagraph"/>
        <w:numPr>
          <w:ilvl w:val="0"/>
          <w:numId w:val="2"/>
        </w:numPr>
        <w:spacing w:line="360" w:lineRule="auto"/>
        <w:ind w:left="0" w:firstLine="0"/>
        <w:jc w:val="both"/>
        <w:rPr>
          <w:rFonts w:ascii="Arial" w:hAnsi="Arial" w:cs="Arial"/>
          <w:sz w:val="24"/>
          <w:szCs w:val="24"/>
          <w:lang w:val="en-GB"/>
        </w:rPr>
      </w:pPr>
      <w:r w:rsidRPr="009F68B9">
        <w:rPr>
          <w:rFonts w:ascii="Arial" w:hAnsi="Arial" w:cs="Arial"/>
          <w:sz w:val="24"/>
          <w:szCs w:val="24"/>
          <w:lang w:val="en-GB"/>
        </w:rPr>
        <w:t xml:space="preserve">This court, in reaching its decision, considered the effect of granting the applications and decided, ultimately, that the counter-application would become unmanageable. </w:t>
      </w:r>
      <w:r w:rsidR="0061564B">
        <w:rPr>
          <w:rFonts w:ascii="Arial" w:hAnsi="Arial" w:cs="Arial"/>
          <w:sz w:val="24"/>
          <w:szCs w:val="24"/>
          <w:lang w:val="en-GB"/>
        </w:rPr>
        <w:t>Moreover</w:t>
      </w:r>
      <w:r w:rsidRPr="009F68B9">
        <w:rPr>
          <w:rFonts w:ascii="Arial" w:hAnsi="Arial" w:cs="Arial"/>
          <w:sz w:val="24"/>
          <w:szCs w:val="24"/>
          <w:lang w:val="en-GB"/>
        </w:rPr>
        <w:t xml:space="preserve">, the </w:t>
      </w:r>
      <w:r w:rsidR="00FF6BBB" w:rsidRPr="009F68B9">
        <w:rPr>
          <w:rFonts w:ascii="Arial" w:hAnsi="Arial" w:cs="Arial"/>
          <w:sz w:val="24"/>
          <w:szCs w:val="24"/>
          <w:lang w:val="en-GB"/>
        </w:rPr>
        <w:t>prejudice (to all parties)</w:t>
      </w:r>
      <w:r w:rsidR="0061564B">
        <w:rPr>
          <w:rFonts w:ascii="Arial" w:hAnsi="Arial" w:cs="Arial"/>
          <w:sz w:val="24"/>
          <w:szCs w:val="24"/>
          <w:lang w:val="en-GB"/>
        </w:rPr>
        <w:t xml:space="preserve"> of overlapping proceedings can</w:t>
      </w:r>
      <w:r w:rsidR="00FF6BBB" w:rsidRPr="009F68B9">
        <w:rPr>
          <w:rFonts w:ascii="Arial" w:hAnsi="Arial" w:cs="Arial"/>
          <w:sz w:val="24"/>
          <w:szCs w:val="24"/>
          <w:lang w:val="en-GB"/>
        </w:rPr>
        <w:t xml:space="preserve">not be ignored. Consequently, the court stands by the findings and order </w:t>
      </w:r>
      <w:r w:rsidR="0061564B" w:rsidRPr="009F68B9">
        <w:rPr>
          <w:rFonts w:ascii="Arial" w:hAnsi="Arial" w:cs="Arial"/>
          <w:sz w:val="24"/>
          <w:szCs w:val="24"/>
          <w:lang w:val="en-GB"/>
        </w:rPr>
        <w:t xml:space="preserve">previously </w:t>
      </w:r>
      <w:r w:rsidR="00FF6BBB" w:rsidRPr="009F68B9">
        <w:rPr>
          <w:rFonts w:ascii="Arial" w:hAnsi="Arial" w:cs="Arial"/>
          <w:sz w:val="24"/>
          <w:szCs w:val="24"/>
          <w:lang w:val="en-GB"/>
        </w:rPr>
        <w:t xml:space="preserve">made. </w:t>
      </w:r>
    </w:p>
    <w:p w:rsidR="009F68B9" w:rsidRDefault="009F68B9" w:rsidP="009F68B9">
      <w:pPr>
        <w:pStyle w:val="ListParagraph"/>
        <w:spacing w:line="360" w:lineRule="auto"/>
        <w:ind w:left="0"/>
        <w:jc w:val="both"/>
        <w:rPr>
          <w:rFonts w:ascii="Arial" w:hAnsi="Arial" w:cs="Arial"/>
          <w:sz w:val="24"/>
          <w:szCs w:val="24"/>
          <w:lang w:val="en-GB"/>
        </w:rPr>
      </w:pPr>
    </w:p>
    <w:p w:rsidR="009F68B9" w:rsidRDefault="00FF6BBB" w:rsidP="0027598C">
      <w:pPr>
        <w:pStyle w:val="ListParagraph"/>
        <w:numPr>
          <w:ilvl w:val="0"/>
          <w:numId w:val="2"/>
        </w:numPr>
        <w:spacing w:line="360" w:lineRule="auto"/>
        <w:ind w:left="0" w:firstLine="0"/>
        <w:jc w:val="both"/>
        <w:rPr>
          <w:rFonts w:ascii="Arial" w:hAnsi="Arial" w:cs="Arial"/>
          <w:sz w:val="24"/>
          <w:szCs w:val="24"/>
          <w:lang w:val="en-GB"/>
        </w:rPr>
      </w:pPr>
      <w:r w:rsidRPr="009F68B9">
        <w:rPr>
          <w:rFonts w:ascii="Arial" w:hAnsi="Arial" w:cs="Arial"/>
          <w:sz w:val="24"/>
          <w:szCs w:val="24"/>
          <w:lang w:val="en-GB"/>
        </w:rPr>
        <w:t xml:space="preserve">The granting or refusal of the applications involves the court’s discretion. For an appeal to succeed, the Society would need to demonstrate that the exercise of such discretion was improper. See </w:t>
      </w:r>
      <w:r w:rsidRPr="009F68B9">
        <w:rPr>
          <w:rFonts w:ascii="Arial" w:hAnsi="Arial" w:cs="Arial"/>
          <w:i/>
          <w:sz w:val="24"/>
          <w:szCs w:val="24"/>
          <w:lang w:val="en-GB"/>
        </w:rPr>
        <w:t>Ciba-Geigy (Edms) Bpk v Lushof Plase (Edms) Bpk en ‘n ander</w:t>
      </w:r>
      <w:r w:rsidRPr="009F68B9">
        <w:rPr>
          <w:rFonts w:ascii="Arial" w:hAnsi="Arial" w:cs="Arial"/>
          <w:sz w:val="24"/>
          <w:szCs w:val="24"/>
          <w:lang w:val="en-GB"/>
        </w:rPr>
        <w:t xml:space="preserve"> [2002] 2 All SA 525 (A), at 526. </w:t>
      </w:r>
      <w:r w:rsidR="00C73029" w:rsidRPr="009F68B9">
        <w:rPr>
          <w:rFonts w:ascii="Arial" w:hAnsi="Arial" w:cs="Arial"/>
          <w:sz w:val="24"/>
          <w:szCs w:val="24"/>
          <w:lang w:val="en-GB"/>
        </w:rPr>
        <w:t>This court is not of the view that the Society has demonstrated same successfully or established a sound, rational basis upon which to persuade the court that an appeal would have a reasonable prospect of success.</w:t>
      </w:r>
    </w:p>
    <w:p w:rsidR="009F68B9" w:rsidRPr="009F68B9" w:rsidRDefault="009F68B9" w:rsidP="009F68B9">
      <w:pPr>
        <w:pStyle w:val="ListParagraph"/>
        <w:rPr>
          <w:rFonts w:ascii="Arial" w:hAnsi="Arial" w:cs="Arial"/>
          <w:sz w:val="24"/>
          <w:szCs w:val="24"/>
          <w:lang w:val="en-GB"/>
        </w:rPr>
      </w:pPr>
    </w:p>
    <w:p w:rsidR="009F68B9" w:rsidRDefault="00F60F99" w:rsidP="00F60F99">
      <w:pPr>
        <w:pStyle w:val="ListParagraph"/>
        <w:numPr>
          <w:ilvl w:val="0"/>
          <w:numId w:val="2"/>
        </w:numPr>
        <w:spacing w:line="360" w:lineRule="auto"/>
        <w:ind w:left="0" w:firstLine="0"/>
        <w:jc w:val="both"/>
        <w:rPr>
          <w:rFonts w:ascii="Arial" w:hAnsi="Arial" w:cs="Arial"/>
          <w:sz w:val="24"/>
          <w:szCs w:val="24"/>
          <w:lang w:val="en-GB"/>
        </w:rPr>
      </w:pPr>
      <w:r w:rsidRPr="009F68B9">
        <w:rPr>
          <w:rFonts w:ascii="Arial" w:hAnsi="Arial" w:cs="Arial"/>
          <w:sz w:val="24"/>
          <w:szCs w:val="24"/>
          <w:lang w:val="en-GB"/>
        </w:rPr>
        <w:lastRenderedPageBreak/>
        <w:t>Finally</w:t>
      </w:r>
      <w:r w:rsidR="00C73029" w:rsidRPr="009F68B9">
        <w:rPr>
          <w:rFonts w:ascii="Arial" w:hAnsi="Arial" w:cs="Arial"/>
          <w:sz w:val="24"/>
          <w:szCs w:val="24"/>
          <w:lang w:val="en-GB"/>
        </w:rPr>
        <w:t xml:space="preserve">, </w:t>
      </w:r>
      <w:r w:rsidR="00A06DBD" w:rsidRPr="009F68B9">
        <w:rPr>
          <w:rFonts w:ascii="Arial" w:hAnsi="Arial" w:cs="Arial"/>
          <w:sz w:val="24"/>
          <w:szCs w:val="24"/>
          <w:lang w:val="en-GB"/>
        </w:rPr>
        <w:t xml:space="preserve">senior </w:t>
      </w:r>
      <w:r w:rsidR="00C73029" w:rsidRPr="009F68B9">
        <w:rPr>
          <w:rFonts w:ascii="Arial" w:hAnsi="Arial" w:cs="Arial"/>
          <w:sz w:val="24"/>
          <w:szCs w:val="24"/>
          <w:lang w:val="en-GB"/>
        </w:rPr>
        <w:t xml:space="preserve">counsel for Rabbi Galperin sought an order to include the costs of two counsel in the event that the Society’s applications were unsuccessful. </w:t>
      </w:r>
      <w:r w:rsidRPr="009F68B9">
        <w:rPr>
          <w:rFonts w:ascii="Arial" w:hAnsi="Arial" w:cs="Arial"/>
          <w:sz w:val="24"/>
          <w:szCs w:val="24"/>
          <w:lang w:val="en-GB"/>
        </w:rPr>
        <w:t>Whereas t</w:t>
      </w:r>
      <w:r w:rsidR="00C73029" w:rsidRPr="009F68B9">
        <w:rPr>
          <w:rFonts w:ascii="Arial" w:hAnsi="Arial" w:cs="Arial"/>
          <w:sz w:val="24"/>
          <w:szCs w:val="24"/>
          <w:lang w:val="en-GB"/>
        </w:rPr>
        <w:t>he nature of the dispute and ensuing litigation is convoluted and far from straight</w:t>
      </w:r>
      <w:r w:rsidRPr="009F68B9">
        <w:rPr>
          <w:rFonts w:ascii="Arial" w:hAnsi="Arial" w:cs="Arial"/>
          <w:sz w:val="24"/>
          <w:szCs w:val="24"/>
          <w:lang w:val="en-GB"/>
        </w:rPr>
        <w:t xml:space="preserve">-forward, </w:t>
      </w:r>
      <w:r w:rsidR="00C73029" w:rsidRPr="009F68B9">
        <w:rPr>
          <w:rFonts w:ascii="Arial" w:hAnsi="Arial" w:cs="Arial"/>
          <w:sz w:val="24"/>
          <w:szCs w:val="24"/>
          <w:lang w:val="en-GB"/>
        </w:rPr>
        <w:t xml:space="preserve">the court is nevertheless satisfied that such </w:t>
      </w:r>
      <w:r w:rsidRPr="009F68B9">
        <w:rPr>
          <w:rFonts w:ascii="Arial" w:hAnsi="Arial" w:cs="Arial"/>
          <w:sz w:val="24"/>
          <w:szCs w:val="24"/>
          <w:lang w:val="en-GB"/>
        </w:rPr>
        <w:t xml:space="preserve">an order would not be </w:t>
      </w:r>
      <w:r w:rsidR="00C73029" w:rsidRPr="009F68B9">
        <w:rPr>
          <w:rFonts w:ascii="Arial" w:hAnsi="Arial" w:cs="Arial"/>
          <w:sz w:val="24"/>
          <w:szCs w:val="24"/>
          <w:lang w:val="en-GB"/>
        </w:rPr>
        <w:t>justif</w:t>
      </w:r>
      <w:r w:rsidRPr="009F68B9">
        <w:rPr>
          <w:rFonts w:ascii="Arial" w:hAnsi="Arial" w:cs="Arial"/>
          <w:sz w:val="24"/>
          <w:szCs w:val="24"/>
          <w:lang w:val="en-GB"/>
        </w:rPr>
        <w:t>ied.</w:t>
      </w:r>
    </w:p>
    <w:p w:rsidR="009F68B9" w:rsidRPr="009F68B9" w:rsidRDefault="009F68B9" w:rsidP="009F68B9">
      <w:pPr>
        <w:pStyle w:val="ListParagraph"/>
        <w:rPr>
          <w:rFonts w:ascii="Arial" w:hAnsi="Arial" w:cs="Arial"/>
          <w:sz w:val="24"/>
          <w:szCs w:val="24"/>
          <w:lang w:val="en-GB"/>
        </w:rPr>
      </w:pPr>
    </w:p>
    <w:p w:rsidR="00C73029" w:rsidRPr="009F68B9" w:rsidRDefault="00C73029" w:rsidP="00F60F99">
      <w:pPr>
        <w:pStyle w:val="ListParagraph"/>
        <w:numPr>
          <w:ilvl w:val="0"/>
          <w:numId w:val="2"/>
        </w:numPr>
        <w:spacing w:line="360" w:lineRule="auto"/>
        <w:ind w:left="0" w:firstLine="0"/>
        <w:jc w:val="both"/>
        <w:rPr>
          <w:rFonts w:ascii="Arial" w:hAnsi="Arial" w:cs="Arial"/>
          <w:sz w:val="24"/>
          <w:szCs w:val="24"/>
          <w:lang w:val="en-GB"/>
        </w:rPr>
      </w:pPr>
      <w:r w:rsidRPr="009F68B9">
        <w:rPr>
          <w:rFonts w:ascii="Arial" w:hAnsi="Arial" w:cs="Arial"/>
          <w:sz w:val="24"/>
          <w:szCs w:val="24"/>
          <w:lang w:val="en-GB"/>
        </w:rPr>
        <w:t>In the circumstances, the application for leave to appeal is dismissed</w:t>
      </w:r>
      <w:r w:rsidR="00F60F99" w:rsidRPr="009F68B9">
        <w:rPr>
          <w:rFonts w:ascii="Arial" w:hAnsi="Arial" w:cs="Arial"/>
          <w:sz w:val="24"/>
          <w:szCs w:val="24"/>
          <w:lang w:val="en-GB"/>
        </w:rPr>
        <w:t xml:space="preserve"> with costs.</w:t>
      </w:r>
    </w:p>
    <w:p w:rsidR="00F60F99" w:rsidRDefault="00F60F99" w:rsidP="00F60F99">
      <w:pPr>
        <w:spacing w:line="360" w:lineRule="auto"/>
        <w:rPr>
          <w:rFonts w:ascii="Arial" w:hAnsi="Arial" w:cs="Arial"/>
          <w:sz w:val="24"/>
          <w:szCs w:val="24"/>
          <w:lang w:val="en-GB"/>
        </w:rPr>
      </w:pPr>
    </w:p>
    <w:p w:rsidR="00F60F99" w:rsidRDefault="00F60F99" w:rsidP="009F68B9">
      <w:pPr>
        <w:spacing w:line="240" w:lineRule="auto"/>
        <w:rPr>
          <w:rFonts w:ascii="Arial" w:hAnsi="Arial" w:cs="Arial"/>
          <w:sz w:val="24"/>
          <w:szCs w:val="24"/>
          <w:lang w:val="en-GB"/>
        </w:rPr>
      </w:pPr>
      <w:r>
        <w:rPr>
          <w:rFonts w:ascii="Arial" w:hAnsi="Arial" w:cs="Arial"/>
          <w:sz w:val="24"/>
          <w:szCs w:val="24"/>
          <w:lang w:val="en-GB"/>
        </w:rPr>
        <w:t>_________________________</w:t>
      </w:r>
    </w:p>
    <w:p w:rsidR="00F60F99" w:rsidRPr="00F60F99" w:rsidRDefault="00F60F99" w:rsidP="009F68B9">
      <w:pPr>
        <w:spacing w:line="240" w:lineRule="auto"/>
        <w:rPr>
          <w:rFonts w:ascii="Arial" w:hAnsi="Arial" w:cs="Arial"/>
          <w:b/>
          <w:sz w:val="24"/>
          <w:szCs w:val="24"/>
          <w:lang w:val="en-GB"/>
        </w:rPr>
      </w:pPr>
      <w:r w:rsidRPr="00F60F99">
        <w:rPr>
          <w:rFonts w:ascii="Arial" w:hAnsi="Arial" w:cs="Arial"/>
          <w:b/>
          <w:sz w:val="24"/>
          <w:szCs w:val="24"/>
          <w:lang w:val="en-GB"/>
        </w:rPr>
        <w:t>JGA LAING</w:t>
      </w:r>
    </w:p>
    <w:p w:rsidR="00F60F99" w:rsidRDefault="00F60F99" w:rsidP="009F68B9">
      <w:pPr>
        <w:spacing w:line="240" w:lineRule="auto"/>
        <w:rPr>
          <w:rFonts w:ascii="Arial" w:hAnsi="Arial" w:cs="Arial"/>
          <w:b/>
          <w:sz w:val="24"/>
          <w:szCs w:val="24"/>
          <w:lang w:val="en-GB"/>
        </w:rPr>
      </w:pPr>
      <w:r w:rsidRPr="00F60F99">
        <w:rPr>
          <w:rFonts w:ascii="Arial" w:hAnsi="Arial" w:cs="Arial"/>
          <w:b/>
          <w:sz w:val="24"/>
          <w:szCs w:val="24"/>
          <w:lang w:val="en-GB"/>
        </w:rPr>
        <w:t>JUDGE OF THE HIGH COURT</w:t>
      </w:r>
    </w:p>
    <w:p w:rsidR="009F68B9" w:rsidRDefault="009F68B9" w:rsidP="009F68B9">
      <w:pPr>
        <w:spacing w:line="240" w:lineRule="auto"/>
        <w:rPr>
          <w:rFonts w:ascii="Arial" w:hAnsi="Arial" w:cs="Arial"/>
          <w:b/>
          <w:sz w:val="24"/>
          <w:szCs w:val="24"/>
          <w:lang w:val="en-GB"/>
        </w:rPr>
      </w:pPr>
    </w:p>
    <w:p w:rsidR="009F68B9" w:rsidRDefault="009F68B9" w:rsidP="009F68B9">
      <w:pPr>
        <w:spacing w:line="240" w:lineRule="auto"/>
        <w:rPr>
          <w:rFonts w:ascii="Arial" w:hAnsi="Arial" w:cs="Arial"/>
          <w:b/>
          <w:sz w:val="24"/>
          <w:szCs w:val="24"/>
          <w:lang w:val="en-GB"/>
        </w:rPr>
      </w:pPr>
    </w:p>
    <w:p w:rsidR="009F68B9" w:rsidRDefault="009F68B9" w:rsidP="009F68B9">
      <w:pPr>
        <w:spacing w:line="240" w:lineRule="auto"/>
        <w:rPr>
          <w:rFonts w:ascii="Arial" w:hAnsi="Arial" w:cs="Arial"/>
          <w:b/>
          <w:sz w:val="24"/>
          <w:szCs w:val="24"/>
          <w:lang w:val="en-GB"/>
        </w:rPr>
      </w:pPr>
    </w:p>
    <w:p w:rsidR="009F68B9" w:rsidRPr="009F68B9" w:rsidRDefault="009F68B9" w:rsidP="009F68B9">
      <w:pPr>
        <w:spacing w:after="240" w:line="240" w:lineRule="auto"/>
        <w:ind w:left="360" w:hanging="360"/>
        <w:jc w:val="both"/>
        <w:rPr>
          <w:rFonts w:ascii="Arial" w:eastAsia="Times New Roman" w:hAnsi="Arial" w:cs="Arial"/>
          <w:sz w:val="24"/>
          <w:szCs w:val="24"/>
          <w:lang w:val="en-US" w:eastAsia="en-ZA"/>
        </w:rPr>
      </w:pPr>
      <w:r w:rsidRPr="009F68B9">
        <w:rPr>
          <w:rFonts w:ascii="Arial" w:eastAsia="Times New Roman" w:hAnsi="Arial" w:cs="Arial"/>
          <w:sz w:val="24"/>
          <w:szCs w:val="24"/>
          <w:lang w:val="en-US" w:eastAsia="en-ZA"/>
        </w:rPr>
        <w:t>APPEARANCE:</w:t>
      </w:r>
    </w:p>
    <w:p w:rsidR="009F68B9" w:rsidRPr="009F68B9" w:rsidRDefault="009F68B9" w:rsidP="009F68B9">
      <w:pPr>
        <w:tabs>
          <w:tab w:val="right" w:pos="4536"/>
        </w:tabs>
        <w:spacing w:after="0" w:line="240" w:lineRule="auto"/>
        <w:ind w:left="3969" w:hanging="3969"/>
        <w:jc w:val="both"/>
        <w:rPr>
          <w:rFonts w:ascii="Arial" w:eastAsia="Times New Roman" w:hAnsi="Arial" w:cs="Arial"/>
          <w:color w:val="000000"/>
          <w:sz w:val="24"/>
          <w:szCs w:val="24"/>
          <w:lang w:val="en-US" w:eastAsia="en-ZA"/>
        </w:rPr>
      </w:pPr>
      <w:r w:rsidRPr="009F68B9">
        <w:rPr>
          <w:rFonts w:ascii="Arial" w:eastAsia="Times New Roman" w:hAnsi="Arial" w:cs="Arial"/>
          <w:color w:val="000000"/>
          <w:sz w:val="24"/>
          <w:szCs w:val="24"/>
          <w:lang w:val="en-US" w:eastAsia="en-ZA"/>
        </w:rPr>
        <w:t>For the applicant:</w:t>
      </w:r>
      <w:r w:rsidRPr="009F68B9">
        <w:rPr>
          <w:rFonts w:ascii="Arial" w:eastAsia="Times New Roman" w:hAnsi="Arial" w:cs="Arial"/>
          <w:color w:val="000000"/>
          <w:sz w:val="24"/>
          <w:szCs w:val="24"/>
          <w:lang w:val="en-US" w:eastAsia="en-ZA"/>
        </w:rPr>
        <w:tab/>
      </w:r>
      <w:r w:rsidRPr="009F68B9">
        <w:rPr>
          <w:rFonts w:ascii="Arial" w:eastAsia="Times New Roman" w:hAnsi="Arial" w:cs="Arial"/>
          <w:color w:val="000000"/>
          <w:sz w:val="24"/>
          <w:szCs w:val="24"/>
          <w:lang w:val="en-US" w:eastAsia="en-ZA"/>
        </w:rPr>
        <w:tab/>
        <w:t>Adv S Pincus SC, instructed by Whitesides Attorneys, Grahamstown.</w:t>
      </w:r>
    </w:p>
    <w:p w:rsidR="009F68B9" w:rsidRPr="009F68B9" w:rsidRDefault="009F68B9" w:rsidP="009F68B9">
      <w:pPr>
        <w:spacing w:after="0" w:line="240" w:lineRule="auto"/>
        <w:ind w:left="360" w:hanging="360"/>
        <w:jc w:val="both"/>
        <w:rPr>
          <w:rFonts w:ascii="Arial" w:eastAsia="Times New Roman" w:hAnsi="Arial" w:cs="Arial"/>
          <w:color w:val="000000"/>
          <w:sz w:val="24"/>
          <w:szCs w:val="24"/>
          <w:lang w:val="en-US" w:eastAsia="en-ZA"/>
        </w:rPr>
      </w:pPr>
    </w:p>
    <w:p w:rsidR="009F68B9" w:rsidRPr="009F68B9" w:rsidRDefault="009F68B9" w:rsidP="009F68B9">
      <w:pPr>
        <w:spacing w:after="0" w:line="240" w:lineRule="auto"/>
        <w:ind w:left="3969" w:hanging="3969"/>
        <w:jc w:val="both"/>
        <w:rPr>
          <w:rFonts w:ascii="Arial" w:eastAsia="Times New Roman" w:hAnsi="Arial" w:cs="Arial"/>
          <w:color w:val="000000"/>
          <w:sz w:val="24"/>
          <w:szCs w:val="24"/>
          <w:lang w:val="en-US" w:eastAsia="en-ZA"/>
        </w:rPr>
      </w:pPr>
      <w:r w:rsidRPr="009F68B9">
        <w:rPr>
          <w:rFonts w:ascii="Arial" w:eastAsia="Times New Roman" w:hAnsi="Arial" w:cs="Arial"/>
          <w:color w:val="000000"/>
          <w:sz w:val="24"/>
          <w:szCs w:val="24"/>
          <w:lang w:val="en-US" w:eastAsia="en-ZA"/>
        </w:rPr>
        <w:t>For the first respondent:</w:t>
      </w:r>
      <w:r w:rsidRPr="009F68B9">
        <w:rPr>
          <w:rFonts w:ascii="Arial" w:eastAsia="Times New Roman" w:hAnsi="Arial" w:cs="Arial"/>
          <w:color w:val="000000"/>
          <w:sz w:val="24"/>
          <w:szCs w:val="24"/>
          <w:lang w:val="en-US" w:eastAsia="en-ZA"/>
        </w:rPr>
        <w:tab/>
        <w:t xml:space="preserve">Adv IJ Smuts SC with Adv Miller, instructed by Wheeldon Rushmere and Cole Inc., Grahamstown. </w:t>
      </w:r>
    </w:p>
    <w:p w:rsidR="009F68B9" w:rsidRPr="009F68B9" w:rsidRDefault="009F68B9" w:rsidP="009F68B9">
      <w:pPr>
        <w:spacing w:after="0" w:line="240" w:lineRule="auto"/>
        <w:ind w:left="360" w:hanging="360"/>
        <w:jc w:val="both"/>
        <w:rPr>
          <w:rFonts w:ascii="Arial" w:eastAsia="Times New Roman" w:hAnsi="Arial" w:cs="Arial"/>
          <w:color w:val="000000"/>
          <w:sz w:val="24"/>
          <w:szCs w:val="24"/>
          <w:lang w:val="en-US" w:eastAsia="en-ZA"/>
        </w:rPr>
      </w:pPr>
    </w:p>
    <w:p w:rsidR="009F68B9" w:rsidRPr="009F68B9" w:rsidRDefault="009F68B9" w:rsidP="009F68B9">
      <w:pPr>
        <w:spacing w:after="0" w:line="240" w:lineRule="auto"/>
        <w:ind w:left="3969" w:hanging="3969"/>
        <w:jc w:val="both"/>
        <w:rPr>
          <w:rFonts w:ascii="Arial" w:eastAsia="Times New Roman" w:hAnsi="Arial" w:cs="Arial"/>
          <w:color w:val="000000"/>
          <w:sz w:val="24"/>
          <w:szCs w:val="24"/>
          <w:lang w:val="en-US" w:eastAsia="en-ZA"/>
        </w:rPr>
      </w:pPr>
      <w:r w:rsidRPr="009F68B9">
        <w:rPr>
          <w:rFonts w:ascii="Arial" w:eastAsia="Times New Roman" w:hAnsi="Arial" w:cs="Arial"/>
          <w:color w:val="000000"/>
          <w:sz w:val="24"/>
          <w:szCs w:val="24"/>
          <w:lang w:val="en-US" w:eastAsia="en-ZA"/>
        </w:rPr>
        <w:t>Date of hearing:</w:t>
      </w:r>
      <w:r w:rsidRPr="009F68B9">
        <w:rPr>
          <w:rFonts w:ascii="Arial" w:eastAsia="Times New Roman" w:hAnsi="Arial" w:cs="Arial"/>
          <w:color w:val="000000"/>
          <w:sz w:val="24"/>
          <w:szCs w:val="24"/>
          <w:lang w:val="en-US" w:eastAsia="en-ZA"/>
        </w:rPr>
        <w:tab/>
      </w:r>
      <w:r>
        <w:rPr>
          <w:rFonts w:ascii="Arial" w:eastAsia="Times New Roman" w:hAnsi="Arial" w:cs="Arial"/>
          <w:color w:val="000000"/>
          <w:sz w:val="24"/>
          <w:szCs w:val="24"/>
          <w:lang w:val="en-US" w:eastAsia="en-ZA"/>
        </w:rPr>
        <w:t>29 July 2022</w:t>
      </w:r>
      <w:r w:rsidRPr="009F68B9">
        <w:rPr>
          <w:rFonts w:ascii="Arial" w:eastAsia="Times New Roman" w:hAnsi="Arial" w:cs="Arial"/>
          <w:color w:val="000000"/>
          <w:sz w:val="24"/>
          <w:szCs w:val="24"/>
          <w:lang w:val="en-US" w:eastAsia="en-ZA"/>
        </w:rPr>
        <w:t>.</w:t>
      </w:r>
    </w:p>
    <w:p w:rsidR="009F68B9" w:rsidRPr="009F68B9" w:rsidRDefault="009F68B9" w:rsidP="009F68B9">
      <w:pPr>
        <w:spacing w:after="0" w:line="240" w:lineRule="auto"/>
        <w:ind w:left="3969" w:hanging="3969"/>
        <w:jc w:val="both"/>
        <w:rPr>
          <w:rFonts w:ascii="Times New Roman" w:eastAsia="Times New Roman" w:hAnsi="Times New Roman" w:cs="Times New Roman"/>
          <w:sz w:val="24"/>
          <w:szCs w:val="24"/>
          <w:lang w:val="en-US" w:eastAsia="en-ZA"/>
        </w:rPr>
      </w:pPr>
    </w:p>
    <w:p w:rsidR="009F68B9" w:rsidRPr="009F68B9" w:rsidRDefault="009F68B9" w:rsidP="009F68B9">
      <w:pPr>
        <w:tabs>
          <w:tab w:val="left" w:pos="3969"/>
        </w:tabs>
        <w:spacing w:after="0" w:line="360" w:lineRule="auto"/>
        <w:ind w:left="3969" w:hanging="3969"/>
        <w:jc w:val="both"/>
        <w:rPr>
          <w:rFonts w:ascii="Arial" w:hAnsi="Arial"/>
          <w:sz w:val="24"/>
          <w:lang w:val="en-US"/>
        </w:rPr>
      </w:pPr>
      <w:r w:rsidRPr="009F68B9">
        <w:rPr>
          <w:rFonts w:ascii="Arial" w:eastAsia="Times New Roman" w:hAnsi="Arial" w:cs="Arial"/>
          <w:color w:val="000000"/>
          <w:sz w:val="24"/>
          <w:szCs w:val="24"/>
          <w:lang w:val="en-US" w:eastAsia="en-ZA"/>
        </w:rPr>
        <w:t>Date of delivery of judgment:</w:t>
      </w:r>
      <w:r w:rsidRPr="009F68B9">
        <w:rPr>
          <w:rFonts w:ascii="Arial" w:eastAsia="Times New Roman" w:hAnsi="Arial" w:cs="Arial"/>
          <w:color w:val="000000"/>
          <w:sz w:val="24"/>
          <w:szCs w:val="24"/>
          <w:lang w:val="en-US" w:eastAsia="en-ZA"/>
        </w:rPr>
        <w:tab/>
      </w:r>
      <w:r>
        <w:rPr>
          <w:rFonts w:ascii="Arial" w:eastAsia="Times New Roman" w:hAnsi="Arial" w:cs="Arial"/>
          <w:color w:val="000000"/>
          <w:sz w:val="24"/>
          <w:szCs w:val="24"/>
          <w:lang w:val="en-US" w:eastAsia="en-ZA"/>
        </w:rPr>
        <w:t>02 August 2022.</w:t>
      </w:r>
    </w:p>
    <w:p w:rsidR="009F68B9" w:rsidRPr="00F60F99" w:rsidRDefault="009F68B9" w:rsidP="009F68B9">
      <w:pPr>
        <w:spacing w:line="240" w:lineRule="auto"/>
        <w:rPr>
          <w:rFonts w:ascii="Arial" w:hAnsi="Arial" w:cs="Arial"/>
          <w:b/>
          <w:sz w:val="24"/>
          <w:szCs w:val="24"/>
          <w:lang w:val="en-GB"/>
        </w:rPr>
      </w:pPr>
    </w:p>
    <w:sectPr w:rsidR="009F68B9" w:rsidRPr="00F60F99" w:rsidSect="009F68B9">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948" w:rsidRDefault="00863948" w:rsidP="00987658">
      <w:pPr>
        <w:spacing w:after="0" w:line="240" w:lineRule="auto"/>
      </w:pPr>
      <w:r>
        <w:separator/>
      </w:r>
    </w:p>
  </w:endnote>
  <w:endnote w:type="continuationSeparator" w:id="0">
    <w:p w:rsidR="00863948" w:rsidRDefault="00863948" w:rsidP="00987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948" w:rsidRDefault="00863948" w:rsidP="00987658">
      <w:pPr>
        <w:spacing w:after="0" w:line="240" w:lineRule="auto"/>
      </w:pPr>
      <w:r>
        <w:separator/>
      </w:r>
    </w:p>
  </w:footnote>
  <w:footnote w:type="continuationSeparator" w:id="0">
    <w:p w:rsidR="00863948" w:rsidRDefault="00863948" w:rsidP="00987658">
      <w:pPr>
        <w:spacing w:after="0" w:line="240" w:lineRule="auto"/>
      </w:pPr>
      <w:r>
        <w:continuationSeparator/>
      </w:r>
    </w:p>
  </w:footnote>
  <w:footnote w:id="1">
    <w:p w:rsidR="00987658" w:rsidRPr="00987658" w:rsidRDefault="00987658" w:rsidP="009F68B9">
      <w:pPr>
        <w:pStyle w:val="FootnoteText"/>
        <w:jc w:val="both"/>
        <w:rPr>
          <w:lang w:val="en-GB"/>
        </w:rPr>
      </w:pPr>
      <w:r>
        <w:rPr>
          <w:rStyle w:val="FootnoteReference"/>
        </w:rPr>
        <w:footnoteRef/>
      </w:r>
      <w:r>
        <w:t xml:space="preserve"> </w:t>
      </w:r>
      <w:r>
        <w:rPr>
          <w:lang w:val="en-GB"/>
        </w:rPr>
        <w:t xml:space="preserve">The Society used the term ‘judiciously’ in its grounds of appeal, which appears to have been a misnomer when </w:t>
      </w:r>
      <w:r w:rsidR="00384E2D">
        <w:rPr>
          <w:lang w:val="en-GB"/>
        </w:rPr>
        <w:t xml:space="preserve">consideration is given to discussion of the </w:t>
      </w:r>
      <w:r>
        <w:rPr>
          <w:lang w:val="en-GB"/>
        </w:rPr>
        <w:t xml:space="preserve">principle </w:t>
      </w:r>
      <w:r w:rsidR="00384E2D">
        <w:rPr>
          <w:lang w:val="en-GB"/>
        </w:rPr>
        <w:t>in the relevant case law</w:t>
      </w:r>
      <w:r>
        <w:rPr>
          <w:lang w:val="en-GB"/>
        </w:rPr>
        <w:t>.</w:t>
      </w:r>
    </w:p>
  </w:footnote>
  <w:footnote w:id="2">
    <w:p w:rsidR="00987658" w:rsidRPr="00C97D82" w:rsidRDefault="00987658" w:rsidP="009F68B9">
      <w:pPr>
        <w:pStyle w:val="FootnoteText"/>
        <w:jc w:val="both"/>
        <w:rPr>
          <w:lang w:val="en-GB"/>
        </w:rPr>
      </w:pPr>
      <w:r>
        <w:rPr>
          <w:rStyle w:val="FootnoteReference"/>
        </w:rPr>
        <w:footnoteRef/>
      </w:r>
      <w:r>
        <w:t xml:space="preserve"> </w:t>
      </w:r>
      <w:r>
        <w:rPr>
          <w:lang w:val="en-GB"/>
        </w:rPr>
        <w:t xml:space="preserve">See, too, </w:t>
      </w:r>
      <w:r w:rsidRPr="00C97D82">
        <w:rPr>
          <w:i/>
          <w:lang w:val="en-GB"/>
        </w:rPr>
        <w:t>Notshokovu v S</w:t>
      </w:r>
      <w:r w:rsidRPr="00C97D82">
        <w:rPr>
          <w:lang w:val="en-GB"/>
        </w:rPr>
        <w:t xml:space="preserve"> (unreported, SCA case no. 157/15, 7 September 2016)</w:t>
      </w:r>
      <w:r>
        <w:rPr>
          <w:lang w:val="en-GB"/>
        </w:rPr>
        <w:t>.</w:t>
      </w:r>
    </w:p>
  </w:footnote>
  <w:footnote w:id="3">
    <w:p w:rsidR="00252502" w:rsidRPr="00252502" w:rsidRDefault="00252502" w:rsidP="009F68B9">
      <w:pPr>
        <w:pStyle w:val="FootnoteText"/>
        <w:jc w:val="both"/>
        <w:rPr>
          <w:lang w:val="en-GB"/>
        </w:rPr>
      </w:pPr>
      <w:r>
        <w:rPr>
          <w:rStyle w:val="FootnoteReference"/>
        </w:rPr>
        <w:footnoteRef/>
      </w:r>
      <w:r>
        <w:t xml:space="preserve"> </w:t>
      </w:r>
      <w:r>
        <w:rPr>
          <w:lang w:val="en-GB"/>
        </w:rPr>
        <w:t>See paragraph 5.2 of Rabbi Galperin’s notice of objection, as well as paragraph 15 of Brin Brody’s answering affidavit.</w:t>
      </w:r>
    </w:p>
  </w:footnote>
  <w:footnote w:id="4">
    <w:p w:rsidR="00933879" w:rsidRPr="00933879" w:rsidRDefault="00933879" w:rsidP="009F68B9">
      <w:pPr>
        <w:pStyle w:val="FootnoteText"/>
        <w:jc w:val="both"/>
        <w:rPr>
          <w:lang w:val="en-GB"/>
        </w:rPr>
      </w:pPr>
      <w:r>
        <w:rPr>
          <w:rStyle w:val="FootnoteReference"/>
        </w:rPr>
        <w:footnoteRef/>
      </w:r>
      <w:r>
        <w:t xml:space="preserve"> </w:t>
      </w:r>
      <w:r>
        <w:rPr>
          <w:lang w:val="en-GB"/>
        </w:rPr>
        <w:t>The expression is used as the heading that precedes paragraphs 8 to 102 of the answering affidavit.</w:t>
      </w:r>
    </w:p>
  </w:footnote>
  <w:footnote w:id="5">
    <w:p w:rsidR="00220182" w:rsidRPr="00220182" w:rsidRDefault="00220182" w:rsidP="009F68B9">
      <w:pPr>
        <w:pStyle w:val="FootnoteText"/>
        <w:jc w:val="both"/>
        <w:rPr>
          <w:lang w:val="en-GB"/>
        </w:rPr>
      </w:pPr>
      <w:r>
        <w:rPr>
          <w:rStyle w:val="FootnoteReference"/>
        </w:rPr>
        <w:footnoteRef/>
      </w:r>
      <w:r>
        <w:t xml:space="preserve"> </w:t>
      </w:r>
      <w:r>
        <w:rPr>
          <w:lang w:val="en-GB"/>
        </w:rPr>
        <w:t>At 70.</w:t>
      </w:r>
    </w:p>
  </w:footnote>
  <w:footnote w:id="6">
    <w:p w:rsidR="004D7389" w:rsidRPr="004D7389" w:rsidRDefault="004D7389" w:rsidP="009F68B9">
      <w:pPr>
        <w:pStyle w:val="FootnoteText"/>
        <w:jc w:val="both"/>
        <w:rPr>
          <w:lang w:val="en-GB"/>
        </w:rPr>
      </w:pPr>
      <w:r>
        <w:rPr>
          <w:rStyle w:val="FootnoteReference"/>
        </w:rPr>
        <w:footnoteRef/>
      </w:r>
      <w:r>
        <w:t xml:space="preserve"> The problem of deciding ‘clearly linked’ issues side by side, in separate proceedings between the same parties, was raised by </w:t>
      </w:r>
      <w:r>
        <w:rPr>
          <w:lang w:val="en-GB"/>
        </w:rPr>
        <w:t xml:space="preserve">Lowe J within the context of an application for the postponement of the </w:t>
      </w:r>
      <w:r w:rsidR="00F14FD6">
        <w:rPr>
          <w:lang w:val="en-GB"/>
        </w:rPr>
        <w:t xml:space="preserve">action. See [62] of this court’s earlier judgment, n 18. </w:t>
      </w:r>
    </w:p>
  </w:footnote>
  <w:footnote w:id="7">
    <w:p w:rsidR="004D7389" w:rsidRPr="004D7389" w:rsidRDefault="004D7389" w:rsidP="009F68B9">
      <w:pPr>
        <w:pStyle w:val="FootnoteText"/>
        <w:jc w:val="both"/>
        <w:rPr>
          <w:lang w:val="en-GB"/>
        </w:rPr>
      </w:pPr>
      <w:r>
        <w:rPr>
          <w:rStyle w:val="FootnoteReference"/>
        </w:rPr>
        <w:footnoteRef/>
      </w:r>
      <w:r>
        <w:t xml:space="preserve"> </w:t>
      </w:r>
      <w:r>
        <w:rPr>
          <w:lang w:val="en-GB"/>
        </w:rPr>
        <w:t>At 1102.</w:t>
      </w:r>
    </w:p>
  </w:footnote>
  <w:footnote w:id="8">
    <w:p w:rsidR="00E703EB" w:rsidRPr="00E703EB" w:rsidRDefault="00E703EB" w:rsidP="009F68B9">
      <w:pPr>
        <w:pStyle w:val="FootnoteText"/>
        <w:jc w:val="both"/>
        <w:rPr>
          <w:lang w:val="en-GB"/>
        </w:rPr>
      </w:pPr>
      <w:r>
        <w:rPr>
          <w:rStyle w:val="FootnoteReference"/>
        </w:rPr>
        <w:footnoteRef/>
      </w:r>
      <w:r>
        <w:t xml:space="preserve"> </w:t>
      </w:r>
      <w:r>
        <w:rPr>
          <w:lang w:val="en-GB"/>
        </w:rPr>
        <w:t xml:space="preserve">An application for amendment is usually granted when it is necessary for deciding the real issues between parties or for allowing the proper ventilation of the dispute, provided that any injustice caused can be remedied by an appropriate costs order. See DR Harms, ‘Civil procedure: Superior Courts’, in </w:t>
      </w:r>
      <w:r w:rsidRPr="00E703EB">
        <w:rPr>
          <w:i/>
          <w:lang w:val="en-GB"/>
        </w:rPr>
        <w:t>LAWSA</w:t>
      </w:r>
      <w:r>
        <w:rPr>
          <w:lang w:val="en-GB"/>
        </w:rPr>
        <w:t xml:space="preserve"> (Vol 4, 3ed, 2016), at 379.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6377374"/>
      <w:docPartObj>
        <w:docPartGallery w:val="Page Numbers (Top of Page)"/>
        <w:docPartUnique/>
      </w:docPartObj>
    </w:sdtPr>
    <w:sdtEndPr>
      <w:rPr>
        <w:noProof/>
      </w:rPr>
    </w:sdtEndPr>
    <w:sdtContent>
      <w:p w:rsidR="009F68B9" w:rsidRDefault="009F68B9">
        <w:pPr>
          <w:pStyle w:val="Header"/>
          <w:jc w:val="center"/>
        </w:pPr>
        <w:r>
          <w:fldChar w:fldCharType="begin"/>
        </w:r>
        <w:r>
          <w:instrText xml:space="preserve"> PAGE   \* MERGEFORMAT </w:instrText>
        </w:r>
        <w:r>
          <w:fldChar w:fldCharType="separate"/>
        </w:r>
        <w:r w:rsidR="004F365E">
          <w:rPr>
            <w:noProof/>
          </w:rPr>
          <w:t>6</w:t>
        </w:r>
        <w:r>
          <w:rPr>
            <w:noProof/>
          </w:rPr>
          <w:fldChar w:fldCharType="end"/>
        </w:r>
      </w:p>
    </w:sdtContent>
  </w:sdt>
  <w:p w:rsidR="009F68B9" w:rsidRDefault="009F68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108C8"/>
    <w:multiLevelType w:val="hybridMultilevel"/>
    <w:tmpl w:val="15A6C434"/>
    <w:lvl w:ilvl="0" w:tplc="E000F9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676F5A84"/>
    <w:multiLevelType w:val="hybridMultilevel"/>
    <w:tmpl w:val="3ADC5A76"/>
    <w:lvl w:ilvl="0" w:tplc="734C89EC">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732117F9"/>
    <w:multiLevelType w:val="hybridMultilevel"/>
    <w:tmpl w:val="D55229EC"/>
    <w:lvl w:ilvl="0" w:tplc="734C89EC">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en-US" w:vendorID="64" w:dllVersion="131078" w:nlCheck="1" w:checkStyle="0"/>
  <w:activeWritingStyle w:appName="MSWord" w:lang="en-ZA" w:vendorID="64" w:dllVersion="131078" w:nlCheck="1" w:checkStyle="0"/>
  <w:activeWritingStyle w:appName="MSWord" w:lang="en-GB"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273"/>
    <w:rsid w:val="00026E2B"/>
    <w:rsid w:val="001F0C73"/>
    <w:rsid w:val="001F2F18"/>
    <w:rsid w:val="00204D09"/>
    <w:rsid w:val="00220182"/>
    <w:rsid w:val="00252502"/>
    <w:rsid w:val="0027598C"/>
    <w:rsid w:val="00384E2D"/>
    <w:rsid w:val="003A0A26"/>
    <w:rsid w:val="003B14C2"/>
    <w:rsid w:val="003D684B"/>
    <w:rsid w:val="004D7389"/>
    <w:rsid w:val="004F1B47"/>
    <w:rsid w:val="004F365E"/>
    <w:rsid w:val="005014A6"/>
    <w:rsid w:val="00573D7F"/>
    <w:rsid w:val="00575BD0"/>
    <w:rsid w:val="005C2273"/>
    <w:rsid w:val="00601C3A"/>
    <w:rsid w:val="00605DB1"/>
    <w:rsid w:val="006070FC"/>
    <w:rsid w:val="0061564B"/>
    <w:rsid w:val="00662285"/>
    <w:rsid w:val="006C5C9A"/>
    <w:rsid w:val="00712040"/>
    <w:rsid w:val="007F3716"/>
    <w:rsid w:val="008138B1"/>
    <w:rsid w:val="00863948"/>
    <w:rsid w:val="008774FD"/>
    <w:rsid w:val="008F179D"/>
    <w:rsid w:val="00933879"/>
    <w:rsid w:val="00940D57"/>
    <w:rsid w:val="00951AC3"/>
    <w:rsid w:val="00985F0D"/>
    <w:rsid w:val="00987658"/>
    <w:rsid w:val="009F68B9"/>
    <w:rsid w:val="00A06DBD"/>
    <w:rsid w:val="00A736AD"/>
    <w:rsid w:val="00AA5B35"/>
    <w:rsid w:val="00B412BC"/>
    <w:rsid w:val="00C73029"/>
    <w:rsid w:val="00D93B8D"/>
    <w:rsid w:val="00DB1610"/>
    <w:rsid w:val="00E703EB"/>
    <w:rsid w:val="00EB6693"/>
    <w:rsid w:val="00F14FD6"/>
    <w:rsid w:val="00F32AB5"/>
    <w:rsid w:val="00F60F99"/>
    <w:rsid w:val="00F646C5"/>
    <w:rsid w:val="00FF00B5"/>
    <w:rsid w:val="00FF2492"/>
    <w:rsid w:val="00FF6BB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16B720-F38E-44F8-8FB1-5A1BB704D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876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7658"/>
    <w:rPr>
      <w:sz w:val="20"/>
      <w:szCs w:val="20"/>
    </w:rPr>
  </w:style>
  <w:style w:type="character" w:styleId="FootnoteReference">
    <w:name w:val="footnote reference"/>
    <w:basedOn w:val="DefaultParagraphFont"/>
    <w:uiPriority w:val="99"/>
    <w:semiHidden/>
    <w:unhideWhenUsed/>
    <w:rsid w:val="00987658"/>
    <w:rPr>
      <w:vertAlign w:val="superscript"/>
    </w:rPr>
  </w:style>
  <w:style w:type="paragraph" w:styleId="ListParagraph">
    <w:name w:val="List Paragraph"/>
    <w:basedOn w:val="Normal"/>
    <w:uiPriority w:val="34"/>
    <w:qFormat/>
    <w:rsid w:val="00F60F99"/>
    <w:pPr>
      <w:ind w:left="720"/>
      <w:contextualSpacing/>
    </w:pPr>
  </w:style>
  <w:style w:type="paragraph" w:styleId="BalloonText">
    <w:name w:val="Balloon Text"/>
    <w:basedOn w:val="Normal"/>
    <w:link w:val="BalloonTextChar"/>
    <w:uiPriority w:val="99"/>
    <w:semiHidden/>
    <w:unhideWhenUsed/>
    <w:rsid w:val="009F68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8B9"/>
    <w:rPr>
      <w:rFonts w:ascii="Segoe UI" w:hAnsi="Segoe UI" w:cs="Segoe UI"/>
      <w:sz w:val="18"/>
      <w:szCs w:val="18"/>
    </w:rPr>
  </w:style>
  <w:style w:type="paragraph" w:styleId="Header">
    <w:name w:val="header"/>
    <w:basedOn w:val="Normal"/>
    <w:link w:val="HeaderChar"/>
    <w:uiPriority w:val="99"/>
    <w:unhideWhenUsed/>
    <w:rsid w:val="009F68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68B9"/>
  </w:style>
  <w:style w:type="paragraph" w:styleId="Footer">
    <w:name w:val="footer"/>
    <w:basedOn w:val="Normal"/>
    <w:link w:val="FooterChar"/>
    <w:uiPriority w:val="99"/>
    <w:unhideWhenUsed/>
    <w:rsid w:val="009F68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68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1554</Words>
  <Characters>8863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Justin Laing</dc:creator>
  <cp:keywords/>
  <dc:description/>
  <cp:lastModifiedBy>HOME</cp:lastModifiedBy>
  <cp:revision>2</cp:revision>
  <cp:lastPrinted>2022-08-01T13:48:00Z</cp:lastPrinted>
  <dcterms:created xsi:type="dcterms:W3CDTF">2022-08-14T09:06:00Z</dcterms:created>
  <dcterms:modified xsi:type="dcterms:W3CDTF">2022-08-14T09:06:00Z</dcterms:modified>
</cp:coreProperties>
</file>