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33469402" w:rsidR="00E44987" w:rsidRPr="00044B50" w:rsidRDefault="00E44987" w:rsidP="00A54D75">
      <w:pPr>
        <w:jc w:val="center"/>
        <w:rPr>
          <w:lang w:val="en-GB"/>
        </w:rPr>
      </w:pPr>
      <w:r w:rsidRPr="00044B50">
        <w:rPr>
          <w:lang w:val="en-GB"/>
        </w:rPr>
        <w:t xml:space="preserve"> </w:t>
      </w:r>
      <w:r w:rsidR="00A54D75">
        <w:rPr>
          <w:lang w:val="en-GB"/>
        </w:rPr>
        <w:t xml:space="preserve">                                                                                            </w:t>
      </w:r>
      <w:r w:rsidRPr="00044B50">
        <w:rPr>
          <w:lang w:val="en-GB"/>
        </w:rPr>
        <w:t xml:space="preserve">Case no: </w:t>
      </w:r>
      <w:r w:rsidR="00A54D75">
        <w:rPr>
          <w:lang w:val="en-GB"/>
        </w:rPr>
        <w:t>2283/2021</w:t>
      </w:r>
    </w:p>
    <w:p w14:paraId="13EEBE4B" w14:textId="77777777" w:rsidR="00D450B5" w:rsidRPr="00044B50" w:rsidRDefault="00D450B5" w:rsidP="00772E4B">
      <w:pPr>
        <w:widowControl w:val="0"/>
        <w:jc w:val="right"/>
        <w:rPr>
          <w:spacing w:val="14"/>
          <w:kern w:val="2"/>
          <w:lang w:val="en-GB"/>
        </w:rPr>
      </w:pPr>
    </w:p>
    <w:p w14:paraId="49070A0E" w14:textId="0DE84AB7"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387015C" w14:textId="77777777" w:rsidR="00A54D75" w:rsidRPr="00044B50" w:rsidRDefault="00A54D75" w:rsidP="00772E4B">
      <w:pPr>
        <w:widowControl w:val="0"/>
        <w:jc w:val="both"/>
        <w:rPr>
          <w:spacing w:val="14"/>
          <w:kern w:val="2"/>
          <w:lang w:val="en-GB"/>
        </w:rPr>
      </w:pPr>
    </w:p>
    <w:p w14:paraId="2E198784" w14:textId="7A175F3A" w:rsidR="00D450B5" w:rsidRPr="00A54D75" w:rsidRDefault="00A54D75" w:rsidP="00A54D75">
      <w:pPr>
        <w:widowControl w:val="0"/>
        <w:tabs>
          <w:tab w:val="left" w:pos="7230"/>
          <w:tab w:val="right" w:pos="8198"/>
        </w:tabs>
        <w:jc w:val="both"/>
        <w:rPr>
          <w:b/>
          <w:spacing w:val="14"/>
          <w:kern w:val="2"/>
          <w:lang w:val="en-GB"/>
        </w:rPr>
      </w:pPr>
      <w:r w:rsidRPr="00A54D75">
        <w:rPr>
          <w:b/>
          <w:spacing w:val="14"/>
          <w:kern w:val="2"/>
          <w:lang w:val="en-GB"/>
        </w:rPr>
        <w:t>JENNIFER ANNE NELSON</w:t>
      </w:r>
      <w:r w:rsidRPr="00A54D75">
        <w:rPr>
          <w:b/>
          <w:spacing w:val="14"/>
          <w:kern w:val="2"/>
          <w:lang w:val="en-GB"/>
        </w:rPr>
        <w:tab/>
        <w:t>Applicant</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361195BF" w:rsidR="00D450B5" w:rsidRPr="00A54D75" w:rsidRDefault="00A54D75" w:rsidP="00A54D75">
      <w:pPr>
        <w:tabs>
          <w:tab w:val="left" w:pos="7088"/>
        </w:tabs>
        <w:jc w:val="both"/>
        <w:rPr>
          <w:b/>
          <w:lang w:val="en-GB"/>
        </w:rPr>
      </w:pPr>
      <w:r w:rsidRPr="00A54D75">
        <w:rPr>
          <w:b/>
          <w:lang w:val="en-GB"/>
        </w:rPr>
        <w:t xml:space="preserve">NEIL CHRISTOPHER NELSON </w:t>
      </w:r>
      <w:r w:rsidRPr="00A54D75">
        <w:rPr>
          <w:b/>
          <w:lang w:val="en-GB"/>
        </w:rPr>
        <w:tab/>
        <w:t>Respondent</w:t>
      </w:r>
    </w:p>
    <w:p w14:paraId="4F0E2CE6" w14:textId="3D877887" w:rsidR="00C246F2" w:rsidRPr="00044B50" w:rsidRDefault="00772E4B" w:rsidP="00772E4B">
      <w:pPr>
        <w:jc w:val="both"/>
        <w:rPr>
          <w:b/>
          <w:bCs/>
          <w:lang w:val="en-GB"/>
        </w:rPr>
      </w:pPr>
      <w:r w:rsidRPr="00044B50">
        <w:rPr>
          <w:b/>
          <w:bCs/>
          <w:lang w:val="en-GB"/>
        </w:rPr>
        <w:tab/>
      </w:r>
      <w:r w:rsidRPr="00044B50">
        <w:rPr>
          <w:b/>
          <w:bCs/>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7C5D558B" w:rsidR="00D450B5" w:rsidRPr="00044B50" w:rsidRDefault="00021501" w:rsidP="00772E4B">
      <w:pPr>
        <w:jc w:val="center"/>
        <w:rPr>
          <w:b/>
          <w:bCs/>
          <w:lang w:val="en-GB"/>
        </w:rPr>
      </w:pPr>
      <w:r>
        <w:rPr>
          <w:b/>
          <w:bCs/>
          <w:lang w:val="en-GB"/>
        </w:rPr>
        <w:t xml:space="preserve">LEAVE TO APPEAL </w:t>
      </w:r>
      <w:r w:rsidR="00D450B5" w:rsidRPr="00044B50">
        <w:rPr>
          <w:b/>
          <w:bCs/>
          <w:lang w:val="en-GB"/>
        </w:rPr>
        <w:t>JUDGMENT</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5A33CD6A" w14:textId="79899F8D" w:rsidR="00E922BE" w:rsidRPr="00044B50" w:rsidRDefault="00BD3094" w:rsidP="00682CE5">
      <w:pPr>
        <w:pStyle w:val="ListParagraph"/>
        <w:numPr>
          <w:ilvl w:val="0"/>
          <w:numId w:val="10"/>
        </w:numPr>
        <w:autoSpaceDE w:val="0"/>
        <w:autoSpaceDN w:val="0"/>
        <w:adjustRightInd w:val="0"/>
        <w:ind w:left="142" w:hanging="142"/>
        <w:jc w:val="both"/>
        <w:rPr>
          <w:lang w:val="en-GB"/>
        </w:rPr>
      </w:pPr>
      <w:r>
        <w:rPr>
          <w:lang w:val="en-GB"/>
        </w:rPr>
        <w:t xml:space="preserve">The parties were married out of community of property with the inclusion of the accrual system during 1996. They divorced on 18 June 2019, having entered into a settlement agreement made an order of court (‘the order’). </w:t>
      </w:r>
      <w:r w:rsidR="00C246F2" w:rsidRPr="00044B50">
        <w:rPr>
          <w:lang w:val="en-GB"/>
        </w:rPr>
        <w:t xml:space="preserve">The </w:t>
      </w:r>
      <w:r w:rsidR="00021501">
        <w:rPr>
          <w:lang w:val="en-GB"/>
        </w:rPr>
        <w:t xml:space="preserve">applicant sought rescission of </w:t>
      </w:r>
      <w:r>
        <w:rPr>
          <w:lang w:val="en-GB"/>
        </w:rPr>
        <w:t>the order</w:t>
      </w:r>
      <w:r w:rsidR="00021501">
        <w:rPr>
          <w:lang w:val="en-GB"/>
        </w:rPr>
        <w:t>, alternatively that certain paragraphs of the settlement agreement made an order be expunged from that agreement.</w:t>
      </w:r>
      <w:r w:rsidR="00E21B29">
        <w:rPr>
          <w:lang w:val="en-GB"/>
        </w:rPr>
        <w:t xml:space="preserve"> The application was dismissed with costs, excluding costs of an application to strike, on 17 May 2022</w:t>
      </w:r>
      <w:r w:rsidR="00854D57">
        <w:rPr>
          <w:lang w:val="en-GB"/>
        </w:rPr>
        <w:t xml:space="preserve"> (‘the judgment’)</w:t>
      </w:r>
      <w:r w:rsidR="00E21B29">
        <w:rPr>
          <w:lang w:val="en-GB"/>
        </w:rPr>
        <w:t>.</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7D634519" w14:textId="344991CA" w:rsidR="004B7E82" w:rsidRDefault="00E21B29" w:rsidP="00682CE5">
      <w:pPr>
        <w:pStyle w:val="ListParagraph"/>
        <w:numPr>
          <w:ilvl w:val="0"/>
          <w:numId w:val="10"/>
        </w:numPr>
        <w:autoSpaceDE w:val="0"/>
        <w:autoSpaceDN w:val="0"/>
        <w:adjustRightInd w:val="0"/>
        <w:ind w:left="142" w:hanging="142"/>
        <w:jc w:val="both"/>
        <w:rPr>
          <w:lang w:val="en-GB"/>
        </w:rPr>
      </w:pPr>
      <w:r>
        <w:rPr>
          <w:lang w:val="en-GB"/>
        </w:rPr>
        <w:lastRenderedPageBreak/>
        <w:t xml:space="preserve">The </w:t>
      </w:r>
      <w:r w:rsidR="00060154">
        <w:rPr>
          <w:lang w:val="en-GB"/>
        </w:rPr>
        <w:t>grounds on which this application is premised are the following:</w:t>
      </w:r>
    </w:p>
    <w:p w14:paraId="6904C819" w14:textId="77777777" w:rsidR="00060154" w:rsidRPr="00060154" w:rsidRDefault="00060154" w:rsidP="00060154">
      <w:pPr>
        <w:pStyle w:val="ListParagraph"/>
        <w:rPr>
          <w:lang w:val="en-GB"/>
        </w:rPr>
      </w:pPr>
    </w:p>
    <w:p w14:paraId="056AB094" w14:textId="0B93A1BC" w:rsidR="00060154" w:rsidRDefault="00060154" w:rsidP="00060154">
      <w:pPr>
        <w:pStyle w:val="ListParagraph"/>
        <w:numPr>
          <w:ilvl w:val="1"/>
          <w:numId w:val="10"/>
        </w:numPr>
        <w:autoSpaceDE w:val="0"/>
        <w:autoSpaceDN w:val="0"/>
        <w:adjustRightInd w:val="0"/>
        <w:jc w:val="both"/>
        <w:rPr>
          <w:lang w:val="en-GB"/>
        </w:rPr>
      </w:pPr>
      <w:r>
        <w:rPr>
          <w:lang w:val="en-GB"/>
        </w:rPr>
        <w:t>The court erred in its judgment, another court may reasonably possibly come to a different conclusion and an appeal enjoys a reasonable prospect of success.</w:t>
      </w:r>
    </w:p>
    <w:p w14:paraId="3848C84B" w14:textId="28F1FF43" w:rsidR="00060154" w:rsidRDefault="00060154" w:rsidP="00060154">
      <w:pPr>
        <w:pStyle w:val="ListParagraph"/>
        <w:numPr>
          <w:ilvl w:val="1"/>
          <w:numId w:val="10"/>
        </w:numPr>
        <w:autoSpaceDE w:val="0"/>
        <w:autoSpaceDN w:val="0"/>
        <w:adjustRightInd w:val="0"/>
        <w:jc w:val="both"/>
        <w:rPr>
          <w:lang w:val="en-GB"/>
        </w:rPr>
      </w:pPr>
      <w:r>
        <w:rPr>
          <w:lang w:val="en-GB"/>
        </w:rPr>
        <w:t xml:space="preserve">The court erred in deciding that the </w:t>
      </w:r>
      <w:r>
        <w:rPr>
          <w:i/>
          <w:iCs/>
          <w:lang w:val="en-GB"/>
        </w:rPr>
        <w:t>Plascon-Evans</w:t>
      </w:r>
      <w:r>
        <w:rPr>
          <w:lang w:val="en-GB"/>
        </w:rPr>
        <w:t xml:space="preserve"> rule was applicable, alternatively erred in its application of that rule.</w:t>
      </w:r>
    </w:p>
    <w:p w14:paraId="66DA8258" w14:textId="33B8D576" w:rsidR="00060154" w:rsidRDefault="00060154" w:rsidP="00060154">
      <w:pPr>
        <w:pStyle w:val="ListParagraph"/>
        <w:numPr>
          <w:ilvl w:val="1"/>
          <w:numId w:val="10"/>
        </w:numPr>
        <w:autoSpaceDE w:val="0"/>
        <w:autoSpaceDN w:val="0"/>
        <w:adjustRightInd w:val="0"/>
        <w:jc w:val="both"/>
        <w:rPr>
          <w:lang w:val="en-GB"/>
        </w:rPr>
      </w:pPr>
      <w:r>
        <w:rPr>
          <w:lang w:val="en-GB"/>
        </w:rPr>
        <w:t xml:space="preserve">The principle of the sanctity of a court order was over-emphasised when considering the </w:t>
      </w:r>
      <w:r w:rsidR="00C63014">
        <w:rPr>
          <w:lang w:val="en-GB"/>
        </w:rPr>
        <w:t xml:space="preserve">injustice that will result from </w:t>
      </w:r>
      <w:r w:rsidR="00C01285">
        <w:rPr>
          <w:lang w:val="en-GB"/>
        </w:rPr>
        <w:t>dismissal of the application.</w:t>
      </w:r>
    </w:p>
    <w:p w14:paraId="54E1E4FC" w14:textId="16A61285" w:rsidR="00D31A18" w:rsidRDefault="00D31A18" w:rsidP="00060154">
      <w:pPr>
        <w:pStyle w:val="ListParagraph"/>
        <w:numPr>
          <w:ilvl w:val="1"/>
          <w:numId w:val="10"/>
        </w:numPr>
        <w:autoSpaceDE w:val="0"/>
        <w:autoSpaceDN w:val="0"/>
        <w:adjustRightInd w:val="0"/>
        <w:jc w:val="both"/>
        <w:rPr>
          <w:lang w:val="en-GB"/>
        </w:rPr>
      </w:pPr>
      <w:r>
        <w:rPr>
          <w:lang w:val="en-GB"/>
        </w:rPr>
        <w:t>The court erred in equating the order to one obtained in contested proceedings and thereby applying a more stringent test for rescission.</w:t>
      </w:r>
    </w:p>
    <w:p w14:paraId="7C21378E" w14:textId="4DC6D40F" w:rsidR="00D31A18" w:rsidRDefault="0045772A" w:rsidP="00060154">
      <w:pPr>
        <w:pStyle w:val="ListParagraph"/>
        <w:numPr>
          <w:ilvl w:val="1"/>
          <w:numId w:val="10"/>
        </w:numPr>
        <w:autoSpaceDE w:val="0"/>
        <w:autoSpaceDN w:val="0"/>
        <w:adjustRightInd w:val="0"/>
        <w:jc w:val="both"/>
        <w:rPr>
          <w:lang w:val="en-GB"/>
        </w:rPr>
      </w:pPr>
      <w:r>
        <w:rPr>
          <w:lang w:val="en-GB"/>
        </w:rPr>
        <w:t>The court erred by finding that there was no mistake common to the parties and should have accepted that the parties were in agreement that a further amount was due to the applicant, despite the consent paper to the contrary.</w:t>
      </w:r>
    </w:p>
    <w:p w14:paraId="5FC20F80" w14:textId="68CC7D14" w:rsidR="0045772A" w:rsidRDefault="0045772A" w:rsidP="00060154">
      <w:pPr>
        <w:pStyle w:val="ListParagraph"/>
        <w:numPr>
          <w:ilvl w:val="1"/>
          <w:numId w:val="10"/>
        </w:numPr>
        <w:autoSpaceDE w:val="0"/>
        <w:autoSpaceDN w:val="0"/>
        <w:adjustRightInd w:val="0"/>
        <w:jc w:val="both"/>
        <w:rPr>
          <w:lang w:val="en-GB"/>
        </w:rPr>
      </w:pPr>
      <w:r>
        <w:rPr>
          <w:lang w:val="en-GB"/>
        </w:rPr>
        <w:t>The respondent’s conflicting statements on the papers were not properly interrogated</w:t>
      </w:r>
      <w:r w:rsidR="000A6883">
        <w:rPr>
          <w:lang w:val="en-GB"/>
        </w:rPr>
        <w:t>.</w:t>
      </w:r>
    </w:p>
    <w:p w14:paraId="07E74D59" w14:textId="254A9669" w:rsidR="000A6883" w:rsidRDefault="0027474B" w:rsidP="00060154">
      <w:pPr>
        <w:pStyle w:val="ListParagraph"/>
        <w:numPr>
          <w:ilvl w:val="1"/>
          <w:numId w:val="10"/>
        </w:numPr>
        <w:autoSpaceDE w:val="0"/>
        <w:autoSpaceDN w:val="0"/>
        <w:adjustRightInd w:val="0"/>
        <w:jc w:val="both"/>
        <w:rPr>
          <w:lang w:val="en-GB"/>
        </w:rPr>
      </w:pPr>
      <w:r>
        <w:rPr>
          <w:lang w:val="en-GB"/>
        </w:rPr>
        <w:t xml:space="preserve">The concepts of </w:t>
      </w:r>
      <w:r w:rsidR="000339BA">
        <w:rPr>
          <w:lang w:val="en-GB"/>
        </w:rPr>
        <w:t>‘good cause’ and ‘iustus error’ were interpreted too narrowly and erroneously limited to the applicant’s conduct.</w:t>
      </w:r>
    </w:p>
    <w:p w14:paraId="3978F0C5" w14:textId="387E3B4C" w:rsidR="000339BA" w:rsidRDefault="000339BA" w:rsidP="00060154">
      <w:pPr>
        <w:pStyle w:val="ListParagraph"/>
        <w:numPr>
          <w:ilvl w:val="1"/>
          <w:numId w:val="10"/>
        </w:numPr>
        <w:autoSpaceDE w:val="0"/>
        <w:autoSpaceDN w:val="0"/>
        <w:adjustRightInd w:val="0"/>
        <w:jc w:val="both"/>
        <w:rPr>
          <w:lang w:val="en-GB"/>
        </w:rPr>
      </w:pPr>
      <w:r>
        <w:rPr>
          <w:lang w:val="en-GB"/>
        </w:rPr>
        <w:t>The court should have found that the applicant had not made an informed decision when signing the deed of settlement, so that no true consensus existed.</w:t>
      </w:r>
    </w:p>
    <w:p w14:paraId="5DB5B00B" w14:textId="1E7A5BEB" w:rsidR="000339BA" w:rsidRDefault="000339BA" w:rsidP="00060154">
      <w:pPr>
        <w:pStyle w:val="ListParagraph"/>
        <w:numPr>
          <w:ilvl w:val="1"/>
          <w:numId w:val="10"/>
        </w:numPr>
        <w:autoSpaceDE w:val="0"/>
        <w:autoSpaceDN w:val="0"/>
        <w:adjustRightInd w:val="0"/>
        <w:jc w:val="both"/>
        <w:rPr>
          <w:lang w:val="en-GB"/>
        </w:rPr>
      </w:pPr>
      <w:r>
        <w:rPr>
          <w:lang w:val="en-GB"/>
        </w:rPr>
        <w:t>The parties’ attorney’s role and affidavit had not been examined critically.</w:t>
      </w:r>
    </w:p>
    <w:p w14:paraId="59012258" w14:textId="3C13262D" w:rsidR="000339BA" w:rsidRPr="000339BA" w:rsidRDefault="000339BA" w:rsidP="000339BA">
      <w:pPr>
        <w:pStyle w:val="ListParagraph"/>
        <w:numPr>
          <w:ilvl w:val="1"/>
          <w:numId w:val="10"/>
        </w:numPr>
        <w:autoSpaceDE w:val="0"/>
        <w:autoSpaceDN w:val="0"/>
        <w:adjustRightInd w:val="0"/>
        <w:jc w:val="both"/>
        <w:rPr>
          <w:lang w:val="en-GB"/>
        </w:rPr>
      </w:pPr>
      <w:r>
        <w:rPr>
          <w:lang w:val="en-GB"/>
        </w:rPr>
        <w:t>The court neglected to consider whether the implementation of the contract was against public policy and unlawful and erred in not rescinding the order on this basis.</w:t>
      </w:r>
    </w:p>
    <w:p w14:paraId="1C7A85B0" w14:textId="77777777" w:rsidR="00060154" w:rsidRPr="00060154" w:rsidRDefault="00060154" w:rsidP="00060154">
      <w:pPr>
        <w:pStyle w:val="ListParagraph"/>
        <w:rPr>
          <w:lang w:val="en-GB"/>
        </w:rPr>
      </w:pPr>
    </w:p>
    <w:p w14:paraId="0A244ACF" w14:textId="76A34AA6" w:rsidR="00735357" w:rsidRDefault="006509EC" w:rsidP="00682CE5">
      <w:pPr>
        <w:pStyle w:val="ListParagraph"/>
        <w:numPr>
          <w:ilvl w:val="0"/>
          <w:numId w:val="10"/>
        </w:numPr>
        <w:autoSpaceDE w:val="0"/>
        <w:autoSpaceDN w:val="0"/>
        <w:adjustRightInd w:val="0"/>
        <w:ind w:left="142" w:hanging="142"/>
        <w:jc w:val="both"/>
        <w:rPr>
          <w:lang w:val="en-GB"/>
        </w:rPr>
      </w:pPr>
      <w:r>
        <w:rPr>
          <w:lang w:val="en-GB"/>
        </w:rPr>
        <w:t xml:space="preserve">Many of the grounds </w:t>
      </w:r>
      <w:r w:rsidR="00867B32">
        <w:rPr>
          <w:lang w:val="en-GB"/>
        </w:rPr>
        <w:t xml:space="preserve">advanced </w:t>
      </w:r>
      <w:r>
        <w:rPr>
          <w:lang w:val="en-GB"/>
        </w:rPr>
        <w:t xml:space="preserve">follow this court’s finding that the </w:t>
      </w:r>
      <w:r>
        <w:rPr>
          <w:i/>
          <w:iCs/>
          <w:lang w:val="en-GB"/>
        </w:rPr>
        <w:t>Plascon-Evans</w:t>
      </w:r>
      <w:r>
        <w:rPr>
          <w:lang w:val="en-GB"/>
        </w:rPr>
        <w:t xml:space="preserve"> rule was applicable. </w:t>
      </w:r>
      <w:r w:rsidR="00EA1435">
        <w:rPr>
          <w:lang w:val="en-GB"/>
        </w:rPr>
        <w:t>Counsel</w:t>
      </w:r>
      <w:r w:rsidR="0057260A">
        <w:rPr>
          <w:lang w:val="en-GB"/>
        </w:rPr>
        <w:t xml:space="preserve"> for the applicant had argued during the hearing of the application, and based on </w:t>
      </w:r>
      <w:r w:rsidR="0057260A">
        <w:rPr>
          <w:i/>
          <w:iCs/>
          <w:lang w:val="en-GB"/>
        </w:rPr>
        <w:t>Gangat v Akoon</w:t>
      </w:r>
      <w:r w:rsidR="00821963">
        <w:rPr>
          <w:lang w:val="en-GB"/>
        </w:rPr>
        <w:t>,</w:t>
      </w:r>
      <w:r w:rsidR="0057260A" w:rsidRPr="0057260A">
        <w:rPr>
          <w:rStyle w:val="FootnoteReference"/>
          <w:lang w:val="en-GB"/>
        </w:rPr>
        <w:footnoteReference w:id="1"/>
      </w:r>
      <w:r w:rsidR="00821963">
        <w:rPr>
          <w:lang w:val="en-GB"/>
        </w:rPr>
        <w:t xml:space="preserve"> that the rule was completely inapplicable in rescission applications, because the order to be made would not be </w:t>
      </w:r>
      <w:r w:rsidR="00821963">
        <w:rPr>
          <w:lang w:val="en-GB"/>
        </w:rPr>
        <w:lastRenderedPageBreak/>
        <w:t>a final order on the legal aspects of the dispute.</w:t>
      </w:r>
      <w:r w:rsidR="00DD13D7">
        <w:rPr>
          <w:lang w:val="en-GB"/>
        </w:rPr>
        <w:t xml:space="preserve"> The court delved into </w:t>
      </w:r>
      <w:r w:rsidR="00DD13D7">
        <w:rPr>
          <w:i/>
          <w:iCs/>
          <w:lang w:val="en-GB"/>
        </w:rPr>
        <w:t>Gangat</w:t>
      </w:r>
      <w:r w:rsidR="00DD13D7">
        <w:rPr>
          <w:lang w:val="en-GB"/>
        </w:rPr>
        <w:t xml:space="preserve"> and distinguished that decision, placing reliance on </w:t>
      </w:r>
      <w:r w:rsidR="00DD13D7">
        <w:rPr>
          <w:i/>
          <w:iCs/>
          <w:lang w:val="en-GB"/>
        </w:rPr>
        <w:t>Storti v Nugent and Others</w:t>
      </w:r>
      <w:r w:rsidR="00176818">
        <w:rPr>
          <w:lang w:val="en-GB"/>
        </w:rPr>
        <w:t>.</w:t>
      </w:r>
      <w:r w:rsidR="00DD13D7" w:rsidRPr="00176818">
        <w:rPr>
          <w:rStyle w:val="FootnoteReference"/>
          <w:lang w:val="en-GB"/>
        </w:rPr>
        <w:footnoteReference w:id="2"/>
      </w:r>
      <w:r w:rsidR="00176818">
        <w:rPr>
          <w:lang w:val="en-GB"/>
        </w:rPr>
        <w:t xml:space="preserve"> The conclusion reached was that there is a difference in cases involving rescission of an order which should never have been granted (the effect of such an order being interim only), and orders correctly made but to be permanently set aside for one or another reason. In </w:t>
      </w:r>
      <w:r w:rsidR="00191661">
        <w:rPr>
          <w:lang w:val="en-GB"/>
        </w:rPr>
        <w:t>the present</w:t>
      </w:r>
      <w:r w:rsidR="00176818">
        <w:rPr>
          <w:lang w:val="en-GB"/>
        </w:rPr>
        <w:t xml:space="preserve"> instance, following </w:t>
      </w:r>
      <w:r w:rsidR="00176818">
        <w:rPr>
          <w:i/>
          <w:iCs/>
          <w:lang w:val="en-GB"/>
        </w:rPr>
        <w:t>Storti</w:t>
      </w:r>
      <w:r w:rsidR="00176818">
        <w:rPr>
          <w:lang w:val="en-GB"/>
        </w:rPr>
        <w:t>,</w:t>
      </w:r>
      <w:r w:rsidR="00176818">
        <w:rPr>
          <w:i/>
          <w:iCs/>
          <w:lang w:val="en-GB"/>
        </w:rPr>
        <w:t xml:space="preserve"> </w:t>
      </w:r>
      <w:r w:rsidR="00176818">
        <w:rPr>
          <w:lang w:val="en-GB"/>
        </w:rPr>
        <w:t xml:space="preserve">the order </w:t>
      </w:r>
      <w:r w:rsidR="00191661">
        <w:rPr>
          <w:lang w:val="en-GB"/>
        </w:rPr>
        <w:t>was correctly made and a decision to</w:t>
      </w:r>
      <w:r w:rsidR="00176818">
        <w:rPr>
          <w:lang w:val="en-GB"/>
        </w:rPr>
        <w:t xml:space="preserve"> set aside </w:t>
      </w:r>
      <w:r w:rsidR="00191661">
        <w:rPr>
          <w:lang w:val="en-GB"/>
        </w:rPr>
        <w:t xml:space="preserve">the order </w:t>
      </w:r>
      <w:r w:rsidR="00362FC1">
        <w:rPr>
          <w:lang w:val="en-GB"/>
        </w:rPr>
        <w:t>was expected to have final effect so that factual disputes became an obstacle to the applicant.</w:t>
      </w:r>
      <w:r w:rsidR="004633AF">
        <w:rPr>
          <w:lang w:val="en-GB"/>
        </w:rPr>
        <w:t xml:space="preserve"> The application before court sought final relief in the form of rescinding parts of the order that </w:t>
      </w:r>
      <w:r w:rsidR="00106BAE">
        <w:rPr>
          <w:lang w:val="en-GB"/>
        </w:rPr>
        <w:t xml:space="preserve">governed the division of the parties’ estates at the time of the divorce. </w:t>
      </w:r>
      <w:r w:rsidR="00FB2360">
        <w:rPr>
          <w:lang w:val="en-GB"/>
        </w:rPr>
        <w:t>The question of the validity of the order and settlement agreement would not be considered</w:t>
      </w:r>
      <w:r w:rsidR="00D37E03">
        <w:rPr>
          <w:lang w:val="en-GB"/>
        </w:rPr>
        <w:t xml:space="preserve"> again</w:t>
      </w:r>
      <w:r w:rsidR="00FB2360">
        <w:rPr>
          <w:lang w:val="en-GB"/>
        </w:rPr>
        <w:t>.</w:t>
      </w:r>
      <w:r w:rsidR="00D37E03">
        <w:rPr>
          <w:lang w:val="en-GB"/>
        </w:rPr>
        <w:t xml:space="preserve"> Instead, the consequences of the dissolution of the marriage would be considered afresh and without reference to material terms of the settlement agreement incorporated into the order.</w:t>
      </w:r>
      <w:r w:rsidR="00421318">
        <w:rPr>
          <w:lang w:val="en-GB"/>
        </w:rPr>
        <w:t xml:space="preserve"> As a result, the court held that the relief sought was final in nature so that the </w:t>
      </w:r>
      <w:r w:rsidR="00421318">
        <w:rPr>
          <w:i/>
          <w:iCs/>
          <w:lang w:val="en-GB"/>
        </w:rPr>
        <w:t xml:space="preserve">Plascon-Evans </w:t>
      </w:r>
      <w:r w:rsidR="00421318">
        <w:rPr>
          <w:lang w:val="en-GB"/>
        </w:rPr>
        <w:t>rule applied.</w:t>
      </w:r>
      <w:r w:rsidR="003E1EC1">
        <w:rPr>
          <w:lang w:val="en-GB"/>
        </w:rPr>
        <w:t xml:space="preserve"> </w:t>
      </w:r>
    </w:p>
    <w:p w14:paraId="6E61B18D" w14:textId="77777777" w:rsidR="00735357" w:rsidRDefault="00735357" w:rsidP="00735357">
      <w:pPr>
        <w:pStyle w:val="ListParagraph"/>
        <w:autoSpaceDE w:val="0"/>
        <w:autoSpaceDN w:val="0"/>
        <w:adjustRightInd w:val="0"/>
        <w:ind w:left="142"/>
        <w:jc w:val="both"/>
        <w:rPr>
          <w:lang w:val="en-GB"/>
        </w:rPr>
      </w:pPr>
    </w:p>
    <w:p w14:paraId="606971C0" w14:textId="77777777" w:rsidR="007475D9" w:rsidRDefault="003E1EC1" w:rsidP="007475D9">
      <w:pPr>
        <w:pStyle w:val="ListParagraph"/>
        <w:numPr>
          <w:ilvl w:val="0"/>
          <w:numId w:val="10"/>
        </w:numPr>
        <w:autoSpaceDE w:val="0"/>
        <w:autoSpaceDN w:val="0"/>
        <w:adjustRightInd w:val="0"/>
        <w:ind w:left="142" w:hanging="142"/>
        <w:jc w:val="both"/>
        <w:rPr>
          <w:lang w:val="en-GB"/>
        </w:rPr>
      </w:pPr>
      <w:r>
        <w:rPr>
          <w:lang w:val="en-GB"/>
        </w:rPr>
        <w:t xml:space="preserve">Importantly, the court found support in its reading in the judgment of the SCA in </w:t>
      </w:r>
      <w:r>
        <w:rPr>
          <w:i/>
          <w:iCs/>
          <w:lang w:val="en-GB"/>
        </w:rPr>
        <w:t>Slabbert</w:t>
      </w:r>
      <w:r>
        <w:rPr>
          <w:lang w:val="en-GB"/>
        </w:rPr>
        <w:t xml:space="preserve"> </w:t>
      </w:r>
      <w:r>
        <w:rPr>
          <w:i/>
          <w:iCs/>
          <w:lang w:val="en-GB"/>
        </w:rPr>
        <w:t>v MEC for Health and Social Development, Gauteng</w:t>
      </w:r>
      <w:r>
        <w:rPr>
          <w:lang w:val="en-GB"/>
        </w:rPr>
        <w:t>.</w:t>
      </w:r>
      <w:r>
        <w:rPr>
          <w:rStyle w:val="FootnoteReference"/>
          <w:lang w:val="en-GB"/>
        </w:rPr>
        <w:footnoteReference w:id="3"/>
      </w:r>
      <w:r w:rsidR="00735357">
        <w:rPr>
          <w:lang w:val="en-GB"/>
        </w:rPr>
        <w:t xml:space="preserve"> This matter concerned a compromise agreement made an order of court. An application for rescission was launched</w:t>
      </w:r>
      <w:r w:rsidR="00D740AC">
        <w:rPr>
          <w:lang w:val="en-GB"/>
        </w:rPr>
        <w:t xml:space="preserve">. The SCA confirmed that </w:t>
      </w:r>
      <w:r w:rsidR="00D740AC">
        <w:rPr>
          <w:i/>
          <w:iCs/>
          <w:lang w:val="en-GB"/>
        </w:rPr>
        <w:t xml:space="preserve">Plascon-Evans </w:t>
      </w:r>
      <w:r w:rsidR="00D740AC">
        <w:rPr>
          <w:lang w:val="en-GB"/>
        </w:rPr>
        <w:t>ought to have been applied by the court a quo.</w:t>
      </w:r>
      <w:r w:rsidR="007475D9">
        <w:rPr>
          <w:lang w:val="en-GB"/>
        </w:rPr>
        <w:t xml:space="preserve"> </w:t>
      </w:r>
      <w:r w:rsidR="00762065" w:rsidRPr="007475D9">
        <w:rPr>
          <w:lang w:val="en-GB"/>
        </w:rPr>
        <w:t>Although counsel</w:t>
      </w:r>
      <w:r w:rsidR="00FD0E3A" w:rsidRPr="007475D9">
        <w:rPr>
          <w:lang w:val="en-GB"/>
        </w:rPr>
        <w:t xml:space="preserve"> suggested </w:t>
      </w:r>
      <w:r w:rsidR="00762065" w:rsidRPr="007475D9">
        <w:rPr>
          <w:lang w:val="en-GB"/>
        </w:rPr>
        <w:t xml:space="preserve">that </w:t>
      </w:r>
      <w:r w:rsidR="00281581" w:rsidRPr="007475D9">
        <w:rPr>
          <w:lang w:val="en-GB"/>
        </w:rPr>
        <w:t xml:space="preserve">there were philosophical principles that </w:t>
      </w:r>
      <w:r w:rsidR="00762065" w:rsidRPr="007475D9">
        <w:rPr>
          <w:lang w:val="en-GB"/>
        </w:rPr>
        <w:t xml:space="preserve">should result in a different outcome, I am not persuaded that </w:t>
      </w:r>
      <w:r w:rsidR="00E77EA1" w:rsidRPr="007475D9">
        <w:rPr>
          <w:lang w:val="en-GB"/>
        </w:rPr>
        <w:t>there is a reasonable prospect of success in this regard</w:t>
      </w:r>
      <w:r w:rsidR="00BE168E" w:rsidRPr="007475D9">
        <w:rPr>
          <w:lang w:val="en-GB"/>
        </w:rPr>
        <w:t xml:space="preserve">, particularly given the authority relied upon and the absence of </w:t>
      </w:r>
      <w:r w:rsidR="0078027B" w:rsidRPr="007475D9">
        <w:rPr>
          <w:lang w:val="en-GB"/>
        </w:rPr>
        <w:t xml:space="preserve">any </w:t>
      </w:r>
      <w:r w:rsidR="00BE168E" w:rsidRPr="007475D9">
        <w:rPr>
          <w:lang w:val="en-GB"/>
        </w:rPr>
        <w:t>authority to support a different interpretation.</w:t>
      </w:r>
      <w:r w:rsidR="00422BDE" w:rsidRPr="007475D9">
        <w:rPr>
          <w:lang w:val="en-GB"/>
        </w:rPr>
        <w:t xml:space="preserve"> </w:t>
      </w:r>
    </w:p>
    <w:p w14:paraId="483DCC35" w14:textId="77777777" w:rsidR="007475D9" w:rsidRPr="007475D9" w:rsidRDefault="007475D9" w:rsidP="007475D9">
      <w:pPr>
        <w:pStyle w:val="ListParagraph"/>
        <w:rPr>
          <w:lang w:val="en-GB"/>
        </w:rPr>
      </w:pPr>
    </w:p>
    <w:p w14:paraId="34832F60" w14:textId="77777777" w:rsidR="009833A3" w:rsidRDefault="00422BDE" w:rsidP="003221C4">
      <w:pPr>
        <w:pStyle w:val="ListParagraph"/>
        <w:numPr>
          <w:ilvl w:val="0"/>
          <w:numId w:val="10"/>
        </w:numPr>
        <w:autoSpaceDE w:val="0"/>
        <w:autoSpaceDN w:val="0"/>
        <w:adjustRightInd w:val="0"/>
        <w:ind w:left="142" w:hanging="142"/>
        <w:jc w:val="both"/>
        <w:rPr>
          <w:lang w:val="en-GB"/>
        </w:rPr>
      </w:pPr>
      <w:r w:rsidRPr="009754F6">
        <w:rPr>
          <w:lang w:val="en-GB"/>
        </w:rPr>
        <w:t>Likewise, given the clear averments on the papers, I am unable to conclude that there are reasonable prospects of succe</w:t>
      </w:r>
      <w:r w:rsidR="00F07FF9" w:rsidRPr="009754F6">
        <w:rPr>
          <w:lang w:val="en-GB"/>
        </w:rPr>
        <w:t xml:space="preserve">ss in respect of the court’s application of the </w:t>
      </w:r>
      <w:r w:rsidR="00F07FF9" w:rsidRPr="009754F6">
        <w:rPr>
          <w:i/>
          <w:iCs/>
          <w:lang w:val="en-GB"/>
        </w:rPr>
        <w:t xml:space="preserve">Plascon-Evans </w:t>
      </w:r>
      <w:r w:rsidR="00F07FF9" w:rsidRPr="009754F6">
        <w:rPr>
          <w:lang w:val="en-GB"/>
        </w:rPr>
        <w:t>rule</w:t>
      </w:r>
      <w:r w:rsidR="00DA66B9" w:rsidRPr="009754F6">
        <w:rPr>
          <w:lang w:val="en-GB"/>
        </w:rPr>
        <w:t>, contained in paragraphs 19-21 of the judgment</w:t>
      </w:r>
      <w:r w:rsidR="00F07FF9" w:rsidRPr="009754F6">
        <w:rPr>
          <w:lang w:val="en-GB"/>
        </w:rPr>
        <w:t>.</w:t>
      </w:r>
      <w:r w:rsidR="003221C4" w:rsidRPr="009754F6">
        <w:rPr>
          <w:lang w:val="en-GB"/>
        </w:rPr>
        <w:t xml:space="preserve"> </w:t>
      </w:r>
      <w:r w:rsidR="00757106" w:rsidRPr="009754F6">
        <w:rPr>
          <w:lang w:val="en-GB"/>
        </w:rPr>
        <w:t>The type of interrogation and scrutiny of the respondent’s version proposed by the applicant would completely negate the very purpose of the rule</w:t>
      </w:r>
      <w:r w:rsidR="005344D0" w:rsidRPr="009754F6">
        <w:rPr>
          <w:lang w:val="en-GB"/>
        </w:rPr>
        <w:t xml:space="preserve"> and require a referral for oral </w:t>
      </w:r>
      <w:r w:rsidR="005344D0" w:rsidRPr="009754F6">
        <w:rPr>
          <w:lang w:val="en-GB"/>
        </w:rPr>
        <w:lastRenderedPageBreak/>
        <w:t>evidence in many more cases. In any event, in this instance counsel were in agreement that no such referral was warranted.</w:t>
      </w:r>
      <w:r w:rsidR="00DF2390" w:rsidRPr="009754F6">
        <w:rPr>
          <w:lang w:val="en-GB"/>
        </w:rPr>
        <w:t xml:space="preserve"> The plea, in essence, was </w:t>
      </w:r>
      <w:r w:rsidR="00A67443" w:rsidRPr="009754F6">
        <w:rPr>
          <w:lang w:val="en-GB"/>
        </w:rPr>
        <w:t xml:space="preserve">for the court </w:t>
      </w:r>
      <w:r w:rsidR="00DF2390" w:rsidRPr="009754F6">
        <w:rPr>
          <w:lang w:val="en-GB"/>
        </w:rPr>
        <w:t xml:space="preserve">to scrutinise the submissions of the respondent and attorney </w:t>
      </w:r>
      <w:r w:rsidR="00775FE4" w:rsidRPr="009754F6">
        <w:rPr>
          <w:lang w:val="en-GB"/>
        </w:rPr>
        <w:t xml:space="preserve">with scepticism and </w:t>
      </w:r>
      <w:r w:rsidR="00747D1E">
        <w:rPr>
          <w:lang w:val="en-GB"/>
        </w:rPr>
        <w:t xml:space="preserve">draw inferences </w:t>
      </w:r>
      <w:r w:rsidR="00775FE4" w:rsidRPr="009754F6">
        <w:rPr>
          <w:lang w:val="en-GB"/>
        </w:rPr>
        <w:t>based on</w:t>
      </w:r>
      <w:r w:rsidR="00747D1E">
        <w:rPr>
          <w:lang w:val="en-GB"/>
        </w:rPr>
        <w:t xml:space="preserve"> </w:t>
      </w:r>
      <w:r w:rsidR="00775FE4" w:rsidRPr="009754F6">
        <w:rPr>
          <w:lang w:val="en-GB"/>
        </w:rPr>
        <w:t xml:space="preserve">the probabilities that the applicant would not have knowingly entered into the settlement agreement. </w:t>
      </w:r>
      <w:r w:rsidR="00C9644C" w:rsidRPr="009754F6">
        <w:rPr>
          <w:lang w:val="en-GB"/>
        </w:rPr>
        <w:t>Unfortunately for the applicant, that is simply not the appropriate application of the rule where real, genuine and bona fide disputes are apparent on the papers.</w:t>
      </w:r>
      <w:r w:rsidR="00065E26" w:rsidRPr="009754F6">
        <w:rPr>
          <w:lang w:val="en-GB"/>
        </w:rPr>
        <w:t xml:space="preserve"> </w:t>
      </w:r>
    </w:p>
    <w:p w14:paraId="27BD39C3" w14:textId="77777777" w:rsidR="009833A3" w:rsidRPr="009833A3" w:rsidRDefault="009833A3" w:rsidP="009833A3">
      <w:pPr>
        <w:pStyle w:val="ListParagraph"/>
        <w:rPr>
          <w:lang w:val="en-GB"/>
        </w:rPr>
      </w:pPr>
    </w:p>
    <w:p w14:paraId="347E876A" w14:textId="585AF559" w:rsidR="003221C4" w:rsidRDefault="00065E26" w:rsidP="003221C4">
      <w:pPr>
        <w:pStyle w:val="ListParagraph"/>
        <w:numPr>
          <w:ilvl w:val="0"/>
          <w:numId w:val="10"/>
        </w:numPr>
        <w:autoSpaceDE w:val="0"/>
        <w:autoSpaceDN w:val="0"/>
        <w:adjustRightInd w:val="0"/>
        <w:ind w:left="142" w:hanging="142"/>
        <w:jc w:val="both"/>
        <w:rPr>
          <w:lang w:val="en-GB"/>
        </w:rPr>
      </w:pPr>
      <w:r w:rsidRPr="009754F6">
        <w:rPr>
          <w:lang w:val="en-GB"/>
        </w:rPr>
        <w:t xml:space="preserve">The argument based on the suggested common mistake falls as a result of the application of the </w:t>
      </w:r>
      <w:r w:rsidRPr="009754F6">
        <w:rPr>
          <w:i/>
          <w:iCs/>
          <w:lang w:val="en-GB"/>
        </w:rPr>
        <w:t>Plascon-Evans</w:t>
      </w:r>
      <w:r w:rsidRPr="009754F6">
        <w:rPr>
          <w:lang w:val="en-GB"/>
        </w:rPr>
        <w:t xml:space="preserve"> rule</w:t>
      </w:r>
      <w:r w:rsidR="00826F56" w:rsidRPr="009754F6">
        <w:rPr>
          <w:lang w:val="en-GB"/>
        </w:rPr>
        <w:t xml:space="preserve"> and based on the unchallenged authorities that required this court to focus, in the first place, on the order, rather than the underlying agreement, in considering the application.</w:t>
      </w:r>
      <w:r w:rsidR="00A472F1">
        <w:rPr>
          <w:lang w:val="en-GB"/>
        </w:rPr>
        <w:t xml:space="preserve"> The same difficulty is encountered in respect of the argument that the court should have scrutinised the applicant’s state of mind at the time she entered into the settlement agreement.</w:t>
      </w:r>
    </w:p>
    <w:p w14:paraId="4EC9F773" w14:textId="77777777" w:rsidR="009754F6" w:rsidRPr="009754F6" w:rsidRDefault="009754F6" w:rsidP="009754F6">
      <w:pPr>
        <w:pStyle w:val="ListParagraph"/>
        <w:autoSpaceDE w:val="0"/>
        <w:autoSpaceDN w:val="0"/>
        <w:adjustRightInd w:val="0"/>
        <w:ind w:left="142"/>
        <w:jc w:val="both"/>
        <w:rPr>
          <w:lang w:val="en-GB"/>
        </w:rPr>
      </w:pPr>
    </w:p>
    <w:p w14:paraId="2FADAACF" w14:textId="12631510" w:rsidR="003221C4" w:rsidRDefault="003221C4" w:rsidP="00682CE5">
      <w:pPr>
        <w:pStyle w:val="ListParagraph"/>
        <w:numPr>
          <w:ilvl w:val="0"/>
          <w:numId w:val="10"/>
        </w:numPr>
        <w:autoSpaceDE w:val="0"/>
        <w:autoSpaceDN w:val="0"/>
        <w:adjustRightInd w:val="0"/>
        <w:ind w:left="142" w:hanging="142"/>
        <w:jc w:val="both"/>
        <w:rPr>
          <w:lang w:val="en-GB"/>
        </w:rPr>
      </w:pPr>
      <w:r>
        <w:rPr>
          <w:lang w:val="en-GB"/>
        </w:rPr>
        <w:t xml:space="preserve">There is copious authority emphasising the importance of the finality of judgments, also included in the judgment, so that the suggestion that the court over-emphasised this point has no reasonable prospect of success. </w:t>
      </w:r>
      <w:r w:rsidR="00A364BD">
        <w:rPr>
          <w:lang w:val="en-GB"/>
        </w:rPr>
        <w:t xml:space="preserve">No authorities </w:t>
      </w:r>
      <w:r w:rsidR="00EA59FA">
        <w:rPr>
          <w:lang w:val="en-GB"/>
        </w:rPr>
        <w:t>suggesting the contrary position were presented.</w:t>
      </w:r>
      <w:r w:rsidR="000C02D5">
        <w:rPr>
          <w:lang w:val="en-GB"/>
        </w:rPr>
        <w:t xml:space="preserve"> Likewise, in relation to the application of a more stringent test, no authorities were advanced to counter the reliance on </w:t>
      </w:r>
      <w:r w:rsidR="000C02D5">
        <w:rPr>
          <w:i/>
          <w:iCs/>
          <w:lang w:val="en-GB"/>
        </w:rPr>
        <w:t>Moraitis Investments (Pty) Ltd and Others v Montic Dairy (Pty) Ltd and Others</w:t>
      </w:r>
      <w:r w:rsidR="000C02D5" w:rsidRPr="000C02D5">
        <w:rPr>
          <w:rStyle w:val="FootnoteReference"/>
          <w:lang w:val="en-GB"/>
        </w:rPr>
        <w:footnoteReference w:id="4"/>
      </w:r>
      <w:r w:rsidR="000C02D5">
        <w:rPr>
          <w:i/>
          <w:iCs/>
          <w:lang w:val="en-GB"/>
        </w:rPr>
        <w:t xml:space="preserve"> </w:t>
      </w:r>
      <w:r w:rsidR="000C02D5">
        <w:rPr>
          <w:lang w:val="en-GB"/>
        </w:rPr>
        <w:t xml:space="preserve">and other authorities </w:t>
      </w:r>
      <w:r w:rsidR="00E27655">
        <w:rPr>
          <w:lang w:val="en-GB"/>
        </w:rPr>
        <w:t>quoted in footnote 30 of the judgment. As a result, there is no reasonable prospect of an appeal succeeding on this ground.</w:t>
      </w:r>
    </w:p>
    <w:p w14:paraId="0D536B13" w14:textId="77777777" w:rsidR="002934EF" w:rsidRPr="002934EF" w:rsidRDefault="002934EF" w:rsidP="002934EF">
      <w:pPr>
        <w:pStyle w:val="ListParagraph"/>
        <w:rPr>
          <w:lang w:val="en-GB"/>
        </w:rPr>
      </w:pPr>
    </w:p>
    <w:p w14:paraId="6EFF3408" w14:textId="5B02D5CD" w:rsidR="0073167E" w:rsidRDefault="009754F6" w:rsidP="0073167E">
      <w:pPr>
        <w:pStyle w:val="ListParagraph"/>
        <w:numPr>
          <w:ilvl w:val="0"/>
          <w:numId w:val="10"/>
        </w:numPr>
        <w:autoSpaceDE w:val="0"/>
        <w:autoSpaceDN w:val="0"/>
        <w:adjustRightInd w:val="0"/>
        <w:ind w:left="142" w:hanging="142"/>
        <w:jc w:val="both"/>
        <w:rPr>
          <w:lang w:val="en-GB"/>
        </w:rPr>
      </w:pPr>
      <w:r w:rsidRPr="0073167E">
        <w:rPr>
          <w:lang w:val="en-GB"/>
        </w:rPr>
        <w:t>The proposed ‘wider’ interpretation of ‘good cause’ and ‘iustus error’ also lacks a legal underpinning and, on the accepted facts, cannot support the applicant’s argument.</w:t>
      </w:r>
      <w:r w:rsidR="007223B6" w:rsidRPr="0073167E">
        <w:rPr>
          <w:lang w:val="en-GB"/>
        </w:rPr>
        <w:t xml:space="preserve"> The arguments relating to the court’s treatment of the attorney’s role in the matter are unfounded: the court not only applied </w:t>
      </w:r>
      <w:r w:rsidR="007223B6" w:rsidRPr="0073167E">
        <w:rPr>
          <w:i/>
          <w:iCs/>
          <w:lang w:val="en-GB"/>
        </w:rPr>
        <w:t xml:space="preserve">Plascon-Evans </w:t>
      </w:r>
      <w:r w:rsidR="007223B6" w:rsidRPr="0073167E">
        <w:rPr>
          <w:lang w:val="en-GB"/>
        </w:rPr>
        <w:t>to the attorney’s version but also remarked, in paragraph 45</w:t>
      </w:r>
      <w:r w:rsidR="0073167E" w:rsidRPr="0073167E">
        <w:rPr>
          <w:lang w:val="en-GB"/>
        </w:rPr>
        <w:t>,</w:t>
      </w:r>
      <w:r w:rsidR="007223B6" w:rsidRPr="0073167E">
        <w:rPr>
          <w:lang w:val="en-GB"/>
        </w:rPr>
        <w:t xml:space="preserve"> on the attorney’s conduct in advising both parties, acknowledging possible separate proceedings. </w:t>
      </w:r>
    </w:p>
    <w:p w14:paraId="16D100CD" w14:textId="77777777" w:rsidR="0073167E" w:rsidRPr="0073167E" w:rsidRDefault="0073167E" w:rsidP="0073167E">
      <w:pPr>
        <w:autoSpaceDE w:val="0"/>
        <w:autoSpaceDN w:val="0"/>
        <w:adjustRightInd w:val="0"/>
        <w:jc w:val="both"/>
        <w:rPr>
          <w:lang w:val="en-GB"/>
        </w:rPr>
      </w:pPr>
    </w:p>
    <w:p w14:paraId="4CD9AA23" w14:textId="4F415F28" w:rsidR="00E57C72" w:rsidRDefault="0012623A" w:rsidP="00682CE5">
      <w:pPr>
        <w:pStyle w:val="ListParagraph"/>
        <w:numPr>
          <w:ilvl w:val="0"/>
          <w:numId w:val="10"/>
        </w:numPr>
        <w:autoSpaceDE w:val="0"/>
        <w:autoSpaceDN w:val="0"/>
        <w:adjustRightInd w:val="0"/>
        <w:ind w:left="142" w:hanging="142"/>
        <w:jc w:val="both"/>
        <w:rPr>
          <w:lang w:val="en-GB"/>
        </w:rPr>
      </w:pPr>
      <w:r>
        <w:rPr>
          <w:lang w:val="en-GB"/>
        </w:rPr>
        <w:lastRenderedPageBreak/>
        <w:t xml:space="preserve">Finally, </w:t>
      </w:r>
      <w:r w:rsidR="00BC2139">
        <w:rPr>
          <w:lang w:val="en-GB"/>
        </w:rPr>
        <w:t>the court considered the broader issue of ‘the interests of justice’ in deciding whether to grant the relief sought</w:t>
      </w:r>
      <w:r w:rsidR="001A6D2D">
        <w:rPr>
          <w:lang w:val="en-GB"/>
        </w:rPr>
        <w:t xml:space="preserve">, with full reference to the leading authorities on the point. </w:t>
      </w:r>
      <w:r w:rsidR="00B2720D">
        <w:rPr>
          <w:lang w:val="en-GB"/>
        </w:rPr>
        <w:t>The applicant was unable to point to an erroneous interpretation of those authorities, or to other authorities supporting rescission of a consent order in such circumstances.</w:t>
      </w:r>
      <w:r w:rsidR="004A5838">
        <w:rPr>
          <w:lang w:val="en-GB"/>
        </w:rPr>
        <w:t xml:space="preserve"> </w:t>
      </w:r>
      <w:r w:rsidR="00784AD0">
        <w:rPr>
          <w:lang w:val="en-GB"/>
        </w:rPr>
        <w:t xml:space="preserve">Much of the argument, reduced to its essence, was that the outcome was unjust </w:t>
      </w:r>
      <w:r w:rsidR="004627BA">
        <w:rPr>
          <w:lang w:val="en-GB"/>
        </w:rPr>
        <w:t xml:space="preserve">or unfair </w:t>
      </w:r>
      <w:r w:rsidR="00784AD0">
        <w:rPr>
          <w:lang w:val="en-GB"/>
        </w:rPr>
        <w:t>for the applicant</w:t>
      </w:r>
      <w:r w:rsidR="007719F2">
        <w:rPr>
          <w:lang w:val="en-GB"/>
        </w:rPr>
        <w:t>, who could have obtained so much more had she not entered into the settlement agreement made an order of court</w:t>
      </w:r>
      <w:r w:rsidR="00784AD0">
        <w:rPr>
          <w:lang w:val="en-GB"/>
        </w:rPr>
        <w:t xml:space="preserve">. </w:t>
      </w:r>
      <w:r w:rsidR="00C82E53">
        <w:rPr>
          <w:lang w:val="en-GB"/>
        </w:rPr>
        <w:t>But n</w:t>
      </w:r>
      <w:r w:rsidR="00517B3F">
        <w:rPr>
          <w:lang w:val="en-GB"/>
        </w:rPr>
        <w:t>o proper basis was advanced to explain how another court might be able to circumvent the authorities relied upon in the judgment</w:t>
      </w:r>
      <w:r w:rsidR="006B5D87">
        <w:rPr>
          <w:lang w:val="en-GB"/>
        </w:rPr>
        <w:t xml:space="preserve"> to refuse rescission</w:t>
      </w:r>
      <w:r w:rsidR="00EA7642">
        <w:rPr>
          <w:lang w:val="en-GB"/>
        </w:rPr>
        <w:t xml:space="preserve"> or variation</w:t>
      </w:r>
      <w:r w:rsidR="00517B3F">
        <w:rPr>
          <w:lang w:val="en-GB"/>
        </w:rPr>
        <w:t>.</w:t>
      </w:r>
      <w:r w:rsidR="00944D31">
        <w:rPr>
          <w:lang w:val="en-GB"/>
        </w:rPr>
        <w:t xml:space="preserve"> </w:t>
      </w:r>
      <w:r w:rsidR="00807086">
        <w:rPr>
          <w:lang w:val="en-GB"/>
        </w:rPr>
        <w:t xml:space="preserve">Ultimately, that is the main difficulty with the present application. </w:t>
      </w:r>
      <w:r w:rsidR="004A5838">
        <w:rPr>
          <w:lang w:val="en-GB"/>
        </w:rPr>
        <w:t>That being the case, there is no basis for concluding that the applicant enjoys reasonable prospects of success and the application stands to be dismissed with costs.</w:t>
      </w:r>
    </w:p>
    <w:p w14:paraId="3AABA0D7" w14:textId="65F7AF9C" w:rsidR="000962CB" w:rsidRDefault="000962CB" w:rsidP="004A5838">
      <w:pPr>
        <w:rPr>
          <w:lang w:val="en-GB"/>
        </w:rPr>
      </w:pPr>
    </w:p>
    <w:p w14:paraId="6A18F31F" w14:textId="32F95794" w:rsidR="004A5838" w:rsidRDefault="004A5838" w:rsidP="004A5838">
      <w:pPr>
        <w:rPr>
          <w:b/>
          <w:bCs/>
          <w:lang w:val="en-GB"/>
        </w:rPr>
      </w:pPr>
      <w:r>
        <w:rPr>
          <w:b/>
          <w:bCs/>
          <w:lang w:val="en-GB"/>
        </w:rPr>
        <w:t>Order</w:t>
      </w:r>
    </w:p>
    <w:p w14:paraId="22A18D8D" w14:textId="77777777" w:rsidR="004A5838" w:rsidRPr="004A5838" w:rsidRDefault="004A5838" w:rsidP="004A5838">
      <w:pPr>
        <w:rPr>
          <w:b/>
          <w:bCs/>
          <w:lang w:val="en-GB"/>
        </w:rPr>
      </w:pPr>
    </w:p>
    <w:p w14:paraId="6625293B" w14:textId="2F2EC930" w:rsidR="000962CB" w:rsidRDefault="004A5838" w:rsidP="00682CE5">
      <w:pPr>
        <w:pStyle w:val="ListParagraph"/>
        <w:numPr>
          <w:ilvl w:val="0"/>
          <w:numId w:val="10"/>
        </w:numPr>
        <w:autoSpaceDE w:val="0"/>
        <w:autoSpaceDN w:val="0"/>
        <w:adjustRightInd w:val="0"/>
        <w:ind w:left="142" w:hanging="142"/>
        <w:jc w:val="both"/>
        <w:rPr>
          <w:lang w:val="en-GB"/>
        </w:rPr>
      </w:pPr>
      <w:r>
        <w:rPr>
          <w:lang w:val="en-GB"/>
        </w:rPr>
        <w:t>The application for leave to appeal is dismissed with costs.</w:t>
      </w:r>
    </w:p>
    <w:p w14:paraId="6E333FCF" w14:textId="77777777" w:rsidR="00784AD0" w:rsidRDefault="00784AD0" w:rsidP="00021501">
      <w:pPr>
        <w:rPr>
          <w:lang w:val="en-US"/>
        </w:rPr>
      </w:pPr>
    </w:p>
    <w:p w14:paraId="68BA419A" w14:textId="77777777" w:rsidR="00021501" w:rsidRDefault="00021501" w:rsidP="00021501">
      <w:pPr>
        <w:rPr>
          <w:lang w:val="en-US"/>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04EEEF0A" w14:textId="41F039E5" w:rsidR="007A7BBE" w:rsidRPr="00A87D38" w:rsidRDefault="007A7BBE" w:rsidP="00BC39EB">
      <w:pPr>
        <w:widowControl w:val="0"/>
        <w:ind w:left="4320" w:firstLine="720"/>
        <w:rPr>
          <w:spacing w:val="14"/>
          <w:kern w:val="2"/>
          <w:lang w:val="en-GB"/>
        </w:rPr>
      </w:pPr>
      <w:r w:rsidRPr="00A87D38">
        <w:rPr>
          <w:spacing w:val="14"/>
          <w:kern w:val="2"/>
          <w:lang w:val="en-GB"/>
        </w:rPr>
        <w:t>Heard:</w:t>
      </w:r>
      <w:r w:rsidR="00651E91">
        <w:rPr>
          <w:spacing w:val="14"/>
          <w:kern w:val="2"/>
          <w:lang w:val="en-GB"/>
        </w:rPr>
        <w:t>29 July 2022</w:t>
      </w:r>
    </w:p>
    <w:p w14:paraId="5D550954" w14:textId="4B5650E5" w:rsidR="007A7BBE" w:rsidRPr="00A87D38" w:rsidRDefault="007A7BBE" w:rsidP="00BC39EB">
      <w:pPr>
        <w:widowControl w:val="0"/>
        <w:ind w:left="4320" w:firstLine="720"/>
        <w:rPr>
          <w:spacing w:val="14"/>
          <w:kern w:val="2"/>
          <w:lang w:val="en-GB"/>
        </w:rPr>
      </w:pPr>
      <w:r w:rsidRPr="00A87D38">
        <w:rPr>
          <w:spacing w:val="14"/>
          <w:kern w:val="2"/>
          <w:lang w:val="en-GB"/>
        </w:rPr>
        <w:t>Delivered:</w:t>
      </w:r>
      <w:r w:rsidR="00651E91">
        <w:rPr>
          <w:spacing w:val="14"/>
          <w:kern w:val="2"/>
          <w:lang w:val="en-GB"/>
        </w:rPr>
        <w:t>10 August 2022</w:t>
      </w:r>
    </w:p>
    <w:p w14:paraId="398380BF" w14:textId="79C70A43" w:rsidR="007A7BBE" w:rsidRDefault="007A7BBE" w:rsidP="004A5151">
      <w:pPr>
        <w:autoSpaceDE w:val="0"/>
        <w:autoSpaceDN w:val="0"/>
        <w:adjustRightInd w:val="0"/>
        <w:jc w:val="both"/>
        <w:rPr>
          <w:lang w:val="en-GB"/>
        </w:rPr>
      </w:pPr>
    </w:p>
    <w:p w14:paraId="63E19743" w14:textId="4FE76E4F" w:rsidR="00651E91" w:rsidRDefault="00651E91" w:rsidP="004A5151">
      <w:pPr>
        <w:autoSpaceDE w:val="0"/>
        <w:autoSpaceDN w:val="0"/>
        <w:adjustRightInd w:val="0"/>
        <w:jc w:val="both"/>
        <w:rPr>
          <w:lang w:val="en-GB"/>
        </w:rPr>
      </w:pPr>
    </w:p>
    <w:p w14:paraId="7C7FAF9A" w14:textId="4AB5E882" w:rsidR="00651E91" w:rsidRDefault="00651E91" w:rsidP="004A5151">
      <w:pPr>
        <w:autoSpaceDE w:val="0"/>
        <w:autoSpaceDN w:val="0"/>
        <w:adjustRightInd w:val="0"/>
        <w:jc w:val="both"/>
        <w:rPr>
          <w:lang w:val="en-GB"/>
        </w:rPr>
      </w:pPr>
    </w:p>
    <w:p w14:paraId="3FA58EFB" w14:textId="174EF49A" w:rsidR="00651E91" w:rsidRDefault="00651E91" w:rsidP="004A5151">
      <w:pPr>
        <w:autoSpaceDE w:val="0"/>
        <w:autoSpaceDN w:val="0"/>
        <w:adjustRightInd w:val="0"/>
        <w:jc w:val="both"/>
        <w:rPr>
          <w:lang w:val="en-GB"/>
        </w:rPr>
      </w:pPr>
    </w:p>
    <w:p w14:paraId="4B0A7CCE" w14:textId="1373CAA5" w:rsidR="00651E91" w:rsidRDefault="00651E91" w:rsidP="004A5151">
      <w:pPr>
        <w:autoSpaceDE w:val="0"/>
        <w:autoSpaceDN w:val="0"/>
        <w:adjustRightInd w:val="0"/>
        <w:jc w:val="both"/>
        <w:rPr>
          <w:lang w:val="en-GB"/>
        </w:rPr>
      </w:pPr>
    </w:p>
    <w:p w14:paraId="5C31D4E3" w14:textId="0BDE5BD7" w:rsidR="00651E91" w:rsidRDefault="00651E91" w:rsidP="004A5151">
      <w:pPr>
        <w:autoSpaceDE w:val="0"/>
        <w:autoSpaceDN w:val="0"/>
        <w:adjustRightInd w:val="0"/>
        <w:jc w:val="both"/>
        <w:rPr>
          <w:lang w:val="en-GB"/>
        </w:rPr>
      </w:pPr>
    </w:p>
    <w:p w14:paraId="6C760AFD" w14:textId="54BBB355" w:rsidR="00E7536A" w:rsidRDefault="00E7536A" w:rsidP="004A5151">
      <w:pPr>
        <w:autoSpaceDE w:val="0"/>
        <w:autoSpaceDN w:val="0"/>
        <w:adjustRightInd w:val="0"/>
        <w:jc w:val="both"/>
        <w:rPr>
          <w:lang w:val="en-GB"/>
        </w:rPr>
      </w:pPr>
    </w:p>
    <w:p w14:paraId="3FDBA5BC" w14:textId="77777777" w:rsidR="00E7536A" w:rsidRDefault="00E7536A" w:rsidP="004A5151">
      <w:pPr>
        <w:autoSpaceDE w:val="0"/>
        <w:autoSpaceDN w:val="0"/>
        <w:adjustRightInd w:val="0"/>
        <w:jc w:val="both"/>
        <w:rPr>
          <w:lang w:val="en-GB"/>
        </w:rPr>
      </w:pPr>
    </w:p>
    <w:p w14:paraId="77FF1737" w14:textId="77777777" w:rsidR="00651E91" w:rsidRPr="00044B50" w:rsidRDefault="00651E91" w:rsidP="004A5151">
      <w:pPr>
        <w:autoSpaceDE w:val="0"/>
        <w:autoSpaceDN w:val="0"/>
        <w:adjustRightInd w:val="0"/>
        <w:jc w:val="both"/>
        <w:rPr>
          <w:lang w:val="en-GB"/>
        </w:rPr>
      </w:pPr>
    </w:p>
    <w:p w14:paraId="3CCB8DEE" w14:textId="77777777" w:rsidR="00651E91" w:rsidRDefault="00651E91" w:rsidP="00651E91">
      <w:pPr>
        <w:jc w:val="both"/>
        <w:rPr>
          <w:lang w:val="en-GB"/>
        </w:rPr>
      </w:pPr>
      <w:r w:rsidRPr="00044B50">
        <w:rPr>
          <w:lang w:val="en-GB"/>
        </w:rPr>
        <w:lastRenderedPageBreak/>
        <w:t>Appearances:</w:t>
      </w:r>
    </w:p>
    <w:p w14:paraId="6810C431" w14:textId="77777777" w:rsidR="00651E91" w:rsidRDefault="00651E91" w:rsidP="00651E91">
      <w:pPr>
        <w:rPr>
          <w:lang w:val="en-GB"/>
        </w:rPr>
      </w:pPr>
    </w:p>
    <w:p w14:paraId="664378BF" w14:textId="61C55ED7" w:rsidR="00651E91" w:rsidRPr="008E7830" w:rsidRDefault="00651E91" w:rsidP="00651E91">
      <w:pPr>
        <w:tabs>
          <w:tab w:val="left" w:pos="3261"/>
          <w:tab w:val="center" w:pos="4003"/>
        </w:tabs>
        <w:jc w:val="both"/>
        <w:rPr>
          <w:color w:val="auto"/>
        </w:rPr>
      </w:pPr>
      <w:r>
        <w:rPr>
          <w:color w:val="auto"/>
        </w:rPr>
        <w:t>Applicant’s Counsel:</w:t>
      </w:r>
      <w:r w:rsidRPr="008E7830">
        <w:rPr>
          <w:color w:val="auto"/>
        </w:rPr>
        <w:tab/>
      </w:r>
      <w:r>
        <w:rPr>
          <w:bCs/>
          <w:lang w:val="en-US"/>
        </w:rPr>
        <w:t>Adv L. Crouse</w:t>
      </w:r>
    </w:p>
    <w:p w14:paraId="457C1546" w14:textId="77777777" w:rsidR="00651E91" w:rsidRPr="008E7830" w:rsidRDefault="00651E91" w:rsidP="00651E91">
      <w:pPr>
        <w:tabs>
          <w:tab w:val="left" w:pos="3261"/>
          <w:tab w:val="center" w:pos="4003"/>
        </w:tabs>
        <w:jc w:val="both"/>
        <w:rPr>
          <w:color w:val="auto"/>
        </w:rPr>
      </w:pPr>
      <w:r w:rsidRPr="008E7830">
        <w:rPr>
          <w:color w:val="auto"/>
        </w:rPr>
        <w:tab/>
      </w:r>
    </w:p>
    <w:p w14:paraId="4448E8C2" w14:textId="77777777" w:rsidR="00651E91" w:rsidRDefault="00651E91" w:rsidP="00651E91">
      <w:pPr>
        <w:tabs>
          <w:tab w:val="left" w:pos="3261"/>
          <w:tab w:val="center" w:pos="4003"/>
        </w:tabs>
        <w:jc w:val="both"/>
        <w:rPr>
          <w:color w:val="auto"/>
        </w:rPr>
      </w:pPr>
      <w:r w:rsidRPr="008E7830">
        <w:rPr>
          <w:color w:val="auto"/>
        </w:rPr>
        <w:t xml:space="preserve">Instructed by                     :      </w:t>
      </w:r>
      <w:r>
        <w:rPr>
          <w:color w:val="auto"/>
        </w:rPr>
        <w:t xml:space="preserve">Cloete &amp; Company </w:t>
      </w:r>
    </w:p>
    <w:p w14:paraId="3C163B82" w14:textId="77777777" w:rsidR="00651E91" w:rsidRDefault="00651E91" w:rsidP="00651E91">
      <w:pPr>
        <w:tabs>
          <w:tab w:val="left" w:pos="3261"/>
          <w:tab w:val="center" w:pos="4003"/>
        </w:tabs>
        <w:jc w:val="both"/>
        <w:rPr>
          <w:color w:val="auto"/>
        </w:rPr>
      </w:pPr>
      <w:r>
        <w:rPr>
          <w:color w:val="auto"/>
        </w:rPr>
        <w:tab/>
        <w:t xml:space="preserve">12A High street </w:t>
      </w:r>
    </w:p>
    <w:p w14:paraId="3BF5CCAF" w14:textId="77777777" w:rsidR="00651E91" w:rsidRPr="008E7830" w:rsidRDefault="00651E91" w:rsidP="00651E91">
      <w:pPr>
        <w:tabs>
          <w:tab w:val="left" w:pos="3261"/>
          <w:tab w:val="center" w:pos="4003"/>
        </w:tabs>
        <w:jc w:val="both"/>
        <w:rPr>
          <w:color w:val="auto"/>
        </w:rPr>
      </w:pPr>
      <w:r>
        <w:rPr>
          <w:color w:val="auto"/>
        </w:rPr>
        <w:tab/>
        <w:t xml:space="preserve">Makhanda </w:t>
      </w:r>
    </w:p>
    <w:p w14:paraId="5FBA22F9" w14:textId="77777777" w:rsidR="00651E91" w:rsidRPr="008E7830" w:rsidRDefault="00651E91" w:rsidP="00651E91">
      <w:pPr>
        <w:tabs>
          <w:tab w:val="left" w:pos="3261"/>
          <w:tab w:val="center" w:pos="4003"/>
        </w:tabs>
        <w:jc w:val="both"/>
        <w:rPr>
          <w:color w:val="auto"/>
        </w:rPr>
      </w:pPr>
      <w:r w:rsidRPr="008E7830">
        <w:rPr>
          <w:color w:val="auto"/>
        </w:rPr>
        <w:tab/>
      </w:r>
      <w:r>
        <w:rPr>
          <w:color w:val="auto"/>
        </w:rPr>
        <w:tab/>
        <w:t>Email:admin@cloeteandco.za</w:t>
      </w:r>
    </w:p>
    <w:p w14:paraId="02DC9CA7" w14:textId="77777777" w:rsidR="00651E91" w:rsidRPr="008E7830" w:rsidRDefault="00651E91" w:rsidP="00651E91">
      <w:pPr>
        <w:tabs>
          <w:tab w:val="left" w:pos="3261"/>
          <w:tab w:val="left" w:pos="3402"/>
          <w:tab w:val="left" w:pos="3686"/>
          <w:tab w:val="center" w:pos="4003"/>
        </w:tabs>
        <w:jc w:val="both"/>
        <w:rPr>
          <w:color w:val="auto"/>
        </w:rPr>
      </w:pPr>
      <w:r w:rsidRPr="008E7830">
        <w:rPr>
          <w:color w:val="auto"/>
        </w:rPr>
        <w:t xml:space="preserve">                                         </w:t>
      </w:r>
    </w:p>
    <w:p w14:paraId="64725F40" w14:textId="1F595A30" w:rsidR="00651E91" w:rsidRPr="000472C2" w:rsidRDefault="00651E91" w:rsidP="00651E91">
      <w:pPr>
        <w:rPr>
          <w:b/>
          <w:bCs/>
          <w:lang w:val="en-US"/>
        </w:rPr>
      </w:pPr>
      <w:r>
        <w:rPr>
          <w:color w:val="auto"/>
        </w:rPr>
        <w:t>R</w:t>
      </w:r>
      <w:r w:rsidRPr="008E7830">
        <w:rPr>
          <w:color w:val="auto"/>
        </w:rPr>
        <w:t>espondent</w:t>
      </w:r>
      <w:r>
        <w:rPr>
          <w:color w:val="auto"/>
        </w:rPr>
        <w:t>’s Counsel</w:t>
      </w:r>
      <w:r w:rsidRPr="008E7830">
        <w:rPr>
          <w:color w:val="auto"/>
        </w:rPr>
        <w:t>:</w:t>
      </w:r>
      <w:r w:rsidRPr="008E7830">
        <w:rPr>
          <w:color w:val="auto"/>
        </w:rPr>
        <w:tab/>
      </w:r>
      <w:r>
        <w:rPr>
          <w:color w:val="auto"/>
        </w:rPr>
        <w:t xml:space="preserve">     </w:t>
      </w:r>
      <w:r>
        <w:rPr>
          <w:bCs/>
          <w:lang w:val="en-US"/>
        </w:rPr>
        <w:t xml:space="preserve">Adv </w:t>
      </w:r>
      <w:r w:rsidR="00AD1753">
        <w:rPr>
          <w:bCs/>
          <w:lang w:val="en-US"/>
        </w:rPr>
        <w:t xml:space="preserve">G. </w:t>
      </w:r>
      <w:r>
        <w:rPr>
          <w:bCs/>
          <w:lang w:val="en-US"/>
        </w:rPr>
        <w:t>Brown</w:t>
      </w:r>
    </w:p>
    <w:p w14:paraId="12BCF704" w14:textId="77777777" w:rsidR="00651E91" w:rsidRPr="008E7830" w:rsidRDefault="00651E91" w:rsidP="00651E91">
      <w:pPr>
        <w:tabs>
          <w:tab w:val="left" w:pos="3119"/>
          <w:tab w:val="center" w:pos="3989"/>
        </w:tabs>
        <w:rPr>
          <w:color w:val="auto"/>
        </w:rPr>
      </w:pPr>
      <w:r w:rsidRPr="008E7830">
        <w:rPr>
          <w:color w:val="auto"/>
        </w:rPr>
        <w:tab/>
        <w:t xml:space="preserve">  </w:t>
      </w:r>
    </w:p>
    <w:p w14:paraId="765D19FC" w14:textId="77777777" w:rsidR="00651E91" w:rsidRPr="008E7830" w:rsidRDefault="00651E91" w:rsidP="00651E91">
      <w:pPr>
        <w:tabs>
          <w:tab w:val="left" w:pos="3119"/>
          <w:tab w:val="center" w:pos="3989"/>
        </w:tabs>
        <w:rPr>
          <w:color w:val="auto"/>
        </w:rPr>
      </w:pPr>
      <w:r w:rsidRPr="008E7830">
        <w:rPr>
          <w:color w:val="auto"/>
        </w:rPr>
        <w:t>Instructed by               :</w:t>
      </w:r>
      <w:r w:rsidRPr="008E7830">
        <w:rPr>
          <w:color w:val="auto"/>
        </w:rPr>
        <w:tab/>
        <w:t xml:space="preserve">  </w:t>
      </w:r>
      <w:r>
        <w:rPr>
          <w:color w:val="auto"/>
        </w:rPr>
        <w:t>Wheeldon Rushmere &amp; Cole Inc.</w:t>
      </w:r>
    </w:p>
    <w:p w14:paraId="6CBAC7F6" w14:textId="77777777" w:rsidR="00651E91" w:rsidRDefault="00651E91" w:rsidP="00651E91">
      <w:pPr>
        <w:tabs>
          <w:tab w:val="left" w:pos="3119"/>
          <w:tab w:val="center" w:pos="3989"/>
        </w:tabs>
        <w:rPr>
          <w:color w:val="auto"/>
        </w:rPr>
      </w:pPr>
      <w:r w:rsidRPr="008E7830">
        <w:rPr>
          <w:color w:val="auto"/>
        </w:rPr>
        <w:tab/>
        <w:t xml:space="preserve">  </w:t>
      </w:r>
      <w:r>
        <w:rPr>
          <w:color w:val="auto"/>
        </w:rPr>
        <w:t>Matthew Fosi Chambers</w:t>
      </w:r>
    </w:p>
    <w:p w14:paraId="54962C77" w14:textId="77777777" w:rsidR="00651E91" w:rsidRPr="008E7830" w:rsidRDefault="00651E91" w:rsidP="00651E91">
      <w:pPr>
        <w:tabs>
          <w:tab w:val="left" w:pos="3261"/>
          <w:tab w:val="center" w:pos="3989"/>
        </w:tabs>
        <w:rPr>
          <w:color w:val="auto"/>
        </w:rPr>
      </w:pPr>
      <w:r>
        <w:rPr>
          <w:color w:val="auto"/>
        </w:rPr>
        <w:tab/>
      </w:r>
      <w:r>
        <w:rPr>
          <w:color w:val="auto"/>
        </w:rPr>
        <w:tab/>
        <w:t>119 High Street</w:t>
      </w:r>
    </w:p>
    <w:p w14:paraId="2034B410" w14:textId="77777777" w:rsidR="00651E91" w:rsidRDefault="00651E91" w:rsidP="00651E91">
      <w:pPr>
        <w:tabs>
          <w:tab w:val="left" w:pos="3261"/>
          <w:tab w:val="center" w:pos="3989"/>
        </w:tabs>
        <w:rPr>
          <w:color w:val="auto"/>
        </w:rPr>
      </w:pPr>
      <w:r w:rsidRPr="008E7830">
        <w:rPr>
          <w:color w:val="auto"/>
        </w:rPr>
        <w:t xml:space="preserve">                                                 </w:t>
      </w:r>
      <w:r>
        <w:rPr>
          <w:color w:val="auto"/>
        </w:rPr>
        <w:t>Makhanda</w:t>
      </w:r>
    </w:p>
    <w:p w14:paraId="20EC93B2" w14:textId="77777777" w:rsidR="00651E91" w:rsidRDefault="00651E91" w:rsidP="00651E91">
      <w:pPr>
        <w:tabs>
          <w:tab w:val="left" w:pos="3261"/>
          <w:tab w:val="center" w:pos="3989"/>
        </w:tabs>
        <w:rPr>
          <w:color w:val="auto"/>
        </w:rPr>
      </w:pPr>
      <w:r>
        <w:rPr>
          <w:color w:val="auto"/>
        </w:rPr>
        <w:tab/>
        <w:t>Email:sandra@wheeldon.co.za</w:t>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F49B" w14:textId="77777777" w:rsidR="00EE211C" w:rsidRDefault="00EE211C" w:rsidP="00005691">
      <w:r>
        <w:separator/>
      </w:r>
    </w:p>
  </w:endnote>
  <w:endnote w:type="continuationSeparator" w:id="0">
    <w:p w14:paraId="21E0219E" w14:textId="77777777" w:rsidR="00EE211C" w:rsidRDefault="00EE211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C349" w14:textId="77777777" w:rsidR="00EE211C" w:rsidRDefault="00EE211C" w:rsidP="00005691">
      <w:r>
        <w:separator/>
      </w:r>
    </w:p>
  </w:footnote>
  <w:footnote w:type="continuationSeparator" w:id="0">
    <w:p w14:paraId="16B8A0E4" w14:textId="77777777" w:rsidR="00EE211C" w:rsidRDefault="00EE211C" w:rsidP="00005691">
      <w:r>
        <w:continuationSeparator/>
      </w:r>
    </w:p>
  </w:footnote>
  <w:footnote w:id="1">
    <w:p w14:paraId="1F849D38" w14:textId="62997A2F" w:rsidR="0057260A" w:rsidRPr="0057260A" w:rsidRDefault="0057260A" w:rsidP="009833A3">
      <w:pPr>
        <w:pStyle w:val="FootnoteText"/>
        <w:spacing w:line="240" w:lineRule="auto"/>
        <w:jc w:val="both"/>
        <w:rPr>
          <w:lang w:val="en-US"/>
        </w:rPr>
      </w:pPr>
      <w:r>
        <w:rPr>
          <w:rStyle w:val="FootnoteReference"/>
        </w:rPr>
        <w:footnoteRef/>
      </w:r>
      <w:r>
        <w:t xml:space="preserve"> </w:t>
      </w:r>
      <w:r>
        <w:rPr>
          <w:i/>
          <w:iCs/>
        </w:rPr>
        <w:t>Gangat v Akoon</w:t>
      </w:r>
      <w:r>
        <w:t xml:space="preserve"> [2021] ZAGPJHC 828.</w:t>
      </w:r>
    </w:p>
  </w:footnote>
  <w:footnote w:id="2">
    <w:p w14:paraId="581657D0" w14:textId="1CEC35E6" w:rsidR="00DD13D7" w:rsidRPr="00DD13D7" w:rsidRDefault="00DD13D7" w:rsidP="009833A3">
      <w:pPr>
        <w:pStyle w:val="FootnoteText"/>
        <w:spacing w:line="240" w:lineRule="auto"/>
        <w:jc w:val="both"/>
        <w:rPr>
          <w:lang w:val="en-US"/>
        </w:rPr>
      </w:pPr>
      <w:r>
        <w:rPr>
          <w:rStyle w:val="FootnoteReference"/>
        </w:rPr>
        <w:footnoteRef/>
      </w:r>
      <w:r>
        <w:t xml:space="preserve"> </w:t>
      </w:r>
      <w:r w:rsidR="005C74F6">
        <w:rPr>
          <w:i/>
          <w:iCs/>
        </w:rPr>
        <w:t xml:space="preserve">Storti v Nugent and Others </w:t>
      </w:r>
      <w:r>
        <w:rPr>
          <w:lang w:val="en-US"/>
        </w:rPr>
        <w:t>2001 (3) SA 783 (W).</w:t>
      </w:r>
    </w:p>
  </w:footnote>
  <w:footnote w:id="3">
    <w:p w14:paraId="14AB8A99" w14:textId="4C4BF058" w:rsidR="003E1EC1" w:rsidRPr="003E1EC1" w:rsidRDefault="003E1EC1" w:rsidP="009833A3">
      <w:pPr>
        <w:pStyle w:val="FootnoteText"/>
        <w:spacing w:line="240" w:lineRule="auto"/>
        <w:jc w:val="both"/>
        <w:rPr>
          <w:lang w:val="en-US"/>
        </w:rPr>
      </w:pPr>
      <w:r>
        <w:rPr>
          <w:rStyle w:val="FootnoteReference"/>
        </w:rPr>
        <w:footnoteRef/>
      </w:r>
      <w:r>
        <w:t xml:space="preserve"> </w:t>
      </w:r>
      <w:r>
        <w:rPr>
          <w:i/>
          <w:iCs/>
          <w:lang w:val="en-US"/>
        </w:rPr>
        <w:t>Slabbert v MEC for Health and Social Development, Gauteng</w:t>
      </w:r>
      <w:r>
        <w:rPr>
          <w:lang w:val="en-US"/>
        </w:rPr>
        <w:t xml:space="preserve"> [2016] ZASCA 157. </w:t>
      </w:r>
    </w:p>
  </w:footnote>
  <w:footnote w:id="4">
    <w:p w14:paraId="3FBFDF26" w14:textId="41D802A4" w:rsidR="000C02D5" w:rsidRPr="000C02D5" w:rsidRDefault="000C02D5" w:rsidP="009833A3">
      <w:pPr>
        <w:pStyle w:val="FootnoteText"/>
        <w:spacing w:line="240" w:lineRule="auto"/>
        <w:jc w:val="both"/>
        <w:rPr>
          <w:lang w:val="en-US"/>
        </w:rPr>
      </w:pPr>
      <w:r>
        <w:rPr>
          <w:rStyle w:val="FootnoteReference"/>
        </w:rPr>
        <w:footnoteRef/>
      </w:r>
      <w:r>
        <w:t xml:space="preserve"> </w:t>
      </w:r>
      <w:r>
        <w:rPr>
          <w:i/>
          <w:iCs/>
        </w:rPr>
        <w:t xml:space="preserve">Moraitis Investments (Pty) Ltd and Others v Montic Dairy (Pty) Ltd and Others </w:t>
      </w:r>
      <w:r>
        <w:t>[2017] ZASCA 54; 2017 (5) SA 508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3178DA69"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2AF8">
          <w:rPr>
            <w:rStyle w:val="PageNumber"/>
            <w:noProof/>
          </w:rPr>
          <w:t>6</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6"/>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1501"/>
    <w:rsid w:val="000220C3"/>
    <w:rsid w:val="00022804"/>
    <w:rsid w:val="000235C6"/>
    <w:rsid w:val="00027DA3"/>
    <w:rsid w:val="00030A25"/>
    <w:rsid w:val="000323B0"/>
    <w:rsid w:val="000339BA"/>
    <w:rsid w:val="000341AF"/>
    <w:rsid w:val="00034B32"/>
    <w:rsid w:val="0003553E"/>
    <w:rsid w:val="0004040E"/>
    <w:rsid w:val="00040F79"/>
    <w:rsid w:val="00041923"/>
    <w:rsid w:val="000422CD"/>
    <w:rsid w:val="0004347D"/>
    <w:rsid w:val="0004373B"/>
    <w:rsid w:val="00044B50"/>
    <w:rsid w:val="000451D0"/>
    <w:rsid w:val="00047035"/>
    <w:rsid w:val="000478E8"/>
    <w:rsid w:val="0005061D"/>
    <w:rsid w:val="00051F6C"/>
    <w:rsid w:val="000536DD"/>
    <w:rsid w:val="00053D81"/>
    <w:rsid w:val="00054DEC"/>
    <w:rsid w:val="00056042"/>
    <w:rsid w:val="00056FBA"/>
    <w:rsid w:val="000574BF"/>
    <w:rsid w:val="00060154"/>
    <w:rsid w:val="00063188"/>
    <w:rsid w:val="00063C6E"/>
    <w:rsid w:val="00063D5A"/>
    <w:rsid w:val="00065E26"/>
    <w:rsid w:val="0007050F"/>
    <w:rsid w:val="0007234C"/>
    <w:rsid w:val="00073EFC"/>
    <w:rsid w:val="000778A4"/>
    <w:rsid w:val="00080D4E"/>
    <w:rsid w:val="00080E2E"/>
    <w:rsid w:val="000815F5"/>
    <w:rsid w:val="00083322"/>
    <w:rsid w:val="00083386"/>
    <w:rsid w:val="000833DB"/>
    <w:rsid w:val="00084C6F"/>
    <w:rsid w:val="00086278"/>
    <w:rsid w:val="00086A06"/>
    <w:rsid w:val="0009015D"/>
    <w:rsid w:val="000910CD"/>
    <w:rsid w:val="00091F8C"/>
    <w:rsid w:val="0009497C"/>
    <w:rsid w:val="000962CB"/>
    <w:rsid w:val="00096BC1"/>
    <w:rsid w:val="000976CA"/>
    <w:rsid w:val="000A59DC"/>
    <w:rsid w:val="000A6883"/>
    <w:rsid w:val="000B0946"/>
    <w:rsid w:val="000B0DC8"/>
    <w:rsid w:val="000B26AE"/>
    <w:rsid w:val="000B26CF"/>
    <w:rsid w:val="000B5790"/>
    <w:rsid w:val="000B5FBC"/>
    <w:rsid w:val="000B6309"/>
    <w:rsid w:val="000B643B"/>
    <w:rsid w:val="000B78EC"/>
    <w:rsid w:val="000C02D5"/>
    <w:rsid w:val="000C2D21"/>
    <w:rsid w:val="000C3531"/>
    <w:rsid w:val="000C3620"/>
    <w:rsid w:val="000C39A5"/>
    <w:rsid w:val="000C450C"/>
    <w:rsid w:val="000C7746"/>
    <w:rsid w:val="000C7A27"/>
    <w:rsid w:val="000D085B"/>
    <w:rsid w:val="000D0D78"/>
    <w:rsid w:val="000D22FB"/>
    <w:rsid w:val="000D487F"/>
    <w:rsid w:val="000D4BFA"/>
    <w:rsid w:val="000D51DA"/>
    <w:rsid w:val="000D667A"/>
    <w:rsid w:val="000E1C45"/>
    <w:rsid w:val="000E2444"/>
    <w:rsid w:val="000E3E15"/>
    <w:rsid w:val="000E4F0D"/>
    <w:rsid w:val="000E5100"/>
    <w:rsid w:val="000E7ECD"/>
    <w:rsid w:val="000F05E0"/>
    <w:rsid w:val="000F1A95"/>
    <w:rsid w:val="000F6BFE"/>
    <w:rsid w:val="000F7DF4"/>
    <w:rsid w:val="0010068E"/>
    <w:rsid w:val="0010218C"/>
    <w:rsid w:val="00102D5B"/>
    <w:rsid w:val="001044DB"/>
    <w:rsid w:val="00105EB6"/>
    <w:rsid w:val="0010622C"/>
    <w:rsid w:val="00106BAE"/>
    <w:rsid w:val="001078B5"/>
    <w:rsid w:val="00107A5F"/>
    <w:rsid w:val="0011026A"/>
    <w:rsid w:val="00110EF0"/>
    <w:rsid w:val="001124A5"/>
    <w:rsid w:val="00116EB9"/>
    <w:rsid w:val="00120E93"/>
    <w:rsid w:val="001226DE"/>
    <w:rsid w:val="00123296"/>
    <w:rsid w:val="0012621C"/>
    <w:rsid w:val="0012623A"/>
    <w:rsid w:val="001265B6"/>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72B5C"/>
    <w:rsid w:val="00173547"/>
    <w:rsid w:val="00174B6D"/>
    <w:rsid w:val="0017614D"/>
    <w:rsid w:val="001761E0"/>
    <w:rsid w:val="00176818"/>
    <w:rsid w:val="0018006A"/>
    <w:rsid w:val="00180F4E"/>
    <w:rsid w:val="00181923"/>
    <w:rsid w:val="00181E7E"/>
    <w:rsid w:val="00182175"/>
    <w:rsid w:val="00184625"/>
    <w:rsid w:val="00186769"/>
    <w:rsid w:val="001870AF"/>
    <w:rsid w:val="00191661"/>
    <w:rsid w:val="00191768"/>
    <w:rsid w:val="00191EC0"/>
    <w:rsid w:val="00192869"/>
    <w:rsid w:val="001943D2"/>
    <w:rsid w:val="001954F0"/>
    <w:rsid w:val="00195571"/>
    <w:rsid w:val="001955AB"/>
    <w:rsid w:val="00196742"/>
    <w:rsid w:val="001A2E07"/>
    <w:rsid w:val="001A4F33"/>
    <w:rsid w:val="001A6D2D"/>
    <w:rsid w:val="001B0D01"/>
    <w:rsid w:val="001B2578"/>
    <w:rsid w:val="001B2FE4"/>
    <w:rsid w:val="001B30CB"/>
    <w:rsid w:val="001B505F"/>
    <w:rsid w:val="001B69E3"/>
    <w:rsid w:val="001C04BC"/>
    <w:rsid w:val="001C2DD7"/>
    <w:rsid w:val="001C48A5"/>
    <w:rsid w:val="001C7061"/>
    <w:rsid w:val="001D0962"/>
    <w:rsid w:val="001D214B"/>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430F"/>
    <w:rsid w:val="00215EBC"/>
    <w:rsid w:val="0021730A"/>
    <w:rsid w:val="00217399"/>
    <w:rsid w:val="002203EC"/>
    <w:rsid w:val="00222854"/>
    <w:rsid w:val="00224363"/>
    <w:rsid w:val="0022594E"/>
    <w:rsid w:val="00226444"/>
    <w:rsid w:val="00226ADA"/>
    <w:rsid w:val="00227379"/>
    <w:rsid w:val="00231325"/>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6F5"/>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3903"/>
    <w:rsid w:val="0027474B"/>
    <w:rsid w:val="00274C64"/>
    <w:rsid w:val="00275410"/>
    <w:rsid w:val="00276100"/>
    <w:rsid w:val="00277EB6"/>
    <w:rsid w:val="00281581"/>
    <w:rsid w:val="002852C4"/>
    <w:rsid w:val="00285664"/>
    <w:rsid w:val="00287A18"/>
    <w:rsid w:val="00287A26"/>
    <w:rsid w:val="00290DC6"/>
    <w:rsid w:val="00290E92"/>
    <w:rsid w:val="002934EF"/>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54B7"/>
    <w:rsid w:val="002B6730"/>
    <w:rsid w:val="002B7874"/>
    <w:rsid w:val="002C1ECF"/>
    <w:rsid w:val="002C3A0D"/>
    <w:rsid w:val="002C45D8"/>
    <w:rsid w:val="002C7128"/>
    <w:rsid w:val="002D4CBC"/>
    <w:rsid w:val="002D6D70"/>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6288"/>
    <w:rsid w:val="003140F9"/>
    <w:rsid w:val="003148EA"/>
    <w:rsid w:val="003150CA"/>
    <w:rsid w:val="00315CB8"/>
    <w:rsid w:val="00315D8D"/>
    <w:rsid w:val="003168ED"/>
    <w:rsid w:val="003172EB"/>
    <w:rsid w:val="00317AB4"/>
    <w:rsid w:val="00321E11"/>
    <w:rsid w:val="003221C4"/>
    <w:rsid w:val="003228A7"/>
    <w:rsid w:val="00324CE8"/>
    <w:rsid w:val="00325BD4"/>
    <w:rsid w:val="00326A33"/>
    <w:rsid w:val="0032785C"/>
    <w:rsid w:val="00327E36"/>
    <w:rsid w:val="00330795"/>
    <w:rsid w:val="00330E85"/>
    <w:rsid w:val="0033219D"/>
    <w:rsid w:val="00334624"/>
    <w:rsid w:val="00335693"/>
    <w:rsid w:val="00335897"/>
    <w:rsid w:val="0033634C"/>
    <w:rsid w:val="0033669D"/>
    <w:rsid w:val="003367DD"/>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2FC1"/>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69D5"/>
    <w:rsid w:val="003905B9"/>
    <w:rsid w:val="0039206E"/>
    <w:rsid w:val="00392A4B"/>
    <w:rsid w:val="00392AA2"/>
    <w:rsid w:val="00393BA3"/>
    <w:rsid w:val="0039527F"/>
    <w:rsid w:val="00395A71"/>
    <w:rsid w:val="0039682A"/>
    <w:rsid w:val="003A37F4"/>
    <w:rsid w:val="003A4F1D"/>
    <w:rsid w:val="003A4F95"/>
    <w:rsid w:val="003A6F71"/>
    <w:rsid w:val="003A745C"/>
    <w:rsid w:val="003A7AA6"/>
    <w:rsid w:val="003B01D4"/>
    <w:rsid w:val="003B10EC"/>
    <w:rsid w:val="003B1570"/>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1EC1"/>
    <w:rsid w:val="003E2B73"/>
    <w:rsid w:val="003E2F03"/>
    <w:rsid w:val="003E3BBF"/>
    <w:rsid w:val="003E424A"/>
    <w:rsid w:val="003E75F3"/>
    <w:rsid w:val="003F0D9E"/>
    <w:rsid w:val="003F1974"/>
    <w:rsid w:val="003F2109"/>
    <w:rsid w:val="003F50FF"/>
    <w:rsid w:val="003F5900"/>
    <w:rsid w:val="003F6355"/>
    <w:rsid w:val="00400266"/>
    <w:rsid w:val="00401A9A"/>
    <w:rsid w:val="00402EEA"/>
    <w:rsid w:val="00405CEF"/>
    <w:rsid w:val="00406337"/>
    <w:rsid w:val="00406A00"/>
    <w:rsid w:val="004074B3"/>
    <w:rsid w:val="004075EA"/>
    <w:rsid w:val="00410C82"/>
    <w:rsid w:val="0041108E"/>
    <w:rsid w:val="00412DF2"/>
    <w:rsid w:val="004138F5"/>
    <w:rsid w:val="00413D22"/>
    <w:rsid w:val="00414C90"/>
    <w:rsid w:val="004165B0"/>
    <w:rsid w:val="004165D6"/>
    <w:rsid w:val="00421318"/>
    <w:rsid w:val="0042163E"/>
    <w:rsid w:val="00422BD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5772A"/>
    <w:rsid w:val="004627BA"/>
    <w:rsid w:val="004633AF"/>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6114"/>
    <w:rsid w:val="004863E4"/>
    <w:rsid w:val="00487264"/>
    <w:rsid w:val="00490D2A"/>
    <w:rsid w:val="0049105D"/>
    <w:rsid w:val="004918C4"/>
    <w:rsid w:val="004932A2"/>
    <w:rsid w:val="00496E8C"/>
    <w:rsid w:val="00496EAA"/>
    <w:rsid w:val="004A00B9"/>
    <w:rsid w:val="004A08D7"/>
    <w:rsid w:val="004A5151"/>
    <w:rsid w:val="004A5838"/>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35C6"/>
    <w:rsid w:val="004E06B4"/>
    <w:rsid w:val="004E189A"/>
    <w:rsid w:val="004E1A28"/>
    <w:rsid w:val="004E2076"/>
    <w:rsid w:val="004E318F"/>
    <w:rsid w:val="004E5A0A"/>
    <w:rsid w:val="004E6694"/>
    <w:rsid w:val="004E6764"/>
    <w:rsid w:val="004F021C"/>
    <w:rsid w:val="004F1757"/>
    <w:rsid w:val="004F1D20"/>
    <w:rsid w:val="004F326C"/>
    <w:rsid w:val="004F38A6"/>
    <w:rsid w:val="004F444A"/>
    <w:rsid w:val="004F5575"/>
    <w:rsid w:val="004F79D9"/>
    <w:rsid w:val="005014BC"/>
    <w:rsid w:val="00501617"/>
    <w:rsid w:val="00502229"/>
    <w:rsid w:val="005030DE"/>
    <w:rsid w:val="0050634D"/>
    <w:rsid w:val="005078B2"/>
    <w:rsid w:val="005079C1"/>
    <w:rsid w:val="00507BBF"/>
    <w:rsid w:val="00511260"/>
    <w:rsid w:val="00511565"/>
    <w:rsid w:val="0051172C"/>
    <w:rsid w:val="0051380C"/>
    <w:rsid w:val="00514878"/>
    <w:rsid w:val="0051706E"/>
    <w:rsid w:val="00517B3F"/>
    <w:rsid w:val="00520E7F"/>
    <w:rsid w:val="00523DBC"/>
    <w:rsid w:val="005244E9"/>
    <w:rsid w:val="00530509"/>
    <w:rsid w:val="00532080"/>
    <w:rsid w:val="005344D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A0D"/>
    <w:rsid w:val="0057260A"/>
    <w:rsid w:val="005754FC"/>
    <w:rsid w:val="00575F9C"/>
    <w:rsid w:val="00576979"/>
    <w:rsid w:val="00577D50"/>
    <w:rsid w:val="00580D85"/>
    <w:rsid w:val="005813AC"/>
    <w:rsid w:val="00582AF8"/>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C74F6"/>
    <w:rsid w:val="005D0320"/>
    <w:rsid w:val="005D0B78"/>
    <w:rsid w:val="005D25D6"/>
    <w:rsid w:val="005D3407"/>
    <w:rsid w:val="005D3941"/>
    <w:rsid w:val="005D411A"/>
    <w:rsid w:val="005D47C3"/>
    <w:rsid w:val="005D5E9D"/>
    <w:rsid w:val="005D6BF3"/>
    <w:rsid w:val="005D6D77"/>
    <w:rsid w:val="005E2F30"/>
    <w:rsid w:val="005E3541"/>
    <w:rsid w:val="005E560B"/>
    <w:rsid w:val="005E601A"/>
    <w:rsid w:val="005F03D5"/>
    <w:rsid w:val="005F04A5"/>
    <w:rsid w:val="005F158C"/>
    <w:rsid w:val="005F236B"/>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5D2D"/>
    <w:rsid w:val="006271A4"/>
    <w:rsid w:val="00630138"/>
    <w:rsid w:val="006313FC"/>
    <w:rsid w:val="006332F2"/>
    <w:rsid w:val="00634B17"/>
    <w:rsid w:val="00637A17"/>
    <w:rsid w:val="00641035"/>
    <w:rsid w:val="00641661"/>
    <w:rsid w:val="00644FB0"/>
    <w:rsid w:val="006476E6"/>
    <w:rsid w:val="006509EC"/>
    <w:rsid w:val="00650EE2"/>
    <w:rsid w:val="006511A4"/>
    <w:rsid w:val="006513E2"/>
    <w:rsid w:val="00651916"/>
    <w:rsid w:val="00651DE7"/>
    <w:rsid w:val="00651E91"/>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47D"/>
    <w:rsid w:val="00685DAD"/>
    <w:rsid w:val="0068615D"/>
    <w:rsid w:val="0068675A"/>
    <w:rsid w:val="0069106B"/>
    <w:rsid w:val="00691AF2"/>
    <w:rsid w:val="00691CB2"/>
    <w:rsid w:val="00694527"/>
    <w:rsid w:val="0069550C"/>
    <w:rsid w:val="00697465"/>
    <w:rsid w:val="00697EB1"/>
    <w:rsid w:val="006A2310"/>
    <w:rsid w:val="006A2706"/>
    <w:rsid w:val="006A498B"/>
    <w:rsid w:val="006B150C"/>
    <w:rsid w:val="006B1DCE"/>
    <w:rsid w:val="006B42B2"/>
    <w:rsid w:val="006B5D87"/>
    <w:rsid w:val="006B6180"/>
    <w:rsid w:val="006B692B"/>
    <w:rsid w:val="006C0F65"/>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23B6"/>
    <w:rsid w:val="00724B29"/>
    <w:rsid w:val="00727A78"/>
    <w:rsid w:val="00730A5A"/>
    <w:rsid w:val="00731207"/>
    <w:rsid w:val="0073167E"/>
    <w:rsid w:val="00734430"/>
    <w:rsid w:val="00735357"/>
    <w:rsid w:val="0074053C"/>
    <w:rsid w:val="00743D4D"/>
    <w:rsid w:val="00743EB1"/>
    <w:rsid w:val="0074485F"/>
    <w:rsid w:val="007451A8"/>
    <w:rsid w:val="00745BF2"/>
    <w:rsid w:val="00745E2B"/>
    <w:rsid w:val="00746757"/>
    <w:rsid w:val="007475D9"/>
    <w:rsid w:val="00747D1E"/>
    <w:rsid w:val="00751ADD"/>
    <w:rsid w:val="007520F6"/>
    <w:rsid w:val="007532C0"/>
    <w:rsid w:val="00756020"/>
    <w:rsid w:val="00756098"/>
    <w:rsid w:val="00757106"/>
    <w:rsid w:val="00757F3C"/>
    <w:rsid w:val="00762065"/>
    <w:rsid w:val="007631E0"/>
    <w:rsid w:val="00763628"/>
    <w:rsid w:val="00763BF3"/>
    <w:rsid w:val="00764F87"/>
    <w:rsid w:val="00767A6B"/>
    <w:rsid w:val="00771094"/>
    <w:rsid w:val="00771421"/>
    <w:rsid w:val="007719F2"/>
    <w:rsid w:val="00772E4B"/>
    <w:rsid w:val="007744D5"/>
    <w:rsid w:val="0077459E"/>
    <w:rsid w:val="00775448"/>
    <w:rsid w:val="00775FE4"/>
    <w:rsid w:val="0077676B"/>
    <w:rsid w:val="0078027B"/>
    <w:rsid w:val="00782782"/>
    <w:rsid w:val="007841E0"/>
    <w:rsid w:val="00784AD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07086"/>
    <w:rsid w:val="00810336"/>
    <w:rsid w:val="0081156D"/>
    <w:rsid w:val="00811B30"/>
    <w:rsid w:val="00812D95"/>
    <w:rsid w:val="00813448"/>
    <w:rsid w:val="00814EDE"/>
    <w:rsid w:val="0081612B"/>
    <w:rsid w:val="00816ED1"/>
    <w:rsid w:val="00821963"/>
    <w:rsid w:val="00821D82"/>
    <w:rsid w:val="008230F2"/>
    <w:rsid w:val="00823442"/>
    <w:rsid w:val="008242ED"/>
    <w:rsid w:val="00826F56"/>
    <w:rsid w:val="008276BB"/>
    <w:rsid w:val="00830F6A"/>
    <w:rsid w:val="00832EA6"/>
    <w:rsid w:val="00832FD6"/>
    <w:rsid w:val="0083336E"/>
    <w:rsid w:val="00834066"/>
    <w:rsid w:val="008343B4"/>
    <w:rsid w:val="00837B9A"/>
    <w:rsid w:val="00837E1F"/>
    <w:rsid w:val="008405CE"/>
    <w:rsid w:val="008405CF"/>
    <w:rsid w:val="00841726"/>
    <w:rsid w:val="008426AA"/>
    <w:rsid w:val="0084295A"/>
    <w:rsid w:val="0084393F"/>
    <w:rsid w:val="00846269"/>
    <w:rsid w:val="00851511"/>
    <w:rsid w:val="008536CA"/>
    <w:rsid w:val="008547C2"/>
    <w:rsid w:val="00854A89"/>
    <w:rsid w:val="00854D57"/>
    <w:rsid w:val="00855355"/>
    <w:rsid w:val="008557C2"/>
    <w:rsid w:val="00855F97"/>
    <w:rsid w:val="0086080D"/>
    <w:rsid w:val="008634DE"/>
    <w:rsid w:val="008647BD"/>
    <w:rsid w:val="008665C4"/>
    <w:rsid w:val="0086751C"/>
    <w:rsid w:val="008677E3"/>
    <w:rsid w:val="00867B32"/>
    <w:rsid w:val="00870B41"/>
    <w:rsid w:val="0087195C"/>
    <w:rsid w:val="00873C6E"/>
    <w:rsid w:val="00873EB9"/>
    <w:rsid w:val="00875D5A"/>
    <w:rsid w:val="00875F1E"/>
    <w:rsid w:val="00880351"/>
    <w:rsid w:val="0088086C"/>
    <w:rsid w:val="00882735"/>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BFC"/>
    <w:rsid w:val="008A7CF7"/>
    <w:rsid w:val="008A7FAD"/>
    <w:rsid w:val="008B100F"/>
    <w:rsid w:val="008B1DA6"/>
    <w:rsid w:val="008B3660"/>
    <w:rsid w:val="008C210D"/>
    <w:rsid w:val="008C3E59"/>
    <w:rsid w:val="008C480D"/>
    <w:rsid w:val="008C4C45"/>
    <w:rsid w:val="008C651B"/>
    <w:rsid w:val="008C7138"/>
    <w:rsid w:val="008D2564"/>
    <w:rsid w:val="008D3C26"/>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AA7"/>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4D31"/>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37E6"/>
    <w:rsid w:val="0097492C"/>
    <w:rsid w:val="00974E2D"/>
    <w:rsid w:val="009754F6"/>
    <w:rsid w:val="00975DB5"/>
    <w:rsid w:val="00976DCD"/>
    <w:rsid w:val="00976F0D"/>
    <w:rsid w:val="0098066C"/>
    <w:rsid w:val="009812F2"/>
    <w:rsid w:val="009814B0"/>
    <w:rsid w:val="00981871"/>
    <w:rsid w:val="009833A3"/>
    <w:rsid w:val="00984181"/>
    <w:rsid w:val="0098571F"/>
    <w:rsid w:val="00987780"/>
    <w:rsid w:val="0099005D"/>
    <w:rsid w:val="00992B0D"/>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E3C"/>
    <w:rsid w:val="009C4F54"/>
    <w:rsid w:val="009C5271"/>
    <w:rsid w:val="009C540A"/>
    <w:rsid w:val="009C63A4"/>
    <w:rsid w:val="009C63D5"/>
    <w:rsid w:val="009C6B5F"/>
    <w:rsid w:val="009C787C"/>
    <w:rsid w:val="009C7FC6"/>
    <w:rsid w:val="009D161A"/>
    <w:rsid w:val="009D1693"/>
    <w:rsid w:val="009D1BCC"/>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914"/>
    <w:rsid w:val="00A12EEB"/>
    <w:rsid w:val="00A14173"/>
    <w:rsid w:val="00A167B8"/>
    <w:rsid w:val="00A17060"/>
    <w:rsid w:val="00A17ED7"/>
    <w:rsid w:val="00A20492"/>
    <w:rsid w:val="00A2185E"/>
    <w:rsid w:val="00A21919"/>
    <w:rsid w:val="00A26381"/>
    <w:rsid w:val="00A31C08"/>
    <w:rsid w:val="00A32889"/>
    <w:rsid w:val="00A331C2"/>
    <w:rsid w:val="00A364BD"/>
    <w:rsid w:val="00A36A40"/>
    <w:rsid w:val="00A36D42"/>
    <w:rsid w:val="00A414A1"/>
    <w:rsid w:val="00A41BC0"/>
    <w:rsid w:val="00A42893"/>
    <w:rsid w:val="00A42906"/>
    <w:rsid w:val="00A43E5D"/>
    <w:rsid w:val="00A45490"/>
    <w:rsid w:val="00A4723D"/>
    <w:rsid w:val="00A47250"/>
    <w:rsid w:val="00A472F1"/>
    <w:rsid w:val="00A5180C"/>
    <w:rsid w:val="00A521EE"/>
    <w:rsid w:val="00A5427C"/>
    <w:rsid w:val="00A54D75"/>
    <w:rsid w:val="00A603C3"/>
    <w:rsid w:val="00A61267"/>
    <w:rsid w:val="00A63829"/>
    <w:rsid w:val="00A64250"/>
    <w:rsid w:val="00A64FD8"/>
    <w:rsid w:val="00A6550F"/>
    <w:rsid w:val="00A67443"/>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249E"/>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753"/>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2720D"/>
    <w:rsid w:val="00B30BDA"/>
    <w:rsid w:val="00B30C98"/>
    <w:rsid w:val="00B32AE8"/>
    <w:rsid w:val="00B3323A"/>
    <w:rsid w:val="00B34ECD"/>
    <w:rsid w:val="00B36696"/>
    <w:rsid w:val="00B418D6"/>
    <w:rsid w:val="00B446F9"/>
    <w:rsid w:val="00B50382"/>
    <w:rsid w:val="00B512A3"/>
    <w:rsid w:val="00B51F04"/>
    <w:rsid w:val="00B52F5E"/>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C0A20"/>
    <w:rsid w:val="00BC2139"/>
    <w:rsid w:val="00BC21A0"/>
    <w:rsid w:val="00BC39EB"/>
    <w:rsid w:val="00BC4EF3"/>
    <w:rsid w:val="00BC77C0"/>
    <w:rsid w:val="00BD0B25"/>
    <w:rsid w:val="00BD234D"/>
    <w:rsid w:val="00BD2561"/>
    <w:rsid w:val="00BD3094"/>
    <w:rsid w:val="00BD5DCD"/>
    <w:rsid w:val="00BD616D"/>
    <w:rsid w:val="00BD6C4D"/>
    <w:rsid w:val="00BE0997"/>
    <w:rsid w:val="00BE168E"/>
    <w:rsid w:val="00BE1907"/>
    <w:rsid w:val="00BE1A97"/>
    <w:rsid w:val="00BE3AF3"/>
    <w:rsid w:val="00BE485B"/>
    <w:rsid w:val="00BE6A74"/>
    <w:rsid w:val="00BE7D08"/>
    <w:rsid w:val="00BF0840"/>
    <w:rsid w:val="00BF0DFF"/>
    <w:rsid w:val="00BF22B8"/>
    <w:rsid w:val="00BF2603"/>
    <w:rsid w:val="00BF51CE"/>
    <w:rsid w:val="00BF6541"/>
    <w:rsid w:val="00C01285"/>
    <w:rsid w:val="00C01A0D"/>
    <w:rsid w:val="00C028D9"/>
    <w:rsid w:val="00C036E4"/>
    <w:rsid w:val="00C038B8"/>
    <w:rsid w:val="00C03B35"/>
    <w:rsid w:val="00C06574"/>
    <w:rsid w:val="00C06F31"/>
    <w:rsid w:val="00C116FC"/>
    <w:rsid w:val="00C11EE9"/>
    <w:rsid w:val="00C12B8C"/>
    <w:rsid w:val="00C155D9"/>
    <w:rsid w:val="00C2211D"/>
    <w:rsid w:val="00C2344F"/>
    <w:rsid w:val="00C246F2"/>
    <w:rsid w:val="00C26707"/>
    <w:rsid w:val="00C27719"/>
    <w:rsid w:val="00C31BCD"/>
    <w:rsid w:val="00C320EB"/>
    <w:rsid w:val="00C32F7B"/>
    <w:rsid w:val="00C3513F"/>
    <w:rsid w:val="00C355AA"/>
    <w:rsid w:val="00C36223"/>
    <w:rsid w:val="00C40725"/>
    <w:rsid w:val="00C4207E"/>
    <w:rsid w:val="00C451A3"/>
    <w:rsid w:val="00C4577E"/>
    <w:rsid w:val="00C50C8F"/>
    <w:rsid w:val="00C51156"/>
    <w:rsid w:val="00C53FD7"/>
    <w:rsid w:val="00C55C61"/>
    <w:rsid w:val="00C57047"/>
    <w:rsid w:val="00C63014"/>
    <w:rsid w:val="00C64F44"/>
    <w:rsid w:val="00C650ED"/>
    <w:rsid w:val="00C65132"/>
    <w:rsid w:val="00C65F6A"/>
    <w:rsid w:val="00C67F3E"/>
    <w:rsid w:val="00C70CD5"/>
    <w:rsid w:val="00C7216F"/>
    <w:rsid w:val="00C730E4"/>
    <w:rsid w:val="00C73BB8"/>
    <w:rsid w:val="00C74CC5"/>
    <w:rsid w:val="00C76B48"/>
    <w:rsid w:val="00C76CC4"/>
    <w:rsid w:val="00C77815"/>
    <w:rsid w:val="00C823C5"/>
    <w:rsid w:val="00C82D42"/>
    <w:rsid w:val="00C82E53"/>
    <w:rsid w:val="00C8322A"/>
    <w:rsid w:val="00C83583"/>
    <w:rsid w:val="00C84B12"/>
    <w:rsid w:val="00C869BC"/>
    <w:rsid w:val="00C8737E"/>
    <w:rsid w:val="00C9243B"/>
    <w:rsid w:val="00C953C0"/>
    <w:rsid w:val="00C9644C"/>
    <w:rsid w:val="00C96E5A"/>
    <w:rsid w:val="00C97ACC"/>
    <w:rsid w:val="00CA181F"/>
    <w:rsid w:val="00CA2A54"/>
    <w:rsid w:val="00CA3219"/>
    <w:rsid w:val="00CB01EB"/>
    <w:rsid w:val="00CB0DFA"/>
    <w:rsid w:val="00CB250C"/>
    <w:rsid w:val="00CB34D5"/>
    <w:rsid w:val="00CB6CB0"/>
    <w:rsid w:val="00CC134C"/>
    <w:rsid w:val="00CC36F9"/>
    <w:rsid w:val="00CC3E8F"/>
    <w:rsid w:val="00CD0BA2"/>
    <w:rsid w:val="00CD18DE"/>
    <w:rsid w:val="00CD643B"/>
    <w:rsid w:val="00CE0D42"/>
    <w:rsid w:val="00CE19D1"/>
    <w:rsid w:val="00CE23EF"/>
    <w:rsid w:val="00CE6197"/>
    <w:rsid w:val="00CE6490"/>
    <w:rsid w:val="00CE6BEE"/>
    <w:rsid w:val="00CE702E"/>
    <w:rsid w:val="00CE7723"/>
    <w:rsid w:val="00CF088A"/>
    <w:rsid w:val="00CF1AEC"/>
    <w:rsid w:val="00CF38F2"/>
    <w:rsid w:val="00CF3A20"/>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A18"/>
    <w:rsid w:val="00D31D6C"/>
    <w:rsid w:val="00D32B3D"/>
    <w:rsid w:val="00D33C8D"/>
    <w:rsid w:val="00D37148"/>
    <w:rsid w:val="00D37A00"/>
    <w:rsid w:val="00D37E03"/>
    <w:rsid w:val="00D40860"/>
    <w:rsid w:val="00D40930"/>
    <w:rsid w:val="00D4280D"/>
    <w:rsid w:val="00D42B76"/>
    <w:rsid w:val="00D43787"/>
    <w:rsid w:val="00D447D8"/>
    <w:rsid w:val="00D450B5"/>
    <w:rsid w:val="00D45623"/>
    <w:rsid w:val="00D45942"/>
    <w:rsid w:val="00D45968"/>
    <w:rsid w:val="00D468AF"/>
    <w:rsid w:val="00D470FA"/>
    <w:rsid w:val="00D47F57"/>
    <w:rsid w:val="00D50983"/>
    <w:rsid w:val="00D53B35"/>
    <w:rsid w:val="00D5648F"/>
    <w:rsid w:val="00D56E3B"/>
    <w:rsid w:val="00D57CC2"/>
    <w:rsid w:val="00D616EC"/>
    <w:rsid w:val="00D648BA"/>
    <w:rsid w:val="00D66A4D"/>
    <w:rsid w:val="00D724E1"/>
    <w:rsid w:val="00D740AC"/>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0CC9"/>
    <w:rsid w:val="00DA38F9"/>
    <w:rsid w:val="00DA66B9"/>
    <w:rsid w:val="00DA776D"/>
    <w:rsid w:val="00DA7AAB"/>
    <w:rsid w:val="00DB0815"/>
    <w:rsid w:val="00DB1859"/>
    <w:rsid w:val="00DB269E"/>
    <w:rsid w:val="00DB6676"/>
    <w:rsid w:val="00DC2ABE"/>
    <w:rsid w:val="00DC59DE"/>
    <w:rsid w:val="00DC7217"/>
    <w:rsid w:val="00DC79BB"/>
    <w:rsid w:val="00DD11EB"/>
    <w:rsid w:val="00DD13D7"/>
    <w:rsid w:val="00DD1B8B"/>
    <w:rsid w:val="00DD1F32"/>
    <w:rsid w:val="00DD23D6"/>
    <w:rsid w:val="00DD4855"/>
    <w:rsid w:val="00DD75C4"/>
    <w:rsid w:val="00DE1FBA"/>
    <w:rsid w:val="00DE4550"/>
    <w:rsid w:val="00DE55DE"/>
    <w:rsid w:val="00DE5968"/>
    <w:rsid w:val="00DE6A2A"/>
    <w:rsid w:val="00DF1227"/>
    <w:rsid w:val="00DF131F"/>
    <w:rsid w:val="00DF2390"/>
    <w:rsid w:val="00DF2C98"/>
    <w:rsid w:val="00DF77FD"/>
    <w:rsid w:val="00DF7AB6"/>
    <w:rsid w:val="00E00DCA"/>
    <w:rsid w:val="00E033B7"/>
    <w:rsid w:val="00E038DB"/>
    <w:rsid w:val="00E04FFB"/>
    <w:rsid w:val="00E05EEE"/>
    <w:rsid w:val="00E065DD"/>
    <w:rsid w:val="00E075A8"/>
    <w:rsid w:val="00E07D5A"/>
    <w:rsid w:val="00E105EE"/>
    <w:rsid w:val="00E10D91"/>
    <w:rsid w:val="00E10FA5"/>
    <w:rsid w:val="00E134FC"/>
    <w:rsid w:val="00E1436B"/>
    <w:rsid w:val="00E14F22"/>
    <w:rsid w:val="00E151BD"/>
    <w:rsid w:val="00E170FA"/>
    <w:rsid w:val="00E2020E"/>
    <w:rsid w:val="00E20D15"/>
    <w:rsid w:val="00E21B29"/>
    <w:rsid w:val="00E25A13"/>
    <w:rsid w:val="00E26F75"/>
    <w:rsid w:val="00E27655"/>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36A"/>
    <w:rsid w:val="00E75FF6"/>
    <w:rsid w:val="00E77A6F"/>
    <w:rsid w:val="00E77EA1"/>
    <w:rsid w:val="00E8390A"/>
    <w:rsid w:val="00E83A3B"/>
    <w:rsid w:val="00E901D7"/>
    <w:rsid w:val="00E9172D"/>
    <w:rsid w:val="00E91BD8"/>
    <w:rsid w:val="00E922BE"/>
    <w:rsid w:val="00E9258D"/>
    <w:rsid w:val="00E9268E"/>
    <w:rsid w:val="00E92B00"/>
    <w:rsid w:val="00E9368B"/>
    <w:rsid w:val="00E94D9A"/>
    <w:rsid w:val="00E953FA"/>
    <w:rsid w:val="00E97E28"/>
    <w:rsid w:val="00EA1435"/>
    <w:rsid w:val="00EA484D"/>
    <w:rsid w:val="00EA4A96"/>
    <w:rsid w:val="00EA59FA"/>
    <w:rsid w:val="00EA7642"/>
    <w:rsid w:val="00EB1A14"/>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211C"/>
    <w:rsid w:val="00EE3F56"/>
    <w:rsid w:val="00EE4BB2"/>
    <w:rsid w:val="00EE560A"/>
    <w:rsid w:val="00EE6B47"/>
    <w:rsid w:val="00EE733B"/>
    <w:rsid w:val="00EE7B6D"/>
    <w:rsid w:val="00EF13A5"/>
    <w:rsid w:val="00EF1724"/>
    <w:rsid w:val="00EF1AA9"/>
    <w:rsid w:val="00EF1B4E"/>
    <w:rsid w:val="00EF1CC2"/>
    <w:rsid w:val="00EF5079"/>
    <w:rsid w:val="00EF788B"/>
    <w:rsid w:val="00EF7A77"/>
    <w:rsid w:val="00EF7DE3"/>
    <w:rsid w:val="00F006C9"/>
    <w:rsid w:val="00F02F54"/>
    <w:rsid w:val="00F03638"/>
    <w:rsid w:val="00F039ED"/>
    <w:rsid w:val="00F03F16"/>
    <w:rsid w:val="00F0620D"/>
    <w:rsid w:val="00F07ECC"/>
    <w:rsid w:val="00F07FF9"/>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48DD"/>
    <w:rsid w:val="00F45E5A"/>
    <w:rsid w:val="00F5474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90290"/>
    <w:rsid w:val="00F915B8"/>
    <w:rsid w:val="00F91B3B"/>
    <w:rsid w:val="00F94EC0"/>
    <w:rsid w:val="00F976C6"/>
    <w:rsid w:val="00FA0C52"/>
    <w:rsid w:val="00FA215D"/>
    <w:rsid w:val="00FA2451"/>
    <w:rsid w:val="00FA457D"/>
    <w:rsid w:val="00FA6E33"/>
    <w:rsid w:val="00FA72B1"/>
    <w:rsid w:val="00FB2360"/>
    <w:rsid w:val="00FC479C"/>
    <w:rsid w:val="00FC6E57"/>
    <w:rsid w:val="00FC7151"/>
    <w:rsid w:val="00FD0C02"/>
    <w:rsid w:val="00FD0E3A"/>
    <w:rsid w:val="00FD1FCF"/>
    <w:rsid w:val="00FD282F"/>
    <w:rsid w:val="00FD6EAA"/>
    <w:rsid w:val="00FE0ABB"/>
    <w:rsid w:val="00FE141F"/>
    <w:rsid w:val="00FE20F0"/>
    <w:rsid w:val="00FE7911"/>
    <w:rsid w:val="00FF1735"/>
    <w:rsid w:val="00FF31C9"/>
    <w:rsid w:val="00FF3D51"/>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0264-E9A7-4F22-87E3-7F0F2721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2022-08-14T11:02:00Z</dcterms:created>
  <dcterms:modified xsi:type="dcterms:W3CDTF">2022-08-14T11:02:00Z</dcterms:modified>
</cp:coreProperties>
</file>