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BC" w:rsidRDefault="009203BC" w:rsidP="009203BC">
      <w:pPr>
        <w:spacing w:line="360" w:lineRule="auto"/>
        <w:jc w:val="center"/>
        <w:rPr>
          <w:rFonts w:ascii="Times New Roman" w:hAnsi="Times New Roman" w:cs="Times New Roman"/>
          <w:sz w:val="28"/>
          <w:szCs w:val="28"/>
        </w:rPr>
      </w:pPr>
      <w:bookmarkStart w:id="0" w:name="_GoBack"/>
      <w:bookmarkEnd w:id="0"/>
      <w:r>
        <w:rPr>
          <w:noProof/>
          <w:lang w:eastAsia="en-ZA"/>
        </w:rPr>
        <w:drawing>
          <wp:inline distT="0" distB="0" distL="0" distR="0" wp14:anchorId="4EB35912" wp14:editId="516CE4D3">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9203BC" w:rsidRDefault="009203BC" w:rsidP="009203BC">
      <w:pPr>
        <w:spacing w:line="360" w:lineRule="auto"/>
        <w:jc w:val="center"/>
        <w:rPr>
          <w:rFonts w:ascii="Times New Roman" w:hAnsi="Times New Roman" w:cs="Times New Roman"/>
          <w:sz w:val="28"/>
          <w:szCs w:val="28"/>
        </w:rPr>
      </w:pPr>
    </w:p>
    <w:p w:rsidR="009203BC" w:rsidRPr="00701B17" w:rsidRDefault="009203BC" w:rsidP="009203BC">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rsidR="009203BC" w:rsidRPr="00701B17" w:rsidRDefault="009203BC" w:rsidP="009203BC">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rsidR="009203BC" w:rsidRDefault="009203BC" w:rsidP="009203BC">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rsidR="009203BC" w:rsidRPr="00701B17" w:rsidRDefault="009203BC" w:rsidP="009203BC">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sidR="00EF70C2">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Pr>
          <w:rFonts w:ascii="Times New Roman" w:hAnsi="Times New Roman" w:cs="Times New Roman"/>
          <w:b/>
          <w:sz w:val="28"/>
          <w:szCs w:val="28"/>
        </w:rPr>
        <w:t>632/2020</w:t>
      </w:r>
    </w:p>
    <w:p w:rsidR="009203BC" w:rsidRDefault="009203BC" w:rsidP="009203BC">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9203BC" w:rsidRDefault="009203BC" w:rsidP="009203BC">
      <w:pPr>
        <w:spacing w:line="360" w:lineRule="auto"/>
        <w:jc w:val="both"/>
        <w:rPr>
          <w:rFonts w:ascii="Times New Roman" w:hAnsi="Times New Roman" w:cs="Times New Roman"/>
          <w:sz w:val="28"/>
          <w:szCs w:val="28"/>
        </w:rPr>
      </w:pPr>
    </w:p>
    <w:p w:rsidR="009203BC" w:rsidRDefault="009203BC" w:rsidP="009203BC">
      <w:pPr>
        <w:spacing w:line="360" w:lineRule="auto"/>
        <w:jc w:val="both"/>
        <w:rPr>
          <w:rFonts w:ascii="Times New Roman" w:hAnsi="Times New Roman" w:cs="Times New Roman"/>
          <w:sz w:val="28"/>
          <w:szCs w:val="28"/>
        </w:rPr>
      </w:pPr>
      <w:r>
        <w:rPr>
          <w:rFonts w:ascii="Times New Roman" w:hAnsi="Times New Roman" w:cs="Times New Roman"/>
          <w:b/>
          <w:sz w:val="28"/>
          <w:szCs w:val="28"/>
        </w:rPr>
        <w:t>LINDILE ERIC MKHIZE</w:t>
      </w:r>
      <w:r>
        <w:rPr>
          <w:rFonts w:ascii="Times New Roman" w:hAnsi="Times New Roman" w:cs="Times New Roman"/>
          <w:sz w:val="28"/>
          <w:szCs w:val="28"/>
        </w:rPr>
        <w:t xml:space="preserve"> </w:t>
      </w:r>
      <w:r w:rsidR="00EF70C2">
        <w:rPr>
          <w:rFonts w:ascii="Times New Roman" w:hAnsi="Times New Roman" w:cs="Times New Roman"/>
          <w:sz w:val="28"/>
          <w:szCs w:val="28"/>
        </w:rPr>
        <w:tab/>
      </w:r>
      <w:r w:rsidR="00EF70C2">
        <w:rPr>
          <w:rFonts w:ascii="Times New Roman" w:hAnsi="Times New Roman" w:cs="Times New Roman"/>
          <w:sz w:val="28"/>
          <w:szCs w:val="28"/>
        </w:rPr>
        <w:tab/>
      </w:r>
      <w:r w:rsidR="00EF70C2">
        <w:rPr>
          <w:rFonts w:ascii="Times New Roman" w:hAnsi="Times New Roman" w:cs="Times New Roman"/>
          <w:sz w:val="28"/>
          <w:szCs w:val="28"/>
        </w:rPr>
        <w:tab/>
      </w:r>
      <w:r w:rsidR="00EF70C2">
        <w:rPr>
          <w:rFonts w:ascii="Times New Roman" w:hAnsi="Times New Roman" w:cs="Times New Roman"/>
          <w:sz w:val="28"/>
          <w:szCs w:val="28"/>
        </w:rPr>
        <w:tab/>
      </w:r>
      <w:r w:rsidR="00EF70C2">
        <w:rPr>
          <w:rFonts w:ascii="Times New Roman" w:hAnsi="Times New Roman" w:cs="Times New Roman"/>
          <w:sz w:val="28"/>
          <w:szCs w:val="28"/>
        </w:rPr>
        <w:tab/>
      </w:r>
      <w:r w:rsidR="00EF70C2">
        <w:rPr>
          <w:rFonts w:ascii="Times New Roman" w:hAnsi="Times New Roman" w:cs="Times New Roman"/>
          <w:sz w:val="28"/>
          <w:szCs w:val="28"/>
        </w:rPr>
        <w:tab/>
      </w:r>
      <w:r w:rsidR="00EF70C2">
        <w:rPr>
          <w:rFonts w:ascii="Times New Roman" w:hAnsi="Times New Roman" w:cs="Times New Roman"/>
          <w:sz w:val="28"/>
          <w:szCs w:val="28"/>
        </w:rPr>
        <w:tab/>
      </w:r>
      <w:r>
        <w:rPr>
          <w:rFonts w:ascii="Times New Roman" w:hAnsi="Times New Roman" w:cs="Times New Roman"/>
          <w:sz w:val="28"/>
          <w:szCs w:val="28"/>
        </w:rPr>
        <w:t>Applicant</w:t>
      </w:r>
    </w:p>
    <w:p w:rsidR="009203BC" w:rsidRDefault="009203BC" w:rsidP="009203BC">
      <w:pPr>
        <w:spacing w:line="360" w:lineRule="auto"/>
        <w:jc w:val="both"/>
        <w:rPr>
          <w:rFonts w:ascii="Times New Roman" w:hAnsi="Times New Roman" w:cs="Times New Roman"/>
          <w:sz w:val="28"/>
          <w:szCs w:val="28"/>
        </w:rPr>
      </w:pPr>
    </w:p>
    <w:p w:rsidR="009203BC" w:rsidRDefault="009203BC" w:rsidP="009203BC">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9203BC" w:rsidRDefault="009203BC" w:rsidP="009203BC">
      <w:pPr>
        <w:spacing w:line="360" w:lineRule="auto"/>
        <w:jc w:val="both"/>
        <w:rPr>
          <w:rFonts w:ascii="Times New Roman" w:hAnsi="Times New Roman" w:cs="Times New Roman"/>
          <w:sz w:val="28"/>
          <w:szCs w:val="28"/>
        </w:rPr>
      </w:pPr>
    </w:p>
    <w:p w:rsidR="009203BC" w:rsidRDefault="009203BC" w:rsidP="009203B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THE DIRECTOR OF PUBLIC PROSECUTIONS </w:t>
      </w:r>
      <w:r w:rsidR="00EF70C2">
        <w:rPr>
          <w:rFonts w:ascii="Times New Roman" w:hAnsi="Times New Roman" w:cs="Times New Roman"/>
          <w:b/>
          <w:sz w:val="28"/>
          <w:szCs w:val="28"/>
        </w:rPr>
        <w:tab/>
        <w:t xml:space="preserve">         </w:t>
      </w:r>
      <w:r w:rsidRPr="009203BC">
        <w:rPr>
          <w:rFonts w:ascii="Times New Roman" w:hAnsi="Times New Roman" w:cs="Times New Roman"/>
          <w:sz w:val="28"/>
          <w:szCs w:val="28"/>
        </w:rPr>
        <w:t>First Respondent</w:t>
      </w:r>
    </w:p>
    <w:p w:rsidR="009203BC" w:rsidRDefault="009203BC" w:rsidP="009203BC">
      <w:pPr>
        <w:spacing w:line="360" w:lineRule="auto"/>
        <w:jc w:val="both"/>
        <w:rPr>
          <w:rFonts w:ascii="Times New Roman" w:hAnsi="Times New Roman" w:cs="Times New Roman"/>
          <w:sz w:val="28"/>
          <w:szCs w:val="28"/>
        </w:rPr>
      </w:pPr>
    </w:p>
    <w:p w:rsidR="009203BC" w:rsidRPr="006A4681" w:rsidRDefault="009203BC" w:rsidP="009203BC">
      <w:pPr>
        <w:spacing w:line="360" w:lineRule="auto"/>
        <w:jc w:val="both"/>
        <w:rPr>
          <w:rFonts w:ascii="Times New Roman" w:hAnsi="Times New Roman" w:cs="Times New Roman"/>
          <w:sz w:val="28"/>
          <w:szCs w:val="28"/>
        </w:rPr>
      </w:pPr>
      <w:r w:rsidRPr="00EF70C2">
        <w:rPr>
          <w:rFonts w:ascii="Times New Roman" w:hAnsi="Times New Roman" w:cs="Times New Roman"/>
          <w:b/>
          <w:sz w:val="28"/>
          <w:szCs w:val="28"/>
        </w:rPr>
        <w:t>THE DISTRICT MAGISTRATE NAIDOO</w:t>
      </w:r>
      <w:r>
        <w:rPr>
          <w:rFonts w:ascii="Times New Roman" w:hAnsi="Times New Roman" w:cs="Times New Roman"/>
          <w:sz w:val="28"/>
          <w:szCs w:val="28"/>
        </w:rPr>
        <w:t xml:space="preserve"> </w:t>
      </w:r>
      <w:r w:rsidR="00EF70C2">
        <w:rPr>
          <w:rFonts w:ascii="Times New Roman" w:hAnsi="Times New Roman" w:cs="Times New Roman"/>
          <w:sz w:val="28"/>
          <w:szCs w:val="28"/>
        </w:rPr>
        <w:tab/>
      </w:r>
      <w:r w:rsidR="00EF70C2">
        <w:rPr>
          <w:rFonts w:ascii="Times New Roman" w:hAnsi="Times New Roman" w:cs="Times New Roman"/>
          <w:sz w:val="28"/>
          <w:szCs w:val="28"/>
        </w:rPr>
        <w:tab/>
        <w:t xml:space="preserve">    </w:t>
      </w:r>
      <w:r>
        <w:rPr>
          <w:rFonts w:ascii="Times New Roman" w:hAnsi="Times New Roman" w:cs="Times New Roman"/>
          <w:sz w:val="28"/>
          <w:szCs w:val="28"/>
        </w:rPr>
        <w:t>Second Respondent</w:t>
      </w:r>
    </w:p>
    <w:p w:rsidR="00354A12" w:rsidRPr="003328A3" w:rsidRDefault="00354A12" w:rsidP="003C3BAD">
      <w:pPr>
        <w:spacing w:line="36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EF70C2"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RUGUNANAN  J</w:t>
      </w:r>
    </w:p>
    <w:p w:rsidR="00354A12" w:rsidRPr="003328A3" w:rsidRDefault="00354A12" w:rsidP="00354A12">
      <w:pPr>
        <w:spacing w:line="360" w:lineRule="auto"/>
        <w:jc w:val="both"/>
        <w:rPr>
          <w:rFonts w:ascii="Times New Roman" w:hAnsi="Times New Roman" w:cs="Times New Roman"/>
          <w:b/>
          <w:sz w:val="28"/>
          <w:szCs w:val="28"/>
        </w:rPr>
      </w:pPr>
    </w:p>
    <w:p w:rsidR="00CB7106" w:rsidRDefault="00DE3DAC" w:rsidP="000E2261">
      <w:pPr>
        <w:pStyle w:val="LegalList1"/>
        <w:numPr>
          <w:ilvl w:val="0"/>
          <w:numId w:val="2"/>
        </w:numPr>
        <w:tabs>
          <w:tab w:val="clear" w:pos="567"/>
        </w:tabs>
        <w:spacing w:line="360" w:lineRule="auto"/>
        <w:ind w:left="851" w:hanging="851"/>
        <w:rPr>
          <w:rFonts w:ascii="Times New Roman" w:hAnsi="Times New Roman"/>
          <w:sz w:val="28"/>
          <w:szCs w:val="28"/>
        </w:rPr>
      </w:pPr>
      <w:r w:rsidRPr="00066F15">
        <w:rPr>
          <w:rFonts w:ascii="Times New Roman" w:hAnsi="Times New Roman"/>
          <w:sz w:val="28"/>
          <w:szCs w:val="28"/>
        </w:rPr>
        <w:t xml:space="preserve">Before us is a review </w:t>
      </w:r>
      <w:r w:rsidR="00445D19">
        <w:rPr>
          <w:rFonts w:ascii="Times New Roman" w:hAnsi="Times New Roman"/>
          <w:sz w:val="28"/>
          <w:szCs w:val="28"/>
        </w:rPr>
        <w:t>application initiated in a notice of motion dated 30</w:t>
      </w:r>
      <w:r w:rsidR="0079506F">
        <w:rPr>
          <w:rFonts w:ascii="Times New Roman" w:hAnsi="Times New Roman"/>
          <w:sz w:val="28"/>
          <w:szCs w:val="28"/>
        </w:rPr>
        <w:t> </w:t>
      </w:r>
      <w:r w:rsidR="00445D19">
        <w:rPr>
          <w:rFonts w:ascii="Times New Roman" w:hAnsi="Times New Roman"/>
          <w:sz w:val="28"/>
          <w:szCs w:val="28"/>
        </w:rPr>
        <w:t xml:space="preserve">January 2020. The review is </w:t>
      </w:r>
      <w:r w:rsidRPr="00066F15">
        <w:rPr>
          <w:rFonts w:ascii="Times New Roman" w:hAnsi="Times New Roman"/>
          <w:sz w:val="28"/>
          <w:szCs w:val="28"/>
        </w:rPr>
        <w:t xml:space="preserve">in terms of section 22 of the Superior Courts Act 10 of 2013 </w:t>
      </w:r>
      <w:r w:rsidR="00D0525C">
        <w:rPr>
          <w:rFonts w:ascii="Times New Roman" w:hAnsi="Times New Roman"/>
          <w:sz w:val="28"/>
          <w:szCs w:val="28"/>
        </w:rPr>
        <w:t>read with rule 53 of the Uniform Rules of Court</w:t>
      </w:r>
      <w:r w:rsidR="0079506F">
        <w:rPr>
          <w:rFonts w:ascii="Times New Roman" w:hAnsi="Times New Roman"/>
          <w:sz w:val="28"/>
          <w:szCs w:val="28"/>
        </w:rPr>
        <w:t xml:space="preserve">. It </w:t>
      </w:r>
      <w:r w:rsidR="0079506F">
        <w:rPr>
          <w:rFonts w:ascii="Times New Roman" w:hAnsi="Times New Roman"/>
          <w:sz w:val="28"/>
          <w:szCs w:val="28"/>
        </w:rPr>
        <w:lastRenderedPageBreak/>
        <w:t>emanates</w:t>
      </w:r>
      <w:r w:rsidRPr="00066F15">
        <w:rPr>
          <w:rFonts w:ascii="Times New Roman" w:hAnsi="Times New Roman"/>
          <w:sz w:val="28"/>
          <w:szCs w:val="28"/>
        </w:rPr>
        <w:t xml:space="preserve"> from part-heard proceedings in the Magistrates’ Court, Makhanda (Case No. B 667/2018) in which the applicant</w:t>
      </w:r>
      <w:r w:rsidR="007C0BFE">
        <w:rPr>
          <w:rFonts w:ascii="Times New Roman" w:hAnsi="Times New Roman"/>
          <w:sz w:val="28"/>
          <w:szCs w:val="28"/>
        </w:rPr>
        <w:t>, who appears before the second respondent as presiding magistrate,</w:t>
      </w:r>
      <w:r w:rsidRPr="00066F15">
        <w:rPr>
          <w:rFonts w:ascii="Times New Roman" w:hAnsi="Times New Roman"/>
          <w:sz w:val="28"/>
          <w:szCs w:val="28"/>
        </w:rPr>
        <w:t xml:space="preserve"> is charged with the offence of dealing in drugs.</w:t>
      </w:r>
    </w:p>
    <w:p w:rsidR="00A572D4" w:rsidRPr="009C2E63" w:rsidRDefault="00DE3DAC" w:rsidP="00726FFC">
      <w:pPr>
        <w:pStyle w:val="LegalList1"/>
        <w:numPr>
          <w:ilvl w:val="0"/>
          <w:numId w:val="2"/>
        </w:numPr>
        <w:tabs>
          <w:tab w:val="clear" w:pos="567"/>
        </w:tabs>
        <w:spacing w:line="360" w:lineRule="auto"/>
        <w:ind w:left="851" w:hanging="851"/>
        <w:rPr>
          <w:rFonts w:ascii="Times New Roman" w:hAnsi="Times New Roman"/>
          <w:sz w:val="28"/>
          <w:szCs w:val="28"/>
        </w:rPr>
      </w:pPr>
      <w:r w:rsidRPr="009C2E63">
        <w:rPr>
          <w:rFonts w:ascii="Times New Roman" w:hAnsi="Times New Roman"/>
          <w:sz w:val="28"/>
          <w:szCs w:val="28"/>
        </w:rPr>
        <w:t>In the main</w:t>
      </w:r>
      <w:r w:rsidR="00C73ADC" w:rsidRPr="009C2E63">
        <w:rPr>
          <w:rFonts w:ascii="Times New Roman" w:hAnsi="Times New Roman"/>
          <w:sz w:val="28"/>
          <w:szCs w:val="28"/>
        </w:rPr>
        <w:t>,</w:t>
      </w:r>
      <w:r w:rsidRPr="009C2E63">
        <w:rPr>
          <w:rFonts w:ascii="Times New Roman" w:hAnsi="Times New Roman"/>
          <w:sz w:val="28"/>
          <w:szCs w:val="28"/>
        </w:rPr>
        <w:t xml:space="preserve"> </w:t>
      </w:r>
      <w:r w:rsidR="00CB7106" w:rsidRPr="009C2E63">
        <w:rPr>
          <w:rFonts w:ascii="Times New Roman" w:hAnsi="Times New Roman"/>
          <w:sz w:val="28"/>
          <w:szCs w:val="28"/>
        </w:rPr>
        <w:t>t</w:t>
      </w:r>
      <w:r w:rsidRPr="009C2E63">
        <w:rPr>
          <w:rFonts w:ascii="Times New Roman" w:hAnsi="Times New Roman"/>
          <w:sz w:val="28"/>
          <w:szCs w:val="28"/>
        </w:rPr>
        <w:t xml:space="preserve">he </w:t>
      </w:r>
      <w:r w:rsidR="00CB7106" w:rsidRPr="009C2E63">
        <w:rPr>
          <w:rFonts w:ascii="Times New Roman" w:hAnsi="Times New Roman"/>
          <w:sz w:val="28"/>
          <w:szCs w:val="28"/>
        </w:rPr>
        <w:t xml:space="preserve">applicant </w:t>
      </w:r>
      <w:r w:rsidRPr="009C2E63">
        <w:rPr>
          <w:rFonts w:ascii="Times New Roman" w:hAnsi="Times New Roman"/>
          <w:sz w:val="28"/>
          <w:szCs w:val="28"/>
        </w:rPr>
        <w:t>seeks to review and set aside the trial proceedings presided over by the second respondent</w:t>
      </w:r>
      <w:r w:rsidR="00066F15" w:rsidRPr="009C2E63">
        <w:rPr>
          <w:rFonts w:ascii="Times New Roman" w:hAnsi="Times New Roman"/>
          <w:sz w:val="28"/>
          <w:szCs w:val="28"/>
        </w:rPr>
        <w:t>.</w:t>
      </w:r>
      <w:r w:rsidR="009C2E63" w:rsidRPr="009C2E63">
        <w:rPr>
          <w:rFonts w:ascii="Times New Roman" w:hAnsi="Times New Roman"/>
          <w:sz w:val="28"/>
          <w:szCs w:val="28"/>
        </w:rPr>
        <w:t xml:space="preserve"> </w:t>
      </w:r>
      <w:r w:rsidR="009541A5" w:rsidRPr="009C2E63">
        <w:rPr>
          <w:rFonts w:ascii="Times New Roman" w:hAnsi="Times New Roman"/>
          <w:sz w:val="28"/>
          <w:szCs w:val="28"/>
        </w:rPr>
        <w:t xml:space="preserve">Alternatively, </w:t>
      </w:r>
      <w:r w:rsidR="005177DD" w:rsidRPr="009C2E63">
        <w:rPr>
          <w:rFonts w:ascii="Times New Roman" w:hAnsi="Times New Roman"/>
          <w:sz w:val="28"/>
          <w:szCs w:val="28"/>
        </w:rPr>
        <w:t xml:space="preserve">an order </w:t>
      </w:r>
      <w:r w:rsidR="00826561">
        <w:rPr>
          <w:rFonts w:ascii="Times New Roman" w:hAnsi="Times New Roman"/>
          <w:sz w:val="28"/>
          <w:szCs w:val="28"/>
        </w:rPr>
        <w:t xml:space="preserve">is sought </w:t>
      </w:r>
      <w:r w:rsidR="003A3DED">
        <w:rPr>
          <w:rFonts w:ascii="Times New Roman" w:hAnsi="Times New Roman"/>
          <w:sz w:val="28"/>
          <w:szCs w:val="28"/>
        </w:rPr>
        <w:t xml:space="preserve">(i) </w:t>
      </w:r>
      <w:r w:rsidR="00826561" w:rsidRPr="009C2E63">
        <w:rPr>
          <w:rFonts w:ascii="Times New Roman" w:hAnsi="Times New Roman"/>
          <w:sz w:val="28"/>
          <w:szCs w:val="28"/>
        </w:rPr>
        <w:t xml:space="preserve">that </w:t>
      </w:r>
      <w:r w:rsidR="005177DD" w:rsidRPr="009C2E63">
        <w:rPr>
          <w:rFonts w:ascii="Times New Roman" w:hAnsi="Times New Roman"/>
          <w:sz w:val="28"/>
          <w:szCs w:val="28"/>
        </w:rPr>
        <w:t>the only witness who testified with regard to the evidence of a search and seizure</w:t>
      </w:r>
      <w:r w:rsidR="00FB7D1A">
        <w:rPr>
          <w:rFonts w:ascii="Times New Roman" w:hAnsi="Times New Roman"/>
          <w:sz w:val="28"/>
          <w:szCs w:val="28"/>
        </w:rPr>
        <w:t>,</w:t>
      </w:r>
      <w:r w:rsidR="005177DD" w:rsidRPr="009C2E63">
        <w:rPr>
          <w:rFonts w:ascii="Times New Roman" w:hAnsi="Times New Roman"/>
          <w:sz w:val="28"/>
          <w:szCs w:val="28"/>
        </w:rPr>
        <w:t xml:space="preserve"> be recalled for further cross-examination;</w:t>
      </w:r>
      <w:r w:rsidR="009C2E63">
        <w:rPr>
          <w:rFonts w:ascii="Times New Roman" w:hAnsi="Times New Roman"/>
          <w:sz w:val="28"/>
          <w:szCs w:val="28"/>
        </w:rPr>
        <w:t xml:space="preserve"> </w:t>
      </w:r>
      <w:r w:rsidR="003A3DED">
        <w:rPr>
          <w:rFonts w:ascii="Times New Roman" w:hAnsi="Times New Roman"/>
          <w:sz w:val="28"/>
          <w:szCs w:val="28"/>
        </w:rPr>
        <w:t xml:space="preserve">(ii) </w:t>
      </w:r>
      <w:r w:rsidR="00826561">
        <w:rPr>
          <w:rFonts w:ascii="Times New Roman" w:hAnsi="Times New Roman"/>
          <w:sz w:val="28"/>
          <w:szCs w:val="28"/>
        </w:rPr>
        <w:t xml:space="preserve">that </w:t>
      </w:r>
      <w:r w:rsidR="00BC0127" w:rsidRPr="009C2E63">
        <w:rPr>
          <w:rFonts w:ascii="Times New Roman" w:hAnsi="Times New Roman"/>
          <w:sz w:val="28"/>
          <w:szCs w:val="28"/>
        </w:rPr>
        <w:t xml:space="preserve">the </w:t>
      </w:r>
      <w:r w:rsidR="005177DD" w:rsidRPr="009C2E63">
        <w:rPr>
          <w:rFonts w:ascii="Times New Roman" w:hAnsi="Times New Roman"/>
          <w:sz w:val="28"/>
          <w:szCs w:val="28"/>
        </w:rPr>
        <w:t>similar fact evidence led by the prosecution during the trial</w:t>
      </w:r>
      <w:r w:rsidR="00306F8C">
        <w:rPr>
          <w:rFonts w:ascii="Times New Roman" w:hAnsi="Times New Roman"/>
          <w:sz w:val="28"/>
          <w:szCs w:val="28"/>
        </w:rPr>
        <w:t>,</w:t>
      </w:r>
      <w:r w:rsidR="005177DD" w:rsidRPr="009C2E63">
        <w:rPr>
          <w:rFonts w:ascii="Times New Roman" w:hAnsi="Times New Roman"/>
          <w:sz w:val="28"/>
          <w:szCs w:val="28"/>
        </w:rPr>
        <w:t xml:space="preserve"> be struck from the record; and </w:t>
      </w:r>
      <w:r w:rsidR="003A3DED">
        <w:rPr>
          <w:rFonts w:ascii="Times New Roman" w:hAnsi="Times New Roman"/>
          <w:sz w:val="28"/>
          <w:szCs w:val="28"/>
        </w:rPr>
        <w:t xml:space="preserve">(iii) </w:t>
      </w:r>
      <w:r w:rsidR="00826561">
        <w:rPr>
          <w:rFonts w:ascii="Times New Roman" w:hAnsi="Times New Roman"/>
          <w:sz w:val="28"/>
          <w:szCs w:val="28"/>
        </w:rPr>
        <w:t>that</w:t>
      </w:r>
      <w:r w:rsidR="00FB7D1A">
        <w:rPr>
          <w:rFonts w:ascii="Times New Roman" w:hAnsi="Times New Roman"/>
          <w:sz w:val="28"/>
          <w:szCs w:val="28"/>
        </w:rPr>
        <w:t>,</w:t>
      </w:r>
      <w:r w:rsidR="00826561">
        <w:rPr>
          <w:rFonts w:ascii="Times New Roman" w:hAnsi="Times New Roman"/>
          <w:sz w:val="28"/>
          <w:szCs w:val="28"/>
        </w:rPr>
        <w:t xml:space="preserve"> </w:t>
      </w:r>
      <w:r w:rsidR="00971C87">
        <w:rPr>
          <w:rFonts w:ascii="Times New Roman" w:hAnsi="Times New Roman"/>
          <w:sz w:val="28"/>
          <w:szCs w:val="28"/>
        </w:rPr>
        <w:t xml:space="preserve">in respect of the evidence of similar fact </w:t>
      </w:r>
      <w:r w:rsidR="00D238A1">
        <w:rPr>
          <w:rFonts w:ascii="Times New Roman" w:hAnsi="Times New Roman"/>
          <w:sz w:val="28"/>
          <w:szCs w:val="28"/>
        </w:rPr>
        <w:t xml:space="preserve">(and presumably the </w:t>
      </w:r>
      <w:r w:rsidR="00FB7D1A">
        <w:rPr>
          <w:rFonts w:ascii="Times New Roman" w:hAnsi="Times New Roman"/>
          <w:sz w:val="28"/>
          <w:szCs w:val="28"/>
        </w:rPr>
        <w:t>trial-within-the-trial</w:t>
      </w:r>
      <w:r w:rsidR="00D238A1">
        <w:rPr>
          <w:rStyle w:val="FootnoteReference"/>
          <w:rFonts w:ascii="Times New Roman" w:hAnsi="Times New Roman"/>
          <w:sz w:val="28"/>
          <w:szCs w:val="28"/>
        </w:rPr>
        <w:footnoteReference w:id="1"/>
      </w:r>
      <w:r w:rsidR="00D238A1">
        <w:rPr>
          <w:rFonts w:ascii="Times New Roman" w:hAnsi="Times New Roman"/>
          <w:sz w:val="28"/>
          <w:szCs w:val="28"/>
        </w:rPr>
        <w:t>)</w:t>
      </w:r>
      <w:r w:rsidR="00FB7D1A">
        <w:rPr>
          <w:rFonts w:ascii="Times New Roman" w:hAnsi="Times New Roman"/>
          <w:sz w:val="28"/>
          <w:szCs w:val="28"/>
        </w:rPr>
        <w:t>,</w:t>
      </w:r>
      <w:r w:rsidR="00D238A1">
        <w:rPr>
          <w:rFonts w:ascii="Times New Roman" w:hAnsi="Times New Roman"/>
          <w:sz w:val="28"/>
          <w:szCs w:val="28"/>
        </w:rPr>
        <w:t xml:space="preserve"> </w:t>
      </w:r>
      <w:r w:rsidR="005177DD" w:rsidRPr="009C2E63">
        <w:rPr>
          <w:rFonts w:ascii="Times New Roman" w:hAnsi="Times New Roman"/>
          <w:sz w:val="28"/>
          <w:szCs w:val="28"/>
        </w:rPr>
        <w:t xml:space="preserve">the second respondent be </w:t>
      </w:r>
      <w:r w:rsidR="003A3DED">
        <w:rPr>
          <w:rFonts w:ascii="Times New Roman" w:hAnsi="Times New Roman"/>
          <w:sz w:val="28"/>
          <w:szCs w:val="28"/>
        </w:rPr>
        <w:t xml:space="preserve">directed </w:t>
      </w:r>
      <w:r w:rsidR="00971C87">
        <w:rPr>
          <w:rFonts w:ascii="Times New Roman" w:hAnsi="Times New Roman"/>
          <w:sz w:val="28"/>
          <w:szCs w:val="28"/>
        </w:rPr>
        <w:t xml:space="preserve">to provide reasons for ‘allowing </w:t>
      </w:r>
      <w:r w:rsidR="00F66332" w:rsidRPr="009C2E63">
        <w:rPr>
          <w:rFonts w:ascii="Times New Roman" w:hAnsi="Times New Roman"/>
          <w:sz w:val="28"/>
          <w:szCs w:val="28"/>
        </w:rPr>
        <w:t xml:space="preserve">the impugned evidence </w:t>
      </w:r>
      <w:r w:rsidR="00BC0FD0">
        <w:rPr>
          <w:rFonts w:ascii="Times New Roman" w:hAnsi="Times New Roman"/>
          <w:sz w:val="28"/>
          <w:szCs w:val="28"/>
        </w:rPr>
        <w:t>as admissible’</w:t>
      </w:r>
      <w:r w:rsidR="00F66332" w:rsidRPr="009C2E63">
        <w:rPr>
          <w:rFonts w:ascii="Times New Roman" w:hAnsi="Times New Roman"/>
          <w:sz w:val="28"/>
          <w:szCs w:val="28"/>
        </w:rPr>
        <w:t>. The applicant, in addition, seeks a costs order against any of the respondents opposing the application.</w:t>
      </w:r>
    </w:p>
    <w:p w:rsidR="001D055A" w:rsidRPr="000116B2" w:rsidRDefault="003250EC" w:rsidP="000116B2">
      <w:pPr>
        <w:pStyle w:val="LegalList1"/>
        <w:spacing w:line="360" w:lineRule="auto"/>
        <w:ind w:left="131" w:firstLine="720"/>
        <w:rPr>
          <w:rFonts w:ascii="Times New Roman" w:hAnsi="Times New Roman"/>
          <w:b/>
          <w:sz w:val="28"/>
          <w:szCs w:val="28"/>
        </w:rPr>
      </w:pPr>
      <w:r w:rsidRPr="000116B2">
        <w:rPr>
          <w:rFonts w:ascii="Times New Roman" w:hAnsi="Times New Roman"/>
          <w:b/>
          <w:sz w:val="28"/>
          <w:szCs w:val="28"/>
        </w:rPr>
        <w:t>Background</w:t>
      </w:r>
    </w:p>
    <w:p w:rsidR="00AF0451" w:rsidRPr="00AF0451" w:rsidRDefault="000116B2"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On 2 May 2018</w:t>
      </w:r>
      <w:r w:rsidR="00B85312">
        <w:rPr>
          <w:rFonts w:ascii="Times New Roman" w:hAnsi="Times New Roman"/>
          <w:color w:val="000000"/>
          <w:sz w:val="28"/>
          <w:szCs w:val="28"/>
        </w:rPr>
        <w:t xml:space="preserve"> while driving a motor vehicle on the national road on the outskirts of Makhanda (formerly Grahamstown) the applicant was stopped by two police officers</w:t>
      </w:r>
      <w:r w:rsidR="002A21A5">
        <w:rPr>
          <w:rFonts w:ascii="Times New Roman" w:hAnsi="Times New Roman"/>
          <w:color w:val="000000"/>
          <w:sz w:val="28"/>
          <w:szCs w:val="28"/>
        </w:rPr>
        <w:t>, Sergeant Frans and Sergeant Brooks</w:t>
      </w:r>
      <w:r w:rsidR="00FE338A">
        <w:rPr>
          <w:rFonts w:ascii="Times New Roman" w:hAnsi="Times New Roman"/>
          <w:color w:val="000000"/>
          <w:sz w:val="28"/>
          <w:szCs w:val="28"/>
        </w:rPr>
        <w:t>.</w:t>
      </w:r>
      <w:r w:rsidR="008861AF">
        <w:rPr>
          <w:rFonts w:ascii="Times New Roman" w:hAnsi="Times New Roman"/>
          <w:color w:val="000000"/>
          <w:sz w:val="28"/>
          <w:szCs w:val="28"/>
        </w:rPr>
        <w:t xml:space="preserve"> </w:t>
      </w:r>
      <w:r w:rsidR="009541A5">
        <w:rPr>
          <w:rFonts w:ascii="Times New Roman" w:hAnsi="Times New Roman"/>
          <w:color w:val="000000"/>
          <w:sz w:val="28"/>
          <w:szCs w:val="28"/>
        </w:rPr>
        <w:t>F</w:t>
      </w:r>
      <w:r w:rsidR="00FE338A">
        <w:rPr>
          <w:rFonts w:ascii="Times New Roman" w:hAnsi="Times New Roman"/>
          <w:color w:val="000000"/>
          <w:sz w:val="28"/>
          <w:szCs w:val="28"/>
        </w:rPr>
        <w:t>ollowing a search of the vehicle</w:t>
      </w:r>
      <w:r w:rsidR="008861AF">
        <w:rPr>
          <w:rFonts w:ascii="Times New Roman" w:hAnsi="Times New Roman"/>
          <w:color w:val="000000"/>
          <w:sz w:val="28"/>
          <w:szCs w:val="28"/>
        </w:rPr>
        <w:t xml:space="preserve"> and the seizure of an enclosed package containing </w:t>
      </w:r>
      <w:r w:rsidR="00C73ADC">
        <w:rPr>
          <w:rFonts w:ascii="Times New Roman" w:hAnsi="Times New Roman"/>
          <w:color w:val="000000"/>
          <w:sz w:val="28"/>
          <w:szCs w:val="28"/>
        </w:rPr>
        <w:t>m</w:t>
      </w:r>
      <w:r w:rsidR="008861AF">
        <w:rPr>
          <w:rFonts w:ascii="Times New Roman" w:hAnsi="Times New Roman"/>
          <w:color w:val="000000"/>
          <w:sz w:val="28"/>
          <w:szCs w:val="28"/>
        </w:rPr>
        <w:t xml:space="preserve">andrax and </w:t>
      </w:r>
      <w:r w:rsidR="00B03F8B">
        <w:rPr>
          <w:rFonts w:ascii="Times New Roman" w:hAnsi="Times New Roman"/>
          <w:color w:val="000000"/>
          <w:sz w:val="28"/>
          <w:szCs w:val="28"/>
        </w:rPr>
        <w:t xml:space="preserve">cash </w:t>
      </w:r>
      <w:r w:rsidR="002A21A5">
        <w:rPr>
          <w:rFonts w:ascii="Times New Roman" w:hAnsi="Times New Roman"/>
          <w:color w:val="000000"/>
          <w:sz w:val="28"/>
          <w:szCs w:val="28"/>
        </w:rPr>
        <w:t>amounting to R137 000</w:t>
      </w:r>
      <w:r w:rsidR="009541A5">
        <w:rPr>
          <w:rFonts w:ascii="Times New Roman" w:hAnsi="Times New Roman"/>
          <w:color w:val="000000"/>
          <w:sz w:val="28"/>
          <w:szCs w:val="28"/>
        </w:rPr>
        <w:t>, the applicant was arrested. In the course of the proceedings</w:t>
      </w:r>
      <w:r w:rsidR="00D97AD9">
        <w:rPr>
          <w:rFonts w:ascii="Times New Roman" w:hAnsi="Times New Roman"/>
          <w:color w:val="000000"/>
          <w:sz w:val="28"/>
          <w:szCs w:val="28"/>
        </w:rPr>
        <w:t xml:space="preserve"> before the magistrate a </w:t>
      </w:r>
      <w:r w:rsidR="00FB7D1A">
        <w:rPr>
          <w:rFonts w:ascii="Times New Roman" w:hAnsi="Times New Roman"/>
          <w:color w:val="000000"/>
          <w:sz w:val="28"/>
          <w:szCs w:val="28"/>
        </w:rPr>
        <w:t>trial-within-a-trial</w:t>
      </w:r>
      <w:r w:rsidR="00BE3D8A">
        <w:rPr>
          <w:rFonts w:ascii="Times New Roman" w:hAnsi="Times New Roman"/>
          <w:color w:val="000000"/>
          <w:sz w:val="28"/>
          <w:szCs w:val="28"/>
        </w:rPr>
        <w:t xml:space="preserve"> was held</w:t>
      </w:r>
      <w:r w:rsidR="00A664FC">
        <w:rPr>
          <w:rFonts w:ascii="Times New Roman" w:hAnsi="Times New Roman"/>
          <w:color w:val="000000"/>
          <w:sz w:val="28"/>
          <w:szCs w:val="28"/>
        </w:rPr>
        <w:t xml:space="preserve"> for determining the admissibility of the evidence relating to the search and seizure.</w:t>
      </w:r>
    </w:p>
    <w:p w:rsidR="00DC7A3C" w:rsidRPr="00DC7A3C" w:rsidRDefault="00B43022"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lastRenderedPageBreak/>
        <w:t xml:space="preserve">Sergeant Frans, who arrested the applicant, testified as to the admissibility of </w:t>
      </w:r>
      <w:r w:rsidR="00D97AD9">
        <w:rPr>
          <w:rFonts w:ascii="Times New Roman" w:hAnsi="Times New Roman"/>
          <w:color w:val="000000"/>
          <w:sz w:val="28"/>
          <w:szCs w:val="28"/>
        </w:rPr>
        <w:t>such evidence</w:t>
      </w:r>
      <w:r w:rsidR="00E57D23">
        <w:rPr>
          <w:rFonts w:ascii="Times New Roman" w:hAnsi="Times New Roman"/>
          <w:color w:val="000000"/>
          <w:sz w:val="28"/>
          <w:szCs w:val="28"/>
        </w:rPr>
        <w:t>.</w:t>
      </w:r>
      <w:r w:rsidR="00AF0451">
        <w:rPr>
          <w:rFonts w:ascii="Times New Roman" w:hAnsi="Times New Roman"/>
          <w:color w:val="000000"/>
          <w:sz w:val="28"/>
          <w:szCs w:val="28"/>
        </w:rPr>
        <w:t xml:space="preserve"> </w:t>
      </w:r>
      <w:r w:rsidR="00301B32">
        <w:rPr>
          <w:rFonts w:ascii="Times New Roman" w:hAnsi="Times New Roman"/>
          <w:color w:val="000000"/>
          <w:sz w:val="28"/>
          <w:szCs w:val="28"/>
        </w:rPr>
        <w:t>H</w:t>
      </w:r>
      <w:r w:rsidR="00A604C0">
        <w:rPr>
          <w:rFonts w:ascii="Times New Roman" w:hAnsi="Times New Roman"/>
          <w:color w:val="000000"/>
          <w:sz w:val="28"/>
          <w:szCs w:val="28"/>
        </w:rPr>
        <w:t xml:space="preserve">e </w:t>
      </w:r>
      <w:r w:rsidR="00C9618B">
        <w:rPr>
          <w:rFonts w:ascii="Times New Roman" w:hAnsi="Times New Roman"/>
          <w:color w:val="000000"/>
          <w:sz w:val="28"/>
          <w:szCs w:val="28"/>
        </w:rPr>
        <w:t xml:space="preserve">believed that </w:t>
      </w:r>
      <w:r w:rsidR="00610062">
        <w:rPr>
          <w:rFonts w:ascii="Times New Roman" w:hAnsi="Times New Roman"/>
          <w:color w:val="000000"/>
          <w:sz w:val="28"/>
          <w:szCs w:val="28"/>
        </w:rPr>
        <w:t xml:space="preserve">a </w:t>
      </w:r>
      <w:r w:rsidR="00C9618B">
        <w:rPr>
          <w:rFonts w:ascii="Times New Roman" w:hAnsi="Times New Roman"/>
          <w:color w:val="000000"/>
          <w:sz w:val="28"/>
          <w:szCs w:val="28"/>
        </w:rPr>
        <w:t xml:space="preserve">search </w:t>
      </w:r>
      <w:r w:rsidR="00610062">
        <w:rPr>
          <w:rFonts w:ascii="Times New Roman" w:hAnsi="Times New Roman"/>
          <w:color w:val="000000"/>
          <w:sz w:val="28"/>
          <w:szCs w:val="28"/>
        </w:rPr>
        <w:t>warrant would be issued to him</w:t>
      </w:r>
      <w:r w:rsidR="00C9618B">
        <w:rPr>
          <w:rFonts w:ascii="Times New Roman" w:hAnsi="Times New Roman"/>
          <w:color w:val="000000"/>
          <w:sz w:val="28"/>
          <w:szCs w:val="28"/>
        </w:rPr>
        <w:t xml:space="preserve"> in terms of </w:t>
      </w:r>
      <w:r w:rsidR="004D65D0">
        <w:rPr>
          <w:rFonts w:ascii="Times New Roman" w:hAnsi="Times New Roman"/>
          <w:color w:val="000000"/>
          <w:sz w:val="28"/>
          <w:szCs w:val="28"/>
        </w:rPr>
        <w:t xml:space="preserve">section </w:t>
      </w:r>
      <w:r w:rsidR="00C9618B">
        <w:rPr>
          <w:rFonts w:ascii="Times New Roman" w:hAnsi="Times New Roman"/>
          <w:color w:val="000000"/>
          <w:sz w:val="28"/>
          <w:szCs w:val="28"/>
        </w:rPr>
        <w:t xml:space="preserve">22(b)(i) and (ii) of the Criminal Procedure Act 51 of 1977 </w:t>
      </w:r>
      <w:r w:rsidR="00610062">
        <w:rPr>
          <w:rFonts w:ascii="Times New Roman" w:hAnsi="Times New Roman"/>
          <w:color w:val="000000"/>
          <w:sz w:val="28"/>
          <w:szCs w:val="28"/>
        </w:rPr>
        <w:t>if he applied therefor</w:t>
      </w:r>
      <w:r w:rsidR="009A409E">
        <w:rPr>
          <w:rFonts w:ascii="Times New Roman" w:hAnsi="Times New Roman"/>
          <w:color w:val="000000"/>
          <w:sz w:val="28"/>
          <w:szCs w:val="28"/>
        </w:rPr>
        <w:t xml:space="preserve"> but </w:t>
      </w:r>
      <w:r w:rsidR="00FB53B7">
        <w:rPr>
          <w:rFonts w:ascii="Times New Roman" w:hAnsi="Times New Roman"/>
          <w:color w:val="000000"/>
          <w:sz w:val="28"/>
          <w:szCs w:val="28"/>
        </w:rPr>
        <w:t xml:space="preserve">that </w:t>
      </w:r>
      <w:r w:rsidR="009A409E">
        <w:rPr>
          <w:rFonts w:ascii="Times New Roman" w:hAnsi="Times New Roman"/>
          <w:color w:val="000000"/>
          <w:sz w:val="28"/>
          <w:szCs w:val="28"/>
        </w:rPr>
        <w:t>the delay in obtaining it would defeat the object of the search.</w:t>
      </w:r>
    </w:p>
    <w:p w:rsidR="00B6756B" w:rsidRPr="00B6756B" w:rsidRDefault="00D602FA"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Although t</w:t>
      </w:r>
      <w:r w:rsidR="00E57D23">
        <w:rPr>
          <w:rFonts w:ascii="Times New Roman" w:hAnsi="Times New Roman"/>
          <w:color w:val="000000"/>
          <w:sz w:val="28"/>
          <w:szCs w:val="28"/>
        </w:rPr>
        <w:t>he applicant</w:t>
      </w:r>
      <w:r w:rsidR="00C9618B">
        <w:rPr>
          <w:rFonts w:ascii="Times New Roman" w:hAnsi="Times New Roman"/>
          <w:color w:val="000000"/>
          <w:sz w:val="28"/>
          <w:szCs w:val="28"/>
        </w:rPr>
        <w:t>,</w:t>
      </w:r>
      <w:r w:rsidR="00E57D23">
        <w:rPr>
          <w:rFonts w:ascii="Times New Roman" w:hAnsi="Times New Roman"/>
          <w:color w:val="000000"/>
          <w:sz w:val="28"/>
          <w:szCs w:val="28"/>
        </w:rPr>
        <w:t xml:space="preserve"> who was </w:t>
      </w:r>
      <w:r w:rsidR="00C9618B">
        <w:rPr>
          <w:rFonts w:ascii="Times New Roman" w:hAnsi="Times New Roman"/>
          <w:color w:val="000000"/>
          <w:sz w:val="28"/>
          <w:szCs w:val="28"/>
        </w:rPr>
        <w:t xml:space="preserve">throughout the proceedings </w:t>
      </w:r>
      <w:r w:rsidR="00E57D23">
        <w:rPr>
          <w:rFonts w:ascii="Times New Roman" w:hAnsi="Times New Roman"/>
          <w:color w:val="000000"/>
          <w:sz w:val="28"/>
          <w:szCs w:val="28"/>
        </w:rPr>
        <w:t>legally re</w:t>
      </w:r>
      <w:r>
        <w:rPr>
          <w:rFonts w:ascii="Times New Roman" w:hAnsi="Times New Roman"/>
          <w:color w:val="000000"/>
          <w:sz w:val="28"/>
          <w:szCs w:val="28"/>
        </w:rPr>
        <w:t>presented</w:t>
      </w:r>
      <w:r w:rsidR="00C9618B">
        <w:rPr>
          <w:rFonts w:ascii="Times New Roman" w:hAnsi="Times New Roman"/>
          <w:color w:val="000000"/>
          <w:sz w:val="28"/>
          <w:szCs w:val="28"/>
        </w:rPr>
        <w:t>,</w:t>
      </w:r>
      <w:r>
        <w:rPr>
          <w:rFonts w:ascii="Times New Roman" w:hAnsi="Times New Roman"/>
          <w:color w:val="000000"/>
          <w:sz w:val="28"/>
          <w:szCs w:val="28"/>
        </w:rPr>
        <w:t xml:space="preserve"> </w:t>
      </w:r>
      <w:r w:rsidR="00E57D23">
        <w:rPr>
          <w:rFonts w:ascii="Times New Roman" w:hAnsi="Times New Roman"/>
          <w:color w:val="000000"/>
          <w:sz w:val="28"/>
          <w:szCs w:val="28"/>
        </w:rPr>
        <w:t>did not testify</w:t>
      </w:r>
      <w:r>
        <w:rPr>
          <w:rFonts w:ascii="Times New Roman" w:hAnsi="Times New Roman"/>
          <w:color w:val="000000"/>
          <w:sz w:val="28"/>
          <w:szCs w:val="28"/>
        </w:rPr>
        <w:t>,</w:t>
      </w:r>
      <w:r w:rsidR="00EE1E9E">
        <w:rPr>
          <w:rFonts w:ascii="Times New Roman" w:hAnsi="Times New Roman"/>
          <w:color w:val="000000"/>
          <w:sz w:val="28"/>
          <w:szCs w:val="28"/>
        </w:rPr>
        <w:t xml:space="preserve"> it was contended on his behalf that the search of the vehicle was </w:t>
      </w:r>
      <w:r w:rsidR="00B6756B">
        <w:rPr>
          <w:rFonts w:ascii="Times New Roman" w:hAnsi="Times New Roman"/>
          <w:color w:val="000000"/>
          <w:sz w:val="28"/>
          <w:szCs w:val="28"/>
        </w:rPr>
        <w:t xml:space="preserve">rendered unlawful because it was </w:t>
      </w:r>
      <w:r w:rsidR="00EE1E9E">
        <w:rPr>
          <w:rFonts w:ascii="Times New Roman" w:hAnsi="Times New Roman"/>
          <w:color w:val="000000"/>
          <w:sz w:val="28"/>
          <w:szCs w:val="28"/>
        </w:rPr>
        <w:t>conducted without his consent</w:t>
      </w:r>
      <w:r w:rsidR="00B6756B">
        <w:rPr>
          <w:rFonts w:ascii="Times New Roman" w:hAnsi="Times New Roman"/>
          <w:color w:val="000000"/>
          <w:sz w:val="28"/>
          <w:szCs w:val="28"/>
        </w:rPr>
        <w:t xml:space="preserve"> and as a consequence, </w:t>
      </w:r>
      <w:r w:rsidR="00EE1E9E">
        <w:rPr>
          <w:rFonts w:ascii="Times New Roman" w:hAnsi="Times New Roman"/>
          <w:color w:val="000000"/>
          <w:sz w:val="28"/>
          <w:szCs w:val="28"/>
        </w:rPr>
        <w:t>the evidence</w:t>
      </w:r>
      <w:r w:rsidR="00B6756B">
        <w:rPr>
          <w:rFonts w:ascii="Times New Roman" w:hAnsi="Times New Roman"/>
          <w:color w:val="000000"/>
          <w:sz w:val="28"/>
          <w:szCs w:val="28"/>
        </w:rPr>
        <w:t xml:space="preserve"> </w:t>
      </w:r>
      <w:r>
        <w:rPr>
          <w:rFonts w:ascii="Times New Roman" w:hAnsi="Times New Roman"/>
          <w:color w:val="000000"/>
          <w:sz w:val="28"/>
          <w:szCs w:val="28"/>
        </w:rPr>
        <w:t xml:space="preserve">adduced in the </w:t>
      </w:r>
      <w:r w:rsidR="00FB7D1A">
        <w:rPr>
          <w:rFonts w:ascii="Times New Roman" w:hAnsi="Times New Roman"/>
          <w:color w:val="000000"/>
          <w:sz w:val="28"/>
          <w:szCs w:val="28"/>
        </w:rPr>
        <w:t>trial-within-a-trial</w:t>
      </w:r>
      <w:r>
        <w:rPr>
          <w:rFonts w:ascii="Times New Roman" w:hAnsi="Times New Roman"/>
          <w:color w:val="000000"/>
          <w:sz w:val="28"/>
          <w:szCs w:val="28"/>
        </w:rPr>
        <w:t xml:space="preserve"> </w:t>
      </w:r>
      <w:r w:rsidR="00B6756B">
        <w:rPr>
          <w:rFonts w:ascii="Times New Roman" w:hAnsi="Times New Roman"/>
          <w:color w:val="000000"/>
          <w:sz w:val="28"/>
          <w:szCs w:val="28"/>
        </w:rPr>
        <w:t>was inadmissible.</w:t>
      </w:r>
    </w:p>
    <w:p w:rsidR="00E82D21" w:rsidRPr="00E82D21" w:rsidRDefault="00B03F8B"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w:t>
      </w:r>
      <w:r w:rsidR="000E054D">
        <w:rPr>
          <w:rFonts w:ascii="Times New Roman" w:hAnsi="Times New Roman"/>
          <w:color w:val="000000"/>
          <w:sz w:val="28"/>
          <w:szCs w:val="28"/>
        </w:rPr>
        <w:t>he magistrate</w:t>
      </w:r>
      <w:r w:rsidR="00CB7106">
        <w:rPr>
          <w:rFonts w:ascii="Times New Roman" w:hAnsi="Times New Roman"/>
          <w:color w:val="000000"/>
          <w:sz w:val="28"/>
          <w:szCs w:val="28"/>
        </w:rPr>
        <w:t xml:space="preserve"> </w:t>
      </w:r>
      <w:r w:rsidR="001B21C4">
        <w:rPr>
          <w:rFonts w:ascii="Times New Roman" w:hAnsi="Times New Roman"/>
          <w:color w:val="000000"/>
          <w:sz w:val="28"/>
          <w:szCs w:val="28"/>
        </w:rPr>
        <w:t xml:space="preserve">ruled </w:t>
      </w:r>
      <w:r w:rsidR="00A52C78">
        <w:rPr>
          <w:rFonts w:ascii="Times New Roman" w:hAnsi="Times New Roman"/>
          <w:color w:val="000000"/>
          <w:sz w:val="28"/>
          <w:szCs w:val="28"/>
        </w:rPr>
        <w:t>in favour of the admissibility of the evidence</w:t>
      </w:r>
      <w:r w:rsidR="001B21C4">
        <w:rPr>
          <w:rFonts w:ascii="Times New Roman" w:hAnsi="Times New Roman"/>
          <w:color w:val="000000"/>
          <w:sz w:val="28"/>
          <w:szCs w:val="28"/>
        </w:rPr>
        <w:t xml:space="preserve"> without giving reasons but indicating nonetheless</w:t>
      </w:r>
      <w:r w:rsidR="00E41829">
        <w:rPr>
          <w:rFonts w:ascii="Times New Roman" w:hAnsi="Times New Roman"/>
          <w:color w:val="000000"/>
          <w:sz w:val="28"/>
          <w:szCs w:val="28"/>
        </w:rPr>
        <w:t xml:space="preserve"> that they would be furnished in a judgment upon conclusion of the </w:t>
      </w:r>
      <w:r w:rsidR="00772450">
        <w:rPr>
          <w:rFonts w:ascii="Times New Roman" w:hAnsi="Times New Roman"/>
          <w:color w:val="000000"/>
          <w:sz w:val="28"/>
          <w:szCs w:val="28"/>
        </w:rPr>
        <w:t xml:space="preserve">main </w:t>
      </w:r>
      <w:r w:rsidR="00E41829">
        <w:rPr>
          <w:rFonts w:ascii="Times New Roman" w:hAnsi="Times New Roman"/>
          <w:color w:val="000000"/>
          <w:sz w:val="28"/>
          <w:szCs w:val="28"/>
        </w:rPr>
        <w:t>trial.</w:t>
      </w:r>
    </w:p>
    <w:p w:rsidR="00E47BD8" w:rsidRPr="003328A3" w:rsidRDefault="008978BB" w:rsidP="00C66BF7">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In the course of the </w:t>
      </w:r>
      <w:r w:rsidR="00E16EEF">
        <w:rPr>
          <w:rFonts w:ascii="Times New Roman" w:hAnsi="Times New Roman"/>
          <w:color w:val="000000"/>
          <w:sz w:val="28"/>
          <w:szCs w:val="28"/>
        </w:rPr>
        <w:t>ma</w:t>
      </w:r>
      <w:r w:rsidR="008F6594">
        <w:rPr>
          <w:rFonts w:ascii="Times New Roman" w:hAnsi="Times New Roman"/>
          <w:color w:val="000000"/>
          <w:sz w:val="28"/>
          <w:szCs w:val="28"/>
        </w:rPr>
        <w:t xml:space="preserve">tter </w:t>
      </w:r>
      <w:r w:rsidR="005D1FBD">
        <w:rPr>
          <w:rFonts w:ascii="Times New Roman" w:hAnsi="Times New Roman"/>
          <w:color w:val="000000"/>
          <w:sz w:val="28"/>
          <w:szCs w:val="28"/>
        </w:rPr>
        <w:t xml:space="preserve">proceeding </w:t>
      </w:r>
      <w:r w:rsidR="008F6594">
        <w:rPr>
          <w:rFonts w:ascii="Times New Roman" w:hAnsi="Times New Roman"/>
          <w:color w:val="000000"/>
          <w:sz w:val="28"/>
          <w:szCs w:val="28"/>
        </w:rPr>
        <w:t>on the merits in the main trial</w:t>
      </w:r>
      <w:r w:rsidR="005D1FBD">
        <w:rPr>
          <w:rFonts w:ascii="Times New Roman" w:hAnsi="Times New Roman"/>
          <w:color w:val="000000"/>
          <w:sz w:val="28"/>
          <w:szCs w:val="28"/>
        </w:rPr>
        <w:t>,</w:t>
      </w:r>
      <w:r w:rsidR="008F6594">
        <w:rPr>
          <w:rFonts w:ascii="Times New Roman" w:hAnsi="Times New Roman"/>
          <w:color w:val="000000"/>
          <w:sz w:val="28"/>
          <w:szCs w:val="28"/>
        </w:rPr>
        <w:t xml:space="preserve"> </w:t>
      </w:r>
      <w:r w:rsidR="004E6F9D">
        <w:rPr>
          <w:rFonts w:ascii="Times New Roman" w:hAnsi="Times New Roman"/>
          <w:color w:val="000000"/>
          <w:sz w:val="28"/>
          <w:szCs w:val="28"/>
        </w:rPr>
        <w:t xml:space="preserve">Sergeant Frans and Sergeant Brooks testified. At some stage </w:t>
      </w:r>
      <w:r w:rsidR="00910716">
        <w:rPr>
          <w:rFonts w:ascii="Times New Roman" w:hAnsi="Times New Roman"/>
          <w:color w:val="000000"/>
          <w:sz w:val="28"/>
          <w:szCs w:val="28"/>
        </w:rPr>
        <w:t>the prosecutor made an appl</w:t>
      </w:r>
      <w:r w:rsidR="005B7B4F">
        <w:rPr>
          <w:rFonts w:ascii="Times New Roman" w:hAnsi="Times New Roman"/>
          <w:color w:val="000000"/>
          <w:sz w:val="28"/>
          <w:szCs w:val="28"/>
        </w:rPr>
        <w:t xml:space="preserve">ication for the leading of similar fact evidence from </w:t>
      </w:r>
      <w:r w:rsidR="00C73ADC">
        <w:rPr>
          <w:rFonts w:ascii="Times New Roman" w:hAnsi="Times New Roman"/>
          <w:color w:val="000000"/>
          <w:sz w:val="28"/>
          <w:szCs w:val="28"/>
        </w:rPr>
        <w:t xml:space="preserve">one </w:t>
      </w:r>
      <w:r w:rsidR="005B7B4F">
        <w:rPr>
          <w:rFonts w:ascii="Times New Roman" w:hAnsi="Times New Roman"/>
          <w:color w:val="000000"/>
          <w:sz w:val="28"/>
          <w:szCs w:val="28"/>
        </w:rPr>
        <w:t>Sergeant Cornelius</w:t>
      </w:r>
      <w:r w:rsidR="00CE1F27">
        <w:rPr>
          <w:rFonts w:ascii="Times New Roman" w:hAnsi="Times New Roman"/>
          <w:color w:val="000000"/>
          <w:sz w:val="28"/>
          <w:szCs w:val="28"/>
        </w:rPr>
        <w:t xml:space="preserve"> regarding </w:t>
      </w:r>
      <w:r w:rsidR="00C73ADC">
        <w:rPr>
          <w:rFonts w:ascii="Times New Roman" w:hAnsi="Times New Roman"/>
          <w:color w:val="000000"/>
          <w:sz w:val="28"/>
          <w:szCs w:val="28"/>
        </w:rPr>
        <w:t>t</w:t>
      </w:r>
      <w:r w:rsidR="00CE1F27">
        <w:rPr>
          <w:rFonts w:ascii="Times New Roman" w:hAnsi="Times New Roman"/>
          <w:color w:val="000000"/>
          <w:sz w:val="28"/>
          <w:szCs w:val="28"/>
        </w:rPr>
        <w:t xml:space="preserve">he </w:t>
      </w:r>
      <w:r w:rsidR="00CE1F27" w:rsidRPr="00CE1F27">
        <w:rPr>
          <w:rFonts w:ascii="Times New Roman" w:hAnsi="Times New Roman"/>
          <w:i/>
          <w:color w:val="000000"/>
          <w:sz w:val="28"/>
          <w:szCs w:val="28"/>
        </w:rPr>
        <w:t>modus operandi</w:t>
      </w:r>
      <w:r w:rsidR="00CE1F27">
        <w:rPr>
          <w:rFonts w:ascii="Times New Roman" w:hAnsi="Times New Roman"/>
          <w:color w:val="000000"/>
          <w:sz w:val="28"/>
          <w:szCs w:val="28"/>
        </w:rPr>
        <w:t xml:space="preserve"> of the applicant in </w:t>
      </w:r>
      <w:r w:rsidR="00EE5EC6">
        <w:rPr>
          <w:rFonts w:ascii="Times New Roman" w:hAnsi="Times New Roman"/>
          <w:color w:val="000000"/>
          <w:sz w:val="28"/>
          <w:szCs w:val="28"/>
        </w:rPr>
        <w:t>the commission of a similar offence</w:t>
      </w:r>
      <w:r w:rsidR="00CE1F27">
        <w:rPr>
          <w:rFonts w:ascii="Times New Roman" w:hAnsi="Times New Roman"/>
          <w:color w:val="000000"/>
          <w:sz w:val="28"/>
          <w:szCs w:val="28"/>
        </w:rPr>
        <w:t xml:space="preserve"> in Knysna</w:t>
      </w:r>
      <w:r w:rsidR="00AD4ECD">
        <w:rPr>
          <w:rFonts w:ascii="Times New Roman" w:hAnsi="Times New Roman"/>
          <w:color w:val="000000"/>
          <w:sz w:val="28"/>
          <w:szCs w:val="28"/>
        </w:rPr>
        <w:t xml:space="preserve"> when </w:t>
      </w:r>
      <w:r w:rsidR="00C73ADC">
        <w:rPr>
          <w:rFonts w:ascii="Times New Roman" w:hAnsi="Times New Roman"/>
          <w:color w:val="000000"/>
          <w:sz w:val="28"/>
          <w:szCs w:val="28"/>
        </w:rPr>
        <w:t>he</w:t>
      </w:r>
      <w:r w:rsidR="00AD4ECD">
        <w:rPr>
          <w:rFonts w:ascii="Times New Roman" w:hAnsi="Times New Roman"/>
          <w:color w:val="000000"/>
          <w:sz w:val="28"/>
          <w:szCs w:val="28"/>
        </w:rPr>
        <w:t xml:space="preserve"> was arrested </w:t>
      </w:r>
      <w:r w:rsidR="00772450">
        <w:rPr>
          <w:rFonts w:ascii="Times New Roman" w:hAnsi="Times New Roman"/>
          <w:color w:val="000000"/>
          <w:sz w:val="28"/>
          <w:szCs w:val="28"/>
        </w:rPr>
        <w:t xml:space="preserve">at a police roadblock </w:t>
      </w:r>
      <w:r w:rsidR="00AD4ECD">
        <w:rPr>
          <w:rFonts w:ascii="Times New Roman" w:hAnsi="Times New Roman"/>
          <w:color w:val="000000"/>
          <w:sz w:val="28"/>
          <w:szCs w:val="28"/>
        </w:rPr>
        <w:t>after a search and seizure of a package containing mandrax</w:t>
      </w:r>
      <w:r w:rsidR="00CE1F27">
        <w:rPr>
          <w:rFonts w:ascii="Times New Roman" w:hAnsi="Times New Roman"/>
          <w:color w:val="000000"/>
          <w:sz w:val="28"/>
          <w:szCs w:val="28"/>
        </w:rPr>
        <w:t>. Notwithstanding objection, the application was granted</w:t>
      </w:r>
      <w:r w:rsidR="00280197">
        <w:rPr>
          <w:rFonts w:ascii="Times New Roman" w:hAnsi="Times New Roman"/>
          <w:color w:val="000000"/>
          <w:sz w:val="28"/>
          <w:szCs w:val="28"/>
        </w:rPr>
        <w:t xml:space="preserve"> </w:t>
      </w:r>
      <w:r w:rsidR="0006089B">
        <w:rPr>
          <w:rFonts w:ascii="Times New Roman" w:hAnsi="Times New Roman"/>
          <w:color w:val="000000"/>
          <w:sz w:val="28"/>
          <w:szCs w:val="28"/>
        </w:rPr>
        <w:t xml:space="preserve">though, due to a deficiency in the record (as pointed out below) it is </w:t>
      </w:r>
      <w:r w:rsidR="004D65D0">
        <w:rPr>
          <w:rFonts w:ascii="Times New Roman" w:hAnsi="Times New Roman"/>
          <w:color w:val="000000"/>
          <w:sz w:val="28"/>
          <w:szCs w:val="28"/>
        </w:rPr>
        <w:t>un</w:t>
      </w:r>
      <w:r w:rsidR="0006089B">
        <w:rPr>
          <w:rFonts w:ascii="Times New Roman" w:hAnsi="Times New Roman"/>
          <w:color w:val="000000"/>
          <w:sz w:val="28"/>
          <w:szCs w:val="28"/>
        </w:rPr>
        <w:t>known if the magistrate gave reasons</w:t>
      </w:r>
      <w:r w:rsidR="00317226">
        <w:rPr>
          <w:rFonts w:ascii="Times New Roman" w:hAnsi="Times New Roman"/>
          <w:color w:val="000000"/>
          <w:sz w:val="28"/>
          <w:szCs w:val="28"/>
        </w:rPr>
        <w:t>, save for applicant’s averment that she did not</w:t>
      </w:r>
      <w:r w:rsidR="0006089B">
        <w:rPr>
          <w:rFonts w:ascii="Times New Roman" w:hAnsi="Times New Roman"/>
          <w:color w:val="000000"/>
          <w:sz w:val="28"/>
          <w:szCs w:val="28"/>
        </w:rPr>
        <w:t>.</w:t>
      </w:r>
      <w:r w:rsidR="003C5E6E">
        <w:rPr>
          <w:rFonts w:ascii="Times New Roman" w:hAnsi="Times New Roman"/>
          <w:color w:val="000000"/>
          <w:sz w:val="28"/>
          <w:szCs w:val="28"/>
        </w:rPr>
        <w:t xml:space="preserve"> The State however closed its case once the magistrate had ruled the evidence of similar fact to be admissible.</w:t>
      </w:r>
    </w:p>
    <w:p w:rsidR="001D055A" w:rsidRPr="00C66BF7" w:rsidRDefault="00DD38F4"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lastRenderedPageBreak/>
        <w:t>It is against this background that the present review proceedings are pill</w:t>
      </w:r>
      <w:r w:rsidR="00912ABB">
        <w:rPr>
          <w:rFonts w:ascii="Times New Roman" w:hAnsi="Times New Roman"/>
          <w:color w:val="000000"/>
          <w:sz w:val="28"/>
          <w:szCs w:val="28"/>
        </w:rPr>
        <w:t>a</w:t>
      </w:r>
      <w:r>
        <w:rPr>
          <w:rFonts w:ascii="Times New Roman" w:hAnsi="Times New Roman"/>
          <w:color w:val="000000"/>
          <w:sz w:val="28"/>
          <w:szCs w:val="28"/>
        </w:rPr>
        <w:t xml:space="preserve">red on the </w:t>
      </w:r>
      <w:r w:rsidR="00912ABB">
        <w:rPr>
          <w:rFonts w:ascii="Times New Roman" w:hAnsi="Times New Roman"/>
          <w:color w:val="000000"/>
          <w:sz w:val="28"/>
          <w:szCs w:val="28"/>
        </w:rPr>
        <w:t xml:space="preserve">statutory grounds </w:t>
      </w:r>
      <w:r w:rsidR="00563A15">
        <w:rPr>
          <w:rFonts w:ascii="Times New Roman" w:hAnsi="Times New Roman"/>
          <w:color w:val="000000"/>
          <w:sz w:val="28"/>
          <w:szCs w:val="28"/>
        </w:rPr>
        <w:t>of bias, gross irregularity and the admission of inadmissible or incompetent evidence.</w:t>
      </w:r>
      <w:r w:rsidR="00563A15">
        <w:rPr>
          <w:rStyle w:val="FootnoteReference"/>
          <w:rFonts w:ascii="Times New Roman" w:hAnsi="Times New Roman"/>
          <w:color w:val="000000"/>
          <w:sz w:val="28"/>
          <w:szCs w:val="28"/>
        </w:rPr>
        <w:footnoteReference w:id="2"/>
      </w:r>
    </w:p>
    <w:p w:rsidR="007D5F5C" w:rsidRPr="007D5F5C" w:rsidRDefault="00C66BF7" w:rsidP="00C66BF7">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It bears mentioning that the record of the proceedings in the trial court does not contain the transcript of the evidence indicating the stage at which similar fact evidence was </w:t>
      </w:r>
      <w:r w:rsidR="004E358A">
        <w:rPr>
          <w:rFonts w:ascii="Times New Roman" w:hAnsi="Times New Roman"/>
          <w:color w:val="000000"/>
          <w:sz w:val="28"/>
          <w:szCs w:val="28"/>
        </w:rPr>
        <w:t>introduced</w:t>
      </w:r>
      <w:r w:rsidR="00B21F8E">
        <w:rPr>
          <w:rFonts w:ascii="Times New Roman" w:hAnsi="Times New Roman"/>
          <w:color w:val="000000"/>
          <w:sz w:val="28"/>
          <w:szCs w:val="28"/>
        </w:rPr>
        <w:t xml:space="preserve"> – </w:t>
      </w:r>
      <w:r>
        <w:rPr>
          <w:rFonts w:ascii="Times New Roman" w:hAnsi="Times New Roman"/>
          <w:color w:val="000000"/>
          <w:sz w:val="28"/>
          <w:szCs w:val="28"/>
        </w:rPr>
        <w:t xml:space="preserve">nor does it contain the evidence of the </w:t>
      </w:r>
      <w:r w:rsidR="00FB7D1A">
        <w:rPr>
          <w:rFonts w:ascii="Times New Roman" w:hAnsi="Times New Roman"/>
          <w:color w:val="000000"/>
          <w:sz w:val="28"/>
          <w:szCs w:val="28"/>
        </w:rPr>
        <w:t>trial-within-the-trial</w:t>
      </w:r>
      <w:r>
        <w:rPr>
          <w:rFonts w:ascii="Times New Roman" w:hAnsi="Times New Roman"/>
          <w:color w:val="000000"/>
          <w:sz w:val="28"/>
          <w:szCs w:val="28"/>
        </w:rPr>
        <w:t>. Neither of the parties took issue with this deficiency and argue</w:t>
      </w:r>
      <w:r w:rsidR="00B21F8E">
        <w:rPr>
          <w:rFonts w:ascii="Times New Roman" w:hAnsi="Times New Roman"/>
          <w:color w:val="000000"/>
          <w:sz w:val="28"/>
          <w:szCs w:val="28"/>
        </w:rPr>
        <w:t>d</w:t>
      </w:r>
      <w:r>
        <w:rPr>
          <w:rFonts w:ascii="Times New Roman" w:hAnsi="Times New Roman"/>
          <w:color w:val="000000"/>
          <w:sz w:val="28"/>
          <w:szCs w:val="28"/>
        </w:rPr>
        <w:t xml:space="preserve"> the matter on the set of affidavits filed in this court.</w:t>
      </w:r>
    </w:p>
    <w:p w:rsidR="007D5F5C" w:rsidRPr="007D5F5C" w:rsidRDefault="008B72C8" w:rsidP="00C66BF7">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Given the failing in the record (and the applicant’s founding affidavit – as to which see below) it is no surprise that an attempt is made in his heads of argument to introduce and elucidate factual detail</w:t>
      </w:r>
      <w:r w:rsidR="00CA35FD">
        <w:rPr>
          <w:rFonts w:ascii="Times New Roman" w:hAnsi="Times New Roman"/>
          <w:color w:val="000000"/>
          <w:sz w:val="28"/>
          <w:szCs w:val="28"/>
        </w:rPr>
        <w:t xml:space="preserve"> both as to the </w:t>
      </w:r>
      <w:r w:rsidR="00FB7D1A">
        <w:rPr>
          <w:rFonts w:ascii="Times New Roman" w:hAnsi="Times New Roman"/>
          <w:color w:val="000000"/>
          <w:sz w:val="28"/>
          <w:szCs w:val="28"/>
        </w:rPr>
        <w:t>trial-within-the-trial</w:t>
      </w:r>
      <w:r w:rsidR="00CA35FD">
        <w:rPr>
          <w:rFonts w:ascii="Times New Roman" w:hAnsi="Times New Roman"/>
          <w:color w:val="000000"/>
          <w:sz w:val="28"/>
          <w:szCs w:val="28"/>
        </w:rPr>
        <w:t xml:space="preserve"> and the ruling on the evidence of similar fact as an indication of the case which is to be put forward on review.</w:t>
      </w:r>
    </w:p>
    <w:p w:rsidR="00C66BF7" w:rsidRPr="00E47BD8" w:rsidRDefault="00CA35FD" w:rsidP="00C66BF7">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Heads of argument do not constitute evidence given under oath</w:t>
      </w:r>
      <w:r w:rsidR="00423546">
        <w:rPr>
          <w:rFonts w:ascii="Times New Roman" w:hAnsi="Times New Roman"/>
          <w:color w:val="000000"/>
          <w:sz w:val="28"/>
          <w:szCs w:val="28"/>
        </w:rPr>
        <w:t>.</w:t>
      </w:r>
      <w:r>
        <w:rPr>
          <w:rStyle w:val="FootnoteReference"/>
          <w:rFonts w:ascii="Times New Roman" w:hAnsi="Times New Roman"/>
          <w:color w:val="000000"/>
          <w:sz w:val="28"/>
          <w:szCs w:val="28"/>
        </w:rPr>
        <w:footnoteReference w:id="3"/>
      </w:r>
      <w:r w:rsidR="00423546">
        <w:rPr>
          <w:rFonts w:ascii="Times New Roman" w:hAnsi="Times New Roman"/>
          <w:color w:val="000000"/>
          <w:sz w:val="28"/>
          <w:szCs w:val="28"/>
        </w:rPr>
        <w:t xml:space="preserve"> They are merely persuasive comment by the parties with regard to questions of fact or law and offer no substitute for affidavits</w:t>
      </w:r>
      <w:r w:rsidR="001C395F">
        <w:rPr>
          <w:rFonts w:ascii="Times New Roman" w:hAnsi="Times New Roman"/>
          <w:color w:val="000000"/>
          <w:sz w:val="28"/>
          <w:szCs w:val="28"/>
        </w:rPr>
        <w:t>. Parenthetically, heads of argument were not drawn by applicant’s counsel who appeared before us, hence this censure is not attributed to her.</w:t>
      </w:r>
    </w:p>
    <w:p w:rsidR="00C66BF7" w:rsidRPr="003328A3" w:rsidRDefault="00C66BF7" w:rsidP="00C66BF7">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What is obvious from the record is that the applicant terminated the mandate of his erstwhile legal representative</w:t>
      </w:r>
      <w:r w:rsidR="008B72C8">
        <w:rPr>
          <w:rFonts w:ascii="Times New Roman" w:hAnsi="Times New Roman"/>
          <w:color w:val="000000"/>
          <w:sz w:val="28"/>
          <w:szCs w:val="28"/>
        </w:rPr>
        <w:t xml:space="preserve"> and </w:t>
      </w:r>
      <w:r>
        <w:rPr>
          <w:rFonts w:ascii="Times New Roman" w:hAnsi="Times New Roman"/>
          <w:color w:val="000000"/>
          <w:sz w:val="28"/>
          <w:szCs w:val="28"/>
        </w:rPr>
        <w:t>secured further representation from an alternate firm of attorneys with senior counsel</w:t>
      </w:r>
      <w:r w:rsidR="004E358A">
        <w:rPr>
          <w:rFonts w:ascii="Times New Roman" w:hAnsi="Times New Roman"/>
          <w:color w:val="000000"/>
          <w:sz w:val="28"/>
          <w:szCs w:val="28"/>
        </w:rPr>
        <w:t xml:space="preserve"> being instructed to assume conduct of the trial.</w:t>
      </w:r>
    </w:p>
    <w:p w:rsidR="00B800F5" w:rsidRPr="00A62CE5" w:rsidRDefault="00473684" w:rsidP="00A62CE5">
      <w:pPr>
        <w:pStyle w:val="LegalList1"/>
        <w:spacing w:line="360" w:lineRule="auto"/>
        <w:ind w:left="131" w:firstLine="720"/>
        <w:rPr>
          <w:rFonts w:ascii="Times New Roman" w:hAnsi="Times New Roman"/>
          <w:b/>
          <w:sz w:val="28"/>
          <w:szCs w:val="28"/>
        </w:rPr>
      </w:pPr>
      <w:r>
        <w:rPr>
          <w:rFonts w:ascii="Times New Roman" w:hAnsi="Times New Roman"/>
          <w:b/>
          <w:color w:val="000000"/>
          <w:sz w:val="28"/>
          <w:szCs w:val="28"/>
        </w:rPr>
        <w:lastRenderedPageBreak/>
        <w:t>Recalling the State witness</w:t>
      </w:r>
    </w:p>
    <w:p w:rsidR="000013B3" w:rsidRDefault="00B21F8E" w:rsidP="00155E06">
      <w:pPr>
        <w:pStyle w:val="LegalList1"/>
        <w:numPr>
          <w:ilvl w:val="0"/>
          <w:numId w:val="2"/>
        </w:numPr>
        <w:tabs>
          <w:tab w:val="clear" w:pos="567"/>
        </w:tabs>
        <w:spacing w:line="360" w:lineRule="auto"/>
        <w:ind w:left="851" w:hanging="851"/>
        <w:rPr>
          <w:rFonts w:ascii="Times New Roman" w:hAnsi="Times New Roman"/>
          <w:sz w:val="28"/>
          <w:szCs w:val="28"/>
        </w:rPr>
      </w:pPr>
      <w:r w:rsidRPr="004A6A94">
        <w:rPr>
          <w:rFonts w:ascii="Times New Roman" w:hAnsi="Times New Roman"/>
          <w:sz w:val="28"/>
          <w:szCs w:val="28"/>
        </w:rPr>
        <w:t xml:space="preserve">In </w:t>
      </w:r>
      <w:r w:rsidR="00FB4CFF" w:rsidRPr="004A6A94">
        <w:rPr>
          <w:rFonts w:ascii="Times New Roman" w:hAnsi="Times New Roman"/>
          <w:sz w:val="28"/>
          <w:szCs w:val="28"/>
        </w:rPr>
        <w:t>raising this issue</w:t>
      </w:r>
      <w:r w:rsidRPr="004A6A94">
        <w:rPr>
          <w:rFonts w:ascii="Times New Roman" w:hAnsi="Times New Roman"/>
          <w:sz w:val="28"/>
          <w:szCs w:val="28"/>
        </w:rPr>
        <w:t xml:space="preserve"> senior counsel addressed the magistrate</w:t>
      </w:r>
      <w:r w:rsidR="00CB7106" w:rsidRPr="004A6A94">
        <w:rPr>
          <w:rFonts w:ascii="Times New Roman" w:hAnsi="Times New Roman"/>
          <w:sz w:val="28"/>
          <w:szCs w:val="28"/>
        </w:rPr>
        <w:t xml:space="preserve"> </w:t>
      </w:r>
      <w:r w:rsidR="002B6D01" w:rsidRPr="004A6A94">
        <w:rPr>
          <w:rFonts w:ascii="Times New Roman" w:hAnsi="Times New Roman"/>
          <w:sz w:val="28"/>
          <w:szCs w:val="28"/>
        </w:rPr>
        <w:t xml:space="preserve">stating </w:t>
      </w:r>
      <w:r w:rsidR="00CB7106" w:rsidRPr="004A6A94">
        <w:rPr>
          <w:rFonts w:ascii="Times New Roman" w:hAnsi="Times New Roman"/>
          <w:sz w:val="28"/>
          <w:szCs w:val="28"/>
        </w:rPr>
        <w:t>that he had ‘just come on board’ and ‘that there are a couple of very important</w:t>
      </w:r>
      <w:r w:rsidR="0081487C" w:rsidRPr="004A6A94">
        <w:rPr>
          <w:rFonts w:ascii="Times New Roman" w:hAnsi="Times New Roman"/>
          <w:sz w:val="28"/>
          <w:szCs w:val="28"/>
        </w:rPr>
        <w:t xml:space="preserve"> questions relating to the admissibility of the evidence’ adduced during the </w:t>
      </w:r>
      <w:r w:rsidR="00FB7D1A">
        <w:rPr>
          <w:rFonts w:ascii="Times New Roman" w:hAnsi="Times New Roman"/>
          <w:sz w:val="28"/>
          <w:szCs w:val="28"/>
        </w:rPr>
        <w:t>trial-within-the-trial</w:t>
      </w:r>
      <w:r w:rsidR="0081487C" w:rsidRPr="004A6A94">
        <w:rPr>
          <w:rFonts w:ascii="Times New Roman" w:hAnsi="Times New Roman"/>
          <w:sz w:val="28"/>
          <w:szCs w:val="28"/>
        </w:rPr>
        <w:t>.</w:t>
      </w:r>
    </w:p>
    <w:p w:rsidR="000013B3" w:rsidRPr="000013B3" w:rsidRDefault="000013B3" w:rsidP="00155E0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 pause to mention that Sergeant Frans relied on the provisions of </w:t>
      </w:r>
      <w:r>
        <w:rPr>
          <w:rFonts w:ascii="Times New Roman" w:hAnsi="Times New Roman"/>
          <w:color w:val="000000"/>
          <w:sz w:val="28"/>
          <w:szCs w:val="28"/>
        </w:rPr>
        <w:t xml:space="preserve">22(b)(i) and (ii) of the Criminal Procedure Act. The applicant did not testify, but in his founding affidavit the admissibility challenge is pegged on averments that he was not informed that he had a </w:t>
      </w:r>
      <w:r w:rsidR="006122E8">
        <w:rPr>
          <w:rFonts w:ascii="Times New Roman" w:hAnsi="Times New Roman"/>
          <w:color w:val="000000"/>
          <w:sz w:val="28"/>
          <w:szCs w:val="28"/>
        </w:rPr>
        <w:t>‘</w:t>
      </w:r>
      <w:r>
        <w:rPr>
          <w:rFonts w:ascii="Times New Roman" w:hAnsi="Times New Roman"/>
          <w:color w:val="000000"/>
          <w:sz w:val="28"/>
          <w:szCs w:val="28"/>
        </w:rPr>
        <w:t>right to refuse consent</w:t>
      </w:r>
      <w:r w:rsidR="006122E8">
        <w:rPr>
          <w:rFonts w:ascii="Times New Roman" w:hAnsi="Times New Roman"/>
          <w:color w:val="000000"/>
          <w:sz w:val="28"/>
          <w:szCs w:val="28"/>
        </w:rPr>
        <w:t>’</w:t>
      </w:r>
      <w:r>
        <w:rPr>
          <w:rFonts w:ascii="Times New Roman" w:hAnsi="Times New Roman"/>
          <w:color w:val="000000"/>
          <w:sz w:val="28"/>
          <w:szCs w:val="28"/>
        </w:rPr>
        <w:t xml:space="preserve"> and that he never consented to the search of the vehicle driven by him. </w:t>
      </w:r>
      <w:r w:rsidR="008A7932">
        <w:rPr>
          <w:rFonts w:ascii="Times New Roman" w:hAnsi="Times New Roman"/>
          <w:color w:val="000000"/>
          <w:sz w:val="28"/>
          <w:szCs w:val="28"/>
        </w:rPr>
        <w:t>Two points need to be made: First, t</w:t>
      </w:r>
      <w:r w:rsidR="006122E8">
        <w:rPr>
          <w:rFonts w:ascii="Times New Roman" w:hAnsi="Times New Roman"/>
          <w:color w:val="000000"/>
          <w:sz w:val="28"/>
          <w:szCs w:val="28"/>
        </w:rPr>
        <w:t xml:space="preserve">he </w:t>
      </w:r>
      <w:r w:rsidR="00CF40F8">
        <w:rPr>
          <w:rFonts w:ascii="Times New Roman" w:hAnsi="Times New Roman"/>
          <w:color w:val="000000"/>
          <w:sz w:val="28"/>
          <w:szCs w:val="28"/>
        </w:rPr>
        <w:t>r</w:t>
      </w:r>
      <w:r w:rsidR="006122E8">
        <w:rPr>
          <w:rFonts w:ascii="Times New Roman" w:hAnsi="Times New Roman"/>
          <w:color w:val="000000"/>
          <w:sz w:val="28"/>
          <w:szCs w:val="28"/>
        </w:rPr>
        <w:t xml:space="preserve">ight </w:t>
      </w:r>
      <w:r w:rsidR="00CF40F8">
        <w:rPr>
          <w:rFonts w:ascii="Times New Roman" w:hAnsi="Times New Roman"/>
          <w:color w:val="000000"/>
          <w:sz w:val="28"/>
          <w:szCs w:val="28"/>
        </w:rPr>
        <w:t>which the applicant arrogates to himself is not an attribute of section 22</w:t>
      </w:r>
      <w:r w:rsidR="008A7932">
        <w:rPr>
          <w:rFonts w:ascii="Times New Roman" w:hAnsi="Times New Roman"/>
          <w:color w:val="000000"/>
          <w:sz w:val="28"/>
          <w:szCs w:val="28"/>
        </w:rPr>
        <w:t>; and second, a</w:t>
      </w:r>
      <w:r>
        <w:rPr>
          <w:rFonts w:ascii="Times New Roman" w:hAnsi="Times New Roman"/>
          <w:color w:val="000000"/>
          <w:sz w:val="28"/>
          <w:szCs w:val="28"/>
        </w:rPr>
        <w:t xml:space="preserve"> plain reading of </w:t>
      </w:r>
      <w:r w:rsidR="00CF40F8">
        <w:rPr>
          <w:rFonts w:ascii="Times New Roman" w:hAnsi="Times New Roman"/>
          <w:color w:val="000000"/>
          <w:sz w:val="28"/>
          <w:szCs w:val="28"/>
        </w:rPr>
        <w:t xml:space="preserve">the section </w:t>
      </w:r>
      <w:r>
        <w:rPr>
          <w:rFonts w:ascii="Times New Roman" w:hAnsi="Times New Roman"/>
          <w:color w:val="000000"/>
          <w:sz w:val="28"/>
          <w:szCs w:val="28"/>
        </w:rPr>
        <w:t xml:space="preserve">reveals that consent is not a jurisdictional prerequisite </w:t>
      </w:r>
      <w:r w:rsidR="00196CDA">
        <w:rPr>
          <w:rFonts w:ascii="Times New Roman" w:hAnsi="Times New Roman"/>
          <w:color w:val="000000"/>
          <w:sz w:val="28"/>
          <w:szCs w:val="28"/>
        </w:rPr>
        <w:t xml:space="preserve">for </w:t>
      </w:r>
      <w:r>
        <w:rPr>
          <w:rFonts w:ascii="Times New Roman" w:hAnsi="Times New Roman"/>
          <w:color w:val="000000"/>
          <w:sz w:val="28"/>
          <w:szCs w:val="28"/>
        </w:rPr>
        <w:t>triggering the operation of subsections (b)(i) and (ii)</w:t>
      </w:r>
      <w:r w:rsidR="008A7932">
        <w:rPr>
          <w:rFonts w:ascii="Times New Roman" w:hAnsi="Times New Roman"/>
          <w:color w:val="000000"/>
          <w:sz w:val="28"/>
          <w:szCs w:val="28"/>
        </w:rPr>
        <w:t>.</w:t>
      </w:r>
      <w:r w:rsidR="005C5FAF">
        <w:rPr>
          <w:rFonts w:ascii="Times New Roman" w:hAnsi="Times New Roman"/>
          <w:color w:val="000000"/>
          <w:sz w:val="28"/>
          <w:szCs w:val="28"/>
        </w:rPr>
        <w:t xml:space="preserve"> Furthermore</w:t>
      </w:r>
      <w:r w:rsidR="00301B32">
        <w:rPr>
          <w:rFonts w:ascii="Times New Roman" w:hAnsi="Times New Roman"/>
          <w:color w:val="000000"/>
          <w:sz w:val="28"/>
          <w:szCs w:val="28"/>
        </w:rPr>
        <w:t>,</w:t>
      </w:r>
      <w:r w:rsidR="005C5FAF">
        <w:rPr>
          <w:rFonts w:ascii="Times New Roman" w:hAnsi="Times New Roman"/>
          <w:color w:val="000000"/>
          <w:sz w:val="28"/>
          <w:szCs w:val="28"/>
        </w:rPr>
        <w:t xml:space="preserve"> Sergeant Frans was not requested to comment on the applicant’s right to refuse consent.</w:t>
      </w:r>
    </w:p>
    <w:p w:rsidR="00497B43" w:rsidRDefault="0086522F" w:rsidP="00155E0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Gauging from th</w:t>
      </w:r>
      <w:r w:rsidR="00A51CF0">
        <w:rPr>
          <w:rFonts w:ascii="Times New Roman" w:hAnsi="Times New Roman"/>
          <w:sz w:val="28"/>
          <w:szCs w:val="28"/>
        </w:rPr>
        <w:t>e</w:t>
      </w:r>
      <w:r>
        <w:rPr>
          <w:rFonts w:ascii="Times New Roman" w:hAnsi="Times New Roman"/>
          <w:sz w:val="28"/>
          <w:szCs w:val="28"/>
        </w:rPr>
        <w:t xml:space="preserve"> very brief </w:t>
      </w:r>
      <w:r w:rsidR="003A1631">
        <w:rPr>
          <w:rFonts w:ascii="Times New Roman" w:hAnsi="Times New Roman"/>
          <w:sz w:val="28"/>
          <w:szCs w:val="28"/>
        </w:rPr>
        <w:t>address</w:t>
      </w:r>
      <w:r w:rsidR="00A51CF0">
        <w:rPr>
          <w:rFonts w:ascii="Times New Roman" w:hAnsi="Times New Roman"/>
          <w:sz w:val="28"/>
          <w:szCs w:val="28"/>
        </w:rPr>
        <w:t xml:space="preserve"> by senior counsel</w:t>
      </w:r>
      <w:r w:rsidR="005C5FAF">
        <w:rPr>
          <w:rFonts w:ascii="Times New Roman" w:hAnsi="Times New Roman"/>
          <w:sz w:val="28"/>
          <w:szCs w:val="28"/>
        </w:rPr>
        <w:t>,</w:t>
      </w:r>
      <w:r w:rsidR="003A1631">
        <w:rPr>
          <w:rFonts w:ascii="Times New Roman" w:hAnsi="Times New Roman"/>
          <w:sz w:val="28"/>
          <w:szCs w:val="28"/>
        </w:rPr>
        <w:t xml:space="preserve"> </w:t>
      </w:r>
      <w:r w:rsidR="007E10E0" w:rsidRPr="004A6A94">
        <w:rPr>
          <w:rFonts w:ascii="Times New Roman" w:hAnsi="Times New Roman"/>
          <w:sz w:val="28"/>
          <w:szCs w:val="28"/>
        </w:rPr>
        <w:t>t</w:t>
      </w:r>
      <w:r w:rsidR="00625B47" w:rsidRPr="004A6A94">
        <w:rPr>
          <w:rFonts w:ascii="Times New Roman" w:hAnsi="Times New Roman"/>
          <w:sz w:val="28"/>
          <w:szCs w:val="28"/>
        </w:rPr>
        <w:t xml:space="preserve">he recalling of the witness </w:t>
      </w:r>
      <w:r w:rsidR="007E10E0" w:rsidRPr="004A6A94">
        <w:rPr>
          <w:rFonts w:ascii="Times New Roman" w:hAnsi="Times New Roman"/>
          <w:sz w:val="28"/>
          <w:szCs w:val="28"/>
        </w:rPr>
        <w:t xml:space="preserve">appears to </w:t>
      </w:r>
      <w:r w:rsidR="008E77EF">
        <w:rPr>
          <w:rFonts w:ascii="Times New Roman" w:hAnsi="Times New Roman"/>
          <w:sz w:val="28"/>
          <w:szCs w:val="28"/>
        </w:rPr>
        <w:t xml:space="preserve">include </w:t>
      </w:r>
      <w:r w:rsidR="00625B47" w:rsidRPr="004A6A94">
        <w:rPr>
          <w:rFonts w:ascii="Times New Roman" w:hAnsi="Times New Roman"/>
          <w:sz w:val="28"/>
          <w:szCs w:val="28"/>
        </w:rPr>
        <w:t>a challenge</w:t>
      </w:r>
      <w:r w:rsidR="007E10E0" w:rsidRPr="004A6A94">
        <w:rPr>
          <w:rFonts w:ascii="Times New Roman" w:hAnsi="Times New Roman"/>
          <w:sz w:val="28"/>
          <w:szCs w:val="28"/>
        </w:rPr>
        <w:t xml:space="preserve"> directed at the admissibility of the evidence in the </w:t>
      </w:r>
      <w:r w:rsidR="00FB7D1A">
        <w:rPr>
          <w:rFonts w:ascii="Times New Roman" w:hAnsi="Times New Roman"/>
          <w:sz w:val="28"/>
          <w:szCs w:val="28"/>
        </w:rPr>
        <w:t>trial-within-a-trial</w:t>
      </w:r>
      <w:r w:rsidR="007E10E0" w:rsidRPr="004A6A94">
        <w:rPr>
          <w:rFonts w:ascii="Times New Roman" w:hAnsi="Times New Roman"/>
          <w:sz w:val="28"/>
          <w:szCs w:val="28"/>
        </w:rPr>
        <w:t xml:space="preserve">. </w:t>
      </w:r>
      <w:r w:rsidR="003A5035" w:rsidRPr="004A6A94">
        <w:rPr>
          <w:rFonts w:ascii="Times New Roman" w:hAnsi="Times New Roman"/>
          <w:sz w:val="28"/>
          <w:szCs w:val="28"/>
        </w:rPr>
        <w:t xml:space="preserve">Applicant’s counsel did not specify the specific issues, nor any issues at all, which he intended to </w:t>
      </w:r>
      <w:r w:rsidR="008A6233" w:rsidRPr="004A6A94">
        <w:rPr>
          <w:rFonts w:ascii="Times New Roman" w:hAnsi="Times New Roman"/>
          <w:sz w:val="28"/>
          <w:szCs w:val="28"/>
        </w:rPr>
        <w:t xml:space="preserve">traverse with </w:t>
      </w:r>
      <w:r w:rsidR="003A5035" w:rsidRPr="004A6A94">
        <w:rPr>
          <w:rFonts w:ascii="Times New Roman" w:hAnsi="Times New Roman"/>
          <w:sz w:val="28"/>
          <w:szCs w:val="28"/>
        </w:rPr>
        <w:t>Sergeant Frans</w:t>
      </w:r>
      <w:r w:rsidR="00A10C08" w:rsidRPr="004A6A94">
        <w:rPr>
          <w:rFonts w:ascii="Times New Roman" w:hAnsi="Times New Roman"/>
          <w:sz w:val="28"/>
          <w:szCs w:val="28"/>
        </w:rPr>
        <w:t xml:space="preserve">. </w:t>
      </w:r>
      <w:r w:rsidR="00FF13C8" w:rsidRPr="004A6A94">
        <w:rPr>
          <w:rFonts w:ascii="Times New Roman" w:hAnsi="Times New Roman"/>
          <w:sz w:val="28"/>
          <w:szCs w:val="28"/>
        </w:rPr>
        <w:t>This failing is similarly manifest in the applicant’s founding affidavit</w:t>
      </w:r>
      <w:r w:rsidR="00497B43">
        <w:rPr>
          <w:rFonts w:ascii="Times New Roman" w:hAnsi="Times New Roman"/>
          <w:sz w:val="28"/>
          <w:szCs w:val="28"/>
        </w:rPr>
        <w:t>, more pertinently</w:t>
      </w:r>
      <w:r w:rsidR="00D1559D" w:rsidRPr="004A6A94">
        <w:rPr>
          <w:rFonts w:ascii="Times New Roman" w:hAnsi="Times New Roman"/>
          <w:sz w:val="28"/>
          <w:szCs w:val="28"/>
        </w:rPr>
        <w:t xml:space="preserve"> </w:t>
      </w:r>
      <w:r w:rsidR="00497B43">
        <w:rPr>
          <w:rFonts w:ascii="Times New Roman" w:hAnsi="Times New Roman"/>
          <w:sz w:val="28"/>
          <w:szCs w:val="28"/>
        </w:rPr>
        <w:t>where he states:</w:t>
      </w:r>
    </w:p>
    <w:p w:rsidR="00C018AB" w:rsidRPr="00C018AB" w:rsidRDefault="00497B43" w:rsidP="00C018AB">
      <w:pPr>
        <w:pStyle w:val="LegalList1"/>
        <w:spacing w:line="360" w:lineRule="auto"/>
        <w:ind w:left="851"/>
        <w:rPr>
          <w:rFonts w:ascii="Times New Roman" w:hAnsi="Times New Roman"/>
        </w:rPr>
      </w:pPr>
      <w:r w:rsidRPr="00C018AB">
        <w:rPr>
          <w:rFonts w:ascii="Times New Roman" w:hAnsi="Times New Roman"/>
        </w:rPr>
        <w:t xml:space="preserve">‘The original attorney representing me did not ask all the right questions in the view of senior counsel and senior counsel felt the need to re-examine some of the comments </w:t>
      </w:r>
      <w:r w:rsidR="00C018AB" w:rsidRPr="00C018AB">
        <w:rPr>
          <w:rFonts w:ascii="Times New Roman" w:hAnsi="Times New Roman"/>
        </w:rPr>
        <w:t xml:space="preserve">that </w:t>
      </w:r>
      <w:r w:rsidRPr="00C018AB">
        <w:rPr>
          <w:rFonts w:ascii="Times New Roman" w:hAnsi="Times New Roman"/>
        </w:rPr>
        <w:t>the witness Frans</w:t>
      </w:r>
      <w:r w:rsidR="00C018AB" w:rsidRPr="00C018AB">
        <w:rPr>
          <w:rFonts w:ascii="Times New Roman" w:hAnsi="Times New Roman"/>
        </w:rPr>
        <w:t>, made and pose questions to him which senior counsel believed should have been posed.’</w:t>
      </w:r>
    </w:p>
    <w:p w:rsidR="00231460" w:rsidRDefault="004A6A94" w:rsidP="00155E0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I</w:t>
      </w:r>
      <w:r w:rsidRPr="004A6A94">
        <w:rPr>
          <w:rFonts w:ascii="Times New Roman" w:hAnsi="Times New Roman"/>
          <w:sz w:val="28"/>
          <w:szCs w:val="28"/>
        </w:rPr>
        <w:t>t is salutary for an applicant in motion proceedings to make out its case in its founding papers.</w:t>
      </w:r>
      <w:r>
        <w:rPr>
          <w:rFonts w:ascii="Times New Roman" w:hAnsi="Times New Roman"/>
          <w:sz w:val="28"/>
          <w:szCs w:val="28"/>
        </w:rPr>
        <w:t xml:space="preserve"> </w:t>
      </w:r>
      <w:r w:rsidR="008E77EF">
        <w:rPr>
          <w:rFonts w:ascii="Times New Roman" w:hAnsi="Times New Roman"/>
          <w:sz w:val="28"/>
          <w:szCs w:val="28"/>
        </w:rPr>
        <w:t>From the aforegoing, o</w:t>
      </w:r>
      <w:r w:rsidR="00C018AB">
        <w:rPr>
          <w:rFonts w:ascii="Times New Roman" w:hAnsi="Times New Roman"/>
          <w:sz w:val="28"/>
          <w:szCs w:val="28"/>
        </w:rPr>
        <w:t xml:space="preserve">ne </w:t>
      </w:r>
      <w:r w:rsidR="0088595E">
        <w:rPr>
          <w:rFonts w:ascii="Times New Roman" w:hAnsi="Times New Roman"/>
          <w:sz w:val="28"/>
          <w:szCs w:val="28"/>
        </w:rPr>
        <w:t xml:space="preserve">cannot </w:t>
      </w:r>
      <w:r w:rsidR="00F87708">
        <w:rPr>
          <w:rFonts w:ascii="Times New Roman" w:hAnsi="Times New Roman"/>
          <w:sz w:val="28"/>
          <w:szCs w:val="28"/>
        </w:rPr>
        <w:t xml:space="preserve">appreciate </w:t>
      </w:r>
      <w:r w:rsidR="0088595E">
        <w:rPr>
          <w:rFonts w:ascii="Times New Roman" w:hAnsi="Times New Roman"/>
          <w:sz w:val="28"/>
          <w:szCs w:val="28"/>
        </w:rPr>
        <w:t>what exactly it is that the applicant conveys</w:t>
      </w:r>
      <w:r w:rsidR="00006078">
        <w:rPr>
          <w:rFonts w:ascii="Times New Roman" w:hAnsi="Times New Roman"/>
          <w:sz w:val="28"/>
          <w:szCs w:val="28"/>
        </w:rPr>
        <w:t>,</w:t>
      </w:r>
      <w:r w:rsidR="0088595E">
        <w:rPr>
          <w:rFonts w:ascii="Times New Roman" w:hAnsi="Times New Roman"/>
          <w:sz w:val="28"/>
          <w:szCs w:val="28"/>
        </w:rPr>
        <w:t xml:space="preserve"> </w:t>
      </w:r>
      <w:r w:rsidR="001760FF">
        <w:rPr>
          <w:rFonts w:ascii="Times New Roman" w:hAnsi="Times New Roman"/>
          <w:sz w:val="28"/>
          <w:szCs w:val="28"/>
        </w:rPr>
        <w:t xml:space="preserve">except for deducing that </w:t>
      </w:r>
      <w:r w:rsidR="0088595E">
        <w:rPr>
          <w:rFonts w:ascii="Times New Roman" w:hAnsi="Times New Roman"/>
          <w:sz w:val="28"/>
          <w:szCs w:val="28"/>
        </w:rPr>
        <w:t xml:space="preserve">this court ought to elevate </w:t>
      </w:r>
      <w:r w:rsidR="00196CDA">
        <w:rPr>
          <w:rFonts w:ascii="Times New Roman" w:hAnsi="Times New Roman"/>
          <w:sz w:val="28"/>
          <w:szCs w:val="28"/>
        </w:rPr>
        <w:t xml:space="preserve">and weigh </w:t>
      </w:r>
      <w:r w:rsidR="0088595E">
        <w:rPr>
          <w:rFonts w:ascii="Times New Roman" w:hAnsi="Times New Roman"/>
          <w:sz w:val="28"/>
          <w:szCs w:val="28"/>
        </w:rPr>
        <w:t>the importance of his case on the pretext of what senior counsel believes to be relevant.</w:t>
      </w:r>
    </w:p>
    <w:p w:rsidR="00493C36" w:rsidRDefault="00493C36" w:rsidP="00155E0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Elsewhere</w:t>
      </w:r>
      <w:r w:rsidR="00006078">
        <w:rPr>
          <w:rFonts w:ascii="Times New Roman" w:hAnsi="Times New Roman"/>
          <w:sz w:val="28"/>
          <w:szCs w:val="28"/>
        </w:rPr>
        <w:t xml:space="preserve"> in his founding affidavit</w:t>
      </w:r>
      <w:r>
        <w:rPr>
          <w:rFonts w:ascii="Times New Roman" w:hAnsi="Times New Roman"/>
          <w:sz w:val="28"/>
          <w:szCs w:val="28"/>
        </w:rPr>
        <w:t>, the applicant berates the magistrate for having given ‘a laconic, unhelpful and frankly meaningless judgment’. It does not lie i</w:t>
      </w:r>
      <w:r w:rsidR="00C71165">
        <w:rPr>
          <w:rFonts w:ascii="Times New Roman" w:hAnsi="Times New Roman"/>
          <w:sz w:val="28"/>
          <w:szCs w:val="28"/>
        </w:rPr>
        <w:t xml:space="preserve">n the mouth of the applicant to be scornful </w:t>
      </w:r>
      <w:r w:rsidR="00A51CF0">
        <w:rPr>
          <w:rFonts w:ascii="Times New Roman" w:hAnsi="Times New Roman"/>
          <w:sz w:val="28"/>
          <w:szCs w:val="28"/>
        </w:rPr>
        <w:t xml:space="preserve">of </w:t>
      </w:r>
      <w:r>
        <w:rPr>
          <w:rFonts w:ascii="Times New Roman" w:hAnsi="Times New Roman"/>
          <w:sz w:val="28"/>
          <w:szCs w:val="28"/>
        </w:rPr>
        <w:t>the magistrate in such trenchant language</w:t>
      </w:r>
      <w:r w:rsidR="00C71165">
        <w:rPr>
          <w:rFonts w:ascii="Times New Roman" w:hAnsi="Times New Roman"/>
          <w:sz w:val="28"/>
          <w:szCs w:val="28"/>
        </w:rPr>
        <w:t>, particularly where it can be stated without hesitation</w:t>
      </w:r>
      <w:r w:rsidR="003913C4">
        <w:rPr>
          <w:rFonts w:ascii="Times New Roman" w:hAnsi="Times New Roman"/>
          <w:sz w:val="28"/>
          <w:szCs w:val="28"/>
        </w:rPr>
        <w:t xml:space="preserve"> that the deficiency in his papers and his approach to this court is nothing more than an abuse of process.</w:t>
      </w:r>
      <w:r w:rsidR="00A51CF0">
        <w:rPr>
          <w:rFonts w:ascii="Times New Roman" w:hAnsi="Times New Roman"/>
          <w:sz w:val="28"/>
          <w:szCs w:val="28"/>
        </w:rPr>
        <w:t xml:space="preserve"> Subjective language </w:t>
      </w:r>
      <w:r w:rsidR="00DE7934">
        <w:rPr>
          <w:rFonts w:ascii="Times New Roman" w:hAnsi="Times New Roman"/>
          <w:sz w:val="28"/>
          <w:szCs w:val="28"/>
        </w:rPr>
        <w:t xml:space="preserve">by a layperson </w:t>
      </w:r>
      <w:r w:rsidR="00A51CF0">
        <w:rPr>
          <w:rFonts w:ascii="Times New Roman" w:hAnsi="Times New Roman"/>
          <w:sz w:val="28"/>
          <w:szCs w:val="28"/>
        </w:rPr>
        <w:t xml:space="preserve">should never be allowed to </w:t>
      </w:r>
      <w:r w:rsidR="00DE7934">
        <w:rPr>
          <w:rFonts w:ascii="Times New Roman" w:hAnsi="Times New Roman"/>
          <w:sz w:val="28"/>
          <w:szCs w:val="28"/>
        </w:rPr>
        <w:t>attribute disrespectable reflections upo</w:t>
      </w:r>
      <w:r w:rsidR="0013466D">
        <w:rPr>
          <w:rFonts w:ascii="Times New Roman" w:hAnsi="Times New Roman"/>
          <w:sz w:val="28"/>
          <w:szCs w:val="28"/>
        </w:rPr>
        <w:t>n a judicial officer. L</w:t>
      </w:r>
      <w:r w:rsidR="00D74714">
        <w:rPr>
          <w:rFonts w:ascii="Times New Roman" w:hAnsi="Times New Roman"/>
          <w:sz w:val="28"/>
          <w:szCs w:val="28"/>
        </w:rPr>
        <w:t>egal representative</w:t>
      </w:r>
      <w:r w:rsidR="00C95891">
        <w:rPr>
          <w:rFonts w:ascii="Times New Roman" w:hAnsi="Times New Roman"/>
          <w:sz w:val="28"/>
          <w:szCs w:val="28"/>
        </w:rPr>
        <w:t>s acting for litigants in these circumstances should ca</w:t>
      </w:r>
      <w:r w:rsidR="00CE6ABC">
        <w:rPr>
          <w:rFonts w:ascii="Times New Roman" w:hAnsi="Times New Roman"/>
          <w:sz w:val="28"/>
          <w:szCs w:val="28"/>
        </w:rPr>
        <w:t xml:space="preserve">ution their clients accordingly; and choice of language by those employed to draft papers on behalf of their clients should </w:t>
      </w:r>
      <w:r w:rsidR="00C91924">
        <w:rPr>
          <w:rFonts w:ascii="Times New Roman" w:hAnsi="Times New Roman"/>
          <w:sz w:val="28"/>
          <w:szCs w:val="28"/>
        </w:rPr>
        <w:t xml:space="preserve">be restrained and </w:t>
      </w:r>
      <w:r w:rsidR="00CE6ABC">
        <w:rPr>
          <w:rFonts w:ascii="Times New Roman" w:hAnsi="Times New Roman"/>
          <w:sz w:val="28"/>
          <w:szCs w:val="28"/>
        </w:rPr>
        <w:t>rarely</w:t>
      </w:r>
      <w:r w:rsidR="00C91924">
        <w:rPr>
          <w:rFonts w:ascii="Times New Roman" w:hAnsi="Times New Roman"/>
          <w:sz w:val="28"/>
          <w:szCs w:val="28"/>
        </w:rPr>
        <w:t>, if ever,</w:t>
      </w:r>
      <w:r w:rsidR="00CE6ABC">
        <w:rPr>
          <w:rFonts w:ascii="Times New Roman" w:hAnsi="Times New Roman"/>
          <w:sz w:val="28"/>
          <w:szCs w:val="28"/>
        </w:rPr>
        <w:t xml:space="preserve"> be couched with indig</w:t>
      </w:r>
      <w:r w:rsidR="00F03B79">
        <w:rPr>
          <w:rFonts w:ascii="Times New Roman" w:hAnsi="Times New Roman"/>
          <w:sz w:val="28"/>
          <w:szCs w:val="28"/>
        </w:rPr>
        <w:t>nance.</w:t>
      </w:r>
    </w:p>
    <w:p w:rsidR="00FE6A8A" w:rsidRDefault="00734380" w:rsidP="00155E0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Other than averring that the magistrate</w:t>
      </w:r>
      <w:r w:rsidR="00810963">
        <w:rPr>
          <w:rFonts w:ascii="Times New Roman" w:hAnsi="Times New Roman"/>
          <w:sz w:val="28"/>
          <w:szCs w:val="28"/>
        </w:rPr>
        <w:t xml:space="preserve"> was biased and that her</w:t>
      </w:r>
      <w:r>
        <w:rPr>
          <w:rFonts w:ascii="Times New Roman" w:hAnsi="Times New Roman"/>
          <w:sz w:val="28"/>
          <w:szCs w:val="28"/>
        </w:rPr>
        <w:t xml:space="preserve"> refusal </w:t>
      </w:r>
      <w:r w:rsidR="00810963">
        <w:rPr>
          <w:rFonts w:ascii="Times New Roman" w:hAnsi="Times New Roman"/>
          <w:sz w:val="28"/>
          <w:szCs w:val="28"/>
        </w:rPr>
        <w:t xml:space="preserve">to recall the witness constituted </w:t>
      </w:r>
      <w:r>
        <w:rPr>
          <w:rFonts w:ascii="Times New Roman" w:hAnsi="Times New Roman"/>
          <w:sz w:val="28"/>
          <w:szCs w:val="28"/>
        </w:rPr>
        <w:t>a gross irregularity</w:t>
      </w:r>
      <w:r w:rsidR="00810963">
        <w:rPr>
          <w:rFonts w:ascii="Times New Roman" w:hAnsi="Times New Roman"/>
          <w:sz w:val="28"/>
          <w:szCs w:val="28"/>
        </w:rPr>
        <w:t>, n</w:t>
      </w:r>
      <w:r w:rsidR="00D1559D" w:rsidRPr="004A6A94">
        <w:rPr>
          <w:rFonts w:ascii="Times New Roman" w:hAnsi="Times New Roman"/>
          <w:sz w:val="28"/>
          <w:szCs w:val="28"/>
        </w:rPr>
        <w:t xml:space="preserve">o facts </w:t>
      </w:r>
      <w:r w:rsidR="004C72E2">
        <w:rPr>
          <w:rFonts w:ascii="Times New Roman" w:hAnsi="Times New Roman"/>
          <w:sz w:val="28"/>
          <w:szCs w:val="28"/>
        </w:rPr>
        <w:t xml:space="preserve">have been presented by the applicant </w:t>
      </w:r>
      <w:r w:rsidR="00D1559D" w:rsidRPr="004A6A94">
        <w:rPr>
          <w:rFonts w:ascii="Times New Roman" w:hAnsi="Times New Roman"/>
          <w:sz w:val="28"/>
          <w:szCs w:val="28"/>
        </w:rPr>
        <w:t>which could inform the basis</w:t>
      </w:r>
      <w:r w:rsidR="00E94E56" w:rsidRPr="004A6A94">
        <w:rPr>
          <w:rFonts w:ascii="Times New Roman" w:hAnsi="Times New Roman"/>
          <w:sz w:val="28"/>
          <w:szCs w:val="28"/>
        </w:rPr>
        <w:t xml:space="preserve"> upon which this court</w:t>
      </w:r>
      <w:r w:rsidR="00FB4CFF" w:rsidRPr="004A6A94">
        <w:rPr>
          <w:rFonts w:ascii="Times New Roman" w:hAnsi="Times New Roman"/>
          <w:sz w:val="28"/>
          <w:szCs w:val="28"/>
        </w:rPr>
        <w:t xml:space="preserve"> should order that Sergeant Frans be recalled</w:t>
      </w:r>
      <w:r w:rsidR="00A10C08" w:rsidRPr="004A6A94">
        <w:rPr>
          <w:rFonts w:ascii="Times New Roman" w:hAnsi="Times New Roman"/>
          <w:sz w:val="28"/>
          <w:szCs w:val="28"/>
        </w:rPr>
        <w:t xml:space="preserve"> at the instance of defen</w:t>
      </w:r>
      <w:r w:rsidR="00BD270A">
        <w:rPr>
          <w:rFonts w:ascii="Times New Roman" w:hAnsi="Times New Roman"/>
          <w:sz w:val="28"/>
          <w:szCs w:val="28"/>
        </w:rPr>
        <w:t>c</w:t>
      </w:r>
      <w:r w:rsidR="00A10C08" w:rsidRPr="004A6A94">
        <w:rPr>
          <w:rFonts w:ascii="Times New Roman" w:hAnsi="Times New Roman"/>
          <w:sz w:val="28"/>
          <w:szCs w:val="28"/>
        </w:rPr>
        <w:t>e</w:t>
      </w:r>
      <w:r w:rsidR="00FB4CFF" w:rsidRPr="004A6A94">
        <w:rPr>
          <w:rFonts w:ascii="Times New Roman" w:hAnsi="Times New Roman"/>
          <w:sz w:val="28"/>
          <w:szCs w:val="28"/>
        </w:rPr>
        <w:t xml:space="preserve"> </w:t>
      </w:r>
      <w:r w:rsidR="00A10C08" w:rsidRPr="004A6A94">
        <w:rPr>
          <w:rFonts w:ascii="Times New Roman" w:hAnsi="Times New Roman"/>
          <w:sz w:val="28"/>
          <w:szCs w:val="28"/>
        </w:rPr>
        <w:t>counsel.</w:t>
      </w:r>
    </w:p>
    <w:p w:rsidR="00E14649" w:rsidRDefault="0093382C" w:rsidP="00C95D74">
      <w:pPr>
        <w:pStyle w:val="LegalList1"/>
        <w:numPr>
          <w:ilvl w:val="0"/>
          <w:numId w:val="2"/>
        </w:numPr>
        <w:tabs>
          <w:tab w:val="clear" w:pos="567"/>
        </w:tabs>
        <w:spacing w:line="360" w:lineRule="auto"/>
        <w:ind w:left="851" w:hanging="851"/>
        <w:rPr>
          <w:rFonts w:ascii="Times New Roman" w:hAnsi="Times New Roman"/>
          <w:sz w:val="28"/>
          <w:szCs w:val="28"/>
        </w:rPr>
      </w:pPr>
      <w:r w:rsidRPr="00307026">
        <w:rPr>
          <w:rFonts w:ascii="Times New Roman" w:hAnsi="Times New Roman"/>
          <w:sz w:val="28"/>
          <w:szCs w:val="28"/>
        </w:rPr>
        <w:t xml:space="preserve">Where </w:t>
      </w:r>
      <w:r w:rsidR="00D229DB" w:rsidRPr="00307026">
        <w:rPr>
          <w:rFonts w:ascii="Times New Roman" w:hAnsi="Times New Roman"/>
          <w:sz w:val="28"/>
          <w:szCs w:val="28"/>
        </w:rPr>
        <w:t>issues</w:t>
      </w:r>
      <w:r w:rsidR="00543209">
        <w:rPr>
          <w:rFonts w:ascii="Times New Roman" w:hAnsi="Times New Roman"/>
          <w:sz w:val="28"/>
          <w:szCs w:val="28"/>
        </w:rPr>
        <w:t xml:space="preserve"> of relevance </w:t>
      </w:r>
      <w:r w:rsidRPr="00307026">
        <w:rPr>
          <w:rFonts w:ascii="Times New Roman" w:hAnsi="Times New Roman"/>
          <w:sz w:val="28"/>
          <w:szCs w:val="28"/>
        </w:rPr>
        <w:t>ha</w:t>
      </w:r>
      <w:r w:rsidR="00D229DB" w:rsidRPr="00307026">
        <w:rPr>
          <w:rFonts w:ascii="Times New Roman" w:hAnsi="Times New Roman"/>
          <w:sz w:val="28"/>
          <w:szCs w:val="28"/>
        </w:rPr>
        <w:t xml:space="preserve">ve not been identified, this court is hamstrung </w:t>
      </w:r>
      <w:r w:rsidR="002C4400" w:rsidRPr="00307026">
        <w:rPr>
          <w:rFonts w:ascii="Times New Roman" w:hAnsi="Times New Roman"/>
          <w:sz w:val="28"/>
          <w:szCs w:val="28"/>
        </w:rPr>
        <w:t>to ask how did the magistrate’s ruling</w:t>
      </w:r>
      <w:r w:rsidR="00367828" w:rsidRPr="00307026">
        <w:rPr>
          <w:rFonts w:ascii="Times New Roman" w:hAnsi="Times New Roman"/>
          <w:sz w:val="28"/>
          <w:szCs w:val="28"/>
        </w:rPr>
        <w:t xml:space="preserve"> </w:t>
      </w:r>
      <w:r w:rsidR="00307026">
        <w:rPr>
          <w:rFonts w:ascii="Times New Roman" w:hAnsi="Times New Roman"/>
          <w:sz w:val="28"/>
          <w:szCs w:val="28"/>
        </w:rPr>
        <w:t xml:space="preserve">infringe </w:t>
      </w:r>
      <w:r w:rsidR="002C4400" w:rsidRPr="00307026">
        <w:rPr>
          <w:rFonts w:ascii="Times New Roman" w:hAnsi="Times New Roman"/>
          <w:sz w:val="28"/>
          <w:szCs w:val="28"/>
        </w:rPr>
        <w:t>the applicant’s</w:t>
      </w:r>
      <w:r w:rsidR="00367828" w:rsidRPr="00307026">
        <w:rPr>
          <w:rFonts w:ascii="Times New Roman" w:hAnsi="Times New Roman"/>
          <w:sz w:val="28"/>
          <w:szCs w:val="28"/>
        </w:rPr>
        <w:t xml:space="preserve"> asserted right to a fair trial</w:t>
      </w:r>
      <w:r w:rsidR="00704D02" w:rsidRPr="00307026">
        <w:rPr>
          <w:rFonts w:ascii="Times New Roman" w:hAnsi="Times New Roman"/>
          <w:sz w:val="28"/>
          <w:szCs w:val="28"/>
        </w:rPr>
        <w:t xml:space="preserve"> to his detriment and prejudice</w:t>
      </w:r>
      <w:r w:rsidR="00367828" w:rsidRPr="00307026">
        <w:rPr>
          <w:rFonts w:ascii="Times New Roman" w:hAnsi="Times New Roman"/>
          <w:sz w:val="28"/>
          <w:szCs w:val="28"/>
        </w:rPr>
        <w:t>.</w:t>
      </w:r>
      <w:r w:rsidR="00307026">
        <w:rPr>
          <w:rFonts w:ascii="Times New Roman" w:hAnsi="Times New Roman"/>
          <w:sz w:val="28"/>
          <w:szCs w:val="28"/>
        </w:rPr>
        <w:t xml:space="preserve"> </w:t>
      </w:r>
      <w:r w:rsidR="000233F6" w:rsidRPr="00307026">
        <w:rPr>
          <w:rFonts w:ascii="Times New Roman" w:hAnsi="Times New Roman"/>
          <w:sz w:val="28"/>
          <w:szCs w:val="28"/>
        </w:rPr>
        <w:t xml:space="preserve">In circumstances where the applicant </w:t>
      </w:r>
      <w:r w:rsidR="001C0938">
        <w:rPr>
          <w:rFonts w:ascii="Times New Roman" w:hAnsi="Times New Roman"/>
          <w:sz w:val="28"/>
          <w:szCs w:val="28"/>
        </w:rPr>
        <w:t xml:space="preserve">was present in court, </w:t>
      </w:r>
      <w:r w:rsidR="00AF7BA4" w:rsidRPr="00307026">
        <w:rPr>
          <w:rFonts w:ascii="Times New Roman" w:hAnsi="Times New Roman"/>
          <w:sz w:val="28"/>
          <w:szCs w:val="28"/>
        </w:rPr>
        <w:t xml:space="preserve">remained silent and </w:t>
      </w:r>
      <w:r w:rsidR="000233F6" w:rsidRPr="00307026">
        <w:rPr>
          <w:rFonts w:ascii="Times New Roman" w:hAnsi="Times New Roman"/>
          <w:sz w:val="28"/>
          <w:szCs w:val="28"/>
        </w:rPr>
        <w:t>did not testify</w:t>
      </w:r>
      <w:r w:rsidR="00072477" w:rsidRPr="00307026">
        <w:rPr>
          <w:rFonts w:ascii="Times New Roman" w:hAnsi="Times New Roman"/>
          <w:sz w:val="28"/>
          <w:szCs w:val="28"/>
        </w:rPr>
        <w:t xml:space="preserve"> (it being his right to do so)</w:t>
      </w:r>
      <w:r w:rsidR="000233F6" w:rsidRPr="00307026">
        <w:rPr>
          <w:rFonts w:ascii="Times New Roman" w:hAnsi="Times New Roman"/>
          <w:sz w:val="28"/>
          <w:szCs w:val="28"/>
        </w:rPr>
        <w:t xml:space="preserve">, the ruling by the magistrate </w:t>
      </w:r>
      <w:r w:rsidR="000233F6" w:rsidRPr="00307026">
        <w:rPr>
          <w:rFonts w:ascii="Times New Roman" w:hAnsi="Times New Roman"/>
          <w:sz w:val="28"/>
          <w:szCs w:val="28"/>
        </w:rPr>
        <w:lastRenderedPageBreak/>
        <w:t xml:space="preserve">had to be made on </w:t>
      </w:r>
      <w:r w:rsidR="006242B3">
        <w:rPr>
          <w:rFonts w:ascii="Times New Roman" w:hAnsi="Times New Roman"/>
          <w:sz w:val="28"/>
          <w:szCs w:val="28"/>
        </w:rPr>
        <w:t xml:space="preserve">her assessment of </w:t>
      </w:r>
      <w:r w:rsidR="000233F6" w:rsidRPr="00307026">
        <w:rPr>
          <w:rFonts w:ascii="Times New Roman" w:hAnsi="Times New Roman"/>
          <w:sz w:val="28"/>
          <w:szCs w:val="28"/>
        </w:rPr>
        <w:t>the evidence presented by the State.</w:t>
      </w:r>
      <w:r w:rsidR="000233F6">
        <w:rPr>
          <w:rStyle w:val="FootnoteReference"/>
          <w:rFonts w:ascii="Times New Roman" w:hAnsi="Times New Roman"/>
          <w:sz w:val="28"/>
          <w:szCs w:val="28"/>
        </w:rPr>
        <w:footnoteReference w:id="4"/>
      </w:r>
      <w:r w:rsidR="000233F6" w:rsidRPr="00307026">
        <w:rPr>
          <w:rFonts w:ascii="Times New Roman" w:hAnsi="Times New Roman"/>
          <w:sz w:val="28"/>
          <w:szCs w:val="28"/>
        </w:rPr>
        <w:t xml:space="preserve"> </w:t>
      </w:r>
      <w:r w:rsidR="0007403E">
        <w:rPr>
          <w:rFonts w:ascii="Times New Roman" w:hAnsi="Times New Roman"/>
          <w:sz w:val="28"/>
          <w:szCs w:val="28"/>
        </w:rPr>
        <w:t>That much ought to be plain to the applicant</w:t>
      </w:r>
      <w:r w:rsidR="00BD270A">
        <w:rPr>
          <w:rFonts w:ascii="Times New Roman" w:hAnsi="Times New Roman"/>
          <w:sz w:val="28"/>
          <w:szCs w:val="28"/>
        </w:rPr>
        <w:t>,</w:t>
      </w:r>
      <w:r w:rsidR="00130011">
        <w:rPr>
          <w:rFonts w:ascii="Times New Roman" w:hAnsi="Times New Roman"/>
          <w:sz w:val="28"/>
          <w:szCs w:val="28"/>
        </w:rPr>
        <w:t xml:space="preserve"> </w:t>
      </w:r>
      <w:r w:rsidR="004F2AE2">
        <w:rPr>
          <w:rFonts w:ascii="Times New Roman" w:hAnsi="Times New Roman"/>
          <w:sz w:val="28"/>
          <w:szCs w:val="28"/>
        </w:rPr>
        <w:t xml:space="preserve">rendering his insistence on reasons </w:t>
      </w:r>
      <w:r w:rsidR="00130011">
        <w:rPr>
          <w:rFonts w:ascii="Times New Roman" w:hAnsi="Times New Roman"/>
          <w:sz w:val="28"/>
          <w:szCs w:val="28"/>
        </w:rPr>
        <w:t>a ruse.</w:t>
      </w:r>
      <w:r w:rsidR="0007403E">
        <w:rPr>
          <w:rFonts w:ascii="Times New Roman" w:hAnsi="Times New Roman"/>
          <w:sz w:val="28"/>
          <w:szCs w:val="28"/>
        </w:rPr>
        <w:t xml:space="preserve"> </w:t>
      </w:r>
      <w:r w:rsidR="006242B3">
        <w:rPr>
          <w:rFonts w:ascii="Times New Roman" w:hAnsi="Times New Roman"/>
          <w:sz w:val="28"/>
          <w:szCs w:val="28"/>
        </w:rPr>
        <w:t xml:space="preserve">In the particular circumstances of this matter, </w:t>
      </w:r>
      <w:r w:rsidR="0001642B" w:rsidRPr="00307026">
        <w:rPr>
          <w:rFonts w:ascii="Times New Roman" w:hAnsi="Times New Roman"/>
          <w:sz w:val="28"/>
          <w:szCs w:val="28"/>
        </w:rPr>
        <w:t xml:space="preserve">the magistrate </w:t>
      </w:r>
      <w:r w:rsidR="006242B3">
        <w:rPr>
          <w:rFonts w:ascii="Times New Roman" w:hAnsi="Times New Roman"/>
          <w:sz w:val="28"/>
          <w:szCs w:val="28"/>
        </w:rPr>
        <w:t xml:space="preserve">having </w:t>
      </w:r>
      <w:r w:rsidR="00570987">
        <w:rPr>
          <w:rFonts w:ascii="Times New Roman" w:hAnsi="Times New Roman"/>
          <w:sz w:val="28"/>
          <w:szCs w:val="28"/>
        </w:rPr>
        <w:t xml:space="preserve">indicated that reasons will be deferred </w:t>
      </w:r>
      <w:r w:rsidR="0001642B" w:rsidRPr="00307026">
        <w:rPr>
          <w:rFonts w:ascii="Times New Roman" w:hAnsi="Times New Roman"/>
          <w:sz w:val="28"/>
          <w:szCs w:val="28"/>
        </w:rPr>
        <w:t>does not lay a foundation for imputing bias</w:t>
      </w:r>
      <w:r w:rsidR="00307026" w:rsidRPr="00307026">
        <w:rPr>
          <w:rFonts w:ascii="Times New Roman" w:hAnsi="Times New Roman"/>
          <w:sz w:val="28"/>
          <w:szCs w:val="28"/>
        </w:rPr>
        <w:t>.</w:t>
      </w:r>
    </w:p>
    <w:p w:rsidR="00D2047F" w:rsidRDefault="009957FB" w:rsidP="00C95D74">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Moreover, a</w:t>
      </w:r>
      <w:r w:rsidR="00367828" w:rsidRPr="00307026">
        <w:rPr>
          <w:rFonts w:ascii="Times New Roman" w:hAnsi="Times New Roman"/>
          <w:sz w:val="28"/>
          <w:szCs w:val="28"/>
        </w:rPr>
        <w:t xml:space="preserve"> conclusion</w:t>
      </w:r>
      <w:r w:rsidR="001D7C30" w:rsidRPr="00307026">
        <w:rPr>
          <w:rFonts w:ascii="Times New Roman" w:hAnsi="Times New Roman"/>
          <w:sz w:val="28"/>
          <w:szCs w:val="28"/>
        </w:rPr>
        <w:t xml:space="preserve"> that </w:t>
      </w:r>
      <w:r w:rsidR="00D07CF9" w:rsidRPr="00307026">
        <w:rPr>
          <w:rFonts w:ascii="Times New Roman" w:hAnsi="Times New Roman"/>
          <w:sz w:val="28"/>
          <w:szCs w:val="28"/>
        </w:rPr>
        <w:t xml:space="preserve">the magistrate’s ruling </w:t>
      </w:r>
      <w:r>
        <w:rPr>
          <w:rFonts w:ascii="Times New Roman" w:hAnsi="Times New Roman"/>
          <w:sz w:val="28"/>
          <w:szCs w:val="28"/>
        </w:rPr>
        <w:t xml:space="preserve">infringed </w:t>
      </w:r>
      <w:r w:rsidR="00D07CF9" w:rsidRPr="00307026">
        <w:rPr>
          <w:rFonts w:ascii="Times New Roman" w:hAnsi="Times New Roman"/>
          <w:sz w:val="28"/>
          <w:szCs w:val="28"/>
        </w:rPr>
        <w:t>the applicant’s asserted right to a fair trial</w:t>
      </w:r>
      <w:r w:rsidR="00543209">
        <w:rPr>
          <w:rFonts w:ascii="Times New Roman" w:hAnsi="Times New Roman"/>
          <w:sz w:val="28"/>
          <w:szCs w:val="28"/>
        </w:rPr>
        <w:t>, cannot, without more, </w:t>
      </w:r>
      <w:r w:rsidR="00EA2BD0" w:rsidRPr="00307026">
        <w:rPr>
          <w:rFonts w:ascii="Times New Roman" w:hAnsi="Times New Roman"/>
          <w:sz w:val="28"/>
          <w:szCs w:val="28"/>
        </w:rPr>
        <w:t xml:space="preserve">be drawn where </w:t>
      </w:r>
      <w:r w:rsidR="00066B2A">
        <w:rPr>
          <w:rFonts w:ascii="Times New Roman" w:hAnsi="Times New Roman"/>
          <w:sz w:val="28"/>
          <w:szCs w:val="28"/>
        </w:rPr>
        <w:t>no</w:t>
      </w:r>
      <w:r w:rsidR="00EA2BD0" w:rsidRPr="00307026">
        <w:rPr>
          <w:rFonts w:ascii="Times New Roman" w:hAnsi="Times New Roman"/>
          <w:sz w:val="28"/>
          <w:szCs w:val="28"/>
        </w:rPr>
        <w:t xml:space="preserve"> factual basis </w:t>
      </w:r>
      <w:r w:rsidR="00066B2A">
        <w:rPr>
          <w:rFonts w:ascii="Times New Roman" w:hAnsi="Times New Roman"/>
          <w:sz w:val="28"/>
          <w:szCs w:val="28"/>
        </w:rPr>
        <w:t>is</w:t>
      </w:r>
      <w:r w:rsidR="00EA2BD0" w:rsidRPr="00307026">
        <w:rPr>
          <w:rFonts w:ascii="Times New Roman" w:hAnsi="Times New Roman"/>
          <w:sz w:val="28"/>
          <w:szCs w:val="28"/>
        </w:rPr>
        <w:t xml:space="preserve"> laid for re</w:t>
      </w:r>
      <w:r w:rsidR="0062204A" w:rsidRPr="00307026">
        <w:rPr>
          <w:rFonts w:ascii="Times New Roman" w:hAnsi="Times New Roman"/>
          <w:sz w:val="28"/>
          <w:szCs w:val="28"/>
        </w:rPr>
        <w:t xml:space="preserve">calling </w:t>
      </w:r>
      <w:r w:rsidR="00EA2BD0" w:rsidRPr="00307026">
        <w:rPr>
          <w:rFonts w:ascii="Times New Roman" w:hAnsi="Times New Roman"/>
          <w:sz w:val="28"/>
          <w:szCs w:val="28"/>
        </w:rPr>
        <w:t>the</w:t>
      </w:r>
      <w:r w:rsidR="00446692" w:rsidRPr="00307026">
        <w:rPr>
          <w:rFonts w:ascii="Times New Roman" w:hAnsi="Times New Roman"/>
          <w:sz w:val="28"/>
          <w:szCs w:val="28"/>
        </w:rPr>
        <w:t xml:space="preserve"> </w:t>
      </w:r>
      <w:r w:rsidR="00C3771E">
        <w:rPr>
          <w:rFonts w:ascii="Times New Roman" w:hAnsi="Times New Roman"/>
          <w:sz w:val="28"/>
          <w:szCs w:val="28"/>
        </w:rPr>
        <w:t>State’s witness</w:t>
      </w:r>
      <w:r w:rsidR="00E14649">
        <w:rPr>
          <w:rFonts w:ascii="Times New Roman" w:hAnsi="Times New Roman"/>
          <w:sz w:val="28"/>
          <w:szCs w:val="28"/>
        </w:rPr>
        <w:t xml:space="preserve">. In the context of the present </w:t>
      </w:r>
      <w:r w:rsidR="00EC3034">
        <w:rPr>
          <w:rFonts w:ascii="Times New Roman" w:hAnsi="Times New Roman"/>
          <w:sz w:val="28"/>
          <w:szCs w:val="28"/>
        </w:rPr>
        <w:t>proceedings</w:t>
      </w:r>
      <w:r w:rsidR="00C3771E">
        <w:rPr>
          <w:rFonts w:ascii="Times New Roman" w:hAnsi="Times New Roman"/>
          <w:sz w:val="28"/>
          <w:szCs w:val="28"/>
        </w:rPr>
        <w:t xml:space="preserve"> the applicant</w:t>
      </w:r>
      <w:r w:rsidR="00EC3034">
        <w:rPr>
          <w:rFonts w:ascii="Times New Roman" w:hAnsi="Times New Roman"/>
          <w:sz w:val="28"/>
          <w:szCs w:val="28"/>
        </w:rPr>
        <w:t>’s bare contention</w:t>
      </w:r>
      <w:r w:rsidR="00C3771E">
        <w:rPr>
          <w:rFonts w:ascii="Times New Roman" w:hAnsi="Times New Roman"/>
          <w:sz w:val="28"/>
          <w:szCs w:val="28"/>
        </w:rPr>
        <w:t xml:space="preserve"> that he maintained silence on the advice of his erstwhile legal representative</w:t>
      </w:r>
      <w:r w:rsidR="00EC3034">
        <w:rPr>
          <w:rFonts w:ascii="Times New Roman" w:hAnsi="Times New Roman"/>
          <w:sz w:val="28"/>
          <w:szCs w:val="28"/>
        </w:rPr>
        <w:t xml:space="preserve"> does not assist him</w:t>
      </w:r>
      <w:r w:rsidR="00570987">
        <w:rPr>
          <w:rFonts w:ascii="Times New Roman" w:hAnsi="Times New Roman"/>
          <w:sz w:val="28"/>
          <w:szCs w:val="28"/>
        </w:rPr>
        <w:t xml:space="preserve"> to advance a case where none is made out in his founding affidavit</w:t>
      </w:r>
      <w:r w:rsidR="00C3771E">
        <w:rPr>
          <w:rFonts w:ascii="Times New Roman" w:hAnsi="Times New Roman"/>
          <w:sz w:val="28"/>
          <w:szCs w:val="28"/>
        </w:rPr>
        <w:t xml:space="preserve">. </w:t>
      </w:r>
      <w:r w:rsidR="00734380" w:rsidRPr="00307026">
        <w:rPr>
          <w:rFonts w:ascii="Times New Roman" w:hAnsi="Times New Roman"/>
          <w:sz w:val="28"/>
          <w:szCs w:val="28"/>
        </w:rPr>
        <w:t xml:space="preserve">The absence </w:t>
      </w:r>
      <w:r w:rsidR="00C3771E">
        <w:rPr>
          <w:rFonts w:ascii="Times New Roman" w:hAnsi="Times New Roman"/>
          <w:sz w:val="28"/>
          <w:szCs w:val="28"/>
        </w:rPr>
        <w:t xml:space="preserve">of a properly motivated factual </w:t>
      </w:r>
      <w:r w:rsidR="002B4D57">
        <w:rPr>
          <w:rFonts w:ascii="Times New Roman" w:hAnsi="Times New Roman"/>
          <w:sz w:val="28"/>
          <w:szCs w:val="28"/>
        </w:rPr>
        <w:t xml:space="preserve">offensive </w:t>
      </w:r>
      <w:r w:rsidR="00C8213A">
        <w:rPr>
          <w:rFonts w:ascii="Times New Roman" w:hAnsi="Times New Roman"/>
          <w:sz w:val="28"/>
          <w:szCs w:val="28"/>
        </w:rPr>
        <w:t xml:space="preserve">(where </w:t>
      </w:r>
      <w:r w:rsidR="00D2047F">
        <w:rPr>
          <w:rFonts w:ascii="Times New Roman" w:hAnsi="Times New Roman"/>
          <w:sz w:val="28"/>
          <w:szCs w:val="28"/>
        </w:rPr>
        <w:t>the professed l</w:t>
      </w:r>
      <w:r w:rsidR="00C8213A">
        <w:rPr>
          <w:rFonts w:ascii="Times New Roman" w:hAnsi="Times New Roman"/>
          <w:sz w:val="28"/>
          <w:szCs w:val="28"/>
        </w:rPr>
        <w:t xml:space="preserve">ack of consent does not appear to have been the issue in the </w:t>
      </w:r>
      <w:r w:rsidR="00FB7D1A">
        <w:rPr>
          <w:rFonts w:ascii="Times New Roman" w:hAnsi="Times New Roman"/>
          <w:sz w:val="28"/>
          <w:szCs w:val="28"/>
        </w:rPr>
        <w:t>trial-within-the-trial</w:t>
      </w:r>
      <w:r w:rsidR="00C8213A">
        <w:rPr>
          <w:rFonts w:ascii="Times New Roman" w:hAnsi="Times New Roman"/>
          <w:sz w:val="28"/>
          <w:szCs w:val="28"/>
        </w:rPr>
        <w:t xml:space="preserve">) </w:t>
      </w:r>
      <w:r w:rsidR="00734380" w:rsidRPr="00307026">
        <w:rPr>
          <w:rFonts w:ascii="Times New Roman" w:hAnsi="Times New Roman"/>
          <w:sz w:val="28"/>
          <w:szCs w:val="28"/>
        </w:rPr>
        <w:t>renders the</w:t>
      </w:r>
      <w:r w:rsidR="00AF7BA4" w:rsidRPr="00307026">
        <w:rPr>
          <w:rFonts w:ascii="Times New Roman" w:hAnsi="Times New Roman"/>
          <w:sz w:val="28"/>
          <w:szCs w:val="28"/>
        </w:rPr>
        <w:t xml:space="preserve"> challenge on the ground of gross irregularity </w:t>
      </w:r>
      <w:r w:rsidR="00676AE6">
        <w:rPr>
          <w:rFonts w:ascii="Times New Roman" w:hAnsi="Times New Roman"/>
          <w:sz w:val="28"/>
          <w:szCs w:val="28"/>
        </w:rPr>
        <w:t>devoid of merit</w:t>
      </w:r>
      <w:r w:rsidR="00AF7BA4" w:rsidRPr="00307026">
        <w:rPr>
          <w:rFonts w:ascii="Times New Roman" w:hAnsi="Times New Roman"/>
          <w:sz w:val="28"/>
          <w:szCs w:val="28"/>
        </w:rPr>
        <w:t>.</w:t>
      </w:r>
      <w:r w:rsidR="00082AD6" w:rsidRPr="00082AD6">
        <w:rPr>
          <w:rFonts w:ascii="Times New Roman" w:hAnsi="Times New Roman"/>
          <w:sz w:val="28"/>
          <w:szCs w:val="28"/>
        </w:rPr>
        <w:t xml:space="preserve"> </w:t>
      </w:r>
    </w:p>
    <w:p w:rsidR="00B800F5" w:rsidRPr="00307026" w:rsidRDefault="00074DEA" w:rsidP="00C95D74">
      <w:pPr>
        <w:pStyle w:val="LegalList1"/>
        <w:numPr>
          <w:ilvl w:val="0"/>
          <w:numId w:val="2"/>
        </w:numPr>
        <w:tabs>
          <w:tab w:val="clear" w:pos="567"/>
        </w:tabs>
        <w:spacing w:line="360" w:lineRule="auto"/>
        <w:ind w:left="851" w:hanging="851"/>
        <w:rPr>
          <w:rFonts w:ascii="Times New Roman" w:hAnsi="Times New Roman"/>
          <w:sz w:val="28"/>
          <w:szCs w:val="28"/>
        </w:rPr>
      </w:pPr>
      <w:r w:rsidRPr="00307026">
        <w:rPr>
          <w:rFonts w:ascii="Times New Roman" w:hAnsi="Times New Roman"/>
          <w:sz w:val="28"/>
          <w:szCs w:val="28"/>
        </w:rPr>
        <w:t>T</w:t>
      </w:r>
      <w:r w:rsidR="004C72E2" w:rsidRPr="00307026">
        <w:rPr>
          <w:rFonts w:ascii="Times New Roman" w:hAnsi="Times New Roman"/>
          <w:sz w:val="28"/>
          <w:szCs w:val="28"/>
        </w:rPr>
        <w:t xml:space="preserve">he magistrate’s </w:t>
      </w:r>
      <w:r w:rsidR="00FE6A8A" w:rsidRPr="00307026">
        <w:rPr>
          <w:rFonts w:ascii="Times New Roman" w:hAnsi="Times New Roman"/>
          <w:sz w:val="28"/>
          <w:szCs w:val="28"/>
        </w:rPr>
        <w:t xml:space="preserve">refusal to allow the witness to be recalled </w:t>
      </w:r>
      <w:r w:rsidR="00431475">
        <w:rPr>
          <w:rFonts w:ascii="Times New Roman" w:hAnsi="Times New Roman"/>
          <w:sz w:val="28"/>
          <w:szCs w:val="28"/>
        </w:rPr>
        <w:t xml:space="preserve">– </w:t>
      </w:r>
      <w:r w:rsidR="00FE6A8A" w:rsidRPr="00307026">
        <w:rPr>
          <w:rFonts w:ascii="Times New Roman" w:hAnsi="Times New Roman"/>
          <w:sz w:val="28"/>
          <w:szCs w:val="28"/>
        </w:rPr>
        <w:t xml:space="preserve">and by implication her </w:t>
      </w:r>
      <w:r w:rsidR="004C72E2" w:rsidRPr="00307026">
        <w:rPr>
          <w:rFonts w:ascii="Times New Roman" w:hAnsi="Times New Roman"/>
          <w:sz w:val="28"/>
          <w:szCs w:val="28"/>
        </w:rPr>
        <w:t xml:space="preserve">ruling on </w:t>
      </w:r>
      <w:r w:rsidRPr="00307026">
        <w:rPr>
          <w:rFonts w:ascii="Times New Roman" w:hAnsi="Times New Roman"/>
          <w:sz w:val="28"/>
          <w:szCs w:val="28"/>
        </w:rPr>
        <w:t>the admissibility of the evidence</w:t>
      </w:r>
      <w:r w:rsidR="0069707D">
        <w:rPr>
          <w:rFonts w:ascii="Times New Roman" w:hAnsi="Times New Roman"/>
          <w:sz w:val="28"/>
          <w:szCs w:val="28"/>
        </w:rPr>
        <w:t xml:space="preserve"> </w:t>
      </w:r>
      <w:r w:rsidR="00431475">
        <w:rPr>
          <w:rFonts w:ascii="Times New Roman" w:hAnsi="Times New Roman"/>
          <w:sz w:val="28"/>
          <w:szCs w:val="28"/>
        </w:rPr>
        <w:t xml:space="preserve">– </w:t>
      </w:r>
      <w:r w:rsidRPr="00307026">
        <w:rPr>
          <w:rFonts w:ascii="Times New Roman" w:hAnsi="Times New Roman"/>
          <w:sz w:val="28"/>
          <w:szCs w:val="28"/>
        </w:rPr>
        <w:t>is interlocutory</w:t>
      </w:r>
      <w:r w:rsidR="00431475">
        <w:rPr>
          <w:rFonts w:ascii="Times New Roman" w:hAnsi="Times New Roman"/>
          <w:sz w:val="28"/>
          <w:szCs w:val="28"/>
        </w:rPr>
        <w:t>; and</w:t>
      </w:r>
      <w:r w:rsidRPr="00307026">
        <w:rPr>
          <w:rFonts w:ascii="Times New Roman" w:hAnsi="Times New Roman"/>
          <w:sz w:val="28"/>
          <w:szCs w:val="28"/>
        </w:rPr>
        <w:t xml:space="preserve"> should new facts come to light at a later stage, it would be the duty of the trial court to reconsider the issue, and if necessary, overrule </w:t>
      </w:r>
      <w:r w:rsidR="000371B6" w:rsidRPr="00307026">
        <w:rPr>
          <w:rFonts w:ascii="Times New Roman" w:hAnsi="Times New Roman"/>
          <w:sz w:val="28"/>
          <w:szCs w:val="28"/>
        </w:rPr>
        <w:t>its own decision</w:t>
      </w:r>
      <w:r w:rsidR="00FE6A8A" w:rsidRPr="00307026">
        <w:rPr>
          <w:rFonts w:ascii="Times New Roman" w:hAnsi="Times New Roman"/>
          <w:sz w:val="28"/>
          <w:szCs w:val="28"/>
        </w:rPr>
        <w:t>/s</w:t>
      </w:r>
      <w:r w:rsidR="000371B6" w:rsidRPr="00307026">
        <w:rPr>
          <w:rFonts w:ascii="Times New Roman" w:hAnsi="Times New Roman"/>
          <w:sz w:val="28"/>
          <w:szCs w:val="28"/>
        </w:rPr>
        <w:t>.</w:t>
      </w:r>
      <w:r w:rsidR="000371B6">
        <w:rPr>
          <w:rStyle w:val="FootnoteReference"/>
          <w:rFonts w:ascii="Times New Roman" w:hAnsi="Times New Roman"/>
          <w:sz w:val="28"/>
          <w:szCs w:val="28"/>
        </w:rPr>
        <w:footnoteReference w:id="5"/>
      </w:r>
    </w:p>
    <w:p w:rsidR="00B800F5" w:rsidRPr="00EF70C2" w:rsidRDefault="00EF70C2" w:rsidP="00EF70C2">
      <w:pPr>
        <w:pStyle w:val="LegalList1"/>
        <w:spacing w:line="360" w:lineRule="auto"/>
        <w:ind w:left="131" w:firstLine="720"/>
        <w:rPr>
          <w:rFonts w:ascii="Times New Roman" w:hAnsi="Times New Roman"/>
          <w:b/>
          <w:sz w:val="28"/>
          <w:szCs w:val="28"/>
        </w:rPr>
      </w:pPr>
      <w:r w:rsidRPr="00EF70C2">
        <w:rPr>
          <w:rFonts w:ascii="Times New Roman" w:hAnsi="Times New Roman"/>
          <w:b/>
          <w:color w:val="000000"/>
          <w:sz w:val="28"/>
          <w:szCs w:val="28"/>
        </w:rPr>
        <w:t>Admissibility of similar fact evidence</w:t>
      </w:r>
    </w:p>
    <w:p w:rsidR="00B800F5" w:rsidRPr="00C74A36" w:rsidRDefault="00C74A36" w:rsidP="00C74A3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his own words</w:t>
      </w:r>
      <w:r w:rsidR="00301B32">
        <w:rPr>
          <w:rFonts w:ascii="Times New Roman" w:hAnsi="Times New Roman"/>
          <w:sz w:val="28"/>
          <w:szCs w:val="28"/>
        </w:rPr>
        <w:t>,</w:t>
      </w:r>
      <w:r>
        <w:rPr>
          <w:rFonts w:ascii="Times New Roman" w:hAnsi="Times New Roman"/>
          <w:sz w:val="28"/>
          <w:szCs w:val="28"/>
        </w:rPr>
        <w:t xml:space="preserve"> the applicant avers that the evidence is ‘of little help to the State’</w:t>
      </w:r>
      <w:r w:rsidR="00DB3F16">
        <w:rPr>
          <w:rFonts w:ascii="Times New Roman" w:hAnsi="Times New Roman"/>
          <w:sz w:val="28"/>
          <w:szCs w:val="28"/>
        </w:rPr>
        <w:t xml:space="preserve">. </w:t>
      </w:r>
      <w:r w:rsidR="00126A17">
        <w:rPr>
          <w:rFonts w:ascii="Times New Roman" w:hAnsi="Times New Roman"/>
          <w:sz w:val="28"/>
          <w:szCs w:val="28"/>
        </w:rPr>
        <w:t>I</w:t>
      </w:r>
      <w:r w:rsidR="004F6DDD">
        <w:rPr>
          <w:rFonts w:ascii="Times New Roman" w:hAnsi="Times New Roman"/>
          <w:sz w:val="28"/>
          <w:szCs w:val="28"/>
        </w:rPr>
        <w:t xml:space="preserve">t is </w:t>
      </w:r>
      <w:r w:rsidR="00126A17">
        <w:rPr>
          <w:rFonts w:ascii="Times New Roman" w:hAnsi="Times New Roman"/>
          <w:sz w:val="28"/>
          <w:szCs w:val="28"/>
        </w:rPr>
        <w:t xml:space="preserve">therefore </w:t>
      </w:r>
      <w:r w:rsidR="004F6DDD">
        <w:rPr>
          <w:rFonts w:ascii="Times New Roman" w:hAnsi="Times New Roman"/>
          <w:sz w:val="28"/>
          <w:szCs w:val="28"/>
        </w:rPr>
        <w:t xml:space="preserve">presumptuous </w:t>
      </w:r>
      <w:r w:rsidR="001635AB">
        <w:rPr>
          <w:rFonts w:ascii="Times New Roman" w:hAnsi="Times New Roman"/>
          <w:sz w:val="28"/>
          <w:szCs w:val="28"/>
        </w:rPr>
        <w:t xml:space="preserve">at this stage </w:t>
      </w:r>
      <w:r w:rsidR="004F6DDD">
        <w:rPr>
          <w:rFonts w:ascii="Times New Roman" w:hAnsi="Times New Roman"/>
          <w:sz w:val="28"/>
          <w:szCs w:val="28"/>
        </w:rPr>
        <w:t xml:space="preserve">for the applicant to </w:t>
      </w:r>
      <w:r w:rsidR="004F6DDD">
        <w:rPr>
          <w:rFonts w:ascii="Times New Roman" w:hAnsi="Times New Roman"/>
          <w:sz w:val="28"/>
          <w:szCs w:val="28"/>
        </w:rPr>
        <w:lastRenderedPageBreak/>
        <w:t xml:space="preserve">assert that his </w:t>
      </w:r>
      <w:r w:rsidR="002B4D57" w:rsidRPr="00C74A36">
        <w:rPr>
          <w:rFonts w:ascii="Times New Roman" w:hAnsi="Times New Roman"/>
          <w:sz w:val="28"/>
          <w:szCs w:val="28"/>
        </w:rPr>
        <w:t>character has been tainted</w:t>
      </w:r>
      <w:r w:rsidR="00EA2574">
        <w:rPr>
          <w:rFonts w:ascii="Times New Roman" w:hAnsi="Times New Roman"/>
          <w:sz w:val="28"/>
          <w:szCs w:val="28"/>
        </w:rPr>
        <w:t>, prior to the conclusion of the trial proceedings</w:t>
      </w:r>
      <w:r w:rsidR="0074087B">
        <w:rPr>
          <w:rFonts w:ascii="Times New Roman" w:hAnsi="Times New Roman"/>
          <w:sz w:val="28"/>
          <w:szCs w:val="28"/>
        </w:rPr>
        <w:t>. At that point</w:t>
      </w:r>
      <w:r w:rsidR="00EA2574">
        <w:rPr>
          <w:rFonts w:ascii="Times New Roman" w:hAnsi="Times New Roman"/>
          <w:sz w:val="28"/>
          <w:szCs w:val="28"/>
        </w:rPr>
        <w:t xml:space="preserve"> the trial court, </w:t>
      </w:r>
      <w:r w:rsidR="004F6DDD">
        <w:rPr>
          <w:rFonts w:ascii="Times New Roman" w:hAnsi="Times New Roman"/>
          <w:sz w:val="28"/>
          <w:szCs w:val="28"/>
        </w:rPr>
        <w:t>having heard all the evidence</w:t>
      </w:r>
      <w:r w:rsidR="00EA2574">
        <w:rPr>
          <w:rFonts w:ascii="Times New Roman" w:hAnsi="Times New Roman"/>
          <w:sz w:val="28"/>
          <w:szCs w:val="28"/>
        </w:rPr>
        <w:t xml:space="preserve">, would be required to </w:t>
      </w:r>
      <w:r w:rsidR="00CB693D">
        <w:rPr>
          <w:rFonts w:ascii="Times New Roman" w:hAnsi="Times New Roman"/>
          <w:sz w:val="28"/>
          <w:szCs w:val="28"/>
        </w:rPr>
        <w:t>make an assessment of what is after all a mosaic of proof</w:t>
      </w:r>
      <w:r w:rsidR="00EA2574">
        <w:rPr>
          <w:rFonts w:ascii="Times New Roman" w:hAnsi="Times New Roman"/>
          <w:sz w:val="28"/>
          <w:szCs w:val="28"/>
        </w:rPr>
        <w:t xml:space="preserve"> with attendant credibility findings in respect of each of the participants.</w:t>
      </w:r>
      <w:r w:rsidR="000F69F4">
        <w:rPr>
          <w:rFonts w:ascii="Times New Roman" w:hAnsi="Times New Roman"/>
          <w:sz w:val="28"/>
          <w:szCs w:val="28"/>
        </w:rPr>
        <w:t xml:space="preserve"> This much was properly conceded by counsel who appeared for the applicant in these proceedings, with the attendant concession that reasons</w:t>
      </w:r>
      <w:r w:rsidR="0074087B">
        <w:rPr>
          <w:rFonts w:ascii="Times New Roman" w:hAnsi="Times New Roman"/>
          <w:sz w:val="28"/>
          <w:szCs w:val="28"/>
        </w:rPr>
        <w:t>,</w:t>
      </w:r>
      <w:r w:rsidR="00125F7A">
        <w:rPr>
          <w:rFonts w:ascii="Times New Roman" w:hAnsi="Times New Roman"/>
          <w:sz w:val="28"/>
          <w:szCs w:val="28"/>
        </w:rPr>
        <w:t xml:space="preserve"> would be of no functional advantage </w:t>
      </w:r>
      <w:r w:rsidR="0074087B">
        <w:rPr>
          <w:rFonts w:ascii="Times New Roman" w:hAnsi="Times New Roman"/>
          <w:sz w:val="28"/>
          <w:szCs w:val="28"/>
        </w:rPr>
        <w:t xml:space="preserve">in circumstances where only one version of events </w:t>
      </w:r>
      <w:r w:rsidR="00125F7A">
        <w:rPr>
          <w:rFonts w:ascii="Times New Roman" w:hAnsi="Times New Roman"/>
          <w:sz w:val="28"/>
          <w:szCs w:val="28"/>
        </w:rPr>
        <w:t>is extant.</w:t>
      </w:r>
    </w:p>
    <w:p w:rsidR="00B800F5" w:rsidRPr="00187976" w:rsidRDefault="00951395" w:rsidP="00187976">
      <w:pPr>
        <w:pStyle w:val="LegalList1"/>
        <w:spacing w:line="360" w:lineRule="auto"/>
        <w:ind w:left="131" w:firstLine="720"/>
        <w:rPr>
          <w:rFonts w:ascii="Times New Roman" w:hAnsi="Times New Roman"/>
          <w:b/>
          <w:sz w:val="28"/>
          <w:szCs w:val="28"/>
        </w:rPr>
      </w:pPr>
      <w:r>
        <w:rPr>
          <w:rFonts w:ascii="Times New Roman" w:hAnsi="Times New Roman"/>
          <w:b/>
          <w:color w:val="000000"/>
          <w:sz w:val="28"/>
          <w:szCs w:val="28"/>
        </w:rPr>
        <w:t>The application for c</w:t>
      </w:r>
      <w:r w:rsidR="00631871">
        <w:rPr>
          <w:rFonts w:ascii="Times New Roman" w:hAnsi="Times New Roman"/>
          <w:b/>
          <w:color w:val="000000"/>
          <w:sz w:val="28"/>
          <w:szCs w:val="28"/>
        </w:rPr>
        <w:t>ondonation</w:t>
      </w:r>
    </w:p>
    <w:p w:rsidR="000E1666" w:rsidRPr="000E1666" w:rsidRDefault="00187976"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first respondent sought condonation for the late filing of its answering affidavit</w:t>
      </w:r>
      <w:r w:rsidR="008565ED">
        <w:rPr>
          <w:rFonts w:ascii="Times New Roman" w:hAnsi="Times New Roman"/>
          <w:color w:val="000000"/>
          <w:sz w:val="28"/>
          <w:szCs w:val="28"/>
        </w:rPr>
        <w:t xml:space="preserve"> and filed a</w:t>
      </w:r>
      <w:r w:rsidR="00E26CE2">
        <w:rPr>
          <w:rFonts w:ascii="Times New Roman" w:hAnsi="Times New Roman"/>
          <w:color w:val="000000"/>
          <w:sz w:val="28"/>
          <w:szCs w:val="28"/>
        </w:rPr>
        <w:t xml:space="preserve">n </w:t>
      </w:r>
      <w:r>
        <w:rPr>
          <w:rFonts w:ascii="Times New Roman" w:hAnsi="Times New Roman"/>
          <w:color w:val="000000"/>
          <w:sz w:val="28"/>
          <w:szCs w:val="28"/>
        </w:rPr>
        <w:t xml:space="preserve">application </w:t>
      </w:r>
      <w:r w:rsidR="00E26CE2">
        <w:rPr>
          <w:rFonts w:ascii="Times New Roman" w:hAnsi="Times New Roman"/>
          <w:color w:val="000000"/>
          <w:sz w:val="28"/>
          <w:szCs w:val="28"/>
        </w:rPr>
        <w:t xml:space="preserve">on notice </w:t>
      </w:r>
      <w:r>
        <w:rPr>
          <w:rFonts w:ascii="Times New Roman" w:hAnsi="Times New Roman"/>
          <w:color w:val="000000"/>
          <w:sz w:val="28"/>
          <w:szCs w:val="28"/>
        </w:rPr>
        <w:t xml:space="preserve">to </w:t>
      </w:r>
      <w:r w:rsidR="00E26CE2">
        <w:rPr>
          <w:rFonts w:ascii="Times New Roman" w:hAnsi="Times New Roman"/>
          <w:color w:val="000000"/>
          <w:sz w:val="28"/>
          <w:szCs w:val="28"/>
        </w:rPr>
        <w:t>the applicant</w:t>
      </w:r>
      <w:r w:rsidR="00182F1F">
        <w:rPr>
          <w:rFonts w:ascii="Times New Roman" w:hAnsi="Times New Roman"/>
          <w:color w:val="000000"/>
          <w:sz w:val="28"/>
          <w:szCs w:val="28"/>
        </w:rPr>
        <w:t xml:space="preserve"> on 10 March 2022</w:t>
      </w:r>
      <w:r w:rsidR="00E26CE2">
        <w:rPr>
          <w:rFonts w:ascii="Times New Roman" w:hAnsi="Times New Roman"/>
          <w:color w:val="000000"/>
          <w:sz w:val="28"/>
          <w:szCs w:val="28"/>
        </w:rPr>
        <w:t>.</w:t>
      </w:r>
      <w:r w:rsidR="008565ED">
        <w:rPr>
          <w:rFonts w:ascii="Times New Roman" w:hAnsi="Times New Roman"/>
          <w:color w:val="000000"/>
          <w:sz w:val="28"/>
          <w:szCs w:val="28"/>
        </w:rPr>
        <w:t xml:space="preserve"> </w:t>
      </w:r>
      <w:r w:rsidR="007914EF">
        <w:rPr>
          <w:rFonts w:ascii="Times New Roman" w:hAnsi="Times New Roman"/>
          <w:color w:val="000000"/>
          <w:sz w:val="28"/>
          <w:szCs w:val="28"/>
        </w:rPr>
        <w:t xml:space="preserve">In an </w:t>
      </w:r>
      <w:r w:rsidR="007914EF" w:rsidRPr="007914EF">
        <w:rPr>
          <w:rFonts w:ascii="Times New Roman" w:hAnsi="Times New Roman"/>
          <w:i/>
          <w:color w:val="000000"/>
          <w:sz w:val="28"/>
          <w:szCs w:val="28"/>
        </w:rPr>
        <w:t>ex tempore</w:t>
      </w:r>
      <w:r w:rsidR="007914EF">
        <w:rPr>
          <w:rFonts w:ascii="Times New Roman" w:hAnsi="Times New Roman"/>
          <w:color w:val="000000"/>
          <w:sz w:val="28"/>
          <w:szCs w:val="28"/>
        </w:rPr>
        <w:t xml:space="preserve"> judgment this court</w:t>
      </w:r>
      <w:r w:rsidR="00416BF9">
        <w:rPr>
          <w:rFonts w:ascii="Times New Roman" w:hAnsi="Times New Roman"/>
          <w:color w:val="000000"/>
          <w:sz w:val="28"/>
          <w:szCs w:val="28"/>
        </w:rPr>
        <w:t>,</w:t>
      </w:r>
      <w:r w:rsidR="007914EF">
        <w:rPr>
          <w:rFonts w:ascii="Times New Roman" w:hAnsi="Times New Roman"/>
          <w:color w:val="000000"/>
          <w:sz w:val="28"/>
          <w:szCs w:val="28"/>
        </w:rPr>
        <w:t xml:space="preserve"> </w:t>
      </w:r>
      <w:r w:rsidR="007914EF" w:rsidRPr="007914EF">
        <w:rPr>
          <w:rFonts w:ascii="Times New Roman" w:hAnsi="Times New Roman"/>
          <w:i/>
          <w:color w:val="000000"/>
          <w:sz w:val="28"/>
          <w:szCs w:val="28"/>
        </w:rPr>
        <w:t>per</w:t>
      </w:r>
      <w:r w:rsidR="007914EF">
        <w:rPr>
          <w:rFonts w:ascii="Times New Roman" w:hAnsi="Times New Roman"/>
          <w:color w:val="000000"/>
          <w:sz w:val="28"/>
          <w:szCs w:val="28"/>
        </w:rPr>
        <w:t xml:space="preserve"> Bloem J</w:t>
      </w:r>
      <w:r w:rsidR="00416BF9">
        <w:rPr>
          <w:rFonts w:ascii="Times New Roman" w:hAnsi="Times New Roman"/>
          <w:color w:val="000000"/>
          <w:sz w:val="28"/>
          <w:szCs w:val="28"/>
        </w:rPr>
        <w:t>,</w:t>
      </w:r>
      <w:r w:rsidR="007914EF">
        <w:rPr>
          <w:rFonts w:ascii="Times New Roman" w:hAnsi="Times New Roman"/>
          <w:color w:val="000000"/>
          <w:sz w:val="28"/>
          <w:szCs w:val="28"/>
        </w:rPr>
        <w:t xml:space="preserve"> granted condonation. </w:t>
      </w:r>
      <w:r w:rsidR="009D5146">
        <w:rPr>
          <w:rFonts w:ascii="Times New Roman" w:hAnsi="Times New Roman"/>
          <w:color w:val="000000"/>
          <w:sz w:val="28"/>
          <w:szCs w:val="28"/>
        </w:rPr>
        <w:t>While i</w:t>
      </w:r>
      <w:r w:rsidR="007914EF">
        <w:rPr>
          <w:rFonts w:ascii="Times New Roman" w:hAnsi="Times New Roman"/>
          <w:color w:val="000000"/>
          <w:sz w:val="28"/>
          <w:szCs w:val="28"/>
        </w:rPr>
        <w:t>t is unnecessary to traverse the merits of that application</w:t>
      </w:r>
      <w:r w:rsidR="004E1162">
        <w:rPr>
          <w:rFonts w:ascii="Times New Roman" w:hAnsi="Times New Roman"/>
          <w:color w:val="000000"/>
          <w:sz w:val="28"/>
          <w:szCs w:val="28"/>
        </w:rPr>
        <w:t>,</w:t>
      </w:r>
      <w:r w:rsidR="00FF5A92">
        <w:rPr>
          <w:rFonts w:ascii="Times New Roman" w:hAnsi="Times New Roman"/>
          <w:color w:val="000000"/>
          <w:sz w:val="28"/>
          <w:szCs w:val="28"/>
        </w:rPr>
        <w:t xml:space="preserve"> </w:t>
      </w:r>
      <w:r w:rsidR="00416BF9">
        <w:rPr>
          <w:rFonts w:ascii="Times New Roman" w:hAnsi="Times New Roman"/>
          <w:color w:val="000000"/>
          <w:sz w:val="28"/>
          <w:szCs w:val="28"/>
        </w:rPr>
        <w:t>the stance adopted by applicant’s counsel who indicated that the application was opposed</w:t>
      </w:r>
      <w:r w:rsidR="00FF5A92">
        <w:rPr>
          <w:rFonts w:ascii="Times New Roman" w:hAnsi="Times New Roman"/>
          <w:color w:val="000000"/>
          <w:sz w:val="28"/>
          <w:szCs w:val="28"/>
        </w:rPr>
        <w:t xml:space="preserve"> from the bar deserves comment.</w:t>
      </w:r>
    </w:p>
    <w:p w:rsidR="001635AB" w:rsidRPr="001635AB" w:rsidRDefault="007E0178"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In the interval since the filing of the application for condonation, </w:t>
      </w:r>
      <w:r w:rsidR="00416BF9">
        <w:rPr>
          <w:rFonts w:ascii="Times New Roman" w:hAnsi="Times New Roman"/>
          <w:color w:val="000000"/>
          <w:sz w:val="28"/>
          <w:szCs w:val="28"/>
        </w:rPr>
        <w:t xml:space="preserve">no opposing </w:t>
      </w:r>
      <w:r w:rsidR="00FF5A92">
        <w:rPr>
          <w:rFonts w:ascii="Times New Roman" w:hAnsi="Times New Roman"/>
          <w:color w:val="000000"/>
          <w:sz w:val="28"/>
          <w:szCs w:val="28"/>
        </w:rPr>
        <w:t>affidavit was filed let alone a notice to oppose</w:t>
      </w:r>
      <w:r w:rsidR="00365016">
        <w:rPr>
          <w:rFonts w:ascii="Times New Roman" w:hAnsi="Times New Roman"/>
          <w:color w:val="000000"/>
          <w:sz w:val="28"/>
          <w:szCs w:val="28"/>
        </w:rPr>
        <w:t xml:space="preserve">. Despite this applicant’s </w:t>
      </w:r>
      <w:r w:rsidR="00FF5A92">
        <w:rPr>
          <w:rFonts w:ascii="Times New Roman" w:hAnsi="Times New Roman"/>
          <w:color w:val="000000"/>
          <w:sz w:val="28"/>
          <w:szCs w:val="28"/>
        </w:rPr>
        <w:t xml:space="preserve">counsel </w:t>
      </w:r>
      <w:r w:rsidR="004E1162">
        <w:rPr>
          <w:rFonts w:ascii="Times New Roman" w:hAnsi="Times New Roman"/>
          <w:color w:val="000000"/>
          <w:sz w:val="28"/>
          <w:szCs w:val="28"/>
        </w:rPr>
        <w:t>endeavoured</w:t>
      </w:r>
      <w:r w:rsidR="00FF5A92">
        <w:rPr>
          <w:rFonts w:ascii="Times New Roman" w:hAnsi="Times New Roman"/>
          <w:color w:val="000000"/>
          <w:sz w:val="28"/>
          <w:szCs w:val="28"/>
        </w:rPr>
        <w:t xml:space="preserve"> to address us on the merits of </w:t>
      </w:r>
      <w:r w:rsidR="003B480B">
        <w:rPr>
          <w:rFonts w:ascii="Times New Roman" w:hAnsi="Times New Roman"/>
          <w:color w:val="000000"/>
          <w:sz w:val="28"/>
          <w:szCs w:val="28"/>
        </w:rPr>
        <w:t xml:space="preserve">the applicant’s opposition </w:t>
      </w:r>
      <w:r w:rsidR="004E1162">
        <w:rPr>
          <w:rFonts w:ascii="Times New Roman" w:hAnsi="Times New Roman"/>
          <w:color w:val="000000"/>
          <w:sz w:val="28"/>
          <w:szCs w:val="28"/>
        </w:rPr>
        <w:t xml:space="preserve">and persisted </w:t>
      </w:r>
      <w:r w:rsidR="003B480B">
        <w:rPr>
          <w:rFonts w:ascii="Times New Roman" w:hAnsi="Times New Roman"/>
          <w:color w:val="000000"/>
          <w:sz w:val="28"/>
          <w:szCs w:val="28"/>
        </w:rPr>
        <w:t>on the ostensible basis that</w:t>
      </w:r>
      <w:r w:rsidR="005B73F1">
        <w:rPr>
          <w:rFonts w:ascii="Times New Roman" w:hAnsi="Times New Roman"/>
          <w:color w:val="000000"/>
          <w:sz w:val="28"/>
          <w:szCs w:val="28"/>
        </w:rPr>
        <w:t xml:space="preserve"> </w:t>
      </w:r>
      <w:r w:rsidR="008846F1">
        <w:rPr>
          <w:rFonts w:ascii="Times New Roman" w:hAnsi="Times New Roman"/>
          <w:color w:val="000000"/>
          <w:sz w:val="28"/>
          <w:szCs w:val="28"/>
        </w:rPr>
        <w:t xml:space="preserve">to her knowledge and </w:t>
      </w:r>
      <w:r w:rsidR="005B73F1">
        <w:rPr>
          <w:rFonts w:ascii="Times New Roman" w:hAnsi="Times New Roman"/>
          <w:color w:val="000000"/>
          <w:sz w:val="28"/>
          <w:szCs w:val="28"/>
        </w:rPr>
        <w:t>in her view</w:t>
      </w:r>
      <w:r w:rsidR="003B480B">
        <w:rPr>
          <w:rFonts w:ascii="Times New Roman" w:hAnsi="Times New Roman"/>
          <w:color w:val="000000"/>
          <w:sz w:val="28"/>
          <w:szCs w:val="28"/>
        </w:rPr>
        <w:t xml:space="preserve"> it was an acceptable practice to adopt this approach</w:t>
      </w:r>
      <w:r w:rsidR="007914EF">
        <w:rPr>
          <w:rFonts w:ascii="Times New Roman" w:hAnsi="Times New Roman"/>
          <w:color w:val="000000"/>
          <w:sz w:val="28"/>
          <w:szCs w:val="28"/>
        </w:rPr>
        <w:t>.</w:t>
      </w:r>
    </w:p>
    <w:p w:rsidR="00B800F5" w:rsidRPr="003328A3" w:rsidRDefault="005B73F1"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w:t>
      </w:r>
      <w:r w:rsidR="00951395">
        <w:rPr>
          <w:rFonts w:ascii="Times New Roman" w:hAnsi="Times New Roman"/>
          <w:color w:val="000000"/>
          <w:sz w:val="28"/>
          <w:szCs w:val="28"/>
        </w:rPr>
        <w:t xml:space="preserve">e approach is misinformed and </w:t>
      </w:r>
      <w:r>
        <w:rPr>
          <w:rFonts w:ascii="Times New Roman" w:hAnsi="Times New Roman"/>
          <w:color w:val="000000"/>
          <w:sz w:val="28"/>
          <w:szCs w:val="28"/>
        </w:rPr>
        <w:t>is incorrect.</w:t>
      </w:r>
    </w:p>
    <w:p w:rsidR="000E1666" w:rsidRPr="000E1666" w:rsidRDefault="00502804"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Rule 6</w:t>
      </w:r>
      <w:r w:rsidR="00E26CE2">
        <w:rPr>
          <w:rFonts w:ascii="Times New Roman" w:hAnsi="Times New Roman"/>
          <w:color w:val="000000"/>
          <w:sz w:val="28"/>
          <w:szCs w:val="28"/>
        </w:rPr>
        <w:t>(5)</w:t>
      </w:r>
      <w:r>
        <w:rPr>
          <w:rFonts w:ascii="Times New Roman" w:hAnsi="Times New Roman"/>
          <w:color w:val="000000"/>
          <w:sz w:val="28"/>
          <w:szCs w:val="28"/>
        </w:rPr>
        <w:t xml:space="preserve"> of the </w:t>
      </w:r>
      <w:r w:rsidR="00A93D32">
        <w:rPr>
          <w:rFonts w:ascii="Times New Roman" w:hAnsi="Times New Roman"/>
          <w:color w:val="000000"/>
          <w:sz w:val="28"/>
          <w:szCs w:val="28"/>
        </w:rPr>
        <w:t>U</w:t>
      </w:r>
      <w:r>
        <w:rPr>
          <w:rFonts w:ascii="Times New Roman" w:hAnsi="Times New Roman"/>
          <w:color w:val="000000"/>
          <w:sz w:val="28"/>
          <w:szCs w:val="28"/>
        </w:rPr>
        <w:t xml:space="preserve">niform </w:t>
      </w:r>
      <w:r w:rsidR="00A93D32">
        <w:rPr>
          <w:rFonts w:ascii="Times New Roman" w:hAnsi="Times New Roman"/>
          <w:color w:val="000000"/>
          <w:sz w:val="28"/>
          <w:szCs w:val="28"/>
        </w:rPr>
        <w:t>R</w:t>
      </w:r>
      <w:r>
        <w:rPr>
          <w:rFonts w:ascii="Times New Roman" w:hAnsi="Times New Roman"/>
          <w:color w:val="000000"/>
          <w:sz w:val="28"/>
          <w:szCs w:val="28"/>
        </w:rPr>
        <w:t xml:space="preserve">ules of </w:t>
      </w:r>
      <w:r w:rsidR="00A93D32">
        <w:rPr>
          <w:rFonts w:ascii="Times New Roman" w:hAnsi="Times New Roman"/>
          <w:color w:val="000000"/>
          <w:sz w:val="28"/>
          <w:szCs w:val="28"/>
        </w:rPr>
        <w:t>C</w:t>
      </w:r>
      <w:r>
        <w:rPr>
          <w:rFonts w:ascii="Times New Roman" w:hAnsi="Times New Roman"/>
          <w:color w:val="000000"/>
          <w:sz w:val="28"/>
          <w:szCs w:val="28"/>
        </w:rPr>
        <w:t xml:space="preserve">ourt </w:t>
      </w:r>
      <w:r w:rsidR="00EF4A66">
        <w:rPr>
          <w:rFonts w:ascii="Times New Roman" w:hAnsi="Times New Roman"/>
          <w:color w:val="000000"/>
          <w:sz w:val="28"/>
          <w:szCs w:val="28"/>
        </w:rPr>
        <w:t xml:space="preserve">stipulates time frames and </w:t>
      </w:r>
      <w:r>
        <w:rPr>
          <w:rFonts w:ascii="Times New Roman" w:hAnsi="Times New Roman"/>
          <w:color w:val="000000"/>
          <w:sz w:val="28"/>
          <w:szCs w:val="28"/>
        </w:rPr>
        <w:t>provides clear procedural guidance</w:t>
      </w:r>
      <w:r w:rsidR="00B513CE">
        <w:rPr>
          <w:rFonts w:ascii="Times New Roman" w:hAnsi="Times New Roman"/>
          <w:color w:val="000000"/>
          <w:sz w:val="28"/>
          <w:szCs w:val="28"/>
        </w:rPr>
        <w:t xml:space="preserve"> </w:t>
      </w:r>
      <w:r w:rsidR="00EF4A66">
        <w:rPr>
          <w:rFonts w:ascii="Times New Roman" w:hAnsi="Times New Roman"/>
          <w:color w:val="000000"/>
          <w:sz w:val="28"/>
          <w:szCs w:val="28"/>
        </w:rPr>
        <w:t xml:space="preserve">on </w:t>
      </w:r>
      <w:r w:rsidR="00B513CE">
        <w:rPr>
          <w:rFonts w:ascii="Times New Roman" w:hAnsi="Times New Roman"/>
          <w:color w:val="000000"/>
          <w:sz w:val="28"/>
          <w:szCs w:val="28"/>
        </w:rPr>
        <w:t xml:space="preserve">what a litigant </w:t>
      </w:r>
      <w:r w:rsidR="00B028DC">
        <w:rPr>
          <w:rFonts w:ascii="Times New Roman" w:hAnsi="Times New Roman"/>
          <w:color w:val="000000"/>
          <w:sz w:val="28"/>
          <w:szCs w:val="28"/>
        </w:rPr>
        <w:t xml:space="preserve">must </w:t>
      </w:r>
      <w:r w:rsidR="00B513CE">
        <w:rPr>
          <w:rFonts w:ascii="Times New Roman" w:hAnsi="Times New Roman"/>
          <w:color w:val="000000"/>
          <w:sz w:val="28"/>
          <w:szCs w:val="28"/>
        </w:rPr>
        <w:t xml:space="preserve">do in the event of being served with a notice of motion. </w:t>
      </w:r>
      <w:r w:rsidR="00EF4A66">
        <w:rPr>
          <w:rFonts w:ascii="Times New Roman" w:hAnsi="Times New Roman"/>
          <w:color w:val="000000"/>
          <w:sz w:val="28"/>
          <w:szCs w:val="28"/>
        </w:rPr>
        <w:t xml:space="preserve">Where proceedings are brought </w:t>
      </w:r>
      <w:r w:rsidR="00EF4A66">
        <w:rPr>
          <w:rFonts w:ascii="Times New Roman" w:hAnsi="Times New Roman"/>
          <w:color w:val="000000"/>
          <w:sz w:val="28"/>
          <w:szCs w:val="28"/>
        </w:rPr>
        <w:lastRenderedPageBreak/>
        <w:t xml:space="preserve">on notice (as was the case in this instance) </w:t>
      </w:r>
      <w:r w:rsidR="00664B59">
        <w:rPr>
          <w:rFonts w:ascii="Times New Roman" w:hAnsi="Times New Roman"/>
          <w:color w:val="000000"/>
          <w:sz w:val="28"/>
          <w:szCs w:val="28"/>
        </w:rPr>
        <w:t xml:space="preserve">an </w:t>
      </w:r>
      <w:r w:rsidR="00EF4A66">
        <w:rPr>
          <w:rFonts w:ascii="Times New Roman" w:hAnsi="Times New Roman"/>
          <w:color w:val="000000"/>
          <w:sz w:val="28"/>
          <w:szCs w:val="28"/>
        </w:rPr>
        <w:t>answering affi</w:t>
      </w:r>
      <w:r w:rsidR="00664B59">
        <w:rPr>
          <w:rFonts w:ascii="Times New Roman" w:hAnsi="Times New Roman"/>
          <w:color w:val="000000"/>
          <w:sz w:val="28"/>
          <w:szCs w:val="28"/>
        </w:rPr>
        <w:t>d</w:t>
      </w:r>
      <w:r w:rsidR="00EF4A66">
        <w:rPr>
          <w:rFonts w:ascii="Times New Roman" w:hAnsi="Times New Roman"/>
          <w:color w:val="000000"/>
          <w:sz w:val="28"/>
          <w:szCs w:val="28"/>
        </w:rPr>
        <w:t xml:space="preserve">avit must be filed </w:t>
      </w:r>
      <w:r w:rsidR="00741596">
        <w:rPr>
          <w:rFonts w:ascii="Times New Roman" w:hAnsi="Times New Roman"/>
          <w:color w:val="000000"/>
          <w:sz w:val="28"/>
          <w:szCs w:val="28"/>
        </w:rPr>
        <w:t>within a reasonable time.</w:t>
      </w:r>
      <w:r w:rsidR="00741596">
        <w:rPr>
          <w:rStyle w:val="FootnoteReference"/>
          <w:rFonts w:ascii="Times New Roman" w:hAnsi="Times New Roman"/>
          <w:color w:val="000000"/>
          <w:sz w:val="28"/>
          <w:szCs w:val="28"/>
        </w:rPr>
        <w:footnoteReference w:id="6"/>
      </w:r>
      <w:r w:rsidR="00741596">
        <w:rPr>
          <w:rFonts w:ascii="Times New Roman" w:hAnsi="Times New Roman"/>
          <w:color w:val="000000"/>
          <w:sz w:val="28"/>
          <w:szCs w:val="28"/>
        </w:rPr>
        <w:t xml:space="preserve"> </w:t>
      </w:r>
      <w:r>
        <w:rPr>
          <w:rFonts w:ascii="Times New Roman" w:hAnsi="Times New Roman"/>
          <w:color w:val="000000"/>
          <w:sz w:val="28"/>
          <w:szCs w:val="28"/>
        </w:rPr>
        <w:t>I</w:t>
      </w:r>
      <w:r w:rsidR="00664B59">
        <w:rPr>
          <w:rFonts w:ascii="Times New Roman" w:hAnsi="Times New Roman"/>
          <w:color w:val="000000"/>
          <w:sz w:val="28"/>
          <w:szCs w:val="28"/>
        </w:rPr>
        <w:t>n either instance, whether proceedings are launched on notice of motion or by notice,</w:t>
      </w:r>
      <w:r w:rsidR="00182F1F">
        <w:rPr>
          <w:rFonts w:ascii="Times New Roman" w:hAnsi="Times New Roman"/>
          <w:color w:val="000000"/>
          <w:sz w:val="28"/>
          <w:szCs w:val="28"/>
        </w:rPr>
        <w:t xml:space="preserve"> </w:t>
      </w:r>
      <w:r w:rsidR="00BD270A">
        <w:rPr>
          <w:rFonts w:ascii="Times New Roman" w:hAnsi="Times New Roman"/>
          <w:color w:val="000000"/>
          <w:sz w:val="28"/>
          <w:szCs w:val="28"/>
        </w:rPr>
        <w:t>if a party intends to oppose</w:t>
      </w:r>
      <w:r w:rsidR="00411696">
        <w:rPr>
          <w:rFonts w:ascii="Times New Roman" w:hAnsi="Times New Roman"/>
          <w:color w:val="000000"/>
          <w:sz w:val="28"/>
          <w:szCs w:val="28"/>
        </w:rPr>
        <w:t>,</w:t>
      </w:r>
      <w:r w:rsidR="00C92102">
        <w:rPr>
          <w:rFonts w:ascii="Times New Roman" w:hAnsi="Times New Roman"/>
          <w:color w:val="000000"/>
          <w:sz w:val="28"/>
          <w:szCs w:val="28"/>
        </w:rPr>
        <w:t xml:space="preserve"> </w:t>
      </w:r>
      <w:r w:rsidR="00182F1F">
        <w:rPr>
          <w:rFonts w:ascii="Times New Roman" w:hAnsi="Times New Roman"/>
          <w:color w:val="000000"/>
          <w:sz w:val="28"/>
          <w:szCs w:val="28"/>
        </w:rPr>
        <w:t xml:space="preserve">an answering affidavit </w:t>
      </w:r>
      <w:r w:rsidR="00C92102">
        <w:rPr>
          <w:rFonts w:ascii="Times New Roman" w:hAnsi="Times New Roman"/>
          <w:color w:val="000000"/>
          <w:sz w:val="28"/>
          <w:szCs w:val="28"/>
        </w:rPr>
        <w:t xml:space="preserve">or a notice in terms of rule 6(5)(d)(iii) </w:t>
      </w:r>
      <w:r w:rsidR="00182F1F">
        <w:rPr>
          <w:rFonts w:ascii="Times New Roman" w:hAnsi="Times New Roman"/>
          <w:color w:val="000000"/>
          <w:sz w:val="28"/>
          <w:szCs w:val="28"/>
        </w:rPr>
        <w:t>must be filed</w:t>
      </w:r>
      <w:r w:rsidR="00365016">
        <w:rPr>
          <w:rFonts w:ascii="Times New Roman" w:hAnsi="Times New Roman"/>
          <w:color w:val="000000"/>
          <w:sz w:val="28"/>
          <w:szCs w:val="28"/>
        </w:rPr>
        <w:t xml:space="preserve">. The rationale </w:t>
      </w:r>
      <w:r w:rsidR="00C92102">
        <w:rPr>
          <w:rFonts w:ascii="Times New Roman" w:hAnsi="Times New Roman"/>
          <w:color w:val="000000"/>
          <w:sz w:val="28"/>
          <w:szCs w:val="28"/>
        </w:rPr>
        <w:t xml:space="preserve">for an answering affidavit </w:t>
      </w:r>
      <w:r w:rsidR="00365016">
        <w:rPr>
          <w:rFonts w:ascii="Times New Roman" w:hAnsi="Times New Roman"/>
          <w:color w:val="000000"/>
          <w:sz w:val="28"/>
          <w:szCs w:val="28"/>
        </w:rPr>
        <w:t>is simple</w:t>
      </w:r>
      <w:r w:rsidR="00B028DC">
        <w:rPr>
          <w:rFonts w:ascii="Times New Roman" w:hAnsi="Times New Roman"/>
          <w:color w:val="000000"/>
          <w:sz w:val="28"/>
          <w:szCs w:val="28"/>
        </w:rPr>
        <w:t>. In motion proceedings the affidavits constitute both the pleadings and the evidence and the issues and averments in support of a party’s case s</w:t>
      </w:r>
      <w:r w:rsidR="000E1666">
        <w:rPr>
          <w:rFonts w:ascii="Times New Roman" w:hAnsi="Times New Roman"/>
          <w:color w:val="000000"/>
          <w:sz w:val="28"/>
          <w:szCs w:val="28"/>
        </w:rPr>
        <w:t>hould appear clearly therefrom.</w:t>
      </w:r>
    </w:p>
    <w:p w:rsidR="00B800F5" w:rsidRPr="00E33B88" w:rsidRDefault="001A3124"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w:t>
      </w:r>
      <w:r w:rsidR="00CB7086">
        <w:rPr>
          <w:rFonts w:ascii="Times New Roman" w:hAnsi="Times New Roman"/>
          <w:color w:val="000000"/>
          <w:sz w:val="28"/>
          <w:szCs w:val="28"/>
        </w:rPr>
        <w:t xml:space="preserve">o have expected this court to </w:t>
      </w:r>
      <w:r w:rsidR="00951395">
        <w:rPr>
          <w:rFonts w:ascii="Times New Roman" w:hAnsi="Times New Roman"/>
          <w:color w:val="000000"/>
          <w:sz w:val="28"/>
          <w:szCs w:val="28"/>
        </w:rPr>
        <w:t xml:space="preserve">entertain </w:t>
      </w:r>
      <w:r>
        <w:rPr>
          <w:rFonts w:ascii="Times New Roman" w:hAnsi="Times New Roman"/>
          <w:color w:val="000000"/>
          <w:sz w:val="28"/>
          <w:szCs w:val="28"/>
        </w:rPr>
        <w:t xml:space="preserve">counsel’s </w:t>
      </w:r>
      <w:r w:rsidR="00CB7086">
        <w:rPr>
          <w:rFonts w:ascii="Times New Roman" w:hAnsi="Times New Roman"/>
          <w:color w:val="000000"/>
          <w:sz w:val="28"/>
          <w:szCs w:val="28"/>
        </w:rPr>
        <w:t>submissions from the bar</w:t>
      </w:r>
      <w:r>
        <w:rPr>
          <w:rFonts w:ascii="Times New Roman" w:hAnsi="Times New Roman"/>
          <w:color w:val="000000"/>
          <w:sz w:val="28"/>
          <w:szCs w:val="28"/>
        </w:rPr>
        <w:t xml:space="preserve"> would have been tantamount to supplanting the purpose of an opposing affidavit </w:t>
      </w:r>
      <w:r w:rsidR="002E2FF3">
        <w:rPr>
          <w:rFonts w:ascii="Times New Roman" w:hAnsi="Times New Roman"/>
          <w:color w:val="000000"/>
          <w:sz w:val="28"/>
          <w:szCs w:val="28"/>
        </w:rPr>
        <w:t>and sanctioning litigation by ambush.</w:t>
      </w:r>
    </w:p>
    <w:p w:rsidR="00E33B88" w:rsidRPr="00E33B88" w:rsidRDefault="00E33B88" w:rsidP="00E33B88">
      <w:pPr>
        <w:pStyle w:val="LegalList1"/>
        <w:spacing w:line="360" w:lineRule="auto"/>
        <w:ind w:left="131" w:firstLine="720"/>
        <w:rPr>
          <w:rFonts w:ascii="Times New Roman" w:hAnsi="Times New Roman"/>
          <w:b/>
          <w:sz w:val="28"/>
          <w:szCs w:val="28"/>
        </w:rPr>
      </w:pPr>
      <w:r w:rsidRPr="00E33B88">
        <w:rPr>
          <w:rFonts w:ascii="Times New Roman" w:hAnsi="Times New Roman"/>
          <w:b/>
          <w:color w:val="000000"/>
          <w:sz w:val="28"/>
          <w:szCs w:val="28"/>
        </w:rPr>
        <w:t>Costs</w:t>
      </w:r>
    </w:p>
    <w:p w:rsidR="00E33B88" w:rsidRPr="00E33B88" w:rsidRDefault="00B72DF3"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usual rule is that costs follow the result. Save for the first respondent, the second respondent (although having filed an ‘explanatory affidavit’) made no appearance. For the first respondent it was contended that punitive costs should be awarded against the applicant in the event of a dismissal of the review application</w:t>
      </w:r>
      <w:r w:rsidR="00B215D0">
        <w:rPr>
          <w:rFonts w:ascii="Times New Roman" w:hAnsi="Times New Roman"/>
          <w:sz w:val="28"/>
          <w:szCs w:val="28"/>
        </w:rPr>
        <w:t>, and that the applicant’</w:t>
      </w:r>
      <w:r w:rsidR="00CC2CB4">
        <w:rPr>
          <w:rFonts w:ascii="Times New Roman" w:hAnsi="Times New Roman"/>
          <w:sz w:val="28"/>
          <w:szCs w:val="28"/>
        </w:rPr>
        <w:t>s complaint ab</w:t>
      </w:r>
      <w:r w:rsidR="00B215D0">
        <w:rPr>
          <w:rFonts w:ascii="Times New Roman" w:hAnsi="Times New Roman"/>
          <w:sz w:val="28"/>
          <w:szCs w:val="28"/>
        </w:rPr>
        <w:t>o</w:t>
      </w:r>
      <w:r w:rsidR="00CC2CB4">
        <w:rPr>
          <w:rFonts w:ascii="Times New Roman" w:hAnsi="Times New Roman"/>
          <w:sz w:val="28"/>
          <w:szCs w:val="28"/>
        </w:rPr>
        <w:t>u</w:t>
      </w:r>
      <w:r w:rsidR="00B215D0">
        <w:rPr>
          <w:rFonts w:ascii="Times New Roman" w:hAnsi="Times New Roman"/>
          <w:sz w:val="28"/>
          <w:szCs w:val="28"/>
        </w:rPr>
        <w:t>t the delay in finalising these proceedings</w:t>
      </w:r>
      <w:r w:rsidR="00CC2CB4">
        <w:rPr>
          <w:rFonts w:ascii="Times New Roman" w:hAnsi="Times New Roman"/>
          <w:sz w:val="28"/>
          <w:szCs w:val="28"/>
        </w:rPr>
        <w:t xml:space="preserve"> </w:t>
      </w:r>
      <w:r w:rsidR="00641D83">
        <w:rPr>
          <w:rFonts w:ascii="Times New Roman" w:hAnsi="Times New Roman"/>
          <w:sz w:val="28"/>
          <w:szCs w:val="28"/>
        </w:rPr>
        <w:t xml:space="preserve">should </w:t>
      </w:r>
      <w:r w:rsidR="00CC2CB4">
        <w:rPr>
          <w:rFonts w:ascii="Times New Roman" w:hAnsi="Times New Roman"/>
          <w:sz w:val="28"/>
          <w:szCs w:val="28"/>
        </w:rPr>
        <w:t xml:space="preserve">be countered by </w:t>
      </w:r>
      <w:r w:rsidR="00641D83">
        <w:rPr>
          <w:rFonts w:ascii="Times New Roman" w:hAnsi="Times New Roman"/>
          <w:sz w:val="28"/>
          <w:szCs w:val="28"/>
        </w:rPr>
        <w:t>his failure to have set the matter down for hearing notwithstanding the late filing of the first respondent’s answering affidavit</w:t>
      </w:r>
      <w:r>
        <w:rPr>
          <w:rFonts w:ascii="Times New Roman" w:hAnsi="Times New Roman"/>
          <w:sz w:val="28"/>
          <w:szCs w:val="28"/>
        </w:rPr>
        <w:t>.</w:t>
      </w:r>
      <w:r w:rsidR="005D2803">
        <w:rPr>
          <w:rFonts w:ascii="Times New Roman" w:hAnsi="Times New Roman"/>
          <w:sz w:val="28"/>
          <w:szCs w:val="28"/>
        </w:rPr>
        <w:t xml:space="preserve"> We are not persuaded that the applicant should be visited with a punitive costs order for the reason that he acts on legal advice</w:t>
      </w:r>
      <w:r w:rsidR="00FD6FFE">
        <w:rPr>
          <w:rFonts w:ascii="Times New Roman" w:hAnsi="Times New Roman"/>
          <w:sz w:val="28"/>
          <w:szCs w:val="28"/>
        </w:rPr>
        <w:t xml:space="preserve">. In so far as the application for condonation (an indulgence) is concerned, it is appropriate that the first respondent pays the applicant’s </w:t>
      </w:r>
      <w:r w:rsidR="0070760E">
        <w:rPr>
          <w:rFonts w:ascii="Times New Roman" w:hAnsi="Times New Roman"/>
          <w:sz w:val="28"/>
          <w:szCs w:val="28"/>
        </w:rPr>
        <w:t xml:space="preserve">unopposed </w:t>
      </w:r>
      <w:r w:rsidR="00FD6FFE">
        <w:rPr>
          <w:rFonts w:ascii="Times New Roman" w:hAnsi="Times New Roman"/>
          <w:sz w:val="28"/>
          <w:szCs w:val="28"/>
        </w:rPr>
        <w:t>costs</w:t>
      </w:r>
      <w:r w:rsidR="0070760E">
        <w:rPr>
          <w:rFonts w:ascii="Times New Roman" w:hAnsi="Times New Roman"/>
          <w:sz w:val="28"/>
          <w:szCs w:val="28"/>
        </w:rPr>
        <w:t>.</w:t>
      </w:r>
    </w:p>
    <w:p w:rsidR="00B800F5" w:rsidRPr="003328A3" w:rsidRDefault="002E2FF3" w:rsidP="00AD7016">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lastRenderedPageBreak/>
        <w:t>In the circumstances the following order issues:</w:t>
      </w:r>
    </w:p>
    <w:p w:rsidR="00B800F5" w:rsidRPr="0070760E" w:rsidRDefault="00B800F5" w:rsidP="005C67B7">
      <w:pPr>
        <w:pStyle w:val="LegalList1"/>
        <w:numPr>
          <w:ilvl w:val="0"/>
          <w:numId w:val="6"/>
        </w:numPr>
        <w:spacing w:line="360" w:lineRule="auto"/>
        <w:rPr>
          <w:rFonts w:ascii="Times New Roman" w:hAnsi="Times New Roman"/>
          <w:sz w:val="28"/>
          <w:szCs w:val="28"/>
        </w:rPr>
      </w:pPr>
      <w:r w:rsidRPr="003328A3">
        <w:rPr>
          <w:rFonts w:ascii="Times New Roman" w:hAnsi="Times New Roman"/>
          <w:color w:val="000000"/>
          <w:sz w:val="28"/>
          <w:szCs w:val="28"/>
        </w:rPr>
        <w:t>T</w:t>
      </w:r>
      <w:r w:rsidR="00631871">
        <w:rPr>
          <w:rFonts w:ascii="Times New Roman" w:hAnsi="Times New Roman"/>
          <w:color w:val="000000"/>
          <w:sz w:val="28"/>
          <w:szCs w:val="28"/>
        </w:rPr>
        <w:t xml:space="preserve">he </w:t>
      </w:r>
      <w:r w:rsidR="00E33B88">
        <w:rPr>
          <w:rFonts w:ascii="Times New Roman" w:hAnsi="Times New Roman"/>
          <w:color w:val="000000"/>
          <w:sz w:val="28"/>
          <w:szCs w:val="28"/>
        </w:rPr>
        <w:t xml:space="preserve">review </w:t>
      </w:r>
      <w:r w:rsidR="00631871">
        <w:rPr>
          <w:rFonts w:ascii="Times New Roman" w:hAnsi="Times New Roman"/>
          <w:color w:val="000000"/>
          <w:sz w:val="28"/>
          <w:szCs w:val="28"/>
        </w:rPr>
        <w:t xml:space="preserve">application </w:t>
      </w:r>
      <w:r w:rsidR="00E33B88">
        <w:rPr>
          <w:rFonts w:ascii="Times New Roman" w:hAnsi="Times New Roman"/>
          <w:color w:val="000000"/>
          <w:sz w:val="28"/>
          <w:szCs w:val="28"/>
        </w:rPr>
        <w:t>is dismissed with costs</w:t>
      </w:r>
      <w:r w:rsidR="00411696">
        <w:rPr>
          <w:rFonts w:ascii="Times New Roman" w:hAnsi="Times New Roman"/>
          <w:color w:val="000000"/>
          <w:sz w:val="28"/>
          <w:szCs w:val="28"/>
        </w:rPr>
        <w:t>, such costs to exclude</w:t>
      </w:r>
      <w:r w:rsidR="0070760E">
        <w:rPr>
          <w:rFonts w:ascii="Times New Roman" w:hAnsi="Times New Roman"/>
          <w:color w:val="000000"/>
          <w:sz w:val="28"/>
          <w:szCs w:val="28"/>
        </w:rPr>
        <w:t xml:space="preserve"> the costs of the second respondent</w:t>
      </w:r>
      <w:r w:rsidR="00951395">
        <w:rPr>
          <w:rFonts w:ascii="Times New Roman" w:hAnsi="Times New Roman"/>
          <w:color w:val="000000"/>
          <w:sz w:val="28"/>
          <w:szCs w:val="28"/>
        </w:rPr>
        <w:t>.</w:t>
      </w:r>
    </w:p>
    <w:p w:rsidR="0070760E" w:rsidRPr="003328A3" w:rsidRDefault="005C67B7" w:rsidP="005C67B7">
      <w:pPr>
        <w:pStyle w:val="LegalList1"/>
        <w:numPr>
          <w:ilvl w:val="0"/>
          <w:numId w:val="6"/>
        </w:numPr>
        <w:spacing w:line="360" w:lineRule="auto"/>
        <w:rPr>
          <w:rFonts w:ascii="Times New Roman" w:hAnsi="Times New Roman"/>
          <w:sz w:val="28"/>
          <w:szCs w:val="28"/>
        </w:rPr>
      </w:pPr>
      <w:r>
        <w:rPr>
          <w:rFonts w:ascii="Times New Roman" w:hAnsi="Times New Roman"/>
          <w:color w:val="000000"/>
          <w:sz w:val="28"/>
          <w:szCs w:val="28"/>
        </w:rPr>
        <w:t>T</w:t>
      </w:r>
      <w:r w:rsidR="0070760E">
        <w:rPr>
          <w:rFonts w:ascii="Times New Roman" w:hAnsi="Times New Roman"/>
          <w:color w:val="000000"/>
          <w:sz w:val="28"/>
          <w:szCs w:val="28"/>
        </w:rPr>
        <w:t xml:space="preserve">he first respondent shall pay the applicant’s </w:t>
      </w:r>
      <w:r>
        <w:rPr>
          <w:rFonts w:ascii="Times New Roman" w:hAnsi="Times New Roman"/>
          <w:color w:val="000000"/>
          <w:sz w:val="28"/>
          <w:szCs w:val="28"/>
        </w:rPr>
        <w:t xml:space="preserve">unopposed </w:t>
      </w:r>
      <w:r w:rsidR="0070760E">
        <w:rPr>
          <w:rFonts w:ascii="Times New Roman" w:hAnsi="Times New Roman"/>
          <w:color w:val="000000"/>
          <w:sz w:val="28"/>
          <w:szCs w:val="28"/>
        </w:rPr>
        <w:t>costs</w:t>
      </w:r>
      <w:r>
        <w:rPr>
          <w:rFonts w:ascii="Times New Roman" w:hAnsi="Times New Roman"/>
          <w:color w:val="000000"/>
          <w:sz w:val="28"/>
          <w:szCs w:val="28"/>
        </w:rPr>
        <w:t xml:space="preserve"> in the application for condonation.</w:t>
      </w:r>
    </w:p>
    <w:p w:rsidR="00F97C22" w:rsidRDefault="00F97C22" w:rsidP="00522840">
      <w:pPr>
        <w:rPr>
          <w:sz w:val="28"/>
          <w:szCs w:val="28"/>
        </w:rPr>
      </w:pPr>
    </w:p>
    <w:p w:rsidR="005C67B7" w:rsidRDefault="005C67B7" w:rsidP="00522840">
      <w:pPr>
        <w:rPr>
          <w:sz w:val="28"/>
          <w:szCs w:val="28"/>
        </w:rPr>
      </w:pPr>
    </w:p>
    <w:p w:rsidR="00CA7100" w:rsidRDefault="00CA7100" w:rsidP="00CA7100">
      <w:pPr>
        <w:spacing w:line="360" w:lineRule="auto"/>
        <w:jc w:val="both"/>
        <w:rPr>
          <w:rFonts w:ascii="Times New Roman" w:hAnsi="Times New Roman"/>
          <w:color w:val="000000"/>
          <w:sz w:val="28"/>
          <w:szCs w:val="28"/>
        </w:rPr>
      </w:pPr>
    </w:p>
    <w:p w:rsidR="00CA7100" w:rsidRDefault="00CA7100" w:rsidP="00CA5A7F">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CA7100" w:rsidRPr="009E483B" w:rsidRDefault="00CA7100" w:rsidP="00CA5A7F">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CA7100" w:rsidRPr="009E483B" w:rsidRDefault="00CA7100" w:rsidP="00CA5A7F">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CA7100" w:rsidRDefault="00CA7100" w:rsidP="00CA7100">
      <w:pPr>
        <w:pStyle w:val="LegalList1"/>
        <w:spacing w:line="240" w:lineRule="auto"/>
        <w:ind w:left="851"/>
        <w:rPr>
          <w:rFonts w:ascii="Times New Roman" w:hAnsi="Times New Roman"/>
          <w:sz w:val="28"/>
          <w:szCs w:val="28"/>
        </w:rPr>
      </w:pPr>
    </w:p>
    <w:p w:rsidR="00CA7100" w:rsidRPr="00CA7100" w:rsidRDefault="00CA7100" w:rsidP="00CA7100">
      <w:pPr>
        <w:ind w:left="131" w:firstLine="720"/>
        <w:rPr>
          <w:rFonts w:ascii="Times New Roman" w:hAnsi="Times New Roman" w:cs="Times New Roman"/>
          <w:sz w:val="28"/>
          <w:szCs w:val="28"/>
        </w:rPr>
      </w:pPr>
      <w:r w:rsidRPr="00CA7100">
        <w:rPr>
          <w:rFonts w:ascii="Times New Roman" w:hAnsi="Times New Roman" w:cs="Times New Roman"/>
          <w:sz w:val="28"/>
          <w:szCs w:val="28"/>
        </w:rPr>
        <w:t>I agree</w:t>
      </w:r>
    </w:p>
    <w:p w:rsidR="00CA7100" w:rsidRPr="00CA7100" w:rsidRDefault="00CA7100" w:rsidP="00522840">
      <w:pPr>
        <w:rPr>
          <w:rFonts w:ascii="Times New Roman" w:hAnsi="Times New Roman" w:cs="Times New Roman"/>
          <w:sz w:val="28"/>
          <w:szCs w:val="28"/>
        </w:rPr>
      </w:pPr>
    </w:p>
    <w:p w:rsidR="00CA7100" w:rsidRPr="00CA7100" w:rsidRDefault="00CA7100" w:rsidP="00522840">
      <w:pPr>
        <w:rPr>
          <w:rFonts w:ascii="Times New Roman" w:hAnsi="Times New Roman" w:cs="Times New Roman"/>
          <w:sz w:val="28"/>
          <w:szCs w:val="28"/>
        </w:rPr>
      </w:pPr>
    </w:p>
    <w:p w:rsidR="00CA7100" w:rsidRDefault="00CA7100" w:rsidP="00522840">
      <w:pPr>
        <w:rPr>
          <w:rFonts w:ascii="Times New Roman" w:hAnsi="Times New Roman" w:cs="Times New Roman"/>
          <w:sz w:val="28"/>
          <w:szCs w:val="28"/>
        </w:rPr>
      </w:pPr>
    </w:p>
    <w:p w:rsidR="00CA7100" w:rsidRDefault="00CA7100" w:rsidP="00522840">
      <w:pPr>
        <w:rPr>
          <w:rFonts w:ascii="Times New Roman" w:hAnsi="Times New Roman" w:cs="Times New Roman"/>
          <w:sz w:val="28"/>
          <w:szCs w:val="28"/>
        </w:rPr>
      </w:pPr>
    </w:p>
    <w:p w:rsidR="00CA5A7F" w:rsidRDefault="00CA5A7F" w:rsidP="00522840">
      <w:pPr>
        <w:rPr>
          <w:rFonts w:ascii="Times New Roman" w:hAnsi="Times New Roman" w:cs="Times New Roman"/>
          <w:sz w:val="28"/>
          <w:szCs w:val="28"/>
        </w:rPr>
      </w:pPr>
    </w:p>
    <w:p w:rsidR="00CA5A7F" w:rsidRPr="00CA7100" w:rsidRDefault="00CA5A7F" w:rsidP="00522840">
      <w:pPr>
        <w:rPr>
          <w:rFonts w:ascii="Times New Roman" w:hAnsi="Times New Roman" w:cs="Times New Roman"/>
          <w:sz w:val="28"/>
          <w:szCs w:val="28"/>
        </w:rPr>
      </w:pPr>
    </w:p>
    <w:p w:rsidR="00CA7100" w:rsidRPr="00CA7100" w:rsidRDefault="00CA7100" w:rsidP="00CA7100">
      <w:pPr>
        <w:pStyle w:val="LegalList1"/>
        <w:spacing w:line="240" w:lineRule="auto"/>
        <w:ind w:left="851"/>
        <w:rPr>
          <w:rFonts w:ascii="Times New Roman" w:hAnsi="Times New Roman"/>
          <w:sz w:val="28"/>
          <w:szCs w:val="28"/>
        </w:rPr>
      </w:pPr>
      <w:r w:rsidRPr="00CA7100">
        <w:rPr>
          <w:rFonts w:ascii="Times New Roman" w:hAnsi="Times New Roman"/>
          <w:sz w:val="28"/>
          <w:szCs w:val="28"/>
        </w:rPr>
        <w:t>____________________________</w:t>
      </w:r>
    </w:p>
    <w:p w:rsidR="00CA7100" w:rsidRPr="00CA7100" w:rsidRDefault="00CA7100" w:rsidP="00CA7100">
      <w:pPr>
        <w:ind w:left="131" w:firstLine="720"/>
        <w:rPr>
          <w:rFonts w:ascii="Times New Roman" w:hAnsi="Times New Roman" w:cs="Times New Roman"/>
          <w:b/>
          <w:sz w:val="28"/>
          <w:szCs w:val="28"/>
        </w:rPr>
      </w:pPr>
      <w:r w:rsidRPr="00CA7100">
        <w:rPr>
          <w:rFonts w:ascii="Times New Roman" w:hAnsi="Times New Roman" w:cs="Times New Roman"/>
          <w:b/>
          <w:sz w:val="28"/>
          <w:szCs w:val="28"/>
        </w:rPr>
        <w:t>G. H. BLOEM</w:t>
      </w:r>
    </w:p>
    <w:p w:rsidR="00CA7100" w:rsidRPr="00CA7100" w:rsidRDefault="00CA7100" w:rsidP="00522840">
      <w:pPr>
        <w:rPr>
          <w:rFonts w:ascii="Times New Roman" w:hAnsi="Times New Roman" w:cs="Times New Roman"/>
          <w:b/>
          <w:sz w:val="28"/>
          <w:szCs w:val="28"/>
        </w:rPr>
      </w:pPr>
    </w:p>
    <w:p w:rsidR="00CA7100" w:rsidRPr="00CA7100" w:rsidRDefault="00CA7100" w:rsidP="00CA7100">
      <w:pPr>
        <w:ind w:left="131" w:firstLine="720"/>
        <w:rPr>
          <w:rFonts w:ascii="Times New Roman" w:hAnsi="Times New Roman" w:cs="Times New Roman"/>
          <w:b/>
          <w:sz w:val="28"/>
          <w:szCs w:val="28"/>
        </w:rPr>
      </w:pPr>
      <w:r w:rsidRPr="00CA7100">
        <w:rPr>
          <w:rFonts w:ascii="Times New Roman" w:hAnsi="Times New Roman" w:cs="Times New Roman"/>
          <w:b/>
          <w:sz w:val="28"/>
          <w:szCs w:val="28"/>
        </w:rPr>
        <w:t>JUDGE OF THE HIGH COURT</w:t>
      </w:r>
    </w:p>
    <w:p w:rsidR="00CA7100" w:rsidRPr="00CA7100" w:rsidRDefault="00CA7100" w:rsidP="00522840">
      <w:pPr>
        <w:rPr>
          <w:rFonts w:ascii="Times New Roman" w:hAnsi="Times New Roman" w:cs="Times New Roman"/>
          <w:sz w:val="28"/>
          <w:szCs w:val="28"/>
        </w:rPr>
      </w:pPr>
    </w:p>
    <w:p w:rsidR="00CA5A7F" w:rsidRDefault="00CA5A7F" w:rsidP="00940163">
      <w:pPr>
        <w:pStyle w:val="LegalList1"/>
        <w:spacing w:line="240" w:lineRule="auto"/>
        <w:ind w:left="851"/>
        <w:rPr>
          <w:rFonts w:ascii="Times New Roman" w:hAnsi="Times New Roman"/>
          <w:sz w:val="28"/>
          <w:szCs w:val="28"/>
        </w:rPr>
      </w:pPr>
    </w:p>
    <w:p w:rsidR="00CA5A7F" w:rsidRDefault="00CA5A7F" w:rsidP="00940163">
      <w:pPr>
        <w:pStyle w:val="LegalList1"/>
        <w:spacing w:line="240" w:lineRule="auto"/>
        <w:ind w:left="851"/>
        <w:rPr>
          <w:rFonts w:ascii="Times New Roman" w:hAnsi="Times New Roman"/>
          <w:sz w:val="28"/>
          <w:szCs w:val="28"/>
        </w:rPr>
      </w:pPr>
    </w:p>
    <w:p w:rsidR="000E1666" w:rsidRDefault="000E1666" w:rsidP="00940163">
      <w:pPr>
        <w:pStyle w:val="LegalList1"/>
        <w:spacing w:line="240" w:lineRule="auto"/>
        <w:ind w:left="851"/>
        <w:rPr>
          <w:rFonts w:ascii="Times New Roman" w:hAnsi="Times New Roman"/>
          <w:sz w:val="28"/>
          <w:szCs w:val="28"/>
        </w:rPr>
      </w:pPr>
    </w:p>
    <w:p w:rsidR="000E1666" w:rsidRDefault="000E1666" w:rsidP="00940163">
      <w:pPr>
        <w:pStyle w:val="LegalList1"/>
        <w:spacing w:line="240" w:lineRule="auto"/>
        <w:ind w:left="851"/>
        <w:rPr>
          <w:rFonts w:ascii="Times New Roman" w:hAnsi="Times New Roman"/>
          <w:sz w:val="28"/>
          <w:szCs w:val="28"/>
        </w:rPr>
      </w:pPr>
    </w:p>
    <w:p w:rsidR="00940163" w:rsidRDefault="00940163" w:rsidP="00940163">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940163" w:rsidRPr="009E483B" w:rsidRDefault="00940163" w:rsidP="00940163">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Pr>
          <w:rFonts w:ascii="Times New Roman" w:hAnsi="Times New Roman" w:cs="Times New Roman"/>
          <w:sz w:val="28"/>
          <w:szCs w:val="28"/>
        </w:rPr>
        <w:t xml:space="preserve">S. </w:t>
      </w:r>
      <w:r w:rsidR="005C67B7">
        <w:rPr>
          <w:rFonts w:ascii="Times New Roman" w:hAnsi="Times New Roman" w:cs="Times New Roman"/>
          <w:sz w:val="28"/>
          <w:szCs w:val="28"/>
        </w:rPr>
        <w:t>Cubungu</w:t>
      </w:r>
    </w:p>
    <w:p w:rsidR="00940163" w:rsidRDefault="00940163" w:rsidP="0094016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rsidR="00940163" w:rsidRPr="009E483B" w:rsidRDefault="00940163" w:rsidP="00940163">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w:t>
      </w:r>
      <w:r w:rsidR="005C5BD7">
        <w:rPr>
          <w:rFonts w:ascii="Times New Roman" w:hAnsi="Times New Roman" w:cs="Times New Roman"/>
          <w:sz w:val="28"/>
          <w:szCs w:val="28"/>
        </w:rPr>
        <w:t>riebenouw Inc</w:t>
      </w:r>
      <w:r>
        <w:rPr>
          <w:rFonts w:ascii="Times New Roman" w:hAnsi="Times New Roman" w:cs="Times New Roman"/>
          <w:sz w:val="28"/>
          <w:szCs w:val="28"/>
        </w:rPr>
        <w:t>.</w:t>
      </w:r>
    </w:p>
    <w:p w:rsidR="00940163" w:rsidRPr="009E483B" w:rsidRDefault="00940163" w:rsidP="0094016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r w:rsidR="005C5BD7">
        <w:rPr>
          <w:rFonts w:ascii="Times New Roman" w:hAnsi="Times New Roman" w:cs="Times New Roman"/>
          <w:sz w:val="28"/>
          <w:szCs w:val="28"/>
        </w:rPr>
        <w:t>Netteltons</w:t>
      </w:r>
      <w:r>
        <w:rPr>
          <w:rFonts w:ascii="Times New Roman" w:hAnsi="Times New Roman" w:cs="Times New Roman"/>
          <w:sz w:val="28"/>
          <w:szCs w:val="28"/>
        </w:rPr>
        <w:t xml:space="preserve"> Attorneys</w:t>
      </w:r>
    </w:p>
    <w:p w:rsidR="00940163" w:rsidRPr="009E483B" w:rsidRDefault="00940163" w:rsidP="0094016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005C5BD7">
        <w:rPr>
          <w:rFonts w:ascii="Times New Roman" w:hAnsi="Times New Roman" w:cs="Times New Roman"/>
          <w:sz w:val="28"/>
          <w:szCs w:val="28"/>
        </w:rPr>
        <w:t>High</w:t>
      </w:r>
      <w:r>
        <w:rPr>
          <w:rFonts w:ascii="Times New Roman" w:hAnsi="Times New Roman" w:cs="Times New Roman"/>
          <w:sz w:val="28"/>
          <w:szCs w:val="28"/>
        </w:rPr>
        <w:t xml:space="preserve"> Street</w:t>
      </w:r>
    </w:p>
    <w:p w:rsidR="00940163" w:rsidRPr="009E483B" w:rsidRDefault="00940163" w:rsidP="0094016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Makhanda</w:t>
      </w:r>
    </w:p>
    <w:p w:rsidR="00940163" w:rsidRDefault="00940163" w:rsidP="00940163">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sidR="005C5BD7">
        <w:rPr>
          <w:rFonts w:ascii="Times New Roman" w:hAnsi="Times New Roman" w:cs="Times New Roman"/>
          <w:sz w:val="28"/>
          <w:szCs w:val="28"/>
        </w:rPr>
        <w:t>R. Hart</w:t>
      </w:r>
      <w:r w:rsidRPr="009E483B">
        <w:rPr>
          <w:rFonts w:ascii="Times New Roman" w:hAnsi="Times New Roman" w:cs="Times New Roman"/>
          <w:sz w:val="28"/>
          <w:szCs w:val="28"/>
        </w:rPr>
        <w:t>)</w:t>
      </w:r>
    </w:p>
    <w:p w:rsidR="00940163" w:rsidRPr="009E483B" w:rsidRDefault="00940163" w:rsidP="00940163">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40163" w:rsidRPr="00DE1B37" w:rsidRDefault="00940163" w:rsidP="00940163">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5C5BD7">
        <w:rPr>
          <w:rFonts w:ascii="Times New Roman" w:hAnsi="Times New Roman" w:cs="Times New Roman"/>
          <w:sz w:val="28"/>
          <w:szCs w:val="28"/>
        </w:rPr>
        <w:t xml:space="preserve">First </w:t>
      </w:r>
      <w:r>
        <w:rPr>
          <w:rFonts w:ascii="Times New Roman" w:hAnsi="Times New Roman" w:cs="Times New Roman"/>
          <w:sz w:val="28"/>
          <w:szCs w:val="28"/>
        </w:rPr>
        <w:t>Respondent</w:t>
      </w:r>
      <w:r w:rsidRPr="00DE1B37">
        <w:rPr>
          <w:rFonts w:ascii="Times New Roman" w:hAnsi="Times New Roman" w:cs="Times New Roman"/>
          <w:sz w:val="28"/>
          <w:szCs w:val="28"/>
        </w:rPr>
        <w:t>:</w:t>
      </w:r>
      <w:r>
        <w:rPr>
          <w:rFonts w:ascii="Times New Roman" w:hAnsi="Times New Roman" w:cs="Times New Roman"/>
          <w:sz w:val="28"/>
          <w:szCs w:val="28"/>
        </w:rPr>
        <w:tab/>
      </w:r>
      <w:r w:rsidR="005C5BD7">
        <w:rPr>
          <w:rFonts w:ascii="Times New Roman" w:hAnsi="Times New Roman" w:cs="Times New Roman"/>
          <w:sz w:val="28"/>
          <w:szCs w:val="28"/>
        </w:rPr>
        <w:t>L. Montsho-Moloisane SC</w:t>
      </w:r>
    </w:p>
    <w:p w:rsidR="00940163" w:rsidRDefault="00940163" w:rsidP="00940163">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940163" w:rsidRDefault="00CA5A7F" w:rsidP="00940163">
      <w:pPr>
        <w:ind w:left="3600" w:firstLine="720"/>
        <w:rPr>
          <w:rFonts w:ascii="Times New Roman" w:hAnsi="Times New Roman" w:cs="Times New Roman"/>
          <w:sz w:val="28"/>
          <w:szCs w:val="28"/>
        </w:rPr>
      </w:pPr>
      <w:r>
        <w:rPr>
          <w:rFonts w:ascii="Times New Roman" w:hAnsi="Times New Roman" w:cs="Times New Roman"/>
          <w:sz w:val="28"/>
          <w:szCs w:val="28"/>
        </w:rPr>
        <w:t>The State Attorney</w:t>
      </w:r>
    </w:p>
    <w:p w:rsidR="00940163" w:rsidRPr="00DE1B37" w:rsidRDefault="00940163" w:rsidP="00940163">
      <w:pPr>
        <w:ind w:left="3600" w:firstLine="720"/>
        <w:rPr>
          <w:rFonts w:ascii="Times New Roman" w:hAnsi="Times New Roman" w:cs="Times New Roman"/>
          <w:sz w:val="28"/>
          <w:szCs w:val="28"/>
        </w:rPr>
      </w:pPr>
      <w:r>
        <w:rPr>
          <w:rFonts w:ascii="Times New Roman" w:hAnsi="Times New Roman" w:cs="Times New Roman"/>
          <w:sz w:val="28"/>
          <w:szCs w:val="28"/>
        </w:rPr>
        <w:t xml:space="preserve">c/o </w:t>
      </w:r>
      <w:r w:rsidR="00CA5A7F">
        <w:rPr>
          <w:rFonts w:ascii="Times New Roman" w:hAnsi="Times New Roman" w:cs="Times New Roman"/>
          <w:sz w:val="28"/>
          <w:szCs w:val="28"/>
        </w:rPr>
        <w:t>Yokwana</w:t>
      </w:r>
      <w:r>
        <w:rPr>
          <w:rFonts w:ascii="Times New Roman" w:hAnsi="Times New Roman" w:cs="Times New Roman"/>
          <w:sz w:val="28"/>
          <w:szCs w:val="28"/>
        </w:rPr>
        <w:t xml:space="preserve"> Attorneys</w:t>
      </w:r>
    </w:p>
    <w:p w:rsidR="00940163" w:rsidRPr="00DE1B37" w:rsidRDefault="00CA5A7F" w:rsidP="00940163">
      <w:pPr>
        <w:ind w:left="3600" w:firstLine="720"/>
        <w:rPr>
          <w:rFonts w:ascii="Times New Roman" w:hAnsi="Times New Roman" w:cs="Times New Roman"/>
          <w:sz w:val="28"/>
          <w:szCs w:val="28"/>
        </w:rPr>
      </w:pPr>
      <w:r>
        <w:rPr>
          <w:rFonts w:ascii="Times New Roman" w:hAnsi="Times New Roman" w:cs="Times New Roman"/>
          <w:sz w:val="28"/>
          <w:szCs w:val="28"/>
        </w:rPr>
        <w:t>New Street</w:t>
      </w:r>
    </w:p>
    <w:p w:rsidR="00940163" w:rsidRPr="00DE1B37" w:rsidRDefault="00940163" w:rsidP="00940163">
      <w:pPr>
        <w:ind w:left="3600" w:firstLine="720"/>
        <w:rPr>
          <w:rFonts w:ascii="Times New Roman" w:hAnsi="Times New Roman" w:cs="Times New Roman"/>
          <w:sz w:val="28"/>
          <w:szCs w:val="28"/>
        </w:rPr>
      </w:pPr>
      <w:r w:rsidRPr="00DE1B37">
        <w:rPr>
          <w:rFonts w:ascii="Times New Roman" w:hAnsi="Times New Roman" w:cs="Times New Roman"/>
          <w:sz w:val="28"/>
          <w:szCs w:val="28"/>
        </w:rPr>
        <w:t>Makhanda</w:t>
      </w:r>
    </w:p>
    <w:p w:rsidR="00940163" w:rsidRDefault="00940163" w:rsidP="00940163">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Pr>
          <w:rFonts w:ascii="Times New Roman" w:hAnsi="Times New Roman" w:cs="Times New Roman"/>
          <w:sz w:val="28"/>
          <w:szCs w:val="28"/>
        </w:rPr>
        <w:t xml:space="preserve"> </w:t>
      </w:r>
      <w:r w:rsidR="00CA5A7F">
        <w:rPr>
          <w:rFonts w:ascii="Times New Roman" w:hAnsi="Times New Roman" w:cs="Times New Roman"/>
          <w:sz w:val="28"/>
          <w:szCs w:val="28"/>
        </w:rPr>
        <w:t>N. Yokwana</w:t>
      </w:r>
      <w:r w:rsidRPr="00DE1B37">
        <w:rPr>
          <w:rFonts w:ascii="Times New Roman" w:hAnsi="Times New Roman" w:cs="Times New Roman"/>
          <w:sz w:val="28"/>
          <w:szCs w:val="28"/>
        </w:rPr>
        <w:t>)</w:t>
      </w:r>
    </w:p>
    <w:p w:rsidR="00940163" w:rsidRPr="00DE1B37" w:rsidRDefault="00940163" w:rsidP="00940163">
      <w:pPr>
        <w:ind w:left="4451"/>
        <w:rPr>
          <w:rFonts w:ascii="Times New Roman" w:hAnsi="Times New Roman" w:cs="Times New Roman"/>
          <w:sz w:val="28"/>
          <w:szCs w:val="28"/>
        </w:rPr>
      </w:pPr>
    </w:p>
    <w:p w:rsidR="00940163" w:rsidRDefault="00940163" w:rsidP="00940163">
      <w:pPr>
        <w:pStyle w:val="LegalList1"/>
        <w:spacing w:line="360" w:lineRule="auto"/>
        <w:ind w:left="851"/>
        <w:rPr>
          <w:rFonts w:ascii="Times New Roman" w:hAnsi="Times New Roman"/>
          <w:sz w:val="28"/>
          <w:szCs w:val="28"/>
        </w:rPr>
      </w:pPr>
    </w:p>
    <w:p w:rsidR="00940163" w:rsidRDefault="00940163" w:rsidP="00940163">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F3B6D">
        <w:rPr>
          <w:rFonts w:ascii="Times New Roman" w:hAnsi="Times New Roman"/>
          <w:sz w:val="28"/>
          <w:szCs w:val="28"/>
        </w:rPr>
        <w:t>18 August 2022</w:t>
      </w:r>
    </w:p>
    <w:p w:rsidR="00940163" w:rsidRPr="008E092C" w:rsidRDefault="00940163" w:rsidP="00940163">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E1666">
        <w:rPr>
          <w:rFonts w:ascii="Times New Roman" w:hAnsi="Times New Roman"/>
          <w:sz w:val="28"/>
          <w:szCs w:val="28"/>
        </w:rPr>
        <w:t>23 August 2022</w:t>
      </w:r>
    </w:p>
    <w:p w:rsidR="00446692" w:rsidRPr="003328A3" w:rsidRDefault="00446692" w:rsidP="00522840">
      <w:pPr>
        <w:rPr>
          <w:sz w:val="28"/>
          <w:szCs w:val="28"/>
        </w:rPr>
      </w:pPr>
    </w:p>
    <w:sectPr w:rsidR="00446692" w:rsidRPr="003328A3"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1A" w:rsidRDefault="002D791A" w:rsidP="00354A12">
      <w:pPr>
        <w:spacing w:line="240" w:lineRule="auto"/>
      </w:pPr>
      <w:r>
        <w:separator/>
      </w:r>
    </w:p>
  </w:endnote>
  <w:endnote w:type="continuationSeparator" w:id="0">
    <w:p w:rsidR="002D791A" w:rsidRDefault="002D791A"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1A" w:rsidRDefault="002D791A" w:rsidP="00354A12">
      <w:pPr>
        <w:spacing w:line="240" w:lineRule="auto"/>
      </w:pPr>
      <w:r>
        <w:separator/>
      </w:r>
    </w:p>
  </w:footnote>
  <w:footnote w:type="continuationSeparator" w:id="0">
    <w:p w:rsidR="002D791A" w:rsidRDefault="002D791A" w:rsidP="00354A12">
      <w:pPr>
        <w:spacing w:line="240" w:lineRule="auto"/>
      </w:pPr>
      <w:r>
        <w:continuationSeparator/>
      </w:r>
    </w:p>
  </w:footnote>
  <w:footnote w:id="1">
    <w:p w:rsidR="00D238A1" w:rsidRDefault="00D238A1">
      <w:pPr>
        <w:pStyle w:val="FootnoteText"/>
      </w:pPr>
      <w:r>
        <w:rPr>
          <w:rStyle w:val="FootnoteReference"/>
        </w:rPr>
        <w:footnoteRef/>
      </w:r>
      <w:r>
        <w:t xml:space="preserve"> The relief couched in the notice of motion is nebulous</w:t>
      </w:r>
    </w:p>
  </w:footnote>
  <w:footnote w:id="2">
    <w:p w:rsidR="00563A15" w:rsidRDefault="00563A15">
      <w:pPr>
        <w:pStyle w:val="FootnoteText"/>
      </w:pPr>
      <w:r>
        <w:rPr>
          <w:rStyle w:val="FootnoteReference"/>
        </w:rPr>
        <w:footnoteRef/>
      </w:r>
      <w:r>
        <w:t xml:space="preserve"> Section 22(1)(b), (c), and (d) of the Superior Courts Act</w:t>
      </w:r>
    </w:p>
  </w:footnote>
  <w:footnote w:id="3">
    <w:p w:rsidR="00CA35FD" w:rsidRPr="00423546" w:rsidRDefault="00CA35FD">
      <w:pPr>
        <w:pStyle w:val="FootnoteText"/>
      </w:pPr>
      <w:r>
        <w:rPr>
          <w:rStyle w:val="FootnoteReference"/>
        </w:rPr>
        <w:footnoteRef/>
      </w:r>
      <w:r>
        <w:t xml:space="preserve"> </w:t>
      </w:r>
      <w:r w:rsidRPr="00AC13C0">
        <w:rPr>
          <w:i/>
        </w:rPr>
        <w:t>Maboho T and Others v Minister of Home Affairs</w:t>
      </w:r>
      <w:r w:rsidR="00423546">
        <w:rPr>
          <w:i/>
        </w:rPr>
        <w:t xml:space="preserve"> </w:t>
      </w:r>
      <w:r w:rsidR="00423546">
        <w:t>(833/2007, 1128/2007) [2011] ZALMPHC 4 (28 November 2011) at paragraph [13]</w:t>
      </w:r>
    </w:p>
  </w:footnote>
  <w:footnote w:id="4">
    <w:p w:rsidR="000233F6" w:rsidRDefault="000233F6" w:rsidP="000233F6">
      <w:pPr>
        <w:pStyle w:val="FootnoteText"/>
      </w:pPr>
      <w:r>
        <w:rPr>
          <w:rStyle w:val="FootnoteReference"/>
        </w:rPr>
        <w:footnoteRef/>
      </w:r>
      <w:r>
        <w:t xml:space="preserve"> Compare </w:t>
      </w:r>
      <w:r w:rsidRPr="008F3B6D">
        <w:rPr>
          <w:i/>
        </w:rPr>
        <w:t>S v Katoo</w:t>
      </w:r>
      <w:r>
        <w:t xml:space="preserve"> 2005 (1) SACR 522 (SCA) at 529E</w:t>
      </w:r>
      <w:r w:rsidR="006C773C">
        <w:t xml:space="preserve">, also </w:t>
      </w:r>
      <w:r w:rsidR="006C773C" w:rsidRPr="008F3B6D">
        <w:rPr>
          <w:i/>
        </w:rPr>
        <w:t>S v Boesak</w:t>
      </w:r>
      <w:r w:rsidR="006C773C">
        <w:t xml:space="preserve"> 2001 (1) SA 912 (SCA) at paragraph [24]</w:t>
      </w:r>
    </w:p>
  </w:footnote>
  <w:footnote w:id="5">
    <w:p w:rsidR="000371B6" w:rsidRDefault="000371B6">
      <w:pPr>
        <w:pStyle w:val="FootnoteText"/>
      </w:pPr>
      <w:r>
        <w:rPr>
          <w:rStyle w:val="FootnoteReference"/>
        </w:rPr>
        <w:footnoteRef/>
      </w:r>
      <w:r>
        <w:t xml:space="preserve"> Compare </w:t>
      </w:r>
      <w:r w:rsidRPr="00CD26B1">
        <w:rPr>
          <w:i/>
        </w:rPr>
        <w:t>S v Mkwanazi</w:t>
      </w:r>
      <w:r w:rsidR="00CD26B1">
        <w:t xml:space="preserve"> 1966 (1) SA 736 (A) at page 742H-743A; also </w:t>
      </w:r>
      <w:r w:rsidR="00CD26B1" w:rsidRPr="00CD26B1">
        <w:rPr>
          <w:i/>
        </w:rPr>
        <w:t>Smith v S</w:t>
      </w:r>
      <w:r w:rsidR="00CD26B1">
        <w:t xml:space="preserve"> (CAF10/13) [2013] ZANWHC 84 (11 December 2013) at paragraph [15]</w:t>
      </w:r>
    </w:p>
  </w:footnote>
  <w:footnote w:id="6">
    <w:p w:rsidR="00741596" w:rsidRDefault="00741596">
      <w:pPr>
        <w:pStyle w:val="FootnoteText"/>
      </w:pPr>
      <w:r>
        <w:rPr>
          <w:rStyle w:val="FootnoteReference"/>
        </w:rPr>
        <w:footnoteRef/>
      </w:r>
      <w:r>
        <w:t xml:space="preserve"> Erasmus Superior Court Practice, second edition, volume 2 at D1-83 [Service 6,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333A9A">
          <w:rPr>
            <w:noProof/>
          </w:rPr>
          <w:t>4</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0C33"/>
    <w:multiLevelType w:val="hybridMultilevel"/>
    <w:tmpl w:val="6956916C"/>
    <w:lvl w:ilvl="0" w:tplc="148EE0DE">
      <w:start w:val="1"/>
      <w:numFmt w:val="lowerRoman"/>
      <w:lvlText w:val="(%1)"/>
      <w:lvlJc w:val="left"/>
      <w:pPr>
        <w:ind w:left="1571" w:hanging="720"/>
      </w:pPr>
      <w:rPr>
        <w:rFonts w:hint="default"/>
        <w:color w:val="00000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6AD"/>
    <w:rsid w:val="000013B3"/>
    <w:rsid w:val="00006078"/>
    <w:rsid w:val="000116B2"/>
    <w:rsid w:val="000135D0"/>
    <w:rsid w:val="0001642B"/>
    <w:rsid w:val="000233F6"/>
    <w:rsid w:val="00030AA7"/>
    <w:rsid w:val="0003589E"/>
    <w:rsid w:val="000371B6"/>
    <w:rsid w:val="00041EBC"/>
    <w:rsid w:val="00050E8C"/>
    <w:rsid w:val="00050F00"/>
    <w:rsid w:val="0005337B"/>
    <w:rsid w:val="00060701"/>
    <w:rsid w:val="0006089B"/>
    <w:rsid w:val="00066B2A"/>
    <w:rsid w:val="00066F15"/>
    <w:rsid w:val="00072477"/>
    <w:rsid w:val="0007403E"/>
    <w:rsid w:val="00074892"/>
    <w:rsid w:val="00074DEA"/>
    <w:rsid w:val="00082AD6"/>
    <w:rsid w:val="00095617"/>
    <w:rsid w:val="000B3BA1"/>
    <w:rsid w:val="000B66BB"/>
    <w:rsid w:val="000B79F6"/>
    <w:rsid w:val="000D1DCE"/>
    <w:rsid w:val="000D6DA7"/>
    <w:rsid w:val="000E054D"/>
    <w:rsid w:val="000E1666"/>
    <w:rsid w:val="000E50A4"/>
    <w:rsid w:val="000F69F4"/>
    <w:rsid w:val="00125F7A"/>
    <w:rsid w:val="00126A17"/>
    <w:rsid w:val="00130011"/>
    <w:rsid w:val="00131176"/>
    <w:rsid w:val="0013466D"/>
    <w:rsid w:val="00160687"/>
    <w:rsid w:val="001635AB"/>
    <w:rsid w:val="00167BDA"/>
    <w:rsid w:val="001760FF"/>
    <w:rsid w:val="001809EE"/>
    <w:rsid w:val="00182F1F"/>
    <w:rsid w:val="00187976"/>
    <w:rsid w:val="00190EDD"/>
    <w:rsid w:val="00196CDA"/>
    <w:rsid w:val="001A3124"/>
    <w:rsid w:val="001A6B71"/>
    <w:rsid w:val="001B21C4"/>
    <w:rsid w:val="001B2FE7"/>
    <w:rsid w:val="001C0938"/>
    <w:rsid w:val="001C395F"/>
    <w:rsid w:val="001D055A"/>
    <w:rsid w:val="001D63DF"/>
    <w:rsid w:val="001D7C30"/>
    <w:rsid w:val="00230E4B"/>
    <w:rsid w:val="00231460"/>
    <w:rsid w:val="002627EE"/>
    <w:rsid w:val="0027373B"/>
    <w:rsid w:val="00280197"/>
    <w:rsid w:val="002A21A5"/>
    <w:rsid w:val="002B4D57"/>
    <w:rsid w:val="002B6D01"/>
    <w:rsid w:val="002B7A11"/>
    <w:rsid w:val="002C4400"/>
    <w:rsid w:val="002D391B"/>
    <w:rsid w:val="002D791A"/>
    <w:rsid w:val="002E2FF3"/>
    <w:rsid w:val="00301B32"/>
    <w:rsid w:val="00306F8C"/>
    <w:rsid w:val="00307026"/>
    <w:rsid w:val="00317226"/>
    <w:rsid w:val="00324991"/>
    <w:rsid w:val="003250EC"/>
    <w:rsid w:val="003328A3"/>
    <w:rsid w:val="00333A9A"/>
    <w:rsid w:val="00354A12"/>
    <w:rsid w:val="00365016"/>
    <w:rsid w:val="00367828"/>
    <w:rsid w:val="00380426"/>
    <w:rsid w:val="00383166"/>
    <w:rsid w:val="0038713E"/>
    <w:rsid w:val="003913C4"/>
    <w:rsid w:val="003A1631"/>
    <w:rsid w:val="003A3DED"/>
    <w:rsid w:val="003A5035"/>
    <w:rsid w:val="003A53FA"/>
    <w:rsid w:val="003B480B"/>
    <w:rsid w:val="003C3BAD"/>
    <w:rsid w:val="003C5E6E"/>
    <w:rsid w:val="003D6531"/>
    <w:rsid w:val="003E07A4"/>
    <w:rsid w:val="003E3543"/>
    <w:rsid w:val="003F3604"/>
    <w:rsid w:val="00411696"/>
    <w:rsid w:val="00416BF9"/>
    <w:rsid w:val="00423546"/>
    <w:rsid w:val="00430FEC"/>
    <w:rsid w:val="00431475"/>
    <w:rsid w:val="00445D19"/>
    <w:rsid w:val="00446692"/>
    <w:rsid w:val="00456F77"/>
    <w:rsid w:val="00473684"/>
    <w:rsid w:val="004804E0"/>
    <w:rsid w:val="00493C36"/>
    <w:rsid w:val="00497B43"/>
    <w:rsid w:val="004A6A94"/>
    <w:rsid w:val="004B63AE"/>
    <w:rsid w:val="004B655A"/>
    <w:rsid w:val="004C72E2"/>
    <w:rsid w:val="004D114E"/>
    <w:rsid w:val="004D49B9"/>
    <w:rsid w:val="004D65D0"/>
    <w:rsid w:val="004E1162"/>
    <w:rsid w:val="004E358A"/>
    <w:rsid w:val="004E6F9D"/>
    <w:rsid w:val="004F2AE2"/>
    <w:rsid w:val="004F6DDD"/>
    <w:rsid w:val="004F74AC"/>
    <w:rsid w:val="00502804"/>
    <w:rsid w:val="005125C0"/>
    <w:rsid w:val="005177DD"/>
    <w:rsid w:val="0052131B"/>
    <w:rsid w:val="00522840"/>
    <w:rsid w:val="00543209"/>
    <w:rsid w:val="005635D2"/>
    <w:rsid w:val="00563A15"/>
    <w:rsid w:val="00570987"/>
    <w:rsid w:val="00582AEE"/>
    <w:rsid w:val="005B54C1"/>
    <w:rsid w:val="005B6644"/>
    <w:rsid w:val="005B73F1"/>
    <w:rsid w:val="005B7B4F"/>
    <w:rsid w:val="005C3A78"/>
    <w:rsid w:val="005C5BD7"/>
    <w:rsid w:val="005C5FAF"/>
    <w:rsid w:val="005C67B7"/>
    <w:rsid w:val="005D1FBD"/>
    <w:rsid w:val="005D2803"/>
    <w:rsid w:val="005F488C"/>
    <w:rsid w:val="005F5369"/>
    <w:rsid w:val="005F7360"/>
    <w:rsid w:val="00601CF9"/>
    <w:rsid w:val="00610062"/>
    <w:rsid w:val="006122E8"/>
    <w:rsid w:val="006211FC"/>
    <w:rsid w:val="0062204A"/>
    <w:rsid w:val="006242B3"/>
    <w:rsid w:val="00625B47"/>
    <w:rsid w:val="00631871"/>
    <w:rsid w:val="00633710"/>
    <w:rsid w:val="00641D83"/>
    <w:rsid w:val="00664B59"/>
    <w:rsid w:val="00664FDF"/>
    <w:rsid w:val="00676AE6"/>
    <w:rsid w:val="00681EC7"/>
    <w:rsid w:val="0069707D"/>
    <w:rsid w:val="006B4426"/>
    <w:rsid w:val="006C31BA"/>
    <w:rsid w:val="006C773C"/>
    <w:rsid w:val="006F3828"/>
    <w:rsid w:val="00704D02"/>
    <w:rsid w:val="0070760E"/>
    <w:rsid w:val="007131DC"/>
    <w:rsid w:val="00734380"/>
    <w:rsid w:val="0074087B"/>
    <w:rsid w:val="00741596"/>
    <w:rsid w:val="007526F7"/>
    <w:rsid w:val="00772450"/>
    <w:rsid w:val="007914EF"/>
    <w:rsid w:val="0079506F"/>
    <w:rsid w:val="007C0BFE"/>
    <w:rsid w:val="007D5F5C"/>
    <w:rsid w:val="007E0178"/>
    <w:rsid w:val="007E10E0"/>
    <w:rsid w:val="007F038D"/>
    <w:rsid w:val="00805491"/>
    <w:rsid w:val="00810963"/>
    <w:rsid w:val="0081487C"/>
    <w:rsid w:val="00826561"/>
    <w:rsid w:val="00842104"/>
    <w:rsid w:val="008565ED"/>
    <w:rsid w:val="0086522F"/>
    <w:rsid w:val="008846F1"/>
    <w:rsid w:val="0088595E"/>
    <w:rsid w:val="008861AF"/>
    <w:rsid w:val="008978BB"/>
    <w:rsid w:val="008A6233"/>
    <w:rsid w:val="008A7932"/>
    <w:rsid w:val="008B6667"/>
    <w:rsid w:val="008B72C8"/>
    <w:rsid w:val="008B72E1"/>
    <w:rsid w:val="008C47E5"/>
    <w:rsid w:val="008D19BC"/>
    <w:rsid w:val="008E2ECD"/>
    <w:rsid w:val="008E77EF"/>
    <w:rsid w:val="008F3B6D"/>
    <w:rsid w:val="008F6594"/>
    <w:rsid w:val="00906DD1"/>
    <w:rsid w:val="00910716"/>
    <w:rsid w:val="00912ABB"/>
    <w:rsid w:val="009203BC"/>
    <w:rsid w:val="00932C3F"/>
    <w:rsid w:val="0093382C"/>
    <w:rsid w:val="00940163"/>
    <w:rsid w:val="00951395"/>
    <w:rsid w:val="009541A5"/>
    <w:rsid w:val="00971C87"/>
    <w:rsid w:val="00980272"/>
    <w:rsid w:val="009957FB"/>
    <w:rsid w:val="009A409E"/>
    <w:rsid w:val="009B110F"/>
    <w:rsid w:val="009C2E63"/>
    <w:rsid w:val="009D5146"/>
    <w:rsid w:val="009F48A6"/>
    <w:rsid w:val="00A10C08"/>
    <w:rsid w:val="00A200AB"/>
    <w:rsid w:val="00A27D5A"/>
    <w:rsid w:val="00A51CF0"/>
    <w:rsid w:val="00A52C78"/>
    <w:rsid w:val="00A572D4"/>
    <w:rsid w:val="00A604C0"/>
    <w:rsid w:val="00A62CE5"/>
    <w:rsid w:val="00A664FC"/>
    <w:rsid w:val="00A93D32"/>
    <w:rsid w:val="00A9467A"/>
    <w:rsid w:val="00AD4ECD"/>
    <w:rsid w:val="00AD5416"/>
    <w:rsid w:val="00AD7016"/>
    <w:rsid w:val="00AF0451"/>
    <w:rsid w:val="00AF7BA4"/>
    <w:rsid w:val="00B028DC"/>
    <w:rsid w:val="00B03F8B"/>
    <w:rsid w:val="00B0597D"/>
    <w:rsid w:val="00B14C07"/>
    <w:rsid w:val="00B215D0"/>
    <w:rsid w:val="00B21F8E"/>
    <w:rsid w:val="00B36E48"/>
    <w:rsid w:val="00B43022"/>
    <w:rsid w:val="00B513CE"/>
    <w:rsid w:val="00B6756B"/>
    <w:rsid w:val="00B72DF3"/>
    <w:rsid w:val="00B800F5"/>
    <w:rsid w:val="00B85312"/>
    <w:rsid w:val="00B97DE2"/>
    <w:rsid w:val="00BC0127"/>
    <w:rsid w:val="00BC0FD0"/>
    <w:rsid w:val="00BD0D3F"/>
    <w:rsid w:val="00BD270A"/>
    <w:rsid w:val="00BE19C0"/>
    <w:rsid w:val="00BE3D8A"/>
    <w:rsid w:val="00BE4A4F"/>
    <w:rsid w:val="00C018AB"/>
    <w:rsid w:val="00C366B4"/>
    <w:rsid w:val="00C3771E"/>
    <w:rsid w:val="00C66BF7"/>
    <w:rsid w:val="00C71165"/>
    <w:rsid w:val="00C73ADC"/>
    <w:rsid w:val="00C74A36"/>
    <w:rsid w:val="00C757F5"/>
    <w:rsid w:val="00C8213A"/>
    <w:rsid w:val="00C857D9"/>
    <w:rsid w:val="00C91924"/>
    <w:rsid w:val="00C92102"/>
    <w:rsid w:val="00C95891"/>
    <w:rsid w:val="00C9618B"/>
    <w:rsid w:val="00CA35FD"/>
    <w:rsid w:val="00CA5A7F"/>
    <w:rsid w:val="00CA7100"/>
    <w:rsid w:val="00CB1C76"/>
    <w:rsid w:val="00CB693D"/>
    <w:rsid w:val="00CB7086"/>
    <w:rsid w:val="00CB7106"/>
    <w:rsid w:val="00CC2CB4"/>
    <w:rsid w:val="00CC3C69"/>
    <w:rsid w:val="00CD26B1"/>
    <w:rsid w:val="00CE1F27"/>
    <w:rsid w:val="00CE6489"/>
    <w:rsid w:val="00CE6ABC"/>
    <w:rsid w:val="00CF40F8"/>
    <w:rsid w:val="00D0525C"/>
    <w:rsid w:val="00D07CF9"/>
    <w:rsid w:val="00D1559D"/>
    <w:rsid w:val="00D2047F"/>
    <w:rsid w:val="00D2278F"/>
    <w:rsid w:val="00D229DB"/>
    <w:rsid w:val="00D238A1"/>
    <w:rsid w:val="00D45647"/>
    <w:rsid w:val="00D46FDB"/>
    <w:rsid w:val="00D602FA"/>
    <w:rsid w:val="00D74714"/>
    <w:rsid w:val="00D81518"/>
    <w:rsid w:val="00D9251B"/>
    <w:rsid w:val="00D97AD9"/>
    <w:rsid w:val="00DB3F16"/>
    <w:rsid w:val="00DC7A3C"/>
    <w:rsid w:val="00DD38F4"/>
    <w:rsid w:val="00DE3DAC"/>
    <w:rsid w:val="00DE7934"/>
    <w:rsid w:val="00E14649"/>
    <w:rsid w:val="00E16EEF"/>
    <w:rsid w:val="00E26CE2"/>
    <w:rsid w:val="00E271C3"/>
    <w:rsid w:val="00E33B88"/>
    <w:rsid w:val="00E41829"/>
    <w:rsid w:val="00E47BD8"/>
    <w:rsid w:val="00E52AC0"/>
    <w:rsid w:val="00E57D23"/>
    <w:rsid w:val="00E82D21"/>
    <w:rsid w:val="00E93F0F"/>
    <w:rsid w:val="00E94E56"/>
    <w:rsid w:val="00E95379"/>
    <w:rsid w:val="00E95C8A"/>
    <w:rsid w:val="00EA2574"/>
    <w:rsid w:val="00EA2BD0"/>
    <w:rsid w:val="00EC3034"/>
    <w:rsid w:val="00EE1E9E"/>
    <w:rsid w:val="00EE5EC6"/>
    <w:rsid w:val="00EE6AFC"/>
    <w:rsid w:val="00EF4A66"/>
    <w:rsid w:val="00EF70C2"/>
    <w:rsid w:val="00F03B79"/>
    <w:rsid w:val="00F12E8C"/>
    <w:rsid w:val="00F60AD8"/>
    <w:rsid w:val="00F66332"/>
    <w:rsid w:val="00F85BC0"/>
    <w:rsid w:val="00F87708"/>
    <w:rsid w:val="00F97C22"/>
    <w:rsid w:val="00FB4CFF"/>
    <w:rsid w:val="00FB53B7"/>
    <w:rsid w:val="00FB7D1A"/>
    <w:rsid w:val="00FC280A"/>
    <w:rsid w:val="00FD6FFE"/>
    <w:rsid w:val="00FE338A"/>
    <w:rsid w:val="00FE6A8A"/>
    <w:rsid w:val="00FF13C8"/>
    <w:rsid w:val="00FF5A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8B7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F4244-FEA9-4CF4-B327-8ED39B29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Nomakorinte Ntliziywana</cp:lastModifiedBy>
  <cp:revision>2</cp:revision>
  <cp:lastPrinted>2022-08-22T13:34:00Z</cp:lastPrinted>
  <dcterms:created xsi:type="dcterms:W3CDTF">2022-08-25T07:06:00Z</dcterms:created>
  <dcterms:modified xsi:type="dcterms:W3CDTF">2022-08-25T07:06:00Z</dcterms:modified>
  <cp:contentStatus/>
</cp:coreProperties>
</file>