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4934DB4B" w14:textId="1FBC29E6" w:rsidR="00E44987" w:rsidRPr="00044B50" w:rsidRDefault="00E44987" w:rsidP="00772E4B">
      <w:pPr>
        <w:jc w:val="center"/>
        <w:rPr>
          <w:lang w:val="en-GB"/>
        </w:rPr>
      </w:pPr>
      <w:r w:rsidRPr="00044B50">
        <w:rPr>
          <w:lang w:val="en-GB"/>
        </w:rPr>
        <w:t xml:space="preserve">                                                                   </w:t>
      </w:r>
      <w:r w:rsidR="00D35C64">
        <w:rPr>
          <w:lang w:val="en-GB"/>
        </w:rPr>
        <w:t xml:space="preserve">                          </w:t>
      </w:r>
      <w:r w:rsidRPr="00044B50">
        <w:rPr>
          <w:lang w:val="en-GB"/>
        </w:rPr>
        <w:t xml:space="preserve">Case no: </w:t>
      </w:r>
      <w:r w:rsidR="00D35C64">
        <w:rPr>
          <w:lang w:val="en-GB"/>
        </w:rPr>
        <w:t>1624/2019</w:t>
      </w:r>
    </w:p>
    <w:p w14:paraId="13EEBE4B" w14:textId="77777777" w:rsidR="00D450B5" w:rsidRPr="00044B50" w:rsidRDefault="00D450B5" w:rsidP="00772E4B">
      <w:pPr>
        <w:widowControl w:val="0"/>
        <w:jc w:val="right"/>
        <w:rPr>
          <w:spacing w:val="14"/>
          <w:kern w:val="2"/>
          <w:lang w:val="en-GB"/>
        </w:rPr>
      </w:pPr>
    </w:p>
    <w:p w14:paraId="49070A0E" w14:textId="6DFF8135"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7E0CCA2F" w14:textId="77777777" w:rsidR="00D35C64" w:rsidRPr="00044B50" w:rsidRDefault="00D35C64" w:rsidP="00772E4B">
      <w:pPr>
        <w:widowControl w:val="0"/>
        <w:jc w:val="both"/>
        <w:rPr>
          <w:spacing w:val="14"/>
          <w:kern w:val="2"/>
          <w:lang w:val="en-GB"/>
        </w:rPr>
      </w:pPr>
    </w:p>
    <w:p w14:paraId="2E198784" w14:textId="6C9E80B1" w:rsidR="00D450B5" w:rsidRPr="00D35C64" w:rsidRDefault="00D35C64" w:rsidP="00D35C64">
      <w:pPr>
        <w:widowControl w:val="0"/>
        <w:tabs>
          <w:tab w:val="left" w:pos="7655"/>
          <w:tab w:val="right" w:pos="8198"/>
        </w:tabs>
        <w:jc w:val="both"/>
        <w:rPr>
          <w:b/>
          <w:spacing w:val="14"/>
          <w:kern w:val="2"/>
          <w:lang w:val="en-GB"/>
        </w:rPr>
      </w:pPr>
      <w:r w:rsidRPr="00D35C64">
        <w:rPr>
          <w:b/>
          <w:spacing w:val="14"/>
          <w:kern w:val="2"/>
          <w:lang w:val="en-GB"/>
        </w:rPr>
        <w:t>SIKHANYISO SYDNEY LUNYAWO</w:t>
      </w:r>
      <w:r w:rsidRPr="00D35C64">
        <w:rPr>
          <w:b/>
          <w:spacing w:val="14"/>
          <w:kern w:val="2"/>
          <w:lang w:val="en-GB"/>
        </w:rPr>
        <w:tab/>
        <w:t xml:space="preserve"> Plaintiff</w:t>
      </w:r>
    </w:p>
    <w:p w14:paraId="1123C96A" w14:textId="77777777" w:rsidR="003C5DAB" w:rsidRPr="00044B50" w:rsidRDefault="003C5DAB"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483DC4AA" w14:textId="77777777" w:rsidR="00F91F80" w:rsidRDefault="00F91F80" w:rsidP="00D35C64">
      <w:pPr>
        <w:tabs>
          <w:tab w:val="left" w:pos="7655"/>
        </w:tabs>
        <w:jc w:val="both"/>
        <w:rPr>
          <w:b/>
          <w:lang w:val="en-GB"/>
        </w:rPr>
      </w:pPr>
    </w:p>
    <w:p w14:paraId="37CBA823" w14:textId="118F79BB" w:rsidR="00D450B5" w:rsidRPr="00D35C64" w:rsidRDefault="00D35C64" w:rsidP="00D35C64">
      <w:pPr>
        <w:tabs>
          <w:tab w:val="left" w:pos="7655"/>
        </w:tabs>
        <w:jc w:val="both"/>
        <w:rPr>
          <w:b/>
          <w:lang w:val="en-GB"/>
        </w:rPr>
      </w:pPr>
      <w:r w:rsidRPr="00D35C64">
        <w:rPr>
          <w:b/>
          <w:lang w:val="en-GB"/>
        </w:rPr>
        <w:t xml:space="preserve">MINISTER OF POLICE </w:t>
      </w:r>
      <w:r w:rsidRPr="00D35C64">
        <w:rPr>
          <w:b/>
          <w:lang w:val="en-GB"/>
        </w:rPr>
        <w:tab/>
        <w:t>Defendant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5132AB61" w14:textId="77777777" w:rsidR="00D450B5" w:rsidRPr="00044B50" w:rsidRDefault="00D450B5" w:rsidP="00682CE5">
      <w:pPr>
        <w:jc w:val="both"/>
        <w:rPr>
          <w:lang w:val="en-GB"/>
        </w:rPr>
      </w:pPr>
    </w:p>
    <w:p w14:paraId="34F7781B" w14:textId="0045E07D" w:rsidR="00D468AF" w:rsidRDefault="00E4365E" w:rsidP="00682CE5">
      <w:pPr>
        <w:autoSpaceDE w:val="0"/>
        <w:autoSpaceDN w:val="0"/>
        <w:adjustRightInd w:val="0"/>
        <w:jc w:val="both"/>
        <w:rPr>
          <w:b/>
          <w:bCs/>
          <w:lang w:val="en-GB"/>
        </w:rPr>
      </w:pPr>
      <w:r>
        <w:rPr>
          <w:b/>
          <w:bCs/>
          <w:lang w:val="en-GB"/>
        </w:rPr>
        <w:t>The issues</w:t>
      </w:r>
    </w:p>
    <w:p w14:paraId="13C1DD93" w14:textId="77777777" w:rsidR="00E4365E" w:rsidRPr="00E4365E" w:rsidRDefault="00E4365E" w:rsidP="00682CE5">
      <w:pPr>
        <w:autoSpaceDE w:val="0"/>
        <w:autoSpaceDN w:val="0"/>
        <w:adjustRightInd w:val="0"/>
        <w:jc w:val="both"/>
        <w:rPr>
          <w:b/>
          <w:bCs/>
          <w:lang w:val="en-GB"/>
        </w:rPr>
      </w:pPr>
    </w:p>
    <w:p w14:paraId="5A33CD6A" w14:textId="2A6D1BD9" w:rsidR="00E922BE" w:rsidRPr="00044B50" w:rsidRDefault="00951E2A" w:rsidP="00682CE5">
      <w:pPr>
        <w:pStyle w:val="ListParagraph"/>
        <w:numPr>
          <w:ilvl w:val="0"/>
          <w:numId w:val="10"/>
        </w:numPr>
        <w:autoSpaceDE w:val="0"/>
        <w:autoSpaceDN w:val="0"/>
        <w:adjustRightInd w:val="0"/>
        <w:ind w:left="142" w:hanging="142"/>
        <w:jc w:val="both"/>
        <w:rPr>
          <w:lang w:val="en-GB"/>
        </w:rPr>
      </w:pPr>
      <w:r>
        <w:rPr>
          <w:lang w:val="en-GB"/>
        </w:rPr>
        <w:t>The plaintiff instituted an action for damages against the defendant</w:t>
      </w:r>
      <w:r w:rsidR="003E492E">
        <w:rPr>
          <w:lang w:val="en-GB"/>
        </w:rPr>
        <w:t>, based on the principle of vicarious liability</w:t>
      </w:r>
      <w:r>
        <w:rPr>
          <w:lang w:val="en-GB"/>
        </w:rPr>
        <w:t>. He alleges that he was wrongfully, unlawfully and intentionally assaulted by members of the South African Police Service on 9 December 2018 between 23h00 and 01h00</w:t>
      </w:r>
      <w:r w:rsidR="001C56DC">
        <w:rPr>
          <w:lang w:val="en-GB"/>
        </w:rPr>
        <w:t xml:space="preserve"> at Emabo</w:t>
      </w:r>
      <w:r w:rsidR="00D35C64">
        <w:rPr>
          <w:lang w:val="en-GB"/>
        </w:rPr>
        <w:t>m</w:t>
      </w:r>
      <w:r w:rsidR="001C56DC">
        <w:rPr>
          <w:lang w:val="en-GB"/>
        </w:rPr>
        <w:t>vini Locality, Ngqeleni</w:t>
      </w:r>
      <w:r>
        <w:rPr>
          <w:lang w:val="en-GB"/>
        </w:rPr>
        <w:t xml:space="preserve">. </w:t>
      </w:r>
      <w:r w:rsidR="00D65AF0">
        <w:rPr>
          <w:lang w:val="en-GB"/>
        </w:rPr>
        <w:t xml:space="preserve">The plaintiff also claims that he was unlawfully arrested without a warrant subsequent to his </w:t>
      </w:r>
      <w:r w:rsidR="00D8411C">
        <w:rPr>
          <w:lang w:val="en-GB"/>
        </w:rPr>
        <w:t>assau</w:t>
      </w:r>
      <w:r w:rsidR="000071B2">
        <w:rPr>
          <w:lang w:val="en-GB"/>
        </w:rPr>
        <w:t>l</w:t>
      </w:r>
      <w:r w:rsidR="00D8411C">
        <w:rPr>
          <w:lang w:val="en-GB"/>
        </w:rPr>
        <w:t>t</w:t>
      </w:r>
      <w:r w:rsidR="00D65AF0">
        <w:rPr>
          <w:lang w:val="en-GB"/>
        </w:rPr>
        <w:t>, and then released.</w:t>
      </w:r>
      <w:r>
        <w:rPr>
          <w:lang w:val="en-GB"/>
        </w:rPr>
        <w:t xml:space="preserve"> </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7D634519" w14:textId="7DEA0683" w:rsidR="004B7E82" w:rsidRDefault="00CD2505" w:rsidP="00682CE5">
      <w:pPr>
        <w:pStyle w:val="ListParagraph"/>
        <w:numPr>
          <w:ilvl w:val="0"/>
          <w:numId w:val="10"/>
        </w:numPr>
        <w:autoSpaceDE w:val="0"/>
        <w:autoSpaceDN w:val="0"/>
        <w:adjustRightInd w:val="0"/>
        <w:ind w:left="142" w:hanging="142"/>
        <w:jc w:val="both"/>
        <w:rPr>
          <w:lang w:val="en-GB"/>
        </w:rPr>
      </w:pPr>
      <w:r>
        <w:rPr>
          <w:lang w:val="en-GB"/>
        </w:rPr>
        <w:t>The particulars of claim detail the alleged assault in the following terms:</w:t>
      </w:r>
    </w:p>
    <w:p w14:paraId="695DC468" w14:textId="07EF9C74" w:rsidR="00CD2505" w:rsidRDefault="00CD2505" w:rsidP="00CD2505">
      <w:pPr>
        <w:pStyle w:val="ListParagraph"/>
        <w:numPr>
          <w:ilvl w:val="1"/>
          <w:numId w:val="10"/>
        </w:numPr>
        <w:rPr>
          <w:lang w:val="en-GB"/>
        </w:rPr>
      </w:pPr>
      <w:r>
        <w:rPr>
          <w:lang w:val="en-GB"/>
        </w:rPr>
        <w:t>The plaintiff was pointed with a firearm;</w:t>
      </w:r>
    </w:p>
    <w:p w14:paraId="36DE695A" w14:textId="6FF6ADA8" w:rsidR="00CD2505" w:rsidRDefault="00CD2505" w:rsidP="00CD2505">
      <w:pPr>
        <w:pStyle w:val="ListParagraph"/>
        <w:numPr>
          <w:ilvl w:val="1"/>
          <w:numId w:val="10"/>
        </w:numPr>
        <w:rPr>
          <w:lang w:val="en-GB"/>
        </w:rPr>
      </w:pPr>
      <w:r>
        <w:rPr>
          <w:lang w:val="en-GB"/>
        </w:rPr>
        <w:t>He was handcuffed;</w:t>
      </w:r>
    </w:p>
    <w:p w14:paraId="6570F6CC" w14:textId="30A1EB5D" w:rsidR="00CD2505" w:rsidRDefault="00CD2505" w:rsidP="00CD2505">
      <w:pPr>
        <w:pStyle w:val="ListParagraph"/>
        <w:numPr>
          <w:ilvl w:val="1"/>
          <w:numId w:val="10"/>
        </w:numPr>
        <w:rPr>
          <w:lang w:val="en-GB"/>
        </w:rPr>
      </w:pPr>
      <w:r>
        <w:rPr>
          <w:lang w:val="en-GB"/>
        </w:rPr>
        <w:t>He was hit with open hands on his face;</w:t>
      </w:r>
    </w:p>
    <w:p w14:paraId="4ECF17FD" w14:textId="4D6660B5" w:rsidR="00CD2505" w:rsidRDefault="00CD2505" w:rsidP="00CD2505">
      <w:pPr>
        <w:pStyle w:val="ListParagraph"/>
        <w:numPr>
          <w:ilvl w:val="1"/>
          <w:numId w:val="10"/>
        </w:numPr>
        <w:rPr>
          <w:lang w:val="en-GB"/>
        </w:rPr>
      </w:pPr>
      <w:r>
        <w:rPr>
          <w:lang w:val="en-GB"/>
        </w:rPr>
        <w:t>He was tripped, landing on the floor with his shoulder;</w:t>
      </w:r>
    </w:p>
    <w:p w14:paraId="6B98E4AE" w14:textId="0AB0E63C" w:rsidR="00CD2505" w:rsidRDefault="00CD2505" w:rsidP="00CD2505">
      <w:pPr>
        <w:pStyle w:val="ListParagraph"/>
        <w:numPr>
          <w:ilvl w:val="1"/>
          <w:numId w:val="10"/>
        </w:numPr>
        <w:rPr>
          <w:lang w:val="en-GB"/>
        </w:rPr>
      </w:pPr>
      <w:r>
        <w:rPr>
          <w:lang w:val="en-GB"/>
        </w:rPr>
        <w:t xml:space="preserve">He was trampled upon; </w:t>
      </w:r>
    </w:p>
    <w:p w14:paraId="3F7D53BA" w14:textId="2CCFB952" w:rsidR="00CD2505" w:rsidRDefault="00CD2505" w:rsidP="00CD2505">
      <w:pPr>
        <w:pStyle w:val="ListParagraph"/>
        <w:numPr>
          <w:ilvl w:val="1"/>
          <w:numId w:val="10"/>
        </w:numPr>
        <w:rPr>
          <w:lang w:val="en-GB"/>
        </w:rPr>
      </w:pPr>
      <w:r>
        <w:rPr>
          <w:lang w:val="en-GB"/>
        </w:rPr>
        <w:t xml:space="preserve">He was throttled; and </w:t>
      </w:r>
    </w:p>
    <w:p w14:paraId="38054C7E" w14:textId="595F39A0" w:rsidR="00CD2505" w:rsidRDefault="00CD2505" w:rsidP="00CD2505">
      <w:pPr>
        <w:pStyle w:val="ListParagraph"/>
        <w:numPr>
          <w:ilvl w:val="1"/>
          <w:numId w:val="10"/>
        </w:numPr>
        <w:rPr>
          <w:lang w:val="en-GB"/>
        </w:rPr>
      </w:pPr>
      <w:r>
        <w:rPr>
          <w:lang w:val="en-GB"/>
        </w:rPr>
        <w:t>He was hit with a stick.</w:t>
      </w:r>
    </w:p>
    <w:p w14:paraId="35328764" w14:textId="77777777" w:rsidR="00CD2505" w:rsidRPr="00CD2505" w:rsidRDefault="00CD2505" w:rsidP="00CD2505">
      <w:pPr>
        <w:pStyle w:val="ListParagraph"/>
        <w:ind w:left="1440"/>
        <w:rPr>
          <w:lang w:val="en-GB"/>
        </w:rPr>
      </w:pPr>
    </w:p>
    <w:p w14:paraId="39DE9433" w14:textId="6EB31020" w:rsidR="00DE78FD" w:rsidRDefault="00DE78FD" w:rsidP="00682CE5">
      <w:pPr>
        <w:pStyle w:val="ListParagraph"/>
        <w:numPr>
          <w:ilvl w:val="0"/>
          <w:numId w:val="10"/>
        </w:numPr>
        <w:autoSpaceDE w:val="0"/>
        <w:autoSpaceDN w:val="0"/>
        <w:adjustRightInd w:val="0"/>
        <w:ind w:left="142" w:hanging="142"/>
        <w:jc w:val="both"/>
        <w:rPr>
          <w:lang w:val="en-GB"/>
        </w:rPr>
      </w:pPr>
      <w:r>
        <w:rPr>
          <w:lang w:val="en-GB"/>
        </w:rPr>
        <w:t xml:space="preserve">The plaintiff suffered various injuries as a result. During the course of the plaintiff’s </w:t>
      </w:r>
      <w:r w:rsidR="004338C7">
        <w:rPr>
          <w:lang w:val="en-GB"/>
        </w:rPr>
        <w:t>evidence,</w:t>
      </w:r>
      <w:r>
        <w:rPr>
          <w:lang w:val="en-GB"/>
        </w:rPr>
        <w:t xml:space="preserve"> it became apparent to counsel that further medical reports, relating to the psychological effects of the plaintiff’s condition, might be required. An order was sought and granted separating the merits of the dispute from the issue of quantum</w:t>
      </w:r>
      <w:r w:rsidR="00DC75CF">
        <w:rPr>
          <w:lang w:val="en-GB"/>
        </w:rPr>
        <w:t xml:space="preserve"> in terms of Uniform Rule 33(4)</w:t>
      </w:r>
      <w:r>
        <w:rPr>
          <w:lang w:val="en-GB"/>
        </w:rPr>
        <w:t>.</w:t>
      </w:r>
      <w:r w:rsidR="00A77685">
        <w:rPr>
          <w:lang w:val="en-GB"/>
        </w:rPr>
        <w:t xml:space="preserve"> The </w:t>
      </w:r>
      <w:r w:rsidR="000F2375">
        <w:rPr>
          <w:lang w:val="en-GB"/>
        </w:rPr>
        <w:t xml:space="preserve">main </w:t>
      </w:r>
      <w:r w:rsidR="00A77685">
        <w:rPr>
          <w:lang w:val="en-GB"/>
        </w:rPr>
        <w:t>issue to be determined at this stage is whether the plaintiff has proved, on a balance of probabilities, that employees of the defendant, acting in the course and within the scope of their employment, perpetrated the assault that resulted in the plaintiff’s injuries</w:t>
      </w:r>
      <w:r w:rsidR="000F2375">
        <w:rPr>
          <w:lang w:val="en-GB"/>
        </w:rPr>
        <w:t>.</w:t>
      </w:r>
      <w:r w:rsidR="00730192">
        <w:rPr>
          <w:lang w:val="en-GB"/>
        </w:rPr>
        <w:t xml:space="preserve"> A finding as to the alleged unlawful arrest of the plaintiff is also required.</w:t>
      </w:r>
    </w:p>
    <w:p w14:paraId="24176007" w14:textId="0035B62B" w:rsidR="00E4365E" w:rsidRDefault="00E4365E" w:rsidP="00E4365E">
      <w:pPr>
        <w:autoSpaceDE w:val="0"/>
        <w:autoSpaceDN w:val="0"/>
        <w:adjustRightInd w:val="0"/>
        <w:jc w:val="both"/>
        <w:rPr>
          <w:lang w:val="en-GB"/>
        </w:rPr>
      </w:pPr>
    </w:p>
    <w:p w14:paraId="279A4951" w14:textId="0CF405D1" w:rsidR="00E4365E" w:rsidRDefault="00E4365E" w:rsidP="00E4365E">
      <w:pPr>
        <w:autoSpaceDE w:val="0"/>
        <w:autoSpaceDN w:val="0"/>
        <w:adjustRightInd w:val="0"/>
        <w:jc w:val="both"/>
        <w:rPr>
          <w:b/>
          <w:bCs/>
          <w:lang w:val="en-GB"/>
        </w:rPr>
      </w:pPr>
      <w:r>
        <w:rPr>
          <w:b/>
          <w:bCs/>
          <w:lang w:val="en-GB"/>
        </w:rPr>
        <w:t xml:space="preserve">The </w:t>
      </w:r>
      <w:r w:rsidR="00316DE9">
        <w:rPr>
          <w:b/>
          <w:bCs/>
          <w:lang w:val="en-GB"/>
        </w:rPr>
        <w:t xml:space="preserve">plaintiff’s </w:t>
      </w:r>
      <w:r>
        <w:rPr>
          <w:b/>
          <w:bCs/>
          <w:lang w:val="en-GB"/>
        </w:rPr>
        <w:t>evidence</w:t>
      </w:r>
    </w:p>
    <w:p w14:paraId="03AF756D" w14:textId="77777777" w:rsidR="00E4365E" w:rsidRPr="00E4365E" w:rsidRDefault="00E4365E" w:rsidP="00E4365E">
      <w:pPr>
        <w:autoSpaceDE w:val="0"/>
        <w:autoSpaceDN w:val="0"/>
        <w:adjustRightInd w:val="0"/>
        <w:jc w:val="both"/>
        <w:rPr>
          <w:b/>
          <w:bCs/>
          <w:lang w:val="en-GB"/>
        </w:rPr>
      </w:pPr>
    </w:p>
    <w:p w14:paraId="25F28D5B" w14:textId="784FFA84" w:rsidR="00DE78FD" w:rsidRDefault="0020792F" w:rsidP="00DE78FD">
      <w:pPr>
        <w:pStyle w:val="ListParagraph"/>
        <w:numPr>
          <w:ilvl w:val="0"/>
          <w:numId w:val="10"/>
        </w:numPr>
        <w:autoSpaceDE w:val="0"/>
        <w:autoSpaceDN w:val="0"/>
        <w:adjustRightInd w:val="0"/>
        <w:ind w:left="142" w:hanging="142"/>
        <w:jc w:val="both"/>
        <w:rPr>
          <w:lang w:val="en-GB"/>
        </w:rPr>
      </w:pPr>
      <w:r w:rsidRPr="001B6E73">
        <w:rPr>
          <w:lang w:val="en-GB"/>
        </w:rPr>
        <w:t xml:space="preserve">The plaintiff, a 33-year-old male, testified that he had been woken by the sound of wind on the night in question. He looked through the window and </w:t>
      </w:r>
      <w:r w:rsidR="00696F89">
        <w:rPr>
          <w:lang w:val="en-GB"/>
        </w:rPr>
        <w:t xml:space="preserve">saw </w:t>
      </w:r>
      <w:r w:rsidRPr="001B6E73">
        <w:rPr>
          <w:lang w:val="en-GB"/>
        </w:rPr>
        <w:t xml:space="preserve">a van parked nearby with bright lights on. He went back to bed to lie down. He then heard a strong knock at the door and the door being kicked. He immediately went to open the door. </w:t>
      </w:r>
    </w:p>
    <w:p w14:paraId="3714B99C" w14:textId="77777777" w:rsidR="001B6E73" w:rsidRPr="001B6E73" w:rsidRDefault="001B6E73" w:rsidP="001B6E73">
      <w:pPr>
        <w:pStyle w:val="ListParagraph"/>
        <w:autoSpaceDE w:val="0"/>
        <w:autoSpaceDN w:val="0"/>
        <w:adjustRightInd w:val="0"/>
        <w:ind w:left="142"/>
        <w:jc w:val="both"/>
        <w:rPr>
          <w:lang w:val="en-GB"/>
        </w:rPr>
      </w:pPr>
    </w:p>
    <w:p w14:paraId="1DC4762B" w14:textId="0AC9FFFF" w:rsidR="0020792F" w:rsidRDefault="00DE78FD" w:rsidP="0020792F">
      <w:pPr>
        <w:pStyle w:val="ListParagraph"/>
        <w:numPr>
          <w:ilvl w:val="0"/>
          <w:numId w:val="10"/>
        </w:numPr>
        <w:autoSpaceDE w:val="0"/>
        <w:autoSpaceDN w:val="0"/>
        <w:adjustRightInd w:val="0"/>
        <w:ind w:left="142" w:hanging="142"/>
        <w:jc w:val="both"/>
        <w:rPr>
          <w:lang w:val="en-GB"/>
        </w:rPr>
      </w:pPr>
      <w:r>
        <w:rPr>
          <w:lang w:val="en-GB"/>
        </w:rPr>
        <w:t xml:space="preserve"> </w:t>
      </w:r>
      <w:r w:rsidR="0020792F">
        <w:rPr>
          <w:lang w:val="en-GB"/>
        </w:rPr>
        <w:t xml:space="preserve">There were three people at the door. A person he </w:t>
      </w:r>
      <w:r w:rsidR="00807AE7">
        <w:rPr>
          <w:lang w:val="en-GB"/>
        </w:rPr>
        <w:t xml:space="preserve">would </w:t>
      </w:r>
      <w:r w:rsidR="0020792F">
        <w:rPr>
          <w:lang w:val="en-GB"/>
        </w:rPr>
        <w:t>later identif</w:t>
      </w:r>
      <w:r w:rsidR="00807AE7">
        <w:rPr>
          <w:lang w:val="en-GB"/>
        </w:rPr>
        <w:t>y</w:t>
      </w:r>
      <w:r w:rsidR="0020792F">
        <w:rPr>
          <w:lang w:val="en-GB"/>
        </w:rPr>
        <w:t xml:space="preserve"> as Mr Mvunyiswa (‘Mvunyiswa’) was the only person holding a firearm</w:t>
      </w:r>
      <w:r w:rsidR="00A16620">
        <w:rPr>
          <w:lang w:val="en-GB"/>
        </w:rPr>
        <w:t>, which he pointed at the plaintiff</w:t>
      </w:r>
      <w:r w:rsidR="0020792F">
        <w:rPr>
          <w:lang w:val="en-GB"/>
        </w:rPr>
        <w:t>.</w:t>
      </w:r>
      <w:r w:rsidR="001B6E73">
        <w:rPr>
          <w:lang w:val="en-GB"/>
        </w:rPr>
        <w:t xml:space="preserve"> </w:t>
      </w:r>
      <w:r w:rsidR="00A16620">
        <w:rPr>
          <w:lang w:val="en-GB"/>
        </w:rPr>
        <w:t xml:space="preserve">It was a rifle of sorts. </w:t>
      </w:r>
      <w:r w:rsidR="0020792F">
        <w:rPr>
          <w:lang w:val="en-GB"/>
        </w:rPr>
        <w:t>Mvunyiswa was not in uniform b</w:t>
      </w:r>
      <w:r w:rsidR="00761E6D">
        <w:rPr>
          <w:lang w:val="en-GB"/>
        </w:rPr>
        <w:t>ut</w:t>
      </w:r>
      <w:r w:rsidR="0020792F">
        <w:rPr>
          <w:lang w:val="en-GB"/>
        </w:rPr>
        <w:t xml:space="preserve"> was wearing a bulletproof vest displaying the word ‘Police’</w:t>
      </w:r>
      <w:r w:rsidR="00761E6D">
        <w:rPr>
          <w:lang w:val="en-GB"/>
        </w:rPr>
        <w:t>, together with a shirt, jeans and boots</w:t>
      </w:r>
      <w:r w:rsidR="0020792F">
        <w:rPr>
          <w:lang w:val="en-GB"/>
        </w:rPr>
        <w:t>. The two other people were in uniform.</w:t>
      </w:r>
      <w:r w:rsidR="00A16620">
        <w:rPr>
          <w:lang w:val="en-GB"/>
        </w:rPr>
        <w:t xml:space="preserve"> </w:t>
      </w:r>
    </w:p>
    <w:p w14:paraId="14F6044C" w14:textId="77777777" w:rsidR="0020792F" w:rsidRPr="0020792F" w:rsidRDefault="0020792F" w:rsidP="0020792F">
      <w:pPr>
        <w:pStyle w:val="ListParagraph"/>
        <w:rPr>
          <w:lang w:val="en-GB"/>
        </w:rPr>
      </w:pPr>
    </w:p>
    <w:p w14:paraId="7D272B3E" w14:textId="6EFDA506" w:rsidR="001B6E73" w:rsidRDefault="001B6E73" w:rsidP="0020792F">
      <w:pPr>
        <w:pStyle w:val="ListParagraph"/>
        <w:numPr>
          <w:ilvl w:val="0"/>
          <w:numId w:val="10"/>
        </w:numPr>
        <w:autoSpaceDE w:val="0"/>
        <w:autoSpaceDN w:val="0"/>
        <w:adjustRightInd w:val="0"/>
        <w:ind w:left="142" w:hanging="142"/>
        <w:jc w:val="both"/>
        <w:rPr>
          <w:lang w:val="en-GB"/>
        </w:rPr>
      </w:pPr>
      <w:r>
        <w:rPr>
          <w:lang w:val="en-GB"/>
        </w:rPr>
        <w:lastRenderedPageBreak/>
        <w:t xml:space="preserve">Mvunyiswa instructed the plaintiff to take out </w:t>
      </w:r>
      <w:r w:rsidR="004338C7">
        <w:rPr>
          <w:lang w:val="en-GB"/>
        </w:rPr>
        <w:t>a</w:t>
      </w:r>
      <w:r>
        <w:rPr>
          <w:lang w:val="en-GB"/>
        </w:rPr>
        <w:t xml:space="preserve"> pill or tablet. When the plaintiff informed him that he had no such thing, Mvunyiswa instructed the other two policemen to search the house. While they did so, Mvunyiswa pointed the firearm at his back, grabbed him, pulled his arms behind his back and handcuffed him. He was then hit with a flat hand repeatedly, his legs were kicked, he was thrown down and kicked on his neck. He was also throttled around his neck. </w:t>
      </w:r>
    </w:p>
    <w:p w14:paraId="62B2E0A8" w14:textId="77777777" w:rsidR="001B6E73" w:rsidRPr="001B6E73" w:rsidRDefault="001B6E73" w:rsidP="001B6E73">
      <w:pPr>
        <w:pStyle w:val="ListParagraph"/>
        <w:rPr>
          <w:lang w:val="en-GB"/>
        </w:rPr>
      </w:pPr>
    </w:p>
    <w:p w14:paraId="67A8EE41" w14:textId="2944C764" w:rsidR="00A3109C" w:rsidRDefault="001B6E73" w:rsidP="0020792F">
      <w:pPr>
        <w:pStyle w:val="ListParagraph"/>
        <w:numPr>
          <w:ilvl w:val="0"/>
          <w:numId w:val="10"/>
        </w:numPr>
        <w:autoSpaceDE w:val="0"/>
        <w:autoSpaceDN w:val="0"/>
        <w:adjustRightInd w:val="0"/>
        <w:ind w:left="142" w:hanging="142"/>
        <w:jc w:val="both"/>
        <w:rPr>
          <w:lang w:val="en-GB"/>
        </w:rPr>
      </w:pPr>
      <w:r>
        <w:rPr>
          <w:lang w:val="en-GB"/>
        </w:rPr>
        <w:t xml:space="preserve"> </w:t>
      </w:r>
      <w:r w:rsidR="004D12EB">
        <w:rPr>
          <w:lang w:val="en-GB"/>
        </w:rPr>
        <w:t xml:space="preserve">This occurred repeatedly according to the plaintiff. Mvunyiswa, in the absence of the other policemen, asked him to take out ‘the tablet’, kicked him, pushed him down when he rose, and throttled him while his hands were cuffed. </w:t>
      </w:r>
      <w:r w:rsidR="008E6C18">
        <w:rPr>
          <w:lang w:val="en-GB"/>
        </w:rPr>
        <w:t>His face was also trampled</w:t>
      </w:r>
      <w:r w:rsidR="004A323B">
        <w:rPr>
          <w:lang w:val="en-GB"/>
        </w:rPr>
        <w:t xml:space="preserve">. At some point Mvunyiswa tightened the handcuffs and assaulted him </w:t>
      </w:r>
      <w:r w:rsidR="00A3109C">
        <w:rPr>
          <w:lang w:val="en-GB"/>
        </w:rPr>
        <w:t xml:space="preserve">twice </w:t>
      </w:r>
      <w:r w:rsidR="004A323B">
        <w:rPr>
          <w:lang w:val="en-GB"/>
        </w:rPr>
        <w:t>with a broomstick</w:t>
      </w:r>
      <w:r w:rsidR="00FC0C3E">
        <w:rPr>
          <w:lang w:val="en-GB"/>
        </w:rPr>
        <w:t>, hitting him on his shoulder</w:t>
      </w:r>
      <w:r w:rsidR="004D49D8">
        <w:rPr>
          <w:lang w:val="en-GB"/>
        </w:rPr>
        <w:t>s as he lay face down</w:t>
      </w:r>
      <w:r w:rsidR="00FC0C3E">
        <w:rPr>
          <w:lang w:val="en-GB"/>
        </w:rPr>
        <w:t xml:space="preserve">. </w:t>
      </w:r>
      <w:r w:rsidR="004A323B">
        <w:rPr>
          <w:lang w:val="en-GB"/>
        </w:rPr>
        <w:t xml:space="preserve"> </w:t>
      </w:r>
    </w:p>
    <w:p w14:paraId="56C918D7" w14:textId="77777777" w:rsidR="00A3109C" w:rsidRPr="00A3109C" w:rsidRDefault="00A3109C" w:rsidP="00A3109C">
      <w:pPr>
        <w:pStyle w:val="ListParagraph"/>
        <w:rPr>
          <w:lang w:val="en-GB"/>
        </w:rPr>
      </w:pPr>
    </w:p>
    <w:p w14:paraId="6B875523" w14:textId="3EE94132" w:rsidR="004D12EB" w:rsidRDefault="00A3109C" w:rsidP="0020792F">
      <w:pPr>
        <w:pStyle w:val="ListParagraph"/>
        <w:numPr>
          <w:ilvl w:val="0"/>
          <w:numId w:val="10"/>
        </w:numPr>
        <w:autoSpaceDE w:val="0"/>
        <w:autoSpaceDN w:val="0"/>
        <w:adjustRightInd w:val="0"/>
        <w:ind w:left="142" w:hanging="142"/>
        <w:jc w:val="both"/>
        <w:rPr>
          <w:lang w:val="en-GB"/>
        </w:rPr>
      </w:pPr>
      <w:r>
        <w:rPr>
          <w:lang w:val="en-GB"/>
        </w:rPr>
        <w:t>The other policemen returned and advised Mvunyiswa that they had not found anything. He instruc</w:t>
      </w:r>
      <w:r w:rsidR="003A5BD3">
        <w:rPr>
          <w:lang w:val="en-GB"/>
        </w:rPr>
        <w:t>ted the taller policeman to grab the plaintiff and place him on his back. Mvunyiswa then hit him with the broomstick twice on his soles</w:t>
      </w:r>
      <w:r w:rsidR="0077627B">
        <w:rPr>
          <w:lang w:val="en-GB"/>
        </w:rPr>
        <w:t>, before searching the house himself. Nothing was found. He returned</w:t>
      </w:r>
      <w:r w:rsidR="00905D10">
        <w:rPr>
          <w:lang w:val="en-GB"/>
        </w:rPr>
        <w:t xml:space="preserve"> and</w:t>
      </w:r>
      <w:r w:rsidR="0077627B">
        <w:rPr>
          <w:lang w:val="en-GB"/>
        </w:rPr>
        <w:t xml:space="preserve"> removed the handcuffs</w:t>
      </w:r>
      <w:r w:rsidR="00905D10">
        <w:rPr>
          <w:lang w:val="en-GB"/>
        </w:rPr>
        <w:t>.</w:t>
      </w:r>
    </w:p>
    <w:p w14:paraId="41DA07A4" w14:textId="77777777" w:rsidR="004D12EB" w:rsidRPr="004D12EB" w:rsidRDefault="004D12EB" w:rsidP="004D12EB">
      <w:pPr>
        <w:pStyle w:val="ListParagraph"/>
        <w:rPr>
          <w:lang w:val="en-GB"/>
        </w:rPr>
      </w:pPr>
    </w:p>
    <w:p w14:paraId="07AF3C81" w14:textId="702E548A" w:rsidR="00B65277" w:rsidRPr="00887ECF" w:rsidRDefault="00616DF6" w:rsidP="00887ECF">
      <w:pPr>
        <w:pStyle w:val="ListParagraph"/>
        <w:numPr>
          <w:ilvl w:val="0"/>
          <w:numId w:val="10"/>
        </w:numPr>
        <w:autoSpaceDE w:val="0"/>
        <w:autoSpaceDN w:val="0"/>
        <w:adjustRightInd w:val="0"/>
        <w:ind w:left="142" w:hanging="142"/>
        <w:jc w:val="both"/>
        <w:rPr>
          <w:lang w:val="en-GB"/>
        </w:rPr>
      </w:pPr>
      <w:r w:rsidRPr="00887ECF">
        <w:rPr>
          <w:lang w:val="en-GB"/>
        </w:rPr>
        <w:t>The plaintiff was able to describe certain physical features</w:t>
      </w:r>
      <w:r w:rsidR="001346DB" w:rsidRPr="00887ECF">
        <w:rPr>
          <w:lang w:val="en-GB"/>
        </w:rPr>
        <w:t>, commenting on the height, weight and complexion</w:t>
      </w:r>
      <w:r w:rsidRPr="00887ECF">
        <w:rPr>
          <w:lang w:val="en-GB"/>
        </w:rPr>
        <w:t xml:space="preserve"> of </w:t>
      </w:r>
      <w:r w:rsidR="001346DB" w:rsidRPr="00887ECF">
        <w:rPr>
          <w:lang w:val="en-GB"/>
        </w:rPr>
        <w:t>the</w:t>
      </w:r>
      <w:r w:rsidRPr="00887ECF">
        <w:rPr>
          <w:lang w:val="en-GB"/>
        </w:rPr>
        <w:t xml:space="preserve"> persons who entered his home. </w:t>
      </w:r>
      <w:r w:rsidR="00B65277" w:rsidRPr="00887ECF">
        <w:rPr>
          <w:lang w:val="en-GB"/>
        </w:rPr>
        <w:t xml:space="preserve">He felt weak after the attack and noticed injuries on his body. His arms were swollen, he struggled to swallow and </w:t>
      </w:r>
      <w:r w:rsidR="007A3445" w:rsidRPr="00887ECF">
        <w:rPr>
          <w:lang w:val="en-GB"/>
        </w:rPr>
        <w:t>h</w:t>
      </w:r>
      <w:r w:rsidR="00B65277" w:rsidRPr="00887ECF">
        <w:rPr>
          <w:lang w:val="en-GB"/>
        </w:rPr>
        <w:t>is waist was painful.</w:t>
      </w:r>
      <w:r w:rsidR="00E97A5C" w:rsidRPr="00887ECF">
        <w:rPr>
          <w:lang w:val="en-GB"/>
        </w:rPr>
        <w:t xml:space="preserve"> </w:t>
      </w:r>
      <w:r w:rsidR="00F00693">
        <w:rPr>
          <w:lang w:val="en-GB"/>
        </w:rPr>
        <w:t>Mvunyiswa</w:t>
      </w:r>
      <w:r w:rsidR="00E97A5C" w:rsidRPr="00887ECF">
        <w:rPr>
          <w:lang w:val="en-GB"/>
        </w:rPr>
        <w:t xml:space="preserve"> left the premises</w:t>
      </w:r>
      <w:r w:rsidR="00F00693">
        <w:rPr>
          <w:lang w:val="en-GB"/>
        </w:rPr>
        <w:t xml:space="preserve"> </w:t>
      </w:r>
      <w:r w:rsidR="00F947E5">
        <w:rPr>
          <w:lang w:val="en-GB"/>
        </w:rPr>
        <w:t xml:space="preserve">at some stage </w:t>
      </w:r>
      <w:r w:rsidR="00F00693">
        <w:rPr>
          <w:lang w:val="en-GB"/>
        </w:rPr>
        <w:t>and</w:t>
      </w:r>
      <w:r w:rsidR="00E97A5C" w:rsidRPr="00887ECF">
        <w:rPr>
          <w:lang w:val="en-GB"/>
        </w:rPr>
        <w:t xml:space="preserve"> he was left with the two individuals in uniform. The shorter or the two, a person dark in complexion, asked him about </w:t>
      </w:r>
      <w:r w:rsidR="008A7A59">
        <w:rPr>
          <w:lang w:val="en-GB"/>
        </w:rPr>
        <w:t>a</w:t>
      </w:r>
      <w:r w:rsidR="00E97A5C" w:rsidRPr="00887ECF">
        <w:rPr>
          <w:lang w:val="en-GB"/>
        </w:rPr>
        <w:t xml:space="preserve"> </w:t>
      </w:r>
      <w:r w:rsidR="008A7A59">
        <w:rPr>
          <w:lang w:val="en-GB"/>
        </w:rPr>
        <w:t>girl</w:t>
      </w:r>
      <w:r w:rsidR="00E97A5C" w:rsidRPr="00887ECF">
        <w:rPr>
          <w:lang w:val="en-GB"/>
        </w:rPr>
        <w:t xml:space="preserve"> being educated with his assistance </w:t>
      </w:r>
      <w:r w:rsidR="002A61E4">
        <w:rPr>
          <w:lang w:val="en-GB"/>
        </w:rPr>
        <w:t xml:space="preserve">and supposedly </w:t>
      </w:r>
      <w:r w:rsidR="00E97A5C" w:rsidRPr="00887ECF">
        <w:rPr>
          <w:lang w:val="en-GB"/>
        </w:rPr>
        <w:t xml:space="preserve">at UNISA. He replied that the person in question was not his girlfriend, but was a relative studying engineering at Walter Sisulu University. </w:t>
      </w:r>
      <w:r w:rsidR="00715F02" w:rsidRPr="00887ECF">
        <w:rPr>
          <w:lang w:val="en-GB"/>
        </w:rPr>
        <w:t xml:space="preserve">Thereafter he was informed that he was being arrested. </w:t>
      </w:r>
      <w:r w:rsidR="006E063E" w:rsidRPr="00887ECF">
        <w:rPr>
          <w:lang w:val="en-GB"/>
        </w:rPr>
        <w:t>He changed his trousers as they were torn, put on his shoes and walked behind the two</w:t>
      </w:r>
      <w:r w:rsidR="00DF6118" w:rsidRPr="00887ECF">
        <w:rPr>
          <w:lang w:val="en-GB"/>
        </w:rPr>
        <w:t xml:space="preserve"> towards the police van</w:t>
      </w:r>
      <w:r w:rsidR="000D417C" w:rsidRPr="00887ECF">
        <w:rPr>
          <w:lang w:val="en-GB"/>
        </w:rPr>
        <w:t>, which was marked as such</w:t>
      </w:r>
      <w:r w:rsidR="00DF6118" w:rsidRPr="00887ECF">
        <w:rPr>
          <w:lang w:val="en-GB"/>
        </w:rPr>
        <w:t xml:space="preserve">. </w:t>
      </w:r>
      <w:r w:rsidR="00887ECF">
        <w:rPr>
          <w:lang w:val="en-GB"/>
        </w:rPr>
        <w:t xml:space="preserve">The person who had been assaulting him exited the vehicle. </w:t>
      </w:r>
      <w:r w:rsidR="00DF6118" w:rsidRPr="00887ECF">
        <w:rPr>
          <w:lang w:val="en-GB"/>
        </w:rPr>
        <w:t>The taller of the two told him to open the door and enter the van.</w:t>
      </w:r>
      <w:r w:rsidR="00887ECF" w:rsidRPr="00887ECF">
        <w:rPr>
          <w:lang w:val="en-GB"/>
        </w:rPr>
        <w:t xml:space="preserve"> </w:t>
      </w:r>
      <w:r w:rsidR="00887ECF">
        <w:rPr>
          <w:lang w:val="en-GB"/>
        </w:rPr>
        <w:t>He replied that he could not do so given his pain.</w:t>
      </w:r>
      <w:r w:rsidR="0070480E">
        <w:rPr>
          <w:lang w:val="en-GB"/>
        </w:rPr>
        <w:t xml:space="preserve"> He was then told to return to his home and the three individuals drove off in the police van. He returned to bed and noticed that the time was 01h13.</w:t>
      </w:r>
    </w:p>
    <w:p w14:paraId="21279C98" w14:textId="77777777" w:rsidR="00B65277" w:rsidRPr="001346DB" w:rsidRDefault="00B65277" w:rsidP="00887ECF">
      <w:pPr>
        <w:pStyle w:val="ListParagraph"/>
        <w:autoSpaceDE w:val="0"/>
        <w:autoSpaceDN w:val="0"/>
        <w:adjustRightInd w:val="0"/>
        <w:ind w:left="142"/>
        <w:jc w:val="both"/>
        <w:rPr>
          <w:lang w:val="en-GB"/>
        </w:rPr>
      </w:pPr>
    </w:p>
    <w:p w14:paraId="695CA2C8" w14:textId="6B3B8641" w:rsidR="00616DF6" w:rsidRDefault="006B1C84" w:rsidP="0020792F">
      <w:pPr>
        <w:pStyle w:val="ListParagraph"/>
        <w:numPr>
          <w:ilvl w:val="0"/>
          <w:numId w:val="10"/>
        </w:numPr>
        <w:autoSpaceDE w:val="0"/>
        <w:autoSpaceDN w:val="0"/>
        <w:adjustRightInd w:val="0"/>
        <w:ind w:left="142" w:hanging="142"/>
        <w:jc w:val="both"/>
        <w:rPr>
          <w:lang w:val="en-GB"/>
        </w:rPr>
      </w:pPr>
      <w:r>
        <w:rPr>
          <w:lang w:val="en-GB"/>
        </w:rPr>
        <w:t xml:space="preserve">The plaintiff telephoned his girlfriend who came to collect him so that he could sleep at her home. </w:t>
      </w:r>
      <w:r w:rsidR="00CD0628">
        <w:rPr>
          <w:lang w:val="en-GB"/>
        </w:rPr>
        <w:t xml:space="preserve">She helped him to wash and he hitchhiked to the clinic, informing the nurse there that he had been assaulted by police. </w:t>
      </w:r>
      <w:r w:rsidR="00FD43E4">
        <w:rPr>
          <w:lang w:val="en-GB"/>
        </w:rPr>
        <w:t xml:space="preserve">He was advised to go to the hospital to lay a charge, which he did. </w:t>
      </w:r>
      <w:r w:rsidR="005B27E9">
        <w:rPr>
          <w:lang w:val="en-GB"/>
        </w:rPr>
        <w:t>He was subsequently informed by a doctor to bring a J88 form from the police station, which he did the following day.</w:t>
      </w:r>
      <w:r w:rsidR="007A7126">
        <w:rPr>
          <w:lang w:val="en-GB"/>
        </w:rPr>
        <w:t xml:space="preserve"> Initially the police refused to provide the form, but he managed to obtain this with a captain’s assistance.</w:t>
      </w:r>
      <w:r w:rsidR="00BE3D24">
        <w:rPr>
          <w:lang w:val="en-GB"/>
        </w:rPr>
        <w:t xml:space="preserve"> He informed a </w:t>
      </w:r>
      <w:r w:rsidR="00CC10B6">
        <w:rPr>
          <w:lang w:val="en-GB"/>
        </w:rPr>
        <w:t>policeman</w:t>
      </w:r>
      <w:r w:rsidR="00BE3D24">
        <w:rPr>
          <w:lang w:val="en-GB"/>
        </w:rPr>
        <w:t xml:space="preserve"> that he had been assaulted by other </w:t>
      </w:r>
      <w:r w:rsidR="00F30CE2">
        <w:rPr>
          <w:lang w:val="en-GB"/>
        </w:rPr>
        <w:t>police</w:t>
      </w:r>
      <w:r w:rsidR="00CC10B6">
        <w:rPr>
          <w:lang w:val="en-GB"/>
        </w:rPr>
        <w:t>men</w:t>
      </w:r>
      <w:r w:rsidR="00F30CE2">
        <w:rPr>
          <w:lang w:val="en-GB"/>
        </w:rPr>
        <w:t>.</w:t>
      </w:r>
      <w:r w:rsidR="00E60497">
        <w:rPr>
          <w:lang w:val="en-GB"/>
        </w:rPr>
        <w:t xml:space="preserve"> That person noticed the marks around his wrist and asked if they had been caused by handcuffs.</w:t>
      </w:r>
      <w:r w:rsidR="00896DE3">
        <w:rPr>
          <w:lang w:val="en-GB"/>
        </w:rPr>
        <w:t xml:space="preserve"> The plaintiff returned to the hospital with the J88 form, which the attending doctor completed.</w:t>
      </w:r>
    </w:p>
    <w:p w14:paraId="21DDCEBD" w14:textId="77777777" w:rsidR="00616DF6" w:rsidRPr="00616DF6" w:rsidRDefault="00616DF6" w:rsidP="00616DF6">
      <w:pPr>
        <w:pStyle w:val="ListParagraph"/>
        <w:rPr>
          <w:lang w:val="en-GB"/>
        </w:rPr>
      </w:pPr>
    </w:p>
    <w:p w14:paraId="288FBC2A" w14:textId="4A0F52A1" w:rsidR="009E2016" w:rsidRDefault="009E2016" w:rsidP="0020792F">
      <w:pPr>
        <w:pStyle w:val="ListParagraph"/>
        <w:numPr>
          <w:ilvl w:val="0"/>
          <w:numId w:val="10"/>
        </w:numPr>
        <w:autoSpaceDE w:val="0"/>
        <w:autoSpaceDN w:val="0"/>
        <w:adjustRightInd w:val="0"/>
        <w:ind w:left="142" w:hanging="142"/>
        <w:jc w:val="both"/>
        <w:rPr>
          <w:lang w:val="en-GB"/>
        </w:rPr>
      </w:pPr>
      <w:r>
        <w:rPr>
          <w:lang w:val="en-GB"/>
        </w:rPr>
        <w:t xml:space="preserve">A J88 </w:t>
      </w:r>
      <w:r w:rsidR="00C5261E">
        <w:rPr>
          <w:lang w:val="en-GB"/>
        </w:rPr>
        <w:t>report on a medico-legal examination, completed by Dr Hart a</w:t>
      </w:r>
      <w:r w:rsidR="009C04AF">
        <w:rPr>
          <w:lang w:val="en-GB"/>
        </w:rPr>
        <w:t>t</w:t>
      </w:r>
      <w:r w:rsidR="00C5261E">
        <w:rPr>
          <w:lang w:val="en-GB"/>
        </w:rPr>
        <w:t xml:space="preserve"> Canzibe Hospital, was accepted into evidence. It is clear from the report that the plaintiff communicated to the doctor, via an interpreter, that he had been assaulted by policemen</w:t>
      </w:r>
      <w:r w:rsidR="0035610B">
        <w:rPr>
          <w:lang w:val="en-GB"/>
        </w:rPr>
        <w:t xml:space="preserve"> and that they had tried to find drugs at his home. </w:t>
      </w:r>
      <w:r w:rsidR="0035569F">
        <w:rPr>
          <w:lang w:val="en-GB"/>
        </w:rPr>
        <w:t>The doctor’s clinical findings</w:t>
      </w:r>
      <w:r w:rsidR="008273FF">
        <w:rPr>
          <w:lang w:val="en-GB"/>
        </w:rPr>
        <w:t xml:space="preserve">, which </w:t>
      </w:r>
      <w:r w:rsidR="00BF7BB9">
        <w:rPr>
          <w:lang w:val="en-GB"/>
        </w:rPr>
        <w:t>were depicted graphically as well,</w:t>
      </w:r>
      <w:r w:rsidR="0035569F">
        <w:rPr>
          <w:lang w:val="en-GB"/>
        </w:rPr>
        <w:t xml:space="preserve"> included</w:t>
      </w:r>
      <w:r w:rsidR="00800B41">
        <w:rPr>
          <w:lang w:val="en-GB"/>
        </w:rPr>
        <w:t xml:space="preserve"> the following:</w:t>
      </w:r>
    </w:p>
    <w:p w14:paraId="2C3C0884" w14:textId="5DB109D8" w:rsidR="00800B41" w:rsidRDefault="00800B41" w:rsidP="00800B41">
      <w:pPr>
        <w:ind w:left="142"/>
        <w:rPr>
          <w:sz w:val="22"/>
          <w:szCs w:val="22"/>
          <w:lang w:val="en-GB"/>
        </w:rPr>
      </w:pPr>
      <w:r>
        <w:rPr>
          <w:sz w:val="22"/>
          <w:szCs w:val="22"/>
          <w:lang w:val="en-GB"/>
        </w:rPr>
        <w:t>‘Neck – bilateral hematoma and abrasion lateral to the larynx;</w:t>
      </w:r>
    </w:p>
    <w:p w14:paraId="6BD38A45" w14:textId="46D9B398" w:rsidR="00800B41" w:rsidRDefault="00800B41" w:rsidP="00800B41">
      <w:pPr>
        <w:ind w:left="142"/>
        <w:rPr>
          <w:sz w:val="22"/>
          <w:szCs w:val="22"/>
          <w:lang w:val="en-GB"/>
        </w:rPr>
      </w:pPr>
      <w:r>
        <w:rPr>
          <w:sz w:val="22"/>
          <w:szCs w:val="22"/>
          <w:lang w:val="en-GB"/>
        </w:rPr>
        <w:t>Wrist – abrasions circular probably due to cuffs</w:t>
      </w:r>
    </w:p>
    <w:p w14:paraId="28CBB40C" w14:textId="07B55F19" w:rsidR="00800B41" w:rsidRDefault="00800B41" w:rsidP="00800B41">
      <w:pPr>
        <w:ind w:left="142"/>
        <w:rPr>
          <w:sz w:val="22"/>
          <w:szCs w:val="22"/>
          <w:lang w:val="en-GB"/>
        </w:rPr>
      </w:pPr>
      <w:r>
        <w:rPr>
          <w:sz w:val="22"/>
          <w:szCs w:val="22"/>
          <w:lang w:val="en-GB"/>
        </w:rPr>
        <w:t>Abrasions to lower back</w:t>
      </w:r>
    </w:p>
    <w:p w14:paraId="540E019F" w14:textId="35797300" w:rsidR="00800B41" w:rsidRDefault="00800B41" w:rsidP="00800B41">
      <w:pPr>
        <w:ind w:left="142"/>
        <w:rPr>
          <w:sz w:val="22"/>
          <w:szCs w:val="22"/>
          <w:lang w:val="en-GB"/>
        </w:rPr>
      </w:pPr>
      <w:r>
        <w:rPr>
          <w:sz w:val="22"/>
          <w:szCs w:val="22"/>
          <w:lang w:val="en-GB"/>
        </w:rPr>
        <w:t>Fee</w:t>
      </w:r>
      <w:r w:rsidR="005A0E12">
        <w:rPr>
          <w:sz w:val="22"/>
          <w:szCs w:val="22"/>
          <w:lang w:val="en-GB"/>
        </w:rPr>
        <w:t>t</w:t>
      </w:r>
      <w:r>
        <w:rPr>
          <w:sz w:val="22"/>
          <w:szCs w:val="22"/>
          <w:lang w:val="en-GB"/>
        </w:rPr>
        <w:t>: no defects noted.’</w:t>
      </w:r>
    </w:p>
    <w:p w14:paraId="431DB3AF" w14:textId="77777777" w:rsidR="008621FC" w:rsidRPr="00800B41" w:rsidRDefault="008621FC" w:rsidP="00800B41">
      <w:pPr>
        <w:ind w:left="142"/>
        <w:rPr>
          <w:sz w:val="22"/>
          <w:szCs w:val="22"/>
          <w:lang w:val="en-GB"/>
        </w:rPr>
      </w:pPr>
    </w:p>
    <w:p w14:paraId="235C6FDC" w14:textId="36284D3E" w:rsidR="00800B41" w:rsidRDefault="000D2260" w:rsidP="0020792F">
      <w:pPr>
        <w:pStyle w:val="ListParagraph"/>
        <w:numPr>
          <w:ilvl w:val="0"/>
          <w:numId w:val="10"/>
        </w:numPr>
        <w:autoSpaceDE w:val="0"/>
        <w:autoSpaceDN w:val="0"/>
        <w:adjustRightInd w:val="0"/>
        <w:ind w:left="142" w:hanging="142"/>
        <w:jc w:val="both"/>
        <w:rPr>
          <w:lang w:val="en-GB"/>
        </w:rPr>
      </w:pPr>
      <w:r>
        <w:rPr>
          <w:lang w:val="en-GB"/>
        </w:rPr>
        <w:t xml:space="preserve">The plaintiff also explained how his aunt became involved in the matter. He had telephoned her and explained that he had been assaulted by the police. She had insisted on accompanying him </w:t>
      </w:r>
      <w:r w:rsidR="00A50F46">
        <w:rPr>
          <w:lang w:val="en-GB"/>
        </w:rPr>
        <w:t>to the police station because she was concerned that they would not pay sufficient attention to the plaintiff if he proceeded on his own.</w:t>
      </w:r>
      <w:r w:rsidR="008F5E36">
        <w:rPr>
          <w:lang w:val="en-GB"/>
        </w:rPr>
        <w:t xml:space="preserve"> When they visited the police station, they were advised to obtain names of suspects, failing which a docket would not be opened.</w:t>
      </w:r>
      <w:r w:rsidR="00F32668">
        <w:rPr>
          <w:lang w:val="en-GB"/>
        </w:rPr>
        <w:t xml:space="preserve"> His aunt then arranged for them to meet with the station commander. </w:t>
      </w:r>
      <w:r w:rsidR="009E5E14">
        <w:rPr>
          <w:lang w:val="en-GB"/>
        </w:rPr>
        <w:t>When they returned to the police station for that purpose, the plaintiff observed one of the people that had entered his home standing at the door of the station.</w:t>
      </w:r>
      <w:r w:rsidR="001F23DB">
        <w:rPr>
          <w:lang w:val="en-GB"/>
        </w:rPr>
        <w:t xml:space="preserve"> The plaintiff, assisted by his aunt, explained what had happened to the station commander</w:t>
      </w:r>
      <w:r w:rsidR="004B1ABF">
        <w:rPr>
          <w:lang w:val="en-GB"/>
        </w:rPr>
        <w:t>, a charge was laid</w:t>
      </w:r>
      <w:r w:rsidR="001F23DB">
        <w:rPr>
          <w:lang w:val="en-GB"/>
        </w:rPr>
        <w:t xml:space="preserve"> and a docket was opened.</w:t>
      </w:r>
      <w:r w:rsidR="004B1ABF">
        <w:rPr>
          <w:lang w:val="en-GB"/>
        </w:rPr>
        <w:t xml:space="preserve"> </w:t>
      </w:r>
      <w:r w:rsidR="00882690">
        <w:rPr>
          <w:lang w:val="en-GB"/>
        </w:rPr>
        <w:t>The plaintiff’s signed statement, accord</w:t>
      </w:r>
      <w:r w:rsidR="00D616A3">
        <w:rPr>
          <w:lang w:val="en-GB"/>
        </w:rPr>
        <w:t>ing</w:t>
      </w:r>
      <w:r w:rsidR="00882690">
        <w:rPr>
          <w:lang w:val="en-GB"/>
        </w:rPr>
        <w:t xml:space="preserve"> closely with his evidence regarding his assault, was included in the trial bundle and accepted into evidence.</w:t>
      </w:r>
      <w:r w:rsidR="00561432">
        <w:rPr>
          <w:lang w:val="en-GB"/>
        </w:rPr>
        <w:t xml:space="preserve"> The plaintiff </w:t>
      </w:r>
      <w:r w:rsidR="00561432">
        <w:rPr>
          <w:lang w:val="en-GB"/>
        </w:rPr>
        <w:lastRenderedPageBreak/>
        <w:t>explained that he did not know the names of his alleged attackers at that point in time, so that no names appear in that statement.</w:t>
      </w:r>
    </w:p>
    <w:p w14:paraId="2D3251EE" w14:textId="77777777" w:rsidR="009E2016" w:rsidRPr="009E2016" w:rsidRDefault="009E2016" w:rsidP="009E2016">
      <w:pPr>
        <w:pStyle w:val="ListParagraph"/>
        <w:rPr>
          <w:lang w:val="en-GB"/>
        </w:rPr>
      </w:pPr>
    </w:p>
    <w:p w14:paraId="06361DC4" w14:textId="18AF9A41" w:rsidR="00D96557" w:rsidRDefault="00670D2D" w:rsidP="0020792F">
      <w:pPr>
        <w:pStyle w:val="ListParagraph"/>
        <w:numPr>
          <w:ilvl w:val="0"/>
          <w:numId w:val="10"/>
        </w:numPr>
        <w:autoSpaceDE w:val="0"/>
        <w:autoSpaceDN w:val="0"/>
        <w:adjustRightInd w:val="0"/>
        <w:ind w:left="142" w:hanging="142"/>
        <w:jc w:val="both"/>
        <w:rPr>
          <w:lang w:val="en-GB"/>
        </w:rPr>
      </w:pPr>
      <w:r>
        <w:rPr>
          <w:lang w:val="en-GB"/>
        </w:rPr>
        <w:t>The plaintiff says he</w:t>
      </w:r>
      <w:r w:rsidR="00D96557">
        <w:rPr>
          <w:lang w:val="en-GB"/>
        </w:rPr>
        <w:t xml:space="preserve"> identified Mvunyiswa when </w:t>
      </w:r>
      <w:r>
        <w:rPr>
          <w:lang w:val="en-GB"/>
        </w:rPr>
        <w:t>Mvunyiswa</w:t>
      </w:r>
      <w:r w:rsidR="00D96557">
        <w:rPr>
          <w:lang w:val="en-GB"/>
        </w:rPr>
        <w:t xml:space="preserve"> </w:t>
      </w:r>
      <w:r>
        <w:rPr>
          <w:lang w:val="en-GB"/>
        </w:rPr>
        <w:t>visited his</w:t>
      </w:r>
      <w:r w:rsidR="00D96557">
        <w:rPr>
          <w:lang w:val="en-GB"/>
        </w:rPr>
        <w:t xml:space="preserve"> workshop to have his tyre pumped. A name tag identified him. </w:t>
      </w:r>
      <w:r w:rsidR="002F1E0A">
        <w:rPr>
          <w:lang w:val="en-GB"/>
        </w:rPr>
        <w:t xml:space="preserve"> </w:t>
      </w:r>
      <w:r w:rsidR="002C1AFA">
        <w:rPr>
          <w:lang w:val="en-GB"/>
        </w:rPr>
        <w:t>This was the stouter, lighter person he had described during his evidence, and the person who had not been wearing a uniform</w:t>
      </w:r>
      <w:r w:rsidR="002136D7">
        <w:rPr>
          <w:lang w:val="en-GB"/>
        </w:rPr>
        <w:t xml:space="preserve"> on the </w:t>
      </w:r>
      <w:r w:rsidR="008D64DF">
        <w:rPr>
          <w:lang w:val="en-GB"/>
        </w:rPr>
        <w:t>day</w:t>
      </w:r>
      <w:r w:rsidR="002136D7">
        <w:rPr>
          <w:lang w:val="en-GB"/>
        </w:rPr>
        <w:t xml:space="preserve"> in question.</w:t>
      </w:r>
      <w:r w:rsidR="00592F32">
        <w:rPr>
          <w:lang w:val="en-GB"/>
        </w:rPr>
        <w:t xml:space="preserve"> He subsequently identified one of the other persons as ‘Malombo’ with the assistance of his aunt</w:t>
      </w:r>
      <w:r w:rsidR="0028346E">
        <w:rPr>
          <w:lang w:val="en-GB"/>
        </w:rPr>
        <w:t xml:space="preserve">, who is a </w:t>
      </w:r>
      <w:r w:rsidR="00FB6477">
        <w:rPr>
          <w:lang w:val="en-GB"/>
        </w:rPr>
        <w:t xml:space="preserve">councillor. </w:t>
      </w:r>
      <w:r w:rsidR="008B1561">
        <w:rPr>
          <w:lang w:val="en-GB"/>
        </w:rPr>
        <w:t xml:space="preserve">Based on his description, she had investigated the matter and indicated that the person’s real name was ‘Pilisa Yolwa’. The plaintiff had </w:t>
      </w:r>
      <w:r w:rsidR="00903580">
        <w:rPr>
          <w:lang w:val="en-GB"/>
        </w:rPr>
        <w:t xml:space="preserve">then </w:t>
      </w:r>
      <w:r w:rsidR="008B1561">
        <w:rPr>
          <w:lang w:val="en-GB"/>
        </w:rPr>
        <w:t xml:space="preserve">observed </w:t>
      </w:r>
      <w:r w:rsidR="004E7D1B">
        <w:rPr>
          <w:lang w:val="en-GB"/>
        </w:rPr>
        <w:t>that person’s</w:t>
      </w:r>
      <w:r w:rsidR="008B1561">
        <w:rPr>
          <w:lang w:val="en-GB"/>
        </w:rPr>
        <w:t xml:space="preserve"> profile on </w:t>
      </w:r>
      <w:r w:rsidR="00E23102">
        <w:rPr>
          <w:lang w:val="en-GB"/>
        </w:rPr>
        <w:t>F</w:t>
      </w:r>
      <w:r w:rsidR="008B1561">
        <w:rPr>
          <w:lang w:val="en-GB"/>
        </w:rPr>
        <w:t>acebook and identified him as the ‘Malombo’ he had seen.</w:t>
      </w:r>
      <w:r w:rsidR="009A3D21">
        <w:rPr>
          <w:lang w:val="en-GB"/>
        </w:rPr>
        <w:t xml:space="preserve"> </w:t>
      </w:r>
      <w:r w:rsidR="007E2901">
        <w:rPr>
          <w:lang w:val="en-GB"/>
        </w:rPr>
        <w:t>His aunt had also provided a name for the other person</w:t>
      </w:r>
      <w:r w:rsidR="008F537A">
        <w:rPr>
          <w:lang w:val="en-GB"/>
        </w:rPr>
        <w:t xml:space="preserve"> (‘Madyibi’)</w:t>
      </w:r>
      <w:r w:rsidR="007E2901">
        <w:rPr>
          <w:lang w:val="en-GB"/>
        </w:rPr>
        <w:t>, but the plaintiff had not been able to verify this.</w:t>
      </w:r>
      <w:r w:rsidR="00F36806">
        <w:rPr>
          <w:lang w:val="en-GB"/>
        </w:rPr>
        <w:t xml:space="preserve"> He had subsequently explained to the </w:t>
      </w:r>
      <w:r w:rsidR="00511482">
        <w:rPr>
          <w:lang w:val="en-GB"/>
        </w:rPr>
        <w:t>I</w:t>
      </w:r>
      <w:r w:rsidR="00F36806">
        <w:rPr>
          <w:lang w:val="en-GB"/>
        </w:rPr>
        <w:t xml:space="preserve">ndependent </w:t>
      </w:r>
      <w:r w:rsidR="00511482">
        <w:rPr>
          <w:lang w:val="en-GB"/>
        </w:rPr>
        <w:t>P</w:t>
      </w:r>
      <w:r w:rsidR="00F36806">
        <w:rPr>
          <w:lang w:val="en-GB"/>
        </w:rPr>
        <w:t xml:space="preserve">olice </w:t>
      </w:r>
      <w:r w:rsidR="00511482">
        <w:rPr>
          <w:lang w:val="en-GB"/>
        </w:rPr>
        <w:t>I</w:t>
      </w:r>
      <w:r w:rsidR="00F36806">
        <w:rPr>
          <w:lang w:val="en-GB"/>
        </w:rPr>
        <w:t>nvestigati</w:t>
      </w:r>
      <w:r w:rsidR="00511482">
        <w:rPr>
          <w:lang w:val="en-GB"/>
        </w:rPr>
        <w:t>ve</w:t>
      </w:r>
      <w:r w:rsidR="00F36806">
        <w:rPr>
          <w:lang w:val="en-GB"/>
        </w:rPr>
        <w:t xml:space="preserve"> </w:t>
      </w:r>
      <w:r w:rsidR="00511482">
        <w:rPr>
          <w:lang w:val="en-GB"/>
        </w:rPr>
        <w:t>D</w:t>
      </w:r>
      <w:r w:rsidR="00F36806">
        <w:rPr>
          <w:lang w:val="en-GB"/>
        </w:rPr>
        <w:t xml:space="preserve">irectorate </w:t>
      </w:r>
      <w:r w:rsidR="00F36806" w:rsidRPr="00511482">
        <w:rPr>
          <w:lang w:val="en-GB"/>
        </w:rPr>
        <w:t>(IPID)</w:t>
      </w:r>
      <w:r w:rsidR="00F36806">
        <w:rPr>
          <w:lang w:val="en-GB"/>
        </w:rPr>
        <w:t xml:space="preserve"> </w:t>
      </w:r>
      <w:r w:rsidR="00C13AF6">
        <w:rPr>
          <w:lang w:val="en-GB"/>
        </w:rPr>
        <w:t xml:space="preserve">that he would be able to identify two of the </w:t>
      </w:r>
      <w:r w:rsidR="00C01969">
        <w:rPr>
          <w:lang w:val="en-GB"/>
        </w:rPr>
        <w:t>persons who had entered his home</w:t>
      </w:r>
      <w:r w:rsidR="00891AF1">
        <w:rPr>
          <w:lang w:val="en-GB"/>
        </w:rPr>
        <w:t>. He further explained to them how he had come to identify Mvunyiswa.</w:t>
      </w:r>
    </w:p>
    <w:p w14:paraId="62DECC40" w14:textId="77777777" w:rsidR="00F36806" w:rsidRPr="00F36806" w:rsidRDefault="00F36806" w:rsidP="00F36806">
      <w:pPr>
        <w:pStyle w:val="ListParagraph"/>
        <w:rPr>
          <w:lang w:val="en-GB"/>
        </w:rPr>
      </w:pPr>
    </w:p>
    <w:p w14:paraId="085CF5A1" w14:textId="39FDB90E" w:rsidR="007D54F3" w:rsidRDefault="00FA49D1" w:rsidP="005F77C7">
      <w:pPr>
        <w:pStyle w:val="ListParagraph"/>
        <w:numPr>
          <w:ilvl w:val="0"/>
          <w:numId w:val="10"/>
        </w:numPr>
        <w:autoSpaceDE w:val="0"/>
        <w:autoSpaceDN w:val="0"/>
        <w:adjustRightInd w:val="0"/>
        <w:ind w:left="142" w:hanging="142"/>
        <w:jc w:val="both"/>
        <w:rPr>
          <w:lang w:val="en-GB"/>
        </w:rPr>
      </w:pPr>
      <w:r w:rsidRPr="004E7582">
        <w:rPr>
          <w:lang w:val="en-GB"/>
        </w:rPr>
        <w:t>That evidence is partially supported by a</w:t>
      </w:r>
      <w:r w:rsidR="00AA2D01" w:rsidRPr="004E7582">
        <w:rPr>
          <w:lang w:val="en-GB"/>
        </w:rPr>
        <w:t>n undated</w:t>
      </w:r>
      <w:r w:rsidRPr="004E7582">
        <w:rPr>
          <w:lang w:val="en-GB"/>
        </w:rPr>
        <w:t xml:space="preserve"> statement made by the plaintiff to the police, which explains Mvunyiswa’s identification at the tyre repair centre, and the</w:t>
      </w:r>
      <w:r w:rsidR="0068241F" w:rsidRPr="004E7582">
        <w:rPr>
          <w:lang w:val="en-GB"/>
        </w:rPr>
        <w:t xml:space="preserve"> reason that the plaintiff was able to remember his face</w:t>
      </w:r>
      <w:r w:rsidRPr="004E7582">
        <w:rPr>
          <w:lang w:val="en-GB"/>
        </w:rPr>
        <w:t xml:space="preserve">. </w:t>
      </w:r>
      <w:r w:rsidR="0068241F" w:rsidRPr="004E7582">
        <w:rPr>
          <w:lang w:val="en-GB"/>
        </w:rPr>
        <w:t>The statement</w:t>
      </w:r>
      <w:r w:rsidRPr="004E7582">
        <w:rPr>
          <w:lang w:val="en-GB"/>
        </w:rPr>
        <w:t xml:space="preserve"> also indicates</w:t>
      </w:r>
      <w:r w:rsidR="0068241F" w:rsidRPr="004E7582">
        <w:rPr>
          <w:lang w:val="en-GB"/>
        </w:rPr>
        <w:t xml:space="preserve">, however, that the plaintiff would not be able to identify the other two persons, </w:t>
      </w:r>
      <w:r w:rsidR="00FB27F6" w:rsidRPr="004E7582">
        <w:rPr>
          <w:lang w:val="en-GB"/>
        </w:rPr>
        <w:t>‘</w:t>
      </w:r>
      <w:r w:rsidR="0068241F" w:rsidRPr="004E7582">
        <w:rPr>
          <w:lang w:val="en-GB"/>
        </w:rPr>
        <w:t>even in an identification parade</w:t>
      </w:r>
      <w:r w:rsidR="00FB27F6" w:rsidRPr="004E7582">
        <w:rPr>
          <w:lang w:val="en-GB"/>
        </w:rPr>
        <w:t>’</w:t>
      </w:r>
      <w:r w:rsidR="0068241F" w:rsidRPr="004E7582">
        <w:rPr>
          <w:lang w:val="en-GB"/>
        </w:rPr>
        <w:t>.</w:t>
      </w:r>
      <w:r w:rsidR="00FB27F6" w:rsidRPr="004E7582">
        <w:rPr>
          <w:lang w:val="en-GB"/>
        </w:rPr>
        <w:t xml:space="preserve"> </w:t>
      </w:r>
      <w:r w:rsidR="00AA2D01" w:rsidRPr="004E7582">
        <w:rPr>
          <w:lang w:val="en-GB"/>
        </w:rPr>
        <w:t>The plaintiff testified that he had made the statement during February 2022</w:t>
      </w:r>
      <w:r w:rsidR="002349C1" w:rsidRPr="004E7582">
        <w:rPr>
          <w:lang w:val="en-GB"/>
        </w:rPr>
        <w:t xml:space="preserve">. </w:t>
      </w:r>
    </w:p>
    <w:p w14:paraId="55B11BEF" w14:textId="77777777" w:rsidR="004E7582" w:rsidRPr="004E7582" w:rsidRDefault="004E7582" w:rsidP="004E7582">
      <w:pPr>
        <w:autoSpaceDE w:val="0"/>
        <w:autoSpaceDN w:val="0"/>
        <w:adjustRightInd w:val="0"/>
        <w:jc w:val="both"/>
        <w:rPr>
          <w:lang w:val="en-GB"/>
        </w:rPr>
      </w:pPr>
    </w:p>
    <w:p w14:paraId="6BB303C1" w14:textId="77777777" w:rsidR="009E5DA3" w:rsidRDefault="00086B42" w:rsidP="0020792F">
      <w:pPr>
        <w:pStyle w:val="ListParagraph"/>
        <w:numPr>
          <w:ilvl w:val="0"/>
          <w:numId w:val="10"/>
        </w:numPr>
        <w:autoSpaceDE w:val="0"/>
        <w:autoSpaceDN w:val="0"/>
        <w:adjustRightInd w:val="0"/>
        <w:ind w:left="142" w:hanging="142"/>
        <w:jc w:val="both"/>
        <w:rPr>
          <w:lang w:val="en-GB"/>
        </w:rPr>
      </w:pPr>
      <w:r>
        <w:rPr>
          <w:lang w:val="en-GB"/>
        </w:rPr>
        <w:t>The plaintiff’s injuries are clearly visible in a series of colour photographs taken approximately a week after the incident</w:t>
      </w:r>
      <w:r w:rsidR="00CE228E">
        <w:rPr>
          <w:lang w:val="en-GB"/>
        </w:rPr>
        <w:t xml:space="preserve">. The </w:t>
      </w:r>
      <w:r w:rsidR="00EC19BE">
        <w:rPr>
          <w:lang w:val="en-GB"/>
        </w:rPr>
        <w:t xml:space="preserve">plaintiff explained that the </w:t>
      </w:r>
      <w:r w:rsidR="00CE228E">
        <w:rPr>
          <w:lang w:val="en-GB"/>
        </w:rPr>
        <w:t>first two show markings seemingly consistent with the application of tight handcuffs</w:t>
      </w:r>
      <w:r w:rsidR="000F552D">
        <w:rPr>
          <w:lang w:val="en-GB"/>
        </w:rPr>
        <w:t>, with scabs having formed in some places.</w:t>
      </w:r>
      <w:r w:rsidR="00EC19BE">
        <w:rPr>
          <w:lang w:val="en-GB"/>
        </w:rPr>
        <w:t xml:space="preserve"> The third and fourth photos indicate neck wounds allegedly caused by </w:t>
      </w:r>
      <w:r w:rsidR="00D0087E">
        <w:rPr>
          <w:lang w:val="en-GB"/>
        </w:rPr>
        <w:t xml:space="preserve">Mvunyiswa’s </w:t>
      </w:r>
      <w:r w:rsidR="00EC19BE">
        <w:rPr>
          <w:lang w:val="en-GB"/>
        </w:rPr>
        <w:t>throttling</w:t>
      </w:r>
      <w:r w:rsidR="00607D0B">
        <w:rPr>
          <w:lang w:val="en-GB"/>
        </w:rPr>
        <w:t>, and the final photo show</w:t>
      </w:r>
      <w:r w:rsidR="00A3010A">
        <w:rPr>
          <w:lang w:val="en-GB"/>
        </w:rPr>
        <w:t>s marks on the plaintiff’s back</w:t>
      </w:r>
      <w:r w:rsidR="00E75315">
        <w:rPr>
          <w:lang w:val="en-GB"/>
        </w:rPr>
        <w:t xml:space="preserve"> from </w:t>
      </w:r>
      <w:r w:rsidR="00565460">
        <w:rPr>
          <w:lang w:val="en-GB"/>
        </w:rPr>
        <w:t>when he had been tripped and had fallen</w:t>
      </w:r>
      <w:r w:rsidR="00EC19BE">
        <w:rPr>
          <w:lang w:val="en-GB"/>
        </w:rPr>
        <w:t>.</w:t>
      </w:r>
      <w:r w:rsidR="002710EA">
        <w:rPr>
          <w:lang w:val="en-GB"/>
        </w:rPr>
        <w:t xml:space="preserve"> </w:t>
      </w:r>
      <w:r w:rsidR="00274169">
        <w:rPr>
          <w:lang w:val="en-GB"/>
        </w:rPr>
        <w:t xml:space="preserve">Those injuries accord with the J88 medical report. </w:t>
      </w:r>
    </w:p>
    <w:p w14:paraId="4DA3F96D" w14:textId="77777777" w:rsidR="009E5DA3" w:rsidRPr="009E5DA3" w:rsidRDefault="009E5DA3" w:rsidP="009E5DA3">
      <w:pPr>
        <w:pStyle w:val="ListParagraph"/>
        <w:rPr>
          <w:lang w:val="en-GB"/>
        </w:rPr>
      </w:pPr>
    </w:p>
    <w:p w14:paraId="10EF69C5" w14:textId="2B23251E" w:rsidR="00086B42" w:rsidRDefault="002710EA" w:rsidP="0020792F">
      <w:pPr>
        <w:pStyle w:val="ListParagraph"/>
        <w:numPr>
          <w:ilvl w:val="0"/>
          <w:numId w:val="10"/>
        </w:numPr>
        <w:autoSpaceDE w:val="0"/>
        <w:autoSpaceDN w:val="0"/>
        <w:adjustRightInd w:val="0"/>
        <w:ind w:left="142" w:hanging="142"/>
        <w:jc w:val="both"/>
        <w:rPr>
          <w:lang w:val="en-GB"/>
        </w:rPr>
      </w:pPr>
      <w:r>
        <w:rPr>
          <w:lang w:val="en-GB"/>
        </w:rPr>
        <w:t xml:space="preserve">The plaintiff </w:t>
      </w:r>
      <w:r w:rsidR="00F11999">
        <w:rPr>
          <w:lang w:val="en-GB"/>
        </w:rPr>
        <w:t>demonstrated</w:t>
      </w:r>
      <w:r>
        <w:rPr>
          <w:lang w:val="en-GB"/>
        </w:rPr>
        <w:t xml:space="preserve"> in court that some of those scars remain visible.</w:t>
      </w:r>
      <w:r w:rsidR="00274169">
        <w:rPr>
          <w:lang w:val="en-GB"/>
        </w:rPr>
        <w:t xml:space="preserve"> </w:t>
      </w:r>
      <w:r w:rsidR="009E5DA3">
        <w:rPr>
          <w:lang w:val="en-GB"/>
        </w:rPr>
        <w:t xml:space="preserve">He had taken pain medication for two months and experienced discomfort in his throat, </w:t>
      </w:r>
      <w:r w:rsidR="009E5DA3">
        <w:rPr>
          <w:lang w:val="en-GB"/>
        </w:rPr>
        <w:lastRenderedPageBreak/>
        <w:t xml:space="preserve">which had now passed. For a month he had to eat soft food or watery porridge. </w:t>
      </w:r>
      <w:r w:rsidR="00111433">
        <w:rPr>
          <w:lang w:val="en-GB"/>
        </w:rPr>
        <w:t>He also had difficulties sleeping after the incident</w:t>
      </w:r>
      <w:r w:rsidR="00B2338E">
        <w:rPr>
          <w:lang w:val="en-GB"/>
        </w:rPr>
        <w:t xml:space="preserve"> and his outlook towards the police had changed</w:t>
      </w:r>
      <w:r w:rsidR="00111433">
        <w:rPr>
          <w:lang w:val="en-GB"/>
        </w:rPr>
        <w:t xml:space="preserve">. </w:t>
      </w:r>
      <w:r w:rsidR="00B2338E">
        <w:rPr>
          <w:lang w:val="en-GB"/>
        </w:rPr>
        <w:t>The events were described as ‘emotionally painful’</w:t>
      </w:r>
      <w:r w:rsidR="00AB3445">
        <w:rPr>
          <w:lang w:val="en-GB"/>
        </w:rPr>
        <w:t xml:space="preserve"> but no counselling had been sought</w:t>
      </w:r>
      <w:r w:rsidR="00B2338E">
        <w:rPr>
          <w:lang w:val="en-GB"/>
        </w:rPr>
        <w:t xml:space="preserve">. </w:t>
      </w:r>
      <w:r w:rsidR="00685925">
        <w:rPr>
          <w:lang w:val="en-GB"/>
        </w:rPr>
        <w:t>The plaintiff had managed to continue with his business with full-time assistance.</w:t>
      </w:r>
    </w:p>
    <w:p w14:paraId="6520A2DF" w14:textId="77777777" w:rsidR="00D96557" w:rsidRPr="00D96557" w:rsidRDefault="00D96557" w:rsidP="00D96557">
      <w:pPr>
        <w:pStyle w:val="ListParagraph"/>
        <w:rPr>
          <w:lang w:val="en-GB"/>
        </w:rPr>
      </w:pPr>
    </w:p>
    <w:p w14:paraId="6CE2EA30" w14:textId="113DAE81" w:rsidR="0010317C" w:rsidRDefault="0010317C" w:rsidP="0020792F">
      <w:pPr>
        <w:pStyle w:val="ListParagraph"/>
        <w:numPr>
          <w:ilvl w:val="0"/>
          <w:numId w:val="10"/>
        </w:numPr>
        <w:autoSpaceDE w:val="0"/>
        <w:autoSpaceDN w:val="0"/>
        <w:adjustRightInd w:val="0"/>
        <w:ind w:left="142" w:hanging="142"/>
        <w:jc w:val="both"/>
        <w:rPr>
          <w:lang w:val="en-GB"/>
        </w:rPr>
      </w:pPr>
      <w:r>
        <w:rPr>
          <w:lang w:val="en-GB"/>
        </w:rPr>
        <w:t>Under cross-examination, the plaintiff testified that he had been scared when he saw the vehicle outside his bedroom window and heard the rough knock on the door. He thought the door was going to be broken but had not asked who was outside. He was shocked</w:t>
      </w:r>
      <w:r w:rsidR="00173A86">
        <w:rPr>
          <w:lang w:val="en-GB"/>
        </w:rPr>
        <w:t xml:space="preserve"> and scared</w:t>
      </w:r>
      <w:r>
        <w:rPr>
          <w:lang w:val="en-GB"/>
        </w:rPr>
        <w:t xml:space="preserve"> when his arms were pulled back</w:t>
      </w:r>
      <w:r w:rsidR="00066B84">
        <w:rPr>
          <w:lang w:val="en-GB"/>
        </w:rPr>
        <w:t xml:space="preserve">, </w:t>
      </w:r>
      <w:r>
        <w:rPr>
          <w:lang w:val="en-GB"/>
        </w:rPr>
        <w:t>he was handcuffed</w:t>
      </w:r>
      <w:r w:rsidR="00066B84">
        <w:rPr>
          <w:lang w:val="en-GB"/>
        </w:rPr>
        <w:t xml:space="preserve"> and subsequently assaulted</w:t>
      </w:r>
      <w:r w:rsidR="00CE2081">
        <w:rPr>
          <w:lang w:val="en-GB"/>
        </w:rPr>
        <w:t xml:space="preserve"> by the person he would later identify as Mvunyiswa</w:t>
      </w:r>
      <w:r w:rsidR="004144B8">
        <w:rPr>
          <w:lang w:val="en-GB"/>
        </w:rPr>
        <w:t>.</w:t>
      </w:r>
    </w:p>
    <w:p w14:paraId="7E8E9A79" w14:textId="77777777" w:rsidR="00033801" w:rsidRPr="00033801" w:rsidRDefault="00033801" w:rsidP="00033801">
      <w:pPr>
        <w:pStyle w:val="ListParagraph"/>
        <w:rPr>
          <w:lang w:val="en-GB"/>
        </w:rPr>
      </w:pPr>
    </w:p>
    <w:p w14:paraId="670DD837" w14:textId="23A6CD2E" w:rsidR="00D46D16" w:rsidRDefault="00E22D04" w:rsidP="0020792F">
      <w:pPr>
        <w:pStyle w:val="ListParagraph"/>
        <w:numPr>
          <w:ilvl w:val="0"/>
          <w:numId w:val="10"/>
        </w:numPr>
        <w:autoSpaceDE w:val="0"/>
        <w:autoSpaceDN w:val="0"/>
        <w:adjustRightInd w:val="0"/>
        <w:ind w:left="142" w:hanging="142"/>
        <w:jc w:val="both"/>
        <w:rPr>
          <w:lang w:val="en-GB"/>
        </w:rPr>
      </w:pPr>
      <w:r>
        <w:rPr>
          <w:lang w:val="en-GB"/>
        </w:rPr>
        <w:t xml:space="preserve">The plaintiff disputed </w:t>
      </w:r>
      <w:r w:rsidR="00FE1B41">
        <w:rPr>
          <w:lang w:val="en-GB"/>
        </w:rPr>
        <w:t>t</w:t>
      </w:r>
      <w:r w:rsidR="00D46D16">
        <w:rPr>
          <w:lang w:val="en-GB"/>
        </w:rPr>
        <w:t>h</w:t>
      </w:r>
      <w:r w:rsidR="00FE1B41">
        <w:rPr>
          <w:lang w:val="en-GB"/>
        </w:rPr>
        <w:t>e</w:t>
      </w:r>
      <w:r>
        <w:rPr>
          <w:lang w:val="en-GB"/>
        </w:rPr>
        <w:t xml:space="preserve"> part of his statement to IPID </w:t>
      </w:r>
      <w:r w:rsidR="00FE1B41">
        <w:rPr>
          <w:lang w:val="en-GB"/>
        </w:rPr>
        <w:t>stating that he would not be able to identify the other two police officials. He had only been asked two questions</w:t>
      </w:r>
      <w:r w:rsidR="002263BF">
        <w:rPr>
          <w:lang w:val="en-GB"/>
        </w:rPr>
        <w:t>. The rest of the statement had been based on information taken from the docket.</w:t>
      </w:r>
      <w:r w:rsidR="00FE1B41">
        <w:rPr>
          <w:lang w:val="en-GB"/>
        </w:rPr>
        <w:t xml:space="preserve"> </w:t>
      </w:r>
      <w:r w:rsidR="002263BF">
        <w:rPr>
          <w:lang w:val="en-GB"/>
        </w:rPr>
        <w:t>The plaintiff had, however, signed the statement. His highest level of education was grade 11.</w:t>
      </w:r>
    </w:p>
    <w:p w14:paraId="192CA6AD" w14:textId="77777777" w:rsidR="00D46D16" w:rsidRPr="00D46D16" w:rsidRDefault="00D46D16" w:rsidP="00D46D16">
      <w:pPr>
        <w:pStyle w:val="ListParagraph"/>
        <w:rPr>
          <w:lang w:val="en-GB"/>
        </w:rPr>
      </w:pPr>
    </w:p>
    <w:p w14:paraId="583F14D8" w14:textId="782AA367" w:rsidR="0010317C" w:rsidRDefault="0022115B" w:rsidP="00316DE9">
      <w:pPr>
        <w:pStyle w:val="ListParagraph"/>
        <w:numPr>
          <w:ilvl w:val="0"/>
          <w:numId w:val="10"/>
        </w:numPr>
        <w:autoSpaceDE w:val="0"/>
        <w:autoSpaceDN w:val="0"/>
        <w:adjustRightInd w:val="0"/>
        <w:ind w:left="142" w:hanging="142"/>
        <w:jc w:val="both"/>
        <w:rPr>
          <w:lang w:val="en-GB"/>
        </w:rPr>
      </w:pPr>
      <w:r>
        <w:rPr>
          <w:lang w:val="en-GB"/>
        </w:rPr>
        <w:t xml:space="preserve">The plaintiff accepted that the SAPS register at Ngqeleni indicated that Mvunyiswa had not been on duty on the day of the incident. He </w:t>
      </w:r>
      <w:r w:rsidR="006E04E2">
        <w:rPr>
          <w:lang w:val="en-GB"/>
        </w:rPr>
        <w:t xml:space="preserve">steadfastly </w:t>
      </w:r>
      <w:r>
        <w:rPr>
          <w:lang w:val="en-GB"/>
        </w:rPr>
        <w:t xml:space="preserve">maintained that </w:t>
      </w:r>
      <w:r w:rsidR="002E542C">
        <w:rPr>
          <w:lang w:val="en-GB"/>
        </w:rPr>
        <w:t>Mvunyiswa had been at his home and assaulted him between 23h00 and approximately 01h15</w:t>
      </w:r>
      <w:r w:rsidR="00D52DC7">
        <w:rPr>
          <w:lang w:val="en-GB"/>
        </w:rPr>
        <w:t xml:space="preserve">. </w:t>
      </w:r>
      <w:r w:rsidR="004E7582">
        <w:rPr>
          <w:lang w:val="en-GB"/>
        </w:rPr>
        <w:t xml:space="preserve">When </w:t>
      </w:r>
      <w:r w:rsidR="00750378">
        <w:rPr>
          <w:lang w:val="en-GB"/>
        </w:rPr>
        <w:t>the plaintiff</w:t>
      </w:r>
      <w:r w:rsidR="004E7582">
        <w:rPr>
          <w:lang w:val="en-GB"/>
        </w:rPr>
        <w:t xml:space="preserve"> had been weakened by the assault, </w:t>
      </w:r>
      <w:r w:rsidR="00D52DC7">
        <w:rPr>
          <w:lang w:val="en-GB"/>
        </w:rPr>
        <w:t xml:space="preserve">Mvunyiswa had told the others to take off his handcuffs as he was to be </w:t>
      </w:r>
      <w:r w:rsidR="00B3228F">
        <w:rPr>
          <w:lang w:val="en-GB"/>
        </w:rPr>
        <w:t xml:space="preserve">arrested. </w:t>
      </w:r>
      <w:r w:rsidR="005455F4">
        <w:rPr>
          <w:lang w:val="en-GB"/>
        </w:rPr>
        <w:t>He had then gone to the van. The plaintiff’s</w:t>
      </w:r>
      <w:r w:rsidR="00B3228F">
        <w:rPr>
          <w:lang w:val="en-GB"/>
        </w:rPr>
        <w:t xml:space="preserve"> hands had swollen but he had managed to change his trousers and shoes </w:t>
      </w:r>
      <w:r w:rsidR="005455F4">
        <w:rPr>
          <w:lang w:val="en-GB"/>
        </w:rPr>
        <w:t>before following the other two outside</w:t>
      </w:r>
      <w:r w:rsidR="00820384">
        <w:rPr>
          <w:lang w:val="en-GB"/>
        </w:rPr>
        <w:t xml:space="preserve"> to the van. </w:t>
      </w:r>
      <w:r w:rsidR="00990295">
        <w:rPr>
          <w:lang w:val="en-GB"/>
        </w:rPr>
        <w:t>He had observed that it was a police van based on the writing on the vehicle</w:t>
      </w:r>
      <w:r w:rsidR="00205F27">
        <w:rPr>
          <w:lang w:val="en-GB"/>
        </w:rPr>
        <w:t>, but had not seen the registration number.</w:t>
      </w:r>
      <w:r w:rsidR="008F52C5">
        <w:rPr>
          <w:lang w:val="en-GB"/>
        </w:rPr>
        <w:t xml:space="preserve"> When told to open the van and enter, the plaintiff had indicated that he was unable to do so</w:t>
      </w:r>
      <w:r w:rsidR="00917B9E">
        <w:rPr>
          <w:lang w:val="en-GB"/>
        </w:rPr>
        <w:t xml:space="preserve"> and asked them to open it for him. </w:t>
      </w:r>
      <w:r w:rsidR="00566502">
        <w:rPr>
          <w:lang w:val="en-GB"/>
        </w:rPr>
        <w:t>He had then been left behind and told to go to bed.</w:t>
      </w:r>
    </w:p>
    <w:p w14:paraId="12718B4D" w14:textId="24F2B49C" w:rsidR="003C5DAB" w:rsidRDefault="003C5DAB" w:rsidP="00316DE9">
      <w:pPr>
        <w:autoSpaceDE w:val="0"/>
        <w:autoSpaceDN w:val="0"/>
        <w:adjustRightInd w:val="0"/>
        <w:jc w:val="both"/>
        <w:rPr>
          <w:lang w:val="en-GB"/>
        </w:rPr>
      </w:pPr>
    </w:p>
    <w:p w14:paraId="0E079AFE" w14:textId="54D1BF57" w:rsidR="003C5DAB" w:rsidRDefault="003C5DAB" w:rsidP="00316DE9">
      <w:pPr>
        <w:autoSpaceDE w:val="0"/>
        <w:autoSpaceDN w:val="0"/>
        <w:adjustRightInd w:val="0"/>
        <w:jc w:val="both"/>
        <w:rPr>
          <w:lang w:val="en-GB"/>
        </w:rPr>
      </w:pPr>
    </w:p>
    <w:p w14:paraId="0DA647DF" w14:textId="3F1FF2A1" w:rsidR="003C5DAB" w:rsidRDefault="003C5DAB" w:rsidP="00316DE9">
      <w:pPr>
        <w:autoSpaceDE w:val="0"/>
        <w:autoSpaceDN w:val="0"/>
        <w:adjustRightInd w:val="0"/>
        <w:jc w:val="both"/>
        <w:rPr>
          <w:lang w:val="en-GB"/>
        </w:rPr>
      </w:pPr>
    </w:p>
    <w:p w14:paraId="47ABE24E" w14:textId="77777777" w:rsidR="003C5DAB" w:rsidRDefault="003C5DAB" w:rsidP="00316DE9">
      <w:pPr>
        <w:autoSpaceDE w:val="0"/>
        <w:autoSpaceDN w:val="0"/>
        <w:adjustRightInd w:val="0"/>
        <w:jc w:val="both"/>
        <w:rPr>
          <w:lang w:val="en-GB"/>
        </w:rPr>
      </w:pPr>
    </w:p>
    <w:p w14:paraId="513A0B1F" w14:textId="2195C2C1" w:rsidR="00C14F06" w:rsidRDefault="00C14F06" w:rsidP="00316DE9">
      <w:pPr>
        <w:autoSpaceDE w:val="0"/>
        <w:autoSpaceDN w:val="0"/>
        <w:adjustRightInd w:val="0"/>
        <w:jc w:val="both"/>
        <w:rPr>
          <w:b/>
          <w:bCs/>
          <w:lang w:val="en-GB"/>
        </w:rPr>
      </w:pPr>
      <w:r>
        <w:rPr>
          <w:b/>
          <w:bCs/>
          <w:lang w:val="en-GB"/>
        </w:rPr>
        <w:lastRenderedPageBreak/>
        <w:t>The defendant’s case</w:t>
      </w:r>
    </w:p>
    <w:p w14:paraId="095D334B" w14:textId="77777777" w:rsidR="006547ED" w:rsidRPr="00C14F06" w:rsidRDefault="006547ED" w:rsidP="00316DE9">
      <w:pPr>
        <w:autoSpaceDE w:val="0"/>
        <w:autoSpaceDN w:val="0"/>
        <w:adjustRightInd w:val="0"/>
        <w:jc w:val="both"/>
        <w:rPr>
          <w:b/>
          <w:bCs/>
          <w:lang w:val="en-GB"/>
        </w:rPr>
      </w:pPr>
    </w:p>
    <w:p w14:paraId="51BD07D3" w14:textId="40D62D50" w:rsidR="003A6ECC" w:rsidRDefault="003A6ECC" w:rsidP="0020792F">
      <w:pPr>
        <w:pStyle w:val="ListParagraph"/>
        <w:numPr>
          <w:ilvl w:val="0"/>
          <w:numId w:val="10"/>
        </w:numPr>
        <w:autoSpaceDE w:val="0"/>
        <w:autoSpaceDN w:val="0"/>
        <w:adjustRightInd w:val="0"/>
        <w:ind w:left="142" w:hanging="142"/>
        <w:jc w:val="both"/>
        <w:rPr>
          <w:lang w:val="en-GB"/>
        </w:rPr>
      </w:pPr>
      <w:r>
        <w:rPr>
          <w:lang w:val="en-GB"/>
        </w:rPr>
        <w:t xml:space="preserve">Mvunyiswa testified that he was a police sergeant. He had been a constable during 2018. He </w:t>
      </w:r>
      <w:r w:rsidR="00DD1B45">
        <w:rPr>
          <w:lang w:val="en-GB"/>
        </w:rPr>
        <w:t xml:space="preserve">repeatedly </w:t>
      </w:r>
      <w:r>
        <w:rPr>
          <w:lang w:val="en-GB"/>
        </w:rPr>
        <w:t>denied the allegations of assault. He had been at home at the time</w:t>
      </w:r>
      <w:r w:rsidR="00906E88">
        <w:rPr>
          <w:lang w:val="en-GB"/>
        </w:rPr>
        <w:t>, far away from the plaintiff’s home</w:t>
      </w:r>
      <w:r>
        <w:rPr>
          <w:lang w:val="en-GB"/>
        </w:rPr>
        <w:t xml:space="preserve"> and off-duty.</w:t>
      </w:r>
      <w:r w:rsidR="00906E88">
        <w:rPr>
          <w:lang w:val="en-GB"/>
        </w:rPr>
        <w:t xml:space="preserve"> </w:t>
      </w:r>
    </w:p>
    <w:p w14:paraId="5BE2061D" w14:textId="77777777" w:rsidR="003A6ECC" w:rsidRPr="003A6ECC" w:rsidRDefault="003A6ECC" w:rsidP="003A6ECC">
      <w:pPr>
        <w:pStyle w:val="ListParagraph"/>
        <w:rPr>
          <w:lang w:val="en-GB"/>
        </w:rPr>
      </w:pPr>
    </w:p>
    <w:p w14:paraId="44489704" w14:textId="35FA5B67" w:rsidR="003A6ECC" w:rsidRDefault="00906E88" w:rsidP="0020792F">
      <w:pPr>
        <w:pStyle w:val="ListParagraph"/>
        <w:numPr>
          <w:ilvl w:val="0"/>
          <w:numId w:val="10"/>
        </w:numPr>
        <w:autoSpaceDE w:val="0"/>
        <w:autoSpaceDN w:val="0"/>
        <w:adjustRightInd w:val="0"/>
        <w:ind w:left="142" w:hanging="142"/>
        <w:jc w:val="both"/>
        <w:rPr>
          <w:lang w:val="en-GB"/>
        </w:rPr>
      </w:pPr>
      <w:r>
        <w:rPr>
          <w:lang w:val="en-GB"/>
        </w:rPr>
        <w:t>The witness explained the proper protocol if the police had decided to pursue an operation</w:t>
      </w:r>
      <w:r w:rsidR="007C6B03">
        <w:rPr>
          <w:lang w:val="en-GB"/>
        </w:rPr>
        <w:t xml:space="preserve">, with reference to the applicable SAP </w:t>
      </w:r>
      <w:r w:rsidR="00463456">
        <w:rPr>
          <w:lang w:val="en-GB"/>
        </w:rPr>
        <w:t>books</w:t>
      </w:r>
      <w:r w:rsidR="00AA50E0">
        <w:rPr>
          <w:lang w:val="en-GB"/>
        </w:rPr>
        <w:t>. Such an operation would have to be approved by the commander.</w:t>
      </w:r>
      <w:r w:rsidR="00C818FF">
        <w:rPr>
          <w:lang w:val="en-GB"/>
        </w:rPr>
        <w:t xml:space="preserve"> No SAP 15 </w:t>
      </w:r>
      <w:r w:rsidR="00574EC3">
        <w:rPr>
          <w:lang w:val="en-GB"/>
        </w:rPr>
        <w:t>book</w:t>
      </w:r>
      <w:r w:rsidR="00C818FF">
        <w:rPr>
          <w:lang w:val="en-GB"/>
        </w:rPr>
        <w:t xml:space="preserve"> was available. That </w:t>
      </w:r>
      <w:r w:rsidR="003B5806">
        <w:rPr>
          <w:lang w:val="en-GB"/>
        </w:rPr>
        <w:t>document</w:t>
      </w:r>
      <w:r w:rsidR="00C818FF">
        <w:rPr>
          <w:lang w:val="en-GB"/>
        </w:rPr>
        <w:t xml:space="preserve"> would have contained the duties for the day</w:t>
      </w:r>
      <w:r w:rsidR="00585055">
        <w:rPr>
          <w:lang w:val="en-GB"/>
        </w:rPr>
        <w:t>, including the persal number, surname and initial of the person and whether they would be a driver or crew</w:t>
      </w:r>
      <w:r w:rsidR="00C818FF">
        <w:rPr>
          <w:lang w:val="en-GB"/>
        </w:rPr>
        <w:t>.</w:t>
      </w:r>
      <w:r w:rsidR="002B3021">
        <w:rPr>
          <w:lang w:val="en-GB"/>
        </w:rPr>
        <w:t xml:space="preserve"> From the SAP 10 </w:t>
      </w:r>
      <w:r w:rsidR="0053292F">
        <w:rPr>
          <w:lang w:val="en-GB"/>
        </w:rPr>
        <w:t>book</w:t>
      </w:r>
      <w:r w:rsidR="002B3021">
        <w:rPr>
          <w:lang w:val="en-GB"/>
        </w:rPr>
        <w:t xml:space="preserve"> it was clear that there was no scheduled operation on the night in question. The witness was off-duty and his name would not appear on that form.</w:t>
      </w:r>
      <w:r w:rsidR="00954BAF">
        <w:rPr>
          <w:lang w:val="en-GB"/>
        </w:rPr>
        <w:t xml:space="preserve"> </w:t>
      </w:r>
    </w:p>
    <w:p w14:paraId="4280691D" w14:textId="77777777" w:rsidR="004601C6" w:rsidRPr="004601C6" w:rsidRDefault="004601C6" w:rsidP="004601C6">
      <w:pPr>
        <w:pStyle w:val="ListParagraph"/>
        <w:rPr>
          <w:lang w:val="en-GB"/>
        </w:rPr>
      </w:pPr>
    </w:p>
    <w:p w14:paraId="76DE200C" w14:textId="6FD7FD30" w:rsidR="004601C6" w:rsidRDefault="004601C6" w:rsidP="0020792F">
      <w:pPr>
        <w:pStyle w:val="ListParagraph"/>
        <w:numPr>
          <w:ilvl w:val="0"/>
          <w:numId w:val="10"/>
        </w:numPr>
        <w:autoSpaceDE w:val="0"/>
        <w:autoSpaceDN w:val="0"/>
        <w:adjustRightInd w:val="0"/>
        <w:ind w:left="142" w:hanging="142"/>
        <w:jc w:val="both"/>
        <w:rPr>
          <w:lang w:val="en-GB"/>
        </w:rPr>
      </w:pPr>
      <w:r>
        <w:rPr>
          <w:lang w:val="en-GB"/>
        </w:rPr>
        <w:t>Mvunyiswa explained the procedure for signing out a large firearm. This would be written in the SAP 10 by the commander and signed</w:t>
      </w:r>
      <w:r w:rsidR="005249C3">
        <w:rPr>
          <w:lang w:val="en-GB"/>
        </w:rPr>
        <w:t xml:space="preserve"> </w:t>
      </w:r>
      <w:r w:rsidR="006F447C">
        <w:rPr>
          <w:lang w:val="en-GB"/>
        </w:rPr>
        <w:t>out.</w:t>
      </w:r>
      <w:r w:rsidR="00DC1482">
        <w:rPr>
          <w:lang w:val="en-GB"/>
        </w:rPr>
        <w:t xml:space="preserve"> </w:t>
      </w:r>
      <w:r w:rsidR="00F94D41">
        <w:rPr>
          <w:lang w:val="en-GB"/>
        </w:rPr>
        <w:t>An off</w:t>
      </w:r>
      <w:r w:rsidR="00585055">
        <w:rPr>
          <w:lang w:val="en-GB"/>
        </w:rPr>
        <w:t>-</w:t>
      </w:r>
      <w:r w:rsidR="00F94D41">
        <w:rPr>
          <w:lang w:val="en-GB"/>
        </w:rPr>
        <w:t xml:space="preserve">duty officer would never be given permission to carry a rifle. </w:t>
      </w:r>
      <w:r w:rsidR="0044311E">
        <w:rPr>
          <w:lang w:val="en-GB"/>
        </w:rPr>
        <w:t>Police</w:t>
      </w:r>
      <w:r w:rsidR="00DC1482">
        <w:rPr>
          <w:lang w:val="en-GB"/>
        </w:rPr>
        <w:t xml:space="preserve"> officer</w:t>
      </w:r>
      <w:r w:rsidR="0044311E">
        <w:rPr>
          <w:lang w:val="en-GB"/>
        </w:rPr>
        <w:t>s</w:t>
      </w:r>
      <w:r w:rsidR="00DC1482">
        <w:rPr>
          <w:lang w:val="en-GB"/>
        </w:rPr>
        <w:t xml:space="preserve"> not in uniform </w:t>
      </w:r>
      <w:r w:rsidR="0044311E">
        <w:rPr>
          <w:lang w:val="en-GB"/>
        </w:rPr>
        <w:t>were</w:t>
      </w:r>
      <w:r w:rsidR="00DC1482">
        <w:rPr>
          <w:lang w:val="en-GB"/>
        </w:rPr>
        <w:t xml:space="preserve"> not permitted to wear a police vest, unless they were working with investigations. In that case the colour of the bullet vest would be </w:t>
      </w:r>
      <w:r w:rsidR="00ED18DA">
        <w:rPr>
          <w:lang w:val="en-GB"/>
        </w:rPr>
        <w:t>a different colour.</w:t>
      </w:r>
      <w:r w:rsidR="00C921DA">
        <w:rPr>
          <w:lang w:val="en-GB"/>
        </w:rPr>
        <w:t xml:space="preserve"> Any authorised operation would involve officers in full uniform.</w:t>
      </w:r>
      <w:r w:rsidR="0044311E">
        <w:rPr>
          <w:lang w:val="en-GB"/>
        </w:rPr>
        <w:t xml:space="preserve"> </w:t>
      </w:r>
      <w:r w:rsidR="00F11916">
        <w:rPr>
          <w:lang w:val="en-GB"/>
        </w:rPr>
        <w:t>It was not permitted for an off-duty police officer to wear a bullet vest.</w:t>
      </w:r>
      <w:r w:rsidR="0087026F">
        <w:rPr>
          <w:lang w:val="en-GB"/>
        </w:rPr>
        <w:t xml:space="preserve"> These vests were, however, given to police officers to keep and would contain an infantry number for tracing purposes.</w:t>
      </w:r>
    </w:p>
    <w:p w14:paraId="2FD6430E" w14:textId="77777777" w:rsidR="003A6ECC" w:rsidRPr="003A6ECC" w:rsidRDefault="003A6ECC" w:rsidP="003A6ECC">
      <w:pPr>
        <w:pStyle w:val="ListParagraph"/>
        <w:rPr>
          <w:lang w:val="en-GB"/>
        </w:rPr>
      </w:pPr>
    </w:p>
    <w:p w14:paraId="25B6104F" w14:textId="2CFC5969" w:rsidR="00D05C71" w:rsidRDefault="00D05C71" w:rsidP="0020792F">
      <w:pPr>
        <w:pStyle w:val="ListParagraph"/>
        <w:numPr>
          <w:ilvl w:val="0"/>
          <w:numId w:val="10"/>
        </w:numPr>
        <w:autoSpaceDE w:val="0"/>
        <w:autoSpaceDN w:val="0"/>
        <w:adjustRightInd w:val="0"/>
        <w:ind w:left="142" w:hanging="142"/>
        <w:jc w:val="both"/>
        <w:rPr>
          <w:lang w:val="en-GB"/>
        </w:rPr>
      </w:pPr>
      <w:r>
        <w:rPr>
          <w:lang w:val="en-GB"/>
        </w:rPr>
        <w:t>The witness testified that he could not have handcuffed the plaintiff as his handcuffs were not working at the time. A bakkie canopy had fallen and the cuffs he had been issued had twisted and would not work. In any even</w:t>
      </w:r>
      <w:r w:rsidR="00A54990">
        <w:rPr>
          <w:lang w:val="en-GB"/>
        </w:rPr>
        <w:t>t</w:t>
      </w:r>
      <w:r>
        <w:rPr>
          <w:lang w:val="en-GB"/>
        </w:rPr>
        <w:t>, he was not at the place of the assault on the day it was alleged to have occurred.</w:t>
      </w:r>
      <w:r w:rsidR="00A54990">
        <w:rPr>
          <w:lang w:val="en-GB"/>
        </w:rPr>
        <w:t xml:space="preserve"> The matter had been investigated by Mr Ndlovu from IPID</w:t>
      </w:r>
      <w:r w:rsidR="00AF645A">
        <w:rPr>
          <w:lang w:val="en-GB"/>
        </w:rPr>
        <w:t xml:space="preserve"> and he had made a statement denying the allegations.</w:t>
      </w:r>
    </w:p>
    <w:p w14:paraId="3675FAA8" w14:textId="77777777" w:rsidR="0000369F" w:rsidRPr="0000369F" w:rsidRDefault="0000369F" w:rsidP="0000369F">
      <w:pPr>
        <w:pStyle w:val="ListParagraph"/>
        <w:rPr>
          <w:lang w:val="en-GB"/>
        </w:rPr>
      </w:pPr>
    </w:p>
    <w:p w14:paraId="67FED673" w14:textId="3920162F" w:rsidR="0000369F" w:rsidRDefault="0000369F" w:rsidP="0020792F">
      <w:pPr>
        <w:pStyle w:val="ListParagraph"/>
        <w:numPr>
          <w:ilvl w:val="0"/>
          <w:numId w:val="10"/>
        </w:numPr>
        <w:autoSpaceDE w:val="0"/>
        <w:autoSpaceDN w:val="0"/>
        <w:adjustRightInd w:val="0"/>
        <w:ind w:left="142" w:hanging="142"/>
        <w:jc w:val="both"/>
        <w:rPr>
          <w:lang w:val="en-GB"/>
        </w:rPr>
      </w:pPr>
      <w:r>
        <w:rPr>
          <w:lang w:val="en-GB"/>
        </w:rPr>
        <w:t>Mvunyiswa admitted knowing the plaintiff from the tyre repair centre where he worked.</w:t>
      </w:r>
      <w:r w:rsidR="00F541CE">
        <w:rPr>
          <w:lang w:val="en-GB"/>
        </w:rPr>
        <w:t xml:space="preserve"> He suggested that his </w:t>
      </w:r>
      <w:r w:rsidR="00D11750">
        <w:rPr>
          <w:lang w:val="en-GB"/>
        </w:rPr>
        <w:t xml:space="preserve">own </w:t>
      </w:r>
      <w:r w:rsidR="00F541CE">
        <w:rPr>
          <w:lang w:val="en-GB"/>
        </w:rPr>
        <w:t xml:space="preserve">work with crime prevention in </w:t>
      </w:r>
      <w:r w:rsidR="00FD20B0">
        <w:rPr>
          <w:lang w:val="en-GB"/>
        </w:rPr>
        <w:t>N</w:t>
      </w:r>
      <w:r w:rsidR="00F541CE" w:rsidRPr="00FD20B0">
        <w:rPr>
          <w:lang w:val="en-GB"/>
        </w:rPr>
        <w:t>g</w:t>
      </w:r>
      <w:r w:rsidR="00FD20B0" w:rsidRPr="00FD20B0">
        <w:rPr>
          <w:lang w:val="en-GB"/>
        </w:rPr>
        <w:t>q</w:t>
      </w:r>
      <w:r w:rsidR="00F541CE" w:rsidRPr="00FD20B0">
        <w:rPr>
          <w:lang w:val="en-GB"/>
        </w:rPr>
        <w:t>eleni</w:t>
      </w:r>
      <w:r w:rsidR="00F541CE">
        <w:rPr>
          <w:lang w:val="en-GB"/>
        </w:rPr>
        <w:t xml:space="preserve"> might have caused the false allegation. He had once been part of a search of people sitting close to the plaintiff’s place of work that had resulted in confiscation of knives. The </w:t>
      </w:r>
      <w:r w:rsidR="00F541CE">
        <w:rPr>
          <w:lang w:val="en-GB"/>
        </w:rPr>
        <w:lastRenderedPageBreak/>
        <w:t xml:space="preserve">plaintiff had claimed that he used the knife for his work, even though he had been seated </w:t>
      </w:r>
      <w:r w:rsidR="005D53E5">
        <w:rPr>
          <w:lang w:val="en-GB"/>
        </w:rPr>
        <w:t xml:space="preserve">with other people </w:t>
      </w:r>
      <w:r w:rsidR="00F541CE">
        <w:rPr>
          <w:lang w:val="en-GB"/>
        </w:rPr>
        <w:t>close to a house some distance away from the tyre repair centre. Mvuny</w:t>
      </w:r>
      <w:r w:rsidR="00691CAC">
        <w:rPr>
          <w:lang w:val="en-GB"/>
        </w:rPr>
        <w:t>iswa</w:t>
      </w:r>
      <w:r w:rsidR="00F541CE">
        <w:rPr>
          <w:lang w:val="en-GB"/>
        </w:rPr>
        <w:t xml:space="preserve"> had advised him that he </w:t>
      </w:r>
      <w:r w:rsidR="00B56E5F">
        <w:rPr>
          <w:lang w:val="en-GB"/>
        </w:rPr>
        <w:t>could not claim to use the knife for work when he was not actually at the workplace</w:t>
      </w:r>
      <w:r w:rsidR="00D9332F">
        <w:rPr>
          <w:lang w:val="en-GB"/>
        </w:rPr>
        <w:t>, but seated next to th</w:t>
      </w:r>
      <w:r w:rsidR="009E5BC1">
        <w:rPr>
          <w:lang w:val="en-GB"/>
        </w:rPr>
        <w:t>is</w:t>
      </w:r>
      <w:r w:rsidR="00D9332F">
        <w:rPr>
          <w:lang w:val="en-GB"/>
        </w:rPr>
        <w:t xml:space="preserve"> house. </w:t>
      </w:r>
      <w:r w:rsidR="00000637">
        <w:rPr>
          <w:lang w:val="en-GB"/>
        </w:rPr>
        <w:t>The confiscation of the knives had not been well-received</w:t>
      </w:r>
      <w:r w:rsidR="00921F98">
        <w:rPr>
          <w:lang w:val="en-GB"/>
        </w:rPr>
        <w:t xml:space="preserve"> by the civilians present.</w:t>
      </w:r>
    </w:p>
    <w:p w14:paraId="549C699C" w14:textId="77777777" w:rsidR="00D05C71" w:rsidRPr="00D05C71" w:rsidRDefault="00D05C71" w:rsidP="00D05C71">
      <w:pPr>
        <w:pStyle w:val="ListParagraph"/>
        <w:rPr>
          <w:lang w:val="en-GB"/>
        </w:rPr>
      </w:pPr>
    </w:p>
    <w:p w14:paraId="61602A04" w14:textId="193CCBF9" w:rsidR="005467AB" w:rsidRDefault="005467AB" w:rsidP="0020792F">
      <w:pPr>
        <w:pStyle w:val="ListParagraph"/>
        <w:numPr>
          <w:ilvl w:val="0"/>
          <w:numId w:val="10"/>
        </w:numPr>
        <w:autoSpaceDE w:val="0"/>
        <w:autoSpaceDN w:val="0"/>
        <w:adjustRightInd w:val="0"/>
        <w:ind w:left="142" w:hanging="142"/>
        <w:jc w:val="both"/>
        <w:rPr>
          <w:lang w:val="en-GB"/>
        </w:rPr>
      </w:pPr>
      <w:r>
        <w:rPr>
          <w:lang w:val="en-GB"/>
        </w:rPr>
        <w:t>During cross-examination, Mvunyiswa explained the purpose of a pocket book. No pocket books had been included in the trial bundle.</w:t>
      </w:r>
      <w:r w:rsidR="00511482">
        <w:rPr>
          <w:lang w:val="en-GB"/>
        </w:rPr>
        <w:t xml:space="preserve"> The </w:t>
      </w:r>
      <w:r w:rsidR="00B278D1">
        <w:rPr>
          <w:lang w:val="en-GB"/>
        </w:rPr>
        <w:t xml:space="preserve">senior IPID </w:t>
      </w:r>
      <w:r w:rsidR="00511482">
        <w:rPr>
          <w:lang w:val="en-GB"/>
        </w:rPr>
        <w:t>investigating officer</w:t>
      </w:r>
      <w:r w:rsidR="00B278D1">
        <w:rPr>
          <w:lang w:val="en-GB"/>
        </w:rPr>
        <w:t xml:space="preserve"> had made mention of a ‘SAPS register at Ngqeleni</w:t>
      </w:r>
      <w:r w:rsidR="00B64DE1">
        <w:rPr>
          <w:lang w:val="en-GB"/>
        </w:rPr>
        <w:t>’ when confirming that Mvunyiswa had not been on duty.</w:t>
      </w:r>
      <w:r w:rsidR="00DB227A">
        <w:rPr>
          <w:lang w:val="en-GB"/>
        </w:rPr>
        <w:t xml:space="preserve"> This would likely refer to the SAP 10 and 15 books.</w:t>
      </w:r>
      <w:r w:rsidR="00C674A2">
        <w:rPr>
          <w:lang w:val="en-GB"/>
        </w:rPr>
        <w:t xml:space="preserve"> The entries in those books had to be considered together. The commander might, for example, have indicated in the SAP 10 that all members of ‘Relief C’ were present</w:t>
      </w:r>
      <w:r w:rsidR="00FA1459">
        <w:rPr>
          <w:lang w:val="en-GB"/>
        </w:rPr>
        <w:t xml:space="preserve"> and on duty that evening</w:t>
      </w:r>
      <w:r w:rsidR="00C674A2">
        <w:rPr>
          <w:lang w:val="en-GB"/>
        </w:rPr>
        <w:t>. Those names would appear on the SAP 15.</w:t>
      </w:r>
    </w:p>
    <w:p w14:paraId="0D43B755" w14:textId="77777777" w:rsidR="00C674A2" w:rsidRPr="00C674A2" w:rsidRDefault="00C674A2" w:rsidP="00C674A2">
      <w:pPr>
        <w:pStyle w:val="ListParagraph"/>
        <w:rPr>
          <w:lang w:val="en-GB"/>
        </w:rPr>
      </w:pPr>
    </w:p>
    <w:p w14:paraId="5A691B28" w14:textId="2AF31971" w:rsidR="00C674A2" w:rsidRDefault="00507B00" w:rsidP="0020792F">
      <w:pPr>
        <w:pStyle w:val="ListParagraph"/>
        <w:numPr>
          <w:ilvl w:val="0"/>
          <w:numId w:val="10"/>
        </w:numPr>
        <w:autoSpaceDE w:val="0"/>
        <w:autoSpaceDN w:val="0"/>
        <w:adjustRightInd w:val="0"/>
        <w:ind w:left="142" w:hanging="142"/>
        <w:jc w:val="both"/>
        <w:rPr>
          <w:lang w:val="en-GB"/>
        </w:rPr>
      </w:pPr>
      <w:r>
        <w:rPr>
          <w:lang w:val="en-GB"/>
        </w:rPr>
        <w:t>The documentation available did not reflect the police commander or relief commander on the day in question.</w:t>
      </w:r>
      <w:r w:rsidR="00541535">
        <w:rPr>
          <w:lang w:val="en-GB"/>
        </w:rPr>
        <w:t xml:space="preserve"> As to rifles, these had handles and must be held on the side of the body, pointing down. Police-issue rifles often did not have slings.</w:t>
      </w:r>
      <w:r w:rsidR="00281634">
        <w:rPr>
          <w:lang w:val="en-GB"/>
        </w:rPr>
        <w:t xml:space="preserve"> When a firearm was requested, the commander would make an entry in the SAP 10. The </w:t>
      </w:r>
      <w:r w:rsidR="00EF1B1F">
        <w:rPr>
          <w:lang w:val="en-GB"/>
        </w:rPr>
        <w:t>occurrence book</w:t>
      </w:r>
      <w:r w:rsidR="00281634">
        <w:rPr>
          <w:lang w:val="en-GB"/>
        </w:rPr>
        <w:t xml:space="preserve"> serial number, contained in that book, </w:t>
      </w:r>
      <w:r w:rsidR="0013129F">
        <w:rPr>
          <w:lang w:val="en-GB"/>
        </w:rPr>
        <w:t>would</w:t>
      </w:r>
      <w:r w:rsidR="00281634">
        <w:rPr>
          <w:lang w:val="en-GB"/>
        </w:rPr>
        <w:t xml:space="preserve"> be required for the firearm register. The commander would counter-sign before the weapon was handed over </w:t>
      </w:r>
      <w:r w:rsidR="006131F6">
        <w:rPr>
          <w:lang w:val="en-GB"/>
        </w:rPr>
        <w:t xml:space="preserve">to </w:t>
      </w:r>
      <w:r w:rsidR="00281634">
        <w:rPr>
          <w:lang w:val="en-GB"/>
        </w:rPr>
        <w:t>the police officer concerned.</w:t>
      </w:r>
      <w:r w:rsidR="00903857">
        <w:rPr>
          <w:lang w:val="en-GB"/>
        </w:rPr>
        <w:t xml:space="preserve"> The witness explained that the entries contained in the copies of the SAP 10 </w:t>
      </w:r>
      <w:r w:rsidR="0088277F">
        <w:rPr>
          <w:lang w:val="en-GB"/>
        </w:rPr>
        <w:t>include</w:t>
      </w:r>
      <w:r w:rsidR="007C0CF9">
        <w:rPr>
          <w:lang w:val="en-GB"/>
        </w:rPr>
        <w:t>d</w:t>
      </w:r>
      <w:r w:rsidR="00903857">
        <w:rPr>
          <w:lang w:val="en-GB"/>
        </w:rPr>
        <w:t xml:space="preserve"> in the bundle should be read with the occurrence book register, but that that register </w:t>
      </w:r>
      <w:r w:rsidR="00260475">
        <w:rPr>
          <w:lang w:val="en-GB"/>
        </w:rPr>
        <w:t>had</w:t>
      </w:r>
      <w:r w:rsidR="00903857">
        <w:rPr>
          <w:lang w:val="en-GB"/>
        </w:rPr>
        <w:t xml:space="preserve"> not </w:t>
      </w:r>
      <w:r w:rsidR="00260475">
        <w:rPr>
          <w:lang w:val="en-GB"/>
        </w:rPr>
        <w:t>been i</w:t>
      </w:r>
      <w:r w:rsidR="00903857">
        <w:rPr>
          <w:lang w:val="en-GB"/>
        </w:rPr>
        <w:t>ncluded</w:t>
      </w:r>
      <w:r w:rsidR="00CA427B">
        <w:rPr>
          <w:lang w:val="en-GB"/>
        </w:rPr>
        <w:t xml:space="preserve"> as part of the discovered documentation</w:t>
      </w:r>
      <w:r w:rsidR="00903857">
        <w:rPr>
          <w:lang w:val="en-GB"/>
        </w:rPr>
        <w:t>.</w:t>
      </w:r>
    </w:p>
    <w:p w14:paraId="75FE9BBF" w14:textId="77777777" w:rsidR="00FD08DF" w:rsidRPr="00FD08DF" w:rsidRDefault="00FD08DF" w:rsidP="00FD08DF">
      <w:pPr>
        <w:pStyle w:val="ListParagraph"/>
        <w:rPr>
          <w:lang w:val="en-GB"/>
        </w:rPr>
      </w:pPr>
    </w:p>
    <w:p w14:paraId="3C286D87" w14:textId="17C9AF1E" w:rsidR="00FD08DF" w:rsidRDefault="00FD08DF" w:rsidP="0020792F">
      <w:pPr>
        <w:pStyle w:val="ListParagraph"/>
        <w:numPr>
          <w:ilvl w:val="0"/>
          <w:numId w:val="10"/>
        </w:numPr>
        <w:autoSpaceDE w:val="0"/>
        <w:autoSpaceDN w:val="0"/>
        <w:adjustRightInd w:val="0"/>
        <w:ind w:left="142" w:hanging="142"/>
        <w:jc w:val="both"/>
        <w:rPr>
          <w:lang w:val="en-GB"/>
        </w:rPr>
      </w:pPr>
      <w:r>
        <w:rPr>
          <w:lang w:val="en-GB"/>
        </w:rPr>
        <w:t xml:space="preserve">The SAP 10 reflected </w:t>
      </w:r>
      <w:r w:rsidR="004D1A60">
        <w:rPr>
          <w:lang w:val="en-GB"/>
        </w:rPr>
        <w:t>those firearms that</w:t>
      </w:r>
      <w:r>
        <w:rPr>
          <w:lang w:val="en-GB"/>
        </w:rPr>
        <w:t xml:space="preserve"> had been booked out at 18h32 to C</w:t>
      </w:r>
      <w:r w:rsidR="00C135BC">
        <w:rPr>
          <w:lang w:val="en-GB"/>
        </w:rPr>
        <w:t>st</w:t>
      </w:r>
      <w:r>
        <w:rPr>
          <w:lang w:val="en-GB"/>
        </w:rPr>
        <w:t xml:space="preserve"> Madyibi, Adam and Ntaka. </w:t>
      </w:r>
      <w:r w:rsidR="006B109D">
        <w:rPr>
          <w:lang w:val="en-GB"/>
        </w:rPr>
        <w:t>These could be either their personal firearms, which might have been kept at the station for safe-keeping, or separate state-issued firearms.</w:t>
      </w:r>
      <w:r w:rsidR="00C135BC">
        <w:rPr>
          <w:lang w:val="en-GB"/>
        </w:rPr>
        <w:t xml:space="preserve"> </w:t>
      </w:r>
      <w:r w:rsidR="009D3750">
        <w:rPr>
          <w:lang w:val="en-GB"/>
        </w:rPr>
        <w:t xml:space="preserve">The SAP 10 reflected that </w:t>
      </w:r>
      <w:r w:rsidR="00C135BC">
        <w:rPr>
          <w:lang w:val="en-GB"/>
        </w:rPr>
        <w:t xml:space="preserve">Cst Madyibi had booked out a motor vehicle with Sgt Ceba </w:t>
      </w:r>
      <w:r w:rsidR="009155F3">
        <w:rPr>
          <w:lang w:val="en-GB"/>
        </w:rPr>
        <w:t xml:space="preserve">at 19h00 </w:t>
      </w:r>
      <w:r w:rsidR="00C135BC">
        <w:rPr>
          <w:lang w:val="en-GB"/>
        </w:rPr>
        <w:t xml:space="preserve">in order to patrol around the Ngqeleni </w:t>
      </w:r>
      <w:r w:rsidR="00D00FE0">
        <w:rPr>
          <w:lang w:val="en-GB"/>
        </w:rPr>
        <w:t>central business district</w:t>
      </w:r>
      <w:r w:rsidR="00C135BC">
        <w:rPr>
          <w:lang w:val="en-GB"/>
        </w:rPr>
        <w:t xml:space="preserve"> and surroundings.</w:t>
      </w:r>
      <w:r w:rsidR="00010FDD">
        <w:rPr>
          <w:lang w:val="en-GB"/>
        </w:rPr>
        <w:t xml:space="preserve"> It is evident from the document that Ceba and Madyibi </w:t>
      </w:r>
      <w:r w:rsidR="00CC74B8">
        <w:rPr>
          <w:lang w:val="en-GB"/>
        </w:rPr>
        <w:t xml:space="preserve">only </w:t>
      </w:r>
      <w:r w:rsidR="00010FDD">
        <w:rPr>
          <w:lang w:val="en-GB"/>
        </w:rPr>
        <w:t>concluded their patrol and booked the vehicle back at 04h45</w:t>
      </w:r>
      <w:r w:rsidR="00543CFF">
        <w:rPr>
          <w:lang w:val="en-GB"/>
        </w:rPr>
        <w:t>, and that the vehicle was inspected at that time by Captain Mfono.</w:t>
      </w:r>
      <w:r w:rsidR="00425D84">
        <w:rPr>
          <w:lang w:val="en-GB"/>
        </w:rPr>
        <w:t xml:space="preserve"> The firearms signed out by Madyibi, Adam and Ntaka were not reflected in the list of firearms signed </w:t>
      </w:r>
      <w:r w:rsidR="00B71994">
        <w:rPr>
          <w:lang w:val="en-GB"/>
        </w:rPr>
        <w:t>in at 05h35</w:t>
      </w:r>
      <w:r w:rsidR="00C4465E">
        <w:rPr>
          <w:lang w:val="en-GB"/>
        </w:rPr>
        <w:t xml:space="preserve">. Various rifles, all starting </w:t>
      </w:r>
      <w:r w:rsidR="00C4465E">
        <w:rPr>
          <w:lang w:val="en-GB"/>
        </w:rPr>
        <w:lastRenderedPageBreak/>
        <w:t xml:space="preserve">with reference numbers ‘354…’ were </w:t>
      </w:r>
      <w:r w:rsidR="009D21DC">
        <w:rPr>
          <w:lang w:val="en-GB"/>
        </w:rPr>
        <w:t>noted</w:t>
      </w:r>
      <w:r w:rsidR="00C4465E">
        <w:rPr>
          <w:lang w:val="en-GB"/>
        </w:rPr>
        <w:t xml:space="preserve">. </w:t>
      </w:r>
      <w:r w:rsidR="00977ECE">
        <w:rPr>
          <w:lang w:val="en-GB"/>
        </w:rPr>
        <w:t xml:space="preserve"> The witness indicated that not every rifle necessarily was numbered with that number.</w:t>
      </w:r>
      <w:r w:rsidR="007A431D">
        <w:rPr>
          <w:lang w:val="en-GB"/>
        </w:rPr>
        <w:t xml:space="preserve"> </w:t>
      </w:r>
      <w:r w:rsidR="001932C2">
        <w:rPr>
          <w:lang w:val="en-GB"/>
        </w:rPr>
        <w:t>One of the firearms signed out by Madyibi, Adam and Ntaka at 18h32 had a reference number commencing with ‘354…’</w:t>
      </w:r>
      <w:r w:rsidR="00D519F6">
        <w:rPr>
          <w:lang w:val="en-GB"/>
        </w:rPr>
        <w:t xml:space="preserve"> and the witness accepted that this would have been a rifle.</w:t>
      </w:r>
    </w:p>
    <w:p w14:paraId="4190CF29" w14:textId="77777777" w:rsidR="0010309D" w:rsidRPr="0010309D" w:rsidRDefault="0010309D" w:rsidP="0010309D">
      <w:pPr>
        <w:pStyle w:val="ListParagraph"/>
        <w:rPr>
          <w:lang w:val="en-GB"/>
        </w:rPr>
      </w:pPr>
    </w:p>
    <w:p w14:paraId="67B2631A" w14:textId="02BFE2C8" w:rsidR="0010309D" w:rsidRDefault="0010309D" w:rsidP="0020792F">
      <w:pPr>
        <w:pStyle w:val="ListParagraph"/>
        <w:numPr>
          <w:ilvl w:val="0"/>
          <w:numId w:val="10"/>
        </w:numPr>
        <w:autoSpaceDE w:val="0"/>
        <w:autoSpaceDN w:val="0"/>
        <w:adjustRightInd w:val="0"/>
        <w:ind w:left="142" w:hanging="142"/>
        <w:jc w:val="both"/>
        <w:rPr>
          <w:lang w:val="en-GB"/>
        </w:rPr>
      </w:pPr>
      <w:r>
        <w:rPr>
          <w:lang w:val="en-GB"/>
        </w:rPr>
        <w:t xml:space="preserve">The witness confirmed that </w:t>
      </w:r>
      <w:r w:rsidR="00195749">
        <w:rPr>
          <w:lang w:val="en-GB"/>
        </w:rPr>
        <w:t>his handcuffs, uniform and issued bullet vest were kept at his home.</w:t>
      </w:r>
      <w:r w:rsidR="0037357C">
        <w:rPr>
          <w:lang w:val="en-GB"/>
        </w:rPr>
        <w:t xml:space="preserve"> The handcuffs were definitely broken throughout 2018, and were replaced only during the past year.</w:t>
      </w:r>
      <w:r w:rsidR="00E22D5D">
        <w:rPr>
          <w:lang w:val="en-GB"/>
        </w:rPr>
        <w:t xml:space="preserve"> When arresting somebody he would typically use the handcuffs of a colleague</w:t>
      </w:r>
      <w:r w:rsidR="00571FD3">
        <w:rPr>
          <w:lang w:val="en-GB"/>
        </w:rPr>
        <w:t>, but this was infrequent.</w:t>
      </w:r>
      <w:r w:rsidR="00674A3A">
        <w:rPr>
          <w:lang w:val="en-GB"/>
        </w:rPr>
        <w:t xml:space="preserve"> When confronted with the pictures demonstrating the plaintiff’s injuries, the witness stated that he had never seen marks of this nature caused by handcuffs</w:t>
      </w:r>
      <w:r w:rsidR="004265EF">
        <w:rPr>
          <w:lang w:val="en-GB"/>
        </w:rPr>
        <w:t>, even those that had been secured very tightly.</w:t>
      </w:r>
      <w:r w:rsidR="00D9012E">
        <w:rPr>
          <w:lang w:val="en-GB"/>
        </w:rPr>
        <w:t xml:space="preserve"> He </w:t>
      </w:r>
      <w:r w:rsidR="00AF244D">
        <w:rPr>
          <w:lang w:val="en-GB"/>
        </w:rPr>
        <w:t>maintained</w:t>
      </w:r>
      <w:r w:rsidR="00D9012E">
        <w:rPr>
          <w:lang w:val="en-GB"/>
        </w:rPr>
        <w:t xml:space="preserve"> that it was possible for rope to have caused such marks</w:t>
      </w:r>
      <w:r w:rsidR="007202C1">
        <w:rPr>
          <w:lang w:val="en-GB"/>
        </w:rPr>
        <w:t>. While he accepted that handcuffs could be tightened, he was unconvinced that they could cause such injuries.</w:t>
      </w:r>
      <w:r w:rsidR="0099122F">
        <w:rPr>
          <w:lang w:val="en-GB"/>
        </w:rPr>
        <w:t xml:space="preserve"> </w:t>
      </w:r>
      <w:r w:rsidR="001C19C1">
        <w:rPr>
          <w:lang w:val="en-GB"/>
        </w:rPr>
        <w:t>He acknowledged that it was possible for a</w:t>
      </w:r>
      <w:r w:rsidR="00DF795C">
        <w:rPr>
          <w:lang w:val="en-GB"/>
        </w:rPr>
        <w:t>n off-duty</w:t>
      </w:r>
      <w:r w:rsidR="001C19C1">
        <w:rPr>
          <w:lang w:val="en-GB"/>
        </w:rPr>
        <w:t xml:space="preserve"> police officer to commit acts of misconduct without his name appearing in the SAP </w:t>
      </w:r>
      <w:r w:rsidR="00DF795C">
        <w:rPr>
          <w:lang w:val="en-GB"/>
        </w:rPr>
        <w:t xml:space="preserve">records. </w:t>
      </w:r>
      <w:r w:rsidR="006024CE">
        <w:rPr>
          <w:lang w:val="en-GB"/>
        </w:rPr>
        <w:t>Being off-duty, that person’s name would simply not appear in the documentation</w:t>
      </w:r>
      <w:r w:rsidR="00943BAA">
        <w:rPr>
          <w:lang w:val="en-GB"/>
        </w:rPr>
        <w:t xml:space="preserve"> for the day in question</w:t>
      </w:r>
      <w:r w:rsidR="006024CE">
        <w:rPr>
          <w:lang w:val="en-GB"/>
        </w:rPr>
        <w:t>.</w:t>
      </w:r>
    </w:p>
    <w:p w14:paraId="178B7480" w14:textId="77777777" w:rsidR="00F8563E" w:rsidRPr="00F8563E" w:rsidRDefault="00F8563E" w:rsidP="00F8563E">
      <w:pPr>
        <w:pStyle w:val="ListParagraph"/>
        <w:rPr>
          <w:lang w:val="en-GB"/>
        </w:rPr>
      </w:pPr>
    </w:p>
    <w:p w14:paraId="1259BBEF" w14:textId="442E1B79" w:rsidR="00F8563E" w:rsidRDefault="00422891" w:rsidP="0020792F">
      <w:pPr>
        <w:pStyle w:val="ListParagraph"/>
        <w:numPr>
          <w:ilvl w:val="0"/>
          <w:numId w:val="10"/>
        </w:numPr>
        <w:autoSpaceDE w:val="0"/>
        <w:autoSpaceDN w:val="0"/>
        <w:adjustRightInd w:val="0"/>
        <w:ind w:left="142" w:hanging="142"/>
        <w:jc w:val="both"/>
        <w:rPr>
          <w:lang w:val="en-GB"/>
        </w:rPr>
      </w:pPr>
      <w:r>
        <w:rPr>
          <w:lang w:val="en-GB"/>
        </w:rPr>
        <w:t>In response to questions from the court</w:t>
      </w:r>
      <w:r w:rsidR="00F8563E">
        <w:rPr>
          <w:lang w:val="en-GB"/>
        </w:rPr>
        <w:t>, Mvunyiswa</w:t>
      </w:r>
      <w:r w:rsidR="00AD4F9A">
        <w:rPr>
          <w:lang w:val="en-GB"/>
        </w:rPr>
        <w:t xml:space="preserve"> stated that his navy bullet vest, containing the inscription ‘Police’, did not fit him during 2018. </w:t>
      </w:r>
      <w:r w:rsidR="00BA7138">
        <w:rPr>
          <w:lang w:val="en-GB"/>
        </w:rPr>
        <w:t>Only recently had he received a vest that fitted him, following the retirement of a colleague.</w:t>
      </w:r>
      <w:r w:rsidR="0023313B">
        <w:rPr>
          <w:lang w:val="en-GB"/>
        </w:rPr>
        <w:t xml:space="preserve"> He testified that he lived more than 45 km away from work</w:t>
      </w:r>
      <w:r w:rsidR="00AA7732">
        <w:rPr>
          <w:lang w:val="en-GB"/>
        </w:rPr>
        <w:t xml:space="preserve"> and did not see his colleagues when off-duty.</w:t>
      </w:r>
      <w:r w:rsidR="00BE49E8">
        <w:rPr>
          <w:lang w:val="en-GB"/>
        </w:rPr>
        <w:t xml:space="preserve"> His vehicle would be parked at the police station in Mthatha and police transport would take him to work. He had </w:t>
      </w:r>
      <w:r w:rsidR="00AF7BDE">
        <w:rPr>
          <w:lang w:val="en-GB"/>
        </w:rPr>
        <w:t xml:space="preserve">checked his records following the IPID enquiries and ascertained that he had </w:t>
      </w:r>
      <w:r w:rsidR="00BE49E8">
        <w:rPr>
          <w:lang w:val="en-GB"/>
        </w:rPr>
        <w:t>been off</w:t>
      </w:r>
      <w:r w:rsidR="007053FA">
        <w:rPr>
          <w:lang w:val="en-GB"/>
        </w:rPr>
        <w:t>-</w:t>
      </w:r>
      <w:r w:rsidR="00BE49E8">
        <w:rPr>
          <w:lang w:val="en-GB"/>
        </w:rPr>
        <w:t>duty at the time</w:t>
      </w:r>
      <w:r w:rsidR="007053FA">
        <w:rPr>
          <w:lang w:val="en-GB"/>
        </w:rPr>
        <w:t xml:space="preserve"> for a period of four days.</w:t>
      </w:r>
      <w:r w:rsidR="00472B03">
        <w:rPr>
          <w:lang w:val="en-GB"/>
        </w:rPr>
        <w:t xml:space="preserve"> </w:t>
      </w:r>
    </w:p>
    <w:p w14:paraId="08B9D6B8" w14:textId="47A95610" w:rsidR="00674A3A" w:rsidRDefault="00674A3A" w:rsidP="0099602F">
      <w:pPr>
        <w:rPr>
          <w:lang w:val="en-GB"/>
        </w:rPr>
      </w:pPr>
    </w:p>
    <w:p w14:paraId="46578931" w14:textId="64C68ED4" w:rsidR="0099602F" w:rsidRDefault="0099602F" w:rsidP="0099602F">
      <w:pPr>
        <w:rPr>
          <w:b/>
          <w:bCs/>
          <w:lang w:val="en-GB"/>
        </w:rPr>
      </w:pPr>
      <w:r>
        <w:rPr>
          <w:b/>
          <w:bCs/>
          <w:lang w:val="en-GB"/>
        </w:rPr>
        <w:t>Analysis</w:t>
      </w:r>
    </w:p>
    <w:p w14:paraId="30623E26" w14:textId="77777777" w:rsidR="0099602F" w:rsidRPr="0099602F" w:rsidRDefault="0099602F" w:rsidP="0099602F">
      <w:pPr>
        <w:rPr>
          <w:b/>
          <w:bCs/>
          <w:lang w:val="en-GB"/>
        </w:rPr>
      </w:pPr>
    </w:p>
    <w:p w14:paraId="213927C1" w14:textId="6866D0A3" w:rsidR="00034321" w:rsidRDefault="00794832" w:rsidP="005F77C7">
      <w:pPr>
        <w:pStyle w:val="ListParagraph"/>
        <w:numPr>
          <w:ilvl w:val="0"/>
          <w:numId w:val="10"/>
        </w:numPr>
        <w:autoSpaceDE w:val="0"/>
        <w:autoSpaceDN w:val="0"/>
        <w:adjustRightInd w:val="0"/>
        <w:ind w:left="142" w:hanging="142"/>
        <w:jc w:val="both"/>
        <w:rPr>
          <w:lang w:val="en-GB"/>
        </w:rPr>
      </w:pPr>
      <w:r w:rsidRPr="00C8409D">
        <w:rPr>
          <w:lang w:val="en-GB"/>
        </w:rPr>
        <w:t>Two irreconcilable versions have been placed before court</w:t>
      </w:r>
      <w:r w:rsidR="00C80E02">
        <w:rPr>
          <w:lang w:val="en-GB"/>
        </w:rPr>
        <w:t>, the defendant</w:t>
      </w:r>
      <w:r w:rsidR="005D2EFF">
        <w:rPr>
          <w:lang w:val="en-GB"/>
        </w:rPr>
        <w:t xml:space="preserve">’s plea constituting </w:t>
      </w:r>
      <w:r w:rsidR="00C80E02">
        <w:rPr>
          <w:lang w:val="en-GB"/>
        </w:rPr>
        <w:t xml:space="preserve">a bare denial. </w:t>
      </w:r>
      <w:r w:rsidRPr="00C8409D">
        <w:rPr>
          <w:lang w:val="en-GB"/>
        </w:rPr>
        <w:t>To arrive at an outcome, findings must be made on the credibility of the factual witnesses, their reliability and the probabilities</w:t>
      </w:r>
      <w:r w:rsidR="00C51190" w:rsidRPr="00C8409D">
        <w:rPr>
          <w:lang w:val="en-GB"/>
        </w:rPr>
        <w:t xml:space="preserve">, applying the approach detailed in </w:t>
      </w:r>
      <w:r w:rsidR="00034321">
        <w:rPr>
          <w:lang w:val="en-GB"/>
        </w:rPr>
        <w:t xml:space="preserve">cases such as </w:t>
      </w:r>
      <w:r w:rsidR="00C51190" w:rsidRPr="00C8409D">
        <w:rPr>
          <w:i/>
          <w:iCs/>
          <w:lang w:val="en-GB"/>
        </w:rPr>
        <w:t xml:space="preserve">Stellenbosch Farmers’ Winery Group Ltd and </w:t>
      </w:r>
      <w:r w:rsidR="00C51190" w:rsidRPr="00C8409D">
        <w:rPr>
          <w:i/>
          <w:iCs/>
          <w:lang w:val="en-GB"/>
        </w:rPr>
        <w:lastRenderedPageBreak/>
        <w:t>Another v Martell et Cie and Others</w:t>
      </w:r>
      <w:r w:rsidR="004147EA">
        <w:rPr>
          <w:i/>
          <w:iCs/>
          <w:lang w:val="en-GB"/>
        </w:rPr>
        <w:t xml:space="preserve"> </w:t>
      </w:r>
      <w:r w:rsidR="004147EA">
        <w:rPr>
          <w:lang w:val="en-GB"/>
        </w:rPr>
        <w:t>(‘</w:t>
      </w:r>
      <w:r w:rsidR="004147EA">
        <w:rPr>
          <w:i/>
          <w:iCs/>
          <w:lang w:val="en-GB"/>
        </w:rPr>
        <w:t>Stellenbosch Farmers’ Winery</w:t>
      </w:r>
      <w:r w:rsidR="004C65D2">
        <w:rPr>
          <w:lang w:val="en-GB"/>
        </w:rPr>
        <w:t>’</w:t>
      </w:r>
      <w:r w:rsidR="004147EA">
        <w:rPr>
          <w:lang w:val="en-GB"/>
        </w:rPr>
        <w:t>)</w:t>
      </w:r>
      <w:r w:rsidR="00C51190">
        <w:rPr>
          <w:rStyle w:val="FootnoteReference"/>
          <w:lang w:val="en-GB"/>
        </w:rPr>
        <w:footnoteReference w:id="1"/>
      </w:r>
      <w:r w:rsidR="00C41DC6">
        <w:rPr>
          <w:lang w:val="en-GB"/>
        </w:rPr>
        <w:t xml:space="preserve"> and </w:t>
      </w:r>
      <w:r w:rsidR="00F23229">
        <w:rPr>
          <w:i/>
          <w:iCs/>
          <w:lang w:val="en-GB"/>
        </w:rPr>
        <w:t>Dreyer and another NNO v AXZS Industries (Pty) Ltd</w:t>
      </w:r>
      <w:r w:rsidR="00F23229">
        <w:rPr>
          <w:lang w:val="en-GB"/>
        </w:rPr>
        <w:t>.</w:t>
      </w:r>
      <w:r w:rsidR="00F23229">
        <w:rPr>
          <w:rStyle w:val="FootnoteReference"/>
          <w:lang w:val="en-GB"/>
        </w:rPr>
        <w:footnoteReference w:id="2"/>
      </w:r>
      <w:r w:rsidR="00E83342" w:rsidRPr="00C8409D">
        <w:rPr>
          <w:lang w:val="en-GB"/>
        </w:rPr>
        <w:t xml:space="preserve"> </w:t>
      </w:r>
    </w:p>
    <w:p w14:paraId="072AD8AB" w14:textId="77777777" w:rsidR="00034321" w:rsidRDefault="00034321" w:rsidP="00034321">
      <w:pPr>
        <w:pStyle w:val="ListParagraph"/>
        <w:autoSpaceDE w:val="0"/>
        <w:autoSpaceDN w:val="0"/>
        <w:adjustRightInd w:val="0"/>
        <w:ind w:left="142"/>
        <w:jc w:val="both"/>
        <w:rPr>
          <w:lang w:val="en-GB"/>
        </w:rPr>
      </w:pPr>
    </w:p>
    <w:p w14:paraId="27EE07F8" w14:textId="034C690A" w:rsidR="008A6632" w:rsidRDefault="00E83342" w:rsidP="005F77C7">
      <w:pPr>
        <w:pStyle w:val="ListParagraph"/>
        <w:numPr>
          <w:ilvl w:val="0"/>
          <w:numId w:val="10"/>
        </w:numPr>
        <w:autoSpaceDE w:val="0"/>
        <w:autoSpaceDN w:val="0"/>
        <w:adjustRightInd w:val="0"/>
        <w:ind w:left="142" w:hanging="142"/>
        <w:jc w:val="both"/>
        <w:rPr>
          <w:lang w:val="en-GB"/>
        </w:rPr>
      </w:pPr>
      <w:r w:rsidRPr="00C8409D">
        <w:rPr>
          <w:lang w:val="en-GB"/>
        </w:rPr>
        <w:t xml:space="preserve">The plaintiff made a generally favourable impression in the witness box. </w:t>
      </w:r>
      <w:r w:rsidR="00450C7D" w:rsidRPr="00C8409D">
        <w:rPr>
          <w:lang w:val="en-GB"/>
        </w:rPr>
        <w:t>His testimony was, on the whole, measured and convincing</w:t>
      </w:r>
      <w:r w:rsidR="00D646E1">
        <w:rPr>
          <w:lang w:val="en-GB"/>
        </w:rPr>
        <w:t>, and supported by the photographs and medical report</w:t>
      </w:r>
      <w:r w:rsidR="00450C7D" w:rsidRPr="00C8409D">
        <w:rPr>
          <w:lang w:val="en-GB"/>
        </w:rPr>
        <w:t xml:space="preserve">. </w:t>
      </w:r>
      <w:r w:rsidR="00AF2319" w:rsidRPr="00C8409D">
        <w:rPr>
          <w:lang w:val="en-GB"/>
        </w:rPr>
        <w:t xml:space="preserve">I appreciate that </w:t>
      </w:r>
      <w:r w:rsidR="001653B1" w:rsidRPr="00C8409D">
        <w:rPr>
          <w:lang w:val="en-GB"/>
        </w:rPr>
        <w:t xml:space="preserve">there was the potential of bias in his narrative, given that the outcome of his claim for damages rested on his performance as a witness. </w:t>
      </w:r>
      <w:r w:rsidR="00E96CE7">
        <w:rPr>
          <w:lang w:val="en-GB"/>
        </w:rPr>
        <w:t xml:space="preserve">But this concern was ameliorated by the clear manner of his testimony, which did not seek to exaggerate his experience or injuries. </w:t>
      </w:r>
      <w:r w:rsidR="007E3166" w:rsidRPr="00C8409D">
        <w:rPr>
          <w:lang w:val="en-GB"/>
        </w:rPr>
        <w:t xml:space="preserve">The major </w:t>
      </w:r>
      <w:r w:rsidR="00C90514" w:rsidRPr="00C8409D">
        <w:rPr>
          <w:lang w:val="en-GB"/>
        </w:rPr>
        <w:t>external</w:t>
      </w:r>
      <w:r w:rsidR="007E3166" w:rsidRPr="00C8409D">
        <w:rPr>
          <w:lang w:val="en-GB"/>
        </w:rPr>
        <w:t xml:space="preserve"> contradiction in his evidence </w:t>
      </w:r>
      <w:r w:rsidR="00004B23" w:rsidRPr="00C8409D">
        <w:rPr>
          <w:lang w:val="en-GB"/>
        </w:rPr>
        <w:t xml:space="preserve">related to his ability to identify any of the uniformed police officers he alleges entered his home. </w:t>
      </w:r>
      <w:r w:rsidR="008B038B" w:rsidRPr="00C8409D">
        <w:rPr>
          <w:lang w:val="en-GB"/>
        </w:rPr>
        <w:t>His signed statement submitted to IPID suggested that he could not identify either of these men, yet he testified that Yolwa had subsequently been identified with the assistance of his aunt and social media.</w:t>
      </w:r>
      <w:r w:rsidR="00E375F0" w:rsidRPr="00C8409D">
        <w:rPr>
          <w:lang w:val="en-GB"/>
        </w:rPr>
        <w:t xml:space="preserve"> </w:t>
      </w:r>
      <w:r w:rsidR="001A6EBC" w:rsidRPr="00C8409D">
        <w:rPr>
          <w:lang w:val="en-GB"/>
        </w:rPr>
        <w:t>His recollection of events was good and his explanation for identifying Mvunyiswa plausible</w:t>
      </w:r>
      <w:r w:rsidR="00D815C5" w:rsidRPr="00C8409D">
        <w:rPr>
          <w:lang w:val="en-GB"/>
        </w:rPr>
        <w:t xml:space="preserve">, particularly considering that Mvunyiswa acknowledged having noted </w:t>
      </w:r>
      <w:r w:rsidR="006F15C3">
        <w:rPr>
          <w:lang w:val="en-GB"/>
        </w:rPr>
        <w:t>his presence</w:t>
      </w:r>
      <w:r w:rsidR="00D815C5" w:rsidRPr="00C8409D">
        <w:rPr>
          <w:lang w:val="en-GB"/>
        </w:rPr>
        <w:t xml:space="preserve"> during the incident </w:t>
      </w:r>
      <w:r w:rsidR="00705B21">
        <w:rPr>
          <w:lang w:val="en-GB"/>
        </w:rPr>
        <w:t xml:space="preserve">that occurred </w:t>
      </w:r>
      <w:r w:rsidR="00D815C5" w:rsidRPr="00C8409D">
        <w:rPr>
          <w:lang w:val="en-GB"/>
        </w:rPr>
        <w:t>at the plaintiff’s workplace.</w:t>
      </w:r>
      <w:r w:rsidR="00E7447A">
        <w:rPr>
          <w:lang w:val="en-GB"/>
        </w:rPr>
        <w:t xml:space="preserve"> It is also apparent that </w:t>
      </w:r>
      <w:r w:rsidR="00404AB8">
        <w:rPr>
          <w:lang w:val="en-GB"/>
        </w:rPr>
        <w:t>the plaintiff</w:t>
      </w:r>
      <w:r w:rsidR="00E7447A">
        <w:rPr>
          <w:lang w:val="en-GB"/>
        </w:rPr>
        <w:t xml:space="preserve"> had gone to some lengths to lay charges at the time of the incident, and in travelling to the clinic, hospital and police station to seek assistance</w:t>
      </w:r>
      <w:r w:rsidR="000D1507">
        <w:rPr>
          <w:lang w:val="en-GB"/>
        </w:rPr>
        <w:t xml:space="preserve"> and to lay a charge</w:t>
      </w:r>
      <w:r w:rsidR="00E7447A">
        <w:rPr>
          <w:lang w:val="en-GB"/>
        </w:rPr>
        <w:t>.</w:t>
      </w:r>
      <w:r w:rsidR="0068052A">
        <w:rPr>
          <w:lang w:val="en-GB"/>
        </w:rPr>
        <w:t xml:space="preserve"> </w:t>
      </w:r>
      <w:r w:rsidR="000D1507">
        <w:rPr>
          <w:lang w:val="en-GB"/>
        </w:rPr>
        <w:t>This is consistent with his version of events and an ordeal at the hands of the police.</w:t>
      </w:r>
    </w:p>
    <w:p w14:paraId="522CA9AA" w14:textId="77777777" w:rsidR="00C8409D" w:rsidRPr="00C8409D" w:rsidRDefault="00C8409D" w:rsidP="00C8409D">
      <w:pPr>
        <w:pStyle w:val="ListParagraph"/>
        <w:autoSpaceDE w:val="0"/>
        <w:autoSpaceDN w:val="0"/>
        <w:adjustRightInd w:val="0"/>
        <w:ind w:left="142"/>
        <w:jc w:val="both"/>
        <w:rPr>
          <w:lang w:val="en-GB"/>
        </w:rPr>
      </w:pPr>
    </w:p>
    <w:p w14:paraId="42592DED" w14:textId="516644CF" w:rsidR="008A6632" w:rsidRDefault="008A6632" w:rsidP="0020792F">
      <w:pPr>
        <w:pStyle w:val="ListParagraph"/>
        <w:numPr>
          <w:ilvl w:val="0"/>
          <w:numId w:val="10"/>
        </w:numPr>
        <w:autoSpaceDE w:val="0"/>
        <w:autoSpaceDN w:val="0"/>
        <w:adjustRightInd w:val="0"/>
        <w:ind w:left="142" w:hanging="142"/>
        <w:jc w:val="both"/>
        <w:rPr>
          <w:lang w:val="en-GB"/>
        </w:rPr>
      </w:pPr>
      <w:r>
        <w:rPr>
          <w:lang w:val="en-GB"/>
        </w:rPr>
        <w:t xml:space="preserve">Mvunyiswa was also </w:t>
      </w:r>
      <w:r w:rsidR="006A74E2">
        <w:rPr>
          <w:lang w:val="en-GB"/>
        </w:rPr>
        <w:t>steadfast</w:t>
      </w:r>
      <w:r>
        <w:rPr>
          <w:lang w:val="en-GB"/>
        </w:rPr>
        <w:t xml:space="preserve"> under cross-examination, maintaining that he had not been anywhere near the scene of the assault and arrest as he had been off-duty.</w:t>
      </w:r>
      <w:r w:rsidR="00D90861">
        <w:rPr>
          <w:lang w:val="en-GB"/>
        </w:rPr>
        <w:t xml:space="preserve"> </w:t>
      </w:r>
      <w:r w:rsidR="00D16DF1">
        <w:rPr>
          <w:lang w:val="en-GB"/>
        </w:rPr>
        <w:t xml:space="preserve">He appeared, however, to be keen to embellish matters in order to proclaim his innocence. </w:t>
      </w:r>
      <w:r w:rsidR="009D55D5">
        <w:rPr>
          <w:lang w:val="en-GB"/>
        </w:rPr>
        <w:t xml:space="preserve">For example, he made much of his handcuffs having been broken at the time, even though it would have been a </w:t>
      </w:r>
      <w:r w:rsidR="00001084">
        <w:rPr>
          <w:lang w:val="en-GB"/>
        </w:rPr>
        <w:t xml:space="preserve">relatively </w:t>
      </w:r>
      <w:r w:rsidR="009D55D5">
        <w:rPr>
          <w:lang w:val="en-GB"/>
        </w:rPr>
        <w:t xml:space="preserve">simple matter to utilise the handcuffs of another officer. </w:t>
      </w:r>
      <w:r w:rsidR="00884722">
        <w:rPr>
          <w:lang w:val="en-GB"/>
        </w:rPr>
        <w:t>He only mentioned</w:t>
      </w:r>
      <w:r w:rsidR="00001084">
        <w:rPr>
          <w:lang w:val="en-GB"/>
        </w:rPr>
        <w:t xml:space="preserve"> </w:t>
      </w:r>
      <w:r w:rsidR="00884722">
        <w:rPr>
          <w:lang w:val="en-GB"/>
        </w:rPr>
        <w:t>belatedly</w:t>
      </w:r>
      <w:r w:rsidR="00001084">
        <w:rPr>
          <w:lang w:val="en-GB"/>
        </w:rPr>
        <w:t xml:space="preserve"> that his bullet-vest, containing the inscription ‘Police’, did not fit him during 2018 and </w:t>
      </w:r>
      <w:r w:rsidR="00376B12">
        <w:rPr>
          <w:lang w:val="en-GB"/>
        </w:rPr>
        <w:t xml:space="preserve">that </w:t>
      </w:r>
      <w:r w:rsidR="00001084">
        <w:rPr>
          <w:lang w:val="en-GB"/>
        </w:rPr>
        <w:t xml:space="preserve">he had only recently received a vest that fitted. </w:t>
      </w:r>
      <w:r w:rsidR="00AB2DA7">
        <w:rPr>
          <w:lang w:val="en-GB"/>
        </w:rPr>
        <w:t xml:space="preserve">He refused to concede that the wrist abrasions suffered by the plaintiff could </w:t>
      </w:r>
      <w:r w:rsidR="00D52636">
        <w:rPr>
          <w:lang w:val="en-GB"/>
        </w:rPr>
        <w:t xml:space="preserve">possibly </w:t>
      </w:r>
      <w:r w:rsidR="00AB2DA7">
        <w:rPr>
          <w:lang w:val="en-GB"/>
        </w:rPr>
        <w:t>have been caused by tight handcuffs, offering instead the suggestion that those injuries might have been caused by rope.</w:t>
      </w:r>
      <w:r w:rsidR="001046DC">
        <w:rPr>
          <w:lang w:val="en-GB"/>
        </w:rPr>
        <w:t xml:space="preserve"> That </w:t>
      </w:r>
      <w:r w:rsidR="00DA7497">
        <w:rPr>
          <w:lang w:val="en-GB"/>
        </w:rPr>
        <w:lastRenderedPageBreak/>
        <w:t xml:space="preserve">outright rejection </w:t>
      </w:r>
      <w:r w:rsidR="00A069FD">
        <w:rPr>
          <w:lang w:val="en-GB"/>
        </w:rPr>
        <w:t xml:space="preserve">of the possibility of handcuffs causing the injuries </w:t>
      </w:r>
      <w:r w:rsidR="00DA7497">
        <w:rPr>
          <w:lang w:val="en-GB"/>
        </w:rPr>
        <w:t>is unwarranted</w:t>
      </w:r>
      <w:r w:rsidR="001046DC">
        <w:rPr>
          <w:lang w:val="en-GB"/>
        </w:rPr>
        <w:t xml:space="preserve"> when all the evidence, including the medical report and photographic evidence, </w:t>
      </w:r>
      <w:r w:rsidR="004F1A4A">
        <w:rPr>
          <w:lang w:val="en-GB"/>
        </w:rPr>
        <w:t>is</w:t>
      </w:r>
      <w:r w:rsidR="001046DC">
        <w:rPr>
          <w:lang w:val="en-GB"/>
        </w:rPr>
        <w:t xml:space="preserve"> considered.</w:t>
      </w:r>
      <w:r w:rsidR="00C416F0">
        <w:rPr>
          <w:lang w:val="en-GB"/>
        </w:rPr>
        <w:t xml:space="preserve"> </w:t>
      </w:r>
      <w:r w:rsidR="006A74E2">
        <w:rPr>
          <w:lang w:val="en-GB"/>
        </w:rPr>
        <w:t xml:space="preserve">Mvunyiswa’s credibility </w:t>
      </w:r>
      <w:r w:rsidR="00FB473F">
        <w:rPr>
          <w:lang w:val="en-GB"/>
        </w:rPr>
        <w:t>as a witness is further affected by</w:t>
      </w:r>
      <w:r w:rsidR="006231DF">
        <w:rPr>
          <w:lang w:val="en-GB"/>
        </w:rPr>
        <w:t xml:space="preserve"> his </w:t>
      </w:r>
      <w:r w:rsidR="00FB473F">
        <w:rPr>
          <w:lang w:val="en-GB"/>
        </w:rPr>
        <w:t xml:space="preserve">inherent </w:t>
      </w:r>
      <w:r w:rsidR="006231DF">
        <w:rPr>
          <w:lang w:val="en-GB"/>
        </w:rPr>
        <w:t>bias</w:t>
      </w:r>
      <w:r w:rsidR="00FB473F">
        <w:rPr>
          <w:lang w:val="en-GB"/>
        </w:rPr>
        <w:t xml:space="preserve"> and his deme</w:t>
      </w:r>
      <w:r w:rsidR="009917B6">
        <w:rPr>
          <w:lang w:val="en-GB"/>
        </w:rPr>
        <w:t>a</w:t>
      </w:r>
      <w:r w:rsidR="00FB473F">
        <w:rPr>
          <w:lang w:val="en-GB"/>
        </w:rPr>
        <w:t xml:space="preserve">nour </w:t>
      </w:r>
      <w:r w:rsidR="00B003DC">
        <w:rPr>
          <w:lang w:val="en-GB"/>
        </w:rPr>
        <w:t xml:space="preserve">in the witness box. </w:t>
      </w:r>
      <w:r w:rsidR="005A2975">
        <w:rPr>
          <w:lang w:val="en-GB"/>
        </w:rPr>
        <w:t>As to the former</w:t>
      </w:r>
      <w:r w:rsidR="00374FC8">
        <w:rPr>
          <w:lang w:val="en-GB"/>
        </w:rPr>
        <w:t xml:space="preserve"> consideration</w:t>
      </w:r>
      <w:r w:rsidR="005A2975">
        <w:rPr>
          <w:lang w:val="en-GB"/>
        </w:rPr>
        <w:t xml:space="preserve">, he has already been questioned by IPID and denied all allegations. There would be </w:t>
      </w:r>
      <w:r w:rsidR="00596D79">
        <w:rPr>
          <w:lang w:val="en-GB"/>
        </w:rPr>
        <w:t xml:space="preserve">serious </w:t>
      </w:r>
      <w:r w:rsidR="005A2975">
        <w:rPr>
          <w:lang w:val="en-GB"/>
        </w:rPr>
        <w:t>repercussions in the event that this court found in favour of the plaintiff. As to the latter, h</w:t>
      </w:r>
      <w:r w:rsidR="00B003DC">
        <w:rPr>
          <w:lang w:val="en-GB"/>
        </w:rPr>
        <w:t>e adopted a condescending</w:t>
      </w:r>
      <w:r w:rsidR="001C547D">
        <w:rPr>
          <w:lang w:val="en-GB"/>
        </w:rPr>
        <w:t xml:space="preserve">, somewhat </w:t>
      </w:r>
      <w:r w:rsidR="008A16A3">
        <w:rPr>
          <w:lang w:val="en-GB"/>
        </w:rPr>
        <w:t>sardonic</w:t>
      </w:r>
      <w:r w:rsidR="00B003DC">
        <w:rPr>
          <w:lang w:val="en-GB"/>
        </w:rPr>
        <w:t xml:space="preserve"> approach </w:t>
      </w:r>
      <w:r w:rsidR="008A16A3">
        <w:rPr>
          <w:lang w:val="en-GB"/>
        </w:rPr>
        <w:t xml:space="preserve">and tone </w:t>
      </w:r>
      <w:r w:rsidR="00B003DC">
        <w:rPr>
          <w:lang w:val="en-GB"/>
        </w:rPr>
        <w:t xml:space="preserve">to the </w:t>
      </w:r>
      <w:r w:rsidR="004D75E4">
        <w:rPr>
          <w:lang w:val="en-GB"/>
        </w:rPr>
        <w:t>allegations levelled against him</w:t>
      </w:r>
      <w:r w:rsidR="00241954">
        <w:rPr>
          <w:lang w:val="en-GB"/>
        </w:rPr>
        <w:t xml:space="preserve"> and his performance as a witness was not </w:t>
      </w:r>
      <w:r w:rsidR="0031564A">
        <w:rPr>
          <w:lang w:val="en-GB"/>
        </w:rPr>
        <w:t xml:space="preserve">completely </w:t>
      </w:r>
      <w:r w:rsidR="00241954">
        <w:rPr>
          <w:lang w:val="en-GB"/>
        </w:rPr>
        <w:t>convincing.</w:t>
      </w:r>
      <w:r w:rsidR="00224482">
        <w:rPr>
          <w:lang w:val="en-GB"/>
        </w:rPr>
        <w:t xml:space="preserve"> </w:t>
      </w:r>
    </w:p>
    <w:p w14:paraId="61EBBE82" w14:textId="77777777" w:rsidR="00BC35CD" w:rsidRPr="00987A07" w:rsidRDefault="00BC35CD" w:rsidP="00987A07">
      <w:pPr>
        <w:rPr>
          <w:lang w:val="en-GB"/>
        </w:rPr>
      </w:pPr>
    </w:p>
    <w:p w14:paraId="6B535758" w14:textId="1C9176F5" w:rsidR="00B43042" w:rsidRDefault="00C4124C" w:rsidP="00C8409D">
      <w:pPr>
        <w:pStyle w:val="ListParagraph"/>
        <w:numPr>
          <w:ilvl w:val="0"/>
          <w:numId w:val="10"/>
        </w:numPr>
        <w:autoSpaceDE w:val="0"/>
        <w:autoSpaceDN w:val="0"/>
        <w:adjustRightInd w:val="0"/>
        <w:ind w:left="142" w:hanging="142"/>
        <w:jc w:val="both"/>
        <w:rPr>
          <w:lang w:val="en-GB"/>
        </w:rPr>
      </w:pPr>
      <w:r>
        <w:rPr>
          <w:lang w:val="en-GB"/>
        </w:rPr>
        <w:t>Mvunyiswa’s testimony</w:t>
      </w:r>
      <w:r w:rsidR="00BC35CD">
        <w:rPr>
          <w:lang w:val="en-GB"/>
        </w:rPr>
        <w:t xml:space="preserve">, also in relation to the contents of </w:t>
      </w:r>
      <w:r>
        <w:rPr>
          <w:lang w:val="en-GB"/>
        </w:rPr>
        <w:t>the docket</w:t>
      </w:r>
      <w:r w:rsidR="007E7272">
        <w:rPr>
          <w:lang w:val="en-GB"/>
        </w:rPr>
        <w:t xml:space="preserve"> and police standard operating procedures, </w:t>
      </w:r>
      <w:r w:rsidR="00C32333">
        <w:rPr>
          <w:lang w:val="en-GB"/>
        </w:rPr>
        <w:t>contribute to the probabilities favouring the</w:t>
      </w:r>
      <w:r w:rsidR="000F3882">
        <w:rPr>
          <w:lang w:val="en-GB"/>
        </w:rPr>
        <w:t xml:space="preserve"> plaintiff’s</w:t>
      </w:r>
      <w:r>
        <w:rPr>
          <w:lang w:val="en-GB"/>
        </w:rPr>
        <w:t xml:space="preserve"> version. The docket reflects that two motor vehicles had been booked out for patrol around Ngqeleni central business district and surroundings</w:t>
      </w:r>
      <w:r w:rsidR="00AD476C">
        <w:rPr>
          <w:lang w:val="en-GB"/>
        </w:rPr>
        <w:t xml:space="preserve">. In the case of the vehicle booked out by Sgt Ceba and Cst Madyibi at 19h00, this vehicle was only booked back at 04h45 the following morning, with no report apparent from these officers </w:t>
      </w:r>
      <w:r w:rsidR="009A761C">
        <w:rPr>
          <w:lang w:val="en-GB"/>
        </w:rPr>
        <w:t xml:space="preserve">at all </w:t>
      </w:r>
      <w:r w:rsidR="00AD476C">
        <w:rPr>
          <w:lang w:val="en-GB"/>
        </w:rPr>
        <w:t>between 22h00 and this time.</w:t>
      </w:r>
      <w:r w:rsidR="004B4573">
        <w:rPr>
          <w:lang w:val="en-GB"/>
        </w:rPr>
        <w:t xml:space="preserve"> Madyibi also appears to have signed out a rifle.</w:t>
      </w:r>
      <w:r w:rsidR="0051723E">
        <w:rPr>
          <w:lang w:val="en-GB"/>
        </w:rPr>
        <w:t xml:space="preserve"> </w:t>
      </w:r>
      <w:r w:rsidR="007F071A">
        <w:rPr>
          <w:lang w:val="en-GB"/>
        </w:rPr>
        <w:t xml:space="preserve">There is no information apparent from the docket </w:t>
      </w:r>
      <w:r w:rsidR="0076294F">
        <w:rPr>
          <w:lang w:val="en-GB"/>
        </w:rPr>
        <w:t xml:space="preserve">whatsoever </w:t>
      </w:r>
      <w:r w:rsidR="007F071A">
        <w:rPr>
          <w:lang w:val="en-GB"/>
        </w:rPr>
        <w:t xml:space="preserve">as to the movements of the occupants of the other vehicle. </w:t>
      </w:r>
      <w:r w:rsidR="0051723E">
        <w:rPr>
          <w:lang w:val="en-GB"/>
        </w:rPr>
        <w:t>The docket also reflects that Mvunyiswa was not on duty, supporting the plaintiff’s version that he had not been uniformed during the assault.</w:t>
      </w:r>
      <w:r w:rsidR="00503971">
        <w:rPr>
          <w:lang w:val="en-GB"/>
        </w:rPr>
        <w:t xml:space="preserve"> </w:t>
      </w:r>
    </w:p>
    <w:p w14:paraId="774AB8E3" w14:textId="77777777" w:rsidR="00B43042" w:rsidRPr="00B43042" w:rsidRDefault="00B43042" w:rsidP="00B43042">
      <w:pPr>
        <w:pStyle w:val="ListParagraph"/>
        <w:rPr>
          <w:lang w:val="en-GB"/>
        </w:rPr>
      </w:pPr>
    </w:p>
    <w:p w14:paraId="1B50330B" w14:textId="3A8F1244" w:rsidR="00987A07" w:rsidRDefault="00987A07" w:rsidP="00987A07">
      <w:pPr>
        <w:pStyle w:val="ListParagraph"/>
        <w:numPr>
          <w:ilvl w:val="0"/>
          <w:numId w:val="10"/>
        </w:numPr>
        <w:autoSpaceDE w:val="0"/>
        <w:autoSpaceDN w:val="0"/>
        <w:adjustRightInd w:val="0"/>
        <w:ind w:left="142" w:hanging="142"/>
        <w:jc w:val="both"/>
        <w:rPr>
          <w:lang w:val="en-GB"/>
        </w:rPr>
      </w:pPr>
      <w:r>
        <w:rPr>
          <w:lang w:val="en-GB"/>
        </w:rPr>
        <w:t>Assessing the probabilities arising from the evidence presented</w:t>
      </w:r>
      <w:r w:rsidR="003F3C49">
        <w:rPr>
          <w:lang w:val="en-GB"/>
        </w:rPr>
        <w:t>,</w:t>
      </w:r>
      <w:r>
        <w:rPr>
          <w:lang w:val="en-GB"/>
        </w:rPr>
        <w:t xml:space="preserve"> in the light of my assessment of the credibility of the witnesses and the circumstances of the case</w:t>
      </w:r>
      <w:r w:rsidR="003F3C49">
        <w:rPr>
          <w:lang w:val="en-GB"/>
        </w:rPr>
        <w:t>,</w:t>
      </w:r>
      <w:r>
        <w:rPr>
          <w:lang w:val="en-GB"/>
        </w:rPr>
        <w:t xml:space="preserve"> results in the conclusion that the plaintiff’s version of events must</w:t>
      </w:r>
      <w:r w:rsidR="00080DDE">
        <w:rPr>
          <w:lang w:val="en-GB"/>
        </w:rPr>
        <w:t xml:space="preserve">, on the whole, </w:t>
      </w:r>
      <w:r>
        <w:rPr>
          <w:lang w:val="en-GB"/>
        </w:rPr>
        <w:t xml:space="preserve">be accepted. In particular, I find that he was, on balance, handcuffed and assaulted on the day in question by Mvunyiswa as alleged.  The injuries he suffered appear to be consistent with this version, as reflected by the medical report and the photographs taken approximately a week after the incident. The single inconsistency between his statement and testimony, relating to his ability to identify the other police officers present, is insufficient to tilt the balance in favour of the defendant when considered </w:t>
      </w:r>
      <w:r>
        <w:rPr>
          <w:lang w:val="en-GB"/>
        </w:rPr>
        <w:lastRenderedPageBreak/>
        <w:t>in the light of the evidence as a whole.</w:t>
      </w:r>
      <w:r w:rsidR="00777A4C">
        <w:rPr>
          <w:rStyle w:val="FootnoteReference"/>
          <w:lang w:val="en-GB"/>
        </w:rPr>
        <w:footnoteReference w:id="3"/>
      </w:r>
      <w:r>
        <w:rPr>
          <w:lang w:val="en-GB"/>
        </w:rPr>
        <w:t xml:space="preserve"> </w:t>
      </w:r>
      <w:r w:rsidR="00CA7151">
        <w:rPr>
          <w:lang w:val="en-GB"/>
        </w:rPr>
        <w:t>It remains the task of this court to consider all the evidence, to decide whether it is reliable or not and to decide whether the truth has been told, despite any shortcomings.</w:t>
      </w:r>
      <w:r w:rsidR="00390ACE">
        <w:rPr>
          <w:rStyle w:val="FootnoteReference"/>
          <w:lang w:val="en-GB"/>
        </w:rPr>
        <w:footnoteReference w:id="4"/>
      </w:r>
      <w:r w:rsidR="00CA7151">
        <w:rPr>
          <w:lang w:val="en-GB"/>
        </w:rPr>
        <w:t xml:space="preserve"> As indicated, </w:t>
      </w:r>
      <w:r>
        <w:rPr>
          <w:lang w:val="en-GB"/>
        </w:rPr>
        <w:t xml:space="preserve">I am satisfied that </w:t>
      </w:r>
      <w:r w:rsidR="00CA7151">
        <w:rPr>
          <w:lang w:val="en-GB"/>
        </w:rPr>
        <w:t>t</w:t>
      </w:r>
      <w:r>
        <w:rPr>
          <w:lang w:val="en-GB"/>
        </w:rPr>
        <w:t xml:space="preserve">he </w:t>
      </w:r>
      <w:r w:rsidR="00CA7151">
        <w:rPr>
          <w:lang w:val="en-GB"/>
        </w:rPr>
        <w:t xml:space="preserve">plaintiff </w:t>
      </w:r>
      <w:r>
        <w:rPr>
          <w:lang w:val="en-GB"/>
        </w:rPr>
        <w:t>was truthful in his testimony.</w:t>
      </w:r>
    </w:p>
    <w:p w14:paraId="454CD214" w14:textId="77777777" w:rsidR="00987A07" w:rsidRPr="00987A07" w:rsidRDefault="00987A07" w:rsidP="00987A07">
      <w:pPr>
        <w:autoSpaceDE w:val="0"/>
        <w:autoSpaceDN w:val="0"/>
        <w:adjustRightInd w:val="0"/>
        <w:jc w:val="both"/>
        <w:rPr>
          <w:lang w:val="en-GB"/>
        </w:rPr>
      </w:pPr>
    </w:p>
    <w:p w14:paraId="394BC1D6" w14:textId="3C881713" w:rsidR="003B2317" w:rsidRDefault="00B95F2F" w:rsidP="00B43042">
      <w:pPr>
        <w:pStyle w:val="ListParagraph"/>
        <w:numPr>
          <w:ilvl w:val="0"/>
          <w:numId w:val="10"/>
        </w:numPr>
        <w:autoSpaceDE w:val="0"/>
        <w:autoSpaceDN w:val="0"/>
        <w:adjustRightInd w:val="0"/>
        <w:ind w:left="142" w:hanging="142"/>
        <w:jc w:val="both"/>
        <w:rPr>
          <w:lang w:val="en-GB"/>
        </w:rPr>
      </w:pPr>
      <w:r>
        <w:rPr>
          <w:lang w:val="en-GB"/>
        </w:rPr>
        <w:t>T</w:t>
      </w:r>
      <w:r w:rsidR="00503971">
        <w:rPr>
          <w:lang w:val="en-GB"/>
        </w:rPr>
        <w:t xml:space="preserve">he </w:t>
      </w:r>
      <w:r w:rsidR="00A1379F">
        <w:rPr>
          <w:lang w:val="en-GB"/>
        </w:rPr>
        <w:t xml:space="preserve">defendant failed to call </w:t>
      </w:r>
      <w:r w:rsidR="00E966D3">
        <w:rPr>
          <w:lang w:val="en-GB"/>
        </w:rPr>
        <w:t>any witnesses to support its case other than Mvunyiswa.</w:t>
      </w:r>
      <w:r w:rsidR="00B43042">
        <w:rPr>
          <w:lang w:val="en-GB"/>
        </w:rPr>
        <w:t xml:space="preserve"> As indicated, </w:t>
      </w:r>
      <w:r w:rsidR="00A415B3">
        <w:rPr>
          <w:lang w:val="en-GB"/>
        </w:rPr>
        <w:t xml:space="preserve">and based on </w:t>
      </w:r>
      <w:r w:rsidR="00CA03DB">
        <w:rPr>
          <w:lang w:val="en-GB"/>
        </w:rPr>
        <w:t xml:space="preserve">my assessment of the two opposing versions in accordance with the approach advocated by </w:t>
      </w:r>
      <w:r w:rsidR="00CA03DB">
        <w:rPr>
          <w:i/>
          <w:iCs/>
          <w:lang w:val="en-GB"/>
        </w:rPr>
        <w:t>Stellenbosch Farmers’ Winery</w:t>
      </w:r>
      <w:r w:rsidR="00A415B3">
        <w:rPr>
          <w:lang w:val="en-GB"/>
        </w:rPr>
        <w:t xml:space="preserve">, </w:t>
      </w:r>
      <w:r w:rsidR="00B43042">
        <w:rPr>
          <w:lang w:val="en-GB"/>
        </w:rPr>
        <w:t xml:space="preserve">it is my view that the probabilities favour the plaintiff’s evidence as to what occurred, </w:t>
      </w:r>
      <w:r w:rsidR="006F18B3">
        <w:rPr>
          <w:lang w:val="en-GB"/>
        </w:rPr>
        <w:t xml:space="preserve">including </w:t>
      </w:r>
      <w:r w:rsidR="00B43042">
        <w:rPr>
          <w:lang w:val="en-GB"/>
        </w:rPr>
        <w:t>his assault</w:t>
      </w:r>
      <w:r w:rsidR="006F18B3">
        <w:rPr>
          <w:lang w:val="en-GB"/>
        </w:rPr>
        <w:t xml:space="preserve">, </w:t>
      </w:r>
      <w:r w:rsidR="00B43042">
        <w:rPr>
          <w:lang w:val="en-GB"/>
        </w:rPr>
        <w:t>the manner in which his injuries were suffered</w:t>
      </w:r>
      <w:r w:rsidR="006F18B3">
        <w:rPr>
          <w:lang w:val="en-GB"/>
        </w:rPr>
        <w:t xml:space="preserve"> and his arrest</w:t>
      </w:r>
      <w:r w:rsidR="00B43042">
        <w:rPr>
          <w:lang w:val="en-GB"/>
        </w:rPr>
        <w:t xml:space="preserve">. </w:t>
      </w:r>
      <w:r w:rsidR="005953A9" w:rsidRPr="00B43042">
        <w:rPr>
          <w:lang w:val="en-GB"/>
        </w:rPr>
        <w:t>In support of this conclusion, i</w:t>
      </w:r>
      <w:r w:rsidR="00CA234C" w:rsidRPr="00B43042">
        <w:rPr>
          <w:lang w:val="en-GB"/>
        </w:rPr>
        <w:t xml:space="preserve">t </w:t>
      </w:r>
      <w:r w:rsidR="005953A9" w:rsidRPr="00B43042">
        <w:rPr>
          <w:lang w:val="en-GB"/>
        </w:rPr>
        <w:t>may be added</w:t>
      </w:r>
      <w:r w:rsidR="00CA234C" w:rsidRPr="00B43042">
        <w:rPr>
          <w:lang w:val="en-GB"/>
        </w:rPr>
        <w:t xml:space="preserve"> that t</w:t>
      </w:r>
      <w:r w:rsidR="0050699E" w:rsidRPr="00B43042">
        <w:rPr>
          <w:lang w:val="en-GB"/>
        </w:rPr>
        <w:t xml:space="preserve">he defendant failed to discover the SAP 15 form, the firearm register </w:t>
      </w:r>
      <w:r w:rsidR="00BD4EBE" w:rsidRPr="00B43042">
        <w:rPr>
          <w:lang w:val="en-GB"/>
        </w:rPr>
        <w:t>and</w:t>
      </w:r>
      <w:r w:rsidR="0050699E" w:rsidRPr="00B43042">
        <w:rPr>
          <w:lang w:val="en-GB"/>
        </w:rPr>
        <w:t xml:space="preserve"> the logbook associated with each vehicle</w:t>
      </w:r>
      <w:r w:rsidR="00863D7A">
        <w:rPr>
          <w:lang w:val="en-GB"/>
        </w:rPr>
        <w:t xml:space="preserve"> and that the defendant satisfied itself with a bare denial and the testimony of Mvunyiswa.</w:t>
      </w:r>
      <w:r w:rsidR="0050699E" w:rsidRPr="00B43042">
        <w:rPr>
          <w:lang w:val="en-GB"/>
        </w:rPr>
        <w:t xml:space="preserve"> </w:t>
      </w:r>
      <w:r w:rsidR="002E6915" w:rsidRPr="00B43042">
        <w:rPr>
          <w:lang w:val="en-GB"/>
        </w:rPr>
        <w:t>Neither Madyibi nor Yolwa were called to testify on behalf of the defendant.</w:t>
      </w:r>
      <w:r w:rsidR="00402D23" w:rsidRPr="00B43042">
        <w:rPr>
          <w:lang w:val="en-GB"/>
        </w:rPr>
        <w:t xml:space="preserve"> </w:t>
      </w:r>
      <w:r w:rsidR="00175A80">
        <w:rPr>
          <w:lang w:val="en-GB"/>
        </w:rPr>
        <w:t>Furthermore, t</w:t>
      </w:r>
      <w:r w:rsidR="00575CFF">
        <w:rPr>
          <w:lang w:val="en-GB"/>
        </w:rPr>
        <w:t xml:space="preserve">he efforts and outcome of the IPID investigation were referenced only tangentially. </w:t>
      </w:r>
    </w:p>
    <w:p w14:paraId="2A580AFB" w14:textId="77777777" w:rsidR="003B2317" w:rsidRPr="003B2317" w:rsidRDefault="003B2317" w:rsidP="003B2317">
      <w:pPr>
        <w:pStyle w:val="ListParagraph"/>
        <w:rPr>
          <w:lang w:val="en-GB"/>
        </w:rPr>
      </w:pPr>
    </w:p>
    <w:p w14:paraId="0CB30517" w14:textId="0B4A0966" w:rsidR="0097682D" w:rsidRPr="00B7783B" w:rsidRDefault="00402D23" w:rsidP="00B7783B">
      <w:pPr>
        <w:pStyle w:val="ListParagraph"/>
        <w:numPr>
          <w:ilvl w:val="0"/>
          <w:numId w:val="10"/>
        </w:numPr>
        <w:autoSpaceDE w:val="0"/>
        <w:autoSpaceDN w:val="0"/>
        <w:adjustRightInd w:val="0"/>
        <w:ind w:left="142" w:hanging="142"/>
        <w:jc w:val="both"/>
        <w:rPr>
          <w:lang w:val="en-GB"/>
        </w:rPr>
      </w:pPr>
      <w:r w:rsidRPr="00B43042">
        <w:rPr>
          <w:lang w:val="en-GB"/>
        </w:rPr>
        <w:t>It is true that there is no fixed rule to the effect that the failure to call every available witness must result in an adverse inference being drawn. Each case depends on its own facts and circumstances.</w:t>
      </w:r>
      <w:r>
        <w:rPr>
          <w:rStyle w:val="FootnoteReference"/>
          <w:lang w:val="en-GB"/>
        </w:rPr>
        <w:footnoteReference w:id="5"/>
      </w:r>
      <w:r w:rsidR="0005709E" w:rsidRPr="00B43042">
        <w:rPr>
          <w:lang w:val="en-GB"/>
        </w:rPr>
        <w:t xml:space="preserve"> One of the circumstances that must be taken into account and given due weight is the strength or weakness of the case which faces the party who refrains from calling the witness.</w:t>
      </w:r>
      <w:r w:rsidR="0005709E">
        <w:rPr>
          <w:rStyle w:val="FootnoteReference"/>
          <w:lang w:val="en-GB"/>
        </w:rPr>
        <w:footnoteReference w:id="6"/>
      </w:r>
      <w:r w:rsidR="00B7783B">
        <w:rPr>
          <w:lang w:val="en-GB"/>
        </w:rPr>
        <w:t xml:space="preserve"> </w:t>
      </w:r>
      <w:r w:rsidR="009342B7" w:rsidRPr="00B7783B">
        <w:rPr>
          <w:lang w:val="en-GB"/>
        </w:rPr>
        <w:t>In this case the plaintiff has made out a case that he was assaulted by Mvunyiswa in the presence of other police officers</w:t>
      </w:r>
      <w:r w:rsidR="00981780" w:rsidRPr="00B7783B">
        <w:rPr>
          <w:lang w:val="en-GB"/>
        </w:rPr>
        <w:t xml:space="preserve"> and placed under arrest for a short period of time</w:t>
      </w:r>
      <w:r w:rsidR="009342B7" w:rsidRPr="00B7783B">
        <w:rPr>
          <w:lang w:val="en-GB"/>
        </w:rPr>
        <w:t xml:space="preserve">. </w:t>
      </w:r>
      <w:r w:rsidR="00D46D9B">
        <w:rPr>
          <w:lang w:val="en-GB"/>
        </w:rPr>
        <w:t>As explained, h</w:t>
      </w:r>
      <w:r w:rsidR="002370E6" w:rsidRPr="00B7783B">
        <w:rPr>
          <w:lang w:val="en-GB"/>
        </w:rPr>
        <w:t>is version</w:t>
      </w:r>
      <w:r w:rsidR="00CC32B2" w:rsidRPr="00B7783B">
        <w:rPr>
          <w:lang w:val="en-GB"/>
        </w:rPr>
        <w:t xml:space="preserve"> is supported</w:t>
      </w:r>
      <w:r w:rsidR="0097682D" w:rsidRPr="00B7783B">
        <w:rPr>
          <w:lang w:val="en-GB"/>
        </w:rPr>
        <w:t xml:space="preserve"> inter alia</w:t>
      </w:r>
      <w:r w:rsidR="00CC32B2" w:rsidRPr="00B7783B">
        <w:rPr>
          <w:lang w:val="en-GB"/>
        </w:rPr>
        <w:t xml:space="preserve"> by his identification of Mvunyiswa courtesy of his interaction with him at the tyre repair centre, his description of Mvunyiswa having been in civilian clothing, </w:t>
      </w:r>
      <w:r w:rsidR="00AB141E">
        <w:rPr>
          <w:lang w:val="en-GB"/>
        </w:rPr>
        <w:t xml:space="preserve">his </w:t>
      </w:r>
      <w:r w:rsidR="006B1EED">
        <w:rPr>
          <w:lang w:val="en-GB"/>
        </w:rPr>
        <w:t xml:space="preserve">subsequent </w:t>
      </w:r>
      <w:r w:rsidR="00AB141E">
        <w:rPr>
          <w:lang w:val="en-GB"/>
        </w:rPr>
        <w:t xml:space="preserve">identification of Yolwa, </w:t>
      </w:r>
      <w:r w:rsidR="00CC32B2" w:rsidRPr="00B7783B">
        <w:rPr>
          <w:lang w:val="en-GB"/>
        </w:rPr>
        <w:t xml:space="preserve">the SAP 10 documentation </w:t>
      </w:r>
      <w:r w:rsidR="00FE0C18" w:rsidRPr="00B7783B">
        <w:rPr>
          <w:lang w:val="en-GB"/>
        </w:rPr>
        <w:t>seemingly confirming aspects of his allegations</w:t>
      </w:r>
      <w:r w:rsidR="003E0E82">
        <w:rPr>
          <w:lang w:val="en-GB"/>
        </w:rPr>
        <w:t xml:space="preserve"> and </w:t>
      </w:r>
      <w:r w:rsidR="00FE0C18" w:rsidRPr="00B7783B">
        <w:rPr>
          <w:lang w:val="en-GB"/>
        </w:rPr>
        <w:t>the nature of the injuries suffered</w:t>
      </w:r>
      <w:r w:rsidR="0018652A" w:rsidRPr="00B7783B">
        <w:rPr>
          <w:lang w:val="en-GB"/>
        </w:rPr>
        <w:t>, as evinced by the photographic evidence</w:t>
      </w:r>
      <w:r w:rsidR="00FE0C18" w:rsidRPr="00B7783B">
        <w:rPr>
          <w:lang w:val="en-GB"/>
        </w:rPr>
        <w:t xml:space="preserve"> and the medical report. </w:t>
      </w:r>
    </w:p>
    <w:p w14:paraId="4AD6F854" w14:textId="77777777" w:rsidR="0097682D" w:rsidRPr="0097682D" w:rsidRDefault="0097682D" w:rsidP="0097682D">
      <w:pPr>
        <w:pStyle w:val="ListParagraph"/>
        <w:rPr>
          <w:lang w:val="en-GB"/>
        </w:rPr>
      </w:pPr>
    </w:p>
    <w:p w14:paraId="3CA041FD" w14:textId="4D293AE0" w:rsidR="00132E85" w:rsidRDefault="003E0E82" w:rsidP="00CA234C">
      <w:pPr>
        <w:pStyle w:val="ListParagraph"/>
        <w:numPr>
          <w:ilvl w:val="0"/>
          <w:numId w:val="10"/>
        </w:numPr>
        <w:autoSpaceDE w:val="0"/>
        <w:autoSpaceDN w:val="0"/>
        <w:adjustRightInd w:val="0"/>
        <w:ind w:left="142" w:hanging="142"/>
        <w:jc w:val="both"/>
        <w:rPr>
          <w:lang w:val="en-GB"/>
        </w:rPr>
      </w:pPr>
      <w:r>
        <w:rPr>
          <w:lang w:val="en-GB"/>
        </w:rPr>
        <w:t>An</w:t>
      </w:r>
      <w:r w:rsidR="00655541">
        <w:rPr>
          <w:lang w:val="en-GB"/>
        </w:rPr>
        <w:t xml:space="preserve"> adverse inference is drawn because of the likelihood that the witness has not been called out of fear that they would have testified </w:t>
      </w:r>
      <w:r w:rsidR="008068BC">
        <w:rPr>
          <w:lang w:val="en-GB"/>
        </w:rPr>
        <w:t xml:space="preserve">in a manner that exposed facts unfavourable to </w:t>
      </w:r>
      <w:r w:rsidR="00655541">
        <w:rPr>
          <w:lang w:val="en-GB"/>
        </w:rPr>
        <w:t>that party.</w:t>
      </w:r>
      <w:r w:rsidR="00BB2660">
        <w:rPr>
          <w:lang w:val="en-GB"/>
        </w:rPr>
        <w:t xml:space="preserve"> The inference would, however, only be proper if the </w:t>
      </w:r>
      <w:r w:rsidR="00314EF3">
        <w:rPr>
          <w:lang w:val="en-GB"/>
        </w:rPr>
        <w:t>evidence</w:t>
      </w:r>
      <w:r w:rsidR="00BB2660">
        <w:rPr>
          <w:lang w:val="en-GB"/>
        </w:rPr>
        <w:t xml:space="preserve"> </w:t>
      </w:r>
      <w:r w:rsidR="00314EF3">
        <w:rPr>
          <w:lang w:val="en-GB"/>
        </w:rPr>
        <w:t>is</w:t>
      </w:r>
      <w:r w:rsidR="00BB2660">
        <w:rPr>
          <w:lang w:val="en-GB"/>
        </w:rPr>
        <w:t xml:space="preserve"> available and </w:t>
      </w:r>
      <w:r w:rsidR="00314EF3">
        <w:rPr>
          <w:lang w:val="en-GB"/>
        </w:rPr>
        <w:t xml:space="preserve">if it </w:t>
      </w:r>
      <w:r w:rsidR="00BB2660">
        <w:rPr>
          <w:lang w:val="en-GB"/>
        </w:rPr>
        <w:t>would elucidate the facts.</w:t>
      </w:r>
      <w:r w:rsidR="00314EF3">
        <w:rPr>
          <w:rStyle w:val="FootnoteReference"/>
          <w:lang w:val="en-GB"/>
        </w:rPr>
        <w:footnoteReference w:id="7"/>
      </w:r>
      <w:r w:rsidR="00CA234C">
        <w:rPr>
          <w:lang w:val="en-GB"/>
        </w:rPr>
        <w:t xml:space="preserve"> </w:t>
      </w:r>
      <w:r w:rsidR="000834A9" w:rsidRPr="00CA234C">
        <w:rPr>
          <w:lang w:val="en-GB"/>
        </w:rPr>
        <w:t>As I understood the plaintiff’s evidence, he had not personally claimed that Madyibi had been one of the policemen involved in the incident.</w:t>
      </w:r>
      <w:r w:rsidR="00772416" w:rsidRPr="00CA234C">
        <w:rPr>
          <w:lang w:val="en-GB"/>
        </w:rPr>
        <w:t xml:space="preserve"> His aunt had suggested this for an unknown reason and was not called to testify. </w:t>
      </w:r>
      <w:r w:rsidR="006C6EAF">
        <w:rPr>
          <w:lang w:val="en-GB"/>
        </w:rPr>
        <w:t>Leaving aside the signing out of the rifle, t</w:t>
      </w:r>
      <w:r w:rsidR="00772416" w:rsidRPr="00CA234C">
        <w:rPr>
          <w:lang w:val="en-GB"/>
        </w:rPr>
        <w:t xml:space="preserve">here is no basis for believing that </w:t>
      </w:r>
      <w:r w:rsidR="0075648B">
        <w:rPr>
          <w:lang w:val="en-GB"/>
        </w:rPr>
        <w:t>Madyibi’s</w:t>
      </w:r>
      <w:r w:rsidR="00772416" w:rsidRPr="00CA234C">
        <w:rPr>
          <w:lang w:val="en-GB"/>
        </w:rPr>
        <w:t xml:space="preserve"> testimony would have elucidated the facts any more </w:t>
      </w:r>
      <w:r w:rsidR="00CC3BC3" w:rsidRPr="00CA234C">
        <w:rPr>
          <w:lang w:val="en-GB"/>
        </w:rPr>
        <w:t>than the testimony of any of the other police officers who had been patrolling Ngqeleni town that evening</w:t>
      </w:r>
      <w:r w:rsidR="00056D19" w:rsidRPr="00CA234C">
        <w:rPr>
          <w:lang w:val="en-GB"/>
        </w:rPr>
        <w:t xml:space="preserve">. It would, in my view, be inappropriate to draw an adverse inference from the failure to call Madyibi. </w:t>
      </w:r>
    </w:p>
    <w:p w14:paraId="6B10671E" w14:textId="77777777" w:rsidR="00132E85" w:rsidRPr="00132E85" w:rsidRDefault="00132E85" w:rsidP="00132E85">
      <w:pPr>
        <w:pStyle w:val="ListParagraph"/>
        <w:rPr>
          <w:lang w:val="en-GB"/>
        </w:rPr>
      </w:pPr>
    </w:p>
    <w:p w14:paraId="185A04B7" w14:textId="6978F922" w:rsidR="002927B7" w:rsidRDefault="00056D19" w:rsidP="005F77C7">
      <w:pPr>
        <w:pStyle w:val="ListParagraph"/>
        <w:numPr>
          <w:ilvl w:val="0"/>
          <w:numId w:val="10"/>
        </w:numPr>
        <w:autoSpaceDE w:val="0"/>
        <w:autoSpaceDN w:val="0"/>
        <w:adjustRightInd w:val="0"/>
        <w:ind w:left="142" w:hanging="142"/>
        <w:jc w:val="both"/>
        <w:rPr>
          <w:lang w:val="en-GB"/>
        </w:rPr>
      </w:pPr>
      <w:r w:rsidRPr="005D33C6">
        <w:rPr>
          <w:lang w:val="en-GB"/>
        </w:rPr>
        <w:t>The position of Yolwa is, however, somewhat different.</w:t>
      </w:r>
      <w:r w:rsidR="00EC4E57" w:rsidRPr="005D33C6">
        <w:rPr>
          <w:lang w:val="en-GB"/>
        </w:rPr>
        <w:t xml:space="preserve"> The plaintiff testified that he was the ‘M</w:t>
      </w:r>
      <w:r w:rsidR="00E713CC" w:rsidRPr="005D33C6">
        <w:rPr>
          <w:lang w:val="en-GB"/>
        </w:rPr>
        <w:t>a</w:t>
      </w:r>
      <w:r w:rsidR="00EC4E57" w:rsidRPr="005D33C6">
        <w:rPr>
          <w:lang w:val="en-GB"/>
        </w:rPr>
        <w:t>lombo’ that he had identified with the assistance of Facebook</w:t>
      </w:r>
      <w:r w:rsidR="00B601ED" w:rsidRPr="005D33C6">
        <w:rPr>
          <w:lang w:val="en-GB"/>
        </w:rPr>
        <w:t xml:space="preserve">, who was one of the </w:t>
      </w:r>
      <w:r w:rsidR="00F53B17" w:rsidRPr="005D33C6">
        <w:rPr>
          <w:lang w:val="en-GB"/>
        </w:rPr>
        <w:t>police officers</w:t>
      </w:r>
      <w:r w:rsidR="00B601ED" w:rsidRPr="005D33C6">
        <w:rPr>
          <w:lang w:val="en-GB"/>
        </w:rPr>
        <w:t xml:space="preserve"> present at the time of the incident.</w:t>
      </w:r>
      <w:r w:rsidR="00BD43D2" w:rsidRPr="005D33C6">
        <w:rPr>
          <w:lang w:val="en-GB"/>
        </w:rPr>
        <w:t xml:space="preserve"> H</w:t>
      </w:r>
      <w:r w:rsidR="00DB6EE6" w:rsidRPr="005D33C6">
        <w:rPr>
          <w:lang w:val="en-GB"/>
        </w:rPr>
        <w:t>e was a witness more readily available to the defendant and</w:t>
      </w:r>
      <w:r w:rsidR="00AE4BF3" w:rsidRPr="005D33C6">
        <w:rPr>
          <w:lang w:val="en-GB"/>
        </w:rPr>
        <w:t>, having been identified by the plaintiff,</w:t>
      </w:r>
      <w:r w:rsidR="00DB6EE6" w:rsidRPr="005D33C6">
        <w:rPr>
          <w:lang w:val="en-GB"/>
        </w:rPr>
        <w:t xml:space="preserve"> h</w:t>
      </w:r>
      <w:r w:rsidR="00BD43D2" w:rsidRPr="005D33C6">
        <w:rPr>
          <w:lang w:val="en-GB"/>
        </w:rPr>
        <w:t xml:space="preserve">is testimony </w:t>
      </w:r>
      <w:r w:rsidR="008764A1" w:rsidRPr="005D33C6">
        <w:rPr>
          <w:lang w:val="en-GB"/>
        </w:rPr>
        <w:t xml:space="preserve">may have shed light on </w:t>
      </w:r>
      <w:r w:rsidR="007B6F76" w:rsidRPr="005D33C6">
        <w:rPr>
          <w:lang w:val="en-GB"/>
        </w:rPr>
        <w:t>what occurred</w:t>
      </w:r>
      <w:r w:rsidR="005B1E2D" w:rsidRPr="005D33C6">
        <w:rPr>
          <w:lang w:val="en-GB"/>
        </w:rPr>
        <w:t>.</w:t>
      </w:r>
      <w:r w:rsidR="00CA7A65" w:rsidRPr="005D33C6">
        <w:rPr>
          <w:lang w:val="en-GB"/>
        </w:rPr>
        <w:t xml:space="preserve"> </w:t>
      </w:r>
      <w:r w:rsidR="005B1E2D" w:rsidRPr="005D33C6">
        <w:rPr>
          <w:lang w:val="en-GB"/>
        </w:rPr>
        <w:t>As a result, a</w:t>
      </w:r>
      <w:r w:rsidR="00CA7A65" w:rsidRPr="005D33C6">
        <w:rPr>
          <w:lang w:val="en-GB"/>
        </w:rPr>
        <w:t>n adverse inference should be drawn from the failure to lead his evidence.</w:t>
      </w:r>
      <w:r w:rsidR="00B02AB2">
        <w:rPr>
          <w:rStyle w:val="FootnoteReference"/>
          <w:lang w:val="en-GB"/>
        </w:rPr>
        <w:footnoteReference w:id="8"/>
      </w:r>
      <w:r w:rsidR="003512FA" w:rsidRPr="005D33C6">
        <w:rPr>
          <w:lang w:val="en-GB"/>
        </w:rPr>
        <w:t xml:space="preserve"> I reiterate that these remarks </w:t>
      </w:r>
      <w:r w:rsidR="00965025" w:rsidRPr="005D33C6">
        <w:rPr>
          <w:lang w:val="en-GB"/>
        </w:rPr>
        <w:t xml:space="preserve">simply add to the findings on the probabilities which, on their own, are sufficient to find </w:t>
      </w:r>
      <w:r w:rsidR="00E47DE2" w:rsidRPr="005D33C6">
        <w:rPr>
          <w:lang w:val="en-GB"/>
        </w:rPr>
        <w:t>for the plaintiff</w:t>
      </w:r>
      <w:r w:rsidR="00327A3F" w:rsidRPr="005D33C6">
        <w:rPr>
          <w:lang w:val="en-GB"/>
        </w:rPr>
        <w:t xml:space="preserve"> on the facts</w:t>
      </w:r>
      <w:r w:rsidR="00E47DE2" w:rsidRPr="005D33C6">
        <w:rPr>
          <w:lang w:val="en-GB"/>
        </w:rPr>
        <w:t>.</w:t>
      </w:r>
      <w:r w:rsidR="00327A3F" w:rsidRPr="005D33C6">
        <w:rPr>
          <w:lang w:val="en-GB"/>
        </w:rPr>
        <w:t xml:space="preserve"> </w:t>
      </w:r>
      <w:r w:rsidR="00B308AE">
        <w:rPr>
          <w:lang w:val="en-GB"/>
        </w:rPr>
        <w:t xml:space="preserve">Having considered the plaintiff’s credibility as part of testing his allegations against the general probabilities, I am satisfied that </w:t>
      </w:r>
      <w:r w:rsidR="00BE0059">
        <w:rPr>
          <w:lang w:val="en-GB"/>
        </w:rPr>
        <w:t>his</w:t>
      </w:r>
      <w:r w:rsidR="00B308AE">
        <w:rPr>
          <w:lang w:val="en-GB"/>
        </w:rPr>
        <w:t xml:space="preserve"> version of events is true and accurate and therefore acceptable</w:t>
      </w:r>
      <w:r w:rsidR="00777A4C">
        <w:rPr>
          <w:lang w:val="en-GB"/>
        </w:rPr>
        <w:t xml:space="preserve">. </w:t>
      </w:r>
      <w:r w:rsidR="00C8025F">
        <w:rPr>
          <w:lang w:val="en-GB"/>
        </w:rPr>
        <w:t xml:space="preserve">The evidence of Mvunyiswa, in so far as it conflicts with the plaintiff’s version, </w:t>
      </w:r>
      <w:r w:rsidR="00AE12EC">
        <w:rPr>
          <w:lang w:val="en-GB"/>
        </w:rPr>
        <w:t>is</w:t>
      </w:r>
      <w:r w:rsidR="00C8025F">
        <w:rPr>
          <w:lang w:val="en-GB"/>
        </w:rPr>
        <w:t xml:space="preserve"> rejected as false.</w:t>
      </w:r>
    </w:p>
    <w:p w14:paraId="3C61C12F" w14:textId="77777777" w:rsidR="005D33C6" w:rsidRPr="005D33C6" w:rsidRDefault="005D33C6" w:rsidP="005D33C6">
      <w:pPr>
        <w:autoSpaceDE w:val="0"/>
        <w:autoSpaceDN w:val="0"/>
        <w:adjustRightInd w:val="0"/>
        <w:jc w:val="both"/>
        <w:rPr>
          <w:lang w:val="en-GB"/>
        </w:rPr>
      </w:pPr>
    </w:p>
    <w:p w14:paraId="10B9A9A1" w14:textId="12D59F10" w:rsidR="000834A9" w:rsidRDefault="002927B7" w:rsidP="00CA234C">
      <w:pPr>
        <w:pStyle w:val="ListParagraph"/>
        <w:numPr>
          <w:ilvl w:val="0"/>
          <w:numId w:val="10"/>
        </w:numPr>
        <w:autoSpaceDE w:val="0"/>
        <w:autoSpaceDN w:val="0"/>
        <w:adjustRightInd w:val="0"/>
        <w:ind w:left="142" w:hanging="142"/>
        <w:jc w:val="both"/>
        <w:rPr>
          <w:lang w:val="en-GB"/>
        </w:rPr>
      </w:pPr>
      <w:r>
        <w:rPr>
          <w:lang w:val="en-GB"/>
        </w:rPr>
        <w:t>Although counsel for the defendant did not argue the point, and also did not address the issue in the heads of argument submitted, t</w:t>
      </w:r>
      <w:r w:rsidR="00327A3F">
        <w:rPr>
          <w:lang w:val="en-GB"/>
        </w:rPr>
        <w:t xml:space="preserve">he remaining question is whether the defendant should be held vicariously liable </w:t>
      </w:r>
      <w:r w:rsidR="009F79E9">
        <w:rPr>
          <w:lang w:val="en-GB"/>
        </w:rPr>
        <w:t xml:space="preserve">for the conduct of </w:t>
      </w:r>
      <w:r w:rsidR="006C2AAF">
        <w:rPr>
          <w:lang w:val="en-GB"/>
        </w:rPr>
        <w:t xml:space="preserve">its employees in </w:t>
      </w:r>
      <w:r w:rsidR="00FE49BF">
        <w:rPr>
          <w:lang w:val="en-GB"/>
        </w:rPr>
        <w:t>the</w:t>
      </w:r>
      <w:r w:rsidR="006C2AAF">
        <w:rPr>
          <w:lang w:val="en-GB"/>
        </w:rPr>
        <w:t xml:space="preserve"> circumstances</w:t>
      </w:r>
      <w:r w:rsidR="00FE49BF">
        <w:rPr>
          <w:lang w:val="en-GB"/>
        </w:rPr>
        <w:t xml:space="preserve"> of this case.</w:t>
      </w:r>
    </w:p>
    <w:p w14:paraId="31C6B035" w14:textId="77777777" w:rsidR="000F2903" w:rsidRDefault="000F2903" w:rsidP="008A7609">
      <w:pPr>
        <w:rPr>
          <w:lang w:val="en-GB"/>
        </w:rPr>
      </w:pPr>
    </w:p>
    <w:p w14:paraId="5861C6C6" w14:textId="45C66CA4" w:rsidR="008A7609" w:rsidRDefault="008A7609" w:rsidP="008A7609">
      <w:pPr>
        <w:rPr>
          <w:b/>
          <w:bCs/>
          <w:lang w:val="en-GB"/>
        </w:rPr>
      </w:pPr>
      <w:r>
        <w:rPr>
          <w:b/>
          <w:bCs/>
          <w:lang w:val="en-GB"/>
        </w:rPr>
        <w:lastRenderedPageBreak/>
        <w:t>Vicarious liability</w:t>
      </w:r>
    </w:p>
    <w:p w14:paraId="6842AE6F" w14:textId="77777777" w:rsidR="008A7609" w:rsidRPr="008A7609" w:rsidRDefault="008A7609" w:rsidP="008A7609">
      <w:pPr>
        <w:rPr>
          <w:b/>
          <w:bCs/>
          <w:lang w:val="en-GB"/>
        </w:rPr>
      </w:pPr>
    </w:p>
    <w:p w14:paraId="0A5B443E" w14:textId="77777777" w:rsidR="004B54D1" w:rsidRPr="004B54D1" w:rsidRDefault="004B54D1" w:rsidP="004B54D1">
      <w:pPr>
        <w:pStyle w:val="ListParagraph"/>
        <w:numPr>
          <w:ilvl w:val="0"/>
          <w:numId w:val="10"/>
        </w:numPr>
        <w:autoSpaceDE w:val="0"/>
        <w:autoSpaceDN w:val="0"/>
        <w:adjustRightInd w:val="0"/>
        <w:ind w:left="142" w:hanging="142"/>
        <w:jc w:val="both"/>
        <w:rPr>
          <w:lang w:val="en-GB"/>
        </w:rPr>
      </w:pPr>
      <w:r w:rsidRPr="004B54D1">
        <w:rPr>
          <w:lang w:val="en-GB"/>
        </w:rPr>
        <w:t xml:space="preserve">An employer is considered to be answerable for the delicts of an employee committed in the course of employment. The reason for this was explained by Innes JA, quoting Chief Justice Shaw, of Massachusetts, in </w:t>
      </w:r>
      <w:r w:rsidRPr="004B54D1">
        <w:rPr>
          <w:i/>
          <w:lang w:val="en-GB"/>
        </w:rPr>
        <w:t>Mkize v Martens</w:t>
      </w:r>
      <w:r w:rsidRPr="004B54D1">
        <w:rPr>
          <w:iCs/>
          <w:lang w:val="en-GB"/>
        </w:rPr>
        <w:t>:</w:t>
      </w:r>
      <w:r w:rsidRPr="004B54D1">
        <w:rPr>
          <w:rStyle w:val="FootnoteReference"/>
          <w:iCs/>
          <w:lang w:val="en-GB"/>
        </w:rPr>
        <w:footnoteReference w:id="9"/>
      </w:r>
    </w:p>
    <w:p w14:paraId="0CE127E3" w14:textId="13C86870" w:rsidR="004B54D1" w:rsidRPr="004B54D1" w:rsidRDefault="004B54D1" w:rsidP="004B54D1">
      <w:pPr>
        <w:autoSpaceDE w:val="0"/>
        <w:autoSpaceDN w:val="0"/>
        <w:adjustRightInd w:val="0"/>
        <w:ind w:left="142"/>
        <w:jc w:val="both"/>
        <w:rPr>
          <w:lang w:val="en-GB"/>
        </w:rPr>
      </w:pPr>
      <w:r w:rsidRPr="004B54D1">
        <w:rPr>
          <w:iCs/>
          <w:sz w:val="22"/>
          <w:szCs w:val="22"/>
          <w:lang w:val="en-GB"/>
        </w:rPr>
        <w:t>‘I am answerable for the wrongs of my servant or agent, not because he is authorized by me or personally represents me, but because he is about my affairs, and I am bound to see that my affairs are conducted with due regard to the safety of others.’</w:t>
      </w:r>
    </w:p>
    <w:p w14:paraId="5D24A4F3" w14:textId="77777777" w:rsidR="004B54D1" w:rsidRPr="004B54D1" w:rsidRDefault="004B54D1" w:rsidP="004B54D1">
      <w:pPr>
        <w:ind w:left="142"/>
        <w:rPr>
          <w:lang w:val="en-GB"/>
        </w:rPr>
      </w:pPr>
    </w:p>
    <w:p w14:paraId="1373C04B" w14:textId="3F087AA5" w:rsidR="004B54D1" w:rsidRDefault="004B54D1" w:rsidP="004B54D1">
      <w:pPr>
        <w:pStyle w:val="ListParagraph"/>
        <w:numPr>
          <w:ilvl w:val="0"/>
          <w:numId w:val="10"/>
        </w:numPr>
        <w:autoSpaceDE w:val="0"/>
        <w:autoSpaceDN w:val="0"/>
        <w:adjustRightInd w:val="0"/>
        <w:ind w:left="142" w:hanging="142"/>
        <w:jc w:val="both"/>
        <w:rPr>
          <w:iCs/>
          <w:lang w:val="en-GB"/>
        </w:rPr>
      </w:pPr>
      <w:r w:rsidRPr="004B54D1">
        <w:rPr>
          <w:iCs/>
          <w:lang w:val="en-GB"/>
        </w:rPr>
        <w:t>An employer has, however, not been held to be responsible for the acts performed by an employee solely for his own interests and purposes and outside his authority. Such acts are not considered to be ‘in the course of his employment’, even though they may have occurred during his employment.</w:t>
      </w:r>
      <w:r w:rsidRPr="004B54D1">
        <w:rPr>
          <w:rStyle w:val="FootnoteReference"/>
          <w:iCs/>
          <w:lang w:val="en-GB"/>
        </w:rPr>
        <w:footnoteReference w:id="10"/>
      </w:r>
      <w:r w:rsidRPr="004B54D1">
        <w:rPr>
          <w:iCs/>
          <w:lang w:val="en-GB"/>
        </w:rPr>
        <w:t xml:space="preserve"> </w:t>
      </w:r>
      <w:r>
        <w:rPr>
          <w:iCs/>
          <w:lang w:val="en-GB"/>
        </w:rPr>
        <w:t xml:space="preserve">The difference between the two types of cases </w:t>
      </w:r>
      <w:r w:rsidRPr="004B54D1">
        <w:rPr>
          <w:iCs/>
          <w:lang w:val="en-GB"/>
        </w:rPr>
        <w:t xml:space="preserve">is </w:t>
      </w:r>
      <w:r w:rsidR="001D79C7">
        <w:rPr>
          <w:iCs/>
          <w:lang w:val="en-GB"/>
        </w:rPr>
        <w:t xml:space="preserve">notoriously difficult to determine. It is </w:t>
      </w:r>
      <w:r w:rsidRPr="004B54D1">
        <w:rPr>
          <w:iCs/>
          <w:lang w:val="en-GB"/>
        </w:rPr>
        <w:t>essentially a question of fact to be decided upon the circumstances of the particular case</w:t>
      </w:r>
      <w:r w:rsidR="0047590C">
        <w:rPr>
          <w:iCs/>
          <w:lang w:val="en-GB"/>
        </w:rPr>
        <w:t>.</w:t>
      </w:r>
      <w:r w:rsidRPr="004B54D1">
        <w:rPr>
          <w:iCs/>
          <w:lang w:val="en-GB"/>
        </w:rPr>
        <w:t xml:space="preserve"> </w:t>
      </w:r>
    </w:p>
    <w:p w14:paraId="7E4F157D" w14:textId="77777777" w:rsidR="0047590C" w:rsidRDefault="0047590C" w:rsidP="0047590C">
      <w:pPr>
        <w:pStyle w:val="ListParagraph"/>
        <w:autoSpaceDE w:val="0"/>
        <w:autoSpaceDN w:val="0"/>
        <w:adjustRightInd w:val="0"/>
        <w:ind w:left="142"/>
        <w:jc w:val="both"/>
        <w:rPr>
          <w:iCs/>
          <w:lang w:val="en-GB"/>
        </w:rPr>
      </w:pPr>
    </w:p>
    <w:p w14:paraId="22697F58" w14:textId="42FB5B92" w:rsidR="004B54D1" w:rsidRPr="00E84265" w:rsidRDefault="004B54D1" w:rsidP="007A7C03">
      <w:pPr>
        <w:pStyle w:val="ListParagraph"/>
        <w:numPr>
          <w:ilvl w:val="0"/>
          <w:numId w:val="10"/>
        </w:numPr>
        <w:autoSpaceDE w:val="0"/>
        <w:autoSpaceDN w:val="0"/>
        <w:adjustRightInd w:val="0"/>
        <w:ind w:left="142" w:hanging="142"/>
        <w:jc w:val="both"/>
        <w:rPr>
          <w:iCs/>
          <w:lang w:val="en-GB"/>
        </w:rPr>
      </w:pPr>
      <w:r w:rsidRPr="00503663">
        <w:rPr>
          <w:iCs/>
          <w:lang w:val="en-GB"/>
        </w:rPr>
        <w:t xml:space="preserve">The </w:t>
      </w:r>
      <w:r w:rsidRPr="007A7C03">
        <w:rPr>
          <w:lang w:val="en-GB"/>
        </w:rPr>
        <w:t xml:space="preserve">modern test for vicarious liability in cases of ‘deviation’ from authorised duties is based on the majority judgment of Jansen JA in </w:t>
      </w:r>
      <w:r w:rsidRPr="007A7C03">
        <w:rPr>
          <w:i/>
          <w:iCs/>
          <w:lang w:val="en-GB"/>
        </w:rPr>
        <w:t>Rabie</w:t>
      </w:r>
      <w:r w:rsidR="005C1013">
        <w:rPr>
          <w:lang w:val="en-GB"/>
        </w:rPr>
        <w:t>:</w:t>
      </w:r>
      <w:r w:rsidRPr="004B54D1">
        <w:rPr>
          <w:rStyle w:val="FootnoteReference"/>
          <w:lang w:val="en-GB"/>
        </w:rPr>
        <w:footnoteReference w:id="11"/>
      </w:r>
      <w:r w:rsidRPr="007A7C03">
        <w:rPr>
          <w:lang w:val="en-GB"/>
        </w:rPr>
        <w:t xml:space="preserve"> </w:t>
      </w:r>
    </w:p>
    <w:p w14:paraId="4E6302D6" w14:textId="77777777" w:rsidR="00E84265" w:rsidRPr="008D4CE0" w:rsidRDefault="00E84265" w:rsidP="00E84265">
      <w:pPr>
        <w:autoSpaceDE w:val="0"/>
        <w:autoSpaceDN w:val="0"/>
        <w:adjustRightInd w:val="0"/>
        <w:jc w:val="both"/>
        <w:rPr>
          <w:iCs/>
          <w:lang w:val="en-GB"/>
        </w:rPr>
      </w:pPr>
    </w:p>
    <w:p w14:paraId="4770A9ED" w14:textId="77777777" w:rsidR="00E84265" w:rsidRPr="004B54D1" w:rsidRDefault="00E84265" w:rsidP="00E84265">
      <w:pPr>
        <w:ind w:left="1418" w:hanging="338"/>
        <w:jc w:val="both"/>
        <w:rPr>
          <w:lang w:val="en-GB"/>
        </w:rPr>
      </w:pPr>
      <w:r w:rsidRPr="004B54D1">
        <w:rPr>
          <w:lang w:val="en-GB"/>
        </w:rPr>
        <w:t xml:space="preserve">a. If an employee is seeking, albeit improperly, to advance his or her employer’s interests, the employer may be vicariously liable. This is a subjective test. On the subjective test there would be no vicarious liability if the employee were acting solely in his or her own interests. </w:t>
      </w:r>
    </w:p>
    <w:p w14:paraId="4833CF4D" w14:textId="77777777" w:rsidR="00E84265" w:rsidRDefault="00E84265" w:rsidP="00E84265">
      <w:pPr>
        <w:pStyle w:val="ListParagraph"/>
        <w:numPr>
          <w:ilvl w:val="0"/>
          <w:numId w:val="14"/>
        </w:numPr>
        <w:jc w:val="both"/>
        <w:rPr>
          <w:lang w:val="en-GB"/>
        </w:rPr>
      </w:pPr>
      <w:r w:rsidRPr="008D4CE0">
        <w:rPr>
          <w:lang w:val="en-GB"/>
        </w:rPr>
        <w:t xml:space="preserve">Even if there is no vicarious liability on the subjective test, the employer may still be liable if objectively there is a sufficiently close link between the employee’s acts for his own interests and the purposes and business of the employer. </w:t>
      </w:r>
    </w:p>
    <w:p w14:paraId="05D40043" w14:textId="77777777" w:rsidR="00E84265" w:rsidRPr="00E84265" w:rsidRDefault="00E84265" w:rsidP="00E84265">
      <w:pPr>
        <w:rPr>
          <w:iCs/>
          <w:lang w:val="en-GB"/>
        </w:rPr>
      </w:pPr>
    </w:p>
    <w:p w14:paraId="0F39D2B8" w14:textId="179C85B0" w:rsidR="004B54D1" w:rsidRPr="00343360" w:rsidRDefault="004B54D1" w:rsidP="00E84265">
      <w:pPr>
        <w:pStyle w:val="ListParagraph"/>
        <w:numPr>
          <w:ilvl w:val="0"/>
          <w:numId w:val="10"/>
        </w:numPr>
        <w:autoSpaceDE w:val="0"/>
        <w:autoSpaceDN w:val="0"/>
        <w:adjustRightInd w:val="0"/>
        <w:ind w:left="142" w:hanging="142"/>
        <w:jc w:val="both"/>
        <w:rPr>
          <w:iCs/>
          <w:lang w:val="en-GB"/>
        </w:rPr>
      </w:pPr>
      <w:r w:rsidRPr="00E84265">
        <w:rPr>
          <w:lang w:val="en-GB"/>
        </w:rPr>
        <w:lastRenderedPageBreak/>
        <w:t>The test has subsequently been considered by the Constitutional Court in a number of judgments.</w:t>
      </w:r>
      <w:r w:rsidRPr="004B54D1">
        <w:rPr>
          <w:rStyle w:val="FootnoteReference"/>
          <w:lang w:val="en-GB"/>
        </w:rPr>
        <w:footnoteReference w:id="12"/>
      </w:r>
      <w:r w:rsidRPr="00E84265">
        <w:rPr>
          <w:lang w:val="en-GB"/>
        </w:rPr>
        <w:t xml:space="preserve">  Having regard to s 39(2) of the Constitution and comparative law, O’Regan J developed the law upon the foundation provided by </w:t>
      </w:r>
      <w:r w:rsidRPr="00E84265">
        <w:rPr>
          <w:i/>
          <w:iCs/>
          <w:lang w:val="en-GB"/>
        </w:rPr>
        <w:t>Rabie</w:t>
      </w:r>
      <w:r w:rsidRPr="00E84265">
        <w:rPr>
          <w:lang w:val="en-GB"/>
        </w:rPr>
        <w:t xml:space="preserve">, in </w:t>
      </w:r>
      <w:r w:rsidRPr="00E84265">
        <w:rPr>
          <w:i/>
          <w:iCs/>
          <w:lang w:val="en-GB"/>
        </w:rPr>
        <w:t>K v Minister of Safety and Security</w:t>
      </w:r>
      <w:r w:rsidRPr="00E84265">
        <w:rPr>
          <w:lang w:val="en-GB"/>
        </w:rPr>
        <w:t>, as follows:</w:t>
      </w:r>
      <w:r w:rsidRPr="004B54D1">
        <w:rPr>
          <w:rStyle w:val="FootnoteReference"/>
          <w:lang w:val="en-GB"/>
        </w:rPr>
        <w:footnoteReference w:id="13"/>
      </w:r>
    </w:p>
    <w:p w14:paraId="7322DF08" w14:textId="77777777" w:rsidR="00343360" w:rsidRPr="00343360" w:rsidRDefault="00343360" w:rsidP="00343360">
      <w:pPr>
        <w:ind w:left="142" w:right="-52"/>
        <w:jc w:val="both"/>
        <w:rPr>
          <w:sz w:val="22"/>
          <w:szCs w:val="22"/>
          <w:lang w:val="en-GB"/>
        </w:rPr>
      </w:pPr>
      <w:r w:rsidRPr="00343360">
        <w:rPr>
          <w:sz w:val="22"/>
          <w:szCs w:val="22"/>
          <w:lang w:val="en-GB"/>
        </w:rPr>
        <w:t xml:space="preserve">‘From this comparative review, we can see that the test set in </w:t>
      </w:r>
      <w:r w:rsidRPr="00343360">
        <w:rPr>
          <w:i/>
          <w:iCs/>
          <w:sz w:val="22"/>
          <w:szCs w:val="22"/>
          <w:lang w:val="en-GB"/>
        </w:rPr>
        <w:t>Rabie</w:t>
      </w:r>
      <w:r w:rsidRPr="00343360">
        <w:rPr>
          <w:sz w:val="22"/>
          <w:szCs w:val="22"/>
          <w:lang w:val="en-GB"/>
        </w:rPr>
        <w:t>, with its focus both on the subjective state of mind of the employees and the objective question, whether the deviant conduct is nevertheless sufficiently connected to the employer’s enterprise, is a test very similar to that employed in other jurisdictions. The objective element of the test which relates to the connection between the deviant conduct and the employment, approached with the spirit, purport and objects of the Constitution in mind, is sufficiently flexible to incorporate not only constitutional norms, but other norms as well. It requires a court when applying it to articulate its reasoning for its conclusions as to whether there is a sufficient connection between the wrongful conduct and the employment or not. Thus developed, by the explicit recognition of the normative content of the objective stage of the test, its application should not offend the Bill of Rights or be at odds with our constitutional order.’</w:t>
      </w:r>
    </w:p>
    <w:p w14:paraId="6AC17DD0" w14:textId="77777777" w:rsidR="00343360" w:rsidRPr="00343360" w:rsidRDefault="00343360" w:rsidP="00343360">
      <w:pPr>
        <w:pStyle w:val="ListParagraph"/>
        <w:autoSpaceDE w:val="0"/>
        <w:autoSpaceDN w:val="0"/>
        <w:adjustRightInd w:val="0"/>
        <w:ind w:left="142"/>
        <w:jc w:val="both"/>
        <w:rPr>
          <w:iCs/>
          <w:lang w:val="en-GB"/>
        </w:rPr>
      </w:pPr>
    </w:p>
    <w:p w14:paraId="6A1A7B22" w14:textId="62509334" w:rsidR="004B54D1" w:rsidRPr="002A73AC" w:rsidRDefault="004B54D1" w:rsidP="00343360">
      <w:pPr>
        <w:pStyle w:val="ListParagraph"/>
        <w:numPr>
          <w:ilvl w:val="0"/>
          <w:numId w:val="10"/>
        </w:numPr>
        <w:autoSpaceDE w:val="0"/>
        <w:autoSpaceDN w:val="0"/>
        <w:adjustRightInd w:val="0"/>
        <w:ind w:left="142" w:hanging="142"/>
        <w:jc w:val="both"/>
        <w:rPr>
          <w:iCs/>
          <w:lang w:val="en-GB"/>
        </w:rPr>
      </w:pPr>
      <w:r w:rsidRPr="00343360">
        <w:rPr>
          <w:lang w:val="en-GB"/>
        </w:rPr>
        <w:t>Various cases have confirmed an employer’s liability to a third party for the act of an employee considered to be ‘in the course of employment’, even though the act itself is unlawful or prohibited.</w:t>
      </w:r>
      <w:r w:rsidRPr="004B54D1">
        <w:rPr>
          <w:rStyle w:val="FootnoteReference"/>
          <w:lang w:val="en-GB"/>
        </w:rPr>
        <w:footnoteReference w:id="14"/>
      </w:r>
      <w:r w:rsidRPr="00343360">
        <w:rPr>
          <w:lang w:val="en-GB"/>
        </w:rPr>
        <w:t xml:space="preserve">  Courts have confirmed that the application of the general principle does not entail that every act of an employee committed during the time of employment, in the advancement of his personal interests or the achievement of his own goals, necessarily falls outside the course and scope of his employment.</w:t>
      </w:r>
      <w:r w:rsidRPr="004B54D1">
        <w:rPr>
          <w:rStyle w:val="FootnoteReference"/>
          <w:lang w:val="en-GB"/>
        </w:rPr>
        <w:footnoteReference w:id="15"/>
      </w:r>
      <w:r w:rsidRPr="00343360">
        <w:rPr>
          <w:lang w:val="en-GB"/>
        </w:rPr>
        <w:t xml:space="preserve"> </w:t>
      </w:r>
    </w:p>
    <w:p w14:paraId="482C0BCE" w14:textId="77777777" w:rsidR="002A73AC" w:rsidRPr="002A73AC" w:rsidRDefault="002A73AC" w:rsidP="002A73AC">
      <w:pPr>
        <w:pStyle w:val="ListParagraph"/>
        <w:autoSpaceDE w:val="0"/>
        <w:autoSpaceDN w:val="0"/>
        <w:adjustRightInd w:val="0"/>
        <w:ind w:left="142"/>
        <w:jc w:val="both"/>
        <w:rPr>
          <w:iCs/>
          <w:lang w:val="en-GB"/>
        </w:rPr>
      </w:pPr>
    </w:p>
    <w:p w14:paraId="412EE0A3" w14:textId="5F4EC9E2" w:rsidR="004B54D1" w:rsidRPr="00694184" w:rsidRDefault="004B54D1" w:rsidP="002A73AC">
      <w:pPr>
        <w:pStyle w:val="ListParagraph"/>
        <w:numPr>
          <w:ilvl w:val="0"/>
          <w:numId w:val="10"/>
        </w:numPr>
        <w:autoSpaceDE w:val="0"/>
        <w:autoSpaceDN w:val="0"/>
        <w:adjustRightInd w:val="0"/>
        <w:ind w:left="142" w:hanging="142"/>
        <w:jc w:val="both"/>
        <w:rPr>
          <w:iCs/>
          <w:lang w:val="en-GB"/>
        </w:rPr>
      </w:pPr>
      <w:r w:rsidRPr="002A73AC">
        <w:rPr>
          <w:lang w:val="en-GB"/>
        </w:rPr>
        <w:t xml:space="preserve">It has also been held that whether an employee had indeed abandoned </w:t>
      </w:r>
      <w:r w:rsidR="002A73AC">
        <w:rPr>
          <w:lang w:val="en-GB"/>
        </w:rPr>
        <w:t>their</w:t>
      </w:r>
      <w:r w:rsidRPr="002A73AC">
        <w:rPr>
          <w:lang w:val="en-GB"/>
        </w:rPr>
        <w:t xml:space="preserve"> employment was a factual question which had to be decided on the probabilities</w:t>
      </w:r>
      <w:r w:rsidR="002920F4">
        <w:rPr>
          <w:lang w:val="en-GB"/>
        </w:rPr>
        <w:t>,</w:t>
      </w:r>
      <w:r w:rsidRPr="002A73AC">
        <w:rPr>
          <w:lang w:val="en-GB"/>
        </w:rPr>
        <w:t xml:space="preserve"> mainly, if not exclusively, on the degree of digression.</w:t>
      </w:r>
      <w:r w:rsidRPr="004B54D1">
        <w:rPr>
          <w:rStyle w:val="FootnoteReference"/>
          <w:lang w:val="en-GB"/>
        </w:rPr>
        <w:footnoteReference w:id="16"/>
      </w:r>
      <w:r w:rsidRPr="002A73AC">
        <w:rPr>
          <w:lang w:val="en-GB"/>
        </w:rPr>
        <w:t xml:space="preserve"> In answering this question, a court must have regard to all matters relevant to the question.</w:t>
      </w:r>
      <w:r w:rsidRPr="004B54D1">
        <w:rPr>
          <w:rStyle w:val="FootnoteReference"/>
          <w:lang w:val="en-GB"/>
        </w:rPr>
        <w:footnoteReference w:id="17"/>
      </w:r>
      <w:r w:rsidRPr="002A73AC">
        <w:rPr>
          <w:lang w:val="en-GB"/>
        </w:rPr>
        <w:t xml:space="preserve"> Ultimately, a sufficiently close link must exist between the wrongful act of the employee, on the </w:t>
      </w:r>
      <w:r w:rsidRPr="002A73AC">
        <w:rPr>
          <w:lang w:val="en-GB"/>
        </w:rPr>
        <w:lastRenderedPageBreak/>
        <w:t>one hand, and the business or enterprise of the employer, on the other.</w:t>
      </w:r>
      <w:r w:rsidRPr="004B54D1">
        <w:rPr>
          <w:rStyle w:val="FootnoteReference"/>
          <w:lang w:val="en-GB"/>
        </w:rPr>
        <w:footnoteReference w:id="18"/>
      </w:r>
      <w:r w:rsidRPr="002A73AC">
        <w:rPr>
          <w:lang w:val="en-GB"/>
        </w:rPr>
        <w:t xml:space="preserve"> Importantly, reference to a link with the duties, authorised acts or employment of the employee should, in this context, be avoided. This is because the purpose of the development of the law in </w:t>
      </w:r>
      <w:r w:rsidRPr="002A73AC">
        <w:rPr>
          <w:i/>
          <w:iCs/>
          <w:lang w:val="en-GB"/>
        </w:rPr>
        <w:t>Rabie</w:t>
      </w:r>
      <w:r w:rsidRPr="002A73AC">
        <w:rPr>
          <w:lang w:val="en-GB"/>
        </w:rPr>
        <w:t xml:space="preserve"> and </w:t>
      </w:r>
      <w:r w:rsidRPr="002A73AC">
        <w:rPr>
          <w:i/>
          <w:iCs/>
          <w:lang w:val="en-GB"/>
        </w:rPr>
        <w:t>K</w:t>
      </w:r>
      <w:r w:rsidRPr="002A73AC">
        <w:rPr>
          <w:lang w:val="en-GB"/>
        </w:rPr>
        <w:t xml:space="preserve"> was to provide redress to a victim against an employer ‘even though the wrongful act did not in any manner constitute the exercise of the duties or authorised acts of the employee, if it was objectively sufficiently linked to the business or enterprise of the employer.’</w:t>
      </w:r>
      <w:r w:rsidRPr="004B54D1">
        <w:rPr>
          <w:rStyle w:val="FootnoteReference"/>
          <w:lang w:val="en-GB"/>
        </w:rPr>
        <w:footnoteReference w:id="19"/>
      </w:r>
    </w:p>
    <w:p w14:paraId="0279B8AA" w14:textId="77777777" w:rsidR="00694184" w:rsidRPr="00694184" w:rsidRDefault="00694184" w:rsidP="00694184">
      <w:pPr>
        <w:pStyle w:val="ListParagraph"/>
        <w:rPr>
          <w:iCs/>
          <w:lang w:val="en-GB"/>
        </w:rPr>
      </w:pPr>
    </w:p>
    <w:p w14:paraId="6934D70D" w14:textId="2CC53809" w:rsidR="004B54D1" w:rsidRPr="00694184" w:rsidRDefault="004B54D1" w:rsidP="00694184">
      <w:pPr>
        <w:pStyle w:val="ListParagraph"/>
        <w:numPr>
          <w:ilvl w:val="0"/>
          <w:numId w:val="10"/>
        </w:numPr>
        <w:autoSpaceDE w:val="0"/>
        <w:autoSpaceDN w:val="0"/>
        <w:adjustRightInd w:val="0"/>
        <w:ind w:left="142" w:hanging="142"/>
        <w:jc w:val="both"/>
        <w:rPr>
          <w:iCs/>
          <w:lang w:val="en-GB"/>
        </w:rPr>
      </w:pPr>
      <w:r w:rsidRPr="00694184">
        <w:rPr>
          <w:lang w:val="en-GB"/>
        </w:rPr>
        <w:t xml:space="preserve">In </w:t>
      </w:r>
      <w:r w:rsidRPr="00694184">
        <w:rPr>
          <w:i/>
          <w:iCs/>
          <w:lang w:val="en-GB"/>
        </w:rPr>
        <w:t>Stallion Security</w:t>
      </w:r>
      <w:r w:rsidRPr="00694184">
        <w:rPr>
          <w:lang w:val="en-GB"/>
        </w:rPr>
        <w:t>, the principle that a ‘sufficiently close’ link would not be established when the business of the employer furnished the ‘mere opportunity to the employee to commit the wrong’ was considered to be a convenient place to start.</w:t>
      </w:r>
      <w:r w:rsidRPr="004B54D1">
        <w:rPr>
          <w:rStyle w:val="FootnoteReference"/>
          <w:lang w:val="en-GB"/>
        </w:rPr>
        <w:footnoteReference w:id="20"/>
      </w:r>
      <w:r w:rsidRPr="00694184">
        <w:rPr>
          <w:lang w:val="en-GB"/>
        </w:rPr>
        <w:t xml:space="preserve"> The example provided in that case explains the point: if, for example, an employee assaults a co-employee or customer whilst on duty and at the workplace over an entirely private matter, the employer would in the absence of any other consideration not be vicariously liable.</w:t>
      </w:r>
      <w:r w:rsidRPr="004B54D1">
        <w:rPr>
          <w:rStyle w:val="FootnoteReference"/>
          <w:lang w:val="en-GB"/>
        </w:rPr>
        <w:footnoteReference w:id="21"/>
      </w:r>
      <w:r w:rsidRPr="00694184">
        <w:rPr>
          <w:lang w:val="en-GB"/>
        </w:rPr>
        <w:t xml:space="preserve"> As a result, something more than a mere opportunity or ‘but for’ causal link is required. This ‘something more’ depends on the factual circumstances and normative considerations relevant to each case and on whether, in the light thereof, the rule should be further developed.</w:t>
      </w:r>
      <w:r w:rsidRPr="004B54D1">
        <w:rPr>
          <w:rStyle w:val="FootnoteReference"/>
          <w:lang w:val="en-GB"/>
        </w:rPr>
        <w:footnoteReference w:id="22"/>
      </w:r>
    </w:p>
    <w:p w14:paraId="0F1FDAD8" w14:textId="77777777" w:rsidR="00694184" w:rsidRPr="00694184" w:rsidRDefault="00694184" w:rsidP="00694184">
      <w:pPr>
        <w:pStyle w:val="ListParagraph"/>
        <w:rPr>
          <w:iCs/>
          <w:lang w:val="en-GB"/>
        </w:rPr>
      </w:pPr>
    </w:p>
    <w:p w14:paraId="2F90AA41" w14:textId="6EA08E4D" w:rsidR="004B54D1" w:rsidRDefault="004B54D1" w:rsidP="00694184">
      <w:pPr>
        <w:pStyle w:val="ListParagraph"/>
        <w:numPr>
          <w:ilvl w:val="0"/>
          <w:numId w:val="10"/>
        </w:numPr>
        <w:autoSpaceDE w:val="0"/>
        <w:autoSpaceDN w:val="0"/>
        <w:adjustRightInd w:val="0"/>
        <w:ind w:left="142" w:hanging="142"/>
        <w:jc w:val="both"/>
        <w:rPr>
          <w:lang w:val="en-GB"/>
        </w:rPr>
      </w:pPr>
      <w:r w:rsidRPr="00694184">
        <w:rPr>
          <w:lang w:val="en-GB"/>
        </w:rPr>
        <w:t xml:space="preserve">In </w:t>
      </w:r>
      <w:r w:rsidRPr="00694184">
        <w:rPr>
          <w:i/>
          <w:iCs/>
          <w:lang w:val="en-GB"/>
        </w:rPr>
        <w:t>K</w:t>
      </w:r>
      <w:r w:rsidRPr="00694184">
        <w:rPr>
          <w:lang w:val="en-GB"/>
        </w:rPr>
        <w:t xml:space="preserve">, the Constitutional Court reproduced the following important principles for determining whether an employer is vicariously liable for an employee’s unauthorised intentional wrong, relying on the unanimous judgment in </w:t>
      </w:r>
      <w:r w:rsidRPr="00694184">
        <w:rPr>
          <w:i/>
          <w:iCs/>
          <w:lang w:val="en-GB"/>
        </w:rPr>
        <w:t>Bazley</w:t>
      </w:r>
      <w:r w:rsidRPr="00694184">
        <w:rPr>
          <w:lang w:val="en-GB"/>
        </w:rPr>
        <w:t>:</w:t>
      </w:r>
      <w:r w:rsidRPr="004B54D1">
        <w:rPr>
          <w:rStyle w:val="FootnoteReference"/>
          <w:lang w:val="en-GB"/>
        </w:rPr>
        <w:footnoteReference w:id="23"/>
      </w:r>
    </w:p>
    <w:p w14:paraId="75E30442" w14:textId="77777777" w:rsidR="008B1C73" w:rsidRDefault="008B1C73" w:rsidP="008B1C73">
      <w:pPr>
        <w:tabs>
          <w:tab w:val="left" w:pos="1134"/>
        </w:tabs>
        <w:ind w:right="-52" w:firstLine="142"/>
        <w:jc w:val="both"/>
        <w:rPr>
          <w:sz w:val="22"/>
          <w:szCs w:val="22"/>
          <w:lang w:val="en-GB"/>
        </w:rPr>
      </w:pPr>
      <w:r w:rsidRPr="00694184">
        <w:rPr>
          <w:sz w:val="22"/>
          <w:szCs w:val="22"/>
          <w:lang w:val="en-GB"/>
        </w:rPr>
        <w:t>‘Courts should be guided by the following principles:</w:t>
      </w:r>
    </w:p>
    <w:p w14:paraId="21275AE1" w14:textId="77777777" w:rsidR="008B1C73" w:rsidRPr="00694184" w:rsidRDefault="008B1C73" w:rsidP="008B1C73">
      <w:pPr>
        <w:tabs>
          <w:tab w:val="left" w:pos="1134"/>
        </w:tabs>
        <w:ind w:right="-52" w:firstLine="142"/>
        <w:jc w:val="both"/>
        <w:rPr>
          <w:sz w:val="22"/>
          <w:szCs w:val="22"/>
          <w:lang w:val="en-GB"/>
        </w:rPr>
      </w:pPr>
    </w:p>
    <w:p w14:paraId="7DD629CC" w14:textId="3FF4C59C" w:rsidR="008B1C73" w:rsidRDefault="008B1C73" w:rsidP="008B1C73">
      <w:pPr>
        <w:pStyle w:val="ListParagraph"/>
        <w:numPr>
          <w:ilvl w:val="0"/>
          <w:numId w:val="12"/>
        </w:numPr>
        <w:tabs>
          <w:tab w:val="left" w:pos="142"/>
        </w:tabs>
        <w:ind w:left="851" w:right="-52" w:hanging="709"/>
        <w:jc w:val="both"/>
        <w:rPr>
          <w:sz w:val="22"/>
          <w:szCs w:val="22"/>
          <w:lang w:val="en-GB"/>
        </w:rPr>
      </w:pPr>
      <w:r w:rsidRPr="00694184">
        <w:rPr>
          <w:sz w:val="22"/>
          <w:szCs w:val="22"/>
          <w:lang w:val="en-GB"/>
        </w:rPr>
        <w:lastRenderedPageBreak/>
        <w:t>They should openly confront the question of whether liability should lie against the employer, rather than obscuring the decision beneath semantic discussions of “scope of employment” and “mode of conduct”.</w:t>
      </w:r>
    </w:p>
    <w:p w14:paraId="2C4DB5C9" w14:textId="77777777" w:rsidR="005C1013" w:rsidRDefault="005C1013" w:rsidP="005C1013">
      <w:pPr>
        <w:pStyle w:val="ListParagraph"/>
        <w:tabs>
          <w:tab w:val="left" w:pos="142"/>
        </w:tabs>
        <w:ind w:left="851" w:right="-52"/>
        <w:jc w:val="both"/>
        <w:rPr>
          <w:sz w:val="22"/>
          <w:szCs w:val="22"/>
          <w:lang w:val="en-GB"/>
        </w:rPr>
      </w:pPr>
    </w:p>
    <w:p w14:paraId="1C0E82EE" w14:textId="77777777" w:rsidR="008B1C73" w:rsidRPr="00694184" w:rsidRDefault="008B1C73" w:rsidP="008B1C73">
      <w:pPr>
        <w:pStyle w:val="ListParagraph"/>
        <w:numPr>
          <w:ilvl w:val="0"/>
          <w:numId w:val="12"/>
        </w:numPr>
        <w:tabs>
          <w:tab w:val="left" w:pos="142"/>
        </w:tabs>
        <w:ind w:left="851" w:right="-52" w:hanging="709"/>
        <w:jc w:val="both"/>
        <w:rPr>
          <w:sz w:val="22"/>
          <w:szCs w:val="22"/>
          <w:lang w:val="en-GB"/>
        </w:rPr>
      </w:pPr>
      <w:r w:rsidRPr="00694184">
        <w:rPr>
          <w:sz w:val="22"/>
          <w:szCs w:val="22"/>
          <w:lang w:val="en-GB"/>
        </w:rPr>
        <w:t xml:space="preserve">The fundamental question is whether the wrongful act is </w:t>
      </w:r>
      <w:r w:rsidRPr="00694184">
        <w:rPr>
          <w:sz w:val="22"/>
          <w:szCs w:val="22"/>
          <w:u w:val="single"/>
          <w:lang w:val="en-GB"/>
        </w:rPr>
        <w:t>sufficiently</w:t>
      </w:r>
      <w:r w:rsidRPr="00694184">
        <w:rPr>
          <w:sz w:val="22"/>
          <w:szCs w:val="22"/>
          <w:lang w:val="en-GB"/>
        </w:rPr>
        <w:t xml:space="preserve"> related to conduct authorised by the employer to justify the imposition of vicarious liability.</w:t>
      </w:r>
    </w:p>
    <w:p w14:paraId="73C195D6" w14:textId="77777777" w:rsidR="008B1C73" w:rsidRDefault="008B1C73" w:rsidP="008B1C73">
      <w:pPr>
        <w:tabs>
          <w:tab w:val="left" w:pos="284"/>
        </w:tabs>
        <w:ind w:left="851" w:right="-52"/>
        <w:jc w:val="both"/>
        <w:rPr>
          <w:sz w:val="22"/>
          <w:szCs w:val="22"/>
          <w:lang w:val="en-GB"/>
        </w:rPr>
      </w:pPr>
    </w:p>
    <w:p w14:paraId="649E277B" w14:textId="77777777" w:rsidR="008B1C73" w:rsidRDefault="008B1C73" w:rsidP="008B1C73">
      <w:pPr>
        <w:tabs>
          <w:tab w:val="left" w:pos="284"/>
        </w:tabs>
        <w:ind w:left="851" w:right="-52"/>
        <w:jc w:val="both"/>
        <w:rPr>
          <w:sz w:val="22"/>
          <w:szCs w:val="22"/>
          <w:lang w:val="en-GB"/>
        </w:rPr>
      </w:pPr>
      <w:r w:rsidRPr="00694184">
        <w:rPr>
          <w:sz w:val="22"/>
          <w:szCs w:val="22"/>
          <w:lang w:val="en-GB"/>
        </w:rPr>
        <w:t xml:space="preserve">Vicarious liability is generally appropriate where there is a significant connection between the </w:t>
      </w:r>
      <w:r w:rsidRPr="00694184">
        <w:rPr>
          <w:sz w:val="22"/>
          <w:szCs w:val="22"/>
          <w:u w:val="single"/>
          <w:lang w:val="en-GB"/>
        </w:rPr>
        <w:t>creation or enhancement of a risk</w:t>
      </w:r>
      <w:r w:rsidRPr="00694184">
        <w:rPr>
          <w:sz w:val="22"/>
          <w:szCs w:val="22"/>
          <w:lang w:val="en-GB"/>
        </w:rPr>
        <w:t xml:space="preserve"> and the wrong that accrues therefrom, even if unrelated to the employer’s desires.</w:t>
      </w:r>
    </w:p>
    <w:p w14:paraId="225D7386" w14:textId="77777777" w:rsidR="008B1C73" w:rsidRDefault="008B1C73" w:rsidP="008B1C73">
      <w:pPr>
        <w:tabs>
          <w:tab w:val="left" w:pos="284"/>
        </w:tabs>
        <w:ind w:left="851" w:right="-52"/>
        <w:jc w:val="both"/>
        <w:rPr>
          <w:sz w:val="22"/>
          <w:szCs w:val="22"/>
          <w:lang w:val="en-GB"/>
        </w:rPr>
      </w:pPr>
    </w:p>
    <w:p w14:paraId="7625AD59" w14:textId="77777777" w:rsidR="008B1C73" w:rsidRPr="00694184" w:rsidRDefault="008B1C73" w:rsidP="008B1C73">
      <w:pPr>
        <w:tabs>
          <w:tab w:val="left" w:pos="284"/>
        </w:tabs>
        <w:ind w:left="851" w:right="-52"/>
        <w:jc w:val="both"/>
        <w:rPr>
          <w:sz w:val="22"/>
          <w:szCs w:val="22"/>
          <w:lang w:val="en-GB"/>
        </w:rPr>
      </w:pPr>
      <w:r w:rsidRPr="00694184">
        <w:rPr>
          <w:sz w:val="22"/>
          <w:szCs w:val="22"/>
          <w:lang w:val="en-GB"/>
        </w:rPr>
        <w:t>Where this is so, vicarious liability will serve the policy considerations of provision of an adequate and just remedy and deterrence. Incidental connections to the employment enterprise, like time and place (without more), will not suffice.</w:t>
      </w:r>
    </w:p>
    <w:p w14:paraId="1E782F16" w14:textId="77777777" w:rsidR="008B1C73" w:rsidRPr="00694184" w:rsidRDefault="008B1C73" w:rsidP="008B1C73">
      <w:pPr>
        <w:tabs>
          <w:tab w:val="left" w:pos="1134"/>
        </w:tabs>
        <w:ind w:right="-52"/>
        <w:jc w:val="both"/>
        <w:rPr>
          <w:color w:val="000000"/>
          <w:sz w:val="22"/>
          <w:szCs w:val="22"/>
        </w:rPr>
      </w:pPr>
    </w:p>
    <w:p w14:paraId="03B32D4C" w14:textId="77777777" w:rsidR="008B1C73" w:rsidRPr="00694184" w:rsidRDefault="008B1C73" w:rsidP="008B1C73">
      <w:pPr>
        <w:pStyle w:val="ListParagraph"/>
        <w:numPr>
          <w:ilvl w:val="0"/>
          <w:numId w:val="12"/>
        </w:numPr>
        <w:tabs>
          <w:tab w:val="left" w:pos="1134"/>
        </w:tabs>
        <w:ind w:left="851" w:right="-52" w:hanging="709"/>
        <w:jc w:val="both"/>
        <w:rPr>
          <w:sz w:val="22"/>
          <w:szCs w:val="22"/>
          <w:lang w:val="en-GB"/>
        </w:rPr>
      </w:pPr>
      <w:r w:rsidRPr="00694184">
        <w:rPr>
          <w:sz w:val="22"/>
          <w:szCs w:val="22"/>
          <w:lang w:val="en-GB"/>
        </w:rPr>
        <w:t xml:space="preserve">In determining the sufficiency of the connection between </w:t>
      </w:r>
      <w:r w:rsidRPr="00694184">
        <w:rPr>
          <w:sz w:val="22"/>
          <w:szCs w:val="22"/>
          <w:u w:val="single"/>
          <w:lang w:val="en-GB"/>
        </w:rPr>
        <w:t>the employer’s creation or enhancement of the risk</w:t>
      </w:r>
      <w:r w:rsidRPr="00694184">
        <w:rPr>
          <w:sz w:val="22"/>
          <w:szCs w:val="22"/>
          <w:lang w:val="en-GB"/>
        </w:rPr>
        <w:t xml:space="preserve"> and the wrong complained of, subsidiary factors may be considered. These may vary with the nature of the case. When related to intentional torts, the relevant factors may include, but are not limited to, the following:</w:t>
      </w:r>
    </w:p>
    <w:p w14:paraId="0BDD68F8" w14:textId="77777777" w:rsidR="008B1C73" w:rsidRPr="00694184" w:rsidRDefault="008B1C73" w:rsidP="008B1C73">
      <w:pPr>
        <w:pStyle w:val="ListParagraph"/>
        <w:numPr>
          <w:ilvl w:val="0"/>
          <w:numId w:val="13"/>
        </w:numPr>
        <w:tabs>
          <w:tab w:val="left" w:pos="1134"/>
        </w:tabs>
        <w:ind w:right="-52"/>
        <w:jc w:val="both"/>
        <w:rPr>
          <w:i/>
          <w:iCs/>
          <w:sz w:val="22"/>
          <w:szCs w:val="22"/>
          <w:lang w:val="en-GB"/>
        </w:rPr>
      </w:pPr>
      <w:r w:rsidRPr="00694184">
        <w:rPr>
          <w:sz w:val="22"/>
          <w:szCs w:val="22"/>
          <w:lang w:val="en-GB"/>
        </w:rPr>
        <w:t>the opportunity that the enterprise afforded the employee to abuse his or her power;</w:t>
      </w:r>
    </w:p>
    <w:p w14:paraId="4810B9F3" w14:textId="77777777" w:rsidR="008B1C73" w:rsidRPr="00694184" w:rsidRDefault="008B1C73" w:rsidP="008B1C73">
      <w:pPr>
        <w:pStyle w:val="ListParagraph"/>
        <w:numPr>
          <w:ilvl w:val="0"/>
          <w:numId w:val="13"/>
        </w:numPr>
        <w:tabs>
          <w:tab w:val="left" w:pos="1134"/>
        </w:tabs>
        <w:ind w:right="-52"/>
        <w:jc w:val="both"/>
        <w:rPr>
          <w:i/>
          <w:iCs/>
          <w:sz w:val="22"/>
          <w:szCs w:val="22"/>
          <w:lang w:val="en-GB"/>
        </w:rPr>
      </w:pPr>
      <w:r w:rsidRPr="00694184">
        <w:rPr>
          <w:sz w:val="22"/>
          <w:szCs w:val="22"/>
          <w:lang w:val="en-GB"/>
        </w:rPr>
        <w:t>the extent to which the wrongful act may have furthered the employer’s aims (and hence be more likely to have been committed by the employee);</w:t>
      </w:r>
    </w:p>
    <w:p w14:paraId="44BA8089" w14:textId="77777777" w:rsidR="008B1C73" w:rsidRPr="00694184" w:rsidRDefault="008B1C73" w:rsidP="008B1C73">
      <w:pPr>
        <w:pStyle w:val="ListParagraph"/>
        <w:numPr>
          <w:ilvl w:val="0"/>
          <w:numId w:val="13"/>
        </w:numPr>
        <w:tabs>
          <w:tab w:val="left" w:pos="1134"/>
        </w:tabs>
        <w:ind w:right="-52"/>
        <w:jc w:val="both"/>
        <w:rPr>
          <w:i/>
          <w:iCs/>
          <w:sz w:val="22"/>
          <w:szCs w:val="22"/>
          <w:lang w:val="en-GB"/>
        </w:rPr>
      </w:pPr>
      <w:r w:rsidRPr="00694184">
        <w:rPr>
          <w:sz w:val="22"/>
          <w:szCs w:val="22"/>
          <w:lang w:val="en-GB"/>
        </w:rPr>
        <w:t>the extent to which the wrongful act was related to friction, confrontation or intimacy inherent in the employer’s enterprise;</w:t>
      </w:r>
    </w:p>
    <w:p w14:paraId="41E1D8C4" w14:textId="77777777" w:rsidR="008B1C73" w:rsidRPr="00694184" w:rsidRDefault="008B1C73" w:rsidP="008B1C73">
      <w:pPr>
        <w:pStyle w:val="ListParagraph"/>
        <w:numPr>
          <w:ilvl w:val="0"/>
          <w:numId w:val="13"/>
        </w:numPr>
        <w:tabs>
          <w:tab w:val="left" w:pos="1134"/>
        </w:tabs>
        <w:ind w:right="-52"/>
        <w:jc w:val="both"/>
        <w:rPr>
          <w:i/>
          <w:iCs/>
          <w:sz w:val="22"/>
          <w:szCs w:val="22"/>
          <w:lang w:val="en-GB"/>
        </w:rPr>
      </w:pPr>
      <w:r w:rsidRPr="00694184">
        <w:rPr>
          <w:sz w:val="22"/>
          <w:szCs w:val="22"/>
          <w:lang w:val="en-GB"/>
        </w:rPr>
        <w:t>the extent of power conferred on the employee in relation to the victim;</w:t>
      </w:r>
    </w:p>
    <w:p w14:paraId="1045BE9B" w14:textId="77777777" w:rsidR="008B1C73" w:rsidRPr="008B1C73" w:rsidRDefault="008B1C73" w:rsidP="008B1C73">
      <w:pPr>
        <w:pStyle w:val="ListParagraph"/>
        <w:numPr>
          <w:ilvl w:val="0"/>
          <w:numId w:val="13"/>
        </w:numPr>
        <w:tabs>
          <w:tab w:val="left" w:pos="1134"/>
        </w:tabs>
        <w:ind w:right="-52"/>
        <w:jc w:val="both"/>
        <w:rPr>
          <w:i/>
          <w:iCs/>
          <w:sz w:val="22"/>
          <w:szCs w:val="22"/>
          <w:lang w:val="en-GB"/>
        </w:rPr>
      </w:pPr>
      <w:r w:rsidRPr="00694184">
        <w:rPr>
          <w:sz w:val="22"/>
          <w:szCs w:val="22"/>
          <w:lang w:val="en-GB"/>
        </w:rPr>
        <w:t>the vulnerability of potential victims to wrongful exercise of the employee’s power.’ [Emphasis in original.]</w:t>
      </w:r>
    </w:p>
    <w:p w14:paraId="6E1D1E88" w14:textId="77777777" w:rsidR="008B1C73" w:rsidRPr="008B1C73" w:rsidRDefault="008B1C73" w:rsidP="008B1C73">
      <w:pPr>
        <w:rPr>
          <w:lang w:val="en-GB"/>
        </w:rPr>
      </w:pPr>
    </w:p>
    <w:p w14:paraId="036634F6" w14:textId="0D98F1C1" w:rsidR="004B54D1" w:rsidRDefault="004B54D1" w:rsidP="00B27E61">
      <w:pPr>
        <w:pStyle w:val="ListParagraph"/>
        <w:numPr>
          <w:ilvl w:val="0"/>
          <w:numId w:val="10"/>
        </w:numPr>
        <w:autoSpaceDE w:val="0"/>
        <w:autoSpaceDN w:val="0"/>
        <w:adjustRightInd w:val="0"/>
        <w:ind w:left="142" w:hanging="142"/>
        <w:jc w:val="both"/>
        <w:rPr>
          <w:lang w:val="en-GB"/>
        </w:rPr>
      </w:pPr>
      <w:r w:rsidRPr="008B1C73">
        <w:rPr>
          <w:lang w:val="en-GB"/>
        </w:rPr>
        <w:t xml:space="preserve">In </w:t>
      </w:r>
      <w:r w:rsidRPr="008B1C73">
        <w:rPr>
          <w:i/>
          <w:iCs/>
          <w:lang w:val="en-GB"/>
        </w:rPr>
        <w:t>Minister of Safety and Security v Japmoco BK t/a Status Motors</w:t>
      </w:r>
      <w:r w:rsidRPr="008B1C73">
        <w:rPr>
          <w:lang w:val="en-GB"/>
        </w:rPr>
        <w:t>,</w:t>
      </w:r>
      <w:r w:rsidRPr="004B54D1">
        <w:rPr>
          <w:rStyle w:val="FootnoteReference"/>
          <w:lang w:val="en-GB"/>
        </w:rPr>
        <w:footnoteReference w:id="24"/>
      </w:r>
      <w:r w:rsidRPr="008B1C73">
        <w:rPr>
          <w:lang w:val="en-GB"/>
        </w:rPr>
        <w:t xml:space="preserve"> policemen had intentionally issued false motor vehicle clearance certificates, knowing that innocent third parties could be misled to their detriment thereby. Subjectively speaking, their prime objective was to serve their own pockets. Objectively speaking, </w:t>
      </w:r>
      <w:r w:rsidRPr="008B1C73">
        <w:rPr>
          <w:lang w:val="en-GB"/>
        </w:rPr>
        <w:lastRenderedPageBreak/>
        <w:t>however, the Supreme Court of Appeal held that each of them was performing the exact task assigned to them. It could not be said that they had totally distanced themselves from their assigned duties.</w:t>
      </w:r>
      <w:r w:rsidRPr="004B54D1">
        <w:rPr>
          <w:rStyle w:val="FootnoteReference"/>
          <w:lang w:val="en-GB"/>
        </w:rPr>
        <w:footnoteReference w:id="25"/>
      </w:r>
      <w:r w:rsidRPr="008B1C73">
        <w:rPr>
          <w:lang w:val="en-GB"/>
        </w:rPr>
        <w:t xml:space="preserve"> There was a close connection between the employees’ actions for their own interests and purposes and the business of the employer, so that the appellant was, in principle, responsible for its employees’ actions.</w:t>
      </w:r>
      <w:r w:rsidRPr="004B54D1">
        <w:rPr>
          <w:rStyle w:val="FootnoteReference"/>
          <w:lang w:val="en-GB"/>
        </w:rPr>
        <w:footnoteReference w:id="26"/>
      </w:r>
    </w:p>
    <w:p w14:paraId="3F7F2865" w14:textId="77777777" w:rsidR="00B27E61" w:rsidRDefault="00B27E61" w:rsidP="00B27E61">
      <w:pPr>
        <w:pStyle w:val="ListParagraph"/>
        <w:autoSpaceDE w:val="0"/>
        <w:autoSpaceDN w:val="0"/>
        <w:adjustRightInd w:val="0"/>
        <w:ind w:left="142"/>
        <w:jc w:val="both"/>
        <w:rPr>
          <w:lang w:val="en-GB"/>
        </w:rPr>
      </w:pPr>
    </w:p>
    <w:p w14:paraId="672EE876" w14:textId="225E1E15" w:rsidR="00B27E61" w:rsidRDefault="005C1013" w:rsidP="00B27E61">
      <w:pPr>
        <w:pStyle w:val="ListParagraph"/>
        <w:numPr>
          <w:ilvl w:val="0"/>
          <w:numId w:val="10"/>
        </w:numPr>
        <w:autoSpaceDE w:val="0"/>
        <w:autoSpaceDN w:val="0"/>
        <w:adjustRightInd w:val="0"/>
        <w:ind w:left="142" w:hanging="142"/>
        <w:jc w:val="both"/>
        <w:rPr>
          <w:lang w:val="en-GB"/>
        </w:rPr>
      </w:pPr>
      <w:r>
        <w:rPr>
          <w:lang w:val="en-GB"/>
        </w:rPr>
        <w:t>So too in this instance</w:t>
      </w:r>
      <w:r w:rsidR="005466AA">
        <w:rPr>
          <w:lang w:val="en-GB"/>
        </w:rPr>
        <w:t xml:space="preserve">, as demonstrated by the purported </w:t>
      </w:r>
      <w:r w:rsidR="00B163B9">
        <w:rPr>
          <w:lang w:val="en-GB"/>
        </w:rPr>
        <w:t xml:space="preserve">search, </w:t>
      </w:r>
      <w:r w:rsidR="005466AA">
        <w:rPr>
          <w:lang w:val="en-GB"/>
        </w:rPr>
        <w:t>arrest and release of the plaintiff by the police officers.</w:t>
      </w:r>
      <w:r w:rsidR="006E31DA">
        <w:rPr>
          <w:lang w:val="en-GB"/>
        </w:rPr>
        <w:t xml:space="preserve"> Two officers were in uniform and the third wore a police vest over plain clothes. The officers attended the scene in a police vehicle. It must be accepted, on the probabilities, that two were on duty and at least one carried a rifle issued by their employer. </w:t>
      </w:r>
      <w:r w:rsidR="00D4579A">
        <w:rPr>
          <w:lang w:val="en-GB"/>
        </w:rPr>
        <w:t>The probabilities favour p</w:t>
      </w:r>
      <w:r w:rsidR="006E31DA">
        <w:rPr>
          <w:lang w:val="en-GB"/>
        </w:rPr>
        <w:t xml:space="preserve">olice-issued handcuffs </w:t>
      </w:r>
      <w:r w:rsidR="00D4579A">
        <w:rPr>
          <w:lang w:val="en-GB"/>
        </w:rPr>
        <w:t>being</w:t>
      </w:r>
      <w:r w:rsidR="006E31DA">
        <w:rPr>
          <w:lang w:val="en-GB"/>
        </w:rPr>
        <w:t xml:space="preserve"> used to inflict harm on the plaintiff.</w:t>
      </w:r>
      <w:r w:rsidR="006A06AF">
        <w:rPr>
          <w:lang w:val="en-GB"/>
        </w:rPr>
        <w:t xml:space="preserve"> Although the motive is uncertain, </w:t>
      </w:r>
      <w:r w:rsidR="00E141B4">
        <w:rPr>
          <w:lang w:val="en-GB"/>
        </w:rPr>
        <w:t xml:space="preserve">based on Mvunyiswa’s testimony </w:t>
      </w:r>
      <w:r w:rsidR="006A06AF">
        <w:rPr>
          <w:lang w:val="en-GB"/>
        </w:rPr>
        <w:t xml:space="preserve">it is likely that this relates to friction and confrontation inherent in </w:t>
      </w:r>
      <w:r w:rsidR="00984105">
        <w:rPr>
          <w:lang w:val="en-GB"/>
        </w:rPr>
        <w:t>certain</w:t>
      </w:r>
      <w:r w:rsidR="006A06AF">
        <w:rPr>
          <w:lang w:val="en-GB"/>
        </w:rPr>
        <w:t xml:space="preserve"> interactions between police and civilians.</w:t>
      </w:r>
      <w:r w:rsidR="00DD5369">
        <w:rPr>
          <w:lang w:val="en-GB"/>
        </w:rPr>
        <w:t xml:space="preserve"> </w:t>
      </w:r>
      <w:r w:rsidR="00625E88">
        <w:rPr>
          <w:lang w:val="en-GB"/>
        </w:rPr>
        <w:t>Police</w:t>
      </w:r>
      <w:r w:rsidR="006412B0">
        <w:rPr>
          <w:lang w:val="en-GB"/>
        </w:rPr>
        <w:t xml:space="preserve"> officers are placed in a position of power over ordinary citizens. </w:t>
      </w:r>
      <w:r w:rsidR="00DD5369">
        <w:rPr>
          <w:lang w:val="en-GB"/>
        </w:rPr>
        <w:t>Persons in the position of the plaintiff are vulnerable to such conduct</w:t>
      </w:r>
      <w:r w:rsidR="00391B08">
        <w:rPr>
          <w:lang w:val="en-GB"/>
        </w:rPr>
        <w:t xml:space="preserve"> and helpless in the face of it.</w:t>
      </w:r>
      <w:r w:rsidR="00DC146B">
        <w:rPr>
          <w:lang w:val="en-GB"/>
        </w:rPr>
        <w:t xml:space="preserve"> For these reasons the </w:t>
      </w:r>
      <w:r w:rsidR="00B669E6">
        <w:rPr>
          <w:lang w:val="en-GB"/>
        </w:rPr>
        <w:t>link is</w:t>
      </w:r>
      <w:r w:rsidR="0041743E">
        <w:rPr>
          <w:lang w:val="en-GB"/>
        </w:rPr>
        <w:t>, objectively,</w:t>
      </w:r>
      <w:r w:rsidR="00B669E6">
        <w:rPr>
          <w:lang w:val="en-GB"/>
        </w:rPr>
        <w:t xml:space="preserve"> sufficiently close, going beyond the mere creation of an opportunity to cause such harm, so that the </w:t>
      </w:r>
      <w:r w:rsidR="00DC146B">
        <w:rPr>
          <w:lang w:val="en-GB"/>
        </w:rPr>
        <w:t>defendant must be held responsible for the conduct of its employees.</w:t>
      </w:r>
    </w:p>
    <w:p w14:paraId="25BDAD58" w14:textId="77777777" w:rsidR="005D33C6" w:rsidRPr="005D33C6" w:rsidRDefault="005D33C6" w:rsidP="005D33C6">
      <w:pPr>
        <w:pStyle w:val="ListParagraph"/>
        <w:rPr>
          <w:lang w:val="en-GB"/>
        </w:rPr>
      </w:pPr>
    </w:p>
    <w:p w14:paraId="0FB4CA33" w14:textId="7E4EC73C" w:rsidR="005D33C6" w:rsidRDefault="005D33C6" w:rsidP="005D33C6">
      <w:pPr>
        <w:pStyle w:val="ListParagraph"/>
        <w:numPr>
          <w:ilvl w:val="0"/>
          <w:numId w:val="10"/>
        </w:numPr>
        <w:autoSpaceDE w:val="0"/>
        <w:autoSpaceDN w:val="0"/>
        <w:adjustRightInd w:val="0"/>
        <w:ind w:left="142" w:hanging="142"/>
        <w:jc w:val="both"/>
        <w:rPr>
          <w:lang w:val="en-GB"/>
        </w:rPr>
      </w:pPr>
      <w:r>
        <w:rPr>
          <w:lang w:val="en-GB"/>
        </w:rPr>
        <w:t>The plaintiff has, in my view, succeeded in discharging the onus of proof</w:t>
      </w:r>
      <w:r w:rsidR="004C6923">
        <w:rPr>
          <w:lang w:val="en-GB"/>
        </w:rPr>
        <w:t xml:space="preserve"> and is entitled to a judgment on the merits</w:t>
      </w:r>
      <w:r w:rsidR="00573D2F">
        <w:rPr>
          <w:lang w:val="en-GB"/>
        </w:rPr>
        <w:t>, together with costs.</w:t>
      </w:r>
    </w:p>
    <w:p w14:paraId="60664B9E" w14:textId="444C858D" w:rsidR="004C6923" w:rsidRDefault="004C6923" w:rsidP="004C6923">
      <w:pPr>
        <w:rPr>
          <w:lang w:val="en-GB"/>
        </w:rPr>
      </w:pPr>
    </w:p>
    <w:p w14:paraId="46AC58B9" w14:textId="15764FEA" w:rsidR="004C6923" w:rsidRDefault="004C6923" w:rsidP="004C6923">
      <w:pPr>
        <w:rPr>
          <w:b/>
          <w:bCs/>
          <w:lang w:val="en-GB"/>
        </w:rPr>
      </w:pPr>
      <w:r>
        <w:rPr>
          <w:b/>
          <w:bCs/>
          <w:lang w:val="en-GB"/>
        </w:rPr>
        <w:t>Order</w:t>
      </w:r>
    </w:p>
    <w:p w14:paraId="76E482B8" w14:textId="77777777" w:rsidR="004C6923" w:rsidRPr="004C6923" w:rsidRDefault="004C6923" w:rsidP="004C6923">
      <w:pPr>
        <w:rPr>
          <w:b/>
          <w:bCs/>
          <w:lang w:val="en-GB"/>
        </w:rPr>
      </w:pPr>
    </w:p>
    <w:p w14:paraId="0DB47E84" w14:textId="34493655" w:rsidR="004C6923" w:rsidRDefault="007D2EBF" w:rsidP="005D33C6">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77B62115" w14:textId="21202A67" w:rsidR="007D2EBF" w:rsidRDefault="007D2EBF" w:rsidP="007D2EBF">
      <w:pPr>
        <w:pStyle w:val="ListParagraph"/>
        <w:autoSpaceDE w:val="0"/>
        <w:autoSpaceDN w:val="0"/>
        <w:adjustRightInd w:val="0"/>
        <w:ind w:left="142"/>
        <w:jc w:val="both"/>
        <w:rPr>
          <w:lang w:val="en-GB"/>
        </w:rPr>
      </w:pPr>
    </w:p>
    <w:p w14:paraId="68616328" w14:textId="720C9C90" w:rsidR="003A0C87" w:rsidRDefault="001C397B" w:rsidP="005F77C7">
      <w:pPr>
        <w:pStyle w:val="ListParagraph"/>
        <w:numPr>
          <w:ilvl w:val="0"/>
          <w:numId w:val="15"/>
        </w:numPr>
        <w:autoSpaceDE w:val="0"/>
        <w:autoSpaceDN w:val="0"/>
        <w:adjustRightInd w:val="0"/>
        <w:jc w:val="both"/>
        <w:rPr>
          <w:lang w:val="en-GB"/>
        </w:rPr>
      </w:pPr>
      <w:r w:rsidRPr="00395861">
        <w:rPr>
          <w:lang w:val="en-GB"/>
        </w:rPr>
        <w:t xml:space="preserve">The </w:t>
      </w:r>
      <w:r w:rsidR="00027CAB" w:rsidRPr="00395861">
        <w:rPr>
          <w:lang w:val="en-GB"/>
        </w:rPr>
        <w:t xml:space="preserve">plaintiff’s claim for unlawful arrest and assault on 9 December 2018 succeeds on the merits. </w:t>
      </w:r>
      <w:r w:rsidR="0023780B" w:rsidRPr="00395861">
        <w:rPr>
          <w:lang w:val="en-GB"/>
        </w:rPr>
        <w:t xml:space="preserve">The </w:t>
      </w:r>
      <w:r w:rsidRPr="00395861">
        <w:rPr>
          <w:lang w:val="en-GB"/>
        </w:rPr>
        <w:t xml:space="preserve">defendant is liable </w:t>
      </w:r>
      <w:r w:rsidR="000F4DA7" w:rsidRPr="00395861">
        <w:rPr>
          <w:lang w:val="en-GB"/>
        </w:rPr>
        <w:t xml:space="preserve">for </w:t>
      </w:r>
      <w:r w:rsidR="00395861" w:rsidRPr="00395861">
        <w:rPr>
          <w:lang w:val="en-GB"/>
        </w:rPr>
        <w:t>any resultant damages that the plaintiff is able to</w:t>
      </w:r>
      <w:r w:rsidR="000F4DA7" w:rsidRPr="00395861">
        <w:rPr>
          <w:lang w:val="en-GB"/>
        </w:rPr>
        <w:t xml:space="preserve"> prove</w:t>
      </w:r>
      <w:r w:rsidR="00395861" w:rsidRPr="00395861">
        <w:rPr>
          <w:lang w:val="en-GB"/>
        </w:rPr>
        <w:t>.</w:t>
      </w:r>
      <w:r w:rsidR="000F4DA7" w:rsidRPr="00395861">
        <w:rPr>
          <w:lang w:val="en-GB"/>
        </w:rPr>
        <w:t xml:space="preserve"> </w:t>
      </w:r>
    </w:p>
    <w:p w14:paraId="68DF3C77" w14:textId="77777777" w:rsidR="00395861" w:rsidRPr="00395861" w:rsidRDefault="00395861" w:rsidP="00395861">
      <w:pPr>
        <w:pStyle w:val="ListParagraph"/>
        <w:autoSpaceDE w:val="0"/>
        <w:autoSpaceDN w:val="0"/>
        <w:adjustRightInd w:val="0"/>
        <w:ind w:left="502"/>
        <w:jc w:val="both"/>
        <w:rPr>
          <w:lang w:val="en-GB"/>
        </w:rPr>
      </w:pPr>
    </w:p>
    <w:p w14:paraId="7CEBF3A9" w14:textId="6BFCA2D9" w:rsidR="000F4DA7" w:rsidRPr="005D33C6" w:rsidRDefault="003A0C87" w:rsidP="007D2EBF">
      <w:pPr>
        <w:pStyle w:val="ListParagraph"/>
        <w:numPr>
          <w:ilvl w:val="0"/>
          <w:numId w:val="15"/>
        </w:numPr>
        <w:autoSpaceDE w:val="0"/>
        <w:autoSpaceDN w:val="0"/>
        <w:adjustRightInd w:val="0"/>
        <w:jc w:val="both"/>
        <w:rPr>
          <w:lang w:val="en-GB"/>
        </w:rPr>
      </w:pPr>
      <w:r>
        <w:rPr>
          <w:lang w:val="en-GB"/>
        </w:rPr>
        <w:t>The defendant shall pay the plaintiff’s taxed or agreed costs</w:t>
      </w:r>
      <w:r w:rsidR="007B1612">
        <w:rPr>
          <w:lang w:val="en-GB"/>
        </w:rPr>
        <w:t xml:space="preserve"> on a party and party scale.</w:t>
      </w:r>
    </w:p>
    <w:p w14:paraId="4A00EBD3" w14:textId="77777777" w:rsidR="002D4F66" w:rsidRPr="008C480D" w:rsidRDefault="002D4F66" w:rsidP="008C480D">
      <w:pPr>
        <w:autoSpaceDE w:val="0"/>
        <w:autoSpaceDN w:val="0"/>
        <w:adjustRightInd w:val="0"/>
        <w:jc w:val="both"/>
        <w:rPr>
          <w:lang w:val="en-GB"/>
        </w:rPr>
      </w:pPr>
    </w:p>
    <w:p w14:paraId="03586F28" w14:textId="5CB2C1CD" w:rsidR="0029381D" w:rsidRPr="0029381D" w:rsidRDefault="0029381D" w:rsidP="0029381D">
      <w:pPr>
        <w:spacing w:line="240" w:lineRule="auto"/>
        <w:rPr>
          <w:rFonts w:ascii="Times New Roman" w:eastAsia="Times New Roman" w:hAnsi="Times New Roman" w:cs="Times New Roman"/>
          <w:color w:val="auto"/>
          <w:lang w:eastAsia="en-GB"/>
        </w:rPr>
      </w:pPr>
    </w:p>
    <w:p w14:paraId="75D59456" w14:textId="5D0A54F9" w:rsidR="0029381D" w:rsidRPr="0053479C" w:rsidRDefault="0029381D" w:rsidP="00682CE5">
      <w:pPr>
        <w:autoSpaceDE w:val="0"/>
        <w:autoSpaceDN w:val="0"/>
        <w:adjustRightInd w:val="0"/>
        <w:jc w:val="both"/>
        <w:rPr>
          <w:iCs/>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04EEEF0A" w14:textId="541452FE" w:rsidR="007A7BBE" w:rsidRPr="00A87D38" w:rsidRDefault="00D35C64" w:rsidP="00D35C64">
      <w:pPr>
        <w:widowControl w:val="0"/>
        <w:tabs>
          <w:tab w:val="left" w:pos="4962"/>
        </w:tabs>
        <w:ind w:firstLine="720"/>
        <w:jc w:val="center"/>
        <w:rPr>
          <w:spacing w:val="14"/>
          <w:kern w:val="2"/>
          <w:lang w:val="en-GB"/>
        </w:rPr>
      </w:pPr>
      <w:r>
        <w:rPr>
          <w:b/>
          <w:spacing w:val="14"/>
          <w:kern w:val="2"/>
          <w:lang w:val="en-GB"/>
        </w:rPr>
        <w:t xml:space="preserve">                                   </w:t>
      </w:r>
      <w:r w:rsidR="007A7BBE" w:rsidRPr="00402AF3">
        <w:rPr>
          <w:b/>
          <w:spacing w:val="14"/>
          <w:kern w:val="2"/>
          <w:lang w:val="en-GB"/>
        </w:rPr>
        <w:t>Heard</w:t>
      </w:r>
      <w:r w:rsidR="007A7BBE" w:rsidRPr="00A87D38">
        <w:rPr>
          <w:spacing w:val="14"/>
          <w:kern w:val="2"/>
          <w:lang w:val="en-GB"/>
        </w:rPr>
        <w:t>:</w:t>
      </w:r>
      <w:r w:rsidR="00402AF3">
        <w:rPr>
          <w:spacing w:val="14"/>
          <w:kern w:val="2"/>
          <w:lang w:val="en-GB"/>
        </w:rPr>
        <w:t>20 July 2022</w:t>
      </w:r>
    </w:p>
    <w:p w14:paraId="5D550954" w14:textId="755A1428" w:rsidR="007A7BBE" w:rsidRPr="00A87D38" w:rsidRDefault="00D35C64" w:rsidP="00D35C64">
      <w:pPr>
        <w:widowControl w:val="0"/>
        <w:tabs>
          <w:tab w:val="left" w:pos="4820"/>
        </w:tabs>
        <w:jc w:val="center"/>
        <w:rPr>
          <w:spacing w:val="14"/>
          <w:kern w:val="2"/>
          <w:lang w:val="en-GB"/>
        </w:rPr>
      </w:pPr>
      <w:r>
        <w:rPr>
          <w:b/>
          <w:spacing w:val="14"/>
          <w:kern w:val="2"/>
          <w:lang w:val="en-GB"/>
        </w:rPr>
        <w:tab/>
      </w:r>
      <w:r w:rsidR="007A7BBE" w:rsidRPr="00402AF3">
        <w:rPr>
          <w:b/>
          <w:spacing w:val="14"/>
          <w:kern w:val="2"/>
          <w:lang w:val="en-GB"/>
        </w:rPr>
        <w:t>Delivered</w:t>
      </w:r>
      <w:r w:rsidR="007A7BBE" w:rsidRPr="00A87D38">
        <w:rPr>
          <w:spacing w:val="14"/>
          <w:kern w:val="2"/>
          <w:lang w:val="en-GB"/>
        </w:rPr>
        <w:t>:</w:t>
      </w:r>
      <w:r w:rsidR="00402AF3">
        <w:rPr>
          <w:spacing w:val="14"/>
          <w:kern w:val="2"/>
          <w:lang w:val="en-GB"/>
        </w:rPr>
        <w:t>20 September 2022</w:t>
      </w:r>
    </w:p>
    <w:p w14:paraId="398380BF" w14:textId="77777777" w:rsidR="007A7BBE" w:rsidRPr="00044B50" w:rsidRDefault="007A7BBE" w:rsidP="004A5151">
      <w:pPr>
        <w:autoSpaceDE w:val="0"/>
        <w:autoSpaceDN w:val="0"/>
        <w:adjustRightInd w:val="0"/>
        <w:jc w:val="both"/>
        <w:rPr>
          <w:lang w:val="en-GB"/>
        </w:rPr>
      </w:pPr>
    </w:p>
    <w:p w14:paraId="7DB4F1D5" w14:textId="77777777" w:rsidR="00D35C64" w:rsidRPr="00D35C64" w:rsidRDefault="00D35C64" w:rsidP="00D35C64">
      <w:pPr>
        <w:jc w:val="both"/>
        <w:rPr>
          <w:lang w:val="en-GB"/>
        </w:rPr>
      </w:pPr>
      <w:r w:rsidRPr="00D35C64">
        <w:rPr>
          <w:lang w:val="en-GB"/>
        </w:rPr>
        <w:t xml:space="preserve">Appearances: </w:t>
      </w:r>
    </w:p>
    <w:p w14:paraId="21AE6F11" w14:textId="77777777" w:rsidR="00D35C64" w:rsidRPr="00D35C64" w:rsidRDefault="00D35C64" w:rsidP="00D35C64">
      <w:pPr>
        <w:rPr>
          <w:lang w:val="en-GB"/>
        </w:rPr>
      </w:pPr>
    </w:p>
    <w:p w14:paraId="3BE7AE3A" w14:textId="18FCCF9D" w:rsidR="00D35C64" w:rsidRPr="00D35C64" w:rsidRDefault="00D35C64" w:rsidP="00D35C64">
      <w:pPr>
        <w:tabs>
          <w:tab w:val="left" w:pos="3261"/>
          <w:tab w:val="center" w:pos="4003"/>
        </w:tabs>
        <w:jc w:val="both"/>
        <w:rPr>
          <w:bCs/>
          <w:lang w:val="en-US"/>
        </w:rPr>
      </w:pPr>
      <w:r>
        <w:rPr>
          <w:color w:val="auto"/>
        </w:rPr>
        <w:t>Plaintiff’s</w:t>
      </w:r>
      <w:r w:rsidRPr="00D35C64">
        <w:rPr>
          <w:color w:val="auto"/>
        </w:rPr>
        <w:t xml:space="preserve"> Counsel:</w:t>
      </w:r>
      <w:r w:rsidRPr="00D35C64">
        <w:rPr>
          <w:color w:val="auto"/>
        </w:rPr>
        <w:tab/>
      </w:r>
      <w:r w:rsidRPr="00D35C64">
        <w:rPr>
          <w:bCs/>
          <w:lang w:val="en-US"/>
        </w:rPr>
        <w:t xml:space="preserve">Adv </w:t>
      </w:r>
      <w:r>
        <w:rPr>
          <w:bCs/>
          <w:lang w:val="en-US"/>
        </w:rPr>
        <w:t>SA Sephton</w:t>
      </w:r>
    </w:p>
    <w:p w14:paraId="4213B2C0" w14:textId="77777777" w:rsidR="00D35C64" w:rsidRPr="00D35C64" w:rsidRDefault="00D35C64" w:rsidP="00D35C64">
      <w:pPr>
        <w:tabs>
          <w:tab w:val="left" w:pos="3261"/>
          <w:tab w:val="center" w:pos="4003"/>
        </w:tabs>
        <w:jc w:val="both"/>
        <w:rPr>
          <w:color w:val="auto"/>
        </w:rPr>
      </w:pPr>
      <w:r w:rsidRPr="00D35C64">
        <w:rPr>
          <w:color w:val="auto"/>
        </w:rPr>
        <w:tab/>
      </w:r>
    </w:p>
    <w:p w14:paraId="08BD34C3" w14:textId="76798B53" w:rsidR="00D35C64" w:rsidRPr="00D35C64" w:rsidRDefault="00D35C64" w:rsidP="00D35C64">
      <w:pPr>
        <w:tabs>
          <w:tab w:val="left" w:pos="3261"/>
          <w:tab w:val="center" w:pos="4003"/>
        </w:tabs>
        <w:jc w:val="both"/>
        <w:rPr>
          <w:color w:val="auto"/>
        </w:rPr>
      </w:pPr>
      <w:r w:rsidRPr="00D35C64">
        <w:rPr>
          <w:color w:val="auto"/>
        </w:rPr>
        <w:t xml:space="preserve">Instructed by                     :      </w:t>
      </w:r>
      <w:r>
        <w:rPr>
          <w:color w:val="auto"/>
        </w:rPr>
        <w:t>Mbambo Attorneys Inc.</w:t>
      </w:r>
    </w:p>
    <w:p w14:paraId="5D9DDB7A" w14:textId="4C694CAC" w:rsidR="00D35C64" w:rsidRPr="00D35C64" w:rsidRDefault="00D35C64" w:rsidP="00D35C64">
      <w:pPr>
        <w:tabs>
          <w:tab w:val="left" w:pos="3261"/>
          <w:tab w:val="center" w:pos="4003"/>
        </w:tabs>
        <w:jc w:val="both"/>
        <w:rPr>
          <w:color w:val="auto"/>
        </w:rPr>
      </w:pPr>
      <w:r w:rsidRPr="00D35C64">
        <w:rPr>
          <w:color w:val="auto"/>
        </w:rPr>
        <w:tab/>
      </w:r>
      <w:r>
        <w:rPr>
          <w:color w:val="auto"/>
        </w:rPr>
        <w:t>Plaintiff’s a</w:t>
      </w:r>
      <w:r w:rsidRPr="00D35C64">
        <w:rPr>
          <w:color w:val="auto"/>
        </w:rPr>
        <w:t xml:space="preserve">ttorneys </w:t>
      </w:r>
    </w:p>
    <w:p w14:paraId="0BF9D1D5" w14:textId="013B0C6D" w:rsidR="00D35C64" w:rsidRPr="00D35C64" w:rsidRDefault="00D35C64" w:rsidP="00D35C64">
      <w:pPr>
        <w:tabs>
          <w:tab w:val="left" w:pos="3261"/>
          <w:tab w:val="center" w:pos="4003"/>
        </w:tabs>
        <w:jc w:val="both"/>
        <w:rPr>
          <w:color w:val="auto"/>
        </w:rPr>
      </w:pPr>
      <w:r w:rsidRPr="00D35C64">
        <w:rPr>
          <w:color w:val="auto"/>
        </w:rPr>
        <w:tab/>
      </w:r>
      <w:r>
        <w:rPr>
          <w:color w:val="auto"/>
        </w:rPr>
        <w:t>112 Ebden Street</w:t>
      </w:r>
      <w:r w:rsidRPr="00D35C64">
        <w:rPr>
          <w:color w:val="auto"/>
        </w:rPr>
        <w:t xml:space="preserve"> </w:t>
      </w:r>
    </w:p>
    <w:p w14:paraId="09F38B2F" w14:textId="481D7EEE" w:rsidR="00D35C64" w:rsidRPr="00D35C64" w:rsidRDefault="00D35C64" w:rsidP="00D35C64">
      <w:pPr>
        <w:tabs>
          <w:tab w:val="left" w:pos="3261"/>
          <w:tab w:val="center" w:pos="4003"/>
        </w:tabs>
        <w:jc w:val="both"/>
        <w:rPr>
          <w:color w:val="auto"/>
        </w:rPr>
      </w:pPr>
      <w:r w:rsidRPr="00D35C64">
        <w:rPr>
          <w:color w:val="auto"/>
        </w:rPr>
        <w:tab/>
      </w:r>
      <w:r>
        <w:rPr>
          <w:color w:val="auto"/>
        </w:rPr>
        <w:t>Queenstown</w:t>
      </w:r>
    </w:p>
    <w:p w14:paraId="333951CF" w14:textId="2721C468" w:rsidR="00D35C64" w:rsidRPr="00D35C64" w:rsidRDefault="00D35C64" w:rsidP="00D35C64">
      <w:pPr>
        <w:tabs>
          <w:tab w:val="left" w:pos="3261"/>
          <w:tab w:val="center" w:pos="4003"/>
        </w:tabs>
        <w:jc w:val="both"/>
        <w:rPr>
          <w:color w:val="auto"/>
        </w:rPr>
      </w:pPr>
      <w:r w:rsidRPr="00D35C64">
        <w:rPr>
          <w:color w:val="auto"/>
        </w:rPr>
        <w:tab/>
      </w:r>
      <w:r w:rsidRPr="00D35C64">
        <w:rPr>
          <w:color w:val="auto"/>
        </w:rPr>
        <w:tab/>
        <w:t>Email:</w:t>
      </w:r>
      <w:r>
        <w:rPr>
          <w:color w:val="auto"/>
        </w:rPr>
        <w:t>mbambocompany66@gmail.com</w:t>
      </w:r>
    </w:p>
    <w:p w14:paraId="39043D0E" w14:textId="77777777" w:rsidR="00D35C64" w:rsidRPr="00D35C64" w:rsidRDefault="00D35C64" w:rsidP="00D35C64">
      <w:pPr>
        <w:tabs>
          <w:tab w:val="left" w:pos="3261"/>
          <w:tab w:val="left" w:pos="3402"/>
          <w:tab w:val="left" w:pos="3686"/>
          <w:tab w:val="center" w:pos="4003"/>
        </w:tabs>
        <w:jc w:val="both"/>
        <w:rPr>
          <w:color w:val="auto"/>
        </w:rPr>
      </w:pPr>
      <w:r w:rsidRPr="00D35C64">
        <w:rPr>
          <w:color w:val="auto"/>
        </w:rPr>
        <w:t xml:space="preserve">                                         </w:t>
      </w:r>
    </w:p>
    <w:p w14:paraId="72A7072B" w14:textId="0D1C2EC7" w:rsidR="00D35C64" w:rsidRPr="00D35C64" w:rsidRDefault="00D35C64" w:rsidP="00D35C64">
      <w:pPr>
        <w:tabs>
          <w:tab w:val="left" w:pos="3261"/>
        </w:tabs>
        <w:rPr>
          <w:bCs/>
          <w:lang w:val="en-US"/>
        </w:rPr>
      </w:pPr>
      <w:r>
        <w:rPr>
          <w:color w:val="auto"/>
        </w:rPr>
        <w:t>Defendant’s</w:t>
      </w:r>
      <w:r w:rsidRPr="00D35C64">
        <w:rPr>
          <w:color w:val="auto"/>
        </w:rPr>
        <w:t xml:space="preserve"> Counsel:   </w:t>
      </w:r>
      <w:r w:rsidRPr="00D35C64">
        <w:rPr>
          <w:color w:val="auto"/>
        </w:rPr>
        <w:tab/>
      </w:r>
      <w:r w:rsidRPr="00D35C64">
        <w:rPr>
          <w:bCs/>
          <w:lang w:val="en-US"/>
        </w:rPr>
        <w:t xml:space="preserve">Adv </w:t>
      </w:r>
      <w:r>
        <w:rPr>
          <w:bCs/>
          <w:lang w:val="en-US"/>
        </w:rPr>
        <w:t>SM Luzipho</w:t>
      </w:r>
    </w:p>
    <w:p w14:paraId="0CCAE899" w14:textId="77777777" w:rsidR="00D35C64" w:rsidRPr="00D35C64" w:rsidRDefault="00D35C64" w:rsidP="00D35C64">
      <w:pPr>
        <w:tabs>
          <w:tab w:val="left" w:pos="3261"/>
          <w:tab w:val="center" w:pos="4003"/>
        </w:tabs>
        <w:jc w:val="both"/>
        <w:rPr>
          <w:color w:val="auto"/>
        </w:rPr>
      </w:pPr>
      <w:r w:rsidRPr="00D35C64">
        <w:rPr>
          <w:color w:val="auto"/>
        </w:rPr>
        <w:tab/>
      </w:r>
    </w:p>
    <w:p w14:paraId="5F49DF51" w14:textId="77A5A3EB" w:rsidR="00D35C64" w:rsidRPr="00D35C64" w:rsidRDefault="00D35C64" w:rsidP="00D35C64">
      <w:pPr>
        <w:tabs>
          <w:tab w:val="left" w:pos="3261"/>
          <w:tab w:val="center" w:pos="4003"/>
        </w:tabs>
        <w:jc w:val="both"/>
        <w:rPr>
          <w:color w:val="auto"/>
        </w:rPr>
      </w:pPr>
      <w:r w:rsidRPr="00D35C64">
        <w:rPr>
          <w:color w:val="auto"/>
        </w:rPr>
        <w:t xml:space="preserve">Instructed by                     :      </w:t>
      </w:r>
      <w:r>
        <w:rPr>
          <w:color w:val="auto"/>
        </w:rPr>
        <w:t>State Attorney</w:t>
      </w:r>
    </w:p>
    <w:p w14:paraId="300906EF" w14:textId="0ED689C3" w:rsidR="00D35C64" w:rsidRPr="00D35C64" w:rsidRDefault="00D35C64" w:rsidP="00D35C64">
      <w:pPr>
        <w:tabs>
          <w:tab w:val="left" w:pos="3261"/>
          <w:tab w:val="center" w:pos="4003"/>
        </w:tabs>
        <w:jc w:val="both"/>
        <w:rPr>
          <w:color w:val="auto"/>
        </w:rPr>
      </w:pPr>
      <w:r w:rsidRPr="00D35C64">
        <w:rPr>
          <w:color w:val="auto"/>
        </w:rPr>
        <w:tab/>
      </w:r>
      <w:r>
        <w:rPr>
          <w:color w:val="auto"/>
        </w:rPr>
        <w:t>Defendant’s</w:t>
      </w:r>
      <w:r w:rsidRPr="00D35C64">
        <w:rPr>
          <w:color w:val="auto"/>
        </w:rPr>
        <w:t xml:space="preserve"> Attorneys </w:t>
      </w:r>
    </w:p>
    <w:p w14:paraId="655BD6DD" w14:textId="50BD37F2" w:rsidR="00D35C64" w:rsidRPr="00D35C64" w:rsidRDefault="00D35C64" w:rsidP="00D35C64">
      <w:pPr>
        <w:tabs>
          <w:tab w:val="left" w:pos="3261"/>
          <w:tab w:val="center" w:pos="4003"/>
        </w:tabs>
        <w:jc w:val="both"/>
        <w:rPr>
          <w:color w:val="auto"/>
        </w:rPr>
      </w:pPr>
      <w:r w:rsidRPr="00D35C64">
        <w:rPr>
          <w:color w:val="auto"/>
        </w:rPr>
        <w:tab/>
      </w:r>
      <w:r>
        <w:rPr>
          <w:color w:val="auto"/>
        </w:rPr>
        <w:t>94 Sisson Street</w:t>
      </w:r>
      <w:r w:rsidRPr="00D35C64">
        <w:rPr>
          <w:color w:val="auto"/>
        </w:rPr>
        <w:t xml:space="preserve"> </w:t>
      </w:r>
    </w:p>
    <w:p w14:paraId="0F4EC689" w14:textId="4D7605F3" w:rsidR="00D35C64" w:rsidRPr="00D35C64" w:rsidRDefault="00D35C64" w:rsidP="00D35C64">
      <w:pPr>
        <w:tabs>
          <w:tab w:val="left" w:pos="3261"/>
          <w:tab w:val="center" w:pos="4003"/>
        </w:tabs>
        <w:jc w:val="both"/>
        <w:rPr>
          <w:color w:val="auto"/>
        </w:rPr>
      </w:pPr>
      <w:r w:rsidRPr="00D35C64">
        <w:rPr>
          <w:color w:val="auto"/>
        </w:rPr>
        <w:tab/>
      </w:r>
      <w:r>
        <w:rPr>
          <w:color w:val="auto"/>
        </w:rPr>
        <w:t>Broadcast House</w:t>
      </w:r>
    </w:p>
    <w:p w14:paraId="5C233EF9" w14:textId="18F7AB86" w:rsidR="00D35C64" w:rsidRPr="00D35C64" w:rsidRDefault="00D35C64" w:rsidP="00D35C64">
      <w:pPr>
        <w:tabs>
          <w:tab w:val="left" w:pos="3261"/>
          <w:tab w:val="center" w:pos="4003"/>
        </w:tabs>
        <w:jc w:val="both"/>
        <w:rPr>
          <w:color w:val="auto"/>
        </w:rPr>
      </w:pPr>
      <w:r w:rsidRPr="00D35C64">
        <w:rPr>
          <w:color w:val="auto"/>
        </w:rPr>
        <w:tab/>
      </w:r>
      <w:r>
        <w:rPr>
          <w:color w:val="auto"/>
        </w:rPr>
        <w:t>Fortgale</w:t>
      </w:r>
    </w:p>
    <w:p w14:paraId="4F33C20E" w14:textId="330E82A1" w:rsidR="00D35C64" w:rsidRPr="00D35C64" w:rsidRDefault="00D35C64" w:rsidP="00D35C64">
      <w:pPr>
        <w:tabs>
          <w:tab w:val="left" w:pos="3261"/>
          <w:tab w:val="center" w:pos="4003"/>
        </w:tabs>
        <w:jc w:val="both"/>
        <w:rPr>
          <w:color w:val="auto"/>
        </w:rPr>
      </w:pPr>
      <w:r w:rsidRPr="00D35C64">
        <w:rPr>
          <w:color w:val="auto"/>
        </w:rPr>
        <w:tab/>
      </w:r>
      <w:r>
        <w:rPr>
          <w:color w:val="auto"/>
        </w:rPr>
        <w:t>Mthatha</w:t>
      </w:r>
      <w:r w:rsidRPr="00D35C64">
        <w:rPr>
          <w:color w:val="auto"/>
        </w:rPr>
        <w:t xml:space="preserve"> </w:t>
      </w:r>
    </w:p>
    <w:p w14:paraId="0FA866A2" w14:textId="5411FD6A" w:rsidR="00D35C64" w:rsidRPr="00D35C64" w:rsidRDefault="00D35C64" w:rsidP="00D35C64">
      <w:pPr>
        <w:tabs>
          <w:tab w:val="left" w:pos="3261"/>
          <w:tab w:val="center" w:pos="4003"/>
        </w:tabs>
        <w:jc w:val="both"/>
        <w:rPr>
          <w:color w:val="auto"/>
        </w:rPr>
      </w:pPr>
      <w:r w:rsidRPr="00D35C64">
        <w:rPr>
          <w:color w:val="auto"/>
        </w:rPr>
        <w:tab/>
      </w:r>
      <w:r w:rsidRPr="00D35C64">
        <w:rPr>
          <w:color w:val="auto"/>
        </w:rPr>
        <w:tab/>
        <w:t>Email:</w:t>
      </w:r>
      <w:r>
        <w:rPr>
          <w:color w:val="auto"/>
        </w:rPr>
        <w:t>BShumane@justice.gov.za</w:t>
      </w:r>
    </w:p>
    <w:p w14:paraId="4A761CA2" w14:textId="77777777" w:rsidR="00D35C64" w:rsidRPr="00D35C64" w:rsidRDefault="00D35C64" w:rsidP="00D35C64">
      <w:pPr>
        <w:tabs>
          <w:tab w:val="left" w:pos="3261"/>
          <w:tab w:val="center" w:pos="4003"/>
        </w:tabs>
        <w:jc w:val="both"/>
        <w:rPr>
          <w:color w:val="auto"/>
        </w:rPr>
      </w:pPr>
      <w:r w:rsidRPr="00D35C64">
        <w:rPr>
          <w:color w:val="auto"/>
        </w:rPr>
        <w:tab/>
      </w:r>
    </w:p>
    <w:sectPr w:rsidR="00D35C64" w:rsidRPr="00D35C64"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F4BF" w14:textId="77777777" w:rsidR="00481987" w:rsidRDefault="00481987" w:rsidP="00005691">
      <w:r>
        <w:separator/>
      </w:r>
    </w:p>
  </w:endnote>
  <w:endnote w:type="continuationSeparator" w:id="0">
    <w:p w14:paraId="7243F0AC" w14:textId="77777777" w:rsidR="00481987" w:rsidRDefault="00481987"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1159" w14:textId="77777777" w:rsidR="00481987" w:rsidRDefault="00481987" w:rsidP="00005691">
      <w:r>
        <w:separator/>
      </w:r>
    </w:p>
  </w:footnote>
  <w:footnote w:type="continuationSeparator" w:id="0">
    <w:p w14:paraId="7D51E9F3" w14:textId="77777777" w:rsidR="00481987" w:rsidRDefault="00481987" w:rsidP="00005691">
      <w:r>
        <w:continuationSeparator/>
      </w:r>
    </w:p>
  </w:footnote>
  <w:footnote w:id="1">
    <w:p w14:paraId="33E9546A" w14:textId="7272FEB6" w:rsidR="00C51190" w:rsidRPr="00402D23" w:rsidRDefault="00C51190" w:rsidP="00C6638B">
      <w:pPr>
        <w:pStyle w:val="FootnoteText"/>
        <w:spacing w:line="240" w:lineRule="auto"/>
        <w:jc w:val="both"/>
        <w:rPr>
          <w:lang w:val="en-US"/>
        </w:rPr>
      </w:pPr>
      <w:r w:rsidRPr="00402D23">
        <w:rPr>
          <w:rStyle w:val="FootnoteReference"/>
        </w:rPr>
        <w:footnoteRef/>
      </w:r>
      <w:r w:rsidRPr="00402D23">
        <w:t xml:space="preserve"> </w:t>
      </w:r>
      <w:r w:rsidRPr="00402D23">
        <w:rPr>
          <w:i/>
          <w:iCs/>
          <w:lang w:val="en-US"/>
        </w:rPr>
        <w:t xml:space="preserve">Stellenbosch Farmers’ Winery Group Ltd and Another v Martell et Cie and Others </w:t>
      </w:r>
      <w:r w:rsidRPr="00402D23">
        <w:rPr>
          <w:lang w:val="en-US"/>
        </w:rPr>
        <w:t>2003 (1) SA 11 (SCA)</w:t>
      </w:r>
      <w:r w:rsidR="00B5387D" w:rsidRPr="00402D23">
        <w:rPr>
          <w:lang w:val="en-US"/>
        </w:rPr>
        <w:t xml:space="preserve"> pp 14, 15.</w:t>
      </w:r>
    </w:p>
  </w:footnote>
  <w:footnote w:id="2">
    <w:p w14:paraId="4B5EE9DC" w14:textId="0B6F204B" w:rsidR="00F23229" w:rsidRPr="00F23229" w:rsidRDefault="00F23229" w:rsidP="00C6638B">
      <w:pPr>
        <w:pStyle w:val="FootnoteText"/>
        <w:spacing w:line="240" w:lineRule="auto"/>
        <w:jc w:val="both"/>
        <w:rPr>
          <w:lang w:val="en-US"/>
        </w:rPr>
      </w:pPr>
      <w:r>
        <w:rPr>
          <w:rStyle w:val="FootnoteReference"/>
        </w:rPr>
        <w:footnoteRef/>
      </w:r>
      <w:r>
        <w:t xml:space="preserve"> </w:t>
      </w:r>
      <w:r>
        <w:rPr>
          <w:i/>
          <w:iCs/>
          <w:lang w:val="en-US"/>
        </w:rPr>
        <w:t xml:space="preserve">Dreyer and another NNO v AXZS Industries (Pty) Ltd </w:t>
      </w:r>
      <w:r>
        <w:rPr>
          <w:lang w:val="en-US"/>
        </w:rPr>
        <w:t>2006 (5) SA 548 (SCA).</w:t>
      </w:r>
    </w:p>
  </w:footnote>
  <w:footnote w:id="3">
    <w:p w14:paraId="20E4728D" w14:textId="67D0CEC6" w:rsidR="00777A4C" w:rsidRPr="00777A4C" w:rsidRDefault="00777A4C" w:rsidP="00C6638B">
      <w:pPr>
        <w:pStyle w:val="FootnoteText"/>
        <w:spacing w:line="240" w:lineRule="auto"/>
        <w:jc w:val="both"/>
        <w:rPr>
          <w:lang w:val="en-US"/>
        </w:rPr>
      </w:pPr>
      <w:r>
        <w:rPr>
          <w:rStyle w:val="FootnoteReference"/>
        </w:rPr>
        <w:footnoteRef/>
      </w:r>
      <w:r>
        <w:t xml:space="preserve"> </w:t>
      </w:r>
      <w:r>
        <w:rPr>
          <w:lang w:val="en-US"/>
        </w:rPr>
        <w:t xml:space="preserve">See, for example, </w:t>
      </w:r>
      <w:r w:rsidR="002A0942">
        <w:rPr>
          <w:lang w:val="en-US"/>
        </w:rPr>
        <w:t xml:space="preserve">the judgment of Nepgen J in </w:t>
      </w:r>
      <w:r>
        <w:rPr>
          <w:i/>
          <w:iCs/>
          <w:lang w:val="en-US"/>
        </w:rPr>
        <w:t>S v Govender and Others</w:t>
      </w:r>
      <w:r>
        <w:rPr>
          <w:lang w:val="en-US"/>
        </w:rPr>
        <w:t xml:space="preserve"> 2006 (1) SACR 322 (E)</w:t>
      </w:r>
      <w:r w:rsidR="00E14A8A">
        <w:rPr>
          <w:lang w:val="en-US"/>
        </w:rPr>
        <w:t xml:space="preserve"> on the challenges associated with police statements and the approach to adopt in evaluating such inconsistencies</w:t>
      </w:r>
      <w:r>
        <w:rPr>
          <w:lang w:val="en-US"/>
        </w:rPr>
        <w:t>.</w:t>
      </w:r>
    </w:p>
  </w:footnote>
  <w:footnote w:id="4">
    <w:p w14:paraId="1DBC997D" w14:textId="36ED69FF" w:rsidR="00390ACE" w:rsidRPr="00C9003F" w:rsidRDefault="00390ACE" w:rsidP="00C6638B">
      <w:pPr>
        <w:pStyle w:val="FootnoteText"/>
        <w:spacing w:line="240" w:lineRule="auto"/>
        <w:jc w:val="both"/>
        <w:rPr>
          <w:lang w:val="en-US"/>
        </w:rPr>
      </w:pPr>
      <w:r>
        <w:rPr>
          <w:rStyle w:val="FootnoteReference"/>
        </w:rPr>
        <w:footnoteRef/>
      </w:r>
      <w:r>
        <w:t xml:space="preserve"> </w:t>
      </w:r>
      <w:r w:rsidR="00C9003F">
        <w:t xml:space="preserve">See </w:t>
      </w:r>
      <w:r w:rsidR="00C9003F">
        <w:rPr>
          <w:i/>
          <w:iCs/>
        </w:rPr>
        <w:t>S v Mafaladiso and Others</w:t>
      </w:r>
      <w:r w:rsidR="00C9003F">
        <w:t xml:space="preserve"> 2003 (1) SACR 583 (SCA) at 593e-594h.</w:t>
      </w:r>
    </w:p>
  </w:footnote>
  <w:footnote w:id="5">
    <w:p w14:paraId="2DB22D8A" w14:textId="27903368" w:rsidR="00402D23" w:rsidRPr="00DB0699" w:rsidRDefault="00402D23" w:rsidP="00C6638B">
      <w:pPr>
        <w:spacing w:line="240" w:lineRule="auto"/>
        <w:jc w:val="both"/>
        <w:rPr>
          <w:bCs/>
          <w:sz w:val="20"/>
          <w:szCs w:val="20"/>
        </w:rPr>
      </w:pPr>
      <w:r w:rsidRPr="00402D23">
        <w:rPr>
          <w:rStyle w:val="FootnoteReference"/>
          <w:sz w:val="20"/>
          <w:szCs w:val="20"/>
        </w:rPr>
        <w:footnoteRef/>
      </w:r>
      <w:r w:rsidRPr="00402D23">
        <w:rPr>
          <w:sz w:val="20"/>
          <w:szCs w:val="20"/>
        </w:rPr>
        <w:t xml:space="preserve"> </w:t>
      </w:r>
      <w:r w:rsidRPr="00402D23">
        <w:rPr>
          <w:sz w:val="20"/>
          <w:szCs w:val="20"/>
          <w:lang w:val="en-US"/>
        </w:rPr>
        <w:t xml:space="preserve">See </w:t>
      </w:r>
      <w:r>
        <w:rPr>
          <w:i/>
          <w:iCs/>
          <w:sz w:val="20"/>
          <w:szCs w:val="20"/>
          <w:lang w:val="en-US"/>
        </w:rPr>
        <w:t xml:space="preserve">Magagula v Senator Insurance Company </w:t>
      </w:r>
      <w:r w:rsidR="0005709E">
        <w:rPr>
          <w:i/>
          <w:iCs/>
          <w:sz w:val="20"/>
          <w:szCs w:val="20"/>
          <w:lang w:val="en-US"/>
        </w:rPr>
        <w:t>(</w:t>
      </w:r>
      <w:r>
        <w:rPr>
          <w:i/>
          <w:iCs/>
          <w:sz w:val="20"/>
          <w:szCs w:val="20"/>
          <w:lang w:val="en-US"/>
        </w:rPr>
        <w:t>Ltd</w:t>
      </w:r>
      <w:r w:rsidR="0005709E">
        <w:rPr>
          <w:i/>
          <w:iCs/>
          <w:sz w:val="20"/>
          <w:szCs w:val="20"/>
          <w:lang w:val="en-US"/>
        </w:rPr>
        <w:t>)</w:t>
      </w:r>
      <w:r>
        <w:rPr>
          <w:i/>
          <w:iCs/>
          <w:sz w:val="20"/>
          <w:szCs w:val="20"/>
          <w:lang w:val="en-US"/>
        </w:rPr>
        <w:t xml:space="preserve"> </w:t>
      </w:r>
      <w:r w:rsidRPr="00402D23">
        <w:rPr>
          <w:bCs/>
          <w:sz w:val="20"/>
          <w:szCs w:val="20"/>
        </w:rPr>
        <w:t>1980 (1) SA 717 (N) at pp721-2.</w:t>
      </w:r>
    </w:p>
  </w:footnote>
  <w:footnote w:id="6">
    <w:p w14:paraId="151DA70D" w14:textId="2061C40B" w:rsidR="0005709E" w:rsidRPr="0005709E" w:rsidRDefault="0005709E" w:rsidP="00C6638B">
      <w:pPr>
        <w:pStyle w:val="FootnoteText"/>
        <w:spacing w:line="240" w:lineRule="auto"/>
        <w:jc w:val="both"/>
        <w:rPr>
          <w:lang w:val="en-US"/>
        </w:rPr>
      </w:pPr>
      <w:r>
        <w:rPr>
          <w:rStyle w:val="FootnoteReference"/>
        </w:rPr>
        <w:footnoteRef/>
      </w:r>
      <w:r>
        <w:t xml:space="preserve"> </w:t>
      </w:r>
      <w:r>
        <w:rPr>
          <w:i/>
          <w:iCs/>
          <w:lang w:val="en-US"/>
        </w:rPr>
        <w:t>Titus v Shield Insurance Co Ltd</w:t>
      </w:r>
      <w:r>
        <w:rPr>
          <w:lang w:val="en-US"/>
        </w:rPr>
        <w:t xml:space="preserve"> 1980 (3) SA 119 (A) at 133D-E.</w:t>
      </w:r>
    </w:p>
  </w:footnote>
  <w:footnote w:id="7">
    <w:p w14:paraId="13F9942B" w14:textId="1A3F60E5" w:rsidR="00314EF3" w:rsidRPr="00291D48" w:rsidRDefault="00314EF3" w:rsidP="00C6638B">
      <w:pPr>
        <w:pStyle w:val="FootnoteText"/>
        <w:spacing w:line="240" w:lineRule="auto"/>
        <w:jc w:val="both"/>
        <w:rPr>
          <w:lang w:val="en-US"/>
        </w:rPr>
      </w:pPr>
      <w:r>
        <w:rPr>
          <w:rStyle w:val="FootnoteReference"/>
        </w:rPr>
        <w:footnoteRef/>
      </w:r>
      <w:r>
        <w:t xml:space="preserve"> </w:t>
      </w:r>
      <w:r w:rsidR="005E3FAC">
        <w:rPr>
          <w:i/>
          <w:iCs/>
        </w:rPr>
        <w:t xml:space="preserve">Elgin Fireclays Ltd v Webb </w:t>
      </w:r>
      <w:r w:rsidR="005E3FAC">
        <w:t>1947 (4) SA 744 (A).</w:t>
      </w:r>
      <w:r w:rsidR="00291D48">
        <w:t xml:space="preserve"> Also see </w:t>
      </w:r>
      <w:r w:rsidR="00291D48">
        <w:rPr>
          <w:i/>
          <w:iCs/>
        </w:rPr>
        <w:t xml:space="preserve">HAL obo MML v MEC for Health, Free State </w:t>
      </w:r>
      <w:r w:rsidR="00291D48">
        <w:t>2022 (3) SA 571 (SCA).</w:t>
      </w:r>
    </w:p>
  </w:footnote>
  <w:footnote w:id="8">
    <w:p w14:paraId="45937A67" w14:textId="2901AF32" w:rsidR="00B02AB2" w:rsidRPr="00B02AB2" w:rsidRDefault="00B02AB2" w:rsidP="00C6638B">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Munster Estates (Pty) Ltd v Killarney Hills (Pty) Ltd </w:t>
      </w:r>
      <w:r>
        <w:rPr>
          <w:lang w:val="en-US"/>
        </w:rPr>
        <w:t>1979 (1) SA 621 (A)</w:t>
      </w:r>
    </w:p>
  </w:footnote>
  <w:footnote w:id="9">
    <w:p w14:paraId="326D3B2E"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lang w:val="en-US"/>
        </w:rPr>
        <w:t xml:space="preserve">1914 AD 382 at 390. </w:t>
      </w:r>
    </w:p>
  </w:footnote>
  <w:footnote w:id="10">
    <w:p w14:paraId="036DB176"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Ibid</w:t>
      </w:r>
      <w:r w:rsidRPr="00D3511F">
        <w:rPr>
          <w:rFonts w:cstheme="minorHAnsi"/>
          <w:lang w:val="en-US"/>
        </w:rPr>
        <w:t>.</w:t>
      </w:r>
    </w:p>
  </w:footnote>
  <w:footnote w:id="11">
    <w:p w14:paraId="0659BB6D" w14:textId="26740A63"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 xml:space="preserve">Minister of Police v Rabie </w:t>
      </w:r>
      <w:r w:rsidRPr="00D3511F">
        <w:rPr>
          <w:rFonts w:cstheme="minorHAnsi"/>
          <w:lang w:val="en-US"/>
        </w:rPr>
        <w:t xml:space="preserve">1986 (1) SA 117 (A) at 134C-F. See </w:t>
      </w:r>
      <w:r w:rsidRPr="00D3511F">
        <w:rPr>
          <w:rFonts w:cstheme="minorHAnsi"/>
          <w:i/>
          <w:iCs/>
          <w:lang w:val="en-US"/>
        </w:rPr>
        <w:t>Pehlani v Minister of Police</w:t>
      </w:r>
      <w:r w:rsidRPr="00D3511F">
        <w:rPr>
          <w:rFonts w:cstheme="minorHAnsi"/>
          <w:lang w:val="en-US"/>
        </w:rPr>
        <w:t xml:space="preserve"> (2014) 35 </w:t>
      </w:r>
      <w:r w:rsidRPr="00D3511F">
        <w:rPr>
          <w:rFonts w:cstheme="minorHAnsi"/>
          <w:i/>
          <w:iCs/>
          <w:lang w:val="en-US"/>
        </w:rPr>
        <w:t>ILJ</w:t>
      </w:r>
      <w:r w:rsidRPr="00D3511F">
        <w:rPr>
          <w:rFonts w:cstheme="minorHAnsi"/>
          <w:lang w:val="en-US"/>
        </w:rPr>
        <w:t xml:space="preserve"> 3316 (WCC) </w:t>
      </w:r>
      <w:r w:rsidR="00F102E1">
        <w:rPr>
          <w:rFonts w:cstheme="minorHAnsi"/>
          <w:lang w:val="en-US"/>
        </w:rPr>
        <w:t xml:space="preserve">at </w:t>
      </w:r>
      <w:r w:rsidRPr="00D3511F">
        <w:rPr>
          <w:rFonts w:cstheme="minorHAnsi"/>
          <w:lang w:val="en-US"/>
        </w:rPr>
        <w:t>para 23.</w:t>
      </w:r>
    </w:p>
  </w:footnote>
  <w:footnote w:id="12">
    <w:p w14:paraId="3B78064F"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See, in particular, </w:t>
      </w:r>
      <w:r w:rsidRPr="00D3511F">
        <w:rPr>
          <w:rFonts w:cstheme="minorHAnsi"/>
          <w:i/>
          <w:iCs/>
          <w:lang w:val="en-US"/>
        </w:rPr>
        <w:t xml:space="preserve">K v Minister of Safety and Security </w:t>
      </w:r>
      <w:r w:rsidRPr="00D3511F">
        <w:rPr>
          <w:rFonts w:cstheme="minorHAnsi"/>
          <w:lang w:val="en-US"/>
        </w:rPr>
        <w:t xml:space="preserve">2005 (6) SA 419 (CC); </w:t>
      </w:r>
      <w:r w:rsidRPr="00D3511F">
        <w:rPr>
          <w:rFonts w:cstheme="minorHAnsi"/>
          <w:i/>
          <w:iCs/>
          <w:lang w:val="en-US"/>
        </w:rPr>
        <w:t>F v Minister of Safety and Security and Another</w:t>
      </w:r>
      <w:r w:rsidRPr="00D3511F">
        <w:rPr>
          <w:rFonts w:cstheme="minorHAnsi"/>
          <w:lang w:val="en-US"/>
        </w:rPr>
        <w:t xml:space="preserve"> 2012 (1) SA 536 (CC).</w:t>
      </w:r>
    </w:p>
  </w:footnote>
  <w:footnote w:id="13">
    <w:p w14:paraId="0696EA02" w14:textId="159FA388"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rPr>
        <w:t xml:space="preserve">K supra </w:t>
      </w:r>
      <w:r w:rsidRPr="00D3511F">
        <w:rPr>
          <w:rFonts w:cstheme="minorHAnsi"/>
        </w:rPr>
        <w:t>at para 44.</w:t>
      </w:r>
      <w:r w:rsidRPr="00D3511F">
        <w:rPr>
          <w:rFonts w:cstheme="minorHAnsi"/>
          <w:i/>
          <w:iCs/>
        </w:rPr>
        <w:t xml:space="preserve"> </w:t>
      </w:r>
      <w:r w:rsidRPr="00D3511F">
        <w:rPr>
          <w:rFonts w:cstheme="minorHAnsi"/>
          <w:lang w:val="en-US"/>
        </w:rPr>
        <w:t xml:space="preserve">See </w:t>
      </w:r>
      <w:r w:rsidRPr="00D3511F">
        <w:rPr>
          <w:rFonts w:cstheme="minorHAnsi"/>
          <w:i/>
          <w:iCs/>
          <w:lang w:val="en-US"/>
        </w:rPr>
        <w:t xml:space="preserve">Stallion Security </w:t>
      </w:r>
      <w:r w:rsidR="00F66EA6">
        <w:rPr>
          <w:rFonts w:cstheme="minorHAnsi"/>
          <w:i/>
          <w:iCs/>
          <w:lang w:val="en-US"/>
        </w:rPr>
        <w:t>(Pty) Ltd v Van Staden</w:t>
      </w:r>
      <w:r w:rsidR="00F66EA6">
        <w:rPr>
          <w:rFonts w:cstheme="minorHAnsi"/>
          <w:lang w:val="en-US"/>
        </w:rPr>
        <w:t xml:space="preserve"> 2020 (1) SA 64 (SCA)</w:t>
      </w:r>
      <w:r w:rsidR="00F102E1">
        <w:rPr>
          <w:rFonts w:cstheme="minorHAnsi"/>
          <w:lang w:val="en-US"/>
        </w:rPr>
        <w:t xml:space="preserve"> </w:t>
      </w:r>
      <w:r w:rsidR="00EF6940">
        <w:rPr>
          <w:rFonts w:cstheme="minorHAnsi"/>
          <w:lang w:val="en-US"/>
        </w:rPr>
        <w:t>(‘</w:t>
      </w:r>
      <w:r w:rsidR="00EF6940">
        <w:rPr>
          <w:rFonts w:cstheme="minorHAnsi"/>
          <w:i/>
          <w:iCs/>
          <w:lang w:val="en-US"/>
        </w:rPr>
        <w:t xml:space="preserve">Stallion </w:t>
      </w:r>
      <w:r w:rsidR="00EF6940" w:rsidRPr="00EF6940">
        <w:rPr>
          <w:rFonts w:cstheme="minorHAnsi"/>
          <w:i/>
          <w:iCs/>
          <w:lang w:val="en-US"/>
        </w:rPr>
        <w:t>Security</w:t>
      </w:r>
      <w:r w:rsidR="00EF6940">
        <w:rPr>
          <w:rFonts w:cstheme="minorHAnsi"/>
          <w:lang w:val="en-US"/>
        </w:rPr>
        <w:t xml:space="preserve">’) </w:t>
      </w:r>
      <w:r w:rsidR="00F102E1" w:rsidRPr="00EF6940">
        <w:rPr>
          <w:rFonts w:cstheme="minorHAnsi"/>
          <w:lang w:val="en-US"/>
        </w:rPr>
        <w:t>at</w:t>
      </w:r>
      <w:r w:rsidRPr="00D3511F">
        <w:rPr>
          <w:rFonts w:cstheme="minorHAnsi"/>
          <w:lang w:val="en-US"/>
        </w:rPr>
        <w:t xml:space="preserve"> para 18.</w:t>
      </w:r>
    </w:p>
  </w:footnote>
  <w:footnote w:id="14">
    <w:p w14:paraId="669BF204"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lang w:val="en-US"/>
        </w:rPr>
        <w:t xml:space="preserve">See, for example, </w:t>
      </w:r>
      <w:r w:rsidRPr="00D3511F">
        <w:rPr>
          <w:rFonts w:cstheme="minorHAnsi"/>
          <w:i/>
          <w:iCs/>
          <w:lang w:val="en-US"/>
        </w:rPr>
        <w:t>Estate van der Byl v Swanepoel</w:t>
      </w:r>
      <w:r w:rsidRPr="00D3511F">
        <w:rPr>
          <w:rFonts w:cstheme="minorHAnsi"/>
          <w:lang w:val="en-US"/>
        </w:rPr>
        <w:t xml:space="preserve"> 1927 AD 141. </w:t>
      </w:r>
    </w:p>
  </w:footnote>
  <w:footnote w:id="15">
    <w:p w14:paraId="07A07280" w14:textId="58BD2B80"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rPr>
        <w:t xml:space="preserve">Viljoen v Smith </w:t>
      </w:r>
      <w:r w:rsidRPr="00D3511F">
        <w:rPr>
          <w:rFonts w:cstheme="minorHAnsi"/>
        </w:rPr>
        <w:t>1997 (1) SA 309 (A)</w:t>
      </w:r>
      <w:r w:rsidR="00A03DFE">
        <w:rPr>
          <w:rFonts w:cstheme="minorHAnsi"/>
        </w:rPr>
        <w:t xml:space="preserve"> (‘</w:t>
      </w:r>
      <w:r w:rsidR="00A03DFE">
        <w:rPr>
          <w:rFonts w:cstheme="minorHAnsi"/>
          <w:i/>
          <w:iCs/>
        </w:rPr>
        <w:t>Viljoen</w:t>
      </w:r>
      <w:r w:rsidR="00A03DFE">
        <w:rPr>
          <w:rFonts w:cstheme="minorHAnsi"/>
        </w:rPr>
        <w:t>’)</w:t>
      </w:r>
      <w:r w:rsidRPr="00D3511F">
        <w:rPr>
          <w:rFonts w:cstheme="minorHAnsi"/>
          <w:i/>
          <w:iCs/>
        </w:rPr>
        <w:t xml:space="preserve"> </w:t>
      </w:r>
      <w:r w:rsidRPr="00D3511F">
        <w:rPr>
          <w:rFonts w:cstheme="minorHAnsi"/>
          <w:lang w:val="en-US"/>
        </w:rPr>
        <w:t xml:space="preserve">at 315E-G. Also see </w:t>
      </w:r>
      <w:r w:rsidRPr="00D3511F">
        <w:rPr>
          <w:rFonts w:cstheme="minorHAnsi"/>
          <w:i/>
          <w:iCs/>
          <w:lang w:val="en-US"/>
        </w:rPr>
        <w:t>Minister of Safety and Security v Jordaan t/a Andre Jordaan Transport</w:t>
      </w:r>
      <w:r w:rsidRPr="00D3511F">
        <w:rPr>
          <w:rFonts w:cstheme="minorHAnsi"/>
          <w:lang w:val="en-US"/>
        </w:rPr>
        <w:t xml:space="preserve"> 2000 (4) SA 21 (SCA).</w:t>
      </w:r>
    </w:p>
  </w:footnote>
  <w:footnote w:id="16">
    <w:p w14:paraId="31555352"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 xml:space="preserve">Viljoen supra </w:t>
      </w:r>
      <w:r w:rsidRPr="00D3511F">
        <w:rPr>
          <w:rFonts w:cstheme="minorHAnsi"/>
          <w:lang w:val="en-US"/>
        </w:rPr>
        <w:t xml:space="preserve">at 316J-317B. </w:t>
      </w:r>
    </w:p>
  </w:footnote>
  <w:footnote w:id="17">
    <w:p w14:paraId="316A3AD2"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Bezuidenhout NO v Eskom</w:t>
      </w:r>
      <w:r w:rsidRPr="00D3511F">
        <w:rPr>
          <w:rFonts w:cstheme="minorHAnsi"/>
          <w:lang w:val="en-US"/>
        </w:rPr>
        <w:t xml:space="preserve"> 2003 (3) SA 83 (SCA) at para 23.</w:t>
      </w:r>
    </w:p>
  </w:footnote>
  <w:footnote w:id="18">
    <w:p w14:paraId="535F4F72"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Stallion Security supra</w:t>
      </w:r>
      <w:r w:rsidRPr="00D3511F">
        <w:rPr>
          <w:rFonts w:cstheme="minorHAnsi"/>
          <w:lang w:val="en-US"/>
        </w:rPr>
        <w:t xml:space="preserve"> at para 19.</w:t>
      </w:r>
    </w:p>
  </w:footnote>
  <w:footnote w:id="19">
    <w:p w14:paraId="0A77BB5C"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Ibid</w:t>
      </w:r>
      <w:r w:rsidRPr="00D3511F">
        <w:rPr>
          <w:rFonts w:cstheme="minorHAnsi"/>
          <w:lang w:val="en-US"/>
        </w:rPr>
        <w:t>.</w:t>
      </w:r>
    </w:p>
  </w:footnote>
  <w:footnote w:id="20">
    <w:p w14:paraId="2E5B5DF6" w14:textId="40D0994B" w:rsidR="004B54D1" w:rsidRPr="00B24089"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Stallion Security supra</w:t>
      </w:r>
      <w:r w:rsidRPr="00D3511F">
        <w:rPr>
          <w:rFonts w:cstheme="minorHAnsi"/>
          <w:lang w:val="en-US"/>
        </w:rPr>
        <w:t xml:space="preserve"> at para 20.</w:t>
      </w:r>
      <w:r w:rsidR="00E40CBB">
        <w:rPr>
          <w:rFonts w:cstheme="minorHAnsi"/>
          <w:lang w:val="en-US"/>
        </w:rPr>
        <w:t xml:space="preserve"> See </w:t>
      </w:r>
      <w:r w:rsidR="00E40CBB">
        <w:rPr>
          <w:rFonts w:cstheme="minorHAnsi"/>
          <w:i/>
          <w:iCs/>
          <w:lang w:val="en-US"/>
        </w:rPr>
        <w:t>Bazley</w:t>
      </w:r>
      <w:r w:rsidR="00E40CBB">
        <w:rPr>
          <w:rFonts w:cstheme="minorHAnsi"/>
          <w:lang w:val="en-US"/>
        </w:rPr>
        <w:t xml:space="preserve"> [1999] 2 SCR 534</w:t>
      </w:r>
      <w:r w:rsidR="00B24089">
        <w:rPr>
          <w:rFonts w:cstheme="minorHAnsi"/>
          <w:lang w:val="en-US"/>
        </w:rPr>
        <w:t xml:space="preserve"> (‘</w:t>
      </w:r>
      <w:r w:rsidR="00B24089">
        <w:rPr>
          <w:rFonts w:cstheme="minorHAnsi"/>
          <w:i/>
          <w:iCs/>
          <w:lang w:val="en-US"/>
        </w:rPr>
        <w:t>Bazley</w:t>
      </w:r>
      <w:r w:rsidR="00B24089">
        <w:rPr>
          <w:rFonts w:cstheme="minorHAnsi"/>
          <w:lang w:val="en-US"/>
        </w:rPr>
        <w:t>’)</w:t>
      </w:r>
      <w:r w:rsidR="005532EC">
        <w:rPr>
          <w:rFonts w:cstheme="minorHAnsi"/>
          <w:lang w:val="en-US"/>
        </w:rPr>
        <w:t>.</w:t>
      </w:r>
    </w:p>
  </w:footnote>
  <w:footnote w:id="21">
    <w:p w14:paraId="02308049"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lang w:val="en-US"/>
        </w:rPr>
        <w:t xml:space="preserve">Also see the nature of the examples where employers will not be vicariously liable cited in </w:t>
      </w:r>
      <w:r w:rsidRPr="00D3511F">
        <w:rPr>
          <w:rFonts w:cstheme="minorHAnsi"/>
          <w:i/>
          <w:iCs/>
          <w:lang w:val="en-US"/>
        </w:rPr>
        <w:t>Bazley</w:t>
      </w:r>
      <w:r w:rsidRPr="00D3511F">
        <w:rPr>
          <w:rFonts w:cstheme="minorHAnsi"/>
          <w:lang w:val="en-US"/>
        </w:rPr>
        <w:t xml:space="preserve"> </w:t>
      </w:r>
      <w:r w:rsidRPr="00D3511F">
        <w:rPr>
          <w:rFonts w:cstheme="minorHAnsi"/>
          <w:i/>
          <w:iCs/>
          <w:lang w:val="en-US"/>
        </w:rPr>
        <w:t xml:space="preserve">supra </w:t>
      </w:r>
      <w:r w:rsidRPr="00D3511F">
        <w:rPr>
          <w:rFonts w:cstheme="minorHAnsi"/>
          <w:lang w:val="en-US"/>
        </w:rPr>
        <w:t>at para 35, including the harm caused by a security guard who decides to commit arson for his or her own amusement.</w:t>
      </w:r>
    </w:p>
  </w:footnote>
  <w:footnote w:id="22">
    <w:p w14:paraId="19B622CD"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i/>
          <w:iCs/>
          <w:lang w:val="en-US"/>
        </w:rPr>
        <w:t>Stallion Security supra</w:t>
      </w:r>
      <w:r w:rsidRPr="00D3511F">
        <w:rPr>
          <w:rFonts w:cstheme="minorHAnsi"/>
          <w:lang w:val="en-US"/>
        </w:rPr>
        <w:t xml:space="preserve"> at para 21. </w:t>
      </w:r>
    </w:p>
  </w:footnote>
  <w:footnote w:id="23">
    <w:p w14:paraId="10B59CA3" w14:textId="422DD715"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lang w:val="en-US"/>
        </w:rPr>
        <w:t xml:space="preserve">It might be added that the court in </w:t>
      </w:r>
      <w:r w:rsidRPr="00D3511F">
        <w:rPr>
          <w:rFonts w:cstheme="minorHAnsi"/>
          <w:i/>
          <w:iCs/>
          <w:lang w:val="en-US"/>
        </w:rPr>
        <w:t>Bazley</w:t>
      </w:r>
      <w:r w:rsidRPr="00D3511F">
        <w:rPr>
          <w:rFonts w:cstheme="minorHAnsi"/>
          <w:lang w:val="en-US"/>
        </w:rPr>
        <w:t xml:space="preserve"> indicated specifically that the principles enunciated were appropriate for application in instances where precedent was inconclusive (at p 535), and that in such cases the next step would be to determine whether vicarious liability should be imposed in light of the broader policy rationales behind strict liability (at para 15). While that case went on to apply the factors identified to the instances of sexual abuse applicable in that matter, these factors were specifically considered to be ‘general considerations’ applicable to ‘intentional torts’: at p 536.</w:t>
      </w:r>
    </w:p>
  </w:footnote>
  <w:footnote w:id="24">
    <w:p w14:paraId="26709009" w14:textId="74AB505D"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00860E45">
        <w:rPr>
          <w:rFonts w:cstheme="minorHAnsi"/>
          <w:i/>
          <w:iCs/>
        </w:rPr>
        <w:t xml:space="preserve">Minister of Safety and Security v Japmoco BK t/a Status Motors </w:t>
      </w:r>
      <w:r w:rsidRPr="00D3511F">
        <w:rPr>
          <w:rFonts w:cstheme="minorHAnsi"/>
          <w:lang w:val="en-US"/>
        </w:rPr>
        <w:t>2002 (5) SA 649 (SCA).</w:t>
      </w:r>
    </w:p>
  </w:footnote>
  <w:footnote w:id="25">
    <w:p w14:paraId="475279D1" w14:textId="48DEA2E9"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lang w:val="en-US"/>
        </w:rPr>
        <w:t xml:space="preserve">At para 12. </w:t>
      </w:r>
      <w:r w:rsidRPr="00D3511F">
        <w:rPr>
          <w:rFonts w:cstheme="minorHAnsi"/>
          <w:i/>
          <w:iCs/>
          <w:lang w:val="en-US"/>
        </w:rPr>
        <w:t xml:space="preserve">Cf </w:t>
      </w:r>
      <w:r w:rsidRPr="00D3511F">
        <w:rPr>
          <w:rFonts w:cstheme="minorHAnsi"/>
          <w:lang w:val="en-US"/>
        </w:rPr>
        <w:t xml:space="preserve">the remarks of Malan J in </w:t>
      </w:r>
      <w:r w:rsidRPr="00D3511F">
        <w:rPr>
          <w:rFonts w:cstheme="minorHAnsi"/>
          <w:i/>
          <w:iCs/>
          <w:lang w:val="en-US"/>
        </w:rPr>
        <w:t xml:space="preserve">Columbus Joint Venture v ABSA Bank Ltd </w:t>
      </w:r>
      <w:r w:rsidRPr="00D3511F">
        <w:rPr>
          <w:rFonts w:cstheme="minorHAnsi"/>
          <w:lang w:val="en-US"/>
        </w:rPr>
        <w:t>2000 (2) SA 491 (W) at 512H-I.</w:t>
      </w:r>
    </w:p>
  </w:footnote>
  <w:footnote w:id="26">
    <w:p w14:paraId="42182AE1" w14:textId="77777777" w:rsidR="004B54D1" w:rsidRPr="00D3511F" w:rsidRDefault="004B54D1" w:rsidP="00C6638B">
      <w:pPr>
        <w:pStyle w:val="FootnoteText"/>
        <w:spacing w:line="240" w:lineRule="auto"/>
        <w:jc w:val="both"/>
        <w:rPr>
          <w:rFonts w:cstheme="minorHAnsi"/>
          <w:lang w:val="en-US"/>
        </w:rPr>
      </w:pPr>
      <w:r w:rsidRPr="00D3511F">
        <w:rPr>
          <w:rStyle w:val="FootnoteReference"/>
          <w:rFonts w:cstheme="minorHAnsi"/>
        </w:rPr>
        <w:footnoteRef/>
      </w:r>
      <w:r w:rsidRPr="00D3511F">
        <w:rPr>
          <w:rFonts w:cstheme="minorHAnsi"/>
        </w:rPr>
        <w:t xml:space="preserve"> </w:t>
      </w:r>
      <w:r w:rsidRPr="00D3511F">
        <w:rPr>
          <w:rFonts w:cstheme="minorHAnsi"/>
          <w:lang w:val="en-US"/>
        </w:rPr>
        <w:t>At para 16,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5F77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43846BE6" w:rsidR="00146BA3" w:rsidRDefault="00146BA3" w:rsidP="005F77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009D">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B5C82"/>
    <w:multiLevelType w:val="hybridMultilevel"/>
    <w:tmpl w:val="88081C20"/>
    <w:lvl w:ilvl="0" w:tplc="C8E6B5F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087302"/>
    <w:multiLevelType w:val="hybridMultilevel"/>
    <w:tmpl w:val="51C8EE0A"/>
    <w:lvl w:ilvl="0" w:tplc="EBB8A00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01C6D"/>
    <w:multiLevelType w:val="hybridMultilevel"/>
    <w:tmpl w:val="0960FD56"/>
    <w:lvl w:ilvl="0" w:tplc="50F432BE">
      <w:start w:val="1"/>
      <w:numFmt w:val="decimal"/>
      <w:lvlText w:val="%1."/>
      <w:lvlJc w:val="left"/>
      <w:pPr>
        <w:ind w:left="644"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00016"/>
    <w:multiLevelType w:val="hybridMultilevel"/>
    <w:tmpl w:val="754EB114"/>
    <w:lvl w:ilvl="0" w:tplc="592C74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81B2104"/>
    <w:multiLevelType w:val="hybridMultilevel"/>
    <w:tmpl w:val="789431D6"/>
    <w:lvl w:ilvl="0" w:tplc="CD1064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3"/>
  </w:num>
  <w:num w:numId="6">
    <w:abstractNumId w:val="8"/>
  </w:num>
  <w:num w:numId="7">
    <w:abstractNumId w:val="14"/>
  </w:num>
  <w:num w:numId="8">
    <w:abstractNumId w:val="2"/>
  </w:num>
  <w:num w:numId="9">
    <w:abstractNumId w:val="7"/>
  </w:num>
  <w:num w:numId="10">
    <w:abstractNumId w:val="10"/>
  </w:num>
  <w:num w:numId="11">
    <w:abstractNumId w:val="9"/>
  </w:num>
  <w:num w:numId="12">
    <w:abstractNumId w:val="11"/>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637"/>
    <w:rsid w:val="00000935"/>
    <w:rsid w:val="00001084"/>
    <w:rsid w:val="0000217A"/>
    <w:rsid w:val="00002BF2"/>
    <w:rsid w:val="0000369F"/>
    <w:rsid w:val="00004B23"/>
    <w:rsid w:val="00004E1E"/>
    <w:rsid w:val="0000505F"/>
    <w:rsid w:val="00005691"/>
    <w:rsid w:val="00005ABB"/>
    <w:rsid w:val="00005BC2"/>
    <w:rsid w:val="0000642E"/>
    <w:rsid w:val="00006874"/>
    <w:rsid w:val="00006EF3"/>
    <w:rsid w:val="00007087"/>
    <w:rsid w:val="000071B2"/>
    <w:rsid w:val="00007904"/>
    <w:rsid w:val="000109B4"/>
    <w:rsid w:val="00010FDD"/>
    <w:rsid w:val="00012A2F"/>
    <w:rsid w:val="00014437"/>
    <w:rsid w:val="00014770"/>
    <w:rsid w:val="00016FDA"/>
    <w:rsid w:val="00021D23"/>
    <w:rsid w:val="000220C3"/>
    <w:rsid w:val="00022804"/>
    <w:rsid w:val="00027CAB"/>
    <w:rsid w:val="00027DA3"/>
    <w:rsid w:val="00030A25"/>
    <w:rsid w:val="000323B0"/>
    <w:rsid w:val="00033801"/>
    <w:rsid w:val="000341AF"/>
    <w:rsid w:val="00034321"/>
    <w:rsid w:val="00034B32"/>
    <w:rsid w:val="0003553E"/>
    <w:rsid w:val="0004040E"/>
    <w:rsid w:val="00040F79"/>
    <w:rsid w:val="000422CD"/>
    <w:rsid w:val="0004347D"/>
    <w:rsid w:val="0004373B"/>
    <w:rsid w:val="000443A4"/>
    <w:rsid w:val="00044B50"/>
    <w:rsid w:val="000451D0"/>
    <w:rsid w:val="00047035"/>
    <w:rsid w:val="000478E8"/>
    <w:rsid w:val="0005061D"/>
    <w:rsid w:val="00051B36"/>
    <w:rsid w:val="00051F6C"/>
    <w:rsid w:val="000536DD"/>
    <w:rsid w:val="00053D81"/>
    <w:rsid w:val="00054DEC"/>
    <w:rsid w:val="00056042"/>
    <w:rsid w:val="00056D19"/>
    <w:rsid w:val="00056FBA"/>
    <w:rsid w:val="0005709E"/>
    <w:rsid w:val="000574BF"/>
    <w:rsid w:val="00063188"/>
    <w:rsid w:val="00063C6E"/>
    <w:rsid w:val="00063D47"/>
    <w:rsid w:val="00063D5A"/>
    <w:rsid w:val="00066B84"/>
    <w:rsid w:val="0007050F"/>
    <w:rsid w:val="00071316"/>
    <w:rsid w:val="0007234C"/>
    <w:rsid w:val="00073EFC"/>
    <w:rsid w:val="00074609"/>
    <w:rsid w:val="000778A4"/>
    <w:rsid w:val="00080D4E"/>
    <w:rsid w:val="00080DDE"/>
    <w:rsid w:val="000815F5"/>
    <w:rsid w:val="00083322"/>
    <w:rsid w:val="00083386"/>
    <w:rsid w:val="000833DB"/>
    <w:rsid w:val="000834A9"/>
    <w:rsid w:val="00084C6F"/>
    <w:rsid w:val="00086278"/>
    <w:rsid w:val="00086A06"/>
    <w:rsid w:val="00086B42"/>
    <w:rsid w:val="0009015D"/>
    <w:rsid w:val="000910CD"/>
    <w:rsid w:val="00091F8C"/>
    <w:rsid w:val="0009497C"/>
    <w:rsid w:val="00096BC1"/>
    <w:rsid w:val="000976CA"/>
    <w:rsid w:val="000A59DC"/>
    <w:rsid w:val="000B0946"/>
    <w:rsid w:val="000B0DC8"/>
    <w:rsid w:val="000B2447"/>
    <w:rsid w:val="000B26AE"/>
    <w:rsid w:val="000B26CF"/>
    <w:rsid w:val="000B5790"/>
    <w:rsid w:val="000B5FBC"/>
    <w:rsid w:val="000B6309"/>
    <w:rsid w:val="000B643B"/>
    <w:rsid w:val="000B78EC"/>
    <w:rsid w:val="000C2D21"/>
    <w:rsid w:val="000C3531"/>
    <w:rsid w:val="000C3620"/>
    <w:rsid w:val="000C3910"/>
    <w:rsid w:val="000C39A5"/>
    <w:rsid w:val="000C450C"/>
    <w:rsid w:val="000C7746"/>
    <w:rsid w:val="000C7A27"/>
    <w:rsid w:val="000D085B"/>
    <w:rsid w:val="000D0D78"/>
    <w:rsid w:val="000D1507"/>
    <w:rsid w:val="000D2260"/>
    <w:rsid w:val="000D22FB"/>
    <w:rsid w:val="000D29B3"/>
    <w:rsid w:val="000D417C"/>
    <w:rsid w:val="000D487F"/>
    <w:rsid w:val="000D4BFA"/>
    <w:rsid w:val="000D667A"/>
    <w:rsid w:val="000E1C45"/>
    <w:rsid w:val="000E2444"/>
    <w:rsid w:val="000E3E15"/>
    <w:rsid w:val="000E4D85"/>
    <w:rsid w:val="000E4F0D"/>
    <w:rsid w:val="000E5100"/>
    <w:rsid w:val="000E522B"/>
    <w:rsid w:val="000E7ECD"/>
    <w:rsid w:val="000F05E0"/>
    <w:rsid w:val="000F1A95"/>
    <w:rsid w:val="000F2375"/>
    <w:rsid w:val="000F2903"/>
    <w:rsid w:val="000F3882"/>
    <w:rsid w:val="000F4DA7"/>
    <w:rsid w:val="000F552D"/>
    <w:rsid w:val="000F6BFE"/>
    <w:rsid w:val="000F74A0"/>
    <w:rsid w:val="000F7DF4"/>
    <w:rsid w:val="0010068E"/>
    <w:rsid w:val="0010218C"/>
    <w:rsid w:val="00102D5B"/>
    <w:rsid w:val="0010309D"/>
    <w:rsid w:val="0010317C"/>
    <w:rsid w:val="001044DB"/>
    <w:rsid w:val="001046DC"/>
    <w:rsid w:val="00105EB6"/>
    <w:rsid w:val="0010622C"/>
    <w:rsid w:val="001078B5"/>
    <w:rsid w:val="00107A5F"/>
    <w:rsid w:val="0011026A"/>
    <w:rsid w:val="00110EF0"/>
    <w:rsid w:val="00111433"/>
    <w:rsid w:val="001124A5"/>
    <w:rsid w:val="00116B9F"/>
    <w:rsid w:val="00116DFE"/>
    <w:rsid w:val="00116EB9"/>
    <w:rsid w:val="00120E93"/>
    <w:rsid w:val="001226DE"/>
    <w:rsid w:val="00123296"/>
    <w:rsid w:val="0012621C"/>
    <w:rsid w:val="00130228"/>
    <w:rsid w:val="0013129F"/>
    <w:rsid w:val="00131984"/>
    <w:rsid w:val="00131A28"/>
    <w:rsid w:val="00132E85"/>
    <w:rsid w:val="001337CC"/>
    <w:rsid w:val="001346DB"/>
    <w:rsid w:val="00134C11"/>
    <w:rsid w:val="00135C81"/>
    <w:rsid w:val="00135F7D"/>
    <w:rsid w:val="00137E08"/>
    <w:rsid w:val="00142F79"/>
    <w:rsid w:val="001435EB"/>
    <w:rsid w:val="001438CB"/>
    <w:rsid w:val="00144974"/>
    <w:rsid w:val="00146BA3"/>
    <w:rsid w:val="001517E0"/>
    <w:rsid w:val="00157785"/>
    <w:rsid w:val="00157898"/>
    <w:rsid w:val="00157C19"/>
    <w:rsid w:val="00160EBC"/>
    <w:rsid w:val="00160F58"/>
    <w:rsid w:val="00163A58"/>
    <w:rsid w:val="001653B1"/>
    <w:rsid w:val="00172B5C"/>
    <w:rsid w:val="00173547"/>
    <w:rsid w:val="00173A86"/>
    <w:rsid w:val="00174B6D"/>
    <w:rsid w:val="00175A80"/>
    <w:rsid w:val="0017614D"/>
    <w:rsid w:val="0018006A"/>
    <w:rsid w:val="00180F4E"/>
    <w:rsid w:val="00181923"/>
    <w:rsid w:val="00181E7E"/>
    <w:rsid w:val="00182175"/>
    <w:rsid w:val="00184625"/>
    <w:rsid w:val="0018652A"/>
    <w:rsid w:val="00186769"/>
    <w:rsid w:val="001869A7"/>
    <w:rsid w:val="001870AF"/>
    <w:rsid w:val="00191768"/>
    <w:rsid w:val="00192869"/>
    <w:rsid w:val="001932C2"/>
    <w:rsid w:val="001943D2"/>
    <w:rsid w:val="001954F0"/>
    <w:rsid w:val="00195571"/>
    <w:rsid w:val="001955AB"/>
    <w:rsid w:val="00195749"/>
    <w:rsid w:val="00196742"/>
    <w:rsid w:val="001A4F33"/>
    <w:rsid w:val="001A6EBC"/>
    <w:rsid w:val="001B0D01"/>
    <w:rsid w:val="001B2578"/>
    <w:rsid w:val="001B282A"/>
    <w:rsid w:val="001B2FE4"/>
    <w:rsid w:val="001B505F"/>
    <w:rsid w:val="001B60DD"/>
    <w:rsid w:val="001B69E3"/>
    <w:rsid w:val="001B6E73"/>
    <w:rsid w:val="001C04BC"/>
    <w:rsid w:val="001C19C1"/>
    <w:rsid w:val="001C2DD7"/>
    <w:rsid w:val="001C397B"/>
    <w:rsid w:val="001C48A5"/>
    <w:rsid w:val="001C547D"/>
    <w:rsid w:val="001C56DC"/>
    <w:rsid w:val="001C7061"/>
    <w:rsid w:val="001D0962"/>
    <w:rsid w:val="001D214B"/>
    <w:rsid w:val="001D5A9D"/>
    <w:rsid w:val="001D5F83"/>
    <w:rsid w:val="001D61C8"/>
    <w:rsid w:val="001D79C7"/>
    <w:rsid w:val="001E0F36"/>
    <w:rsid w:val="001E1834"/>
    <w:rsid w:val="001E1B07"/>
    <w:rsid w:val="001E24E0"/>
    <w:rsid w:val="001E3C77"/>
    <w:rsid w:val="001E4824"/>
    <w:rsid w:val="001E4FFD"/>
    <w:rsid w:val="001E640A"/>
    <w:rsid w:val="001E6A6E"/>
    <w:rsid w:val="001E701F"/>
    <w:rsid w:val="001E7844"/>
    <w:rsid w:val="001E78D5"/>
    <w:rsid w:val="001E7C8F"/>
    <w:rsid w:val="001F2276"/>
    <w:rsid w:val="001F23DB"/>
    <w:rsid w:val="001F335C"/>
    <w:rsid w:val="001F3A41"/>
    <w:rsid w:val="001F59AB"/>
    <w:rsid w:val="00201DC6"/>
    <w:rsid w:val="00201F12"/>
    <w:rsid w:val="00205F27"/>
    <w:rsid w:val="00206D6C"/>
    <w:rsid w:val="00207573"/>
    <w:rsid w:val="0020792F"/>
    <w:rsid w:val="002115FE"/>
    <w:rsid w:val="002136D7"/>
    <w:rsid w:val="0021430F"/>
    <w:rsid w:val="00215EBC"/>
    <w:rsid w:val="0021730A"/>
    <w:rsid w:val="00217399"/>
    <w:rsid w:val="002203EC"/>
    <w:rsid w:val="0022115B"/>
    <w:rsid w:val="00222854"/>
    <w:rsid w:val="0022309C"/>
    <w:rsid w:val="00224363"/>
    <w:rsid w:val="00224387"/>
    <w:rsid w:val="00224482"/>
    <w:rsid w:val="0022594E"/>
    <w:rsid w:val="002263BF"/>
    <w:rsid w:val="00226444"/>
    <w:rsid w:val="00226ADA"/>
    <w:rsid w:val="00227379"/>
    <w:rsid w:val="00231325"/>
    <w:rsid w:val="00232789"/>
    <w:rsid w:val="0023313B"/>
    <w:rsid w:val="0023410F"/>
    <w:rsid w:val="002349C1"/>
    <w:rsid w:val="0023677B"/>
    <w:rsid w:val="00236B9D"/>
    <w:rsid w:val="002370E6"/>
    <w:rsid w:val="0023768E"/>
    <w:rsid w:val="0023780B"/>
    <w:rsid w:val="002402F6"/>
    <w:rsid w:val="00241954"/>
    <w:rsid w:val="00245504"/>
    <w:rsid w:val="00245882"/>
    <w:rsid w:val="00245BEB"/>
    <w:rsid w:val="00247551"/>
    <w:rsid w:val="00250530"/>
    <w:rsid w:val="0025056A"/>
    <w:rsid w:val="00252FC1"/>
    <w:rsid w:val="00253273"/>
    <w:rsid w:val="00256208"/>
    <w:rsid w:val="00256FCC"/>
    <w:rsid w:val="00257A15"/>
    <w:rsid w:val="00260475"/>
    <w:rsid w:val="002606D8"/>
    <w:rsid w:val="00260A94"/>
    <w:rsid w:val="00260B67"/>
    <w:rsid w:val="002612A5"/>
    <w:rsid w:val="00261583"/>
    <w:rsid w:val="0026158F"/>
    <w:rsid w:val="00262D2A"/>
    <w:rsid w:val="002635B7"/>
    <w:rsid w:val="00263B8D"/>
    <w:rsid w:val="0026495C"/>
    <w:rsid w:val="00265010"/>
    <w:rsid w:val="00265180"/>
    <w:rsid w:val="002654B9"/>
    <w:rsid w:val="00265AEB"/>
    <w:rsid w:val="0026634E"/>
    <w:rsid w:val="0026645C"/>
    <w:rsid w:val="002705E9"/>
    <w:rsid w:val="002710EA"/>
    <w:rsid w:val="00273903"/>
    <w:rsid w:val="00274169"/>
    <w:rsid w:val="00274C64"/>
    <w:rsid w:val="00275410"/>
    <w:rsid w:val="00276100"/>
    <w:rsid w:val="00277C85"/>
    <w:rsid w:val="00277EB6"/>
    <w:rsid w:val="00281634"/>
    <w:rsid w:val="0028346E"/>
    <w:rsid w:val="002852C4"/>
    <w:rsid w:val="00285664"/>
    <w:rsid w:val="00287A18"/>
    <w:rsid w:val="00287A26"/>
    <w:rsid w:val="00290DC6"/>
    <w:rsid w:val="00290E92"/>
    <w:rsid w:val="00291D48"/>
    <w:rsid w:val="002920F4"/>
    <w:rsid w:val="0029272E"/>
    <w:rsid w:val="002927B7"/>
    <w:rsid w:val="0029381D"/>
    <w:rsid w:val="0029395B"/>
    <w:rsid w:val="00294129"/>
    <w:rsid w:val="00294313"/>
    <w:rsid w:val="002960D0"/>
    <w:rsid w:val="002A01B5"/>
    <w:rsid w:val="002A080F"/>
    <w:rsid w:val="002A0942"/>
    <w:rsid w:val="002A0EB5"/>
    <w:rsid w:val="002A157A"/>
    <w:rsid w:val="002A1950"/>
    <w:rsid w:val="002A1D97"/>
    <w:rsid w:val="002A1E2F"/>
    <w:rsid w:val="002A21AF"/>
    <w:rsid w:val="002A2AA4"/>
    <w:rsid w:val="002A3836"/>
    <w:rsid w:val="002A3C5C"/>
    <w:rsid w:val="002A4D8A"/>
    <w:rsid w:val="002A57AF"/>
    <w:rsid w:val="002A61D9"/>
    <w:rsid w:val="002A61E4"/>
    <w:rsid w:val="002A6332"/>
    <w:rsid w:val="002A6593"/>
    <w:rsid w:val="002A68D9"/>
    <w:rsid w:val="002A6B82"/>
    <w:rsid w:val="002A73A7"/>
    <w:rsid w:val="002A73AC"/>
    <w:rsid w:val="002B3021"/>
    <w:rsid w:val="002B31B7"/>
    <w:rsid w:val="002B3FE3"/>
    <w:rsid w:val="002B54B7"/>
    <w:rsid w:val="002B6730"/>
    <w:rsid w:val="002B7874"/>
    <w:rsid w:val="002C1AFA"/>
    <w:rsid w:val="002C1ECF"/>
    <w:rsid w:val="002C3A0D"/>
    <w:rsid w:val="002C45D8"/>
    <w:rsid w:val="002C7128"/>
    <w:rsid w:val="002D4CBC"/>
    <w:rsid w:val="002D4F66"/>
    <w:rsid w:val="002D6D70"/>
    <w:rsid w:val="002E0CCA"/>
    <w:rsid w:val="002E141A"/>
    <w:rsid w:val="002E1B95"/>
    <w:rsid w:val="002E3EC7"/>
    <w:rsid w:val="002E4808"/>
    <w:rsid w:val="002E483E"/>
    <w:rsid w:val="002E542C"/>
    <w:rsid w:val="002E6915"/>
    <w:rsid w:val="002E7045"/>
    <w:rsid w:val="002E7199"/>
    <w:rsid w:val="002F012F"/>
    <w:rsid w:val="002F0513"/>
    <w:rsid w:val="002F0990"/>
    <w:rsid w:val="002F0C58"/>
    <w:rsid w:val="002F13D1"/>
    <w:rsid w:val="002F1E0A"/>
    <w:rsid w:val="002F37F8"/>
    <w:rsid w:val="002F4EDB"/>
    <w:rsid w:val="002F5D76"/>
    <w:rsid w:val="002F60D3"/>
    <w:rsid w:val="002F7574"/>
    <w:rsid w:val="00300A59"/>
    <w:rsid w:val="0030214A"/>
    <w:rsid w:val="00302E78"/>
    <w:rsid w:val="00306288"/>
    <w:rsid w:val="003140F9"/>
    <w:rsid w:val="00314872"/>
    <w:rsid w:val="003148EA"/>
    <w:rsid w:val="00314EF3"/>
    <w:rsid w:val="003150CA"/>
    <w:rsid w:val="0031564A"/>
    <w:rsid w:val="00315CB8"/>
    <w:rsid w:val="00315D8D"/>
    <w:rsid w:val="003168ED"/>
    <w:rsid w:val="00316DE9"/>
    <w:rsid w:val="003172EB"/>
    <w:rsid w:val="00317427"/>
    <w:rsid w:val="00317AB4"/>
    <w:rsid w:val="003207A4"/>
    <w:rsid w:val="00320FAD"/>
    <w:rsid w:val="00321E11"/>
    <w:rsid w:val="003228A7"/>
    <w:rsid w:val="00324CE8"/>
    <w:rsid w:val="00325BD4"/>
    <w:rsid w:val="00326A33"/>
    <w:rsid w:val="0032785C"/>
    <w:rsid w:val="00327A3F"/>
    <w:rsid w:val="00327E36"/>
    <w:rsid w:val="00330795"/>
    <w:rsid w:val="00330E85"/>
    <w:rsid w:val="0033219D"/>
    <w:rsid w:val="00334624"/>
    <w:rsid w:val="00335693"/>
    <w:rsid w:val="00335897"/>
    <w:rsid w:val="0033634C"/>
    <w:rsid w:val="0033669D"/>
    <w:rsid w:val="003367DD"/>
    <w:rsid w:val="00343360"/>
    <w:rsid w:val="00343E5D"/>
    <w:rsid w:val="0034439B"/>
    <w:rsid w:val="003455A7"/>
    <w:rsid w:val="003469BB"/>
    <w:rsid w:val="00350743"/>
    <w:rsid w:val="00350A47"/>
    <w:rsid w:val="003512FA"/>
    <w:rsid w:val="003513CA"/>
    <w:rsid w:val="00351FAC"/>
    <w:rsid w:val="003529AF"/>
    <w:rsid w:val="00353652"/>
    <w:rsid w:val="0035569F"/>
    <w:rsid w:val="0035610B"/>
    <w:rsid w:val="003564CA"/>
    <w:rsid w:val="003566F2"/>
    <w:rsid w:val="0035756C"/>
    <w:rsid w:val="00357751"/>
    <w:rsid w:val="003601F1"/>
    <w:rsid w:val="00360BFC"/>
    <w:rsid w:val="00362A40"/>
    <w:rsid w:val="00363BF3"/>
    <w:rsid w:val="003649E8"/>
    <w:rsid w:val="00366631"/>
    <w:rsid w:val="003679D5"/>
    <w:rsid w:val="00367B79"/>
    <w:rsid w:val="003700BB"/>
    <w:rsid w:val="0037015D"/>
    <w:rsid w:val="00370E25"/>
    <w:rsid w:val="0037217E"/>
    <w:rsid w:val="0037357C"/>
    <w:rsid w:val="00373BB6"/>
    <w:rsid w:val="00374F02"/>
    <w:rsid w:val="00374FC8"/>
    <w:rsid w:val="00375614"/>
    <w:rsid w:val="00375DB0"/>
    <w:rsid w:val="00376B12"/>
    <w:rsid w:val="00380E60"/>
    <w:rsid w:val="00381483"/>
    <w:rsid w:val="00381C36"/>
    <w:rsid w:val="00381D62"/>
    <w:rsid w:val="00382F3E"/>
    <w:rsid w:val="003869D5"/>
    <w:rsid w:val="003905B9"/>
    <w:rsid w:val="00390ACE"/>
    <w:rsid w:val="00391B08"/>
    <w:rsid w:val="0039206E"/>
    <w:rsid w:val="00392A4B"/>
    <w:rsid w:val="00392AA2"/>
    <w:rsid w:val="00393BA3"/>
    <w:rsid w:val="0039527F"/>
    <w:rsid w:val="00395861"/>
    <w:rsid w:val="00395A71"/>
    <w:rsid w:val="0039682A"/>
    <w:rsid w:val="003A05BA"/>
    <w:rsid w:val="003A0C87"/>
    <w:rsid w:val="003A37F4"/>
    <w:rsid w:val="003A4F1D"/>
    <w:rsid w:val="003A4F95"/>
    <w:rsid w:val="003A5BD3"/>
    <w:rsid w:val="003A6ECC"/>
    <w:rsid w:val="003A6F71"/>
    <w:rsid w:val="003A745C"/>
    <w:rsid w:val="003A7AA6"/>
    <w:rsid w:val="003B01D4"/>
    <w:rsid w:val="003B10EC"/>
    <w:rsid w:val="003B1570"/>
    <w:rsid w:val="003B2317"/>
    <w:rsid w:val="003B3C31"/>
    <w:rsid w:val="003B43B8"/>
    <w:rsid w:val="003B5806"/>
    <w:rsid w:val="003B5FEE"/>
    <w:rsid w:val="003B76D9"/>
    <w:rsid w:val="003C03C8"/>
    <w:rsid w:val="003C0CEB"/>
    <w:rsid w:val="003C351A"/>
    <w:rsid w:val="003C3BC6"/>
    <w:rsid w:val="003C5934"/>
    <w:rsid w:val="003C5DAB"/>
    <w:rsid w:val="003C7080"/>
    <w:rsid w:val="003C777C"/>
    <w:rsid w:val="003D11D0"/>
    <w:rsid w:val="003D239A"/>
    <w:rsid w:val="003D2C74"/>
    <w:rsid w:val="003D5245"/>
    <w:rsid w:val="003D5507"/>
    <w:rsid w:val="003D5A10"/>
    <w:rsid w:val="003D5E6D"/>
    <w:rsid w:val="003D7CB9"/>
    <w:rsid w:val="003E0E82"/>
    <w:rsid w:val="003E0F7C"/>
    <w:rsid w:val="003E2B73"/>
    <w:rsid w:val="003E2F03"/>
    <w:rsid w:val="003E3BBF"/>
    <w:rsid w:val="003E424A"/>
    <w:rsid w:val="003E492E"/>
    <w:rsid w:val="003E75F3"/>
    <w:rsid w:val="003F0D9E"/>
    <w:rsid w:val="003F1974"/>
    <w:rsid w:val="003F2109"/>
    <w:rsid w:val="003F3C49"/>
    <w:rsid w:val="003F50FF"/>
    <w:rsid w:val="003F5900"/>
    <w:rsid w:val="003F6355"/>
    <w:rsid w:val="00400266"/>
    <w:rsid w:val="00401A9A"/>
    <w:rsid w:val="00402AF3"/>
    <w:rsid w:val="00402D23"/>
    <w:rsid w:val="00402EEA"/>
    <w:rsid w:val="00404AB8"/>
    <w:rsid w:val="00405CEF"/>
    <w:rsid w:val="00406337"/>
    <w:rsid w:val="00406A00"/>
    <w:rsid w:val="004074B3"/>
    <w:rsid w:val="004075EA"/>
    <w:rsid w:val="00410C82"/>
    <w:rsid w:val="0041108E"/>
    <w:rsid w:val="00412DF2"/>
    <w:rsid w:val="004138F5"/>
    <w:rsid w:val="00413D22"/>
    <w:rsid w:val="004144B8"/>
    <w:rsid w:val="004147EA"/>
    <w:rsid w:val="00414C90"/>
    <w:rsid w:val="004165B0"/>
    <w:rsid w:val="004165D6"/>
    <w:rsid w:val="0041743E"/>
    <w:rsid w:val="0042009D"/>
    <w:rsid w:val="0042163E"/>
    <w:rsid w:val="00422891"/>
    <w:rsid w:val="00423163"/>
    <w:rsid w:val="00425D84"/>
    <w:rsid w:val="004265EF"/>
    <w:rsid w:val="00427318"/>
    <w:rsid w:val="004276CD"/>
    <w:rsid w:val="0042778E"/>
    <w:rsid w:val="00427843"/>
    <w:rsid w:val="004302B6"/>
    <w:rsid w:val="0043230A"/>
    <w:rsid w:val="004338C7"/>
    <w:rsid w:val="0043511C"/>
    <w:rsid w:val="00435538"/>
    <w:rsid w:val="00437E88"/>
    <w:rsid w:val="00440672"/>
    <w:rsid w:val="00441E70"/>
    <w:rsid w:val="0044311E"/>
    <w:rsid w:val="00443779"/>
    <w:rsid w:val="00443CCC"/>
    <w:rsid w:val="004441E4"/>
    <w:rsid w:val="004448E8"/>
    <w:rsid w:val="004474FB"/>
    <w:rsid w:val="00450C7D"/>
    <w:rsid w:val="004528CC"/>
    <w:rsid w:val="004529C3"/>
    <w:rsid w:val="0045608B"/>
    <w:rsid w:val="004601C6"/>
    <w:rsid w:val="00463456"/>
    <w:rsid w:val="004652FD"/>
    <w:rsid w:val="004657F4"/>
    <w:rsid w:val="00466979"/>
    <w:rsid w:val="00466D17"/>
    <w:rsid w:val="00467E20"/>
    <w:rsid w:val="00472A4C"/>
    <w:rsid w:val="00472B03"/>
    <w:rsid w:val="00472B05"/>
    <w:rsid w:val="00472E85"/>
    <w:rsid w:val="00473068"/>
    <w:rsid w:val="004735D5"/>
    <w:rsid w:val="0047556B"/>
    <w:rsid w:val="0047590C"/>
    <w:rsid w:val="00475C2D"/>
    <w:rsid w:val="00477226"/>
    <w:rsid w:val="0048042E"/>
    <w:rsid w:val="004813E8"/>
    <w:rsid w:val="00481987"/>
    <w:rsid w:val="004827F3"/>
    <w:rsid w:val="00486114"/>
    <w:rsid w:val="004863E4"/>
    <w:rsid w:val="00486D53"/>
    <w:rsid w:val="00487264"/>
    <w:rsid w:val="00490D2A"/>
    <w:rsid w:val="0049105D"/>
    <w:rsid w:val="004918C4"/>
    <w:rsid w:val="004932A2"/>
    <w:rsid w:val="00496E8C"/>
    <w:rsid w:val="00496EAA"/>
    <w:rsid w:val="004A00B9"/>
    <w:rsid w:val="004A08D7"/>
    <w:rsid w:val="004A323B"/>
    <w:rsid w:val="004A5151"/>
    <w:rsid w:val="004A5DB1"/>
    <w:rsid w:val="004A687F"/>
    <w:rsid w:val="004A7359"/>
    <w:rsid w:val="004B1ABF"/>
    <w:rsid w:val="004B3161"/>
    <w:rsid w:val="004B4573"/>
    <w:rsid w:val="004B54D1"/>
    <w:rsid w:val="004B5BAF"/>
    <w:rsid w:val="004B5CB4"/>
    <w:rsid w:val="004B632A"/>
    <w:rsid w:val="004B7E82"/>
    <w:rsid w:val="004C06AD"/>
    <w:rsid w:val="004C0946"/>
    <w:rsid w:val="004C0C08"/>
    <w:rsid w:val="004C13CF"/>
    <w:rsid w:val="004C65D2"/>
    <w:rsid w:val="004C6923"/>
    <w:rsid w:val="004C7EB2"/>
    <w:rsid w:val="004D0163"/>
    <w:rsid w:val="004D0AC5"/>
    <w:rsid w:val="004D12EB"/>
    <w:rsid w:val="004D19EB"/>
    <w:rsid w:val="004D1A60"/>
    <w:rsid w:val="004D35C6"/>
    <w:rsid w:val="004D49D8"/>
    <w:rsid w:val="004D75E4"/>
    <w:rsid w:val="004E06B4"/>
    <w:rsid w:val="004E126F"/>
    <w:rsid w:val="004E189A"/>
    <w:rsid w:val="004E1A28"/>
    <w:rsid w:val="004E2076"/>
    <w:rsid w:val="004E318F"/>
    <w:rsid w:val="004E5A0A"/>
    <w:rsid w:val="004E6764"/>
    <w:rsid w:val="004E699A"/>
    <w:rsid w:val="004E7582"/>
    <w:rsid w:val="004E7D1B"/>
    <w:rsid w:val="004F021C"/>
    <w:rsid w:val="004F1757"/>
    <w:rsid w:val="004F1A4A"/>
    <w:rsid w:val="004F1D20"/>
    <w:rsid w:val="004F326C"/>
    <w:rsid w:val="004F38A6"/>
    <w:rsid w:val="004F444A"/>
    <w:rsid w:val="004F5575"/>
    <w:rsid w:val="004F79D9"/>
    <w:rsid w:val="005014BC"/>
    <w:rsid w:val="00501617"/>
    <w:rsid w:val="00502229"/>
    <w:rsid w:val="005030DE"/>
    <w:rsid w:val="00503663"/>
    <w:rsid w:val="00503971"/>
    <w:rsid w:val="0050634D"/>
    <w:rsid w:val="0050699E"/>
    <w:rsid w:val="005078B2"/>
    <w:rsid w:val="005079C1"/>
    <w:rsid w:val="00507B00"/>
    <w:rsid w:val="00507BBF"/>
    <w:rsid w:val="00511260"/>
    <w:rsid w:val="00511482"/>
    <w:rsid w:val="00511565"/>
    <w:rsid w:val="0051172C"/>
    <w:rsid w:val="0051380C"/>
    <w:rsid w:val="00514878"/>
    <w:rsid w:val="0051706E"/>
    <w:rsid w:val="0051723E"/>
    <w:rsid w:val="00520E7F"/>
    <w:rsid w:val="00523DBC"/>
    <w:rsid w:val="005244E9"/>
    <w:rsid w:val="005249C3"/>
    <w:rsid w:val="00530509"/>
    <w:rsid w:val="00532080"/>
    <w:rsid w:val="0053292F"/>
    <w:rsid w:val="0053479C"/>
    <w:rsid w:val="00541535"/>
    <w:rsid w:val="00541A5D"/>
    <w:rsid w:val="00543CFF"/>
    <w:rsid w:val="00545009"/>
    <w:rsid w:val="00545140"/>
    <w:rsid w:val="005455F4"/>
    <w:rsid w:val="00545668"/>
    <w:rsid w:val="005466AA"/>
    <w:rsid w:val="005467AB"/>
    <w:rsid w:val="0055098F"/>
    <w:rsid w:val="005517B9"/>
    <w:rsid w:val="005532EC"/>
    <w:rsid w:val="00553E7D"/>
    <w:rsid w:val="005542BD"/>
    <w:rsid w:val="00556489"/>
    <w:rsid w:val="00556EDA"/>
    <w:rsid w:val="00556FC7"/>
    <w:rsid w:val="005573D6"/>
    <w:rsid w:val="0056029F"/>
    <w:rsid w:val="00561432"/>
    <w:rsid w:val="0056509F"/>
    <w:rsid w:val="00565326"/>
    <w:rsid w:val="00565460"/>
    <w:rsid w:val="00566502"/>
    <w:rsid w:val="00570A0D"/>
    <w:rsid w:val="00571FD3"/>
    <w:rsid w:val="00573D2F"/>
    <w:rsid w:val="00574EC3"/>
    <w:rsid w:val="005754FC"/>
    <w:rsid w:val="00575CFF"/>
    <w:rsid w:val="00575F9C"/>
    <w:rsid w:val="00576979"/>
    <w:rsid w:val="00577D50"/>
    <w:rsid w:val="00580D85"/>
    <w:rsid w:val="005813AC"/>
    <w:rsid w:val="0058258B"/>
    <w:rsid w:val="0058354A"/>
    <w:rsid w:val="00584BA7"/>
    <w:rsid w:val="00585055"/>
    <w:rsid w:val="00586CFB"/>
    <w:rsid w:val="00587D29"/>
    <w:rsid w:val="00591072"/>
    <w:rsid w:val="00592F32"/>
    <w:rsid w:val="005934B8"/>
    <w:rsid w:val="00594C9D"/>
    <w:rsid w:val="005953A9"/>
    <w:rsid w:val="00595C65"/>
    <w:rsid w:val="005964E5"/>
    <w:rsid w:val="005969E2"/>
    <w:rsid w:val="00596D79"/>
    <w:rsid w:val="00597705"/>
    <w:rsid w:val="005A0E12"/>
    <w:rsid w:val="005A11AD"/>
    <w:rsid w:val="005A2449"/>
    <w:rsid w:val="005A2975"/>
    <w:rsid w:val="005A2C73"/>
    <w:rsid w:val="005A3E4D"/>
    <w:rsid w:val="005A4016"/>
    <w:rsid w:val="005A4FC0"/>
    <w:rsid w:val="005A71F7"/>
    <w:rsid w:val="005B1333"/>
    <w:rsid w:val="005B1872"/>
    <w:rsid w:val="005B1E2D"/>
    <w:rsid w:val="005B27E9"/>
    <w:rsid w:val="005B649F"/>
    <w:rsid w:val="005B7922"/>
    <w:rsid w:val="005B7CEE"/>
    <w:rsid w:val="005C1013"/>
    <w:rsid w:val="005C1439"/>
    <w:rsid w:val="005C15DC"/>
    <w:rsid w:val="005C1DEC"/>
    <w:rsid w:val="005C28AE"/>
    <w:rsid w:val="005C36E4"/>
    <w:rsid w:val="005C4FDA"/>
    <w:rsid w:val="005C5C47"/>
    <w:rsid w:val="005C6A41"/>
    <w:rsid w:val="005D0320"/>
    <w:rsid w:val="005D0B78"/>
    <w:rsid w:val="005D25D6"/>
    <w:rsid w:val="005D2EFF"/>
    <w:rsid w:val="005D33C6"/>
    <w:rsid w:val="005D3407"/>
    <w:rsid w:val="005D3941"/>
    <w:rsid w:val="005D411A"/>
    <w:rsid w:val="005D47C3"/>
    <w:rsid w:val="005D53E5"/>
    <w:rsid w:val="005D5E9D"/>
    <w:rsid w:val="005D6BF3"/>
    <w:rsid w:val="005D6D77"/>
    <w:rsid w:val="005D6F40"/>
    <w:rsid w:val="005E2F30"/>
    <w:rsid w:val="005E3541"/>
    <w:rsid w:val="005E3FAC"/>
    <w:rsid w:val="005E560B"/>
    <w:rsid w:val="005E601A"/>
    <w:rsid w:val="005F03D5"/>
    <w:rsid w:val="005F04A5"/>
    <w:rsid w:val="005F158C"/>
    <w:rsid w:val="005F236B"/>
    <w:rsid w:val="005F6D85"/>
    <w:rsid w:val="005F77BC"/>
    <w:rsid w:val="005F77C7"/>
    <w:rsid w:val="00600269"/>
    <w:rsid w:val="0060138F"/>
    <w:rsid w:val="00601D4B"/>
    <w:rsid w:val="006024CE"/>
    <w:rsid w:val="0060391E"/>
    <w:rsid w:val="00603B0F"/>
    <w:rsid w:val="0060443D"/>
    <w:rsid w:val="0060486E"/>
    <w:rsid w:val="006062FB"/>
    <w:rsid w:val="00606867"/>
    <w:rsid w:val="00607419"/>
    <w:rsid w:val="00607D0B"/>
    <w:rsid w:val="00607E65"/>
    <w:rsid w:val="006101AF"/>
    <w:rsid w:val="00612393"/>
    <w:rsid w:val="00612ACF"/>
    <w:rsid w:val="006131F6"/>
    <w:rsid w:val="00613E36"/>
    <w:rsid w:val="00614A7A"/>
    <w:rsid w:val="00616B35"/>
    <w:rsid w:val="00616DF6"/>
    <w:rsid w:val="00617A30"/>
    <w:rsid w:val="00617F99"/>
    <w:rsid w:val="006215E6"/>
    <w:rsid w:val="00621B4B"/>
    <w:rsid w:val="006231DF"/>
    <w:rsid w:val="006232F1"/>
    <w:rsid w:val="00623DDE"/>
    <w:rsid w:val="00624695"/>
    <w:rsid w:val="00625D2D"/>
    <w:rsid w:val="00625E88"/>
    <w:rsid w:val="006271A4"/>
    <w:rsid w:val="00630138"/>
    <w:rsid w:val="006313FC"/>
    <w:rsid w:val="006332F2"/>
    <w:rsid w:val="006341CD"/>
    <w:rsid w:val="00634B17"/>
    <w:rsid w:val="00634D5C"/>
    <w:rsid w:val="00637A17"/>
    <w:rsid w:val="00641035"/>
    <w:rsid w:val="006412B0"/>
    <w:rsid w:val="00641661"/>
    <w:rsid w:val="00644FB0"/>
    <w:rsid w:val="006476E6"/>
    <w:rsid w:val="00650EE2"/>
    <w:rsid w:val="006511A4"/>
    <w:rsid w:val="006513E2"/>
    <w:rsid w:val="00651916"/>
    <w:rsid w:val="00651DE7"/>
    <w:rsid w:val="006531C9"/>
    <w:rsid w:val="006535E1"/>
    <w:rsid w:val="006547ED"/>
    <w:rsid w:val="00655541"/>
    <w:rsid w:val="00656660"/>
    <w:rsid w:val="0066025E"/>
    <w:rsid w:val="00661D64"/>
    <w:rsid w:val="00662682"/>
    <w:rsid w:val="006639A0"/>
    <w:rsid w:val="00663D7F"/>
    <w:rsid w:val="00664CD0"/>
    <w:rsid w:val="00665D94"/>
    <w:rsid w:val="006668FE"/>
    <w:rsid w:val="00667591"/>
    <w:rsid w:val="00667F9F"/>
    <w:rsid w:val="00670D2D"/>
    <w:rsid w:val="006710E7"/>
    <w:rsid w:val="00671A0B"/>
    <w:rsid w:val="0067210D"/>
    <w:rsid w:val="00674A3A"/>
    <w:rsid w:val="00675C81"/>
    <w:rsid w:val="0068034D"/>
    <w:rsid w:val="0068052A"/>
    <w:rsid w:val="00681152"/>
    <w:rsid w:val="0068241F"/>
    <w:rsid w:val="00682987"/>
    <w:rsid w:val="00682CE5"/>
    <w:rsid w:val="006841DC"/>
    <w:rsid w:val="0068468E"/>
    <w:rsid w:val="00685925"/>
    <w:rsid w:val="00685DAD"/>
    <w:rsid w:val="0068615D"/>
    <w:rsid w:val="0068675A"/>
    <w:rsid w:val="00687538"/>
    <w:rsid w:val="0069106B"/>
    <w:rsid w:val="00691AF2"/>
    <w:rsid w:val="00691CAC"/>
    <w:rsid w:val="00691CB2"/>
    <w:rsid w:val="00694184"/>
    <w:rsid w:val="00694527"/>
    <w:rsid w:val="0069550C"/>
    <w:rsid w:val="00696F89"/>
    <w:rsid w:val="00697465"/>
    <w:rsid w:val="00697EB1"/>
    <w:rsid w:val="006A06AF"/>
    <w:rsid w:val="006A2310"/>
    <w:rsid w:val="006A2706"/>
    <w:rsid w:val="006A498B"/>
    <w:rsid w:val="006A74E2"/>
    <w:rsid w:val="006B109D"/>
    <w:rsid w:val="006B150C"/>
    <w:rsid w:val="006B1C84"/>
    <w:rsid w:val="006B1DCE"/>
    <w:rsid w:val="006B1EED"/>
    <w:rsid w:val="006B42B2"/>
    <w:rsid w:val="006B6180"/>
    <w:rsid w:val="006B692B"/>
    <w:rsid w:val="006C177A"/>
    <w:rsid w:val="006C1B13"/>
    <w:rsid w:val="006C2AAF"/>
    <w:rsid w:val="006C32C4"/>
    <w:rsid w:val="006C6EAF"/>
    <w:rsid w:val="006D067F"/>
    <w:rsid w:val="006D07FB"/>
    <w:rsid w:val="006D5A67"/>
    <w:rsid w:val="006D762E"/>
    <w:rsid w:val="006D7DFD"/>
    <w:rsid w:val="006E04E2"/>
    <w:rsid w:val="006E063E"/>
    <w:rsid w:val="006E16D1"/>
    <w:rsid w:val="006E2B6D"/>
    <w:rsid w:val="006E2C6C"/>
    <w:rsid w:val="006E31DA"/>
    <w:rsid w:val="006E3C88"/>
    <w:rsid w:val="006E4C1C"/>
    <w:rsid w:val="006F09D8"/>
    <w:rsid w:val="006F15C3"/>
    <w:rsid w:val="006F1624"/>
    <w:rsid w:val="006F18B3"/>
    <w:rsid w:val="006F3052"/>
    <w:rsid w:val="006F31BD"/>
    <w:rsid w:val="006F3259"/>
    <w:rsid w:val="006F3C00"/>
    <w:rsid w:val="006F447C"/>
    <w:rsid w:val="006F78DB"/>
    <w:rsid w:val="00701278"/>
    <w:rsid w:val="00702C42"/>
    <w:rsid w:val="0070480E"/>
    <w:rsid w:val="00704A2E"/>
    <w:rsid w:val="007053FA"/>
    <w:rsid w:val="007057AB"/>
    <w:rsid w:val="00705B21"/>
    <w:rsid w:val="00707343"/>
    <w:rsid w:val="007073FB"/>
    <w:rsid w:val="00710C28"/>
    <w:rsid w:val="00711C08"/>
    <w:rsid w:val="00711CC1"/>
    <w:rsid w:val="00712ED3"/>
    <w:rsid w:val="00714697"/>
    <w:rsid w:val="00714C9E"/>
    <w:rsid w:val="00715651"/>
    <w:rsid w:val="00715F02"/>
    <w:rsid w:val="007173F3"/>
    <w:rsid w:val="00717903"/>
    <w:rsid w:val="00717B10"/>
    <w:rsid w:val="007202C1"/>
    <w:rsid w:val="00724B29"/>
    <w:rsid w:val="00727A78"/>
    <w:rsid w:val="00730192"/>
    <w:rsid w:val="00730A5A"/>
    <w:rsid w:val="00730F37"/>
    <w:rsid w:val="00731207"/>
    <w:rsid w:val="00734430"/>
    <w:rsid w:val="0074053C"/>
    <w:rsid w:val="00743D4D"/>
    <w:rsid w:val="00743EB1"/>
    <w:rsid w:val="0074485F"/>
    <w:rsid w:val="007451A8"/>
    <w:rsid w:val="00745BF2"/>
    <w:rsid w:val="00745E2B"/>
    <w:rsid w:val="00746757"/>
    <w:rsid w:val="00750378"/>
    <w:rsid w:val="00751ADD"/>
    <w:rsid w:val="007520F6"/>
    <w:rsid w:val="007532C0"/>
    <w:rsid w:val="00756020"/>
    <w:rsid w:val="00756098"/>
    <w:rsid w:val="0075648B"/>
    <w:rsid w:val="00757F3C"/>
    <w:rsid w:val="00761E6D"/>
    <w:rsid w:val="0076294F"/>
    <w:rsid w:val="007631E0"/>
    <w:rsid w:val="00763628"/>
    <w:rsid w:val="00763BF3"/>
    <w:rsid w:val="00764F87"/>
    <w:rsid w:val="00767A6B"/>
    <w:rsid w:val="00771094"/>
    <w:rsid w:val="00771421"/>
    <w:rsid w:val="00772416"/>
    <w:rsid w:val="00772E4B"/>
    <w:rsid w:val="007744D5"/>
    <w:rsid w:val="0077459E"/>
    <w:rsid w:val="00775448"/>
    <w:rsid w:val="0077627B"/>
    <w:rsid w:val="0077676B"/>
    <w:rsid w:val="00777A4C"/>
    <w:rsid w:val="00782782"/>
    <w:rsid w:val="007841E0"/>
    <w:rsid w:val="007863FC"/>
    <w:rsid w:val="007866DC"/>
    <w:rsid w:val="00791465"/>
    <w:rsid w:val="0079276A"/>
    <w:rsid w:val="00794832"/>
    <w:rsid w:val="00794AA8"/>
    <w:rsid w:val="00796986"/>
    <w:rsid w:val="00796F39"/>
    <w:rsid w:val="00796F7A"/>
    <w:rsid w:val="00797A49"/>
    <w:rsid w:val="007A1488"/>
    <w:rsid w:val="007A1A81"/>
    <w:rsid w:val="007A2884"/>
    <w:rsid w:val="007A3445"/>
    <w:rsid w:val="007A3705"/>
    <w:rsid w:val="007A39B0"/>
    <w:rsid w:val="007A431D"/>
    <w:rsid w:val="007A7126"/>
    <w:rsid w:val="007A7BBE"/>
    <w:rsid w:val="007A7C03"/>
    <w:rsid w:val="007B1612"/>
    <w:rsid w:val="007B196E"/>
    <w:rsid w:val="007B1F09"/>
    <w:rsid w:val="007B566C"/>
    <w:rsid w:val="007B686F"/>
    <w:rsid w:val="007B6CEF"/>
    <w:rsid w:val="007B6F76"/>
    <w:rsid w:val="007C0CF9"/>
    <w:rsid w:val="007C17AD"/>
    <w:rsid w:val="007C247A"/>
    <w:rsid w:val="007C4731"/>
    <w:rsid w:val="007C546A"/>
    <w:rsid w:val="007C6B03"/>
    <w:rsid w:val="007D0644"/>
    <w:rsid w:val="007D0A2D"/>
    <w:rsid w:val="007D2EBF"/>
    <w:rsid w:val="007D3ACE"/>
    <w:rsid w:val="007D54F3"/>
    <w:rsid w:val="007D64EC"/>
    <w:rsid w:val="007D767F"/>
    <w:rsid w:val="007E05A2"/>
    <w:rsid w:val="007E1089"/>
    <w:rsid w:val="007E1B26"/>
    <w:rsid w:val="007E1F8D"/>
    <w:rsid w:val="007E2901"/>
    <w:rsid w:val="007E3166"/>
    <w:rsid w:val="007E5E24"/>
    <w:rsid w:val="007E7272"/>
    <w:rsid w:val="007F071A"/>
    <w:rsid w:val="007F1E72"/>
    <w:rsid w:val="007F2C37"/>
    <w:rsid w:val="007F2E31"/>
    <w:rsid w:val="007F3DD1"/>
    <w:rsid w:val="007F4798"/>
    <w:rsid w:val="00800438"/>
    <w:rsid w:val="00800B41"/>
    <w:rsid w:val="008019A5"/>
    <w:rsid w:val="008020C2"/>
    <w:rsid w:val="008020CD"/>
    <w:rsid w:val="00803543"/>
    <w:rsid w:val="008068BC"/>
    <w:rsid w:val="00806AFC"/>
    <w:rsid w:val="00807AE7"/>
    <w:rsid w:val="00810336"/>
    <w:rsid w:val="0081156D"/>
    <w:rsid w:val="00811B30"/>
    <w:rsid w:val="00812B1A"/>
    <w:rsid w:val="00812D95"/>
    <w:rsid w:val="00813248"/>
    <w:rsid w:val="00813448"/>
    <w:rsid w:val="00814EDE"/>
    <w:rsid w:val="0081612B"/>
    <w:rsid w:val="00816ED1"/>
    <w:rsid w:val="00820384"/>
    <w:rsid w:val="00821D82"/>
    <w:rsid w:val="008230F2"/>
    <w:rsid w:val="00823442"/>
    <w:rsid w:val="008242ED"/>
    <w:rsid w:val="008273FF"/>
    <w:rsid w:val="008276BB"/>
    <w:rsid w:val="00830F6A"/>
    <w:rsid w:val="00832EA6"/>
    <w:rsid w:val="00832FD6"/>
    <w:rsid w:val="0083336E"/>
    <w:rsid w:val="00834066"/>
    <w:rsid w:val="008343B4"/>
    <w:rsid w:val="00837B9A"/>
    <w:rsid w:val="00837E1F"/>
    <w:rsid w:val="008405CE"/>
    <w:rsid w:val="008405CF"/>
    <w:rsid w:val="00841726"/>
    <w:rsid w:val="008426AA"/>
    <w:rsid w:val="0084295A"/>
    <w:rsid w:val="0084393F"/>
    <w:rsid w:val="00846269"/>
    <w:rsid w:val="00847305"/>
    <w:rsid w:val="00851511"/>
    <w:rsid w:val="00851E5B"/>
    <w:rsid w:val="008536CA"/>
    <w:rsid w:val="008547C2"/>
    <w:rsid w:val="00854A89"/>
    <w:rsid w:val="00855355"/>
    <w:rsid w:val="008557C2"/>
    <w:rsid w:val="00855F97"/>
    <w:rsid w:val="0086080D"/>
    <w:rsid w:val="00860E45"/>
    <w:rsid w:val="008621FC"/>
    <w:rsid w:val="008634DE"/>
    <w:rsid w:val="00863D7A"/>
    <w:rsid w:val="0086442E"/>
    <w:rsid w:val="008647BD"/>
    <w:rsid w:val="008665C4"/>
    <w:rsid w:val="0086751C"/>
    <w:rsid w:val="008677E3"/>
    <w:rsid w:val="0087026F"/>
    <w:rsid w:val="00870B41"/>
    <w:rsid w:val="0087195C"/>
    <w:rsid w:val="00873C6E"/>
    <w:rsid w:val="00873EB9"/>
    <w:rsid w:val="008743B2"/>
    <w:rsid w:val="00875D5A"/>
    <w:rsid w:val="00875F1E"/>
    <w:rsid w:val="008764A1"/>
    <w:rsid w:val="00880351"/>
    <w:rsid w:val="0088086C"/>
    <w:rsid w:val="00882690"/>
    <w:rsid w:val="00882735"/>
    <w:rsid w:val="0088277F"/>
    <w:rsid w:val="00882EFE"/>
    <w:rsid w:val="00884722"/>
    <w:rsid w:val="00885C05"/>
    <w:rsid w:val="00885F6F"/>
    <w:rsid w:val="00887ECF"/>
    <w:rsid w:val="00890F28"/>
    <w:rsid w:val="00891AF1"/>
    <w:rsid w:val="00892541"/>
    <w:rsid w:val="0089372D"/>
    <w:rsid w:val="00893E14"/>
    <w:rsid w:val="0089533C"/>
    <w:rsid w:val="00895554"/>
    <w:rsid w:val="008957A8"/>
    <w:rsid w:val="00895A54"/>
    <w:rsid w:val="00896B6A"/>
    <w:rsid w:val="00896DE3"/>
    <w:rsid w:val="008A0454"/>
    <w:rsid w:val="008A1381"/>
    <w:rsid w:val="008A16A3"/>
    <w:rsid w:val="008A1A60"/>
    <w:rsid w:val="008A3B56"/>
    <w:rsid w:val="008A4281"/>
    <w:rsid w:val="008A537D"/>
    <w:rsid w:val="008A6632"/>
    <w:rsid w:val="008A7240"/>
    <w:rsid w:val="008A7609"/>
    <w:rsid w:val="008A7A59"/>
    <w:rsid w:val="008A7BFC"/>
    <w:rsid w:val="008A7CF7"/>
    <w:rsid w:val="008A7FAD"/>
    <w:rsid w:val="008B038B"/>
    <w:rsid w:val="008B100F"/>
    <w:rsid w:val="008B1561"/>
    <w:rsid w:val="008B1C73"/>
    <w:rsid w:val="008B1DA6"/>
    <w:rsid w:val="008B3660"/>
    <w:rsid w:val="008C210D"/>
    <w:rsid w:val="008C3E59"/>
    <w:rsid w:val="008C480D"/>
    <w:rsid w:val="008C4C45"/>
    <w:rsid w:val="008C651B"/>
    <w:rsid w:val="008C7138"/>
    <w:rsid w:val="008D2564"/>
    <w:rsid w:val="008D3C26"/>
    <w:rsid w:val="008D4CE0"/>
    <w:rsid w:val="008D64DF"/>
    <w:rsid w:val="008E1626"/>
    <w:rsid w:val="008E270C"/>
    <w:rsid w:val="008E51D4"/>
    <w:rsid w:val="008E66F8"/>
    <w:rsid w:val="008E6C18"/>
    <w:rsid w:val="008E74EF"/>
    <w:rsid w:val="008E7904"/>
    <w:rsid w:val="008E7EFA"/>
    <w:rsid w:val="008F051D"/>
    <w:rsid w:val="008F0FC5"/>
    <w:rsid w:val="008F0FD2"/>
    <w:rsid w:val="008F17A3"/>
    <w:rsid w:val="008F2EB2"/>
    <w:rsid w:val="008F4376"/>
    <w:rsid w:val="008F52C5"/>
    <w:rsid w:val="008F537A"/>
    <w:rsid w:val="008F59AF"/>
    <w:rsid w:val="008F5B07"/>
    <w:rsid w:val="008F5E36"/>
    <w:rsid w:val="008F61FC"/>
    <w:rsid w:val="008F74A5"/>
    <w:rsid w:val="00901474"/>
    <w:rsid w:val="009014FD"/>
    <w:rsid w:val="00902AA7"/>
    <w:rsid w:val="00903496"/>
    <w:rsid w:val="00903580"/>
    <w:rsid w:val="00903857"/>
    <w:rsid w:val="00903A37"/>
    <w:rsid w:val="009041F8"/>
    <w:rsid w:val="00904D53"/>
    <w:rsid w:val="00905C49"/>
    <w:rsid w:val="00905D10"/>
    <w:rsid w:val="00906C53"/>
    <w:rsid w:val="00906E88"/>
    <w:rsid w:val="0090737A"/>
    <w:rsid w:val="0091475E"/>
    <w:rsid w:val="0091491D"/>
    <w:rsid w:val="0091517B"/>
    <w:rsid w:val="009155F3"/>
    <w:rsid w:val="00917B9E"/>
    <w:rsid w:val="00921597"/>
    <w:rsid w:val="00921696"/>
    <w:rsid w:val="00921F98"/>
    <w:rsid w:val="0092525C"/>
    <w:rsid w:val="009257EE"/>
    <w:rsid w:val="009262E3"/>
    <w:rsid w:val="00927E7F"/>
    <w:rsid w:val="009300E6"/>
    <w:rsid w:val="00931856"/>
    <w:rsid w:val="00931957"/>
    <w:rsid w:val="00932259"/>
    <w:rsid w:val="009342B7"/>
    <w:rsid w:val="00935DB1"/>
    <w:rsid w:val="00937B2D"/>
    <w:rsid w:val="00937F6E"/>
    <w:rsid w:val="00940225"/>
    <w:rsid w:val="00940F01"/>
    <w:rsid w:val="009429D4"/>
    <w:rsid w:val="00943BAA"/>
    <w:rsid w:val="00943D4D"/>
    <w:rsid w:val="00944464"/>
    <w:rsid w:val="00945BC4"/>
    <w:rsid w:val="009503FE"/>
    <w:rsid w:val="00951E2A"/>
    <w:rsid w:val="0095291D"/>
    <w:rsid w:val="00954778"/>
    <w:rsid w:val="00954BAF"/>
    <w:rsid w:val="0095687B"/>
    <w:rsid w:val="00957730"/>
    <w:rsid w:val="00960CDB"/>
    <w:rsid w:val="00962E0E"/>
    <w:rsid w:val="00964882"/>
    <w:rsid w:val="009648F1"/>
    <w:rsid w:val="00964C44"/>
    <w:rsid w:val="00964DFA"/>
    <w:rsid w:val="00965025"/>
    <w:rsid w:val="0096634B"/>
    <w:rsid w:val="0097136D"/>
    <w:rsid w:val="00971528"/>
    <w:rsid w:val="009737E6"/>
    <w:rsid w:val="0097492C"/>
    <w:rsid w:val="00974E2D"/>
    <w:rsid w:val="00975DB5"/>
    <w:rsid w:val="0097682D"/>
    <w:rsid w:val="00976DCD"/>
    <w:rsid w:val="00976F0D"/>
    <w:rsid w:val="00977ECE"/>
    <w:rsid w:val="0098066C"/>
    <w:rsid w:val="009812F2"/>
    <w:rsid w:val="009814B0"/>
    <w:rsid w:val="00981780"/>
    <w:rsid w:val="00981871"/>
    <w:rsid w:val="00984105"/>
    <w:rsid w:val="00984181"/>
    <w:rsid w:val="0098571F"/>
    <w:rsid w:val="00987780"/>
    <w:rsid w:val="00987A07"/>
    <w:rsid w:val="0099005D"/>
    <w:rsid w:val="00990295"/>
    <w:rsid w:val="0099122F"/>
    <w:rsid w:val="009917B6"/>
    <w:rsid w:val="00992B0D"/>
    <w:rsid w:val="00993DC8"/>
    <w:rsid w:val="00994346"/>
    <w:rsid w:val="0099602F"/>
    <w:rsid w:val="00996143"/>
    <w:rsid w:val="009969E0"/>
    <w:rsid w:val="00996B5C"/>
    <w:rsid w:val="009A0545"/>
    <w:rsid w:val="009A0B4E"/>
    <w:rsid w:val="009A1002"/>
    <w:rsid w:val="009A1EC2"/>
    <w:rsid w:val="009A36AF"/>
    <w:rsid w:val="009A3D21"/>
    <w:rsid w:val="009A3E97"/>
    <w:rsid w:val="009A591E"/>
    <w:rsid w:val="009A761C"/>
    <w:rsid w:val="009A77E7"/>
    <w:rsid w:val="009B1B5C"/>
    <w:rsid w:val="009B306D"/>
    <w:rsid w:val="009B5983"/>
    <w:rsid w:val="009B7B65"/>
    <w:rsid w:val="009C04AF"/>
    <w:rsid w:val="009C052D"/>
    <w:rsid w:val="009C09A0"/>
    <w:rsid w:val="009C2135"/>
    <w:rsid w:val="009C323D"/>
    <w:rsid w:val="009C36F1"/>
    <w:rsid w:val="009C3E3C"/>
    <w:rsid w:val="009C4F54"/>
    <w:rsid w:val="009C5271"/>
    <w:rsid w:val="009C63A4"/>
    <w:rsid w:val="009C63D5"/>
    <w:rsid w:val="009C6B5F"/>
    <w:rsid w:val="009C787C"/>
    <w:rsid w:val="009C7FC6"/>
    <w:rsid w:val="009D161A"/>
    <w:rsid w:val="009D1693"/>
    <w:rsid w:val="009D1BCC"/>
    <w:rsid w:val="009D21DC"/>
    <w:rsid w:val="009D3750"/>
    <w:rsid w:val="009D4AB7"/>
    <w:rsid w:val="009D5302"/>
    <w:rsid w:val="009D55D5"/>
    <w:rsid w:val="009D62F3"/>
    <w:rsid w:val="009D754F"/>
    <w:rsid w:val="009E1896"/>
    <w:rsid w:val="009E1980"/>
    <w:rsid w:val="009E1ACC"/>
    <w:rsid w:val="009E2016"/>
    <w:rsid w:val="009E2833"/>
    <w:rsid w:val="009E2BB3"/>
    <w:rsid w:val="009E325E"/>
    <w:rsid w:val="009E3484"/>
    <w:rsid w:val="009E569F"/>
    <w:rsid w:val="009E5BC1"/>
    <w:rsid w:val="009E5DA3"/>
    <w:rsid w:val="009E5E14"/>
    <w:rsid w:val="009E5FDA"/>
    <w:rsid w:val="009E646F"/>
    <w:rsid w:val="009E776E"/>
    <w:rsid w:val="009F1760"/>
    <w:rsid w:val="009F233B"/>
    <w:rsid w:val="009F4396"/>
    <w:rsid w:val="009F5D93"/>
    <w:rsid w:val="009F6F14"/>
    <w:rsid w:val="009F7433"/>
    <w:rsid w:val="009F79E9"/>
    <w:rsid w:val="00A00F3C"/>
    <w:rsid w:val="00A0144A"/>
    <w:rsid w:val="00A02844"/>
    <w:rsid w:val="00A034F2"/>
    <w:rsid w:val="00A03DFE"/>
    <w:rsid w:val="00A042CC"/>
    <w:rsid w:val="00A069FD"/>
    <w:rsid w:val="00A06BF5"/>
    <w:rsid w:val="00A076B8"/>
    <w:rsid w:val="00A07E9C"/>
    <w:rsid w:val="00A11066"/>
    <w:rsid w:val="00A1196D"/>
    <w:rsid w:val="00A11A36"/>
    <w:rsid w:val="00A122F8"/>
    <w:rsid w:val="00A12914"/>
    <w:rsid w:val="00A12EEB"/>
    <w:rsid w:val="00A1379F"/>
    <w:rsid w:val="00A14173"/>
    <w:rsid w:val="00A16620"/>
    <w:rsid w:val="00A167B8"/>
    <w:rsid w:val="00A17060"/>
    <w:rsid w:val="00A17ED7"/>
    <w:rsid w:val="00A20492"/>
    <w:rsid w:val="00A2185E"/>
    <w:rsid w:val="00A21919"/>
    <w:rsid w:val="00A26381"/>
    <w:rsid w:val="00A272AE"/>
    <w:rsid w:val="00A3010A"/>
    <w:rsid w:val="00A30C12"/>
    <w:rsid w:val="00A3109C"/>
    <w:rsid w:val="00A31C08"/>
    <w:rsid w:val="00A32889"/>
    <w:rsid w:val="00A331C2"/>
    <w:rsid w:val="00A36A40"/>
    <w:rsid w:val="00A36D42"/>
    <w:rsid w:val="00A414A1"/>
    <w:rsid w:val="00A415B3"/>
    <w:rsid w:val="00A41BC0"/>
    <w:rsid w:val="00A42893"/>
    <w:rsid w:val="00A42906"/>
    <w:rsid w:val="00A43AE3"/>
    <w:rsid w:val="00A43E5D"/>
    <w:rsid w:val="00A45490"/>
    <w:rsid w:val="00A4723D"/>
    <w:rsid w:val="00A47250"/>
    <w:rsid w:val="00A50F46"/>
    <w:rsid w:val="00A5180C"/>
    <w:rsid w:val="00A521EE"/>
    <w:rsid w:val="00A5427C"/>
    <w:rsid w:val="00A54990"/>
    <w:rsid w:val="00A603C3"/>
    <w:rsid w:val="00A61267"/>
    <w:rsid w:val="00A63829"/>
    <w:rsid w:val="00A64250"/>
    <w:rsid w:val="00A64FD8"/>
    <w:rsid w:val="00A6550F"/>
    <w:rsid w:val="00A67C97"/>
    <w:rsid w:val="00A711F9"/>
    <w:rsid w:val="00A71783"/>
    <w:rsid w:val="00A719FE"/>
    <w:rsid w:val="00A74937"/>
    <w:rsid w:val="00A75B8E"/>
    <w:rsid w:val="00A77685"/>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2D01"/>
    <w:rsid w:val="00AA32DA"/>
    <w:rsid w:val="00AA3D7F"/>
    <w:rsid w:val="00AA45A4"/>
    <w:rsid w:val="00AA4712"/>
    <w:rsid w:val="00AA4FAB"/>
    <w:rsid w:val="00AA50E0"/>
    <w:rsid w:val="00AA65F4"/>
    <w:rsid w:val="00AA7732"/>
    <w:rsid w:val="00AA7A71"/>
    <w:rsid w:val="00AB01B3"/>
    <w:rsid w:val="00AB141E"/>
    <w:rsid w:val="00AB1B2B"/>
    <w:rsid w:val="00AB2DA7"/>
    <w:rsid w:val="00AB3445"/>
    <w:rsid w:val="00AB43EE"/>
    <w:rsid w:val="00AB4F07"/>
    <w:rsid w:val="00AB5121"/>
    <w:rsid w:val="00AB51EA"/>
    <w:rsid w:val="00AB6F0C"/>
    <w:rsid w:val="00AC1EC5"/>
    <w:rsid w:val="00AC4AC4"/>
    <w:rsid w:val="00AC7F40"/>
    <w:rsid w:val="00AC7FDF"/>
    <w:rsid w:val="00AD0544"/>
    <w:rsid w:val="00AD061A"/>
    <w:rsid w:val="00AD1018"/>
    <w:rsid w:val="00AD476C"/>
    <w:rsid w:val="00AD4F9A"/>
    <w:rsid w:val="00AE099A"/>
    <w:rsid w:val="00AE12EC"/>
    <w:rsid w:val="00AE154F"/>
    <w:rsid w:val="00AE18E1"/>
    <w:rsid w:val="00AE1EE1"/>
    <w:rsid w:val="00AE207E"/>
    <w:rsid w:val="00AE2782"/>
    <w:rsid w:val="00AE2C20"/>
    <w:rsid w:val="00AE3AD6"/>
    <w:rsid w:val="00AE3DAE"/>
    <w:rsid w:val="00AE412E"/>
    <w:rsid w:val="00AE4BF3"/>
    <w:rsid w:val="00AE5E46"/>
    <w:rsid w:val="00AE7B46"/>
    <w:rsid w:val="00AF05EC"/>
    <w:rsid w:val="00AF2319"/>
    <w:rsid w:val="00AF244D"/>
    <w:rsid w:val="00AF2AE0"/>
    <w:rsid w:val="00AF3311"/>
    <w:rsid w:val="00AF399D"/>
    <w:rsid w:val="00AF3D6B"/>
    <w:rsid w:val="00AF4917"/>
    <w:rsid w:val="00AF4DC9"/>
    <w:rsid w:val="00AF6292"/>
    <w:rsid w:val="00AF645A"/>
    <w:rsid w:val="00AF680F"/>
    <w:rsid w:val="00AF6DF0"/>
    <w:rsid w:val="00AF7BDE"/>
    <w:rsid w:val="00B003DC"/>
    <w:rsid w:val="00B00514"/>
    <w:rsid w:val="00B00C04"/>
    <w:rsid w:val="00B01C2D"/>
    <w:rsid w:val="00B01FAF"/>
    <w:rsid w:val="00B02AB2"/>
    <w:rsid w:val="00B04260"/>
    <w:rsid w:val="00B04A4E"/>
    <w:rsid w:val="00B0511A"/>
    <w:rsid w:val="00B05D39"/>
    <w:rsid w:val="00B100BE"/>
    <w:rsid w:val="00B11284"/>
    <w:rsid w:val="00B11F80"/>
    <w:rsid w:val="00B13A6B"/>
    <w:rsid w:val="00B14FF9"/>
    <w:rsid w:val="00B15D9A"/>
    <w:rsid w:val="00B160F4"/>
    <w:rsid w:val="00B163B9"/>
    <w:rsid w:val="00B1684F"/>
    <w:rsid w:val="00B1722F"/>
    <w:rsid w:val="00B17CCB"/>
    <w:rsid w:val="00B2000F"/>
    <w:rsid w:val="00B207AC"/>
    <w:rsid w:val="00B20D36"/>
    <w:rsid w:val="00B21512"/>
    <w:rsid w:val="00B21FA2"/>
    <w:rsid w:val="00B2338E"/>
    <w:rsid w:val="00B235FF"/>
    <w:rsid w:val="00B24089"/>
    <w:rsid w:val="00B24486"/>
    <w:rsid w:val="00B24846"/>
    <w:rsid w:val="00B26963"/>
    <w:rsid w:val="00B26AA4"/>
    <w:rsid w:val="00B278D1"/>
    <w:rsid w:val="00B27E61"/>
    <w:rsid w:val="00B308AE"/>
    <w:rsid w:val="00B309A2"/>
    <w:rsid w:val="00B30BDA"/>
    <w:rsid w:val="00B30C98"/>
    <w:rsid w:val="00B3228F"/>
    <w:rsid w:val="00B324D0"/>
    <w:rsid w:val="00B32AE8"/>
    <w:rsid w:val="00B3323A"/>
    <w:rsid w:val="00B34ECD"/>
    <w:rsid w:val="00B36696"/>
    <w:rsid w:val="00B418D6"/>
    <w:rsid w:val="00B43042"/>
    <w:rsid w:val="00B446F9"/>
    <w:rsid w:val="00B50382"/>
    <w:rsid w:val="00B512A3"/>
    <w:rsid w:val="00B51F04"/>
    <w:rsid w:val="00B53331"/>
    <w:rsid w:val="00B5387D"/>
    <w:rsid w:val="00B559B2"/>
    <w:rsid w:val="00B565D4"/>
    <w:rsid w:val="00B56BAF"/>
    <w:rsid w:val="00B56D2F"/>
    <w:rsid w:val="00B56DA8"/>
    <w:rsid w:val="00B56E5F"/>
    <w:rsid w:val="00B57BF8"/>
    <w:rsid w:val="00B601ED"/>
    <w:rsid w:val="00B60E51"/>
    <w:rsid w:val="00B63F7F"/>
    <w:rsid w:val="00B64DE1"/>
    <w:rsid w:val="00B65277"/>
    <w:rsid w:val="00B6537F"/>
    <w:rsid w:val="00B65433"/>
    <w:rsid w:val="00B65D0C"/>
    <w:rsid w:val="00B65DEE"/>
    <w:rsid w:val="00B669E6"/>
    <w:rsid w:val="00B673D7"/>
    <w:rsid w:val="00B71571"/>
    <w:rsid w:val="00B715B1"/>
    <w:rsid w:val="00B71994"/>
    <w:rsid w:val="00B7619E"/>
    <w:rsid w:val="00B77677"/>
    <w:rsid w:val="00B7783B"/>
    <w:rsid w:val="00B77BF3"/>
    <w:rsid w:val="00B83257"/>
    <w:rsid w:val="00B8381D"/>
    <w:rsid w:val="00B84964"/>
    <w:rsid w:val="00B849F3"/>
    <w:rsid w:val="00B85F87"/>
    <w:rsid w:val="00B9092D"/>
    <w:rsid w:val="00B91527"/>
    <w:rsid w:val="00B92470"/>
    <w:rsid w:val="00B929D1"/>
    <w:rsid w:val="00B92B24"/>
    <w:rsid w:val="00B93AC6"/>
    <w:rsid w:val="00B951BA"/>
    <w:rsid w:val="00B95349"/>
    <w:rsid w:val="00B955C0"/>
    <w:rsid w:val="00B95B9C"/>
    <w:rsid w:val="00B95F2F"/>
    <w:rsid w:val="00B961E2"/>
    <w:rsid w:val="00BA0067"/>
    <w:rsid w:val="00BA0F9A"/>
    <w:rsid w:val="00BA2179"/>
    <w:rsid w:val="00BA65AC"/>
    <w:rsid w:val="00BA7138"/>
    <w:rsid w:val="00BA7CD9"/>
    <w:rsid w:val="00BB2660"/>
    <w:rsid w:val="00BB2985"/>
    <w:rsid w:val="00BB7F44"/>
    <w:rsid w:val="00BC0A20"/>
    <w:rsid w:val="00BC21A0"/>
    <w:rsid w:val="00BC35CD"/>
    <w:rsid w:val="00BC4EF3"/>
    <w:rsid w:val="00BC77C0"/>
    <w:rsid w:val="00BD0B25"/>
    <w:rsid w:val="00BD234D"/>
    <w:rsid w:val="00BD2561"/>
    <w:rsid w:val="00BD43D2"/>
    <w:rsid w:val="00BD4EBE"/>
    <w:rsid w:val="00BD5DCD"/>
    <w:rsid w:val="00BD616D"/>
    <w:rsid w:val="00BD6C4D"/>
    <w:rsid w:val="00BE0059"/>
    <w:rsid w:val="00BE0997"/>
    <w:rsid w:val="00BE1907"/>
    <w:rsid w:val="00BE1A97"/>
    <w:rsid w:val="00BE3AF3"/>
    <w:rsid w:val="00BE3D24"/>
    <w:rsid w:val="00BE485B"/>
    <w:rsid w:val="00BE49E8"/>
    <w:rsid w:val="00BE6A74"/>
    <w:rsid w:val="00BE7D08"/>
    <w:rsid w:val="00BF0840"/>
    <w:rsid w:val="00BF0DFF"/>
    <w:rsid w:val="00BF22B8"/>
    <w:rsid w:val="00BF2603"/>
    <w:rsid w:val="00BF51CE"/>
    <w:rsid w:val="00BF6541"/>
    <w:rsid w:val="00BF7BB9"/>
    <w:rsid w:val="00C01969"/>
    <w:rsid w:val="00C01A0D"/>
    <w:rsid w:val="00C028D9"/>
    <w:rsid w:val="00C036E4"/>
    <w:rsid w:val="00C038B8"/>
    <w:rsid w:val="00C03B35"/>
    <w:rsid w:val="00C06574"/>
    <w:rsid w:val="00C06F31"/>
    <w:rsid w:val="00C11EE9"/>
    <w:rsid w:val="00C12B8C"/>
    <w:rsid w:val="00C135BC"/>
    <w:rsid w:val="00C13AF6"/>
    <w:rsid w:val="00C14F06"/>
    <w:rsid w:val="00C155D9"/>
    <w:rsid w:val="00C2211D"/>
    <w:rsid w:val="00C2344F"/>
    <w:rsid w:val="00C246F2"/>
    <w:rsid w:val="00C26707"/>
    <w:rsid w:val="00C27719"/>
    <w:rsid w:val="00C31BCD"/>
    <w:rsid w:val="00C320EB"/>
    <w:rsid w:val="00C32333"/>
    <w:rsid w:val="00C325EA"/>
    <w:rsid w:val="00C32F7B"/>
    <w:rsid w:val="00C3513F"/>
    <w:rsid w:val="00C355AA"/>
    <w:rsid w:val="00C36223"/>
    <w:rsid w:val="00C37C98"/>
    <w:rsid w:val="00C40725"/>
    <w:rsid w:val="00C4124C"/>
    <w:rsid w:val="00C416F0"/>
    <w:rsid w:val="00C41DC6"/>
    <w:rsid w:val="00C4207E"/>
    <w:rsid w:val="00C4465E"/>
    <w:rsid w:val="00C451A3"/>
    <w:rsid w:val="00C4577E"/>
    <w:rsid w:val="00C506DA"/>
    <w:rsid w:val="00C50C8F"/>
    <w:rsid w:val="00C51156"/>
    <w:rsid w:val="00C51190"/>
    <w:rsid w:val="00C5261E"/>
    <w:rsid w:val="00C53FD7"/>
    <w:rsid w:val="00C55C61"/>
    <w:rsid w:val="00C57047"/>
    <w:rsid w:val="00C64F44"/>
    <w:rsid w:val="00C650ED"/>
    <w:rsid w:val="00C65132"/>
    <w:rsid w:val="00C65F6A"/>
    <w:rsid w:val="00C6638B"/>
    <w:rsid w:val="00C674A2"/>
    <w:rsid w:val="00C67F3E"/>
    <w:rsid w:val="00C70CD5"/>
    <w:rsid w:val="00C7216F"/>
    <w:rsid w:val="00C730E4"/>
    <w:rsid w:val="00C73BB8"/>
    <w:rsid w:val="00C74CC5"/>
    <w:rsid w:val="00C76B48"/>
    <w:rsid w:val="00C76CC4"/>
    <w:rsid w:val="00C77815"/>
    <w:rsid w:val="00C8025F"/>
    <w:rsid w:val="00C80E02"/>
    <w:rsid w:val="00C818FF"/>
    <w:rsid w:val="00C823C5"/>
    <w:rsid w:val="00C82A52"/>
    <w:rsid w:val="00C82D42"/>
    <w:rsid w:val="00C8322A"/>
    <w:rsid w:val="00C83583"/>
    <w:rsid w:val="00C8409D"/>
    <w:rsid w:val="00C84B12"/>
    <w:rsid w:val="00C869BC"/>
    <w:rsid w:val="00C8737E"/>
    <w:rsid w:val="00C9003F"/>
    <w:rsid w:val="00C90514"/>
    <w:rsid w:val="00C921DA"/>
    <w:rsid w:val="00C9243B"/>
    <w:rsid w:val="00C94E9D"/>
    <w:rsid w:val="00C953C0"/>
    <w:rsid w:val="00C96E5A"/>
    <w:rsid w:val="00C97ACC"/>
    <w:rsid w:val="00CA03DB"/>
    <w:rsid w:val="00CA181F"/>
    <w:rsid w:val="00CA234C"/>
    <w:rsid w:val="00CA2A54"/>
    <w:rsid w:val="00CA3219"/>
    <w:rsid w:val="00CA427B"/>
    <w:rsid w:val="00CA7151"/>
    <w:rsid w:val="00CA7A65"/>
    <w:rsid w:val="00CB01EB"/>
    <w:rsid w:val="00CB0DFA"/>
    <w:rsid w:val="00CB250C"/>
    <w:rsid w:val="00CB34D5"/>
    <w:rsid w:val="00CB512F"/>
    <w:rsid w:val="00CB6CB0"/>
    <w:rsid w:val="00CC10B6"/>
    <w:rsid w:val="00CC134C"/>
    <w:rsid w:val="00CC32B2"/>
    <w:rsid w:val="00CC36F9"/>
    <w:rsid w:val="00CC3BC3"/>
    <w:rsid w:val="00CC3E8F"/>
    <w:rsid w:val="00CC74B8"/>
    <w:rsid w:val="00CD0628"/>
    <w:rsid w:val="00CD0BA2"/>
    <w:rsid w:val="00CD18DE"/>
    <w:rsid w:val="00CD2505"/>
    <w:rsid w:val="00CD643B"/>
    <w:rsid w:val="00CD6FC1"/>
    <w:rsid w:val="00CE0D42"/>
    <w:rsid w:val="00CE19D1"/>
    <w:rsid w:val="00CE2081"/>
    <w:rsid w:val="00CE228E"/>
    <w:rsid w:val="00CE23EF"/>
    <w:rsid w:val="00CE3BC9"/>
    <w:rsid w:val="00CE6197"/>
    <w:rsid w:val="00CE6490"/>
    <w:rsid w:val="00CE6BEE"/>
    <w:rsid w:val="00CE702E"/>
    <w:rsid w:val="00CE7723"/>
    <w:rsid w:val="00CF088A"/>
    <w:rsid w:val="00CF1AEC"/>
    <w:rsid w:val="00CF38F2"/>
    <w:rsid w:val="00CF5CD7"/>
    <w:rsid w:val="00CF79DF"/>
    <w:rsid w:val="00D00702"/>
    <w:rsid w:val="00D0087E"/>
    <w:rsid w:val="00D00FE0"/>
    <w:rsid w:val="00D01E61"/>
    <w:rsid w:val="00D02296"/>
    <w:rsid w:val="00D02B99"/>
    <w:rsid w:val="00D0306C"/>
    <w:rsid w:val="00D034FA"/>
    <w:rsid w:val="00D05C71"/>
    <w:rsid w:val="00D06027"/>
    <w:rsid w:val="00D0751A"/>
    <w:rsid w:val="00D078F8"/>
    <w:rsid w:val="00D07D25"/>
    <w:rsid w:val="00D110F0"/>
    <w:rsid w:val="00D116BA"/>
    <w:rsid w:val="00D11750"/>
    <w:rsid w:val="00D12852"/>
    <w:rsid w:val="00D13010"/>
    <w:rsid w:val="00D133F0"/>
    <w:rsid w:val="00D143ED"/>
    <w:rsid w:val="00D16C5A"/>
    <w:rsid w:val="00D16DAA"/>
    <w:rsid w:val="00D16DF1"/>
    <w:rsid w:val="00D17E12"/>
    <w:rsid w:val="00D21B84"/>
    <w:rsid w:val="00D22983"/>
    <w:rsid w:val="00D23D3D"/>
    <w:rsid w:val="00D25359"/>
    <w:rsid w:val="00D25E7D"/>
    <w:rsid w:val="00D261EA"/>
    <w:rsid w:val="00D26D6A"/>
    <w:rsid w:val="00D27842"/>
    <w:rsid w:val="00D30628"/>
    <w:rsid w:val="00D30CEE"/>
    <w:rsid w:val="00D31D6C"/>
    <w:rsid w:val="00D32B3D"/>
    <w:rsid w:val="00D33C8D"/>
    <w:rsid w:val="00D35C64"/>
    <w:rsid w:val="00D37148"/>
    <w:rsid w:val="00D37A00"/>
    <w:rsid w:val="00D40860"/>
    <w:rsid w:val="00D4280D"/>
    <w:rsid w:val="00D42B76"/>
    <w:rsid w:val="00D43787"/>
    <w:rsid w:val="00D447D8"/>
    <w:rsid w:val="00D450B5"/>
    <w:rsid w:val="00D45623"/>
    <w:rsid w:val="00D4579A"/>
    <w:rsid w:val="00D45942"/>
    <w:rsid w:val="00D45968"/>
    <w:rsid w:val="00D468AF"/>
    <w:rsid w:val="00D46D16"/>
    <w:rsid w:val="00D46D9B"/>
    <w:rsid w:val="00D470FA"/>
    <w:rsid w:val="00D47F57"/>
    <w:rsid w:val="00D50983"/>
    <w:rsid w:val="00D519F6"/>
    <w:rsid w:val="00D52636"/>
    <w:rsid w:val="00D52DC7"/>
    <w:rsid w:val="00D53B35"/>
    <w:rsid w:val="00D5648F"/>
    <w:rsid w:val="00D56E3B"/>
    <w:rsid w:val="00D57CC2"/>
    <w:rsid w:val="00D616A3"/>
    <w:rsid w:val="00D616EC"/>
    <w:rsid w:val="00D646E1"/>
    <w:rsid w:val="00D648BA"/>
    <w:rsid w:val="00D65AF0"/>
    <w:rsid w:val="00D66266"/>
    <w:rsid w:val="00D66A4D"/>
    <w:rsid w:val="00D67E1D"/>
    <w:rsid w:val="00D724E1"/>
    <w:rsid w:val="00D76115"/>
    <w:rsid w:val="00D76A95"/>
    <w:rsid w:val="00D801E1"/>
    <w:rsid w:val="00D815C5"/>
    <w:rsid w:val="00D82515"/>
    <w:rsid w:val="00D82682"/>
    <w:rsid w:val="00D82E21"/>
    <w:rsid w:val="00D840E2"/>
    <w:rsid w:val="00D8411C"/>
    <w:rsid w:val="00D846FE"/>
    <w:rsid w:val="00D860CB"/>
    <w:rsid w:val="00D87C68"/>
    <w:rsid w:val="00D9012E"/>
    <w:rsid w:val="00D90861"/>
    <w:rsid w:val="00D92783"/>
    <w:rsid w:val="00D92B70"/>
    <w:rsid w:val="00D92D3B"/>
    <w:rsid w:val="00D9332F"/>
    <w:rsid w:val="00D9456A"/>
    <w:rsid w:val="00D94B4E"/>
    <w:rsid w:val="00D94DBD"/>
    <w:rsid w:val="00D96557"/>
    <w:rsid w:val="00DA00BB"/>
    <w:rsid w:val="00DA38F9"/>
    <w:rsid w:val="00DA7497"/>
    <w:rsid w:val="00DA776D"/>
    <w:rsid w:val="00DA7AAB"/>
    <w:rsid w:val="00DB0699"/>
    <w:rsid w:val="00DB0815"/>
    <w:rsid w:val="00DB1859"/>
    <w:rsid w:val="00DB227A"/>
    <w:rsid w:val="00DB6134"/>
    <w:rsid w:val="00DB6676"/>
    <w:rsid w:val="00DB6EE6"/>
    <w:rsid w:val="00DC146B"/>
    <w:rsid w:val="00DC1482"/>
    <w:rsid w:val="00DC2ABE"/>
    <w:rsid w:val="00DC59DE"/>
    <w:rsid w:val="00DC7217"/>
    <w:rsid w:val="00DC75CF"/>
    <w:rsid w:val="00DC79BB"/>
    <w:rsid w:val="00DD11EB"/>
    <w:rsid w:val="00DD1B45"/>
    <w:rsid w:val="00DD1B8B"/>
    <w:rsid w:val="00DD1F32"/>
    <w:rsid w:val="00DD23D6"/>
    <w:rsid w:val="00DD4855"/>
    <w:rsid w:val="00DD5369"/>
    <w:rsid w:val="00DD75C4"/>
    <w:rsid w:val="00DE1FBA"/>
    <w:rsid w:val="00DE4550"/>
    <w:rsid w:val="00DE55DE"/>
    <w:rsid w:val="00DE5968"/>
    <w:rsid w:val="00DE6A2A"/>
    <w:rsid w:val="00DE78FD"/>
    <w:rsid w:val="00DF1227"/>
    <w:rsid w:val="00DF131F"/>
    <w:rsid w:val="00DF2C98"/>
    <w:rsid w:val="00DF6118"/>
    <w:rsid w:val="00DF77FD"/>
    <w:rsid w:val="00DF795C"/>
    <w:rsid w:val="00DF7AB6"/>
    <w:rsid w:val="00DF7C1B"/>
    <w:rsid w:val="00E00DCA"/>
    <w:rsid w:val="00E033B7"/>
    <w:rsid w:val="00E038DB"/>
    <w:rsid w:val="00E04FFB"/>
    <w:rsid w:val="00E05EEE"/>
    <w:rsid w:val="00E065DD"/>
    <w:rsid w:val="00E075A8"/>
    <w:rsid w:val="00E07D5A"/>
    <w:rsid w:val="00E105EE"/>
    <w:rsid w:val="00E10D91"/>
    <w:rsid w:val="00E134FC"/>
    <w:rsid w:val="00E141B4"/>
    <w:rsid w:val="00E1436B"/>
    <w:rsid w:val="00E14A8A"/>
    <w:rsid w:val="00E14F22"/>
    <w:rsid w:val="00E151BD"/>
    <w:rsid w:val="00E170FA"/>
    <w:rsid w:val="00E1756F"/>
    <w:rsid w:val="00E2020E"/>
    <w:rsid w:val="00E20D15"/>
    <w:rsid w:val="00E22D04"/>
    <w:rsid w:val="00E22D5D"/>
    <w:rsid w:val="00E23084"/>
    <w:rsid w:val="00E23102"/>
    <w:rsid w:val="00E25A13"/>
    <w:rsid w:val="00E26F75"/>
    <w:rsid w:val="00E3064C"/>
    <w:rsid w:val="00E31E4E"/>
    <w:rsid w:val="00E33007"/>
    <w:rsid w:val="00E34483"/>
    <w:rsid w:val="00E3456D"/>
    <w:rsid w:val="00E375F0"/>
    <w:rsid w:val="00E406B2"/>
    <w:rsid w:val="00E40CBB"/>
    <w:rsid w:val="00E4190D"/>
    <w:rsid w:val="00E4365E"/>
    <w:rsid w:val="00E44987"/>
    <w:rsid w:val="00E44F34"/>
    <w:rsid w:val="00E45859"/>
    <w:rsid w:val="00E47666"/>
    <w:rsid w:val="00E47C2B"/>
    <w:rsid w:val="00E47DE2"/>
    <w:rsid w:val="00E504E9"/>
    <w:rsid w:val="00E507A9"/>
    <w:rsid w:val="00E5253D"/>
    <w:rsid w:val="00E53860"/>
    <w:rsid w:val="00E554E7"/>
    <w:rsid w:val="00E55950"/>
    <w:rsid w:val="00E5688C"/>
    <w:rsid w:val="00E57C72"/>
    <w:rsid w:val="00E60497"/>
    <w:rsid w:val="00E60AEE"/>
    <w:rsid w:val="00E6547E"/>
    <w:rsid w:val="00E65C1D"/>
    <w:rsid w:val="00E65E36"/>
    <w:rsid w:val="00E669A1"/>
    <w:rsid w:val="00E67625"/>
    <w:rsid w:val="00E700D9"/>
    <w:rsid w:val="00E713CC"/>
    <w:rsid w:val="00E7447A"/>
    <w:rsid w:val="00E75315"/>
    <w:rsid w:val="00E75FF6"/>
    <w:rsid w:val="00E77A6F"/>
    <w:rsid w:val="00E83342"/>
    <w:rsid w:val="00E8390A"/>
    <w:rsid w:val="00E83A3B"/>
    <w:rsid w:val="00E84265"/>
    <w:rsid w:val="00E86595"/>
    <w:rsid w:val="00E901D7"/>
    <w:rsid w:val="00E9172D"/>
    <w:rsid w:val="00E922BE"/>
    <w:rsid w:val="00E9258D"/>
    <w:rsid w:val="00E9268E"/>
    <w:rsid w:val="00E92B00"/>
    <w:rsid w:val="00E9368B"/>
    <w:rsid w:val="00E94D9A"/>
    <w:rsid w:val="00E953FA"/>
    <w:rsid w:val="00E966D3"/>
    <w:rsid w:val="00E96CE7"/>
    <w:rsid w:val="00E9778F"/>
    <w:rsid w:val="00E97A5C"/>
    <w:rsid w:val="00E97E28"/>
    <w:rsid w:val="00EA484D"/>
    <w:rsid w:val="00EA4A96"/>
    <w:rsid w:val="00EB1A14"/>
    <w:rsid w:val="00EB3B0A"/>
    <w:rsid w:val="00EB3DAC"/>
    <w:rsid w:val="00EB4093"/>
    <w:rsid w:val="00EB46F3"/>
    <w:rsid w:val="00EB4958"/>
    <w:rsid w:val="00EC1371"/>
    <w:rsid w:val="00EC19BE"/>
    <w:rsid w:val="00EC2445"/>
    <w:rsid w:val="00EC33B2"/>
    <w:rsid w:val="00EC3796"/>
    <w:rsid w:val="00EC41A4"/>
    <w:rsid w:val="00EC4E57"/>
    <w:rsid w:val="00EC5D78"/>
    <w:rsid w:val="00EC6563"/>
    <w:rsid w:val="00EC7294"/>
    <w:rsid w:val="00EC7555"/>
    <w:rsid w:val="00EC7728"/>
    <w:rsid w:val="00ED0109"/>
    <w:rsid w:val="00ED0680"/>
    <w:rsid w:val="00ED10A6"/>
    <w:rsid w:val="00ED18DA"/>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589"/>
    <w:rsid w:val="00EF1724"/>
    <w:rsid w:val="00EF1AA9"/>
    <w:rsid w:val="00EF1B1F"/>
    <w:rsid w:val="00EF1B4E"/>
    <w:rsid w:val="00EF1CC2"/>
    <w:rsid w:val="00EF5079"/>
    <w:rsid w:val="00EF6940"/>
    <w:rsid w:val="00EF7A77"/>
    <w:rsid w:val="00EF7DE3"/>
    <w:rsid w:val="00F00693"/>
    <w:rsid w:val="00F006C9"/>
    <w:rsid w:val="00F02F54"/>
    <w:rsid w:val="00F03638"/>
    <w:rsid w:val="00F039ED"/>
    <w:rsid w:val="00F03F16"/>
    <w:rsid w:val="00F0620D"/>
    <w:rsid w:val="00F07ECC"/>
    <w:rsid w:val="00F10116"/>
    <w:rsid w:val="00F102E1"/>
    <w:rsid w:val="00F11916"/>
    <w:rsid w:val="00F11999"/>
    <w:rsid w:val="00F11B23"/>
    <w:rsid w:val="00F12C81"/>
    <w:rsid w:val="00F1344F"/>
    <w:rsid w:val="00F13850"/>
    <w:rsid w:val="00F13A34"/>
    <w:rsid w:val="00F13F59"/>
    <w:rsid w:val="00F146CB"/>
    <w:rsid w:val="00F14B1E"/>
    <w:rsid w:val="00F15D92"/>
    <w:rsid w:val="00F220EF"/>
    <w:rsid w:val="00F2298C"/>
    <w:rsid w:val="00F23229"/>
    <w:rsid w:val="00F24CF2"/>
    <w:rsid w:val="00F25235"/>
    <w:rsid w:val="00F254F6"/>
    <w:rsid w:val="00F3022D"/>
    <w:rsid w:val="00F30708"/>
    <w:rsid w:val="00F30CE2"/>
    <w:rsid w:val="00F31B3B"/>
    <w:rsid w:val="00F31E35"/>
    <w:rsid w:val="00F3228A"/>
    <w:rsid w:val="00F32668"/>
    <w:rsid w:val="00F3395E"/>
    <w:rsid w:val="00F33A72"/>
    <w:rsid w:val="00F3415D"/>
    <w:rsid w:val="00F363F1"/>
    <w:rsid w:val="00F36806"/>
    <w:rsid w:val="00F37256"/>
    <w:rsid w:val="00F43DFC"/>
    <w:rsid w:val="00F45E5A"/>
    <w:rsid w:val="00F53B17"/>
    <w:rsid w:val="00F541CE"/>
    <w:rsid w:val="00F54740"/>
    <w:rsid w:val="00F55291"/>
    <w:rsid w:val="00F57A3E"/>
    <w:rsid w:val="00F62899"/>
    <w:rsid w:val="00F637A9"/>
    <w:rsid w:val="00F63A4A"/>
    <w:rsid w:val="00F63E31"/>
    <w:rsid w:val="00F645AE"/>
    <w:rsid w:val="00F66EA6"/>
    <w:rsid w:val="00F67D00"/>
    <w:rsid w:val="00F67D2C"/>
    <w:rsid w:val="00F70011"/>
    <w:rsid w:val="00F720FA"/>
    <w:rsid w:val="00F733B2"/>
    <w:rsid w:val="00F75DF6"/>
    <w:rsid w:val="00F772EA"/>
    <w:rsid w:val="00F77698"/>
    <w:rsid w:val="00F83BC2"/>
    <w:rsid w:val="00F84ED2"/>
    <w:rsid w:val="00F8563E"/>
    <w:rsid w:val="00F90290"/>
    <w:rsid w:val="00F915B8"/>
    <w:rsid w:val="00F91B3B"/>
    <w:rsid w:val="00F91F80"/>
    <w:rsid w:val="00F947E5"/>
    <w:rsid w:val="00F94D41"/>
    <w:rsid w:val="00F94EC0"/>
    <w:rsid w:val="00F976C6"/>
    <w:rsid w:val="00FA0C52"/>
    <w:rsid w:val="00FA1459"/>
    <w:rsid w:val="00FA215D"/>
    <w:rsid w:val="00FA2451"/>
    <w:rsid w:val="00FA457D"/>
    <w:rsid w:val="00FA49D1"/>
    <w:rsid w:val="00FA6E33"/>
    <w:rsid w:val="00FA72B1"/>
    <w:rsid w:val="00FB27F6"/>
    <w:rsid w:val="00FB473F"/>
    <w:rsid w:val="00FB6477"/>
    <w:rsid w:val="00FC0C3E"/>
    <w:rsid w:val="00FC479C"/>
    <w:rsid w:val="00FC6E57"/>
    <w:rsid w:val="00FC7151"/>
    <w:rsid w:val="00FD08DF"/>
    <w:rsid w:val="00FD0C02"/>
    <w:rsid w:val="00FD1FCF"/>
    <w:rsid w:val="00FD20B0"/>
    <w:rsid w:val="00FD282F"/>
    <w:rsid w:val="00FD43E4"/>
    <w:rsid w:val="00FD6EAA"/>
    <w:rsid w:val="00FE0ABB"/>
    <w:rsid w:val="00FE0C18"/>
    <w:rsid w:val="00FE141F"/>
    <w:rsid w:val="00FE1B41"/>
    <w:rsid w:val="00FE20F0"/>
    <w:rsid w:val="00FE49BF"/>
    <w:rsid w:val="00FE7911"/>
    <w:rsid w:val="00FF1735"/>
    <w:rsid w:val="00FF31C9"/>
    <w:rsid w:val="00FF3D51"/>
    <w:rsid w:val="00FF663F"/>
    <w:rsid w:val="00FF7AE0"/>
    <w:rsid w:val="00FF7AF0"/>
    <w:rsid w:val="00FF7D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E83F8B1-28A7-4AE2-A3D5-4D16A8FA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apple-converted-space">
    <w:name w:val="apple-converted-space"/>
    <w:basedOn w:val="DefaultParagraphFont"/>
    <w:rsid w:val="0029381D"/>
  </w:style>
  <w:style w:type="character" w:customStyle="1" w:styleId="g1">
    <w:name w:val="g1"/>
    <w:basedOn w:val="DefaultParagraphFont"/>
    <w:rsid w:val="0029381D"/>
  </w:style>
  <w:style w:type="character" w:styleId="Hyperlink">
    <w:name w:val="Hyperlink"/>
    <w:basedOn w:val="DefaultParagraphFont"/>
    <w:uiPriority w:val="99"/>
    <w:semiHidden/>
    <w:unhideWhenUsed/>
    <w:rsid w:val="0029381D"/>
    <w:rPr>
      <w:color w:val="0000FF"/>
      <w:u w:val="single"/>
    </w:rPr>
  </w:style>
  <w:style w:type="character" w:customStyle="1" w:styleId="mc">
    <w:name w:val="mc"/>
    <w:basedOn w:val="DefaultParagraphFont"/>
    <w:rsid w:val="002D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072">
      <w:bodyDiv w:val="1"/>
      <w:marLeft w:val="0"/>
      <w:marRight w:val="0"/>
      <w:marTop w:val="0"/>
      <w:marBottom w:val="0"/>
      <w:divBdr>
        <w:top w:val="none" w:sz="0" w:space="0" w:color="auto"/>
        <w:left w:val="none" w:sz="0" w:space="0" w:color="auto"/>
        <w:bottom w:val="none" w:sz="0" w:space="0" w:color="auto"/>
        <w:right w:val="none" w:sz="0" w:space="0" w:color="auto"/>
      </w:divBdr>
    </w:div>
    <w:div w:id="1972705153">
      <w:bodyDiv w:val="1"/>
      <w:marLeft w:val="0"/>
      <w:marRight w:val="0"/>
      <w:marTop w:val="0"/>
      <w:marBottom w:val="0"/>
      <w:divBdr>
        <w:top w:val="none" w:sz="0" w:space="0" w:color="auto"/>
        <w:left w:val="none" w:sz="0" w:space="0" w:color="auto"/>
        <w:bottom w:val="none" w:sz="0" w:space="0" w:color="auto"/>
        <w:right w:val="none" w:sz="0" w:space="0" w:color="auto"/>
      </w:divBdr>
      <w:divsChild>
        <w:div w:id="530991408">
          <w:marLeft w:val="0"/>
          <w:marRight w:val="0"/>
          <w:marTop w:val="120"/>
          <w:marBottom w:val="0"/>
          <w:divBdr>
            <w:top w:val="none" w:sz="0" w:space="0" w:color="auto"/>
            <w:left w:val="none" w:sz="0" w:space="0" w:color="auto"/>
            <w:bottom w:val="none" w:sz="0" w:space="0" w:color="auto"/>
            <w:right w:val="none" w:sz="0" w:space="0" w:color="auto"/>
          </w:divBdr>
        </w:div>
        <w:div w:id="1421681375">
          <w:marLeft w:val="0"/>
          <w:marRight w:val="0"/>
          <w:marTop w:val="240"/>
          <w:marBottom w:val="24"/>
          <w:divBdr>
            <w:top w:val="single" w:sz="8" w:space="2" w:color="808080"/>
            <w:left w:val="none" w:sz="0" w:space="0" w:color="auto"/>
            <w:bottom w:val="none" w:sz="0" w:space="0" w:color="auto"/>
            <w:right w:val="none" w:sz="0" w:space="0" w:color="auto"/>
          </w:divBdr>
        </w:div>
        <w:div w:id="1610317065">
          <w:marLeft w:val="0"/>
          <w:marRight w:val="0"/>
          <w:marTop w:val="120"/>
          <w:marBottom w:val="0"/>
          <w:divBdr>
            <w:top w:val="none" w:sz="0" w:space="0" w:color="auto"/>
            <w:left w:val="none" w:sz="0" w:space="0" w:color="auto"/>
            <w:bottom w:val="none" w:sz="0" w:space="0" w:color="auto"/>
            <w:right w:val="none" w:sz="0" w:space="0" w:color="auto"/>
          </w:divBdr>
        </w:div>
        <w:div w:id="1741516410">
          <w:marLeft w:val="0"/>
          <w:marRight w:val="0"/>
          <w:marTop w:val="120"/>
          <w:marBottom w:val="0"/>
          <w:divBdr>
            <w:top w:val="none" w:sz="0" w:space="0" w:color="auto"/>
            <w:left w:val="none" w:sz="0" w:space="0" w:color="auto"/>
            <w:bottom w:val="none" w:sz="0" w:space="0" w:color="auto"/>
            <w:right w:val="none" w:sz="0" w:space="0" w:color="auto"/>
          </w:divBdr>
        </w:div>
      </w:divsChild>
    </w:div>
    <w:div w:id="2105882108">
      <w:bodyDiv w:val="1"/>
      <w:marLeft w:val="0"/>
      <w:marRight w:val="0"/>
      <w:marTop w:val="0"/>
      <w:marBottom w:val="0"/>
      <w:divBdr>
        <w:top w:val="none" w:sz="0" w:space="0" w:color="auto"/>
        <w:left w:val="none" w:sz="0" w:space="0" w:color="auto"/>
        <w:bottom w:val="none" w:sz="0" w:space="0" w:color="auto"/>
        <w:right w:val="none" w:sz="0" w:space="0" w:color="auto"/>
      </w:divBdr>
      <w:divsChild>
        <w:div w:id="84544465">
          <w:marLeft w:val="567"/>
          <w:marRight w:val="0"/>
          <w:marTop w:val="60"/>
          <w:marBottom w:val="0"/>
          <w:divBdr>
            <w:top w:val="none" w:sz="0" w:space="0" w:color="auto"/>
            <w:left w:val="none" w:sz="0" w:space="0" w:color="auto"/>
            <w:bottom w:val="none" w:sz="0" w:space="0" w:color="auto"/>
            <w:right w:val="none" w:sz="0" w:space="0" w:color="auto"/>
          </w:divBdr>
        </w:div>
        <w:div w:id="1059790730">
          <w:marLeft w:val="0"/>
          <w:marRight w:val="0"/>
          <w:marTop w:val="120"/>
          <w:marBottom w:val="0"/>
          <w:divBdr>
            <w:top w:val="none" w:sz="0" w:space="0" w:color="auto"/>
            <w:left w:val="none" w:sz="0" w:space="0" w:color="auto"/>
            <w:bottom w:val="none" w:sz="0" w:space="0" w:color="auto"/>
            <w:right w:val="none" w:sz="0" w:space="0" w:color="auto"/>
          </w:divBdr>
        </w:div>
        <w:div w:id="17391363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CDA5-7FC4-4B38-8F4E-8CEB0841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5620</Words>
  <Characters>32038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dcterms:created xsi:type="dcterms:W3CDTF">2022-09-22T06:55:00Z</dcterms:created>
  <dcterms:modified xsi:type="dcterms:W3CDTF">2022-09-22T06:55:00Z</dcterms:modified>
</cp:coreProperties>
</file>