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1A31" w14:textId="77777777" w:rsidR="00227321" w:rsidRPr="00031FFC" w:rsidRDefault="00227321" w:rsidP="00227321">
      <w:pPr>
        <w:widowControl w:val="0"/>
        <w:spacing w:after="0" w:line="360" w:lineRule="auto"/>
        <w:jc w:val="center"/>
        <w:rPr>
          <w:rFonts w:ascii="Arial" w:eastAsia="Times New Roman" w:hAnsi="Arial" w:cs="Arial"/>
          <w:sz w:val="24"/>
          <w:szCs w:val="24"/>
        </w:rPr>
      </w:pPr>
      <w:r w:rsidRPr="00031FFC">
        <w:rPr>
          <w:rFonts w:ascii="Arial" w:eastAsia="Times New Roman" w:hAnsi="Arial" w:cs="Arial"/>
          <w:noProof/>
          <w:sz w:val="24"/>
          <w:szCs w:val="24"/>
          <w:lang w:val="en-ZA" w:eastAsia="en-ZA"/>
        </w:rPr>
        <w:drawing>
          <wp:inline distT="0" distB="0" distL="0" distR="0" wp14:anchorId="6E141D82" wp14:editId="14BCEABB">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68F9B911" w14:textId="77777777" w:rsidR="00227321" w:rsidRPr="00031FFC" w:rsidRDefault="00227321" w:rsidP="00227321">
      <w:pPr>
        <w:widowControl w:val="0"/>
        <w:spacing w:after="0" w:line="360" w:lineRule="auto"/>
        <w:jc w:val="center"/>
        <w:rPr>
          <w:rFonts w:ascii="Arial" w:eastAsia="Times New Roman" w:hAnsi="Arial" w:cs="Arial"/>
          <w:b/>
          <w:sz w:val="24"/>
          <w:szCs w:val="24"/>
        </w:rPr>
      </w:pPr>
      <w:r w:rsidRPr="00031FFC">
        <w:rPr>
          <w:rFonts w:ascii="Arial" w:eastAsia="Times New Roman" w:hAnsi="Arial" w:cs="Arial"/>
          <w:b/>
          <w:sz w:val="24"/>
          <w:szCs w:val="24"/>
        </w:rPr>
        <w:t>IN THE HIGH COURT OF SOUTH AFRICA</w:t>
      </w:r>
    </w:p>
    <w:p w14:paraId="4F3DB743" w14:textId="77777777" w:rsidR="00227321" w:rsidRPr="00031FFC" w:rsidRDefault="00227321" w:rsidP="00227321">
      <w:pPr>
        <w:widowControl w:val="0"/>
        <w:tabs>
          <w:tab w:val="right" w:pos="9213"/>
        </w:tabs>
        <w:spacing w:line="360" w:lineRule="auto"/>
        <w:jc w:val="center"/>
        <w:rPr>
          <w:rFonts w:ascii="Arial" w:hAnsi="Arial" w:cs="Arial"/>
          <w:b/>
          <w:sz w:val="24"/>
          <w:szCs w:val="24"/>
        </w:rPr>
      </w:pPr>
      <w:r w:rsidRPr="00031FFC">
        <w:rPr>
          <w:rFonts w:ascii="Arial" w:hAnsi="Arial" w:cs="Arial"/>
          <w:b/>
          <w:sz w:val="24"/>
          <w:szCs w:val="24"/>
        </w:rPr>
        <w:t>EASTERN CAPE DIVISION, MAKHANDA</w:t>
      </w:r>
    </w:p>
    <w:p w14:paraId="0DAC695F" w14:textId="77777777" w:rsidR="00227321" w:rsidRPr="00031FFC" w:rsidRDefault="00227321" w:rsidP="00227321">
      <w:pPr>
        <w:widowControl w:val="0"/>
        <w:tabs>
          <w:tab w:val="right" w:pos="9213"/>
        </w:tabs>
        <w:spacing w:line="240" w:lineRule="auto"/>
        <w:rPr>
          <w:rFonts w:ascii="Arial" w:hAnsi="Arial" w:cs="Arial"/>
          <w:sz w:val="24"/>
          <w:szCs w:val="24"/>
        </w:rPr>
      </w:pPr>
      <w:r w:rsidRPr="00031FFC">
        <w:rPr>
          <w:rFonts w:ascii="Arial" w:hAnsi="Arial" w:cs="Arial"/>
          <w:sz w:val="24"/>
          <w:szCs w:val="24"/>
        </w:rPr>
        <w:tab/>
        <w:t>CASE NO. CA 200/2021</w:t>
      </w:r>
    </w:p>
    <w:p w14:paraId="2A5327CC" w14:textId="77777777" w:rsidR="00227321" w:rsidRPr="00031FFC" w:rsidRDefault="00227321" w:rsidP="00227321">
      <w:pPr>
        <w:widowControl w:val="0"/>
        <w:tabs>
          <w:tab w:val="right" w:pos="9213"/>
        </w:tabs>
        <w:spacing w:line="240" w:lineRule="auto"/>
        <w:rPr>
          <w:rFonts w:ascii="Arial" w:hAnsi="Arial" w:cs="Arial"/>
          <w:sz w:val="24"/>
          <w:szCs w:val="24"/>
        </w:rPr>
      </w:pPr>
    </w:p>
    <w:p w14:paraId="532A7F1F" w14:textId="77777777" w:rsidR="00227321" w:rsidRPr="00031FFC" w:rsidRDefault="00227321" w:rsidP="00227321">
      <w:pPr>
        <w:widowControl w:val="0"/>
        <w:tabs>
          <w:tab w:val="right" w:pos="9213"/>
        </w:tabs>
        <w:spacing w:line="360" w:lineRule="auto"/>
        <w:rPr>
          <w:rFonts w:ascii="Arial" w:hAnsi="Arial" w:cs="Arial"/>
          <w:sz w:val="24"/>
          <w:szCs w:val="24"/>
        </w:rPr>
      </w:pPr>
      <w:r w:rsidRPr="00031FFC">
        <w:rPr>
          <w:rFonts w:ascii="Arial" w:hAnsi="Arial" w:cs="Arial"/>
          <w:sz w:val="24"/>
          <w:szCs w:val="24"/>
        </w:rPr>
        <w:t>In the matter between:</w:t>
      </w:r>
    </w:p>
    <w:p w14:paraId="205BA314" w14:textId="77777777" w:rsidR="00227321" w:rsidRPr="00031FFC" w:rsidRDefault="00227321" w:rsidP="00227321">
      <w:pPr>
        <w:widowControl w:val="0"/>
        <w:tabs>
          <w:tab w:val="right" w:pos="8931"/>
        </w:tabs>
        <w:spacing w:line="360" w:lineRule="auto"/>
        <w:jc w:val="both"/>
        <w:rPr>
          <w:rFonts w:ascii="Arial" w:hAnsi="Arial" w:cs="Arial"/>
          <w:b/>
          <w:bCs/>
          <w:sz w:val="24"/>
          <w:szCs w:val="24"/>
        </w:rPr>
      </w:pPr>
      <w:r w:rsidRPr="00031FFC">
        <w:rPr>
          <w:rFonts w:ascii="Arial" w:hAnsi="Arial" w:cs="Arial"/>
          <w:b/>
          <w:bCs/>
          <w:sz w:val="24"/>
          <w:szCs w:val="24"/>
        </w:rPr>
        <w:t>IMONTI CHEMICAL</w:t>
      </w:r>
      <w:r w:rsidR="008F7ADA" w:rsidRPr="00031FFC">
        <w:rPr>
          <w:rFonts w:ascii="Arial" w:hAnsi="Arial" w:cs="Arial"/>
          <w:b/>
          <w:bCs/>
          <w:sz w:val="24"/>
          <w:szCs w:val="24"/>
        </w:rPr>
        <w:t>S</w:t>
      </w:r>
      <w:r w:rsidRPr="00031FFC">
        <w:rPr>
          <w:rFonts w:ascii="Arial" w:hAnsi="Arial" w:cs="Arial"/>
          <w:b/>
          <w:bCs/>
          <w:sz w:val="24"/>
          <w:szCs w:val="24"/>
        </w:rPr>
        <w:t xml:space="preserve"> &amp; HYGIENE SYSTEMS CC </w:t>
      </w:r>
    </w:p>
    <w:p w14:paraId="768BEF6F" w14:textId="77777777" w:rsidR="00227321" w:rsidRPr="00031FFC" w:rsidRDefault="00227321" w:rsidP="00227321">
      <w:pPr>
        <w:widowControl w:val="0"/>
        <w:tabs>
          <w:tab w:val="right" w:pos="8931"/>
        </w:tabs>
        <w:spacing w:line="360" w:lineRule="auto"/>
        <w:jc w:val="both"/>
        <w:rPr>
          <w:rFonts w:ascii="Arial" w:hAnsi="Arial" w:cs="Arial"/>
          <w:b/>
          <w:sz w:val="24"/>
          <w:szCs w:val="24"/>
        </w:rPr>
      </w:pPr>
      <w:r w:rsidRPr="00031FFC">
        <w:rPr>
          <w:rFonts w:ascii="Arial" w:hAnsi="Arial" w:cs="Arial"/>
          <w:b/>
          <w:bCs/>
          <w:sz w:val="24"/>
          <w:szCs w:val="24"/>
        </w:rPr>
        <w:t>t/a CHEMEX</w:t>
      </w:r>
      <w:r w:rsidRPr="00031FFC">
        <w:rPr>
          <w:rFonts w:ascii="Arial" w:hAnsi="Arial" w:cs="Arial"/>
          <w:b/>
          <w:sz w:val="24"/>
          <w:szCs w:val="24"/>
        </w:rPr>
        <w:tab/>
        <w:t>First Appellant</w:t>
      </w:r>
    </w:p>
    <w:p w14:paraId="716D65DD" w14:textId="77777777" w:rsidR="00227321" w:rsidRPr="00031FFC" w:rsidRDefault="00227321" w:rsidP="00227321">
      <w:pPr>
        <w:widowControl w:val="0"/>
        <w:tabs>
          <w:tab w:val="right" w:pos="8931"/>
        </w:tabs>
        <w:spacing w:line="360" w:lineRule="auto"/>
        <w:jc w:val="both"/>
        <w:rPr>
          <w:rFonts w:ascii="Arial" w:hAnsi="Arial" w:cs="Arial"/>
          <w:b/>
          <w:sz w:val="24"/>
          <w:szCs w:val="24"/>
        </w:rPr>
      </w:pPr>
      <w:r w:rsidRPr="00031FFC">
        <w:rPr>
          <w:rFonts w:ascii="Arial" w:hAnsi="Arial" w:cs="Arial"/>
          <w:b/>
          <w:sz w:val="24"/>
          <w:szCs w:val="24"/>
        </w:rPr>
        <w:t xml:space="preserve">LUKE LE MARQUAND </w:t>
      </w:r>
      <w:r w:rsidRPr="00031FFC">
        <w:rPr>
          <w:rFonts w:ascii="Arial" w:hAnsi="Arial" w:cs="Arial"/>
          <w:b/>
          <w:sz w:val="24"/>
          <w:szCs w:val="24"/>
        </w:rPr>
        <w:tab/>
        <w:t>Second Appellant</w:t>
      </w:r>
    </w:p>
    <w:p w14:paraId="0CE9C8E6" w14:textId="77777777" w:rsidR="00227321" w:rsidRPr="00031FFC" w:rsidRDefault="00227321" w:rsidP="00227321">
      <w:pPr>
        <w:widowControl w:val="0"/>
        <w:tabs>
          <w:tab w:val="right" w:pos="8931"/>
        </w:tabs>
        <w:spacing w:line="360" w:lineRule="auto"/>
        <w:jc w:val="both"/>
        <w:rPr>
          <w:rFonts w:ascii="Arial" w:hAnsi="Arial" w:cs="Arial"/>
          <w:b/>
          <w:sz w:val="24"/>
          <w:szCs w:val="24"/>
        </w:rPr>
      </w:pPr>
      <w:r w:rsidRPr="00031FFC">
        <w:rPr>
          <w:rFonts w:ascii="Arial" w:hAnsi="Arial" w:cs="Arial"/>
          <w:b/>
          <w:sz w:val="24"/>
          <w:szCs w:val="24"/>
        </w:rPr>
        <w:t xml:space="preserve">MICHAEL-JOHN LE MARQUAND </w:t>
      </w:r>
      <w:r w:rsidRPr="00031FFC">
        <w:rPr>
          <w:rFonts w:ascii="Arial" w:hAnsi="Arial" w:cs="Arial"/>
          <w:b/>
          <w:sz w:val="24"/>
          <w:szCs w:val="24"/>
        </w:rPr>
        <w:tab/>
        <w:t>Third Appellant</w:t>
      </w:r>
    </w:p>
    <w:p w14:paraId="7FCCCB89" w14:textId="77777777" w:rsidR="00227321" w:rsidRPr="00031FFC" w:rsidRDefault="00227321" w:rsidP="00227321">
      <w:pPr>
        <w:widowControl w:val="0"/>
        <w:tabs>
          <w:tab w:val="right" w:pos="8931"/>
        </w:tabs>
        <w:spacing w:line="240" w:lineRule="auto"/>
        <w:rPr>
          <w:rFonts w:ascii="Arial" w:hAnsi="Arial" w:cs="Arial"/>
          <w:b/>
          <w:sz w:val="24"/>
          <w:szCs w:val="24"/>
        </w:rPr>
      </w:pPr>
    </w:p>
    <w:p w14:paraId="6EA93882" w14:textId="77777777" w:rsidR="00227321" w:rsidRPr="00031FFC" w:rsidRDefault="00227321" w:rsidP="00227321">
      <w:pPr>
        <w:widowControl w:val="0"/>
        <w:tabs>
          <w:tab w:val="right" w:pos="9213"/>
        </w:tabs>
        <w:spacing w:line="240" w:lineRule="auto"/>
        <w:rPr>
          <w:rFonts w:ascii="Arial" w:hAnsi="Arial" w:cs="Arial"/>
          <w:b/>
          <w:sz w:val="24"/>
          <w:szCs w:val="24"/>
        </w:rPr>
      </w:pPr>
      <w:r w:rsidRPr="00031FFC">
        <w:rPr>
          <w:rFonts w:ascii="Arial" w:hAnsi="Arial" w:cs="Arial"/>
          <w:b/>
          <w:sz w:val="24"/>
          <w:szCs w:val="24"/>
        </w:rPr>
        <w:t xml:space="preserve">and </w:t>
      </w:r>
    </w:p>
    <w:p w14:paraId="6CE9C93C" w14:textId="77777777" w:rsidR="00227321" w:rsidRPr="00031FFC" w:rsidRDefault="00227321" w:rsidP="00227321">
      <w:pPr>
        <w:widowControl w:val="0"/>
        <w:tabs>
          <w:tab w:val="right" w:pos="9213"/>
        </w:tabs>
        <w:spacing w:line="240" w:lineRule="auto"/>
        <w:rPr>
          <w:rFonts w:ascii="Arial" w:hAnsi="Arial" w:cs="Arial"/>
          <w:b/>
          <w:sz w:val="24"/>
          <w:szCs w:val="24"/>
        </w:rPr>
      </w:pPr>
    </w:p>
    <w:p w14:paraId="5FDA064B" w14:textId="77777777" w:rsidR="00227321" w:rsidRPr="00031FFC" w:rsidRDefault="00227321" w:rsidP="00227321">
      <w:pPr>
        <w:widowControl w:val="0"/>
        <w:tabs>
          <w:tab w:val="right" w:pos="8931"/>
        </w:tabs>
        <w:spacing w:line="360" w:lineRule="auto"/>
        <w:rPr>
          <w:rFonts w:ascii="Arial" w:hAnsi="Arial" w:cs="Arial"/>
          <w:b/>
          <w:sz w:val="24"/>
          <w:szCs w:val="24"/>
        </w:rPr>
      </w:pPr>
      <w:r w:rsidRPr="00031FFC">
        <w:rPr>
          <w:rFonts w:ascii="Arial" w:hAnsi="Arial" w:cs="Arial"/>
          <w:b/>
          <w:sz w:val="24"/>
          <w:szCs w:val="24"/>
        </w:rPr>
        <w:t xml:space="preserve">PETER MALCOM GUEST </w:t>
      </w:r>
      <w:r w:rsidRPr="00031FFC">
        <w:rPr>
          <w:rFonts w:ascii="Arial" w:hAnsi="Arial" w:cs="Arial"/>
          <w:b/>
          <w:sz w:val="24"/>
          <w:szCs w:val="24"/>
        </w:rPr>
        <w:tab/>
        <w:t>First Respondent</w:t>
      </w:r>
    </w:p>
    <w:p w14:paraId="4A30630E" w14:textId="77777777" w:rsidR="00227321" w:rsidRPr="00031FFC" w:rsidRDefault="00227321" w:rsidP="00227321">
      <w:pPr>
        <w:widowControl w:val="0"/>
        <w:tabs>
          <w:tab w:val="right" w:pos="8931"/>
        </w:tabs>
        <w:spacing w:line="360" w:lineRule="auto"/>
        <w:rPr>
          <w:rFonts w:ascii="Arial" w:hAnsi="Arial" w:cs="Arial"/>
          <w:b/>
          <w:sz w:val="24"/>
          <w:szCs w:val="24"/>
        </w:rPr>
      </w:pPr>
      <w:r w:rsidRPr="00031FFC">
        <w:rPr>
          <w:rFonts w:ascii="Arial" w:hAnsi="Arial" w:cs="Arial"/>
          <w:b/>
          <w:sz w:val="24"/>
          <w:szCs w:val="24"/>
        </w:rPr>
        <w:t xml:space="preserve">RED ALERT TSS (PTY) LIMITED </w:t>
      </w:r>
      <w:r w:rsidRPr="00031FFC">
        <w:rPr>
          <w:rFonts w:ascii="Arial" w:hAnsi="Arial" w:cs="Arial"/>
          <w:b/>
          <w:sz w:val="24"/>
          <w:szCs w:val="24"/>
        </w:rPr>
        <w:tab/>
        <w:t>Second Respondent</w:t>
      </w:r>
    </w:p>
    <w:p w14:paraId="3D54FAEF" w14:textId="77777777" w:rsidR="004B680A" w:rsidRPr="00031FFC" w:rsidRDefault="004B680A" w:rsidP="00227321">
      <w:pPr>
        <w:widowControl w:val="0"/>
        <w:tabs>
          <w:tab w:val="right" w:pos="8931"/>
        </w:tabs>
        <w:spacing w:line="360" w:lineRule="auto"/>
        <w:rPr>
          <w:rFonts w:ascii="Arial" w:hAnsi="Arial" w:cs="Arial"/>
          <w:b/>
          <w:sz w:val="24"/>
          <w:szCs w:val="24"/>
        </w:rPr>
      </w:pPr>
    </w:p>
    <w:p w14:paraId="002B7D6B" w14:textId="77777777" w:rsidR="004B680A" w:rsidRPr="00031FFC" w:rsidRDefault="004B680A" w:rsidP="00227321">
      <w:pPr>
        <w:widowControl w:val="0"/>
        <w:tabs>
          <w:tab w:val="right" w:pos="8931"/>
        </w:tabs>
        <w:spacing w:line="360" w:lineRule="auto"/>
        <w:rPr>
          <w:rFonts w:ascii="Arial" w:hAnsi="Arial" w:cs="Arial"/>
          <w:b/>
          <w:sz w:val="24"/>
          <w:szCs w:val="24"/>
        </w:rPr>
      </w:pPr>
      <w:r w:rsidRPr="00031FFC">
        <w:rPr>
          <w:rFonts w:ascii="Arial" w:hAnsi="Arial" w:cs="Arial"/>
          <w:b/>
          <w:sz w:val="24"/>
          <w:szCs w:val="24"/>
        </w:rPr>
        <w:t>Coram: Van Zyl DJP; Malusi and Laing JJ.</w:t>
      </w:r>
    </w:p>
    <w:p w14:paraId="1F771624" w14:textId="77777777" w:rsidR="004B680A" w:rsidRPr="00031FFC" w:rsidRDefault="005165EF" w:rsidP="00227321">
      <w:pPr>
        <w:widowControl w:val="0"/>
        <w:tabs>
          <w:tab w:val="right" w:pos="8931"/>
        </w:tabs>
        <w:spacing w:line="360" w:lineRule="auto"/>
        <w:rPr>
          <w:rFonts w:ascii="Arial" w:hAnsi="Arial" w:cs="Arial"/>
          <w:b/>
          <w:sz w:val="24"/>
          <w:szCs w:val="24"/>
        </w:rPr>
      </w:pPr>
      <w:r>
        <w:rPr>
          <w:rFonts w:ascii="Arial" w:hAnsi="Arial" w:cs="Arial"/>
          <w:b/>
          <w:sz w:val="24"/>
          <w:szCs w:val="24"/>
        </w:rPr>
        <w:t xml:space="preserve">Matter heard on           </w:t>
      </w:r>
      <w:r w:rsidRPr="00031FFC">
        <w:rPr>
          <w:rFonts w:ascii="Arial" w:hAnsi="Arial" w:cs="Arial"/>
          <w:b/>
          <w:sz w:val="24"/>
          <w:szCs w:val="24"/>
        </w:rPr>
        <w:t xml:space="preserve"> :</w:t>
      </w:r>
      <w:r w:rsidR="004B680A" w:rsidRPr="00031FFC">
        <w:rPr>
          <w:rFonts w:ascii="Arial" w:hAnsi="Arial" w:cs="Arial"/>
          <w:b/>
          <w:sz w:val="24"/>
          <w:szCs w:val="24"/>
        </w:rPr>
        <w:t xml:space="preserve">     </w:t>
      </w:r>
      <w:r w:rsidR="00031FFC">
        <w:rPr>
          <w:rFonts w:ascii="Arial" w:hAnsi="Arial" w:cs="Arial"/>
          <w:b/>
          <w:sz w:val="24"/>
          <w:szCs w:val="24"/>
        </w:rPr>
        <w:t>05 August 2022</w:t>
      </w:r>
    </w:p>
    <w:p w14:paraId="36991342" w14:textId="77777777" w:rsidR="004B680A" w:rsidRPr="00031FFC" w:rsidRDefault="004B680A" w:rsidP="00227321">
      <w:pPr>
        <w:widowControl w:val="0"/>
        <w:tabs>
          <w:tab w:val="right" w:pos="8931"/>
        </w:tabs>
        <w:spacing w:line="360" w:lineRule="auto"/>
        <w:rPr>
          <w:rFonts w:ascii="Arial" w:hAnsi="Arial" w:cs="Arial"/>
          <w:b/>
          <w:sz w:val="24"/>
          <w:szCs w:val="24"/>
        </w:rPr>
      </w:pPr>
      <w:r w:rsidRPr="00031FFC">
        <w:rPr>
          <w:rFonts w:ascii="Arial" w:hAnsi="Arial" w:cs="Arial"/>
          <w:b/>
          <w:sz w:val="24"/>
          <w:szCs w:val="24"/>
        </w:rPr>
        <w:t xml:space="preserve">Judgment delivered on:      </w:t>
      </w:r>
      <w:r w:rsidR="00031FFC">
        <w:rPr>
          <w:rFonts w:ascii="Arial" w:hAnsi="Arial" w:cs="Arial"/>
          <w:b/>
          <w:sz w:val="24"/>
          <w:szCs w:val="24"/>
        </w:rPr>
        <w:t>18 October 2022</w:t>
      </w:r>
    </w:p>
    <w:p w14:paraId="2984AB56" w14:textId="77777777" w:rsidR="00227321" w:rsidRPr="00031FFC" w:rsidRDefault="00227321" w:rsidP="00227321">
      <w:pPr>
        <w:spacing w:line="360" w:lineRule="auto"/>
        <w:rPr>
          <w:rFonts w:ascii="Arial" w:hAnsi="Arial" w:cs="Arial"/>
          <w:sz w:val="24"/>
          <w:szCs w:val="24"/>
          <w:lang w:val="en-GB"/>
        </w:rPr>
      </w:pPr>
      <w:r w:rsidRPr="00031FFC">
        <w:rPr>
          <w:rFonts w:ascii="Arial" w:hAnsi="Arial" w:cs="Arial"/>
          <w:sz w:val="24"/>
          <w:szCs w:val="24"/>
          <w:lang w:val="en-GB"/>
        </w:rPr>
        <w:t>___________________________________________________________________</w:t>
      </w:r>
    </w:p>
    <w:p w14:paraId="61ADCC58" w14:textId="77777777" w:rsidR="00227321" w:rsidRPr="00031FFC" w:rsidRDefault="004B680A" w:rsidP="00227321">
      <w:pPr>
        <w:spacing w:line="360" w:lineRule="auto"/>
        <w:jc w:val="center"/>
        <w:rPr>
          <w:rFonts w:ascii="Arial" w:hAnsi="Arial" w:cs="Arial"/>
          <w:b/>
          <w:sz w:val="24"/>
          <w:szCs w:val="24"/>
          <w:lang w:val="en-GB"/>
        </w:rPr>
      </w:pPr>
      <w:r w:rsidRPr="00031FFC">
        <w:rPr>
          <w:rFonts w:ascii="Arial" w:hAnsi="Arial" w:cs="Arial"/>
          <w:b/>
          <w:sz w:val="24"/>
          <w:szCs w:val="24"/>
          <w:lang w:val="en-GB"/>
        </w:rPr>
        <w:t xml:space="preserve">FULL COURT APPEAL </w:t>
      </w:r>
      <w:r w:rsidR="00227321" w:rsidRPr="00031FFC">
        <w:rPr>
          <w:rFonts w:ascii="Arial" w:hAnsi="Arial" w:cs="Arial"/>
          <w:b/>
          <w:sz w:val="24"/>
          <w:szCs w:val="24"/>
          <w:lang w:val="en-GB"/>
        </w:rPr>
        <w:t>JUDGMENT</w:t>
      </w:r>
    </w:p>
    <w:p w14:paraId="63853E75" w14:textId="77777777" w:rsidR="00227321" w:rsidRPr="00031FFC" w:rsidRDefault="00227321" w:rsidP="00227321">
      <w:pPr>
        <w:spacing w:line="360" w:lineRule="auto"/>
        <w:rPr>
          <w:rFonts w:ascii="Arial" w:hAnsi="Arial" w:cs="Arial"/>
          <w:sz w:val="24"/>
          <w:szCs w:val="24"/>
          <w:lang w:val="en-GB"/>
        </w:rPr>
      </w:pPr>
      <w:r w:rsidRPr="00031FFC">
        <w:rPr>
          <w:rFonts w:ascii="Arial" w:hAnsi="Arial" w:cs="Arial"/>
          <w:sz w:val="24"/>
          <w:szCs w:val="24"/>
          <w:lang w:val="en-GB"/>
        </w:rPr>
        <w:t>___________________________________________________________________</w:t>
      </w:r>
    </w:p>
    <w:p w14:paraId="09B9FD54" w14:textId="77777777" w:rsidR="00227321" w:rsidRPr="002E36CB" w:rsidRDefault="00227321" w:rsidP="00227321">
      <w:pPr>
        <w:spacing w:line="360" w:lineRule="auto"/>
        <w:rPr>
          <w:rFonts w:ascii="Arial" w:hAnsi="Arial" w:cs="Arial"/>
          <w:b/>
          <w:sz w:val="24"/>
          <w:szCs w:val="24"/>
          <w:u w:val="single"/>
          <w:lang w:val="en-GB"/>
        </w:rPr>
      </w:pPr>
      <w:r w:rsidRPr="002E36CB">
        <w:rPr>
          <w:rFonts w:ascii="Arial" w:hAnsi="Arial" w:cs="Arial"/>
          <w:b/>
          <w:sz w:val="24"/>
          <w:szCs w:val="24"/>
          <w:u w:val="single"/>
          <w:lang w:val="en-GB"/>
        </w:rPr>
        <w:lastRenderedPageBreak/>
        <w:t xml:space="preserve">LAING J </w:t>
      </w:r>
    </w:p>
    <w:p w14:paraId="3F38256E" w14:textId="771CB689" w:rsidR="00C47AC5" w:rsidRPr="009B6EB7" w:rsidRDefault="009B6EB7" w:rsidP="009B6EB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419C4" w:rsidRPr="009B6EB7">
        <w:rPr>
          <w:rFonts w:ascii="Arial" w:hAnsi="Arial" w:cs="Arial"/>
          <w:sz w:val="24"/>
          <w:szCs w:val="24"/>
        </w:rPr>
        <w:t xml:space="preserve">This is an appeal against </w:t>
      </w:r>
      <w:r w:rsidR="001D2651" w:rsidRPr="009B6EB7">
        <w:rPr>
          <w:rFonts w:ascii="Arial" w:hAnsi="Arial" w:cs="Arial"/>
          <w:sz w:val="24"/>
          <w:szCs w:val="24"/>
        </w:rPr>
        <w:t xml:space="preserve">the whole of the judgment of the court </w:t>
      </w:r>
      <w:r w:rsidR="001D2651" w:rsidRPr="009B6EB7">
        <w:rPr>
          <w:rFonts w:ascii="Arial" w:hAnsi="Arial" w:cs="Arial"/>
          <w:i/>
          <w:iCs/>
          <w:sz w:val="24"/>
          <w:szCs w:val="24"/>
        </w:rPr>
        <w:t>a quo</w:t>
      </w:r>
      <w:r w:rsidR="00373DB2" w:rsidRPr="009B6EB7">
        <w:rPr>
          <w:rFonts w:ascii="Arial" w:hAnsi="Arial" w:cs="Arial"/>
          <w:sz w:val="24"/>
          <w:szCs w:val="24"/>
        </w:rPr>
        <w:t xml:space="preserve"> (</w:t>
      </w:r>
      <w:r w:rsidR="001D2651" w:rsidRPr="009B6EB7">
        <w:rPr>
          <w:rFonts w:ascii="Arial" w:hAnsi="Arial" w:cs="Arial"/>
          <w:sz w:val="24"/>
          <w:szCs w:val="24"/>
        </w:rPr>
        <w:t xml:space="preserve">excluding certain paragraphs, as </w:t>
      </w:r>
      <w:r w:rsidR="00373DB2" w:rsidRPr="009B6EB7">
        <w:rPr>
          <w:rFonts w:ascii="Arial" w:hAnsi="Arial" w:cs="Arial"/>
          <w:sz w:val="24"/>
          <w:szCs w:val="24"/>
        </w:rPr>
        <w:t>indicated)</w:t>
      </w:r>
      <w:r w:rsidR="001D2651" w:rsidRPr="009B6EB7">
        <w:rPr>
          <w:rFonts w:ascii="Arial" w:hAnsi="Arial" w:cs="Arial"/>
          <w:sz w:val="24"/>
          <w:szCs w:val="24"/>
        </w:rPr>
        <w:t>. The matter pertains to the enforcement of a restraint of trade agreement.</w:t>
      </w:r>
    </w:p>
    <w:p w14:paraId="6800C35A" w14:textId="77777777" w:rsidR="00031FFC" w:rsidRPr="00031FFC" w:rsidRDefault="00031FFC" w:rsidP="00031FFC">
      <w:pPr>
        <w:pStyle w:val="ListParagraph"/>
        <w:spacing w:line="360" w:lineRule="auto"/>
        <w:ind w:left="0"/>
        <w:jc w:val="both"/>
        <w:rPr>
          <w:rFonts w:ascii="Arial" w:hAnsi="Arial" w:cs="Arial"/>
          <w:sz w:val="24"/>
          <w:szCs w:val="24"/>
        </w:rPr>
      </w:pPr>
    </w:p>
    <w:p w14:paraId="00533E19" w14:textId="1C9AD6B7" w:rsidR="00C47AC5"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w:t>
      </w:r>
      <w:r w:rsidRPr="00031FFC">
        <w:rPr>
          <w:rFonts w:ascii="Arial" w:hAnsi="Arial" w:cs="Arial"/>
          <w:sz w:val="24"/>
          <w:szCs w:val="24"/>
        </w:rPr>
        <w:tab/>
      </w:r>
      <w:r w:rsidR="00E15FFB" w:rsidRPr="009B6EB7">
        <w:rPr>
          <w:rFonts w:ascii="Arial" w:hAnsi="Arial" w:cs="Arial"/>
          <w:sz w:val="24"/>
          <w:szCs w:val="24"/>
        </w:rPr>
        <w:t>The first appellant (‘Chemex’) pr</w:t>
      </w:r>
      <w:r w:rsidR="00E17928" w:rsidRPr="009B6EB7">
        <w:rPr>
          <w:rFonts w:ascii="Arial" w:hAnsi="Arial" w:cs="Arial"/>
          <w:sz w:val="24"/>
          <w:szCs w:val="24"/>
        </w:rPr>
        <w:t xml:space="preserve">ovides sanitary goods and services to customers across the length and breadth of the Eastern Cape. It </w:t>
      </w:r>
      <w:r w:rsidR="00961331" w:rsidRPr="009B6EB7">
        <w:rPr>
          <w:rFonts w:ascii="Arial" w:hAnsi="Arial" w:cs="Arial"/>
          <w:sz w:val="24"/>
          <w:szCs w:val="24"/>
        </w:rPr>
        <w:t xml:space="preserve">loans various items of equipment at no charge, provided that the customer purchases the necessary consumables; a service and maintenance plan is </w:t>
      </w:r>
      <w:r w:rsidR="00373DB2" w:rsidRPr="009B6EB7">
        <w:rPr>
          <w:rFonts w:ascii="Arial" w:hAnsi="Arial" w:cs="Arial"/>
          <w:sz w:val="24"/>
          <w:szCs w:val="24"/>
        </w:rPr>
        <w:t xml:space="preserve">also </w:t>
      </w:r>
      <w:r w:rsidR="00961331" w:rsidRPr="009B6EB7">
        <w:rPr>
          <w:rFonts w:ascii="Arial" w:hAnsi="Arial" w:cs="Arial"/>
          <w:sz w:val="24"/>
          <w:szCs w:val="24"/>
        </w:rPr>
        <w:t>included.</w:t>
      </w:r>
      <w:r w:rsidR="007C7FEE" w:rsidRPr="009B6EB7">
        <w:rPr>
          <w:rFonts w:ascii="Arial" w:hAnsi="Arial" w:cs="Arial"/>
          <w:sz w:val="24"/>
          <w:szCs w:val="24"/>
        </w:rPr>
        <w:t xml:space="preserve"> </w:t>
      </w:r>
      <w:r w:rsidR="00961331" w:rsidRPr="009B6EB7">
        <w:rPr>
          <w:rFonts w:ascii="Arial" w:hAnsi="Arial" w:cs="Arial"/>
          <w:sz w:val="24"/>
          <w:szCs w:val="24"/>
        </w:rPr>
        <w:t>The second respondent</w:t>
      </w:r>
      <w:r w:rsidR="007C7FEE" w:rsidRPr="009B6EB7">
        <w:rPr>
          <w:rFonts w:ascii="Arial" w:hAnsi="Arial" w:cs="Arial"/>
          <w:sz w:val="24"/>
          <w:szCs w:val="24"/>
        </w:rPr>
        <w:t xml:space="preserve"> (‘Red Alert’) provides the same goods and services, but in terms of a lease and service agreement. The </w:t>
      </w:r>
      <w:r w:rsidR="008E285F" w:rsidRPr="009B6EB7">
        <w:rPr>
          <w:rFonts w:ascii="Arial" w:hAnsi="Arial" w:cs="Arial"/>
          <w:sz w:val="24"/>
          <w:szCs w:val="24"/>
        </w:rPr>
        <w:t xml:space="preserve">question of the </w:t>
      </w:r>
      <w:r w:rsidR="007C7FEE" w:rsidRPr="009B6EB7">
        <w:rPr>
          <w:rFonts w:ascii="Arial" w:hAnsi="Arial" w:cs="Arial"/>
          <w:sz w:val="24"/>
          <w:szCs w:val="24"/>
        </w:rPr>
        <w:t>nature and extent of the differences between the two business models</w:t>
      </w:r>
      <w:r w:rsidR="00A1190F" w:rsidRPr="009B6EB7">
        <w:rPr>
          <w:rFonts w:ascii="Arial" w:hAnsi="Arial" w:cs="Arial"/>
          <w:sz w:val="24"/>
          <w:szCs w:val="24"/>
        </w:rPr>
        <w:t xml:space="preserve"> </w:t>
      </w:r>
      <w:r w:rsidR="008E285F" w:rsidRPr="009B6EB7">
        <w:rPr>
          <w:rFonts w:ascii="Arial" w:hAnsi="Arial" w:cs="Arial"/>
          <w:sz w:val="24"/>
          <w:szCs w:val="24"/>
        </w:rPr>
        <w:t>is</w:t>
      </w:r>
      <w:r w:rsidR="00A1190F" w:rsidRPr="009B6EB7">
        <w:rPr>
          <w:rFonts w:ascii="Arial" w:hAnsi="Arial" w:cs="Arial"/>
          <w:sz w:val="24"/>
          <w:szCs w:val="24"/>
        </w:rPr>
        <w:t xml:space="preserve"> central to the dispute.</w:t>
      </w:r>
    </w:p>
    <w:p w14:paraId="1481F5DD" w14:textId="77777777" w:rsidR="00C47AC5" w:rsidRPr="00031FFC" w:rsidRDefault="00C47AC5" w:rsidP="00C47AC5">
      <w:pPr>
        <w:pStyle w:val="ListParagraph"/>
        <w:spacing w:line="360" w:lineRule="auto"/>
        <w:ind w:left="0"/>
        <w:jc w:val="both"/>
        <w:rPr>
          <w:rFonts w:ascii="Arial" w:hAnsi="Arial" w:cs="Arial"/>
          <w:sz w:val="24"/>
          <w:szCs w:val="24"/>
        </w:rPr>
      </w:pPr>
    </w:p>
    <w:p w14:paraId="58C1DC47" w14:textId="77777777" w:rsidR="00C47AC5" w:rsidRPr="00031FFC" w:rsidRDefault="00796955" w:rsidP="00C47AC5">
      <w:pPr>
        <w:pStyle w:val="ListParagraph"/>
        <w:spacing w:line="360" w:lineRule="auto"/>
        <w:ind w:left="0"/>
        <w:jc w:val="both"/>
        <w:rPr>
          <w:rFonts w:ascii="Arial" w:hAnsi="Arial" w:cs="Arial"/>
          <w:sz w:val="24"/>
          <w:szCs w:val="24"/>
        </w:rPr>
      </w:pPr>
      <w:r w:rsidRPr="00031FFC">
        <w:rPr>
          <w:rFonts w:ascii="Arial" w:hAnsi="Arial" w:cs="Arial"/>
          <w:b/>
          <w:bCs/>
          <w:sz w:val="24"/>
          <w:szCs w:val="24"/>
        </w:rPr>
        <w:t>Background facts</w:t>
      </w:r>
    </w:p>
    <w:p w14:paraId="202C7275" w14:textId="77777777" w:rsidR="00C47AC5" w:rsidRPr="00031FFC" w:rsidRDefault="00C47AC5" w:rsidP="00C47AC5">
      <w:pPr>
        <w:pStyle w:val="ListParagraph"/>
        <w:rPr>
          <w:rFonts w:ascii="Arial" w:hAnsi="Arial" w:cs="Arial"/>
          <w:i/>
          <w:iCs/>
          <w:sz w:val="24"/>
          <w:szCs w:val="24"/>
        </w:rPr>
      </w:pPr>
    </w:p>
    <w:p w14:paraId="642FB650" w14:textId="77777777" w:rsidR="00C47AC5" w:rsidRPr="00031FFC" w:rsidRDefault="00796955" w:rsidP="00C47AC5">
      <w:pPr>
        <w:pStyle w:val="ListParagraph"/>
        <w:spacing w:line="360" w:lineRule="auto"/>
        <w:ind w:left="0"/>
        <w:jc w:val="both"/>
        <w:rPr>
          <w:rFonts w:ascii="Arial" w:hAnsi="Arial" w:cs="Arial"/>
          <w:sz w:val="24"/>
          <w:szCs w:val="24"/>
        </w:rPr>
      </w:pPr>
      <w:r w:rsidRPr="00031FFC">
        <w:rPr>
          <w:rFonts w:ascii="Arial" w:hAnsi="Arial" w:cs="Arial"/>
          <w:i/>
          <w:iCs/>
          <w:sz w:val="24"/>
          <w:szCs w:val="24"/>
        </w:rPr>
        <w:t>The appellants’ case</w:t>
      </w:r>
    </w:p>
    <w:p w14:paraId="157203AA" w14:textId="77777777" w:rsidR="00C47AC5" w:rsidRPr="00031FFC" w:rsidRDefault="00C47AC5" w:rsidP="00C47AC5">
      <w:pPr>
        <w:pStyle w:val="ListParagraph"/>
        <w:rPr>
          <w:rFonts w:ascii="Arial" w:hAnsi="Arial" w:cs="Arial"/>
          <w:sz w:val="24"/>
          <w:szCs w:val="24"/>
        </w:rPr>
      </w:pPr>
    </w:p>
    <w:p w14:paraId="52035A1D" w14:textId="2C7B7EA1" w:rsidR="00C47AC5"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w:t>
      </w:r>
      <w:r w:rsidRPr="00031FFC">
        <w:rPr>
          <w:rFonts w:ascii="Arial" w:hAnsi="Arial" w:cs="Arial"/>
          <w:sz w:val="24"/>
          <w:szCs w:val="24"/>
        </w:rPr>
        <w:tab/>
      </w:r>
      <w:r w:rsidR="00796955" w:rsidRPr="009B6EB7">
        <w:rPr>
          <w:rFonts w:ascii="Arial" w:hAnsi="Arial" w:cs="Arial"/>
          <w:sz w:val="24"/>
          <w:szCs w:val="24"/>
        </w:rPr>
        <w:t xml:space="preserve">It is common cause that </w:t>
      </w:r>
      <w:r w:rsidR="00FF7229" w:rsidRPr="009B6EB7">
        <w:rPr>
          <w:rFonts w:ascii="Arial" w:hAnsi="Arial" w:cs="Arial"/>
          <w:sz w:val="24"/>
          <w:szCs w:val="24"/>
        </w:rPr>
        <w:t>the first respondent, Mr Peter Guest, was the found</w:t>
      </w:r>
      <w:r w:rsidR="000E30FA" w:rsidRPr="009B6EB7">
        <w:rPr>
          <w:rFonts w:ascii="Arial" w:hAnsi="Arial" w:cs="Arial"/>
          <w:sz w:val="24"/>
          <w:szCs w:val="24"/>
        </w:rPr>
        <w:t>ing</w:t>
      </w:r>
      <w:r w:rsidR="00FF7229" w:rsidRPr="009B6EB7">
        <w:rPr>
          <w:rFonts w:ascii="Arial" w:hAnsi="Arial" w:cs="Arial"/>
          <w:sz w:val="24"/>
          <w:szCs w:val="24"/>
        </w:rPr>
        <w:t xml:space="preserve"> member of Chemex, which commenced trading in 1994. </w:t>
      </w:r>
      <w:r w:rsidR="00E0745E" w:rsidRPr="009B6EB7">
        <w:rPr>
          <w:rFonts w:ascii="Arial" w:hAnsi="Arial" w:cs="Arial"/>
          <w:sz w:val="24"/>
          <w:szCs w:val="24"/>
        </w:rPr>
        <w:t>Several years later, h</w:t>
      </w:r>
      <w:r w:rsidR="009127B9" w:rsidRPr="009B6EB7">
        <w:rPr>
          <w:rFonts w:ascii="Arial" w:hAnsi="Arial" w:cs="Arial"/>
          <w:sz w:val="24"/>
          <w:szCs w:val="24"/>
        </w:rPr>
        <w:t>e sold 50% of his member’s interest to the late Mr Christopher le Marquand. The</w:t>
      </w:r>
      <w:r w:rsidR="00010C9A" w:rsidRPr="009B6EB7">
        <w:rPr>
          <w:rFonts w:ascii="Arial" w:hAnsi="Arial" w:cs="Arial"/>
          <w:sz w:val="24"/>
          <w:szCs w:val="24"/>
        </w:rPr>
        <w:t xml:space="preserve"> </w:t>
      </w:r>
      <w:r w:rsidR="009127B9" w:rsidRPr="009B6EB7">
        <w:rPr>
          <w:rFonts w:ascii="Arial" w:hAnsi="Arial" w:cs="Arial"/>
          <w:sz w:val="24"/>
          <w:szCs w:val="24"/>
        </w:rPr>
        <w:t xml:space="preserve">former was responsible for setting up a manufacturing process for industrial chemicals and cleaning consumables, </w:t>
      </w:r>
      <w:r w:rsidR="004B680A" w:rsidRPr="009B6EB7">
        <w:rPr>
          <w:rFonts w:ascii="Arial" w:hAnsi="Arial" w:cs="Arial"/>
          <w:sz w:val="24"/>
          <w:szCs w:val="24"/>
        </w:rPr>
        <w:t>as well as being</w:t>
      </w:r>
      <w:r w:rsidR="009127B9" w:rsidRPr="009B6EB7">
        <w:rPr>
          <w:rFonts w:ascii="Arial" w:hAnsi="Arial" w:cs="Arial"/>
          <w:sz w:val="24"/>
          <w:szCs w:val="24"/>
        </w:rPr>
        <w:t xml:space="preserve"> </w:t>
      </w:r>
      <w:r w:rsidR="004A76EB" w:rsidRPr="009B6EB7">
        <w:rPr>
          <w:rFonts w:ascii="Arial" w:hAnsi="Arial" w:cs="Arial"/>
          <w:sz w:val="24"/>
          <w:szCs w:val="24"/>
        </w:rPr>
        <w:t>responsible for sales and procurement</w:t>
      </w:r>
      <w:r w:rsidR="00E0745E" w:rsidRPr="009B6EB7">
        <w:rPr>
          <w:rFonts w:ascii="Arial" w:hAnsi="Arial" w:cs="Arial"/>
          <w:sz w:val="24"/>
          <w:szCs w:val="24"/>
        </w:rPr>
        <w:t xml:space="preserve">, which entailed the </w:t>
      </w:r>
      <w:r w:rsidR="004A76EB" w:rsidRPr="009B6EB7">
        <w:rPr>
          <w:rFonts w:ascii="Arial" w:hAnsi="Arial" w:cs="Arial"/>
          <w:sz w:val="24"/>
          <w:szCs w:val="24"/>
        </w:rPr>
        <w:t>establish</w:t>
      </w:r>
      <w:r w:rsidR="00E0745E" w:rsidRPr="009B6EB7">
        <w:rPr>
          <w:rFonts w:ascii="Arial" w:hAnsi="Arial" w:cs="Arial"/>
          <w:sz w:val="24"/>
          <w:szCs w:val="24"/>
        </w:rPr>
        <w:t xml:space="preserve">ment and maintenance of </w:t>
      </w:r>
      <w:r w:rsidR="004A76EB" w:rsidRPr="009B6EB7">
        <w:rPr>
          <w:rFonts w:ascii="Arial" w:hAnsi="Arial" w:cs="Arial"/>
          <w:sz w:val="24"/>
          <w:szCs w:val="24"/>
        </w:rPr>
        <w:t>customer relationships</w:t>
      </w:r>
      <w:r w:rsidR="00010C9A" w:rsidRPr="009B6EB7">
        <w:rPr>
          <w:rFonts w:ascii="Arial" w:hAnsi="Arial" w:cs="Arial"/>
          <w:sz w:val="24"/>
          <w:szCs w:val="24"/>
        </w:rPr>
        <w:t xml:space="preserve">. The latter was responsible for managing Chemex’s administration and finances, as well as the development of new business. </w:t>
      </w:r>
      <w:r w:rsidR="00373DB2" w:rsidRPr="009B6EB7">
        <w:rPr>
          <w:rFonts w:ascii="Arial" w:hAnsi="Arial" w:cs="Arial"/>
          <w:sz w:val="24"/>
          <w:szCs w:val="24"/>
        </w:rPr>
        <w:t xml:space="preserve">When </w:t>
      </w:r>
      <w:r w:rsidR="00010C9A" w:rsidRPr="009B6EB7">
        <w:rPr>
          <w:rFonts w:ascii="Arial" w:hAnsi="Arial" w:cs="Arial"/>
          <w:sz w:val="24"/>
          <w:szCs w:val="24"/>
        </w:rPr>
        <w:t xml:space="preserve">Mr le Marquand purchased an equal share of Mr Guest’s member’s interest, the parties entered into an association </w:t>
      </w:r>
      <w:r w:rsidR="00DC0903" w:rsidRPr="009B6EB7">
        <w:rPr>
          <w:rFonts w:ascii="Arial" w:hAnsi="Arial" w:cs="Arial"/>
          <w:sz w:val="24"/>
          <w:szCs w:val="24"/>
        </w:rPr>
        <w:t>agreement</w:t>
      </w:r>
      <w:r w:rsidR="00373DB2" w:rsidRPr="009B6EB7">
        <w:rPr>
          <w:rFonts w:ascii="Arial" w:hAnsi="Arial" w:cs="Arial"/>
          <w:sz w:val="24"/>
          <w:szCs w:val="24"/>
        </w:rPr>
        <w:t xml:space="preserve"> that</w:t>
      </w:r>
      <w:r w:rsidR="00DC0903" w:rsidRPr="009B6EB7">
        <w:rPr>
          <w:rFonts w:ascii="Arial" w:hAnsi="Arial" w:cs="Arial"/>
          <w:sz w:val="24"/>
          <w:szCs w:val="24"/>
        </w:rPr>
        <w:t xml:space="preserve"> included a </w:t>
      </w:r>
      <w:r w:rsidR="004B680A" w:rsidRPr="009B6EB7">
        <w:rPr>
          <w:rFonts w:ascii="Arial" w:hAnsi="Arial" w:cs="Arial"/>
          <w:sz w:val="24"/>
          <w:szCs w:val="24"/>
        </w:rPr>
        <w:t xml:space="preserve">covenant in </w:t>
      </w:r>
      <w:r w:rsidR="00DC0903" w:rsidRPr="009B6EB7">
        <w:rPr>
          <w:rFonts w:ascii="Arial" w:hAnsi="Arial" w:cs="Arial"/>
          <w:sz w:val="24"/>
          <w:szCs w:val="24"/>
        </w:rPr>
        <w:t>restraint of trade.</w:t>
      </w:r>
    </w:p>
    <w:p w14:paraId="65A4DDB4" w14:textId="77777777" w:rsidR="00C47AC5" w:rsidRPr="00031FFC" w:rsidRDefault="00C47AC5" w:rsidP="00C47AC5">
      <w:pPr>
        <w:pStyle w:val="ListParagraph"/>
        <w:spacing w:line="360" w:lineRule="auto"/>
        <w:ind w:left="0"/>
        <w:jc w:val="both"/>
        <w:rPr>
          <w:rFonts w:ascii="Arial" w:hAnsi="Arial" w:cs="Arial"/>
          <w:sz w:val="24"/>
          <w:szCs w:val="24"/>
        </w:rPr>
      </w:pPr>
    </w:p>
    <w:p w14:paraId="00DA3410" w14:textId="6C465805" w:rsidR="00C47AC5"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lastRenderedPageBreak/>
        <w:t>[4]</w:t>
      </w:r>
      <w:r w:rsidRPr="00031FFC">
        <w:rPr>
          <w:rFonts w:ascii="Arial" w:hAnsi="Arial" w:cs="Arial"/>
          <w:sz w:val="24"/>
          <w:szCs w:val="24"/>
        </w:rPr>
        <w:tab/>
      </w:r>
      <w:r w:rsidR="00DC0903" w:rsidRPr="009B6EB7">
        <w:rPr>
          <w:rFonts w:ascii="Arial" w:hAnsi="Arial" w:cs="Arial"/>
          <w:sz w:val="24"/>
          <w:szCs w:val="24"/>
        </w:rPr>
        <w:t xml:space="preserve">In 2020, Mr le Marquand passed away, bequeathing his share of the member’s interest to his </w:t>
      </w:r>
      <w:r w:rsidR="004B680A" w:rsidRPr="009B6EB7">
        <w:rPr>
          <w:rFonts w:ascii="Arial" w:hAnsi="Arial" w:cs="Arial"/>
          <w:sz w:val="24"/>
          <w:szCs w:val="24"/>
        </w:rPr>
        <w:t xml:space="preserve">two </w:t>
      </w:r>
      <w:r w:rsidR="00DC0903" w:rsidRPr="009B6EB7">
        <w:rPr>
          <w:rFonts w:ascii="Arial" w:hAnsi="Arial" w:cs="Arial"/>
          <w:sz w:val="24"/>
          <w:szCs w:val="24"/>
        </w:rPr>
        <w:t>sons</w:t>
      </w:r>
      <w:r w:rsidR="00373DB2" w:rsidRPr="009B6EB7">
        <w:rPr>
          <w:rFonts w:ascii="Arial" w:hAnsi="Arial" w:cs="Arial"/>
          <w:sz w:val="24"/>
          <w:szCs w:val="24"/>
        </w:rPr>
        <w:t xml:space="preserve">. They are </w:t>
      </w:r>
      <w:r w:rsidR="00DC0903" w:rsidRPr="009B6EB7">
        <w:rPr>
          <w:rFonts w:ascii="Arial" w:hAnsi="Arial" w:cs="Arial"/>
          <w:sz w:val="24"/>
          <w:szCs w:val="24"/>
        </w:rPr>
        <w:t>cited as the second and third appellants respectively</w:t>
      </w:r>
      <w:r w:rsidR="00373DB2" w:rsidRPr="009B6EB7">
        <w:rPr>
          <w:rFonts w:ascii="Arial" w:hAnsi="Arial" w:cs="Arial"/>
          <w:sz w:val="24"/>
          <w:szCs w:val="24"/>
        </w:rPr>
        <w:t xml:space="preserve"> and are </w:t>
      </w:r>
      <w:r w:rsidR="00DC0903" w:rsidRPr="009B6EB7">
        <w:rPr>
          <w:rFonts w:ascii="Arial" w:hAnsi="Arial" w:cs="Arial"/>
          <w:sz w:val="24"/>
          <w:szCs w:val="24"/>
        </w:rPr>
        <w:t>employed by Chemex.</w:t>
      </w:r>
      <w:r w:rsidR="00B5122E" w:rsidRPr="009B6EB7">
        <w:rPr>
          <w:rFonts w:ascii="Arial" w:hAnsi="Arial" w:cs="Arial"/>
          <w:sz w:val="24"/>
          <w:szCs w:val="24"/>
        </w:rPr>
        <w:t xml:space="preserve"> It is apparent that there had been some friction between the late Mr le Marquand’s sons and Mr Guest, which culminated in the second and third appellants’ purchas</w:t>
      </w:r>
      <w:r w:rsidR="006324CD" w:rsidRPr="009B6EB7">
        <w:rPr>
          <w:rFonts w:ascii="Arial" w:hAnsi="Arial" w:cs="Arial"/>
          <w:sz w:val="24"/>
          <w:szCs w:val="24"/>
        </w:rPr>
        <w:t>ing</w:t>
      </w:r>
      <w:r w:rsidR="00B5122E" w:rsidRPr="009B6EB7">
        <w:rPr>
          <w:rFonts w:ascii="Arial" w:hAnsi="Arial" w:cs="Arial"/>
          <w:sz w:val="24"/>
          <w:szCs w:val="24"/>
        </w:rPr>
        <w:t xml:space="preserve"> Mr Guest’s member’s interest and </w:t>
      </w:r>
      <w:r w:rsidR="00365F3A" w:rsidRPr="009B6EB7">
        <w:rPr>
          <w:rFonts w:ascii="Arial" w:hAnsi="Arial" w:cs="Arial"/>
          <w:sz w:val="24"/>
          <w:szCs w:val="24"/>
        </w:rPr>
        <w:t xml:space="preserve">settling of his </w:t>
      </w:r>
      <w:r w:rsidR="00B5122E" w:rsidRPr="009B6EB7">
        <w:rPr>
          <w:rFonts w:ascii="Arial" w:hAnsi="Arial" w:cs="Arial"/>
          <w:sz w:val="24"/>
          <w:szCs w:val="24"/>
        </w:rPr>
        <w:t>loan account</w:t>
      </w:r>
      <w:r w:rsidR="00365F3A" w:rsidRPr="009B6EB7">
        <w:rPr>
          <w:rFonts w:ascii="Arial" w:hAnsi="Arial" w:cs="Arial"/>
          <w:sz w:val="24"/>
          <w:szCs w:val="24"/>
        </w:rPr>
        <w:t xml:space="preserve"> </w:t>
      </w:r>
      <w:r w:rsidR="006324CD" w:rsidRPr="009B6EB7">
        <w:rPr>
          <w:rFonts w:ascii="Arial" w:hAnsi="Arial" w:cs="Arial"/>
          <w:sz w:val="24"/>
          <w:szCs w:val="24"/>
        </w:rPr>
        <w:t xml:space="preserve">in terms </w:t>
      </w:r>
      <w:r w:rsidR="00365F3A" w:rsidRPr="009B6EB7">
        <w:rPr>
          <w:rFonts w:ascii="Arial" w:hAnsi="Arial" w:cs="Arial"/>
          <w:sz w:val="24"/>
          <w:szCs w:val="24"/>
        </w:rPr>
        <w:t xml:space="preserve">of a so-called ‘buy-back’ arrangement. </w:t>
      </w:r>
    </w:p>
    <w:p w14:paraId="4E0BEBFB" w14:textId="77777777" w:rsidR="00C47AC5" w:rsidRPr="00031FFC" w:rsidRDefault="00C47AC5" w:rsidP="00C47AC5">
      <w:pPr>
        <w:pStyle w:val="ListParagraph"/>
        <w:rPr>
          <w:rFonts w:ascii="Arial" w:hAnsi="Arial" w:cs="Arial"/>
          <w:sz w:val="24"/>
          <w:szCs w:val="24"/>
        </w:rPr>
      </w:pPr>
    </w:p>
    <w:p w14:paraId="3A68CF6E" w14:textId="2FD5ABC8" w:rsidR="00C47AC5"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w:t>
      </w:r>
      <w:r w:rsidRPr="00031FFC">
        <w:rPr>
          <w:rFonts w:ascii="Arial" w:hAnsi="Arial" w:cs="Arial"/>
          <w:sz w:val="24"/>
          <w:szCs w:val="24"/>
        </w:rPr>
        <w:tab/>
      </w:r>
      <w:r w:rsidR="00365F3A" w:rsidRPr="009B6EB7">
        <w:rPr>
          <w:rFonts w:ascii="Arial" w:hAnsi="Arial" w:cs="Arial"/>
          <w:sz w:val="24"/>
          <w:szCs w:val="24"/>
        </w:rPr>
        <w:t xml:space="preserve">The parties entered into </w:t>
      </w:r>
      <w:r w:rsidR="007D541B" w:rsidRPr="009B6EB7">
        <w:rPr>
          <w:rFonts w:ascii="Arial" w:hAnsi="Arial" w:cs="Arial"/>
          <w:sz w:val="24"/>
          <w:szCs w:val="24"/>
        </w:rPr>
        <w:t>the</w:t>
      </w:r>
      <w:r w:rsidR="00365F3A" w:rsidRPr="009B6EB7">
        <w:rPr>
          <w:rFonts w:ascii="Arial" w:hAnsi="Arial" w:cs="Arial"/>
          <w:sz w:val="24"/>
          <w:szCs w:val="24"/>
        </w:rPr>
        <w:t xml:space="preserve"> buy-back agreement on 20 July 2020. </w:t>
      </w:r>
      <w:r w:rsidR="006324CD" w:rsidRPr="009B6EB7">
        <w:rPr>
          <w:rFonts w:ascii="Arial" w:hAnsi="Arial" w:cs="Arial"/>
          <w:sz w:val="24"/>
          <w:szCs w:val="24"/>
        </w:rPr>
        <w:t xml:space="preserve">This provided for the payment of R 14 million to Mr Guest for the value of his member’s interest and </w:t>
      </w:r>
      <w:r w:rsidR="00C14BB0" w:rsidRPr="009B6EB7">
        <w:rPr>
          <w:rFonts w:ascii="Arial" w:hAnsi="Arial" w:cs="Arial"/>
          <w:sz w:val="24"/>
          <w:szCs w:val="24"/>
        </w:rPr>
        <w:t xml:space="preserve">the transfer of two luxury motor vehicles in settlement of his </w:t>
      </w:r>
      <w:r w:rsidR="006324CD" w:rsidRPr="009B6EB7">
        <w:rPr>
          <w:rFonts w:ascii="Arial" w:hAnsi="Arial" w:cs="Arial"/>
          <w:sz w:val="24"/>
          <w:szCs w:val="24"/>
        </w:rPr>
        <w:t>loan account</w:t>
      </w:r>
      <w:r w:rsidR="00C14BB0" w:rsidRPr="009B6EB7">
        <w:rPr>
          <w:rFonts w:ascii="Arial" w:hAnsi="Arial" w:cs="Arial"/>
          <w:sz w:val="24"/>
          <w:szCs w:val="24"/>
        </w:rPr>
        <w:t xml:space="preserve">. It also provided </w:t>
      </w:r>
      <w:r w:rsidR="00C96E67" w:rsidRPr="009B6EB7">
        <w:rPr>
          <w:rFonts w:ascii="Arial" w:hAnsi="Arial" w:cs="Arial"/>
          <w:sz w:val="24"/>
          <w:szCs w:val="24"/>
        </w:rPr>
        <w:t xml:space="preserve">for his appointment as a consultant to Chemex </w:t>
      </w:r>
      <w:r w:rsidR="00A21EF1" w:rsidRPr="009B6EB7">
        <w:rPr>
          <w:rFonts w:ascii="Arial" w:hAnsi="Arial" w:cs="Arial"/>
          <w:sz w:val="24"/>
          <w:szCs w:val="24"/>
        </w:rPr>
        <w:t>for a period of five months, during which time he would advise on the development of recipes and formulae for the manufacturing of various products and advise on business operations in general</w:t>
      </w:r>
      <w:r w:rsidR="007D541B" w:rsidRPr="009B6EB7">
        <w:rPr>
          <w:rFonts w:ascii="Arial" w:hAnsi="Arial" w:cs="Arial"/>
          <w:sz w:val="24"/>
          <w:szCs w:val="24"/>
        </w:rPr>
        <w:t>. For this, he would earn</w:t>
      </w:r>
      <w:r w:rsidR="00A21EF1" w:rsidRPr="009B6EB7">
        <w:rPr>
          <w:rFonts w:ascii="Arial" w:hAnsi="Arial" w:cs="Arial"/>
          <w:sz w:val="24"/>
          <w:szCs w:val="24"/>
        </w:rPr>
        <w:t xml:space="preserve"> a fee of R 50,000 per month. </w:t>
      </w:r>
      <w:r w:rsidR="00F61810" w:rsidRPr="009B6EB7">
        <w:rPr>
          <w:rFonts w:ascii="Arial" w:hAnsi="Arial" w:cs="Arial"/>
          <w:sz w:val="24"/>
          <w:szCs w:val="24"/>
        </w:rPr>
        <w:t xml:space="preserve">The appointment was important because it would facilitate Mr Guest’s introduction and referral of Chemex’s clients to the second and third </w:t>
      </w:r>
      <w:r w:rsidR="001518FD" w:rsidRPr="009B6EB7">
        <w:rPr>
          <w:rFonts w:ascii="Arial" w:hAnsi="Arial" w:cs="Arial"/>
          <w:sz w:val="24"/>
          <w:szCs w:val="24"/>
        </w:rPr>
        <w:t>appella</w:t>
      </w:r>
      <w:r w:rsidR="00F61810" w:rsidRPr="009B6EB7">
        <w:rPr>
          <w:rFonts w:ascii="Arial" w:hAnsi="Arial" w:cs="Arial"/>
          <w:sz w:val="24"/>
          <w:szCs w:val="24"/>
        </w:rPr>
        <w:t>nts.</w:t>
      </w:r>
      <w:r w:rsidR="001F5F1C" w:rsidRPr="009B6EB7">
        <w:rPr>
          <w:rFonts w:ascii="Arial" w:hAnsi="Arial" w:cs="Arial"/>
          <w:sz w:val="24"/>
          <w:szCs w:val="24"/>
        </w:rPr>
        <w:t xml:space="preserve"> </w:t>
      </w:r>
      <w:r w:rsidR="007D541B" w:rsidRPr="009B6EB7">
        <w:rPr>
          <w:rFonts w:ascii="Arial" w:hAnsi="Arial" w:cs="Arial"/>
          <w:sz w:val="24"/>
          <w:szCs w:val="24"/>
        </w:rPr>
        <w:t>T</w:t>
      </w:r>
      <w:r w:rsidR="001F5F1C" w:rsidRPr="009B6EB7">
        <w:rPr>
          <w:rFonts w:ascii="Arial" w:hAnsi="Arial" w:cs="Arial"/>
          <w:sz w:val="24"/>
          <w:szCs w:val="24"/>
        </w:rPr>
        <w:t xml:space="preserve">he parties </w:t>
      </w:r>
      <w:r w:rsidR="00C14BB0" w:rsidRPr="009B6EB7">
        <w:rPr>
          <w:rFonts w:ascii="Arial" w:hAnsi="Arial" w:cs="Arial"/>
          <w:sz w:val="24"/>
          <w:szCs w:val="24"/>
        </w:rPr>
        <w:t>furthermore</w:t>
      </w:r>
      <w:r w:rsidR="001F5F1C" w:rsidRPr="009B6EB7">
        <w:rPr>
          <w:rFonts w:ascii="Arial" w:hAnsi="Arial" w:cs="Arial"/>
          <w:sz w:val="24"/>
          <w:szCs w:val="24"/>
        </w:rPr>
        <w:t xml:space="preserve"> agreed to </w:t>
      </w:r>
      <w:r w:rsidR="007066A2" w:rsidRPr="009B6EB7">
        <w:rPr>
          <w:rFonts w:ascii="Arial" w:hAnsi="Arial" w:cs="Arial"/>
          <w:sz w:val="24"/>
          <w:szCs w:val="24"/>
        </w:rPr>
        <w:t xml:space="preserve">lengthy </w:t>
      </w:r>
      <w:r w:rsidR="001F5F1C" w:rsidRPr="009B6EB7">
        <w:rPr>
          <w:rFonts w:ascii="Arial" w:hAnsi="Arial" w:cs="Arial"/>
          <w:sz w:val="24"/>
          <w:szCs w:val="24"/>
        </w:rPr>
        <w:t xml:space="preserve">restraint of trade </w:t>
      </w:r>
      <w:r w:rsidR="004B680A" w:rsidRPr="009B6EB7">
        <w:rPr>
          <w:rFonts w:ascii="Arial" w:hAnsi="Arial" w:cs="Arial"/>
          <w:sz w:val="24"/>
          <w:szCs w:val="24"/>
        </w:rPr>
        <w:t>undertakings</w:t>
      </w:r>
      <w:r w:rsidR="001F5F1C" w:rsidRPr="009B6EB7">
        <w:rPr>
          <w:rFonts w:ascii="Arial" w:hAnsi="Arial" w:cs="Arial"/>
          <w:sz w:val="24"/>
          <w:szCs w:val="24"/>
        </w:rPr>
        <w:t>,</w:t>
      </w:r>
      <w:r w:rsidR="004B680A" w:rsidRPr="009B6EB7">
        <w:rPr>
          <w:rFonts w:ascii="Arial" w:hAnsi="Arial" w:cs="Arial"/>
          <w:sz w:val="24"/>
          <w:szCs w:val="24"/>
        </w:rPr>
        <w:t xml:space="preserve"> in</w:t>
      </w:r>
      <w:r w:rsidR="001F5F1C" w:rsidRPr="009B6EB7">
        <w:rPr>
          <w:rFonts w:ascii="Arial" w:hAnsi="Arial" w:cs="Arial"/>
          <w:sz w:val="24"/>
          <w:szCs w:val="24"/>
        </w:rPr>
        <w:t xml:space="preserve"> substantially </w:t>
      </w:r>
      <w:r w:rsidR="004B680A" w:rsidRPr="009B6EB7">
        <w:rPr>
          <w:rFonts w:ascii="Arial" w:hAnsi="Arial" w:cs="Arial"/>
          <w:sz w:val="24"/>
          <w:szCs w:val="24"/>
        </w:rPr>
        <w:t>the same terms as the undertakings</w:t>
      </w:r>
      <w:r w:rsidR="001F5F1C" w:rsidRPr="009B6EB7">
        <w:rPr>
          <w:rFonts w:ascii="Arial" w:hAnsi="Arial" w:cs="Arial"/>
          <w:sz w:val="24"/>
          <w:szCs w:val="24"/>
        </w:rPr>
        <w:t xml:space="preserve"> previously concluded between Mr Guest and the late Mr le Marquand</w:t>
      </w:r>
      <w:r w:rsidR="001E3D43" w:rsidRPr="009B6EB7">
        <w:rPr>
          <w:rFonts w:ascii="Arial" w:hAnsi="Arial" w:cs="Arial"/>
          <w:sz w:val="24"/>
          <w:szCs w:val="24"/>
        </w:rPr>
        <w:t xml:space="preserve"> in terms of their association agreement</w:t>
      </w:r>
      <w:r w:rsidR="001F5F1C" w:rsidRPr="009B6EB7">
        <w:rPr>
          <w:rFonts w:ascii="Arial" w:hAnsi="Arial" w:cs="Arial"/>
          <w:sz w:val="24"/>
          <w:szCs w:val="24"/>
        </w:rPr>
        <w:t xml:space="preserve">. </w:t>
      </w:r>
    </w:p>
    <w:p w14:paraId="61EA8CB2" w14:textId="77777777" w:rsidR="00C47AC5" w:rsidRPr="00031FFC" w:rsidRDefault="00C47AC5" w:rsidP="00C47AC5">
      <w:pPr>
        <w:pStyle w:val="ListParagraph"/>
        <w:rPr>
          <w:rFonts w:ascii="Arial" w:hAnsi="Arial" w:cs="Arial"/>
          <w:sz w:val="24"/>
          <w:szCs w:val="24"/>
        </w:rPr>
      </w:pPr>
    </w:p>
    <w:p w14:paraId="7E246B6B" w14:textId="3C55921C" w:rsidR="00C47AC5"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w:t>
      </w:r>
      <w:r w:rsidRPr="00031FFC">
        <w:rPr>
          <w:rFonts w:ascii="Arial" w:hAnsi="Arial" w:cs="Arial"/>
          <w:sz w:val="24"/>
          <w:szCs w:val="24"/>
        </w:rPr>
        <w:tab/>
      </w:r>
      <w:r w:rsidR="007271F8" w:rsidRPr="009B6EB7">
        <w:rPr>
          <w:rFonts w:ascii="Arial" w:hAnsi="Arial" w:cs="Arial"/>
          <w:sz w:val="24"/>
          <w:szCs w:val="24"/>
        </w:rPr>
        <w:t xml:space="preserve">The appellants allege that the five-year period for the operation of the restraint of trade-clause </w:t>
      </w:r>
      <w:r w:rsidR="004B680A" w:rsidRPr="009B6EB7">
        <w:rPr>
          <w:rFonts w:ascii="Arial" w:hAnsi="Arial" w:cs="Arial"/>
          <w:sz w:val="24"/>
          <w:szCs w:val="24"/>
        </w:rPr>
        <w:t xml:space="preserve">is </w:t>
      </w:r>
      <w:r w:rsidR="007271F8" w:rsidRPr="009B6EB7">
        <w:rPr>
          <w:rFonts w:ascii="Arial" w:hAnsi="Arial" w:cs="Arial"/>
          <w:sz w:val="24"/>
          <w:szCs w:val="24"/>
        </w:rPr>
        <w:t xml:space="preserve">necessary </w:t>
      </w:r>
      <w:r w:rsidR="000910CA" w:rsidRPr="009B6EB7">
        <w:rPr>
          <w:rFonts w:ascii="Arial" w:hAnsi="Arial" w:cs="Arial"/>
          <w:sz w:val="24"/>
          <w:szCs w:val="24"/>
        </w:rPr>
        <w:t xml:space="preserve">for numerous reasons, </w:t>
      </w:r>
      <w:r w:rsidR="000910CA" w:rsidRPr="009B6EB7">
        <w:rPr>
          <w:rFonts w:ascii="Arial" w:hAnsi="Arial" w:cs="Arial"/>
          <w:i/>
          <w:iCs/>
          <w:sz w:val="24"/>
          <w:szCs w:val="24"/>
        </w:rPr>
        <w:t>inter alia</w:t>
      </w:r>
      <w:r w:rsidR="000910CA" w:rsidRPr="009B6EB7">
        <w:rPr>
          <w:rFonts w:ascii="Arial" w:hAnsi="Arial" w:cs="Arial"/>
          <w:sz w:val="24"/>
          <w:szCs w:val="24"/>
        </w:rPr>
        <w:t xml:space="preserve">: to protect the substantial purchase consideration paid to Mr Guest; to protect the goodwill and proprietary interests of the business; </w:t>
      </w:r>
      <w:r w:rsidR="006837F5" w:rsidRPr="009B6EB7">
        <w:rPr>
          <w:rFonts w:ascii="Arial" w:hAnsi="Arial" w:cs="Arial"/>
          <w:sz w:val="24"/>
          <w:szCs w:val="24"/>
        </w:rPr>
        <w:t xml:space="preserve">and </w:t>
      </w:r>
      <w:r w:rsidR="000910CA" w:rsidRPr="009B6EB7">
        <w:rPr>
          <w:rFonts w:ascii="Arial" w:hAnsi="Arial" w:cs="Arial"/>
          <w:sz w:val="24"/>
          <w:szCs w:val="24"/>
        </w:rPr>
        <w:t>to prevent Mr Guest from using confidential and proprietary information</w:t>
      </w:r>
      <w:r w:rsidR="006837F5" w:rsidRPr="009B6EB7">
        <w:rPr>
          <w:rFonts w:ascii="Arial" w:hAnsi="Arial" w:cs="Arial"/>
          <w:sz w:val="24"/>
          <w:szCs w:val="24"/>
        </w:rPr>
        <w:t xml:space="preserve">, </w:t>
      </w:r>
      <w:r w:rsidR="000910CA" w:rsidRPr="009B6EB7">
        <w:rPr>
          <w:rFonts w:ascii="Arial" w:hAnsi="Arial" w:cs="Arial"/>
          <w:sz w:val="24"/>
          <w:szCs w:val="24"/>
        </w:rPr>
        <w:t xml:space="preserve">thereby undermining </w:t>
      </w:r>
      <w:r w:rsidR="006837F5" w:rsidRPr="009B6EB7">
        <w:rPr>
          <w:rFonts w:ascii="Arial" w:hAnsi="Arial" w:cs="Arial"/>
          <w:sz w:val="24"/>
          <w:szCs w:val="24"/>
        </w:rPr>
        <w:t>Chemex’s</w:t>
      </w:r>
      <w:r w:rsidR="000910CA" w:rsidRPr="009B6EB7">
        <w:rPr>
          <w:rFonts w:ascii="Arial" w:hAnsi="Arial" w:cs="Arial"/>
          <w:sz w:val="24"/>
          <w:szCs w:val="24"/>
        </w:rPr>
        <w:t xml:space="preserve"> business</w:t>
      </w:r>
      <w:r w:rsidR="006837F5" w:rsidRPr="009B6EB7">
        <w:rPr>
          <w:rFonts w:ascii="Arial" w:hAnsi="Arial" w:cs="Arial"/>
          <w:sz w:val="24"/>
          <w:szCs w:val="24"/>
        </w:rPr>
        <w:t xml:space="preserve">. </w:t>
      </w:r>
      <w:r w:rsidR="000910CA" w:rsidRPr="009B6EB7">
        <w:rPr>
          <w:rFonts w:ascii="Arial" w:hAnsi="Arial" w:cs="Arial"/>
          <w:sz w:val="24"/>
          <w:szCs w:val="24"/>
        </w:rPr>
        <w:t xml:space="preserve"> </w:t>
      </w:r>
    </w:p>
    <w:p w14:paraId="5639D125" w14:textId="77777777" w:rsidR="00C47AC5" w:rsidRPr="00031FFC" w:rsidRDefault="00C47AC5" w:rsidP="00C47AC5">
      <w:pPr>
        <w:pStyle w:val="ListParagraph"/>
        <w:rPr>
          <w:rFonts w:ascii="Arial" w:hAnsi="Arial" w:cs="Arial"/>
          <w:sz w:val="24"/>
          <w:szCs w:val="24"/>
        </w:rPr>
      </w:pPr>
    </w:p>
    <w:p w14:paraId="03195A3A" w14:textId="0FA64C7F" w:rsidR="00C47AC5"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[7]</w:t>
      </w:r>
      <w:r w:rsidRPr="00031FFC">
        <w:rPr>
          <w:rFonts w:ascii="Arial" w:hAnsi="Arial" w:cs="Arial"/>
          <w:sz w:val="24"/>
          <w:szCs w:val="24"/>
        </w:rPr>
        <w:tab/>
      </w:r>
      <w:r w:rsidR="00F6207E" w:rsidRPr="009B6EB7">
        <w:rPr>
          <w:rFonts w:ascii="Arial" w:hAnsi="Arial" w:cs="Arial"/>
          <w:sz w:val="24"/>
          <w:szCs w:val="24"/>
        </w:rPr>
        <w:t xml:space="preserve">They state further that Chemex and the second respondent (‘Red Alert’) are separate commercial entities that </w:t>
      </w:r>
      <w:bookmarkStart w:id="0" w:name="_Hlk114739546"/>
      <w:r w:rsidR="00F6207E" w:rsidRPr="009B6EB7">
        <w:rPr>
          <w:rFonts w:ascii="Arial" w:hAnsi="Arial" w:cs="Arial"/>
          <w:sz w:val="24"/>
          <w:szCs w:val="24"/>
        </w:rPr>
        <w:t>compete for customers in the same sectors</w:t>
      </w:r>
      <w:bookmarkEnd w:id="0"/>
      <w:r w:rsidR="00F05BD9" w:rsidRPr="009B6EB7">
        <w:rPr>
          <w:rFonts w:ascii="Arial" w:hAnsi="Arial" w:cs="Arial"/>
          <w:sz w:val="24"/>
          <w:szCs w:val="24"/>
        </w:rPr>
        <w:t xml:space="preserve">. </w:t>
      </w:r>
      <w:r w:rsidR="0006674F" w:rsidRPr="009B6EB7">
        <w:rPr>
          <w:rFonts w:ascii="Arial" w:hAnsi="Arial" w:cs="Arial"/>
          <w:sz w:val="24"/>
          <w:szCs w:val="24"/>
        </w:rPr>
        <w:t>Moreover, the appellants</w:t>
      </w:r>
      <w:r w:rsidR="004B680A" w:rsidRPr="009B6EB7">
        <w:rPr>
          <w:rFonts w:ascii="Arial" w:hAnsi="Arial" w:cs="Arial"/>
          <w:sz w:val="24"/>
          <w:szCs w:val="24"/>
        </w:rPr>
        <w:t xml:space="preserve"> assert that</w:t>
      </w:r>
      <w:r w:rsidR="0006674F" w:rsidRPr="009B6EB7">
        <w:rPr>
          <w:rFonts w:ascii="Arial" w:hAnsi="Arial" w:cs="Arial"/>
          <w:sz w:val="24"/>
          <w:szCs w:val="24"/>
        </w:rPr>
        <w:t xml:space="preserve"> the two entities </w:t>
      </w:r>
      <w:bookmarkStart w:id="1" w:name="_Hlk114739697"/>
      <w:r w:rsidR="0006674F" w:rsidRPr="009B6EB7">
        <w:rPr>
          <w:rFonts w:ascii="Arial" w:hAnsi="Arial" w:cs="Arial"/>
          <w:sz w:val="24"/>
          <w:szCs w:val="24"/>
        </w:rPr>
        <w:t>supply the same products</w:t>
      </w:r>
      <w:bookmarkEnd w:id="1"/>
      <w:r w:rsidR="00F05BD9" w:rsidRPr="009B6EB7">
        <w:rPr>
          <w:rFonts w:ascii="Arial" w:hAnsi="Arial" w:cs="Arial"/>
          <w:sz w:val="24"/>
          <w:szCs w:val="24"/>
        </w:rPr>
        <w:t>.</w:t>
      </w:r>
    </w:p>
    <w:p w14:paraId="7EA7181E" w14:textId="77777777" w:rsidR="00C47AC5" w:rsidRPr="00031FFC" w:rsidRDefault="00C47AC5" w:rsidP="00C47AC5">
      <w:pPr>
        <w:pStyle w:val="ListParagraph"/>
        <w:rPr>
          <w:rFonts w:ascii="Arial" w:hAnsi="Arial" w:cs="Arial"/>
          <w:sz w:val="24"/>
          <w:szCs w:val="24"/>
        </w:rPr>
      </w:pPr>
    </w:p>
    <w:p w14:paraId="6B5527D1" w14:textId="5AC6C6E9" w:rsidR="00C47AC5" w:rsidRPr="009B6EB7" w:rsidRDefault="009B6EB7" w:rsidP="009B6EB7">
      <w:pPr>
        <w:spacing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103A2A" w:rsidRPr="009B6EB7">
        <w:rPr>
          <w:rFonts w:ascii="Arial" w:hAnsi="Arial" w:cs="Arial"/>
          <w:sz w:val="24"/>
          <w:szCs w:val="24"/>
        </w:rPr>
        <w:t xml:space="preserve">During the first quarter of </w:t>
      </w:r>
      <w:r w:rsidR="001A6C0A" w:rsidRPr="009B6EB7">
        <w:rPr>
          <w:rFonts w:ascii="Arial" w:hAnsi="Arial" w:cs="Arial"/>
          <w:sz w:val="24"/>
          <w:szCs w:val="24"/>
        </w:rPr>
        <w:t xml:space="preserve">2021, the second appellant received reports that Mr Guest had become involved with Red Alert </w:t>
      </w:r>
      <w:r w:rsidR="002E0B65" w:rsidRPr="009B6EB7">
        <w:rPr>
          <w:rFonts w:ascii="Arial" w:hAnsi="Arial" w:cs="Arial"/>
          <w:sz w:val="24"/>
          <w:szCs w:val="24"/>
        </w:rPr>
        <w:t xml:space="preserve">in the manufacturing of chemicals and consumables for retail. The second appellant consequently met with a director of the Kempston Group, which is a major customer of Chemex, and was informed </w:t>
      </w:r>
      <w:r w:rsidR="009B787C" w:rsidRPr="009B6EB7">
        <w:rPr>
          <w:rFonts w:ascii="Arial" w:hAnsi="Arial" w:cs="Arial"/>
          <w:sz w:val="24"/>
          <w:szCs w:val="24"/>
        </w:rPr>
        <w:t>that Mr Guest had indicated that he was employed by Red Alert as a business development manager and was responsible for a new division thereof, known as Red Alert Chemtec</w:t>
      </w:r>
      <w:r w:rsidR="004B680A" w:rsidRPr="009B6EB7">
        <w:rPr>
          <w:rFonts w:ascii="Arial" w:hAnsi="Arial" w:cs="Arial"/>
          <w:sz w:val="24"/>
          <w:szCs w:val="24"/>
        </w:rPr>
        <w:t>.</w:t>
      </w:r>
      <w:r w:rsidR="009B787C" w:rsidRPr="009B6EB7">
        <w:rPr>
          <w:rFonts w:ascii="Arial" w:hAnsi="Arial" w:cs="Arial"/>
          <w:sz w:val="24"/>
          <w:szCs w:val="24"/>
        </w:rPr>
        <w:t xml:space="preserve"> </w:t>
      </w:r>
      <w:r w:rsidR="009A4158" w:rsidRPr="009B6EB7">
        <w:rPr>
          <w:rFonts w:ascii="Arial" w:hAnsi="Arial" w:cs="Arial"/>
          <w:sz w:val="24"/>
          <w:szCs w:val="24"/>
        </w:rPr>
        <w:t xml:space="preserve">Mr Guest had allegedly requested the Kempston Group to </w:t>
      </w:r>
      <w:r w:rsidR="003201FD" w:rsidRPr="009B6EB7">
        <w:rPr>
          <w:rFonts w:ascii="Arial" w:hAnsi="Arial" w:cs="Arial"/>
          <w:sz w:val="24"/>
          <w:szCs w:val="24"/>
        </w:rPr>
        <w:t>transfer</w:t>
      </w:r>
      <w:r w:rsidR="007D541B" w:rsidRPr="009B6EB7">
        <w:rPr>
          <w:rFonts w:ascii="Arial" w:hAnsi="Arial" w:cs="Arial"/>
          <w:sz w:val="24"/>
          <w:szCs w:val="24"/>
        </w:rPr>
        <w:t xml:space="preserve"> its business to Red Alert</w:t>
      </w:r>
      <w:r w:rsidR="009A4158" w:rsidRPr="009B6EB7">
        <w:rPr>
          <w:rFonts w:ascii="Arial" w:hAnsi="Arial" w:cs="Arial"/>
          <w:sz w:val="24"/>
          <w:szCs w:val="24"/>
        </w:rPr>
        <w:t xml:space="preserve">. Subsequently, </w:t>
      </w:r>
      <w:r w:rsidR="00103A2A" w:rsidRPr="009B6EB7">
        <w:rPr>
          <w:rFonts w:ascii="Arial" w:hAnsi="Arial" w:cs="Arial"/>
          <w:sz w:val="24"/>
          <w:szCs w:val="24"/>
        </w:rPr>
        <w:t>the second appellant met with Red Alert’s chief executive officer</w:t>
      </w:r>
      <w:r w:rsidR="00FA49DF" w:rsidRPr="009B6EB7">
        <w:rPr>
          <w:rFonts w:ascii="Arial" w:hAnsi="Arial" w:cs="Arial"/>
          <w:sz w:val="24"/>
          <w:szCs w:val="24"/>
        </w:rPr>
        <w:t xml:space="preserve"> (‘CEO’)</w:t>
      </w:r>
      <w:r w:rsidR="00103A2A" w:rsidRPr="009B6EB7">
        <w:rPr>
          <w:rFonts w:ascii="Arial" w:hAnsi="Arial" w:cs="Arial"/>
          <w:sz w:val="24"/>
          <w:szCs w:val="24"/>
        </w:rPr>
        <w:t>, Mr Peter Harvey, on 19 April 2021</w:t>
      </w:r>
      <w:r w:rsidR="004B680A" w:rsidRPr="009B6EB7">
        <w:rPr>
          <w:rFonts w:ascii="Arial" w:hAnsi="Arial" w:cs="Arial"/>
          <w:sz w:val="24"/>
          <w:szCs w:val="24"/>
        </w:rPr>
        <w:t>,</w:t>
      </w:r>
      <w:r w:rsidR="00103A2A" w:rsidRPr="009B6EB7">
        <w:rPr>
          <w:rFonts w:ascii="Arial" w:hAnsi="Arial" w:cs="Arial"/>
          <w:sz w:val="24"/>
          <w:szCs w:val="24"/>
        </w:rPr>
        <w:t xml:space="preserve"> and confronted him about Mr Guest’s involvement</w:t>
      </w:r>
      <w:r w:rsidR="004B680A" w:rsidRPr="009B6EB7">
        <w:rPr>
          <w:rFonts w:ascii="Arial" w:hAnsi="Arial" w:cs="Arial"/>
          <w:sz w:val="24"/>
          <w:szCs w:val="24"/>
        </w:rPr>
        <w:t>.</w:t>
      </w:r>
      <w:r w:rsidR="00103A2A" w:rsidRPr="009B6EB7">
        <w:rPr>
          <w:rFonts w:ascii="Arial" w:hAnsi="Arial" w:cs="Arial"/>
          <w:sz w:val="24"/>
          <w:szCs w:val="24"/>
        </w:rPr>
        <w:t xml:space="preserve"> </w:t>
      </w:r>
      <w:r w:rsidR="004B680A" w:rsidRPr="009B6EB7">
        <w:rPr>
          <w:rFonts w:ascii="Arial" w:hAnsi="Arial" w:cs="Arial"/>
          <w:sz w:val="24"/>
          <w:szCs w:val="24"/>
        </w:rPr>
        <w:t>F</w:t>
      </w:r>
      <w:r w:rsidR="00C914C0" w:rsidRPr="009B6EB7">
        <w:rPr>
          <w:rFonts w:ascii="Arial" w:hAnsi="Arial" w:cs="Arial"/>
          <w:sz w:val="24"/>
          <w:szCs w:val="24"/>
        </w:rPr>
        <w:t xml:space="preserve">rom the meeting, </w:t>
      </w:r>
      <w:r w:rsidR="00103A2A" w:rsidRPr="009B6EB7">
        <w:rPr>
          <w:rFonts w:ascii="Arial" w:hAnsi="Arial" w:cs="Arial"/>
          <w:sz w:val="24"/>
          <w:szCs w:val="24"/>
        </w:rPr>
        <w:t xml:space="preserve">it became apparent to the second appellant that Mr Guest </w:t>
      </w:r>
      <w:r w:rsidR="00C914C0" w:rsidRPr="009B6EB7">
        <w:rPr>
          <w:rFonts w:ascii="Arial" w:hAnsi="Arial" w:cs="Arial"/>
          <w:sz w:val="24"/>
          <w:szCs w:val="24"/>
        </w:rPr>
        <w:t>was actively engaged with Red Alert in establishing a business like that of Chemex. Consequently, argue the appellants, Mr Guest is in b</w:t>
      </w:r>
      <w:r w:rsidR="00031FFC" w:rsidRPr="009B6EB7">
        <w:rPr>
          <w:rFonts w:ascii="Arial" w:hAnsi="Arial" w:cs="Arial"/>
          <w:sz w:val="24"/>
          <w:szCs w:val="24"/>
        </w:rPr>
        <w:t>reach of the restraint of trade</w:t>
      </w:r>
      <w:r w:rsidR="00C914C0" w:rsidRPr="009B6EB7">
        <w:rPr>
          <w:rFonts w:ascii="Arial" w:hAnsi="Arial" w:cs="Arial"/>
          <w:sz w:val="24"/>
          <w:szCs w:val="24"/>
        </w:rPr>
        <w:t>-clause.</w:t>
      </w:r>
    </w:p>
    <w:p w14:paraId="3CE56381" w14:textId="77777777" w:rsidR="00031FFC" w:rsidRPr="00031FFC" w:rsidRDefault="00031FFC" w:rsidP="00031FFC">
      <w:pPr>
        <w:pStyle w:val="ListParagraph"/>
        <w:rPr>
          <w:rFonts w:ascii="Arial" w:hAnsi="Arial" w:cs="Arial"/>
          <w:sz w:val="24"/>
          <w:szCs w:val="24"/>
        </w:rPr>
      </w:pPr>
    </w:p>
    <w:p w14:paraId="472718F7" w14:textId="6DCD6CC9" w:rsidR="00C47AC5"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[9]</w:t>
      </w:r>
      <w:r w:rsidRPr="00031FFC">
        <w:rPr>
          <w:rFonts w:ascii="Arial" w:hAnsi="Arial" w:cs="Arial"/>
          <w:sz w:val="24"/>
          <w:szCs w:val="24"/>
        </w:rPr>
        <w:tab/>
      </w:r>
      <w:r w:rsidR="00C914C0" w:rsidRPr="009B6EB7">
        <w:rPr>
          <w:rFonts w:ascii="Arial" w:hAnsi="Arial" w:cs="Arial"/>
          <w:sz w:val="24"/>
          <w:szCs w:val="24"/>
        </w:rPr>
        <w:t xml:space="preserve">On 20 April 2021, </w:t>
      </w:r>
      <w:r w:rsidR="00A647D5" w:rsidRPr="009B6EB7">
        <w:rPr>
          <w:rFonts w:ascii="Arial" w:hAnsi="Arial" w:cs="Arial"/>
          <w:sz w:val="24"/>
          <w:szCs w:val="24"/>
        </w:rPr>
        <w:t xml:space="preserve">the second appellant instructed attorneys to request a written undertaking to the effect that Mr Guest would cease to be employed </w:t>
      </w:r>
      <w:r w:rsidR="00A73041" w:rsidRPr="009B6EB7">
        <w:rPr>
          <w:rFonts w:ascii="Arial" w:hAnsi="Arial" w:cs="Arial"/>
          <w:sz w:val="24"/>
          <w:szCs w:val="24"/>
        </w:rPr>
        <w:t xml:space="preserve">by Red Alert </w:t>
      </w:r>
      <w:r w:rsidR="00A647D5" w:rsidRPr="009B6EB7">
        <w:rPr>
          <w:rFonts w:ascii="Arial" w:hAnsi="Arial" w:cs="Arial"/>
          <w:sz w:val="24"/>
          <w:szCs w:val="24"/>
        </w:rPr>
        <w:t>and that he would no longer be involve</w:t>
      </w:r>
      <w:r w:rsidR="00A73041" w:rsidRPr="009B6EB7">
        <w:rPr>
          <w:rFonts w:ascii="Arial" w:hAnsi="Arial" w:cs="Arial"/>
          <w:sz w:val="24"/>
          <w:szCs w:val="24"/>
        </w:rPr>
        <w:t xml:space="preserve">d in any business in breach of his contractual obligations. </w:t>
      </w:r>
      <w:r w:rsidR="00036BC5" w:rsidRPr="009B6EB7">
        <w:rPr>
          <w:rFonts w:ascii="Arial" w:hAnsi="Arial" w:cs="Arial"/>
          <w:sz w:val="24"/>
          <w:szCs w:val="24"/>
        </w:rPr>
        <w:t>The respondents</w:t>
      </w:r>
      <w:r w:rsidR="00636FFC" w:rsidRPr="009B6EB7">
        <w:rPr>
          <w:rFonts w:ascii="Arial" w:hAnsi="Arial" w:cs="Arial"/>
          <w:sz w:val="24"/>
          <w:szCs w:val="24"/>
        </w:rPr>
        <w:t>’</w:t>
      </w:r>
      <w:r w:rsidR="00036BC5" w:rsidRPr="009B6EB7">
        <w:rPr>
          <w:rFonts w:ascii="Arial" w:hAnsi="Arial" w:cs="Arial"/>
          <w:sz w:val="24"/>
          <w:szCs w:val="24"/>
        </w:rPr>
        <w:t xml:space="preserve"> attorneys </w:t>
      </w:r>
      <w:r w:rsidR="00027988" w:rsidRPr="009B6EB7">
        <w:rPr>
          <w:rFonts w:ascii="Arial" w:hAnsi="Arial" w:cs="Arial"/>
          <w:sz w:val="24"/>
          <w:szCs w:val="24"/>
        </w:rPr>
        <w:t>responded by way of a letter on</w:t>
      </w:r>
      <w:r w:rsidR="00036BC5" w:rsidRPr="009B6EB7">
        <w:rPr>
          <w:rFonts w:ascii="Arial" w:hAnsi="Arial" w:cs="Arial"/>
          <w:sz w:val="24"/>
          <w:szCs w:val="24"/>
        </w:rPr>
        <w:t xml:space="preserve"> 21 April 2021, admitting that Red Alert had employed Mr Guest to develop </w:t>
      </w:r>
      <w:r w:rsidR="00636FFC" w:rsidRPr="009B6EB7">
        <w:rPr>
          <w:rFonts w:ascii="Arial" w:hAnsi="Arial" w:cs="Arial"/>
          <w:sz w:val="24"/>
          <w:szCs w:val="24"/>
        </w:rPr>
        <w:t xml:space="preserve">the </w:t>
      </w:r>
      <w:r w:rsidR="00036BC5" w:rsidRPr="009B6EB7">
        <w:rPr>
          <w:rFonts w:ascii="Arial" w:hAnsi="Arial" w:cs="Arial"/>
          <w:sz w:val="24"/>
          <w:szCs w:val="24"/>
        </w:rPr>
        <w:t xml:space="preserve">business </w:t>
      </w:r>
      <w:r w:rsidR="00636FFC" w:rsidRPr="009B6EB7">
        <w:rPr>
          <w:rFonts w:ascii="Arial" w:hAnsi="Arial" w:cs="Arial"/>
          <w:sz w:val="24"/>
          <w:szCs w:val="24"/>
        </w:rPr>
        <w:t>of</w:t>
      </w:r>
      <w:r w:rsidR="00036BC5" w:rsidRPr="009B6EB7">
        <w:rPr>
          <w:rFonts w:ascii="Arial" w:hAnsi="Arial" w:cs="Arial"/>
          <w:sz w:val="24"/>
          <w:szCs w:val="24"/>
        </w:rPr>
        <w:t xml:space="preserve"> its hygiene division </w:t>
      </w:r>
      <w:r w:rsidR="001C3162" w:rsidRPr="009B6EB7">
        <w:rPr>
          <w:rFonts w:ascii="Arial" w:hAnsi="Arial" w:cs="Arial"/>
          <w:sz w:val="24"/>
          <w:szCs w:val="24"/>
        </w:rPr>
        <w:t xml:space="preserve">and that customers would be able to purchase products from the new entity </w:t>
      </w:r>
      <w:r w:rsidR="00D03C8A" w:rsidRPr="009B6EB7">
        <w:rPr>
          <w:rFonts w:ascii="Arial" w:hAnsi="Arial" w:cs="Arial"/>
          <w:sz w:val="24"/>
          <w:szCs w:val="24"/>
        </w:rPr>
        <w:t xml:space="preserve">(to be established) </w:t>
      </w:r>
      <w:r w:rsidR="00036BC5" w:rsidRPr="009B6EB7">
        <w:rPr>
          <w:rFonts w:ascii="Arial" w:hAnsi="Arial" w:cs="Arial"/>
          <w:sz w:val="24"/>
          <w:szCs w:val="24"/>
        </w:rPr>
        <w:t xml:space="preserve">but pointing out that </w:t>
      </w:r>
      <w:r w:rsidR="00D03C8A" w:rsidRPr="009B6EB7">
        <w:rPr>
          <w:rFonts w:ascii="Arial" w:hAnsi="Arial" w:cs="Arial"/>
          <w:sz w:val="24"/>
          <w:szCs w:val="24"/>
        </w:rPr>
        <w:t>it</w:t>
      </w:r>
      <w:r w:rsidR="00036BC5" w:rsidRPr="009B6EB7">
        <w:rPr>
          <w:rFonts w:ascii="Arial" w:hAnsi="Arial" w:cs="Arial"/>
          <w:sz w:val="24"/>
          <w:szCs w:val="24"/>
        </w:rPr>
        <w:t xml:space="preserve"> would not employ Mr Guest; </w:t>
      </w:r>
      <w:r w:rsidR="001C3162" w:rsidRPr="009B6EB7">
        <w:rPr>
          <w:rFonts w:ascii="Arial" w:hAnsi="Arial" w:cs="Arial"/>
          <w:sz w:val="24"/>
          <w:szCs w:val="24"/>
        </w:rPr>
        <w:t xml:space="preserve">he would have nothing to do with it. </w:t>
      </w:r>
      <w:r w:rsidR="00D03C8A" w:rsidRPr="009B6EB7">
        <w:rPr>
          <w:rFonts w:ascii="Arial" w:hAnsi="Arial" w:cs="Arial"/>
          <w:sz w:val="24"/>
          <w:szCs w:val="24"/>
        </w:rPr>
        <w:t>They denied any breach of the</w:t>
      </w:r>
      <w:r w:rsidR="00027988" w:rsidRPr="009B6EB7">
        <w:rPr>
          <w:rFonts w:ascii="Arial" w:hAnsi="Arial" w:cs="Arial"/>
          <w:sz w:val="24"/>
          <w:szCs w:val="24"/>
        </w:rPr>
        <w:t xml:space="preserve"> </w:t>
      </w:r>
      <w:r w:rsidR="004B680A" w:rsidRPr="009B6EB7">
        <w:rPr>
          <w:rFonts w:ascii="Arial" w:hAnsi="Arial" w:cs="Arial"/>
          <w:sz w:val="24"/>
          <w:szCs w:val="24"/>
        </w:rPr>
        <w:t>covenant in</w:t>
      </w:r>
      <w:r w:rsidR="00031FFC" w:rsidRPr="009B6EB7">
        <w:rPr>
          <w:rFonts w:ascii="Arial" w:hAnsi="Arial" w:cs="Arial"/>
          <w:sz w:val="24"/>
          <w:szCs w:val="24"/>
        </w:rPr>
        <w:t xml:space="preserve"> restraint of trade</w:t>
      </w:r>
      <w:r w:rsidR="00D03C8A" w:rsidRPr="009B6EB7">
        <w:rPr>
          <w:rFonts w:ascii="Arial" w:hAnsi="Arial" w:cs="Arial"/>
          <w:sz w:val="24"/>
          <w:szCs w:val="24"/>
        </w:rPr>
        <w:t>.</w:t>
      </w:r>
    </w:p>
    <w:p w14:paraId="41F5920C" w14:textId="77777777" w:rsidR="00C47AC5" w:rsidRPr="00031FFC" w:rsidRDefault="00C47AC5" w:rsidP="00C47AC5">
      <w:pPr>
        <w:pStyle w:val="ListParagraph"/>
        <w:rPr>
          <w:rFonts w:ascii="Arial" w:hAnsi="Arial" w:cs="Arial"/>
          <w:sz w:val="24"/>
          <w:szCs w:val="24"/>
        </w:rPr>
      </w:pPr>
    </w:p>
    <w:p w14:paraId="04F0B9CB" w14:textId="6B79C5FD"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[10]</w:t>
      </w:r>
      <w:r w:rsidRPr="00031FFC">
        <w:rPr>
          <w:rFonts w:ascii="Arial" w:hAnsi="Arial" w:cs="Arial"/>
          <w:sz w:val="24"/>
          <w:szCs w:val="24"/>
        </w:rPr>
        <w:tab/>
      </w:r>
      <w:r w:rsidR="00D03C8A" w:rsidRPr="009B6EB7">
        <w:rPr>
          <w:rFonts w:ascii="Arial" w:hAnsi="Arial" w:cs="Arial"/>
          <w:sz w:val="24"/>
          <w:szCs w:val="24"/>
        </w:rPr>
        <w:t xml:space="preserve">Not satisfied with the above response, the appellants launched </w:t>
      </w:r>
      <w:r w:rsidR="00C66A72" w:rsidRPr="009B6EB7">
        <w:rPr>
          <w:rFonts w:ascii="Arial" w:hAnsi="Arial" w:cs="Arial"/>
          <w:sz w:val="24"/>
          <w:szCs w:val="24"/>
        </w:rPr>
        <w:t>their</w:t>
      </w:r>
      <w:r w:rsidR="00D03C8A" w:rsidRPr="009B6EB7">
        <w:rPr>
          <w:rFonts w:ascii="Arial" w:hAnsi="Arial" w:cs="Arial"/>
          <w:sz w:val="24"/>
          <w:szCs w:val="24"/>
        </w:rPr>
        <w:t xml:space="preserve"> application </w:t>
      </w:r>
      <w:r w:rsidR="00C66A72" w:rsidRPr="009B6EB7">
        <w:rPr>
          <w:rFonts w:ascii="Arial" w:hAnsi="Arial" w:cs="Arial"/>
          <w:sz w:val="24"/>
          <w:szCs w:val="24"/>
        </w:rPr>
        <w:t>for an interdict on 23 April 2021.</w:t>
      </w:r>
      <w:r w:rsidR="00124A55" w:rsidRPr="009B6EB7">
        <w:rPr>
          <w:rFonts w:ascii="Arial" w:hAnsi="Arial" w:cs="Arial"/>
          <w:sz w:val="24"/>
          <w:szCs w:val="24"/>
        </w:rPr>
        <w:t xml:space="preserve"> This was done on an urgent basis.</w:t>
      </w:r>
    </w:p>
    <w:p w14:paraId="221455A6" w14:textId="77777777" w:rsidR="00147E19" w:rsidRPr="00031FFC" w:rsidRDefault="00147E19" w:rsidP="00147E19">
      <w:pPr>
        <w:pStyle w:val="ListParagraph"/>
        <w:rPr>
          <w:rFonts w:ascii="Arial" w:hAnsi="Arial" w:cs="Arial"/>
          <w:i/>
          <w:iCs/>
          <w:sz w:val="24"/>
          <w:szCs w:val="24"/>
        </w:rPr>
      </w:pPr>
    </w:p>
    <w:p w14:paraId="01267DED" w14:textId="77777777" w:rsidR="00147E19" w:rsidRPr="00031FFC" w:rsidRDefault="00147E19" w:rsidP="00147E19">
      <w:pPr>
        <w:pStyle w:val="ListParagraph"/>
        <w:rPr>
          <w:rFonts w:ascii="Arial" w:hAnsi="Arial" w:cs="Arial"/>
          <w:i/>
          <w:iCs/>
          <w:sz w:val="24"/>
          <w:szCs w:val="24"/>
        </w:rPr>
      </w:pPr>
    </w:p>
    <w:p w14:paraId="3CB99E8D" w14:textId="77777777" w:rsidR="00147E19" w:rsidRPr="00031FFC" w:rsidRDefault="00C66A72" w:rsidP="00147E19">
      <w:pPr>
        <w:pStyle w:val="ListParagraph"/>
        <w:spacing w:line="360" w:lineRule="auto"/>
        <w:ind w:left="0"/>
        <w:jc w:val="both"/>
        <w:rPr>
          <w:rFonts w:ascii="Arial" w:hAnsi="Arial" w:cs="Arial"/>
          <w:sz w:val="24"/>
          <w:szCs w:val="24"/>
        </w:rPr>
      </w:pPr>
      <w:r w:rsidRPr="00031FFC">
        <w:rPr>
          <w:rFonts w:ascii="Arial" w:hAnsi="Arial" w:cs="Arial"/>
          <w:i/>
          <w:iCs/>
          <w:sz w:val="24"/>
          <w:szCs w:val="24"/>
        </w:rPr>
        <w:t>The respondents’ defence</w:t>
      </w:r>
    </w:p>
    <w:p w14:paraId="38045C91" w14:textId="77777777" w:rsidR="00147E19" w:rsidRPr="00031FFC" w:rsidRDefault="00147E19" w:rsidP="00147E19">
      <w:pPr>
        <w:pStyle w:val="ListParagraph"/>
        <w:rPr>
          <w:rFonts w:ascii="Arial" w:hAnsi="Arial" w:cs="Arial"/>
          <w:sz w:val="24"/>
          <w:szCs w:val="24"/>
        </w:rPr>
      </w:pPr>
    </w:p>
    <w:p w14:paraId="1A6007B6" w14:textId="712C7F51"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[11]</w:t>
      </w:r>
      <w:r w:rsidRPr="00031FFC">
        <w:rPr>
          <w:rFonts w:ascii="Arial" w:hAnsi="Arial" w:cs="Arial"/>
          <w:sz w:val="24"/>
          <w:szCs w:val="24"/>
        </w:rPr>
        <w:tab/>
      </w:r>
      <w:r w:rsidR="00C66A72" w:rsidRPr="009B6EB7">
        <w:rPr>
          <w:rFonts w:ascii="Arial" w:hAnsi="Arial" w:cs="Arial"/>
          <w:sz w:val="24"/>
          <w:szCs w:val="24"/>
        </w:rPr>
        <w:t>The respondents opposed the application</w:t>
      </w:r>
      <w:r w:rsidR="00702E46" w:rsidRPr="009B6EB7">
        <w:rPr>
          <w:rFonts w:ascii="Arial" w:hAnsi="Arial" w:cs="Arial"/>
          <w:sz w:val="24"/>
          <w:szCs w:val="24"/>
        </w:rPr>
        <w:t xml:space="preserve">. Their point of departure was that Red Alert was not a party to the agreement that the appellants sought to enforce. Accordingly, </w:t>
      </w:r>
      <w:r w:rsidR="00702E46" w:rsidRPr="009B6EB7">
        <w:rPr>
          <w:rFonts w:ascii="Arial" w:hAnsi="Arial" w:cs="Arial"/>
          <w:sz w:val="24"/>
          <w:szCs w:val="24"/>
        </w:rPr>
        <w:lastRenderedPageBreak/>
        <w:t xml:space="preserve">Chemex could not obtain contractual relief against Red Alert; its case ought to have been </w:t>
      </w:r>
      <w:r w:rsidR="00D86418" w:rsidRPr="009B6EB7">
        <w:rPr>
          <w:rFonts w:ascii="Arial" w:hAnsi="Arial" w:cs="Arial"/>
          <w:sz w:val="24"/>
          <w:szCs w:val="24"/>
        </w:rPr>
        <w:t>grounded in the principles of unlawful competition, but no</w:t>
      </w:r>
      <w:r w:rsidR="005E60FF" w:rsidRPr="009B6EB7">
        <w:rPr>
          <w:rFonts w:ascii="Arial" w:hAnsi="Arial" w:cs="Arial"/>
          <w:sz w:val="24"/>
          <w:szCs w:val="24"/>
        </w:rPr>
        <w:t>thing</w:t>
      </w:r>
      <w:r w:rsidR="00D86418" w:rsidRPr="009B6EB7">
        <w:rPr>
          <w:rFonts w:ascii="Arial" w:hAnsi="Arial" w:cs="Arial"/>
          <w:sz w:val="24"/>
          <w:szCs w:val="24"/>
        </w:rPr>
        <w:t xml:space="preserve"> to that effect had been advanced in its founding papers. There was no basis upon which the appellants could secure a final interdict against </w:t>
      </w:r>
      <w:r w:rsidR="005E60FF" w:rsidRPr="009B6EB7">
        <w:rPr>
          <w:rFonts w:ascii="Arial" w:hAnsi="Arial" w:cs="Arial"/>
          <w:sz w:val="24"/>
          <w:szCs w:val="24"/>
        </w:rPr>
        <w:t>the entity</w:t>
      </w:r>
      <w:r w:rsidR="00D86418" w:rsidRPr="009B6EB7">
        <w:rPr>
          <w:rFonts w:ascii="Arial" w:hAnsi="Arial" w:cs="Arial"/>
          <w:sz w:val="24"/>
          <w:szCs w:val="24"/>
        </w:rPr>
        <w:t>.</w:t>
      </w:r>
    </w:p>
    <w:p w14:paraId="71148D35" w14:textId="77777777" w:rsidR="00147E19" w:rsidRPr="00031FFC" w:rsidRDefault="00147E19" w:rsidP="00147E19">
      <w:pPr>
        <w:pStyle w:val="ListParagraph"/>
        <w:spacing w:line="360" w:lineRule="auto"/>
        <w:ind w:left="0"/>
        <w:jc w:val="both"/>
        <w:rPr>
          <w:rFonts w:ascii="Arial" w:hAnsi="Arial" w:cs="Arial"/>
          <w:sz w:val="24"/>
          <w:szCs w:val="24"/>
        </w:rPr>
      </w:pPr>
    </w:p>
    <w:p w14:paraId="3C7A1E05" w14:textId="6F49FFA3"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[12]</w:t>
      </w:r>
      <w:r w:rsidRPr="00031FFC">
        <w:rPr>
          <w:rFonts w:ascii="Arial" w:hAnsi="Arial" w:cs="Arial"/>
          <w:sz w:val="24"/>
          <w:szCs w:val="24"/>
        </w:rPr>
        <w:tab/>
      </w:r>
      <w:r w:rsidR="005E60FF" w:rsidRPr="009B6EB7">
        <w:rPr>
          <w:rFonts w:ascii="Arial" w:hAnsi="Arial" w:cs="Arial"/>
          <w:sz w:val="24"/>
          <w:szCs w:val="24"/>
        </w:rPr>
        <w:t>Red Alert</w:t>
      </w:r>
      <w:r w:rsidR="00FA49DF" w:rsidRPr="009B6EB7">
        <w:rPr>
          <w:rFonts w:ascii="Arial" w:hAnsi="Arial" w:cs="Arial"/>
          <w:sz w:val="24"/>
          <w:szCs w:val="24"/>
        </w:rPr>
        <w:t>’s CEO, Mr Harvey</w:t>
      </w:r>
      <w:r w:rsidR="005E60FF" w:rsidRPr="009B6EB7">
        <w:rPr>
          <w:rFonts w:ascii="Arial" w:hAnsi="Arial" w:cs="Arial"/>
          <w:sz w:val="24"/>
          <w:szCs w:val="24"/>
        </w:rPr>
        <w:t xml:space="preserve">, </w:t>
      </w:r>
      <w:r w:rsidR="00FA49DF" w:rsidRPr="009B6EB7">
        <w:rPr>
          <w:rFonts w:ascii="Arial" w:hAnsi="Arial" w:cs="Arial"/>
          <w:sz w:val="24"/>
          <w:szCs w:val="24"/>
        </w:rPr>
        <w:t xml:space="preserve">deposed to the second respondent’s answering affidavit. He </w:t>
      </w:r>
      <w:r w:rsidR="005E60FF" w:rsidRPr="009B6EB7">
        <w:rPr>
          <w:rFonts w:ascii="Arial" w:hAnsi="Arial" w:cs="Arial"/>
          <w:sz w:val="24"/>
          <w:szCs w:val="24"/>
        </w:rPr>
        <w:t>contend</w:t>
      </w:r>
      <w:r w:rsidR="00FA49DF" w:rsidRPr="009B6EB7">
        <w:rPr>
          <w:rFonts w:ascii="Arial" w:hAnsi="Arial" w:cs="Arial"/>
          <w:sz w:val="24"/>
          <w:szCs w:val="24"/>
        </w:rPr>
        <w:t xml:space="preserve">s that Red Alert </w:t>
      </w:r>
      <w:r w:rsidR="005E60FF" w:rsidRPr="009B6EB7">
        <w:rPr>
          <w:rFonts w:ascii="Arial" w:hAnsi="Arial" w:cs="Arial"/>
          <w:sz w:val="24"/>
          <w:szCs w:val="24"/>
        </w:rPr>
        <w:t xml:space="preserve">has several business divisions that offer a variety of services, viz: </w:t>
      </w:r>
      <w:bookmarkStart w:id="2" w:name="_Hlk114742941"/>
      <w:r w:rsidR="005E60FF" w:rsidRPr="009B6EB7">
        <w:rPr>
          <w:rFonts w:ascii="Arial" w:hAnsi="Arial" w:cs="Arial"/>
          <w:sz w:val="24"/>
          <w:szCs w:val="24"/>
        </w:rPr>
        <w:t>electronic security and armed response</w:t>
      </w:r>
      <w:r w:rsidR="00027988" w:rsidRPr="009B6EB7">
        <w:rPr>
          <w:rFonts w:ascii="Arial" w:hAnsi="Arial" w:cs="Arial"/>
          <w:sz w:val="24"/>
          <w:szCs w:val="24"/>
        </w:rPr>
        <w:t>;</w:t>
      </w:r>
      <w:r w:rsidR="005E60FF" w:rsidRPr="009B6EB7">
        <w:rPr>
          <w:rFonts w:ascii="Arial" w:hAnsi="Arial" w:cs="Arial"/>
          <w:sz w:val="24"/>
          <w:szCs w:val="24"/>
        </w:rPr>
        <w:t xml:space="preserve"> guarding</w:t>
      </w:r>
      <w:r w:rsidR="00027988" w:rsidRPr="009B6EB7">
        <w:rPr>
          <w:rFonts w:ascii="Arial" w:hAnsi="Arial" w:cs="Arial"/>
          <w:sz w:val="24"/>
          <w:szCs w:val="24"/>
        </w:rPr>
        <w:t>;</w:t>
      </w:r>
      <w:r w:rsidR="005E60FF" w:rsidRPr="009B6EB7">
        <w:rPr>
          <w:rFonts w:ascii="Arial" w:hAnsi="Arial" w:cs="Arial"/>
          <w:sz w:val="24"/>
          <w:szCs w:val="24"/>
        </w:rPr>
        <w:t xml:space="preserve"> cleaning</w:t>
      </w:r>
      <w:r w:rsidR="00027988" w:rsidRPr="009B6EB7">
        <w:rPr>
          <w:rFonts w:ascii="Arial" w:hAnsi="Arial" w:cs="Arial"/>
          <w:sz w:val="24"/>
          <w:szCs w:val="24"/>
        </w:rPr>
        <w:t>;</w:t>
      </w:r>
      <w:r w:rsidR="005E60FF" w:rsidRPr="009B6EB7">
        <w:rPr>
          <w:rFonts w:ascii="Arial" w:hAnsi="Arial" w:cs="Arial"/>
          <w:sz w:val="24"/>
          <w:szCs w:val="24"/>
        </w:rPr>
        <w:t xml:space="preserve"> hygiene</w:t>
      </w:r>
      <w:r w:rsidR="00027988" w:rsidRPr="009B6EB7">
        <w:rPr>
          <w:rFonts w:ascii="Arial" w:hAnsi="Arial" w:cs="Arial"/>
          <w:sz w:val="24"/>
          <w:szCs w:val="24"/>
        </w:rPr>
        <w:t>;</w:t>
      </w:r>
      <w:r w:rsidR="005E60FF" w:rsidRPr="009B6EB7">
        <w:rPr>
          <w:rFonts w:ascii="Arial" w:hAnsi="Arial" w:cs="Arial"/>
          <w:sz w:val="24"/>
          <w:szCs w:val="24"/>
        </w:rPr>
        <w:t xml:space="preserve"> and emergency medical</w:t>
      </w:r>
      <w:bookmarkEnd w:id="2"/>
      <w:r w:rsidR="00027988" w:rsidRPr="009B6EB7">
        <w:rPr>
          <w:rFonts w:ascii="Arial" w:hAnsi="Arial" w:cs="Arial"/>
          <w:sz w:val="24"/>
          <w:szCs w:val="24"/>
        </w:rPr>
        <w:t xml:space="preserve"> services</w:t>
      </w:r>
      <w:r w:rsidR="007C53DD" w:rsidRPr="009B6EB7">
        <w:rPr>
          <w:rFonts w:ascii="Arial" w:hAnsi="Arial" w:cs="Arial"/>
          <w:sz w:val="24"/>
          <w:szCs w:val="24"/>
        </w:rPr>
        <w:t xml:space="preserve">. </w:t>
      </w:r>
      <w:r w:rsidR="00576705" w:rsidRPr="009B6EB7">
        <w:rPr>
          <w:rFonts w:ascii="Arial" w:hAnsi="Arial" w:cs="Arial"/>
          <w:sz w:val="24"/>
          <w:szCs w:val="24"/>
        </w:rPr>
        <w:t>I</w:t>
      </w:r>
      <w:r w:rsidR="007C53DD" w:rsidRPr="009B6EB7">
        <w:rPr>
          <w:rFonts w:ascii="Arial" w:hAnsi="Arial" w:cs="Arial"/>
          <w:sz w:val="24"/>
          <w:szCs w:val="24"/>
        </w:rPr>
        <w:t>ts cleaning division</w:t>
      </w:r>
      <w:r w:rsidR="00576705" w:rsidRPr="009B6EB7">
        <w:rPr>
          <w:rFonts w:ascii="Arial" w:hAnsi="Arial" w:cs="Arial"/>
          <w:sz w:val="24"/>
          <w:szCs w:val="24"/>
        </w:rPr>
        <w:t>,</w:t>
      </w:r>
      <w:r w:rsidR="007C53DD" w:rsidRPr="009B6EB7">
        <w:rPr>
          <w:rFonts w:ascii="Arial" w:hAnsi="Arial" w:cs="Arial"/>
          <w:sz w:val="24"/>
          <w:szCs w:val="24"/>
        </w:rPr>
        <w:t xml:space="preserve"> for example, </w:t>
      </w:r>
      <w:r w:rsidR="00576705" w:rsidRPr="009B6EB7">
        <w:rPr>
          <w:rFonts w:ascii="Arial" w:hAnsi="Arial" w:cs="Arial"/>
          <w:sz w:val="24"/>
          <w:szCs w:val="24"/>
        </w:rPr>
        <w:t>suppli</w:t>
      </w:r>
      <w:r w:rsidR="007C53DD" w:rsidRPr="009B6EB7">
        <w:rPr>
          <w:rFonts w:ascii="Arial" w:hAnsi="Arial" w:cs="Arial"/>
          <w:sz w:val="24"/>
          <w:szCs w:val="24"/>
        </w:rPr>
        <w:t>e</w:t>
      </w:r>
      <w:r w:rsidR="002E2550" w:rsidRPr="009B6EB7">
        <w:rPr>
          <w:rFonts w:ascii="Arial" w:hAnsi="Arial" w:cs="Arial"/>
          <w:sz w:val="24"/>
          <w:szCs w:val="24"/>
        </w:rPr>
        <w:t>s</w:t>
      </w:r>
      <w:r w:rsidR="00576705" w:rsidRPr="009B6EB7">
        <w:rPr>
          <w:rFonts w:ascii="Arial" w:hAnsi="Arial" w:cs="Arial"/>
          <w:sz w:val="24"/>
          <w:szCs w:val="24"/>
        </w:rPr>
        <w:t xml:space="preserve"> not only the necessary equipment (mops, brooms, etc) and consumables (dish-washing liquid, etc), but also the personnel who</w:t>
      </w:r>
      <w:r w:rsidR="002E2550" w:rsidRPr="009B6EB7">
        <w:rPr>
          <w:rFonts w:ascii="Arial" w:hAnsi="Arial" w:cs="Arial"/>
          <w:sz w:val="24"/>
          <w:szCs w:val="24"/>
        </w:rPr>
        <w:t xml:space="preserve"> </w:t>
      </w:r>
      <w:r w:rsidR="00576705" w:rsidRPr="009B6EB7">
        <w:rPr>
          <w:rFonts w:ascii="Arial" w:hAnsi="Arial" w:cs="Arial"/>
          <w:sz w:val="24"/>
          <w:szCs w:val="24"/>
        </w:rPr>
        <w:t>provide the service itself. Its hygiene division operate</w:t>
      </w:r>
      <w:r w:rsidR="002E2550" w:rsidRPr="009B6EB7">
        <w:rPr>
          <w:rFonts w:ascii="Arial" w:hAnsi="Arial" w:cs="Arial"/>
          <w:sz w:val="24"/>
          <w:szCs w:val="24"/>
        </w:rPr>
        <w:t>s</w:t>
      </w:r>
      <w:r w:rsidR="00576705" w:rsidRPr="009B6EB7">
        <w:rPr>
          <w:rFonts w:ascii="Arial" w:hAnsi="Arial" w:cs="Arial"/>
          <w:sz w:val="24"/>
          <w:szCs w:val="24"/>
        </w:rPr>
        <w:t xml:space="preserve"> in accordance w</w:t>
      </w:r>
      <w:r w:rsidR="002E2550" w:rsidRPr="009B6EB7">
        <w:rPr>
          <w:rFonts w:ascii="Arial" w:hAnsi="Arial" w:cs="Arial"/>
          <w:sz w:val="24"/>
          <w:szCs w:val="24"/>
        </w:rPr>
        <w:t xml:space="preserve">ith the same business model; it leases and services equipment, supplies the consumables, and disposes of the waste that is generated. </w:t>
      </w:r>
    </w:p>
    <w:p w14:paraId="33DE71B8" w14:textId="77777777" w:rsidR="00F81D98" w:rsidRPr="00031FFC" w:rsidRDefault="00F81D98" w:rsidP="00F81D98">
      <w:pPr>
        <w:pStyle w:val="ListParagraph"/>
        <w:rPr>
          <w:rFonts w:ascii="Arial" w:hAnsi="Arial" w:cs="Arial"/>
          <w:sz w:val="24"/>
          <w:szCs w:val="24"/>
        </w:rPr>
      </w:pPr>
    </w:p>
    <w:p w14:paraId="77BD79C1" w14:textId="479F12C0"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[13]</w:t>
      </w:r>
      <w:r w:rsidRPr="00031FFC">
        <w:rPr>
          <w:rFonts w:ascii="Arial" w:hAnsi="Arial" w:cs="Arial"/>
          <w:sz w:val="24"/>
          <w:szCs w:val="24"/>
        </w:rPr>
        <w:tab/>
      </w:r>
      <w:r w:rsidR="00411574" w:rsidRPr="009B6EB7">
        <w:rPr>
          <w:rFonts w:ascii="Arial" w:hAnsi="Arial" w:cs="Arial"/>
          <w:sz w:val="24"/>
          <w:szCs w:val="24"/>
        </w:rPr>
        <w:t xml:space="preserve">In contrast, </w:t>
      </w:r>
      <w:r w:rsidR="00FA49DF" w:rsidRPr="009B6EB7">
        <w:rPr>
          <w:rFonts w:ascii="Arial" w:hAnsi="Arial" w:cs="Arial"/>
          <w:sz w:val="24"/>
          <w:szCs w:val="24"/>
        </w:rPr>
        <w:t xml:space="preserve">Mr Harvey </w:t>
      </w:r>
      <w:r w:rsidR="0089466C" w:rsidRPr="009B6EB7">
        <w:rPr>
          <w:rFonts w:ascii="Arial" w:hAnsi="Arial" w:cs="Arial"/>
          <w:sz w:val="24"/>
          <w:szCs w:val="24"/>
        </w:rPr>
        <w:t>assert</w:t>
      </w:r>
      <w:r w:rsidR="00FA49DF" w:rsidRPr="009B6EB7">
        <w:rPr>
          <w:rFonts w:ascii="Arial" w:hAnsi="Arial" w:cs="Arial"/>
          <w:sz w:val="24"/>
          <w:szCs w:val="24"/>
        </w:rPr>
        <w:t>s</w:t>
      </w:r>
      <w:r w:rsidR="0089466C" w:rsidRPr="009B6EB7">
        <w:rPr>
          <w:rFonts w:ascii="Arial" w:hAnsi="Arial" w:cs="Arial"/>
          <w:sz w:val="24"/>
          <w:szCs w:val="24"/>
        </w:rPr>
        <w:t xml:space="preserve"> that Chemex’s business model is based on the manufacture and retail of cleaning and sanitizing products. </w:t>
      </w:r>
      <w:r w:rsidR="00FA49DF" w:rsidRPr="009B6EB7">
        <w:rPr>
          <w:rFonts w:ascii="Arial" w:hAnsi="Arial" w:cs="Arial"/>
          <w:sz w:val="24"/>
          <w:szCs w:val="24"/>
        </w:rPr>
        <w:t xml:space="preserve">He </w:t>
      </w:r>
      <w:r w:rsidR="0089466C" w:rsidRPr="009B6EB7">
        <w:rPr>
          <w:rFonts w:ascii="Arial" w:hAnsi="Arial" w:cs="Arial"/>
          <w:sz w:val="24"/>
          <w:szCs w:val="24"/>
        </w:rPr>
        <w:t>allege</w:t>
      </w:r>
      <w:r w:rsidR="00FA49DF" w:rsidRPr="009B6EB7">
        <w:rPr>
          <w:rFonts w:ascii="Arial" w:hAnsi="Arial" w:cs="Arial"/>
          <w:sz w:val="24"/>
          <w:szCs w:val="24"/>
        </w:rPr>
        <w:t>s</w:t>
      </w:r>
      <w:r w:rsidR="0089466C" w:rsidRPr="009B6EB7">
        <w:rPr>
          <w:rFonts w:ascii="Arial" w:hAnsi="Arial" w:cs="Arial"/>
          <w:sz w:val="24"/>
          <w:szCs w:val="24"/>
        </w:rPr>
        <w:t xml:space="preserve"> that </w:t>
      </w:r>
      <w:r w:rsidR="003F047E" w:rsidRPr="009B6EB7">
        <w:rPr>
          <w:rFonts w:ascii="Arial" w:hAnsi="Arial" w:cs="Arial"/>
          <w:sz w:val="24"/>
          <w:szCs w:val="24"/>
        </w:rPr>
        <w:t>its</w:t>
      </w:r>
      <w:r w:rsidR="0089466C" w:rsidRPr="009B6EB7">
        <w:rPr>
          <w:rFonts w:ascii="Arial" w:hAnsi="Arial" w:cs="Arial"/>
          <w:sz w:val="24"/>
          <w:szCs w:val="24"/>
        </w:rPr>
        <w:t xml:space="preserve"> hygiene division constitutes </w:t>
      </w:r>
      <w:r w:rsidR="003F047E" w:rsidRPr="009B6EB7">
        <w:rPr>
          <w:rFonts w:ascii="Arial" w:hAnsi="Arial" w:cs="Arial"/>
          <w:sz w:val="24"/>
          <w:szCs w:val="24"/>
        </w:rPr>
        <w:t xml:space="preserve">but </w:t>
      </w:r>
      <w:r w:rsidR="0089466C" w:rsidRPr="009B6EB7">
        <w:rPr>
          <w:rFonts w:ascii="Arial" w:hAnsi="Arial" w:cs="Arial"/>
          <w:sz w:val="24"/>
          <w:szCs w:val="24"/>
        </w:rPr>
        <w:t>a small fraction of its overall business.</w:t>
      </w:r>
      <w:r w:rsidR="003F047E" w:rsidRPr="009B6EB7">
        <w:rPr>
          <w:rFonts w:ascii="Arial" w:hAnsi="Arial" w:cs="Arial"/>
          <w:sz w:val="24"/>
          <w:szCs w:val="24"/>
        </w:rPr>
        <w:t xml:space="preserve"> Whereas </w:t>
      </w:r>
      <w:r w:rsidR="00FA49DF" w:rsidRPr="009B6EB7">
        <w:rPr>
          <w:rFonts w:ascii="Arial" w:hAnsi="Arial" w:cs="Arial"/>
          <w:sz w:val="24"/>
          <w:szCs w:val="24"/>
        </w:rPr>
        <w:t xml:space="preserve">he admits </w:t>
      </w:r>
      <w:r w:rsidR="003F047E" w:rsidRPr="009B6EB7">
        <w:rPr>
          <w:rFonts w:ascii="Arial" w:hAnsi="Arial" w:cs="Arial"/>
          <w:sz w:val="24"/>
          <w:szCs w:val="24"/>
        </w:rPr>
        <w:t>that both Chemex and Red Alert supply hygiene equipment and consumables, what distinguishes the two entities</w:t>
      </w:r>
      <w:r w:rsidR="001576F3" w:rsidRPr="009B6EB7">
        <w:rPr>
          <w:rFonts w:ascii="Arial" w:hAnsi="Arial" w:cs="Arial"/>
          <w:sz w:val="24"/>
          <w:szCs w:val="24"/>
        </w:rPr>
        <w:t xml:space="preserve"> </w:t>
      </w:r>
      <w:r w:rsidR="003F047E" w:rsidRPr="009B6EB7">
        <w:rPr>
          <w:rFonts w:ascii="Arial" w:hAnsi="Arial" w:cs="Arial"/>
          <w:sz w:val="24"/>
          <w:szCs w:val="24"/>
        </w:rPr>
        <w:t xml:space="preserve">is </w:t>
      </w:r>
      <w:r w:rsidR="001576F3" w:rsidRPr="009B6EB7">
        <w:rPr>
          <w:rFonts w:ascii="Arial" w:hAnsi="Arial" w:cs="Arial"/>
          <w:sz w:val="24"/>
          <w:szCs w:val="24"/>
        </w:rPr>
        <w:t xml:space="preserve">the provision or otherwise of an accompanying service. As evidence of the contention that the entities are not competitors, </w:t>
      </w:r>
      <w:r w:rsidR="00727160" w:rsidRPr="009B6EB7">
        <w:rPr>
          <w:rFonts w:ascii="Arial" w:hAnsi="Arial" w:cs="Arial"/>
          <w:sz w:val="24"/>
          <w:szCs w:val="24"/>
        </w:rPr>
        <w:t>Mr Harvey</w:t>
      </w:r>
      <w:r w:rsidR="001576F3" w:rsidRPr="009B6EB7">
        <w:rPr>
          <w:rFonts w:ascii="Arial" w:hAnsi="Arial" w:cs="Arial"/>
          <w:sz w:val="24"/>
          <w:szCs w:val="24"/>
        </w:rPr>
        <w:t xml:space="preserve"> state</w:t>
      </w:r>
      <w:r w:rsidR="00727160" w:rsidRPr="009B6EB7">
        <w:rPr>
          <w:rFonts w:ascii="Arial" w:hAnsi="Arial" w:cs="Arial"/>
          <w:sz w:val="24"/>
          <w:szCs w:val="24"/>
        </w:rPr>
        <w:t>s</w:t>
      </w:r>
      <w:r w:rsidR="001576F3" w:rsidRPr="009B6EB7">
        <w:rPr>
          <w:rFonts w:ascii="Arial" w:hAnsi="Arial" w:cs="Arial"/>
          <w:sz w:val="24"/>
          <w:szCs w:val="24"/>
        </w:rPr>
        <w:t xml:space="preserve"> that they never provide competing quotations to potential customers.</w:t>
      </w:r>
    </w:p>
    <w:p w14:paraId="3AF4E01E" w14:textId="77777777" w:rsidR="00147E19" w:rsidRPr="00031FFC" w:rsidRDefault="00147E19" w:rsidP="00147E19">
      <w:pPr>
        <w:pStyle w:val="ListParagraph"/>
        <w:spacing w:line="360" w:lineRule="auto"/>
        <w:ind w:left="0"/>
        <w:jc w:val="both"/>
        <w:rPr>
          <w:rFonts w:ascii="Arial" w:hAnsi="Arial" w:cs="Arial"/>
          <w:sz w:val="24"/>
          <w:szCs w:val="24"/>
        </w:rPr>
      </w:pPr>
    </w:p>
    <w:p w14:paraId="5F46B43D" w14:textId="29EFAFAB"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[14]</w:t>
      </w:r>
      <w:r w:rsidRPr="00031FFC">
        <w:rPr>
          <w:rFonts w:ascii="Arial" w:hAnsi="Arial" w:cs="Arial"/>
          <w:sz w:val="24"/>
          <w:szCs w:val="24"/>
        </w:rPr>
        <w:tab/>
      </w:r>
      <w:r w:rsidR="004F2F88" w:rsidRPr="009B6EB7">
        <w:rPr>
          <w:rFonts w:ascii="Arial" w:hAnsi="Arial" w:cs="Arial"/>
          <w:sz w:val="24"/>
          <w:szCs w:val="24"/>
        </w:rPr>
        <w:t xml:space="preserve">In relation to Red Alert’s employment of Mr Guest, Mr Harvey </w:t>
      </w:r>
      <w:r w:rsidR="00727160" w:rsidRPr="009B6EB7">
        <w:rPr>
          <w:rFonts w:ascii="Arial" w:hAnsi="Arial" w:cs="Arial"/>
          <w:sz w:val="24"/>
          <w:szCs w:val="24"/>
        </w:rPr>
        <w:t xml:space="preserve">explains that he </w:t>
      </w:r>
      <w:r w:rsidR="004F2F88" w:rsidRPr="009B6EB7">
        <w:rPr>
          <w:rFonts w:ascii="Arial" w:hAnsi="Arial" w:cs="Arial"/>
          <w:sz w:val="24"/>
          <w:szCs w:val="24"/>
        </w:rPr>
        <w:t>met with him to discuss opportunities in late</w:t>
      </w:r>
      <w:r w:rsidR="006D423C" w:rsidRPr="009B6EB7">
        <w:rPr>
          <w:rFonts w:ascii="Arial" w:hAnsi="Arial" w:cs="Arial"/>
          <w:sz w:val="24"/>
          <w:szCs w:val="24"/>
        </w:rPr>
        <w:t xml:space="preserve"> 2020. He indicated to Mr Guest that Red Alert was interested in establishing a</w:t>
      </w:r>
      <w:r w:rsidR="00F56070" w:rsidRPr="009B6EB7">
        <w:rPr>
          <w:rFonts w:ascii="Arial" w:hAnsi="Arial" w:cs="Arial"/>
          <w:sz w:val="24"/>
          <w:szCs w:val="24"/>
        </w:rPr>
        <w:t xml:space="preserve"> manufacturing </w:t>
      </w:r>
      <w:r w:rsidR="006D423C" w:rsidRPr="009B6EB7">
        <w:rPr>
          <w:rFonts w:ascii="Arial" w:hAnsi="Arial" w:cs="Arial"/>
          <w:sz w:val="24"/>
          <w:szCs w:val="24"/>
        </w:rPr>
        <w:t xml:space="preserve">entity, Chemtec, </w:t>
      </w:r>
      <w:r w:rsidR="00F56070" w:rsidRPr="009B6EB7">
        <w:rPr>
          <w:rFonts w:ascii="Arial" w:hAnsi="Arial" w:cs="Arial"/>
          <w:sz w:val="24"/>
          <w:szCs w:val="24"/>
        </w:rPr>
        <w:t xml:space="preserve">so that it would not need to purchase consumables from third parties such as Chemex. To this, Mr Guest allegedly pointed out that he was prevented from doing so under </w:t>
      </w:r>
      <w:r w:rsidR="00027988" w:rsidRPr="009B6EB7">
        <w:rPr>
          <w:rFonts w:ascii="Arial" w:hAnsi="Arial" w:cs="Arial"/>
          <w:sz w:val="24"/>
          <w:szCs w:val="24"/>
        </w:rPr>
        <w:t xml:space="preserve">his covenant in </w:t>
      </w:r>
      <w:r w:rsidR="00F56070" w:rsidRPr="009B6EB7">
        <w:rPr>
          <w:rFonts w:ascii="Arial" w:hAnsi="Arial" w:cs="Arial"/>
          <w:sz w:val="24"/>
          <w:szCs w:val="24"/>
        </w:rPr>
        <w:t xml:space="preserve">restraint of </w:t>
      </w:r>
      <w:r w:rsidR="00031FFC" w:rsidRPr="009B6EB7">
        <w:rPr>
          <w:rFonts w:ascii="Arial" w:hAnsi="Arial" w:cs="Arial"/>
          <w:sz w:val="24"/>
          <w:szCs w:val="24"/>
        </w:rPr>
        <w:t>trade but</w:t>
      </w:r>
      <w:r w:rsidR="00027988" w:rsidRPr="009B6EB7">
        <w:rPr>
          <w:rFonts w:ascii="Arial" w:hAnsi="Arial" w:cs="Arial"/>
          <w:sz w:val="24"/>
          <w:szCs w:val="24"/>
        </w:rPr>
        <w:t xml:space="preserve"> that</w:t>
      </w:r>
      <w:r w:rsidR="00F56070" w:rsidRPr="009B6EB7">
        <w:rPr>
          <w:rFonts w:ascii="Arial" w:hAnsi="Arial" w:cs="Arial"/>
          <w:sz w:val="24"/>
          <w:szCs w:val="24"/>
        </w:rPr>
        <w:t xml:space="preserve"> his son, Vaughan, would be interested. The meeting </w:t>
      </w:r>
      <w:r w:rsidR="00046954" w:rsidRPr="009B6EB7">
        <w:rPr>
          <w:rFonts w:ascii="Arial" w:hAnsi="Arial" w:cs="Arial"/>
          <w:sz w:val="24"/>
          <w:szCs w:val="24"/>
        </w:rPr>
        <w:t xml:space="preserve">ultimately </w:t>
      </w:r>
      <w:r w:rsidR="00F56070" w:rsidRPr="009B6EB7">
        <w:rPr>
          <w:rFonts w:ascii="Arial" w:hAnsi="Arial" w:cs="Arial"/>
          <w:sz w:val="24"/>
          <w:szCs w:val="24"/>
        </w:rPr>
        <w:t>led to Red Alert’s employment of Mr Guest</w:t>
      </w:r>
      <w:r w:rsidR="00046954" w:rsidRPr="009B6EB7">
        <w:rPr>
          <w:rFonts w:ascii="Arial" w:hAnsi="Arial" w:cs="Arial"/>
          <w:sz w:val="24"/>
          <w:szCs w:val="24"/>
        </w:rPr>
        <w:t xml:space="preserve"> as a business development manager on 19 January 2021, </w:t>
      </w:r>
      <w:bookmarkStart w:id="3" w:name="_Hlk114766593"/>
      <w:r w:rsidR="00046954" w:rsidRPr="009B6EB7">
        <w:rPr>
          <w:rFonts w:ascii="Arial" w:hAnsi="Arial" w:cs="Arial"/>
          <w:sz w:val="24"/>
          <w:szCs w:val="24"/>
        </w:rPr>
        <w:t xml:space="preserve">to </w:t>
      </w:r>
      <w:r w:rsidR="00046954" w:rsidRPr="009B6EB7">
        <w:rPr>
          <w:rFonts w:ascii="Arial" w:hAnsi="Arial" w:cs="Arial"/>
          <w:sz w:val="24"/>
          <w:szCs w:val="24"/>
        </w:rPr>
        <w:lastRenderedPageBreak/>
        <w:t>develop the business of its hygiene division</w:t>
      </w:r>
      <w:bookmarkEnd w:id="3"/>
      <w:r w:rsidR="00046954" w:rsidRPr="009B6EB7">
        <w:rPr>
          <w:rFonts w:ascii="Arial" w:hAnsi="Arial" w:cs="Arial"/>
          <w:sz w:val="24"/>
          <w:szCs w:val="24"/>
        </w:rPr>
        <w:t xml:space="preserve">. </w:t>
      </w:r>
      <w:r w:rsidR="00727160" w:rsidRPr="009B6EB7">
        <w:rPr>
          <w:rFonts w:ascii="Arial" w:hAnsi="Arial" w:cs="Arial"/>
          <w:sz w:val="24"/>
          <w:szCs w:val="24"/>
        </w:rPr>
        <w:t>Mr Harvey</w:t>
      </w:r>
      <w:r w:rsidR="00046954" w:rsidRPr="009B6EB7">
        <w:rPr>
          <w:rFonts w:ascii="Arial" w:hAnsi="Arial" w:cs="Arial"/>
          <w:sz w:val="24"/>
          <w:szCs w:val="24"/>
        </w:rPr>
        <w:t xml:space="preserve"> contend</w:t>
      </w:r>
      <w:r w:rsidR="00727160" w:rsidRPr="009B6EB7">
        <w:rPr>
          <w:rFonts w:ascii="Arial" w:hAnsi="Arial" w:cs="Arial"/>
          <w:sz w:val="24"/>
          <w:szCs w:val="24"/>
        </w:rPr>
        <w:t>s</w:t>
      </w:r>
      <w:r w:rsidR="00046954" w:rsidRPr="009B6EB7">
        <w:rPr>
          <w:rFonts w:ascii="Arial" w:hAnsi="Arial" w:cs="Arial"/>
          <w:sz w:val="24"/>
          <w:szCs w:val="24"/>
        </w:rPr>
        <w:t xml:space="preserve"> that Mr Guest is merely a salary-earning employee with no shareholding or other financial interest in Red Alert.</w:t>
      </w:r>
    </w:p>
    <w:p w14:paraId="367D8418" w14:textId="77777777" w:rsidR="00147E19" w:rsidRPr="00031FFC" w:rsidRDefault="00147E19" w:rsidP="00147E19">
      <w:pPr>
        <w:pStyle w:val="ListParagraph"/>
        <w:rPr>
          <w:rFonts w:ascii="Arial" w:hAnsi="Arial" w:cs="Arial"/>
          <w:sz w:val="24"/>
          <w:szCs w:val="24"/>
        </w:rPr>
      </w:pPr>
    </w:p>
    <w:p w14:paraId="084150D5" w14:textId="71576B60"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[15]</w:t>
      </w:r>
      <w:r w:rsidRPr="00031FFC">
        <w:rPr>
          <w:rFonts w:ascii="Arial" w:hAnsi="Arial" w:cs="Arial"/>
          <w:sz w:val="24"/>
          <w:szCs w:val="24"/>
        </w:rPr>
        <w:tab/>
      </w:r>
      <w:r w:rsidR="00046954" w:rsidRPr="009B6EB7">
        <w:rPr>
          <w:rFonts w:ascii="Arial" w:hAnsi="Arial" w:cs="Arial"/>
          <w:sz w:val="24"/>
          <w:szCs w:val="24"/>
        </w:rPr>
        <w:t>Consequently, Mr Harvey contacted Vaughan</w:t>
      </w:r>
      <w:r w:rsidR="00433051" w:rsidRPr="009B6EB7">
        <w:rPr>
          <w:rFonts w:ascii="Arial" w:hAnsi="Arial" w:cs="Arial"/>
          <w:sz w:val="24"/>
          <w:szCs w:val="24"/>
        </w:rPr>
        <w:t xml:space="preserve"> and together they established Chemtec on or about 5 February 2021. The purpose of the entity is to manufacture chemical products for supply to Red Alert. Once established, Chemtec </w:t>
      </w:r>
      <w:r w:rsidR="00575780" w:rsidRPr="009B6EB7">
        <w:rPr>
          <w:rFonts w:ascii="Arial" w:hAnsi="Arial" w:cs="Arial"/>
          <w:sz w:val="24"/>
          <w:szCs w:val="24"/>
        </w:rPr>
        <w:t xml:space="preserve">will be a competitor to Chemex. </w:t>
      </w:r>
      <w:r w:rsidR="00727160" w:rsidRPr="009B6EB7">
        <w:rPr>
          <w:rFonts w:ascii="Arial" w:hAnsi="Arial" w:cs="Arial"/>
          <w:sz w:val="24"/>
          <w:szCs w:val="24"/>
        </w:rPr>
        <w:t xml:space="preserve">Mr Harvey </w:t>
      </w:r>
      <w:r w:rsidR="00575780" w:rsidRPr="009B6EB7">
        <w:rPr>
          <w:rFonts w:ascii="Arial" w:hAnsi="Arial" w:cs="Arial"/>
          <w:sz w:val="24"/>
          <w:szCs w:val="24"/>
        </w:rPr>
        <w:t>aver</w:t>
      </w:r>
      <w:r w:rsidR="00727160" w:rsidRPr="009B6EB7">
        <w:rPr>
          <w:rFonts w:ascii="Arial" w:hAnsi="Arial" w:cs="Arial"/>
          <w:sz w:val="24"/>
          <w:szCs w:val="24"/>
        </w:rPr>
        <w:t>s</w:t>
      </w:r>
      <w:r w:rsidR="00575780" w:rsidRPr="009B6EB7">
        <w:rPr>
          <w:rFonts w:ascii="Arial" w:hAnsi="Arial" w:cs="Arial"/>
          <w:sz w:val="24"/>
          <w:szCs w:val="24"/>
        </w:rPr>
        <w:t xml:space="preserve"> that Mr Guest is not involved at all in the establishment of Chemtec and has no shareholding or other interest therein. The new entity does not need his </w:t>
      </w:r>
      <w:r w:rsidR="008B0A0A" w:rsidRPr="009B6EB7">
        <w:rPr>
          <w:rFonts w:ascii="Arial" w:hAnsi="Arial" w:cs="Arial"/>
          <w:sz w:val="24"/>
          <w:szCs w:val="24"/>
        </w:rPr>
        <w:t xml:space="preserve">knowledge </w:t>
      </w:r>
      <w:r w:rsidR="00727160" w:rsidRPr="009B6EB7">
        <w:rPr>
          <w:rFonts w:ascii="Arial" w:hAnsi="Arial" w:cs="Arial"/>
          <w:sz w:val="24"/>
          <w:szCs w:val="24"/>
        </w:rPr>
        <w:t xml:space="preserve">or </w:t>
      </w:r>
      <w:r w:rsidR="008B0A0A" w:rsidRPr="009B6EB7">
        <w:rPr>
          <w:rFonts w:ascii="Arial" w:hAnsi="Arial" w:cs="Arial"/>
          <w:sz w:val="24"/>
          <w:szCs w:val="24"/>
        </w:rPr>
        <w:t>expertise</w:t>
      </w:r>
      <w:r w:rsidR="00575780" w:rsidRPr="009B6EB7">
        <w:rPr>
          <w:rFonts w:ascii="Arial" w:hAnsi="Arial" w:cs="Arial"/>
          <w:sz w:val="24"/>
          <w:szCs w:val="24"/>
        </w:rPr>
        <w:t xml:space="preserve"> and will rely on Vaughan’s </w:t>
      </w:r>
      <w:r w:rsidR="008B0A0A" w:rsidRPr="009B6EB7">
        <w:rPr>
          <w:rFonts w:ascii="Arial" w:hAnsi="Arial" w:cs="Arial"/>
          <w:sz w:val="24"/>
          <w:szCs w:val="24"/>
        </w:rPr>
        <w:t>capabilities</w:t>
      </w:r>
      <w:r w:rsidR="00575780" w:rsidRPr="009B6EB7">
        <w:rPr>
          <w:rFonts w:ascii="Arial" w:hAnsi="Arial" w:cs="Arial"/>
          <w:sz w:val="24"/>
          <w:szCs w:val="24"/>
        </w:rPr>
        <w:t>, the assistance provided by an entity known as PE Chemicals, and the involvement of two further individuals w</w:t>
      </w:r>
      <w:r w:rsidR="008B0A0A" w:rsidRPr="009B6EB7">
        <w:rPr>
          <w:rFonts w:ascii="Arial" w:hAnsi="Arial" w:cs="Arial"/>
          <w:sz w:val="24"/>
          <w:szCs w:val="24"/>
        </w:rPr>
        <w:t xml:space="preserve">ho have the necessary manufacturing experience. </w:t>
      </w:r>
    </w:p>
    <w:p w14:paraId="4CC6B320" w14:textId="77777777" w:rsidR="00147E19" w:rsidRPr="00031FFC" w:rsidRDefault="00147E19" w:rsidP="00147E19">
      <w:pPr>
        <w:pStyle w:val="ListParagraph"/>
        <w:rPr>
          <w:rFonts w:ascii="Arial" w:hAnsi="Arial" w:cs="Arial"/>
          <w:sz w:val="24"/>
          <w:szCs w:val="24"/>
        </w:rPr>
      </w:pPr>
    </w:p>
    <w:p w14:paraId="7DD2B1DB" w14:textId="68A9D21C"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[16]</w:t>
      </w:r>
      <w:r w:rsidRPr="00031FFC">
        <w:rPr>
          <w:rFonts w:ascii="Arial" w:hAnsi="Arial" w:cs="Arial"/>
          <w:sz w:val="24"/>
          <w:szCs w:val="24"/>
        </w:rPr>
        <w:tab/>
      </w:r>
      <w:r w:rsidR="00727160" w:rsidRPr="009B6EB7">
        <w:rPr>
          <w:rFonts w:ascii="Arial" w:hAnsi="Arial" w:cs="Arial"/>
          <w:sz w:val="24"/>
          <w:szCs w:val="24"/>
        </w:rPr>
        <w:t xml:space="preserve">Mr Harvey </w:t>
      </w:r>
      <w:r w:rsidR="00785155" w:rsidRPr="009B6EB7">
        <w:rPr>
          <w:rFonts w:ascii="Arial" w:hAnsi="Arial" w:cs="Arial"/>
          <w:sz w:val="24"/>
          <w:szCs w:val="24"/>
        </w:rPr>
        <w:t>emphasize</w:t>
      </w:r>
      <w:r w:rsidR="00727160" w:rsidRPr="009B6EB7">
        <w:rPr>
          <w:rFonts w:ascii="Arial" w:hAnsi="Arial" w:cs="Arial"/>
          <w:sz w:val="24"/>
          <w:szCs w:val="24"/>
        </w:rPr>
        <w:t>s</w:t>
      </w:r>
      <w:r w:rsidR="00785155" w:rsidRPr="009B6EB7">
        <w:rPr>
          <w:rFonts w:ascii="Arial" w:hAnsi="Arial" w:cs="Arial"/>
          <w:sz w:val="24"/>
          <w:szCs w:val="24"/>
        </w:rPr>
        <w:t xml:space="preserve"> that Red Alert and Chemtec</w:t>
      </w:r>
      <w:r w:rsidR="0064573A" w:rsidRPr="009B6EB7">
        <w:rPr>
          <w:rFonts w:ascii="Arial" w:hAnsi="Arial" w:cs="Arial"/>
          <w:sz w:val="24"/>
          <w:szCs w:val="24"/>
        </w:rPr>
        <w:t xml:space="preserve"> </w:t>
      </w:r>
      <w:r w:rsidR="00785155" w:rsidRPr="009B6EB7">
        <w:rPr>
          <w:rFonts w:ascii="Arial" w:hAnsi="Arial" w:cs="Arial"/>
          <w:sz w:val="24"/>
          <w:szCs w:val="24"/>
        </w:rPr>
        <w:t>are two separate entities, each with its own legal personality. The former does not possess any manufacturing capability</w:t>
      </w:r>
      <w:r w:rsidR="00F07D47" w:rsidRPr="009B6EB7">
        <w:rPr>
          <w:rFonts w:ascii="Arial" w:hAnsi="Arial" w:cs="Arial"/>
          <w:sz w:val="24"/>
          <w:szCs w:val="24"/>
        </w:rPr>
        <w:t>; this is intended for the latter</w:t>
      </w:r>
      <w:r w:rsidR="00785155" w:rsidRPr="009B6EB7">
        <w:rPr>
          <w:rFonts w:ascii="Arial" w:hAnsi="Arial" w:cs="Arial"/>
          <w:sz w:val="24"/>
          <w:szCs w:val="24"/>
        </w:rPr>
        <w:t xml:space="preserve">. The real issue, </w:t>
      </w:r>
      <w:r w:rsidR="00727160" w:rsidRPr="009B6EB7">
        <w:rPr>
          <w:rFonts w:ascii="Arial" w:hAnsi="Arial" w:cs="Arial"/>
          <w:sz w:val="24"/>
          <w:szCs w:val="24"/>
        </w:rPr>
        <w:t xml:space="preserve">he </w:t>
      </w:r>
      <w:r w:rsidR="00785155" w:rsidRPr="009B6EB7">
        <w:rPr>
          <w:rFonts w:ascii="Arial" w:hAnsi="Arial" w:cs="Arial"/>
          <w:sz w:val="24"/>
          <w:szCs w:val="24"/>
        </w:rPr>
        <w:t>says, is Chemex’s need to prevent Chemtec</w:t>
      </w:r>
      <w:r w:rsidR="00F07D47" w:rsidRPr="009B6EB7">
        <w:rPr>
          <w:rFonts w:ascii="Arial" w:hAnsi="Arial" w:cs="Arial"/>
          <w:sz w:val="24"/>
          <w:szCs w:val="24"/>
        </w:rPr>
        <w:t xml:space="preserve"> from manufacturing competing hygiene products.</w:t>
      </w:r>
    </w:p>
    <w:p w14:paraId="16FE1998" w14:textId="77777777" w:rsidR="00147E19" w:rsidRPr="00031FFC" w:rsidRDefault="00147E19" w:rsidP="00147E19">
      <w:pPr>
        <w:pStyle w:val="ListParagraph"/>
        <w:rPr>
          <w:rFonts w:ascii="Arial" w:hAnsi="Arial" w:cs="Arial"/>
          <w:sz w:val="24"/>
          <w:szCs w:val="24"/>
        </w:rPr>
      </w:pPr>
    </w:p>
    <w:p w14:paraId="2D289996" w14:textId="5F8287F3"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[17]</w:t>
      </w:r>
      <w:r w:rsidRPr="00031FFC">
        <w:rPr>
          <w:rFonts w:ascii="Arial" w:hAnsi="Arial" w:cs="Arial"/>
          <w:sz w:val="24"/>
          <w:szCs w:val="24"/>
        </w:rPr>
        <w:tab/>
      </w:r>
      <w:r w:rsidR="00FA49DF" w:rsidRPr="009B6EB7">
        <w:rPr>
          <w:rFonts w:ascii="Arial" w:hAnsi="Arial" w:cs="Arial"/>
          <w:sz w:val="24"/>
          <w:szCs w:val="24"/>
        </w:rPr>
        <w:t xml:space="preserve">In a separate affidavit, Mr Guest </w:t>
      </w:r>
      <w:r w:rsidR="00727160" w:rsidRPr="009B6EB7">
        <w:rPr>
          <w:rFonts w:ascii="Arial" w:hAnsi="Arial" w:cs="Arial"/>
          <w:sz w:val="24"/>
          <w:szCs w:val="24"/>
        </w:rPr>
        <w:t>states that he has 35 years</w:t>
      </w:r>
      <w:r w:rsidR="004D0461" w:rsidRPr="009B6EB7">
        <w:rPr>
          <w:rFonts w:ascii="Arial" w:hAnsi="Arial" w:cs="Arial"/>
          <w:sz w:val="24"/>
          <w:szCs w:val="24"/>
        </w:rPr>
        <w:t xml:space="preserve"> of </w:t>
      </w:r>
      <w:r w:rsidR="00727160" w:rsidRPr="009B6EB7">
        <w:rPr>
          <w:rFonts w:ascii="Arial" w:hAnsi="Arial" w:cs="Arial"/>
          <w:sz w:val="24"/>
          <w:szCs w:val="24"/>
        </w:rPr>
        <w:t>experience in blending chemicals for use in the cleaning and hygiene markets. He estimates that he developed approximately 90% of Chemex’s chemical products.</w:t>
      </w:r>
      <w:r w:rsidR="004D0461" w:rsidRPr="009B6EB7">
        <w:rPr>
          <w:rFonts w:ascii="Arial" w:hAnsi="Arial" w:cs="Arial"/>
          <w:sz w:val="24"/>
          <w:szCs w:val="24"/>
        </w:rPr>
        <w:t xml:space="preserve"> The formulae involved are not particularly complicated and can be mastered relatively easily through a process of trial and error. </w:t>
      </w:r>
      <w:r w:rsidR="00827762" w:rsidRPr="009B6EB7">
        <w:rPr>
          <w:rFonts w:ascii="Arial" w:hAnsi="Arial" w:cs="Arial"/>
          <w:sz w:val="24"/>
          <w:szCs w:val="24"/>
        </w:rPr>
        <w:t>After</w:t>
      </w:r>
      <w:r w:rsidR="004D0461" w:rsidRPr="009B6EB7">
        <w:rPr>
          <w:rFonts w:ascii="Arial" w:hAnsi="Arial" w:cs="Arial"/>
          <w:sz w:val="24"/>
          <w:szCs w:val="24"/>
        </w:rPr>
        <w:t xml:space="preserve"> the </w:t>
      </w:r>
      <w:r w:rsidR="00B923B7" w:rsidRPr="009B6EB7">
        <w:rPr>
          <w:rFonts w:ascii="Arial" w:hAnsi="Arial" w:cs="Arial"/>
          <w:sz w:val="24"/>
          <w:szCs w:val="24"/>
        </w:rPr>
        <w:t>appellants’ purchase of his member’s interest and the value of his loan account, Mr Guest’s role as a consultant was limited; neither the second nor the third appellants ever sought his advice.</w:t>
      </w:r>
    </w:p>
    <w:p w14:paraId="0998E045" w14:textId="77777777" w:rsidR="00147E19" w:rsidRPr="00031FFC" w:rsidRDefault="00147E19" w:rsidP="00147E19">
      <w:pPr>
        <w:pStyle w:val="ListParagraph"/>
        <w:rPr>
          <w:rFonts w:ascii="Arial" w:hAnsi="Arial" w:cs="Arial"/>
          <w:sz w:val="24"/>
          <w:szCs w:val="24"/>
        </w:rPr>
      </w:pPr>
    </w:p>
    <w:p w14:paraId="48E06333" w14:textId="2EC59042"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[18]</w:t>
      </w:r>
      <w:r w:rsidRPr="00031FFC">
        <w:rPr>
          <w:rFonts w:ascii="Arial" w:hAnsi="Arial" w:cs="Arial"/>
          <w:sz w:val="24"/>
          <w:szCs w:val="24"/>
        </w:rPr>
        <w:tab/>
      </w:r>
      <w:r w:rsidR="00B923B7" w:rsidRPr="009B6EB7">
        <w:rPr>
          <w:rFonts w:ascii="Arial" w:hAnsi="Arial" w:cs="Arial"/>
          <w:sz w:val="24"/>
          <w:szCs w:val="24"/>
        </w:rPr>
        <w:t>Mr Guest asserts</w:t>
      </w:r>
      <w:r w:rsidR="004A14EB" w:rsidRPr="009B6EB7">
        <w:rPr>
          <w:rFonts w:ascii="Arial" w:hAnsi="Arial" w:cs="Arial"/>
          <w:sz w:val="24"/>
          <w:szCs w:val="24"/>
        </w:rPr>
        <w:t>, like Mr Harvey,</w:t>
      </w:r>
      <w:r w:rsidR="00B923B7" w:rsidRPr="009B6EB7">
        <w:rPr>
          <w:rFonts w:ascii="Arial" w:hAnsi="Arial" w:cs="Arial"/>
          <w:sz w:val="24"/>
          <w:szCs w:val="24"/>
        </w:rPr>
        <w:t xml:space="preserve"> that </w:t>
      </w:r>
      <w:r w:rsidR="004A14EB" w:rsidRPr="009B6EB7">
        <w:rPr>
          <w:rFonts w:ascii="Arial" w:hAnsi="Arial" w:cs="Arial"/>
          <w:sz w:val="24"/>
          <w:szCs w:val="24"/>
        </w:rPr>
        <w:t>Chemex and Red Alert are not compet</w:t>
      </w:r>
      <w:r w:rsidR="006B621E" w:rsidRPr="009B6EB7">
        <w:rPr>
          <w:rFonts w:ascii="Arial" w:hAnsi="Arial" w:cs="Arial"/>
          <w:sz w:val="24"/>
          <w:szCs w:val="24"/>
        </w:rPr>
        <w:t>ing entities</w:t>
      </w:r>
      <w:r w:rsidR="004A14EB" w:rsidRPr="009B6EB7">
        <w:rPr>
          <w:rFonts w:ascii="Arial" w:hAnsi="Arial" w:cs="Arial"/>
          <w:sz w:val="24"/>
          <w:szCs w:val="24"/>
        </w:rPr>
        <w:t xml:space="preserve">. He provides the example of the Kat Leisure Hotel Group’s need for hygiene services, where the Group’s alleged dissatisfaction with the services provided </w:t>
      </w:r>
      <w:r w:rsidR="006B621E" w:rsidRPr="009B6EB7">
        <w:rPr>
          <w:rFonts w:ascii="Arial" w:hAnsi="Arial" w:cs="Arial"/>
          <w:sz w:val="24"/>
          <w:szCs w:val="24"/>
        </w:rPr>
        <w:t xml:space="preserve">by the existing supplier, Bidvest Steiner, prompted it to request quotations from competitors, </w:t>
      </w:r>
      <w:r w:rsidR="006B621E" w:rsidRPr="009B6EB7">
        <w:rPr>
          <w:rFonts w:ascii="Arial" w:hAnsi="Arial" w:cs="Arial"/>
          <w:sz w:val="24"/>
          <w:szCs w:val="24"/>
        </w:rPr>
        <w:lastRenderedPageBreak/>
        <w:t>including Red Alert. The Group never approached Chemex, despite its</w:t>
      </w:r>
      <w:r w:rsidR="004A14EB" w:rsidRPr="009B6EB7">
        <w:rPr>
          <w:rFonts w:ascii="Arial" w:hAnsi="Arial" w:cs="Arial"/>
          <w:sz w:val="24"/>
          <w:szCs w:val="24"/>
        </w:rPr>
        <w:t xml:space="preserve"> purchasing cleaning products from </w:t>
      </w:r>
      <w:r w:rsidR="006B621E" w:rsidRPr="009B6EB7">
        <w:rPr>
          <w:rFonts w:ascii="Arial" w:hAnsi="Arial" w:cs="Arial"/>
          <w:sz w:val="24"/>
          <w:szCs w:val="24"/>
        </w:rPr>
        <w:t>the entity in question.</w:t>
      </w:r>
    </w:p>
    <w:p w14:paraId="634A74D7" w14:textId="77777777" w:rsidR="00147E19" w:rsidRPr="00031FFC" w:rsidRDefault="00147E19" w:rsidP="00147E19">
      <w:pPr>
        <w:pStyle w:val="ListParagraph"/>
        <w:rPr>
          <w:rFonts w:ascii="Arial" w:hAnsi="Arial" w:cs="Arial"/>
          <w:sz w:val="24"/>
          <w:szCs w:val="24"/>
        </w:rPr>
      </w:pPr>
    </w:p>
    <w:p w14:paraId="3A7149BA" w14:textId="37D47967"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[19]</w:t>
      </w:r>
      <w:r w:rsidRPr="00031FFC">
        <w:rPr>
          <w:rFonts w:ascii="Arial" w:hAnsi="Arial" w:cs="Arial"/>
          <w:sz w:val="24"/>
          <w:szCs w:val="24"/>
        </w:rPr>
        <w:tab/>
      </w:r>
      <w:r w:rsidR="00827762" w:rsidRPr="009B6EB7">
        <w:rPr>
          <w:rFonts w:ascii="Arial" w:hAnsi="Arial" w:cs="Arial"/>
          <w:sz w:val="24"/>
          <w:szCs w:val="24"/>
        </w:rPr>
        <w:t xml:space="preserve">He </w:t>
      </w:r>
      <w:r w:rsidR="00F1151F" w:rsidRPr="009B6EB7">
        <w:rPr>
          <w:rFonts w:ascii="Arial" w:hAnsi="Arial" w:cs="Arial"/>
          <w:sz w:val="24"/>
          <w:szCs w:val="24"/>
        </w:rPr>
        <w:t>i</w:t>
      </w:r>
      <w:r w:rsidR="00827762" w:rsidRPr="009B6EB7">
        <w:rPr>
          <w:rFonts w:ascii="Arial" w:hAnsi="Arial" w:cs="Arial"/>
          <w:sz w:val="24"/>
          <w:szCs w:val="24"/>
        </w:rPr>
        <w:t xml:space="preserve">s adamant that Chemex’s sale of hygiene products constituted a ‘minute portion’ of its business. In any event, Chemex’s customers preferred to purchase equipment and consumables, rather than enter into a rental and service agreement, which was Red Alert’s approach. Mr Guest </w:t>
      </w:r>
      <w:r w:rsidR="0064573A" w:rsidRPr="009B6EB7">
        <w:rPr>
          <w:rFonts w:ascii="Arial" w:hAnsi="Arial" w:cs="Arial"/>
          <w:sz w:val="24"/>
          <w:szCs w:val="24"/>
        </w:rPr>
        <w:t>emphasizes</w:t>
      </w:r>
      <w:r w:rsidR="00827762" w:rsidRPr="009B6EB7">
        <w:rPr>
          <w:rFonts w:ascii="Arial" w:hAnsi="Arial" w:cs="Arial"/>
          <w:sz w:val="24"/>
          <w:szCs w:val="24"/>
        </w:rPr>
        <w:t xml:space="preserve"> that he ha</w:t>
      </w:r>
      <w:r w:rsidR="00F1151F" w:rsidRPr="009B6EB7">
        <w:rPr>
          <w:rFonts w:ascii="Arial" w:hAnsi="Arial" w:cs="Arial"/>
          <w:sz w:val="24"/>
          <w:szCs w:val="24"/>
        </w:rPr>
        <w:t>s</w:t>
      </w:r>
      <w:r w:rsidR="00827762" w:rsidRPr="009B6EB7">
        <w:rPr>
          <w:rFonts w:ascii="Arial" w:hAnsi="Arial" w:cs="Arial"/>
          <w:sz w:val="24"/>
          <w:szCs w:val="24"/>
        </w:rPr>
        <w:t xml:space="preserve"> nothing whatsoever to do with Chemtec</w:t>
      </w:r>
      <w:r w:rsidR="0064573A" w:rsidRPr="009B6EB7">
        <w:rPr>
          <w:rFonts w:ascii="Arial" w:hAnsi="Arial" w:cs="Arial"/>
          <w:sz w:val="24"/>
          <w:szCs w:val="24"/>
        </w:rPr>
        <w:t>.</w:t>
      </w:r>
    </w:p>
    <w:p w14:paraId="27263472" w14:textId="77777777" w:rsidR="00147E19" w:rsidRPr="00031FFC" w:rsidRDefault="00147E19" w:rsidP="00147E19">
      <w:pPr>
        <w:pStyle w:val="ListParagraph"/>
        <w:rPr>
          <w:rFonts w:ascii="Arial" w:hAnsi="Arial" w:cs="Arial"/>
          <w:sz w:val="24"/>
          <w:szCs w:val="24"/>
        </w:rPr>
      </w:pPr>
    </w:p>
    <w:p w14:paraId="7FB6C503" w14:textId="77777777" w:rsidR="00147E19" w:rsidRPr="00031FFC" w:rsidRDefault="00147E19" w:rsidP="00147E19">
      <w:pPr>
        <w:pStyle w:val="ListParagraph"/>
        <w:rPr>
          <w:rFonts w:ascii="Arial" w:hAnsi="Arial" w:cs="Arial"/>
          <w:i/>
          <w:iCs/>
          <w:sz w:val="24"/>
          <w:szCs w:val="24"/>
        </w:rPr>
      </w:pPr>
    </w:p>
    <w:p w14:paraId="21B10EDC" w14:textId="77777777" w:rsidR="00147E19" w:rsidRPr="00031FFC" w:rsidRDefault="0064573A" w:rsidP="00147E19">
      <w:pPr>
        <w:pStyle w:val="ListParagraph"/>
        <w:spacing w:line="360" w:lineRule="auto"/>
        <w:ind w:left="0"/>
        <w:jc w:val="both"/>
        <w:rPr>
          <w:rFonts w:ascii="Arial" w:hAnsi="Arial" w:cs="Arial"/>
          <w:sz w:val="24"/>
          <w:szCs w:val="24"/>
        </w:rPr>
      </w:pPr>
      <w:r w:rsidRPr="00031FFC">
        <w:rPr>
          <w:rFonts w:ascii="Arial" w:hAnsi="Arial" w:cs="Arial"/>
          <w:i/>
          <w:iCs/>
          <w:sz w:val="24"/>
          <w:szCs w:val="24"/>
        </w:rPr>
        <w:t>The appellants’ reply</w:t>
      </w:r>
    </w:p>
    <w:p w14:paraId="2093D0AF" w14:textId="77777777" w:rsidR="00147E19" w:rsidRPr="00031FFC" w:rsidRDefault="00147E19" w:rsidP="00147E19">
      <w:pPr>
        <w:pStyle w:val="ListParagraph"/>
        <w:rPr>
          <w:rFonts w:ascii="Arial" w:hAnsi="Arial" w:cs="Arial"/>
          <w:sz w:val="24"/>
          <w:szCs w:val="24"/>
        </w:rPr>
      </w:pPr>
    </w:p>
    <w:p w14:paraId="61B99D58" w14:textId="58A2A539"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[20]</w:t>
      </w:r>
      <w:r w:rsidRPr="00031FFC">
        <w:rPr>
          <w:rFonts w:ascii="Arial" w:hAnsi="Arial" w:cs="Arial"/>
          <w:sz w:val="24"/>
          <w:szCs w:val="24"/>
        </w:rPr>
        <w:tab/>
      </w:r>
      <w:r w:rsidR="0064573A" w:rsidRPr="009B6EB7">
        <w:rPr>
          <w:rFonts w:ascii="Arial" w:hAnsi="Arial" w:cs="Arial"/>
          <w:sz w:val="24"/>
          <w:szCs w:val="24"/>
        </w:rPr>
        <w:t xml:space="preserve">In reply, </w:t>
      </w:r>
      <w:r w:rsidR="00C94668" w:rsidRPr="009B6EB7">
        <w:rPr>
          <w:rFonts w:ascii="Arial" w:hAnsi="Arial" w:cs="Arial"/>
          <w:sz w:val="24"/>
          <w:szCs w:val="24"/>
        </w:rPr>
        <w:t xml:space="preserve">the second appellant denies that the </w:t>
      </w:r>
      <w:r w:rsidR="00073438" w:rsidRPr="009B6EB7">
        <w:rPr>
          <w:rFonts w:ascii="Arial" w:hAnsi="Arial" w:cs="Arial"/>
          <w:sz w:val="24"/>
          <w:szCs w:val="24"/>
        </w:rPr>
        <w:t>supply of hygiene equipment and consumables constitutes a small fraction of its business, indicating that it affects 24% of its customer base and translates into significant turnover for Chemex.</w:t>
      </w:r>
      <w:r w:rsidR="00245B28" w:rsidRPr="009B6EB7">
        <w:rPr>
          <w:rFonts w:ascii="Arial" w:hAnsi="Arial" w:cs="Arial"/>
          <w:sz w:val="24"/>
          <w:szCs w:val="24"/>
        </w:rPr>
        <w:t xml:space="preserve"> To that effect, he indicates that the retail of hand soap and related cleaning consumables constitutes approximately 25% of Chemex’s annual turnover; the retail of paper products contributes a further 20% thereto.</w:t>
      </w:r>
    </w:p>
    <w:p w14:paraId="28D615A8" w14:textId="77777777" w:rsidR="00147E19" w:rsidRPr="00031FFC" w:rsidRDefault="00147E19" w:rsidP="00147E19">
      <w:pPr>
        <w:pStyle w:val="ListParagraph"/>
        <w:spacing w:line="360" w:lineRule="auto"/>
        <w:ind w:left="0"/>
        <w:jc w:val="both"/>
        <w:rPr>
          <w:rFonts w:ascii="Arial" w:hAnsi="Arial" w:cs="Arial"/>
          <w:sz w:val="24"/>
          <w:szCs w:val="24"/>
        </w:rPr>
      </w:pPr>
    </w:p>
    <w:p w14:paraId="38099BF5" w14:textId="40D0038F" w:rsidR="00147E19" w:rsidRPr="009B6EB7" w:rsidRDefault="009B6EB7" w:rsidP="009B6EB7">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84B93" w:rsidRPr="009B6EB7">
        <w:rPr>
          <w:rFonts w:ascii="Arial" w:hAnsi="Arial" w:cs="Arial"/>
          <w:sz w:val="24"/>
          <w:szCs w:val="24"/>
        </w:rPr>
        <w:t>Regarding</w:t>
      </w:r>
      <w:r w:rsidR="00073438" w:rsidRPr="009B6EB7">
        <w:rPr>
          <w:rFonts w:ascii="Arial" w:hAnsi="Arial" w:cs="Arial"/>
          <w:sz w:val="24"/>
          <w:szCs w:val="24"/>
        </w:rPr>
        <w:t xml:space="preserve"> the Kat Leisure Hotel Group, the second appellant points out that Mr Guest </w:t>
      </w:r>
      <w:r w:rsidR="00C84B93" w:rsidRPr="009B6EB7">
        <w:rPr>
          <w:rFonts w:ascii="Arial" w:hAnsi="Arial" w:cs="Arial"/>
          <w:sz w:val="24"/>
          <w:szCs w:val="24"/>
        </w:rPr>
        <w:t xml:space="preserve">initially </w:t>
      </w:r>
      <w:r w:rsidR="00073438" w:rsidRPr="009B6EB7">
        <w:rPr>
          <w:rFonts w:ascii="Arial" w:hAnsi="Arial" w:cs="Arial"/>
          <w:sz w:val="24"/>
          <w:szCs w:val="24"/>
        </w:rPr>
        <w:t xml:space="preserve">established and maintained </w:t>
      </w:r>
      <w:r w:rsidR="00C84B93" w:rsidRPr="009B6EB7">
        <w:rPr>
          <w:rFonts w:ascii="Arial" w:hAnsi="Arial" w:cs="Arial"/>
          <w:sz w:val="24"/>
          <w:szCs w:val="24"/>
        </w:rPr>
        <w:t>a</w:t>
      </w:r>
      <w:r w:rsidR="00073438" w:rsidRPr="009B6EB7">
        <w:rPr>
          <w:rFonts w:ascii="Arial" w:hAnsi="Arial" w:cs="Arial"/>
          <w:sz w:val="24"/>
          <w:szCs w:val="24"/>
        </w:rPr>
        <w:t xml:space="preserve"> </w:t>
      </w:r>
      <w:r w:rsidR="00C84B93" w:rsidRPr="009B6EB7">
        <w:rPr>
          <w:rFonts w:ascii="Arial" w:hAnsi="Arial" w:cs="Arial"/>
          <w:sz w:val="24"/>
          <w:szCs w:val="24"/>
        </w:rPr>
        <w:t xml:space="preserve">customer </w:t>
      </w:r>
      <w:r w:rsidR="00073438" w:rsidRPr="009B6EB7">
        <w:rPr>
          <w:rFonts w:ascii="Arial" w:hAnsi="Arial" w:cs="Arial"/>
          <w:sz w:val="24"/>
          <w:szCs w:val="24"/>
        </w:rPr>
        <w:t>relationship</w:t>
      </w:r>
      <w:r w:rsidR="00C84B93" w:rsidRPr="009B6EB7">
        <w:rPr>
          <w:rFonts w:ascii="Arial" w:hAnsi="Arial" w:cs="Arial"/>
          <w:sz w:val="24"/>
          <w:szCs w:val="24"/>
        </w:rPr>
        <w:t xml:space="preserve"> on behalf of Chemex. After Red Alert’s employment of Mr Guest, the Group switched suppliers with the result that Chemex lost a major customer.</w:t>
      </w:r>
    </w:p>
    <w:p w14:paraId="63B0DC3F" w14:textId="77777777" w:rsidR="002E36CB" w:rsidRPr="002E36CB" w:rsidRDefault="002E36CB" w:rsidP="002E36CB">
      <w:pPr>
        <w:pStyle w:val="ListParagraph"/>
        <w:rPr>
          <w:rFonts w:ascii="Arial" w:hAnsi="Arial" w:cs="Arial"/>
          <w:sz w:val="24"/>
          <w:szCs w:val="24"/>
        </w:rPr>
      </w:pPr>
    </w:p>
    <w:p w14:paraId="12FE395A" w14:textId="2F5EA77C"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[22]</w:t>
      </w:r>
      <w:r w:rsidRPr="00031FFC">
        <w:rPr>
          <w:rFonts w:ascii="Arial" w:hAnsi="Arial" w:cs="Arial"/>
          <w:sz w:val="24"/>
          <w:szCs w:val="24"/>
        </w:rPr>
        <w:tab/>
      </w:r>
      <w:r w:rsidR="0058334E" w:rsidRPr="009B6EB7">
        <w:rPr>
          <w:rFonts w:ascii="Arial" w:hAnsi="Arial" w:cs="Arial"/>
          <w:sz w:val="24"/>
          <w:szCs w:val="24"/>
        </w:rPr>
        <w:t>The second appellant draws attention to the timeline of events, indicating that Mr Guest</w:t>
      </w:r>
      <w:r w:rsidR="00875F1B" w:rsidRPr="009B6EB7">
        <w:rPr>
          <w:rFonts w:ascii="Arial" w:hAnsi="Arial" w:cs="Arial"/>
          <w:sz w:val="24"/>
          <w:szCs w:val="24"/>
        </w:rPr>
        <w:t>’s departure from Chemex and reports of his involvement with Red Alert in the manufacture of chemicals and consumables for retail coincided with the establishment of Chemtec</w:t>
      </w:r>
      <w:r w:rsidR="00D44B0A" w:rsidRPr="009B6EB7">
        <w:rPr>
          <w:rFonts w:ascii="Arial" w:hAnsi="Arial" w:cs="Arial"/>
          <w:sz w:val="24"/>
          <w:szCs w:val="24"/>
        </w:rPr>
        <w:t>, in relation to which Mr Guest’s son has become a shareholder.</w:t>
      </w:r>
      <w:r w:rsidR="001A619F" w:rsidRPr="009B6EB7">
        <w:rPr>
          <w:rFonts w:ascii="Arial" w:hAnsi="Arial" w:cs="Arial"/>
          <w:sz w:val="24"/>
          <w:szCs w:val="24"/>
        </w:rPr>
        <w:t xml:space="preserve"> Red Alert, argues the second appellant, needed Mr Guest for </w:t>
      </w:r>
      <w:r w:rsidR="00D44B0A" w:rsidRPr="009B6EB7">
        <w:rPr>
          <w:rFonts w:ascii="Arial" w:hAnsi="Arial" w:cs="Arial"/>
          <w:sz w:val="24"/>
          <w:szCs w:val="24"/>
        </w:rPr>
        <w:t xml:space="preserve">the </w:t>
      </w:r>
      <w:r w:rsidR="001A619F" w:rsidRPr="009B6EB7">
        <w:rPr>
          <w:rFonts w:ascii="Arial" w:hAnsi="Arial" w:cs="Arial"/>
          <w:sz w:val="24"/>
          <w:szCs w:val="24"/>
        </w:rPr>
        <w:t>new business development</w:t>
      </w:r>
      <w:r w:rsidR="00D44B0A" w:rsidRPr="009B6EB7">
        <w:rPr>
          <w:rFonts w:ascii="Arial" w:hAnsi="Arial" w:cs="Arial"/>
          <w:sz w:val="24"/>
          <w:szCs w:val="24"/>
        </w:rPr>
        <w:t xml:space="preserve"> in </w:t>
      </w:r>
      <w:r w:rsidR="00D44B0A" w:rsidRPr="009B6EB7">
        <w:rPr>
          <w:rFonts w:ascii="Arial" w:hAnsi="Arial" w:cs="Arial"/>
          <w:sz w:val="24"/>
          <w:szCs w:val="24"/>
        </w:rPr>
        <w:lastRenderedPageBreak/>
        <w:t>question.</w:t>
      </w:r>
      <w:r w:rsidR="001A619F" w:rsidRPr="009B6EB7">
        <w:rPr>
          <w:rFonts w:ascii="Arial" w:hAnsi="Arial" w:cs="Arial"/>
          <w:sz w:val="24"/>
          <w:szCs w:val="24"/>
        </w:rPr>
        <w:t xml:space="preserve"> Moreover, he points out that Mr Guest’s knowledge of Chemex’s prices and profit margins will most certainly be advantageous to Red Alert </w:t>
      </w:r>
      <w:r w:rsidR="00D44B0A" w:rsidRPr="009B6EB7">
        <w:rPr>
          <w:rFonts w:ascii="Arial" w:hAnsi="Arial" w:cs="Arial"/>
          <w:sz w:val="24"/>
          <w:szCs w:val="24"/>
        </w:rPr>
        <w:t xml:space="preserve">for purposes of </w:t>
      </w:r>
      <w:r w:rsidR="001A619F" w:rsidRPr="009B6EB7">
        <w:rPr>
          <w:rFonts w:ascii="Arial" w:hAnsi="Arial" w:cs="Arial"/>
          <w:sz w:val="24"/>
          <w:szCs w:val="24"/>
        </w:rPr>
        <w:t>any attempt to persuade customers to switch suppliers.</w:t>
      </w:r>
    </w:p>
    <w:p w14:paraId="3DEAEAB7" w14:textId="77777777" w:rsidR="00147E19" w:rsidRPr="00031FFC" w:rsidRDefault="00147E19" w:rsidP="00147E19">
      <w:pPr>
        <w:pStyle w:val="ListParagraph"/>
        <w:rPr>
          <w:rFonts w:ascii="Arial" w:hAnsi="Arial" w:cs="Arial"/>
          <w:sz w:val="24"/>
          <w:szCs w:val="24"/>
        </w:rPr>
      </w:pPr>
    </w:p>
    <w:p w14:paraId="783B5115" w14:textId="77777777" w:rsidR="00147E19" w:rsidRPr="00031FFC" w:rsidRDefault="00147E19" w:rsidP="00147E19">
      <w:pPr>
        <w:pStyle w:val="ListParagraph"/>
        <w:rPr>
          <w:rFonts w:ascii="Arial" w:hAnsi="Arial" w:cs="Arial"/>
          <w:b/>
          <w:bCs/>
          <w:sz w:val="24"/>
          <w:szCs w:val="24"/>
        </w:rPr>
      </w:pPr>
    </w:p>
    <w:p w14:paraId="16A29455" w14:textId="77777777" w:rsidR="00147E19" w:rsidRPr="00031FFC" w:rsidRDefault="00985CBA" w:rsidP="00147E19">
      <w:pPr>
        <w:pStyle w:val="ListParagraph"/>
        <w:spacing w:line="360" w:lineRule="auto"/>
        <w:ind w:left="0"/>
        <w:jc w:val="both"/>
        <w:rPr>
          <w:rFonts w:ascii="Arial" w:hAnsi="Arial" w:cs="Arial"/>
          <w:sz w:val="24"/>
          <w:szCs w:val="24"/>
        </w:rPr>
      </w:pPr>
      <w:r w:rsidRPr="00031FFC">
        <w:rPr>
          <w:rFonts w:ascii="Arial" w:hAnsi="Arial" w:cs="Arial"/>
          <w:b/>
          <w:bCs/>
          <w:sz w:val="24"/>
          <w:szCs w:val="24"/>
        </w:rPr>
        <w:t>The findings</w:t>
      </w:r>
      <w:r w:rsidR="0011313E" w:rsidRPr="00031FFC">
        <w:rPr>
          <w:rFonts w:ascii="Arial" w:hAnsi="Arial" w:cs="Arial"/>
          <w:b/>
          <w:bCs/>
          <w:sz w:val="24"/>
          <w:szCs w:val="24"/>
        </w:rPr>
        <w:t xml:space="preserve"> of the court </w:t>
      </w:r>
      <w:r w:rsidR="0011313E" w:rsidRPr="00031FFC">
        <w:rPr>
          <w:rFonts w:ascii="Arial" w:hAnsi="Arial" w:cs="Arial"/>
          <w:b/>
          <w:bCs/>
          <w:i/>
          <w:iCs/>
          <w:sz w:val="24"/>
          <w:szCs w:val="24"/>
        </w:rPr>
        <w:t>a quo</w:t>
      </w:r>
    </w:p>
    <w:p w14:paraId="76214489" w14:textId="77777777" w:rsidR="00147E19" w:rsidRPr="00031FFC" w:rsidRDefault="00147E19" w:rsidP="00147E19">
      <w:pPr>
        <w:pStyle w:val="ListParagraph"/>
        <w:rPr>
          <w:rFonts w:ascii="Arial" w:hAnsi="Arial" w:cs="Arial"/>
          <w:sz w:val="24"/>
          <w:szCs w:val="24"/>
        </w:rPr>
      </w:pPr>
    </w:p>
    <w:p w14:paraId="754F3CCB" w14:textId="3498C74A"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[23]</w:t>
      </w:r>
      <w:r w:rsidRPr="00031FFC">
        <w:rPr>
          <w:rFonts w:ascii="Arial" w:hAnsi="Arial" w:cs="Arial"/>
          <w:sz w:val="24"/>
          <w:szCs w:val="24"/>
        </w:rPr>
        <w:tab/>
      </w:r>
      <w:r w:rsidR="00985CBA" w:rsidRPr="009B6EB7">
        <w:rPr>
          <w:rFonts w:ascii="Arial" w:hAnsi="Arial" w:cs="Arial"/>
          <w:sz w:val="24"/>
          <w:szCs w:val="24"/>
        </w:rPr>
        <w:t xml:space="preserve">In the court </w:t>
      </w:r>
      <w:r w:rsidR="00985CBA" w:rsidRPr="009B6EB7">
        <w:rPr>
          <w:rFonts w:ascii="Arial" w:hAnsi="Arial" w:cs="Arial"/>
          <w:i/>
          <w:iCs/>
          <w:sz w:val="24"/>
          <w:szCs w:val="24"/>
        </w:rPr>
        <w:t>a quo</w:t>
      </w:r>
      <w:r w:rsidR="00985CBA" w:rsidRPr="009B6EB7">
        <w:rPr>
          <w:rFonts w:ascii="Arial" w:hAnsi="Arial" w:cs="Arial"/>
          <w:sz w:val="24"/>
          <w:szCs w:val="24"/>
        </w:rPr>
        <w:t xml:space="preserve">, the issues were reduced to the following: whether Chemex and Red Alert conduct similar business; </w:t>
      </w:r>
      <w:r w:rsidR="00C973CB" w:rsidRPr="009B6EB7">
        <w:rPr>
          <w:rFonts w:ascii="Arial" w:hAnsi="Arial" w:cs="Arial"/>
          <w:sz w:val="24"/>
          <w:szCs w:val="24"/>
        </w:rPr>
        <w:t>whether ‘engaged’, as used in the restraint of trade clause, can be interpreted to mean</w:t>
      </w:r>
      <w:r w:rsidR="0011313E" w:rsidRPr="009B6EB7">
        <w:rPr>
          <w:rFonts w:ascii="Arial" w:hAnsi="Arial" w:cs="Arial"/>
          <w:sz w:val="24"/>
          <w:szCs w:val="24"/>
        </w:rPr>
        <w:t xml:space="preserve"> ‘employed’; and whether a case had been made for the granting of a final interdict against the respondents.</w:t>
      </w:r>
    </w:p>
    <w:p w14:paraId="7BDC2FDA" w14:textId="77777777" w:rsidR="00147E19" w:rsidRPr="00031FFC" w:rsidRDefault="00147E19" w:rsidP="00147E19">
      <w:pPr>
        <w:pStyle w:val="ListParagraph"/>
        <w:spacing w:line="360" w:lineRule="auto"/>
        <w:ind w:left="0"/>
        <w:jc w:val="both"/>
        <w:rPr>
          <w:rFonts w:ascii="Arial" w:hAnsi="Arial" w:cs="Arial"/>
          <w:sz w:val="24"/>
          <w:szCs w:val="24"/>
        </w:rPr>
      </w:pPr>
    </w:p>
    <w:p w14:paraId="4924C4FE" w14:textId="18ADA312" w:rsidR="00045987"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[24]</w:t>
      </w:r>
      <w:r w:rsidRPr="00031FFC">
        <w:rPr>
          <w:rFonts w:ascii="Arial" w:hAnsi="Arial" w:cs="Arial"/>
          <w:sz w:val="24"/>
          <w:szCs w:val="24"/>
        </w:rPr>
        <w:tab/>
      </w:r>
      <w:r w:rsidR="0011313E" w:rsidRPr="009B6EB7">
        <w:rPr>
          <w:rFonts w:ascii="Arial" w:hAnsi="Arial" w:cs="Arial"/>
          <w:sz w:val="24"/>
          <w:szCs w:val="24"/>
        </w:rPr>
        <w:t xml:space="preserve">The court </w:t>
      </w:r>
      <w:r w:rsidR="0011313E" w:rsidRPr="009B6EB7">
        <w:rPr>
          <w:rFonts w:ascii="Arial" w:hAnsi="Arial" w:cs="Arial"/>
          <w:i/>
          <w:iCs/>
          <w:sz w:val="24"/>
          <w:szCs w:val="24"/>
        </w:rPr>
        <w:t xml:space="preserve">a quo </w:t>
      </w:r>
      <w:r w:rsidR="0011313E" w:rsidRPr="009B6EB7">
        <w:rPr>
          <w:rFonts w:ascii="Arial" w:hAnsi="Arial" w:cs="Arial"/>
          <w:sz w:val="24"/>
          <w:szCs w:val="24"/>
        </w:rPr>
        <w:t xml:space="preserve">found that there was a dispute of fact in relation to the nature of the business conducted by the entities in question. </w:t>
      </w:r>
      <w:r w:rsidR="0086285F" w:rsidRPr="009B6EB7">
        <w:rPr>
          <w:rFonts w:ascii="Arial" w:hAnsi="Arial" w:cs="Arial"/>
          <w:sz w:val="24"/>
          <w:szCs w:val="24"/>
        </w:rPr>
        <w:t>It accepted the version presented by the respondents and held that, whereas the business</w:t>
      </w:r>
      <w:r w:rsidR="003615EB" w:rsidRPr="009B6EB7">
        <w:rPr>
          <w:rFonts w:ascii="Arial" w:hAnsi="Arial" w:cs="Arial"/>
          <w:sz w:val="24"/>
          <w:szCs w:val="24"/>
        </w:rPr>
        <w:t>es</w:t>
      </w:r>
      <w:r w:rsidR="0086285F" w:rsidRPr="009B6EB7">
        <w:rPr>
          <w:rFonts w:ascii="Arial" w:hAnsi="Arial" w:cs="Arial"/>
          <w:sz w:val="24"/>
          <w:szCs w:val="24"/>
        </w:rPr>
        <w:t xml:space="preserve"> may be similar, there were distinguishing features that permitted a finding that the entities did not operate in competition with each other.</w:t>
      </w:r>
      <w:r w:rsidR="00DF1786" w:rsidRPr="009B6EB7">
        <w:rPr>
          <w:rFonts w:ascii="Arial" w:hAnsi="Arial" w:cs="Arial"/>
          <w:sz w:val="24"/>
          <w:szCs w:val="24"/>
        </w:rPr>
        <w:t xml:space="preserve"> </w:t>
      </w:r>
      <w:r w:rsidR="003615EB" w:rsidRPr="009B6EB7">
        <w:rPr>
          <w:rFonts w:ascii="Arial" w:hAnsi="Arial" w:cs="Arial"/>
          <w:sz w:val="24"/>
          <w:szCs w:val="24"/>
        </w:rPr>
        <w:t>T</w:t>
      </w:r>
      <w:r w:rsidR="0086285F" w:rsidRPr="009B6EB7">
        <w:rPr>
          <w:rFonts w:ascii="Arial" w:hAnsi="Arial" w:cs="Arial"/>
          <w:sz w:val="24"/>
          <w:szCs w:val="24"/>
        </w:rPr>
        <w:t xml:space="preserve">he court </w:t>
      </w:r>
      <w:r w:rsidR="0086285F" w:rsidRPr="009B6EB7">
        <w:rPr>
          <w:rFonts w:ascii="Arial" w:hAnsi="Arial" w:cs="Arial"/>
          <w:i/>
          <w:iCs/>
          <w:sz w:val="24"/>
          <w:szCs w:val="24"/>
        </w:rPr>
        <w:t>a quo</w:t>
      </w:r>
      <w:r w:rsidR="0086285F" w:rsidRPr="009B6EB7">
        <w:rPr>
          <w:rFonts w:ascii="Arial" w:hAnsi="Arial" w:cs="Arial"/>
          <w:sz w:val="24"/>
          <w:szCs w:val="24"/>
        </w:rPr>
        <w:t xml:space="preserve"> held that ‘engaged’ could indeed be interpreted to mean ‘employed’</w:t>
      </w:r>
      <w:r w:rsidR="00C91F05" w:rsidRPr="009B6EB7">
        <w:rPr>
          <w:rFonts w:ascii="Arial" w:hAnsi="Arial" w:cs="Arial"/>
          <w:sz w:val="24"/>
          <w:szCs w:val="24"/>
        </w:rPr>
        <w:t>.</w:t>
      </w:r>
      <w:r w:rsidR="00C91F05" w:rsidRPr="00031FFC">
        <w:rPr>
          <w:rStyle w:val="FootnoteReference"/>
          <w:rFonts w:ascii="Arial" w:hAnsi="Arial" w:cs="Arial"/>
          <w:sz w:val="24"/>
          <w:szCs w:val="24"/>
        </w:rPr>
        <w:footnoteReference w:id="1"/>
      </w:r>
      <w:r w:rsidR="00C91F05" w:rsidRPr="009B6EB7">
        <w:rPr>
          <w:rFonts w:ascii="Arial" w:hAnsi="Arial" w:cs="Arial"/>
          <w:sz w:val="24"/>
          <w:szCs w:val="24"/>
        </w:rPr>
        <w:t xml:space="preserve"> </w:t>
      </w:r>
      <w:r w:rsidR="00DF1786" w:rsidRPr="009B6EB7">
        <w:rPr>
          <w:rFonts w:ascii="Arial" w:hAnsi="Arial" w:cs="Arial"/>
          <w:sz w:val="24"/>
          <w:szCs w:val="24"/>
        </w:rPr>
        <w:t xml:space="preserve">It found, too, that </w:t>
      </w:r>
      <w:r w:rsidR="003615EB" w:rsidRPr="009B6EB7">
        <w:rPr>
          <w:rFonts w:ascii="Arial" w:hAnsi="Arial" w:cs="Arial"/>
          <w:sz w:val="24"/>
          <w:szCs w:val="24"/>
        </w:rPr>
        <w:t xml:space="preserve">it was unnecessary for Red Alert to have been cited as a party to the proceedings inasmuch as it was not a party to the contract </w:t>
      </w:r>
      <w:r w:rsidR="00027988" w:rsidRPr="009B6EB7">
        <w:rPr>
          <w:rFonts w:ascii="Arial" w:hAnsi="Arial" w:cs="Arial"/>
          <w:sz w:val="24"/>
          <w:szCs w:val="24"/>
        </w:rPr>
        <w:t>which included the covenant in restraint of trade</w:t>
      </w:r>
      <w:r w:rsidR="003615EB" w:rsidRPr="009B6EB7">
        <w:rPr>
          <w:rFonts w:ascii="Arial" w:hAnsi="Arial" w:cs="Arial"/>
          <w:sz w:val="24"/>
          <w:szCs w:val="24"/>
        </w:rPr>
        <w:t xml:space="preserve">. Finally, it held that the requirements for a final interdict had not been met and dismissed </w:t>
      </w:r>
      <w:r w:rsidR="00381F68" w:rsidRPr="009B6EB7">
        <w:rPr>
          <w:rFonts w:ascii="Arial" w:hAnsi="Arial" w:cs="Arial"/>
          <w:sz w:val="24"/>
          <w:szCs w:val="24"/>
        </w:rPr>
        <w:t>the application with costs.</w:t>
      </w:r>
    </w:p>
    <w:p w14:paraId="22A6156C" w14:textId="77777777" w:rsidR="00045987" w:rsidRPr="00031FFC" w:rsidRDefault="00045987" w:rsidP="00045987">
      <w:pPr>
        <w:pStyle w:val="ListParagraph"/>
        <w:rPr>
          <w:rFonts w:ascii="Arial" w:hAnsi="Arial" w:cs="Arial"/>
          <w:sz w:val="24"/>
          <w:szCs w:val="24"/>
        </w:rPr>
      </w:pPr>
    </w:p>
    <w:p w14:paraId="58909F35" w14:textId="6A4FB8CD"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[25]</w:t>
      </w:r>
      <w:r w:rsidRPr="00031FFC">
        <w:rPr>
          <w:rFonts w:ascii="Arial" w:hAnsi="Arial" w:cs="Arial"/>
          <w:sz w:val="24"/>
          <w:szCs w:val="24"/>
        </w:rPr>
        <w:tab/>
      </w:r>
      <w:r w:rsidR="00381F68" w:rsidRPr="009B6EB7">
        <w:rPr>
          <w:rFonts w:ascii="Arial" w:hAnsi="Arial" w:cs="Arial"/>
          <w:sz w:val="24"/>
          <w:szCs w:val="24"/>
        </w:rPr>
        <w:t xml:space="preserve">The applicants (who are the appellants in the present matter) applied for leave to appeal. In granting leave, the court </w:t>
      </w:r>
      <w:r w:rsidR="00381F68" w:rsidRPr="009B6EB7">
        <w:rPr>
          <w:rFonts w:ascii="Arial" w:hAnsi="Arial" w:cs="Arial"/>
          <w:i/>
          <w:iCs/>
          <w:sz w:val="24"/>
          <w:szCs w:val="24"/>
        </w:rPr>
        <w:t>a quo</w:t>
      </w:r>
      <w:r w:rsidR="00381F68" w:rsidRPr="009B6EB7">
        <w:rPr>
          <w:rFonts w:ascii="Arial" w:hAnsi="Arial" w:cs="Arial"/>
          <w:sz w:val="24"/>
          <w:szCs w:val="24"/>
        </w:rPr>
        <w:t xml:space="preserve"> referred to its </w:t>
      </w:r>
      <w:r w:rsidR="009F4FB8" w:rsidRPr="009B6EB7">
        <w:rPr>
          <w:rFonts w:ascii="Arial" w:hAnsi="Arial" w:cs="Arial"/>
          <w:sz w:val="24"/>
          <w:szCs w:val="24"/>
        </w:rPr>
        <w:t>interpretation</w:t>
      </w:r>
      <w:r w:rsidR="00381F68" w:rsidRPr="009B6EB7">
        <w:rPr>
          <w:rFonts w:ascii="Arial" w:hAnsi="Arial" w:cs="Arial"/>
          <w:sz w:val="24"/>
          <w:szCs w:val="24"/>
        </w:rPr>
        <w:t xml:space="preserve"> o</w:t>
      </w:r>
      <w:r w:rsidR="009F4FB8" w:rsidRPr="009B6EB7">
        <w:rPr>
          <w:rFonts w:ascii="Arial" w:hAnsi="Arial" w:cs="Arial"/>
          <w:sz w:val="24"/>
          <w:szCs w:val="24"/>
        </w:rPr>
        <w:t>f</w:t>
      </w:r>
      <w:r w:rsidR="00381F68" w:rsidRPr="009B6EB7">
        <w:rPr>
          <w:rFonts w:ascii="Arial" w:hAnsi="Arial" w:cs="Arial"/>
          <w:sz w:val="24"/>
          <w:szCs w:val="24"/>
        </w:rPr>
        <w:t xml:space="preserve"> </w:t>
      </w:r>
      <w:r w:rsidR="00381F68" w:rsidRPr="009B6EB7">
        <w:rPr>
          <w:rFonts w:ascii="Arial" w:hAnsi="Arial" w:cs="Arial"/>
          <w:i/>
          <w:iCs/>
          <w:sz w:val="24"/>
          <w:szCs w:val="24"/>
        </w:rPr>
        <w:t xml:space="preserve">Kelly Group </w:t>
      </w:r>
      <w:r w:rsidR="009F4FB8" w:rsidRPr="009B6EB7">
        <w:rPr>
          <w:rFonts w:ascii="Arial" w:hAnsi="Arial" w:cs="Arial"/>
          <w:i/>
          <w:iCs/>
          <w:sz w:val="24"/>
          <w:szCs w:val="24"/>
        </w:rPr>
        <w:t>Ltd v Capazzoria</w:t>
      </w:r>
      <w:r w:rsidR="00C725D4" w:rsidRPr="00031FFC">
        <w:rPr>
          <w:rStyle w:val="FootnoteReference"/>
          <w:rFonts w:ascii="Arial" w:hAnsi="Arial" w:cs="Arial"/>
          <w:i/>
          <w:iCs/>
          <w:sz w:val="24"/>
          <w:szCs w:val="24"/>
        </w:rPr>
        <w:footnoteReference w:id="2"/>
      </w:r>
      <w:r w:rsidR="009F4FB8" w:rsidRPr="009B6EB7">
        <w:rPr>
          <w:rFonts w:ascii="Arial" w:hAnsi="Arial" w:cs="Arial"/>
          <w:sz w:val="24"/>
          <w:szCs w:val="24"/>
        </w:rPr>
        <w:t xml:space="preserve"> for purposes of deciding whether the entities in question conducted similar </w:t>
      </w:r>
      <w:r w:rsidR="009F4FB8" w:rsidRPr="009B6EB7">
        <w:rPr>
          <w:rFonts w:ascii="Arial" w:hAnsi="Arial" w:cs="Arial"/>
          <w:sz w:val="24"/>
          <w:szCs w:val="24"/>
        </w:rPr>
        <w:lastRenderedPageBreak/>
        <w:t>business and</w:t>
      </w:r>
      <w:r w:rsidR="004D5928" w:rsidRPr="009B6EB7">
        <w:rPr>
          <w:rFonts w:ascii="Arial" w:hAnsi="Arial" w:cs="Arial"/>
          <w:sz w:val="24"/>
          <w:szCs w:val="24"/>
        </w:rPr>
        <w:t xml:space="preserve"> mentioned </w:t>
      </w:r>
      <w:r w:rsidR="009F4FB8" w:rsidRPr="009B6EB7">
        <w:rPr>
          <w:rFonts w:ascii="Arial" w:hAnsi="Arial" w:cs="Arial"/>
          <w:sz w:val="24"/>
          <w:szCs w:val="24"/>
        </w:rPr>
        <w:t xml:space="preserve">the scarcity of authorities </w:t>
      </w:r>
      <w:r w:rsidR="004D5928" w:rsidRPr="009B6EB7">
        <w:rPr>
          <w:rFonts w:ascii="Arial" w:hAnsi="Arial" w:cs="Arial"/>
          <w:sz w:val="24"/>
          <w:szCs w:val="24"/>
        </w:rPr>
        <w:t>dealing with the same issue, indicating that it was persuaded that there was a reasonable prospect of success on appeal.</w:t>
      </w:r>
    </w:p>
    <w:p w14:paraId="3F389F54" w14:textId="77777777" w:rsidR="00147E19" w:rsidRPr="00031FFC" w:rsidRDefault="00147E19" w:rsidP="00147E19">
      <w:pPr>
        <w:pStyle w:val="ListParagraph"/>
        <w:spacing w:line="360" w:lineRule="auto"/>
        <w:ind w:left="0"/>
        <w:jc w:val="both"/>
        <w:rPr>
          <w:rFonts w:ascii="Arial" w:hAnsi="Arial" w:cs="Arial"/>
          <w:sz w:val="24"/>
          <w:szCs w:val="24"/>
        </w:rPr>
      </w:pPr>
    </w:p>
    <w:p w14:paraId="7A4522A4" w14:textId="72300426"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[26]</w:t>
      </w:r>
      <w:r w:rsidRPr="00031FFC">
        <w:rPr>
          <w:rFonts w:ascii="Arial" w:hAnsi="Arial" w:cs="Arial"/>
          <w:sz w:val="24"/>
          <w:szCs w:val="24"/>
        </w:rPr>
        <w:tab/>
      </w:r>
      <w:r w:rsidR="004D5928" w:rsidRPr="009B6EB7">
        <w:rPr>
          <w:rFonts w:ascii="Arial" w:hAnsi="Arial" w:cs="Arial"/>
          <w:sz w:val="24"/>
          <w:szCs w:val="24"/>
        </w:rPr>
        <w:t>The dispute is now the focus of the present court.</w:t>
      </w:r>
    </w:p>
    <w:p w14:paraId="494EF892" w14:textId="77777777" w:rsidR="00147E19" w:rsidRPr="00031FFC" w:rsidRDefault="00147E19" w:rsidP="00147E19">
      <w:pPr>
        <w:pStyle w:val="ListParagraph"/>
        <w:rPr>
          <w:rFonts w:ascii="Arial" w:hAnsi="Arial" w:cs="Arial"/>
          <w:sz w:val="24"/>
          <w:szCs w:val="24"/>
        </w:rPr>
      </w:pPr>
    </w:p>
    <w:p w14:paraId="75A2D0C7" w14:textId="77777777" w:rsidR="00147E19" w:rsidRPr="00031FFC" w:rsidRDefault="00147E19" w:rsidP="00147E19">
      <w:pPr>
        <w:pStyle w:val="ListParagraph"/>
        <w:rPr>
          <w:rFonts w:ascii="Arial" w:hAnsi="Arial" w:cs="Arial"/>
          <w:b/>
          <w:bCs/>
          <w:sz w:val="24"/>
          <w:szCs w:val="24"/>
        </w:rPr>
      </w:pPr>
    </w:p>
    <w:p w14:paraId="02305709" w14:textId="77777777" w:rsidR="00147E19" w:rsidRPr="00031FFC" w:rsidRDefault="007C796D" w:rsidP="00147E19">
      <w:pPr>
        <w:pStyle w:val="ListParagraph"/>
        <w:spacing w:line="360" w:lineRule="auto"/>
        <w:ind w:left="0"/>
        <w:jc w:val="both"/>
        <w:rPr>
          <w:rFonts w:ascii="Arial" w:hAnsi="Arial" w:cs="Arial"/>
          <w:sz w:val="24"/>
          <w:szCs w:val="24"/>
        </w:rPr>
      </w:pPr>
      <w:r w:rsidRPr="00031FFC">
        <w:rPr>
          <w:rFonts w:ascii="Arial" w:hAnsi="Arial" w:cs="Arial"/>
          <w:b/>
          <w:bCs/>
          <w:sz w:val="24"/>
          <w:szCs w:val="24"/>
        </w:rPr>
        <w:t>The issues to be decided</w:t>
      </w:r>
    </w:p>
    <w:p w14:paraId="1387A7C0" w14:textId="77777777" w:rsidR="00147E19" w:rsidRPr="00031FFC" w:rsidRDefault="00147E19" w:rsidP="00147E19">
      <w:pPr>
        <w:pStyle w:val="ListParagraph"/>
        <w:rPr>
          <w:rFonts w:ascii="Arial" w:hAnsi="Arial" w:cs="Arial"/>
          <w:sz w:val="24"/>
          <w:szCs w:val="24"/>
        </w:rPr>
      </w:pPr>
    </w:p>
    <w:p w14:paraId="563B1C0F" w14:textId="7E5E1C20"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[27]</w:t>
      </w:r>
      <w:r w:rsidRPr="00031FFC">
        <w:rPr>
          <w:rFonts w:ascii="Arial" w:hAnsi="Arial" w:cs="Arial"/>
          <w:sz w:val="24"/>
          <w:szCs w:val="24"/>
        </w:rPr>
        <w:tab/>
      </w:r>
      <w:r w:rsidR="00124A55" w:rsidRPr="009B6EB7">
        <w:rPr>
          <w:rFonts w:ascii="Arial" w:hAnsi="Arial" w:cs="Arial"/>
          <w:sz w:val="24"/>
          <w:szCs w:val="24"/>
        </w:rPr>
        <w:t xml:space="preserve">From the pleaded facts and the arguments presented by counsel for the respective parties, it is apparent that the issues </w:t>
      </w:r>
      <w:r w:rsidR="009718BE" w:rsidRPr="009B6EB7">
        <w:rPr>
          <w:rFonts w:ascii="Arial" w:hAnsi="Arial" w:cs="Arial"/>
          <w:sz w:val="24"/>
          <w:szCs w:val="24"/>
        </w:rPr>
        <w:t xml:space="preserve">identified in the court </w:t>
      </w:r>
      <w:r w:rsidR="009718BE" w:rsidRPr="009B6EB7">
        <w:rPr>
          <w:rFonts w:ascii="Arial" w:hAnsi="Arial" w:cs="Arial"/>
          <w:i/>
          <w:iCs/>
          <w:sz w:val="24"/>
          <w:szCs w:val="24"/>
        </w:rPr>
        <w:t>a quo</w:t>
      </w:r>
      <w:r w:rsidR="009718BE" w:rsidRPr="009B6EB7">
        <w:rPr>
          <w:rFonts w:ascii="Arial" w:hAnsi="Arial" w:cs="Arial"/>
          <w:sz w:val="24"/>
          <w:szCs w:val="24"/>
        </w:rPr>
        <w:t xml:space="preserve"> remain a useful guide to the way </w:t>
      </w:r>
      <w:r w:rsidR="001974F1" w:rsidRPr="009B6EB7">
        <w:rPr>
          <w:rFonts w:ascii="Arial" w:hAnsi="Arial" w:cs="Arial"/>
          <w:sz w:val="24"/>
          <w:szCs w:val="24"/>
        </w:rPr>
        <w:t xml:space="preserve">for </w:t>
      </w:r>
      <w:r w:rsidR="009718BE" w:rsidRPr="009B6EB7">
        <w:rPr>
          <w:rFonts w:ascii="Arial" w:hAnsi="Arial" w:cs="Arial"/>
          <w:sz w:val="24"/>
          <w:szCs w:val="24"/>
        </w:rPr>
        <w:t xml:space="preserve">the appeal court </w:t>
      </w:r>
      <w:r w:rsidR="001974F1" w:rsidRPr="009B6EB7">
        <w:rPr>
          <w:rFonts w:ascii="Arial" w:hAnsi="Arial" w:cs="Arial"/>
          <w:sz w:val="24"/>
          <w:szCs w:val="24"/>
        </w:rPr>
        <w:t>to</w:t>
      </w:r>
      <w:r w:rsidR="009718BE" w:rsidRPr="009B6EB7">
        <w:rPr>
          <w:rFonts w:ascii="Arial" w:hAnsi="Arial" w:cs="Arial"/>
          <w:sz w:val="24"/>
          <w:szCs w:val="24"/>
        </w:rPr>
        <w:t xml:space="preserve"> embark upon a </w:t>
      </w:r>
      <w:r w:rsidR="00124A55" w:rsidRPr="009B6EB7">
        <w:rPr>
          <w:rFonts w:ascii="Arial" w:hAnsi="Arial" w:cs="Arial"/>
          <w:sz w:val="24"/>
          <w:szCs w:val="24"/>
        </w:rPr>
        <w:t>determination</w:t>
      </w:r>
      <w:r w:rsidR="009718BE" w:rsidRPr="009B6EB7">
        <w:rPr>
          <w:rFonts w:ascii="Arial" w:hAnsi="Arial" w:cs="Arial"/>
          <w:sz w:val="24"/>
          <w:szCs w:val="24"/>
        </w:rPr>
        <w:t xml:space="preserve"> of the matter. A key feature </w:t>
      </w:r>
      <w:r w:rsidR="00BB4327" w:rsidRPr="009B6EB7">
        <w:rPr>
          <w:rFonts w:ascii="Arial" w:hAnsi="Arial" w:cs="Arial"/>
          <w:sz w:val="24"/>
          <w:szCs w:val="24"/>
        </w:rPr>
        <w:t xml:space="preserve">that emerges </w:t>
      </w:r>
      <w:r w:rsidR="009718BE" w:rsidRPr="009B6EB7">
        <w:rPr>
          <w:rFonts w:ascii="Arial" w:hAnsi="Arial" w:cs="Arial"/>
          <w:sz w:val="24"/>
          <w:szCs w:val="24"/>
        </w:rPr>
        <w:t xml:space="preserve">is the </w:t>
      </w:r>
      <w:r w:rsidR="00BB4327" w:rsidRPr="009B6EB7">
        <w:rPr>
          <w:rFonts w:ascii="Arial" w:hAnsi="Arial" w:cs="Arial"/>
          <w:sz w:val="24"/>
          <w:szCs w:val="24"/>
        </w:rPr>
        <w:t xml:space="preserve">extent to which the business of Chemex is </w:t>
      </w:r>
      <w:r w:rsidR="001974F1" w:rsidRPr="009B6EB7">
        <w:rPr>
          <w:rFonts w:ascii="Arial" w:hAnsi="Arial" w:cs="Arial"/>
          <w:sz w:val="24"/>
          <w:szCs w:val="24"/>
        </w:rPr>
        <w:t>like</w:t>
      </w:r>
      <w:r w:rsidR="00BB4327" w:rsidRPr="009B6EB7">
        <w:rPr>
          <w:rFonts w:ascii="Arial" w:hAnsi="Arial" w:cs="Arial"/>
          <w:sz w:val="24"/>
          <w:szCs w:val="24"/>
        </w:rPr>
        <w:t xml:space="preserve"> that of Red Alert. The other major feature is whether the appellants have made a case for the granting of a final interdict.</w:t>
      </w:r>
    </w:p>
    <w:p w14:paraId="34B05BD8" w14:textId="77777777" w:rsidR="003201FD" w:rsidRPr="00031FFC" w:rsidRDefault="003201FD" w:rsidP="003201FD">
      <w:pPr>
        <w:pStyle w:val="ListParagraph"/>
        <w:spacing w:line="360" w:lineRule="auto"/>
        <w:ind w:left="0"/>
        <w:jc w:val="both"/>
        <w:rPr>
          <w:rFonts w:ascii="Arial" w:hAnsi="Arial" w:cs="Arial"/>
          <w:sz w:val="24"/>
          <w:szCs w:val="24"/>
        </w:rPr>
      </w:pPr>
    </w:p>
    <w:p w14:paraId="6CC032A0" w14:textId="009CF809" w:rsidR="003201FD"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[28]</w:t>
      </w:r>
      <w:r w:rsidRPr="00031FFC">
        <w:rPr>
          <w:rFonts w:ascii="Arial" w:hAnsi="Arial" w:cs="Arial"/>
          <w:sz w:val="24"/>
          <w:szCs w:val="24"/>
        </w:rPr>
        <w:tab/>
      </w:r>
      <w:r w:rsidR="00027988" w:rsidRPr="009B6EB7">
        <w:rPr>
          <w:rFonts w:ascii="Arial" w:hAnsi="Arial" w:cs="Arial"/>
          <w:sz w:val="24"/>
          <w:szCs w:val="24"/>
        </w:rPr>
        <w:t>I pause</w:t>
      </w:r>
      <w:r w:rsidR="003201FD" w:rsidRPr="009B6EB7">
        <w:rPr>
          <w:rFonts w:ascii="Arial" w:hAnsi="Arial" w:cs="Arial"/>
          <w:sz w:val="24"/>
          <w:szCs w:val="24"/>
        </w:rPr>
        <w:t xml:space="preserve"> to mention that the respondents have not challenge</w:t>
      </w:r>
      <w:r w:rsidR="008E285F" w:rsidRPr="009B6EB7">
        <w:rPr>
          <w:rFonts w:ascii="Arial" w:hAnsi="Arial" w:cs="Arial"/>
          <w:sz w:val="24"/>
          <w:szCs w:val="24"/>
        </w:rPr>
        <w:t>d</w:t>
      </w:r>
      <w:r w:rsidR="003201FD" w:rsidRPr="009B6EB7">
        <w:rPr>
          <w:rFonts w:ascii="Arial" w:hAnsi="Arial" w:cs="Arial"/>
          <w:sz w:val="24"/>
          <w:szCs w:val="24"/>
        </w:rPr>
        <w:t xml:space="preserve"> the reasonableness of the </w:t>
      </w:r>
      <w:r w:rsidR="00027988" w:rsidRPr="009B6EB7">
        <w:rPr>
          <w:rFonts w:ascii="Arial" w:hAnsi="Arial" w:cs="Arial"/>
          <w:sz w:val="24"/>
          <w:szCs w:val="24"/>
        </w:rPr>
        <w:t xml:space="preserve">covenant in </w:t>
      </w:r>
      <w:r w:rsidR="003201FD" w:rsidRPr="009B6EB7">
        <w:rPr>
          <w:rFonts w:ascii="Arial" w:hAnsi="Arial" w:cs="Arial"/>
          <w:sz w:val="24"/>
          <w:szCs w:val="24"/>
        </w:rPr>
        <w:t>restraint of trade</w:t>
      </w:r>
      <w:r w:rsidR="00027988" w:rsidRPr="009B6EB7">
        <w:rPr>
          <w:rFonts w:ascii="Arial" w:hAnsi="Arial" w:cs="Arial"/>
          <w:sz w:val="24"/>
          <w:szCs w:val="24"/>
        </w:rPr>
        <w:t xml:space="preserve"> nor its enforceabillity</w:t>
      </w:r>
      <w:r w:rsidR="003201FD" w:rsidRPr="009B6EB7">
        <w:rPr>
          <w:rFonts w:ascii="Arial" w:hAnsi="Arial" w:cs="Arial"/>
          <w:sz w:val="24"/>
          <w:szCs w:val="24"/>
        </w:rPr>
        <w:t xml:space="preserve">. They do not argue that it is contrary to public policy or the public interest. </w:t>
      </w:r>
    </w:p>
    <w:p w14:paraId="24631711" w14:textId="77777777" w:rsidR="00147E19" w:rsidRPr="00031FFC" w:rsidRDefault="00147E19" w:rsidP="00147E19">
      <w:pPr>
        <w:pStyle w:val="ListParagraph"/>
        <w:spacing w:line="360" w:lineRule="auto"/>
        <w:ind w:left="0"/>
        <w:jc w:val="both"/>
        <w:rPr>
          <w:rFonts w:ascii="Arial" w:hAnsi="Arial" w:cs="Arial"/>
          <w:sz w:val="24"/>
          <w:szCs w:val="24"/>
        </w:rPr>
      </w:pPr>
    </w:p>
    <w:p w14:paraId="0878B33B" w14:textId="07C6DFD2"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[29]</w:t>
      </w:r>
      <w:r w:rsidRPr="00031FFC">
        <w:rPr>
          <w:rFonts w:ascii="Arial" w:hAnsi="Arial" w:cs="Arial"/>
          <w:sz w:val="24"/>
          <w:szCs w:val="24"/>
        </w:rPr>
        <w:tab/>
      </w:r>
      <w:r w:rsidR="001974F1" w:rsidRPr="009B6EB7">
        <w:rPr>
          <w:rFonts w:ascii="Arial" w:hAnsi="Arial" w:cs="Arial"/>
          <w:sz w:val="24"/>
          <w:szCs w:val="24"/>
        </w:rPr>
        <w:t>Mindful of the above, t</w:t>
      </w:r>
      <w:r w:rsidR="00BB4327" w:rsidRPr="009B6EB7">
        <w:rPr>
          <w:rFonts w:ascii="Arial" w:hAnsi="Arial" w:cs="Arial"/>
          <w:sz w:val="24"/>
          <w:szCs w:val="24"/>
        </w:rPr>
        <w:t>he issues can</w:t>
      </w:r>
      <w:r w:rsidR="00636FFC" w:rsidRPr="009B6EB7">
        <w:rPr>
          <w:rFonts w:ascii="Arial" w:hAnsi="Arial" w:cs="Arial"/>
          <w:sz w:val="24"/>
          <w:szCs w:val="24"/>
        </w:rPr>
        <w:t xml:space="preserve"> </w:t>
      </w:r>
      <w:r w:rsidR="00BB4327" w:rsidRPr="009B6EB7">
        <w:rPr>
          <w:rFonts w:ascii="Arial" w:hAnsi="Arial" w:cs="Arial"/>
          <w:sz w:val="24"/>
          <w:szCs w:val="24"/>
        </w:rPr>
        <w:t xml:space="preserve">be refined and set out as follows: (a) what is the </w:t>
      </w:r>
      <w:r w:rsidR="001B02CE" w:rsidRPr="009B6EB7">
        <w:rPr>
          <w:rFonts w:ascii="Arial" w:hAnsi="Arial" w:cs="Arial"/>
          <w:sz w:val="24"/>
          <w:szCs w:val="24"/>
        </w:rPr>
        <w:t>restraint of trade that operates</w:t>
      </w:r>
      <w:r w:rsidR="009272C3" w:rsidRPr="009B6EB7">
        <w:rPr>
          <w:rFonts w:ascii="Arial" w:hAnsi="Arial" w:cs="Arial"/>
          <w:sz w:val="24"/>
          <w:szCs w:val="24"/>
        </w:rPr>
        <w:t xml:space="preserve"> and </w:t>
      </w:r>
      <w:r w:rsidR="001B02CE" w:rsidRPr="009B6EB7">
        <w:rPr>
          <w:rFonts w:ascii="Arial" w:hAnsi="Arial" w:cs="Arial"/>
          <w:sz w:val="24"/>
          <w:szCs w:val="24"/>
        </w:rPr>
        <w:t>how must it be interpreted; (</w:t>
      </w:r>
      <w:r w:rsidR="009272C3" w:rsidRPr="009B6EB7">
        <w:rPr>
          <w:rFonts w:ascii="Arial" w:hAnsi="Arial" w:cs="Arial"/>
          <w:sz w:val="24"/>
          <w:szCs w:val="24"/>
        </w:rPr>
        <w:t>b</w:t>
      </w:r>
      <w:r w:rsidR="001B02CE" w:rsidRPr="009B6EB7">
        <w:rPr>
          <w:rFonts w:ascii="Arial" w:hAnsi="Arial" w:cs="Arial"/>
          <w:sz w:val="24"/>
          <w:szCs w:val="24"/>
        </w:rPr>
        <w:t xml:space="preserve">) to what extent </w:t>
      </w:r>
      <w:r w:rsidR="00B873D5" w:rsidRPr="009B6EB7">
        <w:rPr>
          <w:rFonts w:ascii="Arial" w:hAnsi="Arial" w:cs="Arial"/>
          <w:sz w:val="24"/>
          <w:szCs w:val="24"/>
        </w:rPr>
        <w:t xml:space="preserve">are </w:t>
      </w:r>
      <w:r w:rsidR="001B02CE" w:rsidRPr="009B6EB7">
        <w:rPr>
          <w:rFonts w:ascii="Arial" w:hAnsi="Arial" w:cs="Arial"/>
          <w:sz w:val="24"/>
          <w:szCs w:val="24"/>
        </w:rPr>
        <w:t xml:space="preserve">the businesses of the entities in question similar; </w:t>
      </w:r>
      <w:r w:rsidR="00636FFC" w:rsidRPr="009B6EB7">
        <w:rPr>
          <w:rFonts w:ascii="Arial" w:hAnsi="Arial" w:cs="Arial"/>
          <w:sz w:val="24"/>
          <w:szCs w:val="24"/>
        </w:rPr>
        <w:t xml:space="preserve">and </w:t>
      </w:r>
      <w:r w:rsidR="001B02CE" w:rsidRPr="009B6EB7">
        <w:rPr>
          <w:rFonts w:ascii="Arial" w:hAnsi="Arial" w:cs="Arial"/>
          <w:sz w:val="24"/>
          <w:szCs w:val="24"/>
        </w:rPr>
        <w:t>(</w:t>
      </w:r>
      <w:r w:rsidR="009272C3" w:rsidRPr="009B6EB7">
        <w:rPr>
          <w:rFonts w:ascii="Arial" w:hAnsi="Arial" w:cs="Arial"/>
          <w:sz w:val="24"/>
          <w:szCs w:val="24"/>
        </w:rPr>
        <w:t>c</w:t>
      </w:r>
      <w:r w:rsidR="001B02CE" w:rsidRPr="009B6EB7">
        <w:rPr>
          <w:rFonts w:ascii="Arial" w:hAnsi="Arial" w:cs="Arial"/>
          <w:sz w:val="24"/>
          <w:szCs w:val="24"/>
        </w:rPr>
        <w:t xml:space="preserve">) </w:t>
      </w:r>
      <w:r w:rsidR="00E60BB0" w:rsidRPr="009B6EB7">
        <w:rPr>
          <w:rFonts w:ascii="Arial" w:hAnsi="Arial" w:cs="Arial"/>
          <w:sz w:val="24"/>
          <w:szCs w:val="24"/>
        </w:rPr>
        <w:t>have</w:t>
      </w:r>
      <w:r w:rsidR="001974F1" w:rsidRPr="009B6EB7">
        <w:rPr>
          <w:rFonts w:ascii="Arial" w:hAnsi="Arial" w:cs="Arial"/>
          <w:sz w:val="24"/>
          <w:szCs w:val="24"/>
        </w:rPr>
        <w:t xml:space="preserve"> the appellants satisfied the requirements for a final interdict against Mr Guest</w:t>
      </w:r>
      <w:r w:rsidR="00A51C6F" w:rsidRPr="009B6EB7">
        <w:rPr>
          <w:rFonts w:ascii="Arial" w:hAnsi="Arial" w:cs="Arial"/>
          <w:sz w:val="24"/>
          <w:szCs w:val="24"/>
        </w:rPr>
        <w:t xml:space="preserve"> and</w:t>
      </w:r>
      <w:r w:rsidR="001974F1" w:rsidRPr="009B6EB7">
        <w:rPr>
          <w:rFonts w:ascii="Arial" w:hAnsi="Arial" w:cs="Arial"/>
          <w:sz w:val="24"/>
          <w:szCs w:val="24"/>
        </w:rPr>
        <w:t xml:space="preserve"> Red Alert</w:t>
      </w:r>
      <w:r w:rsidR="00A51C6F" w:rsidRPr="009B6EB7">
        <w:rPr>
          <w:rFonts w:ascii="Arial" w:hAnsi="Arial" w:cs="Arial"/>
          <w:sz w:val="24"/>
          <w:szCs w:val="24"/>
        </w:rPr>
        <w:t>, respectively.</w:t>
      </w:r>
    </w:p>
    <w:p w14:paraId="19809FEC" w14:textId="77777777" w:rsidR="00147E19" w:rsidRPr="00031FFC" w:rsidRDefault="00147E19" w:rsidP="00147E19">
      <w:pPr>
        <w:pStyle w:val="ListParagraph"/>
        <w:rPr>
          <w:rFonts w:ascii="Arial" w:hAnsi="Arial" w:cs="Arial"/>
          <w:sz w:val="24"/>
          <w:szCs w:val="24"/>
        </w:rPr>
      </w:pPr>
    </w:p>
    <w:p w14:paraId="7683F121" w14:textId="64BB1E84"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[30]</w:t>
      </w:r>
      <w:r w:rsidRPr="00031FFC">
        <w:rPr>
          <w:rFonts w:ascii="Arial" w:hAnsi="Arial" w:cs="Arial"/>
          <w:sz w:val="24"/>
          <w:szCs w:val="24"/>
        </w:rPr>
        <w:tab/>
      </w:r>
      <w:r w:rsidR="001974F1" w:rsidRPr="009B6EB7">
        <w:rPr>
          <w:rFonts w:ascii="Arial" w:hAnsi="Arial" w:cs="Arial"/>
          <w:sz w:val="24"/>
          <w:szCs w:val="24"/>
        </w:rPr>
        <w:t xml:space="preserve">The </w:t>
      </w:r>
      <w:r w:rsidR="003F577C" w:rsidRPr="009B6EB7">
        <w:rPr>
          <w:rFonts w:ascii="Arial" w:hAnsi="Arial" w:cs="Arial"/>
          <w:sz w:val="24"/>
          <w:szCs w:val="24"/>
        </w:rPr>
        <w:t xml:space="preserve">earlier </w:t>
      </w:r>
      <w:r w:rsidR="001974F1" w:rsidRPr="009B6EB7">
        <w:rPr>
          <w:rFonts w:ascii="Arial" w:hAnsi="Arial" w:cs="Arial"/>
          <w:sz w:val="24"/>
          <w:szCs w:val="24"/>
        </w:rPr>
        <w:t xml:space="preserve">dispute in relation to </w:t>
      </w:r>
      <w:r w:rsidR="003F577C" w:rsidRPr="009B6EB7">
        <w:rPr>
          <w:rFonts w:ascii="Arial" w:hAnsi="Arial" w:cs="Arial"/>
          <w:sz w:val="24"/>
          <w:szCs w:val="24"/>
        </w:rPr>
        <w:t xml:space="preserve">the meaning of ‘engage’ </w:t>
      </w:r>
      <w:r w:rsidR="00015AED" w:rsidRPr="009B6EB7">
        <w:rPr>
          <w:rFonts w:ascii="Arial" w:hAnsi="Arial" w:cs="Arial"/>
          <w:sz w:val="24"/>
          <w:szCs w:val="24"/>
        </w:rPr>
        <w:t>within the context of the</w:t>
      </w:r>
      <w:r w:rsidR="00027988" w:rsidRPr="009B6EB7">
        <w:rPr>
          <w:rFonts w:ascii="Arial" w:hAnsi="Arial" w:cs="Arial"/>
          <w:sz w:val="24"/>
          <w:szCs w:val="24"/>
        </w:rPr>
        <w:t xml:space="preserve"> covenant in </w:t>
      </w:r>
      <w:r w:rsidR="00015AED" w:rsidRPr="009B6EB7">
        <w:rPr>
          <w:rFonts w:ascii="Arial" w:hAnsi="Arial" w:cs="Arial"/>
          <w:sz w:val="24"/>
          <w:szCs w:val="24"/>
        </w:rPr>
        <w:t xml:space="preserve">restraint of trade </w:t>
      </w:r>
      <w:r w:rsidR="003F577C" w:rsidRPr="009B6EB7">
        <w:rPr>
          <w:rFonts w:ascii="Arial" w:hAnsi="Arial" w:cs="Arial"/>
          <w:sz w:val="24"/>
          <w:szCs w:val="24"/>
        </w:rPr>
        <w:t xml:space="preserve">has fallen away. The finding of the court </w:t>
      </w:r>
      <w:r w:rsidR="003F577C" w:rsidRPr="009B6EB7">
        <w:rPr>
          <w:rFonts w:ascii="Arial" w:hAnsi="Arial" w:cs="Arial"/>
          <w:i/>
          <w:iCs/>
          <w:sz w:val="24"/>
          <w:szCs w:val="24"/>
        </w:rPr>
        <w:t>a quo</w:t>
      </w:r>
      <w:r w:rsidR="003F577C" w:rsidRPr="009B6EB7">
        <w:rPr>
          <w:rFonts w:ascii="Arial" w:hAnsi="Arial" w:cs="Arial"/>
          <w:sz w:val="24"/>
          <w:szCs w:val="24"/>
        </w:rPr>
        <w:t xml:space="preserve"> </w:t>
      </w:r>
      <w:r w:rsidR="00015AED" w:rsidRPr="009B6EB7">
        <w:rPr>
          <w:rFonts w:ascii="Arial" w:hAnsi="Arial" w:cs="Arial"/>
          <w:sz w:val="24"/>
          <w:szCs w:val="24"/>
        </w:rPr>
        <w:t xml:space="preserve">was </w:t>
      </w:r>
      <w:r w:rsidR="003F577C" w:rsidRPr="009B6EB7">
        <w:rPr>
          <w:rFonts w:ascii="Arial" w:hAnsi="Arial" w:cs="Arial"/>
          <w:sz w:val="24"/>
          <w:szCs w:val="24"/>
        </w:rPr>
        <w:t xml:space="preserve">to the effect that </w:t>
      </w:r>
      <w:bookmarkStart w:id="4" w:name="_Hlk114758256"/>
      <w:r w:rsidR="003F577C" w:rsidRPr="009B6EB7">
        <w:rPr>
          <w:rFonts w:ascii="Arial" w:hAnsi="Arial" w:cs="Arial"/>
          <w:sz w:val="24"/>
          <w:szCs w:val="24"/>
        </w:rPr>
        <w:t xml:space="preserve">it can be interpreted </w:t>
      </w:r>
      <w:r w:rsidR="00015AED" w:rsidRPr="009B6EB7">
        <w:rPr>
          <w:rFonts w:ascii="Arial" w:hAnsi="Arial" w:cs="Arial"/>
          <w:sz w:val="24"/>
          <w:szCs w:val="24"/>
        </w:rPr>
        <w:t>widely to</w:t>
      </w:r>
      <w:r w:rsidR="003F577C" w:rsidRPr="009B6EB7">
        <w:rPr>
          <w:rFonts w:ascii="Arial" w:hAnsi="Arial" w:cs="Arial"/>
          <w:sz w:val="24"/>
          <w:szCs w:val="24"/>
        </w:rPr>
        <w:t xml:space="preserve"> include</w:t>
      </w:r>
      <w:r w:rsidR="00015AED" w:rsidRPr="009B6EB7">
        <w:rPr>
          <w:rFonts w:ascii="Arial" w:hAnsi="Arial" w:cs="Arial"/>
          <w:sz w:val="24"/>
          <w:szCs w:val="24"/>
        </w:rPr>
        <w:t xml:space="preserve">, within the ambit of the restraint, the scenario where </w:t>
      </w:r>
      <w:r w:rsidR="003F577C" w:rsidRPr="009B6EB7">
        <w:rPr>
          <w:rFonts w:ascii="Arial" w:hAnsi="Arial" w:cs="Arial"/>
          <w:sz w:val="24"/>
          <w:szCs w:val="24"/>
        </w:rPr>
        <w:t>Mr Guest</w:t>
      </w:r>
      <w:r w:rsidR="00015AED" w:rsidRPr="009B6EB7">
        <w:rPr>
          <w:rFonts w:ascii="Arial" w:hAnsi="Arial" w:cs="Arial"/>
          <w:sz w:val="24"/>
          <w:szCs w:val="24"/>
        </w:rPr>
        <w:t xml:space="preserve"> is</w:t>
      </w:r>
      <w:r w:rsidR="003F577C" w:rsidRPr="009B6EB7">
        <w:rPr>
          <w:rFonts w:ascii="Arial" w:hAnsi="Arial" w:cs="Arial"/>
          <w:sz w:val="24"/>
          <w:szCs w:val="24"/>
        </w:rPr>
        <w:t xml:space="preserve"> employed by </w:t>
      </w:r>
      <w:r w:rsidR="00015AED" w:rsidRPr="009B6EB7">
        <w:rPr>
          <w:rFonts w:ascii="Arial" w:hAnsi="Arial" w:cs="Arial"/>
          <w:sz w:val="24"/>
          <w:szCs w:val="24"/>
        </w:rPr>
        <w:t xml:space="preserve">a competitor. This has </w:t>
      </w:r>
      <w:r w:rsidR="003F577C" w:rsidRPr="009B6EB7">
        <w:rPr>
          <w:rFonts w:ascii="Arial" w:hAnsi="Arial" w:cs="Arial"/>
          <w:sz w:val="24"/>
          <w:szCs w:val="24"/>
        </w:rPr>
        <w:t>no</w:t>
      </w:r>
      <w:r w:rsidR="00015AED" w:rsidRPr="009B6EB7">
        <w:rPr>
          <w:rFonts w:ascii="Arial" w:hAnsi="Arial" w:cs="Arial"/>
          <w:sz w:val="24"/>
          <w:szCs w:val="24"/>
        </w:rPr>
        <w:t>t</w:t>
      </w:r>
      <w:r w:rsidR="003F577C" w:rsidRPr="009B6EB7">
        <w:rPr>
          <w:rFonts w:ascii="Arial" w:hAnsi="Arial" w:cs="Arial"/>
          <w:sz w:val="24"/>
          <w:szCs w:val="24"/>
        </w:rPr>
        <w:t xml:space="preserve"> </w:t>
      </w:r>
      <w:r w:rsidR="00015AED" w:rsidRPr="009B6EB7">
        <w:rPr>
          <w:rFonts w:ascii="Arial" w:hAnsi="Arial" w:cs="Arial"/>
          <w:sz w:val="24"/>
          <w:szCs w:val="24"/>
        </w:rPr>
        <w:t xml:space="preserve">been </w:t>
      </w:r>
      <w:r w:rsidR="003F577C" w:rsidRPr="009B6EB7">
        <w:rPr>
          <w:rFonts w:ascii="Arial" w:hAnsi="Arial" w:cs="Arial"/>
          <w:sz w:val="24"/>
          <w:szCs w:val="24"/>
        </w:rPr>
        <w:t>challenged</w:t>
      </w:r>
      <w:r w:rsidR="00015AED" w:rsidRPr="009B6EB7">
        <w:rPr>
          <w:rFonts w:ascii="Arial" w:hAnsi="Arial" w:cs="Arial"/>
          <w:sz w:val="24"/>
          <w:szCs w:val="24"/>
        </w:rPr>
        <w:t>.</w:t>
      </w:r>
      <w:bookmarkEnd w:id="4"/>
    </w:p>
    <w:p w14:paraId="3EC67B5F" w14:textId="77777777" w:rsidR="00045987" w:rsidRPr="00031FFC" w:rsidRDefault="00045987" w:rsidP="00045987">
      <w:pPr>
        <w:pStyle w:val="ListParagraph"/>
        <w:rPr>
          <w:rFonts w:ascii="Arial" w:hAnsi="Arial" w:cs="Arial"/>
          <w:sz w:val="24"/>
          <w:szCs w:val="24"/>
        </w:rPr>
      </w:pPr>
    </w:p>
    <w:p w14:paraId="5F77B311" w14:textId="39F3CC0C"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[31]</w:t>
      </w:r>
      <w:r w:rsidRPr="00031FFC">
        <w:rPr>
          <w:rFonts w:ascii="Arial" w:hAnsi="Arial" w:cs="Arial"/>
          <w:sz w:val="24"/>
          <w:szCs w:val="24"/>
        </w:rPr>
        <w:tab/>
      </w:r>
      <w:r w:rsidR="00015AED" w:rsidRPr="009B6EB7">
        <w:rPr>
          <w:rFonts w:ascii="Arial" w:hAnsi="Arial" w:cs="Arial"/>
          <w:sz w:val="24"/>
          <w:szCs w:val="24"/>
        </w:rPr>
        <w:t>A brief overview of the legal framework follows.</w:t>
      </w:r>
    </w:p>
    <w:p w14:paraId="0E1D7EED" w14:textId="77777777" w:rsidR="00147E19" w:rsidRPr="00031FFC" w:rsidRDefault="00147E19" w:rsidP="00147E19">
      <w:pPr>
        <w:pStyle w:val="ListParagraph"/>
        <w:rPr>
          <w:rFonts w:ascii="Arial" w:hAnsi="Arial" w:cs="Arial"/>
          <w:sz w:val="24"/>
          <w:szCs w:val="24"/>
        </w:rPr>
      </w:pPr>
    </w:p>
    <w:p w14:paraId="1C9B0538" w14:textId="77777777" w:rsidR="00147E19" w:rsidRPr="00031FFC" w:rsidRDefault="003B7BD8" w:rsidP="00147E19">
      <w:pPr>
        <w:pStyle w:val="ListParagraph"/>
        <w:spacing w:line="360" w:lineRule="auto"/>
        <w:ind w:left="0"/>
        <w:jc w:val="both"/>
        <w:rPr>
          <w:rFonts w:ascii="Arial" w:hAnsi="Arial" w:cs="Arial"/>
          <w:sz w:val="24"/>
          <w:szCs w:val="24"/>
        </w:rPr>
      </w:pPr>
      <w:r w:rsidRPr="00031FFC">
        <w:rPr>
          <w:rFonts w:ascii="Arial" w:hAnsi="Arial" w:cs="Arial"/>
          <w:b/>
          <w:bCs/>
          <w:sz w:val="24"/>
          <w:szCs w:val="24"/>
        </w:rPr>
        <w:t xml:space="preserve">The </w:t>
      </w:r>
      <w:r w:rsidR="00BD76B6" w:rsidRPr="00031FFC">
        <w:rPr>
          <w:rFonts w:ascii="Arial" w:hAnsi="Arial" w:cs="Arial"/>
          <w:b/>
          <w:bCs/>
          <w:sz w:val="24"/>
          <w:szCs w:val="24"/>
        </w:rPr>
        <w:t xml:space="preserve">broad </w:t>
      </w:r>
      <w:r w:rsidRPr="00031FFC">
        <w:rPr>
          <w:rFonts w:ascii="Arial" w:hAnsi="Arial" w:cs="Arial"/>
          <w:b/>
          <w:bCs/>
          <w:sz w:val="24"/>
          <w:szCs w:val="24"/>
        </w:rPr>
        <w:t>legal pr</w:t>
      </w:r>
      <w:r w:rsidR="00C1522A" w:rsidRPr="00031FFC">
        <w:rPr>
          <w:rFonts w:ascii="Arial" w:hAnsi="Arial" w:cs="Arial"/>
          <w:b/>
          <w:bCs/>
          <w:sz w:val="24"/>
          <w:szCs w:val="24"/>
        </w:rPr>
        <w:t>inciples relevant to</w:t>
      </w:r>
      <w:r w:rsidR="00027988" w:rsidRPr="00031FFC">
        <w:rPr>
          <w:rFonts w:ascii="Arial" w:hAnsi="Arial" w:cs="Arial"/>
          <w:b/>
          <w:bCs/>
          <w:sz w:val="24"/>
          <w:szCs w:val="24"/>
        </w:rPr>
        <w:t xml:space="preserve"> covenants in</w:t>
      </w:r>
      <w:r w:rsidR="00C1522A" w:rsidRPr="00031FFC">
        <w:rPr>
          <w:rFonts w:ascii="Arial" w:hAnsi="Arial" w:cs="Arial"/>
          <w:b/>
          <w:bCs/>
          <w:sz w:val="24"/>
          <w:szCs w:val="24"/>
        </w:rPr>
        <w:t xml:space="preserve"> restraint of trade</w:t>
      </w:r>
    </w:p>
    <w:p w14:paraId="0223F4E3" w14:textId="77777777" w:rsidR="00147E19" w:rsidRPr="00031FFC" w:rsidRDefault="00147E19" w:rsidP="00147E19">
      <w:pPr>
        <w:pStyle w:val="ListParagraph"/>
        <w:rPr>
          <w:rFonts w:ascii="Arial" w:hAnsi="Arial" w:cs="Arial"/>
          <w:sz w:val="24"/>
          <w:szCs w:val="24"/>
        </w:rPr>
      </w:pPr>
    </w:p>
    <w:p w14:paraId="38765D24" w14:textId="7E69A13C"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[32]</w:t>
      </w:r>
      <w:r w:rsidRPr="00031FFC">
        <w:rPr>
          <w:rFonts w:ascii="Arial" w:hAnsi="Arial" w:cs="Arial"/>
          <w:sz w:val="24"/>
          <w:szCs w:val="24"/>
        </w:rPr>
        <w:tab/>
      </w:r>
      <w:r w:rsidR="008827DB" w:rsidRPr="009B6EB7">
        <w:rPr>
          <w:rFonts w:ascii="Arial" w:hAnsi="Arial" w:cs="Arial"/>
          <w:sz w:val="24"/>
          <w:szCs w:val="24"/>
        </w:rPr>
        <w:t>The common law has long indicated that</w:t>
      </w:r>
      <w:r w:rsidR="00BC4B74" w:rsidRPr="009B6EB7">
        <w:rPr>
          <w:rFonts w:ascii="Arial" w:hAnsi="Arial" w:cs="Arial"/>
          <w:sz w:val="24"/>
          <w:szCs w:val="24"/>
        </w:rPr>
        <w:t xml:space="preserve"> </w:t>
      </w:r>
      <w:r w:rsidR="008827DB" w:rsidRPr="009B6EB7">
        <w:rPr>
          <w:rFonts w:ascii="Arial" w:hAnsi="Arial" w:cs="Arial"/>
          <w:sz w:val="24"/>
          <w:szCs w:val="24"/>
        </w:rPr>
        <w:t>a contract is enforceable, in the absence of fraud or duress, even when its terms are unreasonable or unconscionable or restrict a person’s freedom to participate in trade. The role of the court is not to remake the contract</w:t>
      </w:r>
      <w:r w:rsidR="008E2FA8" w:rsidRPr="009B6EB7">
        <w:rPr>
          <w:rFonts w:ascii="Arial" w:hAnsi="Arial" w:cs="Arial"/>
          <w:sz w:val="24"/>
          <w:szCs w:val="24"/>
        </w:rPr>
        <w:t>; consequently, the court will not relieve a party from any term that he or she finds onerous or unexpectedly harsh.</w:t>
      </w:r>
      <w:r w:rsidR="008E2FA8" w:rsidRPr="00031FFC">
        <w:rPr>
          <w:rStyle w:val="FootnoteReference"/>
          <w:rFonts w:ascii="Arial" w:hAnsi="Arial" w:cs="Arial"/>
          <w:sz w:val="24"/>
          <w:szCs w:val="24"/>
        </w:rPr>
        <w:footnoteReference w:id="3"/>
      </w:r>
    </w:p>
    <w:p w14:paraId="2FDFFC28" w14:textId="77777777" w:rsidR="00147E19" w:rsidRPr="00031FFC" w:rsidRDefault="00147E19" w:rsidP="00147E19">
      <w:pPr>
        <w:pStyle w:val="ListParagraph"/>
        <w:spacing w:line="360" w:lineRule="auto"/>
        <w:ind w:left="0"/>
        <w:jc w:val="both"/>
        <w:rPr>
          <w:rFonts w:ascii="Arial" w:hAnsi="Arial" w:cs="Arial"/>
          <w:sz w:val="24"/>
          <w:szCs w:val="24"/>
        </w:rPr>
      </w:pPr>
    </w:p>
    <w:p w14:paraId="3ED95F5A" w14:textId="2D0C4B26"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[33]</w:t>
      </w:r>
      <w:r w:rsidRPr="00031FFC">
        <w:rPr>
          <w:rFonts w:ascii="Arial" w:hAnsi="Arial" w:cs="Arial"/>
          <w:sz w:val="24"/>
          <w:szCs w:val="24"/>
        </w:rPr>
        <w:tab/>
      </w:r>
      <w:r w:rsidR="008E2FA8" w:rsidRPr="009B6EB7">
        <w:rPr>
          <w:rFonts w:ascii="Arial" w:hAnsi="Arial" w:cs="Arial"/>
          <w:sz w:val="24"/>
          <w:szCs w:val="24"/>
        </w:rPr>
        <w:t xml:space="preserve">In the </w:t>
      </w:r>
      <w:r w:rsidR="00B873D5" w:rsidRPr="009B6EB7">
        <w:rPr>
          <w:rFonts w:ascii="Arial" w:hAnsi="Arial" w:cs="Arial"/>
          <w:sz w:val="24"/>
          <w:szCs w:val="24"/>
        </w:rPr>
        <w:t xml:space="preserve">seminal </w:t>
      </w:r>
      <w:r w:rsidR="008E2FA8" w:rsidRPr="009B6EB7">
        <w:rPr>
          <w:rFonts w:ascii="Arial" w:hAnsi="Arial" w:cs="Arial"/>
          <w:sz w:val="24"/>
          <w:szCs w:val="24"/>
        </w:rPr>
        <w:t xml:space="preserve">case of </w:t>
      </w:r>
      <w:bookmarkStart w:id="5" w:name="_Hlk115873614"/>
      <w:r w:rsidR="008E2FA8" w:rsidRPr="009B6EB7">
        <w:rPr>
          <w:rFonts w:ascii="Arial" w:hAnsi="Arial" w:cs="Arial"/>
          <w:i/>
          <w:iCs/>
          <w:sz w:val="24"/>
          <w:szCs w:val="24"/>
        </w:rPr>
        <w:t xml:space="preserve">Magna Alloys &amp; Research (SA) </w:t>
      </w:r>
      <w:r w:rsidR="00B027AA" w:rsidRPr="009B6EB7">
        <w:rPr>
          <w:rFonts w:ascii="Arial" w:hAnsi="Arial" w:cs="Arial"/>
          <w:i/>
          <w:iCs/>
          <w:sz w:val="24"/>
          <w:szCs w:val="24"/>
        </w:rPr>
        <w:t>(Pty) Ltd v Ellis</w:t>
      </w:r>
      <w:bookmarkEnd w:id="5"/>
      <w:r w:rsidR="00C725D4" w:rsidRPr="00031FFC">
        <w:rPr>
          <w:rStyle w:val="FootnoteReference"/>
          <w:rFonts w:ascii="Arial" w:hAnsi="Arial" w:cs="Arial"/>
          <w:i/>
          <w:iCs/>
          <w:sz w:val="24"/>
          <w:szCs w:val="24"/>
        </w:rPr>
        <w:footnoteReference w:id="4"/>
      </w:r>
      <w:r w:rsidR="00B027AA" w:rsidRPr="009B6EB7">
        <w:rPr>
          <w:rFonts w:ascii="Arial" w:hAnsi="Arial" w:cs="Arial"/>
          <w:sz w:val="24"/>
          <w:szCs w:val="24"/>
        </w:rPr>
        <w:t>, Rabie CJ held, at 897-8, that</w:t>
      </w:r>
      <w:r w:rsidR="000C4109" w:rsidRPr="009B6EB7">
        <w:rPr>
          <w:rFonts w:ascii="Arial" w:hAnsi="Arial" w:cs="Arial"/>
          <w:sz w:val="24"/>
          <w:szCs w:val="24"/>
        </w:rPr>
        <w:t xml:space="preserve"> a restraint on competition is, in principle, enforceable; it will only be unenforceable when it is contrary to public policy or the public interest. Furthermore, in deciding whether </w:t>
      </w:r>
      <w:r w:rsidR="00652535" w:rsidRPr="009B6EB7">
        <w:rPr>
          <w:rFonts w:ascii="Arial" w:hAnsi="Arial" w:cs="Arial"/>
          <w:sz w:val="24"/>
          <w:szCs w:val="24"/>
        </w:rPr>
        <w:t xml:space="preserve">a </w:t>
      </w:r>
      <w:r w:rsidR="00027988" w:rsidRPr="009B6EB7">
        <w:rPr>
          <w:rFonts w:ascii="Arial" w:hAnsi="Arial" w:cs="Arial"/>
          <w:sz w:val="24"/>
          <w:szCs w:val="24"/>
        </w:rPr>
        <w:t xml:space="preserve">covenant </w:t>
      </w:r>
      <w:r w:rsidR="00652535" w:rsidRPr="009B6EB7">
        <w:rPr>
          <w:rFonts w:ascii="Arial" w:hAnsi="Arial" w:cs="Arial"/>
          <w:sz w:val="24"/>
          <w:szCs w:val="24"/>
        </w:rPr>
        <w:t>in restraint of trade is contrary to the public interest, regard should be had to two considerations: agreements freely concluded should be honoured, and everyone should be free to enter the business or professional world.</w:t>
      </w:r>
      <w:r w:rsidR="00652535" w:rsidRPr="00031FFC">
        <w:rPr>
          <w:rStyle w:val="FootnoteReference"/>
          <w:rFonts w:ascii="Arial" w:hAnsi="Arial" w:cs="Arial"/>
          <w:sz w:val="24"/>
          <w:szCs w:val="24"/>
        </w:rPr>
        <w:footnoteReference w:id="5"/>
      </w:r>
    </w:p>
    <w:p w14:paraId="342BCAD9" w14:textId="77777777" w:rsidR="00147E19" w:rsidRPr="00031FFC" w:rsidRDefault="00147E19" w:rsidP="00147E19">
      <w:pPr>
        <w:pStyle w:val="ListParagraph"/>
        <w:rPr>
          <w:rFonts w:ascii="Arial" w:hAnsi="Arial" w:cs="Arial"/>
          <w:sz w:val="24"/>
          <w:szCs w:val="24"/>
        </w:rPr>
      </w:pPr>
    </w:p>
    <w:p w14:paraId="0F11C7CB" w14:textId="406B4A47"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[34]</w:t>
      </w:r>
      <w:r w:rsidRPr="00031FFC">
        <w:rPr>
          <w:rFonts w:ascii="Arial" w:hAnsi="Arial" w:cs="Arial"/>
          <w:sz w:val="24"/>
          <w:szCs w:val="24"/>
        </w:rPr>
        <w:tab/>
      </w:r>
      <w:r w:rsidR="00FE59EF" w:rsidRPr="009B6EB7">
        <w:rPr>
          <w:rFonts w:ascii="Arial" w:hAnsi="Arial" w:cs="Arial"/>
          <w:sz w:val="24"/>
          <w:szCs w:val="24"/>
        </w:rPr>
        <w:t xml:space="preserve">The common law approach </w:t>
      </w:r>
      <w:r w:rsidR="00E84637" w:rsidRPr="009B6EB7">
        <w:rPr>
          <w:rFonts w:ascii="Arial" w:hAnsi="Arial" w:cs="Arial"/>
          <w:sz w:val="24"/>
          <w:szCs w:val="24"/>
        </w:rPr>
        <w:t xml:space="preserve">is based on </w:t>
      </w:r>
      <w:r w:rsidR="00012122" w:rsidRPr="009B6EB7">
        <w:rPr>
          <w:rFonts w:ascii="Arial" w:hAnsi="Arial" w:cs="Arial"/>
          <w:sz w:val="24"/>
          <w:szCs w:val="24"/>
        </w:rPr>
        <w:t xml:space="preserve">navigating a </w:t>
      </w:r>
      <w:r w:rsidR="00012122" w:rsidRPr="009B6EB7">
        <w:rPr>
          <w:rFonts w:ascii="Arial" w:hAnsi="Arial" w:cs="Arial"/>
          <w:i/>
          <w:iCs/>
          <w:sz w:val="24"/>
          <w:szCs w:val="24"/>
        </w:rPr>
        <w:t>via media</w:t>
      </w:r>
      <w:r w:rsidR="00012122" w:rsidRPr="009B6EB7">
        <w:rPr>
          <w:rFonts w:ascii="Arial" w:hAnsi="Arial" w:cs="Arial"/>
          <w:sz w:val="24"/>
          <w:szCs w:val="24"/>
        </w:rPr>
        <w:t xml:space="preserve"> </w:t>
      </w:r>
      <w:r w:rsidR="00E84637" w:rsidRPr="009B6EB7">
        <w:rPr>
          <w:rFonts w:ascii="Arial" w:hAnsi="Arial" w:cs="Arial"/>
          <w:sz w:val="24"/>
          <w:szCs w:val="24"/>
        </w:rPr>
        <w:t xml:space="preserve">between the </w:t>
      </w:r>
      <w:r w:rsidR="00057CF0" w:rsidRPr="009B6EB7">
        <w:rPr>
          <w:rFonts w:ascii="Arial" w:hAnsi="Arial" w:cs="Arial"/>
          <w:sz w:val="24"/>
          <w:szCs w:val="24"/>
        </w:rPr>
        <w:t>freedom of contract</w:t>
      </w:r>
      <w:r w:rsidR="00012122" w:rsidRPr="009B6EB7">
        <w:rPr>
          <w:rFonts w:ascii="Arial" w:hAnsi="Arial" w:cs="Arial"/>
          <w:sz w:val="24"/>
          <w:szCs w:val="24"/>
        </w:rPr>
        <w:t xml:space="preserve">, on the one hand, </w:t>
      </w:r>
      <w:r w:rsidR="00E84637" w:rsidRPr="009B6EB7">
        <w:rPr>
          <w:rFonts w:ascii="Arial" w:hAnsi="Arial" w:cs="Arial"/>
          <w:sz w:val="24"/>
          <w:szCs w:val="24"/>
        </w:rPr>
        <w:t>and the twin principles of fairness and reasonableness</w:t>
      </w:r>
      <w:r w:rsidR="00012122" w:rsidRPr="009B6EB7">
        <w:rPr>
          <w:rFonts w:ascii="Arial" w:hAnsi="Arial" w:cs="Arial"/>
          <w:sz w:val="24"/>
          <w:szCs w:val="24"/>
        </w:rPr>
        <w:t>, on the other</w:t>
      </w:r>
      <w:r w:rsidR="00E84637" w:rsidRPr="009B6EB7">
        <w:rPr>
          <w:rFonts w:ascii="Arial" w:hAnsi="Arial" w:cs="Arial"/>
          <w:sz w:val="24"/>
          <w:szCs w:val="24"/>
        </w:rPr>
        <w:t xml:space="preserve">. </w:t>
      </w:r>
      <w:r w:rsidR="00C64EE5" w:rsidRPr="009B6EB7">
        <w:rPr>
          <w:rFonts w:ascii="Arial" w:hAnsi="Arial" w:cs="Arial"/>
          <w:sz w:val="24"/>
          <w:szCs w:val="24"/>
        </w:rPr>
        <w:t xml:space="preserve">Whereas this </w:t>
      </w:r>
      <w:r w:rsidR="00E84637" w:rsidRPr="009B6EB7">
        <w:rPr>
          <w:rFonts w:ascii="Arial" w:hAnsi="Arial" w:cs="Arial"/>
          <w:sz w:val="24"/>
          <w:szCs w:val="24"/>
        </w:rPr>
        <w:t xml:space="preserve">approach </w:t>
      </w:r>
      <w:r w:rsidR="00FE59EF" w:rsidRPr="009B6EB7">
        <w:rPr>
          <w:rFonts w:ascii="Arial" w:hAnsi="Arial" w:cs="Arial"/>
          <w:sz w:val="24"/>
          <w:szCs w:val="24"/>
        </w:rPr>
        <w:t xml:space="preserve">has remained largely intact </w:t>
      </w:r>
      <w:r w:rsidR="00C77331" w:rsidRPr="009B6EB7">
        <w:rPr>
          <w:rFonts w:ascii="Arial" w:hAnsi="Arial" w:cs="Arial"/>
          <w:sz w:val="24"/>
          <w:szCs w:val="24"/>
        </w:rPr>
        <w:t>after</w:t>
      </w:r>
      <w:r w:rsidR="00FE59EF" w:rsidRPr="009B6EB7">
        <w:rPr>
          <w:rFonts w:ascii="Arial" w:hAnsi="Arial" w:cs="Arial"/>
          <w:sz w:val="24"/>
          <w:szCs w:val="24"/>
        </w:rPr>
        <w:t xml:space="preserve"> the </w:t>
      </w:r>
      <w:r w:rsidR="00C77331" w:rsidRPr="009B6EB7">
        <w:rPr>
          <w:rFonts w:ascii="Arial" w:hAnsi="Arial" w:cs="Arial"/>
          <w:sz w:val="24"/>
          <w:szCs w:val="24"/>
        </w:rPr>
        <w:t>advent of South Africa’s constitutional dispensation</w:t>
      </w:r>
      <w:r w:rsidR="00C64EE5" w:rsidRPr="009B6EB7">
        <w:rPr>
          <w:rFonts w:ascii="Arial" w:hAnsi="Arial" w:cs="Arial"/>
          <w:sz w:val="24"/>
          <w:szCs w:val="24"/>
        </w:rPr>
        <w:t>, it has inevitably been influenced by the application of constitutional values</w:t>
      </w:r>
      <w:r w:rsidR="00C77331" w:rsidRPr="009B6EB7">
        <w:rPr>
          <w:rFonts w:ascii="Arial" w:hAnsi="Arial" w:cs="Arial"/>
          <w:sz w:val="24"/>
          <w:szCs w:val="24"/>
        </w:rPr>
        <w:t xml:space="preserve">. </w:t>
      </w:r>
      <w:r w:rsidR="00E84637" w:rsidRPr="009B6EB7">
        <w:rPr>
          <w:rFonts w:ascii="Arial" w:hAnsi="Arial" w:cs="Arial"/>
          <w:sz w:val="24"/>
          <w:szCs w:val="24"/>
        </w:rPr>
        <w:t>This is illustrated in the decisions handed down by the Constitutional Court in at least the following cases.</w:t>
      </w:r>
    </w:p>
    <w:p w14:paraId="382A6BDF" w14:textId="77777777" w:rsidR="00147E19" w:rsidRPr="00031FFC" w:rsidRDefault="00147E19" w:rsidP="00147E19">
      <w:pPr>
        <w:pStyle w:val="ListParagraph"/>
        <w:rPr>
          <w:rFonts w:ascii="Arial" w:hAnsi="Arial" w:cs="Arial"/>
          <w:sz w:val="24"/>
          <w:szCs w:val="24"/>
        </w:rPr>
      </w:pPr>
    </w:p>
    <w:p w14:paraId="4E791B88" w14:textId="0E529F40" w:rsidR="00147E19" w:rsidRPr="009B6EB7" w:rsidRDefault="009B6EB7" w:rsidP="009B6EB7">
      <w:pPr>
        <w:spacing w:line="360" w:lineRule="auto"/>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00E84637" w:rsidRPr="009B6EB7">
        <w:rPr>
          <w:rFonts w:ascii="Arial" w:hAnsi="Arial" w:cs="Arial"/>
          <w:sz w:val="24"/>
          <w:szCs w:val="24"/>
        </w:rPr>
        <w:t xml:space="preserve">Ngcobo J </w:t>
      </w:r>
      <w:r w:rsidR="00057CF0" w:rsidRPr="009B6EB7">
        <w:rPr>
          <w:rFonts w:ascii="Arial" w:hAnsi="Arial" w:cs="Arial"/>
          <w:sz w:val="24"/>
          <w:szCs w:val="24"/>
        </w:rPr>
        <w:t>emphasised</w:t>
      </w:r>
      <w:r w:rsidR="00E84637" w:rsidRPr="009B6EB7">
        <w:rPr>
          <w:rFonts w:ascii="Arial" w:hAnsi="Arial" w:cs="Arial"/>
          <w:sz w:val="24"/>
          <w:szCs w:val="24"/>
        </w:rPr>
        <w:t>, i</w:t>
      </w:r>
      <w:r w:rsidR="00C77331" w:rsidRPr="009B6EB7">
        <w:rPr>
          <w:rFonts w:ascii="Arial" w:hAnsi="Arial" w:cs="Arial"/>
          <w:sz w:val="24"/>
          <w:szCs w:val="24"/>
        </w:rPr>
        <w:t xml:space="preserve">n </w:t>
      </w:r>
      <w:bookmarkStart w:id="6" w:name="_Hlk115873792"/>
      <w:r w:rsidR="00C77331" w:rsidRPr="009B6EB7">
        <w:rPr>
          <w:rFonts w:ascii="Arial" w:hAnsi="Arial" w:cs="Arial"/>
          <w:i/>
          <w:iCs/>
          <w:sz w:val="24"/>
          <w:szCs w:val="24"/>
        </w:rPr>
        <w:t xml:space="preserve">Barkhuizen </w:t>
      </w:r>
      <w:bookmarkStart w:id="7" w:name="_Hlk114652814"/>
      <w:r w:rsidR="00C77331" w:rsidRPr="009B6EB7">
        <w:rPr>
          <w:rFonts w:ascii="Arial" w:hAnsi="Arial" w:cs="Arial"/>
          <w:i/>
          <w:iCs/>
          <w:sz w:val="24"/>
          <w:szCs w:val="24"/>
        </w:rPr>
        <w:t>v Napie</w:t>
      </w:r>
      <w:r w:rsidR="00435D53" w:rsidRPr="009B6EB7">
        <w:rPr>
          <w:rFonts w:ascii="Arial" w:hAnsi="Arial" w:cs="Arial"/>
          <w:i/>
          <w:iCs/>
          <w:sz w:val="24"/>
          <w:szCs w:val="24"/>
        </w:rPr>
        <w:t>r</w:t>
      </w:r>
      <w:bookmarkEnd w:id="7"/>
      <w:r w:rsidR="00C725D4" w:rsidRPr="00031FFC">
        <w:rPr>
          <w:rStyle w:val="FootnoteReference"/>
          <w:rFonts w:ascii="Arial" w:hAnsi="Arial" w:cs="Arial"/>
          <w:i/>
          <w:iCs/>
          <w:sz w:val="24"/>
          <w:szCs w:val="24"/>
        </w:rPr>
        <w:footnoteReference w:id="6"/>
      </w:r>
      <w:bookmarkEnd w:id="6"/>
      <w:r w:rsidR="00E84637" w:rsidRPr="009B6EB7">
        <w:rPr>
          <w:rFonts w:ascii="Arial" w:hAnsi="Arial" w:cs="Arial"/>
          <w:sz w:val="24"/>
          <w:szCs w:val="24"/>
        </w:rPr>
        <w:t xml:space="preserve">, </w:t>
      </w:r>
      <w:r w:rsidR="002455A0" w:rsidRPr="009B6EB7">
        <w:rPr>
          <w:rFonts w:ascii="Arial" w:hAnsi="Arial" w:cs="Arial"/>
          <w:sz w:val="24"/>
          <w:szCs w:val="24"/>
        </w:rPr>
        <w:t xml:space="preserve">at </w:t>
      </w:r>
      <w:r w:rsidR="003D02F7" w:rsidRPr="009B6EB7">
        <w:rPr>
          <w:rFonts w:ascii="Arial" w:hAnsi="Arial" w:cs="Arial"/>
          <w:sz w:val="24"/>
          <w:szCs w:val="24"/>
        </w:rPr>
        <w:t xml:space="preserve">paragraph </w:t>
      </w:r>
      <w:r w:rsidR="002455A0" w:rsidRPr="009B6EB7">
        <w:rPr>
          <w:rFonts w:ascii="Arial" w:hAnsi="Arial" w:cs="Arial"/>
          <w:sz w:val="24"/>
          <w:szCs w:val="24"/>
        </w:rPr>
        <w:t xml:space="preserve">[70], </w:t>
      </w:r>
      <w:r w:rsidR="00E84637" w:rsidRPr="009B6EB7">
        <w:rPr>
          <w:rFonts w:ascii="Arial" w:hAnsi="Arial" w:cs="Arial"/>
          <w:sz w:val="24"/>
          <w:szCs w:val="24"/>
        </w:rPr>
        <w:t>that</w:t>
      </w:r>
      <w:r w:rsidR="00057CF0" w:rsidRPr="009B6EB7">
        <w:rPr>
          <w:rFonts w:ascii="Arial" w:hAnsi="Arial" w:cs="Arial"/>
          <w:sz w:val="24"/>
          <w:szCs w:val="24"/>
        </w:rPr>
        <w:t xml:space="preserve"> while</w:t>
      </w:r>
      <w:r w:rsidR="00E84637" w:rsidRPr="009B6EB7">
        <w:rPr>
          <w:rFonts w:ascii="Arial" w:hAnsi="Arial" w:cs="Arial"/>
          <w:sz w:val="24"/>
          <w:szCs w:val="24"/>
        </w:rPr>
        <w:t xml:space="preserve"> it was necessary to recogni</w:t>
      </w:r>
      <w:r w:rsidR="00027988" w:rsidRPr="009B6EB7">
        <w:rPr>
          <w:rFonts w:ascii="Arial" w:hAnsi="Arial" w:cs="Arial"/>
          <w:sz w:val="24"/>
          <w:szCs w:val="24"/>
        </w:rPr>
        <w:t>s</w:t>
      </w:r>
      <w:r w:rsidR="00E84637" w:rsidRPr="009B6EB7">
        <w:rPr>
          <w:rFonts w:ascii="Arial" w:hAnsi="Arial" w:cs="Arial"/>
          <w:sz w:val="24"/>
          <w:szCs w:val="24"/>
        </w:rPr>
        <w:t xml:space="preserve">e the </w:t>
      </w:r>
      <w:r w:rsidR="00057CF0" w:rsidRPr="009B6EB7">
        <w:rPr>
          <w:rFonts w:ascii="Arial" w:hAnsi="Arial" w:cs="Arial"/>
          <w:sz w:val="24"/>
          <w:szCs w:val="24"/>
        </w:rPr>
        <w:t xml:space="preserve">doctrine of </w:t>
      </w:r>
      <w:r w:rsidR="00057CF0" w:rsidRPr="009B6EB7">
        <w:rPr>
          <w:rFonts w:ascii="Arial" w:hAnsi="Arial" w:cs="Arial"/>
          <w:i/>
          <w:iCs/>
          <w:sz w:val="24"/>
          <w:szCs w:val="24"/>
        </w:rPr>
        <w:t>pacta sunt servanda</w:t>
      </w:r>
      <w:r w:rsidR="00057CF0" w:rsidRPr="009B6EB7">
        <w:rPr>
          <w:rFonts w:ascii="Arial" w:hAnsi="Arial" w:cs="Arial"/>
          <w:sz w:val="24"/>
          <w:szCs w:val="24"/>
        </w:rPr>
        <w:t xml:space="preserve"> a court should be able to decline the enforcement of a clause that would result in unfairness or unreasonableness. </w:t>
      </w:r>
      <w:r w:rsidR="00012122" w:rsidRPr="009B6EB7">
        <w:rPr>
          <w:rFonts w:ascii="Arial" w:hAnsi="Arial" w:cs="Arial"/>
          <w:sz w:val="24"/>
          <w:szCs w:val="24"/>
        </w:rPr>
        <w:t xml:space="preserve">This would ensure that a court could employ the Constitution and its values to achieve a balance that struck down the </w:t>
      </w:r>
      <w:r w:rsidR="00332C7E" w:rsidRPr="009B6EB7">
        <w:rPr>
          <w:rFonts w:ascii="Arial" w:hAnsi="Arial" w:cs="Arial"/>
          <w:sz w:val="24"/>
          <w:szCs w:val="24"/>
        </w:rPr>
        <w:t>unacceptable excesses of freedom of contract while seeking to permit individuals the dignity and autonomy of regulating their own lives.</w:t>
      </w:r>
    </w:p>
    <w:p w14:paraId="1722223A" w14:textId="77777777" w:rsidR="003A6D8A" w:rsidRPr="003A6D8A" w:rsidRDefault="003A6D8A" w:rsidP="003A6D8A">
      <w:pPr>
        <w:pStyle w:val="ListParagraph"/>
        <w:rPr>
          <w:rFonts w:ascii="Arial" w:hAnsi="Arial" w:cs="Arial"/>
          <w:sz w:val="24"/>
          <w:szCs w:val="24"/>
        </w:rPr>
      </w:pPr>
    </w:p>
    <w:p w14:paraId="1387BB2D" w14:textId="7848C2E0"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[36]</w:t>
      </w:r>
      <w:r w:rsidRPr="00031FFC">
        <w:rPr>
          <w:rFonts w:ascii="Arial" w:hAnsi="Arial" w:cs="Arial"/>
          <w:sz w:val="24"/>
          <w:szCs w:val="24"/>
        </w:rPr>
        <w:tab/>
      </w:r>
      <w:r w:rsidR="00332C7E" w:rsidRPr="009B6EB7">
        <w:rPr>
          <w:rFonts w:ascii="Arial" w:hAnsi="Arial" w:cs="Arial"/>
          <w:sz w:val="24"/>
          <w:szCs w:val="24"/>
        </w:rPr>
        <w:t xml:space="preserve">More recently, in </w:t>
      </w:r>
      <w:bookmarkStart w:id="8" w:name="_Hlk115873844"/>
      <w:r w:rsidR="00332C7E" w:rsidRPr="009B6EB7">
        <w:rPr>
          <w:rFonts w:ascii="Arial" w:hAnsi="Arial" w:cs="Arial"/>
          <w:i/>
          <w:iCs/>
          <w:sz w:val="24"/>
          <w:szCs w:val="24"/>
        </w:rPr>
        <w:t xml:space="preserve">Beadica 231 CC </w:t>
      </w:r>
      <w:bookmarkStart w:id="9" w:name="_Hlk114652777"/>
      <w:r w:rsidR="00332C7E" w:rsidRPr="009B6EB7">
        <w:rPr>
          <w:rFonts w:ascii="Arial" w:hAnsi="Arial" w:cs="Arial"/>
          <w:i/>
          <w:iCs/>
          <w:sz w:val="24"/>
          <w:szCs w:val="24"/>
        </w:rPr>
        <w:t>and others v Trustees, Oregon Trust and others</w:t>
      </w:r>
      <w:bookmarkEnd w:id="8"/>
      <w:bookmarkEnd w:id="9"/>
      <w:r w:rsidR="00C725D4" w:rsidRPr="00031FFC">
        <w:rPr>
          <w:rStyle w:val="FootnoteReference"/>
          <w:rFonts w:ascii="Arial" w:hAnsi="Arial" w:cs="Arial"/>
          <w:i/>
          <w:iCs/>
          <w:sz w:val="24"/>
          <w:szCs w:val="24"/>
        </w:rPr>
        <w:footnoteReference w:id="7"/>
      </w:r>
      <w:r w:rsidR="00332C7E" w:rsidRPr="009B6EB7">
        <w:rPr>
          <w:rFonts w:ascii="Arial" w:hAnsi="Arial" w:cs="Arial"/>
          <w:sz w:val="24"/>
          <w:szCs w:val="24"/>
        </w:rPr>
        <w:t>, Theron J observed</w:t>
      </w:r>
      <w:r w:rsidR="002455A0" w:rsidRPr="009B6EB7">
        <w:rPr>
          <w:rFonts w:ascii="Arial" w:hAnsi="Arial" w:cs="Arial"/>
          <w:sz w:val="24"/>
          <w:szCs w:val="24"/>
        </w:rPr>
        <w:t>, at</w:t>
      </w:r>
      <w:r w:rsidR="00027988" w:rsidRPr="009B6EB7">
        <w:rPr>
          <w:rFonts w:ascii="Arial" w:hAnsi="Arial" w:cs="Arial"/>
          <w:sz w:val="24"/>
          <w:szCs w:val="24"/>
        </w:rPr>
        <w:t xml:space="preserve"> paragraph</w:t>
      </w:r>
      <w:r w:rsidR="002455A0" w:rsidRPr="009B6EB7">
        <w:rPr>
          <w:rFonts w:ascii="Arial" w:hAnsi="Arial" w:cs="Arial"/>
          <w:sz w:val="24"/>
          <w:szCs w:val="24"/>
        </w:rPr>
        <w:t xml:space="preserve"> [80],</w:t>
      </w:r>
      <w:r w:rsidR="00332C7E" w:rsidRPr="009B6EB7">
        <w:rPr>
          <w:rFonts w:ascii="Arial" w:hAnsi="Arial" w:cs="Arial"/>
          <w:sz w:val="24"/>
          <w:szCs w:val="24"/>
        </w:rPr>
        <w:t xml:space="preserve"> that </w:t>
      </w:r>
      <w:r w:rsidR="00C64EE5" w:rsidRPr="009B6EB7">
        <w:rPr>
          <w:rFonts w:ascii="Arial" w:hAnsi="Arial" w:cs="Arial"/>
          <w:sz w:val="24"/>
          <w:szCs w:val="24"/>
        </w:rPr>
        <w:t xml:space="preserve">the common law has always recognized the role of equity, encompassing the notions of good faith, fairness and reasonableness, as a factor </w:t>
      </w:r>
      <w:r w:rsidR="003F7624" w:rsidRPr="009B6EB7">
        <w:rPr>
          <w:rFonts w:ascii="Arial" w:hAnsi="Arial" w:cs="Arial"/>
          <w:sz w:val="24"/>
          <w:szCs w:val="24"/>
        </w:rPr>
        <w:t xml:space="preserve">in assessing contractual terms and their enforcement. Nevertheless, a court </w:t>
      </w:r>
      <w:r w:rsidR="00443BFC" w:rsidRPr="009B6EB7">
        <w:rPr>
          <w:rFonts w:ascii="Arial" w:hAnsi="Arial" w:cs="Arial"/>
          <w:sz w:val="24"/>
          <w:szCs w:val="24"/>
        </w:rPr>
        <w:t xml:space="preserve">may not refuse to enforce terms on the basis that this would, in its subjective view, be </w:t>
      </w:r>
      <w:bookmarkStart w:id="10" w:name="_Hlk115873686"/>
      <w:r w:rsidR="00443BFC" w:rsidRPr="009B6EB7">
        <w:rPr>
          <w:rFonts w:ascii="Arial" w:hAnsi="Arial" w:cs="Arial"/>
          <w:sz w:val="24"/>
          <w:szCs w:val="24"/>
        </w:rPr>
        <w:t>unfair, unreasonable or unduly harsh</w:t>
      </w:r>
      <w:bookmarkEnd w:id="10"/>
      <w:r w:rsidR="00443BFC" w:rsidRPr="009B6EB7">
        <w:rPr>
          <w:rFonts w:ascii="Arial" w:hAnsi="Arial" w:cs="Arial"/>
          <w:sz w:val="24"/>
          <w:szCs w:val="24"/>
        </w:rPr>
        <w:t>. It is only when a term or its enforcement is so unfair, unreasonable or unjust that it is contrary to public policy that a court may indeed refuse to enforce it.</w:t>
      </w:r>
    </w:p>
    <w:p w14:paraId="5924785A" w14:textId="77777777" w:rsidR="00147E19" w:rsidRPr="00031FFC" w:rsidRDefault="00147E19" w:rsidP="00147E19">
      <w:pPr>
        <w:pStyle w:val="ListParagraph"/>
        <w:rPr>
          <w:rFonts w:ascii="Arial" w:hAnsi="Arial" w:cs="Arial"/>
          <w:sz w:val="24"/>
          <w:szCs w:val="24"/>
        </w:rPr>
      </w:pPr>
    </w:p>
    <w:p w14:paraId="6729E7B7" w14:textId="40D9F324"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[37]</w:t>
      </w:r>
      <w:r w:rsidRPr="00031FFC">
        <w:rPr>
          <w:rFonts w:ascii="Arial" w:hAnsi="Arial" w:cs="Arial"/>
          <w:sz w:val="24"/>
          <w:szCs w:val="24"/>
        </w:rPr>
        <w:tab/>
      </w:r>
      <w:r w:rsidR="00443BFC" w:rsidRPr="009B6EB7">
        <w:rPr>
          <w:rFonts w:ascii="Arial" w:hAnsi="Arial" w:cs="Arial"/>
          <w:sz w:val="24"/>
          <w:szCs w:val="24"/>
        </w:rPr>
        <w:t xml:space="preserve">The above </w:t>
      </w:r>
      <w:r w:rsidR="009272C3" w:rsidRPr="009B6EB7">
        <w:rPr>
          <w:rFonts w:ascii="Arial" w:hAnsi="Arial" w:cs="Arial"/>
          <w:sz w:val="24"/>
          <w:szCs w:val="24"/>
        </w:rPr>
        <w:t xml:space="preserve">broad </w:t>
      </w:r>
      <w:r w:rsidR="00443BFC" w:rsidRPr="009B6EB7">
        <w:rPr>
          <w:rFonts w:ascii="Arial" w:hAnsi="Arial" w:cs="Arial"/>
          <w:sz w:val="24"/>
          <w:szCs w:val="24"/>
        </w:rPr>
        <w:t xml:space="preserve">principles are </w:t>
      </w:r>
      <w:r w:rsidR="009272C3" w:rsidRPr="009B6EB7">
        <w:rPr>
          <w:rFonts w:ascii="Arial" w:hAnsi="Arial" w:cs="Arial"/>
          <w:sz w:val="24"/>
          <w:szCs w:val="24"/>
        </w:rPr>
        <w:t xml:space="preserve">relevant to </w:t>
      </w:r>
      <w:r w:rsidR="00C1522A" w:rsidRPr="009B6EB7">
        <w:rPr>
          <w:rFonts w:ascii="Arial" w:hAnsi="Arial" w:cs="Arial"/>
          <w:sz w:val="24"/>
          <w:szCs w:val="24"/>
        </w:rPr>
        <w:t xml:space="preserve">a </w:t>
      </w:r>
      <w:r w:rsidR="00027988" w:rsidRPr="009B6EB7">
        <w:rPr>
          <w:rFonts w:ascii="Arial" w:hAnsi="Arial" w:cs="Arial"/>
          <w:sz w:val="24"/>
          <w:szCs w:val="24"/>
        </w:rPr>
        <w:t xml:space="preserve">covenant in </w:t>
      </w:r>
      <w:r w:rsidR="00C1522A" w:rsidRPr="009B6EB7">
        <w:rPr>
          <w:rFonts w:ascii="Arial" w:hAnsi="Arial" w:cs="Arial"/>
          <w:sz w:val="24"/>
          <w:szCs w:val="24"/>
        </w:rPr>
        <w:t xml:space="preserve">restraint of trade such as the one </w:t>
      </w:r>
      <w:r w:rsidR="009272C3" w:rsidRPr="009B6EB7">
        <w:rPr>
          <w:rFonts w:ascii="Arial" w:hAnsi="Arial" w:cs="Arial"/>
          <w:sz w:val="24"/>
          <w:szCs w:val="24"/>
        </w:rPr>
        <w:t>in the present matter.</w:t>
      </w:r>
      <w:r w:rsidR="00C1522A" w:rsidRPr="009B6EB7">
        <w:rPr>
          <w:rFonts w:ascii="Arial" w:hAnsi="Arial" w:cs="Arial"/>
          <w:sz w:val="24"/>
          <w:szCs w:val="24"/>
        </w:rPr>
        <w:t xml:space="preserve"> How it must be interpreted is the focus of the issue discussed </w:t>
      </w:r>
      <w:r w:rsidR="008E285F" w:rsidRPr="009B6EB7">
        <w:rPr>
          <w:rFonts w:ascii="Arial" w:hAnsi="Arial" w:cs="Arial"/>
          <w:sz w:val="24"/>
          <w:szCs w:val="24"/>
        </w:rPr>
        <w:t>i</w:t>
      </w:r>
      <w:r w:rsidR="00C1522A" w:rsidRPr="009B6EB7">
        <w:rPr>
          <w:rFonts w:ascii="Arial" w:hAnsi="Arial" w:cs="Arial"/>
          <w:sz w:val="24"/>
          <w:szCs w:val="24"/>
        </w:rPr>
        <w:t xml:space="preserve">n the paragraphs </w:t>
      </w:r>
      <w:r w:rsidR="00027988" w:rsidRPr="009B6EB7">
        <w:rPr>
          <w:rFonts w:ascii="Arial" w:hAnsi="Arial" w:cs="Arial"/>
          <w:sz w:val="24"/>
          <w:szCs w:val="24"/>
        </w:rPr>
        <w:t>that</w:t>
      </w:r>
      <w:r w:rsidR="003A6D8A" w:rsidRPr="009B6EB7">
        <w:rPr>
          <w:rFonts w:ascii="Arial" w:hAnsi="Arial" w:cs="Arial"/>
          <w:sz w:val="24"/>
          <w:szCs w:val="24"/>
        </w:rPr>
        <w:t xml:space="preserve"> </w:t>
      </w:r>
      <w:r w:rsidR="00C1522A" w:rsidRPr="009B6EB7">
        <w:rPr>
          <w:rFonts w:ascii="Arial" w:hAnsi="Arial" w:cs="Arial"/>
          <w:sz w:val="24"/>
          <w:szCs w:val="24"/>
        </w:rPr>
        <w:t xml:space="preserve">follow. </w:t>
      </w:r>
    </w:p>
    <w:p w14:paraId="4DAB3B36" w14:textId="77777777" w:rsidR="00147E19" w:rsidRPr="00031FFC" w:rsidRDefault="00147E19" w:rsidP="00147E19">
      <w:pPr>
        <w:pStyle w:val="ListParagraph"/>
        <w:rPr>
          <w:rFonts w:ascii="Arial" w:hAnsi="Arial" w:cs="Arial"/>
          <w:sz w:val="24"/>
          <w:szCs w:val="24"/>
        </w:rPr>
      </w:pPr>
    </w:p>
    <w:p w14:paraId="3D0B5764" w14:textId="77777777" w:rsidR="00147E19" w:rsidRPr="00031FFC" w:rsidRDefault="00147E19" w:rsidP="00147E19">
      <w:pPr>
        <w:pStyle w:val="ListParagraph"/>
        <w:rPr>
          <w:rFonts w:ascii="Arial" w:hAnsi="Arial" w:cs="Arial"/>
          <w:b/>
          <w:bCs/>
          <w:sz w:val="24"/>
          <w:szCs w:val="24"/>
        </w:rPr>
      </w:pPr>
    </w:p>
    <w:p w14:paraId="772469D2" w14:textId="77777777" w:rsidR="00147E19" w:rsidRPr="00031FFC" w:rsidRDefault="009272C3" w:rsidP="00147E19">
      <w:pPr>
        <w:pStyle w:val="ListParagraph"/>
        <w:spacing w:line="360" w:lineRule="auto"/>
        <w:ind w:left="0"/>
        <w:jc w:val="both"/>
        <w:rPr>
          <w:rFonts w:ascii="Arial" w:hAnsi="Arial" w:cs="Arial"/>
          <w:sz w:val="24"/>
          <w:szCs w:val="24"/>
        </w:rPr>
      </w:pPr>
      <w:r w:rsidRPr="00031FFC">
        <w:rPr>
          <w:rFonts w:ascii="Arial" w:hAnsi="Arial" w:cs="Arial"/>
          <w:b/>
          <w:bCs/>
          <w:sz w:val="24"/>
          <w:szCs w:val="24"/>
        </w:rPr>
        <w:t xml:space="preserve">The </w:t>
      </w:r>
      <w:r w:rsidR="00027988" w:rsidRPr="00031FFC">
        <w:rPr>
          <w:rFonts w:ascii="Arial" w:hAnsi="Arial" w:cs="Arial"/>
          <w:b/>
          <w:bCs/>
          <w:sz w:val="24"/>
          <w:szCs w:val="24"/>
        </w:rPr>
        <w:t xml:space="preserve">covenant in </w:t>
      </w:r>
      <w:r w:rsidRPr="00031FFC">
        <w:rPr>
          <w:rFonts w:ascii="Arial" w:hAnsi="Arial" w:cs="Arial"/>
          <w:b/>
          <w:bCs/>
          <w:sz w:val="24"/>
          <w:szCs w:val="24"/>
        </w:rPr>
        <w:t>restraint of trade and its interpretation</w:t>
      </w:r>
    </w:p>
    <w:p w14:paraId="4AFC9CF7" w14:textId="77777777" w:rsidR="00147E19" w:rsidRPr="00031FFC" w:rsidRDefault="00147E19" w:rsidP="00147E19">
      <w:pPr>
        <w:pStyle w:val="ListParagraph"/>
        <w:rPr>
          <w:rFonts w:ascii="Arial" w:hAnsi="Arial" w:cs="Arial"/>
          <w:sz w:val="24"/>
          <w:szCs w:val="24"/>
        </w:rPr>
      </w:pPr>
    </w:p>
    <w:p w14:paraId="581E9D59" w14:textId="4C30E83C" w:rsidR="009272C3"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[38]</w:t>
      </w:r>
      <w:r w:rsidRPr="00031FFC">
        <w:rPr>
          <w:rFonts w:ascii="Arial" w:hAnsi="Arial" w:cs="Arial"/>
          <w:sz w:val="24"/>
          <w:szCs w:val="24"/>
        </w:rPr>
        <w:tab/>
      </w:r>
      <w:r w:rsidR="009272C3" w:rsidRPr="009B6EB7">
        <w:rPr>
          <w:rFonts w:ascii="Arial" w:hAnsi="Arial" w:cs="Arial"/>
          <w:sz w:val="24"/>
          <w:szCs w:val="24"/>
        </w:rPr>
        <w:t xml:space="preserve">At the very heart of the matter is </w:t>
      </w:r>
      <w:r w:rsidR="007066A2" w:rsidRPr="009B6EB7">
        <w:rPr>
          <w:rFonts w:ascii="Arial" w:hAnsi="Arial" w:cs="Arial"/>
          <w:sz w:val="24"/>
          <w:szCs w:val="24"/>
        </w:rPr>
        <w:t>clause 9 of the buy-back agreement concluded by the appellants and Mr Guest</w:t>
      </w:r>
      <w:r w:rsidR="001444ED" w:rsidRPr="009B6EB7">
        <w:rPr>
          <w:rFonts w:ascii="Arial" w:hAnsi="Arial" w:cs="Arial"/>
          <w:sz w:val="24"/>
          <w:szCs w:val="24"/>
        </w:rPr>
        <w:t>. The contents are repeated below:</w:t>
      </w:r>
    </w:p>
    <w:p w14:paraId="29875592" w14:textId="77777777" w:rsidR="007066A2" w:rsidRPr="00031FFC" w:rsidRDefault="007066A2" w:rsidP="00147E19">
      <w:pPr>
        <w:spacing w:line="360" w:lineRule="auto"/>
        <w:ind w:left="720"/>
        <w:jc w:val="both"/>
        <w:rPr>
          <w:rFonts w:ascii="Arial" w:hAnsi="Arial" w:cs="Arial"/>
          <w:sz w:val="20"/>
          <w:szCs w:val="20"/>
        </w:rPr>
      </w:pPr>
      <w:r w:rsidRPr="00031FFC">
        <w:rPr>
          <w:rFonts w:ascii="Arial" w:hAnsi="Arial" w:cs="Arial"/>
          <w:sz w:val="20"/>
          <w:szCs w:val="20"/>
        </w:rPr>
        <w:t xml:space="preserve">‘Peter [Mr Guest] acknowledges and agrees that he is bound by a Restraint in terms of the Association Agreement, and further confirms and undertakes to comply with the Restraint set out hereunder having regard to the substantial repurchase consideration effected to Peter which </w:t>
      </w:r>
      <w:r w:rsidRPr="00031FFC">
        <w:rPr>
          <w:rFonts w:ascii="Arial" w:hAnsi="Arial" w:cs="Arial"/>
          <w:sz w:val="20"/>
          <w:szCs w:val="20"/>
        </w:rPr>
        <w:lastRenderedPageBreak/>
        <w:t xml:space="preserve">includes consideration for goodwill </w:t>
      </w:r>
      <w:bookmarkStart w:id="11" w:name="_Hlk114732344"/>
      <w:r w:rsidRPr="00031FFC">
        <w:rPr>
          <w:rFonts w:ascii="Arial" w:hAnsi="Arial" w:cs="Arial"/>
          <w:sz w:val="20"/>
          <w:szCs w:val="20"/>
        </w:rPr>
        <w:t>and in order to protect the proprietary interests of the Corporation [Chemex] going forward</w:t>
      </w:r>
      <w:bookmarkEnd w:id="11"/>
      <w:r w:rsidRPr="00031FFC">
        <w:rPr>
          <w:rFonts w:ascii="Arial" w:hAnsi="Arial" w:cs="Arial"/>
          <w:sz w:val="20"/>
          <w:szCs w:val="20"/>
        </w:rPr>
        <w:t>. Peter confirms that he has no claim to the trade name / mark “Chemex”, which is the trade name / trademark of the Corporation, and which proprietary rights in the aforesaid trade name / marks vests in the Corporation.</w:t>
      </w:r>
    </w:p>
    <w:p w14:paraId="47EA8DA4" w14:textId="77777777" w:rsidR="007066A2" w:rsidRPr="00031FFC" w:rsidRDefault="007066A2" w:rsidP="00147E19">
      <w:pPr>
        <w:spacing w:line="360" w:lineRule="auto"/>
        <w:ind w:left="720"/>
        <w:jc w:val="both"/>
        <w:rPr>
          <w:rFonts w:ascii="Arial" w:hAnsi="Arial" w:cs="Arial"/>
          <w:sz w:val="20"/>
          <w:szCs w:val="20"/>
        </w:rPr>
      </w:pPr>
      <w:r w:rsidRPr="00031FFC">
        <w:rPr>
          <w:rFonts w:ascii="Arial" w:hAnsi="Arial" w:cs="Arial"/>
          <w:sz w:val="20"/>
          <w:szCs w:val="20"/>
        </w:rPr>
        <w:t>Peter undertakes that for a period of five (5) years from 31</w:t>
      </w:r>
      <w:r w:rsidRPr="00031FFC">
        <w:rPr>
          <w:rFonts w:ascii="Arial" w:hAnsi="Arial" w:cs="Arial"/>
          <w:sz w:val="20"/>
          <w:szCs w:val="20"/>
          <w:vertAlign w:val="superscript"/>
        </w:rPr>
        <w:t>st</w:t>
      </w:r>
      <w:r w:rsidRPr="00031FFC">
        <w:rPr>
          <w:rFonts w:ascii="Arial" w:hAnsi="Arial" w:cs="Arial"/>
          <w:sz w:val="20"/>
          <w:szCs w:val="20"/>
        </w:rPr>
        <w:t xml:space="preserve"> July 2020 or the termination of employment with the Corporation he will not engage or be interested in, whether directly or indirectly, or have any financial interest in any business or undertaking carrying on a business similar to the business which is carried on by the Corporation. This restraint of trade shall encompass those municipal areas when the Corporation has carried on business in any manner for the immediately previous 24 (TWENTY-FOUR) month period.’</w:t>
      </w:r>
    </w:p>
    <w:p w14:paraId="0C48B0FC" w14:textId="77777777" w:rsidR="007066A2" w:rsidRPr="00031FFC" w:rsidRDefault="007066A2" w:rsidP="001444ED">
      <w:pPr>
        <w:spacing w:line="360" w:lineRule="auto"/>
        <w:jc w:val="right"/>
        <w:rPr>
          <w:rFonts w:ascii="Arial" w:hAnsi="Arial" w:cs="Arial"/>
          <w:sz w:val="20"/>
          <w:szCs w:val="20"/>
        </w:rPr>
      </w:pPr>
      <w:r w:rsidRPr="00031FFC">
        <w:rPr>
          <w:rFonts w:ascii="Arial" w:hAnsi="Arial" w:cs="Arial"/>
          <w:sz w:val="20"/>
          <w:szCs w:val="20"/>
        </w:rPr>
        <w:t>[sic]</w:t>
      </w:r>
    </w:p>
    <w:p w14:paraId="5BBA764E" w14:textId="77777777" w:rsidR="00147E19" w:rsidRPr="00031FFC" w:rsidRDefault="00147E19" w:rsidP="001444ED">
      <w:pPr>
        <w:spacing w:line="360" w:lineRule="auto"/>
        <w:jc w:val="right"/>
        <w:rPr>
          <w:rFonts w:ascii="Arial" w:hAnsi="Arial" w:cs="Arial"/>
          <w:sz w:val="20"/>
          <w:szCs w:val="20"/>
        </w:rPr>
      </w:pPr>
    </w:p>
    <w:p w14:paraId="1B598879" w14:textId="7AE2E677"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[39]</w:t>
      </w:r>
      <w:r w:rsidRPr="00031FFC">
        <w:rPr>
          <w:rFonts w:ascii="Arial" w:hAnsi="Arial" w:cs="Arial"/>
          <w:sz w:val="24"/>
          <w:szCs w:val="24"/>
        </w:rPr>
        <w:tab/>
      </w:r>
      <w:r w:rsidR="001444ED" w:rsidRPr="009B6EB7">
        <w:rPr>
          <w:rFonts w:ascii="Arial" w:hAnsi="Arial" w:cs="Arial"/>
          <w:sz w:val="24"/>
          <w:szCs w:val="24"/>
        </w:rPr>
        <w:t xml:space="preserve">It is </w:t>
      </w:r>
      <w:r w:rsidR="00281B48" w:rsidRPr="009B6EB7">
        <w:rPr>
          <w:rFonts w:ascii="Arial" w:hAnsi="Arial" w:cs="Arial"/>
          <w:sz w:val="24"/>
          <w:szCs w:val="24"/>
        </w:rPr>
        <w:t xml:space="preserve">apparent </w:t>
      </w:r>
      <w:r w:rsidR="001444ED" w:rsidRPr="009B6EB7">
        <w:rPr>
          <w:rFonts w:ascii="Arial" w:hAnsi="Arial" w:cs="Arial"/>
          <w:sz w:val="24"/>
          <w:szCs w:val="24"/>
        </w:rPr>
        <w:t>from the above</w:t>
      </w:r>
      <w:r w:rsidR="00281B48" w:rsidRPr="009B6EB7">
        <w:rPr>
          <w:rFonts w:ascii="Arial" w:hAnsi="Arial" w:cs="Arial"/>
          <w:sz w:val="24"/>
          <w:szCs w:val="24"/>
        </w:rPr>
        <w:t>, on the face of it,</w:t>
      </w:r>
      <w:r w:rsidR="001444ED" w:rsidRPr="009B6EB7">
        <w:rPr>
          <w:rFonts w:ascii="Arial" w:hAnsi="Arial" w:cs="Arial"/>
          <w:sz w:val="24"/>
          <w:szCs w:val="24"/>
        </w:rPr>
        <w:t xml:space="preserve"> that the potential effect of the</w:t>
      </w:r>
      <w:r w:rsidR="00027988" w:rsidRPr="009B6EB7">
        <w:rPr>
          <w:rFonts w:ascii="Arial" w:hAnsi="Arial" w:cs="Arial"/>
          <w:sz w:val="24"/>
          <w:szCs w:val="24"/>
        </w:rPr>
        <w:t xml:space="preserve"> covenant in</w:t>
      </w:r>
      <w:r w:rsidR="001444ED" w:rsidRPr="009B6EB7">
        <w:rPr>
          <w:rFonts w:ascii="Arial" w:hAnsi="Arial" w:cs="Arial"/>
          <w:sz w:val="24"/>
          <w:szCs w:val="24"/>
        </w:rPr>
        <w:t xml:space="preserve"> restraint of trade is far-reaching. The clause in question prevents Mr Guest from having anything to do with a business or undertaking that carries on business ‘similar to’ that of Chemex. It</w:t>
      </w:r>
      <w:r w:rsidR="00253753" w:rsidRPr="009B6EB7">
        <w:rPr>
          <w:rFonts w:ascii="Arial" w:hAnsi="Arial" w:cs="Arial"/>
          <w:sz w:val="24"/>
          <w:szCs w:val="24"/>
        </w:rPr>
        <w:t xml:space="preserve"> covers virtually the entire Eastern Cape Province and endures for a period of five years.</w:t>
      </w:r>
    </w:p>
    <w:p w14:paraId="54D54047" w14:textId="77777777" w:rsidR="00147E19" w:rsidRPr="00031FFC" w:rsidRDefault="00147E19" w:rsidP="00147E19">
      <w:pPr>
        <w:pStyle w:val="ListParagraph"/>
        <w:spacing w:line="360" w:lineRule="auto"/>
        <w:ind w:left="0"/>
        <w:jc w:val="both"/>
        <w:rPr>
          <w:rFonts w:ascii="Arial" w:hAnsi="Arial" w:cs="Arial"/>
          <w:sz w:val="24"/>
          <w:szCs w:val="24"/>
        </w:rPr>
      </w:pPr>
    </w:p>
    <w:p w14:paraId="140FD816" w14:textId="26284F35" w:rsidR="00253753"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[40]</w:t>
      </w:r>
      <w:r w:rsidRPr="00031FFC">
        <w:rPr>
          <w:rFonts w:ascii="Arial" w:hAnsi="Arial" w:cs="Arial"/>
          <w:sz w:val="24"/>
          <w:szCs w:val="24"/>
        </w:rPr>
        <w:tab/>
      </w:r>
      <w:r w:rsidR="00253753" w:rsidRPr="009B6EB7">
        <w:rPr>
          <w:rFonts w:ascii="Arial" w:hAnsi="Arial" w:cs="Arial"/>
          <w:sz w:val="24"/>
          <w:szCs w:val="24"/>
        </w:rPr>
        <w:t xml:space="preserve">The </w:t>
      </w:r>
      <w:r w:rsidR="00253753" w:rsidRPr="009B6EB7">
        <w:rPr>
          <w:rFonts w:ascii="Arial" w:hAnsi="Arial" w:cs="Arial"/>
          <w:i/>
          <w:iCs/>
          <w:sz w:val="24"/>
          <w:szCs w:val="24"/>
        </w:rPr>
        <w:t>locus classicus</w:t>
      </w:r>
      <w:r w:rsidR="00253753" w:rsidRPr="009B6EB7">
        <w:rPr>
          <w:rFonts w:ascii="Arial" w:hAnsi="Arial" w:cs="Arial"/>
          <w:sz w:val="24"/>
          <w:szCs w:val="24"/>
        </w:rPr>
        <w:t xml:space="preserve"> for </w:t>
      </w:r>
      <w:r w:rsidR="00823D0C" w:rsidRPr="009B6EB7">
        <w:rPr>
          <w:rFonts w:ascii="Arial" w:hAnsi="Arial" w:cs="Arial"/>
          <w:sz w:val="24"/>
          <w:szCs w:val="24"/>
        </w:rPr>
        <w:t xml:space="preserve">the law pertaining to the interpretation of documents remains </w:t>
      </w:r>
      <w:bookmarkStart w:id="12" w:name="_Hlk115874136"/>
      <w:r w:rsidR="00823D0C" w:rsidRPr="009B6EB7">
        <w:rPr>
          <w:rFonts w:ascii="Arial" w:hAnsi="Arial" w:cs="Arial"/>
          <w:i/>
          <w:iCs/>
          <w:sz w:val="24"/>
          <w:szCs w:val="24"/>
        </w:rPr>
        <w:t>Natal Joint Municipal Pension Fund v Endumeni Municipality</w:t>
      </w:r>
      <w:bookmarkEnd w:id="12"/>
      <w:r w:rsidR="00C725D4" w:rsidRPr="00031FFC">
        <w:rPr>
          <w:rStyle w:val="FootnoteReference"/>
          <w:rFonts w:ascii="Arial" w:hAnsi="Arial" w:cs="Arial"/>
          <w:i/>
          <w:iCs/>
          <w:sz w:val="24"/>
          <w:szCs w:val="24"/>
        </w:rPr>
        <w:footnoteReference w:id="8"/>
      </w:r>
      <w:r w:rsidR="00823D0C" w:rsidRPr="009B6EB7">
        <w:rPr>
          <w:rFonts w:ascii="Arial" w:hAnsi="Arial" w:cs="Arial"/>
          <w:sz w:val="24"/>
          <w:szCs w:val="24"/>
        </w:rPr>
        <w:t>, where Wallis JA held, at</w:t>
      </w:r>
      <w:r w:rsidR="00201704" w:rsidRPr="009B6EB7">
        <w:rPr>
          <w:rFonts w:ascii="Arial" w:hAnsi="Arial" w:cs="Arial"/>
          <w:sz w:val="24"/>
          <w:szCs w:val="24"/>
        </w:rPr>
        <w:t xml:space="preserve"> paragraph</w:t>
      </w:r>
      <w:r w:rsidR="00823D0C" w:rsidRPr="009B6EB7">
        <w:rPr>
          <w:rFonts w:ascii="Arial" w:hAnsi="Arial" w:cs="Arial"/>
          <w:sz w:val="24"/>
          <w:szCs w:val="24"/>
        </w:rPr>
        <w:t xml:space="preserve"> [18], that </w:t>
      </w:r>
    </w:p>
    <w:p w14:paraId="3EE173DF" w14:textId="77777777" w:rsidR="00823D0C" w:rsidRPr="00031FFC" w:rsidRDefault="00823D0C" w:rsidP="00147E19">
      <w:pPr>
        <w:spacing w:line="360" w:lineRule="auto"/>
        <w:ind w:left="720"/>
        <w:jc w:val="both"/>
        <w:rPr>
          <w:rFonts w:ascii="Arial" w:hAnsi="Arial" w:cs="Arial"/>
          <w:sz w:val="20"/>
          <w:szCs w:val="20"/>
        </w:rPr>
      </w:pPr>
      <w:r w:rsidRPr="00031FFC">
        <w:rPr>
          <w:rFonts w:ascii="Arial" w:hAnsi="Arial" w:cs="Arial"/>
          <w:sz w:val="20"/>
          <w:szCs w:val="20"/>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w:t>
      </w:r>
      <w:r w:rsidR="008D6CE8" w:rsidRPr="00031FFC">
        <w:rPr>
          <w:rFonts w:ascii="Arial" w:hAnsi="Arial" w:cs="Arial"/>
          <w:sz w:val="20"/>
          <w:szCs w:val="20"/>
        </w:rPr>
        <w:t xml:space="preserve">. Judges must be alert </w:t>
      </w:r>
      <w:r w:rsidR="008D6CE8" w:rsidRPr="00031FFC">
        <w:rPr>
          <w:rFonts w:ascii="Arial" w:hAnsi="Arial" w:cs="Arial"/>
          <w:sz w:val="20"/>
          <w:szCs w:val="20"/>
        </w:rPr>
        <w:lastRenderedPageBreak/>
        <w:t>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p>
    <w:p w14:paraId="6A270E79" w14:textId="77777777" w:rsidR="00147E19" w:rsidRPr="00031FFC" w:rsidRDefault="00147E19" w:rsidP="001444ED">
      <w:pPr>
        <w:spacing w:line="360" w:lineRule="auto"/>
        <w:rPr>
          <w:rFonts w:ascii="Arial" w:hAnsi="Arial" w:cs="Arial"/>
          <w:sz w:val="24"/>
          <w:szCs w:val="24"/>
        </w:rPr>
      </w:pPr>
    </w:p>
    <w:p w14:paraId="77631756" w14:textId="144985FA"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[41]</w:t>
      </w:r>
      <w:r w:rsidRPr="00031FFC">
        <w:rPr>
          <w:rFonts w:ascii="Arial" w:hAnsi="Arial" w:cs="Arial"/>
          <w:sz w:val="24"/>
          <w:szCs w:val="24"/>
        </w:rPr>
        <w:tab/>
      </w:r>
      <w:r w:rsidR="00730B4D" w:rsidRPr="009B6EB7">
        <w:rPr>
          <w:rFonts w:ascii="Arial" w:hAnsi="Arial" w:cs="Arial"/>
          <w:sz w:val="24"/>
          <w:szCs w:val="24"/>
        </w:rPr>
        <w:t xml:space="preserve">There are, furthermore, two recent cases that deal with the subject, decided by the Supreme Court of Appeal within a few months of each other. In </w:t>
      </w:r>
      <w:bookmarkStart w:id="13" w:name="_Hlk114652717"/>
      <w:r w:rsidR="00A22B27" w:rsidRPr="009B6EB7">
        <w:rPr>
          <w:rFonts w:ascii="Arial" w:hAnsi="Arial" w:cs="Arial"/>
          <w:i/>
          <w:iCs/>
          <w:sz w:val="24"/>
          <w:szCs w:val="24"/>
        </w:rPr>
        <w:t>Capitec Bank Holdings Limited and another v Coral Lagoon Investments 194 (Pty) Ltd and others</w:t>
      </w:r>
      <w:bookmarkEnd w:id="13"/>
      <w:r w:rsidR="00C725D4" w:rsidRPr="00031FFC">
        <w:rPr>
          <w:rStyle w:val="FootnoteReference"/>
          <w:rFonts w:ascii="Arial" w:hAnsi="Arial" w:cs="Arial"/>
          <w:i/>
          <w:iCs/>
          <w:sz w:val="24"/>
          <w:szCs w:val="24"/>
        </w:rPr>
        <w:footnoteReference w:id="9"/>
      </w:r>
      <w:r w:rsidR="00A22B27" w:rsidRPr="009B6EB7">
        <w:rPr>
          <w:rFonts w:ascii="Arial" w:hAnsi="Arial" w:cs="Arial"/>
          <w:sz w:val="24"/>
          <w:szCs w:val="24"/>
        </w:rPr>
        <w:t>, Unterhalter AJA remarked</w:t>
      </w:r>
      <w:r w:rsidR="002455A0" w:rsidRPr="009B6EB7">
        <w:rPr>
          <w:rFonts w:ascii="Arial" w:hAnsi="Arial" w:cs="Arial"/>
          <w:sz w:val="24"/>
          <w:szCs w:val="24"/>
        </w:rPr>
        <w:t xml:space="preserve">, at </w:t>
      </w:r>
      <w:r w:rsidR="00027988" w:rsidRPr="009B6EB7">
        <w:rPr>
          <w:rFonts w:ascii="Arial" w:hAnsi="Arial" w:cs="Arial"/>
          <w:sz w:val="24"/>
          <w:szCs w:val="24"/>
        </w:rPr>
        <w:t xml:space="preserve">paragraph </w:t>
      </w:r>
      <w:r w:rsidR="002455A0" w:rsidRPr="009B6EB7">
        <w:rPr>
          <w:rFonts w:ascii="Arial" w:hAnsi="Arial" w:cs="Arial"/>
          <w:sz w:val="24"/>
          <w:szCs w:val="24"/>
        </w:rPr>
        <w:t>[51],</w:t>
      </w:r>
      <w:r w:rsidR="00A22B27" w:rsidRPr="009B6EB7">
        <w:rPr>
          <w:rFonts w:ascii="Arial" w:hAnsi="Arial" w:cs="Arial"/>
          <w:sz w:val="24"/>
          <w:szCs w:val="24"/>
        </w:rPr>
        <w:t xml:space="preserve"> that interpretation begins with the text and its structure. To postulate that ‘context is everything’ is not a </w:t>
      </w:r>
      <w:r w:rsidR="003A6D8A" w:rsidRPr="009B6EB7">
        <w:rPr>
          <w:rFonts w:ascii="Arial" w:hAnsi="Arial" w:cs="Arial"/>
          <w:sz w:val="24"/>
          <w:szCs w:val="24"/>
        </w:rPr>
        <w:t>license</w:t>
      </w:r>
      <w:r w:rsidR="00A22B27" w:rsidRPr="009B6EB7">
        <w:rPr>
          <w:rFonts w:ascii="Arial" w:hAnsi="Arial" w:cs="Arial"/>
          <w:sz w:val="24"/>
          <w:szCs w:val="24"/>
        </w:rPr>
        <w:t xml:space="preserve"> to contend for meanings unmoored to the text and its structure. Rather, context and purpose may be used to elucidate the text.</w:t>
      </w:r>
      <w:r w:rsidR="00435D53" w:rsidRPr="009B6EB7">
        <w:rPr>
          <w:rFonts w:ascii="Arial" w:hAnsi="Arial" w:cs="Arial"/>
          <w:sz w:val="24"/>
          <w:szCs w:val="24"/>
        </w:rPr>
        <w:t xml:space="preserve"> Similarly, in </w:t>
      </w:r>
      <w:bookmarkStart w:id="14" w:name="_Hlk115875172"/>
      <w:r w:rsidR="00435D53" w:rsidRPr="009B6EB7">
        <w:rPr>
          <w:rFonts w:ascii="Arial" w:hAnsi="Arial" w:cs="Arial"/>
          <w:i/>
          <w:iCs/>
          <w:sz w:val="24"/>
          <w:szCs w:val="24"/>
        </w:rPr>
        <w:t>Post Office Retirement Fund v South African Post Office SOC Ltd and others</w:t>
      </w:r>
      <w:bookmarkEnd w:id="14"/>
      <w:r w:rsidR="00C725D4" w:rsidRPr="00031FFC">
        <w:rPr>
          <w:rStyle w:val="FootnoteReference"/>
          <w:rFonts w:ascii="Arial" w:hAnsi="Arial" w:cs="Arial"/>
          <w:i/>
          <w:iCs/>
          <w:sz w:val="24"/>
          <w:szCs w:val="24"/>
        </w:rPr>
        <w:footnoteReference w:id="10"/>
      </w:r>
      <w:r w:rsidR="00435D53" w:rsidRPr="009B6EB7">
        <w:rPr>
          <w:rFonts w:ascii="Arial" w:hAnsi="Arial" w:cs="Arial"/>
          <w:sz w:val="24"/>
          <w:szCs w:val="24"/>
        </w:rPr>
        <w:t xml:space="preserve">, Plasket JA </w:t>
      </w:r>
      <w:r w:rsidR="0080609C" w:rsidRPr="009B6EB7">
        <w:rPr>
          <w:rFonts w:ascii="Arial" w:hAnsi="Arial" w:cs="Arial"/>
          <w:sz w:val="24"/>
          <w:szCs w:val="24"/>
        </w:rPr>
        <w:t>observed</w:t>
      </w:r>
      <w:r w:rsidR="002455A0" w:rsidRPr="009B6EB7">
        <w:rPr>
          <w:rFonts w:ascii="Arial" w:hAnsi="Arial" w:cs="Arial"/>
          <w:sz w:val="24"/>
          <w:szCs w:val="24"/>
        </w:rPr>
        <w:t xml:space="preserve">, at </w:t>
      </w:r>
      <w:r w:rsidR="00213AA7" w:rsidRPr="009B6EB7">
        <w:rPr>
          <w:rFonts w:ascii="Arial" w:hAnsi="Arial" w:cs="Arial"/>
          <w:sz w:val="24"/>
          <w:szCs w:val="24"/>
        </w:rPr>
        <w:t xml:space="preserve">paragraph </w:t>
      </w:r>
      <w:r w:rsidR="002455A0" w:rsidRPr="009B6EB7">
        <w:rPr>
          <w:rFonts w:ascii="Arial" w:hAnsi="Arial" w:cs="Arial"/>
          <w:sz w:val="24"/>
          <w:szCs w:val="24"/>
        </w:rPr>
        <w:t>[57],</w:t>
      </w:r>
      <w:r w:rsidR="0080609C" w:rsidRPr="009B6EB7">
        <w:rPr>
          <w:rFonts w:ascii="Arial" w:hAnsi="Arial" w:cs="Arial"/>
          <w:sz w:val="24"/>
          <w:szCs w:val="24"/>
        </w:rPr>
        <w:t xml:space="preserve"> that the interpretation of a written document is an objective exercise and the starting point is the words of the document to be interpreted. These remain constant and cannot be made to mean different things to suit the perceived needs of the moment.</w:t>
      </w:r>
    </w:p>
    <w:p w14:paraId="2F834736" w14:textId="77777777" w:rsidR="00147E19" w:rsidRPr="00031FFC" w:rsidRDefault="00147E19" w:rsidP="00147E19">
      <w:pPr>
        <w:pStyle w:val="ListParagraph"/>
        <w:spacing w:line="360" w:lineRule="auto"/>
        <w:ind w:left="0"/>
        <w:jc w:val="both"/>
        <w:rPr>
          <w:rFonts w:ascii="Arial" w:hAnsi="Arial" w:cs="Arial"/>
          <w:sz w:val="24"/>
          <w:szCs w:val="24"/>
        </w:rPr>
      </w:pPr>
    </w:p>
    <w:p w14:paraId="5A4FBDF4" w14:textId="5265BAD4"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[42]</w:t>
      </w:r>
      <w:r w:rsidRPr="00031FFC">
        <w:rPr>
          <w:rFonts w:ascii="Arial" w:hAnsi="Arial" w:cs="Arial"/>
          <w:sz w:val="24"/>
          <w:szCs w:val="24"/>
        </w:rPr>
        <w:tab/>
      </w:r>
      <w:r w:rsidR="0080609C" w:rsidRPr="009B6EB7">
        <w:rPr>
          <w:rFonts w:ascii="Arial" w:hAnsi="Arial" w:cs="Arial"/>
          <w:sz w:val="24"/>
          <w:szCs w:val="24"/>
        </w:rPr>
        <w:t>In the present matter, the text of the clause in question is uncomplicated</w:t>
      </w:r>
      <w:r w:rsidR="00797097" w:rsidRPr="009B6EB7">
        <w:rPr>
          <w:rFonts w:ascii="Arial" w:hAnsi="Arial" w:cs="Arial"/>
          <w:sz w:val="24"/>
          <w:szCs w:val="24"/>
        </w:rPr>
        <w:t xml:space="preserve">. </w:t>
      </w:r>
      <w:r w:rsidR="00B10AB2" w:rsidRPr="009B6EB7">
        <w:rPr>
          <w:rFonts w:ascii="Arial" w:hAnsi="Arial" w:cs="Arial"/>
          <w:sz w:val="24"/>
          <w:szCs w:val="24"/>
        </w:rPr>
        <w:t>T</w:t>
      </w:r>
      <w:r w:rsidR="005F2457" w:rsidRPr="009B6EB7">
        <w:rPr>
          <w:rFonts w:ascii="Arial" w:hAnsi="Arial" w:cs="Arial"/>
          <w:sz w:val="24"/>
          <w:szCs w:val="24"/>
        </w:rPr>
        <w:t>he standard definition of ‘similar’, used here as an adjective, is ‘of the same kind in appearance, character, or quantity, without being identical’.</w:t>
      </w:r>
      <w:r w:rsidR="005F2457" w:rsidRPr="00031FFC">
        <w:rPr>
          <w:vertAlign w:val="superscript"/>
        </w:rPr>
        <w:footnoteReference w:id="11"/>
      </w:r>
      <w:r w:rsidR="005F2457" w:rsidRPr="009B6EB7">
        <w:rPr>
          <w:rFonts w:ascii="Arial" w:hAnsi="Arial" w:cs="Arial"/>
          <w:sz w:val="24"/>
          <w:szCs w:val="24"/>
        </w:rPr>
        <w:t xml:space="preserve"> </w:t>
      </w:r>
    </w:p>
    <w:p w14:paraId="40372397" w14:textId="77777777" w:rsidR="00147E19" w:rsidRPr="00031FFC" w:rsidRDefault="00147E19" w:rsidP="00147E19">
      <w:pPr>
        <w:pStyle w:val="ListParagraph"/>
        <w:rPr>
          <w:rFonts w:ascii="Arial" w:hAnsi="Arial" w:cs="Arial"/>
          <w:sz w:val="24"/>
          <w:szCs w:val="24"/>
        </w:rPr>
      </w:pPr>
    </w:p>
    <w:p w14:paraId="1E5D2B8E" w14:textId="5126529C"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[43]</w:t>
      </w:r>
      <w:r w:rsidRPr="00031FFC">
        <w:rPr>
          <w:rFonts w:ascii="Arial" w:hAnsi="Arial" w:cs="Arial"/>
          <w:sz w:val="24"/>
          <w:szCs w:val="24"/>
        </w:rPr>
        <w:tab/>
      </w:r>
      <w:r w:rsidR="0080609C" w:rsidRPr="009B6EB7">
        <w:rPr>
          <w:rFonts w:ascii="Arial" w:hAnsi="Arial" w:cs="Arial"/>
          <w:sz w:val="24"/>
          <w:szCs w:val="24"/>
        </w:rPr>
        <w:t xml:space="preserve">The context of the clause is the appellants’ purchase of Mr Guest’s member’s interest </w:t>
      </w:r>
      <w:r w:rsidR="00C14BB0" w:rsidRPr="009B6EB7">
        <w:rPr>
          <w:rFonts w:ascii="Arial" w:hAnsi="Arial" w:cs="Arial"/>
          <w:sz w:val="24"/>
          <w:szCs w:val="24"/>
        </w:rPr>
        <w:t xml:space="preserve">for a considerable sum of money </w:t>
      </w:r>
      <w:r w:rsidR="0080609C" w:rsidRPr="009B6EB7">
        <w:rPr>
          <w:rFonts w:ascii="Arial" w:hAnsi="Arial" w:cs="Arial"/>
          <w:sz w:val="24"/>
          <w:szCs w:val="24"/>
        </w:rPr>
        <w:t xml:space="preserve">and the </w:t>
      </w:r>
      <w:r w:rsidR="00C14BB0" w:rsidRPr="009B6EB7">
        <w:rPr>
          <w:rFonts w:ascii="Arial" w:hAnsi="Arial" w:cs="Arial"/>
          <w:sz w:val="24"/>
          <w:szCs w:val="24"/>
        </w:rPr>
        <w:t xml:space="preserve">transfer of two luxury vehicles to settle </w:t>
      </w:r>
      <w:r w:rsidR="0080609C" w:rsidRPr="009B6EB7">
        <w:rPr>
          <w:rFonts w:ascii="Arial" w:hAnsi="Arial" w:cs="Arial"/>
          <w:sz w:val="24"/>
          <w:szCs w:val="24"/>
        </w:rPr>
        <w:t>his loan account</w:t>
      </w:r>
      <w:r w:rsidR="00B10AB2" w:rsidRPr="009B6EB7">
        <w:rPr>
          <w:rFonts w:ascii="Arial" w:hAnsi="Arial" w:cs="Arial"/>
          <w:sz w:val="24"/>
          <w:szCs w:val="24"/>
        </w:rPr>
        <w:t>.</w:t>
      </w:r>
      <w:r w:rsidR="00C14BB0" w:rsidRPr="00031FFC">
        <w:rPr>
          <w:rStyle w:val="FootnoteReference"/>
          <w:rFonts w:ascii="Arial" w:hAnsi="Arial" w:cs="Arial"/>
          <w:sz w:val="24"/>
          <w:szCs w:val="24"/>
        </w:rPr>
        <w:footnoteReference w:id="12"/>
      </w:r>
      <w:r w:rsidR="005F2457" w:rsidRPr="009B6EB7">
        <w:rPr>
          <w:rFonts w:ascii="Arial" w:hAnsi="Arial" w:cs="Arial"/>
          <w:sz w:val="24"/>
          <w:szCs w:val="24"/>
        </w:rPr>
        <w:t xml:space="preserve"> </w:t>
      </w:r>
      <w:r w:rsidR="00B10AB2" w:rsidRPr="009B6EB7">
        <w:rPr>
          <w:rFonts w:ascii="Arial" w:hAnsi="Arial" w:cs="Arial"/>
          <w:sz w:val="24"/>
          <w:szCs w:val="24"/>
        </w:rPr>
        <w:t>F</w:t>
      </w:r>
      <w:r w:rsidR="000E30FA" w:rsidRPr="009B6EB7">
        <w:rPr>
          <w:rFonts w:ascii="Arial" w:hAnsi="Arial" w:cs="Arial"/>
          <w:sz w:val="24"/>
          <w:szCs w:val="24"/>
        </w:rPr>
        <w:t xml:space="preserve">urthermore, the agreement was entered into upon the departure of </w:t>
      </w:r>
      <w:r w:rsidR="000E30FA" w:rsidRPr="009B6EB7">
        <w:rPr>
          <w:rFonts w:ascii="Arial" w:hAnsi="Arial" w:cs="Arial"/>
          <w:sz w:val="24"/>
          <w:szCs w:val="24"/>
        </w:rPr>
        <w:lastRenderedPageBreak/>
        <w:t xml:space="preserve">Chemex’s founding member, who had established the business, developed an extensive customer network throughout the province, and accumulated 35 years of experience in the manufacture of cleaning and hygiene products. </w:t>
      </w:r>
    </w:p>
    <w:p w14:paraId="775C95F0" w14:textId="77777777" w:rsidR="00147E19" w:rsidRPr="00031FFC" w:rsidRDefault="00147E19" w:rsidP="00147E19">
      <w:pPr>
        <w:pStyle w:val="ListParagraph"/>
        <w:rPr>
          <w:rFonts w:ascii="Arial" w:hAnsi="Arial" w:cs="Arial"/>
          <w:sz w:val="24"/>
          <w:szCs w:val="24"/>
        </w:rPr>
      </w:pPr>
    </w:p>
    <w:p w14:paraId="35F11099" w14:textId="2A63CF5D"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[44]</w:t>
      </w:r>
      <w:r w:rsidRPr="00031FFC">
        <w:rPr>
          <w:rFonts w:ascii="Arial" w:hAnsi="Arial" w:cs="Arial"/>
          <w:sz w:val="24"/>
          <w:szCs w:val="24"/>
        </w:rPr>
        <w:tab/>
      </w:r>
      <w:r w:rsidR="000E30FA" w:rsidRPr="009B6EB7">
        <w:rPr>
          <w:rFonts w:ascii="Arial" w:hAnsi="Arial" w:cs="Arial"/>
          <w:sz w:val="24"/>
          <w:szCs w:val="24"/>
        </w:rPr>
        <w:t>The purpose of the clause was to protect Chemex’s proprietary interests.</w:t>
      </w:r>
      <w:r w:rsidR="00797097" w:rsidRPr="009B6EB7">
        <w:rPr>
          <w:rFonts w:ascii="Arial" w:hAnsi="Arial" w:cs="Arial"/>
          <w:sz w:val="24"/>
          <w:szCs w:val="24"/>
        </w:rPr>
        <w:t xml:space="preserve"> To that effect, the parties expressly record</w:t>
      </w:r>
      <w:r w:rsidR="004B2D62" w:rsidRPr="009B6EB7">
        <w:rPr>
          <w:rFonts w:ascii="Arial" w:hAnsi="Arial" w:cs="Arial"/>
          <w:sz w:val="24"/>
          <w:szCs w:val="24"/>
        </w:rPr>
        <w:t>ed</w:t>
      </w:r>
      <w:r w:rsidR="00797097" w:rsidRPr="009B6EB7">
        <w:rPr>
          <w:rFonts w:ascii="Arial" w:hAnsi="Arial" w:cs="Arial"/>
          <w:sz w:val="24"/>
          <w:szCs w:val="24"/>
        </w:rPr>
        <w:t xml:space="preserve"> that Mr Guest agreed to be bound by and to comply with the </w:t>
      </w:r>
      <w:r w:rsidR="00213AA7" w:rsidRPr="009B6EB7">
        <w:rPr>
          <w:rFonts w:ascii="Arial" w:hAnsi="Arial" w:cs="Arial"/>
          <w:sz w:val="24"/>
          <w:szCs w:val="24"/>
        </w:rPr>
        <w:t xml:space="preserve">covenant in </w:t>
      </w:r>
      <w:r w:rsidR="00797097" w:rsidRPr="009B6EB7">
        <w:rPr>
          <w:rFonts w:ascii="Arial" w:hAnsi="Arial" w:cs="Arial"/>
          <w:sz w:val="24"/>
          <w:szCs w:val="24"/>
        </w:rPr>
        <w:t xml:space="preserve">restraint of trade, having had regard </w:t>
      </w:r>
      <w:r w:rsidR="004B2D62" w:rsidRPr="009B6EB7">
        <w:rPr>
          <w:rFonts w:ascii="Arial" w:hAnsi="Arial" w:cs="Arial"/>
          <w:sz w:val="24"/>
          <w:szCs w:val="24"/>
        </w:rPr>
        <w:t>to the ‘substantial repurchase consideration’ that was paid to him and the need for ‘</w:t>
      </w:r>
      <w:r w:rsidR="00797097" w:rsidRPr="009B6EB7">
        <w:rPr>
          <w:rFonts w:ascii="Arial" w:hAnsi="Arial" w:cs="Arial"/>
          <w:sz w:val="24"/>
          <w:szCs w:val="24"/>
        </w:rPr>
        <w:t>the proprietary interests of the Corporation [Chemex] going forward</w:t>
      </w:r>
      <w:r w:rsidR="004B2D62" w:rsidRPr="009B6EB7">
        <w:rPr>
          <w:rFonts w:ascii="Arial" w:hAnsi="Arial" w:cs="Arial"/>
          <w:sz w:val="24"/>
          <w:szCs w:val="24"/>
        </w:rPr>
        <w:t>’ to be protected.</w:t>
      </w:r>
      <w:r w:rsidR="00797097" w:rsidRPr="009B6EB7">
        <w:rPr>
          <w:rFonts w:ascii="Arial" w:hAnsi="Arial" w:cs="Arial"/>
          <w:sz w:val="24"/>
          <w:szCs w:val="24"/>
        </w:rPr>
        <w:t xml:space="preserve"> </w:t>
      </w:r>
    </w:p>
    <w:p w14:paraId="7C169385" w14:textId="77777777" w:rsidR="00B93541" w:rsidRPr="00031FFC" w:rsidRDefault="00B93541" w:rsidP="00B93541">
      <w:pPr>
        <w:pStyle w:val="ListParagraph"/>
        <w:rPr>
          <w:rFonts w:ascii="Arial" w:hAnsi="Arial" w:cs="Arial"/>
          <w:sz w:val="24"/>
          <w:szCs w:val="24"/>
        </w:rPr>
      </w:pPr>
    </w:p>
    <w:p w14:paraId="092662A3" w14:textId="6BED7A4C" w:rsidR="00147E19"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[45]</w:t>
      </w:r>
      <w:r w:rsidRPr="00031FFC">
        <w:rPr>
          <w:rFonts w:ascii="Arial" w:hAnsi="Arial" w:cs="Arial"/>
          <w:sz w:val="24"/>
          <w:szCs w:val="24"/>
        </w:rPr>
        <w:tab/>
      </w:r>
      <w:r w:rsidR="00281B48" w:rsidRPr="009B6EB7">
        <w:rPr>
          <w:rFonts w:ascii="Arial" w:hAnsi="Arial" w:cs="Arial"/>
          <w:sz w:val="24"/>
          <w:szCs w:val="24"/>
        </w:rPr>
        <w:t>T</w:t>
      </w:r>
      <w:r w:rsidR="00524FCA" w:rsidRPr="009B6EB7">
        <w:rPr>
          <w:rFonts w:ascii="Arial" w:hAnsi="Arial" w:cs="Arial"/>
          <w:sz w:val="24"/>
          <w:szCs w:val="24"/>
        </w:rPr>
        <w:t>he most sensible and businesslike interpretation to accord to the clause</w:t>
      </w:r>
      <w:r w:rsidR="00281B48" w:rsidRPr="009B6EB7">
        <w:rPr>
          <w:rFonts w:ascii="Arial" w:hAnsi="Arial" w:cs="Arial"/>
          <w:sz w:val="24"/>
          <w:szCs w:val="24"/>
        </w:rPr>
        <w:t xml:space="preserve">, mindful of </w:t>
      </w:r>
      <w:r w:rsidR="005F2457" w:rsidRPr="009B6EB7">
        <w:rPr>
          <w:rFonts w:ascii="Arial" w:hAnsi="Arial" w:cs="Arial"/>
          <w:sz w:val="24"/>
          <w:szCs w:val="24"/>
        </w:rPr>
        <w:t>text,</w:t>
      </w:r>
      <w:r w:rsidR="00281B48" w:rsidRPr="009B6EB7">
        <w:rPr>
          <w:rFonts w:ascii="Arial" w:hAnsi="Arial" w:cs="Arial"/>
          <w:sz w:val="24"/>
          <w:szCs w:val="24"/>
        </w:rPr>
        <w:t xml:space="preserve"> context and purpose,</w:t>
      </w:r>
      <w:r w:rsidR="00524FCA" w:rsidRPr="009B6EB7">
        <w:rPr>
          <w:rFonts w:ascii="Arial" w:hAnsi="Arial" w:cs="Arial"/>
          <w:sz w:val="24"/>
          <w:szCs w:val="24"/>
        </w:rPr>
        <w:t xml:space="preserve"> is </w:t>
      </w:r>
      <w:bookmarkStart w:id="15" w:name="_Hlk115873247"/>
      <w:r w:rsidR="00524FCA" w:rsidRPr="009B6EB7">
        <w:rPr>
          <w:rFonts w:ascii="Arial" w:hAnsi="Arial" w:cs="Arial"/>
          <w:sz w:val="24"/>
          <w:szCs w:val="24"/>
        </w:rPr>
        <w:t>that Mr Guest undertook</w:t>
      </w:r>
      <w:r w:rsidR="00281B48" w:rsidRPr="009B6EB7">
        <w:rPr>
          <w:rFonts w:ascii="Arial" w:hAnsi="Arial" w:cs="Arial"/>
          <w:sz w:val="24"/>
          <w:szCs w:val="24"/>
        </w:rPr>
        <w:t xml:space="preserve">, for a </w:t>
      </w:r>
      <w:r w:rsidR="00D9491E" w:rsidRPr="009B6EB7">
        <w:rPr>
          <w:rFonts w:ascii="Arial" w:hAnsi="Arial" w:cs="Arial"/>
          <w:sz w:val="24"/>
          <w:szCs w:val="24"/>
        </w:rPr>
        <w:t>specified period and for a specified area,</w:t>
      </w:r>
      <w:r w:rsidR="00524FCA" w:rsidRPr="009B6EB7">
        <w:rPr>
          <w:rFonts w:ascii="Arial" w:hAnsi="Arial" w:cs="Arial"/>
          <w:sz w:val="24"/>
          <w:szCs w:val="24"/>
        </w:rPr>
        <w:t xml:space="preserve"> not to become involved or have any interest in any business that </w:t>
      </w:r>
      <w:r w:rsidR="00281B48" w:rsidRPr="009B6EB7">
        <w:rPr>
          <w:rFonts w:ascii="Arial" w:hAnsi="Arial" w:cs="Arial"/>
          <w:sz w:val="24"/>
          <w:szCs w:val="24"/>
        </w:rPr>
        <w:t>was similar to</w:t>
      </w:r>
      <w:r w:rsidR="00D9491E" w:rsidRPr="009B6EB7">
        <w:rPr>
          <w:rFonts w:ascii="Arial" w:hAnsi="Arial" w:cs="Arial"/>
          <w:sz w:val="24"/>
          <w:szCs w:val="24"/>
        </w:rPr>
        <w:t xml:space="preserve"> </w:t>
      </w:r>
      <w:r w:rsidR="00281B48" w:rsidRPr="009B6EB7">
        <w:rPr>
          <w:rFonts w:ascii="Arial" w:hAnsi="Arial" w:cs="Arial"/>
          <w:sz w:val="24"/>
          <w:szCs w:val="24"/>
        </w:rPr>
        <w:t>that of Chemex.</w:t>
      </w:r>
      <w:bookmarkEnd w:id="15"/>
      <w:r w:rsidR="00281B48" w:rsidRPr="009B6EB7">
        <w:rPr>
          <w:rFonts w:ascii="Arial" w:hAnsi="Arial" w:cs="Arial"/>
          <w:sz w:val="24"/>
          <w:szCs w:val="24"/>
        </w:rPr>
        <w:t xml:space="preserve"> </w:t>
      </w:r>
      <w:r w:rsidR="00D9491E" w:rsidRPr="009B6EB7">
        <w:rPr>
          <w:rFonts w:ascii="Arial" w:hAnsi="Arial" w:cs="Arial"/>
          <w:sz w:val="24"/>
          <w:szCs w:val="24"/>
        </w:rPr>
        <w:t>Quite what ‘similar’ means</w:t>
      </w:r>
      <w:r w:rsidR="005F2457" w:rsidRPr="009B6EB7">
        <w:rPr>
          <w:rFonts w:ascii="Arial" w:hAnsi="Arial" w:cs="Arial"/>
          <w:sz w:val="24"/>
          <w:szCs w:val="24"/>
        </w:rPr>
        <w:t xml:space="preserve"> for purposes of adjudicating the dispute</w:t>
      </w:r>
      <w:r w:rsidR="00D9491E" w:rsidRPr="009B6EB7">
        <w:rPr>
          <w:rFonts w:ascii="Arial" w:hAnsi="Arial" w:cs="Arial"/>
          <w:sz w:val="24"/>
          <w:szCs w:val="24"/>
        </w:rPr>
        <w:t xml:space="preserve">, however, informs the </w:t>
      </w:r>
      <w:r w:rsidR="00FD13E7" w:rsidRPr="009B6EB7">
        <w:rPr>
          <w:rFonts w:ascii="Arial" w:hAnsi="Arial" w:cs="Arial"/>
          <w:sz w:val="24"/>
          <w:szCs w:val="24"/>
        </w:rPr>
        <w:t xml:space="preserve">next issue, </w:t>
      </w:r>
      <w:r w:rsidR="004B2D62" w:rsidRPr="009B6EB7">
        <w:rPr>
          <w:rFonts w:ascii="Arial" w:hAnsi="Arial" w:cs="Arial"/>
          <w:sz w:val="24"/>
          <w:szCs w:val="24"/>
        </w:rPr>
        <w:t xml:space="preserve">which will </w:t>
      </w:r>
      <w:r w:rsidR="00FD13E7" w:rsidRPr="009B6EB7">
        <w:rPr>
          <w:rFonts w:ascii="Arial" w:hAnsi="Arial" w:cs="Arial"/>
          <w:sz w:val="24"/>
          <w:szCs w:val="24"/>
        </w:rPr>
        <w:t>be discussed below.</w:t>
      </w:r>
    </w:p>
    <w:p w14:paraId="20A2AA82" w14:textId="77777777" w:rsidR="00147E19" w:rsidRPr="00031FFC" w:rsidRDefault="00147E19" w:rsidP="00147E19">
      <w:pPr>
        <w:pStyle w:val="ListParagraph"/>
        <w:rPr>
          <w:rFonts w:ascii="Arial" w:hAnsi="Arial" w:cs="Arial"/>
          <w:b/>
          <w:bCs/>
          <w:sz w:val="24"/>
          <w:szCs w:val="24"/>
        </w:rPr>
      </w:pPr>
    </w:p>
    <w:p w14:paraId="1B7405E9" w14:textId="77777777" w:rsidR="00147E19" w:rsidRPr="00031FFC" w:rsidRDefault="00147E19" w:rsidP="00147E19">
      <w:pPr>
        <w:pStyle w:val="ListParagraph"/>
        <w:rPr>
          <w:rFonts w:ascii="Arial" w:hAnsi="Arial" w:cs="Arial"/>
          <w:b/>
          <w:bCs/>
          <w:sz w:val="24"/>
          <w:szCs w:val="24"/>
        </w:rPr>
      </w:pPr>
    </w:p>
    <w:p w14:paraId="4D137676" w14:textId="77777777" w:rsidR="00147E19" w:rsidRPr="00031FFC" w:rsidRDefault="00FD13E7" w:rsidP="00147E19">
      <w:pPr>
        <w:pStyle w:val="ListParagraph"/>
        <w:spacing w:line="360" w:lineRule="auto"/>
        <w:ind w:left="0"/>
        <w:jc w:val="both"/>
        <w:rPr>
          <w:rFonts w:ascii="Arial" w:hAnsi="Arial" w:cs="Arial"/>
          <w:sz w:val="24"/>
          <w:szCs w:val="24"/>
        </w:rPr>
      </w:pPr>
      <w:r w:rsidRPr="00031FFC">
        <w:rPr>
          <w:rFonts w:ascii="Arial" w:hAnsi="Arial" w:cs="Arial"/>
          <w:b/>
          <w:bCs/>
          <w:sz w:val="24"/>
          <w:szCs w:val="24"/>
        </w:rPr>
        <w:t>Extent to which the business</w:t>
      </w:r>
      <w:r w:rsidR="00EB2BF1" w:rsidRPr="00031FFC">
        <w:rPr>
          <w:rFonts w:ascii="Arial" w:hAnsi="Arial" w:cs="Arial"/>
          <w:b/>
          <w:bCs/>
          <w:sz w:val="24"/>
          <w:szCs w:val="24"/>
        </w:rPr>
        <w:t>es</w:t>
      </w:r>
      <w:r w:rsidRPr="00031FFC">
        <w:rPr>
          <w:rFonts w:ascii="Arial" w:hAnsi="Arial" w:cs="Arial"/>
          <w:b/>
          <w:bCs/>
          <w:sz w:val="24"/>
          <w:szCs w:val="24"/>
        </w:rPr>
        <w:t xml:space="preserve"> </w:t>
      </w:r>
      <w:r w:rsidR="00EB2BF1" w:rsidRPr="00031FFC">
        <w:rPr>
          <w:rFonts w:ascii="Arial" w:hAnsi="Arial" w:cs="Arial"/>
          <w:b/>
          <w:bCs/>
          <w:sz w:val="24"/>
          <w:szCs w:val="24"/>
        </w:rPr>
        <w:t xml:space="preserve">are </w:t>
      </w:r>
      <w:r w:rsidRPr="00031FFC">
        <w:rPr>
          <w:rFonts w:ascii="Arial" w:hAnsi="Arial" w:cs="Arial"/>
          <w:b/>
          <w:bCs/>
          <w:sz w:val="24"/>
          <w:szCs w:val="24"/>
        </w:rPr>
        <w:t>similar</w:t>
      </w:r>
    </w:p>
    <w:p w14:paraId="7EB47D42" w14:textId="77777777" w:rsidR="00147E19" w:rsidRPr="00031FFC" w:rsidRDefault="00147E19" w:rsidP="00147E19">
      <w:pPr>
        <w:pStyle w:val="ListParagraph"/>
        <w:rPr>
          <w:rFonts w:ascii="Arial" w:hAnsi="Arial" w:cs="Arial"/>
          <w:sz w:val="24"/>
          <w:szCs w:val="24"/>
        </w:rPr>
      </w:pPr>
    </w:p>
    <w:p w14:paraId="6D36387F" w14:textId="49F9E746" w:rsidR="00C60B08"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[46]</w:t>
      </w:r>
      <w:r w:rsidRPr="00031FFC">
        <w:rPr>
          <w:rFonts w:ascii="Arial" w:hAnsi="Arial" w:cs="Arial"/>
          <w:sz w:val="24"/>
          <w:szCs w:val="24"/>
        </w:rPr>
        <w:tab/>
      </w:r>
      <w:r w:rsidR="00761FAC" w:rsidRPr="009B6EB7">
        <w:rPr>
          <w:rFonts w:ascii="Arial" w:hAnsi="Arial" w:cs="Arial"/>
          <w:sz w:val="24"/>
          <w:szCs w:val="24"/>
        </w:rPr>
        <w:t xml:space="preserve">The appellants’ primary ground of appeal is based on the reliance placed by the court </w:t>
      </w:r>
      <w:r w:rsidR="00761FAC" w:rsidRPr="009B6EB7">
        <w:rPr>
          <w:rFonts w:ascii="Arial" w:hAnsi="Arial" w:cs="Arial"/>
          <w:i/>
          <w:iCs/>
          <w:sz w:val="24"/>
          <w:szCs w:val="24"/>
        </w:rPr>
        <w:t>a quo</w:t>
      </w:r>
      <w:r w:rsidR="00761FAC" w:rsidRPr="009B6EB7">
        <w:rPr>
          <w:rFonts w:ascii="Arial" w:hAnsi="Arial" w:cs="Arial"/>
          <w:sz w:val="24"/>
          <w:szCs w:val="24"/>
        </w:rPr>
        <w:t xml:space="preserve"> on </w:t>
      </w:r>
      <w:r w:rsidR="00761FAC" w:rsidRPr="009B6EB7">
        <w:rPr>
          <w:rFonts w:ascii="Arial" w:hAnsi="Arial" w:cs="Arial"/>
          <w:i/>
          <w:iCs/>
          <w:sz w:val="24"/>
          <w:szCs w:val="24"/>
        </w:rPr>
        <w:t>Kelly Group Ltd v Capazorio</w:t>
      </w:r>
      <w:r w:rsidR="00C725D4" w:rsidRPr="00031FFC">
        <w:rPr>
          <w:rStyle w:val="FootnoteReference"/>
          <w:rFonts w:ascii="Arial" w:hAnsi="Arial" w:cs="Arial"/>
          <w:i/>
          <w:iCs/>
          <w:sz w:val="24"/>
          <w:szCs w:val="24"/>
        </w:rPr>
        <w:footnoteReference w:id="13"/>
      </w:r>
      <w:r w:rsidR="00761FAC" w:rsidRPr="009B6EB7">
        <w:rPr>
          <w:rFonts w:ascii="Arial" w:hAnsi="Arial" w:cs="Arial"/>
          <w:sz w:val="24"/>
          <w:szCs w:val="24"/>
        </w:rPr>
        <w:t xml:space="preserve">, where </w:t>
      </w:r>
      <w:r w:rsidR="006143EE" w:rsidRPr="009B6EB7">
        <w:rPr>
          <w:rFonts w:ascii="Arial" w:hAnsi="Arial" w:cs="Arial"/>
          <w:sz w:val="24"/>
          <w:szCs w:val="24"/>
        </w:rPr>
        <w:t>Kathree-Setiloane AJ held as follows, at</w:t>
      </w:r>
      <w:r w:rsidR="00213AA7" w:rsidRPr="009B6EB7">
        <w:rPr>
          <w:rFonts w:ascii="Arial" w:hAnsi="Arial" w:cs="Arial"/>
          <w:sz w:val="24"/>
          <w:szCs w:val="24"/>
        </w:rPr>
        <w:t xml:space="preserve"> paragraph</w:t>
      </w:r>
      <w:r w:rsidR="006143EE" w:rsidRPr="009B6EB7">
        <w:rPr>
          <w:rFonts w:ascii="Arial" w:hAnsi="Arial" w:cs="Arial"/>
          <w:sz w:val="24"/>
          <w:szCs w:val="24"/>
        </w:rPr>
        <w:t xml:space="preserve"> [25]:</w:t>
      </w:r>
    </w:p>
    <w:p w14:paraId="54225327" w14:textId="77777777" w:rsidR="006143EE" w:rsidRPr="00031FFC" w:rsidRDefault="006143EE" w:rsidP="00147E19">
      <w:pPr>
        <w:spacing w:line="360" w:lineRule="auto"/>
        <w:ind w:left="720"/>
        <w:jc w:val="both"/>
        <w:rPr>
          <w:rFonts w:ascii="Arial" w:hAnsi="Arial" w:cs="Arial"/>
          <w:sz w:val="20"/>
          <w:szCs w:val="20"/>
        </w:rPr>
      </w:pPr>
      <w:r w:rsidRPr="00031FFC">
        <w:rPr>
          <w:rFonts w:ascii="Arial" w:hAnsi="Arial" w:cs="Arial"/>
          <w:sz w:val="20"/>
          <w:szCs w:val="20"/>
        </w:rPr>
        <w:t>‘I am of the view that the phrase “any concern or entity which carries on the same business or similar business or alike the business of the COMPANY” postulates a comparison of the applicant’s business to the respondent’s, as a composite whole (</w:t>
      </w:r>
      <w:r w:rsidRPr="00031FFC">
        <w:rPr>
          <w:rFonts w:ascii="Arial" w:hAnsi="Arial" w:cs="Arial"/>
          <w:i/>
          <w:iCs/>
          <w:sz w:val="20"/>
          <w:szCs w:val="20"/>
        </w:rPr>
        <w:t xml:space="preserve">Capnorizas v Webber Road Mansions </w:t>
      </w:r>
      <w:r w:rsidR="000F5D4D" w:rsidRPr="00031FFC">
        <w:rPr>
          <w:rFonts w:ascii="Arial" w:hAnsi="Arial" w:cs="Arial"/>
          <w:i/>
          <w:iCs/>
          <w:sz w:val="20"/>
          <w:szCs w:val="20"/>
        </w:rPr>
        <w:t>(Pty) Ltd</w:t>
      </w:r>
      <w:r w:rsidR="000F5D4D" w:rsidRPr="00031FFC">
        <w:rPr>
          <w:rFonts w:ascii="Arial" w:hAnsi="Arial" w:cs="Arial"/>
          <w:sz w:val="20"/>
          <w:szCs w:val="20"/>
        </w:rPr>
        <w:t xml:space="preserve"> 1967 (2) SA 425 (A)). Accordingly, because the applicant provides some of the services which are provided by the third respondent </w:t>
      </w:r>
      <w:bookmarkStart w:id="16" w:name="_Hlk114734258"/>
      <w:r w:rsidR="000F5D4D" w:rsidRPr="00031FFC">
        <w:rPr>
          <w:rFonts w:ascii="Arial" w:hAnsi="Arial" w:cs="Arial"/>
          <w:sz w:val="20"/>
          <w:szCs w:val="20"/>
        </w:rPr>
        <w:t>does not mean that the respective businesses viewed in their entirety, are the same, similar or alike</w:t>
      </w:r>
      <w:bookmarkEnd w:id="16"/>
      <w:r w:rsidR="000F5D4D" w:rsidRPr="00031FFC">
        <w:rPr>
          <w:rFonts w:ascii="Arial" w:hAnsi="Arial" w:cs="Arial"/>
          <w:sz w:val="20"/>
          <w:szCs w:val="20"/>
        </w:rPr>
        <w:t>.’</w:t>
      </w:r>
    </w:p>
    <w:p w14:paraId="43DCD21D" w14:textId="77777777" w:rsidR="008F532C" w:rsidRPr="00031FFC" w:rsidRDefault="008F532C" w:rsidP="00147E19">
      <w:pPr>
        <w:spacing w:line="360" w:lineRule="auto"/>
        <w:ind w:left="720"/>
        <w:jc w:val="both"/>
        <w:rPr>
          <w:rFonts w:ascii="Arial" w:hAnsi="Arial" w:cs="Arial"/>
          <w:sz w:val="20"/>
          <w:szCs w:val="20"/>
        </w:rPr>
      </w:pPr>
    </w:p>
    <w:p w14:paraId="09757F4D" w14:textId="239E20DA"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[47]</w:t>
      </w:r>
      <w:r w:rsidRPr="00031FFC">
        <w:rPr>
          <w:rFonts w:ascii="Arial" w:hAnsi="Arial" w:cs="Arial"/>
          <w:sz w:val="24"/>
          <w:szCs w:val="24"/>
        </w:rPr>
        <w:tab/>
      </w:r>
      <w:r w:rsidR="0094210F" w:rsidRPr="009B6EB7">
        <w:rPr>
          <w:rFonts w:ascii="Arial" w:hAnsi="Arial" w:cs="Arial"/>
          <w:sz w:val="24"/>
          <w:szCs w:val="24"/>
        </w:rPr>
        <w:t xml:space="preserve">The court </w:t>
      </w:r>
      <w:r w:rsidR="0094210F" w:rsidRPr="009B6EB7">
        <w:rPr>
          <w:rFonts w:ascii="Arial" w:hAnsi="Arial" w:cs="Arial"/>
          <w:i/>
          <w:iCs/>
          <w:sz w:val="24"/>
          <w:szCs w:val="24"/>
        </w:rPr>
        <w:t>a quo</w:t>
      </w:r>
      <w:r w:rsidR="0094210F" w:rsidRPr="009B6EB7">
        <w:rPr>
          <w:rFonts w:ascii="Arial" w:hAnsi="Arial" w:cs="Arial"/>
          <w:sz w:val="24"/>
          <w:szCs w:val="24"/>
        </w:rPr>
        <w:t xml:space="preserve"> </w:t>
      </w:r>
      <w:r w:rsidR="000040EA" w:rsidRPr="009B6EB7">
        <w:rPr>
          <w:rFonts w:ascii="Arial" w:hAnsi="Arial" w:cs="Arial"/>
          <w:sz w:val="24"/>
          <w:szCs w:val="24"/>
        </w:rPr>
        <w:t>held</w:t>
      </w:r>
      <w:r w:rsidR="0094210F" w:rsidRPr="009B6EB7">
        <w:rPr>
          <w:rFonts w:ascii="Arial" w:hAnsi="Arial" w:cs="Arial"/>
          <w:sz w:val="24"/>
          <w:szCs w:val="24"/>
        </w:rPr>
        <w:t xml:space="preserve"> that, on the strength of the version presented by the respondents,</w:t>
      </w:r>
      <w:r w:rsidR="0094210F" w:rsidRPr="00031FFC">
        <w:rPr>
          <w:rStyle w:val="FootnoteReference"/>
          <w:rFonts w:ascii="Arial" w:hAnsi="Arial" w:cs="Arial"/>
          <w:sz w:val="24"/>
          <w:szCs w:val="24"/>
        </w:rPr>
        <w:footnoteReference w:id="14"/>
      </w:r>
      <w:r w:rsidR="0094210F" w:rsidRPr="009B6EB7">
        <w:rPr>
          <w:rFonts w:ascii="Arial" w:hAnsi="Arial" w:cs="Arial"/>
          <w:sz w:val="24"/>
          <w:szCs w:val="24"/>
        </w:rPr>
        <w:t xml:space="preserve"> </w:t>
      </w:r>
      <w:r w:rsidR="00EB2BF1" w:rsidRPr="009B6EB7">
        <w:rPr>
          <w:rFonts w:ascii="Arial" w:hAnsi="Arial" w:cs="Arial"/>
          <w:sz w:val="24"/>
          <w:szCs w:val="24"/>
        </w:rPr>
        <w:t xml:space="preserve">the two businesses were similar </w:t>
      </w:r>
      <w:r w:rsidR="006F24ED" w:rsidRPr="009B6EB7">
        <w:rPr>
          <w:rFonts w:ascii="Arial" w:hAnsi="Arial" w:cs="Arial"/>
          <w:sz w:val="24"/>
          <w:szCs w:val="24"/>
        </w:rPr>
        <w:t xml:space="preserve">in nature </w:t>
      </w:r>
      <w:r w:rsidR="00EB2BF1" w:rsidRPr="009B6EB7">
        <w:rPr>
          <w:rFonts w:ascii="Arial" w:hAnsi="Arial" w:cs="Arial"/>
          <w:sz w:val="24"/>
          <w:szCs w:val="24"/>
        </w:rPr>
        <w:t xml:space="preserve">but there were distinguishing features </w:t>
      </w:r>
      <w:r w:rsidR="006F24ED" w:rsidRPr="009B6EB7">
        <w:rPr>
          <w:rFonts w:ascii="Arial" w:hAnsi="Arial" w:cs="Arial"/>
          <w:sz w:val="24"/>
          <w:szCs w:val="24"/>
        </w:rPr>
        <w:t xml:space="preserve">that indicated that they were not in competition with each other. </w:t>
      </w:r>
    </w:p>
    <w:p w14:paraId="7BA15B80" w14:textId="77777777" w:rsidR="008F532C" w:rsidRPr="00031FFC" w:rsidRDefault="008F532C" w:rsidP="008F532C">
      <w:pPr>
        <w:pStyle w:val="ListParagraph"/>
        <w:spacing w:line="360" w:lineRule="auto"/>
        <w:ind w:left="0"/>
        <w:jc w:val="both"/>
        <w:rPr>
          <w:rFonts w:ascii="Arial" w:hAnsi="Arial" w:cs="Arial"/>
          <w:sz w:val="24"/>
          <w:szCs w:val="24"/>
        </w:rPr>
      </w:pPr>
    </w:p>
    <w:p w14:paraId="784035FB" w14:textId="4EC2F241"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[48]</w:t>
      </w:r>
      <w:r w:rsidRPr="00031FFC">
        <w:rPr>
          <w:rFonts w:ascii="Arial" w:hAnsi="Arial" w:cs="Arial"/>
          <w:sz w:val="24"/>
          <w:szCs w:val="24"/>
        </w:rPr>
        <w:tab/>
      </w:r>
      <w:r w:rsidR="00CC3EA4" w:rsidRPr="009B6EB7">
        <w:rPr>
          <w:rFonts w:ascii="Arial" w:hAnsi="Arial" w:cs="Arial"/>
          <w:sz w:val="24"/>
          <w:szCs w:val="24"/>
        </w:rPr>
        <w:t>T</w:t>
      </w:r>
      <w:r w:rsidR="000F5D4D" w:rsidRPr="009B6EB7">
        <w:rPr>
          <w:rFonts w:ascii="Arial" w:hAnsi="Arial" w:cs="Arial"/>
          <w:sz w:val="24"/>
          <w:szCs w:val="24"/>
        </w:rPr>
        <w:t xml:space="preserve">he appellants </w:t>
      </w:r>
      <w:r w:rsidR="006F24ED" w:rsidRPr="009B6EB7">
        <w:rPr>
          <w:rFonts w:ascii="Arial" w:hAnsi="Arial" w:cs="Arial"/>
          <w:sz w:val="24"/>
          <w:szCs w:val="24"/>
        </w:rPr>
        <w:t xml:space="preserve">assert that </w:t>
      </w:r>
      <w:r w:rsidR="000F5D4D" w:rsidRPr="009B6EB7">
        <w:rPr>
          <w:rFonts w:ascii="Arial" w:hAnsi="Arial" w:cs="Arial"/>
          <w:sz w:val="24"/>
          <w:szCs w:val="24"/>
        </w:rPr>
        <w:t xml:space="preserve">the </w:t>
      </w:r>
      <w:r w:rsidR="006F24ED" w:rsidRPr="009B6EB7">
        <w:rPr>
          <w:rFonts w:ascii="Arial" w:hAnsi="Arial" w:cs="Arial"/>
          <w:sz w:val="24"/>
          <w:szCs w:val="24"/>
        </w:rPr>
        <w:t xml:space="preserve">court </w:t>
      </w:r>
      <w:r w:rsidR="006F24ED" w:rsidRPr="009B6EB7">
        <w:rPr>
          <w:rFonts w:ascii="Arial" w:hAnsi="Arial" w:cs="Arial"/>
          <w:i/>
          <w:iCs/>
          <w:sz w:val="24"/>
          <w:szCs w:val="24"/>
        </w:rPr>
        <w:t>a quo</w:t>
      </w:r>
      <w:r w:rsidR="006F24ED" w:rsidRPr="009B6EB7">
        <w:rPr>
          <w:rFonts w:ascii="Arial" w:hAnsi="Arial" w:cs="Arial"/>
          <w:sz w:val="24"/>
          <w:szCs w:val="24"/>
        </w:rPr>
        <w:t xml:space="preserve"> was </w:t>
      </w:r>
      <w:r w:rsidR="00CC3EA4" w:rsidRPr="009B6EB7">
        <w:rPr>
          <w:rFonts w:ascii="Arial" w:hAnsi="Arial" w:cs="Arial"/>
          <w:sz w:val="24"/>
          <w:szCs w:val="24"/>
        </w:rPr>
        <w:t>in</w:t>
      </w:r>
      <w:r w:rsidR="006F24ED" w:rsidRPr="009B6EB7">
        <w:rPr>
          <w:rFonts w:ascii="Arial" w:hAnsi="Arial" w:cs="Arial"/>
          <w:sz w:val="24"/>
          <w:szCs w:val="24"/>
        </w:rPr>
        <w:t xml:space="preserve">correct </w:t>
      </w:r>
      <w:bookmarkStart w:id="17" w:name="_Hlk114738216"/>
      <w:r w:rsidR="006F24ED" w:rsidRPr="009B6EB7">
        <w:rPr>
          <w:rFonts w:ascii="Arial" w:hAnsi="Arial" w:cs="Arial"/>
          <w:sz w:val="24"/>
          <w:szCs w:val="24"/>
        </w:rPr>
        <w:t xml:space="preserve">in requiring all the features of the two businesses to be </w:t>
      </w:r>
      <w:r w:rsidR="00CC3EA4" w:rsidRPr="009B6EB7">
        <w:rPr>
          <w:rFonts w:ascii="Arial" w:hAnsi="Arial" w:cs="Arial"/>
          <w:sz w:val="24"/>
          <w:szCs w:val="24"/>
        </w:rPr>
        <w:t xml:space="preserve">the same or </w:t>
      </w:r>
      <w:r w:rsidR="006F24ED" w:rsidRPr="009B6EB7">
        <w:rPr>
          <w:rFonts w:ascii="Arial" w:hAnsi="Arial" w:cs="Arial"/>
          <w:sz w:val="24"/>
          <w:szCs w:val="24"/>
        </w:rPr>
        <w:t>similar</w:t>
      </w:r>
      <w:bookmarkEnd w:id="17"/>
      <w:r w:rsidR="0018512C" w:rsidRPr="009B6EB7">
        <w:rPr>
          <w:rFonts w:ascii="Arial" w:hAnsi="Arial" w:cs="Arial"/>
          <w:sz w:val="24"/>
          <w:szCs w:val="24"/>
        </w:rPr>
        <w:t xml:space="preserve">, pointing out that this was not the finding of the court in </w:t>
      </w:r>
      <w:r w:rsidR="0018512C" w:rsidRPr="009B6EB7">
        <w:rPr>
          <w:rFonts w:ascii="Arial" w:hAnsi="Arial" w:cs="Arial"/>
          <w:i/>
          <w:iCs/>
          <w:sz w:val="24"/>
          <w:szCs w:val="24"/>
        </w:rPr>
        <w:t>Capnorizas</w:t>
      </w:r>
      <w:r w:rsidR="00572D3B" w:rsidRPr="009B6EB7">
        <w:rPr>
          <w:rFonts w:ascii="Arial" w:hAnsi="Arial" w:cs="Arial"/>
          <w:sz w:val="24"/>
          <w:szCs w:val="24"/>
        </w:rPr>
        <w:t>. They</w:t>
      </w:r>
      <w:r w:rsidR="00CC3EA4" w:rsidRPr="009B6EB7">
        <w:rPr>
          <w:rFonts w:ascii="Arial" w:hAnsi="Arial" w:cs="Arial"/>
          <w:sz w:val="24"/>
          <w:szCs w:val="24"/>
        </w:rPr>
        <w:t xml:space="preserve"> refer to several cases in support of the contention that </w:t>
      </w:r>
      <w:r w:rsidR="007B3D73" w:rsidRPr="009B6EB7">
        <w:rPr>
          <w:rFonts w:ascii="Arial" w:hAnsi="Arial" w:cs="Arial"/>
          <w:sz w:val="24"/>
          <w:szCs w:val="24"/>
        </w:rPr>
        <w:t xml:space="preserve">what </w:t>
      </w:r>
      <w:r w:rsidR="0018512C" w:rsidRPr="009B6EB7">
        <w:rPr>
          <w:rFonts w:ascii="Arial" w:hAnsi="Arial" w:cs="Arial"/>
          <w:sz w:val="24"/>
          <w:szCs w:val="24"/>
        </w:rPr>
        <w:t xml:space="preserve">was required was for </w:t>
      </w:r>
      <w:r w:rsidR="008C32AF" w:rsidRPr="009B6EB7">
        <w:rPr>
          <w:rFonts w:ascii="Arial" w:hAnsi="Arial" w:cs="Arial"/>
          <w:sz w:val="24"/>
          <w:szCs w:val="24"/>
        </w:rPr>
        <w:t>there to be competition in some material respect.</w:t>
      </w:r>
      <w:r w:rsidR="00AC3829" w:rsidRPr="009B6EB7">
        <w:rPr>
          <w:rFonts w:ascii="Arial" w:hAnsi="Arial" w:cs="Arial"/>
          <w:sz w:val="24"/>
          <w:szCs w:val="24"/>
        </w:rPr>
        <w:t xml:space="preserve"> </w:t>
      </w:r>
    </w:p>
    <w:p w14:paraId="5263E162" w14:textId="77777777" w:rsidR="008E285F" w:rsidRPr="00031FFC" w:rsidRDefault="008E285F" w:rsidP="008E285F">
      <w:pPr>
        <w:pStyle w:val="ListParagraph"/>
        <w:rPr>
          <w:rFonts w:ascii="Arial" w:hAnsi="Arial" w:cs="Arial"/>
          <w:sz w:val="24"/>
          <w:szCs w:val="24"/>
        </w:rPr>
      </w:pPr>
    </w:p>
    <w:p w14:paraId="5CCA488A" w14:textId="366729A4"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[49]</w:t>
      </w:r>
      <w:r w:rsidRPr="00031FFC">
        <w:rPr>
          <w:rFonts w:ascii="Arial" w:hAnsi="Arial" w:cs="Arial"/>
          <w:sz w:val="24"/>
          <w:szCs w:val="24"/>
        </w:rPr>
        <w:tab/>
      </w:r>
      <w:r w:rsidR="000040EA" w:rsidRPr="009B6EB7">
        <w:rPr>
          <w:rFonts w:ascii="Arial" w:hAnsi="Arial" w:cs="Arial"/>
          <w:sz w:val="24"/>
          <w:szCs w:val="24"/>
        </w:rPr>
        <w:t>I</w:t>
      </w:r>
      <w:r w:rsidR="002C5428" w:rsidRPr="009B6EB7">
        <w:rPr>
          <w:rFonts w:ascii="Arial" w:hAnsi="Arial" w:cs="Arial"/>
          <w:sz w:val="24"/>
          <w:szCs w:val="24"/>
        </w:rPr>
        <w:t xml:space="preserve">n </w:t>
      </w:r>
      <w:r w:rsidR="002C5428" w:rsidRPr="009B6EB7">
        <w:rPr>
          <w:rFonts w:ascii="Arial" w:hAnsi="Arial" w:cs="Arial"/>
          <w:i/>
          <w:iCs/>
          <w:sz w:val="24"/>
          <w:szCs w:val="24"/>
        </w:rPr>
        <w:t>Capnorizas</w:t>
      </w:r>
      <w:r w:rsidR="000040EA" w:rsidRPr="009B6EB7">
        <w:rPr>
          <w:rFonts w:ascii="Arial" w:hAnsi="Arial" w:cs="Arial"/>
          <w:sz w:val="24"/>
          <w:szCs w:val="24"/>
        </w:rPr>
        <w:t xml:space="preserve">, the erstwhile Appellate Division </w:t>
      </w:r>
      <w:r w:rsidR="004B2D62" w:rsidRPr="009B6EB7">
        <w:rPr>
          <w:rFonts w:ascii="Arial" w:hAnsi="Arial" w:cs="Arial"/>
          <w:sz w:val="24"/>
          <w:szCs w:val="24"/>
        </w:rPr>
        <w:t xml:space="preserve">dealt with a situation </w:t>
      </w:r>
      <w:r w:rsidR="002C55C1" w:rsidRPr="009B6EB7">
        <w:rPr>
          <w:rFonts w:ascii="Arial" w:hAnsi="Arial" w:cs="Arial"/>
          <w:sz w:val="24"/>
          <w:szCs w:val="24"/>
        </w:rPr>
        <w:t>where the appellant carried on business as a general dealer</w:t>
      </w:r>
      <w:r w:rsidR="00213AA7" w:rsidRPr="009B6EB7">
        <w:rPr>
          <w:rFonts w:ascii="Arial" w:hAnsi="Arial" w:cs="Arial"/>
          <w:sz w:val="24"/>
          <w:szCs w:val="24"/>
        </w:rPr>
        <w:t>;</w:t>
      </w:r>
      <w:r w:rsidR="002C55C1" w:rsidRPr="009B6EB7">
        <w:rPr>
          <w:rFonts w:ascii="Arial" w:hAnsi="Arial" w:cs="Arial"/>
          <w:sz w:val="24"/>
          <w:szCs w:val="24"/>
        </w:rPr>
        <w:t xml:space="preserve"> tea-room keeper</w:t>
      </w:r>
      <w:r w:rsidR="00213AA7" w:rsidRPr="009B6EB7">
        <w:rPr>
          <w:rFonts w:ascii="Arial" w:hAnsi="Arial" w:cs="Arial"/>
          <w:sz w:val="24"/>
          <w:szCs w:val="24"/>
        </w:rPr>
        <w:t>;</w:t>
      </w:r>
      <w:r w:rsidR="002C55C1" w:rsidRPr="009B6EB7">
        <w:rPr>
          <w:rFonts w:ascii="Arial" w:hAnsi="Arial" w:cs="Arial"/>
          <w:sz w:val="24"/>
          <w:szCs w:val="24"/>
        </w:rPr>
        <w:t xml:space="preserve"> mineral-water dealer</w:t>
      </w:r>
      <w:r w:rsidR="00213AA7" w:rsidRPr="009B6EB7">
        <w:rPr>
          <w:rFonts w:ascii="Arial" w:hAnsi="Arial" w:cs="Arial"/>
          <w:sz w:val="24"/>
          <w:szCs w:val="24"/>
        </w:rPr>
        <w:t>;</w:t>
      </w:r>
      <w:r w:rsidR="002C55C1" w:rsidRPr="009B6EB7">
        <w:rPr>
          <w:rFonts w:ascii="Arial" w:hAnsi="Arial" w:cs="Arial"/>
          <w:sz w:val="24"/>
          <w:szCs w:val="24"/>
        </w:rPr>
        <w:t xml:space="preserve"> patent-medicine dealer</w:t>
      </w:r>
      <w:r w:rsidR="00213AA7" w:rsidRPr="009B6EB7">
        <w:rPr>
          <w:rFonts w:ascii="Arial" w:hAnsi="Arial" w:cs="Arial"/>
          <w:sz w:val="24"/>
          <w:szCs w:val="24"/>
        </w:rPr>
        <w:t>;</w:t>
      </w:r>
      <w:r w:rsidR="002C55C1" w:rsidRPr="009B6EB7">
        <w:rPr>
          <w:rFonts w:ascii="Arial" w:hAnsi="Arial" w:cs="Arial"/>
          <w:sz w:val="24"/>
          <w:szCs w:val="24"/>
        </w:rPr>
        <w:t xml:space="preserve"> restaurant keeper</w:t>
      </w:r>
      <w:r w:rsidR="00213AA7" w:rsidRPr="009B6EB7">
        <w:rPr>
          <w:rFonts w:ascii="Arial" w:hAnsi="Arial" w:cs="Arial"/>
          <w:sz w:val="24"/>
          <w:szCs w:val="24"/>
        </w:rPr>
        <w:t>;</w:t>
      </w:r>
      <w:r w:rsidR="002C55C1" w:rsidRPr="009B6EB7">
        <w:rPr>
          <w:rFonts w:ascii="Arial" w:hAnsi="Arial" w:cs="Arial"/>
          <w:sz w:val="24"/>
          <w:szCs w:val="24"/>
        </w:rPr>
        <w:t xml:space="preserve"> and milk purveyor, in a building owned by the respondent. The appellant’s lease included a term to the effect that the respondent undertook not to let any space in the building to a person who carried </w:t>
      </w:r>
      <w:r w:rsidR="00F97A65" w:rsidRPr="009B6EB7">
        <w:rPr>
          <w:rFonts w:ascii="Arial" w:hAnsi="Arial" w:cs="Arial"/>
          <w:sz w:val="24"/>
          <w:szCs w:val="24"/>
        </w:rPr>
        <w:t>on substantially the same business as the appellant. Subsequently, the respondent let space to an entity</w:t>
      </w:r>
      <w:r w:rsidR="009511DC" w:rsidRPr="009B6EB7">
        <w:rPr>
          <w:rFonts w:ascii="Arial" w:hAnsi="Arial" w:cs="Arial"/>
          <w:sz w:val="24"/>
          <w:szCs w:val="24"/>
        </w:rPr>
        <w:t>, Hazeldene Dairy,</w:t>
      </w:r>
      <w:r w:rsidR="00F97A65" w:rsidRPr="009B6EB7">
        <w:rPr>
          <w:rFonts w:ascii="Arial" w:hAnsi="Arial" w:cs="Arial"/>
          <w:sz w:val="24"/>
          <w:szCs w:val="24"/>
        </w:rPr>
        <w:t xml:space="preserve"> that held a fresh-produce dealer’s </w:t>
      </w:r>
      <w:r w:rsidR="003A6D8A" w:rsidRPr="009B6EB7">
        <w:rPr>
          <w:rFonts w:ascii="Arial" w:hAnsi="Arial" w:cs="Arial"/>
          <w:sz w:val="24"/>
          <w:szCs w:val="24"/>
        </w:rPr>
        <w:t>license</w:t>
      </w:r>
      <w:r w:rsidR="00F97A65" w:rsidRPr="009B6EB7">
        <w:rPr>
          <w:rFonts w:ascii="Arial" w:hAnsi="Arial" w:cs="Arial"/>
          <w:sz w:val="24"/>
          <w:szCs w:val="24"/>
        </w:rPr>
        <w:t xml:space="preserve"> and a milk purveyor’s </w:t>
      </w:r>
      <w:r w:rsidR="003A6D8A" w:rsidRPr="009B6EB7">
        <w:rPr>
          <w:rFonts w:ascii="Arial" w:hAnsi="Arial" w:cs="Arial"/>
          <w:sz w:val="24"/>
          <w:szCs w:val="24"/>
        </w:rPr>
        <w:t>license</w:t>
      </w:r>
      <w:r w:rsidR="00F97A65" w:rsidRPr="009B6EB7">
        <w:rPr>
          <w:rFonts w:ascii="Arial" w:hAnsi="Arial" w:cs="Arial"/>
          <w:sz w:val="24"/>
          <w:szCs w:val="24"/>
        </w:rPr>
        <w:t>. Steyn CJ held, at 430, that the term in question suggested a comparison</w:t>
      </w:r>
      <w:r w:rsidR="009511DC" w:rsidRPr="009B6EB7">
        <w:rPr>
          <w:rFonts w:ascii="Arial" w:hAnsi="Arial" w:cs="Arial"/>
          <w:sz w:val="24"/>
          <w:szCs w:val="24"/>
        </w:rPr>
        <w:t xml:space="preserve">; the issue for decision was whether the business of Hazeldene Dairy was to be compared with the corresponding business of the appellant or with the business conducted by him as a </w:t>
      </w:r>
      <w:r w:rsidR="0058502F" w:rsidRPr="009B6EB7">
        <w:rPr>
          <w:rFonts w:ascii="Arial" w:hAnsi="Arial" w:cs="Arial"/>
          <w:sz w:val="24"/>
          <w:szCs w:val="24"/>
        </w:rPr>
        <w:t xml:space="preserve">composite </w:t>
      </w:r>
      <w:r w:rsidR="009511DC" w:rsidRPr="009B6EB7">
        <w:rPr>
          <w:rFonts w:ascii="Arial" w:hAnsi="Arial" w:cs="Arial"/>
          <w:sz w:val="24"/>
          <w:szCs w:val="24"/>
        </w:rPr>
        <w:t xml:space="preserve">whole. The </w:t>
      </w:r>
      <w:r w:rsidR="0058502F" w:rsidRPr="009B6EB7">
        <w:rPr>
          <w:rFonts w:ascii="Arial" w:hAnsi="Arial" w:cs="Arial"/>
          <w:sz w:val="24"/>
          <w:szCs w:val="24"/>
        </w:rPr>
        <w:t xml:space="preserve">court held that the </w:t>
      </w:r>
      <w:r w:rsidR="009511DC" w:rsidRPr="009B6EB7">
        <w:rPr>
          <w:rFonts w:ascii="Arial" w:hAnsi="Arial" w:cs="Arial"/>
          <w:sz w:val="24"/>
          <w:szCs w:val="24"/>
        </w:rPr>
        <w:t xml:space="preserve">terms </w:t>
      </w:r>
      <w:r w:rsidR="0058502F" w:rsidRPr="009B6EB7">
        <w:rPr>
          <w:rFonts w:ascii="Arial" w:hAnsi="Arial" w:cs="Arial"/>
          <w:sz w:val="24"/>
          <w:szCs w:val="24"/>
        </w:rPr>
        <w:t>of the lease provided for the latter.</w:t>
      </w:r>
    </w:p>
    <w:p w14:paraId="574DAB1A" w14:textId="77777777" w:rsidR="008F532C" w:rsidRPr="00031FFC" w:rsidRDefault="008F532C" w:rsidP="008F532C">
      <w:pPr>
        <w:pStyle w:val="ListParagraph"/>
        <w:rPr>
          <w:rFonts w:ascii="Arial" w:hAnsi="Arial" w:cs="Arial"/>
          <w:sz w:val="24"/>
          <w:szCs w:val="24"/>
        </w:rPr>
      </w:pPr>
    </w:p>
    <w:p w14:paraId="59A9DD89" w14:textId="25AB56DC"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[50]</w:t>
      </w:r>
      <w:r w:rsidRPr="00031FFC">
        <w:rPr>
          <w:rFonts w:ascii="Arial" w:hAnsi="Arial" w:cs="Arial"/>
          <w:sz w:val="24"/>
          <w:szCs w:val="24"/>
        </w:rPr>
        <w:tab/>
      </w:r>
      <w:r w:rsidR="00DE3CDB" w:rsidRPr="009B6EB7">
        <w:rPr>
          <w:rFonts w:ascii="Arial" w:hAnsi="Arial" w:cs="Arial"/>
          <w:sz w:val="24"/>
          <w:szCs w:val="24"/>
        </w:rPr>
        <w:t>T</w:t>
      </w:r>
      <w:r w:rsidR="00F32681" w:rsidRPr="009B6EB7">
        <w:rPr>
          <w:rFonts w:ascii="Arial" w:hAnsi="Arial" w:cs="Arial"/>
          <w:sz w:val="24"/>
          <w:szCs w:val="24"/>
        </w:rPr>
        <w:t xml:space="preserve">he appellants </w:t>
      </w:r>
      <w:r w:rsidR="00DE3CDB" w:rsidRPr="009B6EB7">
        <w:rPr>
          <w:rFonts w:ascii="Arial" w:hAnsi="Arial" w:cs="Arial"/>
          <w:sz w:val="24"/>
          <w:szCs w:val="24"/>
        </w:rPr>
        <w:t xml:space="preserve">also refer to </w:t>
      </w:r>
      <w:r w:rsidR="00DE3CDB" w:rsidRPr="009B6EB7">
        <w:rPr>
          <w:rFonts w:ascii="Arial" w:hAnsi="Arial" w:cs="Arial"/>
          <w:i/>
          <w:iCs/>
          <w:sz w:val="24"/>
          <w:szCs w:val="24"/>
        </w:rPr>
        <w:t>Poolquip Industries (Pty) Ltd v Griffin and another</w:t>
      </w:r>
      <w:r w:rsidR="00F13BB5" w:rsidRPr="00031FFC">
        <w:rPr>
          <w:rStyle w:val="FootnoteReference"/>
          <w:rFonts w:ascii="Arial" w:hAnsi="Arial" w:cs="Arial"/>
          <w:i/>
          <w:iCs/>
          <w:sz w:val="24"/>
          <w:szCs w:val="24"/>
        </w:rPr>
        <w:footnoteReference w:id="15"/>
      </w:r>
      <w:r w:rsidR="00DE3CDB" w:rsidRPr="009B6EB7">
        <w:rPr>
          <w:rFonts w:ascii="Arial" w:hAnsi="Arial" w:cs="Arial"/>
          <w:sz w:val="24"/>
          <w:szCs w:val="24"/>
        </w:rPr>
        <w:t xml:space="preserve"> 1978 (4) SA 353 (W), where the first respondent had been the managing director of the applicant, which had manufactured and distributed equipment and chemicals for the swimming pool industry</w:t>
      </w:r>
      <w:r w:rsidR="00CA2E99" w:rsidRPr="009B6EB7">
        <w:rPr>
          <w:rFonts w:ascii="Arial" w:hAnsi="Arial" w:cs="Arial"/>
          <w:sz w:val="24"/>
          <w:szCs w:val="24"/>
        </w:rPr>
        <w:t xml:space="preserve">. He had later obtained employment with the second respondent, </w:t>
      </w:r>
      <w:r w:rsidR="00CA2E99" w:rsidRPr="009B6EB7">
        <w:rPr>
          <w:rFonts w:ascii="Arial" w:hAnsi="Arial" w:cs="Arial"/>
          <w:sz w:val="24"/>
          <w:szCs w:val="24"/>
        </w:rPr>
        <w:lastRenderedPageBreak/>
        <w:t xml:space="preserve">whose business included the manufacture and sale of chemicals, veterinary products, anti-freeze solutions, fibre-glass products for agriculture and swimming pools, and swimming pool cleaning equipment. A term in the employment contract between the applicant and the first respondent had restrained the latter from having an interest in a business similar to that </w:t>
      </w:r>
      <w:r w:rsidR="009863DE" w:rsidRPr="009B6EB7">
        <w:rPr>
          <w:rFonts w:ascii="Arial" w:hAnsi="Arial" w:cs="Arial"/>
          <w:sz w:val="24"/>
          <w:szCs w:val="24"/>
        </w:rPr>
        <w:t>carried on by the former or in any business that competed or was likely to compete with the former. Cohen AJ held</w:t>
      </w:r>
      <w:r w:rsidR="00635090" w:rsidRPr="009B6EB7">
        <w:rPr>
          <w:rFonts w:ascii="Arial" w:hAnsi="Arial" w:cs="Arial"/>
          <w:sz w:val="24"/>
          <w:szCs w:val="24"/>
        </w:rPr>
        <w:t xml:space="preserve">, at 361, that ‘similar’ </w:t>
      </w:r>
      <w:r w:rsidR="009C2A23" w:rsidRPr="009B6EB7">
        <w:rPr>
          <w:rFonts w:ascii="Arial" w:hAnsi="Arial" w:cs="Arial"/>
          <w:sz w:val="24"/>
          <w:szCs w:val="24"/>
        </w:rPr>
        <w:t xml:space="preserve">(as used in the contract) </w:t>
      </w:r>
      <w:r w:rsidR="00635090" w:rsidRPr="009B6EB7">
        <w:rPr>
          <w:rFonts w:ascii="Arial" w:hAnsi="Arial" w:cs="Arial"/>
          <w:sz w:val="24"/>
          <w:szCs w:val="24"/>
        </w:rPr>
        <w:t>meant a business that competed with the applicant’s business and not a business that was the same in all respects.</w:t>
      </w:r>
      <w:r w:rsidR="00CA2E99" w:rsidRPr="009B6EB7">
        <w:rPr>
          <w:rFonts w:ascii="Arial" w:hAnsi="Arial" w:cs="Arial"/>
          <w:sz w:val="24"/>
          <w:szCs w:val="24"/>
        </w:rPr>
        <w:t xml:space="preserve"> </w:t>
      </w:r>
      <w:r w:rsidR="00635090" w:rsidRPr="009B6EB7">
        <w:rPr>
          <w:rFonts w:ascii="Arial" w:hAnsi="Arial" w:cs="Arial"/>
          <w:sz w:val="24"/>
          <w:szCs w:val="24"/>
        </w:rPr>
        <w:t xml:space="preserve">Furthermore, the court held that </w:t>
      </w:r>
      <w:r w:rsidR="009C2A23" w:rsidRPr="009B6EB7">
        <w:rPr>
          <w:rFonts w:ascii="Arial" w:hAnsi="Arial" w:cs="Arial"/>
          <w:sz w:val="24"/>
          <w:szCs w:val="24"/>
        </w:rPr>
        <w:t>‘compete’, here, meant competition in some material respect.</w:t>
      </w:r>
    </w:p>
    <w:p w14:paraId="64A4A97C" w14:textId="77777777" w:rsidR="000040EA" w:rsidRPr="00031FFC" w:rsidRDefault="000040EA" w:rsidP="000040EA">
      <w:pPr>
        <w:pStyle w:val="ListParagraph"/>
        <w:rPr>
          <w:rFonts w:ascii="Arial" w:hAnsi="Arial" w:cs="Arial"/>
          <w:sz w:val="24"/>
          <w:szCs w:val="24"/>
        </w:rPr>
      </w:pPr>
    </w:p>
    <w:p w14:paraId="1C06D649" w14:textId="728178A7"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[51]</w:t>
      </w:r>
      <w:r w:rsidRPr="00031FFC">
        <w:rPr>
          <w:rFonts w:ascii="Arial" w:hAnsi="Arial" w:cs="Arial"/>
          <w:sz w:val="24"/>
          <w:szCs w:val="24"/>
        </w:rPr>
        <w:tab/>
      </w:r>
      <w:r w:rsidR="000040EA" w:rsidRPr="009B6EB7">
        <w:rPr>
          <w:rFonts w:ascii="Arial" w:hAnsi="Arial" w:cs="Arial"/>
          <w:sz w:val="24"/>
          <w:szCs w:val="24"/>
        </w:rPr>
        <w:t>In</w:t>
      </w:r>
      <w:r w:rsidR="009C2A23" w:rsidRPr="009B6EB7">
        <w:rPr>
          <w:rFonts w:ascii="Arial" w:hAnsi="Arial" w:cs="Arial"/>
          <w:sz w:val="24"/>
          <w:szCs w:val="24"/>
        </w:rPr>
        <w:t xml:space="preserve"> </w:t>
      </w:r>
      <w:r w:rsidR="00783EBC" w:rsidRPr="009B6EB7">
        <w:rPr>
          <w:rFonts w:ascii="Arial" w:hAnsi="Arial" w:cs="Arial"/>
          <w:i/>
          <w:iCs/>
          <w:sz w:val="24"/>
          <w:szCs w:val="24"/>
        </w:rPr>
        <w:t>PE Nightwatchman Patrol (Pty) Ltd v Blignaut</w:t>
      </w:r>
      <w:r w:rsidR="00F13BB5" w:rsidRPr="00031FFC">
        <w:rPr>
          <w:rStyle w:val="FootnoteReference"/>
          <w:rFonts w:ascii="Arial" w:hAnsi="Arial" w:cs="Arial"/>
          <w:i/>
          <w:iCs/>
          <w:sz w:val="24"/>
          <w:szCs w:val="24"/>
        </w:rPr>
        <w:footnoteReference w:id="16"/>
      </w:r>
      <w:r w:rsidR="000040EA" w:rsidRPr="009B6EB7">
        <w:rPr>
          <w:rFonts w:ascii="Arial" w:hAnsi="Arial" w:cs="Arial"/>
          <w:sz w:val="24"/>
          <w:szCs w:val="24"/>
        </w:rPr>
        <w:t xml:space="preserve">, </w:t>
      </w:r>
      <w:r w:rsidR="00EC7C4A" w:rsidRPr="009B6EB7">
        <w:rPr>
          <w:rFonts w:ascii="Arial" w:hAnsi="Arial" w:cs="Arial"/>
          <w:sz w:val="24"/>
          <w:szCs w:val="24"/>
        </w:rPr>
        <w:t xml:space="preserve">the applicant provided a service that entailed the guarding of premises, </w:t>
      </w:r>
      <w:r w:rsidR="00543149" w:rsidRPr="009B6EB7">
        <w:rPr>
          <w:rFonts w:ascii="Arial" w:hAnsi="Arial" w:cs="Arial"/>
          <w:sz w:val="24"/>
          <w:szCs w:val="24"/>
        </w:rPr>
        <w:t>using dogs;</w:t>
      </w:r>
      <w:r w:rsidR="00EC7C4A" w:rsidRPr="009B6EB7">
        <w:rPr>
          <w:rFonts w:ascii="Arial" w:hAnsi="Arial" w:cs="Arial"/>
          <w:sz w:val="24"/>
          <w:szCs w:val="24"/>
        </w:rPr>
        <w:t xml:space="preserve"> </w:t>
      </w:r>
      <w:r w:rsidR="00BB5CFE" w:rsidRPr="009B6EB7">
        <w:rPr>
          <w:rFonts w:ascii="Arial" w:hAnsi="Arial" w:cs="Arial"/>
          <w:sz w:val="24"/>
          <w:szCs w:val="24"/>
        </w:rPr>
        <w:t xml:space="preserve">the </w:t>
      </w:r>
      <w:r w:rsidR="00EC7C4A" w:rsidRPr="009B6EB7">
        <w:rPr>
          <w:rFonts w:ascii="Arial" w:hAnsi="Arial" w:cs="Arial"/>
          <w:sz w:val="24"/>
          <w:szCs w:val="24"/>
        </w:rPr>
        <w:t xml:space="preserve">respondent did not guard anything, he simply provided a radio system that could be used by a guard. Stewart J </w:t>
      </w:r>
      <w:r w:rsidR="00543149" w:rsidRPr="009B6EB7">
        <w:rPr>
          <w:rFonts w:ascii="Arial" w:hAnsi="Arial" w:cs="Arial"/>
          <w:sz w:val="24"/>
          <w:szCs w:val="24"/>
        </w:rPr>
        <w:t xml:space="preserve">held, at 304, that it was not necessary that the respondent’s business was exactly like that of the applicant; it was sufficient if it was so like that of the applicant </w:t>
      </w:r>
      <w:r w:rsidR="008D650B" w:rsidRPr="009B6EB7">
        <w:rPr>
          <w:rFonts w:ascii="Arial" w:hAnsi="Arial" w:cs="Arial"/>
          <w:sz w:val="24"/>
          <w:szCs w:val="24"/>
        </w:rPr>
        <w:t>as seriously to compete with it. T</w:t>
      </w:r>
      <w:r w:rsidR="00543149" w:rsidRPr="009B6EB7">
        <w:rPr>
          <w:rFonts w:ascii="Arial" w:hAnsi="Arial" w:cs="Arial"/>
          <w:sz w:val="24"/>
          <w:szCs w:val="24"/>
        </w:rPr>
        <w:t>he test was not whether the respondent provided a security service but whether he carried on a business that was similar to or in competition with that of the applicant. The nature of the two businesses was decisive.</w:t>
      </w:r>
      <w:r w:rsidR="008D650B" w:rsidRPr="00031FFC">
        <w:rPr>
          <w:rStyle w:val="FootnoteReference"/>
          <w:rFonts w:ascii="Arial" w:hAnsi="Arial" w:cs="Arial"/>
          <w:sz w:val="24"/>
          <w:szCs w:val="24"/>
        </w:rPr>
        <w:footnoteReference w:id="17"/>
      </w:r>
    </w:p>
    <w:p w14:paraId="4D5778FF" w14:textId="77777777" w:rsidR="008F532C" w:rsidRPr="00031FFC" w:rsidRDefault="008F532C" w:rsidP="008F532C">
      <w:pPr>
        <w:pStyle w:val="ListParagraph"/>
        <w:spacing w:line="360" w:lineRule="auto"/>
        <w:ind w:left="0"/>
        <w:jc w:val="both"/>
        <w:rPr>
          <w:rFonts w:ascii="Arial" w:hAnsi="Arial" w:cs="Arial"/>
          <w:sz w:val="24"/>
          <w:szCs w:val="24"/>
        </w:rPr>
      </w:pPr>
    </w:p>
    <w:p w14:paraId="2FC9BD9B" w14:textId="722015C7"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[52]</w:t>
      </w:r>
      <w:r w:rsidRPr="00031FFC">
        <w:rPr>
          <w:rFonts w:ascii="Arial" w:hAnsi="Arial" w:cs="Arial"/>
          <w:sz w:val="24"/>
          <w:szCs w:val="24"/>
        </w:rPr>
        <w:tab/>
      </w:r>
      <w:r w:rsidR="00BE531C" w:rsidRPr="009B6EB7">
        <w:rPr>
          <w:rFonts w:ascii="Arial" w:hAnsi="Arial" w:cs="Arial"/>
          <w:sz w:val="24"/>
          <w:szCs w:val="24"/>
        </w:rPr>
        <w:t xml:space="preserve">The parties appear to </w:t>
      </w:r>
      <w:r w:rsidR="008E285F" w:rsidRPr="009B6EB7">
        <w:rPr>
          <w:rFonts w:ascii="Arial" w:hAnsi="Arial" w:cs="Arial"/>
          <w:sz w:val="24"/>
          <w:szCs w:val="24"/>
        </w:rPr>
        <w:t>agree</w:t>
      </w:r>
      <w:r w:rsidR="00BE531C" w:rsidRPr="009B6EB7">
        <w:rPr>
          <w:rFonts w:ascii="Arial" w:hAnsi="Arial" w:cs="Arial"/>
          <w:sz w:val="24"/>
          <w:szCs w:val="24"/>
        </w:rPr>
        <w:t xml:space="preserve"> that the above cases </w:t>
      </w:r>
      <w:r w:rsidR="00353CAE" w:rsidRPr="009B6EB7">
        <w:rPr>
          <w:rFonts w:ascii="Arial" w:hAnsi="Arial" w:cs="Arial"/>
          <w:sz w:val="24"/>
          <w:szCs w:val="24"/>
        </w:rPr>
        <w:t xml:space="preserve">require a competitive overlap between the businesses being compared. </w:t>
      </w:r>
      <w:bookmarkStart w:id="18" w:name="_Hlk115876305"/>
      <w:r w:rsidR="00353CAE" w:rsidRPr="009B6EB7">
        <w:rPr>
          <w:rFonts w:ascii="Arial" w:hAnsi="Arial" w:cs="Arial"/>
          <w:sz w:val="24"/>
          <w:szCs w:val="24"/>
        </w:rPr>
        <w:t>A comparison must be made</w:t>
      </w:r>
      <w:r w:rsidR="00F856B2" w:rsidRPr="009B6EB7">
        <w:rPr>
          <w:rFonts w:ascii="Arial" w:hAnsi="Arial" w:cs="Arial"/>
          <w:sz w:val="24"/>
          <w:szCs w:val="24"/>
        </w:rPr>
        <w:t xml:space="preserve"> </w:t>
      </w:r>
      <w:r w:rsidR="00353CAE" w:rsidRPr="009B6EB7">
        <w:rPr>
          <w:rFonts w:ascii="Arial" w:hAnsi="Arial" w:cs="Arial"/>
          <w:sz w:val="24"/>
          <w:szCs w:val="24"/>
        </w:rPr>
        <w:t>between Chemex’s business and that of Red Alert, as a composite whole.</w:t>
      </w:r>
      <w:r w:rsidR="00080F7E" w:rsidRPr="009B6EB7">
        <w:rPr>
          <w:rFonts w:ascii="Arial" w:hAnsi="Arial" w:cs="Arial"/>
          <w:sz w:val="24"/>
          <w:szCs w:val="24"/>
        </w:rPr>
        <w:t xml:space="preserve"> To that effect, </w:t>
      </w:r>
      <w:r w:rsidR="00F856B2" w:rsidRPr="009B6EB7">
        <w:rPr>
          <w:rFonts w:ascii="Arial" w:hAnsi="Arial" w:cs="Arial"/>
          <w:sz w:val="24"/>
          <w:szCs w:val="24"/>
        </w:rPr>
        <w:t xml:space="preserve">mere </w:t>
      </w:r>
      <w:r w:rsidR="00080F7E" w:rsidRPr="009B6EB7">
        <w:rPr>
          <w:rFonts w:ascii="Arial" w:hAnsi="Arial" w:cs="Arial"/>
          <w:sz w:val="24"/>
          <w:szCs w:val="24"/>
        </w:rPr>
        <w:t xml:space="preserve">similarity </w:t>
      </w:r>
      <w:r w:rsidR="00F856B2" w:rsidRPr="009B6EB7">
        <w:rPr>
          <w:rFonts w:ascii="Arial" w:hAnsi="Arial" w:cs="Arial"/>
          <w:sz w:val="24"/>
          <w:szCs w:val="24"/>
        </w:rPr>
        <w:t>i</w:t>
      </w:r>
      <w:r w:rsidR="00080F7E" w:rsidRPr="009B6EB7">
        <w:rPr>
          <w:rFonts w:ascii="Arial" w:hAnsi="Arial" w:cs="Arial"/>
          <w:sz w:val="24"/>
          <w:szCs w:val="24"/>
        </w:rPr>
        <w:t xml:space="preserve">s not sufficient; the businesses </w:t>
      </w:r>
      <w:r w:rsidR="00F856B2" w:rsidRPr="009B6EB7">
        <w:rPr>
          <w:rFonts w:ascii="Arial" w:hAnsi="Arial" w:cs="Arial"/>
          <w:sz w:val="24"/>
          <w:szCs w:val="24"/>
        </w:rPr>
        <w:t>must</w:t>
      </w:r>
      <w:r w:rsidR="00080F7E" w:rsidRPr="009B6EB7">
        <w:rPr>
          <w:rFonts w:ascii="Arial" w:hAnsi="Arial" w:cs="Arial"/>
          <w:sz w:val="24"/>
          <w:szCs w:val="24"/>
        </w:rPr>
        <w:t xml:space="preserve"> compete in a material respect.</w:t>
      </w:r>
      <w:bookmarkEnd w:id="18"/>
    </w:p>
    <w:p w14:paraId="697BBD85" w14:textId="77777777" w:rsidR="008F532C" w:rsidRPr="00031FFC" w:rsidRDefault="008F532C" w:rsidP="008F532C">
      <w:pPr>
        <w:pStyle w:val="ListParagraph"/>
        <w:rPr>
          <w:rFonts w:ascii="Arial" w:hAnsi="Arial" w:cs="Arial"/>
          <w:sz w:val="24"/>
          <w:szCs w:val="24"/>
        </w:rPr>
      </w:pPr>
    </w:p>
    <w:p w14:paraId="4B228BD4" w14:textId="6F6479CD"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[53]</w:t>
      </w:r>
      <w:r w:rsidRPr="00031FFC">
        <w:rPr>
          <w:rFonts w:ascii="Arial" w:hAnsi="Arial" w:cs="Arial"/>
          <w:sz w:val="24"/>
          <w:szCs w:val="24"/>
        </w:rPr>
        <w:tab/>
      </w:r>
      <w:r w:rsidR="002C6DE4" w:rsidRPr="009B6EB7">
        <w:rPr>
          <w:rFonts w:ascii="Arial" w:hAnsi="Arial" w:cs="Arial"/>
          <w:sz w:val="24"/>
          <w:szCs w:val="24"/>
        </w:rPr>
        <w:t xml:space="preserve">The crucial distinction, argue the respondents, is that the entities in question operate according to different business models; Red Alert </w:t>
      </w:r>
      <w:r w:rsidR="0011074A" w:rsidRPr="009B6EB7">
        <w:rPr>
          <w:rFonts w:ascii="Arial" w:hAnsi="Arial" w:cs="Arial"/>
          <w:sz w:val="24"/>
          <w:szCs w:val="24"/>
        </w:rPr>
        <w:t>provides</w:t>
      </w:r>
      <w:r w:rsidR="002C6DE4" w:rsidRPr="009B6EB7">
        <w:rPr>
          <w:rFonts w:ascii="Arial" w:hAnsi="Arial" w:cs="Arial"/>
          <w:sz w:val="24"/>
          <w:szCs w:val="24"/>
        </w:rPr>
        <w:t xml:space="preserve"> personnel to </w:t>
      </w:r>
      <w:r w:rsidR="0011074A" w:rsidRPr="009B6EB7">
        <w:rPr>
          <w:rFonts w:ascii="Arial" w:hAnsi="Arial" w:cs="Arial"/>
          <w:sz w:val="24"/>
          <w:szCs w:val="24"/>
        </w:rPr>
        <w:t xml:space="preserve">render </w:t>
      </w:r>
      <w:r w:rsidR="00A816F3" w:rsidRPr="009B6EB7">
        <w:rPr>
          <w:rFonts w:ascii="Arial" w:hAnsi="Arial" w:cs="Arial"/>
          <w:sz w:val="24"/>
          <w:szCs w:val="24"/>
        </w:rPr>
        <w:t xml:space="preserve">the </w:t>
      </w:r>
      <w:r w:rsidR="002C6DE4" w:rsidRPr="009B6EB7">
        <w:rPr>
          <w:rFonts w:ascii="Arial" w:hAnsi="Arial" w:cs="Arial"/>
          <w:sz w:val="24"/>
          <w:szCs w:val="24"/>
        </w:rPr>
        <w:t xml:space="preserve">services </w:t>
      </w:r>
      <w:r w:rsidR="0095075A" w:rsidRPr="009B6EB7">
        <w:rPr>
          <w:rFonts w:ascii="Arial" w:hAnsi="Arial" w:cs="Arial"/>
          <w:sz w:val="24"/>
          <w:szCs w:val="24"/>
        </w:rPr>
        <w:t xml:space="preserve">related to the supply of the equipment and consumables, Chemex does not. </w:t>
      </w:r>
      <w:r w:rsidR="0095075A" w:rsidRPr="009B6EB7">
        <w:rPr>
          <w:rFonts w:ascii="Arial" w:hAnsi="Arial" w:cs="Arial"/>
          <w:sz w:val="24"/>
          <w:szCs w:val="24"/>
        </w:rPr>
        <w:lastRenderedPageBreak/>
        <w:t xml:space="preserve">A customer will </w:t>
      </w:r>
      <w:r w:rsidR="0011074A" w:rsidRPr="009B6EB7">
        <w:rPr>
          <w:rFonts w:ascii="Arial" w:hAnsi="Arial" w:cs="Arial"/>
          <w:sz w:val="24"/>
          <w:szCs w:val="24"/>
        </w:rPr>
        <w:t>prefer</w:t>
      </w:r>
      <w:r w:rsidR="0095075A" w:rsidRPr="009B6EB7">
        <w:rPr>
          <w:rFonts w:ascii="Arial" w:hAnsi="Arial" w:cs="Arial"/>
          <w:sz w:val="24"/>
          <w:szCs w:val="24"/>
        </w:rPr>
        <w:t xml:space="preserve"> either one model or the other, depending on the circumstances. </w:t>
      </w:r>
      <w:r w:rsidR="00A816F3" w:rsidRPr="009B6EB7">
        <w:rPr>
          <w:rFonts w:ascii="Arial" w:hAnsi="Arial" w:cs="Arial"/>
          <w:sz w:val="24"/>
          <w:szCs w:val="24"/>
        </w:rPr>
        <w:t xml:space="preserve">This meant that the </w:t>
      </w:r>
      <w:r w:rsidR="0095075A" w:rsidRPr="009B6EB7">
        <w:rPr>
          <w:rFonts w:ascii="Arial" w:hAnsi="Arial" w:cs="Arial"/>
          <w:sz w:val="24"/>
          <w:szCs w:val="24"/>
        </w:rPr>
        <w:t xml:space="preserve">models </w:t>
      </w:r>
      <w:r w:rsidR="00A816F3" w:rsidRPr="009B6EB7">
        <w:rPr>
          <w:rFonts w:ascii="Arial" w:hAnsi="Arial" w:cs="Arial"/>
          <w:sz w:val="24"/>
          <w:szCs w:val="24"/>
        </w:rPr>
        <w:t xml:space="preserve">entailed </w:t>
      </w:r>
      <w:r w:rsidR="0095075A" w:rsidRPr="009B6EB7">
        <w:rPr>
          <w:rFonts w:ascii="Arial" w:hAnsi="Arial" w:cs="Arial"/>
          <w:sz w:val="24"/>
          <w:szCs w:val="24"/>
        </w:rPr>
        <w:t>different pricing structures. Consequently, argue the respondents, there is no competition.</w:t>
      </w:r>
      <w:r w:rsidR="00A816F3" w:rsidRPr="009B6EB7">
        <w:rPr>
          <w:rFonts w:ascii="Arial" w:hAnsi="Arial" w:cs="Arial"/>
          <w:sz w:val="24"/>
          <w:szCs w:val="24"/>
        </w:rPr>
        <w:t xml:space="preserve"> This was demonstrated by the fact that the entities have never been requested to submit quotations against each other.</w:t>
      </w:r>
    </w:p>
    <w:p w14:paraId="075B2F2B" w14:textId="77777777" w:rsidR="008F532C" w:rsidRPr="00031FFC" w:rsidRDefault="008F532C" w:rsidP="008F532C">
      <w:pPr>
        <w:pStyle w:val="ListParagraph"/>
        <w:rPr>
          <w:rFonts w:ascii="Arial" w:hAnsi="Arial" w:cs="Arial"/>
          <w:sz w:val="24"/>
          <w:szCs w:val="24"/>
        </w:rPr>
      </w:pPr>
    </w:p>
    <w:p w14:paraId="502D2E5B" w14:textId="45FDC82C"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[54]</w:t>
      </w:r>
      <w:r w:rsidRPr="00031FFC">
        <w:rPr>
          <w:rFonts w:ascii="Arial" w:hAnsi="Arial" w:cs="Arial"/>
          <w:sz w:val="24"/>
          <w:szCs w:val="24"/>
        </w:rPr>
        <w:tab/>
      </w:r>
      <w:r w:rsidR="00F856B2" w:rsidRPr="009B6EB7">
        <w:rPr>
          <w:rFonts w:ascii="Arial" w:hAnsi="Arial" w:cs="Arial"/>
          <w:sz w:val="24"/>
          <w:szCs w:val="24"/>
        </w:rPr>
        <w:t xml:space="preserve">It is common cause that Chemex and Red Alert </w:t>
      </w:r>
      <w:r w:rsidR="00B3686B" w:rsidRPr="009B6EB7">
        <w:rPr>
          <w:rFonts w:ascii="Arial" w:hAnsi="Arial" w:cs="Arial"/>
          <w:sz w:val="24"/>
          <w:szCs w:val="24"/>
        </w:rPr>
        <w:t>compete for customers in the same sectors, viz: food and beverages</w:t>
      </w:r>
      <w:r w:rsidR="00213AA7" w:rsidRPr="009B6EB7">
        <w:rPr>
          <w:rFonts w:ascii="Arial" w:hAnsi="Arial" w:cs="Arial"/>
          <w:sz w:val="24"/>
          <w:szCs w:val="24"/>
        </w:rPr>
        <w:t>;</w:t>
      </w:r>
      <w:r w:rsidR="00B3686B" w:rsidRPr="009B6EB7">
        <w:rPr>
          <w:rFonts w:ascii="Arial" w:hAnsi="Arial" w:cs="Arial"/>
          <w:sz w:val="24"/>
          <w:szCs w:val="24"/>
        </w:rPr>
        <w:t xml:space="preserve"> hospitality</w:t>
      </w:r>
      <w:r w:rsidR="00213AA7" w:rsidRPr="009B6EB7">
        <w:rPr>
          <w:rFonts w:ascii="Arial" w:hAnsi="Arial" w:cs="Arial"/>
          <w:sz w:val="24"/>
          <w:szCs w:val="24"/>
        </w:rPr>
        <w:t>;</w:t>
      </w:r>
      <w:r w:rsidR="00B3686B" w:rsidRPr="009B6EB7">
        <w:rPr>
          <w:rFonts w:ascii="Arial" w:hAnsi="Arial" w:cs="Arial"/>
          <w:sz w:val="24"/>
          <w:szCs w:val="24"/>
        </w:rPr>
        <w:t xml:space="preserve"> automotive</w:t>
      </w:r>
      <w:r w:rsidR="00213AA7" w:rsidRPr="009B6EB7">
        <w:rPr>
          <w:rFonts w:ascii="Arial" w:hAnsi="Arial" w:cs="Arial"/>
          <w:sz w:val="24"/>
          <w:szCs w:val="24"/>
        </w:rPr>
        <w:t>;</w:t>
      </w:r>
      <w:r w:rsidR="00B3686B" w:rsidRPr="009B6EB7">
        <w:rPr>
          <w:rFonts w:ascii="Arial" w:hAnsi="Arial" w:cs="Arial"/>
          <w:sz w:val="24"/>
          <w:szCs w:val="24"/>
        </w:rPr>
        <w:t xml:space="preserve"> healthcare</w:t>
      </w:r>
      <w:r w:rsidR="00213AA7" w:rsidRPr="009B6EB7">
        <w:rPr>
          <w:rFonts w:ascii="Arial" w:hAnsi="Arial" w:cs="Arial"/>
          <w:sz w:val="24"/>
          <w:szCs w:val="24"/>
        </w:rPr>
        <w:t>;</w:t>
      </w:r>
      <w:r w:rsidR="00B3686B" w:rsidRPr="009B6EB7">
        <w:rPr>
          <w:rFonts w:ascii="Arial" w:hAnsi="Arial" w:cs="Arial"/>
          <w:sz w:val="24"/>
          <w:szCs w:val="24"/>
        </w:rPr>
        <w:t xml:space="preserve"> commercial and retail</w:t>
      </w:r>
      <w:r w:rsidR="00213AA7" w:rsidRPr="009B6EB7">
        <w:rPr>
          <w:rFonts w:ascii="Arial" w:hAnsi="Arial" w:cs="Arial"/>
          <w:sz w:val="24"/>
          <w:szCs w:val="24"/>
        </w:rPr>
        <w:t>;</w:t>
      </w:r>
      <w:r w:rsidR="00B3686B" w:rsidRPr="009B6EB7">
        <w:rPr>
          <w:rFonts w:ascii="Arial" w:hAnsi="Arial" w:cs="Arial"/>
          <w:sz w:val="24"/>
          <w:szCs w:val="24"/>
        </w:rPr>
        <w:t xml:space="preserve"> educational</w:t>
      </w:r>
      <w:r w:rsidR="00213AA7" w:rsidRPr="009B6EB7">
        <w:rPr>
          <w:rFonts w:ascii="Arial" w:hAnsi="Arial" w:cs="Arial"/>
          <w:sz w:val="24"/>
          <w:szCs w:val="24"/>
        </w:rPr>
        <w:t>;</w:t>
      </w:r>
      <w:r w:rsidR="00B3686B" w:rsidRPr="009B6EB7">
        <w:rPr>
          <w:rFonts w:ascii="Arial" w:hAnsi="Arial" w:cs="Arial"/>
          <w:sz w:val="24"/>
          <w:szCs w:val="24"/>
        </w:rPr>
        <w:t xml:space="preserve"> manufacturing</w:t>
      </w:r>
      <w:r w:rsidR="00213AA7" w:rsidRPr="009B6EB7">
        <w:rPr>
          <w:rFonts w:ascii="Arial" w:hAnsi="Arial" w:cs="Arial"/>
          <w:sz w:val="24"/>
          <w:szCs w:val="24"/>
        </w:rPr>
        <w:t>;</w:t>
      </w:r>
      <w:r w:rsidR="00B3686B" w:rsidRPr="009B6EB7">
        <w:rPr>
          <w:rFonts w:ascii="Arial" w:hAnsi="Arial" w:cs="Arial"/>
          <w:sz w:val="24"/>
          <w:szCs w:val="24"/>
        </w:rPr>
        <w:t xml:space="preserve"> and hygiene.</w:t>
      </w:r>
      <w:r w:rsidR="00B3686B" w:rsidRPr="00031FFC">
        <w:rPr>
          <w:vertAlign w:val="superscript"/>
        </w:rPr>
        <w:footnoteReference w:id="18"/>
      </w:r>
      <w:r w:rsidR="00F05BD9" w:rsidRPr="009B6EB7">
        <w:rPr>
          <w:rFonts w:ascii="Arial" w:hAnsi="Arial" w:cs="Arial"/>
          <w:sz w:val="24"/>
          <w:szCs w:val="24"/>
        </w:rPr>
        <w:t xml:space="preserve"> </w:t>
      </w:r>
      <w:r w:rsidR="00434AD0" w:rsidRPr="009B6EB7">
        <w:rPr>
          <w:rFonts w:ascii="Arial" w:hAnsi="Arial" w:cs="Arial"/>
          <w:sz w:val="24"/>
          <w:szCs w:val="24"/>
        </w:rPr>
        <w:t>I</w:t>
      </w:r>
      <w:r w:rsidR="00F05BD9" w:rsidRPr="009B6EB7">
        <w:rPr>
          <w:rFonts w:ascii="Arial" w:hAnsi="Arial" w:cs="Arial"/>
          <w:sz w:val="24"/>
          <w:szCs w:val="24"/>
        </w:rPr>
        <w:t>t is common cause that they supply the same products, viz: foam-soap dispensers</w:t>
      </w:r>
      <w:r w:rsidR="00213AA7" w:rsidRPr="009B6EB7">
        <w:rPr>
          <w:rFonts w:ascii="Arial" w:hAnsi="Arial" w:cs="Arial"/>
          <w:sz w:val="24"/>
          <w:szCs w:val="24"/>
        </w:rPr>
        <w:t>;</w:t>
      </w:r>
      <w:r w:rsidR="00F05BD9" w:rsidRPr="009B6EB7">
        <w:rPr>
          <w:rFonts w:ascii="Arial" w:hAnsi="Arial" w:cs="Arial"/>
          <w:sz w:val="24"/>
          <w:szCs w:val="24"/>
        </w:rPr>
        <w:t xml:space="preserve"> hand-sanitizer dispensers</w:t>
      </w:r>
      <w:r w:rsidR="00213AA7" w:rsidRPr="009B6EB7">
        <w:rPr>
          <w:rFonts w:ascii="Arial" w:hAnsi="Arial" w:cs="Arial"/>
          <w:sz w:val="24"/>
          <w:szCs w:val="24"/>
        </w:rPr>
        <w:t>;</w:t>
      </w:r>
      <w:r w:rsidR="00F05BD9" w:rsidRPr="009B6EB7">
        <w:rPr>
          <w:rFonts w:ascii="Arial" w:hAnsi="Arial" w:cs="Arial"/>
          <w:sz w:val="24"/>
          <w:szCs w:val="24"/>
        </w:rPr>
        <w:t xml:space="preserve"> wall-mounted disposal bins</w:t>
      </w:r>
      <w:r w:rsidR="00213AA7" w:rsidRPr="009B6EB7">
        <w:rPr>
          <w:rFonts w:ascii="Arial" w:hAnsi="Arial" w:cs="Arial"/>
          <w:sz w:val="24"/>
          <w:szCs w:val="24"/>
        </w:rPr>
        <w:t>;</w:t>
      </w:r>
      <w:r w:rsidR="00F05BD9" w:rsidRPr="009B6EB7">
        <w:rPr>
          <w:rFonts w:ascii="Arial" w:hAnsi="Arial" w:cs="Arial"/>
          <w:sz w:val="24"/>
          <w:szCs w:val="24"/>
        </w:rPr>
        <w:t xml:space="preserve"> air-freshener units</w:t>
      </w:r>
      <w:r w:rsidR="00213AA7" w:rsidRPr="009B6EB7">
        <w:rPr>
          <w:rFonts w:ascii="Arial" w:hAnsi="Arial" w:cs="Arial"/>
          <w:sz w:val="24"/>
          <w:szCs w:val="24"/>
        </w:rPr>
        <w:t>;</w:t>
      </w:r>
      <w:r w:rsidR="00F05BD9" w:rsidRPr="009B6EB7">
        <w:rPr>
          <w:rFonts w:ascii="Arial" w:hAnsi="Arial" w:cs="Arial"/>
          <w:sz w:val="24"/>
          <w:szCs w:val="24"/>
        </w:rPr>
        <w:t xml:space="preserve"> toilet-seat sanitizers</w:t>
      </w:r>
      <w:r w:rsidR="00213AA7" w:rsidRPr="009B6EB7">
        <w:rPr>
          <w:rFonts w:ascii="Arial" w:hAnsi="Arial" w:cs="Arial"/>
          <w:sz w:val="24"/>
          <w:szCs w:val="24"/>
        </w:rPr>
        <w:t>;</w:t>
      </w:r>
      <w:r w:rsidR="00F05BD9" w:rsidRPr="009B6EB7">
        <w:rPr>
          <w:rFonts w:ascii="Arial" w:hAnsi="Arial" w:cs="Arial"/>
          <w:sz w:val="24"/>
          <w:szCs w:val="24"/>
        </w:rPr>
        <w:t xml:space="preserve"> toilet-roll holders</w:t>
      </w:r>
      <w:r w:rsidR="00213AA7" w:rsidRPr="009B6EB7">
        <w:rPr>
          <w:rFonts w:ascii="Arial" w:hAnsi="Arial" w:cs="Arial"/>
          <w:sz w:val="24"/>
          <w:szCs w:val="24"/>
        </w:rPr>
        <w:t>;</w:t>
      </w:r>
      <w:r w:rsidR="00F05BD9" w:rsidRPr="009B6EB7">
        <w:rPr>
          <w:rFonts w:ascii="Arial" w:hAnsi="Arial" w:cs="Arial"/>
          <w:sz w:val="24"/>
          <w:szCs w:val="24"/>
        </w:rPr>
        <w:t xml:space="preserve"> urinal-drip dispensers</w:t>
      </w:r>
      <w:r w:rsidR="00213AA7" w:rsidRPr="009B6EB7">
        <w:rPr>
          <w:rFonts w:ascii="Arial" w:hAnsi="Arial" w:cs="Arial"/>
          <w:sz w:val="24"/>
          <w:szCs w:val="24"/>
        </w:rPr>
        <w:t>;</w:t>
      </w:r>
      <w:r w:rsidR="00F05BD9" w:rsidRPr="009B6EB7">
        <w:rPr>
          <w:rFonts w:ascii="Arial" w:hAnsi="Arial" w:cs="Arial"/>
          <w:sz w:val="24"/>
          <w:szCs w:val="24"/>
        </w:rPr>
        <w:t xml:space="preserve"> hand-towel rolls</w:t>
      </w:r>
      <w:r w:rsidR="00213AA7" w:rsidRPr="009B6EB7">
        <w:rPr>
          <w:rFonts w:ascii="Arial" w:hAnsi="Arial" w:cs="Arial"/>
          <w:sz w:val="24"/>
          <w:szCs w:val="24"/>
        </w:rPr>
        <w:t>;</w:t>
      </w:r>
      <w:r w:rsidR="00F05BD9" w:rsidRPr="009B6EB7">
        <w:rPr>
          <w:rFonts w:ascii="Arial" w:hAnsi="Arial" w:cs="Arial"/>
          <w:sz w:val="24"/>
          <w:szCs w:val="24"/>
        </w:rPr>
        <w:t xml:space="preserve"> folded-towel rolls</w:t>
      </w:r>
      <w:r w:rsidR="00213AA7" w:rsidRPr="009B6EB7">
        <w:rPr>
          <w:rFonts w:ascii="Arial" w:hAnsi="Arial" w:cs="Arial"/>
          <w:sz w:val="24"/>
          <w:szCs w:val="24"/>
        </w:rPr>
        <w:t>;</w:t>
      </w:r>
      <w:r w:rsidR="00F05BD9" w:rsidRPr="009B6EB7">
        <w:rPr>
          <w:rFonts w:ascii="Arial" w:hAnsi="Arial" w:cs="Arial"/>
          <w:sz w:val="24"/>
          <w:szCs w:val="24"/>
        </w:rPr>
        <w:t xml:space="preserve"> tidy-wipe rolls</w:t>
      </w:r>
      <w:r w:rsidR="00213AA7" w:rsidRPr="009B6EB7">
        <w:rPr>
          <w:rFonts w:ascii="Arial" w:hAnsi="Arial" w:cs="Arial"/>
          <w:sz w:val="24"/>
          <w:szCs w:val="24"/>
        </w:rPr>
        <w:t>;</w:t>
      </w:r>
      <w:r w:rsidR="00F05BD9" w:rsidRPr="009B6EB7">
        <w:rPr>
          <w:rFonts w:ascii="Arial" w:hAnsi="Arial" w:cs="Arial"/>
          <w:sz w:val="24"/>
          <w:szCs w:val="24"/>
        </w:rPr>
        <w:t xml:space="preserve"> toilet-paper</w:t>
      </w:r>
      <w:r w:rsidR="00213AA7" w:rsidRPr="009B6EB7">
        <w:rPr>
          <w:rFonts w:ascii="Arial" w:hAnsi="Arial" w:cs="Arial"/>
          <w:sz w:val="24"/>
          <w:szCs w:val="24"/>
        </w:rPr>
        <w:t>;</w:t>
      </w:r>
      <w:r w:rsidR="00F05BD9" w:rsidRPr="009B6EB7">
        <w:rPr>
          <w:rFonts w:ascii="Arial" w:hAnsi="Arial" w:cs="Arial"/>
          <w:sz w:val="24"/>
          <w:szCs w:val="24"/>
        </w:rPr>
        <w:t xml:space="preserve"> hand-soap</w:t>
      </w:r>
      <w:r w:rsidR="00213AA7" w:rsidRPr="009B6EB7">
        <w:rPr>
          <w:rFonts w:ascii="Arial" w:hAnsi="Arial" w:cs="Arial"/>
          <w:sz w:val="24"/>
          <w:szCs w:val="24"/>
        </w:rPr>
        <w:t>;</w:t>
      </w:r>
      <w:r w:rsidR="00F05BD9" w:rsidRPr="009B6EB7">
        <w:rPr>
          <w:rFonts w:ascii="Arial" w:hAnsi="Arial" w:cs="Arial"/>
          <w:sz w:val="24"/>
          <w:szCs w:val="24"/>
        </w:rPr>
        <w:t xml:space="preserve"> antibacterial hand-soap</w:t>
      </w:r>
      <w:r w:rsidR="00213AA7" w:rsidRPr="009B6EB7">
        <w:rPr>
          <w:rFonts w:ascii="Arial" w:hAnsi="Arial" w:cs="Arial"/>
          <w:sz w:val="24"/>
          <w:szCs w:val="24"/>
        </w:rPr>
        <w:t>;</w:t>
      </w:r>
      <w:r w:rsidR="00F05BD9" w:rsidRPr="009B6EB7">
        <w:rPr>
          <w:rFonts w:ascii="Arial" w:hAnsi="Arial" w:cs="Arial"/>
          <w:sz w:val="24"/>
          <w:szCs w:val="24"/>
        </w:rPr>
        <w:t xml:space="preserve"> foam hand-soap refill sachets</w:t>
      </w:r>
      <w:r w:rsidR="00213AA7" w:rsidRPr="009B6EB7">
        <w:rPr>
          <w:rFonts w:ascii="Arial" w:hAnsi="Arial" w:cs="Arial"/>
          <w:sz w:val="24"/>
          <w:szCs w:val="24"/>
        </w:rPr>
        <w:t>;</w:t>
      </w:r>
      <w:r w:rsidR="00F05BD9" w:rsidRPr="009B6EB7">
        <w:rPr>
          <w:rFonts w:ascii="Arial" w:hAnsi="Arial" w:cs="Arial"/>
          <w:sz w:val="24"/>
          <w:szCs w:val="24"/>
        </w:rPr>
        <w:t xml:space="preserve"> hand sanitizer</w:t>
      </w:r>
      <w:r w:rsidR="00213AA7" w:rsidRPr="009B6EB7">
        <w:rPr>
          <w:rFonts w:ascii="Arial" w:hAnsi="Arial" w:cs="Arial"/>
          <w:sz w:val="24"/>
          <w:szCs w:val="24"/>
        </w:rPr>
        <w:t>;</w:t>
      </w:r>
      <w:r w:rsidR="00F05BD9" w:rsidRPr="009B6EB7">
        <w:rPr>
          <w:rFonts w:ascii="Arial" w:hAnsi="Arial" w:cs="Arial"/>
          <w:sz w:val="24"/>
          <w:szCs w:val="24"/>
        </w:rPr>
        <w:t xml:space="preserve"> and toilet-seat sanitizer sachets.</w:t>
      </w:r>
      <w:r w:rsidR="00434AD0" w:rsidRPr="009B6EB7">
        <w:rPr>
          <w:rFonts w:ascii="Arial" w:hAnsi="Arial" w:cs="Arial"/>
          <w:sz w:val="24"/>
          <w:szCs w:val="24"/>
        </w:rPr>
        <w:t xml:space="preserve"> It is also common cause that they supply </w:t>
      </w:r>
      <w:r w:rsidR="007E1619" w:rsidRPr="009B6EB7">
        <w:rPr>
          <w:rFonts w:ascii="Arial" w:hAnsi="Arial" w:cs="Arial"/>
          <w:sz w:val="24"/>
          <w:szCs w:val="24"/>
        </w:rPr>
        <w:t xml:space="preserve">the </w:t>
      </w:r>
      <w:r w:rsidR="00DB4045" w:rsidRPr="009B6EB7">
        <w:rPr>
          <w:rFonts w:ascii="Arial" w:hAnsi="Arial" w:cs="Arial"/>
          <w:sz w:val="24"/>
          <w:szCs w:val="24"/>
        </w:rPr>
        <w:t xml:space="preserve">same </w:t>
      </w:r>
      <w:r w:rsidR="00434AD0" w:rsidRPr="009B6EB7">
        <w:rPr>
          <w:rFonts w:ascii="Arial" w:hAnsi="Arial" w:cs="Arial"/>
          <w:sz w:val="24"/>
          <w:szCs w:val="24"/>
        </w:rPr>
        <w:t xml:space="preserve">products to customers in the same geographical areas, viz: within the boundaries of </w:t>
      </w:r>
      <w:r w:rsidR="007E1619" w:rsidRPr="009B6EB7">
        <w:rPr>
          <w:rFonts w:ascii="Arial" w:hAnsi="Arial" w:cs="Arial"/>
          <w:sz w:val="24"/>
          <w:szCs w:val="24"/>
        </w:rPr>
        <w:t xml:space="preserve">the </w:t>
      </w:r>
      <w:r w:rsidR="00434AD0" w:rsidRPr="009B6EB7">
        <w:rPr>
          <w:rFonts w:ascii="Arial" w:hAnsi="Arial" w:cs="Arial"/>
          <w:sz w:val="24"/>
          <w:szCs w:val="24"/>
        </w:rPr>
        <w:t xml:space="preserve">Buffalo City </w:t>
      </w:r>
      <w:r w:rsidR="007E1619" w:rsidRPr="009B6EB7">
        <w:rPr>
          <w:rFonts w:ascii="Arial" w:hAnsi="Arial" w:cs="Arial"/>
          <w:sz w:val="24"/>
          <w:szCs w:val="24"/>
        </w:rPr>
        <w:t>Metropolitan Municipality and numerous other municipalities situated throughout the Eastern Cape Province.</w:t>
      </w:r>
    </w:p>
    <w:p w14:paraId="70583990" w14:textId="77777777" w:rsidR="00B93541" w:rsidRPr="00031FFC" w:rsidRDefault="00B93541" w:rsidP="00B93541">
      <w:pPr>
        <w:pStyle w:val="ListParagraph"/>
        <w:rPr>
          <w:rFonts w:ascii="Arial" w:hAnsi="Arial" w:cs="Arial"/>
          <w:sz w:val="24"/>
          <w:szCs w:val="24"/>
        </w:rPr>
      </w:pPr>
    </w:p>
    <w:p w14:paraId="03A547B8" w14:textId="18D23980"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[55]</w:t>
      </w:r>
      <w:r w:rsidRPr="00031FFC">
        <w:rPr>
          <w:rFonts w:ascii="Arial" w:hAnsi="Arial" w:cs="Arial"/>
          <w:sz w:val="24"/>
          <w:szCs w:val="24"/>
        </w:rPr>
        <w:tab/>
      </w:r>
      <w:r w:rsidR="007E1619" w:rsidRPr="009B6EB7">
        <w:rPr>
          <w:rFonts w:ascii="Arial" w:hAnsi="Arial" w:cs="Arial"/>
          <w:sz w:val="24"/>
          <w:szCs w:val="24"/>
        </w:rPr>
        <w:t xml:space="preserve">The </w:t>
      </w:r>
      <w:r w:rsidR="00BA02E3" w:rsidRPr="009B6EB7">
        <w:rPr>
          <w:rFonts w:ascii="Arial" w:hAnsi="Arial" w:cs="Arial"/>
          <w:sz w:val="24"/>
          <w:szCs w:val="24"/>
        </w:rPr>
        <w:t xml:space="preserve">respondents have </w:t>
      </w:r>
      <w:r w:rsidR="00BE531C" w:rsidRPr="009B6EB7">
        <w:rPr>
          <w:rFonts w:ascii="Arial" w:hAnsi="Arial" w:cs="Arial"/>
          <w:sz w:val="24"/>
          <w:szCs w:val="24"/>
        </w:rPr>
        <w:t>built</w:t>
      </w:r>
      <w:r w:rsidR="00BA02E3" w:rsidRPr="009B6EB7">
        <w:rPr>
          <w:rFonts w:ascii="Arial" w:hAnsi="Arial" w:cs="Arial"/>
          <w:sz w:val="24"/>
          <w:szCs w:val="24"/>
        </w:rPr>
        <w:t xml:space="preserve"> their defence </w:t>
      </w:r>
      <w:r w:rsidR="00DB4045" w:rsidRPr="009B6EB7">
        <w:rPr>
          <w:rFonts w:ascii="Arial" w:hAnsi="Arial" w:cs="Arial"/>
          <w:sz w:val="24"/>
          <w:szCs w:val="24"/>
        </w:rPr>
        <w:t xml:space="preserve">on the platform that the business models used by the two entities are entirely different; the one provides personnel or a workforce with the equipment and consumables, the other does not. The distinction, however, </w:t>
      </w:r>
      <w:r w:rsidR="00C52E67" w:rsidRPr="009B6EB7">
        <w:rPr>
          <w:rFonts w:ascii="Arial" w:hAnsi="Arial" w:cs="Arial"/>
          <w:sz w:val="24"/>
          <w:szCs w:val="24"/>
        </w:rPr>
        <w:t>appear</w:t>
      </w:r>
      <w:r w:rsidR="004B440E" w:rsidRPr="009B6EB7">
        <w:rPr>
          <w:rFonts w:ascii="Arial" w:hAnsi="Arial" w:cs="Arial"/>
          <w:sz w:val="24"/>
          <w:szCs w:val="24"/>
        </w:rPr>
        <w:t xml:space="preserve">s </w:t>
      </w:r>
      <w:r w:rsidR="00DB4045" w:rsidRPr="009B6EB7">
        <w:rPr>
          <w:rFonts w:ascii="Arial" w:hAnsi="Arial" w:cs="Arial"/>
          <w:sz w:val="24"/>
          <w:szCs w:val="24"/>
        </w:rPr>
        <w:t xml:space="preserve">to be artificial. </w:t>
      </w:r>
      <w:r w:rsidR="005D5499" w:rsidRPr="009B6EB7">
        <w:rPr>
          <w:rFonts w:ascii="Arial" w:hAnsi="Arial" w:cs="Arial"/>
          <w:sz w:val="24"/>
          <w:szCs w:val="24"/>
        </w:rPr>
        <w:t>T</w:t>
      </w:r>
      <w:r w:rsidR="00DB4045" w:rsidRPr="009B6EB7">
        <w:rPr>
          <w:rFonts w:ascii="Arial" w:hAnsi="Arial" w:cs="Arial"/>
          <w:sz w:val="24"/>
          <w:szCs w:val="24"/>
        </w:rPr>
        <w:t>he following analogy</w:t>
      </w:r>
      <w:r w:rsidR="005D5499" w:rsidRPr="009B6EB7">
        <w:rPr>
          <w:rFonts w:ascii="Arial" w:hAnsi="Arial" w:cs="Arial"/>
          <w:sz w:val="24"/>
          <w:szCs w:val="24"/>
        </w:rPr>
        <w:t xml:space="preserve"> can be considered</w:t>
      </w:r>
      <w:r w:rsidR="00DB4045" w:rsidRPr="009B6EB7">
        <w:rPr>
          <w:rFonts w:ascii="Arial" w:hAnsi="Arial" w:cs="Arial"/>
          <w:sz w:val="24"/>
          <w:szCs w:val="24"/>
        </w:rPr>
        <w:t xml:space="preserve">: company </w:t>
      </w:r>
      <w:r w:rsidR="00BB5CFE" w:rsidRPr="009B6EB7">
        <w:rPr>
          <w:rFonts w:ascii="Arial" w:hAnsi="Arial" w:cs="Arial"/>
          <w:sz w:val="24"/>
          <w:szCs w:val="24"/>
        </w:rPr>
        <w:t xml:space="preserve">X </w:t>
      </w:r>
      <w:r w:rsidR="00DB4045" w:rsidRPr="009B6EB7">
        <w:rPr>
          <w:rFonts w:ascii="Arial" w:hAnsi="Arial" w:cs="Arial"/>
          <w:sz w:val="24"/>
          <w:szCs w:val="24"/>
        </w:rPr>
        <w:t>provides pre-packaged meals to customers</w:t>
      </w:r>
      <w:r w:rsidR="00380353" w:rsidRPr="009B6EB7">
        <w:rPr>
          <w:rFonts w:ascii="Arial" w:hAnsi="Arial" w:cs="Arial"/>
          <w:sz w:val="24"/>
          <w:szCs w:val="24"/>
        </w:rPr>
        <w:t xml:space="preserve">, comprising an interesting variety of snacks, main courses, desserts, and drinks; company </w:t>
      </w:r>
      <w:r w:rsidR="00BB5CFE" w:rsidRPr="009B6EB7">
        <w:rPr>
          <w:rFonts w:ascii="Arial" w:hAnsi="Arial" w:cs="Arial"/>
          <w:sz w:val="24"/>
          <w:szCs w:val="24"/>
        </w:rPr>
        <w:t>Y</w:t>
      </w:r>
      <w:r w:rsidR="00DB4045" w:rsidRPr="009B6EB7">
        <w:rPr>
          <w:rFonts w:ascii="Arial" w:hAnsi="Arial" w:cs="Arial"/>
          <w:sz w:val="24"/>
          <w:szCs w:val="24"/>
        </w:rPr>
        <w:t xml:space="preserve"> </w:t>
      </w:r>
      <w:r w:rsidR="00380353" w:rsidRPr="009B6EB7">
        <w:rPr>
          <w:rFonts w:ascii="Arial" w:hAnsi="Arial" w:cs="Arial"/>
          <w:sz w:val="24"/>
          <w:szCs w:val="24"/>
        </w:rPr>
        <w:t>provides the same pre-packaged meals, but also offers staff who will heat or cook the meals where necessary and clean up afterwards.</w:t>
      </w:r>
      <w:r w:rsidR="004B440E" w:rsidRPr="009B6EB7">
        <w:rPr>
          <w:rFonts w:ascii="Arial" w:hAnsi="Arial" w:cs="Arial"/>
          <w:sz w:val="24"/>
          <w:szCs w:val="24"/>
        </w:rPr>
        <w:t xml:space="preserve"> It would be difficult to contend that company </w:t>
      </w:r>
      <w:r w:rsidR="00BB5CFE" w:rsidRPr="009B6EB7">
        <w:rPr>
          <w:rFonts w:ascii="Arial" w:hAnsi="Arial" w:cs="Arial"/>
          <w:sz w:val="24"/>
          <w:szCs w:val="24"/>
        </w:rPr>
        <w:t>X</w:t>
      </w:r>
      <w:r w:rsidR="004B440E" w:rsidRPr="009B6EB7">
        <w:rPr>
          <w:rFonts w:ascii="Arial" w:hAnsi="Arial" w:cs="Arial"/>
          <w:sz w:val="24"/>
          <w:szCs w:val="24"/>
        </w:rPr>
        <w:t xml:space="preserve"> and company </w:t>
      </w:r>
      <w:r w:rsidR="00BB5CFE" w:rsidRPr="009B6EB7">
        <w:rPr>
          <w:rFonts w:ascii="Arial" w:hAnsi="Arial" w:cs="Arial"/>
          <w:sz w:val="24"/>
          <w:szCs w:val="24"/>
        </w:rPr>
        <w:t>Y</w:t>
      </w:r>
      <w:r w:rsidR="004B440E" w:rsidRPr="009B6EB7">
        <w:rPr>
          <w:rFonts w:ascii="Arial" w:hAnsi="Arial" w:cs="Arial"/>
          <w:sz w:val="24"/>
          <w:szCs w:val="24"/>
        </w:rPr>
        <w:t xml:space="preserve"> are not in direct competition with each other. The only real difference is the ‘add-on’ that company </w:t>
      </w:r>
      <w:r w:rsidR="00BB5CFE" w:rsidRPr="009B6EB7">
        <w:rPr>
          <w:rFonts w:ascii="Arial" w:hAnsi="Arial" w:cs="Arial"/>
          <w:sz w:val="24"/>
          <w:szCs w:val="24"/>
        </w:rPr>
        <w:t>Y</w:t>
      </w:r>
      <w:r w:rsidR="004B440E" w:rsidRPr="009B6EB7">
        <w:rPr>
          <w:rFonts w:ascii="Arial" w:hAnsi="Arial" w:cs="Arial"/>
          <w:sz w:val="24"/>
          <w:szCs w:val="24"/>
        </w:rPr>
        <w:t xml:space="preserve"> offers. Customers who require catering services would most certainly consider either company </w:t>
      </w:r>
      <w:r w:rsidR="00BB5CFE" w:rsidRPr="009B6EB7">
        <w:rPr>
          <w:rFonts w:ascii="Arial" w:hAnsi="Arial" w:cs="Arial"/>
          <w:sz w:val="24"/>
          <w:szCs w:val="24"/>
        </w:rPr>
        <w:lastRenderedPageBreak/>
        <w:t>X</w:t>
      </w:r>
      <w:r w:rsidR="004B440E" w:rsidRPr="009B6EB7">
        <w:rPr>
          <w:rFonts w:ascii="Arial" w:hAnsi="Arial" w:cs="Arial"/>
          <w:sz w:val="24"/>
          <w:szCs w:val="24"/>
        </w:rPr>
        <w:t xml:space="preserve"> or company </w:t>
      </w:r>
      <w:r w:rsidR="00BB5CFE" w:rsidRPr="009B6EB7">
        <w:rPr>
          <w:rFonts w:ascii="Arial" w:hAnsi="Arial" w:cs="Arial"/>
          <w:sz w:val="24"/>
          <w:szCs w:val="24"/>
        </w:rPr>
        <w:t>Y</w:t>
      </w:r>
      <w:r w:rsidR="004B440E" w:rsidRPr="009B6EB7">
        <w:rPr>
          <w:rFonts w:ascii="Arial" w:hAnsi="Arial" w:cs="Arial"/>
          <w:sz w:val="24"/>
          <w:szCs w:val="24"/>
        </w:rPr>
        <w:t xml:space="preserve"> and would be likely to make a decision based primarily on available budget and the contingencies of the occasion</w:t>
      </w:r>
      <w:r w:rsidR="00DF04D0" w:rsidRPr="009B6EB7">
        <w:rPr>
          <w:rFonts w:ascii="Arial" w:hAnsi="Arial" w:cs="Arial"/>
          <w:sz w:val="24"/>
          <w:szCs w:val="24"/>
        </w:rPr>
        <w:t>. The analogy is applicable to the situation that confronts the court in the present matter.</w:t>
      </w:r>
    </w:p>
    <w:p w14:paraId="76BD21CD" w14:textId="77777777" w:rsidR="008F532C" w:rsidRPr="00031FFC" w:rsidRDefault="008F532C" w:rsidP="008F532C">
      <w:pPr>
        <w:pStyle w:val="ListParagraph"/>
        <w:rPr>
          <w:rFonts w:ascii="Arial" w:hAnsi="Arial" w:cs="Arial"/>
          <w:sz w:val="24"/>
          <w:szCs w:val="24"/>
        </w:rPr>
      </w:pPr>
    </w:p>
    <w:p w14:paraId="50C6AC02" w14:textId="7A129779"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[56]</w:t>
      </w:r>
      <w:r w:rsidRPr="00031FFC">
        <w:rPr>
          <w:rFonts w:ascii="Arial" w:hAnsi="Arial" w:cs="Arial"/>
          <w:sz w:val="24"/>
          <w:szCs w:val="24"/>
        </w:rPr>
        <w:tab/>
      </w:r>
      <w:r w:rsidR="00546B1C" w:rsidRPr="009B6EB7">
        <w:rPr>
          <w:rFonts w:ascii="Arial" w:hAnsi="Arial" w:cs="Arial"/>
          <w:sz w:val="24"/>
          <w:szCs w:val="24"/>
        </w:rPr>
        <w:t>T</w:t>
      </w:r>
      <w:r w:rsidR="00DF04D0" w:rsidRPr="009B6EB7">
        <w:rPr>
          <w:rFonts w:ascii="Arial" w:hAnsi="Arial" w:cs="Arial"/>
          <w:sz w:val="24"/>
          <w:szCs w:val="24"/>
        </w:rPr>
        <w:t xml:space="preserve">he supply of cleaning and hygiene products constitutes Chemex’s core business. </w:t>
      </w:r>
      <w:r w:rsidR="00546B1C" w:rsidRPr="009B6EB7">
        <w:rPr>
          <w:rFonts w:ascii="Arial" w:hAnsi="Arial" w:cs="Arial"/>
          <w:sz w:val="24"/>
          <w:szCs w:val="24"/>
        </w:rPr>
        <w:t xml:space="preserve">Red Alert supplies cleaning and hygiene products </w:t>
      </w:r>
      <w:r w:rsidR="00CB1676" w:rsidRPr="009B6EB7">
        <w:rPr>
          <w:rFonts w:ascii="Arial" w:hAnsi="Arial" w:cs="Arial"/>
          <w:sz w:val="24"/>
          <w:szCs w:val="24"/>
        </w:rPr>
        <w:t>(</w:t>
      </w:r>
      <w:r w:rsidR="003443DA" w:rsidRPr="009B6EB7">
        <w:rPr>
          <w:rFonts w:ascii="Arial" w:hAnsi="Arial" w:cs="Arial"/>
          <w:sz w:val="24"/>
          <w:szCs w:val="24"/>
        </w:rPr>
        <w:t xml:space="preserve">and </w:t>
      </w:r>
      <w:r w:rsidR="00546B1C" w:rsidRPr="009B6EB7">
        <w:rPr>
          <w:rFonts w:ascii="Arial" w:hAnsi="Arial" w:cs="Arial"/>
          <w:sz w:val="24"/>
          <w:szCs w:val="24"/>
        </w:rPr>
        <w:t>services</w:t>
      </w:r>
      <w:r w:rsidR="00CB1676" w:rsidRPr="009B6EB7">
        <w:rPr>
          <w:rFonts w:ascii="Arial" w:hAnsi="Arial" w:cs="Arial"/>
          <w:sz w:val="24"/>
          <w:szCs w:val="24"/>
        </w:rPr>
        <w:t xml:space="preserve">) but </w:t>
      </w:r>
      <w:r w:rsidR="00546B1C" w:rsidRPr="009B6EB7">
        <w:rPr>
          <w:rFonts w:ascii="Arial" w:hAnsi="Arial" w:cs="Arial"/>
          <w:sz w:val="24"/>
          <w:szCs w:val="24"/>
        </w:rPr>
        <w:t>its business extends to security and emergency medical services</w:t>
      </w:r>
      <w:r w:rsidR="003443DA" w:rsidRPr="009B6EB7">
        <w:rPr>
          <w:rFonts w:ascii="Arial" w:hAnsi="Arial" w:cs="Arial"/>
          <w:sz w:val="24"/>
          <w:szCs w:val="24"/>
        </w:rPr>
        <w:t>, too</w:t>
      </w:r>
      <w:r w:rsidR="00546B1C" w:rsidRPr="009B6EB7">
        <w:rPr>
          <w:rFonts w:ascii="Arial" w:hAnsi="Arial" w:cs="Arial"/>
          <w:sz w:val="24"/>
          <w:szCs w:val="24"/>
        </w:rPr>
        <w:t xml:space="preserve">. It is </w:t>
      </w:r>
      <w:r w:rsidR="00CB1676" w:rsidRPr="009B6EB7">
        <w:rPr>
          <w:rFonts w:ascii="Arial" w:hAnsi="Arial" w:cs="Arial"/>
          <w:sz w:val="24"/>
          <w:szCs w:val="24"/>
        </w:rPr>
        <w:t xml:space="preserve">nevertheless </w:t>
      </w:r>
      <w:r w:rsidR="00546B1C" w:rsidRPr="009B6EB7">
        <w:rPr>
          <w:rFonts w:ascii="Arial" w:hAnsi="Arial" w:cs="Arial"/>
          <w:sz w:val="24"/>
          <w:szCs w:val="24"/>
        </w:rPr>
        <w:t>clear from the pleadings that cleaning and hygiene</w:t>
      </w:r>
      <w:r w:rsidR="003443DA" w:rsidRPr="009B6EB7">
        <w:rPr>
          <w:rFonts w:ascii="Arial" w:hAnsi="Arial" w:cs="Arial"/>
          <w:sz w:val="24"/>
          <w:szCs w:val="24"/>
        </w:rPr>
        <w:t xml:space="preserve"> </w:t>
      </w:r>
      <w:r w:rsidR="00546B1C" w:rsidRPr="009B6EB7">
        <w:rPr>
          <w:rFonts w:ascii="Arial" w:hAnsi="Arial" w:cs="Arial"/>
          <w:sz w:val="24"/>
          <w:szCs w:val="24"/>
        </w:rPr>
        <w:t xml:space="preserve">are </w:t>
      </w:r>
      <w:r w:rsidR="00C52E67" w:rsidRPr="009B6EB7">
        <w:rPr>
          <w:rFonts w:ascii="Arial" w:hAnsi="Arial" w:cs="Arial"/>
          <w:sz w:val="24"/>
          <w:szCs w:val="24"/>
        </w:rPr>
        <w:t>not</w:t>
      </w:r>
      <w:r w:rsidR="003443DA" w:rsidRPr="009B6EB7">
        <w:rPr>
          <w:rFonts w:ascii="Arial" w:hAnsi="Arial" w:cs="Arial"/>
          <w:sz w:val="24"/>
          <w:szCs w:val="24"/>
        </w:rPr>
        <w:t xml:space="preserve"> </w:t>
      </w:r>
      <w:r w:rsidR="00546B1C" w:rsidRPr="009B6EB7">
        <w:rPr>
          <w:rFonts w:ascii="Arial" w:hAnsi="Arial" w:cs="Arial"/>
          <w:sz w:val="24"/>
          <w:szCs w:val="24"/>
        </w:rPr>
        <w:t xml:space="preserve">insignificant </w:t>
      </w:r>
      <w:r w:rsidR="003443DA" w:rsidRPr="009B6EB7">
        <w:rPr>
          <w:rFonts w:ascii="Arial" w:hAnsi="Arial" w:cs="Arial"/>
          <w:sz w:val="24"/>
          <w:szCs w:val="24"/>
        </w:rPr>
        <w:t>par</w:t>
      </w:r>
      <w:r w:rsidR="00546B1C" w:rsidRPr="009B6EB7">
        <w:rPr>
          <w:rFonts w:ascii="Arial" w:hAnsi="Arial" w:cs="Arial"/>
          <w:sz w:val="24"/>
          <w:szCs w:val="24"/>
        </w:rPr>
        <w:t>ts of its business.</w:t>
      </w:r>
      <w:r w:rsidR="00CB1676" w:rsidRPr="009B6EB7">
        <w:rPr>
          <w:rFonts w:ascii="Arial" w:hAnsi="Arial" w:cs="Arial"/>
          <w:sz w:val="24"/>
          <w:szCs w:val="24"/>
        </w:rPr>
        <w:t xml:space="preserve"> For example, Red Alert lists its business divisions as follows: electronic security and armed response, guarding, cleaning, hygiene, and emergency medical. </w:t>
      </w:r>
      <w:r w:rsidR="003443DA" w:rsidRPr="009B6EB7">
        <w:rPr>
          <w:rFonts w:ascii="Arial" w:hAnsi="Arial" w:cs="Arial"/>
          <w:sz w:val="24"/>
          <w:szCs w:val="24"/>
        </w:rPr>
        <w:t xml:space="preserve">If Red Alert offered </w:t>
      </w:r>
      <w:r w:rsidR="0080492C" w:rsidRPr="009B6EB7">
        <w:rPr>
          <w:rFonts w:ascii="Arial" w:hAnsi="Arial" w:cs="Arial"/>
          <w:sz w:val="24"/>
          <w:szCs w:val="24"/>
        </w:rPr>
        <w:t xml:space="preserve">cleaning and hygiene products or services </w:t>
      </w:r>
      <w:r w:rsidR="003443DA" w:rsidRPr="009B6EB7">
        <w:rPr>
          <w:rFonts w:ascii="Arial" w:hAnsi="Arial" w:cs="Arial"/>
          <w:sz w:val="24"/>
          <w:szCs w:val="24"/>
        </w:rPr>
        <w:t xml:space="preserve">as </w:t>
      </w:r>
      <w:r w:rsidR="00CB1676" w:rsidRPr="009B6EB7">
        <w:rPr>
          <w:rFonts w:ascii="Arial" w:hAnsi="Arial" w:cs="Arial"/>
          <w:sz w:val="24"/>
          <w:szCs w:val="24"/>
        </w:rPr>
        <w:t>something</w:t>
      </w:r>
      <w:r w:rsidR="003443DA" w:rsidRPr="009B6EB7">
        <w:rPr>
          <w:rFonts w:ascii="Arial" w:hAnsi="Arial" w:cs="Arial"/>
          <w:sz w:val="24"/>
          <w:szCs w:val="24"/>
        </w:rPr>
        <w:t xml:space="preserve"> incidental to its security </w:t>
      </w:r>
      <w:r w:rsidR="00CB1676" w:rsidRPr="009B6EB7">
        <w:rPr>
          <w:rFonts w:ascii="Arial" w:hAnsi="Arial" w:cs="Arial"/>
          <w:sz w:val="24"/>
          <w:szCs w:val="24"/>
        </w:rPr>
        <w:t>services,</w:t>
      </w:r>
      <w:r w:rsidR="003443DA" w:rsidRPr="009B6EB7">
        <w:rPr>
          <w:rFonts w:ascii="Arial" w:hAnsi="Arial" w:cs="Arial"/>
          <w:sz w:val="24"/>
          <w:szCs w:val="24"/>
        </w:rPr>
        <w:t xml:space="preserve"> then the situation might be different, yet th</w:t>
      </w:r>
      <w:r w:rsidR="00CB1676" w:rsidRPr="009B6EB7">
        <w:rPr>
          <w:rFonts w:ascii="Arial" w:hAnsi="Arial" w:cs="Arial"/>
          <w:sz w:val="24"/>
          <w:szCs w:val="24"/>
        </w:rPr>
        <w:t>at</w:t>
      </w:r>
      <w:r w:rsidR="003443DA" w:rsidRPr="009B6EB7">
        <w:rPr>
          <w:rFonts w:ascii="Arial" w:hAnsi="Arial" w:cs="Arial"/>
          <w:sz w:val="24"/>
          <w:szCs w:val="24"/>
        </w:rPr>
        <w:t xml:space="preserve"> is not the</w:t>
      </w:r>
      <w:r w:rsidR="00CB1676" w:rsidRPr="009B6EB7">
        <w:rPr>
          <w:rFonts w:ascii="Arial" w:hAnsi="Arial" w:cs="Arial"/>
          <w:sz w:val="24"/>
          <w:szCs w:val="24"/>
        </w:rPr>
        <w:t xml:space="preserve"> </w:t>
      </w:r>
      <w:r w:rsidR="00C52E67" w:rsidRPr="009B6EB7">
        <w:rPr>
          <w:rFonts w:ascii="Arial" w:hAnsi="Arial" w:cs="Arial"/>
          <w:sz w:val="24"/>
          <w:szCs w:val="24"/>
        </w:rPr>
        <w:t>evidence</w:t>
      </w:r>
      <w:r w:rsidR="00CB1676" w:rsidRPr="009B6EB7">
        <w:rPr>
          <w:rFonts w:ascii="Arial" w:hAnsi="Arial" w:cs="Arial"/>
          <w:sz w:val="24"/>
          <w:szCs w:val="24"/>
        </w:rPr>
        <w:t>.</w:t>
      </w:r>
    </w:p>
    <w:p w14:paraId="70C1B05A" w14:textId="77777777" w:rsidR="008F532C" w:rsidRPr="00031FFC" w:rsidRDefault="008F532C" w:rsidP="008F532C">
      <w:pPr>
        <w:pStyle w:val="ListParagraph"/>
        <w:rPr>
          <w:rFonts w:ascii="Arial" w:hAnsi="Arial" w:cs="Arial"/>
          <w:sz w:val="24"/>
          <w:szCs w:val="24"/>
        </w:rPr>
      </w:pPr>
    </w:p>
    <w:p w14:paraId="51974E8D" w14:textId="48DF641A"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[57]</w:t>
      </w:r>
      <w:r w:rsidRPr="00031FFC">
        <w:rPr>
          <w:rFonts w:ascii="Arial" w:hAnsi="Arial" w:cs="Arial"/>
          <w:sz w:val="24"/>
          <w:szCs w:val="24"/>
        </w:rPr>
        <w:tab/>
      </w:r>
      <w:r w:rsidR="0080492C" w:rsidRPr="009B6EB7">
        <w:rPr>
          <w:rFonts w:ascii="Arial" w:hAnsi="Arial" w:cs="Arial"/>
          <w:sz w:val="24"/>
          <w:szCs w:val="24"/>
        </w:rPr>
        <w:t xml:space="preserve">When viewing the businesses of Chemex and Red Alert as composite wholes, it cannot be denied that they are similar. When taking into consideration the fact that each supplies the same </w:t>
      </w:r>
      <w:r w:rsidR="005D5499" w:rsidRPr="009B6EB7">
        <w:rPr>
          <w:rFonts w:ascii="Arial" w:hAnsi="Arial" w:cs="Arial"/>
          <w:sz w:val="24"/>
          <w:szCs w:val="24"/>
        </w:rPr>
        <w:t>products</w:t>
      </w:r>
      <w:r w:rsidR="0080492C" w:rsidRPr="009B6EB7">
        <w:rPr>
          <w:rFonts w:ascii="Arial" w:hAnsi="Arial" w:cs="Arial"/>
          <w:sz w:val="24"/>
          <w:szCs w:val="24"/>
        </w:rPr>
        <w:t xml:space="preserve"> to customers in the same sectors and geographical areas, </w:t>
      </w:r>
      <w:r w:rsidR="00621DD6" w:rsidRPr="009B6EB7">
        <w:rPr>
          <w:rFonts w:ascii="Arial" w:hAnsi="Arial" w:cs="Arial"/>
          <w:sz w:val="24"/>
          <w:szCs w:val="24"/>
        </w:rPr>
        <w:t>it cannot be denied that they compete in material respects.</w:t>
      </w:r>
      <w:r w:rsidR="0090271F" w:rsidRPr="009B6EB7">
        <w:rPr>
          <w:rFonts w:ascii="Arial" w:hAnsi="Arial" w:cs="Arial"/>
          <w:sz w:val="24"/>
          <w:szCs w:val="24"/>
        </w:rPr>
        <w:t xml:space="preserve"> The competitive overlap between the two businesses is substantial</w:t>
      </w:r>
      <w:r w:rsidR="00A51C6F" w:rsidRPr="009B6EB7">
        <w:rPr>
          <w:rFonts w:ascii="Arial" w:hAnsi="Arial" w:cs="Arial"/>
          <w:sz w:val="24"/>
          <w:szCs w:val="24"/>
        </w:rPr>
        <w:t>.</w:t>
      </w:r>
    </w:p>
    <w:p w14:paraId="34AD59C1" w14:textId="77777777" w:rsidR="008F532C" w:rsidRPr="00031FFC" w:rsidRDefault="008F532C" w:rsidP="008F532C">
      <w:pPr>
        <w:pStyle w:val="ListParagraph"/>
        <w:rPr>
          <w:rFonts w:ascii="Arial" w:hAnsi="Arial" w:cs="Arial"/>
          <w:sz w:val="24"/>
          <w:szCs w:val="24"/>
        </w:rPr>
      </w:pPr>
    </w:p>
    <w:p w14:paraId="7959157B" w14:textId="635BA29E"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[58]</w:t>
      </w:r>
      <w:r w:rsidRPr="00031FFC">
        <w:rPr>
          <w:rFonts w:ascii="Arial" w:hAnsi="Arial" w:cs="Arial"/>
          <w:sz w:val="24"/>
          <w:szCs w:val="24"/>
        </w:rPr>
        <w:tab/>
      </w:r>
      <w:r w:rsidR="00BE531C" w:rsidRPr="009B6EB7">
        <w:rPr>
          <w:rFonts w:ascii="Arial" w:hAnsi="Arial" w:cs="Arial"/>
          <w:sz w:val="24"/>
          <w:szCs w:val="24"/>
        </w:rPr>
        <w:t>At this stage, i</w:t>
      </w:r>
      <w:r w:rsidR="00621DD6" w:rsidRPr="009B6EB7">
        <w:rPr>
          <w:rFonts w:ascii="Arial" w:hAnsi="Arial" w:cs="Arial"/>
          <w:sz w:val="24"/>
          <w:szCs w:val="24"/>
        </w:rPr>
        <w:t>t is necessary</w:t>
      </w:r>
      <w:r w:rsidR="00BE531C" w:rsidRPr="009B6EB7">
        <w:rPr>
          <w:rFonts w:ascii="Arial" w:hAnsi="Arial" w:cs="Arial"/>
          <w:sz w:val="24"/>
          <w:szCs w:val="24"/>
        </w:rPr>
        <w:t xml:space="preserve">, </w:t>
      </w:r>
      <w:r w:rsidR="00621DD6" w:rsidRPr="009B6EB7">
        <w:rPr>
          <w:rFonts w:ascii="Arial" w:hAnsi="Arial" w:cs="Arial"/>
          <w:sz w:val="24"/>
          <w:szCs w:val="24"/>
        </w:rPr>
        <w:t xml:space="preserve">to </w:t>
      </w:r>
      <w:r w:rsidR="00BE531C" w:rsidRPr="009B6EB7">
        <w:rPr>
          <w:rFonts w:ascii="Arial" w:hAnsi="Arial" w:cs="Arial"/>
          <w:sz w:val="24"/>
          <w:szCs w:val="24"/>
        </w:rPr>
        <w:t xml:space="preserve">consider the remaining issue and to </w:t>
      </w:r>
      <w:r w:rsidR="00657DE5" w:rsidRPr="009B6EB7">
        <w:rPr>
          <w:rFonts w:ascii="Arial" w:hAnsi="Arial" w:cs="Arial"/>
          <w:sz w:val="24"/>
          <w:szCs w:val="24"/>
        </w:rPr>
        <w:t>ascertain whether the appellants satisfied the requirements for a final interdict against Mr Guest, on the one hand, and Red Alert, on the other.</w:t>
      </w:r>
    </w:p>
    <w:p w14:paraId="6999FDC0" w14:textId="77777777" w:rsidR="00B93541" w:rsidRPr="00031FFC" w:rsidRDefault="00B93541" w:rsidP="00B93541">
      <w:pPr>
        <w:pStyle w:val="ListParagraph"/>
        <w:spacing w:line="360" w:lineRule="auto"/>
        <w:ind w:left="0"/>
        <w:jc w:val="both"/>
        <w:rPr>
          <w:rFonts w:ascii="Arial" w:hAnsi="Arial" w:cs="Arial"/>
          <w:sz w:val="24"/>
          <w:szCs w:val="24"/>
        </w:rPr>
      </w:pPr>
    </w:p>
    <w:p w14:paraId="53A8A882" w14:textId="77777777" w:rsidR="008F532C" w:rsidRPr="00031FFC" w:rsidRDefault="00657DE5" w:rsidP="008F532C">
      <w:pPr>
        <w:pStyle w:val="ListParagraph"/>
        <w:spacing w:line="360" w:lineRule="auto"/>
        <w:ind w:left="0"/>
        <w:jc w:val="both"/>
        <w:rPr>
          <w:rFonts w:ascii="Arial" w:hAnsi="Arial" w:cs="Arial"/>
          <w:sz w:val="24"/>
          <w:szCs w:val="24"/>
        </w:rPr>
      </w:pPr>
      <w:r w:rsidRPr="00031FFC">
        <w:rPr>
          <w:rFonts w:ascii="Arial" w:hAnsi="Arial" w:cs="Arial"/>
          <w:b/>
          <w:bCs/>
          <w:sz w:val="24"/>
          <w:szCs w:val="24"/>
        </w:rPr>
        <w:t>Whether the requirements for a final interdict were met</w:t>
      </w:r>
    </w:p>
    <w:p w14:paraId="08556370" w14:textId="77777777" w:rsidR="008F532C" w:rsidRPr="00031FFC" w:rsidRDefault="008F532C" w:rsidP="008F532C">
      <w:pPr>
        <w:pStyle w:val="ListParagraph"/>
        <w:rPr>
          <w:rFonts w:ascii="Arial" w:hAnsi="Arial" w:cs="Arial"/>
          <w:sz w:val="24"/>
          <w:szCs w:val="24"/>
        </w:rPr>
      </w:pPr>
    </w:p>
    <w:p w14:paraId="4ED47BDB" w14:textId="35574E58" w:rsidR="008F532C"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[59]</w:t>
      </w:r>
      <w:r w:rsidRPr="00031FFC">
        <w:rPr>
          <w:rFonts w:ascii="Arial" w:hAnsi="Arial" w:cs="Arial"/>
          <w:sz w:val="24"/>
          <w:szCs w:val="24"/>
        </w:rPr>
        <w:tab/>
      </w:r>
      <w:r w:rsidR="005B7200" w:rsidRPr="009B6EB7">
        <w:rPr>
          <w:rFonts w:ascii="Arial" w:hAnsi="Arial" w:cs="Arial"/>
          <w:sz w:val="24"/>
          <w:szCs w:val="24"/>
        </w:rPr>
        <w:t xml:space="preserve">The requirements for a final </w:t>
      </w:r>
      <w:r w:rsidR="00FD6FDE" w:rsidRPr="009B6EB7">
        <w:rPr>
          <w:rFonts w:ascii="Arial" w:hAnsi="Arial" w:cs="Arial"/>
          <w:sz w:val="24"/>
          <w:szCs w:val="24"/>
        </w:rPr>
        <w:t xml:space="preserve">interdict </w:t>
      </w:r>
      <w:r w:rsidR="005B7200" w:rsidRPr="009B6EB7">
        <w:rPr>
          <w:rFonts w:ascii="Arial" w:hAnsi="Arial" w:cs="Arial"/>
          <w:sz w:val="24"/>
          <w:szCs w:val="24"/>
        </w:rPr>
        <w:t>are well-known and hardly need restat</w:t>
      </w:r>
      <w:r w:rsidR="00BB5CFE" w:rsidRPr="009B6EB7">
        <w:rPr>
          <w:rFonts w:ascii="Arial" w:hAnsi="Arial" w:cs="Arial"/>
          <w:sz w:val="24"/>
          <w:szCs w:val="24"/>
        </w:rPr>
        <w:t>ing</w:t>
      </w:r>
      <w:r w:rsidR="005B7200" w:rsidRPr="009B6EB7">
        <w:rPr>
          <w:rFonts w:ascii="Arial" w:hAnsi="Arial" w:cs="Arial"/>
          <w:sz w:val="24"/>
          <w:szCs w:val="24"/>
        </w:rPr>
        <w:t xml:space="preserve">: a clear right on the part of the applicant, an injury actually committed or reasonably </w:t>
      </w:r>
      <w:r w:rsidR="005B7200" w:rsidRPr="009B6EB7">
        <w:rPr>
          <w:rFonts w:ascii="Arial" w:hAnsi="Arial" w:cs="Arial"/>
          <w:sz w:val="24"/>
          <w:szCs w:val="24"/>
        </w:rPr>
        <w:lastRenderedPageBreak/>
        <w:t>apprehended, and the absence of any other satisfactory remedy available to the applicant.</w:t>
      </w:r>
      <w:r w:rsidR="005B7200" w:rsidRPr="00031FFC">
        <w:rPr>
          <w:rStyle w:val="FootnoteReference"/>
          <w:rFonts w:ascii="Arial" w:hAnsi="Arial" w:cs="Arial"/>
          <w:sz w:val="24"/>
          <w:szCs w:val="24"/>
        </w:rPr>
        <w:footnoteReference w:id="19"/>
      </w:r>
      <w:r w:rsidR="001D6470" w:rsidRPr="009B6EB7">
        <w:rPr>
          <w:rFonts w:ascii="Arial" w:hAnsi="Arial" w:cs="Arial"/>
          <w:sz w:val="24"/>
          <w:szCs w:val="24"/>
        </w:rPr>
        <w:t xml:space="preserve"> The extent to which </w:t>
      </w:r>
      <w:r w:rsidR="00A51C6F" w:rsidRPr="009B6EB7">
        <w:rPr>
          <w:rFonts w:ascii="Arial" w:hAnsi="Arial" w:cs="Arial"/>
          <w:sz w:val="24"/>
          <w:szCs w:val="24"/>
        </w:rPr>
        <w:t>the appellants have met the above is investigated below.</w:t>
      </w:r>
    </w:p>
    <w:p w14:paraId="48A054ED" w14:textId="77777777" w:rsidR="008F532C" w:rsidRPr="00031FFC" w:rsidRDefault="008F532C" w:rsidP="008F532C">
      <w:pPr>
        <w:pStyle w:val="ListParagraph"/>
        <w:spacing w:line="360" w:lineRule="auto"/>
        <w:ind w:left="0"/>
        <w:jc w:val="both"/>
        <w:rPr>
          <w:rFonts w:ascii="Arial" w:hAnsi="Arial" w:cs="Arial"/>
          <w:sz w:val="24"/>
          <w:szCs w:val="24"/>
        </w:rPr>
      </w:pPr>
    </w:p>
    <w:p w14:paraId="49E6F62B" w14:textId="77777777" w:rsidR="008F532C" w:rsidRPr="00031FFC" w:rsidRDefault="00A51C6F" w:rsidP="008F532C">
      <w:pPr>
        <w:pStyle w:val="ListParagraph"/>
        <w:spacing w:line="360" w:lineRule="auto"/>
        <w:ind w:left="0"/>
        <w:jc w:val="both"/>
        <w:rPr>
          <w:rFonts w:ascii="Arial" w:hAnsi="Arial" w:cs="Arial"/>
          <w:sz w:val="24"/>
          <w:szCs w:val="24"/>
        </w:rPr>
      </w:pPr>
      <w:r w:rsidRPr="00031FFC">
        <w:rPr>
          <w:rFonts w:ascii="Arial" w:hAnsi="Arial" w:cs="Arial"/>
          <w:i/>
          <w:iCs/>
          <w:sz w:val="24"/>
          <w:szCs w:val="24"/>
        </w:rPr>
        <w:t>Mr Guest</w:t>
      </w:r>
    </w:p>
    <w:p w14:paraId="3C7EA2F1" w14:textId="77777777" w:rsidR="008F532C" w:rsidRPr="00031FFC" w:rsidRDefault="008F532C" w:rsidP="008F532C">
      <w:pPr>
        <w:pStyle w:val="ListParagraph"/>
        <w:rPr>
          <w:rFonts w:ascii="Arial" w:hAnsi="Arial" w:cs="Arial"/>
          <w:sz w:val="24"/>
          <w:szCs w:val="24"/>
        </w:rPr>
      </w:pPr>
    </w:p>
    <w:p w14:paraId="613DD0CA" w14:textId="021E7C8F"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[60]</w:t>
      </w:r>
      <w:r w:rsidRPr="00031FFC">
        <w:rPr>
          <w:rFonts w:ascii="Arial" w:hAnsi="Arial" w:cs="Arial"/>
          <w:sz w:val="24"/>
          <w:szCs w:val="24"/>
        </w:rPr>
        <w:tab/>
      </w:r>
      <w:r w:rsidR="00572820" w:rsidRPr="009B6EB7">
        <w:rPr>
          <w:rFonts w:ascii="Arial" w:hAnsi="Arial" w:cs="Arial"/>
          <w:sz w:val="24"/>
          <w:szCs w:val="24"/>
        </w:rPr>
        <w:t xml:space="preserve">In launching the application, the appellants relied </w:t>
      </w:r>
      <w:r w:rsidR="007A19CC" w:rsidRPr="009B6EB7">
        <w:rPr>
          <w:rFonts w:ascii="Arial" w:hAnsi="Arial" w:cs="Arial"/>
          <w:sz w:val="24"/>
          <w:szCs w:val="24"/>
        </w:rPr>
        <w:t xml:space="preserve">squarely </w:t>
      </w:r>
      <w:r w:rsidR="00572820" w:rsidRPr="009B6EB7">
        <w:rPr>
          <w:rFonts w:ascii="Arial" w:hAnsi="Arial" w:cs="Arial"/>
          <w:sz w:val="24"/>
          <w:szCs w:val="24"/>
        </w:rPr>
        <w:t xml:space="preserve">on the </w:t>
      </w:r>
      <w:r w:rsidR="00213AA7" w:rsidRPr="009B6EB7">
        <w:rPr>
          <w:rFonts w:ascii="Arial" w:hAnsi="Arial" w:cs="Arial"/>
          <w:sz w:val="24"/>
          <w:szCs w:val="24"/>
        </w:rPr>
        <w:t xml:space="preserve">covenant in </w:t>
      </w:r>
      <w:r w:rsidR="00572820" w:rsidRPr="009B6EB7">
        <w:rPr>
          <w:rFonts w:ascii="Arial" w:hAnsi="Arial" w:cs="Arial"/>
          <w:sz w:val="24"/>
          <w:szCs w:val="24"/>
        </w:rPr>
        <w:t xml:space="preserve">restraint of trade contained in the buy-back agreement. The court </w:t>
      </w:r>
      <w:r w:rsidR="00572820" w:rsidRPr="009B6EB7">
        <w:rPr>
          <w:rFonts w:ascii="Arial" w:hAnsi="Arial" w:cs="Arial"/>
          <w:i/>
          <w:iCs/>
          <w:sz w:val="24"/>
          <w:szCs w:val="24"/>
        </w:rPr>
        <w:t>a quo</w:t>
      </w:r>
      <w:r w:rsidR="00572820" w:rsidRPr="009B6EB7">
        <w:rPr>
          <w:rFonts w:ascii="Arial" w:hAnsi="Arial" w:cs="Arial"/>
          <w:sz w:val="24"/>
          <w:szCs w:val="24"/>
        </w:rPr>
        <w:t xml:space="preserve"> held that the term was </w:t>
      </w:r>
      <w:r w:rsidR="00583F48" w:rsidRPr="009B6EB7">
        <w:rPr>
          <w:rFonts w:ascii="Arial" w:hAnsi="Arial" w:cs="Arial"/>
          <w:sz w:val="24"/>
          <w:szCs w:val="24"/>
        </w:rPr>
        <w:t>wide enough to include the scenario where Mr Guest was employed by a competitor. This finding does not form part of the appeal; it has not been challenged by either the appellants or the respondents</w:t>
      </w:r>
      <w:r w:rsidR="009708B7" w:rsidRPr="009B6EB7">
        <w:rPr>
          <w:rFonts w:ascii="Arial" w:hAnsi="Arial" w:cs="Arial"/>
          <w:sz w:val="24"/>
          <w:szCs w:val="24"/>
        </w:rPr>
        <w:t xml:space="preserve"> and this court sees no reason to interfere</w:t>
      </w:r>
      <w:r w:rsidR="00583F48" w:rsidRPr="009B6EB7">
        <w:rPr>
          <w:rFonts w:ascii="Arial" w:hAnsi="Arial" w:cs="Arial"/>
          <w:sz w:val="24"/>
          <w:szCs w:val="24"/>
        </w:rPr>
        <w:t xml:space="preserve">. Instead, the </w:t>
      </w:r>
      <w:r w:rsidR="00EF0A77" w:rsidRPr="009B6EB7">
        <w:rPr>
          <w:rFonts w:ascii="Arial" w:hAnsi="Arial" w:cs="Arial"/>
          <w:sz w:val="24"/>
          <w:szCs w:val="24"/>
        </w:rPr>
        <w:t>respondents</w:t>
      </w:r>
      <w:r w:rsidR="00583F48" w:rsidRPr="009B6EB7">
        <w:rPr>
          <w:rFonts w:ascii="Arial" w:hAnsi="Arial" w:cs="Arial"/>
          <w:sz w:val="24"/>
          <w:szCs w:val="24"/>
        </w:rPr>
        <w:t xml:space="preserve"> argue that Mr Guest never breached </w:t>
      </w:r>
      <w:r w:rsidR="00E0010A" w:rsidRPr="009B6EB7">
        <w:rPr>
          <w:rFonts w:ascii="Arial" w:hAnsi="Arial" w:cs="Arial"/>
          <w:sz w:val="24"/>
          <w:szCs w:val="24"/>
        </w:rPr>
        <w:t xml:space="preserve">his obligations by taking up employment with Chemex because the businesses of the entities are not similar, there is no competitive overlap. This court has found otherwise. Consequently, Mr Guest must be deemed to have breached </w:t>
      </w:r>
      <w:r w:rsidR="003F46E4" w:rsidRPr="009B6EB7">
        <w:rPr>
          <w:rFonts w:ascii="Arial" w:hAnsi="Arial" w:cs="Arial"/>
          <w:sz w:val="24"/>
          <w:szCs w:val="24"/>
        </w:rPr>
        <w:t xml:space="preserve">the </w:t>
      </w:r>
      <w:r w:rsidR="00213AA7" w:rsidRPr="009B6EB7">
        <w:rPr>
          <w:rFonts w:ascii="Arial" w:hAnsi="Arial" w:cs="Arial"/>
          <w:sz w:val="24"/>
          <w:szCs w:val="24"/>
        </w:rPr>
        <w:t xml:space="preserve">restraint </w:t>
      </w:r>
      <w:r w:rsidR="007A19CC" w:rsidRPr="009B6EB7">
        <w:rPr>
          <w:rFonts w:ascii="Arial" w:hAnsi="Arial" w:cs="Arial"/>
          <w:sz w:val="24"/>
          <w:szCs w:val="24"/>
        </w:rPr>
        <w:t xml:space="preserve">in question; conversely, the appellants have a clear right to enforce </w:t>
      </w:r>
      <w:r w:rsidR="009E7024" w:rsidRPr="009B6EB7">
        <w:rPr>
          <w:rFonts w:ascii="Arial" w:hAnsi="Arial" w:cs="Arial"/>
          <w:sz w:val="24"/>
          <w:szCs w:val="24"/>
        </w:rPr>
        <w:t>the</w:t>
      </w:r>
      <w:r w:rsidR="007A19CC" w:rsidRPr="009B6EB7">
        <w:rPr>
          <w:rFonts w:ascii="Arial" w:hAnsi="Arial" w:cs="Arial"/>
          <w:sz w:val="24"/>
          <w:szCs w:val="24"/>
        </w:rPr>
        <w:t xml:space="preserve"> </w:t>
      </w:r>
      <w:r w:rsidR="009E7024" w:rsidRPr="009B6EB7">
        <w:rPr>
          <w:rFonts w:ascii="Arial" w:hAnsi="Arial" w:cs="Arial"/>
          <w:sz w:val="24"/>
          <w:szCs w:val="24"/>
        </w:rPr>
        <w:t>terms thereof</w:t>
      </w:r>
      <w:r w:rsidR="007A19CC" w:rsidRPr="009B6EB7">
        <w:rPr>
          <w:rFonts w:ascii="Arial" w:hAnsi="Arial" w:cs="Arial"/>
          <w:sz w:val="24"/>
          <w:szCs w:val="24"/>
        </w:rPr>
        <w:t>.</w:t>
      </w:r>
    </w:p>
    <w:p w14:paraId="1B7FBC0A" w14:textId="77777777" w:rsidR="0083185A" w:rsidRPr="00031FFC" w:rsidRDefault="0083185A" w:rsidP="0083185A">
      <w:pPr>
        <w:pStyle w:val="ListParagraph"/>
        <w:spacing w:line="360" w:lineRule="auto"/>
        <w:ind w:left="0"/>
        <w:jc w:val="both"/>
        <w:rPr>
          <w:rFonts w:ascii="Arial" w:hAnsi="Arial" w:cs="Arial"/>
          <w:sz w:val="24"/>
          <w:szCs w:val="24"/>
        </w:rPr>
      </w:pPr>
    </w:p>
    <w:p w14:paraId="0E5D7944" w14:textId="27147310"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[61]</w:t>
      </w:r>
      <w:r w:rsidRPr="00031FFC">
        <w:rPr>
          <w:rFonts w:ascii="Arial" w:hAnsi="Arial" w:cs="Arial"/>
          <w:sz w:val="24"/>
          <w:szCs w:val="24"/>
        </w:rPr>
        <w:tab/>
      </w:r>
      <w:r w:rsidR="009E7024" w:rsidRPr="009B6EB7">
        <w:rPr>
          <w:rFonts w:ascii="Arial" w:hAnsi="Arial" w:cs="Arial"/>
          <w:sz w:val="24"/>
          <w:szCs w:val="24"/>
        </w:rPr>
        <w:t>Mr Guest was a founding member of Chemex. It is not disputed that he used his technical knowledge of and experience in blending chemicals</w:t>
      </w:r>
      <w:r w:rsidR="00405F49" w:rsidRPr="009B6EB7">
        <w:rPr>
          <w:rFonts w:ascii="Arial" w:hAnsi="Arial" w:cs="Arial"/>
          <w:sz w:val="24"/>
          <w:szCs w:val="24"/>
        </w:rPr>
        <w:t xml:space="preserve"> </w:t>
      </w:r>
      <w:r w:rsidR="009E7024" w:rsidRPr="009B6EB7">
        <w:rPr>
          <w:rFonts w:ascii="Arial" w:hAnsi="Arial" w:cs="Arial"/>
          <w:sz w:val="24"/>
          <w:szCs w:val="24"/>
        </w:rPr>
        <w:t xml:space="preserve">to establish and </w:t>
      </w:r>
      <w:r w:rsidR="007E4967" w:rsidRPr="009B6EB7">
        <w:rPr>
          <w:rFonts w:ascii="Arial" w:hAnsi="Arial" w:cs="Arial"/>
          <w:sz w:val="24"/>
          <w:szCs w:val="24"/>
        </w:rPr>
        <w:t>grow</w:t>
      </w:r>
      <w:r w:rsidR="009E7024" w:rsidRPr="009B6EB7">
        <w:rPr>
          <w:rFonts w:ascii="Arial" w:hAnsi="Arial" w:cs="Arial"/>
          <w:sz w:val="24"/>
          <w:szCs w:val="24"/>
        </w:rPr>
        <w:t xml:space="preserve"> the business. </w:t>
      </w:r>
      <w:r w:rsidR="0098479C" w:rsidRPr="009B6EB7">
        <w:rPr>
          <w:rFonts w:ascii="Arial" w:hAnsi="Arial" w:cs="Arial"/>
          <w:sz w:val="24"/>
          <w:szCs w:val="24"/>
        </w:rPr>
        <w:t>H</w:t>
      </w:r>
      <w:r w:rsidR="007E4967" w:rsidRPr="009B6EB7">
        <w:rPr>
          <w:rFonts w:ascii="Arial" w:hAnsi="Arial" w:cs="Arial"/>
          <w:sz w:val="24"/>
          <w:szCs w:val="24"/>
        </w:rPr>
        <w:t xml:space="preserve">e developed approximately 90% of the entity’s products. </w:t>
      </w:r>
      <w:r w:rsidR="009E7024" w:rsidRPr="009B6EB7">
        <w:rPr>
          <w:rFonts w:ascii="Arial" w:hAnsi="Arial" w:cs="Arial"/>
          <w:sz w:val="24"/>
          <w:szCs w:val="24"/>
        </w:rPr>
        <w:t xml:space="preserve">It is also not disputed that, at the time of </w:t>
      </w:r>
      <w:r w:rsidR="00FC1C32" w:rsidRPr="009B6EB7">
        <w:rPr>
          <w:rFonts w:ascii="Arial" w:hAnsi="Arial" w:cs="Arial"/>
          <w:sz w:val="24"/>
          <w:szCs w:val="24"/>
        </w:rPr>
        <w:t xml:space="preserve">Mr Guest’s </w:t>
      </w:r>
      <w:r w:rsidR="009E7024" w:rsidRPr="009B6EB7">
        <w:rPr>
          <w:rFonts w:ascii="Arial" w:hAnsi="Arial" w:cs="Arial"/>
          <w:sz w:val="24"/>
          <w:szCs w:val="24"/>
        </w:rPr>
        <w:t>departure</w:t>
      </w:r>
      <w:r w:rsidR="00FC1C32" w:rsidRPr="009B6EB7">
        <w:rPr>
          <w:rFonts w:ascii="Arial" w:hAnsi="Arial" w:cs="Arial"/>
          <w:sz w:val="24"/>
          <w:szCs w:val="24"/>
        </w:rPr>
        <w:t>,</w:t>
      </w:r>
      <w:r w:rsidR="009E7024" w:rsidRPr="009B6EB7">
        <w:rPr>
          <w:rFonts w:ascii="Arial" w:hAnsi="Arial" w:cs="Arial"/>
          <w:sz w:val="24"/>
          <w:szCs w:val="24"/>
        </w:rPr>
        <w:t xml:space="preserve"> Chemex supplie</w:t>
      </w:r>
      <w:r w:rsidR="00FC1C32" w:rsidRPr="009B6EB7">
        <w:rPr>
          <w:rFonts w:ascii="Arial" w:hAnsi="Arial" w:cs="Arial"/>
          <w:sz w:val="24"/>
          <w:szCs w:val="24"/>
        </w:rPr>
        <w:t>d</w:t>
      </w:r>
      <w:r w:rsidR="009E7024" w:rsidRPr="009B6EB7">
        <w:rPr>
          <w:rFonts w:ascii="Arial" w:hAnsi="Arial" w:cs="Arial"/>
          <w:sz w:val="24"/>
          <w:szCs w:val="24"/>
        </w:rPr>
        <w:t xml:space="preserve"> cleaning and hygiene equipment and consumables to a wide range of customers in different sectors and across the length and breadth of the Eastern Cape Province</w:t>
      </w:r>
      <w:r w:rsidR="00FC1C32" w:rsidRPr="009B6EB7">
        <w:rPr>
          <w:rFonts w:ascii="Arial" w:hAnsi="Arial" w:cs="Arial"/>
          <w:sz w:val="24"/>
          <w:szCs w:val="24"/>
        </w:rPr>
        <w:t xml:space="preserve">. His </w:t>
      </w:r>
      <w:r w:rsidR="007E4967" w:rsidRPr="009B6EB7">
        <w:rPr>
          <w:rFonts w:ascii="Arial" w:hAnsi="Arial" w:cs="Arial"/>
          <w:sz w:val="24"/>
          <w:szCs w:val="24"/>
        </w:rPr>
        <w:t xml:space="preserve">technical and business </w:t>
      </w:r>
      <w:r w:rsidR="00FC1C32" w:rsidRPr="009B6EB7">
        <w:rPr>
          <w:rFonts w:ascii="Arial" w:hAnsi="Arial" w:cs="Arial"/>
          <w:sz w:val="24"/>
          <w:szCs w:val="24"/>
        </w:rPr>
        <w:t>capabilities</w:t>
      </w:r>
      <w:r w:rsidR="007E4967" w:rsidRPr="009B6EB7">
        <w:rPr>
          <w:rFonts w:ascii="Arial" w:hAnsi="Arial" w:cs="Arial"/>
          <w:sz w:val="24"/>
          <w:szCs w:val="24"/>
        </w:rPr>
        <w:t xml:space="preserve"> </w:t>
      </w:r>
      <w:r w:rsidR="00FC1C32" w:rsidRPr="009B6EB7">
        <w:rPr>
          <w:rFonts w:ascii="Arial" w:hAnsi="Arial" w:cs="Arial"/>
          <w:sz w:val="24"/>
          <w:szCs w:val="24"/>
        </w:rPr>
        <w:t xml:space="preserve">would clearly have been of significant interest to Red Alert, so much so that he and Mr Harvey explored opportunities </w:t>
      </w:r>
      <w:r w:rsidR="00405F49" w:rsidRPr="009B6EB7">
        <w:rPr>
          <w:rFonts w:ascii="Arial" w:hAnsi="Arial" w:cs="Arial"/>
          <w:sz w:val="24"/>
          <w:szCs w:val="24"/>
        </w:rPr>
        <w:t xml:space="preserve">in late 2020, </w:t>
      </w:r>
      <w:r w:rsidR="00FC1C32" w:rsidRPr="009B6EB7">
        <w:rPr>
          <w:rFonts w:ascii="Arial" w:hAnsi="Arial" w:cs="Arial"/>
          <w:sz w:val="24"/>
          <w:szCs w:val="24"/>
        </w:rPr>
        <w:t>after the appellants’ purchase of his member’s interest</w:t>
      </w:r>
      <w:r w:rsidR="00405F49" w:rsidRPr="009B6EB7">
        <w:rPr>
          <w:rFonts w:ascii="Arial" w:hAnsi="Arial" w:cs="Arial"/>
          <w:sz w:val="24"/>
          <w:szCs w:val="24"/>
        </w:rPr>
        <w:t xml:space="preserve"> and the value of his loan account</w:t>
      </w:r>
      <w:r w:rsidR="007E4967" w:rsidRPr="009B6EB7">
        <w:rPr>
          <w:rFonts w:ascii="Arial" w:hAnsi="Arial" w:cs="Arial"/>
          <w:sz w:val="24"/>
          <w:szCs w:val="24"/>
        </w:rPr>
        <w:t xml:space="preserve">, which eventually </w:t>
      </w:r>
      <w:r w:rsidR="00405F49" w:rsidRPr="009B6EB7">
        <w:rPr>
          <w:rFonts w:ascii="Arial" w:hAnsi="Arial" w:cs="Arial"/>
          <w:sz w:val="24"/>
          <w:szCs w:val="24"/>
        </w:rPr>
        <w:t xml:space="preserve">led </w:t>
      </w:r>
      <w:r w:rsidR="007E4967" w:rsidRPr="009B6EB7">
        <w:rPr>
          <w:rFonts w:ascii="Arial" w:hAnsi="Arial" w:cs="Arial"/>
          <w:sz w:val="24"/>
          <w:szCs w:val="24"/>
        </w:rPr>
        <w:t>to his</w:t>
      </w:r>
      <w:r w:rsidR="00FC1C32" w:rsidRPr="009B6EB7">
        <w:rPr>
          <w:rFonts w:ascii="Arial" w:hAnsi="Arial" w:cs="Arial"/>
          <w:sz w:val="24"/>
          <w:szCs w:val="24"/>
        </w:rPr>
        <w:t xml:space="preserve"> appoint</w:t>
      </w:r>
      <w:r w:rsidR="007E4967" w:rsidRPr="009B6EB7">
        <w:rPr>
          <w:rFonts w:ascii="Arial" w:hAnsi="Arial" w:cs="Arial"/>
          <w:sz w:val="24"/>
          <w:szCs w:val="24"/>
        </w:rPr>
        <w:t>ment, a few months later,</w:t>
      </w:r>
      <w:r w:rsidR="00FC1C32" w:rsidRPr="009B6EB7">
        <w:rPr>
          <w:rFonts w:ascii="Arial" w:hAnsi="Arial" w:cs="Arial"/>
          <w:sz w:val="24"/>
          <w:szCs w:val="24"/>
        </w:rPr>
        <w:t xml:space="preserve"> as a business development manager to develop the business of </w:t>
      </w:r>
      <w:r w:rsidR="007E4967" w:rsidRPr="009B6EB7">
        <w:rPr>
          <w:rFonts w:ascii="Arial" w:hAnsi="Arial" w:cs="Arial"/>
          <w:sz w:val="24"/>
          <w:szCs w:val="24"/>
        </w:rPr>
        <w:t>Red Alert’s</w:t>
      </w:r>
      <w:r w:rsidR="00FC1C32" w:rsidRPr="009B6EB7">
        <w:rPr>
          <w:rFonts w:ascii="Arial" w:hAnsi="Arial" w:cs="Arial"/>
          <w:sz w:val="24"/>
          <w:szCs w:val="24"/>
        </w:rPr>
        <w:t xml:space="preserve"> hygiene division</w:t>
      </w:r>
      <w:r w:rsidR="00405F49" w:rsidRPr="009B6EB7">
        <w:rPr>
          <w:rFonts w:ascii="Arial" w:hAnsi="Arial" w:cs="Arial"/>
          <w:sz w:val="24"/>
          <w:szCs w:val="24"/>
        </w:rPr>
        <w:t>.</w:t>
      </w:r>
      <w:r w:rsidR="00B810D5" w:rsidRPr="009B6EB7">
        <w:rPr>
          <w:rFonts w:ascii="Arial" w:hAnsi="Arial" w:cs="Arial"/>
          <w:sz w:val="24"/>
          <w:szCs w:val="24"/>
        </w:rPr>
        <w:t xml:space="preserve"> To put it bluntly, Mr Guest knew Chemex’s </w:t>
      </w:r>
      <w:r w:rsidR="00B810D5" w:rsidRPr="009B6EB7">
        <w:rPr>
          <w:rFonts w:ascii="Arial" w:hAnsi="Arial" w:cs="Arial"/>
          <w:sz w:val="24"/>
          <w:szCs w:val="24"/>
        </w:rPr>
        <w:lastRenderedPageBreak/>
        <w:t>business inside and out</w:t>
      </w:r>
      <w:r w:rsidR="00A36390" w:rsidRPr="009B6EB7">
        <w:rPr>
          <w:rFonts w:ascii="Arial" w:hAnsi="Arial" w:cs="Arial"/>
          <w:sz w:val="24"/>
          <w:szCs w:val="24"/>
        </w:rPr>
        <w:t>.</w:t>
      </w:r>
      <w:r w:rsidR="00B810D5" w:rsidRPr="009B6EB7">
        <w:rPr>
          <w:rFonts w:ascii="Arial" w:hAnsi="Arial" w:cs="Arial"/>
          <w:sz w:val="24"/>
          <w:szCs w:val="24"/>
        </w:rPr>
        <w:t xml:space="preserve"> It would be difficult to ignore or deny the risks that the move posed to Chemex. </w:t>
      </w:r>
      <w:r w:rsidR="0032309B" w:rsidRPr="009B6EB7">
        <w:rPr>
          <w:rFonts w:ascii="Arial" w:hAnsi="Arial" w:cs="Arial"/>
          <w:sz w:val="24"/>
          <w:szCs w:val="24"/>
        </w:rPr>
        <w:t xml:space="preserve">If </w:t>
      </w:r>
      <w:r w:rsidR="00B810D5" w:rsidRPr="009B6EB7">
        <w:rPr>
          <w:rFonts w:ascii="Arial" w:hAnsi="Arial" w:cs="Arial"/>
          <w:sz w:val="24"/>
          <w:szCs w:val="24"/>
        </w:rPr>
        <w:t>Mr Guest</w:t>
      </w:r>
      <w:r w:rsidR="0032309B" w:rsidRPr="009B6EB7">
        <w:rPr>
          <w:rFonts w:ascii="Arial" w:hAnsi="Arial" w:cs="Arial"/>
          <w:sz w:val="24"/>
          <w:szCs w:val="24"/>
        </w:rPr>
        <w:t xml:space="preserve"> di</w:t>
      </w:r>
      <w:r w:rsidR="00EF0A77" w:rsidRPr="009B6EB7">
        <w:rPr>
          <w:rFonts w:ascii="Arial" w:hAnsi="Arial" w:cs="Arial"/>
          <w:sz w:val="24"/>
          <w:szCs w:val="24"/>
        </w:rPr>
        <w:t>vulg</w:t>
      </w:r>
      <w:r w:rsidR="0032309B" w:rsidRPr="009B6EB7">
        <w:rPr>
          <w:rFonts w:ascii="Arial" w:hAnsi="Arial" w:cs="Arial"/>
          <w:sz w:val="24"/>
          <w:szCs w:val="24"/>
        </w:rPr>
        <w:t>ed hi</w:t>
      </w:r>
      <w:r w:rsidR="00B810D5" w:rsidRPr="009B6EB7">
        <w:rPr>
          <w:rFonts w:ascii="Arial" w:hAnsi="Arial" w:cs="Arial"/>
          <w:sz w:val="24"/>
          <w:szCs w:val="24"/>
        </w:rPr>
        <w:t xml:space="preserve">s </w:t>
      </w:r>
      <w:r w:rsidR="0032309B" w:rsidRPr="009B6EB7">
        <w:rPr>
          <w:rFonts w:ascii="Arial" w:hAnsi="Arial" w:cs="Arial"/>
          <w:sz w:val="24"/>
          <w:szCs w:val="24"/>
        </w:rPr>
        <w:t xml:space="preserve">understanding </w:t>
      </w:r>
      <w:r w:rsidR="00B810D5" w:rsidRPr="009B6EB7">
        <w:rPr>
          <w:rFonts w:ascii="Arial" w:hAnsi="Arial" w:cs="Arial"/>
          <w:sz w:val="24"/>
          <w:szCs w:val="24"/>
        </w:rPr>
        <w:t xml:space="preserve">of the workings of the business, </w:t>
      </w:r>
      <w:r w:rsidR="0032309B" w:rsidRPr="009B6EB7">
        <w:rPr>
          <w:rFonts w:ascii="Arial" w:hAnsi="Arial" w:cs="Arial"/>
          <w:sz w:val="24"/>
          <w:szCs w:val="24"/>
        </w:rPr>
        <w:t xml:space="preserve">the composition of its products, its customer base, the details of contractual arrangements, its pricing structures, </w:t>
      </w:r>
      <w:r w:rsidR="00EF0A77" w:rsidRPr="009B6EB7">
        <w:rPr>
          <w:rFonts w:ascii="Arial" w:hAnsi="Arial" w:cs="Arial"/>
          <w:sz w:val="24"/>
          <w:szCs w:val="24"/>
        </w:rPr>
        <w:t xml:space="preserve">and so forth, and exploited such knowledge </w:t>
      </w:r>
      <w:r w:rsidR="0032309B" w:rsidRPr="009B6EB7">
        <w:rPr>
          <w:rFonts w:ascii="Arial" w:hAnsi="Arial" w:cs="Arial"/>
          <w:sz w:val="24"/>
          <w:szCs w:val="24"/>
        </w:rPr>
        <w:t xml:space="preserve">to the advantage of his new employer, </w:t>
      </w:r>
      <w:r w:rsidR="00EF0A77" w:rsidRPr="009B6EB7">
        <w:rPr>
          <w:rFonts w:ascii="Arial" w:hAnsi="Arial" w:cs="Arial"/>
          <w:sz w:val="24"/>
          <w:szCs w:val="24"/>
        </w:rPr>
        <w:t xml:space="preserve">then </w:t>
      </w:r>
      <w:r w:rsidR="00F14185" w:rsidRPr="009B6EB7">
        <w:rPr>
          <w:rFonts w:ascii="Arial" w:hAnsi="Arial" w:cs="Arial"/>
          <w:sz w:val="24"/>
          <w:szCs w:val="24"/>
        </w:rPr>
        <w:t>considerabl</w:t>
      </w:r>
      <w:r w:rsidR="0032309B" w:rsidRPr="009B6EB7">
        <w:rPr>
          <w:rFonts w:ascii="Arial" w:hAnsi="Arial" w:cs="Arial"/>
          <w:sz w:val="24"/>
          <w:szCs w:val="24"/>
        </w:rPr>
        <w:t xml:space="preserve">e </w:t>
      </w:r>
      <w:r w:rsidR="0098479C" w:rsidRPr="009B6EB7">
        <w:rPr>
          <w:rFonts w:ascii="Arial" w:hAnsi="Arial" w:cs="Arial"/>
          <w:sz w:val="24"/>
          <w:szCs w:val="24"/>
        </w:rPr>
        <w:t xml:space="preserve">harm </w:t>
      </w:r>
      <w:r w:rsidR="00EF0A77" w:rsidRPr="009B6EB7">
        <w:rPr>
          <w:rFonts w:ascii="Arial" w:hAnsi="Arial" w:cs="Arial"/>
          <w:sz w:val="24"/>
          <w:szCs w:val="24"/>
        </w:rPr>
        <w:t xml:space="preserve">would be </w:t>
      </w:r>
      <w:r w:rsidR="0098479C" w:rsidRPr="009B6EB7">
        <w:rPr>
          <w:rFonts w:ascii="Arial" w:hAnsi="Arial" w:cs="Arial"/>
          <w:sz w:val="24"/>
          <w:szCs w:val="24"/>
        </w:rPr>
        <w:t xml:space="preserve">caused to </w:t>
      </w:r>
      <w:r w:rsidR="0032309B" w:rsidRPr="009B6EB7">
        <w:rPr>
          <w:rFonts w:ascii="Arial" w:hAnsi="Arial" w:cs="Arial"/>
          <w:sz w:val="24"/>
          <w:szCs w:val="24"/>
        </w:rPr>
        <w:t>Chemex</w:t>
      </w:r>
      <w:r w:rsidR="00EF0A77" w:rsidRPr="009B6EB7">
        <w:rPr>
          <w:rFonts w:ascii="Arial" w:hAnsi="Arial" w:cs="Arial"/>
          <w:sz w:val="24"/>
          <w:szCs w:val="24"/>
        </w:rPr>
        <w:t>’s business</w:t>
      </w:r>
      <w:r w:rsidR="0032309B" w:rsidRPr="009B6EB7">
        <w:rPr>
          <w:rFonts w:ascii="Arial" w:hAnsi="Arial" w:cs="Arial"/>
          <w:sz w:val="24"/>
          <w:szCs w:val="24"/>
        </w:rPr>
        <w:t>.</w:t>
      </w:r>
    </w:p>
    <w:p w14:paraId="3301F0EF" w14:textId="77777777" w:rsidR="001908A4" w:rsidRPr="00031FFC" w:rsidRDefault="001908A4" w:rsidP="001908A4">
      <w:pPr>
        <w:pStyle w:val="ListParagraph"/>
        <w:spacing w:line="360" w:lineRule="auto"/>
        <w:ind w:left="0"/>
        <w:jc w:val="both"/>
        <w:rPr>
          <w:rFonts w:ascii="Arial" w:hAnsi="Arial" w:cs="Arial"/>
          <w:sz w:val="24"/>
          <w:szCs w:val="24"/>
        </w:rPr>
      </w:pPr>
    </w:p>
    <w:p w14:paraId="6C84C262" w14:textId="185A4A12"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[62]</w:t>
      </w:r>
      <w:r w:rsidRPr="00031FFC">
        <w:rPr>
          <w:rFonts w:ascii="Arial" w:hAnsi="Arial" w:cs="Arial"/>
          <w:sz w:val="24"/>
          <w:szCs w:val="24"/>
        </w:rPr>
        <w:tab/>
      </w:r>
      <w:r w:rsidR="00EB233F" w:rsidRPr="009B6EB7">
        <w:rPr>
          <w:rFonts w:ascii="Arial" w:hAnsi="Arial" w:cs="Arial"/>
          <w:sz w:val="24"/>
          <w:szCs w:val="24"/>
        </w:rPr>
        <w:t xml:space="preserve">The alternative remedy of a damages claim is simply inadequate in the circumstances. By the time that any such claim </w:t>
      </w:r>
      <w:r w:rsidR="003F448C" w:rsidRPr="009B6EB7">
        <w:rPr>
          <w:rFonts w:ascii="Arial" w:hAnsi="Arial" w:cs="Arial"/>
          <w:sz w:val="24"/>
          <w:szCs w:val="24"/>
        </w:rPr>
        <w:t>was</w:t>
      </w:r>
      <w:r w:rsidR="00EB233F" w:rsidRPr="009B6EB7">
        <w:rPr>
          <w:rFonts w:ascii="Arial" w:hAnsi="Arial" w:cs="Arial"/>
          <w:sz w:val="24"/>
          <w:szCs w:val="24"/>
        </w:rPr>
        <w:t xml:space="preserve"> heard, the damage would have been inflicted and it would be exceedingly difficult for Chemex to recover its lost share of the market.</w:t>
      </w:r>
      <w:r w:rsidR="003F448C" w:rsidRPr="00031FFC">
        <w:rPr>
          <w:rStyle w:val="FootnoteReference"/>
          <w:rFonts w:ascii="Arial" w:hAnsi="Arial" w:cs="Arial"/>
          <w:sz w:val="24"/>
          <w:szCs w:val="24"/>
        </w:rPr>
        <w:footnoteReference w:id="20"/>
      </w:r>
      <w:r w:rsidR="00EB233F" w:rsidRPr="009B6EB7">
        <w:rPr>
          <w:rFonts w:ascii="Arial" w:hAnsi="Arial" w:cs="Arial"/>
          <w:sz w:val="24"/>
          <w:szCs w:val="24"/>
        </w:rPr>
        <w:t xml:space="preserve"> Moreover, it is clear from the correspondence exchanged between the attorneys for the respective entities that any attempt at negotiating a solution was bound to fail by reason of fundamental differences in the interpretation of the </w:t>
      </w:r>
      <w:r w:rsidR="003F448C" w:rsidRPr="009B6EB7">
        <w:rPr>
          <w:rFonts w:ascii="Arial" w:hAnsi="Arial" w:cs="Arial"/>
          <w:sz w:val="24"/>
          <w:szCs w:val="24"/>
        </w:rPr>
        <w:t>term in question.</w:t>
      </w:r>
    </w:p>
    <w:p w14:paraId="3C222755" w14:textId="77777777" w:rsidR="001908A4" w:rsidRPr="00031FFC" w:rsidRDefault="001908A4" w:rsidP="001908A4">
      <w:pPr>
        <w:pStyle w:val="ListParagraph"/>
        <w:rPr>
          <w:rFonts w:ascii="Arial" w:hAnsi="Arial" w:cs="Arial"/>
          <w:sz w:val="24"/>
          <w:szCs w:val="24"/>
        </w:rPr>
      </w:pPr>
    </w:p>
    <w:p w14:paraId="054BB9EE" w14:textId="77777777" w:rsidR="001908A4" w:rsidRPr="00031FFC" w:rsidRDefault="001908A4" w:rsidP="001908A4">
      <w:pPr>
        <w:pStyle w:val="ListParagraph"/>
        <w:rPr>
          <w:rFonts w:ascii="Arial" w:hAnsi="Arial" w:cs="Arial"/>
          <w:i/>
          <w:iCs/>
          <w:sz w:val="24"/>
          <w:szCs w:val="24"/>
        </w:rPr>
      </w:pPr>
    </w:p>
    <w:p w14:paraId="45288EF7" w14:textId="77777777" w:rsidR="001908A4" w:rsidRPr="00031FFC" w:rsidRDefault="00F14185" w:rsidP="001908A4">
      <w:pPr>
        <w:pStyle w:val="ListParagraph"/>
        <w:spacing w:line="360" w:lineRule="auto"/>
        <w:ind w:left="0"/>
        <w:jc w:val="both"/>
        <w:rPr>
          <w:rFonts w:ascii="Arial" w:hAnsi="Arial" w:cs="Arial"/>
          <w:sz w:val="24"/>
          <w:szCs w:val="24"/>
        </w:rPr>
      </w:pPr>
      <w:r w:rsidRPr="00031FFC">
        <w:rPr>
          <w:rFonts w:ascii="Arial" w:hAnsi="Arial" w:cs="Arial"/>
          <w:i/>
          <w:iCs/>
          <w:sz w:val="24"/>
          <w:szCs w:val="24"/>
        </w:rPr>
        <w:t>Red Alert</w:t>
      </w:r>
    </w:p>
    <w:p w14:paraId="400179B7" w14:textId="77777777" w:rsidR="001908A4" w:rsidRPr="00031FFC" w:rsidRDefault="001908A4" w:rsidP="001908A4">
      <w:pPr>
        <w:pStyle w:val="ListParagraph"/>
        <w:rPr>
          <w:rFonts w:ascii="Arial" w:hAnsi="Arial" w:cs="Arial"/>
          <w:sz w:val="24"/>
          <w:szCs w:val="24"/>
        </w:rPr>
      </w:pPr>
    </w:p>
    <w:p w14:paraId="13A72F1C" w14:textId="4E01A343"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[63]</w:t>
      </w:r>
      <w:r w:rsidRPr="00031FFC">
        <w:rPr>
          <w:rFonts w:ascii="Arial" w:hAnsi="Arial" w:cs="Arial"/>
          <w:sz w:val="24"/>
          <w:szCs w:val="24"/>
        </w:rPr>
        <w:tab/>
      </w:r>
      <w:r w:rsidR="00BB5CFE" w:rsidRPr="009B6EB7">
        <w:rPr>
          <w:rFonts w:ascii="Arial" w:hAnsi="Arial" w:cs="Arial"/>
          <w:sz w:val="24"/>
          <w:szCs w:val="24"/>
        </w:rPr>
        <w:t>A determination of t</w:t>
      </w:r>
      <w:r w:rsidR="00F14185" w:rsidRPr="009B6EB7">
        <w:rPr>
          <w:rFonts w:ascii="Arial" w:hAnsi="Arial" w:cs="Arial"/>
          <w:sz w:val="24"/>
          <w:szCs w:val="24"/>
        </w:rPr>
        <w:t xml:space="preserve">he extent to which the appellants have satisfied the requirements for a final interdict against Red Alert is not </w:t>
      </w:r>
      <w:r w:rsidR="00BB5CFE" w:rsidRPr="009B6EB7">
        <w:rPr>
          <w:rFonts w:ascii="Arial" w:hAnsi="Arial" w:cs="Arial"/>
          <w:sz w:val="24"/>
          <w:szCs w:val="24"/>
        </w:rPr>
        <w:t>as straight-forward</w:t>
      </w:r>
      <w:r w:rsidR="00F14185" w:rsidRPr="009B6EB7">
        <w:rPr>
          <w:rFonts w:ascii="Arial" w:hAnsi="Arial" w:cs="Arial"/>
          <w:sz w:val="24"/>
          <w:szCs w:val="24"/>
        </w:rPr>
        <w:t>. The</w:t>
      </w:r>
      <w:r w:rsidR="006F7FD3" w:rsidRPr="009B6EB7">
        <w:rPr>
          <w:rFonts w:ascii="Arial" w:hAnsi="Arial" w:cs="Arial"/>
          <w:sz w:val="24"/>
          <w:szCs w:val="24"/>
        </w:rPr>
        <w:t>re is no contractual right that</w:t>
      </w:r>
      <w:r w:rsidR="000A62CF" w:rsidRPr="009B6EB7">
        <w:rPr>
          <w:rFonts w:ascii="Arial" w:hAnsi="Arial" w:cs="Arial"/>
          <w:sz w:val="24"/>
          <w:szCs w:val="24"/>
        </w:rPr>
        <w:t xml:space="preserve"> the appellants</w:t>
      </w:r>
      <w:r w:rsidR="006F7FD3" w:rsidRPr="009B6EB7">
        <w:rPr>
          <w:rFonts w:ascii="Arial" w:hAnsi="Arial" w:cs="Arial"/>
          <w:sz w:val="24"/>
          <w:szCs w:val="24"/>
        </w:rPr>
        <w:t xml:space="preserve"> can seek to </w:t>
      </w:r>
      <w:r w:rsidR="000A62CF" w:rsidRPr="009B6EB7">
        <w:rPr>
          <w:rFonts w:ascii="Arial" w:hAnsi="Arial" w:cs="Arial"/>
          <w:sz w:val="24"/>
          <w:szCs w:val="24"/>
        </w:rPr>
        <w:t>enforce</w:t>
      </w:r>
      <w:r w:rsidR="006F7FD3" w:rsidRPr="009B6EB7">
        <w:rPr>
          <w:rFonts w:ascii="Arial" w:hAnsi="Arial" w:cs="Arial"/>
          <w:sz w:val="24"/>
          <w:szCs w:val="24"/>
        </w:rPr>
        <w:t xml:space="preserve"> against Red Alert. </w:t>
      </w:r>
      <w:r w:rsidR="000A62CF" w:rsidRPr="009B6EB7">
        <w:rPr>
          <w:rFonts w:ascii="Arial" w:hAnsi="Arial" w:cs="Arial"/>
          <w:sz w:val="24"/>
          <w:szCs w:val="24"/>
        </w:rPr>
        <w:t>T</w:t>
      </w:r>
      <w:r w:rsidR="006F7FD3" w:rsidRPr="009B6EB7">
        <w:rPr>
          <w:rFonts w:ascii="Arial" w:hAnsi="Arial" w:cs="Arial"/>
          <w:sz w:val="24"/>
          <w:szCs w:val="24"/>
        </w:rPr>
        <w:t>he</w:t>
      </w:r>
      <w:r w:rsidR="0084748F" w:rsidRPr="009B6EB7">
        <w:rPr>
          <w:rFonts w:ascii="Arial" w:hAnsi="Arial" w:cs="Arial"/>
          <w:sz w:val="24"/>
          <w:szCs w:val="24"/>
        </w:rPr>
        <w:t xml:space="preserve"> cornerstone of their</w:t>
      </w:r>
      <w:r w:rsidR="00F14185" w:rsidRPr="009B6EB7">
        <w:rPr>
          <w:rFonts w:ascii="Arial" w:hAnsi="Arial" w:cs="Arial"/>
          <w:sz w:val="24"/>
          <w:szCs w:val="24"/>
        </w:rPr>
        <w:t xml:space="preserve"> argu</w:t>
      </w:r>
      <w:r w:rsidR="0084748F" w:rsidRPr="009B6EB7">
        <w:rPr>
          <w:rFonts w:ascii="Arial" w:hAnsi="Arial" w:cs="Arial"/>
          <w:sz w:val="24"/>
          <w:szCs w:val="24"/>
        </w:rPr>
        <w:t>ment</w:t>
      </w:r>
      <w:r w:rsidR="000A62CF" w:rsidRPr="009B6EB7">
        <w:rPr>
          <w:rFonts w:ascii="Arial" w:hAnsi="Arial" w:cs="Arial"/>
          <w:sz w:val="24"/>
          <w:szCs w:val="24"/>
        </w:rPr>
        <w:t>, rather,</w:t>
      </w:r>
      <w:r w:rsidR="00F14185" w:rsidRPr="009B6EB7">
        <w:rPr>
          <w:rFonts w:ascii="Arial" w:hAnsi="Arial" w:cs="Arial"/>
          <w:sz w:val="24"/>
          <w:szCs w:val="24"/>
        </w:rPr>
        <w:t xml:space="preserve"> </w:t>
      </w:r>
      <w:r w:rsidR="00CA2FBD" w:rsidRPr="009B6EB7">
        <w:rPr>
          <w:rFonts w:ascii="Arial" w:hAnsi="Arial" w:cs="Arial"/>
          <w:sz w:val="24"/>
          <w:szCs w:val="24"/>
        </w:rPr>
        <w:t xml:space="preserve">is </w:t>
      </w:r>
      <w:r w:rsidR="00F14185" w:rsidRPr="009B6EB7">
        <w:rPr>
          <w:rFonts w:ascii="Arial" w:hAnsi="Arial" w:cs="Arial"/>
          <w:sz w:val="24"/>
          <w:szCs w:val="24"/>
        </w:rPr>
        <w:t xml:space="preserve">that </w:t>
      </w:r>
      <w:r w:rsidR="000A62CF" w:rsidRPr="009B6EB7">
        <w:rPr>
          <w:rFonts w:ascii="Arial" w:hAnsi="Arial" w:cs="Arial"/>
          <w:sz w:val="24"/>
          <w:szCs w:val="24"/>
        </w:rPr>
        <w:t xml:space="preserve">Red Alert </w:t>
      </w:r>
      <w:r w:rsidR="0084748F" w:rsidRPr="009B6EB7">
        <w:rPr>
          <w:rFonts w:ascii="Arial" w:hAnsi="Arial" w:cs="Arial"/>
          <w:sz w:val="24"/>
          <w:szCs w:val="24"/>
        </w:rPr>
        <w:t>served as a ‘vessel’ to allow Mr Guest to breach his obligations</w:t>
      </w:r>
      <w:r w:rsidR="000A62CF" w:rsidRPr="009B6EB7">
        <w:rPr>
          <w:rFonts w:ascii="Arial" w:hAnsi="Arial" w:cs="Arial"/>
          <w:sz w:val="24"/>
          <w:szCs w:val="24"/>
        </w:rPr>
        <w:t>. I</w:t>
      </w:r>
      <w:r w:rsidR="0084748F" w:rsidRPr="009B6EB7">
        <w:rPr>
          <w:rFonts w:ascii="Arial" w:hAnsi="Arial" w:cs="Arial"/>
          <w:sz w:val="24"/>
          <w:szCs w:val="24"/>
        </w:rPr>
        <w:t>mportantly, the appellants emphasize that they do not seek an interdict based on unlawful competition, as alleged by the respondents.</w:t>
      </w:r>
      <w:r w:rsidR="00C81B24" w:rsidRPr="009B6EB7">
        <w:rPr>
          <w:rFonts w:ascii="Arial" w:hAnsi="Arial" w:cs="Arial"/>
          <w:sz w:val="24"/>
          <w:szCs w:val="24"/>
        </w:rPr>
        <w:t xml:space="preserve"> </w:t>
      </w:r>
      <w:r w:rsidR="0084748F" w:rsidRPr="009B6EB7">
        <w:rPr>
          <w:rFonts w:ascii="Arial" w:hAnsi="Arial" w:cs="Arial"/>
          <w:sz w:val="24"/>
          <w:szCs w:val="24"/>
        </w:rPr>
        <w:t>In support thereof, the appellants refer</w:t>
      </w:r>
      <w:r w:rsidR="00B33D46" w:rsidRPr="009B6EB7">
        <w:rPr>
          <w:rFonts w:ascii="Arial" w:hAnsi="Arial" w:cs="Arial"/>
          <w:sz w:val="24"/>
          <w:szCs w:val="24"/>
        </w:rPr>
        <w:t xml:space="preserve"> to</w:t>
      </w:r>
      <w:r w:rsidR="00B72B4E" w:rsidRPr="009B6EB7">
        <w:rPr>
          <w:rFonts w:ascii="Arial" w:hAnsi="Arial" w:cs="Arial"/>
          <w:sz w:val="24"/>
          <w:szCs w:val="24"/>
        </w:rPr>
        <w:t xml:space="preserve"> a </w:t>
      </w:r>
      <w:r w:rsidR="000A62CF" w:rsidRPr="009B6EB7">
        <w:rPr>
          <w:rFonts w:ascii="Arial" w:hAnsi="Arial" w:cs="Arial"/>
          <w:sz w:val="24"/>
          <w:szCs w:val="24"/>
        </w:rPr>
        <w:t xml:space="preserve">number of </w:t>
      </w:r>
      <w:r w:rsidR="00B72B4E" w:rsidRPr="009B6EB7">
        <w:rPr>
          <w:rFonts w:ascii="Arial" w:hAnsi="Arial" w:cs="Arial"/>
          <w:sz w:val="24"/>
          <w:szCs w:val="24"/>
        </w:rPr>
        <w:t>cases</w:t>
      </w:r>
      <w:r w:rsidR="00EC2C7C" w:rsidRPr="009B6EB7">
        <w:rPr>
          <w:rFonts w:ascii="Arial" w:hAnsi="Arial" w:cs="Arial"/>
          <w:sz w:val="24"/>
          <w:szCs w:val="24"/>
        </w:rPr>
        <w:t xml:space="preserve"> that were decided in the erstwhile Witwatersrand Division. </w:t>
      </w:r>
    </w:p>
    <w:p w14:paraId="0FC6FF8B" w14:textId="77777777" w:rsidR="001908A4" w:rsidRPr="00031FFC" w:rsidRDefault="001908A4" w:rsidP="001908A4">
      <w:pPr>
        <w:pStyle w:val="ListParagraph"/>
        <w:spacing w:line="360" w:lineRule="auto"/>
        <w:ind w:left="0"/>
        <w:jc w:val="both"/>
        <w:rPr>
          <w:rFonts w:ascii="Arial" w:hAnsi="Arial" w:cs="Arial"/>
          <w:sz w:val="24"/>
          <w:szCs w:val="24"/>
        </w:rPr>
      </w:pPr>
    </w:p>
    <w:p w14:paraId="60463E14" w14:textId="6499BE6B"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[64]</w:t>
      </w:r>
      <w:r w:rsidRPr="00031FFC">
        <w:rPr>
          <w:rFonts w:ascii="Arial" w:hAnsi="Arial" w:cs="Arial"/>
          <w:sz w:val="24"/>
          <w:szCs w:val="24"/>
        </w:rPr>
        <w:tab/>
      </w:r>
      <w:r w:rsidR="00EB34CE" w:rsidRPr="009B6EB7">
        <w:rPr>
          <w:rFonts w:ascii="Arial" w:hAnsi="Arial" w:cs="Arial"/>
          <w:sz w:val="24"/>
          <w:szCs w:val="24"/>
        </w:rPr>
        <w:t>In the unreported judgment</w:t>
      </w:r>
      <w:r w:rsidR="00EC2C7C" w:rsidRPr="009B6EB7">
        <w:rPr>
          <w:rFonts w:ascii="Arial" w:hAnsi="Arial" w:cs="Arial"/>
          <w:sz w:val="24"/>
          <w:szCs w:val="24"/>
        </w:rPr>
        <w:t xml:space="preserve"> of </w:t>
      </w:r>
      <w:r w:rsidR="00EC2C7C" w:rsidRPr="009B6EB7">
        <w:rPr>
          <w:rFonts w:ascii="Arial" w:hAnsi="Arial" w:cs="Arial"/>
          <w:i/>
          <w:iCs/>
          <w:sz w:val="24"/>
          <w:szCs w:val="24"/>
        </w:rPr>
        <w:t>Marcus Evans (South Africa) (Pty) Ltd V Mpungose</w:t>
      </w:r>
      <w:r w:rsidR="004B7015" w:rsidRPr="009B6EB7">
        <w:rPr>
          <w:rFonts w:ascii="Arial" w:hAnsi="Arial" w:cs="Arial"/>
          <w:i/>
          <w:iCs/>
          <w:sz w:val="24"/>
          <w:szCs w:val="24"/>
        </w:rPr>
        <w:t xml:space="preserve"> and others</w:t>
      </w:r>
      <w:r w:rsidR="004B7015" w:rsidRPr="009B6EB7">
        <w:rPr>
          <w:rFonts w:ascii="Arial" w:hAnsi="Arial" w:cs="Arial"/>
          <w:sz w:val="24"/>
          <w:szCs w:val="24"/>
        </w:rPr>
        <w:t xml:space="preserve"> (Case no. 2002/2780), the applicant was a business intelligence organization </w:t>
      </w:r>
      <w:r w:rsidR="004B7015" w:rsidRPr="009B6EB7">
        <w:rPr>
          <w:rFonts w:ascii="Arial" w:hAnsi="Arial" w:cs="Arial"/>
          <w:sz w:val="24"/>
          <w:szCs w:val="24"/>
        </w:rPr>
        <w:lastRenderedPageBreak/>
        <w:t xml:space="preserve">that offered professional training by means of conferences and similar events. The first respondent had been in the applicant’s employment and was bound by a </w:t>
      </w:r>
      <w:r w:rsidR="00213AA7" w:rsidRPr="009B6EB7">
        <w:rPr>
          <w:rFonts w:ascii="Arial" w:hAnsi="Arial" w:cs="Arial"/>
          <w:sz w:val="24"/>
          <w:szCs w:val="24"/>
        </w:rPr>
        <w:t xml:space="preserve">covenant in </w:t>
      </w:r>
      <w:r w:rsidR="004B7015" w:rsidRPr="009B6EB7">
        <w:rPr>
          <w:rFonts w:ascii="Arial" w:hAnsi="Arial" w:cs="Arial"/>
          <w:sz w:val="24"/>
          <w:szCs w:val="24"/>
        </w:rPr>
        <w:t>restraint of trade.</w:t>
      </w:r>
      <w:r w:rsidR="005F408E" w:rsidRPr="009B6EB7">
        <w:rPr>
          <w:rFonts w:ascii="Arial" w:hAnsi="Arial" w:cs="Arial"/>
          <w:sz w:val="24"/>
          <w:szCs w:val="24"/>
        </w:rPr>
        <w:t xml:space="preserve"> She was subsequently employed by the fifth respondent. Malan J indicated, at </w:t>
      </w:r>
      <w:r w:rsidR="00213AA7" w:rsidRPr="009B6EB7">
        <w:rPr>
          <w:rFonts w:ascii="Arial" w:hAnsi="Arial" w:cs="Arial"/>
          <w:sz w:val="24"/>
          <w:szCs w:val="24"/>
        </w:rPr>
        <w:t xml:space="preserve">paragraph </w:t>
      </w:r>
      <w:r w:rsidR="005F408E" w:rsidRPr="009B6EB7">
        <w:rPr>
          <w:rFonts w:ascii="Arial" w:hAnsi="Arial" w:cs="Arial"/>
          <w:sz w:val="24"/>
          <w:szCs w:val="24"/>
        </w:rPr>
        <w:t xml:space="preserve">[12], that whether the applicant was entitled to relief against the fifth respondent depended on whether </w:t>
      </w:r>
      <w:r w:rsidR="00E71BE6" w:rsidRPr="009B6EB7">
        <w:rPr>
          <w:rFonts w:ascii="Arial" w:hAnsi="Arial" w:cs="Arial"/>
          <w:sz w:val="24"/>
          <w:szCs w:val="24"/>
        </w:rPr>
        <w:t>the former had proved that the latter had made use of confidential information. The court found, on the available evidence, that the fifth respondent had indeed done so and interdicted the fifth respondent accordingly.</w:t>
      </w:r>
    </w:p>
    <w:p w14:paraId="01C86328" w14:textId="77777777" w:rsidR="001908A4" w:rsidRPr="00031FFC" w:rsidRDefault="001908A4" w:rsidP="001908A4">
      <w:pPr>
        <w:pStyle w:val="ListParagraph"/>
        <w:rPr>
          <w:rFonts w:ascii="Arial" w:hAnsi="Arial" w:cs="Arial"/>
          <w:sz w:val="24"/>
          <w:szCs w:val="24"/>
        </w:rPr>
      </w:pPr>
    </w:p>
    <w:p w14:paraId="7F90997E" w14:textId="312654D1"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[65]</w:t>
      </w:r>
      <w:r w:rsidRPr="00031FFC">
        <w:rPr>
          <w:rFonts w:ascii="Arial" w:hAnsi="Arial" w:cs="Arial"/>
          <w:sz w:val="24"/>
          <w:szCs w:val="24"/>
        </w:rPr>
        <w:tab/>
      </w:r>
      <w:r w:rsidR="00D26BD5" w:rsidRPr="009B6EB7">
        <w:rPr>
          <w:rFonts w:ascii="Arial" w:hAnsi="Arial" w:cs="Arial"/>
          <w:sz w:val="24"/>
          <w:szCs w:val="24"/>
        </w:rPr>
        <w:t>Similarly, in</w:t>
      </w:r>
      <w:r w:rsidR="00E71BE6" w:rsidRPr="009B6EB7">
        <w:rPr>
          <w:rFonts w:ascii="Arial" w:hAnsi="Arial" w:cs="Arial"/>
          <w:sz w:val="24"/>
          <w:szCs w:val="24"/>
        </w:rPr>
        <w:t xml:space="preserve"> </w:t>
      </w:r>
      <w:r w:rsidR="00E71BE6" w:rsidRPr="009B6EB7">
        <w:rPr>
          <w:rFonts w:ascii="Arial" w:hAnsi="Arial" w:cs="Arial"/>
          <w:i/>
          <w:iCs/>
          <w:sz w:val="24"/>
          <w:szCs w:val="24"/>
        </w:rPr>
        <w:t>South Africa BV (Incorporated in the Netherlands) t/a Institute for International Research v Tarita and others</w:t>
      </w:r>
      <w:r w:rsidR="00F13BB5" w:rsidRPr="00031FFC">
        <w:rPr>
          <w:rStyle w:val="FootnoteReference"/>
          <w:rFonts w:ascii="Arial" w:hAnsi="Arial" w:cs="Arial"/>
          <w:i/>
          <w:iCs/>
          <w:sz w:val="24"/>
          <w:szCs w:val="24"/>
        </w:rPr>
        <w:footnoteReference w:id="21"/>
      </w:r>
      <w:r w:rsidR="000046DC" w:rsidRPr="009B6EB7">
        <w:rPr>
          <w:rFonts w:ascii="Arial" w:hAnsi="Arial" w:cs="Arial"/>
          <w:sz w:val="24"/>
          <w:szCs w:val="24"/>
        </w:rPr>
        <w:t>, the</w:t>
      </w:r>
      <w:r w:rsidR="00087817" w:rsidRPr="009B6EB7">
        <w:rPr>
          <w:rFonts w:ascii="Arial" w:hAnsi="Arial" w:cs="Arial"/>
          <w:sz w:val="24"/>
          <w:szCs w:val="24"/>
        </w:rPr>
        <w:t xml:space="preserve"> applicant’s business was the planning, organi</w:t>
      </w:r>
      <w:r w:rsidR="00213AA7" w:rsidRPr="009B6EB7">
        <w:rPr>
          <w:rFonts w:ascii="Arial" w:hAnsi="Arial" w:cs="Arial"/>
          <w:sz w:val="24"/>
          <w:szCs w:val="24"/>
        </w:rPr>
        <w:t>s</w:t>
      </w:r>
      <w:r w:rsidR="00087817" w:rsidRPr="009B6EB7">
        <w:rPr>
          <w:rFonts w:ascii="Arial" w:hAnsi="Arial" w:cs="Arial"/>
          <w:sz w:val="24"/>
          <w:szCs w:val="24"/>
        </w:rPr>
        <w:t xml:space="preserve">ing and managing of seminars, conferences, high-profile speaker events, and training courses. It had </w:t>
      </w:r>
      <w:r w:rsidR="00C37990" w:rsidRPr="009B6EB7">
        <w:rPr>
          <w:rFonts w:ascii="Arial" w:hAnsi="Arial" w:cs="Arial"/>
          <w:sz w:val="24"/>
          <w:szCs w:val="24"/>
        </w:rPr>
        <w:t>appoint</w:t>
      </w:r>
      <w:r w:rsidR="00087817" w:rsidRPr="009B6EB7">
        <w:rPr>
          <w:rFonts w:ascii="Arial" w:hAnsi="Arial" w:cs="Arial"/>
          <w:sz w:val="24"/>
          <w:szCs w:val="24"/>
        </w:rPr>
        <w:t xml:space="preserve">ed the </w:t>
      </w:r>
      <w:r w:rsidR="000046DC" w:rsidRPr="009B6EB7">
        <w:rPr>
          <w:rFonts w:ascii="Arial" w:hAnsi="Arial" w:cs="Arial"/>
          <w:sz w:val="24"/>
          <w:szCs w:val="24"/>
        </w:rPr>
        <w:t>first and second respondents</w:t>
      </w:r>
      <w:r w:rsidR="00087817" w:rsidRPr="009B6EB7">
        <w:rPr>
          <w:rFonts w:ascii="Arial" w:hAnsi="Arial" w:cs="Arial"/>
          <w:sz w:val="24"/>
          <w:szCs w:val="24"/>
        </w:rPr>
        <w:t xml:space="preserve"> in terms of </w:t>
      </w:r>
      <w:r w:rsidR="00C37990" w:rsidRPr="009B6EB7">
        <w:rPr>
          <w:rFonts w:ascii="Arial" w:hAnsi="Arial" w:cs="Arial"/>
          <w:sz w:val="24"/>
          <w:szCs w:val="24"/>
        </w:rPr>
        <w:t>contracts of employment that included restraints of trade</w:t>
      </w:r>
      <w:r w:rsidR="00087817" w:rsidRPr="009B6EB7">
        <w:rPr>
          <w:rFonts w:ascii="Arial" w:hAnsi="Arial" w:cs="Arial"/>
          <w:sz w:val="24"/>
          <w:szCs w:val="24"/>
        </w:rPr>
        <w:t xml:space="preserve">. Upon their departure, the applicant had sought to enforce the underlying </w:t>
      </w:r>
      <w:r w:rsidR="000046DC" w:rsidRPr="009B6EB7">
        <w:rPr>
          <w:rFonts w:ascii="Arial" w:hAnsi="Arial" w:cs="Arial"/>
          <w:sz w:val="24"/>
          <w:szCs w:val="24"/>
        </w:rPr>
        <w:t>restraint</w:t>
      </w:r>
      <w:r w:rsidR="00C37990" w:rsidRPr="009B6EB7">
        <w:rPr>
          <w:rFonts w:ascii="Arial" w:hAnsi="Arial" w:cs="Arial"/>
          <w:sz w:val="24"/>
          <w:szCs w:val="24"/>
        </w:rPr>
        <w:t>s and to interdict their new employer</w:t>
      </w:r>
      <w:r w:rsidR="00AD5D53" w:rsidRPr="009B6EB7">
        <w:rPr>
          <w:rFonts w:ascii="Arial" w:hAnsi="Arial" w:cs="Arial"/>
          <w:sz w:val="24"/>
          <w:szCs w:val="24"/>
        </w:rPr>
        <w:t>, the third respondent,</w:t>
      </w:r>
      <w:r w:rsidR="00C37990" w:rsidRPr="009B6EB7">
        <w:rPr>
          <w:rFonts w:ascii="Arial" w:hAnsi="Arial" w:cs="Arial"/>
          <w:sz w:val="24"/>
          <w:szCs w:val="24"/>
        </w:rPr>
        <w:t xml:space="preserve"> from competing unlawfully</w:t>
      </w:r>
      <w:r w:rsidR="00087817" w:rsidRPr="009B6EB7">
        <w:rPr>
          <w:rFonts w:ascii="Arial" w:hAnsi="Arial" w:cs="Arial"/>
          <w:sz w:val="24"/>
          <w:szCs w:val="24"/>
        </w:rPr>
        <w:t xml:space="preserve">. </w:t>
      </w:r>
      <w:r w:rsidR="00C37990" w:rsidRPr="009B6EB7">
        <w:rPr>
          <w:rFonts w:ascii="Arial" w:hAnsi="Arial" w:cs="Arial"/>
          <w:sz w:val="24"/>
          <w:szCs w:val="24"/>
        </w:rPr>
        <w:t>Marais J</w:t>
      </w:r>
      <w:r w:rsidR="00AD5D53" w:rsidRPr="009B6EB7">
        <w:rPr>
          <w:rFonts w:ascii="Arial" w:hAnsi="Arial" w:cs="Arial"/>
          <w:sz w:val="24"/>
          <w:szCs w:val="24"/>
        </w:rPr>
        <w:t xml:space="preserve"> </w:t>
      </w:r>
      <w:r w:rsidR="00C81B24" w:rsidRPr="009B6EB7">
        <w:rPr>
          <w:rFonts w:ascii="Arial" w:hAnsi="Arial" w:cs="Arial"/>
          <w:sz w:val="24"/>
          <w:szCs w:val="24"/>
        </w:rPr>
        <w:t>hel</w:t>
      </w:r>
      <w:r w:rsidR="00AD5D53" w:rsidRPr="009B6EB7">
        <w:rPr>
          <w:rFonts w:ascii="Arial" w:hAnsi="Arial" w:cs="Arial"/>
          <w:sz w:val="24"/>
          <w:szCs w:val="24"/>
        </w:rPr>
        <w:t>d, at 1</w:t>
      </w:r>
      <w:r w:rsidR="00C81B24" w:rsidRPr="009B6EB7">
        <w:rPr>
          <w:rFonts w:ascii="Arial" w:hAnsi="Arial" w:cs="Arial"/>
          <w:sz w:val="24"/>
          <w:szCs w:val="24"/>
        </w:rPr>
        <w:t>71D-E/F</w:t>
      </w:r>
      <w:r w:rsidR="00AD5D53" w:rsidRPr="009B6EB7">
        <w:rPr>
          <w:rFonts w:ascii="Arial" w:hAnsi="Arial" w:cs="Arial"/>
          <w:sz w:val="24"/>
          <w:szCs w:val="24"/>
        </w:rPr>
        <w:t>, that</w:t>
      </w:r>
      <w:r w:rsidR="00C81B24" w:rsidRPr="009B6EB7">
        <w:rPr>
          <w:rFonts w:ascii="Arial" w:hAnsi="Arial" w:cs="Arial"/>
          <w:sz w:val="24"/>
          <w:szCs w:val="24"/>
        </w:rPr>
        <w:t>, by employing a person acting in breach of her restraint of trade agreement to set up conferences, the third respondent was competing unlawfully with the applicant, in whose favour the restraint operated. This constituted unfair competition. The interdict was granted</w:t>
      </w:r>
      <w:r w:rsidR="00A84110" w:rsidRPr="009B6EB7">
        <w:rPr>
          <w:rFonts w:ascii="Arial" w:hAnsi="Arial" w:cs="Arial"/>
          <w:sz w:val="24"/>
          <w:szCs w:val="24"/>
        </w:rPr>
        <w:t>.</w:t>
      </w:r>
    </w:p>
    <w:p w14:paraId="695D7E2B" w14:textId="77777777" w:rsidR="001908A4" w:rsidRPr="00031FFC" w:rsidRDefault="001908A4" w:rsidP="001908A4">
      <w:pPr>
        <w:pStyle w:val="ListParagraph"/>
        <w:rPr>
          <w:rFonts w:ascii="Arial" w:hAnsi="Arial" w:cs="Arial"/>
          <w:sz w:val="24"/>
          <w:szCs w:val="24"/>
        </w:rPr>
      </w:pPr>
    </w:p>
    <w:p w14:paraId="42BE3114" w14:textId="05024DD5"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[66]</w:t>
      </w:r>
      <w:r w:rsidRPr="00031FFC">
        <w:rPr>
          <w:rFonts w:ascii="Arial" w:hAnsi="Arial" w:cs="Arial"/>
          <w:sz w:val="24"/>
          <w:szCs w:val="24"/>
        </w:rPr>
        <w:tab/>
      </w:r>
      <w:r w:rsidR="000A62CF" w:rsidRPr="009B6EB7">
        <w:rPr>
          <w:rFonts w:ascii="Arial" w:hAnsi="Arial" w:cs="Arial"/>
          <w:sz w:val="24"/>
          <w:szCs w:val="24"/>
        </w:rPr>
        <w:t xml:space="preserve">Consequently, argue the appellants, the above cases are authority for the proposition that </w:t>
      </w:r>
      <w:r w:rsidR="00A84110" w:rsidRPr="009B6EB7">
        <w:rPr>
          <w:rFonts w:ascii="Arial" w:hAnsi="Arial" w:cs="Arial"/>
          <w:sz w:val="24"/>
          <w:szCs w:val="24"/>
        </w:rPr>
        <w:t xml:space="preserve">interdictory relief is available in circumstances where </w:t>
      </w:r>
      <w:r w:rsidR="002C528C" w:rsidRPr="009B6EB7">
        <w:rPr>
          <w:rFonts w:ascii="Arial" w:hAnsi="Arial" w:cs="Arial"/>
          <w:sz w:val="24"/>
          <w:szCs w:val="24"/>
        </w:rPr>
        <w:t>a competing entity such as Red Alert provides an ex-employee with a vessel by means of which to breach restraint of trade obligation</w:t>
      </w:r>
      <w:r w:rsidR="00D03EB0" w:rsidRPr="009B6EB7">
        <w:rPr>
          <w:rFonts w:ascii="Arial" w:hAnsi="Arial" w:cs="Arial"/>
          <w:sz w:val="24"/>
          <w:szCs w:val="24"/>
        </w:rPr>
        <w:t>s.</w:t>
      </w:r>
    </w:p>
    <w:p w14:paraId="156DB6F7" w14:textId="77777777" w:rsidR="001908A4" w:rsidRPr="00031FFC" w:rsidRDefault="001908A4" w:rsidP="001908A4">
      <w:pPr>
        <w:pStyle w:val="ListParagraph"/>
        <w:rPr>
          <w:rFonts w:ascii="Arial" w:hAnsi="Arial" w:cs="Arial"/>
          <w:sz w:val="24"/>
          <w:szCs w:val="24"/>
        </w:rPr>
      </w:pPr>
    </w:p>
    <w:p w14:paraId="2D10EE62" w14:textId="36CD5F1E"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[67]</w:t>
      </w:r>
      <w:r w:rsidRPr="00031FFC">
        <w:rPr>
          <w:rFonts w:ascii="Arial" w:hAnsi="Arial" w:cs="Arial"/>
          <w:sz w:val="24"/>
          <w:szCs w:val="24"/>
        </w:rPr>
        <w:tab/>
      </w:r>
      <w:r w:rsidR="00D26BD5" w:rsidRPr="009B6EB7">
        <w:rPr>
          <w:rFonts w:ascii="Arial" w:hAnsi="Arial" w:cs="Arial"/>
          <w:sz w:val="24"/>
          <w:szCs w:val="24"/>
        </w:rPr>
        <w:t>T</w:t>
      </w:r>
      <w:r w:rsidR="002C528C" w:rsidRPr="009B6EB7">
        <w:rPr>
          <w:rFonts w:ascii="Arial" w:hAnsi="Arial" w:cs="Arial"/>
          <w:sz w:val="24"/>
          <w:szCs w:val="24"/>
        </w:rPr>
        <w:t xml:space="preserve">he appellants </w:t>
      </w:r>
      <w:r w:rsidR="00D26BD5" w:rsidRPr="009B6EB7">
        <w:rPr>
          <w:rFonts w:ascii="Arial" w:hAnsi="Arial" w:cs="Arial"/>
          <w:sz w:val="24"/>
          <w:szCs w:val="24"/>
        </w:rPr>
        <w:t>also refer to</w:t>
      </w:r>
      <w:r w:rsidR="00760D83" w:rsidRPr="009B6EB7">
        <w:rPr>
          <w:rFonts w:ascii="Arial" w:hAnsi="Arial" w:cs="Arial"/>
          <w:sz w:val="24"/>
          <w:szCs w:val="24"/>
        </w:rPr>
        <w:t xml:space="preserve"> </w:t>
      </w:r>
      <w:r w:rsidR="00B33D46" w:rsidRPr="009B6EB7">
        <w:rPr>
          <w:rFonts w:ascii="Arial" w:hAnsi="Arial" w:cs="Arial"/>
          <w:i/>
          <w:iCs/>
          <w:sz w:val="24"/>
          <w:szCs w:val="24"/>
        </w:rPr>
        <w:t>IIR South Africa BV</w:t>
      </w:r>
      <w:r w:rsidR="00AE43FF" w:rsidRPr="009B6EB7">
        <w:rPr>
          <w:rFonts w:ascii="Arial" w:hAnsi="Arial" w:cs="Arial"/>
          <w:i/>
          <w:iCs/>
          <w:sz w:val="24"/>
          <w:szCs w:val="24"/>
        </w:rPr>
        <w:t xml:space="preserve"> (Incorporated in the Netherlands) t/a Institute for International Research v Hall (aka Baghas) and another</w:t>
      </w:r>
      <w:r w:rsidR="000E784B" w:rsidRPr="000E784B">
        <w:rPr>
          <w:rStyle w:val="FootnoteReference"/>
          <w:rFonts w:ascii="Arial" w:hAnsi="Arial" w:cs="Arial"/>
          <w:i/>
          <w:iCs/>
          <w:sz w:val="24"/>
          <w:szCs w:val="24"/>
        </w:rPr>
        <w:footnoteReference w:id="22"/>
      </w:r>
      <w:r w:rsidR="000E784B" w:rsidRPr="009B6EB7">
        <w:rPr>
          <w:rFonts w:ascii="Arial" w:hAnsi="Arial" w:cs="Arial"/>
          <w:i/>
          <w:iCs/>
          <w:sz w:val="24"/>
          <w:szCs w:val="24"/>
        </w:rPr>
        <w:t>,</w:t>
      </w:r>
      <w:r w:rsidR="00AE43FF" w:rsidRPr="009B6EB7">
        <w:rPr>
          <w:rFonts w:ascii="Arial" w:hAnsi="Arial" w:cs="Arial"/>
          <w:sz w:val="24"/>
          <w:szCs w:val="24"/>
        </w:rPr>
        <w:t xml:space="preserve"> where </w:t>
      </w:r>
      <w:r w:rsidR="00760D83" w:rsidRPr="009B6EB7">
        <w:rPr>
          <w:rFonts w:ascii="Arial" w:hAnsi="Arial" w:cs="Arial"/>
          <w:sz w:val="24"/>
          <w:szCs w:val="24"/>
        </w:rPr>
        <w:t xml:space="preserve">the same applicant </w:t>
      </w:r>
      <w:r w:rsidR="0083185A" w:rsidRPr="009B6EB7">
        <w:rPr>
          <w:rFonts w:ascii="Arial" w:hAnsi="Arial" w:cs="Arial"/>
          <w:sz w:val="24"/>
          <w:szCs w:val="24"/>
        </w:rPr>
        <w:t>as in the previous</w:t>
      </w:r>
      <w:r w:rsidR="00D26BD5" w:rsidRPr="009B6EB7">
        <w:rPr>
          <w:rFonts w:ascii="Arial" w:hAnsi="Arial" w:cs="Arial"/>
          <w:sz w:val="24"/>
          <w:szCs w:val="24"/>
        </w:rPr>
        <w:t xml:space="preserve"> case </w:t>
      </w:r>
      <w:r w:rsidR="00760D83" w:rsidRPr="009B6EB7">
        <w:rPr>
          <w:rFonts w:ascii="Arial" w:hAnsi="Arial" w:cs="Arial"/>
          <w:sz w:val="24"/>
          <w:szCs w:val="24"/>
        </w:rPr>
        <w:t xml:space="preserve">had employed the first respondent as a conference producer. Her contract of employment included a </w:t>
      </w:r>
      <w:r w:rsidR="00213AA7" w:rsidRPr="009B6EB7">
        <w:rPr>
          <w:rFonts w:ascii="Arial" w:hAnsi="Arial" w:cs="Arial"/>
          <w:sz w:val="24"/>
          <w:szCs w:val="24"/>
        </w:rPr>
        <w:t xml:space="preserve">covenant in </w:t>
      </w:r>
      <w:r w:rsidR="00760D83" w:rsidRPr="009B6EB7">
        <w:rPr>
          <w:rFonts w:ascii="Arial" w:hAnsi="Arial" w:cs="Arial"/>
          <w:sz w:val="24"/>
          <w:szCs w:val="24"/>
        </w:rPr>
        <w:t xml:space="preserve">restraint of trade. She </w:t>
      </w:r>
      <w:r w:rsidR="00760D83" w:rsidRPr="009B6EB7">
        <w:rPr>
          <w:rFonts w:ascii="Arial" w:hAnsi="Arial" w:cs="Arial"/>
          <w:sz w:val="24"/>
          <w:szCs w:val="24"/>
        </w:rPr>
        <w:lastRenderedPageBreak/>
        <w:t>subsequently took up employment with the second respondent</w:t>
      </w:r>
      <w:r w:rsidR="003136DF" w:rsidRPr="009B6EB7">
        <w:rPr>
          <w:rFonts w:ascii="Arial" w:hAnsi="Arial" w:cs="Arial"/>
          <w:sz w:val="24"/>
          <w:szCs w:val="24"/>
        </w:rPr>
        <w:t>, only to be dismissed pursuant to disciplinary proceedings</w:t>
      </w:r>
      <w:r w:rsidR="00760D83" w:rsidRPr="009B6EB7">
        <w:rPr>
          <w:rFonts w:ascii="Arial" w:hAnsi="Arial" w:cs="Arial"/>
          <w:sz w:val="24"/>
          <w:szCs w:val="24"/>
        </w:rPr>
        <w:t>. The applicant brought an application to</w:t>
      </w:r>
      <w:r w:rsidR="003136DF" w:rsidRPr="009B6EB7">
        <w:rPr>
          <w:rFonts w:ascii="Arial" w:hAnsi="Arial" w:cs="Arial"/>
          <w:sz w:val="24"/>
          <w:szCs w:val="24"/>
        </w:rPr>
        <w:t xml:space="preserve">, </w:t>
      </w:r>
      <w:r w:rsidR="003136DF" w:rsidRPr="009B6EB7">
        <w:rPr>
          <w:rFonts w:ascii="Arial" w:hAnsi="Arial" w:cs="Arial"/>
          <w:i/>
          <w:iCs/>
          <w:sz w:val="24"/>
          <w:szCs w:val="24"/>
        </w:rPr>
        <w:t>inter alia</w:t>
      </w:r>
      <w:r w:rsidR="003136DF" w:rsidRPr="009B6EB7">
        <w:rPr>
          <w:rFonts w:ascii="Arial" w:hAnsi="Arial" w:cs="Arial"/>
          <w:sz w:val="24"/>
          <w:szCs w:val="24"/>
        </w:rPr>
        <w:t>,</w:t>
      </w:r>
      <w:r w:rsidR="00760D83" w:rsidRPr="009B6EB7">
        <w:rPr>
          <w:rFonts w:ascii="Arial" w:hAnsi="Arial" w:cs="Arial"/>
          <w:sz w:val="24"/>
          <w:szCs w:val="24"/>
        </w:rPr>
        <w:t xml:space="preserve"> interdict the second respondent from </w:t>
      </w:r>
      <w:r w:rsidR="003136DF" w:rsidRPr="009B6EB7">
        <w:rPr>
          <w:rFonts w:ascii="Arial" w:hAnsi="Arial" w:cs="Arial"/>
          <w:sz w:val="24"/>
          <w:szCs w:val="24"/>
        </w:rPr>
        <w:t>holding a series of 14 conferences that had been organi</w:t>
      </w:r>
      <w:r w:rsidR="00213AA7" w:rsidRPr="009B6EB7">
        <w:rPr>
          <w:rFonts w:ascii="Arial" w:hAnsi="Arial" w:cs="Arial"/>
          <w:sz w:val="24"/>
          <w:szCs w:val="24"/>
        </w:rPr>
        <w:t>s</w:t>
      </w:r>
      <w:r w:rsidR="003136DF" w:rsidRPr="009B6EB7">
        <w:rPr>
          <w:rFonts w:ascii="Arial" w:hAnsi="Arial" w:cs="Arial"/>
          <w:sz w:val="24"/>
          <w:szCs w:val="24"/>
        </w:rPr>
        <w:t xml:space="preserve">ed while the first respondent had been in its employment. The application was dismissed. On appeal, </w:t>
      </w:r>
      <w:r w:rsidR="00AE43FF" w:rsidRPr="009B6EB7">
        <w:rPr>
          <w:rFonts w:ascii="Arial" w:hAnsi="Arial" w:cs="Arial"/>
          <w:sz w:val="24"/>
          <w:szCs w:val="24"/>
        </w:rPr>
        <w:t>a full bench</w:t>
      </w:r>
      <w:r w:rsidR="003136DF" w:rsidRPr="009B6EB7">
        <w:rPr>
          <w:rFonts w:ascii="Arial" w:hAnsi="Arial" w:cs="Arial"/>
          <w:sz w:val="24"/>
          <w:szCs w:val="24"/>
        </w:rPr>
        <w:t xml:space="preserve"> found that </w:t>
      </w:r>
      <w:r w:rsidR="006F7FD3" w:rsidRPr="009B6EB7">
        <w:rPr>
          <w:rFonts w:ascii="Arial" w:hAnsi="Arial" w:cs="Arial"/>
          <w:sz w:val="24"/>
          <w:szCs w:val="24"/>
        </w:rPr>
        <w:t>it was necessary for the applicant to demonstrate that there was an existing or threatened use of confidential information by the second respondent. The court found that this had not been proved and the appeal was dismissed.</w:t>
      </w:r>
    </w:p>
    <w:p w14:paraId="7D95F878" w14:textId="77777777" w:rsidR="00CF09DB" w:rsidRPr="00031FFC" w:rsidRDefault="00CF09DB" w:rsidP="00CF09DB">
      <w:pPr>
        <w:pStyle w:val="ListParagraph"/>
        <w:rPr>
          <w:rFonts w:ascii="Arial" w:hAnsi="Arial" w:cs="Arial"/>
          <w:sz w:val="24"/>
          <w:szCs w:val="24"/>
        </w:rPr>
      </w:pPr>
    </w:p>
    <w:p w14:paraId="7D6A0FBF" w14:textId="41705F8A" w:rsidR="00D03EB0"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[68]</w:t>
      </w:r>
      <w:r w:rsidRPr="00031FFC">
        <w:rPr>
          <w:rFonts w:ascii="Arial" w:hAnsi="Arial" w:cs="Arial"/>
          <w:sz w:val="24"/>
          <w:szCs w:val="24"/>
        </w:rPr>
        <w:tab/>
      </w:r>
      <w:r w:rsidR="00D03EB0" w:rsidRPr="009B6EB7">
        <w:rPr>
          <w:rFonts w:ascii="Arial" w:hAnsi="Arial" w:cs="Arial"/>
          <w:sz w:val="24"/>
          <w:szCs w:val="24"/>
        </w:rPr>
        <w:t xml:space="preserve">The findings of the full bench are </w:t>
      </w:r>
      <w:r w:rsidR="00CA2FBD" w:rsidRPr="009B6EB7">
        <w:rPr>
          <w:rFonts w:ascii="Arial" w:hAnsi="Arial" w:cs="Arial"/>
          <w:sz w:val="24"/>
          <w:szCs w:val="24"/>
        </w:rPr>
        <w:t xml:space="preserve">set out </w:t>
      </w:r>
      <w:r w:rsidR="00D03EB0" w:rsidRPr="009B6EB7">
        <w:rPr>
          <w:rFonts w:ascii="Arial" w:hAnsi="Arial" w:cs="Arial"/>
          <w:sz w:val="24"/>
          <w:szCs w:val="24"/>
        </w:rPr>
        <w:t xml:space="preserve">below. </w:t>
      </w:r>
    </w:p>
    <w:p w14:paraId="68EB11D6" w14:textId="77777777" w:rsidR="00D03EB0" w:rsidRPr="00031FFC" w:rsidRDefault="00EF2403" w:rsidP="001908A4">
      <w:pPr>
        <w:spacing w:line="360" w:lineRule="auto"/>
        <w:ind w:left="1440" w:hanging="720"/>
        <w:jc w:val="both"/>
        <w:rPr>
          <w:rFonts w:ascii="Arial" w:hAnsi="Arial" w:cs="Arial"/>
          <w:sz w:val="20"/>
          <w:szCs w:val="20"/>
        </w:rPr>
      </w:pPr>
      <w:r w:rsidRPr="00031FFC">
        <w:rPr>
          <w:rFonts w:ascii="Arial" w:hAnsi="Arial" w:cs="Arial"/>
          <w:sz w:val="20"/>
          <w:szCs w:val="20"/>
        </w:rPr>
        <w:t>‘[13.1]</w:t>
      </w:r>
      <w:r w:rsidRPr="00031FFC">
        <w:rPr>
          <w:rFonts w:ascii="Arial" w:hAnsi="Arial" w:cs="Arial"/>
          <w:sz w:val="20"/>
          <w:szCs w:val="20"/>
        </w:rPr>
        <w:tab/>
        <w:t>The claim against the first respondent was in contract. The legal principles applicable to this claim flow from the decision in Magna Alloys and Research (SA) (Pty) Ltd v Ellis 1984 (4) SA 874 (A).</w:t>
      </w:r>
    </w:p>
    <w:p w14:paraId="1D183DE6" w14:textId="77777777" w:rsidR="00EF2403" w:rsidRPr="00031FFC" w:rsidRDefault="00EF2403" w:rsidP="001908A4">
      <w:pPr>
        <w:spacing w:line="360" w:lineRule="auto"/>
        <w:ind w:left="1440" w:hanging="720"/>
        <w:jc w:val="both"/>
        <w:rPr>
          <w:rFonts w:ascii="Arial" w:hAnsi="Arial" w:cs="Arial"/>
          <w:sz w:val="20"/>
          <w:szCs w:val="20"/>
        </w:rPr>
      </w:pPr>
      <w:r w:rsidRPr="00031FFC">
        <w:rPr>
          <w:rFonts w:ascii="Arial" w:hAnsi="Arial" w:cs="Arial"/>
          <w:sz w:val="20"/>
          <w:szCs w:val="20"/>
        </w:rPr>
        <w:t>[13.2]</w:t>
      </w:r>
      <w:r w:rsidRPr="00031FFC">
        <w:rPr>
          <w:rFonts w:ascii="Arial" w:hAnsi="Arial" w:cs="Arial"/>
          <w:sz w:val="20"/>
          <w:szCs w:val="20"/>
        </w:rPr>
        <w:tab/>
        <w:t>The appellant’s claim against the second respondent is in delict. It is governed by the development of the lex Aquilia to cater for the misuse of confidential information and trade secrets to advance one’s own business interests at the expense of a competitor</w:t>
      </w:r>
      <w:r w:rsidR="00734047" w:rsidRPr="00031FFC">
        <w:rPr>
          <w:rFonts w:ascii="Arial" w:hAnsi="Arial" w:cs="Arial"/>
          <w:sz w:val="20"/>
          <w:szCs w:val="20"/>
        </w:rPr>
        <w:t>.</w:t>
      </w:r>
    </w:p>
    <w:p w14:paraId="460B5D65" w14:textId="77777777" w:rsidR="00734047" w:rsidRPr="00031FFC" w:rsidRDefault="00734047" w:rsidP="001908A4">
      <w:pPr>
        <w:spacing w:line="360" w:lineRule="auto"/>
        <w:ind w:left="1440" w:hanging="720"/>
        <w:jc w:val="both"/>
        <w:rPr>
          <w:rFonts w:ascii="Arial" w:hAnsi="Arial" w:cs="Arial"/>
          <w:sz w:val="20"/>
          <w:szCs w:val="20"/>
        </w:rPr>
      </w:pPr>
      <w:r w:rsidRPr="00031FFC">
        <w:rPr>
          <w:rFonts w:ascii="Arial" w:hAnsi="Arial" w:cs="Arial"/>
          <w:sz w:val="20"/>
          <w:szCs w:val="20"/>
        </w:rPr>
        <w:t>[13.3]</w:t>
      </w:r>
      <w:r w:rsidRPr="00031FFC">
        <w:rPr>
          <w:rFonts w:ascii="Arial" w:hAnsi="Arial" w:cs="Arial"/>
          <w:sz w:val="20"/>
          <w:szCs w:val="20"/>
        </w:rPr>
        <w:tab/>
        <w:t>The fundamental differences between these two distinct causes of action have, on occasion, been blurred in judgments where the applicant has, in a single application, sought relief against the former employee who is bound by a restraint and the alleged “unfair competitor” who has employed the former employee.</w:t>
      </w:r>
    </w:p>
    <w:p w14:paraId="3D0AD86A" w14:textId="77777777" w:rsidR="00734047" w:rsidRPr="00031FFC" w:rsidRDefault="00734047" w:rsidP="001908A4">
      <w:pPr>
        <w:spacing w:line="360" w:lineRule="auto"/>
        <w:ind w:left="1440" w:hanging="720"/>
        <w:jc w:val="both"/>
        <w:rPr>
          <w:rFonts w:ascii="Arial" w:hAnsi="Arial" w:cs="Arial"/>
          <w:sz w:val="20"/>
          <w:szCs w:val="20"/>
        </w:rPr>
      </w:pPr>
      <w:r w:rsidRPr="00031FFC">
        <w:rPr>
          <w:rFonts w:ascii="Arial" w:hAnsi="Arial" w:cs="Arial"/>
          <w:sz w:val="20"/>
          <w:szCs w:val="20"/>
        </w:rPr>
        <w:t>[13.4]</w:t>
      </w:r>
      <w:r w:rsidRPr="00031FFC">
        <w:rPr>
          <w:rFonts w:ascii="Arial" w:hAnsi="Arial" w:cs="Arial"/>
          <w:sz w:val="20"/>
          <w:szCs w:val="20"/>
        </w:rPr>
        <w:tab/>
        <w:t>What these differences amount to is the following:</w:t>
      </w:r>
    </w:p>
    <w:p w14:paraId="641D237C" w14:textId="77777777" w:rsidR="00734047" w:rsidRPr="00031FFC" w:rsidRDefault="00734047" w:rsidP="001908A4">
      <w:pPr>
        <w:spacing w:line="360" w:lineRule="auto"/>
        <w:ind w:left="2880" w:hanging="1440"/>
        <w:jc w:val="both"/>
        <w:rPr>
          <w:rFonts w:ascii="Arial" w:hAnsi="Arial" w:cs="Arial"/>
          <w:sz w:val="20"/>
          <w:szCs w:val="20"/>
        </w:rPr>
      </w:pPr>
      <w:r w:rsidRPr="00031FFC">
        <w:rPr>
          <w:rFonts w:ascii="Arial" w:hAnsi="Arial" w:cs="Arial"/>
          <w:sz w:val="20"/>
          <w:szCs w:val="20"/>
        </w:rPr>
        <w:t>[13.4.1]</w:t>
      </w:r>
      <w:r w:rsidRPr="00031FFC">
        <w:rPr>
          <w:rFonts w:ascii="Arial" w:hAnsi="Arial" w:cs="Arial"/>
          <w:sz w:val="20"/>
          <w:szCs w:val="20"/>
        </w:rPr>
        <w:tab/>
        <w:t>Where the ex-employer seeks to enforce against his ex-employee a protectable interest recorded in a restraint, the ex-employer does not have to show that the ex-employee has in fact utilized information confidential to it- merely that the ex-employee could do so…</w:t>
      </w:r>
    </w:p>
    <w:p w14:paraId="4CE7491A" w14:textId="77777777" w:rsidR="00734047" w:rsidRPr="00031FFC" w:rsidRDefault="00734047" w:rsidP="001908A4">
      <w:pPr>
        <w:spacing w:line="360" w:lineRule="auto"/>
        <w:ind w:left="2880" w:hanging="1440"/>
        <w:jc w:val="both"/>
        <w:rPr>
          <w:rFonts w:ascii="Arial" w:hAnsi="Arial" w:cs="Arial"/>
          <w:sz w:val="20"/>
          <w:szCs w:val="20"/>
        </w:rPr>
      </w:pPr>
      <w:r w:rsidRPr="00031FFC">
        <w:rPr>
          <w:rFonts w:ascii="Arial" w:hAnsi="Arial" w:cs="Arial"/>
          <w:sz w:val="20"/>
          <w:szCs w:val="20"/>
        </w:rPr>
        <w:t>[13.4.2]</w:t>
      </w:r>
      <w:r w:rsidRPr="00031FFC">
        <w:rPr>
          <w:rFonts w:ascii="Arial" w:hAnsi="Arial" w:cs="Arial"/>
          <w:sz w:val="20"/>
          <w:szCs w:val="20"/>
        </w:rPr>
        <w:tab/>
        <w:t>Where the ex-emplo</w:t>
      </w:r>
      <w:r w:rsidR="00B24F82" w:rsidRPr="00031FFC">
        <w:rPr>
          <w:rFonts w:ascii="Arial" w:hAnsi="Arial" w:cs="Arial"/>
          <w:sz w:val="20"/>
          <w:szCs w:val="20"/>
        </w:rPr>
        <w:t>yer seeks to finally interdict a third party on the ground that it is competing unlawfully, by employing an ex-employee who has breached a restraint, the ex-employer must prove that:</w:t>
      </w:r>
    </w:p>
    <w:p w14:paraId="5FEC4A5A" w14:textId="77777777" w:rsidR="00B24F82" w:rsidRPr="00031FFC" w:rsidRDefault="00B24F82" w:rsidP="001908A4">
      <w:pPr>
        <w:spacing w:line="360" w:lineRule="auto"/>
        <w:ind w:left="2880" w:hanging="1440"/>
        <w:jc w:val="both"/>
        <w:rPr>
          <w:rFonts w:ascii="Arial" w:hAnsi="Arial" w:cs="Arial"/>
          <w:sz w:val="20"/>
          <w:szCs w:val="20"/>
        </w:rPr>
      </w:pPr>
      <w:r w:rsidRPr="00031FFC">
        <w:rPr>
          <w:rFonts w:ascii="Arial" w:hAnsi="Arial" w:cs="Arial"/>
          <w:sz w:val="20"/>
          <w:szCs w:val="20"/>
        </w:rPr>
        <w:tab/>
        <w:t>(a)</w:t>
      </w:r>
      <w:r w:rsidRPr="00031FFC">
        <w:rPr>
          <w:rFonts w:ascii="Arial" w:hAnsi="Arial" w:cs="Arial"/>
          <w:sz w:val="20"/>
          <w:szCs w:val="20"/>
        </w:rPr>
        <w:tab/>
        <w:t>It has confidential information or trade secrets.</w:t>
      </w:r>
    </w:p>
    <w:p w14:paraId="06ED4BB8" w14:textId="77777777" w:rsidR="00B24F82" w:rsidRPr="00031FFC" w:rsidRDefault="00B24F82" w:rsidP="001908A4">
      <w:pPr>
        <w:spacing w:line="360" w:lineRule="auto"/>
        <w:ind w:left="3600" w:hanging="720"/>
        <w:jc w:val="both"/>
        <w:rPr>
          <w:rFonts w:ascii="Arial" w:hAnsi="Arial" w:cs="Arial"/>
          <w:sz w:val="20"/>
          <w:szCs w:val="20"/>
        </w:rPr>
      </w:pPr>
      <w:r w:rsidRPr="00031FFC">
        <w:rPr>
          <w:rFonts w:ascii="Arial" w:hAnsi="Arial" w:cs="Arial"/>
          <w:sz w:val="20"/>
          <w:szCs w:val="20"/>
        </w:rPr>
        <w:t>(b)</w:t>
      </w:r>
      <w:r w:rsidRPr="00031FFC">
        <w:rPr>
          <w:rFonts w:ascii="Arial" w:hAnsi="Arial" w:cs="Arial"/>
          <w:sz w:val="20"/>
          <w:szCs w:val="20"/>
        </w:rPr>
        <w:tab/>
        <w:t>The third party is making use of, or is likely to make use of such information or trade secrets either knowingly or innocently…</w:t>
      </w:r>
      <w:r w:rsidR="00011FF5" w:rsidRPr="00031FFC">
        <w:rPr>
          <w:rFonts w:ascii="Arial" w:hAnsi="Arial" w:cs="Arial"/>
          <w:sz w:val="20"/>
          <w:szCs w:val="20"/>
        </w:rPr>
        <w:t>’</w:t>
      </w:r>
    </w:p>
    <w:p w14:paraId="587E9055" w14:textId="77777777" w:rsidR="00B24F82" w:rsidRPr="00031FFC" w:rsidRDefault="00B24F82" w:rsidP="001908A4">
      <w:pPr>
        <w:spacing w:line="360" w:lineRule="auto"/>
        <w:ind w:left="3600" w:hanging="720"/>
        <w:jc w:val="both"/>
        <w:rPr>
          <w:rFonts w:ascii="Arial" w:hAnsi="Arial" w:cs="Arial"/>
          <w:sz w:val="20"/>
          <w:szCs w:val="20"/>
        </w:rPr>
      </w:pPr>
      <w:r w:rsidRPr="00031FFC">
        <w:rPr>
          <w:rFonts w:ascii="Arial" w:hAnsi="Arial" w:cs="Arial"/>
          <w:sz w:val="20"/>
          <w:szCs w:val="20"/>
        </w:rPr>
        <w:lastRenderedPageBreak/>
        <w:t>(c)</w:t>
      </w:r>
      <w:r w:rsidRPr="00031FFC">
        <w:rPr>
          <w:rFonts w:ascii="Arial" w:hAnsi="Arial" w:cs="Arial"/>
          <w:sz w:val="20"/>
          <w:szCs w:val="20"/>
        </w:rPr>
        <w:tab/>
        <w:t>It has a real right not to be faced with unfair competition. In deciding fairness, a court is entitled to look at the competing interests of the parties…</w:t>
      </w:r>
    </w:p>
    <w:p w14:paraId="0A73F974" w14:textId="77777777" w:rsidR="00B24F82" w:rsidRPr="00031FFC" w:rsidRDefault="00B24F82" w:rsidP="001908A4">
      <w:pPr>
        <w:spacing w:line="360" w:lineRule="auto"/>
        <w:ind w:left="2880" w:hanging="1440"/>
        <w:jc w:val="both"/>
        <w:rPr>
          <w:rFonts w:ascii="Arial" w:hAnsi="Arial" w:cs="Arial"/>
          <w:sz w:val="20"/>
          <w:szCs w:val="20"/>
        </w:rPr>
      </w:pPr>
      <w:r w:rsidRPr="00031FFC">
        <w:rPr>
          <w:rFonts w:ascii="Arial" w:hAnsi="Arial" w:cs="Arial"/>
          <w:sz w:val="20"/>
          <w:szCs w:val="20"/>
        </w:rPr>
        <w:tab/>
        <w:t>(d)</w:t>
      </w:r>
      <w:r w:rsidRPr="00031FFC">
        <w:rPr>
          <w:rFonts w:ascii="Arial" w:hAnsi="Arial" w:cs="Arial"/>
          <w:sz w:val="20"/>
          <w:szCs w:val="20"/>
        </w:rPr>
        <w:tab/>
        <w:t>It has no other remedy.</w:t>
      </w:r>
    </w:p>
    <w:p w14:paraId="1E359230" w14:textId="77777777" w:rsidR="00B24F82" w:rsidRPr="00031FFC" w:rsidRDefault="00B24F82" w:rsidP="001908A4">
      <w:pPr>
        <w:spacing w:line="360" w:lineRule="auto"/>
        <w:ind w:left="2880" w:hanging="1440"/>
        <w:jc w:val="both"/>
        <w:rPr>
          <w:rFonts w:ascii="Arial" w:hAnsi="Arial" w:cs="Arial"/>
          <w:sz w:val="20"/>
          <w:szCs w:val="20"/>
        </w:rPr>
      </w:pPr>
      <w:r w:rsidRPr="00031FFC">
        <w:rPr>
          <w:rFonts w:ascii="Arial" w:hAnsi="Arial" w:cs="Arial"/>
          <w:sz w:val="20"/>
          <w:szCs w:val="20"/>
        </w:rPr>
        <w:t>[13.5]</w:t>
      </w:r>
      <w:r w:rsidRPr="00031FFC">
        <w:rPr>
          <w:rFonts w:ascii="Arial" w:hAnsi="Arial" w:cs="Arial"/>
          <w:sz w:val="20"/>
          <w:szCs w:val="20"/>
        </w:rPr>
        <w:tab/>
        <w:t xml:space="preserve">The fundamental difference between the two remedies is that in the delictual claim it does not suffice for the ex-employer to merely prove </w:t>
      </w:r>
      <w:r w:rsidR="0085170D" w:rsidRPr="00031FFC">
        <w:rPr>
          <w:rFonts w:ascii="Arial" w:hAnsi="Arial" w:cs="Arial"/>
          <w:sz w:val="20"/>
          <w:szCs w:val="20"/>
        </w:rPr>
        <w:t>that the ex-employee who has protectable information has taken up employment with a rival, who is aware of the restraint. In addition, what must be proved is an existing use, or threatened use, of such information by the third party.’</w:t>
      </w:r>
    </w:p>
    <w:p w14:paraId="0835F403" w14:textId="77777777" w:rsidR="0098479C" w:rsidRPr="00031FFC" w:rsidRDefault="0098479C" w:rsidP="0098479C">
      <w:pPr>
        <w:spacing w:line="360" w:lineRule="auto"/>
        <w:jc w:val="both"/>
        <w:rPr>
          <w:rFonts w:ascii="Arial" w:hAnsi="Arial" w:cs="Arial"/>
          <w:sz w:val="20"/>
          <w:szCs w:val="20"/>
        </w:rPr>
      </w:pPr>
    </w:p>
    <w:p w14:paraId="18DECFE3" w14:textId="47780551"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[69]</w:t>
      </w:r>
      <w:r w:rsidRPr="00031FFC">
        <w:rPr>
          <w:rFonts w:ascii="Arial" w:hAnsi="Arial" w:cs="Arial"/>
          <w:sz w:val="24"/>
          <w:szCs w:val="24"/>
        </w:rPr>
        <w:tab/>
      </w:r>
      <w:r w:rsidR="0098479C" w:rsidRPr="009B6EB7">
        <w:rPr>
          <w:rFonts w:ascii="Arial" w:hAnsi="Arial" w:cs="Arial"/>
          <w:sz w:val="24"/>
          <w:szCs w:val="24"/>
        </w:rPr>
        <w:t>The respondents contend that the above case cannot be used as authority to assert that Red Alert’s enabling of Mr Guest to breach his obligations was unlawful.</w:t>
      </w:r>
      <w:r w:rsidR="00CF09DB" w:rsidRPr="009B6EB7">
        <w:rPr>
          <w:rFonts w:ascii="Arial" w:hAnsi="Arial" w:cs="Arial"/>
          <w:sz w:val="24"/>
          <w:szCs w:val="24"/>
        </w:rPr>
        <w:t xml:space="preserve"> </w:t>
      </w:r>
      <w:r w:rsidR="0098479C" w:rsidRPr="009B6EB7">
        <w:rPr>
          <w:rFonts w:ascii="Arial" w:hAnsi="Arial" w:cs="Arial"/>
          <w:sz w:val="24"/>
          <w:szCs w:val="24"/>
        </w:rPr>
        <w:t xml:space="preserve">They </w:t>
      </w:r>
      <w:r w:rsidR="00011FF5" w:rsidRPr="009B6EB7">
        <w:rPr>
          <w:rFonts w:ascii="Arial" w:hAnsi="Arial" w:cs="Arial"/>
          <w:sz w:val="24"/>
          <w:szCs w:val="24"/>
        </w:rPr>
        <w:t xml:space="preserve">argue that it is </w:t>
      </w:r>
      <w:bookmarkStart w:id="19" w:name="_Hlk115877220"/>
      <w:r w:rsidR="00011FF5" w:rsidRPr="009B6EB7">
        <w:rPr>
          <w:rFonts w:ascii="Arial" w:hAnsi="Arial" w:cs="Arial"/>
          <w:sz w:val="24"/>
          <w:szCs w:val="24"/>
        </w:rPr>
        <w:t xml:space="preserve">not adequate to </w:t>
      </w:r>
      <w:r w:rsidR="0098479C" w:rsidRPr="009B6EB7">
        <w:rPr>
          <w:rFonts w:ascii="Arial" w:hAnsi="Arial" w:cs="Arial"/>
          <w:sz w:val="24"/>
          <w:szCs w:val="24"/>
        </w:rPr>
        <w:t>assert</w:t>
      </w:r>
      <w:r w:rsidR="00011FF5" w:rsidRPr="009B6EB7">
        <w:rPr>
          <w:rFonts w:ascii="Arial" w:hAnsi="Arial" w:cs="Arial"/>
          <w:sz w:val="24"/>
          <w:szCs w:val="24"/>
        </w:rPr>
        <w:t xml:space="preserve"> that Red Alert merely served as a vessel for Mr Guest’s conduct. </w:t>
      </w:r>
      <w:r w:rsidR="0098479C" w:rsidRPr="009B6EB7">
        <w:rPr>
          <w:rFonts w:ascii="Arial" w:hAnsi="Arial" w:cs="Arial"/>
          <w:sz w:val="24"/>
          <w:szCs w:val="24"/>
        </w:rPr>
        <w:t>The appellants’</w:t>
      </w:r>
      <w:r w:rsidR="00011FF5" w:rsidRPr="009B6EB7">
        <w:rPr>
          <w:rFonts w:ascii="Arial" w:hAnsi="Arial" w:cs="Arial"/>
          <w:sz w:val="24"/>
          <w:szCs w:val="24"/>
        </w:rPr>
        <w:t xml:space="preserve"> cause of action </w:t>
      </w:r>
      <w:r w:rsidR="0098479C" w:rsidRPr="009B6EB7">
        <w:rPr>
          <w:rFonts w:ascii="Arial" w:hAnsi="Arial" w:cs="Arial"/>
          <w:sz w:val="24"/>
          <w:szCs w:val="24"/>
        </w:rPr>
        <w:t xml:space="preserve">was indeed </w:t>
      </w:r>
      <w:r w:rsidR="00011FF5" w:rsidRPr="009B6EB7">
        <w:rPr>
          <w:rFonts w:ascii="Arial" w:hAnsi="Arial" w:cs="Arial"/>
          <w:sz w:val="24"/>
          <w:szCs w:val="24"/>
        </w:rPr>
        <w:t xml:space="preserve">grounded in delict </w:t>
      </w:r>
      <w:r w:rsidR="0098479C" w:rsidRPr="009B6EB7">
        <w:rPr>
          <w:rFonts w:ascii="Arial" w:hAnsi="Arial" w:cs="Arial"/>
          <w:sz w:val="24"/>
          <w:szCs w:val="24"/>
        </w:rPr>
        <w:t>and</w:t>
      </w:r>
      <w:r w:rsidR="00CF09DB" w:rsidRPr="009B6EB7">
        <w:rPr>
          <w:rFonts w:ascii="Arial" w:hAnsi="Arial" w:cs="Arial"/>
          <w:sz w:val="24"/>
          <w:szCs w:val="24"/>
        </w:rPr>
        <w:t xml:space="preserve"> it</w:t>
      </w:r>
      <w:r w:rsidR="0098479C" w:rsidRPr="009B6EB7">
        <w:rPr>
          <w:rFonts w:ascii="Arial" w:hAnsi="Arial" w:cs="Arial"/>
          <w:sz w:val="24"/>
          <w:szCs w:val="24"/>
        </w:rPr>
        <w:t xml:space="preserve"> required them t</w:t>
      </w:r>
      <w:r w:rsidR="00011FF5" w:rsidRPr="009B6EB7">
        <w:rPr>
          <w:rFonts w:ascii="Arial" w:hAnsi="Arial" w:cs="Arial"/>
          <w:sz w:val="24"/>
          <w:szCs w:val="24"/>
        </w:rPr>
        <w:t>o demonstrate that Red Alert made improper use of confidential information, knowingly or otherwise.</w:t>
      </w:r>
      <w:bookmarkEnd w:id="19"/>
    </w:p>
    <w:p w14:paraId="36DA052B" w14:textId="1F987AA4"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[70]</w:t>
      </w:r>
      <w:r w:rsidRPr="00031FFC">
        <w:rPr>
          <w:rFonts w:ascii="Arial" w:hAnsi="Arial" w:cs="Arial"/>
          <w:sz w:val="24"/>
          <w:szCs w:val="24"/>
        </w:rPr>
        <w:tab/>
      </w:r>
      <w:r w:rsidR="001964B9" w:rsidRPr="009B6EB7">
        <w:rPr>
          <w:rFonts w:ascii="Arial" w:hAnsi="Arial" w:cs="Arial"/>
          <w:sz w:val="24"/>
          <w:szCs w:val="24"/>
        </w:rPr>
        <w:t xml:space="preserve">This court is inclined to agree with the respondents. On the basis of the full bench decision in </w:t>
      </w:r>
      <w:r w:rsidR="001964B9" w:rsidRPr="009B6EB7">
        <w:rPr>
          <w:rFonts w:ascii="Arial" w:hAnsi="Arial" w:cs="Arial"/>
          <w:i/>
          <w:iCs/>
          <w:sz w:val="24"/>
          <w:szCs w:val="24"/>
        </w:rPr>
        <w:t>Hall</w:t>
      </w:r>
      <w:r w:rsidR="001964B9" w:rsidRPr="009B6EB7">
        <w:rPr>
          <w:rFonts w:ascii="Arial" w:hAnsi="Arial" w:cs="Arial"/>
          <w:sz w:val="24"/>
          <w:szCs w:val="24"/>
        </w:rPr>
        <w:t>, the appellants must present sufficient evidence of</w:t>
      </w:r>
      <w:r w:rsidR="004F0566" w:rsidRPr="009B6EB7">
        <w:rPr>
          <w:rFonts w:ascii="Arial" w:hAnsi="Arial" w:cs="Arial"/>
          <w:sz w:val="24"/>
          <w:szCs w:val="24"/>
        </w:rPr>
        <w:t xml:space="preserve"> Red Alert’s use or threatened use of confidential information. The decisions in both </w:t>
      </w:r>
      <w:r w:rsidR="004F0566" w:rsidRPr="009B6EB7">
        <w:rPr>
          <w:rFonts w:ascii="Arial" w:hAnsi="Arial" w:cs="Arial"/>
          <w:i/>
          <w:iCs/>
          <w:sz w:val="24"/>
          <w:szCs w:val="24"/>
        </w:rPr>
        <w:t>Marcus Evans</w:t>
      </w:r>
      <w:r w:rsidR="004F0566" w:rsidRPr="009B6EB7">
        <w:rPr>
          <w:rFonts w:ascii="Arial" w:hAnsi="Arial" w:cs="Arial"/>
          <w:sz w:val="24"/>
          <w:szCs w:val="24"/>
        </w:rPr>
        <w:t xml:space="preserve"> and </w:t>
      </w:r>
      <w:r w:rsidR="004F0566" w:rsidRPr="009B6EB7">
        <w:rPr>
          <w:rFonts w:ascii="Arial" w:hAnsi="Arial" w:cs="Arial"/>
          <w:i/>
          <w:iCs/>
          <w:sz w:val="24"/>
          <w:szCs w:val="24"/>
        </w:rPr>
        <w:t>Tarita</w:t>
      </w:r>
      <w:r w:rsidR="004F0566" w:rsidRPr="009B6EB7">
        <w:rPr>
          <w:rFonts w:ascii="Arial" w:hAnsi="Arial" w:cs="Arial"/>
          <w:sz w:val="24"/>
          <w:szCs w:val="24"/>
        </w:rPr>
        <w:t xml:space="preserve"> do not assist the appellants inasmuch as there is no clear indication that Red Alert’s employment of Mr Guest,</w:t>
      </w:r>
      <w:r w:rsidR="0098479C" w:rsidRPr="009B6EB7">
        <w:rPr>
          <w:rFonts w:ascii="Arial" w:hAnsi="Arial" w:cs="Arial"/>
          <w:sz w:val="24"/>
          <w:szCs w:val="24"/>
        </w:rPr>
        <w:t xml:space="preserve"> </w:t>
      </w:r>
      <w:r w:rsidR="0098479C" w:rsidRPr="009B6EB7">
        <w:rPr>
          <w:rFonts w:ascii="Arial" w:hAnsi="Arial" w:cs="Arial"/>
          <w:i/>
          <w:sz w:val="24"/>
          <w:szCs w:val="24"/>
        </w:rPr>
        <w:t>per se</w:t>
      </w:r>
      <w:r w:rsidR="0098479C" w:rsidRPr="009B6EB7">
        <w:rPr>
          <w:rFonts w:ascii="Arial" w:hAnsi="Arial" w:cs="Arial"/>
          <w:sz w:val="24"/>
          <w:szCs w:val="24"/>
        </w:rPr>
        <w:t>,</w:t>
      </w:r>
      <w:r w:rsidR="004F0566" w:rsidRPr="009B6EB7">
        <w:rPr>
          <w:rFonts w:ascii="Arial" w:hAnsi="Arial" w:cs="Arial"/>
          <w:sz w:val="24"/>
          <w:szCs w:val="24"/>
        </w:rPr>
        <w:t xml:space="preserve"> amounted to </w:t>
      </w:r>
      <w:r w:rsidR="009842BC" w:rsidRPr="009B6EB7">
        <w:rPr>
          <w:rFonts w:ascii="Arial" w:hAnsi="Arial" w:cs="Arial"/>
          <w:sz w:val="24"/>
          <w:szCs w:val="24"/>
        </w:rPr>
        <w:t xml:space="preserve">the </w:t>
      </w:r>
      <w:r w:rsidR="004F0566" w:rsidRPr="009B6EB7">
        <w:rPr>
          <w:rFonts w:ascii="Arial" w:hAnsi="Arial" w:cs="Arial"/>
          <w:sz w:val="24"/>
          <w:szCs w:val="24"/>
        </w:rPr>
        <w:t xml:space="preserve">improper use of </w:t>
      </w:r>
      <w:r w:rsidR="009842BC" w:rsidRPr="009B6EB7">
        <w:rPr>
          <w:rFonts w:ascii="Arial" w:hAnsi="Arial" w:cs="Arial"/>
          <w:sz w:val="24"/>
          <w:szCs w:val="24"/>
        </w:rPr>
        <w:t>the latter’s knowledge of Chemex’s business</w:t>
      </w:r>
      <w:r w:rsidR="004F0566" w:rsidRPr="009B6EB7">
        <w:rPr>
          <w:rFonts w:ascii="Arial" w:hAnsi="Arial" w:cs="Arial"/>
          <w:sz w:val="24"/>
          <w:szCs w:val="24"/>
        </w:rPr>
        <w:t>.</w:t>
      </w:r>
      <w:r w:rsidR="009842BC" w:rsidRPr="009B6EB7">
        <w:rPr>
          <w:rFonts w:ascii="Arial" w:hAnsi="Arial" w:cs="Arial"/>
          <w:sz w:val="24"/>
          <w:szCs w:val="24"/>
        </w:rPr>
        <w:t xml:space="preserve"> </w:t>
      </w:r>
      <w:r w:rsidR="00B832E6" w:rsidRPr="009B6EB7">
        <w:rPr>
          <w:rFonts w:ascii="Arial" w:hAnsi="Arial" w:cs="Arial"/>
          <w:sz w:val="24"/>
          <w:szCs w:val="24"/>
        </w:rPr>
        <w:t xml:space="preserve">The allegations made with regard to Mr Guest’s interaction with the Kempston Group and his possible influence over the decision taken by the Kat Leisure Hotel Group are speculative at best. </w:t>
      </w:r>
      <w:r w:rsidR="00D20E10" w:rsidRPr="009B6EB7">
        <w:rPr>
          <w:rFonts w:ascii="Arial" w:hAnsi="Arial" w:cs="Arial"/>
          <w:sz w:val="24"/>
          <w:szCs w:val="24"/>
        </w:rPr>
        <w:t>There are no confirmatory affidavits from representatives of either of the companies, there is also no documentary evidence to support the allegations. Significantly, there is no indication that Mr Guest’s conduct was directed by or carried out upon the instruction of his new employer, Red Alert. At best, the allegations amount to conjecture.</w:t>
      </w:r>
      <w:r w:rsidR="009D02E7" w:rsidRPr="009B6EB7">
        <w:rPr>
          <w:rFonts w:ascii="Arial" w:hAnsi="Arial" w:cs="Arial"/>
          <w:sz w:val="24"/>
          <w:szCs w:val="24"/>
        </w:rPr>
        <w:t xml:space="preserve"> In relation to the </w:t>
      </w:r>
      <w:r w:rsidR="00A36390" w:rsidRPr="009B6EB7">
        <w:rPr>
          <w:rFonts w:ascii="Arial" w:hAnsi="Arial" w:cs="Arial"/>
          <w:sz w:val="24"/>
          <w:szCs w:val="24"/>
        </w:rPr>
        <w:t xml:space="preserve">establishment of Chemtec, the respondents deny, vehemently, that Mr Guest was involved or that he has any financial or other interest in the manufacturing entity. The appellants have not presented any </w:t>
      </w:r>
      <w:r w:rsidR="00A36390" w:rsidRPr="009B6EB7">
        <w:rPr>
          <w:rFonts w:ascii="Arial" w:hAnsi="Arial" w:cs="Arial"/>
          <w:sz w:val="24"/>
          <w:szCs w:val="24"/>
        </w:rPr>
        <w:lastRenderedPageBreak/>
        <w:t xml:space="preserve">compelling evidence to persuade the court </w:t>
      </w:r>
      <w:r w:rsidR="00D26BD5" w:rsidRPr="009B6EB7">
        <w:rPr>
          <w:rFonts w:ascii="Arial" w:hAnsi="Arial" w:cs="Arial"/>
          <w:sz w:val="24"/>
          <w:szCs w:val="24"/>
        </w:rPr>
        <w:t>that</w:t>
      </w:r>
      <w:r w:rsidR="00A36390" w:rsidRPr="009B6EB7">
        <w:rPr>
          <w:rFonts w:ascii="Arial" w:hAnsi="Arial" w:cs="Arial"/>
          <w:sz w:val="24"/>
          <w:szCs w:val="24"/>
        </w:rPr>
        <w:t xml:space="preserve"> the usual principles</w:t>
      </w:r>
      <w:r w:rsidR="00D26BD5" w:rsidRPr="009B6EB7">
        <w:rPr>
          <w:rFonts w:ascii="Arial" w:hAnsi="Arial" w:cs="Arial"/>
          <w:sz w:val="24"/>
          <w:szCs w:val="24"/>
        </w:rPr>
        <w:t xml:space="preserve"> must </w:t>
      </w:r>
      <w:r w:rsidR="0098479C" w:rsidRPr="009B6EB7">
        <w:rPr>
          <w:rFonts w:ascii="Arial" w:hAnsi="Arial" w:cs="Arial"/>
          <w:sz w:val="24"/>
          <w:szCs w:val="24"/>
        </w:rPr>
        <w:t xml:space="preserve">not </w:t>
      </w:r>
      <w:r w:rsidR="00D26BD5" w:rsidRPr="009B6EB7">
        <w:rPr>
          <w:rFonts w:ascii="Arial" w:hAnsi="Arial" w:cs="Arial"/>
          <w:sz w:val="24"/>
          <w:szCs w:val="24"/>
        </w:rPr>
        <w:t>be applied and that</w:t>
      </w:r>
      <w:r w:rsidR="00A36390" w:rsidRPr="009B6EB7">
        <w:rPr>
          <w:rFonts w:ascii="Arial" w:hAnsi="Arial" w:cs="Arial"/>
          <w:sz w:val="24"/>
          <w:szCs w:val="24"/>
        </w:rPr>
        <w:t xml:space="preserve"> the respondents’ averments must </w:t>
      </w:r>
      <w:r w:rsidR="0098479C" w:rsidRPr="009B6EB7">
        <w:rPr>
          <w:rFonts w:ascii="Arial" w:hAnsi="Arial" w:cs="Arial"/>
          <w:sz w:val="24"/>
          <w:szCs w:val="24"/>
        </w:rPr>
        <w:t xml:space="preserve">not </w:t>
      </w:r>
      <w:r w:rsidR="00A36390" w:rsidRPr="009B6EB7">
        <w:rPr>
          <w:rFonts w:ascii="Arial" w:hAnsi="Arial" w:cs="Arial"/>
          <w:sz w:val="24"/>
          <w:szCs w:val="24"/>
        </w:rPr>
        <w:t>be accepted.</w:t>
      </w:r>
      <w:r w:rsidR="00A36390" w:rsidRPr="00031FFC">
        <w:rPr>
          <w:vertAlign w:val="superscript"/>
        </w:rPr>
        <w:footnoteReference w:id="23"/>
      </w:r>
    </w:p>
    <w:p w14:paraId="650503F5" w14:textId="77777777" w:rsidR="001908A4" w:rsidRPr="00031FFC" w:rsidRDefault="001908A4" w:rsidP="001908A4">
      <w:pPr>
        <w:pStyle w:val="ListParagraph"/>
        <w:spacing w:line="360" w:lineRule="auto"/>
        <w:ind w:left="0"/>
        <w:jc w:val="both"/>
        <w:rPr>
          <w:rFonts w:ascii="Arial" w:hAnsi="Arial" w:cs="Arial"/>
          <w:sz w:val="24"/>
          <w:szCs w:val="24"/>
        </w:rPr>
      </w:pPr>
    </w:p>
    <w:p w14:paraId="0C75B6D5" w14:textId="3150CEB2"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[71]</w:t>
      </w:r>
      <w:r w:rsidRPr="00031FFC">
        <w:rPr>
          <w:rFonts w:ascii="Arial" w:hAnsi="Arial" w:cs="Arial"/>
          <w:sz w:val="24"/>
          <w:szCs w:val="24"/>
        </w:rPr>
        <w:tab/>
      </w:r>
      <w:r w:rsidR="00D26BD5" w:rsidRPr="009B6EB7">
        <w:rPr>
          <w:rFonts w:ascii="Arial" w:hAnsi="Arial" w:cs="Arial"/>
          <w:sz w:val="24"/>
          <w:szCs w:val="24"/>
        </w:rPr>
        <w:t>I</w:t>
      </w:r>
      <w:r w:rsidR="00640FAF" w:rsidRPr="009B6EB7">
        <w:rPr>
          <w:rFonts w:ascii="Arial" w:hAnsi="Arial" w:cs="Arial"/>
          <w:sz w:val="24"/>
          <w:szCs w:val="24"/>
        </w:rPr>
        <w:t xml:space="preserve">f a final interdict is granted in favour of the appellants against Mr Guest, then he will be prevented from engaging with, being employed by or having any interest in Red Alert until 30 June 2025. As the court </w:t>
      </w:r>
      <w:r w:rsidR="00640FAF" w:rsidRPr="009B6EB7">
        <w:rPr>
          <w:rFonts w:ascii="Arial" w:hAnsi="Arial" w:cs="Arial"/>
          <w:i/>
          <w:iCs/>
          <w:sz w:val="24"/>
          <w:szCs w:val="24"/>
        </w:rPr>
        <w:t>a quo</w:t>
      </w:r>
      <w:r w:rsidR="00640FAF" w:rsidRPr="009B6EB7">
        <w:rPr>
          <w:rFonts w:ascii="Arial" w:hAnsi="Arial" w:cs="Arial"/>
          <w:sz w:val="24"/>
          <w:szCs w:val="24"/>
        </w:rPr>
        <w:t xml:space="preserve"> remarked, whether Mr Guest is interdicted from being employed by Red Alert or whether Red Alert is interdicted from employing Mr Guest, the result is the same. An alternative remedy exists, obviating the need for the appellants to obtain relief against Red Alert itself.</w:t>
      </w:r>
    </w:p>
    <w:p w14:paraId="1AF3C147" w14:textId="77777777" w:rsidR="001908A4" w:rsidRPr="00031FFC" w:rsidRDefault="001908A4" w:rsidP="001908A4">
      <w:pPr>
        <w:pStyle w:val="ListParagraph"/>
        <w:rPr>
          <w:rFonts w:ascii="Arial" w:hAnsi="Arial" w:cs="Arial"/>
          <w:sz w:val="24"/>
          <w:szCs w:val="24"/>
        </w:rPr>
      </w:pPr>
    </w:p>
    <w:p w14:paraId="144A879A" w14:textId="77777777" w:rsidR="001908A4" w:rsidRPr="00031FFC" w:rsidRDefault="001908A4" w:rsidP="001908A4">
      <w:pPr>
        <w:pStyle w:val="ListParagraph"/>
        <w:rPr>
          <w:rFonts w:ascii="Arial" w:hAnsi="Arial" w:cs="Arial"/>
          <w:b/>
          <w:bCs/>
          <w:sz w:val="24"/>
          <w:szCs w:val="24"/>
        </w:rPr>
      </w:pPr>
    </w:p>
    <w:p w14:paraId="0A40EB60" w14:textId="77777777" w:rsidR="001908A4" w:rsidRPr="00031FFC" w:rsidRDefault="00D40B77" w:rsidP="001908A4">
      <w:pPr>
        <w:pStyle w:val="ListParagraph"/>
        <w:spacing w:line="360" w:lineRule="auto"/>
        <w:ind w:left="0"/>
        <w:jc w:val="both"/>
        <w:rPr>
          <w:rFonts w:ascii="Arial" w:hAnsi="Arial" w:cs="Arial"/>
          <w:sz w:val="24"/>
          <w:szCs w:val="24"/>
        </w:rPr>
      </w:pPr>
      <w:r w:rsidRPr="00031FFC">
        <w:rPr>
          <w:rFonts w:ascii="Arial" w:hAnsi="Arial" w:cs="Arial"/>
          <w:b/>
          <w:bCs/>
          <w:sz w:val="24"/>
          <w:szCs w:val="24"/>
        </w:rPr>
        <w:t>Relief and order to be granted</w:t>
      </w:r>
    </w:p>
    <w:p w14:paraId="77927FD6" w14:textId="77777777" w:rsidR="001908A4" w:rsidRPr="00031FFC" w:rsidRDefault="001908A4" w:rsidP="001908A4">
      <w:pPr>
        <w:pStyle w:val="ListParagraph"/>
        <w:rPr>
          <w:rFonts w:ascii="Arial" w:hAnsi="Arial" w:cs="Arial"/>
          <w:sz w:val="24"/>
          <w:szCs w:val="24"/>
        </w:rPr>
      </w:pPr>
    </w:p>
    <w:p w14:paraId="4A3F3D43" w14:textId="1C9BBD59"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[72]</w:t>
      </w:r>
      <w:r w:rsidRPr="00031FFC">
        <w:rPr>
          <w:rFonts w:ascii="Arial" w:hAnsi="Arial" w:cs="Arial"/>
          <w:sz w:val="24"/>
          <w:szCs w:val="24"/>
        </w:rPr>
        <w:tab/>
      </w:r>
      <w:r w:rsidR="00D40B77" w:rsidRPr="009B6EB7">
        <w:rPr>
          <w:rFonts w:ascii="Arial" w:hAnsi="Arial" w:cs="Arial"/>
          <w:sz w:val="24"/>
          <w:szCs w:val="24"/>
        </w:rPr>
        <w:t xml:space="preserve">The provisions of clause 9 of the buy-back agreement constitute a </w:t>
      </w:r>
      <w:r w:rsidR="00213AA7" w:rsidRPr="009B6EB7">
        <w:rPr>
          <w:rFonts w:ascii="Arial" w:hAnsi="Arial" w:cs="Arial"/>
          <w:sz w:val="24"/>
          <w:szCs w:val="24"/>
        </w:rPr>
        <w:t xml:space="preserve">covenant in </w:t>
      </w:r>
      <w:r w:rsidR="00D40B77" w:rsidRPr="009B6EB7">
        <w:rPr>
          <w:rFonts w:ascii="Arial" w:hAnsi="Arial" w:cs="Arial"/>
          <w:sz w:val="24"/>
          <w:szCs w:val="24"/>
        </w:rPr>
        <w:t xml:space="preserve">restraint of trade. </w:t>
      </w:r>
      <w:r w:rsidR="005D3D9D" w:rsidRPr="009B6EB7">
        <w:rPr>
          <w:rFonts w:ascii="Arial" w:hAnsi="Arial" w:cs="Arial"/>
          <w:sz w:val="24"/>
          <w:szCs w:val="24"/>
        </w:rPr>
        <w:t xml:space="preserve">Mindful of the text, context and purpose thereof, the </w:t>
      </w:r>
      <w:r w:rsidR="00213AA7" w:rsidRPr="009B6EB7">
        <w:rPr>
          <w:rFonts w:ascii="Arial" w:hAnsi="Arial" w:cs="Arial"/>
          <w:sz w:val="24"/>
          <w:szCs w:val="24"/>
        </w:rPr>
        <w:t xml:space="preserve">restraint </w:t>
      </w:r>
      <w:r w:rsidR="005D3D9D" w:rsidRPr="009B6EB7">
        <w:rPr>
          <w:rFonts w:ascii="Arial" w:hAnsi="Arial" w:cs="Arial"/>
          <w:sz w:val="24"/>
          <w:szCs w:val="24"/>
        </w:rPr>
        <w:t>must be interpreted to mean that Mr Guest undertook, for a specified period and for a specified area, not to become involved or have an interest in any business that was similar to that of Chemex.</w:t>
      </w:r>
      <w:r w:rsidR="005D3D9D" w:rsidRPr="00031FFC">
        <w:rPr>
          <w:rStyle w:val="FootnoteReference"/>
          <w:rFonts w:ascii="Arial" w:hAnsi="Arial" w:cs="Arial"/>
          <w:sz w:val="24"/>
          <w:szCs w:val="24"/>
        </w:rPr>
        <w:footnoteReference w:id="24"/>
      </w:r>
      <w:r w:rsidR="005D3D9D" w:rsidRPr="009B6EB7">
        <w:rPr>
          <w:rFonts w:ascii="Arial" w:hAnsi="Arial" w:cs="Arial"/>
          <w:sz w:val="24"/>
          <w:szCs w:val="24"/>
        </w:rPr>
        <w:t xml:space="preserve"> </w:t>
      </w:r>
      <w:r w:rsidR="00D40B77" w:rsidRPr="009B6EB7">
        <w:rPr>
          <w:rFonts w:ascii="Arial" w:hAnsi="Arial" w:cs="Arial"/>
          <w:sz w:val="24"/>
          <w:szCs w:val="24"/>
        </w:rPr>
        <w:t xml:space="preserve">Such a </w:t>
      </w:r>
      <w:r w:rsidR="00213AA7" w:rsidRPr="009B6EB7">
        <w:rPr>
          <w:rFonts w:ascii="Arial" w:hAnsi="Arial" w:cs="Arial"/>
          <w:sz w:val="24"/>
          <w:szCs w:val="24"/>
        </w:rPr>
        <w:t xml:space="preserve">restraint </w:t>
      </w:r>
      <w:r w:rsidR="00D40B77" w:rsidRPr="009B6EB7">
        <w:rPr>
          <w:rFonts w:ascii="Arial" w:hAnsi="Arial" w:cs="Arial"/>
          <w:sz w:val="24"/>
          <w:szCs w:val="24"/>
        </w:rPr>
        <w:t>is, in principle, enforceable.</w:t>
      </w:r>
      <w:r w:rsidR="00D40B77" w:rsidRPr="00031FFC">
        <w:rPr>
          <w:rStyle w:val="FootnoteReference"/>
          <w:rFonts w:ascii="Arial" w:hAnsi="Arial" w:cs="Arial"/>
          <w:sz w:val="24"/>
          <w:szCs w:val="24"/>
        </w:rPr>
        <w:footnoteReference w:id="25"/>
      </w:r>
      <w:r w:rsidR="005D3D9D" w:rsidRPr="009B6EB7">
        <w:rPr>
          <w:rFonts w:ascii="Arial" w:hAnsi="Arial" w:cs="Arial"/>
          <w:sz w:val="24"/>
          <w:szCs w:val="24"/>
        </w:rPr>
        <w:t xml:space="preserve"> </w:t>
      </w:r>
      <w:r w:rsidR="00EE5C65" w:rsidRPr="009B6EB7">
        <w:rPr>
          <w:rFonts w:ascii="Arial" w:hAnsi="Arial" w:cs="Arial"/>
          <w:sz w:val="24"/>
          <w:szCs w:val="24"/>
        </w:rPr>
        <w:t xml:space="preserve">The respondents did not </w:t>
      </w:r>
      <w:r w:rsidR="0098479C" w:rsidRPr="009B6EB7">
        <w:rPr>
          <w:rFonts w:ascii="Arial" w:hAnsi="Arial" w:cs="Arial"/>
          <w:sz w:val="24"/>
          <w:szCs w:val="24"/>
        </w:rPr>
        <w:t xml:space="preserve">argue or </w:t>
      </w:r>
      <w:r w:rsidR="005D3D9D" w:rsidRPr="009B6EB7">
        <w:rPr>
          <w:rFonts w:ascii="Arial" w:hAnsi="Arial" w:cs="Arial"/>
          <w:sz w:val="24"/>
          <w:szCs w:val="24"/>
        </w:rPr>
        <w:t xml:space="preserve">demonstrate that the enforcement of the </w:t>
      </w:r>
      <w:r w:rsidR="00213AA7" w:rsidRPr="009B6EB7">
        <w:rPr>
          <w:rFonts w:ascii="Arial" w:hAnsi="Arial" w:cs="Arial"/>
          <w:sz w:val="24"/>
          <w:szCs w:val="24"/>
        </w:rPr>
        <w:t xml:space="preserve">restraint </w:t>
      </w:r>
      <w:r w:rsidR="005D3D9D" w:rsidRPr="009B6EB7">
        <w:rPr>
          <w:rFonts w:ascii="Arial" w:hAnsi="Arial" w:cs="Arial"/>
          <w:sz w:val="24"/>
          <w:szCs w:val="24"/>
        </w:rPr>
        <w:t>would be unfair, unreasonable or unduly harsh</w:t>
      </w:r>
      <w:r w:rsidR="00EE5C65" w:rsidRPr="009B6EB7">
        <w:rPr>
          <w:rFonts w:ascii="Arial" w:hAnsi="Arial" w:cs="Arial"/>
          <w:sz w:val="24"/>
          <w:szCs w:val="24"/>
        </w:rPr>
        <w:t>,</w:t>
      </w:r>
      <w:r w:rsidR="005D3D9D" w:rsidRPr="00031FFC">
        <w:rPr>
          <w:rStyle w:val="FootnoteReference"/>
          <w:rFonts w:ascii="Arial" w:hAnsi="Arial" w:cs="Arial"/>
          <w:sz w:val="24"/>
          <w:szCs w:val="24"/>
        </w:rPr>
        <w:footnoteReference w:id="26"/>
      </w:r>
      <w:r w:rsidR="005D3D9D" w:rsidRPr="009B6EB7">
        <w:rPr>
          <w:rFonts w:ascii="Arial" w:hAnsi="Arial" w:cs="Arial"/>
          <w:sz w:val="24"/>
          <w:szCs w:val="24"/>
        </w:rPr>
        <w:t xml:space="preserve"> </w:t>
      </w:r>
      <w:r w:rsidR="00EE5C65" w:rsidRPr="009B6EB7">
        <w:rPr>
          <w:rFonts w:ascii="Arial" w:hAnsi="Arial" w:cs="Arial"/>
          <w:sz w:val="24"/>
          <w:szCs w:val="24"/>
        </w:rPr>
        <w:t>but focused, i</w:t>
      </w:r>
      <w:r w:rsidR="005D3D9D" w:rsidRPr="009B6EB7">
        <w:rPr>
          <w:rFonts w:ascii="Arial" w:hAnsi="Arial" w:cs="Arial"/>
          <w:sz w:val="24"/>
          <w:szCs w:val="24"/>
        </w:rPr>
        <w:t xml:space="preserve">nstead, on the assertion that </w:t>
      </w:r>
      <w:r w:rsidR="00EE5C65" w:rsidRPr="009B6EB7">
        <w:rPr>
          <w:rFonts w:ascii="Arial" w:hAnsi="Arial" w:cs="Arial"/>
          <w:sz w:val="24"/>
          <w:szCs w:val="24"/>
        </w:rPr>
        <w:t>it was incumbent o</w:t>
      </w:r>
      <w:r w:rsidR="0045033D" w:rsidRPr="009B6EB7">
        <w:rPr>
          <w:rFonts w:ascii="Arial" w:hAnsi="Arial" w:cs="Arial"/>
          <w:sz w:val="24"/>
          <w:szCs w:val="24"/>
        </w:rPr>
        <w:t>n the appellants to provide evidence of a competitive overlap. To that effect, the respondents argued that the</w:t>
      </w:r>
      <w:r w:rsidR="005D3D9D" w:rsidRPr="009B6EB7">
        <w:rPr>
          <w:rFonts w:ascii="Arial" w:hAnsi="Arial" w:cs="Arial"/>
          <w:sz w:val="24"/>
          <w:szCs w:val="24"/>
        </w:rPr>
        <w:t xml:space="preserve"> business</w:t>
      </w:r>
      <w:r w:rsidR="00EE5C65" w:rsidRPr="009B6EB7">
        <w:rPr>
          <w:rFonts w:ascii="Arial" w:hAnsi="Arial" w:cs="Arial"/>
          <w:sz w:val="24"/>
          <w:szCs w:val="24"/>
        </w:rPr>
        <w:t xml:space="preserve"> models of Chemex and Red Alert, respectively, were different, such that the entities were not in competition with each other. As already indicated, the court disagrees. </w:t>
      </w:r>
      <w:r w:rsidR="0045033D" w:rsidRPr="009B6EB7">
        <w:rPr>
          <w:rFonts w:ascii="Arial" w:hAnsi="Arial" w:cs="Arial"/>
          <w:sz w:val="24"/>
          <w:szCs w:val="24"/>
        </w:rPr>
        <w:t xml:space="preserve">Upon the basis of the case law to which the parties referred, the court is satisfied that the competitive overlap between the entities is substantial. </w:t>
      </w:r>
      <w:r w:rsidR="00C24B9F" w:rsidRPr="009B6EB7">
        <w:rPr>
          <w:rFonts w:ascii="Arial" w:hAnsi="Arial" w:cs="Arial"/>
          <w:sz w:val="24"/>
          <w:szCs w:val="24"/>
        </w:rPr>
        <w:t xml:space="preserve">The court </w:t>
      </w:r>
      <w:r w:rsidR="00C24B9F" w:rsidRPr="009B6EB7">
        <w:rPr>
          <w:rFonts w:ascii="Arial" w:hAnsi="Arial" w:cs="Arial"/>
          <w:sz w:val="24"/>
          <w:szCs w:val="24"/>
        </w:rPr>
        <w:lastRenderedPageBreak/>
        <w:t xml:space="preserve">respectfully differs from the findings of the court </w:t>
      </w:r>
      <w:r w:rsidR="00C24B9F" w:rsidRPr="009B6EB7">
        <w:rPr>
          <w:rFonts w:ascii="Arial" w:hAnsi="Arial" w:cs="Arial"/>
          <w:i/>
          <w:iCs/>
          <w:sz w:val="24"/>
          <w:szCs w:val="24"/>
        </w:rPr>
        <w:t>a quo</w:t>
      </w:r>
      <w:r w:rsidR="00C24B9F" w:rsidRPr="009B6EB7">
        <w:rPr>
          <w:rFonts w:ascii="Arial" w:hAnsi="Arial" w:cs="Arial"/>
          <w:sz w:val="24"/>
          <w:szCs w:val="24"/>
        </w:rPr>
        <w:t xml:space="preserve"> in relation to </w:t>
      </w:r>
      <w:r w:rsidR="00F81D98" w:rsidRPr="009B6EB7">
        <w:rPr>
          <w:rFonts w:ascii="Arial" w:hAnsi="Arial" w:cs="Arial"/>
          <w:sz w:val="24"/>
          <w:szCs w:val="24"/>
        </w:rPr>
        <w:t>the nature and extent of any</w:t>
      </w:r>
      <w:r w:rsidR="00C24B9F" w:rsidRPr="009B6EB7">
        <w:rPr>
          <w:rFonts w:ascii="Arial" w:hAnsi="Arial" w:cs="Arial"/>
          <w:sz w:val="24"/>
          <w:szCs w:val="24"/>
        </w:rPr>
        <w:t xml:space="preserve"> distinguishing features.</w:t>
      </w:r>
    </w:p>
    <w:p w14:paraId="771E0B61" w14:textId="77777777" w:rsidR="00CF09DB" w:rsidRPr="00031FFC" w:rsidRDefault="00CF09DB" w:rsidP="00CF09DB">
      <w:pPr>
        <w:pStyle w:val="ListParagraph"/>
        <w:spacing w:line="360" w:lineRule="auto"/>
        <w:ind w:left="0"/>
        <w:jc w:val="both"/>
        <w:rPr>
          <w:rFonts w:ascii="Arial" w:hAnsi="Arial" w:cs="Arial"/>
          <w:sz w:val="24"/>
          <w:szCs w:val="24"/>
        </w:rPr>
      </w:pPr>
    </w:p>
    <w:p w14:paraId="56A7727C" w14:textId="24A9C888"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[73]</w:t>
      </w:r>
      <w:r w:rsidRPr="00031FFC">
        <w:rPr>
          <w:rFonts w:ascii="Arial" w:hAnsi="Arial" w:cs="Arial"/>
          <w:sz w:val="24"/>
          <w:szCs w:val="24"/>
        </w:rPr>
        <w:tab/>
      </w:r>
      <w:r w:rsidR="0045033D" w:rsidRPr="009B6EB7">
        <w:rPr>
          <w:rFonts w:ascii="Arial" w:hAnsi="Arial" w:cs="Arial"/>
          <w:sz w:val="24"/>
          <w:szCs w:val="24"/>
        </w:rPr>
        <w:t xml:space="preserve">Consequently, the court </w:t>
      </w:r>
      <w:r w:rsidR="00F81D98" w:rsidRPr="009B6EB7">
        <w:rPr>
          <w:rFonts w:ascii="Arial" w:hAnsi="Arial" w:cs="Arial"/>
          <w:sz w:val="24"/>
          <w:szCs w:val="24"/>
        </w:rPr>
        <w:t xml:space="preserve">finds </w:t>
      </w:r>
      <w:r w:rsidR="00FD6FDE" w:rsidRPr="009B6EB7">
        <w:rPr>
          <w:rFonts w:ascii="Arial" w:hAnsi="Arial" w:cs="Arial"/>
          <w:sz w:val="24"/>
          <w:szCs w:val="24"/>
        </w:rPr>
        <w:t xml:space="preserve">that the appellants have indeed met the requirements for a final interdict against Mr Guest. </w:t>
      </w:r>
      <w:r w:rsidR="0045033D" w:rsidRPr="009B6EB7">
        <w:rPr>
          <w:rFonts w:ascii="Arial" w:hAnsi="Arial" w:cs="Arial"/>
          <w:sz w:val="24"/>
          <w:szCs w:val="24"/>
        </w:rPr>
        <w:t xml:space="preserve"> </w:t>
      </w:r>
      <w:r w:rsidR="00FD6FDE" w:rsidRPr="009B6EB7">
        <w:rPr>
          <w:rFonts w:ascii="Arial" w:hAnsi="Arial" w:cs="Arial"/>
          <w:sz w:val="24"/>
          <w:szCs w:val="24"/>
        </w:rPr>
        <w:t xml:space="preserve">The court </w:t>
      </w:r>
      <w:r w:rsidR="00F81D98" w:rsidRPr="009B6EB7">
        <w:rPr>
          <w:rFonts w:ascii="Arial" w:hAnsi="Arial" w:cs="Arial"/>
          <w:sz w:val="24"/>
          <w:szCs w:val="24"/>
        </w:rPr>
        <w:t>does not find</w:t>
      </w:r>
      <w:r w:rsidR="00FD6FDE" w:rsidRPr="009B6EB7">
        <w:rPr>
          <w:rFonts w:ascii="Arial" w:hAnsi="Arial" w:cs="Arial"/>
          <w:sz w:val="24"/>
          <w:szCs w:val="24"/>
        </w:rPr>
        <w:t>, however, that there is a basis upon which to grant the same relief against Red Alert. There is</w:t>
      </w:r>
      <w:r w:rsidR="0056072A" w:rsidRPr="009B6EB7">
        <w:rPr>
          <w:rFonts w:ascii="Arial" w:hAnsi="Arial" w:cs="Arial"/>
          <w:sz w:val="24"/>
          <w:szCs w:val="24"/>
        </w:rPr>
        <w:t>, firstly,</w:t>
      </w:r>
      <w:r w:rsidR="00FD6FDE" w:rsidRPr="009B6EB7">
        <w:rPr>
          <w:rFonts w:ascii="Arial" w:hAnsi="Arial" w:cs="Arial"/>
          <w:sz w:val="24"/>
          <w:szCs w:val="24"/>
        </w:rPr>
        <w:t xml:space="preserve"> no contractual right that the appellants can enforce; the</w:t>
      </w:r>
      <w:r w:rsidR="0056072A" w:rsidRPr="009B6EB7">
        <w:rPr>
          <w:rFonts w:ascii="Arial" w:hAnsi="Arial" w:cs="Arial"/>
          <w:sz w:val="24"/>
          <w:szCs w:val="24"/>
        </w:rPr>
        <w:t xml:space="preserve">re is, secondly, merit in </w:t>
      </w:r>
      <w:r w:rsidR="0083185A" w:rsidRPr="009B6EB7">
        <w:rPr>
          <w:rFonts w:ascii="Arial" w:hAnsi="Arial" w:cs="Arial"/>
          <w:sz w:val="24"/>
          <w:szCs w:val="24"/>
        </w:rPr>
        <w:t>the contention</w:t>
      </w:r>
      <w:r w:rsidR="00FD6FDE" w:rsidRPr="009B6EB7">
        <w:rPr>
          <w:rFonts w:ascii="Arial" w:hAnsi="Arial" w:cs="Arial"/>
          <w:sz w:val="24"/>
          <w:szCs w:val="24"/>
        </w:rPr>
        <w:t xml:space="preserve"> that a cause of action grounded in delict require</w:t>
      </w:r>
      <w:r w:rsidR="0056072A" w:rsidRPr="009B6EB7">
        <w:rPr>
          <w:rFonts w:ascii="Arial" w:hAnsi="Arial" w:cs="Arial"/>
          <w:sz w:val="24"/>
          <w:szCs w:val="24"/>
        </w:rPr>
        <w:t>s</w:t>
      </w:r>
      <w:r w:rsidR="00FD6FDE" w:rsidRPr="009B6EB7">
        <w:rPr>
          <w:rFonts w:ascii="Arial" w:hAnsi="Arial" w:cs="Arial"/>
          <w:sz w:val="24"/>
          <w:szCs w:val="24"/>
        </w:rPr>
        <w:t xml:space="preserve"> the appellants to demonstrate that Red Alert made</w:t>
      </w:r>
      <w:r w:rsidR="00426010" w:rsidRPr="009B6EB7">
        <w:rPr>
          <w:rFonts w:ascii="Arial" w:hAnsi="Arial" w:cs="Arial"/>
          <w:sz w:val="24"/>
          <w:szCs w:val="24"/>
        </w:rPr>
        <w:t xml:space="preserve"> or </w:t>
      </w:r>
      <w:r w:rsidR="00213AA7" w:rsidRPr="009B6EB7">
        <w:rPr>
          <w:rFonts w:ascii="Arial" w:hAnsi="Arial" w:cs="Arial"/>
          <w:sz w:val="24"/>
          <w:szCs w:val="24"/>
        </w:rPr>
        <w:t xml:space="preserve">is likely </w:t>
      </w:r>
      <w:r w:rsidR="00426010" w:rsidRPr="009B6EB7">
        <w:rPr>
          <w:rFonts w:ascii="Arial" w:hAnsi="Arial" w:cs="Arial"/>
          <w:sz w:val="24"/>
          <w:szCs w:val="24"/>
        </w:rPr>
        <w:t>to make</w:t>
      </w:r>
      <w:r w:rsidR="00FD6FDE" w:rsidRPr="009B6EB7">
        <w:rPr>
          <w:rFonts w:ascii="Arial" w:hAnsi="Arial" w:cs="Arial"/>
          <w:sz w:val="24"/>
          <w:szCs w:val="24"/>
        </w:rPr>
        <w:t xml:space="preserve"> improper use of confidential information, knowingly or otherwise.</w:t>
      </w:r>
      <w:r w:rsidR="0056072A" w:rsidRPr="009B6EB7">
        <w:rPr>
          <w:rFonts w:ascii="Arial" w:hAnsi="Arial" w:cs="Arial"/>
          <w:sz w:val="24"/>
          <w:szCs w:val="24"/>
        </w:rPr>
        <w:t xml:space="preserve"> No evidence </w:t>
      </w:r>
      <w:r w:rsidR="00F02ADB" w:rsidRPr="009B6EB7">
        <w:rPr>
          <w:rFonts w:ascii="Arial" w:hAnsi="Arial" w:cs="Arial"/>
          <w:sz w:val="24"/>
          <w:szCs w:val="24"/>
        </w:rPr>
        <w:t>of either actual or</w:t>
      </w:r>
      <w:r w:rsidR="00C725D4" w:rsidRPr="009B6EB7">
        <w:rPr>
          <w:rFonts w:ascii="Arial" w:hAnsi="Arial" w:cs="Arial"/>
          <w:sz w:val="24"/>
          <w:szCs w:val="24"/>
        </w:rPr>
        <w:t xml:space="preserve"> likely</w:t>
      </w:r>
      <w:r w:rsidR="00042880" w:rsidRPr="009B6EB7">
        <w:rPr>
          <w:rFonts w:ascii="Arial" w:hAnsi="Arial" w:cs="Arial"/>
          <w:sz w:val="24"/>
          <w:szCs w:val="24"/>
        </w:rPr>
        <w:t xml:space="preserve"> use</w:t>
      </w:r>
      <w:r w:rsidR="00303AF4" w:rsidRPr="009B6EB7">
        <w:rPr>
          <w:rFonts w:ascii="Arial" w:hAnsi="Arial" w:cs="Arial"/>
          <w:sz w:val="24"/>
          <w:szCs w:val="24"/>
        </w:rPr>
        <w:t xml:space="preserve"> </w:t>
      </w:r>
      <w:r w:rsidR="0056072A" w:rsidRPr="009B6EB7">
        <w:rPr>
          <w:rFonts w:ascii="Arial" w:hAnsi="Arial" w:cs="Arial"/>
          <w:sz w:val="24"/>
          <w:szCs w:val="24"/>
        </w:rPr>
        <w:t>was presented</w:t>
      </w:r>
      <w:r w:rsidR="00303AF4" w:rsidRPr="009B6EB7">
        <w:rPr>
          <w:rFonts w:ascii="Arial" w:hAnsi="Arial" w:cs="Arial"/>
          <w:sz w:val="24"/>
          <w:szCs w:val="24"/>
        </w:rPr>
        <w:t xml:space="preserve">. </w:t>
      </w:r>
      <w:r w:rsidR="0056072A" w:rsidRPr="009B6EB7">
        <w:rPr>
          <w:rFonts w:ascii="Arial" w:hAnsi="Arial" w:cs="Arial"/>
          <w:sz w:val="24"/>
          <w:szCs w:val="24"/>
        </w:rPr>
        <w:t>It is, furthermore, not sufficient for the appellants merely to allege that Red Alert served as a vessel for Mr Guest’s conduct.</w:t>
      </w:r>
    </w:p>
    <w:p w14:paraId="70DFEEC3" w14:textId="77777777" w:rsidR="001908A4" w:rsidRPr="00031FFC" w:rsidRDefault="001908A4" w:rsidP="001908A4">
      <w:pPr>
        <w:pStyle w:val="ListParagraph"/>
        <w:rPr>
          <w:rFonts w:ascii="Arial" w:hAnsi="Arial" w:cs="Arial"/>
          <w:sz w:val="24"/>
          <w:szCs w:val="24"/>
        </w:rPr>
      </w:pPr>
    </w:p>
    <w:p w14:paraId="59D7A85F" w14:textId="4BB3C0F4" w:rsidR="001908A4"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[74]</w:t>
      </w:r>
      <w:r w:rsidRPr="00031FFC">
        <w:rPr>
          <w:rFonts w:ascii="Arial" w:hAnsi="Arial" w:cs="Arial"/>
          <w:sz w:val="24"/>
          <w:szCs w:val="24"/>
        </w:rPr>
        <w:tab/>
      </w:r>
      <w:r w:rsidR="00C24B9F" w:rsidRPr="009B6EB7">
        <w:rPr>
          <w:rFonts w:ascii="Arial" w:hAnsi="Arial" w:cs="Arial"/>
          <w:sz w:val="24"/>
          <w:szCs w:val="24"/>
        </w:rPr>
        <w:t>Regarding</w:t>
      </w:r>
      <w:r w:rsidR="0056072A" w:rsidRPr="009B6EB7">
        <w:rPr>
          <w:rFonts w:ascii="Arial" w:hAnsi="Arial" w:cs="Arial"/>
          <w:sz w:val="24"/>
          <w:szCs w:val="24"/>
        </w:rPr>
        <w:t xml:space="preserve"> costs, </w:t>
      </w:r>
      <w:r w:rsidR="00C24B9F" w:rsidRPr="009B6EB7">
        <w:rPr>
          <w:rFonts w:ascii="Arial" w:hAnsi="Arial" w:cs="Arial"/>
          <w:sz w:val="24"/>
          <w:szCs w:val="24"/>
        </w:rPr>
        <w:t>the appellants are successful in relation to the relief sought against Mr Guest but not against Red Alert. There is no reason why costs should not follow the result in both instances</w:t>
      </w:r>
      <w:r w:rsidR="007F7D73" w:rsidRPr="009B6EB7">
        <w:rPr>
          <w:rFonts w:ascii="Arial" w:hAnsi="Arial" w:cs="Arial"/>
          <w:sz w:val="24"/>
          <w:szCs w:val="24"/>
        </w:rPr>
        <w:t>. These should include the costs of two counsel, given the complexity of the matter.</w:t>
      </w:r>
    </w:p>
    <w:p w14:paraId="41633654" w14:textId="77777777" w:rsidR="001908A4" w:rsidRPr="00031FFC" w:rsidRDefault="001908A4" w:rsidP="001908A4">
      <w:pPr>
        <w:pStyle w:val="ListParagraph"/>
        <w:rPr>
          <w:rFonts w:ascii="Arial" w:hAnsi="Arial" w:cs="Arial"/>
          <w:sz w:val="24"/>
          <w:szCs w:val="24"/>
        </w:rPr>
      </w:pPr>
    </w:p>
    <w:p w14:paraId="16280AFC" w14:textId="4DA12282" w:rsidR="00C24B9F" w:rsidRPr="009B6EB7" w:rsidRDefault="009B6EB7" w:rsidP="009B6EB7">
      <w:pPr>
        <w:spacing w:line="360" w:lineRule="auto"/>
        <w:jc w:val="both"/>
        <w:rPr>
          <w:rFonts w:ascii="Arial" w:hAnsi="Arial" w:cs="Arial"/>
          <w:sz w:val="24"/>
          <w:szCs w:val="24"/>
        </w:rPr>
      </w:pPr>
      <w:r w:rsidRPr="00031FFC">
        <w:rPr>
          <w:rFonts w:ascii="Arial" w:hAnsi="Arial" w:cs="Arial"/>
          <w:sz w:val="24"/>
          <w:szCs w:val="24"/>
        </w:rPr>
        <w:t>[75]</w:t>
      </w:r>
      <w:r w:rsidRPr="00031FFC">
        <w:rPr>
          <w:rFonts w:ascii="Arial" w:hAnsi="Arial" w:cs="Arial"/>
          <w:sz w:val="24"/>
          <w:szCs w:val="24"/>
        </w:rPr>
        <w:tab/>
      </w:r>
      <w:r w:rsidR="00C24B9F" w:rsidRPr="009B6EB7">
        <w:rPr>
          <w:rFonts w:ascii="Arial" w:hAnsi="Arial" w:cs="Arial"/>
          <w:sz w:val="24"/>
          <w:szCs w:val="24"/>
        </w:rPr>
        <w:t>The following order is made:</w:t>
      </w:r>
    </w:p>
    <w:p w14:paraId="193A308E" w14:textId="77777777" w:rsidR="00A03F7E" w:rsidRPr="00031FFC" w:rsidRDefault="00A03F7E" w:rsidP="008F7ADA">
      <w:pPr>
        <w:pStyle w:val="ListParagraph"/>
        <w:spacing w:line="360" w:lineRule="auto"/>
        <w:jc w:val="both"/>
        <w:rPr>
          <w:rFonts w:ascii="Arial" w:hAnsi="Arial" w:cs="Arial"/>
          <w:sz w:val="24"/>
          <w:szCs w:val="24"/>
        </w:rPr>
      </w:pPr>
    </w:p>
    <w:p w14:paraId="6865643E" w14:textId="6EB902E9" w:rsidR="00303AF4" w:rsidRPr="009B6EB7" w:rsidRDefault="009B6EB7" w:rsidP="009B6EB7">
      <w:pPr>
        <w:spacing w:line="360" w:lineRule="auto"/>
        <w:ind w:left="1418" w:hanging="709"/>
        <w:jc w:val="both"/>
        <w:rPr>
          <w:rFonts w:ascii="Arial" w:hAnsi="Arial" w:cs="Arial"/>
          <w:sz w:val="24"/>
          <w:szCs w:val="24"/>
        </w:rPr>
      </w:pPr>
      <w:r w:rsidRPr="00031FFC">
        <w:rPr>
          <w:rFonts w:ascii="Arial" w:hAnsi="Arial" w:cs="Arial"/>
          <w:sz w:val="24"/>
          <w:szCs w:val="24"/>
        </w:rPr>
        <w:t>(a)</w:t>
      </w:r>
      <w:r w:rsidRPr="00031FFC">
        <w:rPr>
          <w:rFonts w:ascii="Arial" w:hAnsi="Arial" w:cs="Arial"/>
          <w:sz w:val="24"/>
          <w:szCs w:val="24"/>
        </w:rPr>
        <w:tab/>
      </w:r>
      <w:r w:rsidR="00A03F7E" w:rsidRPr="009B6EB7">
        <w:rPr>
          <w:rFonts w:ascii="Arial" w:hAnsi="Arial" w:cs="Arial"/>
          <w:sz w:val="24"/>
          <w:szCs w:val="24"/>
        </w:rPr>
        <w:t>t</w:t>
      </w:r>
      <w:r w:rsidR="00303AF4" w:rsidRPr="009B6EB7">
        <w:rPr>
          <w:rFonts w:ascii="Arial" w:hAnsi="Arial" w:cs="Arial"/>
          <w:sz w:val="24"/>
          <w:szCs w:val="24"/>
        </w:rPr>
        <w:t>he appeal with regard to the relief sought against the first respondent is upheld;</w:t>
      </w:r>
    </w:p>
    <w:p w14:paraId="14C38242" w14:textId="77777777" w:rsidR="001908A4" w:rsidRPr="00031FFC" w:rsidRDefault="001908A4" w:rsidP="008F7ADA">
      <w:pPr>
        <w:pStyle w:val="ListParagraph"/>
        <w:spacing w:line="360" w:lineRule="auto"/>
        <w:ind w:left="1418"/>
        <w:jc w:val="both"/>
        <w:rPr>
          <w:rFonts w:ascii="Arial" w:hAnsi="Arial" w:cs="Arial"/>
          <w:sz w:val="24"/>
          <w:szCs w:val="24"/>
        </w:rPr>
      </w:pPr>
    </w:p>
    <w:p w14:paraId="2B68C863" w14:textId="44E2B6F2" w:rsidR="00303AF4" w:rsidRPr="009B6EB7" w:rsidRDefault="009B6EB7" w:rsidP="009B6EB7">
      <w:pPr>
        <w:spacing w:line="360" w:lineRule="auto"/>
        <w:ind w:left="1418" w:hanging="709"/>
        <w:jc w:val="both"/>
        <w:rPr>
          <w:rFonts w:ascii="Arial" w:hAnsi="Arial" w:cs="Arial"/>
          <w:sz w:val="24"/>
          <w:szCs w:val="24"/>
        </w:rPr>
      </w:pPr>
      <w:r w:rsidRPr="00031FFC">
        <w:rPr>
          <w:rFonts w:ascii="Arial" w:hAnsi="Arial" w:cs="Arial"/>
          <w:sz w:val="24"/>
          <w:szCs w:val="24"/>
        </w:rPr>
        <w:t>(b)</w:t>
      </w:r>
      <w:r w:rsidRPr="00031FFC">
        <w:rPr>
          <w:rFonts w:ascii="Arial" w:hAnsi="Arial" w:cs="Arial"/>
          <w:sz w:val="24"/>
          <w:szCs w:val="24"/>
        </w:rPr>
        <w:tab/>
      </w:r>
      <w:r w:rsidR="00A03F7E" w:rsidRPr="009B6EB7">
        <w:rPr>
          <w:rFonts w:ascii="Arial" w:hAnsi="Arial" w:cs="Arial"/>
          <w:sz w:val="24"/>
          <w:szCs w:val="24"/>
        </w:rPr>
        <w:t>t</w:t>
      </w:r>
      <w:r w:rsidR="00303AF4" w:rsidRPr="009B6EB7">
        <w:rPr>
          <w:rFonts w:ascii="Arial" w:hAnsi="Arial" w:cs="Arial"/>
          <w:sz w:val="24"/>
          <w:szCs w:val="24"/>
        </w:rPr>
        <w:t>he appeal with regard to the relief sought against the second respondent is dismissed;</w:t>
      </w:r>
    </w:p>
    <w:p w14:paraId="6DDC5075" w14:textId="77777777" w:rsidR="001908A4" w:rsidRPr="00031FFC" w:rsidRDefault="001908A4" w:rsidP="008F7ADA">
      <w:pPr>
        <w:pStyle w:val="ListParagraph"/>
        <w:jc w:val="both"/>
        <w:rPr>
          <w:rFonts w:ascii="Arial" w:hAnsi="Arial" w:cs="Arial"/>
          <w:sz w:val="24"/>
          <w:szCs w:val="24"/>
        </w:rPr>
      </w:pPr>
    </w:p>
    <w:p w14:paraId="3807982F" w14:textId="110E0804" w:rsidR="00303AF4" w:rsidRPr="009B6EB7" w:rsidRDefault="009B6EB7" w:rsidP="009B6EB7">
      <w:pPr>
        <w:spacing w:line="360" w:lineRule="auto"/>
        <w:ind w:left="1418" w:hanging="709"/>
        <w:jc w:val="both"/>
        <w:rPr>
          <w:rFonts w:ascii="Arial" w:hAnsi="Arial" w:cs="Arial"/>
          <w:sz w:val="24"/>
          <w:szCs w:val="24"/>
        </w:rPr>
      </w:pPr>
      <w:r w:rsidRPr="00031FFC">
        <w:rPr>
          <w:rFonts w:ascii="Arial" w:hAnsi="Arial" w:cs="Arial"/>
          <w:sz w:val="24"/>
          <w:szCs w:val="24"/>
        </w:rPr>
        <w:t>(c)</w:t>
      </w:r>
      <w:r w:rsidRPr="00031FFC">
        <w:rPr>
          <w:rFonts w:ascii="Arial" w:hAnsi="Arial" w:cs="Arial"/>
          <w:sz w:val="24"/>
          <w:szCs w:val="24"/>
        </w:rPr>
        <w:tab/>
      </w:r>
      <w:r w:rsidR="00A03F7E" w:rsidRPr="009B6EB7">
        <w:rPr>
          <w:rFonts w:ascii="Arial" w:hAnsi="Arial" w:cs="Arial"/>
          <w:sz w:val="24"/>
          <w:szCs w:val="24"/>
        </w:rPr>
        <w:t>t</w:t>
      </w:r>
      <w:r w:rsidR="00303AF4" w:rsidRPr="009B6EB7">
        <w:rPr>
          <w:rFonts w:ascii="Arial" w:hAnsi="Arial" w:cs="Arial"/>
          <w:sz w:val="24"/>
          <w:szCs w:val="24"/>
        </w:rPr>
        <w:t xml:space="preserve">he order of the court </w:t>
      </w:r>
      <w:r w:rsidR="00303AF4" w:rsidRPr="009B6EB7">
        <w:rPr>
          <w:rFonts w:ascii="Arial" w:hAnsi="Arial" w:cs="Arial"/>
          <w:i/>
          <w:iCs/>
          <w:sz w:val="24"/>
          <w:szCs w:val="24"/>
        </w:rPr>
        <w:t>a quo</w:t>
      </w:r>
      <w:r w:rsidR="00303AF4" w:rsidRPr="009B6EB7">
        <w:rPr>
          <w:rFonts w:ascii="Arial" w:hAnsi="Arial" w:cs="Arial"/>
          <w:sz w:val="24"/>
          <w:szCs w:val="24"/>
        </w:rPr>
        <w:t xml:space="preserve"> is set aside and replaced with the following:</w:t>
      </w:r>
    </w:p>
    <w:p w14:paraId="16660A55" w14:textId="77777777" w:rsidR="00A03F7E" w:rsidRPr="00031FFC" w:rsidRDefault="00A03F7E" w:rsidP="008F7ADA">
      <w:pPr>
        <w:pStyle w:val="ListParagraph"/>
        <w:spacing w:line="360" w:lineRule="auto"/>
        <w:ind w:left="1440"/>
        <w:jc w:val="both"/>
        <w:rPr>
          <w:rFonts w:ascii="Arial" w:hAnsi="Arial" w:cs="Arial"/>
          <w:sz w:val="24"/>
          <w:szCs w:val="24"/>
        </w:rPr>
      </w:pPr>
    </w:p>
    <w:p w14:paraId="63A72EC0" w14:textId="332E78EB" w:rsidR="004743D5" w:rsidRPr="009B6EB7" w:rsidRDefault="009B6EB7" w:rsidP="009B6EB7">
      <w:pPr>
        <w:spacing w:line="360" w:lineRule="auto"/>
        <w:ind w:left="1985" w:hanging="567"/>
        <w:jc w:val="both"/>
        <w:rPr>
          <w:rFonts w:ascii="Arial" w:hAnsi="Arial" w:cs="Arial"/>
          <w:sz w:val="24"/>
          <w:szCs w:val="24"/>
        </w:rPr>
      </w:pPr>
      <w:r w:rsidRPr="00031FFC">
        <w:rPr>
          <w:rFonts w:ascii="Arial" w:hAnsi="Arial" w:cs="Arial"/>
          <w:sz w:val="24"/>
          <w:szCs w:val="24"/>
        </w:rPr>
        <w:t>(i)</w:t>
      </w:r>
      <w:r w:rsidRPr="00031FFC">
        <w:rPr>
          <w:rFonts w:ascii="Arial" w:hAnsi="Arial" w:cs="Arial"/>
          <w:sz w:val="24"/>
          <w:szCs w:val="24"/>
        </w:rPr>
        <w:tab/>
      </w:r>
      <w:r w:rsidR="004743D5" w:rsidRPr="009B6EB7">
        <w:rPr>
          <w:rFonts w:ascii="Arial" w:hAnsi="Arial" w:cs="Arial"/>
          <w:sz w:val="24"/>
          <w:szCs w:val="24"/>
        </w:rPr>
        <w:t>until (and including) 30 June 2025, t</w:t>
      </w:r>
      <w:r w:rsidR="00303AF4" w:rsidRPr="009B6EB7">
        <w:rPr>
          <w:rFonts w:ascii="Arial" w:hAnsi="Arial" w:cs="Arial"/>
          <w:sz w:val="24"/>
          <w:szCs w:val="24"/>
        </w:rPr>
        <w:t>he first respondent is interdicted and restrained</w:t>
      </w:r>
      <w:r w:rsidR="004743D5" w:rsidRPr="009B6EB7">
        <w:rPr>
          <w:rFonts w:ascii="Arial" w:hAnsi="Arial" w:cs="Arial"/>
          <w:sz w:val="24"/>
          <w:szCs w:val="24"/>
        </w:rPr>
        <w:t xml:space="preserve"> </w:t>
      </w:r>
      <w:r w:rsidR="00303AF4" w:rsidRPr="009B6EB7">
        <w:rPr>
          <w:rFonts w:ascii="Arial" w:hAnsi="Arial" w:cs="Arial"/>
          <w:sz w:val="24"/>
          <w:szCs w:val="24"/>
        </w:rPr>
        <w:t>from</w:t>
      </w:r>
      <w:r w:rsidR="004743D5" w:rsidRPr="009B6EB7">
        <w:rPr>
          <w:rFonts w:ascii="Arial" w:hAnsi="Arial" w:cs="Arial"/>
          <w:sz w:val="24"/>
          <w:szCs w:val="24"/>
        </w:rPr>
        <w:t xml:space="preserve"> </w:t>
      </w:r>
      <w:r w:rsidR="00303AF4" w:rsidRPr="009B6EB7">
        <w:rPr>
          <w:rFonts w:ascii="Arial" w:hAnsi="Arial" w:cs="Arial"/>
          <w:sz w:val="24"/>
          <w:szCs w:val="24"/>
        </w:rPr>
        <w:t xml:space="preserve">being engaged or employed by or having an interest in </w:t>
      </w:r>
      <w:r w:rsidR="00F81D98" w:rsidRPr="009B6EB7">
        <w:rPr>
          <w:rFonts w:ascii="Arial" w:hAnsi="Arial" w:cs="Arial"/>
          <w:sz w:val="24"/>
          <w:szCs w:val="24"/>
        </w:rPr>
        <w:t xml:space="preserve">the second respondent or </w:t>
      </w:r>
      <w:r w:rsidR="00303AF4" w:rsidRPr="009B6EB7">
        <w:rPr>
          <w:rFonts w:ascii="Arial" w:hAnsi="Arial" w:cs="Arial"/>
          <w:sz w:val="24"/>
          <w:szCs w:val="24"/>
        </w:rPr>
        <w:t>any business or undertaking that carries on a business similar to that carried on by the first appellant within those municipal boundaries where the first appellant</w:t>
      </w:r>
      <w:r w:rsidR="004743D5" w:rsidRPr="009B6EB7">
        <w:rPr>
          <w:rFonts w:ascii="Arial" w:hAnsi="Arial" w:cs="Arial"/>
          <w:sz w:val="24"/>
          <w:szCs w:val="24"/>
        </w:rPr>
        <w:t xml:space="preserve"> carried on business in any manner for the 24-month period immediately prior to 31 July 2020, viz.</w:t>
      </w:r>
    </w:p>
    <w:p w14:paraId="1FB96DB8" w14:textId="77777777" w:rsidR="00A03F7E" w:rsidRPr="00031FFC" w:rsidRDefault="00A03F7E" w:rsidP="008F7ADA">
      <w:pPr>
        <w:pStyle w:val="ListParagraph"/>
        <w:spacing w:line="360" w:lineRule="auto"/>
        <w:ind w:left="2160"/>
        <w:jc w:val="both"/>
        <w:rPr>
          <w:rFonts w:ascii="Arial" w:hAnsi="Arial" w:cs="Arial"/>
          <w:sz w:val="24"/>
          <w:szCs w:val="24"/>
        </w:rPr>
      </w:pPr>
    </w:p>
    <w:p w14:paraId="27B2E9E3" w14:textId="7D8B12B0" w:rsidR="004743D5"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Amahlathi Local Municipality;</w:t>
      </w:r>
    </w:p>
    <w:p w14:paraId="15C36C3B" w14:textId="3B415D88"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Blue Crane Route Local Municipality;</w:t>
      </w:r>
    </w:p>
    <w:p w14:paraId="051BC0D8" w14:textId="67BEC052"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Buffalo City Metropolitan Municipality;</w:t>
      </w:r>
    </w:p>
    <w:p w14:paraId="14C1D4CB" w14:textId="31471CFE"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Dr Beyers Naude Local Municipality;</w:t>
      </w:r>
    </w:p>
    <w:p w14:paraId="6B0D3DAB" w14:textId="298729E7"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Elundini Local Municipality;</w:t>
      </w:r>
    </w:p>
    <w:p w14:paraId="7603C5B9" w14:textId="13342E6D"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Emalahleni Local Municipality;</w:t>
      </w:r>
    </w:p>
    <w:p w14:paraId="09C54D1C" w14:textId="5EC4E720"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Engcobo Local Municipality;</w:t>
      </w:r>
    </w:p>
    <w:p w14:paraId="712BEB3C" w14:textId="748C0F62"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Enoch Mgijima Local Municipality;</w:t>
      </w:r>
    </w:p>
    <w:p w14:paraId="3CEC4240" w14:textId="25FF1CDB"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Great Kei Local Municipality;</w:t>
      </w:r>
    </w:p>
    <w:p w14:paraId="4EB668FE" w14:textId="7EFEEC37"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Intsika Yethu Local Municipality;</w:t>
      </w:r>
    </w:p>
    <w:p w14:paraId="46E6A6A6" w14:textId="723F270D"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Inxuba Yethemba Local Municipality;</w:t>
      </w:r>
    </w:p>
    <w:p w14:paraId="199407FF" w14:textId="146DE411"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King Sabata Dalindyebo Local Municipality;</w:t>
      </w:r>
    </w:p>
    <w:p w14:paraId="5F03855F" w14:textId="178A5AC1"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Kouga Local Municipality;</w:t>
      </w:r>
    </w:p>
    <w:p w14:paraId="25206F25" w14:textId="72AACF85"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Koukamma Local Municipality;</w:t>
      </w:r>
    </w:p>
    <w:p w14:paraId="6854ABEA" w14:textId="4AAE2737"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Makana Local Municipality;</w:t>
      </w:r>
    </w:p>
    <w:p w14:paraId="1354292B" w14:textId="3D531F51"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lastRenderedPageBreak/>
        <w:t></w:t>
      </w:r>
      <w:r w:rsidRPr="00031FFC">
        <w:rPr>
          <w:rFonts w:ascii="Symbol" w:hAnsi="Symbol" w:cs="Arial"/>
          <w:sz w:val="24"/>
          <w:szCs w:val="24"/>
        </w:rPr>
        <w:tab/>
      </w:r>
      <w:r w:rsidR="00B27BCC" w:rsidRPr="009B6EB7">
        <w:rPr>
          <w:rFonts w:ascii="Arial" w:hAnsi="Arial" w:cs="Arial"/>
          <w:sz w:val="24"/>
          <w:szCs w:val="24"/>
        </w:rPr>
        <w:t>Matatiele Local Municipality;</w:t>
      </w:r>
    </w:p>
    <w:p w14:paraId="1EBC2573" w14:textId="3E7196F5"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Mbhashe Local Municipality;</w:t>
      </w:r>
    </w:p>
    <w:p w14:paraId="32F5638D" w14:textId="730B4185"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Mhlontlo Local Municipality;</w:t>
      </w:r>
    </w:p>
    <w:p w14:paraId="0AF8E999" w14:textId="5953DD7B"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Mnquma Local Municipality;</w:t>
      </w:r>
    </w:p>
    <w:p w14:paraId="0A26501A" w14:textId="3AD9DDF6"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Ndlambe Local Municipality;</w:t>
      </w:r>
    </w:p>
    <w:p w14:paraId="7ADBADCA" w14:textId="7001B05B"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B27BCC" w:rsidRPr="009B6EB7">
        <w:rPr>
          <w:rFonts w:ascii="Arial" w:hAnsi="Arial" w:cs="Arial"/>
          <w:sz w:val="24"/>
          <w:szCs w:val="24"/>
        </w:rPr>
        <w:t>Nelson Mandela Metropolitan Municipality;</w:t>
      </w:r>
    </w:p>
    <w:p w14:paraId="58A70F00" w14:textId="6DE39ADC" w:rsidR="00B27BCC"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Ngqushwa Local Municipality;</w:t>
      </w:r>
    </w:p>
    <w:p w14:paraId="1BF74D24" w14:textId="43FE4885"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Ntabankulu Local Municipality;</w:t>
      </w:r>
    </w:p>
    <w:p w14:paraId="79572542" w14:textId="2FCE0F87"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Nyandeni Local Municipality;</w:t>
      </w:r>
    </w:p>
    <w:p w14:paraId="1F3D443F" w14:textId="2C25228B"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Port St Johns Local Municipality;</w:t>
      </w:r>
    </w:p>
    <w:p w14:paraId="0C6FF4B0" w14:textId="4E3C4CD0"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Raymond Mhlaba Local Municipality;</w:t>
      </w:r>
    </w:p>
    <w:p w14:paraId="3E0AC892" w14:textId="6AA30808"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Sakhisizwe Local Municipality;</w:t>
      </w:r>
    </w:p>
    <w:p w14:paraId="3EBD7190" w14:textId="53F97EEB"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Senqu Local Municipality;</w:t>
      </w:r>
    </w:p>
    <w:p w14:paraId="04BA8A11" w14:textId="29F1FDBD"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Sundays River Local Municipality;</w:t>
      </w:r>
    </w:p>
    <w:p w14:paraId="034F5F1C" w14:textId="33F77D28"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Umzimvubu Local Municipality;</w:t>
      </w:r>
    </w:p>
    <w:p w14:paraId="170059BD" w14:textId="09B1C15D"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Walter Sisulu Local Municipality; and</w:t>
      </w:r>
    </w:p>
    <w:p w14:paraId="037F73B8" w14:textId="59FFA6D7" w:rsidR="00A03F7E" w:rsidRPr="009B6EB7" w:rsidRDefault="009B6EB7" w:rsidP="009B6EB7">
      <w:pPr>
        <w:spacing w:line="360" w:lineRule="auto"/>
        <w:ind w:left="2345" w:hanging="360"/>
        <w:jc w:val="both"/>
        <w:rPr>
          <w:rFonts w:ascii="Arial" w:hAnsi="Arial" w:cs="Arial"/>
          <w:sz w:val="24"/>
          <w:szCs w:val="24"/>
        </w:rPr>
      </w:pPr>
      <w:r w:rsidRPr="00031FFC">
        <w:rPr>
          <w:rFonts w:ascii="Symbol" w:hAnsi="Symbol" w:cs="Arial"/>
          <w:sz w:val="24"/>
          <w:szCs w:val="24"/>
        </w:rPr>
        <w:t></w:t>
      </w:r>
      <w:r w:rsidRPr="00031FFC">
        <w:rPr>
          <w:rFonts w:ascii="Symbol" w:hAnsi="Symbol" w:cs="Arial"/>
          <w:sz w:val="24"/>
          <w:szCs w:val="24"/>
        </w:rPr>
        <w:tab/>
      </w:r>
      <w:r w:rsidR="00A03F7E" w:rsidRPr="009B6EB7">
        <w:rPr>
          <w:rFonts w:ascii="Arial" w:hAnsi="Arial" w:cs="Arial"/>
          <w:sz w:val="24"/>
          <w:szCs w:val="24"/>
        </w:rPr>
        <w:t>Winnie Madikizela-Mandela Local Municipality;</w:t>
      </w:r>
    </w:p>
    <w:p w14:paraId="4B870BF8" w14:textId="77777777" w:rsidR="007F7D73" w:rsidRPr="00031FFC" w:rsidRDefault="007F7D73" w:rsidP="008F7ADA">
      <w:pPr>
        <w:pStyle w:val="ListParagraph"/>
        <w:spacing w:line="360" w:lineRule="auto"/>
        <w:ind w:left="1440"/>
        <w:jc w:val="both"/>
        <w:rPr>
          <w:rFonts w:ascii="Arial" w:hAnsi="Arial" w:cs="Arial"/>
          <w:sz w:val="24"/>
          <w:szCs w:val="24"/>
        </w:rPr>
      </w:pPr>
    </w:p>
    <w:p w14:paraId="16E316CB" w14:textId="376B9096" w:rsidR="00A03F7E" w:rsidRPr="009B6EB7" w:rsidRDefault="009B6EB7" w:rsidP="009B6EB7">
      <w:pPr>
        <w:spacing w:line="360" w:lineRule="auto"/>
        <w:ind w:left="1985" w:hanging="567"/>
        <w:jc w:val="both"/>
        <w:rPr>
          <w:rFonts w:ascii="Arial" w:hAnsi="Arial" w:cs="Arial"/>
          <w:sz w:val="24"/>
          <w:szCs w:val="24"/>
        </w:rPr>
      </w:pPr>
      <w:r w:rsidRPr="00031FFC">
        <w:rPr>
          <w:rFonts w:ascii="Arial" w:hAnsi="Arial" w:cs="Arial"/>
          <w:sz w:val="24"/>
          <w:szCs w:val="24"/>
        </w:rPr>
        <w:t>(ii)</w:t>
      </w:r>
      <w:r w:rsidRPr="00031FFC">
        <w:rPr>
          <w:rFonts w:ascii="Arial" w:hAnsi="Arial" w:cs="Arial"/>
          <w:sz w:val="24"/>
          <w:szCs w:val="24"/>
        </w:rPr>
        <w:tab/>
      </w:r>
      <w:r w:rsidR="007F7D73" w:rsidRPr="009B6EB7">
        <w:rPr>
          <w:rFonts w:ascii="Arial" w:hAnsi="Arial" w:cs="Arial"/>
          <w:sz w:val="24"/>
          <w:szCs w:val="24"/>
        </w:rPr>
        <w:t>t</w:t>
      </w:r>
      <w:r w:rsidR="00A03F7E" w:rsidRPr="009B6EB7">
        <w:rPr>
          <w:rFonts w:ascii="Arial" w:hAnsi="Arial" w:cs="Arial"/>
          <w:sz w:val="24"/>
          <w:szCs w:val="24"/>
        </w:rPr>
        <w:t>he first respondent is liable for and is directed to pay the appellants’ costs</w:t>
      </w:r>
      <w:r w:rsidR="007F7D73" w:rsidRPr="009B6EB7">
        <w:rPr>
          <w:rFonts w:ascii="Arial" w:hAnsi="Arial" w:cs="Arial"/>
          <w:sz w:val="24"/>
          <w:szCs w:val="24"/>
        </w:rPr>
        <w:t>, including those of two counsel</w:t>
      </w:r>
      <w:r w:rsidR="00A03F7E" w:rsidRPr="009B6EB7">
        <w:rPr>
          <w:rFonts w:ascii="Arial" w:hAnsi="Arial" w:cs="Arial"/>
          <w:sz w:val="24"/>
          <w:szCs w:val="24"/>
        </w:rPr>
        <w:t>; and</w:t>
      </w:r>
    </w:p>
    <w:p w14:paraId="20EE1A3A" w14:textId="77777777" w:rsidR="007F7D73" w:rsidRPr="00031FFC" w:rsidRDefault="007F7D73" w:rsidP="008F7ADA">
      <w:pPr>
        <w:pStyle w:val="ListParagraph"/>
        <w:spacing w:line="360" w:lineRule="auto"/>
        <w:ind w:left="1440"/>
        <w:jc w:val="both"/>
        <w:rPr>
          <w:rFonts w:ascii="Arial" w:hAnsi="Arial" w:cs="Arial"/>
          <w:sz w:val="24"/>
          <w:szCs w:val="24"/>
        </w:rPr>
      </w:pPr>
    </w:p>
    <w:p w14:paraId="6970EA8D" w14:textId="694B5122" w:rsidR="00A03F7E" w:rsidRPr="009B6EB7" w:rsidRDefault="009B6EB7" w:rsidP="009B6EB7">
      <w:pPr>
        <w:spacing w:line="360" w:lineRule="auto"/>
        <w:ind w:left="1985" w:hanging="567"/>
        <w:jc w:val="both"/>
        <w:rPr>
          <w:rFonts w:ascii="Arial" w:hAnsi="Arial" w:cs="Arial"/>
          <w:sz w:val="24"/>
          <w:szCs w:val="24"/>
        </w:rPr>
      </w:pPr>
      <w:r w:rsidRPr="00031FFC">
        <w:rPr>
          <w:rFonts w:ascii="Arial" w:hAnsi="Arial" w:cs="Arial"/>
          <w:sz w:val="24"/>
          <w:szCs w:val="24"/>
        </w:rPr>
        <w:lastRenderedPageBreak/>
        <w:t>(iii)</w:t>
      </w:r>
      <w:r w:rsidRPr="00031FFC">
        <w:rPr>
          <w:rFonts w:ascii="Arial" w:hAnsi="Arial" w:cs="Arial"/>
          <w:sz w:val="24"/>
          <w:szCs w:val="24"/>
        </w:rPr>
        <w:tab/>
      </w:r>
      <w:r w:rsidR="007F7D73" w:rsidRPr="009B6EB7">
        <w:rPr>
          <w:rFonts w:ascii="Arial" w:hAnsi="Arial" w:cs="Arial"/>
          <w:sz w:val="24"/>
          <w:szCs w:val="24"/>
        </w:rPr>
        <w:t>t</w:t>
      </w:r>
      <w:r w:rsidR="00A03F7E" w:rsidRPr="009B6EB7">
        <w:rPr>
          <w:rFonts w:ascii="Arial" w:hAnsi="Arial" w:cs="Arial"/>
          <w:sz w:val="24"/>
          <w:szCs w:val="24"/>
        </w:rPr>
        <w:t xml:space="preserve">he </w:t>
      </w:r>
      <w:r w:rsidR="007F7D73" w:rsidRPr="009B6EB7">
        <w:rPr>
          <w:rFonts w:ascii="Arial" w:hAnsi="Arial" w:cs="Arial"/>
          <w:sz w:val="24"/>
          <w:szCs w:val="24"/>
        </w:rPr>
        <w:t>appellants are liable for and are directe</w:t>
      </w:r>
      <w:r w:rsidR="00F81D98" w:rsidRPr="009B6EB7">
        <w:rPr>
          <w:rFonts w:ascii="Arial" w:hAnsi="Arial" w:cs="Arial"/>
          <w:sz w:val="24"/>
          <w:szCs w:val="24"/>
        </w:rPr>
        <w:t>d to pay the second respondent</w:t>
      </w:r>
      <w:r w:rsidR="00CF09DB" w:rsidRPr="009B6EB7">
        <w:rPr>
          <w:rFonts w:ascii="Arial" w:hAnsi="Arial" w:cs="Arial"/>
          <w:sz w:val="24"/>
          <w:szCs w:val="24"/>
        </w:rPr>
        <w:t>’</w:t>
      </w:r>
      <w:r w:rsidR="00F81D98" w:rsidRPr="009B6EB7">
        <w:rPr>
          <w:rFonts w:ascii="Arial" w:hAnsi="Arial" w:cs="Arial"/>
          <w:sz w:val="24"/>
          <w:szCs w:val="24"/>
        </w:rPr>
        <w:t>s</w:t>
      </w:r>
      <w:r w:rsidR="007F7D73" w:rsidRPr="009B6EB7">
        <w:rPr>
          <w:rFonts w:ascii="Arial" w:hAnsi="Arial" w:cs="Arial"/>
          <w:sz w:val="24"/>
          <w:szCs w:val="24"/>
        </w:rPr>
        <w:t xml:space="preserve"> costs, including those of two counsel.</w:t>
      </w:r>
    </w:p>
    <w:p w14:paraId="2BE30801" w14:textId="77777777" w:rsidR="007F7D73" w:rsidRPr="00031FFC" w:rsidRDefault="007F7D73" w:rsidP="007F7D73">
      <w:pPr>
        <w:pStyle w:val="ListParagraph"/>
        <w:rPr>
          <w:rFonts w:ascii="Arial" w:hAnsi="Arial" w:cs="Arial"/>
          <w:sz w:val="24"/>
          <w:szCs w:val="24"/>
        </w:rPr>
      </w:pPr>
    </w:p>
    <w:p w14:paraId="3FB6CD9A" w14:textId="77777777" w:rsidR="008F7ADA" w:rsidRPr="00031FFC" w:rsidRDefault="008F7ADA" w:rsidP="007F7D73">
      <w:pPr>
        <w:spacing w:line="360" w:lineRule="auto"/>
        <w:rPr>
          <w:rFonts w:ascii="Arial" w:hAnsi="Arial" w:cs="Arial"/>
          <w:sz w:val="24"/>
          <w:szCs w:val="24"/>
        </w:rPr>
      </w:pPr>
    </w:p>
    <w:p w14:paraId="62FA7279" w14:textId="77777777" w:rsidR="007F7D73" w:rsidRPr="00031FFC" w:rsidRDefault="007F7D73" w:rsidP="001908A4">
      <w:pPr>
        <w:spacing w:line="240" w:lineRule="auto"/>
        <w:jc w:val="both"/>
        <w:rPr>
          <w:rFonts w:ascii="Arial" w:hAnsi="Arial" w:cs="Arial"/>
          <w:sz w:val="24"/>
          <w:szCs w:val="24"/>
        </w:rPr>
      </w:pPr>
      <w:r w:rsidRPr="00031FFC">
        <w:rPr>
          <w:rFonts w:ascii="Arial" w:hAnsi="Arial" w:cs="Arial"/>
          <w:sz w:val="24"/>
          <w:szCs w:val="24"/>
        </w:rPr>
        <w:t>_________________________</w:t>
      </w:r>
    </w:p>
    <w:p w14:paraId="3D066A84" w14:textId="77777777" w:rsidR="007F7D73" w:rsidRPr="00031FFC" w:rsidRDefault="007F7D73" w:rsidP="001908A4">
      <w:pPr>
        <w:spacing w:line="240" w:lineRule="auto"/>
        <w:jc w:val="both"/>
        <w:rPr>
          <w:rFonts w:ascii="Arial" w:hAnsi="Arial" w:cs="Arial"/>
          <w:b/>
          <w:bCs/>
          <w:sz w:val="24"/>
          <w:szCs w:val="24"/>
        </w:rPr>
      </w:pPr>
      <w:r w:rsidRPr="00031FFC">
        <w:rPr>
          <w:rFonts w:ascii="Arial" w:hAnsi="Arial" w:cs="Arial"/>
          <w:b/>
          <w:bCs/>
          <w:sz w:val="24"/>
          <w:szCs w:val="24"/>
        </w:rPr>
        <w:t>JGA LAING</w:t>
      </w:r>
    </w:p>
    <w:p w14:paraId="3A312CA2" w14:textId="77777777" w:rsidR="007F7D73" w:rsidRPr="00031FFC" w:rsidRDefault="007F7D73" w:rsidP="001908A4">
      <w:pPr>
        <w:spacing w:line="240" w:lineRule="auto"/>
        <w:jc w:val="both"/>
        <w:rPr>
          <w:rFonts w:ascii="Arial" w:hAnsi="Arial" w:cs="Arial"/>
          <w:b/>
          <w:bCs/>
          <w:sz w:val="24"/>
          <w:szCs w:val="24"/>
        </w:rPr>
      </w:pPr>
      <w:r w:rsidRPr="00031FFC">
        <w:rPr>
          <w:rFonts w:ascii="Arial" w:hAnsi="Arial" w:cs="Arial"/>
          <w:b/>
          <w:bCs/>
          <w:sz w:val="24"/>
          <w:szCs w:val="24"/>
        </w:rPr>
        <w:t>JUDGE OF THE HIGH COURT</w:t>
      </w:r>
    </w:p>
    <w:p w14:paraId="0B8A2529" w14:textId="77777777" w:rsidR="00E462E6" w:rsidRPr="00031FFC" w:rsidRDefault="00E462E6" w:rsidP="001908A4">
      <w:pPr>
        <w:spacing w:line="240" w:lineRule="auto"/>
        <w:jc w:val="both"/>
        <w:rPr>
          <w:rFonts w:ascii="Arial" w:hAnsi="Arial" w:cs="Arial"/>
          <w:bCs/>
          <w:sz w:val="24"/>
          <w:szCs w:val="24"/>
        </w:rPr>
      </w:pPr>
      <w:r w:rsidRPr="00031FFC">
        <w:rPr>
          <w:rFonts w:ascii="Arial" w:hAnsi="Arial" w:cs="Arial"/>
          <w:bCs/>
          <w:sz w:val="24"/>
          <w:szCs w:val="24"/>
        </w:rPr>
        <w:t>I agree:</w:t>
      </w:r>
    </w:p>
    <w:p w14:paraId="4DC0555C" w14:textId="77777777" w:rsidR="00E462E6" w:rsidRPr="00031FFC" w:rsidRDefault="00E462E6" w:rsidP="001908A4">
      <w:pPr>
        <w:spacing w:line="240" w:lineRule="auto"/>
        <w:jc w:val="both"/>
        <w:rPr>
          <w:rFonts w:ascii="Arial" w:hAnsi="Arial" w:cs="Arial"/>
          <w:b/>
          <w:bCs/>
          <w:sz w:val="24"/>
          <w:szCs w:val="24"/>
        </w:rPr>
      </w:pPr>
    </w:p>
    <w:p w14:paraId="66977E7D" w14:textId="77777777" w:rsidR="00E462E6" w:rsidRPr="00031FFC" w:rsidRDefault="00E462E6" w:rsidP="001908A4">
      <w:pPr>
        <w:spacing w:line="240" w:lineRule="auto"/>
        <w:jc w:val="both"/>
        <w:rPr>
          <w:rFonts w:ascii="Arial" w:hAnsi="Arial" w:cs="Arial"/>
          <w:b/>
          <w:bCs/>
          <w:sz w:val="24"/>
          <w:szCs w:val="24"/>
        </w:rPr>
      </w:pPr>
    </w:p>
    <w:p w14:paraId="5CDC79F8" w14:textId="77777777" w:rsidR="00E462E6" w:rsidRPr="00031FFC" w:rsidRDefault="00E462E6" w:rsidP="001908A4">
      <w:pPr>
        <w:spacing w:line="240" w:lineRule="auto"/>
        <w:jc w:val="both"/>
        <w:rPr>
          <w:rFonts w:ascii="Arial" w:hAnsi="Arial" w:cs="Arial"/>
          <w:bCs/>
          <w:sz w:val="24"/>
          <w:szCs w:val="24"/>
        </w:rPr>
      </w:pPr>
      <w:r w:rsidRPr="00031FFC">
        <w:rPr>
          <w:rFonts w:ascii="Arial" w:hAnsi="Arial" w:cs="Arial"/>
          <w:bCs/>
          <w:sz w:val="24"/>
          <w:szCs w:val="24"/>
        </w:rPr>
        <w:t>__________________________</w:t>
      </w:r>
    </w:p>
    <w:p w14:paraId="114002E7" w14:textId="77777777" w:rsidR="00E462E6" w:rsidRPr="00031FFC" w:rsidRDefault="00E462E6" w:rsidP="001908A4">
      <w:pPr>
        <w:spacing w:line="240" w:lineRule="auto"/>
        <w:jc w:val="both"/>
        <w:rPr>
          <w:rFonts w:ascii="Arial" w:hAnsi="Arial" w:cs="Arial"/>
          <w:b/>
          <w:bCs/>
          <w:sz w:val="24"/>
          <w:szCs w:val="24"/>
        </w:rPr>
      </w:pPr>
      <w:r w:rsidRPr="00031FFC">
        <w:rPr>
          <w:rFonts w:ascii="Arial" w:hAnsi="Arial" w:cs="Arial"/>
          <w:b/>
          <w:bCs/>
          <w:sz w:val="24"/>
          <w:szCs w:val="24"/>
        </w:rPr>
        <w:t xml:space="preserve">D VAN ZYL </w:t>
      </w:r>
    </w:p>
    <w:p w14:paraId="5FBC094B" w14:textId="77777777" w:rsidR="00E462E6" w:rsidRPr="00031FFC" w:rsidRDefault="00E462E6" w:rsidP="001908A4">
      <w:pPr>
        <w:spacing w:line="240" w:lineRule="auto"/>
        <w:jc w:val="both"/>
        <w:rPr>
          <w:rFonts w:ascii="Arial" w:hAnsi="Arial" w:cs="Arial"/>
          <w:b/>
          <w:bCs/>
          <w:sz w:val="24"/>
          <w:szCs w:val="24"/>
        </w:rPr>
      </w:pPr>
      <w:r w:rsidRPr="00031FFC">
        <w:rPr>
          <w:rFonts w:ascii="Arial" w:hAnsi="Arial" w:cs="Arial"/>
          <w:b/>
          <w:bCs/>
          <w:sz w:val="24"/>
          <w:szCs w:val="24"/>
        </w:rPr>
        <w:t xml:space="preserve">DEPUTY JUDGE PRESIDENT OF THE HIGH COURT </w:t>
      </w:r>
    </w:p>
    <w:p w14:paraId="4BBD76FC" w14:textId="77777777" w:rsidR="00E462E6" w:rsidRPr="00031FFC" w:rsidRDefault="00E462E6" w:rsidP="001908A4">
      <w:pPr>
        <w:spacing w:line="240" w:lineRule="auto"/>
        <w:jc w:val="both"/>
        <w:rPr>
          <w:rFonts w:ascii="Arial" w:hAnsi="Arial" w:cs="Arial"/>
          <w:b/>
          <w:bCs/>
          <w:sz w:val="24"/>
          <w:szCs w:val="24"/>
        </w:rPr>
      </w:pPr>
    </w:p>
    <w:p w14:paraId="3E8A7B3D" w14:textId="77777777" w:rsidR="008F7ADA" w:rsidRPr="00031FFC" w:rsidRDefault="008F7ADA" w:rsidP="001908A4">
      <w:pPr>
        <w:spacing w:line="240" w:lineRule="auto"/>
        <w:jc w:val="both"/>
        <w:rPr>
          <w:rFonts w:ascii="Arial" w:hAnsi="Arial" w:cs="Arial"/>
          <w:b/>
          <w:bCs/>
          <w:sz w:val="24"/>
          <w:szCs w:val="24"/>
        </w:rPr>
      </w:pPr>
    </w:p>
    <w:p w14:paraId="61A696E5" w14:textId="77777777" w:rsidR="00996BD0" w:rsidRPr="00031FFC" w:rsidRDefault="00996BD0" w:rsidP="001908A4">
      <w:pPr>
        <w:spacing w:line="240" w:lineRule="auto"/>
        <w:jc w:val="both"/>
        <w:rPr>
          <w:rFonts w:ascii="Arial" w:hAnsi="Arial" w:cs="Arial"/>
          <w:b/>
          <w:bCs/>
          <w:sz w:val="24"/>
          <w:szCs w:val="24"/>
        </w:rPr>
      </w:pPr>
    </w:p>
    <w:p w14:paraId="4EF7B0D3" w14:textId="77777777" w:rsidR="00E462E6" w:rsidRPr="00031FFC" w:rsidRDefault="00E462E6" w:rsidP="001908A4">
      <w:pPr>
        <w:spacing w:line="240" w:lineRule="auto"/>
        <w:jc w:val="both"/>
        <w:rPr>
          <w:rFonts w:ascii="Arial" w:hAnsi="Arial" w:cs="Arial"/>
          <w:bCs/>
          <w:sz w:val="24"/>
          <w:szCs w:val="24"/>
        </w:rPr>
      </w:pPr>
      <w:r w:rsidRPr="00031FFC">
        <w:rPr>
          <w:rFonts w:ascii="Arial" w:hAnsi="Arial" w:cs="Arial"/>
          <w:bCs/>
          <w:sz w:val="24"/>
          <w:szCs w:val="24"/>
        </w:rPr>
        <w:t>I agree:</w:t>
      </w:r>
    </w:p>
    <w:p w14:paraId="0F475C22" w14:textId="77777777" w:rsidR="00E462E6" w:rsidRPr="00031FFC" w:rsidRDefault="00E462E6" w:rsidP="001908A4">
      <w:pPr>
        <w:spacing w:line="240" w:lineRule="auto"/>
        <w:jc w:val="both"/>
        <w:rPr>
          <w:rFonts w:ascii="Arial" w:hAnsi="Arial" w:cs="Arial"/>
          <w:b/>
          <w:bCs/>
          <w:sz w:val="24"/>
          <w:szCs w:val="24"/>
        </w:rPr>
      </w:pPr>
    </w:p>
    <w:p w14:paraId="3FA630C9" w14:textId="77777777" w:rsidR="00E462E6" w:rsidRPr="00031FFC" w:rsidRDefault="00E462E6" w:rsidP="001908A4">
      <w:pPr>
        <w:spacing w:line="240" w:lineRule="auto"/>
        <w:jc w:val="both"/>
        <w:rPr>
          <w:rFonts w:ascii="Arial" w:hAnsi="Arial" w:cs="Arial"/>
          <w:b/>
          <w:bCs/>
          <w:sz w:val="24"/>
          <w:szCs w:val="24"/>
        </w:rPr>
      </w:pPr>
    </w:p>
    <w:p w14:paraId="65AA5DD8" w14:textId="77777777" w:rsidR="00E462E6" w:rsidRPr="00031FFC" w:rsidRDefault="00E462E6" w:rsidP="001908A4">
      <w:pPr>
        <w:spacing w:line="240" w:lineRule="auto"/>
        <w:jc w:val="both"/>
        <w:rPr>
          <w:rFonts w:ascii="Arial" w:hAnsi="Arial" w:cs="Arial"/>
          <w:bCs/>
          <w:sz w:val="24"/>
          <w:szCs w:val="24"/>
        </w:rPr>
      </w:pPr>
      <w:r w:rsidRPr="00031FFC">
        <w:rPr>
          <w:rFonts w:ascii="Arial" w:hAnsi="Arial" w:cs="Arial"/>
          <w:bCs/>
          <w:sz w:val="24"/>
          <w:szCs w:val="24"/>
        </w:rPr>
        <w:t>__________________________</w:t>
      </w:r>
    </w:p>
    <w:p w14:paraId="53DF049B" w14:textId="77777777" w:rsidR="00E462E6" w:rsidRPr="00031FFC" w:rsidRDefault="00E462E6" w:rsidP="001908A4">
      <w:pPr>
        <w:spacing w:line="240" w:lineRule="auto"/>
        <w:jc w:val="both"/>
        <w:rPr>
          <w:rFonts w:ascii="Arial" w:hAnsi="Arial" w:cs="Arial"/>
          <w:b/>
          <w:bCs/>
          <w:sz w:val="24"/>
          <w:szCs w:val="24"/>
        </w:rPr>
      </w:pPr>
      <w:r w:rsidRPr="00031FFC">
        <w:rPr>
          <w:rFonts w:ascii="Arial" w:hAnsi="Arial" w:cs="Arial"/>
          <w:b/>
          <w:bCs/>
          <w:sz w:val="24"/>
          <w:szCs w:val="24"/>
        </w:rPr>
        <w:t xml:space="preserve">T MALUSI </w:t>
      </w:r>
    </w:p>
    <w:p w14:paraId="2DC07FAF" w14:textId="77777777" w:rsidR="00E462E6" w:rsidRDefault="00E462E6" w:rsidP="001908A4">
      <w:pPr>
        <w:spacing w:line="240" w:lineRule="auto"/>
        <w:jc w:val="both"/>
        <w:rPr>
          <w:rFonts w:ascii="Arial" w:hAnsi="Arial" w:cs="Arial"/>
          <w:b/>
          <w:bCs/>
          <w:sz w:val="24"/>
          <w:szCs w:val="24"/>
        </w:rPr>
      </w:pPr>
      <w:r w:rsidRPr="00031FFC">
        <w:rPr>
          <w:rFonts w:ascii="Arial" w:hAnsi="Arial" w:cs="Arial"/>
          <w:b/>
          <w:bCs/>
          <w:sz w:val="24"/>
          <w:szCs w:val="24"/>
        </w:rPr>
        <w:t>JUDGE OF THE HIGH COURT</w:t>
      </w:r>
    </w:p>
    <w:p w14:paraId="4CEF1A17" w14:textId="77777777" w:rsidR="002E36CB" w:rsidRDefault="002E36CB" w:rsidP="001908A4">
      <w:pPr>
        <w:spacing w:line="240" w:lineRule="auto"/>
        <w:jc w:val="both"/>
        <w:rPr>
          <w:rFonts w:ascii="Arial" w:hAnsi="Arial" w:cs="Arial"/>
          <w:b/>
          <w:bCs/>
          <w:sz w:val="24"/>
          <w:szCs w:val="24"/>
        </w:rPr>
      </w:pPr>
    </w:p>
    <w:p w14:paraId="0BC8C311" w14:textId="77777777" w:rsidR="002E36CB" w:rsidRPr="00031FFC" w:rsidRDefault="002E36CB" w:rsidP="001908A4">
      <w:pPr>
        <w:spacing w:line="240" w:lineRule="auto"/>
        <w:jc w:val="both"/>
        <w:rPr>
          <w:rFonts w:ascii="Arial" w:hAnsi="Arial" w:cs="Arial"/>
          <w:b/>
          <w:bCs/>
          <w:sz w:val="24"/>
          <w:szCs w:val="24"/>
        </w:rPr>
      </w:pPr>
    </w:p>
    <w:p w14:paraId="2FF02D6E" w14:textId="77777777" w:rsidR="001908A4" w:rsidRPr="00031FFC" w:rsidRDefault="001908A4" w:rsidP="00D56844">
      <w:pPr>
        <w:spacing w:line="360" w:lineRule="auto"/>
        <w:rPr>
          <w:rFonts w:ascii="Arial" w:hAnsi="Arial" w:cs="Arial"/>
          <w:sz w:val="24"/>
          <w:szCs w:val="24"/>
        </w:rPr>
      </w:pPr>
      <w:r w:rsidRPr="00031FFC">
        <w:rPr>
          <w:rFonts w:ascii="Arial" w:hAnsi="Arial" w:cs="Arial"/>
          <w:sz w:val="24"/>
          <w:szCs w:val="24"/>
        </w:rPr>
        <w:t xml:space="preserve">APPEARANCE: </w:t>
      </w:r>
    </w:p>
    <w:p w14:paraId="2C0BAF07" w14:textId="77777777" w:rsidR="001908A4" w:rsidRPr="00031FFC" w:rsidRDefault="001908A4" w:rsidP="008F7ADA">
      <w:pPr>
        <w:spacing w:line="360" w:lineRule="auto"/>
        <w:ind w:left="3600" w:hanging="3600"/>
        <w:jc w:val="both"/>
        <w:rPr>
          <w:rFonts w:ascii="Arial" w:hAnsi="Arial" w:cs="Arial"/>
          <w:sz w:val="24"/>
          <w:szCs w:val="24"/>
        </w:rPr>
      </w:pPr>
      <w:r w:rsidRPr="00031FFC">
        <w:rPr>
          <w:rFonts w:ascii="Arial" w:hAnsi="Arial" w:cs="Arial"/>
          <w:sz w:val="24"/>
          <w:szCs w:val="24"/>
        </w:rPr>
        <w:t>For the appellant</w:t>
      </w:r>
      <w:r w:rsidR="00E462E6" w:rsidRPr="00031FFC">
        <w:rPr>
          <w:rFonts w:ascii="Arial" w:hAnsi="Arial" w:cs="Arial"/>
          <w:sz w:val="24"/>
          <w:szCs w:val="24"/>
        </w:rPr>
        <w:t>s</w:t>
      </w:r>
      <w:r w:rsidRPr="00031FFC">
        <w:rPr>
          <w:rFonts w:ascii="Arial" w:hAnsi="Arial" w:cs="Arial"/>
          <w:sz w:val="24"/>
          <w:szCs w:val="24"/>
        </w:rPr>
        <w:t>:</w:t>
      </w:r>
      <w:r w:rsidRPr="00031FFC">
        <w:rPr>
          <w:rFonts w:ascii="Arial" w:hAnsi="Arial" w:cs="Arial"/>
          <w:sz w:val="24"/>
          <w:szCs w:val="24"/>
        </w:rPr>
        <w:tab/>
      </w:r>
      <w:r w:rsidR="00E462E6" w:rsidRPr="00031FFC">
        <w:rPr>
          <w:rFonts w:ascii="Arial" w:hAnsi="Arial" w:cs="Arial"/>
          <w:sz w:val="24"/>
          <w:szCs w:val="24"/>
        </w:rPr>
        <w:t xml:space="preserve">Adv Pienaar SC with Adv Mostert, instructed by Cooper Conroy Bell &amp; Richards Inc, East London. </w:t>
      </w:r>
    </w:p>
    <w:p w14:paraId="57465FC1" w14:textId="77777777" w:rsidR="001908A4" w:rsidRPr="00031FFC" w:rsidRDefault="001908A4" w:rsidP="008F7ADA">
      <w:pPr>
        <w:spacing w:line="360" w:lineRule="auto"/>
        <w:ind w:left="3600" w:hanging="3600"/>
        <w:jc w:val="both"/>
        <w:rPr>
          <w:rFonts w:ascii="Arial" w:hAnsi="Arial" w:cs="Arial"/>
          <w:sz w:val="24"/>
          <w:szCs w:val="24"/>
        </w:rPr>
      </w:pPr>
      <w:r w:rsidRPr="00031FFC">
        <w:rPr>
          <w:rFonts w:ascii="Arial" w:hAnsi="Arial" w:cs="Arial"/>
          <w:sz w:val="24"/>
          <w:szCs w:val="24"/>
        </w:rPr>
        <w:lastRenderedPageBreak/>
        <w:t>For the respondent</w:t>
      </w:r>
      <w:r w:rsidR="00E462E6" w:rsidRPr="00031FFC">
        <w:rPr>
          <w:rFonts w:ascii="Arial" w:hAnsi="Arial" w:cs="Arial"/>
          <w:sz w:val="24"/>
          <w:szCs w:val="24"/>
        </w:rPr>
        <w:t>s</w:t>
      </w:r>
      <w:r w:rsidRPr="00031FFC">
        <w:rPr>
          <w:rFonts w:ascii="Arial" w:hAnsi="Arial" w:cs="Arial"/>
          <w:sz w:val="24"/>
          <w:szCs w:val="24"/>
        </w:rPr>
        <w:t>:</w:t>
      </w:r>
      <w:r w:rsidR="00E462E6" w:rsidRPr="00031FFC">
        <w:rPr>
          <w:rFonts w:ascii="Arial" w:hAnsi="Arial" w:cs="Arial"/>
          <w:sz w:val="24"/>
          <w:szCs w:val="24"/>
        </w:rPr>
        <w:tab/>
        <w:t xml:space="preserve">Adv Whitcutt SC with Adv De Witt, instructed by Kirchmanns Inc, East London. </w:t>
      </w:r>
    </w:p>
    <w:p w14:paraId="41D46281" w14:textId="77777777" w:rsidR="001908A4" w:rsidRPr="00031FFC" w:rsidRDefault="001908A4" w:rsidP="008F7ADA">
      <w:pPr>
        <w:spacing w:line="360" w:lineRule="auto"/>
        <w:jc w:val="both"/>
        <w:rPr>
          <w:rFonts w:ascii="Arial" w:hAnsi="Arial" w:cs="Arial"/>
          <w:sz w:val="24"/>
          <w:szCs w:val="24"/>
        </w:rPr>
      </w:pPr>
      <w:r w:rsidRPr="00031FFC">
        <w:rPr>
          <w:rFonts w:ascii="Arial" w:hAnsi="Arial" w:cs="Arial"/>
          <w:sz w:val="24"/>
          <w:szCs w:val="24"/>
        </w:rPr>
        <w:t>Date of hearing:</w:t>
      </w:r>
      <w:r w:rsidR="00E462E6" w:rsidRPr="00031FFC">
        <w:rPr>
          <w:rFonts w:ascii="Arial" w:hAnsi="Arial" w:cs="Arial"/>
          <w:sz w:val="24"/>
          <w:szCs w:val="24"/>
        </w:rPr>
        <w:tab/>
      </w:r>
      <w:r w:rsidR="00E462E6" w:rsidRPr="00031FFC">
        <w:rPr>
          <w:rFonts w:ascii="Arial" w:hAnsi="Arial" w:cs="Arial"/>
          <w:sz w:val="24"/>
          <w:szCs w:val="24"/>
        </w:rPr>
        <w:tab/>
      </w:r>
      <w:r w:rsidR="00E462E6" w:rsidRPr="00031FFC">
        <w:rPr>
          <w:rFonts w:ascii="Arial" w:hAnsi="Arial" w:cs="Arial"/>
          <w:sz w:val="24"/>
          <w:szCs w:val="24"/>
        </w:rPr>
        <w:tab/>
        <w:t>05 August 2022</w:t>
      </w:r>
    </w:p>
    <w:p w14:paraId="0BD3BE37" w14:textId="77777777" w:rsidR="001908A4" w:rsidRDefault="001908A4" w:rsidP="008F7ADA">
      <w:pPr>
        <w:spacing w:line="360" w:lineRule="auto"/>
        <w:jc w:val="both"/>
        <w:rPr>
          <w:rFonts w:ascii="Arial" w:hAnsi="Arial" w:cs="Arial"/>
          <w:sz w:val="24"/>
          <w:szCs w:val="24"/>
        </w:rPr>
      </w:pPr>
      <w:r w:rsidRPr="00031FFC">
        <w:rPr>
          <w:rFonts w:ascii="Arial" w:hAnsi="Arial" w:cs="Arial"/>
          <w:sz w:val="24"/>
          <w:szCs w:val="24"/>
        </w:rPr>
        <w:t>Date of delivery of judgment:</w:t>
      </w:r>
      <w:r w:rsidR="002E36CB">
        <w:rPr>
          <w:rFonts w:ascii="Arial" w:hAnsi="Arial" w:cs="Arial"/>
          <w:sz w:val="24"/>
          <w:szCs w:val="24"/>
        </w:rPr>
        <w:tab/>
        <w:t>18 October 2022</w:t>
      </w:r>
    </w:p>
    <w:p w14:paraId="5535052B" w14:textId="77777777" w:rsidR="00C24B9F" w:rsidRDefault="00C24B9F" w:rsidP="00D56844">
      <w:pPr>
        <w:spacing w:line="360" w:lineRule="auto"/>
        <w:rPr>
          <w:rFonts w:ascii="Arial" w:hAnsi="Arial" w:cs="Arial"/>
          <w:sz w:val="24"/>
          <w:szCs w:val="24"/>
        </w:rPr>
      </w:pPr>
    </w:p>
    <w:sectPr w:rsidR="00C24B9F" w:rsidSect="00C47AC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9310" w14:textId="77777777" w:rsidR="00D33176" w:rsidRDefault="00D33176" w:rsidP="00F6207E">
      <w:pPr>
        <w:spacing w:after="0" w:line="240" w:lineRule="auto"/>
      </w:pPr>
      <w:r>
        <w:separator/>
      </w:r>
    </w:p>
  </w:endnote>
  <w:endnote w:type="continuationSeparator" w:id="0">
    <w:p w14:paraId="756D13A8" w14:textId="77777777" w:rsidR="00D33176" w:rsidRDefault="00D33176" w:rsidP="00F6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0ACE" w14:textId="77777777" w:rsidR="00D33176" w:rsidRDefault="00D33176" w:rsidP="00F6207E">
      <w:pPr>
        <w:spacing w:after="0" w:line="240" w:lineRule="auto"/>
      </w:pPr>
      <w:r>
        <w:separator/>
      </w:r>
    </w:p>
  </w:footnote>
  <w:footnote w:type="continuationSeparator" w:id="0">
    <w:p w14:paraId="3F5CE8B4" w14:textId="77777777" w:rsidR="00D33176" w:rsidRDefault="00D33176" w:rsidP="00F6207E">
      <w:pPr>
        <w:spacing w:after="0" w:line="240" w:lineRule="auto"/>
      </w:pPr>
      <w:r>
        <w:continuationSeparator/>
      </w:r>
    </w:p>
  </w:footnote>
  <w:footnote w:id="1">
    <w:p w14:paraId="5284115B" w14:textId="77777777" w:rsidR="00C91F05" w:rsidRDefault="00C91F05" w:rsidP="003A6D8A">
      <w:pPr>
        <w:pStyle w:val="FootnoteText"/>
        <w:jc w:val="both"/>
      </w:pPr>
      <w:r>
        <w:rPr>
          <w:rStyle w:val="FootnoteReference"/>
        </w:rPr>
        <w:footnoteRef/>
      </w:r>
      <w:r>
        <w:t xml:space="preserve"> </w:t>
      </w:r>
      <w:r w:rsidRPr="00C91F05">
        <w:t>Importantly, this finding was not included within the ambit of the present appeal.</w:t>
      </w:r>
      <w:r w:rsidR="00776C10">
        <w:t xml:space="preserve"> The appellants indicated that the</w:t>
      </w:r>
      <w:r w:rsidR="00DF1786">
        <w:t xml:space="preserve">y appealed against the whole of the judgment of the court </w:t>
      </w:r>
      <w:r w:rsidR="00DF1786" w:rsidRPr="00DF1786">
        <w:rPr>
          <w:i/>
          <w:iCs/>
        </w:rPr>
        <w:t>a quo</w:t>
      </w:r>
      <w:r w:rsidR="00DF1786">
        <w:t xml:space="preserve">, </w:t>
      </w:r>
      <w:r w:rsidR="00DF1786" w:rsidRPr="00DF1786">
        <w:t>excluding</w:t>
      </w:r>
      <w:r w:rsidR="00DF1786">
        <w:t xml:space="preserve"> paragraphs 25-29 thereof, which dealt with the interpretation of ‘engaged’.</w:t>
      </w:r>
      <w:r w:rsidR="007C796D">
        <w:t xml:space="preserve"> There was no cross-appeal.</w:t>
      </w:r>
    </w:p>
  </w:footnote>
  <w:footnote w:id="2">
    <w:p w14:paraId="2F9AAB2C" w14:textId="77777777" w:rsidR="00C725D4" w:rsidRPr="00031FFC" w:rsidRDefault="00C725D4" w:rsidP="003A6D8A">
      <w:pPr>
        <w:pStyle w:val="FootnoteText"/>
        <w:jc w:val="both"/>
        <w:rPr>
          <w:rFonts w:cstheme="minorHAnsi"/>
          <w:lang w:val="en-ZA"/>
        </w:rPr>
      </w:pPr>
      <w:r>
        <w:rPr>
          <w:rStyle w:val="FootnoteReference"/>
        </w:rPr>
        <w:footnoteRef/>
      </w:r>
      <w:r>
        <w:t xml:space="preserve"> </w:t>
      </w:r>
      <w:r w:rsidRPr="00031FFC">
        <w:rPr>
          <w:rFonts w:cstheme="minorHAnsi"/>
        </w:rPr>
        <w:t>(15484/2010) [2010] ZAGPHC JHC 139</w:t>
      </w:r>
      <w:r>
        <w:rPr>
          <w:rFonts w:cstheme="minorHAnsi"/>
        </w:rPr>
        <w:t>.</w:t>
      </w:r>
    </w:p>
  </w:footnote>
  <w:footnote w:id="3">
    <w:p w14:paraId="5BA58C07" w14:textId="77777777" w:rsidR="008E2FA8" w:rsidRDefault="008E2FA8" w:rsidP="00147E19">
      <w:pPr>
        <w:pStyle w:val="FootnoteText"/>
        <w:jc w:val="both"/>
      </w:pPr>
      <w:r>
        <w:rPr>
          <w:rStyle w:val="FootnoteReference"/>
        </w:rPr>
        <w:footnoteRef/>
      </w:r>
      <w:r>
        <w:t xml:space="preserve"> </w:t>
      </w:r>
      <w:r w:rsidR="00976E58">
        <w:t xml:space="preserve">Van Eeden, ‘Competition’, </w:t>
      </w:r>
      <w:r>
        <w:t>LAWSA</w:t>
      </w:r>
      <w:r w:rsidR="000C4109">
        <w:t xml:space="preserve"> (Vol 7(1), 3ed, 2019), at 253.</w:t>
      </w:r>
    </w:p>
  </w:footnote>
  <w:footnote w:id="4">
    <w:p w14:paraId="78F9C899" w14:textId="77777777" w:rsidR="00C725D4" w:rsidRPr="00031FFC" w:rsidRDefault="00C725D4">
      <w:pPr>
        <w:pStyle w:val="FootnoteText"/>
        <w:rPr>
          <w:lang w:val="en-ZA"/>
        </w:rPr>
      </w:pPr>
      <w:r>
        <w:rPr>
          <w:rStyle w:val="FootnoteReference"/>
        </w:rPr>
        <w:footnoteRef/>
      </w:r>
      <w:r>
        <w:t xml:space="preserve"> </w:t>
      </w:r>
      <w:r w:rsidRPr="00031FFC">
        <w:rPr>
          <w:rFonts w:ascii="Calibri" w:hAnsi="Calibri" w:cs="Calibri"/>
        </w:rPr>
        <w:t>1984 (4) SA 874 (A).</w:t>
      </w:r>
    </w:p>
  </w:footnote>
  <w:footnote w:id="5">
    <w:p w14:paraId="2191908B" w14:textId="77777777" w:rsidR="00652535" w:rsidRDefault="00652535" w:rsidP="00147E19">
      <w:pPr>
        <w:pStyle w:val="FootnoteText"/>
        <w:jc w:val="both"/>
      </w:pPr>
      <w:r>
        <w:rPr>
          <w:rStyle w:val="FootnoteReference"/>
        </w:rPr>
        <w:footnoteRef/>
      </w:r>
      <w:r>
        <w:t xml:space="preserve"> Ibid. </w:t>
      </w:r>
    </w:p>
  </w:footnote>
  <w:footnote w:id="6">
    <w:p w14:paraId="6862DAD1" w14:textId="77777777" w:rsidR="00C725D4" w:rsidRPr="00031FFC" w:rsidRDefault="00C725D4">
      <w:pPr>
        <w:pStyle w:val="FootnoteText"/>
        <w:rPr>
          <w:rFonts w:ascii="Calibri" w:hAnsi="Calibri" w:cs="Calibri"/>
          <w:lang w:val="en-ZA"/>
        </w:rPr>
      </w:pPr>
      <w:r>
        <w:rPr>
          <w:rStyle w:val="FootnoteReference"/>
        </w:rPr>
        <w:footnoteRef/>
      </w:r>
      <w:r>
        <w:t xml:space="preserve"> </w:t>
      </w:r>
      <w:r w:rsidRPr="00031FFC">
        <w:rPr>
          <w:rFonts w:ascii="Calibri" w:hAnsi="Calibri" w:cs="Calibri"/>
        </w:rPr>
        <w:t>2007 (5) SA 323 (CC)</w:t>
      </w:r>
      <w:r>
        <w:rPr>
          <w:rFonts w:ascii="Calibri" w:hAnsi="Calibri" w:cs="Calibri"/>
        </w:rPr>
        <w:t>.</w:t>
      </w:r>
    </w:p>
  </w:footnote>
  <w:footnote w:id="7">
    <w:p w14:paraId="33717837" w14:textId="77777777" w:rsidR="00C725D4" w:rsidRPr="00031FFC" w:rsidRDefault="00C725D4">
      <w:pPr>
        <w:pStyle w:val="FootnoteText"/>
        <w:rPr>
          <w:rFonts w:ascii="Calibri" w:hAnsi="Calibri" w:cs="Calibri"/>
          <w:lang w:val="en-ZA"/>
        </w:rPr>
      </w:pPr>
      <w:r>
        <w:rPr>
          <w:rStyle w:val="FootnoteReference"/>
        </w:rPr>
        <w:footnoteRef/>
      </w:r>
      <w:r>
        <w:t xml:space="preserve"> </w:t>
      </w:r>
      <w:r w:rsidRPr="00031FFC">
        <w:rPr>
          <w:rFonts w:ascii="Calibri" w:hAnsi="Calibri" w:cs="Calibri"/>
        </w:rPr>
        <w:t>2020 (5) SA 247 (CC)</w:t>
      </w:r>
      <w:r>
        <w:rPr>
          <w:rFonts w:ascii="Calibri" w:hAnsi="Calibri" w:cs="Calibri"/>
        </w:rPr>
        <w:t>.</w:t>
      </w:r>
    </w:p>
  </w:footnote>
  <w:footnote w:id="8">
    <w:p w14:paraId="231DAC3A" w14:textId="77777777" w:rsidR="00C725D4" w:rsidRPr="00031FFC" w:rsidRDefault="00C725D4">
      <w:pPr>
        <w:pStyle w:val="FootnoteText"/>
        <w:rPr>
          <w:rFonts w:ascii="Calibri" w:hAnsi="Calibri" w:cs="Calibri"/>
          <w:lang w:val="en-ZA"/>
        </w:rPr>
      </w:pPr>
      <w:r>
        <w:rPr>
          <w:rStyle w:val="FootnoteReference"/>
        </w:rPr>
        <w:footnoteRef/>
      </w:r>
      <w:r>
        <w:t xml:space="preserve"> </w:t>
      </w:r>
      <w:r w:rsidRPr="00031FFC">
        <w:rPr>
          <w:rFonts w:ascii="Calibri" w:hAnsi="Calibri" w:cs="Calibri"/>
        </w:rPr>
        <w:t>2012 (4) SA 593</w:t>
      </w:r>
      <w:r>
        <w:rPr>
          <w:rFonts w:ascii="Calibri" w:hAnsi="Calibri" w:cs="Calibri"/>
        </w:rPr>
        <w:t>.</w:t>
      </w:r>
    </w:p>
  </w:footnote>
  <w:footnote w:id="9">
    <w:p w14:paraId="4464E32B" w14:textId="77777777" w:rsidR="00C725D4" w:rsidRPr="00031FFC" w:rsidRDefault="00C725D4" w:rsidP="003A6D8A">
      <w:pPr>
        <w:pStyle w:val="FootnoteText"/>
        <w:jc w:val="both"/>
        <w:rPr>
          <w:lang w:val="en-ZA"/>
        </w:rPr>
      </w:pPr>
      <w:r>
        <w:rPr>
          <w:rStyle w:val="FootnoteReference"/>
        </w:rPr>
        <w:footnoteRef/>
      </w:r>
      <w:r>
        <w:t xml:space="preserve"> </w:t>
      </w:r>
      <w:r w:rsidRPr="00031FFC">
        <w:rPr>
          <w:rFonts w:ascii="Calibri" w:hAnsi="Calibri" w:cs="Calibri"/>
        </w:rPr>
        <w:t>(470/2020) [2021] ZASCA 99 (09 July 2021)</w:t>
      </w:r>
      <w:r>
        <w:rPr>
          <w:rFonts w:ascii="Calibri" w:hAnsi="Calibri" w:cs="Calibri"/>
        </w:rPr>
        <w:t>.</w:t>
      </w:r>
    </w:p>
  </w:footnote>
  <w:footnote w:id="10">
    <w:p w14:paraId="6D6BC801" w14:textId="77777777" w:rsidR="00C725D4" w:rsidRPr="00031FFC" w:rsidRDefault="00C725D4" w:rsidP="003A6D8A">
      <w:pPr>
        <w:pStyle w:val="FootnoteText"/>
        <w:jc w:val="both"/>
        <w:rPr>
          <w:lang w:val="en-ZA"/>
        </w:rPr>
      </w:pPr>
      <w:r>
        <w:rPr>
          <w:rStyle w:val="FootnoteReference"/>
        </w:rPr>
        <w:footnoteRef/>
      </w:r>
      <w:r>
        <w:t xml:space="preserve"> </w:t>
      </w:r>
      <w:r w:rsidRPr="00031FFC">
        <w:rPr>
          <w:rFonts w:ascii="Calibri" w:hAnsi="Calibri" w:cs="Calibri"/>
        </w:rPr>
        <w:t>(1134/2020) [2021] ZASCA 186 (30 December 2021)</w:t>
      </w:r>
      <w:r>
        <w:rPr>
          <w:rFonts w:ascii="Calibri" w:hAnsi="Calibri" w:cs="Calibri"/>
        </w:rPr>
        <w:t>.</w:t>
      </w:r>
    </w:p>
  </w:footnote>
  <w:footnote w:id="11">
    <w:p w14:paraId="5AE4B0F8" w14:textId="77777777" w:rsidR="005F2457" w:rsidRDefault="005F2457" w:rsidP="003A6D8A">
      <w:pPr>
        <w:pStyle w:val="FootnoteText"/>
        <w:jc w:val="both"/>
      </w:pPr>
      <w:r>
        <w:rPr>
          <w:rStyle w:val="FootnoteReference"/>
        </w:rPr>
        <w:footnoteRef/>
      </w:r>
      <w:r>
        <w:t xml:space="preserve"> Pearsall (ed), </w:t>
      </w:r>
      <w:r w:rsidRPr="00524FCA">
        <w:rPr>
          <w:i/>
          <w:iCs/>
        </w:rPr>
        <w:t>The Concise Oxford Dictionary</w:t>
      </w:r>
      <w:r>
        <w:t xml:space="preserve"> (10ed revised, 2001), at 1337.</w:t>
      </w:r>
    </w:p>
  </w:footnote>
  <w:footnote w:id="12">
    <w:p w14:paraId="1265F56F" w14:textId="77777777" w:rsidR="00C14BB0" w:rsidRDefault="00C14BB0" w:rsidP="003A6D8A">
      <w:pPr>
        <w:pStyle w:val="FootnoteText"/>
        <w:jc w:val="both"/>
      </w:pPr>
      <w:r>
        <w:rPr>
          <w:rStyle w:val="FootnoteReference"/>
        </w:rPr>
        <w:footnoteRef/>
      </w:r>
      <w:r>
        <w:t xml:space="preserve"> The meaning to be ascribed to ‘repurchase consideration’, as used in clause 9, is set out in clause 2.1.17 of the buy-back agreement. The appellants would pay a gross amount of R 14 million, less dividends withholding tax in the amount of R 2,800,000, resulting in a net </w:t>
      </w:r>
      <w:r w:rsidR="000E30FA">
        <w:t>amount of R 11,200,000 to be paid for the purchase of Mr Guest’s member’s interest. In addition, Chemex would transfer to him, at book value, a 2014 Mercedes-Benz ML-Class motor vehicle and a 2007 Mercedes-Benz C-Class motor vehicle, in full and final settlement of his loan account.</w:t>
      </w:r>
    </w:p>
  </w:footnote>
  <w:footnote w:id="13">
    <w:p w14:paraId="6C8566E8" w14:textId="77777777" w:rsidR="00C725D4" w:rsidRPr="00031FFC" w:rsidRDefault="00C725D4" w:rsidP="003A6D8A">
      <w:pPr>
        <w:pStyle w:val="FootnoteText"/>
        <w:jc w:val="both"/>
        <w:rPr>
          <w:rFonts w:ascii="Calibri" w:hAnsi="Calibri" w:cs="Calibri"/>
          <w:lang w:val="en-ZA"/>
        </w:rPr>
      </w:pPr>
      <w:r>
        <w:rPr>
          <w:rStyle w:val="FootnoteReference"/>
        </w:rPr>
        <w:footnoteRef/>
      </w:r>
      <w:r>
        <w:t xml:space="preserve"> </w:t>
      </w:r>
      <w:r w:rsidRPr="00031FFC">
        <w:rPr>
          <w:rFonts w:ascii="Calibri" w:hAnsi="Calibri" w:cs="Calibri"/>
        </w:rPr>
        <w:t>2011 JDR 0221 (GSJ).</w:t>
      </w:r>
    </w:p>
  </w:footnote>
  <w:footnote w:id="14">
    <w:p w14:paraId="54C9CC57" w14:textId="77777777" w:rsidR="0094210F" w:rsidRDefault="0094210F" w:rsidP="003A6D8A">
      <w:pPr>
        <w:pStyle w:val="FootnoteText"/>
        <w:jc w:val="both"/>
      </w:pPr>
      <w:r>
        <w:rPr>
          <w:rStyle w:val="FootnoteReference"/>
        </w:rPr>
        <w:footnoteRef/>
      </w:r>
      <w:r>
        <w:t xml:space="preserve"> The court </w:t>
      </w:r>
      <w:r w:rsidRPr="00EB2BF1">
        <w:rPr>
          <w:i/>
          <w:iCs/>
        </w:rPr>
        <w:t>a quo</w:t>
      </w:r>
      <w:r>
        <w:t xml:space="preserve"> applied the tried and tested principles of </w:t>
      </w:r>
      <w:r w:rsidRPr="00EB2BF1">
        <w:rPr>
          <w:i/>
          <w:iCs/>
        </w:rPr>
        <w:t>Plascon-Evans Paints Ltd v Van Riebeeck Paints (Pty) Ltd</w:t>
      </w:r>
      <w:r>
        <w:t xml:space="preserve"> 1984 (3) SA 623 (A)</w:t>
      </w:r>
      <w:r w:rsidR="00EB2BF1">
        <w:t xml:space="preserve"> to accept the respon</w:t>
      </w:r>
      <w:r w:rsidR="0080729B">
        <w:t>dents’ version of the facts (at paragraph</w:t>
      </w:r>
      <w:r w:rsidR="006C34A7">
        <w:t xml:space="preserve"> </w:t>
      </w:r>
      <w:r w:rsidR="00EB2BF1">
        <w:t xml:space="preserve">[24] of the judgment of the court </w:t>
      </w:r>
      <w:r w:rsidR="00EB2BF1" w:rsidRPr="00EB2BF1">
        <w:rPr>
          <w:i/>
          <w:iCs/>
        </w:rPr>
        <w:t>a quo</w:t>
      </w:r>
      <w:r w:rsidR="00EB2BF1" w:rsidRPr="00EB2BF1">
        <w:t>)</w:t>
      </w:r>
      <w:r w:rsidR="00EB2BF1">
        <w:t>.</w:t>
      </w:r>
    </w:p>
  </w:footnote>
  <w:footnote w:id="15">
    <w:p w14:paraId="5CB0FB66" w14:textId="77777777" w:rsidR="00F13BB5" w:rsidRPr="00031FFC" w:rsidRDefault="00F13BB5" w:rsidP="003A6D8A">
      <w:pPr>
        <w:pStyle w:val="FootnoteText"/>
        <w:jc w:val="both"/>
        <w:rPr>
          <w:rFonts w:ascii="Calibri" w:hAnsi="Calibri" w:cs="Calibri"/>
          <w:lang w:val="en-ZA"/>
        </w:rPr>
      </w:pPr>
      <w:r>
        <w:rPr>
          <w:rStyle w:val="FootnoteReference"/>
        </w:rPr>
        <w:footnoteRef/>
      </w:r>
      <w:r>
        <w:t xml:space="preserve"> </w:t>
      </w:r>
      <w:r w:rsidRPr="00031FFC">
        <w:rPr>
          <w:rFonts w:ascii="Calibri" w:hAnsi="Calibri" w:cs="Calibri"/>
        </w:rPr>
        <w:t>1978 (4) SA 353 (W).</w:t>
      </w:r>
    </w:p>
  </w:footnote>
  <w:footnote w:id="16">
    <w:p w14:paraId="0CA95113" w14:textId="77777777" w:rsidR="00F13BB5" w:rsidRPr="00031FFC" w:rsidRDefault="00F13BB5" w:rsidP="003A6D8A">
      <w:pPr>
        <w:pStyle w:val="FootnoteText"/>
        <w:jc w:val="both"/>
        <w:rPr>
          <w:rFonts w:cstheme="minorHAnsi"/>
          <w:lang w:val="en-ZA"/>
        </w:rPr>
      </w:pPr>
      <w:r>
        <w:rPr>
          <w:rStyle w:val="FootnoteReference"/>
        </w:rPr>
        <w:footnoteRef/>
      </w:r>
      <w:r>
        <w:t xml:space="preserve"> </w:t>
      </w:r>
      <w:r w:rsidRPr="00031FFC">
        <w:rPr>
          <w:rFonts w:cstheme="minorHAnsi"/>
        </w:rPr>
        <w:t>1979 (2) SA 302 (SE).</w:t>
      </w:r>
    </w:p>
  </w:footnote>
  <w:footnote w:id="17">
    <w:p w14:paraId="5697F149" w14:textId="77777777" w:rsidR="008D650B" w:rsidRDefault="008D650B" w:rsidP="003A6D8A">
      <w:pPr>
        <w:pStyle w:val="FootnoteText"/>
        <w:jc w:val="both"/>
      </w:pPr>
      <w:r>
        <w:rPr>
          <w:rStyle w:val="FootnoteReference"/>
        </w:rPr>
        <w:footnoteRef/>
      </w:r>
      <w:r>
        <w:t xml:space="preserve"> The court also referred to an Australian case, </w:t>
      </w:r>
      <w:r w:rsidRPr="008D650B">
        <w:rPr>
          <w:i/>
          <w:iCs/>
        </w:rPr>
        <w:t>Mays v Roberts</w:t>
      </w:r>
      <w:r w:rsidRPr="008D650B">
        <w:t xml:space="preserve"> 1928 SASR 217, </w:t>
      </w:r>
      <w:r>
        <w:t>where the word, ‘similar’, with reference to houses, did not mean ‘exactly alike’.</w:t>
      </w:r>
    </w:p>
  </w:footnote>
  <w:footnote w:id="18">
    <w:p w14:paraId="1E105DE1" w14:textId="77777777" w:rsidR="00B3686B" w:rsidRDefault="00B3686B" w:rsidP="002235EC">
      <w:pPr>
        <w:pStyle w:val="FootnoteText"/>
        <w:jc w:val="both"/>
      </w:pPr>
      <w:r>
        <w:rPr>
          <w:rStyle w:val="FootnoteReference"/>
        </w:rPr>
        <w:footnoteRef/>
      </w:r>
      <w:r>
        <w:t xml:space="preserve"> The appellants distinguish between the ‘contract cleaning and hygiene services’ sector, in which they operate, and the ‘hygiene’ sector, in which they contend that Red Alert operates. The extent of the difference between the two sectors in question is not </w:t>
      </w:r>
      <w:r w:rsidR="00546B1C">
        <w:t>clear</w:t>
      </w:r>
      <w:r>
        <w:t xml:space="preserve"> from the pleadings but nothing seems to turn on this.</w:t>
      </w:r>
    </w:p>
  </w:footnote>
  <w:footnote w:id="19">
    <w:p w14:paraId="74EE4AD7" w14:textId="77777777" w:rsidR="005B7200" w:rsidRDefault="005B7200" w:rsidP="008F532C">
      <w:pPr>
        <w:pStyle w:val="FootnoteText"/>
        <w:jc w:val="both"/>
      </w:pPr>
      <w:r>
        <w:rPr>
          <w:rStyle w:val="FootnoteReference"/>
        </w:rPr>
        <w:footnoteRef/>
      </w:r>
      <w:r>
        <w:t xml:space="preserve"> See </w:t>
      </w:r>
      <w:r w:rsidRPr="001D6470">
        <w:rPr>
          <w:i/>
          <w:iCs/>
        </w:rPr>
        <w:t>Setlogelo v Setlogelo</w:t>
      </w:r>
      <w:r>
        <w:t xml:space="preserve"> 1914 AD 221; the principles </w:t>
      </w:r>
      <w:r w:rsidR="001D6470">
        <w:t xml:space="preserve">have become settled law, as evident from the long line of cases that have followed, including the recent decision of the Supreme Court of Appeal in </w:t>
      </w:r>
      <w:r w:rsidR="001D6470" w:rsidRPr="001D6470">
        <w:rPr>
          <w:i/>
          <w:iCs/>
        </w:rPr>
        <w:t>Hotz and others v University of Cape Town</w:t>
      </w:r>
      <w:r w:rsidR="001D6470">
        <w:t xml:space="preserve"> 2017 (2) SA 485 (SCA), at 496G-H.</w:t>
      </w:r>
    </w:p>
  </w:footnote>
  <w:footnote w:id="20">
    <w:p w14:paraId="74BA0C98" w14:textId="77777777" w:rsidR="003F448C" w:rsidRDefault="003F448C" w:rsidP="001908A4">
      <w:pPr>
        <w:pStyle w:val="FootnoteText"/>
        <w:jc w:val="both"/>
      </w:pPr>
      <w:r>
        <w:rPr>
          <w:rStyle w:val="FootnoteReference"/>
        </w:rPr>
        <w:footnoteRef/>
      </w:r>
      <w:r>
        <w:t xml:space="preserve"> See </w:t>
      </w:r>
      <w:r w:rsidRPr="00F14185">
        <w:rPr>
          <w:i/>
          <w:iCs/>
        </w:rPr>
        <w:t>Continuous Oxygen Suppliers (Pty) Ltd t/a Vital Aire v Meintjies and another</w:t>
      </w:r>
      <w:r>
        <w:t xml:space="preserve"> [201</w:t>
      </w:r>
      <w:r w:rsidR="009670A2">
        <w:t>2</w:t>
      </w:r>
      <w:r>
        <w:t xml:space="preserve">] </w:t>
      </w:r>
      <w:r w:rsidR="009670A2">
        <w:t>JOL 29152 (LC)</w:t>
      </w:r>
      <w:r>
        <w:t xml:space="preserve">, at </w:t>
      </w:r>
      <w:r w:rsidR="00F9194B">
        <w:t xml:space="preserve">paragraphs </w:t>
      </w:r>
      <w:r w:rsidR="00F14185">
        <w:t>[49] and [50].</w:t>
      </w:r>
    </w:p>
  </w:footnote>
  <w:footnote w:id="21">
    <w:p w14:paraId="2082120A" w14:textId="77777777" w:rsidR="00F13BB5" w:rsidRPr="00031FFC" w:rsidRDefault="00F13BB5">
      <w:pPr>
        <w:pStyle w:val="FootnoteText"/>
        <w:rPr>
          <w:lang w:val="en-ZA"/>
        </w:rPr>
      </w:pPr>
      <w:r>
        <w:rPr>
          <w:rStyle w:val="FootnoteReference"/>
        </w:rPr>
        <w:footnoteRef/>
      </w:r>
      <w:r>
        <w:t xml:space="preserve"> </w:t>
      </w:r>
      <w:r w:rsidRPr="00031FFC">
        <w:rPr>
          <w:rFonts w:ascii="Calibri" w:hAnsi="Calibri" w:cs="Calibri"/>
        </w:rPr>
        <w:t>2004 (4) SA 156 (W).</w:t>
      </w:r>
    </w:p>
  </w:footnote>
  <w:footnote w:id="22">
    <w:p w14:paraId="38FAD5FC" w14:textId="77777777" w:rsidR="000E784B" w:rsidRDefault="000E784B">
      <w:pPr>
        <w:pStyle w:val="FootnoteText"/>
      </w:pPr>
      <w:r>
        <w:rPr>
          <w:rStyle w:val="FootnoteReference"/>
        </w:rPr>
        <w:footnoteRef/>
      </w:r>
      <w:r w:rsidRPr="000E784B">
        <w:t>2004 (4) SA 174 (W)</w:t>
      </w:r>
      <w:r>
        <w:t xml:space="preserve"> </w:t>
      </w:r>
    </w:p>
  </w:footnote>
  <w:footnote w:id="23">
    <w:p w14:paraId="09F001E9" w14:textId="77777777" w:rsidR="00A36390" w:rsidRDefault="00A36390" w:rsidP="001908A4">
      <w:pPr>
        <w:pStyle w:val="FootnoteText"/>
        <w:jc w:val="both"/>
      </w:pPr>
      <w:r>
        <w:rPr>
          <w:rStyle w:val="FootnoteReference"/>
        </w:rPr>
        <w:footnoteRef/>
      </w:r>
      <w:r>
        <w:t xml:space="preserve"> The principles are those laid down in </w:t>
      </w:r>
      <w:r w:rsidRPr="00A36390">
        <w:rPr>
          <w:i/>
          <w:iCs/>
        </w:rPr>
        <w:t>Plascon-Evans</w:t>
      </w:r>
      <w:r w:rsidR="00197280">
        <w:t xml:space="preserve"> (n 14</w:t>
      </w:r>
      <w:r>
        <w:t xml:space="preserve">, </w:t>
      </w:r>
      <w:r w:rsidRPr="00A36390">
        <w:rPr>
          <w:i/>
          <w:iCs/>
        </w:rPr>
        <w:t>supra</w:t>
      </w:r>
      <w:r>
        <w:t>).</w:t>
      </w:r>
    </w:p>
  </w:footnote>
  <w:footnote w:id="24">
    <w:p w14:paraId="5786078F" w14:textId="77777777" w:rsidR="005D3D9D" w:rsidRDefault="005D3D9D" w:rsidP="002E36CB">
      <w:pPr>
        <w:pStyle w:val="FootnoteText"/>
        <w:jc w:val="both"/>
      </w:pPr>
      <w:r>
        <w:rPr>
          <w:rStyle w:val="FootnoteReference"/>
        </w:rPr>
        <w:footnoteRef/>
      </w:r>
      <w:r>
        <w:t xml:space="preserve"> </w:t>
      </w:r>
      <w:r w:rsidRPr="005D3D9D">
        <w:rPr>
          <w:i/>
          <w:iCs/>
        </w:rPr>
        <w:t>Natal Joint Municipal Pension Fund v Endumeni Municipality</w:t>
      </w:r>
      <w:r w:rsidR="00F13BB5">
        <w:rPr>
          <w:i/>
          <w:iCs/>
        </w:rPr>
        <w:t xml:space="preserve"> [2012] ZASCA 13 (SCA)</w:t>
      </w:r>
      <w:r w:rsidRPr="002455A0">
        <w:t>, at</w:t>
      </w:r>
      <w:r w:rsidR="00F02ADB">
        <w:t xml:space="preserve"> paragraph</w:t>
      </w:r>
      <w:r w:rsidRPr="002455A0">
        <w:t xml:space="preserve"> [18];</w:t>
      </w:r>
      <w:r>
        <w:rPr>
          <w:i/>
          <w:iCs/>
        </w:rPr>
        <w:t xml:space="preserve"> </w:t>
      </w:r>
      <w:r w:rsidR="002455A0" w:rsidRPr="002455A0">
        <w:rPr>
          <w:i/>
          <w:iCs/>
        </w:rPr>
        <w:t>Capitec Bank Holdings Limited and another v Coral Lagoon Investments 194 (Pty) Ltd and others</w:t>
      </w:r>
      <w:r w:rsidR="00F13BB5">
        <w:rPr>
          <w:i/>
          <w:iCs/>
        </w:rPr>
        <w:t xml:space="preserve"> 2022 (1) SA 100 (SCA)</w:t>
      </w:r>
      <w:r w:rsidR="002455A0" w:rsidRPr="002455A0">
        <w:t>, at</w:t>
      </w:r>
      <w:r w:rsidR="00F13BB5">
        <w:t xml:space="preserve"> para</w:t>
      </w:r>
      <w:r w:rsidR="00F02ADB">
        <w:t>graph</w:t>
      </w:r>
      <w:r w:rsidR="002455A0" w:rsidRPr="002455A0">
        <w:t xml:space="preserve"> [51]; and</w:t>
      </w:r>
      <w:r w:rsidR="002455A0" w:rsidRPr="002455A0">
        <w:rPr>
          <w:rFonts w:ascii="Arial" w:hAnsi="Arial" w:cs="Arial"/>
          <w:i/>
          <w:iCs/>
          <w:sz w:val="24"/>
          <w:szCs w:val="24"/>
        </w:rPr>
        <w:t xml:space="preserve"> </w:t>
      </w:r>
      <w:r w:rsidR="002455A0" w:rsidRPr="002455A0">
        <w:rPr>
          <w:i/>
          <w:iCs/>
        </w:rPr>
        <w:t>Post Office Retirement Fund v South African Post Office SOC Ltd and others</w:t>
      </w:r>
      <w:r w:rsidR="002455A0" w:rsidRPr="002455A0">
        <w:t>,</w:t>
      </w:r>
      <w:r w:rsidR="00F13BB5">
        <w:t xml:space="preserve"> [2021] ZASCA 186 (SCA)</w:t>
      </w:r>
      <w:r w:rsidR="002455A0" w:rsidRPr="002455A0">
        <w:t xml:space="preserve"> at</w:t>
      </w:r>
      <w:r w:rsidR="00F13BB5">
        <w:t xml:space="preserve"> para</w:t>
      </w:r>
      <w:r w:rsidR="00F02ADB">
        <w:t>graph</w:t>
      </w:r>
      <w:r w:rsidR="002455A0" w:rsidRPr="002455A0">
        <w:t xml:space="preserve"> [57].</w:t>
      </w:r>
    </w:p>
  </w:footnote>
  <w:footnote w:id="25">
    <w:p w14:paraId="4BDCD077" w14:textId="77777777" w:rsidR="00D40B77" w:rsidRDefault="00D40B77" w:rsidP="002E36CB">
      <w:pPr>
        <w:pStyle w:val="FootnoteText"/>
        <w:jc w:val="both"/>
      </w:pPr>
      <w:r>
        <w:rPr>
          <w:rStyle w:val="FootnoteReference"/>
        </w:rPr>
        <w:footnoteRef/>
      </w:r>
      <w:r>
        <w:t xml:space="preserve"> </w:t>
      </w:r>
      <w:r w:rsidRPr="00D40B77">
        <w:rPr>
          <w:i/>
          <w:iCs/>
        </w:rPr>
        <w:t>Magna Alloys &amp; Research (SA) (Pty) Ltd v Ellis</w:t>
      </w:r>
      <w:r w:rsidR="00F13BB5">
        <w:rPr>
          <w:i/>
          <w:iCs/>
        </w:rPr>
        <w:t xml:space="preserve"> 1984 (4) SA 874 (A)</w:t>
      </w:r>
      <w:r w:rsidRPr="00D40B77">
        <w:t>, at 897-8.</w:t>
      </w:r>
    </w:p>
  </w:footnote>
  <w:footnote w:id="26">
    <w:p w14:paraId="71364510" w14:textId="77777777" w:rsidR="005D3D9D" w:rsidRDefault="005D3D9D" w:rsidP="002E36CB">
      <w:pPr>
        <w:pStyle w:val="FootnoteText"/>
        <w:jc w:val="both"/>
      </w:pPr>
      <w:r>
        <w:rPr>
          <w:rStyle w:val="FootnoteReference"/>
        </w:rPr>
        <w:footnoteRef/>
      </w:r>
      <w:r>
        <w:t xml:space="preserve"> </w:t>
      </w:r>
      <w:r w:rsidR="00EE5C65">
        <w:t xml:space="preserve">A restraint of trade clause is unenforceable in such circumstances. See </w:t>
      </w:r>
      <w:r w:rsidRPr="005D3D9D">
        <w:rPr>
          <w:i/>
          <w:iCs/>
        </w:rPr>
        <w:t>Barkhuizen v Napier</w:t>
      </w:r>
      <w:r w:rsidR="00F13BB5">
        <w:rPr>
          <w:i/>
          <w:iCs/>
        </w:rPr>
        <w:t xml:space="preserve"> 2007 (5) SA 323 (CC)</w:t>
      </w:r>
      <w:r w:rsidRPr="005D3D9D">
        <w:t xml:space="preserve">, at </w:t>
      </w:r>
      <w:r w:rsidR="00F13BB5">
        <w:t>para</w:t>
      </w:r>
      <w:r w:rsidR="00F02ADB">
        <w:t>graph</w:t>
      </w:r>
      <w:r w:rsidR="00F13BB5">
        <w:t xml:space="preserve"> </w:t>
      </w:r>
      <w:r w:rsidRPr="005D3D9D">
        <w:t>[70], and</w:t>
      </w:r>
      <w:r>
        <w:rPr>
          <w:i/>
          <w:iCs/>
        </w:rPr>
        <w:t xml:space="preserve"> </w:t>
      </w:r>
      <w:r w:rsidRPr="005D3D9D">
        <w:rPr>
          <w:i/>
          <w:iCs/>
        </w:rPr>
        <w:t>Beadica 231 CC and others v Trustees, Oregon Trust and others</w:t>
      </w:r>
      <w:r w:rsidRPr="005D3D9D">
        <w:t>,</w:t>
      </w:r>
      <w:r w:rsidR="00F13BB5">
        <w:t xml:space="preserve"> Supra</w:t>
      </w:r>
      <w:r w:rsidRPr="005D3D9D">
        <w:t xml:space="preserve"> at </w:t>
      </w:r>
      <w:r w:rsidR="00F13BB5">
        <w:t>para</w:t>
      </w:r>
      <w:r w:rsidR="00F02ADB">
        <w:t>graph</w:t>
      </w:r>
      <w:r w:rsidR="00F13BB5">
        <w:t xml:space="preserve"> </w:t>
      </w:r>
      <w:r w:rsidRPr="005D3D9D">
        <w:t>[80].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22711"/>
      <w:docPartObj>
        <w:docPartGallery w:val="Page Numbers (Top of Page)"/>
        <w:docPartUnique/>
      </w:docPartObj>
    </w:sdtPr>
    <w:sdtEndPr>
      <w:rPr>
        <w:noProof/>
      </w:rPr>
    </w:sdtEndPr>
    <w:sdtContent>
      <w:p w14:paraId="7EC5D751" w14:textId="77777777" w:rsidR="00C47AC5" w:rsidRDefault="00C47AC5">
        <w:pPr>
          <w:pStyle w:val="Header"/>
          <w:jc w:val="center"/>
        </w:pPr>
        <w:r>
          <w:fldChar w:fldCharType="begin"/>
        </w:r>
        <w:r>
          <w:instrText xml:space="preserve"> PAGE   \* MERGEFORMAT </w:instrText>
        </w:r>
        <w:r>
          <w:fldChar w:fldCharType="separate"/>
        </w:r>
        <w:r w:rsidR="005165EF">
          <w:rPr>
            <w:noProof/>
          </w:rPr>
          <w:t>24</w:t>
        </w:r>
        <w:r>
          <w:rPr>
            <w:noProof/>
          </w:rPr>
          <w:fldChar w:fldCharType="end"/>
        </w:r>
      </w:p>
    </w:sdtContent>
  </w:sdt>
  <w:p w14:paraId="06E244DA" w14:textId="77777777" w:rsidR="00C47AC5" w:rsidRDefault="00C4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970"/>
    <w:multiLevelType w:val="hybridMultilevel"/>
    <w:tmpl w:val="99C8330A"/>
    <w:lvl w:ilvl="0" w:tplc="C6D43DF6">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87F4BF9"/>
    <w:multiLevelType w:val="hybridMultilevel"/>
    <w:tmpl w:val="0B02C996"/>
    <w:lvl w:ilvl="0" w:tplc="DC764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682B2B"/>
    <w:multiLevelType w:val="hybridMultilevel"/>
    <w:tmpl w:val="A6BABE6C"/>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DB53E32"/>
    <w:multiLevelType w:val="hybridMultilevel"/>
    <w:tmpl w:val="823CC13C"/>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1E7733"/>
    <w:multiLevelType w:val="hybridMultilevel"/>
    <w:tmpl w:val="7F7E9B40"/>
    <w:lvl w:ilvl="0" w:tplc="E29AE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A0B35"/>
    <w:multiLevelType w:val="hybridMultilevel"/>
    <w:tmpl w:val="3C28335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16cid:durableId="963583810">
    <w:abstractNumId w:val="4"/>
  </w:num>
  <w:num w:numId="2" w16cid:durableId="2100977309">
    <w:abstractNumId w:val="1"/>
  </w:num>
  <w:num w:numId="3" w16cid:durableId="1022634964">
    <w:abstractNumId w:val="5"/>
  </w:num>
  <w:num w:numId="4" w16cid:durableId="7223964">
    <w:abstractNumId w:val="0"/>
  </w:num>
  <w:num w:numId="5" w16cid:durableId="716852539">
    <w:abstractNumId w:val="2"/>
  </w:num>
  <w:num w:numId="6" w16cid:durableId="2080663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67"/>
    <w:rsid w:val="000040EA"/>
    <w:rsid w:val="000046DC"/>
    <w:rsid w:val="00010C9A"/>
    <w:rsid w:val="00011FF5"/>
    <w:rsid w:val="00012122"/>
    <w:rsid w:val="0001259A"/>
    <w:rsid w:val="00015AED"/>
    <w:rsid w:val="00027988"/>
    <w:rsid w:val="00031FFC"/>
    <w:rsid w:val="00036BC5"/>
    <w:rsid w:val="000419C4"/>
    <w:rsid w:val="00042880"/>
    <w:rsid w:val="00045987"/>
    <w:rsid w:val="00045D6C"/>
    <w:rsid w:val="00046954"/>
    <w:rsid w:val="0005019B"/>
    <w:rsid w:val="00057CF0"/>
    <w:rsid w:val="0006674F"/>
    <w:rsid w:val="00073438"/>
    <w:rsid w:val="00080F7E"/>
    <w:rsid w:val="00087817"/>
    <w:rsid w:val="000910CA"/>
    <w:rsid w:val="0009445E"/>
    <w:rsid w:val="000A62CF"/>
    <w:rsid w:val="000C4109"/>
    <w:rsid w:val="000E30FA"/>
    <w:rsid w:val="000E784B"/>
    <w:rsid w:val="000F5D4D"/>
    <w:rsid w:val="00103A2A"/>
    <w:rsid w:val="0011074A"/>
    <w:rsid w:val="0011313E"/>
    <w:rsid w:val="00115818"/>
    <w:rsid w:val="00124A55"/>
    <w:rsid w:val="001444ED"/>
    <w:rsid w:val="00147E19"/>
    <w:rsid w:val="001518FD"/>
    <w:rsid w:val="00152805"/>
    <w:rsid w:val="001576F3"/>
    <w:rsid w:val="0018512C"/>
    <w:rsid w:val="001908A4"/>
    <w:rsid w:val="001964B9"/>
    <w:rsid w:val="00197280"/>
    <w:rsid w:val="001974F1"/>
    <w:rsid w:val="001A619F"/>
    <w:rsid w:val="001A6C0A"/>
    <w:rsid w:val="001B02CE"/>
    <w:rsid w:val="001C3162"/>
    <w:rsid w:val="001D2651"/>
    <w:rsid w:val="001D6470"/>
    <w:rsid w:val="001E3D43"/>
    <w:rsid w:val="001F5F1C"/>
    <w:rsid w:val="001F6377"/>
    <w:rsid w:val="001F7C67"/>
    <w:rsid w:val="00201704"/>
    <w:rsid w:val="00213AA7"/>
    <w:rsid w:val="002235EC"/>
    <w:rsid w:val="002269FA"/>
    <w:rsid w:val="00227321"/>
    <w:rsid w:val="002455A0"/>
    <w:rsid w:val="00245B28"/>
    <w:rsid w:val="00253753"/>
    <w:rsid w:val="00281B48"/>
    <w:rsid w:val="002C528C"/>
    <w:rsid w:val="002C5428"/>
    <w:rsid w:val="002C55C1"/>
    <w:rsid w:val="002C6DE4"/>
    <w:rsid w:val="002E0B65"/>
    <w:rsid w:val="002E2550"/>
    <w:rsid w:val="002E36CB"/>
    <w:rsid w:val="00303AF4"/>
    <w:rsid w:val="003136DF"/>
    <w:rsid w:val="003201FD"/>
    <w:rsid w:val="00321EFB"/>
    <w:rsid w:val="0032309B"/>
    <w:rsid w:val="00332C7E"/>
    <w:rsid w:val="00337652"/>
    <w:rsid w:val="003443DA"/>
    <w:rsid w:val="00353CAE"/>
    <w:rsid w:val="003615EB"/>
    <w:rsid w:val="00365F3A"/>
    <w:rsid w:val="00373DB2"/>
    <w:rsid w:val="00380353"/>
    <w:rsid w:val="00381F68"/>
    <w:rsid w:val="003A6D8A"/>
    <w:rsid w:val="003B7BD8"/>
    <w:rsid w:val="003D02F7"/>
    <w:rsid w:val="003D5D39"/>
    <w:rsid w:val="003F047E"/>
    <w:rsid w:val="003F448C"/>
    <w:rsid w:val="003F46E4"/>
    <w:rsid w:val="003F577C"/>
    <w:rsid w:val="003F7624"/>
    <w:rsid w:val="00405F49"/>
    <w:rsid w:val="00411574"/>
    <w:rsid w:val="00426010"/>
    <w:rsid w:val="00433051"/>
    <w:rsid w:val="00434AD0"/>
    <w:rsid w:val="00434C23"/>
    <w:rsid w:val="00435D53"/>
    <w:rsid w:val="00443BFC"/>
    <w:rsid w:val="0045033D"/>
    <w:rsid w:val="004743D5"/>
    <w:rsid w:val="0047680D"/>
    <w:rsid w:val="004A14EB"/>
    <w:rsid w:val="004A76EB"/>
    <w:rsid w:val="004B2D62"/>
    <w:rsid w:val="004B440E"/>
    <w:rsid w:val="004B680A"/>
    <w:rsid w:val="004B7015"/>
    <w:rsid w:val="004B79E4"/>
    <w:rsid w:val="004D0461"/>
    <w:rsid w:val="004D5928"/>
    <w:rsid w:val="004E20FD"/>
    <w:rsid w:val="004E7E93"/>
    <w:rsid w:val="004F0566"/>
    <w:rsid w:val="004F2F88"/>
    <w:rsid w:val="005121A8"/>
    <w:rsid w:val="005165EF"/>
    <w:rsid w:val="00524FCA"/>
    <w:rsid w:val="00543149"/>
    <w:rsid w:val="00546B1C"/>
    <w:rsid w:val="0056072A"/>
    <w:rsid w:val="0056778C"/>
    <w:rsid w:val="00572820"/>
    <w:rsid w:val="00572D3B"/>
    <w:rsid w:val="00575780"/>
    <w:rsid w:val="00576705"/>
    <w:rsid w:val="0058334E"/>
    <w:rsid w:val="00583F48"/>
    <w:rsid w:val="0058502F"/>
    <w:rsid w:val="00590F7F"/>
    <w:rsid w:val="005B7200"/>
    <w:rsid w:val="005D3D9D"/>
    <w:rsid w:val="005D5499"/>
    <w:rsid w:val="005E60FF"/>
    <w:rsid w:val="005F2457"/>
    <w:rsid w:val="005F408E"/>
    <w:rsid w:val="005F7D10"/>
    <w:rsid w:val="006044EF"/>
    <w:rsid w:val="006143EE"/>
    <w:rsid w:val="00621DD6"/>
    <w:rsid w:val="006324CD"/>
    <w:rsid w:val="00635090"/>
    <w:rsid w:val="00636FFC"/>
    <w:rsid w:val="00640FAF"/>
    <w:rsid w:val="00642C63"/>
    <w:rsid w:val="0064573A"/>
    <w:rsid w:val="00652535"/>
    <w:rsid w:val="00657DE5"/>
    <w:rsid w:val="00663C9F"/>
    <w:rsid w:val="00677FA4"/>
    <w:rsid w:val="006837F5"/>
    <w:rsid w:val="00684E81"/>
    <w:rsid w:val="006B621E"/>
    <w:rsid w:val="006C34A7"/>
    <w:rsid w:val="006D423C"/>
    <w:rsid w:val="006D7D55"/>
    <w:rsid w:val="006E551C"/>
    <w:rsid w:val="006E75DF"/>
    <w:rsid w:val="006F24ED"/>
    <w:rsid w:val="006F7FD3"/>
    <w:rsid w:val="00702E46"/>
    <w:rsid w:val="007066A2"/>
    <w:rsid w:val="00727160"/>
    <w:rsid w:val="007271F8"/>
    <w:rsid w:val="00730B4D"/>
    <w:rsid w:val="00734047"/>
    <w:rsid w:val="00760D83"/>
    <w:rsid w:val="00761FAC"/>
    <w:rsid w:val="00764224"/>
    <w:rsid w:val="00772DF2"/>
    <w:rsid w:val="00776C10"/>
    <w:rsid w:val="00783EBC"/>
    <w:rsid w:val="00785155"/>
    <w:rsid w:val="00796955"/>
    <w:rsid w:val="00797097"/>
    <w:rsid w:val="007A19CC"/>
    <w:rsid w:val="007B3D73"/>
    <w:rsid w:val="007C53DD"/>
    <w:rsid w:val="007C796D"/>
    <w:rsid w:val="007C7FEE"/>
    <w:rsid w:val="007D541B"/>
    <w:rsid w:val="007E1619"/>
    <w:rsid w:val="007E4967"/>
    <w:rsid w:val="007F7D73"/>
    <w:rsid w:val="008035E1"/>
    <w:rsid w:val="0080492C"/>
    <w:rsid w:val="0080609C"/>
    <w:rsid w:val="0080729B"/>
    <w:rsid w:val="00813FD8"/>
    <w:rsid w:val="00823D0C"/>
    <w:rsid w:val="00827762"/>
    <w:rsid w:val="0083185A"/>
    <w:rsid w:val="0084748F"/>
    <w:rsid w:val="0085170D"/>
    <w:rsid w:val="0086285F"/>
    <w:rsid w:val="00875F1B"/>
    <w:rsid w:val="008827DB"/>
    <w:rsid w:val="0089466C"/>
    <w:rsid w:val="008B0A0A"/>
    <w:rsid w:val="008B3223"/>
    <w:rsid w:val="008C32AF"/>
    <w:rsid w:val="008D650B"/>
    <w:rsid w:val="008D6CE8"/>
    <w:rsid w:val="008E285F"/>
    <w:rsid w:val="008E2FA8"/>
    <w:rsid w:val="008F532C"/>
    <w:rsid w:val="008F54CA"/>
    <w:rsid w:val="008F7ADA"/>
    <w:rsid w:val="0090271F"/>
    <w:rsid w:val="009127B9"/>
    <w:rsid w:val="009272C3"/>
    <w:rsid w:val="0094210F"/>
    <w:rsid w:val="0095075A"/>
    <w:rsid w:val="009511DC"/>
    <w:rsid w:val="00961331"/>
    <w:rsid w:val="009670A2"/>
    <w:rsid w:val="009708B7"/>
    <w:rsid w:val="009718BE"/>
    <w:rsid w:val="00976E58"/>
    <w:rsid w:val="009778EF"/>
    <w:rsid w:val="009842BC"/>
    <w:rsid w:val="0098479C"/>
    <w:rsid w:val="00985CBA"/>
    <w:rsid w:val="009863DE"/>
    <w:rsid w:val="00996BD0"/>
    <w:rsid w:val="009A4158"/>
    <w:rsid w:val="009B6EB7"/>
    <w:rsid w:val="009B787C"/>
    <w:rsid w:val="009C2A23"/>
    <w:rsid w:val="009D02E7"/>
    <w:rsid w:val="009D2C71"/>
    <w:rsid w:val="009E7024"/>
    <w:rsid w:val="009F2074"/>
    <w:rsid w:val="009F4FB8"/>
    <w:rsid w:val="00A03F7E"/>
    <w:rsid w:val="00A1190F"/>
    <w:rsid w:val="00A21EF1"/>
    <w:rsid w:val="00A22B27"/>
    <w:rsid w:val="00A309BD"/>
    <w:rsid w:val="00A36390"/>
    <w:rsid w:val="00A51C6F"/>
    <w:rsid w:val="00A647D5"/>
    <w:rsid w:val="00A73041"/>
    <w:rsid w:val="00A816F3"/>
    <w:rsid w:val="00A84110"/>
    <w:rsid w:val="00A93636"/>
    <w:rsid w:val="00AC3829"/>
    <w:rsid w:val="00AD5D53"/>
    <w:rsid w:val="00AE42AC"/>
    <w:rsid w:val="00AE43FF"/>
    <w:rsid w:val="00B027AA"/>
    <w:rsid w:val="00B10AB2"/>
    <w:rsid w:val="00B24F82"/>
    <w:rsid w:val="00B27BCC"/>
    <w:rsid w:val="00B33D46"/>
    <w:rsid w:val="00B3686B"/>
    <w:rsid w:val="00B5122E"/>
    <w:rsid w:val="00B72B4E"/>
    <w:rsid w:val="00B810D5"/>
    <w:rsid w:val="00B832E6"/>
    <w:rsid w:val="00B873D5"/>
    <w:rsid w:val="00B87949"/>
    <w:rsid w:val="00B923B7"/>
    <w:rsid w:val="00B93320"/>
    <w:rsid w:val="00B93541"/>
    <w:rsid w:val="00B96493"/>
    <w:rsid w:val="00BA02E3"/>
    <w:rsid w:val="00BA52A3"/>
    <w:rsid w:val="00BB4327"/>
    <w:rsid w:val="00BB5CFE"/>
    <w:rsid w:val="00BC4B74"/>
    <w:rsid w:val="00BD0679"/>
    <w:rsid w:val="00BD76B6"/>
    <w:rsid w:val="00BE531C"/>
    <w:rsid w:val="00C14BB0"/>
    <w:rsid w:val="00C1522A"/>
    <w:rsid w:val="00C24B9F"/>
    <w:rsid w:val="00C37990"/>
    <w:rsid w:val="00C47AC5"/>
    <w:rsid w:val="00C52E67"/>
    <w:rsid w:val="00C60B08"/>
    <w:rsid w:val="00C64EE5"/>
    <w:rsid w:val="00C66A72"/>
    <w:rsid w:val="00C725D4"/>
    <w:rsid w:val="00C72B49"/>
    <w:rsid w:val="00C77331"/>
    <w:rsid w:val="00C81B24"/>
    <w:rsid w:val="00C84AFD"/>
    <w:rsid w:val="00C84B93"/>
    <w:rsid w:val="00C914C0"/>
    <w:rsid w:val="00C91F05"/>
    <w:rsid w:val="00C94668"/>
    <w:rsid w:val="00C96E67"/>
    <w:rsid w:val="00C973CB"/>
    <w:rsid w:val="00CA1CD2"/>
    <w:rsid w:val="00CA2E99"/>
    <w:rsid w:val="00CA2FBD"/>
    <w:rsid w:val="00CB1676"/>
    <w:rsid w:val="00CB4C7D"/>
    <w:rsid w:val="00CB4FD8"/>
    <w:rsid w:val="00CC2025"/>
    <w:rsid w:val="00CC3EA4"/>
    <w:rsid w:val="00CF09DB"/>
    <w:rsid w:val="00CF2DE5"/>
    <w:rsid w:val="00D03C8A"/>
    <w:rsid w:val="00D03EB0"/>
    <w:rsid w:val="00D20E10"/>
    <w:rsid w:val="00D26BD5"/>
    <w:rsid w:val="00D33176"/>
    <w:rsid w:val="00D40B77"/>
    <w:rsid w:val="00D416DE"/>
    <w:rsid w:val="00D44B0A"/>
    <w:rsid w:val="00D56844"/>
    <w:rsid w:val="00D86418"/>
    <w:rsid w:val="00D9491E"/>
    <w:rsid w:val="00DB2A36"/>
    <w:rsid w:val="00DB4045"/>
    <w:rsid w:val="00DC0903"/>
    <w:rsid w:val="00DC74D5"/>
    <w:rsid w:val="00DE3CDB"/>
    <w:rsid w:val="00DF04D0"/>
    <w:rsid w:val="00DF1786"/>
    <w:rsid w:val="00E0010A"/>
    <w:rsid w:val="00E02109"/>
    <w:rsid w:val="00E0745E"/>
    <w:rsid w:val="00E15FFB"/>
    <w:rsid w:val="00E17928"/>
    <w:rsid w:val="00E44E0D"/>
    <w:rsid w:val="00E462E6"/>
    <w:rsid w:val="00E60BB0"/>
    <w:rsid w:val="00E71BE6"/>
    <w:rsid w:val="00E804DF"/>
    <w:rsid w:val="00E82DF3"/>
    <w:rsid w:val="00E84637"/>
    <w:rsid w:val="00EA3400"/>
    <w:rsid w:val="00EB233F"/>
    <w:rsid w:val="00EB2BF1"/>
    <w:rsid w:val="00EB34CE"/>
    <w:rsid w:val="00EC2C7C"/>
    <w:rsid w:val="00EC7C4A"/>
    <w:rsid w:val="00ED0989"/>
    <w:rsid w:val="00EE5C65"/>
    <w:rsid w:val="00EF0A77"/>
    <w:rsid w:val="00EF2403"/>
    <w:rsid w:val="00F02ADB"/>
    <w:rsid w:val="00F05BD9"/>
    <w:rsid w:val="00F07D47"/>
    <w:rsid w:val="00F1151F"/>
    <w:rsid w:val="00F13BB5"/>
    <w:rsid w:val="00F14185"/>
    <w:rsid w:val="00F32681"/>
    <w:rsid w:val="00F56070"/>
    <w:rsid w:val="00F61810"/>
    <w:rsid w:val="00F6207E"/>
    <w:rsid w:val="00F81D98"/>
    <w:rsid w:val="00F856B2"/>
    <w:rsid w:val="00F9194B"/>
    <w:rsid w:val="00F97A65"/>
    <w:rsid w:val="00FA49DF"/>
    <w:rsid w:val="00FC1C32"/>
    <w:rsid w:val="00FD13E7"/>
    <w:rsid w:val="00FD6FDE"/>
    <w:rsid w:val="00FE59EF"/>
    <w:rsid w:val="00FF7229"/>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56EA"/>
  <w15:chartTrackingRefBased/>
  <w15:docId w15:val="{38D50E5C-6D1D-4E0F-868E-8418DFA2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07E"/>
    <w:rPr>
      <w:sz w:val="20"/>
      <w:szCs w:val="20"/>
    </w:rPr>
  </w:style>
  <w:style w:type="character" w:styleId="FootnoteReference">
    <w:name w:val="footnote reference"/>
    <w:basedOn w:val="DefaultParagraphFont"/>
    <w:uiPriority w:val="99"/>
    <w:semiHidden/>
    <w:unhideWhenUsed/>
    <w:rsid w:val="00F6207E"/>
    <w:rPr>
      <w:vertAlign w:val="superscript"/>
    </w:rPr>
  </w:style>
  <w:style w:type="paragraph" w:styleId="ListParagraph">
    <w:name w:val="List Paragraph"/>
    <w:basedOn w:val="Normal"/>
    <w:uiPriority w:val="34"/>
    <w:qFormat/>
    <w:rsid w:val="00303AF4"/>
    <w:pPr>
      <w:ind w:left="720"/>
      <w:contextualSpacing/>
    </w:pPr>
  </w:style>
  <w:style w:type="paragraph" w:styleId="Header">
    <w:name w:val="header"/>
    <w:basedOn w:val="Normal"/>
    <w:link w:val="HeaderChar"/>
    <w:uiPriority w:val="99"/>
    <w:unhideWhenUsed/>
    <w:rsid w:val="00C47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AC5"/>
  </w:style>
  <w:style w:type="paragraph" w:styleId="Footer">
    <w:name w:val="footer"/>
    <w:basedOn w:val="Normal"/>
    <w:link w:val="FooterChar"/>
    <w:uiPriority w:val="99"/>
    <w:unhideWhenUsed/>
    <w:rsid w:val="00C4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AC5"/>
  </w:style>
  <w:style w:type="paragraph" w:styleId="BalloonText">
    <w:name w:val="Balloon Text"/>
    <w:basedOn w:val="Normal"/>
    <w:link w:val="BalloonTextChar"/>
    <w:uiPriority w:val="99"/>
    <w:semiHidden/>
    <w:unhideWhenUsed/>
    <w:rsid w:val="008F7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ADA"/>
    <w:rPr>
      <w:rFonts w:ascii="Segoe UI" w:hAnsi="Segoe UI" w:cs="Segoe UI"/>
      <w:sz w:val="18"/>
      <w:szCs w:val="18"/>
    </w:rPr>
  </w:style>
  <w:style w:type="character" w:styleId="CommentReference">
    <w:name w:val="annotation reference"/>
    <w:basedOn w:val="DefaultParagraphFont"/>
    <w:uiPriority w:val="99"/>
    <w:semiHidden/>
    <w:unhideWhenUsed/>
    <w:rsid w:val="00042880"/>
    <w:rPr>
      <w:sz w:val="16"/>
      <w:szCs w:val="16"/>
    </w:rPr>
  </w:style>
  <w:style w:type="paragraph" w:styleId="CommentText">
    <w:name w:val="annotation text"/>
    <w:basedOn w:val="Normal"/>
    <w:link w:val="CommentTextChar"/>
    <w:uiPriority w:val="99"/>
    <w:semiHidden/>
    <w:unhideWhenUsed/>
    <w:rsid w:val="00042880"/>
    <w:pPr>
      <w:spacing w:line="240" w:lineRule="auto"/>
    </w:pPr>
    <w:rPr>
      <w:sz w:val="20"/>
      <w:szCs w:val="20"/>
    </w:rPr>
  </w:style>
  <w:style w:type="character" w:customStyle="1" w:styleId="CommentTextChar">
    <w:name w:val="Comment Text Char"/>
    <w:basedOn w:val="DefaultParagraphFont"/>
    <w:link w:val="CommentText"/>
    <w:uiPriority w:val="99"/>
    <w:semiHidden/>
    <w:rsid w:val="00042880"/>
    <w:rPr>
      <w:sz w:val="20"/>
      <w:szCs w:val="20"/>
    </w:rPr>
  </w:style>
  <w:style w:type="paragraph" w:styleId="CommentSubject">
    <w:name w:val="annotation subject"/>
    <w:basedOn w:val="CommentText"/>
    <w:next w:val="CommentText"/>
    <w:link w:val="CommentSubjectChar"/>
    <w:uiPriority w:val="99"/>
    <w:semiHidden/>
    <w:unhideWhenUsed/>
    <w:rsid w:val="00042880"/>
    <w:rPr>
      <w:b/>
      <w:bCs/>
    </w:rPr>
  </w:style>
  <w:style w:type="character" w:customStyle="1" w:styleId="CommentSubjectChar">
    <w:name w:val="Comment Subject Char"/>
    <w:basedOn w:val="CommentTextChar"/>
    <w:link w:val="CommentSubject"/>
    <w:uiPriority w:val="99"/>
    <w:semiHidden/>
    <w:rsid w:val="00042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6701-89BA-4617-AD06-1C9F6D0D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Mariana Anguelov</cp:lastModifiedBy>
  <cp:revision>3</cp:revision>
  <cp:lastPrinted>2022-10-14T07:38:00Z</cp:lastPrinted>
  <dcterms:created xsi:type="dcterms:W3CDTF">2022-10-19T08:48:00Z</dcterms:created>
  <dcterms:modified xsi:type="dcterms:W3CDTF">2022-10-19T19:21:00Z</dcterms:modified>
</cp:coreProperties>
</file>