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DD22" w14:textId="77777777" w:rsidR="0008561F" w:rsidRPr="00D04FE6" w:rsidRDefault="0008561F" w:rsidP="0008561F">
      <w:pPr>
        <w:spacing w:line="240" w:lineRule="auto"/>
        <w:jc w:val="center"/>
        <w:rPr>
          <w:rFonts w:cs="Arial"/>
          <w:b/>
        </w:rPr>
      </w:pPr>
      <w:r w:rsidRPr="00D04FE6">
        <w:rPr>
          <w:rFonts w:cs="Arial"/>
          <w:noProof/>
          <w:lang w:val="en-ZA" w:eastAsia="en-ZA"/>
        </w:rPr>
        <w:drawing>
          <wp:inline distT="0" distB="0" distL="0" distR="0" wp14:anchorId="45B060BC" wp14:editId="1A7BDBB9">
            <wp:extent cx="1609725" cy="1476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227" cy="1499764"/>
                    </a:xfrm>
                    <a:prstGeom prst="rect">
                      <a:avLst/>
                    </a:prstGeom>
                    <a:noFill/>
                  </pic:spPr>
                </pic:pic>
              </a:graphicData>
            </a:graphic>
          </wp:inline>
        </w:drawing>
      </w:r>
    </w:p>
    <w:p w14:paraId="2B3044DC" w14:textId="77777777" w:rsidR="00802433" w:rsidRPr="00D04FE6" w:rsidRDefault="00802433" w:rsidP="0008561F">
      <w:pPr>
        <w:spacing w:line="240" w:lineRule="auto"/>
        <w:jc w:val="center"/>
        <w:rPr>
          <w:rFonts w:cs="Arial"/>
          <w:b/>
        </w:rPr>
      </w:pPr>
    </w:p>
    <w:p w14:paraId="75CE67C9" w14:textId="77777777" w:rsidR="0008561F" w:rsidRPr="0034599E" w:rsidRDefault="0008561F" w:rsidP="00A26639">
      <w:pPr>
        <w:jc w:val="center"/>
        <w:rPr>
          <w:rFonts w:cs="Arial"/>
          <w:b/>
          <w:szCs w:val="24"/>
        </w:rPr>
      </w:pPr>
      <w:r w:rsidRPr="0034599E">
        <w:rPr>
          <w:rFonts w:cs="Arial"/>
          <w:b/>
          <w:szCs w:val="24"/>
        </w:rPr>
        <w:t>IN THE HIGH COURT OF SOUTH AFRICA</w:t>
      </w:r>
    </w:p>
    <w:p w14:paraId="0A708F3F" w14:textId="15581A85" w:rsidR="0008561F" w:rsidRPr="0034599E" w:rsidRDefault="0008561F" w:rsidP="00A26639">
      <w:pPr>
        <w:jc w:val="center"/>
        <w:rPr>
          <w:rFonts w:cs="Arial"/>
          <w:b/>
          <w:szCs w:val="24"/>
        </w:rPr>
      </w:pPr>
      <w:r w:rsidRPr="0034599E">
        <w:rPr>
          <w:rFonts w:cs="Arial"/>
          <w:b/>
          <w:szCs w:val="24"/>
        </w:rPr>
        <w:t>(EA</w:t>
      </w:r>
      <w:r w:rsidR="004647D4" w:rsidRPr="0034599E">
        <w:rPr>
          <w:rFonts w:cs="Arial"/>
          <w:b/>
          <w:szCs w:val="24"/>
        </w:rPr>
        <w:t>STERN CAPE</w:t>
      </w:r>
      <w:r w:rsidR="00D00BE5" w:rsidRPr="0034599E">
        <w:rPr>
          <w:rFonts w:cs="Arial"/>
          <w:b/>
          <w:szCs w:val="24"/>
        </w:rPr>
        <w:t xml:space="preserve"> </w:t>
      </w:r>
      <w:r w:rsidR="004647D4" w:rsidRPr="0034599E">
        <w:rPr>
          <w:rFonts w:cs="Arial"/>
          <w:b/>
          <w:szCs w:val="24"/>
        </w:rPr>
        <w:t xml:space="preserve">DIVISION, </w:t>
      </w:r>
      <w:r w:rsidR="00FF6226">
        <w:rPr>
          <w:rFonts w:cs="Arial"/>
          <w:b/>
          <w:szCs w:val="24"/>
        </w:rPr>
        <w:t>MAKHANDA</w:t>
      </w:r>
      <w:r w:rsidRPr="0034599E">
        <w:rPr>
          <w:rFonts w:cs="Arial"/>
          <w:b/>
          <w:szCs w:val="24"/>
        </w:rPr>
        <w:t>)</w:t>
      </w:r>
    </w:p>
    <w:p w14:paraId="1B3415DE" w14:textId="77777777" w:rsidR="00F17E23" w:rsidRPr="0034599E" w:rsidRDefault="00F17E23" w:rsidP="00A26639">
      <w:pPr>
        <w:jc w:val="center"/>
        <w:rPr>
          <w:rFonts w:cs="Arial"/>
          <w:b/>
          <w:szCs w:val="24"/>
        </w:rPr>
      </w:pPr>
    </w:p>
    <w:p w14:paraId="38379F0B" w14:textId="4B84AD6C" w:rsidR="0008561F" w:rsidRPr="0034599E" w:rsidRDefault="00FF6226" w:rsidP="00FF6226">
      <w:pPr>
        <w:rPr>
          <w:rFonts w:cs="Arial"/>
          <w:b/>
          <w:szCs w:val="24"/>
        </w:rPr>
      </w:pPr>
      <w:r>
        <w:rPr>
          <w:rFonts w:cs="Arial"/>
          <w:b/>
          <w:szCs w:val="24"/>
        </w:rPr>
        <w:t xml:space="preserve">                                                                                     APPEAL </w:t>
      </w:r>
      <w:r w:rsidR="0008561F" w:rsidRPr="0034599E">
        <w:rPr>
          <w:rFonts w:cs="Arial"/>
          <w:b/>
          <w:szCs w:val="24"/>
        </w:rPr>
        <w:t xml:space="preserve">CASE NO: </w:t>
      </w:r>
      <w:r>
        <w:rPr>
          <w:rFonts w:cs="Arial"/>
          <w:b/>
          <w:szCs w:val="24"/>
        </w:rPr>
        <w:t>CA 179</w:t>
      </w:r>
      <w:r w:rsidR="00EB4C32" w:rsidRPr="0034599E">
        <w:rPr>
          <w:rFonts w:cs="Arial"/>
          <w:b/>
          <w:szCs w:val="24"/>
        </w:rPr>
        <w:t>/2</w:t>
      </w:r>
      <w:r>
        <w:rPr>
          <w:rFonts w:cs="Arial"/>
          <w:b/>
          <w:szCs w:val="24"/>
        </w:rPr>
        <w:t>021</w:t>
      </w:r>
    </w:p>
    <w:p w14:paraId="48DD4814" w14:textId="77777777" w:rsidR="006E325F" w:rsidRPr="0034599E" w:rsidRDefault="006E325F" w:rsidP="006E325F">
      <w:pPr>
        <w:ind w:left="0" w:firstLine="0"/>
        <w:jc w:val="left"/>
        <w:rPr>
          <w:rFonts w:cs="Arial"/>
          <w:b/>
          <w:szCs w:val="24"/>
        </w:rPr>
      </w:pPr>
    </w:p>
    <w:p w14:paraId="6C23145C" w14:textId="77777777" w:rsidR="0008561F" w:rsidRPr="0034599E" w:rsidRDefault="0008561F" w:rsidP="006E325F">
      <w:pPr>
        <w:spacing w:line="276" w:lineRule="auto"/>
        <w:ind w:left="0" w:firstLine="0"/>
        <w:jc w:val="left"/>
        <w:rPr>
          <w:rFonts w:cs="Arial"/>
          <w:szCs w:val="24"/>
        </w:rPr>
      </w:pPr>
      <w:r w:rsidRPr="0034599E">
        <w:rPr>
          <w:rFonts w:cs="Arial"/>
          <w:szCs w:val="24"/>
        </w:rPr>
        <w:t>In the matter between:</w:t>
      </w:r>
    </w:p>
    <w:p w14:paraId="18D0F93F" w14:textId="77777777" w:rsidR="0008561F" w:rsidRPr="0034599E" w:rsidRDefault="0008561F" w:rsidP="006E325F">
      <w:pPr>
        <w:rPr>
          <w:rFonts w:cs="Arial"/>
          <w:szCs w:val="24"/>
        </w:rPr>
      </w:pPr>
    </w:p>
    <w:p w14:paraId="358BD99C" w14:textId="4B9CD50B" w:rsidR="00FF6226" w:rsidRDefault="00FF6226" w:rsidP="002A04A4">
      <w:pPr>
        <w:rPr>
          <w:rFonts w:cs="Arial"/>
          <w:b/>
          <w:szCs w:val="24"/>
        </w:rPr>
      </w:pPr>
      <w:r>
        <w:rPr>
          <w:rFonts w:cs="Arial"/>
          <w:b/>
          <w:szCs w:val="24"/>
        </w:rPr>
        <w:t>THE MEC: DEPARTMENT OF EDUCATION:</w:t>
      </w:r>
    </w:p>
    <w:p w14:paraId="23F6A80D" w14:textId="137A2130" w:rsidR="00CA43CC" w:rsidRDefault="00FF6226" w:rsidP="002A04A4">
      <w:pPr>
        <w:rPr>
          <w:rFonts w:cs="Arial"/>
          <w:bCs/>
          <w:szCs w:val="24"/>
        </w:rPr>
      </w:pPr>
      <w:r>
        <w:rPr>
          <w:rFonts w:cs="Arial"/>
          <w:b/>
          <w:szCs w:val="24"/>
        </w:rPr>
        <w:t xml:space="preserve">EASTERN CAPE PROVINCE </w:t>
      </w:r>
      <w:r w:rsidR="00141DE6">
        <w:rPr>
          <w:rFonts w:cs="Arial"/>
          <w:b/>
          <w:szCs w:val="24"/>
        </w:rPr>
        <w:t xml:space="preserve">                                                                    </w:t>
      </w:r>
      <w:r w:rsidRPr="00141DE6">
        <w:rPr>
          <w:rFonts w:cs="Arial"/>
          <w:bCs/>
          <w:szCs w:val="24"/>
        </w:rPr>
        <w:t>First Appella</w:t>
      </w:r>
      <w:r w:rsidR="00141DE6" w:rsidRPr="00141DE6">
        <w:rPr>
          <w:rFonts w:cs="Arial"/>
          <w:bCs/>
          <w:szCs w:val="24"/>
        </w:rPr>
        <w:t>nt</w:t>
      </w:r>
    </w:p>
    <w:p w14:paraId="4F57E56F" w14:textId="7A09B999" w:rsidR="00141DE6" w:rsidRDefault="00141DE6" w:rsidP="002A04A4">
      <w:pPr>
        <w:rPr>
          <w:rFonts w:cs="Arial"/>
          <w:b/>
          <w:szCs w:val="24"/>
        </w:rPr>
      </w:pPr>
    </w:p>
    <w:p w14:paraId="5C35E615" w14:textId="77777777" w:rsidR="00141DE6" w:rsidRDefault="00141DE6" w:rsidP="002A04A4">
      <w:pPr>
        <w:rPr>
          <w:rFonts w:cs="Arial"/>
          <w:b/>
          <w:szCs w:val="24"/>
        </w:rPr>
      </w:pPr>
      <w:r>
        <w:rPr>
          <w:rFonts w:cs="Arial"/>
          <w:b/>
          <w:szCs w:val="24"/>
        </w:rPr>
        <w:t xml:space="preserve">THE DISTRICT DIRECTOR: DEPARTMENT OF </w:t>
      </w:r>
    </w:p>
    <w:p w14:paraId="62222076" w14:textId="20B3DDDF" w:rsidR="00141DE6" w:rsidRDefault="00141DE6" w:rsidP="002A04A4">
      <w:pPr>
        <w:rPr>
          <w:rFonts w:cs="Arial"/>
          <w:bCs/>
          <w:szCs w:val="24"/>
        </w:rPr>
      </w:pPr>
      <w:r>
        <w:rPr>
          <w:rFonts w:cs="Arial"/>
          <w:b/>
          <w:szCs w:val="24"/>
        </w:rPr>
        <w:t xml:space="preserve">EDUCATION SARAH </w:t>
      </w:r>
      <w:r w:rsidR="007B34A0">
        <w:rPr>
          <w:rFonts w:cs="Arial"/>
          <w:b/>
          <w:szCs w:val="24"/>
        </w:rPr>
        <w:t>BAARTMAN</w:t>
      </w:r>
      <w:r>
        <w:rPr>
          <w:rFonts w:cs="Arial"/>
          <w:b/>
          <w:szCs w:val="24"/>
        </w:rPr>
        <w:t xml:space="preserve"> DISTRICT                                 </w:t>
      </w:r>
      <w:r w:rsidR="007B34A0">
        <w:rPr>
          <w:rFonts w:cs="Arial"/>
          <w:b/>
          <w:szCs w:val="24"/>
        </w:rPr>
        <w:t xml:space="preserve">      </w:t>
      </w:r>
      <w:r w:rsidRPr="00141DE6">
        <w:rPr>
          <w:rFonts w:cs="Arial"/>
          <w:bCs/>
          <w:szCs w:val="24"/>
        </w:rPr>
        <w:t>Second Appellant</w:t>
      </w:r>
    </w:p>
    <w:p w14:paraId="1B85EB94" w14:textId="7BAB4DBA" w:rsidR="00141DE6" w:rsidRDefault="00141DE6" w:rsidP="002A04A4">
      <w:pPr>
        <w:rPr>
          <w:rFonts w:cs="Arial"/>
          <w:b/>
          <w:szCs w:val="24"/>
        </w:rPr>
      </w:pPr>
    </w:p>
    <w:p w14:paraId="75D1C4EA" w14:textId="541FF1D3" w:rsidR="00141DE6" w:rsidRDefault="00141DE6" w:rsidP="002A04A4">
      <w:pPr>
        <w:rPr>
          <w:rFonts w:cs="Arial"/>
          <w:bCs/>
          <w:szCs w:val="24"/>
        </w:rPr>
      </w:pPr>
      <w:r>
        <w:rPr>
          <w:rFonts w:cs="Arial"/>
          <w:b/>
          <w:szCs w:val="24"/>
        </w:rPr>
        <w:t xml:space="preserve">BELINDA </w:t>
      </w:r>
      <w:r w:rsidR="007B34A0">
        <w:rPr>
          <w:rFonts w:cs="Arial"/>
          <w:b/>
          <w:szCs w:val="24"/>
        </w:rPr>
        <w:t>BOTHA</w:t>
      </w:r>
      <w:r>
        <w:rPr>
          <w:rFonts w:cs="Arial"/>
          <w:b/>
          <w:szCs w:val="24"/>
        </w:rPr>
        <w:t xml:space="preserve">                                                                               </w:t>
      </w:r>
      <w:r w:rsidR="007B34A0">
        <w:rPr>
          <w:rFonts w:cs="Arial"/>
          <w:b/>
          <w:szCs w:val="24"/>
        </w:rPr>
        <w:t xml:space="preserve">        </w:t>
      </w:r>
      <w:r w:rsidRPr="00141DE6">
        <w:rPr>
          <w:rFonts w:cs="Arial"/>
          <w:bCs/>
          <w:szCs w:val="24"/>
        </w:rPr>
        <w:t>Third Appellant</w:t>
      </w:r>
    </w:p>
    <w:p w14:paraId="77E50FC5" w14:textId="299AF267" w:rsidR="00141DE6" w:rsidRDefault="00141DE6" w:rsidP="002A04A4">
      <w:pPr>
        <w:rPr>
          <w:rFonts w:cs="Arial"/>
          <w:b/>
          <w:szCs w:val="24"/>
        </w:rPr>
      </w:pPr>
    </w:p>
    <w:p w14:paraId="38521A62" w14:textId="0ECEF49E" w:rsidR="00141DE6" w:rsidRPr="0034599E" w:rsidRDefault="00141DE6" w:rsidP="002A04A4">
      <w:pPr>
        <w:rPr>
          <w:rFonts w:cs="Arial"/>
          <w:b/>
          <w:szCs w:val="24"/>
        </w:rPr>
      </w:pPr>
      <w:r>
        <w:rPr>
          <w:rFonts w:cs="Arial"/>
          <w:b/>
          <w:szCs w:val="24"/>
        </w:rPr>
        <w:t>F</w:t>
      </w:r>
      <w:r w:rsidR="007B34A0">
        <w:rPr>
          <w:rFonts w:cs="Arial"/>
          <w:b/>
          <w:szCs w:val="24"/>
        </w:rPr>
        <w:t>UNDISWA</w:t>
      </w:r>
      <w:r>
        <w:rPr>
          <w:rFonts w:cs="Arial"/>
          <w:b/>
          <w:szCs w:val="24"/>
        </w:rPr>
        <w:t xml:space="preserve"> JIM-WABANIE                                                                  </w:t>
      </w:r>
      <w:r w:rsidR="007B34A0">
        <w:rPr>
          <w:rFonts w:cs="Arial"/>
          <w:b/>
          <w:szCs w:val="24"/>
        </w:rPr>
        <w:t xml:space="preserve">   </w:t>
      </w:r>
      <w:r w:rsidRPr="007B34A0">
        <w:rPr>
          <w:rFonts w:cs="Arial"/>
          <w:bCs/>
          <w:szCs w:val="24"/>
        </w:rPr>
        <w:t>Fourth Appellant</w:t>
      </w:r>
    </w:p>
    <w:p w14:paraId="4899BD1C" w14:textId="77777777" w:rsidR="006A3090" w:rsidRPr="0034599E" w:rsidRDefault="006A3090" w:rsidP="001875D6">
      <w:pPr>
        <w:rPr>
          <w:rFonts w:cs="Arial"/>
          <w:szCs w:val="24"/>
        </w:rPr>
      </w:pPr>
    </w:p>
    <w:p w14:paraId="4CF8B276" w14:textId="77777777" w:rsidR="0008561F" w:rsidRPr="0034599E" w:rsidRDefault="00CA43CC" w:rsidP="002A04A4">
      <w:pPr>
        <w:rPr>
          <w:rFonts w:cs="Arial"/>
          <w:szCs w:val="24"/>
        </w:rPr>
      </w:pPr>
      <w:r w:rsidRPr="0034599E">
        <w:rPr>
          <w:rFonts w:cs="Arial"/>
          <w:szCs w:val="24"/>
        </w:rPr>
        <w:t>and</w:t>
      </w:r>
    </w:p>
    <w:p w14:paraId="7BE34A28" w14:textId="77777777" w:rsidR="00442F7A" w:rsidRPr="0034599E" w:rsidRDefault="00442F7A" w:rsidP="001875D6">
      <w:pPr>
        <w:tabs>
          <w:tab w:val="left" w:pos="5670"/>
        </w:tabs>
        <w:ind w:left="0" w:firstLine="0"/>
        <w:rPr>
          <w:rFonts w:cs="Arial"/>
          <w:b/>
          <w:szCs w:val="24"/>
        </w:rPr>
      </w:pPr>
    </w:p>
    <w:p w14:paraId="59A0D2F2" w14:textId="45E56939" w:rsidR="00442F7A" w:rsidRPr="0034599E" w:rsidRDefault="007B34A0" w:rsidP="00F17E23">
      <w:pPr>
        <w:tabs>
          <w:tab w:val="left" w:pos="5670"/>
        </w:tabs>
        <w:ind w:left="0" w:firstLine="0"/>
        <w:jc w:val="left"/>
        <w:rPr>
          <w:rFonts w:cs="Arial"/>
          <w:szCs w:val="24"/>
        </w:rPr>
      </w:pPr>
      <w:r>
        <w:rPr>
          <w:rFonts w:cs="Arial"/>
          <w:b/>
          <w:szCs w:val="24"/>
        </w:rPr>
        <w:t>DOLAN GORDON COHCRANE</w:t>
      </w:r>
      <w:r w:rsidR="00F17E23" w:rsidRPr="0034599E">
        <w:rPr>
          <w:rFonts w:cs="Arial"/>
          <w:b/>
          <w:szCs w:val="24"/>
        </w:rPr>
        <w:tab/>
      </w:r>
      <w:r w:rsidR="003A3C34" w:rsidRPr="0034599E">
        <w:rPr>
          <w:rFonts w:cs="Arial"/>
          <w:b/>
          <w:szCs w:val="24"/>
        </w:rPr>
        <w:t xml:space="preserve">              </w:t>
      </w:r>
      <w:r w:rsidR="00D04FE6" w:rsidRPr="0034599E">
        <w:rPr>
          <w:rFonts w:cs="Arial"/>
          <w:b/>
          <w:szCs w:val="24"/>
        </w:rPr>
        <w:tab/>
        <w:t xml:space="preserve">   </w:t>
      </w:r>
      <w:r w:rsidR="0034599E">
        <w:rPr>
          <w:rFonts w:cs="Arial"/>
          <w:b/>
          <w:szCs w:val="24"/>
        </w:rPr>
        <w:t xml:space="preserve"> </w:t>
      </w:r>
      <w:r w:rsidR="00382333" w:rsidRPr="0034599E">
        <w:rPr>
          <w:rFonts w:cs="Arial"/>
          <w:szCs w:val="24"/>
        </w:rPr>
        <w:t>First</w:t>
      </w:r>
      <w:r>
        <w:rPr>
          <w:rFonts w:cs="Arial"/>
          <w:szCs w:val="24"/>
        </w:rPr>
        <w:t xml:space="preserve"> Respondent</w:t>
      </w:r>
    </w:p>
    <w:p w14:paraId="09C975D8" w14:textId="77777777" w:rsidR="00D04FE6" w:rsidRPr="0034599E" w:rsidRDefault="00D04FE6" w:rsidP="00F17E23">
      <w:pPr>
        <w:tabs>
          <w:tab w:val="left" w:pos="5670"/>
        </w:tabs>
        <w:ind w:left="0" w:firstLine="0"/>
        <w:jc w:val="left"/>
        <w:rPr>
          <w:rFonts w:cs="Arial"/>
          <w:b/>
          <w:szCs w:val="24"/>
        </w:rPr>
      </w:pPr>
    </w:p>
    <w:p w14:paraId="10BA907A" w14:textId="0777EFD6" w:rsidR="006D4DFA" w:rsidRDefault="007B34A0" w:rsidP="00F17E23">
      <w:pPr>
        <w:tabs>
          <w:tab w:val="left" w:pos="5670"/>
        </w:tabs>
        <w:ind w:left="0" w:firstLine="0"/>
        <w:jc w:val="left"/>
        <w:rPr>
          <w:rFonts w:cs="Arial"/>
          <w:szCs w:val="24"/>
        </w:rPr>
      </w:pPr>
      <w:r>
        <w:rPr>
          <w:rFonts w:cs="Arial"/>
          <w:b/>
          <w:szCs w:val="24"/>
        </w:rPr>
        <w:t>JENNIFER MAY HOPE</w:t>
      </w:r>
      <w:r w:rsidR="003A3C34" w:rsidRPr="0034599E">
        <w:rPr>
          <w:rFonts w:cs="Arial"/>
          <w:b/>
          <w:szCs w:val="24"/>
        </w:rPr>
        <w:tab/>
        <w:t xml:space="preserve">              </w:t>
      </w:r>
      <w:r w:rsidR="00D04FE6" w:rsidRPr="0034599E">
        <w:rPr>
          <w:rFonts w:cs="Arial"/>
          <w:b/>
          <w:szCs w:val="24"/>
        </w:rPr>
        <w:t xml:space="preserve">   </w:t>
      </w:r>
      <w:r w:rsidR="0034599E">
        <w:rPr>
          <w:rFonts w:cs="Arial"/>
          <w:b/>
          <w:szCs w:val="24"/>
        </w:rPr>
        <w:t xml:space="preserve">     </w:t>
      </w:r>
      <w:r w:rsidR="003A3C34" w:rsidRPr="0034599E">
        <w:rPr>
          <w:rFonts w:cs="Arial"/>
          <w:szCs w:val="24"/>
        </w:rPr>
        <w:t xml:space="preserve">Second </w:t>
      </w:r>
      <w:r>
        <w:rPr>
          <w:rFonts w:cs="Arial"/>
          <w:szCs w:val="24"/>
        </w:rPr>
        <w:t>Respondent</w:t>
      </w:r>
    </w:p>
    <w:p w14:paraId="1F389167" w14:textId="582ED9C8" w:rsidR="00571E25" w:rsidRDefault="00571E25" w:rsidP="00F17E23">
      <w:pPr>
        <w:tabs>
          <w:tab w:val="left" w:pos="5670"/>
        </w:tabs>
        <w:ind w:left="0" w:firstLine="0"/>
        <w:jc w:val="left"/>
        <w:rPr>
          <w:rFonts w:cs="Arial"/>
          <w:szCs w:val="24"/>
        </w:rPr>
      </w:pPr>
    </w:p>
    <w:p w14:paraId="1865C4CC" w14:textId="05E24399" w:rsidR="00571E25" w:rsidRPr="00324AC2" w:rsidRDefault="00571E25" w:rsidP="00F17E23">
      <w:pPr>
        <w:tabs>
          <w:tab w:val="left" w:pos="5670"/>
        </w:tabs>
        <w:ind w:left="0" w:firstLine="0"/>
        <w:jc w:val="left"/>
        <w:rPr>
          <w:rFonts w:cs="Arial"/>
          <w:szCs w:val="24"/>
        </w:rPr>
      </w:pPr>
      <w:r>
        <w:rPr>
          <w:rFonts w:cs="Arial"/>
          <w:b/>
          <w:bCs/>
          <w:szCs w:val="24"/>
        </w:rPr>
        <w:t>ISAAC KELVIN KAYSTER</w:t>
      </w:r>
      <w:r w:rsidR="00324AC2">
        <w:rPr>
          <w:rFonts w:cs="Arial"/>
          <w:b/>
          <w:bCs/>
          <w:szCs w:val="24"/>
        </w:rPr>
        <w:t xml:space="preserve">                                                                    </w:t>
      </w:r>
      <w:r w:rsidR="00324AC2">
        <w:rPr>
          <w:rFonts w:cs="Arial"/>
          <w:szCs w:val="24"/>
        </w:rPr>
        <w:t>Third Respondent</w:t>
      </w:r>
    </w:p>
    <w:p w14:paraId="28D79315" w14:textId="71325F7F" w:rsidR="00571E25" w:rsidRDefault="00571E25" w:rsidP="00F17E23">
      <w:pPr>
        <w:tabs>
          <w:tab w:val="left" w:pos="5670"/>
        </w:tabs>
        <w:ind w:left="0" w:firstLine="0"/>
        <w:jc w:val="left"/>
        <w:rPr>
          <w:rFonts w:cs="Arial"/>
          <w:b/>
          <w:bCs/>
          <w:szCs w:val="24"/>
        </w:rPr>
      </w:pPr>
    </w:p>
    <w:p w14:paraId="3486874B" w14:textId="3684D4C8" w:rsidR="00571E25" w:rsidRPr="00324AC2" w:rsidRDefault="00571E25" w:rsidP="00F17E23">
      <w:pPr>
        <w:tabs>
          <w:tab w:val="left" w:pos="5670"/>
        </w:tabs>
        <w:ind w:left="0" w:firstLine="0"/>
        <w:jc w:val="left"/>
        <w:rPr>
          <w:rFonts w:cs="Arial"/>
          <w:szCs w:val="24"/>
        </w:rPr>
      </w:pPr>
      <w:r>
        <w:rPr>
          <w:rFonts w:cs="Arial"/>
          <w:b/>
          <w:bCs/>
          <w:szCs w:val="24"/>
        </w:rPr>
        <w:lastRenderedPageBreak/>
        <w:t>TESSA CLAIR NEILL</w:t>
      </w:r>
      <w:r w:rsidR="00324AC2">
        <w:rPr>
          <w:rFonts w:cs="Arial"/>
          <w:b/>
          <w:bCs/>
          <w:szCs w:val="24"/>
        </w:rPr>
        <w:t xml:space="preserve">                                                                          </w:t>
      </w:r>
      <w:r w:rsidR="00324AC2">
        <w:rPr>
          <w:rFonts w:cs="Arial"/>
          <w:szCs w:val="24"/>
        </w:rPr>
        <w:t>Fourth Respondent</w:t>
      </w:r>
    </w:p>
    <w:p w14:paraId="3BCC3D91" w14:textId="2562BF3D" w:rsidR="00571E25" w:rsidRDefault="00571E25" w:rsidP="00F17E23">
      <w:pPr>
        <w:tabs>
          <w:tab w:val="left" w:pos="5670"/>
        </w:tabs>
        <w:ind w:left="0" w:firstLine="0"/>
        <w:jc w:val="left"/>
        <w:rPr>
          <w:rFonts w:cs="Arial"/>
          <w:b/>
          <w:bCs/>
          <w:szCs w:val="24"/>
        </w:rPr>
      </w:pPr>
    </w:p>
    <w:p w14:paraId="584F5FA6" w14:textId="56BAA633" w:rsidR="00571E25" w:rsidRPr="00324AC2" w:rsidRDefault="00571E25" w:rsidP="00F17E23">
      <w:pPr>
        <w:tabs>
          <w:tab w:val="left" w:pos="5670"/>
        </w:tabs>
        <w:ind w:left="0" w:firstLine="0"/>
        <w:jc w:val="left"/>
        <w:rPr>
          <w:rFonts w:cs="Arial"/>
          <w:szCs w:val="24"/>
        </w:rPr>
      </w:pPr>
      <w:r>
        <w:rPr>
          <w:rFonts w:cs="Arial"/>
          <w:b/>
          <w:bCs/>
          <w:szCs w:val="24"/>
        </w:rPr>
        <w:t>GRANT GEORGE LEMKE</w:t>
      </w:r>
      <w:r w:rsidR="00324AC2">
        <w:rPr>
          <w:rFonts w:cs="Arial"/>
          <w:b/>
          <w:bCs/>
          <w:szCs w:val="24"/>
        </w:rPr>
        <w:t xml:space="preserve">                                                                     </w:t>
      </w:r>
      <w:r w:rsidR="00324AC2">
        <w:rPr>
          <w:rFonts w:cs="Arial"/>
          <w:szCs w:val="24"/>
        </w:rPr>
        <w:t>Fifth Respondent</w:t>
      </w:r>
    </w:p>
    <w:p w14:paraId="3BE36B0A" w14:textId="1E8E37CD" w:rsidR="00571E25" w:rsidRDefault="00571E25" w:rsidP="00F17E23">
      <w:pPr>
        <w:tabs>
          <w:tab w:val="left" w:pos="5670"/>
        </w:tabs>
        <w:ind w:left="0" w:firstLine="0"/>
        <w:jc w:val="left"/>
        <w:rPr>
          <w:rFonts w:cs="Arial"/>
          <w:b/>
          <w:bCs/>
          <w:szCs w:val="24"/>
        </w:rPr>
      </w:pPr>
    </w:p>
    <w:p w14:paraId="50FF6CCB" w14:textId="0F7AF5EB" w:rsidR="00571E25" w:rsidRPr="00324AC2" w:rsidRDefault="00571E25" w:rsidP="00F17E23">
      <w:pPr>
        <w:tabs>
          <w:tab w:val="left" w:pos="5670"/>
        </w:tabs>
        <w:ind w:left="0" w:firstLine="0"/>
        <w:jc w:val="left"/>
        <w:rPr>
          <w:rFonts w:cs="Arial"/>
          <w:szCs w:val="24"/>
        </w:rPr>
      </w:pPr>
      <w:r>
        <w:rPr>
          <w:rFonts w:cs="Arial"/>
          <w:b/>
          <w:bCs/>
          <w:szCs w:val="24"/>
        </w:rPr>
        <w:t>CHERYL WADDELOW</w:t>
      </w:r>
      <w:r w:rsidR="00324AC2">
        <w:rPr>
          <w:rFonts w:cs="Arial"/>
          <w:b/>
          <w:bCs/>
          <w:szCs w:val="24"/>
        </w:rPr>
        <w:t xml:space="preserve">                                                                          </w:t>
      </w:r>
      <w:r w:rsidR="00324AC2">
        <w:rPr>
          <w:rFonts w:cs="Arial"/>
          <w:szCs w:val="24"/>
        </w:rPr>
        <w:t>Sixth Respondent</w:t>
      </w:r>
    </w:p>
    <w:p w14:paraId="1BBCA2D2" w14:textId="2EBF117E" w:rsidR="00571E25" w:rsidRDefault="00571E25" w:rsidP="00F17E23">
      <w:pPr>
        <w:tabs>
          <w:tab w:val="left" w:pos="5670"/>
        </w:tabs>
        <w:ind w:left="0" w:firstLine="0"/>
        <w:jc w:val="left"/>
        <w:rPr>
          <w:rFonts w:cs="Arial"/>
          <w:b/>
          <w:bCs/>
          <w:szCs w:val="24"/>
        </w:rPr>
      </w:pPr>
    </w:p>
    <w:p w14:paraId="730EDDA2" w14:textId="08393A7C" w:rsidR="00571E25" w:rsidRPr="00324AC2" w:rsidRDefault="00571E25" w:rsidP="00F17E23">
      <w:pPr>
        <w:tabs>
          <w:tab w:val="left" w:pos="5670"/>
        </w:tabs>
        <w:ind w:left="0" w:firstLine="0"/>
        <w:jc w:val="left"/>
        <w:rPr>
          <w:rFonts w:cs="Arial"/>
          <w:szCs w:val="24"/>
        </w:rPr>
      </w:pPr>
      <w:r>
        <w:rPr>
          <w:rFonts w:cs="Arial"/>
          <w:b/>
          <w:bCs/>
          <w:szCs w:val="24"/>
        </w:rPr>
        <w:t>DAVID ANDREW LANGMEAD</w:t>
      </w:r>
      <w:r w:rsidR="00324AC2">
        <w:rPr>
          <w:rFonts w:cs="Arial"/>
          <w:b/>
          <w:bCs/>
          <w:szCs w:val="24"/>
        </w:rPr>
        <w:t xml:space="preserve">                                                        </w:t>
      </w:r>
      <w:r w:rsidR="00324AC2">
        <w:rPr>
          <w:rFonts w:cs="Arial"/>
          <w:szCs w:val="24"/>
        </w:rPr>
        <w:t>Seventh Respondent</w:t>
      </w:r>
    </w:p>
    <w:p w14:paraId="763DAAC8" w14:textId="36CDA308" w:rsidR="00571E25" w:rsidRDefault="00571E25" w:rsidP="00F17E23">
      <w:pPr>
        <w:tabs>
          <w:tab w:val="left" w:pos="5670"/>
        </w:tabs>
        <w:ind w:left="0" w:firstLine="0"/>
        <w:jc w:val="left"/>
        <w:rPr>
          <w:rFonts w:cs="Arial"/>
          <w:b/>
          <w:bCs/>
          <w:szCs w:val="24"/>
        </w:rPr>
      </w:pPr>
    </w:p>
    <w:p w14:paraId="09F444CC" w14:textId="2373A8D9" w:rsidR="00571E25" w:rsidRPr="00324AC2" w:rsidRDefault="00571E25" w:rsidP="00F17E23">
      <w:pPr>
        <w:tabs>
          <w:tab w:val="left" w:pos="5670"/>
        </w:tabs>
        <w:ind w:left="0" w:firstLine="0"/>
        <w:jc w:val="left"/>
        <w:rPr>
          <w:rFonts w:cs="Arial"/>
          <w:szCs w:val="24"/>
        </w:rPr>
      </w:pPr>
      <w:r>
        <w:rPr>
          <w:rFonts w:cs="Arial"/>
          <w:b/>
          <w:bCs/>
          <w:szCs w:val="24"/>
        </w:rPr>
        <w:t>DEREK LIGHT N.O.</w:t>
      </w:r>
      <w:r w:rsidR="00324AC2">
        <w:rPr>
          <w:rFonts w:cs="Arial"/>
          <w:b/>
          <w:bCs/>
          <w:szCs w:val="24"/>
        </w:rPr>
        <w:t xml:space="preserve">                                                                              </w:t>
      </w:r>
      <w:r w:rsidR="00324AC2">
        <w:rPr>
          <w:rFonts w:cs="Arial"/>
          <w:szCs w:val="24"/>
        </w:rPr>
        <w:t>Eight Respondent</w:t>
      </w:r>
    </w:p>
    <w:p w14:paraId="795495DF" w14:textId="3D068BEA" w:rsidR="00571E25" w:rsidRDefault="00571E25" w:rsidP="00F17E23">
      <w:pPr>
        <w:tabs>
          <w:tab w:val="left" w:pos="5670"/>
        </w:tabs>
        <w:ind w:left="0" w:firstLine="0"/>
        <w:jc w:val="left"/>
        <w:rPr>
          <w:rFonts w:cs="Arial"/>
          <w:b/>
          <w:bCs/>
          <w:szCs w:val="24"/>
        </w:rPr>
      </w:pPr>
    </w:p>
    <w:p w14:paraId="3F326C3F" w14:textId="22D74E79" w:rsidR="00571E25" w:rsidRPr="00324AC2" w:rsidRDefault="00571E25" w:rsidP="00F17E23">
      <w:pPr>
        <w:tabs>
          <w:tab w:val="left" w:pos="5670"/>
        </w:tabs>
        <w:ind w:left="0" w:firstLine="0"/>
        <w:jc w:val="left"/>
        <w:rPr>
          <w:rFonts w:cs="Arial"/>
          <w:szCs w:val="24"/>
        </w:rPr>
      </w:pPr>
      <w:r>
        <w:rPr>
          <w:rFonts w:cs="Arial"/>
          <w:b/>
          <w:bCs/>
          <w:szCs w:val="24"/>
        </w:rPr>
        <w:t>JOHN DOUGLAS STERN N.O.</w:t>
      </w:r>
      <w:r w:rsidR="00324AC2">
        <w:rPr>
          <w:rFonts w:cs="Arial"/>
          <w:b/>
          <w:bCs/>
          <w:szCs w:val="24"/>
        </w:rPr>
        <w:t xml:space="preserve">          </w:t>
      </w:r>
      <w:r w:rsidR="004A3135">
        <w:rPr>
          <w:rFonts w:cs="Arial"/>
          <w:b/>
          <w:bCs/>
          <w:szCs w:val="24"/>
        </w:rPr>
        <w:t xml:space="preserve">                                                  </w:t>
      </w:r>
      <w:r w:rsidR="004A3135">
        <w:rPr>
          <w:rFonts w:cs="Arial"/>
          <w:szCs w:val="24"/>
        </w:rPr>
        <w:t>Ninth Respondent</w:t>
      </w:r>
    </w:p>
    <w:p w14:paraId="69AC152B" w14:textId="09B50172" w:rsidR="00571E25" w:rsidRDefault="00571E25" w:rsidP="00F17E23">
      <w:pPr>
        <w:tabs>
          <w:tab w:val="left" w:pos="5670"/>
        </w:tabs>
        <w:ind w:left="0" w:firstLine="0"/>
        <w:jc w:val="left"/>
        <w:rPr>
          <w:rFonts w:cs="Arial"/>
          <w:b/>
          <w:bCs/>
          <w:szCs w:val="24"/>
        </w:rPr>
      </w:pPr>
    </w:p>
    <w:p w14:paraId="00051855" w14:textId="7025C414" w:rsidR="00571E25" w:rsidRPr="004A3135" w:rsidRDefault="00571E25" w:rsidP="00F17E23">
      <w:pPr>
        <w:tabs>
          <w:tab w:val="left" w:pos="5670"/>
        </w:tabs>
        <w:ind w:left="0" w:firstLine="0"/>
        <w:jc w:val="left"/>
        <w:rPr>
          <w:rFonts w:cs="Arial"/>
          <w:szCs w:val="24"/>
        </w:rPr>
      </w:pPr>
      <w:r>
        <w:rPr>
          <w:rFonts w:cs="Arial"/>
          <w:b/>
          <w:bCs/>
          <w:szCs w:val="24"/>
        </w:rPr>
        <w:t>KEVIN CHARLES WATERMEYER N.O.</w:t>
      </w:r>
      <w:r w:rsidR="004A3135">
        <w:rPr>
          <w:rFonts w:cs="Arial"/>
          <w:b/>
          <w:bCs/>
          <w:szCs w:val="24"/>
        </w:rPr>
        <w:t xml:space="preserve">                                             </w:t>
      </w:r>
      <w:r w:rsidR="004A3135">
        <w:rPr>
          <w:rFonts w:cs="Arial"/>
          <w:szCs w:val="24"/>
        </w:rPr>
        <w:t>Tenth Respondent</w:t>
      </w:r>
    </w:p>
    <w:p w14:paraId="2160AFDC" w14:textId="154749DD" w:rsidR="00571E25" w:rsidRDefault="00571E25" w:rsidP="00F17E23">
      <w:pPr>
        <w:tabs>
          <w:tab w:val="left" w:pos="5670"/>
        </w:tabs>
        <w:ind w:left="0" w:firstLine="0"/>
        <w:jc w:val="left"/>
        <w:rPr>
          <w:rFonts w:cs="Arial"/>
          <w:b/>
          <w:bCs/>
          <w:szCs w:val="24"/>
        </w:rPr>
      </w:pPr>
    </w:p>
    <w:p w14:paraId="6AE96CF0" w14:textId="5C93E652" w:rsidR="00571E25" w:rsidRPr="004A3135" w:rsidRDefault="00571E25" w:rsidP="00F17E23">
      <w:pPr>
        <w:tabs>
          <w:tab w:val="left" w:pos="5670"/>
        </w:tabs>
        <w:ind w:left="0" w:firstLine="0"/>
        <w:jc w:val="left"/>
        <w:rPr>
          <w:rFonts w:cs="Arial"/>
          <w:szCs w:val="24"/>
        </w:rPr>
      </w:pPr>
      <w:r>
        <w:rPr>
          <w:rFonts w:cs="Arial"/>
          <w:b/>
          <w:bCs/>
          <w:szCs w:val="24"/>
        </w:rPr>
        <w:t>ARLAND JAMES USSHER STANLEY N.O.</w:t>
      </w:r>
      <w:r w:rsidR="004A3135">
        <w:rPr>
          <w:rFonts w:cs="Arial"/>
          <w:b/>
          <w:bCs/>
          <w:szCs w:val="24"/>
        </w:rPr>
        <w:t xml:space="preserve">                                   </w:t>
      </w:r>
      <w:r w:rsidR="004A3135">
        <w:rPr>
          <w:rFonts w:cs="Arial"/>
          <w:szCs w:val="24"/>
        </w:rPr>
        <w:t>Eleventh Respondent</w:t>
      </w:r>
    </w:p>
    <w:p w14:paraId="7DC2DBBD" w14:textId="3774F053" w:rsidR="00571E25" w:rsidRDefault="00571E25" w:rsidP="00F17E23">
      <w:pPr>
        <w:tabs>
          <w:tab w:val="left" w:pos="5670"/>
        </w:tabs>
        <w:ind w:left="0" w:firstLine="0"/>
        <w:jc w:val="left"/>
        <w:rPr>
          <w:rFonts w:cs="Arial"/>
          <w:b/>
          <w:bCs/>
          <w:szCs w:val="24"/>
        </w:rPr>
      </w:pPr>
    </w:p>
    <w:p w14:paraId="1C347400" w14:textId="02F90CF6" w:rsidR="00571E25" w:rsidRPr="004A3135" w:rsidRDefault="00571E25" w:rsidP="00F17E23">
      <w:pPr>
        <w:tabs>
          <w:tab w:val="left" w:pos="5670"/>
        </w:tabs>
        <w:ind w:left="0" w:firstLine="0"/>
        <w:jc w:val="left"/>
        <w:rPr>
          <w:rFonts w:cs="Arial"/>
          <w:szCs w:val="24"/>
        </w:rPr>
      </w:pPr>
      <w:r>
        <w:rPr>
          <w:rFonts w:cs="Arial"/>
          <w:b/>
          <w:bCs/>
          <w:szCs w:val="24"/>
        </w:rPr>
        <w:t>KARIN WALTRAUD MARAIS N.O.</w:t>
      </w:r>
      <w:r w:rsidR="004A3135">
        <w:rPr>
          <w:rFonts w:cs="Arial"/>
          <w:b/>
          <w:bCs/>
          <w:szCs w:val="24"/>
        </w:rPr>
        <w:t xml:space="preserve">                                                   </w:t>
      </w:r>
      <w:r w:rsidR="004A3135">
        <w:rPr>
          <w:rFonts w:cs="Arial"/>
          <w:szCs w:val="24"/>
        </w:rPr>
        <w:t>Twelfth Respondent</w:t>
      </w:r>
    </w:p>
    <w:p w14:paraId="611EAB72" w14:textId="70A411FF" w:rsidR="00324AC2" w:rsidRDefault="00324AC2" w:rsidP="00F17E23">
      <w:pPr>
        <w:tabs>
          <w:tab w:val="left" w:pos="5670"/>
        </w:tabs>
        <w:ind w:left="0" w:firstLine="0"/>
        <w:jc w:val="left"/>
        <w:rPr>
          <w:rFonts w:cs="Arial"/>
          <w:b/>
          <w:bCs/>
          <w:szCs w:val="24"/>
        </w:rPr>
      </w:pPr>
    </w:p>
    <w:p w14:paraId="61535ED1" w14:textId="7C582BA9" w:rsidR="00324AC2" w:rsidRPr="004A3135" w:rsidRDefault="00324AC2" w:rsidP="00F17E23">
      <w:pPr>
        <w:tabs>
          <w:tab w:val="left" w:pos="5670"/>
        </w:tabs>
        <w:ind w:left="0" w:firstLine="0"/>
        <w:jc w:val="left"/>
        <w:rPr>
          <w:rFonts w:cs="Arial"/>
          <w:szCs w:val="24"/>
        </w:rPr>
      </w:pPr>
      <w:r>
        <w:rPr>
          <w:rFonts w:cs="Arial"/>
          <w:b/>
          <w:bCs/>
          <w:szCs w:val="24"/>
        </w:rPr>
        <w:t>LIONEL ALEXANDER DE LA HARPE N.O.</w:t>
      </w:r>
      <w:r w:rsidR="004A3135">
        <w:rPr>
          <w:rFonts w:cs="Arial"/>
          <w:b/>
          <w:bCs/>
          <w:szCs w:val="24"/>
        </w:rPr>
        <w:t xml:space="preserve">                                 </w:t>
      </w:r>
      <w:r w:rsidR="004A3135">
        <w:rPr>
          <w:rFonts w:cs="Arial"/>
          <w:szCs w:val="24"/>
        </w:rPr>
        <w:t>Thirteenth Respondent</w:t>
      </w:r>
    </w:p>
    <w:p w14:paraId="604543DA" w14:textId="77777777" w:rsidR="0034599E" w:rsidRDefault="0034599E" w:rsidP="00F17E23">
      <w:pPr>
        <w:tabs>
          <w:tab w:val="left" w:pos="5670"/>
        </w:tabs>
        <w:ind w:left="0" w:firstLine="0"/>
        <w:jc w:val="left"/>
        <w:rPr>
          <w:rFonts w:cs="Arial"/>
          <w:szCs w:val="24"/>
        </w:rPr>
      </w:pPr>
    </w:p>
    <w:p w14:paraId="5C48F07D" w14:textId="77777777" w:rsidR="0034599E" w:rsidRPr="0034599E" w:rsidRDefault="0034599E" w:rsidP="0034599E">
      <w:pPr>
        <w:tabs>
          <w:tab w:val="left" w:pos="5670"/>
        </w:tabs>
        <w:ind w:left="0" w:firstLine="0"/>
        <w:jc w:val="right"/>
        <w:rPr>
          <w:rFonts w:cs="Arial"/>
          <w:b/>
          <w:szCs w:val="24"/>
        </w:rPr>
      </w:pPr>
      <w:r>
        <w:rPr>
          <w:noProof/>
          <w:lang w:val="en-ZA" w:eastAsia="en-ZA"/>
        </w:rPr>
        <w:drawing>
          <wp:inline distT="0" distB="0" distL="0" distR="0" wp14:anchorId="1CA9105E" wp14:editId="1CE5968E">
            <wp:extent cx="3943350" cy="1183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183005"/>
                    </a:xfrm>
                    <a:prstGeom prst="rect">
                      <a:avLst/>
                    </a:prstGeom>
                    <a:noFill/>
                  </pic:spPr>
                </pic:pic>
              </a:graphicData>
            </a:graphic>
          </wp:inline>
        </w:drawing>
      </w:r>
    </w:p>
    <w:p w14:paraId="753ED3A2" w14:textId="77777777" w:rsidR="00C05ED0" w:rsidRPr="0034599E" w:rsidRDefault="00C05ED0" w:rsidP="00B62A5B">
      <w:pPr>
        <w:pBdr>
          <w:bottom w:val="single" w:sz="12" w:space="1" w:color="auto"/>
        </w:pBdr>
        <w:tabs>
          <w:tab w:val="left" w:pos="5670"/>
        </w:tabs>
        <w:ind w:left="0" w:firstLine="0"/>
        <w:rPr>
          <w:rFonts w:cs="Arial"/>
          <w:b/>
          <w:szCs w:val="24"/>
        </w:rPr>
      </w:pPr>
    </w:p>
    <w:p w14:paraId="0649E118" w14:textId="77777777" w:rsidR="008E5574" w:rsidRPr="0034599E" w:rsidRDefault="008E5574" w:rsidP="002A04A4">
      <w:pPr>
        <w:tabs>
          <w:tab w:val="left" w:pos="5670"/>
        </w:tabs>
        <w:ind w:left="0" w:firstLine="0"/>
        <w:rPr>
          <w:rFonts w:cs="Arial"/>
          <w:b/>
          <w:szCs w:val="24"/>
        </w:rPr>
      </w:pPr>
    </w:p>
    <w:p w14:paraId="5B4D1748" w14:textId="77777777" w:rsidR="0008561F" w:rsidRPr="0034599E" w:rsidRDefault="0008561F" w:rsidP="00A26639">
      <w:pPr>
        <w:pBdr>
          <w:bottom w:val="single" w:sz="12" w:space="1" w:color="auto"/>
        </w:pBdr>
        <w:jc w:val="center"/>
        <w:rPr>
          <w:rFonts w:cs="Arial"/>
          <w:b/>
          <w:szCs w:val="24"/>
          <w:u w:val="single"/>
        </w:rPr>
      </w:pPr>
      <w:r w:rsidRPr="0034599E">
        <w:rPr>
          <w:rFonts w:cs="Arial"/>
          <w:b/>
          <w:szCs w:val="24"/>
        </w:rPr>
        <w:t>JUDGMENT</w:t>
      </w:r>
    </w:p>
    <w:p w14:paraId="3782FC86" w14:textId="77777777" w:rsidR="008E5574" w:rsidRPr="0034599E" w:rsidRDefault="008E5574" w:rsidP="00A63D9E">
      <w:pPr>
        <w:spacing w:line="480" w:lineRule="auto"/>
        <w:jc w:val="left"/>
        <w:rPr>
          <w:rFonts w:cs="Arial"/>
          <w:b/>
          <w:szCs w:val="24"/>
          <w:u w:val="single"/>
        </w:rPr>
      </w:pPr>
    </w:p>
    <w:p w14:paraId="261E5FB3" w14:textId="55BF158B" w:rsidR="00D80AE1" w:rsidRDefault="00D80AE1" w:rsidP="00D80AE1">
      <w:pPr>
        <w:ind w:left="0" w:firstLine="0"/>
        <w:contextualSpacing/>
        <w:rPr>
          <w:rFonts w:cs="Arial"/>
          <w:b/>
          <w:bCs/>
          <w:szCs w:val="24"/>
          <w:lang w:val="en-ZA"/>
        </w:rPr>
      </w:pPr>
      <w:r>
        <w:rPr>
          <w:rFonts w:cs="Arial"/>
          <w:b/>
          <w:bCs/>
          <w:szCs w:val="24"/>
          <w:lang w:val="en-ZA"/>
        </w:rPr>
        <w:t>POTGIETER J</w:t>
      </w:r>
    </w:p>
    <w:p w14:paraId="1EAA631E" w14:textId="77777777" w:rsidR="007A6927" w:rsidRDefault="007A6927" w:rsidP="00D80AE1">
      <w:pPr>
        <w:ind w:left="0" w:firstLine="0"/>
        <w:contextualSpacing/>
        <w:rPr>
          <w:rFonts w:cs="Arial"/>
          <w:b/>
          <w:bCs/>
          <w:szCs w:val="24"/>
          <w:lang w:val="en-ZA"/>
        </w:rPr>
      </w:pPr>
    </w:p>
    <w:p w14:paraId="764A17E3" w14:textId="267226A5" w:rsidR="00D80AE1" w:rsidRDefault="00012677" w:rsidP="00D80AE1">
      <w:pPr>
        <w:ind w:left="0" w:firstLine="0"/>
        <w:contextualSpacing/>
        <w:rPr>
          <w:rFonts w:cs="Arial"/>
          <w:i/>
          <w:iCs/>
          <w:szCs w:val="24"/>
          <w:lang w:val="en-ZA"/>
        </w:rPr>
      </w:pPr>
      <w:r>
        <w:rPr>
          <w:rFonts w:cs="Arial"/>
          <w:i/>
          <w:iCs/>
          <w:szCs w:val="24"/>
          <w:lang w:val="en-ZA"/>
        </w:rPr>
        <w:lastRenderedPageBreak/>
        <w:t>Introduction</w:t>
      </w:r>
    </w:p>
    <w:p w14:paraId="044148D5" w14:textId="77777777" w:rsidR="00012677" w:rsidRPr="00012677" w:rsidRDefault="00012677" w:rsidP="00D80AE1">
      <w:pPr>
        <w:ind w:left="0" w:firstLine="0"/>
        <w:contextualSpacing/>
        <w:rPr>
          <w:rFonts w:cs="Arial"/>
          <w:i/>
          <w:iCs/>
          <w:szCs w:val="24"/>
          <w:lang w:val="en-ZA"/>
        </w:rPr>
      </w:pPr>
    </w:p>
    <w:p w14:paraId="5A4A9DC0" w14:textId="6C6137AE" w:rsidR="007A6927" w:rsidRDefault="00EB14D6" w:rsidP="00EB14D6">
      <w:pPr>
        <w:spacing w:after="160"/>
        <w:ind w:left="0" w:firstLine="0"/>
        <w:contextualSpacing/>
        <w:rPr>
          <w:rFonts w:cs="Arial"/>
          <w:bCs/>
          <w:szCs w:val="24"/>
          <w:lang w:val="en-ZA"/>
        </w:rPr>
      </w:pPr>
      <w:r>
        <w:rPr>
          <w:rFonts w:cs="Arial"/>
          <w:bCs/>
          <w:szCs w:val="24"/>
          <w:lang w:val="en-ZA"/>
        </w:rPr>
        <w:t>[1]</w:t>
      </w:r>
      <w:r>
        <w:rPr>
          <w:rFonts w:cs="Arial"/>
          <w:bCs/>
          <w:szCs w:val="24"/>
          <w:lang w:val="en-ZA"/>
        </w:rPr>
        <w:tab/>
      </w:r>
      <w:r w:rsidR="00D80AE1" w:rsidRPr="00D80AE1">
        <w:rPr>
          <w:rFonts w:cs="Arial"/>
          <w:bCs/>
          <w:szCs w:val="24"/>
          <w:lang w:val="en-ZA"/>
        </w:rPr>
        <w:t>This</w:t>
      </w:r>
      <w:r w:rsidR="009B14CA">
        <w:rPr>
          <w:rFonts w:cs="Arial"/>
          <w:bCs/>
          <w:szCs w:val="24"/>
          <w:lang w:val="en-ZA"/>
        </w:rPr>
        <w:t xml:space="preserve"> appeal</w:t>
      </w:r>
      <w:r w:rsidR="00460F8F">
        <w:rPr>
          <w:rFonts w:cs="Arial"/>
          <w:bCs/>
          <w:szCs w:val="24"/>
          <w:lang w:val="en-ZA"/>
        </w:rPr>
        <w:t>,</w:t>
      </w:r>
      <w:r w:rsidR="009B14CA">
        <w:rPr>
          <w:rFonts w:cs="Arial"/>
          <w:bCs/>
          <w:szCs w:val="24"/>
          <w:lang w:val="en-ZA"/>
        </w:rPr>
        <w:t xml:space="preserve"> with the leave of the court</w:t>
      </w:r>
      <w:r w:rsidR="009B14CA" w:rsidRPr="009B14CA">
        <w:rPr>
          <w:rFonts w:cs="Arial"/>
          <w:bCs/>
          <w:i/>
          <w:iCs/>
          <w:szCs w:val="24"/>
          <w:lang w:val="en-ZA"/>
        </w:rPr>
        <w:t xml:space="preserve"> a quo</w:t>
      </w:r>
      <w:r w:rsidR="00460F8F">
        <w:rPr>
          <w:rFonts w:cs="Arial"/>
          <w:bCs/>
          <w:i/>
          <w:iCs/>
          <w:szCs w:val="24"/>
          <w:lang w:val="en-ZA"/>
        </w:rPr>
        <w:t>,</w:t>
      </w:r>
      <w:r w:rsidR="009B14CA" w:rsidRPr="009B14CA">
        <w:rPr>
          <w:rFonts w:cs="Arial"/>
          <w:bCs/>
          <w:szCs w:val="24"/>
          <w:lang w:val="en-ZA"/>
        </w:rPr>
        <w:t xml:space="preserve"> has been confined to the following issues:</w:t>
      </w:r>
    </w:p>
    <w:p w14:paraId="69ACBA67" w14:textId="6CFB5C91" w:rsidR="007A6927" w:rsidRDefault="007A6927" w:rsidP="007A6927">
      <w:pPr>
        <w:spacing w:after="160"/>
        <w:ind w:left="0" w:firstLine="0"/>
        <w:contextualSpacing/>
        <w:rPr>
          <w:rFonts w:cs="Arial"/>
          <w:bCs/>
          <w:szCs w:val="24"/>
          <w:lang w:val="en-ZA"/>
        </w:rPr>
      </w:pPr>
    </w:p>
    <w:p w14:paraId="4B8598F7" w14:textId="77777777" w:rsidR="007A6927" w:rsidRPr="00FC1A4B" w:rsidRDefault="007A6927" w:rsidP="007A6927">
      <w:pPr>
        <w:spacing w:after="160"/>
        <w:ind w:firstLine="0"/>
        <w:contextualSpacing/>
        <w:rPr>
          <w:rFonts w:cs="Arial"/>
          <w:i/>
          <w:iCs/>
          <w:szCs w:val="24"/>
          <w:lang w:val="en-ZA"/>
        </w:rPr>
      </w:pPr>
      <w:r w:rsidRPr="00FC1A4B">
        <w:rPr>
          <w:rFonts w:cs="Arial"/>
          <w:i/>
          <w:iCs/>
          <w:szCs w:val="24"/>
          <w:lang w:val="en-ZA"/>
        </w:rPr>
        <w:t xml:space="preserve">“(a) Whether the </w:t>
      </w:r>
      <w:proofErr w:type="gramStart"/>
      <w:r w:rsidRPr="00FC1A4B">
        <w:rPr>
          <w:rFonts w:cs="Arial"/>
          <w:i/>
          <w:iCs/>
          <w:szCs w:val="24"/>
          <w:lang w:val="en-ZA"/>
        </w:rPr>
        <w:t>14 day</w:t>
      </w:r>
      <w:proofErr w:type="gramEnd"/>
      <w:r w:rsidRPr="00FC1A4B">
        <w:rPr>
          <w:rFonts w:cs="Arial"/>
          <w:i/>
          <w:iCs/>
          <w:szCs w:val="24"/>
          <w:lang w:val="en-ZA"/>
        </w:rPr>
        <w:t xml:space="preserve"> period referred to in Regulation 19.4 of the Regulations promulgated on 16 October 2017 in Provincial Notice No. 3939 (the Regulations) constitute a procedural time bar and not a substantive time bar;</w:t>
      </w:r>
    </w:p>
    <w:p w14:paraId="5F4A174B" w14:textId="77777777" w:rsidR="007A6927" w:rsidRPr="00FC1A4B" w:rsidRDefault="007A6927" w:rsidP="007A6927">
      <w:pPr>
        <w:spacing w:after="160"/>
        <w:ind w:firstLine="0"/>
        <w:contextualSpacing/>
        <w:rPr>
          <w:rFonts w:cs="Arial"/>
          <w:i/>
          <w:iCs/>
          <w:szCs w:val="24"/>
          <w:lang w:val="en-ZA"/>
        </w:rPr>
      </w:pPr>
      <w:r w:rsidRPr="00FC1A4B">
        <w:rPr>
          <w:rFonts w:cs="Arial"/>
          <w:i/>
          <w:iCs/>
          <w:szCs w:val="24"/>
          <w:lang w:val="en-ZA"/>
        </w:rPr>
        <w:t xml:space="preserve">(b) Since the </w:t>
      </w:r>
      <w:proofErr w:type="gramStart"/>
      <w:r w:rsidRPr="00FC1A4B">
        <w:rPr>
          <w:rFonts w:cs="Arial"/>
          <w:i/>
          <w:iCs/>
          <w:szCs w:val="24"/>
          <w:lang w:val="en-ZA"/>
        </w:rPr>
        <w:t>14 day</w:t>
      </w:r>
      <w:proofErr w:type="gramEnd"/>
      <w:r w:rsidRPr="00FC1A4B">
        <w:rPr>
          <w:rFonts w:cs="Arial"/>
          <w:i/>
          <w:iCs/>
          <w:szCs w:val="24"/>
          <w:lang w:val="en-ZA"/>
        </w:rPr>
        <w:t xml:space="preserve"> period in regulation 19.4 had elapsed, whether it was no longer open to the District Electoral Officer (DEO) to resolve the dispute which had been raised;</w:t>
      </w:r>
    </w:p>
    <w:p w14:paraId="386C70BD" w14:textId="77777777" w:rsidR="007A6927" w:rsidRDefault="007A6927" w:rsidP="007A6927">
      <w:pPr>
        <w:spacing w:after="160"/>
        <w:ind w:firstLine="0"/>
        <w:contextualSpacing/>
        <w:rPr>
          <w:rFonts w:cs="Arial"/>
          <w:i/>
          <w:iCs/>
          <w:szCs w:val="24"/>
          <w:lang w:val="en-ZA"/>
        </w:rPr>
      </w:pPr>
      <w:r w:rsidRPr="00FC1A4B">
        <w:rPr>
          <w:rFonts w:cs="Arial"/>
          <w:i/>
          <w:iCs/>
          <w:szCs w:val="24"/>
          <w:lang w:val="en-ZA"/>
        </w:rPr>
        <w:t xml:space="preserve">(c) Whether, having regard to the content of the answering affidavit, the DEO should not have been permitted to take longer than the </w:t>
      </w:r>
      <w:proofErr w:type="gramStart"/>
      <w:r>
        <w:rPr>
          <w:rFonts w:cs="Arial"/>
          <w:i/>
          <w:iCs/>
          <w:szCs w:val="24"/>
          <w:lang w:val="en-ZA"/>
        </w:rPr>
        <w:t>14</w:t>
      </w:r>
      <w:r w:rsidRPr="00FC1A4B">
        <w:rPr>
          <w:rFonts w:cs="Arial"/>
          <w:i/>
          <w:iCs/>
          <w:szCs w:val="24"/>
          <w:lang w:val="en-ZA"/>
        </w:rPr>
        <w:t xml:space="preserve"> day</w:t>
      </w:r>
      <w:proofErr w:type="gramEnd"/>
      <w:r w:rsidRPr="00FC1A4B">
        <w:rPr>
          <w:rFonts w:cs="Arial"/>
          <w:i/>
          <w:iCs/>
          <w:szCs w:val="24"/>
          <w:lang w:val="en-ZA"/>
        </w:rPr>
        <w:t xml:space="preserve"> period to consider and decide upon the complaints which had been received.”</w:t>
      </w:r>
    </w:p>
    <w:p w14:paraId="021B2443" w14:textId="77777777" w:rsidR="007A6927" w:rsidRDefault="007A6927" w:rsidP="007A6927">
      <w:pPr>
        <w:spacing w:after="160"/>
        <w:ind w:left="720" w:firstLine="0"/>
        <w:contextualSpacing/>
        <w:rPr>
          <w:rFonts w:cs="Arial"/>
          <w:bCs/>
          <w:szCs w:val="24"/>
          <w:lang w:val="en-ZA"/>
        </w:rPr>
      </w:pPr>
    </w:p>
    <w:p w14:paraId="52F4D336" w14:textId="268C3886" w:rsidR="007A6927" w:rsidRPr="007A6927" w:rsidRDefault="00EB14D6" w:rsidP="00EB14D6">
      <w:pPr>
        <w:spacing w:after="160"/>
        <w:ind w:left="0" w:firstLine="0"/>
        <w:contextualSpacing/>
        <w:rPr>
          <w:rFonts w:cs="Arial"/>
          <w:bCs/>
          <w:szCs w:val="24"/>
          <w:lang w:val="en-ZA"/>
        </w:rPr>
      </w:pPr>
      <w:r w:rsidRPr="007A6927">
        <w:rPr>
          <w:rFonts w:cs="Arial"/>
          <w:bCs/>
          <w:szCs w:val="24"/>
          <w:lang w:val="en-ZA"/>
        </w:rPr>
        <w:t>[2]</w:t>
      </w:r>
      <w:r w:rsidRPr="007A6927">
        <w:rPr>
          <w:rFonts w:cs="Arial"/>
          <w:bCs/>
          <w:szCs w:val="24"/>
          <w:lang w:val="en-ZA"/>
        </w:rPr>
        <w:tab/>
      </w:r>
      <w:r w:rsidR="00E234E1" w:rsidRPr="007A6927">
        <w:rPr>
          <w:rFonts w:cs="Arial"/>
          <w:szCs w:val="24"/>
          <w:lang w:val="en-ZA"/>
        </w:rPr>
        <w:t>Pursuant to an agreement reached among the parties, t</w:t>
      </w:r>
      <w:r w:rsidR="005462F1" w:rsidRPr="007A6927">
        <w:rPr>
          <w:rFonts w:cs="Arial"/>
          <w:szCs w:val="24"/>
          <w:lang w:val="en-ZA"/>
        </w:rPr>
        <w:t>he Respondents are abiding by the decision of this court</w:t>
      </w:r>
      <w:r w:rsidR="00E234E1" w:rsidRPr="007A6927">
        <w:rPr>
          <w:rFonts w:cs="Arial"/>
          <w:szCs w:val="24"/>
          <w:lang w:val="en-ZA"/>
        </w:rPr>
        <w:t xml:space="preserve"> in respect of the</w:t>
      </w:r>
      <w:r w:rsidR="004A3135" w:rsidRPr="007A6927">
        <w:rPr>
          <w:rFonts w:cs="Arial"/>
          <w:szCs w:val="24"/>
          <w:lang w:val="en-ZA"/>
        </w:rPr>
        <w:t xml:space="preserve"> abovesaid</w:t>
      </w:r>
      <w:r w:rsidR="00E234E1" w:rsidRPr="007A6927">
        <w:rPr>
          <w:rFonts w:cs="Arial"/>
          <w:szCs w:val="24"/>
          <w:lang w:val="en-ZA"/>
        </w:rPr>
        <w:t xml:space="preserve"> confined issues for adjudication on appeal</w:t>
      </w:r>
      <w:r w:rsidR="005462F1" w:rsidRPr="007A6927">
        <w:rPr>
          <w:rFonts w:cs="Arial"/>
          <w:szCs w:val="24"/>
          <w:lang w:val="en-ZA"/>
        </w:rPr>
        <w:t xml:space="preserve"> and did not appear at the hearing of the appeal.</w:t>
      </w:r>
    </w:p>
    <w:p w14:paraId="0FBFC4D0" w14:textId="02C5A564" w:rsidR="007A6927" w:rsidRDefault="007A6927" w:rsidP="007A6927">
      <w:pPr>
        <w:spacing w:after="160"/>
        <w:ind w:left="0" w:firstLine="0"/>
        <w:contextualSpacing/>
        <w:rPr>
          <w:rFonts w:cs="Arial"/>
          <w:szCs w:val="24"/>
          <w:lang w:val="en-ZA"/>
        </w:rPr>
      </w:pPr>
    </w:p>
    <w:p w14:paraId="310B0A64" w14:textId="77777777" w:rsidR="007A6927" w:rsidRDefault="007A6927" w:rsidP="007A6927">
      <w:pPr>
        <w:spacing w:after="160"/>
        <w:ind w:left="0" w:firstLine="0"/>
        <w:contextualSpacing/>
        <w:rPr>
          <w:rFonts w:cs="Arial"/>
          <w:i/>
          <w:iCs/>
          <w:szCs w:val="24"/>
          <w:lang w:val="en-ZA"/>
        </w:rPr>
      </w:pPr>
      <w:r>
        <w:rPr>
          <w:rFonts w:cs="Arial"/>
          <w:i/>
          <w:iCs/>
          <w:szCs w:val="24"/>
          <w:lang w:val="en-ZA"/>
        </w:rPr>
        <w:t>The Issue</w:t>
      </w:r>
    </w:p>
    <w:p w14:paraId="7366A2D3" w14:textId="77777777" w:rsidR="007A6927" w:rsidRDefault="007A6927" w:rsidP="007A6927">
      <w:pPr>
        <w:spacing w:after="160"/>
        <w:ind w:left="0" w:firstLine="0"/>
        <w:contextualSpacing/>
        <w:rPr>
          <w:rFonts w:cs="Arial"/>
          <w:bCs/>
          <w:szCs w:val="24"/>
          <w:lang w:val="en-ZA"/>
        </w:rPr>
      </w:pPr>
    </w:p>
    <w:p w14:paraId="1DEEA8CD" w14:textId="30DCED66" w:rsidR="007A6927" w:rsidRPr="007A6927" w:rsidRDefault="00EB14D6" w:rsidP="00EB14D6">
      <w:pPr>
        <w:spacing w:after="160"/>
        <w:ind w:left="0" w:firstLine="0"/>
        <w:contextualSpacing/>
        <w:rPr>
          <w:rFonts w:cs="Arial"/>
          <w:bCs/>
          <w:szCs w:val="24"/>
          <w:lang w:val="en-ZA"/>
        </w:rPr>
      </w:pPr>
      <w:r w:rsidRPr="007A6927">
        <w:rPr>
          <w:rFonts w:cs="Arial"/>
          <w:bCs/>
          <w:szCs w:val="24"/>
          <w:lang w:val="en-ZA"/>
        </w:rPr>
        <w:t>[3]</w:t>
      </w:r>
      <w:r w:rsidRPr="007A6927">
        <w:rPr>
          <w:rFonts w:cs="Arial"/>
          <w:bCs/>
          <w:szCs w:val="24"/>
          <w:lang w:val="en-ZA"/>
        </w:rPr>
        <w:tab/>
      </w:r>
      <w:r w:rsidR="00FC1A4B" w:rsidRPr="007A6927">
        <w:rPr>
          <w:rFonts w:cs="Arial"/>
          <w:szCs w:val="24"/>
          <w:lang w:val="en-ZA"/>
        </w:rPr>
        <w:t xml:space="preserve">The matter concerns a dispute that had arisen </w:t>
      </w:r>
      <w:proofErr w:type="gramStart"/>
      <w:r w:rsidR="00FC1A4B" w:rsidRPr="007A6927">
        <w:rPr>
          <w:rFonts w:cs="Arial"/>
          <w:szCs w:val="24"/>
          <w:lang w:val="en-ZA"/>
        </w:rPr>
        <w:t>with regard to</w:t>
      </w:r>
      <w:proofErr w:type="gramEnd"/>
      <w:r w:rsidR="00FC1A4B" w:rsidRPr="007A6927">
        <w:rPr>
          <w:rFonts w:cs="Arial"/>
          <w:szCs w:val="24"/>
          <w:lang w:val="en-ZA"/>
        </w:rPr>
        <w:t xml:space="preserve"> the election of the School Governing Body of the Union High School, Graaf-Reinet</w:t>
      </w:r>
      <w:r w:rsidR="00884056" w:rsidRPr="007A6927">
        <w:rPr>
          <w:rFonts w:cs="Arial"/>
          <w:szCs w:val="24"/>
          <w:lang w:val="en-ZA"/>
        </w:rPr>
        <w:t xml:space="preserve"> which is a public school as defined in the South African Schools Act, 84 of 1996 (</w:t>
      </w:r>
      <w:r w:rsidR="004A3135" w:rsidRPr="007A6927">
        <w:rPr>
          <w:rFonts w:cs="Arial"/>
          <w:szCs w:val="24"/>
          <w:lang w:val="en-ZA"/>
        </w:rPr>
        <w:t>“</w:t>
      </w:r>
      <w:r w:rsidR="00884056" w:rsidRPr="007A6927">
        <w:rPr>
          <w:rFonts w:cs="Arial"/>
          <w:szCs w:val="24"/>
          <w:lang w:val="en-ZA"/>
        </w:rPr>
        <w:t>the Act</w:t>
      </w:r>
      <w:r w:rsidR="004A3135" w:rsidRPr="007A6927">
        <w:rPr>
          <w:rFonts w:cs="Arial"/>
          <w:szCs w:val="24"/>
          <w:lang w:val="en-ZA"/>
        </w:rPr>
        <w:t>”</w:t>
      </w:r>
      <w:r w:rsidR="00884056" w:rsidRPr="007A6927">
        <w:rPr>
          <w:rFonts w:cs="Arial"/>
          <w:szCs w:val="24"/>
          <w:lang w:val="en-ZA"/>
        </w:rPr>
        <w:t>). The First Appellant</w:t>
      </w:r>
      <w:r w:rsidR="00836709" w:rsidRPr="007A6927">
        <w:rPr>
          <w:rFonts w:cs="Arial"/>
          <w:szCs w:val="24"/>
          <w:lang w:val="en-ZA"/>
        </w:rPr>
        <w:t>, the Member of the Executive Council for Education, Eastern Cape Province (</w:t>
      </w:r>
      <w:r w:rsidR="004A3135" w:rsidRPr="007A6927">
        <w:rPr>
          <w:rFonts w:cs="Arial"/>
          <w:szCs w:val="24"/>
          <w:lang w:val="en-ZA"/>
        </w:rPr>
        <w:t>“</w:t>
      </w:r>
      <w:r w:rsidR="00836709" w:rsidRPr="007A6927">
        <w:rPr>
          <w:rFonts w:cs="Arial"/>
          <w:szCs w:val="24"/>
          <w:lang w:val="en-ZA"/>
        </w:rPr>
        <w:t>the MEC</w:t>
      </w:r>
      <w:r w:rsidR="004A3135" w:rsidRPr="007A6927">
        <w:rPr>
          <w:rFonts w:cs="Arial"/>
          <w:szCs w:val="24"/>
          <w:lang w:val="en-ZA"/>
        </w:rPr>
        <w:t>”</w:t>
      </w:r>
      <w:r w:rsidR="00836709" w:rsidRPr="007A6927">
        <w:rPr>
          <w:rFonts w:cs="Arial"/>
          <w:szCs w:val="24"/>
          <w:lang w:val="en-ZA"/>
        </w:rPr>
        <w:t>), acting under delegated authority</w:t>
      </w:r>
      <w:r w:rsidR="00E234E1" w:rsidRPr="007A6927">
        <w:rPr>
          <w:rFonts w:cs="Arial"/>
          <w:szCs w:val="24"/>
          <w:lang w:val="en-ZA"/>
        </w:rPr>
        <w:t>,</w:t>
      </w:r>
      <w:r w:rsidR="00836709" w:rsidRPr="007A6927">
        <w:rPr>
          <w:rFonts w:cs="Arial"/>
          <w:szCs w:val="24"/>
          <w:lang w:val="en-ZA"/>
        </w:rPr>
        <w:t xml:space="preserve"> promulgated the Regulations for the </w:t>
      </w:r>
      <w:r w:rsidR="0065357D" w:rsidRPr="007A6927">
        <w:rPr>
          <w:rFonts w:cs="Arial"/>
          <w:szCs w:val="24"/>
          <w:lang w:val="en-ZA"/>
        </w:rPr>
        <w:t>E</w:t>
      </w:r>
      <w:r w:rsidR="00836709" w:rsidRPr="007A6927">
        <w:rPr>
          <w:rFonts w:cs="Arial"/>
          <w:szCs w:val="24"/>
          <w:lang w:val="en-ZA"/>
        </w:rPr>
        <w:t>lections of School Governing Bodies for Public Schools</w:t>
      </w:r>
      <w:r w:rsidR="0065357D" w:rsidRPr="007A6927">
        <w:rPr>
          <w:rFonts w:cs="Arial"/>
          <w:szCs w:val="24"/>
          <w:lang w:val="en-ZA"/>
        </w:rPr>
        <w:t xml:space="preserve"> (</w:t>
      </w:r>
      <w:r w:rsidR="004A3135" w:rsidRPr="007A6927">
        <w:rPr>
          <w:rFonts w:cs="Arial"/>
          <w:szCs w:val="24"/>
          <w:lang w:val="en-ZA"/>
        </w:rPr>
        <w:t>“</w:t>
      </w:r>
      <w:r w:rsidR="0065357D" w:rsidRPr="007A6927">
        <w:rPr>
          <w:rFonts w:cs="Arial"/>
          <w:szCs w:val="24"/>
          <w:lang w:val="en-ZA"/>
        </w:rPr>
        <w:t>the Regulations</w:t>
      </w:r>
      <w:r w:rsidR="004A3135" w:rsidRPr="007A6927">
        <w:rPr>
          <w:rFonts w:cs="Arial"/>
          <w:szCs w:val="24"/>
          <w:lang w:val="en-ZA"/>
        </w:rPr>
        <w:t>”</w:t>
      </w:r>
      <w:r w:rsidR="0065357D" w:rsidRPr="007A6927">
        <w:rPr>
          <w:rFonts w:cs="Arial"/>
          <w:szCs w:val="24"/>
          <w:lang w:val="en-ZA"/>
        </w:rPr>
        <w:t>)</w:t>
      </w:r>
      <w:r w:rsidR="00836709" w:rsidRPr="007A6927">
        <w:rPr>
          <w:rFonts w:cs="Arial"/>
          <w:szCs w:val="24"/>
          <w:lang w:val="en-ZA"/>
        </w:rPr>
        <w:t>, in terms</w:t>
      </w:r>
      <w:r w:rsidR="0065357D" w:rsidRPr="007A6927">
        <w:rPr>
          <w:rFonts w:cs="Arial"/>
          <w:szCs w:val="24"/>
          <w:lang w:val="en-ZA"/>
        </w:rPr>
        <w:t xml:space="preserve"> of the Act in Provincial Notice No. 3939 in the Provincial Gazette on 16 October 2017.</w:t>
      </w:r>
      <w:r w:rsidR="009F5FD8" w:rsidRPr="007A6927">
        <w:rPr>
          <w:rFonts w:cs="Arial"/>
          <w:szCs w:val="24"/>
          <w:lang w:val="en-ZA"/>
        </w:rPr>
        <w:t xml:space="preserve"> </w:t>
      </w:r>
    </w:p>
    <w:p w14:paraId="2A2D9AFF" w14:textId="77777777" w:rsidR="007A6927" w:rsidRDefault="007A6927" w:rsidP="007A6927">
      <w:pPr>
        <w:spacing w:after="160"/>
        <w:ind w:left="0" w:firstLine="0"/>
        <w:contextualSpacing/>
        <w:rPr>
          <w:rFonts w:cs="Arial"/>
          <w:bCs/>
          <w:szCs w:val="24"/>
          <w:lang w:val="en-ZA"/>
        </w:rPr>
      </w:pPr>
    </w:p>
    <w:p w14:paraId="40380E32" w14:textId="59306699" w:rsidR="007A6927" w:rsidRDefault="00EB14D6" w:rsidP="00EB14D6">
      <w:pPr>
        <w:spacing w:after="160"/>
        <w:ind w:left="0" w:firstLine="0"/>
        <w:contextualSpacing/>
        <w:rPr>
          <w:rFonts w:cs="Arial"/>
          <w:bCs/>
          <w:szCs w:val="24"/>
          <w:lang w:val="en-ZA"/>
        </w:rPr>
      </w:pPr>
      <w:r>
        <w:rPr>
          <w:rFonts w:cs="Arial"/>
          <w:bCs/>
          <w:szCs w:val="24"/>
          <w:lang w:val="en-ZA"/>
        </w:rPr>
        <w:t>[4]</w:t>
      </w:r>
      <w:r>
        <w:rPr>
          <w:rFonts w:cs="Arial"/>
          <w:bCs/>
          <w:szCs w:val="24"/>
          <w:lang w:val="en-ZA"/>
        </w:rPr>
        <w:tab/>
      </w:r>
      <w:r w:rsidR="009F5FD8" w:rsidRPr="007A6927">
        <w:rPr>
          <w:rFonts w:cs="Arial"/>
          <w:szCs w:val="24"/>
          <w:lang w:val="en-ZA"/>
        </w:rPr>
        <w:t xml:space="preserve">The Regulations provide, </w:t>
      </w:r>
      <w:r w:rsidR="009F5FD8" w:rsidRPr="007A6927">
        <w:rPr>
          <w:rFonts w:cs="Arial"/>
          <w:i/>
          <w:iCs/>
          <w:szCs w:val="24"/>
          <w:lang w:val="en-ZA"/>
        </w:rPr>
        <w:t>inter alia</w:t>
      </w:r>
      <w:r w:rsidR="009F5FD8" w:rsidRPr="007A6927">
        <w:rPr>
          <w:rFonts w:cs="Arial"/>
          <w:szCs w:val="24"/>
          <w:lang w:val="en-ZA"/>
        </w:rPr>
        <w:t>, for a School Electoral Officer (</w:t>
      </w:r>
      <w:r w:rsidR="004A3135" w:rsidRPr="007A6927">
        <w:rPr>
          <w:rFonts w:cs="Arial"/>
          <w:szCs w:val="24"/>
          <w:lang w:val="en-ZA"/>
        </w:rPr>
        <w:t>“</w:t>
      </w:r>
      <w:r w:rsidR="009F5FD8" w:rsidRPr="007A6927">
        <w:rPr>
          <w:rFonts w:cs="Arial"/>
          <w:szCs w:val="24"/>
          <w:lang w:val="en-ZA"/>
        </w:rPr>
        <w:t>SEO</w:t>
      </w:r>
      <w:r w:rsidR="004A3135" w:rsidRPr="007A6927">
        <w:rPr>
          <w:rFonts w:cs="Arial"/>
          <w:szCs w:val="24"/>
          <w:lang w:val="en-ZA"/>
        </w:rPr>
        <w:t>”</w:t>
      </w:r>
      <w:r w:rsidR="009F5FD8" w:rsidRPr="007A6927">
        <w:rPr>
          <w:rFonts w:cs="Arial"/>
          <w:szCs w:val="24"/>
          <w:lang w:val="en-ZA"/>
        </w:rPr>
        <w:t>) to preside over local elections and to deal with any disputes that arise during the elections.</w:t>
      </w:r>
      <w:r w:rsidR="002452D8" w:rsidRPr="007A6927">
        <w:rPr>
          <w:rFonts w:cs="Arial"/>
          <w:szCs w:val="24"/>
          <w:lang w:val="en-ZA"/>
        </w:rPr>
        <w:t xml:space="preserve"> </w:t>
      </w:r>
      <w:r w:rsidR="002452D8" w:rsidRPr="007A6927">
        <w:rPr>
          <w:rFonts w:cs="Arial"/>
          <w:szCs w:val="24"/>
          <w:lang w:val="en-ZA"/>
        </w:rPr>
        <w:lastRenderedPageBreak/>
        <w:t xml:space="preserve">Any unresolved disputes and those arising after </w:t>
      </w:r>
      <w:r w:rsidR="00712926" w:rsidRPr="007A6927">
        <w:rPr>
          <w:rFonts w:cs="Arial"/>
          <w:szCs w:val="24"/>
          <w:lang w:val="en-ZA"/>
        </w:rPr>
        <w:t>finalisa</w:t>
      </w:r>
      <w:r w:rsidR="002452D8" w:rsidRPr="007A6927">
        <w:rPr>
          <w:rFonts w:cs="Arial"/>
          <w:szCs w:val="24"/>
          <w:lang w:val="en-ZA"/>
        </w:rPr>
        <w:t>tion of the elections are dealt with by the District Electoral Officer (</w:t>
      </w:r>
      <w:r w:rsidR="004A3135" w:rsidRPr="007A6927">
        <w:rPr>
          <w:rFonts w:cs="Arial"/>
          <w:szCs w:val="24"/>
          <w:lang w:val="en-ZA"/>
        </w:rPr>
        <w:t>“</w:t>
      </w:r>
      <w:r w:rsidR="002452D8" w:rsidRPr="007A6927">
        <w:rPr>
          <w:rFonts w:cs="Arial"/>
          <w:szCs w:val="24"/>
          <w:lang w:val="en-ZA"/>
        </w:rPr>
        <w:t>DEO</w:t>
      </w:r>
      <w:r w:rsidR="004A3135" w:rsidRPr="007A6927">
        <w:rPr>
          <w:rFonts w:cs="Arial"/>
          <w:szCs w:val="24"/>
          <w:lang w:val="en-ZA"/>
        </w:rPr>
        <w:t>”</w:t>
      </w:r>
      <w:r w:rsidR="002452D8" w:rsidRPr="007A6927">
        <w:rPr>
          <w:rFonts w:cs="Arial"/>
          <w:szCs w:val="24"/>
          <w:lang w:val="en-ZA"/>
        </w:rPr>
        <w:t>) who is required to decide the dispute and notify the outcome to the complainant within 14 days</w:t>
      </w:r>
      <w:r w:rsidR="00712926" w:rsidRPr="007A6927">
        <w:rPr>
          <w:rFonts w:cs="Arial"/>
          <w:szCs w:val="24"/>
          <w:lang w:val="en-ZA"/>
        </w:rPr>
        <w:t xml:space="preserve"> of receipt of the dispute. The procedure governing elections is set out in Regulation 19.</w:t>
      </w:r>
      <w:r w:rsidR="00C95FCF" w:rsidRPr="007A6927">
        <w:rPr>
          <w:rFonts w:cs="Arial"/>
          <w:szCs w:val="24"/>
          <w:lang w:val="en-ZA"/>
        </w:rPr>
        <w:t xml:space="preserve"> In the present matter the DEO was unable to finalise the dispute that had arisen within the said </w:t>
      </w:r>
      <w:proofErr w:type="gramStart"/>
      <w:r w:rsidR="00C95FCF" w:rsidRPr="007A6927">
        <w:rPr>
          <w:rFonts w:cs="Arial"/>
          <w:szCs w:val="24"/>
          <w:lang w:val="en-ZA"/>
        </w:rPr>
        <w:t>14 day</w:t>
      </w:r>
      <w:proofErr w:type="gramEnd"/>
      <w:r w:rsidR="00C95FCF" w:rsidRPr="007A6927">
        <w:rPr>
          <w:rFonts w:cs="Arial"/>
          <w:szCs w:val="24"/>
          <w:lang w:val="en-ZA"/>
        </w:rPr>
        <w:t xml:space="preserve"> period as provided</w:t>
      </w:r>
      <w:r w:rsidR="004A3135" w:rsidRPr="007A6927">
        <w:rPr>
          <w:rFonts w:cs="Arial"/>
          <w:szCs w:val="24"/>
          <w:lang w:val="en-ZA"/>
        </w:rPr>
        <w:t xml:space="preserve"> for</w:t>
      </w:r>
      <w:r w:rsidR="00C95FCF" w:rsidRPr="007A6927">
        <w:rPr>
          <w:rFonts w:cs="Arial"/>
          <w:szCs w:val="24"/>
          <w:lang w:val="en-ZA"/>
        </w:rPr>
        <w:t xml:space="preserve"> in Regulation 19.4. The </w:t>
      </w:r>
      <w:r w:rsidR="004901C1" w:rsidRPr="007A6927">
        <w:rPr>
          <w:rFonts w:cs="Arial"/>
          <w:szCs w:val="24"/>
          <w:lang w:val="en-ZA"/>
        </w:rPr>
        <w:t>real</w:t>
      </w:r>
      <w:r w:rsidR="00C95FCF" w:rsidRPr="007A6927">
        <w:rPr>
          <w:rFonts w:cs="Arial"/>
          <w:szCs w:val="24"/>
          <w:lang w:val="en-ZA"/>
        </w:rPr>
        <w:t xml:space="preserve"> issue currently is the proper interpretation of </w:t>
      </w:r>
      <w:r w:rsidR="00B82077" w:rsidRPr="007A6927">
        <w:rPr>
          <w:rFonts w:cs="Arial"/>
          <w:szCs w:val="24"/>
          <w:lang w:val="en-ZA"/>
        </w:rPr>
        <w:t xml:space="preserve">Regulation 19.4 and more specifically whether the </w:t>
      </w:r>
      <w:proofErr w:type="gramStart"/>
      <w:r w:rsidR="00B82077" w:rsidRPr="007A6927">
        <w:rPr>
          <w:rFonts w:cs="Arial"/>
          <w:szCs w:val="24"/>
          <w:lang w:val="en-ZA"/>
        </w:rPr>
        <w:t>14 day</w:t>
      </w:r>
      <w:proofErr w:type="gramEnd"/>
      <w:r w:rsidR="00B82077" w:rsidRPr="007A6927">
        <w:rPr>
          <w:rFonts w:cs="Arial"/>
          <w:szCs w:val="24"/>
          <w:lang w:val="en-ZA"/>
        </w:rPr>
        <w:t xml:space="preserve"> period constitutes a substantive or procedural time-bar provision. In the former event the DEO would be absolutely prohibited from dealing with the dispute after expiry of the </w:t>
      </w:r>
      <w:proofErr w:type="gramStart"/>
      <w:r w:rsidR="00B82077" w:rsidRPr="007A6927">
        <w:rPr>
          <w:rFonts w:cs="Arial"/>
          <w:szCs w:val="24"/>
          <w:lang w:val="en-ZA"/>
        </w:rPr>
        <w:t>14 day</w:t>
      </w:r>
      <w:proofErr w:type="gramEnd"/>
      <w:r w:rsidR="00B82077" w:rsidRPr="007A6927">
        <w:rPr>
          <w:rFonts w:cs="Arial"/>
          <w:szCs w:val="24"/>
          <w:lang w:val="en-ZA"/>
        </w:rPr>
        <w:t xml:space="preserve"> period, while the period could be extended in appropriate circumstances in the latter event.</w:t>
      </w:r>
      <w:r w:rsidR="004901C1" w:rsidRPr="007A6927">
        <w:rPr>
          <w:rFonts w:cs="Arial"/>
          <w:szCs w:val="24"/>
          <w:lang w:val="en-ZA"/>
        </w:rPr>
        <w:t xml:space="preserve"> This is encapsulated in the first issue that has been identified above for adjudication on appeal.</w:t>
      </w:r>
      <w:r w:rsidR="00B82077" w:rsidRPr="007A6927">
        <w:rPr>
          <w:rFonts w:cs="Arial"/>
          <w:szCs w:val="24"/>
          <w:lang w:val="en-ZA"/>
        </w:rPr>
        <w:t xml:space="preserve">  </w:t>
      </w:r>
    </w:p>
    <w:p w14:paraId="1946882D" w14:textId="439CCCF0" w:rsidR="007A6927" w:rsidRDefault="007A6927" w:rsidP="007A6927">
      <w:pPr>
        <w:spacing w:after="160"/>
        <w:ind w:left="0" w:firstLine="0"/>
        <w:contextualSpacing/>
        <w:rPr>
          <w:rFonts w:cs="Arial"/>
          <w:bCs/>
          <w:szCs w:val="24"/>
          <w:lang w:val="en-ZA"/>
        </w:rPr>
      </w:pPr>
    </w:p>
    <w:p w14:paraId="526E635A" w14:textId="77777777" w:rsidR="007A6927" w:rsidRDefault="007A6927" w:rsidP="007A6927">
      <w:pPr>
        <w:spacing w:after="160"/>
        <w:ind w:left="0" w:firstLine="0"/>
        <w:contextualSpacing/>
        <w:rPr>
          <w:rFonts w:cs="Arial"/>
          <w:i/>
          <w:iCs/>
          <w:szCs w:val="24"/>
          <w:lang w:val="en-ZA"/>
        </w:rPr>
      </w:pPr>
      <w:r>
        <w:rPr>
          <w:rFonts w:cs="Arial"/>
          <w:i/>
          <w:iCs/>
          <w:szCs w:val="24"/>
          <w:lang w:val="en-ZA"/>
        </w:rPr>
        <w:t>Mootness</w:t>
      </w:r>
    </w:p>
    <w:p w14:paraId="716EE9E0" w14:textId="77777777" w:rsidR="007A6927" w:rsidRPr="007A6927" w:rsidRDefault="007A6927" w:rsidP="007A6927">
      <w:pPr>
        <w:spacing w:after="160"/>
        <w:ind w:left="0" w:firstLine="0"/>
        <w:contextualSpacing/>
        <w:rPr>
          <w:rFonts w:cs="Arial"/>
          <w:bCs/>
          <w:szCs w:val="24"/>
          <w:lang w:val="en-ZA"/>
        </w:rPr>
      </w:pPr>
    </w:p>
    <w:p w14:paraId="46027D74" w14:textId="6C000E45" w:rsidR="007A6927" w:rsidRPr="007A6927" w:rsidRDefault="00EB14D6" w:rsidP="00EB14D6">
      <w:pPr>
        <w:spacing w:after="160"/>
        <w:ind w:left="0" w:firstLine="0"/>
        <w:contextualSpacing/>
        <w:rPr>
          <w:rFonts w:cs="Arial"/>
          <w:bCs/>
          <w:szCs w:val="24"/>
          <w:lang w:val="en-ZA"/>
        </w:rPr>
      </w:pPr>
      <w:r w:rsidRPr="007A6927">
        <w:rPr>
          <w:rFonts w:cs="Arial"/>
          <w:bCs/>
          <w:szCs w:val="24"/>
          <w:lang w:val="en-ZA"/>
        </w:rPr>
        <w:t>[5]</w:t>
      </w:r>
      <w:r w:rsidRPr="007A6927">
        <w:rPr>
          <w:rFonts w:cs="Arial"/>
          <w:bCs/>
          <w:szCs w:val="24"/>
          <w:lang w:val="en-ZA"/>
        </w:rPr>
        <w:tab/>
      </w:r>
      <w:r w:rsidR="00F470DC" w:rsidRPr="007A6927">
        <w:rPr>
          <w:rFonts w:cs="Arial"/>
          <w:szCs w:val="24"/>
          <w:lang w:val="en-ZA"/>
        </w:rPr>
        <w:t>Before dealing with the merits of the matter, it is necessary</w:t>
      </w:r>
      <w:r w:rsidR="005462F1" w:rsidRPr="007A6927">
        <w:rPr>
          <w:rFonts w:cs="Arial"/>
          <w:szCs w:val="24"/>
          <w:lang w:val="en-ZA"/>
        </w:rPr>
        <w:t xml:space="preserve"> to decide whether the appeal has become moot</w:t>
      </w:r>
      <w:r w:rsidR="00F470DC" w:rsidRPr="007A6927">
        <w:rPr>
          <w:rFonts w:cs="Arial"/>
          <w:szCs w:val="24"/>
          <w:lang w:val="en-ZA"/>
        </w:rPr>
        <w:t xml:space="preserve"> given the fact that the </w:t>
      </w:r>
      <w:r w:rsidR="009B4E9B" w:rsidRPr="007A6927">
        <w:rPr>
          <w:rFonts w:cs="Arial"/>
          <w:szCs w:val="24"/>
          <w:lang w:val="en-ZA"/>
        </w:rPr>
        <w:t>dispute between the parties has effectively been resolved</w:t>
      </w:r>
      <w:r w:rsidR="005462F1" w:rsidRPr="007A6927">
        <w:rPr>
          <w:rFonts w:cs="Arial"/>
          <w:szCs w:val="24"/>
          <w:lang w:val="en-ZA"/>
        </w:rPr>
        <w:t>.</w:t>
      </w:r>
      <w:r w:rsidR="009B4E9B" w:rsidRPr="007A6927">
        <w:rPr>
          <w:rFonts w:cs="Arial"/>
          <w:szCs w:val="24"/>
          <w:lang w:val="en-ZA"/>
        </w:rPr>
        <w:t xml:space="preserve"> The determination of the remaining issues identified above cannot conceivably have any direct effect on that dispute.</w:t>
      </w:r>
    </w:p>
    <w:p w14:paraId="3A1CB49C" w14:textId="358EE561" w:rsidR="007A6927" w:rsidRDefault="0018665E" w:rsidP="007A6927">
      <w:pPr>
        <w:spacing w:after="160"/>
        <w:ind w:left="0" w:firstLine="0"/>
        <w:contextualSpacing/>
        <w:rPr>
          <w:rFonts w:cs="Arial"/>
          <w:bCs/>
          <w:szCs w:val="24"/>
          <w:lang w:val="en-ZA"/>
        </w:rPr>
      </w:pPr>
      <w:r w:rsidRPr="007A6927">
        <w:rPr>
          <w:rFonts w:cs="Arial"/>
          <w:szCs w:val="24"/>
          <w:lang w:val="en-ZA"/>
        </w:rPr>
        <w:t xml:space="preserve"> </w:t>
      </w:r>
    </w:p>
    <w:p w14:paraId="01925BC0" w14:textId="3EDAD3E7" w:rsidR="007A6927" w:rsidRPr="007A6927" w:rsidRDefault="00EB14D6" w:rsidP="00EB14D6">
      <w:pPr>
        <w:spacing w:after="160"/>
        <w:ind w:left="0" w:firstLine="0"/>
        <w:contextualSpacing/>
        <w:rPr>
          <w:rFonts w:cs="Arial"/>
          <w:bCs/>
          <w:szCs w:val="24"/>
          <w:lang w:val="en-ZA"/>
        </w:rPr>
      </w:pPr>
      <w:r w:rsidRPr="007A6927">
        <w:rPr>
          <w:rFonts w:cs="Arial"/>
          <w:bCs/>
          <w:szCs w:val="24"/>
          <w:lang w:val="en-ZA"/>
        </w:rPr>
        <w:t>[6]</w:t>
      </w:r>
      <w:r w:rsidRPr="007A6927">
        <w:rPr>
          <w:rFonts w:cs="Arial"/>
          <w:bCs/>
          <w:szCs w:val="24"/>
          <w:lang w:val="en-ZA"/>
        </w:rPr>
        <w:tab/>
      </w:r>
      <w:r w:rsidR="0018665E" w:rsidRPr="007A6927">
        <w:rPr>
          <w:rFonts w:cs="Arial"/>
          <w:szCs w:val="24"/>
          <w:lang w:val="en-ZA"/>
        </w:rPr>
        <w:t>Th</w:t>
      </w:r>
      <w:r w:rsidR="009B4E9B" w:rsidRPr="007A6927">
        <w:rPr>
          <w:rFonts w:cs="Arial"/>
          <w:szCs w:val="24"/>
          <w:lang w:val="en-ZA"/>
        </w:rPr>
        <w:t>e</w:t>
      </w:r>
      <w:r w:rsidR="00F470DC" w:rsidRPr="007A6927">
        <w:rPr>
          <w:rFonts w:cs="Arial"/>
          <w:szCs w:val="24"/>
          <w:lang w:val="en-ZA"/>
        </w:rPr>
        <w:t xml:space="preserve"> issue</w:t>
      </w:r>
      <w:r w:rsidR="009B4E9B" w:rsidRPr="007A6927">
        <w:rPr>
          <w:rFonts w:cs="Arial"/>
          <w:szCs w:val="24"/>
          <w:lang w:val="en-ZA"/>
        </w:rPr>
        <w:t xml:space="preserve"> of mootness</w:t>
      </w:r>
      <w:r w:rsidR="0018665E" w:rsidRPr="007A6927">
        <w:rPr>
          <w:rFonts w:cs="Arial"/>
          <w:szCs w:val="24"/>
          <w:lang w:val="en-ZA"/>
        </w:rPr>
        <w:t xml:space="preserve"> is regulated by section 16(2)(a)(</w:t>
      </w:r>
      <w:proofErr w:type="spellStart"/>
      <w:r w:rsidR="0018665E" w:rsidRPr="007A6927">
        <w:rPr>
          <w:rFonts w:cs="Arial"/>
          <w:szCs w:val="24"/>
          <w:lang w:val="en-ZA"/>
        </w:rPr>
        <w:t>i</w:t>
      </w:r>
      <w:proofErr w:type="spellEnd"/>
      <w:r w:rsidR="0018665E" w:rsidRPr="007A6927">
        <w:rPr>
          <w:rFonts w:cs="Arial"/>
          <w:szCs w:val="24"/>
          <w:lang w:val="en-ZA"/>
        </w:rPr>
        <w:t>) of the Superior Courts Act</w:t>
      </w:r>
      <w:r w:rsidR="00BF061B" w:rsidRPr="007A6927">
        <w:rPr>
          <w:rFonts w:cs="Arial"/>
          <w:szCs w:val="24"/>
          <w:lang w:val="en-ZA"/>
        </w:rPr>
        <w:t>, 10 of 2013</w:t>
      </w:r>
      <w:r w:rsidR="0018665E" w:rsidRPr="007A6927">
        <w:rPr>
          <w:rFonts w:cs="Arial"/>
          <w:szCs w:val="24"/>
          <w:lang w:val="en-ZA"/>
        </w:rPr>
        <w:t xml:space="preserve"> which provides as follows in relevant part:</w:t>
      </w:r>
    </w:p>
    <w:p w14:paraId="27FAA4A5" w14:textId="77777777" w:rsidR="007A6927" w:rsidRDefault="007A6927" w:rsidP="007A6927">
      <w:pPr>
        <w:pStyle w:val="ListParagraph"/>
        <w:rPr>
          <w:rFonts w:cs="Arial"/>
          <w:bCs/>
          <w:szCs w:val="24"/>
          <w:lang w:val="en-ZA"/>
        </w:rPr>
      </w:pPr>
    </w:p>
    <w:p w14:paraId="06F57FB9" w14:textId="77777777" w:rsidR="007A6927" w:rsidRDefault="007A6927" w:rsidP="007A6927">
      <w:pPr>
        <w:spacing w:after="160"/>
        <w:ind w:left="720" w:firstLine="0"/>
        <w:contextualSpacing/>
        <w:rPr>
          <w:rFonts w:cs="Arial"/>
          <w:i/>
          <w:iCs/>
          <w:szCs w:val="24"/>
          <w:lang w:val="en-ZA"/>
        </w:rPr>
      </w:pPr>
      <w:r>
        <w:rPr>
          <w:rFonts w:cs="Arial"/>
          <w:szCs w:val="24"/>
          <w:lang w:val="en-ZA"/>
        </w:rPr>
        <w:t>“</w:t>
      </w:r>
      <w:r>
        <w:rPr>
          <w:rFonts w:cs="Arial"/>
          <w:i/>
          <w:iCs/>
          <w:szCs w:val="24"/>
          <w:lang w:val="en-ZA"/>
        </w:rPr>
        <w:t>When at the hearing of an appeal the issues are of such a nature that the decision sought will have no practical effect or result, the appeal may be dismissed on this ground alone.”</w:t>
      </w:r>
    </w:p>
    <w:p w14:paraId="11DAD6AF" w14:textId="77777777" w:rsidR="007A6927" w:rsidRDefault="007A6927" w:rsidP="007A6927">
      <w:pPr>
        <w:pStyle w:val="ListParagraph"/>
        <w:rPr>
          <w:rFonts w:cs="Arial"/>
          <w:szCs w:val="24"/>
          <w:lang w:val="en-ZA"/>
        </w:rPr>
      </w:pPr>
    </w:p>
    <w:p w14:paraId="7A82272F" w14:textId="4DE0A9B1" w:rsidR="007A6927" w:rsidRPr="007A6927" w:rsidRDefault="00EB14D6" w:rsidP="00EB14D6">
      <w:pPr>
        <w:spacing w:after="160"/>
        <w:ind w:left="0" w:firstLine="0"/>
        <w:contextualSpacing/>
        <w:rPr>
          <w:rFonts w:cs="Arial"/>
          <w:bCs/>
          <w:szCs w:val="24"/>
          <w:lang w:val="en-ZA"/>
        </w:rPr>
      </w:pPr>
      <w:r w:rsidRPr="007A6927">
        <w:rPr>
          <w:rFonts w:cs="Arial"/>
          <w:bCs/>
          <w:szCs w:val="24"/>
          <w:lang w:val="en-ZA"/>
        </w:rPr>
        <w:t>[7]</w:t>
      </w:r>
      <w:r w:rsidRPr="007A6927">
        <w:rPr>
          <w:rFonts w:cs="Arial"/>
          <w:bCs/>
          <w:szCs w:val="24"/>
          <w:lang w:val="en-ZA"/>
        </w:rPr>
        <w:tab/>
      </w:r>
      <w:r w:rsidR="00F92CFE" w:rsidRPr="007A6927">
        <w:rPr>
          <w:rFonts w:cs="Arial"/>
          <w:szCs w:val="24"/>
          <w:lang w:val="en-ZA"/>
        </w:rPr>
        <w:t>The subsection confers a discretion on the court (</w:t>
      </w:r>
      <w:proofErr w:type="spellStart"/>
      <w:r w:rsidR="00F92CFE" w:rsidRPr="007A6927">
        <w:rPr>
          <w:rFonts w:cs="Arial"/>
          <w:szCs w:val="24"/>
          <w:lang w:val="en-ZA"/>
        </w:rPr>
        <w:t>cf</w:t>
      </w:r>
      <w:proofErr w:type="spellEnd"/>
      <w:r w:rsidR="00F92CFE" w:rsidRPr="007A6927">
        <w:rPr>
          <w:rFonts w:cs="Arial"/>
          <w:szCs w:val="24"/>
          <w:lang w:val="en-ZA"/>
        </w:rPr>
        <w:t xml:space="preserve"> </w:t>
      </w:r>
      <w:r w:rsidR="00F92CFE" w:rsidRPr="007A6927">
        <w:rPr>
          <w:rFonts w:cs="Arial"/>
          <w:i/>
          <w:iCs/>
          <w:szCs w:val="24"/>
          <w:lang w:val="en-ZA"/>
        </w:rPr>
        <w:t xml:space="preserve">Absa Bank v Van Rensburg 2014(4) SA 626 (SCA) </w:t>
      </w:r>
      <w:r w:rsidR="00F92CFE" w:rsidRPr="007A6927">
        <w:rPr>
          <w:rFonts w:cs="Arial"/>
          <w:szCs w:val="24"/>
          <w:lang w:val="en-ZA"/>
        </w:rPr>
        <w:t>dealing with the similarly worded section 21A of the Supreme Court Act, 59 of 1959)</w:t>
      </w:r>
      <w:r w:rsidR="00DD20DD" w:rsidRPr="007A6927">
        <w:rPr>
          <w:rFonts w:cs="Arial"/>
          <w:szCs w:val="24"/>
          <w:lang w:val="en-ZA"/>
        </w:rPr>
        <w:t xml:space="preserve"> which is exercised in favour of deciding the merits of appeals </w:t>
      </w:r>
      <w:r w:rsidR="00DD20DD" w:rsidRPr="007A6927">
        <w:rPr>
          <w:rFonts w:cs="Arial"/>
          <w:szCs w:val="24"/>
          <w:lang w:val="en-ZA"/>
        </w:rPr>
        <w:lastRenderedPageBreak/>
        <w:t>(which are otherwise academic) where important questions of law are at issue which are likely to arise frequently and their determination may be of benefit in other cases.</w:t>
      </w:r>
    </w:p>
    <w:p w14:paraId="0180D10C" w14:textId="77777777" w:rsidR="007A6927" w:rsidRDefault="007A6927" w:rsidP="007A6927">
      <w:pPr>
        <w:spacing w:after="160"/>
        <w:ind w:left="0" w:firstLine="0"/>
        <w:contextualSpacing/>
        <w:rPr>
          <w:rFonts w:cs="Arial"/>
          <w:bCs/>
          <w:szCs w:val="24"/>
          <w:lang w:val="en-ZA"/>
        </w:rPr>
      </w:pPr>
    </w:p>
    <w:p w14:paraId="54BAEB42" w14:textId="63E11B49" w:rsidR="007A6927" w:rsidRDefault="00EB14D6" w:rsidP="00EB14D6">
      <w:pPr>
        <w:spacing w:after="160"/>
        <w:ind w:left="0" w:firstLine="0"/>
        <w:contextualSpacing/>
        <w:rPr>
          <w:rFonts w:cs="Arial"/>
          <w:bCs/>
          <w:szCs w:val="24"/>
          <w:lang w:val="en-ZA"/>
        </w:rPr>
      </w:pPr>
      <w:r>
        <w:rPr>
          <w:rFonts w:cs="Arial"/>
          <w:bCs/>
          <w:szCs w:val="24"/>
          <w:lang w:val="en-ZA"/>
        </w:rPr>
        <w:t>[8]</w:t>
      </w:r>
      <w:r>
        <w:rPr>
          <w:rFonts w:cs="Arial"/>
          <w:bCs/>
          <w:szCs w:val="24"/>
          <w:lang w:val="en-ZA"/>
        </w:rPr>
        <w:tab/>
      </w:r>
      <w:r w:rsidR="00DD20DD" w:rsidRPr="007A6927">
        <w:rPr>
          <w:rFonts w:cs="Arial"/>
          <w:szCs w:val="24"/>
          <w:lang w:val="en-ZA"/>
        </w:rPr>
        <w:t>It has been stated that the test is not whether the judgement might be of interest in a hypothetical future case (</w:t>
      </w:r>
      <w:r w:rsidR="00DD20DD" w:rsidRPr="007A6927">
        <w:rPr>
          <w:rFonts w:cs="Arial"/>
          <w:i/>
          <w:iCs/>
          <w:szCs w:val="24"/>
          <w:lang w:val="en-ZA"/>
        </w:rPr>
        <w:t xml:space="preserve">Premier, </w:t>
      </w:r>
      <w:proofErr w:type="spellStart"/>
      <w:r w:rsidR="00DD20DD" w:rsidRPr="007A6927">
        <w:rPr>
          <w:rFonts w:cs="Arial"/>
          <w:i/>
          <w:iCs/>
          <w:szCs w:val="24"/>
          <w:lang w:val="en-ZA"/>
        </w:rPr>
        <w:t>Provinsie</w:t>
      </w:r>
      <w:proofErr w:type="spellEnd"/>
      <w:r w:rsidR="00DD20DD" w:rsidRPr="007A6927">
        <w:rPr>
          <w:rFonts w:cs="Arial"/>
          <w:i/>
          <w:iCs/>
          <w:szCs w:val="24"/>
          <w:lang w:val="en-ZA"/>
        </w:rPr>
        <w:t xml:space="preserve"> Mpumalanga v </w:t>
      </w:r>
      <w:proofErr w:type="spellStart"/>
      <w:r w:rsidR="00DD20DD" w:rsidRPr="007A6927">
        <w:rPr>
          <w:rFonts w:cs="Arial"/>
          <w:i/>
          <w:iCs/>
          <w:szCs w:val="24"/>
          <w:lang w:val="en-ZA"/>
        </w:rPr>
        <w:t>Groblerdalse</w:t>
      </w:r>
      <w:proofErr w:type="spellEnd"/>
      <w:r w:rsidR="00DD20DD" w:rsidRPr="007A6927">
        <w:rPr>
          <w:rFonts w:cs="Arial"/>
          <w:i/>
          <w:iCs/>
          <w:szCs w:val="24"/>
          <w:lang w:val="en-ZA"/>
        </w:rPr>
        <w:t xml:space="preserve"> </w:t>
      </w:r>
      <w:proofErr w:type="spellStart"/>
      <w:r w:rsidR="00DD20DD" w:rsidRPr="007A6927">
        <w:rPr>
          <w:rFonts w:cs="Arial"/>
          <w:i/>
          <w:iCs/>
          <w:szCs w:val="24"/>
          <w:lang w:val="en-ZA"/>
        </w:rPr>
        <w:t>Stadsraad</w:t>
      </w:r>
      <w:proofErr w:type="spellEnd"/>
      <w:r w:rsidR="00DD20DD" w:rsidRPr="007A6927">
        <w:rPr>
          <w:rFonts w:cs="Arial"/>
          <w:i/>
          <w:iCs/>
          <w:szCs w:val="24"/>
          <w:lang w:val="en-ZA"/>
        </w:rPr>
        <w:t xml:space="preserve"> 1989(3) SA 1136 (SCA) at 1141 D-F)</w:t>
      </w:r>
      <w:r w:rsidR="000510A5" w:rsidRPr="007A6927">
        <w:rPr>
          <w:rFonts w:cs="Arial"/>
          <w:i/>
          <w:iCs/>
          <w:szCs w:val="24"/>
          <w:lang w:val="en-ZA"/>
        </w:rPr>
        <w:t>.</w:t>
      </w:r>
      <w:r w:rsidR="000510A5" w:rsidRPr="007A6927">
        <w:rPr>
          <w:rFonts w:cs="Arial"/>
          <w:iCs/>
          <w:szCs w:val="24"/>
          <w:lang w:val="en-ZA"/>
        </w:rPr>
        <w:t xml:space="preserve"> This does not, however, preclude an appeal in a true “</w:t>
      </w:r>
      <w:r w:rsidR="000510A5" w:rsidRPr="007A6927">
        <w:rPr>
          <w:rFonts w:cs="Arial"/>
          <w:i/>
          <w:szCs w:val="24"/>
          <w:lang w:val="en-ZA"/>
        </w:rPr>
        <w:t xml:space="preserve">test case” </w:t>
      </w:r>
      <w:r w:rsidR="000510A5" w:rsidRPr="007A6927">
        <w:rPr>
          <w:rFonts w:cs="Arial"/>
          <w:iCs/>
          <w:szCs w:val="24"/>
          <w:lang w:val="en-ZA"/>
        </w:rPr>
        <w:t>where circumstances create a practical need for the court to express its view on a particular point of law of public interest for future guidance which is bound to have a very definite practical effect (</w:t>
      </w:r>
      <w:r w:rsidR="002B4A71" w:rsidRPr="007A6927">
        <w:rPr>
          <w:rFonts w:cs="Arial"/>
          <w:i/>
          <w:szCs w:val="24"/>
          <w:lang w:val="en-ZA"/>
        </w:rPr>
        <w:t>Western Cape Education Department v George 1998 (3) SA 77 (SCA) at 84D; Natal Rugby Union v Bold 1999 (1) SA 432 (SCA) at 445B).</w:t>
      </w:r>
    </w:p>
    <w:p w14:paraId="1D893072" w14:textId="77777777" w:rsidR="007A6927" w:rsidRDefault="007A6927" w:rsidP="007A6927">
      <w:pPr>
        <w:pStyle w:val="ListParagraph"/>
        <w:rPr>
          <w:rFonts w:cs="Arial"/>
          <w:szCs w:val="24"/>
          <w:lang w:val="en-ZA"/>
        </w:rPr>
      </w:pPr>
    </w:p>
    <w:p w14:paraId="5CC3B923" w14:textId="5566CD5C" w:rsidR="007A6927" w:rsidRPr="007A6927" w:rsidRDefault="00EB14D6" w:rsidP="00EB14D6">
      <w:pPr>
        <w:spacing w:after="160"/>
        <w:ind w:left="0" w:firstLine="0"/>
        <w:contextualSpacing/>
        <w:rPr>
          <w:rFonts w:cs="Arial"/>
          <w:bCs/>
          <w:szCs w:val="24"/>
          <w:lang w:val="en-ZA"/>
        </w:rPr>
      </w:pPr>
      <w:r w:rsidRPr="007A6927">
        <w:rPr>
          <w:rFonts w:cs="Arial"/>
          <w:bCs/>
          <w:szCs w:val="24"/>
          <w:lang w:val="en-ZA"/>
        </w:rPr>
        <w:t>[9]</w:t>
      </w:r>
      <w:r w:rsidRPr="007A6927">
        <w:rPr>
          <w:rFonts w:cs="Arial"/>
          <w:bCs/>
          <w:szCs w:val="24"/>
          <w:lang w:val="en-ZA"/>
        </w:rPr>
        <w:tab/>
      </w:r>
      <w:r w:rsidR="002B4A71" w:rsidRPr="007A6927">
        <w:rPr>
          <w:rFonts w:cs="Arial"/>
          <w:szCs w:val="24"/>
          <w:lang w:val="en-ZA"/>
        </w:rPr>
        <w:t xml:space="preserve">The Supreme Court </w:t>
      </w:r>
      <w:r w:rsidR="00826305" w:rsidRPr="007A6927">
        <w:rPr>
          <w:rFonts w:cs="Arial"/>
          <w:szCs w:val="24"/>
          <w:lang w:val="en-ZA"/>
        </w:rPr>
        <w:t>o</w:t>
      </w:r>
      <w:r w:rsidR="002B4A71" w:rsidRPr="007A6927">
        <w:rPr>
          <w:rFonts w:cs="Arial"/>
          <w:szCs w:val="24"/>
          <w:lang w:val="en-ZA"/>
        </w:rPr>
        <w:t xml:space="preserve">f Appeal indicated in </w:t>
      </w:r>
      <w:r w:rsidR="002B4A71" w:rsidRPr="007A6927">
        <w:rPr>
          <w:rFonts w:cs="Arial"/>
          <w:i/>
          <w:iCs/>
          <w:szCs w:val="24"/>
          <w:lang w:val="en-ZA"/>
        </w:rPr>
        <w:t xml:space="preserve">Van </w:t>
      </w:r>
      <w:proofErr w:type="spellStart"/>
      <w:r w:rsidR="002B4A71" w:rsidRPr="007A6927">
        <w:rPr>
          <w:rFonts w:cs="Arial"/>
          <w:i/>
          <w:iCs/>
          <w:szCs w:val="24"/>
          <w:lang w:val="en-ZA"/>
        </w:rPr>
        <w:t>Staden</w:t>
      </w:r>
      <w:proofErr w:type="spellEnd"/>
      <w:r w:rsidR="002B4A71" w:rsidRPr="007A6927">
        <w:rPr>
          <w:rFonts w:cs="Arial"/>
          <w:i/>
          <w:iCs/>
          <w:szCs w:val="24"/>
          <w:lang w:val="en-ZA"/>
        </w:rPr>
        <w:t xml:space="preserve"> v Pro-wiz 2019(</w:t>
      </w:r>
      <w:r w:rsidR="00A141A9" w:rsidRPr="007A6927">
        <w:rPr>
          <w:rFonts w:cs="Arial"/>
          <w:i/>
          <w:iCs/>
          <w:szCs w:val="24"/>
          <w:lang w:val="en-ZA"/>
        </w:rPr>
        <w:t>4) SA 532 (SCA)</w:t>
      </w:r>
      <w:r w:rsidR="000A6218" w:rsidRPr="007A6927">
        <w:rPr>
          <w:rFonts w:cs="Arial"/>
          <w:i/>
          <w:iCs/>
          <w:szCs w:val="24"/>
          <w:lang w:val="en-ZA"/>
        </w:rPr>
        <w:t xml:space="preserve"> at para [5]</w:t>
      </w:r>
      <w:r w:rsidR="00A141A9" w:rsidRPr="007A6927">
        <w:rPr>
          <w:rFonts w:cs="Arial"/>
          <w:i/>
          <w:iCs/>
          <w:szCs w:val="24"/>
          <w:lang w:val="en-ZA"/>
        </w:rPr>
        <w:t xml:space="preserve"> </w:t>
      </w:r>
      <w:r w:rsidR="00A141A9" w:rsidRPr="007A6927">
        <w:rPr>
          <w:rFonts w:cs="Arial"/>
          <w:szCs w:val="24"/>
          <w:lang w:val="en-ZA"/>
        </w:rPr>
        <w:t>that:</w:t>
      </w:r>
    </w:p>
    <w:p w14:paraId="03C45F43" w14:textId="77777777" w:rsidR="007A6927" w:rsidRDefault="007A6927" w:rsidP="007A6927">
      <w:pPr>
        <w:pStyle w:val="ListParagraph"/>
        <w:rPr>
          <w:rFonts w:cs="Arial"/>
          <w:bCs/>
          <w:szCs w:val="24"/>
          <w:lang w:val="en-ZA"/>
        </w:rPr>
      </w:pPr>
    </w:p>
    <w:p w14:paraId="605296C9" w14:textId="77777777" w:rsidR="007A6927" w:rsidRDefault="007A6927" w:rsidP="007A6927">
      <w:pPr>
        <w:spacing w:after="160"/>
        <w:ind w:left="720" w:firstLine="0"/>
        <w:contextualSpacing/>
        <w:rPr>
          <w:rFonts w:cs="Arial"/>
          <w:iCs/>
          <w:szCs w:val="24"/>
          <w:lang w:val="en-ZA"/>
        </w:rPr>
      </w:pPr>
      <w:r>
        <w:rPr>
          <w:rFonts w:cs="Arial"/>
          <w:szCs w:val="24"/>
          <w:lang w:val="en-ZA"/>
        </w:rPr>
        <w:t>“</w:t>
      </w:r>
      <w:r>
        <w:rPr>
          <w:rFonts w:cs="Arial"/>
          <w:i/>
          <w:szCs w:val="24"/>
          <w:lang w:val="en-ZA"/>
        </w:rPr>
        <w:t>An appeal will have a practical effect or result when it raises a discreet issue of public importance, the answer to which would affect matters in the future, and on which the decision of this Court is required.”</w:t>
      </w:r>
    </w:p>
    <w:p w14:paraId="0A8E3DAA" w14:textId="77777777" w:rsidR="007A6927" w:rsidRDefault="007A6927" w:rsidP="007A6927">
      <w:pPr>
        <w:pStyle w:val="ListParagraph"/>
        <w:rPr>
          <w:rFonts w:cs="Arial"/>
          <w:iCs/>
          <w:szCs w:val="24"/>
          <w:lang w:val="en-ZA"/>
        </w:rPr>
      </w:pPr>
    </w:p>
    <w:p w14:paraId="1C154A7C" w14:textId="55EF38E7" w:rsidR="007A6927" w:rsidRPr="007A6927" w:rsidRDefault="00EB14D6" w:rsidP="00EB14D6">
      <w:pPr>
        <w:spacing w:after="160"/>
        <w:ind w:left="0" w:firstLine="0"/>
        <w:contextualSpacing/>
        <w:rPr>
          <w:rFonts w:cs="Arial"/>
          <w:bCs/>
          <w:szCs w:val="24"/>
          <w:lang w:val="en-ZA"/>
        </w:rPr>
      </w:pPr>
      <w:r w:rsidRPr="007A6927">
        <w:rPr>
          <w:rFonts w:cs="Arial"/>
          <w:bCs/>
          <w:szCs w:val="24"/>
          <w:lang w:val="en-ZA"/>
        </w:rPr>
        <w:t>[10]</w:t>
      </w:r>
      <w:r w:rsidRPr="007A6927">
        <w:rPr>
          <w:rFonts w:cs="Arial"/>
          <w:bCs/>
          <w:szCs w:val="24"/>
          <w:lang w:val="en-ZA"/>
        </w:rPr>
        <w:tab/>
      </w:r>
      <w:r w:rsidR="009A48C2" w:rsidRPr="007A6927">
        <w:rPr>
          <w:rFonts w:cs="Arial"/>
          <w:iCs/>
          <w:szCs w:val="24"/>
          <w:lang w:val="en-ZA"/>
        </w:rPr>
        <w:t>Mr Buchanan SC, who appeared on behalf of the Appellants, submitted that the remaining issues to be determined on appeal raise fundamental matters of public importance and will indeed have a direct practical effect.</w:t>
      </w:r>
      <w:r w:rsidR="008E6234" w:rsidRPr="007A6927">
        <w:rPr>
          <w:rFonts w:cs="Arial"/>
          <w:iCs/>
          <w:szCs w:val="24"/>
          <w:lang w:val="en-ZA"/>
        </w:rPr>
        <w:t xml:space="preserve"> I agree with Counsel’s submission insofar as the first of the three remaining issues being raised on appeal is concerned, namely whether the </w:t>
      </w:r>
      <w:proofErr w:type="gramStart"/>
      <w:r w:rsidR="008E6234" w:rsidRPr="007A6927">
        <w:rPr>
          <w:rFonts w:cs="Arial"/>
          <w:iCs/>
          <w:szCs w:val="24"/>
          <w:lang w:val="en-ZA"/>
        </w:rPr>
        <w:t>14 day</w:t>
      </w:r>
      <w:proofErr w:type="gramEnd"/>
      <w:r w:rsidR="008E6234" w:rsidRPr="007A6927">
        <w:rPr>
          <w:rFonts w:cs="Arial"/>
          <w:iCs/>
          <w:szCs w:val="24"/>
          <w:lang w:val="en-ZA"/>
        </w:rPr>
        <w:t xml:space="preserve"> period referred to in Regulation 19.4 constitutes a </w:t>
      </w:r>
      <w:r w:rsidR="008A3A28" w:rsidRPr="007A6927">
        <w:rPr>
          <w:rFonts w:cs="Arial"/>
          <w:iCs/>
          <w:szCs w:val="24"/>
          <w:lang w:val="en-ZA"/>
        </w:rPr>
        <w:t>substantive</w:t>
      </w:r>
      <w:r w:rsidR="008E6234" w:rsidRPr="007A6927">
        <w:rPr>
          <w:rFonts w:cs="Arial"/>
          <w:iCs/>
          <w:szCs w:val="24"/>
          <w:lang w:val="en-ZA"/>
        </w:rPr>
        <w:t xml:space="preserve"> as opposed to a </w:t>
      </w:r>
      <w:r w:rsidR="008A3A28" w:rsidRPr="007A6927">
        <w:rPr>
          <w:rFonts w:cs="Arial"/>
          <w:iCs/>
          <w:szCs w:val="24"/>
          <w:lang w:val="en-ZA"/>
        </w:rPr>
        <w:t>procedural</w:t>
      </w:r>
      <w:r w:rsidR="008E6234" w:rsidRPr="007A6927">
        <w:rPr>
          <w:rFonts w:cs="Arial"/>
          <w:iCs/>
          <w:szCs w:val="24"/>
          <w:lang w:val="en-ZA"/>
        </w:rPr>
        <w:t xml:space="preserve"> time bar.</w:t>
      </w:r>
      <w:r w:rsidR="008A3A28" w:rsidRPr="007A6927">
        <w:rPr>
          <w:rFonts w:cs="Arial"/>
          <w:iCs/>
          <w:szCs w:val="24"/>
          <w:lang w:val="en-ZA"/>
        </w:rPr>
        <w:t xml:space="preserve"> The proper and effective resolution of disputes concerning School Governing Body elections</w:t>
      </w:r>
      <w:r w:rsidR="00B72778" w:rsidRPr="007A6927">
        <w:rPr>
          <w:rFonts w:cs="Arial"/>
          <w:iCs/>
          <w:szCs w:val="24"/>
          <w:lang w:val="en-ZA"/>
        </w:rPr>
        <w:t xml:space="preserve"> in this Province</w:t>
      </w:r>
      <w:r w:rsidR="008A3A28" w:rsidRPr="007A6927">
        <w:rPr>
          <w:rFonts w:cs="Arial"/>
          <w:iCs/>
          <w:szCs w:val="24"/>
          <w:lang w:val="en-ZA"/>
        </w:rPr>
        <w:t xml:space="preserve"> is a matter of public importance and impacts directly on the entire school community.</w:t>
      </w:r>
      <w:r w:rsidR="004B7469" w:rsidRPr="007A6927">
        <w:rPr>
          <w:rFonts w:cs="Arial"/>
          <w:iCs/>
          <w:szCs w:val="24"/>
          <w:lang w:val="en-ZA"/>
        </w:rPr>
        <w:t xml:space="preserve"> The proper construction to be placed upon Regulation 19.4</w:t>
      </w:r>
      <w:r w:rsidR="00BE49EC" w:rsidRPr="007A6927">
        <w:rPr>
          <w:rFonts w:cs="Arial"/>
          <w:iCs/>
          <w:szCs w:val="24"/>
          <w:lang w:val="en-ZA"/>
        </w:rPr>
        <w:t xml:space="preserve"> is a</w:t>
      </w:r>
      <w:r w:rsidR="00B72778" w:rsidRPr="007A6927">
        <w:rPr>
          <w:rFonts w:cs="Arial"/>
          <w:iCs/>
          <w:szCs w:val="24"/>
          <w:lang w:val="en-ZA"/>
        </w:rPr>
        <w:t>n important</w:t>
      </w:r>
      <w:r w:rsidR="00BE49EC" w:rsidRPr="007A6927">
        <w:rPr>
          <w:rFonts w:cs="Arial"/>
          <w:iCs/>
          <w:szCs w:val="24"/>
          <w:lang w:val="en-ZA"/>
        </w:rPr>
        <w:t xml:space="preserve"> issue</w:t>
      </w:r>
      <w:r w:rsidR="00B72778" w:rsidRPr="007A6927">
        <w:rPr>
          <w:rFonts w:cs="Arial"/>
          <w:iCs/>
          <w:szCs w:val="24"/>
          <w:lang w:val="en-ZA"/>
        </w:rPr>
        <w:t xml:space="preserve"> of law that is likely to arise frequently and</w:t>
      </w:r>
      <w:r w:rsidR="00BE49EC" w:rsidRPr="007A6927">
        <w:rPr>
          <w:rFonts w:cs="Arial"/>
          <w:iCs/>
          <w:szCs w:val="24"/>
          <w:lang w:val="en-ZA"/>
        </w:rPr>
        <w:t xml:space="preserve"> that requires clarification and the guidance of the court for the benefit of matters in the future.</w:t>
      </w:r>
      <w:r w:rsidR="008C1D5D" w:rsidRPr="007A6927">
        <w:rPr>
          <w:rFonts w:cs="Arial"/>
          <w:iCs/>
          <w:szCs w:val="24"/>
          <w:lang w:val="en-ZA"/>
        </w:rPr>
        <w:t xml:space="preserve"> </w:t>
      </w:r>
      <w:r w:rsidR="00F43C3D" w:rsidRPr="007A6927">
        <w:rPr>
          <w:rFonts w:cs="Arial"/>
          <w:iCs/>
          <w:szCs w:val="24"/>
          <w:lang w:val="en-ZA"/>
        </w:rPr>
        <w:t xml:space="preserve">The appeal in respect of this issue is therefore not moot. </w:t>
      </w:r>
      <w:r w:rsidR="008C1D5D" w:rsidRPr="007A6927">
        <w:rPr>
          <w:rFonts w:cs="Arial"/>
          <w:iCs/>
          <w:szCs w:val="24"/>
          <w:lang w:val="en-ZA"/>
        </w:rPr>
        <w:t>In my view,</w:t>
      </w:r>
      <w:r w:rsidR="000A6218" w:rsidRPr="007A6927">
        <w:rPr>
          <w:rFonts w:cs="Arial"/>
          <w:iCs/>
          <w:szCs w:val="24"/>
          <w:lang w:val="en-ZA"/>
        </w:rPr>
        <w:t xml:space="preserve"> however,</w:t>
      </w:r>
      <w:r w:rsidR="008C1D5D" w:rsidRPr="007A6927">
        <w:rPr>
          <w:rFonts w:cs="Arial"/>
          <w:iCs/>
          <w:szCs w:val="24"/>
          <w:lang w:val="en-ZA"/>
        </w:rPr>
        <w:t xml:space="preserve"> the two remaining issues do not</w:t>
      </w:r>
      <w:r w:rsidR="00E26622" w:rsidRPr="007A6927">
        <w:rPr>
          <w:rFonts w:cs="Arial"/>
          <w:iCs/>
          <w:szCs w:val="24"/>
          <w:lang w:val="en-ZA"/>
        </w:rPr>
        <w:t xml:space="preserve"> fall into the same category and do </w:t>
      </w:r>
      <w:r w:rsidR="00E26622" w:rsidRPr="007A6927">
        <w:rPr>
          <w:rFonts w:cs="Arial"/>
          <w:iCs/>
          <w:szCs w:val="24"/>
          <w:lang w:val="en-ZA"/>
        </w:rPr>
        <w:lastRenderedPageBreak/>
        <w:t>not warrant being decided in this appeal</w:t>
      </w:r>
      <w:r w:rsidR="000A6218" w:rsidRPr="007A6927">
        <w:rPr>
          <w:rFonts w:cs="Arial"/>
          <w:iCs/>
          <w:szCs w:val="24"/>
          <w:lang w:val="en-ZA"/>
        </w:rPr>
        <w:t xml:space="preserve"> and I decline to do so</w:t>
      </w:r>
      <w:r w:rsidR="00E26622" w:rsidRPr="007A6927">
        <w:rPr>
          <w:rFonts w:cs="Arial"/>
          <w:iCs/>
          <w:szCs w:val="24"/>
          <w:lang w:val="en-ZA"/>
        </w:rPr>
        <w:t xml:space="preserve">. I </w:t>
      </w:r>
      <w:r w:rsidR="00B72778" w:rsidRPr="007A6927">
        <w:rPr>
          <w:rFonts w:cs="Arial"/>
          <w:iCs/>
          <w:szCs w:val="24"/>
          <w:lang w:val="en-ZA"/>
        </w:rPr>
        <w:t xml:space="preserve">accordingly </w:t>
      </w:r>
      <w:r w:rsidR="00E26622" w:rsidRPr="007A6927">
        <w:rPr>
          <w:rFonts w:cs="Arial"/>
          <w:iCs/>
          <w:szCs w:val="24"/>
          <w:lang w:val="en-ZA"/>
        </w:rPr>
        <w:t xml:space="preserve">proceed to deal with the </w:t>
      </w:r>
      <w:r w:rsidR="001F69E3" w:rsidRPr="007A6927">
        <w:rPr>
          <w:rFonts w:cs="Arial"/>
          <w:iCs/>
          <w:szCs w:val="24"/>
          <w:lang w:val="en-ZA"/>
        </w:rPr>
        <w:t>first</w:t>
      </w:r>
      <w:r w:rsidR="00E26622" w:rsidRPr="007A6927">
        <w:rPr>
          <w:rFonts w:cs="Arial"/>
          <w:iCs/>
          <w:szCs w:val="24"/>
          <w:lang w:val="en-ZA"/>
        </w:rPr>
        <w:t xml:space="preserve"> issue</w:t>
      </w:r>
      <w:r w:rsidR="001F69E3" w:rsidRPr="007A6927">
        <w:rPr>
          <w:rFonts w:cs="Arial"/>
          <w:iCs/>
          <w:szCs w:val="24"/>
          <w:lang w:val="en-ZA"/>
        </w:rPr>
        <w:t xml:space="preserve"> only</w:t>
      </w:r>
      <w:r w:rsidR="00E26622" w:rsidRPr="007A6927">
        <w:rPr>
          <w:rFonts w:cs="Arial"/>
          <w:iCs/>
          <w:szCs w:val="24"/>
          <w:lang w:val="en-ZA"/>
        </w:rPr>
        <w:t>.</w:t>
      </w:r>
    </w:p>
    <w:p w14:paraId="216CCEA0" w14:textId="4FC1BC4A" w:rsidR="007A6927" w:rsidRDefault="007A6927" w:rsidP="007A6927">
      <w:pPr>
        <w:spacing w:after="160"/>
        <w:ind w:left="0" w:firstLine="0"/>
        <w:contextualSpacing/>
        <w:rPr>
          <w:rFonts w:cs="Arial"/>
          <w:iCs/>
          <w:szCs w:val="24"/>
          <w:lang w:val="en-ZA"/>
        </w:rPr>
      </w:pPr>
    </w:p>
    <w:p w14:paraId="62DD7185" w14:textId="77777777" w:rsidR="007A6927" w:rsidRDefault="007A6927" w:rsidP="007A6927">
      <w:pPr>
        <w:spacing w:after="160"/>
        <w:ind w:left="0" w:firstLine="0"/>
        <w:contextualSpacing/>
        <w:rPr>
          <w:rFonts w:cs="Arial"/>
          <w:i/>
          <w:szCs w:val="24"/>
          <w:lang w:val="en-ZA"/>
        </w:rPr>
      </w:pPr>
      <w:r>
        <w:rPr>
          <w:rFonts w:cs="Arial"/>
          <w:i/>
          <w:szCs w:val="24"/>
          <w:lang w:val="en-ZA"/>
        </w:rPr>
        <w:t>Nature of the time-bar provision in Regulation 19(4)</w:t>
      </w:r>
    </w:p>
    <w:p w14:paraId="56613B13" w14:textId="77777777" w:rsidR="007A6927" w:rsidRDefault="007A6927" w:rsidP="007A6927">
      <w:pPr>
        <w:spacing w:after="160"/>
        <w:ind w:left="0" w:firstLine="0"/>
        <w:contextualSpacing/>
        <w:rPr>
          <w:rFonts w:cs="Arial"/>
          <w:bCs/>
          <w:szCs w:val="24"/>
          <w:lang w:val="en-ZA"/>
        </w:rPr>
      </w:pPr>
    </w:p>
    <w:p w14:paraId="59AEFCC3" w14:textId="17634232" w:rsidR="007A6927" w:rsidRPr="007A6927" w:rsidRDefault="00EB14D6" w:rsidP="00EB14D6">
      <w:pPr>
        <w:spacing w:after="160"/>
        <w:ind w:left="0" w:firstLine="0"/>
        <w:contextualSpacing/>
        <w:rPr>
          <w:rFonts w:cs="Arial"/>
          <w:bCs/>
          <w:szCs w:val="24"/>
          <w:lang w:val="en-ZA"/>
        </w:rPr>
      </w:pPr>
      <w:r w:rsidRPr="007A6927">
        <w:rPr>
          <w:rFonts w:cs="Arial"/>
          <w:bCs/>
          <w:szCs w:val="24"/>
          <w:lang w:val="en-ZA"/>
        </w:rPr>
        <w:t>[11]</w:t>
      </w:r>
      <w:r w:rsidRPr="007A6927">
        <w:rPr>
          <w:rFonts w:cs="Arial"/>
          <w:bCs/>
          <w:szCs w:val="24"/>
          <w:lang w:val="en-ZA"/>
        </w:rPr>
        <w:tab/>
      </w:r>
      <w:r w:rsidR="00267F4E" w:rsidRPr="007A6927">
        <w:rPr>
          <w:rFonts w:cs="Arial"/>
          <w:iCs/>
          <w:szCs w:val="24"/>
          <w:lang w:val="en-ZA"/>
        </w:rPr>
        <w:t>Regulation 19</w:t>
      </w:r>
      <w:r w:rsidR="00213198" w:rsidRPr="007A6927">
        <w:rPr>
          <w:rFonts w:cs="Arial"/>
          <w:iCs/>
          <w:szCs w:val="24"/>
          <w:lang w:val="en-ZA"/>
        </w:rPr>
        <w:t xml:space="preserve"> provides for the election of School Governing Bodies and</w:t>
      </w:r>
      <w:r w:rsidR="00267F4E" w:rsidRPr="007A6927">
        <w:rPr>
          <w:rFonts w:cs="Arial"/>
          <w:iCs/>
          <w:szCs w:val="24"/>
          <w:lang w:val="en-ZA"/>
        </w:rPr>
        <w:t xml:space="preserve"> is to the following effect:</w:t>
      </w:r>
    </w:p>
    <w:p w14:paraId="7A6960E3" w14:textId="12C27A74" w:rsidR="007A6927" w:rsidRDefault="007A6927" w:rsidP="007A6927">
      <w:pPr>
        <w:spacing w:after="160"/>
        <w:ind w:left="0" w:firstLine="0"/>
        <w:contextualSpacing/>
        <w:rPr>
          <w:rFonts w:cs="Arial"/>
          <w:iCs/>
          <w:szCs w:val="24"/>
          <w:lang w:val="en-ZA"/>
        </w:rPr>
      </w:pPr>
    </w:p>
    <w:p w14:paraId="4AE80C75" w14:textId="77777777" w:rsidR="007A6927" w:rsidRDefault="007A6927" w:rsidP="007A6927">
      <w:pPr>
        <w:spacing w:after="160"/>
        <w:ind w:left="720" w:firstLine="0"/>
        <w:contextualSpacing/>
        <w:rPr>
          <w:rFonts w:cs="Arial"/>
          <w:i/>
          <w:iCs/>
          <w:szCs w:val="24"/>
          <w:lang w:val="en-ZA"/>
        </w:rPr>
      </w:pPr>
      <w:r>
        <w:rPr>
          <w:rFonts w:cs="Arial"/>
          <w:iCs/>
          <w:szCs w:val="24"/>
          <w:lang w:val="en-ZA"/>
        </w:rPr>
        <w:t>“</w:t>
      </w:r>
      <w:r>
        <w:rPr>
          <w:rFonts w:cs="Arial"/>
          <w:i/>
          <w:iCs/>
          <w:szCs w:val="24"/>
          <w:lang w:val="en-ZA"/>
        </w:rPr>
        <w:t xml:space="preserve">19.1 The school electoral officer shall decide all matters concerned with the nomination and election of nominees in terms of all the </w:t>
      </w:r>
      <w:proofErr w:type="gramStart"/>
      <w:r>
        <w:rPr>
          <w:rFonts w:cs="Arial"/>
          <w:i/>
          <w:iCs/>
          <w:szCs w:val="24"/>
          <w:lang w:val="en-ZA"/>
        </w:rPr>
        <w:t>categories;</w:t>
      </w:r>
      <w:proofErr w:type="gramEnd"/>
    </w:p>
    <w:p w14:paraId="4332B4D4" w14:textId="77777777" w:rsidR="007A6927" w:rsidRDefault="007A6927" w:rsidP="007A6927">
      <w:pPr>
        <w:spacing w:after="160"/>
        <w:ind w:left="720" w:firstLine="0"/>
        <w:contextualSpacing/>
        <w:rPr>
          <w:rFonts w:cs="Arial"/>
          <w:i/>
          <w:iCs/>
          <w:szCs w:val="24"/>
          <w:lang w:val="en-ZA"/>
        </w:rPr>
      </w:pPr>
      <w:r>
        <w:rPr>
          <w:rFonts w:cs="Arial"/>
          <w:i/>
          <w:iCs/>
          <w:szCs w:val="24"/>
          <w:lang w:val="en-ZA"/>
        </w:rPr>
        <w:t xml:space="preserve">19.2 All the disputes should be reported to the school electoral officer during the process of the </w:t>
      </w:r>
      <w:proofErr w:type="gramStart"/>
      <w:r>
        <w:rPr>
          <w:rFonts w:cs="Arial"/>
          <w:i/>
          <w:iCs/>
          <w:szCs w:val="24"/>
          <w:lang w:val="en-ZA"/>
        </w:rPr>
        <w:t>elections;</w:t>
      </w:r>
      <w:proofErr w:type="gramEnd"/>
    </w:p>
    <w:p w14:paraId="0B4FF812" w14:textId="77777777" w:rsidR="007A6927" w:rsidRDefault="007A6927" w:rsidP="007A6927">
      <w:pPr>
        <w:spacing w:after="160"/>
        <w:ind w:left="720" w:firstLine="0"/>
        <w:contextualSpacing/>
        <w:rPr>
          <w:rFonts w:cs="Arial"/>
          <w:i/>
          <w:iCs/>
          <w:szCs w:val="24"/>
          <w:lang w:val="en-ZA"/>
        </w:rPr>
      </w:pPr>
      <w:r>
        <w:rPr>
          <w:rFonts w:cs="Arial"/>
          <w:i/>
          <w:iCs/>
          <w:szCs w:val="24"/>
          <w:lang w:val="en-ZA"/>
        </w:rPr>
        <w:t xml:space="preserve">19.3 The school electoral officer shall resolve all disputes to declare elections undisputed. His or her decision during the election is </w:t>
      </w:r>
      <w:proofErr w:type="gramStart"/>
      <w:r>
        <w:rPr>
          <w:rFonts w:cs="Arial"/>
          <w:i/>
          <w:iCs/>
          <w:szCs w:val="24"/>
          <w:lang w:val="en-ZA"/>
        </w:rPr>
        <w:t>final;</w:t>
      </w:r>
      <w:proofErr w:type="gramEnd"/>
    </w:p>
    <w:p w14:paraId="15EC6FDB" w14:textId="77777777" w:rsidR="007A6927" w:rsidRDefault="007A6927" w:rsidP="007A6927">
      <w:pPr>
        <w:spacing w:after="160"/>
        <w:ind w:left="720" w:firstLine="0"/>
        <w:contextualSpacing/>
        <w:rPr>
          <w:rFonts w:cs="Arial"/>
          <w:i/>
          <w:iCs/>
          <w:szCs w:val="24"/>
          <w:lang w:val="en-ZA"/>
        </w:rPr>
      </w:pPr>
      <w:r>
        <w:rPr>
          <w:rFonts w:cs="Arial"/>
          <w:i/>
          <w:iCs/>
          <w:szCs w:val="24"/>
          <w:lang w:val="en-ZA"/>
        </w:rPr>
        <w:t xml:space="preserve">19.4 If the school electoral officer is unable to resolve the dispute the election should be </w:t>
      </w:r>
      <w:proofErr w:type="gramStart"/>
      <w:r>
        <w:rPr>
          <w:rFonts w:cs="Arial"/>
          <w:i/>
          <w:iCs/>
          <w:szCs w:val="24"/>
          <w:lang w:val="en-ZA"/>
        </w:rPr>
        <w:t>completed</w:t>
      </w:r>
      <w:proofErr w:type="gramEnd"/>
      <w:r>
        <w:rPr>
          <w:rFonts w:cs="Arial"/>
          <w:i/>
          <w:iCs/>
          <w:szCs w:val="24"/>
          <w:lang w:val="en-ZA"/>
        </w:rPr>
        <w:t xml:space="preserve"> and the dispute can then be referred to the district electoral officer within 7 days after the election day. The district electoral officer shall inform the complainant in writing of his or her decision and the reasons therefor within 14 days after the receipt of the </w:t>
      </w:r>
      <w:proofErr w:type="gramStart"/>
      <w:r>
        <w:rPr>
          <w:rFonts w:cs="Arial"/>
          <w:i/>
          <w:iCs/>
          <w:szCs w:val="24"/>
          <w:lang w:val="en-ZA"/>
        </w:rPr>
        <w:t>complaint;</w:t>
      </w:r>
      <w:proofErr w:type="gramEnd"/>
    </w:p>
    <w:p w14:paraId="2A8BE992" w14:textId="77777777" w:rsidR="007A6927" w:rsidRDefault="007A6927" w:rsidP="007A6927">
      <w:pPr>
        <w:spacing w:after="160"/>
        <w:ind w:left="720" w:firstLine="0"/>
        <w:contextualSpacing/>
        <w:rPr>
          <w:rFonts w:cs="Arial"/>
          <w:i/>
          <w:iCs/>
          <w:szCs w:val="24"/>
          <w:lang w:val="en-ZA"/>
        </w:rPr>
      </w:pPr>
      <w:r>
        <w:rPr>
          <w:rFonts w:cs="Arial"/>
          <w:i/>
          <w:iCs/>
          <w:szCs w:val="24"/>
          <w:lang w:val="en-ZA"/>
        </w:rPr>
        <w:t xml:space="preserve">19.5 In the event that the knowledge of any alleged irregularities only became available after completion of the election process, a dispute can be referred to the district electoral officer. The provisions of Regulation 19(4) and 19(6) will then </w:t>
      </w:r>
      <w:proofErr w:type="gramStart"/>
      <w:r>
        <w:rPr>
          <w:rFonts w:cs="Arial"/>
          <w:i/>
          <w:iCs/>
          <w:szCs w:val="24"/>
          <w:lang w:val="en-ZA"/>
        </w:rPr>
        <w:t>apply;</w:t>
      </w:r>
      <w:proofErr w:type="gramEnd"/>
    </w:p>
    <w:p w14:paraId="548C44AE" w14:textId="77777777" w:rsidR="007A6927" w:rsidRDefault="007A6927" w:rsidP="007A6927">
      <w:pPr>
        <w:spacing w:after="160"/>
        <w:ind w:left="720" w:firstLine="0"/>
        <w:contextualSpacing/>
        <w:rPr>
          <w:rFonts w:cs="Arial"/>
          <w:i/>
          <w:iCs/>
          <w:szCs w:val="24"/>
          <w:lang w:val="en-ZA"/>
        </w:rPr>
      </w:pPr>
      <w:r>
        <w:rPr>
          <w:rFonts w:cs="Arial"/>
          <w:i/>
          <w:iCs/>
          <w:szCs w:val="24"/>
          <w:lang w:val="en-ZA"/>
        </w:rPr>
        <w:t xml:space="preserve">19.6 An appeal may be lodged with the MEC within 7 (seven) days, should the complainant not be satisfied with the decision taken by the electoral </w:t>
      </w:r>
      <w:proofErr w:type="gramStart"/>
      <w:r>
        <w:rPr>
          <w:rFonts w:cs="Arial"/>
          <w:i/>
          <w:iCs/>
          <w:szCs w:val="24"/>
          <w:lang w:val="en-ZA"/>
        </w:rPr>
        <w:t>officer;</w:t>
      </w:r>
      <w:proofErr w:type="gramEnd"/>
    </w:p>
    <w:p w14:paraId="24339B5C" w14:textId="77777777" w:rsidR="007A6927" w:rsidRDefault="007A6927" w:rsidP="007A6927">
      <w:pPr>
        <w:spacing w:after="160"/>
        <w:ind w:left="720" w:firstLine="0"/>
        <w:contextualSpacing/>
        <w:rPr>
          <w:rFonts w:cs="Arial"/>
          <w:i/>
          <w:iCs/>
          <w:szCs w:val="24"/>
          <w:lang w:val="en-ZA"/>
        </w:rPr>
      </w:pPr>
      <w:r>
        <w:rPr>
          <w:rFonts w:cs="Arial"/>
          <w:i/>
          <w:iCs/>
          <w:szCs w:val="24"/>
          <w:lang w:val="en-ZA"/>
        </w:rPr>
        <w:t xml:space="preserve">19.7 The MEC must inform the complainant in writing of his or her decision and the reasons therefor within 30 (thirty) days of receipt of the appeal.” </w:t>
      </w:r>
    </w:p>
    <w:p w14:paraId="49E07840" w14:textId="77777777" w:rsidR="007A6927" w:rsidRDefault="007A6927" w:rsidP="007A6927">
      <w:pPr>
        <w:spacing w:after="160"/>
        <w:ind w:left="720" w:firstLine="0"/>
        <w:contextualSpacing/>
        <w:rPr>
          <w:rFonts w:cs="Arial"/>
          <w:bCs/>
          <w:szCs w:val="24"/>
          <w:lang w:val="en-ZA"/>
        </w:rPr>
      </w:pPr>
    </w:p>
    <w:p w14:paraId="294925A8" w14:textId="44BCBB1E" w:rsidR="007A6927" w:rsidRPr="007A6927" w:rsidRDefault="00EB14D6" w:rsidP="00EB14D6">
      <w:pPr>
        <w:spacing w:after="160"/>
        <w:ind w:left="0" w:firstLine="0"/>
        <w:contextualSpacing/>
        <w:rPr>
          <w:rFonts w:cs="Arial"/>
          <w:bCs/>
          <w:szCs w:val="24"/>
          <w:lang w:val="en-ZA"/>
        </w:rPr>
      </w:pPr>
      <w:r w:rsidRPr="007A6927">
        <w:rPr>
          <w:rFonts w:cs="Arial"/>
          <w:bCs/>
          <w:szCs w:val="24"/>
          <w:lang w:val="en-ZA"/>
        </w:rPr>
        <w:t>[12]</w:t>
      </w:r>
      <w:r w:rsidRPr="007A6927">
        <w:rPr>
          <w:rFonts w:cs="Arial"/>
          <w:bCs/>
          <w:szCs w:val="24"/>
          <w:lang w:val="en-ZA"/>
        </w:rPr>
        <w:tab/>
      </w:r>
      <w:r w:rsidR="008A350A" w:rsidRPr="007A6927">
        <w:rPr>
          <w:rFonts w:cs="Arial"/>
          <w:szCs w:val="24"/>
          <w:lang w:val="en-ZA"/>
        </w:rPr>
        <w:t>It is readily</w:t>
      </w:r>
      <w:r w:rsidR="00766847" w:rsidRPr="007A6927">
        <w:rPr>
          <w:rFonts w:cs="Arial"/>
          <w:szCs w:val="24"/>
          <w:lang w:val="en-ZA"/>
        </w:rPr>
        <w:t xml:space="preserve"> apparent that Regulation</w:t>
      </w:r>
      <w:r w:rsidR="00F54F68" w:rsidRPr="007A6927">
        <w:rPr>
          <w:rFonts w:cs="Arial"/>
          <w:szCs w:val="24"/>
          <w:lang w:val="en-ZA"/>
        </w:rPr>
        <w:t xml:space="preserve"> 19 envisages that a dispute may be raised </w:t>
      </w:r>
      <w:proofErr w:type="gramStart"/>
      <w:r w:rsidR="00F54F68" w:rsidRPr="007A6927">
        <w:rPr>
          <w:rFonts w:cs="Arial"/>
          <w:szCs w:val="24"/>
          <w:lang w:val="en-ZA"/>
        </w:rPr>
        <w:t>with regard to</w:t>
      </w:r>
      <w:proofErr w:type="gramEnd"/>
      <w:r w:rsidR="00F54F68" w:rsidRPr="007A6927">
        <w:rPr>
          <w:rFonts w:cs="Arial"/>
          <w:szCs w:val="24"/>
          <w:lang w:val="en-ZA"/>
        </w:rPr>
        <w:t xml:space="preserve"> the election of a School Governing Body during as well as after the completion of the elections. Unresolved local disputes are ultimately referred to the </w:t>
      </w:r>
      <w:r w:rsidR="00F54F68" w:rsidRPr="007A6927">
        <w:rPr>
          <w:rFonts w:cs="Arial"/>
          <w:szCs w:val="24"/>
          <w:lang w:val="en-ZA"/>
        </w:rPr>
        <w:lastRenderedPageBreak/>
        <w:t>District Electoral Officer</w:t>
      </w:r>
      <w:r w:rsidR="009C63A2" w:rsidRPr="007A6927">
        <w:rPr>
          <w:rFonts w:cs="Arial"/>
          <w:szCs w:val="24"/>
          <w:lang w:val="en-ZA"/>
        </w:rPr>
        <w:t xml:space="preserve"> as are post-election disputes.</w:t>
      </w:r>
      <w:r w:rsidR="008A350A" w:rsidRPr="007A6927">
        <w:rPr>
          <w:rFonts w:cs="Arial"/>
          <w:szCs w:val="24"/>
          <w:lang w:val="en-ZA"/>
        </w:rPr>
        <w:t xml:space="preserve"> </w:t>
      </w:r>
      <w:r w:rsidR="009C63A2" w:rsidRPr="007A6927">
        <w:rPr>
          <w:rFonts w:cs="Arial"/>
          <w:szCs w:val="24"/>
          <w:lang w:val="en-ZA"/>
        </w:rPr>
        <w:t>The</w:t>
      </w:r>
      <w:r w:rsidR="008A350A" w:rsidRPr="007A6927">
        <w:rPr>
          <w:rFonts w:cs="Arial"/>
          <w:szCs w:val="24"/>
          <w:lang w:val="en-ZA"/>
        </w:rPr>
        <w:t xml:space="preserve"> decision</w:t>
      </w:r>
      <w:r w:rsidR="009C63A2" w:rsidRPr="007A6927">
        <w:rPr>
          <w:rFonts w:cs="Arial"/>
          <w:szCs w:val="24"/>
          <w:lang w:val="en-ZA"/>
        </w:rPr>
        <w:t xml:space="preserve"> of the DEO</w:t>
      </w:r>
      <w:r w:rsidR="008A350A" w:rsidRPr="007A6927">
        <w:rPr>
          <w:rFonts w:cs="Arial"/>
          <w:szCs w:val="24"/>
          <w:lang w:val="en-ZA"/>
        </w:rPr>
        <w:t xml:space="preserve"> together with the reasons therefor must be communicated in writing to the complainant within</w:t>
      </w:r>
      <w:r w:rsidR="00315C9D" w:rsidRPr="007A6927">
        <w:rPr>
          <w:rFonts w:cs="Arial"/>
          <w:szCs w:val="24"/>
          <w:lang w:val="en-ZA"/>
        </w:rPr>
        <w:t xml:space="preserve"> 14</w:t>
      </w:r>
      <w:r w:rsidR="008A350A" w:rsidRPr="007A6927">
        <w:rPr>
          <w:rFonts w:cs="Arial"/>
          <w:szCs w:val="24"/>
          <w:lang w:val="en-ZA"/>
        </w:rPr>
        <w:t xml:space="preserve"> days of receipt of the complaint.</w:t>
      </w:r>
    </w:p>
    <w:p w14:paraId="37CB4BC1" w14:textId="77777777" w:rsidR="007A6927" w:rsidRDefault="007A6927" w:rsidP="007A6927">
      <w:pPr>
        <w:spacing w:after="160"/>
        <w:ind w:left="0" w:firstLine="0"/>
        <w:contextualSpacing/>
        <w:rPr>
          <w:rFonts w:cs="Arial"/>
          <w:bCs/>
          <w:szCs w:val="24"/>
          <w:lang w:val="en-ZA"/>
        </w:rPr>
      </w:pPr>
    </w:p>
    <w:p w14:paraId="51B3937F" w14:textId="0DEFD4A0" w:rsidR="007A6927" w:rsidRDefault="00EB14D6" w:rsidP="00EB14D6">
      <w:pPr>
        <w:spacing w:after="160"/>
        <w:ind w:left="0" w:firstLine="0"/>
        <w:contextualSpacing/>
        <w:rPr>
          <w:rFonts w:cs="Arial"/>
          <w:bCs/>
          <w:szCs w:val="24"/>
          <w:lang w:val="en-ZA"/>
        </w:rPr>
      </w:pPr>
      <w:r>
        <w:rPr>
          <w:rFonts w:cs="Arial"/>
          <w:bCs/>
          <w:szCs w:val="24"/>
          <w:lang w:val="en-ZA"/>
        </w:rPr>
        <w:t>[13]</w:t>
      </w:r>
      <w:r>
        <w:rPr>
          <w:rFonts w:cs="Arial"/>
          <w:bCs/>
          <w:szCs w:val="24"/>
          <w:lang w:val="en-ZA"/>
        </w:rPr>
        <w:tab/>
      </w:r>
      <w:r w:rsidR="00816969" w:rsidRPr="007A6927">
        <w:rPr>
          <w:rFonts w:cs="Arial"/>
          <w:szCs w:val="24"/>
          <w:lang w:val="en-ZA"/>
        </w:rPr>
        <w:t xml:space="preserve">We are required to determine the proper interpretation of this time-bar provision. </w:t>
      </w:r>
      <w:r w:rsidR="00E0444F" w:rsidRPr="007A6927">
        <w:rPr>
          <w:rFonts w:cs="Arial"/>
          <w:szCs w:val="24"/>
          <w:lang w:val="en-ZA"/>
        </w:rPr>
        <w:t>T</w:t>
      </w:r>
      <w:r w:rsidR="00447957" w:rsidRPr="007A6927">
        <w:rPr>
          <w:rFonts w:cs="Arial"/>
          <w:szCs w:val="24"/>
          <w:lang w:val="en-ZA"/>
        </w:rPr>
        <w:t xml:space="preserve">he crisp issue </w:t>
      </w:r>
      <w:r w:rsidR="00E0444F" w:rsidRPr="007A6927">
        <w:rPr>
          <w:rFonts w:cs="Arial"/>
          <w:szCs w:val="24"/>
          <w:lang w:val="en-ZA"/>
        </w:rPr>
        <w:t>to be decided</w:t>
      </w:r>
      <w:r w:rsidR="00447957" w:rsidRPr="007A6927">
        <w:rPr>
          <w:rFonts w:cs="Arial"/>
          <w:szCs w:val="24"/>
          <w:lang w:val="en-ZA"/>
        </w:rPr>
        <w:t xml:space="preserve"> is whether the </w:t>
      </w:r>
      <w:proofErr w:type="gramStart"/>
      <w:r w:rsidR="00315C9D" w:rsidRPr="007A6927">
        <w:rPr>
          <w:rFonts w:cs="Arial"/>
          <w:szCs w:val="24"/>
          <w:lang w:val="en-ZA"/>
        </w:rPr>
        <w:t>14</w:t>
      </w:r>
      <w:r w:rsidR="00447957" w:rsidRPr="007A6927">
        <w:rPr>
          <w:rFonts w:cs="Arial"/>
          <w:szCs w:val="24"/>
          <w:lang w:val="en-ZA"/>
        </w:rPr>
        <w:t xml:space="preserve"> day</w:t>
      </w:r>
      <w:proofErr w:type="gramEnd"/>
      <w:r w:rsidR="00447957" w:rsidRPr="007A6927">
        <w:rPr>
          <w:rFonts w:cs="Arial"/>
          <w:szCs w:val="24"/>
          <w:lang w:val="en-ZA"/>
        </w:rPr>
        <w:t xml:space="preserve"> time</w:t>
      </w:r>
      <w:r w:rsidR="00816969" w:rsidRPr="007A6927">
        <w:rPr>
          <w:rFonts w:cs="Arial"/>
          <w:szCs w:val="24"/>
          <w:lang w:val="en-ZA"/>
        </w:rPr>
        <w:t xml:space="preserve"> </w:t>
      </w:r>
      <w:r w:rsidR="00447957" w:rsidRPr="007A6927">
        <w:rPr>
          <w:rFonts w:cs="Arial"/>
          <w:szCs w:val="24"/>
          <w:lang w:val="en-ZA"/>
        </w:rPr>
        <w:t>bar in Regulation 19.4 is substantive in nature in that it</w:t>
      </w:r>
      <w:r w:rsidR="0020086F" w:rsidRPr="007A6927">
        <w:rPr>
          <w:rFonts w:cs="Arial"/>
          <w:szCs w:val="24"/>
          <w:lang w:val="en-ZA"/>
        </w:rPr>
        <w:t xml:space="preserve"> constitutes an absolute</w:t>
      </w:r>
      <w:r w:rsidR="00447957" w:rsidRPr="007A6927">
        <w:rPr>
          <w:rFonts w:cs="Arial"/>
          <w:szCs w:val="24"/>
          <w:lang w:val="en-ZA"/>
        </w:rPr>
        <w:t xml:space="preserve"> prohibit</w:t>
      </w:r>
      <w:r w:rsidR="0020086F" w:rsidRPr="007A6927">
        <w:rPr>
          <w:rFonts w:cs="Arial"/>
          <w:szCs w:val="24"/>
          <w:lang w:val="en-ZA"/>
        </w:rPr>
        <w:t>ion against</w:t>
      </w:r>
      <w:r w:rsidR="00447957" w:rsidRPr="007A6927">
        <w:rPr>
          <w:rFonts w:cs="Arial"/>
          <w:szCs w:val="24"/>
          <w:lang w:val="en-ZA"/>
        </w:rPr>
        <w:t xml:space="preserve"> </w:t>
      </w:r>
      <w:r w:rsidR="00E0444F" w:rsidRPr="007A6927">
        <w:rPr>
          <w:rFonts w:cs="Arial"/>
          <w:szCs w:val="24"/>
          <w:lang w:val="en-ZA"/>
        </w:rPr>
        <w:t xml:space="preserve">dealing with or finalising a dispute after the </w:t>
      </w:r>
      <w:r w:rsidR="00315C9D" w:rsidRPr="007A6927">
        <w:rPr>
          <w:rFonts w:cs="Arial"/>
          <w:szCs w:val="24"/>
          <w:lang w:val="en-ZA"/>
        </w:rPr>
        <w:t>14</w:t>
      </w:r>
      <w:r w:rsidR="00E0444F" w:rsidRPr="007A6927">
        <w:rPr>
          <w:rFonts w:cs="Arial"/>
          <w:szCs w:val="24"/>
          <w:lang w:val="en-ZA"/>
        </w:rPr>
        <w:t xml:space="preserve"> day period had expired or is procedural in nature allowing for the </w:t>
      </w:r>
      <w:r w:rsidR="00315C9D" w:rsidRPr="007A6927">
        <w:rPr>
          <w:rFonts w:cs="Arial"/>
          <w:szCs w:val="24"/>
          <w:lang w:val="en-ZA"/>
        </w:rPr>
        <w:t>14</w:t>
      </w:r>
      <w:r w:rsidR="00E0444F" w:rsidRPr="007A6927">
        <w:rPr>
          <w:rFonts w:cs="Arial"/>
          <w:szCs w:val="24"/>
          <w:lang w:val="en-ZA"/>
        </w:rPr>
        <w:t xml:space="preserve"> day period to be extended upon good cause being shown.</w:t>
      </w:r>
    </w:p>
    <w:p w14:paraId="1EC9CB30" w14:textId="77777777" w:rsidR="007A6927" w:rsidRDefault="007A6927" w:rsidP="007A6927">
      <w:pPr>
        <w:pStyle w:val="ListParagraph"/>
        <w:rPr>
          <w:rFonts w:cs="Arial"/>
          <w:szCs w:val="24"/>
          <w:lang w:val="en-ZA"/>
        </w:rPr>
      </w:pPr>
    </w:p>
    <w:p w14:paraId="241B0530" w14:textId="122AC5B8" w:rsidR="007A6927" w:rsidRPr="007A6927" w:rsidRDefault="00EB14D6" w:rsidP="00EB14D6">
      <w:pPr>
        <w:spacing w:after="160"/>
        <w:ind w:left="0" w:firstLine="0"/>
        <w:contextualSpacing/>
        <w:rPr>
          <w:rFonts w:cs="Arial"/>
          <w:bCs/>
          <w:szCs w:val="24"/>
          <w:lang w:val="en-ZA"/>
        </w:rPr>
      </w:pPr>
      <w:r w:rsidRPr="007A6927">
        <w:rPr>
          <w:rFonts w:cs="Arial"/>
          <w:bCs/>
          <w:szCs w:val="24"/>
          <w:lang w:val="en-ZA"/>
        </w:rPr>
        <w:t>[14]</w:t>
      </w:r>
      <w:r w:rsidRPr="007A6927">
        <w:rPr>
          <w:rFonts w:cs="Arial"/>
          <w:bCs/>
          <w:szCs w:val="24"/>
          <w:lang w:val="en-ZA"/>
        </w:rPr>
        <w:tab/>
      </w:r>
      <w:r w:rsidR="00012F19" w:rsidRPr="007A6927">
        <w:rPr>
          <w:rFonts w:cs="Arial"/>
          <w:szCs w:val="24"/>
          <w:lang w:val="en-ZA"/>
        </w:rPr>
        <w:t>In dealing with this aspect</w:t>
      </w:r>
      <w:r w:rsidR="000A6218" w:rsidRPr="007A6927">
        <w:rPr>
          <w:rFonts w:cs="Arial"/>
          <w:szCs w:val="24"/>
          <w:lang w:val="en-ZA"/>
        </w:rPr>
        <w:t xml:space="preserve"> in its judgment</w:t>
      </w:r>
      <w:r w:rsidR="00012F19" w:rsidRPr="007A6927">
        <w:rPr>
          <w:rFonts w:cs="Arial"/>
          <w:szCs w:val="24"/>
          <w:lang w:val="en-ZA"/>
        </w:rPr>
        <w:t xml:space="preserve">, the court </w:t>
      </w:r>
      <w:r w:rsidR="00012F19" w:rsidRPr="007A6927">
        <w:rPr>
          <w:rFonts w:cs="Arial"/>
          <w:i/>
          <w:iCs/>
          <w:szCs w:val="24"/>
          <w:lang w:val="en-ZA"/>
        </w:rPr>
        <w:t>a quo</w:t>
      </w:r>
      <w:r w:rsidR="00012F19" w:rsidRPr="007A6927">
        <w:rPr>
          <w:rFonts w:cs="Arial"/>
          <w:szCs w:val="24"/>
          <w:lang w:val="en-ZA"/>
        </w:rPr>
        <w:t xml:space="preserve"> concluded that Regulation 19.4 contains a substantive time bar which preclude</w:t>
      </w:r>
      <w:r w:rsidR="00315C9D" w:rsidRPr="007A6927">
        <w:rPr>
          <w:rFonts w:cs="Arial"/>
          <w:szCs w:val="24"/>
          <w:lang w:val="en-ZA"/>
        </w:rPr>
        <w:t>d</w:t>
      </w:r>
      <w:r w:rsidR="00012F19" w:rsidRPr="007A6927">
        <w:rPr>
          <w:rFonts w:cs="Arial"/>
          <w:szCs w:val="24"/>
          <w:lang w:val="en-ZA"/>
        </w:rPr>
        <w:t xml:space="preserve"> the D</w:t>
      </w:r>
      <w:r w:rsidR="00C15096" w:rsidRPr="007A6927">
        <w:rPr>
          <w:rFonts w:cs="Arial"/>
          <w:szCs w:val="24"/>
          <w:lang w:val="en-ZA"/>
        </w:rPr>
        <w:t>E</w:t>
      </w:r>
      <w:r w:rsidR="00012F19" w:rsidRPr="007A6927">
        <w:rPr>
          <w:rFonts w:cs="Arial"/>
          <w:szCs w:val="24"/>
          <w:lang w:val="en-ZA"/>
        </w:rPr>
        <w:t>O from dealing with the</w:t>
      </w:r>
      <w:r w:rsidR="00315C9D" w:rsidRPr="007A6927">
        <w:rPr>
          <w:rFonts w:cs="Arial"/>
          <w:szCs w:val="24"/>
          <w:lang w:val="en-ZA"/>
        </w:rPr>
        <w:t xml:space="preserve"> relevant</w:t>
      </w:r>
      <w:r w:rsidR="00012F19" w:rsidRPr="007A6927">
        <w:rPr>
          <w:rFonts w:cs="Arial"/>
          <w:szCs w:val="24"/>
          <w:lang w:val="en-ZA"/>
        </w:rPr>
        <w:t xml:space="preserve"> dispute subsequent to the expiry of the </w:t>
      </w:r>
      <w:proofErr w:type="gramStart"/>
      <w:r w:rsidR="00315C9D" w:rsidRPr="007A6927">
        <w:rPr>
          <w:rFonts w:cs="Arial"/>
          <w:szCs w:val="24"/>
          <w:lang w:val="en-ZA"/>
        </w:rPr>
        <w:t>14</w:t>
      </w:r>
      <w:r w:rsidR="00012F19" w:rsidRPr="007A6927">
        <w:rPr>
          <w:rFonts w:cs="Arial"/>
          <w:szCs w:val="24"/>
          <w:lang w:val="en-ZA"/>
        </w:rPr>
        <w:t xml:space="preserve"> day</w:t>
      </w:r>
      <w:proofErr w:type="gramEnd"/>
      <w:r w:rsidR="00012F19" w:rsidRPr="007A6927">
        <w:rPr>
          <w:rFonts w:cs="Arial"/>
          <w:szCs w:val="24"/>
          <w:lang w:val="en-ZA"/>
        </w:rPr>
        <w:t xml:space="preserve"> period. It held as follows in this regard:</w:t>
      </w:r>
    </w:p>
    <w:p w14:paraId="7971B203" w14:textId="77777777" w:rsidR="007A6927" w:rsidRDefault="007A6927" w:rsidP="007A6927">
      <w:pPr>
        <w:pStyle w:val="ListParagraph"/>
        <w:rPr>
          <w:rFonts w:cs="Arial"/>
          <w:bCs/>
          <w:szCs w:val="24"/>
          <w:lang w:val="en-ZA"/>
        </w:rPr>
      </w:pPr>
    </w:p>
    <w:p w14:paraId="47A066FC" w14:textId="77777777" w:rsidR="007A6927" w:rsidRDefault="007A6927" w:rsidP="007A6927">
      <w:pPr>
        <w:spacing w:after="160"/>
        <w:ind w:left="720" w:firstLine="0"/>
        <w:contextualSpacing/>
        <w:rPr>
          <w:rFonts w:cs="Arial"/>
          <w:i/>
          <w:szCs w:val="24"/>
          <w:lang w:val="en-ZA"/>
        </w:rPr>
      </w:pPr>
      <w:r>
        <w:rPr>
          <w:rFonts w:cs="Arial"/>
          <w:szCs w:val="24"/>
          <w:lang w:val="en-ZA"/>
        </w:rPr>
        <w:t>“</w:t>
      </w:r>
      <w:r>
        <w:rPr>
          <w:rFonts w:cs="Arial"/>
          <w:i/>
          <w:szCs w:val="24"/>
          <w:lang w:val="en-ZA"/>
        </w:rPr>
        <w:t>[22] However, given that the SEO did not implement the outcome and that the matter is now in the hands of the DEO, should the DEO be afforded time to consider the complaint?</w:t>
      </w:r>
    </w:p>
    <w:p w14:paraId="6F9BAF34" w14:textId="77777777" w:rsidR="007A6927" w:rsidRDefault="007A6927" w:rsidP="007A6927">
      <w:pPr>
        <w:spacing w:after="160"/>
        <w:ind w:left="720" w:firstLine="0"/>
        <w:contextualSpacing/>
        <w:rPr>
          <w:rFonts w:cs="Arial"/>
          <w:i/>
          <w:szCs w:val="24"/>
          <w:lang w:val="en-ZA"/>
        </w:rPr>
      </w:pPr>
      <w:r>
        <w:rPr>
          <w:rFonts w:cs="Arial"/>
          <w:i/>
          <w:szCs w:val="24"/>
          <w:lang w:val="en-ZA"/>
        </w:rPr>
        <w:t xml:space="preserve">[23] It is common knowledge that the DEO received the dispute on 23 March 2021. Acting </w:t>
      </w:r>
      <w:proofErr w:type="gramStart"/>
      <w:r>
        <w:rPr>
          <w:rFonts w:cs="Arial"/>
          <w:i/>
          <w:szCs w:val="24"/>
          <w:lang w:val="en-ZA"/>
        </w:rPr>
        <w:t>on the basis of</w:t>
      </w:r>
      <w:proofErr w:type="gramEnd"/>
      <w:r>
        <w:rPr>
          <w:rFonts w:cs="Arial"/>
          <w:i/>
          <w:szCs w:val="24"/>
          <w:lang w:val="en-ZA"/>
        </w:rPr>
        <w:t xml:space="preserve"> section 19(4) of the regulations, she had fourteen (14) days within which to resolve it and she did not. …</w:t>
      </w:r>
    </w:p>
    <w:p w14:paraId="429D600B" w14:textId="77777777" w:rsidR="007A6927" w:rsidRPr="0094603F" w:rsidRDefault="007A6927" w:rsidP="007A6927">
      <w:pPr>
        <w:spacing w:after="160"/>
        <w:ind w:left="720" w:firstLine="0"/>
        <w:contextualSpacing/>
        <w:rPr>
          <w:rFonts w:cs="Arial"/>
          <w:i/>
          <w:iCs/>
          <w:szCs w:val="24"/>
          <w:lang w:val="en-ZA"/>
        </w:rPr>
      </w:pPr>
      <w:r>
        <w:rPr>
          <w:rFonts w:cs="Arial"/>
          <w:i/>
          <w:szCs w:val="24"/>
          <w:lang w:val="en-ZA"/>
        </w:rPr>
        <w:t xml:space="preserve">[24] Even if, for </w:t>
      </w:r>
      <w:proofErr w:type="gramStart"/>
      <w:r>
        <w:rPr>
          <w:rFonts w:cs="Arial"/>
          <w:i/>
          <w:szCs w:val="24"/>
          <w:lang w:val="en-ZA"/>
        </w:rPr>
        <w:t>argument</w:t>
      </w:r>
      <w:proofErr w:type="gramEnd"/>
      <w:r>
        <w:rPr>
          <w:rFonts w:cs="Arial"/>
          <w:i/>
          <w:szCs w:val="24"/>
          <w:lang w:val="en-ZA"/>
        </w:rPr>
        <w:t xml:space="preserve"> sake the dispute fell under section 19(4) of the regulations, the DEO ought to have dealt with it within fourteen days of receipt of the dispute. This she has failed to.” (sic)</w:t>
      </w:r>
    </w:p>
    <w:p w14:paraId="528C8B3E" w14:textId="77777777" w:rsidR="007A6927" w:rsidRDefault="007A6927" w:rsidP="007A6927">
      <w:pPr>
        <w:pStyle w:val="ListParagraph"/>
        <w:rPr>
          <w:rFonts w:cs="Arial"/>
          <w:szCs w:val="24"/>
          <w:lang w:val="en-ZA"/>
        </w:rPr>
      </w:pPr>
    </w:p>
    <w:p w14:paraId="04373CCA" w14:textId="4B18D185" w:rsidR="007A6927" w:rsidRPr="007A6927" w:rsidRDefault="00EB14D6" w:rsidP="00EB14D6">
      <w:pPr>
        <w:spacing w:after="160"/>
        <w:ind w:left="0" w:firstLine="0"/>
        <w:contextualSpacing/>
        <w:rPr>
          <w:rFonts w:cs="Arial"/>
          <w:bCs/>
          <w:szCs w:val="24"/>
          <w:lang w:val="en-ZA"/>
        </w:rPr>
      </w:pPr>
      <w:r w:rsidRPr="007A6927">
        <w:rPr>
          <w:rFonts w:cs="Arial"/>
          <w:bCs/>
          <w:szCs w:val="24"/>
          <w:lang w:val="en-ZA"/>
        </w:rPr>
        <w:t>[15]</w:t>
      </w:r>
      <w:r w:rsidRPr="007A6927">
        <w:rPr>
          <w:rFonts w:cs="Arial"/>
          <w:bCs/>
          <w:szCs w:val="24"/>
          <w:lang w:val="en-ZA"/>
        </w:rPr>
        <w:tab/>
      </w:r>
      <w:r w:rsidR="00DC0D90" w:rsidRPr="007A6927">
        <w:rPr>
          <w:rFonts w:cs="Arial"/>
          <w:szCs w:val="24"/>
          <w:lang w:val="en-ZA"/>
        </w:rPr>
        <w:t xml:space="preserve">The essential distinction between substantive and procedural time bars was recently considered by the Constitutional Court in </w:t>
      </w:r>
      <w:r w:rsidR="00DC0D90" w:rsidRPr="007A6927">
        <w:rPr>
          <w:rFonts w:cs="Arial"/>
          <w:i/>
          <w:iCs/>
          <w:szCs w:val="24"/>
          <w:lang w:val="en-ZA"/>
        </w:rPr>
        <w:t xml:space="preserve">Competition Commission v </w:t>
      </w:r>
      <w:proofErr w:type="spellStart"/>
      <w:r w:rsidR="00DC0D90" w:rsidRPr="007A6927">
        <w:rPr>
          <w:rFonts w:cs="Arial"/>
          <w:i/>
          <w:iCs/>
          <w:szCs w:val="24"/>
          <w:lang w:val="en-ZA"/>
        </w:rPr>
        <w:t>Pickfords</w:t>
      </w:r>
      <w:proofErr w:type="spellEnd"/>
      <w:r w:rsidR="00DC0D90" w:rsidRPr="007A6927">
        <w:rPr>
          <w:rFonts w:cs="Arial"/>
          <w:i/>
          <w:iCs/>
          <w:szCs w:val="24"/>
          <w:lang w:val="en-ZA"/>
        </w:rPr>
        <w:t xml:space="preserve"> Removals 2021(3) SA 1 (CC)</w:t>
      </w:r>
      <w:r w:rsidR="00555DF4" w:rsidRPr="007A6927">
        <w:rPr>
          <w:rFonts w:cs="Arial"/>
          <w:i/>
          <w:iCs/>
          <w:szCs w:val="24"/>
          <w:lang w:val="en-ZA"/>
        </w:rPr>
        <w:t xml:space="preserve"> (“</w:t>
      </w:r>
      <w:proofErr w:type="spellStart"/>
      <w:r w:rsidR="00555DF4" w:rsidRPr="007A6927">
        <w:rPr>
          <w:rFonts w:cs="Arial"/>
          <w:i/>
          <w:iCs/>
          <w:szCs w:val="24"/>
          <w:lang w:val="en-ZA"/>
        </w:rPr>
        <w:t>Pickfords</w:t>
      </w:r>
      <w:proofErr w:type="spellEnd"/>
      <w:r w:rsidR="00555DF4" w:rsidRPr="007A6927">
        <w:rPr>
          <w:rFonts w:cs="Arial"/>
          <w:i/>
          <w:iCs/>
          <w:szCs w:val="24"/>
          <w:lang w:val="en-ZA"/>
        </w:rPr>
        <w:t xml:space="preserve"> Removals”)</w:t>
      </w:r>
      <w:r w:rsidR="00C15096" w:rsidRPr="007A6927">
        <w:rPr>
          <w:rFonts w:cs="Arial"/>
          <w:i/>
          <w:iCs/>
          <w:szCs w:val="24"/>
          <w:lang w:val="en-ZA"/>
        </w:rPr>
        <w:t>.</w:t>
      </w:r>
      <w:r w:rsidR="00236534" w:rsidRPr="007A6927">
        <w:rPr>
          <w:rFonts w:cs="Arial"/>
          <w:szCs w:val="24"/>
          <w:lang w:val="en-ZA"/>
        </w:rPr>
        <w:t xml:space="preserve"> </w:t>
      </w:r>
      <w:r w:rsidR="00C15096" w:rsidRPr="007A6927">
        <w:rPr>
          <w:rFonts w:cs="Arial"/>
          <w:szCs w:val="24"/>
          <w:lang w:val="en-ZA"/>
        </w:rPr>
        <w:t>T</w:t>
      </w:r>
      <w:r w:rsidR="00236534" w:rsidRPr="007A6927">
        <w:rPr>
          <w:rFonts w:cs="Arial"/>
          <w:szCs w:val="24"/>
          <w:lang w:val="en-ZA"/>
        </w:rPr>
        <w:t>he court</w:t>
      </w:r>
      <w:r w:rsidR="0071569F" w:rsidRPr="007A6927">
        <w:rPr>
          <w:rFonts w:cs="Arial"/>
          <w:szCs w:val="24"/>
          <w:lang w:val="en-ZA"/>
        </w:rPr>
        <w:t xml:space="preserve"> took as a useful starting point the well-established approach to statutory interpretation set out</w:t>
      </w:r>
      <w:r w:rsidR="00236534" w:rsidRPr="007A6927">
        <w:rPr>
          <w:rFonts w:cs="Arial"/>
          <w:szCs w:val="24"/>
          <w:lang w:val="en-ZA"/>
        </w:rPr>
        <w:t xml:space="preserve"> as follows</w:t>
      </w:r>
      <w:r w:rsidR="0071569F" w:rsidRPr="007A6927">
        <w:rPr>
          <w:rFonts w:cs="Arial"/>
          <w:szCs w:val="24"/>
          <w:lang w:val="en-ZA"/>
        </w:rPr>
        <w:t xml:space="preserve"> in </w:t>
      </w:r>
      <w:r w:rsidR="0071569F" w:rsidRPr="007A6927">
        <w:rPr>
          <w:rFonts w:cs="Arial"/>
          <w:i/>
          <w:iCs/>
          <w:szCs w:val="24"/>
          <w:lang w:val="en-ZA"/>
        </w:rPr>
        <w:t>Cool Ideas 1186 CC v Hubbard 2014(4) SA 474 (CC) at para 28</w:t>
      </w:r>
      <w:r w:rsidR="005242BB" w:rsidRPr="007A6927">
        <w:rPr>
          <w:rFonts w:cs="Arial"/>
          <w:szCs w:val="24"/>
          <w:lang w:val="en-ZA"/>
        </w:rPr>
        <w:t>:</w:t>
      </w:r>
    </w:p>
    <w:p w14:paraId="5735A372" w14:textId="77777777" w:rsidR="007A6927" w:rsidRPr="007A6927" w:rsidRDefault="007A6927" w:rsidP="007A6927">
      <w:pPr>
        <w:pStyle w:val="ListParagraph"/>
        <w:spacing w:after="160"/>
        <w:ind w:firstLine="0"/>
        <w:rPr>
          <w:rFonts w:cs="Arial"/>
          <w:i/>
          <w:iCs/>
          <w:szCs w:val="24"/>
          <w:lang w:val="en-ZA"/>
        </w:rPr>
      </w:pPr>
      <w:proofErr w:type="gramStart"/>
      <w:r w:rsidRPr="007A6927">
        <w:rPr>
          <w:rFonts w:cs="Arial"/>
          <w:i/>
          <w:iCs/>
          <w:szCs w:val="24"/>
          <w:lang w:val="en-ZA"/>
        </w:rPr>
        <w:lastRenderedPageBreak/>
        <w:t>“ A</w:t>
      </w:r>
      <w:proofErr w:type="gramEnd"/>
      <w:r w:rsidRPr="007A6927">
        <w:rPr>
          <w:rFonts w:cs="Arial"/>
          <w:i/>
          <w:iCs/>
          <w:szCs w:val="24"/>
          <w:lang w:val="en-ZA"/>
        </w:rPr>
        <w:t xml:space="preserve"> fundamental tenet of statutory interpretation is that the words in a statute must be given their ordinary grammatical meaning, unless to do so would result in an absurdity. There are three important interrelated riders to this general principle, namely:</w:t>
      </w:r>
    </w:p>
    <w:p w14:paraId="3FCC25E1" w14:textId="77777777" w:rsidR="007A6927" w:rsidRPr="007A6927" w:rsidRDefault="007A6927" w:rsidP="007A6927">
      <w:pPr>
        <w:pStyle w:val="ListParagraph"/>
        <w:spacing w:after="160"/>
        <w:ind w:firstLine="0"/>
        <w:rPr>
          <w:rFonts w:cs="Arial"/>
          <w:i/>
          <w:iCs/>
          <w:szCs w:val="24"/>
          <w:lang w:val="en-ZA"/>
        </w:rPr>
      </w:pPr>
      <w:r w:rsidRPr="007A6927">
        <w:rPr>
          <w:rFonts w:cs="Arial"/>
          <w:i/>
          <w:iCs/>
          <w:szCs w:val="24"/>
          <w:lang w:val="en-ZA"/>
        </w:rPr>
        <w:t xml:space="preserve">(a) that statutory provisions should always be interpreted </w:t>
      </w:r>
      <w:proofErr w:type="gramStart"/>
      <w:r w:rsidRPr="007A6927">
        <w:rPr>
          <w:rFonts w:cs="Arial"/>
          <w:i/>
          <w:iCs/>
          <w:szCs w:val="24"/>
          <w:lang w:val="en-ZA"/>
        </w:rPr>
        <w:t>purposively;</w:t>
      </w:r>
      <w:proofErr w:type="gramEnd"/>
    </w:p>
    <w:p w14:paraId="15D5FDEF" w14:textId="77777777" w:rsidR="007A6927" w:rsidRPr="007A6927" w:rsidRDefault="007A6927" w:rsidP="007A6927">
      <w:pPr>
        <w:pStyle w:val="ListParagraph"/>
        <w:spacing w:after="160"/>
        <w:ind w:firstLine="0"/>
        <w:rPr>
          <w:rFonts w:cs="Arial"/>
          <w:i/>
          <w:iCs/>
          <w:szCs w:val="24"/>
          <w:lang w:val="en-ZA"/>
        </w:rPr>
      </w:pPr>
      <w:r w:rsidRPr="007A6927">
        <w:rPr>
          <w:rFonts w:cs="Arial"/>
          <w:i/>
          <w:iCs/>
          <w:szCs w:val="24"/>
          <w:lang w:val="en-ZA"/>
        </w:rPr>
        <w:t>(b) the relevant statutory provision must be properly contextualised; and</w:t>
      </w:r>
    </w:p>
    <w:p w14:paraId="4D7B8175" w14:textId="77777777" w:rsidR="007A6927" w:rsidRPr="007A6927" w:rsidRDefault="007A6927" w:rsidP="007A6927">
      <w:pPr>
        <w:pStyle w:val="ListParagraph"/>
        <w:spacing w:after="160"/>
        <w:ind w:firstLine="0"/>
        <w:rPr>
          <w:rFonts w:cs="Arial"/>
          <w:i/>
          <w:iCs/>
          <w:szCs w:val="24"/>
          <w:lang w:val="en-ZA"/>
        </w:rPr>
      </w:pPr>
      <w:r w:rsidRPr="007A6927">
        <w:rPr>
          <w:rFonts w:cs="Arial"/>
          <w:i/>
          <w:iCs/>
          <w:szCs w:val="24"/>
          <w:lang w:val="en-ZA"/>
        </w:rPr>
        <w:t>(c) all statutes must be construed consistently with the Constitution, that is, where reasonably possible, legislative provisions ought to be interpreted to preserve their constitutional validity. This proviso to the general principle is closely related to the purposive approach referred to in (a).”</w:t>
      </w:r>
    </w:p>
    <w:p w14:paraId="54A4CF7F" w14:textId="77777777" w:rsidR="007A6927" w:rsidRDefault="007A6927" w:rsidP="007A6927">
      <w:pPr>
        <w:spacing w:after="160"/>
        <w:ind w:left="720" w:firstLine="0"/>
        <w:contextualSpacing/>
        <w:rPr>
          <w:rFonts w:cs="Arial"/>
          <w:bCs/>
          <w:szCs w:val="24"/>
          <w:lang w:val="en-ZA"/>
        </w:rPr>
      </w:pPr>
    </w:p>
    <w:p w14:paraId="74DE53A8" w14:textId="3E43D395" w:rsidR="007A6927" w:rsidRPr="007A6927" w:rsidRDefault="00EB14D6" w:rsidP="00EB14D6">
      <w:pPr>
        <w:spacing w:after="160"/>
        <w:ind w:left="0" w:firstLine="0"/>
        <w:contextualSpacing/>
        <w:rPr>
          <w:rFonts w:cs="Arial"/>
          <w:bCs/>
          <w:szCs w:val="24"/>
          <w:lang w:val="en-ZA"/>
        </w:rPr>
      </w:pPr>
      <w:r w:rsidRPr="007A6927">
        <w:rPr>
          <w:rFonts w:cs="Arial"/>
          <w:bCs/>
          <w:szCs w:val="24"/>
          <w:lang w:val="en-ZA"/>
        </w:rPr>
        <w:t>[16]</w:t>
      </w:r>
      <w:r w:rsidRPr="007A6927">
        <w:rPr>
          <w:rFonts w:cs="Arial"/>
          <w:bCs/>
          <w:szCs w:val="24"/>
          <w:lang w:val="en-ZA"/>
        </w:rPr>
        <w:tab/>
      </w:r>
      <w:r w:rsidR="0097415D" w:rsidRPr="007A6927">
        <w:rPr>
          <w:rFonts w:cs="Arial"/>
          <w:szCs w:val="24"/>
          <w:lang w:val="en-ZA"/>
        </w:rPr>
        <w:t>The court</w:t>
      </w:r>
      <w:r w:rsidR="0097415D" w:rsidRPr="007A6927">
        <w:rPr>
          <w:rFonts w:cs="Arial"/>
          <w:i/>
          <w:iCs/>
          <w:szCs w:val="24"/>
          <w:lang w:val="en-ZA"/>
        </w:rPr>
        <w:t xml:space="preserve"> </w:t>
      </w:r>
      <w:r w:rsidR="0097415D" w:rsidRPr="007A6927">
        <w:rPr>
          <w:rFonts w:cs="Arial"/>
          <w:szCs w:val="24"/>
          <w:lang w:val="en-ZA"/>
        </w:rPr>
        <w:t>in</w:t>
      </w:r>
      <w:r w:rsidR="0097415D" w:rsidRPr="007A6927">
        <w:rPr>
          <w:rFonts w:cs="Arial"/>
          <w:i/>
          <w:iCs/>
          <w:szCs w:val="24"/>
          <w:lang w:val="en-ZA"/>
        </w:rPr>
        <w:t xml:space="preserve"> </w:t>
      </w:r>
      <w:proofErr w:type="spellStart"/>
      <w:r w:rsidR="0097415D" w:rsidRPr="007A6927">
        <w:rPr>
          <w:rFonts w:cs="Arial"/>
          <w:i/>
          <w:iCs/>
          <w:szCs w:val="24"/>
          <w:lang w:val="en-ZA"/>
        </w:rPr>
        <w:t>Pickfords</w:t>
      </w:r>
      <w:proofErr w:type="spellEnd"/>
      <w:r w:rsidR="0097415D" w:rsidRPr="007A6927">
        <w:rPr>
          <w:rFonts w:cs="Arial"/>
          <w:i/>
          <w:iCs/>
          <w:szCs w:val="24"/>
          <w:lang w:val="en-ZA"/>
        </w:rPr>
        <w:t xml:space="preserve"> Removals</w:t>
      </w:r>
      <w:r w:rsidR="0097415D" w:rsidRPr="007A6927">
        <w:rPr>
          <w:rFonts w:cs="Arial"/>
          <w:szCs w:val="24"/>
          <w:lang w:val="en-ZA"/>
        </w:rPr>
        <w:t xml:space="preserve"> proceeded to point out that in determining the nature of a time-bar provision regard should be had to the purpose served by the provision and an interpretation should be favoured which promotes the spirit, </w:t>
      </w:r>
      <w:proofErr w:type="gramStart"/>
      <w:r w:rsidR="0097415D" w:rsidRPr="007A6927">
        <w:rPr>
          <w:rFonts w:cs="Arial"/>
          <w:szCs w:val="24"/>
          <w:lang w:val="en-ZA"/>
        </w:rPr>
        <w:t>purport</w:t>
      </w:r>
      <w:proofErr w:type="gramEnd"/>
      <w:r w:rsidR="0097415D" w:rsidRPr="007A6927">
        <w:rPr>
          <w:rFonts w:cs="Arial"/>
          <w:szCs w:val="24"/>
          <w:lang w:val="en-ZA"/>
        </w:rPr>
        <w:t xml:space="preserve"> and objects of the Bill of Rights.</w:t>
      </w:r>
    </w:p>
    <w:p w14:paraId="0597BF90" w14:textId="77777777" w:rsidR="007A6927" w:rsidRDefault="007A6927" w:rsidP="007A6927">
      <w:pPr>
        <w:spacing w:after="160"/>
        <w:ind w:left="0" w:firstLine="0"/>
        <w:contextualSpacing/>
        <w:rPr>
          <w:rFonts w:cs="Arial"/>
          <w:bCs/>
          <w:szCs w:val="24"/>
          <w:lang w:val="en-ZA"/>
        </w:rPr>
      </w:pPr>
    </w:p>
    <w:p w14:paraId="51984825" w14:textId="6A8653A5" w:rsidR="007A6927" w:rsidRDefault="00EB14D6" w:rsidP="00EB14D6">
      <w:pPr>
        <w:spacing w:after="160"/>
        <w:ind w:left="0" w:firstLine="0"/>
        <w:contextualSpacing/>
        <w:rPr>
          <w:rFonts w:cs="Arial"/>
          <w:bCs/>
          <w:szCs w:val="24"/>
          <w:lang w:val="en-ZA"/>
        </w:rPr>
      </w:pPr>
      <w:r>
        <w:rPr>
          <w:rFonts w:cs="Arial"/>
          <w:bCs/>
          <w:szCs w:val="24"/>
          <w:lang w:val="en-ZA"/>
        </w:rPr>
        <w:t>[17]</w:t>
      </w:r>
      <w:r>
        <w:rPr>
          <w:rFonts w:cs="Arial"/>
          <w:bCs/>
          <w:szCs w:val="24"/>
          <w:lang w:val="en-ZA"/>
        </w:rPr>
        <w:tab/>
      </w:r>
      <w:r w:rsidR="0097415D" w:rsidRPr="007A6927">
        <w:rPr>
          <w:rFonts w:cs="Arial"/>
          <w:szCs w:val="24"/>
          <w:lang w:val="en-ZA"/>
        </w:rPr>
        <w:t>The purpose of Regulation 19.4 is to create a mechanism to expeditiously</w:t>
      </w:r>
      <w:r w:rsidR="00DB736D" w:rsidRPr="007A6927">
        <w:rPr>
          <w:rFonts w:cs="Arial"/>
          <w:szCs w:val="24"/>
          <w:lang w:val="en-ZA"/>
        </w:rPr>
        <w:t>, where possible,</w:t>
      </w:r>
      <w:r w:rsidR="0097415D" w:rsidRPr="007A6927">
        <w:rPr>
          <w:rFonts w:cs="Arial"/>
          <w:szCs w:val="24"/>
          <w:lang w:val="en-ZA"/>
        </w:rPr>
        <w:t xml:space="preserve"> </w:t>
      </w:r>
      <w:r w:rsidR="00E2030B" w:rsidRPr="007A6927">
        <w:rPr>
          <w:rFonts w:cs="Arial"/>
          <w:szCs w:val="24"/>
          <w:lang w:val="en-ZA"/>
        </w:rPr>
        <w:t>dispose of</w:t>
      </w:r>
      <w:r w:rsidR="0097415D" w:rsidRPr="007A6927">
        <w:rPr>
          <w:rFonts w:cs="Arial"/>
          <w:szCs w:val="24"/>
          <w:lang w:val="en-ZA"/>
        </w:rPr>
        <w:t xml:space="preserve"> unresolved disputes post the election process when the School Electoral Officer is </w:t>
      </w:r>
      <w:r w:rsidR="00B41E48" w:rsidRPr="007A6927">
        <w:rPr>
          <w:rFonts w:cs="Arial"/>
          <w:i/>
          <w:iCs/>
          <w:szCs w:val="24"/>
          <w:lang w:val="en-ZA"/>
        </w:rPr>
        <w:t>functus officio.</w:t>
      </w:r>
      <w:r w:rsidR="00B41E48" w:rsidRPr="007A6927">
        <w:rPr>
          <w:rFonts w:cs="Arial"/>
          <w:iCs/>
          <w:szCs w:val="24"/>
          <w:lang w:val="en-ZA"/>
        </w:rPr>
        <w:t xml:space="preserve"> In the absence of this provision there would be no mechanism to de</w:t>
      </w:r>
      <w:r w:rsidR="00E2030B" w:rsidRPr="007A6927">
        <w:rPr>
          <w:rFonts w:cs="Arial"/>
          <w:iCs/>
          <w:szCs w:val="24"/>
          <w:lang w:val="en-ZA"/>
        </w:rPr>
        <w:t>termine</w:t>
      </w:r>
      <w:r w:rsidR="00B41E48" w:rsidRPr="007A6927">
        <w:rPr>
          <w:rFonts w:cs="Arial"/>
          <w:iCs/>
          <w:szCs w:val="24"/>
          <w:lang w:val="en-ZA"/>
        </w:rPr>
        <w:t xml:space="preserve"> post-election disputes. The appeal jurisdiction of the MEC in terms of Regulation 19.6 clearly only applies in respect of decisions by electoral officers and does not entail original as opposed to appellate powers to deal with disputes.</w:t>
      </w:r>
    </w:p>
    <w:p w14:paraId="4B02C4A3" w14:textId="77777777" w:rsidR="007A6927" w:rsidRDefault="007A6927" w:rsidP="007A6927">
      <w:pPr>
        <w:pStyle w:val="ListParagraph"/>
        <w:rPr>
          <w:rFonts w:cs="Arial"/>
          <w:iCs/>
          <w:szCs w:val="24"/>
          <w:lang w:val="en-ZA"/>
        </w:rPr>
      </w:pPr>
    </w:p>
    <w:p w14:paraId="750915AB" w14:textId="358C82E5" w:rsidR="007A6927" w:rsidRPr="007A6927" w:rsidRDefault="00EB14D6" w:rsidP="00EB14D6">
      <w:pPr>
        <w:spacing w:after="160"/>
        <w:ind w:left="0" w:firstLine="0"/>
        <w:contextualSpacing/>
        <w:rPr>
          <w:rFonts w:cs="Arial"/>
          <w:bCs/>
          <w:szCs w:val="24"/>
          <w:lang w:val="en-ZA"/>
        </w:rPr>
      </w:pPr>
      <w:r w:rsidRPr="007A6927">
        <w:rPr>
          <w:rFonts w:cs="Arial"/>
          <w:bCs/>
          <w:szCs w:val="24"/>
          <w:lang w:val="en-ZA"/>
        </w:rPr>
        <w:t>[18]</w:t>
      </w:r>
      <w:r w:rsidRPr="007A6927">
        <w:rPr>
          <w:rFonts w:cs="Arial"/>
          <w:bCs/>
          <w:szCs w:val="24"/>
          <w:lang w:val="en-ZA"/>
        </w:rPr>
        <w:tab/>
      </w:r>
      <w:r w:rsidR="00CF5929" w:rsidRPr="007A6927">
        <w:rPr>
          <w:rFonts w:cs="Arial"/>
          <w:iCs/>
          <w:szCs w:val="24"/>
          <w:lang w:val="en-ZA"/>
        </w:rPr>
        <w:t>There is a high likelihood</w:t>
      </w:r>
      <w:r w:rsidR="00DB736D" w:rsidRPr="007A6927">
        <w:rPr>
          <w:rFonts w:cs="Arial"/>
          <w:iCs/>
          <w:szCs w:val="24"/>
          <w:lang w:val="en-ZA"/>
        </w:rPr>
        <w:t xml:space="preserve"> in many disputes</w:t>
      </w:r>
      <w:r w:rsidR="00CF5929" w:rsidRPr="007A6927">
        <w:rPr>
          <w:rFonts w:cs="Arial"/>
          <w:iCs/>
          <w:szCs w:val="24"/>
          <w:lang w:val="en-ZA"/>
        </w:rPr>
        <w:t xml:space="preserve"> of the </w:t>
      </w:r>
      <w:r w:rsidR="00DB736D" w:rsidRPr="007A6927">
        <w:rPr>
          <w:rFonts w:cs="Arial"/>
          <w:iCs/>
          <w:szCs w:val="24"/>
          <w:lang w:val="en-ZA"/>
        </w:rPr>
        <w:t>DEO</w:t>
      </w:r>
      <w:r w:rsidR="00CF5929" w:rsidRPr="007A6927">
        <w:rPr>
          <w:rFonts w:cs="Arial"/>
          <w:iCs/>
          <w:szCs w:val="24"/>
          <w:lang w:val="en-ZA"/>
        </w:rPr>
        <w:t xml:space="preserve"> not being able to finalise a dispute within fourteen days as </w:t>
      </w:r>
      <w:r w:rsidR="00DB736D" w:rsidRPr="007A6927">
        <w:rPr>
          <w:rFonts w:cs="Arial"/>
          <w:iCs/>
          <w:szCs w:val="24"/>
          <w:lang w:val="en-ZA"/>
        </w:rPr>
        <w:t>occurred i</w:t>
      </w:r>
      <w:r w:rsidR="00CF5929" w:rsidRPr="007A6927">
        <w:rPr>
          <w:rFonts w:cs="Arial"/>
          <w:iCs/>
          <w:szCs w:val="24"/>
          <w:lang w:val="en-ZA"/>
        </w:rPr>
        <w:t>n the present matter. The interpretation that Regulation 19.4 contains a substantive time bar would render nu</w:t>
      </w:r>
      <w:r w:rsidR="00DB736D" w:rsidRPr="007A6927">
        <w:rPr>
          <w:rFonts w:cs="Arial"/>
          <w:iCs/>
          <w:szCs w:val="24"/>
          <w:lang w:val="en-ZA"/>
        </w:rPr>
        <w:t>gatory</w:t>
      </w:r>
      <w:r w:rsidR="00CF5929" w:rsidRPr="007A6927">
        <w:rPr>
          <w:rFonts w:cs="Arial"/>
          <w:iCs/>
          <w:szCs w:val="24"/>
          <w:lang w:val="en-ZA"/>
        </w:rPr>
        <w:t xml:space="preserve"> the purpose of creating a post-election dispute resolution mechanism. On that interpretation</w:t>
      </w:r>
      <w:r w:rsidR="00192DBA" w:rsidRPr="007A6927">
        <w:rPr>
          <w:rFonts w:cs="Arial"/>
          <w:iCs/>
          <w:szCs w:val="24"/>
          <w:lang w:val="en-ZA"/>
        </w:rPr>
        <w:t xml:space="preserve"> the </w:t>
      </w:r>
      <w:r w:rsidR="00EC77D7" w:rsidRPr="007A6927">
        <w:rPr>
          <w:rFonts w:cs="Arial"/>
          <w:iCs/>
          <w:szCs w:val="24"/>
          <w:lang w:val="en-ZA"/>
        </w:rPr>
        <w:t>DEO</w:t>
      </w:r>
      <w:r w:rsidR="00192DBA" w:rsidRPr="007A6927">
        <w:rPr>
          <w:rFonts w:cs="Arial"/>
          <w:iCs/>
          <w:szCs w:val="24"/>
          <w:lang w:val="en-ZA"/>
        </w:rPr>
        <w:t xml:space="preserve"> would be unable to finalise </w:t>
      </w:r>
      <w:r w:rsidR="00EC77D7" w:rsidRPr="007A6927">
        <w:rPr>
          <w:rFonts w:cs="Arial"/>
          <w:iCs/>
          <w:szCs w:val="24"/>
          <w:lang w:val="en-ZA"/>
        </w:rPr>
        <w:t>an outstanding</w:t>
      </w:r>
      <w:r w:rsidR="00192DBA" w:rsidRPr="007A6927">
        <w:rPr>
          <w:rFonts w:cs="Arial"/>
          <w:iCs/>
          <w:szCs w:val="24"/>
          <w:lang w:val="en-ZA"/>
        </w:rPr>
        <w:t xml:space="preserve"> dispute and should </w:t>
      </w:r>
      <w:r w:rsidR="00EC77D7" w:rsidRPr="007A6927">
        <w:rPr>
          <w:rFonts w:cs="Arial"/>
          <w:iCs/>
          <w:szCs w:val="24"/>
          <w:lang w:val="en-ZA"/>
        </w:rPr>
        <w:t>cease</w:t>
      </w:r>
      <w:r w:rsidR="00192DBA" w:rsidRPr="007A6927">
        <w:rPr>
          <w:rFonts w:cs="Arial"/>
          <w:iCs/>
          <w:szCs w:val="24"/>
          <w:lang w:val="en-ZA"/>
        </w:rPr>
        <w:t xml:space="preserve"> all activities upon expiry of the </w:t>
      </w:r>
      <w:proofErr w:type="gramStart"/>
      <w:r w:rsidR="00192DBA" w:rsidRPr="007A6927">
        <w:rPr>
          <w:rFonts w:cs="Arial"/>
          <w:iCs/>
          <w:szCs w:val="24"/>
          <w:lang w:val="en-ZA"/>
        </w:rPr>
        <w:t>fourteen day</w:t>
      </w:r>
      <w:proofErr w:type="gramEnd"/>
      <w:r w:rsidR="00192DBA" w:rsidRPr="007A6927">
        <w:rPr>
          <w:rFonts w:cs="Arial"/>
          <w:iCs/>
          <w:szCs w:val="24"/>
          <w:lang w:val="en-ZA"/>
        </w:rPr>
        <w:t xml:space="preserve"> period</w:t>
      </w:r>
      <w:r w:rsidR="00EC77D7" w:rsidRPr="007A6927">
        <w:rPr>
          <w:rFonts w:cs="Arial"/>
          <w:iCs/>
          <w:szCs w:val="24"/>
          <w:lang w:val="en-ZA"/>
        </w:rPr>
        <w:t xml:space="preserve"> no matter how close the dispute is to finalisation</w:t>
      </w:r>
      <w:r w:rsidR="002975A1" w:rsidRPr="007A6927">
        <w:rPr>
          <w:rFonts w:cs="Arial"/>
          <w:iCs/>
          <w:szCs w:val="24"/>
          <w:lang w:val="en-ZA"/>
        </w:rPr>
        <w:t xml:space="preserve"> or despite the existence of good cause for the delay in finalising the dispute</w:t>
      </w:r>
      <w:r w:rsidR="00192DBA" w:rsidRPr="007A6927">
        <w:rPr>
          <w:rFonts w:cs="Arial"/>
          <w:iCs/>
          <w:szCs w:val="24"/>
          <w:lang w:val="en-ZA"/>
        </w:rPr>
        <w:t>.</w:t>
      </w:r>
      <w:r w:rsidR="00EC77D7" w:rsidRPr="007A6927">
        <w:rPr>
          <w:rFonts w:cs="Arial"/>
          <w:iCs/>
          <w:szCs w:val="24"/>
          <w:lang w:val="en-ZA"/>
        </w:rPr>
        <w:t xml:space="preserve"> Such a result </w:t>
      </w:r>
      <w:r w:rsidR="00EC77D7" w:rsidRPr="007A6927">
        <w:rPr>
          <w:rFonts w:cs="Arial"/>
          <w:iCs/>
          <w:szCs w:val="24"/>
          <w:lang w:val="en-ZA"/>
        </w:rPr>
        <w:lastRenderedPageBreak/>
        <w:t>would be absurd.</w:t>
      </w:r>
      <w:r w:rsidR="00192DBA" w:rsidRPr="007A6927">
        <w:rPr>
          <w:rFonts w:cs="Arial"/>
          <w:iCs/>
          <w:szCs w:val="24"/>
          <w:lang w:val="en-ZA"/>
        </w:rPr>
        <w:t xml:space="preserve"> While it is desirable that disputes of this nature be dealt with expeditiously, </w:t>
      </w:r>
      <w:r w:rsidR="002975A1" w:rsidRPr="007A6927">
        <w:rPr>
          <w:rFonts w:cs="Arial"/>
          <w:iCs/>
          <w:szCs w:val="24"/>
          <w:lang w:val="en-ZA"/>
        </w:rPr>
        <w:t xml:space="preserve">it </w:t>
      </w:r>
      <w:r w:rsidR="00192DBA" w:rsidRPr="007A6927">
        <w:rPr>
          <w:rFonts w:cs="Arial"/>
          <w:iCs/>
          <w:szCs w:val="24"/>
          <w:lang w:val="en-ZA"/>
        </w:rPr>
        <w:t>is more important and in the public interest for disputes and complaints by interested persons concerning the election of School Governing Bodies affecting as it does, the entire school community, be disposed of and not be left, as it were, hanging in the air. An interpretation favouring the</w:t>
      </w:r>
      <w:r w:rsidR="002975A1" w:rsidRPr="007A6927">
        <w:rPr>
          <w:rFonts w:cs="Arial"/>
          <w:iCs/>
          <w:szCs w:val="24"/>
          <w:lang w:val="en-ZA"/>
        </w:rPr>
        <w:t xml:space="preserve"> effective</w:t>
      </w:r>
      <w:r w:rsidR="00192DBA" w:rsidRPr="007A6927">
        <w:rPr>
          <w:rFonts w:cs="Arial"/>
          <w:iCs/>
          <w:szCs w:val="24"/>
          <w:lang w:val="en-ZA"/>
        </w:rPr>
        <w:t xml:space="preserve"> disposal of dispute of this nature, is to be preferred to one having the opposite effect</w:t>
      </w:r>
      <w:r w:rsidR="002975A1" w:rsidRPr="007A6927">
        <w:rPr>
          <w:rFonts w:cs="Arial"/>
          <w:iCs/>
          <w:szCs w:val="24"/>
          <w:lang w:val="en-ZA"/>
        </w:rPr>
        <w:t xml:space="preserve"> and </w:t>
      </w:r>
      <w:r w:rsidR="00321D45" w:rsidRPr="007A6927">
        <w:rPr>
          <w:rFonts w:cs="Arial"/>
          <w:iCs/>
          <w:szCs w:val="24"/>
          <w:lang w:val="en-ZA"/>
        </w:rPr>
        <w:t xml:space="preserve">which </w:t>
      </w:r>
      <w:r w:rsidR="002975A1" w:rsidRPr="007A6927">
        <w:rPr>
          <w:rFonts w:cs="Arial"/>
          <w:iCs/>
          <w:szCs w:val="24"/>
          <w:lang w:val="en-ZA"/>
        </w:rPr>
        <w:t>rend</w:t>
      </w:r>
      <w:r w:rsidR="00321D45" w:rsidRPr="007A6927">
        <w:rPr>
          <w:rFonts w:cs="Arial"/>
          <w:iCs/>
          <w:szCs w:val="24"/>
          <w:lang w:val="en-ZA"/>
        </w:rPr>
        <w:t>ers</w:t>
      </w:r>
      <w:r w:rsidR="002975A1" w:rsidRPr="007A6927">
        <w:rPr>
          <w:rFonts w:cs="Arial"/>
          <w:iCs/>
          <w:szCs w:val="24"/>
          <w:lang w:val="en-ZA"/>
        </w:rPr>
        <w:t xml:space="preserve"> the purpose of the provision ineffectual</w:t>
      </w:r>
      <w:r w:rsidR="00192DBA" w:rsidRPr="007A6927">
        <w:rPr>
          <w:rFonts w:cs="Arial"/>
          <w:iCs/>
          <w:szCs w:val="24"/>
          <w:lang w:val="en-ZA"/>
        </w:rPr>
        <w:t>.</w:t>
      </w:r>
    </w:p>
    <w:p w14:paraId="43005F59" w14:textId="1578997B" w:rsidR="007A6927" w:rsidRDefault="007A6927" w:rsidP="007A6927">
      <w:pPr>
        <w:spacing w:after="160"/>
        <w:ind w:left="0" w:firstLine="0"/>
        <w:contextualSpacing/>
        <w:rPr>
          <w:rFonts w:cs="Arial"/>
          <w:iCs/>
          <w:szCs w:val="24"/>
          <w:lang w:val="en-ZA"/>
        </w:rPr>
      </w:pPr>
    </w:p>
    <w:p w14:paraId="12F72BF4" w14:textId="77777777" w:rsidR="007A6927" w:rsidRDefault="007A6927" w:rsidP="007A6927">
      <w:pPr>
        <w:spacing w:after="160"/>
        <w:ind w:left="0" w:firstLine="0"/>
        <w:contextualSpacing/>
        <w:rPr>
          <w:rFonts w:cs="Arial"/>
          <w:i/>
          <w:szCs w:val="24"/>
          <w:lang w:val="en-ZA"/>
        </w:rPr>
      </w:pPr>
      <w:r>
        <w:rPr>
          <w:rFonts w:cs="Arial"/>
          <w:i/>
          <w:szCs w:val="24"/>
          <w:lang w:val="en-ZA"/>
        </w:rPr>
        <w:t>Conclusion</w:t>
      </w:r>
    </w:p>
    <w:p w14:paraId="4EA4BBE1" w14:textId="77777777" w:rsidR="007A6927" w:rsidRDefault="007A6927" w:rsidP="007A6927">
      <w:pPr>
        <w:spacing w:after="160"/>
        <w:ind w:left="0" w:firstLine="0"/>
        <w:contextualSpacing/>
        <w:rPr>
          <w:rFonts w:cs="Arial"/>
          <w:bCs/>
          <w:szCs w:val="24"/>
          <w:lang w:val="en-ZA"/>
        </w:rPr>
      </w:pPr>
    </w:p>
    <w:p w14:paraId="29764088" w14:textId="4B451D94" w:rsidR="007A6927" w:rsidRPr="007A6927" w:rsidRDefault="00EB14D6" w:rsidP="00EB14D6">
      <w:pPr>
        <w:spacing w:after="160"/>
        <w:ind w:left="0" w:firstLine="0"/>
        <w:contextualSpacing/>
        <w:rPr>
          <w:rFonts w:cs="Arial"/>
          <w:bCs/>
          <w:szCs w:val="24"/>
          <w:lang w:val="en-ZA"/>
        </w:rPr>
      </w:pPr>
      <w:r w:rsidRPr="007A6927">
        <w:rPr>
          <w:rFonts w:cs="Arial"/>
          <w:bCs/>
          <w:szCs w:val="24"/>
          <w:lang w:val="en-ZA"/>
        </w:rPr>
        <w:t>[19]</w:t>
      </w:r>
      <w:r w:rsidRPr="007A6927">
        <w:rPr>
          <w:rFonts w:cs="Arial"/>
          <w:bCs/>
          <w:szCs w:val="24"/>
          <w:lang w:val="en-ZA"/>
        </w:rPr>
        <w:tab/>
      </w:r>
      <w:r w:rsidR="00192DBA" w:rsidRPr="007A6927">
        <w:rPr>
          <w:rFonts w:cs="Arial"/>
          <w:iCs/>
          <w:szCs w:val="24"/>
          <w:lang w:val="en-ZA"/>
        </w:rPr>
        <w:t>The court</w:t>
      </w:r>
      <w:r w:rsidR="00192DBA" w:rsidRPr="007A6927">
        <w:rPr>
          <w:rFonts w:cs="Arial"/>
          <w:i/>
          <w:szCs w:val="24"/>
          <w:lang w:val="en-ZA"/>
        </w:rPr>
        <w:t xml:space="preserve"> a quo</w:t>
      </w:r>
      <w:r w:rsidR="00192DBA" w:rsidRPr="007A6927">
        <w:rPr>
          <w:rFonts w:cs="Arial"/>
          <w:iCs/>
          <w:szCs w:val="24"/>
          <w:lang w:val="en-ZA"/>
        </w:rPr>
        <w:t xml:space="preserve"> accordingly erred in concluding that Regulation 19.4 contains a substantive time bar. On a proper interpretation the </w:t>
      </w:r>
      <w:proofErr w:type="gramStart"/>
      <w:r w:rsidR="00321D45" w:rsidRPr="007A6927">
        <w:rPr>
          <w:rFonts w:cs="Arial"/>
          <w:iCs/>
          <w:szCs w:val="24"/>
          <w:lang w:val="en-ZA"/>
        </w:rPr>
        <w:t>14</w:t>
      </w:r>
      <w:r w:rsidR="00192DBA" w:rsidRPr="007A6927">
        <w:rPr>
          <w:rFonts w:cs="Arial"/>
          <w:iCs/>
          <w:szCs w:val="24"/>
          <w:lang w:val="en-ZA"/>
        </w:rPr>
        <w:t xml:space="preserve"> day</w:t>
      </w:r>
      <w:proofErr w:type="gramEnd"/>
      <w:r w:rsidR="00192DBA" w:rsidRPr="007A6927">
        <w:rPr>
          <w:rFonts w:cs="Arial"/>
          <w:iCs/>
          <w:szCs w:val="24"/>
          <w:lang w:val="en-ZA"/>
        </w:rPr>
        <w:t xml:space="preserve"> period in issue constitutes a procedural time bar which can be extended in appropriate circumstances.</w:t>
      </w:r>
    </w:p>
    <w:p w14:paraId="17362AC2" w14:textId="77777777" w:rsidR="007A6927" w:rsidRDefault="007A6927" w:rsidP="007A6927">
      <w:pPr>
        <w:spacing w:after="160"/>
        <w:ind w:left="0" w:firstLine="0"/>
        <w:contextualSpacing/>
        <w:rPr>
          <w:rFonts w:cs="Arial"/>
          <w:bCs/>
          <w:szCs w:val="24"/>
          <w:lang w:val="en-ZA"/>
        </w:rPr>
      </w:pPr>
    </w:p>
    <w:p w14:paraId="38D38D78" w14:textId="5E5057CC" w:rsidR="00192DBA" w:rsidRPr="007A6927" w:rsidRDefault="00EB14D6" w:rsidP="00EB14D6">
      <w:pPr>
        <w:spacing w:after="160"/>
        <w:ind w:left="0" w:firstLine="0"/>
        <w:contextualSpacing/>
        <w:rPr>
          <w:rFonts w:cs="Arial"/>
          <w:bCs/>
          <w:szCs w:val="24"/>
          <w:lang w:val="en-ZA"/>
        </w:rPr>
      </w:pPr>
      <w:r w:rsidRPr="007A6927">
        <w:rPr>
          <w:rFonts w:cs="Arial"/>
          <w:bCs/>
          <w:szCs w:val="24"/>
          <w:lang w:val="en-ZA"/>
        </w:rPr>
        <w:t>[20]</w:t>
      </w:r>
      <w:r w:rsidRPr="007A6927">
        <w:rPr>
          <w:rFonts w:cs="Arial"/>
          <w:bCs/>
          <w:szCs w:val="24"/>
          <w:lang w:val="en-ZA"/>
        </w:rPr>
        <w:tab/>
      </w:r>
      <w:r w:rsidR="00321D45" w:rsidRPr="007A6927">
        <w:rPr>
          <w:rFonts w:cs="Arial"/>
          <w:iCs/>
          <w:szCs w:val="24"/>
          <w:lang w:val="en-ZA"/>
        </w:rPr>
        <w:t>It follows that the appeal in respect of the first issue must succeed.</w:t>
      </w:r>
      <w:r w:rsidR="006743EB" w:rsidRPr="007A6927">
        <w:rPr>
          <w:rFonts w:cs="Arial"/>
          <w:iCs/>
          <w:szCs w:val="24"/>
          <w:lang w:val="en-ZA"/>
        </w:rPr>
        <w:t xml:space="preserve"> The Appellants are not seeking a costs order.</w:t>
      </w:r>
      <w:r w:rsidR="00321D45" w:rsidRPr="007A6927">
        <w:rPr>
          <w:rFonts w:cs="Arial"/>
          <w:iCs/>
          <w:szCs w:val="24"/>
          <w:lang w:val="en-ZA"/>
        </w:rPr>
        <w:t xml:space="preserve"> </w:t>
      </w:r>
      <w:r w:rsidR="00B73F35" w:rsidRPr="007A6927">
        <w:rPr>
          <w:rFonts w:cs="Arial"/>
          <w:iCs/>
          <w:szCs w:val="24"/>
          <w:lang w:val="en-ZA"/>
        </w:rPr>
        <w:t>I</w:t>
      </w:r>
      <w:r w:rsidR="00192DBA" w:rsidRPr="007A6927">
        <w:rPr>
          <w:rFonts w:cs="Arial"/>
          <w:iCs/>
          <w:szCs w:val="24"/>
          <w:lang w:val="en-ZA"/>
        </w:rPr>
        <w:t>n the result, the following order is made:</w:t>
      </w:r>
    </w:p>
    <w:p w14:paraId="417DFF55" w14:textId="77777777" w:rsidR="007A6927" w:rsidRDefault="007A6927" w:rsidP="007A6927">
      <w:pPr>
        <w:pStyle w:val="ListParagraph"/>
        <w:rPr>
          <w:rFonts w:cs="Arial"/>
          <w:bCs/>
          <w:szCs w:val="24"/>
          <w:lang w:val="en-ZA"/>
        </w:rPr>
      </w:pPr>
    </w:p>
    <w:p w14:paraId="5BA4BB04" w14:textId="5E9B42E4" w:rsidR="006743EB" w:rsidRPr="006743EB" w:rsidRDefault="00192DBA" w:rsidP="001C6696">
      <w:pPr>
        <w:spacing w:after="160"/>
        <w:ind w:left="720" w:firstLine="0"/>
        <w:contextualSpacing/>
        <w:rPr>
          <w:rFonts w:cs="Arial"/>
          <w:szCs w:val="24"/>
          <w:lang w:val="en-ZA"/>
        </w:rPr>
      </w:pPr>
      <w:r>
        <w:rPr>
          <w:rFonts w:cs="Arial"/>
          <w:szCs w:val="24"/>
          <w:lang w:val="en-ZA"/>
        </w:rPr>
        <w:t xml:space="preserve">(a) it is declared that the </w:t>
      </w:r>
      <w:proofErr w:type="gramStart"/>
      <w:r>
        <w:rPr>
          <w:rFonts w:cs="Arial"/>
          <w:szCs w:val="24"/>
          <w:lang w:val="en-ZA"/>
        </w:rPr>
        <w:t>fourteen day</w:t>
      </w:r>
      <w:proofErr w:type="gramEnd"/>
      <w:r>
        <w:rPr>
          <w:rFonts w:cs="Arial"/>
          <w:szCs w:val="24"/>
          <w:lang w:val="en-ZA"/>
        </w:rPr>
        <w:t xml:space="preserve"> period contained in Regulation 19.4 of the Regulations promulgated on 16 October 2017 in Provincial Notice</w:t>
      </w:r>
      <w:r w:rsidR="00B73F35">
        <w:rPr>
          <w:rFonts w:cs="Arial"/>
          <w:szCs w:val="24"/>
          <w:lang w:val="en-ZA"/>
        </w:rPr>
        <w:t xml:space="preserve"> No.</w:t>
      </w:r>
      <w:r>
        <w:rPr>
          <w:rFonts w:cs="Arial"/>
          <w:szCs w:val="24"/>
          <w:lang w:val="en-ZA"/>
        </w:rPr>
        <w:t xml:space="preserve"> 3939</w:t>
      </w:r>
      <w:r w:rsidR="00B73F35">
        <w:rPr>
          <w:rFonts w:cs="Arial"/>
          <w:szCs w:val="24"/>
          <w:lang w:val="en-ZA"/>
        </w:rPr>
        <w:t>, constitutes a procedural time bar which can be extended upon good cause being shown;</w:t>
      </w:r>
    </w:p>
    <w:p w14:paraId="7BA7606D" w14:textId="1D0065F3" w:rsidR="0097415D" w:rsidRPr="00B41E48" w:rsidRDefault="00B73F35" w:rsidP="00192DBA">
      <w:pPr>
        <w:spacing w:after="160"/>
        <w:ind w:left="720" w:firstLine="0"/>
        <w:contextualSpacing/>
        <w:rPr>
          <w:rFonts w:cs="Arial"/>
          <w:szCs w:val="24"/>
          <w:lang w:val="en-ZA"/>
        </w:rPr>
      </w:pPr>
      <w:r>
        <w:rPr>
          <w:rFonts w:cs="Arial"/>
          <w:szCs w:val="24"/>
          <w:lang w:val="en-ZA"/>
        </w:rPr>
        <w:t>(</w:t>
      </w:r>
      <w:r w:rsidR="001C6696">
        <w:rPr>
          <w:rFonts w:cs="Arial"/>
          <w:szCs w:val="24"/>
          <w:lang w:val="en-ZA"/>
        </w:rPr>
        <w:t>b</w:t>
      </w:r>
      <w:r>
        <w:rPr>
          <w:rFonts w:cs="Arial"/>
          <w:szCs w:val="24"/>
          <w:lang w:val="en-ZA"/>
        </w:rPr>
        <w:t>) there shall be no order as to costs.</w:t>
      </w:r>
    </w:p>
    <w:p w14:paraId="138352B5" w14:textId="4696EBD7" w:rsidR="00D80AE1" w:rsidRDefault="00D80AE1" w:rsidP="005462F1">
      <w:pPr>
        <w:spacing w:after="160"/>
        <w:ind w:firstLine="0"/>
        <w:contextualSpacing/>
        <w:rPr>
          <w:rFonts w:cs="Arial"/>
          <w:szCs w:val="24"/>
          <w:lang w:val="en-ZA"/>
        </w:rPr>
      </w:pPr>
    </w:p>
    <w:p w14:paraId="376AFDAE" w14:textId="77777777" w:rsidR="005462F1" w:rsidRDefault="005462F1" w:rsidP="005462F1">
      <w:pPr>
        <w:spacing w:after="160"/>
        <w:ind w:firstLine="0"/>
        <w:contextualSpacing/>
        <w:rPr>
          <w:rFonts w:cs="Arial"/>
          <w:szCs w:val="24"/>
          <w:lang w:val="en-ZA"/>
        </w:rPr>
      </w:pPr>
    </w:p>
    <w:p w14:paraId="5A6752A4" w14:textId="77777777" w:rsidR="00D80AE1" w:rsidRDefault="00D80AE1" w:rsidP="00D80AE1">
      <w:pPr>
        <w:spacing w:after="160"/>
        <w:ind w:left="0" w:firstLine="0"/>
        <w:contextualSpacing/>
        <w:rPr>
          <w:rFonts w:cs="Arial"/>
          <w:szCs w:val="24"/>
          <w:lang w:val="en-ZA"/>
        </w:rPr>
      </w:pPr>
    </w:p>
    <w:p w14:paraId="48DA4BDF" w14:textId="77777777" w:rsidR="00D80AE1" w:rsidRDefault="00D80AE1" w:rsidP="00D80AE1">
      <w:pPr>
        <w:spacing w:after="160"/>
        <w:ind w:left="0" w:firstLine="0"/>
        <w:contextualSpacing/>
        <w:rPr>
          <w:rFonts w:cs="Arial"/>
          <w:szCs w:val="24"/>
          <w:lang w:val="en-ZA"/>
        </w:rPr>
      </w:pPr>
    </w:p>
    <w:p w14:paraId="799D923C" w14:textId="77777777" w:rsidR="00D80AE1" w:rsidRPr="0034599E" w:rsidRDefault="00D80AE1" w:rsidP="00D80AE1">
      <w:pPr>
        <w:spacing w:line="480" w:lineRule="auto"/>
        <w:rPr>
          <w:rFonts w:cs="Arial"/>
          <w:b/>
          <w:szCs w:val="24"/>
        </w:rPr>
      </w:pPr>
      <w:r w:rsidRPr="0034599E">
        <w:rPr>
          <w:rFonts w:cs="Arial"/>
          <w:b/>
          <w:szCs w:val="24"/>
        </w:rPr>
        <w:t>______________________</w:t>
      </w:r>
    </w:p>
    <w:p w14:paraId="2CFFFB0A" w14:textId="77777777" w:rsidR="00D80AE1" w:rsidRPr="0034599E" w:rsidRDefault="00D80AE1" w:rsidP="00D80AE1">
      <w:pPr>
        <w:spacing w:line="480" w:lineRule="auto"/>
        <w:rPr>
          <w:rFonts w:cs="Arial"/>
          <w:b/>
          <w:szCs w:val="24"/>
        </w:rPr>
      </w:pPr>
      <w:r>
        <w:rPr>
          <w:rFonts w:cs="Arial"/>
          <w:b/>
          <w:szCs w:val="24"/>
        </w:rPr>
        <w:t>D.O. POTGIETER</w:t>
      </w:r>
    </w:p>
    <w:p w14:paraId="734E7031" w14:textId="77777777" w:rsidR="00D80AE1" w:rsidRPr="0034599E" w:rsidRDefault="00D80AE1" w:rsidP="00D80AE1">
      <w:pPr>
        <w:spacing w:line="480" w:lineRule="auto"/>
        <w:rPr>
          <w:rFonts w:cs="Arial"/>
          <w:b/>
          <w:szCs w:val="24"/>
        </w:rPr>
      </w:pPr>
      <w:r w:rsidRPr="0034599E">
        <w:rPr>
          <w:rFonts w:cs="Arial"/>
          <w:b/>
          <w:szCs w:val="24"/>
        </w:rPr>
        <w:t>JUDGE OF THE HIGH COURT</w:t>
      </w:r>
    </w:p>
    <w:p w14:paraId="23330588" w14:textId="77777777" w:rsidR="00D80AE1" w:rsidRPr="00D80AE1" w:rsidRDefault="00D80AE1" w:rsidP="00D80AE1">
      <w:pPr>
        <w:spacing w:after="160"/>
        <w:ind w:left="0" w:firstLine="0"/>
        <w:contextualSpacing/>
        <w:rPr>
          <w:rFonts w:cs="Arial"/>
          <w:szCs w:val="24"/>
          <w:lang w:val="en-ZA"/>
        </w:rPr>
      </w:pPr>
    </w:p>
    <w:p w14:paraId="77680473" w14:textId="2AC70AD3" w:rsidR="0034599E" w:rsidRDefault="001C6696" w:rsidP="00D80AE1">
      <w:pPr>
        <w:rPr>
          <w:rFonts w:cs="Arial"/>
          <w:szCs w:val="24"/>
        </w:rPr>
      </w:pPr>
      <w:r>
        <w:rPr>
          <w:rFonts w:cs="Arial"/>
          <w:szCs w:val="24"/>
        </w:rPr>
        <w:lastRenderedPageBreak/>
        <w:t>I agree:</w:t>
      </w:r>
    </w:p>
    <w:p w14:paraId="30F6F8DA" w14:textId="0DB57F84" w:rsidR="001C6696" w:rsidRDefault="001C6696" w:rsidP="00D80AE1">
      <w:pPr>
        <w:rPr>
          <w:rFonts w:cs="Arial"/>
          <w:szCs w:val="24"/>
        </w:rPr>
      </w:pPr>
    </w:p>
    <w:p w14:paraId="06E9A6E6" w14:textId="4CB48505" w:rsidR="001C6696" w:rsidRDefault="001C6696" w:rsidP="00D80AE1">
      <w:pPr>
        <w:rPr>
          <w:rFonts w:cs="Arial"/>
          <w:szCs w:val="24"/>
        </w:rPr>
      </w:pPr>
    </w:p>
    <w:p w14:paraId="445FE4E3" w14:textId="38D5A3EA" w:rsidR="001C6696" w:rsidRDefault="001C6696" w:rsidP="00D80AE1">
      <w:pPr>
        <w:rPr>
          <w:rFonts w:cs="Arial"/>
          <w:b/>
          <w:bCs/>
          <w:szCs w:val="24"/>
        </w:rPr>
      </w:pPr>
      <w:r>
        <w:rPr>
          <w:rFonts w:cs="Arial"/>
          <w:b/>
          <w:bCs/>
          <w:szCs w:val="24"/>
        </w:rPr>
        <w:t>______________________</w:t>
      </w:r>
    </w:p>
    <w:p w14:paraId="76FE1375" w14:textId="45852BC6" w:rsidR="001C6696" w:rsidRDefault="00B14E84" w:rsidP="001C6696">
      <w:pPr>
        <w:ind w:left="0" w:firstLine="0"/>
        <w:rPr>
          <w:rFonts w:cs="Arial"/>
          <w:b/>
          <w:bCs/>
          <w:szCs w:val="24"/>
        </w:rPr>
      </w:pPr>
      <w:r>
        <w:rPr>
          <w:rFonts w:cs="Arial"/>
          <w:b/>
          <w:bCs/>
          <w:szCs w:val="24"/>
        </w:rPr>
        <w:t xml:space="preserve">M.J </w:t>
      </w:r>
      <w:r w:rsidR="001C6696">
        <w:rPr>
          <w:rFonts w:cs="Arial"/>
          <w:b/>
          <w:bCs/>
          <w:szCs w:val="24"/>
        </w:rPr>
        <w:t xml:space="preserve">LOWE </w:t>
      </w:r>
    </w:p>
    <w:p w14:paraId="75992EF8" w14:textId="77777777" w:rsidR="00B14E84" w:rsidRPr="0034599E" w:rsidRDefault="00B14E84" w:rsidP="00B14E84">
      <w:pPr>
        <w:spacing w:line="480" w:lineRule="auto"/>
        <w:rPr>
          <w:rFonts w:cs="Arial"/>
          <w:b/>
          <w:szCs w:val="24"/>
        </w:rPr>
      </w:pPr>
      <w:r w:rsidRPr="0034599E">
        <w:rPr>
          <w:rFonts w:cs="Arial"/>
          <w:b/>
          <w:szCs w:val="24"/>
        </w:rPr>
        <w:t>JUDGE OF THE HIGH COURT</w:t>
      </w:r>
    </w:p>
    <w:p w14:paraId="5904F507" w14:textId="77777777" w:rsidR="00571E25" w:rsidRDefault="00571E25" w:rsidP="001C6696">
      <w:pPr>
        <w:ind w:left="0" w:firstLine="0"/>
        <w:rPr>
          <w:rFonts w:cs="Arial"/>
          <w:szCs w:val="24"/>
        </w:rPr>
      </w:pPr>
    </w:p>
    <w:p w14:paraId="300D2AD2" w14:textId="77777777" w:rsidR="00257163" w:rsidRDefault="00257163" w:rsidP="001C6696">
      <w:pPr>
        <w:ind w:left="0" w:firstLine="0"/>
        <w:rPr>
          <w:rFonts w:cs="Arial"/>
          <w:szCs w:val="24"/>
        </w:rPr>
      </w:pPr>
    </w:p>
    <w:p w14:paraId="1B9223D9" w14:textId="04307436" w:rsidR="00571E25" w:rsidRDefault="00571E25" w:rsidP="001C6696">
      <w:pPr>
        <w:ind w:left="0" w:firstLine="0"/>
        <w:rPr>
          <w:rFonts w:cs="Arial"/>
          <w:szCs w:val="24"/>
        </w:rPr>
      </w:pPr>
      <w:r>
        <w:rPr>
          <w:rFonts w:cs="Arial"/>
          <w:szCs w:val="24"/>
        </w:rPr>
        <w:t>I agree:</w:t>
      </w:r>
    </w:p>
    <w:p w14:paraId="4792A8D1" w14:textId="2D380EEC" w:rsidR="00571E25" w:rsidRDefault="00571E25" w:rsidP="001C6696">
      <w:pPr>
        <w:ind w:left="0" w:firstLine="0"/>
        <w:rPr>
          <w:rFonts w:cs="Arial"/>
          <w:szCs w:val="24"/>
        </w:rPr>
      </w:pPr>
    </w:p>
    <w:p w14:paraId="5AA13AB1" w14:textId="77777777" w:rsidR="00B14E84" w:rsidRPr="00571E25" w:rsidRDefault="00B14E84" w:rsidP="001C6696">
      <w:pPr>
        <w:ind w:left="0" w:firstLine="0"/>
        <w:rPr>
          <w:rFonts w:cs="Arial"/>
          <w:szCs w:val="24"/>
        </w:rPr>
      </w:pPr>
    </w:p>
    <w:p w14:paraId="5AAC15DE" w14:textId="409049A6" w:rsidR="00571E25" w:rsidRDefault="00571E25" w:rsidP="001C6696">
      <w:pPr>
        <w:ind w:left="0" w:firstLine="0"/>
        <w:rPr>
          <w:rFonts w:cs="Arial"/>
          <w:b/>
          <w:bCs/>
          <w:szCs w:val="24"/>
        </w:rPr>
      </w:pPr>
      <w:r>
        <w:rPr>
          <w:rFonts w:cs="Arial"/>
          <w:b/>
          <w:bCs/>
          <w:szCs w:val="24"/>
        </w:rPr>
        <w:t>______________________</w:t>
      </w:r>
    </w:p>
    <w:p w14:paraId="22922C17" w14:textId="77777777" w:rsidR="00B14E84" w:rsidRDefault="00B14E84" w:rsidP="001C6696">
      <w:pPr>
        <w:ind w:left="0" w:firstLine="0"/>
        <w:rPr>
          <w:rFonts w:cs="Arial"/>
          <w:b/>
          <w:bCs/>
          <w:szCs w:val="24"/>
        </w:rPr>
      </w:pPr>
      <w:r>
        <w:rPr>
          <w:rFonts w:cs="Arial"/>
          <w:b/>
          <w:bCs/>
          <w:szCs w:val="24"/>
        </w:rPr>
        <w:t xml:space="preserve">A </w:t>
      </w:r>
      <w:r w:rsidR="00571E25">
        <w:rPr>
          <w:rFonts w:cs="Arial"/>
          <w:b/>
          <w:bCs/>
          <w:szCs w:val="24"/>
        </w:rPr>
        <w:t>DA SILVA</w:t>
      </w:r>
    </w:p>
    <w:p w14:paraId="400B60BA" w14:textId="3696DBF5" w:rsidR="00B14E84" w:rsidRPr="0034599E" w:rsidRDefault="00B14E84" w:rsidP="00B14E84">
      <w:pPr>
        <w:spacing w:line="480" w:lineRule="auto"/>
        <w:rPr>
          <w:rFonts w:cs="Arial"/>
          <w:b/>
          <w:szCs w:val="24"/>
        </w:rPr>
      </w:pPr>
      <w:r>
        <w:rPr>
          <w:rFonts w:cs="Arial"/>
          <w:b/>
          <w:szCs w:val="24"/>
        </w:rPr>
        <w:t xml:space="preserve">ACTING </w:t>
      </w:r>
      <w:r w:rsidRPr="0034599E">
        <w:rPr>
          <w:rFonts w:cs="Arial"/>
          <w:b/>
          <w:szCs w:val="24"/>
        </w:rPr>
        <w:t>JUDGE OF THE HIGH COURT</w:t>
      </w:r>
    </w:p>
    <w:p w14:paraId="7A662C1C" w14:textId="6E85EAEB" w:rsidR="00571E25" w:rsidRPr="001C6696" w:rsidRDefault="00571E25" w:rsidP="001C6696">
      <w:pPr>
        <w:ind w:left="0" w:firstLine="0"/>
        <w:rPr>
          <w:rFonts w:cs="Arial"/>
          <w:b/>
          <w:bCs/>
          <w:szCs w:val="24"/>
        </w:rPr>
      </w:pPr>
      <w:r>
        <w:rPr>
          <w:rFonts w:cs="Arial"/>
          <w:b/>
          <w:bCs/>
          <w:szCs w:val="24"/>
        </w:rPr>
        <w:t xml:space="preserve"> </w:t>
      </w:r>
    </w:p>
    <w:p w14:paraId="6C7FAC02" w14:textId="77777777" w:rsidR="00D80AE1" w:rsidRDefault="00D80AE1" w:rsidP="00D80AE1">
      <w:pPr>
        <w:rPr>
          <w:rFonts w:cs="Arial"/>
          <w:szCs w:val="24"/>
        </w:rPr>
      </w:pPr>
    </w:p>
    <w:p w14:paraId="78F6A8DB" w14:textId="77777777" w:rsidR="00D80AE1" w:rsidRDefault="00D80AE1" w:rsidP="00D80AE1">
      <w:pPr>
        <w:rPr>
          <w:rFonts w:cs="Arial"/>
          <w:szCs w:val="24"/>
        </w:rPr>
      </w:pPr>
    </w:p>
    <w:p w14:paraId="33CBDC7C" w14:textId="2E38FF5C" w:rsidR="00D04FE6" w:rsidRPr="00D04FE6" w:rsidRDefault="00D04FE6" w:rsidP="00D80AE1">
      <w:pPr>
        <w:ind w:left="0" w:firstLine="0"/>
        <w:rPr>
          <w:rFonts w:cs="Arial"/>
          <w:b/>
          <w:bCs/>
          <w:szCs w:val="24"/>
          <w:lang w:val="en-ZA"/>
        </w:rPr>
      </w:pPr>
      <w:r w:rsidRPr="00D04FE6">
        <w:rPr>
          <w:rFonts w:cs="Arial"/>
          <w:b/>
          <w:bCs/>
          <w:szCs w:val="24"/>
          <w:lang w:val="en-ZA"/>
        </w:rPr>
        <w:t>APPEARANCE</w:t>
      </w:r>
    </w:p>
    <w:p w14:paraId="2ED64B3A" w14:textId="77777777" w:rsidR="00D04FE6" w:rsidRPr="00D04FE6" w:rsidRDefault="00D04FE6" w:rsidP="00D80AE1">
      <w:pPr>
        <w:ind w:left="0" w:firstLine="0"/>
        <w:rPr>
          <w:rFonts w:cs="Arial"/>
          <w:b/>
          <w:bCs/>
          <w:szCs w:val="24"/>
          <w:lang w:val="en-ZA"/>
        </w:rPr>
      </w:pPr>
    </w:p>
    <w:p w14:paraId="6E10C32A" w14:textId="6CC93216" w:rsidR="00D04FE6" w:rsidRDefault="00D04FE6" w:rsidP="00D80AE1">
      <w:pPr>
        <w:ind w:left="3600" w:hanging="3600"/>
        <w:rPr>
          <w:rFonts w:cs="Arial"/>
          <w:bCs/>
          <w:szCs w:val="24"/>
          <w:lang w:val="en-ZA"/>
        </w:rPr>
      </w:pPr>
      <w:r w:rsidRPr="00D04FE6">
        <w:rPr>
          <w:rFonts w:cs="Arial"/>
          <w:bCs/>
          <w:szCs w:val="24"/>
          <w:lang w:val="en-ZA"/>
        </w:rPr>
        <w:t xml:space="preserve">Counsel for the </w:t>
      </w:r>
      <w:r w:rsidR="00E12B8D">
        <w:rPr>
          <w:rFonts w:cs="Arial"/>
          <w:bCs/>
          <w:szCs w:val="24"/>
          <w:lang w:val="en-ZA"/>
        </w:rPr>
        <w:t>appellants</w:t>
      </w:r>
      <w:r w:rsidRPr="00D04FE6">
        <w:rPr>
          <w:rFonts w:cs="Arial"/>
          <w:bCs/>
          <w:szCs w:val="24"/>
          <w:lang w:val="en-ZA"/>
        </w:rPr>
        <w:t>:</w:t>
      </w:r>
      <w:r w:rsidRPr="00D04FE6">
        <w:rPr>
          <w:rFonts w:cs="Arial"/>
          <w:bCs/>
          <w:szCs w:val="24"/>
          <w:lang w:val="en-ZA"/>
        </w:rPr>
        <w:tab/>
        <w:t xml:space="preserve">Adv </w:t>
      </w:r>
      <w:r w:rsidR="00E12B8D">
        <w:rPr>
          <w:rFonts w:cs="Arial"/>
          <w:bCs/>
          <w:szCs w:val="24"/>
          <w:lang w:val="en-ZA"/>
        </w:rPr>
        <w:t>RG</w:t>
      </w:r>
      <w:r w:rsidR="0034599E">
        <w:rPr>
          <w:rFonts w:cs="Arial"/>
          <w:bCs/>
          <w:szCs w:val="24"/>
          <w:lang w:val="en-ZA"/>
        </w:rPr>
        <w:t xml:space="preserve"> </w:t>
      </w:r>
      <w:r w:rsidR="00E12B8D">
        <w:rPr>
          <w:rFonts w:cs="Arial"/>
          <w:bCs/>
          <w:szCs w:val="24"/>
          <w:lang w:val="en-ZA"/>
        </w:rPr>
        <w:t>Buchanan SC</w:t>
      </w:r>
      <w:r w:rsidRPr="00D04FE6">
        <w:rPr>
          <w:rFonts w:cs="Arial"/>
          <w:bCs/>
          <w:szCs w:val="24"/>
          <w:lang w:val="en-ZA"/>
        </w:rPr>
        <w:t>, instructed by</w:t>
      </w:r>
      <w:r w:rsidR="001C6696">
        <w:rPr>
          <w:rFonts w:cs="Arial"/>
          <w:bCs/>
          <w:szCs w:val="24"/>
          <w:lang w:val="en-ZA"/>
        </w:rPr>
        <w:t xml:space="preserve"> the State Attorney</w:t>
      </w:r>
      <w:r w:rsidR="0034599E">
        <w:rPr>
          <w:rFonts w:cs="Arial"/>
          <w:bCs/>
          <w:szCs w:val="24"/>
          <w:lang w:val="en-ZA"/>
        </w:rPr>
        <w:t xml:space="preserve"> </w:t>
      </w:r>
      <w:r w:rsidR="001C6696">
        <w:rPr>
          <w:rFonts w:cs="Arial"/>
          <w:bCs/>
          <w:szCs w:val="24"/>
          <w:lang w:val="en-ZA"/>
        </w:rPr>
        <w:t>29 Western Road</w:t>
      </w:r>
      <w:r w:rsidR="0034599E">
        <w:rPr>
          <w:rFonts w:cs="Arial"/>
          <w:bCs/>
          <w:szCs w:val="24"/>
          <w:lang w:val="en-ZA"/>
        </w:rPr>
        <w:t xml:space="preserve">, Central, </w:t>
      </w:r>
      <w:proofErr w:type="spellStart"/>
      <w:r w:rsidR="0034599E">
        <w:rPr>
          <w:rFonts w:cs="Arial"/>
          <w:bCs/>
          <w:szCs w:val="24"/>
          <w:lang w:val="en-ZA"/>
        </w:rPr>
        <w:t>Gqeberha</w:t>
      </w:r>
      <w:proofErr w:type="spellEnd"/>
      <w:r w:rsidR="001C6696">
        <w:rPr>
          <w:rFonts w:cs="Arial"/>
          <w:bCs/>
          <w:szCs w:val="24"/>
          <w:lang w:val="en-ZA"/>
        </w:rPr>
        <w:t xml:space="preserve"> c/o </w:t>
      </w:r>
      <w:proofErr w:type="spellStart"/>
      <w:r w:rsidR="001C6696">
        <w:rPr>
          <w:rFonts w:cs="Arial"/>
          <w:bCs/>
          <w:szCs w:val="24"/>
          <w:lang w:val="en-ZA"/>
        </w:rPr>
        <w:t>Whitesides</w:t>
      </w:r>
      <w:proofErr w:type="spellEnd"/>
      <w:r w:rsidR="001C6696">
        <w:rPr>
          <w:rFonts w:cs="Arial"/>
          <w:bCs/>
          <w:szCs w:val="24"/>
          <w:lang w:val="en-ZA"/>
        </w:rPr>
        <w:t xml:space="preserve"> Attorneys, 53 African Street, </w:t>
      </w:r>
      <w:proofErr w:type="spellStart"/>
      <w:r w:rsidR="001C6696">
        <w:rPr>
          <w:rFonts w:cs="Arial"/>
          <w:bCs/>
          <w:szCs w:val="24"/>
          <w:lang w:val="en-ZA"/>
        </w:rPr>
        <w:t>Makhanda</w:t>
      </w:r>
      <w:proofErr w:type="spellEnd"/>
    </w:p>
    <w:p w14:paraId="141C0CF5" w14:textId="77777777" w:rsidR="0034599E" w:rsidRPr="00D04FE6" w:rsidRDefault="0034599E" w:rsidP="00D80AE1">
      <w:pPr>
        <w:ind w:left="3600" w:hanging="3600"/>
        <w:rPr>
          <w:rFonts w:cs="Arial"/>
          <w:bCs/>
          <w:szCs w:val="24"/>
          <w:lang w:val="en-ZA"/>
        </w:rPr>
      </w:pPr>
    </w:p>
    <w:p w14:paraId="1329DFA9" w14:textId="77777777" w:rsidR="00D04FE6" w:rsidRPr="00D04FE6" w:rsidRDefault="00D04FE6" w:rsidP="00D80AE1">
      <w:pPr>
        <w:ind w:left="3600" w:hanging="3600"/>
        <w:rPr>
          <w:rFonts w:cs="Arial"/>
          <w:bCs/>
          <w:szCs w:val="24"/>
          <w:lang w:val="en-ZA"/>
        </w:rPr>
      </w:pPr>
    </w:p>
    <w:p w14:paraId="487602E7" w14:textId="0B4795DC" w:rsidR="00D04FE6" w:rsidRPr="00D04FE6" w:rsidRDefault="00D04FE6" w:rsidP="00D80AE1">
      <w:pPr>
        <w:ind w:left="3600" w:hanging="3600"/>
        <w:rPr>
          <w:rFonts w:cs="Arial"/>
          <w:bCs/>
          <w:szCs w:val="24"/>
          <w:lang w:val="en-ZA"/>
        </w:rPr>
      </w:pPr>
      <w:r w:rsidRPr="00D04FE6">
        <w:rPr>
          <w:rFonts w:cs="Arial"/>
          <w:bCs/>
          <w:szCs w:val="24"/>
          <w:lang w:val="en-ZA"/>
        </w:rPr>
        <w:t xml:space="preserve">For the </w:t>
      </w:r>
      <w:r w:rsidR="001C6696">
        <w:rPr>
          <w:rFonts w:cs="Arial"/>
          <w:bCs/>
          <w:szCs w:val="24"/>
          <w:lang w:val="en-ZA"/>
        </w:rPr>
        <w:t>Responde</w:t>
      </w:r>
      <w:r w:rsidR="0034599E">
        <w:rPr>
          <w:rFonts w:cs="Arial"/>
          <w:bCs/>
          <w:szCs w:val="24"/>
          <w:lang w:val="en-ZA"/>
        </w:rPr>
        <w:t>nts</w:t>
      </w:r>
      <w:r w:rsidRPr="00D04FE6">
        <w:rPr>
          <w:rFonts w:cs="Arial"/>
          <w:bCs/>
          <w:szCs w:val="24"/>
          <w:lang w:val="en-ZA"/>
        </w:rPr>
        <w:t>:</w:t>
      </w:r>
      <w:r w:rsidRPr="00D04FE6">
        <w:rPr>
          <w:rFonts w:cs="Arial"/>
          <w:bCs/>
          <w:szCs w:val="24"/>
          <w:lang w:val="en-ZA"/>
        </w:rPr>
        <w:tab/>
      </w:r>
      <w:r w:rsidR="001C6696">
        <w:rPr>
          <w:rFonts w:cs="Arial"/>
          <w:bCs/>
          <w:szCs w:val="24"/>
          <w:lang w:val="en-ZA"/>
        </w:rPr>
        <w:t>No Appearance</w:t>
      </w:r>
    </w:p>
    <w:p w14:paraId="725A2DB5" w14:textId="77777777" w:rsidR="00D04FE6" w:rsidRPr="00D04FE6" w:rsidRDefault="00D04FE6" w:rsidP="00D80AE1">
      <w:pPr>
        <w:ind w:left="3600" w:hanging="3600"/>
        <w:rPr>
          <w:rFonts w:cs="Arial"/>
          <w:bCs/>
          <w:szCs w:val="24"/>
          <w:lang w:val="en-ZA"/>
        </w:rPr>
      </w:pPr>
    </w:p>
    <w:p w14:paraId="08987823" w14:textId="77777777" w:rsidR="00D04FE6" w:rsidRPr="00D04FE6" w:rsidRDefault="00D04FE6" w:rsidP="00D80AE1">
      <w:pPr>
        <w:ind w:left="3600" w:hanging="3600"/>
        <w:rPr>
          <w:rFonts w:cs="Arial"/>
          <w:bCs/>
          <w:szCs w:val="24"/>
          <w:lang w:val="en-ZA"/>
        </w:rPr>
      </w:pPr>
    </w:p>
    <w:p w14:paraId="5C458219" w14:textId="0105E743" w:rsidR="00D04FE6" w:rsidRPr="00D04FE6" w:rsidRDefault="00D04FE6" w:rsidP="00D80AE1">
      <w:pPr>
        <w:ind w:left="3600" w:hanging="3600"/>
        <w:rPr>
          <w:rFonts w:cs="Arial"/>
          <w:bCs/>
          <w:szCs w:val="24"/>
          <w:lang w:val="en-ZA"/>
        </w:rPr>
      </w:pPr>
      <w:r w:rsidRPr="00D04FE6">
        <w:rPr>
          <w:rFonts w:cs="Arial"/>
          <w:bCs/>
          <w:szCs w:val="24"/>
          <w:lang w:val="en-ZA"/>
        </w:rPr>
        <w:t>Date of hearing:</w:t>
      </w:r>
      <w:r w:rsidRPr="00D04FE6">
        <w:rPr>
          <w:rFonts w:cs="Arial"/>
          <w:bCs/>
          <w:szCs w:val="24"/>
          <w:lang w:val="en-ZA"/>
        </w:rPr>
        <w:tab/>
      </w:r>
      <w:r w:rsidR="007A6927">
        <w:rPr>
          <w:rFonts w:cs="Arial"/>
          <w:bCs/>
          <w:szCs w:val="24"/>
          <w:lang w:val="en-ZA"/>
        </w:rPr>
        <w:t>0</w:t>
      </w:r>
      <w:r w:rsidR="001C6696">
        <w:rPr>
          <w:rFonts w:cs="Arial"/>
          <w:bCs/>
          <w:szCs w:val="24"/>
          <w:lang w:val="en-ZA"/>
        </w:rPr>
        <w:t>8 August</w:t>
      </w:r>
      <w:r w:rsidR="0034599E">
        <w:rPr>
          <w:rFonts w:cs="Arial"/>
          <w:bCs/>
          <w:szCs w:val="24"/>
          <w:lang w:val="en-ZA"/>
        </w:rPr>
        <w:t xml:space="preserve"> 2022</w:t>
      </w:r>
    </w:p>
    <w:p w14:paraId="719CD970" w14:textId="77777777" w:rsidR="00D04FE6" w:rsidRPr="00D04FE6" w:rsidRDefault="00D04FE6" w:rsidP="00D80AE1">
      <w:pPr>
        <w:ind w:left="3600" w:hanging="3600"/>
        <w:rPr>
          <w:rFonts w:cs="Arial"/>
          <w:bCs/>
          <w:szCs w:val="24"/>
          <w:lang w:val="en-ZA"/>
        </w:rPr>
      </w:pPr>
    </w:p>
    <w:p w14:paraId="294E8E28" w14:textId="1DBD57AF" w:rsidR="00062FA9" w:rsidRPr="00D04FE6" w:rsidRDefault="00716AC3" w:rsidP="00D80AE1">
      <w:pPr>
        <w:ind w:left="3600" w:hanging="3600"/>
        <w:rPr>
          <w:rFonts w:cs="Arial"/>
          <w:b/>
          <w:sz w:val="28"/>
          <w:szCs w:val="28"/>
        </w:rPr>
      </w:pPr>
      <w:r>
        <w:rPr>
          <w:rFonts w:cs="Arial"/>
          <w:bCs/>
          <w:szCs w:val="24"/>
          <w:lang w:val="en-ZA"/>
        </w:rPr>
        <w:t>Date of delivery of judgment:</w:t>
      </w:r>
      <w:r>
        <w:rPr>
          <w:rFonts w:cs="Arial"/>
          <w:bCs/>
          <w:szCs w:val="24"/>
          <w:lang w:val="en-ZA"/>
        </w:rPr>
        <w:tab/>
        <w:t xml:space="preserve">18 </w:t>
      </w:r>
      <w:r w:rsidR="001C6696">
        <w:rPr>
          <w:rFonts w:cs="Arial"/>
          <w:bCs/>
          <w:szCs w:val="24"/>
          <w:lang w:val="en-ZA"/>
        </w:rPr>
        <w:t>October</w:t>
      </w:r>
      <w:r w:rsidR="00D04FE6" w:rsidRPr="00D04FE6">
        <w:rPr>
          <w:rFonts w:cs="Arial"/>
          <w:bCs/>
          <w:szCs w:val="24"/>
          <w:lang w:val="en-ZA"/>
        </w:rPr>
        <w:t xml:space="preserve"> 2022</w:t>
      </w:r>
    </w:p>
    <w:sectPr w:rsidR="00062FA9" w:rsidRPr="00D04FE6" w:rsidSect="00BD481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72D5" w14:textId="77777777" w:rsidR="009660C5" w:rsidRDefault="009660C5" w:rsidP="00665272">
      <w:pPr>
        <w:spacing w:line="240" w:lineRule="auto"/>
      </w:pPr>
      <w:r>
        <w:separator/>
      </w:r>
    </w:p>
  </w:endnote>
  <w:endnote w:type="continuationSeparator" w:id="0">
    <w:p w14:paraId="5483D416" w14:textId="77777777" w:rsidR="009660C5" w:rsidRDefault="009660C5" w:rsidP="00665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CCCF" w14:textId="77777777" w:rsidR="009660C5" w:rsidRDefault="009660C5" w:rsidP="00665272">
      <w:pPr>
        <w:spacing w:line="240" w:lineRule="auto"/>
      </w:pPr>
      <w:r>
        <w:separator/>
      </w:r>
    </w:p>
  </w:footnote>
  <w:footnote w:type="continuationSeparator" w:id="0">
    <w:p w14:paraId="6EA454BC" w14:textId="77777777" w:rsidR="009660C5" w:rsidRDefault="009660C5" w:rsidP="006652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050018"/>
      <w:docPartObj>
        <w:docPartGallery w:val="Page Numbers (Top of Page)"/>
        <w:docPartUnique/>
      </w:docPartObj>
    </w:sdtPr>
    <w:sdtEndPr>
      <w:rPr>
        <w:noProof/>
      </w:rPr>
    </w:sdtEndPr>
    <w:sdtContent>
      <w:p w14:paraId="04172EC2" w14:textId="57A36550" w:rsidR="00716AC3" w:rsidRDefault="00716AC3">
        <w:pPr>
          <w:pStyle w:val="Header"/>
          <w:jc w:val="right"/>
        </w:pPr>
        <w:r>
          <w:fldChar w:fldCharType="begin"/>
        </w:r>
        <w:r>
          <w:instrText xml:space="preserve"> PAGE   \* MERGEFORMAT </w:instrText>
        </w:r>
        <w:r>
          <w:fldChar w:fldCharType="separate"/>
        </w:r>
        <w:r w:rsidR="00F32242">
          <w:rPr>
            <w:noProof/>
          </w:rPr>
          <w:t>4</w:t>
        </w:r>
        <w:r>
          <w:rPr>
            <w:noProof/>
          </w:rPr>
          <w:fldChar w:fldCharType="end"/>
        </w:r>
      </w:p>
    </w:sdtContent>
  </w:sdt>
  <w:p w14:paraId="776EABF3" w14:textId="77777777" w:rsidR="009421B1" w:rsidRDefault="00942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DE4A" w14:textId="0251B2E1" w:rsidR="00BD4819" w:rsidRDefault="00BD4819">
    <w:pPr>
      <w:pStyle w:val="Header"/>
      <w:jc w:val="right"/>
    </w:pPr>
  </w:p>
  <w:p w14:paraId="3A259E01" w14:textId="77777777" w:rsidR="00BD4819" w:rsidRDefault="00BD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9B5"/>
    <w:multiLevelType w:val="hybridMultilevel"/>
    <w:tmpl w:val="A6BCEC74"/>
    <w:lvl w:ilvl="0" w:tplc="B73AB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E27A0"/>
    <w:multiLevelType w:val="hybridMultilevel"/>
    <w:tmpl w:val="54FA81F4"/>
    <w:lvl w:ilvl="0" w:tplc="4308E2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0EC62C9"/>
    <w:multiLevelType w:val="hybridMultilevel"/>
    <w:tmpl w:val="56F0A018"/>
    <w:lvl w:ilvl="0" w:tplc="59824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4121A80"/>
    <w:multiLevelType w:val="hybridMultilevel"/>
    <w:tmpl w:val="B97C39A0"/>
    <w:lvl w:ilvl="0" w:tplc="899C90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03467E"/>
    <w:multiLevelType w:val="hybridMultilevel"/>
    <w:tmpl w:val="FA624DAA"/>
    <w:lvl w:ilvl="0" w:tplc="592C78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94802D6"/>
    <w:multiLevelType w:val="hybridMultilevel"/>
    <w:tmpl w:val="C940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9101F"/>
    <w:multiLevelType w:val="multilevel"/>
    <w:tmpl w:val="5EAC6E62"/>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7" w15:restartNumberingAfterBreak="0">
    <w:nsid w:val="26943EDD"/>
    <w:multiLevelType w:val="multilevel"/>
    <w:tmpl w:val="767022D8"/>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933433C"/>
    <w:multiLevelType w:val="hybridMultilevel"/>
    <w:tmpl w:val="DA9E86A0"/>
    <w:lvl w:ilvl="0" w:tplc="9DA65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64563"/>
    <w:multiLevelType w:val="hybridMultilevel"/>
    <w:tmpl w:val="3A9608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9A109A"/>
    <w:multiLevelType w:val="hybridMultilevel"/>
    <w:tmpl w:val="DE04FB9E"/>
    <w:lvl w:ilvl="0" w:tplc="A5D4234C">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A92ABE"/>
    <w:multiLevelType w:val="hybridMultilevel"/>
    <w:tmpl w:val="27D45D14"/>
    <w:lvl w:ilvl="0" w:tplc="4AE23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F1E6D"/>
    <w:multiLevelType w:val="multilevel"/>
    <w:tmpl w:val="F8B035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7AF6931"/>
    <w:multiLevelType w:val="hybridMultilevel"/>
    <w:tmpl w:val="A7028436"/>
    <w:lvl w:ilvl="0" w:tplc="BAF628F4">
      <w:start w:val="1"/>
      <w:numFmt w:val="lowerRoman"/>
      <w:lvlText w:val="(%1)"/>
      <w:lvlJc w:val="left"/>
      <w:pPr>
        <w:ind w:left="1800" w:hanging="720"/>
      </w:pPr>
      <w:rPr>
        <w:rFonts w:ascii="Times New Roman" w:hAnsi="Times New Roman" w:cs="Times New Roman" w:hint="default"/>
        <w:i/>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3A074EC7"/>
    <w:multiLevelType w:val="hybridMultilevel"/>
    <w:tmpl w:val="B42695C4"/>
    <w:lvl w:ilvl="0" w:tplc="95F20F70">
      <w:start w:val="1"/>
      <w:numFmt w:val="lowerLetter"/>
      <w:lvlText w:val="(%1)"/>
      <w:lvlJc w:val="left"/>
      <w:pPr>
        <w:ind w:left="1800" w:hanging="360"/>
      </w:pPr>
      <w:rPr>
        <w:rFonts w:ascii="Times New Roman" w:hAnsi="Times New Roman" w:cs="Times New Roman"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DD3764E"/>
    <w:multiLevelType w:val="hybridMultilevel"/>
    <w:tmpl w:val="9FC83974"/>
    <w:lvl w:ilvl="0" w:tplc="30FA6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1C4E66"/>
    <w:multiLevelType w:val="hybridMultilevel"/>
    <w:tmpl w:val="C24EBE5E"/>
    <w:lvl w:ilvl="0" w:tplc="98764E32">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552EC"/>
    <w:multiLevelType w:val="hybridMultilevel"/>
    <w:tmpl w:val="521EDC32"/>
    <w:lvl w:ilvl="0" w:tplc="3D3E0606">
      <w:start w:val="1"/>
      <w:numFmt w:val="decimal"/>
      <w:lvlText w:val="%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18" w15:restartNumberingAfterBreak="0">
    <w:nsid w:val="487570A4"/>
    <w:multiLevelType w:val="hybridMultilevel"/>
    <w:tmpl w:val="9A6ED858"/>
    <w:lvl w:ilvl="0" w:tplc="D3E6C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7A5ED2"/>
    <w:multiLevelType w:val="hybridMultilevel"/>
    <w:tmpl w:val="CFA227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64142BA"/>
    <w:multiLevelType w:val="hybridMultilevel"/>
    <w:tmpl w:val="D4F2EF86"/>
    <w:lvl w:ilvl="0" w:tplc="7B968CF4">
      <w:start w:val="1"/>
      <w:numFmt w:val="lowerLetter"/>
      <w:lvlText w:val="(%1)"/>
      <w:lvlJc w:val="left"/>
      <w:pPr>
        <w:ind w:left="1080" w:hanging="360"/>
      </w:pPr>
      <w:rPr>
        <w:rFonts w:ascii="Times New Roman" w:hAnsi="Times New Roman" w:cs="Times New Roman" w:hint="default"/>
        <w:i/>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740743F"/>
    <w:multiLevelType w:val="hybridMultilevel"/>
    <w:tmpl w:val="6A2EE17A"/>
    <w:lvl w:ilvl="0" w:tplc="D7067830">
      <w:start w:val="1"/>
      <w:numFmt w:val="lowerLetter"/>
      <w:lvlText w:val="(%1)"/>
      <w:lvlJc w:val="left"/>
      <w:pPr>
        <w:ind w:left="720" w:hanging="360"/>
      </w:pPr>
      <w:rPr>
        <w:rFonts w:ascii="Times New Roman" w:hAnsi="Times New Roman"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CF914EA"/>
    <w:multiLevelType w:val="multilevel"/>
    <w:tmpl w:val="FC62EAF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D670DD5"/>
    <w:multiLevelType w:val="hybridMultilevel"/>
    <w:tmpl w:val="A4EA20F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E36123D"/>
    <w:multiLevelType w:val="multilevel"/>
    <w:tmpl w:val="B3320A68"/>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644727"/>
    <w:multiLevelType w:val="hybridMultilevel"/>
    <w:tmpl w:val="EDE6481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7A863F3"/>
    <w:multiLevelType w:val="hybridMultilevel"/>
    <w:tmpl w:val="485670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9727E34"/>
    <w:multiLevelType w:val="hybridMultilevel"/>
    <w:tmpl w:val="67C8C376"/>
    <w:lvl w:ilvl="0" w:tplc="B72CCC9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77066CAB"/>
    <w:multiLevelType w:val="hybridMultilevel"/>
    <w:tmpl w:val="892E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653B7"/>
    <w:multiLevelType w:val="hybridMultilevel"/>
    <w:tmpl w:val="EAB4C016"/>
    <w:lvl w:ilvl="0" w:tplc="B8B817F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D6A4F"/>
    <w:multiLevelType w:val="multilevel"/>
    <w:tmpl w:val="527CE5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CAD3E93"/>
    <w:multiLevelType w:val="multilevel"/>
    <w:tmpl w:val="BF1C45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E512E66"/>
    <w:multiLevelType w:val="hybridMultilevel"/>
    <w:tmpl w:val="989867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70028222">
    <w:abstractNumId w:val="29"/>
  </w:num>
  <w:num w:numId="2" w16cid:durableId="2045522125">
    <w:abstractNumId w:val="15"/>
  </w:num>
  <w:num w:numId="3" w16cid:durableId="922834177">
    <w:abstractNumId w:val="0"/>
  </w:num>
  <w:num w:numId="4" w16cid:durableId="717052562">
    <w:abstractNumId w:val="3"/>
  </w:num>
  <w:num w:numId="5" w16cid:durableId="417677296">
    <w:abstractNumId w:val="1"/>
  </w:num>
  <w:num w:numId="6" w16cid:durableId="1909458709">
    <w:abstractNumId w:val="16"/>
  </w:num>
  <w:num w:numId="7" w16cid:durableId="2107848942">
    <w:abstractNumId w:val="8"/>
  </w:num>
  <w:num w:numId="8" w16cid:durableId="2088842550">
    <w:abstractNumId w:val="11"/>
  </w:num>
  <w:num w:numId="9" w16cid:durableId="1911768892">
    <w:abstractNumId w:val="24"/>
  </w:num>
  <w:num w:numId="10" w16cid:durableId="2121798425">
    <w:abstractNumId w:val="5"/>
  </w:num>
  <w:num w:numId="11" w16cid:durableId="1326275765">
    <w:abstractNumId w:val="12"/>
  </w:num>
  <w:num w:numId="12" w16cid:durableId="821434758">
    <w:abstractNumId w:val="31"/>
  </w:num>
  <w:num w:numId="13" w16cid:durableId="981810741">
    <w:abstractNumId w:val="2"/>
  </w:num>
  <w:num w:numId="14" w16cid:durableId="1422411701">
    <w:abstractNumId w:val="6"/>
  </w:num>
  <w:num w:numId="15" w16cid:durableId="747310203">
    <w:abstractNumId w:val="4"/>
  </w:num>
  <w:num w:numId="16" w16cid:durableId="625505432">
    <w:abstractNumId w:val="27"/>
  </w:num>
  <w:num w:numId="17" w16cid:durableId="542909872">
    <w:abstractNumId w:val="20"/>
  </w:num>
  <w:num w:numId="18" w16cid:durableId="218640566">
    <w:abstractNumId w:val="13"/>
  </w:num>
  <w:num w:numId="19" w16cid:durableId="477693361">
    <w:abstractNumId w:val="9"/>
  </w:num>
  <w:num w:numId="20" w16cid:durableId="495459498">
    <w:abstractNumId w:val="23"/>
  </w:num>
  <w:num w:numId="21" w16cid:durableId="121660775">
    <w:abstractNumId w:val="25"/>
  </w:num>
  <w:num w:numId="22" w16cid:durableId="1517499681">
    <w:abstractNumId w:val="26"/>
  </w:num>
  <w:num w:numId="23" w16cid:durableId="1665668511">
    <w:abstractNumId w:val="32"/>
  </w:num>
  <w:num w:numId="24" w16cid:durableId="1297372888">
    <w:abstractNumId w:val="19"/>
  </w:num>
  <w:num w:numId="25" w16cid:durableId="211776607">
    <w:abstractNumId w:val="21"/>
  </w:num>
  <w:num w:numId="26" w16cid:durableId="247734026">
    <w:abstractNumId w:val="14"/>
  </w:num>
  <w:num w:numId="27" w16cid:durableId="1596548663">
    <w:abstractNumId w:val="7"/>
  </w:num>
  <w:num w:numId="28" w16cid:durableId="1044333347">
    <w:abstractNumId w:val="17"/>
  </w:num>
  <w:num w:numId="29" w16cid:durableId="253128568">
    <w:abstractNumId w:val="10"/>
  </w:num>
  <w:num w:numId="30" w16cid:durableId="1421901681">
    <w:abstractNumId w:val="30"/>
  </w:num>
  <w:num w:numId="31" w16cid:durableId="1927374605">
    <w:abstractNumId w:val="22"/>
  </w:num>
  <w:num w:numId="32" w16cid:durableId="1255699622">
    <w:abstractNumId w:val="18"/>
  </w:num>
  <w:num w:numId="33" w16cid:durableId="47376135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60C2CA-EC41-41EB-ACF1-283B9FDC175E}"/>
    <w:docVar w:name="dgnword-eventsink" w:val="391767992"/>
  </w:docVars>
  <w:rsids>
    <w:rsidRoot w:val="0008561F"/>
    <w:rsid w:val="000101A2"/>
    <w:rsid w:val="00010A78"/>
    <w:rsid w:val="00012677"/>
    <w:rsid w:val="00012F19"/>
    <w:rsid w:val="000275E2"/>
    <w:rsid w:val="000345BA"/>
    <w:rsid w:val="00037B06"/>
    <w:rsid w:val="0004351F"/>
    <w:rsid w:val="00044B22"/>
    <w:rsid w:val="000510A5"/>
    <w:rsid w:val="000542E5"/>
    <w:rsid w:val="0006014A"/>
    <w:rsid w:val="00062FA9"/>
    <w:rsid w:val="00065A6D"/>
    <w:rsid w:val="00071510"/>
    <w:rsid w:val="000824EB"/>
    <w:rsid w:val="00084A1A"/>
    <w:rsid w:val="0008561F"/>
    <w:rsid w:val="00085D74"/>
    <w:rsid w:val="000A6218"/>
    <w:rsid w:val="000A7481"/>
    <w:rsid w:val="000B02B0"/>
    <w:rsid w:val="000C270F"/>
    <w:rsid w:val="000C5C07"/>
    <w:rsid w:val="000D025A"/>
    <w:rsid w:val="000D681E"/>
    <w:rsid w:val="000F1E32"/>
    <w:rsid w:val="000F5A69"/>
    <w:rsid w:val="00101724"/>
    <w:rsid w:val="001079BC"/>
    <w:rsid w:val="00113662"/>
    <w:rsid w:val="00117F75"/>
    <w:rsid w:val="001336A0"/>
    <w:rsid w:val="001359AD"/>
    <w:rsid w:val="00141DE6"/>
    <w:rsid w:val="00156DCD"/>
    <w:rsid w:val="00172ABC"/>
    <w:rsid w:val="00174D41"/>
    <w:rsid w:val="001757C0"/>
    <w:rsid w:val="0017630B"/>
    <w:rsid w:val="00176802"/>
    <w:rsid w:val="0018665E"/>
    <w:rsid w:val="001875D6"/>
    <w:rsid w:val="00191F1E"/>
    <w:rsid w:val="00192DBA"/>
    <w:rsid w:val="001943D6"/>
    <w:rsid w:val="00197E13"/>
    <w:rsid w:val="001A61A9"/>
    <w:rsid w:val="001C1D38"/>
    <w:rsid w:val="001C3FEF"/>
    <w:rsid w:val="001C4759"/>
    <w:rsid w:val="001C6696"/>
    <w:rsid w:val="001E768C"/>
    <w:rsid w:val="001F3966"/>
    <w:rsid w:val="001F3C76"/>
    <w:rsid w:val="001F69E3"/>
    <w:rsid w:val="0020086F"/>
    <w:rsid w:val="00203255"/>
    <w:rsid w:val="00203996"/>
    <w:rsid w:val="00213198"/>
    <w:rsid w:val="00217A3D"/>
    <w:rsid w:val="00220D31"/>
    <w:rsid w:val="0022290F"/>
    <w:rsid w:val="0022489D"/>
    <w:rsid w:val="002251C1"/>
    <w:rsid w:val="002256BC"/>
    <w:rsid w:val="00231A43"/>
    <w:rsid w:val="00232753"/>
    <w:rsid w:val="00236534"/>
    <w:rsid w:val="00236766"/>
    <w:rsid w:val="0024065D"/>
    <w:rsid w:val="002452D8"/>
    <w:rsid w:val="00245A93"/>
    <w:rsid w:val="00250CED"/>
    <w:rsid w:val="00256096"/>
    <w:rsid w:val="00257163"/>
    <w:rsid w:val="00263F48"/>
    <w:rsid w:val="00267F4E"/>
    <w:rsid w:val="00272FA0"/>
    <w:rsid w:val="00274411"/>
    <w:rsid w:val="00275AFA"/>
    <w:rsid w:val="002858E5"/>
    <w:rsid w:val="00287A0E"/>
    <w:rsid w:val="002975A1"/>
    <w:rsid w:val="002A04A4"/>
    <w:rsid w:val="002A3220"/>
    <w:rsid w:val="002A5AD4"/>
    <w:rsid w:val="002A7217"/>
    <w:rsid w:val="002B4A71"/>
    <w:rsid w:val="002B5BE3"/>
    <w:rsid w:val="002B736F"/>
    <w:rsid w:val="002D4671"/>
    <w:rsid w:val="002F14AE"/>
    <w:rsid w:val="002F48C3"/>
    <w:rsid w:val="0030270B"/>
    <w:rsid w:val="00311FC0"/>
    <w:rsid w:val="00313D62"/>
    <w:rsid w:val="00315C9D"/>
    <w:rsid w:val="00321D45"/>
    <w:rsid w:val="00321F0A"/>
    <w:rsid w:val="00324AC2"/>
    <w:rsid w:val="00325B09"/>
    <w:rsid w:val="00326ACC"/>
    <w:rsid w:val="003326AF"/>
    <w:rsid w:val="00336E00"/>
    <w:rsid w:val="00337C08"/>
    <w:rsid w:val="0034599E"/>
    <w:rsid w:val="00362AEC"/>
    <w:rsid w:val="00366D9C"/>
    <w:rsid w:val="00375290"/>
    <w:rsid w:val="00376F7C"/>
    <w:rsid w:val="00377BD5"/>
    <w:rsid w:val="00382333"/>
    <w:rsid w:val="00383012"/>
    <w:rsid w:val="00385DCE"/>
    <w:rsid w:val="003873C7"/>
    <w:rsid w:val="0039436F"/>
    <w:rsid w:val="003A1F11"/>
    <w:rsid w:val="003A3B37"/>
    <w:rsid w:val="003A3C34"/>
    <w:rsid w:val="003B3E15"/>
    <w:rsid w:val="003C5B44"/>
    <w:rsid w:val="003D51E3"/>
    <w:rsid w:val="003D53C3"/>
    <w:rsid w:val="003E2DBC"/>
    <w:rsid w:val="003E658F"/>
    <w:rsid w:val="003F4A18"/>
    <w:rsid w:val="004007D1"/>
    <w:rsid w:val="004023A7"/>
    <w:rsid w:val="004030F5"/>
    <w:rsid w:val="00411863"/>
    <w:rsid w:val="00415A74"/>
    <w:rsid w:val="004245B7"/>
    <w:rsid w:val="00433D96"/>
    <w:rsid w:val="004346D1"/>
    <w:rsid w:val="004400C0"/>
    <w:rsid w:val="00442F7A"/>
    <w:rsid w:val="00443342"/>
    <w:rsid w:val="004443D4"/>
    <w:rsid w:val="0044562C"/>
    <w:rsid w:val="00447957"/>
    <w:rsid w:val="004537D0"/>
    <w:rsid w:val="00457538"/>
    <w:rsid w:val="00460F8F"/>
    <w:rsid w:val="004647D4"/>
    <w:rsid w:val="004663F2"/>
    <w:rsid w:val="004724D8"/>
    <w:rsid w:val="00473E2E"/>
    <w:rsid w:val="00483D58"/>
    <w:rsid w:val="004901C1"/>
    <w:rsid w:val="00496AF3"/>
    <w:rsid w:val="004A1B2B"/>
    <w:rsid w:val="004A3135"/>
    <w:rsid w:val="004A7BCC"/>
    <w:rsid w:val="004A7E4B"/>
    <w:rsid w:val="004B2A93"/>
    <w:rsid w:val="004B5836"/>
    <w:rsid w:val="004B7236"/>
    <w:rsid w:val="004B7469"/>
    <w:rsid w:val="004C4E8B"/>
    <w:rsid w:val="004D109A"/>
    <w:rsid w:val="004D4D92"/>
    <w:rsid w:val="004E3275"/>
    <w:rsid w:val="004E57DF"/>
    <w:rsid w:val="004F219A"/>
    <w:rsid w:val="004F224F"/>
    <w:rsid w:val="004F2F45"/>
    <w:rsid w:val="004F7374"/>
    <w:rsid w:val="005060DA"/>
    <w:rsid w:val="005074FC"/>
    <w:rsid w:val="00507F8B"/>
    <w:rsid w:val="00510A6F"/>
    <w:rsid w:val="005201DA"/>
    <w:rsid w:val="005242BB"/>
    <w:rsid w:val="005262F9"/>
    <w:rsid w:val="005462F1"/>
    <w:rsid w:val="00546AB6"/>
    <w:rsid w:val="00555DF4"/>
    <w:rsid w:val="00560785"/>
    <w:rsid w:val="005621B4"/>
    <w:rsid w:val="00571E25"/>
    <w:rsid w:val="005744EC"/>
    <w:rsid w:val="005830EF"/>
    <w:rsid w:val="0058592D"/>
    <w:rsid w:val="0058714C"/>
    <w:rsid w:val="005873AE"/>
    <w:rsid w:val="00592140"/>
    <w:rsid w:val="00595395"/>
    <w:rsid w:val="005B232E"/>
    <w:rsid w:val="005B5EDA"/>
    <w:rsid w:val="005C20A4"/>
    <w:rsid w:val="005E02EB"/>
    <w:rsid w:val="005E41C2"/>
    <w:rsid w:val="005E58DA"/>
    <w:rsid w:val="005F4510"/>
    <w:rsid w:val="00601F12"/>
    <w:rsid w:val="00606049"/>
    <w:rsid w:val="00610C12"/>
    <w:rsid w:val="00613ADB"/>
    <w:rsid w:val="006155C0"/>
    <w:rsid w:val="006260DE"/>
    <w:rsid w:val="00634443"/>
    <w:rsid w:val="006344A9"/>
    <w:rsid w:val="00636E53"/>
    <w:rsid w:val="00640E2D"/>
    <w:rsid w:val="00640F11"/>
    <w:rsid w:val="0065357D"/>
    <w:rsid w:val="00653CCD"/>
    <w:rsid w:val="00664ACE"/>
    <w:rsid w:val="00665272"/>
    <w:rsid w:val="00666BBD"/>
    <w:rsid w:val="006679A8"/>
    <w:rsid w:val="00673491"/>
    <w:rsid w:val="006743EB"/>
    <w:rsid w:val="006748BA"/>
    <w:rsid w:val="00684071"/>
    <w:rsid w:val="00686210"/>
    <w:rsid w:val="00686C92"/>
    <w:rsid w:val="00697F6F"/>
    <w:rsid w:val="006A1733"/>
    <w:rsid w:val="006A3090"/>
    <w:rsid w:val="006A41CA"/>
    <w:rsid w:val="006B4AE3"/>
    <w:rsid w:val="006C42DE"/>
    <w:rsid w:val="006D21AD"/>
    <w:rsid w:val="006D4DFA"/>
    <w:rsid w:val="006E0BFA"/>
    <w:rsid w:val="006E325F"/>
    <w:rsid w:val="006E6C8C"/>
    <w:rsid w:val="006F07E1"/>
    <w:rsid w:val="006F2029"/>
    <w:rsid w:val="006F62E2"/>
    <w:rsid w:val="006F681A"/>
    <w:rsid w:val="007053CA"/>
    <w:rsid w:val="0070711C"/>
    <w:rsid w:val="007079BA"/>
    <w:rsid w:val="00712926"/>
    <w:rsid w:val="00713B8A"/>
    <w:rsid w:val="00714D3C"/>
    <w:rsid w:val="0071569F"/>
    <w:rsid w:val="00715783"/>
    <w:rsid w:val="00716AC3"/>
    <w:rsid w:val="00727BEB"/>
    <w:rsid w:val="007326B6"/>
    <w:rsid w:val="00735C38"/>
    <w:rsid w:val="00740476"/>
    <w:rsid w:val="00747007"/>
    <w:rsid w:val="007509D8"/>
    <w:rsid w:val="00755AAE"/>
    <w:rsid w:val="00756314"/>
    <w:rsid w:val="007614E9"/>
    <w:rsid w:val="00763703"/>
    <w:rsid w:val="00766847"/>
    <w:rsid w:val="00770D9D"/>
    <w:rsid w:val="00772A85"/>
    <w:rsid w:val="00773D06"/>
    <w:rsid w:val="007745FC"/>
    <w:rsid w:val="00780B9F"/>
    <w:rsid w:val="007913F2"/>
    <w:rsid w:val="0079211B"/>
    <w:rsid w:val="007A54DC"/>
    <w:rsid w:val="007A6927"/>
    <w:rsid w:val="007B34A0"/>
    <w:rsid w:val="007B714D"/>
    <w:rsid w:val="007C5AFE"/>
    <w:rsid w:val="007D0F8A"/>
    <w:rsid w:val="007D7C46"/>
    <w:rsid w:val="007E0946"/>
    <w:rsid w:val="007E2441"/>
    <w:rsid w:val="007E77EC"/>
    <w:rsid w:val="007F066A"/>
    <w:rsid w:val="007F610D"/>
    <w:rsid w:val="008012A9"/>
    <w:rsid w:val="00802433"/>
    <w:rsid w:val="0080300B"/>
    <w:rsid w:val="00811ECA"/>
    <w:rsid w:val="00816969"/>
    <w:rsid w:val="008213E2"/>
    <w:rsid w:val="00822754"/>
    <w:rsid w:val="00824AB8"/>
    <w:rsid w:val="00826305"/>
    <w:rsid w:val="008317EE"/>
    <w:rsid w:val="00836709"/>
    <w:rsid w:val="008415B4"/>
    <w:rsid w:val="008529AD"/>
    <w:rsid w:val="00867800"/>
    <w:rsid w:val="00871F72"/>
    <w:rsid w:val="0087228E"/>
    <w:rsid w:val="008727B6"/>
    <w:rsid w:val="008741BF"/>
    <w:rsid w:val="008830EA"/>
    <w:rsid w:val="00884056"/>
    <w:rsid w:val="00897FEC"/>
    <w:rsid w:val="008A1B5D"/>
    <w:rsid w:val="008A350A"/>
    <w:rsid w:val="008A3A28"/>
    <w:rsid w:val="008C1D5D"/>
    <w:rsid w:val="008C3276"/>
    <w:rsid w:val="008E0EFA"/>
    <w:rsid w:val="008E5574"/>
    <w:rsid w:val="008E6234"/>
    <w:rsid w:val="008F05EE"/>
    <w:rsid w:val="00902944"/>
    <w:rsid w:val="009031BB"/>
    <w:rsid w:val="00903D7F"/>
    <w:rsid w:val="00905944"/>
    <w:rsid w:val="009154F3"/>
    <w:rsid w:val="009162DA"/>
    <w:rsid w:val="00930915"/>
    <w:rsid w:val="00941044"/>
    <w:rsid w:val="009421B1"/>
    <w:rsid w:val="00944CC9"/>
    <w:rsid w:val="0094603F"/>
    <w:rsid w:val="009519D1"/>
    <w:rsid w:val="00951D35"/>
    <w:rsid w:val="009524DB"/>
    <w:rsid w:val="009638EE"/>
    <w:rsid w:val="009660C5"/>
    <w:rsid w:val="0097110E"/>
    <w:rsid w:val="0097415D"/>
    <w:rsid w:val="00986320"/>
    <w:rsid w:val="0099480D"/>
    <w:rsid w:val="00994D70"/>
    <w:rsid w:val="009A48C2"/>
    <w:rsid w:val="009A7118"/>
    <w:rsid w:val="009B067E"/>
    <w:rsid w:val="009B069E"/>
    <w:rsid w:val="009B14CA"/>
    <w:rsid w:val="009B4E9B"/>
    <w:rsid w:val="009C071C"/>
    <w:rsid w:val="009C5BAB"/>
    <w:rsid w:val="009C63A2"/>
    <w:rsid w:val="009C7FE4"/>
    <w:rsid w:val="009D1B27"/>
    <w:rsid w:val="009D6D68"/>
    <w:rsid w:val="009F5FD8"/>
    <w:rsid w:val="00A0331E"/>
    <w:rsid w:val="00A05877"/>
    <w:rsid w:val="00A141A9"/>
    <w:rsid w:val="00A142CC"/>
    <w:rsid w:val="00A218D2"/>
    <w:rsid w:val="00A26639"/>
    <w:rsid w:val="00A27357"/>
    <w:rsid w:val="00A332DA"/>
    <w:rsid w:val="00A4483A"/>
    <w:rsid w:val="00A55496"/>
    <w:rsid w:val="00A566F6"/>
    <w:rsid w:val="00A6262D"/>
    <w:rsid w:val="00A63D9E"/>
    <w:rsid w:val="00A661A3"/>
    <w:rsid w:val="00A70798"/>
    <w:rsid w:val="00A73734"/>
    <w:rsid w:val="00A73EC9"/>
    <w:rsid w:val="00A7640E"/>
    <w:rsid w:val="00A76F4D"/>
    <w:rsid w:val="00AD7ECA"/>
    <w:rsid w:val="00AE0F13"/>
    <w:rsid w:val="00AF2C96"/>
    <w:rsid w:val="00B14E84"/>
    <w:rsid w:val="00B17412"/>
    <w:rsid w:val="00B2312E"/>
    <w:rsid w:val="00B33588"/>
    <w:rsid w:val="00B35B76"/>
    <w:rsid w:val="00B40A46"/>
    <w:rsid w:val="00B41E48"/>
    <w:rsid w:val="00B41FF3"/>
    <w:rsid w:val="00B5047A"/>
    <w:rsid w:val="00B62A5B"/>
    <w:rsid w:val="00B651D0"/>
    <w:rsid w:val="00B707C9"/>
    <w:rsid w:val="00B72778"/>
    <w:rsid w:val="00B737B2"/>
    <w:rsid w:val="00B73F35"/>
    <w:rsid w:val="00B753C9"/>
    <w:rsid w:val="00B82077"/>
    <w:rsid w:val="00BA5968"/>
    <w:rsid w:val="00BB0894"/>
    <w:rsid w:val="00BB3E19"/>
    <w:rsid w:val="00BC2A2C"/>
    <w:rsid w:val="00BC591C"/>
    <w:rsid w:val="00BC7ECB"/>
    <w:rsid w:val="00BD4819"/>
    <w:rsid w:val="00BE1AFD"/>
    <w:rsid w:val="00BE3824"/>
    <w:rsid w:val="00BE49EC"/>
    <w:rsid w:val="00BE6973"/>
    <w:rsid w:val="00BF061B"/>
    <w:rsid w:val="00C03ADE"/>
    <w:rsid w:val="00C051D5"/>
    <w:rsid w:val="00C05B6B"/>
    <w:rsid w:val="00C05ED0"/>
    <w:rsid w:val="00C15096"/>
    <w:rsid w:val="00C1524A"/>
    <w:rsid w:val="00C24E43"/>
    <w:rsid w:val="00C30A65"/>
    <w:rsid w:val="00C31FF4"/>
    <w:rsid w:val="00C3781B"/>
    <w:rsid w:val="00C443CD"/>
    <w:rsid w:val="00C46246"/>
    <w:rsid w:val="00C46655"/>
    <w:rsid w:val="00C55D29"/>
    <w:rsid w:val="00C644CB"/>
    <w:rsid w:val="00C70840"/>
    <w:rsid w:val="00C7608B"/>
    <w:rsid w:val="00C819A6"/>
    <w:rsid w:val="00C91EC2"/>
    <w:rsid w:val="00C95FCF"/>
    <w:rsid w:val="00CA23A4"/>
    <w:rsid w:val="00CA3A6B"/>
    <w:rsid w:val="00CA43CC"/>
    <w:rsid w:val="00CB035D"/>
    <w:rsid w:val="00CB13CE"/>
    <w:rsid w:val="00CB17A1"/>
    <w:rsid w:val="00CB217D"/>
    <w:rsid w:val="00CB2D1D"/>
    <w:rsid w:val="00CB6B3B"/>
    <w:rsid w:val="00CC4543"/>
    <w:rsid w:val="00CD0F4B"/>
    <w:rsid w:val="00CD3DA9"/>
    <w:rsid w:val="00CE0033"/>
    <w:rsid w:val="00CE0D22"/>
    <w:rsid w:val="00CE28C8"/>
    <w:rsid w:val="00CE5269"/>
    <w:rsid w:val="00CE57B2"/>
    <w:rsid w:val="00CF2722"/>
    <w:rsid w:val="00CF2850"/>
    <w:rsid w:val="00CF2DD4"/>
    <w:rsid w:val="00CF5929"/>
    <w:rsid w:val="00D00BE5"/>
    <w:rsid w:val="00D03342"/>
    <w:rsid w:val="00D04FE6"/>
    <w:rsid w:val="00D0639F"/>
    <w:rsid w:val="00D15B5C"/>
    <w:rsid w:val="00D35634"/>
    <w:rsid w:val="00D41FF0"/>
    <w:rsid w:val="00D453CA"/>
    <w:rsid w:val="00D65E04"/>
    <w:rsid w:val="00D67E9A"/>
    <w:rsid w:val="00D773F9"/>
    <w:rsid w:val="00D80AE1"/>
    <w:rsid w:val="00D8438C"/>
    <w:rsid w:val="00D87401"/>
    <w:rsid w:val="00DA005F"/>
    <w:rsid w:val="00DA2ADC"/>
    <w:rsid w:val="00DA408D"/>
    <w:rsid w:val="00DB736D"/>
    <w:rsid w:val="00DC0D90"/>
    <w:rsid w:val="00DC5170"/>
    <w:rsid w:val="00DC6C31"/>
    <w:rsid w:val="00DD20DD"/>
    <w:rsid w:val="00DE05D4"/>
    <w:rsid w:val="00DE6D93"/>
    <w:rsid w:val="00DE7A38"/>
    <w:rsid w:val="00DF5352"/>
    <w:rsid w:val="00E015B5"/>
    <w:rsid w:val="00E0384C"/>
    <w:rsid w:val="00E0444F"/>
    <w:rsid w:val="00E052C3"/>
    <w:rsid w:val="00E104D2"/>
    <w:rsid w:val="00E11D57"/>
    <w:rsid w:val="00E12B8D"/>
    <w:rsid w:val="00E136C0"/>
    <w:rsid w:val="00E1622A"/>
    <w:rsid w:val="00E2030B"/>
    <w:rsid w:val="00E20BE5"/>
    <w:rsid w:val="00E22F2E"/>
    <w:rsid w:val="00E234E1"/>
    <w:rsid w:val="00E2373A"/>
    <w:rsid w:val="00E26622"/>
    <w:rsid w:val="00E31430"/>
    <w:rsid w:val="00E45082"/>
    <w:rsid w:val="00E51A81"/>
    <w:rsid w:val="00E55742"/>
    <w:rsid w:val="00E6646D"/>
    <w:rsid w:val="00E679C6"/>
    <w:rsid w:val="00E70F18"/>
    <w:rsid w:val="00E73726"/>
    <w:rsid w:val="00E74FB5"/>
    <w:rsid w:val="00E9078F"/>
    <w:rsid w:val="00EA0D3B"/>
    <w:rsid w:val="00EA4CDB"/>
    <w:rsid w:val="00EA6706"/>
    <w:rsid w:val="00EB14D6"/>
    <w:rsid w:val="00EB17B6"/>
    <w:rsid w:val="00EB3949"/>
    <w:rsid w:val="00EB4C32"/>
    <w:rsid w:val="00EC77D7"/>
    <w:rsid w:val="00ED1259"/>
    <w:rsid w:val="00EE6120"/>
    <w:rsid w:val="00EF0216"/>
    <w:rsid w:val="00F0049D"/>
    <w:rsid w:val="00F0183A"/>
    <w:rsid w:val="00F05DDA"/>
    <w:rsid w:val="00F1439B"/>
    <w:rsid w:val="00F15205"/>
    <w:rsid w:val="00F17E23"/>
    <w:rsid w:val="00F21872"/>
    <w:rsid w:val="00F2443D"/>
    <w:rsid w:val="00F26EF9"/>
    <w:rsid w:val="00F32242"/>
    <w:rsid w:val="00F43C3D"/>
    <w:rsid w:val="00F470DC"/>
    <w:rsid w:val="00F54F68"/>
    <w:rsid w:val="00F562CB"/>
    <w:rsid w:val="00F57DBF"/>
    <w:rsid w:val="00F57F69"/>
    <w:rsid w:val="00F62BBF"/>
    <w:rsid w:val="00F66F2C"/>
    <w:rsid w:val="00F709C1"/>
    <w:rsid w:val="00F83391"/>
    <w:rsid w:val="00F92CFE"/>
    <w:rsid w:val="00F940F5"/>
    <w:rsid w:val="00F947CB"/>
    <w:rsid w:val="00FB269B"/>
    <w:rsid w:val="00FB3FBA"/>
    <w:rsid w:val="00FB63E1"/>
    <w:rsid w:val="00FC1A4B"/>
    <w:rsid w:val="00FC73D4"/>
    <w:rsid w:val="00FD02B1"/>
    <w:rsid w:val="00FD05FD"/>
    <w:rsid w:val="00FD0C14"/>
    <w:rsid w:val="00FD4047"/>
    <w:rsid w:val="00FE3A2C"/>
    <w:rsid w:val="00FF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B604"/>
  <w15:chartTrackingRefBased/>
  <w15:docId w15:val="{8895AF92-D698-4F36-85B6-6CD9628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1F"/>
    <w:pPr>
      <w:spacing w:after="0" w:line="360" w:lineRule="auto"/>
      <w:ind w:left="360" w:hanging="360"/>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11"/>
    <w:pPr>
      <w:ind w:left="720"/>
      <w:contextualSpacing/>
    </w:pPr>
  </w:style>
  <w:style w:type="paragraph" w:styleId="Header">
    <w:name w:val="header"/>
    <w:basedOn w:val="Normal"/>
    <w:link w:val="HeaderChar"/>
    <w:uiPriority w:val="99"/>
    <w:unhideWhenUsed/>
    <w:rsid w:val="00665272"/>
    <w:pPr>
      <w:tabs>
        <w:tab w:val="center" w:pos="4680"/>
        <w:tab w:val="right" w:pos="9360"/>
      </w:tabs>
      <w:spacing w:line="240" w:lineRule="auto"/>
    </w:pPr>
  </w:style>
  <w:style w:type="character" w:customStyle="1" w:styleId="HeaderChar">
    <w:name w:val="Header Char"/>
    <w:basedOn w:val="DefaultParagraphFont"/>
    <w:link w:val="Header"/>
    <w:uiPriority w:val="99"/>
    <w:rsid w:val="00665272"/>
    <w:rPr>
      <w:rFonts w:ascii="Arial" w:hAnsi="Arial"/>
      <w:sz w:val="24"/>
    </w:rPr>
  </w:style>
  <w:style w:type="paragraph" w:styleId="Footer">
    <w:name w:val="footer"/>
    <w:basedOn w:val="Normal"/>
    <w:link w:val="FooterChar"/>
    <w:uiPriority w:val="99"/>
    <w:unhideWhenUsed/>
    <w:rsid w:val="00665272"/>
    <w:pPr>
      <w:tabs>
        <w:tab w:val="center" w:pos="4680"/>
        <w:tab w:val="right" w:pos="9360"/>
      </w:tabs>
      <w:spacing w:line="240" w:lineRule="auto"/>
    </w:pPr>
  </w:style>
  <w:style w:type="character" w:customStyle="1" w:styleId="FooterChar">
    <w:name w:val="Footer Char"/>
    <w:basedOn w:val="DefaultParagraphFont"/>
    <w:link w:val="Footer"/>
    <w:uiPriority w:val="99"/>
    <w:rsid w:val="00665272"/>
    <w:rPr>
      <w:rFonts w:ascii="Arial" w:hAnsi="Arial"/>
      <w:sz w:val="24"/>
    </w:rPr>
  </w:style>
  <w:style w:type="paragraph" w:styleId="BalloonText">
    <w:name w:val="Balloon Text"/>
    <w:basedOn w:val="Normal"/>
    <w:link w:val="BalloonTextChar"/>
    <w:uiPriority w:val="99"/>
    <w:semiHidden/>
    <w:unhideWhenUsed/>
    <w:rsid w:val="00665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72"/>
    <w:rPr>
      <w:rFonts w:ascii="Segoe UI" w:hAnsi="Segoe UI" w:cs="Segoe UI"/>
      <w:sz w:val="18"/>
      <w:szCs w:val="18"/>
    </w:rPr>
  </w:style>
  <w:style w:type="paragraph" w:styleId="NoSpacing">
    <w:name w:val="No Spacing"/>
    <w:uiPriority w:val="1"/>
    <w:qFormat/>
    <w:rsid w:val="00F0049D"/>
    <w:pPr>
      <w:spacing w:after="0" w:line="240" w:lineRule="auto"/>
    </w:pPr>
    <w:rPr>
      <w:rFonts w:ascii="Calibri" w:eastAsia="Times New Roman" w:hAnsi="Calibri" w:cs="Times New Roman"/>
      <w:lang w:val="en-ZA"/>
    </w:rPr>
  </w:style>
  <w:style w:type="character" w:styleId="Hyperlink">
    <w:name w:val="Hyperlink"/>
    <w:basedOn w:val="DefaultParagraphFont"/>
    <w:uiPriority w:val="99"/>
    <w:unhideWhenUsed/>
    <w:rsid w:val="0087228E"/>
    <w:rPr>
      <w:color w:val="0563C1" w:themeColor="hyperlink"/>
      <w:u w:val="single"/>
    </w:rPr>
  </w:style>
  <w:style w:type="paragraph" w:styleId="FootnoteText">
    <w:name w:val="footnote text"/>
    <w:basedOn w:val="Normal"/>
    <w:link w:val="FootnoteTextChar"/>
    <w:uiPriority w:val="99"/>
    <w:semiHidden/>
    <w:unhideWhenUsed/>
    <w:rsid w:val="00735C38"/>
    <w:pPr>
      <w:spacing w:line="240" w:lineRule="auto"/>
    </w:pPr>
    <w:rPr>
      <w:sz w:val="20"/>
      <w:szCs w:val="20"/>
    </w:rPr>
  </w:style>
  <w:style w:type="character" w:customStyle="1" w:styleId="FootnoteTextChar">
    <w:name w:val="Footnote Text Char"/>
    <w:basedOn w:val="DefaultParagraphFont"/>
    <w:link w:val="FootnoteText"/>
    <w:uiPriority w:val="99"/>
    <w:semiHidden/>
    <w:rsid w:val="00735C38"/>
    <w:rPr>
      <w:rFonts w:ascii="Arial" w:hAnsi="Arial"/>
      <w:sz w:val="20"/>
      <w:szCs w:val="20"/>
    </w:rPr>
  </w:style>
  <w:style w:type="character" w:styleId="FootnoteReference">
    <w:name w:val="footnote reference"/>
    <w:basedOn w:val="DefaultParagraphFont"/>
    <w:uiPriority w:val="99"/>
    <w:semiHidden/>
    <w:unhideWhenUsed/>
    <w:rsid w:val="00735C38"/>
    <w:rPr>
      <w:vertAlign w:val="superscript"/>
    </w:rPr>
  </w:style>
  <w:style w:type="character" w:customStyle="1" w:styleId="footnoteanchor">
    <w:name w:val="footnoteanchor"/>
    <w:basedOn w:val="DefaultParagraphFont"/>
    <w:rsid w:val="00653CCD"/>
  </w:style>
  <w:style w:type="character" w:styleId="CommentReference">
    <w:name w:val="annotation reference"/>
    <w:basedOn w:val="DefaultParagraphFont"/>
    <w:uiPriority w:val="99"/>
    <w:semiHidden/>
    <w:unhideWhenUsed/>
    <w:rsid w:val="000C5C07"/>
    <w:rPr>
      <w:sz w:val="16"/>
      <w:szCs w:val="16"/>
    </w:rPr>
  </w:style>
  <w:style w:type="paragraph" w:styleId="CommentText">
    <w:name w:val="annotation text"/>
    <w:basedOn w:val="Normal"/>
    <w:link w:val="CommentTextChar"/>
    <w:uiPriority w:val="99"/>
    <w:unhideWhenUsed/>
    <w:rsid w:val="000C5C07"/>
    <w:pPr>
      <w:spacing w:line="240" w:lineRule="auto"/>
    </w:pPr>
    <w:rPr>
      <w:sz w:val="20"/>
      <w:szCs w:val="20"/>
    </w:rPr>
  </w:style>
  <w:style w:type="character" w:customStyle="1" w:styleId="CommentTextChar">
    <w:name w:val="Comment Text Char"/>
    <w:basedOn w:val="DefaultParagraphFont"/>
    <w:link w:val="CommentText"/>
    <w:uiPriority w:val="99"/>
    <w:rsid w:val="000C5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C5C07"/>
    <w:rPr>
      <w:b/>
      <w:bCs/>
    </w:rPr>
  </w:style>
  <w:style w:type="character" w:customStyle="1" w:styleId="CommentSubjectChar">
    <w:name w:val="Comment Subject Char"/>
    <w:basedOn w:val="CommentTextChar"/>
    <w:link w:val="CommentSubject"/>
    <w:uiPriority w:val="99"/>
    <w:semiHidden/>
    <w:rsid w:val="000C5C07"/>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039001">
      <w:bodyDiv w:val="1"/>
      <w:marLeft w:val="0"/>
      <w:marRight w:val="0"/>
      <w:marTop w:val="0"/>
      <w:marBottom w:val="0"/>
      <w:divBdr>
        <w:top w:val="none" w:sz="0" w:space="0" w:color="auto"/>
        <w:left w:val="none" w:sz="0" w:space="0" w:color="auto"/>
        <w:bottom w:val="none" w:sz="0" w:space="0" w:color="auto"/>
        <w:right w:val="none" w:sz="0" w:space="0" w:color="auto"/>
      </w:divBdr>
      <w:divsChild>
        <w:div w:id="316112734">
          <w:marLeft w:val="0"/>
          <w:marRight w:val="0"/>
          <w:marTop w:val="60"/>
          <w:marBottom w:val="0"/>
          <w:divBdr>
            <w:top w:val="none" w:sz="0" w:space="0" w:color="auto"/>
            <w:left w:val="none" w:sz="0" w:space="0" w:color="auto"/>
            <w:bottom w:val="none" w:sz="0" w:space="0" w:color="auto"/>
            <w:right w:val="none" w:sz="0" w:space="0" w:color="auto"/>
          </w:divBdr>
        </w:div>
        <w:div w:id="1939408540">
          <w:marLeft w:val="851"/>
          <w:marRight w:val="0"/>
          <w:marTop w:val="60"/>
          <w:marBottom w:val="0"/>
          <w:divBdr>
            <w:top w:val="none" w:sz="0" w:space="0" w:color="auto"/>
            <w:left w:val="none" w:sz="0" w:space="0" w:color="auto"/>
            <w:bottom w:val="none" w:sz="0" w:space="0" w:color="auto"/>
            <w:right w:val="none" w:sz="0" w:space="0" w:color="auto"/>
          </w:divBdr>
        </w:div>
        <w:div w:id="516383874">
          <w:marLeft w:val="0"/>
          <w:marRight w:val="0"/>
          <w:marTop w:val="20"/>
          <w:marBottom w:val="20"/>
          <w:divBdr>
            <w:top w:val="none" w:sz="0" w:space="0" w:color="auto"/>
            <w:left w:val="none" w:sz="0" w:space="0" w:color="auto"/>
            <w:bottom w:val="none" w:sz="0" w:space="0" w:color="auto"/>
            <w:right w:val="none" w:sz="0" w:space="0" w:color="auto"/>
          </w:divBdr>
        </w:div>
        <w:div w:id="8457042">
          <w:marLeft w:val="851"/>
          <w:marRight w:val="0"/>
          <w:marTop w:val="60"/>
          <w:marBottom w:val="0"/>
          <w:divBdr>
            <w:top w:val="none" w:sz="0" w:space="0" w:color="auto"/>
            <w:left w:val="none" w:sz="0" w:space="0" w:color="auto"/>
            <w:bottom w:val="none" w:sz="0" w:space="0" w:color="auto"/>
            <w:right w:val="none" w:sz="0" w:space="0" w:color="auto"/>
          </w:divBdr>
        </w:div>
        <w:div w:id="1492526565">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8F76C-FECD-4524-B186-30A61E76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Vuyokazi Tsana</dc:creator>
  <cp:keywords/>
  <dc:description/>
  <cp:lastModifiedBy>Mariana Anguelov</cp:lastModifiedBy>
  <cp:revision>3</cp:revision>
  <cp:lastPrinted>2022-07-15T12:44:00Z</cp:lastPrinted>
  <dcterms:created xsi:type="dcterms:W3CDTF">2022-10-19T12:59:00Z</dcterms:created>
  <dcterms:modified xsi:type="dcterms:W3CDTF">2022-10-19T19:29:00Z</dcterms:modified>
</cp:coreProperties>
</file>