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E15ACDA" w:rsidR="00D450B5" w:rsidRPr="00044B50" w:rsidRDefault="00D450B5" w:rsidP="00772E4B">
      <w:pPr>
        <w:jc w:val="center"/>
        <w:rPr>
          <w:b/>
          <w:bCs/>
          <w:lang w:val="en-GB"/>
        </w:rPr>
      </w:pPr>
      <w:r w:rsidRPr="00044B50">
        <w:rPr>
          <w:b/>
          <w:bCs/>
          <w:lang w:val="en-GB"/>
        </w:rPr>
        <w:t>(EASTERN CAPE DIVISION,</w:t>
      </w:r>
      <w:r w:rsidR="009C7CE6">
        <w:rPr>
          <w:b/>
          <w:bCs/>
          <w:lang w:val="en-GB"/>
        </w:rPr>
        <w:t xml:space="preserve"> 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4934DB4B" w14:textId="68EA4ED1" w:rsidR="00E44987" w:rsidRPr="00044B50" w:rsidRDefault="009C7CE6" w:rsidP="009C7CE6">
      <w:pPr>
        <w:jc w:val="center"/>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E44987" w:rsidRPr="00044B50">
        <w:rPr>
          <w:lang w:val="en-GB"/>
        </w:rPr>
        <w:t xml:space="preserve">Case no: </w:t>
      </w:r>
      <w:r>
        <w:rPr>
          <w:lang w:val="en-GB"/>
        </w:rPr>
        <w:t>CA233/2021</w:t>
      </w:r>
    </w:p>
    <w:p w14:paraId="13EEBE4B" w14:textId="77777777" w:rsidR="00D450B5" w:rsidRPr="00044B50" w:rsidRDefault="00D450B5" w:rsidP="00772E4B">
      <w:pPr>
        <w:widowControl w:val="0"/>
        <w:jc w:val="right"/>
        <w:rPr>
          <w:spacing w:val="14"/>
          <w:kern w:val="2"/>
          <w:lang w:val="en-GB"/>
        </w:rPr>
      </w:pPr>
    </w:p>
    <w:p w14:paraId="49070A0E" w14:textId="665E7BF3"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51C6070C" w14:textId="77777777" w:rsidR="009C7CE6" w:rsidRPr="00044B50" w:rsidRDefault="009C7CE6" w:rsidP="00772E4B">
      <w:pPr>
        <w:widowControl w:val="0"/>
        <w:jc w:val="both"/>
        <w:rPr>
          <w:spacing w:val="14"/>
          <w:kern w:val="2"/>
          <w:lang w:val="en-GB"/>
        </w:rPr>
      </w:pPr>
    </w:p>
    <w:p w14:paraId="2E198784" w14:textId="75627539" w:rsidR="00D450B5" w:rsidRPr="009C7CE6" w:rsidRDefault="009C7CE6" w:rsidP="009C7CE6">
      <w:pPr>
        <w:widowControl w:val="0"/>
        <w:tabs>
          <w:tab w:val="left" w:pos="7230"/>
          <w:tab w:val="right" w:pos="8198"/>
        </w:tabs>
        <w:jc w:val="both"/>
        <w:rPr>
          <w:b/>
          <w:spacing w:val="14"/>
          <w:kern w:val="2"/>
          <w:lang w:val="en-GB"/>
        </w:rPr>
      </w:pPr>
      <w:r w:rsidRPr="009C7CE6">
        <w:rPr>
          <w:b/>
          <w:spacing w:val="14"/>
          <w:kern w:val="2"/>
          <w:lang w:val="en-GB"/>
        </w:rPr>
        <w:t xml:space="preserve">CLAYTON ANDREWS </w:t>
      </w:r>
      <w:r w:rsidRPr="009C7CE6">
        <w:rPr>
          <w:b/>
          <w:spacing w:val="14"/>
          <w:kern w:val="2"/>
          <w:lang w:val="en-GB"/>
        </w:rPr>
        <w:tab/>
        <w:t>Appellant</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5E951CB5" w:rsidR="00C246F2" w:rsidRPr="00044B50" w:rsidRDefault="009C7CE6" w:rsidP="009C7CE6">
      <w:pPr>
        <w:tabs>
          <w:tab w:val="left" w:pos="7088"/>
        </w:tabs>
        <w:jc w:val="both"/>
        <w:rPr>
          <w:b/>
          <w:bCs/>
          <w:lang w:val="en-GB"/>
        </w:rPr>
      </w:pPr>
      <w:r>
        <w:rPr>
          <w:b/>
          <w:bCs/>
          <w:lang w:val="en-GB"/>
        </w:rPr>
        <w:t xml:space="preserve">MINISTER OF POLICE </w:t>
      </w:r>
      <w:r>
        <w:rPr>
          <w:b/>
          <w:bCs/>
          <w:lang w:val="en-GB"/>
        </w:rPr>
        <w:tab/>
        <w:t>Respondent</w:t>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30232EE6" w14:textId="045EE517" w:rsidR="001C4971" w:rsidRPr="008F0A02" w:rsidRDefault="008F0A02" w:rsidP="008F0A02">
      <w:pPr>
        <w:autoSpaceDE w:val="0"/>
        <w:autoSpaceDN w:val="0"/>
        <w:adjustRightInd w:val="0"/>
        <w:jc w:val="both"/>
        <w:rPr>
          <w:lang w:val="en-GB"/>
        </w:rPr>
      </w:pPr>
      <w:r w:rsidRPr="00E0395E">
        <w:rPr>
          <w:lang w:val="en-GB"/>
        </w:rPr>
        <w:t>[1]</w:t>
      </w:r>
      <w:r w:rsidRPr="00E0395E">
        <w:rPr>
          <w:lang w:val="en-GB"/>
        </w:rPr>
        <w:tab/>
      </w:r>
      <w:r w:rsidR="001C4971" w:rsidRPr="008F0A02">
        <w:rPr>
          <w:lang w:val="en-US"/>
        </w:rPr>
        <w:t xml:space="preserve">The appellant claimed damages for an alleged assault by members of the South African Police Service (SAPS), acting within the course and scope of their employment with the respondent, on 25 March 2014. According to a medico-legal report accepted into evidence, he suffered injuries to his right knee, right wrist, right </w:t>
      </w:r>
      <w:proofErr w:type="gramStart"/>
      <w:r w:rsidR="001C4971" w:rsidRPr="008F0A02">
        <w:rPr>
          <w:lang w:val="en-US"/>
        </w:rPr>
        <w:t>shoulder</w:t>
      </w:r>
      <w:proofErr w:type="gramEnd"/>
      <w:r w:rsidR="001C4971" w:rsidRPr="008F0A02">
        <w:rPr>
          <w:lang w:val="en-US"/>
        </w:rPr>
        <w:t xml:space="preserve"> and right elbow, as well as acute post-traumatic shock. The respondent denied any assault by its employees and claimed that the appellant had sustained any injuries prior to his arrest.</w:t>
      </w:r>
    </w:p>
    <w:p w14:paraId="50CB0119" w14:textId="77777777" w:rsidR="001C4971" w:rsidRPr="00E0395E" w:rsidRDefault="001C4971" w:rsidP="008A53E2">
      <w:pPr>
        <w:pStyle w:val="ListParagraph"/>
        <w:autoSpaceDE w:val="0"/>
        <w:autoSpaceDN w:val="0"/>
        <w:adjustRightInd w:val="0"/>
        <w:ind w:left="0"/>
        <w:jc w:val="both"/>
        <w:rPr>
          <w:lang w:val="en-GB"/>
        </w:rPr>
      </w:pPr>
    </w:p>
    <w:p w14:paraId="16F60A3B" w14:textId="16BAADF9" w:rsidR="001C4971" w:rsidRPr="008F0A02" w:rsidRDefault="008F0A02" w:rsidP="008F0A02">
      <w:pPr>
        <w:autoSpaceDE w:val="0"/>
        <w:autoSpaceDN w:val="0"/>
        <w:adjustRightInd w:val="0"/>
        <w:jc w:val="both"/>
        <w:rPr>
          <w:lang w:val="en-GB"/>
        </w:rPr>
      </w:pPr>
      <w:r w:rsidRPr="00044B50">
        <w:rPr>
          <w:lang w:val="en-GB"/>
        </w:rPr>
        <w:t>[2]</w:t>
      </w:r>
      <w:r w:rsidRPr="00044B50">
        <w:rPr>
          <w:lang w:val="en-GB"/>
        </w:rPr>
        <w:tab/>
      </w:r>
      <w:r w:rsidR="001C4971" w:rsidRPr="008F0A02">
        <w:rPr>
          <w:lang w:val="en-GB"/>
        </w:rPr>
        <w:t xml:space="preserve">The respondent, in replying to a request for trial particulars, accepted that ‘member(s) of the South African Police Service did </w:t>
      </w:r>
      <w:proofErr w:type="gramStart"/>
      <w:r w:rsidR="001C4971" w:rsidRPr="008F0A02">
        <w:rPr>
          <w:lang w:val="en-GB"/>
        </w:rPr>
        <w:t>handled</w:t>
      </w:r>
      <w:proofErr w:type="gramEnd"/>
      <w:r w:rsidR="001C4971" w:rsidRPr="008F0A02">
        <w:rPr>
          <w:lang w:val="en-GB"/>
        </w:rPr>
        <w:t xml:space="preserve"> the Plaintiff by grabbing him and put him down to the ground in an attempt to control him’ (sic). In terms of an amended plea, the respondent </w:t>
      </w:r>
      <w:r w:rsidR="009512CC" w:rsidRPr="008F0A02">
        <w:rPr>
          <w:lang w:val="en-GB"/>
        </w:rPr>
        <w:t>indicated</w:t>
      </w:r>
      <w:r w:rsidR="001C4971" w:rsidRPr="008F0A02">
        <w:rPr>
          <w:lang w:val="en-GB"/>
        </w:rPr>
        <w:t xml:space="preserve"> that its members had used a degree of force as was reasonably necessary to defend themselves or to restrain or search the appellant. The appellant alleged that the assault took the form of being dragged out of a classroom, being thrown to the </w:t>
      </w:r>
      <w:proofErr w:type="gramStart"/>
      <w:r w:rsidR="001C4971" w:rsidRPr="008F0A02">
        <w:rPr>
          <w:lang w:val="en-GB"/>
        </w:rPr>
        <w:t>ground</w:t>
      </w:r>
      <w:proofErr w:type="gramEnd"/>
      <w:r w:rsidR="001C4971" w:rsidRPr="008F0A02">
        <w:rPr>
          <w:lang w:val="en-GB"/>
        </w:rPr>
        <w:t xml:space="preserve"> and tramped by a police officer.</w:t>
      </w:r>
    </w:p>
    <w:p w14:paraId="77F32D5B" w14:textId="77777777" w:rsidR="001C4971" w:rsidRPr="00D30CEE" w:rsidRDefault="001C4971" w:rsidP="008A53E2">
      <w:pPr>
        <w:autoSpaceDE w:val="0"/>
        <w:autoSpaceDN w:val="0"/>
        <w:adjustRightInd w:val="0"/>
        <w:jc w:val="both"/>
        <w:rPr>
          <w:lang w:val="en-GB"/>
        </w:rPr>
      </w:pPr>
    </w:p>
    <w:p w14:paraId="471FF78A" w14:textId="6E335830" w:rsidR="001C4971" w:rsidRPr="008F0A02" w:rsidRDefault="008F0A02" w:rsidP="008F0A02">
      <w:pPr>
        <w:autoSpaceDE w:val="0"/>
        <w:autoSpaceDN w:val="0"/>
        <w:adjustRightInd w:val="0"/>
        <w:jc w:val="both"/>
        <w:rPr>
          <w:lang w:val="en-GB"/>
        </w:rPr>
      </w:pPr>
      <w:r w:rsidRPr="002F6DAE">
        <w:rPr>
          <w:lang w:val="en-GB"/>
        </w:rPr>
        <w:t>[3]</w:t>
      </w:r>
      <w:r w:rsidRPr="002F6DAE">
        <w:rPr>
          <w:lang w:val="en-GB"/>
        </w:rPr>
        <w:tab/>
      </w:r>
      <w:r w:rsidR="001C4971" w:rsidRPr="008F0A02">
        <w:rPr>
          <w:lang w:val="en-GB"/>
        </w:rPr>
        <w:t xml:space="preserve">The presiding magistrate drew an adverse inference from the appellant’s failure to call witnesses and from his description of events. The magistrate also found that the injuries sustained were, on the probabilities, sustained </w:t>
      </w:r>
      <w:proofErr w:type="gramStart"/>
      <w:r w:rsidR="001C4971" w:rsidRPr="008F0A02">
        <w:rPr>
          <w:lang w:val="en-GB"/>
        </w:rPr>
        <w:t>as a result of</w:t>
      </w:r>
      <w:proofErr w:type="gramEnd"/>
      <w:r w:rsidR="001C4971" w:rsidRPr="008F0A02">
        <w:rPr>
          <w:lang w:val="en-GB"/>
        </w:rPr>
        <w:t xml:space="preserve"> a fall rather than an assault. This followed the magistrate’s attempt to evaluate the irreconcilable versions of the parties as to the likely cause of the injuries. </w:t>
      </w:r>
    </w:p>
    <w:p w14:paraId="30685029" w14:textId="77777777" w:rsidR="001C4971" w:rsidRPr="00572ABA" w:rsidRDefault="001C4971" w:rsidP="008A53E2">
      <w:pPr>
        <w:autoSpaceDE w:val="0"/>
        <w:autoSpaceDN w:val="0"/>
        <w:adjustRightInd w:val="0"/>
        <w:jc w:val="both"/>
        <w:rPr>
          <w:lang w:val="en-GB"/>
        </w:rPr>
      </w:pPr>
    </w:p>
    <w:p w14:paraId="2CD8055E" w14:textId="3782291C" w:rsidR="001C4971" w:rsidRPr="008F0A02" w:rsidRDefault="008F0A02" w:rsidP="008F0A02">
      <w:pPr>
        <w:autoSpaceDE w:val="0"/>
        <w:autoSpaceDN w:val="0"/>
        <w:adjustRightInd w:val="0"/>
        <w:jc w:val="both"/>
        <w:rPr>
          <w:lang w:val="en-GB"/>
        </w:rPr>
      </w:pPr>
      <w:r>
        <w:rPr>
          <w:lang w:val="en-GB"/>
        </w:rPr>
        <w:t>[4]</w:t>
      </w:r>
      <w:r>
        <w:rPr>
          <w:lang w:val="en-GB"/>
        </w:rPr>
        <w:tab/>
      </w:r>
      <w:r w:rsidR="001C4971" w:rsidRPr="008F0A02">
        <w:rPr>
          <w:lang w:val="en-GB"/>
        </w:rPr>
        <w:t xml:space="preserve">There is a presumption that the trial court’s evaluation of the evidence is </w:t>
      </w:r>
      <w:proofErr w:type="gramStart"/>
      <w:r w:rsidR="001C4971" w:rsidRPr="008F0A02">
        <w:rPr>
          <w:lang w:val="en-GB"/>
        </w:rPr>
        <w:t>correct</w:t>
      </w:r>
      <w:proofErr w:type="gramEnd"/>
      <w:r w:rsidR="001C4971" w:rsidRPr="008F0A02">
        <w:rPr>
          <w:lang w:val="en-GB"/>
        </w:rPr>
        <w:t xml:space="preserve"> and it will only be disregarded if it is clearly wrong. The trial court has advantages over an appellate court in seeing and hearing the witnesses and in being steeped in the atmosphere of the trial, having had the opportunity to observe demeanour. There may be a misdirection of fact by the trial magistrate where the reasons are either on their face unsatisfactory or where the record shows them to be such. There may also be a misdirection where, though the reasons as far as they go are satisfactory, the presiding officer is shown to have overlooked other facts or probabilities. The appellate court is then at liberty to disregard the court a quo’s findings of fact, even though based on credibility, and to come to its own conclusion on the matter. Where there has been no misdirection on fact by the trial magistrate, the presumption is that their conclusion is </w:t>
      </w:r>
      <w:proofErr w:type="gramStart"/>
      <w:r w:rsidR="001C4971" w:rsidRPr="008F0A02">
        <w:rPr>
          <w:lang w:val="en-GB"/>
        </w:rPr>
        <w:t>correct</w:t>
      </w:r>
      <w:proofErr w:type="gramEnd"/>
      <w:r w:rsidR="001C4971" w:rsidRPr="008F0A02">
        <w:rPr>
          <w:lang w:val="en-GB"/>
        </w:rPr>
        <w:t xml:space="preserve"> and the appellate court will only reverse it where it is convinced that it is wrong.</w:t>
      </w:r>
    </w:p>
    <w:p w14:paraId="7652C422" w14:textId="77777777" w:rsidR="001C4971" w:rsidRDefault="001C4971" w:rsidP="008A53E2">
      <w:pPr>
        <w:pStyle w:val="ListParagraph"/>
        <w:autoSpaceDE w:val="0"/>
        <w:autoSpaceDN w:val="0"/>
        <w:adjustRightInd w:val="0"/>
        <w:ind w:left="0"/>
        <w:jc w:val="both"/>
        <w:rPr>
          <w:lang w:val="en-GB"/>
        </w:rPr>
      </w:pPr>
    </w:p>
    <w:p w14:paraId="603B3626" w14:textId="6C325BFE" w:rsidR="001C4971" w:rsidRPr="008F0A02" w:rsidRDefault="008F0A02" w:rsidP="008F0A02">
      <w:pPr>
        <w:autoSpaceDE w:val="0"/>
        <w:autoSpaceDN w:val="0"/>
        <w:adjustRightInd w:val="0"/>
        <w:jc w:val="both"/>
        <w:rPr>
          <w:lang w:val="en-GB"/>
        </w:rPr>
      </w:pPr>
      <w:r>
        <w:rPr>
          <w:lang w:val="en-GB"/>
        </w:rPr>
        <w:t>[5]</w:t>
      </w:r>
      <w:r>
        <w:rPr>
          <w:lang w:val="en-GB"/>
        </w:rPr>
        <w:tab/>
      </w:r>
      <w:r w:rsidR="001C4971" w:rsidRPr="008F0A02">
        <w:rPr>
          <w:lang w:val="en-GB"/>
        </w:rPr>
        <w:t>In this case the magistrate misdirected herself in her assessment of the probabilities.</w:t>
      </w:r>
      <w:r w:rsidR="001C4971">
        <w:rPr>
          <w:rStyle w:val="FootnoteReference"/>
          <w:lang w:val="en-GB"/>
        </w:rPr>
        <w:footnoteReference w:id="1"/>
      </w:r>
      <w:r w:rsidR="001C4971" w:rsidRPr="008F0A02">
        <w:rPr>
          <w:lang w:val="en-GB"/>
        </w:rPr>
        <w:t xml:space="preserve"> This is evinced by the drawing of an adverse inference against the appellant for failing to call his mother and the teacher in the classroom in support of </w:t>
      </w:r>
      <w:r w:rsidR="001C4971" w:rsidRPr="008F0A02">
        <w:rPr>
          <w:lang w:val="en-GB"/>
        </w:rPr>
        <w:lastRenderedPageBreak/>
        <w:t xml:space="preserve">his version. The magistrate did so without applying the applicable test for drawing an adverse inference. There was, for example, no consideration that the teacher would have been equally available as a witness to the respondent. Whether the teacher would have been </w:t>
      </w:r>
      <w:proofErr w:type="gramStart"/>
      <w:r w:rsidR="001C4971" w:rsidRPr="008F0A02">
        <w:rPr>
          <w:lang w:val="en-GB"/>
        </w:rPr>
        <w:t>in a position</w:t>
      </w:r>
      <w:proofErr w:type="gramEnd"/>
      <w:r w:rsidR="001C4971" w:rsidRPr="008F0A02">
        <w:rPr>
          <w:lang w:val="en-GB"/>
        </w:rPr>
        <w:t xml:space="preserve"> to elucidate the facts was also not considered. The availability of the appellant’s mother was also not canvassed during the trial, despite the appellant indicating that she was sick. In short, the position of the two potential witnesses was not interrogated and no inference unfavourable to the appellant could properly be drawn.</w:t>
      </w:r>
      <w:r w:rsidR="001C4971">
        <w:rPr>
          <w:rStyle w:val="FootnoteReference"/>
          <w:lang w:val="en-GB"/>
        </w:rPr>
        <w:footnoteReference w:id="2"/>
      </w:r>
      <w:r w:rsidR="001C4971" w:rsidRPr="008F0A02">
        <w:rPr>
          <w:lang w:val="en-GB"/>
        </w:rPr>
        <w:t xml:space="preserve"> </w:t>
      </w:r>
    </w:p>
    <w:p w14:paraId="5A993BED" w14:textId="77777777" w:rsidR="001C4971" w:rsidRPr="00F87F90" w:rsidRDefault="001C4971" w:rsidP="008A53E2">
      <w:pPr>
        <w:pStyle w:val="ListParagraph"/>
        <w:ind w:left="0"/>
        <w:rPr>
          <w:lang w:val="en-GB"/>
        </w:rPr>
      </w:pPr>
    </w:p>
    <w:p w14:paraId="439CD10F" w14:textId="55ADCE20" w:rsidR="001C4971" w:rsidRPr="008F0A02" w:rsidRDefault="008F0A02" w:rsidP="008F0A02">
      <w:pPr>
        <w:autoSpaceDE w:val="0"/>
        <w:autoSpaceDN w:val="0"/>
        <w:adjustRightInd w:val="0"/>
        <w:jc w:val="both"/>
        <w:rPr>
          <w:lang w:val="en-GB"/>
        </w:rPr>
      </w:pPr>
      <w:r>
        <w:rPr>
          <w:lang w:val="en-GB"/>
        </w:rPr>
        <w:t>[6]</w:t>
      </w:r>
      <w:r>
        <w:rPr>
          <w:lang w:val="en-GB"/>
        </w:rPr>
        <w:tab/>
      </w:r>
      <w:r w:rsidR="001C4971" w:rsidRPr="008F0A02">
        <w:rPr>
          <w:lang w:val="en-GB"/>
        </w:rPr>
        <w:t>The magistrate also misdirected herself in finding that the force used to bring the appellant to the ground was not ‘sufficient to constitute an unlawful act of assault’ and that ‘the interference with his bodily integrity was justified in the circumstances where the police were of the view that he was possibly armed’. In coming to this conclusion, the magistrate gave no consideration to the wording of Section 27(1) of the Criminal Procedure Act, 1977,</w:t>
      </w:r>
      <w:r w:rsidR="001C4971">
        <w:rPr>
          <w:rStyle w:val="FootnoteReference"/>
          <w:lang w:val="en-GB"/>
        </w:rPr>
        <w:footnoteReference w:id="3"/>
      </w:r>
      <w:r w:rsidR="001C4971" w:rsidRPr="008F0A02">
        <w:rPr>
          <w:lang w:val="en-GB"/>
        </w:rPr>
        <w:t xml:space="preserve"> (‘the Act’) which provides, in part:</w:t>
      </w:r>
      <w:r w:rsidR="001C4971">
        <w:rPr>
          <w:rStyle w:val="FootnoteReference"/>
          <w:lang w:val="en-GB"/>
        </w:rPr>
        <w:footnoteReference w:id="4"/>
      </w:r>
    </w:p>
    <w:p w14:paraId="720CFDBE" w14:textId="77777777" w:rsidR="001C4971" w:rsidRDefault="001C4971" w:rsidP="008A53E2">
      <w:pPr>
        <w:autoSpaceDE w:val="0"/>
        <w:autoSpaceDN w:val="0"/>
        <w:adjustRightInd w:val="0"/>
        <w:jc w:val="both"/>
        <w:rPr>
          <w:sz w:val="22"/>
          <w:szCs w:val="22"/>
          <w:lang w:val="en-GB"/>
        </w:rPr>
      </w:pPr>
      <w:r>
        <w:rPr>
          <w:sz w:val="22"/>
          <w:szCs w:val="22"/>
          <w:lang w:val="en-GB"/>
        </w:rPr>
        <w:t>‘A police officer who may lawfully search any person or any premises … may use such force as may be reasonably necessary to overcome any resistance against such search …’</w:t>
      </w:r>
    </w:p>
    <w:p w14:paraId="776F654B" w14:textId="77777777" w:rsidR="001C4971" w:rsidRPr="0036149B" w:rsidRDefault="001C4971" w:rsidP="008A53E2">
      <w:pPr>
        <w:autoSpaceDE w:val="0"/>
        <w:autoSpaceDN w:val="0"/>
        <w:adjustRightInd w:val="0"/>
        <w:jc w:val="both"/>
        <w:rPr>
          <w:sz w:val="22"/>
          <w:szCs w:val="22"/>
          <w:lang w:val="en-GB"/>
        </w:rPr>
      </w:pPr>
    </w:p>
    <w:p w14:paraId="078DF772" w14:textId="5B098631" w:rsidR="001C4971" w:rsidRPr="008F0A02" w:rsidRDefault="008F0A02" w:rsidP="008F0A02">
      <w:pPr>
        <w:autoSpaceDE w:val="0"/>
        <w:autoSpaceDN w:val="0"/>
        <w:adjustRightInd w:val="0"/>
        <w:jc w:val="both"/>
        <w:rPr>
          <w:lang w:val="en-GB"/>
        </w:rPr>
      </w:pPr>
      <w:r>
        <w:rPr>
          <w:lang w:val="en-GB"/>
        </w:rPr>
        <w:t>[7]</w:t>
      </w:r>
      <w:r>
        <w:rPr>
          <w:lang w:val="en-GB"/>
        </w:rPr>
        <w:tab/>
      </w:r>
      <w:r w:rsidR="00215224" w:rsidRPr="008F0A02">
        <w:rPr>
          <w:lang w:val="en-GB"/>
        </w:rPr>
        <w:t>B</w:t>
      </w:r>
      <w:r w:rsidR="00BA046C" w:rsidRPr="008F0A02">
        <w:rPr>
          <w:lang w:val="en-GB"/>
        </w:rPr>
        <w:t xml:space="preserve">y time the search took place, any resistance on the part of the appellant had crumbled. </w:t>
      </w:r>
      <w:r w:rsidR="001C4971" w:rsidRPr="008F0A02">
        <w:rPr>
          <w:lang w:val="en-GB"/>
        </w:rPr>
        <w:t xml:space="preserve">The magistrate’s approach ignores Humphries’ evidence that he had engaged with the appellant for some 15 to 20 minutes and had managed to convince him to come out willingly, having asked him to do so on approximately three occasions. Humphries advised the appellant that he was a police </w:t>
      </w:r>
      <w:proofErr w:type="gramStart"/>
      <w:r w:rsidR="001C4971" w:rsidRPr="008F0A02">
        <w:rPr>
          <w:lang w:val="en-GB"/>
        </w:rPr>
        <w:t>officer</w:t>
      </w:r>
      <w:proofErr w:type="gramEnd"/>
      <w:r w:rsidR="001C4971" w:rsidRPr="008F0A02">
        <w:rPr>
          <w:lang w:val="en-GB"/>
        </w:rPr>
        <w:t xml:space="preserve"> and nothing would happen to him when he exited the classroom. Having done so of his own free will, he was physically ‘taken down’ without being asked. This is consistent with Humphries’ written statement that ‘the police were forcing him to go to the ground to search him for a possible firearm in his possession’. </w:t>
      </w:r>
    </w:p>
    <w:p w14:paraId="6C5A7401" w14:textId="77777777" w:rsidR="001C4971" w:rsidRDefault="001C4971" w:rsidP="008A53E2">
      <w:pPr>
        <w:pStyle w:val="ListParagraph"/>
        <w:autoSpaceDE w:val="0"/>
        <w:autoSpaceDN w:val="0"/>
        <w:adjustRightInd w:val="0"/>
        <w:ind w:left="0"/>
        <w:jc w:val="both"/>
        <w:rPr>
          <w:lang w:val="en-GB"/>
        </w:rPr>
      </w:pPr>
    </w:p>
    <w:p w14:paraId="65212EEA" w14:textId="44AD42EB" w:rsidR="001C4971" w:rsidRPr="008F0A02" w:rsidRDefault="008F0A02" w:rsidP="008F0A02">
      <w:pPr>
        <w:autoSpaceDE w:val="0"/>
        <w:autoSpaceDN w:val="0"/>
        <w:adjustRightInd w:val="0"/>
        <w:jc w:val="both"/>
        <w:rPr>
          <w:lang w:val="en-GB"/>
        </w:rPr>
      </w:pPr>
      <w:r>
        <w:rPr>
          <w:lang w:val="en-GB"/>
        </w:rPr>
        <w:lastRenderedPageBreak/>
        <w:t>[8]</w:t>
      </w:r>
      <w:r>
        <w:rPr>
          <w:lang w:val="en-GB"/>
        </w:rPr>
        <w:tab/>
      </w:r>
      <w:r w:rsidR="001C4971" w:rsidRPr="008F0A02">
        <w:rPr>
          <w:lang w:val="en-GB"/>
        </w:rPr>
        <w:t xml:space="preserve">Given these </w:t>
      </w:r>
      <w:proofErr w:type="spellStart"/>
      <w:r w:rsidR="001C4971" w:rsidRPr="008F0A02">
        <w:rPr>
          <w:lang w:val="en-GB"/>
        </w:rPr>
        <w:t>misdirections</w:t>
      </w:r>
      <w:proofErr w:type="spellEnd"/>
      <w:r w:rsidR="001C4971" w:rsidRPr="008F0A02">
        <w:rPr>
          <w:lang w:val="en-GB"/>
        </w:rPr>
        <w:t xml:space="preserve">, this court is </w:t>
      </w:r>
      <w:proofErr w:type="gramStart"/>
      <w:r w:rsidR="001C4971" w:rsidRPr="008F0A02">
        <w:rPr>
          <w:lang w:val="en-GB"/>
        </w:rPr>
        <w:t>in a position</w:t>
      </w:r>
      <w:proofErr w:type="gramEnd"/>
      <w:r w:rsidR="001C4971" w:rsidRPr="008F0A02">
        <w:rPr>
          <w:lang w:val="en-GB"/>
        </w:rPr>
        <w:t xml:space="preserve"> to disregard the court a quo’s findings of fact, even though based on credibility, and come to its own conclusion on the matter. This court’s analysis of the material dimensions of the evidence follows.</w:t>
      </w:r>
    </w:p>
    <w:p w14:paraId="4511BE38" w14:textId="77777777" w:rsidR="001C4971" w:rsidRPr="003C0416" w:rsidRDefault="001C4971" w:rsidP="008A53E2">
      <w:pPr>
        <w:autoSpaceDE w:val="0"/>
        <w:autoSpaceDN w:val="0"/>
        <w:adjustRightInd w:val="0"/>
        <w:jc w:val="both"/>
        <w:rPr>
          <w:lang w:val="en-GB"/>
        </w:rPr>
      </w:pPr>
    </w:p>
    <w:p w14:paraId="54BB43CF" w14:textId="20E6E002" w:rsidR="001C4971" w:rsidRPr="008F0A02" w:rsidRDefault="008F0A02" w:rsidP="008F0A02">
      <w:pPr>
        <w:autoSpaceDE w:val="0"/>
        <w:autoSpaceDN w:val="0"/>
        <w:adjustRightInd w:val="0"/>
        <w:jc w:val="both"/>
        <w:rPr>
          <w:lang w:val="en-GB"/>
        </w:rPr>
      </w:pPr>
      <w:r>
        <w:rPr>
          <w:lang w:val="en-GB"/>
        </w:rPr>
        <w:t>[9]</w:t>
      </w:r>
      <w:r>
        <w:rPr>
          <w:lang w:val="en-GB"/>
        </w:rPr>
        <w:tab/>
      </w:r>
      <w:r w:rsidR="001C4971" w:rsidRPr="008F0A02">
        <w:rPr>
          <w:lang w:val="en-GB"/>
        </w:rPr>
        <w:t xml:space="preserve">The appellant was stopped by police in an unmarked vehicle in </w:t>
      </w:r>
      <w:proofErr w:type="gramStart"/>
      <w:r w:rsidR="001C4971" w:rsidRPr="008F0A02">
        <w:rPr>
          <w:lang w:val="en-GB"/>
        </w:rPr>
        <w:t>Gelvandale, and</w:t>
      </w:r>
      <w:proofErr w:type="gramEnd"/>
      <w:r w:rsidR="001C4971" w:rsidRPr="008F0A02">
        <w:rPr>
          <w:lang w:val="en-GB"/>
        </w:rPr>
        <w:t xml:space="preserve"> fled the scene on foot. Constable Holster was following the appellant at close quarters, so much so that he was able to describe what the appellant had been doing with the bag he was carrying. On his version, he only lost sight of him for a time once the appellant had entered the school premises and was running in the corridors of the school. During the chase he was alone behind the appellant. His </w:t>
      </w:r>
      <w:proofErr w:type="gramStart"/>
      <w:r w:rsidR="001C4971" w:rsidRPr="008F0A02">
        <w:rPr>
          <w:lang w:val="en-GB"/>
        </w:rPr>
        <w:t>pocket book</w:t>
      </w:r>
      <w:proofErr w:type="gramEnd"/>
      <w:r w:rsidR="001C4971" w:rsidRPr="008F0A02">
        <w:rPr>
          <w:lang w:val="en-GB"/>
        </w:rPr>
        <w:t xml:space="preserve"> entry and report made contemporaneously made no reference to the appellant having fallen to the ground during the chase. Holster could only speculate during the trial that the appellant might have fallen during the chase. His state of mind was that the appellant was still a danger, carrying a bag with unknown contents and possibly armed. He testified that he acted in the interests of his own safety ‘and for the safety of the people around me … I am in direct contact, that is what I am trained to do, to neutralise a dangerous situation, which it was at that stage for me …’ He held a gun while doing so and was poised to counter-act any actions on the part of the appellant.</w:t>
      </w:r>
    </w:p>
    <w:p w14:paraId="2F253165" w14:textId="77777777" w:rsidR="001C4971" w:rsidRPr="00EC118F" w:rsidRDefault="001C4971" w:rsidP="008A53E2">
      <w:pPr>
        <w:pStyle w:val="ListParagraph"/>
        <w:ind w:left="0"/>
        <w:rPr>
          <w:lang w:val="en-GB"/>
        </w:rPr>
      </w:pPr>
    </w:p>
    <w:p w14:paraId="40E4B753" w14:textId="7691DB4C" w:rsidR="001C4971" w:rsidRPr="008F0A02" w:rsidRDefault="008F0A02" w:rsidP="008F0A02">
      <w:pPr>
        <w:autoSpaceDE w:val="0"/>
        <w:autoSpaceDN w:val="0"/>
        <w:adjustRightInd w:val="0"/>
        <w:jc w:val="both"/>
        <w:rPr>
          <w:lang w:val="en-GB"/>
        </w:rPr>
      </w:pPr>
      <w:r>
        <w:rPr>
          <w:lang w:val="en-GB"/>
        </w:rPr>
        <w:t>[10]</w:t>
      </w:r>
      <w:r>
        <w:rPr>
          <w:lang w:val="en-GB"/>
        </w:rPr>
        <w:tab/>
      </w:r>
      <w:r w:rsidR="001C4971" w:rsidRPr="008F0A02">
        <w:rPr>
          <w:lang w:val="en-GB"/>
        </w:rPr>
        <w:t xml:space="preserve">As for Fritz, his testimony was correctly criticised by the magistrate for its vagueness. Yet the magistrate failed to consider that evidence together with the evidence of Holster and the appellant in assessing the probabilities. Fritz’s testimony was, in material respects, unreliable. The record reflects that he was a particularly poor witness. He stated that he saw the appellant fall somewhere outside the school while he was in a car with Slater. Yet he and Slater had driven around the school </w:t>
      </w:r>
      <w:proofErr w:type="gramStart"/>
      <w:r w:rsidR="001C4971" w:rsidRPr="008F0A02">
        <w:rPr>
          <w:lang w:val="en-GB"/>
        </w:rPr>
        <w:t>in order to</w:t>
      </w:r>
      <w:proofErr w:type="gramEnd"/>
      <w:r w:rsidR="001C4971" w:rsidRPr="008F0A02">
        <w:rPr>
          <w:lang w:val="en-GB"/>
        </w:rPr>
        <w:t xml:space="preserve"> prevent the appellant from exiting the school on the other side from where the appellant had entered that premises. How Fritz could then have seen the appellant falling was not properly canvassed during evidence. The magistrate’s acceptance of that version also ignores the reality that Holster was pursuing at </w:t>
      </w:r>
      <w:proofErr w:type="gramStart"/>
      <w:r w:rsidR="001C4971" w:rsidRPr="008F0A02">
        <w:rPr>
          <w:lang w:val="en-GB"/>
        </w:rPr>
        <w:t>fairly close</w:t>
      </w:r>
      <w:proofErr w:type="gramEnd"/>
      <w:r w:rsidR="001C4971" w:rsidRPr="008F0A02">
        <w:rPr>
          <w:lang w:val="en-GB"/>
        </w:rPr>
        <w:t xml:space="preserve"> quarters, as confirmed by Fritz, and saw no such fall outside the school premises. On Fritz’s initial version, Holster was running behind the appellant at the time of the fall somewhere in a concrete quadrangle and should have observed the fall clearly. Later he backtracked on this aspect, initially saying that he had not seen Holster at the time and then conceding that he could not recall aspects of what had occurred. Had the </w:t>
      </w:r>
      <w:r w:rsidR="001C4971" w:rsidRPr="008F0A02">
        <w:rPr>
          <w:lang w:val="en-GB"/>
        </w:rPr>
        <w:lastRenderedPageBreak/>
        <w:t>appellant fallen in an open space outside the school buildings, and given the suggested nature of the fall, it is likely that Holster would have been able to catch and apprehend the appellant at that moment. The record reflects clearly that the ‘tactical’ portion of Holster’s chase was only inside the school premises, where Holster lost sight of the appellant while he ran in the cloisters. At that stage there were no other police officers in the vicinity. Fritz’s testimony that he saw the appellant fall hard onto concrete outside the school premises, somewhere towards the back side of the school, while still in the vehicle outside the school premises, must be rejected.</w:t>
      </w:r>
    </w:p>
    <w:p w14:paraId="2159B782" w14:textId="77777777" w:rsidR="001C4971" w:rsidRPr="00E178EA" w:rsidRDefault="001C4971" w:rsidP="008A53E2">
      <w:pPr>
        <w:pStyle w:val="ListParagraph"/>
        <w:ind w:left="0"/>
        <w:rPr>
          <w:lang w:val="en-GB"/>
        </w:rPr>
      </w:pPr>
    </w:p>
    <w:p w14:paraId="09E1AD3A" w14:textId="544FF8B7" w:rsidR="001C4971" w:rsidRPr="008F0A02" w:rsidRDefault="008F0A02" w:rsidP="008F0A02">
      <w:pPr>
        <w:autoSpaceDE w:val="0"/>
        <w:autoSpaceDN w:val="0"/>
        <w:adjustRightInd w:val="0"/>
        <w:jc w:val="both"/>
        <w:rPr>
          <w:lang w:val="en-GB"/>
        </w:rPr>
      </w:pPr>
      <w:r>
        <w:rPr>
          <w:lang w:val="en-GB"/>
        </w:rPr>
        <w:t>[11]</w:t>
      </w:r>
      <w:r>
        <w:rPr>
          <w:lang w:val="en-GB"/>
        </w:rPr>
        <w:tab/>
      </w:r>
      <w:r w:rsidR="001C4971" w:rsidRPr="008F0A02">
        <w:rPr>
          <w:lang w:val="en-GB"/>
        </w:rPr>
        <w:t xml:space="preserve">Humphries rightly conceded during cross-examination that a degree of force was used. He also testified that there was no threat to any of the police officers on the scene when the appellant exited the classroom. The appellant did so in a non-suspicious manner, with his hands visible. Three armed police officers were present at that moment. Their firearms were not drawn, indicating that the nature of the discussion with the appellant while he was in the classroom was such that there was no sense that he posed any danger. The police did not expect there to be any violence when the appellant exited the classroom. As Humphries acknowledged, the appellant could then simply have been instructed to lay on his stomach </w:t>
      </w:r>
      <w:proofErr w:type="gramStart"/>
      <w:r w:rsidR="001C4971" w:rsidRPr="008F0A02">
        <w:rPr>
          <w:lang w:val="en-GB"/>
        </w:rPr>
        <w:t>in order to</w:t>
      </w:r>
      <w:proofErr w:type="gramEnd"/>
      <w:r w:rsidR="001C4971" w:rsidRPr="008F0A02">
        <w:rPr>
          <w:lang w:val="en-GB"/>
        </w:rPr>
        <w:t xml:space="preserve"> be searched, as opposed to a rigorous application of the Standard Operating Procedures in these circumstances. Instead, he was, to use the words used by Holster, grabbed on his </w:t>
      </w:r>
      <w:proofErr w:type="gramStart"/>
      <w:r w:rsidR="001C4971" w:rsidRPr="008F0A02">
        <w:rPr>
          <w:lang w:val="en-GB"/>
        </w:rPr>
        <w:t>body</w:t>
      </w:r>
      <w:proofErr w:type="gramEnd"/>
      <w:r w:rsidR="001C4971" w:rsidRPr="008F0A02">
        <w:rPr>
          <w:lang w:val="en-GB"/>
        </w:rPr>
        <w:t xml:space="preserve"> and put down on the ground, while Holster screamed at him and kept his hand on him. </w:t>
      </w:r>
    </w:p>
    <w:p w14:paraId="31BF49FC" w14:textId="77777777" w:rsidR="001C4971" w:rsidRPr="003C0416" w:rsidRDefault="001C4971" w:rsidP="008A53E2">
      <w:pPr>
        <w:autoSpaceDE w:val="0"/>
        <w:autoSpaceDN w:val="0"/>
        <w:adjustRightInd w:val="0"/>
        <w:jc w:val="both"/>
        <w:rPr>
          <w:lang w:val="en-GB"/>
        </w:rPr>
      </w:pPr>
    </w:p>
    <w:p w14:paraId="12862011" w14:textId="10843407" w:rsidR="001C4971" w:rsidRPr="008F0A02" w:rsidRDefault="008F0A02" w:rsidP="008F0A02">
      <w:pPr>
        <w:autoSpaceDE w:val="0"/>
        <w:autoSpaceDN w:val="0"/>
        <w:adjustRightInd w:val="0"/>
        <w:jc w:val="both"/>
        <w:rPr>
          <w:lang w:val="en-GB"/>
        </w:rPr>
      </w:pPr>
      <w:r>
        <w:rPr>
          <w:lang w:val="en-GB"/>
        </w:rPr>
        <w:t>[12]</w:t>
      </w:r>
      <w:r>
        <w:rPr>
          <w:lang w:val="en-GB"/>
        </w:rPr>
        <w:tab/>
      </w:r>
      <w:r w:rsidR="001C4971" w:rsidRPr="008F0A02">
        <w:rPr>
          <w:lang w:val="en-GB"/>
        </w:rPr>
        <w:t xml:space="preserve">It is trite that an assault violates a person’s bodily integrity. A person who has been assaulted enjoys a cause of action based on the </w:t>
      </w:r>
      <w:proofErr w:type="spellStart"/>
      <w:r w:rsidR="001C4971" w:rsidRPr="008F0A02">
        <w:rPr>
          <w:i/>
          <w:iCs/>
          <w:lang w:val="en-GB"/>
        </w:rPr>
        <w:t>actio</w:t>
      </w:r>
      <w:proofErr w:type="spellEnd"/>
      <w:r w:rsidR="001C4971" w:rsidRPr="008F0A02">
        <w:rPr>
          <w:i/>
          <w:iCs/>
          <w:lang w:val="en-GB"/>
        </w:rPr>
        <w:t xml:space="preserve"> </w:t>
      </w:r>
      <w:proofErr w:type="spellStart"/>
      <w:r w:rsidR="001C4971" w:rsidRPr="008F0A02">
        <w:rPr>
          <w:i/>
          <w:iCs/>
          <w:lang w:val="en-GB"/>
        </w:rPr>
        <w:t>iniuriarum</w:t>
      </w:r>
      <w:proofErr w:type="spellEnd"/>
      <w:r w:rsidR="001C4971" w:rsidRPr="008F0A02">
        <w:rPr>
          <w:lang w:val="en-GB"/>
        </w:rPr>
        <w:t>. Every infringement of the bodily integrity of another is prima facie unlawful. It is for the plaintiff to prove the fact of physical interference. The plaintiff must</w:t>
      </w:r>
      <w:proofErr w:type="gramStart"/>
      <w:r w:rsidR="001C4971" w:rsidRPr="008F0A02">
        <w:rPr>
          <w:lang w:val="en-GB"/>
        </w:rPr>
        <w:t>, generally speaking, allege</w:t>
      </w:r>
      <w:proofErr w:type="gramEnd"/>
      <w:r w:rsidR="001C4971" w:rsidRPr="008F0A02">
        <w:rPr>
          <w:lang w:val="en-GB"/>
        </w:rPr>
        <w:t xml:space="preserve"> and prove facts which prima facie and objectively indicate an assault. The onus of alleging and proving an excuse or justification for the assault rests on the defendant. The onus lies on a defendant who admits the ‘assault’ to prove the lawfulness of the ‘assault’. </w:t>
      </w:r>
    </w:p>
    <w:p w14:paraId="3E88E5A5" w14:textId="77777777" w:rsidR="001C4971" w:rsidRPr="00C67098" w:rsidRDefault="001C4971" w:rsidP="008A53E2">
      <w:pPr>
        <w:pStyle w:val="ListParagraph"/>
        <w:ind w:left="0"/>
        <w:rPr>
          <w:lang w:val="en-GB"/>
        </w:rPr>
      </w:pPr>
    </w:p>
    <w:p w14:paraId="24DED0FF" w14:textId="63F55FD6" w:rsidR="001C4971" w:rsidRPr="008F0A02" w:rsidRDefault="008F0A02" w:rsidP="008F0A02">
      <w:pPr>
        <w:autoSpaceDE w:val="0"/>
        <w:autoSpaceDN w:val="0"/>
        <w:adjustRightInd w:val="0"/>
        <w:jc w:val="both"/>
        <w:rPr>
          <w:lang w:val="en-GB"/>
        </w:rPr>
      </w:pPr>
      <w:r>
        <w:rPr>
          <w:lang w:val="en-GB"/>
        </w:rPr>
        <w:t>[13]</w:t>
      </w:r>
      <w:r>
        <w:rPr>
          <w:lang w:val="en-GB"/>
        </w:rPr>
        <w:tab/>
      </w:r>
      <w:proofErr w:type="gramStart"/>
      <w:r w:rsidR="001C4971" w:rsidRPr="008F0A02">
        <w:rPr>
          <w:lang w:val="en-GB"/>
        </w:rPr>
        <w:t>It is clear that the</w:t>
      </w:r>
      <w:proofErr w:type="gramEnd"/>
      <w:r w:rsidR="001C4971" w:rsidRPr="008F0A02">
        <w:rPr>
          <w:lang w:val="en-GB"/>
        </w:rPr>
        <w:t xml:space="preserve"> appellant had surrendered to the police by time he exited the classroom. He was certainly not resisting a search of his person. The </w:t>
      </w:r>
      <w:proofErr w:type="gramStart"/>
      <w:r w:rsidR="001C4971" w:rsidRPr="008F0A02">
        <w:rPr>
          <w:lang w:val="en-GB"/>
        </w:rPr>
        <w:t>manner in which</w:t>
      </w:r>
      <w:proofErr w:type="gramEnd"/>
      <w:r w:rsidR="001C4971" w:rsidRPr="008F0A02">
        <w:rPr>
          <w:lang w:val="en-GB"/>
        </w:rPr>
        <w:t xml:space="preserve"> </w:t>
      </w:r>
      <w:r w:rsidR="001C4971" w:rsidRPr="008F0A02">
        <w:rPr>
          <w:lang w:val="en-GB"/>
        </w:rPr>
        <w:lastRenderedPageBreak/>
        <w:t xml:space="preserve">he was forcibly manhandled amounts to an assault without justification. Put differently, it was simply unnecessary for the appellant to be grabbed and put to the floor in the </w:t>
      </w:r>
      <w:proofErr w:type="gramStart"/>
      <w:r w:rsidR="001C4971" w:rsidRPr="008F0A02">
        <w:rPr>
          <w:lang w:val="en-GB"/>
        </w:rPr>
        <w:t>manner in which</w:t>
      </w:r>
      <w:proofErr w:type="gramEnd"/>
      <w:r w:rsidR="001C4971" w:rsidRPr="008F0A02">
        <w:rPr>
          <w:lang w:val="en-GB"/>
        </w:rPr>
        <w:t xml:space="preserve"> this occurred. This amounts to a contravention of s 27(1) of the Act. The remaining issue is to determine whether the harm suffered by the appellant is attributable to that wrongful and intentional conduct.</w:t>
      </w:r>
    </w:p>
    <w:p w14:paraId="13048940" w14:textId="77777777" w:rsidR="001C4971" w:rsidRPr="00FE337D" w:rsidRDefault="001C4971" w:rsidP="008A53E2">
      <w:pPr>
        <w:pStyle w:val="ListParagraph"/>
        <w:ind w:left="0"/>
        <w:rPr>
          <w:lang w:val="en-GB"/>
        </w:rPr>
      </w:pPr>
    </w:p>
    <w:p w14:paraId="30122216" w14:textId="79D51798" w:rsidR="001C4971" w:rsidRPr="008F0A02" w:rsidRDefault="008F0A02" w:rsidP="008F0A02">
      <w:pPr>
        <w:autoSpaceDE w:val="0"/>
        <w:autoSpaceDN w:val="0"/>
        <w:adjustRightInd w:val="0"/>
        <w:jc w:val="both"/>
        <w:rPr>
          <w:lang w:val="en-GB"/>
        </w:rPr>
      </w:pPr>
      <w:r>
        <w:rPr>
          <w:lang w:val="en-GB"/>
        </w:rPr>
        <w:t>[14]</w:t>
      </w:r>
      <w:r>
        <w:rPr>
          <w:lang w:val="en-GB"/>
        </w:rPr>
        <w:tab/>
      </w:r>
      <w:r w:rsidR="001C4971" w:rsidRPr="008F0A02">
        <w:rPr>
          <w:lang w:val="en-GB"/>
        </w:rPr>
        <w:t>The injuries suffered by the appellant on the day are undeniable given the J88 report. The appellant testified as to the cause of those injuries. They are, as Humphries noted, of the kind that may well have resulted from forceful manhandling onto a concrete floor. There is no acceptable evidence to gainsay that explanation, the suggestions of a trip and fall during the chase amounting to conjecture. On the probabilities, the physical injuries suffered by the appellant were caused by his unnecessary treatment at the hands of Holster when he exited the classroom. This entitles him to an award of damages.</w:t>
      </w:r>
    </w:p>
    <w:p w14:paraId="42B2648F" w14:textId="77777777" w:rsidR="001C4971" w:rsidRPr="0049433E" w:rsidRDefault="001C4971" w:rsidP="008A53E2">
      <w:pPr>
        <w:pStyle w:val="ListParagraph"/>
        <w:ind w:left="0"/>
        <w:rPr>
          <w:lang w:val="en-GB"/>
        </w:rPr>
      </w:pPr>
    </w:p>
    <w:p w14:paraId="50C88F20" w14:textId="591BCF60" w:rsidR="001C4971" w:rsidRPr="008F0A02" w:rsidRDefault="008F0A02" w:rsidP="008F0A02">
      <w:pPr>
        <w:autoSpaceDE w:val="0"/>
        <w:autoSpaceDN w:val="0"/>
        <w:adjustRightInd w:val="0"/>
        <w:jc w:val="both"/>
        <w:rPr>
          <w:lang w:val="en-GB"/>
        </w:rPr>
      </w:pPr>
      <w:r>
        <w:rPr>
          <w:lang w:val="en-GB"/>
        </w:rPr>
        <w:t>[15]</w:t>
      </w:r>
      <w:r>
        <w:rPr>
          <w:lang w:val="en-GB"/>
        </w:rPr>
        <w:tab/>
      </w:r>
      <w:r w:rsidR="001C4971" w:rsidRPr="008F0A02">
        <w:rPr>
          <w:lang w:val="en-GB"/>
        </w:rPr>
        <w:t xml:space="preserve">The appellant claimed R80 000,00 in damages. This court has accepted, on the probabilities, that he was forcibly pushed to the ground in a manner that caused abrasions to his right knee, wrist, </w:t>
      </w:r>
      <w:proofErr w:type="gramStart"/>
      <w:r w:rsidR="001C4971" w:rsidRPr="008F0A02">
        <w:rPr>
          <w:lang w:val="en-GB"/>
        </w:rPr>
        <w:t>shoulder</w:t>
      </w:r>
      <w:proofErr w:type="gramEnd"/>
      <w:r w:rsidR="001C4971" w:rsidRPr="008F0A02">
        <w:rPr>
          <w:lang w:val="en-GB"/>
        </w:rPr>
        <w:t xml:space="preserve"> and elbow. He also experienced shock </w:t>
      </w:r>
      <w:proofErr w:type="gramStart"/>
      <w:r w:rsidR="001C4971" w:rsidRPr="008F0A02">
        <w:rPr>
          <w:lang w:val="en-GB"/>
        </w:rPr>
        <w:t>as a result of</w:t>
      </w:r>
      <w:proofErr w:type="gramEnd"/>
      <w:r w:rsidR="001C4971" w:rsidRPr="008F0A02">
        <w:rPr>
          <w:lang w:val="en-GB"/>
        </w:rPr>
        <w:t xml:space="preserve"> his ordeal, which occurred in view of members of the public. This court is obliged to consider, inter alia, the nature, </w:t>
      </w:r>
      <w:proofErr w:type="gramStart"/>
      <w:r w:rsidR="001C4971" w:rsidRPr="008F0A02">
        <w:rPr>
          <w:lang w:val="en-GB"/>
        </w:rPr>
        <w:t>extent</w:t>
      </w:r>
      <w:proofErr w:type="gramEnd"/>
      <w:r w:rsidR="001C4971" w:rsidRPr="008F0A02">
        <w:rPr>
          <w:lang w:val="en-GB"/>
        </w:rPr>
        <w:t xml:space="preserve"> and degree of the affront to his dignity and bodily integrity. An appropriate award must also be tempered with restraint and a proper regard to the value of money </w:t>
      </w:r>
      <w:proofErr w:type="gramStart"/>
      <w:r w:rsidR="001C4971" w:rsidRPr="008F0A02">
        <w:rPr>
          <w:lang w:val="en-GB"/>
        </w:rPr>
        <w:t>in order to</w:t>
      </w:r>
      <w:proofErr w:type="gramEnd"/>
      <w:r w:rsidR="001C4971" w:rsidRPr="008F0A02">
        <w:rPr>
          <w:lang w:val="en-GB"/>
        </w:rPr>
        <w:t xml:space="preserve"> avoid extravagant redress. Leaving aside the temporary shock, the injuries were nothing more than abrasions that would have been quick to heal. Ultimately, the damages awarded must be commensurate with the injuries inflicted, bearing in mind these realities and the facts of the case. In all the circumstances, an amount of R50 000,00 is fair and reasonable to both parties. </w:t>
      </w:r>
    </w:p>
    <w:p w14:paraId="39279BE9" w14:textId="77777777" w:rsidR="001C4971" w:rsidRPr="003A0DD3" w:rsidRDefault="001C4971" w:rsidP="008A53E2">
      <w:pPr>
        <w:pStyle w:val="ListParagraph"/>
        <w:ind w:left="0"/>
        <w:rPr>
          <w:lang w:val="en-GB"/>
        </w:rPr>
      </w:pPr>
    </w:p>
    <w:p w14:paraId="3F9518F4" w14:textId="4249AD70" w:rsidR="001C4971" w:rsidRPr="008F0A02" w:rsidRDefault="008F0A02" w:rsidP="008F0A02">
      <w:pPr>
        <w:autoSpaceDE w:val="0"/>
        <w:autoSpaceDN w:val="0"/>
        <w:adjustRightInd w:val="0"/>
        <w:jc w:val="both"/>
        <w:rPr>
          <w:lang w:val="en-GB"/>
        </w:rPr>
      </w:pPr>
      <w:r>
        <w:rPr>
          <w:lang w:val="en-GB"/>
        </w:rPr>
        <w:t>[16]</w:t>
      </w:r>
      <w:r>
        <w:rPr>
          <w:lang w:val="en-GB"/>
        </w:rPr>
        <w:tab/>
      </w:r>
      <w:r w:rsidR="001C4971" w:rsidRPr="008F0A02">
        <w:rPr>
          <w:lang w:val="en-GB"/>
        </w:rPr>
        <w:t>The appellant has succeeded in his appeal and is entitled to costs.</w:t>
      </w:r>
    </w:p>
    <w:p w14:paraId="55EB2447" w14:textId="6CFEAFA0" w:rsidR="001C4971" w:rsidRDefault="001C4971" w:rsidP="008A53E2">
      <w:pPr>
        <w:rPr>
          <w:lang w:val="en-GB"/>
        </w:rPr>
      </w:pPr>
    </w:p>
    <w:p w14:paraId="01A48C48" w14:textId="1923B0CC" w:rsidR="0062231B" w:rsidRDefault="0062231B" w:rsidP="008A53E2">
      <w:pPr>
        <w:rPr>
          <w:lang w:val="en-GB"/>
        </w:rPr>
      </w:pPr>
    </w:p>
    <w:p w14:paraId="09424177" w14:textId="4DD628AA" w:rsidR="0062231B" w:rsidRDefault="0062231B" w:rsidP="008A53E2">
      <w:pPr>
        <w:rPr>
          <w:lang w:val="en-GB"/>
        </w:rPr>
      </w:pPr>
    </w:p>
    <w:p w14:paraId="2BE2ED52" w14:textId="3BB71FA2" w:rsidR="0062231B" w:rsidRDefault="0062231B" w:rsidP="008A53E2">
      <w:pPr>
        <w:rPr>
          <w:lang w:val="en-GB"/>
        </w:rPr>
      </w:pPr>
    </w:p>
    <w:p w14:paraId="7B455035" w14:textId="2D22F099" w:rsidR="0062231B" w:rsidRDefault="0062231B" w:rsidP="008A53E2">
      <w:pPr>
        <w:rPr>
          <w:lang w:val="en-GB"/>
        </w:rPr>
      </w:pPr>
    </w:p>
    <w:p w14:paraId="3074F46D" w14:textId="77777777" w:rsidR="0062231B" w:rsidRDefault="0062231B" w:rsidP="008A53E2">
      <w:pPr>
        <w:rPr>
          <w:lang w:val="en-GB"/>
        </w:rPr>
      </w:pPr>
    </w:p>
    <w:p w14:paraId="38DB9741" w14:textId="77777777" w:rsidR="001C4971" w:rsidRDefault="001C4971" w:rsidP="008A53E2">
      <w:pPr>
        <w:rPr>
          <w:b/>
          <w:bCs/>
          <w:lang w:val="en-GB"/>
        </w:rPr>
      </w:pPr>
      <w:r>
        <w:rPr>
          <w:b/>
          <w:bCs/>
          <w:lang w:val="en-GB"/>
        </w:rPr>
        <w:lastRenderedPageBreak/>
        <w:t>Order</w:t>
      </w:r>
    </w:p>
    <w:p w14:paraId="5B465BD3" w14:textId="77777777" w:rsidR="001C4971" w:rsidRPr="003A0DD3" w:rsidRDefault="001C4971" w:rsidP="008A53E2">
      <w:pPr>
        <w:rPr>
          <w:b/>
          <w:bCs/>
          <w:lang w:val="en-GB"/>
        </w:rPr>
      </w:pPr>
    </w:p>
    <w:p w14:paraId="353D84DF" w14:textId="21FDAEA9" w:rsidR="001C4971" w:rsidRPr="008F0A02" w:rsidRDefault="008F0A02" w:rsidP="008F0A02">
      <w:pPr>
        <w:autoSpaceDE w:val="0"/>
        <w:autoSpaceDN w:val="0"/>
        <w:adjustRightInd w:val="0"/>
        <w:jc w:val="both"/>
        <w:rPr>
          <w:lang w:val="en-GB"/>
        </w:rPr>
      </w:pPr>
      <w:r>
        <w:rPr>
          <w:lang w:val="en-GB"/>
        </w:rPr>
        <w:t>[17]</w:t>
      </w:r>
      <w:r>
        <w:rPr>
          <w:lang w:val="en-GB"/>
        </w:rPr>
        <w:tab/>
      </w:r>
      <w:r w:rsidR="001C4971" w:rsidRPr="008F0A02">
        <w:rPr>
          <w:lang w:val="en-GB"/>
        </w:rPr>
        <w:t>The following order will issue:</w:t>
      </w:r>
    </w:p>
    <w:p w14:paraId="141F22FA" w14:textId="77777777" w:rsidR="001C4971" w:rsidRDefault="001C4971" w:rsidP="008A53E2">
      <w:pPr>
        <w:pStyle w:val="ListParagraph"/>
        <w:autoSpaceDE w:val="0"/>
        <w:autoSpaceDN w:val="0"/>
        <w:adjustRightInd w:val="0"/>
        <w:ind w:left="0"/>
        <w:jc w:val="both"/>
        <w:rPr>
          <w:lang w:val="en-GB"/>
        </w:rPr>
      </w:pPr>
    </w:p>
    <w:p w14:paraId="098D7AA2" w14:textId="417969C8" w:rsidR="001C4971" w:rsidRPr="008F0A02" w:rsidRDefault="008F0A02" w:rsidP="008F0A02">
      <w:pPr>
        <w:autoSpaceDE w:val="0"/>
        <w:autoSpaceDN w:val="0"/>
        <w:adjustRightInd w:val="0"/>
        <w:jc w:val="both"/>
        <w:rPr>
          <w:lang w:val="en-GB"/>
        </w:rPr>
      </w:pPr>
      <w:r>
        <w:rPr>
          <w:lang w:val="en-GB"/>
        </w:rPr>
        <w:t>1.</w:t>
      </w:r>
      <w:r>
        <w:rPr>
          <w:lang w:val="en-GB"/>
        </w:rPr>
        <w:tab/>
      </w:r>
      <w:r w:rsidR="001C4971" w:rsidRPr="008F0A02">
        <w:rPr>
          <w:lang w:val="en-GB"/>
        </w:rPr>
        <w:t>The appeal is upheld with costs.</w:t>
      </w:r>
    </w:p>
    <w:p w14:paraId="7E208E4A" w14:textId="77777777" w:rsidR="00025909" w:rsidRDefault="00025909" w:rsidP="00025909">
      <w:pPr>
        <w:pStyle w:val="ListParagraph"/>
        <w:autoSpaceDE w:val="0"/>
        <w:autoSpaceDN w:val="0"/>
        <w:adjustRightInd w:val="0"/>
        <w:ind w:left="0"/>
        <w:jc w:val="both"/>
        <w:rPr>
          <w:lang w:val="en-GB"/>
        </w:rPr>
      </w:pPr>
    </w:p>
    <w:p w14:paraId="13A659F8" w14:textId="5A017D91" w:rsidR="001C4971" w:rsidRPr="008F0A02" w:rsidRDefault="008F0A02" w:rsidP="008F0A02">
      <w:pPr>
        <w:autoSpaceDE w:val="0"/>
        <w:autoSpaceDN w:val="0"/>
        <w:adjustRightInd w:val="0"/>
        <w:jc w:val="both"/>
        <w:rPr>
          <w:lang w:val="en-GB"/>
        </w:rPr>
      </w:pPr>
      <w:r>
        <w:rPr>
          <w:lang w:val="en-GB"/>
        </w:rPr>
        <w:t>2.</w:t>
      </w:r>
      <w:r>
        <w:rPr>
          <w:lang w:val="en-GB"/>
        </w:rPr>
        <w:tab/>
      </w:r>
      <w:r w:rsidR="001C4971" w:rsidRPr="008F0A02">
        <w:rPr>
          <w:lang w:val="en-GB"/>
        </w:rPr>
        <w:t>The order of the court a quo is replaced with the following:</w:t>
      </w:r>
    </w:p>
    <w:p w14:paraId="6FD62CA6" w14:textId="05915A77" w:rsidR="001C4971" w:rsidRDefault="001C4971" w:rsidP="0062231B">
      <w:pPr>
        <w:pStyle w:val="ListParagraph"/>
        <w:tabs>
          <w:tab w:val="left" w:pos="1276"/>
        </w:tabs>
        <w:autoSpaceDE w:val="0"/>
        <w:autoSpaceDN w:val="0"/>
        <w:adjustRightInd w:val="0"/>
        <w:ind w:left="1276" w:hanging="567"/>
        <w:jc w:val="both"/>
        <w:rPr>
          <w:lang w:val="en-GB"/>
        </w:rPr>
      </w:pPr>
      <w:r>
        <w:rPr>
          <w:lang w:val="en-GB"/>
        </w:rPr>
        <w:t xml:space="preserve">‘1. </w:t>
      </w:r>
      <w:r w:rsidR="0062231B">
        <w:rPr>
          <w:lang w:val="en-GB"/>
        </w:rPr>
        <w:tab/>
      </w:r>
      <w:r>
        <w:rPr>
          <w:lang w:val="en-GB"/>
        </w:rPr>
        <w:t xml:space="preserve">The defendant is ordered to pay the plaintiff the amount of R50 000,00 as and for damages, with </w:t>
      </w:r>
      <w:r w:rsidR="00B072CA">
        <w:rPr>
          <w:lang w:val="en-GB"/>
        </w:rPr>
        <w:t xml:space="preserve">interest </w:t>
      </w:r>
      <w:r>
        <w:rPr>
          <w:lang w:val="en-GB"/>
        </w:rPr>
        <w:t xml:space="preserve">thereon calculated at the legal rate per annum </w:t>
      </w:r>
      <w:r>
        <w:rPr>
          <w:i/>
          <w:iCs/>
          <w:lang w:val="en-GB"/>
        </w:rPr>
        <w:t>tempore morae</w:t>
      </w:r>
      <w:r>
        <w:rPr>
          <w:lang w:val="en-GB"/>
        </w:rPr>
        <w:t xml:space="preserve"> from date of the order until date of final payment.</w:t>
      </w:r>
    </w:p>
    <w:p w14:paraId="7A6B37CB" w14:textId="77777777" w:rsidR="0062231B" w:rsidRDefault="0062231B" w:rsidP="0062231B">
      <w:pPr>
        <w:tabs>
          <w:tab w:val="left" w:pos="709"/>
        </w:tabs>
        <w:autoSpaceDE w:val="0"/>
        <w:autoSpaceDN w:val="0"/>
        <w:adjustRightInd w:val="0"/>
        <w:jc w:val="both"/>
        <w:rPr>
          <w:lang w:val="en-GB"/>
        </w:rPr>
      </w:pPr>
    </w:p>
    <w:p w14:paraId="558B5E38" w14:textId="06ADF19A" w:rsidR="001C4971" w:rsidRPr="0062231B" w:rsidRDefault="0062231B" w:rsidP="0062231B">
      <w:pPr>
        <w:tabs>
          <w:tab w:val="left" w:pos="709"/>
          <w:tab w:val="left" w:pos="1276"/>
        </w:tabs>
        <w:autoSpaceDE w:val="0"/>
        <w:autoSpaceDN w:val="0"/>
        <w:adjustRightInd w:val="0"/>
        <w:ind w:left="1276" w:hanging="1276"/>
        <w:jc w:val="both"/>
        <w:rPr>
          <w:lang w:val="en-GB"/>
        </w:rPr>
      </w:pPr>
      <w:r>
        <w:rPr>
          <w:lang w:val="en-GB"/>
        </w:rPr>
        <w:tab/>
      </w:r>
      <w:r w:rsidR="001C4971" w:rsidRPr="0062231B">
        <w:rPr>
          <w:lang w:val="en-GB"/>
        </w:rPr>
        <w:t xml:space="preserve">2. </w:t>
      </w:r>
      <w:r>
        <w:rPr>
          <w:lang w:val="en-GB"/>
        </w:rPr>
        <w:tab/>
      </w:r>
      <w:r w:rsidR="001C4971" w:rsidRPr="0062231B">
        <w:rPr>
          <w:lang w:val="en-GB"/>
        </w:rPr>
        <w:t>The defendant is ordered to pay the plaintiff’s party and party costs, calculated at the legal rate per annum from 14 days from date of taxation until date of payment.’</w:t>
      </w:r>
    </w:p>
    <w:p w14:paraId="6151B87A" w14:textId="28485D7C" w:rsidR="00224BC3" w:rsidRDefault="00224BC3" w:rsidP="00AF6DF0">
      <w:pPr>
        <w:autoSpaceDE w:val="0"/>
        <w:autoSpaceDN w:val="0"/>
        <w:adjustRightInd w:val="0"/>
        <w:jc w:val="both"/>
        <w:rPr>
          <w:lang w:val="en-GB"/>
        </w:rPr>
      </w:pPr>
    </w:p>
    <w:p w14:paraId="1A5F3240" w14:textId="674FC044" w:rsidR="00224BC3" w:rsidRDefault="00224BC3" w:rsidP="00AF6DF0">
      <w:pPr>
        <w:autoSpaceDE w:val="0"/>
        <w:autoSpaceDN w:val="0"/>
        <w:adjustRightInd w:val="0"/>
        <w:jc w:val="both"/>
        <w:rPr>
          <w:lang w:val="en-GB"/>
        </w:rPr>
      </w:pPr>
    </w:p>
    <w:p w14:paraId="4BB0A477" w14:textId="45028AB9" w:rsidR="00C979A9" w:rsidRPr="0068388C" w:rsidRDefault="00C979A9" w:rsidP="00682CE5">
      <w:pPr>
        <w:autoSpaceDE w:val="0"/>
        <w:autoSpaceDN w:val="0"/>
        <w:adjustRightInd w:val="0"/>
        <w:jc w:val="both"/>
        <w:rPr>
          <w:b/>
          <w:bCs/>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4EE96E5D" w:rsidR="00D450B5" w:rsidRDefault="00D450B5" w:rsidP="004A5151">
      <w:pPr>
        <w:ind w:left="4320" w:firstLine="720"/>
        <w:jc w:val="both"/>
        <w:rPr>
          <w:b/>
          <w:bCs/>
          <w:lang w:val="en-GB"/>
        </w:rPr>
      </w:pPr>
      <w:r w:rsidRPr="00044B50">
        <w:rPr>
          <w:b/>
          <w:bCs/>
          <w:lang w:val="en-GB"/>
        </w:rPr>
        <w:t>JUDGE OF THE HIGH COURT</w:t>
      </w:r>
    </w:p>
    <w:p w14:paraId="6C3BD3A1" w14:textId="7256EE35" w:rsidR="009C7CE6" w:rsidRDefault="009C7CE6" w:rsidP="004A5151">
      <w:pPr>
        <w:ind w:left="4320" w:firstLine="720"/>
        <w:jc w:val="both"/>
        <w:rPr>
          <w:b/>
          <w:bCs/>
          <w:lang w:val="en-GB"/>
        </w:rPr>
      </w:pPr>
    </w:p>
    <w:p w14:paraId="0BFD643D" w14:textId="77777777" w:rsidR="00EC088C" w:rsidRDefault="00EC088C" w:rsidP="004A5151">
      <w:pPr>
        <w:ind w:left="4320" w:firstLine="720"/>
        <w:jc w:val="both"/>
        <w:rPr>
          <w:b/>
          <w:bCs/>
          <w:lang w:val="en-GB"/>
        </w:rPr>
      </w:pPr>
    </w:p>
    <w:p w14:paraId="42693AA9" w14:textId="1BFA2793" w:rsidR="00EC088C" w:rsidRDefault="00EC088C" w:rsidP="004A5151">
      <w:pPr>
        <w:ind w:left="4320" w:firstLine="720"/>
        <w:jc w:val="both"/>
        <w:rPr>
          <w:b/>
          <w:bCs/>
          <w:lang w:val="en-GB"/>
        </w:rPr>
      </w:pPr>
      <w:r>
        <w:rPr>
          <w:b/>
          <w:bCs/>
          <w:lang w:val="en-GB"/>
        </w:rPr>
        <w:t>I Agree</w:t>
      </w:r>
    </w:p>
    <w:p w14:paraId="66CCFA2E" w14:textId="52EFD1CC" w:rsidR="00EC088C" w:rsidRDefault="00EC088C" w:rsidP="004A5151">
      <w:pPr>
        <w:ind w:left="4320" w:firstLine="720"/>
        <w:jc w:val="both"/>
        <w:rPr>
          <w:b/>
          <w:bCs/>
          <w:lang w:val="en-GB"/>
        </w:rPr>
      </w:pPr>
    </w:p>
    <w:p w14:paraId="555065AF" w14:textId="77777777" w:rsidR="00EC088C" w:rsidRDefault="00EC088C" w:rsidP="004A5151">
      <w:pPr>
        <w:ind w:left="4320" w:firstLine="720"/>
        <w:jc w:val="both"/>
        <w:rPr>
          <w:b/>
          <w:bCs/>
          <w:lang w:val="en-GB"/>
        </w:rPr>
      </w:pPr>
    </w:p>
    <w:p w14:paraId="639A0175" w14:textId="77777777" w:rsidR="00EC088C" w:rsidRPr="00044B50" w:rsidRDefault="00EC088C" w:rsidP="00EC088C">
      <w:pPr>
        <w:ind w:left="4320" w:firstLine="720"/>
        <w:jc w:val="both"/>
        <w:rPr>
          <w:lang w:val="en-GB"/>
        </w:rPr>
      </w:pPr>
      <w:r w:rsidRPr="00044B50">
        <w:rPr>
          <w:lang w:val="en-GB"/>
        </w:rPr>
        <w:t xml:space="preserve">_________________________ </w:t>
      </w:r>
    </w:p>
    <w:p w14:paraId="2636E1BD" w14:textId="7B5D93C6" w:rsidR="00EC088C" w:rsidRPr="00044B50" w:rsidRDefault="00BD3475" w:rsidP="00EC088C">
      <w:pPr>
        <w:ind w:left="4320" w:firstLine="720"/>
        <w:jc w:val="both"/>
        <w:rPr>
          <w:b/>
          <w:bCs/>
          <w:lang w:val="en-GB"/>
        </w:rPr>
      </w:pPr>
      <w:r>
        <w:rPr>
          <w:b/>
          <w:bCs/>
          <w:lang w:val="en-GB"/>
        </w:rPr>
        <w:t>ZM NHLANGULELA</w:t>
      </w:r>
      <w:r w:rsidR="00EC088C" w:rsidRPr="00044B50">
        <w:rPr>
          <w:b/>
          <w:bCs/>
          <w:lang w:val="en-GB"/>
        </w:rPr>
        <w:t xml:space="preserve">                                                                                                                                                      </w:t>
      </w:r>
    </w:p>
    <w:p w14:paraId="227EC948" w14:textId="41A1247D" w:rsidR="00EC088C" w:rsidRDefault="00BD3475" w:rsidP="00BD3475">
      <w:pPr>
        <w:ind w:left="5040"/>
        <w:jc w:val="both"/>
        <w:rPr>
          <w:b/>
          <w:bCs/>
          <w:lang w:val="en-GB"/>
        </w:rPr>
      </w:pPr>
      <w:r>
        <w:rPr>
          <w:b/>
          <w:bCs/>
          <w:lang w:val="en-GB"/>
        </w:rPr>
        <w:t xml:space="preserve">DEPUTY </w:t>
      </w:r>
      <w:r w:rsidR="00EC088C" w:rsidRPr="00044B50">
        <w:rPr>
          <w:b/>
          <w:bCs/>
          <w:lang w:val="en-GB"/>
        </w:rPr>
        <w:t>JUDGE</w:t>
      </w:r>
      <w:r>
        <w:rPr>
          <w:b/>
          <w:bCs/>
          <w:lang w:val="en-GB"/>
        </w:rPr>
        <w:t xml:space="preserve"> PRESIDENT</w:t>
      </w:r>
      <w:r w:rsidR="00EC088C" w:rsidRPr="00044B50">
        <w:rPr>
          <w:b/>
          <w:bCs/>
          <w:lang w:val="en-GB"/>
        </w:rPr>
        <w:t xml:space="preserve"> OF </w:t>
      </w:r>
      <w:r>
        <w:rPr>
          <w:b/>
          <w:bCs/>
          <w:lang w:val="en-GB"/>
        </w:rPr>
        <w:t xml:space="preserve">    </w:t>
      </w:r>
      <w:r w:rsidR="00EC088C" w:rsidRPr="00044B50">
        <w:rPr>
          <w:b/>
          <w:bCs/>
          <w:lang w:val="en-GB"/>
        </w:rPr>
        <w:t>THE HIGH COURT</w:t>
      </w:r>
    </w:p>
    <w:p w14:paraId="3F4D2BCC" w14:textId="6538C85D" w:rsidR="00EC088C" w:rsidRDefault="00EC088C" w:rsidP="004A5151">
      <w:pPr>
        <w:ind w:left="4320" w:firstLine="720"/>
        <w:jc w:val="both"/>
        <w:rPr>
          <w:b/>
          <w:bCs/>
          <w:lang w:val="en-GB"/>
        </w:rPr>
      </w:pPr>
    </w:p>
    <w:p w14:paraId="4E6B7AD7" w14:textId="09DB19BE" w:rsidR="00EC088C" w:rsidRDefault="00EC088C" w:rsidP="004A5151">
      <w:pPr>
        <w:ind w:left="4320" w:firstLine="720"/>
        <w:jc w:val="both"/>
        <w:rPr>
          <w:b/>
          <w:bCs/>
          <w:lang w:val="en-GB"/>
        </w:rPr>
      </w:pPr>
    </w:p>
    <w:p w14:paraId="35774219" w14:textId="490B2186" w:rsidR="00EC088C" w:rsidRDefault="00EC088C" w:rsidP="004A5151">
      <w:pPr>
        <w:ind w:left="4320" w:firstLine="720"/>
        <w:jc w:val="both"/>
        <w:rPr>
          <w:b/>
          <w:bCs/>
          <w:lang w:val="en-GB"/>
        </w:rPr>
      </w:pPr>
    </w:p>
    <w:p w14:paraId="4B11EEBE" w14:textId="5F17A50F" w:rsidR="00224BC3" w:rsidRDefault="00224BC3" w:rsidP="004A5151">
      <w:pPr>
        <w:ind w:left="4320" w:firstLine="720"/>
        <w:jc w:val="both"/>
        <w:rPr>
          <w:b/>
          <w:bCs/>
          <w:lang w:val="en-GB"/>
        </w:rPr>
      </w:pPr>
    </w:p>
    <w:p w14:paraId="292416A7" w14:textId="32925829" w:rsidR="00224BC3" w:rsidRDefault="00224BC3" w:rsidP="004A5151">
      <w:pPr>
        <w:ind w:left="4320" w:firstLine="720"/>
        <w:jc w:val="both"/>
        <w:rPr>
          <w:b/>
          <w:bCs/>
          <w:lang w:val="en-GB"/>
        </w:rPr>
      </w:pPr>
    </w:p>
    <w:p w14:paraId="334CDF5B" w14:textId="3C653A25" w:rsidR="00224BC3" w:rsidRDefault="00224BC3" w:rsidP="004A5151">
      <w:pPr>
        <w:ind w:left="4320" w:firstLine="720"/>
        <w:jc w:val="both"/>
        <w:rPr>
          <w:b/>
          <w:bCs/>
          <w:lang w:val="en-GB"/>
        </w:rPr>
      </w:pPr>
    </w:p>
    <w:p w14:paraId="6232E520" w14:textId="27A16F31" w:rsidR="00224BC3" w:rsidRDefault="00224BC3" w:rsidP="00156977">
      <w:pPr>
        <w:jc w:val="right"/>
        <w:rPr>
          <w:b/>
          <w:bCs/>
          <w:lang w:val="en-GB"/>
        </w:rPr>
      </w:pPr>
    </w:p>
    <w:p w14:paraId="42105131" w14:textId="76177219" w:rsidR="00EC088C" w:rsidRDefault="00EC088C" w:rsidP="00156977">
      <w:pPr>
        <w:jc w:val="right"/>
        <w:rPr>
          <w:b/>
          <w:bCs/>
          <w:lang w:val="en-GB"/>
        </w:rPr>
      </w:pPr>
    </w:p>
    <w:p w14:paraId="7AA0D7AC" w14:textId="59018363" w:rsidR="009C7CE6" w:rsidRPr="00044B50" w:rsidRDefault="009C7CE6" w:rsidP="00156977">
      <w:pPr>
        <w:widowControl w:val="0"/>
        <w:tabs>
          <w:tab w:val="left" w:pos="5103"/>
        </w:tabs>
        <w:ind w:left="2160" w:firstLine="720"/>
        <w:jc w:val="right"/>
        <w:rPr>
          <w:b/>
          <w:bCs/>
          <w:spacing w:val="14"/>
          <w:kern w:val="2"/>
          <w:lang w:val="en-GB"/>
        </w:rPr>
      </w:pPr>
      <w:r>
        <w:rPr>
          <w:b/>
          <w:bCs/>
          <w:spacing w:val="14"/>
          <w:kern w:val="2"/>
          <w:lang w:val="en-GB"/>
        </w:rPr>
        <w:t xml:space="preserve">           </w:t>
      </w:r>
      <w:r w:rsidRPr="00044B50">
        <w:rPr>
          <w:b/>
          <w:bCs/>
          <w:spacing w:val="14"/>
          <w:kern w:val="2"/>
          <w:lang w:val="en-GB"/>
        </w:rPr>
        <w:t>Heard:</w:t>
      </w:r>
      <w:r w:rsidR="00156977">
        <w:rPr>
          <w:b/>
          <w:bCs/>
          <w:spacing w:val="14"/>
          <w:kern w:val="2"/>
          <w:lang w:val="en-GB"/>
        </w:rPr>
        <w:tab/>
      </w:r>
      <w:r>
        <w:rPr>
          <w:bCs/>
          <w:spacing w:val="14"/>
          <w:kern w:val="2"/>
          <w:lang w:val="en-GB"/>
        </w:rPr>
        <w:t>08</w:t>
      </w:r>
      <w:r w:rsidRPr="0077185E">
        <w:rPr>
          <w:bCs/>
          <w:spacing w:val="14"/>
          <w:kern w:val="2"/>
          <w:lang w:val="en-GB"/>
        </w:rPr>
        <w:t xml:space="preserve"> </w:t>
      </w:r>
      <w:r>
        <w:rPr>
          <w:bCs/>
          <w:spacing w:val="14"/>
          <w:kern w:val="2"/>
          <w:lang w:val="en-GB"/>
        </w:rPr>
        <w:t xml:space="preserve">September </w:t>
      </w:r>
      <w:r w:rsidRPr="0077185E">
        <w:rPr>
          <w:bCs/>
          <w:spacing w:val="14"/>
          <w:kern w:val="2"/>
          <w:lang w:val="en-GB"/>
        </w:rPr>
        <w:t>2022</w:t>
      </w:r>
    </w:p>
    <w:p w14:paraId="077EE18A" w14:textId="637AC895" w:rsidR="009C7CE6" w:rsidRDefault="009C7CE6" w:rsidP="00156977">
      <w:pPr>
        <w:widowControl w:val="0"/>
        <w:tabs>
          <w:tab w:val="left" w:pos="5103"/>
        </w:tabs>
        <w:ind w:left="2880" w:firstLine="720"/>
        <w:jc w:val="right"/>
        <w:rPr>
          <w:bCs/>
          <w:spacing w:val="14"/>
          <w:kern w:val="2"/>
          <w:lang w:val="en-GB"/>
        </w:rPr>
      </w:pPr>
      <w:r>
        <w:rPr>
          <w:b/>
          <w:bCs/>
          <w:spacing w:val="14"/>
          <w:kern w:val="2"/>
          <w:lang w:val="en-GB"/>
        </w:rPr>
        <w:t xml:space="preserve">      </w:t>
      </w:r>
      <w:r w:rsidRPr="00044B50">
        <w:rPr>
          <w:b/>
          <w:bCs/>
          <w:spacing w:val="14"/>
          <w:kern w:val="2"/>
          <w:lang w:val="en-GB"/>
        </w:rPr>
        <w:t>Delivered:</w:t>
      </w:r>
      <w:r w:rsidR="00156977">
        <w:rPr>
          <w:b/>
          <w:bCs/>
          <w:spacing w:val="14"/>
          <w:kern w:val="2"/>
          <w:lang w:val="en-GB"/>
        </w:rPr>
        <w:tab/>
      </w:r>
      <w:r w:rsidR="00EC088C">
        <w:rPr>
          <w:bCs/>
          <w:spacing w:val="14"/>
          <w:kern w:val="2"/>
          <w:lang w:val="en-GB"/>
        </w:rPr>
        <w:t>1</w:t>
      </w:r>
      <w:r w:rsidR="00025909">
        <w:rPr>
          <w:bCs/>
          <w:spacing w:val="14"/>
          <w:kern w:val="2"/>
          <w:lang w:val="en-GB"/>
        </w:rPr>
        <w:t xml:space="preserve">8 October </w:t>
      </w:r>
      <w:r w:rsidRPr="0077185E">
        <w:rPr>
          <w:bCs/>
          <w:spacing w:val="14"/>
          <w:kern w:val="2"/>
          <w:lang w:val="en-GB"/>
        </w:rPr>
        <w:t>2022</w:t>
      </w:r>
    </w:p>
    <w:p w14:paraId="6DD44821" w14:textId="5D61B4A8" w:rsidR="009C7CE6" w:rsidRDefault="009C7CE6" w:rsidP="009C7CE6">
      <w:pPr>
        <w:widowControl w:val="0"/>
        <w:tabs>
          <w:tab w:val="left" w:pos="5103"/>
        </w:tabs>
        <w:ind w:left="2880" w:firstLine="720"/>
        <w:jc w:val="center"/>
        <w:rPr>
          <w:bCs/>
          <w:spacing w:val="14"/>
          <w:kern w:val="2"/>
          <w:lang w:val="en-GB"/>
        </w:rPr>
      </w:pPr>
    </w:p>
    <w:p w14:paraId="085C67A7" w14:textId="029C9320" w:rsidR="009C7CE6" w:rsidRDefault="009C7CE6" w:rsidP="009C7CE6">
      <w:pPr>
        <w:widowControl w:val="0"/>
        <w:tabs>
          <w:tab w:val="left" w:pos="5103"/>
        </w:tabs>
        <w:ind w:left="2880" w:firstLine="720"/>
        <w:jc w:val="center"/>
        <w:rPr>
          <w:bCs/>
          <w:spacing w:val="14"/>
          <w:kern w:val="2"/>
          <w:lang w:val="en-GB"/>
        </w:rPr>
      </w:pPr>
    </w:p>
    <w:p w14:paraId="4BC4DA09" w14:textId="53B1BD97" w:rsidR="009C7CE6" w:rsidRDefault="009C7CE6" w:rsidP="009C7CE6">
      <w:pPr>
        <w:widowControl w:val="0"/>
        <w:tabs>
          <w:tab w:val="left" w:pos="5103"/>
        </w:tabs>
        <w:ind w:left="2880" w:firstLine="720"/>
        <w:jc w:val="center"/>
        <w:rPr>
          <w:bCs/>
          <w:spacing w:val="14"/>
          <w:kern w:val="2"/>
          <w:lang w:val="en-GB"/>
        </w:rPr>
      </w:pPr>
    </w:p>
    <w:p w14:paraId="5AD8BC26" w14:textId="77777777" w:rsidR="009C7CE6" w:rsidRDefault="009C7CE6" w:rsidP="009C7CE6">
      <w:pPr>
        <w:tabs>
          <w:tab w:val="left" w:pos="5103"/>
        </w:tabs>
        <w:rPr>
          <w:lang w:val="en-GB"/>
        </w:rPr>
      </w:pPr>
      <w:r w:rsidRPr="00044B50">
        <w:rPr>
          <w:lang w:val="en-GB"/>
        </w:rPr>
        <w:t>Appearances:</w:t>
      </w:r>
      <w:r>
        <w:rPr>
          <w:lang w:val="en-GB"/>
        </w:rPr>
        <w:t xml:space="preserve"> </w:t>
      </w:r>
    </w:p>
    <w:p w14:paraId="47B6ED86" w14:textId="77777777" w:rsidR="009C7CE6" w:rsidRDefault="009C7CE6" w:rsidP="009C7CE6">
      <w:pPr>
        <w:rPr>
          <w:lang w:val="en-GB"/>
        </w:rPr>
      </w:pPr>
    </w:p>
    <w:p w14:paraId="4FC300D9" w14:textId="4C452257" w:rsidR="009C7CE6" w:rsidRPr="008E7830" w:rsidRDefault="009C7CE6" w:rsidP="009C7CE6">
      <w:pPr>
        <w:tabs>
          <w:tab w:val="left" w:pos="3261"/>
          <w:tab w:val="center" w:pos="4003"/>
        </w:tabs>
        <w:jc w:val="both"/>
        <w:rPr>
          <w:color w:val="auto"/>
        </w:rPr>
      </w:pPr>
      <w:r>
        <w:rPr>
          <w:color w:val="auto"/>
        </w:rPr>
        <w:t>App</w:t>
      </w:r>
      <w:r w:rsidR="00BD3475">
        <w:rPr>
          <w:color w:val="auto"/>
        </w:rPr>
        <w:t>ella</w:t>
      </w:r>
      <w:r>
        <w:rPr>
          <w:color w:val="auto"/>
        </w:rPr>
        <w:t>nt</w:t>
      </w:r>
      <w:r w:rsidR="00BD3475">
        <w:rPr>
          <w:color w:val="auto"/>
        </w:rPr>
        <w:t>’s Counsel:</w:t>
      </w:r>
      <w:r w:rsidRPr="008E7830">
        <w:rPr>
          <w:color w:val="auto"/>
        </w:rPr>
        <w:tab/>
      </w:r>
      <w:r w:rsidR="00BD3475">
        <w:rPr>
          <w:bCs/>
          <w:lang w:val="en-US"/>
        </w:rPr>
        <w:t>Adv DS Bands</w:t>
      </w:r>
    </w:p>
    <w:p w14:paraId="07047681" w14:textId="77777777" w:rsidR="009C7CE6" w:rsidRPr="008E7830" w:rsidRDefault="009C7CE6" w:rsidP="009C7CE6">
      <w:pPr>
        <w:tabs>
          <w:tab w:val="left" w:pos="3261"/>
          <w:tab w:val="center" w:pos="4003"/>
        </w:tabs>
        <w:jc w:val="both"/>
        <w:rPr>
          <w:color w:val="auto"/>
        </w:rPr>
      </w:pPr>
      <w:r w:rsidRPr="008E7830">
        <w:rPr>
          <w:color w:val="auto"/>
        </w:rPr>
        <w:tab/>
      </w:r>
    </w:p>
    <w:p w14:paraId="5142D508" w14:textId="0FFE1436" w:rsidR="009C7CE6" w:rsidRDefault="009C7CE6" w:rsidP="009C7CE6">
      <w:pPr>
        <w:tabs>
          <w:tab w:val="left" w:pos="3261"/>
          <w:tab w:val="center" w:pos="4003"/>
        </w:tabs>
        <w:jc w:val="both"/>
        <w:rPr>
          <w:color w:val="auto"/>
        </w:rPr>
      </w:pPr>
      <w:r w:rsidRPr="008E7830">
        <w:rPr>
          <w:color w:val="auto"/>
        </w:rPr>
        <w:t xml:space="preserve">Instructed by: </w:t>
      </w:r>
      <w:r w:rsidR="00C6742C">
        <w:rPr>
          <w:color w:val="auto"/>
        </w:rPr>
        <w:tab/>
      </w:r>
      <w:r w:rsidR="00BD3475">
        <w:rPr>
          <w:color w:val="auto"/>
        </w:rPr>
        <w:t xml:space="preserve">N </w:t>
      </w:r>
      <w:proofErr w:type="spellStart"/>
      <w:r w:rsidR="00BD3475">
        <w:rPr>
          <w:color w:val="auto"/>
        </w:rPr>
        <w:t>N</w:t>
      </w:r>
      <w:proofErr w:type="spellEnd"/>
      <w:r w:rsidR="00BD3475">
        <w:rPr>
          <w:color w:val="auto"/>
        </w:rPr>
        <w:t xml:space="preserve"> </w:t>
      </w:r>
      <w:proofErr w:type="spellStart"/>
      <w:r w:rsidR="00BD3475">
        <w:rPr>
          <w:color w:val="auto"/>
        </w:rPr>
        <w:t>Dullabh</w:t>
      </w:r>
      <w:proofErr w:type="spellEnd"/>
      <w:r w:rsidR="00BD3475">
        <w:rPr>
          <w:color w:val="auto"/>
        </w:rPr>
        <w:t xml:space="preserve"> &amp; Co</w:t>
      </w:r>
    </w:p>
    <w:p w14:paraId="661482B9" w14:textId="35CA7D7E" w:rsidR="00BD3475" w:rsidRDefault="00BD3475" w:rsidP="009C7CE6">
      <w:pPr>
        <w:tabs>
          <w:tab w:val="left" w:pos="3261"/>
          <w:tab w:val="center" w:pos="4003"/>
        </w:tabs>
        <w:jc w:val="both"/>
        <w:rPr>
          <w:color w:val="auto"/>
        </w:rPr>
      </w:pPr>
      <w:r>
        <w:rPr>
          <w:color w:val="auto"/>
        </w:rPr>
        <w:tab/>
        <w:t>Attorneys for Appellant</w:t>
      </w:r>
    </w:p>
    <w:p w14:paraId="0BF36728" w14:textId="52F4F2AE" w:rsidR="009C7CE6" w:rsidRDefault="009C7CE6" w:rsidP="009C7CE6">
      <w:pPr>
        <w:tabs>
          <w:tab w:val="left" w:pos="3261"/>
          <w:tab w:val="center" w:pos="4003"/>
        </w:tabs>
        <w:jc w:val="both"/>
        <w:rPr>
          <w:color w:val="auto"/>
        </w:rPr>
      </w:pPr>
      <w:r>
        <w:rPr>
          <w:color w:val="auto"/>
        </w:rPr>
        <w:tab/>
      </w:r>
      <w:r w:rsidR="00BD3475">
        <w:rPr>
          <w:color w:val="auto"/>
        </w:rPr>
        <w:t>5 Betram Street</w:t>
      </w:r>
    </w:p>
    <w:p w14:paraId="13C91571" w14:textId="7972B309" w:rsidR="009C7CE6" w:rsidRPr="008E7830" w:rsidRDefault="009C7CE6" w:rsidP="009C7CE6">
      <w:pPr>
        <w:tabs>
          <w:tab w:val="left" w:pos="3261"/>
          <w:tab w:val="center" w:pos="4003"/>
        </w:tabs>
        <w:jc w:val="both"/>
        <w:rPr>
          <w:color w:val="auto"/>
        </w:rPr>
      </w:pPr>
      <w:r>
        <w:rPr>
          <w:color w:val="auto"/>
        </w:rPr>
        <w:tab/>
      </w:r>
      <w:proofErr w:type="spellStart"/>
      <w:r w:rsidR="00BD3475">
        <w:rPr>
          <w:color w:val="auto"/>
        </w:rPr>
        <w:t>Makhanda</w:t>
      </w:r>
      <w:proofErr w:type="spellEnd"/>
      <w:r>
        <w:rPr>
          <w:color w:val="auto"/>
        </w:rPr>
        <w:t xml:space="preserve"> </w:t>
      </w:r>
    </w:p>
    <w:p w14:paraId="05DD067E" w14:textId="3B22DB8A" w:rsidR="009C7CE6" w:rsidRPr="008E7830" w:rsidRDefault="009C7CE6" w:rsidP="009C7CE6">
      <w:pPr>
        <w:tabs>
          <w:tab w:val="left" w:pos="3261"/>
          <w:tab w:val="center" w:pos="4003"/>
        </w:tabs>
        <w:jc w:val="both"/>
        <w:rPr>
          <w:color w:val="auto"/>
        </w:rPr>
      </w:pPr>
      <w:r w:rsidRPr="008E7830">
        <w:rPr>
          <w:color w:val="auto"/>
        </w:rPr>
        <w:tab/>
      </w:r>
      <w:r>
        <w:rPr>
          <w:color w:val="auto"/>
        </w:rPr>
        <w:tab/>
      </w:r>
      <w:proofErr w:type="gramStart"/>
      <w:r>
        <w:rPr>
          <w:color w:val="auto"/>
        </w:rPr>
        <w:t>Email:</w:t>
      </w:r>
      <w:r w:rsidR="00BD3475">
        <w:rPr>
          <w:color w:val="auto"/>
        </w:rPr>
        <w:t>naran@dullabhs.co.za</w:t>
      </w:r>
      <w:proofErr w:type="gramEnd"/>
    </w:p>
    <w:p w14:paraId="65FBD30F" w14:textId="7B160BDD" w:rsidR="009C7CE6" w:rsidRPr="000C1FE6" w:rsidRDefault="009C7CE6" w:rsidP="000C1FE6">
      <w:pPr>
        <w:tabs>
          <w:tab w:val="left" w:pos="3261"/>
          <w:tab w:val="left" w:pos="3402"/>
          <w:tab w:val="left" w:pos="3686"/>
          <w:tab w:val="center" w:pos="4003"/>
        </w:tabs>
        <w:jc w:val="both"/>
        <w:rPr>
          <w:color w:val="auto"/>
        </w:rPr>
      </w:pPr>
      <w:r w:rsidRPr="008E7830">
        <w:rPr>
          <w:color w:val="auto"/>
        </w:rPr>
        <w:t xml:space="preserve">                                                 </w:t>
      </w:r>
    </w:p>
    <w:p w14:paraId="08DCE24F" w14:textId="604AED8C" w:rsidR="009C7CE6" w:rsidRPr="000472C2" w:rsidRDefault="009C7CE6" w:rsidP="009C7CE6">
      <w:pPr>
        <w:rPr>
          <w:b/>
          <w:bCs/>
          <w:lang w:val="en-US"/>
        </w:rPr>
      </w:pPr>
      <w:r>
        <w:rPr>
          <w:color w:val="auto"/>
        </w:rPr>
        <w:t>R</w:t>
      </w:r>
      <w:r w:rsidRPr="008E7830">
        <w:rPr>
          <w:color w:val="auto"/>
        </w:rPr>
        <w:t>espondent</w:t>
      </w:r>
      <w:r>
        <w:rPr>
          <w:color w:val="auto"/>
        </w:rPr>
        <w:t>’s Counsel</w:t>
      </w:r>
      <w:r w:rsidRPr="008E7830">
        <w:rPr>
          <w:color w:val="auto"/>
        </w:rPr>
        <w:t>:</w:t>
      </w:r>
      <w:r w:rsidRPr="008E7830">
        <w:rPr>
          <w:color w:val="auto"/>
        </w:rPr>
        <w:tab/>
      </w:r>
      <w:r>
        <w:rPr>
          <w:color w:val="auto"/>
        </w:rPr>
        <w:t xml:space="preserve">     </w:t>
      </w:r>
      <w:r w:rsidR="002575A1">
        <w:rPr>
          <w:color w:val="auto"/>
        </w:rPr>
        <w:t xml:space="preserve"> </w:t>
      </w:r>
      <w:r w:rsidR="00BD3475">
        <w:rPr>
          <w:bCs/>
          <w:lang w:val="en-US"/>
        </w:rPr>
        <w:t>Adv F Petersen</w:t>
      </w:r>
    </w:p>
    <w:p w14:paraId="1CE2ADD8" w14:textId="77777777" w:rsidR="009C7CE6" w:rsidRPr="008E7830" w:rsidRDefault="009C7CE6" w:rsidP="009C7CE6">
      <w:pPr>
        <w:tabs>
          <w:tab w:val="left" w:pos="3119"/>
          <w:tab w:val="center" w:pos="3989"/>
        </w:tabs>
        <w:rPr>
          <w:color w:val="auto"/>
        </w:rPr>
      </w:pPr>
      <w:r w:rsidRPr="008E7830">
        <w:rPr>
          <w:color w:val="auto"/>
        </w:rPr>
        <w:tab/>
        <w:t xml:space="preserve">  </w:t>
      </w:r>
    </w:p>
    <w:p w14:paraId="3F33F356" w14:textId="0F1B83F1" w:rsidR="009C7CE6" w:rsidRPr="008E7830" w:rsidRDefault="009C7CE6" w:rsidP="009C7CE6">
      <w:pPr>
        <w:tabs>
          <w:tab w:val="left" w:pos="3119"/>
          <w:tab w:val="center" w:pos="3989"/>
        </w:tabs>
        <w:rPr>
          <w:color w:val="auto"/>
        </w:rPr>
      </w:pPr>
      <w:r w:rsidRPr="008E7830">
        <w:rPr>
          <w:color w:val="auto"/>
        </w:rPr>
        <w:t>Instructed by:</w:t>
      </w:r>
      <w:proofErr w:type="gramStart"/>
      <w:r w:rsidRPr="008E7830">
        <w:rPr>
          <w:color w:val="auto"/>
        </w:rPr>
        <w:tab/>
        <w:t xml:space="preserve">  </w:t>
      </w:r>
      <w:r>
        <w:rPr>
          <w:color w:val="auto"/>
        </w:rPr>
        <w:t>The</w:t>
      </w:r>
      <w:proofErr w:type="gramEnd"/>
      <w:r>
        <w:rPr>
          <w:color w:val="auto"/>
        </w:rPr>
        <w:t xml:space="preserve"> State Attorney</w:t>
      </w:r>
    </w:p>
    <w:p w14:paraId="470B091A" w14:textId="51D08024" w:rsidR="009C7CE6" w:rsidRDefault="009C7CE6" w:rsidP="009C7CE6">
      <w:pPr>
        <w:tabs>
          <w:tab w:val="left" w:pos="3119"/>
          <w:tab w:val="center" w:pos="3989"/>
        </w:tabs>
        <w:rPr>
          <w:color w:val="auto"/>
        </w:rPr>
      </w:pPr>
      <w:r w:rsidRPr="008E7830">
        <w:rPr>
          <w:color w:val="auto"/>
        </w:rPr>
        <w:tab/>
        <w:t xml:space="preserve">  </w:t>
      </w:r>
      <w:r w:rsidR="00BD3475">
        <w:rPr>
          <w:color w:val="auto"/>
        </w:rPr>
        <w:t>29 Western Road</w:t>
      </w:r>
    </w:p>
    <w:p w14:paraId="0D6902A4" w14:textId="23226896" w:rsidR="009C7CE6" w:rsidRPr="008E7830" w:rsidRDefault="00BD3475" w:rsidP="009C7CE6">
      <w:pPr>
        <w:tabs>
          <w:tab w:val="left" w:pos="3261"/>
          <w:tab w:val="center" w:pos="3989"/>
        </w:tabs>
        <w:rPr>
          <w:color w:val="auto"/>
        </w:rPr>
      </w:pPr>
      <w:r>
        <w:rPr>
          <w:color w:val="auto"/>
        </w:rPr>
        <w:tab/>
        <w:t>Central</w:t>
      </w:r>
      <w:r w:rsidR="009C7CE6" w:rsidRPr="008E7830">
        <w:rPr>
          <w:color w:val="auto"/>
        </w:rPr>
        <w:tab/>
      </w:r>
    </w:p>
    <w:p w14:paraId="1096F90A" w14:textId="2151C047" w:rsidR="009C7CE6" w:rsidRDefault="009C7CE6" w:rsidP="009C7CE6">
      <w:pPr>
        <w:tabs>
          <w:tab w:val="left" w:pos="3261"/>
          <w:tab w:val="center" w:pos="3989"/>
        </w:tabs>
        <w:rPr>
          <w:color w:val="auto"/>
        </w:rPr>
      </w:pPr>
      <w:r w:rsidRPr="008E7830">
        <w:rPr>
          <w:color w:val="auto"/>
        </w:rPr>
        <w:t xml:space="preserve">                                                 </w:t>
      </w:r>
      <w:r w:rsidR="00BD3475">
        <w:rPr>
          <w:color w:val="auto"/>
        </w:rPr>
        <w:t>Port Elizabeth</w:t>
      </w:r>
    </w:p>
    <w:p w14:paraId="0ADCB599" w14:textId="756AAFA9" w:rsidR="009C7CE6" w:rsidRPr="005656E2" w:rsidRDefault="009C7CE6" w:rsidP="009C7CE6">
      <w:pPr>
        <w:tabs>
          <w:tab w:val="left" w:pos="3261"/>
          <w:tab w:val="center" w:pos="3989"/>
        </w:tabs>
        <w:rPr>
          <w:color w:val="auto"/>
        </w:rPr>
      </w:pPr>
      <w:r>
        <w:rPr>
          <w:color w:val="auto"/>
        </w:rPr>
        <w:tab/>
      </w:r>
    </w:p>
    <w:p w14:paraId="502F7490" w14:textId="77777777" w:rsidR="009C7CE6" w:rsidRPr="00044B50" w:rsidRDefault="009C7CE6" w:rsidP="009C7CE6">
      <w:pPr>
        <w:tabs>
          <w:tab w:val="left" w:pos="3402"/>
          <w:tab w:val="center" w:pos="4003"/>
        </w:tabs>
        <w:ind w:hanging="142"/>
        <w:jc w:val="both"/>
        <w:rPr>
          <w:lang w:val="en-GB"/>
        </w:rPr>
      </w:pPr>
      <w:r w:rsidRPr="00044B50">
        <w:rPr>
          <w:lang w:val="en-GB"/>
        </w:rPr>
        <w:tab/>
      </w:r>
    </w:p>
    <w:p w14:paraId="4797AB2D" w14:textId="77777777" w:rsidR="009C7CE6" w:rsidRPr="00044B50" w:rsidRDefault="009C7CE6" w:rsidP="009C7CE6">
      <w:pPr>
        <w:tabs>
          <w:tab w:val="left" w:pos="3261"/>
          <w:tab w:val="left" w:pos="3544"/>
        </w:tabs>
        <w:jc w:val="both"/>
        <w:rPr>
          <w:lang w:val="en-GB"/>
        </w:rPr>
      </w:pPr>
      <w:r w:rsidRPr="00044B50">
        <w:rPr>
          <w:lang w:val="en-GB"/>
        </w:rPr>
        <w:t xml:space="preserve">                                                 </w:t>
      </w:r>
    </w:p>
    <w:p w14:paraId="20B43FFB" w14:textId="77777777" w:rsidR="009C7CE6" w:rsidRPr="00044B50" w:rsidRDefault="009C7CE6" w:rsidP="009C7CE6">
      <w:pPr>
        <w:tabs>
          <w:tab w:val="left" w:pos="3402"/>
          <w:tab w:val="center" w:pos="3989"/>
        </w:tabs>
        <w:ind w:hanging="142"/>
        <w:rPr>
          <w:lang w:val="en-GB"/>
        </w:rPr>
      </w:pPr>
      <w:r w:rsidRPr="00044B50">
        <w:rPr>
          <w:lang w:val="en-GB"/>
        </w:rPr>
        <w:tab/>
      </w:r>
    </w:p>
    <w:p w14:paraId="0EFDD0F5" w14:textId="77777777" w:rsidR="009C7CE6" w:rsidRPr="00044B50" w:rsidRDefault="009C7CE6" w:rsidP="004A5151">
      <w:pPr>
        <w:ind w:left="4320" w:firstLine="720"/>
        <w:jc w:val="both"/>
        <w:rPr>
          <w:b/>
          <w:bCs/>
          <w:lang w:val="en-GB"/>
        </w:rPr>
      </w:pPr>
    </w:p>
    <w:p w14:paraId="56442A86" w14:textId="4A1F9AD4" w:rsidR="00AA32DA" w:rsidRDefault="00AA32DA" w:rsidP="004A5151">
      <w:pPr>
        <w:autoSpaceDE w:val="0"/>
        <w:autoSpaceDN w:val="0"/>
        <w:adjustRightInd w:val="0"/>
        <w:jc w:val="both"/>
        <w:rPr>
          <w:lang w:val="en-GB"/>
        </w:rPr>
      </w:pPr>
    </w:p>
    <w:p w14:paraId="2C48F6E2" w14:textId="57379E29"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2602" w14:textId="77777777" w:rsidR="003E4CA6" w:rsidRDefault="003E4CA6" w:rsidP="00005691">
      <w:r>
        <w:separator/>
      </w:r>
    </w:p>
  </w:endnote>
  <w:endnote w:type="continuationSeparator" w:id="0">
    <w:p w14:paraId="4ED355A6" w14:textId="77777777" w:rsidR="003E4CA6" w:rsidRDefault="003E4CA6"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E230" w14:textId="77777777" w:rsidR="003E4CA6" w:rsidRDefault="003E4CA6" w:rsidP="00005691">
      <w:r>
        <w:separator/>
      </w:r>
    </w:p>
  </w:footnote>
  <w:footnote w:type="continuationSeparator" w:id="0">
    <w:p w14:paraId="72CBD5DA" w14:textId="77777777" w:rsidR="003E4CA6" w:rsidRDefault="003E4CA6" w:rsidP="00005691">
      <w:r>
        <w:continuationSeparator/>
      </w:r>
    </w:p>
  </w:footnote>
  <w:footnote w:id="1">
    <w:p w14:paraId="4A7049A2" w14:textId="77777777" w:rsidR="001C4971" w:rsidRPr="00786547" w:rsidRDefault="001C4971" w:rsidP="00B072CA">
      <w:pPr>
        <w:pStyle w:val="FootnoteText"/>
        <w:spacing w:line="240" w:lineRule="auto"/>
        <w:jc w:val="both"/>
        <w:rPr>
          <w:lang w:val="en-US"/>
        </w:rPr>
      </w:pPr>
      <w:r>
        <w:rPr>
          <w:rStyle w:val="FootnoteReference"/>
        </w:rPr>
        <w:footnoteRef/>
      </w:r>
      <w:r>
        <w:t xml:space="preserve"> </w:t>
      </w:r>
      <w:r>
        <w:rPr>
          <w:lang w:val="en-US"/>
        </w:rPr>
        <w:t>One of the grounds of appeal is that the magistrate erred in rejecting the appellant’s evidence in respect of his assault.</w:t>
      </w:r>
    </w:p>
  </w:footnote>
  <w:footnote w:id="2">
    <w:p w14:paraId="50C5A8C3" w14:textId="77777777" w:rsidR="001C4971" w:rsidRPr="0067105C" w:rsidRDefault="001C4971" w:rsidP="00B072CA">
      <w:pPr>
        <w:pStyle w:val="FootnoteText"/>
        <w:spacing w:line="240" w:lineRule="auto"/>
        <w:jc w:val="both"/>
        <w:rPr>
          <w:lang w:val="en-US"/>
        </w:rPr>
      </w:pPr>
      <w:r>
        <w:rPr>
          <w:rStyle w:val="FootnoteReference"/>
        </w:rPr>
        <w:footnoteRef/>
      </w:r>
      <w:r>
        <w:t xml:space="preserve"> See, in general, </w:t>
      </w:r>
      <w:r>
        <w:rPr>
          <w:i/>
          <w:iCs/>
        </w:rPr>
        <w:t>HAL obo MML v MEC for Health, Free State</w:t>
      </w:r>
      <w:r>
        <w:t xml:space="preserve"> 2022 (3) SA 571 (SCA).</w:t>
      </w:r>
    </w:p>
  </w:footnote>
  <w:footnote w:id="3">
    <w:p w14:paraId="49E823AC" w14:textId="77777777" w:rsidR="001C4971" w:rsidRPr="00BC131B" w:rsidRDefault="001C4971" w:rsidP="00B072CA">
      <w:pPr>
        <w:pStyle w:val="FootnoteText"/>
        <w:spacing w:line="240" w:lineRule="auto"/>
        <w:jc w:val="both"/>
        <w:rPr>
          <w:lang w:val="en-US"/>
        </w:rPr>
      </w:pPr>
      <w:r>
        <w:rPr>
          <w:rStyle w:val="FootnoteReference"/>
        </w:rPr>
        <w:footnoteRef/>
      </w:r>
      <w:r>
        <w:t xml:space="preserve"> </w:t>
      </w:r>
      <w:r>
        <w:rPr>
          <w:lang w:val="en-US"/>
        </w:rPr>
        <w:t>Act 51 of 1977.</w:t>
      </w:r>
    </w:p>
  </w:footnote>
  <w:footnote w:id="4">
    <w:p w14:paraId="69AD475D" w14:textId="77777777" w:rsidR="001C4971" w:rsidRPr="00022786" w:rsidRDefault="001C4971" w:rsidP="00B072CA">
      <w:pPr>
        <w:pStyle w:val="FootnoteText"/>
        <w:spacing w:line="240" w:lineRule="auto"/>
        <w:jc w:val="both"/>
        <w:rPr>
          <w:lang w:val="en-US"/>
        </w:rPr>
      </w:pPr>
      <w:r>
        <w:rPr>
          <w:rStyle w:val="FootnoteReference"/>
        </w:rPr>
        <w:footnoteRef/>
      </w:r>
      <w:r>
        <w:t xml:space="preserve"> </w:t>
      </w:r>
      <w:r>
        <w:rPr>
          <w:lang w:val="en-US"/>
        </w:rPr>
        <w:t>S 49(2), dealing with an arrestor’s attempt to arrest a resisting and / or fleeing suspect, is couched in similar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557309EA"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2A37">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551CB"/>
    <w:multiLevelType w:val="hybridMultilevel"/>
    <w:tmpl w:val="623E5082"/>
    <w:lvl w:ilvl="0" w:tplc="D32489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182968">
    <w:abstractNumId w:val="2"/>
  </w:num>
  <w:num w:numId="2" w16cid:durableId="1092164303">
    <w:abstractNumId w:val="0"/>
  </w:num>
  <w:num w:numId="3" w16cid:durableId="177275237">
    <w:abstractNumId w:val="4"/>
  </w:num>
  <w:num w:numId="4" w16cid:durableId="1268268320">
    <w:abstractNumId w:val="3"/>
  </w:num>
  <w:num w:numId="5" w16cid:durableId="27804271">
    <w:abstractNumId w:val="8"/>
  </w:num>
  <w:num w:numId="6" w16cid:durableId="1216044859">
    <w:abstractNumId w:val="6"/>
  </w:num>
  <w:num w:numId="7" w16cid:durableId="1658533393">
    <w:abstractNumId w:val="11"/>
  </w:num>
  <w:num w:numId="8" w16cid:durableId="1257789095">
    <w:abstractNumId w:val="1"/>
  </w:num>
  <w:num w:numId="9" w16cid:durableId="1428960399">
    <w:abstractNumId w:val="5"/>
  </w:num>
  <w:num w:numId="10" w16cid:durableId="653797157">
    <w:abstractNumId w:val="7"/>
  </w:num>
  <w:num w:numId="11" w16cid:durableId="383599799">
    <w:abstractNumId w:val="9"/>
  </w:num>
  <w:num w:numId="12" w16cid:durableId="1856531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1D12"/>
    <w:rsid w:val="0000217A"/>
    <w:rsid w:val="00004E1E"/>
    <w:rsid w:val="00005691"/>
    <w:rsid w:val="00005ABB"/>
    <w:rsid w:val="00005BC2"/>
    <w:rsid w:val="0000642E"/>
    <w:rsid w:val="00006EF3"/>
    <w:rsid w:val="00007087"/>
    <w:rsid w:val="00007904"/>
    <w:rsid w:val="000109B4"/>
    <w:rsid w:val="00012A2F"/>
    <w:rsid w:val="00014437"/>
    <w:rsid w:val="00014770"/>
    <w:rsid w:val="00015E75"/>
    <w:rsid w:val="00016FDA"/>
    <w:rsid w:val="000220C3"/>
    <w:rsid w:val="00022786"/>
    <w:rsid w:val="00022804"/>
    <w:rsid w:val="0002457C"/>
    <w:rsid w:val="00025909"/>
    <w:rsid w:val="00027DA3"/>
    <w:rsid w:val="00030A25"/>
    <w:rsid w:val="00031F41"/>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514"/>
    <w:rsid w:val="000536DD"/>
    <w:rsid w:val="00053D81"/>
    <w:rsid w:val="00054DEC"/>
    <w:rsid w:val="00056042"/>
    <w:rsid w:val="00056FBA"/>
    <w:rsid w:val="000574BF"/>
    <w:rsid w:val="00063188"/>
    <w:rsid w:val="00063C6E"/>
    <w:rsid w:val="00063D5A"/>
    <w:rsid w:val="0007050F"/>
    <w:rsid w:val="0007234C"/>
    <w:rsid w:val="00073AA6"/>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4373"/>
    <w:rsid w:val="000A553A"/>
    <w:rsid w:val="000A59DC"/>
    <w:rsid w:val="000B0946"/>
    <w:rsid w:val="000B0DC8"/>
    <w:rsid w:val="000B26AE"/>
    <w:rsid w:val="000B26CF"/>
    <w:rsid w:val="000B5790"/>
    <w:rsid w:val="000B5FBC"/>
    <w:rsid w:val="000B6309"/>
    <w:rsid w:val="000B643B"/>
    <w:rsid w:val="000B78EC"/>
    <w:rsid w:val="000C1FE6"/>
    <w:rsid w:val="000C2D21"/>
    <w:rsid w:val="000C3531"/>
    <w:rsid w:val="000C3620"/>
    <w:rsid w:val="000C39A5"/>
    <w:rsid w:val="000C450C"/>
    <w:rsid w:val="000C7746"/>
    <w:rsid w:val="000C7A27"/>
    <w:rsid w:val="000D085B"/>
    <w:rsid w:val="000D0D78"/>
    <w:rsid w:val="000D22FB"/>
    <w:rsid w:val="000D487F"/>
    <w:rsid w:val="000D4BFA"/>
    <w:rsid w:val="000D667A"/>
    <w:rsid w:val="000E118E"/>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26A"/>
    <w:rsid w:val="00110A25"/>
    <w:rsid w:val="00110EF0"/>
    <w:rsid w:val="001124A5"/>
    <w:rsid w:val="001133EC"/>
    <w:rsid w:val="00116EB9"/>
    <w:rsid w:val="00120E93"/>
    <w:rsid w:val="001226DE"/>
    <w:rsid w:val="00123296"/>
    <w:rsid w:val="0012609F"/>
    <w:rsid w:val="0012621C"/>
    <w:rsid w:val="00130228"/>
    <w:rsid w:val="00131984"/>
    <w:rsid w:val="00131A28"/>
    <w:rsid w:val="001323D8"/>
    <w:rsid w:val="00132636"/>
    <w:rsid w:val="001337CC"/>
    <w:rsid w:val="00134C11"/>
    <w:rsid w:val="00135C81"/>
    <w:rsid w:val="00137E08"/>
    <w:rsid w:val="00142F79"/>
    <w:rsid w:val="001435EB"/>
    <w:rsid w:val="00144974"/>
    <w:rsid w:val="00146BA3"/>
    <w:rsid w:val="001517E0"/>
    <w:rsid w:val="00156977"/>
    <w:rsid w:val="00157785"/>
    <w:rsid w:val="00157898"/>
    <w:rsid w:val="00157C19"/>
    <w:rsid w:val="00160EBC"/>
    <w:rsid w:val="00160F58"/>
    <w:rsid w:val="00163A58"/>
    <w:rsid w:val="00164B7B"/>
    <w:rsid w:val="00172B5C"/>
    <w:rsid w:val="00173547"/>
    <w:rsid w:val="00174B6D"/>
    <w:rsid w:val="0017614D"/>
    <w:rsid w:val="0018006A"/>
    <w:rsid w:val="00180F4E"/>
    <w:rsid w:val="00181923"/>
    <w:rsid w:val="00181BAB"/>
    <w:rsid w:val="00181E7E"/>
    <w:rsid w:val="00182175"/>
    <w:rsid w:val="00184625"/>
    <w:rsid w:val="00186769"/>
    <w:rsid w:val="001870AF"/>
    <w:rsid w:val="00191768"/>
    <w:rsid w:val="00192869"/>
    <w:rsid w:val="001943D2"/>
    <w:rsid w:val="001954F0"/>
    <w:rsid w:val="00195571"/>
    <w:rsid w:val="001955AB"/>
    <w:rsid w:val="00196742"/>
    <w:rsid w:val="001A4DF0"/>
    <w:rsid w:val="001A4F33"/>
    <w:rsid w:val="001B0D01"/>
    <w:rsid w:val="001B2578"/>
    <w:rsid w:val="001B2FE4"/>
    <w:rsid w:val="001B505F"/>
    <w:rsid w:val="001B69E3"/>
    <w:rsid w:val="001C04BC"/>
    <w:rsid w:val="001C21FE"/>
    <w:rsid w:val="001C2DD7"/>
    <w:rsid w:val="001C48A5"/>
    <w:rsid w:val="001C4971"/>
    <w:rsid w:val="001C7061"/>
    <w:rsid w:val="001D0962"/>
    <w:rsid w:val="001D214B"/>
    <w:rsid w:val="001D4C5E"/>
    <w:rsid w:val="001D5A9D"/>
    <w:rsid w:val="001D5F83"/>
    <w:rsid w:val="001D61C8"/>
    <w:rsid w:val="001E0F36"/>
    <w:rsid w:val="001E13B0"/>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2BCA"/>
    <w:rsid w:val="00202C34"/>
    <w:rsid w:val="00206D6C"/>
    <w:rsid w:val="00207573"/>
    <w:rsid w:val="002115FE"/>
    <w:rsid w:val="00212F4F"/>
    <w:rsid w:val="0021430F"/>
    <w:rsid w:val="00215224"/>
    <w:rsid w:val="00215EBC"/>
    <w:rsid w:val="0021681D"/>
    <w:rsid w:val="0021730A"/>
    <w:rsid w:val="00217399"/>
    <w:rsid w:val="002203EC"/>
    <w:rsid w:val="00222854"/>
    <w:rsid w:val="00224363"/>
    <w:rsid w:val="00224BC3"/>
    <w:rsid w:val="0022594E"/>
    <w:rsid w:val="00226444"/>
    <w:rsid w:val="00226ADA"/>
    <w:rsid w:val="00227379"/>
    <w:rsid w:val="00231325"/>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5A1"/>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52C4"/>
    <w:rsid w:val="00285664"/>
    <w:rsid w:val="00287A18"/>
    <w:rsid w:val="00287A26"/>
    <w:rsid w:val="00290DC6"/>
    <w:rsid w:val="00290E4B"/>
    <w:rsid w:val="00290E92"/>
    <w:rsid w:val="0029395B"/>
    <w:rsid w:val="00294129"/>
    <w:rsid w:val="00294313"/>
    <w:rsid w:val="00294E3E"/>
    <w:rsid w:val="002960D0"/>
    <w:rsid w:val="002A01B5"/>
    <w:rsid w:val="002A060A"/>
    <w:rsid w:val="002A080F"/>
    <w:rsid w:val="002A0EB5"/>
    <w:rsid w:val="002A157A"/>
    <w:rsid w:val="002A1950"/>
    <w:rsid w:val="002A1D97"/>
    <w:rsid w:val="002A1E2F"/>
    <w:rsid w:val="002A21AF"/>
    <w:rsid w:val="002A2AA4"/>
    <w:rsid w:val="002A32F4"/>
    <w:rsid w:val="002A3836"/>
    <w:rsid w:val="002A3C5C"/>
    <w:rsid w:val="002A61D9"/>
    <w:rsid w:val="002A6332"/>
    <w:rsid w:val="002A6593"/>
    <w:rsid w:val="002A6B82"/>
    <w:rsid w:val="002A73A7"/>
    <w:rsid w:val="002B31B7"/>
    <w:rsid w:val="002B3FE3"/>
    <w:rsid w:val="002B54B7"/>
    <w:rsid w:val="002B6730"/>
    <w:rsid w:val="002B7874"/>
    <w:rsid w:val="002C1ECF"/>
    <w:rsid w:val="002C1ED3"/>
    <w:rsid w:val="002C3092"/>
    <w:rsid w:val="002C3A0D"/>
    <w:rsid w:val="002C45D8"/>
    <w:rsid w:val="002C7128"/>
    <w:rsid w:val="002D4CBC"/>
    <w:rsid w:val="002D6D70"/>
    <w:rsid w:val="002E0CCA"/>
    <w:rsid w:val="002E141A"/>
    <w:rsid w:val="002E1B95"/>
    <w:rsid w:val="002E3EC7"/>
    <w:rsid w:val="002E4808"/>
    <w:rsid w:val="002E483E"/>
    <w:rsid w:val="002E7045"/>
    <w:rsid w:val="002E7199"/>
    <w:rsid w:val="002E7EF8"/>
    <w:rsid w:val="002F012F"/>
    <w:rsid w:val="002F0513"/>
    <w:rsid w:val="002F0990"/>
    <w:rsid w:val="002F0C58"/>
    <w:rsid w:val="002F13D1"/>
    <w:rsid w:val="002F37F8"/>
    <w:rsid w:val="002F4EDB"/>
    <w:rsid w:val="002F60D3"/>
    <w:rsid w:val="002F6DAE"/>
    <w:rsid w:val="002F7574"/>
    <w:rsid w:val="00300A59"/>
    <w:rsid w:val="0030214A"/>
    <w:rsid w:val="00302E78"/>
    <w:rsid w:val="00306288"/>
    <w:rsid w:val="00312367"/>
    <w:rsid w:val="003140F9"/>
    <w:rsid w:val="003148EA"/>
    <w:rsid w:val="003150CA"/>
    <w:rsid w:val="00315CB8"/>
    <w:rsid w:val="00315D8D"/>
    <w:rsid w:val="003165F6"/>
    <w:rsid w:val="003168ED"/>
    <w:rsid w:val="003172EB"/>
    <w:rsid w:val="00317AB4"/>
    <w:rsid w:val="00321E11"/>
    <w:rsid w:val="003228A7"/>
    <w:rsid w:val="00324CE8"/>
    <w:rsid w:val="00325BD4"/>
    <w:rsid w:val="00326077"/>
    <w:rsid w:val="00326A33"/>
    <w:rsid w:val="0032785C"/>
    <w:rsid w:val="00327AA0"/>
    <w:rsid w:val="00327E36"/>
    <w:rsid w:val="00327E53"/>
    <w:rsid w:val="00330795"/>
    <w:rsid w:val="00330E85"/>
    <w:rsid w:val="0033219D"/>
    <w:rsid w:val="00334624"/>
    <w:rsid w:val="00335693"/>
    <w:rsid w:val="00335897"/>
    <w:rsid w:val="0033634C"/>
    <w:rsid w:val="0033669D"/>
    <w:rsid w:val="003367DD"/>
    <w:rsid w:val="003433AD"/>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149B"/>
    <w:rsid w:val="00362A40"/>
    <w:rsid w:val="00363BF3"/>
    <w:rsid w:val="003649E8"/>
    <w:rsid w:val="00366631"/>
    <w:rsid w:val="003679D5"/>
    <w:rsid w:val="00367B79"/>
    <w:rsid w:val="003700BB"/>
    <w:rsid w:val="0037015D"/>
    <w:rsid w:val="0037217E"/>
    <w:rsid w:val="00372321"/>
    <w:rsid w:val="003738A1"/>
    <w:rsid w:val="00373BB6"/>
    <w:rsid w:val="00374F02"/>
    <w:rsid w:val="00375614"/>
    <w:rsid w:val="003757DC"/>
    <w:rsid w:val="00380E60"/>
    <w:rsid w:val="00381483"/>
    <w:rsid w:val="0038158D"/>
    <w:rsid w:val="00381C36"/>
    <w:rsid w:val="00381D62"/>
    <w:rsid w:val="003869D5"/>
    <w:rsid w:val="003905B9"/>
    <w:rsid w:val="0039206E"/>
    <w:rsid w:val="00392A4B"/>
    <w:rsid w:val="00392AA2"/>
    <w:rsid w:val="00393BA3"/>
    <w:rsid w:val="0039527F"/>
    <w:rsid w:val="00395A71"/>
    <w:rsid w:val="0039682A"/>
    <w:rsid w:val="003A31D5"/>
    <w:rsid w:val="003A37F4"/>
    <w:rsid w:val="003A4F1D"/>
    <w:rsid w:val="003A4F95"/>
    <w:rsid w:val="003A62CC"/>
    <w:rsid w:val="003A6F71"/>
    <w:rsid w:val="003A745C"/>
    <w:rsid w:val="003A7AA6"/>
    <w:rsid w:val="003B01D4"/>
    <w:rsid w:val="003B10EC"/>
    <w:rsid w:val="003B1570"/>
    <w:rsid w:val="003B21BF"/>
    <w:rsid w:val="003B3C31"/>
    <w:rsid w:val="003B43B8"/>
    <w:rsid w:val="003B5FEE"/>
    <w:rsid w:val="003B76D9"/>
    <w:rsid w:val="003B7FC4"/>
    <w:rsid w:val="003C0416"/>
    <w:rsid w:val="003C0CEB"/>
    <w:rsid w:val="003C0D13"/>
    <w:rsid w:val="003C14B7"/>
    <w:rsid w:val="003C351A"/>
    <w:rsid w:val="003C3BC6"/>
    <w:rsid w:val="003C5934"/>
    <w:rsid w:val="003C7080"/>
    <w:rsid w:val="003D11D0"/>
    <w:rsid w:val="003D239A"/>
    <w:rsid w:val="003D2C74"/>
    <w:rsid w:val="003D5245"/>
    <w:rsid w:val="003D5507"/>
    <w:rsid w:val="003D5A10"/>
    <w:rsid w:val="003D5E6D"/>
    <w:rsid w:val="003D7CB9"/>
    <w:rsid w:val="003E0F7C"/>
    <w:rsid w:val="003E13B9"/>
    <w:rsid w:val="003E2B73"/>
    <w:rsid w:val="003E2F03"/>
    <w:rsid w:val="003E3BBF"/>
    <w:rsid w:val="003E424A"/>
    <w:rsid w:val="003E4CA6"/>
    <w:rsid w:val="003E75F3"/>
    <w:rsid w:val="003F0D9E"/>
    <w:rsid w:val="003F1974"/>
    <w:rsid w:val="003F2109"/>
    <w:rsid w:val="003F3FBF"/>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65B0"/>
    <w:rsid w:val="004165C1"/>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0A06"/>
    <w:rsid w:val="00441E70"/>
    <w:rsid w:val="00443779"/>
    <w:rsid w:val="00443CCC"/>
    <w:rsid w:val="004441E4"/>
    <w:rsid w:val="004448E8"/>
    <w:rsid w:val="004474FB"/>
    <w:rsid w:val="00447559"/>
    <w:rsid w:val="004504CD"/>
    <w:rsid w:val="0045063C"/>
    <w:rsid w:val="004528CC"/>
    <w:rsid w:val="004529C3"/>
    <w:rsid w:val="0045608B"/>
    <w:rsid w:val="004573C3"/>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6114"/>
    <w:rsid w:val="004863E4"/>
    <w:rsid w:val="0048651C"/>
    <w:rsid w:val="00487264"/>
    <w:rsid w:val="00490D2A"/>
    <w:rsid w:val="0049105D"/>
    <w:rsid w:val="004918C4"/>
    <w:rsid w:val="004932A2"/>
    <w:rsid w:val="00495419"/>
    <w:rsid w:val="00496E8C"/>
    <w:rsid w:val="00496EAA"/>
    <w:rsid w:val="004A00B9"/>
    <w:rsid w:val="004A08D7"/>
    <w:rsid w:val="004A5151"/>
    <w:rsid w:val="004A5DB1"/>
    <w:rsid w:val="004A687F"/>
    <w:rsid w:val="004A7359"/>
    <w:rsid w:val="004B3161"/>
    <w:rsid w:val="004B5464"/>
    <w:rsid w:val="004B5BAF"/>
    <w:rsid w:val="004B5CB4"/>
    <w:rsid w:val="004B632A"/>
    <w:rsid w:val="004B7E82"/>
    <w:rsid w:val="004C06AD"/>
    <w:rsid w:val="004C0946"/>
    <w:rsid w:val="004C09B9"/>
    <w:rsid w:val="004C0C08"/>
    <w:rsid w:val="004C13CF"/>
    <w:rsid w:val="004C7EB2"/>
    <w:rsid w:val="004D0163"/>
    <w:rsid w:val="004D0AC5"/>
    <w:rsid w:val="004D19EB"/>
    <w:rsid w:val="004D35C6"/>
    <w:rsid w:val="004E06B4"/>
    <w:rsid w:val="004E189A"/>
    <w:rsid w:val="004E1A28"/>
    <w:rsid w:val="004E2076"/>
    <w:rsid w:val="004E318F"/>
    <w:rsid w:val="004E5A0A"/>
    <w:rsid w:val="004E6694"/>
    <w:rsid w:val="004E6764"/>
    <w:rsid w:val="004E741B"/>
    <w:rsid w:val="004E791F"/>
    <w:rsid w:val="004F021C"/>
    <w:rsid w:val="004F1757"/>
    <w:rsid w:val="004F1D20"/>
    <w:rsid w:val="004F326C"/>
    <w:rsid w:val="004F38A6"/>
    <w:rsid w:val="004F444A"/>
    <w:rsid w:val="004F5575"/>
    <w:rsid w:val="004F79D9"/>
    <w:rsid w:val="005014BC"/>
    <w:rsid w:val="00501617"/>
    <w:rsid w:val="00502229"/>
    <w:rsid w:val="005030DE"/>
    <w:rsid w:val="0050634D"/>
    <w:rsid w:val="005078B2"/>
    <w:rsid w:val="005079C1"/>
    <w:rsid w:val="00507BBF"/>
    <w:rsid w:val="00511260"/>
    <w:rsid w:val="00511565"/>
    <w:rsid w:val="0051172C"/>
    <w:rsid w:val="00512591"/>
    <w:rsid w:val="0051380C"/>
    <w:rsid w:val="00514878"/>
    <w:rsid w:val="0051706E"/>
    <w:rsid w:val="00517137"/>
    <w:rsid w:val="00517C52"/>
    <w:rsid w:val="00520E7F"/>
    <w:rsid w:val="00523DBC"/>
    <w:rsid w:val="005244E9"/>
    <w:rsid w:val="00525DF3"/>
    <w:rsid w:val="00530509"/>
    <w:rsid w:val="00532080"/>
    <w:rsid w:val="005448C6"/>
    <w:rsid w:val="00545009"/>
    <w:rsid w:val="00545140"/>
    <w:rsid w:val="00545668"/>
    <w:rsid w:val="0054722D"/>
    <w:rsid w:val="0055098F"/>
    <w:rsid w:val="005517B9"/>
    <w:rsid w:val="00553E7D"/>
    <w:rsid w:val="005542BD"/>
    <w:rsid w:val="00556489"/>
    <w:rsid w:val="00556EDA"/>
    <w:rsid w:val="00556FC7"/>
    <w:rsid w:val="005573D6"/>
    <w:rsid w:val="0056029F"/>
    <w:rsid w:val="0056117A"/>
    <w:rsid w:val="0056509F"/>
    <w:rsid w:val="00565326"/>
    <w:rsid w:val="00570A0D"/>
    <w:rsid w:val="00572ABA"/>
    <w:rsid w:val="00574ACC"/>
    <w:rsid w:val="005754FC"/>
    <w:rsid w:val="00575F9C"/>
    <w:rsid w:val="00576979"/>
    <w:rsid w:val="00577C06"/>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346D"/>
    <w:rsid w:val="005B649F"/>
    <w:rsid w:val="005B6522"/>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D7601"/>
    <w:rsid w:val="005E143D"/>
    <w:rsid w:val="005E2F30"/>
    <w:rsid w:val="005E3541"/>
    <w:rsid w:val="005E560B"/>
    <w:rsid w:val="005E601A"/>
    <w:rsid w:val="005F03D5"/>
    <w:rsid w:val="005F04A5"/>
    <w:rsid w:val="005F158C"/>
    <w:rsid w:val="005F236B"/>
    <w:rsid w:val="005F3BDF"/>
    <w:rsid w:val="005F5E85"/>
    <w:rsid w:val="005F6D85"/>
    <w:rsid w:val="005F77BC"/>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4F2"/>
    <w:rsid w:val="00617A30"/>
    <w:rsid w:val="00617F99"/>
    <w:rsid w:val="006215E6"/>
    <w:rsid w:val="00621B4B"/>
    <w:rsid w:val="0062231B"/>
    <w:rsid w:val="006232F1"/>
    <w:rsid w:val="00623DDE"/>
    <w:rsid w:val="00624695"/>
    <w:rsid w:val="006249C3"/>
    <w:rsid w:val="00625D2D"/>
    <w:rsid w:val="006271A4"/>
    <w:rsid w:val="00630138"/>
    <w:rsid w:val="006313FC"/>
    <w:rsid w:val="006332F2"/>
    <w:rsid w:val="00634B17"/>
    <w:rsid w:val="00636711"/>
    <w:rsid w:val="00637A17"/>
    <w:rsid w:val="00640CD9"/>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5C"/>
    <w:rsid w:val="006710E7"/>
    <w:rsid w:val="00671A0B"/>
    <w:rsid w:val="0067210D"/>
    <w:rsid w:val="00675C81"/>
    <w:rsid w:val="0068034D"/>
    <w:rsid w:val="00681152"/>
    <w:rsid w:val="0068222C"/>
    <w:rsid w:val="00682987"/>
    <w:rsid w:val="00682CE5"/>
    <w:rsid w:val="0068388C"/>
    <w:rsid w:val="006841DC"/>
    <w:rsid w:val="0068468E"/>
    <w:rsid w:val="00685DAD"/>
    <w:rsid w:val="0068615D"/>
    <w:rsid w:val="0068675A"/>
    <w:rsid w:val="0069106B"/>
    <w:rsid w:val="00691AF2"/>
    <w:rsid w:val="00691CB2"/>
    <w:rsid w:val="00694527"/>
    <w:rsid w:val="0069550C"/>
    <w:rsid w:val="00697465"/>
    <w:rsid w:val="00697C2B"/>
    <w:rsid w:val="00697EB1"/>
    <w:rsid w:val="006A2310"/>
    <w:rsid w:val="006A2706"/>
    <w:rsid w:val="006A498B"/>
    <w:rsid w:val="006B0087"/>
    <w:rsid w:val="006B150C"/>
    <w:rsid w:val="006B1DCE"/>
    <w:rsid w:val="006B42B2"/>
    <w:rsid w:val="006B6180"/>
    <w:rsid w:val="006B692B"/>
    <w:rsid w:val="006C177A"/>
    <w:rsid w:val="006C1B13"/>
    <w:rsid w:val="006C32C4"/>
    <w:rsid w:val="006C664B"/>
    <w:rsid w:val="006D067F"/>
    <w:rsid w:val="006D07FB"/>
    <w:rsid w:val="006D0C38"/>
    <w:rsid w:val="006D5A67"/>
    <w:rsid w:val="006D5DC9"/>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3FC7"/>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0778"/>
    <w:rsid w:val="00723A5D"/>
    <w:rsid w:val="00724B29"/>
    <w:rsid w:val="00727A78"/>
    <w:rsid w:val="00730A5A"/>
    <w:rsid w:val="00731207"/>
    <w:rsid w:val="00734430"/>
    <w:rsid w:val="00737014"/>
    <w:rsid w:val="00740299"/>
    <w:rsid w:val="0074053C"/>
    <w:rsid w:val="00743D4D"/>
    <w:rsid w:val="00743EB1"/>
    <w:rsid w:val="0074485F"/>
    <w:rsid w:val="007451A8"/>
    <w:rsid w:val="00745BF2"/>
    <w:rsid w:val="00745E2B"/>
    <w:rsid w:val="00746757"/>
    <w:rsid w:val="00751ADD"/>
    <w:rsid w:val="007520F6"/>
    <w:rsid w:val="007532C0"/>
    <w:rsid w:val="00756020"/>
    <w:rsid w:val="00756098"/>
    <w:rsid w:val="00757526"/>
    <w:rsid w:val="00757F3C"/>
    <w:rsid w:val="00761EA9"/>
    <w:rsid w:val="00761F32"/>
    <w:rsid w:val="007631E0"/>
    <w:rsid w:val="00763628"/>
    <w:rsid w:val="0076394A"/>
    <w:rsid w:val="00763BF3"/>
    <w:rsid w:val="00764F87"/>
    <w:rsid w:val="00767A6B"/>
    <w:rsid w:val="00771094"/>
    <w:rsid w:val="00771421"/>
    <w:rsid w:val="00772E4B"/>
    <w:rsid w:val="007744D5"/>
    <w:rsid w:val="0077459E"/>
    <w:rsid w:val="00775448"/>
    <w:rsid w:val="0077676B"/>
    <w:rsid w:val="007811BE"/>
    <w:rsid w:val="00782782"/>
    <w:rsid w:val="007841E0"/>
    <w:rsid w:val="007863FC"/>
    <w:rsid w:val="00786547"/>
    <w:rsid w:val="007866DC"/>
    <w:rsid w:val="00791465"/>
    <w:rsid w:val="0079276A"/>
    <w:rsid w:val="00794AA8"/>
    <w:rsid w:val="007954AD"/>
    <w:rsid w:val="00796986"/>
    <w:rsid w:val="00796F39"/>
    <w:rsid w:val="00796F7A"/>
    <w:rsid w:val="00797A49"/>
    <w:rsid w:val="007A1488"/>
    <w:rsid w:val="007A1A81"/>
    <w:rsid w:val="007A2884"/>
    <w:rsid w:val="007A3705"/>
    <w:rsid w:val="007A39B0"/>
    <w:rsid w:val="007A52F1"/>
    <w:rsid w:val="007A5C43"/>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7F4E9D"/>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42ED"/>
    <w:rsid w:val="008276BB"/>
    <w:rsid w:val="00830F6A"/>
    <w:rsid w:val="00832676"/>
    <w:rsid w:val="00832EA6"/>
    <w:rsid w:val="00832FD6"/>
    <w:rsid w:val="0083336E"/>
    <w:rsid w:val="00834066"/>
    <w:rsid w:val="008343B4"/>
    <w:rsid w:val="0083555A"/>
    <w:rsid w:val="00837B9A"/>
    <w:rsid w:val="00837E1F"/>
    <w:rsid w:val="008405CE"/>
    <w:rsid w:val="008405CF"/>
    <w:rsid w:val="00841726"/>
    <w:rsid w:val="008426AA"/>
    <w:rsid w:val="0084295A"/>
    <w:rsid w:val="00842D6F"/>
    <w:rsid w:val="0084393F"/>
    <w:rsid w:val="00846269"/>
    <w:rsid w:val="00851511"/>
    <w:rsid w:val="008536CA"/>
    <w:rsid w:val="0085474D"/>
    <w:rsid w:val="008547C2"/>
    <w:rsid w:val="00854A89"/>
    <w:rsid w:val="00855355"/>
    <w:rsid w:val="008557C2"/>
    <w:rsid w:val="00855F97"/>
    <w:rsid w:val="0086080D"/>
    <w:rsid w:val="008634DE"/>
    <w:rsid w:val="008647BD"/>
    <w:rsid w:val="008665C4"/>
    <w:rsid w:val="00866A8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B6A"/>
    <w:rsid w:val="00897057"/>
    <w:rsid w:val="008A0454"/>
    <w:rsid w:val="008A1381"/>
    <w:rsid w:val="008A1A60"/>
    <w:rsid w:val="008A3B56"/>
    <w:rsid w:val="008A4281"/>
    <w:rsid w:val="008A537D"/>
    <w:rsid w:val="008A53E2"/>
    <w:rsid w:val="008A7240"/>
    <w:rsid w:val="008A75F3"/>
    <w:rsid w:val="008A7BFC"/>
    <w:rsid w:val="008A7CF7"/>
    <w:rsid w:val="008A7FAD"/>
    <w:rsid w:val="008B02A9"/>
    <w:rsid w:val="008B100F"/>
    <w:rsid w:val="008B1DA6"/>
    <w:rsid w:val="008B3660"/>
    <w:rsid w:val="008C210D"/>
    <w:rsid w:val="008C2A05"/>
    <w:rsid w:val="008C3E59"/>
    <w:rsid w:val="008C480D"/>
    <w:rsid w:val="008C4C45"/>
    <w:rsid w:val="008C5DC5"/>
    <w:rsid w:val="008C6158"/>
    <w:rsid w:val="008C6257"/>
    <w:rsid w:val="008C651B"/>
    <w:rsid w:val="008C7138"/>
    <w:rsid w:val="008D2564"/>
    <w:rsid w:val="008D3C26"/>
    <w:rsid w:val="008D6B6C"/>
    <w:rsid w:val="008E1626"/>
    <w:rsid w:val="008E270C"/>
    <w:rsid w:val="008E51D4"/>
    <w:rsid w:val="008E66F8"/>
    <w:rsid w:val="008E74EF"/>
    <w:rsid w:val="008E7904"/>
    <w:rsid w:val="008E7EFA"/>
    <w:rsid w:val="008F051D"/>
    <w:rsid w:val="008F0A02"/>
    <w:rsid w:val="008F0FC5"/>
    <w:rsid w:val="008F0FD2"/>
    <w:rsid w:val="008F17A3"/>
    <w:rsid w:val="008F4376"/>
    <w:rsid w:val="008F59AF"/>
    <w:rsid w:val="008F5B07"/>
    <w:rsid w:val="008F61FC"/>
    <w:rsid w:val="008F74A5"/>
    <w:rsid w:val="00901474"/>
    <w:rsid w:val="009014FD"/>
    <w:rsid w:val="00902AA7"/>
    <w:rsid w:val="00902C55"/>
    <w:rsid w:val="00902F55"/>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7631"/>
    <w:rsid w:val="00927E7F"/>
    <w:rsid w:val="009300E6"/>
    <w:rsid w:val="00931856"/>
    <w:rsid w:val="00931957"/>
    <w:rsid w:val="00932259"/>
    <w:rsid w:val="00932265"/>
    <w:rsid w:val="0093486B"/>
    <w:rsid w:val="00937B2D"/>
    <w:rsid w:val="00937F6E"/>
    <w:rsid w:val="00940225"/>
    <w:rsid w:val="009429D4"/>
    <w:rsid w:val="00943D4D"/>
    <w:rsid w:val="00944464"/>
    <w:rsid w:val="00945BC4"/>
    <w:rsid w:val="009503FE"/>
    <w:rsid w:val="009512CC"/>
    <w:rsid w:val="009514CB"/>
    <w:rsid w:val="0095291D"/>
    <w:rsid w:val="00954778"/>
    <w:rsid w:val="0095687B"/>
    <w:rsid w:val="00957730"/>
    <w:rsid w:val="00960CDB"/>
    <w:rsid w:val="009623A2"/>
    <w:rsid w:val="00962E0E"/>
    <w:rsid w:val="00964882"/>
    <w:rsid w:val="009648F1"/>
    <w:rsid w:val="00964C44"/>
    <w:rsid w:val="00964DFA"/>
    <w:rsid w:val="0096634B"/>
    <w:rsid w:val="00967940"/>
    <w:rsid w:val="00967DDF"/>
    <w:rsid w:val="0097136D"/>
    <w:rsid w:val="00972155"/>
    <w:rsid w:val="009737E6"/>
    <w:rsid w:val="0097492C"/>
    <w:rsid w:val="00974E2D"/>
    <w:rsid w:val="00975DB5"/>
    <w:rsid w:val="00976DCD"/>
    <w:rsid w:val="00976F0D"/>
    <w:rsid w:val="0098066C"/>
    <w:rsid w:val="00980EEC"/>
    <w:rsid w:val="009812F2"/>
    <w:rsid w:val="009814B0"/>
    <w:rsid w:val="00981871"/>
    <w:rsid w:val="0098245C"/>
    <w:rsid w:val="00984181"/>
    <w:rsid w:val="0098571F"/>
    <w:rsid w:val="00987780"/>
    <w:rsid w:val="0099005D"/>
    <w:rsid w:val="00992B0D"/>
    <w:rsid w:val="0099632F"/>
    <w:rsid w:val="009969E0"/>
    <w:rsid w:val="00996B5C"/>
    <w:rsid w:val="009A0545"/>
    <w:rsid w:val="009A0B4E"/>
    <w:rsid w:val="009A1EC2"/>
    <w:rsid w:val="009A36AF"/>
    <w:rsid w:val="009A3E97"/>
    <w:rsid w:val="009A5644"/>
    <w:rsid w:val="009A591E"/>
    <w:rsid w:val="009A77E7"/>
    <w:rsid w:val="009B1B5C"/>
    <w:rsid w:val="009B306D"/>
    <w:rsid w:val="009B5983"/>
    <w:rsid w:val="009B7B65"/>
    <w:rsid w:val="009C052D"/>
    <w:rsid w:val="009C0582"/>
    <w:rsid w:val="009C09A0"/>
    <w:rsid w:val="009C2135"/>
    <w:rsid w:val="009C323D"/>
    <w:rsid w:val="009C36F1"/>
    <w:rsid w:val="009C3B51"/>
    <w:rsid w:val="009C3E3C"/>
    <w:rsid w:val="009C4C1F"/>
    <w:rsid w:val="009C4F54"/>
    <w:rsid w:val="009C5271"/>
    <w:rsid w:val="009C63A4"/>
    <w:rsid w:val="009C63D5"/>
    <w:rsid w:val="009C6B5F"/>
    <w:rsid w:val="009C787C"/>
    <w:rsid w:val="009C7CE6"/>
    <w:rsid w:val="009C7FC6"/>
    <w:rsid w:val="009D161A"/>
    <w:rsid w:val="009D1693"/>
    <w:rsid w:val="009D1BCC"/>
    <w:rsid w:val="009D1ED8"/>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914"/>
    <w:rsid w:val="00A12EEB"/>
    <w:rsid w:val="00A14173"/>
    <w:rsid w:val="00A16259"/>
    <w:rsid w:val="00A167B8"/>
    <w:rsid w:val="00A17060"/>
    <w:rsid w:val="00A17ED7"/>
    <w:rsid w:val="00A20492"/>
    <w:rsid w:val="00A2185E"/>
    <w:rsid w:val="00A21919"/>
    <w:rsid w:val="00A26381"/>
    <w:rsid w:val="00A31C08"/>
    <w:rsid w:val="00A32889"/>
    <w:rsid w:val="00A331C2"/>
    <w:rsid w:val="00A36A40"/>
    <w:rsid w:val="00A36D42"/>
    <w:rsid w:val="00A414A1"/>
    <w:rsid w:val="00A415FC"/>
    <w:rsid w:val="00A41BC0"/>
    <w:rsid w:val="00A42893"/>
    <w:rsid w:val="00A42906"/>
    <w:rsid w:val="00A43E5D"/>
    <w:rsid w:val="00A45490"/>
    <w:rsid w:val="00A4723D"/>
    <w:rsid w:val="00A47250"/>
    <w:rsid w:val="00A5000D"/>
    <w:rsid w:val="00A5180C"/>
    <w:rsid w:val="00A521EE"/>
    <w:rsid w:val="00A5427C"/>
    <w:rsid w:val="00A603C3"/>
    <w:rsid w:val="00A61267"/>
    <w:rsid w:val="00A63829"/>
    <w:rsid w:val="00A64250"/>
    <w:rsid w:val="00A64FD8"/>
    <w:rsid w:val="00A6550F"/>
    <w:rsid w:val="00A65D40"/>
    <w:rsid w:val="00A67C97"/>
    <w:rsid w:val="00A70E2F"/>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1377"/>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29E0"/>
    <w:rsid w:val="00AB3F15"/>
    <w:rsid w:val="00AB43EE"/>
    <w:rsid w:val="00AB4F07"/>
    <w:rsid w:val="00AB5121"/>
    <w:rsid w:val="00AB51EA"/>
    <w:rsid w:val="00AB6F0C"/>
    <w:rsid w:val="00AC1EC5"/>
    <w:rsid w:val="00AC2C30"/>
    <w:rsid w:val="00AC4AC4"/>
    <w:rsid w:val="00AC6E2C"/>
    <w:rsid w:val="00AC7F40"/>
    <w:rsid w:val="00AC7FDF"/>
    <w:rsid w:val="00AD0544"/>
    <w:rsid w:val="00AD061A"/>
    <w:rsid w:val="00AD1C15"/>
    <w:rsid w:val="00AD35F0"/>
    <w:rsid w:val="00AD7ECC"/>
    <w:rsid w:val="00AE099A"/>
    <w:rsid w:val="00AE154F"/>
    <w:rsid w:val="00AE18E1"/>
    <w:rsid w:val="00AE1EE1"/>
    <w:rsid w:val="00AE207E"/>
    <w:rsid w:val="00AE2782"/>
    <w:rsid w:val="00AE2C20"/>
    <w:rsid w:val="00AE3DAE"/>
    <w:rsid w:val="00AE412E"/>
    <w:rsid w:val="00AE5E46"/>
    <w:rsid w:val="00AE6A03"/>
    <w:rsid w:val="00AE7287"/>
    <w:rsid w:val="00AF05EC"/>
    <w:rsid w:val="00AF2AE0"/>
    <w:rsid w:val="00AF399D"/>
    <w:rsid w:val="00AF3D6B"/>
    <w:rsid w:val="00AF4917"/>
    <w:rsid w:val="00AF4DC9"/>
    <w:rsid w:val="00AF6292"/>
    <w:rsid w:val="00AF680F"/>
    <w:rsid w:val="00AF6DF0"/>
    <w:rsid w:val="00B00514"/>
    <w:rsid w:val="00B00C04"/>
    <w:rsid w:val="00B01C2D"/>
    <w:rsid w:val="00B01E0B"/>
    <w:rsid w:val="00B01FAF"/>
    <w:rsid w:val="00B04260"/>
    <w:rsid w:val="00B04A4E"/>
    <w:rsid w:val="00B0511A"/>
    <w:rsid w:val="00B05D39"/>
    <w:rsid w:val="00B072CA"/>
    <w:rsid w:val="00B100BE"/>
    <w:rsid w:val="00B11284"/>
    <w:rsid w:val="00B117A2"/>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6696"/>
    <w:rsid w:val="00B418D6"/>
    <w:rsid w:val="00B446F9"/>
    <w:rsid w:val="00B50382"/>
    <w:rsid w:val="00B512A3"/>
    <w:rsid w:val="00B51F04"/>
    <w:rsid w:val="00B53331"/>
    <w:rsid w:val="00B559B2"/>
    <w:rsid w:val="00B565D4"/>
    <w:rsid w:val="00B56BAF"/>
    <w:rsid w:val="00B56D2F"/>
    <w:rsid w:val="00B56DA8"/>
    <w:rsid w:val="00B57BF8"/>
    <w:rsid w:val="00B6019B"/>
    <w:rsid w:val="00B60E51"/>
    <w:rsid w:val="00B61D16"/>
    <w:rsid w:val="00B63F7F"/>
    <w:rsid w:val="00B6537F"/>
    <w:rsid w:val="00B65433"/>
    <w:rsid w:val="00B65D0C"/>
    <w:rsid w:val="00B65DEE"/>
    <w:rsid w:val="00B673D7"/>
    <w:rsid w:val="00B71571"/>
    <w:rsid w:val="00B715B1"/>
    <w:rsid w:val="00B7619E"/>
    <w:rsid w:val="00B77677"/>
    <w:rsid w:val="00B77BF3"/>
    <w:rsid w:val="00B80DDC"/>
    <w:rsid w:val="00B83257"/>
    <w:rsid w:val="00B8381D"/>
    <w:rsid w:val="00B83946"/>
    <w:rsid w:val="00B84964"/>
    <w:rsid w:val="00B849F3"/>
    <w:rsid w:val="00B85F87"/>
    <w:rsid w:val="00B87DA9"/>
    <w:rsid w:val="00B9092D"/>
    <w:rsid w:val="00B91527"/>
    <w:rsid w:val="00B92470"/>
    <w:rsid w:val="00B929D1"/>
    <w:rsid w:val="00B93AC6"/>
    <w:rsid w:val="00B95349"/>
    <w:rsid w:val="00B955C0"/>
    <w:rsid w:val="00B95B9C"/>
    <w:rsid w:val="00B961E2"/>
    <w:rsid w:val="00B97589"/>
    <w:rsid w:val="00BA0067"/>
    <w:rsid w:val="00BA046C"/>
    <w:rsid w:val="00BA0F9A"/>
    <w:rsid w:val="00BA2179"/>
    <w:rsid w:val="00BA3F7B"/>
    <w:rsid w:val="00BA4669"/>
    <w:rsid w:val="00BA65AC"/>
    <w:rsid w:val="00BB2985"/>
    <w:rsid w:val="00BC0A20"/>
    <w:rsid w:val="00BC131B"/>
    <w:rsid w:val="00BC21A0"/>
    <w:rsid w:val="00BC4EF3"/>
    <w:rsid w:val="00BC77C0"/>
    <w:rsid w:val="00BD0B25"/>
    <w:rsid w:val="00BD234D"/>
    <w:rsid w:val="00BD2561"/>
    <w:rsid w:val="00BD3475"/>
    <w:rsid w:val="00BD46AA"/>
    <w:rsid w:val="00BD5DCD"/>
    <w:rsid w:val="00BD616D"/>
    <w:rsid w:val="00BD6C4D"/>
    <w:rsid w:val="00BD6CBB"/>
    <w:rsid w:val="00BE0997"/>
    <w:rsid w:val="00BE1907"/>
    <w:rsid w:val="00BE1A97"/>
    <w:rsid w:val="00BE3AF3"/>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0E"/>
    <w:rsid w:val="00C12B8C"/>
    <w:rsid w:val="00C12FA8"/>
    <w:rsid w:val="00C155D9"/>
    <w:rsid w:val="00C2211D"/>
    <w:rsid w:val="00C2344F"/>
    <w:rsid w:val="00C23717"/>
    <w:rsid w:val="00C246F2"/>
    <w:rsid w:val="00C262FE"/>
    <w:rsid w:val="00C26707"/>
    <w:rsid w:val="00C27719"/>
    <w:rsid w:val="00C31BCD"/>
    <w:rsid w:val="00C320EB"/>
    <w:rsid w:val="00C32F7B"/>
    <w:rsid w:val="00C3513F"/>
    <w:rsid w:val="00C355AA"/>
    <w:rsid w:val="00C36223"/>
    <w:rsid w:val="00C40725"/>
    <w:rsid w:val="00C4207E"/>
    <w:rsid w:val="00C451A3"/>
    <w:rsid w:val="00C4577E"/>
    <w:rsid w:val="00C50C8F"/>
    <w:rsid w:val="00C51156"/>
    <w:rsid w:val="00C53FD7"/>
    <w:rsid w:val="00C55C61"/>
    <w:rsid w:val="00C57047"/>
    <w:rsid w:val="00C62214"/>
    <w:rsid w:val="00C64F44"/>
    <w:rsid w:val="00C650ED"/>
    <w:rsid w:val="00C65132"/>
    <w:rsid w:val="00C65F6A"/>
    <w:rsid w:val="00C6742C"/>
    <w:rsid w:val="00C67F3E"/>
    <w:rsid w:val="00C70CD5"/>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9A9"/>
    <w:rsid w:val="00C97ACC"/>
    <w:rsid w:val="00CA181F"/>
    <w:rsid w:val="00CA22C7"/>
    <w:rsid w:val="00CA2A54"/>
    <w:rsid w:val="00CA3219"/>
    <w:rsid w:val="00CB01EB"/>
    <w:rsid w:val="00CB0DFA"/>
    <w:rsid w:val="00CB21DC"/>
    <w:rsid w:val="00CB250C"/>
    <w:rsid w:val="00CB34D5"/>
    <w:rsid w:val="00CB4C4E"/>
    <w:rsid w:val="00CB6CB0"/>
    <w:rsid w:val="00CC134C"/>
    <w:rsid w:val="00CC1E07"/>
    <w:rsid w:val="00CC36F9"/>
    <w:rsid w:val="00CC3E8F"/>
    <w:rsid w:val="00CD0BA2"/>
    <w:rsid w:val="00CD18DE"/>
    <w:rsid w:val="00CD3FE2"/>
    <w:rsid w:val="00CD643B"/>
    <w:rsid w:val="00CD7B7F"/>
    <w:rsid w:val="00CE0D42"/>
    <w:rsid w:val="00CE19D1"/>
    <w:rsid w:val="00CE23EF"/>
    <w:rsid w:val="00CE6197"/>
    <w:rsid w:val="00CE6490"/>
    <w:rsid w:val="00CE6BEE"/>
    <w:rsid w:val="00CE702E"/>
    <w:rsid w:val="00CE7723"/>
    <w:rsid w:val="00CF088A"/>
    <w:rsid w:val="00CF1AEC"/>
    <w:rsid w:val="00CF2A37"/>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5359"/>
    <w:rsid w:val="00D25E7D"/>
    <w:rsid w:val="00D261EA"/>
    <w:rsid w:val="00D26D6A"/>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24E"/>
    <w:rsid w:val="00D468AF"/>
    <w:rsid w:val="00D470FA"/>
    <w:rsid w:val="00D47F57"/>
    <w:rsid w:val="00D50983"/>
    <w:rsid w:val="00D53B35"/>
    <w:rsid w:val="00D5648F"/>
    <w:rsid w:val="00D56E3B"/>
    <w:rsid w:val="00D57CC2"/>
    <w:rsid w:val="00D616EC"/>
    <w:rsid w:val="00D648BA"/>
    <w:rsid w:val="00D64DA6"/>
    <w:rsid w:val="00D66709"/>
    <w:rsid w:val="00D66A4D"/>
    <w:rsid w:val="00D724E1"/>
    <w:rsid w:val="00D755D1"/>
    <w:rsid w:val="00D76A95"/>
    <w:rsid w:val="00D801E1"/>
    <w:rsid w:val="00D82515"/>
    <w:rsid w:val="00D82682"/>
    <w:rsid w:val="00D82E21"/>
    <w:rsid w:val="00D840E2"/>
    <w:rsid w:val="00D846FE"/>
    <w:rsid w:val="00D860CB"/>
    <w:rsid w:val="00D87C68"/>
    <w:rsid w:val="00D92783"/>
    <w:rsid w:val="00D92B70"/>
    <w:rsid w:val="00D92D3B"/>
    <w:rsid w:val="00D9352D"/>
    <w:rsid w:val="00D9456A"/>
    <w:rsid w:val="00D94B4E"/>
    <w:rsid w:val="00D94DBD"/>
    <w:rsid w:val="00D955C2"/>
    <w:rsid w:val="00DA00BB"/>
    <w:rsid w:val="00DA38F9"/>
    <w:rsid w:val="00DA776D"/>
    <w:rsid w:val="00DA7AAB"/>
    <w:rsid w:val="00DB0815"/>
    <w:rsid w:val="00DB1859"/>
    <w:rsid w:val="00DB20CF"/>
    <w:rsid w:val="00DB6676"/>
    <w:rsid w:val="00DB76EF"/>
    <w:rsid w:val="00DC2ABE"/>
    <w:rsid w:val="00DC5598"/>
    <w:rsid w:val="00DC59DE"/>
    <w:rsid w:val="00DC7217"/>
    <w:rsid w:val="00DC79BB"/>
    <w:rsid w:val="00DD11EB"/>
    <w:rsid w:val="00DD1B8B"/>
    <w:rsid w:val="00DD1F32"/>
    <w:rsid w:val="00DD23D6"/>
    <w:rsid w:val="00DD421A"/>
    <w:rsid w:val="00DD4855"/>
    <w:rsid w:val="00DD75C4"/>
    <w:rsid w:val="00DE1FBA"/>
    <w:rsid w:val="00DE4550"/>
    <w:rsid w:val="00DE55DE"/>
    <w:rsid w:val="00DE5968"/>
    <w:rsid w:val="00DE6296"/>
    <w:rsid w:val="00DE6A2A"/>
    <w:rsid w:val="00DF1227"/>
    <w:rsid w:val="00DF131F"/>
    <w:rsid w:val="00DF2C98"/>
    <w:rsid w:val="00DF77FD"/>
    <w:rsid w:val="00DF7AB6"/>
    <w:rsid w:val="00E00DCA"/>
    <w:rsid w:val="00E033B7"/>
    <w:rsid w:val="00E038DB"/>
    <w:rsid w:val="00E0395E"/>
    <w:rsid w:val="00E04FFB"/>
    <w:rsid w:val="00E05EEE"/>
    <w:rsid w:val="00E065DD"/>
    <w:rsid w:val="00E075A8"/>
    <w:rsid w:val="00E07D5A"/>
    <w:rsid w:val="00E105EE"/>
    <w:rsid w:val="00E10D91"/>
    <w:rsid w:val="00E134FC"/>
    <w:rsid w:val="00E1436B"/>
    <w:rsid w:val="00E14F22"/>
    <w:rsid w:val="00E151BD"/>
    <w:rsid w:val="00E1608E"/>
    <w:rsid w:val="00E160FD"/>
    <w:rsid w:val="00E170FA"/>
    <w:rsid w:val="00E178EA"/>
    <w:rsid w:val="00E2020E"/>
    <w:rsid w:val="00E20D15"/>
    <w:rsid w:val="00E25A13"/>
    <w:rsid w:val="00E26F75"/>
    <w:rsid w:val="00E30263"/>
    <w:rsid w:val="00E3064C"/>
    <w:rsid w:val="00E33007"/>
    <w:rsid w:val="00E34483"/>
    <w:rsid w:val="00E3456D"/>
    <w:rsid w:val="00E406B2"/>
    <w:rsid w:val="00E4190D"/>
    <w:rsid w:val="00E44987"/>
    <w:rsid w:val="00E44F34"/>
    <w:rsid w:val="00E45859"/>
    <w:rsid w:val="00E47666"/>
    <w:rsid w:val="00E47C2B"/>
    <w:rsid w:val="00E504E9"/>
    <w:rsid w:val="00E507A9"/>
    <w:rsid w:val="00E5253D"/>
    <w:rsid w:val="00E53860"/>
    <w:rsid w:val="00E545BC"/>
    <w:rsid w:val="00E554E7"/>
    <w:rsid w:val="00E5688C"/>
    <w:rsid w:val="00E57C72"/>
    <w:rsid w:val="00E60AEE"/>
    <w:rsid w:val="00E62239"/>
    <w:rsid w:val="00E6547E"/>
    <w:rsid w:val="00E65E36"/>
    <w:rsid w:val="00E669A1"/>
    <w:rsid w:val="00E67625"/>
    <w:rsid w:val="00E67F7B"/>
    <w:rsid w:val="00E700D9"/>
    <w:rsid w:val="00E713DD"/>
    <w:rsid w:val="00E75FF6"/>
    <w:rsid w:val="00E77A6F"/>
    <w:rsid w:val="00E8390A"/>
    <w:rsid w:val="00E83A3B"/>
    <w:rsid w:val="00E901D7"/>
    <w:rsid w:val="00E9172D"/>
    <w:rsid w:val="00E91BD8"/>
    <w:rsid w:val="00E922BE"/>
    <w:rsid w:val="00E9258D"/>
    <w:rsid w:val="00E9268E"/>
    <w:rsid w:val="00E92B00"/>
    <w:rsid w:val="00E9368B"/>
    <w:rsid w:val="00E94D9A"/>
    <w:rsid w:val="00E953FA"/>
    <w:rsid w:val="00E97D0F"/>
    <w:rsid w:val="00E97E28"/>
    <w:rsid w:val="00EA2681"/>
    <w:rsid w:val="00EA484D"/>
    <w:rsid w:val="00EA4A96"/>
    <w:rsid w:val="00EB063B"/>
    <w:rsid w:val="00EB1A14"/>
    <w:rsid w:val="00EB1F2F"/>
    <w:rsid w:val="00EB3B0A"/>
    <w:rsid w:val="00EB3DAC"/>
    <w:rsid w:val="00EB4093"/>
    <w:rsid w:val="00EB46F3"/>
    <w:rsid w:val="00EB4958"/>
    <w:rsid w:val="00EC088C"/>
    <w:rsid w:val="00EC118F"/>
    <w:rsid w:val="00EC1371"/>
    <w:rsid w:val="00EC2445"/>
    <w:rsid w:val="00EC33B2"/>
    <w:rsid w:val="00EC3401"/>
    <w:rsid w:val="00EC3796"/>
    <w:rsid w:val="00EC41A4"/>
    <w:rsid w:val="00EC5D78"/>
    <w:rsid w:val="00EC6563"/>
    <w:rsid w:val="00EC7294"/>
    <w:rsid w:val="00EC7555"/>
    <w:rsid w:val="00EC7728"/>
    <w:rsid w:val="00ED0109"/>
    <w:rsid w:val="00ED0675"/>
    <w:rsid w:val="00ED0680"/>
    <w:rsid w:val="00ED10A6"/>
    <w:rsid w:val="00ED27B9"/>
    <w:rsid w:val="00ED2905"/>
    <w:rsid w:val="00ED3D65"/>
    <w:rsid w:val="00ED7E7A"/>
    <w:rsid w:val="00EE0D8C"/>
    <w:rsid w:val="00EE149D"/>
    <w:rsid w:val="00EE172B"/>
    <w:rsid w:val="00EE2B23"/>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2A80"/>
    <w:rsid w:val="00F1344F"/>
    <w:rsid w:val="00F13850"/>
    <w:rsid w:val="00F13A34"/>
    <w:rsid w:val="00F146CB"/>
    <w:rsid w:val="00F14B1E"/>
    <w:rsid w:val="00F15D92"/>
    <w:rsid w:val="00F17C9C"/>
    <w:rsid w:val="00F220EF"/>
    <w:rsid w:val="00F2298C"/>
    <w:rsid w:val="00F244EF"/>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529BD"/>
    <w:rsid w:val="00F54740"/>
    <w:rsid w:val="00F57A3E"/>
    <w:rsid w:val="00F62899"/>
    <w:rsid w:val="00F637A9"/>
    <w:rsid w:val="00F63A4A"/>
    <w:rsid w:val="00F63E31"/>
    <w:rsid w:val="00F645AE"/>
    <w:rsid w:val="00F67D00"/>
    <w:rsid w:val="00F67D2C"/>
    <w:rsid w:val="00F70011"/>
    <w:rsid w:val="00F720FA"/>
    <w:rsid w:val="00F733B2"/>
    <w:rsid w:val="00F75DF6"/>
    <w:rsid w:val="00F76EEC"/>
    <w:rsid w:val="00F772EA"/>
    <w:rsid w:val="00F77698"/>
    <w:rsid w:val="00F8067B"/>
    <w:rsid w:val="00F8099A"/>
    <w:rsid w:val="00F83BC2"/>
    <w:rsid w:val="00F84ED2"/>
    <w:rsid w:val="00F87F90"/>
    <w:rsid w:val="00F90290"/>
    <w:rsid w:val="00F915B8"/>
    <w:rsid w:val="00F91B3B"/>
    <w:rsid w:val="00F94EC0"/>
    <w:rsid w:val="00F976C6"/>
    <w:rsid w:val="00FA0C52"/>
    <w:rsid w:val="00FA215D"/>
    <w:rsid w:val="00FA2451"/>
    <w:rsid w:val="00FA3FB9"/>
    <w:rsid w:val="00FA457D"/>
    <w:rsid w:val="00FA6E33"/>
    <w:rsid w:val="00FA72B1"/>
    <w:rsid w:val="00FC479C"/>
    <w:rsid w:val="00FC48FE"/>
    <w:rsid w:val="00FC6E57"/>
    <w:rsid w:val="00FC7151"/>
    <w:rsid w:val="00FD0C02"/>
    <w:rsid w:val="00FD1FCF"/>
    <w:rsid w:val="00FD282F"/>
    <w:rsid w:val="00FD6EAA"/>
    <w:rsid w:val="00FE0ABB"/>
    <w:rsid w:val="00FE141F"/>
    <w:rsid w:val="00FE20F0"/>
    <w:rsid w:val="00FE40F3"/>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0C83-11EE-4980-B1DA-E9040BD2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2022-10-19T15:05:00Z</dcterms:created>
  <dcterms:modified xsi:type="dcterms:W3CDTF">2022-10-23T10:37:00Z</dcterms:modified>
</cp:coreProperties>
</file>