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5BF40429" w:rsidR="00D450B5" w:rsidRPr="00044B50" w:rsidRDefault="00D450B5" w:rsidP="00772E4B">
      <w:pPr>
        <w:jc w:val="center"/>
        <w:rPr>
          <w:b/>
          <w:bCs/>
          <w:lang w:val="en-GB"/>
        </w:rPr>
      </w:pPr>
      <w:r w:rsidRPr="00044B50">
        <w:rPr>
          <w:b/>
          <w:bCs/>
          <w:lang w:val="en-GB"/>
        </w:rPr>
        <w:t xml:space="preserve">(EASTERN CAPE DIVISION, </w:t>
      </w:r>
      <w:r w:rsidR="004345C8">
        <w:rPr>
          <w:b/>
          <w:bCs/>
          <w:lang w:val="en-GB"/>
        </w:rPr>
        <w:t>MAKHANDA</w:t>
      </w:r>
      <w:r w:rsidRPr="00044B50">
        <w:rPr>
          <w:b/>
          <w:bCs/>
          <w:lang w:val="en-GB"/>
        </w:rPr>
        <w:t>)</w:t>
      </w:r>
    </w:p>
    <w:p w14:paraId="260381A7" w14:textId="77777777" w:rsidR="00D450B5" w:rsidRPr="00044B50" w:rsidRDefault="00D450B5" w:rsidP="00772E4B">
      <w:pPr>
        <w:widowControl w:val="0"/>
        <w:jc w:val="both"/>
        <w:rPr>
          <w:spacing w:val="14"/>
          <w:kern w:val="2"/>
          <w:u w:val="single"/>
          <w:lang w:val="en-GB"/>
        </w:rPr>
      </w:pPr>
    </w:p>
    <w:p w14:paraId="5ACA6438" w14:textId="4214E236" w:rsidR="009A664E" w:rsidRPr="009A664E" w:rsidRDefault="009A664E" w:rsidP="009A664E">
      <w:pPr>
        <w:ind w:left="5760" w:right="-52" w:firstLine="720"/>
        <w:jc w:val="center"/>
        <w:rPr>
          <w:b/>
          <w:lang w:val="en-GB"/>
        </w:rPr>
      </w:pPr>
      <w:r>
        <w:rPr>
          <w:b/>
          <w:lang w:val="en-GB"/>
        </w:rPr>
        <w:t xml:space="preserve">          </w:t>
      </w:r>
      <w:r w:rsidRPr="009A664E">
        <w:rPr>
          <w:b/>
          <w:lang w:val="en-GB"/>
        </w:rPr>
        <w:t>Not Reportable</w:t>
      </w:r>
    </w:p>
    <w:p w14:paraId="4934DB4B" w14:textId="4DAF6AC1" w:rsidR="00E44987" w:rsidRPr="00044B50" w:rsidRDefault="00E44987" w:rsidP="00772E4B">
      <w:pPr>
        <w:jc w:val="center"/>
        <w:rPr>
          <w:lang w:val="en-GB"/>
        </w:rPr>
      </w:pPr>
      <w:r w:rsidRPr="00044B50">
        <w:rPr>
          <w:lang w:val="en-GB"/>
        </w:rPr>
        <w:t xml:space="preserve">                                                                                                   </w:t>
      </w:r>
      <w:r w:rsidR="009A664E">
        <w:rPr>
          <w:lang w:val="en-GB"/>
        </w:rPr>
        <w:t xml:space="preserve">    </w:t>
      </w:r>
      <w:r w:rsidRPr="00044B50">
        <w:rPr>
          <w:lang w:val="en-GB"/>
        </w:rPr>
        <w:t>Case no:</w:t>
      </w:r>
      <w:r w:rsidR="009A664E">
        <w:rPr>
          <w:lang w:val="en-GB"/>
        </w:rPr>
        <w:t>2732/2021</w:t>
      </w:r>
      <w:r w:rsidRPr="00044B50">
        <w:rPr>
          <w:lang w:val="en-GB"/>
        </w:rPr>
        <w:t xml:space="preserve"> </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5F1017F0" w14:textId="365203B8" w:rsidR="00C246F2" w:rsidRPr="00044B50" w:rsidRDefault="00836352" w:rsidP="00992333">
      <w:pPr>
        <w:widowControl w:val="0"/>
        <w:tabs>
          <w:tab w:val="left" w:pos="5812"/>
          <w:tab w:val="left" w:pos="7655"/>
        </w:tabs>
        <w:ind w:right="89"/>
        <w:rPr>
          <w:b/>
          <w:bCs/>
          <w:spacing w:val="14"/>
          <w:kern w:val="2"/>
          <w:lang w:val="en-GB"/>
        </w:rPr>
      </w:pPr>
      <w:r>
        <w:rPr>
          <w:b/>
          <w:bCs/>
          <w:spacing w:val="14"/>
          <w:kern w:val="2"/>
          <w:lang w:val="en-GB"/>
        </w:rPr>
        <w:t>SOUTH PARADIGM (PTY) LTD</w:t>
      </w:r>
      <w:r w:rsidR="00992333">
        <w:rPr>
          <w:b/>
          <w:bCs/>
          <w:spacing w:val="14"/>
          <w:kern w:val="2"/>
          <w:lang w:val="en-GB"/>
        </w:rPr>
        <w:tab/>
      </w:r>
      <w:r w:rsidR="00992333">
        <w:rPr>
          <w:b/>
          <w:bCs/>
          <w:spacing w:val="14"/>
          <w:kern w:val="2"/>
          <w:lang w:val="en-GB"/>
        </w:rPr>
        <w:tab/>
        <w:t xml:space="preserve"> </w:t>
      </w:r>
      <w:r w:rsidR="009A664E" w:rsidRPr="002838D5">
        <w:rPr>
          <w:b/>
          <w:color w:val="auto"/>
        </w:rPr>
        <w:t>Applicant</w:t>
      </w:r>
    </w:p>
    <w:p w14:paraId="0D746988" w14:textId="77777777" w:rsidR="00D450B5" w:rsidRPr="00044B50" w:rsidRDefault="00D450B5"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15B6C1E9" w:rsidR="00D450B5" w:rsidRDefault="00D450B5" w:rsidP="00772E4B">
      <w:pPr>
        <w:jc w:val="both"/>
        <w:rPr>
          <w:lang w:val="en-GB"/>
        </w:rPr>
      </w:pPr>
    </w:p>
    <w:p w14:paraId="0ACB22C1" w14:textId="2D9BEF4B" w:rsidR="009A664E" w:rsidRPr="002838D5" w:rsidRDefault="00836352" w:rsidP="00992333">
      <w:pPr>
        <w:widowControl w:val="0"/>
        <w:tabs>
          <w:tab w:val="left" w:pos="6521"/>
          <w:tab w:val="left" w:pos="7655"/>
          <w:tab w:val="right" w:pos="8640"/>
        </w:tabs>
        <w:spacing w:line="480" w:lineRule="auto"/>
        <w:rPr>
          <w:b/>
          <w:color w:val="auto"/>
        </w:rPr>
      </w:pPr>
      <w:r>
        <w:rPr>
          <w:b/>
          <w:bCs/>
          <w:lang w:val="en-GB"/>
        </w:rPr>
        <w:t>MQUQO ATTORNEYS</w:t>
      </w:r>
      <w:r w:rsidR="009A664E">
        <w:rPr>
          <w:b/>
          <w:bCs/>
          <w:lang w:val="en-GB"/>
        </w:rPr>
        <w:t xml:space="preserve"> </w:t>
      </w:r>
      <w:r w:rsidR="00992333">
        <w:rPr>
          <w:b/>
          <w:bCs/>
          <w:lang w:val="en-GB"/>
        </w:rPr>
        <w:tab/>
        <w:t xml:space="preserve">      </w:t>
      </w:r>
      <w:r w:rsidR="009A664E" w:rsidRPr="002838D5">
        <w:rPr>
          <w:b/>
          <w:color w:val="auto"/>
        </w:rPr>
        <w:t>First Respondent</w:t>
      </w:r>
    </w:p>
    <w:p w14:paraId="1F39CAB5" w14:textId="0F535406" w:rsidR="00836352" w:rsidRDefault="00836352" w:rsidP="009A664E">
      <w:pPr>
        <w:tabs>
          <w:tab w:val="left" w:pos="7088"/>
        </w:tabs>
        <w:jc w:val="both"/>
        <w:rPr>
          <w:b/>
          <w:bCs/>
          <w:lang w:val="en-GB"/>
        </w:rPr>
      </w:pPr>
    </w:p>
    <w:p w14:paraId="5ABC2B9A" w14:textId="7FE19223" w:rsidR="00836352" w:rsidRDefault="00836352" w:rsidP="00772E4B">
      <w:pPr>
        <w:jc w:val="both"/>
        <w:rPr>
          <w:b/>
          <w:bCs/>
          <w:lang w:val="en-GB"/>
        </w:rPr>
      </w:pPr>
    </w:p>
    <w:p w14:paraId="4F0E2CE6" w14:textId="2D2A510E" w:rsidR="00C246F2" w:rsidRPr="00044B50" w:rsidRDefault="00836352" w:rsidP="00992333">
      <w:pPr>
        <w:tabs>
          <w:tab w:val="left" w:pos="6096"/>
          <w:tab w:val="left" w:pos="7655"/>
        </w:tabs>
        <w:jc w:val="both"/>
        <w:rPr>
          <w:b/>
          <w:bCs/>
          <w:lang w:val="en-GB"/>
        </w:rPr>
      </w:pPr>
      <w:r>
        <w:rPr>
          <w:b/>
          <w:bCs/>
          <w:lang w:val="en-GB"/>
        </w:rPr>
        <w:t>KHAYA EDGAR MQUQO</w:t>
      </w:r>
      <w:r w:rsidR="00992333">
        <w:rPr>
          <w:b/>
          <w:bCs/>
          <w:lang w:val="en-GB"/>
        </w:rPr>
        <w:tab/>
        <w:t xml:space="preserve">       </w:t>
      </w:r>
      <w:r w:rsidR="00992333" w:rsidRPr="002838D5">
        <w:rPr>
          <w:b/>
          <w:color w:val="auto"/>
        </w:rPr>
        <w:t>Second Respondent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5B72F230"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77777777" w:rsidR="00D468AF" w:rsidRPr="00044B50" w:rsidRDefault="00D468AF" w:rsidP="00682CE5">
      <w:pPr>
        <w:autoSpaceDE w:val="0"/>
        <w:autoSpaceDN w:val="0"/>
        <w:adjustRightInd w:val="0"/>
        <w:jc w:val="both"/>
        <w:rPr>
          <w:lang w:val="en-GB"/>
        </w:rPr>
      </w:pPr>
    </w:p>
    <w:p w14:paraId="141B4CD6" w14:textId="1A4854D5" w:rsidR="00F6040B" w:rsidRDefault="00F6040B" w:rsidP="00682CE5">
      <w:pPr>
        <w:pStyle w:val="ListParagraph"/>
        <w:numPr>
          <w:ilvl w:val="0"/>
          <w:numId w:val="10"/>
        </w:numPr>
        <w:autoSpaceDE w:val="0"/>
        <w:autoSpaceDN w:val="0"/>
        <w:adjustRightInd w:val="0"/>
        <w:ind w:left="142" w:hanging="142"/>
        <w:jc w:val="both"/>
        <w:rPr>
          <w:lang w:val="en-GB"/>
        </w:rPr>
      </w:pPr>
      <w:r>
        <w:rPr>
          <w:lang w:val="en-GB"/>
        </w:rPr>
        <w:t xml:space="preserve">The applicant and the first respondent entered into a written lease on 18 March 2020. The commercial property, situated at 6 Mantis Business Centre, Cambridge, (‘the property’) is owned by the applicant and utilised by the respondents for the </w:t>
      </w:r>
      <w:r>
        <w:rPr>
          <w:lang w:val="en-GB"/>
        </w:rPr>
        <w:lastRenderedPageBreak/>
        <w:t>purpose of operating a law firm. The second respondent signed the lease agreement on behalf of the first respondent.</w:t>
      </w:r>
      <w:r w:rsidR="00003835">
        <w:rPr>
          <w:rStyle w:val="FootnoteReference"/>
          <w:lang w:val="en-GB"/>
        </w:rPr>
        <w:footnoteReference w:id="1"/>
      </w:r>
      <w:r>
        <w:rPr>
          <w:lang w:val="en-GB"/>
        </w:rPr>
        <w:t xml:space="preserve"> </w:t>
      </w:r>
    </w:p>
    <w:p w14:paraId="464C3A0E" w14:textId="77777777" w:rsidR="00F6040B" w:rsidRDefault="00F6040B" w:rsidP="00F6040B">
      <w:pPr>
        <w:pStyle w:val="ListParagraph"/>
        <w:autoSpaceDE w:val="0"/>
        <w:autoSpaceDN w:val="0"/>
        <w:adjustRightInd w:val="0"/>
        <w:ind w:left="142"/>
        <w:jc w:val="both"/>
        <w:rPr>
          <w:lang w:val="en-GB"/>
        </w:rPr>
      </w:pPr>
    </w:p>
    <w:p w14:paraId="5A33CD6A" w14:textId="70C0CB44" w:rsidR="00E922BE" w:rsidRPr="00044B50" w:rsidRDefault="00F6040B" w:rsidP="00682CE5">
      <w:pPr>
        <w:pStyle w:val="ListParagraph"/>
        <w:numPr>
          <w:ilvl w:val="0"/>
          <w:numId w:val="10"/>
        </w:numPr>
        <w:autoSpaceDE w:val="0"/>
        <w:autoSpaceDN w:val="0"/>
        <w:adjustRightInd w:val="0"/>
        <w:ind w:left="142" w:hanging="142"/>
        <w:jc w:val="both"/>
        <w:rPr>
          <w:lang w:val="en-GB"/>
        </w:rPr>
      </w:pPr>
      <w:r>
        <w:rPr>
          <w:lang w:val="en-GB"/>
        </w:rPr>
        <w:t xml:space="preserve">The applicant seeks the ejectment of the respondents from the property and requires undisturbed possession to be restored. </w:t>
      </w:r>
      <w:r w:rsidR="003E18F1">
        <w:rPr>
          <w:lang w:val="en-GB"/>
        </w:rPr>
        <w:t xml:space="preserve">In terms of the lease agreement, the property was let for a period of three years, commencing on 1 March 2020. </w:t>
      </w:r>
      <w:r w:rsidR="00B622B8">
        <w:rPr>
          <w:lang w:val="en-GB"/>
        </w:rPr>
        <w:t>It is accepted that the property is a commercial and / or business premises and that the provisions of the Prevention of Illegal Eviction from and Unlawful Occupation of Land Act, 1998 do not apply.</w:t>
      </w:r>
      <w:r w:rsidR="00B622B8">
        <w:rPr>
          <w:rStyle w:val="FootnoteReference"/>
          <w:lang w:val="en-GB"/>
        </w:rPr>
        <w:footnoteReference w:id="2"/>
      </w:r>
    </w:p>
    <w:p w14:paraId="06EEF5D7" w14:textId="77777777" w:rsidR="00D45942" w:rsidRPr="00044B50" w:rsidRDefault="00D45942" w:rsidP="00682CE5">
      <w:pPr>
        <w:pStyle w:val="ListParagraph"/>
        <w:autoSpaceDE w:val="0"/>
        <w:autoSpaceDN w:val="0"/>
        <w:adjustRightInd w:val="0"/>
        <w:ind w:left="142"/>
        <w:jc w:val="both"/>
        <w:rPr>
          <w:lang w:val="en-GB"/>
        </w:rPr>
      </w:pPr>
    </w:p>
    <w:p w14:paraId="7D634519" w14:textId="7F093C9B" w:rsidR="004B7E82" w:rsidRPr="00044B50" w:rsidRDefault="006E7E64" w:rsidP="00682CE5">
      <w:pPr>
        <w:pStyle w:val="ListParagraph"/>
        <w:numPr>
          <w:ilvl w:val="0"/>
          <w:numId w:val="10"/>
        </w:numPr>
        <w:autoSpaceDE w:val="0"/>
        <w:autoSpaceDN w:val="0"/>
        <w:adjustRightInd w:val="0"/>
        <w:ind w:left="142" w:hanging="142"/>
        <w:jc w:val="both"/>
        <w:rPr>
          <w:lang w:val="en-GB"/>
        </w:rPr>
      </w:pPr>
      <w:r>
        <w:rPr>
          <w:lang w:val="en-GB"/>
        </w:rPr>
        <w:t xml:space="preserve">The lease agreement provided that the agreement could be terminated in the event of breach, </w:t>
      </w:r>
      <w:r w:rsidR="00794271">
        <w:rPr>
          <w:lang w:val="en-GB"/>
        </w:rPr>
        <w:t>including</w:t>
      </w:r>
      <w:r>
        <w:rPr>
          <w:lang w:val="en-GB"/>
        </w:rPr>
        <w:t xml:space="preserve"> cases where rental had not been paid timeously. </w:t>
      </w:r>
      <w:r w:rsidR="00604B89">
        <w:rPr>
          <w:lang w:val="en-GB"/>
        </w:rPr>
        <w:t>The first respondent</w:t>
      </w:r>
      <w:r w:rsidR="00E62CFA">
        <w:rPr>
          <w:lang w:val="en-GB"/>
        </w:rPr>
        <w:t xml:space="preserve"> allegedly</w:t>
      </w:r>
      <w:r w:rsidR="00604B89">
        <w:rPr>
          <w:lang w:val="en-GB"/>
        </w:rPr>
        <w:t xml:space="preserve"> breached the agreement by failing to pay rent between May and August 2020 and was given written notice to rectify the breach within seven days. The first respondent did not respond to this notice and did not pay the arrear rental demanded. The applicant cancelled the lease agreement</w:t>
      </w:r>
      <w:r w:rsidR="00680E45">
        <w:rPr>
          <w:lang w:val="en-GB"/>
        </w:rPr>
        <w:t xml:space="preserve"> on 28 September 2020</w:t>
      </w:r>
      <w:r w:rsidR="00604B89">
        <w:rPr>
          <w:lang w:val="en-GB"/>
        </w:rPr>
        <w:t>, informing the first respondent that it should vacate the premises on or before 30 September 2020.</w:t>
      </w:r>
      <w:r w:rsidR="002C653D">
        <w:rPr>
          <w:lang w:val="en-GB"/>
        </w:rPr>
        <w:t xml:space="preserve"> No response was received. The respondents continue to occupy the property and utilise it for business purposes despite not making any payments towards rental or other charges</w:t>
      </w:r>
      <w:r w:rsidR="00E119FA">
        <w:rPr>
          <w:lang w:val="en-GB"/>
        </w:rPr>
        <w:t xml:space="preserve"> since November 2020</w:t>
      </w:r>
      <w:r w:rsidR="002C653D">
        <w:rPr>
          <w:lang w:val="en-GB"/>
        </w:rPr>
        <w:t xml:space="preserve">. </w:t>
      </w:r>
    </w:p>
    <w:p w14:paraId="4CD9AA23" w14:textId="77777777" w:rsidR="00E57C72" w:rsidRPr="00044B50" w:rsidRDefault="00E57C72" w:rsidP="00682CE5">
      <w:pPr>
        <w:pStyle w:val="ListParagraph"/>
        <w:jc w:val="both"/>
        <w:rPr>
          <w:lang w:val="en-GB"/>
        </w:rPr>
      </w:pPr>
    </w:p>
    <w:p w14:paraId="48EF6EC8" w14:textId="6026510C" w:rsidR="00E57C72" w:rsidRPr="00044B50" w:rsidRDefault="00E00F55" w:rsidP="00682CE5">
      <w:pPr>
        <w:pStyle w:val="ListParagraph"/>
        <w:numPr>
          <w:ilvl w:val="0"/>
          <w:numId w:val="10"/>
        </w:numPr>
        <w:autoSpaceDE w:val="0"/>
        <w:autoSpaceDN w:val="0"/>
        <w:adjustRightInd w:val="0"/>
        <w:ind w:left="142" w:hanging="142"/>
        <w:jc w:val="both"/>
        <w:rPr>
          <w:lang w:val="en-GB"/>
        </w:rPr>
      </w:pPr>
      <w:r>
        <w:rPr>
          <w:lang w:val="en-GB"/>
        </w:rPr>
        <w:t xml:space="preserve">The respondents </w:t>
      </w:r>
      <w:r w:rsidR="004C403B">
        <w:rPr>
          <w:lang w:val="en-GB"/>
        </w:rPr>
        <w:t>did</w:t>
      </w:r>
      <w:r w:rsidR="001721E6">
        <w:rPr>
          <w:lang w:val="en-GB"/>
        </w:rPr>
        <w:t xml:space="preserve"> not deny the cancellation of the lease agreement</w:t>
      </w:r>
      <w:r w:rsidR="004C403B">
        <w:rPr>
          <w:lang w:val="en-GB"/>
        </w:rPr>
        <w:t xml:space="preserve"> in their papers</w:t>
      </w:r>
      <w:r w:rsidR="001721E6">
        <w:rPr>
          <w:lang w:val="en-GB"/>
        </w:rPr>
        <w:t>.</w:t>
      </w:r>
      <w:r w:rsidR="00680E45">
        <w:rPr>
          <w:rStyle w:val="FootnoteReference"/>
          <w:lang w:val="en-GB"/>
        </w:rPr>
        <w:footnoteReference w:id="3"/>
      </w:r>
      <w:r w:rsidR="001721E6">
        <w:rPr>
          <w:lang w:val="en-GB"/>
        </w:rPr>
        <w:t xml:space="preserve"> They </w:t>
      </w:r>
      <w:r>
        <w:rPr>
          <w:lang w:val="en-GB"/>
        </w:rPr>
        <w:t>dispute the extent of the</w:t>
      </w:r>
      <w:r w:rsidR="003A503D">
        <w:rPr>
          <w:lang w:val="en-GB"/>
        </w:rPr>
        <w:t xml:space="preserve"> arrears claimed</w:t>
      </w:r>
      <w:r w:rsidR="00A637BA">
        <w:rPr>
          <w:lang w:val="en-GB"/>
        </w:rPr>
        <w:t xml:space="preserve"> and that issue has been referred to arbitration.</w:t>
      </w:r>
      <w:r w:rsidR="00795A61">
        <w:rPr>
          <w:lang w:val="en-GB"/>
        </w:rPr>
        <w:t xml:space="preserve"> The respondents raise two points </w:t>
      </w:r>
      <w:r w:rsidR="00795A61">
        <w:rPr>
          <w:i/>
          <w:iCs/>
          <w:lang w:val="en-GB"/>
        </w:rPr>
        <w:t>in limine</w:t>
      </w:r>
      <w:r w:rsidR="00795A61">
        <w:rPr>
          <w:lang w:val="en-GB"/>
        </w:rPr>
        <w:t xml:space="preserve"> in opposition. The first is </w:t>
      </w:r>
      <w:r w:rsidR="00795A61">
        <w:rPr>
          <w:i/>
          <w:iCs/>
          <w:lang w:val="en-GB"/>
        </w:rPr>
        <w:t>lis alibis pendens</w:t>
      </w:r>
      <w:r w:rsidR="00795A61">
        <w:rPr>
          <w:lang w:val="en-GB"/>
        </w:rPr>
        <w:t xml:space="preserve"> and the second is the jurisdiction of this court. </w:t>
      </w:r>
      <w:r w:rsidR="004C403B">
        <w:rPr>
          <w:lang w:val="en-GB"/>
        </w:rPr>
        <w:t xml:space="preserve">The </w:t>
      </w:r>
      <w:r w:rsidR="004C403B">
        <w:rPr>
          <w:lang w:val="en-GB"/>
        </w:rPr>
        <w:lastRenderedPageBreak/>
        <w:t>respondents, during argument, raised question marks over the validity of the cancellation.</w:t>
      </w:r>
    </w:p>
    <w:p w14:paraId="3225DD1D" w14:textId="6F3974AE" w:rsidR="008C480D" w:rsidRPr="00D30CEE" w:rsidRDefault="008C480D" w:rsidP="00D30CEE">
      <w:pPr>
        <w:autoSpaceDE w:val="0"/>
        <w:autoSpaceDN w:val="0"/>
        <w:adjustRightInd w:val="0"/>
        <w:jc w:val="both"/>
        <w:rPr>
          <w:lang w:val="en-GB"/>
        </w:rPr>
      </w:pPr>
    </w:p>
    <w:p w14:paraId="38E7DD69" w14:textId="4B676D28" w:rsidR="008C480D" w:rsidRDefault="007852D7" w:rsidP="00AF6DF0">
      <w:pPr>
        <w:pStyle w:val="ListParagraph"/>
        <w:numPr>
          <w:ilvl w:val="0"/>
          <w:numId w:val="10"/>
        </w:numPr>
        <w:autoSpaceDE w:val="0"/>
        <w:autoSpaceDN w:val="0"/>
        <w:adjustRightInd w:val="0"/>
        <w:ind w:left="142" w:hanging="142"/>
        <w:jc w:val="both"/>
        <w:rPr>
          <w:lang w:val="en-GB"/>
        </w:rPr>
      </w:pPr>
      <w:r>
        <w:rPr>
          <w:lang w:val="en-GB"/>
        </w:rPr>
        <w:t>The lease agreement included an arbitration clause.</w:t>
      </w:r>
      <w:r w:rsidR="00774E55">
        <w:rPr>
          <w:rStyle w:val="FootnoteReference"/>
          <w:lang w:val="en-GB"/>
        </w:rPr>
        <w:footnoteReference w:id="4"/>
      </w:r>
      <w:r>
        <w:rPr>
          <w:lang w:val="en-GB"/>
        </w:rPr>
        <w:t xml:space="preserve"> </w:t>
      </w:r>
      <w:r w:rsidR="00774E55">
        <w:rPr>
          <w:lang w:val="en-GB"/>
        </w:rPr>
        <w:t xml:space="preserve">Both points </w:t>
      </w:r>
      <w:r w:rsidR="00774E55">
        <w:rPr>
          <w:i/>
          <w:iCs/>
          <w:lang w:val="en-GB"/>
        </w:rPr>
        <w:t xml:space="preserve">in limine </w:t>
      </w:r>
      <w:r w:rsidR="00774E55">
        <w:rPr>
          <w:lang w:val="en-GB"/>
        </w:rPr>
        <w:t xml:space="preserve">stem from the following </w:t>
      </w:r>
      <w:r>
        <w:rPr>
          <w:lang w:val="en-GB"/>
        </w:rPr>
        <w:t xml:space="preserve">portions </w:t>
      </w:r>
      <w:r w:rsidR="00774E55">
        <w:rPr>
          <w:lang w:val="en-GB"/>
        </w:rPr>
        <w:t>of this clause</w:t>
      </w:r>
      <w:r>
        <w:rPr>
          <w:lang w:val="en-GB"/>
        </w:rPr>
        <w:t>:</w:t>
      </w:r>
    </w:p>
    <w:p w14:paraId="6B99DFE4" w14:textId="77777777" w:rsidR="00126D44" w:rsidRPr="00126D44" w:rsidRDefault="00126D44" w:rsidP="00126D44">
      <w:pPr>
        <w:autoSpaceDE w:val="0"/>
        <w:autoSpaceDN w:val="0"/>
        <w:adjustRightInd w:val="0"/>
        <w:ind w:left="142"/>
        <w:jc w:val="both"/>
        <w:rPr>
          <w:sz w:val="22"/>
          <w:szCs w:val="22"/>
          <w:lang w:val="en-GB"/>
        </w:rPr>
      </w:pPr>
      <w:r w:rsidRPr="00126D44">
        <w:rPr>
          <w:sz w:val="22"/>
          <w:szCs w:val="22"/>
          <w:lang w:val="en-GB"/>
        </w:rPr>
        <w:t>‘Any dispute at any time between the parties hereto about this agreement or its interpretation, rectification, breach, termination or cancellation, as well as its validity, shall be submitted to and decided by arbitration in terms of rules, conditions and terms of The Arbitration Act, 1965. The arbitration shall be initiated by either party demanding such arbitration by way of written notice to the other party …</w:t>
      </w:r>
    </w:p>
    <w:p w14:paraId="092F0E0A" w14:textId="77777777" w:rsidR="00126D44" w:rsidRPr="00126D44" w:rsidRDefault="00126D44" w:rsidP="00126D44">
      <w:pPr>
        <w:autoSpaceDE w:val="0"/>
        <w:autoSpaceDN w:val="0"/>
        <w:adjustRightInd w:val="0"/>
        <w:ind w:left="142"/>
        <w:jc w:val="both"/>
        <w:rPr>
          <w:sz w:val="22"/>
          <w:szCs w:val="22"/>
          <w:lang w:val="en-GB"/>
        </w:rPr>
      </w:pPr>
      <w:r w:rsidRPr="00126D44">
        <w:rPr>
          <w:sz w:val="22"/>
          <w:szCs w:val="22"/>
          <w:lang w:val="en-GB"/>
        </w:rPr>
        <w:t>This arbitration clause shall not preclude a party from seeking urgent relief in a court of appropriate jurisdiction where grounds for urgency exist.</w:t>
      </w:r>
    </w:p>
    <w:p w14:paraId="6D3A51CC" w14:textId="7DA1D93C" w:rsidR="00126D44" w:rsidRPr="00126D44" w:rsidRDefault="00126D44" w:rsidP="00126D44">
      <w:pPr>
        <w:autoSpaceDE w:val="0"/>
        <w:autoSpaceDN w:val="0"/>
        <w:adjustRightInd w:val="0"/>
        <w:ind w:left="142"/>
        <w:jc w:val="both"/>
        <w:rPr>
          <w:sz w:val="22"/>
          <w:szCs w:val="22"/>
          <w:lang w:val="en-GB"/>
        </w:rPr>
      </w:pPr>
      <w:r w:rsidRPr="00126D44">
        <w:rPr>
          <w:sz w:val="22"/>
          <w:szCs w:val="22"/>
          <w:lang w:val="en-GB"/>
        </w:rPr>
        <w:t>The parties agree that the magistrate court where the property is situated will have jurisdiction to hear any dispute arising between the parties in terms of this agreement.’</w:t>
      </w:r>
    </w:p>
    <w:p w14:paraId="783A9AA0" w14:textId="77777777" w:rsidR="00126D44" w:rsidRPr="00126D44" w:rsidRDefault="00126D44" w:rsidP="00126D44">
      <w:pPr>
        <w:rPr>
          <w:lang w:val="en-GB"/>
        </w:rPr>
      </w:pPr>
    </w:p>
    <w:p w14:paraId="57EB360C" w14:textId="6CCBFC4F" w:rsidR="000550BD" w:rsidRDefault="00E821A3" w:rsidP="00AF6DF0">
      <w:pPr>
        <w:pStyle w:val="ListParagraph"/>
        <w:numPr>
          <w:ilvl w:val="0"/>
          <w:numId w:val="10"/>
        </w:numPr>
        <w:autoSpaceDE w:val="0"/>
        <w:autoSpaceDN w:val="0"/>
        <w:adjustRightInd w:val="0"/>
        <w:ind w:left="142" w:hanging="142"/>
        <w:jc w:val="both"/>
        <w:rPr>
          <w:lang w:val="en-GB"/>
        </w:rPr>
      </w:pPr>
      <w:r>
        <w:rPr>
          <w:lang w:val="en-GB"/>
        </w:rPr>
        <w:t>It is trite that arbitration is a method for resolving disputes and that a disputed claim is sent to arbitration so that the dispute may be determined. No purpose can be served by arbitration on an undisputed claim</w:t>
      </w:r>
      <w:r w:rsidR="00480E07">
        <w:rPr>
          <w:lang w:val="en-GB"/>
        </w:rPr>
        <w:t xml:space="preserve"> as there would be nothing for the arbitrator to decide</w:t>
      </w:r>
      <w:r>
        <w:rPr>
          <w:lang w:val="en-GB"/>
        </w:rPr>
        <w:t>.</w:t>
      </w:r>
      <w:r>
        <w:rPr>
          <w:rStyle w:val="FootnoteReference"/>
          <w:lang w:val="en-GB"/>
        </w:rPr>
        <w:footnoteReference w:id="5"/>
      </w:r>
      <w:r w:rsidR="000F4E30">
        <w:rPr>
          <w:lang w:val="en-GB"/>
        </w:rPr>
        <w:t xml:space="preserve"> It is thus unsurprising that clause 16 of the lease agreement refers specifically to ‘</w:t>
      </w:r>
      <w:r w:rsidR="009E722E">
        <w:rPr>
          <w:lang w:val="en-GB"/>
        </w:rPr>
        <w:t>A</w:t>
      </w:r>
      <w:r w:rsidR="000F4E30">
        <w:rPr>
          <w:lang w:val="en-GB"/>
        </w:rPr>
        <w:t>ny dispute</w:t>
      </w:r>
      <w:r w:rsidR="009E722E">
        <w:rPr>
          <w:lang w:val="en-GB"/>
        </w:rPr>
        <w:t xml:space="preserve"> …</w:t>
      </w:r>
      <w:r w:rsidR="000F4E30">
        <w:rPr>
          <w:lang w:val="en-GB"/>
        </w:rPr>
        <w:t>’.</w:t>
      </w:r>
    </w:p>
    <w:p w14:paraId="7A88346F" w14:textId="77777777" w:rsidR="00EC5B90" w:rsidRDefault="00EC5B90" w:rsidP="00EC5B90">
      <w:pPr>
        <w:pStyle w:val="ListParagraph"/>
        <w:autoSpaceDE w:val="0"/>
        <w:autoSpaceDN w:val="0"/>
        <w:adjustRightInd w:val="0"/>
        <w:ind w:left="142"/>
        <w:jc w:val="both"/>
        <w:rPr>
          <w:lang w:val="en-GB"/>
        </w:rPr>
      </w:pPr>
    </w:p>
    <w:p w14:paraId="0510EB53" w14:textId="3E3BBE44" w:rsidR="00EC5B90" w:rsidRDefault="00F13688" w:rsidP="00AF6DF0">
      <w:pPr>
        <w:pStyle w:val="ListParagraph"/>
        <w:numPr>
          <w:ilvl w:val="0"/>
          <w:numId w:val="10"/>
        </w:numPr>
        <w:autoSpaceDE w:val="0"/>
        <w:autoSpaceDN w:val="0"/>
        <w:adjustRightInd w:val="0"/>
        <w:ind w:left="142" w:hanging="142"/>
        <w:jc w:val="both"/>
        <w:rPr>
          <w:lang w:val="en-GB"/>
        </w:rPr>
      </w:pPr>
      <w:r>
        <w:rPr>
          <w:lang w:val="en-GB"/>
        </w:rPr>
        <w:t xml:space="preserve">In this case, the agreement provided that ‘Any dispute … about this agreement or its interpretation, rectification, breach, termination or cancellation, as well as its validity …’ would be submitted to arbitration, </w:t>
      </w:r>
      <w:r w:rsidR="008A1DE6">
        <w:rPr>
          <w:lang w:val="en-GB"/>
        </w:rPr>
        <w:t xml:space="preserve">barring </w:t>
      </w:r>
      <w:r w:rsidR="003175C5">
        <w:rPr>
          <w:lang w:val="en-GB"/>
        </w:rPr>
        <w:t xml:space="preserve">instances where </w:t>
      </w:r>
      <w:r w:rsidR="008A1DE6">
        <w:rPr>
          <w:lang w:val="en-GB"/>
        </w:rPr>
        <w:t>urgent relief</w:t>
      </w:r>
      <w:r w:rsidR="003175C5">
        <w:rPr>
          <w:lang w:val="en-GB"/>
        </w:rPr>
        <w:t xml:space="preserve"> was sought</w:t>
      </w:r>
      <w:r w:rsidR="008A1DE6">
        <w:rPr>
          <w:lang w:val="en-GB"/>
        </w:rPr>
        <w:t>.</w:t>
      </w:r>
    </w:p>
    <w:p w14:paraId="2E2D48FF" w14:textId="77777777" w:rsidR="008C6D49" w:rsidRPr="008C6D49" w:rsidRDefault="008C6D49" w:rsidP="008C6D49">
      <w:pPr>
        <w:pStyle w:val="ListParagraph"/>
        <w:rPr>
          <w:lang w:val="en-GB"/>
        </w:rPr>
      </w:pPr>
    </w:p>
    <w:p w14:paraId="1F7A3418" w14:textId="41FF3F0C" w:rsidR="008C6D49" w:rsidRDefault="00242218" w:rsidP="00AF6DF0">
      <w:pPr>
        <w:pStyle w:val="ListParagraph"/>
        <w:numPr>
          <w:ilvl w:val="0"/>
          <w:numId w:val="10"/>
        </w:numPr>
        <w:autoSpaceDE w:val="0"/>
        <w:autoSpaceDN w:val="0"/>
        <w:adjustRightInd w:val="0"/>
        <w:ind w:left="142" w:hanging="142"/>
        <w:jc w:val="both"/>
        <w:rPr>
          <w:lang w:val="en-GB"/>
        </w:rPr>
      </w:pPr>
      <w:r>
        <w:rPr>
          <w:lang w:val="en-GB"/>
        </w:rPr>
        <w:t>Importantly, however, a</w:t>
      </w:r>
      <w:r w:rsidR="008C6D49">
        <w:rPr>
          <w:lang w:val="en-GB"/>
        </w:rPr>
        <w:t>n arbitration agreement does not deprive a court of its ordinary jurisdiction over the disputes which it encompasses.</w:t>
      </w:r>
      <w:r w:rsidR="00305A47">
        <w:rPr>
          <w:rStyle w:val="FootnoteReference"/>
          <w:lang w:val="en-GB"/>
        </w:rPr>
        <w:footnoteReference w:id="6"/>
      </w:r>
      <w:r w:rsidR="008C6D49">
        <w:rPr>
          <w:lang w:val="en-GB"/>
        </w:rPr>
        <w:t xml:space="preserve"> </w:t>
      </w:r>
      <w:r w:rsidR="00CA1481">
        <w:rPr>
          <w:lang w:val="en-GB"/>
        </w:rPr>
        <w:t>It has been held that</w:t>
      </w:r>
      <w:r>
        <w:rPr>
          <w:lang w:val="en-GB"/>
        </w:rPr>
        <w:t xml:space="preserve"> arbitration is ‘ … </w:t>
      </w:r>
      <w:r w:rsidRPr="008774D8">
        <w:rPr>
          <w:sz w:val="22"/>
          <w:szCs w:val="22"/>
          <w:lang w:val="en-GB"/>
        </w:rPr>
        <w:t xml:space="preserve">far from an absolute requirement, despite the contractual provision for it. If either party takes the arbitrable dispute straight to Court, and the other does not protest, the litigation follows its normal course, without a pause.  To check it, the objector must actively request a stay of the proceedings. Not even that interruption is decisive. The Court </w:t>
      </w:r>
      <w:r w:rsidRPr="008774D8">
        <w:rPr>
          <w:sz w:val="22"/>
          <w:szCs w:val="22"/>
          <w:lang w:val="en-GB"/>
        </w:rPr>
        <w:lastRenderedPageBreak/>
        <w:t>has a discretion whether to call a</w:t>
      </w:r>
      <w:r w:rsidR="009517C8" w:rsidRPr="008774D8">
        <w:rPr>
          <w:sz w:val="22"/>
          <w:szCs w:val="22"/>
          <w:lang w:val="en-GB"/>
        </w:rPr>
        <w:t xml:space="preserve"> </w:t>
      </w:r>
      <w:r w:rsidRPr="008774D8">
        <w:rPr>
          <w:sz w:val="22"/>
          <w:szCs w:val="22"/>
          <w:lang w:val="en-GB"/>
        </w:rPr>
        <w:t>halt for arbitration or to tackle the disputes itself. When it chooses the latter, the case is resumed, continued and completed before it, like any other. Throughout, its jurisdiction, though sometimes latent, thus remains intact.</w:t>
      </w:r>
      <w:r w:rsidR="00AA11F0">
        <w:rPr>
          <w:lang w:val="en-GB"/>
        </w:rPr>
        <w:t>’</w:t>
      </w:r>
      <w:r w:rsidR="00AA11F0">
        <w:rPr>
          <w:rStyle w:val="FootnoteReference"/>
          <w:lang w:val="en-GB"/>
        </w:rPr>
        <w:footnoteReference w:id="7"/>
      </w:r>
    </w:p>
    <w:p w14:paraId="06CC33C3" w14:textId="77777777" w:rsidR="00EC5B90" w:rsidRPr="00EC5B90" w:rsidRDefault="00EC5B90" w:rsidP="00EC5B90">
      <w:pPr>
        <w:pStyle w:val="ListParagraph"/>
        <w:rPr>
          <w:lang w:val="en-GB"/>
        </w:rPr>
      </w:pPr>
    </w:p>
    <w:p w14:paraId="6AECB5B7" w14:textId="370EDB3A" w:rsidR="00EC5B90" w:rsidRDefault="007A094B" w:rsidP="00AF6DF0">
      <w:pPr>
        <w:pStyle w:val="ListParagraph"/>
        <w:numPr>
          <w:ilvl w:val="0"/>
          <w:numId w:val="10"/>
        </w:numPr>
        <w:autoSpaceDE w:val="0"/>
        <w:autoSpaceDN w:val="0"/>
        <w:adjustRightInd w:val="0"/>
        <w:ind w:left="142" w:hanging="142"/>
        <w:jc w:val="both"/>
        <w:rPr>
          <w:lang w:val="en-GB"/>
        </w:rPr>
      </w:pPr>
      <w:r>
        <w:rPr>
          <w:lang w:val="en-GB"/>
        </w:rPr>
        <w:t>A party seeking to utilise</w:t>
      </w:r>
      <w:r w:rsidR="002F031A">
        <w:rPr>
          <w:lang w:val="en-GB"/>
        </w:rPr>
        <w:t>, or to insist upon the utilisation of,</w:t>
      </w:r>
      <w:r>
        <w:rPr>
          <w:lang w:val="en-GB"/>
        </w:rPr>
        <w:t xml:space="preserve"> arbitration proceedings instead of court proceedings should lodge a substantive application under the Arbitration Act, 1965</w:t>
      </w:r>
      <w:r>
        <w:rPr>
          <w:rStyle w:val="FootnoteReference"/>
          <w:lang w:val="en-GB"/>
        </w:rPr>
        <w:footnoteReference w:id="8"/>
      </w:r>
      <w:r>
        <w:rPr>
          <w:lang w:val="en-GB"/>
        </w:rPr>
        <w:t xml:space="preserve"> for the requisite stay, or </w:t>
      </w:r>
      <w:r w:rsidR="001044CD">
        <w:rPr>
          <w:lang w:val="en-GB"/>
        </w:rPr>
        <w:t xml:space="preserve">file </w:t>
      </w:r>
      <w:r>
        <w:rPr>
          <w:lang w:val="en-GB"/>
        </w:rPr>
        <w:t xml:space="preserve">a special plea asking for </w:t>
      </w:r>
      <w:r w:rsidR="00033690">
        <w:rPr>
          <w:lang w:val="en-GB"/>
        </w:rPr>
        <w:t>a stay in terms of the common law</w:t>
      </w:r>
      <w:r>
        <w:rPr>
          <w:lang w:val="en-GB"/>
        </w:rPr>
        <w:t>.</w:t>
      </w:r>
      <w:r w:rsidR="00A26027">
        <w:rPr>
          <w:rStyle w:val="FootnoteReference"/>
          <w:lang w:val="en-GB"/>
        </w:rPr>
        <w:footnoteReference w:id="9"/>
      </w:r>
      <w:r>
        <w:rPr>
          <w:lang w:val="en-GB"/>
        </w:rPr>
        <w:t xml:space="preserve"> </w:t>
      </w:r>
    </w:p>
    <w:p w14:paraId="0E9DB5F2" w14:textId="77777777" w:rsidR="00C10492" w:rsidRPr="00C10492" w:rsidRDefault="00C10492" w:rsidP="00C10492">
      <w:pPr>
        <w:pStyle w:val="ListParagraph"/>
        <w:rPr>
          <w:lang w:val="en-GB"/>
        </w:rPr>
      </w:pPr>
    </w:p>
    <w:p w14:paraId="5CFB135F" w14:textId="000C704F" w:rsidR="00AD046B" w:rsidRDefault="00C10492" w:rsidP="00AD046B">
      <w:pPr>
        <w:pStyle w:val="ListParagraph"/>
        <w:numPr>
          <w:ilvl w:val="0"/>
          <w:numId w:val="10"/>
        </w:numPr>
        <w:autoSpaceDE w:val="0"/>
        <w:autoSpaceDN w:val="0"/>
        <w:adjustRightInd w:val="0"/>
        <w:ind w:left="142" w:hanging="142"/>
        <w:jc w:val="both"/>
        <w:rPr>
          <w:lang w:val="en-GB"/>
        </w:rPr>
      </w:pPr>
      <w:r w:rsidRPr="00D04978">
        <w:rPr>
          <w:lang w:val="en-GB"/>
        </w:rPr>
        <w:t xml:space="preserve">In this case, </w:t>
      </w:r>
      <w:r w:rsidR="00B47A50" w:rsidRPr="00D04978">
        <w:rPr>
          <w:lang w:val="en-GB"/>
        </w:rPr>
        <w:t>the respondents</w:t>
      </w:r>
      <w:r w:rsidR="00740CF8" w:rsidRPr="00D04978">
        <w:rPr>
          <w:lang w:val="en-GB"/>
        </w:rPr>
        <w:t xml:space="preserve">, </w:t>
      </w:r>
      <w:r w:rsidR="00633335" w:rsidRPr="00D04978">
        <w:rPr>
          <w:lang w:val="en-GB"/>
        </w:rPr>
        <w:t xml:space="preserve">seemingly </w:t>
      </w:r>
      <w:r w:rsidR="00740CF8" w:rsidRPr="00D04978">
        <w:rPr>
          <w:lang w:val="en-GB"/>
        </w:rPr>
        <w:t xml:space="preserve">having accepted that the lease </w:t>
      </w:r>
      <w:r w:rsidR="00633335" w:rsidRPr="00D04978">
        <w:rPr>
          <w:lang w:val="en-GB"/>
        </w:rPr>
        <w:t>had</w:t>
      </w:r>
      <w:r w:rsidR="00740CF8" w:rsidRPr="00D04978">
        <w:rPr>
          <w:lang w:val="en-GB"/>
        </w:rPr>
        <w:t xml:space="preserve"> been </w:t>
      </w:r>
      <w:r w:rsidR="009F543F" w:rsidRPr="00D04978">
        <w:rPr>
          <w:lang w:val="en-GB"/>
        </w:rPr>
        <w:t>cancelled</w:t>
      </w:r>
      <w:r w:rsidR="00740CF8" w:rsidRPr="00D04978">
        <w:rPr>
          <w:lang w:val="en-GB"/>
        </w:rPr>
        <w:t>,</w:t>
      </w:r>
      <w:r w:rsidR="00B47A50" w:rsidRPr="00D04978">
        <w:rPr>
          <w:lang w:val="en-GB"/>
        </w:rPr>
        <w:t xml:space="preserve"> </w:t>
      </w:r>
      <w:r w:rsidR="00633335" w:rsidRPr="00D04978">
        <w:rPr>
          <w:lang w:val="en-GB"/>
        </w:rPr>
        <w:t>did</w:t>
      </w:r>
      <w:r w:rsidR="00B47A50" w:rsidRPr="00D04978">
        <w:rPr>
          <w:lang w:val="en-GB"/>
        </w:rPr>
        <w:t xml:space="preserve"> not appl</w:t>
      </w:r>
      <w:r w:rsidR="008F7468" w:rsidRPr="00D04978">
        <w:rPr>
          <w:lang w:val="en-GB"/>
        </w:rPr>
        <w:t>y</w:t>
      </w:r>
      <w:r w:rsidR="00B47A50" w:rsidRPr="00D04978">
        <w:rPr>
          <w:lang w:val="en-GB"/>
        </w:rPr>
        <w:t xml:space="preserve"> for a stay of proceedings</w:t>
      </w:r>
      <w:r w:rsidR="00D17711" w:rsidRPr="00D04978">
        <w:rPr>
          <w:lang w:val="en-GB"/>
        </w:rPr>
        <w:t xml:space="preserve">, </w:t>
      </w:r>
      <w:r w:rsidR="00B47A50" w:rsidRPr="00D04978">
        <w:rPr>
          <w:lang w:val="en-GB"/>
        </w:rPr>
        <w:t xml:space="preserve">either </w:t>
      </w:r>
      <w:r w:rsidR="00D17711" w:rsidRPr="00D04978">
        <w:rPr>
          <w:lang w:val="en-GB"/>
        </w:rPr>
        <w:t>relying on s 6 of the Arbitration Act or on the common law,</w:t>
      </w:r>
      <w:r w:rsidR="00B47A50" w:rsidRPr="00D04978">
        <w:rPr>
          <w:lang w:val="en-GB"/>
        </w:rPr>
        <w:t xml:space="preserve"> pending the outcome of </w:t>
      </w:r>
      <w:r w:rsidR="00E13971" w:rsidRPr="00D04978">
        <w:rPr>
          <w:lang w:val="en-GB"/>
        </w:rPr>
        <w:t>an arbitration.</w:t>
      </w:r>
      <w:r w:rsidR="006C5085">
        <w:rPr>
          <w:rStyle w:val="FootnoteReference"/>
          <w:lang w:val="en-GB"/>
        </w:rPr>
        <w:footnoteReference w:id="10"/>
      </w:r>
      <w:r w:rsidR="009516DE" w:rsidRPr="00D04978">
        <w:rPr>
          <w:lang w:val="en-GB"/>
        </w:rPr>
        <w:t xml:space="preserve"> A respondent wishing to invoke the arbitration agreement has </w:t>
      </w:r>
      <w:r w:rsidR="006A6782" w:rsidRPr="00D04978">
        <w:rPr>
          <w:lang w:val="en-GB"/>
        </w:rPr>
        <w:t>both</w:t>
      </w:r>
      <w:r w:rsidR="009516DE" w:rsidRPr="00D04978">
        <w:rPr>
          <w:lang w:val="en-GB"/>
        </w:rPr>
        <w:t xml:space="preserve"> methods available to it to stay the court case and allow the arbitration to proceed</w:t>
      </w:r>
      <w:r w:rsidR="004A15BA" w:rsidRPr="00D04978">
        <w:rPr>
          <w:lang w:val="en-GB"/>
        </w:rPr>
        <w:t>.</w:t>
      </w:r>
      <w:r w:rsidR="006A6782">
        <w:rPr>
          <w:rStyle w:val="FootnoteReference"/>
          <w:lang w:val="en-GB"/>
        </w:rPr>
        <w:footnoteReference w:id="11"/>
      </w:r>
      <w:r w:rsidR="004A15BA" w:rsidRPr="00D04978">
        <w:rPr>
          <w:lang w:val="en-GB"/>
        </w:rPr>
        <w:t xml:space="preserve"> </w:t>
      </w:r>
      <w:r w:rsidR="007801C8" w:rsidRPr="00D04978">
        <w:rPr>
          <w:lang w:val="en-GB"/>
        </w:rPr>
        <w:t>They also failed to refer any suggested dispute about the lawfulness of cancellation on the strength of disputed rental amounts to arbitration, as they may have chosen to do.</w:t>
      </w:r>
      <w:r w:rsidR="00D04978" w:rsidRPr="00D04978">
        <w:rPr>
          <w:lang w:val="en-GB"/>
        </w:rPr>
        <w:t xml:space="preserve"> </w:t>
      </w:r>
    </w:p>
    <w:p w14:paraId="783D444A" w14:textId="77777777" w:rsidR="00D04978" w:rsidRPr="00D04978" w:rsidRDefault="00D04978" w:rsidP="00D04978">
      <w:pPr>
        <w:autoSpaceDE w:val="0"/>
        <w:autoSpaceDN w:val="0"/>
        <w:adjustRightInd w:val="0"/>
        <w:jc w:val="both"/>
        <w:rPr>
          <w:lang w:val="en-GB"/>
        </w:rPr>
      </w:pPr>
    </w:p>
    <w:p w14:paraId="1BB0CEE6" w14:textId="29F85DD3" w:rsidR="00942B4E" w:rsidRDefault="00BB19B8" w:rsidP="00AF6DF0">
      <w:pPr>
        <w:pStyle w:val="ListParagraph"/>
        <w:numPr>
          <w:ilvl w:val="0"/>
          <w:numId w:val="10"/>
        </w:numPr>
        <w:autoSpaceDE w:val="0"/>
        <w:autoSpaceDN w:val="0"/>
        <w:adjustRightInd w:val="0"/>
        <w:ind w:left="142" w:hanging="142"/>
        <w:jc w:val="both"/>
        <w:rPr>
          <w:lang w:val="en-GB"/>
        </w:rPr>
      </w:pPr>
      <w:r>
        <w:rPr>
          <w:lang w:val="en-GB"/>
        </w:rPr>
        <w:t xml:space="preserve">Instead of </w:t>
      </w:r>
      <w:r w:rsidR="00E2425B">
        <w:rPr>
          <w:lang w:val="en-GB"/>
        </w:rPr>
        <w:t xml:space="preserve">invoking the arbitration agreement to </w:t>
      </w:r>
      <w:r>
        <w:rPr>
          <w:lang w:val="en-GB"/>
        </w:rPr>
        <w:t xml:space="preserve">seek a stay of proceedings pending the finalisation of the arbitration, </w:t>
      </w:r>
      <w:r w:rsidR="00151CDA">
        <w:rPr>
          <w:lang w:val="en-GB"/>
        </w:rPr>
        <w:t xml:space="preserve">or to refer a dispute about the lawfulness of the cancellation, </w:t>
      </w:r>
      <w:r>
        <w:rPr>
          <w:lang w:val="en-GB"/>
        </w:rPr>
        <w:t xml:space="preserve">the respondents seize upon </w:t>
      </w:r>
      <w:r w:rsidR="00D058AC">
        <w:rPr>
          <w:lang w:val="en-GB"/>
        </w:rPr>
        <w:t>the applicant’s</w:t>
      </w:r>
      <w:r>
        <w:rPr>
          <w:lang w:val="en-GB"/>
        </w:rPr>
        <w:t xml:space="preserve"> referral </w:t>
      </w:r>
      <w:r w:rsidR="00D058AC">
        <w:rPr>
          <w:lang w:val="en-GB"/>
        </w:rPr>
        <w:t xml:space="preserve">to arbitration, to which I will return, </w:t>
      </w:r>
      <w:r>
        <w:rPr>
          <w:lang w:val="en-GB"/>
        </w:rPr>
        <w:t>to argue</w:t>
      </w:r>
      <w:r w:rsidR="006F4E29">
        <w:rPr>
          <w:lang w:val="en-GB"/>
        </w:rPr>
        <w:t>, firstly,</w:t>
      </w:r>
      <w:r>
        <w:rPr>
          <w:lang w:val="en-GB"/>
        </w:rPr>
        <w:t xml:space="preserve"> that the present application is </w:t>
      </w:r>
      <w:r>
        <w:rPr>
          <w:i/>
          <w:iCs/>
          <w:lang w:val="en-GB"/>
        </w:rPr>
        <w:t>lis alibis pendens</w:t>
      </w:r>
      <w:r w:rsidR="00A675B2">
        <w:rPr>
          <w:lang w:val="en-GB"/>
        </w:rPr>
        <w:t xml:space="preserve"> and should be dismissed.</w:t>
      </w:r>
      <w:r>
        <w:rPr>
          <w:lang w:val="en-GB"/>
        </w:rPr>
        <w:t xml:space="preserve"> </w:t>
      </w:r>
    </w:p>
    <w:p w14:paraId="68FE06B9" w14:textId="77777777" w:rsidR="00942B4E" w:rsidRPr="00942B4E" w:rsidRDefault="00942B4E" w:rsidP="00942B4E">
      <w:pPr>
        <w:pStyle w:val="ListParagraph"/>
        <w:rPr>
          <w:lang w:val="en-GB"/>
        </w:rPr>
      </w:pPr>
    </w:p>
    <w:p w14:paraId="56718B6C" w14:textId="741128CD" w:rsidR="00843363" w:rsidRPr="00942B4E" w:rsidRDefault="0079291B" w:rsidP="00942B4E">
      <w:pPr>
        <w:pStyle w:val="ListParagraph"/>
        <w:numPr>
          <w:ilvl w:val="0"/>
          <w:numId w:val="10"/>
        </w:numPr>
        <w:autoSpaceDE w:val="0"/>
        <w:autoSpaceDN w:val="0"/>
        <w:adjustRightInd w:val="0"/>
        <w:ind w:left="142" w:hanging="142"/>
        <w:jc w:val="both"/>
        <w:rPr>
          <w:lang w:val="en-GB"/>
        </w:rPr>
      </w:pPr>
      <w:r>
        <w:rPr>
          <w:lang w:val="en-GB"/>
        </w:rPr>
        <w:t>Such a plea is based on the proposition that the dispute (</w:t>
      </w:r>
      <w:r>
        <w:rPr>
          <w:i/>
          <w:iCs/>
          <w:lang w:val="en-GB"/>
        </w:rPr>
        <w:t>lis</w:t>
      </w:r>
      <w:r>
        <w:rPr>
          <w:lang w:val="en-GB"/>
        </w:rPr>
        <w:t xml:space="preserve">) between the parties is being litigated in another forum (arbitration) so that it would be inappropriate for it to be litigated in this court. </w:t>
      </w:r>
      <w:r w:rsidR="00B76AD4" w:rsidRPr="00942B4E">
        <w:rPr>
          <w:lang w:val="en-GB"/>
        </w:rPr>
        <w:t xml:space="preserve">Courts seek to avoid the situation where the same issue is pronounced upon by different </w:t>
      </w:r>
      <w:r w:rsidR="00A17EA6">
        <w:rPr>
          <w:lang w:val="en-GB"/>
        </w:rPr>
        <w:t>courts</w:t>
      </w:r>
      <w:r w:rsidR="00B76AD4" w:rsidRPr="00942B4E">
        <w:rPr>
          <w:lang w:val="en-GB"/>
        </w:rPr>
        <w:t xml:space="preserve">, coupled with the associated risk that different </w:t>
      </w:r>
      <w:r w:rsidR="00B76AD4" w:rsidRPr="00942B4E">
        <w:rPr>
          <w:lang w:val="en-GB"/>
        </w:rPr>
        <w:lastRenderedPageBreak/>
        <w:t>conclusions will be reached by each.</w:t>
      </w:r>
      <w:r w:rsidR="00B76AD4">
        <w:rPr>
          <w:rStyle w:val="FootnoteReference"/>
          <w:lang w:val="en-GB"/>
        </w:rPr>
        <w:footnoteReference w:id="12"/>
      </w:r>
      <w:r w:rsidRPr="00942B4E">
        <w:rPr>
          <w:i/>
          <w:iCs/>
          <w:lang w:val="en-GB"/>
        </w:rPr>
        <w:t xml:space="preserve"> </w:t>
      </w:r>
      <w:r w:rsidR="00843363" w:rsidRPr="00942B4E">
        <w:rPr>
          <w:lang w:val="en-GB"/>
        </w:rPr>
        <w:t>Fundamental to the plea is the requirement that ‘ … the same plaintiff has instituted action against the same defendant for the same thing arising out of the same cause …’</w:t>
      </w:r>
      <w:r w:rsidR="00843363">
        <w:rPr>
          <w:rStyle w:val="FootnoteReference"/>
          <w:lang w:val="en-GB"/>
        </w:rPr>
        <w:footnoteReference w:id="13"/>
      </w:r>
    </w:p>
    <w:p w14:paraId="5CFE89CC" w14:textId="77777777" w:rsidR="00843363" w:rsidRPr="00843363" w:rsidRDefault="00843363" w:rsidP="00843363">
      <w:pPr>
        <w:pStyle w:val="ListParagraph"/>
        <w:rPr>
          <w:lang w:val="en-GB"/>
        </w:rPr>
      </w:pPr>
    </w:p>
    <w:p w14:paraId="37666E4F" w14:textId="18F22DF9" w:rsidR="00AD046B" w:rsidRDefault="00AD046B" w:rsidP="00AD046B">
      <w:pPr>
        <w:pStyle w:val="ListParagraph"/>
        <w:numPr>
          <w:ilvl w:val="0"/>
          <w:numId w:val="10"/>
        </w:numPr>
        <w:autoSpaceDE w:val="0"/>
        <w:autoSpaceDN w:val="0"/>
        <w:adjustRightInd w:val="0"/>
        <w:ind w:left="142" w:hanging="142"/>
        <w:jc w:val="both"/>
        <w:rPr>
          <w:lang w:val="en-GB"/>
        </w:rPr>
      </w:pPr>
      <w:r>
        <w:rPr>
          <w:lang w:val="en-GB"/>
        </w:rPr>
        <w:t>It is the applicant that has referred the issue of the disputed unpaid rental amount to arbitration.</w:t>
      </w:r>
      <w:r>
        <w:rPr>
          <w:rStyle w:val="FootnoteReference"/>
          <w:lang w:val="en-GB"/>
        </w:rPr>
        <w:footnoteReference w:id="14"/>
      </w:r>
      <w:r>
        <w:rPr>
          <w:lang w:val="en-GB"/>
        </w:rPr>
        <w:t xml:space="preserve"> The respondents, without disputing the cancellation of the lease agreement</w:t>
      </w:r>
      <w:r w:rsidR="00BD1B92">
        <w:rPr>
          <w:lang w:val="en-GB"/>
        </w:rPr>
        <w:t xml:space="preserve"> on the papers</w:t>
      </w:r>
      <w:r>
        <w:rPr>
          <w:lang w:val="en-GB"/>
        </w:rPr>
        <w:t>, dispute the extent of the indebtedness to the applicant and the obligation to pay rental for March, April and May 2020.</w:t>
      </w:r>
      <w:r>
        <w:rPr>
          <w:rStyle w:val="FootnoteReference"/>
          <w:lang w:val="en-GB"/>
        </w:rPr>
        <w:footnoteReference w:id="15"/>
      </w:r>
      <w:r>
        <w:rPr>
          <w:lang w:val="en-GB"/>
        </w:rPr>
        <w:t xml:space="preserve"> It is that dispute that forms the basis of the applicant’s arbitration referral. </w:t>
      </w:r>
    </w:p>
    <w:p w14:paraId="4DA37B76" w14:textId="77777777" w:rsidR="00E270FC" w:rsidRPr="00E270FC" w:rsidRDefault="00E270FC" w:rsidP="00E270FC">
      <w:pPr>
        <w:autoSpaceDE w:val="0"/>
        <w:autoSpaceDN w:val="0"/>
        <w:adjustRightInd w:val="0"/>
        <w:jc w:val="both"/>
        <w:rPr>
          <w:lang w:val="en-GB"/>
        </w:rPr>
      </w:pPr>
    </w:p>
    <w:p w14:paraId="4E22DF44" w14:textId="2AB69DB1" w:rsidR="00515803" w:rsidRDefault="0079291B" w:rsidP="00254D53">
      <w:pPr>
        <w:pStyle w:val="ListParagraph"/>
        <w:numPr>
          <w:ilvl w:val="0"/>
          <w:numId w:val="10"/>
        </w:numPr>
        <w:autoSpaceDE w:val="0"/>
        <w:autoSpaceDN w:val="0"/>
        <w:adjustRightInd w:val="0"/>
        <w:ind w:left="142" w:hanging="142"/>
        <w:jc w:val="both"/>
        <w:rPr>
          <w:lang w:val="en-GB"/>
        </w:rPr>
      </w:pPr>
      <w:r>
        <w:rPr>
          <w:lang w:val="en-GB"/>
        </w:rPr>
        <w:t xml:space="preserve">It is, </w:t>
      </w:r>
      <w:r w:rsidR="00505658">
        <w:rPr>
          <w:lang w:val="en-GB"/>
        </w:rPr>
        <w:t>in other words</w:t>
      </w:r>
      <w:r>
        <w:rPr>
          <w:lang w:val="en-GB"/>
        </w:rPr>
        <w:t>, immediately apparent</w:t>
      </w:r>
      <w:r w:rsidR="00482449">
        <w:rPr>
          <w:lang w:val="en-GB"/>
        </w:rPr>
        <w:t xml:space="preserve"> from the papers </w:t>
      </w:r>
      <w:r w:rsidR="00055F07">
        <w:rPr>
          <w:lang w:val="en-GB"/>
        </w:rPr>
        <w:t xml:space="preserve">that the referral to arbitration relates solely to recovery of arrear rental, a matter placed in dispute by the respondents. </w:t>
      </w:r>
      <w:r w:rsidR="003E3621">
        <w:rPr>
          <w:lang w:val="en-GB"/>
        </w:rPr>
        <w:t>Interpreting the arbitration notice, the reference to referral of ‘</w:t>
      </w:r>
      <w:r w:rsidR="003D467B">
        <w:rPr>
          <w:lang w:val="en-GB"/>
        </w:rPr>
        <w:t xml:space="preserve"> … </w:t>
      </w:r>
      <w:r w:rsidR="003E3621">
        <w:rPr>
          <w:lang w:val="en-GB"/>
        </w:rPr>
        <w:t>the matter</w:t>
      </w:r>
      <w:r w:rsidR="003D467B">
        <w:rPr>
          <w:lang w:val="en-GB"/>
        </w:rPr>
        <w:t xml:space="preserve"> …</w:t>
      </w:r>
      <w:r w:rsidR="003E3621">
        <w:rPr>
          <w:lang w:val="en-GB"/>
        </w:rPr>
        <w:t>’ to arbitration in paragraph 2 of the arbitration notice, can only relate to the subject matter referred to</w:t>
      </w:r>
      <w:r w:rsidR="00716C42">
        <w:rPr>
          <w:lang w:val="en-GB"/>
        </w:rPr>
        <w:t xml:space="preserve"> </w:t>
      </w:r>
      <w:r w:rsidR="003E3621">
        <w:rPr>
          <w:lang w:val="en-GB"/>
        </w:rPr>
        <w:t xml:space="preserve">in paragraph 1 of the arbitration notice, which relates to demand for payment. </w:t>
      </w:r>
    </w:p>
    <w:p w14:paraId="2ADC16E9" w14:textId="77777777" w:rsidR="00515803" w:rsidRPr="00515803" w:rsidRDefault="00515803" w:rsidP="00515803">
      <w:pPr>
        <w:pStyle w:val="ListParagraph"/>
        <w:rPr>
          <w:lang w:val="en-GB"/>
        </w:rPr>
      </w:pPr>
    </w:p>
    <w:p w14:paraId="7C94F747" w14:textId="61B31A02" w:rsidR="00BB19B8" w:rsidRPr="00254D53" w:rsidRDefault="00055F07" w:rsidP="00254D53">
      <w:pPr>
        <w:pStyle w:val="ListParagraph"/>
        <w:numPr>
          <w:ilvl w:val="0"/>
          <w:numId w:val="10"/>
        </w:numPr>
        <w:autoSpaceDE w:val="0"/>
        <w:autoSpaceDN w:val="0"/>
        <w:adjustRightInd w:val="0"/>
        <w:ind w:left="142" w:hanging="142"/>
        <w:jc w:val="both"/>
        <w:rPr>
          <w:lang w:val="en-GB"/>
        </w:rPr>
      </w:pPr>
      <w:r>
        <w:rPr>
          <w:lang w:val="en-GB"/>
        </w:rPr>
        <w:t>Th</w:t>
      </w:r>
      <w:r w:rsidR="003F40C7">
        <w:rPr>
          <w:lang w:val="en-GB"/>
        </w:rPr>
        <w:t>e present</w:t>
      </w:r>
      <w:r>
        <w:rPr>
          <w:lang w:val="en-GB"/>
        </w:rPr>
        <w:t xml:space="preserve"> application is concerned with a different matter, namely the ejectment of the respondents from the premises following cancellation of the lease agreement.</w:t>
      </w:r>
      <w:r w:rsidR="00D32D86">
        <w:rPr>
          <w:lang w:val="en-GB"/>
        </w:rPr>
        <w:t xml:space="preserve"> Placed in the language of </w:t>
      </w:r>
      <w:r w:rsidR="00D32D86">
        <w:rPr>
          <w:i/>
          <w:iCs/>
          <w:lang w:val="en-GB"/>
        </w:rPr>
        <w:t>Hassan and another v Berrange NO</w:t>
      </w:r>
      <w:r w:rsidR="00D32D86">
        <w:rPr>
          <w:lang w:val="en-GB"/>
        </w:rPr>
        <w:t>,</w:t>
      </w:r>
      <w:r w:rsidR="00716C42">
        <w:rPr>
          <w:rStyle w:val="FootnoteReference"/>
          <w:lang w:val="en-GB"/>
        </w:rPr>
        <w:footnoteReference w:id="16"/>
      </w:r>
      <w:r w:rsidR="00D32D86">
        <w:rPr>
          <w:lang w:val="en-GB"/>
        </w:rPr>
        <w:t xml:space="preserve"> while the parties may be the same, the two proceedings cannot be said to ‘ … arise out of the same cause …’</w:t>
      </w:r>
      <w:r w:rsidR="00147CC2">
        <w:rPr>
          <w:lang w:val="en-GB"/>
        </w:rPr>
        <w:t xml:space="preserve"> The referral to arbitration does not deal with the respondents’ continued unlawful occupation of the property or with the matter of eviction.</w:t>
      </w:r>
      <w:r w:rsidR="00254D53">
        <w:rPr>
          <w:lang w:val="en-GB"/>
        </w:rPr>
        <w:t xml:space="preserve"> </w:t>
      </w:r>
      <w:r w:rsidR="0028725A">
        <w:rPr>
          <w:lang w:val="en-GB"/>
        </w:rPr>
        <w:t>As such, it would in any event have served no purpose for the respondents to seek a stay of these eviction proceedings pending the outcome of arbitration proceedings focused on the issue of non-payment</w:t>
      </w:r>
      <w:r w:rsidR="00A406EA">
        <w:rPr>
          <w:lang w:val="en-GB"/>
        </w:rPr>
        <w:t xml:space="preserve"> of arrear rental. </w:t>
      </w:r>
      <w:r w:rsidR="0009788D">
        <w:rPr>
          <w:lang w:val="en-GB"/>
        </w:rPr>
        <w:t>It follows that t</w:t>
      </w:r>
      <w:r w:rsidR="002E7C70" w:rsidRPr="00254D53">
        <w:rPr>
          <w:lang w:val="en-GB"/>
        </w:rPr>
        <w:t xml:space="preserve">he first point </w:t>
      </w:r>
      <w:r w:rsidR="002E7C70" w:rsidRPr="00254D53">
        <w:rPr>
          <w:i/>
          <w:iCs/>
          <w:lang w:val="en-GB"/>
        </w:rPr>
        <w:t>in limine</w:t>
      </w:r>
      <w:r w:rsidR="002E7C70" w:rsidRPr="00254D53">
        <w:rPr>
          <w:lang w:val="en-GB"/>
        </w:rPr>
        <w:t xml:space="preserve"> must be dismissed.</w:t>
      </w:r>
      <w:r w:rsidR="00F43C1E">
        <w:rPr>
          <w:lang w:val="en-GB"/>
        </w:rPr>
        <w:t xml:space="preserve"> In any event, and to the extent that it may be necessary for this court to express itself further on the point, the court considers it appropriate to </w:t>
      </w:r>
      <w:r w:rsidR="00F43C1E">
        <w:rPr>
          <w:lang w:val="en-GB"/>
        </w:rPr>
        <w:lastRenderedPageBreak/>
        <w:t>exercise a discretion to proceed and deal with the dispute, rather than call a halt to proceedings and refer this particular matter to arbitration.</w:t>
      </w:r>
    </w:p>
    <w:p w14:paraId="3B4AE7D1" w14:textId="77777777" w:rsidR="00480E07" w:rsidRDefault="00480E07" w:rsidP="00480E07">
      <w:pPr>
        <w:pStyle w:val="ListParagraph"/>
        <w:autoSpaceDE w:val="0"/>
        <w:autoSpaceDN w:val="0"/>
        <w:adjustRightInd w:val="0"/>
        <w:ind w:left="142"/>
        <w:jc w:val="both"/>
        <w:rPr>
          <w:lang w:val="en-GB"/>
        </w:rPr>
      </w:pPr>
    </w:p>
    <w:p w14:paraId="25521775" w14:textId="3822DF0A" w:rsidR="00443264" w:rsidRDefault="002843B1" w:rsidP="00AF6DF0">
      <w:pPr>
        <w:pStyle w:val="ListParagraph"/>
        <w:numPr>
          <w:ilvl w:val="0"/>
          <w:numId w:val="10"/>
        </w:numPr>
        <w:autoSpaceDE w:val="0"/>
        <w:autoSpaceDN w:val="0"/>
        <w:adjustRightInd w:val="0"/>
        <w:ind w:left="142" w:hanging="142"/>
        <w:jc w:val="both"/>
        <w:rPr>
          <w:lang w:val="en-GB"/>
        </w:rPr>
      </w:pPr>
      <w:r>
        <w:rPr>
          <w:lang w:val="en-GB"/>
        </w:rPr>
        <w:t>Regarding the court’s jurisdiction,</w:t>
      </w:r>
      <w:r w:rsidR="000A3676">
        <w:rPr>
          <w:lang w:val="en-GB"/>
        </w:rPr>
        <w:t xml:space="preserve"> the SCA held in </w:t>
      </w:r>
      <w:r w:rsidR="000A3676">
        <w:rPr>
          <w:i/>
          <w:iCs/>
          <w:lang w:val="en-GB"/>
        </w:rPr>
        <w:t>Standard Bank of South Africa Ltd and others v Mpongo</w:t>
      </w:r>
      <w:r w:rsidR="000A3676">
        <w:rPr>
          <w:lang w:val="en-GB"/>
        </w:rPr>
        <w:t xml:space="preserve">, </w:t>
      </w:r>
      <w:r w:rsidR="00C016CF">
        <w:rPr>
          <w:lang w:val="en-GB"/>
        </w:rPr>
        <w:t xml:space="preserve">that </w:t>
      </w:r>
      <w:r w:rsidR="000A3676">
        <w:rPr>
          <w:lang w:val="en-GB"/>
        </w:rPr>
        <w:t>s 29 of the Magistrates’ Court Act is, along with sections of other legislation, premised on the High Court having concurrent jurisdiction with magistrates’ courts.</w:t>
      </w:r>
      <w:r w:rsidR="004A1304">
        <w:rPr>
          <w:rStyle w:val="FootnoteReference"/>
          <w:lang w:val="en-GB"/>
        </w:rPr>
        <w:footnoteReference w:id="17"/>
      </w:r>
      <w:r w:rsidR="009816DB">
        <w:rPr>
          <w:lang w:val="en-GB"/>
        </w:rPr>
        <w:t xml:space="preserve"> </w:t>
      </w:r>
      <w:r w:rsidR="00EF12CB">
        <w:rPr>
          <w:lang w:val="en-GB"/>
        </w:rPr>
        <w:t xml:space="preserve">Leaving aside the possibility of </w:t>
      </w:r>
      <w:r w:rsidR="00D56875">
        <w:rPr>
          <w:lang w:val="en-GB"/>
        </w:rPr>
        <w:t xml:space="preserve">interim </w:t>
      </w:r>
      <w:r w:rsidR="00EF12CB">
        <w:rPr>
          <w:lang w:val="en-GB"/>
        </w:rPr>
        <w:t>applications for ejectment in the magistrate’s court pending final determination of an action for ejectment,</w:t>
      </w:r>
      <w:r w:rsidR="00EF12CB">
        <w:rPr>
          <w:rStyle w:val="FootnoteReference"/>
          <w:lang w:val="en-GB"/>
        </w:rPr>
        <w:footnoteReference w:id="18"/>
      </w:r>
      <w:r w:rsidR="008F6EA2">
        <w:rPr>
          <w:lang w:val="en-GB"/>
        </w:rPr>
        <w:t xml:space="preserve"> s </w:t>
      </w:r>
      <w:r w:rsidR="00405C7A">
        <w:rPr>
          <w:lang w:val="en-GB"/>
        </w:rPr>
        <w:t>29</w:t>
      </w:r>
      <w:r w:rsidR="00405C7A">
        <w:rPr>
          <w:i/>
          <w:iCs/>
          <w:lang w:val="en-GB"/>
        </w:rPr>
        <w:t>(b)</w:t>
      </w:r>
      <w:r w:rsidR="00405C7A">
        <w:rPr>
          <w:lang w:val="en-GB"/>
        </w:rPr>
        <w:t xml:space="preserve"> </w:t>
      </w:r>
      <w:r w:rsidR="008F6EA2" w:rsidRPr="00405C7A">
        <w:rPr>
          <w:i/>
          <w:iCs/>
          <w:lang w:val="en-GB"/>
        </w:rPr>
        <w:t>of</w:t>
      </w:r>
      <w:r w:rsidR="008F6EA2">
        <w:rPr>
          <w:lang w:val="en-GB"/>
        </w:rPr>
        <w:t xml:space="preserve"> the Magistrates’ Courts Act, 1944</w:t>
      </w:r>
      <w:r w:rsidR="008F6EA2">
        <w:rPr>
          <w:rStyle w:val="FootnoteReference"/>
          <w:lang w:val="en-GB"/>
        </w:rPr>
        <w:footnoteReference w:id="19"/>
      </w:r>
      <w:r w:rsidR="00405C7A">
        <w:rPr>
          <w:lang w:val="en-GB"/>
        </w:rPr>
        <w:t xml:space="preserve"> limits the magistrate’s court to jurisdiction</w:t>
      </w:r>
      <w:r w:rsidR="00D04EFE">
        <w:rPr>
          <w:lang w:val="en-GB"/>
        </w:rPr>
        <w:t>, in respect of causes of action,</w:t>
      </w:r>
      <w:r w:rsidR="00405C7A">
        <w:rPr>
          <w:lang w:val="en-GB"/>
        </w:rPr>
        <w:t xml:space="preserve"> </w:t>
      </w:r>
      <w:r w:rsidR="00D04EFE">
        <w:rPr>
          <w:lang w:val="en-GB"/>
        </w:rPr>
        <w:t>to</w:t>
      </w:r>
      <w:r w:rsidR="00405C7A">
        <w:rPr>
          <w:lang w:val="en-GB"/>
        </w:rPr>
        <w:t xml:space="preserve"> </w:t>
      </w:r>
      <w:r w:rsidR="00405C7A">
        <w:rPr>
          <w:i/>
          <w:iCs/>
          <w:lang w:val="en-GB"/>
        </w:rPr>
        <w:t>actions</w:t>
      </w:r>
      <w:r w:rsidR="00405C7A">
        <w:rPr>
          <w:lang w:val="en-GB"/>
        </w:rPr>
        <w:t xml:space="preserve"> of ejectment against the occupier of any premises or land within the district or regional division</w:t>
      </w:r>
      <w:r w:rsidR="00A4092B">
        <w:rPr>
          <w:lang w:val="en-GB"/>
        </w:rPr>
        <w:t>.</w:t>
      </w:r>
      <w:r w:rsidR="00F03722">
        <w:rPr>
          <w:lang w:val="en-GB"/>
        </w:rPr>
        <w:t xml:space="preserve"> </w:t>
      </w:r>
      <w:r w:rsidR="0065617E">
        <w:rPr>
          <w:lang w:val="en-GB"/>
        </w:rPr>
        <w:t>The word ‘actions’ in s 29(1) has the narrower meaning of proceedings initiated by summons and it is accepted that an application for the delivery of property or for permanent final ejectment, leaving aside PIE applications, may not be brought in the magistrate’s court.</w:t>
      </w:r>
      <w:r w:rsidR="0065617E">
        <w:rPr>
          <w:rStyle w:val="FootnoteReference"/>
          <w:lang w:val="en-GB"/>
        </w:rPr>
        <w:footnoteReference w:id="20"/>
      </w:r>
      <w:r w:rsidR="0065617E">
        <w:rPr>
          <w:lang w:val="en-GB"/>
        </w:rPr>
        <w:t xml:space="preserve"> </w:t>
      </w:r>
      <w:r w:rsidR="00A4092B">
        <w:rPr>
          <w:lang w:val="en-GB"/>
        </w:rPr>
        <w:t>There is also</w:t>
      </w:r>
      <w:r w:rsidR="00F03722">
        <w:rPr>
          <w:lang w:val="en-GB"/>
        </w:rPr>
        <w:t xml:space="preserve"> a proviso linked to a ministerially determined amount.</w:t>
      </w:r>
      <w:r w:rsidR="00791148">
        <w:rPr>
          <w:lang w:val="en-GB"/>
        </w:rPr>
        <w:t xml:space="preserve"> </w:t>
      </w:r>
    </w:p>
    <w:p w14:paraId="595AA092" w14:textId="77777777" w:rsidR="00443264" w:rsidRPr="00443264" w:rsidRDefault="00443264" w:rsidP="00443264">
      <w:pPr>
        <w:pStyle w:val="ListParagraph"/>
        <w:rPr>
          <w:lang w:val="en-GB"/>
        </w:rPr>
      </w:pPr>
    </w:p>
    <w:p w14:paraId="3CEE5E29" w14:textId="77777777" w:rsidR="0085080D" w:rsidRDefault="00EE7A94" w:rsidP="00AF6DF0">
      <w:pPr>
        <w:pStyle w:val="ListParagraph"/>
        <w:numPr>
          <w:ilvl w:val="0"/>
          <w:numId w:val="10"/>
        </w:numPr>
        <w:autoSpaceDE w:val="0"/>
        <w:autoSpaceDN w:val="0"/>
        <w:adjustRightInd w:val="0"/>
        <w:ind w:left="142" w:hanging="142"/>
        <w:jc w:val="both"/>
        <w:rPr>
          <w:lang w:val="en-GB"/>
        </w:rPr>
      </w:pPr>
      <w:r>
        <w:rPr>
          <w:lang w:val="en-GB"/>
        </w:rPr>
        <w:t>It must be remembered that High Courts exercise the original authority of the state to resolve all disputes, of any kind, that are capable of being resolved by a resort to law, unless that authority has been assigned to another court.</w:t>
      </w:r>
      <w:r w:rsidR="00BC31FE">
        <w:rPr>
          <w:rStyle w:val="FootnoteReference"/>
          <w:lang w:val="en-GB"/>
        </w:rPr>
        <w:footnoteReference w:id="21"/>
      </w:r>
      <w:r>
        <w:rPr>
          <w:lang w:val="en-GB"/>
        </w:rPr>
        <w:t xml:space="preserve"> </w:t>
      </w:r>
      <w:r w:rsidR="00F046F8">
        <w:rPr>
          <w:lang w:val="en-GB"/>
        </w:rPr>
        <w:t>There is</w:t>
      </w:r>
      <w:r w:rsidR="00BC31FE">
        <w:rPr>
          <w:lang w:val="en-GB"/>
        </w:rPr>
        <w:t>, as a result,</w:t>
      </w:r>
      <w:r w:rsidR="00F046F8">
        <w:rPr>
          <w:lang w:val="en-GB"/>
        </w:rPr>
        <w:t xml:space="preserve"> a strong presumption against the ouster of the High Court’s jurisdiction, and the mere fact that this statute has vested jurisdiction in the lower court for an ejectment action is insufficient to create an implication that the jurisdiction of the High Court has been ousted.</w:t>
      </w:r>
      <w:r w:rsidR="00EC5D73">
        <w:rPr>
          <w:rStyle w:val="FootnoteReference"/>
          <w:lang w:val="en-GB"/>
        </w:rPr>
        <w:footnoteReference w:id="22"/>
      </w:r>
      <w:r w:rsidR="005B3346">
        <w:rPr>
          <w:lang w:val="en-GB"/>
        </w:rPr>
        <w:t xml:space="preserve"> </w:t>
      </w:r>
    </w:p>
    <w:p w14:paraId="1F9F1467" w14:textId="77777777" w:rsidR="0085080D" w:rsidRPr="0085080D" w:rsidRDefault="0085080D" w:rsidP="0085080D">
      <w:pPr>
        <w:pStyle w:val="ListParagraph"/>
        <w:rPr>
          <w:lang w:val="en-GB"/>
        </w:rPr>
      </w:pPr>
    </w:p>
    <w:p w14:paraId="2719E2A4" w14:textId="1FF6612F" w:rsidR="000A3676" w:rsidRDefault="00824CF5" w:rsidP="00AF6DF0">
      <w:pPr>
        <w:pStyle w:val="ListParagraph"/>
        <w:numPr>
          <w:ilvl w:val="0"/>
          <w:numId w:val="10"/>
        </w:numPr>
        <w:autoSpaceDE w:val="0"/>
        <w:autoSpaceDN w:val="0"/>
        <w:adjustRightInd w:val="0"/>
        <w:ind w:left="142" w:hanging="142"/>
        <w:jc w:val="both"/>
        <w:rPr>
          <w:lang w:val="en-GB"/>
        </w:rPr>
      </w:pPr>
      <w:r>
        <w:rPr>
          <w:lang w:val="en-GB"/>
        </w:rPr>
        <w:t>T</w:t>
      </w:r>
      <w:r w:rsidR="005B3346">
        <w:rPr>
          <w:lang w:val="en-GB"/>
        </w:rPr>
        <w:t>he High Court must entertain matters within its territorial jurisdiction that fall within the jurisdiction of a magistrate’s court, if brought before it, because it has concurrent jurisdiction with the magistrate’s court.</w:t>
      </w:r>
      <w:r w:rsidR="005B3346">
        <w:rPr>
          <w:rStyle w:val="FootnoteReference"/>
          <w:lang w:val="en-GB"/>
        </w:rPr>
        <w:footnoteReference w:id="23"/>
      </w:r>
      <w:r w:rsidR="005B3346">
        <w:rPr>
          <w:lang w:val="en-GB"/>
        </w:rPr>
        <w:t xml:space="preserve">  </w:t>
      </w:r>
      <w:r w:rsidR="00AA3805">
        <w:rPr>
          <w:lang w:val="en-GB"/>
        </w:rPr>
        <w:t>The magistrate’s court is a creature of statute with limited jurisdiction. Reading the arbitration clause in a way that compels the applicant to proceed before a magistrate’s court would elevate its jurisdiction to include applications for ejectment</w:t>
      </w:r>
      <w:r w:rsidR="0067329B">
        <w:rPr>
          <w:lang w:val="en-GB"/>
        </w:rPr>
        <w:t>, in parallel with the High Court,</w:t>
      </w:r>
      <w:r w:rsidR="00AA3805">
        <w:rPr>
          <w:lang w:val="en-GB"/>
        </w:rPr>
        <w:t xml:space="preserve"> in circumstances where the legislature has limited its scope of authority</w:t>
      </w:r>
      <w:r w:rsidR="00621E4C">
        <w:rPr>
          <w:lang w:val="en-GB"/>
        </w:rPr>
        <w:t xml:space="preserve"> and did not contemplate this outcome</w:t>
      </w:r>
      <w:r w:rsidR="00AA3805">
        <w:rPr>
          <w:lang w:val="en-GB"/>
        </w:rPr>
        <w:t>.</w:t>
      </w:r>
      <w:r w:rsidR="004F7C7F">
        <w:rPr>
          <w:rStyle w:val="FootnoteReference"/>
          <w:lang w:val="en-GB"/>
        </w:rPr>
        <w:footnoteReference w:id="24"/>
      </w:r>
      <w:r w:rsidR="0067329B">
        <w:rPr>
          <w:lang w:val="en-GB"/>
        </w:rPr>
        <w:t xml:space="preserve"> </w:t>
      </w:r>
      <w:r w:rsidR="00B05831">
        <w:rPr>
          <w:lang w:val="en-GB"/>
        </w:rPr>
        <w:t xml:space="preserve">In addition, it would trample on the right of an applicant to choose a court of competent jurisdiction </w:t>
      </w:r>
      <w:r w:rsidR="00A5336D">
        <w:rPr>
          <w:lang w:val="en-GB"/>
        </w:rPr>
        <w:t>to commence litigation.</w:t>
      </w:r>
      <w:r w:rsidR="0084765D">
        <w:rPr>
          <w:rStyle w:val="FootnoteReference"/>
          <w:lang w:val="en-GB"/>
        </w:rPr>
        <w:footnoteReference w:id="25"/>
      </w:r>
      <w:r w:rsidR="00A5336D">
        <w:rPr>
          <w:lang w:val="en-GB"/>
        </w:rPr>
        <w:t xml:space="preserve"> </w:t>
      </w:r>
      <w:r w:rsidR="00BE69BC">
        <w:rPr>
          <w:lang w:val="en-GB"/>
        </w:rPr>
        <w:t xml:space="preserve">As the SCA held in </w:t>
      </w:r>
      <w:r w:rsidR="00BE69BC">
        <w:rPr>
          <w:i/>
          <w:iCs/>
          <w:lang w:val="en-GB"/>
        </w:rPr>
        <w:t>Standard Bank</w:t>
      </w:r>
      <w:r w:rsidR="00BE69BC">
        <w:rPr>
          <w:lang w:val="en-GB"/>
        </w:rPr>
        <w:t>, there is long-standing authority that even when a High Court has a matter before it that could have been brought in a Magistrate’s Court, it has no power to refuse to hear the matter.</w:t>
      </w:r>
      <w:r w:rsidR="00BE69BC">
        <w:rPr>
          <w:rStyle w:val="FootnoteReference"/>
          <w:lang w:val="en-GB"/>
        </w:rPr>
        <w:footnoteReference w:id="26"/>
      </w:r>
      <w:r w:rsidR="00C56103">
        <w:rPr>
          <w:lang w:val="en-GB"/>
        </w:rPr>
        <w:t xml:space="preserve"> There can, in addition, be no suggestion that the applicant is instituting these proceedings in this forum for an extraneous or improper purpose.</w:t>
      </w:r>
      <w:r w:rsidR="00C56103">
        <w:rPr>
          <w:rStyle w:val="FootnoteReference"/>
          <w:lang w:val="en-GB"/>
        </w:rPr>
        <w:footnoteReference w:id="27"/>
      </w:r>
      <w:r w:rsidR="00BE69BC">
        <w:rPr>
          <w:i/>
          <w:iCs/>
          <w:lang w:val="en-GB"/>
        </w:rPr>
        <w:t xml:space="preserve"> </w:t>
      </w:r>
      <w:r w:rsidR="0074629E">
        <w:rPr>
          <w:lang w:val="en-GB"/>
        </w:rPr>
        <w:t xml:space="preserve">The second point </w:t>
      </w:r>
      <w:r w:rsidR="0074629E">
        <w:rPr>
          <w:i/>
          <w:iCs/>
          <w:lang w:val="en-GB"/>
        </w:rPr>
        <w:t>in limine</w:t>
      </w:r>
      <w:r w:rsidR="0074629E">
        <w:rPr>
          <w:lang w:val="en-GB"/>
        </w:rPr>
        <w:t xml:space="preserve"> must consequently also be dismissed.</w:t>
      </w:r>
    </w:p>
    <w:p w14:paraId="068D75C8" w14:textId="77777777" w:rsidR="00AA3805" w:rsidRDefault="00AA3805" w:rsidP="00AA3805">
      <w:pPr>
        <w:pStyle w:val="ListParagraph"/>
        <w:autoSpaceDE w:val="0"/>
        <w:autoSpaceDN w:val="0"/>
        <w:adjustRightInd w:val="0"/>
        <w:ind w:left="142"/>
        <w:jc w:val="both"/>
        <w:rPr>
          <w:lang w:val="en-GB"/>
        </w:rPr>
      </w:pPr>
    </w:p>
    <w:p w14:paraId="5023DF61" w14:textId="0AE63B04" w:rsidR="004F5E6B" w:rsidRDefault="009B456B" w:rsidP="004F5E6B">
      <w:pPr>
        <w:pStyle w:val="ListParagraph"/>
        <w:numPr>
          <w:ilvl w:val="0"/>
          <w:numId w:val="10"/>
        </w:numPr>
        <w:autoSpaceDE w:val="0"/>
        <w:autoSpaceDN w:val="0"/>
        <w:adjustRightInd w:val="0"/>
        <w:ind w:left="142" w:hanging="142"/>
        <w:jc w:val="both"/>
        <w:rPr>
          <w:lang w:val="en-GB"/>
        </w:rPr>
      </w:pPr>
      <w:r>
        <w:rPr>
          <w:lang w:val="en-GB"/>
        </w:rPr>
        <w:t>The applicant has made out a case for an eviction order to be granted in its favour. It is the lawful owner of the premises and the respondents are in occupation against its will.</w:t>
      </w:r>
      <w:r w:rsidR="001B446C">
        <w:rPr>
          <w:rStyle w:val="FootnoteReference"/>
          <w:lang w:val="en-GB"/>
        </w:rPr>
        <w:footnoteReference w:id="28"/>
      </w:r>
      <w:r>
        <w:rPr>
          <w:lang w:val="en-GB"/>
        </w:rPr>
        <w:t xml:space="preserve"> </w:t>
      </w:r>
      <w:r w:rsidR="00E1088B">
        <w:rPr>
          <w:lang w:val="en-GB"/>
        </w:rPr>
        <w:t xml:space="preserve">The </w:t>
      </w:r>
      <w:r w:rsidR="007955C7">
        <w:rPr>
          <w:lang w:val="en-GB"/>
        </w:rPr>
        <w:t>first respondent</w:t>
      </w:r>
      <w:r w:rsidR="00E1088B">
        <w:rPr>
          <w:lang w:val="en-GB"/>
        </w:rPr>
        <w:t xml:space="preserve"> ha</w:t>
      </w:r>
      <w:r w:rsidR="00FE536D">
        <w:rPr>
          <w:lang w:val="en-GB"/>
        </w:rPr>
        <w:t>s</w:t>
      </w:r>
      <w:r w:rsidR="00E1088B">
        <w:rPr>
          <w:lang w:val="en-GB"/>
        </w:rPr>
        <w:t xml:space="preserve"> not vacated the premises and ha</w:t>
      </w:r>
      <w:r w:rsidR="00DF0C93">
        <w:rPr>
          <w:lang w:val="en-GB"/>
        </w:rPr>
        <w:t>s</w:t>
      </w:r>
      <w:r w:rsidR="00E1088B">
        <w:rPr>
          <w:lang w:val="en-GB"/>
        </w:rPr>
        <w:t xml:space="preserve"> not demonstrated an</w:t>
      </w:r>
      <w:r w:rsidR="00411890">
        <w:rPr>
          <w:lang w:val="en-GB"/>
        </w:rPr>
        <w:t>y</w:t>
      </w:r>
      <w:r w:rsidR="00E1088B">
        <w:rPr>
          <w:lang w:val="en-GB"/>
        </w:rPr>
        <w:t xml:space="preserve"> acceptable basis for doing so</w:t>
      </w:r>
      <w:r w:rsidR="00AA19C1">
        <w:rPr>
          <w:lang w:val="en-GB"/>
        </w:rPr>
        <w:t xml:space="preserve"> subsequent to </w:t>
      </w:r>
      <w:r w:rsidR="00C87F6F">
        <w:rPr>
          <w:lang w:val="en-GB"/>
        </w:rPr>
        <w:t>its</w:t>
      </w:r>
      <w:r w:rsidR="00AA19C1">
        <w:rPr>
          <w:lang w:val="en-GB"/>
        </w:rPr>
        <w:t xml:space="preserve"> lease being terminated.</w:t>
      </w:r>
      <w:r w:rsidR="00DC09CB">
        <w:rPr>
          <w:lang w:val="en-GB"/>
        </w:rPr>
        <w:t xml:space="preserve"> </w:t>
      </w:r>
      <w:r w:rsidR="00DF0C93">
        <w:rPr>
          <w:lang w:val="en-GB"/>
        </w:rPr>
        <w:t xml:space="preserve">That termination was based on the lessee’s breach in failing to make payment of rental, </w:t>
      </w:r>
      <w:r w:rsidR="00413C34">
        <w:rPr>
          <w:lang w:val="en-GB"/>
        </w:rPr>
        <w:t xml:space="preserve">which amounts to a material breach of an essential term, </w:t>
      </w:r>
      <w:r w:rsidR="00DF0C93">
        <w:rPr>
          <w:lang w:val="en-GB"/>
        </w:rPr>
        <w:t>even though the re</w:t>
      </w:r>
      <w:r w:rsidR="00DF7F19">
        <w:rPr>
          <w:lang w:val="en-GB"/>
        </w:rPr>
        <w:t>spondents may have disputed their payment obligations for a few months</w:t>
      </w:r>
      <w:r w:rsidR="00DF0C93">
        <w:rPr>
          <w:lang w:val="en-GB"/>
        </w:rPr>
        <w:t>.</w:t>
      </w:r>
      <w:r w:rsidR="00405BDF">
        <w:rPr>
          <w:rStyle w:val="FootnoteReference"/>
          <w:lang w:val="en-GB"/>
        </w:rPr>
        <w:footnoteReference w:id="29"/>
      </w:r>
      <w:r w:rsidR="00DF0C93">
        <w:rPr>
          <w:lang w:val="en-GB"/>
        </w:rPr>
        <w:t xml:space="preserve"> Clause 8.4 of the lease agreement provides:</w:t>
      </w:r>
      <w:r w:rsidR="004F5E6B">
        <w:rPr>
          <w:rStyle w:val="FootnoteReference"/>
          <w:lang w:val="en-GB"/>
        </w:rPr>
        <w:footnoteReference w:id="30"/>
      </w:r>
    </w:p>
    <w:p w14:paraId="057D505D" w14:textId="452BD84F" w:rsidR="004F5E6B" w:rsidRDefault="004F5E6B" w:rsidP="004F5E6B">
      <w:pPr>
        <w:ind w:left="142"/>
        <w:rPr>
          <w:sz w:val="22"/>
          <w:szCs w:val="22"/>
          <w:lang w:val="en-GB"/>
        </w:rPr>
      </w:pPr>
      <w:r>
        <w:rPr>
          <w:sz w:val="22"/>
          <w:szCs w:val="22"/>
          <w:lang w:val="en-GB"/>
        </w:rPr>
        <w:t>‘The Lessor can immediately terminate this agreement should The Lessee be in breach of this agreement in any manner such as but not limited to failure to timeously make payment of the rental due…’</w:t>
      </w:r>
    </w:p>
    <w:p w14:paraId="7A79050B" w14:textId="77777777" w:rsidR="00DF0C93" w:rsidRPr="00B039F6" w:rsidRDefault="00DF0C93" w:rsidP="00B039F6">
      <w:pPr>
        <w:rPr>
          <w:lang w:val="en-GB"/>
        </w:rPr>
      </w:pPr>
    </w:p>
    <w:p w14:paraId="4A05712A" w14:textId="408B8945" w:rsidR="00B039F6" w:rsidRDefault="00B039F6" w:rsidP="00DC2607">
      <w:pPr>
        <w:pStyle w:val="ListParagraph"/>
        <w:numPr>
          <w:ilvl w:val="0"/>
          <w:numId w:val="10"/>
        </w:numPr>
        <w:autoSpaceDE w:val="0"/>
        <w:autoSpaceDN w:val="0"/>
        <w:adjustRightInd w:val="0"/>
        <w:ind w:left="142" w:hanging="142"/>
        <w:jc w:val="both"/>
        <w:rPr>
          <w:lang w:val="en-GB"/>
        </w:rPr>
      </w:pPr>
      <w:r>
        <w:rPr>
          <w:lang w:val="en-GB"/>
        </w:rPr>
        <w:t xml:space="preserve">This is precisely what occurred, with </w:t>
      </w:r>
      <w:r w:rsidR="009F2169">
        <w:rPr>
          <w:lang w:val="en-GB"/>
        </w:rPr>
        <w:t xml:space="preserve">clear and </w:t>
      </w:r>
      <w:r>
        <w:rPr>
          <w:lang w:val="en-GB"/>
        </w:rPr>
        <w:t xml:space="preserve">unequivocal communication </w:t>
      </w:r>
      <w:r w:rsidR="00D900B8">
        <w:rPr>
          <w:lang w:val="en-GB"/>
        </w:rPr>
        <w:t>having followed.</w:t>
      </w:r>
      <w:r w:rsidR="004640CB">
        <w:rPr>
          <w:rStyle w:val="FootnoteReference"/>
          <w:lang w:val="en-GB"/>
        </w:rPr>
        <w:footnoteReference w:id="31"/>
      </w:r>
      <w:r w:rsidR="000E2A09">
        <w:rPr>
          <w:lang w:val="en-GB"/>
        </w:rPr>
        <w:t xml:space="preserve"> </w:t>
      </w:r>
      <w:r w:rsidR="00BD09E6">
        <w:rPr>
          <w:lang w:val="en-GB"/>
        </w:rPr>
        <w:t>Lessors enjoy the</w:t>
      </w:r>
      <w:r w:rsidR="009127CE">
        <w:rPr>
          <w:lang w:val="en-GB"/>
        </w:rPr>
        <w:t xml:space="preserve"> right to claim supplementary remedies</w:t>
      </w:r>
      <w:r w:rsidR="00BD09E6">
        <w:rPr>
          <w:lang w:val="en-GB"/>
        </w:rPr>
        <w:t xml:space="preserve"> in addition to cancellation.</w:t>
      </w:r>
      <w:r w:rsidR="00BD09E6">
        <w:rPr>
          <w:rStyle w:val="FootnoteReference"/>
          <w:lang w:val="en-GB"/>
        </w:rPr>
        <w:footnoteReference w:id="32"/>
      </w:r>
      <w:r w:rsidR="00BD09E6">
        <w:rPr>
          <w:lang w:val="en-GB"/>
        </w:rPr>
        <w:t xml:space="preserve"> This</w:t>
      </w:r>
      <w:r w:rsidR="009127CE">
        <w:rPr>
          <w:lang w:val="en-GB"/>
        </w:rPr>
        <w:t xml:space="preserve"> includ</w:t>
      </w:r>
      <w:r w:rsidR="00BD09E6">
        <w:rPr>
          <w:lang w:val="en-GB"/>
        </w:rPr>
        <w:t>es</w:t>
      </w:r>
      <w:r w:rsidR="009127CE">
        <w:rPr>
          <w:lang w:val="en-GB"/>
        </w:rPr>
        <w:t xml:space="preserve"> claiming arrear rental for the lessee’s use and enjoyment of the leased property (including triggering the arbitration clause</w:t>
      </w:r>
      <w:r w:rsidR="00EF031A">
        <w:rPr>
          <w:lang w:val="en-GB"/>
        </w:rPr>
        <w:t>, in this instance</w:t>
      </w:r>
      <w:r w:rsidR="009127CE">
        <w:rPr>
          <w:lang w:val="en-GB"/>
        </w:rPr>
        <w:t xml:space="preserve">), as well as damages. </w:t>
      </w:r>
      <w:r w:rsidR="00976A9A">
        <w:rPr>
          <w:lang w:val="en-GB"/>
        </w:rPr>
        <w:t>T</w:t>
      </w:r>
      <w:r w:rsidR="000E2A09">
        <w:rPr>
          <w:lang w:val="en-GB"/>
        </w:rPr>
        <w:t>he basis upon which the respondents claim an entitlement to remain in occupation of the premises</w:t>
      </w:r>
      <w:r w:rsidR="00976A9A">
        <w:rPr>
          <w:lang w:val="en-GB"/>
        </w:rPr>
        <w:t xml:space="preserve"> is not apparent from the answering affidavit</w:t>
      </w:r>
      <w:r w:rsidR="00AC49B5">
        <w:rPr>
          <w:lang w:val="en-GB"/>
        </w:rPr>
        <w:t>.</w:t>
      </w:r>
      <w:r w:rsidR="005C6F49">
        <w:rPr>
          <w:lang w:val="en-GB"/>
        </w:rPr>
        <w:t xml:space="preserve"> The suggestion that this entitlement might result from a minor spat regarding </w:t>
      </w:r>
      <w:r w:rsidR="009508A7">
        <w:rPr>
          <w:lang w:val="en-GB"/>
        </w:rPr>
        <w:t xml:space="preserve">remote control access </w:t>
      </w:r>
      <w:r w:rsidR="005C6F49">
        <w:rPr>
          <w:lang w:val="en-GB"/>
        </w:rPr>
        <w:t>is insufficient.</w:t>
      </w:r>
      <w:r w:rsidR="00EF7871">
        <w:rPr>
          <w:lang w:val="en-GB"/>
        </w:rPr>
        <w:t xml:space="preserve"> Similarly, it cannot be argued that non-payment of rental was justified in order to prevent eviction because any payments might have been accepted by the applicant for the months in dispute.</w:t>
      </w:r>
    </w:p>
    <w:p w14:paraId="0DE98F93" w14:textId="77777777" w:rsidR="009F001A" w:rsidRDefault="009F001A" w:rsidP="009F001A">
      <w:pPr>
        <w:pStyle w:val="ListParagraph"/>
        <w:autoSpaceDE w:val="0"/>
        <w:autoSpaceDN w:val="0"/>
        <w:adjustRightInd w:val="0"/>
        <w:ind w:left="142"/>
        <w:jc w:val="both"/>
        <w:rPr>
          <w:lang w:val="en-GB"/>
        </w:rPr>
      </w:pPr>
    </w:p>
    <w:p w14:paraId="2903E05B" w14:textId="173D45CC" w:rsidR="009F001A" w:rsidRDefault="009F001A" w:rsidP="00DC2607">
      <w:pPr>
        <w:pStyle w:val="ListParagraph"/>
        <w:numPr>
          <w:ilvl w:val="0"/>
          <w:numId w:val="10"/>
        </w:numPr>
        <w:autoSpaceDE w:val="0"/>
        <w:autoSpaceDN w:val="0"/>
        <w:adjustRightInd w:val="0"/>
        <w:ind w:left="142" w:hanging="142"/>
        <w:jc w:val="both"/>
        <w:rPr>
          <w:lang w:val="en-GB"/>
        </w:rPr>
      </w:pPr>
      <w:r>
        <w:rPr>
          <w:lang w:val="en-GB"/>
        </w:rPr>
        <w:t xml:space="preserve">Given the nature of the dispute, the monthly rental </w:t>
      </w:r>
      <w:r w:rsidR="000A0EA2">
        <w:rPr>
          <w:lang w:val="en-GB"/>
        </w:rPr>
        <w:t>amount,</w:t>
      </w:r>
      <w:r>
        <w:rPr>
          <w:lang w:val="en-GB"/>
        </w:rPr>
        <w:t xml:space="preserve"> and the circumstances, I consider a costs award on the Magistrate’s Court scale to be appropriate.</w:t>
      </w:r>
      <w:r w:rsidR="00163148">
        <w:rPr>
          <w:lang w:val="en-GB"/>
        </w:rPr>
        <w:t xml:space="preserve"> </w:t>
      </w:r>
    </w:p>
    <w:p w14:paraId="38D182A3" w14:textId="77777777" w:rsidR="00635DDB" w:rsidRPr="00635DDB" w:rsidRDefault="00635DDB" w:rsidP="00635DDB">
      <w:pPr>
        <w:rPr>
          <w:lang w:val="en-GB"/>
        </w:rPr>
      </w:pPr>
    </w:p>
    <w:p w14:paraId="3C049836" w14:textId="640635A1" w:rsidR="00E53CE4" w:rsidRDefault="00635DDB" w:rsidP="00AF6DF0">
      <w:pPr>
        <w:pStyle w:val="ListParagraph"/>
        <w:numPr>
          <w:ilvl w:val="0"/>
          <w:numId w:val="10"/>
        </w:numPr>
        <w:autoSpaceDE w:val="0"/>
        <w:autoSpaceDN w:val="0"/>
        <w:adjustRightInd w:val="0"/>
        <w:ind w:left="142" w:hanging="142"/>
        <w:jc w:val="both"/>
        <w:rPr>
          <w:lang w:val="en-GB"/>
        </w:rPr>
      </w:pPr>
      <w:r>
        <w:rPr>
          <w:lang w:val="en-GB"/>
        </w:rPr>
        <w:t>In the circumstances, t</w:t>
      </w:r>
      <w:r w:rsidR="00E53CE4">
        <w:rPr>
          <w:lang w:val="en-GB"/>
        </w:rPr>
        <w:t>he following order will issue:</w:t>
      </w:r>
    </w:p>
    <w:p w14:paraId="3056DD49" w14:textId="77777777" w:rsidR="00E53CE4" w:rsidRPr="00E53CE4" w:rsidRDefault="00E53CE4" w:rsidP="00E53CE4">
      <w:pPr>
        <w:pStyle w:val="ListParagraph"/>
        <w:rPr>
          <w:lang w:val="en-GB"/>
        </w:rPr>
      </w:pPr>
    </w:p>
    <w:p w14:paraId="3B13936F" w14:textId="77777777" w:rsidR="00B879FE" w:rsidRDefault="00B879FE" w:rsidP="00E53CE4">
      <w:pPr>
        <w:pStyle w:val="ListParagraph"/>
        <w:numPr>
          <w:ilvl w:val="0"/>
          <w:numId w:val="11"/>
        </w:numPr>
        <w:autoSpaceDE w:val="0"/>
        <w:autoSpaceDN w:val="0"/>
        <w:adjustRightInd w:val="0"/>
        <w:jc w:val="both"/>
        <w:rPr>
          <w:lang w:val="en-GB"/>
        </w:rPr>
      </w:pPr>
      <w:r>
        <w:rPr>
          <w:lang w:val="en-GB"/>
        </w:rPr>
        <w:t>The respondents’ late filing of heads of argument is condoned.</w:t>
      </w:r>
    </w:p>
    <w:p w14:paraId="73737B87" w14:textId="72EE4D2C" w:rsidR="00E53CE4" w:rsidRDefault="00E53CE4" w:rsidP="00E53CE4">
      <w:pPr>
        <w:pStyle w:val="ListParagraph"/>
        <w:numPr>
          <w:ilvl w:val="0"/>
          <w:numId w:val="11"/>
        </w:numPr>
        <w:autoSpaceDE w:val="0"/>
        <w:autoSpaceDN w:val="0"/>
        <w:adjustRightInd w:val="0"/>
        <w:jc w:val="both"/>
        <w:rPr>
          <w:lang w:val="en-GB"/>
        </w:rPr>
      </w:pPr>
      <w:r>
        <w:rPr>
          <w:lang w:val="en-GB"/>
        </w:rPr>
        <w:t>The first respondent, and all those who occupy by, through or under the first respondent, are ordered to vacate the commercial premises situated at No. 6 Mantis Business Centre, 14 Byron Street, Cambridge, East London, Eastern Cape, and to give applicant undisturbed possession thereof, within 7 days of the date of this order.</w:t>
      </w:r>
    </w:p>
    <w:p w14:paraId="356C873A" w14:textId="7C432EF7" w:rsidR="00E53CE4" w:rsidRDefault="00E53CE4" w:rsidP="00E53CE4">
      <w:pPr>
        <w:pStyle w:val="ListParagraph"/>
        <w:numPr>
          <w:ilvl w:val="0"/>
          <w:numId w:val="11"/>
        </w:numPr>
        <w:autoSpaceDE w:val="0"/>
        <w:autoSpaceDN w:val="0"/>
        <w:adjustRightInd w:val="0"/>
        <w:jc w:val="both"/>
        <w:rPr>
          <w:lang w:val="en-GB"/>
        </w:rPr>
      </w:pPr>
      <w:r>
        <w:rPr>
          <w:lang w:val="en-GB"/>
        </w:rPr>
        <w:t xml:space="preserve">The Sheriff of the above Honourable Court, or its deputy, with the assistance of the South African Police Service, if necessary, is authorised to execute and give effect to the order in terms of paragraph </w:t>
      </w:r>
      <w:r w:rsidR="00B879FE">
        <w:rPr>
          <w:lang w:val="en-GB"/>
        </w:rPr>
        <w:t>2</w:t>
      </w:r>
      <w:r>
        <w:rPr>
          <w:lang w:val="en-GB"/>
        </w:rPr>
        <w:t>, above.</w:t>
      </w:r>
    </w:p>
    <w:p w14:paraId="64EE79BE" w14:textId="0A4DC072" w:rsidR="00E53CE4" w:rsidRDefault="00E53CE4" w:rsidP="00E53CE4">
      <w:pPr>
        <w:pStyle w:val="ListParagraph"/>
        <w:numPr>
          <w:ilvl w:val="0"/>
          <w:numId w:val="11"/>
        </w:numPr>
        <w:autoSpaceDE w:val="0"/>
        <w:autoSpaceDN w:val="0"/>
        <w:adjustRightInd w:val="0"/>
        <w:jc w:val="both"/>
        <w:rPr>
          <w:lang w:val="en-GB"/>
        </w:rPr>
      </w:pPr>
      <w:r>
        <w:rPr>
          <w:lang w:val="en-GB"/>
        </w:rPr>
        <w:t>The first respondent is ordered to pay the costs of this application</w:t>
      </w:r>
      <w:r w:rsidR="00E20C3D">
        <w:rPr>
          <w:lang w:val="en-GB"/>
        </w:rPr>
        <w:t xml:space="preserve"> on the Magistrate’s Court scale.</w:t>
      </w:r>
    </w:p>
    <w:p w14:paraId="3117877B" w14:textId="77777777" w:rsidR="003C3BC6" w:rsidRPr="00044B50" w:rsidRDefault="003C3BC6" w:rsidP="00AF6DF0">
      <w:pPr>
        <w:autoSpaceDE w:val="0"/>
        <w:autoSpaceDN w:val="0"/>
        <w:adjustRightInd w:val="0"/>
        <w:jc w:val="both"/>
        <w:rPr>
          <w:lang w:val="en-GB"/>
        </w:rPr>
      </w:pPr>
    </w:p>
    <w:p w14:paraId="38FC7F46" w14:textId="77777777" w:rsidR="003C3BC6" w:rsidRPr="00044B50" w:rsidRDefault="003C3BC6" w:rsidP="00682CE5">
      <w:pPr>
        <w:autoSpaceDE w:val="0"/>
        <w:autoSpaceDN w:val="0"/>
        <w:adjustRightInd w:val="0"/>
        <w:jc w:val="both"/>
        <w:rPr>
          <w:lang w:val="en-GB"/>
        </w:rPr>
      </w:pPr>
    </w:p>
    <w:p w14:paraId="0893C9CE" w14:textId="77777777" w:rsidR="00992333" w:rsidRPr="00992333" w:rsidRDefault="00992333" w:rsidP="00992333">
      <w:pPr>
        <w:ind w:left="4320" w:firstLine="720"/>
        <w:jc w:val="both"/>
        <w:rPr>
          <w:lang w:val="en-GB"/>
        </w:rPr>
      </w:pPr>
      <w:r w:rsidRPr="00992333">
        <w:rPr>
          <w:lang w:val="en-GB"/>
        </w:rPr>
        <w:t xml:space="preserve">_________________________ </w:t>
      </w:r>
    </w:p>
    <w:p w14:paraId="28B19896" w14:textId="77777777" w:rsidR="00992333" w:rsidRPr="00992333" w:rsidRDefault="00992333" w:rsidP="00992333">
      <w:pPr>
        <w:ind w:left="4320" w:firstLine="720"/>
        <w:jc w:val="both"/>
        <w:rPr>
          <w:b/>
          <w:bCs/>
          <w:lang w:val="en-GB"/>
        </w:rPr>
      </w:pPr>
      <w:r w:rsidRPr="00992333">
        <w:rPr>
          <w:b/>
          <w:bCs/>
          <w:lang w:val="en-GB"/>
        </w:rPr>
        <w:t xml:space="preserve">A. GOVINDJEE                                                                                                                                                       </w:t>
      </w:r>
    </w:p>
    <w:p w14:paraId="40378789" w14:textId="77777777" w:rsidR="00992333" w:rsidRPr="00992333" w:rsidRDefault="00992333" w:rsidP="00992333">
      <w:pPr>
        <w:ind w:left="4320" w:firstLine="720"/>
        <w:jc w:val="both"/>
        <w:rPr>
          <w:b/>
          <w:bCs/>
          <w:lang w:val="en-GB"/>
        </w:rPr>
      </w:pPr>
      <w:r w:rsidRPr="00992333">
        <w:rPr>
          <w:b/>
          <w:bCs/>
          <w:lang w:val="en-GB"/>
        </w:rPr>
        <w:t>JUDGE OF THE HIGH COURT</w:t>
      </w:r>
    </w:p>
    <w:p w14:paraId="2D5772D4" w14:textId="77777777" w:rsidR="00992333" w:rsidRPr="00992333" w:rsidRDefault="00992333" w:rsidP="00992333">
      <w:pPr>
        <w:autoSpaceDE w:val="0"/>
        <w:autoSpaceDN w:val="0"/>
        <w:adjustRightInd w:val="0"/>
        <w:jc w:val="both"/>
        <w:rPr>
          <w:lang w:val="en-GB"/>
        </w:rPr>
      </w:pPr>
    </w:p>
    <w:p w14:paraId="0EDD039D" w14:textId="77777777" w:rsidR="00992333" w:rsidRPr="00992333" w:rsidRDefault="00992333" w:rsidP="00992333">
      <w:pPr>
        <w:autoSpaceDE w:val="0"/>
        <w:autoSpaceDN w:val="0"/>
        <w:adjustRightInd w:val="0"/>
        <w:jc w:val="both"/>
        <w:rPr>
          <w:lang w:val="en-GB"/>
        </w:rPr>
      </w:pPr>
    </w:p>
    <w:p w14:paraId="4FE05448" w14:textId="7F4150D0" w:rsidR="00992333" w:rsidRPr="00992333" w:rsidRDefault="00992333" w:rsidP="00992333">
      <w:pPr>
        <w:ind w:left="4320" w:right="-52" w:firstLine="720"/>
        <w:rPr>
          <w:bCs/>
          <w:lang w:val="en-GB"/>
        </w:rPr>
      </w:pPr>
      <w:r w:rsidRPr="00992333">
        <w:rPr>
          <w:b/>
          <w:lang w:val="en-GB"/>
        </w:rPr>
        <w:t xml:space="preserve">Heard: </w:t>
      </w:r>
      <w:r w:rsidRPr="00992333">
        <w:rPr>
          <w:b/>
          <w:lang w:val="en-GB"/>
        </w:rPr>
        <w:tab/>
      </w:r>
      <w:r>
        <w:rPr>
          <w:bCs/>
          <w:lang w:val="en-GB"/>
        </w:rPr>
        <w:t>24 March</w:t>
      </w:r>
      <w:r w:rsidRPr="00992333">
        <w:rPr>
          <w:bCs/>
          <w:lang w:val="en-GB"/>
        </w:rPr>
        <w:t xml:space="preserve"> 2022</w:t>
      </w:r>
      <w:r w:rsidRPr="00992333">
        <w:rPr>
          <w:b/>
          <w:lang w:val="en-GB"/>
        </w:rPr>
        <w:t xml:space="preserve">                                                                          </w:t>
      </w:r>
    </w:p>
    <w:p w14:paraId="6C0E3B79" w14:textId="555B719C" w:rsidR="00992333" w:rsidRPr="00992333" w:rsidRDefault="00992333" w:rsidP="00992333">
      <w:pPr>
        <w:ind w:left="4320" w:right="-52" w:firstLine="720"/>
        <w:rPr>
          <w:b/>
          <w:lang w:val="en-GB"/>
        </w:rPr>
      </w:pPr>
      <w:r w:rsidRPr="00992333">
        <w:rPr>
          <w:b/>
          <w:lang w:val="en-GB"/>
        </w:rPr>
        <w:t xml:space="preserve">Delivered: </w:t>
      </w:r>
      <w:r w:rsidRPr="00992333">
        <w:rPr>
          <w:b/>
          <w:lang w:val="en-GB"/>
        </w:rPr>
        <w:tab/>
      </w:r>
      <w:r>
        <w:rPr>
          <w:bCs/>
          <w:lang w:val="en-GB"/>
        </w:rPr>
        <w:t>14 April</w:t>
      </w:r>
      <w:r w:rsidRPr="00992333">
        <w:rPr>
          <w:bCs/>
          <w:lang w:val="en-GB"/>
        </w:rPr>
        <w:t xml:space="preserve"> 2022</w:t>
      </w:r>
      <w:r w:rsidRPr="00992333">
        <w:rPr>
          <w:b/>
          <w:lang w:val="en-GB"/>
        </w:rPr>
        <w:t xml:space="preserve"> </w:t>
      </w:r>
    </w:p>
    <w:p w14:paraId="2BEB9C58" w14:textId="77777777" w:rsidR="00992333" w:rsidRDefault="00992333" w:rsidP="00992333">
      <w:pPr>
        <w:jc w:val="both"/>
        <w:rPr>
          <w:lang w:val="en-GB"/>
        </w:rPr>
      </w:pPr>
    </w:p>
    <w:p w14:paraId="2D81585C" w14:textId="77777777" w:rsidR="00992333" w:rsidRDefault="00992333" w:rsidP="00992333">
      <w:pPr>
        <w:jc w:val="both"/>
        <w:rPr>
          <w:lang w:val="en-GB"/>
        </w:rPr>
      </w:pPr>
    </w:p>
    <w:p w14:paraId="23F53239" w14:textId="77777777" w:rsidR="00992333" w:rsidRDefault="00992333" w:rsidP="00992333">
      <w:pPr>
        <w:jc w:val="both"/>
        <w:rPr>
          <w:lang w:val="en-GB"/>
        </w:rPr>
      </w:pPr>
    </w:p>
    <w:p w14:paraId="03883EC8" w14:textId="77777777" w:rsidR="00992333" w:rsidRDefault="00992333" w:rsidP="00992333">
      <w:pPr>
        <w:jc w:val="both"/>
        <w:rPr>
          <w:lang w:val="en-GB"/>
        </w:rPr>
      </w:pPr>
    </w:p>
    <w:p w14:paraId="162CEEFA" w14:textId="77777777" w:rsidR="00992333" w:rsidRDefault="00992333" w:rsidP="00992333">
      <w:pPr>
        <w:jc w:val="both"/>
        <w:rPr>
          <w:lang w:val="en-GB"/>
        </w:rPr>
      </w:pPr>
    </w:p>
    <w:p w14:paraId="104D375E" w14:textId="4C092713" w:rsidR="00992333" w:rsidRPr="00992333" w:rsidRDefault="00992333" w:rsidP="00992333">
      <w:pPr>
        <w:jc w:val="both"/>
        <w:rPr>
          <w:lang w:val="en-GB"/>
        </w:rPr>
      </w:pPr>
      <w:r w:rsidRPr="00992333">
        <w:rPr>
          <w:lang w:val="en-GB"/>
        </w:rPr>
        <w:t>Appearances:</w:t>
      </w:r>
      <w:r w:rsidRPr="00992333">
        <w:rPr>
          <w:lang w:val="en-GB"/>
        </w:rPr>
        <w:tab/>
      </w:r>
    </w:p>
    <w:p w14:paraId="7D51DAB9" w14:textId="77777777" w:rsidR="00992333" w:rsidRPr="00992333" w:rsidRDefault="00992333" w:rsidP="00992333">
      <w:pPr>
        <w:autoSpaceDE w:val="0"/>
        <w:autoSpaceDN w:val="0"/>
        <w:adjustRightInd w:val="0"/>
        <w:jc w:val="both"/>
        <w:rPr>
          <w:lang w:val="en-GB"/>
        </w:rPr>
      </w:pPr>
    </w:p>
    <w:p w14:paraId="4840F9A5" w14:textId="77777777" w:rsidR="00992333" w:rsidRPr="00992333" w:rsidRDefault="00992333" w:rsidP="00992333">
      <w:pPr>
        <w:jc w:val="both"/>
        <w:rPr>
          <w:lang w:val="en-GB"/>
        </w:rPr>
      </w:pPr>
    </w:p>
    <w:p w14:paraId="7FB61451" w14:textId="20B5BE17" w:rsidR="00992333" w:rsidRPr="00992333" w:rsidRDefault="00992333" w:rsidP="00992333">
      <w:pPr>
        <w:tabs>
          <w:tab w:val="left" w:pos="3261"/>
          <w:tab w:val="center" w:pos="4003"/>
          <w:tab w:val="left" w:pos="8789"/>
        </w:tabs>
        <w:ind w:hanging="142"/>
        <w:jc w:val="both"/>
        <w:rPr>
          <w:color w:val="auto"/>
        </w:rPr>
      </w:pPr>
      <w:r w:rsidRPr="00992333">
        <w:tab/>
      </w:r>
      <w:r w:rsidRPr="00992333">
        <w:rPr>
          <w:color w:val="auto"/>
        </w:rPr>
        <w:t xml:space="preserve">Counsel for the </w:t>
      </w:r>
      <w:r>
        <w:rPr>
          <w:color w:val="auto"/>
        </w:rPr>
        <w:t>Applicant</w:t>
      </w:r>
      <w:r w:rsidRPr="00992333">
        <w:rPr>
          <w:color w:val="auto"/>
        </w:rPr>
        <w:t>:</w:t>
      </w:r>
      <w:r w:rsidRPr="00992333">
        <w:rPr>
          <w:color w:val="auto"/>
        </w:rPr>
        <w:tab/>
        <w:t xml:space="preserve">Adv </w:t>
      </w:r>
      <w:r>
        <w:rPr>
          <w:color w:val="auto"/>
        </w:rPr>
        <w:t>S</w:t>
      </w:r>
      <w:r w:rsidRPr="00992333">
        <w:rPr>
          <w:color w:val="auto"/>
        </w:rPr>
        <w:t xml:space="preserve">. </w:t>
      </w:r>
      <w:r>
        <w:rPr>
          <w:color w:val="auto"/>
        </w:rPr>
        <w:t>Sephton</w:t>
      </w:r>
    </w:p>
    <w:p w14:paraId="07365E6A" w14:textId="1898BCCF" w:rsidR="00992333" w:rsidRDefault="00992333" w:rsidP="00992333">
      <w:pPr>
        <w:tabs>
          <w:tab w:val="left" w:pos="3261"/>
          <w:tab w:val="left" w:pos="3544"/>
        </w:tabs>
        <w:jc w:val="both"/>
        <w:rPr>
          <w:color w:val="auto"/>
        </w:rPr>
      </w:pPr>
      <w:r w:rsidRPr="00992333">
        <w:rPr>
          <w:color w:val="auto"/>
        </w:rPr>
        <w:t xml:space="preserve">                                                 </w:t>
      </w:r>
      <w:r>
        <w:rPr>
          <w:color w:val="auto"/>
        </w:rPr>
        <w:t>St George’s Chambers</w:t>
      </w:r>
    </w:p>
    <w:p w14:paraId="36900679" w14:textId="401D8CB3" w:rsidR="00992333" w:rsidRDefault="00992333" w:rsidP="00992333">
      <w:pPr>
        <w:tabs>
          <w:tab w:val="left" w:pos="3261"/>
          <w:tab w:val="left" w:pos="3544"/>
        </w:tabs>
        <w:jc w:val="both"/>
        <w:rPr>
          <w:color w:val="auto"/>
        </w:rPr>
      </w:pPr>
      <w:r w:rsidRPr="00EE2CA5">
        <w:rPr>
          <w:color w:val="auto"/>
        </w:rPr>
        <w:t>Instructed by:</w:t>
      </w:r>
      <w:r>
        <w:rPr>
          <w:color w:val="auto"/>
        </w:rPr>
        <w:tab/>
        <w:t>Huxtable Attorneys</w:t>
      </w:r>
    </w:p>
    <w:p w14:paraId="48AB892A" w14:textId="3E3462B6" w:rsidR="00992333" w:rsidRPr="00992333" w:rsidRDefault="00992333" w:rsidP="00992333">
      <w:pPr>
        <w:tabs>
          <w:tab w:val="left" w:pos="3261"/>
          <w:tab w:val="left" w:pos="3544"/>
        </w:tabs>
        <w:jc w:val="both"/>
        <w:rPr>
          <w:color w:val="auto"/>
        </w:rPr>
      </w:pPr>
      <w:r>
        <w:rPr>
          <w:color w:val="auto"/>
        </w:rPr>
        <w:tab/>
        <w:t>26 New Street</w:t>
      </w:r>
    </w:p>
    <w:p w14:paraId="4BD0CD11" w14:textId="77777777" w:rsidR="00992333" w:rsidRPr="00992333" w:rsidRDefault="00992333" w:rsidP="00992333">
      <w:pPr>
        <w:tabs>
          <w:tab w:val="left" w:pos="3261"/>
          <w:tab w:val="center" w:pos="4003"/>
        </w:tabs>
        <w:jc w:val="both"/>
        <w:rPr>
          <w:color w:val="auto"/>
        </w:rPr>
      </w:pPr>
      <w:r w:rsidRPr="00992333">
        <w:rPr>
          <w:color w:val="auto"/>
        </w:rPr>
        <w:t xml:space="preserve">                                                 Makhanda</w:t>
      </w:r>
    </w:p>
    <w:p w14:paraId="2457E6BC" w14:textId="59B20F93" w:rsidR="00992333" w:rsidRPr="00992333" w:rsidRDefault="00992333" w:rsidP="00992333">
      <w:pPr>
        <w:tabs>
          <w:tab w:val="left" w:pos="3261"/>
          <w:tab w:val="left" w:pos="3402"/>
          <w:tab w:val="left" w:pos="3686"/>
          <w:tab w:val="center" w:pos="4003"/>
        </w:tabs>
        <w:jc w:val="both"/>
        <w:rPr>
          <w:color w:val="auto"/>
        </w:rPr>
      </w:pPr>
      <w:r w:rsidRPr="00992333">
        <w:rPr>
          <w:color w:val="auto"/>
        </w:rPr>
        <w:t xml:space="preserve">                                                 046 6</w:t>
      </w:r>
      <w:r w:rsidR="00FF5B7E">
        <w:rPr>
          <w:color w:val="auto"/>
        </w:rPr>
        <w:t>22</w:t>
      </w:r>
      <w:r w:rsidRPr="00992333">
        <w:rPr>
          <w:color w:val="auto"/>
        </w:rPr>
        <w:t xml:space="preserve"> </w:t>
      </w:r>
      <w:r w:rsidR="00FF5B7E">
        <w:rPr>
          <w:color w:val="auto"/>
        </w:rPr>
        <w:t>2692</w:t>
      </w:r>
    </w:p>
    <w:p w14:paraId="5B3B80CE" w14:textId="77777777" w:rsidR="00992333" w:rsidRPr="00992333" w:rsidRDefault="00992333" w:rsidP="00992333">
      <w:pPr>
        <w:tabs>
          <w:tab w:val="center" w:pos="4003"/>
        </w:tabs>
        <w:rPr>
          <w:color w:val="auto"/>
        </w:rPr>
      </w:pPr>
    </w:p>
    <w:p w14:paraId="14C935C1" w14:textId="77777777" w:rsidR="00992333" w:rsidRPr="00992333" w:rsidRDefault="00992333" w:rsidP="00992333">
      <w:pPr>
        <w:tabs>
          <w:tab w:val="center" w:pos="4003"/>
        </w:tabs>
        <w:rPr>
          <w:color w:val="auto"/>
        </w:rPr>
      </w:pPr>
    </w:p>
    <w:p w14:paraId="061FFB91" w14:textId="432E45DA" w:rsidR="00992333" w:rsidRPr="00992333" w:rsidRDefault="00992333" w:rsidP="00992333">
      <w:pPr>
        <w:tabs>
          <w:tab w:val="left" w:pos="3261"/>
          <w:tab w:val="center" w:pos="3989"/>
        </w:tabs>
        <w:ind w:hanging="142"/>
        <w:rPr>
          <w:color w:val="auto"/>
        </w:rPr>
      </w:pPr>
      <w:r w:rsidRPr="00992333">
        <w:rPr>
          <w:color w:val="auto"/>
        </w:rPr>
        <w:t xml:space="preserve">Attorney for the </w:t>
      </w:r>
      <w:r w:rsidR="00FF5B7E">
        <w:rPr>
          <w:color w:val="auto"/>
        </w:rPr>
        <w:t xml:space="preserve">Respondent: </w:t>
      </w:r>
      <w:r w:rsidR="00FF5B7E">
        <w:rPr>
          <w:color w:val="auto"/>
        </w:rPr>
        <w:tab/>
      </w:r>
      <w:r w:rsidRPr="00992333">
        <w:rPr>
          <w:color w:val="auto"/>
        </w:rPr>
        <w:t xml:space="preserve">Mr </w:t>
      </w:r>
      <w:r w:rsidR="00FF5B7E">
        <w:rPr>
          <w:color w:val="auto"/>
        </w:rPr>
        <w:t>K</w:t>
      </w:r>
      <w:r w:rsidRPr="00992333">
        <w:rPr>
          <w:color w:val="auto"/>
        </w:rPr>
        <w:t>.</w:t>
      </w:r>
      <w:r w:rsidR="00FF5B7E">
        <w:rPr>
          <w:color w:val="auto"/>
        </w:rPr>
        <w:t>E</w:t>
      </w:r>
      <w:r w:rsidRPr="00992333">
        <w:rPr>
          <w:color w:val="auto"/>
        </w:rPr>
        <w:t xml:space="preserve"> </w:t>
      </w:r>
      <w:r w:rsidR="00FF5B7E">
        <w:rPr>
          <w:color w:val="auto"/>
        </w:rPr>
        <w:t>Mquqo</w:t>
      </w:r>
    </w:p>
    <w:p w14:paraId="27A8BD53" w14:textId="77777777" w:rsidR="00FF5B7E" w:rsidRDefault="00992333" w:rsidP="00992333">
      <w:pPr>
        <w:tabs>
          <w:tab w:val="left" w:pos="3261"/>
          <w:tab w:val="center" w:pos="3989"/>
        </w:tabs>
        <w:rPr>
          <w:color w:val="auto"/>
        </w:rPr>
      </w:pPr>
      <w:r w:rsidRPr="00992333">
        <w:rPr>
          <w:color w:val="auto"/>
        </w:rPr>
        <w:t xml:space="preserve">                                             </w:t>
      </w:r>
      <w:r w:rsidRPr="00992333">
        <w:rPr>
          <w:color w:val="auto"/>
        </w:rPr>
        <w:tab/>
      </w:r>
      <w:r w:rsidR="00FF5B7E">
        <w:rPr>
          <w:color w:val="auto"/>
        </w:rPr>
        <w:t>Mquqo Attorneys</w:t>
      </w:r>
    </w:p>
    <w:p w14:paraId="0862CF22" w14:textId="77777777" w:rsidR="00FF5B7E" w:rsidRDefault="00FF5B7E" w:rsidP="00992333">
      <w:pPr>
        <w:tabs>
          <w:tab w:val="left" w:pos="3261"/>
          <w:tab w:val="center" w:pos="3989"/>
        </w:tabs>
        <w:rPr>
          <w:color w:val="auto"/>
        </w:rPr>
      </w:pPr>
      <w:r>
        <w:rPr>
          <w:color w:val="auto"/>
        </w:rPr>
        <w:tab/>
        <w:t>No. 06 Mantis Business Centre</w:t>
      </w:r>
    </w:p>
    <w:p w14:paraId="340D176B" w14:textId="77777777" w:rsidR="00FF5B7E" w:rsidRDefault="00FF5B7E" w:rsidP="00992333">
      <w:pPr>
        <w:tabs>
          <w:tab w:val="left" w:pos="3261"/>
          <w:tab w:val="center" w:pos="3989"/>
        </w:tabs>
        <w:rPr>
          <w:color w:val="auto"/>
        </w:rPr>
      </w:pPr>
      <w:r>
        <w:rPr>
          <w:color w:val="auto"/>
        </w:rPr>
        <w:tab/>
        <w:t>14 Byron Street</w:t>
      </w:r>
    </w:p>
    <w:p w14:paraId="1402A3F9" w14:textId="5EF35282" w:rsidR="00992333" w:rsidRPr="00992333" w:rsidRDefault="00FF5B7E" w:rsidP="00992333">
      <w:pPr>
        <w:tabs>
          <w:tab w:val="left" w:pos="3261"/>
          <w:tab w:val="center" w:pos="3989"/>
        </w:tabs>
        <w:rPr>
          <w:color w:val="auto"/>
        </w:rPr>
      </w:pPr>
      <w:r>
        <w:rPr>
          <w:color w:val="auto"/>
        </w:rPr>
        <w:tab/>
        <w:t>Cambridge</w:t>
      </w:r>
      <w:r w:rsidR="00992333" w:rsidRPr="00992333">
        <w:rPr>
          <w:color w:val="auto"/>
        </w:rPr>
        <w:tab/>
      </w:r>
    </w:p>
    <w:p w14:paraId="44594712" w14:textId="65769718" w:rsidR="00992333" w:rsidRPr="00992333" w:rsidRDefault="00992333" w:rsidP="00992333">
      <w:pPr>
        <w:tabs>
          <w:tab w:val="left" w:pos="3261"/>
        </w:tabs>
        <w:rPr>
          <w:color w:val="auto"/>
        </w:rPr>
      </w:pPr>
      <w:r w:rsidRPr="00992333">
        <w:rPr>
          <w:color w:val="auto"/>
        </w:rPr>
        <w:t xml:space="preserve">                                                 </w:t>
      </w:r>
      <w:r w:rsidR="00FF5B7E">
        <w:rPr>
          <w:color w:val="auto"/>
        </w:rPr>
        <w:t>East London</w:t>
      </w:r>
    </w:p>
    <w:p w14:paraId="30085F8C" w14:textId="77777777" w:rsidR="00992333" w:rsidRPr="00992333" w:rsidRDefault="00992333" w:rsidP="00992333">
      <w:pPr>
        <w:tabs>
          <w:tab w:val="left" w:pos="3402"/>
          <w:tab w:val="center" w:pos="3989"/>
        </w:tabs>
        <w:rPr>
          <w:color w:val="auto"/>
        </w:rPr>
      </w:pPr>
      <w:r w:rsidRPr="00992333">
        <w:rPr>
          <w:color w:val="auto"/>
        </w:rPr>
        <w:t xml:space="preserve">                                                 046 622 9350</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09413" w14:textId="77777777" w:rsidR="00CB5894" w:rsidRDefault="00CB5894" w:rsidP="00005691">
      <w:r>
        <w:separator/>
      </w:r>
    </w:p>
  </w:endnote>
  <w:endnote w:type="continuationSeparator" w:id="0">
    <w:p w14:paraId="7A19F3D0" w14:textId="77777777" w:rsidR="00CB5894" w:rsidRDefault="00CB5894"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A680C" w14:textId="77777777" w:rsidR="00CB5894" w:rsidRDefault="00CB5894" w:rsidP="00005691">
      <w:r>
        <w:separator/>
      </w:r>
    </w:p>
  </w:footnote>
  <w:footnote w:type="continuationSeparator" w:id="0">
    <w:p w14:paraId="4021FE83" w14:textId="77777777" w:rsidR="00CB5894" w:rsidRDefault="00CB5894" w:rsidP="00005691">
      <w:r>
        <w:continuationSeparator/>
      </w:r>
    </w:p>
  </w:footnote>
  <w:footnote w:id="1">
    <w:p w14:paraId="63EB1CDC" w14:textId="3CFEA0B8" w:rsidR="00003835" w:rsidRPr="00003835" w:rsidRDefault="00003835" w:rsidP="00B36188">
      <w:pPr>
        <w:pStyle w:val="FootnoteText"/>
        <w:spacing w:line="240" w:lineRule="auto"/>
        <w:jc w:val="both"/>
        <w:rPr>
          <w:lang w:val="en-US"/>
        </w:rPr>
      </w:pPr>
      <w:r>
        <w:rPr>
          <w:rStyle w:val="FootnoteReference"/>
        </w:rPr>
        <w:footnoteRef/>
      </w:r>
      <w:r>
        <w:t xml:space="preserve"> The second respondent is the sole practicing attorney under the name and style of the first respondent, conducting his practice from the property and liable jointly and severally together with the first respondent for the debts and liabilities of the first respondent in terms of s 34(7)</w:t>
      </w:r>
      <w:r>
        <w:rPr>
          <w:i/>
          <w:iCs/>
        </w:rPr>
        <w:t xml:space="preserve">(c) </w:t>
      </w:r>
      <w:r>
        <w:t>of the Legal Practice Act 28 of 2014.</w:t>
      </w:r>
    </w:p>
  </w:footnote>
  <w:footnote w:id="2">
    <w:p w14:paraId="2F42D41C" w14:textId="41CE02D4" w:rsidR="00B622B8" w:rsidRPr="00B622B8" w:rsidRDefault="00B622B8" w:rsidP="00B36188">
      <w:pPr>
        <w:pStyle w:val="FootnoteText"/>
        <w:spacing w:line="240" w:lineRule="auto"/>
        <w:jc w:val="both"/>
        <w:rPr>
          <w:lang w:val="en-US"/>
        </w:rPr>
      </w:pPr>
      <w:r>
        <w:rPr>
          <w:rStyle w:val="FootnoteReference"/>
        </w:rPr>
        <w:footnoteRef/>
      </w:r>
      <w:r>
        <w:t xml:space="preserve"> </w:t>
      </w:r>
      <w:r>
        <w:rPr>
          <w:lang w:val="en-US"/>
        </w:rPr>
        <w:t>Act 19 of 1998.</w:t>
      </w:r>
      <w:r w:rsidR="00813DFD">
        <w:rPr>
          <w:lang w:val="en-US"/>
        </w:rPr>
        <w:t xml:space="preserve"> Likewise, the relevant provisions of the Consumer Protection Act </w:t>
      </w:r>
      <w:r w:rsidR="006F3FBC">
        <w:rPr>
          <w:lang w:val="en-US"/>
        </w:rPr>
        <w:t>appear to be</w:t>
      </w:r>
      <w:r w:rsidR="00813DFD">
        <w:rPr>
          <w:lang w:val="en-US"/>
        </w:rPr>
        <w:t xml:space="preserve"> inapplicable</w:t>
      </w:r>
      <w:r w:rsidR="0043025D">
        <w:rPr>
          <w:lang w:val="en-US"/>
        </w:rPr>
        <w:t xml:space="preserve"> when considering the nature of the parties</w:t>
      </w:r>
      <w:r w:rsidR="006F3FBC">
        <w:rPr>
          <w:lang w:val="en-US"/>
        </w:rPr>
        <w:t>, alternatively do not prevent the cancellation of the agreement in the manner in which this occurred</w:t>
      </w:r>
      <w:r w:rsidR="00813DFD">
        <w:rPr>
          <w:lang w:val="en-US"/>
        </w:rPr>
        <w:t>: s 14 of the Consumer Protection Act 68 of 2008</w:t>
      </w:r>
      <w:r w:rsidR="005E0EB5">
        <w:rPr>
          <w:lang w:val="en-US"/>
        </w:rPr>
        <w:t xml:space="preserve"> (‘CPA’)</w:t>
      </w:r>
      <w:r w:rsidR="00813DFD">
        <w:rPr>
          <w:lang w:val="en-US"/>
        </w:rPr>
        <w:t>.</w:t>
      </w:r>
      <w:r w:rsidR="00734D83">
        <w:rPr>
          <w:lang w:val="en-US"/>
        </w:rPr>
        <w:t xml:space="preserve"> Importantly, ‘juristic person’ is defined</w:t>
      </w:r>
      <w:r w:rsidR="00C21058">
        <w:rPr>
          <w:lang w:val="en-US"/>
        </w:rPr>
        <w:t>, in s 1,</w:t>
      </w:r>
      <w:r w:rsidR="00734D83">
        <w:rPr>
          <w:lang w:val="en-US"/>
        </w:rPr>
        <w:t xml:space="preserve"> to ‘include’ a body corporate, a partnership or association or a trust, and the lease was entered into with ‘Mquqo Attorneys’</w:t>
      </w:r>
      <w:r w:rsidR="005E0EB5">
        <w:rPr>
          <w:lang w:val="en-US"/>
        </w:rPr>
        <w:t xml:space="preserve">, described as ‘a firm of attorneys with business address at …’ That description is noted in the answering affidavit, which does not detail any argument based on the provisions of the CPA. </w:t>
      </w:r>
    </w:p>
  </w:footnote>
  <w:footnote w:id="3">
    <w:p w14:paraId="25D424AE" w14:textId="444F8094" w:rsidR="00680E45" w:rsidRPr="00680E45" w:rsidRDefault="00680E45" w:rsidP="00B36188">
      <w:pPr>
        <w:pStyle w:val="FootnoteText"/>
        <w:spacing w:line="240" w:lineRule="auto"/>
        <w:jc w:val="both"/>
        <w:rPr>
          <w:lang w:val="en-US"/>
        </w:rPr>
      </w:pPr>
      <w:r>
        <w:rPr>
          <w:rStyle w:val="FootnoteReference"/>
        </w:rPr>
        <w:footnoteRef/>
      </w:r>
      <w:r>
        <w:t xml:space="preserve"> </w:t>
      </w:r>
      <w:r>
        <w:rPr>
          <w:lang w:val="en-US"/>
        </w:rPr>
        <w:t>Para 30 of the answering affidavit.</w:t>
      </w:r>
    </w:p>
  </w:footnote>
  <w:footnote w:id="4">
    <w:p w14:paraId="59D36ED3" w14:textId="2032FD3A" w:rsidR="00774E55" w:rsidRPr="00774E55" w:rsidRDefault="00774E55" w:rsidP="00B36188">
      <w:pPr>
        <w:pStyle w:val="FootnoteText"/>
        <w:spacing w:line="240" w:lineRule="auto"/>
        <w:jc w:val="both"/>
        <w:rPr>
          <w:lang w:val="en-US"/>
        </w:rPr>
      </w:pPr>
      <w:r>
        <w:rPr>
          <w:rStyle w:val="FootnoteReference"/>
        </w:rPr>
        <w:footnoteRef/>
      </w:r>
      <w:r>
        <w:t xml:space="preserve"> </w:t>
      </w:r>
      <w:r>
        <w:rPr>
          <w:lang w:val="en-US"/>
        </w:rPr>
        <w:t>Clause 16 of the lease agreement, p 26 of the index.</w:t>
      </w:r>
    </w:p>
  </w:footnote>
  <w:footnote w:id="5">
    <w:p w14:paraId="07CF24E3" w14:textId="71B034AE" w:rsidR="00E821A3" w:rsidRPr="00E821A3" w:rsidRDefault="00E821A3" w:rsidP="00B36188">
      <w:pPr>
        <w:pStyle w:val="FootnoteText"/>
        <w:spacing w:line="240" w:lineRule="auto"/>
        <w:jc w:val="both"/>
        <w:rPr>
          <w:lang w:val="en-US"/>
        </w:rPr>
      </w:pPr>
      <w:r>
        <w:rPr>
          <w:rStyle w:val="FootnoteReference"/>
        </w:rPr>
        <w:footnoteRef/>
      </w:r>
      <w:r>
        <w:t xml:space="preserve"> </w:t>
      </w:r>
      <w:r>
        <w:rPr>
          <w:i/>
          <w:iCs/>
          <w:lang w:val="en-US"/>
        </w:rPr>
        <w:t>Parekh v Shah Jehan Cinemas (Pty) Ltd and Others</w:t>
      </w:r>
      <w:r>
        <w:rPr>
          <w:lang w:val="en-US"/>
        </w:rPr>
        <w:t xml:space="preserve"> 1980 (1) SA 301 (D) at 304E-F.</w:t>
      </w:r>
    </w:p>
  </w:footnote>
  <w:footnote w:id="6">
    <w:p w14:paraId="5228C95B" w14:textId="4E99DD64" w:rsidR="00305A47" w:rsidRPr="00305A47" w:rsidRDefault="00305A47" w:rsidP="00B36188">
      <w:pPr>
        <w:pStyle w:val="FootnoteText"/>
        <w:spacing w:line="240" w:lineRule="auto"/>
        <w:jc w:val="both"/>
        <w:rPr>
          <w:lang w:val="en-US"/>
        </w:rPr>
      </w:pPr>
      <w:r>
        <w:rPr>
          <w:rStyle w:val="FootnoteReference"/>
        </w:rPr>
        <w:footnoteRef/>
      </w:r>
      <w:r>
        <w:t xml:space="preserve"> </w:t>
      </w:r>
      <w:r>
        <w:rPr>
          <w:i/>
          <w:iCs/>
          <w:lang w:val="en-US"/>
        </w:rPr>
        <w:t>Universiteit van Stellenbosch v JA Louw (Edms) Bpk</w:t>
      </w:r>
      <w:r>
        <w:rPr>
          <w:lang w:val="en-US"/>
        </w:rPr>
        <w:t xml:space="preserve"> 1983 (4) SA 321 (A) at 333G-H.</w:t>
      </w:r>
    </w:p>
  </w:footnote>
  <w:footnote w:id="7">
    <w:p w14:paraId="40889CF8" w14:textId="738E10D3" w:rsidR="00AA11F0" w:rsidRPr="00AA11F0" w:rsidRDefault="00AA11F0" w:rsidP="00B36188">
      <w:pPr>
        <w:pStyle w:val="FootnoteText"/>
        <w:spacing w:line="240" w:lineRule="auto"/>
        <w:jc w:val="both"/>
        <w:rPr>
          <w:lang w:val="en-US"/>
        </w:rPr>
      </w:pPr>
      <w:r>
        <w:rPr>
          <w:rStyle w:val="FootnoteReference"/>
        </w:rPr>
        <w:footnoteRef/>
      </w:r>
      <w:r>
        <w:t xml:space="preserve"> </w:t>
      </w:r>
      <w:r>
        <w:rPr>
          <w:i/>
          <w:iCs/>
          <w:lang w:val="en-US"/>
        </w:rPr>
        <w:t xml:space="preserve">Parekh v Shah Jehan Cinemas (Pty) Ltd and Others </w:t>
      </w:r>
      <w:r>
        <w:rPr>
          <w:lang w:val="en-US"/>
        </w:rPr>
        <w:t>op cit at 305E-H.</w:t>
      </w:r>
    </w:p>
  </w:footnote>
  <w:footnote w:id="8">
    <w:p w14:paraId="15D8104B" w14:textId="331AF66E" w:rsidR="007A094B" w:rsidRPr="007A094B" w:rsidRDefault="007A094B" w:rsidP="00B36188">
      <w:pPr>
        <w:pStyle w:val="FootnoteText"/>
        <w:spacing w:line="240" w:lineRule="auto"/>
        <w:jc w:val="both"/>
        <w:rPr>
          <w:lang w:val="en-US"/>
        </w:rPr>
      </w:pPr>
      <w:r>
        <w:rPr>
          <w:rStyle w:val="FootnoteReference"/>
        </w:rPr>
        <w:footnoteRef/>
      </w:r>
      <w:r>
        <w:t xml:space="preserve"> </w:t>
      </w:r>
      <w:r>
        <w:rPr>
          <w:lang w:val="en-US"/>
        </w:rPr>
        <w:t>Act 42 of 1965.</w:t>
      </w:r>
    </w:p>
  </w:footnote>
  <w:footnote w:id="9">
    <w:p w14:paraId="610BDE99" w14:textId="02B38F6B" w:rsidR="00A26027" w:rsidRPr="00033690" w:rsidRDefault="00A26027" w:rsidP="00B36188">
      <w:pPr>
        <w:pStyle w:val="FootnoteText"/>
        <w:spacing w:line="240" w:lineRule="auto"/>
        <w:jc w:val="both"/>
        <w:rPr>
          <w:lang w:val="en-US"/>
        </w:rPr>
      </w:pPr>
      <w:r>
        <w:rPr>
          <w:rStyle w:val="FootnoteReference"/>
        </w:rPr>
        <w:footnoteRef/>
      </w:r>
      <w:r>
        <w:t xml:space="preserve"> </w:t>
      </w:r>
      <w:r>
        <w:rPr>
          <w:i/>
          <w:iCs/>
          <w:lang w:val="en-US"/>
        </w:rPr>
        <w:t xml:space="preserve">Parekh v Shah Jehan Cinemas (Pty) Ltd and Others </w:t>
      </w:r>
      <w:r>
        <w:rPr>
          <w:lang w:val="en-US"/>
        </w:rPr>
        <w:t>op cit at 306B-C.</w:t>
      </w:r>
      <w:r w:rsidR="00033690">
        <w:rPr>
          <w:lang w:val="en-US"/>
        </w:rPr>
        <w:t xml:space="preserve"> See </w:t>
      </w:r>
      <w:r w:rsidR="00033690">
        <w:rPr>
          <w:i/>
          <w:iCs/>
          <w:lang w:val="en-US"/>
        </w:rPr>
        <w:t>Nick’s Fishmonger Holdings (Pty) Ltd v De Sousa</w:t>
      </w:r>
      <w:r w:rsidR="00033690">
        <w:rPr>
          <w:lang w:val="en-US"/>
        </w:rPr>
        <w:t xml:space="preserve"> 2003 (2) SA 278 (E) para 10.</w:t>
      </w:r>
    </w:p>
  </w:footnote>
  <w:footnote w:id="10">
    <w:p w14:paraId="5C83E758" w14:textId="0F1D79E6" w:rsidR="006C5085" w:rsidRPr="006C5085" w:rsidRDefault="006C5085" w:rsidP="00B36188">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Nick’s Fishmonger Holdings (Pty) Ltd v De Sousa </w:t>
      </w:r>
      <w:r w:rsidR="006A6782">
        <w:rPr>
          <w:lang w:val="en-US"/>
        </w:rPr>
        <w:t xml:space="preserve">ibid </w:t>
      </w:r>
      <w:r>
        <w:rPr>
          <w:lang w:val="en-US"/>
        </w:rPr>
        <w:t xml:space="preserve">para 3, for an illustration of the appropriate plea </w:t>
      </w:r>
      <w:r>
        <w:rPr>
          <w:i/>
          <w:iCs/>
          <w:lang w:val="en-US"/>
        </w:rPr>
        <w:t>in limine</w:t>
      </w:r>
      <w:r w:rsidR="00466A5A">
        <w:rPr>
          <w:lang w:val="en-US"/>
        </w:rPr>
        <w:t>, with specific reference to referral to arbitration coupled with a stay of the proceedings.</w:t>
      </w:r>
    </w:p>
  </w:footnote>
  <w:footnote w:id="11">
    <w:p w14:paraId="677D7230" w14:textId="2BCDAD6B" w:rsidR="006A6782" w:rsidRPr="006A6782" w:rsidRDefault="006A6782" w:rsidP="00B36188">
      <w:pPr>
        <w:pStyle w:val="FootnoteText"/>
        <w:spacing w:line="240" w:lineRule="auto"/>
        <w:jc w:val="both"/>
        <w:rPr>
          <w:lang w:val="en-US"/>
        </w:rPr>
      </w:pPr>
      <w:r>
        <w:rPr>
          <w:rStyle w:val="FootnoteReference"/>
        </w:rPr>
        <w:footnoteRef/>
      </w:r>
      <w:r>
        <w:t xml:space="preserve"> </w:t>
      </w:r>
      <w:r>
        <w:rPr>
          <w:i/>
          <w:iCs/>
          <w:lang w:val="en-US"/>
        </w:rPr>
        <w:t xml:space="preserve">Nick’s Fishmonger Holdings (Pty) Ltd v De Sousa </w:t>
      </w:r>
      <w:r>
        <w:rPr>
          <w:lang w:val="en-US"/>
        </w:rPr>
        <w:t>ibid para 10.</w:t>
      </w:r>
    </w:p>
  </w:footnote>
  <w:footnote w:id="12">
    <w:p w14:paraId="77882C15" w14:textId="284DBC62" w:rsidR="00B76AD4" w:rsidRPr="00B76AD4" w:rsidRDefault="00B76AD4" w:rsidP="00B36188">
      <w:pPr>
        <w:pStyle w:val="FootnoteText"/>
        <w:spacing w:line="240" w:lineRule="auto"/>
        <w:jc w:val="both"/>
        <w:rPr>
          <w:lang w:val="en-US"/>
        </w:rPr>
      </w:pPr>
      <w:r>
        <w:rPr>
          <w:rStyle w:val="FootnoteReference"/>
        </w:rPr>
        <w:footnoteRef/>
      </w:r>
      <w:r>
        <w:t xml:space="preserve"> </w:t>
      </w:r>
      <w:r>
        <w:rPr>
          <w:i/>
          <w:iCs/>
          <w:lang w:val="en-US"/>
        </w:rPr>
        <w:t xml:space="preserve">Caesarstone Sdot-Yam Ltd v The World of Marble and Granite 2000 CC and others </w:t>
      </w:r>
      <w:r>
        <w:rPr>
          <w:lang w:val="en-US"/>
        </w:rPr>
        <w:t>2013 (</w:t>
      </w:r>
      <w:r w:rsidR="00843363">
        <w:rPr>
          <w:lang w:val="en-US"/>
        </w:rPr>
        <w:t>6</w:t>
      </w:r>
      <w:r>
        <w:rPr>
          <w:lang w:val="en-US"/>
        </w:rPr>
        <w:t>) SA 499 (SCA) para 2.</w:t>
      </w:r>
    </w:p>
  </w:footnote>
  <w:footnote w:id="13">
    <w:p w14:paraId="21F373F8" w14:textId="63158912" w:rsidR="00843363" w:rsidRPr="00843363" w:rsidRDefault="00843363" w:rsidP="00B36188">
      <w:pPr>
        <w:pStyle w:val="FootnoteText"/>
        <w:spacing w:line="240" w:lineRule="auto"/>
        <w:jc w:val="both"/>
        <w:rPr>
          <w:lang w:val="en-US"/>
        </w:rPr>
      </w:pPr>
      <w:r>
        <w:rPr>
          <w:rStyle w:val="FootnoteReference"/>
        </w:rPr>
        <w:footnoteRef/>
      </w:r>
      <w:r>
        <w:t xml:space="preserve"> </w:t>
      </w:r>
      <w:r>
        <w:rPr>
          <w:i/>
          <w:iCs/>
          <w:lang w:val="en-US"/>
        </w:rPr>
        <w:t>Hassan and another v Berrange NO</w:t>
      </w:r>
      <w:r>
        <w:rPr>
          <w:lang w:val="en-US"/>
        </w:rPr>
        <w:t xml:space="preserve"> 2012 (6) SA 329 (SCA) para 19.</w:t>
      </w:r>
    </w:p>
  </w:footnote>
  <w:footnote w:id="14">
    <w:p w14:paraId="6FA2A0D7" w14:textId="77777777" w:rsidR="00AD046B" w:rsidRPr="00AA26FB" w:rsidRDefault="00AD046B" w:rsidP="00B36188">
      <w:pPr>
        <w:pStyle w:val="FootnoteText"/>
        <w:spacing w:line="240" w:lineRule="auto"/>
        <w:jc w:val="both"/>
        <w:rPr>
          <w:lang w:val="en-US"/>
        </w:rPr>
      </w:pPr>
      <w:r>
        <w:rPr>
          <w:rStyle w:val="FootnoteReference"/>
        </w:rPr>
        <w:footnoteRef/>
      </w:r>
      <w:r>
        <w:t xml:space="preserve"> </w:t>
      </w:r>
      <w:r>
        <w:rPr>
          <w:lang w:val="en-US"/>
        </w:rPr>
        <w:t>On 8 April and 30 June 2021, pp 42 and 48 of the index. Both arbitration notices commence with reference to the applicant’s ‘ … demands for payment from yourselves …’</w:t>
      </w:r>
    </w:p>
  </w:footnote>
  <w:footnote w:id="15">
    <w:p w14:paraId="4D0157A2" w14:textId="77777777" w:rsidR="00AD046B" w:rsidRPr="00B760FC" w:rsidRDefault="00AD046B" w:rsidP="00B36188">
      <w:pPr>
        <w:pStyle w:val="FootnoteText"/>
        <w:spacing w:line="240" w:lineRule="auto"/>
        <w:jc w:val="both"/>
        <w:rPr>
          <w:lang w:val="en-US"/>
        </w:rPr>
      </w:pPr>
      <w:r>
        <w:rPr>
          <w:rStyle w:val="FootnoteReference"/>
        </w:rPr>
        <w:footnoteRef/>
      </w:r>
      <w:r>
        <w:t xml:space="preserve"> </w:t>
      </w:r>
      <w:r>
        <w:rPr>
          <w:lang w:val="en-US"/>
        </w:rPr>
        <w:t>Paras 17,4; 17,5 and 25 of the answering affidavit, pp 36 and 38 of the index.</w:t>
      </w:r>
    </w:p>
  </w:footnote>
  <w:footnote w:id="16">
    <w:p w14:paraId="4C86174C" w14:textId="50420AC3" w:rsidR="00716C42" w:rsidRPr="00716C42" w:rsidRDefault="00716C42" w:rsidP="00B36188">
      <w:pPr>
        <w:pStyle w:val="FootnoteText"/>
        <w:spacing w:line="240" w:lineRule="auto"/>
        <w:jc w:val="both"/>
        <w:rPr>
          <w:lang w:val="en-US"/>
        </w:rPr>
      </w:pPr>
      <w:r>
        <w:rPr>
          <w:rStyle w:val="FootnoteReference"/>
        </w:rPr>
        <w:footnoteRef/>
      </w:r>
      <w:r>
        <w:t xml:space="preserve"> </w:t>
      </w:r>
      <w:r>
        <w:rPr>
          <w:i/>
          <w:iCs/>
          <w:lang w:val="en-US"/>
        </w:rPr>
        <w:t xml:space="preserve">Hassan and another v Berrange NO </w:t>
      </w:r>
      <w:r>
        <w:rPr>
          <w:lang w:val="en-US"/>
        </w:rPr>
        <w:t>op cit para 19.</w:t>
      </w:r>
    </w:p>
  </w:footnote>
  <w:footnote w:id="17">
    <w:p w14:paraId="1778ADF9" w14:textId="5FE19464" w:rsidR="004A1304" w:rsidRPr="004A1304" w:rsidRDefault="004A1304" w:rsidP="00B36188">
      <w:pPr>
        <w:pStyle w:val="FootnoteText"/>
        <w:spacing w:line="240" w:lineRule="auto"/>
        <w:jc w:val="both"/>
        <w:rPr>
          <w:lang w:val="en-US"/>
        </w:rPr>
      </w:pPr>
      <w:r>
        <w:rPr>
          <w:rStyle w:val="FootnoteReference"/>
        </w:rPr>
        <w:footnoteRef/>
      </w:r>
      <w:r>
        <w:t xml:space="preserve"> </w:t>
      </w:r>
      <w:r w:rsidR="007A545E">
        <w:rPr>
          <w:i/>
          <w:iCs/>
        </w:rPr>
        <w:t xml:space="preserve">Standard </w:t>
      </w:r>
      <w:r w:rsidR="007A545E">
        <w:rPr>
          <w:i/>
          <w:iCs/>
          <w:lang w:val="en-US"/>
        </w:rPr>
        <w:t xml:space="preserve">Bank of SA Ltd v Thobejane and Others </w:t>
      </w:r>
      <w:r w:rsidR="007A545E">
        <w:rPr>
          <w:lang w:val="en-US"/>
        </w:rPr>
        <w:t xml:space="preserve">and </w:t>
      </w:r>
      <w:r w:rsidR="007A545E">
        <w:rPr>
          <w:i/>
          <w:iCs/>
          <w:lang w:val="en-US"/>
        </w:rPr>
        <w:t xml:space="preserve">The Standard Bank of SA Ltd v Gqirana NO and Another </w:t>
      </w:r>
      <w:r w:rsidR="007A545E">
        <w:rPr>
          <w:lang w:val="en-US"/>
        </w:rPr>
        <w:t>[2021] ZASCA 92; 2021 (6) SA 403 (SCA) (‘</w:t>
      </w:r>
      <w:r w:rsidR="007A545E">
        <w:rPr>
          <w:i/>
          <w:iCs/>
          <w:lang w:val="en-US"/>
        </w:rPr>
        <w:t>Standard Bank</w:t>
      </w:r>
      <w:r w:rsidR="007A545E">
        <w:rPr>
          <w:lang w:val="en-US"/>
        </w:rPr>
        <w:t>’)</w:t>
      </w:r>
      <w:r w:rsidR="007A545E">
        <w:rPr>
          <w:i/>
          <w:iCs/>
          <w:lang w:val="en-US"/>
        </w:rPr>
        <w:t xml:space="preserve"> </w:t>
      </w:r>
      <w:r>
        <w:rPr>
          <w:lang w:val="en-US"/>
        </w:rPr>
        <w:t>para</w:t>
      </w:r>
      <w:r w:rsidR="006015A6">
        <w:rPr>
          <w:lang w:val="en-US"/>
        </w:rPr>
        <w:t>s 75, 76.</w:t>
      </w:r>
    </w:p>
  </w:footnote>
  <w:footnote w:id="18">
    <w:p w14:paraId="52605A6E" w14:textId="1B7E43BF" w:rsidR="00EF12CB" w:rsidRPr="00EF12CB" w:rsidRDefault="00EF12CB" w:rsidP="00B36188">
      <w:pPr>
        <w:pStyle w:val="FootnoteText"/>
        <w:spacing w:line="240" w:lineRule="auto"/>
        <w:jc w:val="both"/>
        <w:rPr>
          <w:lang w:val="en-US"/>
        </w:rPr>
      </w:pPr>
      <w:r>
        <w:rPr>
          <w:rStyle w:val="FootnoteReference"/>
        </w:rPr>
        <w:footnoteRef/>
      </w:r>
      <w:r>
        <w:t xml:space="preserve"> </w:t>
      </w:r>
      <w:r>
        <w:rPr>
          <w:i/>
          <w:iCs/>
          <w:lang w:val="en-US"/>
        </w:rPr>
        <w:t xml:space="preserve">Jordan and another v Penmill Investments CC and another </w:t>
      </w:r>
      <w:r>
        <w:rPr>
          <w:lang w:val="en-US"/>
        </w:rPr>
        <w:t>1991 (2) SA 430 (E).</w:t>
      </w:r>
    </w:p>
  </w:footnote>
  <w:footnote w:id="19">
    <w:p w14:paraId="5B5CC819" w14:textId="69B2B1A4" w:rsidR="008F6EA2" w:rsidRPr="008F6EA2" w:rsidRDefault="008F6EA2" w:rsidP="00B36188">
      <w:pPr>
        <w:pStyle w:val="FootnoteText"/>
        <w:spacing w:line="240" w:lineRule="auto"/>
        <w:jc w:val="both"/>
        <w:rPr>
          <w:lang w:val="en-US"/>
        </w:rPr>
      </w:pPr>
      <w:r>
        <w:rPr>
          <w:rStyle w:val="FootnoteReference"/>
        </w:rPr>
        <w:footnoteRef/>
      </w:r>
      <w:r>
        <w:t xml:space="preserve"> </w:t>
      </w:r>
      <w:r>
        <w:rPr>
          <w:lang w:val="en-US"/>
        </w:rPr>
        <w:t>Act 32 of 1944.</w:t>
      </w:r>
    </w:p>
  </w:footnote>
  <w:footnote w:id="20">
    <w:p w14:paraId="2CD34F5C" w14:textId="05CBD231" w:rsidR="0065617E" w:rsidRPr="0065617E" w:rsidRDefault="0065617E" w:rsidP="00B36188">
      <w:pPr>
        <w:pStyle w:val="FootnoteText"/>
        <w:spacing w:line="240" w:lineRule="auto"/>
        <w:jc w:val="both"/>
        <w:rPr>
          <w:lang w:val="en-US"/>
        </w:rPr>
      </w:pPr>
      <w:r>
        <w:rPr>
          <w:rStyle w:val="FootnoteReference"/>
        </w:rPr>
        <w:footnoteRef/>
      </w:r>
      <w:r>
        <w:t xml:space="preserve"> </w:t>
      </w:r>
      <w:r>
        <w:rPr>
          <w:i/>
          <w:iCs/>
          <w:lang w:val="en-US"/>
        </w:rPr>
        <w:t xml:space="preserve">Jordon and another v Penmill Investments CC and another </w:t>
      </w:r>
      <w:r>
        <w:rPr>
          <w:lang w:val="en-US"/>
        </w:rPr>
        <w:t>op cit at 435H.</w:t>
      </w:r>
    </w:p>
  </w:footnote>
  <w:footnote w:id="21">
    <w:p w14:paraId="1959BA30" w14:textId="5887005C" w:rsidR="00BC31FE" w:rsidRPr="005C0662" w:rsidRDefault="00BC31FE" w:rsidP="00B36188">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Makhanya v University of Zululand </w:t>
      </w:r>
      <w:r>
        <w:rPr>
          <w:lang w:val="en-US"/>
        </w:rPr>
        <w:t>2010 (1) SA 62 (SCA) paras 24, 25 and 27</w:t>
      </w:r>
      <w:r w:rsidR="005C0662">
        <w:rPr>
          <w:lang w:val="en-US"/>
        </w:rPr>
        <w:t xml:space="preserve">; </w:t>
      </w:r>
      <w:r w:rsidR="005C0662">
        <w:rPr>
          <w:i/>
          <w:iCs/>
          <w:lang w:val="en-US"/>
        </w:rPr>
        <w:t xml:space="preserve">Standard Bank </w:t>
      </w:r>
      <w:r w:rsidR="005C0662">
        <w:rPr>
          <w:lang w:val="en-US"/>
        </w:rPr>
        <w:t>op cit para 16.</w:t>
      </w:r>
    </w:p>
  </w:footnote>
  <w:footnote w:id="22">
    <w:p w14:paraId="6E00B115" w14:textId="075E8359" w:rsidR="00EC5D73" w:rsidRPr="00D5074B" w:rsidRDefault="00EC5D73" w:rsidP="00B36188">
      <w:pPr>
        <w:pStyle w:val="FootnoteText"/>
        <w:spacing w:line="240" w:lineRule="auto"/>
        <w:jc w:val="both"/>
        <w:rPr>
          <w:i/>
          <w:iCs/>
          <w:lang w:val="en-US"/>
        </w:rPr>
      </w:pPr>
      <w:r>
        <w:rPr>
          <w:rStyle w:val="FootnoteReference"/>
        </w:rPr>
        <w:footnoteRef/>
      </w:r>
      <w:r w:rsidR="00500B9B">
        <w:t xml:space="preserve"> </w:t>
      </w:r>
      <w:r>
        <w:rPr>
          <w:i/>
          <w:iCs/>
          <w:lang w:val="en-US"/>
        </w:rPr>
        <w:t xml:space="preserve">Standard </w:t>
      </w:r>
      <w:r w:rsidR="007A545E">
        <w:rPr>
          <w:i/>
          <w:iCs/>
          <w:lang w:val="en-US"/>
        </w:rPr>
        <w:t xml:space="preserve">Bank </w:t>
      </w:r>
      <w:r w:rsidR="007A545E">
        <w:rPr>
          <w:lang w:val="en-US"/>
        </w:rPr>
        <w:t xml:space="preserve">op cit </w:t>
      </w:r>
      <w:r>
        <w:rPr>
          <w:lang w:val="en-US"/>
        </w:rPr>
        <w:t xml:space="preserve">para 68; </w:t>
      </w:r>
    </w:p>
  </w:footnote>
  <w:footnote w:id="23">
    <w:p w14:paraId="537EFE05" w14:textId="1B64D395" w:rsidR="005B3346" w:rsidRPr="00A73F16" w:rsidRDefault="005B3346" w:rsidP="00B36188">
      <w:pPr>
        <w:pStyle w:val="FootnoteText"/>
        <w:spacing w:line="240" w:lineRule="auto"/>
        <w:jc w:val="both"/>
        <w:rPr>
          <w:lang w:val="en-US"/>
        </w:rPr>
      </w:pPr>
      <w:r>
        <w:rPr>
          <w:rStyle w:val="FootnoteReference"/>
        </w:rPr>
        <w:footnoteRef/>
      </w:r>
      <w:r w:rsidR="00500B9B">
        <w:t xml:space="preserve"> </w:t>
      </w:r>
      <w:r>
        <w:rPr>
          <w:i/>
          <w:iCs/>
          <w:lang w:val="en-US"/>
        </w:rPr>
        <w:t xml:space="preserve">Standard Bank </w:t>
      </w:r>
      <w:r w:rsidR="00BE7CB9">
        <w:rPr>
          <w:lang w:val="en-US"/>
        </w:rPr>
        <w:t xml:space="preserve">ibid </w:t>
      </w:r>
      <w:r>
        <w:rPr>
          <w:lang w:val="en-US"/>
        </w:rPr>
        <w:t>para 88: the High Court is obliged to entertain matters that fall within the jurisdiction of a magistrate’s court because the High Court has concurrent jurisdiction.</w:t>
      </w:r>
      <w:r w:rsidR="00F10965">
        <w:rPr>
          <w:lang w:val="en-US"/>
        </w:rPr>
        <w:t xml:space="preserve"> See s 169 of the Constitution.</w:t>
      </w:r>
    </w:p>
  </w:footnote>
  <w:footnote w:id="24">
    <w:p w14:paraId="1AA57D6E" w14:textId="29C5A867" w:rsidR="004F7C7F" w:rsidRPr="004F7C7F" w:rsidRDefault="004F7C7F" w:rsidP="00B36188">
      <w:pPr>
        <w:pStyle w:val="FootnoteText"/>
        <w:spacing w:line="240" w:lineRule="auto"/>
        <w:jc w:val="both"/>
        <w:rPr>
          <w:lang w:val="en-US"/>
        </w:rPr>
      </w:pPr>
      <w:r>
        <w:rPr>
          <w:rStyle w:val="FootnoteReference"/>
        </w:rPr>
        <w:footnoteRef/>
      </w:r>
      <w:r>
        <w:t xml:space="preserve"> </w:t>
      </w:r>
      <w:r>
        <w:rPr>
          <w:i/>
          <w:iCs/>
          <w:lang w:val="en-US"/>
        </w:rPr>
        <w:t xml:space="preserve">Botha v Andrade and others </w:t>
      </w:r>
      <w:r>
        <w:rPr>
          <w:lang w:val="en-US"/>
        </w:rPr>
        <w:t>[2009] 1 All SA 436 (SCA) para 14.</w:t>
      </w:r>
    </w:p>
  </w:footnote>
  <w:footnote w:id="25">
    <w:p w14:paraId="01592832" w14:textId="77651A92" w:rsidR="0084765D" w:rsidRPr="0084765D" w:rsidRDefault="0084765D" w:rsidP="00B36188">
      <w:pPr>
        <w:pStyle w:val="FootnoteText"/>
        <w:spacing w:line="240" w:lineRule="auto"/>
        <w:jc w:val="both"/>
        <w:rPr>
          <w:lang w:val="en-US"/>
        </w:rPr>
      </w:pPr>
      <w:r>
        <w:rPr>
          <w:rStyle w:val="FootnoteReference"/>
        </w:rPr>
        <w:footnoteRef/>
      </w:r>
      <w:r>
        <w:t xml:space="preserve"> </w:t>
      </w:r>
      <w:r>
        <w:rPr>
          <w:i/>
          <w:iCs/>
          <w:lang w:val="en-US"/>
        </w:rPr>
        <w:t xml:space="preserve">Standard Bank </w:t>
      </w:r>
      <w:r>
        <w:rPr>
          <w:lang w:val="en-US"/>
        </w:rPr>
        <w:t>op cit para 25.</w:t>
      </w:r>
    </w:p>
  </w:footnote>
  <w:footnote w:id="26">
    <w:p w14:paraId="76A2D9F1" w14:textId="6064752D" w:rsidR="00BE69BC" w:rsidRPr="00BE69BC" w:rsidRDefault="00BE69BC" w:rsidP="00B36188">
      <w:pPr>
        <w:pStyle w:val="FootnoteText"/>
        <w:spacing w:line="240" w:lineRule="auto"/>
        <w:jc w:val="both"/>
        <w:rPr>
          <w:lang w:val="en-US"/>
        </w:rPr>
      </w:pPr>
      <w:r>
        <w:rPr>
          <w:rStyle w:val="FootnoteReference"/>
        </w:rPr>
        <w:footnoteRef/>
      </w:r>
      <w:r>
        <w:t xml:space="preserve"> </w:t>
      </w:r>
      <w:r>
        <w:rPr>
          <w:i/>
          <w:iCs/>
          <w:lang w:val="en-US"/>
        </w:rPr>
        <w:t xml:space="preserve">Standard Bank </w:t>
      </w:r>
      <w:r>
        <w:rPr>
          <w:lang w:val="en-US"/>
        </w:rPr>
        <w:t>ibid para 27.</w:t>
      </w:r>
      <w:r w:rsidR="002D1C88">
        <w:rPr>
          <w:lang w:val="en-US"/>
        </w:rPr>
        <w:t xml:space="preserve"> If the matter could be dealt with less expensively in a Magistrate’s Court, the High Court could discourage litigation before it by way of an appropriate costs order: para 30.</w:t>
      </w:r>
    </w:p>
  </w:footnote>
  <w:footnote w:id="27">
    <w:p w14:paraId="49FAFD80" w14:textId="3693302C" w:rsidR="00C56103" w:rsidRPr="00C56103" w:rsidRDefault="00C56103" w:rsidP="00B36188">
      <w:pPr>
        <w:pStyle w:val="FootnoteText"/>
        <w:spacing w:line="240" w:lineRule="auto"/>
        <w:jc w:val="both"/>
        <w:rPr>
          <w:lang w:val="en-US"/>
        </w:rPr>
      </w:pPr>
      <w:r>
        <w:rPr>
          <w:rStyle w:val="FootnoteReference"/>
        </w:rPr>
        <w:footnoteRef/>
      </w:r>
      <w:r>
        <w:t xml:space="preserve"> </w:t>
      </w:r>
      <w:r>
        <w:rPr>
          <w:i/>
          <w:iCs/>
          <w:lang w:val="en-US"/>
        </w:rPr>
        <w:t>Standard Bank</w:t>
      </w:r>
      <w:r>
        <w:rPr>
          <w:lang w:val="en-US"/>
        </w:rPr>
        <w:t xml:space="preserve"> ibid para 48.</w:t>
      </w:r>
      <w:r w:rsidR="004B115B">
        <w:rPr>
          <w:lang w:val="en-US"/>
        </w:rPr>
        <w:t xml:space="preserve"> </w:t>
      </w:r>
    </w:p>
  </w:footnote>
  <w:footnote w:id="28">
    <w:p w14:paraId="50FA9312" w14:textId="16126E95" w:rsidR="001B446C" w:rsidRPr="001B446C" w:rsidRDefault="001B446C" w:rsidP="00B36188">
      <w:pPr>
        <w:pStyle w:val="FootnoteText"/>
        <w:spacing w:line="240" w:lineRule="auto"/>
        <w:jc w:val="both"/>
        <w:rPr>
          <w:lang w:val="en-US"/>
        </w:rPr>
      </w:pPr>
      <w:r>
        <w:rPr>
          <w:rStyle w:val="FootnoteReference"/>
        </w:rPr>
        <w:footnoteRef/>
      </w:r>
      <w:r>
        <w:t xml:space="preserve"> </w:t>
      </w:r>
      <w:r>
        <w:rPr>
          <w:lang w:val="en-US"/>
        </w:rPr>
        <w:t xml:space="preserve">See G Glover </w:t>
      </w:r>
      <w:r>
        <w:rPr>
          <w:i/>
          <w:iCs/>
          <w:lang w:val="en-US"/>
        </w:rPr>
        <w:t>Kerr’s Law of Sale and Lease</w:t>
      </w:r>
      <w:r>
        <w:rPr>
          <w:lang w:val="en-US"/>
        </w:rPr>
        <w:t xml:space="preserve"> (4</w:t>
      </w:r>
      <w:r w:rsidRPr="00405BDF">
        <w:rPr>
          <w:vertAlign w:val="superscript"/>
          <w:lang w:val="en-US"/>
        </w:rPr>
        <w:t>th</w:t>
      </w:r>
      <w:r>
        <w:rPr>
          <w:lang w:val="en-US"/>
        </w:rPr>
        <w:t xml:space="preserve"> Ed) (LexisNexis) p 480.</w:t>
      </w:r>
    </w:p>
  </w:footnote>
  <w:footnote w:id="29">
    <w:p w14:paraId="13BD95F5" w14:textId="5C251513" w:rsidR="00405BDF" w:rsidRPr="00405BDF" w:rsidRDefault="00405BDF" w:rsidP="00B36188">
      <w:pPr>
        <w:pStyle w:val="FootnoteText"/>
        <w:spacing w:line="240" w:lineRule="auto"/>
        <w:jc w:val="both"/>
        <w:rPr>
          <w:lang w:val="en-US"/>
        </w:rPr>
      </w:pPr>
      <w:r>
        <w:rPr>
          <w:rStyle w:val="FootnoteReference"/>
        </w:rPr>
        <w:footnoteRef/>
      </w:r>
      <w:r>
        <w:t xml:space="preserve"> </w:t>
      </w:r>
      <w:r>
        <w:rPr>
          <w:lang w:val="en-US"/>
        </w:rPr>
        <w:t xml:space="preserve">On the obligations of a lessee to pay rent, in general, see </w:t>
      </w:r>
      <w:r w:rsidR="001B446C">
        <w:rPr>
          <w:lang w:val="en-US"/>
        </w:rPr>
        <w:t xml:space="preserve">Glover op cit </w:t>
      </w:r>
      <w:r w:rsidR="004640CB">
        <w:rPr>
          <w:lang w:val="en-US"/>
        </w:rPr>
        <w:t>p</w:t>
      </w:r>
      <w:r w:rsidR="001B446C">
        <w:rPr>
          <w:lang w:val="en-US"/>
        </w:rPr>
        <w:t xml:space="preserve">p </w:t>
      </w:r>
      <w:r>
        <w:rPr>
          <w:lang w:val="en-US"/>
        </w:rPr>
        <w:t>416-417.</w:t>
      </w:r>
    </w:p>
  </w:footnote>
  <w:footnote w:id="30">
    <w:p w14:paraId="64244465" w14:textId="28A58573" w:rsidR="004F5E6B" w:rsidRPr="004F5E6B" w:rsidRDefault="004F5E6B" w:rsidP="00B36188">
      <w:pPr>
        <w:pStyle w:val="FootnoteText"/>
        <w:spacing w:line="240" w:lineRule="auto"/>
        <w:jc w:val="both"/>
        <w:rPr>
          <w:lang w:val="en-US"/>
        </w:rPr>
      </w:pPr>
      <w:r>
        <w:rPr>
          <w:rStyle w:val="FootnoteReference"/>
        </w:rPr>
        <w:footnoteRef/>
      </w:r>
      <w:r>
        <w:t xml:space="preserve"> </w:t>
      </w:r>
      <w:r>
        <w:rPr>
          <w:lang w:val="en-US"/>
        </w:rPr>
        <w:t>Clause 8.4, p 23 of the index.</w:t>
      </w:r>
    </w:p>
  </w:footnote>
  <w:footnote w:id="31">
    <w:p w14:paraId="16F76840" w14:textId="172DE6B4" w:rsidR="004640CB" w:rsidRPr="004640CB" w:rsidRDefault="004640CB" w:rsidP="00B36188">
      <w:pPr>
        <w:pStyle w:val="FootnoteText"/>
        <w:spacing w:line="240" w:lineRule="auto"/>
        <w:jc w:val="both"/>
        <w:rPr>
          <w:lang w:val="en-US"/>
        </w:rPr>
      </w:pPr>
      <w:r>
        <w:rPr>
          <w:rStyle w:val="FootnoteReference"/>
        </w:rPr>
        <w:footnoteRef/>
      </w:r>
      <w:r>
        <w:t xml:space="preserve"> </w:t>
      </w:r>
      <w:r>
        <w:rPr>
          <w:lang w:val="en-US"/>
        </w:rPr>
        <w:t>On the lessor’s power to cancel a lease contract for non-payment of rent on the basis of a cancellation clause in the contract, see Glover op cit pp 429; 432-433</w:t>
      </w:r>
      <w:r w:rsidR="007518E8">
        <w:rPr>
          <w:lang w:val="en-US"/>
        </w:rPr>
        <w:t xml:space="preserve">. As Glover notes, if a lease contains a cancellation clause which relates to prompt payment of rent, then on the first occasion on which the lessee fails to pay on due date or within the period of grace allowed, if there is one, the lessor has an opportunity to cancel the lease, an opportunity which the court is not </w:t>
      </w:r>
      <w:r w:rsidR="009779E4">
        <w:rPr>
          <w:lang w:val="en-US"/>
        </w:rPr>
        <w:t>e</w:t>
      </w:r>
      <w:r w:rsidR="007518E8">
        <w:rPr>
          <w:lang w:val="en-US"/>
        </w:rPr>
        <w:t>mpowered to take away from it: p 432.</w:t>
      </w:r>
    </w:p>
  </w:footnote>
  <w:footnote w:id="32">
    <w:p w14:paraId="31170105" w14:textId="35A7AC6A" w:rsidR="00BD09E6" w:rsidRPr="00BD09E6" w:rsidRDefault="00BD09E6" w:rsidP="00B36188">
      <w:pPr>
        <w:pStyle w:val="FootnoteText"/>
        <w:spacing w:line="240" w:lineRule="auto"/>
        <w:jc w:val="both"/>
        <w:rPr>
          <w:lang w:val="en-US"/>
        </w:rPr>
      </w:pPr>
      <w:r>
        <w:rPr>
          <w:rStyle w:val="FootnoteReference"/>
        </w:rPr>
        <w:footnoteRef/>
      </w:r>
      <w:r>
        <w:t xml:space="preserve"> </w:t>
      </w:r>
      <w:r>
        <w:rPr>
          <w:lang w:val="en-US"/>
        </w:rPr>
        <w:t>Glover op cit p</w:t>
      </w:r>
      <w:r w:rsidR="00EF031A">
        <w:rPr>
          <w:lang w:val="en-US"/>
        </w:rPr>
        <w:t xml:space="preserve"> </w:t>
      </w:r>
      <w:r>
        <w:rPr>
          <w:lang w:val="en-US"/>
        </w:rPr>
        <w:t>452.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4237CADD"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0454">
          <w:rPr>
            <w:rStyle w:val="PageNumber"/>
            <w:noProof/>
          </w:rPr>
          <w:t>5</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45251"/>
    <w:multiLevelType w:val="hybridMultilevel"/>
    <w:tmpl w:val="8BAEF63A"/>
    <w:lvl w:ilvl="0" w:tplc="6DA6EC5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9"/>
  </w:num>
  <w:num w:numId="6">
    <w:abstractNumId w:val="7"/>
  </w:num>
  <w:num w:numId="7">
    <w:abstractNumId w:val="10"/>
  </w:num>
  <w:num w:numId="8">
    <w:abstractNumId w:val="1"/>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17A"/>
    <w:rsid w:val="00003835"/>
    <w:rsid w:val="00004E1E"/>
    <w:rsid w:val="00005691"/>
    <w:rsid w:val="00005ABB"/>
    <w:rsid w:val="00005BC2"/>
    <w:rsid w:val="0000642E"/>
    <w:rsid w:val="00006EF3"/>
    <w:rsid w:val="00007087"/>
    <w:rsid w:val="00007904"/>
    <w:rsid w:val="000109B4"/>
    <w:rsid w:val="00012A2F"/>
    <w:rsid w:val="00014437"/>
    <w:rsid w:val="00014770"/>
    <w:rsid w:val="00016FDA"/>
    <w:rsid w:val="00020A79"/>
    <w:rsid w:val="000220C3"/>
    <w:rsid w:val="00022804"/>
    <w:rsid w:val="00023496"/>
    <w:rsid w:val="00027DA3"/>
    <w:rsid w:val="00030A25"/>
    <w:rsid w:val="000323B0"/>
    <w:rsid w:val="00033690"/>
    <w:rsid w:val="000341AF"/>
    <w:rsid w:val="00034B32"/>
    <w:rsid w:val="0003553E"/>
    <w:rsid w:val="000367A0"/>
    <w:rsid w:val="0004040E"/>
    <w:rsid w:val="00040F79"/>
    <w:rsid w:val="000422CD"/>
    <w:rsid w:val="0004347D"/>
    <w:rsid w:val="0004373B"/>
    <w:rsid w:val="00044B50"/>
    <w:rsid w:val="000451D0"/>
    <w:rsid w:val="00047035"/>
    <w:rsid w:val="000478E8"/>
    <w:rsid w:val="0005061D"/>
    <w:rsid w:val="00051F6C"/>
    <w:rsid w:val="000536DD"/>
    <w:rsid w:val="00053D81"/>
    <w:rsid w:val="00054DEC"/>
    <w:rsid w:val="000550BD"/>
    <w:rsid w:val="00055F07"/>
    <w:rsid w:val="00056042"/>
    <w:rsid w:val="00056FBA"/>
    <w:rsid w:val="000574BF"/>
    <w:rsid w:val="00063188"/>
    <w:rsid w:val="00063C6E"/>
    <w:rsid w:val="00063D5A"/>
    <w:rsid w:val="0007050F"/>
    <w:rsid w:val="0007234C"/>
    <w:rsid w:val="00073EFC"/>
    <w:rsid w:val="000778A4"/>
    <w:rsid w:val="00080D4E"/>
    <w:rsid w:val="000815F5"/>
    <w:rsid w:val="00083322"/>
    <w:rsid w:val="00083386"/>
    <w:rsid w:val="000833DB"/>
    <w:rsid w:val="00084C6F"/>
    <w:rsid w:val="00086278"/>
    <w:rsid w:val="00086A06"/>
    <w:rsid w:val="0009015D"/>
    <w:rsid w:val="000910CD"/>
    <w:rsid w:val="00091F8C"/>
    <w:rsid w:val="0009497C"/>
    <w:rsid w:val="00096BC1"/>
    <w:rsid w:val="000976CA"/>
    <w:rsid w:val="0009788D"/>
    <w:rsid w:val="000A0EA2"/>
    <w:rsid w:val="000A3676"/>
    <w:rsid w:val="000A59DC"/>
    <w:rsid w:val="000B0946"/>
    <w:rsid w:val="000B0DC8"/>
    <w:rsid w:val="000B26AE"/>
    <w:rsid w:val="000B26CF"/>
    <w:rsid w:val="000B48A2"/>
    <w:rsid w:val="000B5790"/>
    <w:rsid w:val="000B5FBC"/>
    <w:rsid w:val="000B6309"/>
    <w:rsid w:val="000B643B"/>
    <w:rsid w:val="000B78EC"/>
    <w:rsid w:val="000C2D21"/>
    <w:rsid w:val="000C3531"/>
    <w:rsid w:val="000C3620"/>
    <w:rsid w:val="000C39A5"/>
    <w:rsid w:val="000C450C"/>
    <w:rsid w:val="000C7746"/>
    <w:rsid w:val="000C7A27"/>
    <w:rsid w:val="000D085B"/>
    <w:rsid w:val="000D0D78"/>
    <w:rsid w:val="000D22FB"/>
    <w:rsid w:val="000D487F"/>
    <w:rsid w:val="000D4BFA"/>
    <w:rsid w:val="000D667A"/>
    <w:rsid w:val="000E1C45"/>
    <w:rsid w:val="000E2444"/>
    <w:rsid w:val="000E2723"/>
    <w:rsid w:val="000E2A09"/>
    <w:rsid w:val="000E3E15"/>
    <w:rsid w:val="000E4F0D"/>
    <w:rsid w:val="000E5100"/>
    <w:rsid w:val="000E7ECD"/>
    <w:rsid w:val="000F05E0"/>
    <w:rsid w:val="000F1A95"/>
    <w:rsid w:val="000F4E30"/>
    <w:rsid w:val="000F4E4E"/>
    <w:rsid w:val="000F6BFE"/>
    <w:rsid w:val="000F6DF1"/>
    <w:rsid w:val="000F7DF4"/>
    <w:rsid w:val="0010068E"/>
    <w:rsid w:val="0010218C"/>
    <w:rsid w:val="00102D5B"/>
    <w:rsid w:val="001044CD"/>
    <w:rsid w:val="001044DB"/>
    <w:rsid w:val="0010622C"/>
    <w:rsid w:val="001078B5"/>
    <w:rsid w:val="00107A5F"/>
    <w:rsid w:val="0011026A"/>
    <w:rsid w:val="00110EF0"/>
    <w:rsid w:val="001124A5"/>
    <w:rsid w:val="00116EB9"/>
    <w:rsid w:val="00120E93"/>
    <w:rsid w:val="001226DE"/>
    <w:rsid w:val="00123296"/>
    <w:rsid w:val="0012621C"/>
    <w:rsid w:val="00126D44"/>
    <w:rsid w:val="00130228"/>
    <w:rsid w:val="00131392"/>
    <w:rsid w:val="00131984"/>
    <w:rsid w:val="00131A28"/>
    <w:rsid w:val="001337CC"/>
    <w:rsid w:val="00133A8C"/>
    <w:rsid w:val="00134C11"/>
    <w:rsid w:val="00135C81"/>
    <w:rsid w:val="00137E08"/>
    <w:rsid w:val="00142F79"/>
    <w:rsid w:val="001435EB"/>
    <w:rsid w:val="00144974"/>
    <w:rsid w:val="00146BA3"/>
    <w:rsid w:val="00147CC2"/>
    <w:rsid w:val="001517E0"/>
    <w:rsid w:val="00151CDA"/>
    <w:rsid w:val="00157785"/>
    <w:rsid w:val="00157898"/>
    <w:rsid w:val="00157C19"/>
    <w:rsid w:val="00160EBC"/>
    <w:rsid w:val="00160F58"/>
    <w:rsid w:val="00163148"/>
    <w:rsid w:val="00163A58"/>
    <w:rsid w:val="00166768"/>
    <w:rsid w:val="001721E6"/>
    <w:rsid w:val="00172B5C"/>
    <w:rsid w:val="00173547"/>
    <w:rsid w:val="00174B6D"/>
    <w:rsid w:val="0017614D"/>
    <w:rsid w:val="0018006A"/>
    <w:rsid w:val="00180F4E"/>
    <w:rsid w:val="00181923"/>
    <w:rsid w:val="00181E7E"/>
    <w:rsid w:val="00182175"/>
    <w:rsid w:val="00184625"/>
    <w:rsid w:val="00186769"/>
    <w:rsid w:val="001870AF"/>
    <w:rsid w:val="00191768"/>
    <w:rsid w:val="00192869"/>
    <w:rsid w:val="001943D2"/>
    <w:rsid w:val="001954F0"/>
    <w:rsid w:val="00195571"/>
    <w:rsid w:val="001955AB"/>
    <w:rsid w:val="00196742"/>
    <w:rsid w:val="001A4F33"/>
    <w:rsid w:val="001B0D01"/>
    <w:rsid w:val="001B2578"/>
    <w:rsid w:val="001B2FE4"/>
    <w:rsid w:val="001B446C"/>
    <w:rsid w:val="001B505F"/>
    <w:rsid w:val="001B69E3"/>
    <w:rsid w:val="001C04BC"/>
    <w:rsid w:val="001C2DD7"/>
    <w:rsid w:val="001C48A5"/>
    <w:rsid w:val="001C7061"/>
    <w:rsid w:val="001D0962"/>
    <w:rsid w:val="001D1605"/>
    <w:rsid w:val="001D214B"/>
    <w:rsid w:val="001D5A9D"/>
    <w:rsid w:val="001D5F83"/>
    <w:rsid w:val="001D61C8"/>
    <w:rsid w:val="001E0F36"/>
    <w:rsid w:val="001E1834"/>
    <w:rsid w:val="001E1B07"/>
    <w:rsid w:val="001E24E0"/>
    <w:rsid w:val="001E4824"/>
    <w:rsid w:val="001E529F"/>
    <w:rsid w:val="001E640A"/>
    <w:rsid w:val="001E6A6E"/>
    <w:rsid w:val="001E701F"/>
    <w:rsid w:val="001E7844"/>
    <w:rsid w:val="001E78D5"/>
    <w:rsid w:val="001E7C8F"/>
    <w:rsid w:val="001F335C"/>
    <w:rsid w:val="001F3A41"/>
    <w:rsid w:val="001F59AB"/>
    <w:rsid w:val="00201DC6"/>
    <w:rsid w:val="00201F12"/>
    <w:rsid w:val="002032B3"/>
    <w:rsid w:val="00206D6C"/>
    <w:rsid w:val="00207573"/>
    <w:rsid w:val="002115FE"/>
    <w:rsid w:val="0021430F"/>
    <w:rsid w:val="00215EBC"/>
    <w:rsid w:val="0021730A"/>
    <w:rsid w:val="00217399"/>
    <w:rsid w:val="002203EC"/>
    <w:rsid w:val="00222854"/>
    <w:rsid w:val="00224363"/>
    <w:rsid w:val="0022594E"/>
    <w:rsid w:val="00226444"/>
    <w:rsid w:val="00226ADA"/>
    <w:rsid w:val="00227379"/>
    <w:rsid w:val="00231325"/>
    <w:rsid w:val="0023410F"/>
    <w:rsid w:val="0023677B"/>
    <w:rsid w:val="00236B9D"/>
    <w:rsid w:val="0023768E"/>
    <w:rsid w:val="002402F6"/>
    <w:rsid w:val="00242218"/>
    <w:rsid w:val="00245504"/>
    <w:rsid w:val="00245BEB"/>
    <w:rsid w:val="00247551"/>
    <w:rsid w:val="00250530"/>
    <w:rsid w:val="0025056A"/>
    <w:rsid w:val="00252FC1"/>
    <w:rsid w:val="00253273"/>
    <w:rsid w:val="00254D53"/>
    <w:rsid w:val="00256208"/>
    <w:rsid w:val="00256F79"/>
    <w:rsid w:val="00256FCC"/>
    <w:rsid w:val="00257A15"/>
    <w:rsid w:val="002606D8"/>
    <w:rsid w:val="00260A3F"/>
    <w:rsid w:val="00260A94"/>
    <w:rsid w:val="00260B67"/>
    <w:rsid w:val="002612A5"/>
    <w:rsid w:val="00261583"/>
    <w:rsid w:val="0026158F"/>
    <w:rsid w:val="00262D2A"/>
    <w:rsid w:val="002635B7"/>
    <w:rsid w:val="00263B8D"/>
    <w:rsid w:val="0026495C"/>
    <w:rsid w:val="00265010"/>
    <w:rsid w:val="00265180"/>
    <w:rsid w:val="00265AEB"/>
    <w:rsid w:val="0026634E"/>
    <w:rsid w:val="0026645C"/>
    <w:rsid w:val="002705E9"/>
    <w:rsid w:val="00274C64"/>
    <w:rsid w:val="00275410"/>
    <w:rsid w:val="00275859"/>
    <w:rsid w:val="00276100"/>
    <w:rsid w:val="002766A6"/>
    <w:rsid w:val="00277EB6"/>
    <w:rsid w:val="002843B1"/>
    <w:rsid w:val="002852C4"/>
    <w:rsid w:val="00285664"/>
    <w:rsid w:val="0028725A"/>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31B7"/>
    <w:rsid w:val="002B3FE3"/>
    <w:rsid w:val="002B4CB7"/>
    <w:rsid w:val="002B54B7"/>
    <w:rsid w:val="002B6730"/>
    <w:rsid w:val="002B7874"/>
    <w:rsid w:val="002C1ECF"/>
    <w:rsid w:val="002C3A0D"/>
    <w:rsid w:val="002C45D8"/>
    <w:rsid w:val="002C653D"/>
    <w:rsid w:val="002C7128"/>
    <w:rsid w:val="002D1C88"/>
    <w:rsid w:val="002D4CBC"/>
    <w:rsid w:val="002D6D70"/>
    <w:rsid w:val="002E0CCA"/>
    <w:rsid w:val="002E141A"/>
    <w:rsid w:val="002E1B95"/>
    <w:rsid w:val="002E3EC7"/>
    <w:rsid w:val="002E4808"/>
    <w:rsid w:val="002E483E"/>
    <w:rsid w:val="002E7045"/>
    <w:rsid w:val="002E7199"/>
    <w:rsid w:val="002E7C70"/>
    <w:rsid w:val="002F012F"/>
    <w:rsid w:val="002F031A"/>
    <w:rsid w:val="002F0513"/>
    <w:rsid w:val="002F0990"/>
    <w:rsid w:val="002F0C58"/>
    <w:rsid w:val="002F13D1"/>
    <w:rsid w:val="002F37F8"/>
    <w:rsid w:val="002F466B"/>
    <w:rsid w:val="002F4EDB"/>
    <w:rsid w:val="002F60D3"/>
    <w:rsid w:val="002F7574"/>
    <w:rsid w:val="00300A59"/>
    <w:rsid w:val="0030214A"/>
    <w:rsid w:val="00302E78"/>
    <w:rsid w:val="00305A47"/>
    <w:rsid w:val="00306288"/>
    <w:rsid w:val="003140F9"/>
    <w:rsid w:val="003148EA"/>
    <w:rsid w:val="003150CA"/>
    <w:rsid w:val="00315CB8"/>
    <w:rsid w:val="00315D8D"/>
    <w:rsid w:val="003168ED"/>
    <w:rsid w:val="003172EB"/>
    <w:rsid w:val="003175C5"/>
    <w:rsid w:val="00317AB4"/>
    <w:rsid w:val="00321E11"/>
    <w:rsid w:val="003228A7"/>
    <w:rsid w:val="00324CE8"/>
    <w:rsid w:val="00325BD4"/>
    <w:rsid w:val="00326A33"/>
    <w:rsid w:val="0032785C"/>
    <w:rsid w:val="00327E36"/>
    <w:rsid w:val="00330795"/>
    <w:rsid w:val="00330E85"/>
    <w:rsid w:val="0033219D"/>
    <w:rsid w:val="003321B4"/>
    <w:rsid w:val="00334624"/>
    <w:rsid w:val="00335693"/>
    <w:rsid w:val="00335897"/>
    <w:rsid w:val="0033634C"/>
    <w:rsid w:val="0033669D"/>
    <w:rsid w:val="003367DD"/>
    <w:rsid w:val="00343E5D"/>
    <w:rsid w:val="0034439B"/>
    <w:rsid w:val="003455A7"/>
    <w:rsid w:val="003469BB"/>
    <w:rsid w:val="00350743"/>
    <w:rsid w:val="00350A47"/>
    <w:rsid w:val="003513CA"/>
    <w:rsid w:val="00351FAC"/>
    <w:rsid w:val="003529AF"/>
    <w:rsid w:val="00353652"/>
    <w:rsid w:val="003564CA"/>
    <w:rsid w:val="00356AE6"/>
    <w:rsid w:val="0035756C"/>
    <w:rsid w:val="00357751"/>
    <w:rsid w:val="003601F1"/>
    <w:rsid w:val="00360BFC"/>
    <w:rsid w:val="00362A40"/>
    <w:rsid w:val="0036307A"/>
    <w:rsid w:val="00363BF3"/>
    <w:rsid w:val="003649E8"/>
    <w:rsid w:val="00366631"/>
    <w:rsid w:val="003679D5"/>
    <w:rsid w:val="00367B79"/>
    <w:rsid w:val="003700BB"/>
    <w:rsid w:val="0037015D"/>
    <w:rsid w:val="0037217E"/>
    <w:rsid w:val="00373BB6"/>
    <w:rsid w:val="00374F02"/>
    <w:rsid w:val="00375614"/>
    <w:rsid w:val="00380E60"/>
    <w:rsid w:val="00381483"/>
    <w:rsid w:val="00381C36"/>
    <w:rsid w:val="00381D62"/>
    <w:rsid w:val="003869D5"/>
    <w:rsid w:val="003905B9"/>
    <w:rsid w:val="0039206E"/>
    <w:rsid w:val="00392A4B"/>
    <w:rsid w:val="00392AA2"/>
    <w:rsid w:val="00393BA3"/>
    <w:rsid w:val="0039527F"/>
    <w:rsid w:val="00395A71"/>
    <w:rsid w:val="0039682A"/>
    <w:rsid w:val="003A37F4"/>
    <w:rsid w:val="003A4F1D"/>
    <w:rsid w:val="003A4F95"/>
    <w:rsid w:val="003A5037"/>
    <w:rsid w:val="003A503D"/>
    <w:rsid w:val="003A6F71"/>
    <w:rsid w:val="003A745C"/>
    <w:rsid w:val="003A7AA6"/>
    <w:rsid w:val="003B01D4"/>
    <w:rsid w:val="003B10EC"/>
    <w:rsid w:val="003B1570"/>
    <w:rsid w:val="003B3C31"/>
    <w:rsid w:val="003B43B8"/>
    <w:rsid w:val="003B5FEE"/>
    <w:rsid w:val="003B76D9"/>
    <w:rsid w:val="003B7D38"/>
    <w:rsid w:val="003C0CEB"/>
    <w:rsid w:val="003C351A"/>
    <w:rsid w:val="003C3BC6"/>
    <w:rsid w:val="003C5934"/>
    <w:rsid w:val="003C7080"/>
    <w:rsid w:val="003D11D0"/>
    <w:rsid w:val="003D239A"/>
    <w:rsid w:val="003D2C74"/>
    <w:rsid w:val="003D467B"/>
    <w:rsid w:val="003D5245"/>
    <w:rsid w:val="003D5507"/>
    <w:rsid w:val="003D5A10"/>
    <w:rsid w:val="003D5E6D"/>
    <w:rsid w:val="003D7CB9"/>
    <w:rsid w:val="003E0F7C"/>
    <w:rsid w:val="003E18F1"/>
    <w:rsid w:val="003E2B73"/>
    <w:rsid w:val="003E2F03"/>
    <w:rsid w:val="003E3621"/>
    <w:rsid w:val="003E3BBF"/>
    <w:rsid w:val="003E424A"/>
    <w:rsid w:val="003E75F3"/>
    <w:rsid w:val="003F0D9E"/>
    <w:rsid w:val="003F1974"/>
    <w:rsid w:val="003F2109"/>
    <w:rsid w:val="003F40C7"/>
    <w:rsid w:val="003F45C7"/>
    <w:rsid w:val="003F50FF"/>
    <w:rsid w:val="003F5900"/>
    <w:rsid w:val="003F6355"/>
    <w:rsid w:val="00400266"/>
    <w:rsid w:val="00401A9A"/>
    <w:rsid w:val="00402EEA"/>
    <w:rsid w:val="00405BDF"/>
    <w:rsid w:val="00405C7A"/>
    <w:rsid w:val="00405CEF"/>
    <w:rsid w:val="00406337"/>
    <w:rsid w:val="00406A00"/>
    <w:rsid w:val="004074B3"/>
    <w:rsid w:val="004075EA"/>
    <w:rsid w:val="00410C82"/>
    <w:rsid w:val="0041108E"/>
    <w:rsid w:val="00411890"/>
    <w:rsid w:val="00412DF2"/>
    <w:rsid w:val="004138F5"/>
    <w:rsid w:val="00413C34"/>
    <w:rsid w:val="00413D22"/>
    <w:rsid w:val="00414C90"/>
    <w:rsid w:val="004165B0"/>
    <w:rsid w:val="004165D6"/>
    <w:rsid w:val="0042163E"/>
    <w:rsid w:val="00423163"/>
    <w:rsid w:val="00427318"/>
    <w:rsid w:val="004276CD"/>
    <w:rsid w:val="0042778E"/>
    <w:rsid w:val="00427843"/>
    <w:rsid w:val="0043025D"/>
    <w:rsid w:val="004302B6"/>
    <w:rsid w:val="0043230A"/>
    <w:rsid w:val="004345C8"/>
    <w:rsid w:val="0043511C"/>
    <w:rsid w:val="00435538"/>
    <w:rsid w:val="00437E88"/>
    <w:rsid w:val="00440672"/>
    <w:rsid w:val="00441E70"/>
    <w:rsid w:val="00443264"/>
    <w:rsid w:val="00443779"/>
    <w:rsid w:val="00443CCC"/>
    <w:rsid w:val="004441E4"/>
    <w:rsid w:val="004448E8"/>
    <w:rsid w:val="00445006"/>
    <w:rsid w:val="004474FB"/>
    <w:rsid w:val="004528CC"/>
    <w:rsid w:val="004529C3"/>
    <w:rsid w:val="0045608B"/>
    <w:rsid w:val="0046315F"/>
    <w:rsid w:val="004640CB"/>
    <w:rsid w:val="004652FD"/>
    <w:rsid w:val="004657F4"/>
    <w:rsid w:val="00466979"/>
    <w:rsid w:val="00466A5A"/>
    <w:rsid w:val="00466D17"/>
    <w:rsid w:val="00467E20"/>
    <w:rsid w:val="00472A4C"/>
    <w:rsid w:val="00472B05"/>
    <w:rsid w:val="00472E85"/>
    <w:rsid w:val="00473068"/>
    <w:rsid w:val="004735D5"/>
    <w:rsid w:val="0047556B"/>
    <w:rsid w:val="00475C2D"/>
    <w:rsid w:val="00477226"/>
    <w:rsid w:val="00480E07"/>
    <w:rsid w:val="004813E8"/>
    <w:rsid w:val="00482449"/>
    <w:rsid w:val="004827F3"/>
    <w:rsid w:val="00482885"/>
    <w:rsid w:val="00486114"/>
    <w:rsid w:val="004863E4"/>
    <w:rsid w:val="00487264"/>
    <w:rsid w:val="00490D2A"/>
    <w:rsid w:val="0049105D"/>
    <w:rsid w:val="004918C4"/>
    <w:rsid w:val="004932A2"/>
    <w:rsid w:val="00496E8C"/>
    <w:rsid w:val="00496EAA"/>
    <w:rsid w:val="004A00B9"/>
    <w:rsid w:val="004A08D7"/>
    <w:rsid w:val="004A1304"/>
    <w:rsid w:val="004A15BA"/>
    <w:rsid w:val="004A5151"/>
    <w:rsid w:val="004A5DB1"/>
    <w:rsid w:val="004A687F"/>
    <w:rsid w:val="004A7359"/>
    <w:rsid w:val="004B115B"/>
    <w:rsid w:val="004B2D0F"/>
    <w:rsid w:val="004B3161"/>
    <w:rsid w:val="004B5BAF"/>
    <w:rsid w:val="004B5CB4"/>
    <w:rsid w:val="004B632A"/>
    <w:rsid w:val="004B7E82"/>
    <w:rsid w:val="004C06AD"/>
    <w:rsid w:val="004C0946"/>
    <w:rsid w:val="004C0C08"/>
    <w:rsid w:val="004C13CF"/>
    <w:rsid w:val="004C403B"/>
    <w:rsid w:val="004C7EB2"/>
    <w:rsid w:val="004D0163"/>
    <w:rsid w:val="004D0AC5"/>
    <w:rsid w:val="004D19EB"/>
    <w:rsid w:val="004D35C6"/>
    <w:rsid w:val="004E06B4"/>
    <w:rsid w:val="004E189A"/>
    <w:rsid w:val="004E2076"/>
    <w:rsid w:val="004E318F"/>
    <w:rsid w:val="004E5A0A"/>
    <w:rsid w:val="004E6764"/>
    <w:rsid w:val="004F021C"/>
    <w:rsid w:val="004F1757"/>
    <w:rsid w:val="004F1D20"/>
    <w:rsid w:val="004F326C"/>
    <w:rsid w:val="004F38A6"/>
    <w:rsid w:val="004F444A"/>
    <w:rsid w:val="004F5575"/>
    <w:rsid w:val="004F5E6B"/>
    <w:rsid w:val="004F79D9"/>
    <w:rsid w:val="004F7C7F"/>
    <w:rsid w:val="00500B9B"/>
    <w:rsid w:val="005014BC"/>
    <w:rsid w:val="00501617"/>
    <w:rsid w:val="00502229"/>
    <w:rsid w:val="005025C3"/>
    <w:rsid w:val="005030DE"/>
    <w:rsid w:val="00505658"/>
    <w:rsid w:val="0050634D"/>
    <w:rsid w:val="005078B2"/>
    <w:rsid w:val="005079C1"/>
    <w:rsid w:val="00507BBF"/>
    <w:rsid w:val="00511260"/>
    <w:rsid w:val="00511565"/>
    <w:rsid w:val="0051172C"/>
    <w:rsid w:val="0051380C"/>
    <w:rsid w:val="00514878"/>
    <w:rsid w:val="00515803"/>
    <w:rsid w:val="0051706E"/>
    <w:rsid w:val="00520E7F"/>
    <w:rsid w:val="00523DBC"/>
    <w:rsid w:val="005244E9"/>
    <w:rsid w:val="00530509"/>
    <w:rsid w:val="00532080"/>
    <w:rsid w:val="005408E2"/>
    <w:rsid w:val="00545009"/>
    <w:rsid w:val="00545140"/>
    <w:rsid w:val="00545668"/>
    <w:rsid w:val="00545B49"/>
    <w:rsid w:val="0055098F"/>
    <w:rsid w:val="005517B9"/>
    <w:rsid w:val="00553E7D"/>
    <w:rsid w:val="005542BD"/>
    <w:rsid w:val="00556489"/>
    <w:rsid w:val="00556EDA"/>
    <w:rsid w:val="00556FC7"/>
    <w:rsid w:val="005573D6"/>
    <w:rsid w:val="0056029F"/>
    <w:rsid w:val="0056509F"/>
    <w:rsid w:val="00565326"/>
    <w:rsid w:val="00570A0D"/>
    <w:rsid w:val="005754FC"/>
    <w:rsid w:val="00575F9C"/>
    <w:rsid w:val="00576979"/>
    <w:rsid w:val="00577D50"/>
    <w:rsid w:val="00580D85"/>
    <w:rsid w:val="005813AC"/>
    <w:rsid w:val="0058354A"/>
    <w:rsid w:val="00584BA7"/>
    <w:rsid w:val="00586345"/>
    <w:rsid w:val="00586CFB"/>
    <w:rsid w:val="00587D29"/>
    <w:rsid w:val="00591072"/>
    <w:rsid w:val="005934B8"/>
    <w:rsid w:val="00594C9D"/>
    <w:rsid w:val="00595C65"/>
    <w:rsid w:val="005969E2"/>
    <w:rsid w:val="00597705"/>
    <w:rsid w:val="005A2449"/>
    <w:rsid w:val="005A2C73"/>
    <w:rsid w:val="005A3E4D"/>
    <w:rsid w:val="005A4FC0"/>
    <w:rsid w:val="005A71F7"/>
    <w:rsid w:val="005B1333"/>
    <w:rsid w:val="005B1872"/>
    <w:rsid w:val="005B3346"/>
    <w:rsid w:val="005B649F"/>
    <w:rsid w:val="005B7922"/>
    <w:rsid w:val="005B7CEE"/>
    <w:rsid w:val="005C0662"/>
    <w:rsid w:val="005C0DC4"/>
    <w:rsid w:val="005C1439"/>
    <w:rsid w:val="005C15DC"/>
    <w:rsid w:val="005C1DEC"/>
    <w:rsid w:val="005C28AE"/>
    <w:rsid w:val="005C36E4"/>
    <w:rsid w:val="005C4FDA"/>
    <w:rsid w:val="005C5C47"/>
    <w:rsid w:val="005C6A41"/>
    <w:rsid w:val="005C6F49"/>
    <w:rsid w:val="005D0320"/>
    <w:rsid w:val="005D0B78"/>
    <w:rsid w:val="005D25D6"/>
    <w:rsid w:val="005D3407"/>
    <w:rsid w:val="005D3941"/>
    <w:rsid w:val="005D411A"/>
    <w:rsid w:val="005D47C3"/>
    <w:rsid w:val="005D5E9D"/>
    <w:rsid w:val="005D6BF3"/>
    <w:rsid w:val="005D6D77"/>
    <w:rsid w:val="005E0EB5"/>
    <w:rsid w:val="005E2F30"/>
    <w:rsid w:val="005E3541"/>
    <w:rsid w:val="005E560B"/>
    <w:rsid w:val="005E601A"/>
    <w:rsid w:val="005F03D5"/>
    <w:rsid w:val="005F04A5"/>
    <w:rsid w:val="005F158C"/>
    <w:rsid w:val="005F236B"/>
    <w:rsid w:val="005F6D85"/>
    <w:rsid w:val="005F77BC"/>
    <w:rsid w:val="00600269"/>
    <w:rsid w:val="0060138F"/>
    <w:rsid w:val="006015A6"/>
    <w:rsid w:val="0060391E"/>
    <w:rsid w:val="0060443D"/>
    <w:rsid w:val="0060486E"/>
    <w:rsid w:val="00604B89"/>
    <w:rsid w:val="006062FB"/>
    <w:rsid w:val="00606867"/>
    <w:rsid w:val="00607419"/>
    <w:rsid w:val="006101AF"/>
    <w:rsid w:val="00612393"/>
    <w:rsid w:val="00612ACF"/>
    <w:rsid w:val="00613A5F"/>
    <w:rsid w:val="00613E36"/>
    <w:rsid w:val="00614A7A"/>
    <w:rsid w:val="00616B35"/>
    <w:rsid w:val="00617A30"/>
    <w:rsid w:val="00617F99"/>
    <w:rsid w:val="006215E6"/>
    <w:rsid w:val="00621B4B"/>
    <w:rsid w:val="00621E4C"/>
    <w:rsid w:val="006232F1"/>
    <w:rsid w:val="00623DDE"/>
    <w:rsid w:val="00624695"/>
    <w:rsid w:val="00625D2D"/>
    <w:rsid w:val="006271A4"/>
    <w:rsid w:val="00630138"/>
    <w:rsid w:val="006313FC"/>
    <w:rsid w:val="006332F2"/>
    <w:rsid w:val="00633335"/>
    <w:rsid w:val="00634B17"/>
    <w:rsid w:val="00635DDB"/>
    <w:rsid w:val="00637A17"/>
    <w:rsid w:val="00637E2C"/>
    <w:rsid w:val="00641035"/>
    <w:rsid w:val="00641661"/>
    <w:rsid w:val="00644FB0"/>
    <w:rsid w:val="006476E6"/>
    <w:rsid w:val="00650EE2"/>
    <w:rsid w:val="006511A4"/>
    <w:rsid w:val="006513E2"/>
    <w:rsid w:val="00651916"/>
    <w:rsid w:val="00651DE7"/>
    <w:rsid w:val="006531C9"/>
    <w:rsid w:val="006535E1"/>
    <w:rsid w:val="0065617E"/>
    <w:rsid w:val="0066025E"/>
    <w:rsid w:val="00661D64"/>
    <w:rsid w:val="00662682"/>
    <w:rsid w:val="006639A0"/>
    <w:rsid w:val="00663D7F"/>
    <w:rsid w:val="006646D1"/>
    <w:rsid w:val="00664CD0"/>
    <w:rsid w:val="00665D94"/>
    <w:rsid w:val="006668FE"/>
    <w:rsid w:val="00667591"/>
    <w:rsid w:val="00667F9F"/>
    <w:rsid w:val="006710E7"/>
    <w:rsid w:val="00671A0B"/>
    <w:rsid w:val="0067210D"/>
    <w:rsid w:val="0067329B"/>
    <w:rsid w:val="00675C81"/>
    <w:rsid w:val="00676648"/>
    <w:rsid w:val="0068034D"/>
    <w:rsid w:val="00680E45"/>
    <w:rsid w:val="00681152"/>
    <w:rsid w:val="00682987"/>
    <w:rsid w:val="00682CE5"/>
    <w:rsid w:val="006841DC"/>
    <w:rsid w:val="0068468E"/>
    <w:rsid w:val="00685DAD"/>
    <w:rsid w:val="0068615D"/>
    <w:rsid w:val="0068675A"/>
    <w:rsid w:val="00690959"/>
    <w:rsid w:val="0069106B"/>
    <w:rsid w:val="00691AF2"/>
    <w:rsid w:val="00691CB2"/>
    <w:rsid w:val="00694527"/>
    <w:rsid w:val="0069550C"/>
    <w:rsid w:val="00697465"/>
    <w:rsid w:val="00697EB1"/>
    <w:rsid w:val="006A2310"/>
    <w:rsid w:val="006A2706"/>
    <w:rsid w:val="006A498B"/>
    <w:rsid w:val="006A66B5"/>
    <w:rsid w:val="006A6782"/>
    <w:rsid w:val="006B150C"/>
    <w:rsid w:val="006B1DCE"/>
    <w:rsid w:val="006B42B2"/>
    <w:rsid w:val="006B6180"/>
    <w:rsid w:val="006B692B"/>
    <w:rsid w:val="006C177A"/>
    <w:rsid w:val="006C1AC7"/>
    <w:rsid w:val="006C1B13"/>
    <w:rsid w:val="006C32C4"/>
    <w:rsid w:val="006C5085"/>
    <w:rsid w:val="006D067F"/>
    <w:rsid w:val="006D07FB"/>
    <w:rsid w:val="006D5A67"/>
    <w:rsid w:val="006D762E"/>
    <w:rsid w:val="006D7DFD"/>
    <w:rsid w:val="006E16D1"/>
    <w:rsid w:val="006E2B6D"/>
    <w:rsid w:val="006E3C88"/>
    <w:rsid w:val="006E4C1C"/>
    <w:rsid w:val="006E7E64"/>
    <w:rsid w:val="006F09D8"/>
    <w:rsid w:val="006F1624"/>
    <w:rsid w:val="006F3052"/>
    <w:rsid w:val="006F31BD"/>
    <w:rsid w:val="006F3259"/>
    <w:rsid w:val="006F3C00"/>
    <w:rsid w:val="006F3FBC"/>
    <w:rsid w:val="006F4E29"/>
    <w:rsid w:val="006F78DB"/>
    <w:rsid w:val="00702C42"/>
    <w:rsid w:val="00704A2E"/>
    <w:rsid w:val="007057AB"/>
    <w:rsid w:val="00707343"/>
    <w:rsid w:val="007073FB"/>
    <w:rsid w:val="00710C28"/>
    <w:rsid w:val="00711C08"/>
    <w:rsid w:val="00711CC1"/>
    <w:rsid w:val="00712ED3"/>
    <w:rsid w:val="00714697"/>
    <w:rsid w:val="00714C9E"/>
    <w:rsid w:val="00714F24"/>
    <w:rsid w:val="00715651"/>
    <w:rsid w:val="00716B32"/>
    <w:rsid w:val="00716C42"/>
    <w:rsid w:val="00717903"/>
    <w:rsid w:val="00717B10"/>
    <w:rsid w:val="00724B29"/>
    <w:rsid w:val="00727A78"/>
    <w:rsid w:val="00730A5A"/>
    <w:rsid w:val="00731207"/>
    <w:rsid w:val="00734430"/>
    <w:rsid w:val="00734D83"/>
    <w:rsid w:val="0074053C"/>
    <w:rsid w:val="00740CF8"/>
    <w:rsid w:val="00743D4D"/>
    <w:rsid w:val="00743EB1"/>
    <w:rsid w:val="0074485F"/>
    <w:rsid w:val="007451A8"/>
    <w:rsid w:val="00745BF2"/>
    <w:rsid w:val="00745E2B"/>
    <w:rsid w:val="0074629E"/>
    <w:rsid w:val="00746757"/>
    <w:rsid w:val="007518E8"/>
    <w:rsid w:val="00751ADD"/>
    <w:rsid w:val="007520F6"/>
    <w:rsid w:val="007532C0"/>
    <w:rsid w:val="0075336E"/>
    <w:rsid w:val="00756020"/>
    <w:rsid w:val="00756098"/>
    <w:rsid w:val="00757F3C"/>
    <w:rsid w:val="007631E0"/>
    <w:rsid w:val="00763628"/>
    <w:rsid w:val="00763BF3"/>
    <w:rsid w:val="00764DF3"/>
    <w:rsid w:val="00764F87"/>
    <w:rsid w:val="00767A6B"/>
    <w:rsid w:val="00771094"/>
    <w:rsid w:val="00771421"/>
    <w:rsid w:val="00772E4B"/>
    <w:rsid w:val="007744D5"/>
    <w:rsid w:val="0077459E"/>
    <w:rsid w:val="00774E55"/>
    <w:rsid w:val="00775448"/>
    <w:rsid w:val="0077676B"/>
    <w:rsid w:val="007801C8"/>
    <w:rsid w:val="00780B85"/>
    <w:rsid w:val="00782782"/>
    <w:rsid w:val="007841E0"/>
    <w:rsid w:val="007852D7"/>
    <w:rsid w:val="007863FC"/>
    <w:rsid w:val="007866DC"/>
    <w:rsid w:val="00791148"/>
    <w:rsid w:val="00791465"/>
    <w:rsid w:val="0079276A"/>
    <w:rsid w:val="0079291B"/>
    <w:rsid w:val="00794271"/>
    <w:rsid w:val="00794AA8"/>
    <w:rsid w:val="007950F3"/>
    <w:rsid w:val="007955C7"/>
    <w:rsid w:val="00795A61"/>
    <w:rsid w:val="00796986"/>
    <w:rsid w:val="00796F39"/>
    <w:rsid w:val="00796F7A"/>
    <w:rsid w:val="00797A49"/>
    <w:rsid w:val="007A094B"/>
    <w:rsid w:val="007A1488"/>
    <w:rsid w:val="007A1A81"/>
    <w:rsid w:val="007A2884"/>
    <w:rsid w:val="007A3705"/>
    <w:rsid w:val="007A39B0"/>
    <w:rsid w:val="007A545E"/>
    <w:rsid w:val="007A7BBE"/>
    <w:rsid w:val="007B196E"/>
    <w:rsid w:val="007B1F09"/>
    <w:rsid w:val="007B566C"/>
    <w:rsid w:val="007B686F"/>
    <w:rsid w:val="007B6CEF"/>
    <w:rsid w:val="007B6D76"/>
    <w:rsid w:val="007C17AD"/>
    <w:rsid w:val="007C247A"/>
    <w:rsid w:val="007C4731"/>
    <w:rsid w:val="007C546A"/>
    <w:rsid w:val="007C5DBE"/>
    <w:rsid w:val="007D0644"/>
    <w:rsid w:val="007D0A2D"/>
    <w:rsid w:val="007D3ACE"/>
    <w:rsid w:val="007D64EC"/>
    <w:rsid w:val="007E05A2"/>
    <w:rsid w:val="007E1089"/>
    <w:rsid w:val="007E1B26"/>
    <w:rsid w:val="007E1F8D"/>
    <w:rsid w:val="007E5E24"/>
    <w:rsid w:val="007F138F"/>
    <w:rsid w:val="007F1E72"/>
    <w:rsid w:val="007F2C37"/>
    <w:rsid w:val="007F4798"/>
    <w:rsid w:val="00800438"/>
    <w:rsid w:val="008019A5"/>
    <w:rsid w:val="00801DD2"/>
    <w:rsid w:val="008020C2"/>
    <w:rsid w:val="008020CD"/>
    <w:rsid w:val="00803543"/>
    <w:rsid w:val="00805AFA"/>
    <w:rsid w:val="00806AFC"/>
    <w:rsid w:val="00810336"/>
    <w:rsid w:val="0081156D"/>
    <w:rsid w:val="00811B30"/>
    <w:rsid w:val="00812D95"/>
    <w:rsid w:val="00813448"/>
    <w:rsid w:val="00813DFD"/>
    <w:rsid w:val="00814EDE"/>
    <w:rsid w:val="0081612B"/>
    <w:rsid w:val="00816ED1"/>
    <w:rsid w:val="00821D82"/>
    <w:rsid w:val="008230F2"/>
    <w:rsid w:val="00823442"/>
    <w:rsid w:val="008242ED"/>
    <w:rsid w:val="00824CF5"/>
    <w:rsid w:val="008276BB"/>
    <w:rsid w:val="00830F6A"/>
    <w:rsid w:val="00832EA6"/>
    <w:rsid w:val="00832FD6"/>
    <w:rsid w:val="0083336E"/>
    <w:rsid w:val="00834066"/>
    <w:rsid w:val="008343B4"/>
    <w:rsid w:val="00836352"/>
    <w:rsid w:val="00837B9A"/>
    <w:rsid w:val="00837E1F"/>
    <w:rsid w:val="008405CE"/>
    <w:rsid w:val="008405CF"/>
    <w:rsid w:val="00841726"/>
    <w:rsid w:val="00841A42"/>
    <w:rsid w:val="008426AA"/>
    <w:rsid w:val="0084295A"/>
    <w:rsid w:val="00843363"/>
    <w:rsid w:val="0084393F"/>
    <w:rsid w:val="00846269"/>
    <w:rsid w:val="0084765D"/>
    <w:rsid w:val="0085080D"/>
    <w:rsid w:val="00851511"/>
    <w:rsid w:val="008536CA"/>
    <w:rsid w:val="008547C2"/>
    <w:rsid w:val="00854A89"/>
    <w:rsid w:val="00855355"/>
    <w:rsid w:val="008557C2"/>
    <w:rsid w:val="00855F97"/>
    <w:rsid w:val="0086080D"/>
    <w:rsid w:val="008634DE"/>
    <w:rsid w:val="008647BD"/>
    <w:rsid w:val="008665C4"/>
    <w:rsid w:val="0086751C"/>
    <w:rsid w:val="008677E3"/>
    <w:rsid w:val="00870B41"/>
    <w:rsid w:val="0087195C"/>
    <w:rsid w:val="00872B06"/>
    <w:rsid w:val="00873C6E"/>
    <w:rsid w:val="00875D5A"/>
    <w:rsid w:val="00875F1E"/>
    <w:rsid w:val="008774D8"/>
    <w:rsid w:val="00880351"/>
    <w:rsid w:val="0088086C"/>
    <w:rsid w:val="00882735"/>
    <w:rsid w:val="00882EFE"/>
    <w:rsid w:val="00885C05"/>
    <w:rsid w:val="00885F6F"/>
    <w:rsid w:val="00890F28"/>
    <w:rsid w:val="00892541"/>
    <w:rsid w:val="0089372D"/>
    <w:rsid w:val="00893E14"/>
    <w:rsid w:val="0089533C"/>
    <w:rsid w:val="00895554"/>
    <w:rsid w:val="008957A8"/>
    <w:rsid w:val="00895A54"/>
    <w:rsid w:val="00896B6A"/>
    <w:rsid w:val="008A0454"/>
    <w:rsid w:val="008A1381"/>
    <w:rsid w:val="008A1A60"/>
    <w:rsid w:val="008A1DE6"/>
    <w:rsid w:val="008A3B56"/>
    <w:rsid w:val="008A4281"/>
    <w:rsid w:val="008A537D"/>
    <w:rsid w:val="008A7240"/>
    <w:rsid w:val="008A7BFC"/>
    <w:rsid w:val="008A7CF7"/>
    <w:rsid w:val="008A7FAD"/>
    <w:rsid w:val="008B100F"/>
    <w:rsid w:val="008B1DA6"/>
    <w:rsid w:val="008B3660"/>
    <w:rsid w:val="008B3BA3"/>
    <w:rsid w:val="008C210D"/>
    <w:rsid w:val="008C3E59"/>
    <w:rsid w:val="008C480D"/>
    <w:rsid w:val="008C4C45"/>
    <w:rsid w:val="008C651B"/>
    <w:rsid w:val="008C6D49"/>
    <w:rsid w:val="008C7138"/>
    <w:rsid w:val="008C7AB8"/>
    <w:rsid w:val="008D2564"/>
    <w:rsid w:val="008D3C26"/>
    <w:rsid w:val="008D502A"/>
    <w:rsid w:val="008E1626"/>
    <w:rsid w:val="008E270C"/>
    <w:rsid w:val="008E51D4"/>
    <w:rsid w:val="008E66F8"/>
    <w:rsid w:val="008E74EF"/>
    <w:rsid w:val="008E7904"/>
    <w:rsid w:val="008E7EFA"/>
    <w:rsid w:val="008F051D"/>
    <w:rsid w:val="008F0FC5"/>
    <w:rsid w:val="008F0FD2"/>
    <w:rsid w:val="008F17A3"/>
    <w:rsid w:val="008F4376"/>
    <w:rsid w:val="008F59AF"/>
    <w:rsid w:val="008F5B07"/>
    <w:rsid w:val="008F61FC"/>
    <w:rsid w:val="008F6EA2"/>
    <w:rsid w:val="008F7468"/>
    <w:rsid w:val="008F74A5"/>
    <w:rsid w:val="00901474"/>
    <w:rsid w:val="009014FD"/>
    <w:rsid w:val="00902AA7"/>
    <w:rsid w:val="00903496"/>
    <w:rsid w:val="00903A37"/>
    <w:rsid w:val="009041F8"/>
    <w:rsid w:val="00904D53"/>
    <w:rsid w:val="00905C49"/>
    <w:rsid w:val="00906C53"/>
    <w:rsid w:val="0090737A"/>
    <w:rsid w:val="009127A4"/>
    <w:rsid w:val="009127CE"/>
    <w:rsid w:val="0091491D"/>
    <w:rsid w:val="0091517B"/>
    <w:rsid w:val="00921597"/>
    <w:rsid w:val="00921696"/>
    <w:rsid w:val="0092525C"/>
    <w:rsid w:val="009257EE"/>
    <w:rsid w:val="009262E3"/>
    <w:rsid w:val="00927E7F"/>
    <w:rsid w:val="009300E6"/>
    <w:rsid w:val="00931856"/>
    <w:rsid w:val="00931957"/>
    <w:rsid w:val="00932259"/>
    <w:rsid w:val="00937B2D"/>
    <w:rsid w:val="00937F6E"/>
    <w:rsid w:val="00940225"/>
    <w:rsid w:val="009429D4"/>
    <w:rsid w:val="00942B4E"/>
    <w:rsid w:val="00943D4D"/>
    <w:rsid w:val="00944464"/>
    <w:rsid w:val="00945BC4"/>
    <w:rsid w:val="009503FE"/>
    <w:rsid w:val="009508A7"/>
    <w:rsid w:val="009516DE"/>
    <w:rsid w:val="009517C8"/>
    <w:rsid w:val="0095291D"/>
    <w:rsid w:val="00954778"/>
    <w:rsid w:val="0095687B"/>
    <w:rsid w:val="00957730"/>
    <w:rsid w:val="00960CDB"/>
    <w:rsid w:val="00962E0E"/>
    <w:rsid w:val="00964882"/>
    <w:rsid w:val="009648F1"/>
    <w:rsid w:val="00964C44"/>
    <w:rsid w:val="00964DFA"/>
    <w:rsid w:val="0096634B"/>
    <w:rsid w:val="0097136D"/>
    <w:rsid w:val="009737E6"/>
    <w:rsid w:val="0097492C"/>
    <w:rsid w:val="00974E2D"/>
    <w:rsid w:val="00975DB5"/>
    <w:rsid w:val="00976A9A"/>
    <w:rsid w:val="00976DCD"/>
    <w:rsid w:val="00976F0D"/>
    <w:rsid w:val="009779E4"/>
    <w:rsid w:val="0098066C"/>
    <w:rsid w:val="009812F2"/>
    <w:rsid w:val="009814B0"/>
    <w:rsid w:val="009816DB"/>
    <w:rsid w:val="00981871"/>
    <w:rsid w:val="0098236A"/>
    <w:rsid w:val="00984181"/>
    <w:rsid w:val="0098571F"/>
    <w:rsid w:val="00987780"/>
    <w:rsid w:val="0099005D"/>
    <w:rsid w:val="00992333"/>
    <w:rsid w:val="00992B0D"/>
    <w:rsid w:val="009969E0"/>
    <w:rsid w:val="00996B5C"/>
    <w:rsid w:val="009A0545"/>
    <w:rsid w:val="009A0B4E"/>
    <w:rsid w:val="009A1EC2"/>
    <w:rsid w:val="009A36AF"/>
    <w:rsid w:val="009A3E97"/>
    <w:rsid w:val="009A591E"/>
    <w:rsid w:val="009A664E"/>
    <w:rsid w:val="009A77E7"/>
    <w:rsid w:val="009B1B5C"/>
    <w:rsid w:val="009B306D"/>
    <w:rsid w:val="009B456B"/>
    <w:rsid w:val="009B5983"/>
    <w:rsid w:val="009B7B65"/>
    <w:rsid w:val="009C052D"/>
    <w:rsid w:val="009C09A0"/>
    <w:rsid w:val="009C2135"/>
    <w:rsid w:val="009C323D"/>
    <w:rsid w:val="009C36F1"/>
    <w:rsid w:val="009C3E3C"/>
    <w:rsid w:val="009C4F54"/>
    <w:rsid w:val="009C5271"/>
    <w:rsid w:val="009C63A4"/>
    <w:rsid w:val="009C63D5"/>
    <w:rsid w:val="009C6B5F"/>
    <w:rsid w:val="009C787C"/>
    <w:rsid w:val="009C7FC6"/>
    <w:rsid w:val="009D161A"/>
    <w:rsid w:val="009D1693"/>
    <w:rsid w:val="009D1BCC"/>
    <w:rsid w:val="009D4AB7"/>
    <w:rsid w:val="009D5302"/>
    <w:rsid w:val="009D62F3"/>
    <w:rsid w:val="009D754F"/>
    <w:rsid w:val="009E1896"/>
    <w:rsid w:val="009E1980"/>
    <w:rsid w:val="009E1ACC"/>
    <w:rsid w:val="009E2833"/>
    <w:rsid w:val="009E2BB3"/>
    <w:rsid w:val="009E325E"/>
    <w:rsid w:val="009E3484"/>
    <w:rsid w:val="009E569F"/>
    <w:rsid w:val="009E5FDA"/>
    <w:rsid w:val="009E646F"/>
    <w:rsid w:val="009E722E"/>
    <w:rsid w:val="009E776E"/>
    <w:rsid w:val="009F001A"/>
    <w:rsid w:val="009F1760"/>
    <w:rsid w:val="009F2169"/>
    <w:rsid w:val="009F4396"/>
    <w:rsid w:val="009F543F"/>
    <w:rsid w:val="009F5D93"/>
    <w:rsid w:val="009F6F14"/>
    <w:rsid w:val="009F7433"/>
    <w:rsid w:val="00A00F3C"/>
    <w:rsid w:val="00A0144A"/>
    <w:rsid w:val="00A02844"/>
    <w:rsid w:val="00A034F2"/>
    <w:rsid w:val="00A042CC"/>
    <w:rsid w:val="00A06BF5"/>
    <w:rsid w:val="00A07096"/>
    <w:rsid w:val="00A076B8"/>
    <w:rsid w:val="00A07E9C"/>
    <w:rsid w:val="00A11066"/>
    <w:rsid w:val="00A1196D"/>
    <w:rsid w:val="00A11A36"/>
    <w:rsid w:val="00A122F8"/>
    <w:rsid w:val="00A12914"/>
    <w:rsid w:val="00A12EEB"/>
    <w:rsid w:val="00A14173"/>
    <w:rsid w:val="00A167B8"/>
    <w:rsid w:val="00A17060"/>
    <w:rsid w:val="00A17EA6"/>
    <w:rsid w:val="00A17ED7"/>
    <w:rsid w:val="00A20492"/>
    <w:rsid w:val="00A2185E"/>
    <w:rsid w:val="00A21919"/>
    <w:rsid w:val="00A26027"/>
    <w:rsid w:val="00A26381"/>
    <w:rsid w:val="00A31C08"/>
    <w:rsid w:val="00A32889"/>
    <w:rsid w:val="00A331C2"/>
    <w:rsid w:val="00A36A40"/>
    <w:rsid w:val="00A36D42"/>
    <w:rsid w:val="00A406EA"/>
    <w:rsid w:val="00A4092B"/>
    <w:rsid w:val="00A414A1"/>
    <w:rsid w:val="00A41BC0"/>
    <w:rsid w:val="00A42893"/>
    <w:rsid w:val="00A42906"/>
    <w:rsid w:val="00A43E5D"/>
    <w:rsid w:val="00A45490"/>
    <w:rsid w:val="00A4723D"/>
    <w:rsid w:val="00A47250"/>
    <w:rsid w:val="00A5180C"/>
    <w:rsid w:val="00A521EE"/>
    <w:rsid w:val="00A5336D"/>
    <w:rsid w:val="00A5427C"/>
    <w:rsid w:val="00A54869"/>
    <w:rsid w:val="00A603C3"/>
    <w:rsid w:val="00A61267"/>
    <w:rsid w:val="00A637BA"/>
    <w:rsid w:val="00A63829"/>
    <w:rsid w:val="00A64250"/>
    <w:rsid w:val="00A64FD8"/>
    <w:rsid w:val="00A6550F"/>
    <w:rsid w:val="00A675B2"/>
    <w:rsid w:val="00A67C97"/>
    <w:rsid w:val="00A711F9"/>
    <w:rsid w:val="00A71783"/>
    <w:rsid w:val="00A719FE"/>
    <w:rsid w:val="00A73F16"/>
    <w:rsid w:val="00A74937"/>
    <w:rsid w:val="00A75B8E"/>
    <w:rsid w:val="00A80111"/>
    <w:rsid w:val="00A81DF8"/>
    <w:rsid w:val="00A82B55"/>
    <w:rsid w:val="00A83F39"/>
    <w:rsid w:val="00A84210"/>
    <w:rsid w:val="00A85465"/>
    <w:rsid w:val="00A865DF"/>
    <w:rsid w:val="00A866AE"/>
    <w:rsid w:val="00A878A5"/>
    <w:rsid w:val="00A92225"/>
    <w:rsid w:val="00A9381F"/>
    <w:rsid w:val="00A958D5"/>
    <w:rsid w:val="00A95B9A"/>
    <w:rsid w:val="00A95CB4"/>
    <w:rsid w:val="00A96666"/>
    <w:rsid w:val="00A976E6"/>
    <w:rsid w:val="00AA00D8"/>
    <w:rsid w:val="00AA11F0"/>
    <w:rsid w:val="00AA19C1"/>
    <w:rsid w:val="00AA26FB"/>
    <w:rsid w:val="00AA32DA"/>
    <w:rsid w:val="00AA3805"/>
    <w:rsid w:val="00AA45A4"/>
    <w:rsid w:val="00AA4712"/>
    <w:rsid w:val="00AA4FAB"/>
    <w:rsid w:val="00AA65F4"/>
    <w:rsid w:val="00AA7A71"/>
    <w:rsid w:val="00AB01B3"/>
    <w:rsid w:val="00AB1B2B"/>
    <w:rsid w:val="00AB43EE"/>
    <w:rsid w:val="00AB4F07"/>
    <w:rsid w:val="00AB5121"/>
    <w:rsid w:val="00AB51EA"/>
    <w:rsid w:val="00AB6F0C"/>
    <w:rsid w:val="00AC1EC5"/>
    <w:rsid w:val="00AC49B5"/>
    <w:rsid w:val="00AC4AC4"/>
    <w:rsid w:val="00AC7F40"/>
    <w:rsid w:val="00AC7FDF"/>
    <w:rsid w:val="00AD046B"/>
    <w:rsid w:val="00AD0544"/>
    <w:rsid w:val="00AD061A"/>
    <w:rsid w:val="00AE099A"/>
    <w:rsid w:val="00AE154F"/>
    <w:rsid w:val="00AE18E1"/>
    <w:rsid w:val="00AE1EE1"/>
    <w:rsid w:val="00AE207E"/>
    <w:rsid w:val="00AE2782"/>
    <w:rsid w:val="00AE2C20"/>
    <w:rsid w:val="00AE3DAE"/>
    <w:rsid w:val="00AE412E"/>
    <w:rsid w:val="00AE5E46"/>
    <w:rsid w:val="00AF05EC"/>
    <w:rsid w:val="00AF2AE0"/>
    <w:rsid w:val="00AF399D"/>
    <w:rsid w:val="00AF3D6B"/>
    <w:rsid w:val="00AF4917"/>
    <w:rsid w:val="00AF4DC9"/>
    <w:rsid w:val="00AF6292"/>
    <w:rsid w:val="00AF680F"/>
    <w:rsid w:val="00AF6DF0"/>
    <w:rsid w:val="00B00514"/>
    <w:rsid w:val="00B00C04"/>
    <w:rsid w:val="00B01C2D"/>
    <w:rsid w:val="00B01FAF"/>
    <w:rsid w:val="00B039F6"/>
    <w:rsid w:val="00B04260"/>
    <w:rsid w:val="00B04A4E"/>
    <w:rsid w:val="00B0511A"/>
    <w:rsid w:val="00B05831"/>
    <w:rsid w:val="00B05D39"/>
    <w:rsid w:val="00B100BE"/>
    <w:rsid w:val="00B11284"/>
    <w:rsid w:val="00B11F80"/>
    <w:rsid w:val="00B13A6B"/>
    <w:rsid w:val="00B14FF9"/>
    <w:rsid w:val="00B15D9A"/>
    <w:rsid w:val="00B160F4"/>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E8"/>
    <w:rsid w:val="00B3323A"/>
    <w:rsid w:val="00B3425D"/>
    <w:rsid w:val="00B34ECD"/>
    <w:rsid w:val="00B36188"/>
    <w:rsid w:val="00B36696"/>
    <w:rsid w:val="00B418D6"/>
    <w:rsid w:val="00B446F9"/>
    <w:rsid w:val="00B47A50"/>
    <w:rsid w:val="00B50382"/>
    <w:rsid w:val="00B512A3"/>
    <w:rsid w:val="00B51F04"/>
    <w:rsid w:val="00B53331"/>
    <w:rsid w:val="00B545EC"/>
    <w:rsid w:val="00B559B2"/>
    <w:rsid w:val="00B565D4"/>
    <w:rsid w:val="00B56BAF"/>
    <w:rsid w:val="00B56D2F"/>
    <w:rsid w:val="00B56DA8"/>
    <w:rsid w:val="00B57BF8"/>
    <w:rsid w:val="00B60E51"/>
    <w:rsid w:val="00B622B8"/>
    <w:rsid w:val="00B63F7F"/>
    <w:rsid w:val="00B64AB2"/>
    <w:rsid w:val="00B6537F"/>
    <w:rsid w:val="00B65433"/>
    <w:rsid w:val="00B65D0C"/>
    <w:rsid w:val="00B65DEE"/>
    <w:rsid w:val="00B673D7"/>
    <w:rsid w:val="00B71571"/>
    <w:rsid w:val="00B715B1"/>
    <w:rsid w:val="00B760FC"/>
    <w:rsid w:val="00B7619E"/>
    <w:rsid w:val="00B76AD4"/>
    <w:rsid w:val="00B77677"/>
    <w:rsid w:val="00B77BF3"/>
    <w:rsid w:val="00B83257"/>
    <w:rsid w:val="00B8381D"/>
    <w:rsid w:val="00B84964"/>
    <w:rsid w:val="00B849F3"/>
    <w:rsid w:val="00B85F87"/>
    <w:rsid w:val="00B879FE"/>
    <w:rsid w:val="00B9092D"/>
    <w:rsid w:val="00B91527"/>
    <w:rsid w:val="00B92377"/>
    <w:rsid w:val="00B92470"/>
    <w:rsid w:val="00B929D1"/>
    <w:rsid w:val="00B93AC6"/>
    <w:rsid w:val="00B95349"/>
    <w:rsid w:val="00B955C0"/>
    <w:rsid w:val="00B95B9C"/>
    <w:rsid w:val="00B961E2"/>
    <w:rsid w:val="00BA0067"/>
    <w:rsid w:val="00BA0F9A"/>
    <w:rsid w:val="00BA2179"/>
    <w:rsid w:val="00BA65AC"/>
    <w:rsid w:val="00BB19B8"/>
    <w:rsid w:val="00BB2985"/>
    <w:rsid w:val="00BC0A20"/>
    <w:rsid w:val="00BC21A0"/>
    <w:rsid w:val="00BC31FE"/>
    <w:rsid w:val="00BC4EF3"/>
    <w:rsid w:val="00BC77C0"/>
    <w:rsid w:val="00BD09E6"/>
    <w:rsid w:val="00BD0B25"/>
    <w:rsid w:val="00BD194B"/>
    <w:rsid w:val="00BD1B92"/>
    <w:rsid w:val="00BD234D"/>
    <w:rsid w:val="00BD2561"/>
    <w:rsid w:val="00BD5DCD"/>
    <w:rsid w:val="00BD616D"/>
    <w:rsid w:val="00BD6C4D"/>
    <w:rsid w:val="00BE0997"/>
    <w:rsid w:val="00BE1907"/>
    <w:rsid w:val="00BE1A97"/>
    <w:rsid w:val="00BE1D11"/>
    <w:rsid w:val="00BE3AF3"/>
    <w:rsid w:val="00BE485B"/>
    <w:rsid w:val="00BE69BC"/>
    <w:rsid w:val="00BE6A74"/>
    <w:rsid w:val="00BE7CB9"/>
    <w:rsid w:val="00BE7D08"/>
    <w:rsid w:val="00BF0840"/>
    <w:rsid w:val="00BF0DFF"/>
    <w:rsid w:val="00BF22B8"/>
    <w:rsid w:val="00BF2603"/>
    <w:rsid w:val="00BF51CE"/>
    <w:rsid w:val="00BF6541"/>
    <w:rsid w:val="00C016CF"/>
    <w:rsid w:val="00C01A0D"/>
    <w:rsid w:val="00C028D9"/>
    <w:rsid w:val="00C036E4"/>
    <w:rsid w:val="00C037E7"/>
    <w:rsid w:val="00C038B8"/>
    <w:rsid w:val="00C03B35"/>
    <w:rsid w:val="00C06574"/>
    <w:rsid w:val="00C06F31"/>
    <w:rsid w:val="00C10492"/>
    <w:rsid w:val="00C11EE9"/>
    <w:rsid w:val="00C12B8C"/>
    <w:rsid w:val="00C155D9"/>
    <w:rsid w:val="00C21058"/>
    <w:rsid w:val="00C2211D"/>
    <w:rsid w:val="00C2344F"/>
    <w:rsid w:val="00C246F2"/>
    <w:rsid w:val="00C26707"/>
    <w:rsid w:val="00C27719"/>
    <w:rsid w:val="00C31BCD"/>
    <w:rsid w:val="00C320EB"/>
    <w:rsid w:val="00C32F7B"/>
    <w:rsid w:val="00C3513F"/>
    <w:rsid w:val="00C355AA"/>
    <w:rsid w:val="00C36223"/>
    <w:rsid w:val="00C40725"/>
    <w:rsid w:val="00C4207E"/>
    <w:rsid w:val="00C451A3"/>
    <w:rsid w:val="00C4577E"/>
    <w:rsid w:val="00C50C8F"/>
    <w:rsid w:val="00C51156"/>
    <w:rsid w:val="00C53FD7"/>
    <w:rsid w:val="00C55C61"/>
    <w:rsid w:val="00C56103"/>
    <w:rsid w:val="00C57047"/>
    <w:rsid w:val="00C64F44"/>
    <w:rsid w:val="00C650ED"/>
    <w:rsid w:val="00C65132"/>
    <w:rsid w:val="00C65F6A"/>
    <w:rsid w:val="00C67F3E"/>
    <w:rsid w:val="00C70CD5"/>
    <w:rsid w:val="00C7216F"/>
    <w:rsid w:val="00C730E4"/>
    <w:rsid w:val="00C73911"/>
    <w:rsid w:val="00C73BB8"/>
    <w:rsid w:val="00C74CC5"/>
    <w:rsid w:val="00C76B48"/>
    <w:rsid w:val="00C76CC4"/>
    <w:rsid w:val="00C77815"/>
    <w:rsid w:val="00C823C5"/>
    <w:rsid w:val="00C82D42"/>
    <w:rsid w:val="00C8322A"/>
    <w:rsid w:val="00C83583"/>
    <w:rsid w:val="00C84B12"/>
    <w:rsid w:val="00C869BC"/>
    <w:rsid w:val="00C8737E"/>
    <w:rsid w:val="00C87F6F"/>
    <w:rsid w:val="00C9243B"/>
    <w:rsid w:val="00C953C0"/>
    <w:rsid w:val="00C96E5A"/>
    <w:rsid w:val="00C97ACC"/>
    <w:rsid w:val="00CA1481"/>
    <w:rsid w:val="00CA181F"/>
    <w:rsid w:val="00CA2A54"/>
    <w:rsid w:val="00CA3219"/>
    <w:rsid w:val="00CB01EB"/>
    <w:rsid w:val="00CB0DFA"/>
    <w:rsid w:val="00CB250C"/>
    <w:rsid w:val="00CB34D5"/>
    <w:rsid w:val="00CB5894"/>
    <w:rsid w:val="00CB6CB0"/>
    <w:rsid w:val="00CC134C"/>
    <w:rsid w:val="00CC36F9"/>
    <w:rsid w:val="00CC3E8F"/>
    <w:rsid w:val="00CD0BA2"/>
    <w:rsid w:val="00CD18DE"/>
    <w:rsid w:val="00CD643B"/>
    <w:rsid w:val="00CE0D42"/>
    <w:rsid w:val="00CE19D1"/>
    <w:rsid w:val="00CE23EF"/>
    <w:rsid w:val="00CE6197"/>
    <w:rsid w:val="00CE6490"/>
    <w:rsid w:val="00CE6BEE"/>
    <w:rsid w:val="00CE702E"/>
    <w:rsid w:val="00CE7723"/>
    <w:rsid w:val="00CF088A"/>
    <w:rsid w:val="00CF1AEC"/>
    <w:rsid w:val="00CF38F2"/>
    <w:rsid w:val="00CF5CD7"/>
    <w:rsid w:val="00CF79DF"/>
    <w:rsid w:val="00D00702"/>
    <w:rsid w:val="00D01E61"/>
    <w:rsid w:val="00D02296"/>
    <w:rsid w:val="00D02B99"/>
    <w:rsid w:val="00D0306C"/>
    <w:rsid w:val="00D034FA"/>
    <w:rsid w:val="00D04978"/>
    <w:rsid w:val="00D04EFE"/>
    <w:rsid w:val="00D058AC"/>
    <w:rsid w:val="00D06027"/>
    <w:rsid w:val="00D0751A"/>
    <w:rsid w:val="00D078F8"/>
    <w:rsid w:val="00D07D25"/>
    <w:rsid w:val="00D110F0"/>
    <w:rsid w:val="00D116BA"/>
    <w:rsid w:val="00D12852"/>
    <w:rsid w:val="00D13010"/>
    <w:rsid w:val="00D133F0"/>
    <w:rsid w:val="00D143ED"/>
    <w:rsid w:val="00D16C5A"/>
    <w:rsid w:val="00D16DAA"/>
    <w:rsid w:val="00D17711"/>
    <w:rsid w:val="00D17E12"/>
    <w:rsid w:val="00D21B84"/>
    <w:rsid w:val="00D22983"/>
    <w:rsid w:val="00D25359"/>
    <w:rsid w:val="00D25E7D"/>
    <w:rsid w:val="00D26D6A"/>
    <w:rsid w:val="00D27842"/>
    <w:rsid w:val="00D30628"/>
    <w:rsid w:val="00D30CEE"/>
    <w:rsid w:val="00D31D6C"/>
    <w:rsid w:val="00D32B3D"/>
    <w:rsid w:val="00D32D86"/>
    <w:rsid w:val="00D33C8D"/>
    <w:rsid w:val="00D37148"/>
    <w:rsid w:val="00D37A00"/>
    <w:rsid w:val="00D40860"/>
    <w:rsid w:val="00D4280D"/>
    <w:rsid w:val="00D42B76"/>
    <w:rsid w:val="00D43787"/>
    <w:rsid w:val="00D447D8"/>
    <w:rsid w:val="00D450B5"/>
    <w:rsid w:val="00D45623"/>
    <w:rsid w:val="00D45942"/>
    <w:rsid w:val="00D45968"/>
    <w:rsid w:val="00D468AF"/>
    <w:rsid w:val="00D470FA"/>
    <w:rsid w:val="00D47F57"/>
    <w:rsid w:val="00D5074B"/>
    <w:rsid w:val="00D50983"/>
    <w:rsid w:val="00D53B35"/>
    <w:rsid w:val="00D5648F"/>
    <w:rsid w:val="00D56875"/>
    <w:rsid w:val="00D56E3B"/>
    <w:rsid w:val="00D57CC2"/>
    <w:rsid w:val="00D616EC"/>
    <w:rsid w:val="00D648BA"/>
    <w:rsid w:val="00D66A4D"/>
    <w:rsid w:val="00D724E1"/>
    <w:rsid w:val="00D76A95"/>
    <w:rsid w:val="00D801E1"/>
    <w:rsid w:val="00D82515"/>
    <w:rsid w:val="00D82682"/>
    <w:rsid w:val="00D82E21"/>
    <w:rsid w:val="00D840E2"/>
    <w:rsid w:val="00D846FE"/>
    <w:rsid w:val="00D860CB"/>
    <w:rsid w:val="00D87C68"/>
    <w:rsid w:val="00D900B8"/>
    <w:rsid w:val="00D92783"/>
    <w:rsid w:val="00D92B70"/>
    <w:rsid w:val="00D92D3B"/>
    <w:rsid w:val="00D9456A"/>
    <w:rsid w:val="00D94B4E"/>
    <w:rsid w:val="00D94DBD"/>
    <w:rsid w:val="00DA00BB"/>
    <w:rsid w:val="00DA21CC"/>
    <w:rsid w:val="00DA38F9"/>
    <w:rsid w:val="00DA776D"/>
    <w:rsid w:val="00DA7AAB"/>
    <w:rsid w:val="00DB0815"/>
    <w:rsid w:val="00DB1859"/>
    <w:rsid w:val="00DB6676"/>
    <w:rsid w:val="00DC09CB"/>
    <w:rsid w:val="00DC2607"/>
    <w:rsid w:val="00DC2ABE"/>
    <w:rsid w:val="00DC4C8B"/>
    <w:rsid w:val="00DC59DE"/>
    <w:rsid w:val="00DC7217"/>
    <w:rsid w:val="00DC79BB"/>
    <w:rsid w:val="00DD11EB"/>
    <w:rsid w:val="00DD1B8B"/>
    <w:rsid w:val="00DD1F32"/>
    <w:rsid w:val="00DD23D6"/>
    <w:rsid w:val="00DD4855"/>
    <w:rsid w:val="00DD75C4"/>
    <w:rsid w:val="00DE1FBA"/>
    <w:rsid w:val="00DE4550"/>
    <w:rsid w:val="00DE55DE"/>
    <w:rsid w:val="00DE5968"/>
    <w:rsid w:val="00DE6A2A"/>
    <w:rsid w:val="00DF0C93"/>
    <w:rsid w:val="00DF1227"/>
    <w:rsid w:val="00DF131F"/>
    <w:rsid w:val="00DF2C98"/>
    <w:rsid w:val="00DF77FD"/>
    <w:rsid w:val="00DF7AB6"/>
    <w:rsid w:val="00DF7F19"/>
    <w:rsid w:val="00E00DCA"/>
    <w:rsid w:val="00E00F55"/>
    <w:rsid w:val="00E033B7"/>
    <w:rsid w:val="00E038DB"/>
    <w:rsid w:val="00E04E8E"/>
    <w:rsid w:val="00E04FFB"/>
    <w:rsid w:val="00E05EEE"/>
    <w:rsid w:val="00E065DD"/>
    <w:rsid w:val="00E075A8"/>
    <w:rsid w:val="00E07D5A"/>
    <w:rsid w:val="00E10454"/>
    <w:rsid w:val="00E105EE"/>
    <w:rsid w:val="00E1088B"/>
    <w:rsid w:val="00E10D91"/>
    <w:rsid w:val="00E119FA"/>
    <w:rsid w:val="00E134FC"/>
    <w:rsid w:val="00E13971"/>
    <w:rsid w:val="00E1436B"/>
    <w:rsid w:val="00E14F22"/>
    <w:rsid w:val="00E151BD"/>
    <w:rsid w:val="00E170FA"/>
    <w:rsid w:val="00E2020E"/>
    <w:rsid w:val="00E20C3D"/>
    <w:rsid w:val="00E20D15"/>
    <w:rsid w:val="00E2425B"/>
    <w:rsid w:val="00E25A13"/>
    <w:rsid w:val="00E26F75"/>
    <w:rsid w:val="00E270FC"/>
    <w:rsid w:val="00E3064C"/>
    <w:rsid w:val="00E33007"/>
    <w:rsid w:val="00E34483"/>
    <w:rsid w:val="00E3456D"/>
    <w:rsid w:val="00E406B2"/>
    <w:rsid w:val="00E4190D"/>
    <w:rsid w:val="00E44987"/>
    <w:rsid w:val="00E44F34"/>
    <w:rsid w:val="00E45859"/>
    <w:rsid w:val="00E47666"/>
    <w:rsid w:val="00E47C2B"/>
    <w:rsid w:val="00E504E9"/>
    <w:rsid w:val="00E507A9"/>
    <w:rsid w:val="00E5253D"/>
    <w:rsid w:val="00E53860"/>
    <w:rsid w:val="00E53CE4"/>
    <w:rsid w:val="00E554E7"/>
    <w:rsid w:val="00E5688C"/>
    <w:rsid w:val="00E57C72"/>
    <w:rsid w:val="00E60AEE"/>
    <w:rsid w:val="00E62CFA"/>
    <w:rsid w:val="00E6547E"/>
    <w:rsid w:val="00E65E36"/>
    <w:rsid w:val="00E669A1"/>
    <w:rsid w:val="00E67625"/>
    <w:rsid w:val="00E700D9"/>
    <w:rsid w:val="00E75FF6"/>
    <w:rsid w:val="00E77A6F"/>
    <w:rsid w:val="00E821A3"/>
    <w:rsid w:val="00E8390A"/>
    <w:rsid w:val="00E83A3B"/>
    <w:rsid w:val="00E901D7"/>
    <w:rsid w:val="00E9172D"/>
    <w:rsid w:val="00E922BE"/>
    <w:rsid w:val="00E9258D"/>
    <w:rsid w:val="00E9268E"/>
    <w:rsid w:val="00E92B00"/>
    <w:rsid w:val="00E9368B"/>
    <w:rsid w:val="00E94D9A"/>
    <w:rsid w:val="00E953FA"/>
    <w:rsid w:val="00E97E28"/>
    <w:rsid w:val="00EA484D"/>
    <w:rsid w:val="00EA4A96"/>
    <w:rsid w:val="00EB1A14"/>
    <w:rsid w:val="00EB3B0A"/>
    <w:rsid w:val="00EB3DAC"/>
    <w:rsid w:val="00EB4093"/>
    <w:rsid w:val="00EB46F3"/>
    <w:rsid w:val="00EB4958"/>
    <w:rsid w:val="00EC1371"/>
    <w:rsid w:val="00EC2445"/>
    <w:rsid w:val="00EC33B2"/>
    <w:rsid w:val="00EC3796"/>
    <w:rsid w:val="00EC41A4"/>
    <w:rsid w:val="00EC5B90"/>
    <w:rsid w:val="00EC5D73"/>
    <w:rsid w:val="00EC5D78"/>
    <w:rsid w:val="00EC6563"/>
    <w:rsid w:val="00EC7294"/>
    <w:rsid w:val="00EC7555"/>
    <w:rsid w:val="00EC7728"/>
    <w:rsid w:val="00ED0109"/>
    <w:rsid w:val="00ED0680"/>
    <w:rsid w:val="00ED10A6"/>
    <w:rsid w:val="00ED27B9"/>
    <w:rsid w:val="00ED2905"/>
    <w:rsid w:val="00ED3D65"/>
    <w:rsid w:val="00ED7E7A"/>
    <w:rsid w:val="00EE0D8C"/>
    <w:rsid w:val="00EE149D"/>
    <w:rsid w:val="00EE172B"/>
    <w:rsid w:val="00EE3F56"/>
    <w:rsid w:val="00EE4BB2"/>
    <w:rsid w:val="00EE560A"/>
    <w:rsid w:val="00EE6B47"/>
    <w:rsid w:val="00EE733B"/>
    <w:rsid w:val="00EE7A94"/>
    <w:rsid w:val="00EE7B6D"/>
    <w:rsid w:val="00EF031A"/>
    <w:rsid w:val="00EF12CB"/>
    <w:rsid w:val="00EF13A5"/>
    <w:rsid w:val="00EF1724"/>
    <w:rsid w:val="00EF1AA9"/>
    <w:rsid w:val="00EF1B4E"/>
    <w:rsid w:val="00EF1CC2"/>
    <w:rsid w:val="00EF5079"/>
    <w:rsid w:val="00EF7871"/>
    <w:rsid w:val="00EF7A77"/>
    <w:rsid w:val="00EF7DE3"/>
    <w:rsid w:val="00F006C9"/>
    <w:rsid w:val="00F02F54"/>
    <w:rsid w:val="00F03638"/>
    <w:rsid w:val="00F03722"/>
    <w:rsid w:val="00F039ED"/>
    <w:rsid w:val="00F03F16"/>
    <w:rsid w:val="00F046F8"/>
    <w:rsid w:val="00F0620D"/>
    <w:rsid w:val="00F07ECC"/>
    <w:rsid w:val="00F10116"/>
    <w:rsid w:val="00F10965"/>
    <w:rsid w:val="00F11B23"/>
    <w:rsid w:val="00F1344F"/>
    <w:rsid w:val="00F13688"/>
    <w:rsid w:val="00F13850"/>
    <w:rsid w:val="00F13A34"/>
    <w:rsid w:val="00F146CB"/>
    <w:rsid w:val="00F14B1E"/>
    <w:rsid w:val="00F15D92"/>
    <w:rsid w:val="00F220EF"/>
    <w:rsid w:val="00F2298C"/>
    <w:rsid w:val="00F24CF2"/>
    <w:rsid w:val="00F25235"/>
    <w:rsid w:val="00F254F6"/>
    <w:rsid w:val="00F3022D"/>
    <w:rsid w:val="00F30708"/>
    <w:rsid w:val="00F31B3B"/>
    <w:rsid w:val="00F31E35"/>
    <w:rsid w:val="00F3228A"/>
    <w:rsid w:val="00F3395E"/>
    <w:rsid w:val="00F33A72"/>
    <w:rsid w:val="00F3415D"/>
    <w:rsid w:val="00F363F1"/>
    <w:rsid w:val="00F37256"/>
    <w:rsid w:val="00F43C1E"/>
    <w:rsid w:val="00F43DFC"/>
    <w:rsid w:val="00F45E5A"/>
    <w:rsid w:val="00F54740"/>
    <w:rsid w:val="00F57A3E"/>
    <w:rsid w:val="00F6040B"/>
    <w:rsid w:val="00F62899"/>
    <w:rsid w:val="00F637A9"/>
    <w:rsid w:val="00F63A4A"/>
    <w:rsid w:val="00F63E31"/>
    <w:rsid w:val="00F645AE"/>
    <w:rsid w:val="00F67D00"/>
    <w:rsid w:val="00F67D2C"/>
    <w:rsid w:val="00F70011"/>
    <w:rsid w:val="00F7087E"/>
    <w:rsid w:val="00F720FA"/>
    <w:rsid w:val="00F733B2"/>
    <w:rsid w:val="00F75DF6"/>
    <w:rsid w:val="00F772EA"/>
    <w:rsid w:val="00F77698"/>
    <w:rsid w:val="00F83BC2"/>
    <w:rsid w:val="00F84ED2"/>
    <w:rsid w:val="00F87B43"/>
    <w:rsid w:val="00F90290"/>
    <w:rsid w:val="00F915B8"/>
    <w:rsid w:val="00F91B3B"/>
    <w:rsid w:val="00F94EC0"/>
    <w:rsid w:val="00F976C6"/>
    <w:rsid w:val="00FA0C52"/>
    <w:rsid w:val="00FA215D"/>
    <w:rsid w:val="00FA2451"/>
    <w:rsid w:val="00FA457D"/>
    <w:rsid w:val="00FA6E33"/>
    <w:rsid w:val="00FA72B1"/>
    <w:rsid w:val="00FB21BA"/>
    <w:rsid w:val="00FC479C"/>
    <w:rsid w:val="00FC6E57"/>
    <w:rsid w:val="00FC7151"/>
    <w:rsid w:val="00FD0C02"/>
    <w:rsid w:val="00FD1FCF"/>
    <w:rsid w:val="00FD282F"/>
    <w:rsid w:val="00FD6EAA"/>
    <w:rsid w:val="00FE0ABB"/>
    <w:rsid w:val="00FE141F"/>
    <w:rsid w:val="00FE20F0"/>
    <w:rsid w:val="00FE536D"/>
    <w:rsid w:val="00FE7911"/>
    <w:rsid w:val="00FF1735"/>
    <w:rsid w:val="00FF31C9"/>
    <w:rsid w:val="00FF3D51"/>
    <w:rsid w:val="00FF5B7E"/>
    <w:rsid w:val="00FF663F"/>
    <w:rsid w:val="00FF7090"/>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EndnoteText">
    <w:name w:val="endnote text"/>
    <w:basedOn w:val="Normal"/>
    <w:link w:val="EndnoteTextChar"/>
    <w:uiPriority w:val="99"/>
    <w:semiHidden/>
    <w:unhideWhenUsed/>
    <w:rsid w:val="007A094B"/>
    <w:pPr>
      <w:spacing w:line="240" w:lineRule="auto"/>
    </w:pPr>
    <w:rPr>
      <w:sz w:val="20"/>
      <w:szCs w:val="20"/>
    </w:rPr>
  </w:style>
  <w:style w:type="character" w:customStyle="1" w:styleId="EndnoteTextChar">
    <w:name w:val="Endnote Text Char"/>
    <w:basedOn w:val="DefaultParagraphFont"/>
    <w:link w:val="EndnoteText"/>
    <w:uiPriority w:val="99"/>
    <w:semiHidden/>
    <w:rsid w:val="007A094B"/>
    <w:rPr>
      <w:sz w:val="20"/>
      <w:szCs w:val="20"/>
    </w:rPr>
  </w:style>
  <w:style w:type="character" w:styleId="EndnoteReference">
    <w:name w:val="endnote reference"/>
    <w:basedOn w:val="DefaultParagraphFont"/>
    <w:uiPriority w:val="99"/>
    <w:semiHidden/>
    <w:unhideWhenUsed/>
    <w:rsid w:val="007A094B"/>
    <w:rPr>
      <w:vertAlign w:val="superscript"/>
    </w:rPr>
  </w:style>
  <w:style w:type="paragraph" w:styleId="BalloonText">
    <w:name w:val="Balloon Text"/>
    <w:basedOn w:val="Normal"/>
    <w:link w:val="BalloonTextChar"/>
    <w:uiPriority w:val="99"/>
    <w:semiHidden/>
    <w:unhideWhenUsed/>
    <w:rsid w:val="00FF5B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9CBC-771A-416B-B257-8C46C828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cp:lastPrinted>2022-04-13T12:35:00Z</cp:lastPrinted>
  <dcterms:created xsi:type="dcterms:W3CDTF">2022-07-21T09:05:00Z</dcterms:created>
  <dcterms:modified xsi:type="dcterms:W3CDTF">2022-07-21T09:05:00Z</dcterms:modified>
</cp:coreProperties>
</file>