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B3CA" w14:textId="77777777" w:rsidR="00D275D6" w:rsidRDefault="008E4EF3" w:rsidP="00D275D6">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6DE51B48" wp14:editId="09547AA4">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D275D6">
        <w:rPr>
          <w:noProof/>
          <w:lang w:eastAsia="en-ZA"/>
        </w:rPr>
        <mc:AlternateContent>
          <mc:Choice Requires="wps">
            <w:drawing>
              <wp:inline distT="0" distB="0" distL="0" distR="0" wp14:anchorId="08F1A532" wp14:editId="395B2ACF">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FE9AE"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eastAsia="en-ZA"/>
        </w:rPr>
        <mc:AlternateContent>
          <mc:Choice Requires="wps">
            <w:drawing>
              <wp:inline distT="0" distB="0" distL="0" distR="0" wp14:anchorId="79861126" wp14:editId="274CE9B9">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6CF77"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14:paraId="5C70B022" w14:textId="5486BF6F" w:rsidR="00F7134F" w:rsidRPr="002322FF" w:rsidRDefault="00F7134F" w:rsidP="00F7134F">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p>
    <w:p w14:paraId="428075EC" w14:textId="680F43B4" w:rsidR="00C95E68" w:rsidRPr="002322FF" w:rsidRDefault="00C95E68" w:rsidP="00D275D6">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sidR="00F7134F">
        <w:rPr>
          <w:rFonts w:ascii="Arial" w:hAnsi="Arial" w:cs="Arial"/>
          <w:b/>
          <w:sz w:val="24"/>
          <w:szCs w:val="24"/>
        </w:rPr>
        <w:t>MAKHANDA</w:t>
      </w:r>
      <w:r w:rsidRPr="002322FF">
        <w:rPr>
          <w:rFonts w:ascii="Arial" w:hAnsi="Arial" w:cs="Arial"/>
          <w:b/>
          <w:sz w:val="24"/>
          <w:szCs w:val="24"/>
        </w:rPr>
        <w:t>)</w:t>
      </w:r>
    </w:p>
    <w:p w14:paraId="5538A564" w14:textId="77777777" w:rsidR="007142B6" w:rsidRPr="002322FF" w:rsidRDefault="00D275D6" w:rsidP="002322F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7C5BA688" w14:textId="0E10F70F" w:rsidR="00F7134F" w:rsidRDefault="00F7134F" w:rsidP="00F7134F">
      <w:pPr>
        <w:spacing w:line="60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250/2020</w:t>
      </w:r>
    </w:p>
    <w:p w14:paraId="6310BD2B" w14:textId="706F3C13" w:rsidR="00F7134F" w:rsidRDefault="00F7134F" w:rsidP="00F7134F">
      <w:pPr>
        <w:pStyle w:val="GW12"/>
        <w:tabs>
          <w:tab w:val="clear" w:pos="6048"/>
          <w:tab w:val="clear" w:pos="8640"/>
          <w:tab w:val="left" w:pos="4820"/>
          <w:tab w:val="right" w:pos="9072"/>
        </w:tabs>
        <w:ind w:right="-46"/>
        <w:jc w:val="left"/>
        <w:rPr>
          <w:rFonts w:ascii="Arial" w:hAnsi="Arial" w:cs="Arial"/>
          <w:b/>
          <w:szCs w:val="24"/>
        </w:rPr>
      </w:pPr>
      <w:r>
        <w:rPr>
          <w:rFonts w:ascii="Arial" w:hAnsi="Arial" w:cs="Arial"/>
          <w:b/>
          <w:szCs w:val="24"/>
        </w:rPr>
        <w:t>AFRICAN PAPER PRODUCTS (PTY) LTD</w:t>
      </w:r>
      <w:r>
        <w:rPr>
          <w:rFonts w:ascii="Arial" w:hAnsi="Arial" w:cs="Arial"/>
          <w:b/>
          <w:szCs w:val="24"/>
        </w:rPr>
        <w:tab/>
        <w:t xml:space="preserve"> </w:t>
      </w:r>
      <w:r>
        <w:rPr>
          <w:rFonts w:ascii="Arial" w:hAnsi="Arial" w:cs="Arial"/>
          <w:b/>
          <w:szCs w:val="24"/>
        </w:rPr>
        <w:tab/>
      </w:r>
      <w:r w:rsidRPr="00F7134F">
        <w:rPr>
          <w:rFonts w:ascii="Arial" w:hAnsi="Arial" w:cs="Arial"/>
          <w:bCs/>
          <w:szCs w:val="24"/>
        </w:rPr>
        <w:t xml:space="preserve">First </w:t>
      </w:r>
      <w:r w:rsidRPr="0052758A">
        <w:rPr>
          <w:rFonts w:ascii="Arial" w:hAnsi="Arial" w:cs="Arial"/>
          <w:bCs/>
          <w:szCs w:val="24"/>
        </w:rPr>
        <w:t>Applicant</w:t>
      </w:r>
    </w:p>
    <w:p w14:paraId="71FFBEE9" w14:textId="77777777" w:rsidR="00F7134F" w:rsidRDefault="00F7134F" w:rsidP="00F7134F">
      <w:pPr>
        <w:pStyle w:val="GW12"/>
        <w:tabs>
          <w:tab w:val="clear" w:pos="6048"/>
          <w:tab w:val="clear" w:pos="8640"/>
          <w:tab w:val="left" w:pos="4820"/>
          <w:tab w:val="right" w:pos="9072"/>
        </w:tabs>
        <w:ind w:right="-46"/>
        <w:jc w:val="left"/>
        <w:rPr>
          <w:rFonts w:ascii="Arial" w:hAnsi="Arial" w:cs="Arial"/>
          <w:bCs/>
          <w:szCs w:val="24"/>
        </w:rPr>
      </w:pPr>
      <w:r w:rsidRPr="00F7134F">
        <w:rPr>
          <w:rFonts w:ascii="Arial" w:hAnsi="Arial" w:cs="Arial"/>
          <w:bCs/>
          <w:szCs w:val="24"/>
        </w:rPr>
        <w:t xml:space="preserve">(REGISTRATION NUMBER: 2003/005955/07) </w:t>
      </w:r>
      <w:r w:rsidRPr="00F7134F">
        <w:rPr>
          <w:rFonts w:ascii="Arial" w:hAnsi="Arial" w:cs="Arial"/>
          <w:bCs/>
          <w:szCs w:val="24"/>
        </w:rPr>
        <w:tab/>
        <w:t xml:space="preserve"> </w:t>
      </w:r>
    </w:p>
    <w:p w14:paraId="27DFCF22" w14:textId="77777777" w:rsidR="00F7134F" w:rsidRDefault="00F7134F" w:rsidP="00F7134F">
      <w:pPr>
        <w:pStyle w:val="GW12"/>
        <w:tabs>
          <w:tab w:val="clear" w:pos="6048"/>
          <w:tab w:val="clear" w:pos="8640"/>
          <w:tab w:val="left" w:pos="4820"/>
          <w:tab w:val="right" w:pos="9072"/>
        </w:tabs>
        <w:ind w:right="-46"/>
        <w:jc w:val="left"/>
        <w:rPr>
          <w:rFonts w:ascii="Arial" w:hAnsi="Arial" w:cs="Arial"/>
          <w:bCs/>
          <w:szCs w:val="24"/>
        </w:rPr>
      </w:pPr>
    </w:p>
    <w:p w14:paraId="15EF1C07" w14:textId="18AF1CED" w:rsidR="00F7134F" w:rsidRPr="00F7134F" w:rsidRDefault="00F7134F" w:rsidP="00F7134F">
      <w:pPr>
        <w:pStyle w:val="GW12"/>
        <w:tabs>
          <w:tab w:val="clear" w:pos="6048"/>
          <w:tab w:val="clear" w:pos="8640"/>
          <w:tab w:val="left" w:pos="4820"/>
          <w:tab w:val="right" w:pos="9072"/>
        </w:tabs>
        <w:ind w:right="-46"/>
        <w:jc w:val="left"/>
        <w:rPr>
          <w:rFonts w:ascii="Arial" w:hAnsi="Arial" w:cs="Arial"/>
          <w:b/>
          <w:szCs w:val="24"/>
        </w:rPr>
      </w:pPr>
      <w:r w:rsidRPr="00F7134F">
        <w:rPr>
          <w:rFonts w:ascii="Arial" w:hAnsi="Arial" w:cs="Arial"/>
          <w:b/>
          <w:szCs w:val="24"/>
        </w:rPr>
        <w:t>VISHAL DEVRAJ SEEBRAN</w:t>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sidRPr="00F7134F">
        <w:rPr>
          <w:rFonts w:ascii="Arial" w:hAnsi="Arial" w:cs="Arial"/>
          <w:bCs/>
          <w:szCs w:val="24"/>
        </w:rPr>
        <w:t>Second Applicant</w:t>
      </w:r>
    </w:p>
    <w:p w14:paraId="14360DF0" w14:textId="501A244A" w:rsidR="00F7134F" w:rsidRPr="00F7134F" w:rsidRDefault="00F7134F" w:rsidP="00F7134F">
      <w:pPr>
        <w:pStyle w:val="GW12"/>
        <w:tabs>
          <w:tab w:val="clear" w:pos="6048"/>
          <w:tab w:val="clear" w:pos="8640"/>
          <w:tab w:val="left" w:pos="4820"/>
          <w:tab w:val="right" w:pos="9072"/>
        </w:tabs>
        <w:ind w:right="-46"/>
        <w:jc w:val="left"/>
        <w:rPr>
          <w:rFonts w:ascii="Arial" w:hAnsi="Arial" w:cs="Arial"/>
          <w:bCs/>
          <w:szCs w:val="24"/>
        </w:rPr>
      </w:pPr>
      <w:r w:rsidRPr="00F7134F">
        <w:rPr>
          <w:rFonts w:ascii="Arial" w:hAnsi="Arial" w:cs="Arial"/>
          <w:bCs/>
          <w:szCs w:val="24"/>
        </w:rPr>
        <w:tab/>
      </w:r>
      <w:r w:rsidRPr="00F7134F">
        <w:rPr>
          <w:rFonts w:ascii="Arial" w:hAnsi="Arial" w:cs="Arial"/>
          <w:bCs/>
          <w:szCs w:val="24"/>
        </w:rPr>
        <w:tab/>
      </w:r>
      <w:r w:rsidRPr="00F7134F">
        <w:rPr>
          <w:rFonts w:ascii="Arial" w:hAnsi="Arial" w:cs="Arial"/>
          <w:bCs/>
          <w:szCs w:val="24"/>
        </w:rPr>
        <w:tab/>
      </w:r>
    </w:p>
    <w:p w14:paraId="78C17891" w14:textId="77777777" w:rsidR="00F7134F" w:rsidRPr="005E0A83" w:rsidRDefault="00F7134F" w:rsidP="00F7134F">
      <w:pPr>
        <w:pStyle w:val="GW11"/>
        <w:rPr>
          <w:rFonts w:ascii="Arial" w:hAnsi="Arial" w:cs="Arial"/>
          <w:szCs w:val="24"/>
        </w:rPr>
      </w:pPr>
      <w:r w:rsidRPr="005E0A83">
        <w:rPr>
          <w:rFonts w:ascii="Arial" w:hAnsi="Arial" w:cs="Arial"/>
          <w:szCs w:val="24"/>
        </w:rPr>
        <w:t>and</w:t>
      </w:r>
    </w:p>
    <w:p w14:paraId="313B3E59" w14:textId="77777777" w:rsidR="00F7134F" w:rsidRPr="005E0A83" w:rsidRDefault="00F7134F" w:rsidP="00F7134F">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6B36F324" w14:textId="4FA5AF59" w:rsidR="00F7134F" w:rsidRDefault="00F7134F" w:rsidP="00F7134F">
      <w:pPr>
        <w:pStyle w:val="GW12"/>
        <w:tabs>
          <w:tab w:val="clear" w:pos="6048"/>
          <w:tab w:val="clear" w:pos="8640"/>
          <w:tab w:val="right" w:pos="9072"/>
        </w:tabs>
        <w:ind w:right="-46"/>
        <w:rPr>
          <w:rFonts w:ascii="Arial" w:hAnsi="Arial" w:cs="Arial"/>
          <w:b/>
          <w:szCs w:val="24"/>
        </w:rPr>
      </w:pPr>
      <w:r>
        <w:rPr>
          <w:rFonts w:ascii="Arial" w:hAnsi="Arial" w:cs="Arial"/>
          <w:b/>
          <w:szCs w:val="24"/>
        </w:rPr>
        <w:t xml:space="preserve">THE DIRECTOR OF PUBLIC PROSECUTIONS: </w:t>
      </w:r>
      <w:r>
        <w:rPr>
          <w:rFonts w:ascii="Arial" w:hAnsi="Arial" w:cs="Arial"/>
          <w:b/>
          <w:szCs w:val="24"/>
        </w:rPr>
        <w:tab/>
        <w:t xml:space="preserve"> </w:t>
      </w:r>
      <w:r w:rsidRPr="00F7134F">
        <w:rPr>
          <w:rFonts w:ascii="Arial" w:hAnsi="Arial" w:cs="Arial"/>
          <w:bCs/>
          <w:szCs w:val="24"/>
        </w:rPr>
        <w:t xml:space="preserve">First </w:t>
      </w:r>
      <w:r w:rsidRPr="005E0A83">
        <w:rPr>
          <w:rFonts w:ascii="Arial" w:hAnsi="Arial" w:cs="Arial"/>
          <w:szCs w:val="24"/>
        </w:rPr>
        <w:t>Respondent</w:t>
      </w:r>
    </w:p>
    <w:p w14:paraId="48D3B6EC" w14:textId="25199AC3" w:rsidR="00F7134F" w:rsidRDefault="00F7134F" w:rsidP="00F7134F">
      <w:pPr>
        <w:pStyle w:val="GW12"/>
        <w:tabs>
          <w:tab w:val="clear" w:pos="6048"/>
          <w:tab w:val="clear" w:pos="8640"/>
          <w:tab w:val="right" w:pos="8931"/>
        </w:tabs>
        <w:ind w:right="-46"/>
        <w:rPr>
          <w:rFonts w:ascii="Arial" w:hAnsi="Arial" w:cs="Arial"/>
          <w:szCs w:val="24"/>
        </w:rPr>
      </w:pPr>
      <w:r>
        <w:rPr>
          <w:rFonts w:ascii="Arial" w:hAnsi="Arial" w:cs="Arial"/>
          <w:b/>
          <w:szCs w:val="24"/>
        </w:rPr>
        <w:t>EASTERN CAPE</w:t>
      </w:r>
      <w:r w:rsidRPr="005E0A83">
        <w:rPr>
          <w:rFonts w:ascii="Arial" w:hAnsi="Arial" w:cs="Arial"/>
          <w:b/>
          <w:szCs w:val="24"/>
        </w:rPr>
        <w:t xml:space="preserve">                                                   </w:t>
      </w:r>
      <w:r>
        <w:rPr>
          <w:rFonts w:ascii="Arial" w:hAnsi="Arial" w:cs="Arial"/>
          <w:b/>
          <w:szCs w:val="24"/>
        </w:rPr>
        <w:tab/>
      </w:r>
    </w:p>
    <w:p w14:paraId="32FC0E39" w14:textId="0ABA72FB" w:rsidR="00F7134F" w:rsidRDefault="00F7134F" w:rsidP="00F7134F">
      <w:pPr>
        <w:pStyle w:val="GW12"/>
        <w:tabs>
          <w:tab w:val="clear" w:pos="6048"/>
          <w:tab w:val="clear" w:pos="8640"/>
          <w:tab w:val="right" w:pos="8931"/>
        </w:tabs>
        <w:ind w:right="-46"/>
        <w:rPr>
          <w:rFonts w:ascii="Arial" w:hAnsi="Arial" w:cs="Arial"/>
          <w:szCs w:val="24"/>
        </w:rPr>
      </w:pPr>
    </w:p>
    <w:p w14:paraId="188D3B0B" w14:textId="2A426191" w:rsidR="00F7134F" w:rsidRDefault="00F7134F" w:rsidP="00F7134F">
      <w:pPr>
        <w:pStyle w:val="GW12"/>
        <w:tabs>
          <w:tab w:val="clear" w:pos="6048"/>
          <w:tab w:val="clear" w:pos="8640"/>
          <w:tab w:val="right" w:pos="8931"/>
        </w:tabs>
        <w:ind w:right="-46"/>
        <w:rPr>
          <w:rFonts w:ascii="Arial" w:hAnsi="Arial" w:cs="Arial"/>
          <w:b/>
          <w:szCs w:val="24"/>
        </w:rPr>
      </w:pPr>
      <w:r>
        <w:rPr>
          <w:rFonts w:ascii="Arial" w:hAnsi="Arial" w:cs="Arial"/>
          <w:b/>
          <w:szCs w:val="24"/>
        </w:rPr>
        <w:t xml:space="preserve">THE REGIONAL MAGISTRATE COMMERCIAL                                </w:t>
      </w:r>
      <w:r>
        <w:rPr>
          <w:rFonts w:ascii="Arial" w:hAnsi="Arial" w:cs="Arial"/>
          <w:bCs/>
          <w:szCs w:val="24"/>
        </w:rPr>
        <w:t>Second</w:t>
      </w:r>
      <w:r w:rsidRPr="00F7134F">
        <w:rPr>
          <w:rFonts w:ascii="Arial" w:hAnsi="Arial" w:cs="Arial"/>
          <w:bCs/>
          <w:szCs w:val="24"/>
        </w:rPr>
        <w:t xml:space="preserve"> </w:t>
      </w:r>
      <w:r w:rsidRPr="005E0A83">
        <w:rPr>
          <w:rFonts w:ascii="Arial" w:hAnsi="Arial" w:cs="Arial"/>
          <w:szCs w:val="24"/>
        </w:rPr>
        <w:t>Respondent</w:t>
      </w:r>
    </w:p>
    <w:p w14:paraId="3E663E19" w14:textId="77777777" w:rsidR="00F7134F" w:rsidRDefault="00F7134F" w:rsidP="00F7134F">
      <w:pPr>
        <w:pStyle w:val="GW12"/>
        <w:tabs>
          <w:tab w:val="clear" w:pos="6048"/>
          <w:tab w:val="clear" w:pos="8640"/>
          <w:tab w:val="right" w:pos="8931"/>
        </w:tabs>
        <w:ind w:right="-46"/>
        <w:rPr>
          <w:rFonts w:ascii="Arial" w:hAnsi="Arial" w:cs="Arial"/>
          <w:b/>
          <w:szCs w:val="24"/>
        </w:rPr>
      </w:pPr>
      <w:r>
        <w:rPr>
          <w:rFonts w:ascii="Arial" w:hAnsi="Arial" w:cs="Arial"/>
          <w:b/>
          <w:szCs w:val="24"/>
        </w:rPr>
        <w:t>CRIMES COURT, PORT ELIZABETH</w:t>
      </w:r>
    </w:p>
    <w:p w14:paraId="2DD9CB98" w14:textId="6415047D" w:rsidR="00F7134F" w:rsidRPr="005E0A83" w:rsidRDefault="00F7134F" w:rsidP="00F7134F">
      <w:pPr>
        <w:pStyle w:val="GW12"/>
        <w:tabs>
          <w:tab w:val="clear" w:pos="6048"/>
          <w:tab w:val="clear" w:pos="8640"/>
          <w:tab w:val="right" w:pos="8931"/>
        </w:tabs>
        <w:ind w:right="-46"/>
        <w:rPr>
          <w:rFonts w:ascii="Arial" w:hAnsi="Arial" w:cs="Arial"/>
          <w:szCs w:val="24"/>
        </w:rPr>
      </w:pPr>
      <w:r>
        <w:rPr>
          <w:rFonts w:ascii="Arial" w:hAnsi="Arial" w:cs="Arial"/>
          <w:b/>
          <w:szCs w:val="24"/>
        </w:rPr>
        <w:t>MR CLAASEN</w:t>
      </w:r>
      <w:r w:rsidRPr="005E0A83">
        <w:rPr>
          <w:rFonts w:ascii="Arial" w:hAnsi="Arial" w:cs="Arial"/>
          <w:b/>
          <w:szCs w:val="24"/>
        </w:rPr>
        <w:t xml:space="preserve">                                                   </w:t>
      </w:r>
      <w:r>
        <w:rPr>
          <w:rFonts w:ascii="Arial" w:hAnsi="Arial" w:cs="Arial"/>
          <w:b/>
          <w:szCs w:val="24"/>
        </w:rPr>
        <w:tab/>
      </w:r>
    </w:p>
    <w:p w14:paraId="7D1D465C" w14:textId="77777777" w:rsidR="00F7134F" w:rsidRPr="005E0A83" w:rsidRDefault="00F7134F" w:rsidP="00F7134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7213453" w14:textId="77777777" w:rsidR="00F7134F" w:rsidRPr="005E0A83" w:rsidRDefault="00F7134F" w:rsidP="00F7134F">
      <w:pPr>
        <w:pStyle w:val="GW13"/>
        <w:tabs>
          <w:tab w:val="clear" w:pos="8640"/>
        </w:tabs>
        <w:spacing w:line="240" w:lineRule="auto"/>
        <w:ind w:right="-45"/>
        <w:jc w:val="center"/>
        <w:rPr>
          <w:rFonts w:ascii="Arial" w:hAnsi="Arial" w:cs="Arial"/>
          <w:b/>
          <w:szCs w:val="24"/>
        </w:rPr>
      </w:pPr>
    </w:p>
    <w:p w14:paraId="7FE14C8F" w14:textId="77777777"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r>
      <w:r>
        <w:rPr>
          <w:rFonts w:ascii="Arial" w:hAnsi="Arial" w:cs="Arial"/>
          <w:szCs w:val="24"/>
        </w:rPr>
        <w:t xml:space="preserve">Lowe J </w:t>
      </w:r>
      <w:r w:rsidRPr="009D492A">
        <w:rPr>
          <w:rFonts w:ascii="Arial" w:hAnsi="Arial" w:cs="Arial"/>
          <w:i/>
          <w:iCs/>
          <w:szCs w:val="24"/>
        </w:rPr>
        <w:t>et</w:t>
      </w:r>
      <w:r>
        <w:rPr>
          <w:rFonts w:ascii="Arial" w:hAnsi="Arial" w:cs="Arial"/>
          <w:szCs w:val="24"/>
        </w:rPr>
        <w:t xml:space="preserve"> </w:t>
      </w:r>
      <w:r w:rsidRPr="005E0A83">
        <w:rPr>
          <w:rFonts w:ascii="Arial" w:hAnsi="Arial" w:cs="Arial"/>
          <w:szCs w:val="24"/>
        </w:rPr>
        <w:t>Bands AJ</w:t>
      </w:r>
    </w:p>
    <w:p w14:paraId="0143062F" w14:textId="77777777"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t>21 July 2022</w:t>
      </w:r>
    </w:p>
    <w:p w14:paraId="0350F2D9" w14:textId="28ED5209"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D77007">
        <w:rPr>
          <w:rFonts w:ascii="Arial" w:hAnsi="Arial" w:cs="Arial"/>
          <w:szCs w:val="24"/>
        </w:rPr>
        <w:t>31</w:t>
      </w:r>
      <w:r>
        <w:rPr>
          <w:rFonts w:ascii="Arial" w:hAnsi="Arial" w:cs="Arial"/>
          <w:szCs w:val="24"/>
        </w:rPr>
        <w:t xml:space="preserve"> October 2022</w:t>
      </w:r>
    </w:p>
    <w:p w14:paraId="53812408" w14:textId="77777777" w:rsidR="00F7134F" w:rsidRPr="005E0A83" w:rsidRDefault="00F7134F" w:rsidP="00F7134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C502AE6" w14:textId="77777777" w:rsidR="00F7134F" w:rsidRPr="005E0A83" w:rsidRDefault="00F7134F" w:rsidP="00F7134F">
      <w:pPr>
        <w:pStyle w:val="GW13"/>
        <w:tabs>
          <w:tab w:val="clear" w:pos="8640"/>
        </w:tabs>
        <w:spacing w:line="240" w:lineRule="auto"/>
        <w:ind w:right="-45"/>
        <w:jc w:val="center"/>
        <w:rPr>
          <w:rFonts w:ascii="Arial" w:hAnsi="Arial" w:cs="Arial"/>
          <w:b/>
          <w:szCs w:val="24"/>
        </w:rPr>
      </w:pPr>
    </w:p>
    <w:p w14:paraId="4A8A7892" w14:textId="77777777" w:rsidR="00F7134F" w:rsidRPr="005E0A83" w:rsidRDefault="00F7134F" w:rsidP="00F713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3D4049AA" w14:textId="77777777" w:rsidR="00F7134F" w:rsidRPr="005E0A83" w:rsidRDefault="00F7134F" w:rsidP="00F713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298FDBFC" w14:textId="570ADB34" w:rsidR="00F7134F" w:rsidRPr="005A63F9" w:rsidRDefault="00F7134F" w:rsidP="00F7134F">
      <w:pPr>
        <w:pStyle w:val="GW13"/>
        <w:tabs>
          <w:tab w:val="clear" w:pos="8640"/>
          <w:tab w:val="right" w:pos="9072"/>
        </w:tabs>
        <w:spacing w:line="480" w:lineRule="auto"/>
        <w:ind w:right="-46"/>
        <w:rPr>
          <w:rFonts w:ascii="Arial" w:hAnsi="Arial" w:cs="Arial"/>
          <w:b/>
          <w:szCs w:val="24"/>
          <w:u w:val="single"/>
        </w:rPr>
      </w:pPr>
      <w:r w:rsidRPr="005A63F9">
        <w:rPr>
          <w:rFonts w:ascii="Arial" w:hAnsi="Arial" w:cs="Arial"/>
          <w:b/>
          <w:szCs w:val="24"/>
          <w:u w:val="single"/>
        </w:rPr>
        <w:lastRenderedPageBreak/>
        <w:t>BANDS AJ:</w:t>
      </w:r>
    </w:p>
    <w:p w14:paraId="0EF7190F" w14:textId="77777777" w:rsidR="00F7134F" w:rsidRPr="005E0A83" w:rsidRDefault="00F7134F" w:rsidP="00F7134F">
      <w:pPr>
        <w:pStyle w:val="ListParagraph"/>
        <w:spacing w:after="0" w:line="480" w:lineRule="auto"/>
        <w:ind w:left="851"/>
        <w:jc w:val="both"/>
        <w:rPr>
          <w:rFonts w:ascii="Arial" w:hAnsi="Arial" w:cs="Arial"/>
          <w:sz w:val="24"/>
          <w:szCs w:val="24"/>
        </w:rPr>
      </w:pPr>
    </w:p>
    <w:p w14:paraId="3326DD04" w14:textId="0E6F285E" w:rsidR="00EA3DB5" w:rsidRPr="00DA0DA5" w:rsidRDefault="00DA0DA5" w:rsidP="00DA0DA5">
      <w:pPr>
        <w:spacing w:after="0" w:line="480" w:lineRule="auto"/>
        <w:ind w:left="851" w:hanging="851"/>
        <w:jc w:val="both"/>
        <w:rPr>
          <w:rFonts w:ascii="Arial" w:hAnsi="Arial" w:cs="Arial"/>
          <w:sz w:val="24"/>
          <w:szCs w:val="24"/>
        </w:rPr>
      </w:pPr>
      <w:r w:rsidRPr="00085B56">
        <w:rPr>
          <w:rFonts w:ascii="Arial" w:hAnsi="Arial" w:cs="Arial"/>
          <w:sz w:val="24"/>
          <w:szCs w:val="24"/>
        </w:rPr>
        <w:t>[1]</w:t>
      </w:r>
      <w:r w:rsidRPr="00085B56">
        <w:rPr>
          <w:rFonts w:ascii="Arial" w:hAnsi="Arial" w:cs="Arial"/>
          <w:sz w:val="24"/>
          <w:szCs w:val="24"/>
        </w:rPr>
        <w:tab/>
      </w:r>
      <w:r w:rsidR="005C093B" w:rsidRPr="00DA0DA5">
        <w:rPr>
          <w:rFonts w:ascii="Arial" w:hAnsi="Arial" w:cs="Arial"/>
          <w:sz w:val="24"/>
          <w:szCs w:val="24"/>
        </w:rPr>
        <w:t>Fundamental to our criminal justice system and at the heart of the rule of law, is an accused’s right to a fair trial</w:t>
      </w:r>
      <w:r w:rsidR="00EA3DB5" w:rsidRPr="00DA0DA5">
        <w:rPr>
          <w:rFonts w:ascii="Arial" w:hAnsi="Arial" w:cs="Arial"/>
          <w:sz w:val="24"/>
          <w:szCs w:val="24"/>
        </w:rPr>
        <w:t>.</w:t>
      </w:r>
      <w:r w:rsidR="005C093B" w:rsidRPr="00DA0DA5">
        <w:rPr>
          <w:rFonts w:ascii="Arial" w:hAnsi="Arial" w:cs="Arial"/>
          <w:color w:val="000000"/>
          <w:sz w:val="24"/>
          <w:szCs w:val="24"/>
          <w:shd w:val="clear" w:color="auto" w:fill="FFFFFF"/>
        </w:rPr>
        <w:t xml:space="preserve"> </w:t>
      </w:r>
      <w:r w:rsidR="00EA3DB5" w:rsidRPr="00DA0DA5">
        <w:rPr>
          <w:rFonts w:ascii="Arial" w:hAnsi="Arial" w:cs="Arial"/>
          <w:color w:val="000000"/>
          <w:sz w:val="24"/>
          <w:szCs w:val="24"/>
          <w:shd w:val="clear" w:color="auto" w:fill="FFFFFF"/>
        </w:rPr>
        <w:t xml:space="preserve"> </w:t>
      </w:r>
      <w:r w:rsidR="0058173E" w:rsidRPr="00DA0DA5">
        <w:rPr>
          <w:rFonts w:ascii="Arial" w:hAnsi="Arial" w:cs="Arial"/>
          <w:color w:val="000000"/>
          <w:sz w:val="24"/>
          <w:szCs w:val="24"/>
          <w:shd w:val="clear" w:color="auto" w:fill="FFFFFF"/>
        </w:rPr>
        <w:t xml:space="preserve">In the words of </w:t>
      </w:r>
      <w:r w:rsidR="00EA3DB5" w:rsidRPr="00DA0DA5">
        <w:rPr>
          <w:rFonts w:ascii="Arial" w:hAnsi="Arial" w:cs="Arial"/>
          <w:color w:val="000000"/>
          <w:sz w:val="24"/>
          <w:szCs w:val="24"/>
          <w:shd w:val="clear" w:color="auto" w:fill="FFFFFF"/>
        </w:rPr>
        <w:t xml:space="preserve">the Constitutional Court in </w:t>
      </w:r>
      <w:r w:rsidR="00EA3DB5" w:rsidRPr="00DA0DA5">
        <w:rPr>
          <w:rFonts w:ascii="Arial" w:hAnsi="Arial" w:cs="Arial"/>
          <w:i/>
          <w:iCs/>
          <w:color w:val="000000"/>
          <w:sz w:val="24"/>
          <w:szCs w:val="24"/>
          <w:shd w:val="clear" w:color="auto" w:fill="FFFFFF"/>
        </w:rPr>
        <w:t>S v Jaipal</w:t>
      </w:r>
      <w:r w:rsidR="00085B56" w:rsidRPr="00DA0DA5">
        <w:rPr>
          <w:rFonts w:ascii="Arial" w:hAnsi="Arial" w:cs="Arial"/>
          <w:color w:val="000000"/>
          <w:sz w:val="24"/>
          <w:szCs w:val="24"/>
          <w:shd w:val="clear" w:color="auto" w:fill="FFFFFF"/>
        </w:rPr>
        <w:t>:</w:t>
      </w:r>
      <w:r w:rsidR="00EA3DB5">
        <w:rPr>
          <w:rStyle w:val="FootnoteReference"/>
          <w:rFonts w:ascii="Arial" w:hAnsi="Arial" w:cs="Arial"/>
          <w:color w:val="000000"/>
          <w:sz w:val="24"/>
          <w:szCs w:val="24"/>
          <w:shd w:val="clear" w:color="auto" w:fill="FFFFFF"/>
        </w:rPr>
        <w:footnoteReference w:id="1"/>
      </w:r>
      <w:r w:rsidR="00EA3DB5" w:rsidRPr="00DA0DA5">
        <w:rPr>
          <w:rFonts w:ascii="Arial" w:hAnsi="Arial" w:cs="Arial"/>
          <w:color w:val="000000"/>
          <w:sz w:val="24"/>
          <w:szCs w:val="24"/>
          <w:shd w:val="clear" w:color="auto" w:fill="FFFFFF"/>
        </w:rPr>
        <w:t xml:space="preserve">  </w:t>
      </w:r>
    </w:p>
    <w:p w14:paraId="4B5FE22F" w14:textId="77777777" w:rsidR="00085B56" w:rsidRPr="00EA3DB5" w:rsidRDefault="00085B56" w:rsidP="00085B56">
      <w:pPr>
        <w:pStyle w:val="ListParagraph"/>
        <w:spacing w:after="0" w:line="480" w:lineRule="auto"/>
        <w:ind w:left="851"/>
        <w:jc w:val="both"/>
        <w:rPr>
          <w:rFonts w:ascii="Arial" w:hAnsi="Arial" w:cs="Arial"/>
          <w:sz w:val="24"/>
          <w:szCs w:val="24"/>
        </w:rPr>
      </w:pPr>
    </w:p>
    <w:p w14:paraId="7E5B6D4D" w14:textId="38750A87" w:rsidR="00EA3DB5" w:rsidRPr="00085B56" w:rsidRDefault="00085B56" w:rsidP="00085B56">
      <w:pPr>
        <w:pStyle w:val="western"/>
        <w:shd w:val="clear" w:color="auto" w:fill="FFFFFF"/>
        <w:spacing w:before="0" w:beforeAutospacing="0" w:after="0" w:afterAutospacing="0" w:line="360" w:lineRule="auto"/>
        <w:ind w:left="851"/>
        <w:jc w:val="both"/>
        <w:rPr>
          <w:rFonts w:ascii="Arial" w:hAnsi="Arial" w:cs="Arial"/>
          <w:i/>
          <w:iCs/>
          <w:color w:val="242121"/>
          <w:sz w:val="20"/>
          <w:szCs w:val="20"/>
        </w:rPr>
      </w:pPr>
      <w:r w:rsidRPr="00085B56">
        <w:rPr>
          <w:rFonts w:ascii="Arial" w:hAnsi="Arial" w:cs="Arial"/>
          <w:i/>
          <w:iCs/>
          <w:color w:val="000000"/>
          <w:sz w:val="20"/>
          <w:szCs w:val="20"/>
        </w:rPr>
        <w:t>“T</w:t>
      </w:r>
      <w:r w:rsidR="00EA3DB5" w:rsidRPr="00085B56">
        <w:rPr>
          <w:rFonts w:ascii="Arial" w:hAnsi="Arial" w:cs="Arial"/>
          <w:i/>
          <w:iCs/>
          <w:color w:val="000000"/>
          <w:sz w:val="20"/>
          <w:szCs w:val="20"/>
        </w:rPr>
        <w:t>he basic requirement that a trial must be fair is central to any civilised criminal justice system. It is essential in a society which recognises the rights to human dignity and to the freedom and security of the person and is based on values such as the advancement of human rights and freedoms, the rule of law, democracy and openness”.</w:t>
      </w:r>
    </w:p>
    <w:p w14:paraId="2F026623" w14:textId="77777777" w:rsidR="00EA3DB5" w:rsidRPr="00EA3DB5" w:rsidRDefault="00EA3DB5" w:rsidP="005517CD">
      <w:pPr>
        <w:pStyle w:val="ListParagraph"/>
        <w:spacing w:after="0" w:line="480" w:lineRule="auto"/>
        <w:ind w:left="851"/>
        <w:jc w:val="both"/>
        <w:rPr>
          <w:rFonts w:ascii="Arial" w:hAnsi="Arial" w:cs="Arial"/>
          <w:sz w:val="24"/>
          <w:szCs w:val="24"/>
        </w:rPr>
      </w:pPr>
    </w:p>
    <w:p w14:paraId="694B1D39" w14:textId="1722FD05" w:rsidR="004E6F1A"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6DAA" w:rsidRPr="00DA0DA5">
        <w:rPr>
          <w:rFonts w:ascii="Arial" w:hAnsi="Arial" w:cs="Arial"/>
          <w:sz w:val="24"/>
          <w:szCs w:val="24"/>
        </w:rPr>
        <w:t xml:space="preserve">This </w:t>
      </w:r>
      <w:r w:rsidR="00353DD2" w:rsidRPr="00DA0DA5">
        <w:rPr>
          <w:rFonts w:ascii="Arial" w:hAnsi="Arial" w:cs="Arial"/>
          <w:sz w:val="24"/>
          <w:szCs w:val="24"/>
        </w:rPr>
        <w:t>application concerns unterminated proceedings emanating from the Regional Court of the Eastern Cape in the Specialised Commercial Crimes Court, Port Elizabeth (as it then was), under case number CCC1/47/14</w:t>
      </w:r>
      <w:r w:rsidR="00621BD0" w:rsidRPr="00DA0DA5">
        <w:rPr>
          <w:rFonts w:ascii="Arial" w:hAnsi="Arial" w:cs="Arial"/>
          <w:sz w:val="24"/>
          <w:szCs w:val="24"/>
        </w:rPr>
        <w:t xml:space="preserve"> (“</w:t>
      </w:r>
      <w:r w:rsidR="00621BD0" w:rsidRPr="00DA0DA5">
        <w:rPr>
          <w:rFonts w:ascii="Arial" w:hAnsi="Arial" w:cs="Arial"/>
          <w:i/>
          <w:iCs/>
          <w:sz w:val="24"/>
          <w:szCs w:val="24"/>
        </w:rPr>
        <w:t>the Commercial Crimes Court</w:t>
      </w:r>
      <w:r w:rsidR="00621BD0" w:rsidRPr="00DA0DA5">
        <w:rPr>
          <w:rFonts w:ascii="Arial" w:hAnsi="Arial" w:cs="Arial"/>
          <w:sz w:val="24"/>
          <w:szCs w:val="24"/>
        </w:rPr>
        <w:t>”)</w:t>
      </w:r>
      <w:r w:rsidR="00353DD2" w:rsidRPr="00DA0DA5">
        <w:rPr>
          <w:rFonts w:ascii="Arial" w:hAnsi="Arial" w:cs="Arial"/>
          <w:sz w:val="24"/>
          <w:szCs w:val="24"/>
        </w:rPr>
        <w:t>,</w:t>
      </w:r>
      <w:r w:rsidR="00606DAA" w:rsidRPr="00DA0DA5">
        <w:rPr>
          <w:rFonts w:ascii="Arial" w:hAnsi="Arial" w:cs="Arial"/>
          <w:sz w:val="24"/>
          <w:szCs w:val="24"/>
        </w:rPr>
        <w:t xml:space="preserve"> </w:t>
      </w:r>
      <w:r w:rsidR="00353DD2" w:rsidRPr="00DA0DA5">
        <w:rPr>
          <w:rFonts w:ascii="Arial" w:hAnsi="Arial" w:cs="Arial"/>
          <w:sz w:val="24"/>
          <w:szCs w:val="24"/>
        </w:rPr>
        <w:t xml:space="preserve">in which the first and second applicants stand accused of various offences.  The applicants seek relief in the alternative, both of which pertain to a ruling made by the second respondent on 6 November 2019, during the course of </w:t>
      </w:r>
      <w:r w:rsidR="00593294" w:rsidRPr="00DA0DA5">
        <w:rPr>
          <w:rFonts w:ascii="Arial" w:hAnsi="Arial" w:cs="Arial"/>
          <w:sz w:val="24"/>
          <w:szCs w:val="24"/>
        </w:rPr>
        <w:t>the said proceedings.  In th</w:t>
      </w:r>
      <w:r w:rsidR="004E6F1A" w:rsidRPr="00DA0DA5">
        <w:rPr>
          <w:rFonts w:ascii="Arial" w:hAnsi="Arial" w:cs="Arial"/>
          <w:sz w:val="24"/>
          <w:szCs w:val="24"/>
        </w:rPr>
        <w:t xml:space="preserve">e </w:t>
      </w:r>
      <w:r w:rsidR="00593294" w:rsidRPr="00DA0DA5">
        <w:rPr>
          <w:rFonts w:ascii="Arial" w:hAnsi="Arial" w:cs="Arial"/>
          <w:sz w:val="24"/>
          <w:szCs w:val="24"/>
        </w:rPr>
        <w:t xml:space="preserve">first instance, the applicants seek </w:t>
      </w:r>
      <w:r w:rsidR="00606DAA" w:rsidRPr="00DA0DA5">
        <w:rPr>
          <w:rFonts w:ascii="Arial" w:hAnsi="Arial" w:cs="Arial"/>
          <w:sz w:val="24"/>
          <w:szCs w:val="24"/>
        </w:rPr>
        <w:t xml:space="preserve">a review </w:t>
      </w:r>
      <w:r w:rsidR="00606DAA" w:rsidRPr="00DA0DA5">
        <w:rPr>
          <w:rFonts w:ascii="Arial" w:hAnsi="Arial" w:cs="Arial"/>
          <w:i/>
          <w:iCs/>
          <w:sz w:val="24"/>
          <w:szCs w:val="24"/>
        </w:rPr>
        <w:t>in medias res</w:t>
      </w:r>
      <w:r w:rsidR="00606DAA" w:rsidRPr="00DA0DA5">
        <w:rPr>
          <w:rFonts w:ascii="Arial" w:hAnsi="Arial" w:cs="Arial"/>
          <w:sz w:val="24"/>
          <w:szCs w:val="24"/>
        </w:rPr>
        <w:t xml:space="preserve"> of</w:t>
      </w:r>
      <w:r w:rsidR="00593294" w:rsidRPr="00DA0DA5">
        <w:rPr>
          <w:rFonts w:ascii="Arial" w:hAnsi="Arial" w:cs="Arial"/>
          <w:sz w:val="24"/>
          <w:szCs w:val="24"/>
        </w:rPr>
        <w:t xml:space="preserve"> the said ruling, and in the alternative, seek a </w:t>
      </w:r>
      <w:r w:rsidR="00593294" w:rsidRPr="00DA0DA5">
        <w:rPr>
          <w:rFonts w:ascii="Arial" w:hAnsi="Arial" w:cs="Arial"/>
          <w:i/>
          <w:iCs/>
          <w:sz w:val="24"/>
          <w:szCs w:val="24"/>
        </w:rPr>
        <w:t>mandamus</w:t>
      </w:r>
      <w:r w:rsidR="00593294" w:rsidRPr="00DA0DA5">
        <w:rPr>
          <w:rFonts w:ascii="Arial" w:hAnsi="Arial" w:cs="Arial"/>
          <w:sz w:val="24"/>
          <w:szCs w:val="24"/>
        </w:rPr>
        <w:t xml:space="preserve"> </w:t>
      </w:r>
      <w:r w:rsidR="004E6F1A" w:rsidRPr="00DA0DA5">
        <w:rPr>
          <w:rFonts w:ascii="Arial" w:hAnsi="Arial" w:cs="Arial"/>
          <w:sz w:val="24"/>
          <w:szCs w:val="24"/>
        </w:rPr>
        <w:t>against the second respondent directing him to order that particulars to the charge</w:t>
      </w:r>
      <w:r w:rsidR="00EA6E73" w:rsidRPr="00DA0DA5">
        <w:rPr>
          <w:rFonts w:ascii="Arial" w:hAnsi="Arial" w:cs="Arial"/>
          <w:sz w:val="24"/>
          <w:szCs w:val="24"/>
        </w:rPr>
        <w:t xml:space="preserve"> sheet</w:t>
      </w:r>
      <w:r w:rsidR="004E6F1A" w:rsidRPr="00DA0DA5">
        <w:rPr>
          <w:rFonts w:ascii="Arial" w:hAnsi="Arial" w:cs="Arial"/>
          <w:sz w:val="24"/>
          <w:szCs w:val="24"/>
        </w:rPr>
        <w:t xml:space="preserve"> be furnished.</w:t>
      </w:r>
      <w:r w:rsidR="00632DF3" w:rsidRPr="00DA0DA5">
        <w:rPr>
          <w:rFonts w:ascii="Arial" w:hAnsi="Arial" w:cs="Arial"/>
          <w:sz w:val="24"/>
          <w:szCs w:val="24"/>
        </w:rPr>
        <w:t xml:space="preserve">  </w:t>
      </w:r>
    </w:p>
    <w:p w14:paraId="66B990A3" w14:textId="77777777" w:rsidR="004E6F1A" w:rsidRDefault="004E6F1A" w:rsidP="004E6F1A">
      <w:pPr>
        <w:pStyle w:val="ListParagraph"/>
        <w:spacing w:after="0" w:line="480" w:lineRule="auto"/>
        <w:ind w:left="851"/>
        <w:jc w:val="both"/>
        <w:rPr>
          <w:rFonts w:ascii="Arial" w:hAnsi="Arial" w:cs="Arial"/>
          <w:sz w:val="24"/>
          <w:szCs w:val="24"/>
        </w:rPr>
      </w:pPr>
    </w:p>
    <w:p w14:paraId="045E75A4" w14:textId="78A438A4" w:rsidR="00606DAA"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6F1A" w:rsidRPr="00DA0DA5">
        <w:rPr>
          <w:rFonts w:ascii="Arial" w:hAnsi="Arial" w:cs="Arial"/>
          <w:sz w:val="24"/>
          <w:szCs w:val="24"/>
        </w:rPr>
        <w:t>By virtue of th</w:t>
      </w:r>
      <w:r w:rsidR="00690338" w:rsidRPr="00DA0DA5">
        <w:rPr>
          <w:rFonts w:ascii="Arial" w:hAnsi="Arial" w:cs="Arial"/>
          <w:sz w:val="24"/>
          <w:szCs w:val="24"/>
        </w:rPr>
        <w:t>e High Court’s inherent power to restrain illegalities in inferior courts, this court may,</w:t>
      </w:r>
      <w:r w:rsidR="00A811F2" w:rsidRPr="00DA0DA5">
        <w:rPr>
          <w:rFonts w:ascii="Arial" w:hAnsi="Arial" w:cs="Arial"/>
          <w:sz w:val="24"/>
          <w:szCs w:val="24"/>
        </w:rPr>
        <w:t xml:space="preserve"> in a proper case,</w:t>
      </w:r>
      <w:r w:rsidR="00690338" w:rsidRPr="00DA0DA5">
        <w:rPr>
          <w:rFonts w:ascii="Arial" w:hAnsi="Arial" w:cs="Arial"/>
          <w:sz w:val="24"/>
          <w:szCs w:val="24"/>
        </w:rPr>
        <w:t xml:space="preserve"> by way of review, interdict or </w:t>
      </w:r>
      <w:r w:rsidR="00690338" w:rsidRPr="00DA0DA5">
        <w:rPr>
          <w:rFonts w:ascii="Arial" w:hAnsi="Arial" w:cs="Arial"/>
          <w:i/>
          <w:iCs/>
          <w:sz w:val="24"/>
          <w:szCs w:val="24"/>
        </w:rPr>
        <w:lastRenderedPageBreak/>
        <w:t>mandamus</w:t>
      </w:r>
      <w:r w:rsidR="00690338" w:rsidRPr="00DA0DA5">
        <w:rPr>
          <w:rFonts w:ascii="Arial" w:hAnsi="Arial" w:cs="Arial"/>
          <w:sz w:val="24"/>
          <w:szCs w:val="24"/>
        </w:rPr>
        <w:t>, grant relief against the decision of a magistrates’ court given prior to conviction.</w:t>
      </w:r>
      <w:r w:rsidR="00690338">
        <w:rPr>
          <w:rStyle w:val="FootnoteReference"/>
          <w:rFonts w:ascii="Arial" w:hAnsi="Arial" w:cs="Arial"/>
          <w:sz w:val="24"/>
          <w:szCs w:val="24"/>
        </w:rPr>
        <w:footnoteReference w:id="2"/>
      </w:r>
    </w:p>
    <w:p w14:paraId="023FDB1C" w14:textId="77777777" w:rsidR="00632DF3" w:rsidRPr="00632DF3" w:rsidRDefault="00632DF3" w:rsidP="00632DF3">
      <w:pPr>
        <w:pStyle w:val="ListParagraph"/>
        <w:spacing w:after="0" w:line="480" w:lineRule="auto"/>
        <w:rPr>
          <w:rFonts w:ascii="Arial" w:hAnsi="Arial" w:cs="Arial"/>
          <w:sz w:val="24"/>
          <w:szCs w:val="24"/>
        </w:rPr>
      </w:pPr>
    </w:p>
    <w:p w14:paraId="625216C1" w14:textId="0811E7BF" w:rsidR="00632DF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2DF3" w:rsidRPr="00DA0DA5">
        <w:rPr>
          <w:rFonts w:ascii="Arial" w:hAnsi="Arial" w:cs="Arial"/>
          <w:sz w:val="24"/>
          <w:szCs w:val="24"/>
        </w:rPr>
        <w:t>The first respondent opposes the relief sought.</w:t>
      </w:r>
    </w:p>
    <w:p w14:paraId="4814EDBD" w14:textId="74D95159" w:rsidR="00606DAA" w:rsidRDefault="00606DAA" w:rsidP="00606DAA">
      <w:pPr>
        <w:spacing w:after="0" w:line="480" w:lineRule="auto"/>
        <w:jc w:val="both"/>
        <w:rPr>
          <w:rFonts w:ascii="Arial" w:hAnsi="Arial" w:cs="Arial"/>
          <w:sz w:val="24"/>
          <w:szCs w:val="24"/>
        </w:rPr>
      </w:pPr>
    </w:p>
    <w:p w14:paraId="5012C389" w14:textId="591690B4" w:rsidR="00606DAA" w:rsidRPr="00606DAA" w:rsidRDefault="005517CD" w:rsidP="00606DAA">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Relevant </w:t>
      </w:r>
      <w:r w:rsidR="000A7FBA">
        <w:rPr>
          <w:rFonts w:ascii="Arial" w:hAnsi="Arial" w:cs="Arial"/>
          <w:b/>
          <w:bCs/>
          <w:sz w:val="24"/>
          <w:szCs w:val="24"/>
          <w:u w:val="single"/>
        </w:rPr>
        <w:t>factors</w:t>
      </w:r>
      <w:r>
        <w:rPr>
          <w:rFonts w:ascii="Arial" w:hAnsi="Arial" w:cs="Arial"/>
          <w:b/>
          <w:bCs/>
          <w:sz w:val="24"/>
          <w:szCs w:val="24"/>
          <w:u w:val="single"/>
        </w:rPr>
        <w:t xml:space="preserve"> leading to the present application</w:t>
      </w:r>
    </w:p>
    <w:p w14:paraId="51CDF2F8" w14:textId="77777777" w:rsidR="00606DAA" w:rsidRPr="00606DAA" w:rsidRDefault="00606DAA" w:rsidP="00606DAA">
      <w:pPr>
        <w:spacing w:after="0" w:line="480" w:lineRule="auto"/>
        <w:jc w:val="both"/>
        <w:rPr>
          <w:rFonts w:ascii="Arial" w:hAnsi="Arial" w:cs="Arial"/>
          <w:sz w:val="24"/>
          <w:szCs w:val="24"/>
        </w:rPr>
      </w:pPr>
    </w:p>
    <w:p w14:paraId="52554312" w14:textId="1E3DF492" w:rsidR="006A22C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31085E" w:rsidRPr="00DA0DA5">
        <w:rPr>
          <w:rFonts w:ascii="Arial" w:hAnsi="Arial" w:cs="Arial"/>
          <w:sz w:val="24"/>
          <w:szCs w:val="24"/>
        </w:rPr>
        <w:t xml:space="preserve">The </w:t>
      </w:r>
      <w:r w:rsidR="006E154C" w:rsidRPr="00DA0DA5">
        <w:rPr>
          <w:rFonts w:ascii="Arial" w:hAnsi="Arial" w:cs="Arial"/>
          <w:sz w:val="24"/>
          <w:szCs w:val="24"/>
        </w:rPr>
        <w:t>first and second applicants were arraigned before the Commercial Crimes Court on a charge of fraud</w:t>
      </w:r>
      <w:r w:rsidR="001A4EF0" w:rsidRPr="00DA0DA5">
        <w:rPr>
          <w:rFonts w:ascii="Arial" w:hAnsi="Arial" w:cs="Arial"/>
          <w:sz w:val="24"/>
          <w:szCs w:val="24"/>
        </w:rPr>
        <w:t>.  In addition, the second applicant faces two further charges of fraud and two charges of forgery</w:t>
      </w:r>
      <w:r w:rsidR="006A22CC" w:rsidRPr="00DA0DA5">
        <w:rPr>
          <w:rFonts w:ascii="Arial" w:hAnsi="Arial" w:cs="Arial"/>
          <w:sz w:val="24"/>
          <w:szCs w:val="24"/>
        </w:rPr>
        <w:t xml:space="preserve">.  </w:t>
      </w:r>
      <w:r w:rsidR="002D36BA" w:rsidRPr="00DA0DA5">
        <w:rPr>
          <w:rFonts w:ascii="Arial" w:hAnsi="Arial" w:cs="Arial"/>
          <w:sz w:val="24"/>
          <w:szCs w:val="24"/>
        </w:rPr>
        <w:t>Central to the charges is a contract awarded to the first applicant by the Department of Education, Eastern Cape</w:t>
      </w:r>
      <w:r w:rsidR="00BC40CB" w:rsidRPr="00DA0DA5">
        <w:rPr>
          <w:rFonts w:ascii="Arial" w:hAnsi="Arial" w:cs="Arial"/>
          <w:sz w:val="24"/>
          <w:szCs w:val="24"/>
        </w:rPr>
        <w:t xml:space="preserve"> (“</w:t>
      </w:r>
      <w:r w:rsidR="00BC40CB" w:rsidRPr="00DA0DA5">
        <w:rPr>
          <w:rFonts w:ascii="Arial" w:hAnsi="Arial" w:cs="Arial"/>
          <w:i/>
          <w:iCs/>
          <w:sz w:val="24"/>
          <w:szCs w:val="24"/>
        </w:rPr>
        <w:t>the Department</w:t>
      </w:r>
      <w:r w:rsidR="00BC40CB" w:rsidRPr="00DA0DA5">
        <w:rPr>
          <w:rFonts w:ascii="Arial" w:hAnsi="Arial" w:cs="Arial"/>
          <w:sz w:val="24"/>
          <w:szCs w:val="24"/>
        </w:rPr>
        <w:t>”)</w:t>
      </w:r>
      <w:r w:rsidR="002D36BA" w:rsidRPr="00DA0DA5">
        <w:rPr>
          <w:rFonts w:ascii="Arial" w:hAnsi="Arial" w:cs="Arial"/>
          <w:sz w:val="24"/>
          <w:szCs w:val="24"/>
        </w:rPr>
        <w:t>,</w:t>
      </w:r>
      <w:r w:rsidR="00850AD1">
        <w:rPr>
          <w:rStyle w:val="FootnoteReference"/>
          <w:rFonts w:ascii="Arial" w:hAnsi="Arial" w:cs="Arial"/>
          <w:sz w:val="24"/>
          <w:szCs w:val="24"/>
        </w:rPr>
        <w:footnoteReference w:id="3"/>
      </w:r>
      <w:r w:rsidR="002D36BA" w:rsidRPr="00DA0DA5">
        <w:rPr>
          <w:rFonts w:ascii="Arial" w:hAnsi="Arial" w:cs="Arial"/>
          <w:sz w:val="24"/>
          <w:szCs w:val="24"/>
        </w:rPr>
        <w:t xml:space="preserve"> for the provision of Learning and Teaching Support Materials</w:t>
      </w:r>
      <w:r w:rsidR="00BC40CB" w:rsidRPr="00DA0DA5">
        <w:rPr>
          <w:rFonts w:ascii="Arial" w:hAnsi="Arial" w:cs="Arial"/>
          <w:sz w:val="24"/>
          <w:szCs w:val="24"/>
        </w:rPr>
        <w:t xml:space="preserve">, inclusive of textbooks, and scholastic stationary before the commencement of each year. </w:t>
      </w:r>
      <w:r w:rsidR="002D36BA" w:rsidRPr="00DA0DA5">
        <w:rPr>
          <w:rFonts w:ascii="Arial" w:hAnsi="Arial" w:cs="Arial"/>
          <w:sz w:val="24"/>
          <w:szCs w:val="24"/>
        </w:rPr>
        <w:t xml:space="preserve"> </w:t>
      </w:r>
    </w:p>
    <w:p w14:paraId="392BCCD7" w14:textId="77777777" w:rsidR="006A22CC" w:rsidRDefault="006A22CC" w:rsidP="006A22CC">
      <w:pPr>
        <w:pStyle w:val="ListParagraph"/>
        <w:spacing w:after="0" w:line="480" w:lineRule="auto"/>
        <w:ind w:left="851"/>
        <w:jc w:val="both"/>
        <w:rPr>
          <w:rFonts w:ascii="Arial" w:hAnsi="Arial" w:cs="Arial"/>
          <w:sz w:val="24"/>
          <w:szCs w:val="24"/>
        </w:rPr>
      </w:pPr>
    </w:p>
    <w:p w14:paraId="6A4576BE" w14:textId="6ACCB4C7" w:rsidR="00FB1788"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6A22CC" w:rsidRPr="00DA0DA5">
        <w:rPr>
          <w:rFonts w:ascii="Arial" w:hAnsi="Arial" w:cs="Arial"/>
          <w:sz w:val="24"/>
          <w:szCs w:val="24"/>
        </w:rPr>
        <w:t>On a reading of the charge sheet,</w:t>
      </w:r>
      <w:r w:rsidR="00BC40CB" w:rsidRPr="00DA0DA5">
        <w:rPr>
          <w:rFonts w:ascii="Arial" w:hAnsi="Arial" w:cs="Arial"/>
          <w:sz w:val="24"/>
          <w:szCs w:val="24"/>
        </w:rPr>
        <w:t xml:space="preserve"> together with its preamble,</w:t>
      </w:r>
      <w:r w:rsidR="006A22CC" w:rsidRPr="00DA0DA5">
        <w:rPr>
          <w:rFonts w:ascii="Arial" w:hAnsi="Arial" w:cs="Arial"/>
          <w:sz w:val="24"/>
          <w:szCs w:val="24"/>
        </w:rPr>
        <w:t xml:space="preserve"> and simplistically put, </w:t>
      </w:r>
      <w:r w:rsidR="00BC40CB" w:rsidRPr="00DA0DA5">
        <w:rPr>
          <w:rFonts w:ascii="Arial" w:hAnsi="Arial" w:cs="Arial"/>
          <w:sz w:val="24"/>
          <w:szCs w:val="24"/>
        </w:rPr>
        <w:t xml:space="preserve">the State contends that the Department, as part of the bidding process, required bidders to furnish certain supporting documentation </w:t>
      </w:r>
      <w:r w:rsidR="0041467D" w:rsidRPr="00DA0DA5">
        <w:rPr>
          <w:rFonts w:ascii="Arial" w:hAnsi="Arial" w:cs="Arial"/>
          <w:sz w:val="24"/>
          <w:szCs w:val="24"/>
        </w:rPr>
        <w:t>as proof of</w:t>
      </w:r>
      <w:r w:rsidR="00BC40CB" w:rsidRPr="00DA0DA5">
        <w:rPr>
          <w:rFonts w:ascii="Arial" w:hAnsi="Arial" w:cs="Arial"/>
          <w:sz w:val="24"/>
          <w:szCs w:val="24"/>
        </w:rPr>
        <w:t xml:space="preserve"> experience </w:t>
      </w:r>
      <w:r w:rsidR="00850AD1" w:rsidRPr="00DA0DA5">
        <w:rPr>
          <w:rFonts w:ascii="Arial" w:hAnsi="Arial" w:cs="Arial"/>
          <w:sz w:val="24"/>
          <w:szCs w:val="24"/>
        </w:rPr>
        <w:t>(</w:t>
      </w:r>
      <w:r w:rsidR="00BC40CB" w:rsidRPr="00DA0DA5">
        <w:rPr>
          <w:rFonts w:ascii="Arial" w:hAnsi="Arial" w:cs="Arial"/>
          <w:sz w:val="24"/>
          <w:szCs w:val="24"/>
        </w:rPr>
        <w:t>and success</w:t>
      </w:r>
      <w:r w:rsidR="00850AD1" w:rsidRPr="00DA0DA5">
        <w:rPr>
          <w:rFonts w:ascii="Arial" w:hAnsi="Arial" w:cs="Arial"/>
          <w:sz w:val="24"/>
          <w:szCs w:val="24"/>
        </w:rPr>
        <w:t>)</w:t>
      </w:r>
      <w:r w:rsidR="00BC40CB" w:rsidRPr="00DA0DA5">
        <w:rPr>
          <w:rFonts w:ascii="Arial" w:hAnsi="Arial" w:cs="Arial"/>
          <w:sz w:val="24"/>
          <w:szCs w:val="24"/>
        </w:rPr>
        <w:t xml:space="preserve"> in </w:t>
      </w:r>
      <w:r w:rsidR="0041467D" w:rsidRPr="00DA0DA5">
        <w:rPr>
          <w:rFonts w:ascii="Arial" w:hAnsi="Arial" w:cs="Arial"/>
          <w:sz w:val="24"/>
          <w:szCs w:val="24"/>
        </w:rPr>
        <w:t xml:space="preserve">similar </w:t>
      </w:r>
      <w:r w:rsidR="00BC40CB" w:rsidRPr="00DA0DA5">
        <w:rPr>
          <w:rFonts w:ascii="Arial" w:hAnsi="Arial" w:cs="Arial"/>
          <w:sz w:val="24"/>
          <w:szCs w:val="24"/>
        </w:rPr>
        <w:t>previous projects, such as letters of recommendation by contactable references</w:t>
      </w:r>
      <w:r w:rsidR="0041467D" w:rsidRPr="00DA0DA5">
        <w:rPr>
          <w:rFonts w:ascii="Arial" w:hAnsi="Arial" w:cs="Arial"/>
          <w:sz w:val="24"/>
          <w:szCs w:val="24"/>
        </w:rPr>
        <w:t xml:space="preserve">.  In addition, </w:t>
      </w:r>
      <w:r w:rsidR="00920EAB" w:rsidRPr="00DA0DA5">
        <w:rPr>
          <w:rFonts w:ascii="Arial" w:hAnsi="Arial" w:cs="Arial"/>
          <w:sz w:val="24"/>
          <w:szCs w:val="24"/>
        </w:rPr>
        <w:t>valid Tax Clearance Certificates were required in respect of each bidder</w:t>
      </w:r>
      <w:r w:rsidR="0041467D" w:rsidRPr="00DA0DA5">
        <w:rPr>
          <w:rFonts w:ascii="Arial" w:hAnsi="Arial" w:cs="Arial"/>
          <w:sz w:val="24"/>
          <w:szCs w:val="24"/>
        </w:rPr>
        <w:t xml:space="preserve">.  On </w:t>
      </w:r>
      <w:r w:rsidR="0082637E" w:rsidRPr="00DA0DA5">
        <w:rPr>
          <w:rFonts w:ascii="Arial" w:hAnsi="Arial" w:cs="Arial"/>
          <w:sz w:val="24"/>
          <w:szCs w:val="24"/>
        </w:rPr>
        <w:t>1</w:t>
      </w:r>
      <w:r w:rsidR="0041467D" w:rsidRPr="00DA0DA5">
        <w:rPr>
          <w:rFonts w:ascii="Arial" w:hAnsi="Arial" w:cs="Arial"/>
          <w:sz w:val="24"/>
          <w:szCs w:val="24"/>
        </w:rPr>
        <w:t xml:space="preserve">9 October 2009, the second applicant, in his capacity as a director of the first applicant, as well as in his capacity as a director of two further </w:t>
      </w:r>
      <w:r w:rsidR="0082637E" w:rsidRPr="00DA0DA5">
        <w:rPr>
          <w:rFonts w:ascii="Arial" w:hAnsi="Arial" w:cs="Arial"/>
          <w:sz w:val="24"/>
          <w:szCs w:val="24"/>
        </w:rPr>
        <w:t>corporate</w:t>
      </w:r>
      <w:r w:rsidR="0041467D" w:rsidRPr="00DA0DA5">
        <w:rPr>
          <w:rFonts w:ascii="Arial" w:hAnsi="Arial" w:cs="Arial"/>
          <w:sz w:val="24"/>
          <w:szCs w:val="24"/>
        </w:rPr>
        <w:t xml:space="preserve"> entities, Mega Papers </w:t>
      </w:r>
      <w:r w:rsidR="0041467D" w:rsidRPr="00DA0DA5">
        <w:rPr>
          <w:rFonts w:ascii="Arial" w:hAnsi="Arial" w:cs="Arial"/>
          <w:sz w:val="24"/>
          <w:szCs w:val="24"/>
        </w:rPr>
        <w:lastRenderedPageBreak/>
        <w:t xml:space="preserve">(Pty) Ltd </w:t>
      </w:r>
      <w:r w:rsidR="00D90BC6" w:rsidRPr="00DA0DA5">
        <w:rPr>
          <w:rFonts w:ascii="Arial" w:hAnsi="Arial" w:cs="Arial"/>
          <w:sz w:val="24"/>
          <w:szCs w:val="24"/>
        </w:rPr>
        <w:t>(“</w:t>
      </w:r>
      <w:r w:rsidR="00D90BC6" w:rsidRPr="00DA0DA5">
        <w:rPr>
          <w:rFonts w:ascii="Arial" w:hAnsi="Arial" w:cs="Arial"/>
          <w:i/>
          <w:iCs/>
          <w:sz w:val="24"/>
          <w:szCs w:val="24"/>
        </w:rPr>
        <w:t>Mega Papers</w:t>
      </w:r>
      <w:r w:rsidR="00D90BC6" w:rsidRPr="00DA0DA5">
        <w:rPr>
          <w:rFonts w:ascii="Arial" w:hAnsi="Arial" w:cs="Arial"/>
          <w:sz w:val="24"/>
          <w:szCs w:val="24"/>
        </w:rPr>
        <w:t xml:space="preserve">”) </w:t>
      </w:r>
      <w:r w:rsidR="0041467D" w:rsidRPr="00DA0DA5">
        <w:rPr>
          <w:rFonts w:ascii="Arial" w:hAnsi="Arial" w:cs="Arial"/>
          <w:sz w:val="24"/>
          <w:szCs w:val="24"/>
        </w:rPr>
        <w:t>and Paper Active (Pty) Ltd</w:t>
      </w:r>
      <w:r w:rsidR="00D90BC6" w:rsidRPr="00DA0DA5">
        <w:rPr>
          <w:rFonts w:ascii="Arial" w:hAnsi="Arial" w:cs="Arial"/>
          <w:sz w:val="24"/>
          <w:szCs w:val="24"/>
        </w:rPr>
        <w:t xml:space="preserve"> (“</w:t>
      </w:r>
      <w:r w:rsidR="00D90BC6" w:rsidRPr="00DA0DA5">
        <w:rPr>
          <w:rFonts w:ascii="Arial" w:hAnsi="Arial" w:cs="Arial"/>
          <w:i/>
          <w:iCs/>
          <w:sz w:val="24"/>
          <w:szCs w:val="24"/>
        </w:rPr>
        <w:t>Paper Active</w:t>
      </w:r>
      <w:r w:rsidR="00D90BC6" w:rsidRPr="00DA0DA5">
        <w:rPr>
          <w:rFonts w:ascii="Arial" w:hAnsi="Arial" w:cs="Arial"/>
          <w:sz w:val="24"/>
          <w:szCs w:val="24"/>
        </w:rPr>
        <w:t>”)</w:t>
      </w:r>
      <w:r w:rsidR="0041467D" w:rsidRPr="00DA0DA5">
        <w:rPr>
          <w:rFonts w:ascii="Arial" w:hAnsi="Arial" w:cs="Arial"/>
          <w:sz w:val="24"/>
          <w:szCs w:val="24"/>
        </w:rPr>
        <w:t xml:space="preserve">, which have since been deregistered, signed tender documentation on behalf of the first </w:t>
      </w:r>
      <w:r w:rsidR="00351214" w:rsidRPr="00DA0DA5">
        <w:rPr>
          <w:rFonts w:ascii="Arial" w:hAnsi="Arial" w:cs="Arial"/>
          <w:sz w:val="24"/>
          <w:szCs w:val="24"/>
        </w:rPr>
        <w:t>applicant</w:t>
      </w:r>
      <w:r w:rsidR="00FB1788" w:rsidRPr="00DA0DA5">
        <w:rPr>
          <w:rFonts w:ascii="Arial" w:hAnsi="Arial" w:cs="Arial"/>
          <w:sz w:val="24"/>
          <w:szCs w:val="24"/>
        </w:rPr>
        <w:t xml:space="preserve"> and the two </w:t>
      </w:r>
      <w:r w:rsidR="0082637E" w:rsidRPr="00DA0DA5">
        <w:rPr>
          <w:rFonts w:ascii="Arial" w:hAnsi="Arial" w:cs="Arial"/>
          <w:sz w:val="24"/>
          <w:szCs w:val="24"/>
        </w:rPr>
        <w:t>corporate</w:t>
      </w:r>
      <w:r w:rsidR="00813B51" w:rsidRPr="00DA0DA5">
        <w:rPr>
          <w:rFonts w:ascii="Arial" w:hAnsi="Arial" w:cs="Arial"/>
          <w:sz w:val="24"/>
          <w:szCs w:val="24"/>
        </w:rPr>
        <w:t xml:space="preserve"> </w:t>
      </w:r>
      <w:r w:rsidR="00FB1788" w:rsidRPr="00DA0DA5">
        <w:rPr>
          <w:rFonts w:ascii="Arial" w:hAnsi="Arial" w:cs="Arial"/>
          <w:sz w:val="24"/>
          <w:szCs w:val="24"/>
        </w:rPr>
        <w:t>entities respectively</w:t>
      </w:r>
      <w:r w:rsidR="00813B51" w:rsidRPr="00DA0DA5">
        <w:rPr>
          <w:rFonts w:ascii="Arial" w:hAnsi="Arial" w:cs="Arial"/>
          <w:sz w:val="24"/>
          <w:szCs w:val="24"/>
        </w:rPr>
        <w:t>, and submitted same to the Department</w:t>
      </w:r>
      <w:r w:rsidR="00FB1788" w:rsidRPr="00DA0DA5">
        <w:rPr>
          <w:rFonts w:ascii="Arial" w:hAnsi="Arial" w:cs="Arial"/>
          <w:sz w:val="24"/>
          <w:szCs w:val="24"/>
        </w:rPr>
        <w:t>.</w:t>
      </w:r>
    </w:p>
    <w:p w14:paraId="05E93968" w14:textId="77777777" w:rsidR="00FB1788" w:rsidRPr="00FB1788" w:rsidRDefault="00FB1788" w:rsidP="00850AD1">
      <w:pPr>
        <w:pStyle w:val="ListParagraph"/>
        <w:spacing w:after="0" w:line="480" w:lineRule="auto"/>
        <w:rPr>
          <w:rFonts w:ascii="Arial" w:hAnsi="Arial" w:cs="Arial"/>
          <w:sz w:val="24"/>
          <w:szCs w:val="24"/>
        </w:rPr>
      </w:pPr>
    </w:p>
    <w:p w14:paraId="73E645DF" w14:textId="614DFD21" w:rsidR="00D90BC6"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D90BC6" w:rsidRPr="00DA0DA5">
        <w:rPr>
          <w:rFonts w:ascii="Arial" w:hAnsi="Arial" w:cs="Arial"/>
          <w:sz w:val="24"/>
          <w:szCs w:val="24"/>
        </w:rPr>
        <w:t xml:space="preserve">In respect of the </w:t>
      </w:r>
      <w:r w:rsidR="001D10A4" w:rsidRPr="00DA0DA5">
        <w:rPr>
          <w:rFonts w:ascii="Arial" w:hAnsi="Arial" w:cs="Arial"/>
          <w:sz w:val="24"/>
          <w:szCs w:val="24"/>
        </w:rPr>
        <w:t>2</w:t>
      </w:r>
      <w:r w:rsidR="00D90BC6" w:rsidRPr="00DA0DA5">
        <w:rPr>
          <w:rFonts w:ascii="Arial" w:hAnsi="Arial" w:cs="Arial"/>
          <w:sz w:val="24"/>
          <w:szCs w:val="24"/>
        </w:rPr>
        <w:t xml:space="preserve"> charges of forgery against the second applicant, the charge sheet reads as follows:</w:t>
      </w:r>
    </w:p>
    <w:p w14:paraId="641381C2" w14:textId="77777777" w:rsidR="00D90BC6" w:rsidRPr="00D90BC6" w:rsidRDefault="00D90BC6" w:rsidP="00D90BC6">
      <w:pPr>
        <w:pStyle w:val="ListParagraph"/>
        <w:rPr>
          <w:rFonts w:ascii="Arial" w:hAnsi="Arial" w:cs="Arial"/>
          <w:sz w:val="24"/>
          <w:szCs w:val="24"/>
        </w:rPr>
      </w:pPr>
    </w:p>
    <w:p w14:paraId="0F6955FF" w14:textId="77777777" w:rsidR="00D90BC6" w:rsidRPr="00D90BC6" w:rsidRDefault="00D90BC6" w:rsidP="00D90BC6">
      <w:pPr>
        <w:pStyle w:val="ListParagraph"/>
        <w:spacing w:after="0" w:line="360" w:lineRule="auto"/>
        <w:ind w:left="851"/>
        <w:jc w:val="both"/>
        <w:rPr>
          <w:rFonts w:ascii="Arial" w:hAnsi="Arial" w:cs="Arial"/>
          <w:sz w:val="20"/>
          <w:szCs w:val="20"/>
          <w:lang w:val="en-US"/>
        </w:rPr>
      </w:pPr>
      <w:r>
        <w:rPr>
          <w:rFonts w:ascii="Arial" w:hAnsi="Arial" w:cs="Arial"/>
          <w:sz w:val="24"/>
          <w:szCs w:val="24"/>
        </w:rPr>
        <w:t>“</w:t>
      </w:r>
      <w:r w:rsidRPr="00D90BC6">
        <w:rPr>
          <w:rFonts w:ascii="Arial" w:hAnsi="Arial" w:cs="Arial"/>
          <w:i/>
          <w:iCs/>
          <w:sz w:val="20"/>
          <w:szCs w:val="20"/>
        </w:rPr>
        <w:t xml:space="preserve">In that upon or about 19 October 2009 and at or near the Department of Education, Eastern Cape </w:t>
      </w:r>
      <w:r w:rsidRPr="00D90BC6">
        <w:rPr>
          <w:rFonts w:ascii="Arial" w:hAnsi="Arial" w:cs="Arial"/>
          <w:i/>
          <w:iCs/>
          <w:sz w:val="20"/>
          <w:szCs w:val="20"/>
          <w:lang w:val="en-US"/>
        </w:rPr>
        <w:t>in the Regional Division of the Eastern Cape the Accused did unlawfully, falsely and with the intent to defraud and to the prejudice or potential prejudice of the Department of Education and/ or SARS forged an (sic) instruments in writing to wit: a tax clearance certificate relating to…</w:t>
      </w:r>
      <w:r w:rsidRPr="00D90BC6">
        <w:rPr>
          <w:rFonts w:ascii="Arial" w:hAnsi="Arial" w:cs="Arial"/>
          <w:sz w:val="20"/>
          <w:szCs w:val="20"/>
          <w:lang w:val="en-US"/>
        </w:rPr>
        <w:t xml:space="preserve">” </w:t>
      </w:r>
    </w:p>
    <w:p w14:paraId="56AF2774" w14:textId="77777777" w:rsidR="00D90BC6" w:rsidRDefault="00D90BC6" w:rsidP="00D90BC6">
      <w:pPr>
        <w:pStyle w:val="ListParagraph"/>
        <w:spacing w:after="0" w:line="480" w:lineRule="auto"/>
        <w:ind w:left="851"/>
        <w:jc w:val="both"/>
        <w:rPr>
          <w:rFonts w:ascii="Arial" w:hAnsi="Arial" w:cs="Arial"/>
          <w:sz w:val="24"/>
          <w:szCs w:val="24"/>
          <w:lang w:val="en-US"/>
        </w:rPr>
      </w:pPr>
    </w:p>
    <w:p w14:paraId="2E476396" w14:textId="4A398DB9" w:rsidR="00D90BC6" w:rsidRDefault="00A57E16" w:rsidP="00D90BC6">
      <w:pPr>
        <w:pStyle w:val="ListParagraph"/>
        <w:spacing w:after="0" w:line="480" w:lineRule="auto"/>
        <w:ind w:left="851"/>
        <w:jc w:val="both"/>
        <w:rPr>
          <w:rFonts w:ascii="Arial" w:hAnsi="Arial" w:cs="Arial"/>
          <w:sz w:val="24"/>
          <w:szCs w:val="24"/>
          <w:lang w:val="en-US"/>
        </w:rPr>
      </w:pPr>
      <w:r>
        <w:rPr>
          <w:rFonts w:ascii="Arial" w:hAnsi="Arial" w:cs="Arial"/>
          <w:sz w:val="24"/>
          <w:szCs w:val="24"/>
          <w:lang w:val="en-US"/>
        </w:rPr>
        <w:t>“</w:t>
      </w:r>
      <w:r w:rsidR="00D90BC6" w:rsidRPr="00A57E16">
        <w:rPr>
          <w:rFonts w:ascii="Arial" w:hAnsi="Arial" w:cs="Arial"/>
          <w:i/>
          <w:iCs/>
          <w:sz w:val="20"/>
          <w:szCs w:val="20"/>
          <w:lang w:val="en-US"/>
        </w:rPr>
        <w:t>Mega Papers</w:t>
      </w:r>
      <w:r>
        <w:rPr>
          <w:rFonts w:ascii="Arial" w:hAnsi="Arial" w:cs="Arial"/>
          <w:sz w:val="24"/>
          <w:szCs w:val="24"/>
          <w:lang w:val="en-US"/>
        </w:rPr>
        <w:t>”</w:t>
      </w:r>
      <w:r w:rsidR="001D10A4">
        <w:rPr>
          <w:rFonts w:ascii="Arial" w:hAnsi="Arial" w:cs="Arial"/>
          <w:sz w:val="24"/>
          <w:szCs w:val="24"/>
          <w:lang w:val="en-US"/>
        </w:rPr>
        <w:t>,</w:t>
      </w:r>
      <w:r w:rsidR="00D90BC6">
        <w:rPr>
          <w:rFonts w:ascii="Arial" w:hAnsi="Arial" w:cs="Arial"/>
          <w:sz w:val="24"/>
          <w:szCs w:val="24"/>
          <w:lang w:val="en-US"/>
        </w:rPr>
        <w:t xml:space="preserve"> in respect of count 3</w:t>
      </w:r>
      <w:r w:rsidR="001D10A4">
        <w:rPr>
          <w:rFonts w:ascii="Arial" w:hAnsi="Arial" w:cs="Arial"/>
          <w:sz w:val="24"/>
          <w:szCs w:val="24"/>
          <w:lang w:val="en-US"/>
        </w:rPr>
        <w:t>;</w:t>
      </w:r>
      <w:r w:rsidR="00D90BC6">
        <w:rPr>
          <w:rFonts w:ascii="Arial" w:hAnsi="Arial" w:cs="Arial"/>
          <w:sz w:val="24"/>
          <w:szCs w:val="24"/>
          <w:lang w:val="en-US"/>
        </w:rPr>
        <w:t xml:space="preserve"> and relating to </w:t>
      </w:r>
      <w:r>
        <w:rPr>
          <w:rFonts w:ascii="Arial" w:hAnsi="Arial" w:cs="Arial"/>
          <w:sz w:val="24"/>
          <w:szCs w:val="24"/>
          <w:lang w:val="en-US"/>
        </w:rPr>
        <w:t>“</w:t>
      </w:r>
      <w:r w:rsidR="00D90BC6" w:rsidRPr="00A57E16">
        <w:rPr>
          <w:rFonts w:ascii="Arial" w:hAnsi="Arial" w:cs="Arial"/>
          <w:i/>
          <w:iCs/>
          <w:sz w:val="20"/>
          <w:szCs w:val="20"/>
          <w:lang w:val="en-US"/>
        </w:rPr>
        <w:t>Paper Active</w:t>
      </w:r>
      <w:r>
        <w:rPr>
          <w:rFonts w:ascii="Arial" w:hAnsi="Arial" w:cs="Arial"/>
          <w:sz w:val="24"/>
          <w:szCs w:val="24"/>
          <w:lang w:val="en-US"/>
        </w:rPr>
        <w:t>”</w:t>
      </w:r>
      <w:r w:rsidR="001D10A4">
        <w:rPr>
          <w:rFonts w:ascii="Arial" w:hAnsi="Arial" w:cs="Arial"/>
          <w:sz w:val="24"/>
          <w:szCs w:val="24"/>
          <w:lang w:val="en-US"/>
        </w:rPr>
        <w:t>,</w:t>
      </w:r>
      <w:r w:rsidR="00D90BC6">
        <w:rPr>
          <w:rFonts w:ascii="Arial" w:hAnsi="Arial" w:cs="Arial"/>
          <w:sz w:val="24"/>
          <w:szCs w:val="24"/>
          <w:lang w:val="en-US"/>
        </w:rPr>
        <w:t xml:space="preserve"> in respect of count 5</w:t>
      </w:r>
      <w:r w:rsidR="00D90BC6" w:rsidRPr="00D90BC6">
        <w:rPr>
          <w:rFonts w:ascii="Arial" w:hAnsi="Arial" w:cs="Arial"/>
          <w:sz w:val="24"/>
          <w:szCs w:val="24"/>
          <w:lang w:val="en-US"/>
        </w:rPr>
        <w:t>.</w:t>
      </w:r>
    </w:p>
    <w:p w14:paraId="3995D981" w14:textId="77777777" w:rsidR="00AE6D31" w:rsidRDefault="00AE6D31" w:rsidP="00AE6D31">
      <w:pPr>
        <w:pStyle w:val="ListParagraph"/>
        <w:spacing w:after="0" w:line="480" w:lineRule="auto"/>
        <w:ind w:left="851"/>
        <w:jc w:val="both"/>
        <w:rPr>
          <w:rFonts w:ascii="Arial" w:hAnsi="Arial" w:cs="Arial"/>
          <w:sz w:val="24"/>
          <w:szCs w:val="24"/>
        </w:rPr>
      </w:pPr>
    </w:p>
    <w:p w14:paraId="23268428" w14:textId="53B4BC79" w:rsidR="007A6349"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850AD1" w:rsidRPr="00DA0DA5">
        <w:rPr>
          <w:rFonts w:ascii="Arial" w:hAnsi="Arial" w:cs="Arial"/>
          <w:sz w:val="24"/>
          <w:szCs w:val="24"/>
        </w:rPr>
        <w:t>S</w:t>
      </w:r>
      <w:r w:rsidR="007A6349" w:rsidRPr="00DA0DA5">
        <w:rPr>
          <w:rFonts w:ascii="Arial" w:hAnsi="Arial" w:cs="Arial"/>
          <w:sz w:val="24"/>
          <w:szCs w:val="24"/>
        </w:rPr>
        <w:t xml:space="preserve">ubject to what I set out below, </w:t>
      </w:r>
      <w:r w:rsidR="00850AD1" w:rsidRPr="00DA0DA5">
        <w:rPr>
          <w:rFonts w:ascii="Arial" w:hAnsi="Arial" w:cs="Arial"/>
          <w:sz w:val="24"/>
          <w:szCs w:val="24"/>
        </w:rPr>
        <w:t xml:space="preserve">the respective charges of fraud </w:t>
      </w:r>
      <w:r w:rsidR="007A6349" w:rsidRPr="00DA0DA5">
        <w:rPr>
          <w:rFonts w:ascii="Arial" w:hAnsi="Arial" w:cs="Arial"/>
          <w:sz w:val="24"/>
          <w:szCs w:val="24"/>
        </w:rPr>
        <w:t>are formulated in materially the same terms as against the first and second applicants; alternatively, the second applicant only, where applicable.   Accordingly, and for illustrative purposes, the content of count 1</w:t>
      </w:r>
      <w:r w:rsidR="00850AD1" w:rsidRPr="00DA0DA5">
        <w:rPr>
          <w:rFonts w:ascii="Arial" w:hAnsi="Arial" w:cs="Arial"/>
          <w:sz w:val="24"/>
          <w:szCs w:val="24"/>
        </w:rPr>
        <w:t xml:space="preserve">, which pertains to both the first and second applicant, </w:t>
      </w:r>
      <w:r w:rsidR="007A6349" w:rsidRPr="00DA0DA5">
        <w:rPr>
          <w:rFonts w:ascii="Arial" w:hAnsi="Arial" w:cs="Arial"/>
          <w:sz w:val="24"/>
          <w:szCs w:val="24"/>
        </w:rPr>
        <w:t>reads as follows:</w:t>
      </w:r>
    </w:p>
    <w:p w14:paraId="46E28BD8" w14:textId="77777777" w:rsidR="00057B9F" w:rsidRDefault="00057B9F" w:rsidP="007A6349">
      <w:pPr>
        <w:pStyle w:val="ListParagraph"/>
        <w:spacing w:after="0" w:line="480" w:lineRule="auto"/>
        <w:ind w:left="851"/>
        <w:jc w:val="both"/>
        <w:rPr>
          <w:rFonts w:ascii="Arial" w:hAnsi="Arial" w:cs="Arial"/>
          <w:sz w:val="24"/>
          <w:szCs w:val="24"/>
          <w:lang w:val="en-US"/>
        </w:rPr>
      </w:pPr>
    </w:p>
    <w:p w14:paraId="6BA622BE" w14:textId="77777777" w:rsidR="00057B9F" w:rsidRDefault="00057B9F" w:rsidP="00057B9F">
      <w:pPr>
        <w:pStyle w:val="ListParagraph"/>
        <w:spacing w:after="0" w:line="360" w:lineRule="auto"/>
        <w:ind w:left="851"/>
        <w:jc w:val="both"/>
        <w:rPr>
          <w:rFonts w:ascii="Arial" w:hAnsi="Arial" w:cs="Arial"/>
          <w:i/>
          <w:iCs/>
          <w:sz w:val="20"/>
          <w:szCs w:val="20"/>
          <w:lang w:val="en-US"/>
        </w:rPr>
      </w:pPr>
      <w:r>
        <w:rPr>
          <w:rFonts w:ascii="Arial" w:hAnsi="Arial" w:cs="Arial"/>
          <w:sz w:val="24"/>
          <w:szCs w:val="24"/>
          <w:lang w:val="en-US"/>
        </w:rPr>
        <w:t>“</w:t>
      </w:r>
      <w:r w:rsidRPr="00057B9F">
        <w:rPr>
          <w:rFonts w:ascii="Arial" w:hAnsi="Arial" w:cs="Arial"/>
          <w:i/>
          <w:iCs/>
          <w:sz w:val="20"/>
          <w:szCs w:val="20"/>
          <w:lang w:val="en-US"/>
        </w:rPr>
        <w:t>In that during the period from 19 October 2009 to 21 December 2009 an</w:t>
      </w:r>
      <w:r>
        <w:rPr>
          <w:rFonts w:ascii="Arial" w:hAnsi="Arial" w:cs="Arial"/>
          <w:i/>
          <w:iCs/>
          <w:sz w:val="20"/>
          <w:szCs w:val="20"/>
          <w:lang w:val="en-US"/>
        </w:rPr>
        <w:t>d at or</w:t>
      </w:r>
      <w:r w:rsidRPr="00057B9F">
        <w:rPr>
          <w:rFonts w:ascii="Arial" w:hAnsi="Arial" w:cs="Arial"/>
          <w:i/>
          <w:iCs/>
          <w:sz w:val="20"/>
          <w:szCs w:val="20"/>
          <w:lang w:val="en-US"/>
        </w:rPr>
        <w:t xml:space="preserve"> near the Department of Education, Eastern Cape in the </w:t>
      </w:r>
      <w:r>
        <w:rPr>
          <w:rFonts w:ascii="Arial" w:hAnsi="Arial" w:cs="Arial"/>
          <w:i/>
          <w:iCs/>
          <w:sz w:val="20"/>
          <w:szCs w:val="20"/>
          <w:lang w:val="en-US"/>
        </w:rPr>
        <w:t>R</w:t>
      </w:r>
      <w:r w:rsidRPr="00057B9F">
        <w:rPr>
          <w:rFonts w:ascii="Arial" w:hAnsi="Arial" w:cs="Arial"/>
          <w:i/>
          <w:iCs/>
          <w:sz w:val="20"/>
          <w:szCs w:val="20"/>
          <w:lang w:val="en-US"/>
        </w:rPr>
        <w:t xml:space="preserve">egional </w:t>
      </w:r>
      <w:r>
        <w:rPr>
          <w:rFonts w:ascii="Arial" w:hAnsi="Arial" w:cs="Arial"/>
          <w:i/>
          <w:iCs/>
          <w:sz w:val="20"/>
          <w:szCs w:val="20"/>
          <w:lang w:val="en-US"/>
        </w:rPr>
        <w:t>D</w:t>
      </w:r>
      <w:r w:rsidRPr="00057B9F">
        <w:rPr>
          <w:rFonts w:ascii="Arial" w:hAnsi="Arial" w:cs="Arial"/>
          <w:i/>
          <w:iCs/>
          <w:sz w:val="20"/>
          <w:szCs w:val="20"/>
          <w:lang w:val="en-US"/>
        </w:rPr>
        <w:t xml:space="preserve">ivision of the Eastern Cape the </w:t>
      </w:r>
      <w:r>
        <w:rPr>
          <w:rFonts w:ascii="Arial" w:hAnsi="Arial" w:cs="Arial"/>
          <w:i/>
          <w:iCs/>
          <w:sz w:val="20"/>
          <w:szCs w:val="20"/>
          <w:lang w:val="en-US"/>
        </w:rPr>
        <w:t>A</w:t>
      </w:r>
      <w:r w:rsidRPr="00057B9F">
        <w:rPr>
          <w:rFonts w:ascii="Arial" w:hAnsi="Arial" w:cs="Arial"/>
          <w:i/>
          <w:iCs/>
          <w:sz w:val="20"/>
          <w:szCs w:val="20"/>
          <w:lang w:val="en-US"/>
        </w:rPr>
        <w:t>ccused did unlawfully, falsely and with the intent to defraud, gave out and pretended, expressly or impliedly, to the Department of Education that</w:t>
      </w:r>
      <w:r>
        <w:rPr>
          <w:rFonts w:ascii="Arial" w:hAnsi="Arial" w:cs="Arial"/>
          <w:i/>
          <w:iCs/>
          <w:sz w:val="20"/>
          <w:szCs w:val="20"/>
          <w:lang w:val="en-US"/>
        </w:rPr>
        <w:t>:</w:t>
      </w:r>
      <w:r w:rsidRPr="00057B9F">
        <w:rPr>
          <w:rFonts w:ascii="Arial" w:hAnsi="Arial" w:cs="Arial"/>
          <w:i/>
          <w:iCs/>
          <w:sz w:val="20"/>
          <w:szCs w:val="20"/>
          <w:lang w:val="en-US"/>
        </w:rPr>
        <w:t xml:space="preserve"> </w:t>
      </w:r>
    </w:p>
    <w:p w14:paraId="2900C857" w14:textId="77777777" w:rsidR="00057B9F" w:rsidRDefault="00057B9F" w:rsidP="00057B9F">
      <w:pPr>
        <w:pStyle w:val="ListParagraph"/>
        <w:spacing w:after="0" w:line="360" w:lineRule="auto"/>
        <w:ind w:left="851"/>
        <w:jc w:val="both"/>
        <w:rPr>
          <w:rFonts w:ascii="Arial" w:hAnsi="Arial" w:cs="Arial"/>
          <w:i/>
          <w:iCs/>
          <w:sz w:val="20"/>
          <w:szCs w:val="20"/>
          <w:lang w:val="en-US"/>
        </w:rPr>
      </w:pPr>
    </w:p>
    <w:p w14:paraId="7574D367" w14:textId="66516740" w:rsidR="00057B9F" w:rsidRPr="00DA0DA5" w:rsidRDefault="00DA0DA5" w:rsidP="00DA0DA5">
      <w:pPr>
        <w:spacing w:after="0" w:line="360" w:lineRule="auto"/>
        <w:ind w:left="1571" w:hanging="360"/>
        <w:jc w:val="both"/>
        <w:rPr>
          <w:rFonts w:ascii="Arial" w:hAnsi="Arial" w:cs="Arial"/>
          <w:sz w:val="24"/>
          <w:szCs w:val="24"/>
        </w:rPr>
      </w:pPr>
      <w:r w:rsidRPr="00057B9F">
        <w:rPr>
          <w:rFonts w:ascii="Symbol" w:hAnsi="Symbol" w:cs="Arial"/>
          <w:sz w:val="24"/>
          <w:szCs w:val="24"/>
        </w:rPr>
        <w:lastRenderedPageBreak/>
        <w:t></w:t>
      </w:r>
      <w:r w:rsidRPr="00057B9F">
        <w:rPr>
          <w:rFonts w:ascii="Symbol" w:hAnsi="Symbol" w:cs="Arial"/>
          <w:sz w:val="24"/>
          <w:szCs w:val="24"/>
        </w:rPr>
        <w:tab/>
      </w:r>
      <w:r w:rsidR="00057B9F" w:rsidRPr="00DA0DA5">
        <w:rPr>
          <w:rFonts w:ascii="Arial" w:hAnsi="Arial" w:cs="Arial"/>
          <w:i/>
          <w:iCs/>
          <w:sz w:val="20"/>
          <w:szCs w:val="20"/>
          <w:lang w:val="en-US"/>
        </w:rPr>
        <w:t xml:space="preserve">documents in the name of Tevo, Office Elements, Mtuba Book Sellers and Stationers and G&amp;T Office Supplies were true and authentic and issued by the said businesses in the normal course of business, </w:t>
      </w:r>
    </w:p>
    <w:p w14:paraId="48990454" w14:textId="77777777" w:rsidR="00057B9F" w:rsidRDefault="00057B9F" w:rsidP="00057B9F">
      <w:pPr>
        <w:spacing w:after="0" w:line="360" w:lineRule="auto"/>
        <w:jc w:val="both"/>
        <w:rPr>
          <w:rFonts w:ascii="Arial" w:hAnsi="Arial" w:cs="Arial"/>
          <w:i/>
          <w:iCs/>
          <w:sz w:val="20"/>
          <w:szCs w:val="20"/>
          <w:lang w:val="en-US"/>
        </w:rPr>
      </w:pPr>
    </w:p>
    <w:p w14:paraId="48CD8080" w14:textId="03145713" w:rsidR="00057B9F" w:rsidRDefault="00057B9F" w:rsidP="007D3886">
      <w:pPr>
        <w:spacing w:after="0" w:line="360" w:lineRule="auto"/>
        <w:ind w:left="851"/>
        <w:jc w:val="both"/>
        <w:rPr>
          <w:rFonts w:ascii="Arial" w:hAnsi="Arial" w:cs="Arial"/>
          <w:i/>
          <w:iCs/>
          <w:sz w:val="20"/>
          <w:szCs w:val="20"/>
          <w:lang w:val="en-US"/>
        </w:rPr>
      </w:pPr>
      <w:r>
        <w:rPr>
          <w:rFonts w:ascii="Arial" w:hAnsi="Arial" w:cs="Arial"/>
          <w:i/>
          <w:iCs/>
          <w:sz w:val="20"/>
          <w:szCs w:val="20"/>
          <w:lang w:val="en-US"/>
        </w:rPr>
        <w:t>A</w:t>
      </w:r>
      <w:r w:rsidRPr="00057B9F">
        <w:rPr>
          <w:rFonts w:ascii="Arial" w:hAnsi="Arial" w:cs="Arial"/>
          <w:i/>
          <w:iCs/>
          <w:sz w:val="20"/>
          <w:szCs w:val="20"/>
          <w:lang w:val="en-US"/>
        </w:rPr>
        <w:t xml:space="preserve">nd the </w:t>
      </w:r>
      <w:r>
        <w:rPr>
          <w:rFonts w:ascii="Arial" w:hAnsi="Arial" w:cs="Arial"/>
          <w:i/>
          <w:iCs/>
          <w:sz w:val="20"/>
          <w:szCs w:val="20"/>
          <w:lang w:val="en-US"/>
        </w:rPr>
        <w:t>A</w:t>
      </w:r>
      <w:r w:rsidRPr="00057B9F">
        <w:rPr>
          <w:rFonts w:ascii="Arial" w:hAnsi="Arial" w:cs="Arial"/>
          <w:i/>
          <w:iCs/>
          <w:sz w:val="20"/>
          <w:szCs w:val="20"/>
          <w:lang w:val="en-US"/>
        </w:rPr>
        <w:t xml:space="preserve">ccused did, by means of the said false pretences induced the said Department of Education to its loss and prejudice, actual or potential, or the loss and prejudice, actual or potential, of the unsuccessful bidders, to accept the misrepresentations as true and correct and to award a tender in the amount of </w:t>
      </w:r>
      <w:r>
        <w:rPr>
          <w:rFonts w:ascii="Arial" w:hAnsi="Arial" w:cs="Arial"/>
          <w:i/>
          <w:iCs/>
          <w:sz w:val="20"/>
          <w:szCs w:val="20"/>
          <w:lang w:val="en-US"/>
        </w:rPr>
        <w:t>R13,585,917 to A</w:t>
      </w:r>
      <w:r w:rsidRPr="00057B9F">
        <w:rPr>
          <w:rFonts w:ascii="Arial" w:hAnsi="Arial" w:cs="Arial"/>
          <w:i/>
          <w:iCs/>
          <w:sz w:val="20"/>
          <w:szCs w:val="20"/>
          <w:lang w:val="en-US"/>
        </w:rPr>
        <w:t xml:space="preserve">ccused </w:t>
      </w:r>
      <w:r>
        <w:rPr>
          <w:rFonts w:ascii="Arial" w:hAnsi="Arial" w:cs="Arial"/>
          <w:i/>
          <w:iCs/>
          <w:sz w:val="20"/>
          <w:szCs w:val="20"/>
          <w:lang w:val="en-US"/>
        </w:rPr>
        <w:t>1</w:t>
      </w:r>
      <w:r w:rsidRPr="00057B9F">
        <w:rPr>
          <w:rFonts w:ascii="Arial" w:hAnsi="Arial" w:cs="Arial"/>
          <w:i/>
          <w:iCs/>
          <w:sz w:val="20"/>
          <w:szCs w:val="20"/>
          <w:lang w:val="en-US"/>
        </w:rPr>
        <w:t xml:space="preserve">, </w:t>
      </w:r>
    </w:p>
    <w:p w14:paraId="190834CC" w14:textId="77777777" w:rsidR="00057B9F" w:rsidRDefault="00057B9F" w:rsidP="007D3886">
      <w:pPr>
        <w:spacing w:after="0" w:line="360" w:lineRule="auto"/>
        <w:ind w:left="851"/>
        <w:jc w:val="both"/>
        <w:rPr>
          <w:rFonts w:ascii="Arial" w:hAnsi="Arial" w:cs="Arial"/>
          <w:i/>
          <w:iCs/>
          <w:sz w:val="20"/>
          <w:szCs w:val="20"/>
          <w:lang w:val="en-US"/>
        </w:rPr>
      </w:pPr>
    </w:p>
    <w:p w14:paraId="001238B9" w14:textId="6339D52B" w:rsidR="007A6349" w:rsidRDefault="00057B9F" w:rsidP="007D3886">
      <w:pPr>
        <w:spacing w:after="0" w:line="360" w:lineRule="auto"/>
        <w:ind w:left="851"/>
        <w:jc w:val="both"/>
        <w:rPr>
          <w:rFonts w:ascii="Arial" w:hAnsi="Arial" w:cs="Arial"/>
          <w:sz w:val="24"/>
          <w:szCs w:val="24"/>
        </w:rPr>
      </w:pPr>
      <w:r>
        <w:rPr>
          <w:rFonts w:ascii="Arial" w:hAnsi="Arial" w:cs="Arial"/>
          <w:i/>
          <w:iCs/>
          <w:sz w:val="20"/>
          <w:szCs w:val="20"/>
          <w:lang w:val="en-US"/>
        </w:rPr>
        <w:t>W</w:t>
      </w:r>
      <w:r w:rsidRPr="00057B9F">
        <w:rPr>
          <w:rFonts w:ascii="Arial" w:hAnsi="Arial" w:cs="Arial"/>
          <w:i/>
          <w:iCs/>
          <w:sz w:val="20"/>
          <w:szCs w:val="20"/>
          <w:lang w:val="en-US"/>
        </w:rPr>
        <w:t xml:space="preserve">hereas in truth and fact, the </w:t>
      </w:r>
      <w:r>
        <w:rPr>
          <w:rFonts w:ascii="Arial" w:hAnsi="Arial" w:cs="Arial"/>
          <w:i/>
          <w:iCs/>
          <w:sz w:val="20"/>
          <w:szCs w:val="20"/>
          <w:lang w:val="en-US"/>
        </w:rPr>
        <w:t>A</w:t>
      </w:r>
      <w:r w:rsidRPr="00057B9F">
        <w:rPr>
          <w:rFonts w:ascii="Arial" w:hAnsi="Arial" w:cs="Arial"/>
          <w:i/>
          <w:iCs/>
          <w:sz w:val="20"/>
          <w:szCs w:val="20"/>
          <w:lang w:val="en-US"/>
        </w:rPr>
        <w:t xml:space="preserve">ccused, when they gave out </w:t>
      </w:r>
      <w:r>
        <w:rPr>
          <w:rFonts w:ascii="Arial" w:hAnsi="Arial" w:cs="Arial"/>
          <w:i/>
          <w:iCs/>
          <w:sz w:val="20"/>
          <w:szCs w:val="20"/>
          <w:lang w:val="en-US"/>
        </w:rPr>
        <w:t xml:space="preserve">(sic) </w:t>
      </w:r>
      <w:r w:rsidRPr="00057B9F">
        <w:rPr>
          <w:rFonts w:ascii="Arial" w:hAnsi="Arial" w:cs="Arial"/>
          <w:i/>
          <w:iCs/>
          <w:sz w:val="20"/>
          <w:szCs w:val="20"/>
          <w:lang w:val="en-US"/>
        </w:rPr>
        <w:t>pretended as aforementioned well knew that the said documents were not true and authentic.</w:t>
      </w:r>
      <w:r w:rsidRPr="00057B9F">
        <w:rPr>
          <w:rFonts w:ascii="Arial" w:hAnsi="Arial" w:cs="Arial"/>
          <w:sz w:val="24"/>
          <w:szCs w:val="24"/>
          <w:lang w:val="en-US"/>
        </w:rPr>
        <w:t>”</w:t>
      </w:r>
    </w:p>
    <w:p w14:paraId="3CB3B6CD" w14:textId="5578AAB1" w:rsidR="007D3886" w:rsidRDefault="007D3886" w:rsidP="000A7FBA">
      <w:pPr>
        <w:spacing w:after="0" w:line="480" w:lineRule="auto"/>
        <w:jc w:val="both"/>
        <w:rPr>
          <w:rFonts w:ascii="Arial" w:hAnsi="Arial" w:cs="Arial"/>
          <w:i/>
          <w:iCs/>
          <w:sz w:val="20"/>
          <w:szCs w:val="20"/>
          <w:lang w:val="en-US"/>
        </w:rPr>
      </w:pPr>
    </w:p>
    <w:p w14:paraId="07C20645" w14:textId="451B7D3A" w:rsidR="00D2795F"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0C22E2" w:rsidRPr="00DA0DA5">
        <w:rPr>
          <w:rFonts w:ascii="Arial" w:hAnsi="Arial" w:cs="Arial"/>
          <w:sz w:val="24"/>
          <w:szCs w:val="24"/>
        </w:rPr>
        <w:t xml:space="preserve">The remaining 2 charges of fraud, being counts 2 and 4, </w:t>
      </w:r>
      <w:r w:rsidR="001805DF" w:rsidRPr="00DA0DA5">
        <w:rPr>
          <w:rFonts w:ascii="Arial" w:hAnsi="Arial" w:cs="Arial"/>
          <w:sz w:val="24"/>
          <w:szCs w:val="24"/>
        </w:rPr>
        <w:t xml:space="preserve">relate to </w:t>
      </w:r>
      <w:r w:rsidR="000C22E2" w:rsidRPr="00DA0DA5">
        <w:rPr>
          <w:rFonts w:ascii="Arial" w:hAnsi="Arial" w:cs="Arial"/>
          <w:sz w:val="24"/>
          <w:szCs w:val="24"/>
        </w:rPr>
        <w:t xml:space="preserve">the second applicant only. </w:t>
      </w:r>
      <w:r w:rsidR="000C59A7" w:rsidRPr="00DA0DA5">
        <w:rPr>
          <w:rFonts w:ascii="Arial" w:hAnsi="Arial" w:cs="Arial"/>
          <w:sz w:val="24"/>
          <w:szCs w:val="24"/>
        </w:rPr>
        <w:t xml:space="preserve"> Such count</w:t>
      </w:r>
      <w:r w:rsidR="00370F9B" w:rsidRPr="00DA0DA5">
        <w:rPr>
          <w:rFonts w:ascii="Arial" w:hAnsi="Arial" w:cs="Arial"/>
          <w:sz w:val="24"/>
          <w:szCs w:val="24"/>
        </w:rPr>
        <w:t>s</w:t>
      </w:r>
      <w:r w:rsidR="000C59A7" w:rsidRPr="00DA0DA5">
        <w:rPr>
          <w:rFonts w:ascii="Arial" w:hAnsi="Arial" w:cs="Arial"/>
          <w:sz w:val="24"/>
          <w:szCs w:val="24"/>
        </w:rPr>
        <w:t xml:space="preserve"> </w:t>
      </w:r>
      <w:r w:rsidR="00D2795F" w:rsidRPr="00DA0DA5">
        <w:rPr>
          <w:rFonts w:ascii="Arial" w:hAnsi="Arial" w:cs="Arial"/>
          <w:sz w:val="24"/>
          <w:szCs w:val="24"/>
        </w:rPr>
        <w:t>pertain to the actions of the second applicant</w:t>
      </w:r>
      <w:r w:rsidR="00370F9B" w:rsidRPr="00DA0DA5">
        <w:rPr>
          <w:rFonts w:ascii="Arial" w:hAnsi="Arial" w:cs="Arial"/>
          <w:sz w:val="24"/>
          <w:szCs w:val="24"/>
        </w:rPr>
        <w:t>, acting</w:t>
      </w:r>
      <w:r w:rsidR="00D2795F" w:rsidRPr="00DA0DA5">
        <w:rPr>
          <w:rFonts w:ascii="Arial" w:hAnsi="Arial" w:cs="Arial"/>
          <w:sz w:val="24"/>
          <w:szCs w:val="24"/>
        </w:rPr>
        <w:t xml:space="preserve"> </w:t>
      </w:r>
      <w:r w:rsidR="009676EF" w:rsidRPr="00DA0DA5">
        <w:rPr>
          <w:rFonts w:ascii="Arial" w:hAnsi="Arial" w:cs="Arial"/>
          <w:sz w:val="24"/>
          <w:szCs w:val="24"/>
        </w:rPr>
        <w:t xml:space="preserve">in his capacity as a director </w:t>
      </w:r>
      <w:r w:rsidR="00D2795F" w:rsidRPr="00DA0DA5">
        <w:rPr>
          <w:rFonts w:ascii="Arial" w:hAnsi="Arial" w:cs="Arial"/>
          <w:sz w:val="24"/>
          <w:szCs w:val="24"/>
        </w:rPr>
        <w:t xml:space="preserve">on behalf of Mega Papers and Paper Active respectively; and relate not only to </w:t>
      </w:r>
      <w:r w:rsidR="000D7B3B" w:rsidRPr="00DA0DA5">
        <w:rPr>
          <w:rFonts w:ascii="Arial" w:hAnsi="Arial" w:cs="Arial"/>
          <w:sz w:val="24"/>
          <w:szCs w:val="24"/>
        </w:rPr>
        <w:t>t</w:t>
      </w:r>
      <w:r w:rsidR="00370F9B" w:rsidRPr="00DA0DA5">
        <w:rPr>
          <w:rFonts w:ascii="Arial" w:hAnsi="Arial" w:cs="Arial"/>
          <w:sz w:val="24"/>
          <w:szCs w:val="24"/>
        </w:rPr>
        <w:t xml:space="preserve">he </w:t>
      </w:r>
      <w:r w:rsidR="00D2795F" w:rsidRPr="00DA0DA5">
        <w:rPr>
          <w:rFonts w:ascii="Arial" w:hAnsi="Arial" w:cs="Arial"/>
          <w:sz w:val="24"/>
          <w:szCs w:val="24"/>
        </w:rPr>
        <w:t>supporting documentation, but also to</w:t>
      </w:r>
      <w:r w:rsidR="000D7B3B" w:rsidRPr="00DA0DA5">
        <w:rPr>
          <w:rFonts w:ascii="Arial" w:hAnsi="Arial" w:cs="Arial"/>
          <w:sz w:val="24"/>
          <w:szCs w:val="24"/>
        </w:rPr>
        <w:t xml:space="preserve"> </w:t>
      </w:r>
      <w:r w:rsidR="00D2795F" w:rsidRPr="00DA0DA5">
        <w:rPr>
          <w:rFonts w:ascii="Arial" w:hAnsi="Arial" w:cs="Arial"/>
          <w:sz w:val="24"/>
          <w:szCs w:val="24"/>
        </w:rPr>
        <w:t>Tax Clearance Certificates pertaining to Mega Papers and Paper Active</w:t>
      </w:r>
      <w:r w:rsidR="00E54474" w:rsidRPr="00DA0DA5">
        <w:rPr>
          <w:rFonts w:ascii="Arial" w:hAnsi="Arial" w:cs="Arial"/>
          <w:sz w:val="24"/>
          <w:szCs w:val="24"/>
        </w:rPr>
        <w:t xml:space="preserve"> as detailed in the respective charges</w:t>
      </w:r>
      <w:r w:rsidR="008E59D0" w:rsidRPr="00DA0DA5">
        <w:rPr>
          <w:rFonts w:ascii="Arial" w:hAnsi="Arial" w:cs="Arial"/>
          <w:sz w:val="24"/>
          <w:szCs w:val="24"/>
        </w:rPr>
        <w:t xml:space="preserve">, </w:t>
      </w:r>
      <w:r w:rsidR="00E54474" w:rsidRPr="00DA0DA5">
        <w:rPr>
          <w:rFonts w:ascii="Arial" w:hAnsi="Arial" w:cs="Arial"/>
          <w:sz w:val="24"/>
          <w:szCs w:val="24"/>
        </w:rPr>
        <w:t>where relevant</w:t>
      </w:r>
      <w:r w:rsidR="002B2097" w:rsidRPr="00DA0DA5">
        <w:rPr>
          <w:rFonts w:ascii="Arial" w:hAnsi="Arial" w:cs="Arial"/>
          <w:sz w:val="24"/>
          <w:szCs w:val="24"/>
        </w:rPr>
        <w:t>, all of which documentation the State contends not to be true and authentic</w:t>
      </w:r>
      <w:r w:rsidR="0027616D" w:rsidRPr="00DA0DA5">
        <w:rPr>
          <w:rFonts w:ascii="Arial" w:hAnsi="Arial" w:cs="Arial"/>
          <w:sz w:val="24"/>
          <w:szCs w:val="24"/>
        </w:rPr>
        <w:t>, such fact being within the knowledge of the second applicant</w:t>
      </w:r>
      <w:r w:rsidR="00D2795F" w:rsidRPr="00DA0DA5">
        <w:rPr>
          <w:rFonts w:ascii="Arial" w:hAnsi="Arial" w:cs="Arial"/>
          <w:sz w:val="24"/>
          <w:szCs w:val="24"/>
        </w:rPr>
        <w:t>.</w:t>
      </w:r>
    </w:p>
    <w:p w14:paraId="41282937" w14:textId="77777777" w:rsidR="008E59D0" w:rsidRDefault="008E59D0" w:rsidP="008E59D0">
      <w:pPr>
        <w:pStyle w:val="ListParagraph"/>
        <w:spacing w:after="0" w:line="480" w:lineRule="auto"/>
        <w:ind w:left="851"/>
        <w:jc w:val="both"/>
        <w:rPr>
          <w:rFonts w:ascii="Arial" w:hAnsi="Arial" w:cs="Arial"/>
          <w:sz w:val="24"/>
          <w:szCs w:val="24"/>
        </w:rPr>
      </w:pPr>
    </w:p>
    <w:p w14:paraId="1F00C735" w14:textId="59F9B27D" w:rsidR="00910C20"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00EAC" w:rsidRPr="00DA0DA5">
        <w:rPr>
          <w:rFonts w:ascii="Arial" w:hAnsi="Arial" w:cs="Arial"/>
          <w:sz w:val="24"/>
          <w:szCs w:val="24"/>
        </w:rPr>
        <w:t xml:space="preserve">The first and second applicants, being dissatisfied with the formulation of the charge sheet, </w:t>
      </w:r>
      <w:r w:rsidR="004A466B" w:rsidRPr="00DA0DA5">
        <w:rPr>
          <w:rFonts w:ascii="Arial" w:hAnsi="Arial" w:cs="Arial"/>
          <w:sz w:val="24"/>
          <w:szCs w:val="24"/>
        </w:rPr>
        <w:t>requested further particulars from the state, to which a response was received.</w:t>
      </w:r>
      <w:r w:rsidR="00910C20" w:rsidRPr="00DA0DA5">
        <w:rPr>
          <w:rFonts w:ascii="Arial" w:hAnsi="Arial" w:cs="Arial"/>
          <w:sz w:val="24"/>
          <w:szCs w:val="24"/>
        </w:rPr>
        <w:t xml:space="preserve">  The applicants thereafter delivered a notice of objection to the charges in terms of section 85(1) of the </w:t>
      </w:r>
      <w:r w:rsidR="00C45F89" w:rsidRPr="00DA0DA5">
        <w:rPr>
          <w:rFonts w:ascii="Arial" w:hAnsi="Arial" w:cs="Arial"/>
          <w:color w:val="000000"/>
          <w:sz w:val="24"/>
          <w:szCs w:val="24"/>
          <w:shd w:val="clear" w:color="auto" w:fill="FFFFFF"/>
        </w:rPr>
        <w:t>Criminal Procedure Act, 51 of 1977 (“</w:t>
      </w:r>
      <w:r w:rsidR="00C45F89" w:rsidRPr="00DA0DA5">
        <w:rPr>
          <w:rFonts w:ascii="Arial" w:hAnsi="Arial" w:cs="Arial"/>
          <w:i/>
          <w:iCs/>
          <w:color w:val="000000"/>
          <w:sz w:val="24"/>
          <w:szCs w:val="24"/>
          <w:shd w:val="clear" w:color="auto" w:fill="FFFFFF"/>
        </w:rPr>
        <w:t>the CPA</w:t>
      </w:r>
      <w:r w:rsidR="00C45F89" w:rsidRPr="00DA0DA5">
        <w:rPr>
          <w:rFonts w:ascii="Arial" w:hAnsi="Arial" w:cs="Arial"/>
          <w:color w:val="000000"/>
          <w:sz w:val="24"/>
          <w:szCs w:val="24"/>
          <w:shd w:val="clear" w:color="auto" w:fill="FFFFFF"/>
        </w:rPr>
        <w:t>”)</w:t>
      </w:r>
      <w:r w:rsidR="00910C20" w:rsidRPr="00DA0DA5">
        <w:rPr>
          <w:rFonts w:ascii="Arial" w:hAnsi="Arial" w:cs="Arial"/>
          <w:sz w:val="24"/>
          <w:szCs w:val="24"/>
        </w:rPr>
        <w:t xml:space="preserve">, in which they sought the quashing of the charges; alternatively, an order directing the State to deliver better particulars to the applicants’ request for particulars. </w:t>
      </w:r>
    </w:p>
    <w:p w14:paraId="302C47D7" w14:textId="77777777" w:rsidR="00C45F89" w:rsidRPr="00C45F89" w:rsidRDefault="00C45F89" w:rsidP="004C2D84">
      <w:pPr>
        <w:pStyle w:val="ListParagraph"/>
        <w:spacing w:after="0" w:line="480" w:lineRule="auto"/>
        <w:rPr>
          <w:rFonts w:ascii="Arial" w:hAnsi="Arial" w:cs="Arial"/>
          <w:sz w:val="24"/>
          <w:szCs w:val="24"/>
        </w:rPr>
      </w:pPr>
    </w:p>
    <w:p w14:paraId="3E5C2E35" w14:textId="0670CD17" w:rsidR="00E8421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E8421C" w:rsidRPr="00DA0DA5">
        <w:rPr>
          <w:rFonts w:ascii="Arial" w:hAnsi="Arial" w:cs="Arial"/>
          <w:sz w:val="24"/>
          <w:szCs w:val="24"/>
        </w:rPr>
        <w:t>The applicants’ grounds of objection were formulated as follows:</w:t>
      </w:r>
    </w:p>
    <w:p w14:paraId="79814DA3" w14:textId="77777777" w:rsidR="002C6244" w:rsidRDefault="002C6244" w:rsidP="004C2D84">
      <w:pPr>
        <w:spacing w:after="0" w:line="480" w:lineRule="auto"/>
        <w:ind w:left="1436" w:hanging="585"/>
        <w:jc w:val="both"/>
        <w:rPr>
          <w:rFonts w:ascii="Arial" w:hAnsi="Arial" w:cs="Arial"/>
          <w:i/>
          <w:iCs/>
          <w:sz w:val="20"/>
          <w:szCs w:val="20"/>
          <w:lang w:val="en-US"/>
        </w:rPr>
      </w:pPr>
    </w:p>
    <w:p w14:paraId="5E32737A" w14:textId="4D7E1891" w:rsidR="00E8421C" w:rsidRDefault="00E8421C" w:rsidP="00E8421C">
      <w:pPr>
        <w:spacing w:after="0" w:line="360" w:lineRule="auto"/>
        <w:ind w:left="1436" w:hanging="585"/>
        <w:jc w:val="both"/>
        <w:rPr>
          <w:rFonts w:ascii="Arial" w:hAnsi="Arial" w:cs="Arial"/>
          <w:i/>
          <w:iCs/>
          <w:sz w:val="20"/>
          <w:szCs w:val="20"/>
          <w:lang w:val="en-US"/>
        </w:rPr>
      </w:pPr>
      <w:r w:rsidRPr="00E8421C">
        <w:rPr>
          <w:rFonts w:ascii="Arial" w:hAnsi="Arial" w:cs="Arial"/>
          <w:i/>
          <w:iCs/>
          <w:sz w:val="20"/>
          <w:szCs w:val="20"/>
          <w:lang w:val="en-US"/>
        </w:rPr>
        <w:t>“1.</w:t>
      </w:r>
      <w:r w:rsidRPr="00E8421C">
        <w:rPr>
          <w:rFonts w:ascii="Arial" w:hAnsi="Arial" w:cs="Arial"/>
          <w:i/>
          <w:iCs/>
          <w:sz w:val="20"/>
          <w:szCs w:val="20"/>
          <w:lang w:val="en-US"/>
        </w:rPr>
        <w:tab/>
        <w:t>That the averments contained in the aforesaid charges as amended... are vague and embarrassing and infringes the accused</w:t>
      </w:r>
      <w:r w:rsidR="00B80BB8">
        <w:rPr>
          <w:rFonts w:ascii="Arial" w:hAnsi="Arial" w:cs="Arial"/>
          <w:i/>
          <w:iCs/>
          <w:sz w:val="20"/>
          <w:szCs w:val="20"/>
          <w:lang w:val="en-US"/>
        </w:rPr>
        <w:t>’s</w:t>
      </w:r>
      <w:r w:rsidRPr="00E8421C">
        <w:rPr>
          <w:rFonts w:ascii="Arial" w:hAnsi="Arial" w:cs="Arial"/>
          <w:i/>
          <w:iCs/>
          <w:sz w:val="20"/>
          <w:szCs w:val="20"/>
          <w:lang w:val="en-US"/>
        </w:rPr>
        <w:t xml:space="preserve"> constitutional right to be informed of the exact nature of the charges against them;</w:t>
      </w:r>
    </w:p>
    <w:p w14:paraId="4A0AE532" w14:textId="1F079299" w:rsidR="00B80BB8" w:rsidRDefault="00B80BB8" w:rsidP="00E8421C">
      <w:pPr>
        <w:spacing w:after="0" w:line="360" w:lineRule="auto"/>
        <w:ind w:left="1436" w:hanging="585"/>
        <w:jc w:val="both"/>
        <w:rPr>
          <w:rFonts w:ascii="Arial" w:hAnsi="Arial" w:cs="Arial"/>
          <w:i/>
          <w:iCs/>
          <w:sz w:val="20"/>
          <w:szCs w:val="20"/>
          <w:lang w:val="en-US"/>
        </w:rPr>
      </w:pPr>
    </w:p>
    <w:p w14:paraId="102C4F79" w14:textId="09EDD818" w:rsidR="00E8421C"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2.</w:t>
      </w:r>
      <w:r>
        <w:rPr>
          <w:rFonts w:ascii="Arial" w:hAnsi="Arial" w:cs="Arial"/>
          <w:i/>
          <w:iCs/>
          <w:sz w:val="20"/>
          <w:szCs w:val="20"/>
          <w:lang w:val="en-US"/>
        </w:rPr>
        <w:tab/>
      </w:r>
      <w:r w:rsidR="00E8421C" w:rsidRPr="00B80BB8">
        <w:rPr>
          <w:rFonts w:ascii="Arial" w:hAnsi="Arial" w:cs="Arial"/>
          <w:i/>
          <w:iCs/>
          <w:sz w:val="20"/>
          <w:szCs w:val="20"/>
          <w:lang w:val="en-US"/>
        </w:rPr>
        <w:t xml:space="preserve">That the averments </w:t>
      </w:r>
      <w:r>
        <w:rPr>
          <w:rFonts w:ascii="Arial" w:hAnsi="Arial" w:cs="Arial"/>
          <w:i/>
          <w:iCs/>
          <w:sz w:val="20"/>
          <w:szCs w:val="20"/>
          <w:lang w:val="en-US"/>
        </w:rPr>
        <w:t>in</w:t>
      </w:r>
      <w:r w:rsidR="00E8421C" w:rsidRPr="00B80BB8">
        <w:rPr>
          <w:rFonts w:ascii="Arial" w:hAnsi="Arial" w:cs="Arial"/>
          <w:i/>
          <w:iCs/>
          <w:sz w:val="20"/>
          <w:szCs w:val="20"/>
          <w:lang w:val="en-US"/>
        </w:rPr>
        <w:t xml:space="preserve"> the charges lack particularity pertaining to the actus r</w:t>
      </w:r>
      <w:r>
        <w:rPr>
          <w:rFonts w:ascii="Arial" w:hAnsi="Arial" w:cs="Arial"/>
          <w:i/>
          <w:iCs/>
          <w:sz w:val="20"/>
          <w:szCs w:val="20"/>
          <w:lang w:val="en-US"/>
        </w:rPr>
        <w:t>eus</w:t>
      </w:r>
      <w:r w:rsidR="00E8421C" w:rsidRPr="00B80BB8">
        <w:rPr>
          <w:rFonts w:ascii="Arial" w:hAnsi="Arial" w:cs="Arial"/>
          <w:i/>
          <w:iCs/>
          <w:sz w:val="20"/>
          <w:szCs w:val="20"/>
          <w:lang w:val="en-US"/>
        </w:rPr>
        <w:t xml:space="preserve"> in respect of each count as allegedly committed by each of the accused and in particular by accused number </w:t>
      </w:r>
      <w:r>
        <w:rPr>
          <w:rFonts w:ascii="Arial" w:hAnsi="Arial" w:cs="Arial"/>
          <w:i/>
          <w:iCs/>
          <w:sz w:val="20"/>
          <w:szCs w:val="20"/>
          <w:lang w:val="en-US"/>
        </w:rPr>
        <w:t xml:space="preserve">2 </w:t>
      </w:r>
      <w:r w:rsidR="00E8421C" w:rsidRPr="00B80BB8">
        <w:rPr>
          <w:rFonts w:ascii="Arial" w:hAnsi="Arial" w:cs="Arial"/>
          <w:i/>
          <w:iCs/>
          <w:sz w:val="20"/>
          <w:szCs w:val="20"/>
          <w:lang w:val="en-US"/>
        </w:rPr>
        <w:t>in a personal capacity;</w:t>
      </w:r>
    </w:p>
    <w:p w14:paraId="0487CFD0" w14:textId="693C0FCA" w:rsidR="00B80BB8" w:rsidRDefault="00B80BB8" w:rsidP="00B80BB8">
      <w:pPr>
        <w:spacing w:after="0" w:line="360" w:lineRule="auto"/>
        <w:ind w:left="1436" w:hanging="585"/>
        <w:jc w:val="both"/>
        <w:rPr>
          <w:rFonts w:ascii="Arial" w:hAnsi="Arial" w:cs="Arial"/>
          <w:i/>
          <w:iCs/>
          <w:sz w:val="20"/>
          <w:szCs w:val="20"/>
          <w:lang w:val="en-US"/>
        </w:rPr>
      </w:pPr>
    </w:p>
    <w:p w14:paraId="467B73F5" w14:textId="7F5341FB" w:rsidR="00E8421C"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3.</w:t>
      </w:r>
      <w:r>
        <w:rPr>
          <w:rFonts w:ascii="Arial" w:hAnsi="Arial" w:cs="Arial"/>
          <w:i/>
          <w:iCs/>
          <w:sz w:val="20"/>
          <w:szCs w:val="20"/>
          <w:lang w:val="en-US"/>
        </w:rPr>
        <w:tab/>
      </w:r>
      <w:r w:rsidR="00E8421C" w:rsidRPr="00B80BB8">
        <w:rPr>
          <w:rFonts w:ascii="Arial" w:hAnsi="Arial" w:cs="Arial"/>
          <w:i/>
          <w:iCs/>
          <w:sz w:val="20"/>
          <w:szCs w:val="20"/>
          <w:lang w:val="en-US"/>
        </w:rPr>
        <w:t>That the averments and the charges therefore do not disclose an offence;</w:t>
      </w:r>
    </w:p>
    <w:p w14:paraId="38173897" w14:textId="6DE2BCD0" w:rsidR="00B80BB8" w:rsidRDefault="00B80BB8" w:rsidP="00B80BB8">
      <w:pPr>
        <w:spacing w:after="0" w:line="360" w:lineRule="auto"/>
        <w:ind w:left="1436" w:hanging="585"/>
        <w:jc w:val="both"/>
        <w:rPr>
          <w:rFonts w:ascii="Arial" w:hAnsi="Arial" w:cs="Arial"/>
          <w:i/>
          <w:iCs/>
          <w:sz w:val="20"/>
          <w:szCs w:val="20"/>
          <w:lang w:val="en-US"/>
        </w:rPr>
      </w:pPr>
    </w:p>
    <w:p w14:paraId="7ED71A36" w14:textId="44022E1B" w:rsidR="00E8421C" w:rsidRPr="00B80BB8"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4.</w:t>
      </w:r>
      <w:r>
        <w:rPr>
          <w:rFonts w:ascii="Arial" w:hAnsi="Arial" w:cs="Arial"/>
          <w:i/>
          <w:iCs/>
          <w:sz w:val="20"/>
          <w:szCs w:val="20"/>
          <w:lang w:val="en-US"/>
        </w:rPr>
        <w:tab/>
      </w:r>
      <w:r w:rsidR="00E8421C" w:rsidRPr="00B80BB8">
        <w:rPr>
          <w:rFonts w:ascii="Arial" w:hAnsi="Arial" w:cs="Arial"/>
          <w:i/>
          <w:iCs/>
          <w:sz w:val="20"/>
          <w:szCs w:val="20"/>
          <w:lang w:val="en-US"/>
        </w:rPr>
        <w:t xml:space="preserve">That the charges do not comply with the provisions of section 84 of </w:t>
      </w:r>
      <w:r>
        <w:rPr>
          <w:rFonts w:ascii="Arial" w:hAnsi="Arial" w:cs="Arial"/>
          <w:i/>
          <w:iCs/>
          <w:sz w:val="20"/>
          <w:szCs w:val="20"/>
          <w:lang w:val="en-US"/>
        </w:rPr>
        <w:t>A</w:t>
      </w:r>
      <w:r w:rsidR="00E8421C" w:rsidRPr="00B80BB8">
        <w:rPr>
          <w:rFonts w:ascii="Arial" w:hAnsi="Arial" w:cs="Arial"/>
          <w:i/>
          <w:iCs/>
          <w:sz w:val="20"/>
          <w:szCs w:val="20"/>
          <w:lang w:val="en-US"/>
        </w:rPr>
        <w:t>ct 51 of 1977 read with the provisions of section 85</w:t>
      </w:r>
      <w:r>
        <w:rPr>
          <w:rFonts w:ascii="Arial" w:hAnsi="Arial" w:cs="Arial"/>
          <w:i/>
          <w:iCs/>
          <w:sz w:val="20"/>
          <w:szCs w:val="20"/>
          <w:lang w:val="en-US"/>
        </w:rPr>
        <w:t>(1)</w:t>
      </w:r>
      <w:r w:rsidR="00E8421C" w:rsidRPr="00B80BB8">
        <w:rPr>
          <w:rFonts w:ascii="Arial" w:hAnsi="Arial" w:cs="Arial"/>
          <w:i/>
          <w:iCs/>
          <w:sz w:val="20"/>
          <w:szCs w:val="20"/>
          <w:lang w:val="en-US"/>
        </w:rPr>
        <w:t xml:space="preserve"> of </w:t>
      </w:r>
      <w:r>
        <w:rPr>
          <w:rFonts w:ascii="Arial" w:hAnsi="Arial" w:cs="Arial"/>
          <w:i/>
          <w:iCs/>
          <w:sz w:val="20"/>
          <w:szCs w:val="20"/>
          <w:lang w:val="en-US"/>
        </w:rPr>
        <w:t>A</w:t>
      </w:r>
      <w:r w:rsidR="00E8421C" w:rsidRPr="00B80BB8">
        <w:rPr>
          <w:rFonts w:ascii="Arial" w:hAnsi="Arial" w:cs="Arial"/>
          <w:i/>
          <w:iCs/>
          <w:sz w:val="20"/>
          <w:szCs w:val="20"/>
          <w:lang w:val="en-US"/>
        </w:rPr>
        <w:t>ct 51 of 1977 and further read with section 35</w:t>
      </w:r>
      <w:r>
        <w:rPr>
          <w:rFonts w:ascii="Arial" w:hAnsi="Arial" w:cs="Arial"/>
          <w:i/>
          <w:iCs/>
          <w:sz w:val="20"/>
          <w:szCs w:val="20"/>
          <w:lang w:val="en-US"/>
        </w:rPr>
        <w:t xml:space="preserve">(3) </w:t>
      </w:r>
      <w:r w:rsidR="00E8421C" w:rsidRPr="00B80BB8">
        <w:rPr>
          <w:rFonts w:ascii="Arial" w:hAnsi="Arial" w:cs="Arial"/>
          <w:i/>
          <w:iCs/>
          <w:sz w:val="20"/>
          <w:szCs w:val="20"/>
          <w:lang w:val="en-US"/>
        </w:rPr>
        <w:t xml:space="preserve">of the </w:t>
      </w:r>
      <w:r>
        <w:rPr>
          <w:rFonts w:ascii="Arial" w:hAnsi="Arial" w:cs="Arial"/>
          <w:i/>
          <w:iCs/>
          <w:sz w:val="20"/>
          <w:szCs w:val="20"/>
          <w:lang w:val="en-US"/>
        </w:rPr>
        <w:t>C</w:t>
      </w:r>
      <w:r w:rsidR="00E8421C" w:rsidRPr="00B80BB8">
        <w:rPr>
          <w:rFonts w:ascii="Arial" w:hAnsi="Arial" w:cs="Arial"/>
          <w:i/>
          <w:iCs/>
          <w:sz w:val="20"/>
          <w:szCs w:val="20"/>
          <w:lang w:val="en-US"/>
        </w:rPr>
        <w:t>onstitution.</w:t>
      </w:r>
      <w:r>
        <w:rPr>
          <w:rFonts w:ascii="Arial" w:hAnsi="Arial" w:cs="Arial"/>
          <w:i/>
          <w:iCs/>
          <w:sz w:val="20"/>
          <w:szCs w:val="20"/>
          <w:lang w:val="en-US"/>
        </w:rPr>
        <w:t>”</w:t>
      </w:r>
      <w:r w:rsidR="00E8421C" w:rsidRPr="00B80BB8">
        <w:rPr>
          <w:rFonts w:ascii="Arial" w:hAnsi="Arial" w:cs="Arial"/>
          <w:i/>
          <w:iCs/>
          <w:sz w:val="20"/>
          <w:szCs w:val="20"/>
        </w:rPr>
        <w:t xml:space="preserve"> </w:t>
      </w:r>
    </w:p>
    <w:p w14:paraId="1D158CBF" w14:textId="77777777" w:rsidR="00E8421C" w:rsidRPr="00E8421C" w:rsidRDefault="00E8421C" w:rsidP="002C6244">
      <w:pPr>
        <w:pStyle w:val="ListParagraph"/>
        <w:spacing w:after="0" w:line="480" w:lineRule="auto"/>
        <w:rPr>
          <w:rFonts w:ascii="Arial" w:hAnsi="Arial" w:cs="Arial"/>
          <w:sz w:val="24"/>
          <w:szCs w:val="24"/>
        </w:rPr>
      </w:pPr>
    </w:p>
    <w:p w14:paraId="339E084F" w14:textId="350B3C87" w:rsidR="00935CBA"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35CBA" w:rsidRPr="00DA0DA5">
        <w:rPr>
          <w:rFonts w:ascii="Arial" w:hAnsi="Arial" w:cs="Arial"/>
          <w:sz w:val="24"/>
          <w:szCs w:val="24"/>
        </w:rPr>
        <w:t xml:space="preserve">In essence, the applicants’ case in the unterminated proceedings before the Commercial Crimes Court </w:t>
      </w:r>
      <w:r w:rsidR="00E973C6" w:rsidRPr="00DA0DA5">
        <w:rPr>
          <w:rFonts w:ascii="Arial" w:hAnsi="Arial" w:cs="Arial"/>
          <w:sz w:val="24"/>
          <w:szCs w:val="24"/>
        </w:rPr>
        <w:t>was</w:t>
      </w:r>
      <w:r w:rsidR="00935CBA" w:rsidRPr="00DA0DA5">
        <w:rPr>
          <w:rFonts w:ascii="Arial" w:hAnsi="Arial" w:cs="Arial"/>
          <w:sz w:val="24"/>
          <w:szCs w:val="24"/>
        </w:rPr>
        <w:t xml:space="preserve"> that the </w:t>
      </w:r>
      <w:r w:rsidR="00052402" w:rsidRPr="00DA0DA5">
        <w:rPr>
          <w:rFonts w:ascii="Arial" w:hAnsi="Arial" w:cs="Arial"/>
          <w:sz w:val="24"/>
          <w:szCs w:val="24"/>
        </w:rPr>
        <w:t>S</w:t>
      </w:r>
      <w:r w:rsidR="00935CBA" w:rsidRPr="00DA0DA5">
        <w:rPr>
          <w:rFonts w:ascii="Arial" w:hAnsi="Arial" w:cs="Arial"/>
          <w:sz w:val="24"/>
          <w:szCs w:val="24"/>
        </w:rPr>
        <w:t xml:space="preserve">tate’s failure to inform them of the charges that they are facing, with sufficient particularity to enable them to answer properly thereto, amounts to a violation of their right to a fair trial. </w:t>
      </w:r>
    </w:p>
    <w:p w14:paraId="48583641" w14:textId="77777777" w:rsidR="00935CBA" w:rsidRDefault="00935CBA" w:rsidP="00935CBA">
      <w:pPr>
        <w:pStyle w:val="ListParagraph"/>
        <w:spacing w:after="0" w:line="480" w:lineRule="auto"/>
        <w:ind w:left="851"/>
        <w:jc w:val="both"/>
        <w:rPr>
          <w:rFonts w:ascii="Arial" w:hAnsi="Arial" w:cs="Arial"/>
          <w:sz w:val="24"/>
          <w:szCs w:val="24"/>
        </w:rPr>
      </w:pPr>
    </w:p>
    <w:p w14:paraId="29CA6C3E" w14:textId="33956936" w:rsidR="001676BF"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B77DF" w:rsidRPr="00DA0DA5">
        <w:rPr>
          <w:rFonts w:ascii="Arial" w:hAnsi="Arial" w:cs="Arial"/>
          <w:sz w:val="24"/>
          <w:szCs w:val="24"/>
        </w:rPr>
        <w:t xml:space="preserve">Following the submission of detailed heads of argument on behalf of the parties, which dealt not only with the applicable legal </w:t>
      </w:r>
      <w:r w:rsidR="00C27E4C" w:rsidRPr="00DA0DA5">
        <w:rPr>
          <w:rFonts w:ascii="Arial" w:hAnsi="Arial" w:cs="Arial"/>
          <w:sz w:val="24"/>
          <w:szCs w:val="24"/>
        </w:rPr>
        <w:t>principles,</w:t>
      </w:r>
      <w:r w:rsidR="00AB77DF" w:rsidRPr="00DA0DA5">
        <w:rPr>
          <w:rFonts w:ascii="Arial" w:hAnsi="Arial" w:cs="Arial"/>
          <w:sz w:val="24"/>
          <w:szCs w:val="24"/>
        </w:rPr>
        <w:t xml:space="preserve"> but which also contained comprehensive submissions in respect of each of the queries raised by the State in the request for particulars, and the</w:t>
      </w:r>
      <w:r w:rsidR="001676BF" w:rsidRPr="00DA0DA5">
        <w:rPr>
          <w:rFonts w:ascii="Arial" w:hAnsi="Arial" w:cs="Arial"/>
          <w:sz w:val="24"/>
          <w:szCs w:val="24"/>
        </w:rPr>
        <w:t xml:space="preserve"> respective</w:t>
      </w:r>
      <w:r w:rsidR="00AB77DF" w:rsidRPr="00DA0DA5">
        <w:rPr>
          <w:rFonts w:ascii="Arial" w:hAnsi="Arial" w:cs="Arial"/>
          <w:sz w:val="24"/>
          <w:szCs w:val="24"/>
        </w:rPr>
        <w:t xml:space="preserve"> answers thereto; and after the hearing of oral argument, the second respondent dismissed the applicants’ objection.</w:t>
      </w:r>
      <w:r w:rsidR="001676BF" w:rsidRPr="00DA0DA5">
        <w:rPr>
          <w:rFonts w:ascii="Arial" w:hAnsi="Arial" w:cs="Arial"/>
          <w:sz w:val="24"/>
          <w:szCs w:val="24"/>
        </w:rPr>
        <w:t xml:space="preserve">  Ultimately, the second respondent found as follows:</w:t>
      </w:r>
    </w:p>
    <w:p w14:paraId="300A134A" w14:textId="77777777" w:rsidR="000A7FBA" w:rsidRDefault="000A7FBA" w:rsidP="005D7627">
      <w:pPr>
        <w:pStyle w:val="ListParagraph"/>
        <w:spacing w:after="0" w:line="360" w:lineRule="auto"/>
        <w:ind w:left="851"/>
        <w:jc w:val="both"/>
        <w:rPr>
          <w:rFonts w:ascii="Arial" w:hAnsi="Arial" w:cs="Arial"/>
          <w:sz w:val="24"/>
          <w:szCs w:val="24"/>
        </w:rPr>
      </w:pPr>
    </w:p>
    <w:p w14:paraId="0AF03C3B" w14:textId="5D415FEE" w:rsidR="00AB77DF" w:rsidRPr="005D7627" w:rsidRDefault="001676BF" w:rsidP="005D7627">
      <w:pPr>
        <w:pStyle w:val="ListParagraph"/>
        <w:spacing w:after="0" w:line="360" w:lineRule="auto"/>
        <w:ind w:left="851"/>
        <w:jc w:val="both"/>
        <w:rPr>
          <w:rFonts w:ascii="Arial" w:hAnsi="Arial" w:cs="Arial"/>
          <w:sz w:val="24"/>
          <w:szCs w:val="24"/>
        </w:rPr>
      </w:pPr>
      <w:r>
        <w:rPr>
          <w:rFonts w:ascii="Arial" w:hAnsi="Arial" w:cs="Arial"/>
          <w:sz w:val="24"/>
          <w:szCs w:val="24"/>
        </w:rPr>
        <w:t>“</w:t>
      </w:r>
      <w:r w:rsidRPr="001676BF">
        <w:rPr>
          <w:rFonts w:ascii="Arial" w:hAnsi="Arial" w:cs="Arial"/>
          <w:i/>
          <w:iCs/>
          <w:sz w:val="20"/>
          <w:szCs w:val="20"/>
          <w:lang w:val="en-US"/>
        </w:rPr>
        <w:t>All in all I</w:t>
      </w:r>
      <w:r>
        <w:rPr>
          <w:rFonts w:ascii="Arial" w:hAnsi="Arial" w:cs="Arial"/>
          <w:i/>
          <w:iCs/>
          <w:sz w:val="20"/>
          <w:szCs w:val="20"/>
          <w:lang w:val="en-US"/>
        </w:rPr>
        <w:t xml:space="preserve"> am</w:t>
      </w:r>
      <w:r w:rsidRPr="001676BF">
        <w:rPr>
          <w:rFonts w:ascii="Arial" w:hAnsi="Arial" w:cs="Arial"/>
          <w:i/>
          <w:iCs/>
          <w:sz w:val="20"/>
          <w:szCs w:val="20"/>
          <w:lang w:val="en-US"/>
        </w:rPr>
        <w:t xml:space="preserve"> satisfied that the charges contained in the amended charge sheet, as amplified in the further particulars constitute offences and the manner it is alleged to have been committed with sufficient particularity to comply with section 84</w:t>
      </w:r>
      <w:r>
        <w:rPr>
          <w:rFonts w:ascii="Arial" w:hAnsi="Arial" w:cs="Arial"/>
          <w:i/>
          <w:iCs/>
          <w:sz w:val="20"/>
          <w:szCs w:val="20"/>
          <w:lang w:val="en-US"/>
        </w:rPr>
        <w:t xml:space="preserve">(1) </w:t>
      </w:r>
      <w:r w:rsidRPr="001676BF">
        <w:rPr>
          <w:rFonts w:ascii="Arial" w:hAnsi="Arial" w:cs="Arial"/>
          <w:i/>
          <w:iCs/>
          <w:sz w:val="20"/>
          <w:szCs w:val="20"/>
          <w:lang w:val="en-US"/>
        </w:rPr>
        <w:t xml:space="preserve">and can be regarded as reasonably sufficient to inform the accused of the nature of the charges. </w:t>
      </w:r>
      <w:r>
        <w:rPr>
          <w:rFonts w:ascii="Arial" w:hAnsi="Arial" w:cs="Arial"/>
          <w:i/>
          <w:iCs/>
          <w:sz w:val="20"/>
          <w:szCs w:val="20"/>
          <w:lang w:val="en-US"/>
        </w:rPr>
        <w:t xml:space="preserve"> </w:t>
      </w:r>
      <w:r w:rsidRPr="001676BF">
        <w:rPr>
          <w:rFonts w:ascii="Arial" w:hAnsi="Arial" w:cs="Arial"/>
          <w:i/>
          <w:iCs/>
          <w:sz w:val="20"/>
          <w:szCs w:val="20"/>
          <w:lang w:val="en-US"/>
        </w:rPr>
        <w:t xml:space="preserve">Consequent to the </w:t>
      </w:r>
      <w:r w:rsidRPr="001676BF">
        <w:rPr>
          <w:rFonts w:ascii="Arial" w:hAnsi="Arial" w:cs="Arial"/>
          <w:i/>
          <w:iCs/>
          <w:sz w:val="20"/>
          <w:szCs w:val="20"/>
          <w:lang w:val="en-US"/>
        </w:rPr>
        <w:lastRenderedPageBreak/>
        <w:t xml:space="preserve">above, no </w:t>
      </w:r>
      <w:r>
        <w:rPr>
          <w:rFonts w:ascii="Arial" w:hAnsi="Arial" w:cs="Arial"/>
          <w:i/>
          <w:iCs/>
          <w:sz w:val="20"/>
          <w:szCs w:val="20"/>
          <w:lang w:val="en-US"/>
        </w:rPr>
        <w:t>O</w:t>
      </w:r>
      <w:r w:rsidRPr="001676BF">
        <w:rPr>
          <w:rFonts w:ascii="Arial" w:hAnsi="Arial" w:cs="Arial"/>
          <w:i/>
          <w:iCs/>
          <w:sz w:val="20"/>
          <w:szCs w:val="20"/>
          <w:lang w:val="en-US"/>
        </w:rPr>
        <w:t>rder is made relat</w:t>
      </w:r>
      <w:r>
        <w:rPr>
          <w:rFonts w:ascii="Arial" w:hAnsi="Arial" w:cs="Arial"/>
          <w:i/>
          <w:iCs/>
          <w:sz w:val="20"/>
          <w:szCs w:val="20"/>
          <w:lang w:val="en-US"/>
        </w:rPr>
        <w:t>ing</w:t>
      </w:r>
      <w:r w:rsidRPr="001676BF">
        <w:rPr>
          <w:rFonts w:ascii="Arial" w:hAnsi="Arial" w:cs="Arial"/>
          <w:i/>
          <w:iCs/>
          <w:sz w:val="20"/>
          <w:szCs w:val="20"/>
          <w:lang w:val="en-US"/>
        </w:rPr>
        <w:t xml:space="preserve"> to the amendment of the charge or delivery of further particulars or qu</w:t>
      </w:r>
      <w:r>
        <w:rPr>
          <w:rFonts w:ascii="Arial" w:hAnsi="Arial" w:cs="Arial"/>
          <w:i/>
          <w:iCs/>
          <w:sz w:val="20"/>
          <w:szCs w:val="20"/>
          <w:lang w:val="en-US"/>
        </w:rPr>
        <w:t>ashing</w:t>
      </w:r>
      <w:r w:rsidRPr="001676BF">
        <w:rPr>
          <w:rFonts w:ascii="Arial" w:hAnsi="Arial" w:cs="Arial"/>
          <w:i/>
          <w:iCs/>
          <w:sz w:val="20"/>
          <w:szCs w:val="20"/>
          <w:lang w:val="en-US"/>
        </w:rPr>
        <w:t xml:space="preserve"> of the charges.</w:t>
      </w:r>
      <w:r>
        <w:rPr>
          <w:rFonts w:ascii="Arial" w:hAnsi="Arial" w:cs="Arial"/>
          <w:sz w:val="24"/>
          <w:szCs w:val="24"/>
          <w:lang w:val="en-US"/>
        </w:rPr>
        <w:t>”</w:t>
      </w:r>
      <w:r w:rsidR="00AB77DF" w:rsidRPr="005D7627">
        <w:rPr>
          <w:rFonts w:ascii="Arial" w:hAnsi="Arial" w:cs="Arial"/>
          <w:sz w:val="24"/>
          <w:szCs w:val="24"/>
        </w:rPr>
        <w:t xml:space="preserve">   </w:t>
      </w:r>
    </w:p>
    <w:p w14:paraId="4C6B2D4E" w14:textId="77777777" w:rsidR="00632DF3" w:rsidRDefault="00632DF3" w:rsidP="00632DF3">
      <w:pPr>
        <w:pStyle w:val="ListParagraph"/>
        <w:spacing w:after="0" w:line="480" w:lineRule="auto"/>
        <w:ind w:left="851"/>
        <w:jc w:val="both"/>
        <w:rPr>
          <w:rFonts w:ascii="Arial" w:hAnsi="Arial" w:cs="Arial"/>
          <w:sz w:val="24"/>
          <w:szCs w:val="24"/>
        </w:rPr>
      </w:pPr>
    </w:p>
    <w:p w14:paraId="4F701E59" w14:textId="242282BB" w:rsidR="000A7FBA"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A7FBA" w:rsidRPr="00DA0DA5">
        <w:rPr>
          <w:rFonts w:ascii="Arial" w:hAnsi="Arial" w:cs="Arial"/>
          <w:sz w:val="24"/>
          <w:szCs w:val="24"/>
        </w:rPr>
        <w:t>It is this ruling, which forms the subject matter of the present proceedings.</w:t>
      </w:r>
    </w:p>
    <w:p w14:paraId="35491324" w14:textId="77777777" w:rsidR="000A7FBA" w:rsidRDefault="000A7FBA" w:rsidP="00044E86">
      <w:pPr>
        <w:pStyle w:val="ListParagraph"/>
        <w:spacing w:after="0" w:line="480" w:lineRule="auto"/>
        <w:rPr>
          <w:rFonts w:ascii="Arial" w:hAnsi="Arial" w:cs="Arial"/>
          <w:sz w:val="24"/>
          <w:szCs w:val="24"/>
        </w:rPr>
      </w:pPr>
    </w:p>
    <w:p w14:paraId="6F5474EB" w14:textId="1A08328A" w:rsidR="006D6E6D" w:rsidRPr="00E226A6" w:rsidRDefault="00F92F23" w:rsidP="006D6E6D">
      <w:pPr>
        <w:rPr>
          <w:rFonts w:ascii="Arial" w:hAnsi="Arial" w:cs="Arial"/>
          <w:b/>
          <w:bCs/>
          <w:sz w:val="24"/>
          <w:szCs w:val="24"/>
          <w:u w:val="single"/>
        </w:rPr>
      </w:pPr>
      <w:r>
        <w:rPr>
          <w:rFonts w:ascii="Arial" w:hAnsi="Arial" w:cs="Arial"/>
          <w:b/>
          <w:bCs/>
          <w:sz w:val="24"/>
          <w:szCs w:val="24"/>
          <w:u w:val="single"/>
        </w:rPr>
        <w:t>Interference with unterminated proceedings in a lower court</w:t>
      </w:r>
    </w:p>
    <w:p w14:paraId="4D7EE5F3" w14:textId="77777777" w:rsidR="000A7FBA" w:rsidRPr="00E8421C" w:rsidRDefault="000A7FBA" w:rsidP="00044E86">
      <w:pPr>
        <w:pStyle w:val="ListParagraph"/>
        <w:spacing w:after="0" w:line="480" w:lineRule="auto"/>
        <w:rPr>
          <w:rFonts w:ascii="Arial" w:hAnsi="Arial" w:cs="Arial"/>
          <w:sz w:val="24"/>
          <w:szCs w:val="24"/>
        </w:rPr>
      </w:pPr>
    </w:p>
    <w:p w14:paraId="71F49D74" w14:textId="323C5323" w:rsidR="008A1D3C" w:rsidRPr="00DA0DA5" w:rsidRDefault="00DA0DA5" w:rsidP="00DA0DA5">
      <w:pPr>
        <w:spacing w:after="0" w:line="480" w:lineRule="auto"/>
        <w:ind w:left="851" w:hanging="851"/>
        <w:jc w:val="both"/>
        <w:rPr>
          <w:rFonts w:ascii="Arial" w:hAnsi="Arial" w:cs="Arial"/>
          <w:sz w:val="24"/>
          <w:szCs w:val="24"/>
        </w:rPr>
      </w:pPr>
      <w:r w:rsidRPr="007F39E5">
        <w:rPr>
          <w:rFonts w:ascii="Arial" w:hAnsi="Arial" w:cs="Arial"/>
          <w:sz w:val="24"/>
          <w:szCs w:val="24"/>
        </w:rPr>
        <w:t>[15]</w:t>
      </w:r>
      <w:r w:rsidRPr="007F39E5">
        <w:rPr>
          <w:rFonts w:ascii="Arial" w:hAnsi="Arial" w:cs="Arial"/>
          <w:sz w:val="24"/>
          <w:szCs w:val="24"/>
        </w:rPr>
        <w:tab/>
      </w:r>
      <w:r w:rsidR="00C45F89" w:rsidRPr="00DA0DA5">
        <w:rPr>
          <w:rFonts w:ascii="Arial" w:hAnsi="Arial" w:cs="Arial"/>
          <w:color w:val="000000"/>
          <w:sz w:val="24"/>
          <w:szCs w:val="24"/>
          <w:shd w:val="clear" w:color="auto" w:fill="FFFFFF"/>
        </w:rPr>
        <w:t xml:space="preserve">The applicants </w:t>
      </w:r>
      <w:r w:rsidR="000A7FBA" w:rsidRPr="00DA0DA5">
        <w:rPr>
          <w:rFonts w:ascii="Arial" w:hAnsi="Arial" w:cs="Arial"/>
          <w:color w:val="000000"/>
          <w:sz w:val="24"/>
          <w:szCs w:val="24"/>
          <w:shd w:val="clear" w:color="auto" w:fill="FFFFFF"/>
        </w:rPr>
        <w:t>contend</w:t>
      </w:r>
      <w:r w:rsidR="00C45F89" w:rsidRPr="00DA0DA5">
        <w:rPr>
          <w:rFonts w:ascii="Arial" w:hAnsi="Arial" w:cs="Arial"/>
          <w:color w:val="000000"/>
          <w:sz w:val="24"/>
          <w:szCs w:val="24"/>
          <w:shd w:val="clear" w:color="auto" w:fill="FFFFFF"/>
        </w:rPr>
        <w:t xml:space="preserve"> that </w:t>
      </w:r>
      <w:r w:rsidR="001824E5" w:rsidRPr="00DA0DA5">
        <w:rPr>
          <w:rFonts w:ascii="Arial" w:hAnsi="Arial" w:cs="Arial"/>
          <w:color w:val="000000"/>
          <w:sz w:val="24"/>
          <w:szCs w:val="24"/>
          <w:shd w:val="clear" w:color="auto" w:fill="FFFFFF"/>
        </w:rPr>
        <w:t>the second respondent failed to consider and deal with the grounds of objection to the charge</w:t>
      </w:r>
      <w:r w:rsidR="002C4BEF" w:rsidRPr="00DA0DA5">
        <w:rPr>
          <w:rFonts w:ascii="Arial" w:hAnsi="Arial" w:cs="Arial"/>
          <w:color w:val="000000"/>
          <w:sz w:val="24"/>
          <w:szCs w:val="24"/>
          <w:shd w:val="clear" w:color="auto" w:fill="FFFFFF"/>
        </w:rPr>
        <w:t>,</w:t>
      </w:r>
      <w:r w:rsidR="001C76C6" w:rsidRPr="00DA0DA5">
        <w:rPr>
          <w:rFonts w:ascii="Arial" w:hAnsi="Arial" w:cs="Arial"/>
          <w:color w:val="000000"/>
          <w:sz w:val="24"/>
          <w:szCs w:val="24"/>
          <w:shd w:val="clear" w:color="auto" w:fill="FFFFFF"/>
        </w:rPr>
        <w:t xml:space="preserve"> as</w:t>
      </w:r>
      <w:r w:rsidR="002C4BEF" w:rsidRPr="00DA0DA5">
        <w:rPr>
          <w:rFonts w:ascii="Arial" w:hAnsi="Arial" w:cs="Arial"/>
          <w:color w:val="000000"/>
          <w:sz w:val="24"/>
          <w:szCs w:val="24"/>
          <w:shd w:val="clear" w:color="auto" w:fill="FFFFFF"/>
        </w:rPr>
        <w:t xml:space="preserve"> contained </w:t>
      </w:r>
      <w:r w:rsidR="001824E5" w:rsidRPr="00DA0DA5">
        <w:rPr>
          <w:rFonts w:ascii="Arial" w:hAnsi="Arial" w:cs="Arial"/>
          <w:color w:val="000000"/>
          <w:sz w:val="24"/>
          <w:szCs w:val="24"/>
          <w:shd w:val="clear" w:color="auto" w:fill="FFFFFF"/>
        </w:rPr>
        <w:t xml:space="preserve">in </w:t>
      </w:r>
      <w:r w:rsidR="002C4BEF" w:rsidRPr="00DA0DA5">
        <w:rPr>
          <w:rFonts w:ascii="Arial" w:hAnsi="Arial" w:cs="Arial"/>
          <w:color w:val="000000"/>
          <w:sz w:val="24"/>
          <w:szCs w:val="24"/>
          <w:shd w:val="clear" w:color="auto" w:fill="FFFFFF"/>
        </w:rPr>
        <w:t>their</w:t>
      </w:r>
      <w:r w:rsidR="001824E5" w:rsidRPr="00DA0DA5">
        <w:rPr>
          <w:rFonts w:ascii="Arial" w:hAnsi="Arial" w:cs="Arial"/>
          <w:color w:val="000000"/>
          <w:sz w:val="24"/>
          <w:szCs w:val="24"/>
          <w:shd w:val="clear" w:color="auto" w:fill="FFFFFF"/>
        </w:rPr>
        <w:t xml:space="preserve"> notice of objection</w:t>
      </w:r>
      <w:r w:rsidR="006550DF" w:rsidRPr="00DA0DA5">
        <w:rPr>
          <w:rFonts w:ascii="Arial" w:hAnsi="Arial" w:cs="Arial"/>
          <w:color w:val="000000"/>
          <w:sz w:val="24"/>
          <w:szCs w:val="24"/>
          <w:shd w:val="clear" w:color="auto" w:fill="FFFFFF"/>
        </w:rPr>
        <w:t>,</w:t>
      </w:r>
      <w:r w:rsidR="00044E86" w:rsidRPr="00DA0DA5">
        <w:rPr>
          <w:rFonts w:ascii="Arial" w:hAnsi="Arial" w:cs="Arial"/>
          <w:color w:val="000000"/>
          <w:sz w:val="24"/>
          <w:szCs w:val="24"/>
          <w:shd w:val="clear" w:color="auto" w:fill="FFFFFF"/>
        </w:rPr>
        <w:t xml:space="preserve"> and</w:t>
      </w:r>
      <w:r w:rsidR="00AE18D3" w:rsidRPr="00DA0DA5">
        <w:rPr>
          <w:rFonts w:ascii="Arial" w:hAnsi="Arial" w:cs="Arial"/>
          <w:color w:val="000000"/>
          <w:sz w:val="24"/>
          <w:szCs w:val="24"/>
          <w:shd w:val="clear" w:color="auto" w:fill="FFFFFF"/>
        </w:rPr>
        <w:t>, as foreshadowed above,</w:t>
      </w:r>
      <w:r w:rsidR="006550DF" w:rsidRPr="00DA0DA5">
        <w:rPr>
          <w:rFonts w:ascii="Arial" w:hAnsi="Arial" w:cs="Arial"/>
          <w:color w:val="000000"/>
          <w:sz w:val="24"/>
          <w:szCs w:val="24"/>
          <w:shd w:val="clear" w:color="auto" w:fill="FFFFFF"/>
        </w:rPr>
        <w:t xml:space="preserve"> seek to review and set aside the second respondent’s ruling o</w:t>
      </w:r>
      <w:r w:rsidR="00044E86" w:rsidRPr="00DA0DA5">
        <w:rPr>
          <w:rFonts w:ascii="Arial" w:hAnsi="Arial" w:cs="Arial"/>
          <w:color w:val="000000"/>
          <w:sz w:val="24"/>
          <w:szCs w:val="24"/>
          <w:shd w:val="clear" w:color="auto" w:fill="FFFFFF"/>
        </w:rPr>
        <w:t>f</w:t>
      </w:r>
      <w:r w:rsidR="006550DF" w:rsidRPr="00DA0DA5">
        <w:rPr>
          <w:rFonts w:ascii="Arial" w:hAnsi="Arial" w:cs="Arial"/>
          <w:color w:val="000000"/>
          <w:sz w:val="24"/>
          <w:szCs w:val="24"/>
          <w:shd w:val="clear" w:color="auto" w:fill="FFFFFF"/>
        </w:rPr>
        <w:t xml:space="preserve"> 6 November 2019</w:t>
      </w:r>
      <w:r w:rsidR="008A1D3C" w:rsidRPr="00DA0DA5">
        <w:rPr>
          <w:rFonts w:ascii="Arial" w:hAnsi="Arial" w:cs="Arial"/>
          <w:color w:val="000000"/>
          <w:sz w:val="24"/>
          <w:szCs w:val="24"/>
          <w:shd w:val="clear" w:color="auto" w:fill="FFFFFF"/>
        </w:rPr>
        <w:t xml:space="preserve"> under case number CCC1/47/17</w:t>
      </w:r>
      <w:r w:rsidR="006550DF" w:rsidRPr="00DA0DA5">
        <w:rPr>
          <w:rFonts w:ascii="Arial" w:hAnsi="Arial" w:cs="Arial"/>
          <w:color w:val="000000"/>
          <w:sz w:val="24"/>
          <w:szCs w:val="24"/>
          <w:shd w:val="clear" w:color="auto" w:fill="FFFFFF"/>
        </w:rPr>
        <w:t>, dismissing the applicant’s application for the quashing of the charge</w:t>
      </w:r>
      <w:r w:rsidR="00956789" w:rsidRPr="00DA0DA5">
        <w:rPr>
          <w:rFonts w:ascii="Arial" w:hAnsi="Arial" w:cs="Arial"/>
          <w:color w:val="000000"/>
          <w:sz w:val="24"/>
          <w:szCs w:val="24"/>
          <w:shd w:val="clear" w:color="auto" w:fill="FFFFFF"/>
        </w:rPr>
        <w:t>s</w:t>
      </w:r>
      <w:r w:rsidR="007F39E5" w:rsidRPr="00DA0DA5">
        <w:rPr>
          <w:rFonts w:ascii="Arial" w:hAnsi="Arial" w:cs="Arial"/>
          <w:color w:val="000000"/>
          <w:sz w:val="24"/>
          <w:szCs w:val="24"/>
          <w:shd w:val="clear" w:color="auto" w:fill="FFFFFF"/>
        </w:rPr>
        <w:t xml:space="preserve"> against the </w:t>
      </w:r>
      <w:r w:rsidR="00044E86" w:rsidRPr="00DA0DA5">
        <w:rPr>
          <w:rFonts w:ascii="Arial" w:hAnsi="Arial" w:cs="Arial"/>
          <w:color w:val="000000"/>
          <w:sz w:val="24"/>
          <w:szCs w:val="24"/>
          <w:shd w:val="clear" w:color="auto" w:fill="FFFFFF"/>
        </w:rPr>
        <w:t>applicants</w:t>
      </w:r>
      <w:r w:rsidR="002C4BEF" w:rsidRPr="00DA0DA5">
        <w:rPr>
          <w:rFonts w:ascii="Arial" w:hAnsi="Arial" w:cs="Arial"/>
          <w:color w:val="000000"/>
          <w:sz w:val="24"/>
          <w:szCs w:val="24"/>
          <w:shd w:val="clear" w:color="auto" w:fill="FFFFFF"/>
        </w:rPr>
        <w:t>.  In the alternative,</w:t>
      </w:r>
      <w:r w:rsidR="008A1D3C" w:rsidRPr="00DA0DA5">
        <w:rPr>
          <w:rFonts w:ascii="Arial" w:hAnsi="Arial" w:cs="Arial"/>
          <w:color w:val="000000"/>
          <w:sz w:val="24"/>
          <w:szCs w:val="24"/>
          <w:shd w:val="clear" w:color="auto" w:fill="FFFFFF"/>
        </w:rPr>
        <w:t xml:space="preserve"> the applicants seek an order directing the second respondent to compel the </w:t>
      </w:r>
      <w:r w:rsidR="00044E86" w:rsidRPr="00DA0DA5">
        <w:rPr>
          <w:rFonts w:ascii="Arial" w:hAnsi="Arial" w:cs="Arial"/>
          <w:color w:val="000000"/>
          <w:sz w:val="24"/>
          <w:szCs w:val="24"/>
          <w:shd w:val="clear" w:color="auto" w:fill="FFFFFF"/>
        </w:rPr>
        <w:t>State</w:t>
      </w:r>
      <w:r w:rsidR="008A1D3C" w:rsidRPr="00DA0DA5">
        <w:rPr>
          <w:rFonts w:ascii="Arial" w:hAnsi="Arial" w:cs="Arial"/>
          <w:color w:val="000000"/>
          <w:sz w:val="24"/>
          <w:szCs w:val="24"/>
          <w:shd w:val="clear" w:color="auto" w:fill="FFFFFF"/>
        </w:rPr>
        <w:t xml:space="preserve"> to provide the particulars sought by the applicants, to the charges.</w:t>
      </w:r>
      <w:r w:rsidR="00524B05" w:rsidRPr="00DA0DA5">
        <w:rPr>
          <w:rFonts w:ascii="Arial" w:hAnsi="Arial" w:cs="Arial"/>
          <w:color w:val="000000"/>
          <w:sz w:val="24"/>
          <w:szCs w:val="24"/>
          <w:shd w:val="clear" w:color="auto" w:fill="FFFFFF"/>
        </w:rPr>
        <w:t xml:space="preserve">  </w:t>
      </w:r>
    </w:p>
    <w:p w14:paraId="65C914BE" w14:textId="77777777" w:rsidR="0028245E" w:rsidRPr="0028245E" w:rsidRDefault="0028245E" w:rsidP="00044E86">
      <w:pPr>
        <w:pStyle w:val="ListParagraph"/>
        <w:spacing w:after="0" w:line="480" w:lineRule="auto"/>
        <w:ind w:left="851"/>
        <w:jc w:val="both"/>
        <w:rPr>
          <w:rFonts w:ascii="Arial" w:hAnsi="Arial" w:cs="Arial"/>
          <w:sz w:val="24"/>
          <w:szCs w:val="24"/>
        </w:rPr>
      </w:pPr>
    </w:p>
    <w:p w14:paraId="2A5D4F84" w14:textId="00006D0F" w:rsidR="008A1D3C" w:rsidRPr="00DA0DA5" w:rsidRDefault="00DA0DA5" w:rsidP="00DA0DA5">
      <w:pPr>
        <w:spacing w:after="0" w:line="480" w:lineRule="auto"/>
        <w:ind w:left="851" w:hanging="851"/>
        <w:jc w:val="both"/>
        <w:rPr>
          <w:rFonts w:ascii="Arial" w:hAnsi="Arial" w:cs="Arial"/>
          <w:sz w:val="24"/>
          <w:szCs w:val="24"/>
        </w:rPr>
      </w:pPr>
      <w:r w:rsidRPr="00044E86">
        <w:rPr>
          <w:rFonts w:ascii="Arial" w:hAnsi="Arial" w:cs="Arial"/>
          <w:sz w:val="24"/>
          <w:szCs w:val="24"/>
        </w:rPr>
        <w:t>[16]</w:t>
      </w:r>
      <w:r w:rsidRPr="00044E86">
        <w:rPr>
          <w:rFonts w:ascii="Arial" w:hAnsi="Arial" w:cs="Arial"/>
          <w:sz w:val="24"/>
          <w:szCs w:val="24"/>
        </w:rPr>
        <w:tab/>
      </w:r>
      <w:r w:rsidR="00866C41" w:rsidRPr="00DA0DA5">
        <w:rPr>
          <w:rFonts w:ascii="Arial" w:hAnsi="Arial" w:cs="Arial"/>
          <w:sz w:val="24"/>
          <w:szCs w:val="24"/>
        </w:rPr>
        <w:t>The main thrust of the applicants’ contentions is encapsulated in paragraph 31 of the founding papers</w:t>
      </w:r>
      <w:r w:rsidR="00F07F04" w:rsidRPr="00DA0DA5">
        <w:rPr>
          <w:rFonts w:ascii="Arial" w:hAnsi="Arial" w:cs="Arial"/>
          <w:sz w:val="24"/>
          <w:szCs w:val="24"/>
        </w:rPr>
        <w:t>, under the heading “</w:t>
      </w:r>
      <w:r w:rsidR="00F07F04" w:rsidRPr="00DA0DA5">
        <w:rPr>
          <w:rFonts w:ascii="Arial" w:hAnsi="Arial" w:cs="Arial"/>
          <w:i/>
          <w:iCs/>
          <w:sz w:val="24"/>
          <w:szCs w:val="24"/>
        </w:rPr>
        <w:t>GROUNDS FOR REVIEW</w:t>
      </w:r>
      <w:r w:rsidR="00F07F04" w:rsidRPr="00DA0DA5">
        <w:rPr>
          <w:rFonts w:ascii="Arial" w:hAnsi="Arial" w:cs="Arial"/>
          <w:sz w:val="24"/>
          <w:szCs w:val="24"/>
        </w:rPr>
        <w:t>”,</w:t>
      </w:r>
      <w:r w:rsidR="00866C41" w:rsidRPr="00DA0DA5">
        <w:rPr>
          <w:rFonts w:ascii="Arial" w:hAnsi="Arial" w:cs="Arial"/>
          <w:sz w:val="24"/>
          <w:szCs w:val="24"/>
        </w:rPr>
        <w:t xml:space="preserve"> and is as follows: </w:t>
      </w:r>
    </w:p>
    <w:p w14:paraId="3DB1AAB9" w14:textId="35798D8A" w:rsidR="00F7134F" w:rsidRDefault="00F7134F" w:rsidP="00866C41">
      <w:pPr>
        <w:pStyle w:val="ListParagraph"/>
        <w:spacing w:after="0" w:line="480" w:lineRule="auto"/>
        <w:ind w:left="851"/>
        <w:jc w:val="both"/>
        <w:rPr>
          <w:rFonts w:ascii="Arial" w:hAnsi="Arial" w:cs="Arial"/>
          <w:sz w:val="24"/>
          <w:szCs w:val="24"/>
        </w:rPr>
      </w:pPr>
    </w:p>
    <w:p w14:paraId="1337AB35" w14:textId="4683D27B" w:rsidR="00866C41" w:rsidRPr="005E2034" w:rsidRDefault="00866C41" w:rsidP="005E2034">
      <w:pPr>
        <w:pStyle w:val="ListParagraph"/>
        <w:spacing w:after="0" w:line="360" w:lineRule="auto"/>
        <w:ind w:left="851"/>
        <w:jc w:val="both"/>
        <w:rPr>
          <w:rFonts w:ascii="Arial" w:hAnsi="Arial" w:cs="Arial"/>
          <w:i/>
          <w:iCs/>
          <w:sz w:val="20"/>
          <w:szCs w:val="20"/>
        </w:rPr>
      </w:pPr>
      <w:r w:rsidRPr="005E2034">
        <w:rPr>
          <w:rFonts w:ascii="Arial" w:hAnsi="Arial" w:cs="Arial"/>
          <w:sz w:val="20"/>
          <w:szCs w:val="20"/>
        </w:rPr>
        <w:t>“</w:t>
      </w:r>
      <w:r w:rsidRPr="005E2034">
        <w:rPr>
          <w:rFonts w:ascii="Arial" w:hAnsi="Arial" w:cs="Arial"/>
          <w:i/>
          <w:iCs/>
          <w:sz w:val="20"/>
          <w:szCs w:val="20"/>
        </w:rPr>
        <w:t>I humbly submit that a gross injustice has resulted based on:</w:t>
      </w:r>
    </w:p>
    <w:p w14:paraId="082A1147" w14:textId="77777777" w:rsidR="002034C5" w:rsidRDefault="002034C5" w:rsidP="005E2034">
      <w:pPr>
        <w:pStyle w:val="ListParagraph"/>
        <w:spacing w:after="0" w:line="360" w:lineRule="auto"/>
        <w:ind w:left="1440" w:hanging="589"/>
        <w:jc w:val="both"/>
        <w:rPr>
          <w:rFonts w:ascii="Arial" w:hAnsi="Arial" w:cs="Arial"/>
          <w:i/>
          <w:iCs/>
          <w:sz w:val="20"/>
          <w:szCs w:val="20"/>
        </w:rPr>
      </w:pPr>
    </w:p>
    <w:p w14:paraId="411358B2" w14:textId="3ABD386A" w:rsidR="00866C41" w:rsidRPr="005E2034" w:rsidRDefault="00866C41" w:rsidP="005E2034">
      <w:pPr>
        <w:pStyle w:val="ListParagraph"/>
        <w:spacing w:after="0" w:line="360" w:lineRule="auto"/>
        <w:ind w:left="1440" w:hanging="589"/>
        <w:jc w:val="both"/>
        <w:rPr>
          <w:rFonts w:ascii="Arial" w:hAnsi="Arial" w:cs="Arial"/>
          <w:i/>
          <w:iCs/>
          <w:sz w:val="20"/>
          <w:szCs w:val="20"/>
        </w:rPr>
      </w:pPr>
      <w:r w:rsidRPr="005E2034">
        <w:rPr>
          <w:rFonts w:ascii="Arial" w:hAnsi="Arial" w:cs="Arial"/>
          <w:i/>
          <w:iCs/>
          <w:sz w:val="20"/>
          <w:szCs w:val="20"/>
        </w:rPr>
        <w:t xml:space="preserve">31.1. </w:t>
      </w:r>
      <w:r w:rsidR="005E2034">
        <w:rPr>
          <w:rFonts w:ascii="Arial" w:hAnsi="Arial" w:cs="Arial"/>
          <w:i/>
          <w:iCs/>
          <w:sz w:val="20"/>
          <w:szCs w:val="20"/>
        </w:rPr>
        <w:tab/>
      </w:r>
      <w:r w:rsidRPr="005E2034">
        <w:rPr>
          <w:rFonts w:ascii="Arial" w:hAnsi="Arial" w:cs="Arial"/>
          <w:i/>
          <w:iCs/>
          <w:sz w:val="20"/>
          <w:szCs w:val="20"/>
        </w:rPr>
        <w:t xml:space="preserve">Second Respondent’s failure to uphold the objection to the charges and rule on the Quashing </w:t>
      </w:r>
      <w:r w:rsidR="005E2034" w:rsidRPr="005E2034">
        <w:rPr>
          <w:rFonts w:ascii="Arial" w:hAnsi="Arial" w:cs="Arial"/>
          <w:i/>
          <w:iCs/>
          <w:sz w:val="20"/>
          <w:szCs w:val="20"/>
        </w:rPr>
        <w:t>Application</w:t>
      </w:r>
      <w:r w:rsidR="005E2034">
        <w:rPr>
          <w:rFonts w:ascii="Arial" w:hAnsi="Arial" w:cs="Arial"/>
          <w:i/>
          <w:iCs/>
          <w:sz w:val="20"/>
          <w:szCs w:val="20"/>
        </w:rPr>
        <w:t>;</w:t>
      </w:r>
    </w:p>
    <w:p w14:paraId="0C71E889" w14:textId="77777777" w:rsidR="00866C41" w:rsidRPr="005E2034" w:rsidRDefault="00866C41" w:rsidP="005E2034">
      <w:pPr>
        <w:pStyle w:val="ListParagraph"/>
        <w:spacing w:after="0" w:line="360" w:lineRule="auto"/>
        <w:ind w:left="851"/>
        <w:jc w:val="both"/>
        <w:rPr>
          <w:rFonts w:ascii="Arial" w:hAnsi="Arial" w:cs="Arial"/>
          <w:i/>
          <w:iCs/>
          <w:sz w:val="20"/>
          <w:szCs w:val="20"/>
        </w:rPr>
      </w:pPr>
    </w:p>
    <w:p w14:paraId="6F6AC15B" w14:textId="3902AF0C" w:rsidR="00F7134F" w:rsidRPr="005E2034" w:rsidRDefault="00866C41" w:rsidP="005E2034">
      <w:pPr>
        <w:pStyle w:val="ListParagraph"/>
        <w:spacing w:after="0" w:line="360" w:lineRule="auto"/>
        <w:ind w:left="1436" w:hanging="585"/>
        <w:jc w:val="both"/>
        <w:rPr>
          <w:rFonts w:ascii="Arial" w:hAnsi="Arial" w:cs="Arial"/>
          <w:i/>
          <w:iCs/>
          <w:sz w:val="20"/>
          <w:szCs w:val="20"/>
        </w:rPr>
      </w:pPr>
      <w:r w:rsidRPr="005E2034">
        <w:rPr>
          <w:rFonts w:ascii="Arial" w:hAnsi="Arial" w:cs="Arial"/>
          <w:i/>
          <w:iCs/>
          <w:sz w:val="20"/>
          <w:szCs w:val="20"/>
        </w:rPr>
        <w:t>31.2.</w:t>
      </w:r>
      <w:r w:rsidRPr="005E2034">
        <w:rPr>
          <w:rFonts w:ascii="Arial" w:hAnsi="Arial" w:cs="Arial"/>
          <w:i/>
          <w:iCs/>
          <w:sz w:val="20"/>
          <w:szCs w:val="20"/>
        </w:rPr>
        <w:tab/>
        <w:t xml:space="preserve">Second Respondent’s failure to consider and deal with the grounds of objection set out in my Notice </w:t>
      </w:r>
      <w:r w:rsidR="005E2034" w:rsidRPr="005E2034">
        <w:rPr>
          <w:rFonts w:ascii="Arial" w:hAnsi="Arial" w:cs="Arial"/>
          <w:i/>
          <w:iCs/>
          <w:sz w:val="20"/>
          <w:szCs w:val="20"/>
        </w:rPr>
        <w:t>to Object to the charges;</w:t>
      </w:r>
    </w:p>
    <w:p w14:paraId="67405329" w14:textId="29C34056" w:rsidR="005E2034" w:rsidRPr="005E2034" w:rsidRDefault="005E2034" w:rsidP="005E2034">
      <w:pPr>
        <w:pStyle w:val="ListParagraph"/>
        <w:spacing w:after="0" w:line="360" w:lineRule="auto"/>
        <w:ind w:left="851"/>
        <w:jc w:val="both"/>
        <w:rPr>
          <w:rFonts w:ascii="Arial" w:hAnsi="Arial" w:cs="Arial"/>
          <w:i/>
          <w:iCs/>
          <w:sz w:val="20"/>
          <w:szCs w:val="20"/>
        </w:rPr>
      </w:pPr>
    </w:p>
    <w:p w14:paraId="5E50A986" w14:textId="77777777" w:rsidR="005E2034" w:rsidRDefault="005E2034" w:rsidP="005E2034">
      <w:pPr>
        <w:pStyle w:val="ListParagraph"/>
        <w:spacing w:after="0" w:line="360" w:lineRule="auto"/>
        <w:ind w:left="1436" w:hanging="585"/>
        <w:jc w:val="both"/>
        <w:rPr>
          <w:rFonts w:ascii="Arial" w:hAnsi="Arial" w:cs="Arial"/>
          <w:i/>
          <w:iCs/>
          <w:sz w:val="20"/>
          <w:szCs w:val="20"/>
          <w:lang w:val="en-US"/>
        </w:rPr>
      </w:pPr>
      <w:r w:rsidRPr="005E2034">
        <w:rPr>
          <w:rFonts w:ascii="Arial" w:hAnsi="Arial" w:cs="Arial"/>
          <w:i/>
          <w:iCs/>
          <w:sz w:val="20"/>
          <w:szCs w:val="20"/>
        </w:rPr>
        <w:lastRenderedPageBreak/>
        <w:t>31.3.</w:t>
      </w:r>
      <w:r w:rsidRPr="005E2034">
        <w:rPr>
          <w:rFonts w:ascii="Arial" w:hAnsi="Arial" w:cs="Arial"/>
          <w:i/>
          <w:iCs/>
          <w:sz w:val="20"/>
          <w:szCs w:val="20"/>
        </w:rPr>
        <w:tab/>
        <w:t xml:space="preserve">Second Respondent’s </w:t>
      </w:r>
      <w:r w:rsidRPr="005E2034">
        <w:rPr>
          <w:rFonts w:ascii="Arial" w:hAnsi="Arial" w:cs="Arial"/>
          <w:i/>
          <w:iCs/>
          <w:sz w:val="20"/>
          <w:szCs w:val="20"/>
          <w:lang w:val="en-US"/>
        </w:rPr>
        <w:t xml:space="preserve">finding that the charge sheet contains clear and unambiguous charges especially referring to the forgery charges; </w:t>
      </w:r>
    </w:p>
    <w:p w14:paraId="0F532FA4" w14:textId="77777777" w:rsidR="005E2034" w:rsidRDefault="005E2034" w:rsidP="005E2034">
      <w:pPr>
        <w:pStyle w:val="ListParagraph"/>
        <w:spacing w:after="0" w:line="360" w:lineRule="auto"/>
        <w:ind w:left="1436" w:hanging="585"/>
        <w:jc w:val="both"/>
        <w:rPr>
          <w:rFonts w:ascii="Arial" w:hAnsi="Arial" w:cs="Arial"/>
          <w:i/>
          <w:iCs/>
          <w:sz w:val="20"/>
          <w:szCs w:val="20"/>
          <w:lang w:val="en-US"/>
        </w:rPr>
      </w:pPr>
    </w:p>
    <w:p w14:paraId="4287E10F" w14:textId="33BD027E" w:rsidR="005E2034" w:rsidRDefault="005E2034" w:rsidP="005E2034">
      <w:pPr>
        <w:pStyle w:val="ListParagraph"/>
        <w:spacing w:after="0" w:line="360" w:lineRule="auto"/>
        <w:ind w:left="1436" w:hanging="585"/>
        <w:jc w:val="both"/>
        <w:rPr>
          <w:rFonts w:ascii="Arial" w:hAnsi="Arial" w:cs="Arial"/>
          <w:sz w:val="20"/>
          <w:szCs w:val="20"/>
          <w:lang w:val="en-US"/>
        </w:rPr>
      </w:pPr>
      <w:r>
        <w:rPr>
          <w:rFonts w:ascii="Arial" w:hAnsi="Arial" w:cs="Arial"/>
          <w:i/>
          <w:iCs/>
          <w:sz w:val="20"/>
          <w:szCs w:val="20"/>
          <w:lang w:val="en-US"/>
        </w:rPr>
        <w:t>31.4</w:t>
      </w:r>
      <w:r>
        <w:rPr>
          <w:rFonts w:ascii="Arial" w:hAnsi="Arial" w:cs="Arial"/>
          <w:i/>
          <w:iCs/>
          <w:sz w:val="20"/>
          <w:szCs w:val="20"/>
          <w:lang w:val="en-US"/>
        </w:rPr>
        <w:tab/>
        <w:t>S</w:t>
      </w:r>
      <w:r w:rsidRPr="005E2034">
        <w:rPr>
          <w:rFonts w:ascii="Arial" w:hAnsi="Arial" w:cs="Arial"/>
          <w:i/>
          <w:iCs/>
          <w:sz w:val="20"/>
          <w:szCs w:val="20"/>
          <w:lang w:val="en-US"/>
        </w:rPr>
        <w:t xml:space="preserve">econd </w:t>
      </w:r>
      <w:r>
        <w:rPr>
          <w:rFonts w:ascii="Arial" w:hAnsi="Arial" w:cs="Arial"/>
          <w:i/>
          <w:iCs/>
          <w:sz w:val="20"/>
          <w:szCs w:val="20"/>
          <w:lang w:val="en-US"/>
        </w:rPr>
        <w:t>R</w:t>
      </w:r>
      <w:r w:rsidRPr="005E2034">
        <w:rPr>
          <w:rFonts w:ascii="Arial" w:hAnsi="Arial" w:cs="Arial"/>
          <w:i/>
          <w:iCs/>
          <w:sz w:val="20"/>
          <w:szCs w:val="20"/>
          <w:lang w:val="en-US"/>
        </w:rPr>
        <w:t>espondent</w:t>
      </w:r>
      <w:r>
        <w:rPr>
          <w:rFonts w:ascii="Arial" w:hAnsi="Arial" w:cs="Arial"/>
          <w:i/>
          <w:iCs/>
          <w:sz w:val="20"/>
          <w:szCs w:val="20"/>
          <w:lang w:val="en-US"/>
        </w:rPr>
        <w:t>’</w:t>
      </w:r>
      <w:r w:rsidRPr="005E2034">
        <w:rPr>
          <w:rFonts w:ascii="Arial" w:hAnsi="Arial" w:cs="Arial"/>
          <w:i/>
          <w:iCs/>
          <w:sz w:val="20"/>
          <w:szCs w:val="20"/>
          <w:lang w:val="en-US"/>
        </w:rPr>
        <w:t>s finding that no order compelling the state to provide particulars was called for</w:t>
      </w:r>
      <w:r w:rsidRPr="005E2034">
        <w:rPr>
          <w:rFonts w:ascii="Arial" w:hAnsi="Arial" w:cs="Arial"/>
          <w:sz w:val="20"/>
          <w:szCs w:val="20"/>
          <w:lang w:val="en-US"/>
        </w:rPr>
        <w:t>.</w:t>
      </w:r>
      <w:r>
        <w:rPr>
          <w:rFonts w:ascii="Arial" w:hAnsi="Arial" w:cs="Arial"/>
          <w:sz w:val="20"/>
          <w:szCs w:val="20"/>
          <w:lang w:val="en-US"/>
        </w:rPr>
        <w:t>”</w:t>
      </w:r>
      <w:r w:rsidRPr="005E2034">
        <w:rPr>
          <w:rFonts w:ascii="Arial" w:hAnsi="Arial" w:cs="Arial"/>
          <w:sz w:val="20"/>
          <w:szCs w:val="20"/>
          <w:lang w:val="en-US"/>
        </w:rPr>
        <w:t xml:space="preserve"> </w:t>
      </w:r>
    </w:p>
    <w:p w14:paraId="4D85283D" w14:textId="77777777" w:rsidR="00632DF3" w:rsidRDefault="00632DF3" w:rsidP="00632DF3">
      <w:pPr>
        <w:pStyle w:val="ListParagraph"/>
        <w:spacing w:after="0" w:line="480" w:lineRule="auto"/>
        <w:ind w:left="851"/>
        <w:jc w:val="both"/>
        <w:rPr>
          <w:rFonts w:ascii="Arial" w:hAnsi="Arial" w:cs="Arial"/>
          <w:sz w:val="24"/>
          <w:szCs w:val="24"/>
        </w:rPr>
      </w:pPr>
    </w:p>
    <w:p w14:paraId="41E18E52" w14:textId="25C3B60E" w:rsidR="005E2034"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E2034" w:rsidRPr="00DA0DA5">
        <w:rPr>
          <w:rFonts w:ascii="Arial" w:hAnsi="Arial" w:cs="Arial"/>
          <w:sz w:val="24"/>
          <w:szCs w:val="24"/>
        </w:rPr>
        <w:t>What follows in the succeeding paragraphs of the founding affidavit are the detailed grounds upon which the applicants rely for their contention that the second respondent failed to consider the applicants’ grounds of objection to the charge sheet.</w:t>
      </w:r>
      <w:r w:rsidR="00F07F04" w:rsidRPr="00DA0DA5">
        <w:rPr>
          <w:rFonts w:ascii="Arial" w:hAnsi="Arial" w:cs="Arial"/>
          <w:sz w:val="24"/>
          <w:szCs w:val="24"/>
        </w:rPr>
        <w:t xml:space="preserve">  </w:t>
      </w:r>
    </w:p>
    <w:p w14:paraId="0EDE8600" w14:textId="135EB063" w:rsidR="00F07F04" w:rsidRDefault="00F07F04" w:rsidP="00F07F04">
      <w:pPr>
        <w:pStyle w:val="ListParagraph"/>
        <w:spacing w:after="0" w:line="480" w:lineRule="auto"/>
        <w:ind w:left="851"/>
        <w:jc w:val="both"/>
        <w:rPr>
          <w:rFonts w:ascii="Arial" w:hAnsi="Arial" w:cs="Arial"/>
          <w:sz w:val="24"/>
          <w:szCs w:val="24"/>
        </w:rPr>
      </w:pPr>
    </w:p>
    <w:p w14:paraId="483F21CF" w14:textId="6158F557" w:rsidR="00F07F04"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03139" w:rsidRPr="00DA0DA5">
        <w:rPr>
          <w:rFonts w:ascii="Arial" w:hAnsi="Arial" w:cs="Arial"/>
          <w:sz w:val="24"/>
          <w:szCs w:val="24"/>
        </w:rPr>
        <w:t>At this juncture, I am mindful of the fact that the crucial enquiry in review proceedings is whether the conduct of the decision-maker, complained of, prevented a fair trial on the issues; and that such complaints must be directed at the method or conduct of the proceedings, and not at the result thereof.</w:t>
      </w:r>
      <w:r w:rsidR="00D03139">
        <w:rPr>
          <w:rStyle w:val="FootnoteReference"/>
          <w:rFonts w:ascii="Arial" w:hAnsi="Arial" w:cs="Arial"/>
          <w:sz w:val="24"/>
          <w:szCs w:val="24"/>
        </w:rPr>
        <w:footnoteReference w:id="4"/>
      </w:r>
      <w:r w:rsidR="00D03139" w:rsidRPr="00DA0DA5">
        <w:rPr>
          <w:rFonts w:ascii="Arial" w:hAnsi="Arial" w:cs="Arial"/>
          <w:sz w:val="24"/>
          <w:szCs w:val="24"/>
        </w:rPr>
        <w:t xml:space="preserve">  I return to this aspect later.</w:t>
      </w:r>
    </w:p>
    <w:p w14:paraId="1ECA1939" w14:textId="77777777" w:rsidR="001E3BF5" w:rsidRPr="001E3BF5" w:rsidRDefault="001E3BF5" w:rsidP="008626F4">
      <w:pPr>
        <w:pStyle w:val="ListParagraph"/>
        <w:spacing w:after="0" w:line="480" w:lineRule="auto"/>
        <w:rPr>
          <w:rFonts w:ascii="Arial" w:hAnsi="Arial" w:cs="Arial"/>
          <w:sz w:val="24"/>
          <w:szCs w:val="24"/>
        </w:rPr>
      </w:pPr>
    </w:p>
    <w:p w14:paraId="346DEA6F" w14:textId="38740BCA" w:rsidR="00241CC7" w:rsidRPr="00AA41AB" w:rsidRDefault="002034C5" w:rsidP="00241CC7">
      <w:pPr>
        <w:rPr>
          <w:rFonts w:ascii="Arial" w:hAnsi="Arial" w:cs="Arial"/>
          <w:b/>
          <w:bCs/>
          <w:sz w:val="24"/>
          <w:szCs w:val="24"/>
          <w:u w:val="single"/>
        </w:rPr>
      </w:pPr>
      <w:r>
        <w:rPr>
          <w:rFonts w:ascii="Arial" w:hAnsi="Arial" w:cs="Arial"/>
          <w:b/>
          <w:bCs/>
          <w:sz w:val="24"/>
          <w:szCs w:val="24"/>
          <w:u w:val="single"/>
        </w:rPr>
        <w:t xml:space="preserve">Legal framework relevant to </w:t>
      </w:r>
      <w:r w:rsidR="00AA41AB">
        <w:rPr>
          <w:rFonts w:ascii="Arial" w:hAnsi="Arial" w:cs="Arial"/>
          <w:b/>
          <w:bCs/>
          <w:sz w:val="24"/>
          <w:szCs w:val="24"/>
          <w:u w:val="single"/>
        </w:rPr>
        <w:t xml:space="preserve">the present </w:t>
      </w:r>
      <w:r w:rsidR="00C820E4">
        <w:rPr>
          <w:rFonts w:ascii="Arial" w:hAnsi="Arial" w:cs="Arial"/>
          <w:b/>
          <w:bCs/>
          <w:sz w:val="24"/>
          <w:szCs w:val="24"/>
          <w:u w:val="single"/>
        </w:rPr>
        <w:t>proceedings</w:t>
      </w:r>
    </w:p>
    <w:p w14:paraId="09D68A8E" w14:textId="77777777" w:rsidR="00D03139" w:rsidRPr="00241CC7" w:rsidRDefault="00D03139" w:rsidP="00241CC7">
      <w:pPr>
        <w:spacing w:after="0" w:line="480" w:lineRule="auto"/>
        <w:jc w:val="both"/>
        <w:rPr>
          <w:rFonts w:ascii="Arial" w:hAnsi="Arial" w:cs="Arial"/>
          <w:sz w:val="24"/>
          <w:szCs w:val="24"/>
        </w:rPr>
      </w:pPr>
    </w:p>
    <w:p w14:paraId="03B4D615" w14:textId="2D7EC349" w:rsidR="00EE4D46"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E4D46" w:rsidRPr="00DA0DA5">
        <w:rPr>
          <w:rFonts w:ascii="Arial" w:hAnsi="Arial" w:cs="Arial"/>
          <w:sz w:val="24"/>
          <w:szCs w:val="24"/>
        </w:rPr>
        <w:t>In terms of section 22 of the Superior Courts Act, 10 of 2013</w:t>
      </w:r>
      <w:r w:rsidR="005D25D7" w:rsidRPr="00DA0DA5">
        <w:rPr>
          <w:rFonts w:ascii="Arial" w:hAnsi="Arial" w:cs="Arial"/>
          <w:sz w:val="24"/>
          <w:szCs w:val="24"/>
        </w:rPr>
        <w:t>:</w:t>
      </w:r>
    </w:p>
    <w:p w14:paraId="5FA4C70B" w14:textId="77777777" w:rsidR="009B2104" w:rsidRDefault="009B2104" w:rsidP="009B2104">
      <w:pPr>
        <w:pStyle w:val="ListParagraph"/>
        <w:spacing w:after="0" w:line="480" w:lineRule="auto"/>
        <w:ind w:left="851"/>
        <w:jc w:val="both"/>
        <w:rPr>
          <w:rFonts w:ascii="Arial" w:hAnsi="Arial" w:cs="Arial"/>
          <w:sz w:val="24"/>
          <w:szCs w:val="24"/>
        </w:rPr>
      </w:pPr>
    </w:p>
    <w:p w14:paraId="667B4EC6" w14:textId="77777777" w:rsidR="00733195" w:rsidRPr="00733195" w:rsidRDefault="00733195" w:rsidP="00733195">
      <w:pPr>
        <w:pStyle w:val="ListParagraph"/>
        <w:spacing w:after="0" w:line="360" w:lineRule="auto"/>
        <w:ind w:left="1436" w:hanging="585"/>
        <w:jc w:val="both"/>
        <w:rPr>
          <w:rFonts w:ascii="Arial" w:hAnsi="Arial" w:cs="Arial"/>
          <w:i/>
          <w:iCs/>
          <w:sz w:val="20"/>
          <w:szCs w:val="20"/>
        </w:rPr>
      </w:pPr>
      <w:r>
        <w:rPr>
          <w:rFonts w:ascii="Arial" w:hAnsi="Arial" w:cs="Arial"/>
          <w:sz w:val="20"/>
          <w:szCs w:val="20"/>
        </w:rPr>
        <w:t>“</w:t>
      </w:r>
      <w:r w:rsidR="00EE4D46" w:rsidRPr="00733195">
        <w:rPr>
          <w:rFonts w:ascii="Arial" w:hAnsi="Arial" w:cs="Arial"/>
          <w:i/>
          <w:iCs/>
          <w:sz w:val="20"/>
          <w:szCs w:val="20"/>
        </w:rPr>
        <w:t>(1)</w:t>
      </w:r>
      <w:r w:rsidRPr="00733195">
        <w:rPr>
          <w:rFonts w:ascii="Arial" w:hAnsi="Arial" w:cs="Arial"/>
          <w:i/>
          <w:iCs/>
          <w:sz w:val="20"/>
          <w:szCs w:val="20"/>
        </w:rPr>
        <w:tab/>
      </w:r>
      <w:r w:rsidR="00EE4D46" w:rsidRPr="00733195">
        <w:rPr>
          <w:rFonts w:ascii="Arial" w:hAnsi="Arial" w:cs="Arial"/>
          <w:i/>
          <w:iCs/>
          <w:sz w:val="20"/>
          <w:szCs w:val="20"/>
        </w:rPr>
        <w:t xml:space="preserve">The grounds upon which the proceedings of any Magistrates’ Court may be brought under review before a court of a Division are— </w:t>
      </w:r>
    </w:p>
    <w:p w14:paraId="7C536B22" w14:textId="77777777" w:rsidR="00733195" w:rsidRPr="00733195" w:rsidRDefault="00733195" w:rsidP="00733195">
      <w:pPr>
        <w:pStyle w:val="ListParagraph"/>
        <w:spacing w:after="0" w:line="360" w:lineRule="auto"/>
        <w:ind w:left="1436"/>
        <w:jc w:val="both"/>
        <w:rPr>
          <w:rFonts w:ascii="Arial" w:hAnsi="Arial" w:cs="Arial"/>
          <w:i/>
          <w:iCs/>
          <w:sz w:val="20"/>
          <w:szCs w:val="20"/>
        </w:rPr>
      </w:pPr>
    </w:p>
    <w:p w14:paraId="271C4745" w14:textId="13E41489"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(a) </w:t>
      </w:r>
      <w:r w:rsidR="00733195" w:rsidRPr="00733195">
        <w:rPr>
          <w:rFonts w:ascii="Arial" w:hAnsi="Arial" w:cs="Arial"/>
          <w:i/>
          <w:iCs/>
          <w:sz w:val="20"/>
          <w:szCs w:val="20"/>
        </w:rPr>
        <w:tab/>
      </w:r>
      <w:r w:rsidRPr="00733195">
        <w:rPr>
          <w:rFonts w:ascii="Arial" w:hAnsi="Arial" w:cs="Arial"/>
          <w:i/>
          <w:iCs/>
          <w:sz w:val="20"/>
          <w:szCs w:val="20"/>
        </w:rPr>
        <w:t xml:space="preserve">absence of jurisdiction on the part of the court; </w:t>
      </w:r>
    </w:p>
    <w:p w14:paraId="6506174B" w14:textId="1AEB14ED"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(b) </w:t>
      </w:r>
      <w:r w:rsidR="00733195" w:rsidRPr="00733195">
        <w:rPr>
          <w:rFonts w:ascii="Arial" w:hAnsi="Arial" w:cs="Arial"/>
          <w:i/>
          <w:iCs/>
          <w:sz w:val="20"/>
          <w:szCs w:val="20"/>
        </w:rPr>
        <w:t xml:space="preserve"> </w:t>
      </w:r>
      <w:r w:rsidR="00733195" w:rsidRPr="00733195">
        <w:rPr>
          <w:rFonts w:ascii="Arial" w:hAnsi="Arial" w:cs="Arial"/>
          <w:i/>
          <w:iCs/>
          <w:sz w:val="20"/>
          <w:szCs w:val="20"/>
        </w:rPr>
        <w:tab/>
      </w:r>
      <w:r w:rsidRPr="00733195">
        <w:rPr>
          <w:rFonts w:ascii="Arial" w:hAnsi="Arial" w:cs="Arial"/>
          <w:i/>
          <w:iCs/>
          <w:sz w:val="20"/>
          <w:szCs w:val="20"/>
        </w:rPr>
        <w:t xml:space="preserve">interest in the cause, bias, malice or corruption on the part of the presiding judicial officer; </w:t>
      </w:r>
    </w:p>
    <w:p w14:paraId="39916C0E" w14:textId="579CB2A4"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(c) </w:t>
      </w:r>
      <w:r w:rsidR="00733195" w:rsidRPr="00733195">
        <w:rPr>
          <w:rFonts w:ascii="Arial" w:hAnsi="Arial" w:cs="Arial"/>
          <w:i/>
          <w:iCs/>
          <w:sz w:val="20"/>
          <w:szCs w:val="20"/>
        </w:rPr>
        <w:tab/>
      </w:r>
      <w:r w:rsidRPr="00733195">
        <w:rPr>
          <w:rFonts w:ascii="Arial" w:hAnsi="Arial" w:cs="Arial"/>
          <w:i/>
          <w:iCs/>
          <w:sz w:val="20"/>
          <w:szCs w:val="20"/>
        </w:rPr>
        <w:t xml:space="preserve">gross irregularity in the proceedings; and </w:t>
      </w:r>
    </w:p>
    <w:p w14:paraId="71383B6D" w14:textId="77777777"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lastRenderedPageBreak/>
        <w:t xml:space="preserve">(d) </w:t>
      </w:r>
      <w:r w:rsidR="00733195" w:rsidRPr="00733195">
        <w:rPr>
          <w:rFonts w:ascii="Arial" w:hAnsi="Arial" w:cs="Arial"/>
          <w:i/>
          <w:iCs/>
          <w:sz w:val="20"/>
          <w:szCs w:val="20"/>
        </w:rPr>
        <w:tab/>
      </w:r>
      <w:r w:rsidRPr="00733195">
        <w:rPr>
          <w:rFonts w:ascii="Arial" w:hAnsi="Arial" w:cs="Arial"/>
          <w:i/>
          <w:iCs/>
          <w:sz w:val="20"/>
          <w:szCs w:val="20"/>
        </w:rPr>
        <w:t xml:space="preserve">the admission of inadmissible or incompetent evidence or the rejection of admissible or competent evidence. </w:t>
      </w:r>
    </w:p>
    <w:p w14:paraId="3F2D9431" w14:textId="77777777" w:rsidR="00733195" w:rsidRPr="00733195" w:rsidRDefault="00733195" w:rsidP="00733195">
      <w:pPr>
        <w:spacing w:after="0" w:line="360" w:lineRule="auto"/>
        <w:ind w:firstLine="851"/>
        <w:jc w:val="both"/>
        <w:rPr>
          <w:rFonts w:ascii="Arial" w:hAnsi="Arial" w:cs="Arial"/>
          <w:i/>
          <w:iCs/>
          <w:sz w:val="20"/>
          <w:szCs w:val="20"/>
        </w:rPr>
      </w:pPr>
    </w:p>
    <w:p w14:paraId="54DE6D83" w14:textId="25D09EF0" w:rsidR="00EE4D46" w:rsidRDefault="00EE4D46" w:rsidP="00733195">
      <w:pPr>
        <w:spacing w:after="0" w:line="360" w:lineRule="auto"/>
        <w:ind w:left="1418" w:hanging="567"/>
        <w:jc w:val="both"/>
        <w:rPr>
          <w:rFonts w:ascii="Arial" w:hAnsi="Arial" w:cs="Arial"/>
          <w:sz w:val="20"/>
          <w:szCs w:val="20"/>
        </w:rPr>
      </w:pPr>
      <w:r w:rsidRPr="00733195">
        <w:rPr>
          <w:rFonts w:ascii="Arial" w:hAnsi="Arial" w:cs="Arial"/>
          <w:i/>
          <w:iCs/>
          <w:sz w:val="20"/>
          <w:szCs w:val="20"/>
        </w:rPr>
        <w:t xml:space="preserve">(2) </w:t>
      </w:r>
      <w:r w:rsidR="00733195" w:rsidRPr="00733195">
        <w:rPr>
          <w:rFonts w:ascii="Arial" w:hAnsi="Arial" w:cs="Arial"/>
          <w:i/>
          <w:iCs/>
          <w:sz w:val="20"/>
          <w:szCs w:val="20"/>
        </w:rPr>
        <w:tab/>
      </w:r>
      <w:r w:rsidRPr="00733195">
        <w:rPr>
          <w:rFonts w:ascii="Arial" w:hAnsi="Arial" w:cs="Arial"/>
          <w:i/>
          <w:iCs/>
          <w:sz w:val="20"/>
          <w:szCs w:val="20"/>
        </w:rPr>
        <w:t>This section does not affect the provisions of any other law relating to the review of proceedings in Magistrates’ Courts.</w:t>
      </w:r>
      <w:r w:rsidR="00733195">
        <w:rPr>
          <w:rFonts w:ascii="Arial" w:hAnsi="Arial" w:cs="Arial"/>
          <w:sz w:val="20"/>
          <w:szCs w:val="20"/>
        </w:rPr>
        <w:t>”</w:t>
      </w:r>
    </w:p>
    <w:p w14:paraId="047937F3" w14:textId="77777777" w:rsidR="009B2104" w:rsidRDefault="009B2104" w:rsidP="009B2104">
      <w:pPr>
        <w:pStyle w:val="ListParagraph"/>
        <w:spacing w:after="0" w:line="480" w:lineRule="auto"/>
        <w:ind w:left="851"/>
        <w:jc w:val="both"/>
        <w:rPr>
          <w:rFonts w:ascii="Arial" w:hAnsi="Arial" w:cs="Arial"/>
          <w:sz w:val="24"/>
          <w:szCs w:val="24"/>
        </w:rPr>
      </w:pPr>
    </w:p>
    <w:p w14:paraId="23B4545A" w14:textId="0641DDE9" w:rsidR="00450FB2" w:rsidRPr="00DA0DA5" w:rsidRDefault="00DA0DA5" w:rsidP="00DA0DA5">
      <w:pPr>
        <w:spacing w:after="0" w:line="480" w:lineRule="auto"/>
        <w:ind w:left="851" w:hanging="851"/>
        <w:jc w:val="both"/>
        <w:rPr>
          <w:rFonts w:ascii="Arial" w:hAnsi="Arial" w:cs="Arial"/>
          <w:sz w:val="24"/>
          <w:szCs w:val="24"/>
        </w:rPr>
      </w:pPr>
      <w:r w:rsidRPr="009B2104">
        <w:rPr>
          <w:rFonts w:ascii="Arial" w:hAnsi="Arial" w:cs="Arial"/>
          <w:sz w:val="24"/>
          <w:szCs w:val="24"/>
        </w:rPr>
        <w:t>[20]</w:t>
      </w:r>
      <w:r w:rsidRPr="009B2104">
        <w:rPr>
          <w:rFonts w:ascii="Arial" w:hAnsi="Arial" w:cs="Arial"/>
          <w:sz w:val="24"/>
          <w:szCs w:val="24"/>
        </w:rPr>
        <w:tab/>
      </w:r>
      <w:r w:rsidR="005D25D7" w:rsidRPr="00DA0DA5">
        <w:rPr>
          <w:rFonts w:ascii="Arial" w:hAnsi="Arial" w:cs="Arial"/>
          <w:sz w:val="24"/>
          <w:szCs w:val="24"/>
        </w:rPr>
        <w:t>It is an established principle of our law that the High Court will not</w:t>
      </w:r>
      <w:r w:rsidR="00450FB2" w:rsidRPr="00DA0DA5">
        <w:rPr>
          <w:rFonts w:ascii="Arial" w:hAnsi="Arial" w:cs="Arial"/>
          <w:sz w:val="24"/>
          <w:szCs w:val="24"/>
        </w:rPr>
        <w:t xml:space="preserve"> ordinarily, by way of </w:t>
      </w:r>
      <w:r w:rsidR="005A308A" w:rsidRPr="00DA0DA5">
        <w:rPr>
          <w:rFonts w:ascii="Arial" w:hAnsi="Arial" w:cs="Arial"/>
          <w:sz w:val="24"/>
          <w:szCs w:val="24"/>
        </w:rPr>
        <w:t>appeal, review or</w:t>
      </w:r>
      <w:r w:rsidR="005A308A" w:rsidRPr="00DA0DA5">
        <w:rPr>
          <w:rFonts w:ascii="Arial" w:hAnsi="Arial" w:cs="Arial"/>
          <w:i/>
          <w:iCs/>
          <w:sz w:val="24"/>
          <w:szCs w:val="24"/>
        </w:rPr>
        <w:t xml:space="preserve"> mandamus</w:t>
      </w:r>
      <w:r w:rsidR="005A308A" w:rsidRPr="00DA0DA5">
        <w:rPr>
          <w:rFonts w:ascii="Arial" w:hAnsi="Arial" w:cs="Arial"/>
          <w:sz w:val="24"/>
          <w:szCs w:val="24"/>
        </w:rPr>
        <w:t xml:space="preserve">, </w:t>
      </w:r>
      <w:r w:rsidR="00450FB2" w:rsidRPr="00DA0DA5">
        <w:rPr>
          <w:rFonts w:ascii="Arial" w:hAnsi="Arial" w:cs="Arial"/>
          <w:sz w:val="24"/>
          <w:szCs w:val="24"/>
        </w:rPr>
        <w:t>interfere with unterminated proceedings in a lower court.  The court’s power to interfere is exercised sparingly and only in those cases in which the court is satisfied that grave injustice may otherwise result</w:t>
      </w:r>
      <w:r w:rsidR="00D04B71" w:rsidRPr="00DA0DA5">
        <w:rPr>
          <w:rFonts w:ascii="Arial" w:hAnsi="Arial" w:cs="Arial"/>
          <w:sz w:val="24"/>
          <w:szCs w:val="24"/>
        </w:rPr>
        <w:t xml:space="preserve"> or where justice might not by other means be obtained.</w:t>
      </w:r>
      <w:r w:rsidR="00C630B2" w:rsidRPr="00DA0DA5">
        <w:rPr>
          <w:rFonts w:ascii="Arial" w:hAnsi="Arial" w:cs="Arial"/>
          <w:sz w:val="24"/>
          <w:szCs w:val="24"/>
        </w:rPr>
        <w:t xml:space="preserve">  The court’s reluctance to interfere in unterminated proceedings stems primarily from (i) the effect that such procedure has upon the continuity of proceedings in the court below;</w:t>
      </w:r>
      <w:r w:rsidR="00C630B2">
        <w:rPr>
          <w:rStyle w:val="FootnoteReference"/>
          <w:rFonts w:ascii="Arial" w:hAnsi="Arial" w:cs="Arial"/>
          <w:sz w:val="24"/>
          <w:szCs w:val="24"/>
        </w:rPr>
        <w:footnoteReference w:id="5"/>
      </w:r>
      <w:r w:rsidR="00C630B2" w:rsidRPr="00DA0DA5">
        <w:rPr>
          <w:rFonts w:ascii="Arial" w:hAnsi="Arial" w:cs="Arial"/>
          <w:sz w:val="24"/>
          <w:szCs w:val="24"/>
        </w:rPr>
        <w:t xml:space="preserve"> (ii) the undesirability of hearing appeals and reviews piecemeal;</w:t>
      </w:r>
      <w:r w:rsidR="00C630B2">
        <w:rPr>
          <w:rStyle w:val="FootnoteReference"/>
          <w:rFonts w:ascii="Arial" w:hAnsi="Arial" w:cs="Arial"/>
          <w:sz w:val="24"/>
          <w:szCs w:val="24"/>
        </w:rPr>
        <w:footnoteReference w:id="6"/>
      </w:r>
      <w:r w:rsidR="00C630B2" w:rsidRPr="00DA0DA5">
        <w:rPr>
          <w:rFonts w:ascii="Arial" w:hAnsi="Arial" w:cs="Arial"/>
          <w:sz w:val="24"/>
          <w:szCs w:val="24"/>
        </w:rPr>
        <w:t xml:space="preserve"> and (iii) the fact that redress by </w:t>
      </w:r>
      <w:r w:rsidR="00D427E4" w:rsidRPr="00DA0DA5">
        <w:rPr>
          <w:rFonts w:ascii="Arial" w:hAnsi="Arial" w:cs="Arial"/>
          <w:sz w:val="24"/>
          <w:szCs w:val="24"/>
        </w:rPr>
        <w:t xml:space="preserve">other </w:t>
      </w:r>
      <w:r w:rsidR="00C630B2" w:rsidRPr="00DA0DA5">
        <w:rPr>
          <w:rFonts w:ascii="Arial" w:hAnsi="Arial" w:cs="Arial"/>
          <w:sz w:val="24"/>
          <w:szCs w:val="24"/>
        </w:rPr>
        <w:t>means</w:t>
      </w:r>
      <w:r w:rsidR="00D427E4" w:rsidRPr="00DA0DA5">
        <w:rPr>
          <w:rFonts w:ascii="Arial" w:hAnsi="Arial" w:cs="Arial"/>
          <w:sz w:val="24"/>
          <w:szCs w:val="24"/>
        </w:rPr>
        <w:t xml:space="preserve">, such as </w:t>
      </w:r>
      <w:r w:rsidR="00C630B2" w:rsidRPr="00DA0DA5">
        <w:rPr>
          <w:rFonts w:ascii="Arial" w:hAnsi="Arial" w:cs="Arial"/>
          <w:sz w:val="24"/>
          <w:szCs w:val="24"/>
        </w:rPr>
        <w:t>review or appeal</w:t>
      </w:r>
      <w:r w:rsidR="00D427E4" w:rsidRPr="00DA0DA5">
        <w:rPr>
          <w:rFonts w:ascii="Arial" w:hAnsi="Arial" w:cs="Arial"/>
          <w:sz w:val="24"/>
          <w:szCs w:val="24"/>
        </w:rPr>
        <w:t>,</w:t>
      </w:r>
      <w:r w:rsidR="00C630B2" w:rsidRPr="00DA0DA5">
        <w:rPr>
          <w:rFonts w:ascii="Arial" w:hAnsi="Arial" w:cs="Arial"/>
          <w:sz w:val="24"/>
          <w:szCs w:val="24"/>
        </w:rPr>
        <w:t xml:space="preserve"> will ordinarily be available in due course.</w:t>
      </w:r>
      <w:r w:rsidR="00C630B2">
        <w:rPr>
          <w:rStyle w:val="FootnoteReference"/>
          <w:rFonts w:ascii="Arial" w:hAnsi="Arial" w:cs="Arial"/>
          <w:sz w:val="24"/>
          <w:szCs w:val="24"/>
        </w:rPr>
        <w:footnoteReference w:id="7"/>
      </w:r>
      <w:r w:rsidR="00450FB2" w:rsidRPr="00DA0DA5">
        <w:rPr>
          <w:rFonts w:ascii="Arial" w:hAnsi="Arial" w:cs="Arial"/>
          <w:sz w:val="24"/>
          <w:szCs w:val="24"/>
        </w:rPr>
        <w:t xml:space="preserve">   </w:t>
      </w:r>
    </w:p>
    <w:p w14:paraId="2FA6B2C2" w14:textId="77777777" w:rsidR="00450FB2" w:rsidRDefault="00450FB2" w:rsidP="00450FB2">
      <w:pPr>
        <w:pStyle w:val="ListParagraph"/>
        <w:spacing w:after="0" w:line="480" w:lineRule="auto"/>
        <w:ind w:left="851"/>
        <w:jc w:val="both"/>
        <w:rPr>
          <w:rFonts w:ascii="Arial" w:hAnsi="Arial" w:cs="Arial"/>
          <w:sz w:val="24"/>
          <w:szCs w:val="24"/>
        </w:rPr>
      </w:pPr>
    </w:p>
    <w:p w14:paraId="0F961FBB" w14:textId="5F882E0D" w:rsidR="00C630B2"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D1112" w:rsidRPr="00DA0DA5">
        <w:rPr>
          <w:rFonts w:ascii="Arial" w:hAnsi="Arial" w:cs="Arial"/>
          <w:sz w:val="24"/>
          <w:szCs w:val="24"/>
        </w:rPr>
        <w:t xml:space="preserve">In </w:t>
      </w:r>
      <w:r w:rsidR="004D1112" w:rsidRPr="00DA0DA5">
        <w:rPr>
          <w:rFonts w:ascii="Arial" w:hAnsi="Arial" w:cs="Arial"/>
          <w:i/>
          <w:iCs/>
          <w:sz w:val="24"/>
          <w:szCs w:val="24"/>
        </w:rPr>
        <w:t xml:space="preserve">Wahlhaus </w:t>
      </w:r>
      <w:r w:rsidR="0098422D" w:rsidRPr="00DA0DA5">
        <w:rPr>
          <w:rFonts w:ascii="Arial" w:hAnsi="Arial" w:cs="Arial"/>
          <w:i/>
          <w:iCs/>
          <w:sz w:val="24"/>
          <w:szCs w:val="24"/>
        </w:rPr>
        <w:t>and</w:t>
      </w:r>
      <w:r w:rsidR="004D1112" w:rsidRPr="00DA0DA5">
        <w:rPr>
          <w:rFonts w:ascii="Arial" w:hAnsi="Arial" w:cs="Arial"/>
          <w:i/>
          <w:iCs/>
          <w:sz w:val="24"/>
          <w:szCs w:val="24"/>
        </w:rPr>
        <w:t xml:space="preserve"> Others v Additional Magistrate, Johannesburg </w:t>
      </w:r>
      <w:r w:rsidR="0098422D" w:rsidRPr="00DA0DA5">
        <w:rPr>
          <w:rFonts w:ascii="Arial" w:hAnsi="Arial" w:cs="Arial"/>
          <w:i/>
          <w:iCs/>
          <w:sz w:val="24"/>
          <w:szCs w:val="24"/>
        </w:rPr>
        <w:t>and</w:t>
      </w:r>
      <w:r w:rsidR="004D1112" w:rsidRPr="00DA0DA5">
        <w:rPr>
          <w:rFonts w:ascii="Arial" w:hAnsi="Arial" w:cs="Arial"/>
          <w:i/>
          <w:iCs/>
          <w:sz w:val="24"/>
          <w:szCs w:val="24"/>
        </w:rPr>
        <w:t xml:space="preserve"> Another</w:t>
      </w:r>
      <w:r w:rsidR="004D1112" w:rsidRPr="00DA0DA5">
        <w:rPr>
          <w:rFonts w:ascii="Arial" w:hAnsi="Arial" w:cs="Arial"/>
          <w:sz w:val="24"/>
          <w:szCs w:val="24"/>
        </w:rPr>
        <w:t xml:space="preserve"> (</w:t>
      </w:r>
      <w:r w:rsidR="004D1112" w:rsidRPr="00DA0DA5">
        <w:rPr>
          <w:rFonts w:ascii="Arial" w:hAnsi="Arial" w:cs="Arial"/>
          <w:i/>
          <w:iCs/>
          <w:sz w:val="24"/>
          <w:szCs w:val="24"/>
        </w:rPr>
        <w:t>supra</w:t>
      </w:r>
      <w:r w:rsidR="004D1112" w:rsidRPr="00DA0DA5">
        <w:rPr>
          <w:rFonts w:ascii="Arial" w:hAnsi="Arial" w:cs="Arial"/>
          <w:sz w:val="24"/>
          <w:szCs w:val="24"/>
        </w:rPr>
        <w:t>) the Appellate Division (as it then was) commented as follows at 120D:</w:t>
      </w:r>
    </w:p>
    <w:p w14:paraId="2317EB80" w14:textId="77777777" w:rsidR="00A3391A" w:rsidRDefault="00A3391A" w:rsidP="004D1112">
      <w:pPr>
        <w:pStyle w:val="ListParagraph"/>
        <w:spacing w:after="0" w:line="360" w:lineRule="auto"/>
        <w:ind w:left="851"/>
        <w:jc w:val="both"/>
        <w:rPr>
          <w:rFonts w:ascii="Arial" w:hAnsi="Arial" w:cs="Arial"/>
          <w:i/>
          <w:iCs/>
          <w:sz w:val="20"/>
          <w:szCs w:val="20"/>
        </w:rPr>
      </w:pPr>
    </w:p>
    <w:p w14:paraId="6DC9485C" w14:textId="5AC71906" w:rsidR="004D1112" w:rsidRDefault="004D1112" w:rsidP="004D1112">
      <w:pPr>
        <w:pStyle w:val="ListParagraph"/>
        <w:spacing w:after="0" w:line="360" w:lineRule="auto"/>
        <w:ind w:left="851"/>
        <w:jc w:val="both"/>
        <w:rPr>
          <w:rFonts w:ascii="Arial" w:hAnsi="Arial" w:cs="Arial"/>
          <w:sz w:val="24"/>
          <w:szCs w:val="24"/>
        </w:rPr>
      </w:pPr>
      <w:r w:rsidRPr="004D1112">
        <w:rPr>
          <w:rFonts w:ascii="Arial" w:hAnsi="Arial" w:cs="Arial"/>
          <w:i/>
          <w:iCs/>
          <w:sz w:val="20"/>
          <w:szCs w:val="20"/>
        </w:rPr>
        <w:t xml:space="preserve">“[T]he </w:t>
      </w:r>
      <w:r w:rsidRPr="004D1112">
        <w:rPr>
          <w:rFonts w:ascii="Arial" w:hAnsi="Arial" w:cs="Arial"/>
          <w:i/>
          <w:iCs/>
          <w:sz w:val="20"/>
          <w:szCs w:val="20"/>
          <w:lang w:val="en-US"/>
        </w:rPr>
        <w:t xml:space="preserve">prejudice, inherent in an accused’s being obliged to proceed to trial, and possible conviction, in a magistrate’s court before he is accorded an opportunity of testing in the Supreme Court the correctness of the magistrate’s decision overruling a preliminary, and perhaps fundamental, contention raised by the accused, does not per se necessarily justify the Supreme Court in granting relief before conviction… As indicated earlier, each case falls </w:t>
      </w:r>
      <w:r w:rsidRPr="004D1112">
        <w:rPr>
          <w:rFonts w:ascii="Arial" w:hAnsi="Arial" w:cs="Arial"/>
          <w:i/>
          <w:iCs/>
          <w:sz w:val="20"/>
          <w:szCs w:val="20"/>
          <w:lang w:val="en-US"/>
        </w:rPr>
        <w:lastRenderedPageBreak/>
        <w:t>to be decided on its own facts and with due regard to the salutary general rule that appeals are not entertained piecemeal</w:t>
      </w:r>
      <w:r>
        <w:rPr>
          <w:rFonts w:ascii="Arial" w:hAnsi="Arial" w:cs="Arial"/>
          <w:sz w:val="24"/>
          <w:szCs w:val="24"/>
          <w:lang w:val="en-US"/>
        </w:rPr>
        <w:t>.”</w:t>
      </w:r>
    </w:p>
    <w:p w14:paraId="0D4C087A" w14:textId="77777777" w:rsidR="00C630B2" w:rsidRPr="00C630B2" w:rsidRDefault="00C630B2" w:rsidP="004D1112">
      <w:pPr>
        <w:pStyle w:val="ListParagraph"/>
        <w:spacing w:after="0" w:line="480" w:lineRule="auto"/>
        <w:rPr>
          <w:rFonts w:ascii="Arial" w:hAnsi="Arial" w:cs="Arial"/>
          <w:sz w:val="24"/>
          <w:szCs w:val="24"/>
        </w:rPr>
      </w:pPr>
    </w:p>
    <w:p w14:paraId="1DA01FF6" w14:textId="013674DC" w:rsidR="006E2F5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E2F53" w:rsidRPr="00DA0DA5">
        <w:rPr>
          <w:rFonts w:ascii="Arial" w:hAnsi="Arial" w:cs="Arial"/>
          <w:sz w:val="24"/>
          <w:szCs w:val="24"/>
        </w:rPr>
        <w:t xml:space="preserve">In </w:t>
      </w:r>
      <w:r w:rsidR="006E2F53" w:rsidRPr="00DA0DA5">
        <w:rPr>
          <w:rFonts w:ascii="Arial" w:hAnsi="Arial" w:cs="Arial"/>
          <w:i/>
          <w:iCs/>
          <w:sz w:val="24"/>
          <w:szCs w:val="24"/>
        </w:rPr>
        <w:t>Adonis v Additional Magistrate, Bellville and Others</w:t>
      </w:r>
      <w:r w:rsidR="00412958" w:rsidRPr="00DA0DA5">
        <w:rPr>
          <w:rFonts w:ascii="Arial" w:hAnsi="Arial" w:cs="Arial"/>
          <w:sz w:val="24"/>
          <w:szCs w:val="24"/>
        </w:rPr>
        <w:t>,</w:t>
      </w:r>
      <w:r w:rsidR="006E2F53">
        <w:rPr>
          <w:rStyle w:val="FootnoteReference"/>
          <w:rFonts w:ascii="Arial" w:hAnsi="Arial" w:cs="Arial"/>
          <w:sz w:val="24"/>
          <w:szCs w:val="24"/>
        </w:rPr>
        <w:footnoteReference w:id="8"/>
      </w:r>
      <w:r w:rsidR="00412958" w:rsidRPr="00DA0DA5">
        <w:rPr>
          <w:rFonts w:ascii="Arial" w:hAnsi="Arial" w:cs="Arial"/>
          <w:sz w:val="24"/>
          <w:szCs w:val="24"/>
        </w:rPr>
        <w:t xml:space="preserve"> the court at paragraph [22] </w:t>
      </w:r>
      <w:r w:rsidR="00CE0E62" w:rsidRPr="00DA0DA5">
        <w:rPr>
          <w:rFonts w:ascii="Arial" w:hAnsi="Arial" w:cs="Arial"/>
          <w:sz w:val="24"/>
          <w:szCs w:val="24"/>
        </w:rPr>
        <w:t>stated that</w:t>
      </w:r>
      <w:r w:rsidR="00412958" w:rsidRPr="00DA0DA5">
        <w:rPr>
          <w:rFonts w:ascii="Arial" w:hAnsi="Arial" w:cs="Arial"/>
          <w:sz w:val="24"/>
          <w:szCs w:val="24"/>
        </w:rPr>
        <w:t>:</w:t>
      </w:r>
    </w:p>
    <w:p w14:paraId="0B428044" w14:textId="0547265E" w:rsidR="00412958" w:rsidRDefault="00412958" w:rsidP="00412958">
      <w:pPr>
        <w:pStyle w:val="ListParagraph"/>
        <w:spacing w:after="0" w:line="480" w:lineRule="auto"/>
        <w:ind w:left="851"/>
        <w:jc w:val="both"/>
        <w:rPr>
          <w:rFonts w:ascii="Arial" w:hAnsi="Arial" w:cs="Arial"/>
          <w:sz w:val="24"/>
          <w:szCs w:val="24"/>
        </w:rPr>
      </w:pPr>
    </w:p>
    <w:p w14:paraId="15978B6A" w14:textId="5C2A409A" w:rsidR="00412958" w:rsidRDefault="00412958" w:rsidP="00412958">
      <w:pPr>
        <w:pStyle w:val="ListParagraph"/>
        <w:spacing w:after="0" w:line="360" w:lineRule="auto"/>
        <w:ind w:left="851"/>
        <w:jc w:val="both"/>
        <w:rPr>
          <w:rFonts w:ascii="Arial" w:hAnsi="Arial" w:cs="Arial"/>
          <w:sz w:val="24"/>
          <w:szCs w:val="24"/>
        </w:rPr>
      </w:pPr>
      <w:r>
        <w:rPr>
          <w:rFonts w:ascii="Arial" w:hAnsi="Arial" w:cs="Arial"/>
          <w:sz w:val="24"/>
          <w:szCs w:val="24"/>
        </w:rPr>
        <w:t>“</w:t>
      </w:r>
      <w:r w:rsidRPr="00412958">
        <w:rPr>
          <w:rFonts w:ascii="Arial" w:hAnsi="Arial" w:cs="Arial"/>
          <w:i/>
          <w:iCs/>
          <w:sz w:val="20"/>
          <w:szCs w:val="20"/>
        </w:rPr>
        <w:t xml:space="preserve">Intervention on review will be justified in the case of a gross irregularity which has caused, or is likely to cause, prejudice to the applicant… In Rynders v Bankorp Ltd t/a Trust Bank and Others 1995 (2) SA 494 (W) it was held that a magistrate’s court did not have power to grant an ex parte application for the provisional liquidation of a close corporation.  According to MacArthur J (at 497B-D) the grant of such an order constituted </w:t>
      </w:r>
      <w:r w:rsidRPr="00412958">
        <w:rPr>
          <w:rFonts w:ascii="Arial" w:hAnsi="Arial" w:cs="Arial"/>
          <w:i/>
          <w:iCs/>
          <w:sz w:val="20"/>
          <w:szCs w:val="20"/>
          <w:lang w:val="en-US"/>
        </w:rPr>
        <w:t>any regularity which caused the applicant ‘substantial wrong’ in that he was confronted with all the consequences of a provisional liquidation order.  This entitled the applicant to take the magistrate’s decision on review, despite the fact that he might have failed to exhaust his remedies in the Magistrate’s Court</w:t>
      </w:r>
      <w:r>
        <w:rPr>
          <w:rFonts w:ascii="Arial" w:hAnsi="Arial" w:cs="Arial"/>
          <w:sz w:val="24"/>
          <w:szCs w:val="24"/>
          <w:lang w:val="en-US"/>
        </w:rPr>
        <w:t>.”</w:t>
      </w:r>
    </w:p>
    <w:p w14:paraId="0C08DF4A" w14:textId="35E25562" w:rsidR="00412958" w:rsidRDefault="00412958" w:rsidP="00412958">
      <w:pPr>
        <w:spacing w:after="0" w:line="480" w:lineRule="auto"/>
        <w:jc w:val="both"/>
        <w:rPr>
          <w:rFonts w:ascii="Arial" w:hAnsi="Arial" w:cs="Arial"/>
          <w:sz w:val="24"/>
          <w:szCs w:val="24"/>
        </w:rPr>
      </w:pPr>
    </w:p>
    <w:p w14:paraId="2A047490" w14:textId="3B189C1E" w:rsidR="0098422D" w:rsidRPr="00DA0DA5" w:rsidRDefault="00DA0DA5" w:rsidP="00DA0DA5">
      <w:pPr>
        <w:spacing w:after="0" w:line="480" w:lineRule="auto"/>
        <w:ind w:left="851" w:hanging="851"/>
        <w:jc w:val="both"/>
        <w:rPr>
          <w:rFonts w:ascii="Arial" w:hAnsi="Arial" w:cs="Arial"/>
          <w:sz w:val="24"/>
          <w:szCs w:val="24"/>
        </w:rPr>
      </w:pPr>
      <w:r w:rsidRPr="00412958">
        <w:rPr>
          <w:rFonts w:ascii="Arial" w:hAnsi="Arial" w:cs="Arial"/>
          <w:sz w:val="24"/>
          <w:szCs w:val="24"/>
        </w:rPr>
        <w:t>[23]</w:t>
      </w:r>
      <w:r w:rsidRPr="00412958">
        <w:rPr>
          <w:rFonts w:ascii="Arial" w:hAnsi="Arial" w:cs="Arial"/>
          <w:sz w:val="24"/>
          <w:szCs w:val="24"/>
        </w:rPr>
        <w:tab/>
      </w:r>
      <w:r w:rsidR="0098422D" w:rsidRPr="00DA0DA5">
        <w:rPr>
          <w:rFonts w:ascii="Arial" w:hAnsi="Arial" w:cs="Arial"/>
          <w:sz w:val="24"/>
          <w:szCs w:val="24"/>
        </w:rPr>
        <w:t xml:space="preserve">In </w:t>
      </w:r>
      <w:r w:rsidR="0098422D" w:rsidRPr="00DA0DA5">
        <w:rPr>
          <w:rFonts w:ascii="Arial" w:hAnsi="Arial" w:cs="Arial"/>
          <w:i/>
          <w:iCs/>
          <w:sz w:val="24"/>
          <w:szCs w:val="24"/>
        </w:rPr>
        <w:t>Ismail and Others v Additional Magistrate, Wynberg and Another</w:t>
      </w:r>
      <w:r w:rsidR="0098422D" w:rsidRPr="00DA0DA5">
        <w:rPr>
          <w:rFonts w:ascii="Arial" w:hAnsi="Arial" w:cs="Arial"/>
          <w:sz w:val="24"/>
          <w:szCs w:val="24"/>
        </w:rPr>
        <w:t>,</w:t>
      </w:r>
      <w:r w:rsidR="0098422D">
        <w:rPr>
          <w:rStyle w:val="FootnoteReference"/>
          <w:rFonts w:ascii="Arial" w:hAnsi="Arial" w:cs="Arial"/>
          <w:sz w:val="24"/>
          <w:szCs w:val="24"/>
        </w:rPr>
        <w:footnoteReference w:id="9"/>
      </w:r>
      <w:r w:rsidR="0098422D" w:rsidRPr="00DA0DA5">
        <w:rPr>
          <w:rFonts w:ascii="Arial" w:hAnsi="Arial" w:cs="Arial"/>
          <w:sz w:val="24"/>
          <w:szCs w:val="24"/>
        </w:rPr>
        <w:t xml:space="preserve"> the court, in assessing what </w:t>
      </w:r>
      <w:r w:rsidR="00AA41AB" w:rsidRPr="00DA0DA5">
        <w:rPr>
          <w:rFonts w:ascii="Arial" w:hAnsi="Arial" w:cs="Arial"/>
          <w:sz w:val="24"/>
          <w:szCs w:val="24"/>
        </w:rPr>
        <w:t>constitutes</w:t>
      </w:r>
      <w:r w:rsidR="0098422D" w:rsidRPr="00DA0DA5">
        <w:rPr>
          <w:rFonts w:ascii="Arial" w:hAnsi="Arial" w:cs="Arial"/>
          <w:sz w:val="24"/>
          <w:szCs w:val="24"/>
        </w:rPr>
        <w:t xml:space="preserve"> a gross irregularity justifying interference before conviction, stated:</w:t>
      </w:r>
    </w:p>
    <w:p w14:paraId="6480759F" w14:textId="160C345E" w:rsidR="0098422D" w:rsidRDefault="0098422D" w:rsidP="0098422D">
      <w:pPr>
        <w:pStyle w:val="ListParagraph"/>
        <w:spacing w:after="0" w:line="480" w:lineRule="auto"/>
        <w:ind w:left="851"/>
        <w:jc w:val="both"/>
        <w:rPr>
          <w:rFonts w:ascii="Arial" w:hAnsi="Arial" w:cs="Arial"/>
          <w:sz w:val="24"/>
          <w:szCs w:val="24"/>
        </w:rPr>
      </w:pPr>
    </w:p>
    <w:p w14:paraId="6D41C29A" w14:textId="5A3BCEC1" w:rsidR="0098422D" w:rsidRDefault="0098422D" w:rsidP="0098422D">
      <w:pPr>
        <w:pStyle w:val="ListParagraph"/>
        <w:spacing w:after="0" w:line="360" w:lineRule="auto"/>
        <w:ind w:left="851"/>
        <w:jc w:val="both"/>
        <w:rPr>
          <w:rFonts w:ascii="Arial" w:hAnsi="Arial" w:cs="Arial"/>
          <w:sz w:val="24"/>
          <w:szCs w:val="24"/>
        </w:rPr>
      </w:pPr>
      <w:r>
        <w:rPr>
          <w:rFonts w:ascii="Arial" w:hAnsi="Arial" w:cs="Arial"/>
          <w:sz w:val="24"/>
          <w:szCs w:val="24"/>
          <w:lang w:val="en-US"/>
        </w:rPr>
        <w:t>“</w:t>
      </w:r>
      <w:r w:rsidRPr="0098422D">
        <w:rPr>
          <w:rFonts w:ascii="Arial" w:hAnsi="Arial" w:cs="Arial"/>
          <w:i/>
          <w:iCs/>
          <w:sz w:val="20"/>
          <w:szCs w:val="20"/>
          <w:lang w:val="en-US"/>
        </w:rPr>
        <w:t xml:space="preserve">I should point out that it is not every failure of justice which would amount to a gross irregularity justifying interference before conviction.  As was pointed out in Wahlhaus and Others v Additional Magistrate, Johannesburg and Another 1959 (3) SA 113 (AD at p119, where the error relied upon is no more than a wrong decision, the practical effect of allowing an interlocutory remedial procedure would be to bring the magistrate’s decision under appeal at a stage where no appeal lies.  Although there is no sharply defined distinction between illegalities which will be restrained by review before conviction on the ground of gross irregularity, on the one hand, and irregularities or errors which are to be dealt with on appeal after conviction, on the other hand, the distinction is a real one and should be maintained.  A Superior Court should be slow to intervene in unterminated proceedings in the court below, and should, generally speaking, confine the exercise of its powers to ‘rare cases where grave </w:t>
      </w:r>
      <w:r w:rsidRPr="0098422D">
        <w:rPr>
          <w:rFonts w:ascii="Arial" w:hAnsi="Arial" w:cs="Arial"/>
          <w:i/>
          <w:iCs/>
          <w:sz w:val="20"/>
          <w:szCs w:val="20"/>
          <w:lang w:val="en-US"/>
        </w:rPr>
        <w:lastRenderedPageBreak/>
        <w:t>injustice might otherwise result or where justice might not be by other means attained.’ (Wahlaus’s case, supra at p120)</w:t>
      </w:r>
      <w:r>
        <w:rPr>
          <w:rFonts w:ascii="Arial" w:hAnsi="Arial" w:cs="Arial"/>
          <w:sz w:val="24"/>
          <w:szCs w:val="24"/>
          <w:lang w:val="en-US"/>
        </w:rPr>
        <w:t>.”</w:t>
      </w:r>
    </w:p>
    <w:p w14:paraId="74DE7A71" w14:textId="573A5615" w:rsidR="0098422D" w:rsidRDefault="0098422D" w:rsidP="0098422D">
      <w:pPr>
        <w:pStyle w:val="ListParagraph"/>
        <w:spacing w:after="0" w:line="480" w:lineRule="auto"/>
        <w:ind w:left="851"/>
        <w:jc w:val="both"/>
        <w:rPr>
          <w:rFonts w:ascii="Arial" w:hAnsi="Arial" w:cs="Arial"/>
          <w:sz w:val="24"/>
          <w:szCs w:val="24"/>
        </w:rPr>
      </w:pPr>
    </w:p>
    <w:p w14:paraId="37F82BBD" w14:textId="15BA3255" w:rsidR="002C74F9"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8422D" w:rsidRPr="00DA0DA5">
        <w:rPr>
          <w:rFonts w:ascii="Arial" w:hAnsi="Arial" w:cs="Arial"/>
          <w:sz w:val="24"/>
          <w:szCs w:val="24"/>
        </w:rPr>
        <w:t xml:space="preserve">The </w:t>
      </w:r>
      <w:r w:rsidR="002C74F9" w:rsidRPr="00DA0DA5">
        <w:rPr>
          <w:rFonts w:ascii="Arial" w:hAnsi="Arial" w:cs="Arial"/>
          <w:sz w:val="24"/>
          <w:szCs w:val="24"/>
        </w:rPr>
        <w:t xml:space="preserve">aforesaid </w:t>
      </w:r>
      <w:r w:rsidR="0098422D" w:rsidRPr="00DA0DA5">
        <w:rPr>
          <w:rFonts w:ascii="Arial" w:hAnsi="Arial" w:cs="Arial"/>
          <w:sz w:val="24"/>
          <w:szCs w:val="24"/>
        </w:rPr>
        <w:t>approach</w:t>
      </w:r>
      <w:r w:rsidR="002C74F9" w:rsidRPr="00DA0DA5">
        <w:rPr>
          <w:rFonts w:ascii="Arial" w:hAnsi="Arial" w:cs="Arial"/>
          <w:sz w:val="24"/>
          <w:szCs w:val="24"/>
        </w:rPr>
        <w:t>, as</w:t>
      </w:r>
      <w:r w:rsidR="0098422D" w:rsidRPr="00DA0DA5">
        <w:rPr>
          <w:rFonts w:ascii="Arial" w:hAnsi="Arial" w:cs="Arial"/>
          <w:sz w:val="24"/>
          <w:szCs w:val="24"/>
        </w:rPr>
        <w:t xml:space="preserve"> set out in </w:t>
      </w:r>
      <w:r w:rsidR="0098422D" w:rsidRPr="00DA0DA5">
        <w:rPr>
          <w:rFonts w:ascii="Arial" w:hAnsi="Arial" w:cs="Arial"/>
          <w:i/>
          <w:iCs/>
          <w:sz w:val="24"/>
          <w:szCs w:val="24"/>
        </w:rPr>
        <w:t>Wahlhaus (supra)</w:t>
      </w:r>
      <w:r w:rsidR="0098422D" w:rsidRPr="00DA0DA5">
        <w:rPr>
          <w:rFonts w:ascii="Arial" w:hAnsi="Arial" w:cs="Arial"/>
          <w:sz w:val="24"/>
          <w:szCs w:val="24"/>
        </w:rPr>
        <w:t xml:space="preserve"> and</w:t>
      </w:r>
      <w:r w:rsidR="0098422D" w:rsidRPr="00DA0DA5">
        <w:rPr>
          <w:rFonts w:ascii="Arial" w:hAnsi="Arial" w:cs="Arial"/>
          <w:i/>
          <w:iCs/>
          <w:sz w:val="24"/>
          <w:szCs w:val="24"/>
        </w:rPr>
        <w:t xml:space="preserve"> Ismail (supra)</w:t>
      </w:r>
      <w:r w:rsidR="002C74F9" w:rsidRPr="00DA0DA5">
        <w:rPr>
          <w:rFonts w:ascii="Arial" w:hAnsi="Arial" w:cs="Arial"/>
          <w:sz w:val="24"/>
          <w:szCs w:val="24"/>
        </w:rPr>
        <w:t>,</w:t>
      </w:r>
      <w:r w:rsidR="0098422D" w:rsidRPr="00DA0DA5">
        <w:rPr>
          <w:rFonts w:ascii="Arial" w:hAnsi="Arial" w:cs="Arial"/>
          <w:i/>
          <w:iCs/>
          <w:sz w:val="24"/>
          <w:szCs w:val="24"/>
        </w:rPr>
        <w:t xml:space="preserve"> </w:t>
      </w:r>
      <w:r w:rsidR="0098422D" w:rsidRPr="00DA0DA5">
        <w:rPr>
          <w:rFonts w:ascii="Arial" w:hAnsi="Arial" w:cs="Arial"/>
          <w:sz w:val="24"/>
          <w:szCs w:val="24"/>
        </w:rPr>
        <w:t xml:space="preserve">was endorsed by the court </w:t>
      </w:r>
      <w:r w:rsidR="002C74F9" w:rsidRPr="00DA0DA5">
        <w:rPr>
          <w:rFonts w:ascii="Arial" w:hAnsi="Arial" w:cs="Arial"/>
          <w:sz w:val="24"/>
          <w:szCs w:val="24"/>
        </w:rPr>
        <w:t xml:space="preserve">in </w:t>
      </w:r>
      <w:r w:rsidR="002C74F9" w:rsidRPr="00DA0DA5">
        <w:rPr>
          <w:rFonts w:ascii="Arial" w:hAnsi="Arial" w:cs="Arial"/>
          <w:i/>
          <w:iCs/>
          <w:sz w:val="24"/>
          <w:szCs w:val="24"/>
        </w:rPr>
        <w:t>Motata v Nair NO and Another</w:t>
      </w:r>
      <w:r w:rsidR="002C74F9">
        <w:rPr>
          <w:rStyle w:val="FootnoteReference"/>
          <w:rFonts w:ascii="Arial" w:hAnsi="Arial" w:cs="Arial"/>
          <w:sz w:val="24"/>
          <w:szCs w:val="24"/>
        </w:rPr>
        <w:footnoteReference w:id="10"/>
      </w:r>
      <w:r w:rsidR="006E2F53" w:rsidRPr="00DA0DA5">
        <w:rPr>
          <w:rFonts w:ascii="Arial" w:hAnsi="Arial" w:cs="Arial"/>
          <w:i/>
          <w:iCs/>
          <w:sz w:val="24"/>
          <w:szCs w:val="24"/>
        </w:rPr>
        <w:t xml:space="preserve"> </w:t>
      </w:r>
      <w:r w:rsidR="006E2F53" w:rsidRPr="00DA0DA5">
        <w:rPr>
          <w:rFonts w:ascii="Arial" w:hAnsi="Arial" w:cs="Arial"/>
          <w:sz w:val="24"/>
          <w:szCs w:val="24"/>
        </w:rPr>
        <w:t xml:space="preserve">and more recently, by the full bench of this court in </w:t>
      </w:r>
      <w:r w:rsidR="006E2F53" w:rsidRPr="00DA0DA5">
        <w:rPr>
          <w:rFonts w:ascii="Arial" w:hAnsi="Arial" w:cs="Arial"/>
          <w:i/>
          <w:iCs/>
          <w:sz w:val="24"/>
          <w:szCs w:val="24"/>
        </w:rPr>
        <w:t>M</w:t>
      </w:r>
      <w:r w:rsidR="00027DD2" w:rsidRPr="00DA0DA5">
        <w:rPr>
          <w:rFonts w:ascii="Arial" w:hAnsi="Arial" w:cs="Arial"/>
          <w:i/>
          <w:iCs/>
          <w:sz w:val="24"/>
          <w:szCs w:val="24"/>
        </w:rPr>
        <w:t>i</w:t>
      </w:r>
      <w:r w:rsidR="006E2F53" w:rsidRPr="00DA0DA5">
        <w:rPr>
          <w:rFonts w:ascii="Arial" w:hAnsi="Arial" w:cs="Arial"/>
          <w:i/>
          <w:iCs/>
          <w:sz w:val="24"/>
          <w:szCs w:val="24"/>
        </w:rPr>
        <w:t>spha CC and Another v The Honourable Regional Magistrate and Others</w:t>
      </w:r>
      <w:r w:rsidR="006E2F53" w:rsidRPr="00DA0DA5">
        <w:rPr>
          <w:rFonts w:ascii="Arial" w:hAnsi="Arial" w:cs="Arial"/>
          <w:sz w:val="24"/>
          <w:szCs w:val="24"/>
        </w:rPr>
        <w:t>.</w:t>
      </w:r>
      <w:r w:rsidR="006E2F53">
        <w:rPr>
          <w:rStyle w:val="FootnoteReference"/>
          <w:rFonts w:ascii="Arial" w:hAnsi="Arial" w:cs="Arial"/>
          <w:sz w:val="24"/>
          <w:szCs w:val="24"/>
        </w:rPr>
        <w:footnoteReference w:id="11"/>
      </w:r>
      <w:r w:rsidR="006E2F53" w:rsidRPr="00DA0DA5">
        <w:rPr>
          <w:rFonts w:ascii="Arial" w:hAnsi="Arial" w:cs="Arial"/>
          <w:sz w:val="24"/>
          <w:szCs w:val="24"/>
        </w:rPr>
        <w:t xml:space="preserve"> </w:t>
      </w:r>
    </w:p>
    <w:p w14:paraId="5C470155" w14:textId="77777777" w:rsidR="002C74F9" w:rsidRPr="002C74F9" w:rsidRDefault="002C74F9" w:rsidP="005C091C">
      <w:pPr>
        <w:pStyle w:val="ListParagraph"/>
        <w:spacing w:after="0" w:line="480" w:lineRule="auto"/>
        <w:ind w:left="851"/>
        <w:jc w:val="both"/>
        <w:rPr>
          <w:rFonts w:ascii="Arial" w:hAnsi="Arial" w:cs="Arial"/>
          <w:sz w:val="24"/>
          <w:szCs w:val="24"/>
        </w:rPr>
      </w:pPr>
    </w:p>
    <w:p w14:paraId="0B9A5D03" w14:textId="43491E00" w:rsidR="001B4A44"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B4A44" w:rsidRPr="00DA0DA5">
        <w:rPr>
          <w:rFonts w:ascii="Arial" w:hAnsi="Arial" w:cs="Arial"/>
          <w:sz w:val="24"/>
          <w:szCs w:val="24"/>
        </w:rPr>
        <w:t xml:space="preserve">In v </w:t>
      </w:r>
      <w:r w:rsidR="001B4A44" w:rsidRPr="00DA0DA5">
        <w:rPr>
          <w:rFonts w:ascii="Arial" w:hAnsi="Arial" w:cs="Arial"/>
          <w:i/>
          <w:iCs/>
          <w:sz w:val="24"/>
          <w:szCs w:val="24"/>
        </w:rPr>
        <w:t>Matshikwe NO v M</w:t>
      </w:r>
      <w:r w:rsidR="001B4A44" w:rsidRPr="00DA0DA5">
        <w:rPr>
          <w:rFonts w:ascii="Arial" w:hAnsi="Arial" w:cs="Arial"/>
          <w:sz w:val="24"/>
          <w:szCs w:val="24"/>
        </w:rPr>
        <w:t>,</w:t>
      </w:r>
      <w:r w:rsidR="001B4A44">
        <w:rPr>
          <w:rStyle w:val="FootnoteReference"/>
          <w:rFonts w:ascii="Arial" w:hAnsi="Arial" w:cs="Arial"/>
          <w:sz w:val="24"/>
          <w:szCs w:val="24"/>
        </w:rPr>
        <w:footnoteReference w:id="12"/>
      </w:r>
      <w:r w:rsidR="001B4A44" w:rsidRPr="00DA0DA5">
        <w:rPr>
          <w:rFonts w:ascii="Arial" w:hAnsi="Arial" w:cs="Arial"/>
          <w:sz w:val="24"/>
          <w:szCs w:val="24"/>
        </w:rPr>
        <w:t xml:space="preserve"> the Supreme Court of Appeal commented </w:t>
      </w:r>
      <w:r w:rsidR="004821A7" w:rsidRPr="00DA0DA5">
        <w:rPr>
          <w:rFonts w:ascii="Arial" w:hAnsi="Arial" w:cs="Arial"/>
          <w:sz w:val="24"/>
          <w:szCs w:val="24"/>
        </w:rPr>
        <w:t>that</w:t>
      </w:r>
      <w:r w:rsidR="001B4A44" w:rsidRPr="00DA0DA5">
        <w:rPr>
          <w:rFonts w:ascii="Arial" w:hAnsi="Arial" w:cs="Arial"/>
          <w:sz w:val="24"/>
          <w:szCs w:val="24"/>
        </w:rPr>
        <w:t>:</w:t>
      </w:r>
    </w:p>
    <w:p w14:paraId="150910DC" w14:textId="77777777" w:rsidR="001B4A44" w:rsidRPr="001B4A44" w:rsidRDefault="001B4A44" w:rsidP="001B4A44">
      <w:pPr>
        <w:pStyle w:val="ListParagraph"/>
        <w:rPr>
          <w:rFonts w:ascii="Arial" w:hAnsi="Arial" w:cs="Arial"/>
          <w:sz w:val="24"/>
          <w:szCs w:val="24"/>
        </w:rPr>
      </w:pPr>
    </w:p>
    <w:p w14:paraId="50391E2C" w14:textId="01769616" w:rsidR="001B4A44" w:rsidRPr="009F1FB2" w:rsidRDefault="001B4A44" w:rsidP="003E0B46">
      <w:pPr>
        <w:pStyle w:val="ListParagraph"/>
        <w:spacing w:after="120" w:line="360" w:lineRule="auto"/>
        <w:ind w:left="851"/>
        <w:jc w:val="both"/>
        <w:rPr>
          <w:rFonts w:ascii="Arial" w:hAnsi="Arial" w:cs="Arial"/>
          <w:i/>
          <w:iCs/>
          <w:sz w:val="20"/>
          <w:szCs w:val="20"/>
        </w:rPr>
      </w:pPr>
      <w:r w:rsidRPr="009F1FB2">
        <w:rPr>
          <w:rFonts w:ascii="Arial" w:hAnsi="Arial" w:cs="Arial"/>
          <w:sz w:val="24"/>
          <w:szCs w:val="24"/>
        </w:rPr>
        <w:t>“</w:t>
      </w:r>
      <w:r w:rsidRPr="009F1FB2">
        <w:rPr>
          <w:rFonts w:ascii="Arial" w:hAnsi="Arial" w:cs="Arial"/>
          <w:i/>
          <w:iCs/>
          <w:sz w:val="20"/>
          <w:szCs w:val="20"/>
          <w:shd w:val="clear" w:color="auto" w:fill="FFFFFF"/>
        </w:rPr>
        <w:t>The higher courts have however emphasised repeatedly that the power to intervene in unconcluded proceedings in lower courts will be exercised only in cases of great rarity – where grave injustice threatens, and where intervention is necessary to attain justice. The same approach has been followed under the Constitution.  At the same time, although the cases in which intervention has actually occurred are uncommon, this Court has refused to define or limit the circumstances in which intervention would be justified. The categories remain open.”</w:t>
      </w:r>
    </w:p>
    <w:p w14:paraId="7CD9E34D" w14:textId="77777777" w:rsidR="001B4A44" w:rsidRPr="009F1FB2" w:rsidRDefault="001B4A44" w:rsidP="003E0B46">
      <w:pPr>
        <w:pStyle w:val="ListParagraph"/>
        <w:spacing w:before="120" w:after="0" w:line="480" w:lineRule="auto"/>
        <w:rPr>
          <w:rFonts w:ascii="Arial" w:hAnsi="Arial" w:cs="Arial"/>
          <w:i/>
          <w:iCs/>
          <w:sz w:val="20"/>
          <w:szCs w:val="20"/>
        </w:rPr>
      </w:pPr>
    </w:p>
    <w:p w14:paraId="74F79A28" w14:textId="5FE080B5" w:rsidR="00B61F10"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61F10" w:rsidRPr="00DA0DA5">
        <w:rPr>
          <w:rFonts w:ascii="Arial" w:hAnsi="Arial" w:cs="Arial"/>
          <w:sz w:val="24"/>
          <w:szCs w:val="24"/>
        </w:rPr>
        <w:t>Amongst the rare cases in which the High Court, has on occasion, seen fit to intervene in unterminated proceedings are cases where an accused has complained that the charge against him/her lacks sufficient particularity to sufficiently inform him/her of the case that he/she has to meet in order to prepare and present his/her defence.</w:t>
      </w:r>
      <w:r w:rsidR="00B61F10">
        <w:rPr>
          <w:rStyle w:val="FootnoteReference"/>
          <w:rFonts w:ascii="Arial" w:hAnsi="Arial" w:cs="Arial"/>
          <w:sz w:val="24"/>
          <w:szCs w:val="24"/>
        </w:rPr>
        <w:footnoteReference w:id="13"/>
      </w:r>
      <w:r w:rsidR="008610A0" w:rsidRPr="00DA0DA5">
        <w:rPr>
          <w:rFonts w:ascii="Arial" w:hAnsi="Arial" w:cs="Arial"/>
          <w:sz w:val="24"/>
          <w:szCs w:val="24"/>
        </w:rPr>
        <w:t xml:space="preserve">  </w:t>
      </w:r>
    </w:p>
    <w:p w14:paraId="0F81739B" w14:textId="199E38DC" w:rsidR="001026BE" w:rsidRPr="001026BE" w:rsidRDefault="001026BE" w:rsidP="001026BE">
      <w:pPr>
        <w:spacing w:after="0" w:line="480" w:lineRule="auto"/>
        <w:jc w:val="both"/>
        <w:rPr>
          <w:rFonts w:ascii="Arial" w:hAnsi="Arial" w:cs="Arial"/>
          <w:sz w:val="24"/>
          <w:szCs w:val="24"/>
        </w:rPr>
      </w:pPr>
    </w:p>
    <w:p w14:paraId="3BDEE8ED" w14:textId="7742FFDA" w:rsidR="001026BE"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1026BE" w:rsidRPr="00DA0DA5">
        <w:rPr>
          <w:rFonts w:ascii="Arial" w:hAnsi="Arial" w:cs="Arial"/>
          <w:sz w:val="24"/>
          <w:szCs w:val="24"/>
        </w:rPr>
        <w:t xml:space="preserve">In </w:t>
      </w:r>
      <w:r w:rsidR="001026BE" w:rsidRPr="00DA0DA5">
        <w:rPr>
          <w:rFonts w:ascii="Arial" w:hAnsi="Arial" w:cs="Arial"/>
          <w:i/>
          <w:iCs/>
          <w:sz w:val="24"/>
          <w:szCs w:val="24"/>
        </w:rPr>
        <w:t>S v Mashinini and Another</w:t>
      </w:r>
      <w:r w:rsidR="001026BE" w:rsidRPr="00DA0DA5">
        <w:rPr>
          <w:rFonts w:ascii="Arial" w:hAnsi="Arial" w:cs="Arial"/>
          <w:sz w:val="24"/>
          <w:szCs w:val="24"/>
        </w:rPr>
        <w:t>,</w:t>
      </w:r>
      <w:r w:rsidR="001026BE" w:rsidRPr="001026BE">
        <w:rPr>
          <w:vertAlign w:val="superscript"/>
        </w:rPr>
        <w:footnoteReference w:id="14"/>
      </w:r>
      <w:r w:rsidR="001026BE" w:rsidRPr="00DA0DA5">
        <w:rPr>
          <w:rFonts w:ascii="Arial" w:hAnsi="Arial" w:cs="Arial"/>
          <w:sz w:val="24"/>
          <w:szCs w:val="24"/>
        </w:rPr>
        <w:t xml:space="preserve"> the court </w:t>
      </w:r>
      <w:r w:rsidR="00FC2BA5" w:rsidRPr="00DA0DA5">
        <w:rPr>
          <w:rFonts w:ascii="Arial" w:hAnsi="Arial" w:cs="Arial"/>
          <w:sz w:val="24"/>
          <w:szCs w:val="24"/>
        </w:rPr>
        <w:t>pointed ou</w:t>
      </w:r>
      <w:r w:rsidR="003E0B46" w:rsidRPr="00DA0DA5">
        <w:rPr>
          <w:rFonts w:ascii="Arial" w:hAnsi="Arial" w:cs="Arial"/>
          <w:sz w:val="24"/>
          <w:szCs w:val="24"/>
        </w:rPr>
        <w:t>t</w:t>
      </w:r>
      <w:r w:rsidR="00FC2BA5" w:rsidRPr="00DA0DA5">
        <w:rPr>
          <w:rFonts w:ascii="Arial" w:hAnsi="Arial" w:cs="Arial"/>
          <w:sz w:val="24"/>
          <w:szCs w:val="24"/>
        </w:rPr>
        <w:t xml:space="preserve"> </w:t>
      </w:r>
      <w:r w:rsidR="001026BE" w:rsidRPr="00DA0DA5">
        <w:rPr>
          <w:rFonts w:ascii="Arial" w:hAnsi="Arial" w:cs="Arial"/>
          <w:sz w:val="24"/>
          <w:szCs w:val="24"/>
        </w:rPr>
        <w:t>that:</w:t>
      </w:r>
    </w:p>
    <w:p w14:paraId="66E21B41" w14:textId="77777777" w:rsidR="00632DF3" w:rsidRPr="00632DF3" w:rsidRDefault="00632DF3" w:rsidP="00632DF3">
      <w:pPr>
        <w:pStyle w:val="ListParagraph"/>
        <w:rPr>
          <w:rFonts w:ascii="Arial" w:hAnsi="Arial" w:cs="Arial"/>
          <w:sz w:val="24"/>
          <w:szCs w:val="24"/>
        </w:rPr>
      </w:pPr>
    </w:p>
    <w:p w14:paraId="719A93F4" w14:textId="68D25257" w:rsidR="001026BE" w:rsidRDefault="001026BE" w:rsidP="00FC2BA5">
      <w:pPr>
        <w:shd w:val="clear" w:color="auto" w:fill="FFFFFF"/>
        <w:spacing w:after="0" w:line="360" w:lineRule="auto"/>
        <w:ind w:left="851"/>
        <w:jc w:val="both"/>
        <w:outlineLvl w:val="1"/>
        <w:rPr>
          <w:i/>
          <w:iCs/>
          <w:color w:val="242121"/>
          <w:sz w:val="24"/>
          <w:szCs w:val="24"/>
          <w:shd w:val="clear" w:color="auto" w:fill="FFFFFF"/>
        </w:rPr>
      </w:pPr>
      <w:r w:rsidRPr="00FC2BA5">
        <w:rPr>
          <w:rFonts w:ascii="Arial" w:hAnsi="Arial" w:cs="Arial"/>
          <w:i/>
          <w:iCs/>
          <w:sz w:val="20"/>
          <w:szCs w:val="20"/>
        </w:rPr>
        <w:t xml:space="preserve">“Section 35(3)(a) of the Constitution provides that every accused person has a right to a fair trial which, inter alia, includes the right to be informed of the charge with sufficient detail to answer it. This section appears to me to be central to the notion of a fair trial. It requires in clear terms that, before a trial can start, every accused person must be fully and clearly informed of the specific charge(s) which he or she faces. Evidently, this would also include all competent verdicts. The clear objective is to ensure that the charge(s) is sufficiently detailed and clear to an extent where an accused person is able to respond and importantly to defend himself or herself. In my view, this is intended to avoid trials by ambush.” </w:t>
      </w:r>
    </w:p>
    <w:p w14:paraId="7B326F85" w14:textId="25B9CBFC" w:rsidR="00D557BE" w:rsidRDefault="00D557BE" w:rsidP="00D557BE">
      <w:pPr>
        <w:pStyle w:val="ListParagraph"/>
        <w:spacing w:after="0" w:line="480" w:lineRule="auto"/>
        <w:ind w:left="851"/>
        <w:jc w:val="both"/>
        <w:rPr>
          <w:rFonts w:ascii="Arial" w:hAnsi="Arial" w:cs="Arial"/>
          <w:sz w:val="24"/>
          <w:szCs w:val="24"/>
        </w:rPr>
      </w:pPr>
    </w:p>
    <w:p w14:paraId="4DA4D99E" w14:textId="4CF810AA" w:rsidR="00384D59"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84D59" w:rsidRPr="00DA0DA5">
        <w:rPr>
          <w:rFonts w:ascii="Arial" w:hAnsi="Arial" w:cs="Arial"/>
          <w:sz w:val="24"/>
          <w:szCs w:val="24"/>
        </w:rPr>
        <w:t>Having said that, each such case is fact specific having regard to the threshold for intervention as set out above.</w:t>
      </w:r>
    </w:p>
    <w:p w14:paraId="7D052BA4" w14:textId="77777777" w:rsidR="00384D59" w:rsidRDefault="00384D59" w:rsidP="00384D59">
      <w:pPr>
        <w:pStyle w:val="ListParagraph"/>
        <w:spacing w:after="0" w:line="480" w:lineRule="auto"/>
        <w:ind w:left="851"/>
        <w:jc w:val="both"/>
        <w:rPr>
          <w:rFonts w:ascii="Arial" w:hAnsi="Arial" w:cs="Arial"/>
          <w:sz w:val="24"/>
          <w:szCs w:val="24"/>
        </w:rPr>
      </w:pPr>
    </w:p>
    <w:p w14:paraId="7A8058A9" w14:textId="505EE95B" w:rsidR="003C64F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22752" w:rsidRPr="00DA0DA5">
        <w:rPr>
          <w:rFonts w:ascii="Arial" w:hAnsi="Arial" w:cs="Arial"/>
          <w:sz w:val="24"/>
          <w:szCs w:val="24"/>
        </w:rPr>
        <w:t>Accordingly, t</w:t>
      </w:r>
      <w:r w:rsidR="00AA41AB" w:rsidRPr="00DA0DA5">
        <w:rPr>
          <w:rFonts w:ascii="Arial" w:hAnsi="Arial" w:cs="Arial"/>
          <w:sz w:val="24"/>
          <w:szCs w:val="24"/>
        </w:rPr>
        <w:t xml:space="preserve">he question which falls to be determined by this court is </w:t>
      </w:r>
      <w:r w:rsidR="003C64FC" w:rsidRPr="00DA0DA5">
        <w:rPr>
          <w:rFonts w:ascii="Arial" w:hAnsi="Arial" w:cs="Arial"/>
          <w:sz w:val="24"/>
          <w:szCs w:val="24"/>
        </w:rPr>
        <w:t>whether the applicants have demonstrated that there are circumstances which justify the interference of this court in the unterminated proceedings.  Put differently, are there circumstances to satisfy this court that should we not intervene at this stage, grave injustice may result, such as to materially prejudice the applicants, which could not, in due course, be corrected on review or appeal.</w:t>
      </w:r>
    </w:p>
    <w:p w14:paraId="2F57FBB3" w14:textId="77777777" w:rsidR="003C64FC" w:rsidRPr="003C64FC" w:rsidRDefault="003C64FC" w:rsidP="005C091C">
      <w:pPr>
        <w:pStyle w:val="ListParagraph"/>
        <w:spacing w:after="0" w:line="480" w:lineRule="auto"/>
        <w:rPr>
          <w:rFonts w:ascii="Arial" w:hAnsi="Arial" w:cs="Arial"/>
          <w:sz w:val="24"/>
          <w:szCs w:val="24"/>
        </w:rPr>
      </w:pPr>
    </w:p>
    <w:p w14:paraId="231107D9" w14:textId="7DD4F31E" w:rsidR="0054163E"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4163E" w:rsidRPr="00DA0DA5">
        <w:rPr>
          <w:rFonts w:ascii="Arial" w:hAnsi="Arial" w:cs="Arial"/>
          <w:sz w:val="24"/>
          <w:szCs w:val="24"/>
        </w:rPr>
        <w:t xml:space="preserve">For the reasons detailed below, </w:t>
      </w:r>
      <w:r w:rsidR="005C091C" w:rsidRPr="00DA0DA5">
        <w:rPr>
          <w:rFonts w:ascii="Arial" w:hAnsi="Arial" w:cs="Arial"/>
          <w:sz w:val="24"/>
          <w:szCs w:val="24"/>
        </w:rPr>
        <w:t xml:space="preserve">I am of the view that the answer to this question must be in the negative.  </w:t>
      </w:r>
    </w:p>
    <w:p w14:paraId="2A97CC29" w14:textId="77777777" w:rsidR="00922752" w:rsidRPr="00922752" w:rsidRDefault="00922752" w:rsidP="00922752">
      <w:pPr>
        <w:pStyle w:val="ListParagraph"/>
        <w:spacing w:after="0" w:line="480" w:lineRule="auto"/>
        <w:rPr>
          <w:rFonts w:ascii="Arial" w:hAnsi="Arial" w:cs="Arial"/>
          <w:sz w:val="24"/>
          <w:szCs w:val="24"/>
        </w:rPr>
      </w:pPr>
    </w:p>
    <w:p w14:paraId="430ED1EA" w14:textId="3B9A59FA" w:rsidR="00922752" w:rsidRPr="00922752" w:rsidRDefault="00922752" w:rsidP="00922752">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Review </w:t>
      </w:r>
      <w:r w:rsidRPr="00EC393C">
        <w:rPr>
          <w:rFonts w:ascii="Arial" w:hAnsi="Arial" w:cs="Arial"/>
          <w:b/>
          <w:bCs/>
          <w:i/>
          <w:iCs/>
          <w:sz w:val="24"/>
          <w:szCs w:val="24"/>
          <w:u w:val="single"/>
        </w:rPr>
        <w:t>in medias res</w:t>
      </w:r>
    </w:p>
    <w:p w14:paraId="5F66C9E6" w14:textId="77777777" w:rsidR="0054163E" w:rsidRPr="0054163E" w:rsidRDefault="0054163E" w:rsidP="00922752">
      <w:pPr>
        <w:pStyle w:val="ListParagraph"/>
        <w:spacing w:after="0" w:line="480" w:lineRule="auto"/>
        <w:rPr>
          <w:rFonts w:ascii="Arial" w:hAnsi="Arial" w:cs="Arial"/>
          <w:sz w:val="24"/>
          <w:szCs w:val="24"/>
        </w:rPr>
      </w:pPr>
    </w:p>
    <w:p w14:paraId="5AC37A2C" w14:textId="47532677" w:rsidR="005C091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5C091C" w:rsidRPr="00DA0DA5">
        <w:rPr>
          <w:rFonts w:ascii="Arial" w:hAnsi="Arial" w:cs="Arial"/>
          <w:sz w:val="24"/>
          <w:szCs w:val="24"/>
        </w:rPr>
        <w:t>On a careful consideration of the papers before court, the grounds of review relied upon by the applicants</w:t>
      </w:r>
      <w:r w:rsidR="000418BC" w:rsidRPr="00DA0DA5">
        <w:rPr>
          <w:rFonts w:ascii="Arial" w:hAnsi="Arial" w:cs="Arial"/>
          <w:sz w:val="24"/>
          <w:szCs w:val="24"/>
        </w:rPr>
        <w:t xml:space="preserve"> take issue with the result of the proceedings in the Commercial Crimes Court and not with the method thereof.  Accordingly,</w:t>
      </w:r>
      <w:r w:rsidR="005C091C" w:rsidRPr="00DA0DA5">
        <w:rPr>
          <w:rFonts w:ascii="Arial" w:hAnsi="Arial" w:cs="Arial"/>
          <w:sz w:val="24"/>
          <w:szCs w:val="24"/>
        </w:rPr>
        <w:t xml:space="preserve"> </w:t>
      </w:r>
      <w:r w:rsidR="000418BC" w:rsidRPr="00DA0DA5">
        <w:rPr>
          <w:rFonts w:ascii="Arial" w:hAnsi="Arial" w:cs="Arial"/>
          <w:sz w:val="24"/>
          <w:szCs w:val="24"/>
        </w:rPr>
        <w:t xml:space="preserve">such grounds </w:t>
      </w:r>
      <w:r w:rsidR="005C091C" w:rsidRPr="00DA0DA5">
        <w:rPr>
          <w:rFonts w:ascii="Arial" w:hAnsi="Arial" w:cs="Arial"/>
          <w:sz w:val="24"/>
          <w:szCs w:val="24"/>
        </w:rPr>
        <w:t>constitute grounds of appeal and not grounds of review.</w:t>
      </w:r>
      <w:r w:rsidR="008F4C9D" w:rsidRPr="00DA0DA5">
        <w:rPr>
          <w:rFonts w:ascii="Arial" w:hAnsi="Arial" w:cs="Arial"/>
          <w:sz w:val="24"/>
          <w:szCs w:val="24"/>
        </w:rPr>
        <w:t xml:space="preserve">  Where proceedings, in substance, amount to an appeal from the magistrate’s decision upon the objection, </w:t>
      </w:r>
      <w:r w:rsidR="003B7556" w:rsidRPr="00DA0DA5">
        <w:rPr>
          <w:rFonts w:ascii="Arial" w:hAnsi="Arial" w:cs="Arial"/>
          <w:sz w:val="24"/>
          <w:szCs w:val="24"/>
        </w:rPr>
        <w:t xml:space="preserve">and in the absence of circumstances justifying the intervention of the court in the unterminated proceedings, </w:t>
      </w:r>
      <w:r w:rsidR="008F4C9D" w:rsidRPr="00DA0DA5">
        <w:rPr>
          <w:rFonts w:ascii="Arial" w:hAnsi="Arial" w:cs="Arial"/>
          <w:sz w:val="24"/>
          <w:szCs w:val="24"/>
        </w:rPr>
        <w:t>the courts are aligned in their view that appeals will not be entertained piecemeal.  Matters must run their course to fruition and in the event of a guilty finding, the whole matter ought to be decided on appeal, should such appeal be brought.</w:t>
      </w:r>
      <w:r w:rsidR="008F4C9D">
        <w:rPr>
          <w:rStyle w:val="FootnoteReference"/>
          <w:rFonts w:ascii="Arial" w:hAnsi="Arial" w:cs="Arial"/>
          <w:sz w:val="24"/>
          <w:szCs w:val="24"/>
        </w:rPr>
        <w:footnoteReference w:id="15"/>
      </w:r>
    </w:p>
    <w:p w14:paraId="36FF5378" w14:textId="77777777" w:rsidR="008F4C9D" w:rsidRDefault="008F4C9D" w:rsidP="008F4C9D">
      <w:pPr>
        <w:pStyle w:val="ListParagraph"/>
        <w:spacing w:after="0" w:line="480" w:lineRule="auto"/>
        <w:ind w:left="851"/>
        <w:jc w:val="both"/>
        <w:rPr>
          <w:rFonts w:ascii="Arial" w:hAnsi="Arial" w:cs="Arial"/>
          <w:sz w:val="24"/>
          <w:szCs w:val="24"/>
        </w:rPr>
      </w:pPr>
    </w:p>
    <w:p w14:paraId="65F2F863" w14:textId="533B9F8D" w:rsidR="000418B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418BC" w:rsidRPr="00DA0DA5">
        <w:rPr>
          <w:rFonts w:ascii="Arial" w:hAnsi="Arial" w:cs="Arial"/>
          <w:sz w:val="24"/>
          <w:szCs w:val="24"/>
        </w:rPr>
        <w:t>In the context of review proceedings, the court, in the oft</w:t>
      </w:r>
      <w:r w:rsidR="008961BD" w:rsidRPr="00DA0DA5">
        <w:rPr>
          <w:rFonts w:ascii="Arial" w:hAnsi="Arial" w:cs="Arial"/>
          <w:sz w:val="24"/>
          <w:szCs w:val="24"/>
        </w:rPr>
        <w:t>-</w:t>
      </w:r>
      <w:r w:rsidR="000418BC" w:rsidRPr="00DA0DA5">
        <w:rPr>
          <w:rFonts w:ascii="Arial" w:hAnsi="Arial" w:cs="Arial"/>
          <w:sz w:val="24"/>
          <w:szCs w:val="24"/>
        </w:rPr>
        <w:t xml:space="preserve">quoted passage in </w:t>
      </w:r>
      <w:r w:rsidR="000418BC" w:rsidRPr="00DA0DA5">
        <w:rPr>
          <w:rFonts w:ascii="Arial" w:hAnsi="Arial" w:cs="Arial"/>
          <w:i/>
          <w:iCs/>
          <w:sz w:val="24"/>
          <w:szCs w:val="24"/>
        </w:rPr>
        <w:t>Ellis v Morgan</w:t>
      </w:r>
      <w:r w:rsidR="000418BC" w:rsidRPr="00DA0DA5">
        <w:rPr>
          <w:rFonts w:ascii="Arial" w:hAnsi="Arial" w:cs="Arial"/>
          <w:sz w:val="24"/>
          <w:szCs w:val="24"/>
        </w:rPr>
        <w:t>, stated as follows:</w:t>
      </w:r>
      <w:r w:rsidR="000418BC">
        <w:rPr>
          <w:rStyle w:val="FootnoteReference"/>
          <w:rFonts w:ascii="Arial" w:hAnsi="Arial" w:cs="Arial"/>
          <w:sz w:val="24"/>
          <w:szCs w:val="24"/>
        </w:rPr>
        <w:footnoteReference w:id="16"/>
      </w:r>
      <w:r w:rsidR="005C091C" w:rsidRPr="00DA0DA5">
        <w:rPr>
          <w:rFonts w:ascii="Arial" w:hAnsi="Arial" w:cs="Arial"/>
          <w:sz w:val="24"/>
          <w:szCs w:val="24"/>
        </w:rPr>
        <w:t xml:space="preserve"> </w:t>
      </w:r>
    </w:p>
    <w:p w14:paraId="352FD0B9" w14:textId="77777777" w:rsidR="000418BC" w:rsidRPr="000418BC" w:rsidRDefault="000418BC" w:rsidP="000418BC">
      <w:pPr>
        <w:pStyle w:val="ListParagraph"/>
        <w:rPr>
          <w:rFonts w:ascii="Arial" w:hAnsi="Arial" w:cs="Arial"/>
          <w:sz w:val="24"/>
          <w:szCs w:val="24"/>
        </w:rPr>
      </w:pPr>
    </w:p>
    <w:p w14:paraId="7CBEB556" w14:textId="3EA24074" w:rsidR="005C091C" w:rsidRDefault="00126AF6" w:rsidP="00126AF6">
      <w:pPr>
        <w:pStyle w:val="ListParagraph"/>
        <w:spacing w:after="0" w:line="360" w:lineRule="auto"/>
        <w:ind w:left="851"/>
        <w:jc w:val="both"/>
        <w:rPr>
          <w:rFonts w:ascii="Arial" w:hAnsi="Arial" w:cs="Arial"/>
          <w:i/>
          <w:iCs/>
          <w:sz w:val="20"/>
          <w:szCs w:val="20"/>
          <w:lang w:val="en-US"/>
        </w:rPr>
      </w:pPr>
      <w:r>
        <w:rPr>
          <w:rFonts w:ascii="Arial" w:hAnsi="Arial" w:cs="Arial"/>
          <w:i/>
          <w:iCs/>
          <w:sz w:val="20"/>
          <w:szCs w:val="20"/>
          <w:lang w:val="en-US"/>
        </w:rPr>
        <w:t>“</w:t>
      </w:r>
      <w:r w:rsidRPr="00126AF6">
        <w:rPr>
          <w:rFonts w:ascii="Arial" w:hAnsi="Arial" w:cs="Arial"/>
          <w:i/>
          <w:iCs/>
          <w:sz w:val="20"/>
          <w:szCs w:val="20"/>
          <w:lang w:val="en-US"/>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r>
        <w:rPr>
          <w:rFonts w:ascii="Arial" w:hAnsi="Arial" w:cs="Arial"/>
          <w:i/>
          <w:iCs/>
          <w:sz w:val="20"/>
          <w:szCs w:val="20"/>
          <w:lang w:val="en-US"/>
        </w:rPr>
        <w:t>”</w:t>
      </w:r>
    </w:p>
    <w:p w14:paraId="718F84F8" w14:textId="77777777" w:rsidR="00126AF6" w:rsidRPr="00126AF6" w:rsidRDefault="00126AF6" w:rsidP="00C716FD">
      <w:pPr>
        <w:pStyle w:val="ListParagraph"/>
        <w:spacing w:after="0" w:line="480" w:lineRule="auto"/>
        <w:ind w:left="851"/>
        <w:jc w:val="both"/>
        <w:rPr>
          <w:rFonts w:ascii="Arial" w:hAnsi="Arial" w:cs="Arial"/>
          <w:i/>
          <w:iCs/>
          <w:sz w:val="20"/>
          <w:szCs w:val="20"/>
          <w:lang w:val="en-US"/>
        </w:rPr>
      </w:pPr>
    </w:p>
    <w:p w14:paraId="68AD9A62" w14:textId="2A512610" w:rsidR="00126AF6"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26AF6" w:rsidRPr="00DA0DA5">
        <w:rPr>
          <w:rFonts w:ascii="Arial" w:hAnsi="Arial" w:cs="Arial"/>
          <w:sz w:val="24"/>
          <w:szCs w:val="24"/>
        </w:rPr>
        <w:t xml:space="preserve">The aforesaid principle was thereafter qualified in </w:t>
      </w:r>
      <w:r w:rsidR="00126AF6" w:rsidRPr="00DA0DA5">
        <w:rPr>
          <w:rFonts w:ascii="Arial" w:hAnsi="Arial" w:cs="Arial"/>
          <w:i/>
          <w:iCs/>
          <w:sz w:val="24"/>
          <w:szCs w:val="24"/>
        </w:rPr>
        <w:t>Goldfields Investments Ltd and Another v City Council of Johannesburg and Another</w:t>
      </w:r>
      <w:r w:rsidR="00126AF6">
        <w:rPr>
          <w:rStyle w:val="FootnoteReference"/>
          <w:rFonts w:ascii="Arial" w:hAnsi="Arial" w:cs="Arial"/>
          <w:sz w:val="24"/>
          <w:szCs w:val="24"/>
        </w:rPr>
        <w:footnoteReference w:id="17"/>
      </w:r>
      <w:r w:rsidR="00126AF6" w:rsidRPr="00DA0DA5">
        <w:rPr>
          <w:rFonts w:ascii="Arial" w:hAnsi="Arial" w:cs="Arial"/>
          <w:sz w:val="24"/>
          <w:szCs w:val="24"/>
        </w:rPr>
        <w:t xml:space="preserve"> wherein the court expressed th</w:t>
      </w:r>
      <w:r w:rsidR="003B7556" w:rsidRPr="00DA0DA5">
        <w:rPr>
          <w:rFonts w:ascii="Arial" w:hAnsi="Arial" w:cs="Arial"/>
          <w:sz w:val="24"/>
          <w:szCs w:val="24"/>
        </w:rPr>
        <w:t>at</w:t>
      </w:r>
      <w:r w:rsidR="00126AF6" w:rsidRPr="00DA0DA5">
        <w:rPr>
          <w:rFonts w:ascii="Arial" w:hAnsi="Arial" w:cs="Arial"/>
          <w:sz w:val="24"/>
          <w:szCs w:val="24"/>
        </w:rPr>
        <w:t>:</w:t>
      </w:r>
    </w:p>
    <w:p w14:paraId="4D6B7917" w14:textId="77777777" w:rsidR="00126AF6" w:rsidRDefault="00126AF6" w:rsidP="00126AF6">
      <w:pPr>
        <w:pStyle w:val="ListParagraph"/>
        <w:spacing w:after="0" w:line="480" w:lineRule="auto"/>
        <w:ind w:left="851"/>
        <w:jc w:val="both"/>
        <w:rPr>
          <w:rFonts w:ascii="Arial" w:hAnsi="Arial" w:cs="Arial"/>
          <w:sz w:val="24"/>
          <w:szCs w:val="24"/>
        </w:rPr>
      </w:pPr>
    </w:p>
    <w:p w14:paraId="4515C04B" w14:textId="5A8F1B37" w:rsidR="00126AF6" w:rsidRDefault="00126AF6" w:rsidP="00126AF6">
      <w:pPr>
        <w:pStyle w:val="ListParagraph"/>
        <w:spacing w:after="0" w:line="360" w:lineRule="auto"/>
        <w:ind w:left="851"/>
        <w:jc w:val="both"/>
        <w:rPr>
          <w:rFonts w:ascii="Arial" w:hAnsi="Arial" w:cs="Arial"/>
          <w:sz w:val="24"/>
          <w:szCs w:val="24"/>
        </w:rPr>
      </w:pPr>
      <w:r>
        <w:rPr>
          <w:rFonts w:ascii="Arial" w:hAnsi="Arial" w:cs="Arial"/>
          <w:sz w:val="24"/>
          <w:szCs w:val="24"/>
        </w:rPr>
        <w:t>“</w:t>
      </w:r>
      <w:r w:rsidRPr="00126AF6">
        <w:rPr>
          <w:rFonts w:ascii="Arial" w:hAnsi="Arial" w:cs="Arial"/>
          <w:i/>
          <w:iCs/>
          <w:color w:val="242121"/>
          <w:sz w:val="20"/>
          <w:szCs w:val="20"/>
          <w:shd w:val="clear" w:color="auto" w:fill="FFFFFF"/>
        </w:rPr>
        <w:t xml:space="preserve">The law, as stated in Ellis v Morgan (supra) has been accepted in subsequent cases, and the passage which has been quoted from that case shows that it is not merely high-handed </w:t>
      </w:r>
      <w:r w:rsidRPr="00126AF6">
        <w:rPr>
          <w:rFonts w:ascii="Arial" w:hAnsi="Arial" w:cs="Arial"/>
          <w:i/>
          <w:iCs/>
          <w:color w:val="242121"/>
          <w:sz w:val="20"/>
          <w:szCs w:val="20"/>
          <w:shd w:val="clear" w:color="auto" w:fill="FFFFFF"/>
        </w:rPr>
        <w:lastRenderedPageBreak/>
        <w:t>or arbitrary conduct which is described as a gross irregularity; behaviour which is perfectly well-intentioned and bona fide, though mistaken, may come under that description. The crucial question is whether it prevented a fair trial of the issues. If it did prevent a fair trial of the issues then it will amount to a gross irregularity. Many patent irregularities have this effect. And if from the magistrate’s reasons it appears that his mind was not in a state to enable him to try the case fairly this will amount to a latent gross irregularity. If, on the other hand, he merely comes to a wrong decision owing to his having made a mistake on a point of law in relation to the merits, this does not amount to gross irregularity. In matters relating to the merits the magistrate may err by taking a wrong one of several possible views, or he may err by mistaking or misunderstanding the point in issue. In the latter case it may be said that he is in a sense failing to address his mind to the true point to be decided and therefore failing to afford the parties a fair trial. But that is not necessarily the case. Where the point relates only to the merits of the case, it would be straining the language to describe it as a gross irregularity or a denial of a fair trial. 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use of language to say that the losing party has not had a fair trial.</w:t>
      </w:r>
      <w:r>
        <w:rPr>
          <w:rFonts w:ascii="Verdana" w:hAnsi="Verdana"/>
          <w:color w:val="242121"/>
          <w:shd w:val="clear" w:color="auto" w:fill="FFFFFF"/>
        </w:rPr>
        <w:t>”</w:t>
      </w:r>
    </w:p>
    <w:p w14:paraId="5D593252" w14:textId="77777777" w:rsidR="009B679A" w:rsidRDefault="009B679A" w:rsidP="009B679A">
      <w:pPr>
        <w:pStyle w:val="ListParagraph"/>
        <w:spacing w:after="0" w:line="480" w:lineRule="auto"/>
        <w:ind w:left="851"/>
        <w:jc w:val="both"/>
        <w:rPr>
          <w:rFonts w:ascii="Arial" w:hAnsi="Arial" w:cs="Arial"/>
          <w:sz w:val="24"/>
          <w:szCs w:val="24"/>
        </w:rPr>
      </w:pPr>
    </w:p>
    <w:p w14:paraId="1AEBA038" w14:textId="5F519E1A" w:rsidR="00AC622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678D5" w:rsidRPr="00DA0DA5">
        <w:rPr>
          <w:rFonts w:ascii="Arial" w:hAnsi="Arial" w:cs="Arial"/>
          <w:sz w:val="24"/>
          <w:szCs w:val="24"/>
        </w:rPr>
        <w:t xml:space="preserve">The Supreme Court of Appeal, in </w:t>
      </w:r>
      <w:r w:rsidR="003678D5" w:rsidRPr="00DA0DA5">
        <w:rPr>
          <w:rFonts w:ascii="Arial" w:hAnsi="Arial" w:cs="Arial"/>
          <w:i/>
          <w:iCs/>
          <w:sz w:val="24"/>
          <w:szCs w:val="24"/>
        </w:rPr>
        <w:t>Telcordia Technologies Inc. (supra)</w:t>
      </w:r>
      <w:r w:rsidR="003678D5" w:rsidRPr="00DA0DA5">
        <w:rPr>
          <w:rFonts w:ascii="Arial" w:hAnsi="Arial" w:cs="Arial"/>
          <w:sz w:val="24"/>
          <w:szCs w:val="24"/>
        </w:rPr>
        <w:t>,</w:t>
      </w:r>
      <w:r w:rsidR="00AC6223" w:rsidRPr="00DA0DA5">
        <w:rPr>
          <w:rFonts w:ascii="Arial" w:hAnsi="Arial" w:cs="Arial"/>
          <w:sz w:val="24"/>
          <w:szCs w:val="24"/>
        </w:rPr>
        <w:t xml:space="preserve"> drew a distinction between the reasoning of the decision-maker and the conduct of the proceedings, and warned that the two concepts ought not to be confused with one another.</w:t>
      </w:r>
    </w:p>
    <w:p w14:paraId="50A76EF0" w14:textId="77777777" w:rsidR="00AC6223" w:rsidRDefault="00AC6223" w:rsidP="00AC6223">
      <w:pPr>
        <w:pStyle w:val="ListParagraph"/>
        <w:spacing w:after="0" w:line="480" w:lineRule="auto"/>
        <w:ind w:left="851"/>
        <w:jc w:val="both"/>
        <w:rPr>
          <w:rFonts w:ascii="Arial" w:hAnsi="Arial" w:cs="Arial"/>
          <w:sz w:val="24"/>
          <w:szCs w:val="24"/>
        </w:rPr>
      </w:pPr>
    </w:p>
    <w:p w14:paraId="0CD31448" w14:textId="4E5DAFF8" w:rsidR="00AC622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C6223" w:rsidRPr="00DA0DA5">
        <w:rPr>
          <w:rFonts w:ascii="Arial" w:hAnsi="Arial" w:cs="Arial"/>
          <w:sz w:val="24"/>
          <w:szCs w:val="24"/>
        </w:rPr>
        <w:t xml:space="preserve">The Constitutional Court </w:t>
      </w:r>
      <w:r w:rsidR="00AC6223" w:rsidRPr="00DA0DA5">
        <w:rPr>
          <w:rFonts w:ascii="Arial" w:hAnsi="Arial" w:cs="Arial"/>
          <w:i/>
          <w:iCs/>
          <w:sz w:val="24"/>
          <w:szCs w:val="24"/>
        </w:rPr>
        <w:t>in Sidumo and Another v Rustenburg Platinum Mines Ltd and Others</w:t>
      </w:r>
      <w:r w:rsidR="00AC6223" w:rsidRPr="00DA0DA5">
        <w:rPr>
          <w:rFonts w:ascii="Arial" w:hAnsi="Arial" w:cs="Arial"/>
          <w:sz w:val="24"/>
          <w:szCs w:val="24"/>
        </w:rPr>
        <w:t>, with reference to the aforesaid distinction, s</w:t>
      </w:r>
      <w:r w:rsidR="008961BD" w:rsidRPr="00DA0DA5">
        <w:rPr>
          <w:rFonts w:ascii="Arial" w:hAnsi="Arial" w:cs="Arial"/>
          <w:sz w:val="24"/>
          <w:szCs w:val="24"/>
        </w:rPr>
        <w:t>aid</w:t>
      </w:r>
      <w:r w:rsidR="00AC6223" w:rsidRPr="00DA0DA5">
        <w:rPr>
          <w:rFonts w:ascii="Arial" w:hAnsi="Arial" w:cs="Arial"/>
          <w:sz w:val="24"/>
          <w:szCs w:val="24"/>
        </w:rPr>
        <w:t xml:space="preserve"> as follows:</w:t>
      </w:r>
      <w:r w:rsidR="00AC6223">
        <w:rPr>
          <w:rStyle w:val="FootnoteReference"/>
          <w:rFonts w:ascii="Arial" w:hAnsi="Arial" w:cs="Arial"/>
          <w:sz w:val="24"/>
          <w:szCs w:val="24"/>
        </w:rPr>
        <w:footnoteReference w:id="18"/>
      </w:r>
    </w:p>
    <w:p w14:paraId="598AF7B5" w14:textId="77777777" w:rsidR="00AC6223" w:rsidRPr="00AC6223" w:rsidRDefault="00AC6223" w:rsidP="008B31D6">
      <w:pPr>
        <w:pStyle w:val="ListParagraph"/>
        <w:spacing w:after="0" w:line="480" w:lineRule="auto"/>
        <w:rPr>
          <w:rFonts w:ascii="Arial" w:hAnsi="Arial" w:cs="Arial"/>
          <w:sz w:val="24"/>
          <w:szCs w:val="24"/>
        </w:rPr>
      </w:pPr>
    </w:p>
    <w:p w14:paraId="3F4873B0" w14:textId="67488629" w:rsidR="00AC6223" w:rsidRPr="00F1374C" w:rsidRDefault="008B31D6" w:rsidP="00632DF3">
      <w:pPr>
        <w:pStyle w:val="ListParagraph"/>
        <w:spacing w:after="0" w:line="360" w:lineRule="auto"/>
        <w:ind w:left="851"/>
        <w:jc w:val="both"/>
        <w:rPr>
          <w:rFonts w:ascii="Arial" w:hAnsi="Arial" w:cs="Arial"/>
          <w:i/>
          <w:iCs/>
          <w:sz w:val="20"/>
          <w:szCs w:val="20"/>
          <w:shd w:val="clear" w:color="auto" w:fill="FFFFFF"/>
        </w:rPr>
      </w:pPr>
      <w:r w:rsidRPr="00F1374C">
        <w:rPr>
          <w:rFonts w:ascii="Arial" w:hAnsi="Arial" w:cs="Arial"/>
          <w:i/>
          <w:iCs/>
          <w:sz w:val="20"/>
          <w:szCs w:val="20"/>
          <w:shd w:val="clear" w:color="auto" w:fill="FFFFFF"/>
        </w:rPr>
        <w:t>“Both Ellis and Goldfields make it plain that the crucial enquiry is whether the conduct of the decision-maker complained of prevented a fair trial of issues.  The complaint must be directed at the method or conduct and not the result of the proceedings.  And the reasoning of the decision-maker must not be confused with the conduct of the proceedings.</w:t>
      </w:r>
      <w:r w:rsidR="00954E52" w:rsidRPr="00F1374C">
        <w:rPr>
          <w:rFonts w:ascii="Arial" w:hAnsi="Arial" w:cs="Arial"/>
          <w:i/>
          <w:iCs/>
          <w:sz w:val="20"/>
          <w:szCs w:val="20"/>
          <w:shd w:val="clear" w:color="auto" w:fill="FFFFFF"/>
        </w:rPr>
        <w:t xml:space="preserve"> </w:t>
      </w:r>
      <w:r w:rsidRPr="00F1374C">
        <w:rPr>
          <w:rFonts w:ascii="Arial" w:hAnsi="Arial" w:cs="Arial"/>
          <w:i/>
          <w:iCs/>
          <w:sz w:val="20"/>
          <w:szCs w:val="20"/>
          <w:shd w:val="clear" w:color="auto" w:fill="FFFFFF"/>
        </w:rPr>
        <w:t xml:space="preserve"> There is a fine line between reasoning and the conduct of the proceedings, and at times it may be difficult to draw the line; there is nevertheless an important difference.”</w:t>
      </w:r>
    </w:p>
    <w:p w14:paraId="289C29F8" w14:textId="7F07967F" w:rsidR="00C0636B"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C0636B" w:rsidRPr="00DA0DA5">
        <w:rPr>
          <w:rFonts w:ascii="Arial" w:hAnsi="Arial" w:cs="Arial"/>
          <w:sz w:val="24"/>
          <w:szCs w:val="24"/>
        </w:rPr>
        <w:t xml:space="preserve">The applicants have conflated the reasoning of the second respondent with the conduct of the proceedings.  </w:t>
      </w:r>
    </w:p>
    <w:p w14:paraId="23C524A6" w14:textId="47017E50" w:rsidR="00E950E8" w:rsidRDefault="00E950E8" w:rsidP="00613BB2">
      <w:pPr>
        <w:pStyle w:val="ListParagraph"/>
        <w:spacing w:after="0" w:line="480" w:lineRule="auto"/>
        <w:ind w:left="851"/>
        <w:jc w:val="both"/>
        <w:rPr>
          <w:rFonts w:ascii="Arial" w:hAnsi="Arial" w:cs="Arial"/>
          <w:sz w:val="24"/>
          <w:szCs w:val="24"/>
        </w:rPr>
      </w:pPr>
    </w:p>
    <w:p w14:paraId="175FF1E4" w14:textId="2B5E75A9" w:rsidR="00613BB2"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93E4D" w:rsidRPr="00DA0DA5">
        <w:rPr>
          <w:rFonts w:ascii="Arial" w:hAnsi="Arial" w:cs="Arial"/>
          <w:sz w:val="24"/>
          <w:szCs w:val="24"/>
        </w:rPr>
        <w:t xml:space="preserve">The grounds of review, belatedly raised in the applicants’ heads of argument, which are at variance with the </w:t>
      </w:r>
      <w:r w:rsidR="006735A2" w:rsidRPr="00DA0DA5">
        <w:rPr>
          <w:rFonts w:ascii="Arial" w:hAnsi="Arial" w:cs="Arial"/>
          <w:sz w:val="24"/>
          <w:szCs w:val="24"/>
        </w:rPr>
        <w:t>grounds of review relied upon in the papers before court</w:t>
      </w:r>
      <w:r w:rsidR="007653FB" w:rsidRPr="00DA0DA5">
        <w:rPr>
          <w:rFonts w:ascii="Arial" w:hAnsi="Arial" w:cs="Arial"/>
          <w:sz w:val="24"/>
          <w:szCs w:val="24"/>
        </w:rPr>
        <w:t>,</w:t>
      </w:r>
      <w:r w:rsidR="006735A2" w:rsidRPr="00DA0DA5">
        <w:rPr>
          <w:rFonts w:ascii="Arial" w:hAnsi="Arial" w:cs="Arial"/>
          <w:sz w:val="24"/>
          <w:szCs w:val="24"/>
        </w:rPr>
        <w:t xml:space="preserve"> were </w:t>
      </w:r>
      <w:r w:rsidR="00793E4D" w:rsidRPr="00DA0DA5">
        <w:rPr>
          <w:rFonts w:ascii="Arial" w:hAnsi="Arial" w:cs="Arial"/>
          <w:sz w:val="24"/>
          <w:szCs w:val="24"/>
        </w:rPr>
        <w:t xml:space="preserve">no doubt </w:t>
      </w:r>
      <w:r w:rsidR="006735A2" w:rsidRPr="00DA0DA5">
        <w:rPr>
          <w:rFonts w:ascii="Arial" w:hAnsi="Arial" w:cs="Arial"/>
          <w:sz w:val="24"/>
          <w:szCs w:val="24"/>
        </w:rPr>
        <w:t xml:space="preserve">included </w:t>
      </w:r>
      <w:r w:rsidR="00F65B65" w:rsidRPr="00DA0DA5">
        <w:rPr>
          <w:rFonts w:ascii="Arial" w:hAnsi="Arial" w:cs="Arial"/>
          <w:sz w:val="24"/>
          <w:szCs w:val="24"/>
        </w:rPr>
        <w:t>in an attempt to supplement the applicants</w:t>
      </w:r>
      <w:r w:rsidR="00023E81" w:rsidRPr="00DA0DA5">
        <w:rPr>
          <w:rFonts w:ascii="Arial" w:hAnsi="Arial" w:cs="Arial"/>
          <w:sz w:val="24"/>
          <w:szCs w:val="24"/>
        </w:rPr>
        <w:t>’</w:t>
      </w:r>
      <w:r w:rsidR="00F65B65" w:rsidRPr="00DA0DA5">
        <w:rPr>
          <w:rFonts w:ascii="Arial" w:hAnsi="Arial" w:cs="Arial"/>
          <w:sz w:val="24"/>
          <w:szCs w:val="24"/>
        </w:rPr>
        <w:t xml:space="preserve"> papers due to the inherent shortcomings</w:t>
      </w:r>
      <w:r w:rsidR="00082322" w:rsidRPr="00DA0DA5">
        <w:rPr>
          <w:rFonts w:ascii="Arial" w:hAnsi="Arial" w:cs="Arial"/>
          <w:sz w:val="24"/>
          <w:szCs w:val="24"/>
        </w:rPr>
        <w:t xml:space="preserve"> in the allegations contained</w:t>
      </w:r>
      <w:r w:rsidR="00F65B65" w:rsidRPr="00DA0DA5">
        <w:rPr>
          <w:rFonts w:ascii="Arial" w:hAnsi="Arial" w:cs="Arial"/>
          <w:sz w:val="24"/>
          <w:szCs w:val="24"/>
        </w:rPr>
        <w:t xml:space="preserve"> therein.</w:t>
      </w:r>
      <w:r w:rsidR="006735A2" w:rsidRPr="00DA0DA5">
        <w:rPr>
          <w:rFonts w:ascii="Arial" w:hAnsi="Arial" w:cs="Arial"/>
          <w:sz w:val="24"/>
          <w:szCs w:val="24"/>
        </w:rPr>
        <w:t xml:space="preserve">  Not only </w:t>
      </w:r>
      <w:r w:rsidR="00EC2EC6" w:rsidRPr="00DA0DA5">
        <w:rPr>
          <w:rFonts w:ascii="Arial" w:hAnsi="Arial" w:cs="Arial"/>
          <w:sz w:val="24"/>
          <w:szCs w:val="24"/>
        </w:rPr>
        <w:t>were</w:t>
      </w:r>
      <w:r w:rsidR="006735A2" w:rsidRPr="00DA0DA5">
        <w:rPr>
          <w:rFonts w:ascii="Arial" w:hAnsi="Arial" w:cs="Arial"/>
          <w:sz w:val="24"/>
          <w:szCs w:val="24"/>
        </w:rPr>
        <w:t xml:space="preserve"> such grounds not properly raised </w:t>
      </w:r>
      <w:r w:rsidR="00EC2EC6" w:rsidRPr="00DA0DA5">
        <w:rPr>
          <w:rFonts w:ascii="Arial" w:hAnsi="Arial" w:cs="Arial"/>
          <w:sz w:val="24"/>
          <w:szCs w:val="24"/>
        </w:rPr>
        <w:t xml:space="preserve">before this court, but they do little to assist the applicants </w:t>
      </w:r>
      <w:r w:rsidR="00262352" w:rsidRPr="00DA0DA5">
        <w:rPr>
          <w:rFonts w:ascii="Arial" w:hAnsi="Arial" w:cs="Arial"/>
          <w:sz w:val="24"/>
          <w:szCs w:val="24"/>
        </w:rPr>
        <w:t xml:space="preserve">if </w:t>
      </w:r>
      <w:r w:rsidR="007C30F7" w:rsidRPr="00DA0DA5">
        <w:rPr>
          <w:rFonts w:ascii="Arial" w:hAnsi="Arial" w:cs="Arial"/>
          <w:sz w:val="24"/>
          <w:szCs w:val="24"/>
        </w:rPr>
        <w:t xml:space="preserve">regard is had to the </w:t>
      </w:r>
      <w:r w:rsidR="00262352" w:rsidRPr="00DA0DA5">
        <w:rPr>
          <w:rFonts w:ascii="Arial" w:hAnsi="Arial" w:cs="Arial"/>
          <w:sz w:val="24"/>
          <w:szCs w:val="24"/>
        </w:rPr>
        <w:t>second respondent’s ruling as a whole.</w:t>
      </w:r>
      <w:r w:rsidR="00F65B65" w:rsidRPr="00DA0DA5">
        <w:rPr>
          <w:rFonts w:ascii="Arial" w:hAnsi="Arial" w:cs="Arial"/>
          <w:sz w:val="24"/>
          <w:szCs w:val="24"/>
        </w:rPr>
        <w:t xml:space="preserve">  Further and in any event, </w:t>
      </w:r>
      <w:r w:rsidR="009E2998" w:rsidRPr="00DA0DA5">
        <w:rPr>
          <w:rFonts w:ascii="Arial" w:hAnsi="Arial" w:cs="Arial"/>
          <w:sz w:val="24"/>
          <w:szCs w:val="24"/>
        </w:rPr>
        <w:t xml:space="preserve">such grounds do not lead to a conclusion that </w:t>
      </w:r>
      <w:r w:rsidR="00613BB2" w:rsidRPr="00DA0DA5">
        <w:rPr>
          <w:rFonts w:ascii="Arial" w:hAnsi="Arial" w:cs="Arial"/>
          <w:sz w:val="24"/>
          <w:szCs w:val="24"/>
        </w:rPr>
        <w:t xml:space="preserve">the conduct of the proceedings was such as to </w:t>
      </w:r>
      <w:r w:rsidR="0071098C" w:rsidRPr="00DA0DA5">
        <w:rPr>
          <w:rFonts w:ascii="Arial" w:hAnsi="Arial" w:cs="Arial"/>
          <w:sz w:val="24"/>
          <w:szCs w:val="24"/>
        </w:rPr>
        <w:t xml:space="preserve">vitiate the </w:t>
      </w:r>
      <w:r w:rsidR="00613BB2" w:rsidRPr="00DA0DA5">
        <w:rPr>
          <w:rFonts w:ascii="Arial" w:hAnsi="Arial" w:cs="Arial"/>
          <w:sz w:val="24"/>
          <w:szCs w:val="24"/>
        </w:rPr>
        <w:t>applicants</w:t>
      </w:r>
      <w:r w:rsidR="0071098C" w:rsidRPr="00DA0DA5">
        <w:rPr>
          <w:rFonts w:ascii="Arial" w:hAnsi="Arial" w:cs="Arial"/>
          <w:sz w:val="24"/>
          <w:szCs w:val="24"/>
        </w:rPr>
        <w:t>’ rights to a fair tr</w:t>
      </w:r>
      <w:r w:rsidR="006C615C" w:rsidRPr="00DA0DA5">
        <w:rPr>
          <w:rFonts w:ascii="Arial" w:hAnsi="Arial" w:cs="Arial"/>
          <w:sz w:val="24"/>
          <w:szCs w:val="24"/>
        </w:rPr>
        <w:t>ial.</w:t>
      </w:r>
    </w:p>
    <w:p w14:paraId="56CF7485" w14:textId="77777777" w:rsidR="00613BB2" w:rsidRPr="00613BB2" w:rsidRDefault="00613BB2" w:rsidP="00613BB2">
      <w:pPr>
        <w:pStyle w:val="ListParagraph"/>
        <w:spacing w:after="0" w:line="480" w:lineRule="auto"/>
        <w:rPr>
          <w:rFonts w:ascii="Arial" w:hAnsi="Arial" w:cs="Arial"/>
          <w:sz w:val="24"/>
          <w:szCs w:val="24"/>
        </w:rPr>
      </w:pPr>
    </w:p>
    <w:p w14:paraId="1F579CC1" w14:textId="30437024" w:rsidR="00793E4D" w:rsidRPr="00DA0DA5" w:rsidRDefault="00DA0DA5" w:rsidP="00DA0DA5">
      <w:pPr>
        <w:spacing w:after="0" w:line="480" w:lineRule="auto"/>
        <w:ind w:left="851" w:hanging="851"/>
        <w:jc w:val="both"/>
        <w:rPr>
          <w:rFonts w:ascii="Arial" w:hAnsi="Arial" w:cs="Arial"/>
          <w:sz w:val="24"/>
          <w:szCs w:val="24"/>
        </w:rPr>
      </w:pPr>
      <w:r w:rsidRPr="00613BB2">
        <w:rPr>
          <w:rFonts w:ascii="Arial" w:hAnsi="Arial" w:cs="Arial"/>
          <w:sz w:val="24"/>
          <w:szCs w:val="24"/>
        </w:rPr>
        <w:t>[38]</w:t>
      </w:r>
      <w:r w:rsidRPr="00613BB2">
        <w:rPr>
          <w:rFonts w:ascii="Arial" w:hAnsi="Arial" w:cs="Arial"/>
          <w:sz w:val="24"/>
          <w:szCs w:val="24"/>
        </w:rPr>
        <w:tab/>
      </w:r>
      <w:r w:rsidR="00613BB2" w:rsidRPr="00DA0DA5">
        <w:rPr>
          <w:rFonts w:ascii="Arial" w:hAnsi="Arial" w:cs="Arial"/>
          <w:sz w:val="24"/>
          <w:szCs w:val="24"/>
        </w:rPr>
        <w:t xml:space="preserve">Regard being had to the aforesaid, </w:t>
      </w:r>
      <w:r w:rsidR="00793E4D" w:rsidRPr="00DA0DA5">
        <w:rPr>
          <w:rFonts w:ascii="Arial" w:hAnsi="Arial" w:cs="Arial"/>
          <w:sz w:val="24"/>
          <w:szCs w:val="24"/>
        </w:rPr>
        <w:t>and having arrived at the conclusion, which I have recorded in paragraph [3</w:t>
      </w:r>
      <w:r w:rsidR="004C2E12" w:rsidRPr="00DA0DA5">
        <w:rPr>
          <w:rFonts w:ascii="Arial" w:hAnsi="Arial" w:cs="Arial"/>
          <w:sz w:val="24"/>
          <w:szCs w:val="24"/>
        </w:rPr>
        <w:t>1</w:t>
      </w:r>
      <w:r w:rsidR="00793E4D" w:rsidRPr="00DA0DA5">
        <w:rPr>
          <w:rFonts w:ascii="Arial" w:hAnsi="Arial" w:cs="Arial"/>
          <w:sz w:val="24"/>
          <w:szCs w:val="24"/>
        </w:rPr>
        <w:t xml:space="preserve">] above, this aspect alone warrants the dismissal of the </w:t>
      </w:r>
      <w:r w:rsidR="007A79B3" w:rsidRPr="00DA0DA5">
        <w:rPr>
          <w:rFonts w:ascii="Arial" w:hAnsi="Arial" w:cs="Arial"/>
          <w:sz w:val="24"/>
          <w:szCs w:val="24"/>
        </w:rPr>
        <w:t xml:space="preserve">applicants’ review </w:t>
      </w:r>
      <w:r w:rsidR="007A79B3" w:rsidRPr="00DA0DA5">
        <w:rPr>
          <w:rFonts w:ascii="Arial" w:hAnsi="Arial" w:cs="Arial"/>
          <w:i/>
          <w:iCs/>
          <w:sz w:val="24"/>
          <w:szCs w:val="24"/>
        </w:rPr>
        <w:t>in medias res</w:t>
      </w:r>
      <w:r w:rsidR="007A79B3" w:rsidRPr="00DA0DA5">
        <w:rPr>
          <w:rFonts w:ascii="Arial" w:hAnsi="Arial" w:cs="Arial"/>
          <w:sz w:val="24"/>
          <w:szCs w:val="24"/>
        </w:rPr>
        <w:t>.</w:t>
      </w:r>
    </w:p>
    <w:p w14:paraId="73778F78" w14:textId="77777777" w:rsidR="00C75680" w:rsidRDefault="00C75680" w:rsidP="00C75680">
      <w:pPr>
        <w:pStyle w:val="ListParagraph"/>
        <w:spacing w:after="0" w:line="480" w:lineRule="auto"/>
        <w:ind w:left="851"/>
        <w:jc w:val="both"/>
        <w:rPr>
          <w:rFonts w:ascii="Arial" w:hAnsi="Arial" w:cs="Arial"/>
          <w:sz w:val="24"/>
          <w:szCs w:val="24"/>
        </w:rPr>
      </w:pPr>
    </w:p>
    <w:p w14:paraId="03C5B324" w14:textId="0E467457" w:rsidR="00C75680" w:rsidRPr="00DA0DA5" w:rsidRDefault="00DA0DA5" w:rsidP="00DA0DA5">
      <w:pPr>
        <w:spacing w:after="0" w:line="480" w:lineRule="auto"/>
        <w:ind w:left="851" w:hanging="851"/>
        <w:jc w:val="both"/>
        <w:rPr>
          <w:rFonts w:ascii="Arial" w:hAnsi="Arial" w:cs="Arial"/>
          <w:sz w:val="24"/>
          <w:szCs w:val="24"/>
        </w:rPr>
      </w:pPr>
      <w:r w:rsidRPr="00C75680">
        <w:rPr>
          <w:rFonts w:ascii="Arial" w:hAnsi="Arial" w:cs="Arial"/>
          <w:sz w:val="24"/>
          <w:szCs w:val="24"/>
        </w:rPr>
        <w:t>[39]</w:t>
      </w:r>
      <w:r w:rsidRPr="00C75680">
        <w:rPr>
          <w:rFonts w:ascii="Arial" w:hAnsi="Arial" w:cs="Arial"/>
          <w:sz w:val="24"/>
          <w:szCs w:val="24"/>
        </w:rPr>
        <w:tab/>
      </w:r>
      <w:r w:rsidR="00C75680" w:rsidRPr="00DA0DA5">
        <w:rPr>
          <w:rFonts w:ascii="Arial" w:hAnsi="Arial" w:cs="Arial"/>
          <w:sz w:val="24"/>
          <w:szCs w:val="24"/>
        </w:rPr>
        <w:t xml:space="preserve">Even if </w:t>
      </w:r>
      <w:r w:rsidR="00500AE2" w:rsidRPr="00DA0DA5">
        <w:rPr>
          <w:rFonts w:ascii="Arial" w:hAnsi="Arial" w:cs="Arial"/>
          <w:sz w:val="24"/>
          <w:szCs w:val="24"/>
        </w:rPr>
        <w:t xml:space="preserve">I am incorrect in this conclusion, </w:t>
      </w:r>
      <w:r w:rsidR="00C75680" w:rsidRPr="00DA0DA5">
        <w:rPr>
          <w:rFonts w:ascii="Arial" w:hAnsi="Arial" w:cs="Arial"/>
          <w:sz w:val="24"/>
          <w:szCs w:val="24"/>
        </w:rPr>
        <w:t xml:space="preserve">whether or not the applicants are satisfied with the result of the objection proceedings, there can be no doubt that the second respondent considered the applicants’ grounds of objection and applied his mind thereto in deliberating the issues before him.  This much is clear from a reading of the ruling in question.  There is nothing from the </w:t>
      </w:r>
      <w:r w:rsidR="00AF7B87" w:rsidRPr="00DA0DA5">
        <w:rPr>
          <w:rFonts w:ascii="Arial" w:hAnsi="Arial" w:cs="Arial"/>
          <w:sz w:val="24"/>
          <w:szCs w:val="24"/>
        </w:rPr>
        <w:t>s</w:t>
      </w:r>
      <w:r w:rsidR="00C75680" w:rsidRPr="00DA0DA5">
        <w:rPr>
          <w:rFonts w:ascii="Arial" w:hAnsi="Arial" w:cs="Arial"/>
          <w:sz w:val="24"/>
          <w:szCs w:val="24"/>
        </w:rPr>
        <w:t>econd respondent’s reasons from which it is apparent that his mind was not in a state to enable him to try the matter fairly</w:t>
      </w:r>
      <w:r w:rsidR="00433A1E" w:rsidRPr="00DA0DA5">
        <w:rPr>
          <w:rFonts w:ascii="Arial" w:hAnsi="Arial" w:cs="Arial"/>
          <w:sz w:val="24"/>
          <w:szCs w:val="24"/>
        </w:rPr>
        <w:t xml:space="preserve"> or that his conduct prevented a fair trial of the issues.</w:t>
      </w:r>
      <w:r w:rsidR="00F02B98" w:rsidRPr="00DA0DA5">
        <w:rPr>
          <w:rFonts w:ascii="Arial" w:hAnsi="Arial" w:cs="Arial"/>
          <w:sz w:val="24"/>
          <w:szCs w:val="24"/>
        </w:rPr>
        <w:t xml:space="preserve">  </w:t>
      </w:r>
    </w:p>
    <w:p w14:paraId="6966D4DF" w14:textId="73BE323E" w:rsidR="00AB445F"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500AE2" w:rsidRPr="00DA0DA5">
        <w:rPr>
          <w:rFonts w:ascii="Arial" w:hAnsi="Arial" w:cs="Arial"/>
          <w:sz w:val="24"/>
          <w:szCs w:val="24"/>
        </w:rPr>
        <w:t xml:space="preserve">I am </w:t>
      </w:r>
      <w:r w:rsidR="00784E56" w:rsidRPr="00DA0DA5">
        <w:rPr>
          <w:rFonts w:ascii="Arial" w:hAnsi="Arial" w:cs="Arial"/>
          <w:sz w:val="24"/>
          <w:szCs w:val="24"/>
        </w:rPr>
        <w:t xml:space="preserve">not persuaded that the applicants have shown </w:t>
      </w:r>
      <w:r w:rsidR="003065F3" w:rsidRPr="00DA0DA5">
        <w:rPr>
          <w:rFonts w:ascii="Arial" w:hAnsi="Arial" w:cs="Arial"/>
          <w:sz w:val="24"/>
          <w:szCs w:val="24"/>
        </w:rPr>
        <w:t>the presence of any of the grounds referred to in section 22 of the Superior Courts Act</w:t>
      </w:r>
      <w:r w:rsidR="00500AE2" w:rsidRPr="00DA0DA5">
        <w:rPr>
          <w:rFonts w:ascii="Arial" w:hAnsi="Arial" w:cs="Arial"/>
          <w:sz w:val="24"/>
          <w:szCs w:val="24"/>
        </w:rPr>
        <w:t xml:space="preserve">; nor have they demonstrated that there </w:t>
      </w:r>
      <w:r w:rsidR="00AB445F" w:rsidRPr="00DA0DA5">
        <w:rPr>
          <w:rFonts w:ascii="Arial" w:hAnsi="Arial" w:cs="Arial"/>
          <w:sz w:val="24"/>
          <w:szCs w:val="24"/>
        </w:rPr>
        <w:t>are circumstances to satisfy this court that absent an intervention at this stage, grave injustice may result, such as to materially prejudice the applicants, which could not, in due course be corrected on review or appeal.  I deal with this in greater detail below.</w:t>
      </w:r>
    </w:p>
    <w:p w14:paraId="29016BFE" w14:textId="77777777" w:rsidR="00AB445F" w:rsidRPr="00AB445F" w:rsidRDefault="00AB445F" w:rsidP="00F02B98">
      <w:pPr>
        <w:pStyle w:val="ListParagraph"/>
        <w:spacing w:after="0" w:line="480" w:lineRule="auto"/>
        <w:rPr>
          <w:rFonts w:ascii="Arial" w:hAnsi="Arial" w:cs="Arial"/>
          <w:sz w:val="24"/>
          <w:szCs w:val="24"/>
        </w:rPr>
      </w:pPr>
    </w:p>
    <w:p w14:paraId="4F3C768A" w14:textId="131DE611" w:rsidR="00784E56"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B445F" w:rsidRPr="00DA0DA5">
        <w:rPr>
          <w:rFonts w:ascii="Arial" w:hAnsi="Arial" w:cs="Arial"/>
          <w:sz w:val="24"/>
          <w:szCs w:val="24"/>
        </w:rPr>
        <w:t>A</w:t>
      </w:r>
      <w:r w:rsidR="00E84155" w:rsidRPr="00DA0DA5">
        <w:rPr>
          <w:rFonts w:ascii="Arial" w:hAnsi="Arial" w:cs="Arial"/>
          <w:sz w:val="24"/>
          <w:szCs w:val="24"/>
        </w:rPr>
        <w:t>ccordingly</w:t>
      </w:r>
      <w:r w:rsidR="00A4368D" w:rsidRPr="00DA0DA5">
        <w:rPr>
          <w:rFonts w:ascii="Arial" w:hAnsi="Arial" w:cs="Arial"/>
          <w:sz w:val="24"/>
          <w:szCs w:val="24"/>
        </w:rPr>
        <w:t>,</w:t>
      </w:r>
      <w:r w:rsidR="00E84155" w:rsidRPr="00DA0DA5">
        <w:rPr>
          <w:rFonts w:ascii="Arial" w:hAnsi="Arial" w:cs="Arial"/>
          <w:sz w:val="24"/>
          <w:szCs w:val="24"/>
        </w:rPr>
        <w:t xml:space="preserve"> the applicants’ application</w:t>
      </w:r>
      <w:r w:rsidR="00414DAB" w:rsidRPr="00DA0DA5">
        <w:rPr>
          <w:rFonts w:ascii="Arial" w:hAnsi="Arial" w:cs="Arial"/>
          <w:sz w:val="24"/>
          <w:szCs w:val="24"/>
        </w:rPr>
        <w:t xml:space="preserve"> for review</w:t>
      </w:r>
      <w:r w:rsidR="00D57441" w:rsidRPr="00DA0DA5">
        <w:rPr>
          <w:rFonts w:ascii="Arial" w:hAnsi="Arial" w:cs="Arial"/>
          <w:sz w:val="24"/>
          <w:szCs w:val="24"/>
        </w:rPr>
        <w:t xml:space="preserve"> </w:t>
      </w:r>
      <w:r w:rsidR="00D57441" w:rsidRPr="00DA0DA5">
        <w:rPr>
          <w:rFonts w:ascii="Arial" w:hAnsi="Arial" w:cs="Arial"/>
          <w:i/>
          <w:iCs/>
          <w:sz w:val="24"/>
          <w:szCs w:val="24"/>
        </w:rPr>
        <w:t>in medias res</w:t>
      </w:r>
      <w:r w:rsidR="00ED6539" w:rsidRPr="00DA0DA5">
        <w:rPr>
          <w:rFonts w:ascii="Arial" w:hAnsi="Arial" w:cs="Arial"/>
          <w:sz w:val="24"/>
          <w:szCs w:val="24"/>
        </w:rPr>
        <w:t>, must</w:t>
      </w:r>
      <w:r w:rsidR="00E84155" w:rsidRPr="00DA0DA5">
        <w:rPr>
          <w:rFonts w:ascii="Arial" w:hAnsi="Arial" w:cs="Arial"/>
          <w:sz w:val="24"/>
          <w:szCs w:val="24"/>
        </w:rPr>
        <w:t xml:space="preserve">, on </w:t>
      </w:r>
      <w:r w:rsidR="00AB445F" w:rsidRPr="00DA0DA5">
        <w:rPr>
          <w:rFonts w:ascii="Arial" w:hAnsi="Arial" w:cs="Arial"/>
          <w:sz w:val="24"/>
          <w:szCs w:val="24"/>
        </w:rPr>
        <w:t>either of these additional grounds</w:t>
      </w:r>
      <w:r w:rsidR="00ED6539" w:rsidRPr="00DA0DA5">
        <w:rPr>
          <w:rFonts w:ascii="Arial" w:hAnsi="Arial" w:cs="Arial"/>
          <w:sz w:val="24"/>
          <w:szCs w:val="24"/>
        </w:rPr>
        <w:t>,</w:t>
      </w:r>
      <w:r w:rsidR="00AB445F" w:rsidRPr="00DA0DA5">
        <w:rPr>
          <w:rFonts w:ascii="Arial" w:hAnsi="Arial" w:cs="Arial"/>
          <w:sz w:val="24"/>
          <w:szCs w:val="24"/>
        </w:rPr>
        <w:t xml:space="preserve"> meet</w:t>
      </w:r>
      <w:r w:rsidR="00E84155" w:rsidRPr="00DA0DA5">
        <w:rPr>
          <w:rFonts w:ascii="Arial" w:hAnsi="Arial" w:cs="Arial"/>
          <w:sz w:val="24"/>
          <w:szCs w:val="24"/>
        </w:rPr>
        <w:t xml:space="preserve"> the same fate.</w:t>
      </w:r>
    </w:p>
    <w:p w14:paraId="5D9C72EF" w14:textId="6F7EDE00" w:rsidR="00784E56" w:rsidRDefault="00784E56" w:rsidP="00EC393C">
      <w:pPr>
        <w:spacing w:after="0" w:line="480" w:lineRule="auto"/>
        <w:rPr>
          <w:rFonts w:ascii="Arial" w:hAnsi="Arial" w:cs="Arial"/>
          <w:sz w:val="24"/>
          <w:szCs w:val="24"/>
        </w:rPr>
      </w:pPr>
    </w:p>
    <w:p w14:paraId="4B7D640C" w14:textId="5834AAA7" w:rsidR="00EC393C" w:rsidRPr="00922752" w:rsidRDefault="00EC393C" w:rsidP="00EC393C">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Applicants’ request for a </w:t>
      </w:r>
      <w:r w:rsidRPr="000B5F47">
        <w:rPr>
          <w:rFonts w:ascii="Arial" w:hAnsi="Arial" w:cs="Arial"/>
          <w:b/>
          <w:bCs/>
          <w:i/>
          <w:iCs/>
          <w:sz w:val="24"/>
          <w:szCs w:val="24"/>
          <w:u w:val="single"/>
        </w:rPr>
        <w:t>mandamus</w:t>
      </w:r>
    </w:p>
    <w:p w14:paraId="655A1250" w14:textId="77777777" w:rsidR="00EC393C" w:rsidRPr="00EC393C" w:rsidRDefault="00EC393C" w:rsidP="00EC393C">
      <w:pPr>
        <w:spacing w:after="0" w:line="480" w:lineRule="auto"/>
        <w:rPr>
          <w:rFonts w:ascii="Arial" w:hAnsi="Arial" w:cs="Arial"/>
          <w:sz w:val="24"/>
          <w:szCs w:val="24"/>
        </w:rPr>
      </w:pPr>
    </w:p>
    <w:p w14:paraId="2536A0B6" w14:textId="3512C06B" w:rsidR="00A060A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278D9" w:rsidRPr="00DA0DA5">
        <w:rPr>
          <w:rFonts w:ascii="Arial" w:hAnsi="Arial" w:cs="Arial"/>
          <w:sz w:val="24"/>
          <w:szCs w:val="24"/>
        </w:rPr>
        <w:t xml:space="preserve">Having previously established that </w:t>
      </w:r>
      <w:r w:rsidR="0042594F" w:rsidRPr="00DA0DA5">
        <w:rPr>
          <w:rFonts w:ascii="Arial" w:hAnsi="Arial" w:cs="Arial"/>
          <w:sz w:val="24"/>
          <w:szCs w:val="24"/>
        </w:rPr>
        <w:t xml:space="preserve">the applicants have failed to set out any circumstances which warrant the interference of this court at the present juncture, it follows that whilst the </w:t>
      </w:r>
      <w:r w:rsidR="00F278D9" w:rsidRPr="00DA0DA5">
        <w:rPr>
          <w:rFonts w:ascii="Arial" w:hAnsi="Arial" w:cs="Arial"/>
          <w:sz w:val="24"/>
          <w:szCs w:val="24"/>
        </w:rPr>
        <w:t>court</w:t>
      </w:r>
      <w:r w:rsidR="00951639" w:rsidRPr="00DA0DA5">
        <w:rPr>
          <w:rFonts w:ascii="Arial" w:hAnsi="Arial" w:cs="Arial"/>
          <w:sz w:val="24"/>
          <w:szCs w:val="24"/>
        </w:rPr>
        <w:t>, in principle,</w:t>
      </w:r>
      <w:r w:rsidR="00F278D9" w:rsidRPr="00DA0DA5">
        <w:rPr>
          <w:rFonts w:ascii="Arial" w:hAnsi="Arial" w:cs="Arial"/>
          <w:sz w:val="24"/>
          <w:szCs w:val="24"/>
        </w:rPr>
        <w:t xml:space="preserve"> has the power to order a </w:t>
      </w:r>
      <w:r w:rsidR="00F278D9" w:rsidRPr="00DA0DA5">
        <w:rPr>
          <w:rFonts w:ascii="Arial" w:hAnsi="Arial" w:cs="Arial"/>
          <w:i/>
          <w:iCs/>
          <w:sz w:val="24"/>
          <w:szCs w:val="24"/>
        </w:rPr>
        <w:t>mandamus</w:t>
      </w:r>
      <w:r w:rsidR="00F278D9" w:rsidRPr="00DA0DA5">
        <w:rPr>
          <w:rFonts w:ascii="Arial" w:hAnsi="Arial" w:cs="Arial"/>
          <w:sz w:val="24"/>
          <w:szCs w:val="24"/>
        </w:rPr>
        <w:t xml:space="preserve"> in proceedings of this nature, </w:t>
      </w:r>
      <w:r w:rsidR="0042594F" w:rsidRPr="00DA0DA5">
        <w:rPr>
          <w:rFonts w:ascii="Arial" w:hAnsi="Arial" w:cs="Arial"/>
          <w:sz w:val="24"/>
          <w:szCs w:val="24"/>
        </w:rPr>
        <w:t>the applicants’ application</w:t>
      </w:r>
      <w:r w:rsidR="00951639" w:rsidRPr="00DA0DA5">
        <w:rPr>
          <w:rFonts w:ascii="Arial" w:hAnsi="Arial" w:cs="Arial"/>
          <w:sz w:val="24"/>
          <w:szCs w:val="24"/>
        </w:rPr>
        <w:t>, in the particular circumstances of this matter,</w:t>
      </w:r>
      <w:r w:rsidR="0042594F" w:rsidRPr="00DA0DA5">
        <w:rPr>
          <w:rFonts w:ascii="Arial" w:hAnsi="Arial" w:cs="Arial"/>
          <w:sz w:val="24"/>
          <w:szCs w:val="24"/>
        </w:rPr>
        <w:t xml:space="preserve"> must fail.  </w:t>
      </w:r>
    </w:p>
    <w:p w14:paraId="186D1272" w14:textId="77777777" w:rsidR="00636893" w:rsidRDefault="00636893" w:rsidP="006C3645">
      <w:pPr>
        <w:pStyle w:val="ListParagraph"/>
        <w:spacing w:after="0" w:line="480" w:lineRule="auto"/>
        <w:ind w:left="851"/>
        <w:jc w:val="both"/>
        <w:rPr>
          <w:rFonts w:ascii="Arial" w:hAnsi="Arial" w:cs="Arial"/>
          <w:sz w:val="24"/>
          <w:szCs w:val="24"/>
        </w:rPr>
      </w:pPr>
    </w:p>
    <w:p w14:paraId="7A970AE0" w14:textId="5BF76CF3" w:rsidR="0063689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36893" w:rsidRPr="00DA0DA5">
        <w:rPr>
          <w:rFonts w:ascii="Arial" w:hAnsi="Arial" w:cs="Arial"/>
          <w:sz w:val="24"/>
          <w:szCs w:val="24"/>
        </w:rPr>
        <w:t xml:space="preserve">What follows are my reasons for the aforesaid conclusion. </w:t>
      </w:r>
    </w:p>
    <w:p w14:paraId="5E6CF78A" w14:textId="77777777" w:rsidR="006C3645" w:rsidRPr="006C3645" w:rsidRDefault="006C3645" w:rsidP="006C3645">
      <w:pPr>
        <w:pStyle w:val="ListParagraph"/>
        <w:spacing w:after="0" w:line="480" w:lineRule="auto"/>
        <w:rPr>
          <w:rFonts w:ascii="Arial" w:hAnsi="Arial" w:cs="Arial"/>
          <w:sz w:val="24"/>
          <w:szCs w:val="24"/>
        </w:rPr>
      </w:pPr>
    </w:p>
    <w:p w14:paraId="45CA33CA" w14:textId="061404D9" w:rsidR="00951639"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C3645" w:rsidRPr="00DA0DA5">
        <w:rPr>
          <w:rFonts w:ascii="Arial" w:hAnsi="Arial" w:cs="Arial"/>
          <w:sz w:val="24"/>
          <w:szCs w:val="24"/>
        </w:rPr>
        <w:t xml:space="preserve">Prior to </w:t>
      </w:r>
      <w:r w:rsidR="00951639" w:rsidRPr="00DA0DA5">
        <w:rPr>
          <w:rFonts w:ascii="Arial" w:hAnsi="Arial" w:cs="Arial"/>
          <w:sz w:val="24"/>
          <w:szCs w:val="24"/>
        </w:rPr>
        <w:t>giving context to the</w:t>
      </w:r>
      <w:r w:rsidR="006C3645" w:rsidRPr="00DA0DA5">
        <w:rPr>
          <w:rFonts w:ascii="Arial" w:hAnsi="Arial" w:cs="Arial"/>
          <w:sz w:val="24"/>
          <w:szCs w:val="24"/>
        </w:rPr>
        <w:t xml:space="preserve"> applicants’ complaints in respect of the charges</w:t>
      </w:r>
      <w:r w:rsidR="00C82F9B" w:rsidRPr="00DA0DA5">
        <w:rPr>
          <w:rFonts w:ascii="Arial" w:hAnsi="Arial" w:cs="Arial"/>
          <w:sz w:val="24"/>
          <w:szCs w:val="24"/>
        </w:rPr>
        <w:t xml:space="preserve"> in further detail,</w:t>
      </w:r>
      <w:r w:rsidR="006C3645" w:rsidRPr="00DA0DA5">
        <w:rPr>
          <w:rFonts w:ascii="Arial" w:hAnsi="Arial" w:cs="Arial"/>
          <w:sz w:val="24"/>
          <w:szCs w:val="24"/>
        </w:rPr>
        <w:t xml:space="preserve"> it is significant that the applicants, </w:t>
      </w:r>
      <w:r w:rsidR="00B77EFA" w:rsidRPr="00DA0DA5">
        <w:rPr>
          <w:rFonts w:ascii="Arial" w:hAnsi="Arial" w:cs="Arial"/>
          <w:sz w:val="24"/>
          <w:szCs w:val="24"/>
        </w:rPr>
        <w:t xml:space="preserve">whilst they arrive at certain conclusions </w:t>
      </w:r>
      <w:r w:rsidR="0042594F" w:rsidRPr="00DA0DA5">
        <w:rPr>
          <w:rFonts w:ascii="Arial" w:hAnsi="Arial" w:cs="Arial"/>
          <w:sz w:val="24"/>
          <w:szCs w:val="24"/>
        </w:rPr>
        <w:t xml:space="preserve">of fact and law, </w:t>
      </w:r>
      <w:r w:rsidR="00C82F9B" w:rsidRPr="00DA0DA5">
        <w:rPr>
          <w:rFonts w:ascii="Arial" w:hAnsi="Arial" w:cs="Arial"/>
          <w:sz w:val="24"/>
          <w:szCs w:val="24"/>
        </w:rPr>
        <w:t xml:space="preserve">have failed to set out a factual foundation </w:t>
      </w:r>
      <w:r w:rsidR="00B85A49" w:rsidRPr="00DA0DA5">
        <w:rPr>
          <w:rFonts w:ascii="Arial" w:hAnsi="Arial" w:cs="Arial"/>
          <w:sz w:val="24"/>
          <w:szCs w:val="24"/>
        </w:rPr>
        <w:t xml:space="preserve">therefor. </w:t>
      </w:r>
    </w:p>
    <w:p w14:paraId="7931AE9C" w14:textId="77777777" w:rsidR="00951639" w:rsidRPr="00951639" w:rsidRDefault="00951639" w:rsidP="00951639">
      <w:pPr>
        <w:pStyle w:val="ListParagraph"/>
        <w:spacing w:after="0" w:line="480" w:lineRule="auto"/>
        <w:rPr>
          <w:rFonts w:ascii="Arial" w:hAnsi="Arial" w:cs="Arial"/>
          <w:sz w:val="24"/>
          <w:szCs w:val="24"/>
        </w:rPr>
      </w:pPr>
    </w:p>
    <w:p w14:paraId="745A05BD" w14:textId="7A47CF26" w:rsidR="00951639"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951639" w:rsidRPr="00DA0DA5">
        <w:rPr>
          <w:rFonts w:ascii="Arial" w:hAnsi="Arial" w:cs="Arial"/>
          <w:sz w:val="24"/>
          <w:szCs w:val="24"/>
        </w:rPr>
        <w:t>The highwater mark of the applicants’ case is that (i) “</w:t>
      </w:r>
      <w:r w:rsidR="00951639" w:rsidRPr="00DA0DA5">
        <w:rPr>
          <w:rFonts w:ascii="Arial" w:hAnsi="Arial" w:cs="Arial"/>
          <w:i/>
          <w:iCs/>
          <w:sz w:val="20"/>
          <w:szCs w:val="20"/>
        </w:rPr>
        <w:t>a gross injustice has resulted</w:t>
      </w:r>
      <w:r w:rsidR="00951639" w:rsidRPr="00DA0DA5">
        <w:rPr>
          <w:rFonts w:ascii="Arial" w:hAnsi="Arial" w:cs="Arial"/>
          <w:sz w:val="24"/>
          <w:szCs w:val="24"/>
        </w:rPr>
        <w:t>” given the ruling of the second respondent; (ii) the second respondent’s failure to consider the replies to the request for particulars, with specific reference to count’s 3 and 5, adequately or at all, “</w:t>
      </w:r>
      <w:r w:rsidR="00951639" w:rsidRPr="00DA0DA5">
        <w:rPr>
          <w:rFonts w:ascii="Arial" w:hAnsi="Arial" w:cs="Arial"/>
          <w:i/>
          <w:iCs/>
          <w:sz w:val="20"/>
          <w:szCs w:val="20"/>
        </w:rPr>
        <w:t>was a gross irregularity and irreparably infringed</w:t>
      </w:r>
      <w:r w:rsidR="00951639" w:rsidRPr="00DA0DA5">
        <w:rPr>
          <w:rFonts w:ascii="Arial" w:hAnsi="Arial" w:cs="Arial"/>
          <w:sz w:val="24"/>
          <w:szCs w:val="24"/>
        </w:rPr>
        <w:t>” the second applicant’s “</w:t>
      </w:r>
      <w:r w:rsidR="00951639" w:rsidRPr="00DA0DA5">
        <w:rPr>
          <w:rFonts w:ascii="Arial" w:hAnsi="Arial" w:cs="Arial"/>
          <w:i/>
          <w:iCs/>
          <w:sz w:val="20"/>
          <w:szCs w:val="20"/>
        </w:rPr>
        <w:t>right to a fair trial</w:t>
      </w:r>
      <w:r w:rsidR="00951639" w:rsidRPr="00DA0DA5">
        <w:rPr>
          <w:rFonts w:ascii="Arial" w:hAnsi="Arial" w:cs="Arial"/>
          <w:sz w:val="24"/>
          <w:szCs w:val="24"/>
        </w:rPr>
        <w:t xml:space="preserve">”; </w:t>
      </w:r>
      <w:r w:rsidR="00BF3FA8" w:rsidRPr="00DA0DA5">
        <w:rPr>
          <w:rFonts w:ascii="Arial" w:hAnsi="Arial" w:cs="Arial"/>
          <w:sz w:val="24"/>
          <w:szCs w:val="24"/>
        </w:rPr>
        <w:t xml:space="preserve">(iii) the charges lack particularity especially insofar as they concern the </w:t>
      </w:r>
      <w:r w:rsidR="00273DE2" w:rsidRPr="00DA0DA5">
        <w:rPr>
          <w:rFonts w:ascii="Arial" w:hAnsi="Arial" w:cs="Arial"/>
          <w:sz w:val="24"/>
          <w:szCs w:val="24"/>
        </w:rPr>
        <w:t>second applicant, in his personal capacity, and accordingly, the second respondent “</w:t>
      </w:r>
      <w:r w:rsidR="00273DE2" w:rsidRPr="00DA0DA5">
        <w:rPr>
          <w:rFonts w:ascii="Arial" w:hAnsi="Arial" w:cs="Arial"/>
          <w:i/>
          <w:iCs/>
          <w:sz w:val="20"/>
          <w:szCs w:val="20"/>
        </w:rPr>
        <w:t>did not consider that</w:t>
      </w:r>
      <w:r w:rsidR="00273DE2" w:rsidRPr="00DA0DA5">
        <w:rPr>
          <w:rFonts w:ascii="Arial" w:hAnsi="Arial" w:cs="Arial"/>
          <w:sz w:val="24"/>
          <w:szCs w:val="24"/>
        </w:rPr>
        <w:t>” the second applicant’s “</w:t>
      </w:r>
      <w:r w:rsidR="00273DE2" w:rsidRPr="00DA0DA5">
        <w:rPr>
          <w:rFonts w:ascii="Arial" w:hAnsi="Arial" w:cs="Arial"/>
          <w:i/>
          <w:iCs/>
          <w:sz w:val="20"/>
          <w:szCs w:val="20"/>
        </w:rPr>
        <w:t>fair trial rights as well as that of the First Applicant have been negated alternatively infringed</w:t>
      </w:r>
      <w:r w:rsidR="00273DE2" w:rsidRPr="00DA0DA5">
        <w:rPr>
          <w:rFonts w:ascii="Arial" w:hAnsi="Arial" w:cs="Arial"/>
          <w:sz w:val="24"/>
          <w:szCs w:val="24"/>
        </w:rPr>
        <w:t xml:space="preserve">”; </w:t>
      </w:r>
      <w:r w:rsidR="00951639" w:rsidRPr="00DA0DA5">
        <w:rPr>
          <w:rFonts w:ascii="Arial" w:hAnsi="Arial" w:cs="Arial"/>
          <w:sz w:val="24"/>
          <w:szCs w:val="24"/>
        </w:rPr>
        <w:t>and (i</w:t>
      </w:r>
      <w:r w:rsidR="00273DE2" w:rsidRPr="00DA0DA5">
        <w:rPr>
          <w:rFonts w:ascii="Arial" w:hAnsi="Arial" w:cs="Arial"/>
          <w:sz w:val="24"/>
          <w:szCs w:val="24"/>
        </w:rPr>
        <w:t>v</w:t>
      </w:r>
      <w:r w:rsidR="00951639" w:rsidRPr="00DA0DA5">
        <w:rPr>
          <w:rFonts w:ascii="Arial" w:hAnsi="Arial" w:cs="Arial"/>
          <w:sz w:val="24"/>
          <w:szCs w:val="24"/>
        </w:rPr>
        <w:t>) the second respondent’s failure to properly consider that the forgery charges, at best, lack particularity as to the second applicant’s involvement and that such failure “</w:t>
      </w:r>
      <w:r w:rsidR="00951639" w:rsidRPr="00DA0DA5">
        <w:rPr>
          <w:rFonts w:ascii="Arial" w:hAnsi="Arial" w:cs="Arial"/>
          <w:i/>
          <w:iCs/>
          <w:sz w:val="20"/>
          <w:szCs w:val="20"/>
        </w:rPr>
        <w:t>amounts to a gross irregularity and a negation of</w:t>
      </w:r>
      <w:r w:rsidR="00951639" w:rsidRPr="00DA0DA5">
        <w:rPr>
          <w:rFonts w:ascii="Arial" w:hAnsi="Arial" w:cs="Arial"/>
          <w:sz w:val="24"/>
          <w:szCs w:val="24"/>
        </w:rPr>
        <w:t xml:space="preserve">” the second </w:t>
      </w:r>
      <w:r w:rsidR="00D11E19" w:rsidRPr="00DA0DA5">
        <w:rPr>
          <w:rFonts w:ascii="Arial" w:hAnsi="Arial" w:cs="Arial"/>
          <w:sz w:val="24"/>
          <w:szCs w:val="24"/>
        </w:rPr>
        <w:t>applicant</w:t>
      </w:r>
      <w:r w:rsidR="00951639" w:rsidRPr="00DA0DA5">
        <w:rPr>
          <w:rFonts w:ascii="Arial" w:hAnsi="Arial" w:cs="Arial"/>
          <w:sz w:val="24"/>
          <w:szCs w:val="24"/>
        </w:rPr>
        <w:t>’s “</w:t>
      </w:r>
      <w:r w:rsidR="00951639" w:rsidRPr="00DA0DA5">
        <w:rPr>
          <w:rFonts w:ascii="Arial" w:hAnsi="Arial" w:cs="Arial"/>
          <w:i/>
          <w:iCs/>
          <w:sz w:val="20"/>
          <w:szCs w:val="20"/>
        </w:rPr>
        <w:t>constitutional rights which would bring justice into disrepute</w:t>
      </w:r>
      <w:r w:rsidR="00951639" w:rsidRPr="00DA0DA5">
        <w:rPr>
          <w:rFonts w:ascii="Arial" w:hAnsi="Arial" w:cs="Arial"/>
          <w:sz w:val="24"/>
          <w:szCs w:val="24"/>
        </w:rPr>
        <w:t>.”</w:t>
      </w:r>
    </w:p>
    <w:p w14:paraId="2CB726E4" w14:textId="77777777" w:rsidR="00951639" w:rsidRDefault="00951639" w:rsidP="00273DE2">
      <w:pPr>
        <w:pStyle w:val="ListParagraph"/>
        <w:spacing w:after="0" w:line="480" w:lineRule="auto"/>
        <w:ind w:left="851"/>
        <w:jc w:val="both"/>
        <w:rPr>
          <w:rFonts w:ascii="Arial" w:hAnsi="Arial" w:cs="Arial"/>
          <w:sz w:val="24"/>
          <w:szCs w:val="24"/>
        </w:rPr>
      </w:pPr>
    </w:p>
    <w:p w14:paraId="586B600F" w14:textId="367B876F" w:rsidR="00BF3FA8"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51639" w:rsidRPr="00DA0DA5">
        <w:rPr>
          <w:rFonts w:ascii="Arial" w:hAnsi="Arial" w:cs="Arial"/>
          <w:sz w:val="24"/>
          <w:szCs w:val="24"/>
        </w:rPr>
        <w:t>However, notwithstanding the aforesaid</w:t>
      </w:r>
      <w:r w:rsidR="00ED6539" w:rsidRPr="00DA0DA5">
        <w:rPr>
          <w:rFonts w:ascii="Arial" w:hAnsi="Arial" w:cs="Arial"/>
          <w:sz w:val="24"/>
          <w:szCs w:val="24"/>
        </w:rPr>
        <w:t xml:space="preserve"> allegations</w:t>
      </w:r>
      <w:r w:rsidR="00951639" w:rsidRPr="00DA0DA5">
        <w:rPr>
          <w:rFonts w:ascii="Arial" w:hAnsi="Arial" w:cs="Arial"/>
          <w:sz w:val="24"/>
          <w:szCs w:val="24"/>
        </w:rPr>
        <w:t>, the applicants have failed to state (i) what grave injustice they contend may result, absent an intervention by th</w:t>
      </w:r>
      <w:r w:rsidR="00D87064" w:rsidRPr="00DA0DA5">
        <w:rPr>
          <w:rFonts w:ascii="Arial" w:hAnsi="Arial" w:cs="Arial"/>
          <w:sz w:val="24"/>
          <w:szCs w:val="24"/>
        </w:rPr>
        <w:t>is</w:t>
      </w:r>
      <w:r w:rsidR="00951639" w:rsidRPr="00DA0DA5">
        <w:rPr>
          <w:rFonts w:ascii="Arial" w:hAnsi="Arial" w:cs="Arial"/>
          <w:sz w:val="24"/>
          <w:szCs w:val="24"/>
        </w:rPr>
        <w:t xml:space="preserve"> court at </w:t>
      </w:r>
      <w:r w:rsidR="00385EFF" w:rsidRPr="00DA0DA5">
        <w:rPr>
          <w:rFonts w:ascii="Arial" w:hAnsi="Arial" w:cs="Arial"/>
          <w:sz w:val="24"/>
          <w:szCs w:val="24"/>
        </w:rPr>
        <w:t>the present</w:t>
      </w:r>
      <w:r w:rsidR="00951639" w:rsidRPr="00DA0DA5">
        <w:rPr>
          <w:rFonts w:ascii="Arial" w:hAnsi="Arial" w:cs="Arial"/>
          <w:sz w:val="24"/>
          <w:szCs w:val="24"/>
        </w:rPr>
        <w:t xml:space="preserve"> stage; </w:t>
      </w:r>
      <w:r w:rsidR="00BF3FA8" w:rsidRPr="00DA0DA5">
        <w:rPr>
          <w:rFonts w:ascii="Arial" w:hAnsi="Arial" w:cs="Arial"/>
          <w:sz w:val="24"/>
          <w:szCs w:val="24"/>
        </w:rPr>
        <w:t xml:space="preserve">and </w:t>
      </w:r>
      <w:r w:rsidR="00951639" w:rsidRPr="00DA0DA5">
        <w:rPr>
          <w:rFonts w:ascii="Arial" w:hAnsi="Arial" w:cs="Arial"/>
          <w:sz w:val="24"/>
          <w:szCs w:val="24"/>
        </w:rPr>
        <w:t>(ii) in what manner the applicants</w:t>
      </w:r>
      <w:r w:rsidR="00BF3FA8" w:rsidRPr="00DA0DA5">
        <w:rPr>
          <w:rFonts w:ascii="Arial" w:hAnsi="Arial" w:cs="Arial"/>
          <w:sz w:val="24"/>
          <w:szCs w:val="24"/>
        </w:rPr>
        <w:t xml:space="preserve"> are</w:t>
      </w:r>
      <w:r w:rsidR="00951639" w:rsidRPr="00DA0DA5">
        <w:rPr>
          <w:rFonts w:ascii="Arial" w:hAnsi="Arial" w:cs="Arial"/>
          <w:sz w:val="24"/>
          <w:szCs w:val="24"/>
        </w:rPr>
        <w:t xml:space="preserve"> </w:t>
      </w:r>
      <w:r w:rsidR="00BF3FA8" w:rsidRPr="00DA0DA5">
        <w:rPr>
          <w:rFonts w:ascii="Arial" w:hAnsi="Arial" w:cs="Arial"/>
          <w:sz w:val="24"/>
          <w:szCs w:val="24"/>
        </w:rPr>
        <w:t xml:space="preserve">materially </w:t>
      </w:r>
      <w:r w:rsidR="00951639" w:rsidRPr="00DA0DA5">
        <w:rPr>
          <w:rFonts w:ascii="Arial" w:hAnsi="Arial" w:cs="Arial"/>
          <w:sz w:val="24"/>
          <w:szCs w:val="24"/>
        </w:rPr>
        <w:t>prejudiced</w:t>
      </w:r>
      <w:r w:rsidR="00BF3FA8" w:rsidRPr="00DA0DA5">
        <w:rPr>
          <w:rFonts w:ascii="Arial" w:hAnsi="Arial" w:cs="Arial"/>
          <w:sz w:val="24"/>
          <w:szCs w:val="24"/>
        </w:rPr>
        <w:t>, which prejudice cannot, in due course, be corrected on review or appeal.</w:t>
      </w:r>
    </w:p>
    <w:p w14:paraId="2A511324" w14:textId="77777777" w:rsidR="00BF3FA8" w:rsidRPr="00BF3FA8" w:rsidRDefault="00BF3FA8" w:rsidP="008D18F0">
      <w:pPr>
        <w:pStyle w:val="ListParagraph"/>
        <w:spacing w:after="0" w:line="480" w:lineRule="auto"/>
        <w:rPr>
          <w:rFonts w:ascii="Arial" w:hAnsi="Arial" w:cs="Arial"/>
          <w:sz w:val="24"/>
          <w:szCs w:val="24"/>
        </w:rPr>
      </w:pPr>
    </w:p>
    <w:p w14:paraId="1F84446E" w14:textId="4C2DAA40" w:rsidR="00273DE2"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27352" w:rsidRPr="00DA0DA5">
        <w:rPr>
          <w:rFonts w:ascii="Arial" w:hAnsi="Arial" w:cs="Arial"/>
          <w:sz w:val="24"/>
          <w:szCs w:val="24"/>
        </w:rPr>
        <w:t xml:space="preserve">On a proper analysis, </w:t>
      </w:r>
      <w:r w:rsidR="00273DE2" w:rsidRPr="00DA0DA5">
        <w:rPr>
          <w:rFonts w:ascii="Arial" w:hAnsi="Arial" w:cs="Arial"/>
          <w:sz w:val="24"/>
          <w:szCs w:val="24"/>
        </w:rPr>
        <w:t>the applicants’ main contentions are that the second respondent failed to consider that the respective charges of fraud and forgery lack particularity as to</w:t>
      </w:r>
      <w:r w:rsidR="008D18F0" w:rsidRPr="00DA0DA5">
        <w:rPr>
          <w:rFonts w:ascii="Arial" w:hAnsi="Arial" w:cs="Arial"/>
          <w:sz w:val="24"/>
          <w:szCs w:val="24"/>
        </w:rPr>
        <w:t xml:space="preserve"> the</w:t>
      </w:r>
      <w:r w:rsidR="00273DE2" w:rsidRPr="00DA0DA5">
        <w:rPr>
          <w:rFonts w:ascii="Arial" w:hAnsi="Arial" w:cs="Arial"/>
          <w:sz w:val="24"/>
          <w:szCs w:val="24"/>
        </w:rPr>
        <w:t xml:space="preserve"> second applicant’s alleged involvement, in his personal capacity, and as such, such charges do not </w:t>
      </w:r>
      <w:r w:rsidR="00ED6539" w:rsidRPr="00DA0DA5">
        <w:rPr>
          <w:rFonts w:ascii="Arial" w:hAnsi="Arial" w:cs="Arial"/>
          <w:sz w:val="24"/>
          <w:szCs w:val="24"/>
        </w:rPr>
        <w:t>disclose offences.</w:t>
      </w:r>
      <w:r w:rsidR="00273DE2" w:rsidRPr="00DA0DA5">
        <w:rPr>
          <w:rFonts w:ascii="Arial" w:hAnsi="Arial" w:cs="Arial"/>
          <w:sz w:val="24"/>
          <w:szCs w:val="24"/>
        </w:rPr>
        <w:t xml:space="preserve"> </w:t>
      </w:r>
      <w:r w:rsidR="00412AA0" w:rsidRPr="00DA0DA5">
        <w:rPr>
          <w:rFonts w:ascii="Arial" w:hAnsi="Arial" w:cs="Arial"/>
          <w:sz w:val="24"/>
          <w:szCs w:val="24"/>
        </w:rPr>
        <w:t xml:space="preserve"> As a consequence, the applicants contend that they are entitled to an order for the </w:t>
      </w:r>
      <w:r w:rsidR="00412AA0" w:rsidRPr="00DA0DA5">
        <w:rPr>
          <w:rFonts w:ascii="Arial" w:hAnsi="Arial" w:cs="Arial"/>
          <w:sz w:val="24"/>
          <w:szCs w:val="24"/>
        </w:rPr>
        <w:lastRenderedPageBreak/>
        <w:t xml:space="preserve">quashing of the charges (which requires in the first instance a review of the second respondent’s decision, </w:t>
      </w:r>
      <w:r w:rsidR="0006268D" w:rsidRPr="00DA0DA5">
        <w:rPr>
          <w:rFonts w:ascii="Arial" w:hAnsi="Arial" w:cs="Arial"/>
          <w:sz w:val="24"/>
          <w:szCs w:val="24"/>
        </w:rPr>
        <w:t xml:space="preserve">and </w:t>
      </w:r>
      <w:r w:rsidR="00412AA0" w:rsidRPr="00DA0DA5">
        <w:rPr>
          <w:rFonts w:ascii="Arial" w:hAnsi="Arial" w:cs="Arial"/>
          <w:sz w:val="24"/>
          <w:szCs w:val="24"/>
        </w:rPr>
        <w:t>which aspect I have dealt with earlier in this judgment); alternative</w:t>
      </w:r>
      <w:r w:rsidR="00C23A4E" w:rsidRPr="00DA0DA5">
        <w:rPr>
          <w:rFonts w:ascii="Arial" w:hAnsi="Arial" w:cs="Arial"/>
          <w:sz w:val="24"/>
          <w:szCs w:val="24"/>
        </w:rPr>
        <w:t>ly</w:t>
      </w:r>
      <w:r w:rsidR="00412AA0" w:rsidRPr="00DA0DA5">
        <w:rPr>
          <w:rFonts w:ascii="Arial" w:hAnsi="Arial" w:cs="Arial"/>
          <w:sz w:val="24"/>
          <w:szCs w:val="24"/>
        </w:rPr>
        <w:t xml:space="preserve">, to a </w:t>
      </w:r>
      <w:r w:rsidR="00412AA0" w:rsidRPr="00DA0DA5">
        <w:rPr>
          <w:rFonts w:ascii="Arial" w:hAnsi="Arial" w:cs="Arial"/>
          <w:i/>
          <w:iCs/>
          <w:sz w:val="24"/>
          <w:szCs w:val="24"/>
        </w:rPr>
        <w:t>mandamus</w:t>
      </w:r>
      <w:r w:rsidR="00412AA0" w:rsidRPr="00DA0DA5">
        <w:rPr>
          <w:rFonts w:ascii="Arial" w:hAnsi="Arial" w:cs="Arial"/>
          <w:sz w:val="24"/>
          <w:szCs w:val="24"/>
        </w:rPr>
        <w:t xml:space="preserve"> directing the second respondent to order the delivery of the particulars sought.</w:t>
      </w:r>
      <w:r w:rsidR="00273DE2" w:rsidRPr="00DA0DA5">
        <w:rPr>
          <w:rFonts w:ascii="Arial" w:hAnsi="Arial" w:cs="Arial"/>
          <w:sz w:val="24"/>
          <w:szCs w:val="24"/>
        </w:rPr>
        <w:t xml:space="preserve"> </w:t>
      </w:r>
      <w:r w:rsidR="00393D19" w:rsidRPr="00DA0DA5">
        <w:rPr>
          <w:rFonts w:ascii="Arial" w:hAnsi="Arial" w:cs="Arial"/>
          <w:sz w:val="24"/>
          <w:szCs w:val="24"/>
        </w:rPr>
        <w:t xml:space="preserve"> It is this latter aspect</w:t>
      </w:r>
      <w:r w:rsidR="005828D0" w:rsidRPr="00DA0DA5">
        <w:rPr>
          <w:rFonts w:ascii="Arial" w:hAnsi="Arial" w:cs="Arial"/>
          <w:sz w:val="24"/>
          <w:szCs w:val="24"/>
        </w:rPr>
        <w:t>,</w:t>
      </w:r>
      <w:r w:rsidR="00393D19" w:rsidRPr="00DA0DA5">
        <w:rPr>
          <w:rFonts w:ascii="Arial" w:hAnsi="Arial" w:cs="Arial"/>
          <w:sz w:val="24"/>
          <w:szCs w:val="24"/>
        </w:rPr>
        <w:t xml:space="preserve"> which is currently under consideration.</w:t>
      </w:r>
    </w:p>
    <w:p w14:paraId="3041F379" w14:textId="77777777" w:rsidR="00273DE2" w:rsidRPr="00273DE2" w:rsidRDefault="00273DE2" w:rsidP="008D18F0">
      <w:pPr>
        <w:pStyle w:val="ListParagraph"/>
        <w:spacing w:after="0" w:line="480" w:lineRule="auto"/>
        <w:rPr>
          <w:rFonts w:ascii="Arial" w:hAnsi="Arial" w:cs="Arial"/>
          <w:sz w:val="24"/>
          <w:szCs w:val="24"/>
        </w:rPr>
      </w:pPr>
    </w:p>
    <w:p w14:paraId="1CD4E4F4" w14:textId="6681281D" w:rsidR="00E512E1" w:rsidRPr="00DA0DA5" w:rsidRDefault="00DA0DA5" w:rsidP="00DA0DA5">
      <w:pPr>
        <w:spacing w:after="0" w:line="480" w:lineRule="auto"/>
        <w:ind w:left="851" w:hanging="851"/>
        <w:jc w:val="both"/>
        <w:rPr>
          <w:rFonts w:ascii="Arial" w:hAnsi="Arial" w:cs="Arial"/>
          <w:sz w:val="24"/>
          <w:szCs w:val="24"/>
        </w:rPr>
      </w:pPr>
      <w:r w:rsidRPr="00E512E1">
        <w:rPr>
          <w:rFonts w:ascii="Arial" w:hAnsi="Arial" w:cs="Arial"/>
          <w:sz w:val="24"/>
          <w:szCs w:val="24"/>
        </w:rPr>
        <w:t>[48]</w:t>
      </w:r>
      <w:r w:rsidRPr="00E512E1">
        <w:rPr>
          <w:rFonts w:ascii="Arial" w:hAnsi="Arial" w:cs="Arial"/>
          <w:sz w:val="24"/>
          <w:szCs w:val="24"/>
        </w:rPr>
        <w:tab/>
      </w:r>
      <w:r w:rsidR="00E512E1" w:rsidRPr="00DA0DA5">
        <w:rPr>
          <w:rFonts w:ascii="Arial" w:hAnsi="Arial" w:cs="Arial"/>
          <w:sz w:val="24"/>
          <w:szCs w:val="24"/>
        </w:rPr>
        <w:t>At this juncture, it is apposite to revisit the respective definitions of fraud and forgery.  Whist fraud is the unlawful and intentional making of a misrepresentation, which causes actual prejudice or which is potentially prejudicial to another; forgery is the unlawful and intentional making of a false document to the actual or potential prejudice of another.</w:t>
      </w:r>
    </w:p>
    <w:p w14:paraId="3DF580E5" w14:textId="77777777" w:rsidR="007D7204" w:rsidRDefault="007D7204" w:rsidP="007D7204">
      <w:pPr>
        <w:spacing w:after="0" w:line="480" w:lineRule="auto"/>
        <w:rPr>
          <w:rFonts w:ascii="Arial" w:hAnsi="Arial" w:cs="Arial"/>
          <w:sz w:val="24"/>
          <w:szCs w:val="24"/>
          <w:u w:val="single"/>
        </w:rPr>
      </w:pPr>
    </w:p>
    <w:p w14:paraId="2E601CFD" w14:textId="45969C43" w:rsidR="00E512E1" w:rsidRPr="007D7204" w:rsidRDefault="007D7204" w:rsidP="007D7204">
      <w:pPr>
        <w:spacing w:after="0" w:line="480" w:lineRule="auto"/>
        <w:rPr>
          <w:rFonts w:ascii="Arial" w:hAnsi="Arial" w:cs="Arial"/>
          <w:sz w:val="24"/>
          <w:szCs w:val="24"/>
          <w:u w:val="single"/>
        </w:rPr>
      </w:pPr>
      <w:r w:rsidRPr="007D7204">
        <w:rPr>
          <w:rFonts w:ascii="Arial" w:hAnsi="Arial" w:cs="Arial"/>
          <w:sz w:val="24"/>
          <w:szCs w:val="24"/>
          <w:u w:val="single"/>
        </w:rPr>
        <w:t>Forgery</w:t>
      </w:r>
    </w:p>
    <w:p w14:paraId="5F4A554B" w14:textId="77777777" w:rsidR="007D7204" w:rsidRDefault="007D7204" w:rsidP="007D7204">
      <w:pPr>
        <w:pStyle w:val="ListParagraph"/>
        <w:spacing w:after="0" w:line="480" w:lineRule="auto"/>
        <w:ind w:left="851"/>
        <w:jc w:val="both"/>
        <w:rPr>
          <w:rFonts w:ascii="Arial" w:hAnsi="Arial" w:cs="Arial"/>
          <w:sz w:val="24"/>
          <w:szCs w:val="24"/>
        </w:rPr>
      </w:pPr>
    </w:p>
    <w:p w14:paraId="6F2E4545" w14:textId="59222091" w:rsidR="00C82F9B"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B1968" w:rsidRPr="00DA0DA5">
        <w:rPr>
          <w:rFonts w:ascii="Arial" w:hAnsi="Arial" w:cs="Arial"/>
          <w:sz w:val="24"/>
          <w:szCs w:val="24"/>
        </w:rPr>
        <w:t>I</w:t>
      </w:r>
      <w:r w:rsidR="006F23A1" w:rsidRPr="00DA0DA5">
        <w:rPr>
          <w:rFonts w:ascii="Arial" w:hAnsi="Arial" w:cs="Arial"/>
          <w:sz w:val="24"/>
          <w:szCs w:val="24"/>
        </w:rPr>
        <w:t xml:space="preserve">n respect of </w:t>
      </w:r>
      <w:r w:rsidR="00273DE2" w:rsidRPr="00DA0DA5">
        <w:rPr>
          <w:rFonts w:ascii="Arial" w:hAnsi="Arial" w:cs="Arial"/>
          <w:sz w:val="24"/>
          <w:szCs w:val="24"/>
        </w:rPr>
        <w:t>charges 3 and 5, being those of forgery</w:t>
      </w:r>
      <w:r w:rsidR="002E0162" w:rsidRPr="00DA0DA5">
        <w:rPr>
          <w:rFonts w:ascii="Arial" w:hAnsi="Arial" w:cs="Arial"/>
          <w:sz w:val="24"/>
          <w:szCs w:val="24"/>
        </w:rPr>
        <w:t xml:space="preserve"> as against the second applicant</w:t>
      </w:r>
      <w:r w:rsidR="006F23A1" w:rsidRPr="00DA0DA5">
        <w:rPr>
          <w:rFonts w:ascii="Arial" w:hAnsi="Arial" w:cs="Arial"/>
          <w:sz w:val="24"/>
          <w:szCs w:val="24"/>
        </w:rPr>
        <w:t>, the applicants contend that the</w:t>
      </w:r>
      <w:r w:rsidR="003D7A1C" w:rsidRPr="00DA0DA5">
        <w:rPr>
          <w:rFonts w:ascii="Arial" w:hAnsi="Arial" w:cs="Arial"/>
          <w:sz w:val="24"/>
          <w:szCs w:val="24"/>
        </w:rPr>
        <w:t xml:space="preserve"> </w:t>
      </w:r>
      <w:r w:rsidR="007E2B12" w:rsidRPr="00DA0DA5">
        <w:rPr>
          <w:rFonts w:ascii="Arial" w:hAnsi="Arial" w:cs="Arial"/>
          <w:sz w:val="24"/>
          <w:szCs w:val="24"/>
        </w:rPr>
        <w:t>charges fall foul of section 84(1) of the Act in that the</w:t>
      </w:r>
      <w:r w:rsidR="006F23A1" w:rsidRPr="00DA0DA5">
        <w:rPr>
          <w:rFonts w:ascii="Arial" w:hAnsi="Arial" w:cs="Arial"/>
          <w:sz w:val="24"/>
          <w:szCs w:val="24"/>
        </w:rPr>
        <w:t xml:space="preserve"> State does not know who forged the documents in question; when and where the said documents were forged; and in what manner they were forged.</w:t>
      </w:r>
      <w:r w:rsidR="007E2B12" w:rsidRPr="00DA0DA5">
        <w:rPr>
          <w:rFonts w:ascii="Arial" w:hAnsi="Arial" w:cs="Arial"/>
          <w:sz w:val="24"/>
          <w:szCs w:val="24"/>
        </w:rPr>
        <w:t xml:space="preserve">  Accordingly, the applicants objection to the charges is taken in accordance with section 85(1)(c)</w:t>
      </w:r>
      <w:r w:rsidR="003D7A1C" w:rsidRPr="00DA0DA5">
        <w:rPr>
          <w:rFonts w:ascii="Arial" w:hAnsi="Arial" w:cs="Arial"/>
          <w:sz w:val="24"/>
          <w:szCs w:val="24"/>
        </w:rPr>
        <w:t xml:space="preserve"> of the Act</w:t>
      </w:r>
      <w:r w:rsidR="00D5395C" w:rsidRPr="00DA0DA5">
        <w:rPr>
          <w:rFonts w:ascii="Arial" w:hAnsi="Arial" w:cs="Arial"/>
          <w:sz w:val="24"/>
          <w:szCs w:val="24"/>
        </w:rPr>
        <w:t>,</w:t>
      </w:r>
      <w:r w:rsidR="007E2B12" w:rsidRPr="00DA0DA5">
        <w:rPr>
          <w:rFonts w:ascii="Arial" w:hAnsi="Arial" w:cs="Arial"/>
          <w:sz w:val="24"/>
          <w:szCs w:val="24"/>
        </w:rPr>
        <w:t xml:space="preserve"> in that the charges do not disclose an offence. </w:t>
      </w:r>
      <w:r w:rsidR="0067704A" w:rsidRPr="00DA0DA5">
        <w:rPr>
          <w:rFonts w:ascii="Arial" w:hAnsi="Arial" w:cs="Arial"/>
          <w:sz w:val="24"/>
          <w:szCs w:val="24"/>
        </w:rPr>
        <w:t xml:space="preserve">  </w:t>
      </w:r>
    </w:p>
    <w:p w14:paraId="5E1A5CD7" w14:textId="77777777" w:rsidR="00C40716" w:rsidRPr="00C40716" w:rsidRDefault="00C40716" w:rsidP="008D18F0">
      <w:pPr>
        <w:pStyle w:val="ListParagraph"/>
        <w:spacing w:after="0" w:line="480" w:lineRule="auto"/>
        <w:rPr>
          <w:rFonts w:ascii="Arial" w:hAnsi="Arial" w:cs="Arial"/>
          <w:sz w:val="24"/>
          <w:szCs w:val="24"/>
        </w:rPr>
      </w:pPr>
    </w:p>
    <w:p w14:paraId="67F74E48" w14:textId="5A17DFF6" w:rsidR="0067704A"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D11E1" w:rsidRPr="00DA0DA5">
        <w:rPr>
          <w:rFonts w:ascii="Arial" w:hAnsi="Arial" w:cs="Arial"/>
          <w:sz w:val="24"/>
          <w:szCs w:val="24"/>
        </w:rPr>
        <w:t xml:space="preserve">Leaving aside for the moment the question of whether or not the </w:t>
      </w:r>
      <w:r w:rsidR="005828D0" w:rsidRPr="00DA0DA5">
        <w:rPr>
          <w:rFonts w:ascii="Arial" w:hAnsi="Arial" w:cs="Arial"/>
          <w:sz w:val="24"/>
          <w:szCs w:val="24"/>
        </w:rPr>
        <w:t>S</w:t>
      </w:r>
      <w:r w:rsidR="006D11E1" w:rsidRPr="00DA0DA5">
        <w:rPr>
          <w:rFonts w:ascii="Arial" w:hAnsi="Arial" w:cs="Arial"/>
          <w:sz w:val="24"/>
          <w:szCs w:val="24"/>
        </w:rPr>
        <w:t>tate knows who forged the documents; o</w:t>
      </w:r>
      <w:r w:rsidR="006F23A1" w:rsidRPr="00DA0DA5">
        <w:rPr>
          <w:rFonts w:ascii="Arial" w:hAnsi="Arial" w:cs="Arial"/>
          <w:sz w:val="24"/>
          <w:szCs w:val="24"/>
        </w:rPr>
        <w:t xml:space="preserve">n a reading of the </w:t>
      </w:r>
      <w:r w:rsidR="007A3FD7" w:rsidRPr="00DA0DA5">
        <w:rPr>
          <w:rFonts w:ascii="Arial" w:hAnsi="Arial" w:cs="Arial"/>
          <w:sz w:val="24"/>
          <w:szCs w:val="24"/>
        </w:rPr>
        <w:t xml:space="preserve">charges, transcribed above, </w:t>
      </w:r>
      <w:r w:rsidR="00863A6F" w:rsidRPr="00DA0DA5">
        <w:rPr>
          <w:rFonts w:ascii="Arial" w:hAnsi="Arial" w:cs="Arial"/>
          <w:sz w:val="24"/>
          <w:szCs w:val="24"/>
        </w:rPr>
        <w:t xml:space="preserve">together with the preamble to the charge sheet, </w:t>
      </w:r>
      <w:r w:rsidR="006F23A1" w:rsidRPr="00DA0DA5">
        <w:rPr>
          <w:rFonts w:ascii="Arial" w:hAnsi="Arial" w:cs="Arial"/>
          <w:sz w:val="24"/>
          <w:szCs w:val="24"/>
        </w:rPr>
        <w:t xml:space="preserve">the State contends that the </w:t>
      </w:r>
      <w:r w:rsidR="006F23A1" w:rsidRPr="00DA0DA5">
        <w:rPr>
          <w:rFonts w:ascii="Arial" w:hAnsi="Arial" w:cs="Arial"/>
          <w:sz w:val="24"/>
          <w:szCs w:val="24"/>
        </w:rPr>
        <w:lastRenderedPageBreak/>
        <w:t xml:space="preserve">documents in question were forged </w:t>
      </w:r>
      <w:r w:rsidR="00B111F7" w:rsidRPr="00DA0DA5">
        <w:rPr>
          <w:rFonts w:ascii="Arial" w:hAnsi="Arial" w:cs="Arial"/>
          <w:sz w:val="24"/>
          <w:szCs w:val="24"/>
        </w:rPr>
        <w:t>on or about 19 October 2009, at or near the Department of Education, Eastern Cape.</w:t>
      </w:r>
      <w:r w:rsidR="006D11E1" w:rsidRPr="00DA0DA5">
        <w:rPr>
          <w:rFonts w:ascii="Arial" w:hAnsi="Arial" w:cs="Arial"/>
          <w:sz w:val="24"/>
          <w:szCs w:val="24"/>
        </w:rPr>
        <w:t xml:space="preserve">  No ambiguity is created by the State’s response to the further particulars as to time and place, if such responses are read contextually.  The responses to the relevant questions merely served to advise</w:t>
      </w:r>
      <w:r w:rsidR="0067704A" w:rsidRPr="00DA0DA5">
        <w:rPr>
          <w:rFonts w:ascii="Arial" w:hAnsi="Arial" w:cs="Arial"/>
          <w:sz w:val="24"/>
          <w:szCs w:val="24"/>
        </w:rPr>
        <w:t xml:space="preserve"> that the State was unable to state with precision, the time and place of the forgery save as already set out in the charge sheet.  In any event, if the time when </w:t>
      </w:r>
      <w:r w:rsidR="005828D0" w:rsidRPr="00DA0DA5">
        <w:rPr>
          <w:rFonts w:ascii="Arial" w:hAnsi="Arial" w:cs="Arial"/>
          <w:sz w:val="24"/>
          <w:szCs w:val="24"/>
        </w:rPr>
        <w:t>an</w:t>
      </w:r>
      <w:r w:rsidR="0067704A" w:rsidRPr="00DA0DA5">
        <w:rPr>
          <w:rFonts w:ascii="Arial" w:hAnsi="Arial" w:cs="Arial"/>
          <w:sz w:val="24"/>
          <w:szCs w:val="24"/>
        </w:rPr>
        <w:t xml:space="preserve"> offence was allegedly committed is not a material element of the offence (as in the present instance), the failure to refer to time, does not render the charge defective.</w:t>
      </w:r>
      <w:r w:rsidR="0067704A">
        <w:rPr>
          <w:rStyle w:val="FootnoteReference"/>
          <w:rFonts w:ascii="Arial" w:hAnsi="Arial" w:cs="Arial"/>
          <w:sz w:val="24"/>
          <w:szCs w:val="24"/>
        </w:rPr>
        <w:footnoteReference w:id="19"/>
      </w:r>
      <w:r w:rsidR="0067704A" w:rsidRPr="00DA0DA5">
        <w:rPr>
          <w:rFonts w:ascii="Arial" w:hAnsi="Arial" w:cs="Arial"/>
          <w:sz w:val="24"/>
          <w:szCs w:val="24"/>
        </w:rPr>
        <w:t xml:space="preserve">  This too is so for the place where the crime was allegedly committed.</w:t>
      </w:r>
      <w:r w:rsidR="0067704A">
        <w:rPr>
          <w:rStyle w:val="FootnoteReference"/>
          <w:rFonts w:ascii="Arial" w:hAnsi="Arial" w:cs="Arial"/>
          <w:sz w:val="24"/>
          <w:szCs w:val="24"/>
        </w:rPr>
        <w:footnoteReference w:id="20"/>
      </w:r>
      <w:r w:rsidR="0067704A" w:rsidRPr="00DA0DA5">
        <w:rPr>
          <w:rFonts w:ascii="Arial" w:hAnsi="Arial" w:cs="Arial"/>
          <w:sz w:val="24"/>
          <w:szCs w:val="24"/>
        </w:rPr>
        <w:t xml:space="preserve">  </w:t>
      </w:r>
    </w:p>
    <w:p w14:paraId="14EBD84E" w14:textId="77777777" w:rsidR="006D11E1" w:rsidRPr="006D11E1" w:rsidRDefault="006D11E1" w:rsidP="00D5395C">
      <w:pPr>
        <w:pStyle w:val="ListParagraph"/>
        <w:spacing w:after="0" w:line="480" w:lineRule="auto"/>
        <w:rPr>
          <w:rFonts w:ascii="Arial" w:hAnsi="Arial" w:cs="Arial"/>
          <w:sz w:val="24"/>
          <w:szCs w:val="24"/>
        </w:rPr>
      </w:pPr>
    </w:p>
    <w:p w14:paraId="2497F6A2" w14:textId="7CBAB077" w:rsidR="00B111F7"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B111F7" w:rsidRPr="00DA0DA5">
        <w:rPr>
          <w:rFonts w:ascii="Arial" w:hAnsi="Arial" w:cs="Arial"/>
          <w:sz w:val="24"/>
          <w:szCs w:val="24"/>
        </w:rPr>
        <w:t>As to the manner in which the documents were said to be forged,</w:t>
      </w:r>
      <w:r w:rsidR="0067704A" w:rsidRPr="00DA0DA5">
        <w:rPr>
          <w:rFonts w:ascii="Arial" w:hAnsi="Arial" w:cs="Arial"/>
          <w:sz w:val="24"/>
          <w:szCs w:val="24"/>
        </w:rPr>
        <w:t xml:space="preserve"> it is clear that the State’s contention is that</w:t>
      </w:r>
      <w:r w:rsidR="00B111F7" w:rsidRPr="00DA0DA5">
        <w:rPr>
          <w:rFonts w:ascii="Arial" w:hAnsi="Arial" w:cs="Arial"/>
          <w:sz w:val="24"/>
          <w:szCs w:val="24"/>
        </w:rPr>
        <w:t xml:space="preserve"> same were forged in their entirety in that they were not issued by SARS.</w:t>
      </w:r>
      <w:r w:rsidR="00F84D26" w:rsidRPr="00DA0DA5">
        <w:rPr>
          <w:rFonts w:ascii="Arial" w:hAnsi="Arial" w:cs="Arial"/>
          <w:sz w:val="24"/>
          <w:szCs w:val="24"/>
        </w:rPr>
        <w:t xml:space="preserve">  It is trite that the falsification of a document can be achieved in one of many ways.  </w:t>
      </w:r>
      <w:r w:rsidR="006D11E1" w:rsidRPr="00DA0DA5">
        <w:rPr>
          <w:rFonts w:ascii="Arial" w:hAnsi="Arial" w:cs="Arial"/>
          <w:sz w:val="24"/>
          <w:szCs w:val="24"/>
        </w:rPr>
        <w:t>In this respect, a</w:t>
      </w:r>
      <w:r w:rsidR="00F84D26" w:rsidRPr="00DA0DA5">
        <w:rPr>
          <w:rFonts w:ascii="Arial" w:hAnsi="Arial" w:cs="Arial"/>
          <w:sz w:val="24"/>
          <w:szCs w:val="24"/>
        </w:rPr>
        <w:t xml:space="preserve"> document which falsely purports to be a copy of a non-existent document is a forged document.</w:t>
      </w:r>
      <w:r w:rsidR="00F84D26">
        <w:rPr>
          <w:rStyle w:val="FootnoteReference"/>
          <w:rFonts w:ascii="Arial" w:hAnsi="Arial" w:cs="Arial"/>
          <w:sz w:val="24"/>
          <w:szCs w:val="24"/>
        </w:rPr>
        <w:footnoteReference w:id="21"/>
      </w:r>
      <w:r w:rsidR="00F84D26" w:rsidRPr="00DA0DA5">
        <w:rPr>
          <w:rFonts w:ascii="Arial" w:hAnsi="Arial" w:cs="Arial"/>
          <w:sz w:val="24"/>
          <w:szCs w:val="24"/>
        </w:rPr>
        <w:t xml:space="preserve"> </w:t>
      </w:r>
    </w:p>
    <w:p w14:paraId="63837A29" w14:textId="77777777" w:rsidR="0067704A" w:rsidRPr="0067704A" w:rsidRDefault="0067704A" w:rsidP="00D5395C">
      <w:pPr>
        <w:pStyle w:val="ListParagraph"/>
        <w:spacing w:after="0" w:line="480" w:lineRule="auto"/>
        <w:rPr>
          <w:rFonts w:ascii="Arial" w:hAnsi="Arial" w:cs="Arial"/>
          <w:sz w:val="24"/>
          <w:szCs w:val="24"/>
        </w:rPr>
      </w:pPr>
    </w:p>
    <w:p w14:paraId="01B87FCC" w14:textId="3EB5A506" w:rsidR="00D8609F"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7704A" w:rsidRPr="00DA0DA5">
        <w:rPr>
          <w:rFonts w:ascii="Arial" w:hAnsi="Arial" w:cs="Arial"/>
          <w:sz w:val="24"/>
          <w:szCs w:val="24"/>
        </w:rPr>
        <w:t xml:space="preserve">This then leaves the aspect of </w:t>
      </w:r>
      <w:r w:rsidR="0067704A" w:rsidRPr="00DA0DA5">
        <w:rPr>
          <w:rFonts w:ascii="Arial" w:hAnsi="Arial" w:cs="Arial"/>
          <w:i/>
          <w:iCs/>
          <w:sz w:val="24"/>
          <w:szCs w:val="24"/>
        </w:rPr>
        <w:t>actus reus</w:t>
      </w:r>
      <w:r w:rsidR="0067704A" w:rsidRPr="00DA0DA5">
        <w:rPr>
          <w:rFonts w:ascii="Arial" w:hAnsi="Arial" w:cs="Arial"/>
          <w:sz w:val="24"/>
          <w:szCs w:val="24"/>
        </w:rPr>
        <w:t>.</w:t>
      </w:r>
      <w:r w:rsidR="00D5395C" w:rsidRPr="00DA0DA5">
        <w:rPr>
          <w:rFonts w:ascii="Arial" w:hAnsi="Arial" w:cs="Arial"/>
          <w:sz w:val="24"/>
          <w:szCs w:val="24"/>
        </w:rPr>
        <w:t xml:space="preserve">  If regard is had to the wording of the charge sheet, together with the preamble thereto, there can be no doubt that the State’s case against the second applicant is that it was he who forged the documents in question</w:t>
      </w:r>
      <w:r w:rsidR="002C0BD9" w:rsidRPr="00DA0DA5">
        <w:rPr>
          <w:rFonts w:ascii="Arial" w:hAnsi="Arial" w:cs="Arial"/>
          <w:sz w:val="24"/>
          <w:szCs w:val="24"/>
        </w:rPr>
        <w:t>,</w:t>
      </w:r>
      <w:r w:rsidR="00D5395C" w:rsidRPr="00DA0DA5">
        <w:rPr>
          <w:rFonts w:ascii="Arial" w:hAnsi="Arial" w:cs="Arial"/>
          <w:sz w:val="24"/>
          <w:szCs w:val="24"/>
        </w:rPr>
        <w:t xml:space="preserve"> personally.  This much is apparent from the</w:t>
      </w:r>
      <w:r w:rsidR="002C0BD9" w:rsidRPr="00DA0DA5">
        <w:rPr>
          <w:rFonts w:ascii="Arial" w:hAnsi="Arial" w:cs="Arial"/>
          <w:sz w:val="24"/>
          <w:szCs w:val="24"/>
        </w:rPr>
        <w:t xml:space="preserve"> clear</w:t>
      </w:r>
      <w:r w:rsidR="00D5395C" w:rsidRPr="00DA0DA5">
        <w:rPr>
          <w:rFonts w:ascii="Arial" w:hAnsi="Arial" w:cs="Arial"/>
          <w:sz w:val="24"/>
          <w:szCs w:val="24"/>
        </w:rPr>
        <w:t xml:space="preserve"> </w:t>
      </w:r>
      <w:r w:rsidR="00D5395C" w:rsidRPr="00DA0DA5">
        <w:rPr>
          <w:rFonts w:ascii="Arial" w:hAnsi="Arial" w:cs="Arial"/>
          <w:sz w:val="24"/>
          <w:szCs w:val="24"/>
        </w:rPr>
        <w:lastRenderedPageBreak/>
        <w:t>wording of the respective charges</w:t>
      </w:r>
      <w:r w:rsidR="002C0BD9" w:rsidRPr="00DA0DA5">
        <w:rPr>
          <w:rFonts w:ascii="Arial" w:hAnsi="Arial" w:cs="Arial"/>
          <w:sz w:val="24"/>
          <w:szCs w:val="24"/>
        </w:rPr>
        <w:t>.</w:t>
      </w:r>
      <w:r w:rsidR="004F50E1" w:rsidRPr="00DA0DA5">
        <w:rPr>
          <w:rFonts w:ascii="Arial" w:hAnsi="Arial" w:cs="Arial"/>
          <w:sz w:val="24"/>
          <w:szCs w:val="24"/>
        </w:rPr>
        <w:t xml:space="preserve">  The second applicant is not charged as an accomplice or an accessory of any kind.</w:t>
      </w:r>
      <w:r w:rsidR="00D8609F" w:rsidRPr="00DA0DA5">
        <w:rPr>
          <w:rFonts w:ascii="Arial" w:hAnsi="Arial" w:cs="Arial"/>
          <w:sz w:val="24"/>
          <w:szCs w:val="24"/>
        </w:rPr>
        <w:t xml:space="preserve">  The difficulty which arises is that, notwithstanding the above, the applicants requested, in their request for particulars, for the State to confirm unequivocally if it is the State’s case that the second applicant forged the documents personally.  This query was raised in respect of both counts of forgery.  In answer thereto, the State responded as follows:</w:t>
      </w:r>
    </w:p>
    <w:p w14:paraId="1E0B7493" w14:textId="77777777" w:rsidR="00D8609F" w:rsidRPr="00D8609F" w:rsidRDefault="00D8609F" w:rsidP="00D8609F">
      <w:pPr>
        <w:pStyle w:val="ListParagraph"/>
        <w:rPr>
          <w:rFonts w:ascii="Arial" w:hAnsi="Arial" w:cs="Arial"/>
          <w:sz w:val="24"/>
          <w:szCs w:val="24"/>
        </w:rPr>
      </w:pPr>
    </w:p>
    <w:p w14:paraId="1DA524DA" w14:textId="57DD13DD" w:rsidR="0067704A" w:rsidRDefault="00D8609F" w:rsidP="00D8609F">
      <w:pPr>
        <w:pStyle w:val="ListParagraph"/>
        <w:spacing w:after="0" w:line="360" w:lineRule="auto"/>
        <w:ind w:left="851"/>
        <w:jc w:val="both"/>
        <w:rPr>
          <w:rFonts w:ascii="Arial" w:hAnsi="Arial" w:cs="Arial"/>
          <w:sz w:val="24"/>
          <w:szCs w:val="24"/>
        </w:rPr>
      </w:pPr>
      <w:r>
        <w:rPr>
          <w:rFonts w:ascii="Arial" w:hAnsi="Arial" w:cs="Arial"/>
          <w:sz w:val="24"/>
          <w:szCs w:val="24"/>
        </w:rPr>
        <w:t>“</w:t>
      </w:r>
      <w:r w:rsidRPr="00D8609F">
        <w:rPr>
          <w:rFonts w:ascii="Arial" w:hAnsi="Arial" w:cs="Arial"/>
          <w:i/>
          <w:iCs/>
          <w:sz w:val="20"/>
          <w:szCs w:val="20"/>
        </w:rPr>
        <w:t xml:space="preserve">The State </w:t>
      </w:r>
      <w:r w:rsidRPr="00D8609F">
        <w:rPr>
          <w:rFonts w:ascii="Arial" w:hAnsi="Arial" w:cs="Arial"/>
          <w:i/>
          <w:iCs/>
          <w:sz w:val="20"/>
          <w:szCs w:val="20"/>
          <w:lang w:val="en-US"/>
        </w:rPr>
        <w:t>does not know who forged the document, however the accused was the only person</w:t>
      </w:r>
      <w:r w:rsidR="00A24366">
        <w:rPr>
          <w:rFonts w:ascii="Arial" w:hAnsi="Arial" w:cs="Arial"/>
          <w:i/>
          <w:iCs/>
          <w:sz w:val="20"/>
          <w:szCs w:val="20"/>
          <w:lang w:val="en-US"/>
        </w:rPr>
        <w:t xml:space="preserve"> or</w:t>
      </w:r>
      <w:r w:rsidRPr="00D8609F">
        <w:rPr>
          <w:rFonts w:ascii="Arial" w:hAnsi="Arial" w:cs="Arial"/>
          <w:i/>
          <w:iCs/>
          <w:sz w:val="20"/>
          <w:szCs w:val="20"/>
          <w:lang w:val="en-US"/>
        </w:rPr>
        <w:t xml:space="preserve"> entity who stood to benefit through the said action</w:t>
      </w:r>
      <w:r w:rsidRPr="00D8609F">
        <w:rPr>
          <w:rFonts w:ascii="Arial" w:hAnsi="Arial" w:cs="Arial"/>
          <w:sz w:val="24"/>
          <w:szCs w:val="24"/>
          <w:lang w:val="en-US"/>
        </w:rPr>
        <w:t>.</w:t>
      </w:r>
      <w:r>
        <w:rPr>
          <w:rFonts w:ascii="Arial" w:hAnsi="Arial" w:cs="Arial"/>
          <w:sz w:val="24"/>
          <w:szCs w:val="24"/>
          <w:lang w:val="en-US"/>
        </w:rPr>
        <w:t>”</w:t>
      </w:r>
      <w:r w:rsidR="002C0BD9">
        <w:rPr>
          <w:rFonts w:ascii="Arial" w:hAnsi="Arial" w:cs="Arial"/>
          <w:sz w:val="24"/>
          <w:szCs w:val="24"/>
        </w:rPr>
        <w:t xml:space="preserve">  </w:t>
      </w:r>
    </w:p>
    <w:p w14:paraId="74DD6D4E" w14:textId="77777777" w:rsidR="00B111F7" w:rsidRPr="00B111F7" w:rsidRDefault="00B111F7" w:rsidP="008D18F0">
      <w:pPr>
        <w:pStyle w:val="ListParagraph"/>
        <w:spacing w:after="0" w:line="480" w:lineRule="auto"/>
        <w:rPr>
          <w:rFonts w:ascii="Arial" w:hAnsi="Arial" w:cs="Arial"/>
          <w:sz w:val="24"/>
          <w:szCs w:val="24"/>
        </w:rPr>
      </w:pPr>
    </w:p>
    <w:p w14:paraId="70CF948A" w14:textId="11497E70" w:rsidR="003A768C"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A24366" w:rsidRPr="00DA0DA5">
        <w:rPr>
          <w:rFonts w:ascii="Arial" w:hAnsi="Arial" w:cs="Arial"/>
          <w:sz w:val="24"/>
          <w:szCs w:val="24"/>
        </w:rPr>
        <w:t>It is for this reason that the applicants contend that the State does not know who forged the documents in question and conclude that</w:t>
      </w:r>
      <w:r w:rsidR="003A768C" w:rsidRPr="00DA0DA5">
        <w:rPr>
          <w:rFonts w:ascii="Arial" w:hAnsi="Arial" w:cs="Arial"/>
          <w:sz w:val="24"/>
          <w:szCs w:val="24"/>
        </w:rPr>
        <w:t xml:space="preserve"> the charges do not disclose an offence</w:t>
      </w:r>
      <w:r w:rsidR="00C63392" w:rsidRPr="00DA0DA5">
        <w:rPr>
          <w:rFonts w:ascii="Arial" w:hAnsi="Arial" w:cs="Arial"/>
          <w:sz w:val="24"/>
          <w:szCs w:val="24"/>
        </w:rPr>
        <w:t>, warranting the relief sought</w:t>
      </w:r>
      <w:r w:rsidR="003A768C" w:rsidRPr="00DA0DA5">
        <w:rPr>
          <w:rFonts w:ascii="Arial" w:hAnsi="Arial" w:cs="Arial"/>
          <w:sz w:val="24"/>
          <w:szCs w:val="24"/>
        </w:rPr>
        <w:t>.</w:t>
      </w:r>
      <w:r w:rsidR="00F3342C" w:rsidRPr="00DA0DA5">
        <w:rPr>
          <w:rFonts w:ascii="Arial" w:hAnsi="Arial" w:cs="Arial"/>
          <w:sz w:val="24"/>
          <w:szCs w:val="24"/>
        </w:rPr>
        <w:t xml:space="preserve">  </w:t>
      </w:r>
    </w:p>
    <w:p w14:paraId="6F1AF046" w14:textId="53DF0BF1" w:rsidR="00F3342C" w:rsidRDefault="00F3342C" w:rsidP="00F3342C">
      <w:pPr>
        <w:pStyle w:val="ListParagraph"/>
        <w:spacing w:after="0" w:line="480" w:lineRule="auto"/>
        <w:ind w:left="851"/>
        <w:jc w:val="both"/>
        <w:rPr>
          <w:rFonts w:ascii="Arial" w:hAnsi="Arial" w:cs="Arial"/>
          <w:sz w:val="24"/>
          <w:szCs w:val="24"/>
        </w:rPr>
      </w:pPr>
    </w:p>
    <w:p w14:paraId="080BFAFC" w14:textId="6C6C3226" w:rsidR="00F3342C" w:rsidRPr="00DA0DA5" w:rsidRDefault="00DA0DA5" w:rsidP="00DA0DA5">
      <w:pPr>
        <w:spacing w:after="0" w:line="480" w:lineRule="auto"/>
        <w:ind w:left="851" w:hanging="851"/>
        <w:jc w:val="both"/>
        <w:rPr>
          <w:rFonts w:ascii="Arial" w:hAnsi="Arial" w:cs="Arial"/>
          <w:sz w:val="24"/>
          <w:szCs w:val="24"/>
        </w:rPr>
      </w:pPr>
      <w:r w:rsidRPr="002F20FC">
        <w:rPr>
          <w:rFonts w:ascii="Arial" w:hAnsi="Arial" w:cs="Arial"/>
          <w:sz w:val="24"/>
          <w:szCs w:val="24"/>
        </w:rPr>
        <w:t>[54]</w:t>
      </w:r>
      <w:r w:rsidRPr="002F20FC">
        <w:rPr>
          <w:rFonts w:ascii="Arial" w:hAnsi="Arial" w:cs="Arial"/>
          <w:sz w:val="24"/>
          <w:szCs w:val="24"/>
        </w:rPr>
        <w:tab/>
      </w:r>
      <w:r w:rsidR="00C63392" w:rsidRPr="00DA0DA5">
        <w:rPr>
          <w:rFonts w:ascii="Arial" w:hAnsi="Arial" w:cs="Arial"/>
          <w:sz w:val="24"/>
          <w:szCs w:val="24"/>
        </w:rPr>
        <w:t xml:space="preserve">It is accordingly necessary to consider what is required of the State at this stage </w:t>
      </w:r>
      <w:r w:rsidR="000A4AAF" w:rsidRPr="00DA0DA5">
        <w:rPr>
          <w:rFonts w:ascii="Arial" w:hAnsi="Arial" w:cs="Arial"/>
          <w:sz w:val="24"/>
          <w:szCs w:val="24"/>
        </w:rPr>
        <w:t>of the</w:t>
      </w:r>
      <w:r w:rsidR="00C63392" w:rsidRPr="00DA0DA5">
        <w:rPr>
          <w:rFonts w:ascii="Arial" w:hAnsi="Arial" w:cs="Arial"/>
          <w:sz w:val="24"/>
          <w:szCs w:val="24"/>
        </w:rPr>
        <w:t xml:space="preserve"> proceedings.  </w:t>
      </w:r>
      <w:r w:rsidR="00C63392" w:rsidRPr="00DA0DA5">
        <w:rPr>
          <w:rFonts w:ascii="Arial" w:hAnsi="Arial" w:cs="Arial"/>
          <w:sz w:val="24"/>
          <w:szCs w:val="24"/>
          <w:lang w:val="en-US"/>
        </w:rPr>
        <w:t xml:space="preserve">On a procedural level it is required of the state to inform the accused of all the essential averments, and </w:t>
      </w:r>
      <w:r w:rsidR="0028479E" w:rsidRPr="00DA0DA5">
        <w:rPr>
          <w:rFonts w:ascii="Arial" w:hAnsi="Arial" w:cs="Arial"/>
          <w:sz w:val="24"/>
          <w:szCs w:val="24"/>
          <w:lang w:val="en-US"/>
        </w:rPr>
        <w:t>a</w:t>
      </w:r>
      <w:r w:rsidR="00C63392" w:rsidRPr="00DA0DA5">
        <w:rPr>
          <w:rFonts w:ascii="Arial" w:hAnsi="Arial" w:cs="Arial"/>
          <w:sz w:val="24"/>
          <w:szCs w:val="24"/>
          <w:lang w:val="en-US"/>
        </w:rPr>
        <w:t xml:space="preserve"> charge sheet should contain all the essential allegations to be prove</w:t>
      </w:r>
      <w:r w:rsidR="002F20FC" w:rsidRPr="00DA0DA5">
        <w:rPr>
          <w:rFonts w:ascii="Arial" w:hAnsi="Arial" w:cs="Arial"/>
          <w:sz w:val="24"/>
          <w:szCs w:val="24"/>
          <w:lang w:val="en-US"/>
        </w:rPr>
        <w:t>n</w:t>
      </w:r>
      <w:r w:rsidR="00C63392" w:rsidRPr="00DA0DA5">
        <w:rPr>
          <w:rFonts w:ascii="Arial" w:hAnsi="Arial" w:cs="Arial"/>
          <w:sz w:val="24"/>
          <w:szCs w:val="24"/>
          <w:lang w:val="en-US"/>
        </w:rPr>
        <w:t xml:space="preserve"> by the prosecution in order to sustain a guilty verdict.</w:t>
      </w:r>
      <w:r w:rsidR="002F20FC">
        <w:rPr>
          <w:rStyle w:val="FootnoteReference"/>
          <w:rFonts w:ascii="Arial" w:hAnsi="Arial" w:cs="Arial"/>
          <w:sz w:val="24"/>
          <w:szCs w:val="24"/>
          <w:lang w:val="en-US"/>
        </w:rPr>
        <w:footnoteReference w:id="22"/>
      </w:r>
      <w:r w:rsidR="002F20FC" w:rsidRPr="00DA0DA5">
        <w:rPr>
          <w:rFonts w:ascii="Arial" w:hAnsi="Arial" w:cs="Arial"/>
          <w:sz w:val="24"/>
          <w:szCs w:val="24"/>
          <w:lang w:val="en-US"/>
        </w:rPr>
        <w:t xml:space="preserve">  Section 84 of the CPA reads as follows:</w:t>
      </w:r>
    </w:p>
    <w:p w14:paraId="4C680186" w14:textId="77777777" w:rsidR="002F20FC" w:rsidRPr="002F20FC" w:rsidRDefault="002F20FC" w:rsidP="002F20FC">
      <w:pPr>
        <w:pStyle w:val="ListParagraph"/>
        <w:spacing w:after="0" w:line="480" w:lineRule="auto"/>
        <w:rPr>
          <w:rFonts w:ascii="Arial" w:hAnsi="Arial" w:cs="Arial"/>
          <w:sz w:val="24"/>
          <w:szCs w:val="24"/>
        </w:rPr>
      </w:pPr>
    </w:p>
    <w:p w14:paraId="1F9D4A05" w14:textId="77777777" w:rsidR="002F20FC" w:rsidRPr="00D64480" w:rsidRDefault="002F20FC" w:rsidP="002F20FC">
      <w:pPr>
        <w:pStyle w:val="ListParagraph"/>
        <w:spacing w:after="0" w:line="360" w:lineRule="auto"/>
        <w:ind w:left="1436" w:hanging="585"/>
        <w:jc w:val="both"/>
        <w:rPr>
          <w:rFonts w:ascii="Arial" w:hAnsi="Arial" w:cs="Arial"/>
          <w:i/>
          <w:iCs/>
          <w:sz w:val="20"/>
          <w:szCs w:val="20"/>
        </w:rPr>
      </w:pPr>
      <w:r>
        <w:rPr>
          <w:rFonts w:ascii="Arial" w:hAnsi="Arial" w:cs="Arial"/>
          <w:sz w:val="20"/>
          <w:szCs w:val="20"/>
        </w:rPr>
        <w:t>“</w:t>
      </w:r>
      <w:r w:rsidRPr="00D64480">
        <w:rPr>
          <w:rFonts w:ascii="Arial" w:hAnsi="Arial" w:cs="Arial"/>
          <w:i/>
          <w:iCs/>
          <w:sz w:val="20"/>
          <w:szCs w:val="20"/>
        </w:rPr>
        <w:t>(1)</w:t>
      </w:r>
      <w:r w:rsidRPr="00D64480">
        <w:rPr>
          <w:rFonts w:ascii="Arial" w:hAnsi="Arial" w:cs="Arial"/>
          <w:i/>
          <w:iCs/>
          <w:sz w:val="20"/>
          <w:szCs w:val="20"/>
        </w:rPr>
        <w:tab/>
        <w:t xml:space="preserve">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whom and the property, if any, in respect of </w:t>
      </w:r>
      <w:r w:rsidRPr="00D64480">
        <w:rPr>
          <w:rFonts w:ascii="Arial" w:hAnsi="Arial" w:cs="Arial"/>
          <w:i/>
          <w:iCs/>
          <w:sz w:val="20"/>
          <w:szCs w:val="20"/>
        </w:rPr>
        <w:lastRenderedPageBreak/>
        <w:t xml:space="preserve">which the offence is alleged to have. been committed, </w:t>
      </w:r>
      <w:r w:rsidRPr="0045094A">
        <w:rPr>
          <w:rFonts w:ascii="Arial" w:hAnsi="Arial" w:cs="Arial"/>
          <w:i/>
          <w:iCs/>
          <w:sz w:val="20"/>
          <w:szCs w:val="20"/>
          <w:u w:val="single"/>
        </w:rPr>
        <w:t>as may be reasonably sufficient to inform the accused of the nature of the charge</w:t>
      </w:r>
      <w:r w:rsidRPr="00D64480">
        <w:rPr>
          <w:rFonts w:ascii="Arial" w:hAnsi="Arial" w:cs="Arial"/>
          <w:i/>
          <w:iCs/>
          <w:sz w:val="20"/>
          <w:szCs w:val="20"/>
        </w:rPr>
        <w:t>.</w:t>
      </w:r>
    </w:p>
    <w:p w14:paraId="2DBE9B20" w14:textId="77777777" w:rsidR="00D64480" w:rsidRPr="00D64480" w:rsidRDefault="00D64480" w:rsidP="002F20FC">
      <w:pPr>
        <w:pStyle w:val="ListParagraph"/>
        <w:spacing w:after="0" w:line="360" w:lineRule="auto"/>
        <w:ind w:left="1436" w:hanging="585"/>
        <w:jc w:val="both"/>
        <w:rPr>
          <w:rFonts w:ascii="Arial" w:hAnsi="Arial" w:cs="Arial"/>
          <w:i/>
          <w:iCs/>
          <w:sz w:val="20"/>
          <w:szCs w:val="20"/>
        </w:rPr>
      </w:pPr>
    </w:p>
    <w:p w14:paraId="75F829C9" w14:textId="4AD37865" w:rsidR="002F20FC" w:rsidRPr="002F20FC" w:rsidRDefault="002F20FC" w:rsidP="002F20FC">
      <w:pPr>
        <w:pStyle w:val="ListParagraph"/>
        <w:spacing w:after="0" w:line="360" w:lineRule="auto"/>
        <w:ind w:left="1436" w:hanging="585"/>
        <w:jc w:val="both"/>
        <w:rPr>
          <w:rFonts w:ascii="Arial" w:hAnsi="Arial" w:cs="Arial"/>
          <w:sz w:val="20"/>
          <w:szCs w:val="20"/>
        </w:rPr>
      </w:pPr>
      <w:r w:rsidRPr="00D64480">
        <w:rPr>
          <w:rFonts w:ascii="Arial" w:hAnsi="Arial" w:cs="Arial"/>
          <w:i/>
          <w:iCs/>
          <w:sz w:val="20"/>
          <w:szCs w:val="20"/>
        </w:rPr>
        <w:t>(2)</w:t>
      </w:r>
      <w:r w:rsidRPr="00D64480">
        <w:rPr>
          <w:rFonts w:ascii="Arial" w:hAnsi="Arial" w:cs="Arial"/>
          <w:i/>
          <w:iCs/>
          <w:sz w:val="20"/>
          <w:szCs w:val="20"/>
        </w:rPr>
        <w:tab/>
        <w:t xml:space="preserve">Where any of the particulars referred to in subsection (1) are unknown to the prosecutor it shall be </w:t>
      </w:r>
      <w:r w:rsidR="00D64480" w:rsidRPr="00D64480">
        <w:rPr>
          <w:rFonts w:ascii="Arial" w:hAnsi="Arial" w:cs="Arial"/>
          <w:i/>
          <w:iCs/>
          <w:sz w:val="20"/>
          <w:szCs w:val="20"/>
        </w:rPr>
        <w:t>sufficient</w:t>
      </w:r>
      <w:r w:rsidRPr="00D64480">
        <w:rPr>
          <w:rFonts w:ascii="Arial" w:hAnsi="Arial" w:cs="Arial"/>
          <w:i/>
          <w:iCs/>
          <w:sz w:val="20"/>
          <w:szCs w:val="20"/>
        </w:rPr>
        <w:t xml:space="preserve"> to state that </w:t>
      </w:r>
      <w:r w:rsidR="00D64480" w:rsidRPr="00D64480">
        <w:rPr>
          <w:rFonts w:ascii="Arial" w:hAnsi="Arial" w:cs="Arial"/>
          <w:i/>
          <w:iCs/>
          <w:sz w:val="20"/>
          <w:szCs w:val="20"/>
        </w:rPr>
        <w:t>fact in the charge</w:t>
      </w:r>
      <w:r w:rsidR="00D64480">
        <w:rPr>
          <w:rFonts w:ascii="Arial" w:hAnsi="Arial" w:cs="Arial"/>
          <w:sz w:val="20"/>
          <w:szCs w:val="20"/>
        </w:rPr>
        <w:t>.”</w:t>
      </w:r>
    </w:p>
    <w:p w14:paraId="1788A778" w14:textId="0F5AF012" w:rsidR="00880CA1" w:rsidRDefault="00880CA1" w:rsidP="00D64480">
      <w:pPr>
        <w:spacing w:after="0" w:line="480" w:lineRule="auto"/>
        <w:jc w:val="both"/>
        <w:rPr>
          <w:rFonts w:ascii="Arial" w:hAnsi="Arial" w:cs="Arial"/>
          <w:sz w:val="24"/>
          <w:szCs w:val="24"/>
        </w:rPr>
      </w:pPr>
    </w:p>
    <w:p w14:paraId="2EB88C33" w14:textId="749B1EA7" w:rsidR="0045094A" w:rsidRPr="00D64480" w:rsidRDefault="0045094A" w:rsidP="002C6668">
      <w:pPr>
        <w:spacing w:after="0" w:line="480" w:lineRule="auto"/>
        <w:ind w:firstLine="851"/>
        <w:jc w:val="both"/>
        <w:rPr>
          <w:rFonts w:ascii="Arial" w:hAnsi="Arial" w:cs="Arial"/>
          <w:sz w:val="24"/>
          <w:szCs w:val="24"/>
        </w:rPr>
      </w:pPr>
      <w:r>
        <w:rPr>
          <w:rFonts w:ascii="Arial" w:hAnsi="Arial" w:cs="Arial"/>
          <w:sz w:val="24"/>
          <w:szCs w:val="24"/>
        </w:rPr>
        <w:t xml:space="preserve">[Own </w:t>
      </w:r>
      <w:r w:rsidR="005227A4">
        <w:rPr>
          <w:rFonts w:ascii="Arial" w:hAnsi="Arial" w:cs="Arial"/>
          <w:sz w:val="24"/>
          <w:szCs w:val="24"/>
        </w:rPr>
        <w:t>emphasis</w:t>
      </w:r>
      <w:r>
        <w:rPr>
          <w:rFonts w:ascii="Arial" w:hAnsi="Arial" w:cs="Arial"/>
          <w:sz w:val="24"/>
          <w:szCs w:val="24"/>
        </w:rPr>
        <w:t>].</w:t>
      </w:r>
    </w:p>
    <w:p w14:paraId="0ED93B1C" w14:textId="77777777" w:rsidR="002C6668" w:rsidRPr="002C6668" w:rsidRDefault="002C6668" w:rsidP="002C6668">
      <w:pPr>
        <w:pStyle w:val="ListParagraph"/>
        <w:spacing w:after="0" w:line="480" w:lineRule="auto"/>
        <w:ind w:left="851"/>
        <w:jc w:val="both"/>
        <w:rPr>
          <w:rFonts w:ascii="Arial" w:hAnsi="Arial" w:cs="Arial"/>
          <w:sz w:val="24"/>
          <w:szCs w:val="24"/>
        </w:rPr>
      </w:pPr>
    </w:p>
    <w:p w14:paraId="0CDB3D67" w14:textId="1244200F" w:rsidR="001643FA" w:rsidRPr="00DA0DA5" w:rsidRDefault="00DA0DA5" w:rsidP="00DA0DA5">
      <w:pPr>
        <w:spacing w:after="0" w:line="480" w:lineRule="auto"/>
        <w:ind w:left="851" w:hanging="851"/>
        <w:jc w:val="both"/>
        <w:rPr>
          <w:rFonts w:ascii="Arial" w:hAnsi="Arial" w:cs="Arial"/>
          <w:sz w:val="24"/>
          <w:szCs w:val="24"/>
        </w:rPr>
      </w:pPr>
      <w:r w:rsidRPr="001643FA">
        <w:rPr>
          <w:rFonts w:ascii="Arial" w:hAnsi="Arial" w:cs="Arial"/>
          <w:sz w:val="24"/>
          <w:szCs w:val="24"/>
        </w:rPr>
        <w:t>[55]</w:t>
      </w:r>
      <w:r w:rsidRPr="001643FA">
        <w:rPr>
          <w:rFonts w:ascii="Arial" w:hAnsi="Arial" w:cs="Arial"/>
          <w:sz w:val="24"/>
          <w:szCs w:val="24"/>
        </w:rPr>
        <w:tab/>
      </w:r>
      <w:r w:rsidR="00BE78D8" w:rsidRPr="00DA0DA5">
        <w:rPr>
          <w:rFonts w:ascii="Arial" w:hAnsi="Arial" w:cs="Arial"/>
          <w:sz w:val="24"/>
          <w:szCs w:val="24"/>
          <w:lang w:val="en-US"/>
        </w:rPr>
        <w:t xml:space="preserve">A charge sheet ought to inform an accused with sufficient detail of the charge he or she </w:t>
      </w:r>
      <w:r w:rsidR="002C6668" w:rsidRPr="00DA0DA5">
        <w:rPr>
          <w:rFonts w:ascii="Arial" w:hAnsi="Arial" w:cs="Arial"/>
          <w:sz w:val="24"/>
          <w:szCs w:val="24"/>
          <w:lang w:val="en-US"/>
        </w:rPr>
        <w:t>has to face</w:t>
      </w:r>
      <w:r w:rsidR="00BE78D8" w:rsidRPr="00DA0DA5">
        <w:rPr>
          <w:rFonts w:ascii="Arial" w:hAnsi="Arial" w:cs="Arial"/>
          <w:sz w:val="24"/>
          <w:szCs w:val="24"/>
          <w:lang w:val="en-US"/>
        </w:rPr>
        <w:t>.</w:t>
      </w:r>
      <w:r w:rsidR="001643FA" w:rsidRPr="00DA0DA5">
        <w:rPr>
          <w:rFonts w:ascii="Arial" w:hAnsi="Arial" w:cs="Arial"/>
          <w:sz w:val="24"/>
          <w:szCs w:val="24"/>
          <w:lang w:val="en-US"/>
        </w:rPr>
        <w:t xml:space="preserve">  An accused’s right to be duly informed of the charge against him</w:t>
      </w:r>
      <w:r w:rsidR="002C6668" w:rsidRPr="00DA0DA5">
        <w:rPr>
          <w:rFonts w:ascii="Arial" w:hAnsi="Arial" w:cs="Arial"/>
          <w:sz w:val="24"/>
          <w:szCs w:val="24"/>
          <w:lang w:val="en-US"/>
        </w:rPr>
        <w:t xml:space="preserve"> or </w:t>
      </w:r>
      <w:r w:rsidR="001643FA" w:rsidRPr="00DA0DA5">
        <w:rPr>
          <w:rFonts w:ascii="Arial" w:hAnsi="Arial" w:cs="Arial"/>
          <w:sz w:val="24"/>
          <w:szCs w:val="24"/>
          <w:lang w:val="en-US"/>
        </w:rPr>
        <w:t>her is guaranteed in section 35(3)(a) of the Constitution, 1996, which reads as follows:</w:t>
      </w:r>
    </w:p>
    <w:p w14:paraId="1AF26718" w14:textId="6069D40A" w:rsidR="001643FA" w:rsidRDefault="001643FA" w:rsidP="001643FA">
      <w:pPr>
        <w:pStyle w:val="ListParagraph"/>
        <w:spacing w:after="0" w:line="480" w:lineRule="auto"/>
        <w:ind w:left="851"/>
        <w:jc w:val="both"/>
        <w:rPr>
          <w:rFonts w:ascii="Arial" w:hAnsi="Arial" w:cs="Arial"/>
          <w:sz w:val="24"/>
          <w:szCs w:val="24"/>
          <w:lang w:val="en-US"/>
        </w:rPr>
      </w:pPr>
    </w:p>
    <w:p w14:paraId="42201BB6" w14:textId="3FD1D086" w:rsidR="001643FA" w:rsidRPr="001643FA" w:rsidRDefault="001643FA" w:rsidP="001643FA">
      <w:pPr>
        <w:pStyle w:val="ListParagraph"/>
        <w:spacing w:after="0" w:line="360" w:lineRule="auto"/>
        <w:ind w:left="851"/>
        <w:jc w:val="both"/>
        <w:rPr>
          <w:rFonts w:ascii="Arial" w:hAnsi="Arial" w:cs="Arial"/>
          <w:i/>
          <w:iCs/>
          <w:sz w:val="20"/>
          <w:szCs w:val="20"/>
          <w:lang w:val="en-US"/>
        </w:rPr>
      </w:pPr>
      <w:r w:rsidRPr="001643FA">
        <w:rPr>
          <w:rFonts w:ascii="Arial" w:hAnsi="Arial" w:cs="Arial"/>
          <w:i/>
          <w:iCs/>
          <w:sz w:val="20"/>
          <w:szCs w:val="20"/>
          <w:lang w:val="en-US"/>
        </w:rPr>
        <w:t>“Every accused person has a right to a fair trial, which includes the right-</w:t>
      </w:r>
    </w:p>
    <w:p w14:paraId="56F8790B" w14:textId="6CDA9CEC" w:rsidR="001643FA" w:rsidRPr="00DA0DA5" w:rsidRDefault="00DA0DA5" w:rsidP="00DA0DA5">
      <w:pPr>
        <w:spacing w:after="0" w:line="360" w:lineRule="auto"/>
        <w:ind w:left="1211" w:hanging="360"/>
        <w:jc w:val="both"/>
        <w:rPr>
          <w:rFonts w:ascii="Arial" w:hAnsi="Arial" w:cs="Arial"/>
          <w:i/>
          <w:iCs/>
          <w:sz w:val="20"/>
          <w:szCs w:val="20"/>
          <w:lang w:val="en-US"/>
        </w:rPr>
      </w:pPr>
      <w:r w:rsidRPr="001643FA">
        <w:rPr>
          <w:rFonts w:ascii="Arial" w:hAnsi="Arial" w:cs="Arial"/>
          <w:i/>
          <w:iCs/>
          <w:sz w:val="20"/>
          <w:szCs w:val="20"/>
          <w:lang w:val="en-US"/>
        </w:rPr>
        <w:t>(a)</w:t>
      </w:r>
      <w:r w:rsidRPr="001643FA">
        <w:rPr>
          <w:rFonts w:ascii="Arial" w:hAnsi="Arial" w:cs="Arial"/>
          <w:i/>
          <w:iCs/>
          <w:sz w:val="20"/>
          <w:szCs w:val="20"/>
          <w:lang w:val="en-US"/>
        </w:rPr>
        <w:tab/>
      </w:r>
      <w:r w:rsidR="001643FA" w:rsidRPr="00DA0DA5">
        <w:rPr>
          <w:rFonts w:ascii="Arial" w:hAnsi="Arial" w:cs="Arial"/>
          <w:i/>
          <w:iCs/>
          <w:sz w:val="20"/>
          <w:szCs w:val="20"/>
          <w:lang w:val="en-US"/>
        </w:rPr>
        <w:t xml:space="preserve">to be informed of the charge </w:t>
      </w:r>
      <w:r w:rsidR="001643FA" w:rsidRPr="00DA0DA5">
        <w:rPr>
          <w:rFonts w:ascii="Arial" w:hAnsi="Arial" w:cs="Arial"/>
          <w:i/>
          <w:iCs/>
          <w:sz w:val="20"/>
          <w:szCs w:val="20"/>
          <w:u w:val="single"/>
          <w:lang w:val="en-US"/>
        </w:rPr>
        <w:t>with sufficient detail to answer it</w:t>
      </w:r>
      <w:r w:rsidR="001643FA" w:rsidRPr="00DA0DA5">
        <w:rPr>
          <w:rFonts w:ascii="Arial" w:hAnsi="Arial" w:cs="Arial"/>
          <w:i/>
          <w:iCs/>
          <w:sz w:val="20"/>
          <w:szCs w:val="20"/>
          <w:lang w:val="en-US"/>
        </w:rPr>
        <w:t>.”</w:t>
      </w:r>
    </w:p>
    <w:p w14:paraId="02A5A792" w14:textId="0BE573B1" w:rsidR="001643FA" w:rsidRDefault="001643FA" w:rsidP="001643FA">
      <w:pPr>
        <w:pStyle w:val="ListParagraph"/>
        <w:spacing w:after="0" w:line="480" w:lineRule="auto"/>
        <w:ind w:left="851"/>
        <w:jc w:val="both"/>
        <w:rPr>
          <w:rFonts w:ascii="Arial" w:hAnsi="Arial" w:cs="Arial"/>
          <w:sz w:val="24"/>
          <w:szCs w:val="24"/>
          <w:lang w:val="en-US"/>
        </w:rPr>
      </w:pPr>
    </w:p>
    <w:p w14:paraId="54FA2372" w14:textId="42C5EE92" w:rsidR="005227A4" w:rsidRPr="00D64480" w:rsidRDefault="005227A4" w:rsidP="002C6668">
      <w:pPr>
        <w:spacing w:after="0" w:line="480" w:lineRule="auto"/>
        <w:ind w:firstLine="851"/>
        <w:jc w:val="both"/>
        <w:rPr>
          <w:rFonts w:ascii="Arial" w:hAnsi="Arial" w:cs="Arial"/>
          <w:sz w:val="24"/>
          <w:szCs w:val="24"/>
        </w:rPr>
      </w:pPr>
      <w:r>
        <w:rPr>
          <w:rFonts w:ascii="Arial" w:hAnsi="Arial" w:cs="Arial"/>
          <w:sz w:val="24"/>
          <w:szCs w:val="24"/>
        </w:rPr>
        <w:t>[Own emphasis].</w:t>
      </w:r>
    </w:p>
    <w:p w14:paraId="20BA94C8" w14:textId="77777777" w:rsidR="005227A4" w:rsidRDefault="005227A4" w:rsidP="005227A4">
      <w:pPr>
        <w:pStyle w:val="ListParagraph"/>
        <w:spacing w:after="0" w:line="480" w:lineRule="auto"/>
        <w:ind w:left="851"/>
        <w:jc w:val="both"/>
        <w:rPr>
          <w:rFonts w:ascii="Arial" w:hAnsi="Arial" w:cs="Arial"/>
          <w:sz w:val="24"/>
          <w:szCs w:val="24"/>
          <w:lang w:val="en-US"/>
        </w:rPr>
      </w:pPr>
    </w:p>
    <w:p w14:paraId="10EC8B8B" w14:textId="6C022D52" w:rsidR="00D64480" w:rsidRPr="00DA0DA5" w:rsidRDefault="00DA0DA5" w:rsidP="00DA0DA5">
      <w:pPr>
        <w:spacing w:after="0" w:line="480" w:lineRule="auto"/>
        <w:ind w:left="851" w:hanging="851"/>
        <w:jc w:val="both"/>
        <w:rPr>
          <w:rFonts w:ascii="Arial" w:hAnsi="Arial" w:cs="Arial"/>
          <w:sz w:val="24"/>
          <w:szCs w:val="24"/>
          <w:lang w:val="en-US"/>
        </w:rPr>
      </w:pPr>
      <w:r w:rsidRPr="005227A4">
        <w:rPr>
          <w:rFonts w:ascii="Arial" w:hAnsi="Arial" w:cs="Arial"/>
          <w:sz w:val="24"/>
          <w:szCs w:val="24"/>
          <w:lang w:val="en-US"/>
        </w:rPr>
        <w:t>[56]</w:t>
      </w:r>
      <w:r w:rsidRPr="005227A4">
        <w:rPr>
          <w:rFonts w:ascii="Arial" w:hAnsi="Arial" w:cs="Arial"/>
          <w:sz w:val="24"/>
          <w:szCs w:val="24"/>
          <w:lang w:val="en-US"/>
        </w:rPr>
        <w:tab/>
      </w:r>
      <w:r w:rsidR="005227A4" w:rsidRPr="00DA0DA5">
        <w:rPr>
          <w:rFonts w:ascii="Arial" w:hAnsi="Arial" w:cs="Arial"/>
          <w:sz w:val="24"/>
          <w:szCs w:val="24"/>
          <w:lang w:val="en-US"/>
        </w:rPr>
        <w:t xml:space="preserve">The charge sheet </w:t>
      </w:r>
      <w:r w:rsidR="00BE78D8" w:rsidRPr="00DA0DA5">
        <w:rPr>
          <w:rFonts w:ascii="Arial" w:hAnsi="Arial" w:cs="Arial"/>
          <w:sz w:val="24"/>
          <w:szCs w:val="24"/>
          <w:lang w:val="en-US"/>
        </w:rPr>
        <w:t xml:space="preserve">should set forth the relevant elements of the </w:t>
      </w:r>
      <w:r w:rsidR="00FD496F" w:rsidRPr="00DA0DA5">
        <w:rPr>
          <w:rFonts w:ascii="Arial" w:hAnsi="Arial" w:cs="Arial"/>
          <w:sz w:val="24"/>
          <w:szCs w:val="24"/>
          <w:lang w:val="en-US"/>
        </w:rPr>
        <w:t>offence</w:t>
      </w:r>
      <w:r w:rsidR="00BE78D8" w:rsidRPr="00DA0DA5">
        <w:rPr>
          <w:rFonts w:ascii="Arial" w:hAnsi="Arial" w:cs="Arial"/>
          <w:sz w:val="24"/>
          <w:szCs w:val="24"/>
          <w:lang w:val="en-US"/>
        </w:rPr>
        <w:t xml:space="preserve"> that has been committed and the manner in which </w:t>
      </w:r>
      <w:r w:rsidR="00FD496F" w:rsidRPr="00DA0DA5">
        <w:rPr>
          <w:rFonts w:ascii="Arial" w:hAnsi="Arial" w:cs="Arial"/>
          <w:sz w:val="24"/>
          <w:szCs w:val="24"/>
          <w:lang w:val="en-US"/>
        </w:rPr>
        <w:t>such</w:t>
      </w:r>
      <w:r w:rsidR="00BE78D8" w:rsidRPr="00DA0DA5">
        <w:rPr>
          <w:rFonts w:ascii="Arial" w:hAnsi="Arial" w:cs="Arial"/>
          <w:sz w:val="24"/>
          <w:szCs w:val="24"/>
          <w:lang w:val="en-US"/>
        </w:rPr>
        <w:t xml:space="preserve"> offence was committed.</w:t>
      </w:r>
      <w:r w:rsidR="002C6668" w:rsidRPr="00DA0DA5">
        <w:rPr>
          <w:rFonts w:ascii="Arial" w:hAnsi="Arial" w:cs="Arial"/>
          <w:sz w:val="24"/>
          <w:szCs w:val="24"/>
          <w:lang w:val="en-US"/>
        </w:rPr>
        <w:t xml:space="preserve">  An accused should not be left to speculate about an element of the </w:t>
      </w:r>
      <w:r w:rsidR="0009630C" w:rsidRPr="00DA0DA5">
        <w:rPr>
          <w:rFonts w:ascii="Arial" w:hAnsi="Arial" w:cs="Arial"/>
          <w:sz w:val="24"/>
          <w:szCs w:val="24"/>
          <w:lang w:val="en-US"/>
        </w:rPr>
        <w:t>offence</w:t>
      </w:r>
      <w:r w:rsidR="002C6668" w:rsidRPr="00DA0DA5">
        <w:rPr>
          <w:rFonts w:ascii="Arial" w:hAnsi="Arial" w:cs="Arial"/>
          <w:sz w:val="24"/>
          <w:szCs w:val="24"/>
          <w:lang w:val="en-US"/>
        </w:rPr>
        <w:t>.</w:t>
      </w:r>
      <w:r w:rsidR="002C6668">
        <w:rPr>
          <w:rStyle w:val="FootnoteReference"/>
          <w:rFonts w:ascii="Arial" w:hAnsi="Arial" w:cs="Arial"/>
          <w:sz w:val="24"/>
          <w:szCs w:val="24"/>
          <w:lang w:val="en-US"/>
        </w:rPr>
        <w:footnoteReference w:id="23"/>
      </w:r>
      <w:r w:rsidR="002C6668" w:rsidRPr="00DA0DA5">
        <w:rPr>
          <w:rFonts w:ascii="Arial" w:hAnsi="Arial" w:cs="Arial"/>
          <w:sz w:val="24"/>
          <w:szCs w:val="24"/>
          <w:lang w:val="en-US"/>
        </w:rPr>
        <w:t xml:space="preserve"> </w:t>
      </w:r>
    </w:p>
    <w:p w14:paraId="51BE53E1" w14:textId="77777777" w:rsidR="007C3254" w:rsidRDefault="007C3254" w:rsidP="007C3254">
      <w:pPr>
        <w:pStyle w:val="ListParagraph"/>
        <w:spacing w:after="0" w:line="480" w:lineRule="auto"/>
        <w:ind w:left="851"/>
        <w:jc w:val="both"/>
        <w:rPr>
          <w:rFonts w:ascii="Arial" w:hAnsi="Arial" w:cs="Arial"/>
          <w:sz w:val="24"/>
          <w:szCs w:val="24"/>
        </w:rPr>
      </w:pPr>
    </w:p>
    <w:p w14:paraId="5E82751F" w14:textId="20163BC6" w:rsidR="002C6668"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C6668" w:rsidRPr="00DA0DA5">
        <w:rPr>
          <w:rFonts w:ascii="Arial" w:hAnsi="Arial" w:cs="Arial"/>
          <w:sz w:val="24"/>
          <w:szCs w:val="24"/>
        </w:rPr>
        <w:t xml:space="preserve">In </w:t>
      </w:r>
      <w:r w:rsidR="002C6668" w:rsidRPr="00DA0DA5">
        <w:rPr>
          <w:rFonts w:ascii="Arial" w:hAnsi="Arial" w:cs="Arial"/>
          <w:i/>
          <w:iCs/>
          <w:sz w:val="24"/>
          <w:szCs w:val="24"/>
        </w:rPr>
        <w:t>R v Alexander and Others</w:t>
      </w:r>
      <w:r w:rsidR="002C6668" w:rsidRPr="00DA0DA5">
        <w:rPr>
          <w:rFonts w:ascii="Arial" w:hAnsi="Arial" w:cs="Arial"/>
          <w:sz w:val="24"/>
          <w:szCs w:val="24"/>
        </w:rPr>
        <w:t>,</w:t>
      </w:r>
      <w:r w:rsidR="002C6668">
        <w:rPr>
          <w:rStyle w:val="FootnoteReference"/>
          <w:rFonts w:ascii="Arial" w:hAnsi="Arial" w:cs="Arial"/>
          <w:sz w:val="24"/>
          <w:szCs w:val="24"/>
        </w:rPr>
        <w:footnoteReference w:id="24"/>
      </w:r>
      <w:r w:rsidR="002C6668" w:rsidRPr="00DA0DA5">
        <w:rPr>
          <w:rFonts w:ascii="Arial" w:hAnsi="Arial" w:cs="Arial"/>
          <w:sz w:val="24"/>
          <w:szCs w:val="24"/>
        </w:rPr>
        <w:t xml:space="preserve"> it was stated that:</w:t>
      </w:r>
    </w:p>
    <w:p w14:paraId="683598DB" w14:textId="77777777" w:rsidR="002C6668" w:rsidRPr="002C6668" w:rsidRDefault="002C6668" w:rsidP="002C6668">
      <w:pPr>
        <w:pStyle w:val="ListParagraph"/>
        <w:rPr>
          <w:rFonts w:ascii="Arial" w:hAnsi="Arial" w:cs="Arial"/>
          <w:sz w:val="24"/>
          <w:szCs w:val="24"/>
        </w:rPr>
      </w:pPr>
    </w:p>
    <w:p w14:paraId="7508A883" w14:textId="58468FA8" w:rsidR="002C6668" w:rsidRPr="002C6668" w:rsidRDefault="002C6668" w:rsidP="002C6668">
      <w:pPr>
        <w:pStyle w:val="ListParagraph"/>
        <w:spacing w:after="0" w:line="360" w:lineRule="auto"/>
        <w:ind w:left="851"/>
        <w:jc w:val="both"/>
        <w:rPr>
          <w:rFonts w:ascii="Arial" w:hAnsi="Arial" w:cs="Arial"/>
          <w:sz w:val="20"/>
          <w:szCs w:val="20"/>
        </w:rPr>
      </w:pPr>
      <w:r w:rsidRPr="002C6668">
        <w:rPr>
          <w:rFonts w:ascii="Arial" w:hAnsi="Arial" w:cs="Arial"/>
          <w:i/>
          <w:iCs/>
          <w:sz w:val="20"/>
          <w:szCs w:val="20"/>
          <w:lang w:val="en-US"/>
        </w:rPr>
        <w:t xml:space="preserve">“The purpose of a charge-sheet is to inform the accused in clear and unmistakable language what the charge is or what the charges are which he has to meet.  It must not be framed in such a way that an accused person has to guess or puzzle out by piecing sections of the </w:t>
      </w:r>
      <w:r w:rsidRPr="002C6668">
        <w:rPr>
          <w:rFonts w:ascii="Arial" w:hAnsi="Arial" w:cs="Arial"/>
          <w:i/>
          <w:iCs/>
          <w:sz w:val="20"/>
          <w:szCs w:val="20"/>
          <w:lang w:val="en-US"/>
        </w:rPr>
        <w:lastRenderedPageBreak/>
        <w:t>indictment or portions of sections together what the real charge is which the Crown intends to lay against him.</w:t>
      </w:r>
      <w:r w:rsidRPr="002C6668">
        <w:rPr>
          <w:rFonts w:ascii="Arial" w:hAnsi="Arial" w:cs="Arial"/>
          <w:sz w:val="20"/>
          <w:szCs w:val="20"/>
          <w:lang w:val="en-US"/>
        </w:rPr>
        <w:t>”</w:t>
      </w:r>
    </w:p>
    <w:p w14:paraId="042C6776" w14:textId="77777777" w:rsidR="00C026A3" w:rsidRDefault="00C026A3" w:rsidP="00C026A3">
      <w:pPr>
        <w:pStyle w:val="ListParagraph"/>
        <w:spacing w:after="0" w:line="480" w:lineRule="auto"/>
        <w:ind w:left="851"/>
        <w:jc w:val="both"/>
        <w:rPr>
          <w:rFonts w:ascii="Arial" w:hAnsi="Arial" w:cs="Arial"/>
          <w:sz w:val="24"/>
          <w:szCs w:val="24"/>
        </w:rPr>
      </w:pPr>
    </w:p>
    <w:p w14:paraId="41535BA8" w14:textId="66BC8C34" w:rsidR="00C026A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026A3" w:rsidRPr="00DA0DA5">
        <w:rPr>
          <w:rFonts w:ascii="Arial" w:hAnsi="Arial" w:cs="Arial"/>
          <w:sz w:val="24"/>
          <w:szCs w:val="24"/>
        </w:rPr>
        <w:t>Accordingly, the primary determination is whether the charges sufficiently inform the second applicant of what case he has to meet.</w:t>
      </w:r>
      <w:r w:rsidR="00C026A3">
        <w:rPr>
          <w:rStyle w:val="FootnoteReference"/>
          <w:rFonts w:ascii="Arial" w:hAnsi="Arial" w:cs="Arial"/>
          <w:sz w:val="24"/>
          <w:szCs w:val="24"/>
        </w:rPr>
        <w:footnoteReference w:id="25"/>
      </w:r>
      <w:r w:rsidR="00C026A3" w:rsidRPr="00DA0DA5">
        <w:rPr>
          <w:rFonts w:ascii="Arial" w:hAnsi="Arial" w:cs="Arial"/>
          <w:sz w:val="24"/>
          <w:szCs w:val="24"/>
        </w:rPr>
        <w:t xml:space="preserve">  </w:t>
      </w:r>
    </w:p>
    <w:p w14:paraId="55C4E930" w14:textId="77777777" w:rsidR="00F278D9" w:rsidRDefault="00F278D9" w:rsidP="00F278D9">
      <w:pPr>
        <w:pStyle w:val="ListParagraph"/>
        <w:spacing w:after="0" w:line="480" w:lineRule="auto"/>
        <w:ind w:left="851"/>
        <w:jc w:val="both"/>
        <w:rPr>
          <w:rFonts w:ascii="Arial" w:hAnsi="Arial" w:cs="Arial"/>
          <w:sz w:val="24"/>
          <w:szCs w:val="24"/>
        </w:rPr>
      </w:pPr>
    </w:p>
    <w:p w14:paraId="2190ADB3" w14:textId="763700BC" w:rsidR="001276DE"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[59]</w:t>
      </w:r>
      <w:r>
        <w:rPr>
          <w:rFonts w:ascii="Arial" w:hAnsi="Arial" w:cs="Arial"/>
          <w:sz w:val="24"/>
          <w:szCs w:val="24"/>
        </w:rPr>
        <w:tab/>
      </w:r>
      <w:r w:rsidR="00C026A3" w:rsidRPr="00DA0DA5">
        <w:rPr>
          <w:rFonts w:ascii="Arial" w:hAnsi="Arial" w:cs="Arial"/>
          <w:sz w:val="24"/>
          <w:szCs w:val="24"/>
        </w:rPr>
        <w:t xml:space="preserve">I am satisfied that the charge sheet sets out the relevant elements of the offence of forgery in respect of counts 3 and 5, </w:t>
      </w:r>
      <w:r w:rsidR="00E60312" w:rsidRPr="00DA0DA5">
        <w:rPr>
          <w:rFonts w:ascii="Arial" w:hAnsi="Arial" w:cs="Arial"/>
          <w:sz w:val="24"/>
          <w:szCs w:val="24"/>
        </w:rPr>
        <w:t>including</w:t>
      </w:r>
      <w:r w:rsidR="00C026A3" w:rsidRPr="00DA0DA5">
        <w:rPr>
          <w:rFonts w:ascii="Arial" w:hAnsi="Arial" w:cs="Arial"/>
          <w:sz w:val="24"/>
          <w:szCs w:val="24"/>
        </w:rPr>
        <w:t xml:space="preserve"> the manner in which the offences</w:t>
      </w:r>
      <w:r w:rsidR="001276DE" w:rsidRPr="00DA0DA5">
        <w:rPr>
          <w:rFonts w:ascii="Arial" w:hAnsi="Arial" w:cs="Arial"/>
          <w:sz w:val="24"/>
          <w:szCs w:val="24"/>
        </w:rPr>
        <w:t xml:space="preserve"> were committed.  Notwithstanding that the State, at this point, does not know, with certainty, the identity of the person who forged the documents, it is clear from the unambiguous terms contained in the charge-sheet that the State has nailed its colours to the mast and relies </w:t>
      </w:r>
      <w:r w:rsidR="008971AF" w:rsidRPr="00DA0DA5">
        <w:rPr>
          <w:rFonts w:ascii="Arial" w:hAnsi="Arial" w:cs="Arial"/>
          <w:sz w:val="24"/>
          <w:szCs w:val="24"/>
        </w:rPr>
        <w:t xml:space="preserve">solely </w:t>
      </w:r>
      <w:r w:rsidR="001276DE" w:rsidRPr="00DA0DA5">
        <w:rPr>
          <w:rFonts w:ascii="Arial" w:hAnsi="Arial" w:cs="Arial"/>
          <w:sz w:val="24"/>
          <w:szCs w:val="24"/>
        </w:rPr>
        <w:t>on the personal liability of the second applicant.</w:t>
      </w:r>
      <w:r w:rsidR="00E60312" w:rsidRPr="00DA0DA5">
        <w:rPr>
          <w:rFonts w:ascii="Arial" w:hAnsi="Arial" w:cs="Arial"/>
          <w:sz w:val="24"/>
          <w:szCs w:val="24"/>
        </w:rPr>
        <w:t xml:space="preserve">  It cannot be gainsaid that the second applicant has sufficient detail to (i) inform him of the nature of the charges against him; (ii) enable him to answer</w:t>
      </w:r>
      <w:r w:rsidR="00C67986" w:rsidRPr="00DA0DA5">
        <w:rPr>
          <w:rFonts w:ascii="Arial" w:hAnsi="Arial" w:cs="Arial"/>
          <w:sz w:val="24"/>
          <w:szCs w:val="24"/>
        </w:rPr>
        <w:t xml:space="preserve"> thereto; and (iii) proper</w:t>
      </w:r>
      <w:r w:rsidR="008971AF" w:rsidRPr="00DA0DA5">
        <w:rPr>
          <w:rFonts w:ascii="Arial" w:hAnsi="Arial" w:cs="Arial"/>
          <w:sz w:val="24"/>
          <w:szCs w:val="24"/>
        </w:rPr>
        <w:t>ly</w:t>
      </w:r>
      <w:r w:rsidR="00C67986" w:rsidRPr="00DA0DA5">
        <w:rPr>
          <w:rFonts w:ascii="Arial" w:hAnsi="Arial" w:cs="Arial"/>
          <w:sz w:val="24"/>
          <w:szCs w:val="24"/>
        </w:rPr>
        <w:t xml:space="preserve"> </w:t>
      </w:r>
      <w:r w:rsidR="008971AF" w:rsidRPr="00DA0DA5">
        <w:rPr>
          <w:rFonts w:ascii="Arial" w:hAnsi="Arial" w:cs="Arial"/>
          <w:sz w:val="24"/>
          <w:szCs w:val="24"/>
        </w:rPr>
        <w:t>mount his defence</w:t>
      </w:r>
      <w:r w:rsidR="00E60312" w:rsidRPr="00DA0DA5">
        <w:rPr>
          <w:rFonts w:ascii="Arial" w:hAnsi="Arial" w:cs="Arial"/>
          <w:sz w:val="24"/>
          <w:szCs w:val="24"/>
        </w:rPr>
        <w:t xml:space="preserve">.  </w:t>
      </w:r>
      <w:r w:rsidR="008971AF" w:rsidRPr="00DA0DA5">
        <w:rPr>
          <w:rFonts w:ascii="Arial" w:hAnsi="Arial" w:cs="Arial"/>
          <w:sz w:val="24"/>
          <w:szCs w:val="24"/>
        </w:rPr>
        <w:t xml:space="preserve">There can be no question that the second applicant is </w:t>
      </w:r>
      <w:r w:rsidR="00C12908" w:rsidRPr="00DA0DA5">
        <w:rPr>
          <w:rFonts w:ascii="Arial" w:hAnsi="Arial" w:cs="Arial"/>
          <w:sz w:val="24"/>
          <w:szCs w:val="24"/>
        </w:rPr>
        <w:t xml:space="preserve">not </w:t>
      </w:r>
      <w:r w:rsidR="008971AF" w:rsidRPr="00DA0DA5">
        <w:rPr>
          <w:rFonts w:ascii="Arial" w:hAnsi="Arial" w:cs="Arial"/>
          <w:sz w:val="24"/>
          <w:szCs w:val="24"/>
        </w:rPr>
        <w:t>at risk of a trial by ambush</w:t>
      </w:r>
      <w:r w:rsidR="00C12908" w:rsidRPr="00DA0DA5">
        <w:rPr>
          <w:rFonts w:ascii="Arial" w:hAnsi="Arial" w:cs="Arial"/>
          <w:sz w:val="24"/>
          <w:szCs w:val="24"/>
        </w:rPr>
        <w:t xml:space="preserve"> or </w:t>
      </w:r>
      <w:r w:rsidR="00DF3FCA" w:rsidRPr="00DA0DA5">
        <w:rPr>
          <w:rFonts w:ascii="Arial" w:hAnsi="Arial" w:cs="Arial"/>
          <w:sz w:val="24"/>
          <w:szCs w:val="24"/>
        </w:rPr>
        <w:t xml:space="preserve">prejudiced </w:t>
      </w:r>
      <w:r w:rsidR="00C12908" w:rsidRPr="00DA0DA5">
        <w:rPr>
          <w:rFonts w:ascii="Arial" w:hAnsi="Arial" w:cs="Arial"/>
          <w:sz w:val="24"/>
          <w:szCs w:val="24"/>
        </w:rPr>
        <w:t>in his preparations for trial</w:t>
      </w:r>
      <w:r w:rsidR="008971AF" w:rsidRPr="00DA0DA5">
        <w:rPr>
          <w:rFonts w:ascii="Arial" w:hAnsi="Arial" w:cs="Arial"/>
          <w:sz w:val="24"/>
          <w:szCs w:val="24"/>
        </w:rPr>
        <w:t xml:space="preserve">.  </w:t>
      </w:r>
      <w:r w:rsidR="001276DE" w:rsidRPr="00DA0DA5">
        <w:rPr>
          <w:rFonts w:ascii="Arial" w:hAnsi="Arial" w:cs="Arial"/>
          <w:sz w:val="24"/>
          <w:szCs w:val="24"/>
        </w:rPr>
        <w:t>Whether the State will</w:t>
      </w:r>
      <w:r w:rsidR="008971AF" w:rsidRPr="00DA0DA5">
        <w:rPr>
          <w:rFonts w:ascii="Arial" w:hAnsi="Arial" w:cs="Arial"/>
          <w:sz w:val="24"/>
          <w:szCs w:val="24"/>
        </w:rPr>
        <w:t>,</w:t>
      </w:r>
      <w:r w:rsidR="001276DE" w:rsidRPr="00DA0DA5">
        <w:rPr>
          <w:rFonts w:ascii="Arial" w:hAnsi="Arial" w:cs="Arial"/>
          <w:sz w:val="24"/>
          <w:szCs w:val="24"/>
        </w:rPr>
        <w:t xml:space="preserve"> in due course</w:t>
      </w:r>
      <w:r w:rsidR="008971AF" w:rsidRPr="00DA0DA5">
        <w:rPr>
          <w:rFonts w:ascii="Arial" w:hAnsi="Arial" w:cs="Arial"/>
          <w:sz w:val="24"/>
          <w:szCs w:val="24"/>
        </w:rPr>
        <w:t>,</w:t>
      </w:r>
      <w:r w:rsidR="001276DE" w:rsidRPr="00DA0DA5">
        <w:rPr>
          <w:rFonts w:ascii="Arial" w:hAnsi="Arial" w:cs="Arial"/>
          <w:sz w:val="24"/>
          <w:szCs w:val="24"/>
        </w:rPr>
        <w:t xml:space="preserve"> be in a position to prove its case </w:t>
      </w:r>
      <w:r w:rsidR="00C12908" w:rsidRPr="00DA0DA5">
        <w:rPr>
          <w:rFonts w:ascii="Arial" w:hAnsi="Arial" w:cs="Arial"/>
          <w:sz w:val="24"/>
          <w:szCs w:val="24"/>
        </w:rPr>
        <w:t xml:space="preserve">on the evidence available to it, which evidence is not within the particular knowledge of this court, </w:t>
      </w:r>
      <w:r w:rsidR="001276DE" w:rsidRPr="00DA0DA5">
        <w:rPr>
          <w:rFonts w:ascii="Arial" w:hAnsi="Arial" w:cs="Arial"/>
          <w:sz w:val="24"/>
          <w:szCs w:val="24"/>
        </w:rPr>
        <w:t>is not for this court to determine.</w:t>
      </w:r>
      <w:r w:rsidR="0044169F" w:rsidRPr="00DA0DA5">
        <w:rPr>
          <w:rFonts w:ascii="Arial" w:hAnsi="Arial" w:cs="Arial"/>
          <w:sz w:val="24"/>
          <w:szCs w:val="24"/>
        </w:rPr>
        <w:t xml:space="preserve">  I am not at liberty, at this stage of the proceedings, to draw an inference concerning the strength or weakness of the State’s case from the prosecutor</w:t>
      </w:r>
      <w:r w:rsidR="001B6DA2" w:rsidRPr="00DA0DA5">
        <w:rPr>
          <w:rFonts w:ascii="Arial" w:hAnsi="Arial" w:cs="Arial"/>
          <w:sz w:val="24"/>
          <w:szCs w:val="24"/>
        </w:rPr>
        <w:t>’</w:t>
      </w:r>
      <w:r w:rsidR="0044169F" w:rsidRPr="00DA0DA5">
        <w:rPr>
          <w:rFonts w:ascii="Arial" w:hAnsi="Arial" w:cs="Arial"/>
          <w:sz w:val="24"/>
          <w:szCs w:val="24"/>
        </w:rPr>
        <w:t>s inability to furnish particulars.</w:t>
      </w:r>
    </w:p>
    <w:p w14:paraId="4904643F" w14:textId="77777777" w:rsidR="007D7204" w:rsidRDefault="007D7204" w:rsidP="007D7204">
      <w:pPr>
        <w:spacing w:after="0" w:line="480" w:lineRule="auto"/>
        <w:rPr>
          <w:rFonts w:ascii="Arial" w:hAnsi="Arial" w:cs="Arial"/>
          <w:sz w:val="24"/>
          <w:szCs w:val="24"/>
          <w:u w:val="single"/>
        </w:rPr>
      </w:pPr>
    </w:p>
    <w:p w14:paraId="4664765B" w14:textId="461C5C0E" w:rsidR="001276DE" w:rsidRPr="007D7204" w:rsidRDefault="007D7204" w:rsidP="007D7204">
      <w:pPr>
        <w:spacing w:after="0" w:line="480" w:lineRule="auto"/>
        <w:rPr>
          <w:rFonts w:ascii="Arial" w:hAnsi="Arial" w:cs="Arial"/>
          <w:sz w:val="24"/>
          <w:szCs w:val="24"/>
          <w:u w:val="single"/>
        </w:rPr>
      </w:pPr>
      <w:r w:rsidRPr="007D7204">
        <w:rPr>
          <w:rFonts w:ascii="Arial" w:hAnsi="Arial" w:cs="Arial"/>
          <w:sz w:val="24"/>
          <w:szCs w:val="24"/>
          <w:u w:val="single"/>
        </w:rPr>
        <w:t>Fraud</w:t>
      </w:r>
    </w:p>
    <w:p w14:paraId="56464430" w14:textId="35C3126C" w:rsidR="007D7204"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7D7204" w:rsidRPr="00DA0DA5">
        <w:rPr>
          <w:rFonts w:ascii="Arial" w:hAnsi="Arial" w:cs="Arial"/>
          <w:sz w:val="24"/>
          <w:szCs w:val="24"/>
        </w:rPr>
        <w:t>Taking into account the aforesaid authorities, and on a careful consideration of the charge-sheet, read together with the preamble thereto, as amplified by the further particulars, I am satisfied that the charge sheet sets out the relevant elements of the offence of fraud, as against the first applicant, in respect of count 1, and as against the second applicant in respect of counts 1, 2 and 4</w:t>
      </w:r>
      <w:r w:rsidR="005D7D6D" w:rsidRPr="00DA0DA5">
        <w:rPr>
          <w:rFonts w:ascii="Arial" w:hAnsi="Arial" w:cs="Arial"/>
          <w:sz w:val="24"/>
          <w:szCs w:val="24"/>
        </w:rPr>
        <w:t>, and that same complies with section 84(1) of the CPA</w:t>
      </w:r>
      <w:r w:rsidR="007D7204" w:rsidRPr="00DA0DA5">
        <w:rPr>
          <w:rFonts w:ascii="Arial" w:hAnsi="Arial" w:cs="Arial"/>
          <w:sz w:val="24"/>
          <w:szCs w:val="24"/>
        </w:rPr>
        <w:t>.</w:t>
      </w:r>
    </w:p>
    <w:p w14:paraId="68F871EF" w14:textId="44059D68" w:rsidR="005D7D6D" w:rsidRDefault="005D7D6D" w:rsidP="005D7D6D">
      <w:pPr>
        <w:pStyle w:val="ListParagraph"/>
        <w:spacing w:after="0" w:line="480" w:lineRule="auto"/>
        <w:ind w:left="851"/>
        <w:jc w:val="both"/>
        <w:rPr>
          <w:rFonts w:ascii="Arial" w:hAnsi="Arial" w:cs="Arial"/>
          <w:sz w:val="24"/>
          <w:szCs w:val="24"/>
        </w:rPr>
      </w:pPr>
    </w:p>
    <w:p w14:paraId="0F72B429" w14:textId="40F4CB1E" w:rsidR="005D7D6D"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r>
      <w:r w:rsidR="001B686A" w:rsidRPr="00DA0DA5">
        <w:rPr>
          <w:rFonts w:ascii="Arial" w:hAnsi="Arial" w:cs="Arial"/>
          <w:sz w:val="24"/>
          <w:szCs w:val="24"/>
        </w:rPr>
        <w:t>Insofar as the applicants contend that the State has refused to identify the presumptions in terms of section 332 of the Act</w:t>
      </w:r>
      <w:r w:rsidR="00212EFD" w:rsidRPr="00DA0DA5">
        <w:rPr>
          <w:rFonts w:ascii="Arial" w:hAnsi="Arial" w:cs="Arial"/>
          <w:sz w:val="24"/>
          <w:szCs w:val="24"/>
        </w:rPr>
        <w:t>,</w:t>
      </w:r>
      <w:r w:rsidR="001B686A" w:rsidRPr="00DA0DA5">
        <w:rPr>
          <w:rFonts w:ascii="Arial" w:hAnsi="Arial" w:cs="Arial"/>
          <w:sz w:val="24"/>
          <w:szCs w:val="24"/>
        </w:rPr>
        <w:t xml:space="preserve"> upon which it shall rely at trial, same is without merit.  The State has advised that it intends relying on the presumptions, which have not yet been declared unconstitutional.  The relevant sub-sections </w:t>
      </w:r>
      <w:r w:rsidR="00110F9F" w:rsidRPr="00DA0DA5">
        <w:rPr>
          <w:rFonts w:ascii="Arial" w:hAnsi="Arial" w:cs="Arial"/>
          <w:sz w:val="24"/>
          <w:szCs w:val="24"/>
        </w:rPr>
        <w:t xml:space="preserve">of section 332 of the CPA </w:t>
      </w:r>
      <w:r w:rsidR="001B686A" w:rsidRPr="00DA0DA5">
        <w:rPr>
          <w:rFonts w:ascii="Arial" w:hAnsi="Arial" w:cs="Arial"/>
          <w:sz w:val="24"/>
          <w:szCs w:val="24"/>
        </w:rPr>
        <w:t>which remain</w:t>
      </w:r>
      <w:r w:rsidR="00110F9F" w:rsidRPr="00DA0DA5">
        <w:rPr>
          <w:rFonts w:ascii="Arial" w:hAnsi="Arial" w:cs="Arial"/>
          <w:sz w:val="24"/>
          <w:szCs w:val="24"/>
        </w:rPr>
        <w:t xml:space="preserve"> in operation</w:t>
      </w:r>
      <w:r w:rsidR="001B686A" w:rsidRPr="00DA0DA5">
        <w:rPr>
          <w:rFonts w:ascii="Arial" w:hAnsi="Arial" w:cs="Arial"/>
          <w:sz w:val="24"/>
          <w:szCs w:val="24"/>
        </w:rPr>
        <w:t>, and</w:t>
      </w:r>
      <w:r w:rsidR="0074550D" w:rsidRPr="00DA0DA5">
        <w:rPr>
          <w:rFonts w:ascii="Arial" w:hAnsi="Arial" w:cs="Arial"/>
          <w:sz w:val="24"/>
          <w:szCs w:val="24"/>
        </w:rPr>
        <w:t xml:space="preserve"> which</w:t>
      </w:r>
      <w:r w:rsidR="001B686A" w:rsidRPr="00DA0DA5">
        <w:rPr>
          <w:rFonts w:ascii="Arial" w:hAnsi="Arial" w:cs="Arial"/>
          <w:sz w:val="24"/>
          <w:szCs w:val="24"/>
        </w:rPr>
        <w:t xml:space="preserve"> are of relevance to the proceedings against the</w:t>
      </w:r>
      <w:r w:rsidR="0074550D" w:rsidRPr="00DA0DA5">
        <w:rPr>
          <w:rFonts w:ascii="Arial" w:hAnsi="Arial" w:cs="Arial"/>
          <w:sz w:val="24"/>
          <w:szCs w:val="24"/>
        </w:rPr>
        <w:t xml:space="preserve"> respective</w:t>
      </w:r>
      <w:r w:rsidR="001B686A" w:rsidRPr="00DA0DA5">
        <w:rPr>
          <w:rFonts w:ascii="Arial" w:hAnsi="Arial" w:cs="Arial"/>
          <w:sz w:val="24"/>
          <w:szCs w:val="24"/>
        </w:rPr>
        <w:t xml:space="preserve"> applicants are limited to those which pertain to corporate bodies and directors/servants thereof and are self-evident. </w:t>
      </w:r>
    </w:p>
    <w:p w14:paraId="69467A23" w14:textId="77777777" w:rsidR="00C94310" w:rsidRPr="00C94310" w:rsidRDefault="00C94310" w:rsidP="00944AC8">
      <w:pPr>
        <w:pStyle w:val="ListParagraph"/>
        <w:spacing w:after="0" w:line="480" w:lineRule="auto"/>
        <w:rPr>
          <w:rFonts w:ascii="Arial" w:hAnsi="Arial" w:cs="Arial"/>
          <w:sz w:val="24"/>
          <w:szCs w:val="24"/>
        </w:rPr>
      </w:pPr>
    </w:p>
    <w:p w14:paraId="77A2DF6F" w14:textId="1C76FBA2" w:rsidR="00184388"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[62]</w:t>
      </w:r>
      <w:r>
        <w:rPr>
          <w:rFonts w:ascii="Arial" w:hAnsi="Arial" w:cs="Arial"/>
          <w:sz w:val="24"/>
          <w:szCs w:val="24"/>
        </w:rPr>
        <w:tab/>
      </w:r>
      <w:r w:rsidR="00C94310" w:rsidRPr="00DA0DA5">
        <w:rPr>
          <w:rFonts w:ascii="Arial" w:hAnsi="Arial" w:cs="Arial"/>
          <w:sz w:val="24"/>
          <w:szCs w:val="24"/>
        </w:rPr>
        <w:t xml:space="preserve">Moreover, it is clear that the State, in the main, seeks to hold the first applicant liable for the actions of the second applicant in the exercise of his powers or in the performance of his duties </w:t>
      </w:r>
      <w:r w:rsidR="000E4C00" w:rsidRPr="00DA0DA5">
        <w:rPr>
          <w:rFonts w:ascii="Arial" w:hAnsi="Arial" w:cs="Arial"/>
          <w:sz w:val="24"/>
          <w:szCs w:val="24"/>
        </w:rPr>
        <w:t xml:space="preserve">as a director of the </w:t>
      </w:r>
      <w:r w:rsidR="00C94310" w:rsidRPr="00DA0DA5">
        <w:rPr>
          <w:rFonts w:ascii="Arial" w:hAnsi="Arial" w:cs="Arial"/>
          <w:sz w:val="24"/>
          <w:szCs w:val="24"/>
        </w:rPr>
        <w:t>first applicant</w:t>
      </w:r>
      <w:r w:rsidR="00ED6890" w:rsidRPr="00DA0DA5">
        <w:rPr>
          <w:rFonts w:ascii="Arial" w:hAnsi="Arial" w:cs="Arial"/>
          <w:sz w:val="24"/>
          <w:szCs w:val="24"/>
        </w:rPr>
        <w:t xml:space="preserve">, such actions </w:t>
      </w:r>
      <w:r w:rsidR="002A5CCD" w:rsidRPr="00DA0DA5">
        <w:rPr>
          <w:rFonts w:ascii="Arial" w:hAnsi="Arial" w:cs="Arial"/>
          <w:sz w:val="24"/>
          <w:szCs w:val="24"/>
        </w:rPr>
        <w:t>being the respective misrepresentations as contained in the respective charges</w:t>
      </w:r>
      <w:r w:rsidR="00C94310" w:rsidRPr="00DA0DA5">
        <w:rPr>
          <w:rFonts w:ascii="Arial" w:hAnsi="Arial" w:cs="Arial"/>
          <w:sz w:val="24"/>
          <w:szCs w:val="24"/>
        </w:rPr>
        <w:t>.  It is further clear that the State seeks to hold the second applicant liable for his own actions.</w:t>
      </w:r>
      <w:r w:rsidR="00ED6890" w:rsidRPr="00DA0DA5">
        <w:rPr>
          <w:rFonts w:ascii="Arial" w:hAnsi="Arial" w:cs="Arial"/>
          <w:sz w:val="24"/>
          <w:szCs w:val="24"/>
        </w:rPr>
        <w:t xml:space="preserve">  In the alternative, the applicants are appraised of the fact that the case that the second applicant has to meet is that he assisted another person in committing the frauds (ie, he could be held liable as an accomplice for the actions on behalf of a servant or agent of the first applicant </w:t>
      </w:r>
      <w:r w:rsidR="00ED6890" w:rsidRPr="00DA0DA5">
        <w:rPr>
          <w:rFonts w:ascii="Arial" w:hAnsi="Arial" w:cs="Arial"/>
          <w:sz w:val="24"/>
          <w:szCs w:val="24"/>
        </w:rPr>
        <w:lastRenderedPageBreak/>
        <w:t>on the instructions of the second applicant).</w:t>
      </w:r>
      <w:r w:rsidR="00A613DD" w:rsidRPr="00DA0DA5">
        <w:rPr>
          <w:rFonts w:ascii="Arial" w:hAnsi="Arial" w:cs="Arial"/>
          <w:sz w:val="24"/>
          <w:szCs w:val="24"/>
        </w:rPr>
        <w:t xml:space="preserve">  By the same token, the first applicant is appraised </w:t>
      </w:r>
      <w:r w:rsidR="00184388" w:rsidRPr="00DA0DA5">
        <w:rPr>
          <w:rFonts w:ascii="Arial" w:hAnsi="Arial" w:cs="Arial"/>
          <w:sz w:val="24"/>
          <w:szCs w:val="24"/>
        </w:rPr>
        <w:t>of the fact that its liability may stem from the performance of the actions of a servant or an agent of the first applicant in the exercise of his or her powers or in the performance of his or her duties as a servant or an agent in the furthering or endeavouring to further the interests of the first applicant, on the instructions of the second applicant.</w:t>
      </w:r>
      <w:r w:rsidR="00ED6890" w:rsidRPr="00DA0DA5">
        <w:rPr>
          <w:rFonts w:ascii="Arial" w:hAnsi="Arial" w:cs="Arial"/>
          <w:sz w:val="24"/>
          <w:szCs w:val="24"/>
        </w:rPr>
        <w:t xml:space="preserve">  </w:t>
      </w:r>
    </w:p>
    <w:p w14:paraId="3E62A0E2" w14:textId="77777777" w:rsidR="00184388" w:rsidRPr="00184388" w:rsidRDefault="00184388" w:rsidP="00184388">
      <w:pPr>
        <w:pStyle w:val="ListParagraph"/>
        <w:spacing w:after="0" w:line="480" w:lineRule="auto"/>
        <w:rPr>
          <w:rFonts w:ascii="Arial" w:hAnsi="Arial" w:cs="Arial"/>
          <w:sz w:val="24"/>
          <w:szCs w:val="24"/>
        </w:rPr>
      </w:pPr>
    </w:p>
    <w:p w14:paraId="215587C6" w14:textId="507AFADE" w:rsidR="00C94310"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[63]</w:t>
      </w:r>
      <w:r>
        <w:rPr>
          <w:rFonts w:ascii="Arial" w:hAnsi="Arial" w:cs="Arial"/>
          <w:sz w:val="24"/>
          <w:szCs w:val="24"/>
        </w:rPr>
        <w:tab/>
      </w:r>
      <w:r w:rsidR="000E4C00" w:rsidRPr="00DA0DA5">
        <w:rPr>
          <w:rFonts w:ascii="Arial" w:hAnsi="Arial" w:cs="Arial"/>
          <w:sz w:val="24"/>
          <w:szCs w:val="24"/>
        </w:rPr>
        <w:t>Failure to provide the identity of the said servants and/or agents, which in any event is not within the knowledge of the prosecutor, does not render the charge defective.</w:t>
      </w:r>
      <w:r w:rsidR="000E4C00">
        <w:rPr>
          <w:rStyle w:val="FootnoteReference"/>
          <w:rFonts w:ascii="Arial" w:hAnsi="Arial" w:cs="Arial"/>
          <w:sz w:val="24"/>
          <w:szCs w:val="24"/>
        </w:rPr>
        <w:footnoteReference w:id="26"/>
      </w:r>
      <w:r w:rsidR="000E4C00" w:rsidRPr="00DA0DA5">
        <w:rPr>
          <w:rFonts w:ascii="Arial" w:hAnsi="Arial" w:cs="Arial"/>
          <w:sz w:val="24"/>
          <w:szCs w:val="24"/>
        </w:rPr>
        <w:t xml:space="preserve">  </w:t>
      </w:r>
    </w:p>
    <w:p w14:paraId="7D157A3C" w14:textId="3924A5BA" w:rsidR="00184388" w:rsidRDefault="00184388" w:rsidP="00CD5F72">
      <w:pPr>
        <w:spacing w:after="0" w:line="480" w:lineRule="auto"/>
        <w:rPr>
          <w:rFonts w:ascii="Arial" w:hAnsi="Arial" w:cs="Arial"/>
          <w:sz w:val="24"/>
          <w:szCs w:val="24"/>
        </w:rPr>
      </w:pPr>
    </w:p>
    <w:p w14:paraId="4DF6B280" w14:textId="7EC92483" w:rsidR="00CD5F72" w:rsidRDefault="00CD5F72" w:rsidP="00CD5F72">
      <w:pPr>
        <w:spacing w:after="0" w:line="480" w:lineRule="auto"/>
        <w:rPr>
          <w:rFonts w:ascii="Arial" w:hAnsi="Arial" w:cs="Arial"/>
          <w:b/>
          <w:bCs/>
          <w:sz w:val="24"/>
          <w:szCs w:val="24"/>
          <w:u w:val="single"/>
        </w:rPr>
      </w:pPr>
      <w:r>
        <w:rPr>
          <w:rFonts w:ascii="Arial" w:hAnsi="Arial" w:cs="Arial"/>
          <w:b/>
          <w:bCs/>
          <w:sz w:val="24"/>
          <w:szCs w:val="24"/>
          <w:u w:val="single"/>
        </w:rPr>
        <w:t>Conclusion</w:t>
      </w:r>
    </w:p>
    <w:p w14:paraId="03641F9A" w14:textId="77777777" w:rsidR="00CD5F72" w:rsidRPr="00CD5F72" w:rsidRDefault="00CD5F72" w:rsidP="00CD5F72">
      <w:pPr>
        <w:spacing w:after="0" w:line="480" w:lineRule="auto"/>
        <w:rPr>
          <w:rFonts w:ascii="Arial" w:hAnsi="Arial" w:cs="Arial"/>
          <w:b/>
          <w:bCs/>
          <w:sz w:val="24"/>
          <w:szCs w:val="24"/>
          <w:u w:val="single"/>
        </w:rPr>
      </w:pPr>
    </w:p>
    <w:p w14:paraId="60B2C438" w14:textId="45BE3224" w:rsidR="007D7204"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[64]</w:t>
      </w:r>
      <w:r>
        <w:rPr>
          <w:rFonts w:ascii="Arial" w:hAnsi="Arial" w:cs="Arial"/>
          <w:sz w:val="24"/>
          <w:szCs w:val="24"/>
        </w:rPr>
        <w:tab/>
      </w:r>
      <w:r w:rsidR="003A55D6" w:rsidRPr="00DA0DA5">
        <w:rPr>
          <w:rFonts w:ascii="Arial" w:hAnsi="Arial" w:cs="Arial"/>
          <w:sz w:val="24"/>
          <w:szCs w:val="24"/>
        </w:rPr>
        <w:t xml:space="preserve">I am accordingly of the view that the applicants have not made out a case to warrant departing from the general </w:t>
      </w:r>
      <w:r w:rsidR="00AC2A65" w:rsidRPr="00DA0DA5">
        <w:rPr>
          <w:rFonts w:ascii="Arial" w:hAnsi="Arial" w:cs="Arial"/>
          <w:sz w:val="24"/>
          <w:szCs w:val="24"/>
        </w:rPr>
        <w:t>principle that the High Court will not ordinarily interfere with unterminated proceedings in a lower court</w:t>
      </w:r>
      <w:r w:rsidR="00500C3C" w:rsidRPr="00DA0DA5">
        <w:rPr>
          <w:rFonts w:ascii="Arial" w:hAnsi="Arial" w:cs="Arial"/>
          <w:sz w:val="24"/>
          <w:szCs w:val="24"/>
        </w:rPr>
        <w:t>.</w:t>
      </w:r>
    </w:p>
    <w:p w14:paraId="1D6B55F5" w14:textId="4BF3F221" w:rsidR="0022218D" w:rsidRDefault="0022218D" w:rsidP="00973140">
      <w:pPr>
        <w:pStyle w:val="ListParagraph"/>
        <w:spacing w:after="0" w:line="480" w:lineRule="auto"/>
        <w:ind w:left="851"/>
        <w:jc w:val="both"/>
        <w:rPr>
          <w:rFonts w:ascii="Arial" w:hAnsi="Arial" w:cs="Arial"/>
          <w:sz w:val="24"/>
          <w:szCs w:val="24"/>
        </w:rPr>
      </w:pPr>
    </w:p>
    <w:p w14:paraId="1BBFA9E1" w14:textId="2B10526E" w:rsidR="0022218D"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95583" w:rsidRPr="00DA0DA5">
        <w:rPr>
          <w:rFonts w:ascii="Arial" w:hAnsi="Arial" w:cs="Arial"/>
          <w:sz w:val="24"/>
          <w:szCs w:val="24"/>
        </w:rPr>
        <w:t>Given the nature of these proceedings, I am of the view that each party should be ordered to pay their own costs.</w:t>
      </w:r>
    </w:p>
    <w:p w14:paraId="10EDF1F4" w14:textId="77777777" w:rsidR="00395583" w:rsidRPr="00395583" w:rsidRDefault="00395583" w:rsidP="00973140">
      <w:pPr>
        <w:pStyle w:val="ListParagraph"/>
        <w:spacing w:after="0" w:line="480" w:lineRule="auto"/>
        <w:rPr>
          <w:rFonts w:ascii="Arial" w:hAnsi="Arial" w:cs="Arial"/>
          <w:sz w:val="24"/>
          <w:szCs w:val="24"/>
        </w:rPr>
      </w:pPr>
    </w:p>
    <w:p w14:paraId="20845CEF" w14:textId="2328B900" w:rsidR="00395583" w:rsidRPr="00DA0DA5" w:rsidRDefault="00DA0DA5" w:rsidP="00DA0DA5">
      <w:pPr>
        <w:spacing w:after="0" w:line="480" w:lineRule="auto"/>
        <w:ind w:left="851" w:hanging="851"/>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73140" w:rsidRPr="00DA0DA5">
        <w:rPr>
          <w:rFonts w:ascii="Arial" w:hAnsi="Arial" w:cs="Arial"/>
          <w:sz w:val="24"/>
          <w:szCs w:val="24"/>
        </w:rPr>
        <w:t>In the result, I make the following order:</w:t>
      </w:r>
    </w:p>
    <w:p w14:paraId="71AFA532" w14:textId="77777777" w:rsidR="00973140" w:rsidRPr="00973140" w:rsidRDefault="00973140" w:rsidP="00973140">
      <w:pPr>
        <w:pStyle w:val="ListParagraph"/>
        <w:spacing w:after="0" w:line="480" w:lineRule="auto"/>
        <w:rPr>
          <w:rFonts w:ascii="Arial" w:hAnsi="Arial" w:cs="Arial"/>
          <w:sz w:val="24"/>
          <w:szCs w:val="24"/>
        </w:rPr>
      </w:pPr>
    </w:p>
    <w:p w14:paraId="6B42832F" w14:textId="79FBA85B" w:rsidR="00973140" w:rsidRPr="00DA0DA5" w:rsidRDefault="00DA0DA5" w:rsidP="00DA0DA5">
      <w:pPr>
        <w:spacing w:after="0" w:line="480" w:lineRule="auto"/>
        <w:ind w:left="121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73140" w:rsidRPr="00DA0DA5">
        <w:rPr>
          <w:rFonts w:ascii="Arial" w:hAnsi="Arial" w:cs="Arial"/>
          <w:sz w:val="24"/>
          <w:szCs w:val="24"/>
        </w:rPr>
        <w:t>The application is dismissed.</w:t>
      </w:r>
    </w:p>
    <w:p w14:paraId="523ACCC7" w14:textId="77777777" w:rsidR="00973140" w:rsidRDefault="00973140" w:rsidP="00973140">
      <w:pPr>
        <w:pStyle w:val="ListParagraph"/>
        <w:spacing w:after="0" w:line="480" w:lineRule="auto"/>
        <w:ind w:left="1211"/>
        <w:jc w:val="both"/>
        <w:rPr>
          <w:rFonts w:ascii="Arial" w:hAnsi="Arial" w:cs="Arial"/>
          <w:sz w:val="24"/>
          <w:szCs w:val="24"/>
        </w:rPr>
      </w:pPr>
    </w:p>
    <w:p w14:paraId="6C2A5A48" w14:textId="16A0760B" w:rsidR="00973140" w:rsidRPr="00DA0DA5" w:rsidRDefault="00DA0DA5" w:rsidP="00DA0DA5">
      <w:pPr>
        <w:spacing w:after="0" w:line="480" w:lineRule="auto"/>
        <w:ind w:left="1211"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73140" w:rsidRPr="00DA0DA5">
        <w:rPr>
          <w:rFonts w:ascii="Arial" w:hAnsi="Arial" w:cs="Arial"/>
          <w:sz w:val="24"/>
          <w:szCs w:val="24"/>
        </w:rPr>
        <w:t>Each party is ordered to pay their own costs of the application.</w:t>
      </w:r>
    </w:p>
    <w:p w14:paraId="1E76770F" w14:textId="77777777" w:rsidR="00973140" w:rsidRPr="00973140" w:rsidRDefault="00973140" w:rsidP="00973140">
      <w:pPr>
        <w:pStyle w:val="ListParagraph"/>
        <w:spacing w:after="0" w:line="480" w:lineRule="auto"/>
        <w:rPr>
          <w:rFonts w:ascii="Arial" w:hAnsi="Arial" w:cs="Arial"/>
          <w:sz w:val="24"/>
          <w:szCs w:val="24"/>
        </w:rPr>
      </w:pPr>
    </w:p>
    <w:p w14:paraId="79BB3894" w14:textId="7EF655B9" w:rsidR="00973140" w:rsidRDefault="00973140" w:rsidP="00973140">
      <w:pPr>
        <w:pStyle w:val="ListParagraph"/>
        <w:spacing w:after="0" w:line="480" w:lineRule="auto"/>
        <w:ind w:left="851"/>
        <w:jc w:val="both"/>
        <w:rPr>
          <w:rFonts w:ascii="Arial" w:hAnsi="Arial" w:cs="Arial"/>
          <w:sz w:val="24"/>
          <w:szCs w:val="24"/>
        </w:rPr>
      </w:pPr>
    </w:p>
    <w:p w14:paraId="1D27330D" w14:textId="43E2EA9C" w:rsidR="00973140" w:rsidRDefault="00973140" w:rsidP="00973140">
      <w:pPr>
        <w:spacing w:after="0" w:line="360" w:lineRule="auto"/>
        <w:jc w:val="both"/>
        <w:rPr>
          <w:rStyle w:val="Hyperlink"/>
          <w:rFonts w:ascii="Arial" w:hAnsi="Arial" w:cs="Arial"/>
          <w:i/>
          <w:iCs/>
          <w:sz w:val="24"/>
          <w:szCs w:val="24"/>
        </w:rPr>
      </w:pPr>
    </w:p>
    <w:p w14:paraId="03DE31FF" w14:textId="77777777" w:rsidR="00973140" w:rsidRPr="00D0249F" w:rsidRDefault="00973140" w:rsidP="00973140">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7E30C6EB"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304C29EC"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6297A3E8" w14:textId="77777777" w:rsidR="00D77007" w:rsidRDefault="00D77007" w:rsidP="00973140">
      <w:pPr>
        <w:spacing w:after="0" w:line="480" w:lineRule="auto"/>
        <w:jc w:val="both"/>
        <w:rPr>
          <w:rFonts w:ascii="Arial" w:hAnsi="Arial" w:cs="Arial"/>
          <w:sz w:val="24"/>
          <w:szCs w:val="24"/>
        </w:rPr>
      </w:pPr>
    </w:p>
    <w:p w14:paraId="74F102A5" w14:textId="17E90CAA" w:rsidR="00973140" w:rsidRDefault="00973140" w:rsidP="00973140">
      <w:pPr>
        <w:spacing w:after="0" w:line="480" w:lineRule="auto"/>
        <w:jc w:val="both"/>
        <w:rPr>
          <w:rFonts w:ascii="Arial" w:hAnsi="Arial" w:cs="Arial"/>
          <w:sz w:val="24"/>
          <w:szCs w:val="24"/>
        </w:rPr>
      </w:pPr>
      <w:r>
        <w:rPr>
          <w:rFonts w:ascii="Arial" w:hAnsi="Arial" w:cs="Arial"/>
          <w:sz w:val="24"/>
          <w:szCs w:val="24"/>
        </w:rPr>
        <w:t>I agree:</w:t>
      </w:r>
    </w:p>
    <w:p w14:paraId="5CFF71D2" w14:textId="77777777" w:rsidR="00973140" w:rsidRDefault="00973140" w:rsidP="00973140">
      <w:pPr>
        <w:spacing w:after="0" w:line="360" w:lineRule="auto"/>
        <w:jc w:val="both"/>
        <w:rPr>
          <w:rFonts w:ascii="Arial" w:hAnsi="Arial" w:cs="Arial"/>
          <w:sz w:val="24"/>
          <w:szCs w:val="24"/>
        </w:rPr>
      </w:pPr>
    </w:p>
    <w:p w14:paraId="4EBE651F" w14:textId="77777777" w:rsidR="00973140" w:rsidRDefault="00973140" w:rsidP="00973140">
      <w:pPr>
        <w:spacing w:after="0" w:line="360" w:lineRule="auto"/>
        <w:jc w:val="both"/>
        <w:rPr>
          <w:rFonts w:ascii="Arial" w:hAnsi="Arial" w:cs="Arial"/>
          <w:sz w:val="24"/>
          <w:szCs w:val="24"/>
        </w:rPr>
      </w:pPr>
    </w:p>
    <w:p w14:paraId="793A3C50" w14:textId="77777777" w:rsidR="00973140" w:rsidRPr="00D0249F" w:rsidRDefault="00973140" w:rsidP="00973140">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4A28B209" w14:textId="77777777" w:rsidR="00973140" w:rsidRPr="005E0A83" w:rsidRDefault="00973140" w:rsidP="00973140">
      <w:pPr>
        <w:spacing w:after="0" w:line="480" w:lineRule="auto"/>
        <w:jc w:val="both"/>
        <w:rPr>
          <w:rFonts w:ascii="Arial" w:hAnsi="Arial" w:cs="Arial"/>
          <w:b/>
          <w:bCs/>
          <w:sz w:val="24"/>
          <w:szCs w:val="24"/>
        </w:rPr>
      </w:pPr>
      <w:r>
        <w:rPr>
          <w:rFonts w:ascii="Arial" w:hAnsi="Arial" w:cs="Arial"/>
          <w:b/>
          <w:bCs/>
          <w:sz w:val="24"/>
          <w:szCs w:val="24"/>
        </w:rPr>
        <w:t>M LOWE</w:t>
      </w:r>
    </w:p>
    <w:p w14:paraId="1642EF8B"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20EC6D08" w14:textId="77777777" w:rsidR="00973140" w:rsidRDefault="00973140" w:rsidP="00973140">
      <w:pPr>
        <w:spacing w:after="0" w:line="480" w:lineRule="auto"/>
        <w:jc w:val="both"/>
        <w:rPr>
          <w:rFonts w:ascii="Arial" w:hAnsi="Arial" w:cs="Arial"/>
          <w:sz w:val="24"/>
          <w:szCs w:val="24"/>
        </w:rPr>
      </w:pPr>
    </w:p>
    <w:p w14:paraId="291F94F7"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3BA27F07" w14:textId="69F01F9C" w:rsidR="00973140" w:rsidRDefault="00973140" w:rsidP="00973140">
      <w:pPr>
        <w:spacing w:after="0" w:line="360" w:lineRule="auto"/>
        <w:jc w:val="both"/>
        <w:rPr>
          <w:rFonts w:ascii="Arial" w:hAnsi="Arial" w:cs="Arial"/>
          <w:sz w:val="24"/>
          <w:szCs w:val="24"/>
        </w:rPr>
      </w:pPr>
      <w:r w:rsidRPr="005E0A83">
        <w:rPr>
          <w:rFonts w:ascii="Arial" w:hAnsi="Arial" w:cs="Arial"/>
          <w:sz w:val="24"/>
          <w:szCs w:val="24"/>
        </w:rPr>
        <w:t xml:space="preserve">For the </w:t>
      </w:r>
      <w:r>
        <w:rPr>
          <w:rFonts w:ascii="Arial" w:hAnsi="Arial" w:cs="Arial"/>
          <w:sz w:val="24"/>
          <w:szCs w:val="24"/>
        </w:rPr>
        <w:t>Applicant</w:t>
      </w:r>
      <w:r w:rsidR="00EB0085">
        <w:rPr>
          <w:rFonts w:ascii="Arial" w:hAnsi="Arial" w:cs="Arial"/>
          <w:sz w:val="24"/>
          <w:szCs w:val="24"/>
        </w:rPr>
        <w:t>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71725">
        <w:rPr>
          <w:rFonts w:ascii="Arial" w:hAnsi="Arial" w:cs="Arial"/>
          <w:sz w:val="24"/>
          <w:szCs w:val="24"/>
        </w:rPr>
        <w:t>C.J van Schalkwyk SC assisted by J.P Broster</w:t>
      </w:r>
      <w:r>
        <w:rPr>
          <w:rFonts w:ascii="Arial" w:hAnsi="Arial" w:cs="Arial"/>
          <w:sz w:val="24"/>
          <w:szCs w:val="24"/>
        </w:rPr>
        <w:tab/>
      </w:r>
    </w:p>
    <w:p w14:paraId="3671631B" w14:textId="77777777" w:rsidR="00371725" w:rsidRDefault="00973140" w:rsidP="00973140">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371725">
        <w:rPr>
          <w:rFonts w:ascii="Arial" w:hAnsi="Arial" w:cs="Arial"/>
          <w:sz w:val="24"/>
          <w:szCs w:val="24"/>
        </w:rPr>
        <w:t>Pather &amp; Pather Attorneys c/o Nolte Smit Attorneys</w:t>
      </w:r>
    </w:p>
    <w:p w14:paraId="0AEF82EA" w14:textId="3635EA19" w:rsidR="00973140" w:rsidRDefault="00371725" w:rsidP="00973140">
      <w:pPr>
        <w:spacing w:after="0" w:line="360" w:lineRule="auto"/>
        <w:ind w:left="2880" w:firstLine="720"/>
        <w:jc w:val="both"/>
        <w:rPr>
          <w:rFonts w:ascii="Arial" w:hAnsi="Arial" w:cs="Arial"/>
          <w:sz w:val="24"/>
          <w:szCs w:val="24"/>
        </w:rPr>
      </w:pPr>
      <w:r>
        <w:rPr>
          <w:rFonts w:ascii="Arial" w:hAnsi="Arial" w:cs="Arial"/>
          <w:sz w:val="24"/>
          <w:szCs w:val="24"/>
        </w:rPr>
        <w:t xml:space="preserve">51A High Street, </w:t>
      </w:r>
      <w:r w:rsidR="00973140">
        <w:rPr>
          <w:rFonts w:ascii="Arial" w:hAnsi="Arial" w:cs="Arial"/>
          <w:sz w:val="24"/>
          <w:szCs w:val="24"/>
        </w:rPr>
        <w:t>Makhanda</w:t>
      </w:r>
    </w:p>
    <w:p w14:paraId="217E05FB" w14:textId="77777777" w:rsidR="00973140" w:rsidRDefault="00973140" w:rsidP="00973140">
      <w:pPr>
        <w:spacing w:after="0" w:line="360" w:lineRule="auto"/>
        <w:jc w:val="both"/>
        <w:rPr>
          <w:rFonts w:ascii="Arial" w:hAnsi="Arial" w:cs="Arial"/>
          <w:sz w:val="24"/>
          <w:szCs w:val="24"/>
        </w:rPr>
      </w:pPr>
    </w:p>
    <w:p w14:paraId="7AB81FC8" w14:textId="60896A07" w:rsidR="00973140" w:rsidRPr="005E0A83" w:rsidRDefault="00973140" w:rsidP="00973140">
      <w:pPr>
        <w:spacing w:after="0" w:line="360" w:lineRule="auto"/>
        <w:jc w:val="both"/>
        <w:rPr>
          <w:rFonts w:ascii="Arial" w:hAnsi="Arial" w:cs="Arial"/>
          <w:sz w:val="24"/>
          <w:szCs w:val="24"/>
        </w:rPr>
      </w:pPr>
      <w:r w:rsidRPr="005E0A83">
        <w:rPr>
          <w:rFonts w:ascii="Arial" w:hAnsi="Arial" w:cs="Arial"/>
          <w:sz w:val="24"/>
          <w:szCs w:val="24"/>
        </w:rPr>
        <w:t>For the</w:t>
      </w:r>
      <w:r>
        <w:rPr>
          <w:rFonts w:ascii="Arial" w:hAnsi="Arial" w:cs="Arial"/>
          <w:sz w:val="24"/>
          <w:szCs w:val="24"/>
        </w:rPr>
        <w:t xml:space="preserve"> First Respondent</w:t>
      </w:r>
      <w:r w:rsidRPr="005E0A83">
        <w:rPr>
          <w:rFonts w:ascii="Arial" w:hAnsi="Arial" w:cs="Arial"/>
          <w:sz w:val="24"/>
          <w:szCs w:val="24"/>
        </w:rPr>
        <w:t>:</w:t>
      </w:r>
      <w:r w:rsidRPr="005E0A83">
        <w:rPr>
          <w:rFonts w:ascii="Arial" w:hAnsi="Arial" w:cs="Arial"/>
          <w:sz w:val="24"/>
          <w:szCs w:val="24"/>
        </w:rPr>
        <w:tab/>
      </w:r>
      <w:r w:rsidRPr="005E0A83">
        <w:rPr>
          <w:rFonts w:ascii="Arial" w:hAnsi="Arial" w:cs="Arial"/>
          <w:sz w:val="24"/>
          <w:szCs w:val="24"/>
        </w:rPr>
        <w:tab/>
      </w:r>
      <w:r w:rsidR="00376FD1">
        <w:rPr>
          <w:rFonts w:ascii="Arial" w:hAnsi="Arial" w:cs="Arial"/>
          <w:sz w:val="24"/>
          <w:szCs w:val="24"/>
        </w:rPr>
        <w:t>N</w:t>
      </w:r>
      <w:r w:rsidR="00371725">
        <w:rPr>
          <w:rFonts w:ascii="Arial" w:hAnsi="Arial" w:cs="Arial"/>
          <w:sz w:val="24"/>
          <w:szCs w:val="24"/>
        </w:rPr>
        <w:t>.</w:t>
      </w:r>
      <w:r>
        <w:rPr>
          <w:rFonts w:ascii="Arial" w:hAnsi="Arial" w:cs="Arial"/>
          <w:sz w:val="24"/>
          <w:szCs w:val="24"/>
        </w:rPr>
        <w:t>L</w:t>
      </w:r>
      <w:r w:rsidR="00371725">
        <w:rPr>
          <w:rFonts w:ascii="Arial" w:hAnsi="Arial" w:cs="Arial"/>
          <w:sz w:val="24"/>
          <w:szCs w:val="24"/>
        </w:rPr>
        <w:t>.</w:t>
      </w:r>
      <w:r>
        <w:rPr>
          <w:rFonts w:ascii="Arial" w:hAnsi="Arial" w:cs="Arial"/>
          <w:sz w:val="24"/>
          <w:szCs w:val="24"/>
        </w:rPr>
        <w:t xml:space="preserve"> Ntsepe</w:t>
      </w:r>
    </w:p>
    <w:p w14:paraId="50C2FA10" w14:textId="77777777" w:rsidR="00973140" w:rsidRDefault="00973140" w:rsidP="00973140">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The State Attorney c/o Yokwana Attorneys</w:t>
      </w:r>
    </w:p>
    <w:p w14:paraId="46776860" w14:textId="77777777" w:rsidR="00973140" w:rsidRPr="00F452BA" w:rsidRDefault="00973140" w:rsidP="00973140">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New Street, Makhanda</w:t>
      </w:r>
    </w:p>
    <w:p w14:paraId="78FD0149" w14:textId="77777777" w:rsidR="00973140" w:rsidRDefault="00973140" w:rsidP="00973140">
      <w:pPr>
        <w:pStyle w:val="ListParagraph"/>
        <w:spacing w:after="0" w:line="480" w:lineRule="auto"/>
        <w:ind w:left="851"/>
        <w:jc w:val="both"/>
        <w:rPr>
          <w:rFonts w:ascii="Arial" w:hAnsi="Arial" w:cs="Arial"/>
          <w:sz w:val="24"/>
          <w:szCs w:val="24"/>
        </w:rPr>
      </w:pPr>
    </w:p>
    <w:p w14:paraId="55BDB773" w14:textId="77777777" w:rsidR="00973140" w:rsidRPr="00973140" w:rsidRDefault="00973140" w:rsidP="00973140">
      <w:pPr>
        <w:pStyle w:val="ListParagraph"/>
        <w:rPr>
          <w:rFonts w:ascii="Arial" w:hAnsi="Arial" w:cs="Arial"/>
          <w:sz w:val="24"/>
          <w:szCs w:val="24"/>
        </w:rPr>
      </w:pPr>
    </w:p>
    <w:p w14:paraId="30700D5F" w14:textId="77777777" w:rsidR="00973140" w:rsidRPr="00AC2A65" w:rsidRDefault="00973140" w:rsidP="00973140">
      <w:pPr>
        <w:pStyle w:val="ListParagraph"/>
        <w:spacing w:after="0" w:line="480" w:lineRule="auto"/>
        <w:ind w:left="851"/>
        <w:jc w:val="both"/>
        <w:rPr>
          <w:rFonts w:ascii="Arial" w:hAnsi="Arial" w:cs="Arial"/>
          <w:sz w:val="24"/>
          <w:szCs w:val="24"/>
        </w:rPr>
      </w:pPr>
    </w:p>
    <w:sectPr w:rsidR="00973140" w:rsidRPr="00AC2A65"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D703" w14:textId="77777777" w:rsidR="004C02BA" w:rsidRDefault="004C02BA" w:rsidP="00EA2C86">
      <w:pPr>
        <w:spacing w:after="0" w:line="240" w:lineRule="auto"/>
      </w:pPr>
      <w:r>
        <w:separator/>
      </w:r>
    </w:p>
  </w:endnote>
  <w:endnote w:type="continuationSeparator" w:id="0">
    <w:p w14:paraId="6B4D402A" w14:textId="77777777" w:rsidR="004C02BA" w:rsidRDefault="004C02BA"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D8F5" w14:textId="77777777" w:rsidR="00D154BB" w:rsidRDefault="00E87326"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3FBD" w14:textId="77777777" w:rsidR="004C02BA" w:rsidRDefault="004C02BA" w:rsidP="00EA2C86">
      <w:pPr>
        <w:spacing w:after="0" w:line="240" w:lineRule="auto"/>
      </w:pPr>
      <w:r>
        <w:separator/>
      </w:r>
    </w:p>
  </w:footnote>
  <w:footnote w:type="continuationSeparator" w:id="0">
    <w:p w14:paraId="6CB764ED" w14:textId="77777777" w:rsidR="004C02BA" w:rsidRDefault="004C02BA" w:rsidP="00EA2C86">
      <w:pPr>
        <w:spacing w:after="0" w:line="240" w:lineRule="auto"/>
      </w:pPr>
      <w:r>
        <w:continuationSeparator/>
      </w:r>
    </w:p>
  </w:footnote>
  <w:footnote w:id="1">
    <w:p w14:paraId="1C6A80D0" w14:textId="487F4B54" w:rsidR="00EA3DB5" w:rsidRDefault="00EA3DB5" w:rsidP="00CE1FE8">
      <w:pPr>
        <w:pStyle w:val="FootnoteText"/>
        <w:spacing w:line="360" w:lineRule="auto"/>
      </w:pPr>
      <w:r>
        <w:rPr>
          <w:rStyle w:val="FootnoteReference"/>
        </w:rPr>
        <w:footnoteRef/>
      </w:r>
      <w:r>
        <w:t xml:space="preserve"> </w:t>
      </w:r>
      <w:r w:rsidR="00085B56" w:rsidRPr="00085B56">
        <w:rPr>
          <w:rFonts w:ascii="Arial" w:hAnsi="Arial" w:cs="Arial"/>
          <w:color w:val="000000"/>
          <w:shd w:val="clear" w:color="auto" w:fill="FFFFFF"/>
        </w:rPr>
        <w:t>2005 (4) SA 581 (CC) at paragraph [25]</w:t>
      </w:r>
      <w:r w:rsidR="00085B56">
        <w:rPr>
          <w:rFonts w:ascii="Arial" w:hAnsi="Arial" w:cs="Arial"/>
          <w:color w:val="000000"/>
          <w:sz w:val="24"/>
          <w:szCs w:val="24"/>
          <w:shd w:val="clear" w:color="auto" w:fill="FFFFFF"/>
        </w:rPr>
        <w:t>.</w:t>
      </w:r>
    </w:p>
  </w:footnote>
  <w:footnote w:id="2">
    <w:p w14:paraId="33C96A85" w14:textId="65A0D025" w:rsidR="00690338" w:rsidRPr="00D41100" w:rsidRDefault="00690338" w:rsidP="00CE1FE8">
      <w:pPr>
        <w:pStyle w:val="FootnoteText"/>
        <w:spacing w:line="360" w:lineRule="auto"/>
        <w:rPr>
          <w:rFonts w:ascii="Arial" w:hAnsi="Arial" w:cs="Arial"/>
        </w:rPr>
      </w:pPr>
      <w:r w:rsidRPr="00D41100">
        <w:rPr>
          <w:rStyle w:val="FootnoteReference"/>
          <w:rFonts w:ascii="Arial" w:hAnsi="Arial" w:cs="Arial"/>
        </w:rPr>
        <w:footnoteRef/>
      </w:r>
      <w:r w:rsidRPr="00D41100">
        <w:rPr>
          <w:rFonts w:ascii="Arial" w:hAnsi="Arial" w:cs="Arial"/>
        </w:rPr>
        <w:t xml:space="preserve"> </w:t>
      </w:r>
      <w:r w:rsidRPr="00D41100">
        <w:rPr>
          <w:rFonts w:ascii="Arial" w:hAnsi="Arial" w:cs="Arial"/>
          <w:i/>
          <w:iCs/>
        </w:rPr>
        <w:t>Wahlhaus &amp; others v Additional Magistrate, Johannesburg &amp; Another</w:t>
      </w:r>
      <w:r w:rsidRPr="00D41100">
        <w:rPr>
          <w:rFonts w:ascii="Arial" w:hAnsi="Arial" w:cs="Arial"/>
        </w:rPr>
        <w:t xml:space="preserve"> 1959 (3) SA 113 (AD) at 119G.</w:t>
      </w:r>
    </w:p>
  </w:footnote>
  <w:footnote w:id="3">
    <w:p w14:paraId="6C569616" w14:textId="2A1BFEF1" w:rsidR="00850AD1" w:rsidRPr="00D41100" w:rsidRDefault="00850AD1">
      <w:pPr>
        <w:pStyle w:val="FootnoteText"/>
        <w:rPr>
          <w:rFonts w:ascii="Arial" w:hAnsi="Arial" w:cs="Arial"/>
        </w:rPr>
      </w:pPr>
      <w:r w:rsidRPr="00D41100">
        <w:rPr>
          <w:rStyle w:val="FootnoteReference"/>
          <w:rFonts w:ascii="Arial" w:hAnsi="Arial" w:cs="Arial"/>
        </w:rPr>
        <w:footnoteRef/>
      </w:r>
      <w:r w:rsidRPr="00D41100">
        <w:rPr>
          <w:rFonts w:ascii="Arial" w:hAnsi="Arial" w:cs="Arial"/>
        </w:rPr>
        <w:t xml:space="preserve"> Pursuant to a tender.</w:t>
      </w:r>
    </w:p>
  </w:footnote>
  <w:footnote w:id="4">
    <w:p w14:paraId="6C19E82D" w14:textId="2904A2BE" w:rsidR="00D03139" w:rsidRPr="002034C5" w:rsidRDefault="00D03139">
      <w:pPr>
        <w:pStyle w:val="FootnoteText"/>
        <w:rPr>
          <w:rFonts w:ascii="Arial" w:hAnsi="Arial" w:cs="Arial"/>
        </w:rPr>
      </w:pPr>
      <w:r w:rsidRPr="002034C5">
        <w:rPr>
          <w:rStyle w:val="FootnoteReference"/>
          <w:rFonts w:ascii="Arial" w:hAnsi="Arial" w:cs="Arial"/>
        </w:rPr>
        <w:footnoteRef/>
      </w:r>
      <w:r w:rsidRPr="002034C5">
        <w:rPr>
          <w:rFonts w:ascii="Arial" w:hAnsi="Arial" w:cs="Arial"/>
        </w:rPr>
        <w:t xml:space="preserve"> </w:t>
      </w:r>
      <w:r w:rsidRPr="002034C5">
        <w:rPr>
          <w:rFonts w:ascii="Arial" w:hAnsi="Arial" w:cs="Arial"/>
          <w:i/>
          <w:iCs/>
        </w:rPr>
        <w:t>Sidumo and Another v Rustenburg Platinum Mines Ltd and Others</w:t>
      </w:r>
      <w:r w:rsidRPr="002034C5">
        <w:rPr>
          <w:rFonts w:ascii="Arial" w:hAnsi="Arial" w:cs="Arial"/>
        </w:rPr>
        <w:t xml:space="preserve"> 2008 (2) SA 24 (CC) at 112E.</w:t>
      </w:r>
    </w:p>
  </w:footnote>
  <w:footnote w:id="5">
    <w:p w14:paraId="287A5A75" w14:textId="77777777"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Wahlhaus &amp; others v Additional Magistrate, Johannesburg &amp; Another</w:t>
      </w:r>
      <w:r w:rsidRPr="00D557BE">
        <w:rPr>
          <w:rFonts w:ascii="Arial" w:hAnsi="Arial" w:cs="Arial"/>
        </w:rPr>
        <w:t xml:space="preserve"> 1959 (3) SA 113 (AD) at 119H – 120A.</w:t>
      </w:r>
    </w:p>
  </w:footnote>
  <w:footnote w:id="6">
    <w:p w14:paraId="11031C97" w14:textId="3016E2B4"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Motata v Nair and Another</w:t>
      </w:r>
      <w:r w:rsidRPr="00D557BE">
        <w:rPr>
          <w:rFonts w:ascii="Arial" w:hAnsi="Arial" w:cs="Arial"/>
        </w:rPr>
        <w:t xml:space="preserve"> 2009 (1) SACR 263 (TPD) at 267 at paragraph [12].</w:t>
      </w:r>
    </w:p>
  </w:footnote>
  <w:footnote w:id="7">
    <w:p w14:paraId="44E73135" w14:textId="77777777"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Wahlhaus &amp; others v Additional Magistrate, Johannesburg &amp; Another</w:t>
      </w:r>
      <w:r w:rsidRPr="00D557BE">
        <w:rPr>
          <w:rFonts w:ascii="Arial" w:hAnsi="Arial" w:cs="Arial"/>
        </w:rPr>
        <w:t xml:space="preserve"> 1959 (3) SA 113 (AD) at 119H – 120A.</w:t>
      </w:r>
    </w:p>
  </w:footnote>
  <w:footnote w:id="8">
    <w:p w14:paraId="430B2F00" w14:textId="41803C9E" w:rsidR="006E2F53" w:rsidRPr="00D557BE" w:rsidRDefault="006E2F53"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2007 (2) SA 147 (C)</w:t>
      </w:r>
      <w:r w:rsidR="00412958" w:rsidRPr="00D557BE">
        <w:rPr>
          <w:rFonts w:ascii="Arial" w:hAnsi="Arial" w:cs="Arial"/>
        </w:rPr>
        <w:t>.</w:t>
      </w:r>
    </w:p>
  </w:footnote>
  <w:footnote w:id="9">
    <w:p w14:paraId="404F2DF9" w14:textId="5D568E6D" w:rsidR="0098422D" w:rsidRPr="001B4A44" w:rsidRDefault="0098422D" w:rsidP="004821A7">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1963 (1) SA (A)</w:t>
      </w:r>
      <w:r w:rsidR="00C75680">
        <w:rPr>
          <w:rFonts w:ascii="Arial" w:hAnsi="Arial" w:cs="Arial"/>
        </w:rPr>
        <w:t>.</w:t>
      </w:r>
    </w:p>
  </w:footnote>
  <w:footnote w:id="10">
    <w:p w14:paraId="4C7A1B5C" w14:textId="21AB6AC7" w:rsidR="002C74F9" w:rsidRPr="001B4A44" w:rsidRDefault="002C74F9" w:rsidP="001B4A44">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2009 (1) SACR 263 (TPD) at paragraphs [9] and [10].</w:t>
      </w:r>
    </w:p>
  </w:footnote>
  <w:footnote w:id="11">
    <w:p w14:paraId="430D9155" w14:textId="5ABE65B0" w:rsidR="006E2F53" w:rsidRPr="001B4A44" w:rsidRDefault="006E2F53" w:rsidP="001B4A44">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Case No.: 2647/2011, ECD Grahamstown (as it then was) (delivered on 18 September 2013).</w:t>
      </w:r>
    </w:p>
    <w:p w14:paraId="787DB1F4" w14:textId="076EE729" w:rsidR="006E2F53" w:rsidRPr="001B4A44" w:rsidRDefault="006E2F53" w:rsidP="001B4A44">
      <w:pPr>
        <w:pStyle w:val="FootnoteText"/>
        <w:spacing w:line="360" w:lineRule="auto"/>
        <w:jc w:val="both"/>
        <w:rPr>
          <w:rFonts w:ascii="Arial" w:hAnsi="Arial" w:cs="Arial"/>
        </w:rPr>
      </w:pPr>
      <w:r w:rsidRPr="001B4A44">
        <w:rPr>
          <w:rFonts w:ascii="Arial" w:hAnsi="Arial" w:cs="Arial"/>
        </w:rPr>
        <w:t xml:space="preserve">See also: </w:t>
      </w:r>
      <w:r w:rsidRPr="00D33BC4">
        <w:rPr>
          <w:rFonts w:ascii="Arial" w:hAnsi="Arial" w:cs="Arial"/>
          <w:i/>
          <w:iCs/>
        </w:rPr>
        <w:t>Sizani v Mr Mpofu N.O. and Another</w:t>
      </w:r>
      <w:r w:rsidRPr="001B4A44">
        <w:rPr>
          <w:rFonts w:ascii="Arial" w:hAnsi="Arial" w:cs="Arial"/>
        </w:rPr>
        <w:t>, Case No.: 2804/2019, ECD Grahamstown (as it then was) (delivered on 18 August 2020</w:t>
      </w:r>
      <w:r w:rsidR="00D33BC4">
        <w:rPr>
          <w:rFonts w:ascii="Arial" w:hAnsi="Arial" w:cs="Arial"/>
        </w:rPr>
        <w:t>)</w:t>
      </w:r>
      <w:r w:rsidRPr="001B4A44">
        <w:rPr>
          <w:rFonts w:ascii="Arial" w:hAnsi="Arial" w:cs="Arial"/>
        </w:rPr>
        <w:t>.</w:t>
      </w:r>
    </w:p>
  </w:footnote>
  <w:footnote w:id="12">
    <w:p w14:paraId="563DFB6C" w14:textId="44A6BD9A" w:rsidR="001B4A44" w:rsidRPr="001B4A44" w:rsidRDefault="001B4A44" w:rsidP="001B4A44">
      <w:pPr>
        <w:pStyle w:val="Heading2"/>
        <w:shd w:val="clear" w:color="auto" w:fill="FFFFFF"/>
        <w:spacing w:before="0" w:beforeAutospacing="0" w:after="0" w:afterAutospacing="0" w:line="360" w:lineRule="auto"/>
        <w:jc w:val="both"/>
        <w:rPr>
          <w:rFonts w:ascii="Arial" w:hAnsi="Arial" w:cs="Arial"/>
          <w:b w:val="0"/>
          <w:bCs w:val="0"/>
          <w:sz w:val="20"/>
          <w:szCs w:val="20"/>
        </w:rPr>
      </w:pPr>
      <w:r w:rsidRPr="001B4A44">
        <w:rPr>
          <w:rStyle w:val="FootnoteReference"/>
          <w:rFonts w:ascii="Arial" w:hAnsi="Arial" w:cs="Arial"/>
          <w:b w:val="0"/>
          <w:bCs w:val="0"/>
          <w:sz w:val="20"/>
          <w:szCs w:val="20"/>
        </w:rPr>
        <w:footnoteRef/>
      </w:r>
      <w:r w:rsidRPr="001B4A44">
        <w:rPr>
          <w:rFonts w:ascii="Arial" w:hAnsi="Arial" w:cs="Arial"/>
          <w:b w:val="0"/>
          <w:bCs w:val="0"/>
          <w:sz w:val="20"/>
          <w:szCs w:val="20"/>
        </w:rPr>
        <w:t xml:space="preserve"> [2003] 3 All SA 11 (SCA)</w:t>
      </w:r>
      <w:r w:rsidR="00D33BC4">
        <w:rPr>
          <w:rFonts w:ascii="Arial" w:hAnsi="Arial" w:cs="Arial"/>
          <w:b w:val="0"/>
          <w:bCs w:val="0"/>
          <w:sz w:val="20"/>
          <w:szCs w:val="20"/>
        </w:rPr>
        <w:t>.</w:t>
      </w:r>
    </w:p>
  </w:footnote>
  <w:footnote w:id="13">
    <w:p w14:paraId="1FADA24C" w14:textId="65CCFA24" w:rsidR="00B61F10" w:rsidRPr="007232F7" w:rsidRDefault="00B61F10" w:rsidP="007232F7">
      <w:pPr>
        <w:pStyle w:val="FootnoteText"/>
        <w:spacing w:line="360" w:lineRule="auto"/>
        <w:rPr>
          <w:rFonts w:ascii="Arial" w:hAnsi="Arial" w:cs="Arial"/>
        </w:rPr>
      </w:pPr>
      <w:r w:rsidRPr="007232F7">
        <w:rPr>
          <w:rStyle w:val="FootnoteReference"/>
          <w:rFonts w:ascii="Arial" w:hAnsi="Arial" w:cs="Arial"/>
        </w:rPr>
        <w:footnoteRef/>
      </w:r>
      <w:r w:rsidRPr="007232F7">
        <w:rPr>
          <w:rFonts w:ascii="Arial" w:hAnsi="Arial" w:cs="Arial"/>
        </w:rPr>
        <w:t xml:space="preserve"> </w:t>
      </w:r>
      <w:r w:rsidR="001B4A44" w:rsidRPr="007232F7">
        <w:rPr>
          <w:rFonts w:ascii="Arial" w:hAnsi="Arial" w:cs="Arial"/>
          <w:i/>
          <w:iCs/>
        </w:rPr>
        <w:t>Weber and Another v Regional Magistrate, Windhoek</w:t>
      </w:r>
      <w:r w:rsidR="001B4A44" w:rsidRPr="007232F7">
        <w:rPr>
          <w:rFonts w:ascii="Arial" w:hAnsi="Arial" w:cs="Arial"/>
        </w:rPr>
        <w:t xml:space="preserve"> 1969 (4) SA 394 (SWA) at 397 F-G.</w:t>
      </w:r>
    </w:p>
    <w:p w14:paraId="03A5284C" w14:textId="539AB966" w:rsidR="001B4A44" w:rsidRPr="007232F7" w:rsidRDefault="001B4A44" w:rsidP="007232F7">
      <w:pPr>
        <w:pStyle w:val="FootnoteText"/>
        <w:spacing w:line="360" w:lineRule="auto"/>
        <w:rPr>
          <w:rFonts w:ascii="Arial" w:hAnsi="Arial" w:cs="Arial"/>
        </w:rPr>
      </w:pPr>
      <w:r w:rsidRPr="007232F7">
        <w:rPr>
          <w:rFonts w:ascii="Arial" w:hAnsi="Arial" w:cs="Arial"/>
        </w:rPr>
        <w:t xml:space="preserve">See also: </w:t>
      </w:r>
      <w:r w:rsidRPr="007232F7">
        <w:rPr>
          <w:rFonts w:ascii="Arial" w:hAnsi="Arial" w:cs="Arial"/>
          <w:i/>
          <w:iCs/>
        </w:rPr>
        <w:t>Behrman v Regional Magistrate, Southern Transvaal and Another</w:t>
      </w:r>
      <w:r w:rsidRPr="007232F7">
        <w:rPr>
          <w:rFonts w:ascii="Arial" w:hAnsi="Arial" w:cs="Arial"/>
        </w:rPr>
        <w:t xml:space="preserve"> 1956 (1) SA 318 (T).</w:t>
      </w:r>
    </w:p>
    <w:p w14:paraId="71C76B39" w14:textId="1E9D1F64" w:rsidR="001B4A44" w:rsidRPr="007232F7" w:rsidRDefault="001B4A44" w:rsidP="007232F7">
      <w:pPr>
        <w:pStyle w:val="FootnoteText"/>
        <w:spacing w:line="360" w:lineRule="auto"/>
        <w:rPr>
          <w:rFonts w:ascii="Arial" w:hAnsi="Arial" w:cs="Arial"/>
        </w:rPr>
      </w:pPr>
      <w:r w:rsidRPr="007232F7">
        <w:rPr>
          <w:rFonts w:ascii="Arial" w:hAnsi="Arial" w:cs="Arial"/>
        </w:rPr>
        <w:t xml:space="preserve">See also: </w:t>
      </w:r>
      <w:r w:rsidRPr="007232F7">
        <w:rPr>
          <w:rFonts w:ascii="Arial" w:hAnsi="Arial" w:cs="Arial"/>
          <w:i/>
          <w:iCs/>
        </w:rPr>
        <w:t>Essop v Regional Magistrate, Western Transvaal and Another</w:t>
      </w:r>
      <w:r w:rsidR="007232F7">
        <w:rPr>
          <w:rFonts w:ascii="Arial" w:hAnsi="Arial" w:cs="Arial"/>
        </w:rPr>
        <w:t xml:space="preserve"> </w:t>
      </w:r>
      <w:r w:rsidR="007232F7">
        <w:rPr>
          <w:rFonts w:ascii="Arial" w:hAnsi="Arial" w:cs="Arial"/>
          <w:color w:val="242121"/>
          <w:shd w:val="clear" w:color="auto" w:fill="FFFFFF"/>
        </w:rPr>
        <w:t>1963 (1) PH H16 (T).</w:t>
      </w:r>
      <w:r w:rsidRPr="007232F7">
        <w:rPr>
          <w:rFonts w:ascii="Arial" w:hAnsi="Arial" w:cs="Arial"/>
        </w:rPr>
        <w:t xml:space="preserve"> </w:t>
      </w:r>
    </w:p>
  </w:footnote>
  <w:footnote w:id="14">
    <w:p w14:paraId="522AD8E6" w14:textId="02B9F4F8" w:rsidR="001026BE" w:rsidRDefault="001026BE" w:rsidP="001026BE">
      <w:pPr>
        <w:pStyle w:val="FootnoteText"/>
        <w:tabs>
          <w:tab w:val="left" w:pos="284"/>
        </w:tabs>
        <w:ind w:left="284" w:hanging="284"/>
        <w:rPr>
          <w:rFonts w:ascii="Arial" w:hAnsi="Arial"/>
          <w:b/>
          <w:bCs/>
        </w:rPr>
      </w:pPr>
      <w:r>
        <w:rPr>
          <w:rStyle w:val="FootnoteReference"/>
          <w:rFonts w:ascii="Arial" w:hAnsi="Arial"/>
        </w:rPr>
        <w:footnoteRef/>
      </w:r>
      <w:r>
        <w:rPr>
          <w:rFonts w:ascii="Arial" w:hAnsi="Arial"/>
        </w:rPr>
        <w:t xml:space="preserve"> </w:t>
      </w:r>
      <w:r w:rsidRPr="00FC2BA5">
        <w:rPr>
          <w:rFonts w:ascii="Arial" w:hAnsi="Arial"/>
        </w:rPr>
        <w:t>2012 (1) SACR 604 (SCA) at paragraph 11</w:t>
      </w:r>
      <w:r w:rsidR="00FC2BA5" w:rsidRPr="00FC2BA5">
        <w:rPr>
          <w:rFonts w:ascii="Arial" w:hAnsi="Arial"/>
        </w:rPr>
        <w:t>.</w:t>
      </w:r>
    </w:p>
  </w:footnote>
  <w:footnote w:id="15">
    <w:p w14:paraId="0F86A56D" w14:textId="78A95103" w:rsidR="008F4C9D" w:rsidRPr="008F4C9D" w:rsidRDefault="008F4C9D"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w:t>
      </w:r>
      <w:r w:rsidRPr="008F4C9D">
        <w:rPr>
          <w:rFonts w:ascii="Arial" w:hAnsi="Arial" w:cs="Arial"/>
          <w:i/>
          <w:iCs/>
        </w:rPr>
        <w:t xml:space="preserve">Lawrence v ARM </w:t>
      </w:r>
      <w:r w:rsidR="002937C0">
        <w:rPr>
          <w:rFonts w:ascii="Arial" w:hAnsi="Arial" w:cs="Arial"/>
          <w:i/>
          <w:iCs/>
        </w:rPr>
        <w:t xml:space="preserve">of </w:t>
      </w:r>
      <w:r w:rsidRPr="008F4C9D">
        <w:rPr>
          <w:rFonts w:ascii="Arial" w:hAnsi="Arial" w:cs="Arial"/>
          <w:i/>
          <w:iCs/>
        </w:rPr>
        <w:t>Johannesburg</w:t>
      </w:r>
      <w:r w:rsidRPr="008F4C9D">
        <w:rPr>
          <w:rFonts w:ascii="Arial" w:hAnsi="Arial" w:cs="Arial"/>
        </w:rPr>
        <w:t xml:space="preserve"> 1908 TS 525.</w:t>
      </w:r>
    </w:p>
  </w:footnote>
  <w:footnote w:id="16">
    <w:p w14:paraId="0ED0B601" w14:textId="24C5E35A" w:rsidR="000418BC" w:rsidRPr="008F4C9D" w:rsidRDefault="000418BC"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w:t>
      </w:r>
      <w:r w:rsidRPr="008F4C9D">
        <w:rPr>
          <w:rFonts w:ascii="Arial" w:hAnsi="Arial" w:cs="Arial"/>
          <w:i/>
          <w:iCs/>
        </w:rPr>
        <w:t>Ellis v Morgan; Ellis v Dessai</w:t>
      </w:r>
      <w:r w:rsidRPr="008F4C9D">
        <w:rPr>
          <w:rFonts w:ascii="Arial" w:hAnsi="Arial" w:cs="Arial"/>
        </w:rPr>
        <w:t xml:space="preserve"> 1909 TS 576.</w:t>
      </w:r>
    </w:p>
    <w:p w14:paraId="56AFB40F" w14:textId="5F44D543" w:rsidR="00126AF6" w:rsidRPr="008F4C9D" w:rsidRDefault="00126AF6" w:rsidP="008F4C9D">
      <w:pPr>
        <w:pStyle w:val="Heading2"/>
        <w:shd w:val="clear" w:color="auto" w:fill="FFFFFF"/>
        <w:spacing w:before="0" w:beforeAutospacing="0" w:after="0" w:afterAutospacing="0" w:line="360" w:lineRule="auto"/>
        <w:rPr>
          <w:rFonts w:ascii="Arial" w:hAnsi="Arial" w:cs="Arial"/>
          <w:b w:val="0"/>
          <w:bCs w:val="0"/>
          <w:sz w:val="20"/>
          <w:szCs w:val="20"/>
        </w:rPr>
      </w:pPr>
      <w:r w:rsidRPr="008F4C9D">
        <w:rPr>
          <w:rFonts w:ascii="Arial" w:hAnsi="Arial" w:cs="Arial"/>
          <w:b w:val="0"/>
          <w:bCs w:val="0"/>
          <w:sz w:val="20"/>
          <w:szCs w:val="20"/>
        </w:rPr>
        <w:t xml:space="preserve">See also: </w:t>
      </w:r>
      <w:r w:rsidRPr="008F4C9D">
        <w:rPr>
          <w:rFonts w:ascii="Arial" w:hAnsi="Arial" w:cs="Arial"/>
          <w:b w:val="0"/>
          <w:bCs w:val="0"/>
          <w:i/>
          <w:iCs/>
          <w:sz w:val="20"/>
          <w:szCs w:val="20"/>
        </w:rPr>
        <w:t>Telcordia Technologies Inc v Telkom SA Ltd</w:t>
      </w:r>
      <w:r w:rsidRPr="008F4C9D">
        <w:rPr>
          <w:rFonts w:ascii="Arial" w:hAnsi="Arial" w:cs="Arial"/>
          <w:b w:val="0"/>
          <w:bCs w:val="0"/>
          <w:sz w:val="20"/>
          <w:szCs w:val="20"/>
        </w:rPr>
        <w:t xml:space="preserve"> 2007 (3) SA 266 (SCA) at paragraph [72].</w:t>
      </w:r>
    </w:p>
  </w:footnote>
  <w:footnote w:id="17">
    <w:p w14:paraId="05360354" w14:textId="7B56C95B" w:rsidR="00126AF6" w:rsidRPr="008F4C9D" w:rsidRDefault="00126AF6"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1938 TPD 551.</w:t>
      </w:r>
    </w:p>
  </w:footnote>
  <w:footnote w:id="18">
    <w:p w14:paraId="2ED8990C" w14:textId="3932D31C" w:rsidR="00AC6223" w:rsidRPr="00ED4E21" w:rsidRDefault="00AC6223">
      <w:pPr>
        <w:pStyle w:val="FootnoteText"/>
        <w:rPr>
          <w:rFonts w:ascii="Arial" w:hAnsi="Arial" w:cs="Arial"/>
        </w:rPr>
      </w:pPr>
      <w:r w:rsidRPr="00ED4E21">
        <w:rPr>
          <w:rStyle w:val="FootnoteReference"/>
          <w:rFonts w:ascii="Arial" w:hAnsi="Arial" w:cs="Arial"/>
        </w:rPr>
        <w:footnoteRef/>
      </w:r>
      <w:r w:rsidRPr="00ED4E21">
        <w:rPr>
          <w:rFonts w:ascii="Arial" w:hAnsi="Arial" w:cs="Arial"/>
        </w:rPr>
        <w:t xml:space="preserve"> 2008 (2) SA 24 at paragraph [265].</w:t>
      </w:r>
    </w:p>
  </w:footnote>
  <w:footnote w:id="19">
    <w:p w14:paraId="618EA5D3" w14:textId="77777777" w:rsidR="0067704A" w:rsidRPr="004F4597" w:rsidRDefault="0067704A"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w:t>
      </w:r>
      <w:r w:rsidRPr="004F4597">
        <w:rPr>
          <w:rFonts w:ascii="Arial" w:hAnsi="Arial" w:cs="Arial"/>
          <w:i/>
          <w:iCs/>
        </w:rPr>
        <w:t>S v Vilakazi</w:t>
      </w:r>
      <w:r w:rsidRPr="004F4597">
        <w:rPr>
          <w:rFonts w:ascii="Arial" w:hAnsi="Arial" w:cs="Arial"/>
        </w:rPr>
        <w:t xml:space="preserve"> 2016 (2) SACR 365 (SCA); read with section 92(1)(c) of the CPA.</w:t>
      </w:r>
    </w:p>
  </w:footnote>
  <w:footnote w:id="20">
    <w:p w14:paraId="387C8C2F" w14:textId="77777777" w:rsidR="0067704A" w:rsidRPr="004F4597" w:rsidRDefault="0067704A"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It is only where the offence for which the person is alleged to have been charged with may only be committed in a particular place, such as on a public road, that the place is an indispensable element of the offence.  See </w:t>
      </w:r>
      <w:r w:rsidRPr="004F4597">
        <w:rPr>
          <w:rFonts w:ascii="Arial" w:hAnsi="Arial" w:cs="Arial"/>
          <w:i/>
          <w:iCs/>
        </w:rPr>
        <w:t>R v Mapikitla</w:t>
      </w:r>
      <w:r w:rsidRPr="004F4597">
        <w:rPr>
          <w:rFonts w:ascii="Arial" w:hAnsi="Arial" w:cs="Arial"/>
        </w:rPr>
        <w:t xml:space="preserve"> 1950 91) SA 336 (GW).</w:t>
      </w:r>
    </w:p>
  </w:footnote>
  <w:footnote w:id="21">
    <w:p w14:paraId="0BEDDECA" w14:textId="00E7C450" w:rsidR="00F84D26" w:rsidRPr="004F4597" w:rsidRDefault="00F84D26"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w:t>
      </w:r>
      <w:r w:rsidRPr="004F4597">
        <w:rPr>
          <w:rFonts w:ascii="Arial" w:hAnsi="Arial" w:cs="Arial"/>
          <w:i/>
          <w:iCs/>
        </w:rPr>
        <w:t>R v Motete</w:t>
      </w:r>
      <w:r w:rsidRPr="004F4597">
        <w:rPr>
          <w:rFonts w:ascii="Arial" w:hAnsi="Arial" w:cs="Arial"/>
        </w:rPr>
        <w:t xml:space="preserve"> 1943 OPD 55.</w:t>
      </w:r>
    </w:p>
    <w:p w14:paraId="3458A296" w14:textId="25187A4F" w:rsidR="00F84D26" w:rsidRPr="004F4597" w:rsidRDefault="00F84D26" w:rsidP="004F4597">
      <w:pPr>
        <w:pStyle w:val="FootnoteText"/>
        <w:spacing w:line="360" w:lineRule="auto"/>
        <w:jc w:val="both"/>
        <w:rPr>
          <w:rFonts w:ascii="Arial" w:hAnsi="Arial" w:cs="Arial"/>
        </w:rPr>
      </w:pPr>
      <w:r w:rsidRPr="004F4597">
        <w:rPr>
          <w:rFonts w:ascii="Arial" w:hAnsi="Arial" w:cs="Arial"/>
        </w:rPr>
        <w:t xml:space="preserve">See also: </w:t>
      </w:r>
      <w:r w:rsidRPr="004F4597">
        <w:rPr>
          <w:rFonts w:ascii="Arial" w:hAnsi="Arial" w:cs="Arial"/>
          <w:i/>
          <w:iCs/>
        </w:rPr>
        <w:t>R v Leballo</w:t>
      </w:r>
      <w:r w:rsidRPr="004F4597">
        <w:rPr>
          <w:rFonts w:ascii="Arial" w:hAnsi="Arial" w:cs="Arial"/>
        </w:rPr>
        <w:t xml:space="preserve"> 1954 (2) SA 657 (O).</w:t>
      </w:r>
    </w:p>
  </w:footnote>
  <w:footnote w:id="22">
    <w:p w14:paraId="11B1DE2C" w14:textId="0E323801" w:rsidR="002F20FC" w:rsidRPr="00D64480" w:rsidRDefault="002F20FC" w:rsidP="00D64480">
      <w:pPr>
        <w:pStyle w:val="FootnoteText"/>
        <w:spacing w:line="360" w:lineRule="auto"/>
        <w:rPr>
          <w:rFonts w:ascii="Arial" w:hAnsi="Arial" w:cs="Arial"/>
        </w:rPr>
      </w:pPr>
      <w:r w:rsidRPr="00D64480">
        <w:rPr>
          <w:rStyle w:val="FootnoteReference"/>
          <w:rFonts w:ascii="Arial" w:hAnsi="Arial" w:cs="Arial"/>
        </w:rPr>
        <w:footnoteRef/>
      </w:r>
      <w:r w:rsidRPr="00D64480">
        <w:rPr>
          <w:rFonts w:ascii="Arial" w:hAnsi="Arial" w:cs="Arial"/>
        </w:rPr>
        <w:t xml:space="preserve"> </w:t>
      </w:r>
      <w:r w:rsidRPr="00D64480">
        <w:rPr>
          <w:rFonts w:ascii="Arial" w:hAnsi="Arial" w:cs="Arial"/>
          <w:i/>
          <w:iCs/>
        </w:rPr>
        <w:t>S v Sewela</w:t>
      </w:r>
      <w:r w:rsidRPr="00D64480">
        <w:rPr>
          <w:rFonts w:ascii="Arial" w:hAnsi="Arial" w:cs="Arial"/>
        </w:rPr>
        <w:t xml:space="preserve"> 2007 (1) SACR 123 (W).</w:t>
      </w:r>
    </w:p>
    <w:p w14:paraId="379B3044" w14:textId="2AAE7D62" w:rsidR="002F20FC" w:rsidRPr="00D64480" w:rsidRDefault="002F20FC" w:rsidP="00D64480">
      <w:pPr>
        <w:pStyle w:val="FootnoteText"/>
        <w:spacing w:line="360" w:lineRule="auto"/>
        <w:rPr>
          <w:rFonts w:ascii="Arial" w:hAnsi="Arial" w:cs="Arial"/>
        </w:rPr>
      </w:pPr>
      <w:r w:rsidRPr="00D64480">
        <w:rPr>
          <w:rFonts w:ascii="Arial" w:hAnsi="Arial" w:cs="Arial"/>
        </w:rPr>
        <w:t xml:space="preserve">See also: </w:t>
      </w:r>
      <w:r w:rsidRPr="00D64480">
        <w:rPr>
          <w:rFonts w:ascii="Arial" w:hAnsi="Arial" w:cs="Arial"/>
          <w:i/>
          <w:iCs/>
        </w:rPr>
        <w:t>S v Essop</w:t>
      </w:r>
      <w:r w:rsidRPr="00D64480">
        <w:rPr>
          <w:rFonts w:ascii="Arial" w:hAnsi="Arial" w:cs="Arial"/>
        </w:rPr>
        <w:t xml:space="preserve"> 2014 (2) SACR 495 (KZN) at paragraph [38].</w:t>
      </w:r>
    </w:p>
  </w:footnote>
  <w:footnote w:id="23">
    <w:p w14:paraId="23DE7698" w14:textId="55A2E71E" w:rsidR="002C6668" w:rsidRPr="00C026A3" w:rsidRDefault="002C6668"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w:t>
      </w:r>
      <w:r w:rsidRPr="00C026A3">
        <w:rPr>
          <w:rFonts w:ascii="Arial" w:hAnsi="Arial" w:cs="Arial"/>
          <w:i/>
          <w:iCs/>
        </w:rPr>
        <w:t>S v Essop</w:t>
      </w:r>
      <w:r w:rsidRPr="00C026A3">
        <w:rPr>
          <w:rFonts w:ascii="Arial" w:hAnsi="Arial" w:cs="Arial"/>
        </w:rPr>
        <w:t xml:space="preserve"> (supra) at paragraphs [42] and [47].</w:t>
      </w:r>
    </w:p>
  </w:footnote>
  <w:footnote w:id="24">
    <w:p w14:paraId="70BBAF64" w14:textId="4EBDA304" w:rsidR="002C6668" w:rsidRPr="00C026A3" w:rsidRDefault="002C6668"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1936 AD 445 at 447.</w:t>
      </w:r>
    </w:p>
  </w:footnote>
  <w:footnote w:id="25">
    <w:p w14:paraId="78C68710" w14:textId="77777777" w:rsidR="00C026A3" w:rsidRPr="00C026A3" w:rsidRDefault="00C026A3"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w:t>
      </w:r>
      <w:r w:rsidRPr="00C026A3">
        <w:rPr>
          <w:rFonts w:ascii="Arial" w:hAnsi="Arial" w:cs="Arial"/>
          <w:i/>
          <w:iCs/>
        </w:rPr>
        <w:t>Behrman v Regional Magistrate, Southern Transvaal and Another</w:t>
      </w:r>
      <w:r w:rsidRPr="00C026A3">
        <w:rPr>
          <w:rFonts w:ascii="Arial" w:hAnsi="Arial" w:cs="Arial"/>
        </w:rPr>
        <w:t xml:space="preserve"> 1956 (1) SA 318 (T) at 320 A.</w:t>
      </w:r>
    </w:p>
  </w:footnote>
  <w:footnote w:id="26">
    <w:p w14:paraId="3C9E5C81" w14:textId="5AA2D625" w:rsidR="000E4C00" w:rsidRPr="00973140" w:rsidRDefault="000E4C00">
      <w:pPr>
        <w:pStyle w:val="FootnoteText"/>
        <w:rPr>
          <w:rFonts w:ascii="Arial" w:hAnsi="Arial" w:cs="Arial"/>
        </w:rPr>
      </w:pPr>
      <w:r w:rsidRPr="00973140">
        <w:rPr>
          <w:rStyle w:val="FootnoteReference"/>
          <w:rFonts w:ascii="Arial" w:hAnsi="Arial" w:cs="Arial"/>
        </w:rPr>
        <w:footnoteRef/>
      </w:r>
      <w:r w:rsidRPr="00973140">
        <w:rPr>
          <w:rFonts w:ascii="Arial" w:hAnsi="Arial" w:cs="Arial"/>
        </w:rPr>
        <w:t xml:space="preserve"> Section 84(2)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4C8DAF23" w14:textId="7C09C052" w:rsidR="00840E2F" w:rsidRDefault="00840E2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19A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19AB">
          <w:rPr>
            <w:b/>
            <w:bCs/>
            <w:noProof/>
          </w:rPr>
          <w:t>25</w:t>
        </w:r>
        <w:r>
          <w:rPr>
            <w:b/>
            <w:bCs/>
            <w:sz w:val="24"/>
            <w:szCs w:val="24"/>
          </w:rPr>
          <w:fldChar w:fldCharType="end"/>
        </w:r>
      </w:p>
    </w:sdtContent>
  </w:sdt>
  <w:p w14:paraId="7284B9A3" w14:textId="77777777" w:rsidR="00840E2F" w:rsidRDefault="0084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E31"/>
    <w:multiLevelType w:val="hybridMultilevel"/>
    <w:tmpl w:val="E3942BAC"/>
    <w:lvl w:ilvl="0" w:tplc="FB24607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B41129"/>
    <w:multiLevelType w:val="hybridMultilevel"/>
    <w:tmpl w:val="14A444A4"/>
    <w:lvl w:ilvl="0" w:tplc="32AEB92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F7D629F"/>
    <w:multiLevelType w:val="multilevel"/>
    <w:tmpl w:val="8D381CD2"/>
    <w:lvl w:ilvl="0">
      <w:start w:val="1"/>
      <w:numFmt w:val="decimal"/>
      <w:lvlText w:val="%1."/>
      <w:lvlJc w:val="left"/>
      <w:pPr>
        <w:ind w:left="360" w:hanging="360"/>
      </w:pPr>
      <w:rPr>
        <w:b w:val="0"/>
        <w:b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75639"/>
    <w:multiLevelType w:val="hybridMultilevel"/>
    <w:tmpl w:val="16503C44"/>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2" w15:restartNumberingAfterBreak="0">
    <w:nsid w:val="5143504B"/>
    <w:multiLevelType w:val="hybridMultilevel"/>
    <w:tmpl w:val="E82A5A7A"/>
    <w:lvl w:ilvl="0" w:tplc="9F48392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1E14BC6"/>
    <w:multiLevelType w:val="hybridMultilevel"/>
    <w:tmpl w:val="5B6CC62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7740199E"/>
    <w:multiLevelType w:val="hybridMultilevel"/>
    <w:tmpl w:val="DD940FE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16cid:durableId="500201848">
    <w:abstractNumId w:val="2"/>
  </w:num>
  <w:num w:numId="2" w16cid:durableId="64766389">
    <w:abstractNumId w:val="18"/>
  </w:num>
  <w:num w:numId="3" w16cid:durableId="576863323">
    <w:abstractNumId w:val="6"/>
  </w:num>
  <w:num w:numId="4" w16cid:durableId="588661183">
    <w:abstractNumId w:val="19"/>
  </w:num>
  <w:num w:numId="5" w16cid:durableId="83962303">
    <w:abstractNumId w:val="13"/>
  </w:num>
  <w:num w:numId="6" w16cid:durableId="647049556">
    <w:abstractNumId w:val="17"/>
  </w:num>
  <w:num w:numId="7" w16cid:durableId="1223714222">
    <w:abstractNumId w:val="20"/>
  </w:num>
  <w:num w:numId="8" w16cid:durableId="1536691861">
    <w:abstractNumId w:val="11"/>
  </w:num>
  <w:num w:numId="9" w16cid:durableId="458227808">
    <w:abstractNumId w:val="4"/>
  </w:num>
  <w:num w:numId="10" w16cid:durableId="605191464">
    <w:abstractNumId w:val="1"/>
  </w:num>
  <w:num w:numId="11" w16cid:durableId="972373566">
    <w:abstractNumId w:val="10"/>
  </w:num>
  <w:num w:numId="12" w16cid:durableId="1013341441">
    <w:abstractNumId w:val="14"/>
  </w:num>
  <w:num w:numId="13" w16cid:durableId="1747220214">
    <w:abstractNumId w:val="7"/>
  </w:num>
  <w:num w:numId="14" w16cid:durableId="434011278">
    <w:abstractNumId w:val="15"/>
  </w:num>
  <w:num w:numId="15" w16cid:durableId="1355496832">
    <w:abstractNumId w:val="9"/>
  </w:num>
  <w:num w:numId="16" w16cid:durableId="735318810">
    <w:abstractNumId w:val="16"/>
  </w:num>
  <w:num w:numId="17" w16cid:durableId="505364777">
    <w:abstractNumId w:val="5"/>
  </w:num>
  <w:num w:numId="18" w16cid:durableId="847183902">
    <w:abstractNumId w:val="21"/>
  </w:num>
  <w:num w:numId="19" w16cid:durableId="1730228931">
    <w:abstractNumId w:val="0"/>
  </w:num>
  <w:num w:numId="20" w16cid:durableId="150609675">
    <w:abstractNumId w:val="8"/>
  </w:num>
  <w:num w:numId="21" w16cid:durableId="1577283382">
    <w:abstractNumId w:val="12"/>
  </w:num>
  <w:num w:numId="22" w16cid:durableId="987905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ZA" w:vendorID="64" w:dllVersion="6" w:nlCheck="1" w:checkStyle="0"/>
  <w:activeWritingStyle w:appName="MSWord" w:lang="en-AU"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11D76"/>
    <w:rsid w:val="0002093D"/>
    <w:rsid w:val="00023E81"/>
    <w:rsid w:val="00027DD2"/>
    <w:rsid w:val="000309FB"/>
    <w:rsid w:val="00034853"/>
    <w:rsid w:val="0003645F"/>
    <w:rsid w:val="00037386"/>
    <w:rsid w:val="000418BC"/>
    <w:rsid w:val="000430C7"/>
    <w:rsid w:val="00044E86"/>
    <w:rsid w:val="00052402"/>
    <w:rsid w:val="00053383"/>
    <w:rsid w:val="00055EE2"/>
    <w:rsid w:val="00057B9F"/>
    <w:rsid w:val="00061153"/>
    <w:rsid w:val="0006268D"/>
    <w:rsid w:val="000636A6"/>
    <w:rsid w:val="00082322"/>
    <w:rsid w:val="00083C8B"/>
    <w:rsid w:val="00085B56"/>
    <w:rsid w:val="0009417B"/>
    <w:rsid w:val="0009630C"/>
    <w:rsid w:val="000A40E5"/>
    <w:rsid w:val="000A4AAF"/>
    <w:rsid w:val="000A50B9"/>
    <w:rsid w:val="000A54C9"/>
    <w:rsid w:val="000A73DE"/>
    <w:rsid w:val="000A7FBA"/>
    <w:rsid w:val="000B19AB"/>
    <w:rsid w:val="000B1C22"/>
    <w:rsid w:val="000B1DD1"/>
    <w:rsid w:val="000B30F1"/>
    <w:rsid w:val="000B5F47"/>
    <w:rsid w:val="000B6C83"/>
    <w:rsid w:val="000C10DC"/>
    <w:rsid w:val="000C2194"/>
    <w:rsid w:val="000C22E2"/>
    <w:rsid w:val="000C36E2"/>
    <w:rsid w:val="000C52C9"/>
    <w:rsid w:val="000C59A7"/>
    <w:rsid w:val="000C6F8C"/>
    <w:rsid w:val="000C7629"/>
    <w:rsid w:val="000D469B"/>
    <w:rsid w:val="000D4CAA"/>
    <w:rsid w:val="000D7B3B"/>
    <w:rsid w:val="000E051B"/>
    <w:rsid w:val="000E3B5D"/>
    <w:rsid w:val="000E428C"/>
    <w:rsid w:val="000E4BE9"/>
    <w:rsid w:val="000E4C00"/>
    <w:rsid w:val="000E52D4"/>
    <w:rsid w:val="000E57DE"/>
    <w:rsid w:val="000E5BF1"/>
    <w:rsid w:val="000F1455"/>
    <w:rsid w:val="000F62E3"/>
    <w:rsid w:val="00100287"/>
    <w:rsid w:val="0010143F"/>
    <w:rsid w:val="001026BE"/>
    <w:rsid w:val="00104A64"/>
    <w:rsid w:val="00110F9F"/>
    <w:rsid w:val="00121554"/>
    <w:rsid w:val="0012486B"/>
    <w:rsid w:val="00126AF6"/>
    <w:rsid w:val="00127246"/>
    <w:rsid w:val="001276DE"/>
    <w:rsid w:val="00133706"/>
    <w:rsid w:val="00143A8F"/>
    <w:rsid w:val="001643FA"/>
    <w:rsid w:val="00166B3E"/>
    <w:rsid w:val="001676BF"/>
    <w:rsid w:val="00170FBF"/>
    <w:rsid w:val="00176BAC"/>
    <w:rsid w:val="00177396"/>
    <w:rsid w:val="001805DF"/>
    <w:rsid w:val="0018143C"/>
    <w:rsid w:val="001824E5"/>
    <w:rsid w:val="00183F64"/>
    <w:rsid w:val="00184388"/>
    <w:rsid w:val="001909A8"/>
    <w:rsid w:val="00193F83"/>
    <w:rsid w:val="001A4EF0"/>
    <w:rsid w:val="001B14D2"/>
    <w:rsid w:val="001B4A44"/>
    <w:rsid w:val="001B5889"/>
    <w:rsid w:val="001B686A"/>
    <w:rsid w:val="001B6DA2"/>
    <w:rsid w:val="001C6478"/>
    <w:rsid w:val="001C76C6"/>
    <w:rsid w:val="001D10A4"/>
    <w:rsid w:val="001D3FB4"/>
    <w:rsid w:val="001D438B"/>
    <w:rsid w:val="001E3BF5"/>
    <w:rsid w:val="001E6BDA"/>
    <w:rsid w:val="001E74AE"/>
    <w:rsid w:val="001F1E62"/>
    <w:rsid w:val="001F24A5"/>
    <w:rsid w:val="00201D73"/>
    <w:rsid w:val="002034C5"/>
    <w:rsid w:val="00203D9A"/>
    <w:rsid w:val="0020519F"/>
    <w:rsid w:val="0020532E"/>
    <w:rsid w:val="00211EB2"/>
    <w:rsid w:val="00212EFD"/>
    <w:rsid w:val="002158B5"/>
    <w:rsid w:val="00216FC6"/>
    <w:rsid w:val="00217459"/>
    <w:rsid w:val="0022218D"/>
    <w:rsid w:val="00222B27"/>
    <w:rsid w:val="002322FF"/>
    <w:rsid w:val="002335F2"/>
    <w:rsid w:val="00233D16"/>
    <w:rsid w:val="00234E34"/>
    <w:rsid w:val="00241CC7"/>
    <w:rsid w:val="00253634"/>
    <w:rsid w:val="002566C1"/>
    <w:rsid w:val="00257133"/>
    <w:rsid w:val="00262352"/>
    <w:rsid w:val="00266467"/>
    <w:rsid w:val="00273DE2"/>
    <w:rsid w:val="0027616D"/>
    <w:rsid w:val="0027638A"/>
    <w:rsid w:val="002779FB"/>
    <w:rsid w:val="0028245E"/>
    <w:rsid w:val="0028362F"/>
    <w:rsid w:val="0028479E"/>
    <w:rsid w:val="00292635"/>
    <w:rsid w:val="002928DD"/>
    <w:rsid w:val="00292DEB"/>
    <w:rsid w:val="0029310D"/>
    <w:rsid w:val="002937C0"/>
    <w:rsid w:val="00293928"/>
    <w:rsid w:val="00294353"/>
    <w:rsid w:val="00295F34"/>
    <w:rsid w:val="002975F7"/>
    <w:rsid w:val="002A5CCD"/>
    <w:rsid w:val="002A7429"/>
    <w:rsid w:val="002B2097"/>
    <w:rsid w:val="002B2755"/>
    <w:rsid w:val="002C08A1"/>
    <w:rsid w:val="002C0BD9"/>
    <w:rsid w:val="002C4BEF"/>
    <w:rsid w:val="002C6244"/>
    <w:rsid w:val="002C651B"/>
    <w:rsid w:val="002C6668"/>
    <w:rsid w:val="002C74F9"/>
    <w:rsid w:val="002D36BA"/>
    <w:rsid w:val="002D51B4"/>
    <w:rsid w:val="002E0162"/>
    <w:rsid w:val="002E0798"/>
    <w:rsid w:val="002E0CDF"/>
    <w:rsid w:val="002F20FC"/>
    <w:rsid w:val="002F2CC2"/>
    <w:rsid w:val="002F3F5E"/>
    <w:rsid w:val="002F436C"/>
    <w:rsid w:val="00301610"/>
    <w:rsid w:val="003065F3"/>
    <w:rsid w:val="0031085E"/>
    <w:rsid w:val="00315589"/>
    <w:rsid w:val="00316118"/>
    <w:rsid w:val="00323EC0"/>
    <w:rsid w:val="003300B1"/>
    <w:rsid w:val="00332DE7"/>
    <w:rsid w:val="00334149"/>
    <w:rsid w:val="00337E71"/>
    <w:rsid w:val="00351214"/>
    <w:rsid w:val="00353DD2"/>
    <w:rsid w:val="003678D5"/>
    <w:rsid w:val="00370F9B"/>
    <w:rsid w:val="00371725"/>
    <w:rsid w:val="00376FD1"/>
    <w:rsid w:val="00381616"/>
    <w:rsid w:val="00384D59"/>
    <w:rsid w:val="00385EFF"/>
    <w:rsid w:val="003862F8"/>
    <w:rsid w:val="003918C4"/>
    <w:rsid w:val="00393D19"/>
    <w:rsid w:val="00395583"/>
    <w:rsid w:val="00395989"/>
    <w:rsid w:val="003A55D6"/>
    <w:rsid w:val="003A768C"/>
    <w:rsid w:val="003B121F"/>
    <w:rsid w:val="003B7556"/>
    <w:rsid w:val="003C328E"/>
    <w:rsid w:val="003C64FC"/>
    <w:rsid w:val="003D1A97"/>
    <w:rsid w:val="003D1F61"/>
    <w:rsid w:val="003D7A1C"/>
    <w:rsid w:val="003E0116"/>
    <w:rsid w:val="003E0B46"/>
    <w:rsid w:val="003E2EB5"/>
    <w:rsid w:val="003E61E5"/>
    <w:rsid w:val="003E7EA9"/>
    <w:rsid w:val="003F7577"/>
    <w:rsid w:val="00412958"/>
    <w:rsid w:val="00412AA0"/>
    <w:rsid w:val="0041467D"/>
    <w:rsid w:val="00414DAB"/>
    <w:rsid w:val="0041523F"/>
    <w:rsid w:val="0041591A"/>
    <w:rsid w:val="0041756A"/>
    <w:rsid w:val="00422C66"/>
    <w:rsid w:val="00425370"/>
    <w:rsid w:val="0042594F"/>
    <w:rsid w:val="00431084"/>
    <w:rsid w:val="004330AD"/>
    <w:rsid w:val="00433A1E"/>
    <w:rsid w:val="00433C9F"/>
    <w:rsid w:val="0043732E"/>
    <w:rsid w:val="0044169F"/>
    <w:rsid w:val="00444F64"/>
    <w:rsid w:val="00447024"/>
    <w:rsid w:val="0045094A"/>
    <w:rsid w:val="00450FB2"/>
    <w:rsid w:val="004530A0"/>
    <w:rsid w:val="00453802"/>
    <w:rsid w:val="00453823"/>
    <w:rsid w:val="00461FB3"/>
    <w:rsid w:val="004678E9"/>
    <w:rsid w:val="004719D7"/>
    <w:rsid w:val="004756E1"/>
    <w:rsid w:val="004764E6"/>
    <w:rsid w:val="004810AA"/>
    <w:rsid w:val="004821A7"/>
    <w:rsid w:val="00482D50"/>
    <w:rsid w:val="00485F9F"/>
    <w:rsid w:val="00486F09"/>
    <w:rsid w:val="004A1838"/>
    <w:rsid w:val="004A3360"/>
    <w:rsid w:val="004A466B"/>
    <w:rsid w:val="004A5563"/>
    <w:rsid w:val="004A6EF3"/>
    <w:rsid w:val="004A7272"/>
    <w:rsid w:val="004B5CD4"/>
    <w:rsid w:val="004B79A3"/>
    <w:rsid w:val="004C02BA"/>
    <w:rsid w:val="004C180A"/>
    <w:rsid w:val="004C1883"/>
    <w:rsid w:val="004C1C3C"/>
    <w:rsid w:val="004C2D84"/>
    <w:rsid w:val="004C2E12"/>
    <w:rsid w:val="004D0831"/>
    <w:rsid w:val="004D1112"/>
    <w:rsid w:val="004D3450"/>
    <w:rsid w:val="004D5A16"/>
    <w:rsid w:val="004E117F"/>
    <w:rsid w:val="004E1FB2"/>
    <w:rsid w:val="004E33EA"/>
    <w:rsid w:val="004E6F1A"/>
    <w:rsid w:val="004E7574"/>
    <w:rsid w:val="004F4597"/>
    <w:rsid w:val="004F50E1"/>
    <w:rsid w:val="00500AE2"/>
    <w:rsid w:val="00500C3C"/>
    <w:rsid w:val="00500EAC"/>
    <w:rsid w:val="00502B97"/>
    <w:rsid w:val="005078BE"/>
    <w:rsid w:val="00515652"/>
    <w:rsid w:val="00517792"/>
    <w:rsid w:val="00521BE5"/>
    <w:rsid w:val="005227A4"/>
    <w:rsid w:val="005245F3"/>
    <w:rsid w:val="00524B05"/>
    <w:rsid w:val="00533254"/>
    <w:rsid w:val="005347AE"/>
    <w:rsid w:val="0054163E"/>
    <w:rsid w:val="00542DE9"/>
    <w:rsid w:val="005508DB"/>
    <w:rsid w:val="00550FF5"/>
    <w:rsid w:val="005517CD"/>
    <w:rsid w:val="00552177"/>
    <w:rsid w:val="0055272A"/>
    <w:rsid w:val="00553404"/>
    <w:rsid w:val="0055363B"/>
    <w:rsid w:val="00554CC6"/>
    <w:rsid w:val="005551AC"/>
    <w:rsid w:val="00560890"/>
    <w:rsid w:val="005736C6"/>
    <w:rsid w:val="005760D2"/>
    <w:rsid w:val="0058173E"/>
    <w:rsid w:val="005828D0"/>
    <w:rsid w:val="00585D1B"/>
    <w:rsid w:val="00593294"/>
    <w:rsid w:val="005A17C8"/>
    <w:rsid w:val="005A3051"/>
    <w:rsid w:val="005A308A"/>
    <w:rsid w:val="005A61ED"/>
    <w:rsid w:val="005A63F9"/>
    <w:rsid w:val="005B4CB6"/>
    <w:rsid w:val="005C091C"/>
    <w:rsid w:val="005C093B"/>
    <w:rsid w:val="005C6CD2"/>
    <w:rsid w:val="005C7C45"/>
    <w:rsid w:val="005D1425"/>
    <w:rsid w:val="005D25D7"/>
    <w:rsid w:val="005D34FC"/>
    <w:rsid w:val="005D53A6"/>
    <w:rsid w:val="005D7627"/>
    <w:rsid w:val="005D7D6D"/>
    <w:rsid w:val="005E1561"/>
    <w:rsid w:val="005E15B6"/>
    <w:rsid w:val="005E2034"/>
    <w:rsid w:val="005E35A9"/>
    <w:rsid w:val="005E6732"/>
    <w:rsid w:val="005F130A"/>
    <w:rsid w:val="005F1835"/>
    <w:rsid w:val="005F6D40"/>
    <w:rsid w:val="00605B2D"/>
    <w:rsid w:val="00606DAA"/>
    <w:rsid w:val="00613BB2"/>
    <w:rsid w:val="00615A0D"/>
    <w:rsid w:val="00621BD0"/>
    <w:rsid w:val="00625F5F"/>
    <w:rsid w:val="006311E1"/>
    <w:rsid w:val="006319F8"/>
    <w:rsid w:val="00631EC0"/>
    <w:rsid w:val="00632DF3"/>
    <w:rsid w:val="00636893"/>
    <w:rsid w:val="006460DD"/>
    <w:rsid w:val="00650337"/>
    <w:rsid w:val="00653C61"/>
    <w:rsid w:val="006547D0"/>
    <w:rsid w:val="006550DF"/>
    <w:rsid w:val="0066114C"/>
    <w:rsid w:val="00662526"/>
    <w:rsid w:val="00662A3F"/>
    <w:rsid w:val="0066787D"/>
    <w:rsid w:val="006735A2"/>
    <w:rsid w:val="00675029"/>
    <w:rsid w:val="0067704A"/>
    <w:rsid w:val="0068109C"/>
    <w:rsid w:val="00682535"/>
    <w:rsid w:val="00682F48"/>
    <w:rsid w:val="0068535F"/>
    <w:rsid w:val="006864DA"/>
    <w:rsid w:val="00690338"/>
    <w:rsid w:val="00690351"/>
    <w:rsid w:val="0069079B"/>
    <w:rsid w:val="00691F89"/>
    <w:rsid w:val="00692539"/>
    <w:rsid w:val="006A22CC"/>
    <w:rsid w:val="006B0934"/>
    <w:rsid w:val="006B538A"/>
    <w:rsid w:val="006B7E32"/>
    <w:rsid w:val="006B7EF3"/>
    <w:rsid w:val="006C3645"/>
    <w:rsid w:val="006C615C"/>
    <w:rsid w:val="006D11E1"/>
    <w:rsid w:val="006D17AE"/>
    <w:rsid w:val="006D40AD"/>
    <w:rsid w:val="006D6E6D"/>
    <w:rsid w:val="006E106A"/>
    <w:rsid w:val="006E154C"/>
    <w:rsid w:val="006E2F53"/>
    <w:rsid w:val="006E3BA4"/>
    <w:rsid w:val="006E54A1"/>
    <w:rsid w:val="006F23A1"/>
    <w:rsid w:val="00703FA2"/>
    <w:rsid w:val="0071098C"/>
    <w:rsid w:val="00713124"/>
    <w:rsid w:val="007142B6"/>
    <w:rsid w:val="00715CC1"/>
    <w:rsid w:val="007219D1"/>
    <w:rsid w:val="007232F7"/>
    <w:rsid w:val="00727FFE"/>
    <w:rsid w:val="00733195"/>
    <w:rsid w:val="007371B8"/>
    <w:rsid w:val="00740173"/>
    <w:rsid w:val="00742608"/>
    <w:rsid w:val="00743190"/>
    <w:rsid w:val="00744D3B"/>
    <w:rsid w:val="0074550D"/>
    <w:rsid w:val="00751E8D"/>
    <w:rsid w:val="007614C0"/>
    <w:rsid w:val="00761BBE"/>
    <w:rsid w:val="007653FB"/>
    <w:rsid w:val="00771388"/>
    <w:rsid w:val="007765C5"/>
    <w:rsid w:val="00784664"/>
    <w:rsid w:val="00784E56"/>
    <w:rsid w:val="00792786"/>
    <w:rsid w:val="00793E4D"/>
    <w:rsid w:val="007A21D6"/>
    <w:rsid w:val="007A3FD7"/>
    <w:rsid w:val="007A4071"/>
    <w:rsid w:val="007A529E"/>
    <w:rsid w:val="007A5E4D"/>
    <w:rsid w:val="007A6349"/>
    <w:rsid w:val="007A79B3"/>
    <w:rsid w:val="007B514C"/>
    <w:rsid w:val="007B5CC4"/>
    <w:rsid w:val="007C30F7"/>
    <w:rsid w:val="007C3254"/>
    <w:rsid w:val="007D1CBB"/>
    <w:rsid w:val="007D3886"/>
    <w:rsid w:val="007D5391"/>
    <w:rsid w:val="007D7204"/>
    <w:rsid w:val="007E2B12"/>
    <w:rsid w:val="007F00FB"/>
    <w:rsid w:val="007F1D70"/>
    <w:rsid w:val="007F39E5"/>
    <w:rsid w:val="00813B51"/>
    <w:rsid w:val="00817031"/>
    <w:rsid w:val="0082219E"/>
    <w:rsid w:val="008235BA"/>
    <w:rsid w:val="008244FA"/>
    <w:rsid w:val="0082637E"/>
    <w:rsid w:val="00840E2F"/>
    <w:rsid w:val="00844035"/>
    <w:rsid w:val="00850AD1"/>
    <w:rsid w:val="00852C70"/>
    <w:rsid w:val="0085651E"/>
    <w:rsid w:val="008610A0"/>
    <w:rsid w:val="008626F4"/>
    <w:rsid w:val="00863A6F"/>
    <w:rsid w:val="00866C41"/>
    <w:rsid w:val="00874156"/>
    <w:rsid w:val="00880CA1"/>
    <w:rsid w:val="00890AE9"/>
    <w:rsid w:val="008961BD"/>
    <w:rsid w:val="008971AF"/>
    <w:rsid w:val="008971F3"/>
    <w:rsid w:val="008A1D3C"/>
    <w:rsid w:val="008B1B6F"/>
    <w:rsid w:val="008B232F"/>
    <w:rsid w:val="008B31D6"/>
    <w:rsid w:val="008B3A52"/>
    <w:rsid w:val="008C48BD"/>
    <w:rsid w:val="008C7421"/>
    <w:rsid w:val="008C7C33"/>
    <w:rsid w:val="008D18F0"/>
    <w:rsid w:val="008D1CD0"/>
    <w:rsid w:val="008E1752"/>
    <w:rsid w:val="008E31B4"/>
    <w:rsid w:val="008E4EF3"/>
    <w:rsid w:val="008E59D0"/>
    <w:rsid w:val="008F4C9D"/>
    <w:rsid w:val="00903629"/>
    <w:rsid w:val="00907532"/>
    <w:rsid w:val="00907B5C"/>
    <w:rsid w:val="00910C20"/>
    <w:rsid w:val="00916453"/>
    <w:rsid w:val="0092000D"/>
    <w:rsid w:val="00920EAB"/>
    <w:rsid w:val="00922752"/>
    <w:rsid w:val="00922CA2"/>
    <w:rsid w:val="00923769"/>
    <w:rsid w:val="00926870"/>
    <w:rsid w:val="009313F7"/>
    <w:rsid w:val="00935CBA"/>
    <w:rsid w:val="009406FC"/>
    <w:rsid w:val="00940876"/>
    <w:rsid w:val="00944AC8"/>
    <w:rsid w:val="00951639"/>
    <w:rsid w:val="00954E52"/>
    <w:rsid w:val="00956789"/>
    <w:rsid w:val="009676EF"/>
    <w:rsid w:val="00973140"/>
    <w:rsid w:val="00973658"/>
    <w:rsid w:val="0098422D"/>
    <w:rsid w:val="00990075"/>
    <w:rsid w:val="009950B9"/>
    <w:rsid w:val="00996358"/>
    <w:rsid w:val="009967D6"/>
    <w:rsid w:val="00997035"/>
    <w:rsid w:val="009A01DB"/>
    <w:rsid w:val="009A0327"/>
    <w:rsid w:val="009A2D27"/>
    <w:rsid w:val="009B0730"/>
    <w:rsid w:val="009B1A4D"/>
    <w:rsid w:val="009B2104"/>
    <w:rsid w:val="009B679A"/>
    <w:rsid w:val="009C344C"/>
    <w:rsid w:val="009C349F"/>
    <w:rsid w:val="009C43EA"/>
    <w:rsid w:val="009C611A"/>
    <w:rsid w:val="009C7FD1"/>
    <w:rsid w:val="009E06F8"/>
    <w:rsid w:val="009E2998"/>
    <w:rsid w:val="009E2B2F"/>
    <w:rsid w:val="009E4085"/>
    <w:rsid w:val="009E4C8A"/>
    <w:rsid w:val="009F1FB2"/>
    <w:rsid w:val="009F433C"/>
    <w:rsid w:val="009F4A2F"/>
    <w:rsid w:val="009F5269"/>
    <w:rsid w:val="009F5977"/>
    <w:rsid w:val="009F63DB"/>
    <w:rsid w:val="009F76B7"/>
    <w:rsid w:val="00A060AC"/>
    <w:rsid w:val="00A173D7"/>
    <w:rsid w:val="00A24366"/>
    <w:rsid w:val="00A252D2"/>
    <w:rsid w:val="00A3391A"/>
    <w:rsid w:val="00A3522E"/>
    <w:rsid w:val="00A3554D"/>
    <w:rsid w:val="00A37EEB"/>
    <w:rsid w:val="00A40467"/>
    <w:rsid w:val="00A41E35"/>
    <w:rsid w:val="00A4368D"/>
    <w:rsid w:val="00A57E16"/>
    <w:rsid w:val="00A613DD"/>
    <w:rsid w:val="00A61FB8"/>
    <w:rsid w:val="00A75C16"/>
    <w:rsid w:val="00A7603D"/>
    <w:rsid w:val="00A811F2"/>
    <w:rsid w:val="00A87E14"/>
    <w:rsid w:val="00A94976"/>
    <w:rsid w:val="00A96294"/>
    <w:rsid w:val="00AA13AC"/>
    <w:rsid w:val="00AA41AB"/>
    <w:rsid w:val="00AB1159"/>
    <w:rsid w:val="00AB2653"/>
    <w:rsid w:val="00AB445F"/>
    <w:rsid w:val="00AB77DF"/>
    <w:rsid w:val="00AC2A65"/>
    <w:rsid w:val="00AC6223"/>
    <w:rsid w:val="00AC696E"/>
    <w:rsid w:val="00AD03C0"/>
    <w:rsid w:val="00AD58D4"/>
    <w:rsid w:val="00AE18D3"/>
    <w:rsid w:val="00AE6D31"/>
    <w:rsid w:val="00AE750B"/>
    <w:rsid w:val="00AE7EEA"/>
    <w:rsid w:val="00AF7B87"/>
    <w:rsid w:val="00B00088"/>
    <w:rsid w:val="00B01804"/>
    <w:rsid w:val="00B111F7"/>
    <w:rsid w:val="00B1246F"/>
    <w:rsid w:val="00B159D0"/>
    <w:rsid w:val="00B20E36"/>
    <w:rsid w:val="00B22F73"/>
    <w:rsid w:val="00B26813"/>
    <w:rsid w:val="00B34DD9"/>
    <w:rsid w:val="00B375C1"/>
    <w:rsid w:val="00B41F53"/>
    <w:rsid w:val="00B42DA2"/>
    <w:rsid w:val="00B46F3C"/>
    <w:rsid w:val="00B511F3"/>
    <w:rsid w:val="00B61F10"/>
    <w:rsid w:val="00B731E7"/>
    <w:rsid w:val="00B75BD1"/>
    <w:rsid w:val="00B77EFA"/>
    <w:rsid w:val="00B80BB8"/>
    <w:rsid w:val="00B8453C"/>
    <w:rsid w:val="00B85A49"/>
    <w:rsid w:val="00BA6832"/>
    <w:rsid w:val="00BB03DF"/>
    <w:rsid w:val="00BB206B"/>
    <w:rsid w:val="00BC0BDE"/>
    <w:rsid w:val="00BC400A"/>
    <w:rsid w:val="00BC40CB"/>
    <w:rsid w:val="00BC5FA5"/>
    <w:rsid w:val="00BD4287"/>
    <w:rsid w:val="00BD70B5"/>
    <w:rsid w:val="00BE1C96"/>
    <w:rsid w:val="00BE78D8"/>
    <w:rsid w:val="00BF3FA8"/>
    <w:rsid w:val="00C026A3"/>
    <w:rsid w:val="00C0636B"/>
    <w:rsid w:val="00C10C87"/>
    <w:rsid w:val="00C12908"/>
    <w:rsid w:val="00C13D17"/>
    <w:rsid w:val="00C172DA"/>
    <w:rsid w:val="00C23A4E"/>
    <w:rsid w:val="00C23DDF"/>
    <w:rsid w:val="00C250CB"/>
    <w:rsid w:val="00C27E4C"/>
    <w:rsid w:val="00C304D6"/>
    <w:rsid w:val="00C34482"/>
    <w:rsid w:val="00C36221"/>
    <w:rsid w:val="00C37C62"/>
    <w:rsid w:val="00C40716"/>
    <w:rsid w:val="00C45F89"/>
    <w:rsid w:val="00C477FA"/>
    <w:rsid w:val="00C62AB0"/>
    <w:rsid w:val="00C630B2"/>
    <w:rsid w:val="00C63392"/>
    <w:rsid w:val="00C67986"/>
    <w:rsid w:val="00C716FD"/>
    <w:rsid w:val="00C72CF3"/>
    <w:rsid w:val="00C747EF"/>
    <w:rsid w:val="00C75680"/>
    <w:rsid w:val="00C76EF0"/>
    <w:rsid w:val="00C77490"/>
    <w:rsid w:val="00C820E4"/>
    <w:rsid w:val="00C82F79"/>
    <w:rsid w:val="00C82F9B"/>
    <w:rsid w:val="00C84F5B"/>
    <w:rsid w:val="00C90295"/>
    <w:rsid w:val="00C90BAA"/>
    <w:rsid w:val="00C929F2"/>
    <w:rsid w:val="00C92A69"/>
    <w:rsid w:val="00C94310"/>
    <w:rsid w:val="00C95E68"/>
    <w:rsid w:val="00CB1437"/>
    <w:rsid w:val="00CD2C8D"/>
    <w:rsid w:val="00CD5F72"/>
    <w:rsid w:val="00CD63A3"/>
    <w:rsid w:val="00CE0E62"/>
    <w:rsid w:val="00CE1702"/>
    <w:rsid w:val="00CE1FE8"/>
    <w:rsid w:val="00CE3397"/>
    <w:rsid w:val="00CE4DBB"/>
    <w:rsid w:val="00CE5BC1"/>
    <w:rsid w:val="00CF13B2"/>
    <w:rsid w:val="00CF6FE9"/>
    <w:rsid w:val="00CF7778"/>
    <w:rsid w:val="00D03139"/>
    <w:rsid w:val="00D04B71"/>
    <w:rsid w:val="00D11E0A"/>
    <w:rsid w:val="00D11E19"/>
    <w:rsid w:val="00D126E4"/>
    <w:rsid w:val="00D154BB"/>
    <w:rsid w:val="00D16FDF"/>
    <w:rsid w:val="00D204F7"/>
    <w:rsid w:val="00D24F26"/>
    <w:rsid w:val="00D27352"/>
    <w:rsid w:val="00D275D6"/>
    <w:rsid w:val="00D2795F"/>
    <w:rsid w:val="00D311CE"/>
    <w:rsid w:val="00D329F3"/>
    <w:rsid w:val="00D32E67"/>
    <w:rsid w:val="00D33AB5"/>
    <w:rsid w:val="00D33BC4"/>
    <w:rsid w:val="00D3554B"/>
    <w:rsid w:val="00D40985"/>
    <w:rsid w:val="00D41100"/>
    <w:rsid w:val="00D419AB"/>
    <w:rsid w:val="00D427E4"/>
    <w:rsid w:val="00D44DA3"/>
    <w:rsid w:val="00D46B70"/>
    <w:rsid w:val="00D52BF9"/>
    <w:rsid w:val="00D5395C"/>
    <w:rsid w:val="00D557BE"/>
    <w:rsid w:val="00D57266"/>
    <w:rsid w:val="00D57441"/>
    <w:rsid w:val="00D64480"/>
    <w:rsid w:val="00D70FA9"/>
    <w:rsid w:val="00D73E90"/>
    <w:rsid w:val="00D77007"/>
    <w:rsid w:val="00D8609F"/>
    <w:rsid w:val="00D87064"/>
    <w:rsid w:val="00D90973"/>
    <w:rsid w:val="00D90BC6"/>
    <w:rsid w:val="00D949E7"/>
    <w:rsid w:val="00D96829"/>
    <w:rsid w:val="00D972CC"/>
    <w:rsid w:val="00DA0DA5"/>
    <w:rsid w:val="00DA1059"/>
    <w:rsid w:val="00DA1FC4"/>
    <w:rsid w:val="00DB1968"/>
    <w:rsid w:val="00DB20D4"/>
    <w:rsid w:val="00DC4DE8"/>
    <w:rsid w:val="00DD086D"/>
    <w:rsid w:val="00DD4EC8"/>
    <w:rsid w:val="00DD571D"/>
    <w:rsid w:val="00DF01DC"/>
    <w:rsid w:val="00DF02EB"/>
    <w:rsid w:val="00DF3FCA"/>
    <w:rsid w:val="00DF4CB1"/>
    <w:rsid w:val="00E04D2A"/>
    <w:rsid w:val="00E05666"/>
    <w:rsid w:val="00E226A6"/>
    <w:rsid w:val="00E261B3"/>
    <w:rsid w:val="00E358D5"/>
    <w:rsid w:val="00E3613A"/>
    <w:rsid w:val="00E44518"/>
    <w:rsid w:val="00E448CD"/>
    <w:rsid w:val="00E512E1"/>
    <w:rsid w:val="00E519F2"/>
    <w:rsid w:val="00E54474"/>
    <w:rsid w:val="00E55583"/>
    <w:rsid w:val="00E60312"/>
    <w:rsid w:val="00E731C2"/>
    <w:rsid w:val="00E77CBB"/>
    <w:rsid w:val="00E8232C"/>
    <w:rsid w:val="00E84155"/>
    <w:rsid w:val="00E8421C"/>
    <w:rsid w:val="00E87326"/>
    <w:rsid w:val="00E874ED"/>
    <w:rsid w:val="00E950E8"/>
    <w:rsid w:val="00E973C6"/>
    <w:rsid w:val="00EA28F6"/>
    <w:rsid w:val="00EA2C86"/>
    <w:rsid w:val="00EA3DB5"/>
    <w:rsid w:val="00EA6E73"/>
    <w:rsid w:val="00EB0085"/>
    <w:rsid w:val="00EB4280"/>
    <w:rsid w:val="00EB5DCD"/>
    <w:rsid w:val="00EC02C8"/>
    <w:rsid w:val="00EC2EC6"/>
    <w:rsid w:val="00EC393C"/>
    <w:rsid w:val="00EC4585"/>
    <w:rsid w:val="00EC6429"/>
    <w:rsid w:val="00ED4E21"/>
    <w:rsid w:val="00ED6539"/>
    <w:rsid w:val="00ED6890"/>
    <w:rsid w:val="00ED72B1"/>
    <w:rsid w:val="00ED76CE"/>
    <w:rsid w:val="00EE0852"/>
    <w:rsid w:val="00EE1DB4"/>
    <w:rsid w:val="00EE2E76"/>
    <w:rsid w:val="00EE4754"/>
    <w:rsid w:val="00EE4D46"/>
    <w:rsid w:val="00EE794E"/>
    <w:rsid w:val="00EF4FD8"/>
    <w:rsid w:val="00EF504F"/>
    <w:rsid w:val="00F02B98"/>
    <w:rsid w:val="00F0401A"/>
    <w:rsid w:val="00F072F3"/>
    <w:rsid w:val="00F07F04"/>
    <w:rsid w:val="00F11C80"/>
    <w:rsid w:val="00F1274E"/>
    <w:rsid w:val="00F1374C"/>
    <w:rsid w:val="00F226B2"/>
    <w:rsid w:val="00F26D2E"/>
    <w:rsid w:val="00F278D9"/>
    <w:rsid w:val="00F3342C"/>
    <w:rsid w:val="00F34A93"/>
    <w:rsid w:val="00F3646F"/>
    <w:rsid w:val="00F37299"/>
    <w:rsid w:val="00F40422"/>
    <w:rsid w:val="00F574AC"/>
    <w:rsid w:val="00F64AAA"/>
    <w:rsid w:val="00F65B65"/>
    <w:rsid w:val="00F70740"/>
    <w:rsid w:val="00F7134F"/>
    <w:rsid w:val="00F718C6"/>
    <w:rsid w:val="00F74DB9"/>
    <w:rsid w:val="00F74E5A"/>
    <w:rsid w:val="00F83564"/>
    <w:rsid w:val="00F84D26"/>
    <w:rsid w:val="00F866B4"/>
    <w:rsid w:val="00F866BA"/>
    <w:rsid w:val="00F87774"/>
    <w:rsid w:val="00F87C03"/>
    <w:rsid w:val="00F92F23"/>
    <w:rsid w:val="00F930DB"/>
    <w:rsid w:val="00FA4FB8"/>
    <w:rsid w:val="00FB1788"/>
    <w:rsid w:val="00FC146F"/>
    <w:rsid w:val="00FC2BA5"/>
    <w:rsid w:val="00FD0283"/>
    <w:rsid w:val="00FD49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C8AC"/>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3D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link w:val="ListParagraphChar"/>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 w:type="paragraph" w:customStyle="1" w:styleId="GW11">
    <w:name w:val="GW1.1"/>
    <w:basedOn w:val="Normal"/>
    <w:rsid w:val="00F7134F"/>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F7134F"/>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F7134F"/>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F7134F"/>
  </w:style>
  <w:style w:type="paragraph" w:styleId="NormalWeb">
    <w:name w:val="Normal (Web)"/>
    <w:basedOn w:val="Normal"/>
    <w:uiPriority w:val="99"/>
    <w:semiHidden/>
    <w:unhideWhenUsed/>
    <w:rsid w:val="00F7134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EA3D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A3DB5"/>
    <w:rPr>
      <w:rFonts w:ascii="Times New Roman" w:eastAsia="Times New Roman" w:hAnsi="Times New Roman" w:cs="Times New Roman"/>
      <w:b/>
      <w:bCs/>
      <w:sz w:val="36"/>
      <w:szCs w:val="36"/>
      <w:lang w:eastAsia="en-ZA"/>
    </w:rPr>
  </w:style>
  <w:style w:type="paragraph" w:styleId="NoSpacing">
    <w:name w:val="No Spacing"/>
    <w:link w:val="NoSpacingChar"/>
    <w:uiPriority w:val="1"/>
    <w:qFormat/>
    <w:rsid w:val="001026BE"/>
    <w:pPr>
      <w:spacing w:after="0" w:line="240" w:lineRule="auto"/>
    </w:pPr>
    <w:rPr>
      <w:rFonts w:ascii="Arial" w:hAnsi="Arial" w:cs="Arial"/>
      <w:sz w:val="20"/>
      <w:szCs w:val="20"/>
    </w:rPr>
  </w:style>
  <w:style w:type="character" w:customStyle="1" w:styleId="NoSpacingChar">
    <w:name w:val="No Spacing Char"/>
    <w:link w:val="NoSpacing"/>
    <w:uiPriority w:val="1"/>
    <w:rsid w:val="001026B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1824">
      <w:bodyDiv w:val="1"/>
      <w:marLeft w:val="0"/>
      <w:marRight w:val="0"/>
      <w:marTop w:val="0"/>
      <w:marBottom w:val="0"/>
      <w:divBdr>
        <w:top w:val="none" w:sz="0" w:space="0" w:color="auto"/>
        <w:left w:val="none" w:sz="0" w:space="0" w:color="auto"/>
        <w:bottom w:val="none" w:sz="0" w:space="0" w:color="auto"/>
        <w:right w:val="none" w:sz="0" w:space="0" w:color="auto"/>
      </w:divBdr>
    </w:div>
    <w:div w:id="742919172">
      <w:bodyDiv w:val="1"/>
      <w:marLeft w:val="0"/>
      <w:marRight w:val="0"/>
      <w:marTop w:val="0"/>
      <w:marBottom w:val="0"/>
      <w:divBdr>
        <w:top w:val="none" w:sz="0" w:space="0" w:color="auto"/>
        <w:left w:val="none" w:sz="0" w:space="0" w:color="auto"/>
        <w:bottom w:val="none" w:sz="0" w:space="0" w:color="auto"/>
        <w:right w:val="none" w:sz="0" w:space="0" w:color="auto"/>
      </w:divBdr>
    </w:div>
    <w:div w:id="786242095">
      <w:bodyDiv w:val="1"/>
      <w:marLeft w:val="0"/>
      <w:marRight w:val="0"/>
      <w:marTop w:val="0"/>
      <w:marBottom w:val="0"/>
      <w:divBdr>
        <w:top w:val="none" w:sz="0" w:space="0" w:color="auto"/>
        <w:left w:val="none" w:sz="0" w:space="0" w:color="auto"/>
        <w:bottom w:val="none" w:sz="0" w:space="0" w:color="auto"/>
        <w:right w:val="none" w:sz="0" w:space="0" w:color="auto"/>
      </w:divBdr>
    </w:div>
    <w:div w:id="1179588184">
      <w:bodyDiv w:val="1"/>
      <w:marLeft w:val="0"/>
      <w:marRight w:val="0"/>
      <w:marTop w:val="0"/>
      <w:marBottom w:val="0"/>
      <w:divBdr>
        <w:top w:val="none" w:sz="0" w:space="0" w:color="auto"/>
        <w:left w:val="none" w:sz="0" w:space="0" w:color="auto"/>
        <w:bottom w:val="none" w:sz="0" w:space="0" w:color="auto"/>
        <w:right w:val="none" w:sz="0" w:space="0" w:color="auto"/>
      </w:divBdr>
    </w:div>
    <w:div w:id="1633242552">
      <w:bodyDiv w:val="1"/>
      <w:marLeft w:val="0"/>
      <w:marRight w:val="0"/>
      <w:marTop w:val="0"/>
      <w:marBottom w:val="0"/>
      <w:divBdr>
        <w:top w:val="none" w:sz="0" w:space="0" w:color="auto"/>
        <w:left w:val="none" w:sz="0" w:space="0" w:color="auto"/>
        <w:bottom w:val="none" w:sz="0" w:space="0" w:color="auto"/>
        <w:right w:val="none" w:sz="0" w:space="0" w:color="auto"/>
      </w:divBdr>
    </w:div>
    <w:div w:id="1825123292">
      <w:bodyDiv w:val="1"/>
      <w:marLeft w:val="0"/>
      <w:marRight w:val="0"/>
      <w:marTop w:val="0"/>
      <w:marBottom w:val="0"/>
      <w:divBdr>
        <w:top w:val="none" w:sz="0" w:space="0" w:color="auto"/>
        <w:left w:val="none" w:sz="0" w:space="0" w:color="auto"/>
        <w:bottom w:val="none" w:sz="0" w:space="0" w:color="auto"/>
        <w:right w:val="none" w:sz="0" w:space="0" w:color="auto"/>
      </w:divBdr>
    </w:div>
    <w:div w:id="20969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DB68-D60B-480D-8BF6-01C70646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Mariana Anguelov</cp:lastModifiedBy>
  <cp:revision>3</cp:revision>
  <cp:lastPrinted>2022-10-31T07:13:00Z</cp:lastPrinted>
  <dcterms:created xsi:type="dcterms:W3CDTF">2022-11-01T06:05:00Z</dcterms:created>
  <dcterms:modified xsi:type="dcterms:W3CDTF">2022-11-06T19:29:00Z</dcterms:modified>
</cp:coreProperties>
</file>