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30C0B" w14:textId="77777777" w:rsidR="005D1D04" w:rsidRDefault="005D1D04" w:rsidP="005D1D04">
      <w:pPr>
        <w:spacing w:line="360" w:lineRule="auto"/>
        <w:jc w:val="center"/>
        <w:rPr>
          <w:rFonts w:ascii="Times New Roman" w:hAnsi="Times New Roman" w:cs="Times New Roman"/>
          <w:sz w:val="28"/>
          <w:szCs w:val="28"/>
        </w:rPr>
      </w:pPr>
      <w:r>
        <w:rPr>
          <w:noProof/>
          <w:lang w:eastAsia="en-ZA"/>
        </w:rPr>
        <w:drawing>
          <wp:inline distT="0" distB="0" distL="0" distR="0" wp14:anchorId="213E94DE" wp14:editId="78E1C39D">
            <wp:extent cx="1225550" cy="12096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225550" cy="1209675"/>
                    </a:xfrm>
                    <a:prstGeom prst="rect">
                      <a:avLst/>
                    </a:prstGeom>
                    <a:noFill/>
                    <a:ln>
                      <a:noFill/>
                    </a:ln>
                  </pic:spPr>
                </pic:pic>
              </a:graphicData>
            </a:graphic>
          </wp:inline>
        </w:drawing>
      </w:r>
    </w:p>
    <w:p w14:paraId="0931D818" w14:textId="77777777" w:rsidR="00930353" w:rsidRDefault="00930353" w:rsidP="005D1D04">
      <w:pPr>
        <w:spacing w:line="360" w:lineRule="auto"/>
        <w:jc w:val="center"/>
        <w:rPr>
          <w:rFonts w:ascii="Times New Roman" w:hAnsi="Times New Roman" w:cs="Times New Roman"/>
          <w:b/>
          <w:sz w:val="28"/>
          <w:szCs w:val="28"/>
        </w:rPr>
      </w:pPr>
    </w:p>
    <w:p w14:paraId="583BB8E1" w14:textId="77777777" w:rsidR="005D1D04" w:rsidRPr="00701B17" w:rsidRDefault="005D1D04" w:rsidP="005D1D04">
      <w:pPr>
        <w:spacing w:line="360" w:lineRule="auto"/>
        <w:jc w:val="center"/>
        <w:rPr>
          <w:rFonts w:ascii="Times New Roman" w:hAnsi="Times New Roman" w:cs="Times New Roman"/>
          <w:b/>
          <w:sz w:val="28"/>
          <w:szCs w:val="28"/>
        </w:rPr>
      </w:pPr>
      <w:r w:rsidRPr="00701B17">
        <w:rPr>
          <w:rFonts w:ascii="Times New Roman" w:hAnsi="Times New Roman" w:cs="Times New Roman"/>
          <w:b/>
          <w:sz w:val="28"/>
          <w:szCs w:val="28"/>
        </w:rPr>
        <w:t>IN THE HIGH COURT OF SOUTH AFRICA</w:t>
      </w:r>
    </w:p>
    <w:p w14:paraId="0630775E" w14:textId="77777777" w:rsidR="005D1D04" w:rsidRPr="00701B17" w:rsidRDefault="005D1D04" w:rsidP="005D1D04">
      <w:pPr>
        <w:spacing w:line="360" w:lineRule="auto"/>
        <w:jc w:val="center"/>
        <w:rPr>
          <w:rFonts w:ascii="Times New Roman" w:hAnsi="Times New Roman" w:cs="Times New Roman"/>
          <w:b/>
          <w:sz w:val="28"/>
          <w:szCs w:val="28"/>
        </w:rPr>
      </w:pPr>
      <w:r w:rsidRPr="00701B17">
        <w:rPr>
          <w:rFonts w:ascii="Times New Roman" w:hAnsi="Times New Roman" w:cs="Times New Roman"/>
          <w:b/>
          <w:sz w:val="28"/>
          <w:szCs w:val="28"/>
        </w:rPr>
        <w:t>EASTERN CAPE DIVISION, MAKHANDA</w:t>
      </w:r>
    </w:p>
    <w:p w14:paraId="0C600CA5" w14:textId="77777777" w:rsidR="005D1D04" w:rsidRDefault="005D1D04" w:rsidP="005D1D04">
      <w:pPr>
        <w:spacing w:line="360" w:lineRule="auto"/>
        <w:ind w:left="720" w:firstLine="720"/>
        <w:jc w:val="both"/>
        <w:rPr>
          <w:rFonts w:ascii="Times New Roman" w:hAnsi="Times New Roman" w:cs="Times New Roman"/>
          <w:b/>
          <w:sz w:val="28"/>
          <w:szCs w:val="28"/>
        </w:rPr>
      </w:pPr>
      <w:r w:rsidRPr="00701B17">
        <w:rPr>
          <w:rFonts w:ascii="Times New Roman" w:hAnsi="Times New Roman" w:cs="Times New Roman"/>
          <w:b/>
          <w:sz w:val="28"/>
          <w:szCs w:val="28"/>
        </w:rPr>
        <w:t xml:space="preserve"> </w:t>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t xml:space="preserve">      </w:t>
      </w:r>
    </w:p>
    <w:p w14:paraId="5BD1D1F5" w14:textId="77777777" w:rsidR="005D1D04" w:rsidRPr="00701B17" w:rsidRDefault="005D1D04" w:rsidP="005D1D04">
      <w:pPr>
        <w:spacing w:line="360" w:lineRule="auto"/>
        <w:ind w:left="5040"/>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 xml:space="preserve">     </w:t>
      </w:r>
      <w:r w:rsidR="0043785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01B17">
        <w:rPr>
          <w:rFonts w:ascii="Times New Roman" w:hAnsi="Times New Roman" w:cs="Times New Roman"/>
          <w:b/>
          <w:sz w:val="28"/>
          <w:szCs w:val="28"/>
        </w:rPr>
        <w:t xml:space="preserve">CASE NO. </w:t>
      </w:r>
      <w:r w:rsidR="00437855">
        <w:rPr>
          <w:rFonts w:ascii="Times New Roman" w:hAnsi="Times New Roman" w:cs="Times New Roman"/>
          <w:b/>
          <w:sz w:val="28"/>
          <w:szCs w:val="28"/>
        </w:rPr>
        <w:t>3</w:t>
      </w:r>
      <w:r>
        <w:rPr>
          <w:rFonts w:ascii="Times New Roman" w:hAnsi="Times New Roman" w:cs="Times New Roman"/>
          <w:b/>
          <w:sz w:val="28"/>
          <w:szCs w:val="28"/>
        </w:rPr>
        <w:t>380/2019</w:t>
      </w:r>
    </w:p>
    <w:p w14:paraId="1B7090CD" w14:textId="77777777" w:rsidR="005D1D04" w:rsidRDefault="005D1D04" w:rsidP="005D1D04">
      <w:pPr>
        <w:spacing w:line="36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14:paraId="486FD86C" w14:textId="77777777" w:rsidR="005D1D04" w:rsidRDefault="005D1D04" w:rsidP="005D1D04">
      <w:pPr>
        <w:spacing w:line="360" w:lineRule="auto"/>
        <w:jc w:val="both"/>
        <w:rPr>
          <w:rFonts w:ascii="Times New Roman" w:hAnsi="Times New Roman" w:cs="Times New Roman"/>
          <w:sz w:val="28"/>
          <w:szCs w:val="28"/>
        </w:rPr>
      </w:pPr>
    </w:p>
    <w:p w14:paraId="05CE79CF" w14:textId="77777777" w:rsidR="005D1D04" w:rsidRDefault="005D1D04" w:rsidP="005D1D04">
      <w:pPr>
        <w:spacing w:line="360" w:lineRule="auto"/>
        <w:jc w:val="both"/>
        <w:rPr>
          <w:rFonts w:ascii="Times New Roman" w:hAnsi="Times New Roman" w:cs="Times New Roman"/>
          <w:sz w:val="28"/>
          <w:szCs w:val="28"/>
        </w:rPr>
      </w:pPr>
      <w:r>
        <w:rPr>
          <w:rFonts w:ascii="Times New Roman" w:hAnsi="Times New Roman" w:cs="Times New Roman"/>
          <w:b/>
          <w:sz w:val="28"/>
          <w:szCs w:val="28"/>
        </w:rPr>
        <w:t>JOYCE NOMVUME MATABESE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Applicant</w:t>
      </w:r>
    </w:p>
    <w:p w14:paraId="5D23B41E" w14:textId="77777777" w:rsidR="005D1D04" w:rsidRDefault="005D1D04" w:rsidP="005D1D04">
      <w:pPr>
        <w:spacing w:line="360" w:lineRule="auto"/>
        <w:jc w:val="both"/>
        <w:rPr>
          <w:rFonts w:ascii="Times New Roman" w:hAnsi="Times New Roman" w:cs="Times New Roman"/>
          <w:sz w:val="28"/>
          <w:szCs w:val="28"/>
        </w:rPr>
      </w:pPr>
    </w:p>
    <w:p w14:paraId="3DC1CC66" w14:textId="77777777" w:rsidR="005D1D04" w:rsidRDefault="005D1D04" w:rsidP="005D1D04">
      <w:pPr>
        <w:spacing w:line="360" w:lineRule="auto"/>
        <w:jc w:val="both"/>
        <w:rPr>
          <w:rFonts w:ascii="Times New Roman" w:hAnsi="Times New Roman" w:cs="Times New Roman"/>
          <w:sz w:val="28"/>
          <w:szCs w:val="28"/>
        </w:rPr>
      </w:pPr>
      <w:r>
        <w:rPr>
          <w:rFonts w:ascii="Times New Roman" w:hAnsi="Times New Roman" w:cs="Times New Roman"/>
          <w:sz w:val="28"/>
          <w:szCs w:val="28"/>
        </w:rPr>
        <w:t>and</w:t>
      </w:r>
    </w:p>
    <w:p w14:paraId="4ECB354D" w14:textId="77777777" w:rsidR="005D1D04" w:rsidRDefault="005D1D04" w:rsidP="005D1D04">
      <w:pPr>
        <w:spacing w:line="360" w:lineRule="auto"/>
        <w:jc w:val="both"/>
        <w:rPr>
          <w:rFonts w:ascii="Times New Roman" w:hAnsi="Times New Roman" w:cs="Times New Roman"/>
          <w:sz w:val="28"/>
          <w:szCs w:val="28"/>
        </w:rPr>
      </w:pPr>
    </w:p>
    <w:p w14:paraId="64C8B96A" w14:textId="77777777" w:rsidR="005D1D04" w:rsidRDefault="005D1D04" w:rsidP="005D1D04">
      <w:pPr>
        <w:spacing w:line="360" w:lineRule="auto"/>
        <w:jc w:val="both"/>
        <w:rPr>
          <w:rFonts w:ascii="Times New Roman" w:hAnsi="Times New Roman" w:cs="Times New Roman"/>
          <w:sz w:val="28"/>
          <w:szCs w:val="28"/>
        </w:rPr>
      </w:pPr>
      <w:r>
        <w:rPr>
          <w:rFonts w:ascii="Times New Roman" w:hAnsi="Times New Roman" w:cs="Times New Roman"/>
          <w:b/>
          <w:sz w:val="28"/>
          <w:szCs w:val="28"/>
        </w:rPr>
        <w:t>SEARTEC TRADING (PTY) LTD</w:t>
      </w:r>
      <w:r>
        <w:rPr>
          <w:rFonts w:ascii="Times New Roman" w:hAnsi="Times New Roman" w:cs="Times New Roman"/>
          <w:b/>
          <w:sz w:val="28"/>
          <w:szCs w:val="28"/>
        </w:rPr>
        <w:tab/>
        <w:t xml:space="preserve">   </w:t>
      </w:r>
      <w:r>
        <w:rPr>
          <w:rFonts w:ascii="Times New Roman" w:hAnsi="Times New Roman" w:cs="Times New Roman"/>
          <w:b/>
          <w:sz w:val="28"/>
          <w:szCs w:val="28"/>
        </w:rPr>
        <w:tab/>
        <w:t xml:space="preserve">        </w:t>
      </w:r>
      <w:r>
        <w:rPr>
          <w:rFonts w:ascii="Times New Roman" w:hAnsi="Times New Roman" w:cs="Times New Roman"/>
          <w:b/>
          <w:sz w:val="28"/>
          <w:szCs w:val="28"/>
        </w:rPr>
        <w:tab/>
      </w:r>
      <w:r>
        <w:rPr>
          <w:rFonts w:ascii="Times New Roman" w:hAnsi="Times New Roman" w:cs="Times New Roman"/>
          <w:b/>
          <w:sz w:val="28"/>
          <w:szCs w:val="28"/>
        </w:rPr>
        <w:tab/>
        <w:t xml:space="preserve">         </w:t>
      </w:r>
      <w:r w:rsidRPr="009203BC">
        <w:rPr>
          <w:rFonts w:ascii="Times New Roman" w:hAnsi="Times New Roman" w:cs="Times New Roman"/>
          <w:sz w:val="28"/>
          <w:szCs w:val="28"/>
        </w:rPr>
        <w:t>First Respondent</w:t>
      </w:r>
    </w:p>
    <w:p w14:paraId="037E0DAC" w14:textId="77777777" w:rsidR="005D1D04" w:rsidRDefault="005D1D04" w:rsidP="005D1D04">
      <w:pPr>
        <w:spacing w:line="360" w:lineRule="auto"/>
        <w:jc w:val="both"/>
        <w:rPr>
          <w:rFonts w:ascii="Times New Roman" w:hAnsi="Times New Roman" w:cs="Times New Roman"/>
          <w:sz w:val="28"/>
          <w:szCs w:val="28"/>
        </w:rPr>
      </w:pPr>
    </w:p>
    <w:p w14:paraId="15DF441F" w14:textId="77777777" w:rsidR="005D1D04" w:rsidRPr="006A4681" w:rsidRDefault="005D1D04" w:rsidP="005D1D04">
      <w:pPr>
        <w:spacing w:line="360" w:lineRule="auto"/>
        <w:jc w:val="both"/>
        <w:rPr>
          <w:rFonts w:ascii="Times New Roman" w:hAnsi="Times New Roman" w:cs="Times New Roman"/>
          <w:sz w:val="28"/>
          <w:szCs w:val="28"/>
        </w:rPr>
      </w:pPr>
      <w:r>
        <w:rPr>
          <w:rFonts w:ascii="Times New Roman" w:hAnsi="Times New Roman" w:cs="Times New Roman"/>
          <w:b/>
          <w:sz w:val="28"/>
          <w:szCs w:val="28"/>
        </w:rPr>
        <w:t>SHERIFF OF THE HIGH COURT</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Second Respondent</w:t>
      </w:r>
    </w:p>
    <w:p w14:paraId="31451B6D" w14:textId="77777777" w:rsidR="005D1D04" w:rsidRPr="003328A3" w:rsidRDefault="005D1D04" w:rsidP="005D1D04">
      <w:pPr>
        <w:spacing w:line="360" w:lineRule="auto"/>
        <w:jc w:val="both"/>
        <w:rPr>
          <w:rFonts w:ascii="Times New Roman" w:hAnsi="Times New Roman" w:cs="Times New Roman"/>
          <w:sz w:val="28"/>
          <w:szCs w:val="28"/>
        </w:rPr>
      </w:pPr>
    </w:p>
    <w:p w14:paraId="4339E6FC" w14:textId="77777777" w:rsidR="00354A12" w:rsidRPr="003328A3" w:rsidRDefault="00354A12" w:rsidP="00354A12">
      <w:pPr>
        <w:pBdr>
          <w:bottom w:val="single" w:sz="12" w:space="1" w:color="auto"/>
        </w:pBdr>
        <w:spacing w:line="240" w:lineRule="auto"/>
        <w:jc w:val="both"/>
        <w:rPr>
          <w:rFonts w:ascii="Times New Roman" w:hAnsi="Times New Roman" w:cs="Times New Roman"/>
          <w:sz w:val="28"/>
          <w:szCs w:val="28"/>
        </w:rPr>
      </w:pPr>
    </w:p>
    <w:p w14:paraId="1F5F28D7" w14:textId="77777777" w:rsidR="00354A12" w:rsidRPr="003328A3" w:rsidRDefault="00354A12" w:rsidP="00354A12">
      <w:pPr>
        <w:spacing w:line="240" w:lineRule="auto"/>
        <w:jc w:val="both"/>
        <w:rPr>
          <w:rFonts w:ascii="Times New Roman" w:hAnsi="Times New Roman" w:cs="Times New Roman"/>
          <w:sz w:val="28"/>
          <w:szCs w:val="28"/>
        </w:rPr>
      </w:pPr>
    </w:p>
    <w:p w14:paraId="20AE8B09" w14:textId="77777777" w:rsidR="00354A12" w:rsidRPr="003328A3" w:rsidRDefault="00354A12" w:rsidP="00354A12">
      <w:pPr>
        <w:pBdr>
          <w:bottom w:val="single" w:sz="12" w:space="1" w:color="auto"/>
        </w:pBdr>
        <w:spacing w:line="240" w:lineRule="auto"/>
        <w:jc w:val="center"/>
        <w:rPr>
          <w:rFonts w:ascii="Times New Roman" w:hAnsi="Times New Roman" w:cs="Times New Roman"/>
          <w:b/>
          <w:sz w:val="28"/>
          <w:szCs w:val="28"/>
        </w:rPr>
      </w:pPr>
      <w:r w:rsidRPr="003328A3">
        <w:rPr>
          <w:rFonts w:ascii="Times New Roman" w:hAnsi="Times New Roman" w:cs="Times New Roman"/>
          <w:b/>
          <w:sz w:val="28"/>
          <w:szCs w:val="28"/>
        </w:rPr>
        <w:t>JUDGMENT</w:t>
      </w:r>
    </w:p>
    <w:p w14:paraId="6318A452" w14:textId="77777777" w:rsidR="00354A12" w:rsidRPr="003328A3" w:rsidRDefault="00354A12" w:rsidP="00354A12">
      <w:pPr>
        <w:pBdr>
          <w:bottom w:val="single" w:sz="12" w:space="1" w:color="auto"/>
        </w:pBdr>
        <w:spacing w:line="240" w:lineRule="auto"/>
        <w:jc w:val="both"/>
        <w:rPr>
          <w:rFonts w:ascii="Times New Roman" w:hAnsi="Times New Roman" w:cs="Times New Roman"/>
          <w:sz w:val="28"/>
          <w:szCs w:val="28"/>
        </w:rPr>
      </w:pPr>
    </w:p>
    <w:p w14:paraId="4364C5A4" w14:textId="77777777" w:rsidR="00354A12" w:rsidRPr="003328A3" w:rsidRDefault="00354A12" w:rsidP="00354A12">
      <w:pPr>
        <w:spacing w:line="240" w:lineRule="auto"/>
        <w:jc w:val="both"/>
        <w:rPr>
          <w:rFonts w:ascii="Times New Roman" w:hAnsi="Times New Roman" w:cs="Times New Roman"/>
          <w:sz w:val="28"/>
          <w:szCs w:val="28"/>
        </w:rPr>
      </w:pPr>
    </w:p>
    <w:p w14:paraId="0BFEF4FB" w14:textId="77777777" w:rsidR="00354A12" w:rsidRPr="003328A3" w:rsidRDefault="00354A12" w:rsidP="00354A12">
      <w:pPr>
        <w:spacing w:line="360" w:lineRule="auto"/>
        <w:jc w:val="both"/>
        <w:rPr>
          <w:rFonts w:ascii="Times New Roman" w:hAnsi="Times New Roman" w:cs="Times New Roman"/>
          <w:b/>
          <w:sz w:val="28"/>
          <w:szCs w:val="28"/>
        </w:rPr>
      </w:pPr>
    </w:p>
    <w:p w14:paraId="4F08F0D6" w14:textId="77777777" w:rsidR="00354A12" w:rsidRPr="003328A3" w:rsidRDefault="00B27EF5" w:rsidP="00354A12">
      <w:pPr>
        <w:spacing w:line="360" w:lineRule="auto"/>
        <w:jc w:val="both"/>
        <w:rPr>
          <w:rFonts w:ascii="Times New Roman" w:hAnsi="Times New Roman" w:cs="Times New Roman"/>
          <w:b/>
          <w:sz w:val="28"/>
          <w:szCs w:val="28"/>
        </w:rPr>
      </w:pPr>
      <w:r>
        <w:rPr>
          <w:rFonts w:ascii="Times New Roman" w:hAnsi="Times New Roman" w:cs="Times New Roman"/>
          <w:b/>
          <w:sz w:val="28"/>
          <w:szCs w:val="28"/>
        </w:rPr>
        <w:t>RUGUNANAN J</w:t>
      </w:r>
    </w:p>
    <w:p w14:paraId="250C2FAA" w14:textId="77777777" w:rsidR="00354A12" w:rsidRPr="003328A3" w:rsidRDefault="00354A12" w:rsidP="00354A12">
      <w:pPr>
        <w:spacing w:line="360" w:lineRule="auto"/>
        <w:jc w:val="both"/>
        <w:rPr>
          <w:rFonts w:ascii="Times New Roman" w:hAnsi="Times New Roman" w:cs="Times New Roman"/>
          <w:b/>
          <w:sz w:val="28"/>
          <w:szCs w:val="28"/>
        </w:rPr>
      </w:pPr>
    </w:p>
    <w:p w14:paraId="5F8D5224" w14:textId="598A6328" w:rsidR="00187226" w:rsidRDefault="00AC5739" w:rsidP="00AC5739">
      <w:pPr>
        <w:pStyle w:val="LegalList1"/>
        <w:spacing w:line="360" w:lineRule="auto"/>
        <w:ind w:left="851" w:hanging="851"/>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A0134F">
        <w:rPr>
          <w:rFonts w:ascii="Times New Roman" w:hAnsi="Times New Roman"/>
          <w:sz w:val="28"/>
          <w:szCs w:val="28"/>
        </w:rPr>
        <w:t>On 12 January 2021, the first respondent (as plaintiff</w:t>
      </w:r>
      <w:r w:rsidR="008C128A">
        <w:rPr>
          <w:rFonts w:ascii="Times New Roman" w:hAnsi="Times New Roman"/>
          <w:sz w:val="28"/>
          <w:szCs w:val="28"/>
        </w:rPr>
        <w:t>, and hereinafter referred to as ‘</w:t>
      </w:r>
      <w:proofErr w:type="spellStart"/>
      <w:r w:rsidR="008C128A">
        <w:rPr>
          <w:rFonts w:ascii="Times New Roman" w:hAnsi="Times New Roman"/>
          <w:sz w:val="28"/>
          <w:szCs w:val="28"/>
        </w:rPr>
        <w:t>Seartec</w:t>
      </w:r>
      <w:proofErr w:type="spellEnd"/>
      <w:r w:rsidR="008C128A">
        <w:rPr>
          <w:rFonts w:ascii="Times New Roman" w:hAnsi="Times New Roman"/>
          <w:sz w:val="28"/>
          <w:szCs w:val="28"/>
        </w:rPr>
        <w:t>’</w:t>
      </w:r>
      <w:r w:rsidR="00A0134F">
        <w:rPr>
          <w:rFonts w:ascii="Times New Roman" w:hAnsi="Times New Roman"/>
          <w:sz w:val="28"/>
          <w:szCs w:val="28"/>
        </w:rPr>
        <w:t>) obtained a judgment by default against</w:t>
      </w:r>
      <w:r w:rsidR="00F510F8">
        <w:rPr>
          <w:rFonts w:ascii="Times New Roman" w:hAnsi="Times New Roman"/>
          <w:sz w:val="28"/>
          <w:szCs w:val="28"/>
        </w:rPr>
        <w:t xml:space="preserve"> the applicant (as third defendant) along with two other defendants, the first </w:t>
      </w:r>
      <w:r w:rsidR="00F510F8">
        <w:rPr>
          <w:rFonts w:ascii="Times New Roman" w:hAnsi="Times New Roman"/>
          <w:sz w:val="28"/>
          <w:szCs w:val="28"/>
        </w:rPr>
        <w:lastRenderedPageBreak/>
        <w:t xml:space="preserve">being </w:t>
      </w:r>
      <w:proofErr w:type="spellStart"/>
      <w:r w:rsidR="00F510F8">
        <w:rPr>
          <w:rFonts w:ascii="Times New Roman" w:hAnsi="Times New Roman"/>
          <w:sz w:val="28"/>
          <w:szCs w:val="28"/>
        </w:rPr>
        <w:t>Ntsikelelo</w:t>
      </w:r>
      <w:proofErr w:type="spellEnd"/>
      <w:r w:rsidR="00F510F8">
        <w:rPr>
          <w:rFonts w:ascii="Times New Roman" w:hAnsi="Times New Roman"/>
          <w:sz w:val="28"/>
          <w:szCs w:val="28"/>
        </w:rPr>
        <w:t xml:space="preserve"> </w:t>
      </w:r>
      <w:proofErr w:type="spellStart"/>
      <w:r w:rsidR="00F510F8">
        <w:rPr>
          <w:rFonts w:ascii="Times New Roman" w:hAnsi="Times New Roman"/>
          <w:sz w:val="28"/>
          <w:szCs w:val="28"/>
        </w:rPr>
        <w:t>Matebese</w:t>
      </w:r>
      <w:proofErr w:type="spellEnd"/>
      <w:r w:rsidR="00F510F8">
        <w:rPr>
          <w:rFonts w:ascii="Times New Roman" w:hAnsi="Times New Roman"/>
          <w:sz w:val="28"/>
          <w:szCs w:val="28"/>
        </w:rPr>
        <w:t xml:space="preserve"> Funeral </w:t>
      </w:r>
      <w:r w:rsidR="003A62A0">
        <w:rPr>
          <w:rFonts w:ascii="Times New Roman" w:hAnsi="Times New Roman"/>
          <w:sz w:val="28"/>
          <w:szCs w:val="28"/>
        </w:rPr>
        <w:t xml:space="preserve">Services </w:t>
      </w:r>
      <w:r w:rsidR="00F510F8">
        <w:rPr>
          <w:rFonts w:ascii="Times New Roman" w:hAnsi="Times New Roman"/>
          <w:sz w:val="28"/>
          <w:szCs w:val="28"/>
        </w:rPr>
        <w:t>(Pty) Ltd, and the second being</w:t>
      </w:r>
      <w:r w:rsidR="00F510F8" w:rsidRPr="00F510F8">
        <w:rPr>
          <w:rFonts w:ascii="Times New Roman" w:hAnsi="Times New Roman"/>
          <w:sz w:val="28"/>
          <w:szCs w:val="28"/>
        </w:rPr>
        <w:t xml:space="preserve"> </w:t>
      </w:r>
      <w:proofErr w:type="spellStart"/>
      <w:r w:rsidR="00F510F8">
        <w:rPr>
          <w:rFonts w:ascii="Times New Roman" w:hAnsi="Times New Roman"/>
          <w:sz w:val="28"/>
          <w:szCs w:val="28"/>
        </w:rPr>
        <w:t>Ntsikelelo</w:t>
      </w:r>
      <w:proofErr w:type="spellEnd"/>
      <w:r w:rsidR="00F510F8">
        <w:rPr>
          <w:rFonts w:ascii="Times New Roman" w:hAnsi="Times New Roman"/>
          <w:sz w:val="28"/>
          <w:szCs w:val="28"/>
        </w:rPr>
        <w:t xml:space="preserve"> </w:t>
      </w:r>
      <w:proofErr w:type="spellStart"/>
      <w:r w:rsidR="00F510F8">
        <w:rPr>
          <w:rFonts w:ascii="Times New Roman" w:hAnsi="Times New Roman"/>
          <w:sz w:val="28"/>
          <w:szCs w:val="28"/>
        </w:rPr>
        <w:t>Matebese</w:t>
      </w:r>
      <w:proofErr w:type="spellEnd"/>
      <w:r w:rsidR="00F510F8">
        <w:rPr>
          <w:rFonts w:ascii="Times New Roman" w:hAnsi="Times New Roman"/>
          <w:sz w:val="28"/>
          <w:szCs w:val="28"/>
        </w:rPr>
        <w:t xml:space="preserve">. </w:t>
      </w:r>
      <w:r w:rsidR="007D31C6">
        <w:rPr>
          <w:rFonts w:ascii="Times New Roman" w:hAnsi="Times New Roman"/>
          <w:sz w:val="28"/>
          <w:szCs w:val="28"/>
        </w:rPr>
        <w:t>The judgment was for payment of the amounts of R595 472.35 and R</w:t>
      </w:r>
      <w:r w:rsidR="009935B8">
        <w:rPr>
          <w:rFonts w:ascii="Times New Roman" w:hAnsi="Times New Roman"/>
          <w:sz w:val="28"/>
          <w:szCs w:val="28"/>
        </w:rPr>
        <w:t xml:space="preserve">26 081.25 together with costs. </w:t>
      </w:r>
      <w:r w:rsidR="00DC7B81">
        <w:rPr>
          <w:rFonts w:ascii="Times New Roman" w:hAnsi="Times New Roman"/>
          <w:sz w:val="28"/>
          <w:szCs w:val="28"/>
        </w:rPr>
        <w:t>The respondent’s claim was founded on a rental agreement in respect of printing equipment which provided for cost per copy and personal s</w:t>
      </w:r>
      <w:r w:rsidR="00F514A3">
        <w:rPr>
          <w:rFonts w:ascii="Times New Roman" w:hAnsi="Times New Roman"/>
          <w:sz w:val="28"/>
          <w:szCs w:val="28"/>
        </w:rPr>
        <w:t>uretyships</w:t>
      </w:r>
      <w:r w:rsidR="00DC7B81">
        <w:rPr>
          <w:rFonts w:ascii="Times New Roman" w:hAnsi="Times New Roman"/>
          <w:sz w:val="28"/>
          <w:szCs w:val="28"/>
        </w:rPr>
        <w:t xml:space="preserve"> signed by the applicant and the second defendant. </w:t>
      </w:r>
      <w:r w:rsidR="000C7C51">
        <w:rPr>
          <w:rFonts w:ascii="Times New Roman" w:hAnsi="Times New Roman"/>
          <w:sz w:val="28"/>
          <w:szCs w:val="28"/>
        </w:rPr>
        <w:t xml:space="preserve">In the deed of </w:t>
      </w:r>
      <w:proofErr w:type="gramStart"/>
      <w:r w:rsidR="000C7C51">
        <w:rPr>
          <w:rFonts w:ascii="Times New Roman" w:hAnsi="Times New Roman"/>
          <w:sz w:val="28"/>
          <w:szCs w:val="28"/>
        </w:rPr>
        <w:t>suretyship</w:t>
      </w:r>
      <w:proofErr w:type="gramEnd"/>
      <w:r w:rsidR="000C7C51">
        <w:rPr>
          <w:rFonts w:ascii="Times New Roman" w:hAnsi="Times New Roman"/>
          <w:sz w:val="28"/>
          <w:szCs w:val="28"/>
        </w:rPr>
        <w:t xml:space="preserve"> the applicant chose 11P </w:t>
      </w:r>
      <w:proofErr w:type="spellStart"/>
      <w:r w:rsidR="000C7C51">
        <w:rPr>
          <w:rFonts w:ascii="Times New Roman" w:hAnsi="Times New Roman"/>
          <w:sz w:val="28"/>
          <w:szCs w:val="28"/>
        </w:rPr>
        <w:t>Tantyi</w:t>
      </w:r>
      <w:proofErr w:type="spellEnd"/>
      <w:r w:rsidR="000C7C51">
        <w:rPr>
          <w:rFonts w:ascii="Times New Roman" w:hAnsi="Times New Roman"/>
          <w:sz w:val="28"/>
          <w:szCs w:val="28"/>
        </w:rPr>
        <w:t xml:space="preserve"> Location, Grahamstown, Eastern Cape as her </w:t>
      </w:r>
      <w:proofErr w:type="spellStart"/>
      <w:r w:rsidR="000C7C51" w:rsidRPr="000C7C51">
        <w:rPr>
          <w:rFonts w:ascii="Times New Roman" w:hAnsi="Times New Roman"/>
          <w:i/>
          <w:sz w:val="28"/>
          <w:szCs w:val="28"/>
        </w:rPr>
        <w:t>domicilium</w:t>
      </w:r>
      <w:proofErr w:type="spellEnd"/>
      <w:r w:rsidR="000C7C51" w:rsidRPr="000C7C51">
        <w:rPr>
          <w:rFonts w:ascii="Times New Roman" w:hAnsi="Times New Roman"/>
          <w:i/>
          <w:sz w:val="28"/>
          <w:szCs w:val="28"/>
        </w:rPr>
        <w:t xml:space="preserve"> </w:t>
      </w:r>
      <w:proofErr w:type="spellStart"/>
      <w:r w:rsidR="000C7C51" w:rsidRPr="000C7C51">
        <w:rPr>
          <w:rFonts w:ascii="Times New Roman" w:hAnsi="Times New Roman"/>
          <w:i/>
          <w:sz w:val="28"/>
          <w:szCs w:val="28"/>
        </w:rPr>
        <w:t>citandi</w:t>
      </w:r>
      <w:proofErr w:type="spellEnd"/>
      <w:r w:rsidR="000C7C51" w:rsidRPr="000C7C51">
        <w:rPr>
          <w:rFonts w:ascii="Times New Roman" w:hAnsi="Times New Roman"/>
          <w:i/>
          <w:sz w:val="28"/>
          <w:szCs w:val="28"/>
        </w:rPr>
        <w:t xml:space="preserve"> et </w:t>
      </w:r>
      <w:proofErr w:type="spellStart"/>
      <w:r w:rsidR="000C7C51" w:rsidRPr="000C7C51">
        <w:rPr>
          <w:rFonts w:ascii="Times New Roman" w:hAnsi="Times New Roman"/>
          <w:i/>
          <w:sz w:val="28"/>
          <w:szCs w:val="28"/>
        </w:rPr>
        <w:t>executandi</w:t>
      </w:r>
      <w:proofErr w:type="spellEnd"/>
      <w:r w:rsidR="000C7C51">
        <w:rPr>
          <w:rFonts w:ascii="Times New Roman" w:hAnsi="Times New Roman"/>
          <w:sz w:val="28"/>
          <w:szCs w:val="28"/>
        </w:rPr>
        <w:t>.</w:t>
      </w:r>
    </w:p>
    <w:p w14:paraId="4B95108F" w14:textId="1C2BDB57" w:rsidR="008601F3" w:rsidRDefault="00AC5739" w:rsidP="00AC5739">
      <w:pPr>
        <w:pStyle w:val="LegalList1"/>
        <w:spacing w:line="360" w:lineRule="auto"/>
        <w:ind w:left="851" w:hanging="851"/>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8601F3">
        <w:rPr>
          <w:rFonts w:ascii="Times New Roman" w:hAnsi="Times New Roman"/>
          <w:sz w:val="28"/>
          <w:szCs w:val="28"/>
        </w:rPr>
        <w:t>The default judgment</w:t>
      </w:r>
      <w:r w:rsidR="006A2791">
        <w:rPr>
          <w:rFonts w:ascii="Times New Roman" w:hAnsi="Times New Roman"/>
          <w:sz w:val="28"/>
          <w:szCs w:val="28"/>
        </w:rPr>
        <w:t>, in what I will hereinafter refer to as the main action,</w:t>
      </w:r>
      <w:r w:rsidR="008601F3">
        <w:rPr>
          <w:rFonts w:ascii="Times New Roman" w:hAnsi="Times New Roman"/>
          <w:sz w:val="28"/>
          <w:szCs w:val="28"/>
        </w:rPr>
        <w:t xml:space="preserve"> was occasioned by the circumstance that the applicant (as well as the other defendants) </w:t>
      </w:r>
      <w:proofErr w:type="gramStart"/>
      <w:r w:rsidR="00272F02">
        <w:rPr>
          <w:rFonts w:ascii="Times New Roman" w:hAnsi="Times New Roman"/>
          <w:sz w:val="28"/>
          <w:szCs w:val="28"/>
        </w:rPr>
        <w:t>were</w:t>
      </w:r>
      <w:proofErr w:type="gramEnd"/>
      <w:r w:rsidR="00272F02">
        <w:rPr>
          <w:rFonts w:ascii="Times New Roman" w:hAnsi="Times New Roman"/>
          <w:sz w:val="28"/>
          <w:szCs w:val="28"/>
        </w:rPr>
        <w:t xml:space="preserve"> barred for failure to have delivered their</w:t>
      </w:r>
      <w:r w:rsidR="008601F3">
        <w:rPr>
          <w:rFonts w:ascii="Times New Roman" w:hAnsi="Times New Roman"/>
          <w:sz w:val="28"/>
          <w:szCs w:val="28"/>
        </w:rPr>
        <w:t xml:space="preserve"> plea within the prescribed </w:t>
      </w:r>
      <w:r w:rsidR="00B508D7">
        <w:rPr>
          <w:rFonts w:ascii="Times New Roman" w:hAnsi="Times New Roman"/>
          <w:sz w:val="28"/>
          <w:szCs w:val="28"/>
        </w:rPr>
        <w:t>period of time</w:t>
      </w:r>
      <w:r w:rsidR="008601F3">
        <w:rPr>
          <w:rFonts w:ascii="Times New Roman" w:hAnsi="Times New Roman"/>
          <w:sz w:val="28"/>
          <w:szCs w:val="28"/>
        </w:rPr>
        <w:t>.</w:t>
      </w:r>
      <w:r w:rsidR="00D627CF">
        <w:rPr>
          <w:rStyle w:val="FootnoteReference"/>
          <w:rFonts w:ascii="Times New Roman" w:hAnsi="Times New Roman"/>
          <w:sz w:val="28"/>
          <w:szCs w:val="28"/>
        </w:rPr>
        <w:footnoteReference w:id="1"/>
      </w:r>
    </w:p>
    <w:p w14:paraId="30A923DA" w14:textId="78BD95E1" w:rsidR="00300011" w:rsidRDefault="00AC5739" w:rsidP="00AC5739">
      <w:pPr>
        <w:pStyle w:val="LegalList1"/>
        <w:spacing w:line="360" w:lineRule="auto"/>
        <w:ind w:left="851" w:hanging="851"/>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F510F8">
        <w:rPr>
          <w:rFonts w:ascii="Times New Roman" w:hAnsi="Times New Roman"/>
          <w:sz w:val="28"/>
          <w:szCs w:val="28"/>
        </w:rPr>
        <w:t>On 18 March 2021</w:t>
      </w:r>
      <w:r w:rsidR="00C84C34">
        <w:rPr>
          <w:rFonts w:ascii="Times New Roman" w:hAnsi="Times New Roman"/>
          <w:sz w:val="28"/>
          <w:szCs w:val="28"/>
        </w:rPr>
        <w:t xml:space="preserve"> the applicant launched an urgent application for </w:t>
      </w:r>
      <w:r w:rsidR="00FD6638">
        <w:rPr>
          <w:rFonts w:ascii="Times New Roman" w:hAnsi="Times New Roman"/>
          <w:sz w:val="28"/>
          <w:szCs w:val="28"/>
        </w:rPr>
        <w:t xml:space="preserve">an order for </w:t>
      </w:r>
      <w:r w:rsidR="00C84C34">
        <w:rPr>
          <w:rFonts w:ascii="Times New Roman" w:hAnsi="Times New Roman"/>
          <w:sz w:val="28"/>
          <w:szCs w:val="28"/>
        </w:rPr>
        <w:t>the return of goods attached</w:t>
      </w:r>
      <w:r w:rsidR="00FD6638">
        <w:rPr>
          <w:rFonts w:ascii="Times New Roman" w:hAnsi="Times New Roman"/>
          <w:sz w:val="28"/>
          <w:szCs w:val="28"/>
        </w:rPr>
        <w:t xml:space="preserve"> by the sheriff on 9 March 2021</w:t>
      </w:r>
      <w:r w:rsidR="00462566">
        <w:rPr>
          <w:rFonts w:ascii="Times New Roman" w:hAnsi="Times New Roman"/>
          <w:sz w:val="28"/>
          <w:szCs w:val="28"/>
        </w:rPr>
        <w:t xml:space="preserve"> together with a further order interdicting the sheriff from executing against her. The fate of the application was that it was struck from the roll with costs on 23 March 2021.</w:t>
      </w:r>
    </w:p>
    <w:p w14:paraId="63D13D3B" w14:textId="713E2926" w:rsidR="00B27EF5" w:rsidRDefault="00AC5739" w:rsidP="00AC5739">
      <w:pPr>
        <w:pStyle w:val="LegalList1"/>
        <w:spacing w:line="360" w:lineRule="auto"/>
        <w:ind w:left="851" w:hanging="851"/>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8157B3">
        <w:rPr>
          <w:rFonts w:ascii="Times New Roman" w:hAnsi="Times New Roman"/>
          <w:sz w:val="28"/>
          <w:szCs w:val="28"/>
        </w:rPr>
        <w:t xml:space="preserve">The applicant (together with the other defendants, as co-applicants) </w:t>
      </w:r>
      <w:r w:rsidR="00B508D7">
        <w:rPr>
          <w:rFonts w:ascii="Times New Roman" w:hAnsi="Times New Roman"/>
          <w:sz w:val="28"/>
          <w:szCs w:val="28"/>
        </w:rPr>
        <w:t xml:space="preserve">subsequently </w:t>
      </w:r>
      <w:r w:rsidR="008157B3">
        <w:rPr>
          <w:rFonts w:ascii="Times New Roman" w:hAnsi="Times New Roman"/>
          <w:sz w:val="28"/>
          <w:szCs w:val="28"/>
        </w:rPr>
        <w:t>brought an application in which they sought an order res</w:t>
      </w:r>
      <w:r w:rsidR="009935B8">
        <w:rPr>
          <w:rFonts w:ascii="Times New Roman" w:hAnsi="Times New Roman"/>
          <w:sz w:val="28"/>
          <w:szCs w:val="28"/>
        </w:rPr>
        <w:t>cinding</w:t>
      </w:r>
      <w:r w:rsidR="008157B3">
        <w:rPr>
          <w:rFonts w:ascii="Times New Roman" w:hAnsi="Times New Roman"/>
          <w:sz w:val="28"/>
          <w:szCs w:val="28"/>
        </w:rPr>
        <w:t xml:space="preserve"> the default judgment granted on 12 January 2021.</w:t>
      </w:r>
      <w:r w:rsidR="009935B8">
        <w:rPr>
          <w:rFonts w:ascii="Times New Roman" w:hAnsi="Times New Roman"/>
          <w:sz w:val="28"/>
          <w:szCs w:val="28"/>
        </w:rPr>
        <w:t xml:space="preserve"> </w:t>
      </w:r>
      <w:r w:rsidR="001D75B8">
        <w:rPr>
          <w:rFonts w:ascii="Times New Roman" w:hAnsi="Times New Roman"/>
          <w:sz w:val="28"/>
          <w:szCs w:val="28"/>
        </w:rPr>
        <w:t xml:space="preserve">In the rescission application the applicant featured as third applicant. </w:t>
      </w:r>
      <w:r w:rsidR="009935B8">
        <w:rPr>
          <w:rFonts w:ascii="Times New Roman" w:hAnsi="Times New Roman"/>
          <w:sz w:val="28"/>
          <w:szCs w:val="28"/>
        </w:rPr>
        <w:t xml:space="preserve">That application was dismissed in a judgment handed down by Smith </w:t>
      </w:r>
      <w:r w:rsidR="00300011">
        <w:rPr>
          <w:rFonts w:ascii="Times New Roman" w:hAnsi="Times New Roman"/>
          <w:sz w:val="28"/>
          <w:szCs w:val="28"/>
        </w:rPr>
        <w:t>J on 10 August 202</w:t>
      </w:r>
      <w:r w:rsidR="000633B9">
        <w:rPr>
          <w:rFonts w:ascii="Times New Roman" w:hAnsi="Times New Roman"/>
          <w:sz w:val="28"/>
          <w:szCs w:val="28"/>
        </w:rPr>
        <w:t>1</w:t>
      </w:r>
      <w:r w:rsidR="00300011">
        <w:rPr>
          <w:rFonts w:ascii="Times New Roman" w:hAnsi="Times New Roman"/>
          <w:sz w:val="28"/>
          <w:szCs w:val="28"/>
        </w:rPr>
        <w:t>. Significant to note is that</w:t>
      </w:r>
      <w:r w:rsidR="001D75B8">
        <w:rPr>
          <w:rFonts w:ascii="Times New Roman" w:hAnsi="Times New Roman"/>
          <w:sz w:val="28"/>
          <w:szCs w:val="28"/>
        </w:rPr>
        <w:t xml:space="preserve"> Smith J concluded that </w:t>
      </w:r>
      <w:r w:rsidR="00300011">
        <w:rPr>
          <w:rFonts w:ascii="Times New Roman" w:hAnsi="Times New Roman"/>
          <w:sz w:val="28"/>
          <w:szCs w:val="28"/>
        </w:rPr>
        <w:t xml:space="preserve">the </w:t>
      </w:r>
      <w:r w:rsidR="00300011">
        <w:rPr>
          <w:rFonts w:ascii="Times New Roman" w:hAnsi="Times New Roman"/>
          <w:sz w:val="28"/>
          <w:szCs w:val="28"/>
        </w:rPr>
        <w:lastRenderedPageBreak/>
        <w:t xml:space="preserve">applicant </w:t>
      </w:r>
      <w:r w:rsidR="001D75B8">
        <w:rPr>
          <w:rFonts w:ascii="Times New Roman" w:hAnsi="Times New Roman"/>
          <w:sz w:val="28"/>
          <w:szCs w:val="28"/>
        </w:rPr>
        <w:t>‘has not given any indication that she has joined in the application, neither has she filed an affidavit in support [thereof]’.</w:t>
      </w:r>
    </w:p>
    <w:p w14:paraId="6D26F4DF" w14:textId="1D5F6F51" w:rsidR="006168AF" w:rsidRDefault="00AC5739" w:rsidP="00AC5739">
      <w:pPr>
        <w:pStyle w:val="LegalList1"/>
        <w:spacing w:line="360" w:lineRule="auto"/>
        <w:ind w:left="851" w:hanging="851"/>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6168AF">
        <w:rPr>
          <w:rFonts w:ascii="Times New Roman" w:hAnsi="Times New Roman"/>
          <w:sz w:val="28"/>
          <w:szCs w:val="28"/>
        </w:rPr>
        <w:t xml:space="preserve">The affidavit to which Smith J refers is attached </w:t>
      </w:r>
      <w:r w:rsidR="001D05EB">
        <w:rPr>
          <w:rFonts w:ascii="Times New Roman" w:hAnsi="Times New Roman"/>
          <w:sz w:val="28"/>
          <w:szCs w:val="28"/>
        </w:rPr>
        <w:t xml:space="preserve">as annexure JNM3 </w:t>
      </w:r>
      <w:r w:rsidR="006168AF">
        <w:rPr>
          <w:rFonts w:ascii="Times New Roman" w:hAnsi="Times New Roman"/>
          <w:sz w:val="28"/>
          <w:szCs w:val="28"/>
        </w:rPr>
        <w:t xml:space="preserve">to </w:t>
      </w:r>
      <w:r w:rsidR="001D05EB">
        <w:rPr>
          <w:rFonts w:ascii="Times New Roman" w:hAnsi="Times New Roman"/>
          <w:sz w:val="28"/>
          <w:szCs w:val="28"/>
        </w:rPr>
        <w:t xml:space="preserve">the applicant’s </w:t>
      </w:r>
      <w:r w:rsidR="006168AF">
        <w:rPr>
          <w:rFonts w:ascii="Times New Roman" w:hAnsi="Times New Roman"/>
          <w:sz w:val="28"/>
          <w:szCs w:val="28"/>
        </w:rPr>
        <w:t>founding affidavit in these proceedings.</w:t>
      </w:r>
      <w:r w:rsidR="008B54A7">
        <w:rPr>
          <w:rFonts w:ascii="Times New Roman" w:hAnsi="Times New Roman"/>
          <w:sz w:val="28"/>
          <w:szCs w:val="28"/>
        </w:rPr>
        <w:t xml:space="preserve"> It is a supplementary affidavit sworn out by the applicant on 4 June 2021 that was not filed by her attorneys in support of the</w:t>
      </w:r>
      <w:r w:rsidR="001D05EB">
        <w:rPr>
          <w:rFonts w:ascii="Times New Roman" w:hAnsi="Times New Roman"/>
          <w:sz w:val="28"/>
          <w:szCs w:val="28"/>
        </w:rPr>
        <w:t xml:space="preserve"> rescission application that served before Smith J.</w:t>
      </w:r>
    </w:p>
    <w:p w14:paraId="0A8CF332" w14:textId="37A3AE38" w:rsidR="00B27EF5" w:rsidRDefault="00AC5739" w:rsidP="00AC5739">
      <w:pPr>
        <w:pStyle w:val="LegalList1"/>
        <w:spacing w:line="360" w:lineRule="auto"/>
        <w:ind w:left="851" w:hanging="851"/>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001D75B8">
        <w:rPr>
          <w:rFonts w:ascii="Times New Roman" w:hAnsi="Times New Roman"/>
          <w:sz w:val="28"/>
          <w:szCs w:val="28"/>
        </w:rPr>
        <w:t>The present application</w:t>
      </w:r>
      <w:r w:rsidR="00F0717E">
        <w:rPr>
          <w:rFonts w:ascii="Times New Roman" w:hAnsi="Times New Roman"/>
          <w:sz w:val="28"/>
          <w:szCs w:val="28"/>
        </w:rPr>
        <w:t xml:space="preserve"> was issued on 5 October 2021 </w:t>
      </w:r>
      <w:r w:rsidR="00B11A5C">
        <w:rPr>
          <w:rFonts w:ascii="Times New Roman" w:hAnsi="Times New Roman"/>
          <w:sz w:val="28"/>
          <w:szCs w:val="28"/>
        </w:rPr>
        <w:t xml:space="preserve">– it </w:t>
      </w:r>
      <w:r w:rsidR="001D75B8">
        <w:rPr>
          <w:rFonts w:ascii="Times New Roman" w:hAnsi="Times New Roman"/>
          <w:sz w:val="28"/>
          <w:szCs w:val="28"/>
        </w:rPr>
        <w:t xml:space="preserve">is </w:t>
      </w:r>
      <w:r w:rsidR="00754148">
        <w:rPr>
          <w:rFonts w:ascii="Times New Roman" w:hAnsi="Times New Roman"/>
          <w:sz w:val="28"/>
          <w:szCs w:val="28"/>
        </w:rPr>
        <w:t xml:space="preserve">before this court at the instance of </w:t>
      </w:r>
      <w:r w:rsidR="001D75B8">
        <w:rPr>
          <w:rFonts w:ascii="Times New Roman" w:hAnsi="Times New Roman"/>
          <w:sz w:val="28"/>
          <w:szCs w:val="28"/>
        </w:rPr>
        <w:t>the applicant in which</w:t>
      </w:r>
      <w:r w:rsidR="00B32ABC">
        <w:rPr>
          <w:rFonts w:ascii="Times New Roman" w:hAnsi="Times New Roman"/>
          <w:sz w:val="28"/>
          <w:szCs w:val="28"/>
        </w:rPr>
        <w:t>,</w:t>
      </w:r>
      <w:r w:rsidR="001D75B8">
        <w:rPr>
          <w:rFonts w:ascii="Times New Roman" w:hAnsi="Times New Roman"/>
          <w:sz w:val="28"/>
          <w:szCs w:val="28"/>
        </w:rPr>
        <w:t xml:space="preserve"> </w:t>
      </w:r>
      <w:r w:rsidR="00B32ABC">
        <w:rPr>
          <w:rFonts w:ascii="Times New Roman" w:hAnsi="Times New Roman"/>
          <w:sz w:val="28"/>
          <w:szCs w:val="28"/>
        </w:rPr>
        <w:t xml:space="preserve">in addition to costs, </w:t>
      </w:r>
      <w:r w:rsidR="001D75B8">
        <w:rPr>
          <w:rFonts w:ascii="Times New Roman" w:hAnsi="Times New Roman"/>
          <w:sz w:val="28"/>
          <w:szCs w:val="28"/>
        </w:rPr>
        <w:t xml:space="preserve">she </w:t>
      </w:r>
      <w:r w:rsidR="00F0717E">
        <w:rPr>
          <w:rFonts w:ascii="Times New Roman" w:hAnsi="Times New Roman"/>
          <w:sz w:val="28"/>
          <w:szCs w:val="28"/>
        </w:rPr>
        <w:t xml:space="preserve">essentially </w:t>
      </w:r>
      <w:r w:rsidR="001D75B8">
        <w:rPr>
          <w:rFonts w:ascii="Times New Roman" w:hAnsi="Times New Roman"/>
          <w:sz w:val="28"/>
          <w:szCs w:val="28"/>
        </w:rPr>
        <w:t xml:space="preserve">seeks </w:t>
      </w:r>
      <w:r w:rsidR="000633B9">
        <w:rPr>
          <w:rFonts w:ascii="Times New Roman" w:hAnsi="Times New Roman"/>
          <w:sz w:val="28"/>
          <w:szCs w:val="28"/>
        </w:rPr>
        <w:t>orders</w:t>
      </w:r>
      <w:r w:rsidR="0006498A">
        <w:rPr>
          <w:rFonts w:ascii="Times New Roman" w:hAnsi="Times New Roman"/>
          <w:sz w:val="28"/>
          <w:szCs w:val="28"/>
        </w:rPr>
        <w:t>:</w:t>
      </w:r>
      <w:r w:rsidR="000633B9">
        <w:rPr>
          <w:rFonts w:ascii="Times New Roman" w:hAnsi="Times New Roman"/>
          <w:sz w:val="28"/>
          <w:szCs w:val="28"/>
        </w:rPr>
        <w:t xml:space="preserve"> </w:t>
      </w:r>
      <w:r w:rsidR="008C4BD7">
        <w:rPr>
          <w:rFonts w:ascii="Times New Roman" w:hAnsi="Times New Roman"/>
          <w:sz w:val="28"/>
          <w:szCs w:val="28"/>
        </w:rPr>
        <w:t xml:space="preserve">condoning the late filing of this application, </w:t>
      </w:r>
      <w:r w:rsidR="000633B9">
        <w:rPr>
          <w:rFonts w:ascii="Times New Roman" w:hAnsi="Times New Roman"/>
          <w:sz w:val="28"/>
          <w:szCs w:val="28"/>
        </w:rPr>
        <w:t>rescinding</w:t>
      </w:r>
      <w:r w:rsidR="001D75B8">
        <w:rPr>
          <w:rFonts w:ascii="Times New Roman" w:hAnsi="Times New Roman"/>
          <w:sz w:val="28"/>
          <w:szCs w:val="28"/>
        </w:rPr>
        <w:t xml:space="preserve"> the judgment by Smith J</w:t>
      </w:r>
      <w:r w:rsidR="004E2113">
        <w:rPr>
          <w:rFonts w:ascii="Times New Roman" w:hAnsi="Times New Roman"/>
          <w:sz w:val="28"/>
          <w:szCs w:val="28"/>
        </w:rPr>
        <w:t>, uplifting the bar</w:t>
      </w:r>
      <w:r w:rsidR="00252156">
        <w:rPr>
          <w:rFonts w:ascii="Times New Roman" w:hAnsi="Times New Roman"/>
          <w:sz w:val="28"/>
          <w:szCs w:val="28"/>
        </w:rPr>
        <w:t xml:space="preserve"> </w:t>
      </w:r>
      <w:r w:rsidR="0006498A">
        <w:rPr>
          <w:rFonts w:ascii="Times New Roman" w:hAnsi="Times New Roman"/>
          <w:sz w:val="28"/>
          <w:szCs w:val="28"/>
        </w:rPr>
        <w:t xml:space="preserve">for failure to have delivered a plea </w:t>
      </w:r>
      <w:r w:rsidR="00252156">
        <w:rPr>
          <w:rFonts w:ascii="Times New Roman" w:hAnsi="Times New Roman"/>
          <w:sz w:val="28"/>
          <w:szCs w:val="28"/>
        </w:rPr>
        <w:t xml:space="preserve">and granting her leave to </w:t>
      </w:r>
      <w:r w:rsidR="0006498A">
        <w:rPr>
          <w:rFonts w:ascii="Times New Roman" w:hAnsi="Times New Roman"/>
          <w:sz w:val="28"/>
          <w:szCs w:val="28"/>
        </w:rPr>
        <w:t xml:space="preserve">deliver </w:t>
      </w:r>
      <w:r w:rsidR="00252156">
        <w:rPr>
          <w:rFonts w:ascii="Times New Roman" w:hAnsi="Times New Roman"/>
          <w:sz w:val="28"/>
          <w:szCs w:val="28"/>
        </w:rPr>
        <w:t xml:space="preserve">a plea in the action proceedings, </w:t>
      </w:r>
      <w:r w:rsidR="00F75C7B">
        <w:rPr>
          <w:rFonts w:ascii="Times New Roman" w:hAnsi="Times New Roman"/>
          <w:sz w:val="28"/>
          <w:szCs w:val="28"/>
        </w:rPr>
        <w:t xml:space="preserve">that </w:t>
      </w:r>
      <w:r w:rsidR="00252156">
        <w:rPr>
          <w:rFonts w:ascii="Times New Roman" w:hAnsi="Times New Roman"/>
          <w:sz w:val="28"/>
          <w:szCs w:val="28"/>
        </w:rPr>
        <w:t>all goods attached and removed by the sheriff</w:t>
      </w:r>
      <w:r w:rsidR="00B32ABC">
        <w:rPr>
          <w:rFonts w:ascii="Times New Roman" w:hAnsi="Times New Roman"/>
          <w:sz w:val="28"/>
          <w:szCs w:val="28"/>
        </w:rPr>
        <w:t xml:space="preserve"> be returned</w:t>
      </w:r>
      <w:r w:rsidR="0006498A">
        <w:rPr>
          <w:rFonts w:ascii="Times New Roman" w:hAnsi="Times New Roman"/>
          <w:sz w:val="28"/>
          <w:szCs w:val="28"/>
        </w:rPr>
        <w:t>,</w:t>
      </w:r>
      <w:r w:rsidR="00B32ABC">
        <w:rPr>
          <w:rFonts w:ascii="Times New Roman" w:hAnsi="Times New Roman"/>
          <w:sz w:val="28"/>
          <w:szCs w:val="28"/>
        </w:rPr>
        <w:t xml:space="preserve"> and </w:t>
      </w:r>
      <w:r w:rsidR="001D05EB">
        <w:rPr>
          <w:rFonts w:ascii="Times New Roman" w:hAnsi="Times New Roman"/>
          <w:sz w:val="28"/>
          <w:szCs w:val="28"/>
        </w:rPr>
        <w:t>that</w:t>
      </w:r>
      <w:r w:rsidR="00252156">
        <w:rPr>
          <w:rFonts w:ascii="Times New Roman" w:hAnsi="Times New Roman"/>
          <w:sz w:val="28"/>
          <w:szCs w:val="28"/>
        </w:rPr>
        <w:t xml:space="preserve"> execution proceedings</w:t>
      </w:r>
      <w:r w:rsidR="00F75C7B">
        <w:rPr>
          <w:rFonts w:ascii="Times New Roman" w:hAnsi="Times New Roman"/>
          <w:sz w:val="28"/>
          <w:szCs w:val="28"/>
        </w:rPr>
        <w:t xml:space="preserve"> be stayed</w:t>
      </w:r>
      <w:r w:rsidR="00252156">
        <w:rPr>
          <w:rFonts w:ascii="Times New Roman" w:hAnsi="Times New Roman"/>
          <w:sz w:val="28"/>
          <w:szCs w:val="28"/>
        </w:rPr>
        <w:t>.</w:t>
      </w:r>
      <w:r w:rsidR="0006498A">
        <w:rPr>
          <w:rFonts w:ascii="Times New Roman" w:hAnsi="Times New Roman"/>
          <w:sz w:val="28"/>
          <w:szCs w:val="28"/>
        </w:rPr>
        <w:t xml:space="preserve"> Only </w:t>
      </w:r>
      <w:proofErr w:type="spellStart"/>
      <w:r w:rsidR="0006498A">
        <w:rPr>
          <w:rFonts w:ascii="Times New Roman" w:hAnsi="Times New Roman"/>
          <w:sz w:val="28"/>
          <w:szCs w:val="28"/>
        </w:rPr>
        <w:t>Seartec</w:t>
      </w:r>
      <w:proofErr w:type="spellEnd"/>
      <w:r w:rsidR="0006498A">
        <w:rPr>
          <w:rFonts w:ascii="Times New Roman" w:hAnsi="Times New Roman"/>
          <w:sz w:val="28"/>
          <w:szCs w:val="28"/>
        </w:rPr>
        <w:t xml:space="preserve"> opposes the proceedings.</w:t>
      </w:r>
    </w:p>
    <w:p w14:paraId="5C5A7318" w14:textId="392766E8" w:rsidR="00443B11" w:rsidRDefault="00AC5739" w:rsidP="00AC5739">
      <w:pPr>
        <w:pStyle w:val="LegalList1"/>
        <w:spacing w:line="360" w:lineRule="auto"/>
        <w:ind w:left="851" w:hanging="851"/>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r w:rsidR="00443B11">
        <w:rPr>
          <w:rFonts w:ascii="Times New Roman" w:hAnsi="Times New Roman"/>
          <w:sz w:val="28"/>
          <w:szCs w:val="28"/>
        </w:rPr>
        <w:t xml:space="preserve">The </w:t>
      </w:r>
      <w:r w:rsidR="00C64A01">
        <w:rPr>
          <w:rFonts w:ascii="Times New Roman" w:hAnsi="Times New Roman"/>
          <w:sz w:val="28"/>
          <w:szCs w:val="28"/>
        </w:rPr>
        <w:t xml:space="preserve">above scenario </w:t>
      </w:r>
      <w:r w:rsidR="00443B11">
        <w:rPr>
          <w:rFonts w:ascii="Times New Roman" w:hAnsi="Times New Roman"/>
          <w:sz w:val="28"/>
          <w:szCs w:val="28"/>
        </w:rPr>
        <w:t>plays itself out as</w:t>
      </w:r>
      <w:r w:rsidR="00C64A01">
        <w:rPr>
          <w:rFonts w:ascii="Times New Roman" w:hAnsi="Times New Roman"/>
          <w:sz w:val="28"/>
          <w:szCs w:val="28"/>
        </w:rPr>
        <w:t xml:space="preserve"> an application for rescission of a</w:t>
      </w:r>
      <w:r w:rsidR="00C03E5A">
        <w:rPr>
          <w:rFonts w:ascii="Times New Roman" w:hAnsi="Times New Roman"/>
          <w:sz w:val="28"/>
          <w:szCs w:val="28"/>
        </w:rPr>
        <w:t xml:space="preserve"> prior</w:t>
      </w:r>
      <w:r w:rsidR="00C64A01">
        <w:rPr>
          <w:rFonts w:ascii="Times New Roman" w:hAnsi="Times New Roman"/>
          <w:sz w:val="28"/>
          <w:szCs w:val="28"/>
        </w:rPr>
        <w:t xml:space="preserve"> order </w:t>
      </w:r>
      <w:r w:rsidR="00A2688A">
        <w:rPr>
          <w:rFonts w:ascii="Times New Roman" w:hAnsi="Times New Roman"/>
          <w:sz w:val="28"/>
          <w:szCs w:val="28"/>
        </w:rPr>
        <w:t xml:space="preserve">dismissing </w:t>
      </w:r>
      <w:r w:rsidR="00C64A01">
        <w:rPr>
          <w:rFonts w:ascii="Times New Roman" w:hAnsi="Times New Roman"/>
          <w:sz w:val="28"/>
          <w:szCs w:val="28"/>
        </w:rPr>
        <w:t>a rescission application.</w:t>
      </w:r>
      <w:r w:rsidR="00C03E5A">
        <w:rPr>
          <w:rFonts w:ascii="Times New Roman" w:hAnsi="Times New Roman"/>
          <w:sz w:val="28"/>
          <w:szCs w:val="28"/>
        </w:rPr>
        <w:t xml:space="preserve"> </w:t>
      </w:r>
      <w:r w:rsidR="00F15282">
        <w:rPr>
          <w:rFonts w:ascii="Times New Roman" w:hAnsi="Times New Roman"/>
          <w:sz w:val="28"/>
          <w:szCs w:val="28"/>
        </w:rPr>
        <w:t xml:space="preserve">On the face of it, this </w:t>
      </w:r>
      <w:r w:rsidR="00611919">
        <w:rPr>
          <w:rFonts w:ascii="Times New Roman" w:hAnsi="Times New Roman"/>
          <w:sz w:val="28"/>
          <w:szCs w:val="28"/>
        </w:rPr>
        <w:t xml:space="preserve">raises </w:t>
      </w:r>
      <w:r w:rsidR="00F15282">
        <w:rPr>
          <w:rFonts w:ascii="Times New Roman" w:hAnsi="Times New Roman"/>
          <w:sz w:val="28"/>
          <w:szCs w:val="28"/>
        </w:rPr>
        <w:t xml:space="preserve">doubt about </w:t>
      </w:r>
      <w:r w:rsidR="00C03E5A">
        <w:rPr>
          <w:rFonts w:ascii="Times New Roman" w:hAnsi="Times New Roman"/>
          <w:sz w:val="28"/>
          <w:szCs w:val="28"/>
        </w:rPr>
        <w:t>the propriety of these proceedings from a procedural and substantive</w:t>
      </w:r>
      <w:r w:rsidR="00B32ABC" w:rsidRPr="00B32ABC">
        <w:rPr>
          <w:rFonts w:ascii="Times New Roman" w:hAnsi="Times New Roman"/>
          <w:sz w:val="28"/>
          <w:szCs w:val="28"/>
        </w:rPr>
        <w:t xml:space="preserve"> </w:t>
      </w:r>
      <w:r w:rsidR="00C87364">
        <w:rPr>
          <w:rFonts w:ascii="Times New Roman" w:hAnsi="Times New Roman"/>
          <w:sz w:val="28"/>
          <w:szCs w:val="28"/>
        </w:rPr>
        <w:t>perspective</w:t>
      </w:r>
      <w:r w:rsidR="009E0F9D">
        <w:rPr>
          <w:rFonts w:ascii="Times New Roman" w:hAnsi="Times New Roman"/>
          <w:sz w:val="28"/>
          <w:szCs w:val="28"/>
        </w:rPr>
        <w:t xml:space="preserve">. </w:t>
      </w:r>
      <w:r w:rsidR="00F15282">
        <w:rPr>
          <w:rFonts w:ascii="Times New Roman" w:hAnsi="Times New Roman"/>
          <w:sz w:val="28"/>
          <w:szCs w:val="28"/>
        </w:rPr>
        <w:t>Although</w:t>
      </w:r>
      <w:r w:rsidR="00C03E5A">
        <w:rPr>
          <w:rFonts w:ascii="Times New Roman" w:hAnsi="Times New Roman"/>
          <w:sz w:val="28"/>
          <w:szCs w:val="28"/>
        </w:rPr>
        <w:t>, neither party addressed me on this issue</w:t>
      </w:r>
      <w:r w:rsidR="00F15282">
        <w:rPr>
          <w:rFonts w:ascii="Times New Roman" w:hAnsi="Times New Roman"/>
          <w:sz w:val="28"/>
          <w:szCs w:val="28"/>
        </w:rPr>
        <w:t xml:space="preserve">, </w:t>
      </w:r>
      <w:r w:rsidR="00C03E5A">
        <w:rPr>
          <w:rFonts w:ascii="Times New Roman" w:hAnsi="Times New Roman"/>
          <w:sz w:val="28"/>
          <w:szCs w:val="28"/>
        </w:rPr>
        <w:t xml:space="preserve">I will proceed to determine the matter </w:t>
      </w:r>
      <w:proofErr w:type="gramStart"/>
      <w:r w:rsidR="00C03E5A">
        <w:rPr>
          <w:rFonts w:ascii="Times New Roman" w:hAnsi="Times New Roman"/>
          <w:sz w:val="28"/>
          <w:szCs w:val="28"/>
        </w:rPr>
        <w:t>on the basis of</w:t>
      </w:r>
      <w:proofErr w:type="gramEnd"/>
      <w:r w:rsidR="00C03E5A">
        <w:rPr>
          <w:rFonts w:ascii="Times New Roman" w:hAnsi="Times New Roman"/>
          <w:sz w:val="28"/>
          <w:szCs w:val="28"/>
        </w:rPr>
        <w:t xml:space="preserve"> the material set out in the papers before me.</w:t>
      </w:r>
      <w:r w:rsidR="00495CA0">
        <w:rPr>
          <w:rFonts w:ascii="Times New Roman" w:hAnsi="Times New Roman"/>
          <w:sz w:val="28"/>
          <w:szCs w:val="28"/>
        </w:rPr>
        <w:t xml:space="preserve"> The applicant was cited in the main </w:t>
      </w:r>
      <w:r w:rsidR="002724DB">
        <w:rPr>
          <w:rFonts w:ascii="Times New Roman" w:hAnsi="Times New Roman"/>
          <w:sz w:val="28"/>
          <w:szCs w:val="28"/>
        </w:rPr>
        <w:t>action</w:t>
      </w:r>
      <w:r w:rsidR="00495CA0">
        <w:rPr>
          <w:rFonts w:ascii="Times New Roman" w:hAnsi="Times New Roman"/>
          <w:sz w:val="28"/>
          <w:szCs w:val="28"/>
        </w:rPr>
        <w:t xml:space="preserve"> as surety</w:t>
      </w:r>
      <w:r w:rsidR="00663C7D">
        <w:rPr>
          <w:rStyle w:val="FootnoteReference"/>
          <w:rFonts w:ascii="Times New Roman" w:hAnsi="Times New Roman"/>
          <w:sz w:val="28"/>
          <w:szCs w:val="28"/>
        </w:rPr>
        <w:footnoteReference w:id="2"/>
      </w:r>
      <w:r w:rsidR="005476C7">
        <w:rPr>
          <w:rFonts w:ascii="Times New Roman" w:hAnsi="Times New Roman"/>
          <w:sz w:val="28"/>
          <w:szCs w:val="28"/>
        </w:rPr>
        <w:t>,</w:t>
      </w:r>
      <w:r w:rsidR="00495CA0">
        <w:rPr>
          <w:rFonts w:ascii="Times New Roman" w:hAnsi="Times New Roman"/>
          <w:sz w:val="28"/>
          <w:szCs w:val="28"/>
        </w:rPr>
        <w:t xml:space="preserve"> and </w:t>
      </w:r>
      <w:r w:rsidR="005476C7">
        <w:rPr>
          <w:rFonts w:ascii="Times New Roman" w:hAnsi="Times New Roman"/>
          <w:sz w:val="28"/>
          <w:szCs w:val="28"/>
        </w:rPr>
        <w:t xml:space="preserve">as I consider that she is </w:t>
      </w:r>
      <w:r w:rsidR="00495CA0">
        <w:rPr>
          <w:rFonts w:ascii="Times New Roman" w:hAnsi="Times New Roman"/>
          <w:sz w:val="28"/>
          <w:szCs w:val="28"/>
        </w:rPr>
        <w:t xml:space="preserve">a party affected by the judgment, I </w:t>
      </w:r>
      <w:proofErr w:type="gramStart"/>
      <w:r w:rsidR="00495CA0">
        <w:rPr>
          <w:rFonts w:ascii="Times New Roman" w:hAnsi="Times New Roman"/>
          <w:sz w:val="28"/>
          <w:szCs w:val="28"/>
        </w:rPr>
        <w:t>am of the opinion that</w:t>
      </w:r>
      <w:proofErr w:type="gramEnd"/>
      <w:r w:rsidR="00495CA0">
        <w:rPr>
          <w:rFonts w:ascii="Times New Roman" w:hAnsi="Times New Roman"/>
          <w:sz w:val="28"/>
          <w:szCs w:val="28"/>
        </w:rPr>
        <w:t xml:space="preserve"> </w:t>
      </w:r>
      <w:r w:rsidR="005476C7">
        <w:rPr>
          <w:rFonts w:ascii="Times New Roman" w:hAnsi="Times New Roman"/>
          <w:sz w:val="28"/>
          <w:szCs w:val="28"/>
        </w:rPr>
        <w:t xml:space="preserve">she has an interest in the subject matter sufficiently </w:t>
      </w:r>
      <w:r w:rsidR="005476C7">
        <w:rPr>
          <w:rFonts w:ascii="Times New Roman" w:hAnsi="Times New Roman"/>
          <w:sz w:val="28"/>
          <w:szCs w:val="28"/>
        </w:rPr>
        <w:lastRenderedPageBreak/>
        <w:t>direct and substantial to launch these proceedings.</w:t>
      </w:r>
      <w:r w:rsidR="00611919">
        <w:rPr>
          <w:rFonts w:ascii="Times New Roman" w:hAnsi="Times New Roman"/>
          <w:sz w:val="28"/>
          <w:szCs w:val="28"/>
        </w:rPr>
        <w:t xml:space="preserve"> That said, I proceed to deal with the merits of the application.</w:t>
      </w:r>
    </w:p>
    <w:p w14:paraId="14FE46D3" w14:textId="0B939E2A" w:rsidR="00B91E3A" w:rsidRDefault="00AC5739" w:rsidP="00AC5739">
      <w:pPr>
        <w:pStyle w:val="LegalList1"/>
        <w:spacing w:line="360" w:lineRule="auto"/>
        <w:ind w:left="851" w:hanging="851"/>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r>
      <w:r w:rsidR="009D6ADE">
        <w:rPr>
          <w:rFonts w:ascii="Times New Roman" w:hAnsi="Times New Roman"/>
          <w:sz w:val="28"/>
          <w:szCs w:val="28"/>
        </w:rPr>
        <w:t xml:space="preserve">The applicant’s founding affidavit is by no means a model of clarity. In </w:t>
      </w:r>
      <w:r w:rsidR="005D1F88">
        <w:rPr>
          <w:rFonts w:ascii="Times New Roman" w:hAnsi="Times New Roman"/>
          <w:sz w:val="28"/>
          <w:szCs w:val="28"/>
        </w:rPr>
        <w:t xml:space="preserve">claiming relief for a </w:t>
      </w:r>
      <w:proofErr w:type="gramStart"/>
      <w:r w:rsidR="005D1F88">
        <w:rPr>
          <w:rFonts w:ascii="Times New Roman" w:hAnsi="Times New Roman"/>
          <w:sz w:val="28"/>
          <w:szCs w:val="28"/>
        </w:rPr>
        <w:t>rescission</w:t>
      </w:r>
      <w:proofErr w:type="gramEnd"/>
      <w:r w:rsidR="005D1F88">
        <w:rPr>
          <w:rFonts w:ascii="Times New Roman" w:hAnsi="Times New Roman"/>
          <w:sz w:val="28"/>
          <w:szCs w:val="28"/>
        </w:rPr>
        <w:t xml:space="preserve"> she seeks </w:t>
      </w:r>
      <w:r w:rsidR="009D6ADE">
        <w:rPr>
          <w:rFonts w:ascii="Times New Roman" w:hAnsi="Times New Roman"/>
          <w:sz w:val="28"/>
          <w:szCs w:val="28"/>
        </w:rPr>
        <w:t>reliance on</w:t>
      </w:r>
      <w:r w:rsidR="008F53EF">
        <w:rPr>
          <w:rFonts w:ascii="Times New Roman" w:hAnsi="Times New Roman"/>
          <w:sz w:val="28"/>
          <w:szCs w:val="28"/>
        </w:rPr>
        <w:t xml:space="preserve"> uniform rule 42(1)(a) </w:t>
      </w:r>
      <w:r w:rsidR="00B91E3A">
        <w:rPr>
          <w:rFonts w:ascii="Times New Roman" w:hAnsi="Times New Roman"/>
          <w:sz w:val="28"/>
          <w:szCs w:val="28"/>
        </w:rPr>
        <w:t>and</w:t>
      </w:r>
      <w:r w:rsidR="009D6ADE">
        <w:rPr>
          <w:rFonts w:ascii="Times New Roman" w:hAnsi="Times New Roman"/>
          <w:sz w:val="28"/>
          <w:szCs w:val="28"/>
        </w:rPr>
        <w:t xml:space="preserve"> </w:t>
      </w:r>
      <w:r w:rsidR="00C87364">
        <w:rPr>
          <w:rFonts w:ascii="Times New Roman" w:hAnsi="Times New Roman"/>
          <w:sz w:val="28"/>
          <w:szCs w:val="28"/>
        </w:rPr>
        <w:t xml:space="preserve">the </w:t>
      </w:r>
      <w:r w:rsidR="009D6ADE">
        <w:rPr>
          <w:rFonts w:ascii="Times New Roman" w:hAnsi="Times New Roman"/>
          <w:sz w:val="28"/>
          <w:szCs w:val="28"/>
        </w:rPr>
        <w:t>common law</w:t>
      </w:r>
      <w:r w:rsidR="00C87364">
        <w:rPr>
          <w:rFonts w:ascii="Times New Roman" w:hAnsi="Times New Roman"/>
          <w:sz w:val="28"/>
          <w:szCs w:val="28"/>
        </w:rPr>
        <w:t xml:space="preserve">. </w:t>
      </w:r>
      <w:r w:rsidR="008F53EF">
        <w:rPr>
          <w:rFonts w:ascii="Times New Roman" w:hAnsi="Times New Roman"/>
          <w:sz w:val="28"/>
          <w:szCs w:val="28"/>
        </w:rPr>
        <w:t>I add that</w:t>
      </w:r>
      <w:r w:rsidR="00C87364">
        <w:rPr>
          <w:rFonts w:ascii="Times New Roman" w:hAnsi="Times New Roman"/>
          <w:sz w:val="28"/>
          <w:szCs w:val="28"/>
        </w:rPr>
        <w:t>,</w:t>
      </w:r>
      <w:r w:rsidR="008F53EF">
        <w:rPr>
          <w:rFonts w:ascii="Times New Roman" w:hAnsi="Times New Roman"/>
          <w:sz w:val="28"/>
          <w:szCs w:val="28"/>
        </w:rPr>
        <w:t xml:space="preserve"> in argument</w:t>
      </w:r>
      <w:r w:rsidR="00C87364">
        <w:rPr>
          <w:rFonts w:ascii="Times New Roman" w:hAnsi="Times New Roman"/>
          <w:sz w:val="28"/>
          <w:szCs w:val="28"/>
        </w:rPr>
        <w:t>,</w:t>
      </w:r>
      <w:r w:rsidR="008F53EF">
        <w:rPr>
          <w:rFonts w:ascii="Times New Roman" w:hAnsi="Times New Roman"/>
          <w:sz w:val="28"/>
          <w:szCs w:val="28"/>
        </w:rPr>
        <w:t xml:space="preserve"> her counsel indicated that reliance on rule 42(1)(b) was abandoned.</w:t>
      </w:r>
    </w:p>
    <w:p w14:paraId="79EFBDBA" w14:textId="77777777" w:rsidR="00A753F4" w:rsidRDefault="00A753F4" w:rsidP="00A753F4">
      <w:pPr>
        <w:pStyle w:val="LegalList1"/>
        <w:spacing w:line="360" w:lineRule="auto"/>
        <w:ind w:left="131" w:firstLine="720"/>
        <w:rPr>
          <w:rFonts w:ascii="Times New Roman" w:hAnsi="Times New Roman"/>
          <w:sz w:val="28"/>
          <w:szCs w:val="28"/>
        </w:rPr>
      </w:pPr>
      <w:r>
        <w:rPr>
          <w:rFonts w:ascii="Times New Roman" w:hAnsi="Times New Roman"/>
          <w:sz w:val="28"/>
          <w:szCs w:val="28"/>
        </w:rPr>
        <w:t>THE COMMON LAW</w:t>
      </w:r>
    </w:p>
    <w:p w14:paraId="7D4E87CC" w14:textId="1F228D4E" w:rsidR="0057366E" w:rsidRDefault="00AC5739" w:rsidP="00AC5739">
      <w:pPr>
        <w:pStyle w:val="LegalList1"/>
        <w:spacing w:line="360" w:lineRule="auto"/>
        <w:ind w:left="851" w:hanging="851"/>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002724DB">
        <w:rPr>
          <w:rFonts w:ascii="Times New Roman" w:hAnsi="Times New Roman"/>
          <w:sz w:val="28"/>
          <w:szCs w:val="28"/>
        </w:rPr>
        <w:t>At common law a party seeking rescission of a judgment or order must show sufficient cause (or good cause as it is otherwise known).</w:t>
      </w:r>
      <w:r w:rsidR="0056406F">
        <w:rPr>
          <w:rStyle w:val="FootnoteReference"/>
          <w:sz w:val="25"/>
          <w:szCs w:val="25"/>
        </w:rPr>
        <w:footnoteReference w:id="3"/>
      </w:r>
      <w:r w:rsidR="00954200">
        <w:rPr>
          <w:rFonts w:ascii="Times New Roman" w:hAnsi="Times New Roman"/>
          <w:sz w:val="28"/>
          <w:szCs w:val="28"/>
        </w:rPr>
        <w:t xml:space="preserve"> </w:t>
      </w:r>
      <w:r w:rsidR="00E8170C">
        <w:rPr>
          <w:rFonts w:ascii="Times New Roman" w:hAnsi="Times New Roman"/>
          <w:sz w:val="28"/>
          <w:szCs w:val="28"/>
        </w:rPr>
        <w:t>A</w:t>
      </w:r>
      <w:r w:rsidR="00954200">
        <w:rPr>
          <w:rFonts w:ascii="Times New Roman" w:hAnsi="Times New Roman"/>
          <w:sz w:val="28"/>
          <w:szCs w:val="28"/>
        </w:rPr>
        <w:t>n applicant relying on good cause must satisfy the court (</w:t>
      </w:r>
      <w:proofErr w:type="spellStart"/>
      <w:r w:rsidR="00954200">
        <w:rPr>
          <w:rFonts w:ascii="Times New Roman" w:hAnsi="Times New Roman"/>
          <w:sz w:val="28"/>
          <w:szCs w:val="28"/>
        </w:rPr>
        <w:t>i</w:t>
      </w:r>
      <w:proofErr w:type="spellEnd"/>
      <w:r w:rsidR="00954200">
        <w:rPr>
          <w:rFonts w:ascii="Times New Roman" w:hAnsi="Times New Roman"/>
          <w:sz w:val="28"/>
          <w:szCs w:val="28"/>
        </w:rPr>
        <w:t xml:space="preserve">) that there is a reasonable explanation for their default; and (ii) that they have a </w:t>
      </w:r>
      <w:r w:rsidR="00954200" w:rsidRPr="00E8170C">
        <w:rPr>
          <w:rFonts w:ascii="Times New Roman" w:hAnsi="Times New Roman"/>
          <w:i/>
          <w:sz w:val="28"/>
          <w:szCs w:val="28"/>
        </w:rPr>
        <w:t>bona fide</w:t>
      </w:r>
      <w:r w:rsidR="00954200">
        <w:rPr>
          <w:rFonts w:ascii="Times New Roman" w:hAnsi="Times New Roman"/>
          <w:sz w:val="28"/>
          <w:szCs w:val="28"/>
        </w:rPr>
        <w:t xml:space="preserve"> defence which </w:t>
      </w:r>
      <w:r w:rsidR="00954200" w:rsidRPr="00E8170C">
        <w:rPr>
          <w:rFonts w:ascii="Times New Roman" w:hAnsi="Times New Roman"/>
          <w:i/>
          <w:sz w:val="28"/>
          <w:szCs w:val="28"/>
        </w:rPr>
        <w:t>prima facie</w:t>
      </w:r>
      <w:r w:rsidR="00954200">
        <w:rPr>
          <w:rFonts w:ascii="Times New Roman" w:hAnsi="Times New Roman"/>
          <w:sz w:val="28"/>
          <w:szCs w:val="28"/>
        </w:rPr>
        <w:t xml:space="preserve"> carries some prospect of success.</w:t>
      </w:r>
      <w:r w:rsidR="00954200" w:rsidRPr="00573226">
        <w:rPr>
          <w:rStyle w:val="FootnoteReference"/>
          <w:sz w:val="25"/>
          <w:szCs w:val="25"/>
        </w:rPr>
        <w:footnoteReference w:id="4"/>
      </w:r>
      <w:r w:rsidR="0057366E">
        <w:rPr>
          <w:rFonts w:ascii="Times New Roman" w:hAnsi="Times New Roman"/>
          <w:sz w:val="28"/>
          <w:szCs w:val="28"/>
        </w:rPr>
        <w:t xml:space="preserve"> Given my conclusion on the merits of the application, I </w:t>
      </w:r>
      <w:r w:rsidR="008C4BD7">
        <w:rPr>
          <w:rFonts w:ascii="Times New Roman" w:hAnsi="Times New Roman"/>
          <w:sz w:val="28"/>
          <w:szCs w:val="28"/>
        </w:rPr>
        <w:t xml:space="preserve">do not intend weighing down this judgment by dealing extensively with </w:t>
      </w:r>
      <w:r w:rsidR="00B758C6">
        <w:rPr>
          <w:rFonts w:ascii="Times New Roman" w:hAnsi="Times New Roman"/>
          <w:sz w:val="28"/>
          <w:szCs w:val="28"/>
        </w:rPr>
        <w:t xml:space="preserve">the applicant’s reasons for seeking condonation. </w:t>
      </w:r>
      <w:r w:rsidR="00DB01E7">
        <w:rPr>
          <w:rFonts w:ascii="Times New Roman" w:hAnsi="Times New Roman"/>
          <w:sz w:val="28"/>
          <w:szCs w:val="28"/>
        </w:rPr>
        <w:t xml:space="preserve">To this end I refer to my comments in </w:t>
      </w:r>
      <w:r w:rsidR="009D0D79">
        <w:rPr>
          <w:rFonts w:ascii="Times New Roman" w:hAnsi="Times New Roman"/>
          <w:sz w:val="28"/>
          <w:szCs w:val="28"/>
        </w:rPr>
        <w:t>its</w:t>
      </w:r>
      <w:r w:rsidR="00DB01E7">
        <w:rPr>
          <w:rFonts w:ascii="Times New Roman" w:hAnsi="Times New Roman"/>
          <w:sz w:val="28"/>
          <w:szCs w:val="28"/>
        </w:rPr>
        <w:t xml:space="preserve"> closing paragraphs</w:t>
      </w:r>
      <w:r w:rsidR="009D0D79">
        <w:rPr>
          <w:rFonts w:ascii="Times New Roman" w:hAnsi="Times New Roman"/>
          <w:sz w:val="28"/>
          <w:szCs w:val="28"/>
        </w:rPr>
        <w:t>.</w:t>
      </w:r>
    </w:p>
    <w:p w14:paraId="48BC876F" w14:textId="1336247D" w:rsidR="002724DB" w:rsidRDefault="00AC5739" w:rsidP="00AC5739">
      <w:pPr>
        <w:pStyle w:val="LegalList1"/>
        <w:spacing w:line="360" w:lineRule="auto"/>
        <w:ind w:left="851" w:hanging="851"/>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r>
      <w:r w:rsidR="00E8170C">
        <w:rPr>
          <w:rFonts w:ascii="Times New Roman" w:hAnsi="Times New Roman"/>
          <w:sz w:val="28"/>
          <w:szCs w:val="28"/>
        </w:rPr>
        <w:t xml:space="preserve">In so far as the applicant places reliance on </w:t>
      </w:r>
      <w:r w:rsidR="0002450F">
        <w:rPr>
          <w:rFonts w:ascii="Times New Roman" w:hAnsi="Times New Roman"/>
          <w:sz w:val="28"/>
          <w:szCs w:val="28"/>
        </w:rPr>
        <w:t xml:space="preserve">annexure JNM3 for aligning </w:t>
      </w:r>
      <w:r w:rsidR="00E8170C">
        <w:rPr>
          <w:rFonts w:ascii="Times New Roman" w:hAnsi="Times New Roman"/>
          <w:sz w:val="28"/>
          <w:szCs w:val="28"/>
        </w:rPr>
        <w:t xml:space="preserve">herself with the </w:t>
      </w:r>
      <w:r w:rsidR="0002450F">
        <w:rPr>
          <w:rFonts w:ascii="Times New Roman" w:hAnsi="Times New Roman"/>
          <w:sz w:val="28"/>
          <w:szCs w:val="28"/>
        </w:rPr>
        <w:t xml:space="preserve">so-called </w:t>
      </w:r>
      <w:r w:rsidR="00E8170C">
        <w:rPr>
          <w:rFonts w:ascii="Times New Roman" w:hAnsi="Times New Roman"/>
          <w:sz w:val="28"/>
          <w:szCs w:val="28"/>
        </w:rPr>
        <w:t>defence</w:t>
      </w:r>
      <w:r w:rsidR="009247EF">
        <w:rPr>
          <w:rFonts w:ascii="Times New Roman" w:hAnsi="Times New Roman"/>
          <w:sz w:val="28"/>
          <w:szCs w:val="28"/>
        </w:rPr>
        <w:t>/</w:t>
      </w:r>
      <w:r w:rsidR="00E8170C">
        <w:rPr>
          <w:rFonts w:ascii="Times New Roman" w:hAnsi="Times New Roman"/>
          <w:sz w:val="28"/>
          <w:szCs w:val="28"/>
        </w:rPr>
        <w:t>s raised by the co-defendants in the main action</w:t>
      </w:r>
      <w:r w:rsidR="0002450F">
        <w:rPr>
          <w:rFonts w:ascii="Times New Roman" w:hAnsi="Times New Roman"/>
          <w:sz w:val="28"/>
          <w:szCs w:val="28"/>
        </w:rPr>
        <w:t xml:space="preserve">, I can do no better than quote at length </w:t>
      </w:r>
      <w:r w:rsidR="009247EF">
        <w:rPr>
          <w:rFonts w:ascii="Times New Roman" w:hAnsi="Times New Roman"/>
          <w:sz w:val="28"/>
          <w:szCs w:val="28"/>
        </w:rPr>
        <w:t>from the judgment by Smith J.</w:t>
      </w:r>
      <w:r w:rsidR="007B60E7">
        <w:rPr>
          <w:rFonts w:ascii="Times New Roman" w:hAnsi="Times New Roman"/>
          <w:sz w:val="28"/>
          <w:szCs w:val="28"/>
        </w:rPr>
        <w:t xml:space="preserve"> In the passages</w:t>
      </w:r>
      <w:r w:rsidR="00903E9C">
        <w:rPr>
          <w:rFonts w:ascii="Times New Roman" w:hAnsi="Times New Roman"/>
          <w:sz w:val="28"/>
          <w:szCs w:val="28"/>
        </w:rPr>
        <w:t xml:space="preserve"> cited</w:t>
      </w:r>
      <w:r w:rsidR="007B60E7">
        <w:rPr>
          <w:rFonts w:ascii="Times New Roman" w:hAnsi="Times New Roman"/>
          <w:sz w:val="28"/>
          <w:szCs w:val="28"/>
        </w:rPr>
        <w:t xml:space="preserve">, where the learned judge refers to </w:t>
      </w:r>
      <w:r w:rsidR="00903E9C">
        <w:rPr>
          <w:rFonts w:ascii="Times New Roman" w:hAnsi="Times New Roman"/>
          <w:sz w:val="28"/>
          <w:szCs w:val="28"/>
        </w:rPr>
        <w:t>‘</w:t>
      </w:r>
      <w:r w:rsidR="007B60E7">
        <w:rPr>
          <w:rFonts w:ascii="Times New Roman" w:hAnsi="Times New Roman"/>
          <w:sz w:val="28"/>
          <w:szCs w:val="28"/>
        </w:rPr>
        <w:t>the respondent</w:t>
      </w:r>
      <w:r w:rsidR="00903E9C">
        <w:rPr>
          <w:rFonts w:ascii="Times New Roman" w:hAnsi="Times New Roman"/>
          <w:sz w:val="28"/>
          <w:szCs w:val="28"/>
        </w:rPr>
        <w:t>’</w:t>
      </w:r>
      <w:r w:rsidR="007B60E7">
        <w:rPr>
          <w:rFonts w:ascii="Times New Roman" w:hAnsi="Times New Roman"/>
          <w:sz w:val="28"/>
          <w:szCs w:val="28"/>
        </w:rPr>
        <w:t xml:space="preserve"> this should be read as reference to </w:t>
      </w:r>
      <w:proofErr w:type="spellStart"/>
      <w:r w:rsidR="007B60E7">
        <w:rPr>
          <w:rFonts w:ascii="Times New Roman" w:hAnsi="Times New Roman"/>
          <w:sz w:val="28"/>
          <w:szCs w:val="28"/>
        </w:rPr>
        <w:t>Seartec</w:t>
      </w:r>
      <w:proofErr w:type="spellEnd"/>
      <w:r w:rsidR="007B60E7">
        <w:rPr>
          <w:rFonts w:ascii="Times New Roman" w:hAnsi="Times New Roman"/>
          <w:sz w:val="28"/>
          <w:szCs w:val="28"/>
        </w:rPr>
        <w:t>.</w:t>
      </w:r>
    </w:p>
    <w:p w14:paraId="03A47D94" w14:textId="77777777" w:rsidR="00E8170C" w:rsidRPr="00871B7F" w:rsidRDefault="009247EF" w:rsidP="00871B7F">
      <w:pPr>
        <w:pStyle w:val="LegalList1"/>
        <w:spacing w:line="360" w:lineRule="auto"/>
        <w:ind w:left="851"/>
        <w:rPr>
          <w:rFonts w:ascii="Times New Roman" w:hAnsi="Times New Roman"/>
        </w:rPr>
      </w:pPr>
      <w:r w:rsidRPr="00871B7F">
        <w:rPr>
          <w:rFonts w:ascii="Times New Roman" w:hAnsi="Times New Roman"/>
        </w:rPr>
        <w:lastRenderedPageBreak/>
        <w:t>‘[9] To my mind</w:t>
      </w:r>
      <w:r w:rsidR="00850FBB" w:rsidRPr="00871B7F">
        <w:rPr>
          <w:rFonts w:ascii="Times New Roman" w:hAnsi="Times New Roman"/>
        </w:rPr>
        <w:t xml:space="preserve"> they have also failed to establish a </w:t>
      </w:r>
      <w:r w:rsidR="00850FBB" w:rsidRPr="00871B7F">
        <w:rPr>
          <w:rFonts w:ascii="Times New Roman" w:hAnsi="Times New Roman"/>
          <w:i/>
        </w:rPr>
        <w:t>bona fide</w:t>
      </w:r>
      <w:r w:rsidR="00850FBB" w:rsidRPr="00871B7F">
        <w:rPr>
          <w:rFonts w:ascii="Times New Roman" w:hAnsi="Times New Roman"/>
        </w:rPr>
        <w:t xml:space="preserve"> defence with some prospects of success. They assert that they are not indebted to the respondent in the amount stated in the particulars of </w:t>
      </w:r>
      <w:proofErr w:type="gramStart"/>
      <w:r w:rsidR="00850FBB" w:rsidRPr="00871B7F">
        <w:rPr>
          <w:rFonts w:ascii="Times New Roman" w:hAnsi="Times New Roman"/>
        </w:rPr>
        <w:t>claim, but</w:t>
      </w:r>
      <w:proofErr w:type="gramEnd"/>
      <w:r w:rsidR="00850FBB" w:rsidRPr="00871B7F">
        <w:rPr>
          <w:rFonts w:ascii="Times New Roman" w:hAnsi="Times New Roman"/>
        </w:rPr>
        <w:t xml:space="preserve"> have failed to state what amount they aver is owing to the respondent. They also aver that the respondent’s representative misled the applicants by misrepresenting that the printing equipment was suitable for the first applicant’s business requirements, when he had known that this was not true. He accordingly induced the applicants to sign the agreement to their prejudice as the equipment turned out to be unsuitable</w:t>
      </w:r>
      <w:r w:rsidR="002903F5" w:rsidRPr="00871B7F">
        <w:rPr>
          <w:rFonts w:ascii="Times New Roman" w:hAnsi="Times New Roman"/>
        </w:rPr>
        <w:t xml:space="preserve"> for the first applicant’s business requirements. They aver furthermore that the agreement between the parties had been lawfully terminated on 21 February 2017, and that they have tended the return of the goods and payment of all outstanding amounts due at that date. They accordingly dispute liability for any invoices raised after the alleged lawful termination of the agreement.</w:t>
      </w:r>
    </w:p>
    <w:p w14:paraId="5872387B" w14:textId="77777777" w:rsidR="002903F5" w:rsidRPr="00871B7F" w:rsidRDefault="002903F5" w:rsidP="00871B7F">
      <w:pPr>
        <w:pStyle w:val="LegalList1"/>
        <w:spacing w:line="360" w:lineRule="auto"/>
        <w:ind w:left="851"/>
        <w:rPr>
          <w:rFonts w:ascii="Times New Roman" w:hAnsi="Times New Roman"/>
        </w:rPr>
      </w:pPr>
      <w:r w:rsidRPr="00871B7F">
        <w:rPr>
          <w:rFonts w:ascii="Times New Roman" w:hAnsi="Times New Roman"/>
        </w:rPr>
        <w:t>[10] It is trite that in considering whether an applicant for rescission has shown good cause, the court will not consider the above-mentioned factors separately but will on a conspectus of all the evidence, decide whether good cause had been shown.</w:t>
      </w:r>
      <w:r w:rsidR="00984CF1" w:rsidRPr="00871B7F">
        <w:rPr>
          <w:rFonts w:ascii="Times New Roman" w:hAnsi="Times New Roman"/>
        </w:rPr>
        <w:t xml:space="preserve"> </w:t>
      </w:r>
      <w:proofErr w:type="gramStart"/>
      <w:r w:rsidR="00984CF1" w:rsidRPr="00871B7F">
        <w:rPr>
          <w:rFonts w:ascii="Times New Roman" w:hAnsi="Times New Roman"/>
        </w:rPr>
        <w:t>Thus</w:t>
      </w:r>
      <w:proofErr w:type="gramEnd"/>
      <w:r w:rsidR="00984CF1" w:rsidRPr="00871B7F">
        <w:rPr>
          <w:rFonts w:ascii="Times New Roman" w:hAnsi="Times New Roman"/>
        </w:rPr>
        <w:t xml:space="preserve"> a solid defence with good prospects of success may compensate for a less than acceptable explanation for the default.</w:t>
      </w:r>
    </w:p>
    <w:p w14:paraId="30EDBCD9" w14:textId="77777777" w:rsidR="00984CF1" w:rsidRPr="00871B7F" w:rsidRDefault="00984CF1" w:rsidP="00871B7F">
      <w:pPr>
        <w:pStyle w:val="LegalList1"/>
        <w:spacing w:line="360" w:lineRule="auto"/>
        <w:ind w:left="851"/>
        <w:rPr>
          <w:rFonts w:ascii="Times New Roman" w:hAnsi="Times New Roman"/>
        </w:rPr>
      </w:pPr>
      <w:r w:rsidRPr="00871B7F">
        <w:rPr>
          <w:rFonts w:ascii="Times New Roman" w:hAnsi="Times New Roman"/>
        </w:rPr>
        <w:t xml:space="preserve">[11] Although an applicant is not at this stage are required to prove the veracity of the facts put up to establish his or her defence, facts must be pleaded with sufficient clarity to satisfy the court that, if proved in due course, they will constitute a valid and </w:t>
      </w:r>
      <w:r w:rsidRPr="00871B7F">
        <w:rPr>
          <w:rFonts w:ascii="Times New Roman" w:hAnsi="Times New Roman"/>
          <w:i/>
        </w:rPr>
        <w:t>bona fide</w:t>
      </w:r>
      <w:r w:rsidRPr="00871B7F">
        <w:rPr>
          <w:rFonts w:ascii="Times New Roman" w:hAnsi="Times New Roman"/>
        </w:rPr>
        <w:t xml:space="preserve"> defence to the respondent’s claim.</w:t>
      </w:r>
    </w:p>
    <w:p w14:paraId="2B729578" w14:textId="77777777" w:rsidR="00984CF1" w:rsidRDefault="00984CF1" w:rsidP="00871B7F">
      <w:pPr>
        <w:pStyle w:val="LegalList1"/>
        <w:spacing w:line="360" w:lineRule="auto"/>
        <w:ind w:left="851"/>
        <w:rPr>
          <w:rFonts w:ascii="Times New Roman" w:hAnsi="Times New Roman"/>
          <w:sz w:val="28"/>
          <w:szCs w:val="28"/>
        </w:rPr>
      </w:pPr>
      <w:r w:rsidRPr="00871B7F">
        <w:rPr>
          <w:rFonts w:ascii="Times New Roman" w:hAnsi="Times New Roman"/>
        </w:rPr>
        <w:t xml:space="preserve">[12] The facts alleged by the </w:t>
      </w:r>
      <w:proofErr w:type="gramStart"/>
      <w:r w:rsidRPr="00871B7F">
        <w:rPr>
          <w:rFonts w:ascii="Times New Roman" w:hAnsi="Times New Roman"/>
        </w:rPr>
        <w:t>applicant’s</w:t>
      </w:r>
      <w:proofErr w:type="gramEnd"/>
      <w:r w:rsidRPr="00871B7F">
        <w:rPr>
          <w:rFonts w:ascii="Times New Roman" w:hAnsi="Times New Roman"/>
        </w:rPr>
        <w:t xml:space="preserve"> in this regard are at best vague, sketchy and contradictory. Although asserting that the respondent’s representative had misrepresented to them that the printing equipment was suitable for the first applicant’s business requirements, no facts are averred in this regard. Instead, they seek to rely on conclusions which have no factual</w:t>
      </w:r>
      <w:r w:rsidR="00871B7F" w:rsidRPr="00871B7F">
        <w:rPr>
          <w:rFonts w:ascii="Times New Roman" w:hAnsi="Times New Roman"/>
        </w:rPr>
        <w:t xml:space="preserve"> bases. By way of </w:t>
      </w:r>
      <w:proofErr w:type="gramStart"/>
      <w:r w:rsidR="00871B7F" w:rsidRPr="00871B7F">
        <w:rPr>
          <w:rFonts w:ascii="Times New Roman" w:hAnsi="Times New Roman"/>
        </w:rPr>
        <w:t>example;</w:t>
      </w:r>
      <w:proofErr w:type="gramEnd"/>
      <w:r w:rsidR="00871B7F" w:rsidRPr="00871B7F">
        <w:rPr>
          <w:rFonts w:ascii="Times New Roman" w:hAnsi="Times New Roman"/>
        </w:rPr>
        <w:t xml:space="preserve"> they do not say when the alleged misrepresentation took place, by whom, the exact nature thereof and in which respects the equipment was unsuitable. Their admission that they do owe the respondent some undisclosed sum in respect of the use of the equipment is also contradictory since it suggests that they did in fact use the equipment. The averment that the agreement had been lawfully terminated during February 2017 is </w:t>
      </w:r>
      <w:r w:rsidR="00871B7F" w:rsidRPr="00871B7F">
        <w:rPr>
          <w:rFonts w:ascii="Times New Roman" w:hAnsi="Times New Roman"/>
        </w:rPr>
        <w:lastRenderedPageBreak/>
        <w:t>equally devoid of any factual foundation, is sketchy and wholly inadequate to establish reasonable prospects.’</w:t>
      </w:r>
    </w:p>
    <w:p w14:paraId="65DCDEC1" w14:textId="4F9B486C" w:rsidR="003927FE" w:rsidRDefault="00AC5739" w:rsidP="00AC5739">
      <w:pPr>
        <w:pStyle w:val="LegalList1"/>
        <w:spacing w:line="360" w:lineRule="auto"/>
        <w:ind w:left="851" w:hanging="851"/>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r>
      <w:r w:rsidR="0075237A">
        <w:rPr>
          <w:rFonts w:ascii="Times New Roman" w:hAnsi="Times New Roman"/>
          <w:sz w:val="28"/>
          <w:szCs w:val="28"/>
        </w:rPr>
        <w:t>As for</w:t>
      </w:r>
      <w:r w:rsidR="004E5600">
        <w:rPr>
          <w:rFonts w:ascii="Times New Roman" w:hAnsi="Times New Roman"/>
          <w:sz w:val="28"/>
          <w:szCs w:val="28"/>
        </w:rPr>
        <w:t xml:space="preserve"> the founding affidavit in the present matter, there does not appear to be anything explicit </w:t>
      </w:r>
      <w:r w:rsidR="00FF2274">
        <w:rPr>
          <w:rFonts w:ascii="Times New Roman" w:hAnsi="Times New Roman"/>
          <w:sz w:val="28"/>
          <w:szCs w:val="28"/>
        </w:rPr>
        <w:t xml:space="preserve">in support of allegations </w:t>
      </w:r>
      <w:r w:rsidR="0075542C">
        <w:rPr>
          <w:rFonts w:ascii="Times New Roman" w:hAnsi="Times New Roman"/>
          <w:sz w:val="28"/>
          <w:szCs w:val="28"/>
        </w:rPr>
        <w:t xml:space="preserve">by </w:t>
      </w:r>
      <w:r w:rsidR="00093686">
        <w:rPr>
          <w:rFonts w:ascii="Times New Roman" w:hAnsi="Times New Roman"/>
          <w:sz w:val="28"/>
          <w:szCs w:val="28"/>
        </w:rPr>
        <w:t xml:space="preserve">the applicant </w:t>
      </w:r>
      <w:r w:rsidR="0075542C">
        <w:rPr>
          <w:rFonts w:ascii="Times New Roman" w:hAnsi="Times New Roman"/>
          <w:sz w:val="28"/>
          <w:szCs w:val="28"/>
        </w:rPr>
        <w:t xml:space="preserve">that she </w:t>
      </w:r>
      <w:r w:rsidR="004E5600">
        <w:rPr>
          <w:rFonts w:ascii="Times New Roman" w:hAnsi="Times New Roman"/>
          <w:sz w:val="28"/>
          <w:szCs w:val="28"/>
        </w:rPr>
        <w:t xml:space="preserve">has a </w:t>
      </w:r>
      <w:r w:rsidR="004E5600" w:rsidRPr="007949AF">
        <w:rPr>
          <w:rFonts w:ascii="Times New Roman" w:hAnsi="Times New Roman"/>
          <w:i/>
          <w:sz w:val="28"/>
          <w:szCs w:val="28"/>
        </w:rPr>
        <w:t>bona fide</w:t>
      </w:r>
      <w:r w:rsidR="004E5600">
        <w:rPr>
          <w:rFonts w:ascii="Times New Roman" w:hAnsi="Times New Roman"/>
          <w:sz w:val="28"/>
          <w:szCs w:val="28"/>
        </w:rPr>
        <w:t xml:space="preserve"> defence, </w:t>
      </w:r>
      <w:r w:rsidR="00FF2274">
        <w:rPr>
          <w:rFonts w:ascii="Times New Roman" w:hAnsi="Times New Roman"/>
          <w:sz w:val="28"/>
          <w:szCs w:val="28"/>
        </w:rPr>
        <w:t>other than a nebulous rambling of causes of complaint</w:t>
      </w:r>
      <w:r w:rsidR="00093686">
        <w:rPr>
          <w:rFonts w:ascii="Times New Roman" w:hAnsi="Times New Roman"/>
          <w:sz w:val="28"/>
          <w:szCs w:val="28"/>
        </w:rPr>
        <w:t xml:space="preserve"> that the particulars of claim in the main action are </w:t>
      </w:r>
      <w:r w:rsidR="00947D3B">
        <w:rPr>
          <w:rFonts w:ascii="Times New Roman" w:hAnsi="Times New Roman"/>
          <w:sz w:val="28"/>
          <w:szCs w:val="28"/>
        </w:rPr>
        <w:t xml:space="preserve">deficient </w:t>
      </w:r>
      <w:r w:rsidR="007949AF">
        <w:rPr>
          <w:rFonts w:ascii="Times New Roman" w:hAnsi="Times New Roman"/>
          <w:sz w:val="28"/>
          <w:szCs w:val="28"/>
        </w:rPr>
        <w:t xml:space="preserve">for want of compliance with </w:t>
      </w:r>
      <w:r w:rsidR="00947D3B">
        <w:rPr>
          <w:rFonts w:ascii="Times New Roman" w:hAnsi="Times New Roman"/>
          <w:sz w:val="28"/>
          <w:szCs w:val="28"/>
        </w:rPr>
        <w:t xml:space="preserve">uniform rule 18 </w:t>
      </w:r>
      <w:r w:rsidR="0075542C">
        <w:rPr>
          <w:rFonts w:ascii="Times New Roman" w:hAnsi="Times New Roman"/>
          <w:sz w:val="28"/>
          <w:szCs w:val="28"/>
        </w:rPr>
        <w:t xml:space="preserve">which deals with </w:t>
      </w:r>
      <w:r w:rsidR="00093686">
        <w:rPr>
          <w:rFonts w:ascii="Times New Roman" w:hAnsi="Times New Roman"/>
          <w:sz w:val="28"/>
          <w:szCs w:val="28"/>
        </w:rPr>
        <w:t>the rules</w:t>
      </w:r>
      <w:r w:rsidR="00EE51E1">
        <w:rPr>
          <w:rFonts w:ascii="Times New Roman" w:hAnsi="Times New Roman"/>
          <w:sz w:val="28"/>
          <w:szCs w:val="28"/>
        </w:rPr>
        <w:t> </w:t>
      </w:r>
      <w:r w:rsidR="00093686">
        <w:rPr>
          <w:rFonts w:ascii="Times New Roman" w:hAnsi="Times New Roman"/>
          <w:sz w:val="28"/>
          <w:szCs w:val="28"/>
        </w:rPr>
        <w:t xml:space="preserve">relating </w:t>
      </w:r>
      <w:r w:rsidR="0075542C">
        <w:rPr>
          <w:rFonts w:ascii="Times New Roman" w:hAnsi="Times New Roman"/>
          <w:sz w:val="28"/>
          <w:szCs w:val="28"/>
        </w:rPr>
        <w:t>to pleading generally.</w:t>
      </w:r>
      <w:r w:rsidR="007949AF">
        <w:rPr>
          <w:rFonts w:ascii="Times New Roman" w:hAnsi="Times New Roman"/>
          <w:sz w:val="28"/>
          <w:szCs w:val="28"/>
        </w:rPr>
        <w:t xml:space="preserve"> She asserts</w:t>
      </w:r>
      <w:r w:rsidR="00947D3B">
        <w:rPr>
          <w:rFonts w:ascii="Times New Roman" w:hAnsi="Times New Roman"/>
          <w:sz w:val="28"/>
          <w:szCs w:val="28"/>
        </w:rPr>
        <w:t>,</w:t>
      </w:r>
      <w:r w:rsidR="007949AF">
        <w:rPr>
          <w:rFonts w:ascii="Times New Roman" w:hAnsi="Times New Roman"/>
          <w:sz w:val="28"/>
          <w:szCs w:val="28"/>
        </w:rPr>
        <w:t xml:space="preserve"> moreover</w:t>
      </w:r>
      <w:r w:rsidR="00947D3B">
        <w:rPr>
          <w:rFonts w:ascii="Times New Roman" w:hAnsi="Times New Roman"/>
          <w:sz w:val="28"/>
          <w:szCs w:val="28"/>
        </w:rPr>
        <w:t>,</w:t>
      </w:r>
      <w:r w:rsidR="007949AF">
        <w:rPr>
          <w:rFonts w:ascii="Times New Roman" w:hAnsi="Times New Roman"/>
          <w:sz w:val="28"/>
          <w:szCs w:val="28"/>
        </w:rPr>
        <w:t xml:space="preserve"> that she had</w:t>
      </w:r>
      <w:r w:rsidR="00EE51E1">
        <w:rPr>
          <w:rFonts w:ascii="Times New Roman" w:hAnsi="Times New Roman"/>
          <w:sz w:val="28"/>
          <w:szCs w:val="28"/>
          <w:lang w:val="en-ZA"/>
        </w:rPr>
        <w:t> </w:t>
      </w:r>
      <w:r w:rsidR="007949AF">
        <w:rPr>
          <w:rFonts w:ascii="Times New Roman" w:hAnsi="Times New Roman"/>
          <w:sz w:val="28"/>
          <w:szCs w:val="28"/>
        </w:rPr>
        <w:t>resigned as director of</w:t>
      </w:r>
      <w:r w:rsidR="00947D3B" w:rsidRPr="00947D3B">
        <w:rPr>
          <w:rFonts w:ascii="Times New Roman" w:hAnsi="Times New Roman"/>
          <w:sz w:val="28"/>
          <w:szCs w:val="28"/>
        </w:rPr>
        <w:t xml:space="preserve"> </w:t>
      </w:r>
      <w:proofErr w:type="spellStart"/>
      <w:r w:rsidR="00947D3B">
        <w:rPr>
          <w:rFonts w:ascii="Times New Roman" w:hAnsi="Times New Roman"/>
          <w:sz w:val="28"/>
          <w:szCs w:val="28"/>
        </w:rPr>
        <w:t>Ntsikelelo</w:t>
      </w:r>
      <w:proofErr w:type="spellEnd"/>
      <w:r w:rsidR="00947D3B">
        <w:rPr>
          <w:rFonts w:ascii="Times New Roman" w:hAnsi="Times New Roman"/>
          <w:sz w:val="28"/>
          <w:szCs w:val="28"/>
        </w:rPr>
        <w:t xml:space="preserve"> </w:t>
      </w:r>
      <w:proofErr w:type="spellStart"/>
      <w:r w:rsidR="00947D3B">
        <w:rPr>
          <w:rFonts w:ascii="Times New Roman" w:hAnsi="Times New Roman"/>
          <w:sz w:val="28"/>
          <w:szCs w:val="28"/>
        </w:rPr>
        <w:t>Matebese</w:t>
      </w:r>
      <w:proofErr w:type="spellEnd"/>
      <w:r w:rsidR="00947D3B">
        <w:rPr>
          <w:rFonts w:ascii="Times New Roman" w:hAnsi="Times New Roman"/>
          <w:sz w:val="28"/>
          <w:szCs w:val="28"/>
        </w:rPr>
        <w:t xml:space="preserve"> Funeral Services (Pty) Ltd </w:t>
      </w:r>
      <w:r w:rsidR="00391DD6">
        <w:rPr>
          <w:rFonts w:ascii="Times New Roman" w:hAnsi="Times New Roman"/>
          <w:sz w:val="28"/>
          <w:szCs w:val="28"/>
        </w:rPr>
        <w:t>–</w:t>
      </w:r>
      <w:r w:rsidR="00EE51E1">
        <w:rPr>
          <w:rFonts w:ascii="Times New Roman" w:hAnsi="Times New Roman"/>
          <w:sz w:val="28"/>
          <w:szCs w:val="28"/>
        </w:rPr>
        <w:t xml:space="preserve"> </w:t>
      </w:r>
      <w:r w:rsidR="00391DD6">
        <w:rPr>
          <w:rFonts w:ascii="Times New Roman" w:hAnsi="Times New Roman"/>
          <w:sz w:val="28"/>
          <w:szCs w:val="28"/>
        </w:rPr>
        <w:t xml:space="preserve">in </w:t>
      </w:r>
      <w:r w:rsidR="0068567D">
        <w:rPr>
          <w:rFonts w:ascii="Times New Roman" w:hAnsi="Times New Roman"/>
          <w:sz w:val="28"/>
          <w:szCs w:val="28"/>
        </w:rPr>
        <w:t xml:space="preserve">that way </w:t>
      </w:r>
      <w:r w:rsidR="00947D3B">
        <w:rPr>
          <w:rFonts w:ascii="Times New Roman" w:hAnsi="Times New Roman"/>
          <w:sz w:val="28"/>
          <w:szCs w:val="28"/>
        </w:rPr>
        <w:t xml:space="preserve">suggesting that </w:t>
      </w:r>
      <w:r w:rsidR="007E429E">
        <w:rPr>
          <w:rFonts w:ascii="Times New Roman" w:hAnsi="Times New Roman"/>
          <w:sz w:val="28"/>
          <w:szCs w:val="28"/>
        </w:rPr>
        <w:t xml:space="preserve">she was released from liability for its debts and that </w:t>
      </w:r>
      <w:proofErr w:type="spellStart"/>
      <w:r w:rsidR="00EE51E1">
        <w:rPr>
          <w:rFonts w:ascii="Times New Roman" w:hAnsi="Times New Roman"/>
          <w:sz w:val="28"/>
          <w:szCs w:val="28"/>
        </w:rPr>
        <w:t>Seartec’s</w:t>
      </w:r>
      <w:proofErr w:type="spellEnd"/>
      <w:r w:rsidR="00EE51E1">
        <w:rPr>
          <w:rFonts w:ascii="Times New Roman" w:hAnsi="Times New Roman"/>
          <w:sz w:val="28"/>
          <w:szCs w:val="28"/>
        </w:rPr>
        <w:t xml:space="preserve"> </w:t>
      </w:r>
      <w:r w:rsidR="00947D3B">
        <w:rPr>
          <w:rFonts w:ascii="Times New Roman" w:hAnsi="Times New Roman"/>
          <w:sz w:val="28"/>
          <w:szCs w:val="28"/>
        </w:rPr>
        <w:t xml:space="preserve">involvement </w:t>
      </w:r>
      <w:r w:rsidR="00EE51E1">
        <w:rPr>
          <w:rFonts w:ascii="Times New Roman" w:hAnsi="Times New Roman"/>
          <w:sz w:val="28"/>
          <w:szCs w:val="28"/>
        </w:rPr>
        <w:t xml:space="preserve">of her </w:t>
      </w:r>
      <w:r w:rsidR="00947D3B">
        <w:rPr>
          <w:rFonts w:ascii="Times New Roman" w:hAnsi="Times New Roman"/>
          <w:sz w:val="28"/>
          <w:szCs w:val="28"/>
        </w:rPr>
        <w:t xml:space="preserve">in the main action was </w:t>
      </w:r>
      <w:r w:rsidR="00EE51E1">
        <w:rPr>
          <w:rFonts w:ascii="Times New Roman" w:hAnsi="Times New Roman"/>
          <w:sz w:val="28"/>
          <w:szCs w:val="28"/>
        </w:rPr>
        <w:t>unjustified.</w:t>
      </w:r>
    </w:p>
    <w:p w14:paraId="655A7ADC" w14:textId="2710EE86" w:rsidR="00E8170C" w:rsidRDefault="00AC5739" w:rsidP="00AC5739">
      <w:pPr>
        <w:pStyle w:val="LegalList1"/>
        <w:spacing w:line="360" w:lineRule="auto"/>
        <w:ind w:left="851" w:hanging="851"/>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r>
      <w:r w:rsidR="0049237E">
        <w:rPr>
          <w:rFonts w:ascii="Times New Roman" w:hAnsi="Times New Roman"/>
          <w:sz w:val="28"/>
          <w:szCs w:val="28"/>
        </w:rPr>
        <w:t xml:space="preserve">The short shrift approach </w:t>
      </w:r>
      <w:r w:rsidR="00903E9C">
        <w:rPr>
          <w:rFonts w:ascii="Times New Roman" w:hAnsi="Times New Roman"/>
          <w:sz w:val="28"/>
          <w:szCs w:val="28"/>
        </w:rPr>
        <w:t xml:space="preserve">to the applicant’s stance </w:t>
      </w:r>
      <w:r w:rsidR="0049237E">
        <w:rPr>
          <w:rFonts w:ascii="Times New Roman" w:hAnsi="Times New Roman"/>
          <w:sz w:val="28"/>
          <w:szCs w:val="28"/>
        </w:rPr>
        <w:t xml:space="preserve">is that </w:t>
      </w:r>
      <w:proofErr w:type="spellStart"/>
      <w:r w:rsidR="0049237E">
        <w:rPr>
          <w:rFonts w:ascii="Times New Roman" w:hAnsi="Times New Roman"/>
          <w:sz w:val="28"/>
          <w:szCs w:val="28"/>
        </w:rPr>
        <w:t>Seartec’s</w:t>
      </w:r>
      <w:proofErr w:type="spellEnd"/>
      <w:r w:rsidR="0049237E">
        <w:rPr>
          <w:rFonts w:ascii="Times New Roman" w:hAnsi="Times New Roman"/>
          <w:sz w:val="28"/>
          <w:szCs w:val="28"/>
        </w:rPr>
        <w:t xml:space="preserve"> cause of action against her </w:t>
      </w:r>
      <w:r w:rsidR="00426EA4">
        <w:rPr>
          <w:rFonts w:ascii="Times New Roman" w:hAnsi="Times New Roman"/>
          <w:sz w:val="28"/>
          <w:szCs w:val="28"/>
        </w:rPr>
        <w:t>is</w:t>
      </w:r>
      <w:r w:rsidR="0049237E">
        <w:rPr>
          <w:rFonts w:ascii="Times New Roman" w:hAnsi="Times New Roman"/>
          <w:sz w:val="28"/>
          <w:szCs w:val="28"/>
        </w:rPr>
        <w:t xml:space="preserve"> based on the deed of suretyship as pleaded and attached to the particulars of claim. The applicant has accordingly not put up a </w:t>
      </w:r>
      <w:r w:rsidR="0049237E" w:rsidRPr="0068567D">
        <w:rPr>
          <w:rFonts w:ascii="Times New Roman" w:hAnsi="Times New Roman"/>
          <w:i/>
          <w:sz w:val="28"/>
          <w:szCs w:val="28"/>
        </w:rPr>
        <w:t>prima facie</w:t>
      </w:r>
      <w:r w:rsidR="0049237E">
        <w:rPr>
          <w:rFonts w:ascii="Times New Roman" w:hAnsi="Times New Roman"/>
          <w:sz w:val="28"/>
          <w:szCs w:val="28"/>
        </w:rPr>
        <w:t xml:space="preserve"> indication of a sustainable defence,</w:t>
      </w:r>
      <w:r w:rsidR="0068567D">
        <w:rPr>
          <w:rFonts w:ascii="Times New Roman" w:hAnsi="Times New Roman"/>
          <w:sz w:val="28"/>
          <w:szCs w:val="28"/>
        </w:rPr>
        <w:t xml:space="preserve"> and insofar as </w:t>
      </w:r>
      <w:r w:rsidR="00982470">
        <w:rPr>
          <w:rFonts w:ascii="Times New Roman" w:hAnsi="Times New Roman"/>
          <w:sz w:val="28"/>
          <w:szCs w:val="28"/>
        </w:rPr>
        <w:t xml:space="preserve">she ventures to make common cause with the co-defendants in the main action, </w:t>
      </w:r>
      <w:r w:rsidR="0068567D">
        <w:rPr>
          <w:rFonts w:ascii="Times New Roman" w:hAnsi="Times New Roman"/>
          <w:sz w:val="28"/>
          <w:szCs w:val="28"/>
        </w:rPr>
        <w:t xml:space="preserve">I am unreservedly in agreement </w:t>
      </w:r>
      <w:r w:rsidR="00982470">
        <w:rPr>
          <w:rFonts w:ascii="Times New Roman" w:hAnsi="Times New Roman"/>
          <w:sz w:val="28"/>
          <w:szCs w:val="28"/>
        </w:rPr>
        <w:t>with the above remarks by Smith</w:t>
      </w:r>
      <w:r w:rsidR="003927FE">
        <w:rPr>
          <w:rFonts w:ascii="Times New Roman" w:hAnsi="Times New Roman"/>
          <w:sz w:val="28"/>
          <w:szCs w:val="28"/>
        </w:rPr>
        <w:t> </w:t>
      </w:r>
      <w:r w:rsidR="00982470">
        <w:rPr>
          <w:rFonts w:ascii="Times New Roman" w:hAnsi="Times New Roman"/>
          <w:sz w:val="28"/>
          <w:szCs w:val="28"/>
        </w:rPr>
        <w:t>J.</w:t>
      </w:r>
    </w:p>
    <w:p w14:paraId="5B284793" w14:textId="77777777" w:rsidR="00A753F4" w:rsidRDefault="00A753F4" w:rsidP="00A753F4">
      <w:pPr>
        <w:pStyle w:val="LegalList1"/>
        <w:spacing w:line="360" w:lineRule="auto"/>
        <w:ind w:left="131" w:firstLine="720"/>
        <w:rPr>
          <w:rFonts w:ascii="Times New Roman" w:hAnsi="Times New Roman"/>
          <w:sz w:val="28"/>
          <w:szCs w:val="28"/>
        </w:rPr>
      </w:pPr>
      <w:r>
        <w:rPr>
          <w:rFonts w:ascii="Times New Roman" w:hAnsi="Times New Roman"/>
          <w:sz w:val="28"/>
          <w:szCs w:val="28"/>
        </w:rPr>
        <w:t>RULE 42</w:t>
      </w:r>
    </w:p>
    <w:p w14:paraId="334EC3B2" w14:textId="66FD862A" w:rsidR="00441BFD" w:rsidRDefault="00AC5739" w:rsidP="00AC5739">
      <w:pPr>
        <w:pStyle w:val="LegalList1"/>
        <w:spacing w:line="360" w:lineRule="auto"/>
        <w:ind w:left="851" w:hanging="851"/>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r>
      <w:r w:rsidR="008F53EF">
        <w:rPr>
          <w:rFonts w:ascii="Times New Roman" w:hAnsi="Times New Roman"/>
          <w:sz w:val="28"/>
          <w:szCs w:val="28"/>
        </w:rPr>
        <w:t>U</w:t>
      </w:r>
      <w:r w:rsidR="008E0F7F">
        <w:rPr>
          <w:rFonts w:ascii="Times New Roman" w:hAnsi="Times New Roman"/>
          <w:sz w:val="28"/>
          <w:szCs w:val="28"/>
        </w:rPr>
        <w:t xml:space="preserve">niform </w:t>
      </w:r>
      <w:r w:rsidR="008F53EF">
        <w:rPr>
          <w:rFonts w:ascii="Times New Roman" w:hAnsi="Times New Roman"/>
          <w:sz w:val="28"/>
          <w:szCs w:val="28"/>
        </w:rPr>
        <w:t>r</w:t>
      </w:r>
      <w:r w:rsidR="008E0F7F">
        <w:rPr>
          <w:rFonts w:ascii="Times New Roman" w:hAnsi="Times New Roman"/>
          <w:sz w:val="28"/>
          <w:szCs w:val="28"/>
        </w:rPr>
        <w:t>ule 42</w:t>
      </w:r>
      <w:r w:rsidR="00EE51E1">
        <w:rPr>
          <w:rFonts w:ascii="Times New Roman" w:hAnsi="Times New Roman"/>
          <w:sz w:val="28"/>
          <w:szCs w:val="28"/>
        </w:rPr>
        <w:t xml:space="preserve">(1)(a) </w:t>
      </w:r>
      <w:r w:rsidR="004C48A2">
        <w:rPr>
          <w:rFonts w:ascii="Times New Roman" w:hAnsi="Times New Roman"/>
          <w:sz w:val="28"/>
          <w:szCs w:val="28"/>
        </w:rPr>
        <w:t xml:space="preserve">permits a rescission or variation of </w:t>
      </w:r>
      <w:r w:rsidR="00691A7A">
        <w:rPr>
          <w:rFonts w:ascii="Times New Roman" w:hAnsi="Times New Roman"/>
          <w:sz w:val="28"/>
          <w:szCs w:val="28"/>
        </w:rPr>
        <w:t>an order or judgment</w:t>
      </w:r>
      <w:r w:rsidR="00441BFD">
        <w:rPr>
          <w:rFonts w:ascii="Times New Roman" w:hAnsi="Times New Roman"/>
          <w:sz w:val="28"/>
          <w:szCs w:val="28"/>
        </w:rPr>
        <w:t xml:space="preserve"> provided that such an order or judgment is:</w:t>
      </w:r>
    </w:p>
    <w:p w14:paraId="6FB64FB7" w14:textId="77777777" w:rsidR="00B27EF5" w:rsidRDefault="00DE3A00" w:rsidP="00DE3A00">
      <w:pPr>
        <w:pStyle w:val="LegalList1"/>
        <w:spacing w:line="360" w:lineRule="auto"/>
        <w:ind w:left="851"/>
        <w:rPr>
          <w:rFonts w:ascii="Times New Roman" w:hAnsi="Times New Roman"/>
          <w:sz w:val="28"/>
          <w:szCs w:val="28"/>
        </w:rPr>
      </w:pPr>
      <w:r>
        <w:rPr>
          <w:rFonts w:ascii="Times New Roman" w:hAnsi="Times New Roman"/>
          <w:sz w:val="28"/>
          <w:szCs w:val="28"/>
        </w:rPr>
        <w:t>‘A</w:t>
      </w:r>
      <w:r w:rsidR="00441BFD">
        <w:rPr>
          <w:rFonts w:ascii="Times New Roman" w:hAnsi="Times New Roman"/>
          <w:sz w:val="28"/>
          <w:szCs w:val="28"/>
        </w:rPr>
        <w:t>n order or judgment erroneously sough</w:t>
      </w:r>
      <w:r>
        <w:rPr>
          <w:rFonts w:ascii="Times New Roman" w:hAnsi="Times New Roman"/>
          <w:sz w:val="28"/>
          <w:szCs w:val="28"/>
        </w:rPr>
        <w:t xml:space="preserve">t or erroneously granted in the </w:t>
      </w:r>
      <w:r w:rsidR="00441BFD">
        <w:rPr>
          <w:rFonts w:ascii="Times New Roman" w:hAnsi="Times New Roman"/>
          <w:sz w:val="28"/>
          <w:szCs w:val="28"/>
        </w:rPr>
        <w:t>absence of any party affected thereby</w:t>
      </w:r>
      <w:r>
        <w:rPr>
          <w:rFonts w:ascii="Times New Roman" w:hAnsi="Times New Roman"/>
          <w:sz w:val="28"/>
          <w:szCs w:val="28"/>
        </w:rPr>
        <w:t>.’</w:t>
      </w:r>
    </w:p>
    <w:p w14:paraId="401D0755" w14:textId="77777777" w:rsidR="003927FE" w:rsidRDefault="003927FE" w:rsidP="00A64AAA">
      <w:pPr>
        <w:pStyle w:val="LegalList1"/>
        <w:spacing w:line="360" w:lineRule="auto"/>
        <w:ind w:firstLine="720"/>
        <w:rPr>
          <w:rFonts w:ascii="Times New Roman" w:hAnsi="Times New Roman"/>
          <w:i/>
          <w:sz w:val="28"/>
          <w:szCs w:val="28"/>
        </w:rPr>
      </w:pPr>
    </w:p>
    <w:p w14:paraId="34AF186E" w14:textId="77777777" w:rsidR="003C4FF8" w:rsidRPr="00A64AAA" w:rsidRDefault="00DE3A00" w:rsidP="00A64AAA">
      <w:pPr>
        <w:pStyle w:val="LegalList1"/>
        <w:spacing w:line="360" w:lineRule="auto"/>
        <w:ind w:firstLine="720"/>
        <w:rPr>
          <w:rFonts w:ascii="Times New Roman" w:hAnsi="Times New Roman"/>
          <w:i/>
          <w:sz w:val="28"/>
          <w:szCs w:val="28"/>
        </w:rPr>
      </w:pPr>
      <w:r w:rsidRPr="00A64AAA">
        <w:rPr>
          <w:rFonts w:ascii="Times New Roman" w:hAnsi="Times New Roman"/>
          <w:i/>
          <w:sz w:val="28"/>
          <w:szCs w:val="28"/>
        </w:rPr>
        <w:lastRenderedPageBreak/>
        <w:t xml:space="preserve"> </w:t>
      </w:r>
      <w:r w:rsidR="00A64AAA" w:rsidRPr="00A64AAA">
        <w:rPr>
          <w:rFonts w:ascii="Times New Roman" w:hAnsi="Times New Roman"/>
          <w:i/>
          <w:sz w:val="28"/>
          <w:szCs w:val="28"/>
        </w:rPr>
        <w:t>‘</w:t>
      </w:r>
      <w:proofErr w:type="gramStart"/>
      <w:r w:rsidR="00A64AAA" w:rsidRPr="00A64AAA">
        <w:rPr>
          <w:rFonts w:ascii="Times New Roman" w:hAnsi="Times New Roman"/>
          <w:i/>
          <w:sz w:val="28"/>
          <w:szCs w:val="28"/>
        </w:rPr>
        <w:t>erroneously</w:t>
      </w:r>
      <w:proofErr w:type="gramEnd"/>
      <w:r w:rsidR="00A64AAA" w:rsidRPr="00A64AAA">
        <w:rPr>
          <w:rFonts w:ascii="Times New Roman" w:hAnsi="Times New Roman"/>
          <w:i/>
          <w:sz w:val="28"/>
          <w:szCs w:val="28"/>
        </w:rPr>
        <w:t xml:space="preserve"> sought/granted’</w:t>
      </w:r>
    </w:p>
    <w:p w14:paraId="3C48F18D" w14:textId="0EDD9DDB" w:rsidR="00A61269" w:rsidRDefault="00AC5739" w:rsidP="00AC5739">
      <w:pPr>
        <w:pStyle w:val="LegalList1"/>
        <w:spacing w:line="360" w:lineRule="auto"/>
        <w:ind w:left="851" w:hanging="851"/>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r>
      <w:r w:rsidR="00D50C6D">
        <w:rPr>
          <w:rFonts w:ascii="Times New Roman" w:hAnsi="Times New Roman"/>
          <w:sz w:val="28"/>
          <w:szCs w:val="28"/>
        </w:rPr>
        <w:t>The ostensible basis upon which rescission is sought on this ground is that the summons in the main action was not served upon the applicant; and that it manifested defects for non-compliance with uniform rule 18</w:t>
      </w:r>
      <w:r w:rsidR="00137B1A">
        <w:rPr>
          <w:rFonts w:ascii="Times New Roman" w:hAnsi="Times New Roman"/>
          <w:sz w:val="28"/>
          <w:szCs w:val="28"/>
        </w:rPr>
        <w:t>(4) and (6)</w:t>
      </w:r>
      <w:r w:rsidR="00D50C6D">
        <w:rPr>
          <w:rFonts w:ascii="Times New Roman" w:hAnsi="Times New Roman"/>
          <w:sz w:val="28"/>
          <w:szCs w:val="28"/>
        </w:rPr>
        <w:t>.</w:t>
      </w:r>
    </w:p>
    <w:p w14:paraId="556793E6" w14:textId="5C4CF19B" w:rsidR="00A61269" w:rsidRDefault="00AC5739" w:rsidP="00AC5739">
      <w:pPr>
        <w:pStyle w:val="LegalList1"/>
        <w:spacing w:line="360" w:lineRule="auto"/>
        <w:ind w:left="851" w:hanging="851"/>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ab/>
      </w:r>
      <w:r w:rsidR="00D50C6D">
        <w:rPr>
          <w:rFonts w:ascii="Times New Roman" w:hAnsi="Times New Roman"/>
          <w:sz w:val="28"/>
          <w:szCs w:val="28"/>
        </w:rPr>
        <w:t>In the deed of suretyship attached to the summons in the main action, the applicant chose</w:t>
      </w:r>
      <w:r w:rsidR="005D0478">
        <w:rPr>
          <w:rFonts w:ascii="Times New Roman" w:hAnsi="Times New Roman"/>
          <w:sz w:val="28"/>
          <w:szCs w:val="28"/>
        </w:rPr>
        <w:t xml:space="preserve"> as her as her </w:t>
      </w:r>
      <w:proofErr w:type="spellStart"/>
      <w:r w:rsidR="005D0478" w:rsidRPr="000C7C51">
        <w:rPr>
          <w:rFonts w:ascii="Times New Roman" w:hAnsi="Times New Roman"/>
          <w:i/>
          <w:sz w:val="28"/>
          <w:szCs w:val="28"/>
        </w:rPr>
        <w:t>domicilium</w:t>
      </w:r>
      <w:proofErr w:type="spellEnd"/>
      <w:r w:rsidR="005D0478" w:rsidRPr="000C7C51">
        <w:rPr>
          <w:rFonts w:ascii="Times New Roman" w:hAnsi="Times New Roman"/>
          <w:i/>
          <w:sz w:val="28"/>
          <w:szCs w:val="28"/>
        </w:rPr>
        <w:t xml:space="preserve"> </w:t>
      </w:r>
      <w:proofErr w:type="spellStart"/>
      <w:r w:rsidR="005D0478" w:rsidRPr="000C7C51">
        <w:rPr>
          <w:rFonts w:ascii="Times New Roman" w:hAnsi="Times New Roman"/>
          <w:i/>
          <w:sz w:val="28"/>
          <w:szCs w:val="28"/>
        </w:rPr>
        <w:t>citandi</w:t>
      </w:r>
      <w:proofErr w:type="spellEnd"/>
      <w:r w:rsidR="005D0478" w:rsidRPr="000C7C51">
        <w:rPr>
          <w:rFonts w:ascii="Times New Roman" w:hAnsi="Times New Roman"/>
          <w:i/>
          <w:sz w:val="28"/>
          <w:szCs w:val="28"/>
        </w:rPr>
        <w:t xml:space="preserve"> et </w:t>
      </w:r>
      <w:proofErr w:type="spellStart"/>
      <w:r w:rsidR="005D0478" w:rsidRPr="000C7C51">
        <w:rPr>
          <w:rFonts w:ascii="Times New Roman" w:hAnsi="Times New Roman"/>
          <w:i/>
          <w:sz w:val="28"/>
          <w:szCs w:val="28"/>
        </w:rPr>
        <w:t>executandi</w:t>
      </w:r>
      <w:proofErr w:type="spellEnd"/>
      <w:r w:rsidR="005D0478">
        <w:rPr>
          <w:rFonts w:ascii="Times New Roman" w:hAnsi="Times New Roman"/>
          <w:sz w:val="28"/>
          <w:szCs w:val="28"/>
        </w:rPr>
        <w:t xml:space="preserve"> the address specified earlier in this judgment.</w:t>
      </w:r>
      <w:r w:rsidR="002F30DD">
        <w:rPr>
          <w:rFonts w:ascii="Times New Roman" w:hAnsi="Times New Roman"/>
          <w:sz w:val="28"/>
          <w:szCs w:val="28"/>
        </w:rPr>
        <w:t xml:space="preserve"> The deed of suretyship signed by her </w:t>
      </w:r>
      <w:r w:rsidR="00B14061">
        <w:rPr>
          <w:rFonts w:ascii="Times New Roman" w:hAnsi="Times New Roman"/>
          <w:sz w:val="28"/>
          <w:szCs w:val="28"/>
        </w:rPr>
        <w:t>is</w:t>
      </w:r>
      <w:r w:rsidR="002F30DD">
        <w:rPr>
          <w:rFonts w:ascii="Times New Roman" w:hAnsi="Times New Roman"/>
          <w:sz w:val="28"/>
          <w:szCs w:val="28"/>
        </w:rPr>
        <w:t xml:space="preserve"> attached to </w:t>
      </w:r>
      <w:proofErr w:type="spellStart"/>
      <w:r w:rsidR="002F30DD">
        <w:rPr>
          <w:rFonts w:ascii="Times New Roman" w:hAnsi="Times New Roman"/>
          <w:sz w:val="28"/>
          <w:szCs w:val="28"/>
        </w:rPr>
        <w:t>Seartec’s</w:t>
      </w:r>
      <w:proofErr w:type="spellEnd"/>
      <w:r w:rsidR="002F30DD">
        <w:rPr>
          <w:rFonts w:ascii="Times New Roman" w:hAnsi="Times New Roman"/>
          <w:sz w:val="28"/>
          <w:szCs w:val="28"/>
        </w:rPr>
        <w:t xml:space="preserve"> answering affidavit in these proceedings. </w:t>
      </w:r>
      <w:r w:rsidR="00A772B3">
        <w:rPr>
          <w:rFonts w:ascii="Times New Roman" w:hAnsi="Times New Roman"/>
          <w:sz w:val="28"/>
          <w:szCs w:val="28"/>
        </w:rPr>
        <w:t>In reply, the applicant has not disputed having signed the agreement and</w:t>
      </w:r>
      <w:r w:rsidR="00B14061">
        <w:rPr>
          <w:rFonts w:ascii="Times New Roman" w:hAnsi="Times New Roman"/>
          <w:sz w:val="28"/>
          <w:szCs w:val="28"/>
        </w:rPr>
        <w:t xml:space="preserve"> contends herself by merely stating </w:t>
      </w:r>
      <w:r w:rsidR="00A772B3">
        <w:rPr>
          <w:rFonts w:ascii="Times New Roman" w:hAnsi="Times New Roman"/>
          <w:sz w:val="28"/>
          <w:szCs w:val="28"/>
        </w:rPr>
        <w:t xml:space="preserve">that she </w:t>
      </w:r>
      <w:r w:rsidR="00B14061">
        <w:rPr>
          <w:rFonts w:ascii="Times New Roman" w:hAnsi="Times New Roman"/>
          <w:sz w:val="28"/>
          <w:szCs w:val="28"/>
        </w:rPr>
        <w:t>has</w:t>
      </w:r>
      <w:r w:rsidR="00A772B3">
        <w:rPr>
          <w:rFonts w:ascii="Times New Roman" w:hAnsi="Times New Roman"/>
          <w:sz w:val="28"/>
          <w:szCs w:val="28"/>
        </w:rPr>
        <w:t xml:space="preserve"> noted the contents of the paragraph in the answering papers where reference is made to the agreement.</w:t>
      </w:r>
    </w:p>
    <w:p w14:paraId="01A1CB0E" w14:textId="23C51F42" w:rsidR="005C384F" w:rsidRDefault="00AC5739" w:rsidP="00AC5739">
      <w:pPr>
        <w:pStyle w:val="LegalList1"/>
        <w:spacing w:line="360" w:lineRule="auto"/>
        <w:ind w:left="851" w:hanging="851"/>
        <w:rPr>
          <w:rFonts w:ascii="Times New Roman" w:hAnsi="Times New Roman"/>
          <w:sz w:val="28"/>
          <w:szCs w:val="28"/>
        </w:rPr>
      </w:pPr>
      <w:r>
        <w:rPr>
          <w:rFonts w:ascii="Times New Roman" w:hAnsi="Times New Roman"/>
          <w:sz w:val="28"/>
          <w:szCs w:val="28"/>
        </w:rPr>
        <w:t>[16]</w:t>
      </w:r>
      <w:r>
        <w:rPr>
          <w:rFonts w:ascii="Times New Roman" w:hAnsi="Times New Roman"/>
          <w:sz w:val="28"/>
          <w:szCs w:val="28"/>
        </w:rPr>
        <w:tab/>
      </w:r>
      <w:r w:rsidR="005C384F">
        <w:rPr>
          <w:rFonts w:ascii="Times New Roman" w:hAnsi="Times New Roman"/>
          <w:sz w:val="28"/>
          <w:szCs w:val="28"/>
        </w:rPr>
        <w:t xml:space="preserve">Rule 4(1)(a)(iv) of the </w:t>
      </w:r>
      <w:r w:rsidR="00971432">
        <w:rPr>
          <w:rFonts w:ascii="Times New Roman" w:hAnsi="Times New Roman"/>
          <w:sz w:val="28"/>
          <w:szCs w:val="28"/>
        </w:rPr>
        <w:t>uniform rules of court make</w:t>
      </w:r>
      <w:r w:rsidR="005C384F">
        <w:rPr>
          <w:rFonts w:ascii="Times New Roman" w:hAnsi="Times New Roman"/>
          <w:sz w:val="28"/>
          <w:szCs w:val="28"/>
        </w:rPr>
        <w:t>s</w:t>
      </w:r>
      <w:r w:rsidR="00971432">
        <w:rPr>
          <w:rFonts w:ascii="Times New Roman" w:hAnsi="Times New Roman"/>
          <w:sz w:val="28"/>
          <w:szCs w:val="28"/>
        </w:rPr>
        <w:t xml:space="preserve"> provision that service of process shall be </w:t>
      </w:r>
      <w:proofErr w:type="gramStart"/>
      <w:r w:rsidR="00971432">
        <w:rPr>
          <w:rFonts w:ascii="Times New Roman" w:hAnsi="Times New Roman"/>
          <w:sz w:val="28"/>
          <w:szCs w:val="28"/>
        </w:rPr>
        <w:t>effected</w:t>
      </w:r>
      <w:proofErr w:type="gramEnd"/>
      <w:r w:rsidR="00971432">
        <w:rPr>
          <w:rFonts w:ascii="Times New Roman" w:hAnsi="Times New Roman"/>
          <w:sz w:val="28"/>
          <w:szCs w:val="28"/>
        </w:rPr>
        <w:t xml:space="preserve"> ‘if the person so to be served has chosen a</w:t>
      </w:r>
      <w:r w:rsidR="00883DE9">
        <w:rPr>
          <w:rFonts w:ascii="Times New Roman" w:hAnsi="Times New Roman"/>
          <w:sz w:val="28"/>
          <w:szCs w:val="28"/>
        </w:rPr>
        <w:t xml:space="preserve"> </w:t>
      </w:r>
      <w:proofErr w:type="spellStart"/>
      <w:r w:rsidR="00883DE9">
        <w:rPr>
          <w:rFonts w:ascii="Times New Roman" w:hAnsi="Times New Roman"/>
          <w:i/>
          <w:sz w:val="28"/>
          <w:szCs w:val="28"/>
        </w:rPr>
        <w:t>domicilium</w:t>
      </w:r>
      <w:proofErr w:type="spellEnd"/>
      <w:r w:rsidR="00883DE9">
        <w:rPr>
          <w:rFonts w:ascii="Times New Roman" w:hAnsi="Times New Roman"/>
          <w:i/>
          <w:sz w:val="28"/>
          <w:szCs w:val="28"/>
        </w:rPr>
        <w:t xml:space="preserve"> </w:t>
      </w:r>
      <w:proofErr w:type="spellStart"/>
      <w:r w:rsidR="00883DE9">
        <w:rPr>
          <w:rFonts w:ascii="Times New Roman" w:hAnsi="Times New Roman"/>
          <w:i/>
          <w:sz w:val="28"/>
          <w:szCs w:val="28"/>
        </w:rPr>
        <w:t>citandi</w:t>
      </w:r>
      <w:proofErr w:type="spellEnd"/>
      <w:r w:rsidR="00971432">
        <w:rPr>
          <w:rFonts w:ascii="Times New Roman" w:hAnsi="Times New Roman"/>
          <w:sz w:val="28"/>
          <w:szCs w:val="28"/>
        </w:rPr>
        <w:t xml:space="preserve">, by delivering or leaving a copy thereof at the </w:t>
      </w:r>
      <w:proofErr w:type="spellStart"/>
      <w:r w:rsidR="00971432" w:rsidRPr="00883DE9">
        <w:rPr>
          <w:rFonts w:ascii="Times New Roman" w:hAnsi="Times New Roman"/>
          <w:i/>
          <w:sz w:val="28"/>
          <w:szCs w:val="28"/>
        </w:rPr>
        <w:t>domicilium</w:t>
      </w:r>
      <w:proofErr w:type="spellEnd"/>
      <w:r w:rsidR="00971432">
        <w:rPr>
          <w:rFonts w:ascii="Times New Roman" w:hAnsi="Times New Roman"/>
          <w:sz w:val="28"/>
          <w:szCs w:val="28"/>
        </w:rPr>
        <w:t xml:space="preserve"> so chosen</w:t>
      </w:r>
      <w:r w:rsidR="00883DE9">
        <w:rPr>
          <w:rFonts w:ascii="Times New Roman" w:hAnsi="Times New Roman"/>
          <w:sz w:val="28"/>
          <w:szCs w:val="28"/>
        </w:rPr>
        <w:t>’</w:t>
      </w:r>
      <w:r w:rsidR="00971432">
        <w:rPr>
          <w:rFonts w:ascii="Times New Roman" w:hAnsi="Times New Roman"/>
          <w:sz w:val="28"/>
          <w:szCs w:val="28"/>
        </w:rPr>
        <w:t>.</w:t>
      </w:r>
    </w:p>
    <w:p w14:paraId="36F78C29" w14:textId="36EC56A7" w:rsidR="00971432" w:rsidRDefault="00AC5739" w:rsidP="00AC5739">
      <w:pPr>
        <w:pStyle w:val="LegalList1"/>
        <w:spacing w:line="360" w:lineRule="auto"/>
        <w:ind w:left="851" w:hanging="851"/>
        <w:rPr>
          <w:rFonts w:ascii="Times New Roman" w:hAnsi="Times New Roman"/>
          <w:sz w:val="28"/>
          <w:szCs w:val="28"/>
        </w:rPr>
      </w:pPr>
      <w:r>
        <w:rPr>
          <w:rFonts w:ascii="Times New Roman" w:hAnsi="Times New Roman"/>
          <w:sz w:val="28"/>
          <w:szCs w:val="28"/>
        </w:rPr>
        <w:t>[17]</w:t>
      </w:r>
      <w:r>
        <w:rPr>
          <w:rFonts w:ascii="Times New Roman" w:hAnsi="Times New Roman"/>
          <w:sz w:val="28"/>
          <w:szCs w:val="28"/>
        </w:rPr>
        <w:tab/>
      </w:r>
      <w:r w:rsidR="00883DE9">
        <w:rPr>
          <w:rFonts w:ascii="Times New Roman" w:hAnsi="Times New Roman"/>
          <w:sz w:val="28"/>
          <w:szCs w:val="28"/>
        </w:rPr>
        <w:t xml:space="preserve">It is not disputed that service of the summons was </w:t>
      </w:r>
      <w:proofErr w:type="gramStart"/>
      <w:r w:rsidR="00883DE9">
        <w:rPr>
          <w:rFonts w:ascii="Times New Roman" w:hAnsi="Times New Roman"/>
          <w:sz w:val="28"/>
          <w:szCs w:val="28"/>
        </w:rPr>
        <w:t>effected</w:t>
      </w:r>
      <w:proofErr w:type="gramEnd"/>
      <w:r w:rsidR="00883DE9">
        <w:rPr>
          <w:rFonts w:ascii="Times New Roman" w:hAnsi="Times New Roman"/>
          <w:sz w:val="28"/>
          <w:szCs w:val="28"/>
        </w:rPr>
        <w:t xml:space="preserve"> </w:t>
      </w:r>
      <w:r w:rsidR="00F93C06">
        <w:rPr>
          <w:rFonts w:ascii="Times New Roman" w:hAnsi="Times New Roman"/>
          <w:sz w:val="28"/>
          <w:szCs w:val="28"/>
        </w:rPr>
        <w:t xml:space="preserve">by the sheriff on 27 November 2019 on the applicant’s son, </w:t>
      </w:r>
      <w:proofErr w:type="spellStart"/>
      <w:r w:rsidR="00F93C06">
        <w:rPr>
          <w:rFonts w:ascii="Times New Roman" w:hAnsi="Times New Roman"/>
          <w:sz w:val="28"/>
          <w:szCs w:val="28"/>
        </w:rPr>
        <w:t>Ntsikelelo</w:t>
      </w:r>
      <w:proofErr w:type="spellEnd"/>
      <w:r w:rsidR="00F93C06">
        <w:rPr>
          <w:rFonts w:ascii="Times New Roman" w:hAnsi="Times New Roman"/>
          <w:sz w:val="28"/>
          <w:szCs w:val="28"/>
        </w:rPr>
        <w:t xml:space="preserve"> </w:t>
      </w:r>
      <w:proofErr w:type="spellStart"/>
      <w:r w:rsidR="00F93C06">
        <w:rPr>
          <w:rFonts w:ascii="Times New Roman" w:hAnsi="Times New Roman"/>
          <w:sz w:val="28"/>
          <w:szCs w:val="28"/>
        </w:rPr>
        <w:t>Matebese</w:t>
      </w:r>
      <w:proofErr w:type="spellEnd"/>
      <w:r w:rsidR="00F93C06">
        <w:rPr>
          <w:rFonts w:ascii="Times New Roman" w:hAnsi="Times New Roman"/>
          <w:sz w:val="28"/>
          <w:szCs w:val="28"/>
        </w:rPr>
        <w:t xml:space="preserve"> (the second defendant in the main action), </w:t>
      </w:r>
      <w:r w:rsidR="00883DE9">
        <w:rPr>
          <w:rFonts w:ascii="Times New Roman" w:hAnsi="Times New Roman"/>
          <w:sz w:val="28"/>
          <w:szCs w:val="28"/>
        </w:rPr>
        <w:t xml:space="preserve">at the </w:t>
      </w:r>
      <w:r w:rsidR="000E2586">
        <w:rPr>
          <w:rFonts w:ascii="Times New Roman" w:hAnsi="Times New Roman"/>
          <w:sz w:val="28"/>
          <w:szCs w:val="28"/>
        </w:rPr>
        <w:t xml:space="preserve">applicant’s </w:t>
      </w:r>
      <w:r w:rsidR="00883DE9">
        <w:rPr>
          <w:rFonts w:ascii="Times New Roman" w:hAnsi="Times New Roman"/>
          <w:sz w:val="28"/>
          <w:szCs w:val="28"/>
        </w:rPr>
        <w:t xml:space="preserve">chosen, </w:t>
      </w:r>
      <w:proofErr w:type="spellStart"/>
      <w:r w:rsidR="00883DE9" w:rsidRPr="00883DE9">
        <w:rPr>
          <w:rFonts w:ascii="Times New Roman" w:hAnsi="Times New Roman"/>
          <w:i/>
          <w:sz w:val="28"/>
          <w:szCs w:val="28"/>
        </w:rPr>
        <w:t>domicilium</w:t>
      </w:r>
      <w:proofErr w:type="spellEnd"/>
      <w:r w:rsidR="000E2586">
        <w:rPr>
          <w:rFonts w:ascii="Times New Roman" w:hAnsi="Times New Roman"/>
          <w:sz w:val="28"/>
          <w:szCs w:val="28"/>
        </w:rPr>
        <w:t>.</w:t>
      </w:r>
      <w:r w:rsidR="005C384F">
        <w:rPr>
          <w:rFonts w:ascii="Times New Roman" w:hAnsi="Times New Roman"/>
          <w:sz w:val="28"/>
          <w:szCs w:val="28"/>
        </w:rPr>
        <w:t xml:space="preserve"> The applicant’s complaint</w:t>
      </w:r>
      <w:r w:rsidR="00861F0A">
        <w:rPr>
          <w:rFonts w:ascii="Times New Roman" w:hAnsi="Times New Roman"/>
          <w:sz w:val="28"/>
          <w:szCs w:val="28"/>
        </w:rPr>
        <w:t>,</w:t>
      </w:r>
      <w:r w:rsidR="005C384F">
        <w:rPr>
          <w:rFonts w:ascii="Times New Roman" w:hAnsi="Times New Roman"/>
          <w:sz w:val="28"/>
          <w:szCs w:val="28"/>
        </w:rPr>
        <w:t xml:space="preserve"> however</w:t>
      </w:r>
      <w:r w:rsidR="00861F0A">
        <w:rPr>
          <w:rFonts w:ascii="Times New Roman" w:hAnsi="Times New Roman"/>
          <w:sz w:val="28"/>
          <w:szCs w:val="28"/>
        </w:rPr>
        <w:t>,</w:t>
      </w:r>
      <w:r w:rsidR="005C384F">
        <w:rPr>
          <w:rFonts w:ascii="Times New Roman" w:hAnsi="Times New Roman"/>
          <w:sz w:val="28"/>
          <w:szCs w:val="28"/>
        </w:rPr>
        <w:t xml:space="preserve"> is that service was not </w:t>
      </w:r>
      <w:proofErr w:type="gramStart"/>
      <w:r w:rsidR="005C384F">
        <w:rPr>
          <w:rFonts w:ascii="Times New Roman" w:hAnsi="Times New Roman"/>
          <w:sz w:val="28"/>
          <w:szCs w:val="28"/>
        </w:rPr>
        <w:t>effected</w:t>
      </w:r>
      <w:proofErr w:type="gramEnd"/>
      <w:r w:rsidR="005C384F">
        <w:rPr>
          <w:rFonts w:ascii="Times New Roman" w:hAnsi="Times New Roman"/>
          <w:sz w:val="28"/>
          <w:szCs w:val="28"/>
        </w:rPr>
        <w:t xml:space="preserve"> upon her and accordingly she was unaware of the action proceedings.</w:t>
      </w:r>
      <w:r w:rsidR="008E6689">
        <w:rPr>
          <w:rFonts w:ascii="Times New Roman" w:hAnsi="Times New Roman"/>
          <w:sz w:val="28"/>
          <w:szCs w:val="28"/>
        </w:rPr>
        <w:t xml:space="preserve"> In that regard there are two observations that require comment.</w:t>
      </w:r>
    </w:p>
    <w:p w14:paraId="51C8E3F3" w14:textId="73C71137" w:rsidR="000E2586" w:rsidRDefault="00AC5739" w:rsidP="00AC5739">
      <w:pPr>
        <w:pStyle w:val="LegalList1"/>
        <w:spacing w:line="360" w:lineRule="auto"/>
        <w:ind w:left="851" w:hanging="851"/>
        <w:rPr>
          <w:rFonts w:ascii="Times New Roman" w:hAnsi="Times New Roman"/>
          <w:sz w:val="28"/>
          <w:szCs w:val="28"/>
        </w:rPr>
      </w:pPr>
      <w:r>
        <w:rPr>
          <w:rFonts w:ascii="Times New Roman" w:hAnsi="Times New Roman"/>
          <w:sz w:val="28"/>
          <w:szCs w:val="28"/>
        </w:rPr>
        <w:t>[18]</w:t>
      </w:r>
      <w:r>
        <w:rPr>
          <w:rFonts w:ascii="Times New Roman" w:hAnsi="Times New Roman"/>
          <w:sz w:val="28"/>
          <w:szCs w:val="28"/>
        </w:rPr>
        <w:tab/>
      </w:r>
      <w:r w:rsidR="008E6689">
        <w:rPr>
          <w:rFonts w:ascii="Times New Roman" w:hAnsi="Times New Roman"/>
          <w:sz w:val="28"/>
          <w:szCs w:val="28"/>
        </w:rPr>
        <w:t>Firstly,</w:t>
      </w:r>
      <w:r w:rsidR="008E6689" w:rsidRPr="008E6689">
        <w:rPr>
          <w:rFonts w:ascii="Times New Roman" w:hAnsi="Times New Roman"/>
          <w:sz w:val="28"/>
          <w:szCs w:val="28"/>
        </w:rPr>
        <w:t xml:space="preserve"> </w:t>
      </w:r>
      <w:r w:rsidR="006B1A64">
        <w:rPr>
          <w:rFonts w:ascii="Times New Roman" w:hAnsi="Times New Roman"/>
          <w:sz w:val="28"/>
          <w:szCs w:val="28"/>
        </w:rPr>
        <w:t xml:space="preserve">rule </w:t>
      </w:r>
      <w:r w:rsidR="008E6689">
        <w:rPr>
          <w:rFonts w:ascii="Times New Roman" w:hAnsi="Times New Roman"/>
          <w:sz w:val="28"/>
          <w:szCs w:val="28"/>
        </w:rPr>
        <w:t>4(1)(a)(iv) does not require personal service.</w:t>
      </w:r>
      <w:r w:rsidR="006F0E59">
        <w:rPr>
          <w:rFonts w:ascii="Times New Roman" w:hAnsi="Times New Roman"/>
          <w:sz w:val="28"/>
          <w:szCs w:val="28"/>
        </w:rPr>
        <w:t xml:space="preserve"> It is a well-established practice which is recognised by the rule that, if a defendant </w:t>
      </w:r>
      <w:r w:rsidR="006F0E59">
        <w:rPr>
          <w:rFonts w:ascii="Times New Roman" w:hAnsi="Times New Roman"/>
          <w:sz w:val="28"/>
          <w:szCs w:val="28"/>
        </w:rPr>
        <w:lastRenderedPageBreak/>
        <w:t xml:space="preserve">has chosen a </w:t>
      </w:r>
      <w:proofErr w:type="spellStart"/>
      <w:r w:rsidR="006F0E59" w:rsidRPr="00F359A1">
        <w:rPr>
          <w:rFonts w:ascii="Times New Roman" w:hAnsi="Times New Roman"/>
          <w:i/>
          <w:sz w:val="28"/>
          <w:szCs w:val="28"/>
        </w:rPr>
        <w:t>domicilium</w:t>
      </w:r>
      <w:proofErr w:type="spellEnd"/>
      <w:r w:rsidR="006F0E59" w:rsidRPr="00F359A1">
        <w:rPr>
          <w:rFonts w:ascii="Times New Roman" w:hAnsi="Times New Roman"/>
          <w:i/>
          <w:sz w:val="28"/>
          <w:szCs w:val="28"/>
        </w:rPr>
        <w:t xml:space="preserve"> </w:t>
      </w:r>
      <w:proofErr w:type="spellStart"/>
      <w:r w:rsidR="006F0E59" w:rsidRPr="00F359A1">
        <w:rPr>
          <w:rFonts w:ascii="Times New Roman" w:hAnsi="Times New Roman"/>
          <w:i/>
          <w:sz w:val="28"/>
          <w:szCs w:val="28"/>
        </w:rPr>
        <w:t>citandi</w:t>
      </w:r>
      <w:proofErr w:type="spellEnd"/>
      <w:r w:rsidR="006F0E59">
        <w:rPr>
          <w:rFonts w:ascii="Times New Roman" w:hAnsi="Times New Roman"/>
          <w:sz w:val="28"/>
          <w:szCs w:val="28"/>
        </w:rPr>
        <w:t>,</w:t>
      </w:r>
      <w:r w:rsidR="00F359A1">
        <w:rPr>
          <w:rFonts w:ascii="Times New Roman" w:hAnsi="Times New Roman"/>
          <w:sz w:val="28"/>
          <w:szCs w:val="28"/>
        </w:rPr>
        <w:t xml:space="preserve"> service of </w:t>
      </w:r>
      <w:r w:rsidR="00A84B4E">
        <w:rPr>
          <w:rFonts w:ascii="Times New Roman" w:hAnsi="Times New Roman"/>
          <w:sz w:val="28"/>
          <w:szCs w:val="28"/>
        </w:rPr>
        <w:t xml:space="preserve">legal </w:t>
      </w:r>
      <w:r w:rsidR="00F359A1">
        <w:rPr>
          <w:rFonts w:ascii="Times New Roman" w:hAnsi="Times New Roman"/>
          <w:sz w:val="28"/>
          <w:szCs w:val="28"/>
        </w:rPr>
        <w:t xml:space="preserve">process </w:t>
      </w:r>
      <w:r w:rsidR="00483E01">
        <w:rPr>
          <w:rFonts w:ascii="Times New Roman" w:hAnsi="Times New Roman"/>
          <w:sz w:val="28"/>
          <w:szCs w:val="28"/>
        </w:rPr>
        <w:t xml:space="preserve">in judicial proceedings </w:t>
      </w:r>
      <w:r w:rsidR="00443F16">
        <w:rPr>
          <w:rFonts w:ascii="Times New Roman" w:hAnsi="Times New Roman"/>
          <w:sz w:val="28"/>
          <w:szCs w:val="28"/>
        </w:rPr>
        <w:t xml:space="preserve">at </w:t>
      </w:r>
      <w:r w:rsidR="00F359A1">
        <w:rPr>
          <w:rFonts w:ascii="Times New Roman" w:hAnsi="Times New Roman"/>
          <w:sz w:val="28"/>
          <w:szCs w:val="28"/>
        </w:rPr>
        <w:t>such place will be good, even though it be a vacant piece of ground</w:t>
      </w:r>
      <w:r w:rsidR="000E2586">
        <w:rPr>
          <w:rFonts w:ascii="Times New Roman" w:hAnsi="Times New Roman"/>
          <w:sz w:val="28"/>
          <w:szCs w:val="28"/>
        </w:rPr>
        <w:t>,</w:t>
      </w:r>
      <w:r w:rsidR="00F359A1">
        <w:rPr>
          <w:rFonts w:ascii="Times New Roman" w:hAnsi="Times New Roman"/>
          <w:sz w:val="28"/>
          <w:szCs w:val="28"/>
        </w:rPr>
        <w:t xml:space="preserve"> or the defendant is </w:t>
      </w:r>
      <w:r w:rsidR="00A84B4E">
        <w:rPr>
          <w:rFonts w:ascii="Times New Roman" w:hAnsi="Times New Roman"/>
          <w:sz w:val="28"/>
          <w:szCs w:val="28"/>
        </w:rPr>
        <w:t xml:space="preserve">not present at the time, or </w:t>
      </w:r>
      <w:r w:rsidR="00F359A1">
        <w:rPr>
          <w:rFonts w:ascii="Times New Roman" w:hAnsi="Times New Roman"/>
          <w:sz w:val="28"/>
          <w:szCs w:val="28"/>
        </w:rPr>
        <w:t>known to be elsewhere</w:t>
      </w:r>
      <w:r w:rsidR="00A84B4E">
        <w:rPr>
          <w:rFonts w:ascii="Times New Roman" w:hAnsi="Times New Roman"/>
          <w:sz w:val="28"/>
          <w:szCs w:val="28"/>
        </w:rPr>
        <w:t>,</w:t>
      </w:r>
      <w:r w:rsidR="00F359A1">
        <w:rPr>
          <w:rFonts w:ascii="Times New Roman" w:hAnsi="Times New Roman"/>
          <w:sz w:val="28"/>
          <w:szCs w:val="28"/>
        </w:rPr>
        <w:t xml:space="preserve"> or has abandoned the property</w:t>
      </w:r>
      <w:r w:rsidR="00A84B4E">
        <w:rPr>
          <w:rFonts w:ascii="Times New Roman" w:hAnsi="Times New Roman"/>
          <w:sz w:val="28"/>
          <w:szCs w:val="28"/>
        </w:rPr>
        <w:t>,</w:t>
      </w:r>
      <w:r w:rsidR="00F359A1">
        <w:rPr>
          <w:rFonts w:ascii="Times New Roman" w:hAnsi="Times New Roman"/>
          <w:sz w:val="28"/>
          <w:szCs w:val="28"/>
        </w:rPr>
        <w:t xml:space="preserve"> or cannot be found.</w:t>
      </w:r>
      <w:r w:rsidR="00F359A1">
        <w:rPr>
          <w:rStyle w:val="FootnoteReference"/>
          <w:rFonts w:ascii="Times New Roman" w:hAnsi="Times New Roman"/>
          <w:sz w:val="28"/>
          <w:szCs w:val="28"/>
        </w:rPr>
        <w:footnoteReference w:id="5"/>
      </w:r>
      <w:r w:rsidR="00177A9B">
        <w:rPr>
          <w:rFonts w:ascii="Times New Roman" w:hAnsi="Times New Roman"/>
          <w:sz w:val="28"/>
          <w:szCs w:val="28"/>
        </w:rPr>
        <w:t xml:space="preserve"> T</w:t>
      </w:r>
      <w:r w:rsidR="00E9248D">
        <w:rPr>
          <w:rFonts w:ascii="Times New Roman" w:hAnsi="Times New Roman"/>
          <w:sz w:val="28"/>
          <w:szCs w:val="28"/>
        </w:rPr>
        <w:t xml:space="preserve">he very purpose of a choice of </w:t>
      </w:r>
      <w:proofErr w:type="spellStart"/>
      <w:r w:rsidR="00E9248D" w:rsidRPr="00177A9B">
        <w:rPr>
          <w:rFonts w:ascii="Times New Roman" w:hAnsi="Times New Roman"/>
          <w:i/>
          <w:sz w:val="28"/>
          <w:szCs w:val="28"/>
        </w:rPr>
        <w:t>domicilium</w:t>
      </w:r>
      <w:proofErr w:type="spellEnd"/>
      <w:r w:rsidR="00E9248D">
        <w:rPr>
          <w:rFonts w:ascii="Times New Roman" w:hAnsi="Times New Roman"/>
          <w:sz w:val="28"/>
          <w:szCs w:val="28"/>
        </w:rPr>
        <w:t xml:space="preserve"> is to relieve the party causing service of the process from the burden of proving actual receipt.</w:t>
      </w:r>
    </w:p>
    <w:p w14:paraId="22DDCB87" w14:textId="213E72CE" w:rsidR="008E6689" w:rsidRPr="00A9497F" w:rsidRDefault="00AC5739" w:rsidP="00AC5739">
      <w:pPr>
        <w:pStyle w:val="LegalList1"/>
        <w:spacing w:line="360" w:lineRule="auto"/>
        <w:ind w:left="851" w:hanging="851"/>
        <w:rPr>
          <w:rFonts w:ascii="Times New Roman" w:hAnsi="Times New Roman"/>
          <w:sz w:val="28"/>
          <w:szCs w:val="28"/>
        </w:rPr>
      </w:pPr>
      <w:r w:rsidRPr="00A9497F">
        <w:rPr>
          <w:rFonts w:ascii="Times New Roman" w:hAnsi="Times New Roman"/>
          <w:sz w:val="28"/>
          <w:szCs w:val="28"/>
        </w:rPr>
        <w:t>[19]</w:t>
      </w:r>
      <w:r w:rsidRPr="00A9497F">
        <w:rPr>
          <w:rFonts w:ascii="Times New Roman" w:hAnsi="Times New Roman"/>
          <w:sz w:val="28"/>
          <w:szCs w:val="28"/>
        </w:rPr>
        <w:tab/>
      </w:r>
      <w:r w:rsidR="000E2586">
        <w:rPr>
          <w:rFonts w:ascii="Times New Roman" w:hAnsi="Times New Roman"/>
          <w:sz w:val="28"/>
          <w:szCs w:val="28"/>
        </w:rPr>
        <w:t xml:space="preserve">Where service was </w:t>
      </w:r>
      <w:proofErr w:type="gramStart"/>
      <w:r w:rsidR="00177A9B">
        <w:rPr>
          <w:rFonts w:ascii="Times New Roman" w:hAnsi="Times New Roman"/>
          <w:sz w:val="28"/>
          <w:szCs w:val="28"/>
        </w:rPr>
        <w:t>effected</w:t>
      </w:r>
      <w:proofErr w:type="gramEnd"/>
      <w:r w:rsidR="00177A9B">
        <w:rPr>
          <w:rFonts w:ascii="Times New Roman" w:hAnsi="Times New Roman"/>
          <w:sz w:val="28"/>
          <w:szCs w:val="28"/>
        </w:rPr>
        <w:t xml:space="preserve"> on the applicant’s son</w:t>
      </w:r>
      <w:r w:rsidR="00D9426D">
        <w:rPr>
          <w:rFonts w:ascii="Times New Roman" w:hAnsi="Times New Roman"/>
          <w:sz w:val="28"/>
          <w:szCs w:val="28"/>
        </w:rPr>
        <w:t xml:space="preserve"> </w:t>
      </w:r>
      <w:r w:rsidR="00177A9B">
        <w:rPr>
          <w:rFonts w:ascii="Times New Roman" w:hAnsi="Times New Roman"/>
          <w:sz w:val="28"/>
          <w:szCs w:val="28"/>
        </w:rPr>
        <w:t>at her chosen</w:t>
      </w:r>
      <w:r w:rsidR="00177A9B" w:rsidRPr="00177A9B">
        <w:rPr>
          <w:rFonts w:ascii="Times New Roman" w:hAnsi="Times New Roman"/>
          <w:i/>
          <w:sz w:val="28"/>
          <w:szCs w:val="28"/>
        </w:rPr>
        <w:t xml:space="preserve"> </w:t>
      </w:r>
      <w:proofErr w:type="spellStart"/>
      <w:r w:rsidR="000E2586">
        <w:rPr>
          <w:rFonts w:ascii="Times New Roman" w:hAnsi="Times New Roman"/>
          <w:i/>
          <w:sz w:val="28"/>
          <w:szCs w:val="28"/>
        </w:rPr>
        <w:t>domicilium</w:t>
      </w:r>
      <w:proofErr w:type="spellEnd"/>
      <w:r w:rsidR="000E2586">
        <w:rPr>
          <w:rFonts w:ascii="Times New Roman" w:hAnsi="Times New Roman"/>
          <w:i/>
          <w:sz w:val="28"/>
          <w:szCs w:val="28"/>
        </w:rPr>
        <w:t xml:space="preserve">, </w:t>
      </w:r>
      <w:r w:rsidR="00296518" w:rsidRPr="00296518">
        <w:rPr>
          <w:rFonts w:ascii="Times New Roman" w:hAnsi="Times New Roman"/>
          <w:sz w:val="28"/>
          <w:szCs w:val="28"/>
        </w:rPr>
        <w:t xml:space="preserve">it was effective </w:t>
      </w:r>
      <w:r w:rsidR="00296518">
        <w:rPr>
          <w:rFonts w:ascii="Times New Roman" w:hAnsi="Times New Roman"/>
          <w:sz w:val="28"/>
          <w:szCs w:val="28"/>
        </w:rPr>
        <w:t xml:space="preserve">– </w:t>
      </w:r>
      <w:r w:rsidR="00296518" w:rsidRPr="00296518">
        <w:rPr>
          <w:rFonts w:ascii="Times New Roman" w:hAnsi="Times New Roman"/>
          <w:sz w:val="28"/>
          <w:szCs w:val="28"/>
        </w:rPr>
        <w:t xml:space="preserve">and </w:t>
      </w:r>
      <w:r w:rsidR="000E2586">
        <w:rPr>
          <w:rFonts w:ascii="Times New Roman" w:hAnsi="Times New Roman"/>
          <w:sz w:val="28"/>
          <w:szCs w:val="28"/>
        </w:rPr>
        <w:t>t</w:t>
      </w:r>
      <w:r w:rsidR="00A9497F" w:rsidRPr="00A9497F">
        <w:rPr>
          <w:rFonts w:ascii="Times New Roman" w:hAnsi="Times New Roman"/>
          <w:sz w:val="28"/>
          <w:szCs w:val="28"/>
        </w:rPr>
        <w:t xml:space="preserve">here is accordingly no room for contending that there was </w:t>
      </w:r>
      <w:r w:rsidR="00D9426D">
        <w:rPr>
          <w:rFonts w:ascii="Times New Roman" w:hAnsi="Times New Roman"/>
          <w:sz w:val="28"/>
          <w:szCs w:val="28"/>
        </w:rPr>
        <w:t>irr</w:t>
      </w:r>
      <w:r w:rsidR="00A9497F" w:rsidRPr="00A9497F">
        <w:rPr>
          <w:rFonts w:ascii="Times New Roman" w:hAnsi="Times New Roman"/>
          <w:sz w:val="28"/>
          <w:szCs w:val="28"/>
        </w:rPr>
        <w:t xml:space="preserve">egular service </w:t>
      </w:r>
      <w:r w:rsidR="00D036E6">
        <w:rPr>
          <w:rFonts w:ascii="Times New Roman" w:hAnsi="Times New Roman"/>
          <w:sz w:val="28"/>
          <w:szCs w:val="28"/>
        </w:rPr>
        <w:t xml:space="preserve">that occasioned a </w:t>
      </w:r>
      <w:r w:rsidR="00A9497F" w:rsidRPr="00A9497F">
        <w:rPr>
          <w:rFonts w:ascii="Times New Roman" w:hAnsi="Times New Roman"/>
          <w:sz w:val="28"/>
          <w:szCs w:val="28"/>
        </w:rPr>
        <w:t>default judgment being erroneously sought or granted against</w:t>
      </w:r>
      <w:r w:rsidR="00A9497F">
        <w:rPr>
          <w:rFonts w:ascii="Times New Roman" w:hAnsi="Times New Roman"/>
          <w:sz w:val="28"/>
          <w:szCs w:val="28"/>
        </w:rPr>
        <w:t xml:space="preserve"> her</w:t>
      </w:r>
      <w:r w:rsidR="00A9497F" w:rsidRPr="00A9497F">
        <w:rPr>
          <w:rFonts w:ascii="Times New Roman" w:hAnsi="Times New Roman"/>
          <w:sz w:val="28"/>
          <w:szCs w:val="28"/>
        </w:rPr>
        <w:t>.</w:t>
      </w:r>
    </w:p>
    <w:p w14:paraId="31D5C340" w14:textId="77777777" w:rsidR="00BD4BE0" w:rsidRPr="00BD4BE0" w:rsidRDefault="00BD4BE0" w:rsidP="00BD4BE0">
      <w:pPr>
        <w:pStyle w:val="LegalList1"/>
        <w:spacing w:line="360" w:lineRule="auto"/>
        <w:ind w:firstLine="720"/>
        <w:rPr>
          <w:rFonts w:ascii="Times New Roman" w:hAnsi="Times New Roman"/>
          <w:i/>
          <w:sz w:val="28"/>
          <w:szCs w:val="28"/>
        </w:rPr>
      </w:pPr>
      <w:r w:rsidRPr="00BD4BE0">
        <w:rPr>
          <w:rFonts w:ascii="Times New Roman" w:hAnsi="Times New Roman"/>
          <w:i/>
          <w:sz w:val="28"/>
          <w:szCs w:val="28"/>
        </w:rPr>
        <w:t>‘</w:t>
      </w:r>
      <w:proofErr w:type="gramStart"/>
      <w:r w:rsidRPr="00BD4BE0">
        <w:rPr>
          <w:rFonts w:ascii="Times New Roman" w:hAnsi="Times New Roman"/>
          <w:i/>
          <w:sz w:val="28"/>
          <w:szCs w:val="28"/>
        </w:rPr>
        <w:t>in</w:t>
      </w:r>
      <w:proofErr w:type="gramEnd"/>
      <w:r w:rsidRPr="00BD4BE0">
        <w:rPr>
          <w:rFonts w:ascii="Times New Roman" w:hAnsi="Times New Roman"/>
          <w:i/>
          <w:sz w:val="28"/>
          <w:szCs w:val="28"/>
        </w:rPr>
        <w:t xml:space="preserve"> the absence of any party affected thereby’</w:t>
      </w:r>
    </w:p>
    <w:p w14:paraId="70B0337B" w14:textId="3C4AEBA2" w:rsidR="00A61269" w:rsidRDefault="00AC5739" w:rsidP="00AC5739">
      <w:pPr>
        <w:pStyle w:val="LegalList1"/>
        <w:spacing w:line="360" w:lineRule="auto"/>
        <w:ind w:left="851" w:hanging="851"/>
        <w:rPr>
          <w:rFonts w:ascii="Times New Roman" w:hAnsi="Times New Roman"/>
          <w:sz w:val="28"/>
          <w:szCs w:val="28"/>
        </w:rPr>
      </w:pPr>
      <w:r>
        <w:rPr>
          <w:rFonts w:ascii="Times New Roman" w:hAnsi="Times New Roman"/>
          <w:sz w:val="28"/>
          <w:szCs w:val="28"/>
        </w:rPr>
        <w:t>[20]</w:t>
      </w:r>
      <w:r>
        <w:rPr>
          <w:rFonts w:ascii="Times New Roman" w:hAnsi="Times New Roman"/>
          <w:sz w:val="28"/>
          <w:szCs w:val="28"/>
        </w:rPr>
        <w:tab/>
      </w:r>
      <w:r w:rsidR="00177A9B">
        <w:rPr>
          <w:rFonts w:ascii="Times New Roman" w:hAnsi="Times New Roman"/>
          <w:sz w:val="28"/>
          <w:szCs w:val="28"/>
        </w:rPr>
        <w:t>Secondly,</w:t>
      </w:r>
      <w:r w:rsidR="00CC0473">
        <w:rPr>
          <w:rFonts w:ascii="Times New Roman" w:hAnsi="Times New Roman"/>
          <w:sz w:val="28"/>
          <w:szCs w:val="28"/>
        </w:rPr>
        <w:t xml:space="preserve"> the contention by the applicant that she was unaware of the proceedings </w:t>
      </w:r>
      <w:r w:rsidR="00CB4CAA">
        <w:rPr>
          <w:rFonts w:ascii="Times New Roman" w:hAnsi="Times New Roman"/>
          <w:sz w:val="28"/>
          <w:szCs w:val="28"/>
        </w:rPr>
        <w:t>is far-fetched</w:t>
      </w:r>
      <w:r w:rsidR="007A7226">
        <w:rPr>
          <w:rFonts w:ascii="Times New Roman" w:hAnsi="Times New Roman"/>
          <w:sz w:val="28"/>
          <w:szCs w:val="28"/>
        </w:rPr>
        <w:t xml:space="preserve"> </w:t>
      </w:r>
      <w:r w:rsidR="00CB4CAA">
        <w:rPr>
          <w:rFonts w:ascii="Times New Roman" w:hAnsi="Times New Roman"/>
          <w:sz w:val="28"/>
          <w:szCs w:val="28"/>
        </w:rPr>
        <w:t xml:space="preserve">and </w:t>
      </w:r>
      <w:r w:rsidR="00CC0473">
        <w:rPr>
          <w:rFonts w:ascii="Times New Roman" w:hAnsi="Times New Roman"/>
          <w:sz w:val="28"/>
          <w:szCs w:val="28"/>
        </w:rPr>
        <w:t>is not borne out by the fact that she does not deny that she was represented by the same firm of attorneys</w:t>
      </w:r>
      <w:r w:rsidR="00A33493">
        <w:rPr>
          <w:rFonts w:ascii="Times New Roman" w:hAnsi="Times New Roman"/>
          <w:sz w:val="28"/>
          <w:szCs w:val="28"/>
        </w:rPr>
        <w:t xml:space="preserve"> (</w:t>
      </w:r>
      <w:proofErr w:type="spellStart"/>
      <w:r w:rsidR="00A33493">
        <w:rPr>
          <w:rFonts w:ascii="Times New Roman" w:hAnsi="Times New Roman"/>
          <w:sz w:val="28"/>
          <w:szCs w:val="28"/>
        </w:rPr>
        <w:t>M</w:t>
      </w:r>
      <w:r w:rsidR="00780274">
        <w:rPr>
          <w:rFonts w:ascii="Times New Roman" w:hAnsi="Times New Roman"/>
          <w:sz w:val="28"/>
          <w:szCs w:val="28"/>
        </w:rPr>
        <w:t>qeke</w:t>
      </w:r>
      <w:proofErr w:type="spellEnd"/>
      <w:r w:rsidR="00A33493">
        <w:rPr>
          <w:rFonts w:ascii="Times New Roman" w:hAnsi="Times New Roman"/>
          <w:sz w:val="28"/>
          <w:szCs w:val="28"/>
        </w:rPr>
        <w:t>)</w:t>
      </w:r>
      <w:r w:rsidR="00CC0473">
        <w:rPr>
          <w:rFonts w:ascii="Times New Roman" w:hAnsi="Times New Roman"/>
          <w:sz w:val="28"/>
          <w:szCs w:val="28"/>
        </w:rPr>
        <w:t xml:space="preserve"> in the main action, the subsequent urgent </w:t>
      </w:r>
      <w:proofErr w:type="gramStart"/>
      <w:r w:rsidR="00CC0473">
        <w:rPr>
          <w:rFonts w:ascii="Times New Roman" w:hAnsi="Times New Roman"/>
          <w:sz w:val="28"/>
          <w:szCs w:val="28"/>
        </w:rPr>
        <w:t>proceedings</w:t>
      </w:r>
      <w:proofErr w:type="gramEnd"/>
      <w:r w:rsidR="00CC0473">
        <w:rPr>
          <w:rFonts w:ascii="Times New Roman" w:hAnsi="Times New Roman"/>
          <w:sz w:val="28"/>
          <w:szCs w:val="28"/>
        </w:rPr>
        <w:t xml:space="preserve"> and the re</w:t>
      </w:r>
      <w:r w:rsidR="00CB4CAA">
        <w:rPr>
          <w:rFonts w:ascii="Times New Roman" w:hAnsi="Times New Roman"/>
          <w:sz w:val="28"/>
          <w:szCs w:val="28"/>
        </w:rPr>
        <w:t>scission proceedings – all of which ensured under the same case number indicated in the heading to this judgment.</w:t>
      </w:r>
      <w:r w:rsidR="00780274">
        <w:rPr>
          <w:rFonts w:ascii="Times New Roman" w:hAnsi="Times New Roman"/>
          <w:sz w:val="28"/>
          <w:szCs w:val="28"/>
        </w:rPr>
        <w:t xml:space="preserve"> On this leg of the applicant’s case, </w:t>
      </w:r>
      <w:r w:rsidR="00802A0A">
        <w:rPr>
          <w:rFonts w:ascii="Times New Roman" w:hAnsi="Times New Roman"/>
          <w:sz w:val="28"/>
          <w:szCs w:val="28"/>
        </w:rPr>
        <w:t>her</w:t>
      </w:r>
      <w:r w:rsidR="00780274">
        <w:rPr>
          <w:rFonts w:ascii="Times New Roman" w:hAnsi="Times New Roman"/>
          <w:sz w:val="28"/>
          <w:szCs w:val="28"/>
        </w:rPr>
        <w:t xml:space="preserve"> protestations that she was unaware of the proceedings do not support a claim for rescission on the </w:t>
      </w:r>
      <w:r w:rsidR="00802A0A">
        <w:rPr>
          <w:rFonts w:ascii="Times New Roman" w:hAnsi="Times New Roman"/>
          <w:sz w:val="28"/>
          <w:szCs w:val="28"/>
        </w:rPr>
        <w:t>basis</w:t>
      </w:r>
      <w:r w:rsidR="00780274">
        <w:rPr>
          <w:rFonts w:ascii="Times New Roman" w:hAnsi="Times New Roman"/>
          <w:sz w:val="28"/>
          <w:szCs w:val="28"/>
        </w:rPr>
        <w:t xml:space="preserve"> that the default judgment was erroneously sought or granted </w:t>
      </w:r>
      <w:r w:rsidR="00133EB2">
        <w:rPr>
          <w:rFonts w:ascii="Times New Roman" w:hAnsi="Times New Roman"/>
          <w:sz w:val="28"/>
          <w:szCs w:val="28"/>
        </w:rPr>
        <w:t>in her absence</w:t>
      </w:r>
      <w:r w:rsidR="009B12AF">
        <w:rPr>
          <w:rFonts w:ascii="Times New Roman" w:hAnsi="Times New Roman"/>
          <w:sz w:val="28"/>
          <w:szCs w:val="28"/>
        </w:rPr>
        <w:t xml:space="preserve"> in circumstances where her erstwhile legal representatives (Attorneys </w:t>
      </w:r>
      <w:proofErr w:type="spellStart"/>
      <w:r w:rsidR="009B12AF">
        <w:rPr>
          <w:rFonts w:ascii="Times New Roman" w:hAnsi="Times New Roman"/>
          <w:sz w:val="28"/>
          <w:szCs w:val="28"/>
        </w:rPr>
        <w:t>Mqeke</w:t>
      </w:r>
      <w:proofErr w:type="spellEnd"/>
      <w:r w:rsidR="009B12AF">
        <w:rPr>
          <w:rFonts w:ascii="Times New Roman" w:hAnsi="Times New Roman"/>
          <w:sz w:val="28"/>
          <w:szCs w:val="28"/>
        </w:rPr>
        <w:t>) failed to file her supplementary affidavit timeously</w:t>
      </w:r>
      <w:r w:rsidR="00133EB2">
        <w:rPr>
          <w:rFonts w:ascii="Times New Roman" w:hAnsi="Times New Roman"/>
          <w:sz w:val="28"/>
          <w:szCs w:val="28"/>
        </w:rPr>
        <w:t>.</w:t>
      </w:r>
      <w:r w:rsidR="004A0D69">
        <w:rPr>
          <w:rFonts w:ascii="Times New Roman" w:hAnsi="Times New Roman"/>
          <w:sz w:val="28"/>
          <w:szCs w:val="28"/>
        </w:rPr>
        <w:t xml:space="preserve"> </w:t>
      </w:r>
      <w:r w:rsidR="009B12AF">
        <w:rPr>
          <w:rFonts w:ascii="Times New Roman" w:hAnsi="Times New Roman"/>
          <w:sz w:val="28"/>
          <w:szCs w:val="28"/>
        </w:rPr>
        <w:t xml:space="preserve">They </w:t>
      </w:r>
      <w:proofErr w:type="gramStart"/>
      <w:r w:rsidR="004A0D69">
        <w:rPr>
          <w:rFonts w:ascii="Times New Roman" w:hAnsi="Times New Roman"/>
          <w:sz w:val="28"/>
          <w:szCs w:val="28"/>
        </w:rPr>
        <w:t>were at all ti</w:t>
      </w:r>
      <w:r w:rsidR="00187226">
        <w:rPr>
          <w:rFonts w:ascii="Times New Roman" w:hAnsi="Times New Roman"/>
          <w:sz w:val="28"/>
          <w:szCs w:val="28"/>
        </w:rPr>
        <w:t>mes</w:t>
      </w:r>
      <w:proofErr w:type="gramEnd"/>
      <w:r w:rsidR="00187226">
        <w:rPr>
          <w:rFonts w:ascii="Times New Roman" w:hAnsi="Times New Roman"/>
          <w:sz w:val="28"/>
          <w:szCs w:val="28"/>
        </w:rPr>
        <w:t xml:space="preserve"> on record as acting for her; as </w:t>
      </w:r>
      <w:r w:rsidR="00187226">
        <w:rPr>
          <w:rFonts w:ascii="Times New Roman" w:hAnsi="Times New Roman"/>
          <w:sz w:val="28"/>
          <w:szCs w:val="28"/>
        </w:rPr>
        <w:lastRenderedPageBreak/>
        <w:t>such I doubt if she can be exonerated from the consequences of their tardiness.</w:t>
      </w:r>
    </w:p>
    <w:p w14:paraId="32B3EF98" w14:textId="6C881999" w:rsidR="00B27EF5" w:rsidRDefault="00AC5739" w:rsidP="00AC5739">
      <w:pPr>
        <w:pStyle w:val="LegalList1"/>
        <w:spacing w:line="360" w:lineRule="auto"/>
        <w:ind w:left="851" w:hanging="851"/>
        <w:rPr>
          <w:rFonts w:ascii="Times New Roman" w:hAnsi="Times New Roman"/>
          <w:sz w:val="28"/>
          <w:szCs w:val="28"/>
        </w:rPr>
      </w:pPr>
      <w:r>
        <w:rPr>
          <w:rFonts w:ascii="Times New Roman" w:hAnsi="Times New Roman"/>
          <w:sz w:val="28"/>
          <w:szCs w:val="28"/>
        </w:rPr>
        <w:t>[21]</w:t>
      </w:r>
      <w:r>
        <w:rPr>
          <w:rFonts w:ascii="Times New Roman" w:hAnsi="Times New Roman"/>
          <w:sz w:val="28"/>
          <w:szCs w:val="28"/>
        </w:rPr>
        <w:tab/>
      </w:r>
      <w:r w:rsidR="00802A0A">
        <w:rPr>
          <w:rFonts w:ascii="Times New Roman" w:hAnsi="Times New Roman"/>
          <w:sz w:val="28"/>
          <w:szCs w:val="28"/>
        </w:rPr>
        <w:t xml:space="preserve">As for the applicant’s causes of complaint occasioned by </w:t>
      </w:r>
      <w:proofErr w:type="spellStart"/>
      <w:r w:rsidR="00802A0A">
        <w:rPr>
          <w:rFonts w:ascii="Times New Roman" w:hAnsi="Times New Roman"/>
          <w:sz w:val="28"/>
          <w:szCs w:val="28"/>
        </w:rPr>
        <w:t>Seartec’s</w:t>
      </w:r>
      <w:proofErr w:type="spellEnd"/>
      <w:r w:rsidR="00802A0A">
        <w:rPr>
          <w:rFonts w:ascii="Times New Roman" w:hAnsi="Times New Roman"/>
          <w:sz w:val="28"/>
          <w:szCs w:val="28"/>
        </w:rPr>
        <w:t xml:space="preserve"> </w:t>
      </w:r>
      <w:r w:rsidR="00485443">
        <w:rPr>
          <w:rFonts w:ascii="Times New Roman" w:hAnsi="Times New Roman"/>
          <w:sz w:val="28"/>
          <w:szCs w:val="28"/>
        </w:rPr>
        <w:t xml:space="preserve">alleged </w:t>
      </w:r>
      <w:r w:rsidR="00802A0A">
        <w:rPr>
          <w:rFonts w:ascii="Times New Roman" w:hAnsi="Times New Roman"/>
          <w:sz w:val="28"/>
          <w:szCs w:val="28"/>
        </w:rPr>
        <w:t xml:space="preserve">non-compliance </w:t>
      </w:r>
      <w:r w:rsidR="00A61269">
        <w:rPr>
          <w:rFonts w:ascii="Times New Roman" w:hAnsi="Times New Roman"/>
          <w:sz w:val="28"/>
          <w:szCs w:val="28"/>
        </w:rPr>
        <w:t>with rule 18</w:t>
      </w:r>
      <w:r w:rsidR="00485443">
        <w:rPr>
          <w:rFonts w:ascii="Times New Roman" w:hAnsi="Times New Roman"/>
          <w:sz w:val="28"/>
          <w:szCs w:val="28"/>
        </w:rPr>
        <w:t xml:space="preserve">, I am not persuaded that it provides a sustainable basis for seeking </w:t>
      </w:r>
      <w:r w:rsidR="00A61269">
        <w:rPr>
          <w:rFonts w:ascii="Times New Roman" w:hAnsi="Times New Roman"/>
          <w:sz w:val="28"/>
          <w:szCs w:val="28"/>
        </w:rPr>
        <w:t xml:space="preserve">a rescission </w:t>
      </w:r>
      <w:r w:rsidR="0044565A">
        <w:rPr>
          <w:rFonts w:ascii="Times New Roman" w:hAnsi="Times New Roman"/>
          <w:sz w:val="28"/>
          <w:szCs w:val="28"/>
        </w:rPr>
        <w:t xml:space="preserve">under the jurisdiction of rule 42(1)(a). </w:t>
      </w:r>
      <w:r w:rsidR="00133EB2">
        <w:rPr>
          <w:rFonts w:ascii="Times New Roman" w:hAnsi="Times New Roman"/>
          <w:sz w:val="28"/>
          <w:szCs w:val="28"/>
        </w:rPr>
        <w:t>Non-compliance with rule 18 does not</w:t>
      </w:r>
      <w:r w:rsidR="008D7287">
        <w:rPr>
          <w:rFonts w:ascii="Times New Roman" w:hAnsi="Times New Roman"/>
          <w:sz w:val="28"/>
          <w:szCs w:val="28"/>
        </w:rPr>
        <w:t>,</w:t>
      </w:r>
      <w:r w:rsidR="00133EB2">
        <w:rPr>
          <w:rFonts w:ascii="Times New Roman" w:hAnsi="Times New Roman"/>
          <w:sz w:val="28"/>
          <w:szCs w:val="28"/>
        </w:rPr>
        <w:t xml:space="preserve"> in my view</w:t>
      </w:r>
      <w:r w:rsidR="008D7287">
        <w:rPr>
          <w:rFonts w:ascii="Times New Roman" w:hAnsi="Times New Roman"/>
          <w:sz w:val="28"/>
          <w:szCs w:val="28"/>
        </w:rPr>
        <w:t xml:space="preserve">, implicate the kind of error necessary for invoking the said rule. </w:t>
      </w:r>
      <w:r w:rsidR="00A61269">
        <w:rPr>
          <w:rFonts w:ascii="Times New Roman" w:hAnsi="Times New Roman"/>
          <w:sz w:val="28"/>
          <w:szCs w:val="28"/>
        </w:rPr>
        <w:t xml:space="preserve">Where </w:t>
      </w:r>
      <w:r w:rsidR="00C87FCF">
        <w:rPr>
          <w:rFonts w:ascii="Times New Roman" w:hAnsi="Times New Roman"/>
          <w:sz w:val="28"/>
          <w:szCs w:val="28"/>
        </w:rPr>
        <w:t xml:space="preserve">a party believes that </w:t>
      </w:r>
      <w:r w:rsidR="00A61269">
        <w:rPr>
          <w:rFonts w:ascii="Times New Roman" w:hAnsi="Times New Roman"/>
          <w:sz w:val="28"/>
          <w:szCs w:val="28"/>
        </w:rPr>
        <w:t>rule 18 has not been complied with</w:t>
      </w:r>
      <w:r w:rsidR="008D7287">
        <w:rPr>
          <w:rFonts w:ascii="Times New Roman" w:hAnsi="Times New Roman"/>
          <w:sz w:val="28"/>
          <w:szCs w:val="28"/>
        </w:rPr>
        <w:t>,</w:t>
      </w:r>
      <w:r w:rsidR="00A61269">
        <w:rPr>
          <w:rFonts w:ascii="Times New Roman" w:hAnsi="Times New Roman"/>
          <w:sz w:val="28"/>
          <w:szCs w:val="28"/>
        </w:rPr>
        <w:t xml:space="preserve"> </w:t>
      </w:r>
      <w:r w:rsidR="00C87FCF">
        <w:rPr>
          <w:rFonts w:ascii="Times New Roman" w:hAnsi="Times New Roman"/>
          <w:sz w:val="28"/>
          <w:szCs w:val="28"/>
        </w:rPr>
        <w:t xml:space="preserve">he or she </w:t>
      </w:r>
      <w:r w:rsidR="00A61269">
        <w:rPr>
          <w:rFonts w:ascii="Times New Roman" w:hAnsi="Times New Roman"/>
          <w:sz w:val="28"/>
          <w:szCs w:val="28"/>
        </w:rPr>
        <w:t>may either have recourse t</w:t>
      </w:r>
      <w:r w:rsidR="0044565A">
        <w:rPr>
          <w:rFonts w:ascii="Times New Roman" w:hAnsi="Times New Roman"/>
          <w:sz w:val="28"/>
          <w:szCs w:val="28"/>
        </w:rPr>
        <w:t>o rule 23</w:t>
      </w:r>
      <w:r w:rsidR="00C87FCF">
        <w:rPr>
          <w:rFonts w:ascii="Times New Roman" w:hAnsi="Times New Roman"/>
          <w:sz w:val="28"/>
          <w:szCs w:val="28"/>
        </w:rPr>
        <w:t>,</w:t>
      </w:r>
      <w:r w:rsidR="0044565A">
        <w:rPr>
          <w:rFonts w:ascii="Times New Roman" w:hAnsi="Times New Roman"/>
          <w:sz w:val="28"/>
          <w:szCs w:val="28"/>
        </w:rPr>
        <w:t xml:space="preserve"> alternatively rule 30 of the uniform rules of court.</w:t>
      </w:r>
      <w:r w:rsidR="00037371">
        <w:rPr>
          <w:rFonts w:ascii="Times New Roman" w:hAnsi="Times New Roman"/>
          <w:sz w:val="28"/>
          <w:szCs w:val="28"/>
        </w:rPr>
        <w:t xml:space="preserve"> Even if it may be assumed (without finding as such) that rule 18 had not been complied with, it was not legally incompetent for Smith J to have dismissed the rescission application that served before him.</w:t>
      </w:r>
    </w:p>
    <w:p w14:paraId="3BFB6213" w14:textId="77777777" w:rsidR="00B27EF5" w:rsidRPr="00A77999" w:rsidRDefault="009D0D79" w:rsidP="009D0D79">
      <w:pPr>
        <w:pStyle w:val="LegalList1"/>
        <w:spacing w:line="360" w:lineRule="auto"/>
        <w:ind w:left="131" w:firstLine="720"/>
        <w:rPr>
          <w:rFonts w:ascii="Times New Roman" w:hAnsi="Times New Roman"/>
          <w:sz w:val="28"/>
          <w:szCs w:val="28"/>
        </w:rPr>
      </w:pPr>
      <w:r>
        <w:rPr>
          <w:rFonts w:ascii="Times New Roman" w:hAnsi="Times New Roman"/>
          <w:sz w:val="28"/>
          <w:szCs w:val="28"/>
        </w:rPr>
        <w:t>CONDONATION</w:t>
      </w:r>
    </w:p>
    <w:p w14:paraId="35EE5429" w14:textId="2B9E21EC" w:rsidR="00B27EF5" w:rsidRDefault="00AC5739" w:rsidP="00AC5739">
      <w:pPr>
        <w:pStyle w:val="LegalList1"/>
        <w:spacing w:line="360" w:lineRule="auto"/>
        <w:ind w:left="851" w:hanging="851"/>
        <w:rPr>
          <w:rFonts w:ascii="Times New Roman" w:hAnsi="Times New Roman"/>
          <w:sz w:val="28"/>
          <w:szCs w:val="28"/>
        </w:rPr>
      </w:pPr>
      <w:r>
        <w:rPr>
          <w:rFonts w:ascii="Times New Roman" w:hAnsi="Times New Roman"/>
          <w:sz w:val="28"/>
          <w:szCs w:val="28"/>
        </w:rPr>
        <w:t>[22]</w:t>
      </w:r>
      <w:r>
        <w:rPr>
          <w:rFonts w:ascii="Times New Roman" w:hAnsi="Times New Roman"/>
          <w:sz w:val="28"/>
          <w:szCs w:val="28"/>
        </w:rPr>
        <w:tab/>
      </w:r>
      <w:r w:rsidR="009D0D79">
        <w:rPr>
          <w:rFonts w:ascii="Times New Roman" w:hAnsi="Times New Roman"/>
          <w:sz w:val="28"/>
          <w:szCs w:val="28"/>
        </w:rPr>
        <w:t>This is not a requi</w:t>
      </w:r>
      <w:r w:rsidR="00D51891">
        <w:rPr>
          <w:rFonts w:ascii="Times New Roman" w:hAnsi="Times New Roman"/>
          <w:sz w:val="28"/>
          <w:szCs w:val="28"/>
        </w:rPr>
        <w:t>site</w:t>
      </w:r>
      <w:r w:rsidR="009D0D79">
        <w:rPr>
          <w:rFonts w:ascii="Times New Roman" w:hAnsi="Times New Roman"/>
          <w:sz w:val="28"/>
          <w:szCs w:val="28"/>
        </w:rPr>
        <w:t xml:space="preserve"> under rule 42 but </w:t>
      </w:r>
      <w:r w:rsidR="009104DE">
        <w:rPr>
          <w:rFonts w:ascii="Times New Roman" w:hAnsi="Times New Roman"/>
          <w:sz w:val="28"/>
          <w:szCs w:val="28"/>
        </w:rPr>
        <w:t xml:space="preserve">is informed by the requirement of good cause </w:t>
      </w:r>
      <w:r w:rsidR="009D0D79">
        <w:rPr>
          <w:rFonts w:ascii="Times New Roman" w:hAnsi="Times New Roman"/>
          <w:sz w:val="28"/>
          <w:szCs w:val="28"/>
        </w:rPr>
        <w:t>under the common law</w:t>
      </w:r>
      <w:r w:rsidR="009104DE">
        <w:rPr>
          <w:rFonts w:ascii="Times New Roman" w:hAnsi="Times New Roman"/>
          <w:sz w:val="28"/>
          <w:szCs w:val="28"/>
        </w:rPr>
        <w:t xml:space="preserve">. </w:t>
      </w:r>
      <w:r w:rsidR="0009509C">
        <w:rPr>
          <w:rFonts w:ascii="Times New Roman" w:hAnsi="Times New Roman"/>
          <w:sz w:val="28"/>
          <w:szCs w:val="28"/>
        </w:rPr>
        <w:t>In either instance the discretion to entertain a delayed application necessarily involves the weighing of considerations of certainty and finality in legal proceedings as also the interests of justice.</w:t>
      </w:r>
      <w:r w:rsidR="0009509C">
        <w:rPr>
          <w:rStyle w:val="FootnoteReference"/>
          <w:sz w:val="25"/>
          <w:szCs w:val="25"/>
        </w:rPr>
        <w:footnoteReference w:id="6"/>
      </w:r>
      <w:r w:rsidR="0009509C">
        <w:rPr>
          <w:rFonts w:ascii="Times New Roman" w:hAnsi="Times New Roman"/>
          <w:sz w:val="28"/>
          <w:szCs w:val="28"/>
        </w:rPr>
        <w:t xml:space="preserve"> </w:t>
      </w:r>
      <w:r w:rsidR="00BD3673">
        <w:rPr>
          <w:rFonts w:ascii="Times New Roman" w:hAnsi="Times New Roman"/>
          <w:sz w:val="28"/>
          <w:szCs w:val="28"/>
        </w:rPr>
        <w:t>T</w:t>
      </w:r>
      <w:r w:rsidR="00214067">
        <w:rPr>
          <w:rFonts w:ascii="Times New Roman" w:hAnsi="Times New Roman"/>
          <w:sz w:val="28"/>
          <w:szCs w:val="28"/>
        </w:rPr>
        <w:t xml:space="preserve">he </w:t>
      </w:r>
      <w:r w:rsidR="00BD3673">
        <w:rPr>
          <w:rFonts w:ascii="Times New Roman" w:hAnsi="Times New Roman"/>
          <w:sz w:val="28"/>
          <w:szCs w:val="28"/>
        </w:rPr>
        <w:t>applicant</w:t>
      </w:r>
      <w:r w:rsidR="00A0726E">
        <w:rPr>
          <w:rFonts w:ascii="Times New Roman" w:hAnsi="Times New Roman"/>
          <w:sz w:val="28"/>
          <w:szCs w:val="28"/>
        </w:rPr>
        <w:t xml:space="preserve"> has given a </w:t>
      </w:r>
      <w:r w:rsidR="000C14C8">
        <w:rPr>
          <w:rFonts w:ascii="Times New Roman" w:hAnsi="Times New Roman"/>
          <w:sz w:val="28"/>
          <w:szCs w:val="28"/>
        </w:rPr>
        <w:t xml:space="preserve">slender </w:t>
      </w:r>
      <w:r w:rsidR="00BD3673">
        <w:rPr>
          <w:rFonts w:ascii="Times New Roman" w:hAnsi="Times New Roman"/>
          <w:sz w:val="28"/>
          <w:szCs w:val="28"/>
        </w:rPr>
        <w:t xml:space="preserve">explanation for the </w:t>
      </w:r>
      <w:r w:rsidR="00214067">
        <w:rPr>
          <w:rFonts w:ascii="Times New Roman" w:hAnsi="Times New Roman"/>
          <w:sz w:val="28"/>
          <w:szCs w:val="28"/>
        </w:rPr>
        <w:t>delay of some two months after delivery of the judgment by Smith J and the la</w:t>
      </w:r>
      <w:r w:rsidR="00BD3673">
        <w:rPr>
          <w:rFonts w:ascii="Times New Roman" w:hAnsi="Times New Roman"/>
          <w:sz w:val="28"/>
          <w:szCs w:val="28"/>
        </w:rPr>
        <w:t>unching of these proceedings</w:t>
      </w:r>
      <w:r w:rsidR="00A0726E">
        <w:rPr>
          <w:rFonts w:ascii="Times New Roman" w:hAnsi="Times New Roman"/>
          <w:sz w:val="28"/>
          <w:szCs w:val="28"/>
        </w:rPr>
        <w:t>. On the merits she</w:t>
      </w:r>
      <w:r w:rsidR="009104DE">
        <w:rPr>
          <w:rFonts w:ascii="Times New Roman" w:hAnsi="Times New Roman"/>
          <w:sz w:val="28"/>
          <w:szCs w:val="28"/>
        </w:rPr>
        <w:t xml:space="preserve"> has unmistakably failed to demonstrate any prospect of succeeding on any of the grounds relied on in support of this application</w:t>
      </w:r>
      <w:r w:rsidR="000C14C8">
        <w:rPr>
          <w:rFonts w:ascii="Times New Roman" w:hAnsi="Times New Roman"/>
          <w:sz w:val="28"/>
          <w:szCs w:val="28"/>
        </w:rPr>
        <w:t xml:space="preserve">. The indulgence sought for excusing the delay in launching these proceedings does not assist in </w:t>
      </w:r>
      <w:r w:rsidR="000C14C8">
        <w:rPr>
          <w:rFonts w:ascii="Times New Roman" w:hAnsi="Times New Roman"/>
          <w:sz w:val="28"/>
          <w:szCs w:val="28"/>
        </w:rPr>
        <w:lastRenderedPageBreak/>
        <w:t xml:space="preserve">advancing a case where there is none, nor will it advance the administration of justice </w:t>
      </w:r>
      <w:r w:rsidR="00DA1FE2">
        <w:rPr>
          <w:rFonts w:ascii="Times New Roman" w:hAnsi="Times New Roman"/>
          <w:sz w:val="28"/>
          <w:szCs w:val="28"/>
        </w:rPr>
        <w:t>in achieving finality in litigation.</w:t>
      </w:r>
    </w:p>
    <w:p w14:paraId="131F79E5" w14:textId="5EA3DDEA" w:rsidR="00DA1FE2" w:rsidRDefault="00AC5739" w:rsidP="00AC5739">
      <w:pPr>
        <w:pStyle w:val="LegalList1"/>
        <w:spacing w:line="360" w:lineRule="auto"/>
        <w:ind w:left="851" w:hanging="851"/>
        <w:rPr>
          <w:rFonts w:ascii="Times New Roman" w:hAnsi="Times New Roman"/>
          <w:sz w:val="28"/>
          <w:szCs w:val="28"/>
        </w:rPr>
      </w:pPr>
      <w:r>
        <w:rPr>
          <w:rFonts w:ascii="Times New Roman" w:hAnsi="Times New Roman"/>
          <w:sz w:val="28"/>
          <w:szCs w:val="28"/>
        </w:rPr>
        <w:t>[23]</w:t>
      </w:r>
      <w:r>
        <w:rPr>
          <w:rFonts w:ascii="Times New Roman" w:hAnsi="Times New Roman"/>
          <w:sz w:val="28"/>
          <w:szCs w:val="28"/>
        </w:rPr>
        <w:tab/>
      </w:r>
      <w:r w:rsidR="00DA1FE2">
        <w:rPr>
          <w:rFonts w:ascii="Times New Roman" w:hAnsi="Times New Roman"/>
          <w:sz w:val="28"/>
          <w:szCs w:val="28"/>
        </w:rPr>
        <w:t>In the result the application is dismissed with costs.</w:t>
      </w:r>
    </w:p>
    <w:p w14:paraId="3994073B" w14:textId="77777777" w:rsidR="00F97C22" w:rsidRDefault="00F97C22" w:rsidP="00522840">
      <w:pPr>
        <w:rPr>
          <w:sz w:val="28"/>
          <w:szCs w:val="28"/>
        </w:rPr>
      </w:pPr>
    </w:p>
    <w:p w14:paraId="7EE62F62" w14:textId="77777777" w:rsidR="0089270C" w:rsidRDefault="0089270C" w:rsidP="00522840">
      <w:pPr>
        <w:rPr>
          <w:sz w:val="28"/>
          <w:szCs w:val="28"/>
        </w:rPr>
      </w:pPr>
    </w:p>
    <w:p w14:paraId="5FB4B158" w14:textId="77777777" w:rsidR="0089270C" w:rsidRDefault="0089270C" w:rsidP="0089270C">
      <w:pPr>
        <w:pStyle w:val="LegalList1"/>
        <w:spacing w:line="360" w:lineRule="auto"/>
        <w:rPr>
          <w:rFonts w:ascii="Times New Roman" w:hAnsi="Times New Roman"/>
          <w:sz w:val="28"/>
          <w:szCs w:val="28"/>
        </w:rPr>
      </w:pPr>
    </w:p>
    <w:p w14:paraId="320468CB" w14:textId="77777777" w:rsidR="002240AC" w:rsidRDefault="002240AC" w:rsidP="0089270C">
      <w:pPr>
        <w:pStyle w:val="LegalList1"/>
        <w:spacing w:line="360" w:lineRule="auto"/>
        <w:rPr>
          <w:rFonts w:ascii="Times New Roman" w:hAnsi="Times New Roman"/>
          <w:sz w:val="28"/>
          <w:szCs w:val="28"/>
        </w:rPr>
      </w:pPr>
    </w:p>
    <w:p w14:paraId="6E34F5D5" w14:textId="77777777" w:rsidR="0089270C" w:rsidRDefault="0089270C" w:rsidP="0089270C">
      <w:pPr>
        <w:pStyle w:val="LegalList1"/>
        <w:spacing w:line="240" w:lineRule="auto"/>
        <w:ind w:left="851"/>
        <w:rPr>
          <w:rFonts w:ascii="Times New Roman" w:hAnsi="Times New Roman"/>
          <w:sz w:val="28"/>
          <w:szCs w:val="28"/>
        </w:rPr>
      </w:pPr>
      <w:r>
        <w:rPr>
          <w:rFonts w:ascii="Times New Roman" w:hAnsi="Times New Roman"/>
          <w:sz w:val="28"/>
          <w:szCs w:val="28"/>
        </w:rPr>
        <w:t>____________________________</w:t>
      </w:r>
    </w:p>
    <w:p w14:paraId="00C7CE2A" w14:textId="77777777" w:rsidR="0089270C" w:rsidRPr="009E483B" w:rsidRDefault="0089270C" w:rsidP="0089270C">
      <w:pPr>
        <w:pStyle w:val="LegalList1"/>
        <w:spacing w:line="240" w:lineRule="auto"/>
        <w:ind w:left="851"/>
        <w:rPr>
          <w:rFonts w:ascii="Times New Roman" w:hAnsi="Times New Roman"/>
          <w:b/>
          <w:sz w:val="28"/>
          <w:szCs w:val="28"/>
        </w:rPr>
      </w:pPr>
      <w:r>
        <w:rPr>
          <w:rFonts w:ascii="Times New Roman" w:hAnsi="Times New Roman"/>
          <w:b/>
          <w:sz w:val="28"/>
          <w:szCs w:val="28"/>
        </w:rPr>
        <w:t xml:space="preserve">M. </w:t>
      </w:r>
      <w:r w:rsidRPr="009E483B">
        <w:rPr>
          <w:rFonts w:ascii="Times New Roman" w:hAnsi="Times New Roman"/>
          <w:b/>
          <w:sz w:val="28"/>
          <w:szCs w:val="28"/>
        </w:rPr>
        <w:t>S. RUGUNANAN</w:t>
      </w:r>
    </w:p>
    <w:p w14:paraId="0C3CD663" w14:textId="77777777" w:rsidR="0089270C" w:rsidRPr="009E483B" w:rsidRDefault="0089270C" w:rsidP="0089270C">
      <w:pPr>
        <w:pStyle w:val="LegalList1"/>
        <w:spacing w:line="240" w:lineRule="auto"/>
        <w:ind w:left="851"/>
        <w:rPr>
          <w:rFonts w:ascii="Times New Roman" w:hAnsi="Times New Roman"/>
          <w:b/>
          <w:sz w:val="28"/>
          <w:szCs w:val="28"/>
        </w:rPr>
      </w:pPr>
      <w:r w:rsidRPr="009E483B">
        <w:rPr>
          <w:rFonts w:ascii="Times New Roman" w:hAnsi="Times New Roman"/>
          <w:b/>
          <w:sz w:val="28"/>
          <w:szCs w:val="28"/>
        </w:rPr>
        <w:t>JUDGE OF THE HIGH COURT</w:t>
      </w:r>
    </w:p>
    <w:p w14:paraId="14F93F21" w14:textId="77777777" w:rsidR="0089270C" w:rsidRDefault="0089270C" w:rsidP="0089270C">
      <w:pPr>
        <w:ind w:left="131" w:firstLine="720"/>
        <w:rPr>
          <w:rFonts w:ascii="Times New Roman" w:hAnsi="Times New Roman" w:cs="Times New Roman"/>
          <w:sz w:val="28"/>
          <w:szCs w:val="28"/>
        </w:rPr>
      </w:pPr>
    </w:p>
    <w:p w14:paraId="38F78594" w14:textId="77777777" w:rsidR="0089270C" w:rsidRDefault="0089270C" w:rsidP="0089270C">
      <w:pPr>
        <w:pStyle w:val="LegalList1"/>
        <w:spacing w:line="240" w:lineRule="auto"/>
        <w:ind w:left="851"/>
        <w:rPr>
          <w:rFonts w:ascii="Times New Roman" w:hAnsi="Times New Roman"/>
          <w:sz w:val="28"/>
          <w:szCs w:val="28"/>
        </w:rPr>
      </w:pPr>
      <w:r w:rsidRPr="009E483B">
        <w:rPr>
          <w:rFonts w:ascii="Times New Roman" w:hAnsi="Times New Roman"/>
          <w:sz w:val="28"/>
          <w:szCs w:val="28"/>
        </w:rPr>
        <w:t>APPEARANCES:</w:t>
      </w:r>
    </w:p>
    <w:p w14:paraId="0ACC63E3" w14:textId="77777777" w:rsidR="0089270C" w:rsidRPr="009E483B" w:rsidRDefault="0089270C" w:rsidP="0089270C">
      <w:pPr>
        <w:ind w:left="131" w:firstLine="720"/>
        <w:rPr>
          <w:rFonts w:ascii="Times New Roman" w:hAnsi="Times New Roman" w:cs="Times New Roman"/>
          <w:sz w:val="28"/>
          <w:szCs w:val="28"/>
        </w:rPr>
      </w:pPr>
      <w:r w:rsidRPr="00DE1B37">
        <w:rPr>
          <w:rFonts w:ascii="Times New Roman" w:hAnsi="Times New Roman" w:cs="Times New Roman"/>
          <w:sz w:val="28"/>
          <w:szCs w:val="28"/>
        </w:rPr>
        <w:t xml:space="preserve">For the </w:t>
      </w:r>
      <w:r>
        <w:rPr>
          <w:rFonts w:ascii="Times New Roman" w:hAnsi="Times New Roman" w:cs="Times New Roman"/>
          <w:sz w:val="28"/>
          <w:szCs w:val="28"/>
        </w:rPr>
        <w:t>Applicant</w:t>
      </w:r>
      <w:r w:rsidRPr="00DE1B37">
        <w:rPr>
          <w:rFonts w:ascii="Times New Roman" w:hAnsi="Times New Roman" w:cs="Times New Roman"/>
          <w:sz w:val="28"/>
          <w:szCs w:val="28"/>
        </w:rPr>
        <w:t>:</w:t>
      </w:r>
      <w:r w:rsidRPr="00DE1B37">
        <w:rPr>
          <w:rFonts w:ascii="Times New Roman" w:hAnsi="Times New Roman" w:cs="Times New Roman"/>
          <w:sz w:val="28"/>
          <w:szCs w:val="28"/>
        </w:rPr>
        <w:tab/>
      </w:r>
      <w:r w:rsidRPr="00DE1B37">
        <w:rPr>
          <w:rFonts w:ascii="Times New Roman" w:hAnsi="Times New Roman" w:cs="Times New Roman"/>
          <w:sz w:val="28"/>
          <w:szCs w:val="28"/>
        </w:rPr>
        <w:tab/>
      </w:r>
      <w:r w:rsidR="00F06695">
        <w:rPr>
          <w:rFonts w:ascii="Times New Roman" w:hAnsi="Times New Roman" w:cs="Times New Roman"/>
          <w:sz w:val="28"/>
          <w:szCs w:val="28"/>
        </w:rPr>
        <w:t xml:space="preserve">I. </w:t>
      </w:r>
      <w:proofErr w:type="spellStart"/>
      <w:r w:rsidR="00F06695">
        <w:rPr>
          <w:rFonts w:ascii="Times New Roman" w:hAnsi="Times New Roman" w:cs="Times New Roman"/>
          <w:sz w:val="28"/>
          <w:szCs w:val="28"/>
        </w:rPr>
        <w:t>Makuduka</w:t>
      </w:r>
      <w:proofErr w:type="spellEnd"/>
      <w:r w:rsidR="00F06695">
        <w:rPr>
          <w:rFonts w:ascii="Times New Roman" w:hAnsi="Times New Roman" w:cs="Times New Roman"/>
          <w:sz w:val="28"/>
          <w:szCs w:val="28"/>
        </w:rPr>
        <w:t xml:space="preserve"> </w:t>
      </w:r>
    </w:p>
    <w:p w14:paraId="5E20A07A" w14:textId="77777777" w:rsidR="00F06695" w:rsidRDefault="00F06695" w:rsidP="00F06695">
      <w:pPr>
        <w:ind w:left="3600" w:firstLine="720"/>
        <w:rPr>
          <w:rFonts w:ascii="Times New Roman" w:hAnsi="Times New Roman" w:cs="Times New Roman"/>
          <w:sz w:val="28"/>
          <w:szCs w:val="28"/>
        </w:rPr>
      </w:pPr>
      <w:r>
        <w:rPr>
          <w:rFonts w:ascii="Times New Roman" w:hAnsi="Times New Roman" w:cs="Times New Roman"/>
          <w:sz w:val="28"/>
          <w:szCs w:val="28"/>
        </w:rPr>
        <w:t>Instructed by</w:t>
      </w:r>
    </w:p>
    <w:p w14:paraId="24B95E2F" w14:textId="77777777" w:rsidR="00F06695" w:rsidRDefault="00F06695" w:rsidP="00F06695">
      <w:pPr>
        <w:ind w:left="3600" w:firstLine="720"/>
        <w:rPr>
          <w:rFonts w:ascii="Times New Roman" w:hAnsi="Times New Roman" w:cs="Times New Roman"/>
          <w:sz w:val="28"/>
          <w:szCs w:val="28"/>
        </w:rPr>
      </w:pPr>
      <w:r>
        <w:rPr>
          <w:rFonts w:ascii="Times New Roman" w:hAnsi="Times New Roman" w:cs="Times New Roman"/>
          <w:sz w:val="28"/>
          <w:szCs w:val="28"/>
        </w:rPr>
        <w:t xml:space="preserve">Sipho </w:t>
      </w:r>
      <w:proofErr w:type="spellStart"/>
      <w:r>
        <w:rPr>
          <w:rFonts w:ascii="Times New Roman" w:hAnsi="Times New Roman" w:cs="Times New Roman"/>
          <w:sz w:val="28"/>
          <w:szCs w:val="28"/>
        </w:rPr>
        <w:t>Klaas</w:t>
      </w:r>
      <w:proofErr w:type="spellEnd"/>
      <w:r>
        <w:rPr>
          <w:rFonts w:ascii="Times New Roman" w:hAnsi="Times New Roman" w:cs="Times New Roman"/>
          <w:sz w:val="28"/>
          <w:szCs w:val="28"/>
        </w:rPr>
        <w:t xml:space="preserve"> Inc.</w:t>
      </w:r>
    </w:p>
    <w:p w14:paraId="765F0032" w14:textId="77777777" w:rsidR="00F06695" w:rsidRPr="00DE1B37" w:rsidRDefault="00F06695" w:rsidP="00F06695">
      <w:pPr>
        <w:ind w:left="3600" w:firstLine="720"/>
        <w:rPr>
          <w:rFonts w:ascii="Times New Roman" w:hAnsi="Times New Roman" w:cs="Times New Roman"/>
          <w:sz w:val="28"/>
          <w:szCs w:val="28"/>
        </w:rPr>
      </w:pPr>
      <w:r>
        <w:rPr>
          <w:rFonts w:ascii="Times New Roman" w:hAnsi="Times New Roman" w:cs="Times New Roman"/>
          <w:sz w:val="28"/>
          <w:szCs w:val="28"/>
        </w:rPr>
        <w:t xml:space="preserve">c/o </w:t>
      </w:r>
      <w:proofErr w:type="spellStart"/>
      <w:r>
        <w:rPr>
          <w:rFonts w:ascii="Times New Roman" w:hAnsi="Times New Roman" w:cs="Times New Roman"/>
          <w:sz w:val="28"/>
          <w:szCs w:val="28"/>
        </w:rPr>
        <w:t>Mgangatho</w:t>
      </w:r>
      <w:proofErr w:type="spellEnd"/>
      <w:r>
        <w:rPr>
          <w:rFonts w:ascii="Times New Roman" w:hAnsi="Times New Roman" w:cs="Times New Roman"/>
          <w:sz w:val="28"/>
          <w:szCs w:val="28"/>
        </w:rPr>
        <w:t xml:space="preserve"> Attorneys</w:t>
      </w:r>
    </w:p>
    <w:p w14:paraId="3597772D" w14:textId="77777777" w:rsidR="00F06695" w:rsidRPr="00DE1B37" w:rsidRDefault="00F06695" w:rsidP="00F06695">
      <w:pPr>
        <w:ind w:left="3600" w:firstLine="720"/>
        <w:rPr>
          <w:rFonts w:ascii="Times New Roman" w:hAnsi="Times New Roman" w:cs="Times New Roman"/>
          <w:sz w:val="28"/>
          <w:szCs w:val="28"/>
        </w:rPr>
      </w:pPr>
      <w:proofErr w:type="spellStart"/>
      <w:r w:rsidRPr="00DE1B37">
        <w:rPr>
          <w:rFonts w:ascii="Times New Roman" w:hAnsi="Times New Roman" w:cs="Times New Roman"/>
          <w:sz w:val="28"/>
          <w:szCs w:val="28"/>
        </w:rPr>
        <w:t>Makhanda</w:t>
      </w:r>
      <w:proofErr w:type="spellEnd"/>
    </w:p>
    <w:p w14:paraId="0EC3BA50" w14:textId="77777777" w:rsidR="00F06695" w:rsidRDefault="00F06695" w:rsidP="00F06695">
      <w:pPr>
        <w:ind w:left="3600" w:firstLine="720"/>
        <w:rPr>
          <w:rFonts w:ascii="Times New Roman" w:hAnsi="Times New Roman" w:cs="Times New Roman"/>
          <w:sz w:val="28"/>
          <w:szCs w:val="28"/>
        </w:rPr>
      </w:pPr>
      <w:r w:rsidRPr="00DE1B37">
        <w:rPr>
          <w:rFonts w:ascii="Times New Roman" w:hAnsi="Times New Roman" w:cs="Times New Roman"/>
          <w:sz w:val="28"/>
          <w:szCs w:val="28"/>
        </w:rPr>
        <w:t>(Ref:</w:t>
      </w:r>
      <w:r>
        <w:rPr>
          <w:rFonts w:ascii="Times New Roman" w:hAnsi="Times New Roman" w:cs="Times New Roman"/>
          <w:sz w:val="28"/>
          <w:szCs w:val="28"/>
        </w:rPr>
        <w:t xml:space="preserve"> A. </w:t>
      </w:r>
      <w:proofErr w:type="spellStart"/>
      <w:r>
        <w:rPr>
          <w:rFonts w:ascii="Times New Roman" w:hAnsi="Times New Roman" w:cs="Times New Roman"/>
          <w:sz w:val="28"/>
          <w:szCs w:val="28"/>
        </w:rPr>
        <w:t>Basson</w:t>
      </w:r>
      <w:proofErr w:type="spellEnd"/>
      <w:r w:rsidRPr="00DE1B37">
        <w:rPr>
          <w:rFonts w:ascii="Times New Roman" w:hAnsi="Times New Roman" w:cs="Times New Roman"/>
          <w:sz w:val="28"/>
          <w:szCs w:val="28"/>
        </w:rPr>
        <w:t>)</w:t>
      </w:r>
    </w:p>
    <w:p w14:paraId="05CF550D" w14:textId="77777777" w:rsidR="00F06695" w:rsidRPr="009E483B" w:rsidRDefault="00F06695" w:rsidP="00F06695">
      <w:pPr>
        <w:ind w:left="982"/>
        <w:rPr>
          <w:rFonts w:ascii="Times New Roman" w:hAnsi="Times New Roman" w:cs="Times New Roman"/>
          <w:sz w:val="28"/>
          <w:szCs w:val="28"/>
        </w:rPr>
      </w:pPr>
    </w:p>
    <w:p w14:paraId="7DFE79DC" w14:textId="77777777" w:rsidR="0089270C" w:rsidRPr="009E483B" w:rsidRDefault="0089270C" w:rsidP="0089270C">
      <w:pPr>
        <w:ind w:left="982"/>
        <w:rPr>
          <w:rFonts w:ascii="Times New Roman" w:hAnsi="Times New Roman" w:cs="Times New Roman"/>
          <w:sz w:val="28"/>
          <w:szCs w:val="28"/>
        </w:rPr>
      </w:pPr>
    </w:p>
    <w:p w14:paraId="2695D839" w14:textId="77777777" w:rsidR="0089270C" w:rsidRPr="00DE1B37" w:rsidRDefault="0089270C" w:rsidP="0089270C">
      <w:pPr>
        <w:ind w:left="851"/>
        <w:rPr>
          <w:rFonts w:ascii="Times New Roman" w:hAnsi="Times New Roman" w:cs="Times New Roman"/>
          <w:sz w:val="28"/>
          <w:szCs w:val="28"/>
        </w:rPr>
      </w:pPr>
      <w:r w:rsidRPr="00DE1B37">
        <w:rPr>
          <w:rFonts w:ascii="Times New Roman" w:hAnsi="Times New Roman" w:cs="Times New Roman"/>
          <w:sz w:val="28"/>
          <w:szCs w:val="28"/>
        </w:rPr>
        <w:t xml:space="preserve">For the </w:t>
      </w:r>
      <w:r w:rsidR="001D7B07">
        <w:rPr>
          <w:rFonts w:ascii="Times New Roman" w:hAnsi="Times New Roman" w:cs="Times New Roman"/>
          <w:sz w:val="28"/>
          <w:szCs w:val="28"/>
        </w:rPr>
        <w:t xml:space="preserve">First </w:t>
      </w:r>
      <w:r>
        <w:rPr>
          <w:rFonts w:ascii="Times New Roman" w:hAnsi="Times New Roman" w:cs="Times New Roman"/>
          <w:sz w:val="28"/>
          <w:szCs w:val="28"/>
        </w:rPr>
        <w:t>Respondent</w:t>
      </w:r>
      <w:r w:rsidRPr="00DE1B37">
        <w:rPr>
          <w:rFonts w:ascii="Times New Roman" w:hAnsi="Times New Roman" w:cs="Times New Roman"/>
          <w:sz w:val="28"/>
          <w:szCs w:val="28"/>
        </w:rPr>
        <w:t>:</w:t>
      </w:r>
      <w:r>
        <w:rPr>
          <w:rFonts w:ascii="Times New Roman" w:hAnsi="Times New Roman" w:cs="Times New Roman"/>
          <w:sz w:val="28"/>
          <w:szCs w:val="28"/>
        </w:rPr>
        <w:tab/>
      </w:r>
      <w:r w:rsidR="00F06695">
        <w:rPr>
          <w:rFonts w:ascii="Times New Roman" w:hAnsi="Times New Roman" w:cs="Times New Roman"/>
          <w:sz w:val="28"/>
          <w:szCs w:val="28"/>
        </w:rPr>
        <w:t>T. Miller</w:t>
      </w:r>
    </w:p>
    <w:p w14:paraId="5D94BA61" w14:textId="77777777" w:rsidR="00F06695" w:rsidRDefault="00F06695" w:rsidP="00F06695">
      <w:pPr>
        <w:ind w:left="3862" w:firstLine="458"/>
        <w:rPr>
          <w:rFonts w:ascii="Times New Roman" w:hAnsi="Times New Roman" w:cs="Times New Roman"/>
          <w:sz w:val="28"/>
          <w:szCs w:val="28"/>
        </w:rPr>
      </w:pPr>
      <w:r w:rsidRPr="009E483B">
        <w:rPr>
          <w:rFonts w:ascii="Times New Roman" w:hAnsi="Times New Roman" w:cs="Times New Roman"/>
          <w:sz w:val="28"/>
          <w:szCs w:val="28"/>
        </w:rPr>
        <w:t>Instructed by</w:t>
      </w:r>
    </w:p>
    <w:p w14:paraId="2DBEF381" w14:textId="77777777" w:rsidR="00F06695" w:rsidRPr="009E483B" w:rsidRDefault="00F06695" w:rsidP="00F06695">
      <w:pPr>
        <w:ind w:left="98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Wheeldon Rushmere &amp; Cole Inc.</w:t>
      </w:r>
    </w:p>
    <w:p w14:paraId="119074A8" w14:textId="77777777" w:rsidR="00F06695" w:rsidRPr="009E483B" w:rsidRDefault="00F06695" w:rsidP="00F06695">
      <w:pPr>
        <w:ind w:left="982"/>
        <w:rPr>
          <w:rFonts w:ascii="Times New Roman" w:hAnsi="Times New Roman" w:cs="Times New Roman"/>
          <w:sz w:val="28"/>
          <w:szCs w:val="28"/>
        </w:rPr>
      </w:pP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proofErr w:type="spellStart"/>
      <w:r w:rsidRPr="009E483B">
        <w:rPr>
          <w:rFonts w:ascii="Times New Roman" w:hAnsi="Times New Roman" w:cs="Times New Roman"/>
          <w:sz w:val="28"/>
          <w:szCs w:val="28"/>
        </w:rPr>
        <w:t>Makhanda</w:t>
      </w:r>
      <w:proofErr w:type="spellEnd"/>
    </w:p>
    <w:p w14:paraId="6DD80DDF" w14:textId="77777777" w:rsidR="00F06695" w:rsidRDefault="00F06695" w:rsidP="00F06695">
      <w:pPr>
        <w:ind w:left="982"/>
        <w:rPr>
          <w:rFonts w:ascii="Times New Roman" w:hAnsi="Times New Roman" w:cs="Times New Roman"/>
          <w:sz w:val="28"/>
          <w:szCs w:val="28"/>
        </w:rPr>
      </w:pP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t xml:space="preserve">(Ref: </w:t>
      </w:r>
      <w:r>
        <w:rPr>
          <w:rFonts w:ascii="Times New Roman" w:hAnsi="Times New Roman" w:cs="Times New Roman"/>
          <w:sz w:val="28"/>
          <w:szCs w:val="28"/>
        </w:rPr>
        <w:t>M Van Der Veen</w:t>
      </w:r>
      <w:r w:rsidRPr="009E483B">
        <w:rPr>
          <w:rFonts w:ascii="Times New Roman" w:hAnsi="Times New Roman" w:cs="Times New Roman"/>
          <w:sz w:val="28"/>
          <w:szCs w:val="28"/>
        </w:rPr>
        <w:t>)</w:t>
      </w:r>
    </w:p>
    <w:p w14:paraId="149910BC" w14:textId="77777777" w:rsidR="0089270C" w:rsidRDefault="00F06695" w:rsidP="00F06695">
      <w:pPr>
        <w:ind w:left="3600" w:firstLine="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4F23C55A" w14:textId="77777777" w:rsidR="0089270C" w:rsidRPr="00DE1B37" w:rsidRDefault="0089270C" w:rsidP="0089270C">
      <w:pPr>
        <w:ind w:left="4451"/>
        <w:rPr>
          <w:rFonts w:ascii="Times New Roman" w:hAnsi="Times New Roman" w:cs="Times New Roman"/>
          <w:sz w:val="28"/>
          <w:szCs w:val="28"/>
        </w:rPr>
      </w:pPr>
    </w:p>
    <w:p w14:paraId="2A56EB5B" w14:textId="77777777" w:rsidR="0089270C" w:rsidRDefault="0089270C" w:rsidP="0089270C">
      <w:pPr>
        <w:pStyle w:val="LegalList1"/>
        <w:spacing w:line="360" w:lineRule="auto"/>
        <w:ind w:left="851"/>
        <w:rPr>
          <w:rFonts w:ascii="Times New Roman" w:hAnsi="Times New Roman"/>
          <w:sz w:val="28"/>
          <w:szCs w:val="28"/>
        </w:rPr>
      </w:pPr>
      <w:r>
        <w:rPr>
          <w:rFonts w:ascii="Times New Roman" w:hAnsi="Times New Roman"/>
          <w:sz w:val="28"/>
          <w:szCs w:val="28"/>
        </w:rPr>
        <w:t>Date heard: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04 August 2022</w:t>
      </w:r>
    </w:p>
    <w:p w14:paraId="638FDDD8" w14:textId="77777777" w:rsidR="0089270C" w:rsidRPr="00A45FC3" w:rsidRDefault="0089270C" w:rsidP="00A45FC3">
      <w:pPr>
        <w:pStyle w:val="LegalList1"/>
        <w:spacing w:line="360" w:lineRule="auto"/>
        <w:ind w:left="851"/>
        <w:rPr>
          <w:rFonts w:ascii="Times New Roman" w:hAnsi="Times New Roman"/>
          <w:sz w:val="28"/>
          <w:szCs w:val="28"/>
        </w:rPr>
      </w:pPr>
      <w:r>
        <w:rPr>
          <w:rFonts w:ascii="Times New Roman" w:hAnsi="Times New Roman"/>
          <w:sz w:val="28"/>
          <w:szCs w:val="28"/>
        </w:rPr>
        <w:t>Date delivered: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01 November 2022</w:t>
      </w:r>
    </w:p>
    <w:sectPr w:rsidR="0089270C" w:rsidRPr="00A45FC3" w:rsidSect="00A572D4">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A0517" w14:textId="77777777" w:rsidR="005F5DDA" w:rsidRDefault="005F5DDA" w:rsidP="00354A12">
      <w:pPr>
        <w:spacing w:line="240" w:lineRule="auto"/>
      </w:pPr>
      <w:r>
        <w:separator/>
      </w:r>
    </w:p>
  </w:endnote>
  <w:endnote w:type="continuationSeparator" w:id="0">
    <w:p w14:paraId="5D8D3560" w14:textId="77777777" w:rsidR="005F5DDA" w:rsidRDefault="005F5DDA" w:rsidP="00354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F9BB3" w14:textId="77777777" w:rsidR="005F5DDA" w:rsidRDefault="005F5DDA" w:rsidP="00354A12">
      <w:pPr>
        <w:spacing w:line="240" w:lineRule="auto"/>
      </w:pPr>
      <w:r>
        <w:separator/>
      </w:r>
    </w:p>
  </w:footnote>
  <w:footnote w:type="continuationSeparator" w:id="0">
    <w:p w14:paraId="2A2250B4" w14:textId="77777777" w:rsidR="005F5DDA" w:rsidRDefault="005F5DDA" w:rsidP="00354A12">
      <w:pPr>
        <w:spacing w:line="240" w:lineRule="auto"/>
      </w:pPr>
      <w:r>
        <w:continuationSeparator/>
      </w:r>
    </w:p>
  </w:footnote>
  <w:footnote w:id="1">
    <w:p w14:paraId="5C51B509" w14:textId="77777777" w:rsidR="00D627CF" w:rsidRDefault="00D627CF" w:rsidP="00981899">
      <w:pPr>
        <w:pStyle w:val="FootnoteText"/>
        <w:jc w:val="both"/>
      </w:pPr>
      <w:r>
        <w:rPr>
          <w:rStyle w:val="FootnoteReference"/>
        </w:rPr>
        <w:footnoteRef/>
      </w:r>
      <w:r>
        <w:t xml:space="preserve"> </w:t>
      </w:r>
      <w:r w:rsidR="001D7B07">
        <w:t>A</w:t>
      </w:r>
      <w:r>
        <w:t xml:space="preserve">s </w:t>
      </w:r>
      <w:r w:rsidRPr="001D7B07">
        <w:rPr>
          <w:i/>
        </w:rPr>
        <w:t>per</w:t>
      </w:r>
      <w:r>
        <w:t xml:space="preserve"> an order of court of 8 October 2020, </w:t>
      </w:r>
      <w:r w:rsidRPr="001D7B07">
        <w:rPr>
          <w:i/>
        </w:rPr>
        <w:t>per</w:t>
      </w:r>
      <w:r>
        <w:t xml:space="preserve"> </w:t>
      </w:r>
      <w:proofErr w:type="spellStart"/>
      <w:r>
        <w:t>Swartbooi</w:t>
      </w:r>
      <w:proofErr w:type="spellEnd"/>
      <w:r>
        <w:t xml:space="preserve"> AJ, page 129.</w:t>
      </w:r>
    </w:p>
  </w:footnote>
  <w:footnote w:id="2">
    <w:p w14:paraId="459B04BE" w14:textId="77777777" w:rsidR="00663C7D" w:rsidRDefault="00663C7D" w:rsidP="00981899">
      <w:pPr>
        <w:pStyle w:val="FootnoteText"/>
        <w:jc w:val="both"/>
      </w:pPr>
      <w:r>
        <w:rPr>
          <w:rStyle w:val="FootnoteReference"/>
        </w:rPr>
        <w:footnoteRef/>
      </w:r>
      <w:r>
        <w:t xml:space="preserve"> </w:t>
      </w:r>
      <w:r w:rsidR="001D7B07">
        <w:t>H</w:t>
      </w:r>
      <w:r>
        <w:t>aving signed a suretyship agreement dated 16 July 2015 attached to the summons in the main action as annexure</w:t>
      </w:r>
      <w:r w:rsidR="00C45DEE">
        <w:t xml:space="preserve"> POC 12.</w:t>
      </w:r>
    </w:p>
  </w:footnote>
  <w:footnote w:id="3">
    <w:p w14:paraId="6711CB22" w14:textId="77777777" w:rsidR="0056406F" w:rsidRPr="00CD4B76" w:rsidRDefault="0056406F" w:rsidP="00981899">
      <w:pPr>
        <w:pStyle w:val="FootnoteText"/>
        <w:jc w:val="both"/>
      </w:pPr>
      <w:r w:rsidRPr="00CD4B76">
        <w:rPr>
          <w:rStyle w:val="FootnoteReference"/>
        </w:rPr>
        <w:footnoteRef/>
      </w:r>
      <w:r w:rsidRPr="00CD4B76">
        <w:t xml:space="preserve"> </w:t>
      </w:r>
      <w:proofErr w:type="spellStart"/>
      <w:r w:rsidRPr="00CD4B76">
        <w:rPr>
          <w:i/>
        </w:rPr>
        <w:t>Athmaram</w:t>
      </w:r>
      <w:proofErr w:type="spellEnd"/>
      <w:r w:rsidRPr="00CD4B76">
        <w:rPr>
          <w:i/>
        </w:rPr>
        <w:t xml:space="preserve"> v Singh </w:t>
      </w:r>
      <w:r w:rsidRPr="00CD4B76">
        <w:t>1989 (3) SA 953 (D&amp;CLD)</w:t>
      </w:r>
      <w:r>
        <w:t xml:space="preserve"> </w:t>
      </w:r>
      <w:r w:rsidRPr="00CD4B76">
        <w:t xml:space="preserve">at 957C; </w:t>
      </w:r>
      <w:r w:rsidRPr="00CD4B76">
        <w:rPr>
          <w:i/>
        </w:rPr>
        <w:t>De Wet and Others v Western Bank Ltd 1979 (2) SA 1031 (AD) at 1040F</w:t>
      </w:r>
    </w:p>
  </w:footnote>
  <w:footnote w:id="4">
    <w:p w14:paraId="30AAB696" w14:textId="77777777" w:rsidR="00954200" w:rsidRPr="00CD4B76" w:rsidRDefault="00954200" w:rsidP="00981899">
      <w:pPr>
        <w:pStyle w:val="FootnoteText"/>
        <w:jc w:val="both"/>
      </w:pPr>
      <w:r w:rsidRPr="00CD4B76">
        <w:rPr>
          <w:rStyle w:val="FootnoteReference"/>
        </w:rPr>
        <w:footnoteRef/>
      </w:r>
      <w:r w:rsidRPr="00CD4B76">
        <w:t xml:space="preserve"> </w:t>
      </w:r>
      <w:r w:rsidRPr="00CD4B76">
        <w:rPr>
          <w:i/>
        </w:rPr>
        <w:t xml:space="preserve">De Witts Auto Body Repairs (Pty) Ltd v </w:t>
      </w:r>
      <w:proofErr w:type="spellStart"/>
      <w:r w:rsidRPr="00CD4B76">
        <w:rPr>
          <w:i/>
        </w:rPr>
        <w:t>Fedgen</w:t>
      </w:r>
      <w:proofErr w:type="spellEnd"/>
      <w:r w:rsidRPr="00CD4B76">
        <w:rPr>
          <w:i/>
        </w:rPr>
        <w:t xml:space="preserve"> Insurance Co Ltd</w:t>
      </w:r>
      <w:r w:rsidRPr="00CD4B76">
        <w:t xml:space="preserve"> 1994 (4) SA 705 (ECD) at 708H-J; </w:t>
      </w:r>
      <w:proofErr w:type="spellStart"/>
      <w:r w:rsidRPr="00CD4B76">
        <w:rPr>
          <w:i/>
        </w:rPr>
        <w:t>Athmaram</w:t>
      </w:r>
      <w:proofErr w:type="spellEnd"/>
      <w:r w:rsidRPr="00CD4B76">
        <w:rPr>
          <w:i/>
        </w:rPr>
        <w:t xml:space="preserve"> v Singh supra</w:t>
      </w:r>
      <w:r w:rsidRPr="00CD4B76">
        <w:t xml:space="preserve"> at 957C</w:t>
      </w:r>
    </w:p>
  </w:footnote>
  <w:footnote w:id="5">
    <w:p w14:paraId="202B6D2A" w14:textId="77777777" w:rsidR="00F359A1" w:rsidRDefault="00F359A1" w:rsidP="002240AC">
      <w:pPr>
        <w:pStyle w:val="FootnoteText"/>
        <w:jc w:val="both"/>
      </w:pPr>
      <w:r>
        <w:rPr>
          <w:rStyle w:val="FootnoteReference"/>
        </w:rPr>
        <w:footnoteRef/>
      </w:r>
      <w:r>
        <w:t xml:space="preserve"> </w:t>
      </w:r>
      <w:proofErr w:type="spellStart"/>
      <w:r w:rsidR="004C3FBC" w:rsidRPr="00DA1FE2">
        <w:rPr>
          <w:i/>
        </w:rPr>
        <w:t>Armcoal</w:t>
      </w:r>
      <w:proofErr w:type="spellEnd"/>
      <w:r w:rsidR="004C3FBC" w:rsidRPr="00DA1FE2">
        <w:rPr>
          <w:i/>
        </w:rPr>
        <w:t xml:space="preserve"> Collieries Ltd v Truter</w:t>
      </w:r>
      <w:r w:rsidR="004C3FBC">
        <w:t xml:space="preserve"> 1990 (1) SA 1 (A) at page 5J-6; </w:t>
      </w:r>
      <w:proofErr w:type="spellStart"/>
      <w:r w:rsidR="00E40F1E" w:rsidRPr="0080794E">
        <w:rPr>
          <w:i/>
        </w:rPr>
        <w:t>Loryan</w:t>
      </w:r>
      <w:proofErr w:type="spellEnd"/>
      <w:r w:rsidR="00E40F1E" w:rsidRPr="0080794E">
        <w:rPr>
          <w:i/>
        </w:rPr>
        <w:t xml:space="preserve"> (Pty) Ltd v </w:t>
      </w:r>
      <w:proofErr w:type="spellStart"/>
      <w:r w:rsidR="00E40F1E" w:rsidRPr="0080794E">
        <w:rPr>
          <w:i/>
        </w:rPr>
        <w:t>Solarsh</w:t>
      </w:r>
      <w:proofErr w:type="spellEnd"/>
      <w:r w:rsidR="0080794E" w:rsidRPr="0080794E">
        <w:rPr>
          <w:i/>
        </w:rPr>
        <w:t xml:space="preserve"> Tea and Coffee (Pty) Ltd</w:t>
      </w:r>
      <w:r w:rsidR="0080794E">
        <w:t xml:space="preserve"> 1984 (3) SA 384 (W) at 847C-F quoted with approval in </w:t>
      </w:r>
      <w:proofErr w:type="spellStart"/>
      <w:r w:rsidR="00E40F1E" w:rsidRPr="00E40F1E">
        <w:rPr>
          <w:i/>
        </w:rPr>
        <w:t>F</w:t>
      </w:r>
      <w:r w:rsidRPr="00E40F1E">
        <w:rPr>
          <w:i/>
        </w:rPr>
        <w:t>irstrand</w:t>
      </w:r>
      <w:proofErr w:type="spellEnd"/>
      <w:r w:rsidRPr="00E40F1E">
        <w:rPr>
          <w:i/>
        </w:rPr>
        <w:t xml:space="preserve"> Bank Ltd and </w:t>
      </w:r>
      <w:r w:rsidR="00E40F1E" w:rsidRPr="00E40F1E">
        <w:rPr>
          <w:i/>
        </w:rPr>
        <w:t>O</w:t>
      </w:r>
      <w:r w:rsidRPr="00E40F1E">
        <w:rPr>
          <w:i/>
        </w:rPr>
        <w:t>thers v Meyer</w:t>
      </w:r>
      <w:r>
        <w:t xml:space="preserve"> (08/32310) [2011] </w:t>
      </w:r>
      <w:r w:rsidR="00E40F1E">
        <w:t>ZAGPJHC 78 (12 August 2011) at paragraph [13]</w:t>
      </w:r>
    </w:p>
  </w:footnote>
  <w:footnote w:id="6">
    <w:p w14:paraId="3D07A17A" w14:textId="77777777" w:rsidR="0009509C" w:rsidRPr="00CD4B76" w:rsidRDefault="0009509C" w:rsidP="002240AC">
      <w:pPr>
        <w:pStyle w:val="FootnoteText"/>
        <w:jc w:val="both"/>
      </w:pPr>
      <w:r w:rsidRPr="00CD4B76">
        <w:rPr>
          <w:rStyle w:val="FootnoteReference"/>
        </w:rPr>
        <w:footnoteRef/>
      </w:r>
      <w:r w:rsidRPr="00CD4B76">
        <w:t xml:space="preserve"> </w:t>
      </w:r>
      <w:r w:rsidRPr="00CD4B76">
        <w:rPr>
          <w:i/>
        </w:rPr>
        <w:t xml:space="preserve">First National Bank of Southern Africa Ltd v Van Rensburg N.O. and Others: in re First National Bank of Southern Africa Ltd v Jurgens and Others </w:t>
      </w:r>
      <w:r w:rsidRPr="00CD4B76">
        <w:t>1994 (1) SA 673 (TPD) at 681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365982"/>
      <w:docPartObj>
        <w:docPartGallery w:val="Page Numbers (Top of Page)"/>
        <w:docPartUnique/>
      </w:docPartObj>
    </w:sdtPr>
    <w:sdtEndPr>
      <w:rPr>
        <w:noProof/>
      </w:rPr>
    </w:sdtEndPr>
    <w:sdtContent>
      <w:p w14:paraId="3231EF81" w14:textId="77777777" w:rsidR="00A572D4" w:rsidRDefault="00A572D4">
        <w:pPr>
          <w:pStyle w:val="Header"/>
          <w:jc w:val="center"/>
        </w:pPr>
        <w:r>
          <w:fldChar w:fldCharType="begin"/>
        </w:r>
        <w:r>
          <w:instrText xml:space="preserve"> PAGE   \* MERGEFORMAT </w:instrText>
        </w:r>
        <w:r>
          <w:fldChar w:fldCharType="separate"/>
        </w:r>
        <w:r w:rsidR="00BB2DC6">
          <w:rPr>
            <w:noProof/>
          </w:rPr>
          <w:t>4</w:t>
        </w:r>
        <w:r>
          <w:rPr>
            <w:noProof/>
          </w:rPr>
          <w:fldChar w:fldCharType="end"/>
        </w:r>
      </w:p>
    </w:sdtContent>
  </w:sdt>
  <w:p w14:paraId="40BDE47B" w14:textId="77777777" w:rsidR="00A572D4" w:rsidRDefault="00A57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F74BF"/>
    <w:multiLevelType w:val="hybridMultilevel"/>
    <w:tmpl w:val="1DC42C5C"/>
    <w:lvl w:ilvl="0" w:tplc="3D7E6C6E">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 w15:restartNumberingAfterBreak="0">
    <w:nsid w:val="451C0287"/>
    <w:multiLevelType w:val="multilevel"/>
    <w:tmpl w:val="D0DE572A"/>
    <w:lvl w:ilvl="0">
      <w:start w:val="1"/>
      <w:numFmt w:val="decimal"/>
      <w:lvlText w:val="[%1]"/>
      <w:lvlJc w:val="left"/>
      <w:pPr>
        <w:tabs>
          <w:tab w:val="num" w:pos="567"/>
        </w:tabs>
        <w:ind w:left="567" w:hanging="567"/>
      </w:pPr>
      <w:rPr>
        <w:rFonts w:hint="default"/>
        <w:b w:val="0"/>
        <w:i w:val="0"/>
      </w:rPr>
    </w:lvl>
    <w:lvl w:ilvl="1">
      <w:start w:val="1"/>
      <w:numFmt w:val="lowerLetter"/>
      <w:pStyle w:val="LegalHeading2"/>
      <w:lvlText w:val="(%2)"/>
      <w:lvlJc w:val="left"/>
      <w:pPr>
        <w:tabs>
          <w:tab w:val="num" w:pos="2269"/>
        </w:tabs>
        <w:ind w:left="2269" w:hanging="1134"/>
      </w:pPr>
      <w:rPr>
        <w:rFonts w:ascii="Arial" w:eastAsia="Times New Roman" w:hAnsi="Arial" w:cs="Times New Roman"/>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 w15:restartNumberingAfterBreak="0">
    <w:nsid w:val="61DA3D12"/>
    <w:multiLevelType w:val="hybridMultilevel"/>
    <w:tmpl w:val="4B54555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3" w15:restartNumberingAfterBreak="0">
    <w:nsid w:val="63FD245B"/>
    <w:multiLevelType w:val="hybridMultilevel"/>
    <w:tmpl w:val="DBB668F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44D205C"/>
    <w:multiLevelType w:val="hybridMultilevel"/>
    <w:tmpl w:val="5C08291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7203222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6613712">
    <w:abstractNumId w:val="1"/>
  </w:num>
  <w:num w:numId="3" w16cid:durableId="632054815">
    <w:abstractNumId w:val="0"/>
  </w:num>
  <w:num w:numId="4" w16cid:durableId="101846509">
    <w:abstractNumId w:val="3"/>
  </w:num>
  <w:num w:numId="5" w16cid:durableId="1231043294">
    <w:abstractNumId w:val="4"/>
  </w:num>
  <w:num w:numId="6" w16cid:durableId="18640567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931DC6E-AF58-457F-9D0B-61B5DB5BEBFE}"/>
    <w:docVar w:name="dgnword-eventsink" w:val="189043656"/>
  </w:docVars>
  <w:rsids>
    <w:rsidRoot w:val="00354A12"/>
    <w:rsid w:val="000006AD"/>
    <w:rsid w:val="000116B2"/>
    <w:rsid w:val="0002450F"/>
    <w:rsid w:val="00037371"/>
    <w:rsid w:val="00045772"/>
    <w:rsid w:val="00062C0A"/>
    <w:rsid w:val="000633B9"/>
    <w:rsid w:val="0006498A"/>
    <w:rsid w:val="00066F15"/>
    <w:rsid w:val="00093686"/>
    <w:rsid w:val="0009509C"/>
    <w:rsid w:val="000B3BA1"/>
    <w:rsid w:val="000C14C8"/>
    <w:rsid w:val="000C413C"/>
    <w:rsid w:val="000C7C51"/>
    <w:rsid w:val="000D1DCE"/>
    <w:rsid w:val="000D6DA7"/>
    <w:rsid w:val="000E054D"/>
    <w:rsid w:val="000E2586"/>
    <w:rsid w:val="00131176"/>
    <w:rsid w:val="00133EB2"/>
    <w:rsid w:val="00137B1A"/>
    <w:rsid w:val="00154233"/>
    <w:rsid w:val="00167BDA"/>
    <w:rsid w:val="00177A9B"/>
    <w:rsid w:val="00187226"/>
    <w:rsid w:val="001B21C4"/>
    <w:rsid w:val="001B2FE7"/>
    <w:rsid w:val="001D055A"/>
    <w:rsid w:val="001D05EB"/>
    <w:rsid w:val="001D75B8"/>
    <w:rsid w:val="001D7B07"/>
    <w:rsid w:val="00202617"/>
    <w:rsid w:val="00214067"/>
    <w:rsid w:val="002240AC"/>
    <w:rsid w:val="00250665"/>
    <w:rsid w:val="00252156"/>
    <w:rsid w:val="00255FD7"/>
    <w:rsid w:val="002724DB"/>
    <w:rsid w:val="00272F02"/>
    <w:rsid w:val="002903F5"/>
    <w:rsid w:val="00296518"/>
    <w:rsid w:val="002A21A5"/>
    <w:rsid w:val="002B7A11"/>
    <w:rsid w:val="002D391B"/>
    <w:rsid w:val="002F30DD"/>
    <w:rsid w:val="00300011"/>
    <w:rsid w:val="00324991"/>
    <w:rsid w:val="003250EC"/>
    <w:rsid w:val="003328A3"/>
    <w:rsid w:val="00354A12"/>
    <w:rsid w:val="00371A63"/>
    <w:rsid w:val="00383166"/>
    <w:rsid w:val="0038713E"/>
    <w:rsid w:val="00391DD6"/>
    <w:rsid w:val="003927FE"/>
    <w:rsid w:val="003A16B0"/>
    <w:rsid w:val="003A62A0"/>
    <w:rsid w:val="003C3BAD"/>
    <w:rsid w:val="003C4FF8"/>
    <w:rsid w:val="003E219A"/>
    <w:rsid w:val="003E3543"/>
    <w:rsid w:val="00426EA4"/>
    <w:rsid w:val="00437855"/>
    <w:rsid w:val="004378CF"/>
    <w:rsid w:val="00441BFD"/>
    <w:rsid w:val="00443B11"/>
    <w:rsid w:val="00443F16"/>
    <w:rsid w:val="0044565A"/>
    <w:rsid w:val="004615B6"/>
    <w:rsid w:val="00462566"/>
    <w:rsid w:val="004804E0"/>
    <w:rsid w:val="00483E01"/>
    <w:rsid w:val="00485443"/>
    <w:rsid w:val="0049237E"/>
    <w:rsid w:val="00495CA0"/>
    <w:rsid w:val="004A0D69"/>
    <w:rsid w:val="004C3B7C"/>
    <w:rsid w:val="004C3FBC"/>
    <w:rsid w:val="004C48A2"/>
    <w:rsid w:val="004D49B9"/>
    <w:rsid w:val="004E2113"/>
    <w:rsid w:val="004E5600"/>
    <w:rsid w:val="004F74AC"/>
    <w:rsid w:val="005125C0"/>
    <w:rsid w:val="00512E85"/>
    <w:rsid w:val="005177DD"/>
    <w:rsid w:val="00522840"/>
    <w:rsid w:val="005476C7"/>
    <w:rsid w:val="00551920"/>
    <w:rsid w:val="005635D2"/>
    <w:rsid w:val="00563A15"/>
    <w:rsid w:val="0056406F"/>
    <w:rsid w:val="0057366E"/>
    <w:rsid w:val="005B7B4F"/>
    <w:rsid w:val="005C384F"/>
    <w:rsid w:val="005D0478"/>
    <w:rsid w:val="005D1D04"/>
    <w:rsid w:val="005D1F88"/>
    <w:rsid w:val="005F5DDA"/>
    <w:rsid w:val="00601CF9"/>
    <w:rsid w:val="00610062"/>
    <w:rsid w:val="00611919"/>
    <w:rsid w:val="006168AF"/>
    <w:rsid w:val="006211FC"/>
    <w:rsid w:val="00633710"/>
    <w:rsid w:val="00651C8A"/>
    <w:rsid w:val="00663C7D"/>
    <w:rsid w:val="00670B4B"/>
    <w:rsid w:val="00681EC7"/>
    <w:rsid w:val="0068567D"/>
    <w:rsid w:val="00691A7A"/>
    <w:rsid w:val="006A2791"/>
    <w:rsid w:val="006B1A64"/>
    <w:rsid w:val="006F0E59"/>
    <w:rsid w:val="0075237A"/>
    <w:rsid w:val="00754148"/>
    <w:rsid w:val="0075538D"/>
    <w:rsid w:val="0075542C"/>
    <w:rsid w:val="00772450"/>
    <w:rsid w:val="00780274"/>
    <w:rsid w:val="007949AF"/>
    <w:rsid w:val="007A7226"/>
    <w:rsid w:val="007B60E7"/>
    <w:rsid w:val="007C3F79"/>
    <w:rsid w:val="007D31C6"/>
    <w:rsid w:val="007E429E"/>
    <w:rsid w:val="00802A0A"/>
    <w:rsid w:val="008037F8"/>
    <w:rsid w:val="0080794E"/>
    <w:rsid w:val="008157B3"/>
    <w:rsid w:val="00850FBB"/>
    <w:rsid w:val="00854BE3"/>
    <w:rsid w:val="008601F3"/>
    <w:rsid w:val="00860A5A"/>
    <w:rsid w:val="00860E63"/>
    <w:rsid w:val="00861F0A"/>
    <w:rsid w:val="00871B7F"/>
    <w:rsid w:val="00883DE9"/>
    <w:rsid w:val="0088501C"/>
    <w:rsid w:val="008861AF"/>
    <w:rsid w:val="0089270C"/>
    <w:rsid w:val="00896B4B"/>
    <w:rsid w:val="008978BB"/>
    <w:rsid w:val="008B54A7"/>
    <w:rsid w:val="008B72E1"/>
    <w:rsid w:val="008C128A"/>
    <w:rsid w:val="008C4BD7"/>
    <w:rsid w:val="008D19BC"/>
    <w:rsid w:val="008D7287"/>
    <w:rsid w:val="008E0F7F"/>
    <w:rsid w:val="008E2ECD"/>
    <w:rsid w:val="008E6689"/>
    <w:rsid w:val="008F53EF"/>
    <w:rsid w:val="00903E9C"/>
    <w:rsid w:val="00906DD1"/>
    <w:rsid w:val="009104DE"/>
    <w:rsid w:val="00910716"/>
    <w:rsid w:val="00912ABB"/>
    <w:rsid w:val="009247EF"/>
    <w:rsid w:val="00930353"/>
    <w:rsid w:val="00932C3F"/>
    <w:rsid w:val="00947D3B"/>
    <w:rsid w:val="009541A5"/>
    <w:rsid w:val="00954200"/>
    <w:rsid w:val="00971432"/>
    <w:rsid w:val="009714F1"/>
    <w:rsid w:val="00980272"/>
    <w:rsid w:val="00980C34"/>
    <w:rsid w:val="00981899"/>
    <w:rsid w:val="00982470"/>
    <w:rsid w:val="00984CF1"/>
    <w:rsid w:val="009935B8"/>
    <w:rsid w:val="00996558"/>
    <w:rsid w:val="009A409E"/>
    <w:rsid w:val="009B12AF"/>
    <w:rsid w:val="009D0D79"/>
    <w:rsid w:val="009D6ADE"/>
    <w:rsid w:val="009E0F9D"/>
    <w:rsid w:val="009F48A6"/>
    <w:rsid w:val="00A0134F"/>
    <w:rsid w:val="00A0726E"/>
    <w:rsid w:val="00A2688A"/>
    <w:rsid w:val="00A27D5A"/>
    <w:rsid w:val="00A33493"/>
    <w:rsid w:val="00A45FC3"/>
    <w:rsid w:val="00A572D4"/>
    <w:rsid w:val="00A604C0"/>
    <w:rsid w:val="00A61269"/>
    <w:rsid w:val="00A62CE5"/>
    <w:rsid w:val="00A64AAA"/>
    <w:rsid w:val="00A664FC"/>
    <w:rsid w:val="00A753F4"/>
    <w:rsid w:val="00A772B3"/>
    <w:rsid w:val="00A77999"/>
    <w:rsid w:val="00A84B4E"/>
    <w:rsid w:val="00A9467A"/>
    <w:rsid w:val="00A9497F"/>
    <w:rsid w:val="00AA3FA4"/>
    <w:rsid w:val="00AC5739"/>
    <w:rsid w:val="00AD4ECD"/>
    <w:rsid w:val="00AD592C"/>
    <w:rsid w:val="00AD7016"/>
    <w:rsid w:val="00AF0451"/>
    <w:rsid w:val="00B11A5C"/>
    <w:rsid w:val="00B14061"/>
    <w:rsid w:val="00B14C07"/>
    <w:rsid w:val="00B27EF5"/>
    <w:rsid w:val="00B32ABC"/>
    <w:rsid w:val="00B43022"/>
    <w:rsid w:val="00B508D7"/>
    <w:rsid w:val="00B6756B"/>
    <w:rsid w:val="00B758C6"/>
    <w:rsid w:val="00B800F5"/>
    <w:rsid w:val="00B83B6A"/>
    <w:rsid w:val="00B85312"/>
    <w:rsid w:val="00B91E3A"/>
    <w:rsid w:val="00BB2DC6"/>
    <w:rsid w:val="00BC0127"/>
    <w:rsid w:val="00BD3673"/>
    <w:rsid w:val="00BD4BE0"/>
    <w:rsid w:val="00BE3D8A"/>
    <w:rsid w:val="00BF77BC"/>
    <w:rsid w:val="00C03E5A"/>
    <w:rsid w:val="00C45DEE"/>
    <w:rsid w:val="00C64A01"/>
    <w:rsid w:val="00C73ADC"/>
    <w:rsid w:val="00C84C34"/>
    <w:rsid w:val="00C857D9"/>
    <w:rsid w:val="00C87364"/>
    <w:rsid w:val="00C87FCF"/>
    <w:rsid w:val="00CA7BE4"/>
    <w:rsid w:val="00CB4CAA"/>
    <w:rsid w:val="00CC0473"/>
    <w:rsid w:val="00CC3C69"/>
    <w:rsid w:val="00CE1F27"/>
    <w:rsid w:val="00CF5280"/>
    <w:rsid w:val="00D036E6"/>
    <w:rsid w:val="00D45647"/>
    <w:rsid w:val="00D50C6D"/>
    <w:rsid w:val="00D51891"/>
    <w:rsid w:val="00D602FA"/>
    <w:rsid w:val="00D627CF"/>
    <w:rsid w:val="00D81518"/>
    <w:rsid w:val="00D85145"/>
    <w:rsid w:val="00D9251B"/>
    <w:rsid w:val="00D9426D"/>
    <w:rsid w:val="00DA1FE2"/>
    <w:rsid w:val="00DB01E7"/>
    <w:rsid w:val="00DC7A3C"/>
    <w:rsid w:val="00DC7B81"/>
    <w:rsid w:val="00DD38F4"/>
    <w:rsid w:val="00DE3A00"/>
    <w:rsid w:val="00DE3DAC"/>
    <w:rsid w:val="00DF5C7A"/>
    <w:rsid w:val="00E16EEF"/>
    <w:rsid w:val="00E27A95"/>
    <w:rsid w:val="00E40F1E"/>
    <w:rsid w:val="00E41829"/>
    <w:rsid w:val="00E57D23"/>
    <w:rsid w:val="00E64FDC"/>
    <w:rsid w:val="00E65E02"/>
    <w:rsid w:val="00E8170C"/>
    <w:rsid w:val="00E82D21"/>
    <w:rsid w:val="00E9248D"/>
    <w:rsid w:val="00E95379"/>
    <w:rsid w:val="00E95C8A"/>
    <w:rsid w:val="00EB65AB"/>
    <w:rsid w:val="00EC466D"/>
    <w:rsid w:val="00ED77AC"/>
    <w:rsid w:val="00EE1E9E"/>
    <w:rsid w:val="00EE51E1"/>
    <w:rsid w:val="00EE5EC6"/>
    <w:rsid w:val="00EE6AFC"/>
    <w:rsid w:val="00F06695"/>
    <w:rsid w:val="00F0717E"/>
    <w:rsid w:val="00F12E8C"/>
    <w:rsid w:val="00F15282"/>
    <w:rsid w:val="00F359A1"/>
    <w:rsid w:val="00F510F8"/>
    <w:rsid w:val="00F514A3"/>
    <w:rsid w:val="00F66332"/>
    <w:rsid w:val="00F706AC"/>
    <w:rsid w:val="00F75C7B"/>
    <w:rsid w:val="00F85BC0"/>
    <w:rsid w:val="00F93C06"/>
    <w:rsid w:val="00F97C22"/>
    <w:rsid w:val="00FB53B7"/>
    <w:rsid w:val="00FC280A"/>
    <w:rsid w:val="00FD6638"/>
    <w:rsid w:val="00FE338A"/>
    <w:rsid w:val="00FF22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CCA3"/>
  <w15:chartTrackingRefBased/>
  <w15:docId w15:val="{E0FEC284-093A-4E21-949C-D9D2F75B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12"/>
    <w:pPr>
      <w:spacing w:after="0" w:line="25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54A12"/>
    <w:pPr>
      <w:spacing w:line="240" w:lineRule="auto"/>
    </w:pPr>
    <w:rPr>
      <w:sz w:val="20"/>
      <w:szCs w:val="20"/>
    </w:rPr>
  </w:style>
  <w:style w:type="character" w:customStyle="1" w:styleId="FootnoteTextChar">
    <w:name w:val="Footnote Text Char"/>
    <w:basedOn w:val="DefaultParagraphFont"/>
    <w:link w:val="FootnoteText"/>
    <w:uiPriority w:val="99"/>
    <w:rsid w:val="00354A12"/>
    <w:rPr>
      <w:rFonts w:cstheme="minorBidi"/>
      <w:sz w:val="20"/>
      <w:szCs w:val="20"/>
    </w:rPr>
  </w:style>
  <w:style w:type="paragraph" w:styleId="ListParagraph">
    <w:name w:val="List Paragraph"/>
    <w:basedOn w:val="Normal"/>
    <w:uiPriority w:val="99"/>
    <w:qFormat/>
    <w:rsid w:val="00354A12"/>
    <w:pPr>
      <w:ind w:left="720"/>
      <w:contextualSpacing/>
    </w:pPr>
  </w:style>
  <w:style w:type="character" w:styleId="FootnoteReference">
    <w:name w:val="footnote reference"/>
    <w:basedOn w:val="DefaultParagraphFont"/>
    <w:uiPriority w:val="99"/>
    <w:semiHidden/>
    <w:unhideWhenUsed/>
    <w:rsid w:val="00354A12"/>
    <w:rPr>
      <w:vertAlign w:val="superscript"/>
    </w:rPr>
  </w:style>
  <w:style w:type="paragraph" w:customStyle="1" w:styleId="LegalList1">
    <w:name w:val="Legal_List1"/>
    <w:basedOn w:val="Normal"/>
    <w:semiHidden/>
    <w:rsid w:val="00A572D4"/>
    <w:pPr>
      <w:suppressAutoHyphens/>
      <w:spacing w:after="360" w:line="480" w:lineRule="auto"/>
      <w:jc w:val="both"/>
      <w:outlineLvl w:val="0"/>
    </w:pPr>
    <w:rPr>
      <w:rFonts w:eastAsia="Times New Roman" w:cs="Times New Roman"/>
      <w:szCs w:val="24"/>
      <w:lang w:val="en-GB" w:eastAsia="en-GB"/>
    </w:rPr>
  </w:style>
  <w:style w:type="paragraph" w:customStyle="1" w:styleId="LegalHeading2">
    <w:name w:val="Legal_Heading2"/>
    <w:basedOn w:val="LegalNormal"/>
    <w:next w:val="Normal"/>
    <w:semiHidden/>
    <w:rsid w:val="00A572D4"/>
    <w:pPr>
      <w:keepNext/>
      <w:numPr>
        <w:ilvl w:val="1"/>
        <w:numId w:val="2"/>
      </w:numPr>
      <w:tabs>
        <w:tab w:val="left" w:pos="3402"/>
        <w:tab w:val="left" w:pos="3969"/>
      </w:tabs>
      <w:outlineLvl w:val="1"/>
    </w:pPr>
    <w:rPr>
      <w:b/>
    </w:rPr>
  </w:style>
  <w:style w:type="paragraph" w:customStyle="1" w:styleId="LegalHeading3">
    <w:name w:val="Legal_Heading3"/>
    <w:basedOn w:val="LegalNormal"/>
    <w:next w:val="Normal"/>
    <w:semiHidden/>
    <w:rsid w:val="00A572D4"/>
    <w:pPr>
      <w:keepNext/>
      <w:numPr>
        <w:ilvl w:val="2"/>
        <w:numId w:val="2"/>
      </w:numPr>
      <w:tabs>
        <w:tab w:val="left" w:pos="3969"/>
        <w:tab w:val="left" w:pos="4536"/>
      </w:tabs>
      <w:outlineLvl w:val="2"/>
    </w:pPr>
    <w:rPr>
      <w:b/>
    </w:rPr>
  </w:style>
  <w:style w:type="paragraph" w:customStyle="1" w:styleId="LegalHeading4">
    <w:name w:val="Legal_Heading4"/>
    <w:basedOn w:val="LegalNormal"/>
    <w:next w:val="Normal"/>
    <w:semiHidden/>
    <w:rsid w:val="00A572D4"/>
    <w:pPr>
      <w:keepNext/>
      <w:numPr>
        <w:ilvl w:val="3"/>
        <w:numId w:val="2"/>
      </w:numPr>
      <w:spacing w:after="240"/>
      <w:outlineLvl w:val="3"/>
    </w:pPr>
    <w:rPr>
      <w:b/>
    </w:rPr>
  </w:style>
  <w:style w:type="paragraph" w:customStyle="1" w:styleId="LegalHeading5">
    <w:name w:val="Legal_Heading5"/>
    <w:basedOn w:val="LegalNormal"/>
    <w:next w:val="Normal"/>
    <w:semiHidden/>
    <w:rsid w:val="00A572D4"/>
    <w:pPr>
      <w:keepNext/>
      <w:numPr>
        <w:ilvl w:val="4"/>
        <w:numId w:val="2"/>
      </w:numPr>
      <w:spacing w:after="240"/>
      <w:outlineLvl w:val="4"/>
    </w:pPr>
    <w:rPr>
      <w:b/>
    </w:rPr>
  </w:style>
  <w:style w:type="paragraph" w:customStyle="1" w:styleId="LegalNormal">
    <w:name w:val="Legal_Normal"/>
    <w:basedOn w:val="Normal"/>
    <w:rsid w:val="00A572D4"/>
    <w:pPr>
      <w:suppressAutoHyphens/>
      <w:spacing w:after="360" w:line="480" w:lineRule="auto"/>
      <w:jc w:val="both"/>
    </w:pPr>
    <w:rPr>
      <w:rFonts w:eastAsia="Times New Roman" w:cs="Times New Roman"/>
      <w:szCs w:val="24"/>
      <w:lang w:val="en-GB" w:eastAsia="en-GB"/>
    </w:rPr>
  </w:style>
  <w:style w:type="paragraph" w:styleId="Header">
    <w:name w:val="header"/>
    <w:basedOn w:val="Normal"/>
    <w:link w:val="HeaderChar"/>
    <w:uiPriority w:val="99"/>
    <w:unhideWhenUsed/>
    <w:rsid w:val="00A572D4"/>
    <w:pPr>
      <w:tabs>
        <w:tab w:val="center" w:pos="4513"/>
        <w:tab w:val="right" w:pos="9026"/>
      </w:tabs>
      <w:spacing w:line="240" w:lineRule="auto"/>
    </w:pPr>
  </w:style>
  <w:style w:type="character" w:customStyle="1" w:styleId="HeaderChar">
    <w:name w:val="Header Char"/>
    <w:basedOn w:val="DefaultParagraphFont"/>
    <w:link w:val="Header"/>
    <w:uiPriority w:val="99"/>
    <w:rsid w:val="00A572D4"/>
    <w:rPr>
      <w:rFonts w:cstheme="minorBidi"/>
      <w:szCs w:val="22"/>
    </w:rPr>
  </w:style>
  <w:style w:type="paragraph" w:styleId="Footer">
    <w:name w:val="footer"/>
    <w:basedOn w:val="Normal"/>
    <w:link w:val="FooterChar"/>
    <w:uiPriority w:val="99"/>
    <w:unhideWhenUsed/>
    <w:rsid w:val="00A572D4"/>
    <w:pPr>
      <w:tabs>
        <w:tab w:val="center" w:pos="4513"/>
        <w:tab w:val="right" w:pos="9026"/>
      </w:tabs>
      <w:spacing w:line="240" w:lineRule="auto"/>
    </w:pPr>
  </w:style>
  <w:style w:type="character" w:customStyle="1" w:styleId="FooterChar">
    <w:name w:val="Footer Char"/>
    <w:basedOn w:val="DefaultParagraphFont"/>
    <w:link w:val="Footer"/>
    <w:uiPriority w:val="99"/>
    <w:rsid w:val="00A572D4"/>
    <w:rPr>
      <w:rFonts w:cstheme="minorBidi"/>
      <w:szCs w:val="22"/>
    </w:rPr>
  </w:style>
  <w:style w:type="paragraph" w:styleId="BalloonText">
    <w:name w:val="Balloon Text"/>
    <w:basedOn w:val="Normal"/>
    <w:link w:val="BalloonTextChar"/>
    <w:uiPriority w:val="99"/>
    <w:semiHidden/>
    <w:unhideWhenUsed/>
    <w:rsid w:val="000457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7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06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1064C-AB93-4875-BC33-0E0CB8E14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2125</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Mariana Anguelov</cp:lastModifiedBy>
  <cp:revision>3</cp:revision>
  <cp:lastPrinted>2022-10-29T16:24:00Z</cp:lastPrinted>
  <dcterms:created xsi:type="dcterms:W3CDTF">2022-11-02T12:52:00Z</dcterms:created>
  <dcterms:modified xsi:type="dcterms:W3CDTF">2022-11-07T20:04:00Z</dcterms:modified>
  <cp:contentStatus/>
</cp:coreProperties>
</file>