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DA05" w14:textId="77777777" w:rsidR="00897A64" w:rsidRDefault="00897A64" w:rsidP="00897A64">
      <w:pPr>
        <w:spacing w:line="360" w:lineRule="auto"/>
        <w:jc w:val="center"/>
        <w:rPr>
          <w:rFonts w:ascii="Times New Roman" w:hAnsi="Times New Roman" w:cs="Times New Roman"/>
          <w:sz w:val="28"/>
          <w:szCs w:val="28"/>
        </w:rPr>
      </w:pPr>
      <w:r>
        <w:rPr>
          <w:noProof/>
          <w:lang w:eastAsia="en-ZA"/>
        </w:rPr>
        <w:drawing>
          <wp:inline distT="0" distB="0" distL="0" distR="0" wp14:anchorId="057D8AE9" wp14:editId="3C46C60A">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3A5BE49B" w14:textId="77777777" w:rsidR="00897A64" w:rsidRPr="00701B17" w:rsidRDefault="00897A64" w:rsidP="00F20594">
      <w:pPr>
        <w:spacing w:line="276"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725DF2A3" w14:textId="77777777" w:rsidR="00897A64" w:rsidRPr="00701B17" w:rsidRDefault="00897A64" w:rsidP="00F20594">
      <w:pPr>
        <w:spacing w:line="276"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14:paraId="19323960" w14:textId="77777777" w:rsidR="00897A64" w:rsidRDefault="00897A64" w:rsidP="00F20594">
      <w:pPr>
        <w:spacing w:line="276"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14:paraId="36CFC98E" w14:textId="77777777" w:rsidR="00897A64" w:rsidRPr="00701B17" w:rsidRDefault="00897A64" w:rsidP="00F20594">
      <w:pPr>
        <w:spacing w:line="276"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r>
      <w:r w:rsidRPr="00701B17">
        <w:rPr>
          <w:rFonts w:ascii="Times New Roman" w:hAnsi="Times New Roman" w:cs="Times New Roman"/>
          <w:b/>
          <w:sz w:val="28"/>
          <w:szCs w:val="28"/>
        </w:rPr>
        <w:t xml:space="preserve">CASE NO. </w:t>
      </w:r>
      <w:r>
        <w:rPr>
          <w:rFonts w:ascii="Times New Roman" w:hAnsi="Times New Roman" w:cs="Times New Roman"/>
          <w:b/>
          <w:sz w:val="28"/>
          <w:szCs w:val="28"/>
        </w:rPr>
        <w:t>3443/2021</w:t>
      </w:r>
    </w:p>
    <w:p w14:paraId="5C741078" w14:textId="77777777" w:rsidR="00897A64" w:rsidRDefault="00897A64" w:rsidP="00F20594">
      <w:pPr>
        <w:spacing w:line="276"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6BA8BB29" w14:textId="77777777" w:rsidR="00897A64" w:rsidRDefault="00897A64" w:rsidP="00F20594">
      <w:pPr>
        <w:spacing w:line="276" w:lineRule="auto"/>
        <w:jc w:val="both"/>
        <w:rPr>
          <w:rFonts w:ascii="Times New Roman" w:hAnsi="Times New Roman" w:cs="Times New Roman"/>
          <w:sz w:val="28"/>
          <w:szCs w:val="28"/>
        </w:rPr>
      </w:pPr>
    </w:p>
    <w:p w14:paraId="4320FF7E" w14:textId="77777777" w:rsidR="00897A64" w:rsidRDefault="00897A64" w:rsidP="00F20594">
      <w:pPr>
        <w:spacing w:line="276" w:lineRule="auto"/>
        <w:jc w:val="both"/>
        <w:rPr>
          <w:rFonts w:ascii="Times New Roman" w:hAnsi="Times New Roman" w:cs="Times New Roman"/>
          <w:sz w:val="28"/>
          <w:szCs w:val="28"/>
        </w:rPr>
      </w:pPr>
      <w:r>
        <w:rPr>
          <w:rFonts w:ascii="Times New Roman" w:hAnsi="Times New Roman" w:cs="Times New Roman"/>
          <w:b/>
          <w:sz w:val="28"/>
          <w:szCs w:val="28"/>
        </w:rPr>
        <w:t>NTOMBOXOLO DYIBISHE N.O.</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Plaintiff</w:t>
      </w:r>
    </w:p>
    <w:p w14:paraId="63F65851" w14:textId="77777777" w:rsidR="00897A64" w:rsidRDefault="00897A64" w:rsidP="00F20594">
      <w:pPr>
        <w:spacing w:line="276" w:lineRule="auto"/>
        <w:jc w:val="both"/>
        <w:rPr>
          <w:rFonts w:ascii="Times New Roman" w:hAnsi="Times New Roman" w:cs="Times New Roman"/>
          <w:sz w:val="28"/>
          <w:szCs w:val="28"/>
        </w:rPr>
      </w:pPr>
    </w:p>
    <w:p w14:paraId="7CA70991" w14:textId="77777777" w:rsidR="00897A64" w:rsidRDefault="00897A64" w:rsidP="00F20594">
      <w:pPr>
        <w:spacing w:line="276" w:lineRule="auto"/>
        <w:jc w:val="both"/>
        <w:rPr>
          <w:rFonts w:ascii="Times New Roman" w:hAnsi="Times New Roman" w:cs="Times New Roman"/>
          <w:sz w:val="28"/>
          <w:szCs w:val="28"/>
        </w:rPr>
      </w:pPr>
      <w:r>
        <w:rPr>
          <w:rFonts w:ascii="Times New Roman" w:hAnsi="Times New Roman" w:cs="Times New Roman"/>
          <w:sz w:val="28"/>
          <w:szCs w:val="28"/>
        </w:rPr>
        <w:t>and</w:t>
      </w:r>
    </w:p>
    <w:p w14:paraId="2F270054" w14:textId="77777777" w:rsidR="00897A64" w:rsidRDefault="00897A64" w:rsidP="00F20594">
      <w:pPr>
        <w:spacing w:line="276" w:lineRule="auto"/>
        <w:jc w:val="both"/>
        <w:rPr>
          <w:rFonts w:ascii="Times New Roman" w:hAnsi="Times New Roman" w:cs="Times New Roman"/>
          <w:sz w:val="28"/>
          <w:szCs w:val="28"/>
        </w:rPr>
      </w:pPr>
    </w:p>
    <w:p w14:paraId="06446BB7" w14:textId="77777777" w:rsidR="00897A64" w:rsidRDefault="00897A64" w:rsidP="00F20594">
      <w:pPr>
        <w:spacing w:line="276" w:lineRule="auto"/>
        <w:jc w:val="both"/>
        <w:rPr>
          <w:rFonts w:ascii="Times New Roman" w:hAnsi="Times New Roman" w:cs="Times New Roman"/>
          <w:sz w:val="28"/>
          <w:szCs w:val="28"/>
        </w:rPr>
      </w:pPr>
      <w:r>
        <w:rPr>
          <w:rFonts w:ascii="Times New Roman" w:hAnsi="Times New Roman" w:cs="Times New Roman"/>
          <w:b/>
          <w:sz w:val="28"/>
          <w:szCs w:val="28"/>
        </w:rPr>
        <w:t>NONKULELEKO SHENXANE</w:t>
      </w:r>
      <w:r w:rsidR="00F20594">
        <w:rPr>
          <w:rFonts w:ascii="Times New Roman" w:hAnsi="Times New Roman" w:cs="Times New Roman"/>
          <w:sz w:val="28"/>
          <w:szCs w:val="28"/>
        </w:rPr>
        <w:tab/>
      </w:r>
      <w:r w:rsidR="00F20594">
        <w:rPr>
          <w:rFonts w:ascii="Times New Roman" w:hAnsi="Times New Roman" w:cs="Times New Roman"/>
          <w:sz w:val="28"/>
          <w:szCs w:val="28"/>
        </w:rPr>
        <w:tab/>
      </w:r>
      <w:r w:rsidR="00F20594">
        <w:rPr>
          <w:rFonts w:ascii="Times New Roman" w:hAnsi="Times New Roman" w:cs="Times New Roman"/>
          <w:sz w:val="28"/>
          <w:szCs w:val="28"/>
        </w:rPr>
        <w:tab/>
      </w:r>
      <w:r w:rsidR="00F20594">
        <w:rPr>
          <w:rFonts w:ascii="Times New Roman" w:hAnsi="Times New Roman" w:cs="Times New Roman"/>
          <w:sz w:val="28"/>
          <w:szCs w:val="28"/>
        </w:rPr>
        <w:tab/>
      </w:r>
      <w:r w:rsidR="00F20594">
        <w:rPr>
          <w:rFonts w:ascii="Times New Roman" w:hAnsi="Times New Roman" w:cs="Times New Roman"/>
          <w:sz w:val="28"/>
          <w:szCs w:val="28"/>
        </w:rPr>
        <w:tab/>
        <w:t xml:space="preserve"> </w:t>
      </w:r>
      <w:r w:rsidRPr="00897A64">
        <w:rPr>
          <w:rFonts w:ascii="Times New Roman" w:hAnsi="Times New Roman" w:cs="Times New Roman"/>
          <w:sz w:val="28"/>
          <w:szCs w:val="28"/>
        </w:rPr>
        <w:t>First</w:t>
      </w:r>
      <w:r>
        <w:rPr>
          <w:rFonts w:ascii="Times New Roman" w:hAnsi="Times New Roman" w:cs="Times New Roman"/>
          <w:sz w:val="28"/>
          <w:szCs w:val="28"/>
        </w:rPr>
        <w:t xml:space="preserve"> Defendant</w:t>
      </w:r>
    </w:p>
    <w:p w14:paraId="09E4ECC1" w14:textId="77777777" w:rsidR="00F20594" w:rsidRDefault="00F20594" w:rsidP="00F20594">
      <w:pPr>
        <w:spacing w:line="276" w:lineRule="auto"/>
        <w:jc w:val="both"/>
        <w:rPr>
          <w:rFonts w:ascii="Times New Roman" w:hAnsi="Times New Roman" w:cs="Times New Roman"/>
          <w:b/>
          <w:sz w:val="28"/>
          <w:szCs w:val="28"/>
        </w:rPr>
      </w:pPr>
    </w:p>
    <w:p w14:paraId="2E5B4E1A" w14:textId="77777777" w:rsidR="00897A64" w:rsidRDefault="00897A64" w:rsidP="00F20594">
      <w:pPr>
        <w:spacing w:line="276" w:lineRule="auto"/>
        <w:jc w:val="both"/>
        <w:rPr>
          <w:rFonts w:ascii="Times New Roman" w:hAnsi="Times New Roman" w:cs="Times New Roman"/>
          <w:sz w:val="28"/>
          <w:szCs w:val="28"/>
        </w:rPr>
      </w:pPr>
      <w:r w:rsidRPr="00897A64">
        <w:rPr>
          <w:rFonts w:ascii="Times New Roman" w:hAnsi="Times New Roman" w:cs="Times New Roman"/>
          <w:b/>
          <w:sz w:val="28"/>
          <w:szCs w:val="28"/>
        </w:rPr>
        <w:t>MAKHAYA XHALABILE</w:t>
      </w:r>
      <w:r w:rsidR="00F20594">
        <w:rPr>
          <w:rFonts w:ascii="Times New Roman" w:hAnsi="Times New Roman" w:cs="Times New Roman"/>
          <w:sz w:val="28"/>
          <w:szCs w:val="28"/>
        </w:rPr>
        <w:tab/>
      </w:r>
      <w:r w:rsidR="00F20594">
        <w:rPr>
          <w:rFonts w:ascii="Times New Roman" w:hAnsi="Times New Roman" w:cs="Times New Roman"/>
          <w:sz w:val="28"/>
          <w:szCs w:val="28"/>
        </w:rPr>
        <w:tab/>
      </w:r>
      <w:r w:rsidR="00F20594">
        <w:rPr>
          <w:rFonts w:ascii="Times New Roman" w:hAnsi="Times New Roman" w:cs="Times New Roman"/>
          <w:sz w:val="28"/>
          <w:szCs w:val="28"/>
        </w:rPr>
        <w:tab/>
      </w:r>
      <w:r w:rsidR="00F20594">
        <w:rPr>
          <w:rFonts w:ascii="Times New Roman" w:hAnsi="Times New Roman" w:cs="Times New Roman"/>
          <w:sz w:val="28"/>
          <w:szCs w:val="28"/>
        </w:rPr>
        <w:tab/>
      </w:r>
      <w:r w:rsidR="00F20594">
        <w:rPr>
          <w:rFonts w:ascii="Times New Roman" w:hAnsi="Times New Roman" w:cs="Times New Roman"/>
          <w:sz w:val="28"/>
          <w:szCs w:val="28"/>
        </w:rPr>
        <w:tab/>
        <w:t xml:space="preserve">       </w:t>
      </w:r>
      <w:r>
        <w:rPr>
          <w:rFonts w:ascii="Times New Roman" w:hAnsi="Times New Roman" w:cs="Times New Roman"/>
          <w:sz w:val="28"/>
          <w:szCs w:val="28"/>
        </w:rPr>
        <w:t>Second Defendant</w:t>
      </w:r>
    </w:p>
    <w:p w14:paraId="7FD018CD" w14:textId="77777777" w:rsidR="00F20594" w:rsidRDefault="00F20594" w:rsidP="00F20594">
      <w:pPr>
        <w:spacing w:line="276" w:lineRule="auto"/>
        <w:jc w:val="both"/>
        <w:rPr>
          <w:rFonts w:ascii="Times New Roman" w:hAnsi="Times New Roman" w:cs="Times New Roman"/>
          <w:b/>
          <w:sz w:val="28"/>
          <w:szCs w:val="28"/>
        </w:rPr>
      </w:pPr>
    </w:p>
    <w:p w14:paraId="6D547D1C" w14:textId="77777777" w:rsidR="00897A64" w:rsidRDefault="00897A64" w:rsidP="00F20594">
      <w:pPr>
        <w:spacing w:line="276" w:lineRule="auto"/>
        <w:jc w:val="both"/>
        <w:rPr>
          <w:rFonts w:ascii="Times New Roman" w:hAnsi="Times New Roman" w:cs="Times New Roman"/>
          <w:sz w:val="28"/>
          <w:szCs w:val="28"/>
        </w:rPr>
      </w:pPr>
      <w:r w:rsidRPr="00897A64">
        <w:rPr>
          <w:rFonts w:ascii="Times New Roman" w:hAnsi="Times New Roman" w:cs="Times New Roman"/>
          <w:b/>
          <w:sz w:val="28"/>
          <w:szCs w:val="28"/>
        </w:rPr>
        <w:t>NOMATHAMSANQA DYIBISHE</w:t>
      </w:r>
      <w:r w:rsidR="00F20594">
        <w:rPr>
          <w:rFonts w:ascii="Times New Roman" w:hAnsi="Times New Roman" w:cs="Times New Roman"/>
          <w:b/>
          <w:sz w:val="28"/>
          <w:szCs w:val="28"/>
        </w:rPr>
        <w:tab/>
      </w:r>
      <w:r w:rsidR="00F20594">
        <w:rPr>
          <w:rFonts w:ascii="Times New Roman" w:hAnsi="Times New Roman" w:cs="Times New Roman"/>
          <w:b/>
          <w:sz w:val="28"/>
          <w:szCs w:val="28"/>
        </w:rPr>
        <w:tab/>
      </w:r>
      <w:r w:rsidR="00F20594">
        <w:rPr>
          <w:rFonts w:ascii="Times New Roman" w:hAnsi="Times New Roman" w:cs="Times New Roman"/>
          <w:b/>
          <w:sz w:val="28"/>
          <w:szCs w:val="28"/>
        </w:rPr>
        <w:tab/>
      </w:r>
      <w:r w:rsidR="00F20594">
        <w:rPr>
          <w:rFonts w:ascii="Times New Roman" w:hAnsi="Times New Roman" w:cs="Times New Roman"/>
          <w:b/>
          <w:sz w:val="28"/>
          <w:szCs w:val="28"/>
        </w:rPr>
        <w:tab/>
        <w:t xml:space="preserve">          </w:t>
      </w:r>
      <w:r>
        <w:rPr>
          <w:rFonts w:ascii="Times New Roman" w:hAnsi="Times New Roman" w:cs="Times New Roman"/>
          <w:sz w:val="28"/>
          <w:szCs w:val="28"/>
        </w:rPr>
        <w:t>Third Defendant</w:t>
      </w:r>
    </w:p>
    <w:p w14:paraId="5D509920" w14:textId="77777777" w:rsidR="00354A12" w:rsidRDefault="00354A12" w:rsidP="00F20594">
      <w:pPr>
        <w:spacing w:line="276" w:lineRule="auto"/>
        <w:jc w:val="both"/>
        <w:rPr>
          <w:rFonts w:ascii="Times New Roman" w:hAnsi="Times New Roman" w:cs="Times New Roman"/>
          <w:sz w:val="28"/>
          <w:szCs w:val="28"/>
        </w:rPr>
      </w:pPr>
    </w:p>
    <w:p w14:paraId="780F4780" w14:textId="77777777" w:rsidR="00801B9A" w:rsidRPr="00C114C8" w:rsidRDefault="00801B9A" w:rsidP="00F20594">
      <w:pPr>
        <w:spacing w:line="276" w:lineRule="auto"/>
        <w:jc w:val="both"/>
        <w:rPr>
          <w:rFonts w:ascii="Times New Roman" w:hAnsi="Times New Roman" w:cs="Times New Roman"/>
          <w:sz w:val="28"/>
          <w:szCs w:val="28"/>
        </w:rPr>
      </w:pPr>
    </w:p>
    <w:p w14:paraId="7D36E265" w14:textId="77777777" w:rsidR="00354A12" w:rsidRPr="00C114C8" w:rsidRDefault="00354A12" w:rsidP="00354A12">
      <w:pPr>
        <w:pBdr>
          <w:bottom w:val="single" w:sz="12" w:space="1" w:color="auto"/>
        </w:pBdr>
        <w:spacing w:line="240" w:lineRule="auto"/>
        <w:jc w:val="both"/>
        <w:rPr>
          <w:rFonts w:ascii="Times New Roman" w:hAnsi="Times New Roman" w:cs="Times New Roman"/>
          <w:sz w:val="28"/>
          <w:szCs w:val="28"/>
        </w:rPr>
      </w:pPr>
    </w:p>
    <w:p w14:paraId="3D984849" w14:textId="77777777" w:rsidR="00354A12" w:rsidRPr="00C114C8" w:rsidRDefault="00354A12" w:rsidP="00354A12">
      <w:pPr>
        <w:spacing w:line="240" w:lineRule="auto"/>
        <w:jc w:val="both"/>
        <w:rPr>
          <w:rFonts w:ascii="Times New Roman" w:hAnsi="Times New Roman" w:cs="Times New Roman"/>
          <w:sz w:val="28"/>
          <w:szCs w:val="28"/>
        </w:rPr>
      </w:pPr>
    </w:p>
    <w:p w14:paraId="1619DB49" w14:textId="77777777" w:rsidR="00354A12" w:rsidRPr="00C114C8" w:rsidRDefault="00354A12" w:rsidP="00354A12">
      <w:pPr>
        <w:pBdr>
          <w:bottom w:val="single" w:sz="12" w:space="1" w:color="auto"/>
        </w:pBdr>
        <w:spacing w:line="240" w:lineRule="auto"/>
        <w:jc w:val="center"/>
        <w:rPr>
          <w:rFonts w:ascii="Times New Roman" w:hAnsi="Times New Roman" w:cs="Times New Roman"/>
          <w:b/>
          <w:sz w:val="28"/>
          <w:szCs w:val="28"/>
        </w:rPr>
      </w:pPr>
      <w:r w:rsidRPr="00C114C8">
        <w:rPr>
          <w:rFonts w:ascii="Times New Roman" w:hAnsi="Times New Roman" w:cs="Times New Roman"/>
          <w:b/>
          <w:sz w:val="28"/>
          <w:szCs w:val="28"/>
        </w:rPr>
        <w:t>JUDGMENT</w:t>
      </w:r>
    </w:p>
    <w:p w14:paraId="78FE2CEC" w14:textId="77777777" w:rsidR="00354A12" w:rsidRPr="00C114C8" w:rsidRDefault="00354A12" w:rsidP="00354A12">
      <w:pPr>
        <w:pBdr>
          <w:bottom w:val="single" w:sz="12" w:space="1" w:color="auto"/>
        </w:pBdr>
        <w:spacing w:line="240" w:lineRule="auto"/>
        <w:jc w:val="both"/>
        <w:rPr>
          <w:rFonts w:ascii="Times New Roman" w:hAnsi="Times New Roman" w:cs="Times New Roman"/>
          <w:sz w:val="28"/>
          <w:szCs w:val="28"/>
        </w:rPr>
      </w:pPr>
    </w:p>
    <w:p w14:paraId="4A0E5CC9" w14:textId="77777777" w:rsidR="00354A12" w:rsidRPr="00C114C8" w:rsidRDefault="00354A12" w:rsidP="00354A12">
      <w:pPr>
        <w:spacing w:line="240" w:lineRule="auto"/>
        <w:jc w:val="both"/>
        <w:rPr>
          <w:rFonts w:ascii="Times New Roman" w:hAnsi="Times New Roman" w:cs="Times New Roman"/>
          <w:sz w:val="28"/>
          <w:szCs w:val="28"/>
        </w:rPr>
      </w:pPr>
    </w:p>
    <w:p w14:paraId="240A5906" w14:textId="77777777" w:rsidR="00354A12" w:rsidRPr="00C114C8" w:rsidRDefault="00354A12" w:rsidP="00354A12">
      <w:pPr>
        <w:spacing w:line="360" w:lineRule="auto"/>
        <w:jc w:val="both"/>
        <w:rPr>
          <w:rFonts w:ascii="Times New Roman" w:hAnsi="Times New Roman" w:cs="Times New Roman"/>
          <w:b/>
          <w:sz w:val="28"/>
          <w:szCs w:val="28"/>
        </w:rPr>
      </w:pPr>
    </w:p>
    <w:p w14:paraId="3C05F207" w14:textId="77777777" w:rsidR="00354A12" w:rsidRPr="00C114C8" w:rsidRDefault="00354A12" w:rsidP="00354A12">
      <w:pPr>
        <w:spacing w:line="360" w:lineRule="auto"/>
        <w:jc w:val="both"/>
        <w:rPr>
          <w:rFonts w:ascii="Times New Roman" w:hAnsi="Times New Roman" w:cs="Times New Roman"/>
          <w:b/>
          <w:sz w:val="28"/>
          <w:szCs w:val="28"/>
        </w:rPr>
      </w:pPr>
      <w:proofErr w:type="gramStart"/>
      <w:r w:rsidRPr="00C114C8">
        <w:rPr>
          <w:rFonts w:ascii="Times New Roman" w:hAnsi="Times New Roman" w:cs="Times New Roman"/>
          <w:b/>
          <w:sz w:val="28"/>
          <w:szCs w:val="28"/>
        </w:rPr>
        <w:t>RUGUNANAN</w:t>
      </w:r>
      <w:r w:rsidR="003C3BAD" w:rsidRPr="00C114C8">
        <w:rPr>
          <w:rFonts w:ascii="Times New Roman" w:hAnsi="Times New Roman" w:cs="Times New Roman"/>
          <w:b/>
          <w:sz w:val="28"/>
          <w:szCs w:val="28"/>
        </w:rPr>
        <w:t xml:space="preserve">  </w:t>
      </w:r>
      <w:r w:rsidR="00D45647" w:rsidRPr="00C114C8">
        <w:rPr>
          <w:rFonts w:ascii="Times New Roman" w:hAnsi="Times New Roman" w:cs="Times New Roman"/>
          <w:b/>
          <w:sz w:val="28"/>
          <w:szCs w:val="28"/>
        </w:rPr>
        <w:t>J</w:t>
      </w:r>
      <w:proofErr w:type="gramEnd"/>
    </w:p>
    <w:p w14:paraId="4B22CEE2" w14:textId="77777777" w:rsidR="00354A12" w:rsidRPr="00C114C8" w:rsidRDefault="00354A12" w:rsidP="00354A12">
      <w:pPr>
        <w:spacing w:line="360" w:lineRule="auto"/>
        <w:jc w:val="both"/>
        <w:rPr>
          <w:rFonts w:ascii="Times New Roman" w:hAnsi="Times New Roman" w:cs="Times New Roman"/>
          <w:b/>
          <w:sz w:val="28"/>
          <w:szCs w:val="28"/>
        </w:rPr>
      </w:pPr>
    </w:p>
    <w:p w14:paraId="116793DD" w14:textId="55A7CC53" w:rsidR="00145B7F" w:rsidRPr="00145B7F" w:rsidRDefault="00731AA4" w:rsidP="00731AA4">
      <w:pPr>
        <w:pStyle w:val="LegalList1"/>
        <w:spacing w:line="360" w:lineRule="auto"/>
        <w:ind w:left="851" w:hanging="851"/>
        <w:rPr>
          <w:rFonts w:ascii="Times New Roman" w:hAnsi="Times New Roman"/>
          <w:sz w:val="28"/>
          <w:szCs w:val="28"/>
        </w:rPr>
      </w:pPr>
      <w:r w:rsidRPr="00145B7F">
        <w:rPr>
          <w:rFonts w:ascii="Times New Roman" w:hAnsi="Times New Roman"/>
          <w:sz w:val="28"/>
          <w:szCs w:val="28"/>
        </w:rPr>
        <w:t>[1]</w:t>
      </w:r>
      <w:r w:rsidRPr="00145B7F">
        <w:rPr>
          <w:rFonts w:ascii="Times New Roman" w:hAnsi="Times New Roman"/>
          <w:sz w:val="28"/>
          <w:szCs w:val="28"/>
        </w:rPr>
        <w:tab/>
      </w:r>
      <w:r w:rsidR="0089657A" w:rsidRPr="00C114C8">
        <w:rPr>
          <w:rFonts w:ascii="Times New Roman" w:hAnsi="Times New Roman"/>
          <w:color w:val="000000"/>
          <w:sz w:val="28"/>
          <w:szCs w:val="28"/>
        </w:rPr>
        <w:t xml:space="preserve">These are exception proceedings </w:t>
      </w:r>
      <w:r w:rsidR="002D5EA5">
        <w:rPr>
          <w:rFonts w:ascii="Times New Roman" w:hAnsi="Times New Roman"/>
          <w:color w:val="000000"/>
          <w:sz w:val="28"/>
          <w:szCs w:val="28"/>
        </w:rPr>
        <w:t xml:space="preserve">at the </w:t>
      </w:r>
      <w:r w:rsidR="0063024B">
        <w:rPr>
          <w:rFonts w:ascii="Times New Roman" w:hAnsi="Times New Roman"/>
          <w:color w:val="000000"/>
          <w:sz w:val="28"/>
          <w:szCs w:val="28"/>
        </w:rPr>
        <w:t>i</w:t>
      </w:r>
      <w:r w:rsidR="00145B7F">
        <w:rPr>
          <w:rFonts w:ascii="Times New Roman" w:hAnsi="Times New Roman"/>
          <w:color w:val="000000"/>
          <w:sz w:val="28"/>
          <w:szCs w:val="28"/>
        </w:rPr>
        <w:t>nstance of the first defendant.</w:t>
      </w:r>
    </w:p>
    <w:p w14:paraId="4DA03E01" w14:textId="6192BE9F" w:rsidR="00954F09" w:rsidRPr="00954F09" w:rsidRDefault="00731AA4" w:rsidP="00731AA4">
      <w:pPr>
        <w:pStyle w:val="LegalList1"/>
        <w:spacing w:line="360" w:lineRule="auto"/>
        <w:ind w:left="851" w:hanging="851"/>
        <w:rPr>
          <w:rFonts w:ascii="Times New Roman" w:hAnsi="Times New Roman"/>
          <w:sz w:val="28"/>
          <w:szCs w:val="28"/>
        </w:rPr>
      </w:pPr>
      <w:r w:rsidRPr="00954F09">
        <w:rPr>
          <w:rFonts w:ascii="Times New Roman" w:hAnsi="Times New Roman"/>
          <w:sz w:val="28"/>
          <w:szCs w:val="28"/>
        </w:rPr>
        <w:t>[2]</w:t>
      </w:r>
      <w:r w:rsidRPr="00954F09">
        <w:rPr>
          <w:rFonts w:ascii="Times New Roman" w:hAnsi="Times New Roman"/>
          <w:sz w:val="28"/>
          <w:szCs w:val="28"/>
        </w:rPr>
        <w:tab/>
      </w:r>
      <w:r w:rsidR="0063024B">
        <w:rPr>
          <w:rFonts w:ascii="Times New Roman" w:hAnsi="Times New Roman"/>
          <w:color w:val="000000"/>
          <w:sz w:val="28"/>
          <w:szCs w:val="28"/>
        </w:rPr>
        <w:t>The</w:t>
      </w:r>
      <w:r w:rsidR="0089657A" w:rsidRPr="00C114C8">
        <w:rPr>
          <w:rFonts w:ascii="Times New Roman" w:hAnsi="Times New Roman"/>
          <w:color w:val="000000"/>
          <w:sz w:val="28"/>
          <w:szCs w:val="28"/>
        </w:rPr>
        <w:t xml:space="preserve"> parties are </w:t>
      </w:r>
      <w:r w:rsidR="002662AD">
        <w:rPr>
          <w:rFonts w:ascii="Times New Roman" w:hAnsi="Times New Roman"/>
          <w:color w:val="000000"/>
          <w:sz w:val="28"/>
          <w:szCs w:val="28"/>
        </w:rPr>
        <w:t xml:space="preserve">conveniently </w:t>
      </w:r>
      <w:r w:rsidR="0089657A" w:rsidRPr="00C114C8">
        <w:rPr>
          <w:rFonts w:ascii="Times New Roman" w:hAnsi="Times New Roman"/>
          <w:color w:val="000000"/>
          <w:sz w:val="28"/>
          <w:szCs w:val="28"/>
        </w:rPr>
        <w:t>referred to as in the main action</w:t>
      </w:r>
      <w:r w:rsidR="004B0B9E">
        <w:rPr>
          <w:rFonts w:ascii="Times New Roman" w:hAnsi="Times New Roman"/>
          <w:color w:val="000000"/>
          <w:sz w:val="28"/>
          <w:szCs w:val="28"/>
        </w:rPr>
        <w:t xml:space="preserve"> </w:t>
      </w:r>
      <w:r w:rsidR="0089657A" w:rsidRPr="00C114C8">
        <w:rPr>
          <w:rFonts w:ascii="Times New Roman" w:hAnsi="Times New Roman"/>
          <w:color w:val="000000"/>
          <w:sz w:val="28"/>
          <w:szCs w:val="28"/>
        </w:rPr>
        <w:t xml:space="preserve">in which </w:t>
      </w:r>
      <w:r w:rsidR="0063024B">
        <w:rPr>
          <w:rFonts w:ascii="Times New Roman" w:hAnsi="Times New Roman"/>
          <w:color w:val="000000"/>
          <w:sz w:val="28"/>
          <w:szCs w:val="28"/>
        </w:rPr>
        <w:t xml:space="preserve">the </w:t>
      </w:r>
      <w:r w:rsidR="0089657A" w:rsidRPr="00C114C8">
        <w:rPr>
          <w:rFonts w:ascii="Times New Roman" w:hAnsi="Times New Roman"/>
          <w:color w:val="000000"/>
          <w:sz w:val="28"/>
          <w:szCs w:val="28"/>
        </w:rPr>
        <w:t>plaintiff</w:t>
      </w:r>
      <w:r w:rsidR="00670B25">
        <w:rPr>
          <w:rFonts w:ascii="Times New Roman" w:hAnsi="Times New Roman"/>
          <w:color w:val="000000"/>
          <w:sz w:val="28"/>
          <w:szCs w:val="28"/>
        </w:rPr>
        <w:t>,</w:t>
      </w:r>
      <w:r w:rsidR="00774653">
        <w:rPr>
          <w:rFonts w:ascii="Times New Roman" w:hAnsi="Times New Roman"/>
          <w:color w:val="000000"/>
          <w:sz w:val="28"/>
          <w:szCs w:val="28"/>
        </w:rPr>
        <w:t xml:space="preserve"> in her capacity as </w:t>
      </w:r>
      <w:r w:rsidR="00571436">
        <w:rPr>
          <w:rFonts w:ascii="Times New Roman" w:hAnsi="Times New Roman"/>
          <w:color w:val="000000"/>
          <w:sz w:val="28"/>
          <w:szCs w:val="28"/>
        </w:rPr>
        <w:t>e</w:t>
      </w:r>
      <w:r w:rsidR="00774653">
        <w:rPr>
          <w:rFonts w:ascii="Times New Roman" w:hAnsi="Times New Roman"/>
          <w:color w:val="000000"/>
          <w:sz w:val="28"/>
          <w:szCs w:val="28"/>
        </w:rPr>
        <w:t xml:space="preserve">xecutrix of </w:t>
      </w:r>
      <w:r w:rsidR="00670B25">
        <w:rPr>
          <w:rFonts w:ascii="Times New Roman" w:hAnsi="Times New Roman"/>
          <w:color w:val="000000"/>
          <w:sz w:val="28"/>
          <w:szCs w:val="28"/>
        </w:rPr>
        <w:t>the</w:t>
      </w:r>
      <w:r w:rsidR="00774653">
        <w:rPr>
          <w:rFonts w:ascii="Times New Roman" w:hAnsi="Times New Roman"/>
          <w:color w:val="000000"/>
          <w:sz w:val="28"/>
          <w:szCs w:val="28"/>
        </w:rPr>
        <w:t xml:space="preserve"> estate</w:t>
      </w:r>
      <w:r w:rsidR="00670B25">
        <w:rPr>
          <w:rFonts w:ascii="Times New Roman" w:hAnsi="Times New Roman"/>
          <w:color w:val="000000"/>
          <w:sz w:val="28"/>
          <w:szCs w:val="28"/>
        </w:rPr>
        <w:t xml:space="preserve"> of the late Mxolisi Joseph </w:t>
      </w:r>
      <w:proofErr w:type="spellStart"/>
      <w:r w:rsidR="00670B25">
        <w:rPr>
          <w:rFonts w:ascii="Times New Roman" w:hAnsi="Times New Roman"/>
          <w:color w:val="000000"/>
          <w:sz w:val="28"/>
          <w:szCs w:val="28"/>
        </w:rPr>
        <w:t>Dyibishe</w:t>
      </w:r>
      <w:proofErr w:type="spellEnd"/>
      <w:r w:rsidR="00670B25">
        <w:rPr>
          <w:rFonts w:ascii="Times New Roman" w:hAnsi="Times New Roman"/>
          <w:color w:val="000000"/>
          <w:sz w:val="28"/>
          <w:szCs w:val="28"/>
        </w:rPr>
        <w:t>,</w:t>
      </w:r>
      <w:r w:rsidR="00774653">
        <w:rPr>
          <w:rFonts w:ascii="Times New Roman" w:hAnsi="Times New Roman"/>
          <w:color w:val="000000"/>
          <w:sz w:val="28"/>
          <w:szCs w:val="28"/>
        </w:rPr>
        <w:t xml:space="preserve"> </w:t>
      </w:r>
      <w:r w:rsidR="00203CA5">
        <w:rPr>
          <w:rFonts w:ascii="Times New Roman" w:hAnsi="Times New Roman"/>
          <w:color w:val="000000"/>
          <w:sz w:val="28"/>
          <w:szCs w:val="28"/>
        </w:rPr>
        <w:t xml:space="preserve">has </w:t>
      </w:r>
      <w:r w:rsidR="0089657A" w:rsidRPr="00C114C8">
        <w:rPr>
          <w:rFonts w:ascii="Times New Roman" w:hAnsi="Times New Roman"/>
          <w:color w:val="000000"/>
          <w:sz w:val="28"/>
          <w:szCs w:val="28"/>
        </w:rPr>
        <w:t xml:space="preserve">suited the </w:t>
      </w:r>
      <w:r w:rsidR="007465FF">
        <w:rPr>
          <w:rFonts w:ascii="Times New Roman" w:hAnsi="Times New Roman"/>
          <w:color w:val="000000"/>
          <w:sz w:val="28"/>
          <w:szCs w:val="28"/>
        </w:rPr>
        <w:t xml:space="preserve">aforenamed </w:t>
      </w:r>
      <w:r w:rsidR="0089657A" w:rsidRPr="00C114C8">
        <w:rPr>
          <w:rFonts w:ascii="Times New Roman" w:hAnsi="Times New Roman"/>
          <w:color w:val="000000"/>
          <w:sz w:val="28"/>
          <w:szCs w:val="28"/>
        </w:rPr>
        <w:t>defendants</w:t>
      </w:r>
      <w:r w:rsidR="002C7326">
        <w:rPr>
          <w:rFonts w:ascii="Times New Roman" w:hAnsi="Times New Roman"/>
          <w:color w:val="000000"/>
          <w:sz w:val="28"/>
          <w:szCs w:val="28"/>
        </w:rPr>
        <w:t>.</w:t>
      </w:r>
    </w:p>
    <w:p w14:paraId="17779976" w14:textId="4D58C537" w:rsidR="002C7326" w:rsidRPr="002C7326" w:rsidRDefault="00731AA4" w:rsidP="00731AA4">
      <w:pPr>
        <w:pStyle w:val="LegalList1"/>
        <w:spacing w:line="360" w:lineRule="auto"/>
        <w:ind w:left="851" w:hanging="851"/>
        <w:rPr>
          <w:rFonts w:ascii="Times New Roman" w:hAnsi="Times New Roman"/>
          <w:sz w:val="28"/>
          <w:szCs w:val="28"/>
        </w:rPr>
      </w:pPr>
      <w:r w:rsidRPr="002C7326">
        <w:rPr>
          <w:rFonts w:ascii="Times New Roman" w:hAnsi="Times New Roman"/>
          <w:sz w:val="28"/>
          <w:szCs w:val="28"/>
        </w:rPr>
        <w:lastRenderedPageBreak/>
        <w:t>[3]</w:t>
      </w:r>
      <w:r w:rsidRPr="002C7326">
        <w:rPr>
          <w:rFonts w:ascii="Times New Roman" w:hAnsi="Times New Roman"/>
          <w:sz w:val="28"/>
          <w:szCs w:val="28"/>
        </w:rPr>
        <w:tab/>
      </w:r>
      <w:r w:rsidR="002C7326">
        <w:rPr>
          <w:rFonts w:ascii="Times New Roman" w:hAnsi="Times New Roman"/>
          <w:color w:val="000000"/>
          <w:sz w:val="28"/>
          <w:szCs w:val="28"/>
        </w:rPr>
        <w:t xml:space="preserve">The particulars of claim contain the following material facts: </w:t>
      </w:r>
    </w:p>
    <w:p w14:paraId="62470953" w14:textId="77777777" w:rsidR="00954F09" w:rsidRPr="00AC226D" w:rsidRDefault="00954F09" w:rsidP="00175633">
      <w:pPr>
        <w:pStyle w:val="LegalList1"/>
        <w:spacing w:line="360" w:lineRule="auto"/>
        <w:ind w:left="1440" w:hanging="589"/>
        <w:rPr>
          <w:rFonts w:ascii="Times New Roman" w:hAnsi="Times New Roman"/>
        </w:rPr>
      </w:pPr>
      <w:r w:rsidRPr="00AC226D">
        <w:rPr>
          <w:rFonts w:ascii="Times New Roman" w:hAnsi="Times New Roman"/>
          <w:color w:val="000000"/>
        </w:rPr>
        <w:t>‘</w:t>
      </w:r>
      <w:r w:rsidR="00175633" w:rsidRPr="00AC226D">
        <w:rPr>
          <w:rFonts w:ascii="Times New Roman" w:hAnsi="Times New Roman"/>
          <w:color w:val="000000"/>
        </w:rPr>
        <w:t>5.</w:t>
      </w:r>
      <w:r w:rsidR="00175633" w:rsidRPr="00AC226D">
        <w:rPr>
          <w:rFonts w:ascii="Times New Roman" w:hAnsi="Times New Roman"/>
          <w:color w:val="000000"/>
        </w:rPr>
        <w:tab/>
      </w:r>
      <w:r w:rsidRPr="00AC226D">
        <w:rPr>
          <w:rFonts w:ascii="Times New Roman" w:hAnsi="Times New Roman"/>
          <w:color w:val="000000"/>
        </w:rPr>
        <w:t xml:space="preserve">The deceased is the owner of the immovable property </w:t>
      </w:r>
      <w:r w:rsidR="00145B7F" w:rsidRPr="00AC226D">
        <w:rPr>
          <w:rFonts w:ascii="Times New Roman" w:hAnsi="Times New Roman"/>
          <w:color w:val="000000"/>
        </w:rPr>
        <w:t xml:space="preserve">situated at 65 Raglan Road, Grahamstown, also known as Erf 4068, </w:t>
      </w:r>
      <w:proofErr w:type="spellStart"/>
      <w:r w:rsidR="00145B7F" w:rsidRPr="00AC226D">
        <w:rPr>
          <w:rFonts w:ascii="Times New Roman" w:hAnsi="Times New Roman"/>
          <w:color w:val="000000"/>
        </w:rPr>
        <w:t>Rhini</w:t>
      </w:r>
      <w:proofErr w:type="spellEnd"/>
      <w:r w:rsidR="00145B7F" w:rsidRPr="00AC226D">
        <w:rPr>
          <w:rFonts w:ascii="Times New Roman" w:hAnsi="Times New Roman"/>
          <w:color w:val="000000"/>
        </w:rPr>
        <w:t>, Makana Municipality,</w:t>
      </w:r>
      <w:r w:rsidRPr="00AC226D">
        <w:rPr>
          <w:rFonts w:ascii="Times New Roman" w:hAnsi="Times New Roman"/>
          <w:color w:val="000000"/>
        </w:rPr>
        <w:t xml:space="preserve"> which he held through the third defendant, his nominee.</w:t>
      </w:r>
    </w:p>
    <w:p w14:paraId="5A3D9D9A" w14:textId="77777777" w:rsidR="00954F09" w:rsidRPr="00AC226D" w:rsidRDefault="00175633" w:rsidP="00175633">
      <w:pPr>
        <w:pStyle w:val="LegalList1"/>
        <w:spacing w:line="360" w:lineRule="auto"/>
        <w:ind w:left="1440" w:hanging="589"/>
        <w:rPr>
          <w:rFonts w:ascii="Times New Roman" w:hAnsi="Times New Roman"/>
        </w:rPr>
      </w:pPr>
      <w:r w:rsidRPr="00AC226D">
        <w:rPr>
          <w:rFonts w:ascii="Times New Roman" w:hAnsi="Times New Roman"/>
          <w:color w:val="000000"/>
        </w:rPr>
        <w:t>6.</w:t>
      </w:r>
      <w:r w:rsidRPr="00AC226D">
        <w:rPr>
          <w:rFonts w:ascii="Times New Roman" w:hAnsi="Times New Roman"/>
          <w:color w:val="000000"/>
        </w:rPr>
        <w:tab/>
      </w:r>
      <w:r w:rsidR="00954F09" w:rsidRPr="00AC226D">
        <w:rPr>
          <w:rFonts w:ascii="Times New Roman" w:hAnsi="Times New Roman"/>
          <w:color w:val="000000"/>
        </w:rPr>
        <w:t>The property exists, is clearly identifiable and has not been destroyed or consumed.</w:t>
      </w:r>
    </w:p>
    <w:p w14:paraId="08D3FEBB" w14:textId="77777777" w:rsidR="00954F09" w:rsidRPr="00AC226D" w:rsidRDefault="00175633" w:rsidP="00175633">
      <w:pPr>
        <w:pStyle w:val="LegalList1"/>
        <w:spacing w:line="360" w:lineRule="auto"/>
        <w:ind w:left="1440" w:hanging="589"/>
        <w:rPr>
          <w:rFonts w:ascii="Times New Roman" w:hAnsi="Times New Roman"/>
        </w:rPr>
      </w:pPr>
      <w:r w:rsidRPr="00AC226D">
        <w:rPr>
          <w:rFonts w:ascii="Times New Roman" w:hAnsi="Times New Roman"/>
          <w:color w:val="000000"/>
        </w:rPr>
        <w:t>7.</w:t>
      </w:r>
      <w:r w:rsidRPr="00AC226D">
        <w:rPr>
          <w:rFonts w:ascii="Times New Roman" w:hAnsi="Times New Roman"/>
          <w:color w:val="000000"/>
        </w:rPr>
        <w:tab/>
      </w:r>
      <w:r w:rsidR="00954F09" w:rsidRPr="00AC226D">
        <w:rPr>
          <w:rFonts w:ascii="Times New Roman" w:hAnsi="Times New Roman"/>
          <w:color w:val="000000"/>
        </w:rPr>
        <w:t>The first and second defendants are in unlawful possession alternatively detention of the property.’</w:t>
      </w:r>
    </w:p>
    <w:p w14:paraId="47E000FC" w14:textId="1DC29848" w:rsidR="00A572D4" w:rsidRPr="004B0B9E" w:rsidRDefault="00731AA4" w:rsidP="00731AA4">
      <w:pPr>
        <w:pStyle w:val="LegalList1"/>
        <w:spacing w:line="360" w:lineRule="auto"/>
        <w:ind w:left="851" w:hanging="851"/>
        <w:rPr>
          <w:rFonts w:ascii="Times New Roman" w:hAnsi="Times New Roman"/>
          <w:sz w:val="28"/>
          <w:szCs w:val="28"/>
        </w:rPr>
      </w:pPr>
      <w:r w:rsidRPr="004B0B9E">
        <w:rPr>
          <w:rFonts w:ascii="Times New Roman" w:hAnsi="Times New Roman"/>
          <w:sz w:val="28"/>
          <w:szCs w:val="28"/>
        </w:rPr>
        <w:t>[4]</w:t>
      </w:r>
      <w:r w:rsidRPr="004B0B9E">
        <w:rPr>
          <w:rFonts w:ascii="Times New Roman" w:hAnsi="Times New Roman"/>
          <w:sz w:val="28"/>
          <w:szCs w:val="28"/>
        </w:rPr>
        <w:tab/>
      </w:r>
      <w:r w:rsidR="00723E66">
        <w:rPr>
          <w:rFonts w:ascii="Times New Roman" w:hAnsi="Times New Roman"/>
          <w:color w:val="000000"/>
          <w:sz w:val="28"/>
          <w:szCs w:val="28"/>
        </w:rPr>
        <w:t>The plaintiff’s claim, essentially against the first and second defendants, is for relief formulated as follows:</w:t>
      </w:r>
    </w:p>
    <w:p w14:paraId="77928E19" w14:textId="77777777" w:rsidR="004B0B9E" w:rsidRPr="00AC226D" w:rsidRDefault="004B0B9E" w:rsidP="00AD3120">
      <w:pPr>
        <w:pStyle w:val="LegalList1"/>
        <w:spacing w:line="360" w:lineRule="auto"/>
        <w:ind w:left="1495" w:hanging="644"/>
        <w:rPr>
          <w:rFonts w:ascii="Times New Roman" w:hAnsi="Times New Roman"/>
        </w:rPr>
      </w:pPr>
      <w:r w:rsidRPr="00AC226D">
        <w:rPr>
          <w:rFonts w:ascii="Times New Roman" w:hAnsi="Times New Roman"/>
          <w:color w:val="000000"/>
        </w:rPr>
        <w:t>‘1.</w:t>
      </w:r>
      <w:r w:rsidRPr="00AC226D">
        <w:rPr>
          <w:rFonts w:ascii="Times New Roman" w:hAnsi="Times New Roman"/>
          <w:color w:val="000000"/>
        </w:rPr>
        <w:tab/>
        <w:t>It</w:t>
      </w:r>
      <w:r w:rsidR="00D932F1" w:rsidRPr="00AC226D">
        <w:rPr>
          <w:rFonts w:ascii="Times New Roman" w:hAnsi="Times New Roman"/>
          <w:color w:val="000000"/>
        </w:rPr>
        <w:t xml:space="preserve"> is declared that the deceased . . . </w:t>
      </w:r>
      <w:r w:rsidRPr="00AC226D">
        <w:rPr>
          <w:rFonts w:ascii="Times New Roman" w:hAnsi="Times New Roman"/>
          <w:color w:val="000000"/>
        </w:rPr>
        <w:t>is the owner of the immovable property</w:t>
      </w:r>
      <w:r w:rsidR="001F1BBA" w:rsidRPr="00AC226D">
        <w:rPr>
          <w:rFonts w:ascii="Times New Roman" w:hAnsi="Times New Roman"/>
          <w:color w:val="000000"/>
        </w:rPr>
        <w:t xml:space="preserve">… </w:t>
      </w:r>
      <w:r w:rsidR="00E41DB2" w:rsidRPr="00AC226D">
        <w:rPr>
          <w:rFonts w:ascii="Times New Roman" w:hAnsi="Times New Roman"/>
          <w:color w:val="000000"/>
        </w:rPr>
        <w:t xml:space="preserve">which he held through the third defendant, his </w:t>
      </w:r>
      <w:proofErr w:type="gramStart"/>
      <w:r w:rsidR="00E41DB2" w:rsidRPr="00AC226D">
        <w:rPr>
          <w:rFonts w:ascii="Times New Roman" w:hAnsi="Times New Roman"/>
          <w:color w:val="000000"/>
        </w:rPr>
        <w:t>nominee;</w:t>
      </w:r>
      <w:proofErr w:type="gramEnd"/>
    </w:p>
    <w:p w14:paraId="4C624B05" w14:textId="77777777" w:rsidR="00E41DB2" w:rsidRPr="00AC226D" w:rsidRDefault="00E41DB2" w:rsidP="00AD3120">
      <w:pPr>
        <w:pStyle w:val="LegalList1"/>
        <w:spacing w:line="360" w:lineRule="auto"/>
        <w:ind w:left="928" w:hanging="77"/>
        <w:rPr>
          <w:rFonts w:ascii="Times New Roman" w:hAnsi="Times New Roman"/>
        </w:rPr>
      </w:pPr>
      <w:r w:rsidRPr="00AC226D">
        <w:rPr>
          <w:rFonts w:ascii="Times New Roman" w:hAnsi="Times New Roman"/>
          <w:color w:val="000000"/>
        </w:rPr>
        <w:t>2.</w:t>
      </w:r>
      <w:r w:rsidRPr="00AC226D">
        <w:rPr>
          <w:rFonts w:ascii="Times New Roman" w:hAnsi="Times New Roman"/>
          <w:color w:val="000000"/>
        </w:rPr>
        <w:tab/>
      </w:r>
      <w:r w:rsidR="00B0015D" w:rsidRPr="00AC226D">
        <w:rPr>
          <w:rFonts w:ascii="Times New Roman" w:hAnsi="Times New Roman"/>
          <w:color w:val="000000"/>
        </w:rPr>
        <w:t xml:space="preserve"> </w:t>
      </w:r>
      <w:r w:rsidRPr="00AC226D">
        <w:rPr>
          <w:rFonts w:ascii="Times New Roman" w:hAnsi="Times New Roman"/>
          <w:color w:val="000000"/>
        </w:rPr>
        <w:t xml:space="preserve">The first and second defendants are evicted from the </w:t>
      </w:r>
      <w:proofErr w:type="gramStart"/>
      <w:r w:rsidRPr="00AC226D">
        <w:rPr>
          <w:rFonts w:ascii="Times New Roman" w:hAnsi="Times New Roman"/>
          <w:color w:val="000000"/>
        </w:rPr>
        <w:t>property;</w:t>
      </w:r>
      <w:proofErr w:type="gramEnd"/>
    </w:p>
    <w:p w14:paraId="71E4D50E" w14:textId="77777777" w:rsidR="00E41DB2" w:rsidRPr="00AC226D" w:rsidRDefault="00F71022" w:rsidP="00AD3120">
      <w:pPr>
        <w:pStyle w:val="LegalList1"/>
        <w:spacing w:line="360" w:lineRule="auto"/>
        <w:ind w:left="1495" w:hanging="644"/>
        <w:rPr>
          <w:rFonts w:ascii="Times New Roman" w:hAnsi="Times New Roman"/>
        </w:rPr>
      </w:pPr>
      <w:r w:rsidRPr="00AC226D">
        <w:rPr>
          <w:rFonts w:ascii="Times New Roman" w:hAnsi="Times New Roman"/>
          <w:color w:val="000000"/>
        </w:rPr>
        <w:t>3.</w:t>
      </w:r>
      <w:r w:rsidRPr="00AC226D">
        <w:rPr>
          <w:rFonts w:ascii="Times New Roman" w:hAnsi="Times New Roman"/>
          <w:color w:val="000000"/>
        </w:rPr>
        <w:tab/>
      </w:r>
      <w:r w:rsidR="00E41DB2" w:rsidRPr="00AC226D">
        <w:rPr>
          <w:rFonts w:ascii="Times New Roman" w:hAnsi="Times New Roman"/>
          <w:color w:val="000000"/>
        </w:rPr>
        <w:t>The first and second defendants are ordered to have the property transferred to the name of the plaintiff</w:t>
      </w:r>
      <w:r w:rsidR="002662AD" w:rsidRPr="00AC226D">
        <w:rPr>
          <w:rFonts w:ascii="Times New Roman" w:hAnsi="Times New Roman"/>
          <w:color w:val="000000"/>
        </w:rPr>
        <w:t xml:space="preserve"> within 60 days from the date of this order.’</w:t>
      </w:r>
    </w:p>
    <w:p w14:paraId="72CE7CE8" w14:textId="7261673E" w:rsidR="00ED44A6" w:rsidRPr="004A255F" w:rsidRDefault="00731AA4" w:rsidP="00731AA4">
      <w:pPr>
        <w:pStyle w:val="LegalList1"/>
        <w:spacing w:line="360" w:lineRule="auto"/>
        <w:ind w:left="851" w:hanging="851"/>
        <w:rPr>
          <w:rFonts w:cs="Arial"/>
          <w:sz w:val="22"/>
          <w:szCs w:val="22"/>
        </w:rPr>
      </w:pPr>
      <w:r w:rsidRPr="004A255F">
        <w:rPr>
          <w:rFonts w:ascii="Times New Roman" w:hAnsi="Times New Roman"/>
          <w:sz w:val="28"/>
          <w:szCs w:val="28"/>
        </w:rPr>
        <w:t>[5]</w:t>
      </w:r>
      <w:r w:rsidRPr="004A255F">
        <w:rPr>
          <w:rFonts w:ascii="Times New Roman" w:hAnsi="Times New Roman"/>
          <w:sz w:val="28"/>
          <w:szCs w:val="28"/>
        </w:rPr>
        <w:tab/>
      </w:r>
      <w:r w:rsidR="00300474" w:rsidRPr="00566ABB">
        <w:rPr>
          <w:rFonts w:ascii="Times New Roman" w:hAnsi="Times New Roman"/>
          <w:sz w:val="28"/>
          <w:szCs w:val="28"/>
        </w:rPr>
        <w:t xml:space="preserve">The </w:t>
      </w:r>
      <w:r w:rsidR="00ED44A6">
        <w:rPr>
          <w:rFonts w:ascii="Times New Roman" w:hAnsi="Times New Roman"/>
          <w:sz w:val="28"/>
          <w:szCs w:val="28"/>
        </w:rPr>
        <w:t>claims derive</w:t>
      </w:r>
      <w:r w:rsidR="00566ABB" w:rsidRPr="00566ABB">
        <w:rPr>
          <w:rFonts w:ascii="Times New Roman" w:hAnsi="Times New Roman"/>
          <w:sz w:val="28"/>
          <w:szCs w:val="28"/>
        </w:rPr>
        <w:t xml:space="preserve"> </w:t>
      </w:r>
      <w:r w:rsidR="00300474" w:rsidRPr="00566ABB">
        <w:rPr>
          <w:rFonts w:ascii="Times New Roman" w:hAnsi="Times New Roman"/>
          <w:sz w:val="28"/>
          <w:szCs w:val="28"/>
        </w:rPr>
        <w:t>from two causes of action, namely: (</w:t>
      </w:r>
      <w:proofErr w:type="spellStart"/>
      <w:r w:rsidR="00300474" w:rsidRPr="00566ABB">
        <w:rPr>
          <w:rFonts w:ascii="Times New Roman" w:hAnsi="Times New Roman"/>
          <w:sz w:val="28"/>
          <w:szCs w:val="28"/>
        </w:rPr>
        <w:t>i</w:t>
      </w:r>
      <w:proofErr w:type="spellEnd"/>
      <w:r w:rsidR="00300474" w:rsidRPr="00566ABB">
        <w:rPr>
          <w:rFonts w:ascii="Times New Roman" w:hAnsi="Times New Roman"/>
          <w:sz w:val="28"/>
          <w:szCs w:val="28"/>
        </w:rPr>
        <w:t>) a declaration of ownership, and (ii) an order for eviction</w:t>
      </w:r>
      <w:r w:rsidR="00566ABB" w:rsidRPr="00566ABB">
        <w:rPr>
          <w:rFonts w:ascii="Times New Roman" w:hAnsi="Times New Roman"/>
          <w:sz w:val="28"/>
          <w:szCs w:val="28"/>
        </w:rPr>
        <w:t>.</w:t>
      </w:r>
    </w:p>
    <w:p w14:paraId="769AD62D" w14:textId="77777777" w:rsidR="006101E1" w:rsidRPr="00A24451" w:rsidRDefault="006101E1" w:rsidP="006101E1">
      <w:pPr>
        <w:pStyle w:val="LegalList1"/>
        <w:spacing w:line="360" w:lineRule="auto"/>
        <w:ind w:left="131" w:firstLine="720"/>
        <w:rPr>
          <w:rFonts w:ascii="Times New Roman" w:hAnsi="Times New Roman"/>
          <w:b/>
          <w:i/>
          <w:sz w:val="28"/>
          <w:szCs w:val="28"/>
        </w:rPr>
      </w:pPr>
      <w:r w:rsidRPr="00A24451">
        <w:rPr>
          <w:rFonts w:ascii="Times New Roman" w:hAnsi="Times New Roman"/>
          <w:b/>
          <w:i/>
          <w:sz w:val="28"/>
          <w:szCs w:val="28"/>
        </w:rPr>
        <w:t>The issues</w:t>
      </w:r>
    </w:p>
    <w:p w14:paraId="2D176CF7" w14:textId="0FDED36B" w:rsidR="00B84D8B" w:rsidRPr="00C114C8" w:rsidRDefault="00731AA4" w:rsidP="00731AA4">
      <w:pPr>
        <w:pStyle w:val="LegalList1"/>
        <w:spacing w:line="360" w:lineRule="auto"/>
        <w:ind w:left="851" w:hanging="851"/>
        <w:rPr>
          <w:rFonts w:ascii="Times New Roman" w:hAnsi="Times New Roman"/>
          <w:sz w:val="28"/>
          <w:szCs w:val="28"/>
        </w:rPr>
      </w:pPr>
      <w:r w:rsidRPr="00C114C8">
        <w:rPr>
          <w:rFonts w:ascii="Times New Roman" w:hAnsi="Times New Roman"/>
          <w:sz w:val="28"/>
          <w:szCs w:val="28"/>
        </w:rPr>
        <w:t>[6]</w:t>
      </w:r>
      <w:r w:rsidRPr="00C114C8">
        <w:rPr>
          <w:rFonts w:ascii="Times New Roman" w:hAnsi="Times New Roman"/>
          <w:sz w:val="28"/>
          <w:szCs w:val="28"/>
        </w:rPr>
        <w:tab/>
      </w:r>
      <w:r w:rsidR="00E24406">
        <w:rPr>
          <w:rFonts w:ascii="Times New Roman" w:hAnsi="Times New Roman"/>
          <w:sz w:val="28"/>
          <w:szCs w:val="28"/>
        </w:rPr>
        <w:t xml:space="preserve">The grounds of </w:t>
      </w:r>
      <w:proofErr w:type="spellStart"/>
      <w:r w:rsidR="00E24406">
        <w:rPr>
          <w:rFonts w:ascii="Times New Roman" w:hAnsi="Times New Roman"/>
          <w:sz w:val="28"/>
          <w:szCs w:val="28"/>
        </w:rPr>
        <w:t>excipiability</w:t>
      </w:r>
      <w:proofErr w:type="spellEnd"/>
      <w:r w:rsidR="00BC410B">
        <w:rPr>
          <w:rFonts w:ascii="Times New Roman" w:hAnsi="Times New Roman"/>
          <w:sz w:val="28"/>
          <w:szCs w:val="28"/>
        </w:rPr>
        <w:t xml:space="preserve"> are that the particulars of claim do not sustain these causes of action</w:t>
      </w:r>
      <w:r w:rsidR="00F21BCD">
        <w:rPr>
          <w:rFonts w:ascii="Times New Roman" w:hAnsi="Times New Roman"/>
          <w:sz w:val="28"/>
          <w:szCs w:val="28"/>
        </w:rPr>
        <w:t xml:space="preserve"> and are vague and embarrassing.</w:t>
      </w:r>
      <w:r w:rsidR="00B84D8B" w:rsidRPr="00B84D8B">
        <w:rPr>
          <w:rFonts w:ascii="Times New Roman" w:hAnsi="Times New Roman"/>
          <w:sz w:val="28"/>
          <w:szCs w:val="28"/>
        </w:rPr>
        <w:t xml:space="preserve"> </w:t>
      </w:r>
      <w:r w:rsidR="00B84D8B">
        <w:rPr>
          <w:rFonts w:ascii="Times New Roman" w:hAnsi="Times New Roman"/>
          <w:sz w:val="28"/>
          <w:szCs w:val="28"/>
        </w:rPr>
        <w:t xml:space="preserve">A pleading may be vague and embarrassing due to lack of intelligibility in the formulation of the cause of action. </w:t>
      </w:r>
      <w:r w:rsidR="00314EB5">
        <w:rPr>
          <w:rFonts w:ascii="Times New Roman" w:hAnsi="Times New Roman"/>
          <w:sz w:val="28"/>
          <w:szCs w:val="28"/>
        </w:rPr>
        <w:t xml:space="preserve">Where the formulation of a cause of action raises </w:t>
      </w:r>
      <w:r w:rsidR="00314EB5">
        <w:rPr>
          <w:rFonts w:ascii="Times New Roman" w:hAnsi="Times New Roman"/>
          <w:sz w:val="28"/>
          <w:szCs w:val="28"/>
        </w:rPr>
        <w:lastRenderedPageBreak/>
        <w:t xml:space="preserve">an issue with its legal validity, a court is duty bound to dispose of the </w:t>
      </w:r>
      <w:r w:rsidR="00D149B7">
        <w:rPr>
          <w:rFonts w:ascii="Times New Roman" w:hAnsi="Times New Roman"/>
          <w:sz w:val="28"/>
          <w:szCs w:val="28"/>
        </w:rPr>
        <w:t>matter if there is a point of law to be decided.</w:t>
      </w:r>
      <w:r w:rsidR="00D149B7">
        <w:rPr>
          <w:rStyle w:val="FootnoteReference"/>
          <w:rFonts w:ascii="Times New Roman" w:hAnsi="Times New Roman"/>
          <w:sz w:val="28"/>
          <w:szCs w:val="28"/>
        </w:rPr>
        <w:footnoteReference w:id="1"/>
      </w:r>
    </w:p>
    <w:p w14:paraId="76BC19DE" w14:textId="6BA7651C" w:rsidR="00571436"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A83559">
        <w:rPr>
          <w:rFonts w:ascii="Times New Roman" w:hAnsi="Times New Roman"/>
          <w:sz w:val="28"/>
          <w:szCs w:val="28"/>
        </w:rPr>
        <w:t xml:space="preserve">An exception is a legal objection to an opponent’s pleading and complains of a defect </w:t>
      </w:r>
      <w:r w:rsidR="008B48FF">
        <w:rPr>
          <w:rFonts w:ascii="Times New Roman" w:hAnsi="Times New Roman"/>
          <w:sz w:val="28"/>
          <w:szCs w:val="28"/>
        </w:rPr>
        <w:t>inherent in the pleading</w:t>
      </w:r>
      <w:r w:rsidR="008666BA">
        <w:rPr>
          <w:rFonts w:ascii="Times New Roman" w:hAnsi="Times New Roman"/>
          <w:sz w:val="28"/>
          <w:szCs w:val="28"/>
        </w:rPr>
        <w:t>.</w:t>
      </w:r>
      <w:r w:rsidR="00A83559">
        <w:rPr>
          <w:rFonts w:ascii="Times New Roman" w:hAnsi="Times New Roman"/>
          <w:sz w:val="28"/>
          <w:szCs w:val="28"/>
        </w:rPr>
        <w:t xml:space="preserve"> </w:t>
      </w:r>
      <w:r w:rsidR="00FB296F">
        <w:rPr>
          <w:rFonts w:ascii="Times New Roman" w:hAnsi="Times New Roman"/>
          <w:sz w:val="28"/>
          <w:szCs w:val="28"/>
        </w:rPr>
        <w:t>A</w:t>
      </w:r>
      <w:r w:rsidR="00EB071B">
        <w:rPr>
          <w:rFonts w:ascii="Times New Roman" w:hAnsi="Times New Roman"/>
          <w:sz w:val="28"/>
          <w:szCs w:val="28"/>
        </w:rPr>
        <w:t xml:space="preserve"> convenient starting point commences with an acceptance that the </w:t>
      </w:r>
      <w:r w:rsidR="00FB296F">
        <w:rPr>
          <w:rFonts w:ascii="Times New Roman" w:hAnsi="Times New Roman"/>
          <w:sz w:val="28"/>
          <w:szCs w:val="28"/>
        </w:rPr>
        <w:t>facts stated in the pleading are correct</w:t>
      </w:r>
      <w:r w:rsidR="00EB071B">
        <w:rPr>
          <w:rFonts w:ascii="Times New Roman" w:hAnsi="Times New Roman"/>
          <w:sz w:val="28"/>
          <w:szCs w:val="28"/>
        </w:rPr>
        <w:t>.</w:t>
      </w:r>
      <w:r w:rsidR="006123AF">
        <w:rPr>
          <w:rStyle w:val="FootnoteReference"/>
          <w:rFonts w:ascii="Times New Roman" w:hAnsi="Times New Roman"/>
          <w:sz w:val="28"/>
          <w:szCs w:val="28"/>
        </w:rPr>
        <w:footnoteReference w:id="2"/>
      </w:r>
      <w:r w:rsidR="00FE1F02">
        <w:rPr>
          <w:rFonts w:ascii="Times New Roman" w:hAnsi="Times New Roman"/>
          <w:sz w:val="28"/>
          <w:szCs w:val="28"/>
        </w:rPr>
        <w:t xml:space="preserve"> Put another way</w:t>
      </w:r>
      <w:r w:rsidR="004D5011">
        <w:rPr>
          <w:rFonts w:ascii="Times New Roman" w:hAnsi="Times New Roman"/>
          <w:sz w:val="28"/>
          <w:szCs w:val="28"/>
        </w:rPr>
        <w:t>,</w:t>
      </w:r>
      <w:r w:rsidR="00FE1F02">
        <w:rPr>
          <w:rFonts w:ascii="Times New Roman" w:hAnsi="Times New Roman"/>
          <w:sz w:val="28"/>
          <w:szCs w:val="28"/>
        </w:rPr>
        <w:t xml:space="preserve"> no facts </w:t>
      </w:r>
      <w:r w:rsidR="008666BA">
        <w:rPr>
          <w:rFonts w:ascii="Times New Roman" w:hAnsi="Times New Roman"/>
          <w:sz w:val="28"/>
          <w:szCs w:val="28"/>
        </w:rPr>
        <w:t xml:space="preserve">stated outside those mentioned in the pleading </w:t>
      </w:r>
      <w:r w:rsidR="00FE1F02">
        <w:rPr>
          <w:rFonts w:ascii="Times New Roman" w:hAnsi="Times New Roman"/>
          <w:sz w:val="28"/>
          <w:szCs w:val="28"/>
        </w:rPr>
        <w:t xml:space="preserve">may be adduced by either party </w:t>
      </w:r>
      <w:r w:rsidR="008666BA">
        <w:rPr>
          <w:rFonts w:ascii="Times New Roman" w:hAnsi="Times New Roman"/>
          <w:sz w:val="28"/>
          <w:szCs w:val="28"/>
        </w:rPr>
        <w:t>nor can reference be made to any other document</w:t>
      </w:r>
      <w:r w:rsidR="008B48FF">
        <w:rPr>
          <w:rFonts w:ascii="Times New Roman" w:hAnsi="Times New Roman"/>
          <w:sz w:val="28"/>
          <w:szCs w:val="28"/>
        </w:rPr>
        <w:t>.</w:t>
      </w:r>
      <w:r w:rsidR="008B48FF">
        <w:rPr>
          <w:rStyle w:val="FootnoteReference"/>
          <w:rFonts w:ascii="Times New Roman" w:hAnsi="Times New Roman"/>
          <w:sz w:val="28"/>
          <w:szCs w:val="28"/>
        </w:rPr>
        <w:footnoteReference w:id="3"/>
      </w:r>
      <w:r w:rsidR="008B48FF">
        <w:rPr>
          <w:rFonts w:ascii="Times New Roman" w:hAnsi="Times New Roman"/>
          <w:sz w:val="28"/>
          <w:szCs w:val="28"/>
        </w:rPr>
        <w:t xml:space="preserve"> T</w:t>
      </w:r>
      <w:r w:rsidR="00FE1F02">
        <w:rPr>
          <w:rFonts w:ascii="Times New Roman" w:hAnsi="Times New Roman"/>
          <w:sz w:val="28"/>
          <w:szCs w:val="28"/>
        </w:rPr>
        <w:t>he exception may thus only be taken if the defect</w:t>
      </w:r>
      <w:r w:rsidR="004D5011">
        <w:rPr>
          <w:rFonts w:ascii="Times New Roman" w:hAnsi="Times New Roman"/>
          <w:sz w:val="28"/>
          <w:szCs w:val="28"/>
        </w:rPr>
        <w:t xml:space="preserve"> against which objection is taken appears </w:t>
      </w:r>
      <w:r w:rsidR="004D5011" w:rsidRPr="002F183E">
        <w:rPr>
          <w:rFonts w:ascii="Times New Roman" w:hAnsi="Times New Roman"/>
          <w:i/>
          <w:sz w:val="28"/>
          <w:szCs w:val="28"/>
        </w:rPr>
        <w:t>ex facie</w:t>
      </w:r>
      <w:r w:rsidR="004D5011">
        <w:rPr>
          <w:rFonts w:ascii="Times New Roman" w:hAnsi="Times New Roman"/>
          <w:sz w:val="28"/>
          <w:szCs w:val="28"/>
        </w:rPr>
        <w:t xml:space="preserve"> the pleading itself.</w:t>
      </w:r>
    </w:p>
    <w:p w14:paraId="29394732" w14:textId="5F9ED6E8" w:rsidR="0017281A"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43578B">
        <w:rPr>
          <w:rFonts w:ascii="Times New Roman" w:hAnsi="Times New Roman"/>
          <w:sz w:val="28"/>
          <w:szCs w:val="28"/>
        </w:rPr>
        <w:t xml:space="preserve">The relief directed at </w:t>
      </w:r>
      <w:r w:rsidR="003920BB">
        <w:rPr>
          <w:rFonts w:ascii="Times New Roman" w:hAnsi="Times New Roman"/>
          <w:sz w:val="28"/>
          <w:szCs w:val="28"/>
        </w:rPr>
        <w:t xml:space="preserve">declaring the deceased’s ownership of the property and for </w:t>
      </w:r>
      <w:r w:rsidR="0043578B">
        <w:rPr>
          <w:rFonts w:ascii="Times New Roman" w:hAnsi="Times New Roman"/>
          <w:sz w:val="28"/>
          <w:szCs w:val="28"/>
        </w:rPr>
        <w:t xml:space="preserve">securing </w:t>
      </w:r>
      <w:r w:rsidR="00FA2D07">
        <w:rPr>
          <w:rFonts w:ascii="Times New Roman" w:hAnsi="Times New Roman"/>
          <w:sz w:val="28"/>
          <w:szCs w:val="28"/>
        </w:rPr>
        <w:t xml:space="preserve">its </w:t>
      </w:r>
      <w:r w:rsidR="0043578B">
        <w:rPr>
          <w:rFonts w:ascii="Times New Roman" w:hAnsi="Times New Roman"/>
          <w:sz w:val="28"/>
          <w:szCs w:val="28"/>
        </w:rPr>
        <w:t xml:space="preserve">transfer into the name of the plaintiff </w:t>
      </w:r>
      <w:r w:rsidR="00D932F1">
        <w:rPr>
          <w:rFonts w:ascii="Times New Roman" w:hAnsi="Times New Roman"/>
          <w:sz w:val="28"/>
          <w:szCs w:val="28"/>
        </w:rPr>
        <w:t>requires</w:t>
      </w:r>
      <w:r w:rsidR="0043578B">
        <w:rPr>
          <w:rFonts w:ascii="Times New Roman" w:hAnsi="Times New Roman"/>
          <w:sz w:val="28"/>
          <w:szCs w:val="28"/>
        </w:rPr>
        <w:t xml:space="preserve"> </w:t>
      </w:r>
      <w:r w:rsidR="00A00DCC">
        <w:rPr>
          <w:rFonts w:ascii="Times New Roman" w:hAnsi="Times New Roman"/>
          <w:sz w:val="28"/>
          <w:szCs w:val="28"/>
        </w:rPr>
        <w:t xml:space="preserve">comment on </w:t>
      </w:r>
      <w:r w:rsidR="0043578B">
        <w:rPr>
          <w:rFonts w:ascii="Times New Roman" w:hAnsi="Times New Roman"/>
          <w:sz w:val="28"/>
          <w:szCs w:val="28"/>
        </w:rPr>
        <w:t>what a deceased</w:t>
      </w:r>
      <w:r w:rsidR="00EE1D31">
        <w:rPr>
          <w:rFonts w:ascii="Times New Roman" w:hAnsi="Times New Roman"/>
          <w:sz w:val="28"/>
          <w:szCs w:val="28"/>
        </w:rPr>
        <w:t xml:space="preserve"> estate is</w:t>
      </w:r>
      <w:r w:rsidR="00F20594">
        <w:rPr>
          <w:rFonts w:ascii="Times New Roman" w:hAnsi="Times New Roman"/>
          <w:sz w:val="28"/>
          <w:szCs w:val="28"/>
        </w:rPr>
        <w:t>,</w:t>
      </w:r>
      <w:r w:rsidR="00EE1D31">
        <w:rPr>
          <w:rFonts w:ascii="Times New Roman" w:hAnsi="Times New Roman"/>
          <w:sz w:val="28"/>
          <w:szCs w:val="28"/>
        </w:rPr>
        <w:t xml:space="preserve"> and exactly </w:t>
      </w:r>
      <w:r w:rsidR="0043578B">
        <w:rPr>
          <w:rFonts w:ascii="Times New Roman" w:hAnsi="Times New Roman"/>
          <w:sz w:val="28"/>
          <w:szCs w:val="28"/>
        </w:rPr>
        <w:t xml:space="preserve">who </w:t>
      </w:r>
      <w:r w:rsidR="00EE1D31">
        <w:rPr>
          <w:rFonts w:ascii="Times New Roman" w:hAnsi="Times New Roman"/>
          <w:sz w:val="28"/>
          <w:szCs w:val="28"/>
        </w:rPr>
        <w:t xml:space="preserve">it </w:t>
      </w:r>
      <w:r w:rsidR="0043578B">
        <w:rPr>
          <w:rFonts w:ascii="Times New Roman" w:hAnsi="Times New Roman"/>
          <w:sz w:val="28"/>
          <w:szCs w:val="28"/>
        </w:rPr>
        <w:t xml:space="preserve">is </w:t>
      </w:r>
      <w:r w:rsidR="00EE1D31">
        <w:rPr>
          <w:rFonts w:ascii="Times New Roman" w:hAnsi="Times New Roman"/>
          <w:sz w:val="28"/>
          <w:szCs w:val="28"/>
        </w:rPr>
        <w:t xml:space="preserve">that is </w:t>
      </w:r>
      <w:r w:rsidR="0043578B">
        <w:rPr>
          <w:rFonts w:ascii="Times New Roman" w:hAnsi="Times New Roman"/>
          <w:sz w:val="28"/>
          <w:szCs w:val="28"/>
        </w:rPr>
        <w:t xml:space="preserve">vested with </w:t>
      </w:r>
      <w:r w:rsidR="00341042">
        <w:rPr>
          <w:rFonts w:ascii="Times New Roman" w:hAnsi="Times New Roman"/>
          <w:sz w:val="28"/>
          <w:szCs w:val="28"/>
        </w:rPr>
        <w:t xml:space="preserve">the power of </w:t>
      </w:r>
      <w:r w:rsidR="00FA2D07">
        <w:rPr>
          <w:rFonts w:ascii="Times New Roman" w:hAnsi="Times New Roman"/>
          <w:sz w:val="28"/>
          <w:szCs w:val="28"/>
        </w:rPr>
        <w:t>administration.</w:t>
      </w:r>
    </w:p>
    <w:p w14:paraId="156D1239" w14:textId="0AA4640C" w:rsidR="0006128A"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0D12E7">
        <w:rPr>
          <w:rFonts w:ascii="Times New Roman" w:hAnsi="Times New Roman"/>
          <w:sz w:val="28"/>
          <w:szCs w:val="28"/>
        </w:rPr>
        <w:t>Appositely, this is dealt with i</w:t>
      </w:r>
      <w:r w:rsidR="003F617F">
        <w:rPr>
          <w:rFonts w:ascii="Times New Roman" w:hAnsi="Times New Roman"/>
          <w:sz w:val="28"/>
          <w:szCs w:val="28"/>
        </w:rPr>
        <w:t xml:space="preserve">n </w:t>
      </w:r>
      <w:r w:rsidR="003F617F" w:rsidRPr="00E05A84">
        <w:rPr>
          <w:rFonts w:ascii="Times New Roman" w:hAnsi="Times New Roman"/>
          <w:i/>
          <w:sz w:val="28"/>
          <w:szCs w:val="28"/>
        </w:rPr>
        <w:t>Clarkson NO v Gelb and others</w:t>
      </w:r>
      <w:r w:rsidR="003F617F">
        <w:rPr>
          <w:rStyle w:val="FootnoteReference"/>
          <w:rFonts w:ascii="Times New Roman" w:hAnsi="Times New Roman"/>
          <w:sz w:val="28"/>
          <w:szCs w:val="28"/>
        </w:rPr>
        <w:footnoteReference w:id="4"/>
      </w:r>
      <w:r w:rsidR="003F617F">
        <w:rPr>
          <w:rFonts w:ascii="Times New Roman" w:hAnsi="Times New Roman"/>
          <w:sz w:val="28"/>
          <w:szCs w:val="28"/>
        </w:rPr>
        <w:t xml:space="preserve"> </w:t>
      </w:r>
      <w:r w:rsidR="003920BB">
        <w:rPr>
          <w:rFonts w:ascii="Times New Roman" w:hAnsi="Times New Roman"/>
          <w:sz w:val="28"/>
          <w:szCs w:val="28"/>
        </w:rPr>
        <w:t xml:space="preserve">where </w:t>
      </w:r>
      <w:r w:rsidR="003F617F">
        <w:rPr>
          <w:rFonts w:ascii="Times New Roman" w:hAnsi="Times New Roman"/>
          <w:sz w:val="28"/>
          <w:szCs w:val="28"/>
        </w:rPr>
        <w:t>it is stated that:</w:t>
      </w:r>
    </w:p>
    <w:p w14:paraId="1460CC02" w14:textId="77777777" w:rsidR="00B01034" w:rsidRPr="00E66969" w:rsidRDefault="00EF2A4C" w:rsidP="00156287">
      <w:pPr>
        <w:pStyle w:val="LegalList1"/>
        <w:spacing w:line="360" w:lineRule="auto"/>
        <w:ind w:left="851"/>
        <w:rPr>
          <w:rFonts w:ascii="Times New Roman" w:hAnsi="Times New Roman"/>
        </w:rPr>
      </w:pPr>
      <w:r w:rsidRPr="00E66969">
        <w:rPr>
          <w:rFonts w:ascii="Times New Roman" w:hAnsi="Times New Roman"/>
        </w:rPr>
        <w:t>‘</w:t>
      </w:r>
      <w:r w:rsidR="00156287" w:rsidRPr="00E66969">
        <w:rPr>
          <w:rFonts w:ascii="Times New Roman" w:hAnsi="Times New Roman"/>
        </w:rPr>
        <w:t>A</w:t>
      </w:r>
      <w:r w:rsidRPr="00E66969">
        <w:rPr>
          <w:rFonts w:ascii="Times New Roman" w:hAnsi="Times New Roman"/>
        </w:rPr>
        <w:t xml:space="preserve"> deceased estate is an aggregate of assets and liabilities. It has no legal personality and, when referring to it as an entity, one must be careful not to imply or understand thereby that one is dealing with anything like a </w:t>
      </w:r>
      <w:r w:rsidRPr="00E66969">
        <w:rPr>
          <w:rFonts w:ascii="Times New Roman" w:hAnsi="Times New Roman"/>
          <w:i/>
        </w:rPr>
        <w:t>persona</w:t>
      </w:r>
      <w:r w:rsidRPr="00E66969">
        <w:rPr>
          <w:rFonts w:ascii="Times New Roman" w:hAnsi="Times New Roman"/>
        </w:rPr>
        <w:t xml:space="preserve">. The executor is vested with its </w:t>
      </w:r>
      <w:proofErr w:type="gramStart"/>
      <w:r w:rsidRPr="00E66969">
        <w:rPr>
          <w:rFonts w:ascii="Times New Roman" w:hAnsi="Times New Roman"/>
        </w:rPr>
        <w:t>administration</w:t>
      </w:r>
      <w:proofErr w:type="gramEnd"/>
      <w:r w:rsidRPr="00E66969">
        <w:rPr>
          <w:rFonts w:ascii="Times New Roman" w:hAnsi="Times New Roman"/>
        </w:rPr>
        <w:t xml:space="preserve"> and he alone has the power to deal with this totality of rights and obligations. He is not merely a procurator or agent.</w:t>
      </w:r>
      <w:r w:rsidR="00156287" w:rsidRPr="00E66969">
        <w:rPr>
          <w:rFonts w:ascii="Times New Roman" w:hAnsi="Times New Roman"/>
        </w:rPr>
        <w:t xml:space="preserve"> His primary duty is to obtain </w:t>
      </w:r>
      <w:r w:rsidR="00156287" w:rsidRPr="00E66969">
        <w:rPr>
          <w:rFonts w:ascii="Times New Roman" w:hAnsi="Times New Roman"/>
          <w:u w:val="single"/>
        </w:rPr>
        <w:t>possession</w:t>
      </w:r>
      <w:r w:rsidR="00156287" w:rsidRPr="00E66969">
        <w:rPr>
          <w:rFonts w:ascii="Times New Roman" w:hAnsi="Times New Roman"/>
        </w:rPr>
        <w:t xml:space="preserve"> of the assets of the deceased, to realise them as far as may be necessary, to make payment of debts and expenses, to frame a liquidation and distribution account, and thereafter to make a distribution to the heirs and legatees. </w:t>
      </w:r>
    </w:p>
    <w:p w14:paraId="607F1E26" w14:textId="77777777" w:rsidR="00B01034" w:rsidRPr="00E66969" w:rsidRDefault="00B01034" w:rsidP="00B01034">
      <w:pPr>
        <w:rPr>
          <w:rFonts w:ascii="Times New Roman" w:hAnsi="Times New Roman" w:cs="Times New Roman"/>
          <w:szCs w:val="24"/>
        </w:rPr>
      </w:pPr>
    </w:p>
    <w:p w14:paraId="07B48534" w14:textId="77777777" w:rsidR="0006128A" w:rsidRDefault="00E05A84" w:rsidP="00156287">
      <w:pPr>
        <w:pStyle w:val="LegalList1"/>
        <w:spacing w:line="360" w:lineRule="auto"/>
        <w:ind w:left="851"/>
        <w:rPr>
          <w:rFonts w:ascii="Times New Roman" w:hAnsi="Times New Roman"/>
          <w:sz w:val="22"/>
          <w:szCs w:val="22"/>
        </w:rPr>
      </w:pPr>
      <w:r w:rsidRPr="00E66969">
        <w:rPr>
          <w:rFonts w:ascii="Times New Roman" w:hAnsi="Times New Roman"/>
        </w:rPr>
        <w:t xml:space="preserve">Heirs </w:t>
      </w:r>
      <w:r w:rsidR="00156287" w:rsidRPr="00E66969">
        <w:rPr>
          <w:rFonts w:ascii="Times New Roman" w:hAnsi="Times New Roman"/>
        </w:rPr>
        <w:t xml:space="preserve">and legatees can claim whatever is due to them only after confirmation of the liquidation and distribution account </w:t>
      </w:r>
      <w:proofErr w:type="gramStart"/>
      <w:r w:rsidR="00156287" w:rsidRPr="00E66969">
        <w:rPr>
          <w:rFonts w:ascii="Times New Roman" w:hAnsi="Times New Roman"/>
        </w:rPr>
        <w:t>. . . .</w:t>
      </w:r>
      <w:proofErr w:type="gramEnd"/>
      <w:r w:rsidR="00156287" w:rsidRPr="00E66969">
        <w:rPr>
          <w:rFonts w:ascii="Times New Roman" w:hAnsi="Times New Roman"/>
        </w:rPr>
        <w:t>’</w:t>
      </w:r>
      <w:r w:rsidR="003E2476" w:rsidRPr="00E66969">
        <w:rPr>
          <w:rFonts w:ascii="Times New Roman" w:hAnsi="Times New Roman"/>
        </w:rPr>
        <w:t xml:space="preserve"> </w:t>
      </w:r>
      <w:r w:rsidR="003E2476" w:rsidRPr="00E66969">
        <w:rPr>
          <w:rFonts w:ascii="Times New Roman" w:hAnsi="Times New Roman"/>
        </w:rPr>
        <w:tab/>
      </w:r>
      <w:r w:rsidR="003E2476" w:rsidRPr="00E66969">
        <w:rPr>
          <w:rFonts w:ascii="Times New Roman" w:hAnsi="Times New Roman"/>
        </w:rPr>
        <w:tab/>
      </w:r>
      <w:r w:rsidR="003E2476" w:rsidRPr="00E66969">
        <w:rPr>
          <w:rFonts w:ascii="Times New Roman" w:hAnsi="Times New Roman"/>
        </w:rPr>
        <w:tab/>
        <w:t xml:space="preserve">    </w:t>
      </w:r>
      <w:r w:rsidR="00225E40" w:rsidRPr="00E66969">
        <w:rPr>
          <w:rFonts w:ascii="Times New Roman" w:hAnsi="Times New Roman"/>
        </w:rPr>
        <w:t xml:space="preserve"> </w:t>
      </w:r>
      <w:r w:rsidR="00225E40">
        <w:rPr>
          <w:rFonts w:cs="Arial"/>
          <w:sz w:val="28"/>
          <w:szCs w:val="28"/>
        </w:rPr>
        <w:t xml:space="preserve">  </w:t>
      </w:r>
      <w:r w:rsidR="003E2476" w:rsidRPr="00225E40">
        <w:rPr>
          <w:rFonts w:ascii="Times New Roman" w:hAnsi="Times New Roman"/>
          <w:sz w:val="28"/>
          <w:szCs w:val="28"/>
        </w:rPr>
        <w:t>(</w:t>
      </w:r>
      <w:proofErr w:type="gramStart"/>
      <w:r w:rsidR="003E2476" w:rsidRPr="00225E40">
        <w:rPr>
          <w:rFonts w:ascii="Times New Roman" w:hAnsi="Times New Roman"/>
          <w:sz w:val="28"/>
          <w:szCs w:val="28"/>
        </w:rPr>
        <w:t>emphasis</w:t>
      </w:r>
      <w:proofErr w:type="gramEnd"/>
      <w:r w:rsidR="003E2476" w:rsidRPr="00225E40">
        <w:rPr>
          <w:rFonts w:ascii="Times New Roman" w:hAnsi="Times New Roman"/>
          <w:sz w:val="28"/>
          <w:szCs w:val="28"/>
        </w:rPr>
        <w:t xml:space="preserve"> added)</w:t>
      </w:r>
    </w:p>
    <w:p w14:paraId="3366D6DC" w14:textId="77777777" w:rsidR="00B01034" w:rsidRPr="00156287" w:rsidRDefault="00B01034" w:rsidP="00B01034"/>
    <w:p w14:paraId="0B4D8DE4" w14:textId="0C9D53CC" w:rsidR="00DC088B"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1A7E5D">
        <w:rPr>
          <w:rFonts w:ascii="Times New Roman" w:hAnsi="Times New Roman"/>
          <w:sz w:val="28"/>
          <w:szCs w:val="28"/>
        </w:rPr>
        <w:t xml:space="preserve">In </w:t>
      </w:r>
      <w:r w:rsidR="00AD725E">
        <w:rPr>
          <w:rFonts w:ascii="Times New Roman" w:hAnsi="Times New Roman"/>
          <w:sz w:val="28"/>
          <w:szCs w:val="28"/>
        </w:rPr>
        <w:t>clarification</w:t>
      </w:r>
      <w:r w:rsidR="001A7E5D">
        <w:rPr>
          <w:rFonts w:ascii="Times New Roman" w:hAnsi="Times New Roman"/>
          <w:sz w:val="28"/>
          <w:szCs w:val="28"/>
        </w:rPr>
        <w:t xml:space="preserve">, the executor and the deceased are separate and distinct </w:t>
      </w:r>
      <w:r w:rsidR="001A7E5D" w:rsidRPr="006F041E">
        <w:rPr>
          <w:rFonts w:ascii="Times New Roman" w:hAnsi="Times New Roman"/>
          <w:i/>
          <w:sz w:val="28"/>
          <w:szCs w:val="28"/>
        </w:rPr>
        <w:t>personae</w:t>
      </w:r>
      <w:r w:rsidR="001A7E5D">
        <w:rPr>
          <w:rFonts w:ascii="Times New Roman" w:hAnsi="Times New Roman"/>
          <w:sz w:val="28"/>
          <w:szCs w:val="28"/>
        </w:rPr>
        <w:t xml:space="preserve">. The executor does not step into the shoes of the deceased on the latter’s death – he </w:t>
      </w:r>
      <w:proofErr w:type="gramStart"/>
      <w:r w:rsidR="001A7E5D">
        <w:rPr>
          <w:rFonts w:ascii="Times New Roman" w:hAnsi="Times New Roman"/>
          <w:sz w:val="28"/>
          <w:szCs w:val="28"/>
        </w:rPr>
        <w:t>does not succeed</w:t>
      </w:r>
      <w:proofErr w:type="gramEnd"/>
      <w:r w:rsidR="001A7E5D">
        <w:rPr>
          <w:rFonts w:ascii="Times New Roman" w:hAnsi="Times New Roman"/>
          <w:sz w:val="28"/>
          <w:szCs w:val="28"/>
        </w:rPr>
        <w:t xml:space="preserve"> to the person of the deceased but is simply required to administer and distribute the estate under the provisions of the Administration of Estates Act</w:t>
      </w:r>
      <w:r w:rsidR="00DC088B">
        <w:rPr>
          <w:rFonts w:ascii="Times New Roman" w:hAnsi="Times New Roman"/>
          <w:sz w:val="28"/>
          <w:szCs w:val="28"/>
        </w:rPr>
        <w:t xml:space="preserve"> (the Act)</w:t>
      </w:r>
      <w:r w:rsidR="001A7E5D">
        <w:rPr>
          <w:rStyle w:val="FootnoteReference"/>
          <w:rFonts w:ascii="Times New Roman" w:hAnsi="Times New Roman"/>
          <w:sz w:val="28"/>
          <w:szCs w:val="28"/>
        </w:rPr>
        <w:footnoteReference w:id="5"/>
      </w:r>
      <w:r w:rsidR="001A7E5D">
        <w:rPr>
          <w:rFonts w:ascii="Times New Roman" w:hAnsi="Times New Roman"/>
          <w:sz w:val="28"/>
          <w:szCs w:val="28"/>
        </w:rPr>
        <w:t xml:space="preserve"> (see </w:t>
      </w:r>
      <w:r w:rsidR="001A7E5D" w:rsidRPr="00C00050">
        <w:rPr>
          <w:rFonts w:ascii="Times New Roman" w:hAnsi="Times New Roman"/>
          <w:i/>
          <w:sz w:val="28"/>
          <w:szCs w:val="28"/>
        </w:rPr>
        <w:t>Van den Bergh v Coetzee</w:t>
      </w:r>
      <w:r w:rsidR="001A7E5D">
        <w:rPr>
          <w:rFonts w:ascii="Times New Roman" w:hAnsi="Times New Roman"/>
          <w:sz w:val="28"/>
          <w:szCs w:val="28"/>
        </w:rPr>
        <w:t xml:space="preserve"> NO</w:t>
      </w:r>
      <w:r w:rsidR="00DF0DBF">
        <w:rPr>
          <w:rStyle w:val="FootnoteReference"/>
          <w:rFonts w:ascii="Times New Roman" w:hAnsi="Times New Roman"/>
          <w:sz w:val="28"/>
          <w:szCs w:val="28"/>
        </w:rPr>
        <w:footnoteReference w:id="6"/>
      </w:r>
      <w:r w:rsidR="001A7E5D">
        <w:rPr>
          <w:rFonts w:ascii="Times New Roman" w:hAnsi="Times New Roman"/>
          <w:sz w:val="28"/>
          <w:szCs w:val="28"/>
        </w:rPr>
        <w:t>).</w:t>
      </w:r>
    </w:p>
    <w:p w14:paraId="394920BF" w14:textId="042EA5DA" w:rsidR="001A7E5D"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1A7E5D">
        <w:rPr>
          <w:rFonts w:ascii="Times New Roman" w:hAnsi="Times New Roman"/>
          <w:sz w:val="28"/>
          <w:szCs w:val="28"/>
        </w:rPr>
        <w:t>The Act precludes the exercise of executorial powers by anyone other than the executor who acts under the authority of the Master in terms of the Act.</w:t>
      </w:r>
      <w:r w:rsidR="001A7E5D">
        <w:rPr>
          <w:rStyle w:val="FootnoteReference"/>
          <w:rFonts w:ascii="Times New Roman" w:hAnsi="Times New Roman"/>
          <w:sz w:val="28"/>
          <w:szCs w:val="28"/>
        </w:rPr>
        <w:footnoteReference w:id="7"/>
      </w:r>
      <w:r w:rsidR="004A173A">
        <w:rPr>
          <w:rFonts w:ascii="Times New Roman" w:hAnsi="Times New Roman"/>
          <w:sz w:val="28"/>
          <w:szCs w:val="28"/>
        </w:rPr>
        <w:t xml:space="preserve"> It is therefore</w:t>
      </w:r>
      <w:r w:rsidR="00C00295">
        <w:rPr>
          <w:rFonts w:ascii="Times New Roman" w:hAnsi="Times New Roman"/>
          <w:sz w:val="28"/>
          <w:szCs w:val="28"/>
        </w:rPr>
        <w:t xml:space="preserve"> </w:t>
      </w:r>
      <w:r w:rsidR="004A173A">
        <w:rPr>
          <w:rFonts w:ascii="Times New Roman" w:hAnsi="Times New Roman"/>
          <w:sz w:val="28"/>
          <w:szCs w:val="28"/>
        </w:rPr>
        <w:t xml:space="preserve">the executor that has </w:t>
      </w:r>
      <w:r w:rsidR="004A173A" w:rsidRPr="00110379">
        <w:rPr>
          <w:rFonts w:ascii="Times New Roman" w:hAnsi="Times New Roman"/>
          <w:i/>
          <w:sz w:val="28"/>
          <w:szCs w:val="28"/>
        </w:rPr>
        <w:t>locus standi</w:t>
      </w:r>
      <w:r w:rsidR="004A173A">
        <w:rPr>
          <w:rFonts w:ascii="Times New Roman" w:hAnsi="Times New Roman"/>
          <w:sz w:val="28"/>
          <w:szCs w:val="28"/>
        </w:rPr>
        <w:t xml:space="preserve"> to liquidate and distribute the estate</w:t>
      </w:r>
      <w:r w:rsidR="00C00295">
        <w:rPr>
          <w:rFonts w:ascii="Times New Roman" w:hAnsi="Times New Roman"/>
          <w:sz w:val="28"/>
          <w:szCs w:val="28"/>
        </w:rPr>
        <w:t>; and where an estate has been dispos</w:t>
      </w:r>
      <w:r w:rsidR="00CE7230">
        <w:rPr>
          <w:rFonts w:ascii="Times New Roman" w:hAnsi="Times New Roman"/>
          <w:sz w:val="28"/>
          <w:szCs w:val="28"/>
        </w:rPr>
        <w:t>sessed</w:t>
      </w:r>
      <w:r w:rsidR="00C00295">
        <w:rPr>
          <w:rFonts w:ascii="Times New Roman" w:hAnsi="Times New Roman"/>
          <w:sz w:val="28"/>
          <w:szCs w:val="28"/>
        </w:rPr>
        <w:t xml:space="preserve"> of a right in property it is the executor who is entitled to prosecute the restitution (</w:t>
      </w:r>
      <w:r w:rsidR="009A0A66">
        <w:rPr>
          <w:rFonts w:ascii="Times New Roman" w:hAnsi="Times New Roman"/>
          <w:sz w:val="28"/>
          <w:szCs w:val="28"/>
        </w:rPr>
        <w:t xml:space="preserve">see </w:t>
      </w:r>
      <w:r w:rsidR="009A0A66" w:rsidRPr="009A0A66">
        <w:rPr>
          <w:rFonts w:ascii="Times New Roman" w:hAnsi="Times New Roman"/>
          <w:i/>
          <w:sz w:val="28"/>
          <w:szCs w:val="28"/>
        </w:rPr>
        <w:t>Kara v The Properties formerly known as the Farm Cato Manor No 812</w:t>
      </w:r>
      <w:r w:rsidR="00BD37C9">
        <w:rPr>
          <w:rStyle w:val="FootnoteReference"/>
          <w:rFonts w:ascii="Times New Roman" w:hAnsi="Times New Roman"/>
          <w:i/>
          <w:sz w:val="28"/>
          <w:szCs w:val="28"/>
        </w:rPr>
        <w:footnoteReference w:id="8"/>
      </w:r>
      <w:r w:rsidR="009A0A66">
        <w:rPr>
          <w:rFonts w:ascii="Times New Roman" w:hAnsi="Times New Roman"/>
          <w:sz w:val="28"/>
          <w:szCs w:val="28"/>
        </w:rPr>
        <w:t>).</w:t>
      </w:r>
      <w:r w:rsidR="001A7E5D">
        <w:rPr>
          <w:rFonts w:ascii="Times New Roman" w:hAnsi="Times New Roman"/>
          <w:sz w:val="28"/>
          <w:szCs w:val="28"/>
        </w:rPr>
        <w:t xml:space="preserve"> </w:t>
      </w:r>
      <w:r w:rsidR="00110379">
        <w:rPr>
          <w:rFonts w:ascii="Times New Roman" w:hAnsi="Times New Roman"/>
          <w:sz w:val="28"/>
          <w:szCs w:val="28"/>
        </w:rPr>
        <w:t>But i</w:t>
      </w:r>
      <w:r w:rsidR="001A7E5D">
        <w:rPr>
          <w:rFonts w:ascii="Times New Roman" w:hAnsi="Times New Roman"/>
          <w:sz w:val="28"/>
          <w:szCs w:val="28"/>
        </w:rPr>
        <w:t xml:space="preserve">n </w:t>
      </w:r>
      <w:r w:rsidR="00AD725E">
        <w:rPr>
          <w:rFonts w:ascii="Times New Roman" w:hAnsi="Times New Roman"/>
          <w:sz w:val="28"/>
          <w:szCs w:val="28"/>
        </w:rPr>
        <w:t>doing so</w:t>
      </w:r>
      <w:r w:rsidR="003E2476">
        <w:rPr>
          <w:rFonts w:ascii="Times New Roman" w:hAnsi="Times New Roman"/>
          <w:sz w:val="28"/>
          <w:szCs w:val="28"/>
        </w:rPr>
        <w:t xml:space="preserve"> </w:t>
      </w:r>
      <w:r w:rsidR="001A7E5D">
        <w:rPr>
          <w:rFonts w:ascii="Times New Roman" w:hAnsi="Times New Roman"/>
          <w:sz w:val="28"/>
          <w:szCs w:val="28"/>
        </w:rPr>
        <w:t xml:space="preserve">the executor does not acquire full </w:t>
      </w:r>
      <w:r w:rsidR="001A7E5D" w:rsidRPr="00235266">
        <w:rPr>
          <w:rFonts w:ascii="Times New Roman" w:hAnsi="Times New Roman"/>
          <w:i/>
          <w:sz w:val="28"/>
          <w:szCs w:val="28"/>
        </w:rPr>
        <w:t>dominium</w:t>
      </w:r>
      <w:r w:rsidR="001A7E5D">
        <w:rPr>
          <w:rFonts w:ascii="Times New Roman" w:hAnsi="Times New Roman"/>
          <w:sz w:val="28"/>
          <w:szCs w:val="28"/>
        </w:rPr>
        <w:t xml:space="preserve">. While the estate is being administered, the underlying </w:t>
      </w:r>
      <w:r w:rsidR="001A7E5D" w:rsidRPr="00235266">
        <w:rPr>
          <w:rFonts w:ascii="Times New Roman" w:hAnsi="Times New Roman"/>
          <w:i/>
          <w:sz w:val="28"/>
          <w:szCs w:val="28"/>
        </w:rPr>
        <w:t>dominium</w:t>
      </w:r>
      <w:r w:rsidR="001A7E5D">
        <w:rPr>
          <w:rFonts w:ascii="Times New Roman" w:hAnsi="Times New Roman"/>
          <w:sz w:val="28"/>
          <w:szCs w:val="28"/>
        </w:rPr>
        <w:t xml:space="preserve"> is a bare </w:t>
      </w:r>
      <w:r w:rsidR="001A7E5D" w:rsidRPr="00235266">
        <w:rPr>
          <w:rFonts w:ascii="Times New Roman" w:hAnsi="Times New Roman"/>
          <w:i/>
          <w:sz w:val="28"/>
          <w:szCs w:val="28"/>
        </w:rPr>
        <w:t>dominium</w:t>
      </w:r>
      <w:r w:rsidR="001A7E5D">
        <w:rPr>
          <w:rFonts w:ascii="Times New Roman" w:hAnsi="Times New Roman"/>
          <w:sz w:val="28"/>
          <w:szCs w:val="28"/>
        </w:rPr>
        <w:t xml:space="preserve"> bereft of absolute control and the unqualified right to use and enjoy </w:t>
      </w:r>
      <w:r w:rsidR="00052B36">
        <w:rPr>
          <w:rFonts w:ascii="Times New Roman" w:hAnsi="Times New Roman"/>
          <w:sz w:val="28"/>
          <w:szCs w:val="28"/>
        </w:rPr>
        <w:t xml:space="preserve">that which is </w:t>
      </w:r>
      <w:r w:rsidR="001A7E5D">
        <w:rPr>
          <w:rFonts w:ascii="Times New Roman" w:hAnsi="Times New Roman"/>
          <w:sz w:val="28"/>
          <w:szCs w:val="28"/>
        </w:rPr>
        <w:t>in a deceased estate.</w:t>
      </w:r>
      <w:r w:rsidR="001E7D22">
        <w:rPr>
          <w:rFonts w:ascii="Times New Roman" w:hAnsi="Times New Roman"/>
          <w:sz w:val="28"/>
          <w:szCs w:val="28"/>
        </w:rPr>
        <w:t xml:space="preserve"> How much of the bare </w:t>
      </w:r>
      <w:r w:rsidR="001E7D22" w:rsidRPr="003C736D">
        <w:rPr>
          <w:rFonts w:ascii="Times New Roman" w:hAnsi="Times New Roman"/>
          <w:i/>
          <w:sz w:val="28"/>
          <w:szCs w:val="28"/>
        </w:rPr>
        <w:t>dominium</w:t>
      </w:r>
      <w:r w:rsidR="001E7D22">
        <w:rPr>
          <w:rFonts w:ascii="Times New Roman" w:hAnsi="Times New Roman"/>
          <w:sz w:val="28"/>
          <w:szCs w:val="28"/>
        </w:rPr>
        <w:t xml:space="preserve"> ultimately translates into full </w:t>
      </w:r>
      <w:r w:rsidR="001E7D22" w:rsidRPr="003C736D">
        <w:rPr>
          <w:rFonts w:ascii="Times New Roman" w:hAnsi="Times New Roman"/>
          <w:i/>
          <w:sz w:val="28"/>
          <w:szCs w:val="28"/>
        </w:rPr>
        <w:t>dominium</w:t>
      </w:r>
      <w:r w:rsidR="001E7D22">
        <w:rPr>
          <w:rFonts w:ascii="Times New Roman" w:hAnsi="Times New Roman"/>
          <w:sz w:val="28"/>
          <w:szCs w:val="28"/>
        </w:rPr>
        <w:t xml:space="preserve"> depends on the requirements of administration</w:t>
      </w:r>
      <w:r w:rsidR="003C736D">
        <w:rPr>
          <w:rFonts w:ascii="Times New Roman" w:hAnsi="Times New Roman"/>
          <w:sz w:val="28"/>
          <w:szCs w:val="28"/>
        </w:rPr>
        <w:t xml:space="preserve"> (whether testate or intestate) leading to the confirmation of a liquidation and distribution account</w:t>
      </w:r>
      <w:r w:rsidR="00706E08">
        <w:rPr>
          <w:rFonts w:ascii="Times New Roman" w:hAnsi="Times New Roman"/>
          <w:sz w:val="28"/>
          <w:szCs w:val="28"/>
        </w:rPr>
        <w:t xml:space="preserve"> </w:t>
      </w:r>
      <w:r w:rsidR="003C736D">
        <w:rPr>
          <w:rFonts w:ascii="Times New Roman" w:hAnsi="Times New Roman"/>
          <w:sz w:val="28"/>
          <w:szCs w:val="28"/>
        </w:rPr>
        <w:t xml:space="preserve">(see </w:t>
      </w:r>
      <w:r w:rsidR="003C736D" w:rsidRPr="00E31FD0">
        <w:rPr>
          <w:rFonts w:ascii="Times New Roman" w:hAnsi="Times New Roman"/>
          <w:i/>
          <w:sz w:val="28"/>
          <w:szCs w:val="28"/>
        </w:rPr>
        <w:t>Keyes NO v Ellinas and Others</w:t>
      </w:r>
      <w:r w:rsidR="00BD37C9">
        <w:rPr>
          <w:rStyle w:val="FootnoteReference"/>
          <w:rFonts w:ascii="Times New Roman" w:hAnsi="Times New Roman"/>
          <w:i/>
          <w:sz w:val="28"/>
          <w:szCs w:val="28"/>
        </w:rPr>
        <w:footnoteReference w:id="9"/>
      </w:r>
      <w:r w:rsidR="003C736D">
        <w:rPr>
          <w:rFonts w:ascii="Times New Roman" w:hAnsi="Times New Roman"/>
          <w:sz w:val="28"/>
          <w:szCs w:val="28"/>
        </w:rPr>
        <w:t>).</w:t>
      </w:r>
    </w:p>
    <w:p w14:paraId="457A0CB6" w14:textId="77777777" w:rsidR="00C75218" w:rsidRPr="00A24451" w:rsidRDefault="00C75218" w:rsidP="00C75218">
      <w:pPr>
        <w:pStyle w:val="LegalList1"/>
        <w:spacing w:line="360" w:lineRule="auto"/>
        <w:ind w:left="131" w:firstLine="720"/>
        <w:rPr>
          <w:rFonts w:ascii="Times New Roman" w:hAnsi="Times New Roman"/>
          <w:b/>
          <w:i/>
          <w:sz w:val="28"/>
          <w:szCs w:val="28"/>
        </w:rPr>
      </w:pPr>
      <w:r w:rsidRPr="00A24451">
        <w:rPr>
          <w:rFonts w:ascii="Times New Roman" w:hAnsi="Times New Roman"/>
          <w:b/>
          <w:i/>
          <w:sz w:val="28"/>
          <w:szCs w:val="28"/>
        </w:rPr>
        <w:lastRenderedPageBreak/>
        <w:t>Declaration of ownership and transfer</w:t>
      </w:r>
    </w:p>
    <w:p w14:paraId="76468D56" w14:textId="45165102" w:rsidR="00BE572D" w:rsidRPr="00461EE4" w:rsidRDefault="00731AA4" w:rsidP="00731AA4">
      <w:pPr>
        <w:pStyle w:val="LegalList1"/>
        <w:spacing w:line="360" w:lineRule="auto"/>
        <w:ind w:left="851" w:hanging="851"/>
        <w:rPr>
          <w:rFonts w:ascii="Times New Roman" w:hAnsi="Times New Roman"/>
          <w:sz w:val="28"/>
          <w:szCs w:val="28"/>
        </w:rPr>
      </w:pPr>
      <w:r w:rsidRPr="00461EE4">
        <w:rPr>
          <w:rFonts w:ascii="Times New Roman" w:hAnsi="Times New Roman"/>
          <w:sz w:val="28"/>
          <w:szCs w:val="28"/>
        </w:rPr>
        <w:t>[12]</w:t>
      </w:r>
      <w:r w:rsidRPr="00461EE4">
        <w:rPr>
          <w:rFonts w:ascii="Times New Roman" w:hAnsi="Times New Roman"/>
          <w:sz w:val="28"/>
          <w:szCs w:val="28"/>
        </w:rPr>
        <w:tab/>
      </w:r>
      <w:r w:rsidR="007D37D2" w:rsidRPr="00461EE4">
        <w:rPr>
          <w:rFonts w:ascii="Times New Roman" w:hAnsi="Times New Roman"/>
          <w:sz w:val="28"/>
          <w:szCs w:val="28"/>
        </w:rPr>
        <w:t xml:space="preserve">In argument it was submitted for the plaintiff that the property is claimed under the </w:t>
      </w:r>
      <w:r w:rsidR="007D37D2" w:rsidRPr="00461EE4">
        <w:rPr>
          <w:rFonts w:ascii="Times New Roman" w:hAnsi="Times New Roman"/>
          <w:i/>
          <w:sz w:val="28"/>
          <w:szCs w:val="28"/>
        </w:rPr>
        <w:t xml:space="preserve">rei </w:t>
      </w:r>
      <w:proofErr w:type="spellStart"/>
      <w:r w:rsidR="00B23FC2" w:rsidRPr="00461EE4">
        <w:rPr>
          <w:rFonts w:ascii="Times New Roman" w:hAnsi="Times New Roman"/>
          <w:i/>
          <w:sz w:val="28"/>
          <w:szCs w:val="28"/>
        </w:rPr>
        <w:t>vindicatio</w:t>
      </w:r>
      <w:proofErr w:type="spellEnd"/>
      <w:r w:rsidR="00B23FC2" w:rsidRPr="00461EE4">
        <w:rPr>
          <w:rFonts w:ascii="Times New Roman" w:hAnsi="Times New Roman"/>
          <w:i/>
          <w:sz w:val="28"/>
          <w:szCs w:val="28"/>
        </w:rPr>
        <w:t>.</w:t>
      </w:r>
      <w:r w:rsidR="00155914">
        <w:rPr>
          <w:rStyle w:val="FootnoteReference"/>
          <w:rFonts w:ascii="Times New Roman" w:hAnsi="Times New Roman"/>
          <w:sz w:val="28"/>
          <w:szCs w:val="28"/>
        </w:rPr>
        <w:footnoteReference w:id="10"/>
      </w:r>
      <w:r w:rsidR="007D37D2" w:rsidRPr="00461EE4">
        <w:rPr>
          <w:rFonts w:ascii="Times New Roman" w:hAnsi="Times New Roman"/>
          <w:sz w:val="28"/>
          <w:szCs w:val="28"/>
        </w:rPr>
        <w:t xml:space="preserve"> A </w:t>
      </w:r>
      <w:r w:rsidR="005A625C" w:rsidRPr="00461EE4">
        <w:rPr>
          <w:rFonts w:ascii="Times New Roman" w:hAnsi="Times New Roman"/>
          <w:sz w:val="28"/>
          <w:szCs w:val="28"/>
        </w:rPr>
        <w:t>vindicatory action</w:t>
      </w:r>
      <w:r w:rsidR="007D37D2" w:rsidRPr="00461EE4">
        <w:rPr>
          <w:rFonts w:ascii="Times New Roman" w:hAnsi="Times New Roman"/>
          <w:sz w:val="28"/>
          <w:szCs w:val="28"/>
        </w:rPr>
        <w:t xml:space="preserve"> is available to an owner who has been deprived of their property without consent and who seeks </w:t>
      </w:r>
      <w:r w:rsidR="00F83A20" w:rsidRPr="00461EE4">
        <w:rPr>
          <w:rFonts w:ascii="Times New Roman" w:hAnsi="Times New Roman"/>
          <w:sz w:val="28"/>
          <w:szCs w:val="28"/>
        </w:rPr>
        <w:t xml:space="preserve">its recovery </w:t>
      </w:r>
      <w:r w:rsidR="007D37D2" w:rsidRPr="00461EE4">
        <w:rPr>
          <w:rFonts w:ascii="Times New Roman" w:hAnsi="Times New Roman"/>
          <w:sz w:val="28"/>
          <w:szCs w:val="28"/>
        </w:rPr>
        <w:t>from someone else who retains possession.</w:t>
      </w:r>
      <w:r w:rsidR="004B3E22">
        <w:rPr>
          <w:rStyle w:val="FootnoteReference"/>
          <w:rFonts w:ascii="Times New Roman" w:hAnsi="Times New Roman"/>
          <w:sz w:val="28"/>
          <w:szCs w:val="28"/>
        </w:rPr>
        <w:footnoteReference w:id="11"/>
      </w:r>
      <w:r w:rsidR="004B3E22" w:rsidRPr="00461EE4">
        <w:rPr>
          <w:rFonts w:ascii="Times New Roman" w:hAnsi="Times New Roman"/>
          <w:sz w:val="28"/>
          <w:szCs w:val="28"/>
        </w:rPr>
        <w:t xml:space="preserve"> </w:t>
      </w:r>
      <w:r w:rsidR="00B1110F" w:rsidRPr="00461EE4">
        <w:rPr>
          <w:rFonts w:ascii="Times New Roman" w:hAnsi="Times New Roman"/>
          <w:sz w:val="28"/>
          <w:szCs w:val="28"/>
        </w:rPr>
        <w:t>A claimant invoking a vindicatory claim must allege ownership of the property</w:t>
      </w:r>
      <w:r w:rsidR="00B1110F">
        <w:rPr>
          <w:rStyle w:val="FootnoteReference"/>
          <w:rFonts w:ascii="Times New Roman" w:hAnsi="Times New Roman"/>
          <w:sz w:val="28"/>
          <w:szCs w:val="28"/>
        </w:rPr>
        <w:footnoteReference w:id="12"/>
      </w:r>
      <w:r w:rsidR="006D61BE" w:rsidRPr="00461EE4">
        <w:rPr>
          <w:rFonts w:ascii="Times New Roman" w:hAnsi="Times New Roman"/>
          <w:sz w:val="28"/>
          <w:szCs w:val="28"/>
        </w:rPr>
        <w:t xml:space="preserve"> (</w:t>
      </w:r>
      <w:proofErr w:type="gramStart"/>
      <w:r w:rsidR="006D61BE" w:rsidRPr="00461EE4">
        <w:rPr>
          <w:rFonts w:ascii="Times New Roman" w:hAnsi="Times New Roman"/>
          <w:sz w:val="28"/>
          <w:szCs w:val="28"/>
        </w:rPr>
        <w:t>i.e.</w:t>
      </w:r>
      <w:proofErr w:type="gramEnd"/>
      <w:r w:rsidR="006D61BE" w:rsidRPr="00461EE4">
        <w:rPr>
          <w:rFonts w:ascii="Times New Roman" w:hAnsi="Times New Roman"/>
          <w:sz w:val="28"/>
          <w:szCs w:val="28"/>
        </w:rPr>
        <w:t xml:space="preserve"> full </w:t>
      </w:r>
      <w:r w:rsidR="006D61BE" w:rsidRPr="00461EE4">
        <w:rPr>
          <w:rFonts w:ascii="Times New Roman" w:hAnsi="Times New Roman"/>
          <w:i/>
          <w:sz w:val="28"/>
          <w:szCs w:val="28"/>
        </w:rPr>
        <w:t>dominium</w:t>
      </w:r>
      <w:r w:rsidR="006D61BE" w:rsidRPr="00461EE4">
        <w:rPr>
          <w:rFonts w:ascii="Times New Roman" w:hAnsi="Times New Roman"/>
          <w:sz w:val="28"/>
          <w:szCs w:val="28"/>
        </w:rPr>
        <w:t>).</w:t>
      </w:r>
      <w:r w:rsidR="003F49EC" w:rsidRPr="00461EE4">
        <w:rPr>
          <w:rFonts w:ascii="Times New Roman" w:hAnsi="Times New Roman"/>
          <w:sz w:val="28"/>
          <w:szCs w:val="28"/>
        </w:rPr>
        <w:t xml:space="preserve"> T</w:t>
      </w:r>
      <w:r w:rsidR="00830AED" w:rsidRPr="00461EE4">
        <w:rPr>
          <w:rFonts w:ascii="Times New Roman" w:hAnsi="Times New Roman"/>
          <w:sz w:val="28"/>
          <w:szCs w:val="28"/>
        </w:rPr>
        <w:t>he</w:t>
      </w:r>
      <w:r w:rsidR="003F49EC" w:rsidRPr="00461EE4">
        <w:rPr>
          <w:rFonts w:ascii="Times New Roman" w:hAnsi="Times New Roman"/>
          <w:sz w:val="28"/>
          <w:szCs w:val="28"/>
        </w:rPr>
        <w:t xml:space="preserve"> plaintiff has not made this allegation. </w:t>
      </w:r>
      <w:proofErr w:type="gramStart"/>
      <w:r w:rsidR="00610D6C" w:rsidRPr="00461EE4">
        <w:rPr>
          <w:rFonts w:ascii="Times New Roman" w:hAnsi="Times New Roman"/>
          <w:sz w:val="28"/>
          <w:szCs w:val="28"/>
        </w:rPr>
        <w:t>Instead</w:t>
      </w:r>
      <w:proofErr w:type="gramEnd"/>
      <w:r w:rsidR="00610D6C" w:rsidRPr="00461EE4">
        <w:rPr>
          <w:rFonts w:ascii="Times New Roman" w:hAnsi="Times New Roman"/>
          <w:sz w:val="28"/>
          <w:szCs w:val="28"/>
        </w:rPr>
        <w:t xml:space="preserve"> it was submitted that the issue of ownership can be dealt with </w:t>
      </w:r>
      <w:r w:rsidR="00DE2880" w:rsidRPr="00461EE4">
        <w:rPr>
          <w:rFonts w:ascii="Times New Roman" w:hAnsi="Times New Roman"/>
          <w:sz w:val="28"/>
          <w:szCs w:val="28"/>
        </w:rPr>
        <w:t xml:space="preserve">during </w:t>
      </w:r>
      <w:r w:rsidR="00610D6C" w:rsidRPr="00461EE4">
        <w:rPr>
          <w:rFonts w:ascii="Times New Roman" w:hAnsi="Times New Roman"/>
          <w:sz w:val="28"/>
          <w:szCs w:val="28"/>
        </w:rPr>
        <w:t>the trial in due course. Th</w:t>
      </w:r>
      <w:r w:rsidR="002914FC" w:rsidRPr="00461EE4">
        <w:rPr>
          <w:rFonts w:ascii="Times New Roman" w:hAnsi="Times New Roman"/>
          <w:sz w:val="28"/>
          <w:szCs w:val="28"/>
        </w:rPr>
        <w:t>is</w:t>
      </w:r>
      <w:r w:rsidR="00610D6C" w:rsidRPr="00461EE4">
        <w:rPr>
          <w:rFonts w:ascii="Times New Roman" w:hAnsi="Times New Roman"/>
          <w:sz w:val="28"/>
          <w:szCs w:val="28"/>
        </w:rPr>
        <w:t xml:space="preserve"> proposition is unsound since an exception must be dealt with in the pleading as it stands</w:t>
      </w:r>
      <w:r w:rsidR="00B23FC2" w:rsidRPr="00461EE4">
        <w:rPr>
          <w:rFonts w:ascii="Times New Roman" w:hAnsi="Times New Roman"/>
          <w:sz w:val="28"/>
          <w:szCs w:val="28"/>
        </w:rPr>
        <w:t>.</w:t>
      </w:r>
      <w:r w:rsidR="00461EE4">
        <w:rPr>
          <w:rFonts w:ascii="Times New Roman" w:hAnsi="Times New Roman"/>
          <w:sz w:val="28"/>
          <w:szCs w:val="28"/>
        </w:rPr>
        <w:t xml:space="preserve"> </w:t>
      </w:r>
      <w:r w:rsidR="006D61BE" w:rsidRPr="00461EE4">
        <w:rPr>
          <w:rFonts w:ascii="Times New Roman" w:hAnsi="Times New Roman"/>
          <w:sz w:val="28"/>
          <w:szCs w:val="28"/>
        </w:rPr>
        <w:t>Consequently, t</w:t>
      </w:r>
      <w:r w:rsidR="003F49EC" w:rsidRPr="00461EE4">
        <w:rPr>
          <w:rFonts w:ascii="Times New Roman" w:hAnsi="Times New Roman"/>
          <w:sz w:val="28"/>
          <w:szCs w:val="28"/>
        </w:rPr>
        <w:t xml:space="preserve">he </w:t>
      </w:r>
      <w:r w:rsidR="00830AED" w:rsidRPr="00461EE4">
        <w:rPr>
          <w:rFonts w:ascii="Times New Roman" w:hAnsi="Times New Roman"/>
          <w:sz w:val="28"/>
          <w:szCs w:val="28"/>
        </w:rPr>
        <w:t xml:space="preserve">relief for transfer of the fixed property into </w:t>
      </w:r>
      <w:r w:rsidR="002914FC" w:rsidRPr="00461EE4">
        <w:rPr>
          <w:rFonts w:ascii="Times New Roman" w:hAnsi="Times New Roman"/>
          <w:sz w:val="28"/>
          <w:szCs w:val="28"/>
        </w:rPr>
        <w:t xml:space="preserve">the </w:t>
      </w:r>
      <w:r w:rsidR="00830AED" w:rsidRPr="00461EE4">
        <w:rPr>
          <w:rFonts w:ascii="Times New Roman" w:hAnsi="Times New Roman"/>
          <w:sz w:val="28"/>
          <w:szCs w:val="28"/>
        </w:rPr>
        <w:t xml:space="preserve">name </w:t>
      </w:r>
      <w:r w:rsidR="002914FC" w:rsidRPr="00461EE4">
        <w:rPr>
          <w:rFonts w:ascii="Times New Roman" w:hAnsi="Times New Roman"/>
          <w:sz w:val="28"/>
          <w:szCs w:val="28"/>
        </w:rPr>
        <w:t xml:space="preserve">of the plaintiff </w:t>
      </w:r>
      <w:r w:rsidR="000A107E" w:rsidRPr="00461EE4">
        <w:rPr>
          <w:rFonts w:ascii="Times New Roman" w:hAnsi="Times New Roman"/>
          <w:sz w:val="28"/>
          <w:szCs w:val="28"/>
        </w:rPr>
        <w:t xml:space="preserve">is </w:t>
      </w:r>
      <w:r w:rsidR="009B041D" w:rsidRPr="00461EE4">
        <w:rPr>
          <w:rFonts w:ascii="Times New Roman" w:hAnsi="Times New Roman"/>
          <w:sz w:val="28"/>
          <w:szCs w:val="28"/>
        </w:rPr>
        <w:t xml:space="preserve">– </w:t>
      </w:r>
      <w:r w:rsidR="00F5733A" w:rsidRPr="00461EE4">
        <w:rPr>
          <w:rFonts w:ascii="Times New Roman" w:hAnsi="Times New Roman"/>
          <w:sz w:val="28"/>
          <w:szCs w:val="28"/>
        </w:rPr>
        <w:t xml:space="preserve">on </w:t>
      </w:r>
      <w:r w:rsidR="009044F4" w:rsidRPr="00461EE4">
        <w:rPr>
          <w:rFonts w:ascii="Times New Roman" w:hAnsi="Times New Roman"/>
          <w:sz w:val="28"/>
          <w:szCs w:val="28"/>
        </w:rPr>
        <w:t>the authority referred to in the preceding paragraphs</w:t>
      </w:r>
      <w:r w:rsidR="009B041D" w:rsidRPr="00461EE4">
        <w:rPr>
          <w:rFonts w:ascii="Times New Roman" w:hAnsi="Times New Roman"/>
          <w:sz w:val="28"/>
          <w:szCs w:val="28"/>
        </w:rPr>
        <w:t xml:space="preserve"> – plainly </w:t>
      </w:r>
      <w:r w:rsidR="000A107E" w:rsidRPr="00461EE4">
        <w:rPr>
          <w:rFonts w:ascii="Times New Roman" w:hAnsi="Times New Roman"/>
          <w:sz w:val="28"/>
          <w:szCs w:val="28"/>
        </w:rPr>
        <w:t xml:space="preserve">bad in law and </w:t>
      </w:r>
      <w:r w:rsidR="003D1991" w:rsidRPr="00461EE4">
        <w:rPr>
          <w:rFonts w:ascii="Times New Roman" w:hAnsi="Times New Roman"/>
          <w:sz w:val="28"/>
          <w:szCs w:val="28"/>
        </w:rPr>
        <w:t xml:space="preserve">renders the particulars of claim </w:t>
      </w:r>
      <w:proofErr w:type="spellStart"/>
      <w:r w:rsidR="003D1991" w:rsidRPr="00461EE4">
        <w:rPr>
          <w:rFonts w:ascii="Times New Roman" w:hAnsi="Times New Roman"/>
          <w:sz w:val="28"/>
          <w:szCs w:val="28"/>
        </w:rPr>
        <w:t>excipiable</w:t>
      </w:r>
      <w:proofErr w:type="spellEnd"/>
      <w:r w:rsidR="00B637FA" w:rsidRPr="00461EE4">
        <w:rPr>
          <w:rFonts w:ascii="Times New Roman" w:hAnsi="Times New Roman"/>
          <w:sz w:val="28"/>
          <w:szCs w:val="28"/>
        </w:rPr>
        <w:t>.</w:t>
      </w:r>
      <w:r w:rsidR="0017281A" w:rsidRPr="00461EE4">
        <w:rPr>
          <w:rFonts w:ascii="Times New Roman" w:hAnsi="Times New Roman"/>
          <w:sz w:val="28"/>
          <w:szCs w:val="28"/>
        </w:rPr>
        <w:t xml:space="preserve"> </w:t>
      </w:r>
      <w:r w:rsidR="00554DAF" w:rsidRPr="00461EE4">
        <w:rPr>
          <w:rFonts w:ascii="Times New Roman" w:hAnsi="Times New Roman"/>
          <w:sz w:val="28"/>
          <w:szCs w:val="28"/>
        </w:rPr>
        <w:t xml:space="preserve">At the heart of the matter, </w:t>
      </w:r>
      <w:r w:rsidR="00987D17" w:rsidRPr="00461EE4">
        <w:rPr>
          <w:rFonts w:ascii="Times New Roman" w:hAnsi="Times New Roman"/>
          <w:sz w:val="28"/>
          <w:szCs w:val="28"/>
        </w:rPr>
        <w:t xml:space="preserve">it cannot be established if the plaintiff seeks </w:t>
      </w:r>
      <w:r w:rsidR="00675954" w:rsidRPr="00461EE4">
        <w:rPr>
          <w:rFonts w:ascii="Times New Roman" w:hAnsi="Times New Roman"/>
          <w:sz w:val="28"/>
          <w:szCs w:val="28"/>
        </w:rPr>
        <w:t xml:space="preserve">full dominium of </w:t>
      </w:r>
      <w:r w:rsidR="00987D17" w:rsidRPr="00461EE4">
        <w:rPr>
          <w:rFonts w:ascii="Times New Roman" w:hAnsi="Times New Roman"/>
          <w:sz w:val="28"/>
          <w:szCs w:val="28"/>
        </w:rPr>
        <w:t xml:space="preserve">the property </w:t>
      </w:r>
      <w:r w:rsidR="00DE2880" w:rsidRPr="00461EE4">
        <w:rPr>
          <w:rFonts w:ascii="Times New Roman" w:hAnsi="Times New Roman"/>
          <w:sz w:val="28"/>
          <w:szCs w:val="28"/>
        </w:rPr>
        <w:t>by it</w:t>
      </w:r>
      <w:r w:rsidR="00786768" w:rsidRPr="00461EE4">
        <w:rPr>
          <w:rFonts w:ascii="Times New Roman" w:hAnsi="Times New Roman"/>
          <w:sz w:val="28"/>
          <w:szCs w:val="28"/>
        </w:rPr>
        <w:t>s</w:t>
      </w:r>
      <w:r w:rsidR="00DE2880" w:rsidRPr="00461EE4">
        <w:rPr>
          <w:rFonts w:ascii="Times New Roman" w:hAnsi="Times New Roman"/>
          <w:sz w:val="28"/>
          <w:szCs w:val="28"/>
        </w:rPr>
        <w:t xml:space="preserve"> transfer</w:t>
      </w:r>
      <w:r w:rsidR="00987D17" w:rsidRPr="00461EE4">
        <w:rPr>
          <w:rFonts w:ascii="Times New Roman" w:hAnsi="Times New Roman"/>
          <w:sz w:val="28"/>
          <w:szCs w:val="28"/>
        </w:rPr>
        <w:t xml:space="preserve"> into her name in her personal capacity </w:t>
      </w:r>
      <w:r w:rsidR="00280266" w:rsidRPr="00461EE4">
        <w:rPr>
          <w:rFonts w:ascii="Times New Roman" w:hAnsi="Times New Roman"/>
          <w:sz w:val="28"/>
          <w:szCs w:val="28"/>
        </w:rPr>
        <w:t xml:space="preserve">(as </w:t>
      </w:r>
      <w:r w:rsidR="00786768" w:rsidRPr="00461EE4">
        <w:rPr>
          <w:rFonts w:ascii="Times New Roman" w:hAnsi="Times New Roman"/>
          <w:sz w:val="28"/>
          <w:szCs w:val="28"/>
        </w:rPr>
        <w:t xml:space="preserve">consequence of </w:t>
      </w:r>
      <w:r w:rsidR="00280266" w:rsidRPr="00461EE4">
        <w:rPr>
          <w:rFonts w:ascii="Times New Roman" w:hAnsi="Times New Roman"/>
          <w:sz w:val="28"/>
          <w:szCs w:val="28"/>
        </w:rPr>
        <w:t xml:space="preserve">the </w:t>
      </w:r>
      <w:r w:rsidR="009B041D" w:rsidRPr="00461EE4">
        <w:rPr>
          <w:rFonts w:ascii="Times New Roman" w:hAnsi="Times New Roman"/>
          <w:sz w:val="28"/>
          <w:szCs w:val="28"/>
        </w:rPr>
        <w:t xml:space="preserve">testate or intestate </w:t>
      </w:r>
      <w:r w:rsidR="00280266" w:rsidRPr="00461EE4">
        <w:rPr>
          <w:rFonts w:ascii="Times New Roman" w:hAnsi="Times New Roman"/>
          <w:sz w:val="28"/>
          <w:szCs w:val="28"/>
        </w:rPr>
        <w:t xml:space="preserve">administration of the estate </w:t>
      </w:r>
      <w:r w:rsidR="00280266" w:rsidRPr="00461EE4">
        <w:rPr>
          <w:rFonts w:ascii="Times New Roman" w:hAnsi="Times New Roman"/>
          <w:i/>
          <w:sz w:val="28"/>
          <w:szCs w:val="28"/>
        </w:rPr>
        <w:t>supra</w:t>
      </w:r>
      <w:r w:rsidR="00280266" w:rsidRPr="00461EE4">
        <w:rPr>
          <w:rFonts w:ascii="Times New Roman" w:hAnsi="Times New Roman"/>
          <w:sz w:val="28"/>
          <w:szCs w:val="28"/>
        </w:rPr>
        <w:t xml:space="preserve">) </w:t>
      </w:r>
      <w:r w:rsidR="00987D17" w:rsidRPr="00461EE4">
        <w:rPr>
          <w:rFonts w:ascii="Times New Roman" w:hAnsi="Times New Roman"/>
          <w:sz w:val="28"/>
          <w:szCs w:val="28"/>
        </w:rPr>
        <w:t>or whether she requires possession</w:t>
      </w:r>
      <w:r w:rsidR="00280266" w:rsidRPr="00461EE4">
        <w:rPr>
          <w:rFonts w:ascii="Times New Roman" w:hAnsi="Times New Roman"/>
          <w:sz w:val="28"/>
          <w:szCs w:val="28"/>
        </w:rPr>
        <w:t xml:space="preserve"> </w:t>
      </w:r>
      <w:r w:rsidR="009B041D" w:rsidRPr="00461EE4">
        <w:rPr>
          <w:rFonts w:ascii="Times New Roman" w:hAnsi="Times New Roman"/>
          <w:sz w:val="28"/>
          <w:szCs w:val="28"/>
        </w:rPr>
        <w:t xml:space="preserve">of the property </w:t>
      </w:r>
      <w:r w:rsidR="00987D17" w:rsidRPr="00461EE4">
        <w:rPr>
          <w:rFonts w:ascii="Times New Roman" w:hAnsi="Times New Roman"/>
          <w:sz w:val="28"/>
          <w:szCs w:val="28"/>
        </w:rPr>
        <w:t xml:space="preserve">to fulfil her </w:t>
      </w:r>
      <w:r w:rsidR="00280266" w:rsidRPr="00461EE4">
        <w:rPr>
          <w:rFonts w:ascii="Times New Roman" w:hAnsi="Times New Roman"/>
          <w:sz w:val="28"/>
          <w:szCs w:val="28"/>
        </w:rPr>
        <w:t xml:space="preserve">administrative </w:t>
      </w:r>
      <w:r w:rsidR="00987D17" w:rsidRPr="00461EE4">
        <w:rPr>
          <w:rFonts w:ascii="Times New Roman" w:hAnsi="Times New Roman"/>
          <w:sz w:val="28"/>
          <w:szCs w:val="28"/>
        </w:rPr>
        <w:t>role as executrix</w:t>
      </w:r>
      <w:r w:rsidR="00F5733A" w:rsidRPr="00461EE4">
        <w:rPr>
          <w:rFonts w:ascii="Times New Roman" w:hAnsi="Times New Roman"/>
          <w:sz w:val="28"/>
          <w:szCs w:val="28"/>
        </w:rPr>
        <w:t xml:space="preserve"> for the benefit of heirs and/or legatees.</w:t>
      </w:r>
      <w:r w:rsidR="009410B9" w:rsidRPr="00461EE4">
        <w:rPr>
          <w:rFonts w:ascii="Times New Roman" w:hAnsi="Times New Roman"/>
          <w:sz w:val="28"/>
          <w:szCs w:val="28"/>
        </w:rPr>
        <w:t xml:space="preserve"> In these circumstances</w:t>
      </w:r>
      <w:r w:rsidR="00BD3A4F" w:rsidRPr="00461EE4">
        <w:rPr>
          <w:rFonts w:ascii="Times New Roman" w:hAnsi="Times New Roman"/>
          <w:sz w:val="28"/>
          <w:szCs w:val="28"/>
        </w:rPr>
        <w:t xml:space="preserve"> the prevailing uncertainty renders</w:t>
      </w:r>
      <w:r w:rsidR="009410B9" w:rsidRPr="00461EE4">
        <w:rPr>
          <w:rFonts w:ascii="Times New Roman" w:hAnsi="Times New Roman"/>
          <w:sz w:val="28"/>
          <w:szCs w:val="28"/>
        </w:rPr>
        <w:t xml:space="preserve"> the contention that </w:t>
      </w:r>
      <w:r w:rsidR="00995A7E" w:rsidRPr="00461EE4">
        <w:rPr>
          <w:rFonts w:ascii="Times New Roman" w:hAnsi="Times New Roman"/>
          <w:sz w:val="28"/>
          <w:szCs w:val="28"/>
        </w:rPr>
        <w:t>she</w:t>
      </w:r>
      <w:r w:rsidR="009410B9" w:rsidRPr="00461EE4">
        <w:rPr>
          <w:rFonts w:ascii="Times New Roman" w:hAnsi="Times New Roman"/>
          <w:sz w:val="28"/>
          <w:szCs w:val="28"/>
        </w:rPr>
        <w:t xml:space="preserve"> relies on </w:t>
      </w:r>
      <w:r w:rsidR="008B33D9" w:rsidRPr="00461EE4">
        <w:rPr>
          <w:rFonts w:ascii="Times New Roman" w:hAnsi="Times New Roman"/>
          <w:sz w:val="28"/>
          <w:szCs w:val="28"/>
        </w:rPr>
        <w:t xml:space="preserve">a vindicatory claim, </w:t>
      </w:r>
      <w:r w:rsidR="009410B9" w:rsidRPr="00461EE4">
        <w:rPr>
          <w:rFonts w:ascii="Times New Roman" w:hAnsi="Times New Roman"/>
          <w:sz w:val="28"/>
          <w:szCs w:val="28"/>
        </w:rPr>
        <w:t>legally unsustainable</w:t>
      </w:r>
      <w:r w:rsidR="00BD3A4F" w:rsidRPr="00461EE4">
        <w:rPr>
          <w:rFonts w:ascii="Times New Roman" w:hAnsi="Times New Roman"/>
          <w:sz w:val="28"/>
          <w:szCs w:val="28"/>
        </w:rPr>
        <w:t>.</w:t>
      </w:r>
    </w:p>
    <w:p w14:paraId="0BA919AD" w14:textId="118F64AF" w:rsidR="00461EE4"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D01D92">
        <w:rPr>
          <w:rFonts w:ascii="Times New Roman" w:hAnsi="Times New Roman"/>
          <w:sz w:val="28"/>
          <w:szCs w:val="28"/>
        </w:rPr>
        <w:t xml:space="preserve">A further issue arises from non-compliance with </w:t>
      </w:r>
      <w:r w:rsidR="00257C32">
        <w:rPr>
          <w:rFonts w:ascii="Times New Roman" w:hAnsi="Times New Roman"/>
          <w:sz w:val="28"/>
          <w:szCs w:val="28"/>
        </w:rPr>
        <w:t xml:space="preserve">Rule 18(4) of the uniform rules </w:t>
      </w:r>
      <w:r w:rsidR="00D01D92">
        <w:rPr>
          <w:rFonts w:ascii="Times New Roman" w:hAnsi="Times New Roman"/>
          <w:sz w:val="28"/>
          <w:szCs w:val="28"/>
        </w:rPr>
        <w:t xml:space="preserve">of court. The rule </w:t>
      </w:r>
      <w:r w:rsidR="00257C32">
        <w:rPr>
          <w:rFonts w:ascii="Times New Roman" w:hAnsi="Times New Roman"/>
          <w:sz w:val="28"/>
          <w:szCs w:val="28"/>
        </w:rPr>
        <w:t xml:space="preserve">requires every pleading to contain a clear </w:t>
      </w:r>
      <w:r w:rsidR="00257C32">
        <w:rPr>
          <w:rFonts w:ascii="Times New Roman" w:hAnsi="Times New Roman"/>
          <w:sz w:val="28"/>
          <w:szCs w:val="28"/>
        </w:rPr>
        <w:lastRenderedPageBreak/>
        <w:t xml:space="preserve">and concise statement of the material facts on which the pleader relies with sufficient particularity to enable the opposite party to plead to it. </w:t>
      </w:r>
    </w:p>
    <w:p w14:paraId="714AB805" w14:textId="1382875B" w:rsidR="00461EE4"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D01D92">
        <w:rPr>
          <w:rFonts w:ascii="Times New Roman" w:hAnsi="Times New Roman"/>
          <w:sz w:val="28"/>
          <w:szCs w:val="28"/>
        </w:rPr>
        <w:t xml:space="preserve">Exactly what it is that the plaintiff contemplates </w:t>
      </w:r>
      <w:r w:rsidR="00D856C6">
        <w:rPr>
          <w:rFonts w:ascii="Times New Roman" w:hAnsi="Times New Roman"/>
          <w:sz w:val="28"/>
          <w:szCs w:val="28"/>
        </w:rPr>
        <w:t xml:space="preserve">by </w:t>
      </w:r>
      <w:r w:rsidR="00D01D92">
        <w:rPr>
          <w:rFonts w:ascii="Times New Roman" w:hAnsi="Times New Roman"/>
          <w:sz w:val="28"/>
          <w:szCs w:val="28"/>
        </w:rPr>
        <w:t xml:space="preserve">use of </w:t>
      </w:r>
      <w:r w:rsidR="00694EF5">
        <w:rPr>
          <w:rFonts w:ascii="Times New Roman" w:hAnsi="Times New Roman"/>
          <w:sz w:val="28"/>
          <w:szCs w:val="28"/>
        </w:rPr>
        <w:t>the word ‘transfer’</w:t>
      </w:r>
      <w:r w:rsidR="00461EE4">
        <w:rPr>
          <w:rFonts w:ascii="Times New Roman" w:hAnsi="Times New Roman"/>
          <w:sz w:val="28"/>
          <w:szCs w:val="28"/>
        </w:rPr>
        <w:t>,</w:t>
      </w:r>
      <w:r w:rsidR="00694EF5">
        <w:rPr>
          <w:rFonts w:ascii="Times New Roman" w:hAnsi="Times New Roman"/>
          <w:sz w:val="28"/>
          <w:szCs w:val="28"/>
        </w:rPr>
        <w:t xml:space="preserve"> is vague.</w:t>
      </w:r>
    </w:p>
    <w:p w14:paraId="5A827E2B" w14:textId="16494255" w:rsidR="00830AED"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1F0770">
        <w:rPr>
          <w:rFonts w:ascii="Times New Roman" w:hAnsi="Times New Roman"/>
          <w:sz w:val="28"/>
          <w:szCs w:val="28"/>
        </w:rPr>
        <w:t>Whether formal transfer or mere restoration of possession is contemplated</w:t>
      </w:r>
      <w:r w:rsidR="00EC0B77">
        <w:rPr>
          <w:rFonts w:ascii="Times New Roman" w:hAnsi="Times New Roman"/>
          <w:sz w:val="28"/>
          <w:szCs w:val="28"/>
        </w:rPr>
        <w:t xml:space="preserve"> </w:t>
      </w:r>
      <w:r w:rsidR="001F65EB">
        <w:rPr>
          <w:rFonts w:ascii="Times New Roman" w:hAnsi="Times New Roman"/>
          <w:sz w:val="28"/>
          <w:szCs w:val="28"/>
        </w:rPr>
        <w:t xml:space="preserve">is not </w:t>
      </w:r>
      <w:r w:rsidR="00D856C6">
        <w:rPr>
          <w:rFonts w:ascii="Times New Roman" w:hAnsi="Times New Roman"/>
          <w:sz w:val="28"/>
          <w:szCs w:val="28"/>
        </w:rPr>
        <w:t xml:space="preserve">pertinently </w:t>
      </w:r>
      <w:r w:rsidR="001F65EB">
        <w:rPr>
          <w:rFonts w:ascii="Times New Roman" w:hAnsi="Times New Roman"/>
          <w:sz w:val="28"/>
          <w:szCs w:val="28"/>
        </w:rPr>
        <w:t>pleaded with sufficient particularity</w:t>
      </w:r>
      <w:r w:rsidR="004D51A0">
        <w:rPr>
          <w:rFonts w:ascii="Times New Roman" w:hAnsi="Times New Roman"/>
          <w:sz w:val="28"/>
          <w:szCs w:val="28"/>
        </w:rPr>
        <w:t xml:space="preserve">. </w:t>
      </w:r>
      <w:r w:rsidR="008D4E95">
        <w:rPr>
          <w:rFonts w:ascii="Times New Roman" w:hAnsi="Times New Roman"/>
          <w:sz w:val="28"/>
          <w:szCs w:val="28"/>
        </w:rPr>
        <w:t>For this reason</w:t>
      </w:r>
      <w:r w:rsidR="00F174C8">
        <w:rPr>
          <w:rFonts w:ascii="Times New Roman" w:hAnsi="Times New Roman"/>
          <w:sz w:val="28"/>
          <w:szCs w:val="28"/>
        </w:rPr>
        <w:t>,</w:t>
      </w:r>
      <w:r w:rsidR="008D4E95">
        <w:rPr>
          <w:rFonts w:ascii="Times New Roman" w:hAnsi="Times New Roman"/>
          <w:sz w:val="28"/>
          <w:szCs w:val="28"/>
        </w:rPr>
        <w:t xml:space="preserve"> i</w:t>
      </w:r>
      <w:r w:rsidR="004D51A0">
        <w:rPr>
          <w:rFonts w:ascii="Times New Roman" w:hAnsi="Times New Roman"/>
          <w:sz w:val="28"/>
          <w:szCs w:val="28"/>
        </w:rPr>
        <w:t xml:space="preserve">t cannot be expected of the first and second defendants to speculate on what the plaintiff’s case is. </w:t>
      </w:r>
      <w:r w:rsidR="001F65EB">
        <w:rPr>
          <w:rFonts w:ascii="Times New Roman" w:hAnsi="Times New Roman"/>
          <w:sz w:val="28"/>
          <w:szCs w:val="28"/>
        </w:rPr>
        <w:t xml:space="preserve">The omission results </w:t>
      </w:r>
      <w:r w:rsidR="00EC0B77">
        <w:rPr>
          <w:rFonts w:ascii="Times New Roman" w:hAnsi="Times New Roman"/>
          <w:sz w:val="28"/>
          <w:szCs w:val="28"/>
        </w:rPr>
        <w:t xml:space="preserve">in embarrassment </w:t>
      </w:r>
      <w:r w:rsidR="00354FDB">
        <w:rPr>
          <w:rFonts w:ascii="Times New Roman" w:hAnsi="Times New Roman"/>
          <w:sz w:val="28"/>
          <w:szCs w:val="28"/>
        </w:rPr>
        <w:t xml:space="preserve">that cannot be cured </w:t>
      </w:r>
      <w:r w:rsidR="001F65EB">
        <w:rPr>
          <w:rFonts w:ascii="Times New Roman" w:hAnsi="Times New Roman"/>
          <w:sz w:val="28"/>
          <w:szCs w:val="28"/>
        </w:rPr>
        <w:t xml:space="preserve">other </w:t>
      </w:r>
      <w:r w:rsidR="00BE572D">
        <w:rPr>
          <w:rFonts w:ascii="Times New Roman" w:hAnsi="Times New Roman"/>
          <w:sz w:val="28"/>
          <w:szCs w:val="28"/>
        </w:rPr>
        <w:t xml:space="preserve">than by raising an exception to eliminate the prejudicial effect of </w:t>
      </w:r>
      <w:r w:rsidR="005B7FA4">
        <w:rPr>
          <w:rFonts w:ascii="Times New Roman" w:hAnsi="Times New Roman"/>
          <w:sz w:val="28"/>
          <w:szCs w:val="28"/>
        </w:rPr>
        <w:t>the inherent uncertainty as regards the pleader’s intention.</w:t>
      </w:r>
      <w:r w:rsidR="002D1F6A">
        <w:rPr>
          <w:rFonts w:ascii="Times New Roman" w:hAnsi="Times New Roman"/>
          <w:sz w:val="28"/>
          <w:szCs w:val="28"/>
        </w:rPr>
        <w:t xml:space="preserve"> I</w:t>
      </w:r>
      <w:r w:rsidR="00F71D75">
        <w:rPr>
          <w:rFonts w:ascii="Times New Roman" w:hAnsi="Times New Roman"/>
          <w:sz w:val="28"/>
          <w:szCs w:val="28"/>
        </w:rPr>
        <w:t xml:space="preserve">t is </w:t>
      </w:r>
      <w:r w:rsidR="002D1F6A">
        <w:rPr>
          <w:rFonts w:ascii="Times New Roman" w:hAnsi="Times New Roman"/>
          <w:sz w:val="28"/>
          <w:szCs w:val="28"/>
        </w:rPr>
        <w:t xml:space="preserve">furthermore </w:t>
      </w:r>
      <w:r w:rsidR="00F71D75">
        <w:rPr>
          <w:rFonts w:ascii="Times New Roman" w:hAnsi="Times New Roman"/>
          <w:sz w:val="28"/>
          <w:szCs w:val="28"/>
        </w:rPr>
        <w:t>unclear how the first and second defendants, who are alleged by the plaintiff to be in unlawful possession of the property</w:t>
      </w:r>
      <w:r w:rsidR="002D1F6A">
        <w:rPr>
          <w:rFonts w:ascii="Times New Roman" w:hAnsi="Times New Roman"/>
          <w:sz w:val="28"/>
          <w:szCs w:val="28"/>
        </w:rPr>
        <w:t>,</w:t>
      </w:r>
      <w:r w:rsidR="00F71D75">
        <w:rPr>
          <w:rFonts w:ascii="Times New Roman" w:hAnsi="Times New Roman"/>
          <w:sz w:val="28"/>
          <w:szCs w:val="28"/>
        </w:rPr>
        <w:t xml:space="preserve"> are competent to </w:t>
      </w:r>
      <w:proofErr w:type="gramStart"/>
      <w:r w:rsidR="00F71D75">
        <w:rPr>
          <w:rFonts w:ascii="Times New Roman" w:hAnsi="Times New Roman"/>
          <w:sz w:val="28"/>
          <w:szCs w:val="28"/>
        </w:rPr>
        <w:t>effect</w:t>
      </w:r>
      <w:proofErr w:type="gramEnd"/>
      <w:r w:rsidR="00F71D75">
        <w:rPr>
          <w:rFonts w:ascii="Times New Roman" w:hAnsi="Times New Roman"/>
          <w:sz w:val="28"/>
          <w:szCs w:val="28"/>
        </w:rPr>
        <w:t xml:space="preserve"> any form of transfer.</w:t>
      </w:r>
    </w:p>
    <w:p w14:paraId="5B2F1641" w14:textId="35AF046B" w:rsidR="006A298D"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9B29C9">
        <w:rPr>
          <w:rFonts w:ascii="Times New Roman" w:hAnsi="Times New Roman"/>
          <w:sz w:val="28"/>
          <w:szCs w:val="28"/>
        </w:rPr>
        <w:t>Concurrent with the claim for transfer of the property into her name, t</w:t>
      </w:r>
      <w:r w:rsidR="00937386">
        <w:rPr>
          <w:rFonts w:ascii="Times New Roman" w:hAnsi="Times New Roman"/>
          <w:sz w:val="28"/>
          <w:szCs w:val="28"/>
        </w:rPr>
        <w:t>he plaintiff</w:t>
      </w:r>
      <w:r w:rsidR="009B29C9">
        <w:rPr>
          <w:rFonts w:ascii="Times New Roman" w:hAnsi="Times New Roman"/>
          <w:sz w:val="28"/>
          <w:szCs w:val="28"/>
        </w:rPr>
        <w:t xml:space="preserve"> </w:t>
      </w:r>
      <w:r w:rsidR="00937386">
        <w:rPr>
          <w:rFonts w:ascii="Times New Roman" w:hAnsi="Times New Roman"/>
          <w:sz w:val="28"/>
          <w:szCs w:val="28"/>
        </w:rPr>
        <w:t xml:space="preserve">seeks </w:t>
      </w:r>
      <w:r w:rsidR="00530B7B">
        <w:rPr>
          <w:rFonts w:ascii="Times New Roman" w:hAnsi="Times New Roman"/>
          <w:sz w:val="28"/>
          <w:szCs w:val="28"/>
        </w:rPr>
        <w:t xml:space="preserve">a declaration that the deceased is the owner thereof. </w:t>
      </w:r>
      <w:r w:rsidR="005500F0">
        <w:rPr>
          <w:rFonts w:ascii="Times New Roman" w:hAnsi="Times New Roman"/>
          <w:sz w:val="28"/>
          <w:szCs w:val="28"/>
        </w:rPr>
        <w:t>On a plain construction of the particulars of claim t</w:t>
      </w:r>
      <w:r w:rsidR="00530B7B">
        <w:rPr>
          <w:rFonts w:ascii="Times New Roman" w:hAnsi="Times New Roman"/>
          <w:sz w:val="28"/>
          <w:szCs w:val="28"/>
        </w:rPr>
        <w:t>he relief sought is mutually conflicting</w:t>
      </w:r>
      <w:r w:rsidR="005500F0">
        <w:rPr>
          <w:rFonts w:ascii="Times New Roman" w:hAnsi="Times New Roman"/>
          <w:sz w:val="28"/>
          <w:szCs w:val="28"/>
        </w:rPr>
        <w:t xml:space="preserve"> and </w:t>
      </w:r>
      <w:r w:rsidR="002D1F6A">
        <w:rPr>
          <w:rFonts w:ascii="Times New Roman" w:hAnsi="Times New Roman"/>
          <w:sz w:val="28"/>
          <w:szCs w:val="28"/>
        </w:rPr>
        <w:t xml:space="preserve">once </w:t>
      </w:r>
      <w:r w:rsidR="008E0F67">
        <w:rPr>
          <w:rFonts w:ascii="Times New Roman" w:hAnsi="Times New Roman"/>
          <w:sz w:val="28"/>
          <w:szCs w:val="28"/>
        </w:rPr>
        <w:t xml:space="preserve">again </w:t>
      </w:r>
      <w:r w:rsidR="005500F0">
        <w:rPr>
          <w:rFonts w:ascii="Times New Roman" w:hAnsi="Times New Roman"/>
          <w:sz w:val="28"/>
          <w:szCs w:val="28"/>
        </w:rPr>
        <w:t xml:space="preserve">creates uncertainty </w:t>
      </w:r>
      <w:r w:rsidR="008E0F67">
        <w:rPr>
          <w:rFonts w:ascii="Times New Roman" w:hAnsi="Times New Roman"/>
          <w:sz w:val="28"/>
          <w:szCs w:val="28"/>
        </w:rPr>
        <w:t xml:space="preserve">as </w:t>
      </w:r>
      <w:r w:rsidR="005500F0">
        <w:rPr>
          <w:rFonts w:ascii="Times New Roman" w:hAnsi="Times New Roman"/>
          <w:sz w:val="28"/>
          <w:szCs w:val="28"/>
        </w:rPr>
        <w:t>regard</w:t>
      </w:r>
      <w:r w:rsidR="008E0F67">
        <w:rPr>
          <w:rFonts w:ascii="Times New Roman" w:hAnsi="Times New Roman"/>
          <w:sz w:val="28"/>
          <w:szCs w:val="28"/>
        </w:rPr>
        <w:t>s</w:t>
      </w:r>
      <w:r w:rsidR="005500F0">
        <w:rPr>
          <w:rFonts w:ascii="Times New Roman" w:hAnsi="Times New Roman"/>
          <w:sz w:val="28"/>
          <w:szCs w:val="28"/>
        </w:rPr>
        <w:t xml:space="preserve"> the pleader’s intention.</w:t>
      </w:r>
      <w:r w:rsidR="006A298D" w:rsidRPr="006A298D">
        <w:rPr>
          <w:rFonts w:ascii="Times New Roman" w:hAnsi="Times New Roman"/>
          <w:sz w:val="28"/>
          <w:szCs w:val="28"/>
        </w:rPr>
        <w:t xml:space="preserve"> </w:t>
      </w:r>
      <w:r w:rsidR="00782B66">
        <w:rPr>
          <w:rFonts w:ascii="Times New Roman" w:hAnsi="Times New Roman"/>
          <w:sz w:val="28"/>
          <w:szCs w:val="28"/>
        </w:rPr>
        <w:t xml:space="preserve">The uncertainty renders it unclear </w:t>
      </w:r>
      <w:r w:rsidR="000B64EE">
        <w:rPr>
          <w:rFonts w:ascii="Times New Roman" w:hAnsi="Times New Roman"/>
          <w:sz w:val="28"/>
          <w:szCs w:val="28"/>
        </w:rPr>
        <w:t xml:space="preserve">at whose instance is the </w:t>
      </w:r>
      <w:r w:rsidR="006A298D" w:rsidRPr="002B6808">
        <w:rPr>
          <w:rFonts w:ascii="Times New Roman" w:hAnsi="Times New Roman"/>
          <w:i/>
          <w:sz w:val="28"/>
          <w:szCs w:val="28"/>
        </w:rPr>
        <w:t xml:space="preserve">rei </w:t>
      </w:r>
      <w:proofErr w:type="spellStart"/>
      <w:r w:rsidR="006A298D" w:rsidRPr="002B6808">
        <w:rPr>
          <w:rFonts w:ascii="Times New Roman" w:hAnsi="Times New Roman"/>
          <w:i/>
          <w:sz w:val="28"/>
          <w:szCs w:val="28"/>
        </w:rPr>
        <w:t>vindicatio</w:t>
      </w:r>
      <w:proofErr w:type="spellEnd"/>
      <w:r w:rsidR="006A298D">
        <w:rPr>
          <w:rFonts w:ascii="Times New Roman" w:hAnsi="Times New Roman"/>
          <w:sz w:val="28"/>
          <w:szCs w:val="28"/>
        </w:rPr>
        <w:t xml:space="preserve"> </w:t>
      </w:r>
      <w:r w:rsidR="000B64EE">
        <w:rPr>
          <w:rFonts w:ascii="Times New Roman" w:hAnsi="Times New Roman"/>
          <w:sz w:val="28"/>
          <w:szCs w:val="28"/>
        </w:rPr>
        <w:t xml:space="preserve">being invoked. </w:t>
      </w:r>
      <w:r w:rsidR="006A298D">
        <w:rPr>
          <w:rFonts w:ascii="Times New Roman" w:hAnsi="Times New Roman"/>
          <w:sz w:val="28"/>
          <w:szCs w:val="28"/>
        </w:rPr>
        <w:t>The remedy is clearly not available to a deceased person</w:t>
      </w:r>
      <w:r w:rsidR="002B6808">
        <w:rPr>
          <w:rFonts w:ascii="Times New Roman" w:hAnsi="Times New Roman"/>
          <w:sz w:val="28"/>
          <w:szCs w:val="28"/>
        </w:rPr>
        <w:t xml:space="preserve"> </w:t>
      </w:r>
      <w:r w:rsidR="002D1F6A">
        <w:rPr>
          <w:rFonts w:ascii="Times New Roman" w:hAnsi="Times New Roman"/>
          <w:sz w:val="28"/>
          <w:szCs w:val="28"/>
        </w:rPr>
        <w:t xml:space="preserve">(assuming that is the </w:t>
      </w:r>
      <w:r w:rsidR="00E673C8">
        <w:rPr>
          <w:rFonts w:ascii="Times New Roman" w:hAnsi="Times New Roman"/>
          <w:sz w:val="28"/>
          <w:szCs w:val="28"/>
        </w:rPr>
        <w:t>objective of the declaratory relief</w:t>
      </w:r>
      <w:r w:rsidR="002D1F6A">
        <w:rPr>
          <w:rFonts w:ascii="Times New Roman" w:hAnsi="Times New Roman"/>
          <w:sz w:val="28"/>
          <w:szCs w:val="28"/>
        </w:rPr>
        <w:t xml:space="preserve">) </w:t>
      </w:r>
      <w:r w:rsidR="002B6808">
        <w:rPr>
          <w:rFonts w:ascii="Times New Roman" w:hAnsi="Times New Roman"/>
          <w:sz w:val="28"/>
          <w:szCs w:val="28"/>
        </w:rPr>
        <w:t>as such a person lacks legal standing to exercise rights in relation to property</w:t>
      </w:r>
      <w:r w:rsidR="00E673C8">
        <w:rPr>
          <w:rFonts w:ascii="Times New Roman" w:hAnsi="Times New Roman"/>
          <w:sz w:val="28"/>
          <w:szCs w:val="28"/>
        </w:rPr>
        <w:t xml:space="preserve"> – </w:t>
      </w:r>
      <w:r w:rsidR="00E17CC0">
        <w:rPr>
          <w:rFonts w:ascii="Times New Roman" w:hAnsi="Times New Roman"/>
          <w:sz w:val="28"/>
          <w:szCs w:val="28"/>
        </w:rPr>
        <w:t>nor for</w:t>
      </w:r>
      <w:r w:rsidR="000B64EE">
        <w:rPr>
          <w:rFonts w:ascii="Times New Roman" w:hAnsi="Times New Roman"/>
          <w:sz w:val="28"/>
          <w:szCs w:val="28"/>
        </w:rPr>
        <w:t xml:space="preserve"> reasons already </w:t>
      </w:r>
      <w:r w:rsidR="00E17CC0">
        <w:rPr>
          <w:rFonts w:ascii="Times New Roman" w:hAnsi="Times New Roman"/>
          <w:sz w:val="28"/>
          <w:szCs w:val="28"/>
        </w:rPr>
        <w:t xml:space="preserve">dealt with is </w:t>
      </w:r>
      <w:r w:rsidR="0089659A">
        <w:rPr>
          <w:rFonts w:ascii="Times New Roman" w:hAnsi="Times New Roman"/>
          <w:sz w:val="28"/>
          <w:szCs w:val="28"/>
        </w:rPr>
        <w:t>the remedy available to the plaintiff.</w:t>
      </w:r>
    </w:p>
    <w:p w14:paraId="3875A543" w14:textId="00541B7C" w:rsidR="005500F0" w:rsidRDefault="00731AA4" w:rsidP="00731AA4">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02346E">
        <w:rPr>
          <w:rFonts w:ascii="Times New Roman" w:hAnsi="Times New Roman"/>
          <w:sz w:val="28"/>
          <w:szCs w:val="28"/>
        </w:rPr>
        <w:t>In the circumstances t</w:t>
      </w:r>
      <w:r w:rsidR="00B25C00">
        <w:rPr>
          <w:rFonts w:ascii="Times New Roman" w:hAnsi="Times New Roman"/>
          <w:sz w:val="28"/>
          <w:szCs w:val="28"/>
        </w:rPr>
        <w:t>he submission for the first defendant that the</w:t>
      </w:r>
      <w:r w:rsidR="0002346E">
        <w:rPr>
          <w:rFonts w:ascii="Times New Roman" w:hAnsi="Times New Roman"/>
          <w:sz w:val="28"/>
          <w:szCs w:val="28"/>
        </w:rPr>
        <w:t xml:space="preserve"> abovementioned </w:t>
      </w:r>
      <w:r w:rsidR="00B25C00">
        <w:rPr>
          <w:rFonts w:ascii="Times New Roman" w:hAnsi="Times New Roman"/>
          <w:sz w:val="28"/>
          <w:szCs w:val="28"/>
        </w:rPr>
        <w:t xml:space="preserve">issues undermine </w:t>
      </w:r>
      <w:r w:rsidR="0002346E">
        <w:rPr>
          <w:rFonts w:ascii="Times New Roman" w:hAnsi="Times New Roman"/>
          <w:sz w:val="28"/>
          <w:szCs w:val="28"/>
        </w:rPr>
        <w:t>the cause of action, as pleaded, is not without merit.</w:t>
      </w:r>
    </w:p>
    <w:p w14:paraId="1451D987" w14:textId="77777777" w:rsidR="00B25C00" w:rsidRPr="00A24451" w:rsidRDefault="00B25C00" w:rsidP="00B25C00">
      <w:pPr>
        <w:pStyle w:val="LegalList1"/>
        <w:spacing w:line="360" w:lineRule="auto"/>
        <w:ind w:left="131" w:firstLine="720"/>
        <w:rPr>
          <w:rFonts w:ascii="Times New Roman" w:hAnsi="Times New Roman"/>
          <w:b/>
          <w:i/>
          <w:sz w:val="28"/>
          <w:szCs w:val="28"/>
        </w:rPr>
      </w:pPr>
      <w:r w:rsidRPr="00A24451">
        <w:rPr>
          <w:rFonts w:ascii="Times New Roman" w:hAnsi="Times New Roman"/>
          <w:b/>
          <w:i/>
          <w:sz w:val="28"/>
          <w:szCs w:val="28"/>
        </w:rPr>
        <w:lastRenderedPageBreak/>
        <w:t>Eviction</w:t>
      </w:r>
    </w:p>
    <w:p w14:paraId="2312CFE2" w14:textId="4014FDA9" w:rsidR="002F6312" w:rsidRPr="00EF4C02" w:rsidRDefault="00731AA4" w:rsidP="00731AA4">
      <w:pPr>
        <w:pStyle w:val="LegalList1"/>
        <w:spacing w:line="360" w:lineRule="auto"/>
        <w:ind w:left="851" w:hanging="851"/>
        <w:rPr>
          <w:rFonts w:ascii="Times New Roman" w:hAnsi="Times New Roman"/>
          <w:sz w:val="28"/>
          <w:szCs w:val="28"/>
        </w:rPr>
      </w:pPr>
      <w:r w:rsidRPr="00EF4C02">
        <w:rPr>
          <w:rFonts w:ascii="Times New Roman" w:hAnsi="Times New Roman"/>
          <w:sz w:val="28"/>
          <w:szCs w:val="28"/>
        </w:rPr>
        <w:t>[18]</w:t>
      </w:r>
      <w:r w:rsidRPr="00EF4C02">
        <w:rPr>
          <w:rFonts w:ascii="Times New Roman" w:hAnsi="Times New Roman"/>
          <w:sz w:val="28"/>
          <w:szCs w:val="28"/>
        </w:rPr>
        <w:tab/>
      </w:r>
      <w:r w:rsidR="00725CF5">
        <w:rPr>
          <w:rFonts w:ascii="Times New Roman" w:hAnsi="Times New Roman"/>
          <w:color w:val="000000"/>
          <w:sz w:val="28"/>
          <w:szCs w:val="28"/>
        </w:rPr>
        <w:t xml:space="preserve">In argument </w:t>
      </w:r>
      <w:r w:rsidR="002F6312">
        <w:rPr>
          <w:rFonts w:ascii="Times New Roman" w:hAnsi="Times New Roman"/>
          <w:color w:val="000000"/>
          <w:sz w:val="28"/>
          <w:szCs w:val="28"/>
        </w:rPr>
        <w:t xml:space="preserve">for the first defendant </w:t>
      </w:r>
      <w:r w:rsidR="00725CF5">
        <w:rPr>
          <w:rFonts w:ascii="Times New Roman" w:hAnsi="Times New Roman"/>
          <w:color w:val="000000"/>
          <w:sz w:val="28"/>
          <w:szCs w:val="28"/>
        </w:rPr>
        <w:t>it was submitted that the provisions of The Prevention of Illegal Eviction from and Unlawful Occupation of Land Act</w:t>
      </w:r>
      <w:r w:rsidR="00725CF5">
        <w:rPr>
          <w:rStyle w:val="FootnoteReference"/>
          <w:rFonts w:ascii="Times New Roman" w:hAnsi="Times New Roman"/>
          <w:color w:val="000000"/>
          <w:sz w:val="28"/>
          <w:szCs w:val="28"/>
        </w:rPr>
        <w:footnoteReference w:id="13"/>
      </w:r>
      <w:r w:rsidR="00725CF5">
        <w:rPr>
          <w:rFonts w:ascii="Times New Roman" w:hAnsi="Times New Roman"/>
          <w:color w:val="000000"/>
          <w:sz w:val="28"/>
          <w:szCs w:val="28"/>
        </w:rPr>
        <w:t xml:space="preserve"> have not been complied with.</w:t>
      </w:r>
      <w:r w:rsidR="00EA7611" w:rsidRPr="00EA7611">
        <w:rPr>
          <w:rFonts w:ascii="Times New Roman" w:hAnsi="Times New Roman"/>
          <w:color w:val="000000"/>
          <w:sz w:val="28"/>
          <w:szCs w:val="28"/>
        </w:rPr>
        <w:t xml:space="preserve"> </w:t>
      </w:r>
      <w:r w:rsidR="00EA7611">
        <w:rPr>
          <w:rFonts w:ascii="Times New Roman" w:hAnsi="Times New Roman"/>
          <w:color w:val="000000"/>
          <w:sz w:val="28"/>
          <w:szCs w:val="28"/>
        </w:rPr>
        <w:t xml:space="preserve">For the plaintiff it was contended that </w:t>
      </w:r>
      <w:r w:rsidR="001E0937">
        <w:rPr>
          <w:rFonts w:ascii="Times New Roman" w:hAnsi="Times New Roman"/>
          <w:color w:val="000000"/>
          <w:sz w:val="28"/>
          <w:szCs w:val="28"/>
        </w:rPr>
        <w:t xml:space="preserve">an </w:t>
      </w:r>
      <w:r w:rsidR="00EA7611">
        <w:rPr>
          <w:rFonts w:ascii="Times New Roman" w:hAnsi="Times New Roman"/>
          <w:color w:val="000000"/>
          <w:sz w:val="28"/>
          <w:szCs w:val="28"/>
        </w:rPr>
        <w:t xml:space="preserve">eviction </w:t>
      </w:r>
      <w:r w:rsidR="001E0937">
        <w:rPr>
          <w:rFonts w:ascii="Times New Roman" w:hAnsi="Times New Roman"/>
          <w:color w:val="000000"/>
          <w:sz w:val="28"/>
          <w:szCs w:val="28"/>
        </w:rPr>
        <w:t xml:space="preserve">order </w:t>
      </w:r>
      <w:r w:rsidR="00EA7611">
        <w:rPr>
          <w:rFonts w:ascii="Times New Roman" w:hAnsi="Times New Roman"/>
          <w:color w:val="000000"/>
          <w:sz w:val="28"/>
          <w:szCs w:val="28"/>
        </w:rPr>
        <w:t xml:space="preserve">is consequential relief in respect of actions </w:t>
      </w:r>
      <w:r w:rsidR="00EA7611" w:rsidRPr="00EF4C02">
        <w:rPr>
          <w:rFonts w:ascii="Times New Roman" w:hAnsi="Times New Roman"/>
          <w:i/>
          <w:color w:val="000000"/>
          <w:sz w:val="28"/>
          <w:szCs w:val="28"/>
        </w:rPr>
        <w:t xml:space="preserve">rei </w:t>
      </w:r>
      <w:proofErr w:type="spellStart"/>
      <w:r w:rsidR="00EA7611" w:rsidRPr="00EF4C02">
        <w:rPr>
          <w:rFonts w:ascii="Times New Roman" w:hAnsi="Times New Roman"/>
          <w:i/>
          <w:color w:val="000000"/>
          <w:sz w:val="28"/>
          <w:szCs w:val="28"/>
        </w:rPr>
        <w:t>vindicatio</w:t>
      </w:r>
      <w:proofErr w:type="spellEnd"/>
      <w:r w:rsidR="00EA7611">
        <w:rPr>
          <w:rFonts w:ascii="Times New Roman" w:hAnsi="Times New Roman"/>
          <w:color w:val="000000"/>
          <w:sz w:val="28"/>
          <w:szCs w:val="28"/>
        </w:rPr>
        <w:t xml:space="preserve"> of fixed property.</w:t>
      </w:r>
      <w:r w:rsidR="00EA7611">
        <w:rPr>
          <w:rStyle w:val="FootnoteReference"/>
          <w:rFonts w:ascii="Times New Roman" w:hAnsi="Times New Roman"/>
          <w:color w:val="000000"/>
          <w:sz w:val="28"/>
          <w:szCs w:val="28"/>
        </w:rPr>
        <w:footnoteReference w:id="14"/>
      </w:r>
      <w:r w:rsidR="00EA7611" w:rsidRPr="00EA7611">
        <w:rPr>
          <w:rFonts w:ascii="Times New Roman" w:hAnsi="Times New Roman"/>
          <w:color w:val="000000"/>
          <w:sz w:val="28"/>
          <w:szCs w:val="28"/>
        </w:rPr>
        <w:t xml:space="preserve"> </w:t>
      </w:r>
      <w:r w:rsidR="00EA7611">
        <w:rPr>
          <w:rFonts w:ascii="Times New Roman" w:hAnsi="Times New Roman"/>
          <w:color w:val="000000"/>
          <w:sz w:val="28"/>
          <w:szCs w:val="28"/>
        </w:rPr>
        <w:t xml:space="preserve">While the correctness of this proposition is not doubted, it </w:t>
      </w:r>
      <w:r w:rsidR="00DF29C2">
        <w:rPr>
          <w:rFonts w:ascii="Times New Roman" w:hAnsi="Times New Roman"/>
          <w:color w:val="000000"/>
          <w:sz w:val="28"/>
          <w:szCs w:val="28"/>
        </w:rPr>
        <w:t xml:space="preserve">is trite that provided the procedural requirements of the legislation have been met, a landowner is entitled to approach the court </w:t>
      </w:r>
      <w:proofErr w:type="gramStart"/>
      <w:r w:rsidR="00DF29C2">
        <w:rPr>
          <w:rFonts w:ascii="Times New Roman" w:hAnsi="Times New Roman"/>
          <w:color w:val="000000"/>
          <w:sz w:val="28"/>
          <w:szCs w:val="28"/>
        </w:rPr>
        <w:t>on the basis of</w:t>
      </w:r>
      <w:proofErr w:type="gramEnd"/>
      <w:r w:rsidR="00DF29C2">
        <w:rPr>
          <w:rFonts w:ascii="Times New Roman" w:hAnsi="Times New Roman"/>
          <w:color w:val="000000"/>
          <w:sz w:val="28"/>
          <w:szCs w:val="28"/>
        </w:rPr>
        <w:t xml:space="preserve"> ownership and the other party’s unlawful occupation (</w:t>
      </w:r>
      <w:r w:rsidR="00DF29C2" w:rsidRPr="00725CF5">
        <w:rPr>
          <w:rFonts w:ascii="Times New Roman" w:hAnsi="Times New Roman"/>
          <w:i/>
          <w:color w:val="000000"/>
          <w:sz w:val="28"/>
          <w:szCs w:val="28"/>
        </w:rPr>
        <w:t xml:space="preserve">Ndlovu v Ngcobo; </w:t>
      </w:r>
      <w:proofErr w:type="spellStart"/>
      <w:r w:rsidR="00DF29C2" w:rsidRPr="00725CF5">
        <w:rPr>
          <w:rFonts w:ascii="Times New Roman" w:hAnsi="Times New Roman"/>
          <w:i/>
          <w:color w:val="000000"/>
          <w:sz w:val="28"/>
          <w:szCs w:val="28"/>
        </w:rPr>
        <w:t>Bekker</w:t>
      </w:r>
      <w:proofErr w:type="spellEnd"/>
      <w:r w:rsidR="00DF29C2" w:rsidRPr="00725CF5">
        <w:rPr>
          <w:rFonts w:ascii="Times New Roman" w:hAnsi="Times New Roman"/>
          <w:i/>
          <w:color w:val="000000"/>
          <w:sz w:val="28"/>
          <w:szCs w:val="28"/>
        </w:rPr>
        <w:t xml:space="preserve"> v Jika</w:t>
      </w:r>
      <w:r w:rsidR="00DF0DBF">
        <w:rPr>
          <w:rStyle w:val="FootnoteReference"/>
          <w:rFonts w:ascii="Times New Roman" w:hAnsi="Times New Roman"/>
          <w:i/>
          <w:color w:val="000000"/>
          <w:sz w:val="28"/>
          <w:szCs w:val="28"/>
        </w:rPr>
        <w:footnoteReference w:id="15"/>
      </w:r>
      <w:r w:rsidR="00DF29C2">
        <w:rPr>
          <w:rFonts w:ascii="Times New Roman" w:hAnsi="Times New Roman"/>
          <w:color w:val="000000"/>
          <w:sz w:val="28"/>
          <w:szCs w:val="28"/>
        </w:rPr>
        <w:t>).</w:t>
      </w:r>
      <w:r w:rsidR="002F6312" w:rsidRPr="002F6312">
        <w:rPr>
          <w:rFonts w:ascii="Times New Roman" w:hAnsi="Times New Roman"/>
          <w:color w:val="000000"/>
          <w:sz w:val="28"/>
          <w:szCs w:val="28"/>
        </w:rPr>
        <w:t xml:space="preserve"> </w:t>
      </w:r>
      <w:r w:rsidR="001E0937">
        <w:rPr>
          <w:rFonts w:ascii="Times New Roman" w:hAnsi="Times New Roman"/>
          <w:color w:val="000000"/>
          <w:sz w:val="28"/>
          <w:szCs w:val="28"/>
        </w:rPr>
        <w:t xml:space="preserve">However, </w:t>
      </w:r>
      <w:r w:rsidR="00146AF2">
        <w:rPr>
          <w:rFonts w:ascii="Times New Roman" w:hAnsi="Times New Roman"/>
          <w:color w:val="000000"/>
          <w:sz w:val="28"/>
          <w:szCs w:val="28"/>
        </w:rPr>
        <w:t xml:space="preserve">elsewhere in this judgment </w:t>
      </w:r>
      <w:r w:rsidR="001E0937">
        <w:rPr>
          <w:rFonts w:ascii="Times New Roman" w:hAnsi="Times New Roman"/>
          <w:color w:val="000000"/>
          <w:sz w:val="28"/>
          <w:szCs w:val="28"/>
        </w:rPr>
        <w:t>i</w:t>
      </w:r>
      <w:r w:rsidR="002F6312">
        <w:rPr>
          <w:rFonts w:ascii="Times New Roman" w:hAnsi="Times New Roman"/>
          <w:color w:val="000000"/>
          <w:sz w:val="28"/>
          <w:szCs w:val="28"/>
        </w:rPr>
        <w:t>t has</w:t>
      </w:r>
      <w:r w:rsidR="001E0937">
        <w:rPr>
          <w:rFonts w:ascii="Times New Roman" w:hAnsi="Times New Roman"/>
          <w:color w:val="000000"/>
          <w:sz w:val="28"/>
          <w:szCs w:val="28"/>
        </w:rPr>
        <w:t xml:space="preserve"> </w:t>
      </w:r>
      <w:r w:rsidR="002F6312">
        <w:rPr>
          <w:rFonts w:ascii="Times New Roman" w:hAnsi="Times New Roman"/>
          <w:color w:val="000000"/>
          <w:sz w:val="28"/>
          <w:szCs w:val="28"/>
        </w:rPr>
        <w:t>been shown why the vindicatory claim on the pleaded facts is not competent. That being the case</w:t>
      </w:r>
      <w:r w:rsidR="00056364">
        <w:rPr>
          <w:rFonts w:ascii="Times New Roman" w:hAnsi="Times New Roman"/>
          <w:color w:val="000000"/>
          <w:sz w:val="28"/>
          <w:szCs w:val="28"/>
        </w:rPr>
        <w:t>,</w:t>
      </w:r>
      <w:r w:rsidR="002F6312">
        <w:rPr>
          <w:rFonts w:ascii="Times New Roman" w:hAnsi="Times New Roman"/>
          <w:color w:val="000000"/>
          <w:sz w:val="28"/>
          <w:szCs w:val="28"/>
        </w:rPr>
        <w:t xml:space="preserve"> the </w:t>
      </w:r>
      <w:r w:rsidR="004F299C">
        <w:rPr>
          <w:rFonts w:ascii="Times New Roman" w:hAnsi="Times New Roman"/>
          <w:color w:val="000000"/>
          <w:sz w:val="28"/>
          <w:szCs w:val="28"/>
        </w:rPr>
        <w:t xml:space="preserve">exception </w:t>
      </w:r>
      <w:r w:rsidR="00056364">
        <w:rPr>
          <w:rFonts w:ascii="Times New Roman" w:hAnsi="Times New Roman"/>
          <w:color w:val="000000"/>
          <w:sz w:val="28"/>
          <w:szCs w:val="28"/>
        </w:rPr>
        <w:t xml:space="preserve">is upheld </w:t>
      </w:r>
      <w:r w:rsidR="004F299C">
        <w:rPr>
          <w:rFonts w:ascii="Times New Roman" w:hAnsi="Times New Roman"/>
          <w:color w:val="000000"/>
          <w:sz w:val="28"/>
          <w:szCs w:val="28"/>
        </w:rPr>
        <w:t xml:space="preserve">on a point of law and the </w:t>
      </w:r>
      <w:r w:rsidR="002F6312">
        <w:rPr>
          <w:rFonts w:ascii="Times New Roman" w:hAnsi="Times New Roman"/>
          <w:color w:val="000000"/>
          <w:sz w:val="28"/>
          <w:szCs w:val="28"/>
        </w:rPr>
        <w:t xml:space="preserve">consequential relief is </w:t>
      </w:r>
      <w:r w:rsidR="00056364">
        <w:rPr>
          <w:rFonts w:ascii="Times New Roman" w:hAnsi="Times New Roman"/>
          <w:color w:val="000000"/>
          <w:sz w:val="28"/>
          <w:szCs w:val="28"/>
        </w:rPr>
        <w:t xml:space="preserve">deemed </w:t>
      </w:r>
      <w:r w:rsidR="002F6312">
        <w:rPr>
          <w:rFonts w:ascii="Times New Roman" w:hAnsi="Times New Roman"/>
          <w:color w:val="000000"/>
          <w:sz w:val="28"/>
          <w:szCs w:val="28"/>
        </w:rPr>
        <w:t>insupportable</w:t>
      </w:r>
      <w:r w:rsidR="004F299C">
        <w:rPr>
          <w:rFonts w:ascii="Times New Roman" w:hAnsi="Times New Roman"/>
          <w:color w:val="000000"/>
          <w:sz w:val="28"/>
          <w:szCs w:val="28"/>
        </w:rPr>
        <w:t>.</w:t>
      </w:r>
    </w:p>
    <w:p w14:paraId="23BDE1A7" w14:textId="0F594173" w:rsidR="00B800F5" w:rsidRPr="00C114C8" w:rsidRDefault="00731AA4" w:rsidP="00731AA4">
      <w:pPr>
        <w:pStyle w:val="LegalList1"/>
        <w:spacing w:line="360" w:lineRule="auto"/>
        <w:ind w:left="851" w:hanging="851"/>
        <w:rPr>
          <w:rFonts w:ascii="Times New Roman" w:hAnsi="Times New Roman"/>
          <w:sz w:val="28"/>
          <w:szCs w:val="28"/>
        </w:rPr>
      </w:pPr>
      <w:r w:rsidRPr="00C114C8">
        <w:rPr>
          <w:rFonts w:ascii="Times New Roman" w:hAnsi="Times New Roman"/>
          <w:sz w:val="28"/>
          <w:szCs w:val="28"/>
        </w:rPr>
        <w:t>[19]</w:t>
      </w:r>
      <w:r w:rsidRPr="00C114C8">
        <w:rPr>
          <w:rFonts w:ascii="Times New Roman" w:hAnsi="Times New Roman"/>
          <w:sz w:val="28"/>
          <w:szCs w:val="28"/>
        </w:rPr>
        <w:tab/>
      </w:r>
      <w:r w:rsidR="00056364">
        <w:rPr>
          <w:rFonts w:ascii="Times New Roman" w:hAnsi="Times New Roman"/>
          <w:color w:val="000000"/>
          <w:sz w:val="28"/>
          <w:szCs w:val="28"/>
        </w:rPr>
        <w:t>Accordingly, I make the following order:</w:t>
      </w:r>
    </w:p>
    <w:p w14:paraId="46868142" w14:textId="77777777" w:rsidR="00B800F5" w:rsidRPr="00056364" w:rsidRDefault="007305E3" w:rsidP="007305E3">
      <w:pPr>
        <w:pStyle w:val="LegalList1"/>
        <w:spacing w:line="360" w:lineRule="auto"/>
        <w:ind w:left="1560" w:hanging="709"/>
        <w:rPr>
          <w:rFonts w:ascii="Times New Roman" w:hAnsi="Times New Roman"/>
          <w:sz w:val="28"/>
          <w:szCs w:val="28"/>
        </w:rPr>
      </w:pPr>
      <w:r>
        <w:rPr>
          <w:rFonts w:ascii="Times New Roman" w:hAnsi="Times New Roman"/>
          <w:color w:val="000000"/>
          <w:sz w:val="28"/>
          <w:szCs w:val="28"/>
        </w:rPr>
        <w:t>1</w:t>
      </w:r>
      <w:r w:rsidR="00AE1429">
        <w:rPr>
          <w:rFonts w:ascii="Times New Roman" w:hAnsi="Times New Roman"/>
          <w:color w:val="000000"/>
          <w:sz w:val="28"/>
          <w:szCs w:val="28"/>
        </w:rPr>
        <w:t>.</w:t>
      </w:r>
      <w:r>
        <w:rPr>
          <w:rFonts w:ascii="Times New Roman" w:hAnsi="Times New Roman"/>
          <w:color w:val="000000"/>
          <w:sz w:val="28"/>
          <w:szCs w:val="28"/>
        </w:rPr>
        <w:tab/>
      </w:r>
      <w:r w:rsidR="00056364">
        <w:rPr>
          <w:rFonts w:ascii="Times New Roman" w:hAnsi="Times New Roman"/>
          <w:color w:val="000000"/>
          <w:sz w:val="28"/>
          <w:szCs w:val="28"/>
        </w:rPr>
        <w:t>The first defendant’s exception is upheld to the extent set out in this judgment.</w:t>
      </w:r>
    </w:p>
    <w:p w14:paraId="3119A6A8" w14:textId="77777777" w:rsidR="00056364" w:rsidRPr="007305E3" w:rsidRDefault="007305E3" w:rsidP="007305E3">
      <w:pPr>
        <w:pStyle w:val="LegalList1"/>
        <w:spacing w:line="360" w:lineRule="auto"/>
        <w:ind w:left="1560" w:hanging="709"/>
        <w:rPr>
          <w:rFonts w:ascii="Times New Roman" w:hAnsi="Times New Roman"/>
          <w:sz w:val="28"/>
          <w:szCs w:val="28"/>
        </w:rPr>
      </w:pPr>
      <w:r>
        <w:rPr>
          <w:rFonts w:ascii="Times New Roman" w:hAnsi="Times New Roman"/>
          <w:color w:val="000000"/>
          <w:sz w:val="28"/>
          <w:szCs w:val="28"/>
        </w:rPr>
        <w:t>2</w:t>
      </w:r>
      <w:r w:rsidR="00AE1429">
        <w:rPr>
          <w:rFonts w:ascii="Times New Roman" w:hAnsi="Times New Roman"/>
          <w:color w:val="000000"/>
          <w:sz w:val="28"/>
          <w:szCs w:val="28"/>
        </w:rPr>
        <w:t>.</w:t>
      </w:r>
      <w:r>
        <w:rPr>
          <w:rFonts w:ascii="Times New Roman" w:hAnsi="Times New Roman"/>
          <w:color w:val="000000"/>
          <w:sz w:val="28"/>
          <w:szCs w:val="28"/>
        </w:rPr>
        <w:tab/>
      </w:r>
      <w:r w:rsidR="00056364">
        <w:rPr>
          <w:rFonts w:ascii="Times New Roman" w:hAnsi="Times New Roman"/>
          <w:color w:val="000000"/>
          <w:sz w:val="28"/>
          <w:szCs w:val="28"/>
        </w:rPr>
        <w:t>The plaintiff is granted leave to amend the particulars of claim to remedy the defect/s</w:t>
      </w:r>
      <w:r>
        <w:rPr>
          <w:rFonts w:ascii="Times New Roman" w:hAnsi="Times New Roman"/>
          <w:color w:val="000000"/>
          <w:sz w:val="28"/>
          <w:szCs w:val="28"/>
        </w:rPr>
        <w:t xml:space="preserve">, if so advised; such amendment shall be </w:t>
      </w:r>
      <w:proofErr w:type="gramStart"/>
      <w:r>
        <w:rPr>
          <w:rFonts w:ascii="Times New Roman" w:hAnsi="Times New Roman"/>
          <w:color w:val="000000"/>
          <w:sz w:val="28"/>
          <w:szCs w:val="28"/>
        </w:rPr>
        <w:t>effected</w:t>
      </w:r>
      <w:proofErr w:type="gramEnd"/>
      <w:r>
        <w:rPr>
          <w:rFonts w:ascii="Times New Roman" w:hAnsi="Times New Roman"/>
          <w:color w:val="000000"/>
          <w:sz w:val="28"/>
          <w:szCs w:val="28"/>
        </w:rPr>
        <w:t xml:space="preserve"> within </w:t>
      </w:r>
      <w:r w:rsidR="007077DF">
        <w:rPr>
          <w:rFonts w:ascii="Times New Roman" w:hAnsi="Times New Roman"/>
          <w:color w:val="000000"/>
          <w:sz w:val="28"/>
          <w:szCs w:val="28"/>
        </w:rPr>
        <w:t>twenty (</w:t>
      </w:r>
      <w:r>
        <w:rPr>
          <w:rFonts w:ascii="Times New Roman" w:hAnsi="Times New Roman"/>
          <w:color w:val="000000"/>
          <w:sz w:val="28"/>
          <w:szCs w:val="28"/>
        </w:rPr>
        <w:t>20</w:t>
      </w:r>
      <w:r w:rsidR="007077DF">
        <w:rPr>
          <w:rFonts w:ascii="Times New Roman" w:hAnsi="Times New Roman"/>
          <w:color w:val="000000"/>
          <w:sz w:val="28"/>
          <w:szCs w:val="28"/>
        </w:rPr>
        <w:t>)</w:t>
      </w:r>
      <w:r>
        <w:rPr>
          <w:rFonts w:ascii="Times New Roman" w:hAnsi="Times New Roman"/>
          <w:color w:val="000000"/>
          <w:sz w:val="28"/>
          <w:szCs w:val="28"/>
        </w:rPr>
        <w:t xml:space="preserve"> days from the date hereof.</w:t>
      </w:r>
    </w:p>
    <w:p w14:paraId="401B412A" w14:textId="77777777" w:rsidR="007305E3" w:rsidRPr="00C114C8" w:rsidRDefault="007305E3" w:rsidP="00FB6CC7">
      <w:pPr>
        <w:pStyle w:val="LegalList1"/>
        <w:spacing w:line="360" w:lineRule="auto"/>
        <w:ind w:left="1560" w:hanging="709"/>
        <w:rPr>
          <w:rFonts w:ascii="Times New Roman" w:hAnsi="Times New Roman"/>
          <w:sz w:val="28"/>
          <w:szCs w:val="28"/>
        </w:rPr>
      </w:pPr>
      <w:r>
        <w:rPr>
          <w:rFonts w:ascii="Times New Roman" w:hAnsi="Times New Roman"/>
          <w:color w:val="000000"/>
          <w:sz w:val="28"/>
          <w:szCs w:val="28"/>
        </w:rPr>
        <w:t>3</w:t>
      </w:r>
      <w:r w:rsidR="00AE1429">
        <w:rPr>
          <w:rFonts w:ascii="Times New Roman" w:hAnsi="Times New Roman"/>
          <w:color w:val="000000"/>
          <w:sz w:val="28"/>
          <w:szCs w:val="28"/>
        </w:rPr>
        <w:t>.</w:t>
      </w:r>
      <w:r>
        <w:rPr>
          <w:rFonts w:ascii="Times New Roman" w:hAnsi="Times New Roman"/>
          <w:color w:val="000000"/>
          <w:sz w:val="28"/>
          <w:szCs w:val="28"/>
        </w:rPr>
        <w:tab/>
        <w:t>The plaintiff is ordered to pay the first defendant’s costs, either as taxed or agreed.</w:t>
      </w:r>
    </w:p>
    <w:p w14:paraId="709FC2B2" w14:textId="77777777" w:rsidR="00754C5E" w:rsidRDefault="00754C5E" w:rsidP="00754C5E">
      <w:pPr>
        <w:pStyle w:val="LegalList1"/>
        <w:spacing w:line="360" w:lineRule="auto"/>
        <w:rPr>
          <w:rFonts w:cs="Arial"/>
          <w:iCs/>
        </w:rPr>
      </w:pPr>
    </w:p>
    <w:p w14:paraId="3BFD09B8" w14:textId="77777777" w:rsidR="00DC088B" w:rsidRDefault="00DC088B" w:rsidP="00754C5E">
      <w:pPr>
        <w:pStyle w:val="LegalList1"/>
        <w:spacing w:line="360" w:lineRule="auto"/>
        <w:rPr>
          <w:rFonts w:cs="Arial"/>
          <w:iCs/>
        </w:rPr>
      </w:pPr>
    </w:p>
    <w:p w14:paraId="756AB6C6" w14:textId="77777777" w:rsidR="00754C5E" w:rsidRDefault="00754C5E" w:rsidP="00754C5E">
      <w:pPr>
        <w:spacing w:line="360" w:lineRule="auto"/>
        <w:rPr>
          <w:sz w:val="28"/>
          <w:szCs w:val="28"/>
        </w:rPr>
      </w:pPr>
    </w:p>
    <w:p w14:paraId="19F2CF74" w14:textId="77777777" w:rsidR="00754C5E" w:rsidRDefault="00754C5E" w:rsidP="00754C5E">
      <w:pPr>
        <w:pStyle w:val="LegalList1"/>
        <w:spacing w:line="240" w:lineRule="auto"/>
        <w:ind w:left="720"/>
        <w:rPr>
          <w:rFonts w:ascii="Times New Roman" w:hAnsi="Times New Roman"/>
          <w:sz w:val="28"/>
          <w:szCs w:val="28"/>
        </w:rPr>
      </w:pPr>
      <w:r>
        <w:rPr>
          <w:rFonts w:ascii="Times New Roman" w:hAnsi="Times New Roman"/>
          <w:sz w:val="28"/>
          <w:szCs w:val="28"/>
        </w:rPr>
        <w:t>____________________________</w:t>
      </w:r>
    </w:p>
    <w:p w14:paraId="130D62FF" w14:textId="77777777" w:rsidR="00754C5E" w:rsidRPr="009E483B" w:rsidRDefault="00754C5E" w:rsidP="00754C5E">
      <w:pPr>
        <w:pStyle w:val="LegalList1"/>
        <w:spacing w:line="240" w:lineRule="auto"/>
        <w:ind w:left="720"/>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039B798D" w14:textId="77777777" w:rsidR="00754C5E" w:rsidRPr="009E483B" w:rsidRDefault="00754C5E" w:rsidP="00754C5E">
      <w:pPr>
        <w:pStyle w:val="LegalList1"/>
        <w:spacing w:line="240" w:lineRule="auto"/>
        <w:ind w:left="720"/>
        <w:rPr>
          <w:rFonts w:ascii="Times New Roman" w:hAnsi="Times New Roman"/>
          <w:b/>
          <w:sz w:val="28"/>
          <w:szCs w:val="28"/>
        </w:rPr>
      </w:pPr>
      <w:r w:rsidRPr="009E483B">
        <w:rPr>
          <w:rFonts w:ascii="Times New Roman" w:hAnsi="Times New Roman"/>
          <w:b/>
          <w:sz w:val="28"/>
          <w:szCs w:val="28"/>
        </w:rPr>
        <w:t>JUDGE OF THE HIGH COURT</w:t>
      </w:r>
    </w:p>
    <w:p w14:paraId="7E92D070" w14:textId="77777777" w:rsidR="00754C5E" w:rsidRDefault="00754C5E" w:rsidP="00754C5E">
      <w:pPr>
        <w:rPr>
          <w:sz w:val="28"/>
          <w:szCs w:val="28"/>
        </w:rPr>
      </w:pPr>
    </w:p>
    <w:p w14:paraId="61535E0F" w14:textId="77777777" w:rsidR="00754C5E" w:rsidRDefault="00754C5E" w:rsidP="00754C5E">
      <w:pPr>
        <w:pStyle w:val="LegalList1"/>
        <w:spacing w:line="240" w:lineRule="auto"/>
        <w:ind w:left="720"/>
        <w:rPr>
          <w:rFonts w:ascii="Times New Roman" w:hAnsi="Times New Roman"/>
          <w:sz w:val="28"/>
          <w:szCs w:val="28"/>
        </w:rPr>
      </w:pPr>
      <w:r w:rsidRPr="009E483B">
        <w:rPr>
          <w:rFonts w:ascii="Times New Roman" w:hAnsi="Times New Roman"/>
          <w:sz w:val="28"/>
          <w:szCs w:val="28"/>
        </w:rPr>
        <w:t>APPEARANCES:</w:t>
      </w:r>
    </w:p>
    <w:p w14:paraId="564C4B93" w14:textId="77777777" w:rsidR="00754C5E" w:rsidRPr="009E483B" w:rsidRDefault="00754C5E" w:rsidP="00754C5E">
      <w:pPr>
        <w:ind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Plaintiff</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Pr>
          <w:rFonts w:ascii="Times New Roman" w:hAnsi="Times New Roman" w:cs="Times New Roman"/>
          <w:sz w:val="28"/>
          <w:szCs w:val="28"/>
        </w:rPr>
        <w:tab/>
        <w:t xml:space="preserve">A. F. </w:t>
      </w:r>
      <w:proofErr w:type="spellStart"/>
      <w:r>
        <w:rPr>
          <w:rFonts w:ascii="Times New Roman" w:hAnsi="Times New Roman" w:cs="Times New Roman"/>
          <w:sz w:val="28"/>
          <w:szCs w:val="28"/>
        </w:rPr>
        <w:t>Basson</w:t>
      </w:r>
      <w:proofErr w:type="spellEnd"/>
    </w:p>
    <w:p w14:paraId="47FC3658" w14:textId="77777777" w:rsidR="00754C5E" w:rsidRPr="009E483B" w:rsidRDefault="00754C5E" w:rsidP="00754C5E">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Instructed by</w:t>
      </w:r>
    </w:p>
    <w:p w14:paraId="31BDB60C" w14:textId="77777777" w:rsidR="00754C5E" w:rsidRPr="009E483B" w:rsidRDefault="00754C5E" w:rsidP="00754C5E">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proofErr w:type="spellStart"/>
      <w:r>
        <w:rPr>
          <w:rFonts w:ascii="Times New Roman" w:hAnsi="Times New Roman" w:cs="Times New Roman"/>
          <w:sz w:val="28"/>
          <w:szCs w:val="28"/>
        </w:rPr>
        <w:t>Mgangatho</w:t>
      </w:r>
      <w:proofErr w:type="spellEnd"/>
      <w:r>
        <w:rPr>
          <w:rFonts w:ascii="Times New Roman" w:hAnsi="Times New Roman" w:cs="Times New Roman"/>
          <w:sz w:val="28"/>
          <w:szCs w:val="28"/>
        </w:rPr>
        <w:t xml:space="preserve"> Attorneys</w:t>
      </w:r>
    </w:p>
    <w:p w14:paraId="55FDA94C" w14:textId="77777777" w:rsidR="00754C5E" w:rsidRPr="009E483B" w:rsidRDefault="00754C5E" w:rsidP="00754C5E">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 High Street</w:t>
      </w:r>
    </w:p>
    <w:p w14:paraId="7F54B8A0" w14:textId="77777777" w:rsidR="00754C5E" w:rsidRPr="009E483B" w:rsidRDefault="00754C5E" w:rsidP="00754C5E">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proofErr w:type="spellStart"/>
      <w:r w:rsidRPr="009E483B">
        <w:rPr>
          <w:rFonts w:ascii="Times New Roman" w:hAnsi="Times New Roman" w:cs="Times New Roman"/>
          <w:sz w:val="28"/>
          <w:szCs w:val="28"/>
        </w:rPr>
        <w:t>Makhanda</w:t>
      </w:r>
      <w:proofErr w:type="spellEnd"/>
    </w:p>
    <w:p w14:paraId="703BC12B" w14:textId="77777777" w:rsidR="00754C5E" w:rsidRDefault="00754C5E" w:rsidP="00754C5E">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 xml:space="preserve">(Ref: </w:t>
      </w:r>
      <w:r>
        <w:rPr>
          <w:rFonts w:ascii="Times New Roman" w:hAnsi="Times New Roman" w:cs="Times New Roman"/>
          <w:sz w:val="28"/>
          <w:szCs w:val="28"/>
        </w:rPr>
        <w:t xml:space="preserve">A. F. </w:t>
      </w:r>
      <w:proofErr w:type="spellStart"/>
      <w:r>
        <w:rPr>
          <w:rFonts w:ascii="Times New Roman" w:hAnsi="Times New Roman" w:cs="Times New Roman"/>
          <w:sz w:val="28"/>
          <w:szCs w:val="28"/>
        </w:rPr>
        <w:t>Basson</w:t>
      </w:r>
      <w:proofErr w:type="spellEnd"/>
      <w:r w:rsidRPr="009E483B">
        <w:rPr>
          <w:rFonts w:ascii="Times New Roman" w:hAnsi="Times New Roman" w:cs="Times New Roman"/>
          <w:sz w:val="28"/>
          <w:szCs w:val="28"/>
        </w:rPr>
        <w:t>)</w:t>
      </w:r>
    </w:p>
    <w:p w14:paraId="3F6E6FF4" w14:textId="77777777" w:rsidR="00754C5E" w:rsidRPr="009E483B" w:rsidRDefault="00754C5E" w:rsidP="00754C5E">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046-622 2206</w:t>
      </w:r>
    </w:p>
    <w:p w14:paraId="0AC9BBAF" w14:textId="77777777" w:rsidR="00754C5E" w:rsidRPr="00DE1B37" w:rsidRDefault="00754C5E" w:rsidP="00754C5E">
      <w:pPr>
        <w:ind w:left="720"/>
        <w:rPr>
          <w:rFonts w:ascii="Times New Roman" w:hAnsi="Times New Roman" w:cs="Times New Roman"/>
          <w:sz w:val="28"/>
          <w:szCs w:val="28"/>
        </w:rPr>
      </w:pPr>
    </w:p>
    <w:p w14:paraId="7831EC75" w14:textId="77777777" w:rsidR="00831C61" w:rsidRDefault="00754C5E" w:rsidP="00754C5E">
      <w:pPr>
        <w:ind w:left="720"/>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831C61">
        <w:rPr>
          <w:rFonts w:ascii="Times New Roman" w:hAnsi="Times New Roman" w:cs="Times New Roman"/>
          <w:sz w:val="28"/>
          <w:szCs w:val="28"/>
        </w:rPr>
        <w:t>First and</w:t>
      </w:r>
    </w:p>
    <w:p w14:paraId="2E493413" w14:textId="77777777" w:rsidR="00754C5E" w:rsidRPr="00DC088B" w:rsidRDefault="00831C61" w:rsidP="00754C5E">
      <w:pPr>
        <w:ind w:left="720"/>
        <w:rPr>
          <w:rFonts w:ascii="Times New Roman" w:hAnsi="Times New Roman" w:cs="Times New Roman"/>
          <w:sz w:val="28"/>
          <w:szCs w:val="28"/>
        </w:rPr>
      </w:pPr>
      <w:r w:rsidRPr="00DC088B">
        <w:rPr>
          <w:rFonts w:ascii="Times New Roman" w:hAnsi="Times New Roman" w:cs="Times New Roman"/>
          <w:sz w:val="28"/>
          <w:szCs w:val="28"/>
        </w:rPr>
        <w:t xml:space="preserve">Second </w:t>
      </w:r>
      <w:r w:rsidR="00754C5E" w:rsidRPr="00DC088B">
        <w:rPr>
          <w:rFonts w:ascii="Times New Roman" w:hAnsi="Times New Roman" w:cs="Times New Roman"/>
          <w:sz w:val="28"/>
          <w:szCs w:val="28"/>
        </w:rPr>
        <w:t>Defendant</w:t>
      </w:r>
      <w:r w:rsidRPr="00DC088B">
        <w:rPr>
          <w:rFonts w:ascii="Times New Roman" w:hAnsi="Times New Roman" w:cs="Times New Roman"/>
          <w:sz w:val="28"/>
          <w:szCs w:val="28"/>
        </w:rPr>
        <w:t>s</w:t>
      </w:r>
      <w:r w:rsidR="00754C5E" w:rsidRPr="00DC088B">
        <w:rPr>
          <w:rFonts w:ascii="Times New Roman" w:hAnsi="Times New Roman" w:cs="Times New Roman"/>
          <w:sz w:val="28"/>
          <w:szCs w:val="28"/>
        </w:rPr>
        <w:t>:</w:t>
      </w:r>
      <w:r w:rsidR="00754C5E" w:rsidRPr="00DC088B">
        <w:rPr>
          <w:rFonts w:ascii="Times New Roman" w:hAnsi="Times New Roman" w:cs="Times New Roman"/>
          <w:sz w:val="28"/>
          <w:szCs w:val="28"/>
        </w:rPr>
        <w:tab/>
      </w:r>
      <w:r w:rsidR="00754C5E" w:rsidRPr="00DC088B">
        <w:rPr>
          <w:rFonts w:ascii="Times New Roman" w:hAnsi="Times New Roman" w:cs="Times New Roman"/>
          <w:sz w:val="28"/>
          <w:szCs w:val="28"/>
        </w:rPr>
        <w:tab/>
      </w:r>
      <w:r w:rsidRPr="00DC088B">
        <w:rPr>
          <w:rFonts w:ascii="Times New Roman" w:hAnsi="Times New Roman" w:cs="Times New Roman"/>
          <w:sz w:val="28"/>
          <w:szCs w:val="28"/>
        </w:rPr>
        <w:t>C. G. T. Cordell</w:t>
      </w:r>
    </w:p>
    <w:p w14:paraId="495F8236" w14:textId="77777777" w:rsidR="00831C61" w:rsidRPr="00DC088B" w:rsidRDefault="00754C5E" w:rsidP="00754C5E">
      <w:pPr>
        <w:ind w:left="4320"/>
        <w:rPr>
          <w:rFonts w:ascii="Times New Roman" w:hAnsi="Times New Roman" w:cs="Times New Roman"/>
          <w:sz w:val="28"/>
          <w:szCs w:val="28"/>
        </w:rPr>
      </w:pPr>
      <w:r w:rsidRPr="00DC088B">
        <w:rPr>
          <w:rFonts w:ascii="Times New Roman" w:hAnsi="Times New Roman" w:cs="Times New Roman"/>
          <w:sz w:val="28"/>
          <w:szCs w:val="28"/>
        </w:rPr>
        <w:t>Instructed by</w:t>
      </w:r>
    </w:p>
    <w:p w14:paraId="70132C21" w14:textId="77777777" w:rsidR="00754C5E" w:rsidRPr="00DC088B" w:rsidRDefault="00831C61" w:rsidP="00754C5E">
      <w:pPr>
        <w:ind w:left="4320"/>
        <w:rPr>
          <w:rFonts w:ascii="Times New Roman" w:hAnsi="Times New Roman" w:cs="Times New Roman"/>
          <w:sz w:val="28"/>
          <w:szCs w:val="28"/>
        </w:rPr>
      </w:pPr>
      <w:r w:rsidRPr="00DC088B">
        <w:rPr>
          <w:rFonts w:ascii="Times New Roman" w:hAnsi="Times New Roman" w:cs="Times New Roman"/>
          <w:sz w:val="28"/>
          <w:szCs w:val="28"/>
        </w:rPr>
        <w:t>Wheeldon Rushmere &amp; Cole Inc.</w:t>
      </w:r>
    </w:p>
    <w:p w14:paraId="2A90D803" w14:textId="77777777" w:rsidR="00754C5E" w:rsidRPr="00DC088B" w:rsidRDefault="00831C61" w:rsidP="00754C5E">
      <w:pPr>
        <w:ind w:left="4320"/>
        <w:rPr>
          <w:rFonts w:ascii="Times New Roman" w:hAnsi="Times New Roman" w:cs="Times New Roman"/>
          <w:sz w:val="28"/>
          <w:szCs w:val="28"/>
        </w:rPr>
      </w:pPr>
      <w:r w:rsidRPr="00DC088B">
        <w:rPr>
          <w:rFonts w:ascii="Times New Roman" w:hAnsi="Times New Roman" w:cs="Times New Roman"/>
          <w:sz w:val="28"/>
          <w:szCs w:val="28"/>
        </w:rPr>
        <w:t>119 Hi</w:t>
      </w:r>
      <w:r w:rsidR="00754C5E" w:rsidRPr="00DC088B">
        <w:rPr>
          <w:rFonts w:ascii="Times New Roman" w:hAnsi="Times New Roman" w:cs="Times New Roman"/>
          <w:sz w:val="28"/>
          <w:szCs w:val="28"/>
        </w:rPr>
        <w:t>gh Street</w:t>
      </w:r>
    </w:p>
    <w:p w14:paraId="11BBC5D5" w14:textId="77777777" w:rsidR="00754C5E" w:rsidRPr="00DC088B" w:rsidRDefault="00754C5E" w:rsidP="00754C5E">
      <w:pPr>
        <w:ind w:left="4320"/>
        <w:rPr>
          <w:rFonts w:ascii="Times New Roman" w:hAnsi="Times New Roman" w:cs="Times New Roman"/>
          <w:sz w:val="28"/>
          <w:szCs w:val="28"/>
        </w:rPr>
      </w:pPr>
      <w:proofErr w:type="spellStart"/>
      <w:r w:rsidRPr="00DC088B">
        <w:rPr>
          <w:rFonts w:ascii="Times New Roman" w:hAnsi="Times New Roman" w:cs="Times New Roman"/>
          <w:sz w:val="28"/>
          <w:szCs w:val="28"/>
        </w:rPr>
        <w:t>Makhanda</w:t>
      </w:r>
      <w:proofErr w:type="spellEnd"/>
    </w:p>
    <w:p w14:paraId="6BA12E94" w14:textId="77777777" w:rsidR="00754C5E" w:rsidRPr="00DC088B" w:rsidRDefault="00754C5E" w:rsidP="00754C5E">
      <w:pPr>
        <w:ind w:left="4320"/>
        <w:rPr>
          <w:rFonts w:ascii="Times New Roman" w:hAnsi="Times New Roman" w:cs="Times New Roman"/>
          <w:sz w:val="28"/>
          <w:szCs w:val="28"/>
        </w:rPr>
      </w:pPr>
      <w:r w:rsidRPr="00DC088B">
        <w:rPr>
          <w:rFonts w:ascii="Times New Roman" w:hAnsi="Times New Roman" w:cs="Times New Roman"/>
          <w:sz w:val="28"/>
          <w:szCs w:val="28"/>
        </w:rPr>
        <w:t xml:space="preserve">(Ref: </w:t>
      </w:r>
      <w:r w:rsidR="00831C61" w:rsidRPr="00DC088B">
        <w:rPr>
          <w:rFonts w:ascii="Times New Roman" w:hAnsi="Times New Roman" w:cs="Times New Roman"/>
          <w:sz w:val="28"/>
          <w:szCs w:val="28"/>
        </w:rPr>
        <w:t xml:space="preserve">M. </w:t>
      </w:r>
      <w:proofErr w:type="spellStart"/>
      <w:r w:rsidR="00831C61" w:rsidRPr="00DC088B">
        <w:rPr>
          <w:rFonts w:ascii="Times New Roman" w:hAnsi="Times New Roman" w:cs="Times New Roman"/>
          <w:sz w:val="28"/>
          <w:szCs w:val="28"/>
        </w:rPr>
        <w:t>v.d.</w:t>
      </w:r>
      <w:proofErr w:type="spellEnd"/>
      <w:r w:rsidR="00831C61" w:rsidRPr="00DC088B">
        <w:rPr>
          <w:rFonts w:ascii="Times New Roman" w:hAnsi="Times New Roman" w:cs="Times New Roman"/>
          <w:sz w:val="28"/>
          <w:szCs w:val="28"/>
        </w:rPr>
        <w:t xml:space="preserve"> Veen</w:t>
      </w:r>
      <w:r w:rsidRPr="00DC088B">
        <w:rPr>
          <w:rFonts w:ascii="Times New Roman" w:hAnsi="Times New Roman" w:cs="Times New Roman"/>
          <w:sz w:val="28"/>
          <w:szCs w:val="28"/>
        </w:rPr>
        <w:t>)</w:t>
      </w:r>
    </w:p>
    <w:p w14:paraId="2184D86E" w14:textId="77777777" w:rsidR="00754C5E" w:rsidRPr="00DC088B" w:rsidRDefault="00754C5E" w:rsidP="00754C5E">
      <w:pPr>
        <w:ind w:left="4320"/>
        <w:rPr>
          <w:rFonts w:ascii="Times New Roman" w:hAnsi="Times New Roman" w:cs="Times New Roman"/>
          <w:sz w:val="28"/>
          <w:szCs w:val="28"/>
        </w:rPr>
      </w:pPr>
      <w:r w:rsidRPr="00DC088B">
        <w:rPr>
          <w:rFonts w:ascii="Times New Roman" w:hAnsi="Times New Roman" w:cs="Times New Roman"/>
          <w:sz w:val="28"/>
          <w:szCs w:val="28"/>
        </w:rPr>
        <w:t xml:space="preserve">Tel: 046-622 </w:t>
      </w:r>
      <w:r w:rsidR="00831C61" w:rsidRPr="00DC088B">
        <w:rPr>
          <w:rFonts w:ascii="Times New Roman" w:hAnsi="Times New Roman" w:cs="Times New Roman"/>
          <w:sz w:val="28"/>
          <w:szCs w:val="28"/>
        </w:rPr>
        <w:t>7005</w:t>
      </w:r>
    </w:p>
    <w:p w14:paraId="006FC6C3" w14:textId="77777777" w:rsidR="00754C5E" w:rsidRPr="00DC088B" w:rsidRDefault="00754C5E" w:rsidP="00754C5E">
      <w:pPr>
        <w:ind w:left="4320"/>
        <w:rPr>
          <w:rFonts w:ascii="Times New Roman" w:hAnsi="Times New Roman" w:cs="Times New Roman"/>
          <w:sz w:val="28"/>
          <w:szCs w:val="28"/>
        </w:rPr>
      </w:pPr>
    </w:p>
    <w:p w14:paraId="5B28CF4D" w14:textId="77777777" w:rsidR="00754C5E" w:rsidRPr="00DC088B" w:rsidRDefault="00754C5E" w:rsidP="00754C5E">
      <w:pPr>
        <w:ind w:left="4320"/>
        <w:rPr>
          <w:rFonts w:ascii="Times New Roman" w:hAnsi="Times New Roman" w:cs="Times New Roman"/>
          <w:sz w:val="28"/>
          <w:szCs w:val="28"/>
        </w:rPr>
      </w:pPr>
    </w:p>
    <w:p w14:paraId="47A59A1C" w14:textId="77777777" w:rsidR="00754C5E" w:rsidRDefault="00754C5E" w:rsidP="00DC088B">
      <w:pPr>
        <w:rPr>
          <w:rFonts w:ascii="Times New Roman" w:hAnsi="Times New Roman" w:cs="Times New Roman"/>
          <w:sz w:val="28"/>
          <w:szCs w:val="28"/>
        </w:rPr>
      </w:pPr>
      <w:r w:rsidRPr="00DC088B">
        <w:rPr>
          <w:rFonts w:ascii="Times New Roman" w:hAnsi="Times New Roman" w:cs="Times New Roman"/>
          <w:sz w:val="28"/>
          <w:szCs w:val="28"/>
        </w:rPr>
        <w:t>Date heard:</w:t>
      </w:r>
      <w:r w:rsidRPr="00DC088B">
        <w:rPr>
          <w:rFonts w:ascii="Times New Roman" w:hAnsi="Times New Roman" w:cs="Times New Roman"/>
          <w:sz w:val="28"/>
          <w:szCs w:val="28"/>
        </w:rPr>
        <w:tab/>
      </w:r>
      <w:r w:rsidRPr="00DC088B">
        <w:rPr>
          <w:rFonts w:ascii="Times New Roman" w:hAnsi="Times New Roman" w:cs="Times New Roman"/>
          <w:sz w:val="28"/>
          <w:szCs w:val="28"/>
        </w:rPr>
        <w:tab/>
      </w:r>
      <w:r w:rsidRPr="00DC088B">
        <w:rPr>
          <w:rFonts w:ascii="Times New Roman" w:hAnsi="Times New Roman" w:cs="Times New Roman"/>
          <w:sz w:val="28"/>
          <w:szCs w:val="28"/>
        </w:rPr>
        <w:tab/>
      </w:r>
      <w:r w:rsidRPr="00DC088B">
        <w:rPr>
          <w:rFonts w:ascii="Times New Roman" w:hAnsi="Times New Roman" w:cs="Times New Roman"/>
          <w:sz w:val="28"/>
          <w:szCs w:val="28"/>
        </w:rPr>
        <w:tab/>
      </w:r>
      <w:r w:rsidR="00DC088B">
        <w:rPr>
          <w:rFonts w:ascii="Times New Roman" w:hAnsi="Times New Roman" w:cs="Times New Roman"/>
          <w:sz w:val="28"/>
          <w:szCs w:val="28"/>
        </w:rPr>
        <w:tab/>
      </w:r>
      <w:r w:rsidRPr="00DC088B">
        <w:rPr>
          <w:rFonts w:ascii="Times New Roman" w:hAnsi="Times New Roman" w:cs="Times New Roman"/>
          <w:sz w:val="28"/>
          <w:szCs w:val="28"/>
        </w:rPr>
        <w:t>4 August 2022</w:t>
      </w:r>
    </w:p>
    <w:p w14:paraId="37160102" w14:textId="77777777" w:rsidR="00DC088B" w:rsidRPr="00DC088B" w:rsidRDefault="00DC088B" w:rsidP="00DC088B">
      <w:pPr>
        <w:rPr>
          <w:rFonts w:ascii="Times New Roman" w:hAnsi="Times New Roman" w:cs="Times New Roman"/>
          <w:sz w:val="28"/>
          <w:szCs w:val="28"/>
        </w:rPr>
      </w:pPr>
    </w:p>
    <w:p w14:paraId="62318596" w14:textId="77777777" w:rsidR="00754C5E" w:rsidRPr="00DC088B" w:rsidRDefault="00754C5E" w:rsidP="00DC088B">
      <w:pPr>
        <w:rPr>
          <w:rFonts w:ascii="Times New Roman" w:hAnsi="Times New Roman" w:cs="Times New Roman"/>
          <w:sz w:val="28"/>
          <w:szCs w:val="28"/>
        </w:rPr>
      </w:pPr>
      <w:r w:rsidRPr="00DC088B">
        <w:rPr>
          <w:rFonts w:ascii="Times New Roman" w:hAnsi="Times New Roman" w:cs="Times New Roman"/>
          <w:sz w:val="28"/>
          <w:szCs w:val="28"/>
        </w:rPr>
        <w:t>Date Delivered:</w:t>
      </w:r>
      <w:r w:rsidRPr="00DC088B">
        <w:rPr>
          <w:rFonts w:ascii="Times New Roman" w:hAnsi="Times New Roman" w:cs="Times New Roman"/>
          <w:sz w:val="28"/>
          <w:szCs w:val="28"/>
        </w:rPr>
        <w:tab/>
      </w:r>
      <w:r w:rsidRPr="00DC088B">
        <w:rPr>
          <w:rFonts w:ascii="Times New Roman" w:hAnsi="Times New Roman" w:cs="Times New Roman"/>
          <w:sz w:val="28"/>
          <w:szCs w:val="28"/>
        </w:rPr>
        <w:tab/>
      </w:r>
      <w:r w:rsidRPr="00DC088B">
        <w:rPr>
          <w:rFonts w:ascii="Times New Roman" w:hAnsi="Times New Roman" w:cs="Times New Roman"/>
          <w:sz w:val="28"/>
          <w:szCs w:val="28"/>
        </w:rPr>
        <w:tab/>
      </w:r>
      <w:r w:rsidR="00DC088B">
        <w:rPr>
          <w:rFonts w:ascii="Times New Roman" w:hAnsi="Times New Roman" w:cs="Times New Roman"/>
          <w:sz w:val="28"/>
          <w:szCs w:val="28"/>
        </w:rPr>
        <w:tab/>
      </w:r>
      <w:r w:rsidR="005867E4">
        <w:rPr>
          <w:rFonts w:ascii="Times New Roman" w:hAnsi="Times New Roman" w:cs="Times New Roman"/>
          <w:sz w:val="28"/>
          <w:szCs w:val="28"/>
        </w:rPr>
        <w:t xml:space="preserve">1 November </w:t>
      </w:r>
      <w:r w:rsidRPr="00DC088B">
        <w:rPr>
          <w:rFonts w:ascii="Times New Roman" w:hAnsi="Times New Roman" w:cs="Times New Roman"/>
          <w:sz w:val="28"/>
          <w:szCs w:val="28"/>
        </w:rPr>
        <w:t>2022</w:t>
      </w:r>
    </w:p>
    <w:p w14:paraId="20DEBFDC" w14:textId="77777777" w:rsidR="00754C5E" w:rsidRDefault="00754C5E" w:rsidP="00754C5E">
      <w:pPr>
        <w:pStyle w:val="LegalList1"/>
        <w:spacing w:line="360" w:lineRule="auto"/>
        <w:rPr>
          <w:rFonts w:ascii="Times New Roman" w:hAnsi="Times New Roman"/>
          <w:iCs/>
          <w:sz w:val="28"/>
          <w:szCs w:val="28"/>
        </w:rPr>
      </w:pPr>
    </w:p>
    <w:p w14:paraId="1C7311C6" w14:textId="77777777" w:rsidR="00DC088B" w:rsidRPr="00DC088B" w:rsidRDefault="00DC088B" w:rsidP="00754C5E">
      <w:pPr>
        <w:pStyle w:val="LegalList1"/>
        <w:spacing w:line="360" w:lineRule="auto"/>
        <w:rPr>
          <w:rFonts w:ascii="Times New Roman" w:hAnsi="Times New Roman"/>
          <w:iCs/>
          <w:sz w:val="28"/>
          <w:szCs w:val="28"/>
        </w:rPr>
      </w:pPr>
    </w:p>
    <w:sectPr w:rsidR="00DC088B" w:rsidRPr="00DC088B"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62DF" w14:textId="77777777" w:rsidR="00AE6568" w:rsidRDefault="00AE6568" w:rsidP="00354A12">
      <w:pPr>
        <w:spacing w:line="240" w:lineRule="auto"/>
      </w:pPr>
      <w:r>
        <w:separator/>
      </w:r>
    </w:p>
  </w:endnote>
  <w:endnote w:type="continuationSeparator" w:id="0">
    <w:p w14:paraId="28DD3060" w14:textId="77777777" w:rsidR="00AE6568" w:rsidRDefault="00AE6568"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E870" w14:textId="77777777" w:rsidR="00AE6568" w:rsidRDefault="00AE6568" w:rsidP="00354A12">
      <w:pPr>
        <w:spacing w:line="240" w:lineRule="auto"/>
      </w:pPr>
      <w:r>
        <w:separator/>
      </w:r>
    </w:p>
  </w:footnote>
  <w:footnote w:type="continuationSeparator" w:id="0">
    <w:p w14:paraId="389EE529" w14:textId="77777777" w:rsidR="00AE6568" w:rsidRDefault="00AE6568" w:rsidP="00354A12">
      <w:pPr>
        <w:spacing w:line="240" w:lineRule="auto"/>
      </w:pPr>
      <w:r>
        <w:continuationSeparator/>
      </w:r>
    </w:p>
  </w:footnote>
  <w:footnote w:id="1">
    <w:p w14:paraId="381F57D9" w14:textId="77777777" w:rsidR="00D149B7" w:rsidRDefault="00D149B7">
      <w:pPr>
        <w:pStyle w:val="FootnoteText"/>
      </w:pPr>
      <w:r>
        <w:rPr>
          <w:rStyle w:val="FootnoteReference"/>
        </w:rPr>
        <w:footnoteRef/>
      </w:r>
      <w:r>
        <w:t xml:space="preserve"> </w:t>
      </w:r>
      <w:r w:rsidR="00C50FAF">
        <w:t>Herbstein &amp; Van Winsen, The Civil Practice of the High Courts of South Africa, Juta, 5</w:t>
      </w:r>
      <w:r w:rsidR="00C50FAF" w:rsidRPr="00C50FAF">
        <w:rPr>
          <w:vertAlign w:val="superscript"/>
        </w:rPr>
        <w:t>th</w:t>
      </w:r>
      <w:r w:rsidR="00C50FAF">
        <w:t xml:space="preserve"> ed, Volume 1 generally at page 632 and 635</w:t>
      </w:r>
    </w:p>
  </w:footnote>
  <w:footnote w:id="2">
    <w:p w14:paraId="2579E644" w14:textId="77777777" w:rsidR="006123AF" w:rsidRDefault="006123AF">
      <w:pPr>
        <w:pStyle w:val="FootnoteText"/>
      </w:pPr>
      <w:r>
        <w:rPr>
          <w:rStyle w:val="FootnoteReference"/>
        </w:rPr>
        <w:footnoteRef/>
      </w:r>
      <w:r>
        <w:t xml:space="preserve"> </w:t>
      </w:r>
      <w:r w:rsidR="00A22A3A">
        <w:t>Erasmus, Superior Court Practice, Volume 2</w:t>
      </w:r>
      <w:r w:rsidR="00A20350">
        <w:t xml:space="preserve"> at D1-293 [Service 9, 2019]</w:t>
      </w:r>
    </w:p>
  </w:footnote>
  <w:footnote w:id="3">
    <w:p w14:paraId="50838EA7" w14:textId="77777777" w:rsidR="008B48FF" w:rsidRDefault="008B48FF">
      <w:pPr>
        <w:pStyle w:val="FootnoteText"/>
      </w:pPr>
      <w:r>
        <w:rPr>
          <w:rStyle w:val="FootnoteReference"/>
        </w:rPr>
        <w:footnoteRef/>
      </w:r>
      <w:r>
        <w:t xml:space="preserve"> </w:t>
      </w:r>
      <w:r w:rsidRPr="00081ED0">
        <w:rPr>
          <w:i/>
        </w:rPr>
        <w:t>Gallagher Group v IO Tech</w:t>
      </w:r>
      <w:r>
        <w:t xml:space="preserve"> 2014 (2) SA 157 (GNP) at 161D</w:t>
      </w:r>
    </w:p>
  </w:footnote>
  <w:footnote w:id="4">
    <w:p w14:paraId="62046F3D" w14:textId="77777777" w:rsidR="003F617F" w:rsidRDefault="003F617F">
      <w:pPr>
        <w:pStyle w:val="FootnoteText"/>
      </w:pPr>
      <w:r>
        <w:rPr>
          <w:rStyle w:val="FootnoteReference"/>
        </w:rPr>
        <w:footnoteRef/>
      </w:r>
      <w:r>
        <w:t xml:space="preserve"> </w:t>
      </w:r>
      <w:r w:rsidR="00A00DCC">
        <w:t xml:space="preserve">1981 (1) SA 288 (W) at </w:t>
      </w:r>
    </w:p>
  </w:footnote>
  <w:footnote w:id="5">
    <w:p w14:paraId="5F2C5771" w14:textId="77777777" w:rsidR="001A7E5D" w:rsidRDefault="001A7E5D" w:rsidP="001A7E5D">
      <w:pPr>
        <w:pStyle w:val="FootnoteText"/>
      </w:pPr>
      <w:r>
        <w:rPr>
          <w:rStyle w:val="FootnoteReference"/>
        </w:rPr>
        <w:footnoteRef/>
      </w:r>
      <w:r>
        <w:t xml:space="preserve"> Act 55 of 1965</w:t>
      </w:r>
    </w:p>
  </w:footnote>
  <w:footnote w:id="6">
    <w:p w14:paraId="4323738D" w14:textId="77777777" w:rsidR="00DF0DBF" w:rsidRDefault="00DF0DBF">
      <w:pPr>
        <w:pStyle w:val="FootnoteText"/>
      </w:pPr>
      <w:r>
        <w:rPr>
          <w:rStyle w:val="FootnoteReference"/>
        </w:rPr>
        <w:footnoteRef/>
      </w:r>
      <w:r>
        <w:t xml:space="preserve"> [2001] JOL 8365 (T) at pages 5-6</w:t>
      </w:r>
    </w:p>
  </w:footnote>
  <w:footnote w:id="7">
    <w:p w14:paraId="4214B879" w14:textId="77777777" w:rsidR="001A7E5D" w:rsidRDefault="001A7E5D" w:rsidP="001A7E5D">
      <w:pPr>
        <w:pStyle w:val="FootnoteText"/>
      </w:pPr>
      <w:r>
        <w:rPr>
          <w:rStyle w:val="FootnoteReference"/>
        </w:rPr>
        <w:footnoteRef/>
      </w:r>
      <w:r>
        <w:t xml:space="preserve"> See section 13</w:t>
      </w:r>
    </w:p>
  </w:footnote>
  <w:footnote w:id="8">
    <w:p w14:paraId="2FF5C20A" w14:textId="77777777" w:rsidR="00BD37C9" w:rsidRDefault="00BD37C9">
      <w:pPr>
        <w:pStyle w:val="FootnoteText"/>
      </w:pPr>
      <w:r>
        <w:rPr>
          <w:rStyle w:val="FootnoteReference"/>
        </w:rPr>
        <w:footnoteRef/>
      </w:r>
      <w:r>
        <w:t xml:space="preserve"> [2002] JOL 9306 (LCC) at paragraph [8]</w:t>
      </w:r>
    </w:p>
  </w:footnote>
  <w:footnote w:id="9">
    <w:p w14:paraId="0221C96F" w14:textId="77777777" w:rsidR="00BD37C9" w:rsidRDefault="00BD37C9">
      <w:pPr>
        <w:pStyle w:val="FootnoteText"/>
      </w:pPr>
      <w:r>
        <w:rPr>
          <w:rStyle w:val="FootnoteReference"/>
        </w:rPr>
        <w:footnoteRef/>
      </w:r>
      <w:r>
        <w:t xml:space="preserve"> (2013/62385) [2016] ZAGPPHC 1187 (27 October 2016) at paragraph [31]</w:t>
      </w:r>
    </w:p>
  </w:footnote>
  <w:footnote w:id="10">
    <w:p w14:paraId="65396BF5" w14:textId="77777777" w:rsidR="00155914" w:rsidRDefault="00155914">
      <w:pPr>
        <w:pStyle w:val="FootnoteText"/>
      </w:pPr>
      <w:r>
        <w:rPr>
          <w:rStyle w:val="FootnoteReference"/>
        </w:rPr>
        <w:footnoteRef/>
      </w:r>
      <w:r>
        <w:t xml:space="preserve"> Heads of argument paragraph</w:t>
      </w:r>
      <w:r w:rsidR="0069063A">
        <w:t>s</w:t>
      </w:r>
      <w:r>
        <w:t xml:space="preserve"> 13</w:t>
      </w:r>
      <w:r w:rsidR="0069063A">
        <w:t>-14</w:t>
      </w:r>
    </w:p>
  </w:footnote>
  <w:footnote w:id="11">
    <w:p w14:paraId="66EF7E87" w14:textId="77777777" w:rsidR="004B3E22" w:rsidRDefault="004B3E22">
      <w:pPr>
        <w:pStyle w:val="FootnoteText"/>
      </w:pPr>
      <w:r>
        <w:rPr>
          <w:rStyle w:val="FootnoteReference"/>
        </w:rPr>
        <w:footnoteRef/>
      </w:r>
      <w:r>
        <w:t xml:space="preserve"> </w:t>
      </w:r>
      <w:r>
        <w:rPr>
          <w:i/>
          <w:iCs/>
        </w:rPr>
        <w:t>Unimark Distributors (Pty) Ltd v Erf 94 Silvertondale (</w:t>
      </w:r>
      <w:r w:rsidRPr="004B3E22">
        <w:rPr>
          <w:i/>
          <w:iCs/>
        </w:rPr>
        <w:t>Pty) Ltd</w:t>
      </w:r>
      <w:r w:rsidRPr="004B3E22">
        <w:t xml:space="preserve"> </w:t>
      </w:r>
      <w:hyperlink r:id="rId1" w:tooltip="View LawCiteRecord" w:history="1">
        <w:r w:rsidRPr="004B3E22">
          <w:rPr>
            <w:rStyle w:val="Hyperlink"/>
            <w:color w:val="auto"/>
            <w:u w:val="none"/>
          </w:rPr>
          <w:t>1999 (2) SA 986</w:t>
        </w:r>
      </w:hyperlink>
      <w:r w:rsidRPr="004B3E22">
        <w:t xml:space="preserve"> (T) at 995I; </w:t>
      </w:r>
      <w:r w:rsidRPr="004B3E22">
        <w:rPr>
          <w:i/>
          <w:iCs/>
        </w:rPr>
        <w:t>Vulcan Rubber Works (Pty) Ltd v South African Railways and Harbours</w:t>
      </w:r>
      <w:r w:rsidRPr="004B3E22">
        <w:t xml:space="preserve"> </w:t>
      </w:r>
      <w:hyperlink r:id="rId2" w:tooltip="View LawCiteRecord" w:history="1">
        <w:r w:rsidRPr="004B3E22">
          <w:rPr>
            <w:rStyle w:val="Hyperlink"/>
            <w:color w:val="auto"/>
            <w:u w:val="none"/>
          </w:rPr>
          <w:t>1958 (3) SA 285</w:t>
        </w:r>
      </w:hyperlink>
      <w:r w:rsidRPr="004B3E22">
        <w:t xml:space="preserve"> (A) at 297E; </w:t>
      </w:r>
      <w:r w:rsidRPr="004B3E22">
        <w:rPr>
          <w:i/>
          <w:iCs/>
        </w:rPr>
        <w:t xml:space="preserve">Sorvaag v Pettersen and Others </w:t>
      </w:r>
      <w:hyperlink r:id="rId3" w:tooltip="View LawCiteRecord" w:history="1">
        <w:r w:rsidRPr="004B3E22">
          <w:rPr>
            <w:rStyle w:val="Hyperlink"/>
            <w:color w:val="auto"/>
            <w:u w:val="none"/>
          </w:rPr>
          <w:t>1954 (3) SA 636</w:t>
        </w:r>
      </w:hyperlink>
      <w:r w:rsidRPr="004B3E22">
        <w:t xml:space="preserve"> (C) a</w:t>
      </w:r>
      <w:r>
        <w:t>t 639G </w:t>
      </w:r>
    </w:p>
  </w:footnote>
  <w:footnote w:id="12">
    <w:p w14:paraId="0CD600CD" w14:textId="77777777" w:rsidR="00B1110F" w:rsidRDefault="00B1110F">
      <w:pPr>
        <w:pStyle w:val="FootnoteText"/>
      </w:pPr>
      <w:r>
        <w:rPr>
          <w:rStyle w:val="FootnoteReference"/>
        </w:rPr>
        <w:footnoteRef/>
      </w:r>
      <w:r>
        <w:t xml:space="preserve"> </w:t>
      </w:r>
      <w:r>
        <w:rPr>
          <w:i/>
        </w:rPr>
        <w:t>Unimark Distributors supra</w:t>
      </w:r>
      <w:r>
        <w:t xml:space="preserve"> at 996B-D; also </w:t>
      </w:r>
      <w:r>
        <w:rPr>
          <w:i/>
        </w:rPr>
        <w:t>Chetty v Naidoo supra</w:t>
      </w:r>
      <w:r>
        <w:t xml:space="preserve"> at 20B; </w:t>
      </w:r>
      <w:r>
        <w:rPr>
          <w:i/>
          <w:iCs/>
        </w:rPr>
        <w:t xml:space="preserve">Vulcan Rubber Works supra </w:t>
      </w:r>
      <w:r>
        <w:t xml:space="preserve">at 297E; </w:t>
      </w:r>
      <w:r>
        <w:rPr>
          <w:i/>
          <w:iCs/>
        </w:rPr>
        <w:t xml:space="preserve">Sorvaag v Pettersen and Others supra </w:t>
      </w:r>
      <w:r>
        <w:t xml:space="preserve"> at 639G</w:t>
      </w:r>
    </w:p>
  </w:footnote>
  <w:footnote w:id="13">
    <w:p w14:paraId="08E96057" w14:textId="77777777" w:rsidR="00725CF5" w:rsidRDefault="00725CF5" w:rsidP="00725CF5">
      <w:pPr>
        <w:pStyle w:val="FootnoteText"/>
      </w:pPr>
      <w:r>
        <w:rPr>
          <w:rStyle w:val="FootnoteReference"/>
        </w:rPr>
        <w:footnoteRef/>
      </w:r>
      <w:r>
        <w:t xml:space="preserve"> Act 19 of 1998</w:t>
      </w:r>
    </w:p>
  </w:footnote>
  <w:footnote w:id="14">
    <w:p w14:paraId="7C218EFE" w14:textId="77777777" w:rsidR="00EA7611" w:rsidRDefault="00EA7611" w:rsidP="00EA7611">
      <w:pPr>
        <w:pStyle w:val="FootnoteText"/>
      </w:pPr>
      <w:r>
        <w:rPr>
          <w:rStyle w:val="FootnoteReference"/>
        </w:rPr>
        <w:footnoteRef/>
      </w:r>
      <w:r>
        <w:t xml:space="preserve"> Paragraph 14.5</w:t>
      </w:r>
    </w:p>
  </w:footnote>
  <w:footnote w:id="15">
    <w:p w14:paraId="2E77989E" w14:textId="77777777" w:rsidR="00DF0DBF" w:rsidRDefault="00DF0DBF">
      <w:pPr>
        <w:pStyle w:val="FootnoteText"/>
      </w:pPr>
      <w:r>
        <w:rPr>
          <w:rStyle w:val="FootnoteReference"/>
        </w:rPr>
        <w:footnoteRef/>
      </w:r>
      <w:r>
        <w:t xml:space="preserve"> 2003 (1) SA 113 (SCA) at paragraph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300E4B8A" w14:textId="77777777" w:rsidR="00A572D4" w:rsidRDefault="00A572D4">
        <w:pPr>
          <w:pStyle w:val="Header"/>
          <w:jc w:val="center"/>
        </w:pPr>
        <w:r>
          <w:fldChar w:fldCharType="begin"/>
        </w:r>
        <w:r>
          <w:instrText xml:space="preserve"> PAGE   \* MERGEFORMAT </w:instrText>
        </w:r>
        <w:r>
          <w:fldChar w:fldCharType="separate"/>
        </w:r>
        <w:r w:rsidR="0013440E">
          <w:rPr>
            <w:noProof/>
          </w:rPr>
          <w:t>4</w:t>
        </w:r>
        <w:r>
          <w:rPr>
            <w:noProof/>
          </w:rPr>
          <w:fldChar w:fldCharType="end"/>
        </w:r>
      </w:p>
    </w:sdtContent>
  </w:sdt>
  <w:p w14:paraId="2F74BBA9"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2EFA7262"/>
    <w:lvl w:ilvl="0">
      <w:start w:val="1"/>
      <w:numFmt w:val="decimal"/>
      <w:lvlText w:val="[%1]"/>
      <w:lvlJc w:val="left"/>
      <w:pPr>
        <w:tabs>
          <w:tab w:val="num" w:pos="567"/>
        </w:tabs>
        <w:ind w:left="567" w:hanging="567"/>
      </w:pPr>
      <w:rPr>
        <w:rFonts w:ascii="Times New Roman" w:hAnsi="Times New Roman" w:cs="Times New Roman" w:hint="default"/>
        <w:b w:val="0"/>
        <w:i w:val="0"/>
        <w:sz w:val="28"/>
        <w:szCs w:val="28"/>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77531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2786590">
    <w:abstractNumId w:val="1"/>
  </w:num>
  <w:num w:numId="3" w16cid:durableId="1191915558">
    <w:abstractNumId w:val="0"/>
  </w:num>
  <w:num w:numId="4" w16cid:durableId="882669411">
    <w:abstractNumId w:val="2"/>
  </w:num>
  <w:num w:numId="5" w16cid:durableId="508839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565417-86C1-41A3-ADF3-C642E49AE4BA}"/>
    <w:docVar w:name="dgnword-eventsink" w:val="172358968"/>
  </w:docVars>
  <w:rsids>
    <w:rsidRoot w:val="00354A12"/>
    <w:rsid w:val="00022744"/>
    <w:rsid w:val="0002346E"/>
    <w:rsid w:val="00052B36"/>
    <w:rsid w:val="00056364"/>
    <w:rsid w:val="0006128A"/>
    <w:rsid w:val="00086DC4"/>
    <w:rsid w:val="00093CAB"/>
    <w:rsid w:val="000A107E"/>
    <w:rsid w:val="000A57A2"/>
    <w:rsid w:val="000B3BA1"/>
    <w:rsid w:val="000B64EE"/>
    <w:rsid w:val="000D12E7"/>
    <w:rsid w:val="000D1DCE"/>
    <w:rsid w:val="000D6AB4"/>
    <w:rsid w:val="000D7246"/>
    <w:rsid w:val="00110379"/>
    <w:rsid w:val="001174BF"/>
    <w:rsid w:val="00120272"/>
    <w:rsid w:val="00120DA9"/>
    <w:rsid w:val="0013059A"/>
    <w:rsid w:val="0013440E"/>
    <w:rsid w:val="00145B7F"/>
    <w:rsid w:val="00146AF2"/>
    <w:rsid w:val="00155914"/>
    <w:rsid w:val="00156287"/>
    <w:rsid w:val="00165E42"/>
    <w:rsid w:val="00167D58"/>
    <w:rsid w:val="0017281A"/>
    <w:rsid w:val="00175633"/>
    <w:rsid w:val="001A645C"/>
    <w:rsid w:val="001A7E5D"/>
    <w:rsid w:val="001B2FE7"/>
    <w:rsid w:val="001D055A"/>
    <w:rsid w:val="001E0937"/>
    <w:rsid w:val="001E7D22"/>
    <w:rsid w:val="001F0770"/>
    <w:rsid w:val="001F0A91"/>
    <w:rsid w:val="001F1BBA"/>
    <w:rsid w:val="001F65EB"/>
    <w:rsid w:val="00203CA5"/>
    <w:rsid w:val="00213F78"/>
    <w:rsid w:val="00225E40"/>
    <w:rsid w:val="00235266"/>
    <w:rsid w:val="00247B56"/>
    <w:rsid w:val="00257219"/>
    <w:rsid w:val="00257C32"/>
    <w:rsid w:val="00261077"/>
    <w:rsid w:val="002662AD"/>
    <w:rsid w:val="00280266"/>
    <w:rsid w:val="002914FC"/>
    <w:rsid w:val="002B6808"/>
    <w:rsid w:val="002B7A11"/>
    <w:rsid w:val="002C590E"/>
    <w:rsid w:val="002C7326"/>
    <w:rsid w:val="002D1F6A"/>
    <w:rsid w:val="002D391B"/>
    <w:rsid w:val="002D5EA5"/>
    <w:rsid w:val="002F183E"/>
    <w:rsid w:val="002F6312"/>
    <w:rsid w:val="00300474"/>
    <w:rsid w:val="0031031C"/>
    <w:rsid w:val="00314EB5"/>
    <w:rsid w:val="00321275"/>
    <w:rsid w:val="00324991"/>
    <w:rsid w:val="00326583"/>
    <w:rsid w:val="00341042"/>
    <w:rsid w:val="00354A12"/>
    <w:rsid w:val="00354FDB"/>
    <w:rsid w:val="003920BB"/>
    <w:rsid w:val="003C16C4"/>
    <w:rsid w:val="003C3BAD"/>
    <w:rsid w:val="003C736D"/>
    <w:rsid w:val="003D1991"/>
    <w:rsid w:val="003D293A"/>
    <w:rsid w:val="003E2476"/>
    <w:rsid w:val="003F007F"/>
    <w:rsid w:val="003F49EC"/>
    <w:rsid w:val="003F617F"/>
    <w:rsid w:val="0043578B"/>
    <w:rsid w:val="00453FA9"/>
    <w:rsid w:val="00461EE4"/>
    <w:rsid w:val="004620F0"/>
    <w:rsid w:val="0046237A"/>
    <w:rsid w:val="004A173A"/>
    <w:rsid w:val="004A255F"/>
    <w:rsid w:val="004B0B9E"/>
    <w:rsid w:val="004B3E22"/>
    <w:rsid w:val="004D49B9"/>
    <w:rsid w:val="004D5011"/>
    <w:rsid w:val="004D51A0"/>
    <w:rsid w:val="004F299C"/>
    <w:rsid w:val="004F6A04"/>
    <w:rsid w:val="00507D4D"/>
    <w:rsid w:val="00522840"/>
    <w:rsid w:val="00530B7B"/>
    <w:rsid w:val="00546D1B"/>
    <w:rsid w:val="005500F0"/>
    <w:rsid w:val="00553F7F"/>
    <w:rsid w:val="00554DAF"/>
    <w:rsid w:val="005635D2"/>
    <w:rsid w:val="00566ABB"/>
    <w:rsid w:val="00571436"/>
    <w:rsid w:val="005867E4"/>
    <w:rsid w:val="005A625C"/>
    <w:rsid w:val="005B2B30"/>
    <w:rsid w:val="005B7C23"/>
    <w:rsid w:val="005B7FA4"/>
    <w:rsid w:val="005D6220"/>
    <w:rsid w:val="005E5158"/>
    <w:rsid w:val="006101E1"/>
    <w:rsid w:val="00610D6C"/>
    <w:rsid w:val="006123AF"/>
    <w:rsid w:val="00627BF6"/>
    <w:rsid w:val="00627D14"/>
    <w:rsid w:val="0063024B"/>
    <w:rsid w:val="00633710"/>
    <w:rsid w:val="00666620"/>
    <w:rsid w:val="00670B25"/>
    <w:rsid w:val="00675954"/>
    <w:rsid w:val="0069063A"/>
    <w:rsid w:val="00694EF5"/>
    <w:rsid w:val="006A298D"/>
    <w:rsid w:val="006A3C1F"/>
    <w:rsid w:val="006D61BE"/>
    <w:rsid w:val="006E5A29"/>
    <w:rsid w:val="006E656C"/>
    <w:rsid w:val="006F041E"/>
    <w:rsid w:val="00706E08"/>
    <w:rsid w:val="007077DF"/>
    <w:rsid w:val="00716A66"/>
    <w:rsid w:val="00723E66"/>
    <w:rsid w:val="00725CF5"/>
    <w:rsid w:val="007305E3"/>
    <w:rsid w:val="00731AA4"/>
    <w:rsid w:val="007465FF"/>
    <w:rsid w:val="00754C5E"/>
    <w:rsid w:val="00757DBA"/>
    <w:rsid w:val="00774653"/>
    <w:rsid w:val="00782B66"/>
    <w:rsid w:val="00786768"/>
    <w:rsid w:val="007D37D2"/>
    <w:rsid w:val="00801B9A"/>
    <w:rsid w:val="00802A10"/>
    <w:rsid w:val="008050B5"/>
    <w:rsid w:val="008055EF"/>
    <w:rsid w:val="00825EE6"/>
    <w:rsid w:val="00830AED"/>
    <w:rsid w:val="00831C61"/>
    <w:rsid w:val="008666BA"/>
    <w:rsid w:val="0087397B"/>
    <w:rsid w:val="0087756A"/>
    <w:rsid w:val="0089657A"/>
    <w:rsid w:val="0089659A"/>
    <w:rsid w:val="00897A64"/>
    <w:rsid w:val="008B33D9"/>
    <w:rsid w:val="008B48FF"/>
    <w:rsid w:val="008C0739"/>
    <w:rsid w:val="008D19BC"/>
    <w:rsid w:val="008D4E95"/>
    <w:rsid w:val="008E0F67"/>
    <w:rsid w:val="008E2ECD"/>
    <w:rsid w:val="00900548"/>
    <w:rsid w:val="009044F4"/>
    <w:rsid w:val="00906DD1"/>
    <w:rsid w:val="00913D95"/>
    <w:rsid w:val="009206E9"/>
    <w:rsid w:val="00922E5D"/>
    <w:rsid w:val="00932C3F"/>
    <w:rsid w:val="00937386"/>
    <w:rsid w:val="009410B9"/>
    <w:rsid w:val="00941150"/>
    <w:rsid w:val="00954F09"/>
    <w:rsid w:val="00967A79"/>
    <w:rsid w:val="00987D17"/>
    <w:rsid w:val="009922C7"/>
    <w:rsid w:val="009924D6"/>
    <w:rsid w:val="00995A7E"/>
    <w:rsid w:val="009A0A66"/>
    <w:rsid w:val="009B041D"/>
    <w:rsid w:val="009B29C9"/>
    <w:rsid w:val="009B3530"/>
    <w:rsid w:val="009E1C7E"/>
    <w:rsid w:val="009E4D6A"/>
    <w:rsid w:val="009F48A6"/>
    <w:rsid w:val="00A00DCC"/>
    <w:rsid w:val="00A15B5E"/>
    <w:rsid w:val="00A20350"/>
    <w:rsid w:val="00A22A3A"/>
    <w:rsid w:val="00A24451"/>
    <w:rsid w:val="00A27D5A"/>
    <w:rsid w:val="00A572D4"/>
    <w:rsid w:val="00A652F2"/>
    <w:rsid w:val="00A83559"/>
    <w:rsid w:val="00AA48E2"/>
    <w:rsid w:val="00AC1F5C"/>
    <w:rsid w:val="00AC226D"/>
    <w:rsid w:val="00AD3120"/>
    <w:rsid w:val="00AD7016"/>
    <w:rsid w:val="00AD725E"/>
    <w:rsid w:val="00AE1429"/>
    <w:rsid w:val="00AE2126"/>
    <w:rsid w:val="00AE48EC"/>
    <w:rsid w:val="00AE6568"/>
    <w:rsid w:val="00B0015D"/>
    <w:rsid w:val="00B01034"/>
    <w:rsid w:val="00B1110F"/>
    <w:rsid w:val="00B23FC2"/>
    <w:rsid w:val="00B25C00"/>
    <w:rsid w:val="00B264CD"/>
    <w:rsid w:val="00B637FA"/>
    <w:rsid w:val="00B800F5"/>
    <w:rsid w:val="00B84D8B"/>
    <w:rsid w:val="00BC410B"/>
    <w:rsid w:val="00BD37C9"/>
    <w:rsid w:val="00BD3A4F"/>
    <w:rsid w:val="00BE41E2"/>
    <w:rsid w:val="00BE572D"/>
    <w:rsid w:val="00BE7BD9"/>
    <w:rsid w:val="00C00050"/>
    <w:rsid w:val="00C00295"/>
    <w:rsid w:val="00C02735"/>
    <w:rsid w:val="00C07D9E"/>
    <w:rsid w:val="00C114C8"/>
    <w:rsid w:val="00C50FAF"/>
    <w:rsid w:val="00C75218"/>
    <w:rsid w:val="00C82D46"/>
    <w:rsid w:val="00C8301C"/>
    <w:rsid w:val="00C86FBD"/>
    <w:rsid w:val="00CD69A3"/>
    <w:rsid w:val="00CE7230"/>
    <w:rsid w:val="00D01D92"/>
    <w:rsid w:val="00D149B7"/>
    <w:rsid w:val="00D33EEF"/>
    <w:rsid w:val="00D44EF5"/>
    <w:rsid w:val="00D45647"/>
    <w:rsid w:val="00D5342F"/>
    <w:rsid w:val="00D63B95"/>
    <w:rsid w:val="00D856C6"/>
    <w:rsid w:val="00D90616"/>
    <w:rsid w:val="00D9251B"/>
    <w:rsid w:val="00D932F1"/>
    <w:rsid w:val="00D95B5D"/>
    <w:rsid w:val="00DB3D5B"/>
    <w:rsid w:val="00DC088B"/>
    <w:rsid w:val="00DE2880"/>
    <w:rsid w:val="00DE31A8"/>
    <w:rsid w:val="00DF0DBF"/>
    <w:rsid w:val="00DF29C2"/>
    <w:rsid w:val="00E05A84"/>
    <w:rsid w:val="00E17CC0"/>
    <w:rsid w:val="00E24406"/>
    <w:rsid w:val="00E24CDE"/>
    <w:rsid w:val="00E31FD0"/>
    <w:rsid w:val="00E34D41"/>
    <w:rsid w:val="00E37A1A"/>
    <w:rsid w:val="00E41DB2"/>
    <w:rsid w:val="00E47CDF"/>
    <w:rsid w:val="00E66969"/>
    <w:rsid w:val="00E673C8"/>
    <w:rsid w:val="00E74D38"/>
    <w:rsid w:val="00E81CCD"/>
    <w:rsid w:val="00E95C8A"/>
    <w:rsid w:val="00EA7611"/>
    <w:rsid w:val="00EB071B"/>
    <w:rsid w:val="00EB4F7C"/>
    <w:rsid w:val="00EC0B77"/>
    <w:rsid w:val="00ED44A6"/>
    <w:rsid w:val="00ED7224"/>
    <w:rsid w:val="00EE1D31"/>
    <w:rsid w:val="00EF2A4C"/>
    <w:rsid w:val="00EF441D"/>
    <w:rsid w:val="00EF4C02"/>
    <w:rsid w:val="00F174C8"/>
    <w:rsid w:val="00F20594"/>
    <w:rsid w:val="00F21BCD"/>
    <w:rsid w:val="00F305CF"/>
    <w:rsid w:val="00F45C86"/>
    <w:rsid w:val="00F45FD9"/>
    <w:rsid w:val="00F51047"/>
    <w:rsid w:val="00F5733A"/>
    <w:rsid w:val="00F71022"/>
    <w:rsid w:val="00F71D75"/>
    <w:rsid w:val="00F83A20"/>
    <w:rsid w:val="00F8532C"/>
    <w:rsid w:val="00F97C22"/>
    <w:rsid w:val="00FA2D07"/>
    <w:rsid w:val="00FB296F"/>
    <w:rsid w:val="00FB4CDF"/>
    <w:rsid w:val="00FB6CC7"/>
    <w:rsid w:val="00FC280A"/>
    <w:rsid w:val="00FD6994"/>
    <w:rsid w:val="00FE1F02"/>
    <w:rsid w:val="00FF4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AA41"/>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customStyle="1" w:styleId="western">
    <w:name w:val="western"/>
    <w:basedOn w:val="Normal"/>
    <w:rsid w:val="003F007F"/>
    <w:pPr>
      <w:spacing w:before="100" w:beforeAutospacing="1" w:after="100" w:afterAutospacing="1" w:line="240" w:lineRule="auto"/>
    </w:pPr>
    <w:rPr>
      <w:rFonts w:ascii="Times New Roman" w:eastAsia="Times New Roman" w:hAnsi="Times New Roman" w:cs="Times New Roman"/>
      <w:szCs w:val="24"/>
      <w:lang w:eastAsia="en-ZA"/>
    </w:rPr>
  </w:style>
  <w:style w:type="character" w:styleId="Hyperlink">
    <w:name w:val="Hyperlink"/>
    <w:basedOn w:val="DefaultParagraphFont"/>
    <w:uiPriority w:val="99"/>
    <w:semiHidden/>
    <w:unhideWhenUsed/>
    <w:rsid w:val="004B3E22"/>
    <w:rPr>
      <w:color w:val="0000FF"/>
      <w:u w:val="single"/>
    </w:rPr>
  </w:style>
  <w:style w:type="paragraph" w:styleId="BalloonText">
    <w:name w:val="Balloon Text"/>
    <w:basedOn w:val="Normal"/>
    <w:link w:val="BalloonTextChar"/>
    <w:uiPriority w:val="99"/>
    <w:semiHidden/>
    <w:unhideWhenUsed/>
    <w:rsid w:val="00453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768">
      <w:bodyDiv w:val="1"/>
      <w:marLeft w:val="0"/>
      <w:marRight w:val="0"/>
      <w:marTop w:val="0"/>
      <w:marBottom w:val="0"/>
      <w:divBdr>
        <w:top w:val="none" w:sz="0" w:space="0" w:color="auto"/>
        <w:left w:val="none" w:sz="0" w:space="0" w:color="auto"/>
        <w:bottom w:val="none" w:sz="0" w:space="0" w:color="auto"/>
        <w:right w:val="none" w:sz="0" w:space="0" w:color="auto"/>
      </w:divBdr>
    </w:div>
    <w:div w:id="648945897">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4983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54%20%283%29%20SA%20636" TargetMode="External"/><Relationship Id="rId2" Type="http://schemas.openxmlformats.org/officeDocument/2006/relationships/hyperlink" Target="http://www.saflii.org/cgi-bin/LawCite?cit=1958%20%283%29%20SA%20285" TargetMode="External"/><Relationship Id="rId1" Type="http://schemas.openxmlformats.org/officeDocument/2006/relationships/hyperlink" Target="http://www.saflii.org/cgi-bin/LawCite?cit=1999%20%282%29%20SA%20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4F70-CACE-433E-892B-0F87453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2022-10-28T11:51:00Z</cp:lastPrinted>
  <dcterms:created xsi:type="dcterms:W3CDTF">2022-11-02T12:59:00Z</dcterms:created>
  <dcterms:modified xsi:type="dcterms:W3CDTF">2022-11-07T20:08:00Z</dcterms:modified>
  <cp:contentStatus/>
</cp:coreProperties>
</file>