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FE95" w14:textId="77777777" w:rsidR="00AC2344" w:rsidRDefault="00AC2344" w:rsidP="00AC2344">
      <w:pPr>
        <w:pStyle w:val="Subtitle"/>
        <w:spacing w:after="0" w:line="240" w:lineRule="auto"/>
        <w:jc w:val="center"/>
      </w:pPr>
      <w:r>
        <w:rPr>
          <w:noProof/>
          <w:lang w:val="en-ZA" w:eastAsia="en-ZA"/>
        </w:rPr>
        <w:drawing>
          <wp:anchor distT="0" distB="0" distL="114300" distR="114300" simplePos="0" relativeHeight="251658240" behindDoc="0" locked="0" layoutInCell="1" allowOverlap="1" wp14:anchorId="2484926F" wp14:editId="0CF28292">
            <wp:simplePos x="0" y="0"/>
            <wp:positionH relativeFrom="margin">
              <wp:posOffset>2227580</wp:posOffset>
            </wp:positionH>
            <wp:positionV relativeFrom="paragraph">
              <wp:posOffset>-276225</wp:posOffset>
            </wp:positionV>
            <wp:extent cx="987425" cy="9874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14:sizeRelH relativeFrom="page">
              <wp14:pctWidth>0</wp14:pctWidth>
            </wp14:sizeRelH>
            <wp14:sizeRelV relativeFrom="page">
              <wp14:pctHeight>0</wp14:pctHeight>
            </wp14:sizeRelV>
          </wp:anchor>
        </w:drawing>
      </w:r>
    </w:p>
    <w:p w14:paraId="5EBE6E46" w14:textId="77777777" w:rsidR="004D75A6" w:rsidRDefault="004D75A6" w:rsidP="00AC2344">
      <w:pPr>
        <w:pStyle w:val="Subtitle"/>
        <w:spacing w:after="0" w:line="240" w:lineRule="auto"/>
        <w:jc w:val="center"/>
      </w:pPr>
    </w:p>
    <w:p w14:paraId="4A994C98" w14:textId="77777777" w:rsidR="00AC2344" w:rsidRDefault="00AC2344" w:rsidP="00AC2344">
      <w:pPr>
        <w:pStyle w:val="Header"/>
        <w:widowControl w:val="0"/>
        <w:tabs>
          <w:tab w:val="clear" w:pos="4320"/>
          <w:tab w:val="clear" w:pos="8640"/>
        </w:tabs>
        <w:spacing w:line="360" w:lineRule="auto"/>
        <w:jc w:val="center"/>
        <w:rPr>
          <w:rFonts w:cs="Arial"/>
          <w:b/>
          <w:szCs w:val="24"/>
        </w:rPr>
      </w:pPr>
    </w:p>
    <w:p w14:paraId="761C42E6" w14:textId="77777777" w:rsidR="00AC2344" w:rsidRDefault="00AC2344" w:rsidP="00AC2344">
      <w:pPr>
        <w:pStyle w:val="Header"/>
        <w:widowControl w:val="0"/>
        <w:tabs>
          <w:tab w:val="clear" w:pos="4320"/>
          <w:tab w:val="clear" w:pos="8640"/>
        </w:tabs>
        <w:spacing w:line="360" w:lineRule="auto"/>
        <w:jc w:val="center"/>
        <w:rPr>
          <w:rFonts w:cs="Arial"/>
          <w:b/>
          <w:szCs w:val="24"/>
        </w:rPr>
      </w:pPr>
    </w:p>
    <w:p w14:paraId="353F7009" w14:textId="77777777" w:rsidR="004D75A6" w:rsidRPr="004D75A6" w:rsidRDefault="004D75A6" w:rsidP="00AC2344">
      <w:pPr>
        <w:pStyle w:val="Header"/>
        <w:widowControl w:val="0"/>
        <w:tabs>
          <w:tab w:val="clear" w:pos="4320"/>
          <w:tab w:val="clear" w:pos="8640"/>
        </w:tabs>
        <w:spacing w:line="360" w:lineRule="auto"/>
        <w:jc w:val="center"/>
        <w:rPr>
          <w:rFonts w:cs="Arial"/>
          <w:b/>
          <w:szCs w:val="24"/>
        </w:rPr>
      </w:pPr>
      <w:r w:rsidRPr="004D75A6">
        <w:rPr>
          <w:rFonts w:cs="Arial"/>
          <w:b/>
          <w:szCs w:val="24"/>
        </w:rPr>
        <w:t>IN THE HIGH COURT OF SOUTH AFRICA</w:t>
      </w:r>
    </w:p>
    <w:p w14:paraId="5DB9D41F" w14:textId="77777777" w:rsidR="004D75A6" w:rsidRPr="004D75A6" w:rsidRDefault="004D75A6" w:rsidP="00AC2344">
      <w:pPr>
        <w:widowControl w:val="0"/>
        <w:tabs>
          <w:tab w:val="right" w:pos="9213"/>
        </w:tabs>
        <w:spacing w:after="0" w:line="360" w:lineRule="auto"/>
        <w:jc w:val="center"/>
        <w:rPr>
          <w:rFonts w:ascii="Arial" w:hAnsi="Arial" w:cs="Arial"/>
          <w:b/>
          <w:sz w:val="24"/>
          <w:szCs w:val="24"/>
        </w:rPr>
      </w:pPr>
      <w:r w:rsidRPr="004D75A6">
        <w:rPr>
          <w:rFonts w:ascii="Arial" w:hAnsi="Arial" w:cs="Arial"/>
          <w:b/>
          <w:sz w:val="24"/>
          <w:szCs w:val="24"/>
        </w:rPr>
        <w:t xml:space="preserve">EASTERN CAPE DIVISION, </w:t>
      </w:r>
      <w:r w:rsidR="00387CA9">
        <w:rPr>
          <w:rFonts w:ascii="Arial" w:hAnsi="Arial" w:cs="Arial"/>
          <w:b/>
          <w:sz w:val="24"/>
          <w:szCs w:val="24"/>
        </w:rPr>
        <w:t>MAKHANDA</w:t>
      </w:r>
    </w:p>
    <w:p w14:paraId="3D0B94B6" w14:textId="77777777" w:rsidR="007A1247" w:rsidRDefault="007A1247" w:rsidP="00AC2344">
      <w:pPr>
        <w:widowControl w:val="0"/>
        <w:tabs>
          <w:tab w:val="right" w:pos="9213"/>
        </w:tabs>
        <w:spacing w:after="0" w:line="240" w:lineRule="auto"/>
        <w:rPr>
          <w:rFonts w:ascii="Arial" w:hAnsi="Arial" w:cs="Arial"/>
          <w:b/>
          <w:sz w:val="24"/>
          <w:szCs w:val="24"/>
        </w:rPr>
      </w:pPr>
    </w:p>
    <w:p w14:paraId="0054CFBB" w14:textId="77777777" w:rsidR="004D75A6" w:rsidRDefault="00333CA5" w:rsidP="00AC2344">
      <w:pPr>
        <w:widowControl w:val="0"/>
        <w:tabs>
          <w:tab w:val="right" w:pos="9213"/>
        </w:tabs>
        <w:spacing w:after="0" w:line="240" w:lineRule="auto"/>
        <w:rPr>
          <w:rFonts w:ascii="Arial" w:hAnsi="Arial" w:cs="Arial"/>
          <w:b/>
          <w:sz w:val="24"/>
          <w:szCs w:val="24"/>
        </w:rPr>
      </w:pPr>
      <w:r>
        <w:rPr>
          <w:rFonts w:ascii="Arial" w:hAnsi="Arial" w:cs="Arial"/>
          <w:b/>
          <w:sz w:val="24"/>
          <w:szCs w:val="24"/>
        </w:rPr>
        <w:tab/>
        <w:t>CASE NO:</w:t>
      </w:r>
      <w:r w:rsidR="003A0D81">
        <w:rPr>
          <w:rFonts w:ascii="Arial" w:hAnsi="Arial" w:cs="Arial"/>
          <w:b/>
          <w:sz w:val="24"/>
          <w:szCs w:val="24"/>
        </w:rPr>
        <w:t xml:space="preserve"> </w:t>
      </w:r>
      <w:r w:rsidR="00990241">
        <w:rPr>
          <w:rFonts w:ascii="Arial" w:hAnsi="Arial" w:cs="Arial"/>
          <w:b/>
          <w:sz w:val="24"/>
          <w:szCs w:val="24"/>
        </w:rPr>
        <w:t>703/2020</w:t>
      </w:r>
    </w:p>
    <w:p w14:paraId="50B1E298" w14:textId="77777777" w:rsidR="00AC2344" w:rsidRDefault="00AC2344" w:rsidP="00AC2344">
      <w:pPr>
        <w:widowControl w:val="0"/>
        <w:tabs>
          <w:tab w:val="right" w:pos="9213"/>
        </w:tabs>
        <w:spacing w:after="0" w:line="240" w:lineRule="auto"/>
        <w:rPr>
          <w:rFonts w:ascii="Arial" w:hAnsi="Arial" w:cs="Arial"/>
          <w:b/>
          <w:sz w:val="24"/>
          <w:szCs w:val="24"/>
        </w:rPr>
      </w:pPr>
    </w:p>
    <w:p w14:paraId="534EBAC2" w14:textId="77777777" w:rsidR="007A1247" w:rsidRDefault="007A1247" w:rsidP="00AC2344">
      <w:pPr>
        <w:widowControl w:val="0"/>
        <w:tabs>
          <w:tab w:val="right" w:pos="9213"/>
        </w:tabs>
        <w:spacing w:after="0" w:line="240" w:lineRule="auto"/>
        <w:rPr>
          <w:rFonts w:ascii="Arial" w:hAnsi="Arial" w:cs="Arial"/>
          <w:sz w:val="24"/>
          <w:szCs w:val="24"/>
        </w:rPr>
      </w:pPr>
      <w:r w:rsidRPr="007A1247">
        <w:rPr>
          <w:rFonts w:ascii="Arial" w:hAnsi="Arial" w:cs="Arial"/>
          <w:sz w:val="24"/>
          <w:szCs w:val="24"/>
        </w:rPr>
        <w:t>In the matter between:</w:t>
      </w:r>
    </w:p>
    <w:p w14:paraId="0E5F8F07" w14:textId="77777777" w:rsidR="00AC2344" w:rsidRDefault="00AC2344" w:rsidP="00AC2344">
      <w:pPr>
        <w:widowControl w:val="0"/>
        <w:tabs>
          <w:tab w:val="right" w:pos="9213"/>
        </w:tabs>
        <w:spacing w:after="0" w:line="240" w:lineRule="auto"/>
        <w:rPr>
          <w:rFonts w:ascii="Arial" w:hAnsi="Arial" w:cs="Arial"/>
          <w:sz w:val="24"/>
          <w:szCs w:val="24"/>
        </w:rPr>
      </w:pPr>
    </w:p>
    <w:p w14:paraId="02FEBE43" w14:textId="77777777" w:rsidR="007A1247" w:rsidRDefault="00990241" w:rsidP="00AC2344">
      <w:pPr>
        <w:widowControl w:val="0"/>
        <w:tabs>
          <w:tab w:val="right" w:pos="8931"/>
        </w:tabs>
        <w:spacing w:after="0" w:line="240" w:lineRule="auto"/>
        <w:rPr>
          <w:rFonts w:ascii="Arial" w:hAnsi="Arial" w:cs="Arial"/>
          <w:b/>
          <w:sz w:val="24"/>
          <w:szCs w:val="24"/>
        </w:rPr>
      </w:pPr>
      <w:r>
        <w:rPr>
          <w:rFonts w:ascii="Arial" w:hAnsi="Arial" w:cs="Arial"/>
          <w:b/>
          <w:sz w:val="24"/>
          <w:szCs w:val="24"/>
        </w:rPr>
        <w:t>ESDA PROPERTIES (PTY) LTD</w:t>
      </w:r>
      <w:r>
        <w:rPr>
          <w:rFonts w:ascii="Arial" w:hAnsi="Arial" w:cs="Arial"/>
          <w:b/>
          <w:sz w:val="24"/>
          <w:szCs w:val="24"/>
        </w:rPr>
        <w:tab/>
        <w:t>Applicant</w:t>
      </w:r>
    </w:p>
    <w:p w14:paraId="01D5C518" w14:textId="77777777" w:rsidR="008A2341" w:rsidRDefault="008A2341" w:rsidP="00AC2344">
      <w:pPr>
        <w:widowControl w:val="0"/>
        <w:tabs>
          <w:tab w:val="right" w:pos="8931"/>
        </w:tabs>
        <w:spacing w:after="0" w:line="240" w:lineRule="auto"/>
        <w:rPr>
          <w:rFonts w:ascii="Arial" w:hAnsi="Arial" w:cs="Arial"/>
          <w:b/>
          <w:sz w:val="24"/>
          <w:szCs w:val="24"/>
        </w:rPr>
      </w:pPr>
      <w:r>
        <w:rPr>
          <w:rFonts w:ascii="Arial" w:hAnsi="Arial" w:cs="Arial"/>
          <w:b/>
          <w:sz w:val="24"/>
          <w:szCs w:val="24"/>
        </w:rPr>
        <w:tab/>
        <w:t>(Defendant a quo)</w:t>
      </w:r>
    </w:p>
    <w:p w14:paraId="00F6D868" w14:textId="77777777" w:rsidR="00990241" w:rsidRDefault="00990241" w:rsidP="00AC2344">
      <w:pPr>
        <w:widowControl w:val="0"/>
        <w:tabs>
          <w:tab w:val="right" w:pos="8931"/>
        </w:tabs>
        <w:spacing w:after="0" w:line="240" w:lineRule="auto"/>
        <w:rPr>
          <w:rFonts w:ascii="Arial" w:hAnsi="Arial" w:cs="Arial"/>
          <w:b/>
          <w:sz w:val="24"/>
          <w:szCs w:val="24"/>
        </w:rPr>
      </w:pPr>
    </w:p>
    <w:p w14:paraId="18D8B81D" w14:textId="77777777" w:rsidR="007A1247" w:rsidRDefault="007A1247" w:rsidP="00AC2344">
      <w:pPr>
        <w:widowControl w:val="0"/>
        <w:tabs>
          <w:tab w:val="right" w:pos="8640"/>
        </w:tabs>
        <w:spacing w:after="0" w:line="240" w:lineRule="auto"/>
        <w:rPr>
          <w:rFonts w:ascii="Arial" w:hAnsi="Arial" w:cs="Arial"/>
          <w:sz w:val="24"/>
          <w:szCs w:val="24"/>
        </w:rPr>
      </w:pPr>
      <w:r>
        <w:rPr>
          <w:rFonts w:ascii="Arial" w:hAnsi="Arial" w:cs="Arial"/>
          <w:sz w:val="24"/>
          <w:szCs w:val="24"/>
        </w:rPr>
        <w:t>and</w:t>
      </w:r>
    </w:p>
    <w:p w14:paraId="4D1BF46F" w14:textId="77777777" w:rsidR="00AC2344" w:rsidRDefault="00AC2344" w:rsidP="00AC2344">
      <w:pPr>
        <w:widowControl w:val="0"/>
        <w:tabs>
          <w:tab w:val="right" w:pos="8931"/>
        </w:tabs>
        <w:spacing w:after="0" w:line="240" w:lineRule="auto"/>
        <w:rPr>
          <w:rFonts w:ascii="Arial" w:hAnsi="Arial" w:cs="Arial"/>
          <w:b/>
          <w:sz w:val="24"/>
          <w:szCs w:val="24"/>
        </w:rPr>
      </w:pPr>
    </w:p>
    <w:p w14:paraId="447D31EC" w14:textId="77777777" w:rsidR="00AC2344" w:rsidRDefault="00990241" w:rsidP="00AC2344">
      <w:pPr>
        <w:widowControl w:val="0"/>
        <w:tabs>
          <w:tab w:val="right" w:pos="8931"/>
        </w:tabs>
        <w:spacing w:after="0" w:line="240" w:lineRule="auto"/>
        <w:rPr>
          <w:rFonts w:ascii="Arial" w:hAnsi="Arial" w:cs="Arial"/>
          <w:b/>
          <w:sz w:val="24"/>
          <w:szCs w:val="24"/>
        </w:rPr>
      </w:pPr>
      <w:r>
        <w:rPr>
          <w:rFonts w:ascii="Arial" w:hAnsi="Arial" w:cs="Arial"/>
          <w:b/>
          <w:sz w:val="24"/>
          <w:szCs w:val="24"/>
        </w:rPr>
        <w:t>SCARTERFIELD GAME RANCH CC</w:t>
      </w:r>
      <w:r>
        <w:rPr>
          <w:rFonts w:ascii="Arial" w:hAnsi="Arial" w:cs="Arial"/>
          <w:b/>
          <w:sz w:val="24"/>
          <w:szCs w:val="24"/>
        </w:rPr>
        <w:tab/>
        <w:t>Respondent</w:t>
      </w:r>
    </w:p>
    <w:p w14:paraId="11F0FE48" w14:textId="77777777" w:rsidR="008A2341" w:rsidRDefault="008A2341" w:rsidP="00AC2344">
      <w:pPr>
        <w:widowControl w:val="0"/>
        <w:tabs>
          <w:tab w:val="right" w:pos="8931"/>
        </w:tabs>
        <w:spacing w:after="0" w:line="240" w:lineRule="auto"/>
        <w:rPr>
          <w:rFonts w:ascii="Arial" w:hAnsi="Arial" w:cs="Arial"/>
          <w:b/>
          <w:sz w:val="24"/>
          <w:szCs w:val="24"/>
        </w:rPr>
      </w:pPr>
      <w:r>
        <w:rPr>
          <w:rFonts w:ascii="Arial" w:hAnsi="Arial" w:cs="Arial"/>
          <w:b/>
          <w:sz w:val="24"/>
          <w:szCs w:val="24"/>
        </w:rPr>
        <w:tab/>
        <w:t>(Plaintiff a quo)</w:t>
      </w:r>
    </w:p>
    <w:p w14:paraId="6557D7F0" w14:textId="77777777" w:rsidR="00990241" w:rsidRPr="00AC2344" w:rsidRDefault="00990241" w:rsidP="00AC2344">
      <w:pPr>
        <w:widowControl w:val="0"/>
        <w:tabs>
          <w:tab w:val="right" w:pos="8931"/>
        </w:tabs>
        <w:spacing w:after="0" w:line="240" w:lineRule="auto"/>
        <w:rPr>
          <w:rFonts w:ascii="Arial" w:hAnsi="Arial" w:cs="Arial"/>
          <w:b/>
          <w:sz w:val="24"/>
          <w:szCs w:val="24"/>
        </w:rPr>
      </w:pPr>
    </w:p>
    <w:p w14:paraId="7603EC79" w14:textId="77777777" w:rsidR="00846A6C" w:rsidRPr="00AC2344" w:rsidRDefault="00846A6C" w:rsidP="00AC2344">
      <w:pPr>
        <w:spacing w:after="0" w:line="240" w:lineRule="auto"/>
        <w:rPr>
          <w:rFonts w:ascii="Arial" w:hAnsi="Arial" w:cs="Arial"/>
          <w:b/>
          <w:sz w:val="24"/>
          <w:szCs w:val="24"/>
        </w:rPr>
      </w:pPr>
      <w:r w:rsidRPr="00AC2344">
        <w:rPr>
          <w:rFonts w:ascii="Arial" w:hAnsi="Arial" w:cs="Arial"/>
          <w:b/>
          <w:sz w:val="24"/>
          <w:szCs w:val="24"/>
        </w:rPr>
        <w:t>___________________________________________________________________</w:t>
      </w:r>
    </w:p>
    <w:p w14:paraId="0F93D971" w14:textId="77777777" w:rsidR="00AC2344" w:rsidRDefault="00AC2344" w:rsidP="00AC2344">
      <w:pPr>
        <w:pBdr>
          <w:bottom w:val="single" w:sz="12" w:space="1" w:color="auto"/>
        </w:pBdr>
        <w:spacing w:after="0" w:line="240" w:lineRule="auto"/>
        <w:jc w:val="center"/>
        <w:rPr>
          <w:rFonts w:ascii="Arial" w:hAnsi="Arial" w:cs="Arial"/>
          <w:b/>
          <w:bCs/>
          <w:sz w:val="24"/>
          <w:szCs w:val="24"/>
        </w:rPr>
      </w:pPr>
    </w:p>
    <w:p w14:paraId="360984B7" w14:textId="77777777" w:rsidR="00846A6C" w:rsidRDefault="00846A6C" w:rsidP="00AC2344">
      <w:pPr>
        <w:pBdr>
          <w:bottom w:val="single" w:sz="12" w:space="1" w:color="auto"/>
        </w:pBdr>
        <w:spacing w:after="0" w:line="240" w:lineRule="auto"/>
        <w:jc w:val="center"/>
        <w:rPr>
          <w:rFonts w:ascii="Arial" w:hAnsi="Arial" w:cs="Arial"/>
          <w:b/>
          <w:bCs/>
          <w:sz w:val="24"/>
          <w:szCs w:val="24"/>
        </w:rPr>
      </w:pPr>
      <w:r w:rsidRPr="00667CFC">
        <w:rPr>
          <w:rFonts w:ascii="Arial" w:hAnsi="Arial" w:cs="Arial"/>
          <w:b/>
          <w:bCs/>
          <w:sz w:val="24"/>
          <w:szCs w:val="24"/>
        </w:rPr>
        <w:t>JUDGMENT</w:t>
      </w:r>
      <w:r w:rsidR="00990241">
        <w:rPr>
          <w:rFonts w:ascii="Arial" w:hAnsi="Arial" w:cs="Arial"/>
          <w:b/>
          <w:bCs/>
          <w:sz w:val="24"/>
          <w:szCs w:val="24"/>
        </w:rPr>
        <w:t>: APPLICANT’S RE</w:t>
      </w:r>
      <w:r w:rsidR="005A6CFA">
        <w:rPr>
          <w:rFonts w:ascii="Arial" w:hAnsi="Arial" w:cs="Arial"/>
          <w:b/>
          <w:bCs/>
          <w:sz w:val="24"/>
          <w:szCs w:val="24"/>
        </w:rPr>
        <w:t>S</w:t>
      </w:r>
      <w:r w:rsidR="00990241">
        <w:rPr>
          <w:rFonts w:ascii="Arial" w:hAnsi="Arial" w:cs="Arial"/>
          <w:b/>
          <w:bCs/>
          <w:sz w:val="24"/>
          <w:szCs w:val="24"/>
        </w:rPr>
        <w:t>CISSION APPLICATION</w:t>
      </w:r>
    </w:p>
    <w:p w14:paraId="263530F5" w14:textId="77777777" w:rsidR="00AC2344" w:rsidRPr="00667CFC" w:rsidRDefault="00AC2344" w:rsidP="00AC2344">
      <w:pPr>
        <w:pBdr>
          <w:bottom w:val="single" w:sz="12" w:space="1" w:color="auto"/>
        </w:pBdr>
        <w:spacing w:after="0" w:line="240" w:lineRule="auto"/>
        <w:jc w:val="center"/>
        <w:rPr>
          <w:rFonts w:ascii="Arial" w:hAnsi="Arial" w:cs="Arial"/>
          <w:b/>
          <w:bCs/>
          <w:sz w:val="24"/>
          <w:szCs w:val="24"/>
        </w:rPr>
      </w:pPr>
    </w:p>
    <w:p w14:paraId="61A3DDA0" w14:textId="77777777" w:rsidR="00FD558A" w:rsidRDefault="00FD558A" w:rsidP="00AC2344">
      <w:pPr>
        <w:spacing w:after="0" w:line="240" w:lineRule="auto"/>
        <w:rPr>
          <w:rFonts w:ascii="Arial" w:hAnsi="Arial" w:cs="Arial"/>
          <w:sz w:val="24"/>
          <w:szCs w:val="24"/>
        </w:rPr>
      </w:pPr>
    </w:p>
    <w:p w14:paraId="667A2CEC" w14:textId="77777777" w:rsidR="00FD558A" w:rsidRPr="00AC2344" w:rsidRDefault="00623F36" w:rsidP="00623F36">
      <w:pPr>
        <w:spacing w:after="0" w:line="480" w:lineRule="auto"/>
        <w:jc w:val="both"/>
        <w:rPr>
          <w:rFonts w:ascii="Arial" w:hAnsi="Arial" w:cs="Arial"/>
          <w:b/>
          <w:sz w:val="24"/>
          <w:szCs w:val="24"/>
          <w:u w:val="single"/>
        </w:rPr>
      </w:pPr>
      <w:r>
        <w:rPr>
          <w:rFonts w:ascii="Arial" w:hAnsi="Arial" w:cs="Arial"/>
          <w:b/>
          <w:sz w:val="24"/>
          <w:szCs w:val="24"/>
          <w:u w:val="single"/>
        </w:rPr>
        <w:t>LOWE</w:t>
      </w:r>
      <w:r w:rsidR="00AC2344" w:rsidRPr="00AC2344">
        <w:rPr>
          <w:rFonts w:ascii="Arial" w:hAnsi="Arial" w:cs="Arial"/>
          <w:b/>
          <w:sz w:val="24"/>
          <w:szCs w:val="24"/>
          <w:u w:val="single"/>
        </w:rPr>
        <w:t xml:space="preserve"> J</w:t>
      </w:r>
    </w:p>
    <w:p w14:paraId="781A45DA" w14:textId="77777777" w:rsidR="00FD558A" w:rsidRDefault="00FD558A" w:rsidP="00AC2344">
      <w:pPr>
        <w:spacing w:after="0" w:line="240" w:lineRule="auto"/>
        <w:rPr>
          <w:rFonts w:ascii="Arial" w:hAnsi="Arial" w:cs="Arial"/>
          <w:sz w:val="24"/>
          <w:szCs w:val="24"/>
        </w:rPr>
      </w:pPr>
    </w:p>
    <w:p w14:paraId="22F6C085" w14:textId="77777777" w:rsidR="00990241" w:rsidRPr="00990241" w:rsidRDefault="0019620E" w:rsidP="00990241">
      <w:pPr>
        <w:spacing w:after="0" w:line="240" w:lineRule="auto"/>
        <w:rPr>
          <w:rFonts w:ascii="Arial" w:hAnsi="Arial" w:cs="Arial"/>
          <w:b/>
          <w:sz w:val="24"/>
          <w:szCs w:val="24"/>
        </w:rPr>
      </w:pPr>
      <w:r w:rsidRPr="00990241">
        <w:rPr>
          <w:rFonts w:ascii="Arial" w:hAnsi="Arial" w:cs="Arial"/>
          <w:b/>
          <w:sz w:val="24"/>
          <w:szCs w:val="24"/>
          <w:u w:val="single"/>
        </w:rPr>
        <w:t>INTRODUCTION</w:t>
      </w:r>
    </w:p>
    <w:p w14:paraId="6F447FC3" w14:textId="77777777" w:rsidR="00990241" w:rsidRDefault="00990241" w:rsidP="00990241">
      <w:pPr>
        <w:spacing w:after="0" w:line="240" w:lineRule="auto"/>
        <w:rPr>
          <w:rFonts w:ascii="Arial" w:hAnsi="Arial" w:cs="Arial"/>
          <w:sz w:val="24"/>
          <w:szCs w:val="24"/>
        </w:rPr>
      </w:pPr>
    </w:p>
    <w:p w14:paraId="31E646B0" w14:textId="16BFE433" w:rsidR="00B75EE7" w:rsidRPr="0091780F" w:rsidRDefault="0091780F" w:rsidP="0091780F">
      <w:pPr>
        <w:spacing w:after="0" w:line="480" w:lineRule="auto"/>
        <w:ind w:left="720" w:hanging="720"/>
        <w:jc w:val="both"/>
        <w:rPr>
          <w:rFonts w:ascii="Arial" w:hAnsi="Arial" w:cs="Arial"/>
          <w:sz w:val="24"/>
          <w:szCs w:val="24"/>
          <w:u w:val="single"/>
        </w:rPr>
      </w:pPr>
      <w:r w:rsidRPr="005F00AF">
        <w:rPr>
          <w:rFonts w:ascii="Arial" w:hAnsi="Arial" w:cs="Arial"/>
          <w:sz w:val="24"/>
          <w:szCs w:val="24"/>
        </w:rPr>
        <w:t>1.</w:t>
      </w:r>
      <w:r w:rsidRPr="005F00AF">
        <w:rPr>
          <w:rFonts w:ascii="Arial" w:hAnsi="Arial" w:cs="Arial"/>
          <w:sz w:val="24"/>
          <w:szCs w:val="24"/>
        </w:rPr>
        <w:tab/>
      </w:r>
      <w:r w:rsidR="00990241" w:rsidRPr="0091780F">
        <w:rPr>
          <w:rFonts w:ascii="Arial" w:hAnsi="Arial" w:cs="Arial"/>
          <w:sz w:val="24"/>
          <w:szCs w:val="24"/>
        </w:rPr>
        <w:t xml:space="preserve">This is a rescission application in which applicant (defendant </w:t>
      </w:r>
      <w:r w:rsidR="00990241" w:rsidRPr="0091780F">
        <w:rPr>
          <w:rFonts w:ascii="Arial" w:hAnsi="Arial" w:cs="Arial"/>
          <w:i/>
          <w:sz w:val="24"/>
          <w:szCs w:val="24"/>
        </w:rPr>
        <w:t>a quo</w:t>
      </w:r>
      <w:r w:rsidR="00990241" w:rsidRPr="0091780F">
        <w:rPr>
          <w:rFonts w:ascii="Arial" w:hAnsi="Arial" w:cs="Arial"/>
          <w:sz w:val="24"/>
          <w:szCs w:val="24"/>
        </w:rPr>
        <w:t>) seeks to rescind the judgment and order of this cour</w:t>
      </w:r>
      <w:r w:rsidR="005F00AF" w:rsidRPr="0091780F">
        <w:rPr>
          <w:rFonts w:ascii="Arial" w:hAnsi="Arial" w:cs="Arial"/>
          <w:sz w:val="24"/>
          <w:szCs w:val="24"/>
        </w:rPr>
        <w:t>t given on 22</w:t>
      </w:r>
      <w:r w:rsidR="00F3527A" w:rsidRPr="0091780F">
        <w:rPr>
          <w:rFonts w:ascii="Arial" w:hAnsi="Arial" w:cs="Arial"/>
          <w:sz w:val="24"/>
          <w:szCs w:val="24"/>
        </w:rPr>
        <w:t> N</w:t>
      </w:r>
      <w:r w:rsidR="005F00AF" w:rsidRPr="0091780F">
        <w:rPr>
          <w:rFonts w:ascii="Arial" w:hAnsi="Arial" w:cs="Arial"/>
          <w:sz w:val="24"/>
          <w:szCs w:val="24"/>
        </w:rPr>
        <w:t>ovember</w:t>
      </w:r>
      <w:r w:rsidR="00F3527A" w:rsidRPr="0091780F">
        <w:rPr>
          <w:rFonts w:ascii="Arial" w:hAnsi="Arial" w:cs="Arial"/>
          <w:sz w:val="24"/>
          <w:szCs w:val="24"/>
        </w:rPr>
        <w:t> </w:t>
      </w:r>
      <w:r w:rsidR="005F00AF" w:rsidRPr="0091780F">
        <w:rPr>
          <w:rFonts w:ascii="Arial" w:hAnsi="Arial" w:cs="Arial"/>
          <w:sz w:val="24"/>
          <w:szCs w:val="24"/>
        </w:rPr>
        <w:t>2021</w:t>
      </w:r>
      <w:r w:rsidR="00E037EC" w:rsidRPr="0091780F">
        <w:rPr>
          <w:rFonts w:ascii="Arial" w:hAnsi="Arial" w:cs="Arial"/>
          <w:sz w:val="24"/>
          <w:szCs w:val="24"/>
        </w:rPr>
        <w:t>,</w:t>
      </w:r>
      <w:r w:rsidR="005F00AF" w:rsidRPr="0091780F">
        <w:rPr>
          <w:rFonts w:ascii="Arial" w:hAnsi="Arial" w:cs="Arial"/>
          <w:sz w:val="24"/>
          <w:szCs w:val="24"/>
        </w:rPr>
        <w:t xml:space="preserve"> that judgment having been given in default of applicant’s appearance, and in favour of respondent in this matter</w:t>
      </w:r>
      <w:r w:rsidR="008A2341" w:rsidRPr="0091780F">
        <w:rPr>
          <w:rFonts w:ascii="Arial" w:hAnsi="Arial" w:cs="Arial"/>
          <w:sz w:val="24"/>
          <w:szCs w:val="24"/>
        </w:rPr>
        <w:t xml:space="preserve"> (</w:t>
      </w:r>
      <w:r w:rsidR="005F00AF" w:rsidRPr="0091780F">
        <w:rPr>
          <w:rFonts w:ascii="Arial" w:hAnsi="Arial" w:cs="Arial"/>
          <w:sz w:val="24"/>
          <w:szCs w:val="24"/>
        </w:rPr>
        <w:t>plaintiff a quo</w:t>
      </w:r>
      <w:r w:rsidR="008A2341" w:rsidRPr="0091780F">
        <w:rPr>
          <w:rFonts w:ascii="Arial" w:hAnsi="Arial" w:cs="Arial"/>
          <w:sz w:val="24"/>
          <w:szCs w:val="24"/>
        </w:rPr>
        <w:t>)</w:t>
      </w:r>
      <w:r w:rsidR="005F00AF" w:rsidRPr="0091780F">
        <w:rPr>
          <w:rFonts w:ascii="Arial" w:hAnsi="Arial" w:cs="Arial"/>
          <w:sz w:val="24"/>
          <w:szCs w:val="24"/>
        </w:rPr>
        <w:t xml:space="preserve">.  </w:t>
      </w:r>
    </w:p>
    <w:p w14:paraId="6A32A8AC" w14:textId="77777777" w:rsidR="005F00AF" w:rsidRPr="00F3527A" w:rsidRDefault="005F00AF" w:rsidP="005F00AF">
      <w:pPr>
        <w:pStyle w:val="ListParagraph"/>
        <w:spacing w:after="0" w:line="480" w:lineRule="auto"/>
        <w:jc w:val="both"/>
        <w:rPr>
          <w:rFonts w:ascii="Arial" w:hAnsi="Arial" w:cs="Arial"/>
          <w:sz w:val="24"/>
          <w:szCs w:val="24"/>
        </w:rPr>
      </w:pPr>
    </w:p>
    <w:p w14:paraId="347DCD6A" w14:textId="22B96F91" w:rsidR="005F00AF" w:rsidRPr="0091780F" w:rsidRDefault="0091780F" w:rsidP="0091780F">
      <w:pPr>
        <w:spacing w:after="0" w:line="480" w:lineRule="auto"/>
        <w:ind w:left="720" w:hanging="720"/>
        <w:jc w:val="both"/>
        <w:rPr>
          <w:rFonts w:ascii="Arial" w:hAnsi="Arial" w:cs="Arial"/>
          <w:sz w:val="24"/>
          <w:szCs w:val="24"/>
          <w:u w:val="single"/>
        </w:rPr>
      </w:pPr>
      <w:r w:rsidRPr="005F00AF">
        <w:rPr>
          <w:rFonts w:ascii="Arial" w:hAnsi="Arial" w:cs="Arial"/>
          <w:sz w:val="24"/>
          <w:szCs w:val="24"/>
        </w:rPr>
        <w:t>2.</w:t>
      </w:r>
      <w:r w:rsidRPr="005F00AF">
        <w:rPr>
          <w:rFonts w:ascii="Arial" w:hAnsi="Arial" w:cs="Arial"/>
          <w:sz w:val="24"/>
          <w:szCs w:val="24"/>
        </w:rPr>
        <w:tab/>
      </w:r>
      <w:r w:rsidR="005F00AF" w:rsidRPr="0091780F">
        <w:rPr>
          <w:rFonts w:ascii="Arial" w:hAnsi="Arial" w:cs="Arial"/>
          <w:sz w:val="24"/>
          <w:szCs w:val="24"/>
        </w:rPr>
        <w:t xml:space="preserve">The papers in the </w:t>
      </w:r>
      <w:r w:rsidR="00F3527A" w:rsidRPr="0091780F">
        <w:rPr>
          <w:rFonts w:ascii="Arial" w:hAnsi="Arial" w:cs="Arial"/>
          <w:sz w:val="24"/>
          <w:szCs w:val="24"/>
        </w:rPr>
        <w:t>rescission</w:t>
      </w:r>
      <w:r w:rsidR="005F00AF" w:rsidRPr="0091780F">
        <w:rPr>
          <w:rFonts w:ascii="Arial" w:hAnsi="Arial" w:cs="Arial"/>
          <w:sz w:val="24"/>
          <w:szCs w:val="24"/>
        </w:rPr>
        <w:t xml:space="preserve"> application are lengthy</w:t>
      </w:r>
      <w:r w:rsidR="008A2341" w:rsidRPr="0091780F">
        <w:rPr>
          <w:rFonts w:ascii="Arial" w:hAnsi="Arial" w:cs="Arial"/>
          <w:sz w:val="24"/>
          <w:szCs w:val="24"/>
        </w:rPr>
        <w:t>,</w:t>
      </w:r>
      <w:r w:rsidR="005F00AF" w:rsidRPr="0091780F">
        <w:rPr>
          <w:rFonts w:ascii="Arial" w:hAnsi="Arial" w:cs="Arial"/>
          <w:sz w:val="24"/>
          <w:szCs w:val="24"/>
        </w:rPr>
        <w:t xml:space="preserve"> some 255 pages</w:t>
      </w:r>
      <w:r w:rsidR="008A2341" w:rsidRPr="0091780F">
        <w:rPr>
          <w:rFonts w:ascii="Arial" w:hAnsi="Arial" w:cs="Arial"/>
          <w:sz w:val="24"/>
          <w:szCs w:val="24"/>
        </w:rPr>
        <w:t>,</w:t>
      </w:r>
      <w:r w:rsidR="005F00AF" w:rsidRPr="0091780F">
        <w:rPr>
          <w:rFonts w:ascii="Arial" w:hAnsi="Arial" w:cs="Arial"/>
          <w:sz w:val="24"/>
          <w:szCs w:val="24"/>
        </w:rPr>
        <w:t xml:space="preserve"> and the matter was </w:t>
      </w:r>
      <w:r w:rsidR="00F3527A" w:rsidRPr="0091780F">
        <w:rPr>
          <w:rFonts w:ascii="Arial" w:hAnsi="Arial" w:cs="Arial"/>
          <w:sz w:val="24"/>
          <w:szCs w:val="24"/>
        </w:rPr>
        <w:t>vigorously</w:t>
      </w:r>
      <w:r w:rsidR="005F00AF" w:rsidRPr="0091780F">
        <w:rPr>
          <w:rFonts w:ascii="Arial" w:hAnsi="Arial" w:cs="Arial"/>
          <w:sz w:val="24"/>
          <w:szCs w:val="24"/>
        </w:rPr>
        <w:t xml:space="preserve"> argued for both to say the least.</w:t>
      </w:r>
    </w:p>
    <w:p w14:paraId="593E29CF" w14:textId="77777777" w:rsidR="005F00AF" w:rsidRPr="005F00AF" w:rsidRDefault="005F00AF" w:rsidP="005F00AF">
      <w:pPr>
        <w:pStyle w:val="ListParagraph"/>
        <w:rPr>
          <w:rFonts w:ascii="Arial" w:hAnsi="Arial" w:cs="Arial"/>
          <w:sz w:val="24"/>
          <w:szCs w:val="24"/>
          <w:u w:val="single"/>
        </w:rPr>
      </w:pPr>
    </w:p>
    <w:p w14:paraId="40D6BCEC" w14:textId="268FAB0A" w:rsidR="005F00AF" w:rsidRPr="0091780F" w:rsidRDefault="0091780F" w:rsidP="0091780F">
      <w:pPr>
        <w:spacing w:after="0" w:line="480" w:lineRule="auto"/>
        <w:ind w:left="720" w:hanging="720"/>
        <w:jc w:val="both"/>
        <w:rPr>
          <w:rFonts w:ascii="Arial" w:hAnsi="Arial" w:cs="Arial"/>
          <w:sz w:val="24"/>
          <w:szCs w:val="24"/>
          <w:u w:val="single"/>
        </w:rPr>
      </w:pPr>
      <w:r w:rsidRPr="005F00AF">
        <w:rPr>
          <w:rFonts w:ascii="Arial" w:hAnsi="Arial" w:cs="Arial"/>
          <w:sz w:val="24"/>
          <w:szCs w:val="24"/>
        </w:rPr>
        <w:t>3.</w:t>
      </w:r>
      <w:r w:rsidRPr="005F00AF">
        <w:rPr>
          <w:rFonts w:ascii="Arial" w:hAnsi="Arial" w:cs="Arial"/>
          <w:sz w:val="24"/>
          <w:szCs w:val="24"/>
        </w:rPr>
        <w:tab/>
      </w:r>
      <w:r w:rsidR="005F00AF" w:rsidRPr="0091780F">
        <w:rPr>
          <w:rFonts w:ascii="Arial" w:hAnsi="Arial" w:cs="Arial"/>
          <w:sz w:val="24"/>
          <w:szCs w:val="24"/>
        </w:rPr>
        <w:t xml:space="preserve">Whilst the notice of motion did not indicate whether this rescission was sought in terms of the Rules or the common </w:t>
      </w:r>
      <w:r w:rsidR="00F3527A" w:rsidRPr="0091780F">
        <w:rPr>
          <w:rFonts w:ascii="Arial" w:hAnsi="Arial" w:cs="Arial"/>
          <w:sz w:val="24"/>
          <w:szCs w:val="24"/>
        </w:rPr>
        <w:t>law</w:t>
      </w:r>
      <w:r w:rsidR="005F00AF" w:rsidRPr="0091780F">
        <w:rPr>
          <w:rFonts w:ascii="Arial" w:hAnsi="Arial" w:cs="Arial"/>
          <w:sz w:val="24"/>
          <w:szCs w:val="24"/>
        </w:rPr>
        <w:t xml:space="preserve">, in argument it was urged upon me that the application was brought either in terms of the common </w:t>
      </w:r>
      <w:r w:rsidR="00F3527A" w:rsidRPr="0091780F">
        <w:rPr>
          <w:rFonts w:ascii="Arial" w:hAnsi="Arial" w:cs="Arial"/>
          <w:sz w:val="24"/>
          <w:szCs w:val="24"/>
        </w:rPr>
        <w:t>law</w:t>
      </w:r>
      <w:r w:rsidR="005F00AF" w:rsidRPr="0091780F">
        <w:rPr>
          <w:rFonts w:ascii="Arial" w:hAnsi="Arial" w:cs="Arial"/>
          <w:sz w:val="24"/>
          <w:szCs w:val="24"/>
        </w:rPr>
        <w:t xml:space="preserve"> and</w:t>
      </w:r>
      <w:r w:rsidR="00F3527A" w:rsidRPr="0091780F">
        <w:rPr>
          <w:rFonts w:ascii="Arial" w:hAnsi="Arial" w:cs="Arial"/>
          <w:sz w:val="24"/>
          <w:szCs w:val="24"/>
        </w:rPr>
        <w:t>/</w:t>
      </w:r>
      <w:r w:rsidR="005F00AF" w:rsidRPr="0091780F">
        <w:rPr>
          <w:rFonts w:ascii="Arial" w:hAnsi="Arial" w:cs="Arial"/>
          <w:sz w:val="24"/>
          <w:szCs w:val="24"/>
        </w:rPr>
        <w:t xml:space="preserve">or </w:t>
      </w:r>
      <w:r w:rsidR="002E6D3B" w:rsidRPr="0091780F">
        <w:rPr>
          <w:rFonts w:ascii="Arial" w:hAnsi="Arial" w:cs="Arial"/>
          <w:sz w:val="24"/>
          <w:szCs w:val="24"/>
        </w:rPr>
        <w:lastRenderedPageBreak/>
        <w:t>U</w:t>
      </w:r>
      <w:r w:rsidR="005F00AF" w:rsidRPr="0091780F">
        <w:rPr>
          <w:rFonts w:ascii="Arial" w:hAnsi="Arial" w:cs="Arial"/>
          <w:sz w:val="24"/>
          <w:szCs w:val="24"/>
        </w:rPr>
        <w:t>niform Rule 42(1)</w:t>
      </w:r>
      <w:r w:rsidR="002E6D3B" w:rsidRPr="0091780F">
        <w:rPr>
          <w:rFonts w:ascii="Arial" w:hAnsi="Arial" w:cs="Arial"/>
          <w:sz w:val="24"/>
          <w:szCs w:val="24"/>
        </w:rPr>
        <w:t>(</w:t>
      </w:r>
      <w:r w:rsidR="005F00AF" w:rsidRPr="0091780F">
        <w:rPr>
          <w:rFonts w:ascii="Arial" w:hAnsi="Arial" w:cs="Arial"/>
          <w:sz w:val="24"/>
          <w:szCs w:val="24"/>
        </w:rPr>
        <w:t xml:space="preserve">a), the reliance on the Rule was </w:t>
      </w:r>
      <w:r w:rsidR="008A2341" w:rsidRPr="0091780F">
        <w:rPr>
          <w:rFonts w:ascii="Arial" w:hAnsi="Arial" w:cs="Arial"/>
          <w:sz w:val="24"/>
          <w:szCs w:val="24"/>
        </w:rPr>
        <w:t xml:space="preserve">said to be </w:t>
      </w:r>
      <w:r w:rsidR="005F00AF" w:rsidRPr="0091780F">
        <w:rPr>
          <w:rFonts w:ascii="Arial" w:hAnsi="Arial" w:cs="Arial"/>
          <w:sz w:val="24"/>
          <w:szCs w:val="24"/>
        </w:rPr>
        <w:t>superfluous</w:t>
      </w:r>
      <w:r w:rsidR="008A2341" w:rsidRPr="0091780F">
        <w:rPr>
          <w:rFonts w:ascii="Arial" w:hAnsi="Arial" w:cs="Arial"/>
          <w:sz w:val="24"/>
          <w:szCs w:val="24"/>
        </w:rPr>
        <w:t xml:space="preserve"> however</w:t>
      </w:r>
      <w:r w:rsidR="005F00AF" w:rsidRPr="0091780F">
        <w:rPr>
          <w:rFonts w:ascii="Arial" w:hAnsi="Arial" w:cs="Arial"/>
          <w:sz w:val="24"/>
          <w:szCs w:val="24"/>
        </w:rPr>
        <w:t xml:space="preserve">.  </w:t>
      </w:r>
    </w:p>
    <w:p w14:paraId="091A7198" w14:textId="77777777" w:rsidR="005F00AF" w:rsidRPr="005F00AF" w:rsidRDefault="005F00AF" w:rsidP="005F00AF">
      <w:pPr>
        <w:pStyle w:val="ListParagraph"/>
        <w:rPr>
          <w:rFonts w:ascii="Arial" w:hAnsi="Arial" w:cs="Arial"/>
          <w:sz w:val="24"/>
          <w:szCs w:val="24"/>
          <w:u w:val="single"/>
        </w:rPr>
      </w:pPr>
    </w:p>
    <w:p w14:paraId="56848F1D" w14:textId="29F7C0DD" w:rsidR="005F00AF" w:rsidRPr="0091780F" w:rsidRDefault="0091780F" w:rsidP="0091780F">
      <w:pPr>
        <w:spacing w:after="0" w:line="480" w:lineRule="auto"/>
        <w:ind w:left="720" w:hanging="720"/>
        <w:jc w:val="both"/>
        <w:rPr>
          <w:rFonts w:ascii="Arial" w:hAnsi="Arial" w:cs="Arial"/>
          <w:sz w:val="24"/>
          <w:szCs w:val="24"/>
          <w:u w:val="single"/>
        </w:rPr>
      </w:pPr>
      <w:r w:rsidRPr="005F00AF">
        <w:rPr>
          <w:rFonts w:ascii="Arial" w:hAnsi="Arial" w:cs="Arial"/>
          <w:sz w:val="24"/>
          <w:szCs w:val="24"/>
        </w:rPr>
        <w:t>4.</w:t>
      </w:r>
      <w:r w:rsidRPr="005F00AF">
        <w:rPr>
          <w:rFonts w:ascii="Arial" w:hAnsi="Arial" w:cs="Arial"/>
          <w:sz w:val="24"/>
          <w:szCs w:val="24"/>
        </w:rPr>
        <w:tab/>
      </w:r>
      <w:r w:rsidR="005F00AF" w:rsidRPr="0091780F">
        <w:rPr>
          <w:rFonts w:ascii="Arial" w:hAnsi="Arial" w:cs="Arial"/>
          <w:sz w:val="24"/>
          <w:szCs w:val="24"/>
        </w:rPr>
        <w:t xml:space="preserve">I will nevertheless deal with both </w:t>
      </w:r>
      <w:r w:rsidR="00F3527A" w:rsidRPr="0091780F">
        <w:rPr>
          <w:rFonts w:ascii="Arial" w:hAnsi="Arial" w:cs="Arial"/>
          <w:sz w:val="24"/>
          <w:szCs w:val="24"/>
        </w:rPr>
        <w:t>bases</w:t>
      </w:r>
      <w:r w:rsidR="005F00AF" w:rsidRPr="0091780F">
        <w:rPr>
          <w:rFonts w:ascii="Arial" w:hAnsi="Arial" w:cs="Arial"/>
          <w:sz w:val="24"/>
          <w:szCs w:val="24"/>
        </w:rPr>
        <w:t xml:space="preserve"> for the application insofar as may be necessary.  </w:t>
      </w:r>
    </w:p>
    <w:p w14:paraId="36731C89" w14:textId="77777777" w:rsidR="005F00AF" w:rsidRPr="005F00AF" w:rsidRDefault="005F00AF" w:rsidP="005F00AF">
      <w:pPr>
        <w:pStyle w:val="ListParagraph"/>
        <w:rPr>
          <w:rFonts w:ascii="Arial" w:hAnsi="Arial" w:cs="Arial"/>
          <w:sz w:val="24"/>
          <w:szCs w:val="24"/>
          <w:u w:val="single"/>
        </w:rPr>
      </w:pPr>
    </w:p>
    <w:p w14:paraId="791A74CE" w14:textId="50394C3F" w:rsidR="00F3527A" w:rsidRPr="0091780F" w:rsidRDefault="0091780F" w:rsidP="0091780F">
      <w:pPr>
        <w:spacing w:after="0" w:line="480" w:lineRule="auto"/>
        <w:ind w:left="720" w:hanging="720"/>
        <w:jc w:val="both"/>
        <w:rPr>
          <w:rFonts w:ascii="Arial" w:hAnsi="Arial" w:cs="Arial"/>
          <w:sz w:val="24"/>
          <w:szCs w:val="24"/>
          <w:u w:val="single"/>
        </w:rPr>
      </w:pPr>
      <w:r w:rsidRPr="00F3527A">
        <w:rPr>
          <w:rFonts w:ascii="Arial" w:hAnsi="Arial" w:cs="Arial"/>
          <w:sz w:val="24"/>
          <w:szCs w:val="24"/>
        </w:rPr>
        <w:t>5.</w:t>
      </w:r>
      <w:r w:rsidRPr="00F3527A">
        <w:rPr>
          <w:rFonts w:ascii="Arial" w:hAnsi="Arial" w:cs="Arial"/>
          <w:sz w:val="24"/>
          <w:szCs w:val="24"/>
        </w:rPr>
        <w:tab/>
      </w:r>
      <w:r w:rsidR="005F00AF" w:rsidRPr="0091780F">
        <w:rPr>
          <w:rFonts w:ascii="Arial" w:hAnsi="Arial" w:cs="Arial"/>
          <w:sz w:val="24"/>
          <w:szCs w:val="24"/>
        </w:rPr>
        <w:t>It should be set out that the action by respondent against applicant has its origin in a written agreement of sale in terms o</w:t>
      </w:r>
      <w:r w:rsidR="00F3527A" w:rsidRPr="0091780F">
        <w:rPr>
          <w:rFonts w:ascii="Arial" w:hAnsi="Arial" w:cs="Arial"/>
          <w:sz w:val="24"/>
          <w:szCs w:val="24"/>
        </w:rPr>
        <w:t>f which the property</w:t>
      </w:r>
      <w:r w:rsidR="005A6CFA" w:rsidRPr="0091780F">
        <w:rPr>
          <w:rFonts w:ascii="Arial" w:hAnsi="Arial" w:cs="Arial"/>
          <w:sz w:val="24"/>
          <w:szCs w:val="24"/>
        </w:rPr>
        <w:t>,</w:t>
      </w:r>
      <w:r w:rsidR="00F3527A" w:rsidRPr="0091780F">
        <w:rPr>
          <w:rFonts w:ascii="Arial" w:hAnsi="Arial" w:cs="Arial"/>
          <w:sz w:val="24"/>
          <w:szCs w:val="24"/>
        </w:rPr>
        <w:t xml:space="preserve"> Fairfax Fa</w:t>
      </w:r>
      <w:r w:rsidR="005F00AF" w:rsidRPr="0091780F">
        <w:rPr>
          <w:rFonts w:ascii="Arial" w:hAnsi="Arial" w:cs="Arial"/>
          <w:sz w:val="24"/>
          <w:szCs w:val="24"/>
        </w:rPr>
        <w:t>r</w:t>
      </w:r>
      <w:r w:rsidR="00F3527A" w:rsidRPr="0091780F">
        <w:rPr>
          <w:rFonts w:ascii="Arial" w:hAnsi="Arial" w:cs="Arial"/>
          <w:sz w:val="24"/>
          <w:szCs w:val="24"/>
        </w:rPr>
        <w:t>m</w:t>
      </w:r>
      <w:r w:rsidR="005F00AF" w:rsidRPr="0091780F">
        <w:rPr>
          <w:rFonts w:ascii="Arial" w:hAnsi="Arial" w:cs="Arial"/>
          <w:sz w:val="24"/>
          <w:szCs w:val="24"/>
        </w:rPr>
        <w:t xml:space="preserve"> no</w:t>
      </w:r>
      <w:r w:rsidR="00F3527A" w:rsidRPr="0091780F">
        <w:rPr>
          <w:rFonts w:ascii="Arial" w:hAnsi="Arial" w:cs="Arial"/>
          <w:sz w:val="24"/>
          <w:szCs w:val="24"/>
        </w:rPr>
        <w:t> </w:t>
      </w:r>
      <w:r w:rsidR="005F00AF" w:rsidRPr="0091780F">
        <w:rPr>
          <w:rFonts w:ascii="Arial" w:hAnsi="Arial" w:cs="Arial"/>
          <w:sz w:val="24"/>
          <w:szCs w:val="24"/>
        </w:rPr>
        <w:t>340</w:t>
      </w:r>
      <w:r w:rsidR="005A6CFA" w:rsidRPr="0091780F">
        <w:rPr>
          <w:rFonts w:ascii="Arial" w:hAnsi="Arial" w:cs="Arial"/>
          <w:sz w:val="24"/>
          <w:szCs w:val="24"/>
        </w:rPr>
        <w:t>,</w:t>
      </w:r>
      <w:r w:rsidR="005F00AF" w:rsidRPr="0091780F">
        <w:rPr>
          <w:rFonts w:ascii="Arial" w:hAnsi="Arial" w:cs="Arial"/>
          <w:sz w:val="24"/>
          <w:szCs w:val="24"/>
        </w:rPr>
        <w:t xml:space="preserve"> was sold by respondent to applicant for a purchase price of R12 million, the deed of sale dated in October 2019.</w:t>
      </w:r>
      <w:r w:rsidR="00F3527A" w:rsidRPr="0091780F">
        <w:rPr>
          <w:rFonts w:ascii="Arial" w:hAnsi="Arial" w:cs="Arial"/>
          <w:sz w:val="24"/>
          <w:szCs w:val="24"/>
        </w:rPr>
        <w:t xml:space="preserve">  </w:t>
      </w:r>
    </w:p>
    <w:p w14:paraId="06FFF628" w14:textId="77777777" w:rsidR="00F3527A" w:rsidRPr="00F3527A" w:rsidRDefault="00F3527A" w:rsidP="00F3527A">
      <w:pPr>
        <w:pStyle w:val="ListParagraph"/>
        <w:rPr>
          <w:rFonts w:ascii="Arial" w:hAnsi="Arial" w:cs="Arial"/>
          <w:sz w:val="24"/>
          <w:szCs w:val="24"/>
        </w:rPr>
      </w:pPr>
    </w:p>
    <w:p w14:paraId="2492FEA0" w14:textId="6B889DAE" w:rsidR="00F3527A" w:rsidRPr="0091780F" w:rsidRDefault="0091780F" w:rsidP="0091780F">
      <w:pPr>
        <w:spacing w:after="0" w:line="480" w:lineRule="auto"/>
        <w:ind w:left="720" w:hanging="720"/>
        <w:jc w:val="both"/>
        <w:rPr>
          <w:rFonts w:ascii="Arial" w:hAnsi="Arial" w:cs="Arial"/>
          <w:sz w:val="24"/>
          <w:szCs w:val="24"/>
          <w:u w:val="single"/>
        </w:rPr>
      </w:pPr>
      <w:r w:rsidRPr="00F3527A">
        <w:rPr>
          <w:rFonts w:ascii="Arial" w:hAnsi="Arial" w:cs="Arial"/>
          <w:sz w:val="24"/>
          <w:szCs w:val="24"/>
        </w:rPr>
        <w:t>6.</w:t>
      </w:r>
      <w:r w:rsidRPr="00F3527A">
        <w:rPr>
          <w:rFonts w:ascii="Arial" w:hAnsi="Arial" w:cs="Arial"/>
          <w:sz w:val="24"/>
          <w:szCs w:val="24"/>
        </w:rPr>
        <w:tab/>
      </w:r>
      <w:r w:rsidR="00F3527A" w:rsidRPr="0091780F">
        <w:rPr>
          <w:rFonts w:ascii="Arial" w:hAnsi="Arial" w:cs="Arial"/>
          <w:sz w:val="24"/>
          <w:szCs w:val="24"/>
        </w:rPr>
        <w:t>The property was sold inclusive of game as listed in Annexure A1 as follows:</w:t>
      </w:r>
    </w:p>
    <w:p w14:paraId="363F0C67" w14:textId="77777777" w:rsidR="00F3527A" w:rsidRPr="00F3527A" w:rsidRDefault="00F3527A" w:rsidP="00F3527A">
      <w:pPr>
        <w:pStyle w:val="ListParagraph"/>
        <w:rPr>
          <w:rFonts w:ascii="Arial" w:hAnsi="Arial" w:cs="Arial"/>
          <w:sz w:val="24"/>
          <w:szCs w:val="24"/>
        </w:rPr>
      </w:pPr>
    </w:p>
    <w:p w14:paraId="2BCBA1D0" w14:textId="77777777" w:rsidR="00F3527A" w:rsidRDefault="008A2341" w:rsidP="008A2341">
      <w:pPr>
        <w:pStyle w:val="ListParagraph"/>
        <w:spacing w:after="0" w:line="480" w:lineRule="auto"/>
        <w:ind w:left="1440"/>
        <w:jc w:val="both"/>
        <w:rPr>
          <w:rFonts w:ascii="Arial" w:hAnsi="Arial" w:cs="Arial"/>
          <w:sz w:val="24"/>
          <w:szCs w:val="24"/>
        </w:rPr>
      </w:pPr>
      <w:r w:rsidRPr="008A2341">
        <w:rPr>
          <w:rFonts w:ascii="Arial" w:hAnsi="Arial" w:cs="Arial"/>
          <w:i/>
          <w:sz w:val="24"/>
          <w:szCs w:val="24"/>
        </w:rPr>
        <w:t>“6.3</w:t>
      </w:r>
      <w:r w:rsidRPr="008A2341">
        <w:rPr>
          <w:rFonts w:ascii="Arial" w:hAnsi="Arial" w:cs="Arial"/>
          <w:i/>
          <w:sz w:val="24"/>
          <w:szCs w:val="24"/>
        </w:rPr>
        <w:tab/>
      </w:r>
      <w:r w:rsidR="00F3527A" w:rsidRPr="008A2341">
        <w:rPr>
          <w:rFonts w:ascii="Arial" w:hAnsi="Arial" w:cs="Arial"/>
          <w:i/>
          <w:sz w:val="24"/>
          <w:szCs w:val="24"/>
        </w:rPr>
        <w:t>The purchase</w:t>
      </w:r>
      <w:r w:rsidRPr="008A2341">
        <w:rPr>
          <w:rFonts w:ascii="Arial" w:hAnsi="Arial" w:cs="Arial"/>
          <w:i/>
          <w:sz w:val="24"/>
          <w:szCs w:val="24"/>
        </w:rPr>
        <w:t>r</w:t>
      </w:r>
      <w:r w:rsidR="00F3527A" w:rsidRPr="008A2341">
        <w:rPr>
          <w:rFonts w:ascii="Arial" w:hAnsi="Arial" w:cs="Arial"/>
          <w:i/>
          <w:sz w:val="24"/>
          <w:szCs w:val="24"/>
        </w:rPr>
        <w:t xml:space="preserve"> acknowledges that the property, including all game as listed in Annexure A1, all buildings and erections thereon is sold as it stands</w:t>
      </w:r>
      <w:r w:rsidRPr="008A2341">
        <w:rPr>
          <w:rFonts w:ascii="Arial" w:hAnsi="Arial" w:cs="Arial"/>
          <w:i/>
          <w:sz w:val="24"/>
          <w:szCs w:val="24"/>
        </w:rPr>
        <w:t xml:space="preserve"> at </w:t>
      </w:r>
      <w:r w:rsidR="00F3527A" w:rsidRPr="008A2341">
        <w:rPr>
          <w:rFonts w:ascii="Arial" w:hAnsi="Arial" w:cs="Arial"/>
          <w:i/>
          <w:sz w:val="24"/>
          <w:szCs w:val="24"/>
        </w:rPr>
        <w:t>date of the sale</w:t>
      </w:r>
      <w:r w:rsidRPr="008A2341">
        <w:rPr>
          <w:rFonts w:ascii="Arial" w:hAnsi="Arial" w:cs="Arial"/>
          <w:i/>
          <w:sz w:val="24"/>
          <w:szCs w:val="24"/>
        </w:rPr>
        <w:t>”</w:t>
      </w:r>
      <w:r w:rsidR="00F3527A">
        <w:rPr>
          <w:rFonts w:ascii="Arial" w:hAnsi="Arial" w:cs="Arial"/>
          <w:sz w:val="24"/>
          <w:szCs w:val="24"/>
        </w:rPr>
        <w:t>.</w:t>
      </w:r>
    </w:p>
    <w:p w14:paraId="3E0B6C99" w14:textId="77777777" w:rsidR="00F3527A" w:rsidRPr="00F3527A" w:rsidRDefault="00F3527A" w:rsidP="00F3527A">
      <w:pPr>
        <w:pStyle w:val="ListParagraph"/>
        <w:spacing w:after="0" w:line="480" w:lineRule="auto"/>
        <w:ind w:left="1440"/>
        <w:jc w:val="both"/>
        <w:rPr>
          <w:rFonts w:ascii="Arial" w:hAnsi="Arial" w:cs="Arial"/>
          <w:sz w:val="24"/>
          <w:szCs w:val="24"/>
        </w:rPr>
      </w:pPr>
    </w:p>
    <w:p w14:paraId="575200B9" w14:textId="02217FF5" w:rsidR="00F3527A" w:rsidRPr="0091780F" w:rsidRDefault="0091780F" w:rsidP="0091780F">
      <w:pPr>
        <w:spacing w:after="0" w:line="480" w:lineRule="auto"/>
        <w:ind w:left="720" w:hanging="720"/>
        <w:jc w:val="both"/>
        <w:rPr>
          <w:rFonts w:ascii="Arial" w:hAnsi="Arial" w:cs="Arial"/>
          <w:sz w:val="24"/>
          <w:szCs w:val="24"/>
          <w:u w:val="single"/>
        </w:rPr>
      </w:pPr>
      <w:r w:rsidRPr="00F3527A">
        <w:rPr>
          <w:rFonts w:ascii="Arial" w:hAnsi="Arial" w:cs="Arial"/>
          <w:sz w:val="24"/>
          <w:szCs w:val="24"/>
        </w:rPr>
        <w:t>7.</w:t>
      </w:r>
      <w:r w:rsidRPr="00F3527A">
        <w:rPr>
          <w:rFonts w:ascii="Arial" w:hAnsi="Arial" w:cs="Arial"/>
          <w:sz w:val="24"/>
          <w:szCs w:val="24"/>
        </w:rPr>
        <w:tab/>
      </w:r>
      <w:r w:rsidR="00F3527A" w:rsidRPr="0091780F">
        <w:rPr>
          <w:rFonts w:ascii="Arial" w:hAnsi="Arial" w:cs="Arial"/>
          <w:sz w:val="24"/>
          <w:szCs w:val="24"/>
        </w:rPr>
        <w:t xml:space="preserve">Annexure A1 referred to various species of game either as to specific numbers or </w:t>
      </w:r>
      <w:r w:rsidR="008A2341" w:rsidRPr="0091780F">
        <w:rPr>
          <w:rFonts w:ascii="Arial" w:hAnsi="Arial" w:cs="Arial"/>
          <w:sz w:val="24"/>
          <w:szCs w:val="24"/>
        </w:rPr>
        <w:t xml:space="preserve">in </w:t>
      </w:r>
      <w:r w:rsidR="00F3527A" w:rsidRPr="0091780F">
        <w:rPr>
          <w:rFonts w:ascii="Arial" w:hAnsi="Arial" w:cs="Arial"/>
          <w:sz w:val="24"/>
          <w:szCs w:val="24"/>
        </w:rPr>
        <w:t xml:space="preserve">instances estimated numbers.  </w:t>
      </w:r>
    </w:p>
    <w:p w14:paraId="7FF29C8F" w14:textId="77777777" w:rsidR="00F3527A" w:rsidRPr="00F3527A" w:rsidRDefault="00F3527A" w:rsidP="00F3527A">
      <w:pPr>
        <w:pStyle w:val="ListParagraph"/>
        <w:spacing w:after="0" w:line="480" w:lineRule="auto"/>
        <w:jc w:val="both"/>
        <w:rPr>
          <w:rFonts w:ascii="Arial" w:hAnsi="Arial" w:cs="Arial"/>
          <w:sz w:val="24"/>
          <w:szCs w:val="24"/>
          <w:u w:val="single"/>
        </w:rPr>
      </w:pPr>
    </w:p>
    <w:p w14:paraId="196D149C" w14:textId="53504969" w:rsidR="00F3527A" w:rsidRPr="0091780F" w:rsidRDefault="0091780F" w:rsidP="0091780F">
      <w:pPr>
        <w:spacing w:after="0" w:line="480" w:lineRule="auto"/>
        <w:ind w:left="720" w:hanging="720"/>
        <w:jc w:val="both"/>
        <w:rPr>
          <w:rFonts w:ascii="Arial" w:hAnsi="Arial" w:cs="Arial"/>
          <w:sz w:val="24"/>
          <w:szCs w:val="24"/>
          <w:u w:val="single"/>
        </w:rPr>
      </w:pPr>
      <w:r w:rsidRPr="00F3527A">
        <w:rPr>
          <w:rFonts w:ascii="Arial" w:hAnsi="Arial" w:cs="Arial"/>
          <w:sz w:val="24"/>
          <w:szCs w:val="24"/>
        </w:rPr>
        <w:t>8.</w:t>
      </w:r>
      <w:r w:rsidRPr="00F3527A">
        <w:rPr>
          <w:rFonts w:ascii="Arial" w:hAnsi="Arial" w:cs="Arial"/>
          <w:sz w:val="24"/>
          <w:szCs w:val="24"/>
        </w:rPr>
        <w:tab/>
      </w:r>
      <w:r w:rsidR="00F3527A" w:rsidRPr="0091780F">
        <w:rPr>
          <w:rFonts w:ascii="Arial" w:hAnsi="Arial" w:cs="Arial"/>
          <w:sz w:val="24"/>
          <w:szCs w:val="24"/>
        </w:rPr>
        <w:t>It was alleged that respondent had complied with all its obligations in terms of the agreement</w:t>
      </w:r>
      <w:r w:rsidR="003E22F5" w:rsidRPr="0091780F">
        <w:rPr>
          <w:rFonts w:ascii="Arial" w:hAnsi="Arial" w:cs="Arial"/>
          <w:sz w:val="24"/>
          <w:szCs w:val="24"/>
        </w:rPr>
        <w:t>,</w:t>
      </w:r>
      <w:r w:rsidR="00F3527A" w:rsidRPr="0091780F">
        <w:rPr>
          <w:rFonts w:ascii="Arial" w:hAnsi="Arial" w:cs="Arial"/>
          <w:sz w:val="24"/>
          <w:szCs w:val="24"/>
        </w:rPr>
        <w:t xml:space="preserve"> had tendered to effect transfer of the property to applicant against payment of purchase price therefor but that notwithstanding demand applicant had failed or refused to make provision for payment of the purchase price</w:t>
      </w:r>
      <w:r w:rsidR="005A6CFA" w:rsidRPr="0091780F">
        <w:rPr>
          <w:rFonts w:ascii="Arial" w:hAnsi="Arial" w:cs="Arial"/>
          <w:sz w:val="24"/>
          <w:szCs w:val="24"/>
        </w:rPr>
        <w:t>,</w:t>
      </w:r>
      <w:r w:rsidR="00F3527A" w:rsidRPr="0091780F">
        <w:rPr>
          <w:rFonts w:ascii="Arial" w:hAnsi="Arial" w:cs="Arial"/>
          <w:sz w:val="24"/>
          <w:szCs w:val="24"/>
        </w:rPr>
        <w:t xml:space="preserve"> respondent seeking payment by applicant (as defendant) of the sum of R12 million as and for the agreed purchase price.</w:t>
      </w:r>
    </w:p>
    <w:p w14:paraId="08BC657D" w14:textId="77777777" w:rsidR="00F3527A" w:rsidRPr="00F3527A" w:rsidRDefault="00F3527A" w:rsidP="00F3527A">
      <w:pPr>
        <w:pStyle w:val="ListParagraph"/>
        <w:rPr>
          <w:rFonts w:ascii="Arial" w:hAnsi="Arial" w:cs="Arial"/>
          <w:sz w:val="24"/>
          <w:szCs w:val="24"/>
          <w:u w:val="single"/>
        </w:rPr>
      </w:pPr>
    </w:p>
    <w:p w14:paraId="3E8E2475" w14:textId="5328BE05" w:rsidR="00E27A2A" w:rsidRPr="0091780F" w:rsidRDefault="0091780F" w:rsidP="0091780F">
      <w:pPr>
        <w:spacing w:after="0" w:line="480" w:lineRule="auto"/>
        <w:ind w:left="720" w:hanging="720"/>
        <w:jc w:val="both"/>
        <w:rPr>
          <w:rFonts w:ascii="Arial" w:hAnsi="Arial" w:cs="Arial"/>
          <w:sz w:val="24"/>
          <w:szCs w:val="24"/>
          <w:u w:val="single"/>
        </w:rPr>
      </w:pPr>
      <w:r w:rsidRPr="001A29A0">
        <w:rPr>
          <w:rFonts w:ascii="Arial" w:hAnsi="Arial" w:cs="Arial"/>
          <w:sz w:val="24"/>
          <w:szCs w:val="24"/>
        </w:rPr>
        <w:lastRenderedPageBreak/>
        <w:t>9.</w:t>
      </w:r>
      <w:r w:rsidRPr="001A29A0">
        <w:rPr>
          <w:rFonts w:ascii="Arial" w:hAnsi="Arial" w:cs="Arial"/>
          <w:sz w:val="24"/>
          <w:szCs w:val="24"/>
        </w:rPr>
        <w:tab/>
      </w:r>
      <w:r w:rsidR="00F3527A" w:rsidRPr="0091780F">
        <w:rPr>
          <w:rFonts w:ascii="Arial" w:hAnsi="Arial" w:cs="Arial"/>
          <w:sz w:val="24"/>
          <w:szCs w:val="24"/>
        </w:rPr>
        <w:t xml:space="preserve">In due course applicant filed a plea denying that respondent had complied with its obligations in terms of the agreement setting out </w:t>
      </w:r>
      <w:r w:rsidR="008A2341" w:rsidRPr="0091780F">
        <w:rPr>
          <w:rFonts w:ascii="Arial" w:hAnsi="Arial" w:cs="Arial"/>
          <w:sz w:val="24"/>
          <w:szCs w:val="24"/>
        </w:rPr>
        <w:t>(</w:t>
      </w:r>
      <w:r w:rsidR="00F3527A" w:rsidRPr="0091780F">
        <w:rPr>
          <w:rFonts w:ascii="Arial" w:hAnsi="Arial" w:cs="Arial"/>
          <w:sz w:val="24"/>
          <w:szCs w:val="24"/>
        </w:rPr>
        <w:t>in summary</w:t>
      </w:r>
      <w:r w:rsidR="008A2341" w:rsidRPr="0091780F">
        <w:rPr>
          <w:rFonts w:ascii="Arial" w:hAnsi="Arial" w:cs="Arial"/>
          <w:sz w:val="24"/>
          <w:szCs w:val="24"/>
        </w:rPr>
        <w:t>)</w:t>
      </w:r>
      <w:r w:rsidR="00F3527A" w:rsidRPr="0091780F">
        <w:rPr>
          <w:rFonts w:ascii="Arial" w:hAnsi="Arial" w:cs="Arial"/>
          <w:sz w:val="24"/>
          <w:szCs w:val="24"/>
        </w:rPr>
        <w:t xml:space="preserve"> that respondent would not be able to give possession of the property to applicant or carry out all its obligations</w:t>
      </w:r>
      <w:r w:rsidR="008A2341" w:rsidRPr="0091780F">
        <w:rPr>
          <w:rFonts w:ascii="Arial" w:hAnsi="Arial" w:cs="Arial"/>
          <w:sz w:val="24"/>
          <w:szCs w:val="24"/>
        </w:rPr>
        <w:t>,</w:t>
      </w:r>
      <w:r w:rsidR="00F3527A" w:rsidRPr="0091780F">
        <w:rPr>
          <w:rFonts w:ascii="Arial" w:hAnsi="Arial" w:cs="Arial"/>
          <w:sz w:val="24"/>
          <w:szCs w:val="24"/>
        </w:rPr>
        <w:t xml:space="preserve"> there being specifically no adequate enclosure of the property</w:t>
      </w:r>
      <w:r w:rsidR="00E27A2A" w:rsidRPr="0091780F">
        <w:rPr>
          <w:rFonts w:ascii="Arial" w:hAnsi="Arial" w:cs="Arial"/>
          <w:sz w:val="24"/>
          <w:szCs w:val="24"/>
        </w:rPr>
        <w:t xml:space="preserve"> to enable the applicant to keep the game listed in Annexure A1 thereon with no approved bio diversity management plan as contemplated in section 43 of the National Environmental Management Bio Diversity Act 10 of 2004 </w:t>
      </w:r>
      <w:r w:rsidR="00E27A2A" w:rsidRPr="0091780F">
        <w:rPr>
          <w:rFonts w:ascii="Arial" w:hAnsi="Arial" w:cs="Arial"/>
          <w:i/>
          <w:sz w:val="24"/>
          <w:szCs w:val="24"/>
        </w:rPr>
        <w:t>inter alia</w:t>
      </w:r>
      <w:r w:rsidR="00E27A2A" w:rsidRPr="0091780F">
        <w:rPr>
          <w:rFonts w:ascii="Arial" w:hAnsi="Arial" w:cs="Arial"/>
          <w:sz w:val="24"/>
          <w:szCs w:val="24"/>
        </w:rPr>
        <w:t xml:space="preserve">, and further that respondent had failed to deliver </w:t>
      </w:r>
      <w:r w:rsidR="003E22F5" w:rsidRPr="0091780F">
        <w:rPr>
          <w:rFonts w:ascii="Arial" w:hAnsi="Arial" w:cs="Arial"/>
          <w:sz w:val="24"/>
          <w:szCs w:val="24"/>
        </w:rPr>
        <w:t xml:space="preserve">a </w:t>
      </w:r>
      <w:r w:rsidR="00E27A2A" w:rsidRPr="0091780F">
        <w:rPr>
          <w:rFonts w:ascii="Arial" w:hAnsi="Arial" w:cs="Arial"/>
          <w:sz w:val="24"/>
          <w:szCs w:val="24"/>
        </w:rPr>
        <w:t>material portion of the game listed in Annexure A1</w:t>
      </w:r>
      <w:r w:rsidR="005A6CFA" w:rsidRPr="0091780F">
        <w:rPr>
          <w:rFonts w:ascii="Arial" w:hAnsi="Arial" w:cs="Arial"/>
          <w:sz w:val="24"/>
          <w:szCs w:val="24"/>
        </w:rPr>
        <w:t>,</w:t>
      </w:r>
      <w:r w:rsidR="00E27A2A" w:rsidRPr="0091780F">
        <w:rPr>
          <w:rFonts w:ascii="Arial" w:hAnsi="Arial" w:cs="Arial"/>
          <w:sz w:val="24"/>
          <w:szCs w:val="24"/>
        </w:rPr>
        <w:t xml:space="preserve"> the value of the game listed in Annexure A1 amounting to R4 201 500,00 whereas the physical game present on the property was to the value of R3 940 000,00, a difference of R1</w:t>
      </w:r>
      <w:r w:rsidR="005A6CFA" w:rsidRPr="0091780F">
        <w:rPr>
          <w:rFonts w:ascii="Arial" w:hAnsi="Arial" w:cs="Arial"/>
          <w:sz w:val="24"/>
          <w:szCs w:val="24"/>
        </w:rPr>
        <w:t> </w:t>
      </w:r>
      <w:r w:rsidR="00E27A2A" w:rsidRPr="0091780F">
        <w:rPr>
          <w:rFonts w:ascii="Arial" w:hAnsi="Arial" w:cs="Arial"/>
          <w:sz w:val="24"/>
          <w:szCs w:val="24"/>
        </w:rPr>
        <w:t>107</w:t>
      </w:r>
      <w:r w:rsidR="005A6CFA" w:rsidRPr="0091780F">
        <w:rPr>
          <w:rFonts w:ascii="Arial" w:hAnsi="Arial" w:cs="Arial"/>
          <w:sz w:val="24"/>
          <w:szCs w:val="24"/>
        </w:rPr>
        <w:t> </w:t>
      </w:r>
      <w:r w:rsidR="00E27A2A" w:rsidRPr="0091780F">
        <w:rPr>
          <w:rFonts w:ascii="Arial" w:hAnsi="Arial" w:cs="Arial"/>
          <w:sz w:val="24"/>
          <w:szCs w:val="24"/>
        </w:rPr>
        <w:t>500,00.  It was thus alleged that respondent was in material breach of its obligations, and in the alternative that prior to the conclusion of the agreement respondent had represented to applicant that all permits to possess the game in question were valid and in existence; that adequate fencing as required by law was in place; that the number of the game was that as set out in Annexure A1</w:t>
      </w:r>
      <w:r w:rsidR="003E22F5" w:rsidRPr="0091780F">
        <w:rPr>
          <w:rFonts w:ascii="Arial" w:hAnsi="Arial" w:cs="Arial"/>
          <w:sz w:val="24"/>
          <w:szCs w:val="24"/>
        </w:rPr>
        <w:t xml:space="preserve">, these </w:t>
      </w:r>
      <w:r w:rsidR="00E27A2A" w:rsidRPr="0091780F">
        <w:rPr>
          <w:rFonts w:ascii="Arial" w:hAnsi="Arial" w:cs="Arial"/>
          <w:sz w:val="24"/>
          <w:szCs w:val="24"/>
        </w:rPr>
        <w:t>being fraudulent misrepresentation</w:t>
      </w:r>
      <w:r w:rsidR="003E22F5" w:rsidRPr="0091780F">
        <w:rPr>
          <w:rFonts w:ascii="Arial" w:hAnsi="Arial" w:cs="Arial"/>
          <w:sz w:val="24"/>
          <w:szCs w:val="24"/>
        </w:rPr>
        <w:t>s</w:t>
      </w:r>
      <w:r w:rsidR="001A29A0" w:rsidRPr="0091780F">
        <w:rPr>
          <w:rFonts w:ascii="Arial" w:hAnsi="Arial" w:cs="Arial"/>
          <w:sz w:val="24"/>
          <w:szCs w:val="24"/>
        </w:rPr>
        <w:t xml:space="preserve"> </w:t>
      </w:r>
      <w:r w:rsidR="008A2341" w:rsidRPr="0091780F">
        <w:rPr>
          <w:rFonts w:ascii="Arial" w:hAnsi="Arial" w:cs="Arial"/>
          <w:sz w:val="24"/>
          <w:szCs w:val="24"/>
        </w:rPr>
        <w:t xml:space="preserve">entitling </w:t>
      </w:r>
      <w:r w:rsidR="001A29A0" w:rsidRPr="0091780F">
        <w:rPr>
          <w:rFonts w:ascii="Arial" w:hAnsi="Arial" w:cs="Arial"/>
          <w:sz w:val="24"/>
          <w:szCs w:val="24"/>
        </w:rPr>
        <w:t>applicant to avoid the agreement.</w:t>
      </w:r>
    </w:p>
    <w:p w14:paraId="6E19713F" w14:textId="77777777" w:rsidR="001A29A0" w:rsidRPr="001A29A0" w:rsidRDefault="001A29A0" w:rsidP="001A29A0">
      <w:pPr>
        <w:pStyle w:val="ListParagraph"/>
        <w:spacing w:after="0" w:line="480" w:lineRule="auto"/>
        <w:jc w:val="both"/>
        <w:rPr>
          <w:rFonts w:ascii="Arial" w:hAnsi="Arial" w:cs="Arial"/>
          <w:sz w:val="24"/>
          <w:szCs w:val="24"/>
          <w:u w:val="single"/>
        </w:rPr>
      </w:pPr>
    </w:p>
    <w:p w14:paraId="611A686F" w14:textId="013AAA11" w:rsidR="00BD589C" w:rsidRPr="0091780F" w:rsidRDefault="0091780F" w:rsidP="0091780F">
      <w:pPr>
        <w:spacing w:after="0" w:line="480" w:lineRule="auto"/>
        <w:ind w:left="720" w:hanging="720"/>
        <w:jc w:val="both"/>
        <w:rPr>
          <w:rFonts w:ascii="Arial" w:hAnsi="Arial" w:cs="Arial"/>
          <w:sz w:val="24"/>
          <w:szCs w:val="24"/>
          <w:u w:val="single"/>
        </w:rPr>
      </w:pPr>
      <w:r w:rsidRPr="00BD589C">
        <w:rPr>
          <w:rFonts w:ascii="Arial" w:hAnsi="Arial" w:cs="Arial"/>
          <w:sz w:val="24"/>
          <w:szCs w:val="24"/>
        </w:rPr>
        <w:t>10.</w:t>
      </w:r>
      <w:r w:rsidRPr="00BD589C">
        <w:rPr>
          <w:rFonts w:ascii="Arial" w:hAnsi="Arial" w:cs="Arial"/>
          <w:sz w:val="24"/>
          <w:szCs w:val="24"/>
        </w:rPr>
        <w:tab/>
      </w:r>
      <w:r w:rsidR="001A29A0" w:rsidRPr="0091780F">
        <w:rPr>
          <w:rFonts w:ascii="Arial" w:hAnsi="Arial" w:cs="Arial"/>
          <w:sz w:val="24"/>
          <w:szCs w:val="24"/>
        </w:rPr>
        <w:t>Respondent filed a rejoinder</w:t>
      </w:r>
      <w:r w:rsidR="008A2341" w:rsidRPr="0091780F">
        <w:rPr>
          <w:rFonts w:ascii="Arial" w:hAnsi="Arial" w:cs="Arial"/>
          <w:sz w:val="24"/>
          <w:szCs w:val="24"/>
        </w:rPr>
        <w:t>,</w:t>
      </w:r>
      <w:r w:rsidR="00BD589C" w:rsidRPr="0091780F">
        <w:rPr>
          <w:rFonts w:ascii="Arial" w:hAnsi="Arial" w:cs="Arial"/>
          <w:sz w:val="24"/>
          <w:szCs w:val="24"/>
        </w:rPr>
        <w:t xml:space="preserve"> whilst applicant requested various trial particulars which were answered and respondent requested its own particular</w:t>
      </w:r>
      <w:r w:rsidR="005A6CFA" w:rsidRPr="0091780F">
        <w:rPr>
          <w:rFonts w:ascii="Arial" w:hAnsi="Arial" w:cs="Arial"/>
          <w:sz w:val="24"/>
          <w:szCs w:val="24"/>
        </w:rPr>
        <w:t>s</w:t>
      </w:r>
      <w:r w:rsidR="00BD589C" w:rsidRPr="0091780F">
        <w:rPr>
          <w:rFonts w:ascii="Arial" w:hAnsi="Arial" w:cs="Arial"/>
          <w:sz w:val="24"/>
          <w:szCs w:val="24"/>
        </w:rPr>
        <w:t xml:space="preserve"> of trial which was also answered.  On 17 July 2020 a short combined minute in terms of Rule</w:t>
      </w:r>
      <w:r w:rsidR="009E7EF9" w:rsidRPr="0091780F">
        <w:rPr>
          <w:rFonts w:ascii="Arial" w:hAnsi="Arial" w:cs="Arial"/>
          <w:sz w:val="24"/>
          <w:szCs w:val="24"/>
        </w:rPr>
        <w:t> </w:t>
      </w:r>
      <w:r w:rsidR="00BD589C" w:rsidRPr="0091780F">
        <w:rPr>
          <w:rFonts w:ascii="Arial" w:hAnsi="Arial" w:cs="Arial"/>
          <w:sz w:val="24"/>
          <w:szCs w:val="24"/>
        </w:rPr>
        <w:t>37 was filed joining issue on the various matters raised in the pleadings.</w:t>
      </w:r>
    </w:p>
    <w:p w14:paraId="4D254F8D" w14:textId="77777777" w:rsidR="00BD589C" w:rsidRPr="00BD589C" w:rsidRDefault="00BD589C" w:rsidP="00BD589C">
      <w:pPr>
        <w:pStyle w:val="ListParagraph"/>
        <w:rPr>
          <w:rFonts w:ascii="Arial" w:hAnsi="Arial" w:cs="Arial"/>
          <w:sz w:val="24"/>
          <w:szCs w:val="24"/>
        </w:rPr>
      </w:pPr>
    </w:p>
    <w:p w14:paraId="2B69BD46" w14:textId="6DAC0100" w:rsidR="001A29A0" w:rsidRPr="0091780F" w:rsidRDefault="0091780F" w:rsidP="0091780F">
      <w:pPr>
        <w:spacing w:after="0" w:line="480" w:lineRule="auto"/>
        <w:ind w:left="720" w:hanging="720"/>
        <w:jc w:val="both"/>
        <w:rPr>
          <w:rFonts w:ascii="Arial" w:hAnsi="Arial" w:cs="Arial"/>
          <w:sz w:val="24"/>
          <w:szCs w:val="24"/>
          <w:u w:val="single"/>
        </w:rPr>
      </w:pPr>
      <w:r w:rsidRPr="009E7EF9">
        <w:rPr>
          <w:rFonts w:ascii="Arial" w:hAnsi="Arial" w:cs="Arial"/>
          <w:sz w:val="24"/>
          <w:szCs w:val="24"/>
        </w:rPr>
        <w:t>11.</w:t>
      </w:r>
      <w:r w:rsidRPr="009E7EF9">
        <w:rPr>
          <w:rFonts w:ascii="Arial" w:hAnsi="Arial" w:cs="Arial"/>
          <w:sz w:val="24"/>
          <w:szCs w:val="24"/>
        </w:rPr>
        <w:tab/>
      </w:r>
      <w:r w:rsidR="00BD589C" w:rsidRPr="0091780F">
        <w:rPr>
          <w:rFonts w:ascii="Arial" w:hAnsi="Arial" w:cs="Arial"/>
          <w:sz w:val="24"/>
          <w:szCs w:val="24"/>
        </w:rPr>
        <w:t>Respondent filed a notice of a certain Mr.  Hurter in terms of Rule 36(9)</w:t>
      </w:r>
      <w:r w:rsidR="009E7EF9" w:rsidRPr="0091780F">
        <w:rPr>
          <w:rFonts w:ascii="Arial" w:hAnsi="Arial" w:cs="Arial"/>
          <w:sz w:val="24"/>
          <w:szCs w:val="24"/>
        </w:rPr>
        <w:t xml:space="preserve"> dealing with animal population issues relevant to the property.  </w:t>
      </w:r>
    </w:p>
    <w:p w14:paraId="128EF33C" w14:textId="77777777" w:rsidR="009E7EF9" w:rsidRPr="009E7EF9" w:rsidRDefault="009E7EF9" w:rsidP="009E7EF9">
      <w:pPr>
        <w:pStyle w:val="ListParagraph"/>
        <w:rPr>
          <w:rFonts w:ascii="Arial" w:hAnsi="Arial" w:cs="Arial"/>
          <w:sz w:val="24"/>
          <w:szCs w:val="24"/>
          <w:u w:val="single"/>
        </w:rPr>
      </w:pPr>
    </w:p>
    <w:p w14:paraId="1115FF3E" w14:textId="5A4F5247" w:rsidR="009E7EF9" w:rsidRPr="0091780F" w:rsidRDefault="0091780F" w:rsidP="0091780F">
      <w:pPr>
        <w:spacing w:after="0" w:line="480" w:lineRule="auto"/>
        <w:ind w:left="720" w:hanging="720"/>
        <w:jc w:val="both"/>
        <w:rPr>
          <w:rFonts w:ascii="Arial" w:hAnsi="Arial" w:cs="Arial"/>
          <w:sz w:val="24"/>
          <w:szCs w:val="24"/>
          <w:u w:val="single"/>
        </w:rPr>
      </w:pPr>
      <w:r w:rsidRPr="009E7EF9">
        <w:rPr>
          <w:rFonts w:ascii="Arial" w:hAnsi="Arial" w:cs="Arial"/>
          <w:sz w:val="24"/>
          <w:szCs w:val="24"/>
        </w:rPr>
        <w:t>12.</w:t>
      </w:r>
      <w:r w:rsidRPr="009E7EF9">
        <w:rPr>
          <w:rFonts w:ascii="Arial" w:hAnsi="Arial" w:cs="Arial"/>
          <w:sz w:val="24"/>
          <w:szCs w:val="24"/>
        </w:rPr>
        <w:tab/>
      </w:r>
      <w:r w:rsidR="009E7EF9" w:rsidRPr="0091780F">
        <w:rPr>
          <w:rFonts w:ascii="Arial" w:hAnsi="Arial" w:cs="Arial"/>
          <w:sz w:val="24"/>
          <w:szCs w:val="24"/>
        </w:rPr>
        <w:t xml:space="preserve">Attorneys </w:t>
      </w:r>
      <w:r w:rsidR="002E6D3B" w:rsidRPr="0091780F">
        <w:rPr>
          <w:rFonts w:ascii="Arial" w:hAnsi="Arial" w:cs="Arial"/>
          <w:sz w:val="24"/>
          <w:szCs w:val="24"/>
        </w:rPr>
        <w:t>Wheeldon Rushmere</w:t>
      </w:r>
      <w:r w:rsidR="009E7EF9" w:rsidRPr="0091780F">
        <w:rPr>
          <w:rFonts w:ascii="Arial" w:hAnsi="Arial" w:cs="Arial"/>
          <w:sz w:val="24"/>
          <w:szCs w:val="24"/>
        </w:rPr>
        <w:t xml:space="preserve"> and Cole </w:t>
      </w:r>
      <w:r w:rsidR="002E6D3B" w:rsidRPr="0091780F">
        <w:rPr>
          <w:rFonts w:ascii="Arial" w:hAnsi="Arial" w:cs="Arial"/>
          <w:sz w:val="24"/>
          <w:szCs w:val="24"/>
        </w:rPr>
        <w:t>who had</w:t>
      </w:r>
      <w:r w:rsidR="009E7EF9" w:rsidRPr="0091780F">
        <w:rPr>
          <w:rFonts w:ascii="Arial" w:hAnsi="Arial" w:cs="Arial"/>
          <w:sz w:val="24"/>
          <w:szCs w:val="24"/>
        </w:rPr>
        <w:t xml:space="preserve"> up until </w:t>
      </w:r>
      <w:r w:rsidR="008A2341" w:rsidRPr="0091780F">
        <w:rPr>
          <w:rFonts w:ascii="Arial" w:hAnsi="Arial" w:cs="Arial"/>
          <w:sz w:val="24"/>
          <w:szCs w:val="24"/>
        </w:rPr>
        <w:t xml:space="preserve">then </w:t>
      </w:r>
      <w:r w:rsidR="009E7EF9" w:rsidRPr="0091780F">
        <w:rPr>
          <w:rFonts w:ascii="Arial" w:hAnsi="Arial" w:cs="Arial"/>
          <w:sz w:val="24"/>
          <w:szCs w:val="24"/>
        </w:rPr>
        <w:t>been applicant’s attorneys withdrew as attorneys of record on 11 November 2020</w:t>
      </w:r>
      <w:r w:rsidR="003E22F5" w:rsidRPr="0091780F">
        <w:rPr>
          <w:rFonts w:ascii="Arial" w:hAnsi="Arial" w:cs="Arial"/>
          <w:sz w:val="24"/>
          <w:szCs w:val="24"/>
        </w:rPr>
        <w:t>,</w:t>
      </w:r>
      <w:r w:rsidR="009E7EF9" w:rsidRPr="0091780F">
        <w:rPr>
          <w:rFonts w:ascii="Arial" w:hAnsi="Arial" w:cs="Arial"/>
          <w:sz w:val="24"/>
          <w:szCs w:val="24"/>
        </w:rPr>
        <w:t xml:space="preserve"> this in terms of Rule 16(4)(b).  At this time respondent’s attorney</w:t>
      </w:r>
      <w:r w:rsidR="008A2341" w:rsidRPr="0091780F">
        <w:rPr>
          <w:rFonts w:ascii="Arial" w:hAnsi="Arial" w:cs="Arial"/>
          <w:sz w:val="24"/>
          <w:szCs w:val="24"/>
        </w:rPr>
        <w:t>s</w:t>
      </w:r>
      <w:r w:rsidR="009E7EF9" w:rsidRPr="0091780F">
        <w:rPr>
          <w:rFonts w:ascii="Arial" w:hAnsi="Arial" w:cs="Arial"/>
          <w:sz w:val="24"/>
          <w:szCs w:val="24"/>
        </w:rPr>
        <w:t xml:space="preserve"> in Makhanda</w:t>
      </w:r>
      <w:r w:rsidR="008A2341" w:rsidRPr="0091780F">
        <w:rPr>
          <w:rFonts w:ascii="Arial" w:hAnsi="Arial" w:cs="Arial"/>
          <w:sz w:val="24"/>
          <w:szCs w:val="24"/>
        </w:rPr>
        <w:t xml:space="preserve"> were</w:t>
      </w:r>
      <w:r w:rsidR="009E7EF9" w:rsidRPr="0091780F">
        <w:rPr>
          <w:rFonts w:ascii="Arial" w:hAnsi="Arial" w:cs="Arial"/>
          <w:sz w:val="24"/>
          <w:szCs w:val="24"/>
        </w:rPr>
        <w:t xml:space="preserve"> McCallum attorneys.</w:t>
      </w:r>
    </w:p>
    <w:p w14:paraId="13EDBB14" w14:textId="77777777" w:rsidR="009E7EF9" w:rsidRPr="009E7EF9" w:rsidRDefault="009E7EF9" w:rsidP="009E7EF9">
      <w:pPr>
        <w:pStyle w:val="ListParagraph"/>
        <w:rPr>
          <w:rFonts w:ascii="Arial" w:hAnsi="Arial" w:cs="Arial"/>
          <w:sz w:val="24"/>
          <w:szCs w:val="24"/>
        </w:rPr>
      </w:pPr>
    </w:p>
    <w:p w14:paraId="222EA1AB" w14:textId="3EB10EC9" w:rsidR="009E7EF9" w:rsidRPr="0091780F" w:rsidRDefault="0091780F" w:rsidP="0091780F">
      <w:pPr>
        <w:spacing w:after="0" w:line="480" w:lineRule="auto"/>
        <w:ind w:left="720" w:hanging="720"/>
        <w:jc w:val="both"/>
        <w:rPr>
          <w:rFonts w:ascii="Arial" w:hAnsi="Arial" w:cs="Arial"/>
          <w:sz w:val="24"/>
          <w:szCs w:val="24"/>
          <w:u w:val="single"/>
        </w:rPr>
      </w:pPr>
      <w:r w:rsidRPr="009E7EF9">
        <w:rPr>
          <w:rFonts w:ascii="Arial" w:hAnsi="Arial" w:cs="Arial"/>
          <w:sz w:val="24"/>
          <w:szCs w:val="24"/>
        </w:rPr>
        <w:t>13.</w:t>
      </w:r>
      <w:r w:rsidRPr="009E7EF9">
        <w:rPr>
          <w:rFonts w:ascii="Arial" w:hAnsi="Arial" w:cs="Arial"/>
          <w:sz w:val="24"/>
          <w:szCs w:val="24"/>
        </w:rPr>
        <w:tab/>
      </w:r>
      <w:r w:rsidR="009E7EF9" w:rsidRPr="0091780F">
        <w:rPr>
          <w:rFonts w:ascii="Arial" w:hAnsi="Arial" w:cs="Arial"/>
          <w:sz w:val="24"/>
          <w:szCs w:val="24"/>
        </w:rPr>
        <w:t xml:space="preserve">Respondent’s attorneys set the matter down for hearing by notice dated 19 April 2021 </w:t>
      </w:r>
      <w:r w:rsidR="008A2341" w:rsidRPr="0091780F">
        <w:rPr>
          <w:rFonts w:ascii="Arial" w:hAnsi="Arial" w:cs="Arial"/>
          <w:sz w:val="24"/>
          <w:szCs w:val="24"/>
        </w:rPr>
        <w:t>(</w:t>
      </w:r>
      <w:r w:rsidR="009E7EF9" w:rsidRPr="0091780F">
        <w:rPr>
          <w:rFonts w:ascii="Arial" w:hAnsi="Arial" w:cs="Arial"/>
          <w:sz w:val="24"/>
          <w:szCs w:val="24"/>
        </w:rPr>
        <w:t>filed of record on 20 April 2021</w:t>
      </w:r>
      <w:r w:rsidR="008A2341" w:rsidRPr="0091780F">
        <w:rPr>
          <w:rFonts w:ascii="Arial" w:hAnsi="Arial" w:cs="Arial"/>
          <w:sz w:val="24"/>
          <w:szCs w:val="24"/>
        </w:rPr>
        <w:t>)</w:t>
      </w:r>
      <w:r w:rsidR="009E7EF9" w:rsidRPr="0091780F">
        <w:rPr>
          <w:rFonts w:ascii="Arial" w:hAnsi="Arial" w:cs="Arial"/>
          <w:sz w:val="24"/>
          <w:szCs w:val="24"/>
        </w:rPr>
        <w:t xml:space="preserve"> which, having regard to the withdrawal of applicant’s attorneys</w:t>
      </w:r>
      <w:r w:rsidR="008A2341" w:rsidRPr="0091780F">
        <w:rPr>
          <w:rFonts w:ascii="Arial" w:hAnsi="Arial" w:cs="Arial"/>
          <w:sz w:val="24"/>
          <w:szCs w:val="24"/>
        </w:rPr>
        <w:t>,</w:t>
      </w:r>
      <w:r w:rsidR="009E7EF9" w:rsidRPr="0091780F">
        <w:rPr>
          <w:rFonts w:ascii="Arial" w:hAnsi="Arial" w:cs="Arial"/>
          <w:sz w:val="24"/>
          <w:szCs w:val="24"/>
        </w:rPr>
        <w:t xml:space="preserve"> was addressed by email to applicant.</w:t>
      </w:r>
    </w:p>
    <w:p w14:paraId="71FCE7D2" w14:textId="77777777" w:rsidR="009E7EF9" w:rsidRPr="009E7EF9" w:rsidRDefault="009E7EF9" w:rsidP="009E7EF9">
      <w:pPr>
        <w:pStyle w:val="ListParagraph"/>
        <w:rPr>
          <w:rFonts w:ascii="Arial" w:hAnsi="Arial" w:cs="Arial"/>
          <w:sz w:val="24"/>
          <w:szCs w:val="24"/>
        </w:rPr>
      </w:pPr>
    </w:p>
    <w:p w14:paraId="0E56672B" w14:textId="30F7159F" w:rsidR="009E7EF9" w:rsidRPr="0091780F" w:rsidRDefault="0091780F" w:rsidP="0091780F">
      <w:pPr>
        <w:spacing w:after="0" w:line="480" w:lineRule="auto"/>
        <w:ind w:left="720" w:hanging="720"/>
        <w:jc w:val="both"/>
        <w:rPr>
          <w:rFonts w:ascii="Arial" w:hAnsi="Arial" w:cs="Arial"/>
          <w:sz w:val="24"/>
          <w:szCs w:val="24"/>
          <w:u w:val="single"/>
        </w:rPr>
      </w:pPr>
      <w:r w:rsidRPr="009E7EF9">
        <w:rPr>
          <w:rFonts w:ascii="Arial" w:hAnsi="Arial" w:cs="Arial"/>
          <w:sz w:val="24"/>
          <w:szCs w:val="24"/>
        </w:rPr>
        <w:t>14.</w:t>
      </w:r>
      <w:r w:rsidRPr="009E7EF9">
        <w:rPr>
          <w:rFonts w:ascii="Arial" w:hAnsi="Arial" w:cs="Arial"/>
          <w:sz w:val="24"/>
          <w:szCs w:val="24"/>
        </w:rPr>
        <w:tab/>
      </w:r>
      <w:r w:rsidR="009E7EF9" w:rsidRPr="0091780F">
        <w:rPr>
          <w:rFonts w:ascii="Arial" w:hAnsi="Arial" w:cs="Arial"/>
          <w:sz w:val="24"/>
          <w:szCs w:val="24"/>
        </w:rPr>
        <w:t>The matter came before me by way of case flow management on 20 May 2021, at which time I directed that the applicant</w:t>
      </w:r>
      <w:r w:rsidR="003E22F5" w:rsidRPr="0091780F">
        <w:rPr>
          <w:rFonts w:ascii="Arial" w:hAnsi="Arial" w:cs="Arial"/>
          <w:sz w:val="24"/>
          <w:szCs w:val="24"/>
        </w:rPr>
        <w:t>,</w:t>
      </w:r>
      <w:r w:rsidR="009E7EF9" w:rsidRPr="0091780F">
        <w:rPr>
          <w:rFonts w:ascii="Arial" w:hAnsi="Arial" w:cs="Arial"/>
          <w:sz w:val="24"/>
          <w:szCs w:val="24"/>
        </w:rPr>
        <w:t xml:space="preserve"> as defendant</w:t>
      </w:r>
      <w:r w:rsidR="003E22F5" w:rsidRPr="0091780F">
        <w:rPr>
          <w:rFonts w:ascii="Arial" w:hAnsi="Arial" w:cs="Arial"/>
          <w:sz w:val="24"/>
          <w:szCs w:val="24"/>
        </w:rPr>
        <w:t>,</w:t>
      </w:r>
      <w:r w:rsidR="009E7EF9" w:rsidRPr="0091780F">
        <w:rPr>
          <w:rFonts w:ascii="Arial" w:hAnsi="Arial" w:cs="Arial"/>
          <w:sz w:val="24"/>
          <w:szCs w:val="24"/>
        </w:rPr>
        <w:t xml:space="preserve"> attend a case flow management conference within fourteen days of the date of the order</w:t>
      </w:r>
      <w:r w:rsidR="005A6CFA" w:rsidRPr="0091780F">
        <w:rPr>
          <w:rFonts w:ascii="Arial" w:hAnsi="Arial" w:cs="Arial"/>
          <w:sz w:val="24"/>
          <w:szCs w:val="24"/>
        </w:rPr>
        <w:t>,</w:t>
      </w:r>
      <w:r w:rsidR="009E7EF9" w:rsidRPr="0091780F">
        <w:rPr>
          <w:rFonts w:ascii="Arial" w:hAnsi="Arial" w:cs="Arial"/>
          <w:sz w:val="24"/>
          <w:szCs w:val="24"/>
        </w:rPr>
        <w:t xml:space="preserve"> the matter postponed to 3 June 2021.  </w:t>
      </w:r>
    </w:p>
    <w:p w14:paraId="23C0841C" w14:textId="77777777" w:rsidR="009E7EF9" w:rsidRPr="009E7EF9" w:rsidRDefault="009E7EF9" w:rsidP="009E7EF9">
      <w:pPr>
        <w:pStyle w:val="ListParagraph"/>
        <w:rPr>
          <w:rFonts w:ascii="Arial" w:hAnsi="Arial" w:cs="Arial"/>
          <w:sz w:val="24"/>
          <w:szCs w:val="24"/>
        </w:rPr>
      </w:pPr>
    </w:p>
    <w:p w14:paraId="2B98F573" w14:textId="04DA6A7E" w:rsidR="009E7EF9" w:rsidRPr="0091780F" w:rsidRDefault="0091780F" w:rsidP="0091780F">
      <w:pPr>
        <w:spacing w:after="0" w:line="480" w:lineRule="auto"/>
        <w:ind w:left="720" w:hanging="720"/>
        <w:jc w:val="both"/>
        <w:rPr>
          <w:rFonts w:ascii="Arial" w:hAnsi="Arial" w:cs="Arial"/>
          <w:sz w:val="24"/>
          <w:szCs w:val="24"/>
          <w:u w:val="single"/>
        </w:rPr>
      </w:pPr>
      <w:r w:rsidRPr="009E7EF9">
        <w:rPr>
          <w:rFonts w:ascii="Arial" w:hAnsi="Arial" w:cs="Arial"/>
          <w:sz w:val="24"/>
          <w:szCs w:val="24"/>
        </w:rPr>
        <w:t>15.</w:t>
      </w:r>
      <w:r w:rsidRPr="009E7EF9">
        <w:rPr>
          <w:rFonts w:ascii="Arial" w:hAnsi="Arial" w:cs="Arial"/>
          <w:sz w:val="24"/>
          <w:szCs w:val="24"/>
        </w:rPr>
        <w:tab/>
      </w:r>
      <w:r w:rsidR="009E7EF9" w:rsidRPr="0091780F">
        <w:rPr>
          <w:rFonts w:ascii="Arial" w:hAnsi="Arial" w:cs="Arial"/>
          <w:sz w:val="24"/>
          <w:szCs w:val="24"/>
        </w:rPr>
        <w:t>Again on 9 June 2021 I issued a case flow management directive certifying the matter trial ready and ordering that:</w:t>
      </w:r>
    </w:p>
    <w:p w14:paraId="260CF700" w14:textId="77777777" w:rsidR="009E7EF9" w:rsidRPr="009E7EF9" w:rsidRDefault="009E7EF9" w:rsidP="009E7EF9">
      <w:pPr>
        <w:pStyle w:val="ListParagraph"/>
        <w:rPr>
          <w:rFonts w:ascii="Arial" w:hAnsi="Arial" w:cs="Arial"/>
          <w:sz w:val="24"/>
          <w:szCs w:val="24"/>
        </w:rPr>
      </w:pPr>
    </w:p>
    <w:p w14:paraId="5A6C73A5" w14:textId="77777777" w:rsidR="009E7EF9" w:rsidRPr="00FA66ED" w:rsidRDefault="009E7EF9" w:rsidP="005A5913">
      <w:pPr>
        <w:pStyle w:val="ListParagraph"/>
        <w:spacing w:after="0" w:line="360" w:lineRule="auto"/>
        <w:ind w:left="1440"/>
        <w:jc w:val="both"/>
        <w:rPr>
          <w:rFonts w:ascii="Arial" w:hAnsi="Arial" w:cs="Arial"/>
        </w:rPr>
      </w:pPr>
      <w:r w:rsidRPr="00FA66ED">
        <w:rPr>
          <w:rFonts w:ascii="Arial" w:hAnsi="Arial" w:cs="Arial"/>
        </w:rPr>
        <w:t>“Notice of certification to be brought to the attention of defendant who is unrepresented at this stage via email, sms (if contact details available) and registered mail per chosen address”.</w:t>
      </w:r>
    </w:p>
    <w:p w14:paraId="0D9D6712" w14:textId="77777777" w:rsidR="009E7EF9" w:rsidRPr="009E7EF9" w:rsidRDefault="009E7EF9" w:rsidP="009E7EF9">
      <w:pPr>
        <w:pStyle w:val="ListParagraph"/>
        <w:rPr>
          <w:rFonts w:ascii="Arial" w:hAnsi="Arial" w:cs="Arial"/>
          <w:sz w:val="24"/>
          <w:szCs w:val="24"/>
        </w:rPr>
      </w:pPr>
    </w:p>
    <w:p w14:paraId="6A87E71E" w14:textId="6E548019" w:rsidR="009E7EF9" w:rsidRPr="0091780F" w:rsidRDefault="0091780F" w:rsidP="0091780F">
      <w:pPr>
        <w:spacing w:after="0" w:line="480" w:lineRule="auto"/>
        <w:ind w:left="720" w:hanging="720"/>
        <w:jc w:val="both"/>
        <w:rPr>
          <w:rFonts w:ascii="Arial" w:hAnsi="Arial" w:cs="Arial"/>
          <w:sz w:val="24"/>
          <w:szCs w:val="24"/>
          <w:u w:val="single"/>
        </w:rPr>
      </w:pPr>
      <w:r w:rsidRPr="009E7EF9">
        <w:rPr>
          <w:rFonts w:ascii="Arial" w:hAnsi="Arial" w:cs="Arial"/>
          <w:sz w:val="24"/>
          <w:szCs w:val="24"/>
        </w:rPr>
        <w:t>16.</w:t>
      </w:r>
      <w:r w:rsidRPr="009E7EF9">
        <w:rPr>
          <w:rFonts w:ascii="Arial" w:hAnsi="Arial" w:cs="Arial"/>
          <w:sz w:val="24"/>
          <w:szCs w:val="24"/>
        </w:rPr>
        <w:tab/>
      </w:r>
      <w:r w:rsidR="009E7EF9" w:rsidRPr="0091780F">
        <w:rPr>
          <w:rFonts w:ascii="Arial" w:hAnsi="Arial" w:cs="Arial"/>
          <w:sz w:val="24"/>
          <w:szCs w:val="24"/>
        </w:rPr>
        <w:t>The applicant did not attend any case flow management conferences as it had been directed to do.</w:t>
      </w:r>
    </w:p>
    <w:p w14:paraId="7ABA51F8" w14:textId="77777777" w:rsidR="009E7EF9" w:rsidRPr="009E7EF9" w:rsidRDefault="009E7EF9" w:rsidP="009E7EF9">
      <w:pPr>
        <w:pStyle w:val="ListParagraph"/>
        <w:spacing w:after="0" w:line="480" w:lineRule="auto"/>
        <w:jc w:val="both"/>
        <w:rPr>
          <w:rFonts w:ascii="Arial" w:hAnsi="Arial" w:cs="Arial"/>
          <w:sz w:val="24"/>
          <w:szCs w:val="24"/>
          <w:u w:val="single"/>
        </w:rPr>
      </w:pPr>
    </w:p>
    <w:p w14:paraId="58E7A2C2" w14:textId="54340D90" w:rsidR="009E7EF9" w:rsidRPr="0091780F" w:rsidRDefault="0091780F" w:rsidP="0091780F">
      <w:pPr>
        <w:spacing w:after="0" w:line="480" w:lineRule="auto"/>
        <w:ind w:left="720" w:hanging="720"/>
        <w:jc w:val="both"/>
        <w:rPr>
          <w:rFonts w:ascii="Arial" w:hAnsi="Arial" w:cs="Arial"/>
          <w:sz w:val="24"/>
          <w:szCs w:val="24"/>
          <w:u w:val="single"/>
        </w:rPr>
      </w:pPr>
      <w:r w:rsidRPr="008C6DD9">
        <w:rPr>
          <w:rFonts w:ascii="Arial" w:hAnsi="Arial" w:cs="Arial"/>
          <w:sz w:val="24"/>
          <w:szCs w:val="24"/>
        </w:rPr>
        <w:t>17.</w:t>
      </w:r>
      <w:r w:rsidRPr="008C6DD9">
        <w:rPr>
          <w:rFonts w:ascii="Arial" w:hAnsi="Arial" w:cs="Arial"/>
          <w:sz w:val="24"/>
          <w:szCs w:val="24"/>
        </w:rPr>
        <w:tab/>
      </w:r>
      <w:r w:rsidR="009E7EF9" w:rsidRPr="0091780F">
        <w:rPr>
          <w:rFonts w:ascii="Arial" w:hAnsi="Arial" w:cs="Arial"/>
          <w:sz w:val="24"/>
          <w:szCs w:val="24"/>
        </w:rPr>
        <w:t xml:space="preserve">Again, on 22 October 2021 the matter came before me </w:t>
      </w:r>
      <w:r w:rsidR="008C6DD9" w:rsidRPr="0091780F">
        <w:rPr>
          <w:rFonts w:ascii="Arial" w:hAnsi="Arial" w:cs="Arial"/>
          <w:sz w:val="24"/>
          <w:szCs w:val="24"/>
        </w:rPr>
        <w:t xml:space="preserve">at the trial roll call in open court, Mr. Cole SC appearing for respondent, no appearance for applicant.  It was confirmed that the matter was trial ready and I ordered that </w:t>
      </w:r>
      <w:r w:rsidR="008C6DD9" w:rsidRPr="0091780F">
        <w:rPr>
          <w:rFonts w:ascii="Arial" w:hAnsi="Arial" w:cs="Arial"/>
          <w:sz w:val="24"/>
          <w:szCs w:val="24"/>
        </w:rPr>
        <w:lastRenderedPageBreak/>
        <w:t xml:space="preserve">“this roll call directive must be served by the Sheriff at the registered office of the defendant.”  </w:t>
      </w:r>
    </w:p>
    <w:p w14:paraId="495BDC7E" w14:textId="1CDC2F83" w:rsidR="008C6DD9" w:rsidRPr="0091780F" w:rsidRDefault="0091780F" w:rsidP="0091780F">
      <w:pPr>
        <w:spacing w:after="0" w:line="480" w:lineRule="auto"/>
        <w:ind w:left="720" w:hanging="720"/>
        <w:jc w:val="both"/>
        <w:rPr>
          <w:rFonts w:ascii="Arial" w:hAnsi="Arial" w:cs="Arial"/>
          <w:sz w:val="24"/>
          <w:szCs w:val="24"/>
          <w:u w:val="single"/>
        </w:rPr>
      </w:pPr>
      <w:r w:rsidRPr="008C6DD9">
        <w:rPr>
          <w:rFonts w:ascii="Arial" w:hAnsi="Arial" w:cs="Arial"/>
          <w:sz w:val="24"/>
          <w:szCs w:val="24"/>
        </w:rPr>
        <w:t>18.</w:t>
      </w:r>
      <w:r w:rsidRPr="008C6DD9">
        <w:rPr>
          <w:rFonts w:ascii="Arial" w:hAnsi="Arial" w:cs="Arial"/>
          <w:sz w:val="24"/>
          <w:szCs w:val="24"/>
        </w:rPr>
        <w:tab/>
      </w:r>
      <w:r w:rsidR="008C6DD9" w:rsidRPr="0091780F">
        <w:rPr>
          <w:rFonts w:ascii="Arial" w:hAnsi="Arial" w:cs="Arial"/>
          <w:sz w:val="24"/>
          <w:szCs w:val="24"/>
        </w:rPr>
        <w:t xml:space="preserve">In 26 October 2021 the roll call directive was indeed served at the registered office of the applicant in East London, the Sheriff explaining the nature </w:t>
      </w:r>
      <w:r w:rsidR="008A2341" w:rsidRPr="0091780F">
        <w:rPr>
          <w:rFonts w:ascii="Arial" w:hAnsi="Arial" w:cs="Arial"/>
          <w:sz w:val="24"/>
          <w:szCs w:val="24"/>
        </w:rPr>
        <w:t>o</w:t>
      </w:r>
      <w:r w:rsidR="008C6DD9" w:rsidRPr="0091780F">
        <w:rPr>
          <w:rFonts w:ascii="Arial" w:hAnsi="Arial" w:cs="Arial"/>
          <w:sz w:val="24"/>
          <w:szCs w:val="24"/>
        </w:rPr>
        <w:t>f the process.</w:t>
      </w:r>
    </w:p>
    <w:p w14:paraId="6426BCD1" w14:textId="77777777" w:rsidR="008C6DD9" w:rsidRPr="008C6DD9" w:rsidRDefault="008C6DD9" w:rsidP="008C6DD9">
      <w:pPr>
        <w:pStyle w:val="ListParagraph"/>
        <w:rPr>
          <w:rFonts w:ascii="Arial" w:hAnsi="Arial" w:cs="Arial"/>
          <w:sz w:val="24"/>
          <w:szCs w:val="24"/>
        </w:rPr>
      </w:pPr>
    </w:p>
    <w:p w14:paraId="3D267F1C" w14:textId="20A43619" w:rsidR="008C6DD9" w:rsidRPr="0091780F" w:rsidRDefault="0091780F" w:rsidP="0091780F">
      <w:pPr>
        <w:spacing w:after="0" w:line="480" w:lineRule="auto"/>
        <w:ind w:left="720" w:hanging="720"/>
        <w:jc w:val="both"/>
        <w:rPr>
          <w:rFonts w:ascii="Arial" w:hAnsi="Arial" w:cs="Arial"/>
          <w:sz w:val="24"/>
          <w:szCs w:val="24"/>
          <w:u w:val="single"/>
        </w:rPr>
      </w:pPr>
      <w:r w:rsidRPr="008C6DD9">
        <w:rPr>
          <w:rFonts w:ascii="Arial" w:hAnsi="Arial" w:cs="Arial"/>
          <w:sz w:val="24"/>
          <w:szCs w:val="24"/>
        </w:rPr>
        <w:t>19.</w:t>
      </w:r>
      <w:r w:rsidRPr="008C6DD9">
        <w:rPr>
          <w:rFonts w:ascii="Arial" w:hAnsi="Arial" w:cs="Arial"/>
          <w:sz w:val="24"/>
          <w:szCs w:val="24"/>
        </w:rPr>
        <w:tab/>
      </w:r>
      <w:r w:rsidR="008C6DD9" w:rsidRPr="0091780F">
        <w:rPr>
          <w:rFonts w:ascii="Arial" w:hAnsi="Arial" w:cs="Arial"/>
          <w:sz w:val="24"/>
          <w:szCs w:val="24"/>
        </w:rPr>
        <w:t>Again, as a matter of sheer coincidence and on 22 November 2021, the matter f</w:t>
      </w:r>
      <w:r w:rsidR="005A6CFA" w:rsidRPr="0091780F">
        <w:rPr>
          <w:rFonts w:ascii="Arial" w:hAnsi="Arial" w:cs="Arial"/>
          <w:sz w:val="24"/>
          <w:szCs w:val="24"/>
        </w:rPr>
        <w:t>ailed</w:t>
      </w:r>
      <w:r w:rsidR="008C6DD9" w:rsidRPr="0091780F">
        <w:rPr>
          <w:rFonts w:ascii="Arial" w:hAnsi="Arial" w:cs="Arial"/>
          <w:sz w:val="24"/>
          <w:szCs w:val="24"/>
        </w:rPr>
        <w:t xml:space="preserve"> to be called on the trial roll</w:t>
      </w:r>
      <w:r w:rsidR="005A6CFA" w:rsidRPr="0091780F">
        <w:rPr>
          <w:rFonts w:ascii="Arial" w:hAnsi="Arial" w:cs="Arial"/>
          <w:sz w:val="24"/>
          <w:szCs w:val="24"/>
        </w:rPr>
        <w:t>,</w:t>
      </w:r>
      <w:r w:rsidR="008C6DD9" w:rsidRPr="0091780F">
        <w:rPr>
          <w:rFonts w:ascii="Arial" w:hAnsi="Arial" w:cs="Arial"/>
          <w:sz w:val="24"/>
          <w:szCs w:val="24"/>
        </w:rPr>
        <w:t xml:space="preserve"> there being no appearance for applicant, respondent seeking judgment by default.</w:t>
      </w:r>
    </w:p>
    <w:p w14:paraId="08E71F34" w14:textId="77777777" w:rsidR="008C6DD9" w:rsidRPr="008C6DD9" w:rsidRDefault="008C6DD9" w:rsidP="008C6DD9">
      <w:pPr>
        <w:pStyle w:val="ListParagraph"/>
        <w:rPr>
          <w:rFonts w:ascii="Arial" w:hAnsi="Arial" w:cs="Arial"/>
          <w:sz w:val="24"/>
          <w:szCs w:val="24"/>
        </w:rPr>
      </w:pPr>
    </w:p>
    <w:p w14:paraId="25A4D30D" w14:textId="7ECF9F98" w:rsidR="008C6DD9"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8C6DD9" w:rsidRPr="0091780F">
        <w:rPr>
          <w:rFonts w:ascii="Arial" w:hAnsi="Arial" w:cs="Arial"/>
          <w:sz w:val="24"/>
          <w:szCs w:val="24"/>
        </w:rPr>
        <w:t xml:space="preserve">On 20 April 2021 a notice of set down was filed seeking a trial date, this sent by email to applicant.  </w:t>
      </w:r>
    </w:p>
    <w:p w14:paraId="3F41664D" w14:textId="77777777" w:rsidR="008C6DD9" w:rsidRPr="008C6DD9" w:rsidRDefault="008C6DD9" w:rsidP="008C6DD9">
      <w:pPr>
        <w:pStyle w:val="ListParagraph"/>
        <w:rPr>
          <w:rFonts w:ascii="Arial" w:hAnsi="Arial" w:cs="Arial"/>
          <w:sz w:val="24"/>
          <w:szCs w:val="24"/>
        </w:rPr>
      </w:pPr>
    </w:p>
    <w:p w14:paraId="4AFE63E0" w14:textId="353BA95D" w:rsidR="008C6DD9"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8C6DD9" w:rsidRPr="0091780F">
        <w:rPr>
          <w:rFonts w:ascii="Arial" w:hAnsi="Arial" w:cs="Arial"/>
          <w:sz w:val="24"/>
          <w:szCs w:val="24"/>
        </w:rPr>
        <w:t xml:space="preserve">A notice of set down of a civil trial clearly referring to this action, was issued by the Registrar informing that the matter had been placed on the roll for hearing at Makhanda on 22 November 2021 addressed to defendant by way of </w:t>
      </w:r>
      <w:r w:rsidR="008A2341" w:rsidRPr="0091780F">
        <w:rPr>
          <w:rFonts w:ascii="Arial" w:hAnsi="Arial" w:cs="Arial"/>
          <w:sz w:val="24"/>
          <w:szCs w:val="24"/>
        </w:rPr>
        <w:t xml:space="preserve">the </w:t>
      </w:r>
      <w:r w:rsidR="008C6DD9" w:rsidRPr="0091780F">
        <w:rPr>
          <w:rFonts w:ascii="Arial" w:hAnsi="Arial" w:cs="Arial"/>
          <w:sz w:val="24"/>
          <w:szCs w:val="24"/>
        </w:rPr>
        <w:t xml:space="preserve">usual email addresses utilised, defendant not having replaced its attorneys of record and not being represented by attorneys either in Makhanda or elsewhere.  There is no suggestion that this notice of set down was not received.  </w:t>
      </w:r>
    </w:p>
    <w:p w14:paraId="1C4A624B" w14:textId="77777777" w:rsidR="008A2341" w:rsidRPr="008A2341" w:rsidRDefault="008A2341" w:rsidP="008A2341">
      <w:pPr>
        <w:pStyle w:val="ListParagraph"/>
        <w:rPr>
          <w:rFonts w:ascii="Arial" w:hAnsi="Arial" w:cs="Arial"/>
          <w:sz w:val="24"/>
          <w:szCs w:val="24"/>
        </w:rPr>
      </w:pPr>
    </w:p>
    <w:p w14:paraId="6CA98985" w14:textId="018593B3" w:rsidR="008A2341"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8A2341" w:rsidRPr="0091780F">
        <w:rPr>
          <w:rFonts w:ascii="Arial" w:hAnsi="Arial" w:cs="Arial"/>
          <w:sz w:val="24"/>
          <w:szCs w:val="24"/>
        </w:rPr>
        <w:t>Mr.  Cole SC</w:t>
      </w:r>
      <w:r w:rsidR="00E037EC" w:rsidRPr="0091780F">
        <w:rPr>
          <w:rFonts w:ascii="Arial" w:hAnsi="Arial" w:cs="Arial"/>
          <w:sz w:val="24"/>
          <w:szCs w:val="24"/>
        </w:rPr>
        <w:t xml:space="preserve"> </w:t>
      </w:r>
      <w:r w:rsidR="008A2341" w:rsidRPr="0091780F">
        <w:rPr>
          <w:rFonts w:ascii="Arial" w:hAnsi="Arial" w:cs="Arial"/>
          <w:sz w:val="24"/>
          <w:szCs w:val="24"/>
        </w:rPr>
        <w:t xml:space="preserve">referred to the roll call directives and that there could be no doubt from the correspondence attached in the trial bundle that many letters were sent by respondent’s attorneys to applicant by email keeping applicant fully informed as to what was happening.  </w:t>
      </w:r>
    </w:p>
    <w:p w14:paraId="3F0DAEF3" w14:textId="77777777" w:rsidR="008C6DD9" w:rsidRPr="008C6DD9" w:rsidRDefault="008C6DD9" w:rsidP="008C6DD9">
      <w:pPr>
        <w:pStyle w:val="ListParagraph"/>
        <w:rPr>
          <w:rFonts w:ascii="Arial" w:hAnsi="Arial" w:cs="Arial"/>
          <w:sz w:val="24"/>
          <w:szCs w:val="24"/>
        </w:rPr>
      </w:pPr>
    </w:p>
    <w:p w14:paraId="0AFD6F08" w14:textId="680F5BC9" w:rsidR="009E7EF9"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8C6DD9" w:rsidRPr="0091780F">
        <w:rPr>
          <w:rFonts w:ascii="Arial" w:hAnsi="Arial" w:cs="Arial"/>
          <w:sz w:val="24"/>
          <w:szCs w:val="24"/>
        </w:rPr>
        <w:t>Despite the fact that this was a claim for a liquidated amount in money, and that the Rules did not require, unless the court ordered otherwise, that evidence be led at the stage of default judgment, when the matter was called</w:t>
      </w:r>
      <w:r w:rsidR="00F1014F" w:rsidRPr="0091780F">
        <w:rPr>
          <w:rFonts w:ascii="Arial" w:hAnsi="Arial" w:cs="Arial"/>
          <w:sz w:val="24"/>
          <w:szCs w:val="24"/>
        </w:rPr>
        <w:t xml:space="preserve"> respondent took me through the claim and the sequence of events, this appearing from the typed record, respondent </w:t>
      </w:r>
      <w:r w:rsidR="003E22F5" w:rsidRPr="0091780F">
        <w:rPr>
          <w:rFonts w:ascii="Arial" w:hAnsi="Arial" w:cs="Arial"/>
          <w:sz w:val="24"/>
          <w:szCs w:val="24"/>
        </w:rPr>
        <w:t>chose</w:t>
      </w:r>
      <w:r w:rsidR="008A2341" w:rsidRPr="0091780F">
        <w:rPr>
          <w:rFonts w:ascii="Arial" w:hAnsi="Arial" w:cs="Arial"/>
          <w:sz w:val="24"/>
          <w:szCs w:val="24"/>
        </w:rPr>
        <w:t xml:space="preserve"> o</w:t>
      </w:r>
      <w:r w:rsidR="00F1014F" w:rsidRPr="0091780F">
        <w:rPr>
          <w:rFonts w:ascii="Arial" w:hAnsi="Arial" w:cs="Arial"/>
          <w:sz w:val="24"/>
          <w:szCs w:val="24"/>
        </w:rPr>
        <w:t>f itself to give evidence</w:t>
      </w:r>
      <w:r w:rsidR="003E22F5" w:rsidRPr="0091780F">
        <w:rPr>
          <w:rFonts w:ascii="Arial" w:hAnsi="Arial" w:cs="Arial"/>
          <w:sz w:val="24"/>
          <w:szCs w:val="24"/>
        </w:rPr>
        <w:t>,</w:t>
      </w:r>
      <w:r w:rsidR="00F1014F" w:rsidRPr="0091780F">
        <w:rPr>
          <w:rFonts w:ascii="Arial" w:hAnsi="Arial" w:cs="Arial"/>
          <w:sz w:val="24"/>
          <w:szCs w:val="24"/>
        </w:rPr>
        <w:t xml:space="preserve"> which decision I accepted</w:t>
      </w:r>
      <w:r w:rsidR="003E22F5" w:rsidRPr="0091780F">
        <w:rPr>
          <w:rFonts w:ascii="Arial" w:hAnsi="Arial" w:cs="Arial"/>
          <w:sz w:val="24"/>
          <w:szCs w:val="24"/>
        </w:rPr>
        <w:t>,</w:t>
      </w:r>
      <w:r w:rsidR="00F1014F" w:rsidRPr="0091780F">
        <w:rPr>
          <w:rFonts w:ascii="Arial" w:hAnsi="Arial" w:cs="Arial"/>
          <w:sz w:val="24"/>
          <w:szCs w:val="24"/>
        </w:rPr>
        <w:t xml:space="preserve"> the evidence of Mr. Scarterfield being led in some detail as to the origin of its claim</w:t>
      </w:r>
      <w:r w:rsidR="005A6CFA" w:rsidRPr="0091780F">
        <w:rPr>
          <w:rFonts w:ascii="Arial" w:hAnsi="Arial" w:cs="Arial"/>
          <w:sz w:val="24"/>
          <w:szCs w:val="24"/>
        </w:rPr>
        <w:t>,</w:t>
      </w:r>
      <w:r w:rsidR="00F1014F" w:rsidRPr="0091780F">
        <w:rPr>
          <w:rFonts w:ascii="Arial" w:hAnsi="Arial" w:cs="Arial"/>
          <w:sz w:val="24"/>
          <w:szCs w:val="24"/>
        </w:rPr>
        <w:t xml:space="preserve"> the basis thereof </w:t>
      </w:r>
      <w:r w:rsidR="003E22F5" w:rsidRPr="0091780F">
        <w:rPr>
          <w:rFonts w:ascii="Arial" w:hAnsi="Arial" w:cs="Arial"/>
          <w:sz w:val="24"/>
          <w:szCs w:val="24"/>
        </w:rPr>
        <w:t>and</w:t>
      </w:r>
      <w:r w:rsidR="00F1014F" w:rsidRPr="0091780F">
        <w:rPr>
          <w:rFonts w:ascii="Arial" w:hAnsi="Arial" w:cs="Arial"/>
          <w:sz w:val="24"/>
          <w:szCs w:val="24"/>
        </w:rPr>
        <w:t xml:space="preserve"> dealing with certain of the issues raised in defence</w:t>
      </w:r>
      <w:r w:rsidR="00E73280" w:rsidRPr="0091780F">
        <w:rPr>
          <w:rFonts w:ascii="Arial" w:hAnsi="Arial" w:cs="Arial"/>
          <w:sz w:val="24"/>
          <w:szCs w:val="24"/>
        </w:rPr>
        <w:t xml:space="preserve"> this </w:t>
      </w:r>
      <w:r w:rsidR="003E22F5" w:rsidRPr="0091780F">
        <w:rPr>
          <w:rFonts w:ascii="Arial" w:hAnsi="Arial" w:cs="Arial"/>
          <w:sz w:val="24"/>
          <w:szCs w:val="24"/>
        </w:rPr>
        <w:t xml:space="preserve">appearing </w:t>
      </w:r>
      <w:r w:rsidR="00E73280" w:rsidRPr="0091780F">
        <w:rPr>
          <w:rFonts w:ascii="Arial" w:hAnsi="Arial" w:cs="Arial"/>
          <w:sz w:val="24"/>
          <w:szCs w:val="24"/>
        </w:rPr>
        <w:t xml:space="preserve">in the typed record from page 14 to 33 thereof.  </w:t>
      </w:r>
    </w:p>
    <w:p w14:paraId="379935B6" w14:textId="77777777" w:rsidR="00E73280" w:rsidRPr="00E73280" w:rsidRDefault="00E73280" w:rsidP="00E73280">
      <w:pPr>
        <w:pStyle w:val="ListParagraph"/>
        <w:rPr>
          <w:rFonts w:ascii="Arial" w:hAnsi="Arial" w:cs="Arial"/>
          <w:sz w:val="24"/>
          <w:szCs w:val="24"/>
        </w:rPr>
      </w:pPr>
    </w:p>
    <w:p w14:paraId="0BAE5C9D" w14:textId="29BA39A1" w:rsidR="00E73280"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E73280" w:rsidRPr="0091780F">
        <w:rPr>
          <w:rFonts w:ascii="Arial" w:hAnsi="Arial" w:cs="Arial"/>
          <w:sz w:val="24"/>
          <w:szCs w:val="24"/>
        </w:rPr>
        <w:t xml:space="preserve">The evidence having been heard, I was satisfied that a proper case had been made out for judgment by default and judgment was given in appropriate terms for respondent against applicant.  </w:t>
      </w:r>
    </w:p>
    <w:p w14:paraId="3B23B02D" w14:textId="77777777" w:rsidR="00E73280" w:rsidRPr="00E73280" w:rsidRDefault="00E73280" w:rsidP="00E73280">
      <w:pPr>
        <w:pStyle w:val="ListParagraph"/>
        <w:rPr>
          <w:rFonts w:ascii="Arial" w:hAnsi="Arial" w:cs="Arial"/>
          <w:sz w:val="24"/>
          <w:szCs w:val="24"/>
        </w:rPr>
      </w:pPr>
    </w:p>
    <w:p w14:paraId="632A9094" w14:textId="61078D19" w:rsidR="00E73280"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E73280" w:rsidRPr="0091780F">
        <w:rPr>
          <w:rFonts w:ascii="Arial" w:hAnsi="Arial" w:cs="Arial"/>
          <w:sz w:val="24"/>
          <w:szCs w:val="24"/>
        </w:rPr>
        <w:t xml:space="preserve">In this regard, put shortly, the thrust of the </w:t>
      </w:r>
      <w:r w:rsidR="008A2341" w:rsidRPr="0091780F">
        <w:rPr>
          <w:rFonts w:ascii="Arial" w:hAnsi="Arial" w:cs="Arial"/>
          <w:sz w:val="24"/>
          <w:szCs w:val="24"/>
        </w:rPr>
        <w:t xml:space="preserve">rescission </w:t>
      </w:r>
      <w:r w:rsidR="00E73280" w:rsidRPr="0091780F">
        <w:rPr>
          <w:rFonts w:ascii="Arial" w:hAnsi="Arial" w:cs="Arial"/>
          <w:sz w:val="24"/>
          <w:szCs w:val="24"/>
        </w:rPr>
        <w:t xml:space="preserve">application is that applicant’s relationship with his erstwhile legal representatives had broken down their mandate being terminated in November 2021 at a time when he was experiencing personal trauma in his life from the events referred to in paragraph 18 of the founding affidavit, respondent finding out late in  November 2021 by word from the farm’s manager that judgment had been granted by default, applicant then approaching its current legal representatives.  </w:t>
      </w:r>
    </w:p>
    <w:p w14:paraId="72F95C9F" w14:textId="77777777" w:rsidR="00E73280" w:rsidRPr="00E73280" w:rsidRDefault="00E73280" w:rsidP="00E73280">
      <w:pPr>
        <w:pStyle w:val="ListParagraph"/>
        <w:rPr>
          <w:rFonts w:ascii="Arial" w:hAnsi="Arial" w:cs="Arial"/>
          <w:sz w:val="24"/>
          <w:szCs w:val="24"/>
        </w:rPr>
      </w:pPr>
    </w:p>
    <w:p w14:paraId="63633E50" w14:textId="360FE717" w:rsidR="00E73280"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E73280" w:rsidRPr="0091780F">
        <w:rPr>
          <w:rFonts w:ascii="Arial" w:hAnsi="Arial" w:cs="Arial"/>
          <w:sz w:val="24"/>
          <w:szCs w:val="24"/>
        </w:rPr>
        <w:t xml:space="preserve">In addition, it is alleged that respondent presented incorrect </w:t>
      </w:r>
      <w:r w:rsidR="008A2341" w:rsidRPr="0091780F">
        <w:rPr>
          <w:rFonts w:ascii="Arial" w:hAnsi="Arial" w:cs="Arial"/>
          <w:sz w:val="24"/>
          <w:szCs w:val="24"/>
        </w:rPr>
        <w:t xml:space="preserve">(false) </w:t>
      </w:r>
      <w:r w:rsidR="00E73280" w:rsidRPr="0091780F">
        <w:rPr>
          <w:rFonts w:ascii="Arial" w:hAnsi="Arial" w:cs="Arial"/>
          <w:sz w:val="24"/>
          <w:szCs w:val="24"/>
        </w:rPr>
        <w:t>evidence at the hearing that it had complied with the statutory requirements; that respondent was unable to tender possession and</w:t>
      </w:r>
      <w:r w:rsidR="005A6CFA" w:rsidRPr="0091780F">
        <w:rPr>
          <w:rFonts w:ascii="Arial" w:hAnsi="Arial" w:cs="Arial"/>
          <w:sz w:val="24"/>
          <w:szCs w:val="24"/>
        </w:rPr>
        <w:t>/</w:t>
      </w:r>
      <w:r w:rsidR="00E73280" w:rsidRPr="0091780F">
        <w:rPr>
          <w:rFonts w:ascii="Arial" w:hAnsi="Arial" w:cs="Arial"/>
          <w:sz w:val="24"/>
          <w:szCs w:val="24"/>
        </w:rPr>
        <w:t xml:space="preserve">or transfer of the game listed and that in the circumstances this warranted the judgment being rescinded.  </w:t>
      </w:r>
    </w:p>
    <w:p w14:paraId="715A7B52" w14:textId="77777777" w:rsidR="00E73280" w:rsidRDefault="00E73280" w:rsidP="00E73280">
      <w:pPr>
        <w:pStyle w:val="ListParagraph"/>
        <w:rPr>
          <w:rFonts w:ascii="Arial" w:hAnsi="Arial" w:cs="Arial"/>
          <w:sz w:val="24"/>
          <w:szCs w:val="24"/>
        </w:rPr>
      </w:pPr>
    </w:p>
    <w:p w14:paraId="3739E716" w14:textId="77777777" w:rsidR="00E73280" w:rsidRPr="00E73280" w:rsidRDefault="00E73280" w:rsidP="00E73280">
      <w:pPr>
        <w:pStyle w:val="ListParagraph"/>
        <w:spacing w:after="0" w:line="480" w:lineRule="auto"/>
        <w:ind w:left="0"/>
        <w:jc w:val="both"/>
        <w:rPr>
          <w:rFonts w:ascii="Arial" w:hAnsi="Arial" w:cs="Arial"/>
          <w:b/>
          <w:sz w:val="24"/>
          <w:szCs w:val="24"/>
          <w:u w:val="single"/>
        </w:rPr>
      </w:pPr>
      <w:r w:rsidRPr="00E73280">
        <w:rPr>
          <w:rFonts w:ascii="Arial" w:hAnsi="Arial" w:cs="Arial"/>
          <w:b/>
          <w:sz w:val="24"/>
          <w:szCs w:val="24"/>
          <w:u w:val="single"/>
        </w:rPr>
        <w:t>THE LEGAL ISSUES RELEVANT TO RESCISSION OF JUDGMENT</w:t>
      </w:r>
    </w:p>
    <w:p w14:paraId="4362F8DB" w14:textId="77777777" w:rsidR="00E73280" w:rsidRPr="00E73280" w:rsidRDefault="00E73280" w:rsidP="00E73280">
      <w:pPr>
        <w:pStyle w:val="ListParagraph"/>
        <w:rPr>
          <w:rFonts w:ascii="Arial" w:hAnsi="Arial" w:cs="Arial"/>
          <w:sz w:val="24"/>
          <w:szCs w:val="24"/>
        </w:rPr>
      </w:pPr>
    </w:p>
    <w:p w14:paraId="46F1B66F" w14:textId="77777777" w:rsidR="00E27A2A" w:rsidRPr="00E27A2A" w:rsidRDefault="00E27A2A" w:rsidP="00E27A2A">
      <w:pPr>
        <w:pStyle w:val="ListParagraph"/>
        <w:rPr>
          <w:rFonts w:ascii="Arial" w:hAnsi="Arial" w:cs="Arial"/>
          <w:sz w:val="24"/>
          <w:szCs w:val="24"/>
        </w:rPr>
      </w:pPr>
    </w:p>
    <w:p w14:paraId="41F0A81A" w14:textId="6749CFA5" w:rsidR="005F00AF" w:rsidRPr="0091780F" w:rsidRDefault="0091780F" w:rsidP="0091780F">
      <w:pPr>
        <w:spacing w:after="0" w:line="480" w:lineRule="auto"/>
        <w:ind w:left="720" w:hanging="720"/>
        <w:jc w:val="both"/>
        <w:rPr>
          <w:rFonts w:ascii="Arial" w:hAnsi="Arial" w:cs="Arial"/>
          <w:sz w:val="24"/>
          <w:szCs w:val="24"/>
          <w:u w:val="single"/>
        </w:rPr>
      </w:pPr>
      <w:r>
        <w:rPr>
          <w:rFonts w:ascii="Arial" w:hAnsi="Arial" w:cs="Arial"/>
          <w:sz w:val="24"/>
          <w:szCs w:val="24"/>
        </w:rPr>
        <w:t>27.</w:t>
      </w:r>
      <w:r>
        <w:rPr>
          <w:rFonts w:ascii="Arial" w:hAnsi="Arial" w:cs="Arial"/>
          <w:sz w:val="24"/>
          <w:szCs w:val="24"/>
        </w:rPr>
        <w:tab/>
      </w:r>
      <w:r w:rsidR="00E27A2A" w:rsidRPr="0091780F">
        <w:rPr>
          <w:rFonts w:ascii="Arial" w:hAnsi="Arial" w:cs="Arial"/>
          <w:sz w:val="24"/>
          <w:szCs w:val="24"/>
        </w:rPr>
        <w:t xml:space="preserve"> </w:t>
      </w:r>
      <w:r w:rsidR="00A40F6E" w:rsidRPr="0091780F">
        <w:rPr>
          <w:rFonts w:ascii="Arial" w:hAnsi="Arial" w:cs="Arial"/>
          <w:sz w:val="24"/>
          <w:szCs w:val="24"/>
        </w:rPr>
        <w:t xml:space="preserve">Rescission applications may be brought in a number of ways arising from Rule 31(2)(b) of the Uniform Rules of Court, in certain circumstances Uniform Rule 42(1)(a) and more importantly for the purposes of this matter, the common law.  </w:t>
      </w:r>
    </w:p>
    <w:p w14:paraId="486DB6E0" w14:textId="55736597" w:rsidR="00A40F6E" w:rsidRPr="0091780F" w:rsidRDefault="0091780F" w:rsidP="0091780F">
      <w:pPr>
        <w:spacing w:after="0" w:line="480" w:lineRule="auto"/>
        <w:ind w:left="720" w:hanging="720"/>
        <w:jc w:val="both"/>
        <w:rPr>
          <w:rFonts w:ascii="Arial" w:hAnsi="Arial" w:cs="Arial"/>
          <w:sz w:val="24"/>
          <w:szCs w:val="24"/>
          <w:u w:val="single"/>
        </w:rPr>
      </w:pPr>
      <w:r w:rsidRPr="00A40F6E">
        <w:rPr>
          <w:rFonts w:ascii="Arial" w:hAnsi="Arial" w:cs="Arial"/>
          <w:sz w:val="24"/>
          <w:szCs w:val="24"/>
        </w:rPr>
        <w:t>28.</w:t>
      </w:r>
      <w:r w:rsidRPr="00A40F6E">
        <w:rPr>
          <w:rFonts w:ascii="Arial" w:hAnsi="Arial" w:cs="Arial"/>
          <w:sz w:val="24"/>
          <w:szCs w:val="24"/>
        </w:rPr>
        <w:tab/>
      </w:r>
      <w:r w:rsidR="00A40F6E" w:rsidRPr="0091780F">
        <w:rPr>
          <w:rFonts w:ascii="Arial" w:hAnsi="Arial" w:cs="Arial"/>
          <w:sz w:val="24"/>
          <w:szCs w:val="24"/>
        </w:rPr>
        <w:t>Under the common law the applicant seeking rescission bears the onus of establishing “</w:t>
      </w:r>
      <w:r w:rsidR="00A40F6E" w:rsidRPr="0091780F">
        <w:rPr>
          <w:rFonts w:ascii="Arial" w:hAnsi="Arial" w:cs="Arial"/>
          <w:i/>
          <w:sz w:val="24"/>
          <w:szCs w:val="24"/>
        </w:rPr>
        <w:t>sufficient cause</w:t>
      </w:r>
      <w:r w:rsidR="00A40F6E" w:rsidRPr="0091780F">
        <w:rPr>
          <w:rFonts w:ascii="Arial" w:hAnsi="Arial" w:cs="Arial"/>
          <w:sz w:val="24"/>
          <w:szCs w:val="24"/>
        </w:rPr>
        <w:t>”.  Whether or not sufficient cause has been shown depends upon whether:</w:t>
      </w:r>
    </w:p>
    <w:p w14:paraId="340D8984" w14:textId="77777777" w:rsidR="00A40F6E" w:rsidRPr="00A40F6E" w:rsidRDefault="00A40F6E" w:rsidP="00A40F6E">
      <w:pPr>
        <w:pStyle w:val="ListParagraph"/>
        <w:rPr>
          <w:rFonts w:ascii="Arial" w:hAnsi="Arial" w:cs="Arial"/>
          <w:sz w:val="24"/>
          <w:szCs w:val="24"/>
          <w:u w:val="single"/>
        </w:rPr>
      </w:pPr>
    </w:p>
    <w:p w14:paraId="06615424" w14:textId="77777777" w:rsidR="00A40F6E" w:rsidRDefault="00FA66ED" w:rsidP="00FA66ED">
      <w:pPr>
        <w:pStyle w:val="ListParagraph"/>
        <w:spacing w:after="0" w:line="480" w:lineRule="auto"/>
        <w:ind w:left="2160" w:hanging="720"/>
        <w:jc w:val="both"/>
        <w:rPr>
          <w:rFonts w:ascii="Arial" w:hAnsi="Arial" w:cs="Arial"/>
          <w:sz w:val="24"/>
          <w:szCs w:val="24"/>
        </w:rPr>
      </w:pPr>
      <w:r>
        <w:rPr>
          <w:rFonts w:ascii="Arial" w:hAnsi="Arial" w:cs="Arial"/>
          <w:sz w:val="24"/>
          <w:szCs w:val="24"/>
        </w:rPr>
        <w:t>28.1</w:t>
      </w:r>
      <w:r>
        <w:rPr>
          <w:rFonts w:ascii="Arial" w:hAnsi="Arial" w:cs="Arial"/>
          <w:sz w:val="24"/>
          <w:szCs w:val="24"/>
        </w:rPr>
        <w:tab/>
      </w:r>
      <w:r w:rsidR="00A40F6E">
        <w:rPr>
          <w:rFonts w:ascii="Arial" w:hAnsi="Arial" w:cs="Arial"/>
          <w:sz w:val="24"/>
          <w:szCs w:val="24"/>
        </w:rPr>
        <w:t>The applicant has presented a reasonable and acceptable explanation for the default of appearance; and</w:t>
      </w:r>
    </w:p>
    <w:p w14:paraId="5EE58B9E" w14:textId="77777777" w:rsidR="00A40F6E" w:rsidRPr="00A40F6E" w:rsidRDefault="00FA66ED" w:rsidP="00FA66ED">
      <w:pPr>
        <w:pStyle w:val="ListParagraph"/>
        <w:spacing w:after="0" w:line="480" w:lineRule="auto"/>
        <w:ind w:left="2160" w:hanging="720"/>
        <w:jc w:val="both"/>
        <w:rPr>
          <w:rFonts w:ascii="Arial" w:hAnsi="Arial" w:cs="Arial"/>
          <w:sz w:val="24"/>
          <w:szCs w:val="24"/>
        </w:rPr>
      </w:pPr>
      <w:r>
        <w:rPr>
          <w:rFonts w:ascii="Arial" w:hAnsi="Arial" w:cs="Arial"/>
          <w:sz w:val="24"/>
          <w:szCs w:val="24"/>
        </w:rPr>
        <w:t>28.2</w:t>
      </w:r>
      <w:r>
        <w:rPr>
          <w:rFonts w:ascii="Arial" w:hAnsi="Arial" w:cs="Arial"/>
          <w:sz w:val="24"/>
          <w:szCs w:val="24"/>
        </w:rPr>
        <w:tab/>
      </w:r>
      <w:r w:rsidR="00A40F6E">
        <w:rPr>
          <w:rFonts w:ascii="Arial" w:hAnsi="Arial" w:cs="Arial"/>
          <w:sz w:val="24"/>
          <w:szCs w:val="24"/>
        </w:rPr>
        <w:t xml:space="preserve">The applicant has shown the existence of a </w:t>
      </w:r>
      <w:r w:rsidR="00A40F6E" w:rsidRPr="00D305F1">
        <w:rPr>
          <w:rFonts w:ascii="Arial" w:hAnsi="Arial" w:cs="Arial"/>
          <w:i/>
          <w:sz w:val="24"/>
          <w:szCs w:val="24"/>
        </w:rPr>
        <w:t>bona fide</w:t>
      </w:r>
      <w:r w:rsidR="00D305F1">
        <w:rPr>
          <w:rFonts w:ascii="Arial" w:hAnsi="Arial" w:cs="Arial"/>
          <w:sz w:val="24"/>
          <w:szCs w:val="24"/>
        </w:rPr>
        <w:t xml:space="preserve"> defence, that is one that has some prospect or probability of success.</w:t>
      </w:r>
      <w:r w:rsidR="00D305F1">
        <w:rPr>
          <w:rStyle w:val="FootnoteReference"/>
          <w:rFonts w:ascii="Arial" w:hAnsi="Arial" w:cs="Arial"/>
          <w:sz w:val="24"/>
          <w:szCs w:val="24"/>
        </w:rPr>
        <w:footnoteReference w:id="1"/>
      </w:r>
      <w:r w:rsidR="00D305F1">
        <w:rPr>
          <w:rFonts w:ascii="Arial" w:hAnsi="Arial" w:cs="Arial"/>
          <w:sz w:val="24"/>
          <w:szCs w:val="24"/>
        </w:rPr>
        <w:t xml:space="preserve">  </w:t>
      </w:r>
    </w:p>
    <w:p w14:paraId="272A227D" w14:textId="77777777" w:rsidR="00A40F6E" w:rsidRPr="00A40F6E" w:rsidRDefault="00A40F6E" w:rsidP="00A40F6E">
      <w:pPr>
        <w:pStyle w:val="ListParagraph"/>
        <w:rPr>
          <w:rFonts w:ascii="Arial" w:hAnsi="Arial" w:cs="Arial"/>
          <w:sz w:val="24"/>
          <w:szCs w:val="24"/>
          <w:u w:val="single"/>
        </w:rPr>
      </w:pPr>
    </w:p>
    <w:p w14:paraId="1679D314" w14:textId="54F8BCC6" w:rsidR="00A40F6E" w:rsidRPr="0091780F" w:rsidRDefault="0091780F" w:rsidP="0091780F">
      <w:pPr>
        <w:spacing w:after="0" w:line="480" w:lineRule="auto"/>
        <w:ind w:left="720" w:hanging="720"/>
        <w:jc w:val="both"/>
        <w:rPr>
          <w:rFonts w:ascii="Arial" w:hAnsi="Arial" w:cs="Arial"/>
          <w:sz w:val="24"/>
          <w:szCs w:val="24"/>
          <w:u w:val="single"/>
        </w:rPr>
      </w:pPr>
      <w:r w:rsidRPr="00D305F1">
        <w:rPr>
          <w:rFonts w:ascii="Arial" w:hAnsi="Arial" w:cs="Arial"/>
          <w:sz w:val="24"/>
          <w:szCs w:val="24"/>
        </w:rPr>
        <w:t>29.</w:t>
      </w:r>
      <w:r w:rsidRPr="00D305F1">
        <w:rPr>
          <w:rFonts w:ascii="Arial" w:hAnsi="Arial" w:cs="Arial"/>
          <w:sz w:val="24"/>
          <w:szCs w:val="24"/>
        </w:rPr>
        <w:tab/>
      </w:r>
      <w:r w:rsidR="00D305F1" w:rsidRPr="0091780F">
        <w:rPr>
          <w:rFonts w:ascii="Arial" w:hAnsi="Arial" w:cs="Arial"/>
          <w:sz w:val="24"/>
          <w:szCs w:val="24"/>
        </w:rPr>
        <w:t>I should make it clear that the two aspects that go to sufficient cause are conjunctive</w:t>
      </w:r>
      <w:r w:rsidR="008A2341" w:rsidRPr="0091780F">
        <w:rPr>
          <w:rFonts w:ascii="Arial" w:hAnsi="Arial" w:cs="Arial"/>
          <w:sz w:val="24"/>
          <w:szCs w:val="24"/>
        </w:rPr>
        <w:t>,</w:t>
      </w:r>
      <w:r w:rsidR="00D305F1" w:rsidRPr="0091780F">
        <w:rPr>
          <w:rFonts w:ascii="Arial" w:hAnsi="Arial" w:cs="Arial"/>
          <w:sz w:val="24"/>
          <w:szCs w:val="24"/>
        </w:rPr>
        <w:t xml:space="preserve"> an acceptable explanation of default must be present with evidence of reasonable prospects of success on the merits.</w:t>
      </w:r>
      <w:r w:rsidR="00D305F1">
        <w:rPr>
          <w:rStyle w:val="FootnoteReference"/>
          <w:rFonts w:ascii="Arial" w:hAnsi="Arial" w:cs="Arial"/>
          <w:sz w:val="24"/>
          <w:szCs w:val="24"/>
        </w:rPr>
        <w:footnoteReference w:id="2"/>
      </w:r>
      <w:r w:rsidR="00D305F1" w:rsidRPr="0091780F">
        <w:rPr>
          <w:rFonts w:ascii="Arial" w:hAnsi="Arial" w:cs="Arial"/>
          <w:sz w:val="24"/>
          <w:szCs w:val="24"/>
        </w:rPr>
        <w:t xml:space="preserve">   </w:t>
      </w:r>
    </w:p>
    <w:p w14:paraId="5AA36C8C" w14:textId="77777777" w:rsidR="00D305F1" w:rsidRPr="00D305F1" w:rsidRDefault="00D305F1" w:rsidP="00D305F1">
      <w:pPr>
        <w:pStyle w:val="ListParagraph"/>
        <w:spacing w:after="0" w:line="480" w:lineRule="auto"/>
        <w:jc w:val="both"/>
        <w:rPr>
          <w:rFonts w:ascii="Arial" w:hAnsi="Arial" w:cs="Arial"/>
          <w:sz w:val="24"/>
          <w:szCs w:val="24"/>
          <w:u w:val="single"/>
        </w:rPr>
      </w:pPr>
    </w:p>
    <w:p w14:paraId="4A881F3C" w14:textId="5A54FDC7" w:rsidR="00D305F1" w:rsidRPr="0091780F" w:rsidRDefault="0091780F" w:rsidP="0091780F">
      <w:pPr>
        <w:spacing w:after="0" w:line="480" w:lineRule="auto"/>
        <w:ind w:left="720" w:hanging="720"/>
        <w:jc w:val="both"/>
        <w:rPr>
          <w:rFonts w:ascii="Arial" w:hAnsi="Arial" w:cs="Arial"/>
          <w:sz w:val="24"/>
          <w:szCs w:val="24"/>
          <w:u w:val="single"/>
        </w:rPr>
      </w:pPr>
      <w:r w:rsidRPr="00D305F1">
        <w:rPr>
          <w:rFonts w:ascii="Arial" w:hAnsi="Arial" w:cs="Arial"/>
          <w:sz w:val="24"/>
          <w:szCs w:val="24"/>
        </w:rPr>
        <w:t>30.</w:t>
      </w:r>
      <w:r w:rsidRPr="00D305F1">
        <w:rPr>
          <w:rFonts w:ascii="Arial" w:hAnsi="Arial" w:cs="Arial"/>
          <w:sz w:val="24"/>
          <w:szCs w:val="24"/>
        </w:rPr>
        <w:tab/>
      </w:r>
      <w:r w:rsidR="00D305F1" w:rsidRPr="0091780F">
        <w:rPr>
          <w:rFonts w:ascii="Arial" w:hAnsi="Arial" w:cs="Arial"/>
          <w:sz w:val="24"/>
          <w:szCs w:val="24"/>
        </w:rPr>
        <w:t xml:space="preserve">A party showing no prospect of success on the merits for example will fail no matter how reasonable and convincing the explanation for default.  Further, and as set out in </w:t>
      </w:r>
      <w:r w:rsidR="00D305F1" w:rsidRPr="0091780F">
        <w:rPr>
          <w:rFonts w:ascii="Arial" w:hAnsi="Arial" w:cs="Arial"/>
          <w:b/>
          <w:sz w:val="24"/>
          <w:szCs w:val="24"/>
        </w:rPr>
        <w:t>Chetty</w:t>
      </w:r>
      <w:r w:rsidR="00D305F1" w:rsidRPr="0091780F">
        <w:rPr>
          <w:rFonts w:ascii="Arial" w:hAnsi="Arial" w:cs="Arial"/>
          <w:sz w:val="24"/>
          <w:szCs w:val="24"/>
        </w:rPr>
        <w:t xml:space="preserve"> (</w:t>
      </w:r>
      <w:r w:rsidR="00D305F1" w:rsidRPr="0091780F">
        <w:rPr>
          <w:rFonts w:ascii="Arial" w:hAnsi="Arial" w:cs="Arial"/>
          <w:i/>
          <w:sz w:val="24"/>
          <w:szCs w:val="24"/>
        </w:rPr>
        <w:t>supra</w:t>
      </w:r>
      <w:r w:rsidR="00D305F1" w:rsidRPr="0091780F">
        <w:rPr>
          <w:rFonts w:ascii="Arial" w:hAnsi="Arial" w:cs="Arial"/>
          <w:sz w:val="24"/>
          <w:szCs w:val="24"/>
        </w:rPr>
        <w:t>):</w:t>
      </w:r>
    </w:p>
    <w:p w14:paraId="63231B9C" w14:textId="77777777" w:rsidR="00D305F1" w:rsidRPr="00D305F1" w:rsidRDefault="00D305F1" w:rsidP="00D305F1">
      <w:pPr>
        <w:pStyle w:val="ListParagraph"/>
        <w:rPr>
          <w:rFonts w:ascii="Arial" w:hAnsi="Arial" w:cs="Arial"/>
          <w:sz w:val="24"/>
          <w:szCs w:val="24"/>
          <w:u w:val="single"/>
        </w:rPr>
      </w:pPr>
    </w:p>
    <w:p w14:paraId="54E70F34" w14:textId="77777777" w:rsidR="00D305F1" w:rsidRPr="00FA66ED" w:rsidRDefault="00D305F1" w:rsidP="0074416C">
      <w:pPr>
        <w:pStyle w:val="ListParagraph"/>
        <w:spacing w:after="0" w:line="360" w:lineRule="auto"/>
        <w:ind w:left="1440"/>
        <w:jc w:val="both"/>
        <w:rPr>
          <w:rFonts w:ascii="Arial" w:hAnsi="Arial" w:cs="Arial"/>
        </w:rPr>
      </w:pPr>
      <w:r w:rsidRPr="00FA66ED">
        <w:rPr>
          <w:rFonts w:ascii="Arial" w:hAnsi="Arial" w:cs="Arial"/>
        </w:rPr>
        <w:t>“</w:t>
      </w:r>
      <w:r w:rsidR="0096709A" w:rsidRPr="00FA66ED">
        <w:rPr>
          <w:rFonts w:ascii="Arial" w:hAnsi="Arial" w:cs="Arial"/>
        </w:rPr>
        <w:t>An</w:t>
      </w:r>
      <w:r w:rsidR="00E037EC">
        <w:rPr>
          <w:rFonts w:ascii="Arial" w:hAnsi="Arial" w:cs="Arial"/>
        </w:rPr>
        <w:t>d</w:t>
      </w:r>
      <w:r w:rsidR="0096709A" w:rsidRPr="00FA66ED">
        <w:rPr>
          <w:rFonts w:ascii="Arial" w:hAnsi="Arial" w:cs="Arial"/>
        </w:rPr>
        <w:t xml:space="preserve"> ordered judicial process would be negated if, on the other hand, a party who could offer no explanation of his default other than his disdain </w:t>
      </w:r>
      <w:r w:rsidR="00E037EC">
        <w:rPr>
          <w:rFonts w:ascii="Arial" w:hAnsi="Arial" w:cs="Arial"/>
        </w:rPr>
        <w:t>of</w:t>
      </w:r>
      <w:r w:rsidR="0096709A" w:rsidRPr="00FA66ED">
        <w:rPr>
          <w:rFonts w:ascii="Arial" w:hAnsi="Arial" w:cs="Arial"/>
        </w:rPr>
        <w:t xml:space="preserve"> the Rules was nevertheless permitted to have a judgment against him rescinded on the ground that he had reasonable prospects of success on the merits”.</w:t>
      </w:r>
    </w:p>
    <w:p w14:paraId="3F3F2E6F" w14:textId="77777777" w:rsidR="00D305F1" w:rsidRPr="00D305F1" w:rsidRDefault="00D305F1" w:rsidP="00D305F1">
      <w:pPr>
        <w:pStyle w:val="ListParagraph"/>
        <w:rPr>
          <w:rFonts w:ascii="Arial" w:hAnsi="Arial" w:cs="Arial"/>
          <w:sz w:val="24"/>
          <w:szCs w:val="24"/>
          <w:u w:val="single"/>
        </w:rPr>
      </w:pPr>
    </w:p>
    <w:p w14:paraId="75E52B6B" w14:textId="5BAF691C" w:rsidR="005F00AF" w:rsidRPr="0091780F" w:rsidRDefault="0091780F" w:rsidP="0091780F">
      <w:pPr>
        <w:spacing w:after="0" w:line="480" w:lineRule="auto"/>
        <w:ind w:left="720" w:hanging="720"/>
        <w:jc w:val="both"/>
        <w:rPr>
          <w:rFonts w:ascii="Arial" w:hAnsi="Arial" w:cs="Arial"/>
          <w:sz w:val="24"/>
          <w:szCs w:val="24"/>
          <w:u w:val="single"/>
        </w:rPr>
      </w:pPr>
      <w:r w:rsidRPr="00E037EC">
        <w:rPr>
          <w:rFonts w:ascii="Arial" w:hAnsi="Arial" w:cs="Arial"/>
          <w:sz w:val="24"/>
          <w:szCs w:val="24"/>
        </w:rPr>
        <w:t>31.</w:t>
      </w:r>
      <w:r w:rsidRPr="00E037EC">
        <w:rPr>
          <w:rFonts w:ascii="Arial" w:hAnsi="Arial" w:cs="Arial"/>
          <w:sz w:val="24"/>
          <w:szCs w:val="24"/>
        </w:rPr>
        <w:tab/>
      </w:r>
      <w:r w:rsidR="0096709A" w:rsidRPr="0091780F">
        <w:rPr>
          <w:rFonts w:ascii="Arial" w:hAnsi="Arial" w:cs="Arial"/>
          <w:sz w:val="24"/>
          <w:szCs w:val="24"/>
        </w:rPr>
        <w:t>B</w:t>
      </w:r>
      <w:r w:rsidR="005C5A6D" w:rsidRPr="0091780F">
        <w:rPr>
          <w:rFonts w:ascii="Arial" w:hAnsi="Arial" w:cs="Arial"/>
          <w:sz w:val="24"/>
          <w:szCs w:val="24"/>
        </w:rPr>
        <w:t>oth the common law and Rule 31(2)(b) are similar in this regard sufficient cause to be shown under the common law and “</w:t>
      </w:r>
      <w:r w:rsidR="005C5A6D" w:rsidRPr="0091780F">
        <w:rPr>
          <w:rFonts w:ascii="Arial" w:hAnsi="Arial" w:cs="Arial"/>
          <w:i/>
          <w:sz w:val="24"/>
          <w:szCs w:val="24"/>
        </w:rPr>
        <w:t>good cause</w:t>
      </w:r>
      <w:r w:rsidR="005C5A6D" w:rsidRPr="0091780F">
        <w:rPr>
          <w:rFonts w:ascii="Arial" w:hAnsi="Arial" w:cs="Arial"/>
          <w:sz w:val="24"/>
          <w:szCs w:val="24"/>
        </w:rPr>
        <w:t xml:space="preserve">” in terms of the Rule.  These terms </w:t>
      </w:r>
      <w:r w:rsidR="008A2341" w:rsidRPr="0091780F">
        <w:rPr>
          <w:rFonts w:ascii="Arial" w:hAnsi="Arial" w:cs="Arial"/>
          <w:sz w:val="24"/>
          <w:szCs w:val="24"/>
        </w:rPr>
        <w:t>it</w:t>
      </w:r>
      <w:r w:rsidR="005C5A6D" w:rsidRPr="0091780F">
        <w:rPr>
          <w:rFonts w:ascii="Arial" w:hAnsi="Arial" w:cs="Arial"/>
          <w:sz w:val="24"/>
          <w:szCs w:val="24"/>
        </w:rPr>
        <w:t xml:space="preserve"> has been held are synonymous and interchangeable.</w:t>
      </w:r>
      <w:r w:rsidR="005C5A6D">
        <w:rPr>
          <w:rStyle w:val="FootnoteReference"/>
          <w:rFonts w:ascii="Arial" w:hAnsi="Arial" w:cs="Arial"/>
          <w:sz w:val="24"/>
          <w:szCs w:val="24"/>
        </w:rPr>
        <w:footnoteReference w:id="3"/>
      </w:r>
      <w:r w:rsidR="005C5A6D" w:rsidRPr="0091780F">
        <w:rPr>
          <w:rFonts w:ascii="Arial" w:hAnsi="Arial" w:cs="Arial"/>
          <w:sz w:val="24"/>
          <w:szCs w:val="24"/>
        </w:rPr>
        <w:t xml:space="preserve">  </w:t>
      </w:r>
    </w:p>
    <w:p w14:paraId="73BF9291" w14:textId="77777777" w:rsidR="00E037EC" w:rsidRPr="005C5A6D" w:rsidRDefault="00E037EC" w:rsidP="00E037EC">
      <w:pPr>
        <w:pStyle w:val="ListParagraph"/>
        <w:spacing w:after="0" w:line="480" w:lineRule="auto"/>
        <w:jc w:val="both"/>
        <w:rPr>
          <w:rFonts w:ascii="Arial" w:hAnsi="Arial" w:cs="Arial"/>
          <w:sz w:val="24"/>
          <w:szCs w:val="24"/>
          <w:u w:val="single"/>
        </w:rPr>
      </w:pPr>
    </w:p>
    <w:p w14:paraId="1766B7B2" w14:textId="3B5EB385" w:rsidR="000E0518" w:rsidRPr="0091780F" w:rsidRDefault="0091780F" w:rsidP="0091780F">
      <w:pPr>
        <w:spacing w:after="0" w:line="480" w:lineRule="auto"/>
        <w:ind w:left="720" w:hanging="720"/>
        <w:jc w:val="both"/>
        <w:rPr>
          <w:rFonts w:ascii="Arial" w:hAnsi="Arial" w:cs="Arial"/>
          <w:sz w:val="24"/>
          <w:szCs w:val="24"/>
          <w:u w:val="single"/>
        </w:rPr>
      </w:pPr>
      <w:r w:rsidRPr="000E0518">
        <w:rPr>
          <w:rFonts w:ascii="Arial" w:hAnsi="Arial" w:cs="Arial"/>
          <w:sz w:val="24"/>
          <w:szCs w:val="24"/>
        </w:rPr>
        <w:t>32.</w:t>
      </w:r>
      <w:r w:rsidRPr="000E0518">
        <w:rPr>
          <w:rFonts w:ascii="Arial" w:hAnsi="Arial" w:cs="Arial"/>
          <w:sz w:val="24"/>
          <w:szCs w:val="24"/>
        </w:rPr>
        <w:tab/>
      </w:r>
      <w:r w:rsidR="005C5A6D" w:rsidRPr="0091780F">
        <w:rPr>
          <w:rFonts w:ascii="Arial" w:hAnsi="Arial" w:cs="Arial"/>
          <w:sz w:val="24"/>
          <w:szCs w:val="24"/>
        </w:rPr>
        <w:t xml:space="preserve">In </w:t>
      </w:r>
      <w:r w:rsidR="005C5A6D" w:rsidRPr="0091780F">
        <w:rPr>
          <w:rFonts w:ascii="Arial" w:hAnsi="Arial" w:cs="Arial"/>
          <w:b/>
          <w:sz w:val="24"/>
          <w:szCs w:val="24"/>
        </w:rPr>
        <w:t>Harris</w:t>
      </w:r>
      <w:r w:rsidR="005C5A6D" w:rsidRPr="0091780F">
        <w:rPr>
          <w:rFonts w:ascii="Arial" w:hAnsi="Arial" w:cs="Arial"/>
          <w:sz w:val="24"/>
          <w:szCs w:val="24"/>
        </w:rPr>
        <w:t xml:space="preserve"> (</w:t>
      </w:r>
      <w:r w:rsidR="005C5A6D" w:rsidRPr="0091780F">
        <w:rPr>
          <w:rFonts w:ascii="Arial" w:hAnsi="Arial" w:cs="Arial"/>
          <w:i/>
          <w:sz w:val="24"/>
          <w:szCs w:val="24"/>
        </w:rPr>
        <w:t>supra</w:t>
      </w:r>
      <w:r w:rsidR="005C5A6D" w:rsidRPr="0091780F">
        <w:rPr>
          <w:rFonts w:ascii="Arial" w:hAnsi="Arial" w:cs="Arial"/>
          <w:sz w:val="24"/>
          <w:szCs w:val="24"/>
        </w:rPr>
        <w:t>) it was pointed out that</w:t>
      </w:r>
      <w:r w:rsidR="000E0518" w:rsidRPr="0091780F">
        <w:rPr>
          <w:rFonts w:ascii="Arial" w:hAnsi="Arial" w:cs="Arial"/>
          <w:sz w:val="24"/>
          <w:szCs w:val="24"/>
        </w:rPr>
        <w:t>:</w:t>
      </w:r>
    </w:p>
    <w:p w14:paraId="5AA1D43F" w14:textId="77777777" w:rsidR="000E0518" w:rsidRPr="000E0518" w:rsidRDefault="000E0518" w:rsidP="000E0518">
      <w:pPr>
        <w:pStyle w:val="ListParagraph"/>
        <w:rPr>
          <w:rFonts w:ascii="Arial" w:hAnsi="Arial" w:cs="Arial"/>
          <w:sz w:val="24"/>
          <w:szCs w:val="24"/>
        </w:rPr>
      </w:pPr>
    </w:p>
    <w:p w14:paraId="0D5851A7" w14:textId="77777777" w:rsidR="005C5A6D" w:rsidRPr="00FA66ED" w:rsidRDefault="005C5A6D" w:rsidP="0074416C">
      <w:pPr>
        <w:pStyle w:val="ListParagraph"/>
        <w:spacing w:after="0" w:line="360" w:lineRule="auto"/>
        <w:ind w:left="1440"/>
        <w:jc w:val="both"/>
        <w:rPr>
          <w:rFonts w:ascii="Arial" w:hAnsi="Arial" w:cs="Arial"/>
        </w:rPr>
      </w:pPr>
      <w:r w:rsidRPr="00FA66ED">
        <w:rPr>
          <w:rFonts w:ascii="Arial" w:hAnsi="Arial" w:cs="Arial"/>
        </w:rPr>
        <w:t>“</w:t>
      </w:r>
      <w:r w:rsidR="00FA66ED" w:rsidRPr="00FA66ED">
        <w:rPr>
          <w:rFonts w:ascii="Arial" w:hAnsi="Arial" w:cs="Arial"/>
        </w:rPr>
        <w:t>T</w:t>
      </w:r>
      <w:r w:rsidRPr="00FA66ED">
        <w:rPr>
          <w:rFonts w:ascii="Arial" w:hAnsi="Arial" w:cs="Arial"/>
        </w:rPr>
        <w:t xml:space="preserve">he absence of ‘wilful default’ does not appear to be an express requirement under Rule 31(2)(b) </w:t>
      </w:r>
      <w:r w:rsidR="008A2341">
        <w:rPr>
          <w:rFonts w:ascii="Arial" w:hAnsi="Arial" w:cs="Arial"/>
        </w:rPr>
        <w:t xml:space="preserve">or </w:t>
      </w:r>
      <w:r w:rsidRPr="00FA66ED">
        <w:rPr>
          <w:rFonts w:ascii="Arial" w:hAnsi="Arial" w:cs="Arial"/>
        </w:rPr>
        <w:t>under the common law</w:t>
      </w:r>
      <w:r w:rsidR="003B25AC" w:rsidRPr="00FA66ED">
        <w:rPr>
          <w:rFonts w:ascii="Arial" w:hAnsi="Arial" w:cs="Arial"/>
        </w:rPr>
        <w:t xml:space="preserve">.  It is, however, clear law that an enquiry </w:t>
      </w:r>
      <w:r w:rsidR="008A2341">
        <w:rPr>
          <w:rFonts w:ascii="Arial" w:hAnsi="Arial" w:cs="Arial"/>
        </w:rPr>
        <w:t xml:space="preserve">whether </w:t>
      </w:r>
      <w:r w:rsidR="003B25AC" w:rsidRPr="00FA66ED">
        <w:rPr>
          <w:rFonts w:ascii="Arial" w:hAnsi="Arial" w:cs="Arial"/>
        </w:rPr>
        <w:t xml:space="preserve">sufficient cause has been shown is inextricably linked to or dependent upon whether the applicant acted in wilful disregard of the Court Rules, processes and time limits.  While wilful default may not be an absolute or independent ground for a refusal of a rescission application, </w:t>
      </w:r>
      <w:r w:rsidR="003E22F5">
        <w:rPr>
          <w:rFonts w:ascii="Arial" w:hAnsi="Arial" w:cs="Arial"/>
        </w:rPr>
        <w:t xml:space="preserve">a </w:t>
      </w:r>
      <w:r w:rsidR="003B25AC" w:rsidRPr="00FA66ED">
        <w:rPr>
          <w:rFonts w:ascii="Arial" w:hAnsi="Arial" w:cs="Arial"/>
        </w:rPr>
        <w:t xml:space="preserve">display of wilful neglect or </w:t>
      </w:r>
      <w:r w:rsidR="000E0518" w:rsidRPr="00FA66ED">
        <w:rPr>
          <w:rFonts w:ascii="Arial" w:hAnsi="Arial" w:cs="Arial"/>
        </w:rPr>
        <w:t>deliberate default in preventing judgment being entered would sorely co-exist with sufficient cause.”</w:t>
      </w:r>
      <w:r w:rsidR="008A2341">
        <w:rPr>
          <w:rStyle w:val="FootnoteReference"/>
          <w:rFonts w:ascii="Arial" w:hAnsi="Arial" w:cs="Arial"/>
        </w:rPr>
        <w:footnoteReference w:id="4"/>
      </w:r>
    </w:p>
    <w:p w14:paraId="10412234" w14:textId="77777777" w:rsidR="000E0518" w:rsidRPr="005F00AF" w:rsidRDefault="000E0518" w:rsidP="000E0518">
      <w:pPr>
        <w:pStyle w:val="ListParagraph"/>
        <w:spacing w:after="0" w:line="480" w:lineRule="auto"/>
        <w:jc w:val="both"/>
        <w:rPr>
          <w:rFonts w:ascii="Arial" w:hAnsi="Arial" w:cs="Arial"/>
          <w:sz w:val="24"/>
          <w:szCs w:val="24"/>
          <w:u w:val="single"/>
        </w:rPr>
      </w:pPr>
    </w:p>
    <w:p w14:paraId="2DC9D0A6" w14:textId="4887E826" w:rsidR="000E0518" w:rsidRPr="0091780F" w:rsidRDefault="0091780F" w:rsidP="0091780F">
      <w:pPr>
        <w:spacing w:after="0" w:line="480" w:lineRule="auto"/>
        <w:ind w:left="720" w:hanging="720"/>
        <w:jc w:val="both"/>
        <w:rPr>
          <w:rFonts w:ascii="Arial" w:hAnsi="Arial" w:cs="Arial"/>
          <w:sz w:val="24"/>
          <w:szCs w:val="24"/>
          <w:u w:val="single"/>
        </w:rPr>
      </w:pPr>
      <w:r w:rsidRPr="000E0518">
        <w:rPr>
          <w:rFonts w:ascii="Arial" w:hAnsi="Arial" w:cs="Arial"/>
          <w:sz w:val="24"/>
          <w:szCs w:val="24"/>
        </w:rPr>
        <w:t>33.</w:t>
      </w:r>
      <w:r w:rsidRPr="000E0518">
        <w:rPr>
          <w:rFonts w:ascii="Arial" w:hAnsi="Arial" w:cs="Arial"/>
          <w:sz w:val="24"/>
          <w:szCs w:val="24"/>
        </w:rPr>
        <w:tab/>
      </w:r>
      <w:r w:rsidR="000E0518" w:rsidRPr="0091780F">
        <w:rPr>
          <w:rFonts w:ascii="Arial" w:hAnsi="Arial" w:cs="Arial"/>
          <w:sz w:val="24"/>
          <w:szCs w:val="24"/>
        </w:rPr>
        <w:t xml:space="preserve">In </w:t>
      </w:r>
      <w:r w:rsidR="000E0518" w:rsidRPr="0091780F">
        <w:rPr>
          <w:rFonts w:ascii="Arial" w:hAnsi="Arial" w:cs="Arial"/>
          <w:b/>
          <w:sz w:val="24"/>
          <w:szCs w:val="24"/>
        </w:rPr>
        <w:t>Harris</w:t>
      </w:r>
      <w:r w:rsidR="000E0518" w:rsidRPr="0091780F">
        <w:rPr>
          <w:rFonts w:ascii="Arial" w:hAnsi="Arial" w:cs="Arial"/>
          <w:sz w:val="24"/>
          <w:szCs w:val="24"/>
        </w:rPr>
        <w:t xml:space="preserve"> it was pointed out that wilful default is characterised by an indifference as to what the consequences would be rather than of </w:t>
      </w:r>
      <w:r w:rsidR="003E22F5" w:rsidRPr="0091780F">
        <w:rPr>
          <w:rFonts w:ascii="Arial" w:hAnsi="Arial" w:cs="Arial"/>
          <w:sz w:val="24"/>
          <w:szCs w:val="24"/>
        </w:rPr>
        <w:t xml:space="preserve">wilfulness </w:t>
      </w:r>
      <w:r w:rsidR="000E0518" w:rsidRPr="0091780F">
        <w:rPr>
          <w:rFonts w:ascii="Arial" w:hAnsi="Arial" w:cs="Arial"/>
          <w:sz w:val="24"/>
          <w:szCs w:val="24"/>
        </w:rPr>
        <w:t xml:space="preserve">to accept them.  </w:t>
      </w:r>
    </w:p>
    <w:p w14:paraId="32564D24" w14:textId="77777777" w:rsidR="000E0518" w:rsidRPr="000E0518" w:rsidRDefault="000E0518" w:rsidP="000E0518">
      <w:pPr>
        <w:pStyle w:val="ListParagraph"/>
        <w:spacing w:after="0" w:line="480" w:lineRule="auto"/>
        <w:jc w:val="both"/>
        <w:rPr>
          <w:rFonts w:ascii="Arial" w:hAnsi="Arial" w:cs="Arial"/>
          <w:sz w:val="24"/>
          <w:szCs w:val="24"/>
          <w:u w:val="single"/>
        </w:rPr>
      </w:pPr>
    </w:p>
    <w:p w14:paraId="33DA39F1" w14:textId="188FA0C4" w:rsidR="005F00AF" w:rsidRPr="0091780F" w:rsidRDefault="0091780F" w:rsidP="0091780F">
      <w:pPr>
        <w:spacing w:after="0" w:line="480" w:lineRule="auto"/>
        <w:ind w:left="720" w:hanging="720"/>
        <w:jc w:val="both"/>
        <w:rPr>
          <w:rFonts w:ascii="Arial" w:hAnsi="Arial" w:cs="Arial"/>
          <w:sz w:val="24"/>
          <w:szCs w:val="24"/>
          <w:u w:val="single"/>
        </w:rPr>
      </w:pPr>
      <w:r w:rsidRPr="000E0518">
        <w:rPr>
          <w:rFonts w:ascii="Arial" w:hAnsi="Arial" w:cs="Arial"/>
          <w:sz w:val="24"/>
          <w:szCs w:val="24"/>
        </w:rPr>
        <w:t>34.</w:t>
      </w:r>
      <w:r w:rsidRPr="000E0518">
        <w:rPr>
          <w:rFonts w:ascii="Arial" w:hAnsi="Arial" w:cs="Arial"/>
          <w:sz w:val="24"/>
          <w:szCs w:val="24"/>
        </w:rPr>
        <w:tab/>
      </w:r>
      <w:r w:rsidR="000E0518" w:rsidRPr="0091780F">
        <w:rPr>
          <w:rFonts w:ascii="Arial" w:hAnsi="Arial" w:cs="Arial"/>
          <w:sz w:val="24"/>
          <w:szCs w:val="24"/>
        </w:rPr>
        <w:t xml:space="preserve">In </w:t>
      </w:r>
      <w:r w:rsidR="000E0518" w:rsidRPr="0091780F">
        <w:rPr>
          <w:rFonts w:ascii="Arial" w:hAnsi="Arial" w:cs="Arial"/>
          <w:b/>
          <w:sz w:val="24"/>
          <w:szCs w:val="24"/>
        </w:rPr>
        <w:t>Neuman (Pvt) Ltd v Marks</w:t>
      </w:r>
      <w:r w:rsidR="000E0518">
        <w:rPr>
          <w:rStyle w:val="FootnoteReference"/>
          <w:rFonts w:ascii="Arial" w:hAnsi="Arial" w:cs="Arial"/>
          <w:b/>
          <w:sz w:val="24"/>
          <w:szCs w:val="24"/>
        </w:rPr>
        <w:footnoteReference w:id="5"/>
      </w:r>
      <w:r w:rsidR="000E0518" w:rsidRPr="0091780F">
        <w:rPr>
          <w:rFonts w:ascii="Arial" w:hAnsi="Arial" w:cs="Arial"/>
          <w:sz w:val="24"/>
          <w:szCs w:val="24"/>
        </w:rPr>
        <w:t xml:space="preserve"> it was pointed out that a defendant may be most unwilling to suffer a judgment to be entered against him and the consequences may be such that he or it cannot be indifferent to them particular</w:t>
      </w:r>
      <w:r w:rsidR="005A6CFA" w:rsidRPr="0091780F">
        <w:rPr>
          <w:rFonts w:ascii="Arial" w:hAnsi="Arial" w:cs="Arial"/>
          <w:sz w:val="24"/>
          <w:szCs w:val="24"/>
        </w:rPr>
        <w:t>ly</w:t>
      </w:r>
      <w:r w:rsidR="000E0518" w:rsidRPr="0091780F">
        <w:rPr>
          <w:rFonts w:ascii="Arial" w:hAnsi="Arial" w:cs="Arial"/>
          <w:sz w:val="24"/>
          <w:szCs w:val="24"/>
        </w:rPr>
        <w:t xml:space="preserve"> where he has placed the plea and counterclaim  on record.  The court went on to say:</w:t>
      </w:r>
    </w:p>
    <w:p w14:paraId="55EDA08D" w14:textId="77777777" w:rsidR="000E0518" w:rsidRPr="000E0518" w:rsidRDefault="000E0518" w:rsidP="000E0518">
      <w:pPr>
        <w:pStyle w:val="ListParagraph"/>
        <w:rPr>
          <w:rFonts w:ascii="Arial" w:hAnsi="Arial" w:cs="Arial"/>
          <w:sz w:val="24"/>
          <w:szCs w:val="24"/>
          <w:u w:val="single"/>
        </w:rPr>
      </w:pPr>
    </w:p>
    <w:p w14:paraId="18351E70" w14:textId="77777777" w:rsidR="000E0518" w:rsidRPr="00FA66ED" w:rsidRDefault="000E0518" w:rsidP="0074416C">
      <w:pPr>
        <w:pStyle w:val="ListParagraph"/>
        <w:spacing w:after="0" w:line="360" w:lineRule="auto"/>
        <w:ind w:left="1440"/>
        <w:jc w:val="both"/>
        <w:rPr>
          <w:rFonts w:ascii="Arial" w:hAnsi="Arial" w:cs="Arial"/>
        </w:rPr>
      </w:pPr>
      <w:r w:rsidRPr="00FA66ED">
        <w:rPr>
          <w:rFonts w:ascii="Arial" w:hAnsi="Arial" w:cs="Arial"/>
        </w:rPr>
        <w:t>“The true test, to my mind, is whether the default is a deliberate one – i.e. when a defendant with full knowledge of the set down and of the risks attendant on his default, freely takes a decision to refrain from appearing”.</w:t>
      </w:r>
    </w:p>
    <w:p w14:paraId="48DD60AA" w14:textId="77777777" w:rsidR="000E0518" w:rsidRPr="000E0518" w:rsidRDefault="000E0518" w:rsidP="000E0518">
      <w:pPr>
        <w:pStyle w:val="ListParagraph"/>
        <w:rPr>
          <w:rFonts w:ascii="Arial" w:hAnsi="Arial" w:cs="Arial"/>
          <w:sz w:val="24"/>
          <w:szCs w:val="24"/>
          <w:u w:val="single"/>
        </w:rPr>
      </w:pPr>
    </w:p>
    <w:p w14:paraId="6FD23983" w14:textId="2DFBA9B5" w:rsidR="000E0518" w:rsidRPr="0091780F" w:rsidRDefault="0091780F" w:rsidP="0091780F">
      <w:pPr>
        <w:spacing w:after="0" w:line="480" w:lineRule="auto"/>
        <w:ind w:left="720" w:hanging="720"/>
        <w:jc w:val="both"/>
        <w:rPr>
          <w:rFonts w:ascii="Arial" w:hAnsi="Arial" w:cs="Arial"/>
          <w:sz w:val="24"/>
          <w:szCs w:val="24"/>
          <w:u w:val="single"/>
        </w:rPr>
      </w:pPr>
      <w:r w:rsidRPr="000E0518">
        <w:rPr>
          <w:rFonts w:ascii="Arial" w:hAnsi="Arial" w:cs="Arial"/>
          <w:sz w:val="24"/>
          <w:szCs w:val="24"/>
        </w:rPr>
        <w:lastRenderedPageBreak/>
        <w:t>35.</w:t>
      </w:r>
      <w:r w:rsidRPr="000E0518">
        <w:rPr>
          <w:rFonts w:ascii="Arial" w:hAnsi="Arial" w:cs="Arial"/>
          <w:sz w:val="24"/>
          <w:szCs w:val="24"/>
        </w:rPr>
        <w:tab/>
      </w:r>
      <w:r w:rsidR="000E0518" w:rsidRPr="0091780F">
        <w:rPr>
          <w:rFonts w:ascii="Arial" w:hAnsi="Arial" w:cs="Arial"/>
          <w:sz w:val="24"/>
          <w:szCs w:val="24"/>
        </w:rPr>
        <w:t xml:space="preserve">In </w:t>
      </w:r>
      <w:r w:rsidR="000E0518" w:rsidRPr="0091780F">
        <w:rPr>
          <w:rFonts w:ascii="Arial" w:hAnsi="Arial" w:cs="Arial"/>
          <w:b/>
          <w:sz w:val="24"/>
          <w:szCs w:val="24"/>
        </w:rPr>
        <w:t>Maeujean t/a Audio Video Agencies v Standard Bank of SA Ltd</w:t>
      </w:r>
      <w:r w:rsidR="000E0518">
        <w:rPr>
          <w:rStyle w:val="FootnoteReference"/>
          <w:rFonts w:ascii="Arial" w:hAnsi="Arial" w:cs="Arial"/>
          <w:sz w:val="24"/>
          <w:szCs w:val="24"/>
        </w:rPr>
        <w:footnoteReference w:id="6"/>
      </w:r>
      <w:r w:rsidR="000E0518" w:rsidRPr="0091780F">
        <w:rPr>
          <w:rFonts w:ascii="Arial" w:hAnsi="Arial" w:cs="Arial"/>
          <w:b/>
          <w:sz w:val="24"/>
          <w:szCs w:val="24"/>
        </w:rPr>
        <w:t xml:space="preserve"> </w:t>
      </w:r>
      <w:r w:rsidR="000E0518" w:rsidRPr="0091780F">
        <w:rPr>
          <w:rFonts w:ascii="Arial" w:hAnsi="Arial" w:cs="Arial"/>
          <w:sz w:val="24"/>
          <w:szCs w:val="24"/>
        </w:rPr>
        <w:t>King J</w:t>
      </w:r>
      <w:r w:rsidR="003E22F5" w:rsidRPr="0091780F">
        <w:rPr>
          <w:rFonts w:ascii="Arial" w:hAnsi="Arial" w:cs="Arial"/>
          <w:sz w:val="24"/>
          <w:szCs w:val="24"/>
        </w:rPr>
        <w:t>,</w:t>
      </w:r>
      <w:r w:rsidR="000E0518" w:rsidRPr="0091780F">
        <w:rPr>
          <w:rFonts w:ascii="Arial" w:hAnsi="Arial" w:cs="Arial"/>
          <w:sz w:val="24"/>
          <w:szCs w:val="24"/>
        </w:rPr>
        <w:t xml:space="preserve"> following the above</w:t>
      </w:r>
      <w:r w:rsidR="003E22F5" w:rsidRPr="0091780F">
        <w:rPr>
          <w:rFonts w:ascii="Arial" w:hAnsi="Arial" w:cs="Arial"/>
          <w:sz w:val="24"/>
          <w:szCs w:val="24"/>
        </w:rPr>
        <w:t>,</w:t>
      </w:r>
      <w:r w:rsidR="000E0518" w:rsidRPr="0091780F">
        <w:rPr>
          <w:rFonts w:ascii="Arial" w:hAnsi="Arial" w:cs="Arial"/>
          <w:sz w:val="24"/>
          <w:szCs w:val="24"/>
        </w:rPr>
        <w:t xml:space="preserve"> said that:</w:t>
      </w:r>
    </w:p>
    <w:p w14:paraId="6EF55C09" w14:textId="77777777" w:rsidR="000E0518" w:rsidRDefault="000E0518" w:rsidP="000E0518">
      <w:pPr>
        <w:pStyle w:val="ListParagraph"/>
        <w:spacing w:after="0" w:line="480" w:lineRule="auto"/>
        <w:jc w:val="both"/>
        <w:rPr>
          <w:rFonts w:ascii="Arial" w:hAnsi="Arial" w:cs="Arial"/>
          <w:sz w:val="24"/>
          <w:szCs w:val="24"/>
          <w:u w:val="single"/>
        </w:rPr>
      </w:pPr>
    </w:p>
    <w:p w14:paraId="55D8B270" w14:textId="77777777" w:rsidR="000E0518" w:rsidRPr="00FA66ED" w:rsidRDefault="000E0518" w:rsidP="0074416C">
      <w:pPr>
        <w:pStyle w:val="ListParagraph"/>
        <w:spacing w:after="0" w:line="360" w:lineRule="auto"/>
        <w:ind w:left="1440"/>
        <w:jc w:val="both"/>
        <w:rPr>
          <w:rFonts w:ascii="Arial" w:hAnsi="Arial" w:cs="Arial"/>
        </w:rPr>
      </w:pPr>
      <w:r w:rsidRPr="00FA66ED">
        <w:rPr>
          <w:rFonts w:ascii="Arial" w:hAnsi="Arial" w:cs="Arial"/>
        </w:rPr>
        <w:t xml:space="preserve">“More specifically in the context of </w:t>
      </w:r>
      <w:r w:rsidR="008A2341">
        <w:rPr>
          <w:rFonts w:ascii="Arial" w:hAnsi="Arial" w:cs="Arial"/>
        </w:rPr>
        <w:t>a</w:t>
      </w:r>
      <w:r w:rsidRPr="00FA66ED">
        <w:rPr>
          <w:rFonts w:ascii="Arial" w:hAnsi="Arial" w:cs="Arial"/>
        </w:rPr>
        <w:t xml:space="preserve"> default judgment </w:t>
      </w:r>
      <w:r w:rsidR="008A2341">
        <w:rPr>
          <w:rFonts w:ascii="Arial" w:hAnsi="Arial" w:cs="Arial"/>
        </w:rPr>
        <w:t>‘</w:t>
      </w:r>
      <w:r w:rsidRPr="008A2341">
        <w:rPr>
          <w:rFonts w:ascii="Arial" w:hAnsi="Arial" w:cs="Arial"/>
          <w:i/>
        </w:rPr>
        <w:t>wilful</w:t>
      </w:r>
      <w:r w:rsidR="008A2341">
        <w:rPr>
          <w:rFonts w:ascii="Arial" w:hAnsi="Arial" w:cs="Arial"/>
        </w:rPr>
        <w:t>’</w:t>
      </w:r>
      <w:r w:rsidRPr="00FA66ED">
        <w:rPr>
          <w:rFonts w:ascii="Arial" w:hAnsi="Arial" w:cs="Arial"/>
        </w:rPr>
        <w:t xml:space="preserve"> connotes deliberateness in the sense of knowledge of the action and of the consequences, </w:t>
      </w:r>
      <w:r w:rsidR="008A2341">
        <w:rPr>
          <w:rFonts w:ascii="Arial" w:hAnsi="Arial" w:cs="Arial"/>
        </w:rPr>
        <w:t xml:space="preserve">i.e. </w:t>
      </w:r>
      <w:r w:rsidRPr="00FA66ED">
        <w:rPr>
          <w:rFonts w:ascii="Arial" w:hAnsi="Arial" w:cs="Arial"/>
        </w:rPr>
        <w:t>its legal consequences and a conscious and freely taken decision to refrain from giving notice of intention to defend, whatever the motivation for this conduct might be.”</w:t>
      </w:r>
      <w:r w:rsidRPr="00FA66ED">
        <w:rPr>
          <w:rStyle w:val="FootnoteReference"/>
          <w:rFonts w:ascii="Arial" w:hAnsi="Arial" w:cs="Arial"/>
        </w:rPr>
        <w:footnoteReference w:id="7"/>
      </w:r>
      <w:r w:rsidRPr="00FA66ED">
        <w:rPr>
          <w:rFonts w:ascii="Arial" w:hAnsi="Arial" w:cs="Arial"/>
        </w:rPr>
        <w:t xml:space="preserve"> </w:t>
      </w:r>
    </w:p>
    <w:p w14:paraId="7542658D" w14:textId="77777777" w:rsidR="000E0518" w:rsidRPr="000E0518" w:rsidRDefault="000E0518" w:rsidP="000E0518">
      <w:pPr>
        <w:pStyle w:val="ListParagraph"/>
        <w:spacing w:after="0" w:line="480" w:lineRule="auto"/>
        <w:jc w:val="both"/>
        <w:rPr>
          <w:rFonts w:ascii="Arial" w:hAnsi="Arial" w:cs="Arial"/>
          <w:sz w:val="24"/>
          <w:szCs w:val="24"/>
        </w:rPr>
      </w:pPr>
    </w:p>
    <w:p w14:paraId="0F3EBD86" w14:textId="02A916E8" w:rsidR="000E0518" w:rsidRPr="0091780F" w:rsidRDefault="0091780F" w:rsidP="0091780F">
      <w:pPr>
        <w:spacing w:after="0" w:line="480" w:lineRule="auto"/>
        <w:ind w:left="720" w:hanging="720"/>
        <w:jc w:val="both"/>
        <w:rPr>
          <w:rFonts w:ascii="Arial" w:hAnsi="Arial" w:cs="Arial"/>
          <w:sz w:val="24"/>
          <w:szCs w:val="24"/>
          <w:u w:val="single"/>
        </w:rPr>
      </w:pPr>
      <w:r w:rsidRPr="000E0518">
        <w:rPr>
          <w:rFonts w:ascii="Arial" w:hAnsi="Arial" w:cs="Arial"/>
          <w:sz w:val="24"/>
          <w:szCs w:val="24"/>
        </w:rPr>
        <w:t>36.</w:t>
      </w:r>
      <w:r w:rsidRPr="000E0518">
        <w:rPr>
          <w:rFonts w:ascii="Arial" w:hAnsi="Arial" w:cs="Arial"/>
          <w:sz w:val="24"/>
          <w:szCs w:val="24"/>
        </w:rPr>
        <w:tab/>
      </w:r>
      <w:r w:rsidR="000E0518" w:rsidRPr="0091780F">
        <w:rPr>
          <w:rFonts w:ascii="Arial" w:hAnsi="Arial" w:cs="Arial"/>
          <w:sz w:val="24"/>
          <w:szCs w:val="24"/>
        </w:rPr>
        <w:t xml:space="preserve">Importantly the court in </w:t>
      </w:r>
      <w:r w:rsidR="000E0518" w:rsidRPr="0091780F">
        <w:rPr>
          <w:rFonts w:ascii="Arial" w:hAnsi="Arial" w:cs="Arial"/>
          <w:b/>
          <w:sz w:val="24"/>
          <w:szCs w:val="24"/>
        </w:rPr>
        <w:t>Harris</w:t>
      </w:r>
      <w:r w:rsidR="000E0518" w:rsidRPr="0091780F">
        <w:rPr>
          <w:rFonts w:ascii="Arial" w:hAnsi="Arial" w:cs="Arial"/>
          <w:sz w:val="24"/>
          <w:szCs w:val="24"/>
        </w:rPr>
        <w:t xml:space="preserve"> set out that:</w:t>
      </w:r>
    </w:p>
    <w:p w14:paraId="74F97559" w14:textId="77777777" w:rsidR="000E0518" w:rsidRDefault="000E0518" w:rsidP="000E0518">
      <w:pPr>
        <w:pStyle w:val="ListParagraph"/>
        <w:spacing w:after="0" w:line="480" w:lineRule="auto"/>
        <w:jc w:val="both"/>
        <w:rPr>
          <w:rFonts w:ascii="Arial" w:hAnsi="Arial" w:cs="Arial"/>
          <w:sz w:val="24"/>
          <w:szCs w:val="24"/>
        </w:rPr>
      </w:pPr>
    </w:p>
    <w:p w14:paraId="2117D5F7" w14:textId="77777777" w:rsidR="000E0518" w:rsidRPr="00FA66ED" w:rsidRDefault="000E0518" w:rsidP="0074416C">
      <w:pPr>
        <w:pStyle w:val="ListParagraph"/>
        <w:spacing w:after="0" w:line="360" w:lineRule="auto"/>
        <w:ind w:left="1440"/>
        <w:jc w:val="both"/>
        <w:rPr>
          <w:rFonts w:ascii="Arial" w:hAnsi="Arial" w:cs="Arial"/>
        </w:rPr>
      </w:pPr>
      <w:r w:rsidRPr="00FA66ED">
        <w:rPr>
          <w:rFonts w:ascii="Arial" w:hAnsi="Arial" w:cs="Arial"/>
        </w:rPr>
        <w:t>“[8]</w:t>
      </w:r>
      <w:r w:rsidRPr="00FA66ED">
        <w:rPr>
          <w:rFonts w:ascii="Arial" w:hAnsi="Arial" w:cs="Arial"/>
        </w:rPr>
        <w:tab/>
        <w:t xml:space="preserve">Before an applicant in a rescission of judgment application can be said to be in ‘wilful </w:t>
      </w:r>
      <w:r w:rsidR="002E6D3B" w:rsidRPr="00FA66ED">
        <w:rPr>
          <w:rFonts w:ascii="Arial" w:hAnsi="Arial" w:cs="Arial"/>
        </w:rPr>
        <w:t>default</w:t>
      </w:r>
      <w:r w:rsidRPr="00FA66ED">
        <w:rPr>
          <w:rFonts w:ascii="Arial" w:hAnsi="Arial" w:cs="Arial"/>
        </w:rPr>
        <w:t>’ he or she must bear knowledge of the action brought against him or her and</w:t>
      </w:r>
      <w:r w:rsidR="005A6CFA">
        <w:rPr>
          <w:rFonts w:ascii="Arial" w:hAnsi="Arial" w:cs="Arial"/>
        </w:rPr>
        <w:t>/</w:t>
      </w:r>
      <w:r w:rsidRPr="00FA66ED">
        <w:rPr>
          <w:rFonts w:ascii="Arial" w:hAnsi="Arial" w:cs="Arial"/>
        </w:rPr>
        <w:t>o</w:t>
      </w:r>
      <w:r w:rsidR="008A2341">
        <w:rPr>
          <w:rFonts w:ascii="Arial" w:hAnsi="Arial" w:cs="Arial"/>
        </w:rPr>
        <w:t>r</w:t>
      </w:r>
      <w:r w:rsidRPr="00FA66ED">
        <w:rPr>
          <w:rFonts w:ascii="Arial" w:hAnsi="Arial" w:cs="Arial"/>
        </w:rPr>
        <w:t xml:space="preserve"> the steps required to avoid the default.  Such an applicant must deliberately, be</w:t>
      </w:r>
      <w:r w:rsidR="00E037EC">
        <w:rPr>
          <w:rFonts w:ascii="Arial" w:hAnsi="Arial" w:cs="Arial"/>
        </w:rPr>
        <w:t>ing</w:t>
      </w:r>
      <w:r w:rsidRPr="00FA66ED">
        <w:rPr>
          <w:rFonts w:ascii="Arial" w:hAnsi="Arial" w:cs="Arial"/>
        </w:rPr>
        <w:t xml:space="preserve"> free to do so, fail or omit to take the step </w:t>
      </w:r>
      <w:r w:rsidR="00E26398" w:rsidRPr="00FA66ED">
        <w:rPr>
          <w:rFonts w:ascii="Arial" w:hAnsi="Arial" w:cs="Arial"/>
        </w:rPr>
        <w:t xml:space="preserve">which </w:t>
      </w:r>
      <w:r w:rsidR="002E6D3B" w:rsidRPr="00FA66ED">
        <w:rPr>
          <w:rFonts w:ascii="Arial" w:hAnsi="Arial" w:cs="Arial"/>
        </w:rPr>
        <w:t>would</w:t>
      </w:r>
      <w:r w:rsidRPr="00FA66ED">
        <w:rPr>
          <w:rFonts w:ascii="Arial" w:hAnsi="Arial" w:cs="Arial"/>
        </w:rPr>
        <w:t xml:space="preserve"> avoid the default and must appreciate the legal consequences of his or her actions.”</w:t>
      </w:r>
    </w:p>
    <w:p w14:paraId="2A78174F" w14:textId="77777777" w:rsidR="000E0518" w:rsidRPr="005F00AF" w:rsidRDefault="000E0518" w:rsidP="000E0518">
      <w:pPr>
        <w:pStyle w:val="ListParagraph"/>
        <w:spacing w:after="0" w:line="480" w:lineRule="auto"/>
        <w:jc w:val="both"/>
        <w:rPr>
          <w:rFonts w:ascii="Arial" w:hAnsi="Arial" w:cs="Arial"/>
          <w:sz w:val="24"/>
          <w:szCs w:val="24"/>
          <w:u w:val="single"/>
        </w:rPr>
      </w:pPr>
    </w:p>
    <w:p w14:paraId="5C22FC7A" w14:textId="55BE707B" w:rsidR="000E0518" w:rsidRPr="0091780F" w:rsidRDefault="0091780F" w:rsidP="0091780F">
      <w:pPr>
        <w:spacing w:after="0" w:line="480" w:lineRule="auto"/>
        <w:ind w:left="720" w:hanging="720"/>
        <w:jc w:val="both"/>
        <w:rPr>
          <w:rFonts w:ascii="Arial" w:hAnsi="Arial" w:cs="Arial"/>
          <w:sz w:val="24"/>
          <w:szCs w:val="24"/>
          <w:u w:val="single"/>
        </w:rPr>
      </w:pPr>
      <w:r w:rsidRPr="00F70CAA">
        <w:rPr>
          <w:rFonts w:ascii="Arial" w:hAnsi="Arial" w:cs="Arial"/>
          <w:sz w:val="24"/>
          <w:szCs w:val="24"/>
        </w:rPr>
        <w:t>37.</w:t>
      </w:r>
      <w:r w:rsidRPr="00F70CAA">
        <w:rPr>
          <w:rFonts w:ascii="Arial" w:hAnsi="Arial" w:cs="Arial"/>
          <w:sz w:val="24"/>
          <w:szCs w:val="24"/>
        </w:rPr>
        <w:tab/>
      </w:r>
      <w:r w:rsidR="000E0518" w:rsidRPr="0091780F">
        <w:rPr>
          <w:rFonts w:ascii="Arial" w:hAnsi="Arial" w:cs="Arial"/>
          <w:b/>
          <w:sz w:val="24"/>
          <w:szCs w:val="24"/>
        </w:rPr>
        <w:t>Harris</w:t>
      </w:r>
      <w:r w:rsidR="000E0518" w:rsidRPr="0091780F">
        <w:rPr>
          <w:rFonts w:ascii="Arial" w:hAnsi="Arial" w:cs="Arial"/>
          <w:sz w:val="24"/>
          <w:szCs w:val="24"/>
        </w:rPr>
        <w:t xml:space="preserve"> makes it clear </w:t>
      </w:r>
      <w:r w:rsidR="00F70CAA" w:rsidRPr="0091780F">
        <w:rPr>
          <w:rFonts w:ascii="Arial" w:hAnsi="Arial" w:cs="Arial"/>
          <w:sz w:val="24"/>
          <w:szCs w:val="24"/>
        </w:rPr>
        <w:t xml:space="preserve">that even wilful default once demonstrated does not necessarily mean that an applicant is barred from </w:t>
      </w:r>
      <w:r w:rsidR="002E6D3B" w:rsidRPr="0091780F">
        <w:rPr>
          <w:rFonts w:ascii="Arial" w:hAnsi="Arial" w:cs="Arial"/>
          <w:sz w:val="24"/>
          <w:szCs w:val="24"/>
        </w:rPr>
        <w:t>claiming</w:t>
      </w:r>
      <w:r w:rsidR="00F70CAA" w:rsidRPr="0091780F">
        <w:rPr>
          <w:rFonts w:ascii="Arial" w:hAnsi="Arial" w:cs="Arial"/>
          <w:sz w:val="24"/>
          <w:szCs w:val="24"/>
        </w:rPr>
        <w:t xml:space="preserve"> rescission stating that:</w:t>
      </w:r>
    </w:p>
    <w:p w14:paraId="453CB8CD" w14:textId="77777777" w:rsidR="00F70CAA" w:rsidRDefault="00F70CAA" w:rsidP="00F70CAA">
      <w:pPr>
        <w:pStyle w:val="ListParagraph"/>
        <w:spacing w:after="0" w:line="480" w:lineRule="auto"/>
        <w:jc w:val="both"/>
        <w:rPr>
          <w:rFonts w:ascii="Arial" w:hAnsi="Arial" w:cs="Arial"/>
          <w:sz w:val="24"/>
          <w:szCs w:val="24"/>
          <w:u w:val="single"/>
        </w:rPr>
      </w:pPr>
    </w:p>
    <w:p w14:paraId="458A5A34" w14:textId="77777777" w:rsidR="00F70CAA" w:rsidRPr="00FA66ED" w:rsidRDefault="00F70CAA" w:rsidP="0074416C">
      <w:pPr>
        <w:pStyle w:val="ListParagraph"/>
        <w:spacing w:after="0" w:line="360" w:lineRule="auto"/>
        <w:ind w:left="1440"/>
        <w:jc w:val="both"/>
        <w:rPr>
          <w:rFonts w:ascii="Arial" w:hAnsi="Arial" w:cs="Arial"/>
        </w:rPr>
      </w:pPr>
      <w:r w:rsidRPr="00FA66ED">
        <w:rPr>
          <w:rFonts w:ascii="Arial" w:hAnsi="Arial" w:cs="Arial"/>
        </w:rPr>
        <w:t xml:space="preserve">“The Court’s discretion in deciding whether sufficient cause has been established must not be unduly restricted.  In my view, the mental element of the default, whatever description it bears, should be one of the several elements which the court must weigh in determining </w:t>
      </w:r>
      <w:r w:rsidR="00D66C3C" w:rsidRPr="00FA66ED">
        <w:rPr>
          <w:rFonts w:ascii="Arial" w:hAnsi="Arial" w:cs="Arial"/>
        </w:rPr>
        <w:t xml:space="preserve">whether sufficient or good cause has been shown to exist.  In the words of Jones J in </w:t>
      </w:r>
      <w:r w:rsidR="00D66C3C" w:rsidRPr="00FA66ED">
        <w:rPr>
          <w:rFonts w:ascii="Arial" w:hAnsi="Arial" w:cs="Arial"/>
          <w:b/>
        </w:rPr>
        <w:t>De Witts Auto Body Repairs (Pty) Ltd v Fedgen Insurance Co Ltd</w:t>
      </w:r>
      <w:r w:rsidR="00D66C3C" w:rsidRPr="00FA66ED">
        <w:rPr>
          <w:rStyle w:val="FootnoteReference"/>
          <w:rFonts w:ascii="Arial" w:hAnsi="Arial" w:cs="Arial"/>
          <w:b/>
        </w:rPr>
        <w:footnoteReference w:id="8"/>
      </w:r>
      <w:r w:rsidR="00D66C3C" w:rsidRPr="00FA66ED">
        <w:rPr>
          <w:rFonts w:ascii="Arial" w:hAnsi="Arial" w:cs="Arial"/>
        </w:rPr>
        <w:t xml:space="preserve">, ‘… the wilful or negligent or blameless nature of the defendant’s default now becomes one of </w:t>
      </w:r>
      <w:r w:rsidR="00D66C3C" w:rsidRPr="00FA66ED">
        <w:rPr>
          <w:rFonts w:ascii="Arial" w:hAnsi="Arial" w:cs="Arial"/>
        </w:rPr>
        <w:lastRenderedPageBreak/>
        <w:t>the various considerations which the Courts will take into account in the exercise of their discretion to determine whether or not good cause is shown.’”</w:t>
      </w:r>
      <w:r w:rsidR="008A2341">
        <w:rPr>
          <w:rStyle w:val="FootnoteReference"/>
          <w:rFonts w:ascii="Arial" w:hAnsi="Arial" w:cs="Arial"/>
        </w:rPr>
        <w:footnoteReference w:id="9"/>
      </w:r>
    </w:p>
    <w:p w14:paraId="67B34C8A" w14:textId="77777777" w:rsidR="00D66C3C" w:rsidRPr="00D66C3C" w:rsidRDefault="00D66C3C" w:rsidP="00F70CAA">
      <w:pPr>
        <w:pStyle w:val="ListParagraph"/>
        <w:spacing w:after="0" w:line="480" w:lineRule="auto"/>
        <w:jc w:val="both"/>
        <w:rPr>
          <w:rFonts w:ascii="Arial" w:hAnsi="Arial" w:cs="Arial"/>
          <w:sz w:val="24"/>
          <w:szCs w:val="24"/>
        </w:rPr>
      </w:pPr>
    </w:p>
    <w:p w14:paraId="648C2731" w14:textId="4731AE95" w:rsidR="00F70CAA" w:rsidRPr="0091780F" w:rsidRDefault="0091780F" w:rsidP="0091780F">
      <w:pPr>
        <w:spacing w:after="0" w:line="480" w:lineRule="auto"/>
        <w:ind w:left="720" w:hanging="720"/>
        <w:jc w:val="both"/>
        <w:rPr>
          <w:rFonts w:ascii="Arial" w:hAnsi="Arial" w:cs="Arial"/>
          <w:sz w:val="24"/>
          <w:szCs w:val="24"/>
          <w:u w:val="single"/>
        </w:rPr>
      </w:pPr>
      <w:r w:rsidRPr="001912D3">
        <w:rPr>
          <w:rFonts w:ascii="Arial" w:hAnsi="Arial" w:cs="Arial"/>
          <w:sz w:val="24"/>
          <w:szCs w:val="24"/>
        </w:rPr>
        <w:t>38.</w:t>
      </w:r>
      <w:r w:rsidRPr="001912D3">
        <w:rPr>
          <w:rFonts w:ascii="Arial" w:hAnsi="Arial" w:cs="Arial"/>
          <w:sz w:val="24"/>
          <w:szCs w:val="24"/>
        </w:rPr>
        <w:tab/>
      </w:r>
      <w:r w:rsidR="00D66C3C" w:rsidRPr="0091780F">
        <w:rPr>
          <w:rFonts w:ascii="Arial" w:hAnsi="Arial" w:cs="Arial"/>
          <w:sz w:val="24"/>
          <w:szCs w:val="24"/>
        </w:rPr>
        <w:t xml:space="preserve">As was further pointed out in  </w:t>
      </w:r>
      <w:r w:rsidR="00D66C3C" w:rsidRPr="0091780F">
        <w:rPr>
          <w:rFonts w:ascii="Arial" w:hAnsi="Arial" w:cs="Arial"/>
          <w:b/>
          <w:sz w:val="24"/>
          <w:szCs w:val="24"/>
        </w:rPr>
        <w:t>Harris</w:t>
      </w:r>
      <w:r w:rsidR="00D66C3C">
        <w:rPr>
          <w:rStyle w:val="FootnoteReference"/>
          <w:rFonts w:ascii="Arial" w:hAnsi="Arial" w:cs="Arial"/>
          <w:sz w:val="24"/>
          <w:szCs w:val="24"/>
        </w:rPr>
        <w:footnoteReference w:id="10"/>
      </w:r>
      <w:r w:rsidR="00D66C3C" w:rsidRPr="0091780F">
        <w:rPr>
          <w:rFonts w:ascii="Arial" w:hAnsi="Arial" w:cs="Arial"/>
          <w:sz w:val="24"/>
          <w:szCs w:val="24"/>
        </w:rPr>
        <w:t xml:space="preserve"> the Court </w:t>
      </w:r>
      <w:r w:rsidR="008A2341" w:rsidRPr="0091780F">
        <w:rPr>
          <w:rFonts w:ascii="Arial" w:hAnsi="Arial" w:cs="Arial"/>
          <w:sz w:val="24"/>
          <w:szCs w:val="24"/>
        </w:rPr>
        <w:t>seized</w:t>
      </w:r>
      <w:r w:rsidR="00D66C3C" w:rsidRPr="0091780F">
        <w:rPr>
          <w:rFonts w:ascii="Arial" w:hAnsi="Arial" w:cs="Arial"/>
          <w:sz w:val="24"/>
          <w:szCs w:val="24"/>
        </w:rPr>
        <w:t xml:space="preserve"> with an application for rescission</w:t>
      </w:r>
      <w:r w:rsidR="005A6CFA" w:rsidRPr="0091780F">
        <w:rPr>
          <w:rFonts w:ascii="Arial" w:hAnsi="Arial" w:cs="Arial"/>
          <w:sz w:val="24"/>
          <w:szCs w:val="24"/>
        </w:rPr>
        <w:t>,</w:t>
      </w:r>
      <w:r w:rsidR="00D66C3C" w:rsidRPr="0091780F">
        <w:rPr>
          <w:rFonts w:ascii="Arial" w:hAnsi="Arial" w:cs="Arial"/>
          <w:sz w:val="24"/>
          <w:szCs w:val="24"/>
        </w:rPr>
        <w:t xml:space="preserve"> should not, in determining whether good or sufficient cause has been proven, look  at the adequacy or otherwise of the explanation of the default or failure in isolation.    Put otherwise, the explanation good</w:t>
      </w:r>
      <w:r w:rsidR="003E22F5" w:rsidRPr="0091780F">
        <w:rPr>
          <w:rFonts w:ascii="Arial" w:hAnsi="Arial" w:cs="Arial"/>
          <w:sz w:val="24"/>
          <w:szCs w:val="24"/>
        </w:rPr>
        <w:t>,</w:t>
      </w:r>
      <w:r w:rsidR="00D66C3C" w:rsidRPr="0091780F">
        <w:rPr>
          <w:rFonts w:ascii="Arial" w:hAnsi="Arial" w:cs="Arial"/>
          <w:sz w:val="24"/>
          <w:szCs w:val="24"/>
        </w:rPr>
        <w:t xml:space="preserve"> bad or indifferent must be considered in the light of the nature of the defence</w:t>
      </w:r>
      <w:r w:rsidR="001912D3" w:rsidRPr="0091780F">
        <w:rPr>
          <w:rFonts w:ascii="Arial" w:hAnsi="Arial" w:cs="Arial"/>
          <w:sz w:val="24"/>
          <w:szCs w:val="24"/>
        </w:rPr>
        <w:t xml:space="preserve"> which is an important consideration and in the light of all the facts and circumstances of the case as a whole.  </w:t>
      </w:r>
      <w:r w:rsidR="001912D3" w:rsidRPr="0091780F">
        <w:rPr>
          <w:rFonts w:ascii="Arial" w:hAnsi="Arial" w:cs="Arial"/>
          <w:b/>
          <w:sz w:val="24"/>
          <w:szCs w:val="24"/>
        </w:rPr>
        <w:t>Harris</w:t>
      </w:r>
      <w:r w:rsidR="001912D3" w:rsidRPr="0091780F">
        <w:rPr>
          <w:rFonts w:ascii="Arial" w:hAnsi="Arial" w:cs="Arial"/>
          <w:sz w:val="24"/>
          <w:szCs w:val="24"/>
        </w:rPr>
        <w:t xml:space="preserve"> (</w:t>
      </w:r>
      <w:r w:rsidR="001912D3" w:rsidRPr="0091780F">
        <w:rPr>
          <w:rFonts w:ascii="Arial" w:hAnsi="Arial" w:cs="Arial"/>
          <w:i/>
          <w:sz w:val="24"/>
          <w:szCs w:val="24"/>
        </w:rPr>
        <w:t>supra</w:t>
      </w:r>
      <w:r w:rsidR="001912D3" w:rsidRPr="0091780F">
        <w:rPr>
          <w:rFonts w:ascii="Arial" w:hAnsi="Arial" w:cs="Arial"/>
          <w:sz w:val="24"/>
          <w:szCs w:val="24"/>
        </w:rPr>
        <w:t xml:space="preserve">) [10]    </w:t>
      </w:r>
    </w:p>
    <w:p w14:paraId="6FC87391" w14:textId="77777777" w:rsidR="001912D3" w:rsidRPr="001912D3" w:rsidRDefault="001912D3" w:rsidP="001912D3">
      <w:pPr>
        <w:pStyle w:val="ListParagraph"/>
        <w:spacing w:after="0" w:line="480" w:lineRule="auto"/>
        <w:jc w:val="both"/>
        <w:rPr>
          <w:rFonts w:ascii="Arial" w:hAnsi="Arial" w:cs="Arial"/>
          <w:sz w:val="24"/>
          <w:szCs w:val="24"/>
          <w:u w:val="single"/>
        </w:rPr>
      </w:pPr>
    </w:p>
    <w:p w14:paraId="780669AC" w14:textId="7B79C5D9" w:rsidR="001912D3" w:rsidRPr="0091780F" w:rsidRDefault="0091780F" w:rsidP="0091780F">
      <w:pPr>
        <w:spacing w:after="0" w:line="480" w:lineRule="auto"/>
        <w:ind w:left="720" w:hanging="720"/>
        <w:jc w:val="both"/>
        <w:rPr>
          <w:rFonts w:ascii="Arial" w:hAnsi="Arial" w:cs="Arial"/>
          <w:sz w:val="24"/>
          <w:szCs w:val="24"/>
          <w:u w:val="single"/>
        </w:rPr>
      </w:pPr>
      <w:r w:rsidRPr="001912D3">
        <w:rPr>
          <w:rFonts w:ascii="Arial" w:hAnsi="Arial" w:cs="Arial"/>
          <w:sz w:val="24"/>
          <w:szCs w:val="24"/>
        </w:rPr>
        <w:t>39.</w:t>
      </w:r>
      <w:r w:rsidRPr="001912D3">
        <w:rPr>
          <w:rFonts w:ascii="Arial" w:hAnsi="Arial" w:cs="Arial"/>
          <w:sz w:val="24"/>
          <w:szCs w:val="24"/>
        </w:rPr>
        <w:tab/>
      </w:r>
      <w:r w:rsidR="001912D3" w:rsidRPr="0091780F">
        <w:rPr>
          <w:rFonts w:ascii="Arial" w:hAnsi="Arial" w:cs="Arial"/>
          <w:sz w:val="24"/>
          <w:szCs w:val="24"/>
        </w:rPr>
        <w:t xml:space="preserve">The </w:t>
      </w:r>
      <w:r w:rsidR="001912D3" w:rsidRPr="0091780F">
        <w:rPr>
          <w:rFonts w:ascii="Arial" w:hAnsi="Arial" w:cs="Arial"/>
          <w:b/>
          <w:sz w:val="24"/>
          <w:szCs w:val="24"/>
        </w:rPr>
        <w:t>Harris</w:t>
      </w:r>
      <w:r w:rsidR="001912D3" w:rsidRPr="0091780F">
        <w:rPr>
          <w:rFonts w:ascii="Arial" w:hAnsi="Arial" w:cs="Arial"/>
          <w:sz w:val="24"/>
          <w:szCs w:val="24"/>
        </w:rPr>
        <w:t xml:space="preserve"> judgment referred again to </w:t>
      </w:r>
      <w:r w:rsidR="001912D3" w:rsidRPr="0091780F">
        <w:rPr>
          <w:rFonts w:ascii="Arial" w:hAnsi="Arial" w:cs="Arial"/>
          <w:b/>
          <w:sz w:val="24"/>
          <w:szCs w:val="24"/>
        </w:rPr>
        <w:t>De Witts Auto Body Repairs</w:t>
      </w:r>
      <w:r w:rsidR="001912D3" w:rsidRPr="0091780F">
        <w:rPr>
          <w:rFonts w:ascii="Arial" w:hAnsi="Arial" w:cs="Arial"/>
          <w:sz w:val="24"/>
          <w:szCs w:val="24"/>
        </w:rPr>
        <w:t xml:space="preserve"> (</w:t>
      </w:r>
      <w:r w:rsidR="001912D3" w:rsidRPr="0091780F">
        <w:rPr>
          <w:rFonts w:ascii="Arial" w:hAnsi="Arial" w:cs="Arial"/>
          <w:i/>
          <w:sz w:val="24"/>
          <w:szCs w:val="24"/>
        </w:rPr>
        <w:t>supra</w:t>
      </w:r>
      <w:r w:rsidR="001912D3" w:rsidRPr="0091780F">
        <w:rPr>
          <w:rFonts w:ascii="Arial" w:hAnsi="Arial" w:cs="Arial"/>
          <w:sz w:val="24"/>
          <w:szCs w:val="24"/>
        </w:rPr>
        <w:t>) with approval with respect to the following quotation:</w:t>
      </w:r>
    </w:p>
    <w:p w14:paraId="2910F02F" w14:textId="77777777" w:rsidR="001912D3" w:rsidRPr="001912D3" w:rsidRDefault="001912D3" w:rsidP="001912D3">
      <w:pPr>
        <w:pStyle w:val="ListParagraph"/>
        <w:rPr>
          <w:rFonts w:ascii="Arial" w:hAnsi="Arial" w:cs="Arial"/>
          <w:sz w:val="24"/>
          <w:szCs w:val="24"/>
          <w:u w:val="single"/>
        </w:rPr>
      </w:pPr>
    </w:p>
    <w:p w14:paraId="09DB08EE" w14:textId="77777777" w:rsidR="008D1C5F" w:rsidRDefault="008D1C5F" w:rsidP="008D1C5F">
      <w:pPr>
        <w:spacing w:after="0" w:line="360" w:lineRule="auto"/>
        <w:ind w:left="1440"/>
        <w:jc w:val="both"/>
        <w:rPr>
          <w:rFonts w:ascii="Arial" w:eastAsia="Times New Roman" w:hAnsi="Arial" w:cs="Arial"/>
          <w:color w:val="000000"/>
          <w:lang w:val="en-US"/>
        </w:rPr>
      </w:pPr>
      <w:r w:rsidRPr="008D1C5F">
        <w:rPr>
          <w:rFonts w:ascii="Arial" w:eastAsia="Times New Roman" w:hAnsi="Arial" w:cs="Arial"/>
          <w:color w:val="000000"/>
          <w:lang w:val="en-US"/>
        </w:rPr>
        <w:t>[11] In amplifying the nature of the preferable approach in an application for rescission of judgment, I can do no better than quote Jones J with whose </w:t>
      </w:r>
      <w:r w:rsidRPr="008D1C5F">
        <w:rPr>
          <w:rFonts w:ascii="Arial" w:eastAsia="Times New Roman" w:hAnsi="Arial" w:cs="Arial"/>
          <w:i/>
          <w:iCs/>
          <w:color w:val="000000"/>
          <w:lang w:val="en-US"/>
        </w:rPr>
        <w:t>dicta</w:t>
      </w:r>
      <w:r>
        <w:rPr>
          <w:rFonts w:ascii="Arial" w:eastAsia="Times New Roman" w:hAnsi="Arial" w:cs="Arial"/>
          <w:color w:val="000000"/>
          <w:lang w:val="en-US"/>
        </w:rPr>
        <w:t> I am in respectful agreement: </w:t>
      </w:r>
    </w:p>
    <w:p w14:paraId="32F23B5F" w14:textId="77777777" w:rsidR="008D1C5F" w:rsidRPr="008D1C5F" w:rsidRDefault="008D1C5F" w:rsidP="008D1C5F">
      <w:pPr>
        <w:spacing w:after="0" w:line="360" w:lineRule="auto"/>
        <w:ind w:left="1440"/>
        <w:jc w:val="both"/>
        <w:rPr>
          <w:rFonts w:ascii="Arial" w:eastAsia="Times New Roman" w:hAnsi="Arial" w:cs="Arial"/>
          <w:color w:val="000000"/>
          <w:lang w:val="en-US"/>
        </w:rPr>
      </w:pPr>
    </w:p>
    <w:p w14:paraId="11DC8C19" w14:textId="77777777" w:rsidR="001912D3" w:rsidRPr="008D1C5F" w:rsidRDefault="008D1C5F" w:rsidP="008D1C5F">
      <w:pPr>
        <w:spacing w:after="0" w:line="360" w:lineRule="auto"/>
        <w:ind w:left="2160"/>
        <w:jc w:val="both"/>
        <w:rPr>
          <w:rFonts w:ascii="Arial" w:hAnsi="Arial" w:cs="Arial"/>
        </w:rPr>
      </w:pPr>
      <w:r w:rsidRPr="008D1C5F">
        <w:rPr>
          <w:rFonts w:ascii="Arial" w:eastAsia="Times New Roman" w:hAnsi="Arial" w:cs="Arial"/>
          <w:color w:val="000000"/>
          <w:lang w:val="en-US"/>
        </w:rPr>
        <w:t> 'An application for rescission is never simply an enquiry whether or not to penalise a party for failure to follow the rules and procedures laid down for civil proceeding</w:t>
      </w:r>
      <w:r w:rsidR="005A6CFA">
        <w:rPr>
          <w:rFonts w:ascii="Arial" w:eastAsia="Times New Roman" w:hAnsi="Arial" w:cs="Arial"/>
          <w:color w:val="000000"/>
          <w:lang w:val="en-US"/>
        </w:rPr>
        <w:t>s</w:t>
      </w:r>
      <w:r w:rsidRPr="008D1C5F">
        <w:rPr>
          <w:rFonts w:ascii="Arial" w:eastAsia="Times New Roman" w:hAnsi="Arial" w:cs="Arial"/>
          <w:color w:val="000000"/>
          <w:lang w:val="en-US"/>
        </w:rPr>
        <w:t xml:space="preserve"> in our courts. The question is, rather, whether or not the explanation for the default and any accompanying conduct by the defaulter, be it willful or negligent or otherwise, gives rise to the probable inference that there is no </w:t>
      </w:r>
      <w:r w:rsidRPr="008D1C5F">
        <w:rPr>
          <w:rFonts w:ascii="Arial" w:eastAsia="Times New Roman" w:hAnsi="Arial" w:cs="Arial"/>
          <w:i/>
          <w:iCs/>
          <w:color w:val="000000"/>
          <w:lang w:val="en-US"/>
        </w:rPr>
        <w:t>bona fide</w:t>
      </w:r>
      <w:r w:rsidRPr="008D1C5F">
        <w:rPr>
          <w:rFonts w:ascii="Arial" w:eastAsia="Times New Roman" w:hAnsi="Arial" w:cs="Arial"/>
          <w:color w:val="000000"/>
          <w:lang w:val="en-US"/>
        </w:rPr>
        <w:t> defence and hence that the application for rescission is not </w:t>
      </w:r>
      <w:r w:rsidRPr="008D1C5F">
        <w:rPr>
          <w:rFonts w:ascii="Arial" w:eastAsia="Times New Roman" w:hAnsi="Arial" w:cs="Arial"/>
          <w:i/>
          <w:iCs/>
          <w:color w:val="000000"/>
          <w:lang w:val="en-US"/>
        </w:rPr>
        <w:t>bona fide</w:t>
      </w:r>
      <w:r w:rsidRPr="008D1C5F">
        <w:rPr>
          <w:rFonts w:ascii="Arial" w:eastAsia="Times New Roman" w:hAnsi="Arial" w:cs="Arial"/>
          <w:color w:val="000000"/>
          <w:lang w:val="en-US"/>
        </w:rPr>
        <w:t>. The magistrate's discretion to rescind the judgments of his court is therefore primarily designed to enable him to do justice between the parties. He should exercise that discretion by balancing the interests of the parties. . . . He should also do his best to advance the good administration of justice. In the present context this involves weighing the need, on the one hand, to uphold the</w:t>
      </w:r>
      <w:r>
        <w:rPr>
          <w:rFonts w:ascii="Arial" w:eastAsia="Times New Roman" w:hAnsi="Arial" w:cs="Arial"/>
          <w:color w:val="000000"/>
          <w:lang w:val="en-US"/>
        </w:rPr>
        <w:t xml:space="preserve"> judgments of the courts which </w:t>
      </w:r>
      <w:r w:rsidRPr="008D1C5F">
        <w:rPr>
          <w:rFonts w:ascii="Arial" w:eastAsia="Times New Roman" w:hAnsi="Arial" w:cs="Arial"/>
          <w:color w:val="000000"/>
          <w:lang w:val="en-US"/>
        </w:rPr>
        <w:t>are properly taken in accordance with accepted procedures and, on the other hand, the need to prevent the possible injustice of a judgment being executed where it should never have been taken in the first place, particularly where it is taken in a party's absence without evidence and without his defence having been raised and heard.'</w:t>
      </w:r>
      <w:r w:rsidR="001912D3" w:rsidRPr="008D1C5F">
        <w:rPr>
          <w:rFonts w:ascii="Arial" w:hAnsi="Arial" w:cs="Arial"/>
        </w:rPr>
        <w:t>“</w:t>
      </w:r>
      <w:r w:rsidR="001912D3" w:rsidRPr="008D1C5F">
        <w:rPr>
          <w:rStyle w:val="FootnoteReference"/>
          <w:rFonts w:ascii="Arial" w:hAnsi="Arial" w:cs="Arial"/>
        </w:rPr>
        <w:footnoteReference w:id="11"/>
      </w:r>
    </w:p>
    <w:p w14:paraId="54F753BA" w14:textId="77777777" w:rsidR="001912D3" w:rsidRPr="001912D3" w:rsidRDefault="001912D3" w:rsidP="001912D3">
      <w:pPr>
        <w:pStyle w:val="ListParagraph"/>
        <w:spacing w:after="0" w:line="480" w:lineRule="auto"/>
        <w:jc w:val="both"/>
        <w:rPr>
          <w:rFonts w:ascii="Arial" w:hAnsi="Arial" w:cs="Arial"/>
          <w:sz w:val="24"/>
          <w:szCs w:val="24"/>
        </w:rPr>
      </w:pPr>
    </w:p>
    <w:p w14:paraId="2F53ECB3" w14:textId="458E68F1" w:rsidR="001912D3"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lastRenderedPageBreak/>
        <w:t>40.</w:t>
      </w:r>
      <w:r>
        <w:rPr>
          <w:rFonts w:ascii="Arial" w:hAnsi="Arial" w:cs="Arial"/>
          <w:sz w:val="24"/>
          <w:szCs w:val="24"/>
        </w:rPr>
        <w:tab/>
      </w:r>
      <w:r w:rsidR="003E22F5" w:rsidRPr="0091780F">
        <w:rPr>
          <w:rFonts w:ascii="Arial" w:hAnsi="Arial" w:cs="Arial"/>
          <w:sz w:val="24"/>
          <w:szCs w:val="24"/>
        </w:rPr>
        <w:t>A</w:t>
      </w:r>
      <w:r w:rsidR="001912D3" w:rsidRPr="0091780F">
        <w:rPr>
          <w:rFonts w:ascii="Arial" w:hAnsi="Arial" w:cs="Arial"/>
          <w:sz w:val="24"/>
          <w:szCs w:val="24"/>
        </w:rPr>
        <w:t xml:space="preserve">ll the above remains good law when regard is had to </w:t>
      </w:r>
      <w:r w:rsidR="001912D3" w:rsidRPr="0091780F">
        <w:rPr>
          <w:rFonts w:ascii="Arial" w:hAnsi="Arial" w:cs="Arial"/>
          <w:b/>
          <w:sz w:val="24"/>
          <w:szCs w:val="24"/>
        </w:rPr>
        <w:t>Zuma</w:t>
      </w:r>
      <w:r w:rsidR="001912D3" w:rsidRPr="0091780F">
        <w:rPr>
          <w:rFonts w:ascii="Arial" w:hAnsi="Arial" w:cs="Arial"/>
          <w:sz w:val="24"/>
          <w:szCs w:val="24"/>
        </w:rPr>
        <w:t xml:space="preserve"> (</w:t>
      </w:r>
      <w:r w:rsidR="001912D3" w:rsidRPr="0091780F">
        <w:rPr>
          <w:rFonts w:ascii="Arial" w:hAnsi="Arial" w:cs="Arial"/>
          <w:i/>
          <w:sz w:val="24"/>
          <w:szCs w:val="24"/>
        </w:rPr>
        <w:t>supra</w:t>
      </w:r>
      <w:r w:rsidR="001912D3" w:rsidRPr="0091780F">
        <w:rPr>
          <w:rFonts w:ascii="Arial" w:hAnsi="Arial" w:cs="Arial"/>
          <w:sz w:val="24"/>
          <w:szCs w:val="24"/>
        </w:rPr>
        <w:t>) where the Constitutional Court carefully referred to the principles relevant to rescission in terms of the common law.</w:t>
      </w:r>
      <w:r w:rsidR="001912D3">
        <w:rPr>
          <w:rStyle w:val="FootnoteReference"/>
          <w:rFonts w:ascii="Arial" w:hAnsi="Arial" w:cs="Arial"/>
          <w:sz w:val="24"/>
          <w:szCs w:val="24"/>
        </w:rPr>
        <w:footnoteReference w:id="12"/>
      </w:r>
      <w:r w:rsidR="001912D3" w:rsidRPr="0091780F">
        <w:rPr>
          <w:rFonts w:ascii="Arial" w:hAnsi="Arial" w:cs="Arial"/>
          <w:sz w:val="24"/>
          <w:szCs w:val="24"/>
        </w:rPr>
        <w:t xml:space="preserve"> </w:t>
      </w:r>
    </w:p>
    <w:p w14:paraId="41AC589B" w14:textId="77777777" w:rsidR="001912D3" w:rsidRDefault="001912D3" w:rsidP="001912D3">
      <w:pPr>
        <w:pStyle w:val="ListParagraph"/>
        <w:spacing w:after="0" w:line="480" w:lineRule="auto"/>
        <w:jc w:val="both"/>
        <w:rPr>
          <w:rFonts w:ascii="Arial" w:hAnsi="Arial" w:cs="Arial"/>
          <w:sz w:val="24"/>
          <w:szCs w:val="24"/>
        </w:rPr>
      </w:pPr>
    </w:p>
    <w:p w14:paraId="0BD01A63" w14:textId="6D44126C" w:rsidR="001912D3"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1912D3" w:rsidRPr="0091780F">
        <w:rPr>
          <w:rFonts w:ascii="Arial" w:hAnsi="Arial" w:cs="Arial"/>
          <w:sz w:val="24"/>
          <w:szCs w:val="24"/>
        </w:rPr>
        <w:t xml:space="preserve">The Constitutional Court pointed out that the common law requirements for rescission had already been dealt with in </w:t>
      </w:r>
      <w:r w:rsidR="002E6D3B" w:rsidRPr="0091780F">
        <w:rPr>
          <w:rFonts w:ascii="Arial" w:hAnsi="Arial" w:cs="Arial"/>
          <w:b/>
          <w:sz w:val="24"/>
          <w:szCs w:val="24"/>
        </w:rPr>
        <w:t>Government</w:t>
      </w:r>
      <w:r w:rsidR="001912D3" w:rsidRPr="0091780F">
        <w:rPr>
          <w:rFonts w:ascii="Arial" w:hAnsi="Arial" w:cs="Arial"/>
          <w:b/>
          <w:sz w:val="24"/>
          <w:szCs w:val="24"/>
        </w:rPr>
        <w:t xml:space="preserve"> of the Republic of Zimbabwe v Fick and Others</w:t>
      </w:r>
      <w:r w:rsidR="001912D3">
        <w:rPr>
          <w:rStyle w:val="FootnoteReference"/>
          <w:rFonts w:ascii="Arial" w:hAnsi="Arial" w:cs="Arial"/>
          <w:sz w:val="24"/>
          <w:szCs w:val="24"/>
        </w:rPr>
        <w:footnoteReference w:id="13"/>
      </w:r>
      <w:r w:rsidR="001912D3" w:rsidRPr="0091780F">
        <w:rPr>
          <w:rFonts w:ascii="Arial" w:hAnsi="Arial" w:cs="Arial"/>
          <w:sz w:val="24"/>
          <w:szCs w:val="24"/>
        </w:rPr>
        <w:t xml:space="preserve">.  It was also pointed out that once an applicant has met the requirements for rescission, the Court is merely endowed with the discretion to rescind its order </w:t>
      </w:r>
      <w:r w:rsidR="008A2341" w:rsidRPr="0091780F">
        <w:rPr>
          <w:rFonts w:ascii="Arial" w:hAnsi="Arial" w:cs="Arial"/>
          <w:sz w:val="24"/>
          <w:szCs w:val="24"/>
        </w:rPr>
        <w:t>(</w:t>
      </w:r>
      <w:r w:rsidR="001912D3" w:rsidRPr="0091780F">
        <w:rPr>
          <w:rFonts w:ascii="Arial" w:hAnsi="Arial" w:cs="Arial"/>
          <w:sz w:val="24"/>
          <w:szCs w:val="24"/>
        </w:rPr>
        <w:t>this in respect of Rule 42 in the context of mistake</w:t>
      </w:r>
      <w:r w:rsidR="008A2341" w:rsidRPr="0091780F">
        <w:rPr>
          <w:rFonts w:ascii="Arial" w:hAnsi="Arial" w:cs="Arial"/>
          <w:sz w:val="24"/>
          <w:szCs w:val="24"/>
        </w:rPr>
        <w:t>)</w:t>
      </w:r>
      <w:r w:rsidR="001912D3" w:rsidRPr="0091780F">
        <w:rPr>
          <w:rFonts w:ascii="Arial" w:hAnsi="Arial" w:cs="Arial"/>
          <w:sz w:val="24"/>
          <w:szCs w:val="24"/>
        </w:rPr>
        <w:t xml:space="preserve">.  In respect of common law rescission reference was made to </w:t>
      </w:r>
      <w:r w:rsidR="001912D3" w:rsidRPr="0091780F">
        <w:rPr>
          <w:rFonts w:ascii="Arial" w:hAnsi="Arial" w:cs="Arial"/>
          <w:b/>
          <w:sz w:val="24"/>
          <w:szCs w:val="24"/>
        </w:rPr>
        <w:t>Chetty</w:t>
      </w:r>
      <w:r w:rsidR="003E22F5" w:rsidRPr="0091780F">
        <w:rPr>
          <w:rFonts w:ascii="Arial" w:hAnsi="Arial" w:cs="Arial"/>
          <w:sz w:val="24"/>
          <w:szCs w:val="24"/>
        </w:rPr>
        <w:t xml:space="preserve"> (</w:t>
      </w:r>
      <w:r w:rsidR="003E22F5" w:rsidRPr="0091780F">
        <w:rPr>
          <w:rFonts w:ascii="Arial" w:hAnsi="Arial" w:cs="Arial"/>
          <w:i/>
          <w:sz w:val="24"/>
          <w:szCs w:val="24"/>
        </w:rPr>
        <w:t>supra)</w:t>
      </w:r>
      <w:r w:rsidR="003E22F5" w:rsidRPr="003E22F5">
        <w:rPr>
          <w:rStyle w:val="FootnoteReference"/>
          <w:rFonts w:ascii="Arial" w:hAnsi="Arial" w:cs="Arial"/>
          <w:sz w:val="24"/>
          <w:szCs w:val="24"/>
        </w:rPr>
        <w:footnoteReference w:id="14"/>
      </w:r>
      <w:r w:rsidR="001912D3" w:rsidRPr="0091780F">
        <w:rPr>
          <w:rFonts w:ascii="Arial" w:hAnsi="Arial" w:cs="Arial"/>
          <w:sz w:val="24"/>
          <w:szCs w:val="24"/>
        </w:rPr>
        <w:t xml:space="preserve"> which held that the exercise of a court’s discretion is influenced by considerations of fairness and justice having regard to all the facts and circumstances of the particular case </w:t>
      </w:r>
      <w:r w:rsidR="008A2341" w:rsidRPr="0091780F">
        <w:rPr>
          <w:rFonts w:ascii="Arial" w:hAnsi="Arial" w:cs="Arial"/>
          <w:sz w:val="24"/>
          <w:szCs w:val="24"/>
        </w:rPr>
        <w:t xml:space="preserve">and that </w:t>
      </w:r>
      <w:r w:rsidR="001912D3" w:rsidRPr="0091780F">
        <w:rPr>
          <w:rFonts w:ascii="Arial" w:hAnsi="Arial" w:cs="Arial"/>
          <w:sz w:val="24"/>
          <w:szCs w:val="24"/>
        </w:rPr>
        <w:t>one of the most important factors to be taken into account in the exercise of a discretion to rescind was whether the applicant had demonstrated a determined effort to lay his case before the Court and not an intention to abandon it.</w:t>
      </w:r>
    </w:p>
    <w:p w14:paraId="499106E8" w14:textId="77777777" w:rsidR="001912D3" w:rsidRPr="001912D3" w:rsidRDefault="001912D3" w:rsidP="001912D3">
      <w:pPr>
        <w:pStyle w:val="ListParagraph"/>
        <w:rPr>
          <w:rFonts w:ascii="Arial" w:hAnsi="Arial" w:cs="Arial"/>
          <w:sz w:val="24"/>
          <w:szCs w:val="24"/>
        </w:rPr>
      </w:pPr>
    </w:p>
    <w:p w14:paraId="5BC2BBEF" w14:textId="40F5BC8B" w:rsidR="001912D3"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1912D3" w:rsidRPr="0091780F">
        <w:rPr>
          <w:rFonts w:ascii="Arial" w:hAnsi="Arial" w:cs="Arial"/>
          <w:sz w:val="24"/>
          <w:szCs w:val="24"/>
        </w:rPr>
        <w:t xml:space="preserve">The Constitutional Court pointed out that it is well established that the grounds upon which a judgment can be set aside are extremely narrow and the law of rescission intends to exclude any other grounds for setting aside judgment after an action has been </w:t>
      </w:r>
      <w:r w:rsidR="008A2341" w:rsidRPr="0091780F">
        <w:rPr>
          <w:rFonts w:ascii="Arial" w:hAnsi="Arial" w:cs="Arial"/>
          <w:sz w:val="24"/>
          <w:szCs w:val="24"/>
        </w:rPr>
        <w:t xml:space="preserve">brought </w:t>
      </w:r>
      <w:r w:rsidR="001912D3" w:rsidRPr="0091780F">
        <w:rPr>
          <w:rFonts w:ascii="Arial" w:hAnsi="Arial" w:cs="Arial"/>
          <w:sz w:val="24"/>
          <w:szCs w:val="24"/>
        </w:rPr>
        <w:t xml:space="preserve">to </w:t>
      </w:r>
      <w:r w:rsidR="008A2341" w:rsidRPr="0091780F">
        <w:rPr>
          <w:rFonts w:ascii="Arial" w:hAnsi="Arial" w:cs="Arial"/>
          <w:sz w:val="24"/>
          <w:szCs w:val="24"/>
        </w:rPr>
        <w:t xml:space="preserve">a </w:t>
      </w:r>
      <w:r w:rsidR="001912D3" w:rsidRPr="0091780F">
        <w:rPr>
          <w:rFonts w:ascii="Arial" w:hAnsi="Arial" w:cs="Arial"/>
          <w:sz w:val="24"/>
          <w:szCs w:val="24"/>
        </w:rPr>
        <w:t>finish.  The Constitutional Court held that it was not generally open to courts to expand grounds for rescission</w:t>
      </w:r>
      <w:r w:rsidR="008A2341" w:rsidRPr="0091780F">
        <w:rPr>
          <w:rFonts w:ascii="Arial" w:hAnsi="Arial" w:cs="Arial"/>
          <w:sz w:val="24"/>
          <w:szCs w:val="24"/>
        </w:rPr>
        <w:t>,</w:t>
      </w:r>
      <w:r w:rsidR="001912D3" w:rsidRPr="0091780F">
        <w:rPr>
          <w:rFonts w:ascii="Arial" w:hAnsi="Arial" w:cs="Arial"/>
          <w:sz w:val="24"/>
          <w:szCs w:val="24"/>
        </w:rPr>
        <w:t xml:space="preserve"> in fact to the contrary.    </w:t>
      </w:r>
    </w:p>
    <w:p w14:paraId="58B0AEDE" w14:textId="77777777" w:rsidR="001912D3" w:rsidRPr="001912D3" w:rsidRDefault="001912D3" w:rsidP="001912D3">
      <w:pPr>
        <w:pStyle w:val="ListParagraph"/>
        <w:rPr>
          <w:rFonts w:ascii="Arial" w:hAnsi="Arial" w:cs="Arial"/>
          <w:sz w:val="24"/>
          <w:szCs w:val="24"/>
        </w:rPr>
      </w:pPr>
    </w:p>
    <w:p w14:paraId="0D315BD5" w14:textId="57FD8133" w:rsidR="00E40B2A"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lastRenderedPageBreak/>
        <w:t>43.</w:t>
      </w:r>
      <w:r>
        <w:rPr>
          <w:rFonts w:ascii="Arial" w:hAnsi="Arial" w:cs="Arial"/>
          <w:sz w:val="24"/>
          <w:szCs w:val="24"/>
        </w:rPr>
        <w:tab/>
      </w:r>
      <w:r w:rsidR="00E40B2A" w:rsidRPr="0091780F">
        <w:rPr>
          <w:rFonts w:ascii="Arial" w:hAnsi="Arial" w:cs="Arial"/>
          <w:sz w:val="24"/>
          <w:szCs w:val="24"/>
        </w:rPr>
        <w:t xml:space="preserve">Applicant in argument emphasised that the requirements are to be balanced and that the circumstances that </w:t>
      </w:r>
      <w:r w:rsidR="003E22F5" w:rsidRPr="0091780F">
        <w:rPr>
          <w:rFonts w:ascii="Arial" w:hAnsi="Arial" w:cs="Arial"/>
          <w:sz w:val="24"/>
          <w:szCs w:val="24"/>
        </w:rPr>
        <w:t>a</w:t>
      </w:r>
      <w:r w:rsidR="00E40B2A" w:rsidRPr="0091780F">
        <w:rPr>
          <w:rFonts w:ascii="Arial" w:hAnsi="Arial" w:cs="Arial"/>
          <w:sz w:val="24"/>
          <w:szCs w:val="24"/>
        </w:rPr>
        <w:t xml:space="preserve"> proposed defence carries reasonabl</w:t>
      </w:r>
      <w:r w:rsidR="003E22F5" w:rsidRPr="0091780F">
        <w:rPr>
          <w:rFonts w:ascii="Arial" w:hAnsi="Arial" w:cs="Arial"/>
          <w:sz w:val="24"/>
          <w:szCs w:val="24"/>
        </w:rPr>
        <w:t>y</w:t>
      </w:r>
      <w:r w:rsidR="00E40B2A" w:rsidRPr="0091780F">
        <w:rPr>
          <w:rFonts w:ascii="Arial" w:hAnsi="Arial" w:cs="Arial"/>
          <w:sz w:val="24"/>
          <w:szCs w:val="24"/>
        </w:rPr>
        <w:t xml:space="preserve"> good prospects of success on the merits might tip the scale in </w:t>
      </w:r>
      <w:r w:rsidR="003E22F5" w:rsidRPr="0091780F">
        <w:rPr>
          <w:rFonts w:ascii="Arial" w:hAnsi="Arial" w:cs="Arial"/>
          <w:sz w:val="24"/>
          <w:szCs w:val="24"/>
        </w:rPr>
        <w:t>applicant’s</w:t>
      </w:r>
      <w:r w:rsidR="00E40B2A" w:rsidRPr="0091780F">
        <w:rPr>
          <w:rFonts w:ascii="Arial" w:hAnsi="Arial" w:cs="Arial"/>
          <w:sz w:val="24"/>
          <w:szCs w:val="24"/>
        </w:rPr>
        <w:t xml:space="preserve"> favour in </w:t>
      </w:r>
      <w:r w:rsidR="003E22F5" w:rsidRPr="0091780F">
        <w:rPr>
          <w:rFonts w:ascii="Arial" w:hAnsi="Arial" w:cs="Arial"/>
          <w:sz w:val="24"/>
          <w:szCs w:val="24"/>
        </w:rPr>
        <w:t xml:space="preserve">an </w:t>
      </w:r>
      <w:r w:rsidR="00E40B2A" w:rsidRPr="0091780F">
        <w:rPr>
          <w:rFonts w:ascii="Arial" w:hAnsi="Arial" w:cs="Arial"/>
          <w:sz w:val="24"/>
          <w:szCs w:val="24"/>
        </w:rPr>
        <w:t xml:space="preserve">application for rescission.  In </w:t>
      </w:r>
      <w:r w:rsidR="00E40B2A" w:rsidRPr="0091780F">
        <w:rPr>
          <w:rFonts w:ascii="Arial" w:hAnsi="Arial" w:cs="Arial"/>
          <w:b/>
          <w:sz w:val="24"/>
          <w:szCs w:val="24"/>
        </w:rPr>
        <w:t>Zuma</w:t>
      </w:r>
      <w:r w:rsidR="003E22F5" w:rsidRPr="0091780F">
        <w:rPr>
          <w:rFonts w:ascii="Arial" w:hAnsi="Arial" w:cs="Arial"/>
          <w:sz w:val="24"/>
          <w:szCs w:val="24"/>
        </w:rPr>
        <w:t xml:space="preserve"> (</w:t>
      </w:r>
      <w:r w:rsidR="003E22F5" w:rsidRPr="0091780F">
        <w:rPr>
          <w:rFonts w:ascii="Arial" w:hAnsi="Arial" w:cs="Arial"/>
          <w:i/>
          <w:sz w:val="24"/>
          <w:szCs w:val="24"/>
        </w:rPr>
        <w:t>supra)</w:t>
      </w:r>
      <w:r w:rsidR="00E40B2A" w:rsidRPr="0091780F">
        <w:rPr>
          <w:rFonts w:ascii="Arial" w:hAnsi="Arial" w:cs="Arial"/>
          <w:sz w:val="24"/>
          <w:szCs w:val="24"/>
        </w:rPr>
        <w:t>, applicant emphasised</w:t>
      </w:r>
      <w:r w:rsidR="003E22F5" w:rsidRPr="0091780F">
        <w:rPr>
          <w:rFonts w:ascii="Arial" w:hAnsi="Arial" w:cs="Arial"/>
          <w:sz w:val="24"/>
          <w:szCs w:val="24"/>
        </w:rPr>
        <w:t>,</w:t>
      </w:r>
      <w:r w:rsidR="00E40B2A" w:rsidRPr="0091780F">
        <w:rPr>
          <w:rFonts w:ascii="Arial" w:hAnsi="Arial" w:cs="Arial"/>
          <w:sz w:val="24"/>
          <w:szCs w:val="24"/>
        </w:rPr>
        <w:t xml:space="preserve"> that the court </w:t>
      </w:r>
      <w:r w:rsidR="003E22F5" w:rsidRPr="0091780F">
        <w:rPr>
          <w:rFonts w:ascii="Arial" w:hAnsi="Arial" w:cs="Arial"/>
          <w:sz w:val="24"/>
          <w:szCs w:val="24"/>
        </w:rPr>
        <w:t xml:space="preserve">approved </w:t>
      </w:r>
      <w:r w:rsidR="00E40B2A" w:rsidRPr="0091780F">
        <w:rPr>
          <w:rFonts w:ascii="Arial" w:hAnsi="Arial" w:cs="Arial"/>
          <w:sz w:val="24"/>
          <w:szCs w:val="24"/>
        </w:rPr>
        <w:t xml:space="preserve">the principles </w:t>
      </w:r>
      <w:r w:rsidR="00873561" w:rsidRPr="0091780F">
        <w:rPr>
          <w:rFonts w:ascii="Arial" w:hAnsi="Arial" w:cs="Arial"/>
          <w:sz w:val="24"/>
          <w:szCs w:val="24"/>
        </w:rPr>
        <w:t xml:space="preserve">set out </w:t>
      </w:r>
      <w:r w:rsidR="00E40B2A" w:rsidRPr="0091780F">
        <w:rPr>
          <w:rFonts w:ascii="Arial" w:hAnsi="Arial" w:cs="Arial"/>
          <w:sz w:val="24"/>
          <w:szCs w:val="24"/>
        </w:rPr>
        <w:t xml:space="preserve">in </w:t>
      </w:r>
      <w:r w:rsidR="00E40B2A" w:rsidRPr="0091780F">
        <w:rPr>
          <w:rFonts w:ascii="Arial" w:hAnsi="Arial" w:cs="Arial"/>
          <w:b/>
          <w:sz w:val="24"/>
          <w:szCs w:val="24"/>
        </w:rPr>
        <w:t>Chetty</w:t>
      </w:r>
      <w:r w:rsidR="00E40B2A" w:rsidRPr="0091780F">
        <w:rPr>
          <w:rFonts w:ascii="Arial" w:hAnsi="Arial" w:cs="Arial"/>
          <w:sz w:val="24"/>
          <w:szCs w:val="24"/>
        </w:rPr>
        <w:t xml:space="preserve"> as follows:</w:t>
      </w:r>
    </w:p>
    <w:p w14:paraId="399CC469" w14:textId="77777777" w:rsidR="00E40B2A" w:rsidRPr="00E40B2A" w:rsidRDefault="00E40B2A" w:rsidP="00E40B2A">
      <w:pPr>
        <w:pStyle w:val="ListParagraph"/>
        <w:rPr>
          <w:rFonts w:ascii="Arial" w:hAnsi="Arial" w:cs="Arial"/>
          <w:sz w:val="24"/>
          <w:szCs w:val="24"/>
        </w:rPr>
      </w:pPr>
    </w:p>
    <w:p w14:paraId="4E27B54E" w14:textId="77777777" w:rsidR="00E40B2A" w:rsidRPr="0074416C" w:rsidRDefault="00E40B2A" w:rsidP="0074416C">
      <w:pPr>
        <w:pStyle w:val="ListParagraph"/>
        <w:spacing w:after="0" w:line="360" w:lineRule="auto"/>
        <w:ind w:left="1440"/>
        <w:jc w:val="both"/>
        <w:rPr>
          <w:rFonts w:ascii="Arial" w:hAnsi="Arial" w:cs="Arial"/>
        </w:rPr>
      </w:pPr>
      <w:r w:rsidRPr="0074416C">
        <w:rPr>
          <w:rFonts w:ascii="Arial" w:hAnsi="Arial" w:cs="Arial"/>
        </w:rPr>
        <w:t>“</w:t>
      </w:r>
      <w:r w:rsidR="00E037EC">
        <w:rPr>
          <w:rFonts w:ascii="Arial" w:hAnsi="Arial" w:cs="Arial"/>
        </w:rPr>
        <w:t xml:space="preserve">’broadly speaking, the exercise of a court’s discretion [is] influenced by considerations of fairness and justice, having regard to all the facts and circumstances of the particular case.’  </w:t>
      </w:r>
      <w:r w:rsidRPr="0074416C">
        <w:rPr>
          <w:rFonts w:ascii="Arial" w:hAnsi="Arial" w:cs="Arial"/>
        </w:rPr>
        <w:t xml:space="preserve">One of the most important factors to be taken into account in the exercise of discretion, so the court in </w:t>
      </w:r>
      <w:r w:rsidRPr="0074416C">
        <w:rPr>
          <w:rFonts w:ascii="Arial" w:hAnsi="Arial" w:cs="Arial"/>
          <w:b/>
        </w:rPr>
        <w:t>Chetty</w:t>
      </w:r>
      <w:r w:rsidRPr="0074416C">
        <w:rPr>
          <w:rFonts w:ascii="Arial" w:hAnsi="Arial" w:cs="Arial"/>
        </w:rPr>
        <w:t xml:space="preserve"> found at 760H and 761E was whether the applicant has demonstrated ‘a determined effort to lay his case before the court and not an intention to abandon it</w:t>
      </w:r>
      <w:r w:rsidR="00E037EC">
        <w:rPr>
          <w:rFonts w:ascii="Arial" w:hAnsi="Arial" w:cs="Arial"/>
        </w:rPr>
        <w:t xml:space="preserve">’ for ‘if it appears that [an applicant’s] default was wilful or due to gross negligence, the court should not come to his assistance.’  And, as stated in </w:t>
      </w:r>
      <w:r w:rsidR="00E037EC">
        <w:rPr>
          <w:rFonts w:ascii="Arial" w:hAnsi="Arial" w:cs="Arial"/>
          <w:b/>
        </w:rPr>
        <w:t>Naidoo and another v Matlala NO and others</w:t>
      </w:r>
      <w:r w:rsidR="00E037EC">
        <w:rPr>
          <w:rFonts w:ascii="Arial" w:hAnsi="Arial" w:cs="Arial"/>
        </w:rPr>
        <w:t xml:space="preserve"> 2012 (1) SA 143 (GNP) [also reported at [2011] JOL 27795 (GNP) – Ed] at para [4], a court will not exercise its discretion in favour of a rescission application, if undesirable consequences would follows</w:t>
      </w:r>
      <w:r w:rsidR="00F12766">
        <w:rPr>
          <w:rFonts w:ascii="Arial" w:hAnsi="Arial" w:cs="Arial"/>
        </w:rPr>
        <w:t>.</w:t>
      </w:r>
      <w:r w:rsidRPr="0074416C">
        <w:rPr>
          <w:rStyle w:val="FootnoteReference"/>
          <w:rFonts w:ascii="Arial" w:hAnsi="Arial" w:cs="Arial"/>
        </w:rPr>
        <w:footnoteReference w:id="15"/>
      </w:r>
    </w:p>
    <w:p w14:paraId="64633DE9" w14:textId="77777777" w:rsidR="00E40B2A" w:rsidRPr="00E40B2A" w:rsidRDefault="00E40B2A" w:rsidP="00E40B2A">
      <w:pPr>
        <w:pStyle w:val="ListParagraph"/>
        <w:rPr>
          <w:rFonts w:ascii="Arial" w:hAnsi="Arial" w:cs="Arial"/>
          <w:sz w:val="24"/>
          <w:szCs w:val="24"/>
        </w:rPr>
      </w:pPr>
    </w:p>
    <w:p w14:paraId="4E4B05E9" w14:textId="58BD9541" w:rsidR="00E40B2A"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E40B2A" w:rsidRPr="0091780F">
        <w:rPr>
          <w:rFonts w:ascii="Arial" w:hAnsi="Arial" w:cs="Arial"/>
          <w:sz w:val="24"/>
          <w:szCs w:val="24"/>
        </w:rPr>
        <w:t xml:space="preserve">Not surprisingly applicant’s counsel laid considerable emphasis on paragraphs [8] and [9] of </w:t>
      </w:r>
      <w:r w:rsidR="00E40B2A" w:rsidRPr="0091780F">
        <w:rPr>
          <w:rFonts w:ascii="Arial" w:hAnsi="Arial" w:cs="Arial"/>
          <w:b/>
          <w:sz w:val="24"/>
          <w:szCs w:val="24"/>
        </w:rPr>
        <w:t>Harris</w:t>
      </w:r>
      <w:r w:rsidR="00E40B2A" w:rsidRPr="0091780F">
        <w:rPr>
          <w:rFonts w:ascii="Arial" w:hAnsi="Arial" w:cs="Arial"/>
          <w:sz w:val="24"/>
          <w:szCs w:val="24"/>
        </w:rPr>
        <w:t xml:space="preserve"> (</w:t>
      </w:r>
      <w:r w:rsidR="00E40B2A" w:rsidRPr="0091780F">
        <w:rPr>
          <w:rFonts w:ascii="Arial" w:hAnsi="Arial" w:cs="Arial"/>
          <w:i/>
          <w:sz w:val="24"/>
          <w:szCs w:val="24"/>
        </w:rPr>
        <w:t>supra</w:t>
      </w:r>
      <w:r w:rsidR="00E40B2A" w:rsidRPr="0091780F">
        <w:rPr>
          <w:rFonts w:ascii="Arial" w:hAnsi="Arial" w:cs="Arial"/>
          <w:sz w:val="24"/>
          <w:szCs w:val="24"/>
        </w:rPr>
        <w:t>), as I have already referred to above, in particularly that before an applicant can be found to be in wilful default</w:t>
      </w:r>
      <w:r w:rsidR="005A6CFA" w:rsidRPr="0091780F">
        <w:rPr>
          <w:rFonts w:ascii="Arial" w:hAnsi="Arial" w:cs="Arial"/>
          <w:sz w:val="24"/>
          <w:szCs w:val="24"/>
        </w:rPr>
        <w:t>,</w:t>
      </w:r>
      <w:r w:rsidR="00E40B2A" w:rsidRPr="0091780F">
        <w:rPr>
          <w:rFonts w:ascii="Arial" w:hAnsi="Arial" w:cs="Arial"/>
          <w:sz w:val="24"/>
          <w:szCs w:val="24"/>
        </w:rPr>
        <w:t xml:space="preserve"> such applicant must deliberately, being free to do so, fail or omit to take the step which would </w:t>
      </w:r>
      <w:r w:rsidR="00873561" w:rsidRPr="0091780F">
        <w:rPr>
          <w:rFonts w:ascii="Arial" w:hAnsi="Arial" w:cs="Arial"/>
          <w:sz w:val="24"/>
          <w:szCs w:val="24"/>
        </w:rPr>
        <w:t>a</w:t>
      </w:r>
      <w:r w:rsidR="00E40B2A" w:rsidRPr="0091780F">
        <w:rPr>
          <w:rFonts w:ascii="Arial" w:hAnsi="Arial" w:cs="Arial"/>
          <w:sz w:val="24"/>
          <w:szCs w:val="24"/>
        </w:rPr>
        <w:t>void the default and must appreciate the legal consequences of his or her actions.</w:t>
      </w:r>
    </w:p>
    <w:p w14:paraId="2F2E958F" w14:textId="77777777" w:rsidR="00E40B2A" w:rsidRDefault="00E40B2A" w:rsidP="00E40B2A">
      <w:pPr>
        <w:pStyle w:val="ListParagraph"/>
        <w:spacing w:after="0" w:line="480" w:lineRule="auto"/>
        <w:jc w:val="both"/>
        <w:rPr>
          <w:rFonts w:ascii="Arial" w:hAnsi="Arial" w:cs="Arial"/>
          <w:sz w:val="24"/>
          <w:szCs w:val="24"/>
        </w:rPr>
      </w:pPr>
    </w:p>
    <w:p w14:paraId="292C6797" w14:textId="5CDD849E" w:rsidR="00E40B2A"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E40B2A" w:rsidRPr="0091780F">
        <w:rPr>
          <w:rFonts w:ascii="Arial" w:hAnsi="Arial" w:cs="Arial"/>
          <w:sz w:val="24"/>
          <w:szCs w:val="24"/>
        </w:rPr>
        <w:t>This latter issue is one upon which applicant relies heavily</w:t>
      </w:r>
      <w:r w:rsidR="005A6CFA" w:rsidRPr="0091780F">
        <w:rPr>
          <w:rFonts w:ascii="Arial" w:hAnsi="Arial" w:cs="Arial"/>
          <w:sz w:val="24"/>
          <w:szCs w:val="24"/>
        </w:rPr>
        <w:t>,</w:t>
      </w:r>
      <w:r w:rsidR="00E40B2A" w:rsidRPr="0091780F">
        <w:rPr>
          <w:rFonts w:ascii="Arial" w:hAnsi="Arial" w:cs="Arial"/>
          <w:sz w:val="24"/>
          <w:szCs w:val="24"/>
        </w:rPr>
        <w:t xml:space="preserve"> it being argued that in this particular matter</w:t>
      </w:r>
      <w:r w:rsidR="00873561" w:rsidRPr="0091780F">
        <w:rPr>
          <w:rFonts w:ascii="Arial" w:hAnsi="Arial" w:cs="Arial"/>
          <w:sz w:val="24"/>
          <w:szCs w:val="24"/>
        </w:rPr>
        <w:t>,</w:t>
      </w:r>
      <w:r w:rsidR="00E40B2A" w:rsidRPr="0091780F">
        <w:rPr>
          <w:rFonts w:ascii="Arial" w:hAnsi="Arial" w:cs="Arial"/>
          <w:sz w:val="24"/>
          <w:szCs w:val="24"/>
        </w:rPr>
        <w:t xml:space="preserve"> on the facts</w:t>
      </w:r>
      <w:r w:rsidR="00873561" w:rsidRPr="0091780F">
        <w:rPr>
          <w:rFonts w:ascii="Arial" w:hAnsi="Arial" w:cs="Arial"/>
          <w:sz w:val="24"/>
          <w:szCs w:val="24"/>
        </w:rPr>
        <w:t>,</w:t>
      </w:r>
      <w:r w:rsidR="00E40B2A" w:rsidRPr="0091780F">
        <w:rPr>
          <w:rFonts w:ascii="Arial" w:hAnsi="Arial" w:cs="Arial"/>
          <w:sz w:val="24"/>
          <w:szCs w:val="24"/>
        </w:rPr>
        <w:t xml:space="preserve"> applicant did not appreciate the legal consequences of its actions in this case assuming </w:t>
      </w:r>
      <w:r w:rsidR="00873561" w:rsidRPr="0091780F">
        <w:rPr>
          <w:rFonts w:ascii="Arial" w:hAnsi="Arial" w:cs="Arial"/>
          <w:sz w:val="24"/>
          <w:szCs w:val="24"/>
        </w:rPr>
        <w:t>(</w:t>
      </w:r>
      <w:r w:rsidR="00E40B2A" w:rsidRPr="0091780F">
        <w:rPr>
          <w:rFonts w:ascii="Arial" w:hAnsi="Arial" w:cs="Arial"/>
          <w:sz w:val="24"/>
          <w:szCs w:val="24"/>
        </w:rPr>
        <w:t>albeit wrongly</w:t>
      </w:r>
      <w:r w:rsidR="00873561" w:rsidRPr="0091780F">
        <w:rPr>
          <w:rFonts w:ascii="Arial" w:hAnsi="Arial" w:cs="Arial"/>
          <w:sz w:val="24"/>
          <w:szCs w:val="24"/>
        </w:rPr>
        <w:t>)</w:t>
      </w:r>
      <w:r w:rsidR="00E40B2A" w:rsidRPr="0091780F">
        <w:rPr>
          <w:rFonts w:ascii="Arial" w:hAnsi="Arial" w:cs="Arial"/>
          <w:sz w:val="24"/>
          <w:szCs w:val="24"/>
        </w:rPr>
        <w:t xml:space="preserve"> that the court would not grant a judgment having regard to the defences raised in the plea.  </w:t>
      </w:r>
      <w:r w:rsidR="003E22F5" w:rsidRPr="0091780F">
        <w:rPr>
          <w:rFonts w:ascii="Arial" w:hAnsi="Arial" w:cs="Arial"/>
          <w:sz w:val="24"/>
          <w:szCs w:val="24"/>
        </w:rPr>
        <w:t>I</w:t>
      </w:r>
      <w:r w:rsidR="00E40B2A" w:rsidRPr="0091780F">
        <w:rPr>
          <w:rFonts w:ascii="Arial" w:hAnsi="Arial" w:cs="Arial"/>
          <w:sz w:val="24"/>
          <w:szCs w:val="24"/>
        </w:rPr>
        <w:t xml:space="preserve">t </w:t>
      </w:r>
      <w:r w:rsidR="00E40B2A" w:rsidRPr="0091780F">
        <w:rPr>
          <w:rFonts w:ascii="Arial" w:hAnsi="Arial" w:cs="Arial"/>
          <w:sz w:val="24"/>
          <w:szCs w:val="24"/>
        </w:rPr>
        <w:lastRenderedPageBreak/>
        <w:t>was argued, along the lines of Harris, that the explanation given for being in default must be considered in the light of the nature of the defence</w:t>
      </w:r>
      <w:r w:rsidR="00873561" w:rsidRPr="0091780F">
        <w:rPr>
          <w:rFonts w:ascii="Arial" w:hAnsi="Arial" w:cs="Arial"/>
          <w:sz w:val="24"/>
          <w:szCs w:val="24"/>
        </w:rPr>
        <w:t>s raised</w:t>
      </w:r>
      <w:r w:rsidR="00E40B2A" w:rsidRPr="0091780F">
        <w:rPr>
          <w:rFonts w:ascii="Arial" w:hAnsi="Arial" w:cs="Arial"/>
          <w:sz w:val="24"/>
          <w:szCs w:val="24"/>
        </w:rPr>
        <w:t xml:space="preserve"> which was an important consideration and in the light of all the facts and circumstances of the case as a whole.  </w:t>
      </w:r>
    </w:p>
    <w:p w14:paraId="278EE120" w14:textId="77777777" w:rsidR="00E40B2A" w:rsidRPr="00E40B2A" w:rsidRDefault="00E40B2A" w:rsidP="00E40B2A">
      <w:pPr>
        <w:pStyle w:val="ListParagraph"/>
        <w:rPr>
          <w:rFonts w:ascii="Arial" w:hAnsi="Arial" w:cs="Arial"/>
          <w:sz w:val="24"/>
          <w:szCs w:val="24"/>
        </w:rPr>
      </w:pPr>
    </w:p>
    <w:p w14:paraId="2F5F573A" w14:textId="29232E8F" w:rsidR="00E40B2A"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E40B2A" w:rsidRPr="0091780F">
        <w:rPr>
          <w:rFonts w:ascii="Arial" w:hAnsi="Arial" w:cs="Arial"/>
          <w:sz w:val="24"/>
          <w:szCs w:val="24"/>
        </w:rPr>
        <w:t xml:space="preserve">It was also emphasised that the question is whether the explanation for the default and accompanying conduct gives rise to the probable inference that there is no </w:t>
      </w:r>
      <w:r w:rsidR="00E40B2A" w:rsidRPr="0091780F">
        <w:rPr>
          <w:rFonts w:ascii="Arial" w:hAnsi="Arial" w:cs="Arial"/>
          <w:i/>
          <w:sz w:val="24"/>
          <w:szCs w:val="24"/>
        </w:rPr>
        <w:t>bona fide</w:t>
      </w:r>
      <w:r w:rsidR="00E40B2A" w:rsidRPr="0091780F">
        <w:rPr>
          <w:rFonts w:ascii="Arial" w:hAnsi="Arial" w:cs="Arial"/>
          <w:sz w:val="24"/>
          <w:szCs w:val="24"/>
        </w:rPr>
        <w:t xml:space="preserve"> defence and that the application for rescission is not </w:t>
      </w:r>
      <w:r w:rsidR="00E40B2A" w:rsidRPr="0091780F">
        <w:rPr>
          <w:rFonts w:ascii="Arial" w:hAnsi="Arial" w:cs="Arial"/>
          <w:i/>
          <w:sz w:val="24"/>
          <w:szCs w:val="24"/>
        </w:rPr>
        <w:t>bona fide</w:t>
      </w:r>
      <w:r w:rsidR="00E40B2A" w:rsidRPr="0091780F">
        <w:rPr>
          <w:rFonts w:ascii="Arial" w:hAnsi="Arial" w:cs="Arial"/>
          <w:sz w:val="24"/>
          <w:szCs w:val="24"/>
        </w:rPr>
        <w:t xml:space="preserve">.  </w:t>
      </w:r>
    </w:p>
    <w:p w14:paraId="77A2144C" w14:textId="77777777" w:rsidR="00E40B2A" w:rsidRDefault="00E40B2A" w:rsidP="00E40B2A">
      <w:pPr>
        <w:pStyle w:val="ListParagraph"/>
        <w:rPr>
          <w:rFonts w:ascii="Arial" w:hAnsi="Arial" w:cs="Arial"/>
          <w:sz w:val="24"/>
          <w:szCs w:val="24"/>
        </w:rPr>
      </w:pPr>
    </w:p>
    <w:p w14:paraId="1FF1ABB6" w14:textId="77777777" w:rsidR="00E40B2A" w:rsidRPr="00E40B2A" w:rsidRDefault="00E40B2A" w:rsidP="00E40B2A">
      <w:pPr>
        <w:pStyle w:val="ListParagraph"/>
        <w:spacing w:after="0" w:line="480" w:lineRule="auto"/>
        <w:ind w:left="0"/>
        <w:jc w:val="both"/>
        <w:rPr>
          <w:rFonts w:ascii="Arial" w:hAnsi="Arial" w:cs="Arial"/>
          <w:b/>
          <w:sz w:val="24"/>
          <w:szCs w:val="24"/>
          <w:u w:val="single"/>
        </w:rPr>
      </w:pPr>
      <w:r w:rsidRPr="00E40B2A">
        <w:rPr>
          <w:rFonts w:ascii="Arial" w:hAnsi="Arial" w:cs="Arial"/>
          <w:b/>
          <w:sz w:val="24"/>
          <w:szCs w:val="24"/>
          <w:u w:val="single"/>
        </w:rPr>
        <w:t>APPLICANT’S ALLEGATIONS AS TO RESCISSION</w:t>
      </w:r>
    </w:p>
    <w:p w14:paraId="15552196" w14:textId="77777777" w:rsidR="00E40B2A" w:rsidRPr="00E40B2A" w:rsidRDefault="00E40B2A" w:rsidP="00E40B2A">
      <w:pPr>
        <w:pStyle w:val="ListParagraph"/>
        <w:rPr>
          <w:rFonts w:ascii="Arial" w:hAnsi="Arial" w:cs="Arial"/>
          <w:sz w:val="24"/>
          <w:szCs w:val="24"/>
        </w:rPr>
      </w:pPr>
    </w:p>
    <w:p w14:paraId="7DF6415E" w14:textId="771A3D51" w:rsidR="00FD30D5"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47.</w:t>
      </w:r>
      <w:r>
        <w:rPr>
          <w:rFonts w:ascii="Arial" w:hAnsi="Arial" w:cs="Arial"/>
          <w:sz w:val="24"/>
          <w:szCs w:val="24"/>
        </w:rPr>
        <w:tab/>
      </w:r>
      <w:r w:rsidR="007F7EC7" w:rsidRPr="0091780F">
        <w:rPr>
          <w:rFonts w:ascii="Arial" w:hAnsi="Arial" w:cs="Arial"/>
          <w:sz w:val="24"/>
          <w:szCs w:val="24"/>
        </w:rPr>
        <w:t>In essence the allegation by applicant’s representative and sole director was that subsequent to his attorneys withdrawing</w:t>
      </w:r>
      <w:r w:rsidR="003E22F5" w:rsidRPr="0091780F">
        <w:rPr>
          <w:rFonts w:ascii="Arial" w:hAnsi="Arial" w:cs="Arial"/>
          <w:sz w:val="24"/>
          <w:szCs w:val="24"/>
        </w:rPr>
        <w:t>,</w:t>
      </w:r>
      <w:r w:rsidR="007F7EC7" w:rsidRPr="0091780F">
        <w:rPr>
          <w:rFonts w:ascii="Arial" w:hAnsi="Arial" w:cs="Arial"/>
          <w:sz w:val="24"/>
          <w:szCs w:val="24"/>
        </w:rPr>
        <w:t xml:space="preserve"> as their relationship had broken down</w:t>
      </w:r>
      <w:r w:rsidR="003E22F5" w:rsidRPr="0091780F">
        <w:rPr>
          <w:rFonts w:ascii="Arial" w:hAnsi="Arial" w:cs="Arial"/>
          <w:sz w:val="24"/>
          <w:szCs w:val="24"/>
        </w:rPr>
        <w:t>,</w:t>
      </w:r>
      <w:r w:rsidR="007F7EC7" w:rsidRPr="0091780F">
        <w:rPr>
          <w:rFonts w:ascii="Arial" w:hAnsi="Arial" w:cs="Arial"/>
          <w:sz w:val="24"/>
          <w:szCs w:val="24"/>
        </w:rPr>
        <w:t xml:space="preserve"> he was experiencing personal trauma in his life and that the litigation played a secondary role as it is put.  He described the events which contributed </w:t>
      </w:r>
      <w:r w:rsidR="00FD30D5" w:rsidRPr="0091780F">
        <w:rPr>
          <w:rFonts w:ascii="Arial" w:hAnsi="Arial" w:cs="Arial"/>
          <w:sz w:val="24"/>
          <w:szCs w:val="24"/>
        </w:rPr>
        <w:t xml:space="preserve">to the trauma </w:t>
      </w:r>
      <w:r w:rsidR="00873561" w:rsidRPr="0091780F">
        <w:rPr>
          <w:rFonts w:ascii="Arial" w:hAnsi="Arial" w:cs="Arial"/>
          <w:sz w:val="24"/>
          <w:szCs w:val="24"/>
        </w:rPr>
        <w:t xml:space="preserve">he relies on </w:t>
      </w:r>
      <w:r w:rsidR="00FD30D5" w:rsidRPr="0091780F">
        <w:rPr>
          <w:rFonts w:ascii="Arial" w:hAnsi="Arial" w:cs="Arial"/>
          <w:sz w:val="24"/>
          <w:szCs w:val="24"/>
        </w:rPr>
        <w:t>having been involved in a motorcycle accident, having a daughter on the brink of suicide and a grandson taken away from him who had been raised as his own child to all inten</w:t>
      </w:r>
      <w:r w:rsidR="00873561" w:rsidRPr="0091780F">
        <w:rPr>
          <w:rFonts w:ascii="Arial" w:hAnsi="Arial" w:cs="Arial"/>
          <w:sz w:val="24"/>
          <w:szCs w:val="24"/>
        </w:rPr>
        <w:t>t</w:t>
      </w:r>
      <w:r w:rsidR="00FD30D5" w:rsidRPr="0091780F">
        <w:rPr>
          <w:rFonts w:ascii="Arial" w:hAnsi="Arial" w:cs="Arial"/>
          <w:sz w:val="24"/>
          <w:szCs w:val="24"/>
        </w:rPr>
        <w:t>s and purposes</w:t>
      </w:r>
      <w:r w:rsidR="003E22F5" w:rsidRPr="0091780F">
        <w:rPr>
          <w:rFonts w:ascii="Arial" w:hAnsi="Arial" w:cs="Arial"/>
          <w:sz w:val="24"/>
          <w:szCs w:val="24"/>
        </w:rPr>
        <w:t>,</w:t>
      </w:r>
      <w:r w:rsidR="00FD30D5" w:rsidRPr="0091780F">
        <w:rPr>
          <w:rFonts w:ascii="Arial" w:hAnsi="Arial" w:cs="Arial"/>
          <w:sz w:val="24"/>
          <w:szCs w:val="24"/>
        </w:rPr>
        <w:t xml:space="preserve"> and </w:t>
      </w:r>
      <w:r w:rsidR="003E22F5" w:rsidRPr="0091780F">
        <w:rPr>
          <w:rFonts w:ascii="Arial" w:hAnsi="Arial" w:cs="Arial"/>
          <w:sz w:val="24"/>
          <w:szCs w:val="24"/>
        </w:rPr>
        <w:t xml:space="preserve">also </w:t>
      </w:r>
      <w:r w:rsidR="00FD30D5" w:rsidRPr="0091780F">
        <w:rPr>
          <w:rFonts w:ascii="Arial" w:hAnsi="Arial" w:cs="Arial"/>
          <w:sz w:val="24"/>
          <w:szCs w:val="24"/>
        </w:rPr>
        <w:t xml:space="preserve">having to move home.  He says that he believed that he </w:t>
      </w:r>
      <w:r w:rsidR="00873561" w:rsidRPr="0091780F">
        <w:rPr>
          <w:rFonts w:ascii="Arial" w:hAnsi="Arial" w:cs="Arial"/>
          <w:sz w:val="24"/>
          <w:szCs w:val="24"/>
        </w:rPr>
        <w:t xml:space="preserve">(the company) </w:t>
      </w:r>
      <w:r w:rsidR="00FD30D5" w:rsidRPr="0091780F">
        <w:rPr>
          <w:rFonts w:ascii="Arial" w:hAnsi="Arial" w:cs="Arial"/>
          <w:sz w:val="24"/>
          <w:szCs w:val="24"/>
        </w:rPr>
        <w:t xml:space="preserve">had good defences and trusted </w:t>
      </w:r>
      <w:r w:rsidR="00873561" w:rsidRPr="0091780F">
        <w:rPr>
          <w:rFonts w:ascii="Arial" w:hAnsi="Arial" w:cs="Arial"/>
          <w:sz w:val="24"/>
          <w:szCs w:val="24"/>
        </w:rPr>
        <w:t xml:space="preserve">that </w:t>
      </w:r>
      <w:r w:rsidR="00FD30D5" w:rsidRPr="0091780F">
        <w:rPr>
          <w:rFonts w:ascii="Arial" w:hAnsi="Arial" w:cs="Arial"/>
          <w:sz w:val="24"/>
          <w:szCs w:val="24"/>
        </w:rPr>
        <w:t>a court would recognise this and not grant judgment in his absence</w:t>
      </w:r>
      <w:r w:rsidR="005A6CFA" w:rsidRPr="0091780F">
        <w:rPr>
          <w:rFonts w:ascii="Arial" w:hAnsi="Arial" w:cs="Arial"/>
          <w:sz w:val="24"/>
          <w:szCs w:val="24"/>
        </w:rPr>
        <w:t>,</w:t>
      </w:r>
      <w:r w:rsidR="00FD30D5" w:rsidRPr="0091780F">
        <w:rPr>
          <w:rFonts w:ascii="Arial" w:hAnsi="Arial" w:cs="Arial"/>
          <w:sz w:val="24"/>
          <w:szCs w:val="24"/>
        </w:rPr>
        <w:t xml:space="preserve"> he not failing wilfully to appear but “</w:t>
      </w:r>
      <w:r w:rsidR="00FD30D5" w:rsidRPr="0091780F">
        <w:rPr>
          <w:rFonts w:ascii="Arial" w:hAnsi="Arial" w:cs="Arial"/>
          <w:i/>
          <w:sz w:val="24"/>
          <w:szCs w:val="24"/>
        </w:rPr>
        <w:t>… did so out of ignorance which was not helped by the personal trauma I was experiencing at the time.</w:t>
      </w:r>
      <w:r w:rsidR="00FD30D5" w:rsidRPr="0091780F">
        <w:rPr>
          <w:rFonts w:ascii="Arial" w:hAnsi="Arial" w:cs="Arial"/>
          <w:sz w:val="24"/>
          <w:szCs w:val="24"/>
        </w:rPr>
        <w:t xml:space="preserve">”  It is argued that this view was </w:t>
      </w:r>
      <w:r w:rsidR="00FD30D5" w:rsidRPr="0091780F">
        <w:rPr>
          <w:rFonts w:ascii="Arial" w:hAnsi="Arial" w:cs="Arial"/>
          <w:i/>
          <w:sz w:val="24"/>
          <w:szCs w:val="24"/>
        </w:rPr>
        <w:t>bona fide</w:t>
      </w:r>
      <w:r w:rsidR="00FD30D5" w:rsidRPr="0091780F">
        <w:rPr>
          <w:rFonts w:ascii="Arial" w:hAnsi="Arial" w:cs="Arial"/>
          <w:sz w:val="24"/>
          <w:szCs w:val="24"/>
        </w:rPr>
        <w:t xml:space="preserve"> a comprehensi</w:t>
      </w:r>
      <w:r w:rsidR="00873561" w:rsidRPr="0091780F">
        <w:rPr>
          <w:rFonts w:ascii="Arial" w:hAnsi="Arial" w:cs="Arial"/>
          <w:sz w:val="24"/>
          <w:szCs w:val="24"/>
        </w:rPr>
        <w:t>ve</w:t>
      </w:r>
      <w:r w:rsidR="00FD30D5" w:rsidRPr="0091780F">
        <w:rPr>
          <w:rFonts w:ascii="Arial" w:hAnsi="Arial" w:cs="Arial"/>
          <w:sz w:val="24"/>
          <w:szCs w:val="24"/>
        </w:rPr>
        <w:t xml:space="preserve"> plea having been delivered</w:t>
      </w:r>
      <w:r w:rsidR="005A6CFA" w:rsidRPr="0091780F">
        <w:rPr>
          <w:rFonts w:ascii="Arial" w:hAnsi="Arial" w:cs="Arial"/>
          <w:sz w:val="24"/>
          <w:szCs w:val="24"/>
        </w:rPr>
        <w:t>,</w:t>
      </w:r>
      <w:r w:rsidR="00FD30D5" w:rsidRPr="0091780F">
        <w:rPr>
          <w:rFonts w:ascii="Arial" w:hAnsi="Arial" w:cs="Arial"/>
          <w:sz w:val="24"/>
          <w:szCs w:val="24"/>
        </w:rPr>
        <w:t xml:space="preserve"> applicant assuming, albeit wrongly, that a court would not in the circumstances grant judgment and that the court would play a “</w:t>
      </w:r>
      <w:r w:rsidR="00FD30D5" w:rsidRPr="0091780F">
        <w:rPr>
          <w:rFonts w:ascii="Arial" w:hAnsi="Arial" w:cs="Arial"/>
          <w:i/>
          <w:sz w:val="24"/>
          <w:szCs w:val="24"/>
        </w:rPr>
        <w:t>more inquisitorial role</w:t>
      </w:r>
      <w:r w:rsidR="00FD30D5" w:rsidRPr="0091780F">
        <w:rPr>
          <w:rFonts w:ascii="Arial" w:hAnsi="Arial" w:cs="Arial"/>
          <w:sz w:val="24"/>
          <w:szCs w:val="24"/>
        </w:rPr>
        <w:t xml:space="preserve">”.  It is argued that the correspondence and papers relevant do </w:t>
      </w:r>
      <w:r w:rsidR="00FD30D5" w:rsidRPr="0091780F">
        <w:rPr>
          <w:rFonts w:ascii="Arial" w:hAnsi="Arial" w:cs="Arial"/>
          <w:sz w:val="24"/>
          <w:szCs w:val="24"/>
        </w:rPr>
        <w:lastRenderedPageBreak/>
        <w:t xml:space="preserve">not in any way indicate a subjective mind set to acquiesce </w:t>
      </w:r>
      <w:r w:rsidR="00235760" w:rsidRPr="0091780F">
        <w:rPr>
          <w:rFonts w:ascii="Arial" w:hAnsi="Arial" w:cs="Arial"/>
          <w:sz w:val="24"/>
          <w:szCs w:val="24"/>
        </w:rPr>
        <w:t>in</w:t>
      </w:r>
      <w:r w:rsidR="00FD30D5" w:rsidRPr="0091780F">
        <w:rPr>
          <w:rFonts w:ascii="Arial" w:hAnsi="Arial" w:cs="Arial"/>
          <w:sz w:val="24"/>
          <w:szCs w:val="24"/>
        </w:rPr>
        <w:t xml:space="preserve"> the claim against it.  </w:t>
      </w:r>
    </w:p>
    <w:p w14:paraId="6B36B718" w14:textId="77777777" w:rsidR="00FD30D5" w:rsidRDefault="00FD30D5" w:rsidP="00FD30D5">
      <w:pPr>
        <w:pStyle w:val="ListParagraph"/>
        <w:spacing w:after="0" w:line="480" w:lineRule="auto"/>
        <w:jc w:val="both"/>
        <w:rPr>
          <w:rFonts w:ascii="Arial" w:hAnsi="Arial" w:cs="Arial"/>
          <w:sz w:val="24"/>
          <w:szCs w:val="24"/>
        </w:rPr>
      </w:pPr>
    </w:p>
    <w:p w14:paraId="2D1B0EFA" w14:textId="62006E0C" w:rsidR="00FD30D5"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FD30D5" w:rsidRPr="0091780F">
        <w:rPr>
          <w:rFonts w:ascii="Arial" w:hAnsi="Arial" w:cs="Arial"/>
          <w:sz w:val="24"/>
          <w:szCs w:val="24"/>
        </w:rPr>
        <w:t>It may be said immediately that there can be no doubt that on the pleadings applicant at no time simply acquiesce</w:t>
      </w:r>
      <w:r w:rsidR="00873561" w:rsidRPr="0091780F">
        <w:rPr>
          <w:rFonts w:ascii="Arial" w:hAnsi="Arial" w:cs="Arial"/>
          <w:sz w:val="24"/>
          <w:szCs w:val="24"/>
        </w:rPr>
        <w:t>d</w:t>
      </w:r>
      <w:r w:rsidR="00FD30D5" w:rsidRPr="0091780F">
        <w:rPr>
          <w:rFonts w:ascii="Arial" w:hAnsi="Arial" w:cs="Arial"/>
          <w:sz w:val="24"/>
          <w:szCs w:val="24"/>
        </w:rPr>
        <w:t xml:space="preserve">, and having regard to the defences raised </w:t>
      </w:r>
      <w:r w:rsidR="00873561" w:rsidRPr="0091780F">
        <w:rPr>
          <w:rFonts w:ascii="Arial" w:hAnsi="Arial" w:cs="Arial"/>
          <w:sz w:val="24"/>
          <w:szCs w:val="24"/>
        </w:rPr>
        <w:t xml:space="preserve">the </w:t>
      </w:r>
      <w:r w:rsidR="00FD30D5" w:rsidRPr="0091780F">
        <w:rPr>
          <w:rFonts w:ascii="Arial" w:hAnsi="Arial" w:cs="Arial"/>
          <w:sz w:val="24"/>
          <w:szCs w:val="24"/>
        </w:rPr>
        <w:t xml:space="preserve">failure to appear to contest judgment was out of step.  </w:t>
      </w:r>
    </w:p>
    <w:p w14:paraId="021A5F05" w14:textId="77777777" w:rsidR="00FD30D5" w:rsidRPr="00FD30D5" w:rsidRDefault="00FD30D5" w:rsidP="00FD30D5">
      <w:pPr>
        <w:pStyle w:val="ListParagraph"/>
        <w:rPr>
          <w:rFonts w:ascii="Arial" w:hAnsi="Arial" w:cs="Arial"/>
          <w:sz w:val="24"/>
          <w:szCs w:val="24"/>
        </w:rPr>
      </w:pPr>
    </w:p>
    <w:p w14:paraId="48BC0042" w14:textId="0F767902" w:rsidR="00FD30D5"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49.</w:t>
      </w:r>
      <w:r>
        <w:rPr>
          <w:rFonts w:ascii="Arial" w:hAnsi="Arial" w:cs="Arial"/>
          <w:sz w:val="24"/>
          <w:szCs w:val="24"/>
        </w:rPr>
        <w:tab/>
      </w:r>
      <w:r w:rsidR="00FD30D5" w:rsidRPr="0091780F">
        <w:rPr>
          <w:rFonts w:ascii="Arial" w:hAnsi="Arial" w:cs="Arial"/>
          <w:sz w:val="24"/>
          <w:szCs w:val="24"/>
        </w:rPr>
        <w:t xml:space="preserve">Whilst it may be accepted that applicant’s sole director had personal issues which </w:t>
      </w:r>
      <w:r w:rsidR="001F6188" w:rsidRPr="0091780F">
        <w:rPr>
          <w:rFonts w:ascii="Arial" w:hAnsi="Arial" w:cs="Arial"/>
          <w:sz w:val="24"/>
          <w:szCs w:val="24"/>
        </w:rPr>
        <w:t>distracted</w:t>
      </w:r>
      <w:r w:rsidR="00FD30D5" w:rsidRPr="0091780F">
        <w:rPr>
          <w:rFonts w:ascii="Arial" w:hAnsi="Arial" w:cs="Arial"/>
          <w:sz w:val="24"/>
          <w:szCs w:val="24"/>
        </w:rPr>
        <w:t xml:space="preserve"> him from the trial, there is a complete absence of reference to nor are the case flow management issues of which applicant must have been aware</w:t>
      </w:r>
      <w:r w:rsidR="00873561" w:rsidRPr="0091780F">
        <w:rPr>
          <w:rFonts w:ascii="Arial" w:hAnsi="Arial" w:cs="Arial"/>
          <w:sz w:val="24"/>
          <w:szCs w:val="24"/>
        </w:rPr>
        <w:t>,</w:t>
      </w:r>
      <w:r w:rsidR="00FD30D5" w:rsidRPr="0091780F">
        <w:rPr>
          <w:rFonts w:ascii="Arial" w:hAnsi="Arial" w:cs="Arial"/>
          <w:sz w:val="24"/>
          <w:szCs w:val="24"/>
        </w:rPr>
        <w:t xml:space="preserve"> dealt with in any way at all.  </w:t>
      </w:r>
    </w:p>
    <w:p w14:paraId="6F62BBB8" w14:textId="77777777" w:rsidR="00FD30D5" w:rsidRPr="00FD30D5" w:rsidRDefault="00FD30D5" w:rsidP="00FD30D5">
      <w:pPr>
        <w:pStyle w:val="ListParagraph"/>
        <w:rPr>
          <w:rFonts w:ascii="Arial" w:hAnsi="Arial" w:cs="Arial"/>
          <w:sz w:val="24"/>
          <w:szCs w:val="24"/>
        </w:rPr>
      </w:pPr>
    </w:p>
    <w:p w14:paraId="39C86739" w14:textId="265D0AC2" w:rsidR="00FD30D5"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50.</w:t>
      </w:r>
      <w:r>
        <w:rPr>
          <w:rFonts w:ascii="Arial" w:hAnsi="Arial" w:cs="Arial"/>
          <w:sz w:val="24"/>
          <w:szCs w:val="24"/>
        </w:rPr>
        <w:tab/>
      </w:r>
      <w:r w:rsidR="00FD30D5" w:rsidRPr="0091780F">
        <w:rPr>
          <w:rFonts w:ascii="Arial" w:hAnsi="Arial" w:cs="Arial"/>
          <w:sz w:val="24"/>
          <w:szCs w:val="24"/>
        </w:rPr>
        <w:t xml:space="preserve">Put otherwise, it must be accepted that applicant and its sole director were more than fully aware of all issues relevant, and took a deliberate decision not to attend the proceedings </w:t>
      </w:r>
      <w:r w:rsidR="00873561" w:rsidRPr="0091780F">
        <w:rPr>
          <w:rFonts w:ascii="Arial" w:hAnsi="Arial" w:cs="Arial"/>
          <w:sz w:val="24"/>
          <w:szCs w:val="24"/>
        </w:rPr>
        <w:t xml:space="preserve">as </w:t>
      </w:r>
      <w:r w:rsidR="00FD30D5" w:rsidRPr="0091780F">
        <w:rPr>
          <w:rFonts w:ascii="Arial" w:hAnsi="Arial" w:cs="Arial"/>
          <w:sz w:val="24"/>
          <w:szCs w:val="24"/>
        </w:rPr>
        <w:t xml:space="preserve">it </w:t>
      </w:r>
      <w:r w:rsidR="00873561" w:rsidRPr="0091780F">
        <w:rPr>
          <w:rFonts w:ascii="Arial" w:hAnsi="Arial" w:cs="Arial"/>
          <w:sz w:val="24"/>
          <w:szCs w:val="24"/>
        </w:rPr>
        <w:t xml:space="preserve">is </w:t>
      </w:r>
      <w:r w:rsidR="00FD30D5" w:rsidRPr="0091780F">
        <w:rPr>
          <w:rFonts w:ascii="Arial" w:hAnsi="Arial" w:cs="Arial"/>
          <w:sz w:val="24"/>
          <w:szCs w:val="24"/>
        </w:rPr>
        <w:t>at no time set out that applicant was in fact unaware thereof.</w:t>
      </w:r>
      <w:r w:rsidR="003E22F5" w:rsidRPr="0091780F">
        <w:rPr>
          <w:rFonts w:ascii="Arial" w:hAnsi="Arial" w:cs="Arial"/>
          <w:sz w:val="24"/>
          <w:szCs w:val="24"/>
        </w:rPr>
        <w:t xml:space="preserve">  Respondent relies heavily hereon in its opposition.</w:t>
      </w:r>
      <w:r w:rsidR="00FD30D5" w:rsidRPr="0091780F">
        <w:rPr>
          <w:rFonts w:ascii="Arial" w:hAnsi="Arial" w:cs="Arial"/>
          <w:sz w:val="24"/>
          <w:szCs w:val="24"/>
        </w:rPr>
        <w:t xml:space="preserve">  </w:t>
      </w:r>
    </w:p>
    <w:p w14:paraId="582CC667" w14:textId="77777777" w:rsidR="00FD30D5" w:rsidRPr="00FD30D5" w:rsidRDefault="00FD30D5" w:rsidP="00FD30D5">
      <w:pPr>
        <w:pStyle w:val="ListParagraph"/>
        <w:rPr>
          <w:rFonts w:ascii="Arial" w:hAnsi="Arial" w:cs="Arial"/>
          <w:sz w:val="24"/>
          <w:szCs w:val="24"/>
        </w:rPr>
      </w:pPr>
    </w:p>
    <w:p w14:paraId="48C44F4F" w14:textId="6926F118" w:rsidR="00DF08F3"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FD30D5" w:rsidRPr="0091780F">
        <w:rPr>
          <w:rFonts w:ascii="Arial" w:hAnsi="Arial" w:cs="Arial"/>
          <w:sz w:val="24"/>
          <w:szCs w:val="24"/>
        </w:rPr>
        <w:t>At the end of the day</w:t>
      </w:r>
      <w:r w:rsidR="001F6188" w:rsidRPr="0091780F">
        <w:rPr>
          <w:rFonts w:ascii="Arial" w:hAnsi="Arial" w:cs="Arial"/>
          <w:sz w:val="24"/>
          <w:szCs w:val="24"/>
        </w:rPr>
        <w:t xml:space="preserve"> then the main thrust on th</w:t>
      </w:r>
      <w:r w:rsidR="003E22F5" w:rsidRPr="0091780F">
        <w:rPr>
          <w:rFonts w:ascii="Arial" w:hAnsi="Arial" w:cs="Arial"/>
          <w:sz w:val="24"/>
          <w:szCs w:val="24"/>
        </w:rPr>
        <w:t>e</w:t>
      </w:r>
      <w:r w:rsidR="001F6188" w:rsidRPr="0091780F">
        <w:rPr>
          <w:rFonts w:ascii="Arial" w:hAnsi="Arial" w:cs="Arial"/>
          <w:sz w:val="24"/>
          <w:szCs w:val="24"/>
        </w:rPr>
        <w:t xml:space="preserve"> first leg, to be considered in the light of all the relevant facts and circumstances</w:t>
      </w:r>
      <w:r w:rsidR="003E22F5" w:rsidRPr="0091780F">
        <w:rPr>
          <w:rFonts w:ascii="Arial" w:hAnsi="Arial" w:cs="Arial"/>
          <w:sz w:val="24"/>
          <w:szCs w:val="24"/>
        </w:rPr>
        <w:t>,</w:t>
      </w:r>
      <w:r w:rsidR="001F6188" w:rsidRPr="0091780F">
        <w:rPr>
          <w:rFonts w:ascii="Arial" w:hAnsi="Arial" w:cs="Arial"/>
          <w:sz w:val="24"/>
          <w:szCs w:val="24"/>
        </w:rPr>
        <w:t xml:space="preserve"> is that applicant believed albeit wrongly that respondent would not be able to pro</w:t>
      </w:r>
      <w:r w:rsidR="00873561" w:rsidRPr="0091780F">
        <w:rPr>
          <w:rFonts w:ascii="Arial" w:hAnsi="Arial" w:cs="Arial"/>
          <w:sz w:val="24"/>
          <w:szCs w:val="24"/>
        </w:rPr>
        <w:t>ve</w:t>
      </w:r>
      <w:r w:rsidR="001F6188" w:rsidRPr="0091780F">
        <w:rPr>
          <w:rFonts w:ascii="Arial" w:hAnsi="Arial" w:cs="Arial"/>
          <w:sz w:val="24"/>
          <w:szCs w:val="24"/>
        </w:rPr>
        <w:t xml:space="preserve"> its case, that this would be recognise</w:t>
      </w:r>
      <w:r w:rsidR="00873561" w:rsidRPr="0091780F">
        <w:rPr>
          <w:rFonts w:ascii="Arial" w:hAnsi="Arial" w:cs="Arial"/>
          <w:sz w:val="24"/>
          <w:szCs w:val="24"/>
        </w:rPr>
        <w:t>d</w:t>
      </w:r>
      <w:r w:rsidR="001F6188" w:rsidRPr="0091780F">
        <w:rPr>
          <w:rFonts w:ascii="Arial" w:hAnsi="Arial" w:cs="Arial"/>
          <w:sz w:val="24"/>
          <w:szCs w:val="24"/>
        </w:rPr>
        <w:t xml:space="preserve"> at the default judgment stage even in the absence of applicant and </w:t>
      </w:r>
      <w:r w:rsidR="00873561" w:rsidRPr="0091780F">
        <w:rPr>
          <w:rFonts w:ascii="Arial" w:hAnsi="Arial" w:cs="Arial"/>
          <w:sz w:val="24"/>
          <w:szCs w:val="24"/>
        </w:rPr>
        <w:t xml:space="preserve">the court would </w:t>
      </w:r>
      <w:r w:rsidR="001F6188" w:rsidRPr="0091780F">
        <w:rPr>
          <w:rFonts w:ascii="Arial" w:hAnsi="Arial" w:cs="Arial"/>
          <w:sz w:val="24"/>
          <w:szCs w:val="24"/>
        </w:rPr>
        <w:t xml:space="preserve">refuse relief.  It is argued that this falls in line </w:t>
      </w:r>
      <w:r w:rsidR="00873561" w:rsidRPr="0091780F">
        <w:rPr>
          <w:rFonts w:ascii="Arial" w:hAnsi="Arial" w:cs="Arial"/>
          <w:sz w:val="24"/>
          <w:szCs w:val="24"/>
        </w:rPr>
        <w:t>(</w:t>
      </w:r>
      <w:r w:rsidR="001F6188" w:rsidRPr="0091780F">
        <w:rPr>
          <w:rFonts w:ascii="Arial" w:hAnsi="Arial" w:cs="Arial"/>
          <w:sz w:val="24"/>
          <w:szCs w:val="24"/>
        </w:rPr>
        <w:t>taken overall</w:t>
      </w:r>
      <w:r w:rsidR="00873561" w:rsidRPr="0091780F">
        <w:rPr>
          <w:rFonts w:ascii="Arial" w:hAnsi="Arial" w:cs="Arial"/>
          <w:sz w:val="24"/>
          <w:szCs w:val="24"/>
        </w:rPr>
        <w:t>)</w:t>
      </w:r>
      <w:r w:rsidR="001F6188" w:rsidRPr="0091780F">
        <w:rPr>
          <w:rFonts w:ascii="Arial" w:hAnsi="Arial" w:cs="Arial"/>
          <w:sz w:val="24"/>
          <w:szCs w:val="24"/>
        </w:rPr>
        <w:t xml:space="preserve"> </w:t>
      </w:r>
      <w:r w:rsidR="003E22F5" w:rsidRPr="0091780F">
        <w:rPr>
          <w:rFonts w:ascii="Arial" w:hAnsi="Arial" w:cs="Arial"/>
          <w:sz w:val="24"/>
          <w:szCs w:val="24"/>
        </w:rPr>
        <w:t xml:space="preserve">with the submission </w:t>
      </w:r>
      <w:r w:rsidR="00873561" w:rsidRPr="0091780F">
        <w:rPr>
          <w:rFonts w:ascii="Arial" w:hAnsi="Arial" w:cs="Arial"/>
          <w:sz w:val="24"/>
          <w:szCs w:val="24"/>
        </w:rPr>
        <w:t xml:space="preserve">that </w:t>
      </w:r>
      <w:r w:rsidR="001F6188" w:rsidRPr="0091780F">
        <w:rPr>
          <w:rFonts w:ascii="Arial" w:hAnsi="Arial" w:cs="Arial"/>
          <w:sz w:val="24"/>
          <w:szCs w:val="24"/>
        </w:rPr>
        <w:t>whilst there was a deliberate intention not to attend</w:t>
      </w:r>
      <w:r w:rsidR="00873561" w:rsidRPr="0091780F">
        <w:rPr>
          <w:rFonts w:ascii="Arial" w:hAnsi="Arial" w:cs="Arial"/>
          <w:sz w:val="24"/>
          <w:szCs w:val="24"/>
        </w:rPr>
        <w:t>,</w:t>
      </w:r>
      <w:r w:rsidR="001F6188" w:rsidRPr="0091780F">
        <w:rPr>
          <w:rFonts w:ascii="Arial" w:hAnsi="Arial" w:cs="Arial"/>
          <w:sz w:val="24"/>
          <w:szCs w:val="24"/>
        </w:rPr>
        <w:t xml:space="preserve"> in essence applicant did not appreciate the legal consequences of its failure and did not in any way acquiesce</w:t>
      </w:r>
      <w:r w:rsidR="00DF08F3" w:rsidRPr="0091780F">
        <w:rPr>
          <w:rFonts w:ascii="Arial" w:hAnsi="Arial" w:cs="Arial"/>
          <w:sz w:val="24"/>
          <w:szCs w:val="24"/>
        </w:rPr>
        <w:t xml:space="preserve"> </w:t>
      </w:r>
      <w:r w:rsidR="00873561" w:rsidRPr="0091780F">
        <w:rPr>
          <w:rFonts w:ascii="Arial" w:hAnsi="Arial" w:cs="Arial"/>
          <w:sz w:val="24"/>
          <w:szCs w:val="24"/>
        </w:rPr>
        <w:t>in</w:t>
      </w:r>
      <w:r w:rsidR="00DF08F3" w:rsidRPr="0091780F">
        <w:rPr>
          <w:rFonts w:ascii="Arial" w:hAnsi="Arial" w:cs="Arial"/>
          <w:sz w:val="24"/>
          <w:szCs w:val="24"/>
        </w:rPr>
        <w:t xml:space="preserve"> the judgment genuinely believing it would and could not be given in the circumstances albeit conceding at this stage that </w:t>
      </w:r>
      <w:r w:rsidR="00873561" w:rsidRPr="0091780F">
        <w:rPr>
          <w:rFonts w:ascii="Arial" w:hAnsi="Arial" w:cs="Arial"/>
          <w:sz w:val="24"/>
          <w:szCs w:val="24"/>
        </w:rPr>
        <w:t>i</w:t>
      </w:r>
      <w:r w:rsidR="00DF08F3" w:rsidRPr="0091780F">
        <w:rPr>
          <w:rFonts w:ascii="Arial" w:hAnsi="Arial" w:cs="Arial"/>
          <w:sz w:val="24"/>
          <w:szCs w:val="24"/>
        </w:rPr>
        <w:t xml:space="preserve">t was a naive and incorrect belief.  </w:t>
      </w:r>
    </w:p>
    <w:p w14:paraId="2E236723" w14:textId="77777777" w:rsidR="00DF08F3" w:rsidRPr="00DF08F3" w:rsidRDefault="00DF08F3" w:rsidP="00DF08F3">
      <w:pPr>
        <w:pStyle w:val="ListParagraph"/>
        <w:rPr>
          <w:rFonts w:ascii="Arial" w:hAnsi="Arial" w:cs="Arial"/>
          <w:sz w:val="24"/>
          <w:szCs w:val="24"/>
        </w:rPr>
      </w:pPr>
    </w:p>
    <w:p w14:paraId="1F387099" w14:textId="58D15DC8" w:rsidR="00DF08F3"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DF08F3" w:rsidRPr="0091780F">
        <w:rPr>
          <w:rFonts w:ascii="Arial" w:hAnsi="Arial" w:cs="Arial"/>
          <w:sz w:val="24"/>
          <w:szCs w:val="24"/>
        </w:rPr>
        <w:t xml:space="preserve">In respect of the existence of a </w:t>
      </w:r>
      <w:r w:rsidR="00DF08F3" w:rsidRPr="0091780F">
        <w:rPr>
          <w:rFonts w:ascii="Arial" w:hAnsi="Arial" w:cs="Arial"/>
          <w:i/>
          <w:sz w:val="24"/>
          <w:szCs w:val="24"/>
        </w:rPr>
        <w:t>bona fide</w:t>
      </w:r>
      <w:r w:rsidR="00DF08F3" w:rsidRPr="0091780F">
        <w:rPr>
          <w:rFonts w:ascii="Arial" w:hAnsi="Arial" w:cs="Arial"/>
          <w:sz w:val="24"/>
          <w:szCs w:val="24"/>
        </w:rPr>
        <w:t xml:space="preserve"> defence, I emphasise that I am fully aware of the fact that, as I have fully set out above, this means simply that a defence must be put up on affidavit that </w:t>
      </w:r>
      <w:r w:rsidR="00DF08F3" w:rsidRPr="0091780F">
        <w:rPr>
          <w:rFonts w:ascii="Arial" w:hAnsi="Arial" w:cs="Arial"/>
          <w:i/>
          <w:sz w:val="24"/>
          <w:szCs w:val="24"/>
        </w:rPr>
        <w:t>prima facie</w:t>
      </w:r>
      <w:r w:rsidR="00DF08F3" w:rsidRPr="0091780F">
        <w:rPr>
          <w:rFonts w:ascii="Arial" w:hAnsi="Arial" w:cs="Arial"/>
          <w:sz w:val="24"/>
          <w:szCs w:val="24"/>
        </w:rPr>
        <w:t xml:space="preserve"> has some prospect or probability of success.</w:t>
      </w:r>
    </w:p>
    <w:p w14:paraId="534470FA" w14:textId="77777777" w:rsidR="00DF08F3" w:rsidRPr="00DF08F3" w:rsidRDefault="00DF08F3" w:rsidP="00DF08F3">
      <w:pPr>
        <w:pStyle w:val="ListParagraph"/>
        <w:rPr>
          <w:rFonts w:ascii="Arial" w:hAnsi="Arial" w:cs="Arial"/>
          <w:sz w:val="24"/>
          <w:szCs w:val="24"/>
        </w:rPr>
      </w:pPr>
    </w:p>
    <w:p w14:paraId="03AF0708" w14:textId="32582393" w:rsidR="00DF08F3"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53.</w:t>
      </w:r>
      <w:r>
        <w:rPr>
          <w:rFonts w:ascii="Arial" w:hAnsi="Arial" w:cs="Arial"/>
          <w:sz w:val="24"/>
          <w:szCs w:val="24"/>
        </w:rPr>
        <w:tab/>
      </w:r>
      <w:r w:rsidR="00DF08F3" w:rsidRPr="0091780F">
        <w:rPr>
          <w:rFonts w:ascii="Arial" w:hAnsi="Arial" w:cs="Arial"/>
          <w:sz w:val="24"/>
          <w:szCs w:val="24"/>
        </w:rPr>
        <w:t xml:space="preserve">The concept of </w:t>
      </w:r>
      <w:r w:rsidR="00235760" w:rsidRPr="0091780F">
        <w:rPr>
          <w:rFonts w:ascii="Arial" w:hAnsi="Arial" w:cs="Arial"/>
          <w:sz w:val="24"/>
          <w:szCs w:val="24"/>
        </w:rPr>
        <w:t>a</w:t>
      </w:r>
      <w:r w:rsidR="00DF08F3" w:rsidRPr="0091780F">
        <w:rPr>
          <w:rFonts w:ascii="Arial" w:hAnsi="Arial" w:cs="Arial"/>
          <w:sz w:val="24"/>
          <w:szCs w:val="24"/>
        </w:rPr>
        <w:t xml:space="preserve"> defence </w:t>
      </w:r>
      <w:r w:rsidR="00235760" w:rsidRPr="0091780F">
        <w:rPr>
          <w:rFonts w:ascii="Arial" w:hAnsi="Arial" w:cs="Arial"/>
          <w:sz w:val="24"/>
          <w:szCs w:val="24"/>
        </w:rPr>
        <w:t xml:space="preserve">is </w:t>
      </w:r>
      <w:r w:rsidR="00DF08F3" w:rsidRPr="0091780F">
        <w:rPr>
          <w:rFonts w:ascii="Arial" w:hAnsi="Arial" w:cs="Arial"/>
          <w:sz w:val="24"/>
          <w:szCs w:val="24"/>
        </w:rPr>
        <w:t xml:space="preserve">simply </w:t>
      </w:r>
      <w:r w:rsidR="00235760" w:rsidRPr="0091780F">
        <w:rPr>
          <w:rFonts w:ascii="Arial" w:hAnsi="Arial" w:cs="Arial"/>
          <w:sz w:val="24"/>
          <w:szCs w:val="24"/>
        </w:rPr>
        <w:t xml:space="preserve">a defence </w:t>
      </w:r>
      <w:r w:rsidR="00DF08F3" w:rsidRPr="0091780F">
        <w:rPr>
          <w:rFonts w:ascii="Arial" w:hAnsi="Arial" w:cs="Arial"/>
          <w:sz w:val="24"/>
          <w:szCs w:val="24"/>
        </w:rPr>
        <w:t xml:space="preserve">such as to </w:t>
      </w:r>
      <w:r w:rsidR="00DF08F3" w:rsidRPr="0091780F">
        <w:rPr>
          <w:rFonts w:ascii="Arial" w:hAnsi="Arial" w:cs="Arial"/>
          <w:i/>
          <w:sz w:val="24"/>
          <w:szCs w:val="24"/>
        </w:rPr>
        <w:t>prima facie</w:t>
      </w:r>
      <w:r w:rsidR="00DF08F3" w:rsidRPr="0091780F">
        <w:rPr>
          <w:rFonts w:ascii="Arial" w:hAnsi="Arial" w:cs="Arial"/>
          <w:sz w:val="24"/>
          <w:szCs w:val="24"/>
        </w:rPr>
        <w:t xml:space="preserve"> carry some prospect of success </w:t>
      </w:r>
      <w:r w:rsidR="00235760" w:rsidRPr="0091780F">
        <w:rPr>
          <w:rFonts w:ascii="Arial" w:hAnsi="Arial" w:cs="Arial"/>
          <w:sz w:val="24"/>
          <w:szCs w:val="24"/>
        </w:rPr>
        <w:t>a</w:t>
      </w:r>
      <w:r w:rsidR="00DF08F3" w:rsidRPr="0091780F">
        <w:rPr>
          <w:rFonts w:ascii="Arial" w:hAnsi="Arial" w:cs="Arial"/>
          <w:sz w:val="24"/>
          <w:szCs w:val="24"/>
        </w:rPr>
        <w:t xml:space="preserve">s set out in </w:t>
      </w:r>
      <w:r w:rsidR="00DF08F3" w:rsidRPr="0091780F">
        <w:rPr>
          <w:rFonts w:ascii="Arial" w:hAnsi="Arial" w:cs="Arial"/>
          <w:b/>
          <w:sz w:val="24"/>
          <w:szCs w:val="24"/>
        </w:rPr>
        <w:t>Chetty</w:t>
      </w:r>
      <w:r w:rsidR="00DF08F3" w:rsidRPr="0091780F">
        <w:rPr>
          <w:rFonts w:ascii="Arial" w:hAnsi="Arial" w:cs="Arial"/>
          <w:sz w:val="24"/>
          <w:szCs w:val="24"/>
        </w:rPr>
        <w:t xml:space="preserve"> (</w:t>
      </w:r>
      <w:r w:rsidR="00DF08F3" w:rsidRPr="0091780F">
        <w:rPr>
          <w:rFonts w:ascii="Arial" w:hAnsi="Arial" w:cs="Arial"/>
          <w:i/>
          <w:sz w:val="24"/>
          <w:szCs w:val="24"/>
        </w:rPr>
        <w:t>supra</w:t>
      </w:r>
      <w:r w:rsidR="00DF08F3" w:rsidRPr="0091780F">
        <w:rPr>
          <w:rFonts w:ascii="Arial" w:hAnsi="Arial" w:cs="Arial"/>
          <w:sz w:val="24"/>
          <w:szCs w:val="24"/>
        </w:rPr>
        <w:t>).</w:t>
      </w:r>
      <w:r w:rsidR="00DF08F3">
        <w:rPr>
          <w:rStyle w:val="FootnoteReference"/>
          <w:rFonts w:ascii="Arial" w:hAnsi="Arial" w:cs="Arial"/>
          <w:sz w:val="24"/>
          <w:szCs w:val="24"/>
        </w:rPr>
        <w:footnoteReference w:id="16"/>
      </w:r>
      <w:r w:rsidR="009873D4" w:rsidRPr="0091780F">
        <w:rPr>
          <w:rFonts w:ascii="Arial" w:hAnsi="Arial" w:cs="Arial"/>
          <w:sz w:val="24"/>
          <w:szCs w:val="24"/>
        </w:rPr>
        <w:t xml:space="preserve"> </w:t>
      </w:r>
    </w:p>
    <w:p w14:paraId="6CAD7A12" w14:textId="77777777" w:rsidR="00DF08F3" w:rsidRPr="00DF08F3" w:rsidRDefault="00DF08F3" w:rsidP="00DF08F3">
      <w:pPr>
        <w:pStyle w:val="ListParagraph"/>
        <w:rPr>
          <w:rFonts w:ascii="Arial" w:hAnsi="Arial" w:cs="Arial"/>
          <w:sz w:val="24"/>
          <w:szCs w:val="24"/>
        </w:rPr>
      </w:pPr>
    </w:p>
    <w:p w14:paraId="5630FF45" w14:textId="7F7B826A" w:rsidR="00DF08F3"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54.</w:t>
      </w:r>
      <w:r>
        <w:rPr>
          <w:rFonts w:ascii="Arial" w:hAnsi="Arial" w:cs="Arial"/>
          <w:sz w:val="24"/>
          <w:szCs w:val="24"/>
        </w:rPr>
        <w:tab/>
      </w:r>
      <w:r w:rsidR="00DF08F3" w:rsidRPr="0091780F">
        <w:rPr>
          <w:rFonts w:ascii="Arial" w:hAnsi="Arial" w:cs="Arial"/>
          <w:sz w:val="24"/>
          <w:szCs w:val="24"/>
        </w:rPr>
        <w:t xml:space="preserve">The bar is then </w:t>
      </w:r>
      <w:r w:rsidR="00235760" w:rsidRPr="0091780F">
        <w:rPr>
          <w:rFonts w:ascii="Arial" w:hAnsi="Arial" w:cs="Arial"/>
          <w:sz w:val="24"/>
          <w:szCs w:val="24"/>
        </w:rPr>
        <w:t xml:space="preserve">is </w:t>
      </w:r>
      <w:r w:rsidR="00DF08F3" w:rsidRPr="0091780F">
        <w:rPr>
          <w:rFonts w:ascii="Arial" w:hAnsi="Arial" w:cs="Arial"/>
          <w:sz w:val="24"/>
          <w:szCs w:val="24"/>
        </w:rPr>
        <w:t>set relatively low being a</w:t>
      </w:r>
      <w:r w:rsidR="00DF08F3" w:rsidRPr="0091780F">
        <w:rPr>
          <w:rFonts w:ascii="Arial" w:hAnsi="Arial" w:cs="Arial"/>
          <w:i/>
          <w:sz w:val="24"/>
          <w:szCs w:val="24"/>
        </w:rPr>
        <w:t xml:space="preserve"> “</w:t>
      </w:r>
      <w:r w:rsidR="003E22F5" w:rsidRPr="0091780F">
        <w:rPr>
          <w:rFonts w:ascii="Arial" w:hAnsi="Arial" w:cs="Arial"/>
          <w:i/>
          <w:sz w:val="24"/>
          <w:szCs w:val="24"/>
        </w:rPr>
        <w:t xml:space="preserve">a bona fide </w:t>
      </w:r>
      <w:r w:rsidR="00DF08F3" w:rsidRPr="0091780F">
        <w:rPr>
          <w:rFonts w:ascii="Arial" w:hAnsi="Arial" w:cs="Arial"/>
          <w:i/>
          <w:sz w:val="24"/>
          <w:szCs w:val="24"/>
        </w:rPr>
        <w:t>defence which ‘prima facie, carr</w:t>
      </w:r>
      <w:r w:rsidR="003E22F5" w:rsidRPr="0091780F">
        <w:rPr>
          <w:rFonts w:ascii="Arial" w:hAnsi="Arial" w:cs="Arial"/>
          <w:i/>
          <w:sz w:val="24"/>
          <w:szCs w:val="24"/>
        </w:rPr>
        <w:t>ies</w:t>
      </w:r>
      <w:r w:rsidR="00DF08F3" w:rsidRPr="0091780F">
        <w:rPr>
          <w:rFonts w:ascii="Arial" w:hAnsi="Arial" w:cs="Arial"/>
          <w:i/>
          <w:sz w:val="24"/>
          <w:szCs w:val="24"/>
        </w:rPr>
        <w:t xml:space="preserve"> some prospect of success.</w:t>
      </w:r>
      <w:r w:rsidR="00DF08F3" w:rsidRPr="0091780F">
        <w:rPr>
          <w:rFonts w:ascii="Arial" w:hAnsi="Arial" w:cs="Arial"/>
          <w:sz w:val="24"/>
          <w:szCs w:val="24"/>
        </w:rPr>
        <w:t>”</w:t>
      </w:r>
    </w:p>
    <w:p w14:paraId="30BDE84A" w14:textId="77777777" w:rsidR="00DF08F3" w:rsidRPr="00DF08F3" w:rsidRDefault="00DF08F3" w:rsidP="00DF08F3">
      <w:pPr>
        <w:pStyle w:val="ListParagraph"/>
        <w:rPr>
          <w:rFonts w:ascii="Arial" w:hAnsi="Arial" w:cs="Arial"/>
          <w:sz w:val="24"/>
          <w:szCs w:val="24"/>
        </w:rPr>
      </w:pPr>
    </w:p>
    <w:p w14:paraId="008519C8" w14:textId="602CDF34" w:rsidR="00650C65"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55.</w:t>
      </w:r>
      <w:r>
        <w:rPr>
          <w:rFonts w:ascii="Arial" w:hAnsi="Arial" w:cs="Arial"/>
          <w:sz w:val="24"/>
          <w:szCs w:val="24"/>
        </w:rPr>
        <w:tab/>
      </w:r>
      <w:r w:rsidR="00DF08F3" w:rsidRPr="0091780F">
        <w:rPr>
          <w:rFonts w:ascii="Arial" w:hAnsi="Arial" w:cs="Arial"/>
          <w:sz w:val="24"/>
          <w:szCs w:val="24"/>
        </w:rPr>
        <w:t xml:space="preserve">In this regard what is put up on the affidavits for applicant </w:t>
      </w:r>
      <w:r w:rsidR="00873561" w:rsidRPr="0091780F">
        <w:rPr>
          <w:rFonts w:ascii="Arial" w:hAnsi="Arial" w:cs="Arial"/>
          <w:sz w:val="24"/>
          <w:szCs w:val="24"/>
        </w:rPr>
        <w:t xml:space="preserve">is </w:t>
      </w:r>
      <w:r w:rsidR="00DF08F3" w:rsidRPr="0091780F">
        <w:rPr>
          <w:rFonts w:ascii="Arial" w:hAnsi="Arial" w:cs="Arial"/>
          <w:sz w:val="24"/>
          <w:szCs w:val="24"/>
        </w:rPr>
        <w:t>that firstly incorrect evidence was led at the default judgment stage that it did comply with the statutory</w:t>
      </w:r>
      <w:r w:rsidR="00650C65" w:rsidRPr="0091780F">
        <w:rPr>
          <w:rFonts w:ascii="Arial" w:hAnsi="Arial" w:cs="Arial"/>
          <w:sz w:val="24"/>
          <w:szCs w:val="24"/>
        </w:rPr>
        <w:t xml:space="preserve"> requirements </w:t>
      </w:r>
      <w:r w:rsidR="00235760" w:rsidRPr="0091780F">
        <w:rPr>
          <w:rFonts w:ascii="Arial" w:hAnsi="Arial" w:cs="Arial"/>
          <w:sz w:val="24"/>
          <w:szCs w:val="24"/>
        </w:rPr>
        <w:t xml:space="preserve">raised </w:t>
      </w:r>
      <w:r w:rsidR="00873561" w:rsidRPr="0091780F">
        <w:rPr>
          <w:rFonts w:ascii="Arial" w:hAnsi="Arial" w:cs="Arial"/>
          <w:sz w:val="24"/>
          <w:szCs w:val="24"/>
        </w:rPr>
        <w:t>in</w:t>
      </w:r>
      <w:r w:rsidR="00650C65" w:rsidRPr="0091780F">
        <w:rPr>
          <w:rFonts w:ascii="Arial" w:hAnsi="Arial" w:cs="Arial"/>
          <w:sz w:val="24"/>
          <w:szCs w:val="24"/>
        </w:rPr>
        <w:t xml:space="preserve"> defence.  It is alleged that the witness Scarterfield had relied on a “</w:t>
      </w:r>
      <w:r w:rsidR="00650C65" w:rsidRPr="0091780F">
        <w:rPr>
          <w:rFonts w:ascii="Arial" w:hAnsi="Arial" w:cs="Arial"/>
          <w:i/>
          <w:sz w:val="24"/>
          <w:szCs w:val="24"/>
        </w:rPr>
        <w:t>single document</w:t>
      </w:r>
      <w:r w:rsidR="00650C65" w:rsidRPr="0091780F">
        <w:rPr>
          <w:rFonts w:ascii="Arial" w:hAnsi="Arial" w:cs="Arial"/>
          <w:sz w:val="24"/>
          <w:szCs w:val="24"/>
        </w:rPr>
        <w:t>” to contend that it had complied with the relevant statutory requirements, that this was misleading and i</w:t>
      </w:r>
      <w:r w:rsidR="00873561" w:rsidRPr="0091780F">
        <w:rPr>
          <w:rFonts w:ascii="Arial" w:hAnsi="Arial" w:cs="Arial"/>
          <w:sz w:val="24"/>
          <w:szCs w:val="24"/>
        </w:rPr>
        <w:t>n</w:t>
      </w:r>
      <w:r w:rsidR="00650C65" w:rsidRPr="0091780F">
        <w:rPr>
          <w:rFonts w:ascii="Arial" w:hAnsi="Arial" w:cs="Arial"/>
          <w:sz w:val="24"/>
          <w:szCs w:val="24"/>
        </w:rPr>
        <w:t xml:space="preserve">correct as the certificate of adequate enclosure was not sufficient in respect of the so-called </w:t>
      </w:r>
      <w:r w:rsidR="00873561" w:rsidRPr="0091780F">
        <w:rPr>
          <w:rFonts w:ascii="Arial" w:hAnsi="Arial" w:cs="Arial"/>
          <w:sz w:val="24"/>
          <w:szCs w:val="24"/>
        </w:rPr>
        <w:t>TOPS</w:t>
      </w:r>
      <w:r w:rsidR="00650C65" w:rsidRPr="0091780F">
        <w:rPr>
          <w:rFonts w:ascii="Arial" w:hAnsi="Arial" w:cs="Arial"/>
          <w:sz w:val="24"/>
          <w:szCs w:val="24"/>
        </w:rPr>
        <w:t xml:space="preserve"> game </w:t>
      </w:r>
      <w:r w:rsidR="00873561" w:rsidRPr="0091780F">
        <w:rPr>
          <w:rFonts w:ascii="Arial" w:hAnsi="Arial" w:cs="Arial"/>
          <w:sz w:val="24"/>
          <w:szCs w:val="24"/>
        </w:rPr>
        <w:t>(</w:t>
      </w:r>
      <w:r w:rsidR="00650C65" w:rsidRPr="0091780F">
        <w:rPr>
          <w:rFonts w:ascii="Arial" w:hAnsi="Arial" w:cs="Arial"/>
          <w:sz w:val="24"/>
          <w:szCs w:val="24"/>
        </w:rPr>
        <w:t>being threatened and protected species in terms of the National Environment Biodiversity Act 10 of 2004 and its regulations</w:t>
      </w:r>
      <w:r w:rsidR="00873561" w:rsidRPr="0091780F">
        <w:rPr>
          <w:rFonts w:ascii="Arial" w:hAnsi="Arial" w:cs="Arial"/>
          <w:sz w:val="24"/>
          <w:szCs w:val="24"/>
        </w:rPr>
        <w:t>)</w:t>
      </w:r>
      <w:r w:rsidR="00650C65" w:rsidRPr="0091780F">
        <w:rPr>
          <w:rFonts w:ascii="Arial" w:hAnsi="Arial" w:cs="Arial"/>
          <w:sz w:val="24"/>
          <w:szCs w:val="24"/>
        </w:rPr>
        <w:t>.  It is alleged that this was to all inten</w:t>
      </w:r>
      <w:r w:rsidR="00873561" w:rsidRPr="0091780F">
        <w:rPr>
          <w:rFonts w:ascii="Arial" w:hAnsi="Arial" w:cs="Arial"/>
          <w:sz w:val="24"/>
          <w:szCs w:val="24"/>
        </w:rPr>
        <w:t>t</w:t>
      </w:r>
      <w:r w:rsidR="00650C65" w:rsidRPr="0091780F">
        <w:rPr>
          <w:rFonts w:ascii="Arial" w:hAnsi="Arial" w:cs="Arial"/>
          <w:sz w:val="24"/>
          <w:szCs w:val="24"/>
        </w:rPr>
        <w:t>s and purposes conceded in respondent’s reply to the request for particulars</w:t>
      </w:r>
      <w:r w:rsidR="005A6CFA" w:rsidRPr="0091780F">
        <w:rPr>
          <w:rFonts w:ascii="Arial" w:hAnsi="Arial" w:cs="Arial"/>
          <w:sz w:val="24"/>
          <w:szCs w:val="24"/>
        </w:rPr>
        <w:t>,</w:t>
      </w:r>
      <w:r w:rsidR="00650C65" w:rsidRPr="0091780F">
        <w:rPr>
          <w:rFonts w:ascii="Arial" w:hAnsi="Arial" w:cs="Arial"/>
          <w:sz w:val="24"/>
          <w:szCs w:val="24"/>
        </w:rPr>
        <w:t xml:space="preserve"> paragraph 2.1 to 2.6 thereof.    </w:t>
      </w:r>
      <w:r w:rsidR="00873561" w:rsidRPr="0091780F">
        <w:rPr>
          <w:rFonts w:ascii="Arial" w:hAnsi="Arial" w:cs="Arial"/>
          <w:sz w:val="24"/>
          <w:szCs w:val="24"/>
        </w:rPr>
        <w:t xml:space="preserve">A </w:t>
      </w:r>
      <w:r w:rsidR="00650C65" w:rsidRPr="0091780F">
        <w:rPr>
          <w:rFonts w:ascii="Arial" w:hAnsi="Arial" w:cs="Arial"/>
          <w:sz w:val="24"/>
          <w:szCs w:val="24"/>
        </w:rPr>
        <w:t xml:space="preserve">considerable </w:t>
      </w:r>
      <w:r w:rsidR="00873561" w:rsidRPr="0091780F">
        <w:rPr>
          <w:rFonts w:ascii="Arial" w:hAnsi="Arial" w:cs="Arial"/>
          <w:sz w:val="24"/>
          <w:szCs w:val="24"/>
        </w:rPr>
        <w:t>number</w:t>
      </w:r>
      <w:r w:rsidR="00650C65" w:rsidRPr="0091780F">
        <w:rPr>
          <w:rFonts w:ascii="Arial" w:hAnsi="Arial" w:cs="Arial"/>
          <w:sz w:val="24"/>
          <w:szCs w:val="24"/>
        </w:rPr>
        <w:t xml:space="preserve"> of allegations are made in this regard in the affidavit and it goes so far as to say that Scarterfield’s evidence was “</w:t>
      </w:r>
      <w:r w:rsidR="00650C65" w:rsidRPr="0091780F">
        <w:rPr>
          <w:rFonts w:ascii="Arial" w:hAnsi="Arial" w:cs="Arial"/>
          <w:i/>
          <w:sz w:val="24"/>
          <w:szCs w:val="24"/>
        </w:rPr>
        <w:t>unfortunately untrue</w:t>
      </w:r>
      <w:r w:rsidR="00650C65" w:rsidRPr="0091780F">
        <w:rPr>
          <w:rFonts w:ascii="Arial" w:hAnsi="Arial" w:cs="Arial"/>
          <w:sz w:val="24"/>
          <w:szCs w:val="24"/>
        </w:rPr>
        <w:t>”.  This relat</w:t>
      </w:r>
      <w:r w:rsidR="00873561" w:rsidRPr="0091780F">
        <w:rPr>
          <w:rFonts w:ascii="Arial" w:hAnsi="Arial" w:cs="Arial"/>
          <w:sz w:val="24"/>
          <w:szCs w:val="24"/>
        </w:rPr>
        <w:t xml:space="preserve">es </w:t>
      </w:r>
      <w:r w:rsidR="00650C65" w:rsidRPr="0091780F">
        <w:rPr>
          <w:rFonts w:ascii="Arial" w:hAnsi="Arial" w:cs="Arial"/>
          <w:sz w:val="24"/>
          <w:szCs w:val="24"/>
        </w:rPr>
        <w:t xml:space="preserve">to the existence of electric fencing on the farm which it is contended was required.  Scarterfield is </w:t>
      </w:r>
      <w:r w:rsidR="002E6D3B" w:rsidRPr="0091780F">
        <w:rPr>
          <w:rFonts w:ascii="Arial" w:hAnsi="Arial" w:cs="Arial"/>
          <w:sz w:val="24"/>
          <w:szCs w:val="24"/>
        </w:rPr>
        <w:t>criticized</w:t>
      </w:r>
      <w:r w:rsidR="00650C65" w:rsidRPr="0091780F">
        <w:rPr>
          <w:rFonts w:ascii="Arial" w:hAnsi="Arial" w:cs="Arial"/>
          <w:sz w:val="24"/>
          <w:szCs w:val="24"/>
        </w:rPr>
        <w:t xml:space="preserve"> for not having presented the biodiversity management plan at the hearing, this seeming to overlook </w:t>
      </w:r>
      <w:r w:rsidR="00873561" w:rsidRPr="0091780F">
        <w:rPr>
          <w:rFonts w:ascii="Arial" w:hAnsi="Arial" w:cs="Arial"/>
          <w:sz w:val="24"/>
          <w:szCs w:val="24"/>
        </w:rPr>
        <w:t xml:space="preserve">that </w:t>
      </w:r>
      <w:r w:rsidR="00650C65" w:rsidRPr="0091780F">
        <w:rPr>
          <w:rFonts w:ascii="Arial" w:hAnsi="Arial" w:cs="Arial"/>
          <w:sz w:val="24"/>
          <w:szCs w:val="24"/>
        </w:rPr>
        <w:t xml:space="preserve">no evidence at </w:t>
      </w:r>
      <w:r w:rsidR="00650C65" w:rsidRPr="0091780F">
        <w:rPr>
          <w:rFonts w:ascii="Arial" w:hAnsi="Arial" w:cs="Arial"/>
          <w:sz w:val="24"/>
          <w:szCs w:val="24"/>
        </w:rPr>
        <w:lastRenderedPageBreak/>
        <w:t>all was required to have been put up</w:t>
      </w:r>
      <w:r w:rsidR="005A6CFA" w:rsidRPr="0091780F">
        <w:rPr>
          <w:rFonts w:ascii="Arial" w:hAnsi="Arial" w:cs="Arial"/>
          <w:sz w:val="24"/>
          <w:szCs w:val="24"/>
        </w:rPr>
        <w:t>,</w:t>
      </w:r>
      <w:r w:rsidR="00650C65" w:rsidRPr="0091780F">
        <w:rPr>
          <w:rFonts w:ascii="Arial" w:hAnsi="Arial" w:cs="Arial"/>
          <w:sz w:val="24"/>
          <w:szCs w:val="24"/>
        </w:rPr>
        <w:t xml:space="preserve"> it being a liquid claim.  It is </w:t>
      </w:r>
      <w:r w:rsidR="002E6D3B" w:rsidRPr="0091780F">
        <w:rPr>
          <w:rFonts w:ascii="Arial" w:hAnsi="Arial" w:cs="Arial"/>
          <w:sz w:val="24"/>
          <w:szCs w:val="24"/>
        </w:rPr>
        <w:t>alleged</w:t>
      </w:r>
      <w:r w:rsidR="00650C65" w:rsidRPr="0091780F">
        <w:rPr>
          <w:rFonts w:ascii="Arial" w:hAnsi="Arial" w:cs="Arial"/>
          <w:sz w:val="24"/>
          <w:szCs w:val="24"/>
        </w:rPr>
        <w:t xml:space="preserve"> effectively that respondent misrepresented the facts in the evidence, this said to be the basis for an argument in terms of Rule 42(1)(a)</w:t>
      </w:r>
      <w:r w:rsidR="00873561" w:rsidRPr="0091780F">
        <w:rPr>
          <w:rFonts w:ascii="Arial" w:hAnsi="Arial" w:cs="Arial"/>
          <w:sz w:val="24"/>
          <w:szCs w:val="24"/>
        </w:rPr>
        <w:t>;</w:t>
      </w:r>
      <w:r w:rsidR="00650C65" w:rsidRPr="0091780F">
        <w:rPr>
          <w:rFonts w:ascii="Arial" w:hAnsi="Arial" w:cs="Arial"/>
          <w:sz w:val="24"/>
          <w:szCs w:val="24"/>
        </w:rPr>
        <w:t xml:space="preserve"> that the judgment was erroneously sought alternatively falling under one of common law grounds.  It is alleged</w:t>
      </w:r>
      <w:r w:rsidR="00873561" w:rsidRPr="0091780F">
        <w:rPr>
          <w:rFonts w:ascii="Arial" w:hAnsi="Arial" w:cs="Arial"/>
          <w:sz w:val="24"/>
          <w:szCs w:val="24"/>
        </w:rPr>
        <w:t>,</w:t>
      </w:r>
      <w:r w:rsidR="00650C65" w:rsidRPr="0091780F">
        <w:rPr>
          <w:rFonts w:ascii="Arial" w:hAnsi="Arial" w:cs="Arial"/>
          <w:sz w:val="24"/>
          <w:szCs w:val="24"/>
        </w:rPr>
        <w:t xml:space="preserve"> and </w:t>
      </w:r>
      <w:r w:rsidR="002E6D3B" w:rsidRPr="0091780F">
        <w:rPr>
          <w:rFonts w:ascii="Arial" w:hAnsi="Arial" w:cs="Arial"/>
          <w:sz w:val="24"/>
          <w:szCs w:val="24"/>
        </w:rPr>
        <w:t>strongly</w:t>
      </w:r>
      <w:r w:rsidR="00650C65" w:rsidRPr="0091780F">
        <w:rPr>
          <w:rFonts w:ascii="Arial" w:hAnsi="Arial" w:cs="Arial"/>
          <w:sz w:val="24"/>
          <w:szCs w:val="24"/>
        </w:rPr>
        <w:t xml:space="preserve"> at that</w:t>
      </w:r>
      <w:r w:rsidR="00873561" w:rsidRPr="0091780F">
        <w:rPr>
          <w:rFonts w:ascii="Arial" w:hAnsi="Arial" w:cs="Arial"/>
          <w:sz w:val="24"/>
          <w:szCs w:val="24"/>
        </w:rPr>
        <w:t>,</w:t>
      </w:r>
      <w:r w:rsidR="00650C65" w:rsidRPr="0091780F">
        <w:rPr>
          <w:rFonts w:ascii="Arial" w:hAnsi="Arial" w:cs="Arial"/>
          <w:sz w:val="24"/>
          <w:szCs w:val="24"/>
        </w:rPr>
        <w:t xml:space="preserve"> that respondent had presented incorrect evidence with the knowledge that it was incorrect</w:t>
      </w:r>
      <w:r w:rsidR="005A6CFA" w:rsidRPr="0091780F">
        <w:rPr>
          <w:rFonts w:ascii="Arial" w:hAnsi="Arial" w:cs="Arial"/>
          <w:sz w:val="24"/>
          <w:szCs w:val="24"/>
        </w:rPr>
        <w:t>,</w:t>
      </w:r>
      <w:r w:rsidR="00650C65" w:rsidRPr="0091780F">
        <w:rPr>
          <w:rFonts w:ascii="Arial" w:hAnsi="Arial" w:cs="Arial"/>
          <w:sz w:val="24"/>
          <w:szCs w:val="24"/>
        </w:rPr>
        <w:t xml:space="preserve"> alleging </w:t>
      </w:r>
      <w:r w:rsidR="00235760" w:rsidRPr="0091780F">
        <w:rPr>
          <w:rFonts w:ascii="Arial" w:hAnsi="Arial" w:cs="Arial"/>
          <w:sz w:val="24"/>
          <w:szCs w:val="24"/>
        </w:rPr>
        <w:t xml:space="preserve">that it </w:t>
      </w:r>
      <w:r w:rsidR="00873561" w:rsidRPr="0091780F">
        <w:rPr>
          <w:rFonts w:ascii="Arial" w:hAnsi="Arial" w:cs="Arial"/>
          <w:sz w:val="24"/>
          <w:szCs w:val="24"/>
        </w:rPr>
        <w:t>mislead the court</w:t>
      </w:r>
      <w:r w:rsidR="00650C65" w:rsidRPr="0091780F">
        <w:rPr>
          <w:rFonts w:ascii="Arial" w:hAnsi="Arial" w:cs="Arial"/>
          <w:sz w:val="24"/>
          <w:szCs w:val="24"/>
        </w:rPr>
        <w:t xml:space="preserve">.  </w:t>
      </w:r>
    </w:p>
    <w:p w14:paraId="0D3AB84B" w14:textId="77777777" w:rsidR="00650C65" w:rsidRDefault="00650C65" w:rsidP="00650C65">
      <w:pPr>
        <w:pStyle w:val="ListParagraph"/>
        <w:spacing w:after="0" w:line="480" w:lineRule="auto"/>
        <w:jc w:val="both"/>
        <w:rPr>
          <w:rFonts w:ascii="Arial" w:hAnsi="Arial" w:cs="Arial"/>
          <w:sz w:val="24"/>
          <w:szCs w:val="24"/>
        </w:rPr>
      </w:pPr>
    </w:p>
    <w:p w14:paraId="20BCD64A" w14:textId="263D5560" w:rsidR="00353770"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56.</w:t>
      </w:r>
      <w:r>
        <w:rPr>
          <w:rFonts w:ascii="Arial" w:hAnsi="Arial" w:cs="Arial"/>
          <w:sz w:val="24"/>
          <w:szCs w:val="24"/>
        </w:rPr>
        <w:tab/>
      </w:r>
      <w:r w:rsidR="00650C65" w:rsidRPr="0091780F">
        <w:rPr>
          <w:rFonts w:ascii="Arial" w:hAnsi="Arial" w:cs="Arial"/>
          <w:sz w:val="24"/>
          <w:szCs w:val="24"/>
        </w:rPr>
        <w:t>Secondly, the thrust of the application</w:t>
      </w:r>
      <w:r w:rsidR="00235760" w:rsidRPr="0091780F">
        <w:rPr>
          <w:rFonts w:ascii="Arial" w:hAnsi="Arial" w:cs="Arial"/>
          <w:sz w:val="24"/>
          <w:szCs w:val="24"/>
        </w:rPr>
        <w:t>,</w:t>
      </w:r>
      <w:r w:rsidR="00650C65" w:rsidRPr="0091780F">
        <w:rPr>
          <w:rFonts w:ascii="Arial" w:hAnsi="Arial" w:cs="Arial"/>
          <w:sz w:val="24"/>
          <w:szCs w:val="24"/>
        </w:rPr>
        <w:t xml:space="preserve"> </w:t>
      </w:r>
      <w:r w:rsidR="00235760" w:rsidRPr="0091780F">
        <w:rPr>
          <w:rFonts w:ascii="Arial" w:hAnsi="Arial" w:cs="Arial"/>
          <w:sz w:val="24"/>
          <w:szCs w:val="24"/>
        </w:rPr>
        <w:t xml:space="preserve">as to a defence, </w:t>
      </w:r>
      <w:r w:rsidR="00650C65" w:rsidRPr="0091780F">
        <w:rPr>
          <w:rFonts w:ascii="Arial" w:hAnsi="Arial" w:cs="Arial"/>
          <w:sz w:val="24"/>
          <w:szCs w:val="24"/>
        </w:rPr>
        <w:t>is that respondent is unable to tender possession and</w:t>
      </w:r>
      <w:r w:rsidR="005A6CFA" w:rsidRPr="0091780F">
        <w:rPr>
          <w:rFonts w:ascii="Arial" w:hAnsi="Arial" w:cs="Arial"/>
          <w:sz w:val="24"/>
          <w:szCs w:val="24"/>
        </w:rPr>
        <w:t>/</w:t>
      </w:r>
      <w:r w:rsidR="00650C65" w:rsidRPr="0091780F">
        <w:rPr>
          <w:rFonts w:ascii="Arial" w:hAnsi="Arial" w:cs="Arial"/>
          <w:sz w:val="24"/>
          <w:szCs w:val="24"/>
        </w:rPr>
        <w:t xml:space="preserve">or transfer of the game listed in Annexure A1.  Issue </w:t>
      </w:r>
      <w:r w:rsidR="00873561" w:rsidRPr="0091780F">
        <w:rPr>
          <w:rFonts w:ascii="Arial" w:hAnsi="Arial" w:cs="Arial"/>
          <w:sz w:val="24"/>
          <w:szCs w:val="24"/>
        </w:rPr>
        <w:t xml:space="preserve">is </w:t>
      </w:r>
      <w:r w:rsidR="00650C65" w:rsidRPr="0091780F">
        <w:rPr>
          <w:rFonts w:ascii="Arial" w:hAnsi="Arial" w:cs="Arial"/>
          <w:sz w:val="24"/>
          <w:szCs w:val="24"/>
        </w:rPr>
        <w:t>joined with the Hurter game count referred to briefly above</w:t>
      </w:r>
      <w:r w:rsidR="005A6CFA" w:rsidRPr="0091780F">
        <w:rPr>
          <w:rFonts w:ascii="Arial" w:hAnsi="Arial" w:cs="Arial"/>
          <w:sz w:val="24"/>
          <w:szCs w:val="24"/>
        </w:rPr>
        <w:t>,</w:t>
      </w:r>
      <w:r w:rsidR="00650C65" w:rsidRPr="0091780F">
        <w:rPr>
          <w:rFonts w:ascii="Arial" w:hAnsi="Arial" w:cs="Arial"/>
          <w:sz w:val="24"/>
          <w:szCs w:val="24"/>
        </w:rPr>
        <w:t xml:space="preserve"> it being alleged that </w:t>
      </w:r>
      <w:r w:rsidR="00873561" w:rsidRPr="0091780F">
        <w:rPr>
          <w:rFonts w:ascii="Arial" w:hAnsi="Arial" w:cs="Arial"/>
          <w:sz w:val="24"/>
          <w:szCs w:val="24"/>
        </w:rPr>
        <w:t>H</w:t>
      </w:r>
      <w:r w:rsidR="00650C65" w:rsidRPr="0091780F">
        <w:rPr>
          <w:rFonts w:ascii="Arial" w:hAnsi="Arial" w:cs="Arial"/>
          <w:sz w:val="24"/>
          <w:szCs w:val="24"/>
        </w:rPr>
        <w:t xml:space="preserve">urter simply made an estimate of the game dependent upon the information provided by Scarterfield </w:t>
      </w:r>
      <w:r w:rsidR="00873561" w:rsidRPr="0091780F">
        <w:rPr>
          <w:rFonts w:ascii="Arial" w:hAnsi="Arial" w:cs="Arial"/>
          <w:sz w:val="24"/>
          <w:szCs w:val="24"/>
        </w:rPr>
        <w:t xml:space="preserve">which </w:t>
      </w:r>
      <w:r w:rsidR="00650C65" w:rsidRPr="0091780F">
        <w:rPr>
          <w:rFonts w:ascii="Arial" w:hAnsi="Arial" w:cs="Arial"/>
          <w:sz w:val="24"/>
          <w:szCs w:val="24"/>
        </w:rPr>
        <w:t>never ha</w:t>
      </w:r>
      <w:r w:rsidR="005A6CFA" w:rsidRPr="0091780F">
        <w:rPr>
          <w:rFonts w:ascii="Arial" w:hAnsi="Arial" w:cs="Arial"/>
          <w:sz w:val="24"/>
          <w:szCs w:val="24"/>
        </w:rPr>
        <w:t>s</w:t>
      </w:r>
      <w:r w:rsidR="00650C65" w:rsidRPr="0091780F">
        <w:rPr>
          <w:rFonts w:ascii="Arial" w:hAnsi="Arial" w:cs="Arial"/>
          <w:sz w:val="24"/>
          <w:szCs w:val="24"/>
        </w:rPr>
        <w:t xml:space="preserve"> been accurate by any stretch of the imagination.  Reference is made to the fact that the count was inaccurate was contested by Rodney Bradfield</w:t>
      </w:r>
      <w:r w:rsidR="00873561" w:rsidRPr="0091780F">
        <w:rPr>
          <w:rFonts w:ascii="Arial" w:hAnsi="Arial" w:cs="Arial"/>
          <w:sz w:val="24"/>
          <w:szCs w:val="24"/>
        </w:rPr>
        <w:t xml:space="preserve"> (the farm manager)</w:t>
      </w:r>
      <w:r w:rsidR="00353770" w:rsidRPr="0091780F">
        <w:rPr>
          <w:rFonts w:ascii="Arial" w:hAnsi="Arial" w:cs="Arial"/>
          <w:sz w:val="24"/>
          <w:szCs w:val="24"/>
        </w:rPr>
        <w:t xml:space="preserve"> who did not agree therewith</w:t>
      </w:r>
      <w:r w:rsidR="00873561" w:rsidRPr="0091780F">
        <w:rPr>
          <w:rFonts w:ascii="Arial" w:hAnsi="Arial" w:cs="Arial"/>
          <w:sz w:val="24"/>
          <w:szCs w:val="24"/>
        </w:rPr>
        <w:t>,</w:t>
      </w:r>
      <w:r w:rsidR="00353770" w:rsidRPr="0091780F">
        <w:rPr>
          <w:rFonts w:ascii="Arial" w:hAnsi="Arial" w:cs="Arial"/>
          <w:sz w:val="24"/>
          <w:szCs w:val="24"/>
        </w:rPr>
        <w:t xml:space="preserve"> that estimate showing that there were far fewer game numbers on the farm than referred to in the annexure.</w:t>
      </w:r>
    </w:p>
    <w:p w14:paraId="077586FA" w14:textId="77777777" w:rsidR="00353770" w:rsidRPr="00353770" w:rsidRDefault="00353770" w:rsidP="00353770">
      <w:pPr>
        <w:pStyle w:val="ListParagraph"/>
        <w:rPr>
          <w:rFonts w:ascii="Arial" w:hAnsi="Arial" w:cs="Arial"/>
          <w:sz w:val="24"/>
          <w:szCs w:val="24"/>
        </w:rPr>
      </w:pPr>
    </w:p>
    <w:p w14:paraId="42C7D57D" w14:textId="0986BBA9" w:rsidR="00353770"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57.</w:t>
      </w:r>
      <w:r>
        <w:rPr>
          <w:rFonts w:ascii="Arial" w:hAnsi="Arial" w:cs="Arial"/>
          <w:sz w:val="24"/>
          <w:szCs w:val="24"/>
        </w:rPr>
        <w:tab/>
      </w:r>
      <w:r w:rsidR="00353770" w:rsidRPr="0091780F">
        <w:rPr>
          <w:rFonts w:ascii="Arial" w:hAnsi="Arial" w:cs="Arial"/>
          <w:sz w:val="24"/>
          <w:szCs w:val="24"/>
        </w:rPr>
        <w:t xml:space="preserve">It is then said that respondent’s suggestion at the hearing that all the game was present as listed is “inaccurate” and that if rescission were granted applicant would be in a position to present definitive evidence </w:t>
      </w:r>
      <w:r w:rsidR="00873561" w:rsidRPr="0091780F">
        <w:rPr>
          <w:rFonts w:ascii="Arial" w:hAnsi="Arial" w:cs="Arial"/>
          <w:sz w:val="24"/>
          <w:szCs w:val="24"/>
        </w:rPr>
        <w:t xml:space="preserve">as </w:t>
      </w:r>
      <w:r w:rsidR="00353770" w:rsidRPr="0091780F">
        <w:rPr>
          <w:rFonts w:ascii="Arial" w:hAnsi="Arial" w:cs="Arial"/>
          <w:sz w:val="24"/>
          <w:szCs w:val="24"/>
        </w:rPr>
        <w:t xml:space="preserve">to this </w:t>
      </w:r>
      <w:r w:rsidR="00873561" w:rsidRPr="0091780F">
        <w:rPr>
          <w:rFonts w:ascii="Arial" w:hAnsi="Arial" w:cs="Arial"/>
          <w:sz w:val="24"/>
          <w:szCs w:val="24"/>
        </w:rPr>
        <w:t xml:space="preserve">issue </w:t>
      </w:r>
      <w:r w:rsidR="00353770" w:rsidRPr="0091780F">
        <w:rPr>
          <w:rFonts w:ascii="Arial" w:hAnsi="Arial" w:cs="Arial"/>
          <w:sz w:val="24"/>
          <w:szCs w:val="24"/>
        </w:rPr>
        <w:t xml:space="preserve">in due course.  </w:t>
      </w:r>
    </w:p>
    <w:p w14:paraId="0755E222" w14:textId="77777777" w:rsidR="00353770" w:rsidRPr="00353770" w:rsidRDefault="00353770" w:rsidP="00353770">
      <w:pPr>
        <w:pStyle w:val="ListParagraph"/>
        <w:rPr>
          <w:rFonts w:ascii="Arial" w:hAnsi="Arial" w:cs="Arial"/>
          <w:sz w:val="24"/>
          <w:szCs w:val="24"/>
        </w:rPr>
      </w:pPr>
    </w:p>
    <w:p w14:paraId="04D0F9B0" w14:textId="77777777" w:rsidR="00E40B2A" w:rsidRPr="00353770" w:rsidRDefault="00353770" w:rsidP="00353770">
      <w:pPr>
        <w:pStyle w:val="ListParagraph"/>
        <w:spacing w:after="0" w:line="480" w:lineRule="auto"/>
        <w:ind w:left="0"/>
        <w:jc w:val="both"/>
        <w:rPr>
          <w:rFonts w:ascii="Arial" w:hAnsi="Arial" w:cs="Arial"/>
          <w:b/>
          <w:sz w:val="24"/>
          <w:szCs w:val="24"/>
          <w:u w:val="single"/>
        </w:rPr>
      </w:pPr>
      <w:r w:rsidRPr="00353770">
        <w:rPr>
          <w:rFonts w:ascii="Arial" w:hAnsi="Arial" w:cs="Arial"/>
          <w:b/>
          <w:sz w:val="24"/>
          <w:szCs w:val="24"/>
          <w:u w:val="single"/>
        </w:rPr>
        <w:t xml:space="preserve">RESPONDENT’S SUBMISSIONS    </w:t>
      </w:r>
    </w:p>
    <w:p w14:paraId="6007856A" w14:textId="77777777" w:rsidR="00E40B2A" w:rsidRPr="00E40B2A" w:rsidRDefault="00E40B2A" w:rsidP="00E40B2A">
      <w:pPr>
        <w:pStyle w:val="ListParagraph"/>
        <w:rPr>
          <w:rFonts w:ascii="Arial" w:hAnsi="Arial" w:cs="Arial"/>
          <w:sz w:val="24"/>
          <w:szCs w:val="24"/>
        </w:rPr>
      </w:pPr>
    </w:p>
    <w:p w14:paraId="1B96215B" w14:textId="5B3FDD0B" w:rsidR="001912D3"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58.</w:t>
      </w:r>
      <w:r>
        <w:rPr>
          <w:rFonts w:ascii="Arial" w:hAnsi="Arial" w:cs="Arial"/>
          <w:sz w:val="24"/>
          <w:szCs w:val="24"/>
        </w:rPr>
        <w:tab/>
      </w:r>
      <w:r w:rsidR="00353770" w:rsidRPr="0091780F">
        <w:rPr>
          <w:rFonts w:ascii="Arial" w:hAnsi="Arial" w:cs="Arial"/>
          <w:sz w:val="24"/>
          <w:szCs w:val="24"/>
        </w:rPr>
        <w:t xml:space="preserve">In essence respondent contends that applicant was in wilful and deliberate default in full knowledge of what was about to occur joining issue with the fact </w:t>
      </w:r>
      <w:r w:rsidR="00353770" w:rsidRPr="0091780F">
        <w:rPr>
          <w:rFonts w:ascii="Arial" w:hAnsi="Arial" w:cs="Arial"/>
          <w:sz w:val="24"/>
          <w:szCs w:val="24"/>
        </w:rPr>
        <w:lastRenderedPageBreak/>
        <w:t xml:space="preserve">that he genuinely believed that judgment would not </w:t>
      </w:r>
      <w:r w:rsidR="002E6D3B" w:rsidRPr="0091780F">
        <w:rPr>
          <w:rFonts w:ascii="Arial" w:hAnsi="Arial" w:cs="Arial"/>
          <w:sz w:val="24"/>
          <w:szCs w:val="24"/>
        </w:rPr>
        <w:t>be</w:t>
      </w:r>
      <w:r w:rsidR="00353770" w:rsidRPr="0091780F">
        <w:rPr>
          <w:rFonts w:ascii="Arial" w:hAnsi="Arial" w:cs="Arial"/>
          <w:sz w:val="24"/>
          <w:szCs w:val="24"/>
        </w:rPr>
        <w:t xml:space="preserve"> granted.  It is also</w:t>
      </w:r>
      <w:r w:rsidR="00873561" w:rsidRPr="0091780F">
        <w:rPr>
          <w:rFonts w:ascii="Arial" w:hAnsi="Arial" w:cs="Arial"/>
          <w:sz w:val="24"/>
          <w:szCs w:val="24"/>
        </w:rPr>
        <w:t>,</w:t>
      </w:r>
      <w:r w:rsidR="00353770" w:rsidRPr="0091780F">
        <w:rPr>
          <w:rFonts w:ascii="Arial" w:hAnsi="Arial" w:cs="Arial"/>
          <w:sz w:val="24"/>
          <w:szCs w:val="24"/>
        </w:rPr>
        <w:t xml:space="preserve"> in any event</w:t>
      </w:r>
      <w:r w:rsidR="00873561" w:rsidRPr="0091780F">
        <w:rPr>
          <w:rFonts w:ascii="Arial" w:hAnsi="Arial" w:cs="Arial"/>
          <w:sz w:val="24"/>
          <w:szCs w:val="24"/>
        </w:rPr>
        <w:t>,</w:t>
      </w:r>
      <w:r w:rsidR="00353770" w:rsidRPr="0091780F">
        <w:rPr>
          <w:rFonts w:ascii="Arial" w:hAnsi="Arial" w:cs="Arial"/>
          <w:sz w:val="24"/>
          <w:szCs w:val="24"/>
        </w:rPr>
        <w:t xml:space="preserve"> alleged that the applicant has no prospect of success in defending the matter and </w:t>
      </w:r>
      <w:r w:rsidR="002E6D3B" w:rsidRPr="0091780F">
        <w:rPr>
          <w:rFonts w:ascii="Arial" w:hAnsi="Arial" w:cs="Arial"/>
          <w:sz w:val="24"/>
          <w:szCs w:val="24"/>
        </w:rPr>
        <w:t>that</w:t>
      </w:r>
      <w:r w:rsidR="00353770" w:rsidRPr="0091780F">
        <w:rPr>
          <w:rFonts w:ascii="Arial" w:hAnsi="Arial" w:cs="Arial"/>
          <w:sz w:val="24"/>
          <w:szCs w:val="24"/>
        </w:rPr>
        <w:t xml:space="preserve"> its complaints are in effect mischievous, misleading and incorrect.  </w:t>
      </w:r>
    </w:p>
    <w:p w14:paraId="698A5E79" w14:textId="77777777" w:rsidR="00353770" w:rsidRDefault="00353770" w:rsidP="00353770">
      <w:pPr>
        <w:pStyle w:val="ListParagraph"/>
        <w:spacing w:after="0" w:line="480" w:lineRule="auto"/>
        <w:jc w:val="both"/>
        <w:rPr>
          <w:rFonts w:ascii="Arial" w:hAnsi="Arial" w:cs="Arial"/>
          <w:sz w:val="24"/>
          <w:szCs w:val="24"/>
        </w:rPr>
      </w:pPr>
    </w:p>
    <w:p w14:paraId="7C572D8E" w14:textId="39DEBB19" w:rsidR="00353770"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59.</w:t>
      </w:r>
      <w:r>
        <w:rPr>
          <w:rFonts w:ascii="Arial" w:hAnsi="Arial" w:cs="Arial"/>
          <w:sz w:val="24"/>
          <w:szCs w:val="24"/>
        </w:rPr>
        <w:tab/>
      </w:r>
      <w:r w:rsidR="00353770" w:rsidRPr="0091780F">
        <w:rPr>
          <w:rFonts w:ascii="Arial" w:hAnsi="Arial" w:cs="Arial"/>
          <w:sz w:val="24"/>
          <w:szCs w:val="24"/>
        </w:rPr>
        <w:t xml:space="preserve">As to the </w:t>
      </w:r>
      <w:r w:rsidR="002E6D3B" w:rsidRPr="0091780F">
        <w:rPr>
          <w:rFonts w:ascii="Arial" w:hAnsi="Arial" w:cs="Arial"/>
          <w:sz w:val="24"/>
          <w:szCs w:val="24"/>
        </w:rPr>
        <w:t>allegations</w:t>
      </w:r>
      <w:r w:rsidR="00353770" w:rsidRPr="0091780F">
        <w:rPr>
          <w:rFonts w:ascii="Arial" w:hAnsi="Arial" w:cs="Arial"/>
          <w:sz w:val="24"/>
          <w:szCs w:val="24"/>
        </w:rPr>
        <w:t xml:space="preserve"> that applicant’s absence was wilful and “</w:t>
      </w:r>
      <w:r w:rsidR="00353770" w:rsidRPr="0091780F">
        <w:rPr>
          <w:rFonts w:ascii="Arial" w:hAnsi="Arial" w:cs="Arial"/>
          <w:i/>
          <w:sz w:val="24"/>
          <w:szCs w:val="24"/>
        </w:rPr>
        <w:t>contemptuous</w:t>
      </w:r>
      <w:r w:rsidR="00353770" w:rsidRPr="0091780F">
        <w:rPr>
          <w:rFonts w:ascii="Arial" w:hAnsi="Arial" w:cs="Arial"/>
          <w:sz w:val="24"/>
          <w:szCs w:val="24"/>
        </w:rPr>
        <w:t xml:space="preserve">” respondent argues that its submission that applicant deliberately chose to be absent </w:t>
      </w:r>
      <w:r w:rsidR="002E6D3B" w:rsidRPr="0091780F">
        <w:rPr>
          <w:rFonts w:ascii="Arial" w:hAnsi="Arial" w:cs="Arial"/>
          <w:sz w:val="24"/>
          <w:szCs w:val="24"/>
        </w:rPr>
        <w:t>from the</w:t>
      </w:r>
      <w:r w:rsidR="00353770" w:rsidRPr="0091780F">
        <w:rPr>
          <w:rFonts w:ascii="Arial" w:hAnsi="Arial" w:cs="Arial"/>
          <w:sz w:val="24"/>
          <w:szCs w:val="24"/>
        </w:rPr>
        <w:t xml:space="preserve"> trial is supported by a letter written by </w:t>
      </w:r>
      <w:r w:rsidR="002E6D3B" w:rsidRPr="0091780F">
        <w:rPr>
          <w:rFonts w:ascii="Arial" w:hAnsi="Arial" w:cs="Arial"/>
          <w:sz w:val="24"/>
          <w:szCs w:val="24"/>
        </w:rPr>
        <w:t>applicant’s</w:t>
      </w:r>
      <w:r w:rsidR="00353770" w:rsidRPr="0091780F">
        <w:rPr>
          <w:rFonts w:ascii="Arial" w:hAnsi="Arial" w:cs="Arial"/>
          <w:sz w:val="24"/>
          <w:szCs w:val="24"/>
        </w:rPr>
        <w:t xml:space="preserve"> sole director to respondent’s attorneys on 29 June 2021 in which amongst other things the following appear</w:t>
      </w:r>
      <w:r w:rsidR="00235760" w:rsidRPr="0091780F">
        <w:rPr>
          <w:rFonts w:ascii="Arial" w:hAnsi="Arial" w:cs="Arial"/>
          <w:sz w:val="24"/>
          <w:szCs w:val="24"/>
        </w:rPr>
        <w:t>s</w:t>
      </w:r>
      <w:r w:rsidR="00353770" w:rsidRPr="0091780F">
        <w:rPr>
          <w:rFonts w:ascii="Arial" w:hAnsi="Arial" w:cs="Arial"/>
          <w:sz w:val="24"/>
          <w:szCs w:val="24"/>
        </w:rPr>
        <w:t>:</w:t>
      </w:r>
    </w:p>
    <w:p w14:paraId="377BAC7A" w14:textId="77777777" w:rsidR="00353770" w:rsidRPr="00353770" w:rsidRDefault="00353770" w:rsidP="00353770">
      <w:pPr>
        <w:pStyle w:val="ListParagraph"/>
        <w:rPr>
          <w:rFonts w:ascii="Arial" w:hAnsi="Arial" w:cs="Arial"/>
          <w:sz w:val="24"/>
          <w:szCs w:val="24"/>
        </w:rPr>
      </w:pPr>
    </w:p>
    <w:p w14:paraId="1E94A2F5" w14:textId="77777777" w:rsidR="00353770" w:rsidRPr="0074416C" w:rsidRDefault="00353770" w:rsidP="0074416C">
      <w:pPr>
        <w:pStyle w:val="ListParagraph"/>
        <w:spacing w:after="0" w:line="360" w:lineRule="auto"/>
        <w:ind w:left="1440"/>
        <w:jc w:val="both"/>
        <w:rPr>
          <w:rFonts w:ascii="Arial" w:hAnsi="Arial" w:cs="Arial"/>
        </w:rPr>
      </w:pPr>
      <w:r w:rsidRPr="0074416C">
        <w:rPr>
          <w:rFonts w:ascii="Arial" w:hAnsi="Arial" w:cs="Arial"/>
        </w:rPr>
        <w:t>“The trustees of the De Villiers Family Trust will not be forced by any court or Judge to allow ESDA Property to purchase your client’s “farm” or pay for game stock, that don’t exist.  It is what it is.  We will not be wasting money by employing Grahamstown advocates to misrepresent the facts to a Judge.  So go ahead and have your day in Court.”</w:t>
      </w:r>
      <w:r w:rsidR="00235760">
        <w:rPr>
          <w:rStyle w:val="FootnoteReference"/>
          <w:rFonts w:ascii="Arial" w:hAnsi="Arial" w:cs="Arial"/>
        </w:rPr>
        <w:footnoteReference w:id="17"/>
      </w:r>
    </w:p>
    <w:p w14:paraId="473C544A" w14:textId="77777777" w:rsidR="00353770" w:rsidRDefault="00353770" w:rsidP="00353770">
      <w:pPr>
        <w:pStyle w:val="ListParagraph"/>
        <w:spacing w:after="0" w:line="480" w:lineRule="auto"/>
        <w:jc w:val="both"/>
        <w:rPr>
          <w:rFonts w:ascii="Arial" w:hAnsi="Arial" w:cs="Arial"/>
          <w:sz w:val="24"/>
          <w:szCs w:val="24"/>
        </w:rPr>
      </w:pPr>
    </w:p>
    <w:p w14:paraId="707A7911" w14:textId="6A87A755" w:rsidR="001912D3"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60.</w:t>
      </w:r>
      <w:r>
        <w:rPr>
          <w:rFonts w:ascii="Arial" w:hAnsi="Arial" w:cs="Arial"/>
          <w:sz w:val="24"/>
          <w:szCs w:val="24"/>
        </w:rPr>
        <w:tab/>
      </w:r>
      <w:r w:rsidR="00353770" w:rsidRPr="0091780F">
        <w:rPr>
          <w:rFonts w:ascii="Arial" w:hAnsi="Arial" w:cs="Arial"/>
          <w:sz w:val="24"/>
          <w:szCs w:val="24"/>
        </w:rPr>
        <w:t xml:space="preserve">This is indeed strong stuff but it must be read in context, and it must be remembered that this </w:t>
      </w:r>
      <w:r w:rsidR="00873561" w:rsidRPr="0091780F">
        <w:rPr>
          <w:rFonts w:ascii="Arial" w:hAnsi="Arial" w:cs="Arial"/>
          <w:sz w:val="24"/>
          <w:szCs w:val="24"/>
        </w:rPr>
        <w:t xml:space="preserve">communication </w:t>
      </w:r>
      <w:r w:rsidR="00353770" w:rsidRPr="0091780F">
        <w:rPr>
          <w:rFonts w:ascii="Arial" w:hAnsi="Arial" w:cs="Arial"/>
          <w:sz w:val="24"/>
          <w:szCs w:val="24"/>
        </w:rPr>
        <w:t xml:space="preserve">is </w:t>
      </w:r>
      <w:r w:rsidR="00873561" w:rsidRPr="0091780F">
        <w:rPr>
          <w:rFonts w:ascii="Arial" w:hAnsi="Arial" w:cs="Arial"/>
          <w:sz w:val="24"/>
          <w:szCs w:val="24"/>
        </w:rPr>
        <w:t xml:space="preserve">written </w:t>
      </w:r>
      <w:r w:rsidR="00353770" w:rsidRPr="0091780F">
        <w:rPr>
          <w:rFonts w:ascii="Arial" w:hAnsi="Arial" w:cs="Arial"/>
          <w:sz w:val="24"/>
          <w:szCs w:val="24"/>
        </w:rPr>
        <w:t>some time before the hearing</w:t>
      </w:r>
      <w:r w:rsidR="00235760" w:rsidRPr="0091780F">
        <w:rPr>
          <w:rFonts w:ascii="Arial" w:hAnsi="Arial" w:cs="Arial"/>
          <w:sz w:val="24"/>
          <w:szCs w:val="24"/>
        </w:rPr>
        <w:t>, (29 June 2021), after applicant’s attorneys had withdrawn</w:t>
      </w:r>
      <w:r w:rsidR="00353770" w:rsidRPr="0091780F">
        <w:rPr>
          <w:rFonts w:ascii="Arial" w:hAnsi="Arial" w:cs="Arial"/>
          <w:sz w:val="24"/>
          <w:szCs w:val="24"/>
        </w:rPr>
        <w:t xml:space="preserve">.  </w:t>
      </w:r>
    </w:p>
    <w:p w14:paraId="25836761" w14:textId="77777777" w:rsidR="00353770" w:rsidRDefault="00353770" w:rsidP="00353770">
      <w:pPr>
        <w:pStyle w:val="ListParagraph"/>
        <w:spacing w:after="0" w:line="480" w:lineRule="auto"/>
        <w:jc w:val="both"/>
        <w:rPr>
          <w:rFonts w:ascii="Arial" w:hAnsi="Arial" w:cs="Arial"/>
          <w:sz w:val="24"/>
          <w:szCs w:val="24"/>
        </w:rPr>
      </w:pPr>
    </w:p>
    <w:p w14:paraId="3D21C4C9" w14:textId="6360606D" w:rsidR="006F13E8"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61.</w:t>
      </w:r>
      <w:r>
        <w:rPr>
          <w:rFonts w:ascii="Arial" w:hAnsi="Arial" w:cs="Arial"/>
          <w:sz w:val="24"/>
          <w:szCs w:val="24"/>
        </w:rPr>
        <w:tab/>
      </w:r>
      <w:r w:rsidR="00353770" w:rsidRPr="0091780F">
        <w:rPr>
          <w:rFonts w:ascii="Arial" w:hAnsi="Arial" w:cs="Arial"/>
          <w:sz w:val="24"/>
          <w:szCs w:val="24"/>
        </w:rPr>
        <w:t xml:space="preserve">It is correctly pointed out that the </w:t>
      </w:r>
      <w:r w:rsidR="002E6D3B" w:rsidRPr="0091780F">
        <w:rPr>
          <w:rFonts w:ascii="Arial" w:hAnsi="Arial" w:cs="Arial"/>
          <w:sz w:val="24"/>
          <w:szCs w:val="24"/>
        </w:rPr>
        <w:t>non-appearance</w:t>
      </w:r>
      <w:r w:rsidR="00353770" w:rsidRPr="0091780F">
        <w:rPr>
          <w:rFonts w:ascii="Arial" w:hAnsi="Arial" w:cs="Arial"/>
          <w:sz w:val="24"/>
          <w:szCs w:val="24"/>
        </w:rPr>
        <w:t xml:space="preserve"> was deliberate.  The point</w:t>
      </w:r>
      <w:r w:rsidR="00873561" w:rsidRPr="0091780F">
        <w:rPr>
          <w:rFonts w:ascii="Arial" w:hAnsi="Arial" w:cs="Arial"/>
          <w:sz w:val="24"/>
          <w:szCs w:val="24"/>
        </w:rPr>
        <w:t xml:space="preserve">, however, </w:t>
      </w:r>
      <w:r w:rsidR="00353770" w:rsidRPr="0091780F">
        <w:rPr>
          <w:rFonts w:ascii="Arial" w:hAnsi="Arial" w:cs="Arial"/>
          <w:sz w:val="24"/>
          <w:szCs w:val="24"/>
        </w:rPr>
        <w:t xml:space="preserve">is rather whether in the light of that deliberate </w:t>
      </w:r>
      <w:r w:rsidR="002E6D3B" w:rsidRPr="0091780F">
        <w:rPr>
          <w:rFonts w:ascii="Arial" w:hAnsi="Arial" w:cs="Arial"/>
          <w:sz w:val="24"/>
          <w:szCs w:val="24"/>
        </w:rPr>
        <w:t>non-appearance</w:t>
      </w:r>
      <w:r w:rsidR="00353770" w:rsidRPr="0091780F">
        <w:rPr>
          <w:rFonts w:ascii="Arial" w:hAnsi="Arial" w:cs="Arial"/>
          <w:sz w:val="24"/>
          <w:szCs w:val="24"/>
        </w:rPr>
        <w:t>, it can be said that applicant overall did not appreciate the legal consequences of what it had chosen to do believing that a court would</w:t>
      </w:r>
      <w:r w:rsidR="00873561" w:rsidRPr="0091780F">
        <w:rPr>
          <w:rFonts w:ascii="Arial" w:hAnsi="Arial" w:cs="Arial"/>
          <w:sz w:val="24"/>
          <w:szCs w:val="24"/>
        </w:rPr>
        <w:t>,</w:t>
      </w:r>
      <w:r w:rsidR="00353770" w:rsidRPr="0091780F">
        <w:rPr>
          <w:rFonts w:ascii="Arial" w:hAnsi="Arial" w:cs="Arial"/>
          <w:sz w:val="24"/>
          <w:szCs w:val="24"/>
        </w:rPr>
        <w:t xml:space="preserve"> </w:t>
      </w:r>
      <w:r w:rsidR="006F13E8" w:rsidRPr="0091780F">
        <w:rPr>
          <w:rFonts w:ascii="Arial" w:hAnsi="Arial" w:cs="Arial"/>
          <w:sz w:val="24"/>
          <w:szCs w:val="24"/>
        </w:rPr>
        <w:t>in the light of the pleadings</w:t>
      </w:r>
      <w:r w:rsidR="00873561" w:rsidRPr="0091780F">
        <w:rPr>
          <w:rFonts w:ascii="Arial" w:hAnsi="Arial" w:cs="Arial"/>
          <w:sz w:val="24"/>
          <w:szCs w:val="24"/>
        </w:rPr>
        <w:t>,</w:t>
      </w:r>
      <w:r w:rsidR="006F13E8" w:rsidRPr="0091780F">
        <w:rPr>
          <w:rFonts w:ascii="Arial" w:hAnsi="Arial" w:cs="Arial"/>
          <w:sz w:val="24"/>
          <w:szCs w:val="24"/>
        </w:rPr>
        <w:t xml:space="preserve"> </w:t>
      </w:r>
      <w:r w:rsidR="006F13E8" w:rsidRPr="0091780F">
        <w:rPr>
          <w:rFonts w:ascii="Arial" w:hAnsi="Arial" w:cs="Arial"/>
          <w:sz w:val="24"/>
          <w:szCs w:val="24"/>
        </w:rPr>
        <w:lastRenderedPageBreak/>
        <w:t xml:space="preserve">refuse judgment </w:t>
      </w:r>
      <w:r w:rsidR="006F13E8" w:rsidRPr="0091780F">
        <w:rPr>
          <w:rFonts w:ascii="Arial" w:hAnsi="Arial" w:cs="Arial"/>
          <w:i/>
          <w:sz w:val="24"/>
          <w:szCs w:val="24"/>
        </w:rPr>
        <w:t>mero moto</w:t>
      </w:r>
      <w:r w:rsidR="00873561" w:rsidRPr="0091780F">
        <w:rPr>
          <w:rFonts w:ascii="Arial" w:hAnsi="Arial" w:cs="Arial"/>
          <w:sz w:val="24"/>
          <w:szCs w:val="24"/>
        </w:rPr>
        <w:t>,</w:t>
      </w:r>
      <w:r w:rsidR="006F13E8" w:rsidRPr="0091780F">
        <w:rPr>
          <w:rFonts w:ascii="Arial" w:hAnsi="Arial" w:cs="Arial"/>
          <w:sz w:val="24"/>
          <w:szCs w:val="24"/>
        </w:rPr>
        <w:t xml:space="preserve"> albeit an incorrect belief but one which a layman might </w:t>
      </w:r>
      <w:r w:rsidR="003E22F5" w:rsidRPr="0091780F">
        <w:rPr>
          <w:rFonts w:ascii="Arial" w:hAnsi="Arial" w:cs="Arial"/>
          <w:sz w:val="24"/>
          <w:szCs w:val="24"/>
        </w:rPr>
        <w:t xml:space="preserve">perhaps </w:t>
      </w:r>
      <w:r w:rsidR="006F13E8" w:rsidRPr="0091780F">
        <w:rPr>
          <w:rFonts w:ascii="Arial" w:hAnsi="Arial" w:cs="Arial"/>
          <w:sz w:val="24"/>
          <w:szCs w:val="24"/>
        </w:rPr>
        <w:t>reasonably hold</w:t>
      </w:r>
      <w:r w:rsidR="003E22F5" w:rsidRPr="0091780F">
        <w:rPr>
          <w:rFonts w:ascii="Arial" w:hAnsi="Arial" w:cs="Arial"/>
          <w:sz w:val="24"/>
          <w:szCs w:val="24"/>
        </w:rPr>
        <w:t>, in the absence of legal advice</w:t>
      </w:r>
      <w:r w:rsidR="006F13E8" w:rsidRPr="0091780F">
        <w:rPr>
          <w:rFonts w:ascii="Arial" w:hAnsi="Arial" w:cs="Arial"/>
          <w:sz w:val="24"/>
          <w:szCs w:val="24"/>
        </w:rPr>
        <w:t xml:space="preserve">.  </w:t>
      </w:r>
    </w:p>
    <w:p w14:paraId="538736F9" w14:textId="77777777" w:rsidR="006F13E8" w:rsidRPr="006F13E8" w:rsidRDefault="006F13E8" w:rsidP="006F13E8">
      <w:pPr>
        <w:pStyle w:val="ListParagraph"/>
        <w:rPr>
          <w:rFonts w:ascii="Arial" w:hAnsi="Arial" w:cs="Arial"/>
          <w:sz w:val="24"/>
          <w:szCs w:val="24"/>
        </w:rPr>
      </w:pPr>
    </w:p>
    <w:p w14:paraId="0554D423" w14:textId="69323D0A" w:rsidR="006F13E8"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6F13E8" w:rsidRPr="0091780F">
        <w:rPr>
          <w:rFonts w:ascii="Arial" w:hAnsi="Arial" w:cs="Arial"/>
          <w:sz w:val="24"/>
          <w:szCs w:val="24"/>
        </w:rPr>
        <w:t xml:space="preserve">As to the bona fide defence issue respondent contends strongly that no </w:t>
      </w:r>
      <w:r w:rsidR="006F13E8" w:rsidRPr="0091780F">
        <w:rPr>
          <w:rFonts w:ascii="Arial" w:hAnsi="Arial" w:cs="Arial"/>
          <w:i/>
          <w:sz w:val="24"/>
          <w:szCs w:val="24"/>
        </w:rPr>
        <w:t>bona fide</w:t>
      </w:r>
      <w:r w:rsidR="006F13E8" w:rsidRPr="0091780F">
        <w:rPr>
          <w:rFonts w:ascii="Arial" w:hAnsi="Arial" w:cs="Arial"/>
          <w:sz w:val="24"/>
          <w:szCs w:val="24"/>
        </w:rPr>
        <w:t xml:space="preserve"> defence has been put up.  </w:t>
      </w:r>
    </w:p>
    <w:p w14:paraId="225B08DA" w14:textId="77777777" w:rsidR="006F13E8" w:rsidRPr="006F13E8" w:rsidRDefault="006F13E8" w:rsidP="006F13E8">
      <w:pPr>
        <w:pStyle w:val="ListParagraph"/>
        <w:rPr>
          <w:rFonts w:ascii="Arial" w:hAnsi="Arial" w:cs="Arial"/>
          <w:sz w:val="24"/>
          <w:szCs w:val="24"/>
        </w:rPr>
      </w:pPr>
    </w:p>
    <w:p w14:paraId="196F4746" w14:textId="40F58CA7" w:rsidR="006F13E8"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63.</w:t>
      </w:r>
      <w:r>
        <w:rPr>
          <w:rFonts w:ascii="Arial" w:hAnsi="Arial" w:cs="Arial"/>
          <w:sz w:val="24"/>
          <w:szCs w:val="24"/>
        </w:rPr>
        <w:tab/>
      </w:r>
      <w:r w:rsidR="006F13E8" w:rsidRPr="0091780F">
        <w:rPr>
          <w:rFonts w:ascii="Arial" w:hAnsi="Arial" w:cs="Arial"/>
          <w:sz w:val="24"/>
          <w:szCs w:val="24"/>
        </w:rPr>
        <w:t xml:space="preserve">As to the first defence, </w:t>
      </w:r>
      <w:r w:rsidR="00873561" w:rsidRPr="0091780F">
        <w:rPr>
          <w:rFonts w:ascii="Arial" w:hAnsi="Arial" w:cs="Arial"/>
          <w:sz w:val="24"/>
          <w:szCs w:val="24"/>
        </w:rPr>
        <w:t>(</w:t>
      </w:r>
      <w:r w:rsidR="006F13E8" w:rsidRPr="0091780F">
        <w:rPr>
          <w:rFonts w:ascii="Arial" w:hAnsi="Arial" w:cs="Arial"/>
          <w:sz w:val="24"/>
          <w:szCs w:val="24"/>
        </w:rPr>
        <w:t>the statutory requirements</w:t>
      </w:r>
      <w:r w:rsidR="00873561" w:rsidRPr="0091780F">
        <w:rPr>
          <w:rFonts w:ascii="Arial" w:hAnsi="Arial" w:cs="Arial"/>
          <w:sz w:val="24"/>
          <w:szCs w:val="24"/>
        </w:rPr>
        <w:t>)</w:t>
      </w:r>
      <w:r w:rsidR="006F13E8" w:rsidRPr="0091780F">
        <w:rPr>
          <w:rFonts w:ascii="Arial" w:hAnsi="Arial" w:cs="Arial"/>
          <w:sz w:val="24"/>
          <w:szCs w:val="24"/>
        </w:rPr>
        <w:t xml:space="preserve">, it is pointed out that there was no warranty that the seller had the necessary permits, it being argued that this is not provided for in the agreement and that the only reference in the agreement relates to the inclusion of the game in Annexure A1 in the sale as already quoted above, and that clause 5.2 </w:t>
      </w:r>
      <w:r w:rsidR="002E6D3B" w:rsidRPr="0091780F">
        <w:rPr>
          <w:rFonts w:ascii="Arial" w:hAnsi="Arial" w:cs="Arial"/>
          <w:sz w:val="24"/>
          <w:szCs w:val="24"/>
        </w:rPr>
        <w:t>provides</w:t>
      </w:r>
      <w:r w:rsidR="006F13E8" w:rsidRPr="0091780F">
        <w:rPr>
          <w:rFonts w:ascii="Arial" w:hAnsi="Arial" w:cs="Arial"/>
          <w:sz w:val="24"/>
          <w:szCs w:val="24"/>
        </w:rPr>
        <w:t xml:space="preserve"> </w:t>
      </w:r>
      <w:r w:rsidR="00873561" w:rsidRPr="0091780F">
        <w:rPr>
          <w:rFonts w:ascii="Arial" w:hAnsi="Arial" w:cs="Arial"/>
          <w:sz w:val="24"/>
          <w:szCs w:val="24"/>
        </w:rPr>
        <w:t xml:space="preserve">that </w:t>
      </w:r>
      <w:r w:rsidR="006F13E8" w:rsidRPr="0091780F">
        <w:rPr>
          <w:rFonts w:ascii="Arial" w:hAnsi="Arial" w:cs="Arial"/>
          <w:sz w:val="24"/>
          <w:szCs w:val="24"/>
        </w:rPr>
        <w:t xml:space="preserve">all costs of transferring and obtaining any necessary game permits are to be born </w:t>
      </w:r>
      <w:r w:rsidR="002E6D3B" w:rsidRPr="0091780F">
        <w:rPr>
          <w:rFonts w:ascii="Arial" w:hAnsi="Arial" w:cs="Arial"/>
          <w:sz w:val="24"/>
          <w:szCs w:val="24"/>
        </w:rPr>
        <w:t>by</w:t>
      </w:r>
      <w:r w:rsidR="006F13E8" w:rsidRPr="0091780F">
        <w:rPr>
          <w:rFonts w:ascii="Arial" w:hAnsi="Arial" w:cs="Arial"/>
          <w:sz w:val="24"/>
          <w:szCs w:val="24"/>
        </w:rPr>
        <w:t xml:space="preserve"> the seller.  </w:t>
      </w:r>
    </w:p>
    <w:p w14:paraId="5D0E051F" w14:textId="77777777" w:rsidR="006F13E8" w:rsidRPr="006F13E8" w:rsidRDefault="006F13E8" w:rsidP="006F13E8">
      <w:pPr>
        <w:pStyle w:val="ListParagraph"/>
        <w:rPr>
          <w:rFonts w:ascii="Arial" w:hAnsi="Arial" w:cs="Arial"/>
          <w:sz w:val="24"/>
          <w:szCs w:val="24"/>
        </w:rPr>
      </w:pPr>
    </w:p>
    <w:p w14:paraId="7DE7550B" w14:textId="4A2FFD2A" w:rsidR="006F13E8"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64.</w:t>
      </w:r>
      <w:r>
        <w:rPr>
          <w:rFonts w:ascii="Arial" w:hAnsi="Arial" w:cs="Arial"/>
          <w:sz w:val="24"/>
          <w:szCs w:val="24"/>
        </w:rPr>
        <w:tab/>
      </w:r>
      <w:r w:rsidR="006F13E8" w:rsidRPr="0091780F">
        <w:rPr>
          <w:rFonts w:ascii="Arial" w:hAnsi="Arial" w:cs="Arial"/>
          <w:sz w:val="24"/>
          <w:szCs w:val="24"/>
        </w:rPr>
        <w:t xml:space="preserve">Perhaps more importantly, it is alleged to be common </w:t>
      </w:r>
      <w:r w:rsidR="002E6D3B" w:rsidRPr="0091780F">
        <w:rPr>
          <w:rFonts w:ascii="Arial" w:hAnsi="Arial" w:cs="Arial"/>
          <w:sz w:val="24"/>
          <w:szCs w:val="24"/>
        </w:rPr>
        <w:t>cause</w:t>
      </w:r>
      <w:r w:rsidR="006F13E8" w:rsidRPr="0091780F">
        <w:rPr>
          <w:rFonts w:ascii="Arial" w:hAnsi="Arial" w:cs="Arial"/>
          <w:sz w:val="24"/>
          <w:szCs w:val="24"/>
        </w:rPr>
        <w:t xml:space="preserve"> that the game fence was not electrified and that the seller was for good reason not bound by the recommendations </w:t>
      </w:r>
      <w:r w:rsidR="00873561" w:rsidRPr="0091780F">
        <w:rPr>
          <w:rFonts w:ascii="Arial" w:hAnsi="Arial" w:cs="Arial"/>
          <w:sz w:val="24"/>
          <w:szCs w:val="24"/>
        </w:rPr>
        <w:t xml:space="preserve">of </w:t>
      </w:r>
      <w:r w:rsidR="006F13E8" w:rsidRPr="0091780F">
        <w:rPr>
          <w:rFonts w:ascii="Arial" w:hAnsi="Arial" w:cs="Arial"/>
          <w:sz w:val="24"/>
          <w:szCs w:val="24"/>
        </w:rPr>
        <w:t>the Biodiversity management plan, this flowing from</w:t>
      </w:r>
      <w:r w:rsidR="00873561" w:rsidRPr="0091780F">
        <w:rPr>
          <w:rFonts w:ascii="Arial" w:hAnsi="Arial" w:cs="Arial"/>
          <w:sz w:val="24"/>
          <w:szCs w:val="24"/>
        </w:rPr>
        <w:t>,</w:t>
      </w:r>
      <w:r w:rsidR="006F13E8" w:rsidRPr="0091780F">
        <w:rPr>
          <w:rFonts w:ascii="Arial" w:hAnsi="Arial" w:cs="Arial"/>
          <w:sz w:val="24"/>
          <w:szCs w:val="24"/>
        </w:rPr>
        <w:t xml:space="preserve"> and only if voluntary steps were taken in terms of section 43 and 46 of Act 10 of 2002 which was not the case in this matter.  </w:t>
      </w:r>
    </w:p>
    <w:p w14:paraId="2EB67E95" w14:textId="77777777" w:rsidR="006F13E8" w:rsidRPr="006F13E8" w:rsidRDefault="006F13E8" w:rsidP="006F13E8">
      <w:pPr>
        <w:pStyle w:val="ListParagraph"/>
        <w:rPr>
          <w:rFonts w:ascii="Arial" w:hAnsi="Arial" w:cs="Arial"/>
          <w:sz w:val="24"/>
          <w:szCs w:val="24"/>
        </w:rPr>
      </w:pPr>
    </w:p>
    <w:p w14:paraId="2A22F013" w14:textId="3E645B6B" w:rsidR="006F13E8"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65.</w:t>
      </w:r>
      <w:r>
        <w:rPr>
          <w:rFonts w:ascii="Arial" w:hAnsi="Arial" w:cs="Arial"/>
          <w:sz w:val="24"/>
          <w:szCs w:val="24"/>
        </w:rPr>
        <w:tab/>
      </w:r>
      <w:r w:rsidR="006F13E8" w:rsidRPr="0091780F">
        <w:rPr>
          <w:rFonts w:ascii="Arial" w:hAnsi="Arial" w:cs="Arial"/>
          <w:sz w:val="24"/>
          <w:szCs w:val="24"/>
        </w:rPr>
        <w:t xml:space="preserve">It is carefully explained </w:t>
      </w:r>
      <w:r w:rsidR="007D54AF" w:rsidRPr="0091780F">
        <w:rPr>
          <w:rFonts w:ascii="Arial" w:hAnsi="Arial" w:cs="Arial"/>
          <w:sz w:val="24"/>
          <w:szCs w:val="24"/>
        </w:rPr>
        <w:t xml:space="preserve">for respondent </w:t>
      </w:r>
      <w:r w:rsidR="006F13E8" w:rsidRPr="0091780F">
        <w:rPr>
          <w:rFonts w:ascii="Arial" w:hAnsi="Arial" w:cs="Arial"/>
          <w:sz w:val="24"/>
          <w:szCs w:val="24"/>
        </w:rPr>
        <w:t>and argued that the policy provides for an exemption for white rhino as to electrified fences if there is a non-electrified 2.4m high fence which was in fact the case in this particular matter.  It was argued that the Scarterfield evidence at the trial was that a TOPS permit and a CAE were obtained and an inspector checked the fences supported by the documentation handed in.</w:t>
      </w:r>
    </w:p>
    <w:p w14:paraId="1960C97E" w14:textId="77777777" w:rsidR="006F13E8" w:rsidRPr="006F13E8" w:rsidRDefault="006F13E8" w:rsidP="006F13E8">
      <w:pPr>
        <w:pStyle w:val="ListParagraph"/>
        <w:rPr>
          <w:rFonts w:ascii="Arial" w:hAnsi="Arial" w:cs="Arial"/>
          <w:sz w:val="24"/>
          <w:szCs w:val="24"/>
        </w:rPr>
      </w:pPr>
    </w:p>
    <w:p w14:paraId="311EB048" w14:textId="4101EBF6" w:rsidR="00353770"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66.</w:t>
      </w:r>
      <w:r>
        <w:rPr>
          <w:rFonts w:ascii="Arial" w:hAnsi="Arial" w:cs="Arial"/>
          <w:sz w:val="24"/>
          <w:szCs w:val="24"/>
        </w:rPr>
        <w:tab/>
      </w:r>
      <w:r w:rsidR="006F13E8" w:rsidRPr="0091780F">
        <w:rPr>
          <w:rFonts w:ascii="Arial" w:hAnsi="Arial" w:cs="Arial"/>
          <w:sz w:val="24"/>
          <w:szCs w:val="24"/>
        </w:rPr>
        <w:t xml:space="preserve">As to the game </w:t>
      </w:r>
      <w:r w:rsidR="007D54AF" w:rsidRPr="0091780F">
        <w:rPr>
          <w:rFonts w:ascii="Arial" w:hAnsi="Arial" w:cs="Arial"/>
          <w:sz w:val="24"/>
          <w:szCs w:val="24"/>
        </w:rPr>
        <w:t xml:space="preserve">numbers </w:t>
      </w:r>
      <w:r w:rsidR="006F13E8" w:rsidRPr="0091780F">
        <w:rPr>
          <w:rFonts w:ascii="Arial" w:hAnsi="Arial" w:cs="Arial"/>
          <w:sz w:val="24"/>
          <w:szCs w:val="24"/>
        </w:rPr>
        <w:t xml:space="preserve">argument, it is submitted </w:t>
      </w:r>
      <w:r w:rsidR="007D54AF" w:rsidRPr="0091780F">
        <w:rPr>
          <w:rFonts w:ascii="Arial" w:hAnsi="Arial" w:cs="Arial"/>
          <w:sz w:val="24"/>
          <w:szCs w:val="24"/>
        </w:rPr>
        <w:t xml:space="preserve">for applicant </w:t>
      </w:r>
      <w:r w:rsidR="006F13E8" w:rsidRPr="0091780F">
        <w:rPr>
          <w:rFonts w:ascii="Arial" w:hAnsi="Arial" w:cs="Arial"/>
          <w:sz w:val="24"/>
          <w:szCs w:val="24"/>
        </w:rPr>
        <w:t>that the sale was “</w:t>
      </w:r>
      <w:r w:rsidR="006F13E8" w:rsidRPr="0091780F">
        <w:rPr>
          <w:rFonts w:ascii="Arial" w:hAnsi="Arial" w:cs="Arial"/>
          <w:i/>
          <w:sz w:val="24"/>
          <w:szCs w:val="24"/>
        </w:rPr>
        <w:t>voetstoots</w:t>
      </w:r>
      <w:r w:rsidR="006F13E8" w:rsidRPr="0091780F">
        <w:rPr>
          <w:rFonts w:ascii="Arial" w:hAnsi="Arial" w:cs="Arial"/>
          <w:sz w:val="24"/>
          <w:szCs w:val="24"/>
        </w:rPr>
        <w:t xml:space="preserve">”.  It is argued that the game list A1 constituted in certain </w:t>
      </w:r>
      <w:r w:rsidR="006F13E8" w:rsidRPr="0091780F">
        <w:rPr>
          <w:rFonts w:ascii="Arial" w:hAnsi="Arial" w:cs="Arial"/>
          <w:sz w:val="24"/>
          <w:szCs w:val="24"/>
        </w:rPr>
        <w:lastRenderedPageBreak/>
        <w:t>instances an estimate which w</w:t>
      </w:r>
      <w:r w:rsidR="005A6CFA" w:rsidRPr="0091780F">
        <w:rPr>
          <w:rFonts w:ascii="Arial" w:hAnsi="Arial" w:cs="Arial"/>
          <w:sz w:val="24"/>
          <w:szCs w:val="24"/>
        </w:rPr>
        <w:t>as</w:t>
      </w:r>
      <w:r w:rsidR="006F13E8" w:rsidRPr="0091780F">
        <w:rPr>
          <w:rFonts w:ascii="Arial" w:hAnsi="Arial" w:cs="Arial"/>
          <w:sz w:val="24"/>
          <w:szCs w:val="24"/>
        </w:rPr>
        <w:t xml:space="preserve"> not queried at the time.  It is argued that the precise number of game was unimportant to the purchaser and the difference not material in breach of the agreement.  It is argued that clause 6 of the agreement headed </w:t>
      </w:r>
      <w:r w:rsidR="005A6CFA" w:rsidRPr="0091780F">
        <w:rPr>
          <w:rFonts w:ascii="Arial" w:hAnsi="Arial" w:cs="Arial"/>
          <w:sz w:val="24"/>
          <w:szCs w:val="24"/>
        </w:rPr>
        <w:t>“</w:t>
      </w:r>
      <w:r w:rsidR="006F13E8" w:rsidRPr="0091780F">
        <w:rPr>
          <w:rFonts w:ascii="Arial" w:hAnsi="Arial" w:cs="Arial"/>
          <w:i/>
          <w:sz w:val="24"/>
          <w:szCs w:val="24"/>
        </w:rPr>
        <w:t>S</w:t>
      </w:r>
      <w:r w:rsidR="0074416C" w:rsidRPr="0091780F">
        <w:rPr>
          <w:rFonts w:ascii="Arial" w:hAnsi="Arial" w:cs="Arial"/>
          <w:i/>
          <w:sz w:val="24"/>
          <w:szCs w:val="24"/>
        </w:rPr>
        <w:t>ale</w:t>
      </w:r>
      <w:r w:rsidR="006F13E8" w:rsidRPr="0091780F">
        <w:rPr>
          <w:rFonts w:ascii="Arial" w:hAnsi="Arial" w:cs="Arial"/>
          <w:i/>
          <w:sz w:val="24"/>
          <w:szCs w:val="24"/>
        </w:rPr>
        <w:t xml:space="preserve"> </w:t>
      </w:r>
      <w:r w:rsidR="005A6CFA" w:rsidRPr="0091780F">
        <w:rPr>
          <w:rFonts w:ascii="Arial" w:hAnsi="Arial" w:cs="Arial"/>
          <w:i/>
          <w:sz w:val="24"/>
          <w:szCs w:val="24"/>
        </w:rPr>
        <w:t>V</w:t>
      </w:r>
      <w:r w:rsidR="0074416C" w:rsidRPr="0091780F">
        <w:rPr>
          <w:rFonts w:ascii="Arial" w:hAnsi="Arial" w:cs="Arial"/>
          <w:i/>
          <w:sz w:val="24"/>
          <w:szCs w:val="24"/>
        </w:rPr>
        <w:t>oetstoots</w:t>
      </w:r>
      <w:r w:rsidR="005A6CFA" w:rsidRPr="0091780F">
        <w:rPr>
          <w:rFonts w:ascii="Arial" w:hAnsi="Arial" w:cs="Arial"/>
          <w:sz w:val="24"/>
          <w:szCs w:val="24"/>
        </w:rPr>
        <w:t>”</w:t>
      </w:r>
      <w:r w:rsidR="006F13E8" w:rsidRPr="0091780F">
        <w:rPr>
          <w:rFonts w:ascii="Arial" w:hAnsi="Arial" w:cs="Arial"/>
          <w:sz w:val="24"/>
          <w:szCs w:val="24"/>
        </w:rPr>
        <w:t xml:space="preserve"> is relevant including paragraph 6.3 as follows</w:t>
      </w:r>
      <w:r w:rsidR="00235760">
        <w:rPr>
          <w:rStyle w:val="FootnoteReference"/>
          <w:rFonts w:ascii="Arial" w:hAnsi="Arial" w:cs="Arial"/>
          <w:sz w:val="24"/>
          <w:szCs w:val="24"/>
        </w:rPr>
        <w:footnoteReference w:id="18"/>
      </w:r>
      <w:r w:rsidR="006F13E8" w:rsidRPr="0091780F">
        <w:rPr>
          <w:rFonts w:ascii="Arial" w:hAnsi="Arial" w:cs="Arial"/>
          <w:sz w:val="24"/>
          <w:szCs w:val="24"/>
        </w:rPr>
        <w:t>:</w:t>
      </w:r>
    </w:p>
    <w:p w14:paraId="015D74E7" w14:textId="77777777" w:rsidR="006F13E8" w:rsidRPr="006F13E8" w:rsidRDefault="006F13E8" w:rsidP="006F13E8">
      <w:pPr>
        <w:pStyle w:val="ListParagraph"/>
        <w:rPr>
          <w:rFonts w:ascii="Arial" w:hAnsi="Arial" w:cs="Arial"/>
          <w:sz w:val="24"/>
          <w:szCs w:val="24"/>
        </w:rPr>
      </w:pPr>
    </w:p>
    <w:p w14:paraId="795A84FA" w14:textId="77777777" w:rsidR="006F13E8" w:rsidRPr="0074416C" w:rsidRDefault="0074416C" w:rsidP="0074416C">
      <w:pPr>
        <w:pStyle w:val="ListParagraph"/>
        <w:spacing w:after="0" w:line="360" w:lineRule="auto"/>
        <w:ind w:left="1440"/>
        <w:jc w:val="both"/>
        <w:rPr>
          <w:rFonts w:ascii="Arial" w:hAnsi="Arial" w:cs="Arial"/>
        </w:rPr>
      </w:pPr>
      <w:r>
        <w:rPr>
          <w:rFonts w:ascii="Arial" w:hAnsi="Arial" w:cs="Arial"/>
        </w:rPr>
        <w:t>“</w:t>
      </w:r>
      <w:r w:rsidR="006F13E8" w:rsidRPr="0074416C">
        <w:rPr>
          <w:rFonts w:ascii="Arial" w:hAnsi="Arial" w:cs="Arial"/>
        </w:rPr>
        <w:t>The Purchase</w:t>
      </w:r>
      <w:r w:rsidR="005A6CFA">
        <w:rPr>
          <w:rFonts w:ascii="Arial" w:hAnsi="Arial" w:cs="Arial"/>
        </w:rPr>
        <w:t>r</w:t>
      </w:r>
      <w:r w:rsidR="006F13E8" w:rsidRPr="0074416C">
        <w:rPr>
          <w:rFonts w:ascii="Arial" w:hAnsi="Arial" w:cs="Arial"/>
        </w:rPr>
        <w:t xml:space="preserve"> acknowledges that the property, including all game as listed in </w:t>
      </w:r>
      <w:r w:rsidR="002E6D3B" w:rsidRPr="0074416C">
        <w:rPr>
          <w:rFonts w:ascii="Arial" w:hAnsi="Arial" w:cs="Arial"/>
        </w:rPr>
        <w:t>Annexure</w:t>
      </w:r>
      <w:r w:rsidR="006F13E8" w:rsidRPr="0074416C">
        <w:rPr>
          <w:rFonts w:ascii="Arial" w:hAnsi="Arial" w:cs="Arial"/>
        </w:rPr>
        <w:t xml:space="preserve"> A1, all buildings and erections thereon, is sold as it stands at date of sale.”</w:t>
      </w:r>
    </w:p>
    <w:p w14:paraId="20AC5A78" w14:textId="77777777" w:rsidR="006F13E8" w:rsidRPr="006F13E8" w:rsidRDefault="006F13E8" w:rsidP="006F13E8">
      <w:pPr>
        <w:pStyle w:val="ListParagraph"/>
        <w:rPr>
          <w:rFonts w:ascii="Arial" w:hAnsi="Arial" w:cs="Arial"/>
          <w:sz w:val="24"/>
          <w:szCs w:val="24"/>
        </w:rPr>
      </w:pPr>
    </w:p>
    <w:p w14:paraId="0F175EFA" w14:textId="17D2003F" w:rsidR="006F13E8"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67.</w:t>
      </w:r>
      <w:r>
        <w:rPr>
          <w:rFonts w:ascii="Arial" w:hAnsi="Arial" w:cs="Arial"/>
          <w:sz w:val="24"/>
          <w:szCs w:val="24"/>
        </w:rPr>
        <w:tab/>
      </w:r>
      <w:r w:rsidR="006F13E8" w:rsidRPr="0091780F">
        <w:rPr>
          <w:rFonts w:ascii="Arial" w:hAnsi="Arial" w:cs="Arial"/>
          <w:sz w:val="24"/>
          <w:szCs w:val="24"/>
        </w:rPr>
        <w:t>It is alleged that the purchase</w:t>
      </w:r>
      <w:r w:rsidR="007D54AF" w:rsidRPr="0091780F">
        <w:rPr>
          <w:rFonts w:ascii="Arial" w:hAnsi="Arial" w:cs="Arial"/>
          <w:sz w:val="24"/>
          <w:szCs w:val="24"/>
        </w:rPr>
        <w:t>r</w:t>
      </w:r>
      <w:r w:rsidR="006F13E8" w:rsidRPr="0091780F">
        <w:rPr>
          <w:rFonts w:ascii="Arial" w:hAnsi="Arial" w:cs="Arial"/>
          <w:sz w:val="24"/>
          <w:szCs w:val="24"/>
        </w:rPr>
        <w:t xml:space="preserve"> was then subject </w:t>
      </w:r>
      <w:r w:rsidR="002E6D3B" w:rsidRPr="0091780F">
        <w:rPr>
          <w:rFonts w:ascii="Arial" w:hAnsi="Arial" w:cs="Arial"/>
          <w:sz w:val="24"/>
          <w:szCs w:val="24"/>
        </w:rPr>
        <w:t>to</w:t>
      </w:r>
      <w:r w:rsidR="006F13E8" w:rsidRPr="0091780F">
        <w:rPr>
          <w:rFonts w:ascii="Arial" w:hAnsi="Arial" w:cs="Arial"/>
          <w:sz w:val="24"/>
          <w:szCs w:val="24"/>
        </w:rPr>
        <w:t xml:space="preserve"> this clause bound to be entitled only to all game whatever the number, whether more or less than those stated in the game list, happened to be </w:t>
      </w:r>
      <w:r w:rsidR="00873561" w:rsidRPr="0091780F">
        <w:rPr>
          <w:rFonts w:ascii="Arial" w:hAnsi="Arial" w:cs="Arial"/>
          <w:sz w:val="24"/>
          <w:szCs w:val="24"/>
        </w:rPr>
        <w:t xml:space="preserve">present </w:t>
      </w:r>
      <w:r w:rsidR="006F13E8" w:rsidRPr="0091780F">
        <w:rPr>
          <w:rFonts w:ascii="Arial" w:hAnsi="Arial" w:cs="Arial"/>
          <w:sz w:val="24"/>
          <w:szCs w:val="24"/>
        </w:rPr>
        <w:t>at the date of sale.</w:t>
      </w:r>
    </w:p>
    <w:p w14:paraId="0EA344D6" w14:textId="77777777" w:rsidR="006F13E8" w:rsidRDefault="006F13E8" w:rsidP="006F13E8">
      <w:pPr>
        <w:pStyle w:val="ListParagraph"/>
        <w:spacing w:after="0" w:line="480" w:lineRule="auto"/>
        <w:jc w:val="both"/>
        <w:rPr>
          <w:rFonts w:ascii="Arial" w:hAnsi="Arial" w:cs="Arial"/>
          <w:sz w:val="24"/>
          <w:szCs w:val="24"/>
        </w:rPr>
      </w:pPr>
    </w:p>
    <w:p w14:paraId="28947912" w14:textId="2E359201" w:rsidR="006F13E8"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68.</w:t>
      </w:r>
      <w:r>
        <w:rPr>
          <w:rFonts w:ascii="Arial" w:hAnsi="Arial" w:cs="Arial"/>
          <w:sz w:val="24"/>
          <w:szCs w:val="24"/>
        </w:rPr>
        <w:tab/>
      </w:r>
      <w:r w:rsidR="006F13E8" w:rsidRPr="0091780F">
        <w:rPr>
          <w:rFonts w:ascii="Arial" w:hAnsi="Arial" w:cs="Arial"/>
          <w:sz w:val="24"/>
          <w:szCs w:val="24"/>
        </w:rPr>
        <w:t>It is argued that in any case applicant has not prima facie “</w:t>
      </w:r>
      <w:r w:rsidR="006F13E8" w:rsidRPr="0091780F">
        <w:rPr>
          <w:rFonts w:ascii="Arial" w:hAnsi="Arial" w:cs="Arial"/>
          <w:i/>
          <w:sz w:val="24"/>
          <w:szCs w:val="24"/>
        </w:rPr>
        <w:t>proven”</w:t>
      </w:r>
      <w:r w:rsidR="006F13E8" w:rsidRPr="0091780F">
        <w:rPr>
          <w:rFonts w:ascii="Arial" w:hAnsi="Arial" w:cs="Arial"/>
          <w:sz w:val="24"/>
          <w:szCs w:val="24"/>
        </w:rPr>
        <w:t xml:space="preserve"> that there </w:t>
      </w:r>
      <w:r w:rsidR="002E6D3B" w:rsidRPr="0091780F">
        <w:rPr>
          <w:rFonts w:ascii="Arial" w:hAnsi="Arial" w:cs="Arial"/>
          <w:sz w:val="24"/>
          <w:szCs w:val="24"/>
        </w:rPr>
        <w:t>was</w:t>
      </w:r>
      <w:r w:rsidR="006F13E8" w:rsidRPr="0091780F">
        <w:rPr>
          <w:rFonts w:ascii="Arial" w:hAnsi="Arial" w:cs="Arial"/>
          <w:sz w:val="24"/>
          <w:szCs w:val="24"/>
        </w:rPr>
        <w:t xml:space="preserve"> materially fewer game.  </w:t>
      </w:r>
    </w:p>
    <w:p w14:paraId="62F56B46" w14:textId="77777777" w:rsidR="006F13E8" w:rsidRPr="006F13E8" w:rsidRDefault="006F13E8" w:rsidP="006F13E8">
      <w:pPr>
        <w:pStyle w:val="ListParagraph"/>
        <w:rPr>
          <w:rFonts w:ascii="Arial" w:hAnsi="Arial" w:cs="Arial"/>
          <w:sz w:val="24"/>
          <w:szCs w:val="24"/>
        </w:rPr>
      </w:pPr>
    </w:p>
    <w:p w14:paraId="7C213E0F" w14:textId="196BB6A3" w:rsidR="006F13E8"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69.</w:t>
      </w:r>
      <w:r>
        <w:rPr>
          <w:rFonts w:ascii="Arial" w:hAnsi="Arial" w:cs="Arial"/>
          <w:sz w:val="24"/>
          <w:szCs w:val="24"/>
        </w:rPr>
        <w:tab/>
      </w:r>
      <w:r w:rsidR="006F13E8" w:rsidRPr="0091780F">
        <w:rPr>
          <w:rFonts w:ascii="Arial" w:hAnsi="Arial" w:cs="Arial"/>
          <w:sz w:val="24"/>
          <w:szCs w:val="24"/>
        </w:rPr>
        <w:t xml:space="preserve">In short, the argument is </w:t>
      </w:r>
      <w:r w:rsidR="00251685" w:rsidRPr="0091780F">
        <w:rPr>
          <w:rFonts w:ascii="Arial" w:hAnsi="Arial" w:cs="Arial"/>
          <w:sz w:val="24"/>
          <w:szCs w:val="24"/>
        </w:rPr>
        <w:t xml:space="preserve">that the allegations made for </w:t>
      </w:r>
      <w:r w:rsidR="002E6D3B" w:rsidRPr="0091780F">
        <w:rPr>
          <w:rFonts w:ascii="Arial" w:hAnsi="Arial" w:cs="Arial"/>
          <w:sz w:val="24"/>
          <w:szCs w:val="24"/>
        </w:rPr>
        <w:t>applicant</w:t>
      </w:r>
      <w:r w:rsidR="00251685" w:rsidRPr="0091780F">
        <w:rPr>
          <w:rFonts w:ascii="Arial" w:hAnsi="Arial" w:cs="Arial"/>
          <w:sz w:val="24"/>
          <w:szCs w:val="24"/>
        </w:rPr>
        <w:t xml:space="preserve"> in this regard and summarised above, are </w:t>
      </w:r>
      <w:r w:rsidR="00873561" w:rsidRPr="0091780F">
        <w:rPr>
          <w:rFonts w:ascii="Arial" w:hAnsi="Arial" w:cs="Arial"/>
          <w:sz w:val="24"/>
          <w:szCs w:val="24"/>
        </w:rPr>
        <w:t xml:space="preserve">disposed of </w:t>
      </w:r>
      <w:r w:rsidR="00251685" w:rsidRPr="0091780F">
        <w:rPr>
          <w:rFonts w:ascii="Arial" w:hAnsi="Arial" w:cs="Arial"/>
          <w:sz w:val="24"/>
          <w:szCs w:val="24"/>
        </w:rPr>
        <w:t xml:space="preserve">by the following.  </w:t>
      </w:r>
    </w:p>
    <w:p w14:paraId="2256B94A" w14:textId="77777777" w:rsidR="00251685" w:rsidRPr="00251685" w:rsidRDefault="00251685" w:rsidP="00251685">
      <w:pPr>
        <w:pStyle w:val="ListParagraph"/>
        <w:rPr>
          <w:rFonts w:ascii="Arial" w:hAnsi="Arial" w:cs="Arial"/>
          <w:sz w:val="24"/>
          <w:szCs w:val="24"/>
        </w:rPr>
      </w:pPr>
    </w:p>
    <w:p w14:paraId="740F1ED3" w14:textId="6E452C10" w:rsidR="00251685"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70.</w:t>
      </w:r>
      <w:r>
        <w:rPr>
          <w:rFonts w:ascii="Arial" w:hAnsi="Arial" w:cs="Arial"/>
          <w:sz w:val="24"/>
          <w:szCs w:val="24"/>
        </w:rPr>
        <w:tab/>
      </w:r>
      <w:r w:rsidR="00251685" w:rsidRPr="0091780F">
        <w:rPr>
          <w:rFonts w:ascii="Arial" w:hAnsi="Arial" w:cs="Arial"/>
          <w:sz w:val="24"/>
          <w:szCs w:val="24"/>
        </w:rPr>
        <w:t xml:space="preserve">It is argued that the game offered were those on the property </w:t>
      </w:r>
      <w:r w:rsidR="00873561" w:rsidRPr="0091780F">
        <w:rPr>
          <w:rFonts w:ascii="Arial" w:hAnsi="Arial" w:cs="Arial"/>
          <w:sz w:val="24"/>
          <w:szCs w:val="24"/>
        </w:rPr>
        <w:t>at</w:t>
      </w:r>
      <w:r w:rsidR="00251685" w:rsidRPr="0091780F">
        <w:rPr>
          <w:rFonts w:ascii="Arial" w:hAnsi="Arial" w:cs="Arial"/>
          <w:sz w:val="24"/>
          <w:szCs w:val="24"/>
        </w:rPr>
        <w:t xml:space="preserve"> the date of the sale in October 2019 and that the game count after </w:t>
      </w:r>
      <w:r w:rsidR="002E6D3B" w:rsidRPr="0091780F">
        <w:rPr>
          <w:rFonts w:ascii="Arial" w:hAnsi="Arial" w:cs="Arial"/>
          <w:sz w:val="24"/>
          <w:szCs w:val="24"/>
        </w:rPr>
        <w:t>January</w:t>
      </w:r>
      <w:r w:rsidR="00251685" w:rsidRPr="0091780F">
        <w:rPr>
          <w:rFonts w:ascii="Arial" w:hAnsi="Arial" w:cs="Arial"/>
          <w:sz w:val="24"/>
          <w:szCs w:val="24"/>
        </w:rPr>
        <w:t xml:space="preserve"> 2022 will not assist.  Secondly that Mr. Hurter had in fact been nominated by applicant and that the game estimation by Bradfield is in fact lower than that in Annexure A1 to the agreement.  Ultimately respondent alleges that there is simply no prospect of success relevant to game numbers</w:t>
      </w:r>
      <w:r w:rsidR="005A6CFA" w:rsidRPr="0091780F">
        <w:rPr>
          <w:rFonts w:ascii="Arial" w:hAnsi="Arial" w:cs="Arial"/>
          <w:sz w:val="24"/>
          <w:szCs w:val="24"/>
        </w:rPr>
        <w:t>,</w:t>
      </w:r>
      <w:r w:rsidR="00251685" w:rsidRPr="0091780F">
        <w:rPr>
          <w:rFonts w:ascii="Arial" w:hAnsi="Arial" w:cs="Arial"/>
          <w:sz w:val="24"/>
          <w:szCs w:val="24"/>
        </w:rPr>
        <w:t xml:space="preserve"> there being no “</w:t>
      </w:r>
      <w:r w:rsidR="002E6D3B" w:rsidRPr="0091780F">
        <w:rPr>
          <w:rFonts w:ascii="Arial" w:hAnsi="Arial" w:cs="Arial"/>
          <w:i/>
          <w:sz w:val="24"/>
          <w:szCs w:val="24"/>
        </w:rPr>
        <w:t>complete</w:t>
      </w:r>
      <w:r w:rsidR="00251685" w:rsidRPr="0091780F">
        <w:rPr>
          <w:rFonts w:ascii="Arial" w:hAnsi="Arial" w:cs="Arial"/>
          <w:i/>
          <w:sz w:val="24"/>
          <w:szCs w:val="24"/>
        </w:rPr>
        <w:t xml:space="preserve"> evidence by ESDA</w:t>
      </w:r>
      <w:r w:rsidR="00251685" w:rsidRPr="0091780F">
        <w:rPr>
          <w:rFonts w:ascii="Arial" w:hAnsi="Arial" w:cs="Arial"/>
          <w:sz w:val="24"/>
          <w:szCs w:val="24"/>
        </w:rPr>
        <w:t xml:space="preserve">” to establish that its defence has a prima facie prospect of success.  It is </w:t>
      </w:r>
      <w:r w:rsidR="00251685" w:rsidRPr="0091780F">
        <w:rPr>
          <w:rFonts w:ascii="Arial" w:hAnsi="Arial" w:cs="Arial"/>
          <w:sz w:val="24"/>
          <w:szCs w:val="24"/>
        </w:rPr>
        <w:lastRenderedPageBreak/>
        <w:t xml:space="preserve">argued that having regard to proof on a balance of </w:t>
      </w:r>
      <w:r w:rsidR="002E6D3B" w:rsidRPr="0091780F">
        <w:rPr>
          <w:rFonts w:ascii="Arial" w:hAnsi="Arial" w:cs="Arial"/>
          <w:sz w:val="24"/>
          <w:szCs w:val="24"/>
        </w:rPr>
        <w:t>probabilities</w:t>
      </w:r>
      <w:r w:rsidR="00251685" w:rsidRPr="0091780F">
        <w:rPr>
          <w:rFonts w:ascii="Arial" w:hAnsi="Arial" w:cs="Arial"/>
          <w:sz w:val="24"/>
          <w:szCs w:val="24"/>
        </w:rPr>
        <w:t xml:space="preserve"> it would be required of ESDA to</w:t>
      </w:r>
      <w:r w:rsidR="002E6D3B" w:rsidRPr="0091780F">
        <w:rPr>
          <w:rFonts w:ascii="Arial" w:hAnsi="Arial" w:cs="Arial"/>
          <w:sz w:val="24"/>
          <w:szCs w:val="24"/>
        </w:rPr>
        <w:t xml:space="preserve"> establish</w:t>
      </w:r>
      <w:r w:rsidR="00251685" w:rsidRPr="0091780F">
        <w:rPr>
          <w:rFonts w:ascii="Arial" w:hAnsi="Arial" w:cs="Arial"/>
          <w:sz w:val="24"/>
          <w:szCs w:val="24"/>
        </w:rPr>
        <w:t xml:space="preserve"> that its defence had such a prospect and that it would not be possible on the evidence for it to do so.  It is argued that Bradfield’s evidence will not be preferred simply because he is the farm manager and that this misunderstands the </w:t>
      </w:r>
      <w:r w:rsidR="002E6D3B" w:rsidRPr="0091780F">
        <w:rPr>
          <w:rFonts w:ascii="Arial" w:hAnsi="Arial" w:cs="Arial"/>
          <w:sz w:val="24"/>
          <w:szCs w:val="24"/>
        </w:rPr>
        <w:t>application</w:t>
      </w:r>
      <w:r w:rsidR="00251685" w:rsidRPr="0091780F">
        <w:rPr>
          <w:rFonts w:ascii="Arial" w:hAnsi="Arial" w:cs="Arial"/>
          <w:sz w:val="24"/>
          <w:szCs w:val="24"/>
        </w:rPr>
        <w:t xml:space="preserve"> of the probabilities.  </w:t>
      </w:r>
    </w:p>
    <w:p w14:paraId="031E87C8" w14:textId="77777777" w:rsidR="0074416C" w:rsidRPr="0074416C" w:rsidRDefault="0074416C" w:rsidP="0074416C">
      <w:pPr>
        <w:pStyle w:val="ListParagraph"/>
        <w:rPr>
          <w:rFonts w:ascii="Arial" w:hAnsi="Arial" w:cs="Arial"/>
          <w:sz w:val="24"/>
          <w:szCs w:val="24"/>
        </w:rPr>
      </w:pPr>
    </w:p>
    <w:p w14:paraId="454BB256" w14:textId="77777777" w:rsidR="008D1C5F" w:rsidRDefault="008D1C5F" w:rsidP="0074416C">
      <w:pPr>
        <w:pStyle w:val="ListParagraph"/>
        <w:ind w:left="0"/>
        <w:rPr>
          <w:rFonts w:ascii="Arial" w:hAnsi="Arial" w:cs="Arial"/>
          <w:b/>
          <w:sz w:val="24"/>
          <w:szCs w:val="24"/>
          <w:u w:val="single"/>
        </w:rPr>
      </w:pPr>
    </w:p>
    <w:p w14:paraId="04056D4E" w14:textId="77777777" w:rsidR="008D1C5F" w:rsidRDefault="008D1C5F" w:rsidP="0074416C">
      <w:pPr>
        <w:pStyle w:val="ListParagraph"/>
        <w:ind w:left="0"/>
        <w:rPr>
          <w:rFonts w:ascii="Arial" w:hAnsi="Arial" w:cs="Arial"/>
          <w:b/>
          <w:sz w:val="24"/>
          <w:szCs w:val="24"/>
          <w:u w:val="single"/>
        </w:rPr>
      </w:pPr>
    </w:p>
    <w:p w14:paraId="5F3F0E91" w14:textId="77777777" w:rsidR="008D1C5F" w:rsidRDefault="008D1C5F" w:rsidP="0074416C">
      <w:pPr>
        <w:pStyle w:val="ListParagraph"/>
        <w:ind w:left="0"/>
        <w:rPr>
          <w:rFonts w:ascii="Arial" w:hAnsi="Arial" w:cs="Arial"/>
          <w:b/>
          <w:sz w:val="24"/>
          <w:szCs w:val="24"/>
          <w:u w:val="single"/>
        </w:rPr>
      </w:pPr>
    </w:p>
    <w:p w14:paraId="111ECA96" w14:textId="77777777" w:rsidR="0074416C" w:rsidRPr="0074416C" w:rsidRDefault="0074416C" w:rsidP="0074416C">
      <w:pPr>
        <w:pStyle w:val="ListParagraph"/>
        <w:ind w:left="0"/>
        <w:rPr>
          <w:rFonts w:ascii="Arial" w:hAnsi="Arial" w:cs="Arial"/>
          <w:b/>
          <w:sz w:val="24"/>
          <w:szCs w:val="24"/>
          <w:u w:val="single"/>
        </w:rPr>
      </w:pPr>
      <w:r w:rsidRPr="0074416C">
        <w:rPr>
          <w:rFonts w:ascii="Arial" w:hAnsi="Arial" w:cs="Arial"/>
          <w:b/>
          <w:sz w:val="24"/>
          <w:szCs w:val="24"/>
          <w:u w:val="single"/>
        </w:rPr>
        <w:t>CONCLUSION</w:t>
      </w:r>
    </w:p>
    <w:p w14:paraId="654EA446" w14:textId="77777777" w:rsidR="0074416C" w:rsidRDefault="0074416C" w:rsidP="0074416C">
      <w:pPr>
        <w:pStyle w:val="ListParagraph"/>
        <w:spacing w:after="0" w:line="480" w:lineRule="auto"/>
        <w:jc w:val="both"/>
        <w:rPr>
          <w:rFonts w:ascii="Arial" w:hAnsi="Arial" w:cs="Arial"/>
          <w:sz w:val="24"/>
          <w:szCs w:val="24"/>
        </w:rPr>
      </w:pPr>
    </w:p>
    <w:p w14:paraId="1500EBB9" w14:textId="0C49C773" w:rsidR="00251685"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251685" w:rsidRPr="0091780F">
        <w:rPr>
          <w:rFonts w:ascii="Arial" w:hAnsi="Arial" w:cs="Arial"/>
          <w:sz w:val="24"/>
          <w:szCs w:val="24"/>
        </w:rPr>
        <w:t xml:space="preserve">I have carefully considered the papers and allegations made therein, as also the arguments advanced against the legal </w:t>
      </w:r>
      <w:r w:rsidR="002E6D3B" w:rsidRPr="0091780F">
        <w:rPr>
          <w:rFonts w:ascii="Arial" w:hAnsi="Arial" w:cs="Arial"/>
          <w:sz w:val="24"/>
          <w:szCs w:val="24"/>
        </w:rPr>
        <w:t>requirements</w:t>
      </w:r>
      <w:r w:rsidR="00251685" w:rsidRPr="0091780F">
        <w:rPr>
          <w:rFonts w:ascii="Arial" w:hAnsi="Arial" w:cs="Arial"/>
          <w:sz w:val="24"/>
          <w:szCs w:val="24"/>
        </w:rPr>
        <w:t xml:space="preserve">.  </w:t>
      </w:r>
    </w:p>
    <w:p w14:paraId="5F5FC6F6" w14:textId="77777777" w:rsidR="00251685" w:rsidRDefault="00251685" w:rsidP="00251685">
      <w:pPr>
        <w:pStyle w:val="ListParagraph"/>
        <w:spacing w:after="0" w:line="480" w:lineRule="auto"/>
        <w:jc w:val="both"/>
        <w:rPr>
          <w:rFonts w:ascii="Arial" w:hAnsi="Arial" w:cs="Arial"/>
          <w:sz w:val="24"/>
          <w:szCs w:val="24"/>
        </w:rPr>
      </w:pPr>
    </w:p>
    <w:p w14:paraId="7860B264" w14:textId="0645E4C7" w:rsidR="00251685"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r>
      <w:r w:rsidR="00251685" w:rsidRPr="0091780F">
        <w:rPr>
          <w:rFonts w:ascii="Arial" w:hAnsi="Arial" w:cs="Arial"/>
          <w:sz w:val="24"/>
          <w:szCs w:val="24"/>
        </w:rPr>
        <w:t xml:space="preserve">Proceeding as per my summary of the legal situation as set out above, and considering all the aspects of the matter in the manner set out in the authorities, it seems to me, that it must be accepted that although deliberately </w:t>
      </w:r>
      <w:r w:rsidR="002E6D3B" w:rsidRPr="0091780F">
        <w:rPr>
          <w:rFonts w:ascii="Arial" w:hAnsi="Arial" w:cs="Arial"/>
          <w:sz w:val="24"/>
          <w:szCs w:val="24"/>
        </w:rPr>
        <w:t>deciding</w:t>
      </w:r>
      <w:r w:rsidR="00251685" w:rsidRPr="0091780F">
        <w:rPr>
          <w:rFonts w:ascii="Arial" w:hAnsi="Arial" w:cs="Arial"/>
          <w:sz w:val="24"/>
          <w:szCs w:val="24"/>
        </w:rPr>
        <w:t xml:space="preserve"> not to attend the trial, it cannot </w:t>
      </w:r>
      <w:r w:rsidR="00873561" w:rsidRPr="0091780F">
        <w:rPr>
          <w:rFonts w:ascii="Arial" w:hAnsi="Arial" w:cs="Arial"/>
          <w:sz w:val="24"/>
          <w:szCs w:val="24"/>
        </w:rPr>
        <w:t xml:space="preserve">be </w:t>
      </w:r>
      <w:r w:rsidR="002E6D3B" w:rsidRPr="0091780F">
        <w:rPr>
          <w:rFonts w:ascii="Arial" w:hAnsi="Arial" w:cs="Arial"/>
          <w:sz w:val="24"/>
          <w:szCs w:val="24"/>
        </w:rPr>
        <w:t>accepted</w:t>
      </w:r>
      <w:r w:rsidR="00251685" w:rsidRPr="0091780F">
        <w:rPr>
          <w:rFonts w:ascii="Arial" w:hAnsi="Arial" w:cs="Arial"/>
          <w:sz w:val="24"/>
          <w:szCs w:val="24"/>
        </w:rPr>
        <w:t xml:space="preserve"> without more</w:t>
      </w:r>
      <w:r w:rsidR="00873561" w:rsidRPr="0091780F">
        <w:rPr>
          <w:rFonts w:ascii="Arial" w:hAnsi="Arial" w:cs="Arial"/>
          <w:sz w:val="24"/>
          <w:szCs w:val="24"/>
        </w:rPr>
        <w:t>,</w:t>
      </w:r>
      <w:r w:rsidR="00251685" w:rsidRPr="0091780F">
        <w:rPr>
          <w:rFonts w:ascii="Arial" w:hAnsi="Arial" w:cs="Arial"/>
          <w:sz w:val="24"/>
          <w:szCs w:val="24"/>
        </w:rPr>
        <w:t xml:space="preserve"> in the context of the </w:t>
      </w:r>
      <w:r w:rsidR="002E6D3B" w:rsidRPr="0091780F">
        <w:rPr>
          <w:rFonts w:ascii="Arial" w:hAnsi="Arial" w:cs="Arial"/>
          <w:sz w:val="24"/>
          <w:szCs w:val="24"/>
        </w:rPr>
        <w:t>affidavits</w:t>
      </w:r>
      <w:r w:rsidR="00251685" w:rsidRPr="0091780F">
        <w:rPr>
          <w:rFonts w:ascii="Arial" w:hAnsi="Arial" w:cs="Arial"/>
          <w:sz w:val="24"/>
          <w:szCs w:val="24"/>
        </w:rPr>
        <w:t xml:space="preserve"> in this application, and the pleadings in the main action, that applicant reconcile</w:t>
      </w:r>
      <w:r w:rsidR="00873561" w:rsidRPr="0091780F">
        <w:rPr>
          <w:rFonts w:ascii="Arial" w:hAnsi="Arial" w:cs="Arial"/>
          <w:sz w:val="24"/>
          <w:szCs w:val="24"/>
        </w:rPr>
        <w:t>d</w:t>
      </w:r>
      <w:r w:rsidR="00251685" w:rsidRPr="0091780F">
        <w:rPr>
          <w:rFonts w:ascii="Arial" w:hAnsi="Arial" w:cs="Arial"/>
          <w:sz w:val="24"/>
          <w:szCs w:val="24"/>
        </w:rPr>
        <w:t xml:space="preserve"> itself to the fact that </w:t>
      </w:r>
      <w:r w:rsidR="00873561" w:rsidRPr="0091780F">
        <w:rPr>
          <w:rFonts w:ascii="Arial" w:hAnsi="Arial" w:cs="Arial"/>
          <w:sz w:val="24"/>
          <w:szCs w:val="24"/>
        </w:rPr>
        <w:t xml:space="preserve">if </w:t>
      </w:r>
      <w:r w:rsidR="00251685" w:rsidRPr="0091780F">
        <w:rPr>
          <w:rFonts w:ascii="Arial" w:hAnsi="Arial" w:cs="Arial"/>
          <w:sz w:val="24"/>
          <w:szCs w:val="24"/>
        </w:rPr>
        <w:t xml:space="preserve">it </w:t>
      </w:r>
      <w:r w:rsidR="00873561" w:rsidRPr="0091780F">
        <w:rPr>
          <w:rFonts w:ascii="Arial" w:hAnsi="Arial" w:cs="Arial"/>
          <w:sz w:val="24"/>
          <w:szCs w:val="24"/>
        </w:rPr>
        <w:t xml:space="preserve">did </w:t>
      </w:r>
      <w:r w:rsidR="00251685" w:rsidRPr="0091780F">
        <w:rPr>
          <w:rFonts w:ascii="Arial" w:hAnsi="Arial" w:cs="Arial"/>
          <w:sz w:val="24"/>
          <w:szCs w:val="24"/>
        </w:rPr>
        <w:t xml:space="preserve">not </w:t>
      </w:r>
      <w:r w:rsidR="002E6D3B" w:rsidRPr="0091780F">
        <w:rPr>
          <w:rFonts w:ascii="Arial" w:hAnsi="Arial" w:cs="Arial"/>
          <w:sz w:val="24"/>
          <w:szCs w:val="24"/>
        </w:rPr>
        <w:t>appear</w:t>
      </w:r>
      <w:r w:rsidR="00873561" w:rsidRPr="0091780F">
        <w:rPr>
          <w:rFonts w:ascii="Arial" w:hAnsi="Arial" w:cs="Arial"/>
          <w:sz w:val="24"/>
          <w:szCs w:val="24"/>
        </w:rPr>
        <w:t xml:space="preserve"> </w:t>
      </w:r>
      <w:r w:rsidR="00251685" w:rsidRPr="0091780F">
        <w:rPr>
          <w:rFonts w:ascii="Arial" w:hAnsi="Arial" w:cs="Arial"/>
          <w:sz w:val="24"/>
          <w:szCs w:val="24"/>
        </w:rPr>
        <w:t xml:space="preserve">judgment would be given against it.  It seems to me that it has been sufficiently established on the affidavits that </w:t>
      </w:r>
      <w:r w:rsidR="00EA63DB" w:rsidRPr="0091780F">
        <w:rPr>
          <w:rFonts w:ascii="Arial" w:hAnsi="Arial" w:cs="Arial"/>
          <w:sz w:val="24"/>
          <w:szCs w:val="24"/>
        </w:rPr>
        <w:t>however short sighted</w:t>
      </w:r>
      <w:r w:rsidR="006C7D4F" w:rsidRPr="0091780F">
        <w:rPr>
          <w:rFonts w:ascii="Arial" w:hAnsi="Arial" w:cs="Arial"/>
          <w:sz w:val="24"/>
          <w:szCs w:val="24"/>
        </w:rPr>
        <w:t>,</w:t>
      </w:r>
      <w:r w:rsidR="00EA63DB" w:rsidRPr="0091780F">
        <w:rPr>
          <w:rFonts w:ascii="Arial" w:hAnsi="Arial" w:cs="Arial"/>
          <w:sz w:val="24"/>
          <w:szCs w:val="24"/>
        </w:rPr>
        <w:t xml:space="preserve"> unwise </w:t>
      </w:r>
      <w:r w:rsidR="00251685" w:rsidRPr="0091780F">
        <w:rPr>
          <w:rFonts w:ascii="Arial" w:hAnsi="Arial" w:cs="Arial"/>
          <w:sz w:val="24"/>
          <w:szCs w:val="24"/>
        </w:rPr>
        <w:t xml:space="preserve">and misinformed, in the absence of legal </w:t>
      </w:r>
      <w:r w:rsidR="002E6D3B" w:rsidRPr="0091780F">
        <w:rPr>
          <w:rFonts w:ascii="Arial" w:hAnsi="Arial" w:cs="Arial"/>
          <w:sz w:val="24"/>
          <w:szCs w:val="24"/>
        </w:rPr>
        <w:t>advice</w:t>
      </w:r>
      <w:r w:rsidR="00251685" w:rsidRPr="0091780F">
        <w:rPr>
          <w:rFonts w:ascii="Arial" w:hAnsi="Arial" w:cs="Arial"/>
          <w:sz w:val="24"/>
          <w:szCs w:val="24"/>
        </w:rPr>
        <w:t xml:space="preserve"> at the time, </w:t>
      </w:r>
      <w:r w:rsidR="002E6D3B" w:rsidRPr="0091780F">
        <w:rPr>
          <w:rFonts w:ascii="Arial" w:hAnsi="Arial" w:cs="Arial"/>
          <w:sz w:val="24"/>
          <w:szCs w:val="24"/>
        </w:rPr>
        <w:t>applicant</w:t>
      </w:r>
      <w:r w:rsidR="00251685" w:rsidRPr="0091780F">
        <w:rPr>
          <w:rFonts w:ascii="Arial" w:hAnsi="Arial" w:cs="Arial"/>
          <w:sz w:val="24"/>
          <w:szCs w:val="24"/>
        </w:rPr>
        <w:t xml:space="preserve"> </w:t>
      </w:r>
      <w:r w:rsidR="00235760" w:rsidRPr="0091780F">
        <w:rPr>
          <w:rFonts w:ascii="Arial" w:hAnsi="Arial" w:cs="Arial"/>
          <w:sz w:val="24"/>
          <w:szCs w:val="24"/>
        </w:rPr>
        <w:t xml:space="preserve">has sufficiently shown that it </w:t>
      </w:r>
      <w:r w:rsidR="00215045" w:rsidRPr="0091780F">
        <w:rPr>
          <w:rFonts w:ascii="Arial" w:hAnsi="Arial" w:cs="Arial"/>
          <w:sz w:val="24"/>
          <w:szCs w:val="24"/>
        </w:rPr>
        <w:t xml:space="preserve">subjectively </w:t>
      </w:r>
      <w:r w:rsidR="00235760" w:rsidRPr="0091780F">
        <w:rPr>
          <w:rFonts w:ascii="Arial" w:hAnsi="Arial" w:cs="Arial"/>
          <w:sz w:val="24"/>
          <w:szCs w:val="24"/>
        </w:rPr>
        <w:t>h</w:t>
      </w:r>
      <w:r w:rsidR="00EA63DB" w:rsidRPr="0091780F">
        <w:rPr>
          <w:rFonts w:ascii="Arial" w:hAnsi="Arial" w:cs="Arial"/>
          <w:sz w:val="24"/>
          <w:szCs w:val="24"/>
        </w:rPr>
        <w:t>a</w:t>
      </w:r>
      <w:r w:rsidR="006C7D4F" w:rsidRPr="0091780F">
        <w:rPr>
          <w:rFonts w:ascii="Arial" w:hAnsi="Arial" w:cs="Arial"/>
          <w:sz w:val="24"/>
          <w:szCs w:val="24"/>
        </w:rPr>
        <w:t>d</w:t>
      </w:r>
      <w:r w:rsidR="00EA63DB" w:rsidRPr="0091780F">
        <w:rPr>
          <w:rFonts w:ascii="Arial" w:hAnsi="Arial" w:cs="Arial"/>
          <w:sz w:val="24"/>
          <w:szCs w:val="24"/>
        </w:rPr>
        <w:t xml:space="preserve"> a </w:t>
      </w:r>
      <w:r w:rsidR="002E6D3B" w:rsidRPr="0091780F">
        <w:rPr>
          <w:rFonts w:ascii="Arial" w:hAnsi="Arial" w:cs="Arial"/>
          <w:sz w:val="24"/>
          <w:szCs w:val="24"/>
        </w:rPr>
        <w:t>genuine</w:t>
      </w:r>
      <w:r w:rsidR="00251685" w:rsidRPr="0091780F">
        <w:rPr>
          <w:rFonts w:ascii="Arial" w:hAnsi="Arial" w:cs="Arial"/>
          <w:sz w:val="24"/>
          <w:szCs w:val="24"/>
        </w:rPr>
        <w:t xml:space="preserve"> belief that in the context of its defences (which it at no time abandon</w:t>
      </w:r>
      <w:r w:rsidR="00EA63DB" w:rsidRPr="0091780F">
        <w:rPr>
          <w:rFonts w:ascii="Arial" w:hAnsi="Arial" w:cs="Arial"/>
          <w:sz w:val="24"/>
          <w:szCs w:val="24"/>
        </w:rPr>
        <w:t>ed</w:t>
      </w:r>
      <w:r w:rsidR="00251685" w:rsidRPr="0091780F">
        <w:rPr>
          <w:rFonts w:ascii="Arial" w:hAnsi="Arial" w:cs="Arial"/>
          <w:sz w:val="24"/>
          <w:szCs w:val="24"/>
        </w:rPr>
        <w:t xml:space="preserve">) judgment </w:t>
      </w:r>
      <w:r w:rsidR="002E6D3B" w:rsidRPr="0091780F">
        <w:rPr>
          <w:rFonts w:ascii="Arial" w:hAnsi="Arial" w:cs="Arial"/>
          <w:sz w:val="24"/>
          <w:szCs w:val="24"/>
        </w:rPr>
        <w:t>would</w:t>
      </w:r>
      <w:r w:rsidR="00251685" w:rsidRPr="0091780F">
        <w:rPr>
          <w:rFonts w:ascii="Arial" w:hAnsi="Arial" w:cs="Arial"/>
          <w:sz w:val="24"/>
          <w:szCs w:val="24"/>
        </w:rPr>
        <w:t xml:space="preserve"> not be given against </w:t>
      </w:r>
      <w:r w:rsidR="00215045" w:rsidRPr="0091780F">
        <w:rPr>
          <w:rFonts w:ascii="Arial" w:hAnsi="Arial" w:cs="Arial"/>
          <w:sz w:val="24"/>
          <w:szCs w:val="24"/>
        </w:rPr>
        <w:t>it even if in its absence</w:t>
      </w:r>
      <w:r w:rsidR="00251685" w:rsidRPr="0091780F">
        <w:rPr>
          <w:rFonts w:ascii="Arial" w:hAnsi="Arial" w:cs="Arial"/>
          <w:sz w:val="24"/>
          <w:szCs w:val="24"/>
        </w:rPr>
        <w:t>.  Although</w:t>
      </w:r>
      <w:r w:rsidR="002E6D3B" w:rsidRPr="0091780F">
        <w:rPr>
          <w:rFonts w:ascii="Arial" w:hAnsi="Arial" w:cs="Arial"/>
          <w:sz w:val="24"/>
          <w:szCs w:val="24"/>
        </w:rPr>
        <w:t xml:space="preserve"> applicant</w:t>
      </w:r>
      <w:r w:rsidR="00251685" w:rsidRPr="0091780F">
        <w:rPr>
          <w:rFonts w:ascii="Arial" w:hAnsi="Arial" w:cs="Arial"/>
          <w:sz w:val="24"/>
          <w:szCs w:val="24"/>
        </w:rPr>
        <w:t xml:space="preserve"> admits its attitude was ill informed and misguided, it has for the </w:t>
      </w:r>
      <w:r w:rsidR="002E6D3B" w:rsidRPr="0091780F">
        <w:rPr>
          <w:rFonts w:ascii="Arial" w:hAnsi="Arial" w:cs="Arial"/>
          <w:sz w:val="24"/>
          <w:szCs w:val="24"/>
        </w:rPr>
        <w:t>purposes</w:t>
      </w:r>
      <w:r w:rsidR="00251685" w:rsidRPr="0091780F">
        <w:rPr>
          <w:rFonts w:ascii="Arial" w:hAnsi="Arial" w:cs="Arial"/>
          <w:sz w:val="24"/>
          <w:szCs w:val="24"/>
        </w:rPr>
        <w:t xml:space="preserve"> of these proceedings to be accepted on the papers that this </w:t>
      </w:r>
      <w:r w:rsidR="00EA63DB" w:rsidRPr="0091780F">
        <w:rPr>
          <w:rFonts w:ascii="Arial" w:hAnsi="Arial" w:cs="Arial"/>
          <w:sz w:val="24"/>
          <w:szCs w:val="24"/>
        </w:rPr>
        <w:t xml:space="preserve">is </w:t>
      </w:r>
      <w:r w:rsidR="00215045" w:rsidRPr="0091780F">
        <w:rPr>
          <w:rFonts w:ascii="Arial" w:hAnsi="Arial" w:cs="Arial"/>
          <w:sz w:val="24"/>
          <w:szCs w:val="24"/>
        </w:rPr>
        <w:t>sufficient</w:t>
      </w:r>
      <w:r w:rsidR="00251685" w:rsidRPr="0091780F">
        <w:rPr>
          <w:rFonts w:ascii="Arial" w:hAnsi="Arial" w:cs="Arial"/>
          <w:sz w:val="24"/>
          <w:szCs w:val="24"/>
        </w:rPr>
        <w:t xml:space="preserve"> in the context of the </w:t>
      </w:r>
      <w:r w:rsidR="002E6D3B" w:rsidRPr="0091780F">
        <w:rPr>
          <w:rFonts w:ascii="Arial" w:hAnsi="Arial" w:cs="Arial"/>
          <w:sz w:val="24"/>
          <w:szCs w:val="24"/>
        </w:rPr>
        <w:t>defences</w:t>
      </w:r>
      <w:r w:rsidR="00251685" w:rsidRPr="0091780F">
        <w:rPr>
          <w:rFonts w:ascii="Arial" w:hAnsi="Arial" w:cs="Arial"/>
          <w:sz w:val="24"/>
          <w:szCs w:val="24"/>
        </w:rPr>
        <w:t xml:space="preserve"> put up to constitute an acceptable </w:t>
      </w:r>
      <w:r w:rsidR="00251685" w:rsidRPr="0091780F">
        <w:rPr>
          <w:rFonts w:ascii="Arial" w:hAnsi="Arial" w:cs="Arial"/>
          <w:sz w:val="24"/>
          <w:szCs w:val="24"/>
        </w:rPr>
        <w:lastRenderedPageBreak/>
        <w:t>explanation for the default</w:t>
      </w:r>
      <w:r w:rsidR="00EA63DB" w:rsidRPr="0091780F">
        <w:rPr>
          <w:rFonts w:ascii="Arial" w:hAnsi="Arial" w:cs="Arial"/>
          <w:sz w:val="24"/>
          <w:szCs w:val="24"/>
        </w:rPr>
        <w:t>, in the context of the approach and tests set out above</w:t>
      </w:r>
      <w:r w:rsidR="007D54AF" w:rsidRPr="0091780F">
        <w:rPr>
          <w:rFonts w:ascii="Arial" w:hAnsi="Arial" w:cs="Arial"/>
          <w:sz w:val="24"/>
          <w:szCs w:val="24"/>
        </w:rPr>
        <w:t xml:space="preserve">, showing that applicant did not </w:t>
      </w:r>
      <w:r w:rsidR="00215045" w:rsidRPr="0091780F">
        <w:rPr>
          <w:rFonts w:ascii="Arial" w:hAnsi="Arial" w:cs="Arial"/>
          <w:sz w:val="24"/>
          <w:szCs w:val="24"/>
        </w:rPr>
        <w:t xml:space="preserve">subjectively </w:t>
      </w:r>
      <w:r w:rsidR="007D54AF" w:rsidRPr="0091780F">
        <w:rPr>
          <w:rFonts w:ascii="Arial" w:hAnsi="Arial" w:cs="Arial"/>
          <w:sz w:val="24"/>
          <w:szCs w:val="24"/>
        </w:rPr>
        <w:t>appreciate the legal consequences of its default</w:t>
      </w:r>
      <w:r w:rsidR="00251685" w:rsidRPr="0091780F">
        <w:rPr>
          <w:rFonts w:ascii="Arial" w:hAnsi="Arial" w:cs="Arial"/>
          <w:sz w:val="24"/>
          <w:szCs w:val="24"/>
        </w:rPr>
        <w:t xml:space="preserve">.  </w:t>
      </w:r>
    </w:p>
    <w:p w14:paraId="30A89D2A" w14:textId="77777777" w:rsidR="00251685" w:rsidRDefault="00251685" w:rsidP="00251685">
      <w:pPr>
        <w:pStyle w:val="ListParagraph"/>
        <w:spacing w:after="0" w:line="480" w:lineRule="auto"/>
        <w:jc w:val="both"/>
        <w:rPr>
          <w:rFonts w:ascii="Arial" w:hAnsi="Arial" w:cs="Arial"/>
          <w:sz w:val="24"/>
          <w:szCs w:val="24"/>
        </w:rPr>
      </w:pPr>
    </w:p>
    <w:p w14:paraId="4FA23165" w14:textId="495BD413" w:rsidR="00251685"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73.</w:t>
      </w:r>
      <w:r>
        <w:rPr>
          <w:rFonts w:ascii="Arial" w:hAnsi="Arial" w:cs="Arial"/>
          <w:sz w:val="24"/>
          <w:szCs w:val="24"/>
        </w:rPr>
        <w:tab/>
      </w:r>
      <w:r w:rsidR="00251685" w:rsidRPr="0091780F">
        <w:rPr>
          <w:rFonts w:ascii="Arial" w:hAnsi="Arial" w:cs="Arial"/>
          <w:sz w:val="24"/>
          <w:szCs w:val="24"/>
        </w:rPr>
        <w:t xml:space="preserve">Insofar as the defences are concerned against the </w:t>
      </w:r>
      <w:r w:rsidR="00EA63DB" w:rsidRPr="0091780F">
        <w:rPr>
          <w:rFonts w:ascii="Arial" w:hAnsi="Arial" w:cs="Arial"/>
          <w:sz w:val="24"/>
          <w:szCs w:val="24"/>
        </w:rPr>
        <w:t xml:space="preserve">stated </w:t>
      </w:r>
      <w:r w:rsidR="00251685" w:rsidRPr="0091780F">
        <w:rPr>
          <w:rFonts w:ascii="Arial" w:hAnsi="Arial" w:cs="Arial"/>
          <w:sz w:val="24"/>
          <w:szCs w:val="24"/>
        </w:rPr>
        <w:t xml:space="preserve">prima facie requirement which carries </w:t>
      </w:r>
      <w:r w:rsidR="00E420D1" w:rsidRPr="0091780F">
        <w:rPr>
          <w:rFonts w:ascii="Arial" w:hAnsi="Arial" w:cs="Arial"/>
          <w:sz w:val="24"/>
          <w:szCs w:val="24"/>
        </w:rPr>
        <w:t xml:space="preserve">a defence with some prospect of success, I agree with respondent that this on the papers before me is not demonstrated </w:t>
      </w:r>
      <w:r w:rsidR="00EA63DB" w:rsidRPr="0091780F">
        <w:rPr>
          <w:rFonts w:ascii="Arial" w:hAnsi="Arial" w:cs="Arial"/>
          <w:sz w:val="24"/>
          <w:szCs w:val="24"/>
        </w:rPr>
        <w:t xml:space="preserve">in </w:t>
      </w:r>
      <w:r w:rsidR="00E420D1" w:rsidRPr="0091780F">
        <w:rPr>
          <w:rFonts w:ascii="Arial" w:hAnsi="Arial" w:cs="Arial"/>
          <w:sz w:val="24"/>
          <w:szCs w:val="24"/>
        </w:rPr>
        <w:t xml:space="preserve">respect of the fencing and certification issue.  </w:t>
      </w:r>
    </w:p>
    <w:p w14:paraId="1C4DC111" w14:textId="77777777" w:rsidR="00E420D1" w:rsidRPr="00E420D1" w:rsidRDefault="00E420D1" w:rsidP="00E420D1">
      <w:pPr>
        <w:pStyle w:val="ListParagraph"/>
        <w:rPr>
          <w:rFonts w:ascii="Arial" w:hAnsi="Arial" w:cs="Arial"/>
          <w:sz w:val="24"/>
          <w:szCs w:val="24"/>
        </w:rPr>
      </w:pPr>
    </w:p>
    <w:p w14:paraId="6DF466B0" w14:textId="1A7D92F2" w:rsidR="00E420D1"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74.</w:t>
      </w:r>
      <w:r>
        <w:rPr>
          <w:rFonts w:ascii="Arial" w:hAnsi="Arial" w:cs="Arial"/>
          <w:sz w:val="24"/>
          <w:szCs w:val="24"/>
        </w:rPr>
        <w:tab/>
      </w:r>
      <w:r w:rsidR="00E420D1" w:rsidRPr="0091780F">
        <w:rPr>
          <w:rFonts w:ascii="Arial" w:hAnsi="Arial" w:cs="Arial"/>
          <w:sz w:val="24"/>
          <w:szCs w:val="24"/>
        </w:rPr>
        <w:t xml:space="preserve">However, it seems to me otherwise in respect of the issues relevant to the game count and those </w:t>
      </w:r>
      <w:r w:rsidR="002E6D3B" w:rsidRPr="0091780F">
        <w:rPr>
          <w:rFonts w:ascii="Arial" w:hAnsi="Arial" w:cs="Arial"/>
          <w:sz w:val="24"/>
          <w:szCs w:val="24"/>
        </w:rPr>
        <w:t>referred</w:t>
      </w:r>
      <w:r w:rsidR="00E420D1" w:rsidRPr="0091780F">
        <w:rPr>
          <w:rFonts w:ascii="Arial" w:hAnsi="Arial" w:cs="Arial"/>
          <w:sz w:val="24"/>
          <w:szCs w:val="24"/>
        </w:rPr>
        <w:t xml:space="preserve"> to in </w:t>
      </w:r>
      <w:r w:rsidR="002E6D3B" w:rsidRPr="0091780F">
        <w:rPr>
          <w:rFonts w:ascii="Arial" w:hAnsi="Arial" w:cs="Arial"/>
          <w:sz w:val="24"/>
          <w:szCs w:val="24"/>
        </w:rPr>
        <w:t>A</w:t>
      </w:r>
      <w:r w:rsidR="00E420D1" w:rsidRPr="0091780F">
        <w:rPr>
          <w:rFonts w:ascii="Arial" w:hAnsi="Arial" w:cs="Arial"/>
          <w:sz w:val="24"/>
          <w:szCs w:val="24"/>
        </w:rPr>
        <w:t xml:space="preserve">nnexure A1 in the context of the agreement.  </w:t>
      </w:r>
    </w:p>
    <w:p w14:paraId="54147302" w14:textId="77777777" w:rsidR="00E420D1" w:rsidRPr="00E420D1" w:rsidRDefault="00E420D1" w:rsidP="00E420D1">
      <w:pPr>
        <w:pStyle w:val="ListParagraph"/>
        <w:rPr>
          <w:rFonts w:ascii="Arial" w:hAnsi="Arial" w:cs="Arial"/>
          <w:sz w:val="24"/>
          <w:szCs w:val="24"/>
        </w:rPr>
      </w:pPr>
    </w:p>
    <w:p w14:paraId="2F8D0458" w14:textId="37CC7D1D" w:rsidR="00E420D1"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75.</w:t>
      </w:r>
      <w:r>
        <w:rPr>
          <w:rFonts w:ascii="Arial" w:hAnsi="Arial" w:cs="Arial"/>
          <w:sz w:val="24"/>
          <w:szCs w:val="24"/>
        </w:rPr>
        <w:tab/>
      </w:r>
      <w:r w:rsidR="002E6D3B" w:rsidRPr="0091780F">
        <w:rPr>
          <w:rFonts w:ascii="Arial" w:hAnsi="Arial" w:cs="Arial"/>
          <w:sz w:val="24"/>
          <w:szCs w:val="24"/>
        </w:rPr>
        <w:t>Whilst</w:t>
      </w:r>
      <w:r w:rsidR="00E420D1" w:rsidRPr="0091780F">
        <w:rPr>
          <w:rFonts w:ascii="Arial" w:hAnsi="Arial" w:cs="Arial"/>
          <w:sz w:val="24"/>
          <w:szCs w:val="24"/>
        </w:rPr>
        <w:t xml:space="preserve"> I am not saying for a moment that this is a defence which will </w:t>
      </w:r>
      <w:r w:rsidR="00EA63DB" w:rsidRPr="0091780F">
        <w:rPr>
          <w:rFonts w:ascii="Arial" w:hAnsi="Arial" w:cs="Arial"/>
          <w:sz w:val="24"/>
          <w:szCs w:val="24"/>
        </w:rPr>
        <w:t xml:space="preserve">necessarily </w:t>
      </w:r>
      <w:r w:rsidR="00E420D1" w:rsidRPr="0091780F">
        <w:rPr>
          <w:rFonts w:ascii="Arial" w:hAnsi="Arial" w:cs="Arial"/>
          <w:sz w:val="24"/>
          <w:szCs w:val="24"/>
        </w:rPr>
        <w:t xml:space="preserve">succeed, that is </w:t>
      </w:r>
      <w:r w:rsidR="002E6D3B" w:rsidRPr="0091780F">
        <w:rPr>
          <w:rFonts w:ascii="Arial" w:hAnsi="Arial" w:cs="Arial"/>
          <w:sz w:val="24"/>
          <w:szCs w:val="24"/>
        </w:rPr>
        <w:t>not</w:t>
      </w:r>
      <w:r w:rsidR="00E420D1" w:rsidRPr="0091780F">
        <w:rPr>
          <w:rFonts w:ascii="Arial" w:hAnsi="Arial" w:cs="Arial"/>
          <w:sz w:val="24"/>
          <w:szCs w:val="24"/>
        </w:rPr>
        <w:t xml:space="preserve"> the test, and it seems to me that respondent has overstated the extent to which applicant was required to go in this regard, and certainly not such as to deal with the </w:t>
      </w:r>
      <w:r w:rsidR="002E6D3B" w:rsidRPr="0091780F">
        <w:rPr>
          <w:rFonts w:ascii="Arial" w:hAnsi="Arial" w:cs="Arial"/>
          <w:sz w:val="24"/>
          <w:szCs w:val="24"/>
        </w:rPr>
        <w:t>probabilities</w:t>
      </w:r>
      <w:r w:rsidR="00E420D1" w:rsidRPr="0091780F">
        <w:rPr>
          <w:rFonts w:ascii="Arial" w:hAnsi="Arial" w:cs="Arial"/>
          <w:sz w:val="24"/>
          <w:szCs w:val="24"/>
        </w:rPr>
        <w:t xml:space="preserve"> </w:t>
      </w:r>
      <w:r w:rsidR="00EA63DB" w:rsidRPr="0091780F">
        <w:rPr>
          <w:rFonts w:ascii="Arial" w:hAnsi="Arial" w:cs="Arial"/>
          <w:sz w:val="24"/>
          <w:szCs w:val="24"/>
        </w:rPr>
        <w:t xml:space="preserve">on what </w:t>
      </w:r>
      <w:r w:rsidR="00E420D1" w:rsidRPr="0091780F">
        <w:rPr>
          <w:rFonts w:ascii="Arial" w:hAnsi="Arial" w:cs="Arial"/>
          <w:sz w:val="24"/>
          <w:szCs w:val="24"/>
        </w:rPr>
        <w:t xml:space="preserve">might be found on the evidence once it has been presented.  </w:t>
      </w:r>
    </w:p>
    <w:p w14:paraId="4FEC7E08" w14:textId="77777777" w:rsidR="00E420D1" w:rsidRPr="00E420D1" w:rsidRDefault="00E420D1" w:rsidP="00E420D1">
      <w:pPr>
        <w:pStyle w:val="ListParagraph"/>
        <w:rPr>
          <w:rFonts w:ascii="Arial" w:hAnsi="Arial" w:cs="Arial"/>
          <w:sz w:val="24"/>
          <w:szCs w:val="24"/>
        </w:rPr>
      </w:pPr>
    </w:p>
    <w:p w14:paraId="3EABDF7C" w14:textId="5D22FF78" w:rsidR="00E420D1"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76.</w:t>
      </w:r>
      <w:r>
        <w:rPr>
          <w:rFonts w:ascii="Arial" w:hAnsi="Arial" w:cs="Arial"/>
          <w:sz w:val="24"/>
          <w:szCs w:val="24"/>
        </w:rPr>
        <w:tab/>
      </w:r>
      <w:r w:rsidR="00E420D1" w:rsidRPr="0091780F">
        <w:rPr>
          <w:rFonts w:ascii="Arial" w:hAnsi="Arial" w:cs="Arial"/>
          <w:sz w:val="24"/>
          <w:szCs w:val="24"/>
        </w:rPr>
        <w:t xml:space="preserve">In my view, in that event, there is in respect of the defence relating to the animal count issue and </w:t>
      </w:r>
      <w:r w:rsidR="0074416C" w:rsidRPr="0091780F">
        <w:rPr>
          <w:rFonts w:ascii="Arial" w:hAnsi="Arial" w:cs="Arial"/>
          <w:sz w:val="24"/>
          <w:szCs w:val="24"/>
        </w:rPr>
        <w:t>A</w:t>
      </w:r>
      <w:r w:rsidR="00E420D1" w:rsidRPr="0091780F">
        <w:rPr>
          <w:rFonts w:ascii="Arial" w:hAnsi="Arial" w:cs="Arial"/>
          <w:sz w:val="24"/>
          <w:szCs w:val="24"/>
        </w:rPr>
        <w:t>nnexure A1 sufficient to establish prima facie that this carr</w:t>
      </w:r>
      <w:r w:rsidR="00EA63DB" w:rsidRPr="0091780F">
        <w:rPr>
          <w:rFonts w:ascii="Arial" w:hAnsi="Arial" w:cs="Arial"/>
          <w:sz w:val="24"/>
          <w:szCs w:val="24"/>
        </w:rPr>
        <w:t>ies</w:t>
      </w:r>
      <w:r w:rsidR="00E420D1" w:rsidRPr="0091780F">
        <w:rPr>
          <w:rFonts w:ascii="Arial" w:hAnsi="Arial" w:cs="Arial"/>
          <w:sz w:val="24"/>
          <w:szCs w:val="24"/>
        </w:rPr>
        <w:t xml:space="preserve"> some prospect of success and </w:t>
      </w:r>
      <w:r w:rsidR="002E6D3B" w:rsidRPr="0091780F">
        <w:rPr>
          <w:rFonts w:ascii="Arial" w:hAnsi="Arial" w:cs="Arial"/>
          <w:sz w:val="24"/>
          <w:szCs w:val="24"/>
        </w:rPr>
        <w:t>that</w:t>
      </w:r>
      <w:r w:rsidR="00E420D1" w:rsidRPr="0091780F">
        <w:rPr>
          <w:rFonts w:ascii="Arial" w:hAnsi="Arial" w:cs="Arial"/>
          <w:sz w:val="24"/>
          <w:szCs w:val="24"/>
        </w:rPr>
        <w:t xml:space="preserve"> that is sufficient to </w:t>
      </w:r>
      <w:r w:rsidR="002E6D3B" w:rsidRPr="0091780F">
        <w:rPr>
          <w:rFonts w:ascii="Arial" w:hAnsi="Arial" w:cs="Arial"/>
          <w:sz w:val="24"/>
          <w:szCs w:val="24"/>
        </w:rPr>
        <w:t>establish</w:t>
      </w:r>
      <w:r w:rsidR="00E420D1" w:rsidRPr="0091780F">
        <w:rPr>
          <w:rFonts w:ascii="Arial" w:hAnsi="Arial" w:cs="Arial"/>
          <w:sz w:val="24"/>
          <w:szCs w:val="24"/>
        </w:rPr>
        <w:t xml:space="preserve"> the necessary on the second leg of the enquiry.  </w:t>
      </w:r>
    </w:p>
    <w:p w14:paraId="62A96512" w14:textId="77777777" w:rsidR="00E420D1" w:rsidRPr="00E420D1" w:rsidRDefault="00E420D1" w:rsidP="00E420D1">
      <w:pPr>
        <w:pStyle w:val="ListParagraph"/>
        <w:rPr>
          <w:rFonts w:ascii="Arial" w:hAnsi="Arial" w:cs="Arial"/>
          <w:sz w:val="24"/>
          <w:szCs w:val="24"/>
        </w:rPr>
      </w:pPr>
    </w:p>
    <w:p w14:paraId="17975941" w14:textId="0F2E896F" w:rsidR="00E420D1"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77.</w:t>
      </w:r>
      <w:r>
        <w:rPr>
          <w:rFonts w:ascii="Arial" w:hAnsi="Arial" w:cs="Arial"/>
          <w:sz w:val="24"/>
          <w:szCs w:val="24"/>
        </w:rPr>
        <w:tab/>
      </w:r>
      <w:r w:rsidR="00E420D1" w:rsidRPr="0091780F">
        <w:rPr>
          <w:rFonts w:ascii="Arial" w:hAnsi="Arial" w:cs="Arial"/>
          <w:sz w:val="24"/>
          <w:szCs w:val="24"/>
        </w:rPr>
        <w:t xml:space="preserve">In the circumstances, I find that at common law, the applicant has established sufficient cause in the sense fully described in this judgment above, both the necessary </w:t>
      </w:r>
      <w:r w:rsidR="00EA63DB" w:rsidRPr="0091780F">
        <w:rPr>
          <w:rFonts w:ascii="Arial" w:hAnsi="Arial" w:cs="Arial"/>
          <w:sz w:val="24"/>
          <w:szCs w:val="24"/>
        </w:rPr>
        <w:t>exis</w:t>
      </w:r>
      <w:r w:rsidR="002E6D3B" w:rsidRPr="0091780F">
        <w:rPr>
          <w:rFonts w:ascii="Arial" w:hAnsi="Arial" w:cs="Arial"/>
          <w:sz w:val="24"/>
          <w:szCs w:val="24"/>
        </w:rPr>
        <w:t>tence</w:t>
      </w:r>
      <w:r w:rsidR="00E420D1" w:rsidRPr="0091780F">
        <w:rPr>
          <w:rFonts w:ascii="Arial" w:hAnsi="Arial" w:cs="Arial"/>
          <w:sz w:val="24"/>
          <w:szCs w:val="24"/>
        </w:rPr>
        <w:t xml:space="preserve"> of a reasonable and acceptable explanation for the default being established with, on the second defence issue raised</w:t>
      </w:r>
      <w:r w:rsidR="00EA63DB" w:rsidRPr="0091780F">
        <w:rPr>
          <w:rFonts w:ascii="Arial" w:hAnsi="Arial" w:cs="Arial"/>
          <w:sz w:val="24"/>
          <w:szCs w:val="24"/>
        </w:rPr>
        <w:t>,</w:t>
      </w:r>
      <w:r w:rsidR="00E420D1" w:rsidRPr="0091780F">
        <w:rPr>
          <w:rFonts w:ascii="Arial" w:hAnsi="Arial" w:cs="Arial"/>
          <w:sz w:val="24"/>
          <w:szCs w:val="24"/>
        </w:rPr>
        <w:t xml:space="preserve"> a bona fide </w:t>
      </w:r>
      <w:r w:rsidR="002E6D3B" w:rsidRPr="0091780F">
        <w:rPr>
          <w:rFonts w:ascii="Arial" w:hAnsi="Arial" w:cs="Arial"/>
          <w:sz w:val="24"/>
          <w:szCs w:val="24"/>
        </w:rPr>
        <w:lastRenderedPageBreak/>
        <w:t>defence</w:t>
      </w:r>
      <w:r w:rsidR="00E420D1" w:rsidRPr="0091780F">
        <w:rPr>
          <w:rFonts w:ascii="Arial" w:hAnsi="Arial" w:cs="Arial"/>
          <w:sz w:val="24"/>
          <w:szCs w:val="24"/>
        </w:rPr>
        <w:t xml:space="preserve"> which prima facie carries some prospect of success</w:t>
      </w:r>
      <w:r w:rsidR="007D54AF" w:rsidRPr="0091780F">
        <w:rPr>
          <w:rFonts w:ascii="Arial" w:hAnsi="Arial" w:cs="Arial"/>
          <w:sz w:val="24"/>
          <w:szCs w:val="24"/>
        </w:rPr>
        <w:t xml:space="preserve"> in the sense and to the extent required</w:t>
      </w:r>
      <w:r w:rsidR="00E420D1" w:rsidRPr="0091780F">
        <w:rPr>
          <w:rFonts w:ascii="Arial" w:hAnsi="Arial" w:cs="Arial"/>
          <w:sz w:val="24"/>
          <w:szCs w:val="24"/>
        </w:rPr>
        <w:t xml:space="preserve">.  </w:t>
      </w:r>
    </w:p>
    <w:p w14:paraId="2447D3CE" w14:textId="77777777" w:rsidR="00E420D1" w:rsidRPr="00E420D1" w:rsidRDefault="00E420D1" w:rsidP="00E420D1">
      <w:pPr>
        <w:pStyle w:val="ListParagraph"/>
        <w:rPr>
          <w:rFonts w:ascii="Arial" w:hAnsi="Arial" w:cs="Arial"/>
          <w:sz w:val="24"/>
          <w:szCs w:val="24"/>
        </w:rPr>
      </w:pPr>
    </w:p>
    <w:p w14:paraId="72953A5C" w14:textId="547714FC" w:rsidR="00E420D1"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78.</w:t>
      </w:r>
      <w:r>
        <w:rPr>
          <w:rFonts w:ascii="Arial" w:hAnsi="Arial" w:cs="Arial"/>
          <w:sz w:val="24"/>
          <w:szCs w:val="24"/>
        </w:rPr>
        <w:tab/>
      </w:r>
      <w:r w:rsidR="002E6D3B" w:rsidRPr="0091780F">
        <w:rPr>
          <w:rFonts w:ascii="Arial" w:hAnsi="Arial" w:cs="Arial"/>
          <w:sz w:val="24"/>
          <w:szCs w:val="24"/>
        </w:rPr>
        <w:t>In the</w:t>
      </w:r>
      <w:r w:rsidR="00E420D1" w:rsidRPr="0091780F">
        <w:rPr>
          <w:rFonts w:ascii="Arial" w:hAnsi="Arial" w:cs="Arial"/>
          <w:sz w:val="24"/>
          <w:szCs w:val="24"/>
        </w:rPr>
        <w:t xml:space="preserve"> </w:t>
      </w:r>
      <w:r w:rsidR="002E6D3B" w:rsidRPr="0091780F">
        <w:rPr>
          <w:rFonts w:ascii="Arial" w:hAnsi="Arial" w:cs="Arial"/>
          <w:sz w:val="24"/>
          <w:szCs w:val="24"/>
        </w:rPr>
        <w:t>circumstances</w:t>
      </w:r>
      <w:r w:rsidR="00E420D1" w:rsidRPr="0091780F">
        <w:rPr>
          <w:rFonts w:ascii="Arial" w:hAnsi="Arial" w:cs="Arial"/>
          <w:sz w:val="24"/>
          <w:szCs w:val="24"/>
        </w:rPr>
        <w:t xml:space="preserve"> the </w:t>
      </w:r>
      <w:r w:rsidR="002E6D3B" w:rsidRPr="0091780F">
        <w:rPr>
          <w:rFonts w:ascii="Arial" w:hAnsi="Arial" w:cs="Arial"/>
          <w:sz w:val="24"/>
          <w:szCs w:val="24"/>
        </w:rPr>
        <w:t>application</w:t>
      </w:r>
      <w:r w:rsidR="00E420D1" w:rsidRPr="0091780F">
        <w:rPr>
          <w:rFonts w:ascii="Arial" w:hAnsi="Arial" w:cs="Arial"/>
          <w:sz w:val="24"/>
          <w:szCs w:val="24"/>
        </w:rPr>
        <w:t xml:space="preserve"> must succeed and rescission must follow.</w:t>
      </w:r>
    </w:p>
    <w:p w14:paraId="61ECC1EC" w14:textId="77777777" w:rsidR="00E420D1" w:rsidRPr="00E420D1" w:rsidRDefault="00E420D1" w:rsidP="00E420D1">
      <w:pPr>
        <w:pStyle w:val="ListParagraph"/>
        <w:rPr>
          <w:rFonts w:ascii="Arial" w:hAnsi="Arial" w:cs="Arial"/>
          <w:sz w:val="24"/>
          <w:szCs w:val="24"/>
        </w:rPr>
      </w:pPr>
    </w:p>
    <w:p w14:paraId="52D86728" w14:textId="49D6C5DA" w:rsidR="00E420D1"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79.</w:t>
      </w:r>
      <w:r>
        <w:rPr>
          <w:rFonts w:ascii="Arial" w:hAnsi="Arial" w:cs="Arial"/>
          <w:sz w:val="24"/>
          <w:szCs w:val="24"/>
        </w:rPr>
        <w:tab/>
      </w:r>
      <w:r w:rsidR="00E420D1" w:rsidRPr="0091780F">
        <w:rPr>
          <w:rFonts w:ascii="Arial" w:hAnsi="Arial" w:cs="Arial"/>
          <w:sz w:val="24"/>
          <w:szCs w:val="24"/>
        </w:rPr>
        <w:t xml:space="preserve">As to costs, applicant sought an order that in the event of the </w:t>
      </w:r>
      <w:r w:rsidR="002E6D3B" w:rsidRPr="0091780F">
        <w:rPr>
          <w:rFonts w:ascii="Arial" w:hAnsi="Arial" w:cs="Arial"/>
          <w:sz w:val="24"/>
          <w:szCs w:val="24"/>
        </w:rPr>
        <w:t>application</w:t>
      </w:r>
      <w:r w:rsidR="00E420D1" w:rsidRPr="0091780F">
        <w:rPr>
          <w:rFonts w:ascii="Arial" w:hAnsi="Arial" w:cs="Arial"/>
          <w:sz w:val="24"/>
          <w:szCs w:val="24"/>
        </w:rPr>
        <w:t xml:space="preserve"> being opposed respondent must pay the costs thereof.  </w:t>
      </w:r>
    </w:p>
    <w:p w14:paraId="52FA3D00" w14:textId="77777777" w:rsidR="00E420D1" w:rsidRPr="00E420D1" w:rsidRDefault="00E420D1" w:rsidP="00E420D1">
      <w:pPr>
        <w:pStyle w:val="ListParagraph"/>
        <w:rPr>
          <w:rFonts w:ascii="Arial" w:hAnsi="Arial" w:cs="Arial"/>
          <w:sz w:val="24"/>
          <w:szCs w:val="24"/>
        </w:rPr>
      </w:pPr>
    </w:p>
    <w:p w14:paraId="6503102D" w14:textId="20C0A380" w:rsidR="00E420D1"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80.</w:t>
      </w:r>
      <w:r>
        <w:rPr>
          <w:rFonts w:ascii="Arial" w:hAnsi="Arial" w:cs="Arial"/>
          <w:sz w:val="24"/>
          <w:szCs w:val="24"/>
        </w:rPr>
        <w:tab/>
      </w:r>
      <w:r w:rsidR="00E420D1" w:rsidRPr="0091780F">
        <w:rPr>
          <w:rFonts w:ascii="Arial" w:hAnsi="Arial" w:cs="Arial"/>
          <w:sz w:val="24"/>
          <w:szCs w:val="24"/>
        </w:rPr>
        <w:t xml:space="preserve">This, entirely, overlooks the fact that in the circumstances of the matter it was more than reasonable for respondent as </w:t>
      </w:r>
      <w:r w:rsidR="00EA63DB" w:rsidRPr="0091780F">
        <w:rPr>
          <w:rFonts w:ascii="Arial" w:hAnsi="Arial" w:cs="Arial"/>
          <w:sz w:val="24"/>
          <w:szCs w:val="24"/>
        </w:rPr>
        <w:t xml:space="preserve">a successful </w:t>
      </w:r>
      <w:r w:rsidR="00E420D1" w:rsidRPr="0091780F">
        <w:rPr>
          <w:rFonts w:ascii="Arial" w:hAnsi="Arial" w:cs="Arial"/>
          <w:sz w:val="24"/>
          <w:szCs w:val="24"/>
        </w:rPr>
        <w:t>plaintiff in the default</w:t>
      </w:r>
      <w:r w:rsidR="00EA63DB" w:rsidRPr="0091780F">
        <w:rPr>
          <w:rFonts w:ascii="Arial" w:hAnsi="Arial" w:cs="Arial"/>
          <w:sz w:val="24"/>
          <w:szCs w:val="24"/>
        </w:rPr>
        <w:t xml:space="preserve"> judgment proceedings</w:t>
      </w:r>
      <w:r w:rsidR="00E420D1" w:rsidRPr="0091780F">
        <w:rPr>
          <w:rFonts w:ascii="Arial" w:hAnsi="Arial" w:cs="Arial"/>
          <w:sz w:val="24"/>
          <w:szCs w:val="24"/>
        </w:rPr>
        <w:t xml:space="preserve">, and having regard to the </w:t>
      </w:r>
      <w:r w:rsidR="002E6D3B" w:rsidRPr="0091780F">
        <w:rPr>
          <w:rFonts w:ascii="Arial" w:hAnsi="Arial" w:cs="Arial"/>
          <w:sz w:val="24"/>
          <w:szCs w:val="24"/>
        </w:rPr>
        <w:t>circumstances</w:t>
      </w:r>
      <w:r w:rsidR="00E420D1" w:rsidRPr="0091780F">
        <w:rPr>
          <w:rFonts w:ascii="Arial" w:hAnsi="Arial" w:cs="Arial"/>
          <w:sz w:val="24"/>
          <w:szCs w:val="24"/>
        </w:rPr>
        <w:t xml:space="preserve"> and </w:t>
      </w:r>
      <w:r w:rsidR="002E6D3B" w:rsidRPr="0091780F">
        <w:rPr>
          <w:rFonts w:ascii="Arial" w:hAnsi="Arial" w:cs="Arial"/>
          <w:sz w:val="24"/>
          <w:szCs w:val="24"/>
        </w:rPr>
        <w:t>exigencies</w:t>
      </w:r>
      <w:r w:rsidR="00E420D1" w:rsidRPr="0091780F">
        <w:rPr>
          <w:rFonts w:ascii="Arial" w:hAnsi="Arial" w:cs="Arial"/>
          <w:sz w:val="24"/>
          <w:szCs w:val="24"/>
        </w:rPr>
        <w:t>, to have not only oppose</w:t>
      </w:r>
      <w:r w:rsidR="00EA63DB" w:rsidRPr="0091780F">
        <w:rPr>
          <w:rFonts w:ascii="Arial" w:hAnsi="Arial" w:cs="Arial"/>
          <w:sz w:val="24"/>
          <w:szCs w:val="24"/>
        </w:rPr>
        <w:t>d</w:t>
      </w:r>
      <w:r w:rsidR="00E420D1" w:rsidRPr="0091780F">
        <w:rPr>
          <w:rFonts w:ascii="Arial" w:hAnsi="Arial" w:cs="Arial"/>
          <w:sz w:val="24"/>
          <w:szCs w:val="24"/>
        </w:rPr>
        <w:t xml:space="preserve"> the </w:t>
      </w:r>
      <w:r w:rsidR="002E6D3B" w:rsidRPr="0091780F">
        <w:rPr>
          <w:rFonts w:ascii="Arial" w:hAnsi="Arial" w:cs="Arial"/>
          <w:sz w:val="24"/>
          <w:szCs w:val="24"/>
        </w:rPr>
        <w:t>application</w:t>
      </w:r>
      <w:r w:rsidR="00E420D1" w:rsidRPr="0091780F">
        <w:rPr>
          <w:rFonts w:ascii="Arial" w:hAnsi="Arial" w:cs="Arial"/>
          <w:sz w:val="24"/>
          <w:szCs w:val="24"/>
        </w:rPr>
        <w:t xml:space="preserve"> but to have argued same having regard to the specific instances</w:t>
      </w:r>
      <w:r w:rsidR="00EA63DB" w:rsidRPr="0091780F">
        <w:rPr>
          <w:rFonts w:ascii="Arial" w:hAnsi="Arial" w:cs="Arial"/>
          <w:sz w:val="24"/>
          <w:szCs w:val="24"/>
        </w:rPr>
        <w:t xml:space="preserve"> and arguments </w:t>
      </w:r>
      <w:r w:rsidR="00E420D1" w:rsidRPr="0091780F">
        <w:rPr>
          <w:rFonts w:ascii="Arial" w:hAnsi="Arial" w:cs="Arial"/>
          <w:sz w:val="24"/>
          <w:szCs w:val="24"/>
        </w:rPr>
        <w:t>applicable in this matter</w:t>
      </w:r>
      <w:r w:rsidR="00003A47" w:rsidRPr="0091780F">
        <w:rPr>
          <w:rFonts w:ascii="Arial" w:hAnsi="Arial" w:cs="Arial"/>
          <w:sz w:val="24"/>
          <w:szCs w:val="24"/>
        </w:rPr>
        <w:t xml:space="preserve"> and</w:t>
      </w:r>
      <w:r w:rsidR="00E420D1" w:rsidRPr="0091780F">
        <w:rPr>
          <w:rFonts w:ascii="Arial" w:hAnsi="Arial" w:cs="Arial"/>
          <w:sz w:val="24"/>
          <w:szCs w:val="24"/>
        </w:rPr>
        <w:t xml:space="preserve"> not only </w:t>
      </w:r>
      <w:r w:rsidR="002E6D3B" w:rsidRPr="0091780F">
        <w:rPr>
          <w:rFonts w:ascii="Arial" w:hAnsi="Arial" w:cs="Arial"/>
          <w:sz w:val="24"/>
          <w:szCs w:val="24"/>
        </w:rPr>
        <w:t>applicant’s</w:t>
      </w:r>
      <w:r w:rsidR="00E420D1" w:rsidRPr="0091780F">
        <w:rPr>
          <w:rFonts w:ascii="Arial" w:hAnsi="Arial" w:cs="Arial"/>
          <w:sz w:val="24"/>
          <w:szCs w:val="24"/>
        </w:rPr>
        <w:t xml:space="preserve"> </w:t>
      </w:r>
      <w:r w:rsidR="00EA63DB" w:rsidRPr="0091780F">
        <w:rPr>
          <w:rFonts w:ascii="Arial" w:hAnsi="Arial" w:cs="Arial"/>
          <w:sz w:val="24"/>
          <w:szCs w:val="24"/>
        </w:rPr>
        <w:t>a</w:t>
      </w:r>
      <w:r w:rsidR="00E420D1" w:rsidRPr="0091780F">
        <w:rPr>
          <w:rFonts w:ascii="Arial" w:hAnsi="Arial" w:cs="Arial"/>
          <w:sz w:val="24"/>
          <w:szCs w:val="24"/>
        </w:rPr>
        <w:t>ttitude to the possibility of the finding being made against it.</w:t>
      </w:r>
      <w:r w:rsidR="00003A47" w:rsidRPr="0091780F">
        <w:rPr>
          <w:rFonts w:ascii="Arial" w:hAnsi="Arial" w:cs="Arial"/>
          <w:sz w:val="24"/>
          <w:szCs w:val="24"/>
        </w:rPr>
        <w:t xml:space="preserve">  In pursuing its opposition to the rescission respondent acted reasonably and should have his costs thereof. </w:t>
      </w:r>
      <w:r w:rsidR="00E420D1" w:rsidRPr="0091780F">
        <w:rPr>
          <w:rFonts w:ascii="Arial" w:hAnsi="Arial" w:cs="Arial"/>
          <w:sz w:val="24"/>
          <w:szCs w:val="24"/>
        </w:rPr>
        <w:t xml:space="preserve">  </w:t>
      </w:r>
    </w:p>
    <w:p w14:paraId="41906CC2" w14:textId="77777777" w:rsidR="00E420D1" w:rsidRPr="00E420D1" w:rsidRDefault="00E420D1" w:rsidP="00E420D1">
      <w:pPr>
        <w:pStyle w:val="ListParagraph"/>
        <w:rPr>
          <w:rFonts w:ascii="Arial" w:hAnsi="Arial" w:cs="Arial"/>
          <w:sz w:val="24"/>
          <w:szCs w:val="24"/>
        </w:rPr>
      </w:pPr>
    </w:p>
    <w:p w14:paraId="5CA92338" w14:textId="34A5BD71" w:rsidR="002E6D3B"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81.</w:t>
      </w:r>
      <w:r>
        <w:rPr>
          <w:rFonts w:ascii="Arial" w:hAnsi="Arial" w:cs="Arial"/>
          <w:sz w:val="24"/>
          <w:szCs w:val="24"/>
        </w:rPr>
        <w:tab/>
      </w:r>
      <w:r w:rsidR="00E420D1" w:rsidRPr="0091780F">
        <w:rPr>
          <w:rFonts w:ascii="Arial" w:hAnsi="Arial" w:cs="Arial"/>
          <w:sz w:val="24"/>
          <w:szCs w:val="24"/>
        </w:rPr>
        <w:t xml:space="preserve">Further, it was more than reasonable for respondent to test the water as to the defences </w:t>
      </w:r>
      <w:r w:rsidR="002E6D3B" w:rsidRPr="0091780F">
        <w:rPr>
          <w:rFonts w:ascii="Arial" w:hAnsi="Arial" w:cs="Arial"/>
          <w:sz w:val="24"/>
          <w:szCs w:val="24"/>
        </w:rPr>
        <w:t>that</w:t>
      </w:r>
      <w:r w:rsidR="00E420D1" w:rsidRPr="0091780F">
        <w:rPr>
          <w:rFonts w:ascii="Arial" w:hAnsi="Arial" w:cs="Arial"/>
          <w:sz w:val="24"/>
          <w:szCs w:val="24"/>
        </w:rPr>
        <w:t xml:space="preserve"> were to be put up and then in fact argued</w:t>
      </w:r>
      <w:r w:rsidR="00EA63DB" w:rsidRPr="0091780F">
        <w:rPr>
          <w:rFonts w:ascii="Arial" w:hAnsi="Arial" w:cs="Arial"/>
          <w:sz w:val="24"/>
          <w:szCs w:val="24"/>
        </w:rPr>
        <w:t xml:space="preserve">.  </w:t>
      </w:r>
      <w:r w:rsidR="002E6D3B" w:rsidRPr="0091780F">
        <w:rPr>
          <w:rFonts w:ascii="Arial" w:hAnsi="Arial" w:cs="Arial"/>
          <w:sz w:val="24"/>
          <w:szCs w:val="24"/>
        </w:rPr>
        <w:t>There</w:t>
      </w:r>
      <w:r w:rsidR="00E420D1" w:rsidRPr="0091780F">
        <w:rPr>
          <w:rFonts w:ascii="Arial" w:hAnsi="Arial" w:cs="Arial"/>
          <w:sz w:val="24"/>
          <w:szCs w:val="24"/>
        </w:rPr>
        <w:t xml:space="preserve"> was also the question relevant </w:t>
      </w:r>
      <w:r w:rsidR="002E6D3B" w:rsidRPr="0091780F">
        <w:rPr>
          <w:rFonts w:ascii="Arial" w:hAnsi="Arial" w:cs="Arial"/>
          <w:sz w:val="24"/>
          <w:szCs w:val="24"/>
        </w:rPr>
        <w:t>to</w:t>
      </w:r>
      <w:r w:rsidR="00E420D1" w:rsidRPr="0091780F">
        <w:rPr>
          <w:rFonts w:ascii="Arial" w:hAnsi="Arial" w:cs="Arial"/>
          <w:sz w:val="24"/>
          <w:szCs w:val="24"/>
        </w:rPr>
        <w:t xml:space="preserve"> the </w:t>
      </w:r>
      <w:r w:rsidR="002E6D3B" w:rsidRPr="0091780F">
        <w:rPr>
          <w:rFonts w:ascii="Arial" w:hAnsi="Arial" w:cs="Arial"/>
          <w:sz w:val="24"/>
          <w:szCs w:val="24"/>
        </w:rPr>
        <w:t>allegation</w:t>
      </w:r>
      <w:r w:rsidR="00E420D1" w:rsidRPr="0091780F">
        <w:rPr>
          <w:rFonts w:ascii="Arial" w:hAnsi="Arial" w:cs="Arial"/>
          <w:sz w:val="24"/>
          <w:szCs w:val="24"/>
        </w:rPr>
        <w:t xml:space="preserve"> of </w:t>
      </w:r>
      <w:r w:rsidR="002E6D3B" w:rsidRPr="0091780F">
        <w:rPr>
          <w:rFonts w:ascii="Arial" w:hAnsi="Arial" w:cs="Arial"/>
          <w:sz w:val="24"/>
          <w:szCs w:val="24"/>
        </w:rPr>
        <w:t xml:space="preserve">the fact that the court was deliberately mislead by the evidence of Scarterfield in respect of the game fencing, which respondent was more than entitled to meet and argue.  </w:t>
      </w:r>
    </w:p>
    <w:p w14:paraId="5FB905E4" w14:textId="77777777" w:rsidR="002E6D3B" w:rsidRPr="002E6D3B" w:rsidRDefault="002E6D3B" w:rsidP="002E6D3B">
      <w:pPr>
        <w:pStyle w:val="ListParagraph"/>
        <w:rPr>
          <w:rFonts w:ascii="Arial" w:hAnsi="Arial" w:cs="Arial"/>
          <w:sz w:val="24"/>
          <w:szCs w:val="24"/>
        </w:rPr>
      </w:pPr>
    </w:p>
    <w:p w14:paraId="5823E0E8" w14:textId="62B9EDDB" w:rsidR="002E6D3B"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82.</w:t>
      </w:r>
      <w:r>
        <w:rPr>
          <w:rFonts w:ascii="Arial" w:hAnsi="Arial" w:cs="Arial"/>
          <w:sz w:val="24"/>
          <w:szCs w:val="24"/>
        </w:rPr>
        <w:tab/>
      </w:r>
      <w:r w:rsidR="002E6D3B" w:rsidRPr="0091780F">
        <w:rPr>
          <w:rFonts w:ascii="Arial" w:hAnsi="Arial" w:cs="Arial"/>
          <w:sz w:val="24"/>
          <w:szCs w:val="24"/>
        </w:rPr>
        <w:t>In the circumstances, in my view, although successful applicant</w:t>
      </w:r>
      <w:r w:rsidR="00003A47" w:rsidRPr="0091780F">
        <w:rPr>
          <w:rFonts w:ascii="Arial" w:hAnsi="Arial" w:cs="Arial"/>
          <w:sz w:val="24"/>
          <w:szCs w:val="24"/>
        </w:rPr>
        <w:t>,</w:t>
      </w:r>
      <w:r w:rsidR="002E6D3B" w:rsidRPr="0091780F">
        <w:rPr>
          <w:rFonts w:ascii="Arial" w:hAnsi="Arial" w:cs="Arial"/>
          <w:sz w:val="24"/>
          <w:szCs w:val="24"/>
        </w:rPr>
        <w:t xml:space="preserve"> </w:t>
      </w:r>
      <w:r w:rsidR="00EA63DB" w:rsidRPr="0091780F">
        <w:rPr>
          <w:rFonts w:ascii="Arial" w:hAnsi="Arial" w:cs="Arial"/>
          <w:sz w:val="24"/>
          <w:szCs w:val="24"/>
        </w:rPr>
        <w:t>which seeks a substantial indulgence</w:t>
      </w:r>
      <w:r w:rsidR="00003A47" w:rsidRPr="0091780F">
        <w:rPr>
          <w:rFonts w:ascii="Arial" w:hAnsi="Arial" w:cs="Arial"/>
          <w:sz w:val="24"/>
          <w:szCs w:val="24"/>
        </w:rPr>
        <w:t>,</w:t>
      </w:r>
      <w:r w:rsidR="00EA63DB" w:rsidRPr="0091780F">
        <w:rPr>
          <w:rFonts w:ascii="Arial" w:hAnsi="Arial" w:cs="Arial"/>
          <w:sz w:val="24"/>
          <w:szCs w:val="24"/>
        </w:rPr>
        <w:t xml:space="preserve"> </w:t>
      </w:r>
      <w:r w:rsidR="002E6D3B" w:rsidRPr="0091780F">
        <w:rPr>
          <w:rFonts w:ascii="Arial" w:hAnsi="Arial" w:cs="Arial"/>
          <w:sz w:val="24"/>
          <w:szCs w:val="24"/>
        </w:rPr>
        <w:t>cannot have its costs and further must in the circumstances bear the costs of respondent in this application</w:t>
      </w:r>
      <w:r w:rsidR="00003A47" w:rsidRPr="0091780F">
        <w:rPr>
          <w:rFonts w:ascii="Arial" w:hAnsi="Arial" w:cs="Arial"/>
          <w:sz w:val="24"/>
          <w:szCs w:val="24"/>
        </w:rPr>
        <w:t>, including those wasted in the default judgment proceedings.</w:t>
      </w:r>
      <w:r w:rsidR="002E6D3B" w:rsidRPr="0091780F">
        <w:rPr>
          <w:rFonts w:ascii="Arial" w:hAnsi="Arial" w:cs="Arial"/>
          <w:sz w:val="24"/>
          <w:szCs w:val="24"/>
        </w:rPr>
        <w:t xml:space="preserve">  </w:t>
      </w:r>
    </w:p>
    <w:p w14:paraId="7377FF64" w14:textId="77777777" w:rsidR="0074416C" w:rsidRDefault="0074416C" w:rsidP="0074416C">
      <w:pPr>
        <w:pStyle w:val="ListParagraph"/>
        <w:ind w:left="0"/>
        <w:rPr>
          <w:rFonts w:ascii="Arial" w:hAnsi="Arial" w:cs="Arial"/>
          <w:b/>
          <w:sz w:val="24"/>
          <w:szCs w:val="24"/>
          <w:u w:val="single"/>
        </w:rPr>
      </w:pPr>
    </w:p>
    <w:p w14:paraId="5D8D9ABC" w14:textId="77777777" w:rsidR="00003A47" w:rsidRDefault="00003A47" w:rsidP="0074416C">
      <w:pPr>
        <w:pStyle w:val="ListParagraph"/>
        <w:ind w:left="0"/>
        <w:rPr>
          <w:rFonts w:ascii="Arial" w:hAnsi="Arial" w:cs="Arial"/>
          <w:b/>
          <w:sz w:val="24"/>
          <w:szCs w:val="24"/>
          <w:u w:val="single"/>
        </w:rPr>
      </w:pPr>
    </w:p>
    <w:p w14:paraId="1C75FE6F" w14:textId="77777777" w:rsidR="002E6D3B" w:rsidRDefault="002E6D3B" w:rsidP="0074416C">
      <w:pPr>
        <w:pStyle w:val="ListParagraph"/>
        <w:ind w:left="0"/>
        <w:rPr>
          <w:rFonts w:ascii="Arial" w:hAnsi="Arial" w:cs="Arial"/>
          <w:b/>
          <w:sz w:val="24"/>
          <w:szCs w:val="24"/>
          <w:u w:val="single"/>
        </w:rPr>
      </w:pPr>
      <w:r w:rsidRPr="0074416C">
        <w:rPr>
          <w:rFonts w:ascii="Arial" w:hAnsi="Arial" w:cs="Arial"/>
          <w:b/>
          <w:sz w:val="24"/>
          <w:szCs w:val="24"/>
          <w:u w:val="single"/>
        </w:rPr>
        <w:lastRenderedPageBreak/>
        <w:t xml:space="preserve">ORDER </w:t>
      </w:r>
    </w:p>
    <w:p w14:paraId="75AE9D85" w14:textId="77777777" w:rsidR="0074416C" w:rsidRDefault="0074416C" w:rsidP="0074416C">
      <w:pPr>
        <w:pStyle w:val="ListParagraph"/>
        <w:ind w:left="0"/>
        <w:rPr>
          <w:rFonts w:ascii="Arial" w:hAnsi="Arial" w:cs="Arial"/>
          <w:b/>
          <w:sz w:val="24"/>
          <w:szCs w:val="24"/>
          <w:u w:val="single"/>
        </w:rPr>
      </w:pPr>
    </w:p>
    <w:p w14:paraId="46DDF62B" w14:textId="77777777" w:rsidR="0074416C" w:rsidRPr="0074416C" w:rsidRDefault="0074416C" w:rsidP="0074416C">
      <w:pPr>
        <w:pStyle w:val="ListParagraph"/>
        <w:ind w:left="0"/>
        <w:rPr>
          <w:rFonts w:ascii="Arial" w:hAnsi="Arial" w:cs="Arial"/>
          <w:b/>
          <w:sz w:val="24"/>
          <w:szCs w:val="24"/>
          <w:u w:val="single"/>
        </w:rPr>
      </w:pPr>
    </w:p>
    <w:p w14:paraId="4C39BD64" w14:textId="5808E4FD" w:rsidR="00E420D1" w:rsidRPr="0091780F" w:rsidRDefault="0091780F" w:rsidP="0091780F">
      <w:pPr>
        <w:spacing w:after="0" w:line="480" w:lineRule="auto"/>
        <w:ind w:left="720" w:hanging="720"/>
        <w:jc w:val="both"/>
        <w:rPr>
          <w:rFonts w:ascii="Arial" w:hAnsi="Arial" w:cs="Arial"/>
          <w:sz w:val="24"/>
          <w:szCs w:val="24"/>
        </w:rPr>
      </w:pPr>
      <w:r>
        <w:rPr>
          <w:rFonts w:ascii="Arial" w:hAnsi="Arial" w:cs="Arial"/>
          <w:sz w:val="24"/>
          <w:szCs w:val="24"/>
        </w:rPr>
        <w:t>83.</w:t>
      </w:r>
      <w:r>
        <w:rPr>
          <w:rFonts w:ascii="Arial" w:hAnsi="Arial" w:cs="Arial"/>
          <w:sz w:val="24"/>
          <w:szCs w:val="24"/>
        </w:rPr>
        <w:tab/>
      </w:r>
      <w:r w:rsidR="00E420D1" w:rsidRPr="0091780F">
        <w:rPr>
          <w:rFonts w:ascii="Arial" w:hAnsi="Arial" w:cs="Arial"/>
          <w:sz w:val="24"/>
          <w:szCs w:val="24"/>
        </w:rPr>
        <w:t xml:space="preserve"> </w:t>
      </w:r>
      <w:r w:rsidR="002E6D3B" w:rsidRPr="0091780F">
        <w:rPr>
          <w:rFonts w:ascii="Arial" w:hAnsi="Arial" w:cs="Arial"/>
          <w:sz w:val="24"/>
          <w:szCs w:val="24"/>
        </w:rPr>
        <w:t>In the circumstances, the following order issues:</w:t>
      </w:r>
    </w:p>
    <w:p w14:paraId="5E238323" w14:textId="77777777" w:rsidR="0074416C" w:rsidRDefault="0074416C" w:rsidP="0074416C">
      <w:pPr>
        <w:pStyle w:val="ListParagraph"/>
        <w:spacing w:after="0" w:line="480" w:lineRule="auto"/>
        <w:jc w:val="both"/>
        <w:rPr>
          <w:rFonts w:ascii="Arial" w:hAnsi="Arial" w:cs="Arial"/>
          <w:sz w:val="24"/>
          <w:szCs w:val="24"/>
        </w:rPr>
      </w:pPr>
    </w:p>
    <w:p w14:paraId="136ABF71" w14:textId="614973F9" w:rsidR="002E6D3B" w:rsidRPr="0091780F" w:rsidRDefault="0091780F" w:rsidP="0091780F">
      <w:pPr>
        <w:spacing w:after="0" w:line="480" w:lineRule="auto"/>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2E6D3B" w:rsidRPr="0091780F">
        <w:rPr>
          <w:rFonts w:ascii="Arial" w:hAnsi="Arial" w:cs="Arial"/>
          <w:sz w:val="24"/>
          <w:szCs w:val="24"/>
        </w:rPr>
        <w:t>The judgment and court order granted by Lowe J on 22 November 2021 under case number 703/202</w:t>
      </w:r>
      <w:r w:rsidR="00EA63DB" w:rsidRPr="0091780F">
        <w:rPr>
          <w:rFonts w:ascii="Arial" w:hAnsi="Arial" w:cs="Arial"/>
          <w:sz w:val="24"/>
          <w:szCs w:val="24"/>
        </w:rPr>
        <w:t>0</w:t>
      </w:r>
      <w:r w:rsidR="002E6D3B" w:rsidRPr="0091780F">
        <w:rPr>
          <w:rFonts w:ascii="Arial" w:hAnsi="Arial" w:cs="Arial"/>
          <w:sz w:val="24"/>
          <w:szCs w:val="24"/>
        </w:rPr>
        <w:t xml:space="preserve"> is rescinded and set aside.</w:t>
      </w:r>
    </w:p>
    <w:p w14:paraId="013F10D8" w14:textId="29DE4822" w:rsidR="002E6D3B" w:rsidRPr="0091780F" w:rsidRDefault="0091780F" w:rsidP="0091780F">
      <w:pPr>
        <w:spacing w:after="0" w:line="480" w:lineRule="auto"/>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2E6D3B" w:rsidRPr="0091780F">
        <w:rPr>
          <w:rFonts w:ascii="Arial" w:hAnsi="Arial" w:cs="Arial"/>
          <w:sz w:val="24"/>
          <w:szCs w:val="24"/>
        </w:rPr>
        <w:t xml:space="preserve">The applicant </w:t>
      </w:r>
      <w:r w:rsidR="00EA63DB" w:rsidRPr="0091780F">
        <w:rPr>
          <w:rFonts w:ascii="Arial" w:hAnsi="Arial" w:cs="Arial"/>
          <w:sz w:val="24"/>
          <w:szCs w:val="24"/>
        </w:rPr>
        <w:t xml:space="preserve">is </w:t>
      </w:r>
      <w:r w:rsidR="002E6D3B" w:rsidRPr="0091780F">
        <w:rPr>
          <w:rFonts w:ascii="Arial" w:hAnsi="Arial" w:cs="Arial"/>
          <w:sz w:val="24"/>
          <w:szCs w:val="24"/>
        </w:rPr>
        <w:t xml:space="preserve">to </w:t>
      </w:r>
      <w:r w:rsidR="00EA63DB" w:rsidRPr="0091780F">
        <w:rPr>
          <w:rFonts w:ascii="Arial" w:hAnsi="Arial" w:cs="Arial"/>
          <w:sz w:val="24"/>
          <w:szCs w:val="24"/>
        </w:rPr>
        <w:t xml:space="preserve">pay </w:t>
      </w:r>
      <w:r w:rsidR="002E6D3B" w:rsidRPr="0091780F">
        <w:rPr>
          <w:rFonts w:ascii="Arial" w:hAnsi="Arial" w:cs="Arial"/>
          <w:sz w:val="24"/>
          <w:szCs w:val="24"/>
        </w:rPr>
        <w:t>the respondent’s costs in respect of the rescission application</w:t>
      </w:r>
      <w:r w:rsidR="00EA63DB" w:rsidRPr="0091780F">
        <w:rPr>
          <w:rFonts w:ascii="Arial" w:hAnsi="Arial" w:cs="Arial"/>
          <w:sz w:val="24"/>
          <w:szCs w:val="24"/>
        </w:rPr>
        <w:t xml:space="preserve"> and those wasted in respect of the default judgment proceedings</w:t>
      </w:r>
      <w:r w:rsidR="002E6D3B" w:rsidRPr="0091780F">
        <w:rPr>
          <w:rFonts w:ascii="Arial" w:hAnsi="Arial" w:cs="Arial"/>
          <w:sz w:val="24"/>
          <w:szCs w:val="24"/>
        </w:rPr>
        <w:t xml:space="preserve">.  </w:t>
      </w:r>
    </w:p>
    <w:p w14:paraId="6B75EA2F" w14:textId="14A3AACC" w:rsidR="002E6D3B" w:rsidRPr="0091780F" w:rsidRDefault="0091780F" w:rsidP="0091780F">
      <w:pPr>
        <w:spacing w:after="0" w:line="480" w:lineRule="auto"/>
        <w:ind w:left="108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2E6D3B" w:rsidRPr="0091780F">
        <w:rPr>
          <w:rFonts w:ascii="Arial" w:hAnsi="Arial" w:cs="Arial"/>
          <w:sz w:val="24"/>
          <w:szCs w:val="24"/>
        </w:rPr>
        <w:t xml:space="preserve">The matter is to be set down for trial in due course and is to be referred for case flow management and the allocation of a suitable trial date accordingly.  </w:t>
      </w:r>
    </w:p>
    <w:p w14:paraId="25A6045D" w14:textId="77777777" w:rsidR="0074416C" w:rsidRDefault="0074416C" w:rsidP="0074416C">
      <w:pPr>
        <w:pStyle w:val="ListParagraph"/>
        <w:spacing w:after="0" w:line="480" w:lineRule="auto"/>
        <w:ind w:left="0"/>
        <w:jc w:val="both"/>
        <w:rPr>
          <w:rFonts w:ascii="Arial" w:hAnsi="Arial" w:cs="Arial"/>
          <w:sz w:val="24"/>
          <w:szCs w:val="24"/>
        </w:rPr>
      </w:pPr>
    </w:p>
    <w:p w14:paraId="6D022964" w14:textId="77777777" w:rsidR="00EA63DB" w:rsidRDefault="00EA63DB" w:rsidP="0074416C">
      <w:pPr>
        <w:pStyle w:val="ListParagraph"/>
        <w:spacing w:after="0" w:line="480" w:lineRule="auto"/>
        <w:ind w:left="0"/>
        <w:jc w:val="both"/>
        <w:rPr>
          <w:rFonts w:ascii="Arial" w:hAnsi="Arial" w:cs="Arial"/>
          <w:sz w:val="24"/>
          <w:szCs w:val="24"/>
        </w:rPr>
      </w:pPr>
    </w:p>
    <w:p w14:paraId="06FAD7B8" w14:textId="77777777" w:rsidR="0074416C" w:rsidRDefault="0074416C" w:rsidP="0074416C">
      <w:pPr>
        <w:pStyle w:val="ListParagraph"/>
        <w:spacing w:after="0" w:line="480" w:lineRule="auto"/>
        <w:ind w:left="0"/>
        <w:jc w:val="both"/>
        <w:rPr>
          <w:rFonts w:ascii="Arial" w:hAnsi="Arial" w:cs="Arial"/>
          <w:sz w:val="24"/>
          <w:szCs w:val="24"/>
        </w:rPr>
      </w:pPr>
    </w:p>
    <w:p w14:paraId="60326105" w14:textId="77777777" w:rsidR="0074416C" w:rsidRDefault="0074416C" w:rsidP="0074416C">
      <w:pPr>
        <w:pStyle w:val="ListParagraph"/>
        <w:spacing w:after="0" w:line="240" w:lineRule="auto"/>
        <w:ind w:left="0"/>
        <w:jc w:val="both"/>
        <w:rPr>
          <w:rFonts w:ascii="Arial" w:hAnsi="Arial" w:cs="Arial"/>
          <w:sz w:val="24"/>
          <w:szCs w:val="24"/>
        </w:rPr>
      </w:pPr>
      <w:r>
        <w:rPr>
          <w:rFonts w:ascii="Arial" w:hAnsi="Arial" w:cs="Arial"/>
          <w:sz w:val="24"/>
          <w:szCs w:val="24"/>
        </w:rPr>
        <w:t xml:space="preserve">____________ </w:t>
      </w:r>
    </w:p>
    <w:p w14:paraId="07C0D8FB" w14:textId="77777777" w:rsidR="0074416C" w:rsidRDefault="0074416C" w:rsidP="0074416C">
      <w:pPr>
        <w:pStyle w:val="ListParagraph"/>
        <w:spacing w:after="0" w:line="240" w:lineRule="auto"/>
        <w:ind w:left="0"/>
        <w:jc w:val="both"/>
        <w:rPr>
          <w:rFonts w:ascii="Arial" w:hAnsi="Arial" w:cs="Arial"/>
          <w:b/>
          <w:sz w:val="24"/>
          <w:szCs w:val="24"/>
        </w:rPr>
      </w:pPr>
      <w:r>
        <w:rPr>
          <w:rFonts w:ascii="Arial" w:hAnsi="Arial" w:cs="Arial"/>
          <w:b/>
          <w:sz w:val="24"/>
          <w:szCs w:val="24"/>
        </w:rPr>
        <w:t>M.J. LOWE</w:t>
      </w:r>
    </w:p>
    <w:p w14:paraId="0C50D8B3" w14:textId="77777777" w:rsidR="0074416C" w:rsidRDefault="0074416C" w:rsidP="0074416C">
      <w:pPr>
        <w:pStyle w:val="ListParagraph"/>
        <w:spacing w:after="0" w:line="240" w:lineRule="auto"/>
        <w:ind w:left="0"/>
        <w:jc w:val="both"/>
        <w:rPr>
          <w:rFonts w:ascii="Arial" w:hAnsi="Arial" w:cs="Arial"/>
          <w:b/>
          <w:sz w:val="24"/>
          <w:szCs w:val="24"/>
        </w:rPr>
      </w:pPr>
      <w:r>
        <w:rPr>
          <w:rFonts w:ascii="Arial" w:hAnsi="Arial" w:cs="Arial"/>
          <w:b/>
          <w:sz w:val="24"/>
          <w:szCs w:val="24"/>
        </w:rPr>
        <w:t>JUDGE OF THE HIGH COURT</w:t>
      </w:r>
    </w:p>
    <w:p w14:paraId="1495F165" w14:textId="77777777" w:rsidR="0074416C" w:rsidRDefault="0074416C" w:rsidP="0074416C">
      <w:pPr>
        <w:pStyle w:val="ListParagraph"/>
        <w:spacing w:after="0" w:line="240" w:lineRule="auto"/>
        <w:ind w:left="0"/>
        <w:jc w:val="both"/>
        <w:rPr>
          <w:rFonts w:ascii="Arial" w:hAnsi="Arial" w:cs="Arial"/>
          <w:b/>
          <w:sz w:val="24"/>
          <w:szCs w:val="24"/>
        </w:rPr>
      </w:pPr>
    </w:p>
    <w:p w14:paraId="575A632B" w14:textId="77777777" w:rsidR="0074416C" w:rsidRDefault="0074416C" w:rsidP="0074416C">
      <w:pPr>
        <w:pStyle w:val="ListParagraph"/>
        <w:spacing w:after="0" w:line="240" w:lineRule="auto"/>
        <w:ind w:left="0"/>
        <w:jc w:val="both"/>
        <w:rPr>
          <w:rFonts w:ascii="Arial" w:hAnsi="Arial" w:cs="Arial"/>
          <w:b/>
          <w:sz w:val="24"/>
          <w:szCs w:val="24"/>
        </w:rPr>
      </w:pPr>
    </w:p>
    <w:p w14:paraId="419B3A4B" w14:textId="77777777" w:rsidR="0074416C" w:rsidRDefault="0074416C" w:rsidP="0074416C">
      <w:pPr>
        <w:pStyle w:val="ListParagraph"/>
        <w:spacing w:after="0" w:line="240" w:lineRule="auto"/>
        <w:ind w:left="0"/>
        <w:jc w:val="both"/>
        <w:rPr>
          <w:rFonts w:ascii="Arial" w:hAnsi="Arial" w:cs="Arial"/>
          <w:b/>
          <w:sz w:val="24"/>
          <w:szCs w:val="24"/>
        </w:rPr>
      </w:pPr>
    </w:p>
    <w:p w14:paraId="7B1828A2" w14:textId="77777777" w:rsidR="0074416C" w:rsidRDefault="0074416C" w:rsidP="0074416C">
      <w:pPr>
        <w:pStyle w:val="ListParagraph"/>
        <w:spacing w:after="0" w:line="240" w:lineRule="auto"/>
        <w:ind w:left="5040" w:hanging="5040"/>
        <w:jc w:val="both"/>
        <w:rPr>
          <w:rFonts w:ascii="Arial" w:hAnsi="Arial" w:cs="Arial"/>
          <w:sz w:val="24"/>
          <w:szCs w:val="24"/>
        </w:rPr>
      </w:pPr>
      <w:r>
        <w:rPr>
          <w:rFonts w:ascii="Arial" w:hAnsi="Arial" w:cs="Arial"/>
          <w:sz w:val="24"/>
          <w:szCs w:val="24"/>
        </w:rPr>
        <w:t>Appearing on behalf of the Applicant:</w:t>
      </w:r>
      <w:r>
        <w:rPr>
          <w:rFonts w:ascii="Arial" w:hAnsi="Arial" w:cs="Arial"/>
          <w:sz w:val="24"/>
          <w:szCs w:val="24"/>
        </w:rPr>
        <w:tab/>
        <w:t>Adv. Steenkamp, instructed by</w:t>
      </w:r>
      <w:r w:rsidR="006C7D4F">
        <w:rPr>
          <w:rFonts w:ascii="Arial" w:hAnsi="Arial" w:cs="Arial"/>
          <w:sz w:val="24"/>
          <w:szCs w:val="24"/>
        </w:rPr>
        <w:t xml:space="preserve"> Netteltons Attorneys, Ms. Pienaar.</w:t>
      </w:r>
    </w:p>
    <w:p w14:paraId="68DBC370" w14:textId="77777777" w:rsidR="0074416C" w:rsidRDefault="0074416C" w:rsidP="0074416C">
      <w:pPr>
        <w:pStyle w:val="ListParagraph"/>
        <w:spacing w:after="0" w:line="240" w:lineRule="auto"/>
        <w:ind w:left="4320" w:hanging="4320"/>
        <w:jc w:val="both"/>
        <w:rPr>
          <w:rFonts w:ascii="Arial" w:hAnsi="Arial" w:cs="Arial"/>
          <w:sz w:val="24"/>
          <w:szCs w:val="24"/>
        </w:rPr>
      </w:pPr>
    </w:p>
    <w:p w14:paraId="51E591CD" w14:textId="77777777" w:rsidR="0074416C" w:rsidRDefault="0074416C" w:rsidP="0074416C">
      <w:pPr>
        <w:pStyle w:val="ListParagraph"/>
        <w:spacing w:after="0" w:line="240" w:lineRule="auto"/>
        <w:ind w:left="5040" w:hanging="5040"/>
        <w:jc w:val="both"/>
        <w:rPr>
          <w:rFonts w:ascii="Arial" w:hAnsi="Arial" w:cs="Arial"/>
          <w:sz w:val="24"/>
          <w:szCs w:val="24"/>
        </w:rPr>
      </w:pPr>
      <w:r>
        <w:rPr>
          <w:rFonts w:ascii="Arial" w:hAnsi="Arial" w:cs="Arial"/>
          <w:sz w:val="24"/>
          <w:szCs w:val="24"/>
        </w:rPr>
        <w:t>Appearing on behalf of the Respondent:</w:t>
      </w:r>
      <w:r>
        <w:rPr>
          <w:rFonts w:ascii="Arial" w:hAnsi="Arial" w:cs="Arial"/>
          <w:sz w:val="24"/>
          <w:szCs w:val="24"/>
        </w:rPr>
        <w:tab/>
        <w:t>Adv. S. Cole SC, instructed by McCallum Attorneys, Mr. McCallum</w:t>
      </w:r>
      <w:r w:rsidR="006C7D4F">
        <w:rPr>
          <w:rFonts w:ascii="Arial" w:hAnsi="Arial" w:cs="Arial"/>
          <w:sz w:val="24"/>
          <w:szCs w:val="24"/>
        </w:rPr>
        <w:t>.</w:t>
      </w:r>
    </w:p>
    <w:p w14:paraId="6F1757D0" w14:textId="77777777" w:rsidR="0074416C" w:rsidRDefault="0074416C" w:rsidP="0074416C">
      <w:pPr>
        <w:pStyle w:val="ListParagraph"/>
        <w:spacing w:after="0" w:line="240" w:lineRule="auto"/>
        <w:ind w:left="4320" w:hanging="4320"/>
        <w:jc w:val="both"/>
        <w:rPr>
          <w:rFonts w:ascii="Arial" w:hAnsi="Arial" w:cs="Arial"/>
          <w:sz w:val="24"/>
          <w:szCs w:val="24"/>
        </w:rPr>
      </w:pPr>
    </w:p>
    <w:p w14:paraId="6D90A771" w14:textId="77777777" w:rsidR="0074416C" w:rsidRDefault="0074416C" w:rsidP="0074416C">
      <w:pPr>
        <w:pStyle w:val="ListParagraph"/>
        <w:spacing w:after="0" w:line="240" w:lineRule="auto"/>
        <w:ind w:left="5040" w:hanging="5040"/>
        <w:jc w:val="both"/>
        <w:rPr>
          <w:rFonts w:ascii="Arial" w:hAnsi="Arial" w:cs="Arial"/>
          <w:sz w:val="24"/>
          <w:szCs w:val="24"/>
        </w:rPr>
      </w:pPr>
      <w:r>
        <w:rPr>
          <w:rFonts w:ascii="Arial" w:hAnsi="Arial" w:cs="Arial"/>
          <w:sz w:val="24"/>
          <w:szCs w:val="24"/>
        </w:rPr>
        <w:t>Date heard:</w:t>
      </w:r>
      <w:r>
        <w:rPr>
          <w:rFonts w:ascii="Arial" w:hAnsi="Arial" w:cs="Arial"/>
          <w:sz w:val="24"/>
          <w:szCs w:val="24"/>
        </w:rPr>
        <w:tab/>
      </w:r>
      <w:r w:rsidR="00EA63DB">
        <w:rPr>
          <w:rFonts w:ascii="Arial" w:hAnsi="Arial" w:cs="Arial"/>
          <w:sz w:val="24"/>
          <w:szCs w:val="24"/>
        </w:rPr>
        <w:t>18 October 2022.</w:t>
      </w:r>
    </w:p>
    <w:p w14:paraId="61749502" w14:textId="77777777" w:rsidR="0074416C" w:rsidRDefault="0074416C" w:rsidP="0074416C">
      <w:pPr>
        <w:pStyle w:val="ListParagraph"/>
        <w:spacing w:after="0" w:line="240" w:lineRule="auto"/>
        <w:ind w:left="5040" w:hanging="5040"/>
        <w:jc w:val="both"/>
        <w:rPr>
          <w:rFonts w:ascii="Arial" w:hAnsi="Arial" w:cs="Arial"/>
          <w:sz w:val="24"/>
          <w:szCs w:val="24"/>
        </w:rPr>
      </w:pPr>
    </w:p>
    <w:p w14:paraId="50854A6A" w14:textId="77777777" w:rsidR="0074416C" w:rsidRPr="0074416C" w:rsidRDefault="0074416C" w:rsidP="0074416C">
      <w:pPr>
        <w:pStyle w:val="ListParagraph"/>
        <w:spacing w:after="0" w:line="240" w:lineRule="auto"/>
        <w:ind w:left="5040" w:hanging="5040"/>
        <w:jc w:val="both"/>
        <w:rPr>
          <w:rFonts w:ascii="Arial" w:hAnsi="Arial" w:cs="Arial"/>
          <w:sz w:val="24"/>
          <w:szCs w:val="24"/>
        </w:rPr>
      </w:pPr>
      <w:r>
        <w:rPr>
          <w:rFonts w:ascii="Arial" w:hAnsi="Arial" w:cs="Arial"/>
          <w:sz w:val="24"/>
          <w:szCs w:val="24"/>
        </w:rPr>
        <w:t>Date delivered:</w:t>
      </w:r>
      <w:r>
        <w:rPr>
          <w:rFonts w:ascii="Arial" w:hAnsi="Arial" w:cs="Arial"/>
          <w:sz w:val="24"/>
          <w:szCs w:val="24"/>
        </w:rPr>
        <w:tab/>
      </w:r>
      <w:r w:rsidR="0003204F">
        <w:rPr>
          <w:rFonts w:ascii="Arial" w:hAnsi="Arial" w:cs="Arial"/>
          <w:sz w:val="24"/>
          <w:szCs w:val="24"/>
        </w:rPr>
        <w:t>8 November 2022.</w:t>
      </w:r>
    </w:p>
    <w:sectPr w:rsidR="0074416C" w:rsidRPr="0074416C" w:rsidSect="00FA66ED">
      <w:headerReference w:type="default" r:id="rId8"/>
      <w:headerReference w:type="first" r:id="rId9"/>
      <w:pgSz w:w="11906" w:h="16838"/>
      <w:pgMar w:top="1440" w:right="1440" w:bottom="99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57FA" w14:textId="77777777" w:rsidR="004E7A7A" w:rsidRDefault="004E7A7A" w:rsidP="00B356DF">
      <w:pPr>
        <w:spacing w:after="0" w:line="240" w:lineRule="auto"/>
      </w:pPr>
      <w:r>
        <w:separator/>
      </w:r>
    </w:p>
  </w:endnote>
  <w:endnote w:type="continuationSeparator" w:id="0">
    <w:p w14:paraId="76528C3A" w14:textId="77777777" w:rsidR="004E7A7A" w:rsidRDefault="004E7A7A" w:rsidP="00B3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D48B" w14:textId="77777777" w:rsidR="004E7A7A" w:rsidRDefault="004E7A7A" w:rsidP="00B356DF">
      <w:pPr>
        <w:spacing w:after="0" w:line="240" w:lineRule="auto"/>
      </w:pPr>
      <w:r>
        <w:separator/>
      </w:r>
    </w:p>
  </w:footnote>
  <w:footnote w:type="continuationSeparator" w:id="0">
    <w:p w14:paraId="4E854628" w14:textId="77777777" w:rsidR="004E7A7A" w:rsidRDefault="004E7A7A" w:rsidP="00B356DF">
      <w:pPr>
        <w:spacing w:after="0" w:line="240" w:lineRule="auto"/>
      </w:pPr>
      <w:r>
        <w:continuationSeparator/>
      </w:r>
    </w:p>
  </w:footnote>
  <w:footnote w:id="1">
    <w:p w14:paraId="7831DE38" w14:textId="77777777" w:rsidR="002E6D3B" w:rsidRPr="00D305F1" w:rsidRDefault="002E6D3B">
      <w:pPr>
        <w:pStyle w:val="FootnoteText"/>
        <w:rPr>
          <w:lang w:val="en-US"/>
        </w:rPr>
      </w:pPr>
      <w:r>
        <w:rPr>
          <w:rStyle w:val="FootnoteReference"/>
        </w:rPr>
        <w:footnoteRef/>
      </w:r>
      <w:r>
        <w:t xml:space="preserve"> </w:t>
      </w:r>
      <w:r w:rsidRPr="00D305F1">
        <w:rPr>
          <w:b/>
          <w:lang w:val="en-US"/>
        </w:rPr>
        <w:t>Harris v Absa Bank Ltd t/a Volkskas</w:t>
      </w:r>
      <w:r>
        <w:rPr>
          <w:lang w:val="en-US"/>
        </w:rPr>
        <w:t xml:space="preserve"> 2006 (4) SA 527 (T); </w:t>
      </w:r>
      <w:r w:rsidRPr="00D305F1">
        <w:rPr>
          <w:b/>
          <w:lang w:val="en-US"/>
        </w:rPr>
        <w:t>Chetty v Law Society, Transvaal</w:t>
      </w:r>
      <w:r>
        <w:rPr>
          <w:lang w:val="en-US"/>
        </w:rPr>
        <w:t xml:space="preserve"> 1985 (2) SA 756 (A) at 764J and 765A – D; </w:t>
      </w:r>
      <w:r w:rsidRPr="00D305F1">
        <w:rPr>
          <w:b/>
          <w:lang w:val="en-US"/>
        </w:rPr>
        <w:t>Zuma v Secretary of the Judicial Commissioner of Enquiry</w:t>
      </w:r>
      <w:r>
        <w:rPr>
          <w:lang w:val="en-US"/>
        </w:rPr>
        <w:t xml:space="preserve"> [2021] JOL51107 (CC).</w:t>
      </w:r>
    </w:p>
  </w:footnote>
  <w:footnote w:id="2">
    <w:p w14:paraId="2C27127D" w14:textId="77777777" w:rsidR="002E6D3B" w:rsidRPr="00D305F1" w:rsidRDefault="002E6D3B">
      <w:pPr>
        <w:pStyle w:val="FootnoteText"/>
        <w:rPr>
          <w:lang w:val="en-US"/>
        </w:rPr>
      </w:pPr>
      <w:r>
        <w:rPr>
          <w:rStyle w:val="FootnoteReference"/>
        </w:rPr>
        <w:footnoteRef/>
      </w:r>
      <w:r>
        <w:t xml:space="preserve"> </w:t>
      </w:r>
      <w:r w:rsidRPr="00D305F1">
        <w:rPr>
          <w:b/>
          <w:lang w:val="en-US"/>
        </w:rPr>
        <w:t>Chetty</w:t>
      </w:r>
      <w:r>
        <w:rPr>
          <w:lang w:val="en-US"/>
        </w:rPr>
        <w:t xml:space="preserve"> (</w:t>
      </w:r>
      <w:r w:rsidRPr="00D305F1">
        <w:rPr>
          <w:i/>
          <w:lang w:val="en-US"/>
        </w:rPr>
        <w:t>supra</w:t>
      </w:r>
      <w:r>
        <w:rPr>
          <w:lang w:val="en-US"/>
        </w:rPr>
        <w:t>) 765D – E</w:t>
      </w:r>
      <w:r w:rsidR="00FA66ED">
        <w:rPr>
          <w:lang w:val="en-US"/>
        </w:rPr>
        <w:t>.</w:t>
      </w:r>
    </w:p>
  </w:footnote>
  <w:footnote w:id="3">
    <w:p w14:paraId="71FD20E5" w14:textId="77777777" w:rsidR="002E6D3B" w:rsidRPr="005C5A6D" w:rsidRDefault="002E6D3B">
      <w:pPr>
        <w:pStyle w:val="FootnoteText"/>
        <w:rPr>
          <w:lang w:val="en-US"/>
        </w:rPr>
      </w:pPr>
      <w:r>
        <w:rPr>
          <w:rStyle w:val="FootnoteReference"/>
        </w:rPr>
        <w:footnoteRef/>
      </w:r>
      <w:r>
        <w:t xml:space="preserve"> </w:t>
      </w:r>
      <w:r w:rsidRPr="00FA66ED">
        <w:rPr>
          <w:b/>
        </w:rPr>
        <w:t>Silber v Ozen Wholesalers (Pty) Ltd</w:t>
      </w:r>
      <w:r>
        <w:t xml:space="preserve"> 1954 (2) SA 345 (A) at 352H – 353A.</w:t>
      </w:r>
    </w:p>
  </w:footnote>
  <w:footnote w:id="4">
    <w:p w14:paraId="16E3E914" w14:textId="77777777" w:rsidR="008A2341" w:rsidRPr="008A2341" w:rsidRDefault="008A2341">
      <w:pPr>
        <w:pStyle w:val="FootnoteText"/>
        <w:rPr>
          <w:lang w:val="en-US"/>
        </w:rPr>
      </w:pPr>
      <w:r>
        <w:rPr>
          <w:rStyle w:val="FootnoteReference"/>
        </w:rPr>
        <w:footnoteRef/>
      </w:r>
      <w:r>
        <w:t xml:space="preserve"> </w:t>
      </w:r>
      <w:r w:rsidRPr="008A2341">
        <w:rPr>
          <w:b/>
          <w:lang w:val="en-US"/>
        </w:rPr>
        <w:t>Harris</w:t>
      </w:r>
      <w:r>
        <w:rPr>
          <w:lang w:val="en-US"/>
        </w:rPr>
        <w:t xml:space="preserve"> [6]</w:t>
      </w:r>
    </w:p>
  </w:footnote>
  <w:footnote w:id="5">
    <w:p w14:paraId="40716FB8" w14:textId="77777777" w:rsidR="002E6D3B" w:rsidRPr="000E0518" w:rsidRDefault="002E6D3B">
      <w:pPr>
        <w:pStyle w:val="FootnoteText"/>
        <w:rPr>
          <w:lang w:val="en-US"/>
        </w:rPr>
      </w:pPr>
      <w:r>
        <w:rPr>
          <w:rStyle w:val="FootnoteReference"/>
        </w:rPr>
        <w:footnoteRef/>
      </w:r>
      <w:r>
        <w:t xml:space="preserve"> </w:t>
      </w:r>
      <w:r>
        <w:rPr>
          <w:lang w:val="en-US"/>
        </w:rPr>
        <w:t>1960 (2) SA 170 (SR)</w:t>
      </w:r>
      <w:r w:rsidR="003E22F5">
        <w:rPr>
          <w:lang w:val="en-US"/>
        </w:rPr>
        <w:t>.  This aspect of full knowledge of the risks attendant on default is of crucial importance in this matter having regard to applicant’s affidavit in which in summary this very issue is raied.</w:t>
      </w:r>
    </w:p>
  </w:footnote>
  <w:footnote w:id="6">
    <w:p w14:paraId="5AD7BC4F" w14:textId="77777777" w:rsidR="002E6D3B" w:rsidRPr="000E0518" w:rsidRDefault="002E6D3B">
      <w:pPr>
        <w:pStyle w:val="FootnoteText"/>
        <w:rPr>
          <w:lang w:val="en-US"/>
        </w:rPr>
      </w:pPr>
      <w:r>
        <w:rPr>
          <w:rStyle w:val="FootnoteReference"/>
        </w:rPr>
        <w:footnoteRef/>
      </w:r>
      <w:r>
        <w:t xml:space="preserve"> </w:t>
      </w:r>
      <w:r>
        <w:rPr>
          <w:lang w:val="en-US"/>
        </w:rPr>
        <w:t>1994 (3) SA 801 (C).</w:t>
      </w:r>
    </w:p>
  </w:footnote>
  <w:footnote w:id="7">
    <w:p w14:paraId="21601411" w14:textId="77777777" w:rsidR="002E6D3B" w:rsidRPr="000E0518" w:rsidRDefault="002E6D3B">
      <w:pPr>
        <w:pStyle w:val="FootnoteText"/>
        <w:rPr>
          <w:lang w:val="en-US"/>
        </w:rPr>
      </w:pPr>
      <w:r>
        <w:rPr>
          <w:rStyle w:val="FootnoteReference"/>
        </w:rPr>
        <w:footnoteRef/>
      </w:r>
      <w:r>
        <w:t xml:space="preserve"> </w:t>
      </w:r>
      <w:r>
        <w:rPr>
          <w:lang w:val="en-US"/>
        </w:rPr>
        <w:t xml:space="preserve">See also </w:t>
      </w:r>
      <w:r w:rsidRPr="00FA66ED">
        <w:rPr>
          <w:b/>
          <w:lang w:val="en-US"/>
        </w:rPr>
        <w:t>Harris</w:t>
      </w:r>
      <w:r>
        <w:rPr>
          <w:lang w:val="en-US"/>
        </w:rPr>
        <w:t xml:space="preserve"> (</w:t>
      </w:r>
      <w:r w:rsidRPr="00FA66ED">
        <w:rPr>
          <w:i/>
          <w:lang w:val="en-US"/>
        </w:rPr>
        <w:t>supra</w:t>
      </w:r>
      <w:r>
        <w:rPr>
          <w:lang w:val="en-US"/>
        </w:rPr>
        <w:t>) paragraphs [5] – [10].</w:t>
      </w:r>
    </w:p>
  </w:footnote>
  <w:footnote w:id="8">
    <w:p w14:paraId="7DEEA331" w14:textId="77777777" w:rsidR="002E6D3B" w:rsidRPr="00D66C3C" w:rsidRDefault="002E6D3B">
      <w:pPr>
        <w:pStyle w:val="FootnoteText"/>
        <w:rPr>
          <w:lang w:val="en-US"/>
        </w:rPr>
      </w:pPr>
      <w:r>
        <w:rPr>
          <w:rStyle w:val="FootnoteReference"/>
        </w:rPr>
        <w:footnoteRef/>
      </w:r>
      <w:r>
        <w:t xml:space="preserve"> </w:t>
      </w:r>
      <w:r>
        <w:rPr>
          <w:lang w:val="en-US"/>
        </w:rPr>
        <w:t>1994 (4) SA 705 (E) at 708G.</w:t>
      </w:r>
    </w:p>
  </w:footnote>
  <w:footnote w:id="9">
    <w:p w14:paraId="46F798E5" w14:textId="77777777" w:rsidR="008A2341" w:rsidRPr="008A2341" w:rsidRDefault="008A2341">
      <w:pPr>
        <w:pStyle w:val="FootnoteText"/>
        <w:rPr>
          <w:b/>
          <w:lang w:val="en-US"/>
        </w:rPr>
      </w:pPr>
      <w:r>
        <w:rPr>
          <w:rStyle w:val="FootnoteReference"/>
        </w:rPr>
        <w:footnoteRef/>
      </w:r>
      <w:r>
        <w:t xml:space="preserve"> </w:t>
      </w:r>
      <w:r>
        <w:rPr>
          <w:b/>
          <w:lang w:val="en-US"/>
        </w:rPr>
        <w:t>Harris para [9]</w:t>
      </w:r>
    </w:p>
  </w:footnote>
  <w:footnote w:id="10">
    <w:p w14:paraId="23B15A0B" w14:textId="77777777" w:rsidR="002E6D3B" w:rsidRPr="00D66C3C" w:rsidRDefault="002E6D3B">
      <w:pPr>
        <w:pStyle w:val="FootnoteText"/>
        <w:rPr>
          <w:lang w:val="en-US"/>
        </w:rPr>
      </w:pPr>
      <w:r>
        <w:rPr>
          <w:rStyle w:val="FootnoteReference"/>
        </w:rPr>
        <w:footnoteRef/>
      </w:r>
      <w:r>
        <w:t xml:space="preserve"> </w:t>
      </w:r>
      <w:r>
        <w:rPr>
          <w:lang w:val="en-US"/>
        </w:rPr>
        <w:t>Paragraph [10].</w:t>
      </w:r>
    </w:p>
  </w:footnote>
  <w:footnote w:id="11">
    <w:p w14:paraId="65D80B18" w14:textId="77777777" w:rsidR="002E6D3B" w:rsidRPr="001912D3" w:rsidRDefault="002E6D3B">
      <w:pPr>
        <w:pStyle w:val="FootnoteText"/>
        <w:rPr>
          <w:lang w:val="en-US"/>
        </w:rPr>
      </w:pPr>
      <w:r>
        <w:rPr>
          <w:rStyle w:val="FootnoteReference"/>
        </w:rPr>
        <w:footnoteRef/>
      </w:r>
      <w:r>
        <w:t xml:space="preserve"> </w:t>
      </w:r>
      <w:r>
        <w:rPr>
          <w:lang w:val="en-US"/>
        </w:rPr>
        <w:t>At 711 F – I.</w:t>
      </w:r>
    </w:p>
  </w:footnote>
  <w:footnote w:id="12">
    <w:p w14:paraId="2C2E9347" w14:textId="77777777" w:rsidR="002E6D3B" w:rsidRPr="001912D3" w:rsidRDefault="002E6D3B">
      <w:pPr>
        <w:pStyle w:val="FootnoteText"/>
        <w:rPr>
          <w:lang w:val="en-US"/>
        </w:rPr>
      </w:pPr>
      <w:r>
        <w:rPr>
          <w:rStyle w:val="FootnoteReference"/>
        </w:rPr>
        <w:footnoteRef/>
      </w:r>
      <w:r>
        <w:t xml:space="preserve"> </w:t>
      </w:r>
      <w:r>
        <w:rPr>
          <w:lang w:val="en-US"/>
        </w:rPr>
        <w:t>Zuma supra paragraph [71] to [85].</w:t>
      </w:r>
      <w:r w:rsidR="003E22F5">
        <w:rPr>
          <w:lang w:val="en-US"/>
        </w:rPr>
        <w:t xml:space="preserve">  See footnote 1 above.</w:t>
      </w:r>
    </w:p>
  </w:footnote>
  <w:footnote w:id="13">
    <w:p w14:paraId="11D4D26D" w14:textId="77777777" w:rsidR="002E6D3B" w:rsidRPr="001912D3" w:rsidRDefault="002E6D3B">
      <w:pPr>
        <w:pStyle w:val="FootnoteText"/>
        <w:rPr>
          <w:lang w:val="en-US"/>
        </w:rPr>
      </w:pPr>
      <w:r>
        <w:rPr>
          <w:rStyle w:val="FootnoteReference"/>
        </w:rPr>
        <w:footnoteRef/>
      </w:r>
      <w:r>
        <w:t xml:space="preserve"> </w:t>
      </w:r>
      <w:r>
        <w:rPr>
          <w:lang w:val="en-US"/>
        </w:rPr>
        <w:t>2013 (5) SA 325 (CC).</w:t>
      </w:r>
    </w:p>
  </w:footnote>
  <w:footnote w:id="14">
    <w:p w14:paraId="2C996BF3" w14:textId="77777777" w:rsidR="003E22F5" w:rsidRPr="003E22F5" w:rsidRDefault="003E22F5">
      <w:pPr>
        <w:pStyle w:val="FootnoteText"/>
        <w:rPr>
          <w:lang w:val="en-US"/>
        </w:rPr>
      </w:pPr>
      <w:r>
        <w:rPr>
          <w:rStyle w:val="FootnoteReference"/>
        </w:rPr>
        <w:footnoteRef/>
      </w:r>
      <w:r>
        <w:t xml:space="preserve"> See footnote 1 above.</w:t>
      </w:r>
    </w:p>
  </w:footnote>
  <w:footnote w:id="15">
    <w:p w14:paraId="14CF26A4" w14:textId="77777777" w:rsidR="002E6D3B" w:rsidRPr="00E40B2A" w:rsidRDefault="002E6D3B">
      <w:pPr>
        <w:pStyle w:val="FootnoteText"/>
        <w:rPr>
          <w:lang w:val="en-US"/>
        </w:rPr>
      </w:pPr>
      <w:r>
        <w:rPr>
          <w:rStyle w:val="FootnoteReference"/>
        </w:rPr>
        <w:footnoteRef/>
      </w:r>
      <w:r>
        <w:t xml:space="preserve"> </w:t>
      </w:r>
      <w:r>
        <w:rPr>
          <w:lang w:val="en-US"/>
        </w:rPr>
        <w:t>Paragraph [53] read with footnote 20.</w:t>
      </w:r>
    </w:p>
  </w:footnote>
  <w:footnote w:id="16">
    <w:p w14:paraId="6A0A217D" w14:textId="77777777" w:rsidR="002E6D3B" w:rsidRPr="00DF08F3" w:rsidRDefault="002E6D3B">
      <w:pPr>
        <w:pStyle w:val="FootnoteText"/>
        <w:rPr>
          <w:lang w:val="en-US"/>
        </w:rPr>
      </w:pPr>
      <w:r>
        <w:rPr>
          <w:rStyle w:val="FootnoteReference"/>
        </w:rPr>
        <w:footnoteRef/>
      </w:r>
      <w:r>
        <w:t xml:space="preserve"> </w:t>
      </w:r>
      <w:r>
        <w:rPr>
          <w:lang w:val="en-US"/>
        </w:rPr>
        <w:t>Page 765 A – D.</w:t>
      </w:r>
    </w:p>
  </w:footnote>
  <w:footnote w:id="17">
    <w:p w14:paraId="21B3B64B" w14:textId="77777777" w:rsidR="00235760" w:rsidRPr="00235760" w:rsidRDefault="00235760">
      <w:pPr>
        <w:pStyle w:val="FootnoteText"/>
        <w:rPr>
          <w:lang w:val="en-US"/>
        </w:rPr>
      </w:pPr>
      <w:r>
        <w:rPr>
          <w:rStyle w:val="FootnoteReference"/>
        </w:rPr>
        <w:footnoteRef/>
      </w:r>
      <w:r>
        <w:t xml:space="preserve"> </w:t>
      </w:r>
      <w:r>
        <w:rPr>
          <w:lang w:val="en-US"/>
        </w:rPr>
        <w:t>The entire letter is one contesting respondent’s trial case and defending applicant’s position and persisting in its defences.</w:t>
      </w:r>
    </w:p>
  </w:footnote>
  <w:footnote w:id="18">
    <w:p w14:paraId="066514B8" w14:textId="77777777" w:rsidR="00235760" w:rsidRPr="00235760" w:rsidRDefault="00235760">
      <w:pPr>
        <w:pStyle w:val="FootnoteText"/>
        <w:rPr>
          <w:lang w:val="en-US"/>
        </w:rPr>
      </w:pPr>
      <w:r>
        <w:rPr>
          <w:rStyle w:val="FootnoteReference"/>
        </w:rPr>
        <w:footnoteRef/>
      </w:r>
      <w:r>
        <w:t xml:space="preserve"> </w:t>
      </w:r>
      <w:r>
        <w:rPr>
          <w:lang w:val="en-US"/>
        </w:rPr>
        <w:t>It is highly debatable whether this clause although under the heading “voetstoots” could ever be found to be a voetstoots clause on a proper interpretation thereof.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99825"/>
      <w:docPartObj>
        <w:docPartGallery w:val="Page Numbers (Top of Page)"/>
        <w:docPartUnique/>
      </w:docPartObj>
    </w:sdtPr>
    <w:sdtEndPr>
      <w:rPr>
        <w:noProof/>
      </w:rPr>
    </w:sdtEndPr>
    <w:sdtContent>
      <w:p w14:paraId="0AEB47BD" w14:textId="77777777" w:rsidR="0074416C" w:rsidRDefault="0074416C">
        <w:pPr>
          <w:pStyle w:val="Header"/>
          <w:jc w:val="right"/>
        </w:pPr>
        <w:r>
          <w:fldChar w:fldCharType="begin"/>
        </w:r>
        <w:r>
          <w:instrText xml:space="preserve"> PAGE   \* MERGEFORMAT </w:instrText>
        </w:r>
        <w:r>
          <w:fldChar w:fldCharType="separate"/>
        </w:r>
        <w:r w:rsidR="00FC554A">
          <w:rPr>
            <w:noProof/>
          </w:rPr>
          <w:t>4</w:t>
        </w:r>
        <w:r>
          <w:rPr>
            <w:noProof/>
          </w:rPr>
          <w:fldChar w:fldCharType="end"/>
        </w:r>
      </w:p>
    </w:sdtContent>
  </w:sdt>
  <w:p w14:paraId="7F2BC2AC" w14:textId="77777777" w:rsidR="0074416C" w:rsidRDefault="00744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C389" w14:textId="77777777" w:rsidR="002E6D3B" w:rsidRDefault="002E6D3B">
    <w:pPr>
      <w:pStyle w:val="Header"/>
      <w:jc w:val="right"/>
    </w:pPr>
  </w:p>
  <w:p w14:paraId="14BF1206" w14:textId="77777777" w:rsidR="002E6D3B" w:rsidRDefault="002E6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5DE9"/>
    <w:multiLevelType w:val="hybridMultilevel"/>
    <w:tmpl w:val="4E523738"/>
    <w:lvl w:ilvl="0" w:tplc="C3EA7F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DEC2840"/>
    <w:multiLevelType w:val="hybridMultilevel"/>
    <w:tmpl w:val="F0A444F0"/>
    <w:lvl w:ilvl="0" w:tplc="B414F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13B49"/>
    <w:multiLevelType w:val="hybridMultilevel"/>
    <w:tmpl w:val="10DC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F3CD6"/>
    <w:multiLevelType w:val="hybridMultilevel"/>
    <w:tmpl w:val="421A696E"/>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E9A109A"/>
    <w:multiLevelType w:val="hybridMultilevel"/>
    <w:tmpl w:val="E70E8F86"/>
    <w:lvl w:ilvl="0" w:tplc="97FAC72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DFE5D77"/>
    <w:multiLevelType w:val="hybridMultilevel"/>
    <w:tmpl w:val="5F64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E4A84"/>
    <w:multiLevelType w:val="multilevel"/>
    <w:tmpl w:val="DD72F908"/>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636182585">
    <w:abstractNumId w:val="0"/>
  </w:num>
  <w:num w:numId="2" w16cid:durableId="98795345">
    <w:abstractNumId w:val="4"/>
  </w:num>
  <w:num w:numId="3" w16cid:durableId="1370102654">
    <w:abstractNumId w:val="3"/>
  </w:num>
  <w:num w:numId="4" w16cid:durableId="86586509">
    <w:abstractNumId w:val="2"/>
  </w:num>
  <w:num w:numId="5" w16cid:durableId="2005280106">
    <w:abstractNumId w:val="5"/>
  </w:num>
  <w:num w:numId="6" w16cid:durableId="291446653">
    <w:abstractNumId w:val="6"/>
  </w:num>
  <w:num w:numId="7" w16cid:durableId="316810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6C"/>
    <w:rsid w:val="00003A47"/>
    <w:rsid w:val="00007822"/>
    <w:rsid w:val="000105BE"/>
    <w:rsid w:val="00012D24"/>
    <w:rsid w:val="00014421"/>
    <w:rsid w:val="000154F8"/>
    <w:rsid w:val="00015DE2"/>
    <w:rsid w:val="0001760B"/>
    <w:rsid w:val="00017F86"/>
    <w:rsid w:val="000207FA"/>
    <w:rsid w:val="000232C6"/>
    <w:rsid w:val="00023695"/>
    <w:rsid w:val="000244EC"/>
    <w:rsid w:val="00026F76"/>
    <w:rsid w:val="00027360"/>
    <w:rsid w:val="00031BA2"/>
    <w:rsid w:val="0003204F"/>
    <w:rsid w:val="00032871"/>
    <w:rsid w:val="0004018B"/>
    <w:rsid w:val="00040340"/>
    <w:rsid w:val="00041EA6"/>
    <w:rsid w:val="00042763"/>
    <w:rsid w:val="00046DFB"/>
    <w:rsid w:val="00047ABF"/>
    <w:rsid w:val="00050688"/>
    <w:rsid w:val="000577BE"/>
    <w:rsid w:val="00057E9A"/>
    <w:rsid w:val="00061BFD"/>
    <w:rsid w:val="00063F3F"/>
    <w:rsid w:val="00064F75"/>
    <w:rsid w:val="000662E0"/>
    <w:rsid w:val="00066FA5"/>
    <w:rsid w:val="000674E8"/>
    <w:rsid w:val="00070270"/>
    <w:rsid w:val="000750DE"/>
    <w:rsid w:val="0008034B"/>
    <w:rsid w:val="00081C5F"/>
    <w:rsid w:val="00082A6F"/>
    <w:rsid w:val="00083AC3"/>
    <w:rsid w:val="00084C47"/>
    <w:rsid w:val="00085334"/>
    <w:rsid w:val="00085EBF"/>
    <w:rsid w:val="0008710A"/>
    <w:rsid w:val="00087251"/>
    <w:rsid w:val="00087B91"/>
    <w:rsid w:val="000935AD"/>
    <w:rsid w:val="00094CCA"/>
    <w:rsid w:val="0009501A"/>
    <w:rsid w:val="000953FD"/>
    <w:rsid w:val="00095E59"/>
    <w:rsid w:val="000970F2"/>
    <w:rsid w:val="000972F2"/>
    <w:rsid w:val="00097B59"/>
    <w:rsid w:val="000A146E"/>
    <w:rsid w:val="000A1E26"/>
    <w:rsid w:val="000A36F4"/>
    <w:rsid w:val="000A6461"/>
    <w:rsid w:val="000B109B"/>
    <w:rsid w:val="000B1CBA"/>
    <w:rsid w:val="000B3302"/>
    <w:rsid w:val="000C1CF9"/>
    <w:rsid w:val="000C25C0"/>
    <w:rsid w:val="000C3432"/>
    <w:rsid w:val="000C4FAD"/>
    <w:rsid w:val="000D2ECE"/>
    <w:rsid w:val="000D34CD"/>
    <w:rsid w:val="000D53ED"/>
    <w:rsid w:val="000D6D12"/>
    <w:rsid w:val="000E0518"/>
    <w:rsid w:val="000E16C4"/>
    <w:rsid w:val="000E17FD"/>
    <w:rsid w:val="000E254E"/>
    <w:rsid w:val="000E46C3"/>
    <w:rsid w:val="000E70A9"/>
    <w:rsid w:val="000F1069"/>
    <w:rsid w:val="000F11E5"/>
    <w:rsid w:val="000F1B76"/>
    <w:rsid w:val="000F1DAB"/>
    <w:rsid w:val="000F4B8F"/>
    <w:rsid w:val="000F794D"/>
    <w:rsid w:val="0010121A"/>
    <w:rsid w:val="0010721E"/>
    <w:rsid w:val="00107640"/>
    <w:rsid w:val="00107668"/>
    <w:rsid w:val="001076DC"/>
    <w:rsid w:val="00111505"/>
    <w:rsid w:val="00111D21"/>
    <w:rsid w:val="001123E8"/>
    <w:rsid w:val="0011539A"/>
    <w:rsid w:val="0012023E"/>
    <w:rsid w:val="001206DA"/>
    <w:rsid w:val="00124A38"/>
    <w:rsid w:val="00124FC2"/>
    <w:rsid w:val="00125656"/>
    <w:rsid w:val="001308A8"/>
    <w:rsid w:val="001349D7"/>
    <w:rsid w:val="00134A40"/>
    <w:rsid w:val="00134B2E"/>
    <w:rsid w:val="00135F6D"/>
    <w:rsid w:val="001368D2"/>
    <w:rsid w:val="00136C5D"/>
    <w:rsid w:val="00137F28"/>
    <w:rsid w:val="00140293"/>
    <w:rsid w:val="00141C52"/>
    <w:rsid w:val="0014239E"/>
    <w:rsid w:val="00143188"/>
    <w:rsid w:val="00145690"/>
    <w:rsid w:val="00147081"/>
    <w:rsid w:val="00147B25"/>
    <w:rsid w:val="00150C40"/>
    <w:rsid w:val="00151ED1"/>
    <w:rsid w:val="001525AC"/>
    <w:rsid w:val="00154FC3"/>
    <w:rsid w:val="00155D15"/>
    <w:rsid w:val="0016257A"/>
    <w:rsid w:val="00162C0F"/>
    <w:rsid w:val="00163C91"/>
    <w:rsid w:val="00164D20"/>
    <w:rsid w:val="00166B6B"/>
    <w:rsid w:val="00167B33"/>
    <w:rsid w:val="00171451"/>
    <w:rsid w:val="00172EE3"/>
    <w:rsid w:val="00174458"/>
    <w:rsid w:val="00174682"/>
    <w:rsid w:val="001765D6"/>
    <w:rsid w:val="001828E9"/>
    <w:rsid w:val="00184AC0"/>
    <w:rsid w:val="00185DC4"/>
    <w:rsid w:val="0018729A"/>
    <w:rsid w:val="00187839"/>
    <w:rsid w:val="00190F3C"/>
    <w:rsid w:val="001912D3"/>
    <w:rsid w:val="001920F2"/>
    <w:rsid w:val="0019317A"/>
    <w:rsid w:val="00193C35"/>
    <w:rsid w:val="0019620E"/>
    <w:rsid w:val="001A0B22"/>
    <w:rsid w:val="001A29A0"/>
    <w:rsid w:val="001A3523"/>
    <w:rsid w:val="001A52E2"/>
    <w:rsid w:val="001B0686"/>
    <w:rsid w:val="001B1702"/>
    <w:rsid w:val="001B20B2"/>
    <w:rsid w:val="001B4A7C"/>
    <w:rsid w:val="001C4A4F"/>
    <w:rsid w:val="001C62C3"/>
    <w:rsid w:val="001C643F"/>
    <w:rsid w:val="001C684A"/>
    <w:rsid w:val="001C7371"/>
    <w:rsid w:val="001D2014"/>
    <w:rsid w:val="001D4E58"/>
    <w:rsid w:val="001D5644"/>
    <w:rsid w:val="001D620A"/>
    <w:rsid w:val="001E21FB"/>
    <w:rsid w:val="001E232E"/>
    <w:rsid w:val="001E3E77"/>
    <w:rsid w:val="001E51CC"/>
    <w:rsid w:val="001E5E04"/>
    <w:rsid w:val="001F3563"/>
    <w:rsid w:val="001F50EA"/>
    <w:rsid w:val="001F6188"/>
    <w:rsid w:val="002011AF"/>
    <w:rsid w:val="0020245D"/>
    <w:rsid w:val="002044CC"/>
    <w:rsid w:val="002056DA"/>
    <w:rsid w:val="00205938"/>
    <w:rsid w:val="00205B14"/>
    <w:rsid w:val="00205C16"/>
    <w:rsid w:val="00205CF0"/>
    <w:rsid w:val="00206809"/>
    <w:rsid w:val="00207265"/>
    <w:rsid w:val="00207939"/>
    <w:rsid w:val="002101CE"/>
    <w:rsid w:val="00213740"/>
    <w:rsid w:val="002139B0"/>
    <w:rsid w:val="00215045"/>
    <w:rsid w:val="00221035"/>
    <w:rsid w:val="00223EFD"/>
    <w:rsid w:val="002257E4"/>
    <w:rsid w:val="00225CB3"/>
    <w:rsid w:val="00226FF4"/>
    <w:rsid w:val="00232543"/>
    <w:rsid w:val="00232C7A"/>
    <w:rsid w:val="00233B39"/>
    <w:rsid w:val="00234677"/>
    <w:rsid w:val="00234976"/>
    <w:rsid w:val="002349E4"/>
    <w:rsid w:val="00235760"/>
    <w:rsid w:val="0023672D"/>
    <w:rsid w:val="002400FD"/>
    <w:rsid w:val="002402F4"/>
    <w:rsid w:val="0024063B"/>
    <w:rsid w:val="002433C9"/>
    <w:rsid w:val="0024411C"/>
    <w:rsid w:val="00244AA8"/>
    <w:rsid w:val="00244CBE"/>
    <w:rsid w:val="00245193"/>
    <w:rsid w:val="002465B8"/>
    <w:rsid w:val="00247E06"/>
    <w:rsid w:val="00251685"/>
    <w:rsid w:val="002539F9"/>
    <w:rsid w:val="00253DAA"/>
    <w:rsid w:val="002571A6"/>
    <w:rsid w:val="00260928"/>
    <w:rsid w:val="00261942"/>
    <w:rsid w:val="00263C87"/>
    <w:rsid w:val="002650B2"/>
    <w:rsid w:val="00265C0E"/>
    <w:rsid w:val="002662A3"/>
    <w:rsid w:val="00270148"/>
    <w:rsid w:val="002735BC"/>
    <w:rsid w:val="00273D7F"/>
    <w:rsid w:val="00274107"/>
    <w:rsid w:val="00274A10"/>
    <w:rsid w:val="00276923"/>
    <w:rsid w:val="00277443"/>
    <w:rsid w:val="00277BB6"/>
    <w:rsid w:val="00277BFA"/>
    <w:rsid w:val="00280513"/>
    <w:rsid w:val="00281DF9"/>
    <w:rsid w:val="00283EBB"/>
    <w:rsid w:val="0028430D"/>
    <w:rsid w:val="00285A5E"/>
    <w:rsid w:val="0029069B"/>
    <w:rsid w:val="00291D43"/>
    <w:rsid w:val="00292735"/>
    <w:rsid w:val="002935DC"/>
    <w:rsid w:val="00293AD1"/>
    <w:rsid w:val="002A2CC0"/>
    <w:rsid w:val="002A39BA"/>
    <w:rsid w:val="002A3EBB"/>
    <w:rsid w:val="002A51D3"/>
    <w:rsid w:val="002A53ED"/>
    <w:rsid w:val="002A5682"/>
    <w:rsid w:val="002A7D46"/>
    <w:rsid w:val="002B06FA"/>
    <w:rsid w:val="002B1B07"/>
    <w:rsid w:val="002B5B05"/>
    <w:rsid w:val="002B62ED"/>
    <w:rsid w:val="002B686D"/>
    <w:rsid w:val="002C29B1"/>
    <w:rsid w:val="002C4391"/>
    <w:rsid w:val="002C4DCE"/>
    <w:rsid w:val="002C56AC"/>
    <w:rsid w:val="002C6535"/>
    <w:rsid w:val="002C7295"/>
    <w:rsid w:val="002D19F3"/>
    <w:rsid w:val="002D22CF"/>
    <w:rsid w:val="002D2CA4"/>
    <w:rsid w:val="002D3ACD"/>
    <w:rsid w:val="002D69A2"/>
    <w:rsid w:val="002D760B"/>
    <w:rsid w:val="002E13B6"/>
    <w:rsid w:val="002E192D"/>
    <w:rsid w:val="002E1A2B"/>
    <w:rsid w:val="002E29E0"/>
    <w:rsid w:val="002E6D3B"/>
    <w:rsid w:val="002E755A"/>
    <w:rsid w:val="002F0DA3"/>
    <w:rsid w:val="002F3779"/>
    <w:rsid w:val="002F3D42"/>
    <w:rsid w:val="002F4488"/>
    <w:rsid w:val="002F4558"/>
    <w:rsid w:val="002F575B"/>
    <w:rsid w:val="00301F65"/>
    <w:rsid w:val="003022CC"/>
    <w:rsid w:val="00302F48"/>
    <w:rsid w:val="00314CA2"/>
    <w:rsid w:val="00316CAE"/>
    <w:rsid w:val="00317A59"/>
    <w:rsid w:val="00321694"/>
    <w:rsid w:val="00321CD9"/>
    <w:rsid w:val="00322BD5"/>
    <w:rsid w:val="00323E4C"/>
    <w:rsid w:val="00323F10"/>
    <w:rsid w:val="003275EE"/>
    <w:rsid w:val="0033062B"/>
    <w:rsid w:val="00331B89"/>
    <w:rsid w:val="00331C01"/>
    <w:rsid w:val="0033279C"/>
    <w:rsid w:val="00333A13"/>
    <w:rsid w:val="00333CA5"/>
    <w:rsid w:val="00334262"/>
    <w:rsid w:val="00334AFA"/>
    <w:rsid w:val="00340742"/>
    <w:rsid w:val="003416F7"/>
    <w:rsid w:val="00343181"/>
    <w:rsid w:val="00343E92"/>
    <w:rsid w:val="00344A01"/>
    <w:rsid w:val="003454A7"/>
    <w:rsid w:val="00353770"/>
    <w:rsid w:val="00353E81"/>
    <w:rsid w:val="003550F1"/>
    <w:rsid w:val="0035555A"/>
    <w:rsid w:val="00356054"/>
    <w:rsid w:val="003569E0"/>
    <w:rsid w:val="00357136"/>
    <w:rsid w:val="00357EBE"/>
    <w:rsid w:val="00371148"/>
    <w:rsid w:val="003739EB"/>
    <w:rsid w:val="0037669B"/>
    <w:rsid w:val="003817E2"/>
    <w:rsid w:val="003829CA"/>
    <w:rsid w:val="00382ED1"/>
    <w:rsid w:val="00383C76"/>
    <w:rsid w:val="003843E5"/>
    <w:rsid w:val="003849A2"/>
    <w:rsid w:val="00384E0B"/>
    <w:rsid w:val="00385357"/>
    <w:rsid w:val="00385D4F"/>
    <w:rsid w:val="00387CA9"/>
    <w:rsid w:val="00390C55"/>
    <w:rsid w:val="00393AEB"/>
    <w:rsid w:val="003A0D81"/>
    <w:rsid w:val="003A5EE5"/>
    <w:rsid w:val="003A746E"/>
    <w:rsid w:val="003B13E0"/>
    <w:rsid w:val="003B25AC"/>
    <w:rsid w:val="003B31F5"/>
    <w:rsid w:val="003B38AF"/>
    <w:rsid w:val="003B4BCC"/>
    <w:rsid w:val="003B4DCC"/>
    <w:rsid w:val="003B537D"/>
    <w:rsid w:val="003B5CBF"/>
    <w:rsid w:val="003B5CE3"/>
    <w:rsid w:val="003B6A92"/>
    <w:rsid w:val="003B7434"/>
    <w:rsid w:val="003B794C"/>
    <w:rsid w:val="003C02BF"/>
    <w:rsid w:val="003D0697"/>
    <w:rsid w:val="003D1B63"/>
    <w:rsid w:val="003D2F56"/>
    <w:rsid w:val="003D3C5D"/>
    <w:rsid w:val="003D3EB6"/>
    <w:rsid w:val="003D4EC8"/>
    <w:rsid w:val="003D7363"/>
    <w:rsid w:val="003D7CFA"/>
    <w:rsid w:val="003E0282"/>
    <w:rsid w:val="003E1AB9"/>
    <w:rsid w:val="003E22F5"/>
    <w:rsid w:val="003E26E0"/>
    <w:rsid w:val="003E3971"/>
    <w:rsid w:val="003E4C2F"/>
    <w:rsid w:val="003E4FCE"/>
    <w:rsid w:val="003E5202"/>
    <w:rsid w:val="003E5C2A"/>
    <w:rsid w:val="003F145D"/>
    <w:rsid w:val="003F2552"/>
    <w:rsid w:val="003F422E"/>
    <w:rsid w:val="003F4B9E"/>
    <w:rsid w:val="003F5E4C"/>
    <w:rsid w:val="003F7878"/>
    <w:rsid w:val="00400829"/>
    <w:rsid w:val="00400DBD"/>
    <w:rsid w:val="004012A7"/>
    <w:rsid w:val="00402D0E"/>
    <w:rsid w:val="00402E6F"/>
    <w:rsid w:val="00402FA4"/>
    <w:rsid w:val="00403843"/>
    <w:rsid w:val="00405FBF"/>
    <w:rsid w:val="00407A38"/>
    <w:rsid w:val="0041233A"/>
    <w:rsid w:val="00414E0F"/>
    <w:rsid w:val="0041569C"/>
    <w:rsid w:val="00416184"/>
    <w:rsid w:val="0041748C"/>
    <w:rsid w:val="004174A1"/>
    <w:rsid w:val="00417684"/>
    <w:rsid w:val="004209B9"/>
    <w:rsid w:val="00421AB4"/>
    <w:rsid w:val="00422D47"/>
    <w:rsid w:val="0043074C"/>
    <w:rsid w:val="00430DA8"/>
    <w:rsid w:val="00431E9E"/>
    <w:rsid w:val="00432E70"/>
    <w:rsid w:val="00433814"/>
    <w:rsid w:val="0043712A"/>
    <w:rsid w:val="0043715A"/>
    <w:rsid w:val="00437318"/>
    <w:rsid w:val="00440680"/>
    <w:rsid w:val="00440AD8"/>
    <w:rsid w:val="00440E87"/>
    <w:rsid w:val="00440EBD"/>
    <w:rsid w:val="00443E46"/>
    <w:rsid w:val="0044548C"/>
    <w:rsid w:val="00445BD3"/>
    <w:rsid w:val="00446645"/>
    <w:rsid w:val="00446E43"/>
    <w:rsid w:val="00447ACD"/>
    <w:rsid w:val="00447EA5"/>
    <w:rsid w:val="00450E8F"/>
    <w:rsid w:val="00452BA6"/>
    <w:rsid w:val="004531AD"/>
    <w:rsid w:val="004563AE"/>
    <w:rsid w:val="00457557"/>
    <w:rsid w:val="004605B4"/>
    <w:rsid w:val="00460A64"/>
    <w:rsid w:val="00461940"/>
    <w:rsid w:val="00462A51"/>
    <w:rsid w:val="004645FD"/>
    <w:rsid w:val="00464FF8"/>
    <w:rsid w:val="00465238"/>
    <w:rsid w:val="0046555F"/>
    <w:rsid w:val="00465D70"/>
    <w:rsid w:val="00470327"/>
    <w:rsid w:val="004708B8"/>
    <w:rsid w:val="004756B1"/>
    <w:rsid w:val="00477AD5"/>
    <w:rsid w:val="004800B6"/>
    <w:rsid w:val="0048277C"/>
    <w:rsid w:val="00483B57"/>
    <w:rsid w:val="0048474B"/>
    <w:rsid w:val="004847F3"/>
    <w:rsid w:val="0049080E"/>
    <w:rsid w:val="00490C27"/>
    <w:rsid w:val="00493B42"/>
    <w:rsid w:val="00493CE7"/>
    <w:rsid w:val="0049713A"/>
    <w:rsid w:val="00497AEB"/>
    <w:rsid w:val="004A07E6"/>
    <w:rsid w:val="004A2B1B"/>
    <w:rsid w:val="004A2F95"/>
    <w:rsid w:val="004A32AB"/>
    <w:rsid w:val="004A46FA"/>
    <w:rsid w:val="004A7F3C"/>
    <w:rsid w:val="004B0673"/>
    <w:rsid w:val="004B098D"/>
    <w:rsid w:val="004B41F8"/>
    <w:rsid w:val="004B42A2"/>
    <w:rsid w:val="004C1785"/>
    <w:rsid w:val="004C1C54"/>
    <w:rsid w:val="004C3585"/>
    <w:rsid w:val="004C7861"/>
    <w:rsid w:val="004D0CE2"/>
    <w:rsid w:val="004D704C"/>
    <w:rsid w:val="004D75A6"/>
    <w:rsid w:val="004E4125"/>
    <w:rsid w:val="004E4C5E"/>
    <w:rsid w:val="004E527F"/>
    <w:rsid w:val="004E60AB"/>
    <w:rsid w:val="004E7A7A"/>
    <w:rsid w:val="004E7E92"/>
    <w:rsid w:val="004E7E9E"/>
    <w:rsid w:val="004F215F"/>
    <w:rsid w:val="00500266"/>
    <w:rsid w:val="00500582"/>
    <w:rsid w:val="00502987"/>
    <w:rsid w:val="00502A8B"/>
    <w:rsid w:val="005065C4"/>
    <w:rsid w:val="00506A00"/>
    <w:rsid w:val="00506F62"/>
    <w:rsid w:val="00507577"/>
    <w:rsid w:val="00507D8A"/>
    <w:rsid w:val="00510D52"/>
    <w:rsid w:val="0051311B"/>
    <w:rsid w:val="0051395E"/>
    <w:rsid w:val="00516730"/>
    <w:rsid w:val="005216C0"/>
    <w:rsid w:val="00521A01"/>
    <w:rsid w:val="00521E5B"/>
    <w:rsid w:val="005234A2"/>
    <w:rsid w:val="0052367C"/>
    <w:rsid w:val="00530889"/>
    <w:rsid w:val="0053215B"/>
    <w:rsid w:val="00532F88"/>
    <w:rsid w:val="00534853"/>
    <w:rsid w:val="005354C4"/>
    <w:rsid w:val="005415F3"/>
    <w:rsid w:val="005434C6"/>
    <w:rsid w:val="00543EF1"/>
    <w:rsid w:val="00544EA7"/>
    <w:rsid w:val="00545413"/>
    <w:rsid w:val="0054564F"/>
    <w:rsid w:val="00545EF1"/>
    <w:rsid w:val="00546F06"/>
    <w:rsid w:val="00550DF0"/>
    <w:rsid w:val="00552ADB"/>
    <w:rsid w:val="00553EB8"/>
    <w:rsid w:val="00555CEC"/>
    <w:rsid w:val="00557D22"/>
    <w:rsid w:val="00560837"/>
    <w:rsid w:val="005619B0"/>
    <w:rsid w:val="00563840"/>
    <w:rsid w:val="0056695A"/>
    <w:rsid w:val="00573BD6"/>
    <w:rsid w:val="00576B50"/>
    <w:rsid w:val="00580E09"/>
    <w:rsid w:val="00582557"/>
    <w:rsid w:val="00584576"/>
    <w:rsid w:val="005857E3"/>
    <w:rsid w:val="0058727B"/>
    <w:rsid w:val="00587594"/>
    <w:rsid w:val="005940F8"/>
    <w:rsid w:val="00594720"/>
    <w:rsid w:val="00594AB1"/>
    <w:rsid w:val="00597351"/>
    <w:rsid w:val="005A1E4E"/>
    <w:rsid w:val="005A4D05"/>
    <w:rsid w:val="005A517F"/>
    <w:rsid w:val="005A5913"/>
    <w:rsid w:val="005A630C"/>
    <w:rsid w:val="005A6CFA"/>
    <w:rsid w:val="005B069C"/>
    <w:rsid w:val="005B0800"/>
    <w:rsid w:val="005B11A1"/>
    <w:rsid w:val="005B1D7D"/>
    <w:rsid w:val="005B2047"/>
    <w:rsid w:val="005B4EC2"/>
    <w:rsid w:val="005B7676"/>
    <w:rsid w:val="005C04B6"/>
    <w:rsid w:val="005C399C"/>
    <w:rsid w:val="005C4946"/>
    <w:rsid w:val="005C524A"/>
    <w:rsid w:val="005C5A6D"/>
    <w:rsid w:val="005C6502"/>
    <w:rsid w:val="005C703B"/>
    <w:rsid w:val="005C789D"/>
    <w:rsid w:val="005D6D2C"/>
    <w:rsid w:val="005D7B5A"/>
    <w:rsid w:val="005E035B"/>
    <w:rsid w:val="005E0688"/>
    <w:rsid w:val="005E2421"/>
    <w:rsid w:val="005E3EF9"/>
    <w:rsid w:val="005E595E"/>
    <w:rsid w:val="005E5D9B"/>
    <w:rsid w:val="005F00AF"/>
    <w:rsid w:val="005F24A2"/>
    <w:rsid w:val="005F2646"/>
    <w:rsid w:val="005F3CDD"/>
    <w:rsid w:val="005F3DF6"/>
    <w:rsid w:val="005F6615"/>
    <w:rsid w:val="005F6B81"/>
    <w:rsid w:val="00601562"/>
    <w:rsid w:val="006016A3"/>
    <w:rsid w:val="00601B4C"/>
    <w:rsid w:val="006021D4"/>
    <w:rsid w:val="0060426E"/>
    <w:rsid w:val="00604A26"/>
    <w:rsid w:val="0060530F"/>
    <w:rsid w:val="00605862"/>
    <w:rsid w:val="00607D75"/>
    <w:rsid w:val="00607DE5"/>
    <w:rsid w:val="006104FB"/>
    <w:rsid w:val="00610CCB"/>
    <w:rsid w:val="00611212"/>
    <w:rsid w:val="00612DFA"/>
    <w:rsid w:val="00613893"/>
    <w:rsid w:val="00613F98"/>
    <w:rsid w:val="00614267"/>
    <w:rsid w:val="00615732"/>
    <w:rsid w:val="00615B7B"/>
    <w:rsid w:val="00615E02"/>
    <w:rsid w:val="00616266"/>
    <w:rsid w:val="0061779D"/>
    <w:rsid w:val="006223C9"/>
    <w:rsid w:val="0062340A"/>
    <w:rsid w:val="00623F36"/>
    <w:rsid w:val="006253A5"/>
    <w:rsid w:val="00630B70"/>
    <w:rsid w:val="0063408B"/>
    <w:rsid w:val="0063458A"/>
    <w:rsid w:val="00636C25"/>
    <w:rsid w:val="00637822"/>
    <w:rsid w:val="006403A0"/>
    <w:rsid w:val="00640C79"/>
    <w:rsid w:val="00641AD2"/>
    <w:rsid w:val="00642E38"/>
    <w:rsid w:val="00643C79"/>
    <w:rsid w:val="00650492"/>
    <w:rsid w:val="006506DA"/>
    <w:rsid w:val="00650C65"/>
    <w:rsid w:val="00652DFF"/>
    <w:rsid w:val="006548CA"/>
    <w:rsid w:val="00654E5C"/>
    <w:rsid w:val="006555D3"/>
    <w:rsid w:val="00656ED8"/>
    <w:rsid w:val="00657272"/>
    <w:rsid w:val="0065774A"/>
    <w:rsid w:val="00661DD5"/>
    <w:rsid w:val="00667CFC"/>
    <w:rsid w:val="006701D4"/>
    <w:rsid w:val="006714E9"/>
    <w:rsid w:val="00671EEB"/>
    <w:rsid w:val="006734AE"/>
    <w:rsid w:val="0067351B"/>
    <w:rsid w:val="00674300"/>
    <w:rsid w:val="00674596"/>
    <w:rsid w:val="0067510C"/>
    <w:rsid w:val="00676E90"/>
    <w:rsid w:val="00677950"/>
    <w:rsid w:val="006807C0"/>
    <w:rsid w:val="006819B9"/>
    <w:rsid w:val="00681D07"/>
    <w:rsid w:val="00681D9D"/>
    <w:rsid w:val="00684B4D"/>
    <w:rsid w:val="00686411"/>
    <w:rsid w:val="006870F3"/>
    <w:rsid w:val="006871CD"/>
    <w:rsid w:val="00690DF6"/>
    <w:rsid w:val="00692980"/>
    <w:rsid w:val="00692BFF"/>
    <w:rsid w:val="00692D3B"/>
    <w:rsid w:val="00694714"/>
    <w:rsid w:val="00696EA8"/>
    <w:rsid w:val="006A0709"/>
    <w:rsid w:val="006A0918"/>
    <w:rsid w:val="006A56E5"/>
    <w:rsid w:val="006A6126"/>
    <w:rsid w:val="006A7BE5"/>
    <w:rsid w:val="006B0536"/>
    <w:rsid w:val="006B0588"/>
    <w:rsid w:val="006B1D6E"/>
    <w:rsid w:val="006B2AF0"/>
    <w:rsid w:val="006B5240"/>
    <w:rsid w:val="006B524C"/>
    <w:rsid w:val="006B59AD"/>
    <w:rsid w:val="006B5D64"/>
    <w:rsid w:val="006B6DF4"/>
    <w:rsid w:val="006B7C41"/>
    <w:rsid w:val="006B7C73"/>
    <w:rsid w:val="006C075C"/>
    <w:rsid w:val="006C3724"/>
    <w:rsid w:val="006C3B65"/>
    <w:rsid w:val="006C79DC"/>
    <w:rsid w:val="006C7D4F"/>
    <w:rsid w:val="006D1FD4"/>
    <w:rsid w:val="006E12CA"/>
    <w:rsid w:val="006E15F0"/>
    <w:rsid w:val="006E177C"/>
    <w:rsid w:val="006E27E7"/>
    <w:rsid w:val="006E5ADC"/>
    <w:rsid w:val="006F13E8"/>
    <w:rsid w:val="006F201E"/>
    <w:rsid w:val="006F2177"/>
    <w:rsid w:val="006F21F2"/>
    <w:rsid w:val="006F2D92"/>
    <w:rsid w:val="006F5D48"/>
    <w:rsid w:val="006F6D2F"/>
    <w:rsid w:val="00700DA8"/>
    <w:rsid w:val="00701AFC"/>
    <w:rsid w:val="00705DCC"/>
    <w:rsid w:val="00706A02"/>
    <w:rsid w:val="0070729A"/>
    <w:rsid w:val="00707DD9"/>
    <w:rsid w:val="0071073D"/>
    <w:rsid w:val="00711028"/>
    <w:rsid w:val="00711261"/>
    <w:rsid w:val="00711BDD"/>
    <w:rsid w:val="00712BE1"/>
    <w:rsid w:val="00716307"/>
    <w:rsid w:val="00722976"/>
    <w:rsid w:val="00724236"/>
    <w:rsid w:val="00730266"/>
    <w:rsid w:val="007306BB"/>
    <w:rsid w:val="00731CFE"/>
    <w:rsid w:val="00732A7E"/>
    <w:rsid w:val="00736946"/>
    <w:rsid w:val="00740044"/>
    <w:rsid w:val="00740F24"/>
    <w:rsid w:val="00742D19"/>
    <w:rsid w:val="0074416C"/>
    <w:rsid w:val="00745C3B"/>
    <w:rsid w:val="007477EA"/>
    <w:rsid w:val="00753611"/>
    <w:rsid w:val="00754F67"/>
    <w:rsid w:val="007554C4"/>
    <w:rsid w:val="00755A0F"/>
    <w:rsid w:val="00756AFC"/>
    <w:rsid w:val="00760941"/>
    <w:rsid w:val="00763F37"/>
    <w:rsid w:val="00764AE0"/>
    <w:rsid w:val="0076656C"/>
    <w:rsid w:val="0077088E"/>
    <w:rsid w:val="00770CDF"/>
    <w:rsid w:val="00770D18"/>
    <w:rsid w:val="00771D0B"/>
    <w:rsid w:val="007757D7"/>
    <w:rsid w:val="00777CEF"/>
    <w:rsid w:val="00782A4E"/>
    <w:rsid w:val="00782E8C"/>
    <w:rsid w:val="00786A73"/>
    <w:rsid w:val="00787180"/>
    <w:rsid w:val="00790578"/>
    <w:rsid w:val="007911EF"/>
    <w:rsid w:val="007914E9"/>
    <w:rsid w:val="0079169F"/>
    <w:rsid w:val="007939DF"/>
    <w:rsid w:val="00795DC6"/>
    <w:rsid w:val="007A0BD2"/>
    <w:rsid w:val="007A1247"/>
    <w:rsid w:val="007A1443"/>
    <w:rsid w:val="007A1AEE"/>
    <w:rsid w:val="007A1BB7"/>
    <w:rsid w:val="007A22E1"/>
    <w:rsid w:val="007A2DCF"/>
    <w:rsid w:val="007A7074"/>
    <w:rsid w:val="007A70C2"/>
    <w:rsid w:val="007A70CE"/>
    <w:rsid w:val="007B05E3"/>
    <w:rsid w:val="007B07A1"/>
    <w:rsid w:val="007B1F26"/>
    <w:rsid w:val="007B1F39"/>
    <w:rsid w:val="007B3355"/>
    <w:rsid w:val="007B5B12"/>
    <w:rsid w:val="007B6E89"/>
    <w:rsid w:val="007B763E"/>
    <w:rsid w:val="007B7B7C"/>
    <w:rsid w:val="007B7DBD"/>
    <w:rsid w:val="007C06E8"/>
    <w:rsid w:val="007C0E3C"/>
    <w:rsid w:val="007C21B9"/>
    <w:rsid w:val="007C242E"/>
    <w:rsid w:val="007C2D7B"/>
    <w:rsid w:val="007C3A7B"/>
    <w:rsid w:val="007C4620"/>
    <w:rsid w:val="007C5A53"/>
    <w:rsid w:val="007C5BD8"/>
    <w:rsid w:val="007C5F0D"/>
    <w:rsid w:val="007C728B"/>
    <w:rsid w:val="007C77CA"/>
    <w:rsid w:val="007C7C8B"/>
    <w:rsid w:val="007D199C"/>
    <w:rsid w:val="007D1C2D"/>
    <w:rsid w:val="007D2D81"/>
    <w:rsid w:val="007D3E6F"/>
    <w:rsid w:val="007D5409"/>
    <w:rsid w:val="007D54AF"/>
    <w:rsid w:val="007D54E3"/>
    <w:rsid w:val="007D67C6"/>
    <w:rsid w:val="007E0990"/>
    <w:rsid w:val="007E1AF0"/>
    <w:rsid w:val="007E55C9"/>
    <w:rsid w:val="007E6DA2"/>
    <w:rsid w:val="007F0A7B"/>
    <w:rsid w:val="007F0C03"/>
    <w:rsid w:val="007F29A9"/>
    <w:rsid w:val="007F5030"/>
    <w:rsid w:val="007F7EC7"/>
    <w:rsid w:val="00801104"/>
    <w:rsid w:val="00802AD3"/>
    <w:rsid w:val="008048C4"/>
    <w:rsid w:val="00805372"/>
    <w:rsid w:val="0080668C"/>
    <w:rsid w:val="00811203"/>
    <w:rsid w:val="00813552"/>
    <w:rsid w:val="00813FD3"/>
    <w:rsid w:val="00815301"/>
    <w:rsid w:val="00816D32"/>
    <w:rsid w:val="00822467"/>
    <w:rsid w:val="00824AD4"/>
    <w:rsid w:val="00825187"/>
    <w:rsid w:val="00830FFC"/>
    <w:rsid w:val="008311D9"/>
    <w:rsid w:val="00832B96"/>
    <w:rsid w:val="008331EA"/>
    <w:rsid w:val="008338A3"/>
    <w:rsid w:val="00834036"/>
    <w:rsid w:val="00835159"/>
    <w:rsid w:val="00835F1E"/>
    <w:rsid w:val="00837772"/>
    <w:rsid w:val="008377C6"/>
    <w:rsid w:val="008378FC"/>
    <w:rsid w:val="008416C0"/>
    <w:rsid w:val="00841913"/>
    <w:rsid w:val="00841914"/>
    <w:rsid w:val="00842743"/>
    <w:rsid w:val="0084482D"/>
    <w:rsid w:val="00844B37"/>
    <w:rsid w:val="0084609E"/>
    <w:rsid w:val="00846692"/>
    <w:rsid w:val="00846A6C"/>
    <w:rsid w:val="00847E9B"/>
    <w:rsid w:val="00852E76"/>
    <w:rsid w:val="00853A40"/>
    <w:rsid w:val="00857BEA"/>
    <w:rsid w:val="00860EB8"/>
    <w:rsid w:val="00861088"/>
    <w:rsid w:val="008615F9"/>
    <w:rsid w:val="008624E8"/>
    <w:rsid w:val="00871EE7"/>
    <w:rsid w:val="00872148"/>
    <w:rsid w:val="00873561"/>
    <w:rsid w:val="008758A7"/>
    <w:rsid w:val="00881192"/>
    <w:rsid w:val="008836E3"/>
    <w:rsid w:val="0088416E"/>
    <w:rsid w:val="00886CF1"/>
    <w:rsid w:val="00887835"/>
    <w:rsid w:val="008879A5"/>
    <w:rsid w:val="00890156"/>
    <w:rsid w:val="0089180E"/>
    <w:rsid w:val="0089291A"/>
    <w:rsid w:val="0089390D"/>
    <w:rsid w:val="00896D17"/>
    <w:rsid w:val="008A0539"/>
    <w:rsid w:val="008A09EC"/>
    <w:rsid w:val="008A1084"/>
    <w:rsid w:val="008A2341"/>
    <w:rsid w:val="008A2939"/>
    <w:rsid w:val="008A38C1"/>
    <w:rsid w:val="008A4BD9"/>
    <w:rsid w:val="008A6825"/>
    <w:rsid w:val="008A687D"/>
    <w:rsid w:val="008B00D9"/>
    <w:rsid w:val="008B0F17"/>
    <w:rsid w:val="008B1DA4"/>
    <w:rsid w:val="008B23C8"/>
    <w:rsid w:val="008C26EC"/>
    <w:rsid w:val="008C39BE"/>
    <w:rsid w:val="008C42C2"/>
    <w:rsid w:val="008C562B"/>
    <w:rsid w:val="008C6DD9"/>
    <w:rsid w:val="008C70A7"/>
    <w:rsid w:val="008C7A83"/>
    <w:rsid w:val="008D1C5F"/>
    <w:rsid w:val="008D53F9"/>
    <w:rsid w:val="008D6563"/>
    <w:rsid w:val="008D6E7E"/>
    <w:rsid w:val="008D7C79"/>
    <w:rsid w:val="008D7EF1"/>
    <w:rsid w:val="008E25B5"/>
    <w:rsid w:val="008E49A1"/>
    <w:rsid w:val="008E51CC"/>
    <w:rsid w:val="008E5D5D"/>
    <w:rsid w:val="008E70F1"/>
    <w:rsid w:val="008F2B6D"/>
    <w:rsid w:val="008F3516"/>
    <w:rsid w:val="008F4905"/>
    <w:rsid w:val="008F5396"/>
    <w:rsid w:val="008F6BE2"/>
    <w:rsid w:val="008F6E77"/>
    <w:rsid w:val="008F7002"/>
    <w:rsid w:val="0090192D"/>
    <w:rsid w:val="00901DF3"/>
    <w:rsid w:val="00901E33"/>
    <w:rsid w:val="00905D7F"/>
    <w:rsid w:val="00905F2B"/>
    <w:rsid w:val="00910FAB"/>
    <w:rsid w:val="00912539"/>
    <w:rsid w:val="00912750"/>
    <w:rsid w:val="0091780F"/>
    <w:rsid w:val="00923888"/>
    <w:rsid w:val="00924ADD"/>
    <w:rsid w:val="00925D76"/>
    <w:rsid w:val="009276C4"/>
    <w:rsid w:val="00927F6E"/>
    <w:rsid w:val="009314A8"/>
    <w:rsid w:val="009317F6"/>
    <w:rsid w:val="00932C6A"/>
    <w:rsid w:val="00933381"/>
    <w:rsid w:val="0094136F"/>
    <w:rsid w:val="00943109"/>
    <w:rsid w:val="00943F67"/>
    <w:rsid w:val="00944C3B"/>
    <w:rsid w:val="009464B3"/>
    <w:rsid w:val="009475C7"/>
    <w:rsid w:val="00951AAB"/>
    <w:rsid w:val="0095391C"/>
    <w:rsid w:val="00955792"/>
    <w:rsid w:val="009565DD"/>
    <w:rsid w:val="00956860"/>
    <w:rsid w:val="009573DA"/>
    <w:rsid w:val="00957C0C"/>
    <w:rsid w:val="0096003D"/>
    <w:rsid w:val="0096086E"/>
    <w:rsid w:val="009612DF"/>
    <w:rsid w:val="0096236F"/>
    <w:rsid w:val="0096709A"/>
    <w:rsid w:val="009678CE"/>
    <w:rsid w:val="00970182"/>
    <w:rsid w:val="00971DCB"/>
    <w:rsid w:val="00975726"/>
    <w:rsid w:val="00980548"/>
    <w:rsid w:val="00980DB4"/>
    <w:rsid w:val="0098183D"/>
    <w:rsid w:val="009843EB"/>
    <w:rsid w:val="00984567"/>
    <w:rsid w:val="00985E53"/>
    <w:rsid w:val="009873D4"/>
    <w:rsid w:val="009874A8"/>
    <w:rsid w:val="00990241"/>
    <w:rsid w:val="00992DC0"/>
    <w:rsid w:val="009935D0"/>
    <w:rsid w:val="00994139"/>
    <w:rsid w:val="00995441"/>
    <w:rsid w:val="00996465"/>
    <w:rsid w:val="00997323"/>
    <w:rsid w:val="0099734A"/>
    <w:rsid w:val="009A015F"/>
    <w:rsid w:val="009A1E3A"/>
    <w:rsid w:val="009A3FA6"/>
    <w:rsid w:val="009A6A11"/>
    <w:rsid w:val="009A6A60"/>
    <w:rsid w:val="009A6E15"/>
    <w:rsid w:val="009B1580"/>
    <w:rsid w:val="009B2576"/>
    <w:rsid w:val="009B32B9"/>
    <w:rsid w:val="009B45B9"/>
    <w:rsid w:val="009B5971"/>
    <w:rsid w:val="009B77B8"/>
    <w:rsid w:val="009C1923"/>
    <w:rsid w:val="009C453A"/>
    <w:rsid w:val="009C6B6E"/>
    <w:rsid w:val="009D0302"/>
    <w:rsid w:val="009D0E20"/>
    <w:rsid w:val="009D2F2F"/>
    <w:rsid w:val="009D3B16"/>
    <w:rsid w:val="009D4091"/>
    <w:rsid w:val="009D431B"/>
    <w:rsid w:val="009E117C"/>
    <w:rsid w:val="009E1274"/>
    <w:rsid w:val="009E26DC"/>
    <w:rsid w:val="009E2C2A"/>
    <w:rsid w:val="009E6DCA"/>
    <w:rsid w:val="009E6FCA"/>
    <w:rsid w:val="009E701E"/>
    <w:rsid w:val="009E70E9"/>
    <w:rsid w:val="009E71E4"/>
    <w:rsid w:val="009E7EF9"/>
    <w:rsid w:val="009F243F"/>
    <w:rsid w:val="009F2BAF"/>
    <w:rsid w:val="009F2E18"/>
    <w:rsid w:val="009F4360"/>
    <w:rsid w:val="00A01723"/>
    <w:rsid w:val="00A0239D"/>
    <w:rsid w:val="00A025A0"/>
    <w:rsid w:val="00A02931"/>
    <w:rsid w:val="00A0528F"/>
    <w:rsid w:val="00A05DE7"/>
    <w:rsid w:val="00A064A0"/>
    <w:rsid w:val="00A0695A"/>
    <w:rsid w:val="00A10714"/>
    <w:rsid w:val="00A116A1"/>
    <w:rsid w:val="00A12D91"/>
    <w:rsid w:val="00A13343"/>
    <w:rsid w:val="00A136B5"/>
    <w:rsid w:val="00A13BA3"/>
    <w:rsid w:val="00A140F7"/>
    <w:rsid w:val="00A14539"/>
    <w:rsid w:val="00A16DC9"/>
    <w:rsid w:val="00A16FD1"/>
    <w:rsid w:val="00A17AC5"/>
    <w:rsid w:val="00A23A11"/>
    <w:rsid w:val="00A30DD3"/>
    <w:rsid w:val="00A3178A"/>
    <w:rsid w:val="00A33B41"/>
    <w:rsid w:val="00A35587"/>
    <w:rsid w:val="00A36001"/>
    <w:rsid w:val="00A36BDC"/>
    <w:rsid w:val="00A37B96"/>
    <w:rsid w:val="00A37E00"/>
    <w:rsid w:val="00A40F6E"/>
    <w:rsid w:val="00A42B27"/>
    <w:rsid w:val="00A45757"/>
    <w:rsid w:val="00A46FE3"/>
    <w:rsid w:val="00A50475"/>
    <w:rsid w:val="00A5519D"/>
    <w:rsid w:val="00A55DA4"/>
    <w:rsid w:val="00A56B40"/>
    <w:rsid w:val="00A60DFB"/>
    <w:rsid w:val="00A6170C"/>
    <w:rsid w:val="00A63F63"/>
    <w:rsid w:val="00A642F9"/>
    <w:rsid w:val="00A6633C"/>
    <w:rsid w:val="00A6735E"/>
    <w:rsid w:val="00A7076B"/>
    <w:rsid w:val="00A70BF0"/>
    <w:rsid w:val="00A72D36"/>
    <w:rsid w:val="00A739D1"/>
    <w:rsid w:val="00A74039"/>
    <w:rsid w:val="00A7454B"/>
    <w:rsid w:val="00A74F88"/>
    <w:rsid w:val="00A802C6"/>
    <w:rsid w:val="00A805F7"/>
    <w:rsid w:val="00A80CA0"/>
    <w:rsid w:val="00A83E4E"/>
    <w:rsid w:val="00A8404C"/>
    <w:rsid w:val="00A8528B"/>
    <w:rsid w:val="00A86418"/>
    <w:rsid w:val="00A87F87"/>
    <w:rsid w:val="00A927F3"/>
    <w:rsid w:val="00A96FEE"/>
    <w:rsid w:val="00AA038E"/>
    <w:rsid w:val="00AA195D"/>
    <w:rsid w:val="00AA196E"/>
    <w:rsid w:val="00AA35B2"/>
    <w:rsid w:val="00AA35DB"/>
    <w:rsid w:val="00AA5BE0"/>
    <w:rsid w:val="00AB0CBB"/>
    <w:rsid w:val="00AB2083"/>
    <w:rsid w:val="00AB4FFE"/>
    <w:rsid w:val="00AB65CC"/>
    <w:rsid w:val="00AB7799"/>
    <w:rsid w:val="00AC071C"/>
    <w:rsid w:val="00AC1B67"/>
    <w:rsid w:val="00AC2044"/>
    <w:rsid w:val="00AC2344"/>
    <w:rsid w:val="00AC39C9"/>
    <w:rsid w:val="00AC68B1"/>
    <w:rsid w:val="00AC691E"/>
    <w:rsid w:val="00AC7E37"/>
    <w:rsid w:val="00AD0DBC"/>
    <w:rsid w:val="00AD120A"/>
    <w:rsid w:val="00AD1787"/>
    <w:rsid w:val="00AD2041"/>
    <w:rsid w:val="00AD3779"/>
    <w:rsid w:val="00AD3E93"/>
    <w:rsid w:val="00AD55C1"/>
    <w:rsid w:val="00AD75F4"/>
    <w:rsid w:val="00AE2D3E"/>
    <w:rsid w:val="00AE3E15"/>
    <w:rsid w:val="00AE65A0"/>
    <w:rsid w:val="00AE6BE5"/>
    <w:rsid w:val="00AF351E"/>
    <w:rsid w:val="00AF3B1A"/>
    <w:rsid w:val="00AF760E"/>
    <w:rsid w:val="00B006C6"/>
    <w:rsid w:val="00B01B83"/>
    <w:rsid w:val="00B038D6"/>
    <w:rsid w:val="00B04085"/>
    <w:rsid w:val="00B06879"/>
    <w:rsid w:val="00B10229"/>
    <w:rsid w:val="00B10462"/>
    <w:rsid w:val="00B14E3D"/>
    <w:rsid w:val="00B155DC"/>
    <w:rsid w:val="00B16E3B"/>
    <w:rsid w:val="00B16E7E"/>
    <w:rsid w:val="00B25B25"/>
    <w:rsid w:val="00B26468"/>
    <w:rsid w:val="00B2743D"/>
    <w:rsid w:val="00B27E06"/>
    <w:rsid w:val="00B30772"/>
    <w:rsid w:val="00B356DF"/>
    <w:rsid w:val="00B36253"/>
    <w:rsid w:val="00B36B37"/>
    <w:rsid w:val="00B413EA"/>
    <w:rsid w:val="00B42170"/>
    <w:rsid w:val="00B443FB"/>
    <w:rsid w:val="00B44F06"/>
    <w:rsid w:val="00B450F0"/>
    <w:rsid w:val="00B47ED3"/>
    <w:rsid w:val="00B52480"/>
    <w:rsid w:val="00B52685"/>
    <w:rsid w:val="00B5377E"/>
    <w:rsid w:val="00B54E74"/>
    <w:rsid w:val="00B55A62"/>
    <w:rsid w:val="00B56161"/>
    <w:rsid w:val="00B56F43"/>
    <w:rsid w:val="00B57B0F"/>
    <w:rsid w:val="00B6141F"/>
    <w:rsid w:val="00B633A0"/>
    <w:rsid w:val="00B640B6"/>
    <w:rsid w:val="00B66AAD"/>
    <w:rsid w:val="00B67C99"/>
    <w:rsid w:val="00B70493"/>
    <w:rsid w:val="00B739FE"/>
    <w:rsid w:val="00B751E5"/>
    <w:rsid w:val="00B758FA"/>
    <w:rsid w:val="00B75EE7"/>
    <w:rsid w:val="00B75FDB"/>
    <w:rsid w:val="00B77063"/>
    <w:rsid w:val="00B77EC4"/>
    <w:rsid w:val="00B81473"/>
    <w:rsid w:val="00B82342"/>
    <w:rsid w:val="00B83209"/>
    <w:rsid w:val="00B840B2"/>
    <w:rsid w:val="00B85233"/>
    <w:rsid w:val="00B85C20"/>
    <w:rsid w:val="00B8686B"/>
    <w:rsid w:val="00B94233"/>
    <w:rsid w:val="00B945D8"/>
    <w:rsid w:val="00B950A2"/>
    <w:rsid w:val="00B955B0"/>
    <w:rsid w:val="00B96A08"/>
    <w:rsid w:val="00B9736D"/>
    <w:rsid w:val="00BA0D86"/>
    <w:rsid w:val="00BA1B8E"/>
    <w:rsid w:val="00BA547E"/>
    <w:rsid w:val="00BA56C8"/>
    <w:rsid w:val="00BA632B"/>
    <w:rsid w:val="00BA66AC"/>
    <w:rsid w:val="00BB2FB0"/>
    <w:rsid w:val="00BB3D2C"/>
    <w:rsid w:val="00BB4B11"/>
    <w:rsid w:val="00BB76F9"/>
    <w:rsid w:val="00BC07B0"/>
    <w:rsid w:val="00BC1211"/>
    <w:rsid w:val="00BC1F0A"/>
    <w:rsid w:val="00BC2541"/>
    <w:rsid w:val="00BC29CF"/>
    <w:rsid w:val="00BC2E50"/>
    <w:rsid w:val="00BC44B5"/>
    <w:rsid w:val="00BC6497"/>
    <w:rsid w:val="00BC77C2"/>
    <w:rsid w:val="00BD03E9"/>
    <w:rsid w:val="00BD53F3"/>
    <w:rsid w:val="00BD589C"/>
    <w:rsid w:val="00BD6703"/>
    <w:rsid w:val="00BD67BF"/>
    <w:rsid w:val="00BE0326"/>
    <w:rsid w:val="00BE23F0"/>
    <w:rsid w:val="00BE38A5"/>
    <w:rsid w:val="00BE4896"/>
    <w:rsid w:val="00BE6AD6"/>
    <w:rsid w:val="00BE7F3F"/>
    <w:rsid w:val="00BF04B2"/>
    <w:rsid w:val="00BF2382"/>
    <w:rsid w:val="00BF2FA5"/>
    <w:rsid w:val="00BF434F"/>
    <w:rsid w:val="00BF7A2B"/>
    <w:rsid w:val="00C01316"/>
    <w:rsid w:val="00C01691"/>
    <w:rsid w:val="00C035B0"/>
    <w:rsid w:val="00C0400C"/>
    <w:rsid w:val="00C05838"/>
    <w:rsid w:val="00C0657A"/>
    <w:rsid w:val="00C0681A"/>
    <w:rsid w:val="00C06CCC"/>
    <w:rsid w:val="00C1281F"/>
    <w:rsid w:val="00C13B68"/>
    <w:rsid w:val="00C153FD"/>
    <w:rsid w:val="00C15DF8"/>
    <w:rsid w:val="00C24754"/>
    <w:rsid w:val="00C26C72"/>
    <w:rsid w:val="00C3048B"/>
    <w:rsid w:val="00C32059"/>
    <w:rsid w:val="00C41C9B"/>
    <w:rsid w:val="00C42174"/>
    <w:rsid w:val="00C42D38"/>
    <w:rsid w:val="00C45BC3"/>
    <w:rsid w:val="00C47D7B"/>
    <w:rsid w:val="00C5035E"/>
    <w:rsid w:val="00C52B23"/>
    <w:rsid w:val="00C53837"/>
    <w:rsid w:val="00C575BC"/>
    <w:rsid w:val="00C576F7"/>
    <w:rsid w:val="00C66863"/>
    <w:rsid w:val="00C7352B"/>
    <w:rsid w:val="00C743C7"/>
    <w:rsid w:val="00C758D7"/>
    <w:rsid w:val="00C77A52"/>
    <w:rsid w:val="00C81B27"/>
    <w:rsid w:val="00C81E3A"/>
    <w:rsid w:val="00C825F4"/>
    <w:rsid w:val="00C82D9B"/>
    <w:rsid w:val="00C83872"/>
    <w:rsid w:val="00C83BF7"/>
    <w:rsid w:val="00C8630F"/>
    <w:rsid w:val="00C9246A"/>
    <w:rsid w:val="00C9255D"/>
    <w:rsid w:val="00C94B93"/>
    <w:rsid w:val="00C94CD7"/>
    <w:rsid w:val="00C958CB"/>
    <w:rsid w:val="00C95D94"/>
    <w:rsid w:val="00C963A9"/>
    <w:rsid w:val="00C97E40"/>
    <w:rsid w:val="00CA1008"/>
    <w:rsid w:val="00CA377B"/>
    <w:rsid w:val="00CA3AE1"/>
    <w:rsid w:val="00CA4B5C"/>
    <w:rsid w:val="00CA5F0E"/>
    <w:rsid w:val="00CA5FA2"/>
    <w:rsid w:val="00CA62A1"/>
    <w:rsid w:val="00CA6543"/>
    <w:rsid w:val="00CB2A24"/>
    <w:rsid w:val="00CB39A5"/>
    <w:rsid w:val="00CB3C98"/>
    <w:rsid w:val="00CB579F"/>
    <w:rsid w:val="00CC0853"/>
    <w:rsid w:val="00CC166A"/>
    <w:rsid w:val="00CC1E84"/>
    <w:rsid w:val="00CC2D15"/>
    <w:rsid w:val="00CC4DDE"/>
    <w:rsid w:val="00CC7E8D"/>
    <w:rsid w:val="00CD0CEC"/>
    <w:rsid w:val="00CD3EA4"/>
    <w:rsid w:val="00CD5C6E"/>
    <w:rsid w:val="00CD72D2"/>
    <w:rsid w:val="00CE049A"/>
    <w:rsid w:val="00CE24D7"/>
    <w:rsid w:val="00CE3AED"/>
    <w:rsid w:val="00CE7473"/>
    <w:rsid w:val="00CF0522"/>
    <w:rsid w:val="00CF162C"/>
    <w:rsid w:val="00CF52DB"/>
    <w:rsid w:val="00CF5FDD"/>
    <w:rsid w:val="00CF62E8"/>
    <w:rsid w:val="00CF7CE9"/>
    <w:rsid w:val="00D02B34"/>
    <w:rsid w:val="00D03E82"/>
    <w:rsid w:val="00D07674"/>
    <w:rsid w:val="00D10199"/>
    <w:rsid w:val="00D11021"/>
    <w:rsid w:val="00D110FF"/>
    <w:rsid w:val="00D124CA"/>
    <w:rsid w:val="00D14450"/>
    <w:rsid w:val="00D14BA5"/>
    <w:rsid w:val="00D1581E"/>
    <w:rsid w:val="00D15D58"/>
    <w:rsid w:val="00D17530"/>
    <w:rsid w:val="00D20057"/>
    <w:rsid w:val="00D20385"/>
    <w:rsid w:val="00D208DB"/>
    <w:rsid w:val="00D21366"/>
    <w:rsid w:val="00D22B00"/>
    <w:rsid w:val="00D232CC"/>
    <w:rsid w:val="00D262A5"/>
    <w:rsid w:val="00D274ED"/>
    <w:rsid w:val="00D300E4"/>
    <w:rsid w:val="00D305F1"/>
    <w:rsid w:val="00D3174D"/>
    <w:rsid w:val="00D31D63"/>
    <w:rsid w:val="00D33AF0"/>
    <w:rsid w:val="00D351BB"/>
    <w:rsid w:val="00D3623E"/>
    <w:rsid w:val="00D37A6B"/>
    <w:rsid w:val="00D37D3E"/>
    <w:rsid w:val="00D40782"/>
    <w:rsid w:val="00D41456"/>
    <w:rsid w:val="00D41946"/>
    <w:rsid w:val="00D43209"/>
    <w:rsid w:val="00D44D43"/>
    <w:rsid w:val="00D451C8"/>
    <w:rsid w:val="00D45669"/>
    <w:rsid w:val="00D47C70"/>
    <w:rsid w:val="00D51D75"/>
    <w:rsid w:val="00D54587"/>
    <w:rsid w:val="00D559E2"/>
    <w:rsid w:val="00D61B4D"/>
    <w:rsid w:val="00D624B5"/>
    <w:rsid w:val="00D663AE"/>
    <w:rsid w:val="00D6687A"/>
    <w:rsid w:val="00D66C3C"/>
    <w:rsid w:val="00D674F1"/>
    <w:rsid w:val="00D70963"/>
    <w:rsid w:val="00D7243A"/>
    <w:rsid w:val="00D73BB1"/>
    <w:rsid w:val="00D742DF"/>
    <w:rsid w:val="00D747F8"/>
    <w:rsid w:val="00D74862"/>
    <w:rsid w:val="00D75ECD"/>
    <w:rsid w:val="00D775F1"/>
    <w:rsid w:val="00D81174"/>
    <w:rsid w:val="00D81C3C"/>
    <w:rsid w:val="00D832ED"/>
    <w:rsid w:val="00D83EC4"/>
    <w:rsid w:val="00D83F0B"/>
    <w:rsid w:val="00D84081"/>
    <w:rsid w:val="00D848B5"/>
    <w:rsid w:val="00D868DE"/>
    <w:rsid w:val="00D91F87"/>
    <w:rsid w:val="00D925D4"/>
    <w:rsid w:val="00D92AB7"/>
    <w:rsid w:val="00D934AF"/>
    <w:rsid w:val="00D93554"/>
    <w:rsid w:val="00DA2A01"/>
    <w:rsid w:val="00DA338D"/>
    <w:rsid w:val="00DA49A3"/>
    <w:rsid w:val="00DA5578"/>
    <w:rsid w:val="00DB1A87"/>
    <w:rsid w:val="00DB1F86"/>
    <w:rsid w:val="00DB20C9"/>
    <w:rsid w:val="00DB2C37"/>
    <w:rsid w:val="00DB5A25"/>
    <w:rsid w:val="00DB6F26"/>
    <w:rsid w:val="00DC0194"/>
    <w:rsid w:val="00DC1CF0"/>
    <w:rsid w:val="00DC719B"/>
    <w:rsid w:val="00DC731F"/>
    <w:rsid w:val="00DD0BC2"/>
    <w:rsid w:val="00DD22B5"/>
    <w:rsid w:val="00DD2336"/>
    <w:rsid w:val="00DD33AA"/>
    <w:rsid w:val="00DD4A6F"/>
    <w:rsid w:val="00DD73FF"/>
    <w:rsid w:val="00DD7460"/>
    <w:rsid w:val="00DE3A3D"/>
    <w:rsid w:val="00DE42B9"/>
    <w:rsid w:val="00DE4D9D"/>
    <w:rsid w:val="00DE5A41"/>
    <w:rsid w:val="00DE76FC"/>
    <w:rsid w:val="00DF08F3"/>
    <w:rsid w:val="00DF1E0B"/>
    <w:rsid w:val="00DF728E"/>
    <w:rsid w:val="00E00471"/>
    <w:rsid w:val="00E013ED"/>
    <w:rsid w:val="00E01935"/>
    <w:rsid w:val="00E0310E"/>
    <w:rsid w:val="00E037EC"/>
    <w:rsid w:val="00E063E0"/>
    <w:rsid w:val="00E06CB7"/>
    <w:rsid w:val="00E10682"/>
    <w:rsid w:val="00E106F7"/>
    <w:rsid w:val="00E1309F"/>
    <w:rsid w:val="00E149A0"/>
    <w:rsid w:val="00E14E17"/>
    <w:rsid w:val="00E15C61"/>
    <w:rsid w:val="00E16ABE"/>
    <w:rsid w:val="00E17A35"/>
    <w:rsid w:val="00E23A76"/>
    <w:rsid w:val="00E26398"/>
    <w:rsid w:val="00E274EB"/>
    <w:rsid w:val="00E27A2A"/>
    <w:rsid w:val="00E27C3A"/>
    <w:rsid w:val="00E40B2A"/>
    <w:rsid w:val="00E41CE8"/>
    <w:rsid w:val="00E420D1"/>
    <w:rsid w:val="00E4434F"/>
    <w:rsid w:val="00E44456"/>
    <w:rsid w:val="00E449E8"/>
    <w:rsid w:val="00E47AD1"/>
    <w:rsid w:val="00E50589"/>
    <w:rsid w:val="00E522DB"/>
    <w:rsid w:val="00E53FDD"/>
    <w:rsid w:val="00E55E73"/>
    <w:rsid w:val="00E57B28"/>
    <w:rsid w:val="00E60C6E"/>
    <w:rsid w:val="00E65180"/>
    <w:rsid w:val="00E65FF4"/>
    <w:rsid w:val="00E66C60"/>
    <w:rsid w:val="00E7010B"/>
    <w:rsid w:val="00E72BA4"/>
    <w:rsid w:val="00E73280"/>
    <w:rsid w:val="00E749F3"/>
    <w:rsid w:val="00E75784"/>
    <w:rsid w:val="00E82718"/>
    <w:rsid w:val="00E83E53"/>
    <w:rsid w:val="00E86DB4"/>
    <w:rsid w:val="00E8726C"/>
    <w:rsid w:val="00E9021C"/>
    <w:rsid w:val="00E91D15"/>
    <w:rsid w:val="00E93C0A"/>
    <w:rsid w:val="00E95B21"/>
    <w:rsid w:val="00E97EDA"/>
    <w:rsid w:val="00EA0425"/>
    <w:rsid w:val="00EA093B"/>
    <w:rsid w:val="00EA1D5A"/>
    <w:rsid w:val="00EA26D9"/>
    <w:rsid w:val="00EA49C0"/>
    <w:rsid w:val="00EA5491"/>
    <w:rsid w:val="00EA63DB"/>
    <w:rsid w:val="00EA6BC8"/>
    <w:rsid w:val="00EA748E"/>
    <w:rsid w:val="00EA7B76"/>
    <w:rsid w:val="00EA7B82"/>
    <w:rsid w:val="00EB1A48"/>
    <w:rsid w:val="00EB5BB8"/>
    <w:rsid w:val="00EC07E6"/>
    <w:rsid w:val="00EC2C09"/>
    <w:rsid w:val="00EC2F97"/>
    <w:rsid w:val="00EC30C6"/>
    <w:rsid w:val="00EC6AD2"/>
    <w:rsid w:val="00EC7891"/>
    <w:rsid w:val="00EC7B32"/>
    <w:rsid w:val="00ED0D8E"/>
    <w:rsid w:val="00ED3747"/>
    <w:rsid w:val="00ED6942"/>
    <w:rsid w:val="00EE00ED"/>
    <w:rsid w:val="00EE4FCA"/>
    <w:rsid w:val="00EE7C89"/>
    <w:rsid w:val="00EF3A27"/>
    <w:rsid w:val="00EF4DDA"/>
    <w:rsid w:val="00EF4E60"/>
    <w:rsid w:val="00F00A5A"/>
    <w:rsid w:val="00F015B2"/>
    <w:rsid w:val="00F05BC6"/>
    <w:rsid w:val="00F0624D"/>
    <w:rsid w:val="00F064C9"/>
    <w:rsid w:val="00F1014F"/>
    <w:rsid w:val="00F11A30"/>
    <w:rsid w:val="00F12766"/>
    <w:rsid w:val="00F15115"/>
    <w:rsid w:val="00F1533F"/>
    <w:rsid w:val="00F160D5"/>
    <w:rsid w:val="00F202A6"/>
    <w:rsid w:val="00F221D2"/>
    <w:rsid w:val="00F23AD9"/>
    <w:rsid w:val="00F25157"/>
    <w:rsid w:val="00F2661F"/>
    <w:rsid w:val="00F306E9"/>
    <w:rsid w:val="00F311FC"/>
    <w:rsid w:val="00F33480"/>
    <w:rsid w:val="00F34133"/>
    <w:rsid w:val="00F35065"/>
    <w:rsid w:val="00F3527A"/>
    <w:rsid w:val="00F35568"/>
    <w:rsid w:val="00F3787F"/>
    <w:rsid w:val="00F40684"/>
    <w:rsid w:val="00F4131C"/>
    <w:rsid w:val="00F47E2C"/>
    <w:rsid w:val="00F50FE6"/>
    <w:rsid w:val="00F51720"/>
    <w:rsid w:val="00F52306"/>
    <w:rsid w:val="00F548E5"/>
    <w:rsid w:val="00F5532C"/>
    <w:rsid w:val="00F553F4"/>
    <w:rsid w:val="00F56893"/>
    <w:rsid w:val="00F57988"/>
    <w:rsid w:val="00F57D38"/>
    <w:rsid w:val="00F60AED"/>
    <w:rsid w:val="00F630CE"/>
    <w:rsid w:val="00F636A9"/>
    <w:rsid w:val="00F67F99"/>
    <w:rsid w:val="00F70553"/>
    <w:rsid w:val="00F70CAA"/>
    <w:rsid w:val="00F72AFC"/>
    <w:rsid w:val="00F73C99"/>
    <w:rsid w:val="00F74790"/>
    <w:rsid w:val="00F759FC"/>
    <w:rsid w:val="00F75F55"/>
    <w:rsid w:val="00F76441"/>
    <w:rsid w:val="00F8102E"/>
    <w:rsid w:val="00F854D2"/>
    <w:rsid w:val="00F860BC"/>
    <w:rsid w:val="00F878FF"/>
    <w:rsid w:val="00F909D8"/>
    <w:rsid w:val="00F9171D"/>
    <w:rsid w:val="00F920B3"/>
    <w:rsid w:val="00F95DA2"/>
    <w:rsid w:val="00F97DE4"/>
    <w:rsid w:val="00FA0FB9"/>
    <w:rsid w:val="00FA4EF9"/>
    <w:rsid w:val="00FA50C0"/>
    <w:rsid w:val="00FA5BFD"/>
    <w:rsid w:val="00FA66ED"/>
    <w:rsid w:val="00FA679A"/>
    <w:rsid w:val="00FA7C6E"/>
    <w:rsid w:val="00FB02A3"/>
    <w:rsid w:val="00FB42AF"/>
    <w:rsid w:val="00FB4AD8"/>
    <w:rsid w:val="00FB4C8E"/>
    <w:rsid w:val="00FB6B8C"/>
    <w:rsid w:val="00FB7B83"/>
    <w:rsid w:val="00FC04F1"/>
    <w:rsid w:val="00FC0DAC"/>
    <w:rsid w:val="00FC1BDC"/>
    <w:rsid w:val="00FC1E5F"/>
    <w:rsid w:val="00FC2ABE"/>
    <w:rsid w:val="00FC554A"/>
    <w:rsid w:val="00FC5A37"/>
    <w:rsid w:val="00FD30D5"/>
    <w:rsid w:val="00FD3680"/>
    <w:rsid w:val="00FD4863"/>
    <w:rsid w:val="00FD492A"/>
    <w:rsid w:val="00FD4DDE"/>
    <w:rsid w:val="00FD558A"/>
    <w:rsid w:val="00FD5753"/>
    <w:rsid w:val="00FE2BCA"/>
    <w:rsid w:val="00FE2D40"/>
    <w:rsid w:val="00FE5D7D"/>
    <w:rsid w:val="00FE5EE4"/>
    <w:rsid w:val="00FE648C"/>
    <w:rsid w:val="00FE6FE1"/>
    <w:rsid w:val="00FE72C1"/>
    <w:rsid w:val="00FE7FC6"/>
    <w:rsid w:val="00FF128A"/>
    <w:rsid w:val="00FF28BB"/>
    <w:rsid w:val="00FF3012"/>
    <w:rsid w:val="00FF3163"/>
    <w:rsid w:val="00FF4691"/>
    <w:rsid w:val="00FF4F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1D83"/>
  <w15:chartTrackingRefBased/>
  <w15:docId w15:val="{10C587D4-4D0A-4C0C-AA28-2BCD8C91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27"/>
    <w:pPr>
      <w:ind w:left="720"/>
      <w:contextualSpacing/>
    </w:pPr>
  </w:style>
  <w:style w:type="paragraph" w:styleId="BalloonText">
    <w:name w:val="Balloon Text"/>
    <w:basedOn w:val="Normal"/>
    <w:link w:val="BalloonTextChar"/>
    <w:uiPriority w:val="99"/>
    <w:semiHidden/>
    <w:unhideWhenUsed/>
    <w:rsid w:val="004D7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A6"/>
    <w:rPr>
      <w:rFonts w:ascii="Segoe UI" w:hAnsi="Segoe UI" w:cs="Segoe UI"/>
      <w:sz w:val="18"/>
      <w:szCs w:val="18"/>
      <w:lang w:val="en-GB"/>
    </w:rPr>
  </w:style>
  <w:style w:type="paragraph" w:styleId="Header">
    <w:name w:val="header"/>
    <w:basedOn w:val="Normal"/>
    <w:link w:val="HeaderChar"/>
    <w:uiPriority w:val="99"/>
    <w:rsid w:val="004D75A6"/>
    <w:pPr>
      <w:tabs>
        <w:tab w:val="center" w:pos="4320"/>
        <w:tab w:val="right" w:pos="8640"/>
      </w:tabs>
      <w:spacing w:after="0" w:line="240" w:lineRule="auto"/>
    </w:pPr>
    <w:rPr>
      <w:rFonts w:ascii="Arial" w:eastAsia="Times New Roman" w:hAnsi="Arial" w:cs="Times New Roman"/>
      <w:sz w:val="24"/>
      <w:szCs w:val="20"/>
      <w:lang w:val="en-ZA"/>
    </w:rPr>
  </w:style>
  <w:style w:type="character" w:customStyle="1" w:styleId="HeaderChar">
    <w:name w:val="Header Char"/>
    <w:basedOn w:val="DefaultParagraphFont"/>
    <w:link w:val="Header"/>
    <w:uiPriority w:val="99"/>
    <w:rsid w:val="004D75A6"/>
    <w:rPr>
      <w:rFonts w:ascii="Arial" w:eastAsia="Times New Roman" w:hAnsi="Arial" w:cs="Times New Roman"/>
      <w:sz w:val="24"/>
      <w:szCs w:val="20"/>
    </w:rPr>
  </w:style>
  <w:style w:type="paragraph" w:styleId="Footer">
    <w:name w:val="footer"/>
    <w:basedOn w:val="Normal"/>
    <w:link w:val="FooterChar"/>
    <w:uiPriority w:val="99"/>
    <w:unhideWhenUsed/>
    <w:rsid w:val="00B3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DF"/>
    <w:rPr>
      <w:lang w:val="en-GB"/>
    </w:rPr>
  </w:style>
  <w:style w:type="paragraph" w:styleId="Subtitle">
    <w:name w:val="Subtitle"/>
    <w:basedOn w:val="Normal"/>
    <w:next w:val="Normal"/>
    <w:link w:val="SubtitleChar"/>
    <w:uiPriority w:val="11"/>
    <w:qFormat/>
    <w:rsid w:val="00B356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56DF"/>
    <w:rPr>
      <w:rFonts w:eastAsiaTheme="minorEastAsia"/>
      <w:color w:val="5A5A5A" w:themeColor="text1" w:themeTint="A5"/>
      <w:spacing w:val="15"/>
      <w:lang w:val="en-GB"/>
    </w:rPr>
  </w:style>
  <w:style w:type="paragraph" w:styleId="FootnoteText">
    <w:name w:val="footnote text"/>
    <w:basedOn w:val="Normal"/>
    <w:link w:val="FootnoteTextChar"/>
    <w:uiPriority w:val="99"/>
    <w:semiHidden/>
    <w:unhideWhenUsed/>
    <w:rsid w:val="00D305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5F1"/>
    <w:rPr>
      <w:sz w:val="20"/>
      <w:szCs w:val="20"/>
      <w:lang w:val="en-GB"/>
    </w:rPr>
  </w:style>
  <w:style w:type="character" w:styleId="FootnoteReference">
    <w:name w:val="footnote reference"/>
    <w:basedOn w:val="DefaultParagraphFont"/>
    <w:uiPriority w:val="99"/>
    <w:semiHidden/>
    <w:unhideWhenUsed/>
    <w:rsid w:val="00D305F1"/>
    <w:rPr>
      <w:vertAlign w:val="superscript"/>
    </w:rPr>
  </w:style>
  <w:style w:type="character" w:customStyle="1" w:styleId="mc">
    <w:name w:val="mc"/>
    <w:basedOn w:val="DefaultParagraphFont"/>
    <w:rsid w:val="008D1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809622">
      <w:bodyDiv w:val="1"/>
      <w:marLeft w:val="0"/>
      <w:marRight w:val="0"/>
      <w:marTop w:val="0"/>
      <w:marBottom w:val="0"/>
      <w:divBdr>
        <w:top w:val="none" w:sz="0" w:space="0" w:color="auto"/>
        <w:left w:val="none" w:sz="0" w:space="0" w:color="auto"/>
        <w:bottom w:val="none" w:sz="0" w:space="0" w:color="auto"/>
        <w:right w:val="none" w:sz="0" w:space="0" w:color="auto"/>
      </w:divBdr>
      <w:divsChild>
        <w:div w:id="1992713998">
          <w:marLeft w:val="0"/>
          <w:marRight w:val="0"/>
          <w:marTop w:val="120"/>
          <w:marBottom w:val="0"/>
          <w:divBdr>
            <w:top w:val="none" w:sz="0" w:space="0" w:color="auto"/>
            <w:left w:val="none" w:sz="0" w:space="0" w:color="auto"/>
            <w:bottom w:val="none" w:sz="0" w:space="0" w:color="auto"/>
            <w:right w:val="none" w:sz="0" w:space="0" w:color="auto"/>
          </w:divBdr>
        </w:div>
        <w:div w:id="849367894">
          <w:marLeft w:val="567"/>
          <w:marRight w:val="0"/>
          <w:marTop w:val="60"/>
          <w:marBottom w:val="0"/>
          <w:divBdr>
            <w:top w:val="none" w:sz="0" w:space="0" w:color="auto"/>
            <w:left w:val="none" w:sz="0" w:space="0" w:color="auto"/>
            <w:bottom w:val="none" w:sz="0" w:space="0" w:color="auto"/>
            <w:right w:val="none" w:sz="0" w:space="0" w:color="auto"/>
          </w:divBdr>
        </w:div>
        <w:div w:id="764150341">
          <w:marLeft w:val="0"/>
          <w:marRight w:val="0"/>
          <w:marTop w:val="240"/>
          <w:marBottom w:val="24"/>
          <w:divBdr>
            <w:top w:val="single" w:sz="8" w:space="2" w:color="808080"/>
            <w:left w:val="none" w:sz="0" w:space="0" w:color="auto"/>
            <w:bottom w:val="none" w:sz="0" w:space="0" w:color="auto"/>
            <w:right w:val="none" w:sz="0" w:space="0" w:color="auto"/>
          </w:divBdr>
        </w:div>
        <w:div w:id="716853370">
          <w:marLeft w:val="0"/>
          <w:marRight w:val="0"/>
          <w:marTop w:val="120"/>
          <w:marBottom w:val="0"/>
          <w:divBdr>
            <w:top w:val="none" w:sz="0" w:space="0" w:color="auto"/>
            <w:left w:val="none" w:sz="0" w:space="0" w:color="auto"/>
            <w:bottom w:val="none" w:sz="0" w:space="0" w:color="auto"/>
            <w:right w:val="none" w:sz="0" w:space="0" w:color="auto"/>
          </w:divBdr>
        </w:div>
        <w:div w:id="2047413024">
          <w:marLeft w:val="56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5349</Words>
  <Characters>30492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Laing</dc:creator>
  <cp:keywords/>
  <dc:description/>
  <cp:lastModifiedBy>Mariana Anguelov</cp:lastModifiedBy>
  <cp:revision>3</cp:revision>
  <cp:lastPrinted>2022-11-04T08:02:00Z</cp:lastPrinted>
  <dcterms:created xsi:type="dcterms:W3CDTF">2022-11-08T09:55:00Z</dcterms:created>
  <dcterms:modified xsi:type="dcterms:W3CDTF">2022-11-10T18:40:00Z</dcterms:modified>
</cp:coreProperties>
</file>