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2A7D" w14:textId="77777777" w:rsidR="00D450B5" w:rsidRPr="00044B50" w:rsidRDefault="00D450B5" w:rsidP="00772E4B">
      <w:pPr>
        <w:autoSpaceDE w:val="0"/>
        <w:autoSpaceDN w:val="0"/>
        <w:adjustRightInd w:val="0"/>
        <w:jc w:val="right"/>
        <w:rPr>
          <w:lang w:val="en-GB"/>
        </w:rPr>
      </w:pPr>
      <w:bookmarkStart w:id="0" w:name="_GoBack"/>
      <w:bookmarkEnd w:id="0"/>
    </w:p>
    <w:p w14:paraId="7720BFDE" w14:textId="77777777" w:rsidR="00D450B5" w:rsidRPr="00044B50" w:rsidRDefault="00D450B5" w:rsidP="00772E4B">
      <w:pPr>
        <w:jc w:val="center"/>
        <w:rPr>
          <w:lang w:val="en-GB"/>
        </w:rPr>
      </w:pPr>
      <w:r w:rsidRPr="00044B50">
        <w:rPr>
          <w:noProof/>
          <w:lang w:eastAsia="en-ZA"/>
        </w:rPr>
        <w:drawing>
          <wp:inline distT="0" distB="0" distL="0" distR="0" wp14:anchorId="5BC380A5" wp14:editId="762B1AE5">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3E6DAC46" w14:textId="77777777" w:rsidR="00D450B5" w:rsidRPr="00044B50" w:rsidRDefault="00D450B5" w:rsidP="00772E4B">
      <w:pPr>
        <w:jc w:val="center"/>
        <w:rPr>
          <w:b/>
          <w:bCs/>
          <w:lang w:val="en-GB"/>
        </w:rPr>
      </w:pPr>
      <w:r w:rsidRPr="00044B50">
        <w:rPr>
          <w:b/>
          <w:bCs/>
          <w:lang w:val="en-GB"/>
        </w:rPr>
        <w:t>IN THE HIGH COURT OF SOUTH AFRICA</w:t>
      </w:r>
    </w:p>
    <w:p w14:paraId="1076C064" w14:textId="77777777" w:rsidR="00D450B5" w:rsidRPr="00044B50" w:rsidRDefault="00D450B5" w:rsidP="00772E4B">
      <w:pPr>
        <w:jc w:val="center"/>
        <w:rPr>
          <w:b/>
          <w:bCs/>
          <w:lang w:val="en-GB"/>
        </w:rPr>
      </w:pPr>
      <w:r w:rsidRPr="00044B50">
        <w:rPr>
          <w:b/>
          <w:bCs/>
          <w:lang w:val="en-GB"/>
        </w:rPr>
        <w:t xml:space="preserve">(EASTERN CAPE DIVISION, </w:t>
      </w:r>
      <w:r w:rsidR="00712DC4">
        <w:rPr>
          <w:b/>
          <w:bCs/>
          <w:lang w:val="en-GB"/>
        </w:rPr>
        <w:t>MAKHANDA</w:t>
      </w:r>
      <w:r w:rsidRPr="00044B50">
        <w:rPr>
          <w:b/>
          <w:bCs/>
          <w:lang w:val="en-GB"/>
        </w:rPr>
        <w:t>)</w:t>
      </w:r>
    </w:p>
    <w:p w14:paraId="36BF7054" w14:textId="77777777" w:rsidR="00D450B5" w:rsidRPr="00044B50" w:rsidRDefault="00D450B5" w:rsidP="00772E4B">
      <w:pPr>
        <w:widowControl w:val="0"/>
        <w:jc w:val="both"/>
        <w:rPr>
          <w:spacing w:val="14"/>
          <w:kern w:val="2"/>
          <w:u w:val="single"/>
          <w:lang w:val="en-GB"/>
        </w:rPr>
      </w:pPr>
    </w:p>
    <w:p w14:paraId="6945229A" w14:textId="77777777" w:rsidR="00AA4E10" w:rsidRDefault="00D450B5" w:rsidP="00772E4B">
      <w:pPr>
        <w:ind w:right="-52"/>
        <w:jc w:val="center"/>
        <w:rPr>
          <w:b/>
          <w:bCs/>
          <w:lang w:val="en-GB"/>
        </w:rPr>
      </w:pPr>
      <w:r w:rsidRPr="00044B50">
        <w:rPr>
          <w:lang w:val="en-GB"/>
        </w:rPr>
        <w:t xml:space="preserve">                                                                                         </w:t>
      </w:r>
      <w:r w:rsidR="000668D0">
        <w:rPr>
          <w:lang w:val="en-GB"/>
        </w:rPr>
        <w:t xml:space="preserve">         </w:t>
      </w:r>
      <w:r w:rsidR="00F814E1">
        <w:rPr>
          <w:b/>
          <w:bCs/>
          <w:lang w:val="en-GB"/>
        </w:rPr>
        <w:t>Of interest</w:t>
      </w:r>
    </w:p>
    <w:p w14:paraId="1C4D50DA" w14:textId="77777777" w:rsidR="00E44987" w:rsidRPr="00044B50" w:rsidRDefault="00D450B5" w:rsidP="000668D0">
      <w:pPr>
        <w:ind w:right="-52"/>
        <w:jc w:val="center"/>
        <w:rPr>
          <w:lang w:val="en-GB"/>
        </w:rPr>
      </w:pPr>
      <w:r w:rsidRPr="00044B50">
        <w:rPr>
          <w:b/>
          <w:bCs/>
          <w:lang w:val="en-GB"/>
        </w:rPr>
        <w:t xml:space="preserve">                                     </w:t>
      </w:r>
      <w:r w:rsidR="00E44987" w:rsidRPr="00044B50">
        <w:rPr>
          <w:lang w:val="en-GB"/>
        </w:rPr>
        <w:t xml:space="preserve">                                                </w:t>
      </w:r>
      <w:r w:rsidR="000668D0" w:rsidRPr="000668D0">
        <w:rPr>
          <w:lang w:val="en-GB"/>
        </w:rPr>
        <w:t xml:space="preserve"> </w:t>
      </w:r>
      <w:r w:rsidR="000668D0">
        <w:rPr>
          <w:lang w:val="en-GB"/>
        </w:rPr>
        <w:t>Case no:</w:t>
      </w:r>
      <w:r w:rsidR="005D6F7D">
        <w:rPr>
          <w:lang w:val="en-GB"/>
        </w:rPr>
        <w:t xml:space="preserve"> </w:t>
      </w:r>
      <w:r w:rsidR="000668D0">
        <w:rPr>
          <w:lang w:val="en-GB"/>
        </w:rPr>
        <w:t>2283/2021</w:t>
      </w:r>
    </w:p>
    <w:p w14:paraId="5D238C0B" w14:textId="77777777" w:rsidR="00D450B5" w:rsidRPr="00044B50" w:rsidRDefault="00D450B5" w:rsidP="00772E4B">
      <w:pPr>
        <w:widowControl w:val="0"/>
        <w:jc w:val="right"/>
        <w:rPr>
          <w:spacing w:val="14"/>
          <w:kern w:val="2"/>
          <w:lang w:val="en-GB"/>
        </w:rPr>
      </w:pPr>
    </w:p>
    <w:p w14:paraId="37C05B76" w14:textId="77777777" w:rsidR="00D450B5"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6981930F" w14:textId="77777777" w:rsidR="00B17E4E" w:rsidRPr="00044B50" w:rsidRDefault="00B17E4E" w:rsidP="00772E4B">
      <w:pPr>
        <w:widowControl w:val="0"/>
        <w:jc w:val="both"/>
        <w:rPr>
          <w:spacing w:val="14"/>
          <w:kern w:val="2"/>
          <w:lang w:val="en-GB"/>
        </w:rPr>
      </w:pPr>
    </w:p>
    <w:p w14:paraId="2AF39472" w14:textId="77777777" w:rsidR="00D450B5" w:rsidRPr="000668D0" w:rsidRDefault="000668D0" w:rsidP="000668D0">
      <w:pPr>
        <w:widowControl w:val="0"/>
        <w:tabs>
          <w:tab w:val="left" w:pos="7088"/>
          <w:tab w:val="right" w:pos="8198"/>
        </w:tabs>
        <w:ind w:right="515"/>
        <w:jc w:val="both"/>
        <w:rPr>
          <w:b/>
          <w:spacing w:val="14"/>
          <w:kern w:val="2"/>
          <w:lang w:val="en-GB"/>
        </w:rPr>
      </w:pPr>
      <w:r w:rsidRPr="000668D0">
        <w:rPr>
          <w:b/>
          <w:spacing w:val="14"/>
          <w:kern w:val="2"/>
          <w:lang w:val="en-GB"/>
        </w:rPr>
        <w:t xml:space="preserve">JENNIFER ANNE NELSON </w:t>
      </w:r>
      <w:r w:rsidR="00B17E4E">
        <w:rPr>
          <w:b/>
          <w:spacing w:val="14"/>
          <w:kern w:val="2"/>
          <w:lang w:val="en-GB"/>
        </w:rPr>
        <w:tab/>
        <w:t xml:space="preserve"> Applicant</w:t>
      </w:r>
    </w:p>
    <w:p w14:paraId="5D92A5C4" w14:textId="77777777" w:rsidR="00D450B5" w:rsidRPr="00044B50" w:rsidRDefault="00D450B5" w:rsidP="00772E4B">
      <w:pPr>
        <w:tabs>
          <w:tab w:val="right" w:pos="9072"/>
        </w:tabs>
        <w:suppressAutoHyphens/>
        <w:jc w:val="both"/>
        <w:rPr>
          <w:lang w:val="en-GB"/>
        </w:rPr>
      </w:pPr>
    </w:p>
    <w:p w14:paraId="5DEE2D90" w14:textId="77777777" w:rsidR="00D450B5" w:rsidRPr="00044B50" w:rsidRDefault="00D450B5" w:rsidP="00772E4B">
      <w:pPr>
        <w:jc w:val="both"/>
        <w:rPr>
          <w:lang w:val="en-GB"/>
        </w:rPr>
      </w:pPr>
      <w:r w:rsidRPr="00044B50">
        <w:rPr>
          <w:lang w:val="en-GB"/>
        </w:rPr>
        <w:t>and</w:t>
      </w:r>
    </w:p>
    <w:p w14:paraId="1556D398" w14:textId="77777777" w:rsidR="00D450B5" w:rsidRPr="00044B50" w:rsidRDefault="00D450B5" w:rsidP="00772E4B">
      <w:pPr>
        <w:jc w:val="both"/>
        <w:rPr>
          <w:lang w:val="en-GB"/>
        </w:rPr>
      </w:pPr>
    </w:p>
    <w:p w14:paraId="3F001F5F" w14:textId="77777777" w:rsidR="00B17E4E" w:rsidRDefault="000668D0" w:rsidP="00B17E4E">
      <w:pPr>
        <w:tabs>
          <w:tab w:val="left" w:pos="7088"/>
        </w:tabs>
        <w:jc w:val="both"/>
        <w:rPr>
          <w:b/>
          <w:bCs/>
          <w:lang w:val="en-GB"/>
        </w:rPr>
      </w:pPr>
      <w:r>
        <w:rPr>
          <w:b/>
          <w:bCs/>
          <w:lang w:val="en-GB"/>
        </w:rPr>
        <w:t xml:space="preserve">NEIL CHRISTOPHER NELSON </w:t>
      </w:r>
      <w:r>
        <w:rPr>
          <w:b/>
          <w:bCs/>
          <w:lang w:val="en-GB"/>
        </w:rPr>
        <w:tab/>
        <w:t>Respondent</w:t>
      </w:r>
      <w:r w:rsidR="00772E4B" w:rsidRPr="00044B50">
        <w:rPr>
          <w:b/>
          <w:bCs/>
          <w:lang w:val="en-GB"/>
        </w:rPr>
        <w:tab/>
      </w:r>
    </w:p>
    <w:p w14:paraId="02C05F59" w14:textId="77777777" w:rsidR="00B17E4E" w:rsidRPr="00B17E4E" w:rsidRDefault="00B17E4E" w:rsidP="00B17E4E">
      <w:pPr>
        <w:jc w:val="both"/>
        <w:rPr>
          <w:lang w:val="en-GB"/>
        </w:rPr>
      </w:pPr>
      <w:r w:rsidRPr="00B17E4E">
        <w:rPr>
          <w:lang w:val="en-GB"/>
        </w:rPr>
        <w:t>___________________________________________________________________</w:t>
      </w:r>
    </w:p>
    <w:p w14:paraId="29169906" w14:textId="77777777" w:rsidR="00B17E4E" w:rsidRPr="00B17E4E" w:rsidRDefault="00B17E4E" w:rsidP="00B17E4E">
      <w:pPr>
        <w:jc w:val="center"/>
        <w:rPr>
          <w:lang w:val="en-GB"/>
        </w:rPr>
      </w:pPr>
    </w:p>
    <w:p w14:paraId="62F93DCB" w14:textId="77777777" w:rsidR="00B17E4E" w:rsidRPr="00B17E4E" w:rsidRDefault="00B17E4E" w:rsidP="00B17E4E">
      <w:pPr>
        <w:jc w:val="center"/>
        <w:rPr>
          <w:b/>
          <w:bCs/>
          <w:lang w:val="en-GB"/>
        </w:rPr>
      </w:pPr>
      <w:r w:rsidRPr="00B17E4E">
        <w:rPr>
          <w:b/>
          <w:bCs/>
          <w:lang w:val="en-GB"/>
        </w:rPr>
        <w:t xml:space="preserve">JUDGMENT </w:t>
      </w:r>
    </w:p>
    <w:p w14:paraId="0EC47196" w14:textId="77777777" w:rsidR="00B17E4E" w:rsidRPr="00B17E4E" w:rsidRDefault="00B17E4E" w:rsidP="00B17E4E">
      <w:pPr>
        <w:jc w:val="both"/>
        <w:rPr>
          <w:lang w:val="en-GB"/>
        </w:rPr>
      </w:pPr>
      <w:r w:rsidRPr="00B17E4E">
        <w:rPr>
          <w:lang w:val="en-GB"/>
        </w:rPr>
        <w:t>___________________________________________________________________</w:t>
      </w:r>
    </w:p>
    <w:p w14:paraId="21463CFE" w14:textId="77777777" w:rsidR="00B17E4E" w:rsidRPr="00B17E4E" w:rsidRDefault="00B17E4E" w:rsidP="00B17E4E">
      <w:pPr>
        <w:jc w:val="both"/>
        <w:rPr>
          <w:b/>
          <w:bCs/>
          <w:lang w:val="en-GB"/>
        </w:rPr>
      </w:pPr>
      <w:r w:rsidRPr="00B17E4E">
        <w:rPr>
          <w:b/>
          <w:bCs/>
          <w:lang w:val="en-GB"/>
        </w:rPr>
        <w:t>Govindjee J</w:t>
      </w:r>
    </w:p>
    <w:p w14:paraId="1E9EAA47" w14:textId="77777777" w:rsidR="00EC1921" w:rsidRDefault="00EC1921" w:rsidP="00B17E4E">
      <w:pPr>
        <w:tabs>
          <w:tab w:val="left" w:pos="3119"/>
          <w:tab w:val="left" w:pos="7088"/>
          <w:tab w:val="left" w:pos="7655"/>
        </w:tabs>
        <w:jc w:val="both"/>
        <w:rPr>
          <w:lang w:val="en-GB"/>
        </w:rPr>
      </w:pPr>
    </w:p>
    <w:p w14:paraId="47F71CA4" w14:textId="77777777" w:rsidR="00896356" w:rsidRDefault="00896356" w:rsidP="00D0378E">
      <w:pPr>
        <w:rPr>
          <w:b/>
          <w:bCs/>
          <w:lang w:val="en-GB"/>
        </w:rPr>
      </w:pPr>
      <w:r>
        <w:rPr>
          <w:b/>
          <w:bCs/>
          <w:lang w:val="en-GB"/>
        </w:rPr>
        <w:t>Background</w:t>
      </w:r>
    </w:p>
    <w:p w14:paraId="6E1297EB" w14:textId="77777777" w:rsidR="00896356" w:rsidRPr="00896356" w:rsidRDefault="00896356" w:rsidP="00577032">
      <w:pPr>
        <w:jc w:val="both"/>
        <w:rPr>
          <w:b/>
          <w:bCs/>
          <w:lang w:val="en-GB"/>
        </w:rPr>
      </w:pPr>
    </w:p>
    <w:p w14:paraId="5A5AF221" w14:textId="77777777" w:rsidR="00A8264B" w:rsidRDefault="00D455DF" w:rsidP="00B44A2D">
      <w:pPr>
        <w:pStyle w:val="ListParagraph"/>
        <w:numPr>
          <w:ilvl w:val="0"/>
          <w:numId w:val="16"/>
        </w:numPr>
        <w:ind w:left="142" w:hanging="142"/>
        <w:jc w:val="both"/>
        <w:rPr>
          <w:lang w:val="en-GB"/>
        </w:rPr>
      </w:pPr>
      <w:r>
        <w:rPr>
          <w:lang w:val="en-GB"/>
        </w:rPr>
        <w:t>The parties were married out of community of property with the inclusion of the accrual system during 1996. They were divorced on 18 June 2019, having entered into a settlement agreement which was made an order of court</w:t>
      </w:r>
      <w:r w:rsidR="00F44A3D">
        <w:rPr>
          <w:lang w:val="en-GB"/>
        </w:rPr>
        <w:t xml:space="preserve"> (‘the order’)</w:t>
      </w:r>
      <w:r>
        <w:rPr>
          <w:lang w:val="en-GB"/>
        </w:rPr>
        <w:t xml:space="preserve">. </w:t>
      </w:r>
    </w:p>
    <w:p w14:paraId="6E07BB38" w14:textId="77777777" w:rsidR="00A8264B" w:rsidRDefault="00A8264B" w:rsidP="00577032">
      <w:pPr>
        <w:pStyle w:val="ListParagraph"/>
        <w:jc w:val="both"/>
        <w:rPr>
          <w:lang w:val="en-GB"/>
        </w:rPr>
      </w:pPr>
    </w:p>
    <w:p w14:paraId="39A64E60" w14:textId="77777777" w:rsidR="00D455DF" w:rsidRDefault="00BE41FF" w:rsidP="00B44A2D">
      <w:pPr>
        <w:pStyle w:val="ListParagraph"/>
        <w:numPr>
          <w:ilvl w:val="0"/>
          <w:numId w:val="16"/>
        </w:numPr>
        <w:ind w:left="142" w:hanging="142"/>
        <w:jc w:val="both"/>
        <w:rPr>
          <w:lang w:val="en-GB"/>
        </w:rPr>
      </w:pPr>
      <w:r>
        <w:rPr>
          <w:lang w:val="en-GB"/>
        </w:rPr>
        <w:t xml:space="preserve">That agreement included a non-variation clause, confirming, </w:t>
      </w:r>
      <w:r w:rsidRPr="00145A4B">
        <w:rPr>
          <w:lang w:val="en-GB"/>
        </w:rPr>
        <w:t>inter alia</w:t>
      </w:r>
      <w:r>
        <w:rPr>
          <w:lang w:val="en-GB"/>
        </w:rPr>
        <w:t xml:space="preserve">, that the agreement contained all the terms and conditions of the agreement between the </w:t>
      </w:r>
      <w:r>
        <w:rPr>
          <w:lang w:val="en-GB"/>
        </w:rPr>
        <w:lastRenderedPageBreak/>
        <w:t>parties</w:t>
      </w:r>
      <w:r w:rsidR="002665F8">
        <w:rPr>
          <w:lang w:val="en-GB"/>
        </w:rPr>
        <w:t xml:space="preserve">, </w:t>
      </w:r>
      <w:r>
        <w:rPr>
          <w:lang w:val="en-GB"/>
        </w:rPr>
        <w:t>that neither party would have any further claims against the other and that both parties waived and abandoned all and any such claims.</w:t>
      </w:r>
      <w:r w:rsidR="00A8264B">
        <w:rPr>
          <w:lang w:val="en-GB"/>
        </w:rPr>
        <w:t xml:space="preserve"> The parties further agreed to retain any and all movable property in their respective possession at the time</w:t>
      </w:r>
      <w:r w:rsidR="00A6371B">
        <w:rPr>
          <w:lang w:val="en-GB"/>
        </w:rPr>
        <w:t xml:space="preserve">, </w:t>
      </w:r>
      <w:r w:rsidR="00A8264B">
        <w:rPr>
          <w:lang w:val="en-GB"/>
        </w:rPr>
        <w:t>that the respondent would retain sole ownership of a farm owned by him</w:t>
      </w:r>
      <w:r w:rsidR="00A6371B">
        <w:rPr>
          <w:lang w:val="en-GB"/>
        </w:rPr>
        <w:t xml:space="preserve"> </w:t>
      </w:r>
      <w:r w:rsidR="00A8264B">
        <w:rPr>
          <w:lang w:val="en-GB"/>
        </w:rPr>
        <w:t>and that he would be solely responsible for the payment of the outstanding bond on the property.</w:t>
      </w:r>
    </w:p>
    <w:p w14:paraId="3C199C9B" w14:textId="77777777" w:rsidR="00DD516A" w:rsidRPr="00DD516A" w:rsidRDefault="00DD516A" w:rsidP="00577032">
      <w:pPr>
        <w:pStyle w:val="ListParagraph"/>
        <w:jc w:val="both"/>
        <w:rPr>
          <w:lang w:val="en-GB"/>
        </w:rPr>
      </w:pPr>
    </w:p>
    <w:p w14:paraId="3D99B715" w14:textId="77777777" w:rsidR="00000606" w:rsidRDefault="00000606" w:rsidP="00B44A2D">
      <w:pPr>
        <w:pStyle w:val="ListParagraph"/>
        <w:numPr>
          <w:ilvl w:val="0"/>
          <w:numId w:val="16"/>
        </w:numPr>
        <w:ind w:left="142" w:hanging="142"/>
        <w:jc w:val="both"/>
        <w:rPr>
          <w:lang w:val="en-GB"/>
        </w:rPr>
      </w:pPr>
      <w:r>
        <w:rPr>
          <w:lang w:val="en-GB"/>
        </w:rPr>
        <w:t>The notice of motion prays</w:t>
      </w:r>
      <w:r w:rsidR="00593471">
        <w:rPr>
          <w:lang w:val="en-GB"/>
        </w:rPr>
        <w:t>, inter alia,</w:t>
      </w:r>
      <w:r>
        <w:rPr>
          <w:lang w:val="en-GB"/>
        </w:rPr>
        <w:t xml:space="preserve"> for the following </w:t>
      </w:r>
      <w:r w:rsidR="007655F3">
        <w:rPr>
          <w:lang w:val="en-GB"/>
        </w:rPr>
        <w:t>relief</w:t>
      </w:r>
      <w:r>
        <w:rPr>
          <w:lang w:val="en-GB"/>
        </w:rPr>
        <w:t>:</w:t>
      </w:r>
      <w:r w:rsidR="00DC4E53">
        <w:rPr>
          <w:rStyle w:val="FootnoteReference"/>
          <w:lang w:val="en-GB"/>
        </w:rPr>
        <w:footnoteReference w:id="1"/>
      </w:r>
    </w:p>
    <w:p w14:paraId="4D117320" w14:textId="77777777" w:rsidR="00000606" w:rsidRDefault="00000606" w:rsidP="00027F8E">
      <w:pPr>
        <w:pStyle w:val="ListParagraph"/>
        <w:ind w:left="142"/>
        <w:jc w:val="both"/>
        <w:rPr>
          <w:sz w:val="22"/>
          <w:szCs w:val="22"/>
          <w:lang w:val="en-GB"/>
        </w:rPr>
      </w:pPr>
      <w:r>
        <w:rPr>
          <w:sz w:val="22"/>
          <w:szCs w:val="22"/>
          <w:lang w:val="en-GB"/>
        </w:rPr>
        <w:t>‘That the order of this Honourable Court in paragraph 2 … be rescinded and set aside, alternatively that paragraphs 2, 3 and 4 of the settlement agreement that was made an order in paragraph 2 of the said judgment be expunged from the said agreement …’</w:t>
      </w:r>
    </w:p>
    <w:p w14:paraId="317A6BF1" w14:textId="77777777" w:rsidR="0078789E" w:rsidRPr="00000606" w:rsidRDefault="0078789E" w:rsidP="00000606">
      <w:pPr>
        <w:pStyle w:val="ListParagraph"/>
        <w:rPr>
          <w:sz w:val="22"/>
          <w:szCs w:val="22"/>
          <w:lang w:val="en-GB"/>
        </w:rPr>
      </w:pPr>
    </w:p>
    <w:p w14:paraId="408BC3CF" w14:textId="77777777" w:rsidR="00DD516A" w:rsidRDefault="00DD516A" w:rsidP="00B44A2D">
      <w:pPr>
        <w:pStyle w:val="ListParagraph"/>
        <w:numPr>
          <w:ilvl w:val="0"/>
          <w:numId w:val="16"/>
        </w:numPr>
        <w:ind w:left="142" w:hanging="142"/>
        <w:jc w:val="both"/>
        <w:rPr>
          <w:lang w:val="en-GB"/>
        </w:rPr>
      </w:pPr>
      <w:r>
        <w:rPr>
          <w:lang w:val="en-GB"/>
        </w:rPr>
        <w:t>The applicant</w:t>
      </w:r>
      <w:r w:rsidR="00000606">
        <w:rPr>
          <w:lang w:val="en-GB"/>
        </w:rPr>
        <w:t>’s founding affidavit</w:t>
      </w:r>
      <w:r>
        <w:rPr>
          <w:lang w:val="en-GB"/>
        </w:rPr>
        <w:t xml:space="preserve"> frames the relief </w:t>
      </w:r>
      <w:r w:rsidR="0078789E">
        <w:rPr>
          <w:lang w:val="en-GB"/>
        </w:rPr>
        <w:t>differently</w:t>
      </w:r>
      <w:r>
        <w:rPr>
          <w:lang w:val="en-GB"/>
        </w:rPr>
        <w:t>:</w:t>
      </w:r>
      <w:r>
        <w:rPr>
          <w:rStyle w:val="FootnoteReference"/>
          <w:lang w:val="en-GB"/>
        </w:rPr>
        <w:footnoteReference w:id="2"/>
      </w:r>
      <w:r w:rsidR="0015643D">
        <w:rPr>
          <w:lang w:val="en-GB"/>
        </w:rPr>
        <w:t xml:space="preserve"> ‘This is an application for variation of this order as contemplated in Rule 42(1)(</w:t>
      </w:r>
      <w:r w:rsidR="0015643D">
        <w:rPr>
          <w:i/>
          <w:iCs/>
          <w:lang w:val="en-GB"/>
        </w:rPr>
        <w:t>c)</w:t>
      </w:r>
      <w:r w:rsidR="0015643D">
        <w:rPr>
          <w:lang w:val="en-GB"/>
        </w:rPr>
        <w:t xml:space="preserve"> of the Uniform Rules of Court, alternatively in terms of the common law for the variation, alternatively the setting aside of certain paragraphs of the settlement agreement that was made an order of court.’</w:t>
      </w:r>
    </w:p>
    <w:p w14:paraId="4CE3AC13" w14:textId="77777777" w:rsidR="00577032" w:rsidRDefault="00577032" w:rsidP="00577032">
      <w:pPr>
        <w:rPr>
          <w:lang w:val="en-GB"/>
        </w:rPr>
      </w:pPr>
    </w:p>
    <w:p w14:paraId="554D2081" w14:textId="77777777" w:rsidR="00577032" w:rsidRDefault="00663C64" w:rsidP="00577032">
      <w:pPr>
        <w:rPr>
          <w:b/>
          <w:bCs/>
          <w:lang w:val="en-GB"/>
        </w:rPr>
      </w:pPr>
      <w:r>
        <w:rPr>
          <w:b/>
          <w:bCs/>
          <w:lang w:val="en-GB"/>
        </w:rPr>
        <w:t xml:space="preserve">The </w:t>
      </w:r>
      <w:r w:rsidR="003D2204">
        <w:rPr>
          <w:b/>
          <w:bCs/>
          <w:lang w:val="en-GB"/>
        </w:rPr>
        <w:t>facts</w:t>
      </w:r>
    </w:p>
    <w:p w14:paraId="0AE4D945" w14:textId="77777777" w:rsidR="00577032" w:rsidRPr="00577032" w:rsidRDefault="00577032" w:rsidP="00577032">
      <w:pPr>
        <w:rPr>
          <w:b/>
          <w:bCs/>
          <w:lang w:val="en-GB"/>
        </w:rPr>
      </w:pPr>
    </w:p>
    <w:p w14:paraId="086FEED5" w14:textId="77777777" w:rsidR="00577032" w:rsidRDefault="00577032" w:rsidP="00B44A2D">
      <w:pPr>
        <w:pStyle w:val="ListParagraph"/>
        <w:numPr>
          <w:ilvl w:val="0"/>
          <w:numId w:val="16"/>
        </w:numPr>
        <w:ind w:left="142" w:hanging="142"/>
        <w:jc w:val="both"/>
        <w:rPr>
          <w:lang w:val="en-GB"/>
        </w:rPr>
      </w:pPr>
      <w:r>
        <w:rPr>
          <w:lang w:val="en-GB"/>
        </w:rPr>
        <w:t xml:space="preserve">It is common cause that the reason for the breakdown of the marriage was that </w:t>
      </w:r>
      <w:r w:rsidR="003779E2">
        <w:rPr>
          <w:lang w:val="en-GB"/>
        </w:rPr>
        <w:t>the applicant engaged in an extramarital affair.</w:t>
      </w:r>
      <w:r w:rsidR="005F08F9">
        <w:rPr>
          <w:lang w:val="en-GB"/>
        </w:rPr>
        <w:t xml:space="preserve"> The parties jointly sought the advice of an attorney (‘Marais’), chosen by the respondent.</w:t>
      </w:r>
      <w:r w:rsidR="006A0AA4">
        <w:rPr>
          <w:lang w:val="en-GB"/>
        </w:rPr>
        <w:t xml:space="preserve"> The applicant </w:t>
      </w:r>
      <w:r w:rsidR="002406DF">
        <w:rPr>
          <w:lang w:val="en-GB"/>
        </w:rPr>
        <w:t xml:space="preserve">indicates that </w:t>
      </w:r>
      <w:r w:rsidR="009B66DB">
        <w:rPr>
          <w:lang w:val="en-GB"/>
        </w:rPr>
        <w:t xml:space="preserve">she </w:t>
      </w:r>
      <w:r w:rsidR="006A0AA4">
        <w:rPr>
          <w:lang w:val="en-GB"/>
        </w:rPr>
        <w:t>was under the impression, both prior to the consultation and at all relevant times thereafter, that she was not entitled to any part of the respondent’s estate, which she estimated to be worth approximately R10 million at the time.</w:t>
      </w:r>
      <w:r w:rsidR="001816AC">
        <w:rPr>
          <w:lang w:val="en-GB"/>
        </w:rPr>
        <w:t xml:space="preserve"> This was based on her erroneous belief that the parties had been married out of community of property.</w:t>
      </w:r>
    </w:p>
    <w:p w14:paraId="492A0EC9" w14:textId="77777777" w:rsidR="00E06244" w:rsidRDefault="00E06244" w:rsidP="00E06244">
      <w:pPr>
        <w:pStyle w:val="ListParagraph"/>
        <w:jc w:val="both"/>
        <w:rPr>
          <w:lang w:val="en-GB"/>
        </w:rPr>
      </w:pPr>
    </w:p>
    <w:p w14:paraId="6D8611B4" w14:textId="0ABA392C" w:rsidR="00AF6DF0" w:rsidRDefault="00E06244" w:rsidP="00B44A2D">
      <w:pPr>
        <w:pStyle w:val="ListParagraph"/>
        <w:numPr>
          <w:ilvl w:val="0"/>
          <w:numId w:val="16"/>
        </w:numPr>
        <w:autoSpaceDE w:val="0"/>
        <w:autoSpaceDN w:val="0"/>
        <w:adjustRightInd w:val="0"/>
        <w:ind w:left="142" w:hanging="142"/>
        <w:jc w:val="both"/>
        <w:rPr>
          <w:lang w:val="en-GB"/>
        </w:rPr>
      </w:pPr>
      <w:r w:rsidRPr="006C4B69">
        <w:rPr>
          <w:lang w:val="en-GB"/>
        </w:rPr>
        <w:lastRenderedPageBreak/>
        <w:t xml:space="preserve">There is a dispute of fact as to what transpired at the single meeting held between the parties and Marais. </w:t>
      </w:r>
      <w:r w:rsidR="00AB170C">
        <w:rPr>
          <w:lang w:val="en-GB"/>
        </w:rPr>
        <w:t>The applicant says that</w:t>
      </w:r>
      <w:r w:rsidRPr="006C4B69">
        <w:rPr>
          <w:lang w:val="en-GB"/>
        </w:rPr>
        <w:t xml:space="preserve"> she</w:t>
      </w:r>
      <w:r w:rsidR="00AB170C">
        <w:rPr>
          <w:lang w:val="en-GB"/>
        </w:rPr>
        <w:t xml:space="preserve"> had</w:t>
      </w:r>
      <w:r w:rsidRPr="006C4B69">
        <w:rPr>
          <w:lang w:val="en-GB"/>
        </w:rPr>
        <w:t xml:space="preserve"> expressed her erroneous belief </w:t>
      </w:r>
      <w:r w:rsidR="002158DA" w:rsidRPr="006C4B69">
        <w:rPr>
          <w:lang w:val="en-GB"/>
        </w:rPr>
        <w:t>during</w:t>
      </w:r>
      <w:r w:rsidRPr="006C4B69">
        <w:rPr>
          <w:lang w:val="en-GB"/>
        </w:rPr>
        <w:t xml:space="preserve"> that meeting. </w:t>
      </w:r>
      <w:r w:rsidR="002158DA" w:rsidRPr="006C4B69">
        <w:rPr>
          <w:lang w:val="en-GB"/>
        </w:rPr>
        <w:t>Marais</w:t>
      </w:r>
      <w:r w:rsidRPr="006C4B69">
        <w:rPr>
          <w:lang w:val="en-GB"/>
        </w:rPr>
        <w:t xml:space="preserve"> failed to correct her error</w:t>
      </w:r>
      <w:r w:rsidR="002158DA" w:rsidRPr="006C4B69">
        <w:rPr>
          <w:lang w:val="en-GB"/>
        </w:rPr>
        <w:t xml:space="preserve"> and</w:t>
      </w:r>
      <w:r w:rsidRPr="006C4B69">
        <w:rPr>
          <w:lang w:val="en-GB"/>
        </w:rPr>
        <w:t xml:space="preserve"> </w:t>
      </w:r>
      <w:r w:rsidR="002158DA" w:rsidRPr="006C4B69">
        <w:rPr>
          <w:lang w:val="en-GB"/>
        </w:rPr>
        <w:t>did not explain the accrual system.</w:t>
      </w:r>
      <w:r w:rsidR="002158DA">
        <w:rPr>
          <w:rStyle w:val="FootnoteReference"/>
          <w:lang w:val="en-GB"/>
        </w:rPr>
        <w:footnoteReference w:id="3"/>
      </w:r>
      <w:r w:rsidR="00C03E01" w:rsidRPr="006C4B69">
        <w:rPr>
          <w:lang w:val="en-GB"/>
        </w:rPr>
        <w:t xml:space="preserve"> The respondent</w:t>
      </w:r>
      <w:r w:rsidR="00AB170C">
        <w:rPr>
          <w:lang w:val="en-GB"/>
        </w:rPr>
        <w:t>, on the other hand,</w:t>
      </w:r>
      <w:r w:rsidR="00C03E01" w:rsidRPr="006C4B69">
        <w:rPr>
          <w:lang w:val="en-GB"/>
        </w:rPr>
        <w:t xml:space="preserve"> avers that Marais not only explained how the accrual system worked,</w:t>
      </w:r>
      <w:r w:rsidR="00AB170C">
        <w:rPr>
          <w:lang w:val="en-GB"/>
        </w:rPr>
        <w:t xml:space="preserve"> but</w:t>
      </w:r>
      <w:r w:rsidR="00C03E01" w:rsidRPr="006C4B69">
        <w:rPr>
          <w:lang w:val="en-GB"/>
        </w:rPr>
        <w:t xml:space="preserve"> he also enquired whether he should calculate the accrual. It was the applicant, </w:t>
      </w:r>
      <w:r w:rsidR="00AB170C">
        <w:rPr>
          <w:lang w:val="en-GB"/>
        </w:rPr>
        <w:t>he says</w:t>
      </w:r>
      <w:r w:rsidR="00C03E01" w:rsidRPr="006C4B69">
        <w:rPr>
          <w:lang w:val="en-GB"/>
        </w:rPr>
        <w:t xml:space="preserve">, who </w:t>
      </w:r>
      <w:r w:rsidR="00AB1E21" w:rsidRPr="006C4B69">
        <w:rPr>
          <w:lang w:val="en-GB"/>
        </w:rPr>
        <w:t xml:space="preserve">made the conscious decision </w:t>
      </w:r>
      <w:r w:rsidR="00986A07" w:rsidRPr="006C4B69">
        <w:rPr>
          <w:lang w:val="en-GB"/>
        </w:rPr>
        <w:t xml:space="preserve">not </w:t>
      </w:r>
      <w:r w:rsidR="00AB1E21" w:rsidRPr="006C4B69">
        <w:rPr>
          <w:lang w:val="en-GB"/>
        </w:rPr>
        <w:t xml:space="preserve">to claim </w:t>
      </w:r>
      <w:r w:rsidR="00986A07" w:rsidRPr="006C4B69">
        <w:rPr>
          <w:lang w:val="en-GB"/>
        </w:rPr>
        <w:t>anything</w:t>
      </w:r>
      <w:r w:rsidR="00AB1E21" w:rsidRPr="006C4B69">
        <w:rPr>
          <w:lang w:val="en-GB"/>
        </w:rPr>
        <w:t>.</w:t>
      </w:r>
      <w:r w:rsidR="006C4B69" w:rsidRPr="006C4B69">
        <w:rPr>
          <w:lang w:val="en-GB"/>
        </w:rPr>
        <w:t xml:space="preserve"> The applicant also raises the possibility </w:t>
      </w:r>
      <w:r w:rsidR="00AB170C">
        <w:rPr>
          <w:lang w:val="en-GB"/>
        </w:rPr>
        <w:t>that</w:t>
      </w:r>
      <w:r w:rsidR="006C4B69" w:rsidRPr="006C4B69">
        <w:rPr>
          <w:lang w:val="en-GB"/>
        </w:rPr>
        <w:t xml:space="preserve"> the respondent</w:t>
      </w:r>
      <w:r w:rsidR="00AB170C">
        <w:rPr>
          <w:lang w:val="en-GB"/>
        </w:rPr>
        <w:t xml:space="preserve"> may have</w:t>
      </w:r>
      <w:r w:rsidR="006C4B69" w:rsidRPr="006C4B69">
        <w:rPr>
          <w:lang w:val="en-GB"/>
        </w:rPr>
        <w:t xml:space="preserve"> misunderst</w:t>
      </w:r>
      <w:r w:rsidR="00AB170C">
        <w:rPr>
          <w:lang w:val="en-GB"/>
        </w:rPr>
        <w:t>ood</w:t>
      </w:r>
      <w:r w:rsidR="006C4B69" w:rsidRPr="006C4B69">
        <w:rPr>
          <w:lang w:val="en-GB"/>
        </w:rPr>
        <w:t xml:space="preserve"> th</w:t>
      </w:r>
      <w:r w:rsidR="00AB170C">
        <w:rPr>
          <w:lang w:val="en-GB"/>
        </w:rPr>
        <w:t>e</w:t>
      </w:r>
      <w:r w:rsidR="006C4B69" w:rsidRPr="006C4B69">
        <w:rPr>
          <w:lang w:val="en-GB"/>
        </w:rPr>
        <w:t xml:space="preserve"> marital regime, suggesting fraudulent conduct on his part if he </w:t>
      </w:r>
      <w:r w:rsidR="00AB170C">
        <w:rPr>
          <w:lang w:val="en-GB"/>
        </w:rPr>
        <w:t>had known</w:t>
      </w:r>
      <w:r w:rsidR="006C4B69" w:rsidRPr="006C4B69">
        <w:rPr>
          <w:lang w:val="en-GB"/>
        </w:rPr>
        <w:t xml:space="preserve"> the true position and</w:t>
      </w:r>
      <w:r w:rsidR="00AB170C">
        <w:rPr>
          <w:lang w:val="en-GB"/>
        </w:rPr>
        <w:t xml:space="preserve"> had</w:t>
      </w:r>
      <w:r w:rsidR="006C4B69" w:rsidRPr="006C4B69">
        <w:rPr>
          <w:lang w:val="en-GB"/>
        </w:rPr>
        <w:t xml:space="preserve"> acted to prevent the applicant from claiming what she was entitled</w:t>
      </w:r>
      <w:r w:rsidR="009333C2">
        <w:rPr>
          <w:lang w:val="en-GB"/>
        </w:rPr>
        <w:t xml:space="preserve"> to</w:t>
      </w:r>
      <w:r w:rsidR="006C4B69" w:rsidRPr="006C4B69">
        <w:rPr>
          <w:lang w:val="en-GB"/>
        </w:rPr>
        <w:t xml:space="preserve">. </w:t>
      </w:r>
      <w:r w:rsidR="006C4B69">
        <w:rPr>
          <w:lang w:val="en-GB"/>
        </w:rPr>
        <w:t>The respondent denies this</w:t>
      </w:r>
      <w:r w:rsidR="00AA1FDF">
        <w:rPr>
          <w:lang w:val="en-GB"/>
        </w:rPr>
        <w:t>.</w:t>
      </w:r>
    </w:p>
    <w:p w14:paraId="4B621AAE" w14:textId="77777777" w:rsidR="00E724DC" w:rsidRPr="00E724DC" w:rsidRDefault="00E724DC" w:rsidP="00E724DC">
      <w:pPr>
        <w:pStyle w:val="ListParagraph"/>
        <w:rPr>
          <w:lang w:val="en-GB"/>
        </w:rPr>
      </w:pPr>
    </w:p>
    <w:p w14:paraId="0DA65B75" w14:textId="77777777" w:rsidR="00086C7B" w:rsidRDefault="00BB27F3" w:rsidP="00B44A2D">
      <w:pPr>
        <w:pStyle w:val="ListParagraph"/>
        <w:numPr>
          <w:ilvl w:val="0"/>
          <w:numId w:val="16"/>
        </w:numPr>
        <w:autoSpaceDE w:val="0"/>
        <w:autoSpaceDN w:val="0"/>
        <w:adjustRightInd w:val="0"/>
        <w:ind w:left="142" w:hanging="142"/>
        <w:jc w:val="both"/>
        <w:rPr>
          <w:lang w:val="en-GB"/>
        </w:rPr>
      </w:pPr>
      <w:r>
        <w:rPr>
          <w:lang w:val="en-GB"/>
        </w:rPr>
        <w:t xml:space="preserve">The applicant </w:t>
      </w:r>
      <w:r w:rsidR="00CB0965">
        <w:rPr>
          <w:lang w:val="en-GB"/>
        </w:rPr>
        <w:t>indicates</w:t>
      </w:r>
      <w:r>
        <w:rPr>
          <w:lang w:val="en-GB"/>
        </w:rPr>
        <w:t xml:space="preserve"> that the settlement agreement was signed as a result of this mistake. </w:t>
      </w:r>
      <w:r w:rsidR="00044D13">
        <w:rPr>
          <w:lang w:val="en-GB"/>
        </w:rPr>
        <w:t>As to the farm, she knew that there was no bond but believed that this reference in the settlement agreement may have referred to an overdraft facility, and did not question the matter.</w:t>
      </w:r>
    </w:p>
    <w:p w14:paraId="420F4D9A" w14:textId="77777777" w:rsidR="00086C7B" w:rsidRPr="00086C7B" w:rsidRDefault="00086C7B" w:rsidP="00086C7B">
      <w:pPr>
        <w:pStyle w:val="ListParagraph"/>
        <w:rPr>
          <w:lang w:val="en-GB"/>
        </w:rPr>
      </w:pPr>
    </w:p>
    <w:p w14:paraId="6020EC54" w14:textId="65E21722" w:rsidR="00525CAE" w:rsidRPr="00525CAE" w:rsidRDefault="00086C7B" w:rsidP="00B44A2D">
      <w:pPr>
        <w:pStyle w:val="ListParagraph"/>
        <w:numPr>
          <w:ilvl w:val="0"/>
          <w:numId w:val="16"/>
        </w:numPr>
        <w:autoSpaceDE w:val="0"/>
        <w:autoSpaceDN w:val="0"/>
        <w:adjustRightInd w:val="0"/>
        <w:ind w:left="142" w:hanging="142"/>
        <w:jc w:val="both"/>
        <w:rPr>
          <w:lang w:val="en-GB"/>
        </w:rPr>
      </w:pPr>
      <w:r>
        <w:rPr>
          <w:lang w:val="en-GB"/>
        </w:rPr>
        <w:t xml:space="preserve">The </w:t>
      </w:r>
      <w:r w:rsidR="00DA4111">
        <w:rPr>
          <w:lang w:val="en-GB"/>
        </w:rPr>
        <w:t>particulars of claim to the divorce summons reflect</w:t>
      </w:r>
      <w:r w:rsidR="00AB170C">
        <w:rPr>
          <w:lang w:val="en-GB"/>
        </w:rPr>
        <w:t>ed</w:t>
      </w:r>
      <w:r w:rsidR="00DA4111">
        <w:rPr>
          <w:lang w:val="en-GB"/>
        </w:rPr>
        <w:t xml:space="preserve"> that ‘neither the estates of the defendant or the plaintiff have exhibited any accrual during the subsistence of the marriage’.</w:t>
      </w:r>
      <w:r w:rsidR="001B644E">
        <w:rPr>
          <w:lang w:val="en-GB"/>
        </w:rPr>
        <w:t xml:space="preserve"> The applicant avers that she did not understand this statement when she read it, and that the statement was completely incorrect in respect of the respondent’s estate.</w:t>
      </w:r>
    </w:p>
    <w:p w14:paraId="6A17351E" w14:textId="77777777" w:rsidR="00C0127D" w:rsidRPr="00C0127D" w:rsidRDefault="00C0127D" w:rsidP="00C0127D">
      <w:pPr>
        <w:pStyle w:val="ListParagraph"/>
        <w:rPr>
          <w:lang w:val="en-GB"/>
        </w:rPr>
      </w:pPr>
    </w:p>
    <w:p w14:paraId="175DC19A" w14:textId="75F44682" w:rsidR="00C0127D" w:rsidRDefault="003D39B2" w:rsidP="00B44A2D">
      <w:pPr>
        <w:pStyle w:val="ListParagraph"/>
        <w:numPr>
          <w:ilvl w:val="0"/>
          <w:numId w:val="16"/>
        </w:numPr>
        <w:autoSpaceDE w:val="0"/>
        <w:autoSpaceDN w:val="0"/>
        <w:adjustRightInd w:val="0"/>
        <w:ind w:left="142" w:hanging="142"/>
        <w:jc w:val="both"/>
        <w:rPr>
          <w:lang w:val="en-GB"/>
        </w:rPr>
      </w:pPr>
      <w:r>
        <w:rPr>
          <w:lang w:val="en-GB"/>
        </w:rPr>
        <w:t xml:space="preserve">The applicant </w:t>
      </w:r>
      <w:r w:rsidR="00156CC5">
        <w:rPr>
          <w:lang w:val="en-GB"/>
        </w:rPr>
        <w:t>expected to receive R100 000 immediately, and R400 000 once an insurance claim had been paid, from the respondent</w:t>
      </w:r>
      <w:r w:rsidR="00E44430">
        <w:rPr>
          <w:lang w:val="en-GB"/>
        </w:rPr>
        <w:t>,</w:t>
      </w:r>
      <w:r w:rsidR="00156CC5">
        <w:rPr>
          <w:lang w:val="en-GB"/>
        </w:rPr>
        <w:t xml:space="preserve"> in lieu of maintenance.</w:t>
      </w:r>
      <w:r w:rsidR="005519A2">
        <w:rPr>
          <w:lang w:val="en-GB"/>
        </w:rPr>
        <w:t xml:space="preserve"> Those amounts were never paid. The respondent</w:t>
      </w:r>
      <w:r w:rsidR="00E44430">
        <w:rPr>
          <w:lang w:val="en-GB"/>
        </w:rPr>
        <w:t xml:space="preserve"> says</w:t>
      </w:r>
      <w:r w:rsidR="00A14B2B">
        <w:rPr>
          <w:lang w:val="en-GB"/>
        </w:rPr>
        <w:t xml:space="preserve"> that </w:t>
      </w:r>
      <w:r w:rsidR="005519A2">
        <w:rPr>
          <w:lang w:val="en-GB"/>
        </w:rPr>
        <w:t>the former amount had been paid in kind</w:t>
      </w:r>
      <w:r w:rsidR="00E44430">
        <w:rPr>
          <w:lang w:val="en-GB"/>
        </w:rPr>
        <w:t>,</w:t>
      </w:r>
      <w:r w:rsidR="00353871">
        <w:rPr>
          <w:lang w:val="en-GB"/>
        </w:rPr>
        <w:t xml:space="preserve"> and there is a dispute about the latter. </w:t>
      </w:r>
      <w:r w:rsidR="00C05F51">
        <w:rPr>
          <w:lang w:val="en-GB"/>
        </w:rPr>
        <w:t>The applicant first sought independent legal advice during January 2020, initially hoping only to receive payment of R500 000. She c</w:t>
      </w:r>
      <w:r w:rsidR="00E44430">
        <w:rPr>
          <w:lang w:val="en-GB"/>
        </w:rPr>
        <w:t>ontends</w:t>
      </w:r>
      <w:r w:rsidR="00C05F51">
        <w:rPr>
          <w:lang w:val="en-GB"/>
        </w:rPr>
        <w:t xml:space="preserve"> that she became aware of a potential accrual claim during September 2020, and that it would be just and equitable that the settlement agreement be set aside</w:t>
      </w:r>
      <w:r w:rsidR="00E44430">
        <w:rPr>
          <w:lang w:val="en-GB"/>
        </w:rPr>
        <w:t>,</w:t>
      </w:r>
      <w:r w:rsidR="00C05F51">
        <w:rPr>
          <w:lang w:val="en-GB"/>
        </w:rPr>
        <w:t xml:space="preserve"> or rectified</w:t>
      </w:r>
      <w:r w:rsidR="005822C2">
        <w:rPr>
          <w:lang w:val="en-GB"/>
        </w:rPr>
        <w:t xml:space="preserve"> to include</w:t>
      </w:r>
      <w:r w:rsidR="00E44430">
        <w:rPr>
          <w:lang w:val="en-GB"/>
        </w:rPr>
        <w:t xml:space="preserve"> the</w:t>
      </w:r>
      <w:r w:rsidR="005822C2">
        <w:rPr>
          <w:lang w:val="en-GB"/>
        </w:rPr>
        <w:t xml:space="preserve"> implementation of the </w:t>
      </w:r>
      <w:r w:rsidR="005822C2">
        <w:rPr>
          <w:lang w:val="en-GB"/>
        </w:rPr>
        <w:lastRenderedPageBreak/>
        <w:t>accrual system</w:t>
      </w:r>
      <w:r w:rsidR="00C05F51">
        <w:rPr>
          <w:lang w:val="en-GB"/>
        </w:rPr>
        <w:t xml:space="preserve">, </w:t>
      </w:r>
      <w:r w:rsidR="005822C2">
        <w:rPr>
          <w:lang w:val="en-GB"/>
        </w:rPr>
        <w:t xml:space="preserve">alternatively to include reference to payment to the applicant of R500 000, </w:t>
      </w:r>
      <w:r w:rsidR="00C05F51">
        <w:rPr>
          <w:lang w:val="en-GB"/>
        </w:rPr>
        <w:t>but without the divorce order itself being rescinded.</w:t>
      </w:r>
      <w:r w:rsidR="00C05F51">
        <w:rPr>
          <w:rStyle w:val="FootnoteReference"/>
          <w:lang w:val="en-GB"/>
        </w:rPr>
        <w:footnoteReference w:id="4"/>
      </w:r>
      <w:r w:rsidR="00C05F51">
        <w:rPr>
          <w:lang w:val="en-GB"/>
        </w:rPr>
        <w:t xml:space="preserve"> </w:t>
      </w:r>
    </w:p>
    <w:p w14:paraId="02D8F489" w14:textId="77777777" w:rsidR="002C5511" w:rsidRPr="002C5511" w:rsidRDefault="002C5511" w:rsidP="002C5511">
      <w:pPr>
        <w:pStyle w:val="ListParagraph"/>
        <w:rPr>
          <w:lang w:val="en-GB"/>
        </w:rPr>
      </w:pPr>
    </w:p>
    <w:p w14:paraId="5829D91A" w14:textId="4657585A" w:rsidR="00B0676F" w:rsidRDefault="002C5511" w:rsidP="00B44A2D">
      <w:pPr>
        <w:pStyle w:val="ListParagraph"/>
        <w:numPr>
          <w:ilvl w:val="0"/>
          <w:numId w:val="16"/>
        </w:numPr>
        <w:autoSpaceDE w:val="0"/>
        <w:autoSpaceDN w:val="0"/>
        <w:adjustRightInd w:val="0"/>
        <w:ind w:left="142" w:hanging="142"/>
        <w:jc w:val="both"/>
        <w:rPr>
          <w:lang w:val="en-GB"/>
        </w:rPr>
      </w:pPr>
      <w:r>
        <w:rPr>
          <w:lang w:val="en-GB"/>
        </w:rPr>
        <w:t>The respondent raised various points in limine in opposing the application</w:t>
      </w:r>
      <w:r w:rsidR="004A6ABA">
        <w:rPr>
          <w:lang w:val="en-GB"/>
        </w:rPr>
        <w:t>, to which I will return.</w:t>
      </w:r>
      <w:r w:rsidR="0078767D">
        <w:rPr>
          <w:lang w:val="en-GB"/>
        </w:rPr>
        <w:t xml:space="preserve"> In particular, it was argued that the application had not been brought within a reasonable period of time of the judgment coming to the attention of the applicant.</w:t>
      </w:r>
      <w:r w:rsidR="00CC1247">
        <w:rPr>
          <w:lang w:val="en-GB"/>
        </w:rPr>
        <w:t xml:space="preserve"> On the merits, the respondent </w:t>
      </w:r>
      <w:r w:rsidR="00600EEF">
        <w:rPr>
          <w:lang w:val="en-GB"/>
        </w:rPr>
        <w:t>said</w:t>
      </w:r>
      <w:r w:rsidR="00CC1247">
        <w:rPr>
          <w:lang w:val="en-GB"/>
        </w:rPr>
        <w:t xml:space="preserve"> that ‘it was the applicant’s desire that she wanted an amicable divorce settlement without any need to litigate … she repeatedly advised me that she wanted “nothing” out of the marriage as she wished to get divorced as soon as possible and wanted to move to Port Elizabeth.’</w:t>
      </w:r>
      <w:r w:rsidR="00B0676F">
        <w:rPr>
          <w:lang w:val="en-GB"/>
        </w:rPr>
        <w:t xml:space="preserve"> </w:t>
      </w:r>
      <w:r w:rsidR="00E44430">
        <w:rPr>
          <w:lang w:val="en-GB"/>
        </w:rPr>
        <w:t>The respondent contended that</w:t>
      </w:r>
      <w:r w:rsidR="009E44A7">
        <w:rPr>
          <w:lang w:val="en-GB"/>
        </w:rPr>
        <w:t xml:space="preserve"> t</w:t>
      </w:r>
      <w:r w:rsidR="00B0676F">
        <w:rPr>
          <w:lang w:val="en-GB"/>
        </w:rPr>
        <w:t xml:space="preserve">his was the basis of the instructions issued to Marais. </w:t>
      </w:r>
      <w:r w:rsidR="00D1694F">
        <w:rPr>
          <w:lang w:val="en-GB"/>
        </w:rPr>
        <w:t>It was t</w:t>
      </w:r>
      <w:r w:rsidR="00B0676F" w:rsidRPr="00B0676F">
        <w:rPr>
          <w:lang w:val="en-GB"/>
        </w:rPr>
        <w:t xml:space="preserve">he applicant </w:t>
      </w:r>
      <w:r w:rsidR="00D1694F">
        <w:rPr>
          <w:lang w:val="en-GB"/>
        </w:rPr>
        <w:t xml:space="preserve">who </w:t>
      </w:r>
      <w:r w:rsidR="00B0676F" w:rsidRPr="00B0676F">
        <w:rPr>
          <w:lang w:val="en-GB"/>
        </w:rPr>
        <w:t>brought th</w:t>
      </w:r>
      <w:r w:rsidR="00B0676F">
        <w:rPr>
          <w:lang w:val="en-GB"/>
        </w:rPr>
        <w:t>e ante-nuptial contract to that meeting</w:t>
      </w:r>
      <w:r w:rsidR="00600EEF">
        <w:rPr>
          <w:lang w:val="en-GB"/>
        </w:rPr>
        <w:t xml:space="preserve"> and</w:t>
      </w:r>
      <w:r w:rsidR="00C21155">
        <w:rPr>
          <w:lang w:val="en-GB"/>
        </w:rPr>
        <w:t xml:space="preserve"> Marais ‘then explained to us how the accrual system worked and that the one party may have to pay the other an accrual after considering all the assets and liabilities of both parties.</w:t>
      </w:r>
      <w:r w:rsidR="00006E5E">
        <w:rPr>
          <w:lang w:val="en-GB"/>
        </w:rPr>
        <w:t xml:space="preserve"> I then advised him that it was the applicant’s wish not to claim anything in terms of the accrual and that I would retain my assets and she would retain hers. This included the fact that I would retain Grove Hill Farm, where we lived at the time, and where I presently live.</w:t>
      </w:r>
      <w:r w:rsidR="00C21155">
        <w:rPr>
          <w:lang w:val="en-GB"/>
        </w:rPr>
        <w:t>’</w:t>
      </w:r>
      <w:r w:rsidR="00F11634">
        <w:rPr>
          <w:lang w:val="en-GB"/>
        </w:rPr>
        <w:t xml:space="preserve"> </w:t>
      </w:r>
      <w:r w:rsidR="00233129">
        <w:rPr>
          <w:lang w:val="en-GB"/>
        </w:rPr>
        <w:t>The applicant did not wish to be saddled with the respondent’s mortgage bond debt in respect of the farm and was in a rush to join her lover in Gqeberha.</w:t>
      </w:r>
    </w:p>
    <w:p w14:paraId="587A902A" w14:textId="77777777" w:rsidR="00991E5D" w:rsidRDefault="00991E5D" w:rsidP="00991E5D">
      <w:pPr>
        <w:pStyle w:val="ListParagraph"/>
        <w:autoSpaceDE w:val="0"/>
        <w:autoSpaceDN w:val="0"/>
        <w:adjustRightInd w:val="0"/>
        <w:jc w:val="both"/>
        <w:rPr>
          <w:lang w:val="en-GB"/>
        </w:rPr>
      </w:pPr>
    </w:p>
    <w:p w14:paraId="70F9844E" w14:textId="77777777" w:rsidR="00991E5D" w:rsidRDefault="00991E5D" w:rsidP="00B44A2D">
      <w:pPr>
        <w:pStyle w:val="ListParagraph"/>
        <w:numPr>
          <w:ilvl w:val="0"/>
          <w:numId w:val="16"/>
        </w:numPr>
        <w:autoSpaceDE w:val="0"/>
        <w:autoSpaceDN w:val="0"/>
        <w:adjustRightInd w:val="0"/>
        <w:ind w:left="142" w:hanging="142"/>
        <w:jc w:val="both"/>
        <w:rPr>
          <w:lang w:val="en-GB"/>
        </w:rPr>
      </w:pPr>
      <w:r>
        <w:rPr>
          <w:lang w:val="en-GB"/>
        </w:rPr>
        <w:t>Marais’ handwritten notes from the meeting were attached to the answering affidavit, together with a confirmatory affidavit.</w:t>
      </w:r>
      <w:r w:rsidR="0081418F">
        <w:rPr>
          <w:lang w:val="en-GB"/>
        </w:rPr>
        <w:t xml:space="preserve"> The respondent signed the settlement agreement with some reluctance, and ten days after the applicant’s signature. Three months later, the divorce order, incorporating the settlement agreement, was granted.</w:t>
      </w:r>
    </w:p>
    <w:p w14:paraId="2F559781" w14:textId="77777777" w:rsidR="00E75BA7" w:rsidRPr="00E75BA7" w:rsidRDefault="00E75BA7" w:rsidP="00E75BA7">
      <w:pPr>
        <w:pStyle w:val="ListParagraph"/>
        <w:rPr>
          <w:lang w:val="en-GB"/>
        </w:rPr>
      </w:pPr>
    </w:p>
    <w:p w14:paraId="01A1EA63" w14:textId="79487F67" w:rsidR="00E75BA7" w:rsidRDefault="00E75BA7" w:rsidP="00B44A2D">
      <w:pPr>
        <w:pStyle w:val="ListParagraph"/>
        <w:numPr>
          <w:ilvl w:val="0"/>
          <w:numId w:val="16"/>
        </w:numPr>
        <w:autoSpaceDE w:val="0"/>
        <w:autoSpaceDN w:val="0"/>
        <w:adjustRightInd w:val="0"/>
        <w:ind w:left="142" w:hanging="142"/>
        <w:jc w:val="both"/>
        <w:rPr>
          <w:lang w:val="en-GB"/>
        </w:rPr>
      </w:pPr>
      <w:r>
        <w:rPr>
          <w:lang w:val="en-GB"/>
        </w:rPr>
        <w:t xml:space="preserve">The respondent </w:t>
      </w:r>
      <w:r w:rsidR="00600EEF">
        <w:rPr>
          <w:lang w:val="en-GB"/>
        </w:rPr>
        <w:t>contended</w:t>
      </w:r>
      <w:r w:rsidR="001C546A">
        <w:rPr>
          <w:lang w:val="en-GB"/>
        </w:rPr>
        <w:t xml:space="preserve"> that the applicant had taken a conscious decision not to claim anything, without any pressure on his part. </w:t>
      </w:r>
      <w:r w:rsidR="00043483">
        <w:rPr>
          <w:lang w:val="en-GB"/>
        </w:rPr>
        <w:t>The crux of his case is that there was no mistake, or error, in the deed of settlement. The applicant was aware of her rights and a</w:t>
      </w:r>
      <w:r w:rsidR="001C546A">
        <w:rPr>
          <w:lang w:val="en-GB"/>
        </w:rPr>
        <w:t>ny suggestion of fraud on his part, or that of Marais, was denied.</w:t>
      </w:r>
    </w:p>
    <w:p w14:paraId="3BA9861F" w14:textId="77777777" w:rsidR="0048124C" w:rsidRDefault="0048124C" w:rsidP="00CD173B">
      <w:pPr>
        <w:autoSpaceDE w:val="0"/>
        <w:autoSpaceDN w:val="0"/>
        <w:adjustRightInd w:val="0"/>
        <w:jc w:val="both"/>
        <w:rPr>
          <w:lang w:val="en-GB"/>
        </w:rPr>
      </w:pPr>
    </w:p>
    <w:p w14:paraId="718B28E7" w14:textId="77777777" w:rsidR="00315232" w:rsidRDefault="00315232" w:rsidP="00CD173B">
      <w:pPr>
        <w:autoSpaceDE w:val="0"/>
        <w:autoSpaceDN w:val="0"/>
        <w:adjustRightInd w:val="0"/>
        <w:jc w:val="both"/>
        <w:rPr>
          <w:b/>
          <w:bCs/>
          <w:lang w:val="en-GB"/>
        </w:rPr>
      </w:pPr>
      <w:r>
        <w:rPr>
          <w:b/>
          <w:bCs/>
          <w:lang w:val="en-GB"/>
        </w:rPr>
        <w:t xml:space="preserve">Does the </w:t>
      </w:r>
      <w:r>
        <w:rPr>
          <w:b/>
          <w:bCs/>
          <w:i/>
          <w:iCs/>
          <w:lang w:val="en-GB"/>
        </w:rPr>
        <w:t xml:space="preserve">Plascon-Evans </w:t>
      </w:r>
      <w:r w:rsidR="00042C5A">
        <w:rPr>
          <w:b/>
          <w:bCs/>
          <w:lang w:val="en-GB"/>
        </w:rPr>
        <w:t>rule</w:t>
      </w:r>
      <w:r w:rsidR="002D5128">
        <w:rPr>
          <w:b/>
          <w:bCs/>
          <w:lang w:val="en-GB"/>
        </w:rPr>
        <w:t xml:space="preserve"> </w:t>
      </w:r>
      <w:r>
        <w:rPr>
          <w:b/>
          <w:bCs/>
          <w:lang w:val="en-GB"/>
        </w:rPr>
        <w:t>apply?</w:t>
      </w:r>
    </w:p>
    <w:p w14:paraId="02AD22D4" w14:textId="77777777" w:rsidR="00315232" w:rsidRDefault="00315232" w:rsidP="00CD173B">
      <w:pPr>
        <w:autoSpaceDE w:val="0"/>
        <w:autoSpaceDN w:val="0"/>
        <w:adjustRightInd w:val="0"/>
        <w:jc w:val="both"/>
        <w:rPr>
          <w:b/>
          <w:bCs/>
          <w:lang w:val="en-GB"/>
        </w:rPr>
      </w:pPr>
    </w:p>
    <w:p w14:paraId="471DCAB3" w14:textId="701746FC" w:rsidR="00A56D22" w:rsidRDefault="00E7499D" w:rsidP="00B44A2D">
      <w:pPr>
        <w:pStyle w:val="ListParagraph"/>
        <w:numPr>
          <w:ilvl w:val="0"/>
          <w:numId w:val="16"/>
        </w:numPr>
        <w:autoSpaceDE w:val="0"/>
        <w:autoSpaceDN w:val="0"/>
        <w:adjustRightInd w:val="0"/>
        <w:ind w:left="142" w:hanging="142"/>
        <w:jc w:val="both"/>
        <w:rPr>
          <w:lang w:val="en-GB"/>
        </w:rPr>
      </w:pPr>
      <w:r>
        <w:rPr>
          <w:lang w:val="en-GB"/>
        </w:rPr>
        <w:t xml:space="preserve">The so-called </w:t>
      </w:r>
      <w:r w:rsidR="00600EEF">
        <w:rPr>
          <w:lang w:val="en-GB"/>
        </w:rPr>
        <w:t>‘</w:t>
      </w:r>
      <w:r>
        <w:rPr>
          <w:i/>
          <w:iCs/>
          <w:lang w:val="en-GB"/>
        </w:rPr>
        <w:t>Plascon-Evans</w:t>
      </w:r>
      <w:r w:rsidR="00050030">
        <w:rPr>
          <w:lang w:val="en-GB"/>
        </w:rPr>
        <w:t>’</w:t>
      </w:r>
      <w:r>
        <w:rPr>
          <w:i/>
          <w:iCs/>
          <w:lang w:val="en-GB"/>
        </w:rPr>
        <w:t xml:space="preserve"> </w:t>
      </w:r>
      <w:r w:rsidR="00042C5A">
        <w:rPr>
          <w:lang w:val="en-GB"/>
        </w:rPr>
        <w:t>rule</w:t>
      </w:r>
      <w:r>
        <w:rPr>
          <w:lang w:val="en-GB"/>
        </w:rPr>
        <w:t xml:space="preserve"> applies to applications in which final relief is sought</w:t>
      </w:r>
      <w:r w:rsidR="00C4373C">
        <w:rPr>
          <w:lang w:val="en-GB"/>
        </w:rPr>
        <w:t>.</w:t>
      </w:r>
      <w:r w:rsidR="00EA4259">
        <w:rPr>
          <w:rStyle w:val="FootnoteReference"/>
          <w:lang w:val="en-GB"/>
        </w:rPr>
        <w:footnoteReference w:id="5"/>
      </w:r>
      <w:r w:rsidR="00C4373C">
        <w:rPr>
          <w:lang w:val="en-GB"/>
        </w:rPr>
        <w:t xml:space="preserve"> </w:t>
      </w:r>
      <w:r w:rsidR="00CE0D64">
        <w:rPr>
          <w:lang w:val="en-GB"/>
        </w:rPr>
        <w:t xml:space="preserve">Where there is a dispute as to the facts a final </w:t>
      </w:r>
      <w:r w:rsidR="00DC5DFB">
        <w:rPr>
          <w:lang w:val="en-GB"/>
        </w:rPr>
        <w:t>order</w:t>
      </w:r>
      <w:r w:rsidR="00CE0D64">
        <w:rPr>
          <w:lang w:val="en-GB"/>
        </w:rPr>
        <w:t xml:space="preserve"> should only be granted in motion proceedings if the facts as stated by the respondent together with the admitted facts in the applicant’s affidavits justify such an order</w:t>
      </w:r>
      <w:r w:rsidR="008D19A8">
        <w:rPr>
          <w:lang w:val="en-GB"/>
        </w:rPr>
        <w:t>.</w:t>
      </w:r>
      <w:r w:rsidR="000C395E">
        <w:rPr>
          <w:rStyle w:val="FootnoteReference"/>
          <w:lang w:val="en-GB"/>
        </w:rPr>
        <w:footnoteReference w:id="6"/>
      </w:r>
      <w:r w:rsidR="002D5128">
        <w:rPr>
          <w:lang w:val="en-GB"/>
        </w:rPr>
        <w:t xml:space="preserve"> Counsel for the parties disagree as to the application of the </w:t>
      </w:r>
      <w:r w:rsidR="00042C5A">
        <w:rPr>
          <w:lang w:val="en-GB"/>
        </w:rPr>
        <w:t>rule</w:t>
      </w:r>
      <w:r w:rsidR="002D5128">
        <w:rPr>
          <w:lang w:val="en-GB"/>
        </w:rPr>
        <w:t>.</w:t>
      </w:r>
      <w:r w:rsidR="007E2D1B">
        <w:rPr>
          <w:lang w:val="en-GB"/>
        </w:rPr>
        <w:t xml:space="preserve"> </w:t>
      </w:r>
      <w:r w:rsidR="007E2D1B" w:rsidRPr="008F1C5A">
        <w:rPr>
          <w:lang w:val="en-GB"/>
        </w:rPr>
        <w:t>Ms Crouse SC</w:t>
      </w:r>
      <w:r w:rsidR="007E2D1B">
        <w:rPr>
          <w:lang w:val="en-GB"/>
        </w:rPr>
        <w:t xml:space="preserve"> submitted, </w:t>
      </w:r>
      <w:r w:rsidR="00A64DEE">
        <w:rPr>
          <w:lang w:val="en-GB"/>
        </w:rPr>
        <w:t xml:space="preserve">mainly </w:t>
      </w:r>
      <w:r w:rsidR="007E2D1B">
        <w:rPr>
          <w:lang w:val="en-GB"/>
        </w:rPr>
        <w:t xml:space="preserve">on the strength of </w:t>
      </w:r>
      <w:r w:rsidR="00A64DEE">
        <w:rPr>
          <w:i/>
          <w:iCs/>
          <w:lang w:val="en-GB"/>
        </w:rPr>
        <w:t>Gangat</w:t>
      </w:r>
      <w:r w:rsidR="00A64DEE">
        <w:rPr>
          <w:lang w:val="en-GB"/>
        </w:rPr>
        <w:t xml:space="preserve">, that the </w:t>
      </w:r>
      <w:r w:rsidR="00042C5A">
        <w:rPr>
          <w:lang w:val="en-GB"/>
        </w:rPr>
        <w:t>rule</w:t>
      </w:r>
      <w:r w:rsidR="00A64DEE">
        <w:rPr>
          <w:lang w:val="en-GB"/>
        </w:rPr>
        <w:t xml:space="preserve"> was inapplicable in rescission applications.</w:t>
      </w:r>
      <w:r w:rsidR="00A64DEE">
        <w:rPr>
          <w:rStyle w:val="FootnoteReference"/>
          <w:lang w:val="en-GB"/>
        </w:rPr>
        <w:footnoteReference w:id="7"/>
      </w:r>
      <w:r w:rsidR="00AF1C9A">
        <w:rPr>
          <w:lang w:val="en-GB"/>
        </w:rPr>
        <w:t xml:space="preserve"> This was because the order to be made would not be ‘a final order on the legal aspects’</w:t>
      </w:r>
      <w:r w:rsidR="004F16D0">
        <w:rPr>
          <w:lang w:val="en-GB"/>
        </w:rPr>
        <w:t>, as the patrimonial aspects would still be decided in future.</w:t>
      </w:r>
      <w:r w:rsidR="009B3D95">
        <w:rPr>
          <w:rStyle w:val="FootnoteReference"/>
          <w:lang w:val="en-GB"/>
        </w:rPr>
        <w:footnoteReference w:id="8"/>
      </w:r>
      <w:r w:rsidR="005A6538">
        <w:rPr>
          <w:lang w:val="en-GB"/>
        </w:rPr>
        <w:t xml:space="preserve"> Mr Brown argued, with support from </w:t>
      </w:r>
      <w:r w:rsidR="005A6538">
        <w:rPr>
          <w:i/>
          <w:iCs/>
          <w:lang w:val="en-GB"/>
        </w:rPr>
        <w:t>Jansen van Rensburg</w:t>
      </w:r>
      <w:r w:rsidR="00065FF7">
        <w:rPr>
          <w:lang w:val="en-GB"/>
        </w:rPr>
        <w:t>,</w:t>
      </w:r>
      <w:r w:rsidR="005A6538" w:rsidRPr="00065FF7">
        <w:rPr>
          <w:rStyle w:val="FootnoteReference"/>
          <w:lang w:val="en-GB"/>
        </w:rPr>
        <w:footnoteReference w:id="9"/>
      </w:r>
      <w:r w:rsidR="00065FF7">
        <w:rPr>
          <w:lang w:val="en-GB"/>
        </w:rPr>
        <w:t xml:space="preserve"> that a different approach had to be adopted in cases where the envisaged rescission would not have the result of allowing the parties to present their case before another </w:t>
      </w:r>
      <w:r w:rsidR="00BD54A3">
        <w:rPr>
          <w:lang w:val="en-GB"/>
        </w:rPr>
        <w:t>c</w:t>
      </w:r>
      <w:r w:rsidR="00065FF7">
        <w:rPr>
          <w:lang w:val="en-GB"/>
        </w:rPr>
        <w:t>ourt or to establish their case at trial. In that instance the relief in the resci</w:t>
      </w:r>
      <w:r w:rsidR="00ED616C">
        <w:rPr>
          <w:lang w:val="en-GB"/>
        </w:rPr>
        <w:t>ss</w:t>
      </w:r>
      <w:r w:rsidR="00065FF7">
        <w:rPr>
          <w:lang w:val="en-GB"/>
        </w:rPr>
        <w:t>ion application would amount to ‘final relief’</w:t>
      </w:r>
      <w:r w:rsidR="00E44B67">
        <w:rPr>
          <w:lang w:val="en-GB"/>
        </w:rPr>
        <w:t xml:space="preserve">, so that the </w:t>
      </w:r>
      <w:r w:rsidR="00E44B67">
        <w:rPr>
          <w:i/>
          <w:iCs/>
          <w:lang w:val="en-GB"/>
        </w:rPr>
        <w:t xml:space="preserve">Plascon-Evans </w:t>
      </w:r>
      <w:r w:rsidR="00042C5A">
        <w:rPr>
          <w:lang w:val="en-GB"/>
        </w:rPr>
        <w:t>rule</w:t>
      </w:r>
      <w:r w:rsidR="00E44B67">
        <w:rPr>
          <w:lang w:val="en-GB"/>
        </w:rPr>
        <w:t xml:space="preserve"> should apply.</w:t>
      </w:r>
    </w:p>
    <w:p w14:paraId="5CF60AE5" w14:textId="77777777" w:rsidR="00A56D22" w:rsidRDefault="00A56D22" w:rsidP="00A56D22">
      <w:pPr>
        <w:pStyle w:val="ListParagraph"/>
        <w:autoSpaceDE w:val="0"/>
        <w:autoSpaceDN w:val="0"/>
        <w:adjustRightInd w:val="0"/>
        <w:jc w:val="both"/>
        <w:rPr>
          <w:lang w:val="en-GB"/>
        </w:rPr>
      </w:pPr>
    </w:p>
    <w:p w14:paraId="660CEA2D" w14:textId="2B1F4267" w:rsidR="00315232" w:rsidRDefault="005F0CCD" w:rsidP="00B44A2D">
      <w:pPr>
        <w:pStyle w:val="ListParagraph"/>
        <w:numPr>
          <w:ilvl w:val="0"/>
          <w:numId w:val="16"/>
        </w:numPr>
        <w:autoSpaceDE w:val="0"/>
        <w:autoSpaceDN w:val="0"/>
        <w:adjustRightInd w:val="0"/>
        <w:ind w:left="142" w:hanging="142"/>
        <w:jc w:val="both"/>
        <w:rPr>
          <w:lang w:val="en-GB"/>
        </w:rPr>
      </w:pPr>
      <w:r>
        <w:rPr>
          <w:lang w:val="en-GB"/>
        </w:rPr>
        <w:t xml:space="preserve">This is the distinction to be drawn </w:t>
      </w:r>
      <w:r w:rsidR="00223082">
        <w:rPr>
          <w:lang w:val="en-GB"/>
        </w:rPr>
        <w:t>when considering rescission of</w:t>
      </w:r>
      <w:r>
        <w:rPr>
          <w:lang w:val="en-GB"/>
        </w:rPr>
        <w:t xml:space="preserve"> default judgment cases such</w:t>
      </w:r>
      <w:r w:rsidR="00065FF7">
        <w:rPr>
          <w:lang w:val="en-GB"/>
        </w:rPr>
        <w:t xml:space="preserve"> </w:t>
      </w:r>
      <w:r>
        <w:rPr>
          <w:lang w:val="en-GB"/>
        </w:rPr>
        <w:t xml:space="preserve">as </w:t>
      </w:r>
      <w:r>
        <w:rPr>
          <w:i/>
          <w:iCs/>
          <w:lang w:val="en-GB"/>
        </w:rPr>
        <w:t>Gangat</w:t>
      </w:r>
      <w:r w:rsidR="00100B33">
        <w:rPr>
          <w:lang w:val="en-GB"/>
        </w:rPr>
        <w:t xml:space="preserve"> </w:t>
      </w:r>
      <w:r w:rsidR="003E1BB0">
        <w:rPr>
          <w:lang w:val="en-GB"/>
        </w:rPr>
        <w:t>(</w:t>
      </w:r>
      <w:r w:rsidR="00223082">
        <w:rPr>
          <w:lang w:val="en-GB"/>
        </w:rPr>
        <w:t>based on Uniform Rule 31(2)</w:t>
      </w:r>
      <w:r w:rsidR="00223082">
        <w:rPr>
          <w:i/>
          <w:iCs/>
          <w:lang w:val="en-GB"/>
        </w:rPr>
        <w:t>(b)</w:t>
      </w:r>
      <w:r w:rsidR="00410D69">
        <w:rPr>
          <w:lang w:val="en-GB"/>
        </w:rPr>
        <w:t>)</w:t>
      </w:r>
      <w:r w:rsidR="00223082">
        <w:rPr>
          <w:lang w:val="en-GB"/>
        </w:rPr>
        <w:t xml:space="preserve"> </w:t>
      </w:r>
      <w:r w:rsidR="00100B33">
        <w:rPr>
          <w:lang w:val="en-GB"/>
        </w:rPr>
        <w:t xml:space="preserve">and the present matter. Rescinding the judgment in </w:t>
      </w:r>
      <w:r w:rsidR="00100B33">
        <w:rPr>
          <w:i/>
          <w:iCs/>
          <w:lang w:val="en-GB"/>
        </w:rPr>
        <w:t>Gangat</w:t>
      </w:r>
      <w:r w:rsidR="00100B33">
        <w:rPr>
          <w:lang w:val="en-GB"/>
        </w:rPr>
        <w:t xml:space="preserve"> was not ‘final’ because the result would be the </w:t>
      </w:r>
      <w:r w:rsidR="0068774A">
        <w:rPr>
          <w:lang w:val="en-GB"/>
        </w:rPr>
        <w:t xml:space="preserve">(original) </w:t>
      </w:r>
      <w:r w:rsidR="00100B33">
        <w:rPr>
          <w:lang w:val="en-GB"/>
        </w:rPr>
        <w:t xml:space="preserve">issues </w:t>
      </w:r>
      <w:r w:rsidR="00351F75">
        <w:rPr>
          <w:lang w:val="en-GB"/>
        </w:rPr>
        <w:t xml:space="preserve">and the defence of the applicant for rescission </w:t>
      </w:r>
      <w:r w:rsidR="00100B33">
        <w:rPr>
          <w:lang w:val="en-GB"/>
        </w:rPr>
        <w:t>being considered and decided by another court during a trial.</w:t>
      </w:r>
      <w:r w:rsidR="00612B20">
        <w:rPr>
          <w:rStyle w:val="FootnoteReference"/>
          <w:lang w:val="en-GB"/>
        </w:rPr>
        <w:footnoteReference w:id="10"/>
      </w:r>
      <w:r w:rsidR="00612B20">
        <w:rPr>
          <w:lang w:val="en-GB"/>
        </w:rPr>
        <w:t xml:space="preserve"> </w:t>
      </w:r>
      <w:r w:rsidR="00BA3A11">
        <w:rPr>
          <w:lang w:val="en-GB"/>
        </w:rPr>
        <w:t xml:space="preserve">This is confirmed by </w:t>
      </w:r>
      <w:r w:rsidR="00BA3A11">
        <w:rPr>
          <w:i/>
          <w:iCs/>
          <w:lang w:val="en-GB"/>
        </w:rPr>
        <w:t>Storti</w:t>
      </w:r>
      <w:r w:rsidR="00BA3A11">
        <w:rPr>
          <w:lang w:val="en-GB"/>
        </w:rPr>
        <w:t>:</w:t>
      </w:r>
      <w:r w:rsidR="00BA3A11">
        <w:rPr>
          <w:rStyle w:val="FootnoteReference"/>
          <w:lang w:val="en-GB"/>
        </w:rPr>
        <w:footnoteReference w:id="11"/>
      </w:r>
    </w:p>
    <w:p w14:paraId="1880AB46" w14:textId="77777777" w:rsidR="007A2E05" w:rsidRDefault="007A2E05" w:rsidP="00D422CC">
      <w:pPr>
        <w:pStyle w:val="ListParagraph"/>
        <w:ind w:left="142"/>
        <w:jc w:val="both"/>
        <w:rPr>
          <w:sz w:val="22"/>
          <w:szCs w:val="22"/>
          <w:lang w:val="en-GB"/>
        </w:rPr>
      </w:pPr>
      <w:r>
        <w:rPr>
          <w:sz w:val="22"/>
          <w:szCs w:val="22"/>
          <w:lang w:val="en-GB"/>
        </w:rPr>
        <w:lastRenderedPageBreak/>
        <w:t xml:space="preserve">‘If the application involves a rescission of an order which should not have been granted, an application for a rescission under the common law need only make out a prima facie case … The effect of the order is interim only, and not final, and therefore factual disputes are ordinarily not a bar to success. If on the other hand the order was correctly made, but is to be set aside (permanently) </w:t>
      </w:r>
      <w:r w:rsidR="00FE1FDB">
        <w:rPr>
          <w:sz w:val="22"/>
          <w:szCs w:val="22"/>
          <w:lang w:val="en-GB"/>
        </w:rPr>
        <w:t>because of, for instance, a composition with creditors,</w:t>
      </w:r>
      <w:r>
        <w:rPr>
          <w:sz w:val="22"/>
          <w:szCs w:val="22"/>
          <w:lang w:val="en-GB"/>
        </w:rPr>
        <w:t xml:space="preserve"> the order of setting aside is expected to have final effect and factual disputes would then become an obstacle to the applicant.’</w:t>
      </w:r>
    </w:p>
    <w:p w14:paraId="1B3757A0" w14:textId="77777777" w:rsidR="003E1BB0" w:rsidRPr="007A2E05" w:rsidRDefault="003E1BB0" w:rsidP="003E1BB0">
      <w:pPr>
        <w:pStyle w:val="ListParagraph"/>
        <w:jc w:val="both"/>
        <w:rPr>
          <w:sz w:val="22"/>
          <w:szCs w:val="22"/>
          <w:lang w:val="en-GB"/>
        </w:rPr>
      </w:pPr>
    </w:p>
    <w:p w14:paraId="35295BA2" w14:textId="190DC068" w:rsidR="007A2E05" w:rsidRDefault="00001897" w:rsidP="00B44A2D">
      <w:pPr>
        <w:pStyle w:val="ListParagraph"/>
        <w:numPr>
          <w:ilvl w:val="0"/>
          <w:numId w:val="16"/>
        </w:numPr>
        <w:autoSpaceDE w:val="0"/>
        <w:autoSpaceDN w:val="0"/>
        <w:adjustRightInd w:val="0"/>
        <w:ind w:left="142" w:hanging="142"/>
        <w:jc w:val="both"/>
        <w:rPr>
          <w:lang w:val="en-GB"/>
        </w:rPr>
      </w:pPr>
      <w:r>
        <w:rPr>
          <w:lang w:val="en-GB"/>
        </w:rPr>
        <w:t>Is the relief in the present application final in nature? The applicant concludes as follows in her founding affidavit:</w:t>
      </w:r>
    </w:p>
    <w:p w14:paraId="0EAD2CC6" w14:textId="77777777" w:rsidR="00001897" w:rsidRDefault="00001897" w:rsidP="00D422CC">
      <w:pPr>
        <w:pStyle w:val="ListParagraph"/>
        <w:autoSpaceDE w:val="0"/>
        <w:autoSpaceDN w:val="0"/>
        <w:adjustRightInd w:val="0"/>
        <w:ind w:left="142"/>
        <w:jc w:val="both"/>
        <w:rPr>
          <w:sz w:val="22"/>
          <w:szCs w:val="22"/>
          <w:lang w:val="en-GB"/>
        </w:rPr>
      </w:pPr>
      <w:r>
        <w:rPr>
          <w:sz w:val="22"/>
          <w:szCs w:val="22"/>
          <w:lang w:val="en-GB"/>
        </w:rPr>
        <w:t>‘The result of this common mistaken belief between the respondent and I, alternatively as a result my unilateral mistake (which must be regarded as reasonable in the circumstances where I expressed the view and the attorney and respondent had not corrected this view) is that after a marriage of 23 years I am without any assets, a fair settlement and without any maintenance whatsoever … It would be just and equitable that the settlement agreement be set aside or rectified.’</w:t>
      </w:r>
    </w:p>
    <w:p w14:paraId="249B5005" w14:textId="77777777" w:rsidR="00F44A3D" w:rsidRPr="00001897" w:rsidRDefault="00F44A3D" w:rsidP="00001897">
      <w:pPr>
        <w:pStyle w:val="ListParagraph"/>
        <w:autoSpaceDE w:val="0"/>
        <w:autoSpaceDN w:val="0"/>
        <w:adjustRightInd w:val="0"/>
        <w:jc w:val="both"/>
        <w:rPr>
          <w:sz w:val="22"/>
          <w:szCs w:val="22"/>
          <w:lang w:val="en-GB"/>
        </w:rPr>
      </w:pPr>
    </w:p>
    <w:p w14:paraId="75598A1C" w14:textId="3894CB74" w:rsidR="00001897" w:rsidRDefault="00F44A3D" w:rsidP="00B44A2D">
      <w:pPr>
        <w:pStyle w:val="ListParagraph"/>
        <w:numPr>
          <w:ilvl w:val="0"/>
          <w:numId w:val="16"/>
        </w:numPr>
        <w:autoSpaceDE w:val="0"/>
        <w:autoSpaceDN w:val="0"/>
        <w:adjustRightInd w:val="0"/>
        <w:ind w:left="142" w:hanging="142"/>
        <w:jc w:val="both"/>
        <w:rPr>
          <w:lang w:val="en-GB"/>
        </w:rPr>
      </w:pPr>
      <w:r>
        <w:rPr>
          <w:lang w:val="en-GB"/>
        </w:rPr>
        <w:t xml:space="preserve">Read with the notice of motion, the position is that the applicant seeks a partial rescission </w:t>
      </w:r>
      <w:r w:rsidR="00861BFB">
        <w:rPr>
          <w:lang w:val="en-GB"/>
        </w:rPr>
        <w:t xml:space="preserve">and setting aside </w:t>
      </w:r>
      <w:r>
        <w:rPr>
          <w:lang w:val="en-GB"/>
        </w:rPr>
        <w:t xml:space="preserve">of the </w:t>
      </w:r>
      <w:r w:rsidR="00587022">
        <w:rPr>
          <w:lang w:val="en-GB"/>
        </w:rPr>
        <w:t>order</w:t>
      </w:r>
      <w:r w:rsidR="009C7168">
        <w:rPr>
          <w:lang w:val="en-GB"/>
        </w:rPr>
        <w:t>, alternatively a variation of the settlement agreement that forms part of the order</w:t>
      </w:r>
      <w:r w:rsidR="00841E7D">
        <w:rPr>
          <w:lang w:val="en-GB"/>
        </w:rPr>
        <w:t xml:space="preserve">, based </w:t>
      </w:r>
      <w:r w:rsidR="00BF08FC">
        <w:rPr>
          <w:lang w:val="en-GB"/>
        </w:rPr>
        <w:t xml:space="preserve">mainly </w:t>
      </w:r>
      <w:r w:rsidR="00841E7D">
        <w:rPr>
          <w:lang w:val="en-GB"/>
        </w:rPr>
        <w:t xml:space="preserve">on </w:t>
      </w:r>
      <w:r w:rsidR="00696B1D">
        <w:rPr>
          <w:lang w:val="en-GB"/>
        </w:rPr>
        <w:t xml:space="preserve">common or unilateral </w:t>
      </w:r>
      <w:r w:rsidR="00841E7D">
        <w:rPr>
          <w:lang w:val="en-GB"/>
        </w:rPr>
        <w:t>mistake</w:t>
      </w:r>
      <w:r w:rsidR="00D52AF3">
        <w:rPr>
          <w:lang w:val="en-GB"/>
        </w:rPr>
        <w:t>, or in the interests of justice</w:t>
      </w:r>
      <w:r w:rsidR="00841E7D">
        <w:rPr>
          <w:lang w:val="en-GB"/>
        </w:rPr>
        <w:t>.</w:t>
      </w:r>
      <w:r w:rsidR="002D5155">
        <w:rPr>
          <w:lang w:val="en-GB"/>
        </w:rPr>
        <w:t xml:space="preserve"> The essence of these proceedings is the determination of whether the applicant’s mistake warrants this relief</w:t>
      </w:r>
      <w:r w:rsidR="00C93B65">
        <w:rPr>
          <w:lang w:val="en-GB"/>
        </w:rPr>
        <w:t>, or whether the relief should be granted for another reason</w:t>
      </w:r>
      <w:r w:rsidR="002D5155">
        <w:rPr>
          <w:lang w:val="en-GB"/>
        </w:rPr>
        <w:t xml:space="preserve">. </w:t>
      </w:r>
      <w:r w:rsidR="00671BD4">
        <w:rPr>
          <w:lang w:val="en-GB"/>
        </w:rPr>
        <w:t xml:space="preserve">The </w:t>
      </w:r>
      <w:r w:rsidR="004931D2">
        <w:rPr>
          <w:lang w:val="en-GB"/>
        </w:rPr>
        <w:t xml:space="preserve">answer to </w:t>
      </w:r>
      <w:r w:rsidR="00C93B65">
        <w:rPr>
          <w:lang w:val="en-GB"/>
        </w:rPr>
        <w:t>these questions</w:t>
      </w:r>
      <w:r w:rsidR="004931D2">
        <w:rPr>
          <w:lang w:val="en-GB"/>
        </w:rPr>
        <w:t xml:space="preserve"> will be</w:t>
      </w:r>
      <w:r w:rsidR="005479B2">
        <w:rPr>
          <w:lang w:val="en-GB"/>
        </w:rPr>
        <w:t xml:space="preserve"> a</w:t>
      </w:r>
      <w:r w:rsidR="004931D2">
        <w:rPr>
          <w:lang w:val="en-GB"/>
        </w:rPr>
        <w:t xml:space="preserve"> final determination of whether </w:t>
      </w:r>
      <w:r w:rsidR="004931D2" w:rsidRPr="007D6E56">
        <w:rPr>
          <w:i/>
          <w:iCs/>
          <w:lang w:val="en-GB"/>
        </w:rPr>
        <w:t>the order</w:t>
      </w:r>
      <w:r w:rsidR="004931D2">
        <w:rPr>
          <w:lang w:val="en-GB"/>
        </w:rPr>
        <w:t xml:space="preserve"> should remain unchanged, be partially rescinded and set aside</w:t>
      </w:r>
      <w:r w:rsidR="005479B2">
        <w:rPr>
          <w:lang w:val="en-GB"/>
        </w:rPr>
        <w:t>,</w:t>
      </w:r>
      <w:r w:rsidR="004931D2">
        <w:rPr>
          <w:lang w:val="en-GB"/>
        </w:rPr>
        <w:t xml:space="preserve"> or varied.</w:t>
      </w:r>
      <w:r w:rsidR="00D071DB">
        <w:rPr>
          <w:lang w:val="en-GB"/>
        </w:rPr>
        <w:t xml:space="preserve"> Finding in favour of the applicant would be a final answer to the question whether the order and underlying agreement </w:t>
      </w:r>
      <w:r w:rsidR="007365F4">
        <w:rPr>
          <w:lang w:val="en-GB"/>
        </w:rPr>
        <w:t>stand</w:t>
      </w:r>
      <w:r w:rsidR="002C3AA3">
        <w:rPr>
          <w:lang w:val="en-GB"/>
        </w:rPr>
        <w:t xml:space="preserve"> </w:t>
      </w:r>
      <w:r w:rsidR="007365F4">
        <w:rPr>
          <w:lang w:val="en-GB"/>
        </w:rPr>
        <w:t>as the basis for the division of the parties’ estates at the time of the divorce</w:t>
      </w:r>
      <w:r w:rsidR="000B54EE">
        <w:rPr>
          <w:lang w:val="en-GB"/>
        </w:rPr>
        <w:t>.</w:t>
      </w:r>
      <w:r w:rsidR="003D72FF">
        <w:rPr>
          <w:rStyle w:val="FootnoteReference"/>
          <w:lang w:val="en-GB"/>
        </w:rPr>
        <w:footnoteReference w:id="12"/>
      </w:r>
      <w:r w:rsidR="00CF2954">
        <w:rPr>
          <w:lang w:val="en-GB"/>
        </w:rPr>
        <w:t xml:space="preserve"> The matter would then veer towards a different direction</w:t>
      </w:r>
      <w:r w:rsidR="005479B2">
        <w:rPr>
          <w:lang w:val="en-GB"/>
        </w:rPr>
        <w:t>,</w:t>
      </w:r>
      <w:r w:rsidR="00FD7C0C">
        <w:rPr>
          <w:lang w:val="en-GB"/>
        </w:rPr>
        <w:t xml:space="preserve"> </w:t>
      </w:r>
      <w:r w:rsidR="00CF2954">
        <w:rPr>
          <w:lang w:val="en-GB"/>
        </w:rPr>
        <w:t xml:space="preserve">to consider the patrimonial </w:t>
      </w:r>
      <w:r w:rsidR="00CF2954">
        <w:rPr>
          <w:lang w:val="en-GB"/>
        </w:rPr>
        <w:lastRenderedPageBreak/>
        <w:t xml:space="preserve">consequences of the dissolution of the marriage afresh and </w:t>
      </w:r>
      <w:r w:rsidR="0064030B">
        <w:rPr>
          <w:lang w:val="en-GB"/>
        </w:rPr>
        <w:t>without reference to the terms of the settlement agreement that was incorporated into the order.</w:t>
      </w:r>
      <w:r w:rsidR="00211C49">
        <w:rPr>
          <w:lang w:val="en-GB"/>
        </w:rPr>
        <w:t xml:space="preserve"> The divorce proceedings </w:t>
      </w:r>
      <w:r w:rsidR="00890838">
        <w:rPr>
          <w:lang w:val="en-GB"/>
        </w:rPr>
        <w:t>having been</w:t>
      </w:r>
      <w:r w:rsidR="00211C49">
        <w:rPr>
          <w:lang w:val="en-GB"/>
        </w:rPr>
        <w:t xml:space="preserve"> unopposed and based on the terms of the settlement agreement, </w:t>
      </w:r>
      <w:r w:rsidR="00890838">
        <w:rPr>
          <w:lang w:val="en-GB"/>
        </w:rPr>
        <w:t xml:space="preserve">this </w:t>
      </w:r>
      <w:r w:rsidR="007F347A">
        <w:rPr>
          <w:lang w:val="en-GB"/>
        </w:rPr>
        <w:t>would</w:t>
      </w:r>
      <w:r w:rsidR="00890838">
        <w:rPr>
          <w:lang w:val="en-GB"/>
        </w:rPr>
        <w:t xml:space="preserve"> effectively </w:t>
      </w:r>
      <w:r w:rsidR="007F347A">
        <w:rPr>
          <w:lang w:val="en-GB"/>
        </w:rPr>
        <w:t xml:space="preserve">be </w:t>
      </w:r>
      <w:r w:rsidR="00890838">
        <w:rPr>
          <w:lang w:val="en-GB"/>
        </w:rPr>
        <w:t>a new dispute</w:t>
      </w:r>
      <w:r w:rsidR="00B939BF">
        <w:rPr>
          <w:lang w:val="en-GB"/>
        </w:rPr>
        <w:t>.</w:t>
      </w:r>
      <w:r w:rsidR="002A1AF3">
        <w:rPr>
          <w:lang w:val="en-GB"/>
        </w:rPr>
        <w:t xml:space="preserve"> </w:t>
      </w:r>
      <w:r w:rsidR="00B939BF">
        <w:rPr>
          <w:lang w:val="en-GB"/>
        </w:rPr>
        <w:t>T</w:t>
      </w:r>
      <w:r w:rsidR="002A1AF3">
        <w:rPr>
          <w:lang w:val="en-GB"/>
        </w:rPr>
        <w:t>he applicant suggest</w:t>
      </w:r>
      <w:r w:rsidR="00B939BF">
        <w:rPr>
          <w:lang w:val="en-GB"/>
        </w:rPr>
        <w:t>s</w:t>
      </w:r>
      <w:r w:rsidR="002A1AF3">
        <w:rPr>
          <w:lang w:val="en-GB"/>
        </w:rPr>
        <w:t xml:space="preserve"> that the parties be given a month to reach agreement on the patrimonial aspects of their marriage</w:t>
      </w:r>
      <w:r w:rsidR="005479B2">
        <w:rPr>
          <w:lang w:val="en-GB"/>
        </w:rPr>
        <w:t>,</w:t>
      </w:r>
      <w:r w:rsidR="002A1AF3">
        <w:rPr>
          <w:lang w:val="en-GB"/>
        </w:rPr>
        <w:t xml:space="preserve"> as at the date of divorce</w:t>
      </w:r>
      <w:r w:rsidR="006349B1">
        <w:rPr>
          <w:lang w:val="en-GB"/>
        </w:rPr>
        <w:t>, failing which the court will be approached for the appointment of a Receiver to assist with implementation of the accrual system</w:t>
      </w:r>
      <w:r w:rsidR="000327CA">
        <w:rPr>
          <w:lang w:val="en-GB"/>
        </w:rPr>
        <w:t xml:space="preserve">, or the applicant will issue summons </w:t>
      </w:r>
      <w:r w:rsidR="008740F7">
        <w:rPr>
          <w:lang w:val="en-GB"/>
        </w:rPr>
        <w:t>for</w:t>
      </w:r>
      <w:r w:rsidR="001D5A72">
        <w:rPr>
          <w:lang w:val="en-GB"/>
        </w:rPr>
        <w:t xml:space="preserve"> </w:t>
      </w:r>
      <w:r w:rsidR="00087133">
        <w:rPr>
          <w:lang w:val="en-GB"/>
        </w:rPr>
        <w:t>its implementation.</w:t>
      </w:r>
    </w:p>
    <w:p w14:paraId="07143A27" w14:textId="77777777" w:rsidR="000F413C" w:rsidRDefault="000F413C" w:rsidP="000F413C">
      <w:pPr>
        <w:pStyle w:val="ListParagraph"/>
        <w:autoSpaceDE w:val="0"/>
        <w:autoSpaceDN w:val="0"/>
        <w:adjustRightInd w:val="0"/>
        <w:jc w:val="both"/>
        <w:rPr>
          <w:lang w:val="en-GB"/>
        </w:rPr>
      </w:pPr>
    </w:p>
    <w:p w14:paraId="2E07A5E3" w14:textId="1DCE893A" w:rsidR="000F413C" w:rsidRDefault="001E07D0" w:rsidP="00B44A2D">
      <w:pPr>
        <w:pStyle w:val="ListParagraph"/>
        <w:numPr>
          <w:ilvl w:val="0"/>
          <w:numId w:val="16"/>
        </w:numPr>
        <w:autoSpaceDE w:val="0"/>
        <w:autoSpaceDN w:val="0"/>
        <w:adjustRightInd w:val="0"/>
        <w:ind w:left="142" w:hanging="142"/>
        <w:jc w:val="both"/>
        <w:rPr>
          <w:lang w:val="en-GB"/>
        </w:rPr>
      </w:pPr>
      <w:r>
        <w:rPr>
          <w:lang w:val="en-GB"/>
        </w:rPr>
        <w:t>In other words, t</w:t>
      </w:r>
      <w:r w:rsidR="00DC7D88">
        <w:rPr>
          <w:lang w:val="en-GB"/>
        </w:rPr>
        <w:t xml:space="preserve">his court is being asked to finally set aside an order </w:t>
      </w:r>
      <w:r w:rsidR="00170030">
        <w:rPr>
          <w:lang w:val="en-GB"/>
        </w:rPr>
        <w:t>incorporating</w:t>
      </w:r>
      <w:r w:rsidR="00DC7D88">
        <w:rPr>
          <w:lang w:val="en-GB"/>
        </w:rPr>
        <w:t xml:space="preserve"> a settlement agreement </w:t>
      </w:r>
      <w:r w:rsidR="00170030">
        <w:rPr>
          <w:lang w:val="en-GB"/>
        </w:rPr>
        <w:t xml:space="preserve">as </w:t>
      </w:r>
      <w:r w:rsidR="00DC7D88">
        <w:rPr>
          <w:lang w:val="en-GB"/>
        </w:rPr>
        <w:t xml:space="preserve">an order of court. The effect of that order will be to undo the pecuniary consequences of the settlement agreement. </w:t>
      </w:r>
      <w:r w:rsidR="00792616">
        <w:rPr>
          <w:lang w:val="en-GB"/>
        </w:rPr>
        <w:t>The question whether the settlement agreement was concluded with proper understanding, or based on mistake</w:t>
      </w:r>
      <w:r w:rsidR="005479B2">
        <w:rPr>
          <w:lang w:val="en-GB"/>
        </w:rPr>
        <w:t>,</w:t>
      </w:r>
      <w:r w:rsidR="00792616">
        <w:rPr>
          <w:lang w:val="en-GB"/>
        </w:rPr>
        <w:t xml:space="preserve"> or some other reason </w:t>
      </w:r>
      <w:r w:rsidR="00E2162E">
        <w:rPr>
          <w:lang w:val="en-GB"/>
        </w:rPr>
        <w:t>justifying it being set aside</w:t>
      </w:r>
      <w:r w:rsidR="005479B2">
        <w:rPr>
          <w:lang w:val="en-GB"/>
        </w:rPr>
        <w:t>,</w:t>
      </w:r>
      <w:r w:rsidR="00792616">
        <w:rPr>
          <w:lang w:val="en-GB"/>
        </w:rPr>
        <w:t xml:space="preserve"> will not be reconsidered and is</w:t>
      </w:r>
      <w:r w:rsidR="002B115B">
        <w:rPr>
          <w:lang w:val="en-GB"/>
        </w:rPr>
        <w:t xml:space="preserve"> to be finally determined.</w:t>
      </w:r>
      <w:r w:rsidR="00D752C5">
        <w:rPr>
          <w:lang w:val="en-GB"/>
        </w:rPr>
        <w:t xml:space="preserve"> </w:t>
      </w:r>
      <w:r w:rsidR="003A4A87">
        <w:rPr>
          <w:lang w:val="en-GB"/>
        </w:rPr>
        <w:t>If the order is partially rescinded</w:t>
      </w:r>
      <w:r w:rsidR="005479B2">
        <w:rPr>
          <w:lang w:val="en-GB"/>
        </w:rPr>
        <w:t>,</w:t>
      </w:r>
      <w:r w:rsidR="003A4A87">
        <w:rPr>
          <w:lang w:val="en-GB"/>
        </w:rPr>
        <w:t xml:space="preserve"> or varied as </w:t>
      </w:r>
      <w:r w:rsidR="00B23A30">
        <w:rPr>
          <w:lang w:val="en-GB"/>
        </w:rPr>
        <w:t xml:space="preserve">requested, the issue that may return to court will have nothing to do with the manner in which settlement was reached. </w:t>
      </w:r>
      <w:r w:rsidR="00F36F97">
        <w:rPr>
          <w:lang w:val="en-GB"/>
        </w:rPr>
        <w:t xml:space="preserve">It will be concerned with the proper application of the accrual system as if settlement on </w:t>
      </w:r>
      <w:r w:rsidR="009E417C">
        <w:rPr>
          <w:lang w:val="en-GB"/>
        </w:rPr>
        <w:t>the financial aspects of the divorce had never been reached.</w:t>
      </w:r>
      <w:r w:rsidR="00C05E6A">
        <w:rPr>
          <w:rStyle w:val="FootnoteReference"/>
          <w:lang w:val="en-GB"/>
        </w:rPr>
        <w:footnoteReference w:id="13"/>
      </w:r>
      <w:r w:rsidR="00792616">
        <w:rPr>
          <w:lang w:val="en-GB"/>
        </w:rPr>
        <w:t xml:space="preserve"> </w:t>
      </w:r>
      <w:r w:rsidR="00136B57">
        <w:rPr>
          <w:lang w:val="en-GB"/>
        </w:rPr>
        <w:t xml:space="preserve">As a result, </w:t>
      </w:r>
      <w:r w:rsidR="00DC7D88">
        <w:rPr>
          <w:lang w:val="en-GB"/>
        </w:rPr>
        <w:t>the relief sought in the present rescission application must be considered to be final relief</w:t>
      </w:r>
      <w:r w:rsidR="00EC78B2">
        <w:rPr>
          <w:lang w:val="en-GB"/>
        </w:rPr>
        <w:t>, relating squarely to the settlement agreement and court order</w:t>
      </w:r>
      <w:r w:rsidR="00DC7D88">
        <w:rPr>
          <w:lang w:val="en-GB"/>
        </w:rPr>
        <w:t xml:space="preserve">. </w:t>
      </w:r>
      <w:r w:rsidR="00C8458D">
        <w:rPr>
          <w:lang w:val="en-GB"/>
        </w:rPr>
        <w:t xml:space="preserve">These being motion proceedings, the </w:t>
      </w:r>
      <w:r w:rsidR="00C8458D">
        <w:rPr>
          <w:i/>
          <w:iCs/>
          <w:lang w:val="en-GB"/>
        </w:rPr>
        <w:t>Plascon-Evans</w:t>
      </w:r>
      <w:r w:rsidR="00C8458D">
        <w:rPr>
          <w:lang w:val="en-GB"/>
        </w:rPr>
        <w:t xml:space="preserve"> </w:t>
      </w:r>
      <w:r w:rsidR="00042C5A">
        <w:rPr>
          <w:lang w:val="en-GB"/>
        </w:rPr>
        <w:t>rule</w:t>
      </w:r>
      <w:r w:rsidR="00C8458D">
        <w:rPr>
          <w:lang w:val="en-GB"/>
        </w:rPr>
        <w:t xml:space="preserve"> stands to be applied.</w:t>
      </w:r>
    </w:p>
    <w:p w14:paraId="7673C662" w14:textId="77777777" w:rsidR="00EC6C77" w:rsidRPr="00EC6C77" w:rsidRDefault="00EC6C77" w:rsidP="00EC6C77">
      <w:pPr>
        <w:pStyle w:val="ListParagraph"/>
        <w:rPr>
          <w:lang w:val="en-GB"/>
        </w:rPr>
      </w:pPr>
    </w:p>
    <w:p w14:paraId="528EA466" w14:textId="0E2A343B" w:rsidR="000110C2" w:rsidRPr="00E722AA" w:rsidRDefault="00EC6C77" w:rsidP="00B44A2D">
      <w:pPr>
        <w:pStyle w:val="ListParagraph"/>
        <w:numPr>
          <w:ilvl w:val="0"/>
          <w:numId w:val="16"/>
        </w:numPr>
        <w:autoSpaceDE w:val="0"/>
        <w:autoSpaceDN w:val="0"/>
        <w:adjustRightInd w:val="0"/>
        <w:ind w:left="142" w:hanging="142"/>
        <w:jc w:val="both"/>
        <w:rPr>
          <w:lang w:val="en-GB"/>
        </w:rPr>
      </w:pPr>
      <w:r w:rsidRPr="00E722AA">
        <w:rPr>
          <w:lang w:val="en-GB"/>
        </w:rPr>
        <w:t xml:space="preserve">This approach is </w:t>
      </w:r>
      <w:r w:rsidR="001B6AE2">
        <w:rPr>
          <w:lang w:val="en-GB"/>
        </w:rPr>
        <w:t xml:space="preserve">fully </w:t>
      </w:r>
      <w:r w:rsidRPr="00E722AA">
        <w:rPr>
          <w:lang w:val="en-GB"/>
        </w:rPr>
        <w:t xml:space="preserve">supported by the judgment of the SCA in </w:t>
      </w:r>
      <w:r w:rsidRPr="00E722AA">
        <w:rPr>
          <w:i/>
          <w:iCs/>
          <w:lang w:val="en-GB"/>
        </w:rPr>
        <w:t>Slabbert</w:t>
      </w:r>
      <w:r w:rsidRPr="00E722AA">
        <w:rPr>
          <w:lang w:val="en-GB"/>
        </w:rPr>
        <w:t>.</w:t>
      </w:r>
      <w:r>
        <w:rPr>
          <w:rStyle w:val="FootnoteReference"/>
          <w:lang w:val="en-GB"/>
        </w:rPr>
        <w:footnoteReference w:id="14"/>
      </w:r>
      <w:r w:rsidR="00FE4130" w:rsidRPr="00E722AA">
        <w:rPr>
          <w:lang w:val="en-GB"/>
        </w:rPr>
        <w:t xml:space="preserve"> In that matter, a compromise agreement had been made an order of court. </w:t>
      </w:r>
      <w:r w:rsidR="003608A8" w:rsidRPr="00E722AA">
        <w:rPr>
          <w:lang w:val="en-GB"/>
        </w:rPr>
        <w:t>An application to rescind th</w:t>
      </w:r>
      <w:r w:rsidR="00503266">
        <w:rPr>
          <w:lang w:val="en-GB"/>
        </w:rPr>
        <w:t>at</w:t>
      </w:r>
      <w:r w:rsidR="003608A8" w:rsidRPr="00E722AA">
        <w:rPr>
          <w:lang w:val="en-GB"/>
        </w:rPr>
        <w:t xml:space="preserve"> court order was </w:t>
      </w:r>
      <w:r w:rsidR="00ED5131">
        <w:rPr>
          <w:lang w:val="en-GB"/>
        </w:rPr>
        <w:t>brought</w:t>
      </w:r>
      <w:r w:rsidR="003608A8" w:rsidRPr="00E722AA">
        <w:rPr>
          <w:lang w:val="en-GB"/>
        </w:rPr>
        <w:t xml:space="preserve">, relying on an allegation of new evidence. </w:t>
      </w:r>
      <w:r w:rsidR="00E055F8" w:rsidRPr="00E722AA">
        <w:rPr>
          <w:lang w:val="en-GB"/>
        </w:rPr>
        <w:t xml:space="preserve">The court a quo accepted that there was new evidence that had only come to light after the compromise agreement had been concluded. </w:t>
      </w:r>
      <w:r w:rsidR="00FE4130" w:rsidRPr="00E722AA">
        <w:rPr>
          <w:lang w:val="en-GB"/>
        </w:rPr>
        <w:t xml:space="preserve">The </w:t>
      </w:r>
      <w:r w:rsidR="000110C2" w:rsidRPr="00E722AA">
        <w:rPr>
          <w:lang w:val="en-GB"/>
        </w:rPr>
        <w:t>SCA</w:t>
      </w:r>
      <w:r w:rsidR="00FE4130" w:rsidRPr="00E722AA">
        <w:rPr>
          <w:lang w:val="en-GB"/>
        </w:rPr>
        <w:t xml:space="preserve">, after summarising the limited grounds for rescinding </w:t>
      </w:r>
      <w:r w:rsidR="000110C2" w:rsidRPr="00E722AA">
        <w:rPr>
          <w:lang w:val="en-GB"/>
        </w:rPr>
        <w:t xml:space="preserve">such agreements, held </w:t>
      </w:r>
      <w:r w:rsidR="0038704A" w:rsidRPr="00E722AA">
        <w:rPr>
          <w:lang w:val="en-GB"/>
        </w:rPr>
        <w:t xml:space="preserve">that the court </w:t>
      </w:r>
      <w:r w:rsidR="0038704A" w:rsidRPr="00E722AA">
        <w:rPr>
          <w:lang w:val="en-GB"/>
        </w:rPr>
        <w:lastRenderedPageBreak/>
        <w:t>a quo</w:t>
      </w:r>
      <w:r w:rsidR="00042C5A" w:rsidRPr="00E722AA">
        <w:rPr>
          <w:lang w:val="en-GB"/>
        </w:rPr>
        <w:t xml:space="preserve"> had erred. It should have applied the </w:t>
      </w:r>
      <w:r w:rsidR="00042C5A" w:rsidRPr="00E722AA">
        <w:rPr>
          <w:i/>
          <w:iCs/>
          <w:lang w:val="en-GB"/>
        </w:rPr>
        <w:t xml:space="preserve">Plascon-Evans </w:t>
      </w:r>
      <w:r w:rsidR="00042C5A" w:rsidRPr="00E722AA">
        <w:rPr>
          <w:lang w:val="en-GB"/>
        </w:rPr>
        <w:t>rule</w:t>
      </w:r>
      <w:r w:rsidR="0038704A" w:rsidRPr="00E722AA">
        <w:rPr>
          <w:lang w:val="en-GB"/>
        </w:rPr>
        <w:t xml:space="preserve"> </w:t>
      </w:r>
      <w:r w:rsidR="00873629" w:rsidRPr="00E722AA">
        <w:rPr>
          <w:lang w:val="en-GB"/>
        </w:rPr>
        <w:t>and accepted the version of the respondent in so far as there was any dispute of fact.</w:t>
      </w:r>
      <w:r w:rsidR="00E8758D">
        <w:rPr>
          <w:rStyle w:val="FootnoteReference"/>
          <w:lang w:val="en-GB"/>
        </w:rPr>
        <w:footnoteReference w:id="15"/>
      </w:r>
      <w:r w:rsidR="00E81E33">
        <w:rPr>
          <w:lang w:val="en-GB"/>
        </w:rPr>
        <w:t xml:space="preserve"> As would be the case if rescission were to be ordered</w:t>
      </w:r>
      <w:r w:rsidR="000978C9">
        <w:rPr>
          <w:lang w:val="en-GB"/>
        </w:rPr>
        <w:t xml:space="preserve"> in the present matter, the SCA concluded that the rescission of the compromise agreement</w:t>
      </w:r>
      <w:r w:rsidR="00683BC4">
        <w:rPr>
          <w:lang w:val="en-GB"/>
        </w:rPr>
        <w:t xml:space="preserve"> was final ‘in substance and effect’.</w:t>
      </w:r>
      <w:r w:rsidR="00672983">
        <w:rPr>
          <w:rStyle w:val="FootnoteReference"/>
          <w:lang w:val="en-GB"/>
        </w:rPr>
        <w:footnoteReference w:id="16"/>
      </w:r>
    </w:p>
    <w:p w14:paraId="4545AE34" w14:textId="77777777" w:rsidR="00315232" w:rsidRDefault="00315232" w:rsidP="00CD173B">
      <w:pPr>
        <w:autoSpaceDE w:val="0"/>
        <w:autoSpaceDN w:val="0"/>
        <w:adjustRightInd w:val="0"/>
        <w:jc w:val="both"/>
        <w:rPr>
          <w:b/>
          <w:bCs/>
          <w:lang w:val="en-GB"/>
        </w:rPr>
      </w:pPr>
    </w:p>
    <w:p w14:paraId="1D38CFDE" w14:textId="77777777" w:rsidR="003C4CFB" w:rsidRDefault="003C4CFB" w:rsidP="00CD173B">
      <w:pPr>
        <w:autoSpaceDE w:val="0"/>
        <w:autoSpaceDN w:val="0"/>
        <w:adjustRightInd w:val="0"/>
        <w:jc w:val="both"/>
        <w:rPr>
          <w:b/>
          <w:bCs/>
          <w:lang w:val="en-GB"/>
        </w:rPr>
      </w:pPr>
      <w:r>
        <w:rPr>
          <w:b/>
          <w:bCs/>
          <w:lang w:val="en-GB"/>
        </w:rPr>
        <w:t xml:space="preserve">Application of the </w:t>
      </w:r>
      <w:r>
        <w:rPr>
          <w:b/>
          <w:bCs/>
          <w:i/>
          <w:iCs/>
          <w:lang w:val="en-GB"/>
        </w:rPr>
        <w:t xml:space="preserve">Plascon-Evans </w:t>
      </w:r>
      <w:r w:rsidR="00042C5A">
        <w:rPr>
          <w:b/>
          <w:bCs/>
          <w:lang w:val="en-GB"/>
        </w:rPr>
        <w:t>rule</w:t>
      </w:r>
    </w:p>
    <w:p w14:paraId="278B3C5C" w14:textId="77777777" w:rsidR="003C4CFB" w:rsidRDefault="003C4CFB" w:rsidP="00CD173B">
      <w:pPr>
        <w:autoSpaceDE w:val="0"/>
        <w:autoSpaceDN w:val="0"/>
        <w:adjustRightInd w:val="0"/>
        <w:jc w:val="both"/>
        <w:rPr>
          <w:b/>
          <w:bCs/>
          <w:lang w:val="en-GB"/>
        </w:rPr>
      </w:pPr>
    </w:p>
    <w:p w14:paraId="23975E8E" w14:textId="2D7F754B" w:rsidR="00621129" w:rsidRPr="00733DBD" w:rsidRDefault="00621129" w:rsidP="00B44A2D">
      <w:pPr>
        <w:pStyle w:val="ListParagraph"/>
        <w:numPr>
          <w:ilvl w:val="0"/>
          <w:numId w:val="16"/>
        </w:numPr>
        <w:autoSpaceDE w:val="0"/>
        <w:autoSpaceDN w:val="0"/>
        <w:adjustRightInd w:val="0"/>
        <w:ind w:left="142" w:hanging="142"/>
        <w:jc w:val="both"/>
        <w:rPr>
          <w:b/>
          <w:bCs/>
          <w:lang w:val="en-GB"/>
        </w:rPr>
      </w:pPr>
      <w:r w:rsidRPr="00621129">
        <w:rPr>
          <w:lang w:val="en-GB"/>
        </w:rPr>
        <w:t xml:space="preserve">Applying the </w:t>
      </w:r>
      <w:r w:rsidRPr="00621129">
        <w:rPr>
          <w:i/>
          <w:iCs/>
          <w:lang w:val="en-GB"/>
        </w:rPr>
        <w:t xml:space="preserve">Plascon-Evans </w:t>
      </w:r>
      <w:r w:rsidR="00042C5A">
        <w:rPr>
          <w:lang w:val="en-GB"/>
        </w:rPr>
        <w:t>rule</w:t>
      </w:r>
      <w:r w:rsidR="00ED0914">
        <w:rPr>
          <w:lang w:val="en-GB"/>
        </w:rPr>
        <w:t>,</w:t>
      </w:r>
      <w:r w:rsidRPr="00621129">
        <w:rPr>
          <w:lang w:val="en-GB"/>
        </w:rPr>
        <w:t xml:space="preserve"> t</w:t>
      </w:r>
      <w:r w:rsidR="00ED0914">
        <w:rPr>
          <w:lang w:val="en-GB"/>
        </w:rPr>
        <w:t>he</w:t>
      </w:r>
      <w:r w:rsidRPr="00621129">
        <w:rPr>
          <w:lang w:val="en-GB"/>
        </w:rPr>
        <w:t xml:space="preserve"> affidavits </w:t>
      </w:r>
      <w:r w:rsidR="001A6D33">
        <w:rPr>
          <w:lang w:val="en-GB"/>
        </w:rPr>
        <w:t xml:space="preserve">reveal the following factual matrix. </w:t>
      </w:r>
      <w:r w:rsidR="0001148E">
        <w:rPr>
          <w:lang w:val="en-GB"/>
        </w:rPr>
        <w:t xml:space="preserve">The marriage broke down as a result of an adulterous relationship </w:t>
      </w:r>
      <w:r w:rsidR="003C2A0D">
        <w:rPr>
          <w:lang w:val="en-GB"/>
        </w:rPr>
        <w:t xml:space="preserve">on the part of the applicant. The parties agreed to consult Marais. </w:t>
      </w:r>
      <w:r w:rsidR="003522DC">
        <w:rPr>
          <w:lang w:val="en-GB"/>
        </w:rPr>
        <w:t>The applicant wanted ‘nothing’ out of the marriage and w</w:t>
      </w:r>
      <w:r w:rsidR="00ED0914">
        <w:rPr>
          <w:lang w:val="en-GB"/>
        </w:rPr>
        <w:t>anted</w:t>
      </w:r>
      <w:r w:rsidR="003522DC">
        <w:rPr>
          <w:lang w:val="en-GB"/>
        </w:rPr>
        <w:t xml:space="preserve"> a speedy divorce. </w:t>
      </w:r>
      <w:r w:rsidR="00E33918">
        <w:rPr>
          <w:lang w:val="en-GB"/>
        </w:rPr>
        <w:t xml:space="preserve">This was the </w:t>
      </w:r>
      <w:r w:rsidR="002F406B">
        <w:rPr>
          <w:lang w:val="en-GB"/>
        </w:rPr>
        <w:t>basis</w:t>
      </w:r>
      <w:r w:rsidR="00E33918">
        <w:rPr>
          <w:lang w:val="en-GB"/>
        </w:rPr>
        <w:t xml:space="preserve"> of the instructions given to Marais.</w:t>
      </w:r>
      <w:r w:rsidR="00BB7D30">
        <w:rPr>
          <w:lang w:val="en-GB"/>
        </w:rPr>
        <w:t xml:space="preserve"> </w:t>
      </w:r>
      <w:r w:rsidR="00ED0914">
        <w:rPr>
          <w:lang w:val="en-GB"/>
        </w:rPr>
        <w:t>He</w:t>
      </w:r>
      <w:r w:rsidR="00BB7D30">
        <w:rPr>
          <w:lang w:val="en-GB"/>
        </w:rPr>
        <w:t xml:space="preserve"> nevertheless explained how the accrual system worked, and that one party may have to pay the other after consideration of all the assets and liabilities of both parties. </w:t>
      </w:r>
      <w:r w:rsidR="00397C89">
        <w:rPr>
          <w:lang w:val="en-GB"/>
        </w:rPr>
        <w:t>The applicant understood this explanation and the respondent’s advice to Marais that they would each retain their assets and that the applicant did not wish to claim anything in terms of the accrual</w:t>
      </w:r>
      <w:r w:rsidR="00ED0914">
        <w:rPr>
          <w:lang w:val="en-GB"/>
        </w:rPr>
        <w:t>,</w:t>
      </w:r>
      <w:r w:rsidR="008C35DD">
        <w:rPr>
          <w:lang w:val="en-GB"/>
        </w:rPr>
        <w:t xml:space="preserve"> or any maintenance.</w:t>
      </w:r>
      <w:r w:rsidR="005C2CAB">
        <w:rPr>
          <w:lang w:val="en-GB"/>
        </w:rPr>
        <w:t xml:space="preserve"> She wanted nothing to do with the respondent’s estate at the time, and was concerned about the possibility of being saddled with his debts. </w:t>
      </w:r>
      <w:r w:rsidR="006D5EA3">
        <w:rPr>
          <w:lang w:val="en-GB"/>
        </w:rPr>
        <w:t>The applicant was in a rush to relocate to Gqeberha to join her</w:t>
      </w:r>
      <w:r w:rsidR="006D5EA3" w:rsidRPr="00733DBD">
        <w:rPr>
          <w:lang w:val="en-GB"/>
        </w:rPr>
        <w:t xml:space="preserve"> new </w:t>
      </w:r>
      <w:r w:rsidR="000C1875" w:rsidRPr="00733DBD">
        <w:rPr>
          <w:lang w:val="en-GB"/>
        </w:rPr>
        <w:t>partner.</w:t>
      </w:r>
    </w:p>
    <w:p w14:paraId="01132BDB" w14:textId="77777777" w:rsidR="00733DBD" w:rsidRPr="00733DBD" w:rsidRDefault="00733DBD" w:rsidP="00733DBD">
      <w:pPr>
        <w:pStyle w:val="ListParagraph"/>
        <w:autoSpaceDE w:val="0"/>
        <w:autoSpaceDN w:val="0"/>
        <w:adjustRightInd w:val="0"/>
        <w:jc w:val="both"/>
        <w:rPr>
          <w:b/>
          <w:bCs/>
          <w:lang w:val="en-GB"/>
        </w:rPr>
      </w:pPr>
    </w:p>
    <w:p w14:paraId="578621DC" w14:textId="04227283" w:rsidR="00733DBD" w:rsidRPr="00017619" w:rsidRDefault="00C82B8D" w:rsidP="00D422CC">
      <w:pPr>
        <w:pStyle w:val="ListParagraph"/>
        <w:numPr>
          <w:ilvl w:val="0"/>
          <w:numId w:val="16"/>
        </w:numPr>
        <w:autoSpaceDE w:val="0"/>
        <w:autoSpaceDN w:val="0"/>
        <w:adjustRightInd w:val="0"/>
        <w:ind w:left="142" w:firstLine="0"/>
        <w:jc w:val="both"/>
        <w:rPr>
          <w:b/>
          <w:bCs/>
          <w:lang w:val="en-GB"/>
        </w:rPr>
      </w:pPr>
      <w:r>
        <w:rPr>
          <w:lang w:val="en-GB"/>
        </w:rPr>
        <w:t xml:space="preserve">This version of events is supported by the messages between the parties between 4 and 14 March 2019. </w:t>
      </w:r>
      <w:r w:rsidR="000D3B68">
        <w:rPr>
          <w:lang w:val="en-GB"/>
        </w:rPr>
        <w:t>On 5 March 2019 the applicant, a</w:t>
      </w:r>
      <w:r w:rsidR="00346D06">
        <w:rPr>
          <w:lang w:val="en-GB"/>
        </w:rPr>
        <w:t>ngered by alleged correspondence between the respondent and her new partner’s ex-wife, messaged: ‘It is over. Sign the papers.’</w:t>
      </w:r>
      <w:r w:rsidR="00873BB3">
        <w:rPr>
          <w:lang w:val="en-GB"/>
        </w:rPr>
        <w:t xml:space="preserve"> On 14 March 2019, in response to the respondent refusing permission for her to stay on the farm, </w:t>
      </w:r>
      <w:r w:rsidR="00B967F0">
        <w:rPr>
          <w:lang w:val="en-GB"/>
        </w:rPr>
        <w:t xml:space="preserve">she </w:t>
      </w:r>
      <w:r w:rsidR="00873BB3">
        <w:rPr>
          <w:lang w:val="en-GB"/>
        </w:rPr>
        <w:t>messaged: ‘Are you serious. Your decision. I want you to sign the papers if you are not going to I am going to change to the plaintiff and ask for what I should get.’</w:t>
      </w:r>
      <w:r w:rsidR="00790EC3">
        <w:rPr>
          <w:lang w:val="en-GB"/>
        </w:rPr>
        <w:t xml:space="preserve"> Copies of the applicant’s direct correspondence to Marais also reflect her eagerness for the matter to be finalised. She sought an update on the divorce proceedings on 24 April 2019 and followed up again on 29 April 2019, indicating that a month had passed and that she would seek </w:t>
      </w:r>
      <w:r w:rsidR="008B17D8">
        <w:rPr>
          <w:lang w:val="en-GB"/>
        </w:rPr>
        <w:lastRenderedPageBreak/>
        <w:t xml:space="preserve">(independent) </w:t>
      </w:r>
      <w:r w:rsidR="00790EC3">
        <w:rPr>
          <w:lang w:val="en-GB"/>
        </w:rPr>
        <w:t>legal advice and continue the proceedings if a response was not forthcoming by the end of that week.</w:t>
      </w:r>
    </w:p>
    <w:p w14:paraId="4FCDE2B1" w14:textId="77777777" w:rsidR="00017619" w:rsidRPr="00017619" w:rsidRDefault="00017619" w:rsidP="00017619">
      <w:pPr>
        <w:pStyle w:val="ListParagraph"/>
        <w:rPr>
          <w:b/>
          <w:bCs/>
          <w:lang w:val="en-GB"/>
        </w:rPr>
      </w:pPr>
    </w:p>
    <w:p w14:paraId="287E8994" w14:textId="0DC383C8" w:rsidR="00017619" w:rsidRPr="00733DBD" w:rsidRDefault="00017619" w:rsidP="00073FE1">
      <w:pPr>
        <w:pStyle w:val="ListParagraph"/>
        <w:numPr>
          <w:ilvl w:val="0"/>
          <w:numId w:val="16"/>
        </w:numPr>
        <w:autoSpaceDE w:val="0"/>
        <w:autoSpaceDN w:val="0"/>
        <w:adjustRightInd w:val="0"/>
        <w:ind w:left="142" w:hanging="142"/>
        <w:jc w:val="both"/>
        <w:rPr>
          <w:b/>
          <w:bCs/>
          <w:lang w:val="en-GB"/>
        </w:rPr>
      </w:pPr>
      <w:r>
        <w:rPr>
          <w:lang w:val="en-GB"/>
        </w:rPr>
        <w:t>It is supported by Marais’ confirmatory affidavit. The accrual system was fully discussed and ‘the applicant took a conscious decision not to claim anything from the respondents’ estate’.</w:t>
      </w:r>
      <w:r w:rsidR="002412B6">
        <w:rPr>
          <w:rStyle w:val="FootnoteReference"/>
          <w:lang w:val="en-GB"/>
        </w:rPr>
        <w:footnoteReference w:id="17"/>
      </w:r>
      <w:r w:rsidR="00671978">
        <w:rPr>
          <w:lang w:val="en-GB"/>
        </w:rPr>
        <w:t xml:space="preserve"> In these circumstances, the respondent’s denials of the key facts averred by the applicant raise real, genuine and bona fide disputes</w:t>
      </w:r>
      <w:r w:rsidR="00900070">
        <w:rPr>
          <w:lang w:val="en-GB"/>
        </w:rPr>
        <w:t>. The</w:t>
      </w:r>
      <w:r w:rsidR="00611F7E">
        <w:rPr>
          <w:lang w:val="en-GB"/>
        </w:rPr>
        <w:t>se</w:t>
      </w:r>
      <w:r w:rsidR="00900070">
        <w:rPr>
          <w:lang w:val="en-GB"/>
        </w:rPr>
        <w:t xml:space="preserve"> are not far-fetched or clearly untenable </w:t>
      </w:r>
      <w:r w:rsidR="000529DF">
        <w:rPr>
          <w:lang w:val="en-GB"/>
        </w:rPr>
        <w:t>denials and averments</w:t>
      </w:r>
      <w:r w:rsidR="00900070">
        <w:rPr>
          <w:lang w:val="en-GB"/>
        </w:rPr>
        <w:t xml:space="preserve"> that must be rejected merely on the papers.</w:t>
      </w:r>
      <w:r w:rsidR="005A69CE">
        <w:rPr>
          <w:rStyle w:val="FootnoteReference"/>
          <w:lang w:val="en-GB"/>
        </w:rPr>
        <w:footnoteReference w:id="18"/>
      </w:r>
      <w:r w:rsidR="00F17F3E">
        <w:rPr>
          <w:lang w:val="en-GB"/>
        </w:rPr>
        <w:t xml:space="preserve"> </w:t>
      </w:r>
      <w:r w:rsidR="00C66D87">
        <w:rPr>
          <w:lang w:val="en-GB"/>
        </w:rPr>
        <w:t>It might be added that there was no application for referral of the matter to oral evidence, and that it was argued on behalf of the applicant, in supplementary heads filed, that there is no dispute of fact which need</w:t>
      </w:r>
      <w:r w:rsidR="009D461A">
        <w:rPr>
          <w:lang w:val="en-GB"/>
        </w:rPr>
        <w:t>s</w:t>
      </w:r>
      <w:r w:rsidR="00C66D87">
        <w:rPr>
          <w:lang w:val="en-GB"/>
        </w:rPr>
        <w:t xml:space="preserve"> to be referred to oral evidence.</w:t>
      </w:r>
      <w:r w:rsidR="00674214">
        <w:rPr>
          <w:rStyle w:val="FootnoteReference"/>
          <w:lang w:val="en-GB"/>
        </w:rPr>
        <w:footnoteReference w:id="19"/>
      </w:r>
      <w:r w:rsidR="00C66D87">
        <w:rPr>
          <w:lang w:val="en-GB"/>
        </w:rPr>
        <w:t xml:space="preserve"> Needless to say, the respondent is in agreement with this view. </w:t>
      </w:r>
      <w:r w:rsidR="00E363F1">
        <w:rPr>
          <w:lang w:val="en-GB"/>
        </w:rPr>
        <w:t xml:space="preserve">In all the circumstances, there is no </w:t>
      </w:r>
      <w:r w:rsidR="002B70F4">
        <w:rPr>
          <w:lang w:val="en-GB"/>
        </w:rPr>
        <w:t>need</w:t>
      </w:r>
      <w:r w:rsidR="00BA0BCF">
        <w:rPr>
          <w:lang w:val="en-GB"/>
        </w:rPr>
        <w:t xml:space="preserve"> or </w:t>
      </w:r>
      <w:r w:rsidR="00E363F1">
        <w:rPr>
          <w:lang w:val="en-GB"/>
        </w:rPr>
        <w:t>basis for such a referral in my view.</w:t>
      </w:r>
      <w:r w:rsidR="00C66D87">
        <w:rPr>
          <w:lang w:val="en-GB"/>
        </w:rPr>
        <w:t xml:space="preserve"> </w:t>
      </w:r>
    </w:p>
    <w:p w14:paraId="1970AE1D" w14:textId="77777777" w:rsidR="00621129" w:rsidRPr="00621129" w:rsidRDefault="00621129" w:rsidP="00621129">
      <w:pPr>
        <w:autoSpaceDE w:val="0"/>
        <w:autoSpaceDN w:val="0"/>
        <w:adjustRightInd w:val="0"/>
        <w:ind w:left="360"/>
        <w:jc w:val="both"/>
        <w:rPr>
          <w:b/>
          <w:bCs/>
          <w:lang w:val="en-GB"/>
        </w:rPr>
      </w:pPr>
    </w:p>
    <w:p w14:paraId="12D43C9F" w14:textId="77777777" w:rsidR="00CD173B" w:rsidRPr="00621129" w:rsidRDefault="00CD173B" w:rsidP="00621129">
      <w:pPr>
        <w:autoSpaceDE w:val="0"/>
        <w:autoSpaceDN w:val="0"/>
        <w:adjustRightInd w:val="0"/>
        <w:jc w:val="both"/>
        <w:rPr>
          <w:b/>
          <w:bCs/>
          <w:lang w:val="en-GB"/>
        </w:rPr>
      </w:pPr>
      <w:r w:rsidRPr="00621129">
        <w:rPr>
          <w:b/>
          <w:bCs/>
          <w:lang w:val="en-GB"/>
        </w:rPr>
        <w:t>The legal position</w:t>
      </w:r>
    </w:p>
    <w:p w14:paraId="73264812" w14:textId="77777777" w:rsidR="00CD173B" w:rsidRDefault="00CD173B" w:rsidP="00CD173B">
      <w:pPr>
        <w:autoSpaceDE w:val="0"/>
        <w:autoSpaceDN w:val="0"/>
        <w:adjustRightInd w:val="0"/>
        <w:jc w:val="both"/>
        <w:rPr>
          <w:b/>
          <w:bCs/>
          <w:lang w:val="en-GB"/>
        </w:rPr>
      </w:pPr>
    </w:p>
    <w:p w14:paraId="1EA7D01B" w14:textId="77777777" w:rsidR="00CD173B" w:rsidRDefault="002457D7" w:rsidP="008C0AE2">
      <w:pPr>
        <w:pStyle w:val="ListParagraph"/>
        <w:numPr>
          <w:ilvl w:val="0"/>
          <w:numId w:val="16"/>
        </w:numPr>
        <w:autoSpaceDE w:val="0"/>
        <w:autoSpaceDN w:val="0"/>
        <w:adjustRightInd w:val="0"/>
        <w:ind w:left="142" w:hanging="142"/>
        <w:jc w:val="both"/>
        <w:rPr>
          <w:lang w:val="en-GB"/>
        </w:rPr>
      </w:pPr>
      <w:r>
        <w:rPr>
          <w:lang w:val="en-GB"/>
        </w:rPr>
        <w:t>The inherent jurisdiction of the High Court does not include the right to tamper with the principle of finality of judgments, other than in specific circumstances provided for in the rules or the common law. This is because of the importance of litigation being brought to finality, and because a court becom</w:t>
      </w:r>
      <w:r w:rsidR="00EB4073">
        <w:rPr>
          <w:lang w:val="en-GB"/>
        </w:rPr>
        <w:t>es</w:t>
      </w:r>
      <w:r>
        <w:rPr>
          <w:lang w:val="en-GB"/>
        </w:rPr>
        <w:t xml:space="preserve"> </w:t>
      </w:r>
      <w:r w:rsidRPr="006111AD">
        <w:rPr>
          <w:lang w:val="en-GB"/>
        </w:rPr>
        <w:t>functus officio</w:t>
      </w:r>
      <w:r w:rsidR="00EB4073">
        <w:rPr>
          <w:lang w:val="en-GB"/>
        </w:rPr>
        <w:t xml:space="preserve"> once it has pronounced a final judgment.</w:t>
      </w:r>
      <w:r w:rsidR="00546940">
        <w:rPr>
          <w:rStyle w:val="FootnoteReference"/>
          <w:lang w:val="en-GB"/>
        </w:rPr>
        <w:footnoteReference w:id="20"/>
      </w:r>
    </w:p>
    <w:p w14:paraId="26E74F23" w14:textId="77777777" w:rsidR="00F65604" w:rsidRPr="00F65604" w:rsidRDefault="00F65604" w:rsidP="00F65604">
      <w:pPr>
        <w:jc w:val="both"/>
        <w:rPr>
          <w:sz w:val="22"/>
          <w:szCs w:val="22"/>
          <w:lang w:val="en-GB"/>
        </w:rPr>
      </w:pPr>
    </w:p>
    <w:p w14:paraId="12D3B574" w14:textId="20A358B7" w:rsidR="00546F4C" w:rsidRDefault="00546F4C" w:rsidP="008C0AE2">
      <w:pPr>
        <w:pStyle w:val="ListParagraph"/>
        <w:numPr>
          <w:ilvl w:val="0"/>
          <w:numId w:val="16"/>
        </w:numPr>
        <w:autoSpaceDE w:val="0"/>
        <w:autoSpaceDN w:val="0"/>
        <w:adjustRightInd w:val="0"/>
        <w:ind w:left="142" w:hanging="142"/>
        <w:jc w:val="both"/>
        <w:rPr>
          <w:lang w:val="en-GB"/>
        </w:rPr>
      </w:pPr>
      <w:r>
        <w:rPr>
          <w:lang w:val="en-GB"/>
        </w:rPr>
        <w:t>There are two basic requirements to be met when a court considers a request to grant a judgment in accordance with the terms of a settlement agreement.</w:t>
      </w:r>
      <w:r>
        <w:rPr>
          <w:rStyle w:val="FootnoteReference"/>
          <w:lang w:val="en-GB"/>
        </w:rPr>
        <w:footnoteReference w:id="21"/>
      </w:r>
      <w:r>
        <w:rPr>
          <w:lang w:val="en-GB"/>
        </w:rPr>
        <w:t xml:space="preserve"> The first, relevant for present purposes, is that the court must be satisfied that the parties </w:t>
      </w:r>
      <w:r>
        <w:rPr>
          <w:lang w:val="en-GB"/>
        </w:rPr>
        <w:lastRenderedPageBreak/>
        <w:t xml:space="preserve">to the agreement have freely and voluntarily concluded the agreement and that they are </w:t>
      </w:r>
      <w:r w:rsidRPr="006111AD">
        <w:rPr>
          <w:lang w:val="en-GB"/>
        </w:rPr>
        <w:t>ad idem</w:t>
      </w:r>
      <w:r>
        <w:rPr>
          <w:lang w:val="en-GB"/>
        </w:rPr>
        <w:t xml:space="preserve"> as to its terms.</w:t>
      </w:r>
      <w:r>
        <w:rPr>
          <w:rStyle w:val="FootnoteReference"/>
          <w:lang w:val="en-GB"/>
        </w:rPr>
        <w:footnoteReference w:id="22"/>
      </w:r>
      <w:r>
        <w:rPr>
          <w:lang w:val="en-GB"/>
        </w:rPr>
        <w:t xml:space="preserve"> Once a court has made a consent judgment, it is functus officio and the matter becomes res judicata.</w:t>
      </w:r>
      <w:r>
        <w:rPr>
          <w:rStyle w:val="FootnoteReference"/>
          <w:lang w:val="en-GB"/>
        </w:rPr>
        <w:footnoteReference w:id="23"/>
      </w:r>
      <w:r>
        <w:rPr>
          <w:lang w:val="en-GB"/>
        </w:rPr>
        <w:t xml:space="preserve"> The effect of this, in the context of divorce proceedings, has been described as follows by Van Zyl DJP:</w:t>
      </w:r>
      <w:r>
        <w:rPr>
          <w:rStyle w:val="FootnoteReference"/>
          <w:lang w:val="en-GB"/>
        </w:rPr>
        <w:footnoteReference w:id="24"/>
      </w:r>
    </w:p>
    <w:p w14:paraId="5EE4DE68" w14:textId="77777777" w:rsidR="00546F4C" w:rsidRDefault="00546F4C" w:rsidP="008C0AE2">
      <w:pPr>
        <w:pStyle w:val="ListParagraph"/>
        <w:autoSpaceDE w:val="0"/>
        <w:autoSpaceDN w:val="0"/>
        <w:adjustRightInd w:val="0"/>
        <w:ind w:left="142"/>
        <w:jc w:val="both"/>
        <w:rPr>
          <w:sz w:val="22"/>
          <w:szCs w:val="22"/>
          <w:lang w:val="en-GB"/>
        </w:rPr>
      </w:pPr>
      <w:r>
        <w:rPr>
          <w:sz w:val="22"/>
          <w:szCs w:val="22"/>
          <w:lang w:val="en-GB"/>
        </w:rPr>
        <w:t xml:space="preserve">‘This means </w:t>
      </w:r>
      <w:r>
        <w:rPr>
          <w:i/>
          <w:iCs/>
          <w:sz w:val="22"/>
          <w:szCs w:val="22"/>
          <w:lang w:val="en-GB"/>
        </w:rPr>
        <w:t>inter alia</w:t>
      </w:r>
      <w:r>
        <w:rPr>
          <w:sz w:val="22"/>
          <w:szCs w:val="22"/>
          <w:lang w:val="en-GB"/>
        </w:rPr>
        <w:t xml:space="preserve"> that as a general rule the court has no authority to correct, alter or supplement its own order that has been accurately drawn up. Subject to what is said hereinunder, in divorce matters this is in practice effectively only limited to those terms of the order which deal with the proprietary rights of the parties and the payment of maintenance to one of the spouses where there is a non-variation clause. The reason for this is that the general rule is subject to a number of exceptions, in terms of the Divorce Act, the rules of court and at common law … Save for the aforegoing, the effect of the consent order is otherwise that it renders the issues between the parties in relation to their proprietary rights and the payment of maintenance to a former spouse, where the agreement includes a non-variation clause, </w:t>
      </w:r>
      <w:r>
        <w:rPr>
          <w:i/>
          <w:iCs/>
          <w:sz w:val="22"/>
          <w:szCs w:val="22"/>
          <w:lang w:val="en-GB"/>
        </w:rPr>
        <w:t>res judicata</w:t>
      </w:r>
      <w:r>
        <w:rPr>
          <w:sz w:val="22"/>
          <w:szCs w:val="22"/>
          <w:lang w:val="en-GB"/>
        </w:rPr>
        <w:t>, and thus effectively achieves a “clean break” as envisaged by the scheme of the Divorce Act.’</w:t>
      </w:r>
    </w:p>
    <w:p w14:paraId="0D352FA0" w14:textId="77777777" w:rsidR="00546F4C" w:rsidRPr="008A3B15" w:rsidRDefault="00546F4C" w:rsidP="00546F4C">
      <w:pPr>
        <w:pStyle w:val="ListParagraph"/>
        <w:autoSpaceDE w:val="0"/>
        <w:autoSpaceDN w:val="0"/>
        <w:adjustRightInd w:val="0"/>
        <w:jc w:val="both"/>
        <w:rPr>
          <w:sz w:val="22"/>
          <w:szCs w:val="22"/>
          <w:lang w:val="en-GB"/>
        </w:rPr>
      </w:pPr>
    </w:p>
    <w:p w14:paraId="4C70B98F" w14:textId="77777777" w:rsidR="00546F4C" w:rsidRDefault="00546F4C" w:rsidP="008C0AE2">
      <w:pPr>
        <w:pStyle w:val="ListParagraph"/>
        <w:numPr>
          <w:ilvl w:val="0"/>
          <w:numId w:val="16"/>
        </w:numPr>
        <w:autoSpaceDE w:val="0"/>
        <w:autoSpaceDN w:val="0"/>
        <w:adjustRightInd w:val="0"/>
        <w:ind w:left="142" w:hanging="142"/>
        <w:jc w:val="both"/>
        <w:rPr>
          <w:lang w:val="en-GB"/>
        </w:rPr>
      </w:pPr>
      <w:r>
        <w:rPr>
          <w:lang w:val="en-GB"/>
        </w:rPr>
        <w:t xml:space="preserve">Put differently, the effect of a </w:t>
      </w:r>
      <w:r w:rsidR="00FF78F6">
        <w:rPr>
          <w:lang w:val="en-GB"/>
        </w:rPr>
        <w:t>‘</w:t>
      </w:r>
      <w:r>
        <w:rPr>
          <w:lang w:val="en-GB"/>
        </w:rPr>
        <w:t>settlement order</w:t>
      </w:r>
      <w:r w:rsidR="00FF78F6">
        <w:rPr>
          <w:lang w:val="en-GB"/>
        </w:rPr>
        <w:t>’ or ‘consent order’</w:t>
      </w:r>
      <w:r>
        <w:rPr>
          <w:lang w:val="en-GB"/>
        </w:rPr>
        <w:t xml:space="preserve"> is to change the status of the rights and obligations between the parties:</w:t>
      </w:r>
      <w:r>
        <w:rPr>
          <w:rStyle w:val="FootnoteReference"/>
          <w:lang w:val="en-GB"/>
        </w:rPr>
        <w:footnoteReference w:id="25"/>
      </w:r>
    </w:p>
    <w:p w14:paraId="1B8B71C7" w14:textId="77777777" w:rsidR="00546F4C" w:rsidRDefault="00546F4C" w:rsidP="008C0AE2">
      <w:pPr>
        <w:pStyle w:val="ListParagraph"/>
        <w:ind w:left="142"/>
        <w:jc w:val="both"/>
        <w:rPr>
          <w:sz w:val="22"/>
          <w:szCs w:val="22"/>
          <w:lang w:val="en-GB"/>
        </w:rPr>
      </w:pPr>
      <w:r>
        <w:rPr>
          <w:sz w:val="22"/>
          <w:szCs w:val="22"/>
          <w:lang w:val="en-GB"/>
        </w:rPr>
        <w:t xml:space="preserve">‘Save for litigation that may be consequent upon the nature of the particular order, the order brings finality to the </w:t>
      </w:r>
      <w:r>
        <w:rPr>
          <w:i/>
          <w:iCs/>
          <w:sz w:val="22"/>
          <w:szCs w:val="22"/>
          <w:lang w:val="en-GB"/>
        </w:rPr>
        <w:t>lis</w:t>
      </w:r>
      <w:r>
        <w:rPr>
          <w:sz w:val="22"/>
          <w:szCs w:val="22"/>
          <w:lang w:val="en-GB"/>
        </w:rPr>
        <w:t xml:space="preserve"> between the parties; the </w:t>
      </w:r>
      <w:r>
        <w:rPr>
          <w:i/>
          <w:iCs/>
          <w:sz w:val="22"/>
          <w:szCs w:val="22"/>
          <w:lang w:val="en-GB"/>
        </w:rPr>
        <w:t xml:space="preserve">lis </w:t>
      </w:r>
      <w:r>
        <w:rPr>
          <w:sz w:val="22"/>
          <w:szCs w:val="22"/>
          <w:lang w:val="en-GB"/>
        </w:rPr>
        <w:t xml:space="preserve">becomes </w:t>
      </w:r>
      <w:r>
        <w:rPr>
          <w:i/>
          <w:iCs/>
          <w:sz w:val="22"/>
          <w:szCs w:val="22"/>
          <w:lang w:val="en-GB"/>
        </w:rPr>
        <w:t>res judicata</w:t>
      </w:r>
      <w:r>
        <w:rPr>
          <w:sz w:val="22"/>
          <w:szCs w:val="22"/>
          <w:lang w:val="en-GB"/>
        </w:rPr>
        <w:t xml:space="preserve"> (literally, “a matter judged”). [The principle is that generally parties may not again litigate on the same matter once it has been determined on the merits.] It changes the terms of a settlement agreement to an enforceable court order.’</w:t>
      </w:r>
    </w:p>
    <w:p w14:paraId="4F989611" w14:textId="77777777" w:rsidR="00546F4C" w:rsidRDefault="00546F4C" w:rsidP="00546F4C">
      <w:pPr>
        <w:pStyle w:val="ListParagraph"/>
        <w:autoSpaceDE w:val="0"/>
        <w:autoSpaceDN w:val="0"/>
        <w:adjustRightInd w:val="0"/>
        <w:jc w:val="both"/>
        <w:rPr>
          <w:lang w:val="en-GB"/>
        </w:rPr>
      </w:pPr>
    </w:p>
    <w:p w14:paraId="2BC1DB8D" w14:textId="4816ECE0" w:rsidR="008A3B15" w:rsidRPr="004A18F3" w:rsidRDefault="0029667D" w:rsidP="008C0AE2">
      <w:pPr>
        <w:pStyle w:val="ListParagraph"/>
        <w:numPr>
          <w:ilvl w:val="0"/>
          <w:numId w:val="16"/>
        </w:numPr>
        <w:autoSpaceDE w:val="0"/>
        <w:autoSpaceDN w:val="0"/>
        <w:adjustRightInd w:val="0"/>
        <w:ind w:left="142" w:hanging="142"/>
        <w:jc w:val="both"/>
        <w:rPr>
          <w:sz w:val="22"/>
          <w:szCs w:val="22"/>
          <w:lang w:val="en-GB"/>
        </w:rPr>
      </w:pPr>
      <w:r w:rsidRPr="004A18F3">
        <w:rPr>
          <w:lang w:val="en-GB"/>
        </w:rPr>
        <w:t xml:space="preserve">Litigation after a consent order typically, therefore, relates to non-compliance with the consent order </w:t>
      </w:r>
      <w:r w:rsidR="009311FB" w:rsidRPr="004A18F3">
        <w:rPr>
          <w:lang w:val="en-GB"/>
        </w:rPr>
        <w:t xml:space="preserve">itself, </w:t>
      </w:r>
      <w:r w:rsidRPr="004A18F3">
        <w:rPr>
          <w:lang w:val="en-GB"/>
        </w:rPr>
        <w:t>and not the underlying dispute.</w:t>
      </w:r>
      <w:r>
        <w:rPr>
          <w:rStyle w:val="FootnoteReference"/>
          <w:lang w:val="en-GB"/>
        </w:rPr>
        <w:footnoteReference w:id="26"/>
      </w:r>
      <w:r w:rsidRPr="004A18F3">
        <w:rPr>
          <w:lang w:val="en-GB"/>
        </w:rPr>
        <w:t xml:space="preserve"> </w:t>
      </w:r>
      <w:r w:rsidR="00E63EF3" w:rsidRPr="004A18F3">
        <w:rPr>
          <w:lang w:val="en-GB"/>
        </w:rPr>
        <w:t xml:space="preserve">In </w:t>
      </w:r>
      <w:r w:rsidR="00E63EF3" w:rsidRPr="004A18F3">
        <w:rPr>
          <w:i/>
          <w:iCs/>
          <w:lang w:val="en-GB"/>
        </w:rPr>
        <w:t>Moraitis</w:t>
      </w:r>
      <w:r w:rsidR="00947D38" w:rsidRPr="004A18F3">
        <w:rPr>
          <w:lang w:val="en-GB"/>
        </w:rPr>
        <w:t>,</w:t>
      </w:r>
      <w:r w:rsidR="00E63EF3" w:rsidRPr="00947D38">
        <w:rPr>
          <w:rStyle w:val="FootnoteReference"/>
          <w:lang w:val="en-GB"/>
        </w:rPr>
        <w:footnoteReference w:id="27"/>
      </w:r>
      <w:r w:rsidR="00947D38" w:rsidRPr="004A18F3">
        <w:rPr>
          <w:lang w:val="en-GB"/>
        </w:rPr>
        <w:t xml:space="preserve"> the SCA </w:t>
      </w:r>
      <w:r w:rsidR="00947D38" w:rsidRPr="004A18F3">
        <w:rPr>
          <w:lang w:val="en-GB"/>
        </w:rPr>
        <w:lastRenderedPageBreak/>
        <w:t xml:space="preserve">held that in determining whether a consent order </w:t>
      </w:r>
      <w:r w:rsidR="0082414F">
        <w:rPr>
          <w:lang w:val="en-GB"/>
        </w:rPr>
        <w:t>may</w:t>
      </w:r>
      <w:r w:rsidR="00947D38" w:rsidRPr="004A18F3">
        <w:rPr>
          <w:lang w:val="en-GB"/>
        </w:rPr>
        <w:t xml:space="preserve"> be rescinded, the correct starting point is the order itself rather than the underlying settlement agreement.</w:t>
      </w:r>
      <w:r w:rsidR="001B0E9C">
        <w:rPr>
          <w:rStyle w:val="FootnoteReference"/>
          <w:lang w:val="en-GB"/>
        </w:rPr>
        <w:footnoteReference w:id="28"/>
      </w:r>
      <w:r w:rsidR="0068683B" w:rsidRPr="004A18F3">
        <w:rPr>
          <w:lang w:val="en-GB"/>
        </w:rPr>
        <w:t xml:space="preserve"> </w:t>
      </w:r>
      <w:r w:rsidR="00251D65" w:rsidRPr="004A18F3">
        <w:rPr>
          <w:lang w:val="en-GB"/>
        </w:rPr>
        <w:t>There is</w:t>
      </w:r>
      <w:r w:rsidR="00737543">
        <w:rPr>
          <w:lang w:val="en-GB"/>
        </w:rPr>
        <w:t>, in general,</w:t>
      </w:r>
      <w:r w:rsidR="00251D65" w:rsidRPr="004A18F3">
        <w:rPr>
          <w:lang w:val="en-GB"/>
        </w:rPr>
        <w:t xml:space="preserve"> no difference in law between an order granted in the case of a default judgment, an order pursuant to a settlement prior to the conclusion of opposed proceedings </w:t>
      </w:r>
      <w:r w:rsidR="00AD2872" w:rsidRPr="004A18F3">
        <w:rPr>
          <w:lang w:val="en-GB"/>
        </w:rPr>
        <w:t>(or in unopposed proceedings</w:t>
      </w:r>
      <w:r w:rsidR="00B353EC" w:rsidRPr="004A18F3">
        <w:rPr>
          <w:lang w:val="en-GB"/>
        </w:rPr>
        <w:t xml:space="preserve"> where there is no default</w:t>
      </w:r>
      <w:r w:rsidR="00AD2872" w:rsidRPr="004A18F3">
        <w:rPr>
          <w:lang w:val="en-GB"/>
        </w:rPr>
        <w:t>)</w:t>
      </w:r>
      <w:r w:rsidR="0082414F">
        <w:rPr>
          <w:lang w:val="en-GB"/>
        </w:rPr>
        <w:t>,</w:t>
      </w:r>
      <w:r w:rsidR="00AD2872" w:rsidRPr="004A18F3">
        <w:rPr>
          <w:lang w:val="en-GB"/>
        </w:rPr>
        <w:t xml:space="preserve"> </w:t>
      </w:r>
      <w:r w:rsidR="00251D65" w:rsidRPr="004A18F3">
        <w:rPr>
          <w:lang w:val="en-GB"/>
        </w:rPr>
        <w:t>or the order in a judgment pronounced at the end of a trial or opposed application.</w:t>
      </w:r>
      <w:r w:rsidR="00A6274E">
        <w:rPr>
          <w:rStyle w:val="FootnoteReference"/>
          <w:lang w:val="en-GB"/>
        </w:rPr>
        <w:footnoteReference w:id="29"/>
      </w:r>
      <w:r w:rsidR="00251D65" w:rsidRPr="004A18F3">
        <w:rPr>
          <w:lang w:val="en-GB"/>
        </w:rPr>
        <w:t xml:space="preserve"> </w:t>
      </w:r>
      <w:r w:rsidR="0068683B" w:rsidRPr="004A18F3">
        <w:rPr>
          <w:lang w:val="en-GB"/>
        </w:rPr>
        <w:t xml:space="preserve">A judgment, once given, is not lightly set aside. </w:t>
      </w:r>
    </w:p>
    <w:p w14:paraId="47106DBD" w14:textId="77777777" w:rsidR="004A18F3" w:rsidRPr="004A18F3" w:rsidRDefault="004A18F3" w:rsidP="004A18F3">
      <w:pPr>
        <w:pStyle w:val="ListParagraph"/>
        <w:autoSpaceDE w:val="0"/>
        <w:autoSpaceDN w:val="0"/>
        <w:adjustRightInd w:val="0"/>
        <w:jc w:val="both"/>
        <w:rPr>
          <w:sz w:val="22"/>
          <w:szCs w:val="22"/>
          <w:lang w:val="en-GB"/>
        </w:rPr>
      </w:pPr>
    </w:p>
    <w:p w14:paraId="5C4ECA5E" w14:textId="77777777" w:rsidR="001526A3" w:rsidRDefault="00F73672" w:rsidP="008C0AE2">
      <w:pPr>
        <w:pStyle w:val="ListParagraph"/>
        <w:numPr>
          <w:ilvl w:val="0"/>
          <w:numId w:val="16"/>
        </w:numPr>
        <w:autoSpaceDE w:val="0"/>
        <w:autoSpaceDN w:val="0"/>
        <w:adjustRightInd w:val="0"/>
        <w:ind w:left="142" w:hanging="142"/>
        <w:jc w:val="both"/>
        <w:rPr>
          <w:lang w:val="en-GB"/>
        </w:rPr>
      </w:pPr>
      <w:r>
        <w:rPr>
          <w:lang w:val="en-GB"/>
        </w:rPr>
        <w:t xml:space="preserve">Considering that the judgment was not taken by default, the test </w:t>
      </w:r>
      <w:r w:rsidR="005F4F0F">
        <w:rPr>
          <w:lang w:val="en-GB"/>
        </w:rPr>
        <w:t xml:space="preserve">to be applied </w:t>
      </w:r>
      <w:r w:rsidR="007D1628">
        <w:rPr>
          <w:lang w:val="en-GB"/>
        </w:rPr>
        <w:t>is stringent</w:t>
      </w:r>
      <w:r w:rsidR="005F4F0F">
        <w:rPr>
          <w:lang w:val="en-GB"/>
        </w:rPr>
        <w:t xml:space="preserve">, as </w:t>
      </w:r>
      <w:r w:rsidR="0086556C">
        <w:rPr>
          <w:lang w:val="en-GB"/>
        </w:rPr>
        <w:t>elucidated</w:t>
      </w:r>
      <w:r w:rsidR="005F4F0F">
        <w:rPr>
          <w:lang w:val="en-GB"/>
        </w:rPr>
        <w:t xml:space="preserve"> in </w:t>
      </w:r>
      <w:r w:rsidR="005F4F0F">
        <w:rPr>
          <w:i/>
          <w:iCs/>
          <w:lang w:val="en-GB"/>
        </w:rPr>
        <w:t>Moraitis</w:t>
      </w:r>
      <w:r w:rsidR="001526A3">
        <w:rPr>
          <w:lang w:val="en-GB"/>
        </w:rPr>
        <w:t>:</w:t>
      </w:r>
      <w:r w:rsidR="00232087">
        <w:rPr>
          <w:rStyle w:val="FootnoteReference"/>
          <w:lang w:val="en-GB"/>
        </w:rPr>
        <w:footnoteReference w:id="30"/>
      </w:r>
      <w:r w:rsidR="007D1628">
        <w:rPr>
          <w:lang w:val="en-GB"/>
        </w:rPr>
        <w:t xml:space="preserve"> </w:t>
      </w:r>
    </w:p>
    <w:p w14:paraId="55B668C4" w14:textId="77777777" w:rsidR="001526A3" w:rsidRDefault="001526A3" w:rsidP="008C0AE2">
      <w:pPr>
        <w:pStyle w:val="ListParagraph"/>
        <w:ind w:left="142"/>
        <w:jc w:val="both"/>
        <w:rPr>
          <w:i/>
          <w:iCs/>
          <w:sz w:val="22"/>
          <w:szCs w:val="22"/>
          <w:lang w:val="en-GB"/>
        </w:rPr>
      </w:pPr>
      <w:r>
        <w:rPr>
          <w:sz w:val="22"/>
          <w:szCs w:val="22"/>
          <w:lang w:val="en-GB"/>
        </w:rPr>
        <w:t xml:space="preserve">‘A judgment can be rescinded at the instance of an innocent party if it were induced by fraud on the part of the successful litigant, or fraud to which the successful litigant was party. As the cases show, </w:t>
      </w:r>
      <w:r w:rsidR="00345EDB">
        <w:rPr>
          <w:sz w:val="22"/>
          <w:szCs w:val="22"/>
          <w:lang w:val="en-GB"/>
        </w:rPr>
        <w:t xml:space="preserve">it is only where the fraud – usually in the form of perjured evidence or concealed documents – can be brought home to the successful party that </w:t>
      </w:r>
      <w:r w:rsidR="00345EDB">
        <w:rPr>
          <w:i/>
          <w:iCs/>
          <w:sz w:val="22"/>
          <w:szCs w:val="22"/>
          <w:lang w:val="en-GB"/>
        </w:rPr>
        <w:t>restitutio in integrum</w:t>
      </w:r>
      <w:r w:rsidR="00345EDB">
        <w:rPr>
          <w:sz w:val="22"/>
          <w:szCs w:val="22"/>
          <w:lang w:val="en-GB"/>
        </w:rPr>
        <w:t xml:space="preserve"> is granted and the judgment is set aside. The mere fact that a wrong judgment has been given on the basis of perjured evidence is not a sufficient basis for setting aside the judgment. That is a clear indication that, once a judgment has been given, it is not lightly set aside, and De Villiers JA said as much in </w:t>
      </w:r>
      <w:r w:rsidR="00345EDB">
        <w:rPr>
          <w:i/>
          <w:iCs/>
          <w:sz w:val="22"/>
          <w:szCs w:val="22"/>
          <w:lang w:val="en-GB"/>
        </w:rPr>
        <w:t>Schierhout</w:t>
      </w:r>
      <w:r w:rsidR="007564C2">
        <w:rPr>
          <w:sz w:val="22"/>
          <w:szCs w:val="22"/>
          <w:lang w:val="en-GB"/>
        </w:rPr>
        <w:t>.</w:t>
      </w:r>
      <w:r w:rsidR="00345EDB">
        <w:rPr>
          <w:i/>
          <w:iCs/>
          <w:sz w:val="22"/>
          <w:szCs w:val="22"/>
          <w:lang w:val="en-GB"/>
        </w:rPr>
        <w:t xml:space="preserve"> … </w:t>
      </w:r>
    </w:p>
    <w:p w14:paraId="51DE0144" w14:textId="77777777" w:rsidR="00345EDB" w:rsidRDefault="00073FE1" w:rsidP="00073FE1">
      <w:pPr>
        <w:pStyle w:val="ListParagraph"/>
        <w:ind w:left="142"/>
        <w:jc w:val="both"/>
        <w:rPr>
          <w:sz w:val="22"/>
          <w:szCs w:val="22"/>
          <w:lang w:val="en-GB"/>
        </w:rPr>
      </w:pPr>
      <w:r>
        <w:rPr>
          <w:sz w:val="22"/>
          <w:szCs w:val="22"/>
          <w:lang w:val="en-GB"/>
        </w:rPr>
        <w:t>Apart</w:t>
      </w:r>
      <w:r w:rsidR="00345EDB">
        <w:rPr>
          <w:sz w:val="22"/>
          <w:szCs w:val="22"/>
          <w:lang w:val="en-GB"/>
        </w:rPr>
        <w:t xml:space="preserve"> from fraud the only other basis recognised in our case law as empowering a court to set aside its own order is justus error</w:t>
      </w:r>
      <w:r w:rsidR="00D44482">
        <w:rPr>
          <w:sz w:val="22"/>
          <w:szCs w:val="22"/>
          <w:lang w:val="en-GB"/>
        </w:rPr>
        <w:t xml:space="preserve">. In </w:t>
      </w:r>
      <w:r w:rsidR="00D44482">
        <w:rPr>
          <w:i/>
          <w:iCs/>
          <w:sz w:val="22"/>
          <w:szCs w:val="22"/>
          <w:lang w:val="en-GB"/>
        </w:rPr>
        <w:t>Childerley</w:t>
      </w:r>
      <w:r w:rsidR="00D44482">
        <w:rPr>
          <w:sz w:val="22"/>
          <w:szCs w:val="22"/>
          <w:lang w:val="en-GB"/>
        </w:rPr>
        <w:t xml:space="preserve">, where this was discussed in detail, De </w:t>
      </w:r>
      <w:r w:rsidR="00D44482">
        <w:rPr>
          <w:sz w:val="22"/>
          <w:szCs w:val="22"/>
          <w:lang w:val="en-GB"/>
        </w:rPr>
        <w:lastRenderedPageBreak/>
        <w:t>Villiers JP said that</w:t>
      </w:r>
      <w:r w:rsidR="00D44482">
        <w:rPr>
          <w:i/>
          <w:iCs/>
          <w:sz w:val="22"/>
          <w:szCs w:val="22"/>
          <w:lang w:val="en-GB"/>
        </w:rPr>
        <w:t xml:space="preserve"> </w:t>
      </w:r>
      <w:r w:rsidR="00D44482">
        <w:rPr>
          <w:sz w:val="22"/>
          <w:szCs w:val="22"/>
          <w:lang w:val="en-GB"/>
        </w:rPr>
        <w:t>“non-fraudulent misrepresentation is not a ground for setting</w:t>
      </w:r>
      <w:r w:rsidR="00D00C09">
        <w:rPr>
          <w:sz w:val="22"/>
          <w:szCs w:val="22"/>
          <w:lang w:val="en-GB"/>
        </w:rPr>
        <w:t xml:space="preserve"> aside a judgment” and that its only relevance might be to explain how an alleged error came about. Although a non-fraudulent misrepresentation, if material, might provide a ground for avoiding a contract, it does not provide a ground for rescission of a judgment. The scope for error as a ground for vitiating a contract is narrow and the position is the same in regard to setting aside a court order. Cases of justus error were said to be “relatively rare and exceptional”.’</w:t>
      </w:r>
    </w:p>
    <w:p w14:paraId="4CE37448" w14:textId="77777777" w:rsidR="00CF6926" w:rsidRPr="00CF6926" w:rsidRDefault="00CF6926" w:rsidP="00CF6926">
      <w:pPr>
        <w:jc w:val="both"/>
        <w:rPr>
          <w:b/>
          <w:bCs/>
          <w:sz w:val="22"/>
          <w:szCs w:val="22"/>
          <w:lang w:val="en-GB"/>
        </w:rPr>
      </w:pPr>
    </w:p>
    <w:p w14:paraId="4CF0BB2F" w14:textId="77777777" w:rsidR="00172BEE" w:rsidRDefault="0050438F" w:rsidP="00172BEE">
      <w:pPr>
        <w:autoSpaceDE w:val="0"/>
        <w:autoSpaceDN w:val="0"/>
        <w:adjustRightInd w:val="0"/>
        <w:jc w:val="both"/>
        <w:rPr>
          <w:b/>
          <w:bCs/>
          <w:lang w:val="en-GB"/>
        </w:rPr>
      </w:pPr>
      <w:r>
        <w:rPr>
          <w:b/>
          <w:bCs/>
          <w:lang w:val="en-GB"/>
        </w:rPr>
        <w:t>Analysis</w:t>
      </w:r>
    </w:p>
    <w:p w14:paraId="4A49C96C" w14:textId="77777777" w:rsidR="00C872C0" w:rsidRDefault="00C872C0" w:rsidP="00172BEE">
      <w:pPr>
        <w:autoSpaceDE w:val="0"/>
        <w:autoSpaceDN w:val="0"/>
        <w:adjustRightInd w:val="0"/>
        <w:jc w:val="both"/>
        <w:rPr>
          <w:b/>
          <w:bCs/>
          <w:lang w:val="en-GB"/>
        </w:rPr>
      </w:pPr>
    </w:p>
    <w:p w14:paraId="0BC11BCA" w14:textId="6F91AF51" w:rsidR="004D0066" w:rsidRPr="004D0066" w:rsidRDefault="004D0066" w:rsidP="00073FE1">
      <w:pPr>
        <w:pStyle w:val="ListParagraph"/>
        <w:numPr>
          <w:ilvl w:val="0"/>
          <w:numId w:val="16"/>
        </w:numPr>
        <w:autoSpaceDE w:val="0"/>
        <w:autoSpaceDN w:val="0"/>
        <w:adjustRightInd w:val="0"/>
        <w:ind w:left="142" w:hanging="142"/>
        <w:jc w:val="both"/>
        <w:rPr>
          <w:lang w:val="en-GB"/>
        </w:rPr>
      </w:pPr>
      <w:r w:rsidRPr="004D0066">
        <w:rPr>
          <w:lang w:val="en-GB"/>
        </w:rPr>
        <w:t xml:space="preserve">This case is concerned with a consent </w:t>
      </w:r>
      <w:r w:rsidR="00150E29">
        <w:rPr>
          <w:lang w:val="en-GB"/>
        </w:rPr>
        <w:t>order</w:t>
      </w:r>
      <w:r w:rsidRPr="004D0066">
        <w:rPr>
          <w:lang w:val="en-GB"/>
        </w:rPr>
        <w:t>, deriving its existence from a settlement agreement. That agreement makes it clear that the parties ‘have established consensus in settlement … The Plaintiff undertakes to seek an Order compatible with the provisions of this agreement (and further agrees that the said Court shall be asked to incorporate this agreement in the Order of Divorce, so that this agreement will operate as an Order of Court).’</w:t>
      </w:r>
      <w:r w:rsidR="00C55A45">
        <w:rPr>
          <w:lang w:val="en-GB"/>
        </w:rPr>
        <w:t xml:space="preserve"> The agreement reached was intended to be final and not subject to any variation, both parties waiving and abandoning any claims against the other.</w:t>
      </w:r>
    </w:p>
    <w:p w14:paraId="0A53C8E9" w14:textId="77777777" w:rsidR="004D0066" w:rsidRDefault="004D0066" w:rsidP="004D0066">
      <w:pPr>
        <w:pStyle w:val="ListParagraph"/>
        <w:autoSpaceDE w:val="0"/>
        <w:autoSpaceDN w:val="0"/>
        <w:adjustRightInd w:val="0"/>
        <w:jc w:val="both"/>
        <w:rPr>
          <w:lang w:val="en-GB"/>
        </w:rPr>
      </w:pPr>
    </w:p>
    <w:p w14:paraId="4B4F52C8" w14:textId="6FC4E3B1" w:rsidR="004D0066" w:rsidRDefault="004D0066" w:rsidP="00073FE1">
      <w:pPr>
        <w:pStyle w:val="ListParagraph"/>
        <w:numPr>
          <w:ilvl w:val="0"/>
          <w:numId w:val="16"/>
        </w:numPr>
        <w:autoSpaceDE w:val="0"/>
        <w:autoSpaceDN w:val="0"/>
        <w:adjustRightInd w:val="0"/>
        <w:ind w:left="142" w:hanging="142"/>
        <w:jc w:val="both"/>
        <w:rPr>
          <w:lang w:val="en-GB"/>
        </w:rPr>
      </w:pPr>
      <w:r w:rsidRPr="00172BEE">
        <w:rPr>
          <w:lang w:val="en-GB"/>
        </w:rPr>
        <w:t xml:space="preserve">There is authority for treating property orders in divorce </w:t>
      </w:r>
      <w:r w:rsidR="006A6F5E">
        <w:rPr>
          <w:lang w:val="en-GB"/>
        </w:rPr>
        <w:t>proceedings</w:t>
      </w:r>
      <w:r w:rsidRPr="00172BEE">
        <w:rPr>
          <w:lang w:val="en-GB"/>
        </w:rPr>
        <w:t xml:space="preserve"> as severable from the</w:t>
      </w:r>
      <w:r w:rsidR="0082414F">
        <w:rPr>
          <w:lang w:val="en-GB"/>
        </w:rPr>
        <w:t xml:space="preserve"> decree of</w:t>
      </w:r>
      <w:r w:rsidRPr="00172BEE">
        <w:rPr>
          <w:lang w:val="en-GB"/>
        </w:rPr>
        <w:t xml:space="preserve"> divorce decrees </w:t>
      </w:r>
      <w:r w:rsidR="0082414F">
        <w:rPr>
          <w:lang w:val="en-GB"/>
        </w:rPr>
        <w:t>it</w:t>
      </w:r>
      <w:r w:rsidRPr="00172BEE">
        <w:rPr>
          <w:lang w:val="en-GB"/>
        </w:rPr>
        <w:t>sel</w:t>
      </w:r>
      <w:r w:rsidR="001F773F">
        <w:rPr>
          <w:lang w:val="en-GB"/>
        </w:rPr>
        <w:t>f</w:t>
      </w:r>
      <w:r w:rsidRPr="00172BEE">
        <w:rPr>
          <w:lang w:val="en-GB"/>
        </w:rPr>
        <w:t>, for the purposes of enabling a ‘part rescission’.</w:t>
      </w:r>
      <w:r>
        <w:rPr>
          <w:rStyle w:val="FootnoteReference"/>
          <w:lang w:val="en-GB"/>
        </w:rPr>
        <w:footnoteReference w:id="31"/>
      </w:r>
      <w:r w:rsidRPr="00172BEE">
        <w:rPr>
          <w:lang w:val="en-GB"/>
        </w:rPr>
        <w:t xml:space="preserve"> This is important in cases where an irretrievable breakdown of the marital relationship</w:t>
      </w:r>
      <w:r w:rsidR="001F773F">
        <w:rPr>
          <w:lang w:val="en-GB"/>
        </w:rPr>
        <w:t xml:space="preserve"> </w:t>
      </w:r>
      <w:r w:rsidR="006A6F5E">
        <w:rPr>
          <w:lang w:val="en-GB"/>
        </w:rPr>
        <w:t xml:space="preserve">is </w:t>
      </w:r>
      <w:r w:rsidR="001F773F">
        <w:rPr>
          <w:lang w:val="en-GB"/>
        </w:rPr>
        <w:t>admitted, where</w:t>
      </w:r>
      <w:r w:rsidRPr="00172BEE">
        <w:rPr>
          <w:lang w:val="en-GB"/>
        </w:rPr>
        <w:t xml:space="preserve"> neither party wishes the marriage to resume and where it would </w:t>
      </w:r>
      <w:r>
        <w:rPr>
          <w:lang w:val="en-GB"/>
        </w:rPr>
        <w:t xml:space="preserve">be highly </w:t>
      </w:r>
      <w:r w:rsidRPr="00172BEE">
        <w:rPr>
          <w:lang w:val="en-GB"/>
        </w:rPr>
        <w:t>undesirable for this to occur.</w:t>
      </w:r>
      <w:r>
        <w:rPr>
          <w:rStyle w:val="FootnoteReference"/>
          <w:lang w:val="en-GB"/>
        </w:rPr>
        <w:footnoteReference w:id="32"/>
      </w:r>
      <w:r w:rsidRPr="00172BEE">
        <w:rPr>
          <w:lang w:val="en-GB"/>
        </w:rPr>
        <w:t xml:space="preserve"> In this </w:t>
      </w:r>
      <w:r w:rsidR="001F773F">
        <w:rPr>
          <w:lang w:val="en-GB"/>
        </w:rPr>
        <w:t>case</w:t>
      </w:r>
      <w:r w:rsidRPr="00172BEE">
        <w:rPr>
          <w:lang w:val="en-GB"/>
        </w:rPr>
        <w:t xml:space="preserve"> one of the parties has already remarried</w:t>
      </w:r>
      <w:r w:rsidR="001F773F">
        <w:rPr>
          <w:lang w:val="en-GB"/>
        </w:rPr>
        <w:t xml:space="preserve"> and it must,</w:t>
      </w:r>
      <w:r>
        <w:rPr>
          <w:lang w:val="en-GB"/>
        </w:rPr>
        <w:t xml:space="preserve"> therefore</w:t>
      </w:r>
      <w:r w:rsidR="001F773F">
        <w:rPr>
          <w:lang w:val="en-GB"/>
        </w:rPr>
        <w:t>,</w:t>
      </w:r>
      <w:r w:rsidRPr="000F36FB">
        <w:rPr>
          <w:lang w:val="en-GB"/>
        </w:rPr>
        <w:t xml:space="preserve"> be accepted that it is permissible for th</w:t>
      </w:r>
      <w:r w:rsidR="001F773F">
        <w:rPr>
          <w:lang w:val="en-GB"/>
        </w:rPr>
        <w:t>e</w:t>
      </w:r>
      <w:r w:rsidRPr="000F36FB">
        <w:rPr>
          <w:lang w:val="en-GB"/>
        </w:rPr>
        <w:t xml:space="preserve"> court to leave </w:t>
      </w:r>
      <w:r w:rsidR="0070489F">
        <w:rPr>
          <w:lang w:val="en-GB"/>
        </w:rPr>
        <w:t>the</w:t>
      </w:r>
      <w:r w:rsidRPr="000F36FB">
        <w:rPr>
          <w:lang w:val="en-GB"/>
        </w:rPr>
        <w:t xml:space="preserve"> decree of divorce </w:t>
      </w:r>
      <w:r w:rsidR="00722946">
        <w:rPr>
          <w:lang w:val="en-GB"/>
        </w:rPr>
        <w:t>in</w:t>
      </w:r>
      <w:r w:rsidR="001F773F">
        <w:rPr>
          <w:lang w:val="en-GB"/>
        </w:rPr>
        <w:t>tact  while rescinding, or varying,</w:t>
      </w:r>
      <w:r w:rsidRPr="000F36FB">
        <w:rPr>
          <w:lang w:val="en-GB"/>
        </w:rPr>
        <w:t xml:space="preserve"> the</w:t>
      </w:r>
      <w:r w:rsidR="00722946">
        <w:rPr>
          <w:lang w:val="en-GB"/>
        </w:rPr>
        <w:t xml:space="preserve"> order</w:t>
      </w:r>
      <w:r w:rsidRPr="000F36FB">
        <w:rPr>
          <w:lang w:val="en-GB"/>
        </w:rPr>
        <w:t xml:space="preserve"> </w:t>
      </w:r>
      <w:r w:rsidR="00722946">
        <w:rPr>
          <w:lang w:val="en-GB"/>
        </w:rPr>
        <w:t xml:space="preserve">(in terms of the </w:t>
      </w:r>
      <w:r w:rsidRPr="000F36FB">
        <w:rPr>
          <w:lang w:val="en-GB"/>
        </w:rPr>
        <w:t>settlement agreement</w:t>
      </w:r>
      <w:r w:rsidR="00722946">
        <w:rPr>
          <w:lang w:val="en-GB"/>
        </w:rPr>
        <w:t>)</w:t>
      </w:r>
      <w:r w:rsidRPr="000F36FB">
        <w:rPr>
          <w:lang w:val="en-GB"/>
        </w:rPr>
        <w:t xml:space="preserve"> relating to the division of propert</w:t>
      </w:r>
      <w:r>
        <w:rPr>
          <w:lang w:val="en-GB"/>
        </w:rPr>
        <w:t>y</w:t>
      </w:r>
      <w:r w:rsidR="00405299">
        <w:rPr>
          <w:lang w:val="en-GB"/>
        </w:rPr>
        <w:t>.</w:t>
      </w:r>
    </w:p>
    <w:p w14:paraId="3D27AF14" w14:textId="77777777" w:rsidR="004D0066" w:rsidRPr="004D0066" w:rsidRDefault="004D0066" w:rsidP="004D0066">
      <w:pPr>
        <w:pStyle w:val="ListParagraph"/>
        <w:rPr>
          <w:lang w:val="en-GB"/>
        </w:rPr>
      </w:pPr>
    </w:p>
    <w:p w14:paraId="367465BD" w14:textId="77777777" w:rsidR="00026BC4" w:rsidRPr="00B415CC" w:rsidRDefault="00B415CC" w:rsidP="00073FE1">
      <w:pPr>
        <w:pStyle w:val="ListParagraph"/>
        <w:numPr>
          <w:ilvl w:val="0"/>
          <w:numId w:val="16"/>
        </w:numPr>
        <w:autoSpaceDE w:val="0"/>
        <w:autoSpaceDN w:val="0"/>
        <w:adjustRightInd w:val="0"/>
        <w:ind w:left="142" w:hanging="142"/>
        <w:jc w:val="both"/>
        <w:rPr>
          <w:lang w:val="en-GB"/>
        </w:rPr>
      </w:pPr>
      <w:r>
        <w:rPr>
          <w:lang w:val="en-GB"/>
        </w:rPr>
        <w:t xml:space="preserve">Are there grounds advanced by the applicant to justify </w:t>
      </w:r>
      <w:r w:rsidR="002A2187">
        <w:rPr>
          <w:lang w:val="en-GB"/>
        </w:rPr>
        <w:t>this</w:t>
      </w:r>
      <w:r>
        <w:rPr>
          <w:lang w:val="en-GB"/>
        </w:rPr>
        <w:t>?</w:t>
      </w:r>
      <w:r>
        <w:rPr>
          <w:rStyle w:val="FootnoteReference"/>
          <w:lang w:val="en-GB"/>
        </w:rPr>
        <w:footnoteReference w:id="33"/>
      </w:r>
      <w:r>
        <w:rPr>
          <w:lang w:val="en-GB"/>
        </w:rPr>
        <w:t xml:space="preserve"> </w:t>
      </w:r>
      <w:r w:rsidR="008F203A" w:rsidRPr="00B415CC">
        <w:rPr>
          <w:lang w:val="en-GB"/>
        </w:rPr>
        <w:t>Applicants must typically stand or fall by the alleged basis for their applications.</w:t>
      </w:r>
      <w:r w:rsidR="008F203A">
        <w:rPr>
          <w:rStyle w:val="FootnoteReference"/>
          <w:lang w:val="en-GB"/>
        </w:rPr>
        <w:footnoteReference w:id="34"/>
      </w:r>
      <w:r w:rsidR="008F203A" w:rsidRPr="00B415CC">
        <w:rPr>
          <w:lang w:val="en-GB"/>
        </w:rPr>
        <w:t xml:space="preserve"> </w:t>
      </w:r>
      <w:r w:rsidR="00026BC4" w:rsidRPr="00B415CC">
        <w:rPr>
          <w:lang w:val="en-GB"/>
        </w:rPr>
        <w:t xml:space="preserve">The main basis relied upon is </w:t>
      </w:r>
      <w:r w:rsidR="00924DFF">
        <w:rPr>
          <w:lang w:val="en-GB"/>
        </w:rPr>
        <w:t xml:space="preserve">rescission or </w:t>
      </w:r>
      <w:r w:rsidR="005772FF" w:rsidRPr="00B415CC">
        <w:rPr>
          <w:lang w:val="en-GB"/>
        </w:rPr>
        <w:t>variation</w:t>
      </w:r>
      <w:r w:rsidR="00026BC4" w:rsidRPr="00B415CC">
        <w:rPr>
          <w:lang w:val="en-GB"/>
        </w:rPr>
        <w:t xml:space="preserve"> in terms of rule 42(1)</w:t>
      </w:r>
      <w:r w:rsidR="00026BC4" w:rsidRPr="00B415CC">
        <w:rPr>
          <w:i/>
          <w:iCs/>
          <w:lang w:val="en-GB"/>
        </w:rPr>
        <w:t>(c)</w:t>
      </w:r>
      <w:r w:rsidR="00026BC4" w:rsidRPr="00B415CC">
        <w:rPr>
          <w:lang w:val="en-GB"/>
        </w:rPr>
        <w:t>.</w:t>
      </w:r>
      <w:r w:rsidR="005772FF">
        <w:rPr>
          <w:rStyle w:val="FootnoteReference"/>
          <w:lang w:val="en-GB"/>
        </w:rPr>
        <w:footnoteReference w:id="35"/>
      </w:r>
      <w:r w:rsidR="00026BC4" w:rsidRPr="00B415CC">
        <w:rPr>
          <w:lang w:val="en-GB"/>
        </w:rPr>
        <w:t xml:space="preserve"> </w:t>
      </w:r>
      <w:r w:rsidR="00443C84" w:rsidRPr="00B415CC">
        <w:rPr>
          <w:lang w:val="en-GB"/>
        </w:rPr>
        <w:t>To succeed</w:t>
      </w:r>
      <w:r w:rsidR="00BA213B" w:rsidRPr="00B415CC">
        <w:rPr>
          <w:lang w:val="en-GB"/>
        </w:rPr>
        <w:t xml:space="preserve"> on this basis</w:t>
      </w:r>
      <w:r w:rsidR="00443C84" w:rsidRPr="00B415CC">
        <w:rPr>
          <w:lang w:val="en-GB"/>
        </w:rPr>
        <w:t>, it must be established that the order or judgment was granted as a result of a mistake common to the parties.</w:t>
      </w:r>
      <w:r w:rsidR="00BA213B">
        <w:rPr>
          <w:rStyle w:val="FootnoteReference"/>
          <w:lang w:val="en-GB"/>
        </w:rPr>
        <w:footnoteReference w:id="36"/>
      </w:r>
      <w:r w:rsidR="001663CA" w:rsidRPr="00B415CC">
        <w:rPr>
          <w:lang w:val="en-GB"/>
        </w:rPr>
        <w:t xml:space="preserve"> Both parties must be mistaken as to the correctness of certain facts, sharing the same mistake.</w:t>
      </w:r>
      <w:r w:rsidR="008E541F" w:rsidRPr="00B415CC">
        <w:rPr>
          <w:lang w:val="en-GB"/>
        </w:rPr>
        <w:t xml:space="preserve"> </w:t>
      </w:r>
      <w:r w:rsidR="005948FD" w:rsidRPr="00B415CC">
        <w:rPr>
          <w:lang w:val="en-GB"/>
        </w:rPr>
        <w:t xml:space="preserve">A litigant who is herself mistaken about the relief to which she may be entitled, </w:t>
      </w:r>
      <w:r w:rsidR="00887F9C" w:rsidRPr="00B415CC">
        <w:rPr>
          <w:lang w:val="en-GB"/>
        </w:rPr>
        <w:t xml:space="preserve">so that this is abandoned, </w:t>
      </w:r>
      <w:r w:rsidR="00EA5BBE" w:rsidRPr="00B415CC">
        <w:rPr>
          <w:lang w:val="en-GB"/>
        </w:rPr>
        <w:t>or who is mistaken due to the advice of a legal representative</w:t>
      </w:r>
      <w:r w:rsidR="005948FD" w:rsidRPr="00B415CC">
        <w:rPr>
          <w:lang w:val="en-GB"/>
        </w:rPr>
        <w:t xml:space="preserve">, cannot succeed </w:t>
      </w:r>
      <w:r w:rsidR="00FB48A8" w:rsidRPr="00B415CC">
        <w:rPr>
          <w:lang w:val="en-GB"/>
        </w:rPr>
        <w:t>on the basis of ‘common mistake’</w:t>
      </w:r>
      <w:r w:rsidR="00815CA4" w:rsidRPr="00B415CC">
        <w:rPr>
          <w:lang w:val="en-GB"/>
        </w:rPr>
        <w:t xml:space="preserve"> in terms of this rule</w:t>
      </w:r>
      <w:r w:rsidR="00322803" w:rsidRPr="00B415CC">
        <w:rPr>
          <w:lang w:val="en-GB"/>
        </w:rPr>
        <w:t>.</w:t>
      </w:r>
      <w:r w:rsidR="00B43446">
        <w:rPr>
          <w:rStyle w:val="FootnoteReference"/>
          <w:lang w:val="en-GB"/>
        </w:rPr>
        <w:footnoteReference w:id="37"/>
      </w:r>
      <w:r w:rsidR="00322803" w:rsidRPr="00B415CC">
        <w:rPr>
          <w:lang w:val="en-GB"/>
        </w:rPr>
        <w:t xml:space="preserve"> </w:t>
      </w:r>
      <w:r w:rsidR="00BB3967" w:rsidRPr="00B415CC">
        <w:rPr>
          <w:lang w:val="en-GB"/>
        </w:rPr>
        <w:t>I</w:t>
      </w:r>
      <w:r w:rsidR="008E541F" w:rsidRPr="00B415CC">
        <w:rPr>
          <w:lang w:val="en-GB"/>
        </w:rPr>
        <w:t>t is readily apparent from the papers that no mistake common to both parties resulted in the order</w:t>
      </w:r>
      <w:r w:rsidR="00D43B1E" w:rsidRPr="00B415CC">
        <w:rPr>
          <w:lang w:val="en-GB"/>
        </w:rPr>
        <w:t xml:space="preserve"> that was obtained</w:t>
      </w:r>
      <w:r w:rsidR="008E541F" w:rsidRPr="00B415CC">
        <w:rPr>
          <w:lang w:val="en-GB"/>
        </w:rPr>
        <w:t>.</w:t>
      </w:r>
      <w:r w:rsidR="00C13EA0">
        <w:rPr>
          <w:rStyle w:val="FootnoteReference"/>
          <w:lang w:val="en-GB"/>
        </w:rPr>
        <w:footnoteReference w:id="38"/>
      </w:r>
      <w:r w:rsidR="00823385" w:rsidRPr="00B415CC">
        <w:rPr>
          <w:lang w:val="en-GB"/>
        </w:rPr>
        <w:t xml:space="preserve"> </w:t>
      </w:r>
      <w:r w:rsidR="00A020C0">
        <w:rPr>
          <w:lang w:val="en-GB"/>
        </w:rPr>
        <w:t>The respondent knew he was married out of community of property with the incorporation of the accrual system. The applicant ‘</w:t>
      </w:r>
      <w:r w:rsidR="00C952FD">
        <w:rPr>
          <w:lang w:val="en-GB"/>
        </w:rPr>
        <w:t>knew that the respondent’s assets far outweighed [a] small overdraft</w:t>
      </w:r>
      <w:r w:rsidR="00A020C0">
        <w:rPr>
          <w:lang w:val="en-GB"/>
        </w:rPr>
        <w:t>’.</w:t>
      </w:r>
      <w:r w:rsidR="00C952FD">
        <w:rPr>
          <w:rStyle w:val="FootnoteReference"/>
          <w:lang w:val="en-GB"/>
        </w:rPr>
        <w:footnoteReference w:id="39"/>
      </w:r>
      <w:r w:rsidR="00A020C0">
        <w:rPr>
          <w:lang w:val="en-GB"/>
        </w:rPr>
        <w:t xml:space="preserve"> </w:t>
      </w:r>
      <w:r w:rsidR="001172B4">
        <w:rPr>
          <w:lang w:val="en-GB"/>
        </w:rPr>
        <w:t xml:space="preserve">She was not mistaken or misled </w:t>
      </w:r>
      <w:r w:rsidR="006D2AD0">
        <w:rPr>
          <w:lang w:val="en-GB"/>
        </w:rPr>
        <w:t xml:space="preserve">as to the growth in the respondent’s estate. </w:t>
      </w:r>
      <w:r w:rsidR="001A0E3F">
        <w:rPr>
          <w:lang w:val="en-GB"/>
        </w:rPr>
        <w:t>In any event, that is not her case.</w:t>
      </w:r>
      <w:r w:rsidR="00FC51F6">
        <w:rPr>
          <w:lang w:val="en-GB"/>
        </w:rPr>
        <w:t xml:space="preserve"> </w:t>
      </w:r>
      <w:r w:rsidR="00823385" w:rsidRPr="00B415CC">
        <w:rPr>
          <w:lang w:val="en-GB"/>
        </w:rPr>
        <w:t>Uniform Rule 42 being inapplicable, the question remains whether there is common la</w:t>
      </w:r>
      <w:r w:rsidR="00931663">
        <w:rPr>
          <w:lang w:val="en-GB"/>
        </w:rPr>
        <w:t xml:space="preserve">w </w:t>
      </w:r>
      <w:r w:rsidR="00823385" w:rsidRPr="00B415CC">
        <w:rPr>
          <w:lang w:val="en-GB"/>
        </w:rPr>
        <w:t>basis for the relief</w:t>
      </w:r>
      <w:r w:rsidR="005C77B1">
        <w:rPr>
          <w:lang w:val="en-GB"/>
        </w:rPr>
        <w:t>.</w:t>
      </w:r>
    </w:p>
    <w:p w14:paraId="2A6FC47A" w14:textId="77777777" w:rsidR="00C64CBA" w:rsidRPr="00C64CBA" w:rsidRDefault="00C64CBA" w:rsidP="00C64CBA">
      <w:pPr>
        <w:pStyle w:val="ListParagraph"/>
        <w:rPr>
          <w:lang w:val="en-GB"/>
        </w:rPr>
      </w:pPr>
    </w:p>
    <w:p w14:paraId="1CD1345F" w14:textId="4C02E1AE" w:rsidR="002F1465" w:rsidRDefault="00C64CBA" w:rsidP="00073FE1">
      <w:pPr>
        <w:pStyle w:val="ListParagraph"/>
        <w:numPr>
          <w:ilvl w:val="0"/>
          <w:numId w:val="16"/>
        </w:numPr>
        <w:autoSpaceDE w:val="0"/>
        <w:autoSpaceDN w:val="0"/>
        <w:adjustRightInd w:val="0"/>
        <w:ind w:left="142" w:hanging="142"/>
        <w:jc w:val="both"/>
        <w:rPr>
          <w:lang w:val="en-GB"/>
        </w:rPr>
      </w:pPr>
      <w:r>
        <w:rPr>
          <w:lang w:val="en-GB"/>
        </w:rPr>
        <w:t>As indicated</w:t>
      </w:r>
      <w:r w:rsidR="00EC1BF0">
        <w:rPr>
          <w:lang w:val="en-GB"/>
        </w:rPr>
        <w:t xml:space="preserve"> in </w:t>
      </w:r>
      <w:r w:rsidR="00EC1BF0">
        <w:rPr>
          <w:i/>
          <w:iCs/>
          <w:lang w:val="en-GB"/>
        </w:rPr>
        <w:t>Moraitis</w:t>
      </w:r>
      <w:r>
        <w:rPr>
          <w:lang w:val="en-GB"/>
        </w:rPr>
        <w:t>,</w:t>
      </w:r>
      <w:r w:rsidR="00394267">
        <w:rPr>
          <w:lang w:val="en-GB"/>
        </w:rPr>
        <w:t xml:space="preserve"> </w:t>
      </w:r>
      <w:r w:rsidR="004F4595" w:rsidRPr="00C64CBA">
        <w:rPr>
          <w:lang w:val="en-GB"/>
        </w:rPr>
        <w:t>a judgment may be set aside</w:t>
      </w:r>
      <w:r w:rsidR="00394267">
        <w:rPr>
          <w:lang w:val="en-GB"/>
        </w:rPr>
        <w:t>, at common law,</w:t>
      </w:r>
      <w:r w:rsidR="004F4595" w:rsidRPr="00C64CBA">
        <w:rPr>
          <w:lang w:val="en-GB"/>
        </w:rPr>
        <w:t xml:space="preserve"> on the grounds of fraud and </w:t>
      </w:r>
      <w:r w:rsidR="004F4595" w:rsidRPr="005164BC">
        <w:rPr>
          <w:lang w:val="en-GB"/>
        </w:rPr>
        <w:t>justus error</w:t>
      </w:r>
      <w:r w:rsidR="004F4595" w:rsidRPr="00C64CBA">
        <w:rPr>
          <w:lang w:val="en-GB"/>
        </w:rPr>
        <w:t>.</w:t>
      </w:r>
      <w:r w:rsidR="00CF0F3E">
        <w:rPr>
          <w:lang w:val="en-GB"/>
        </w:rPr>
        <w:t xml:space="preserve"> There is good reason for this. A j</w:t>
      </w:r>
      <w:r w:rsidR="00B415CC">
        <w:rPr>
          <w:lang w:val="en-GB"/>
        </w:rPr>
        <w:t>udgment procured by the fraud of one of the parties,</w:t>
      </w:r>
      <w:r w:rsidR="00B415CC">
        <w:rPr>
          <w:rStyle w:val="FootnoteReference"/>
          <w:lang w:val="en-GB"/>
        </w:rPr>
        <w:footnoteReference w:id="40"/>
      </w:r>
      <w:r w:rsidR="00B415CC">
        <w:rPr>
          <w:lang w:val="en-GB"/>
        </w:rPr>
        <w:t xml:space="preserve"> whether by forgery, perjury or in any other way such as fraudulently withholding material documents, cannot be allowed to stand.</w:t>
      </w:r>
      <w:r w:rsidR="00B415CC">
        <w:rPr>
          <w:rStyle w:val="FootnoteReference"/>
          <w:lang w:val="en-GB"/>
        </w:rPr>
        <w:footnoteReference w:id="41"/>
      </w:r>
      <w:r w:rsidR="00B415CC" w:rsidRPr="00D97954">
        <w:rPr>
          <w:lang w:val="en-GB"/>
        </w:rPr>
        <w:t xml:space="preserve"> </w:t>
      </w:r>
      <w:r w:rsidR="006111AD">
        <w:rPr>
          <w:i/>
          <w:iCs/>
          <w:lang w:val="en-US"/>
        </w:rPr>
        <w:t>Childerley</w:t>
      </w:r>
      <w:r w:rsidR="00BB5F7D">
        <w:rPr>
          <w:lang w:val="en-GB"/>
        </w:rPr>
        <w:t xml:space="preserve">, despite being a 1924 decision, remains good authority regarding the circumstances under which a court can grant </w:t>
      </w:r>
      <w:r w:rsidR="00BB5F7D">
        <w:rPr>
          <w:i/>
          <w:iCs/>
          <w:lang w:val="en-GB"/>
        </w:rPr>
        <w:t>restitutio</w:t>
      </w:r>
      <w:r w:rsidR="00BB5F7D">
        <w:rPr>
          <w:lang w:val="en-GB"/>
        </w:rPr>
        <w:t xml:space="preserve"> </w:t>
      </w:r>
      <w:r w:rsidR="00BB5F7D">
        <w:rPr>
          <w:i/>
          <w:iCs/>
          <w:lang w:val="en-GB"/>
        </w:rPr>
        <w:t>in integrum</w:t>
      </w:r>
      <w:r w:rsidR="00BB5F7D">
        <w:rPr>
          <w:lang w:val="en-GB"/>
        </w:rPr>
        <w:t xml:space="preserve"> against a judgment.</w:t>
      </w:r>
      <w:r w:rsidR="00BB5F7D">
        <w:rPr>
          <w:rStyle w:val="FootnoteReference"/>
          <w:lang w:val="en-GB"/>
        </w:rPr>
        <w:footnoteReference w:id="42"/>
      </w:r>
      <w:r w:rsidR="005E34E0">
        <w:rPr>
          <w:lang w:val="en-GB"/>
        </w:rPr>
        <w:t xml:space="preserve"> To succeed on </w:t>
      </w:r>
      <w:r w:rsidR="00F956A9">
        <w:rPr>
          <w:lang w:val="en-GB"/>
        </w:rPr>
        <w:t>the</w:t>
      </w:r>
      <w:r w:rsidR="005E34E0">
        <w:rPr>
          <w:lang w:val="en-GB"/>
        </w:rPr>
        <w:t xml:space="preserve"> ground</w:t>
      </w:r>
      <w:r w:rsidR="00F956A9">
        <w:rPr>
          <w:lang w:val="en-GB"/>
        </w:rPr>
        <w:t xml:space="preserve"> of fraud</w:t>
      </w:r>
      <w:r w:rsidR="005E34E0">
        <w:rPr>
          <w:lang w:val="en-GB"/>
        </w:rPr>
        <w:t>, it is for the applicant to prove that the respondent gave incorrect evidence during the initial proceedings, that he did so fraudulently with the intention to mislead the court and that this false evidence diverged from the truth to such an extent that the court would have given a different judgment had it been aware of the true position.</w:t>
      </w:r>
      <w:r w:rsidR="00F14E97">
        <w:rPr>
          <w:rStyle w:val="FootnoteReference"/>
          <w:lang w:val="en-GB"/>
        </w:rPr>
        <w:footnoteReference w:id="43"/>
      </w:r>
    </w:p>
    <w:p w14:paraId="20D2CEE5" w14:textId="77777777" w:rsidR="002F1465" w:rsidRPr="002F1465" w:rsidRDefault="002F1465" w:rsidP="002F1465">
      <w:pPr>
        <w:pStyle w:val="ListParagraph"/>
        <w:rPr>
          <w:lang w:val="en-GB"/>
        </w:rPr>
      </w:pPr>
    </w:p>
    <w:p w14:paraId="5257EB60" w14:textId="66305161" w:rsidR="00950E3A" w:rsidRPr="00C64CBA" w:rsidRDefault="00026BC4" w:rsidP="00073FE1">
      <w:pPr>
        <w:pStyle w:val="ListParagraph"/>
        <w:numPr>
          <w:ilvl w:val="0"/>
          <w:numId w:val="16"/>
        </w:numPr>
        <w:autoSpaceDE w:val="0"/>
        <w:autoSpaceDN w:val="0"/>
        <w:adjustRightInd w:val="0"/>
        <w:ind w:left="142" w:hanging="142"/>
        <w:jc w:val="both"/>
        <w:rPr>
          <w:lang w:val="en-GB"/>
        </w:rPr>
      </w:pPr>
      <w:r w:rsidRPr="00C64CBA">
        <w:rPr>
          <w:lang w:val="en-GB"/>
        </w:rPr>
        <w:t>I</w:t>
      </w:r>
      <w:r w:rsidR="00950E3A" w:rsidRPr="00C64CBA">
        <w:rPr>
          <w:lang w:val="en-GB"/>
        </w:rPr>
        <w:t>t has been suggested that it is, as a general rule, practically impossible to establish fraud using motion proceedings.</w:t>
      </w:r>
      <w:r w:rsidR="00C61E49">
        <w:rPr>
          <w:rStyle w:val="FootnoteReference"/>
          <w:lang w:val="en-GB"/>
        </w:rPr>
        <w:footnoteReference w:id="44"/>
      </w:r>
      <w:r w:rsidR="00690497" w:rsidRPr="00C64CBA">
        <w:rPr>
          <w:lang w:val="en-GB"/>
        </w:rPr>
        <w:t xml:space="preserve"> Leaving that aside, the accepted requirements for rescission based on fraud have not bee</w:t>
      </w:r>
      <w:r w:rsidR="00AB1064" w:rsidRPr="00C64CBA">
        <w:rPr>
          <w:lang w:val="en-GB"/>
        </w:rPr>
        <w:t>n</w:t>
      </w:r>
      <w:r w:rsidR="00690497" w:rsidRPr="00C64CBA">
        <w:rPr>
          <w:lang w:val="en-GB"/>
        </w:rPr>
        <w:t xml:space="preserve"> established. </w:t>
      </w:r>
      <w:r w:rsidR="00AB1064" w:rsidRPr="00C64CBA">
        <w:rPr>
          <w:lang w:val="en-GB"/>
        </w:rPr>
        <w:t>It has not been alleged or proved</w:t>
      </w:r>
      <w:r w:rsidR="00690497" w:rsidRPr="00C64CBA">
        <w:rPr>
          <w:lang w:val="en-GB"/>
        </w:rPr>
        <w:t xml:space="preserve"> that the respondent was privy to a fraud based on incorrect evidence </w:t>
      </w:r>
      <w:r w:rsidR="00AB1064" w:rsidRPr="00C64CBA">
        <w:rPr>
          <w:lang w:val="en-GB"/>
        </w:rPr>
        <w:t xml:space="preserve">presented to the court. </w:t>
      </w:r>
      <w:r w:rsidR="00644F93" w:rsidRPr="00C64CBA">
        <w:rPr>
          <w:lang w:val="en-GB"/>
        </w:rPr>
        <w:t>The statement that</w:t>
      </w:r>
      <w:r w:rsidR="00690497" w:rsidRPr="00C64CBA">
        <w:rPr>
          <w:lang w:val="en-GB"/>
        </w:rPr>
        <w:t xml:space="preserve"> ‘neither the estates of the defendant or the plaintiff have exhibited any accrual during the subsistence of the marriage’</w:t>
      </w:r>
      <w:r w:rsidR="00644F93" w:rsidRPr="00C64CBA">
        <w:rPr>
          <w:lang w:val="en-GB"/>
        </w:rPr>
        <w:t xml:space="preserve"> was contained only in the particulars of claim. I</w:t>
      </w:r>
      <w:r w:rsidR="00282AA5" w:rsidRPr="00C64CBA">
        <w:rPr>
          <w:lang w:val="en-GB"/>
        </w:rPr>
        <w:t>t has</w:t>
      </w:r>
      <w:r w:rsidR="001E0100" w:rsidRPr="00C64CBA">
        <w:rPr>
          <w:lang w:val="en-GB"/>
        </w:rPr>
        <w:t xml:space="preserve"> </w:t>
      </w:r>
      <w:r w:rsidR="00282AA5" w:rsidRPr="00C64CBA">
        <w:rPr>
          <w:lang w:val="en-GB"/>
        </w:rPr>
        <w:t>not been alleged</w:t>
      </w:r>
      <w:r w:rsidR="00722946">
        <w:rPr>
          <w:lang w:val="en-GB"/>
        </w:rPr>
        <w:t>, or</w:t>
      </w:r>
      <w:r w:rsidR="00282AA5" w:rsidRPr="00C64CBA">
        <w:rPr>
          <w:lang w:val="en-GB"/>
        </w:rPr>
        <w:t xml:space="preserve"> proved</w:t>
      </w:r>
      <w:r w:rsidR="00722946">
        <w:rPr>
          <w:lang w:val="en-GB"/>
        </w:rPr>
        <w:t>,</w:t>
      </w:r>
      <w:r w:rsidR="00282AA5" w:rsidRPr="00C64CBA">
        <w:rPr>
          <w:lang w:val="en-GB"/>
        </w:rPr>
        <w:t xml:space="preserve"> that this statement was placed before the court fraudulently. </w:t>
      </w:r>
      <w:r w:rsidR="00D34F0A">
        <w:rPr>
          <w:lang w:val="en-GB"/>
        </w:rPr>
        <w:t xml:space="preserve">Applying </w:t>
      </w:r>
      <w:r w:rsidR="00D34F0A">
        <w:rPr>
          <w:i/>
          <w:iCs/>
          <w:lang w:val="en-GB"/>
        </w:rPr>
        <w:t>Plascon-Evans</w:t>
      </w:r>
      <w:r w:rsidR="00D34F0A">
        <w:rPr>
          <w:lang w:val="en-GB"/>
        </w:rPr>
        <w:t xml:space="preserve">, both parties knew that the respondent’s estate had shown a healthy accrual. The respondent as plaintiff, presumably acting on the advice of Marais, misrepresented the true position in the particulars of claim, and the applicant, also presumably relying on Marais to finalise the matter as agreed, took no issue with this. The applicant’s case is not based on this misrepresentation, to which she was a silent party. </w:t>
      </w:r>
      <w:r w:rsidR="00282AA5" w:rsidRPr="00C64CBA">
        <w:rPr>
          <w:lang w:val="en-GB"/>
        </w:rPr>
        <w:t>In fact</w:t>
      </w:r>
      <w:r w:rsidR="00E04CE7" w:rsidRPr="00C64CBA">
        <w:rPr>
          <w:lang w:val="en-GB"/>
        </w:rPr>
        <w:t xml:space="preserve"> this</w:t>
      </w:r>
      <w:r w:rsidR="00282AA5" w:rsidRPr="00C64CBA">
        <w:rPr>
          <w:lang w:val="en-GB"/>
        </w:rPr>
        <w:t xml:space="preserve"> was a consequence of the agreement reached between the parties to move towards a swift divorce</w:t>
      </w:r>
      <w:r w:rsidR="00FD4E6E" w:rsidRPr="00C64CBA">
        <w:rPr>
          <w:lang w:val="en-GB"/>
        </w:rPr>
        <w:t xml:space="preserve"> and the applicant’s decision not to claim anything from the respondent</w:t>
      </w:r>
      <w:r w:rsidR="00282AA5" w:rsidRPr="00C64CBA">
        <w:rPr>
          <w:lang w:val="en-GB"/>
        </w:rPr>
        <w:t>. It has also not been shown that the court would</w:t>
      </w:r>
      <w:r w:rsidR="00661BA9">
        <w:rPr>
          <w:lang w:val="en-GB"/>
        </w:rPr>
        <w:t xml:space="preserve"> have</w:t>
      </w:r>
      <w:r w:rsidR="00591D7C" w:rsidRPr="00C64CBA">
        <w:rPr>
          <w:lang w:val="en-GB"/>
        </w:rPr>
        <w:t xml:space="preserve"> </w:t>
      </w:r>
      <w:r w:rsidR="003801FA" w:rsidRPr="00C64CBA">
        <w:rPr>
          <w:lang w:val="en-GB"/>
        </w:rPr>
        <w:t>granted a different order</w:t>
      </w:r>
      <w:r w:rsidR="009A065F" w:rsidRPr="00C64CBA">
        <w:rPr>
          <w:lang w:val="en-GB"/>
        </w:rPr>
        <w:t xml:space="preserve"> in the face of the clear terms of the settlement agreement</w:t>
      </w:r>
      <w:r w:rsidR="00661BA9">
        <w:rPr>
          <w:lang w:val="en-GB"/>
        </w:rPr>
        <w:t xml:space="preserve">, </w:t>
      </w:r>
      <w:r w:rsidR="00661BA9" w:rsidRPr="00C64CBA">
        <w:rPr>
          <w:lang w:val="en-GB"/>
        </w:rPr>
        <w:t>had it known that there was an accrual on the part of the respondent’s estate</w:t>
      </w:r>
      <w:r w:rsidR="009A065F" w:rsidRPr="00C64CBA">
        <w:rPr>
          <w:lang w:val="en-GB"/>
        </w:rPr>
        <w:t>.</w:t>
      </w:r>
      <w:r w:rsidR="00CB5F57">
        <w:rPr>
          <w:rStyle w:val="FootnoteReference"/>
          <w:lang w:val="en-GB"/>
        </w:rPr>
        <w:footnoteReference w:id="45"/>
      </w:r>
    </w:p>
    <w:p w14:paraId="11EDA6F5" w14:textId="77777777" w:rsidR="0089409F" w:rsidRPr="00317797" w:rsidRDefault="0089409F" w:rsidP="00317797">
      <w:pPr>
        <w:rPr>
          <w:lang w:val="en-GB"/>
        </w:rPr>
      </w:pPr>
    </w:p>
    <w:p w14:paraId="652AB9C0" w14:textId="463CDE70" w:rsidR="00B740F5" w:rsidRDefault="008F17A2" w:rsidP="00073FE1">
      <w:pPr>
        <w:pStyle w:val="ListParagraph"/>
        <w:numPr>
          <w:ilvl w:val="0"/>
          <w:numId w:val="16"/>
        </w:numPr>
        <w:autoSpaceDE w:val="0"/>
        <w:autoSpaceDN w:val="0"/>
        <w:adjustRightInd w:val="0"/>
        <w:ind w:left="142" w:hanging="142"/>
        <w:jc w:val="both"/>
        <w:rPr>
          <w:lang w:val="en-GB"/>
        </w:rPr>
      </w:pPr>
      <w:r>
        <w:rPr>
          <w:lang w:val="en-GB"/>
        </w:rPr>
        <w:t>C</w:t>
      </w:r>
      <w:r w:rsidR="001F6BC5">
        <w:rPr>
          <w:lang w:val="en-GB"/>
        </w:rPr>
        <w:t>ourts have set an exceedingly high threshold before countenancing an allegation of fraud.</w:t>
      </w:r>
      <w:r w:rsidR="00886756">
        <w:rPr>
          <w:lang w:val="en-GB"/>
        </w:rPr>
        <w:t xml:space="preserve"> </w:t>
      </w:r>
      <w:r w:rsidR="001F6BC5">
        <w:rPr>
          <w:lang w:val="en-GB"/>
        </w:rPr>
        <w:t xml:space="preserve">In </w:t>
      </w:r>
      <w:r w:rsidR="00961405">
        <w:rPr>
          <w:i/>
          <w:iCs/>
          <w:lang w:val="en-US"/>
        </w:rPr>
        <w:t>Schierhout</w:t>
      </w:r>
      <w:r w:rsidR="001F6BC5">
        <w:rPr>
          <w:lang w:val="en-GB"/>
        </w:rPr>
        <w:t>,</w:t>
      </w:r>
      <w:r w:rsidR="001F6BC5">
        <w:rPr>
          <w:i/>
          <w:iCs/>
          <w:lang w:val="en-GB"/>
        </w:rPr>
        <w:t xml:space="preserve"> </w:t>
      </w:r>
      <w:r w:rsidR="001F6BC5">
        <w:rPr>
          <w:lang w:val="en-GB"/>
        </w:rPr>
        <w:t>t</w:t>
      </w:r>
      <w:r w:rsidR="00B740F5">
        <w:rPr>
          <w:lang w:val="en-GB"/>
        </w:rPr>
        <w:t xml:space="preserve">he court </w:t>
      </w:r>
      <w:r w:rsidR="001F6BC5">
        <w:rPr>
          <w:lang w:val="en-GB"/>
        </w:rPr>
        <w:t>s</w:t>
      </w:r>
      <w:r>
        <w:rPr>
          <w:lang w:val="en-GB"/>
        </w:rPr>
        <w:t>aid</w:t>
      </w:r>
      <w:r w:rsidR="00B740F5">
        <w:rPr>
          <w:lang w:val="en-GB"/>
        </w:rPr>
        <w:t>:</w:t>
      </w:r>
      <w:r w:rsidR="00B740F5">
        <w:rPr>
          <w:rStyle w:val="FootnoteReference"/>
          <w:lang w:val="en-GB"/>
        </w:rPr>
        <w:footnoteReference w:id="46"/>
      </w:r>
    </w:p>
    <w:p w14:paraId="3324F628" w14:textId="282E3E90" w:rsidR="00B740F5" w:rsidRDefault="00B740F5" w:rsidP="00073FE1">
      <w:pPr>
        <w:pStyle w:val="ListParagraph"/>
        <w:autoSpaceDE w:val="0"/>
        <w:autoSpaceDN w:val="0"/>
        <w:adjustRightInd w:val="0"/>
        <w:ind w:left="142"/>
        <w:jc w:val="both"/>
        <w:rPr>
          <w:sz w:val="22"/>
          <w:szCs w:val="22"/>
          <w:lang w:val="en-GB"/>
        </w:rPr>
      </w:pPr>
      <w:r>
        <w:rPr>
          <w:sz w:val="22"/>
          <w:szCs w:val="22"/>
          <w:lang w:val="en-GB"/>
        </w:rPr>
        <w:t>‘</w:t>
      </w:r>
      <w:r w:rsidR="008F17A2">
        <w:rPr>
          <w:sz w:val="22"/>
          <w:szCs w:val="22"/>
          <w:lang w:val="en-GB"/>
        </w:rPr>
        <w:t>[B]</w:t>
      </w:r>
      <w:r>
        <w:rPr>
          <w:sz w:val="22"/>
          <w:szCs w:val="22"/>
          <w:lang w:val="en-GB"/>
        </w:rPr>
        <w:t>aseless charges of fraud are not encouraged by courts of law. Involving as they do the honour and liberty of the person charged they are in their nature of the greatest gravity and should not be lightly made, and when made should not only be made expressly but should be formulated with a precision and fulness which is demanded in a criminal case. In the application now before the Court, it is a matter of the utmost difficulty to ascertain the exact charges of fraud against the Minister.</w:t>
      </w:r>
      <w:r w:rsidR="001E583B">
        <w:rPr>
          <w:sz w:val="22"/>
          <w:szCs w:val="22"/>
          <w:lang w:val="en-GB"/>
        </w:rPr>
        <w:t>’</w:t>
      </w:r>
    </w:p>
    <w:p w14:paraId="2C043C97" w14:textId="77777777" w:rsidR="00B740F5" w:rsidRDefault="00B740F5" w:rsidP="00B740F5">
      <w:pPr>
        <w:pStyle w:val="ListParagraph"/>
        <w:autoSpaceDE w:val="0"/>
        <w:autoSpaceDN w:val="0"/>
        <w:adjustRightInd w:val="0"/>
        <w:jc w:val="both"/>
        <w:rPr>
          <w:lang w:val="en-GB"/>
        </w:rPr>
      </w:pPr>
    </w:p>
    <w:p w14:paraId="39954173" w14:textId="02DB266A" w:rsidR="00184E2D" w:rsidRDefault="00884F0E" w:rsidP="00073FE1">
      <w:pPr>
        <w:pStyle w:val="ListParagraph"/>
        <w:numPr>
          <w:ilvl w:val="0"/>
          <w:numId w:val="16"/>
        </w:numPr>
        <w:autoSpaceDE w:val="0"/>
        <w:autoSpaceDN w:val="0"/>
        <w:adjustRightInd w:val="0"/>
        <w:ind w:left="142" w:hanging="142"/>
        <w:jc w:val="both"/>
        <w:rPr>
          <w:lang w:val="en-GB"/>
        </w:rPr>
      </w:pPr>
      <w:r>
        <w:rPr>
          <w:lang w:val="en-GB"/>
        </w:rPr>
        <w:t xml:space="preserve">The hint of fraud in this instance has been formulated in precisely the manner deprecated by the court in </w:t>
      </w:r>
      <w:r>
        <w:rPr>
          <w:i/>
          <w:iCs/>
          <w:lang w:val="en-GB"/>
        </w:rPr>
        <w:t>Schierhout</w:t>
      </w:r>
      <w:r w:rsidR="003642FA">
        <w:rPr>
          <w:lang w:val="en-GB"/>
        </w:rPr>
        <w:t>, with lack of precision and fulness</w:t>
      </w:r>
      <w:r>
        <w:rPr>
          <w:lang w:val="en-GB"/>
        </w:rPr>
        <w:t>. The applicant framed it as follows her founding affidavit: ‘It is my hope that the respondent also held this w</w:t>
      </w:r>
      <w:r w:rsidR="004F25EA">
        <w:rPr>
          <w:lang w:val="en-GB"/>
        </w:rPr>
        <w:t>r</w:t>
      </w:r>
      <w:r>
        <w:rPr>
          <w:lang w:val="en-GB"/>
        </w:rPr>
        <w:t xml:space="preserve">ong belief, as it would otherwise mean that he was defrauding me from what I was legally entitled to.’ </w:t>
      </w:r>
      <w:r w:rsidR="00706A9F">
        <w:rPr>
          <w:lang w:val="en-GB"/>
        </w:rPr>
        <w:t xml:space="preserve">Fraud </w:t>
      </w:r>
      <w:r w:rsidR="00BF6ECE">
        <w:rPr>
          <w:lang w:val="en-GB"/>
        </w:rPr>
        <w:t xml:space="preserve">on the part of the respondent </w:t>
      </w:r>
      <w:r w:rsidR="00706A9F">
        <w:rPr>
          <w:lang w:val="en-GB"/>
        </w:rPr>
        <w:t>cannot be inferred on the strength of this</w:t>
      </w:r>
      <w:r w:rsidR="003343C5">
        <w:rPr>
          <w:lang w:val="en-GB"/>
        </w:rPr>
        <w:t xml:space="preserve"> statement</w:t>
      </w:r>
      <w:r w:rsidR="00706A9F">
        <w:rPr>
          <w:lang w:val="en-GB"/>
        </w:rPr>
        <w:t>.</w:t>
      </w:r>
      <w:r w:rsidR="009A01FA">
        <w:rPr>
          <w:lang w:val="en-GB"/>
        </w:rPr>
        <w:t xml:space="preserve"> The allegation has not been expressly made</w:t>
      </w:r>
      <w:r w:rsidR="008F17A2">
        <w:rPr>
          <w:lang w:val="en-GB"/>
        </w:rPr>
        <w:t xml:space="preserve"> and</w:t>
      </w:r>
      <w:r w:rsidR="009A01FA">
        <w:rPr>
          <w:lang w:val="en-GB"/>
        </w:rPr>
        <w:t xml:space="preserve"> </w:t>
      </w:r>
      <w:r w:rsidR="008F17A2">
        <w:rPr>
          <w:lang w:val="en-GB"/>
        </w:rPr>
        <w:t>it</w:t>
      </w:r>
      <w:r w:rsidR="009A01FA">
        <w:rPr>
          <w:lang w:val="en-GB"/>
        </w:rPr>
        <w:t xml:space="preserve"> lacks a factual foundation.</w:t>
      </w:r>
      <w:r w:rsidR="00F266D4">
        <w:rPr>
          <w:rStyle w:val="FootnoteReference"/>
          <w:lang w:val="en-GB"/>
        </w:rPr>
        <w:footnoteReference w:id="47"/>
      </w:r>
      <w:r w:rsidR="00706A9F">
        <w:rPr>
          <w:lang w:val="en-GB"/>
        </w:rPr>
        <w:t xml:space="preserve"> </w:t>
      </w:r>
    </w:p>
    <w:p w14:paraId="2DFCB564" w14:textId="77777777" w:rsidR="00706A9F" w:rsidRDefault="00706A9F" w:rsidP="00706A9F">
      <w:pPr>
        <w:pStyle w:val="ListParagraph"/>
        <w:autoSpaceDE w:val="0"/>
        <w:autoSpaceDN w:val="0"/>
        <w:adjustRightInd w:val="0"/>
        <w:jc w:val="both"/>
        <w:rPr>
          <w:lang w:val="en-GB"/>
        </w:rPr>
      </w:pPr>
    </w:p>
    <w:p w14:paraId="52C78449" w14:textId="77777777" w:rsidR="00AF223C" w:rsidRDefault="00261D94" w:rsidP="004478F5">
      <w:pPr>
        <w:pStyle w:val="ListParagraph"/>
        <w:numPr>
          <w:ilvl w:val="0"/>
          <w:numId w:val="16"/>
        </w:numPr>
        <w:autoSpaceDE w:val="0"/>
        <w:autoSpaceDN w:val="0"/>
        <w:adjustRightInd w:val="0"/>
        <w:ind w:left="142" w:hanging="142"/>
        <w:jc w:val="both"/>
        <w:rPr>
          <w:lang w:val="en-GB"/>
        </w:rPr>
      </w:pPr>
      <w:r>
        <w:rPr>
          <w:lang w:val="en-GB"/>
        </w:rPr>
        <w:t>As to the possibility of rescission based on justus error, th</w:t>
      </w:r>
      <w:r w:rsidR="000426ED">
        <w:rPr>
          <w:lang w:val="en-GB"/>
        </w:rPr>
        <w:t>e first point to be made is that such a claim does not feature on the papers.</w:t>
      </w:r>
      <w:r w:rsidR="00012D0A">
        <w:rPr>
          <w:rStyle w:val="FootnoteReference"/>
          <w:lang w:val="en-GB"/>
        </w:rPr>
        <w:footnoteReference w:id="48"/>
      </w:r>
      <w:r w:rsidR="000426ED">
        <w:rPr>
          <w:lang w:val="en-GB"/>
        </w:rPr>
        <w:t xml:space="preserve"> </w:t>
      </w:r>
      <w:r w:rsidR="009F5242">
        <w:rPr>
          <w:lang w:val="en-GB"/>
        </w:rPr>
        <w:t xml:space="preserve">Secondly, it is clear </w:t>
      </w:r>
      <w:r w:rsidR="005E24B7">
        <w:rPr>
          <w:lang w:val="en-GB"/>
        </w:rPr>
        <w:t xml:space="preserve">in law </w:t>
      </w:r>
      <w:r w:rsidR="009F5242">
        <w:rPr>
          <w:lang w:val="en-GB"/>
        </w:rPr>
        <w:t>that an application to set aside a judgment on the ground of justus error on the part of the court induced by non-fraudulent misrepresentations made by the other party, cannot succeed.</w:t>
      </w:r>
      <w:r w:rsidR="00192C1D">
        <w:rPr>
          <w:rStyle w:val="FootnoteReference"/>
          <w:lang w:val="en-GB"/>
        </w:rPr>
        <w:footnoteReference w:id="49"/>
      </w:r>
      <w:r w:rsidR="009F5242">
        <w:rPr>
          <w:lang w:val="en-GB"/>
        </w:rPr>
        <w:t xml:space="preserve"> </w:t>
      </w:r>
      <w:r w:rsidR="00164403">
        <w:rPr>
          <w:lang w:val="en-GB"/>
        </w:rPr>
        <w:t xml:space="preserve">To the extent that this is implicit in the papers, </w:t>
      </w:r>
      <w:r w:rsidR="00B667E1">
        <w:rPr>
          <w:lang w:val="en-GB"/>
        </w:rPr>
        <w:t xml:space="preserve">perhaps based on the statement in the particulars of claim about the lack of accrual, </w:t>
      </w:r>
      <w:r w:rsidR="00164403">
        <w:rPr>
          <w:lang w:val="en-GB"/>
        </w:rPr>
        <w:t xml:space="preserve">the application must fail on the strength of </w:t>
      </w:r>
      <w:r w:rsidR="00164403">
        <w:rPr>
          <w:i/>
          <w:iCs/>
          <w:lang w:val="en-GB"/>
        </w:rPr>
        <w:t>Childerley</w:t>
      </w:r>
      <w:r w:rsidR="00164403">
        <w:rPr>
          <w:lang w:val="en-GB"/>
        </w:rPr>
        <w:t>. Thirdly, t</w:t>
      </w:r>
      <w:r w:rsidR="00EE08F2">
        <w:rPr>
          <w:lang w:val="en-GB"/>
        </w:rPr>
        <w:t>here is a soft suggestion on the papers of an alternative claim based on an alleged reasonable unilateral mistake on the part of the applicant</w:t>
      </w:r>
      <w:r w:rsidR="00566F4F">
        <w:rPr>
          <w:lang w:val="en-GB"/>
        </w:rPr>
        <w:t xml:space="preserve"> in entering into the settlement agreement</w:t>
      </w:r>
      <w:r w:rsidR="00EE08F2">
        <w:rPr>
          <w:lang w:val="en-GB"/>
        </w:rPr>
        <w:t xml:space="preserve">, but that is a different matter, and not one that entitles </w:t>
      </w:r>
      <w:r w:rsidR="00627641">
        <w:rPr>
          <w:lang w:val="en-GB"/>
        </w:rPr>
        <w:t xml:space="preserve">the applicant to rescission </w:t>
      </w:r>
      <w:r w:rsidR="00630E2A">
        <w:rPr>
          <w:lang w:val="en-GB"/>
        </w:rPr>
        <w:t xml:space="preserve">or variation </w:t>
      </w:r>
      <w:r w:rsidR="00627641">
        <w:rPr>
          <w:lang w:val="en-GB"/>
        </w:rPr>
        <w:t xml:space="preserve">of the </w:t>
      </w:r>
      <w:r w:rsidR="00530DEA">
        <w:rPr>
          <w:lang w:val="en-GB"/>
        </w:rPr>
        <w:t xml:space="preserve">consent </w:t>
      </w:r>
      <w:r w:rsidR="00627641">
        <w:rPr>
          <w:lang w:val="en-GB"/>
        </w:rPr>
        <w:t>order.</w:t>
      </w:r>
      <w:r w:rsidR="003B7F28">
        <w:rPr>
          <w:rStyle w:val="FootnoteReference"/>
          <w:lang w:val="en-GB"/>
        </w:rPr>
        <w:footnoteReference w:id="50"/>
      </w:r>
      <w:r w:rsidR="00627641">
        <w:rPr>
          <w:lang w:val="en-GB"/>
        </w:rPr>
        <w:t xml:space="preserve"> </w:t>
      </w:r>
      <w:r w:rsidR="00966AC0">
        <w:rPr>
          <w:lang w:val="en-GB"/>
        </w:rPr>
        <w:t>Fourthly, cases in which a judgment will be set aside because of justus error are ‘relatively rare and exceptional’</w:t>
      </w:r>
      <w:r w:rsidR="00CC2B0D">
        <w:rPr>
          <w:lang w:val="en-GB"/>
        </w:rPr>
        <w:t xml:space="preserve"> and the applicant has, in all the circumstances, not demonstrated an exceptional basis for setting aside or varying the order on this basis.</w:t>
      </w:r>
      <w:r w:rsidR="00822324">
        <w:rPr>
          <w:rStyle w:val="FootnoteReference"/>
          <w:lang w:val="en-GB"/>
        </w:rPr>
        <w:footnoteReference w:id="51"/>
      </w:r>
      <w:r w:rsidR="003A1744">
        <w:rPr>
          <w:lang w:val="en-GB"/>
        </w:rPr>
        <w:t xml:space="preserve"> </w:t>
      </w:r>
      <w:r w:rsidR="00082BB2">
        <w:rPr>
          <w:lang w:val="en-GB"/>
        </w:rPr>
        <w:t>A unilateral mistake</w:t>
      </w:r>
      <w:r w:rsidR="00D14834">
        <w:rPr>
          <w:lang w:val="en-GB"/>
        </w:rPr>
        <w:t xml:space="preserve">, even if material, </w:t>
      </w:r>
      <w:r w:rsidR="00082BB2">
        <w:rPr>
          <w:lang w:val="en-GB"/>
        </w:rPr>
        <w:t xml:space="preserve">does </w:t>
      </w:r>
      <w:r w:rsidR="00D14834">
        <w:rPr>
          <w:lang w:val="en-GB"/>
        </w:rPr>
        <w:t>not</w:t>
      </w:r>
      <w:r w:rsidR="00E74A8D">
        <w:rPr>
          <w:lang w:val="en-GB"/>
        </w:rPr>
        <w:t>, on its own,</w:t>
      </w:r>
      <w:r w:rsidR="00D14834">
        <w:rPr>
          <w:lang w:val="en-GB"/>
        </w:rPr>
        <w:t xml:space="preserve"> amount to a justus error</w:t>
      </w:r>
      <w:r w:rsidR="00233256">
        <w:rPr>
          <w:lang w:val="en-GB"/>
        </w:rPr>
        <w:t xml:space="preserve"> sufficient to grant the relief sought</w:t>
      </w:r>
      <w:r w:rsidR="00D14834">
        <w:rPr>
          <w:lang w:val="en-GB"/>
        </w:rPr>
        <w:t xml:space="preserve">. </w:t>
      </w:r>
      <w:r w:rsidR="00421CFA">
        <w:rPr>
          <w:lang w:val="en-GB"/>
        </w:rPr>
        <w:t>The SCA has, in the context of considering the setting aside of a compromise agreement based on a unilateral mistake, held as follows:</w:t>
      </w:r>
      <w:r w:rsidR="008B3509">
        <w:rPr>
          <w:rStyle w:val="FootnoteReference"/>
          <w:lang w:val="en-GB"/>
        </w:rPr>
        <w:footnoteReference w:id="52"/>
      </w:r>
    </w:p>
    <w:p w14:paraId="4B2ABEE2" w14:textId="77777777" w:rsidR="00421CFA" w:rsidRPr="00421CFA" w:rsidRDefault="00421CFA" w:rsidP="004478F5">
      <w:pPr>
        <w:pStyle w:val="ListParagraph"/>
        <w:autoSpaceDE w:val="0"/>
        <w:autoSpaceDN w:val="0"/>
        <w:adjustRightInd w:val="0"/>
        <w:ind w:left="142"/>
        <w:jc w:val="both"/>
        <w:rPr>
          <w:lang w:val="en-GB"/>
        </w:rPr>
      </w:pPr>
      <w:r w:rsidRPr="00421CFA">
        <w:rPr>
          <w:sz w:val="22"/>
          <w:szCs w:val="22"/>
          <w:lang w:val="en-GB"/>
        </w:rPr>
        <w:t>‘The compromise agreement thus cannot be set aside on the basis of a mutual error as there was no mutual error. The MEC cannot rely on her own mistake to avoid a contract which was in any event initiated by her. This unilateral mistake accordingly did not amount to a justus</w:t>
      </w:r>
      <w:r w:rsidRPr="00421CFA">
        <w:rPr>
          <w:i/>
          <w:iCs/>
          <w:sz w:val="22"/>
          <w:szCs w:val="22"/>
          <w:lang w:val="en-GB"/>
        </w:rPr>
        <w:t xml:space="preserve"> </w:t>
      </w:r>
      <w:r w:rsidRPr="00421CFA">
        <w:rPr>
          <w:sz w:val="22"/>
          <w:szCs w:val="22"/>
          <w:lang w:val="en-GB"/>
        </w:rPr>
        <w:t>error. As stated by Christie: “However material the mistake, the mistaken party will not be able to escape from the contract if [their] mistake was due to [their] own fault. This principle will apply whether [the] fault lies in not carrying out the reasonably necessary investigations before committing [themselves] to the contract that is, failing to do [their] homework”</w:t>
      </w:r>
      <w:r w:rsidR="00FD6263">
        <w:rPr>
          <w:sz w:val="22"/>
          <w:szCs w:val="22"/>
          <w:lang w:val="en-GB"/>
        </w:rPr>
        <w:t>; [in not bothering to read the contract before signing; in carelessly misreading one of the terms … in misinterpreting a clear and unambiguous term, and in fact in any circumstances in which the mistake is due to [their] own carelessness or inattention …</w:t>
      </w:r>
      <w:r w:rsidR="00402BAE">
        <w:rPr>
          <w:sz w:val="22"/>
          <w:szCs w:val="22"/>
          <w:lang w:val="en-GB"/>
        </w:rPr>
        <w:t>]</w:t>
      </w:r>
      <w:r w:rsidRPr="00421CFA">
        <w:rPr>
          <w:sz w:val="22"/>
          <w:szCs w:val="22"/>
          <w:lang w:val="en-GB"/>
        </w:rPr>
        <w:t>’</w:t>
      </w:r>
      <w:r>
        <w:rPr>
          <w:sz w:val="22"/>
          <w:szCs w:val="22"/>
          <w:lang w:val="en-GB"/>
        </w:rPr>
        <w:t xml:space="preserve"> </w:t>
      </w:r>
      <w:r w:rsidRPr="00421CFA">
        <w:rPr>
          <w:lang w:val="en-GB"/>
        </w:rPr>
        <w:t>(Footnotes omitted)</w:t>
      </w:r>
    </w:p>
    <w:p w14:paraId="41E9C030" w14:textId="77777777" w:rsidR="007274FD" w:rsidRPr="00696151" w:rsidRDefault="007274FD" w:rsidP="007274FD">
      <w:pPr>
        <w:rPr>
          <w:i/>
          <w:iCs/>
          <w:lang w:val="en-GB"/>
        </w:rPr>
      </w:pPr>
    </w:p>
    <w:p w14:paraId="3F7ED458" w14:textId="044E5C07" w:rsidR="00BD41D2" w:rsidRDefault="00FD3451" w:rsidP="004478F5">
      <w:pPr>
        <w:pStyle w:val="ListParagraph"/>
        <w:numPr>
          <w:ilvl w:val="0"/>
          <w:numId w:val="16"/>
        </w:numPr>
        <w:autoSpaceDE w:val="0"/>
        <w:autoSpaceDN w:val="0"/>
        <w:adjustRightInd w:val="0"/>
        <w:ind w:left="142" w:hanging="142"/>
        <w:jc w:val="both"/>
        <w:rPr>
          <w:lang w:val="en-GB"/>
        </w:rPr>
      </w:pPr>
      <w:r>
        <w:rPr>
          <w:lang w:val="en-GB"/>
        </w:rPr>
        <w:t>The</w:t>
      </w:r>
      <w:r w:rsidR="004C05F2">
        <w:rPr>
          <w:lang w:val="en-GB"/>
        </w:rPr>
        <w:t xml:space="preserve"> applicant’s negligence</w:t>
      </w:r>
      <w:r w:rsidR="00F271FB">
        <w:rPr>
          <w:lang w:val="en-GB"/>
        </w:rPr>
        <w:t>,</w:t>
      </w:r>
      <w:r w:rsidR="004C05F2">
        <w:rPr>
          <w:lang w:val="en-GB"/>
        </w:rPr>
        <w:t xml:space="preserve"> flowing from</w:t>
      </w:r>
      <w:r>
        <w:rPr>
          <w:lang w:val="en-GB"/>
        </w:rPr>
        <w:t xml:space="preserve"> her haste to finalise the divorce</w:t>
      </w:r>
      <w:r w:rsidR="00F271FB">
        <w:rPr>
          <w:lang w:val="en-GB"/>
        </w:rPr>
        <w:t>,</w:t>
      </w:r>
      <w:r>
        <w:rPr>
          <w:lang w:val="en-GB"/>
        </w:rPr>
        <w:t xml:space="preserve"> cannot be overlooked</w:t>
      </w:r>
      <w:r w:rsidR="004C05F2">
        <w:rPr>
          <w:lang w:val="en-GB"/>
        </w:rPr>
        <w:t xml:space="preserve"> and</w:t>
      </w:r>
      <w:r w:rsidR="000416D4">
        <w:rPr>
          <w:lang w:val="en-GB"/>
        </w:rPr>
        <w:t xml:space="preserve"> she would be </w:t>
      </w:r>
      <w:r w:rsidR="001808F6">
        <w:rPr>
          <w:lang w:val="en-GB"/>
        </w:rPr>
        <w:t>unable</w:t>
      </w:r>
      <w:r w:rsidR="004D7449">
        <w:rPr>
          <w:lang w:val="en-GB"/>
        </w:rPr>
        <w:t xml:space="preserve"> </w:t>
      </w:r>
      <w:r w:rsidR="001808F6">
        <w:rPr>
          <w:lang w:val="en-GB"/>
        </w:rPr>
        <w:t>to claim rescission based on negligence</w:t>
      </w:r>
      <w:r w:rsidR="004C05F2">
        <w:rPr>
          <w:lang w:val="en-GB"/>
        </w:rPr>
        <w:t>, if any,</w:t>
      </w:r>
      <w:r w:rsidR="001808F6">
        <w:rPr>
          <w:lang w:val="en-GB"/>
        </w:rPr>
        <w:t xml:space="preserve"> on the part of Marais</w:t>
      </w:r>
      <w:r w:rsidR="004C05F2">
        <w:rPr>
          <w:lang w:val="en-GB"/>
        </w:rPr>
        <w:t>,</w:t>
      </w:r>
      <w:r w:rsidR="00BD05DF">
        <w:rPr>
          <w:lang w:val="en-GB"/>
        </w:rPr>
        <w:t xml:space="preserve"> purport</w:t>
      </w:r>
      <w:r w:rsidR="0056016D">
        <w:rPr>
          <w:lang w:val="en-GB"/>
        </w:rPr>
        <w:t>ing</w:t>
      </w:r>
      <w:r w:rsidR="00BD05DF">
        <w:rPr>
          <w:lang w:val="en-GB"/>
        </w:rPr>
        <w:t xml:space="preserve"> to represent </w:t>
      </w:r>
      <w:r w:rsidR="00057832">
        <w:rPr>
          <w:lang w:val="en-GB"/>
        </w:rPr>
        <w:t xml:space="preserve">both </w:t>
      </w:r>
      <w:r w:rsidR="00BD05DF">
        <w:rPr>
          <w:lang w:val="en-GB"/>
        </w:rPr>
        <w:t>her interests</w:t>
      </w:r>
      <w:r w:rsidR="00057832">
        <w:rPr>
          <w:lang w:val="en-GB"/>
        </w:rPr>
        <w:t xml:space="preserve"> and that of the respondent</w:t>
      </w:r>
      <w:r w:rsidR="00BD05DF">
        <w:rPr>
          <w:lang w:val="en-GB"/>
        </w:rPr>
        <w:t>.</w:t>
      </w:r>
      <w:r w:rsidR="001808F6">
        <w:rPr>
          <w:lang w:val="en-GB"/>
        </w:rPr>
        <w:t xml:space="preserve"> </w:t>
      </w:r>
      <w:r w:rsidR="00BD1798">
        <w:rPr>
          <w:lang w:val="en-GB"/>
        </w:rPr>
        <w:t>This</w:t>
      </w:r>
      <w:r w:rsidR="00AC147F">
        <w:rPr>
          <w:lang w:val="en-GB"/>
        </w:rPr>
        <w:t xml:space="preserve"> </w:t>
      </w:r>
      <w:r w:rsidR="00F271FB">
        <w:rPr>
          <w:lang w:val="en-GB"/>
        </w:rPr>
        <w:t>was</w:t>
      </w:r>
      <w:r w:rsidR="0022315C">
        <w:rPr>
          <w:lang w:val="en-GB"/>
        </w:rPr>
        <w:t xml:space="preserve"> </w:t>
      </w:r>
      <w:r w:rsidR="00D84A1B">
        <w:rPr>
          <w:lang w:val="en-GB"/>
        </w:rPr>
        <w:t xml:space="preserve">confirmed </w:t>
      </w:r>
      <w:r w:rsidR="00F271FB">
        <w:rPr>
          <w:lang w:val="en-GB"/>
        </w:rPr>
        <w:t>in</w:t>
      </w:r>
      <w:r>
        <w:rPr>
          <w:lang w:val="en-GB"/>
        </w:rPr>
        <w:t xml:space="preserve"> </w:t>
      </w:r>
      <w:r>
        <w:rPr>
          <w:i/>
          <w:iCs/>
          <w:lang w:val="en-GB"/>
        </w:rPr>
        <w:t>Bakoven</w:t>
      </w:r>
      <w:r w:rsidRPr="00BD41D2">
        <w:rPr>
          <w:rStyle w:val="FootnoteReference"/>
          <w:lang w:val="en-GB"/>
        </w:rPr>
        <w:footnoteReference w:id="53"/>
      </w:r>
      <w:r w:rsidR="0096650E">
        <w:rPr>
          <w:lang w:val="en-GB"/>
        </w:rPr>
        <w:t xml:space="preserve"> </w:t>
      </w:r>
      <w:r w:rsidR="00F271FB">
        <w:rPr>
          <w:lang w:val="en-GB"/>
        </w:rPr>
        <w:t xml:space="preserve">where </w:t>
      </w:r>
      <w:r w:rsidR="00BD41D2">
        <w:rPr>
          <w:lang w:val="en-GB"/>
        </w:rPr>
        <w:t>Erasmus J, considering rescission in the context of a default judgment, held:</w:t>
      </w:r>
    </w:p>
    <w:p w14:paraId="7FA504D0" w14:textId="77777777" w:rsidR="00FD3451" w:rsidRPr="00BD41D2" w:rsidRDefault="00BD41D2" w:rsidP="004478F5">
      <w:pPr>
        <w:autoSpaceDE w:val="0"/>
        <w:autoSpaceDN w:val="0"/>
        <w:adjustRightInd w:val="0"/>
        <w:ind w:left="142"/>
        <w:jc w:val="both"/>
        <w:rPr>
          <w:lang w:val="en-GB"/>
        </w:rPr>
      </w:pPr>
      <w:r>
        <w:rPr>
          <w:sz w:val="22"/>
          <w:szCs w:val="22"/>
          <w:lang w:val="en-GB"/>
        </w:rPr>
        <w:t xml:space="preserve">‘The negligence of the applicant is relevant … the applicant who was negligent and the author of </w:t>
      </w:r>
      <w:r w:rsidR="007C46D2">
        <w:rPr>
          <w:sz w:val="22"/>
          <w:szCs w:val="22"/>
          <w:lang w:val="en-GB"/>
        </w:rPr>
        <w:t>[their]</w:t>
      </w:r>
      <w:r>
        <w:rPr>
          <w:sz w:val="22"/>
          <w:szCs w:val="22"/>
          <w:lang w:val="en-GB"/>
        </w:rPr>
        <w:t xml:space="preserve"> own problem will not succeed with an application to have the judgment set aside. I respectfully agree, but do not see this to mean that the applicant can hide behind the fault of another. In </w:t>
      </w:r>
      <w:r>
        <w:rPr>
          <w:i/>
          <w:iCs/>
          <w:sz w:val="22"/>
          <w:szCs w:val="22"/>
          <w:lang w:val="en-GB"/>
        </w:rPr>
        <w:t>De Wet</w:t>
      </w:r>
      <w:r>
        <w:rPr>
          <w:sz w:val="22"/>
          <w:szCs w:val="22"/>
          <w:lang w:val="en-GB"/>
        </w:rPr>
        <w:t xml:space="preserve"> (3) the applicants were refused relief where the default was brought about by the inexcusable negligence and ineptitude of their attorney, but the applicants too could not be absolved from blame.’</w:t>
      </w:r>
      <w:r w:rsidR="00FD3451" w:rsidRPr="00BD41D2">
        <w:rPr>
          <w:lang w:val="en-GB"/>
        </w:rPr>
        <w:t xml:space="preserve"> </w:t>
      </w:r>
    </w:p>
    <w:p w14:paraId="78B69F63" w14:textId="77777777" w:rsidR="00FD3451" w:rsidRDefault="00FD3451" w:rsidP="00FD3451">
      <w:pPr>
        <w:pStyle w:val="ListParagraph"/>
        <w:autoSpaceDE w:val="0"/>
        <w:autoSpaceDN w:val="0"/>
        <w:adjustRightInd w:val="0"/>
        <w:jc w:val="both"/>
        <w:rPr>
          <w:lang w:val="en-GB"/>
        </w:rPr>
      </w:pPr>
    </w:p>
    <w:p w14:paraId="110D94AD" w14:textId="77777777" w:rsidR="00BC249C" w:rsidRPr="002305BB" w:rsidRDefault="00BC249C" w:rsidP="004478F5">
      <w:pPr>
        <w:pStyle w:val="ListParagraph"/>
        <w:numPr>
          <w:ilvl w:val="0"/>
          <w:numId w:val="16"/>
        </w:numPr>
        <w:autoSpaceDE w:val="0"/>
        <w:autoSpaceDN w:val="0"/>
        <w:adjustRightInd w:val="0"/>
        <w:ind w:left="142" w:hanging="142"/>
        <w:jc w:val="both"/>
        <w:rPr>
          <w:lang w:val="en-GB"/>
        </w:rPr>
      </w:pPr>
      <w:r w:rsidRPr="002305BB">
        <w:rPr>
          <w:lang w:val="en-GB"/>
        </w:rPr>
        <w:t>Unfortunate as this may appear, a litigant who, by mistake of herself or her legal adviser, abandons</w:t>
      </w:r>
      <w:r w:rsidR="00BC203E">
        <w:rPr>
          <w:lang w:val="en-GB"/>
        </w:rPr>
        <w:t xml:space="preserve"> </w:t>
      </w:r>
      <w:r w:rsidRPr="002305BB">
        <w:rPr>
          <w:lang w:val="en-GB"/>
        </w:rPr>
        <w:t xml:space="preserve">relief to which she is, or may be, entitled, cannot easily succeed in claiming that relief. </w:t>
      </w:r>
      <w:r w:rsidR="00BF7D77">
        <w:rPr>
          <w:lang w:val="en-GB"/>
        </w:rPr>
        <w:t>This strict approach is confirmed by</w:t>
      </w:r>
      <w:r w:rsidRPr="002305BB">
        <w:rPr>
          <w:lang w:val="en-GB"/>
        </w:rPr>
        <w:t xml:space="preserve"> </w:t>
      </w:r>
      <w:r w:rsidRPr="002305BB">
        <w:rPr>
          <w:i/>
          <w:iCs/>
          <w:lang w:val="en-GB"/>
        </w:rPr>
        <w:t>Joseph v Joseph</w:t>
      </w:r>
      <w:r w:rsidRPr="002305BB">
        <w:rPr>
          <w:lang w:val="en-GB"/>
        </w:rPr>
        <w:t>,</w:t>
      </w:r>
      <w:r w:rsidRPr="002305BB">
        <w:rPr>
          <w:i/>
          <w:iCs/>
          <w:lang w:val="en-GB"/>
        </w:rPr>
        <w:t xml:space="preserve"> </w:t>
      </w:r>
      <w:r w:rsidRPr="002305BB">
        <w:rPr>
          <w:lang w:val="en-GB"/>
        </w:rPr>
        <w:t xml:space="preserve">the court </w:t>
      </w:r>
      <w:r w:rsidR="00611026">
        <w:rPr>
          <w:lang w:val="en-GB"/>
        </w:rPr>
        <w:t xml:space="preserve">confirming </w:t>
      </w:r>
      <w:r w:rsidRPr="002305BB">
        <w:rPr>
          <w:lang w:val="en-GB"/>
        </w:rPr>
        <w:t xml:space="preserve">that it had no jurisdiction or power to recall or amend </w:t>
      </w:r>
      <w:r w:rsidR="00342F38">
        <w:rPr>
          <w:lang w:val="en-GB"/>
        </w:rPr>
        <w:t>an</w:t>
      </w:r>
      <w:r w:rsidRPr="002305BB">
        <w:rPr>
          <w:lang w:val="en-GB"/>
        </w:rPr>
        <w:t xml:space="preserve"> order it had deliberately made</w:t>
      </w:r>
      <w:r w:rsidR="007620A8">
        <w:rPr>
          <w:lang w:val="en-GB"/>
        </w:rPr>
        <w:t xml:space="preserve"> consequent to a mistake</w:t>
      </w:r>
      <w:r w:rsidRPr="002305BB">
        <w:rPr>
          <w:lang w:val="en-GB"/>
        </w:rPr>
        <w:t>, in the absence of fraud of the other party in the course of the proceedings.</w:t>
      </w:r>
      <w:r>
        <w:rPr>
          <w:rStyle w:val="FootnoteReference"/>
          <w:lang w:val="en-GB"/>
        </w:rPr>
        <w:footnoteReference w:id="54"/>
      </w:r>
      <w:r w:rsidRPr="002305BB">
        <w:rPr>
          <w:lang w:val="en-GB"/>
        </w:rPr>
        <w:t xml:space="preserve"> </w:t>
      </w:r>
    </w:p>
    <w:p w14:paraId="510D6020" w14:textId="77777777" w:rsidR="002305BB" w:rsidRPr="002305BB" w:rsidRDefault="002305BB" w:rsidP="002305BB">
      <w:pPr>
        <w:pStyle w:val="ListParagraph"/>
        <w:autoSpaceDE w:val="0"/>
        <w:autoSpaceDN w:val="0"/>
        <w:adjustRightInd w:val="0"/>
        <w:jc w:val="both"/>
        <w:rPr>
          <w:lang w:val="en-GB"/>
        </w:rPr>
      </w:pPr>
    </w:p>
    <w:p w14:paraId="092D9D12" w14:textId="78120C71" w:rsidR="005C75C8" w:rsidRPr="005C75C8" w:rsidRDefault="00E30CD7" w:rsidP="004478F5">
      <w:pPr>
        <w:pStyle w:val="ListParagraph"/>
        <w:numPr>
          <w:ilvl w:val="0"/>
          <w:numId w:val="16"/>
        </w:numPr>
        <w:autoSpaceDE w:val="0"/>
        <w:autoSpaceDN w:val="0"/>
        <w:adjustRightInd w:val="0"/>
        <w:ind w:left="142" w:hanging="142"/>
        <w:jc w:val="both"/>
        <w:rPr>
          <w:lang w:val="en-GB"/>
        </w:rPr>
      </w:pPr>
      <w:r>
        <w:rPr>
          <w:lang w:val="en-GB"/>
        </w:rPr>
        <w:t xml:space="preserve">Counsel for the applicant also referred to </w:t>
      </w:r>
      <w:r>
        <w:rPr>
          <w:i/>
          <w:iCs/>
          <w:lang w:val="en-GB"/>
        </w:rPr>
        <w:t xml:space="preserve">Oppressed </w:t>
      </w:r>
      <w:r w:rsidR="00F271FB">
        <w:rPr>
          <w:i/>
          <w:iCs/>
          <w:lang w:val="en-GB"/>
        </w:rPr>
        <w:t>A</w:t>
      </w:r>
      <w:r>
        <w:rPr>
          <w:i/>
          <w:iCs/>
          <w:lang w:val="en-GB"/>
        </w:rPr>
        <w:t>CSA Minority</w:t>
      </w:r>
      <w:r w:rsidR="005C75C8">
        <w:rPr>
          <w:lang w:val="en-GB"/>
        </w:rPr>
        <w:t>,</w:t>
      </w:r>
      <w:r w:rsidR="00087B25">
        <w:rPr>
          <w:rStyle w:val="FootnoteReference"/>
          <w:lang w:val="en-GB"/>
        </w:rPr>
        <w:footnoteReference w:id="55"/>
      </w:r>
      <w:r w:rsidR="005C75C8">
        <w:rPr>
          <w:lang w:val="en-GB"/>
        </w:rPr>
        <w:t xml:space="preserve"> which deals briefly with the common law basis for setting aside a final judgment. For the sake of completeness, it </w:t>
      </w:r>
      <w:r w:rsidR="00DA3470">
        <w:rPr>
          <w:lang w:val="en-GB"/>
        </w:rPr>
        <w:t>must</w:t>
      </w:r>
      <w:r w:rsidR="005C75C8">
        <w:rPr>
          <w:lang w:val="en-GB"/>
        </w:rPr>
        <w:t xml:space="preserve"> be noted that the reference in that case to ‘justa causa’, as distinct from ‘justus error’</w:t>
      </w:r>
      <w:r w:rsidR="00ED36D9">
        <w:rPr>
          <w:lang w:val="en-GB"/>
        </w:rPr>
        <w:t>,</w:t>
      </w:r>
      <w:r w:rsidR="005C75C8">
        <w:rPr>
          <w:lang w:val="en-GB"/>
        </w:rPr>
        <w:t xml:space="preserve"> is directly linked to Uniform Rule 31(2)</w:t>
      </w:r>
      <w:r w:rsidR="005C75C8">
        <w:rPr>
          <w:i/>
          <w:iCs/>
          <w:lang w:val="en-GB"/>
        </w:rPr>
        <w:t>(b)</w:t>
      </w:r>
      <w:r w:rsidR="007C540A">
        <w:rPr>
          <w:lang w:val="en-GB"/>
        </w:rPr>
        <w:t>, dealing with default judgments</w:t>
      </w:r>
      <w:r w:rsidR="00E20388">
        <w:rPr>
          <w:lang w:val="en-GB"/>
        </w:rPr>
        <w:t>, and is accordingly inapplicable</w:t>
      </w:r>
      <w:r w:rsidR="007C540A">
        <w:rPr>
          <w:lang w:val="en-GB"/>
        </w:rPr>
        <w:t>.</w:t>
      </w:r>
      <w:r w:rsidR="00E368F5">
        <w:rPr>
          <w:rStyle w:val="FootnoteReference"/>
          <w:lang w:val="en-GB"/>
        </w:rPr>
        <w:footnoteReference w:id="56"/>
      </w:r>
      <w:r w:rsidR="007C540A">
        <w:rPr>
          <w:lang w:val="en-GB"/>
        </w:rPr>
        <w:t xml:space="preserve"> </w:t>
      </w:r>
      <w:r w:rsidR="00183B59">
        <w:rPr>
          <w:lang w:val="en-GB"/>
        </w:rPr>
        <w:t xml:space="preserve">In addition, that decision follows </w:t>
      </w:r>
      <w:r w:rsidR="00183B59">
        <w:rPr>
          <w:i/>
          <w:iCs/>
          <w:lang w:val="en-GB"/>
        </w:rPr>
        <w:t>Moraitis</w:t>
      </w:r>
      <w:r w:rsidR="007D1DEB">
        <w:rPr>
          <w:lang w:val="en-GB"/>
        </w:rPr>
        <w:t xml:space="preserve">, which </w:t>
      </w:r>
      <w:r w:rsidR="00F271FB">
        <w:rPr>
          <w:lang w:val="en-GB"/>
        </w:rPr>
        <w:t>form</w:t>
      </w:r>
      <w:r w:rsidR="004C0860">
        <w:rPr>
          <w:lang w:val="en-GB"/>
        </w:rPr>
        <w:t>s</w:t>
      </w:r>
      <w:r w:rsidR="007D1DEB">
        <w:rPr>
          <w:lang w:val="en-GB"/>
        </w:rPr>
        <w:t xml:space="preserve"> the basis for the approach adopted.</w:t>
      </w:r>
      <w:r w:rsidR="007D1DEB">
        <w:rPr>
          <w:rStyle w:val="FootnoteReference"/>
          <w:lang w:val="en-GB"/>
        </w:rPr>
        <w:footnoteReference w:id="57"/>
      </w:r>
      <w:r w:rsidR="001E056F">
        <w:rPr>
          <w:lang w:val="en-GB"/>
        </w:rPr>
        <w:t xml:space="preserve"> It</w:t>
      </w:r>
      <w:r w:rsidR="00B212BF">
        <w:rPr>
          <w:lang w:val="en-GB"/>
        </w:rPr>
        <w:t>s</w:t>
      </w:r>
      <w:r w:rsidR="00183B59">
        <w:rPr>
          <w:lang w:val="en-GB"/>
        </w:rPr>
        <w:t xml:space="preserve"> focus</w:t>
      </w:r>
      <w:r w:rsidR="00B212BF">
        <w:rPr>
          <w:lang w:val="en-GB"/>
        </w:rPr>
        <w:t xml:space="preserve"> is</w:t>
      </w:r>
      <w:r w:rsidR="00183B59">
        <w:rPr>
          <w:lang w:val="en-GB"/>
        </w:rPr>
        <w:t xml:space="preserve"> on a principle pertaining to lack of authority, again distinguishing it from the present matter.</w:t>
      </w:r>
    </w:p>
    <w:p w14:paraId="35EF6F2A" w14:textId="77777777" w:rsidR="005C75C8" w:rsidRPr="005C75C8" w:rsidRDefault="005C75C8" w:rsidP="005C75C8">
      <w:pPr>
        <w:pStyle w:val="ListParagraph"/>
        <w:rPr>
          <w:lang w:val="en-GB"/>
        </w:rPr>
      </w:pPr>
    </w:p>
    <w:p w14:paraId="3D887DDE" w14:textId="4036E511" w:rsidR="00190B94" w:rsidRPr="00907BFB" w:rsidRDefault="007274FD" w:rsidP="004478F5">
      <w:pPr>
        <w:pStyle w:val="ListParagraph"/>
        <w:numPr>
          <w:ilvl w:val="0"/>
          <w:numId w:val="16"/>
        </w:numPr>
        <w:autoSpaceDE w:val="0"/>
        <w:autoSpaceDN w:val="0"/>
        <w:adjustRightInd w:val="0"/>
        <w:ind w:left="142" w:hanging="142"/>
        <w:jc w:val="both"/>
        <w:rPr>
          <w:lang w:val="en-GB"/>
        </w:rPr>
      </w:pPr>
      <w:r>
        <w:rPr>
          <w:lang w:val="en-GB"/>
        </w:rPr>
        <w:t xml:space="preserve">The issue that remains is whether it is </w:t>
      </w:r>
      <w:r w:rsidR="00A83D81">
        <w:rPr>
          <w:lang w:val="en-GB"/>
        </w:rPr>
        <w:t xml:space="preserve">nevertheless </w:t>
      </w:r>
      <w:r>
        <w:rPr>
          <w:lang w:val="en-GB"/>
        </w:rPr>
        <w:t xml:space="preserve">in the ‘interests of justice’ to grant the relief sought. </w:t>
      </w:r>
      <w:r w:rsidR="00436CCD">
        <w:rPr>
          <w:lang w:val="en-GB"/>
        </w:rPr>
        <w:t xml:space="preserve">The applicant </w:t>
      </w:r>
      <w:r w:rsidR="00F271FB">
        <w:rPr>
          <w:lang w:val="en-GB"/>
        </w:rPr>
        <w:t>argued</w:t>
      </w:r>
      <w:r w:rsidR="00436CCD">
        <w:rPr>
          <w:lang w:val="en-GB"/>
        </w:rPr>
        <w:t xml:space="preserve"> that the settlement agreement made an order of court is ‘morally reprehensible’ so that the court must come to its assistance. </w:t>
      </w:r>
      <w:r w:rsidR="00320E9C">
        <w:rPr>
          <w:lang w:val="en-GB"/>
        </w:rPr>
        <w:t xml:space="preserve">It was, so the argument goes, unconscionable for the respondent and Marais not to have informed the applicant of her right to claim in terms of the accrual calculation. </w:t>
      </w:r>
      <w:r w:rsidRPr="007274FD">
        <w:rPr>
          <w:i/>
          <w:iCs/>
          <w:lang w:val="en-GB"/>
        </w:rPr>
        <w:t>De Wet</w:t>
      </w:r>
      <w:r w:rsidR="00990804">
        <w:rPr>
          <w:lang w:val="en-GB"/>
        </w:rPr>
        <w:t xml:space="preserve">, referred to by Erasmus J in </w:t>
      </w:r>
      <w:r w:rsidR="00F27E08">
        <w:rPr>
          <w:i/>
          <w:iCs/>
          <w:lang w:val="en-GB"/>
        </w:rPr>
        <w:t>Bakoven</w:t>
      </w:r>
      <w:r w:rsidR="00F27E08">
        <w:rPr>
          <w:lang w:val="en-GB"/>
        </w:rPr>
        <w:t>,</w:t>
      </w:r>
      <w:r w:rsidRPr="007274FD">
        <w:rPr>
          <w:lang w:val="en-GB"/>
        </w:rPr>
        <w:t xml:space="preserve"> is authority for the </w:t>
      </w:r>
      <w:r w:rsidR="00241ABA">
        <w:rPr>
          <w:lang w:val="en-GB"/>
        </w:rPr>
        <w:t>proposition</w:t>
      </w:r>
      <w:r w:rsidRPr="007274FD">
        <w:rPr>
          <w:lang w:val="en-GB"/>
        </w:rPr>
        <w:t xml:space="preserve"> that there may be other circumstances, based on justice and fairness, that</w:t>
      </w:r>
      <w:r w:rsidR="00241ABA">
        <w:rPr>
          <w:lang w:val="en-GB"/>
        </w:rPr>
        <w:t xml:space="preserve"> may</w:t>
      </w:r>
      <w:r w:rsidRPr="007274FD">
        <w:rPr>
          <w:lang w:val="en-GB"/>
        </w:rPr>
        <w:t xml:space="preserve"> justify rescission.</w:t>
      </w:r>
      <w:r>
        <w:rPr>
          <w:rStyle w:val="FootnoteReference"/>
          <w:lang w:val="en-GB"/>
        </w:rPr>
        <w:footnoteReference w:id="58"/>
      </w:r>
      <w:r w:rsidRPr="007274FD">
        <w:rPr>
          <w:lang w:val="en-GB"/>
        </w:rPr>
        <w:t xml:space="preserve"> </w:t>
      </w:r>
      <w:r w:rsidR="00DE0C8F">
        <w:rPr>
          <w:lang w:val="en-GB"/>
        </w:rPr>
        <w:t xml:space="preserve">As </w:t>
      </w:r>
      <w:r w:rsidR="00241ABA">
        <w:rPr>
          <w:lang w:val="en-GB"/>
        </w:rPr>
        <w:t>I have said</w:t>
      </w:r>
      <w:r w:rsidR="00DE0C8F">
        <w:rPr>
          <w:lang w:val="en-GB"/>
        </w:rPr>
        <w:t>, t</w:t>
      </w:r>
      <w:r w:rsidRPr="007274FD">
        <w:rPr>
          <w:lang w:val="en-GB"/>
        </w:rPr>
        <w:t>hat authority emerged in case</w:t>
      </w:r>
      <w:r w:rsidR="00241ABA">
        <w:rPr>
          <w:lang w:val="en-GB"/>
        </w:rPr>
        <w:t>s</w:t>
      </w:r>
      <w:r w:rsidRPr="007274FD">
        <w:rPr>
          <w:lang w:val="en-GB"/>
        </w:rPr>
        <w:t xml:space="preserve"> of a  default</w:t>
      </w:r>
      <w:r w:rsidR="00241ABA">
        <w:rPr>
          <w:lang w:val="en-GB"/>
        </w:rPr>
        <w:t xml:space="preserve"> judgement</w:t>
      </w:r>
      <w:r w:rsidRPr="007274FD">
        <w:rPr>
          <w:lang w:val="en-GB"/>
        </w:rPr>
        <w:t xml:space="preserve">. </w:t>
      </w:r>
      <w:r w:rsidR="00190B94">
        <w:rPr>
          <w:lang w:val="en-GB"/>
        </w:rPr>
        <w:t xml:space="preserve">I am alive to the SCA decision in </w:t>
      </w:r>
      <w:r w:rsidR="00190B94">
        <w:rPr>
          <w:i/>
          <w:lang w:val="en-GB"/>
        </w:rPr>
        <w:t>ST</w:t>
      </w:r>
      <w:r w:rsidR="00190B94" w:rsidRPr="00907BFB">
        <w:rPr>
          <w:rStyle w:val="FootnoteReference"/>
          <w:iCs/>
          <w:lang w:val="en-GB"/>
        </w:rPr>
        <w:footnoteReference w:id="59"/>
      </w:r>
      <w:r w:rsidR="00190B94">
        <w:rPr>
          <w:iCs/>
          <w:lang w:val="en-GB"/>
        </w:rPr>
        <w:t xml:space="preserve"> dealing with the unenforceability of a waiver of maintenance, the majority holding that the waiver clause in question offended legal policy in the form of s 7 of the Divorce Act, 1979.</w:t>
      </w:r>
      <w:r w:rsidR="002C3C03">
        <w:rPr>
          <w:rStyle w:val="FootnoteReference"/>
          <w:iCs/>
          <w:lang w:val="en-GB"/>
        </w:rPr>
        <w:footnoteReference w:id="60"/>
      </w:r>
      <w:r w:rsidR="00190B94">
        <w:rPr>
          <w:i/>
          <w:lang w:val="en-GB"/>
        </w:rPr>
        <w:t xml:space="preserve"> </w:t>
      </w:r>
    </w:p>
    <w:p w14:paraId="38517ECC" w14:textId="77777777" w:rsidR="00190B94" w:rsidRPr="00190B94" w:rsidRDefault="00190B94" w:rsidP="00907BFB">
      <w:pPr>
        <w:pStyle w:val="ListParagraph"/>
        <w:rPr>
          <w:lang w:val="en-GB"/>
        </w:rPr>
      </w:pPr>
    </w:p>
    <w:p w14:paraId="297A2716" w14:textId="77777777" w:rsidR="007274FD" w:rsidRPr="007274FD" w:rsidRDefault="00C2137F" w:rsidP="004478F5">
      <w:pPr>
        <w:pStyle w:val="ListParagraph"/>
        <w:numPr>
          <w:ilvl w:val="0"/>
          <w:numId w:val="16"/>
        </w:numPr>
        <w:autoSpaceDE w:val="0"/>
        <w:autoSpaceDN w:val="0"/>
        <w:adjustRightInd w:val="0"/>
        <w:ind w:left="142" w:hanging="142"/>
        <w:jc w:val="both"/>
        <w:rPr>
          <w:lang w:val="en-GB"/>
        </w:rPr>
      </w:pPr>
      <w:r>
        <w:rPr>
          <w:lang w:val="en-GB"/>
        </w:rPr>
        <w:t>But that is a different matter altogether</w:t>
      </w:r>
      <w:r w:rsidR="003C4059">
        <w:rPr>
          <w:lang w:val="en-GB"/>
        </w:rPr>
        <w:t>, pertaining to a prenuptial waiver of the right to maintenance upon dissolution of marriage</w:t>
      </w:r>
      <w:r>
        <w:rPr>
          <w:lang w:val="en-GB"/>
        </w:rPr>
        <w:t>.</w:t>
      </w:r>
      <w:r w:rsidR="008902FC">
        <w:rPr>
          <w:rStyle w:val="FootnoteReference"/>
          <w:lang w:val="en-GB"/>
        </w:rPr>
        <w:footnoteReference w:id="61"/>
      </w:r>
      <w:r>
        <w:rPr>
          <w:lang w:val="en-GB"/>
        </w:rPr>
        <w:t xml:space="preserve"> More pertinently, t</w:t>
      </w:r>
      <w:r w:rsidR="007274FD" w:rsidRPr="007274FD">
        <w:rPr>
          <w:lang w:val="en-GB"/>
        </w:rPr>
        <w:t>he SCA has expressed itself clearly on the limits of rescission based on the ‘interests of justice’ in the context of consent orders:</w:t>
      </w:r>
      <w:r w:rsidR="007274FD">
        <w:rPr>
          <w:rStyle w:val="FootnoteReference"/>
          <w:lang w:val="en-GB"/>
        </w:rPr>
        <w:footnoteReference w:id="62"/>
      </w:r>
      <w:r w:rsidR="007274FD" w:rsidRPr="007274FD">
        <w:rPr>
          <w:lang w:val="en-GB"/>
        </w:rPr>
        <w:t xml:space="preserve"> </w:t>
      </w:r>
    </w:p>
    <w:p w14:paraId="4E3A3BB3" w14:textId="77777777" w:rsidR="007274FD" w:rsidRPr="002264BE" w:rsidRDefault="007274FD" w:rsidP="004478F5">
      <w:pPr>
        <w:autoSpaceDE w:val="0"/>
        <w:autoSpaceDN w:val="0"/>
        <w:adjustRightInd w:val="0"/>
        <w:ind w:left="142"/>
        <w:jc w:val="both"/>
        <w:rPr>
          <w:sz w:val="22"/>
          <w:szCs w:val="22"/>
          <w:lang w:val="en-GB"/>
        </w:rPr>
      </w:pPr>
      <w:r w:rsidRPr="002264BE">
        <w:rPr>
          <w:sz w:val="22"/>
          <w:szCs w:val="22"/>
          <w:lang w:val="en-GB"/>
        </w:rPr>
        <w:t xml:space="preserve">‘Although a High Court has inherent discretion, it can never exercise it against recognised principles of substantive law. Our constitutional dispensation does not afford courts a carte blanche to ignore substantive law and grant orders couched as being in the “interests of justice”. Moreover, certainty and finality are key elements of justice. Parties to a compromise agreement accept an element of risk that their bargain might not be as advantageous to them as litigation might have been. This element of risk is inherent in the very concept of compromise. It, however, does not afford parties the right to go back on the bargain for unilateral mistakes. Settlement agreements have as their underlying foundation the benefit of orderly and effective administration of justice. Courts cannot allow for consent orders to be set aside for reasons not sanctioned by applicable legal principles.’ </w:t>
      </w:r>
    </w:p>
    <w:p w14:paraId="2B113186" w14:textId="77777777" w:rsidR="007274FD" w:rsidRPr="002264BE" w:rsidRDefault="007274FD" w:rsidP="007274FD">
      <w:pPr>
        <w:pStyle w:val="ListParagraph"/>
        <w:rPr>
          <w:lang w:val="en-GB"/>
        </w:rPr>
      </w:pPr>
    </w:p>
    <w:p w14:paraId="4DA59FF2" w14:textId="77777777" w:rsidR="007274FD" w:rsidRDefault="007274FD" w:rsidP="004478F5">
      <w:pPr>
        <w:pStyle w:val="ListParagraph"/>
        <w:numPr>
          <w:ilvl w:val="0"/>
          <w:numId w:val="16"/>
        </w:numPr>
        <w:autoSpaceDE w:val="0"/>
        <w:autoSpaceDN w:val="0"/>
        <w:adjustRightInd w:val="0"/>
        <w:ind w:left="142" w:hanging="142"/>
        <w:jc w:val="both"/>
        <w:rPr>
          <w:lang w:val="en-GB"/>
        </w:rPr>
      </w:pPr>
      <w:r>
        <w:rPr>
          <w:lang w:val="en-GB"/>
        </w:rPr>
        <w:t>Similar sentiments have been expressed in this division:</w:t>
      </w:r>
      <w:r>
        <w:rPr>
          <w:rStyle w:val="FootnoteReference"/>
          <w:lang w:val="en-GB"/>
        </w:rPr>
        <w:footnoteReference w:id="63"/>
      </w:r>
    </w:p>
    <w:p w14:paraId="65F5DE94" w14:textId="77777777" w:rsidR="007274FD" w:rsidRDefault="007274FD" w:rsidP="004478F5">
      <w:pPr>
        <w:pStyle w:val="ListParagraph"/>
        <w:autoSpaceDE w:val="0"/>
        <w:autoSpaceDN w:val="0"/>
        <w:adjustRightInd w:val="0"/>
        <w:ind w:left="142"/>
        <w:jc w:val="both"/>
        <w:rPr>
          <w:sz w:val="22"/>
          <w:szCs w:val="22"/>
          <w:lang w:val="en-GB"/>
        </w:rPr>
      </w:pPr>
      <w:r>
        <w:rPr>
          <w:sz w:val="22"/>
          <w:szCs w:val="22"/>
          <w:lang w:val="en-GB"/>
        </w:rPr>
        <w:t xml:space="preserve">‘I do not believe that this is what the court intended to convey [that a consent judgment may be set aside simply on a consideration of whether it is in the interests of justice to do so]. This proposition is too widely stated and there is no authority for it. Although the remedy of </w:t>
      </w:r>
      <w:r>
        <w:rPr>
          <w:i/>
          <w:iCs/>
          <w:sz w:val="22"/>
          <w:szCs w:val="22"/>
          <w:lang w:val="en-GB"/>
        </w:rPr>
        <w:t>restitutio</w:t>
      </w:r>
      <w:r>
        <w:rPr>
          <w:sz w:val="22"/>
          <w:szCs w:val="22"/>
          <w:lang w:val="en-GB"/>
        </w:rPr>
        <w:t xml:space="preserve"> is founded on considerations of equity, in that it comes to the assistance of a party to a contract or other juristic act where the law does not provide for any appropriate remedy, it has retained its character as an extraordinary remedy that is only available on limited grounds. A ground that is recognised in law to be relevant (</w:t>
      </w:r>
      <w:r>
        <w:rPr>
          <w:i/>
          <w:iCs/>
          <w:sz w:val="22"/>
          <w:szCs w:val="22"/>
          <w:lang w:val="en-GB"/>
        </w:rPr>
        <w:t>iusta causa</w:t>
      </w:r>
      <w:r>
        <w:rPr>
          <w:sz w:val="22"/>
          <w:szCs w:val="22"/>
          <w:lang w:val="en-GB"/>
        </w:rPr>
        <w:t xml:space="preserve">) is an essential element that must exist before </w:t>
      </w:r>
      <w:r>
        <w:rPr>
          <w:i/>
          <w:iCs/>
          <w:sz w:val="22"/>
          <w:szCs w:val="22"/>
          <w:lang w:val="en-GB"/>
        </w:rPr>
        <w:t>restitutio</w:t>
      </w:r>
      <w:r>
        <w:rPr>
          <w:sz w:val="22"/>
          <w:szCs w:val="22"/>
          <w:lang w:val="en-GB"/>
        </w:rPr>
        <w:t xml:space="preserve"> is granted. Huber says, for example, that the fifth ground, the so-called “general clause”, does not give the court an unlimited power to grant restitution for all kinds of reasons “so that under the cloak of this general equity restitution could be granted for a reason which the laws exclude and hold insufficient”. For this reason a display of “idle threats” that may have induced a compromise cannot establish a just cause for </w:t>
      </w:r>
      <w:r>
        <w:rPr>
          <w:i/>
          <w:iCs/>
          <w:sz w:val="22"/>
          <w:szCs w:val="22"/>
          <w:lang w:val="en-GB"/>
        </w:rPr>
        <w:t>restitutio</w:t>
      </w:r>
      <w:r>
        <w:rPr>
          <w:sz w:val="22"/>
          <w:szCs w:val="22"/>
          <w:lang w:val="en-GB"/>
        </w:rPr>
        <w:t xml:space="preserve"> because it is “rejected by the laws”.</w:t>
      </w:r>
      <w:r w:rsidR="00242E37">
        <w:rPr>
          <w:sz w:val="22"/>
          <w:szCs w:val="22"/>
          <w:lang w:val="en-GB"/>
        </w:rPr>
        <w:t>’</w:t>
      </w:r>
    </w:p>
    <w:p w14:paraId="2468C18A" w14:textId="77777777" w:rsidR="00C23D1D" w:rsidRDefault="00C23D1D" w:rsidP="00C23D1D">
      <w:pPr>
        <w:autoSpaceDE w:val="0"/>
        <w:autoSpaceDN w:val="0"/>
        <w:adjustRightInd w:val="0"/>
        <w:jc w:val="both"/>
        <w:rPr>
          <w:sz w:val="22"/>
          <w:szCs w:val="22"/>
          <w:lang w:val="en-GB"/>
        </w:rPr>
      </w:pPr>
    </w:p>
    <w:p w14:paraId="61D58294" w14:textId="408EF3F0" w:rsidR="00C23D1D" w:rsidRDefault="00241ABA" w:rsidP="004478F5">
      <w:pPr>
        <w:pStyle w:val="ListParagraph"/>
        <w:numPr>
          <w:ilvl w:val="0"/>
          <w:numId w:val="16"/>
        </w:numPr>
        <w:autoSpaceDE w:val="0"/>
        <w:autoSpaceDN w:val="0"/>
        <w:adjustRightInd w:val="0"/>
        <w:ind w:left="142" w:hanging="142"/>
        <w:jc w:val="both"/>
        <w:rPr>
          <w:lang w:val="en-GB"/>
        </w:rPr>
      </w:pPr>
      <w:r>
        <w:rPr>
          <w:lang w:val="en-GB"/>
        </w:rPr>
        <w:t>Accordingly,</w:t>
      </w:r>
      <w:r w:rsidR="004A3BEC" w:rsidRPr="00242E37">
        <w:rPr>
          <w:lang w:val="en-GB"/>
        </w:rPr>
        <w:t xml:space="preserve"> I am of the view that there is no basis for granting the relief claimed ‘in the interests of justice’ in this instance. </w:t>
      </w:r>
      <w:r w:rsidR="00743E88" w:rsidRPr="00242E37">
        <w:rPr>
          <w:lang w:val="en-GB"/>
        </w:rPr>
        <w:t>Even assuming that a consent order may be rescinded</w:t>
      </w:r>
      <w:r w:rsidR="00C75863" w:rsidRPr="00242E37">
        <w:rPr>
          <w:lang w:val="en-GB"/>
        </w:rPr>
        <w:t xml:space="preserve"> on this basis, </w:t>
      </w:r>
      <w:r w:rsidR="0041360C" w:rsidRPr="00242E37">
        <w:rPr>
          <w:lang w:val="en-GB"/>
        </w:rPr>
        <w:t>the facts of this matter do not warrant this outcome.</w:t>
      </w:r>
      <w:r w:rsidR="00242E37" w:rsidRPr="00242E37">
        <w:rPr>
          <w:lang w:val="en-GB"/>
        </w:rPr>
        <w:t xml:space="preserve"> </w:t>
      </w:r>
      <w:r w:rsidR="0003740D">
        <w:rPr>
          <w:lang w:val="en-GB"/>
        </w:rPr>
        <w:t>The alleged unconscionable conduct on the part of the respondent and Marais fa</w:t>
      </w:r>
      <w:r>
        <w:rPr>
          <w:lang w:val="en-GB"/>
        </w:rPr>
        <w:t>il</w:t>
      </w:r>
      <w:r w:rsidR="0003740D">
        <w:rPr>
          <w:lang w:val="en-GB"/>
        </w:rPr>
        <w:t xml:space="preserve">s on the application of </w:t>
      </w:r>
      <w:r w:rsidR="0003740D">
        <w:rPr>
          <w:i/>
          <w:iCs/>
          <w:lang w:val="en-GB"/>
        </w:rPr>
        <w:t>Plascon-Evans</w:t>
      </w:r>
      <w:r w:rsidR="0003740D">
        <w:rPr>
          <w:lang w:val="en-GB"/>
        </w:rPr>
        <w:t xml:space="preserve">. </w:t>
      </w:r>
      <w:r w:rsidR="00211BA6">
        <w:rPr>
          <w:lang w:val="en-GB"/>
        </w:rPr>
        <w:t>The meaning of the accrual system was explained to the applicant</w:t>
      </w:r>
      <w:r>
        <w:rPr>
          <w:lang w:val="en-GB"/>
        </w:rPr>
        <w:t xml:space="preserve"> and s</w:t>
      </w:r>
      <w:r w:rsidR="00211BA6">
        <w:rPr>
          <w:lang w:val="en-GB"/>
        </w:rPr>
        <w:t xml:space="preserve">he knew that there were assets in the respondent’s name. </w:t>
      </w:r>
      <w:r w:rsidR="00866811">
        <w:rPr>
          <w:lang w:val="en-GB"/>
        </w:rPr>
        <w:t>She</w:t>
      </w:r>
      <w:r w:rsidR="009A3E19">
        <w:rPr>
          <w:lang w:val="en-GB"/>
        </w:rPr>
        <w:t xml:space="preserve"> </w:t>
      </w:r>
      <w:r w:rsidR="00866811">
        <w:rPr>
          <w:lang w:val="en-GB"/>
        </w:rPr>
        <w:t xml:space="preserve">understood that she could obtain </w:t>
      </w:r>
      <w:r w:rsidR="00FC02F0">
        <w:rPr>
          <w:lang w:val="en-GB"/>
        </w:rPr>
        <w:t>independent</w:t>
      </w:r>
      <w:r w:rsidR="00866811">
        <w:rPr>
          <w:lang w:val="en-GB"/>
        </w:rPr>
        <w:t xml:space="preserve"> legal advice</w:t>
      </w:r>
      <w:r w:rsidR="00891D44">
        <w:rPr>
          <w:lang w:val="en-GB"/>
        </w:rPr>
        <w:t xml:space="preserve"> and, when matters were stalling,</w:t>
      </w:r>
      <w:r w:rsidR="00866811">
        <w:rPr>
          <w:lang w:val="en-GB"/>
        </w:rPr>
        <w:t xml:space="preserve"> indicated that she might do so. </w:t>
      </w:r>
      <w:r w:rsidR="00211BA6">
        <w:rPr>
          <w:lang w:val="en-GB"/>
        </w:rPr>
        <w:t>She nevertheless decided to proceed on the basis of an unopposed divorce</w:t>
      </w:r>
      <w:r w:rsidR="00E765EF">
        <w:rPr>
          <w:lang w:val="en-GB"/>
        </w:rPr>
        <w:t>, sharing the same legal representative as her husband,</w:t>
      </w:r>
      <w:r w:rsidR="00211BA6">
        <w:rPr>
          <w:lang w:val="en-GB"/>
        </w:rPr>
        <w:t xml:space="preserve"> </w:t>
      </w:r>
      <w:r w:rsidR="003C6155">
        <w:rPr>
          <w:lang w:val="en-GB"/>
        </w:rPr>
        <w:t xml:space="preserve">and </w:t>
      </w:r>
      <w:r w:rsidR="00211BA6">
        <w:rPr>
          <w:lang w:val="en-GB"/>
        </w:rPr>
        <w:t xml:space="preserve">based on a settlement agreement that she signed freely and voluntarily. </w:t>
      </w:r>
      <w:r w:rsidR="00864B9F">
        <w:rPr>
          <w:lang w:val="en-GB"/>
        </w:rPr>
        <w:t>There is nothing inherently repugnant about the arrangement concluded and, on my reading, it is not contrary to public policy.</w:t>
      </w:r>
      <w:r w:rsidR="00B020C3">
        <w:rPr>
          <w:lang w:val="en-GB"/>
        </w:rPr>
        <w:t xml:space="preserve"> </w:t>
      </w:r>
      <w:r w:rsidR="00242E37" w:rsidRPr="00242E37">
        <w:rPr>
          <w:lang w:val="en-GB"/>
        </w:rPr>
        <w:t xml:space="preserve">On the approach I take to the matter, the various authorities cited in support of setting aside the settlement agreement based on unfairness or a contravention of public policy take the matter no further. </w:t>
      </w:r>
      <w:r w:rsidR="003B0A0E">
        <w:rPr>
          <w:lang w:val="en-GB"/>
        </w:rPr>
        <w:t xml:space="preserve">This is because, as confirmed by </w:t>
      </w:r>
      <w:r w:rsidR="003B0A0E">
        <w:rPr>
          <w:i/>
          <w:iCs/>
          <w:lang w:val="en-GB"/>
        </w:rPr>
        <w:t>Moraitis</w:t>
      </w:r>
      <w:r w:rsidR="003B0A0E">
        <w:rPr>
          <w:lang w:val="en-GB"/>
        </w:rPr>
        <w:t>, unless and until the judgment has been set aside, there can be no question of attacking the compromise agreement. As there are no grounds upon which to seek rescission (or variation) of the court order</w:t>
      </w:r>
      <w:r w:rsidR="00B020C3">
        <w:rPr>
          <w:lang w:val="en-GB"/>
        </w:rPr>
        <w:t xml:space="preserve"> on these facts</w:t>
      </w:r>
      <w:r w:rsidR="003B0A0E">
        <w:rPr>
          <w:lang w:val="en-GB"/>
        </w:rPr>
        <w:t>, there can be no issue regarding the rescission of the settlement agreement</w:t>
      </w:r>
      <w:r w:rsidR="00396851">
        <w:rPr>
          <w:lang w:val="en-GB"/>
        </w:rPr>
        <w:t>.</w:t>
      </w:r>
      <w:r w:rsidR="00D00C83">
        <w:rPr>
          <w:rStyle w:val="FootnoteReference"/>
          <w:lang w:val="en-GB"/>
        </w:rPr>
        <w:footnoteReference w:id="64"/>
      </w:r>
      <w:r w:rsidR="00396851">
        <w:rPr>
          <w:lang w:val="en-GB"/>
        </w:rPr>
        <w:t xml:space="preserve"> </w:t>
      </w:r>
    </w:p>
    <w:p w14:paraId="56FF517D" w14:textId="77777777" w:rsidR="00D51E3E" w:rsidRDefault="00D51E3E" w:rsidP="00D51E3E">
      <w:pPr>
        <w:autoSpaceDE w:val="0"/>
        <w:autoSpaceDN w:val="0"/>
        <w:adjustRightInd w:val="0"/>
        <w:jc w:val="both"/>
        <w:rPr>
          <w:lang w:val="en-GB"/>
        </w:rPr>
      </w:pPr>
    </w:p>
    <w:p w14:paraId="1BE60D91" w14:textId="77777777" w:rsidR="00D51E3E" w:rsidRDefault="00D51E3E" w:rsidP="00D51E3E">
      <w:pPr>
        <w:autoSpaceDE w:val="0"/>
        <w:autoSpaceDN w:val="0"/>
        <w:adjustRightInd w:val="0"/>
        <w:jc w:val="both"/>
        <w:rPr>
          <w:b/>
          <w:bCs/>
          <w:lang w:val="en-GB"/>
        </w:rPr>
      </w:pPr>
      <w:r>
        <w:rPr>
          <w:b/>
          <w:bCs/>
          <w:lang w:val="en-GB"/>
        </w:rPr>
        <w:t>Remaining issues</w:t>
      </w:r>
    </w:p>
    <w:p w14:paraId="63A32F64" w14:textId="77777777" w:rsidR="00D51E3E" w:rsidRPr="00D51E3E" w:rsidRDefault="00D51E3E" w:rsidP="00D51E3E">
      <w:pPr>
        <w:autoSpaceDE w:val="0"/>
        <w:autoSpaceDN w:val="0"/>
        <w:adjustRightInd w:val="0"/>
        <w:jc w:val="both"/>
        <w:rPr>
          <w:b/>
          <w:bCs/>
          <w:lang w:val="en-GB"/>
        </w:rPr>
      </w:pPr>
    </w:p>
    <w:p w14:paraId="065E069E" w14:textId="743FE4A1" w:rsidR="00197118" w:rsidRDefault="00197118" w:rsidP="004478F5">
      <w:pPr>
        <w:pStyle w:val="ListParagraph"/>
        <w:numPr>
          <w:ilvl w:val="0"/>
          <w:numId w:val="16"/>
        </w:numPr>
        <w:autoSpaceDE w:val="0"/>
        <w:autoSpaceDN w:val="0"/>
        <w:adjustRightInd w:val="0"/>
        <w:ind w:left="142" w:hanging="142"/>
        <w:jc w:val="both"/>
        <w:rPr>
          <w:lang w:val="en-GB"/>
        </w:rPr>
      </w:pPr>
      <w:r>
        <w:rPr>
          <w:lang w:val="en-GB"/>
        </w:rPr>
        <w:t xml:space="preserve">The respondent admitted offering to pay the applicant R100 000 </w:t>
      </w:r>
      <w:r w:rsidR="00962726">
        <w:rPr>
          <w:lang w:val="en-GB"/>
        </w:rPr>
        <w:t xml:space="preserve">by </w:t>
      </w:r>
      <w:r>
        <w:rPr>
          <w:lang w:val="en-GB"/>
        </w:rPr>
        <w:t xml:space="preserve">paying her expenses and debts. Applying </w:t>
      </w:r>
      <w:r>
        <w:rPr>
          <w:i/>
          <w:iCs/>
          <w:lang w:val="en-GB"/>
        </w:rPr>
        <w:t>Plascon-Evans</w:t>
      </w:r>
      <w:r>
        <w:rPr>
          <w:lang w:val="en-GB"/>
        </w:rPr>
        <w:t>, the offer to pay the applicant R400 000 was tied to a possible future sale of his farm, and not to receipt of an insurance payment for damages caused to a guesthouse on the farm.</w:t>
      </w:r>
      <w:r w:rsidR="00244E7C">
        <w:rPr>
          <w:lang w:val="en-GB"/>
        </w:rPr>
        <w:t xml:space="preserve"> A</w:t>
      </w:r>
      <w:r w:rsidR="00241ABA">
        <w:rPr>
          <w:lang w:val="en-GB"/>
        </w:rPr>
        <w:t>ccordingly</w:t>
      </w:r>
      <w:r w:rsidR="00244E7C">
        <w:rPr>
          <w:lang w:val="en-GB"/>
        </w:rPr>
        <w:t>, there is no basis for granting the applicant the alternative relief claimed</w:t>
      </w:r>
      <w:r w:rsidR="00472166">
        <w:rPr>
          <w:lang w:val="en-GB"/>
        </w:rPr>
        <w:t>.</w:t>
      </w:r>
    </w:p>
    <w:p w14:paraId="60309577" w14:textId="77777777" w:rsidR="00197118" w:rsidRDefault="00197118" w:rsidP="00197118">
      <w:pPr>
        <w:pStyle w:val="ListParagraph"/>
        <w:autoSpaceDE w:val="0"/>
        <w:autoSpaceDN w:val="0"/>
        <w:adjustRightInd w:val="0"/>
        <w:jc w:val="both"/>
        <w:rPr>
          <w:lang w:val="en-GB"/>
        </w:rPr>
      </w:pPr>
    </w:p>
    <w:p w14:paraId="42E2EDAB" w14:textId="77777777" w:rsidR="004D0524" w:rsidRDefault="004D0524" w:rsidP="004478F5">
      <w:pPr>
        <w:pStyle w:val="ListParagraph"/>
        <w:numPr>
          <w:ilvl w:val="0"/>
          <w:numId w:val="16"/>
        </w:numPr>
        <w:autoSpaceDE w:val="0"/>
        <w:autoSpaceDN w:val="0"/>
        <w:adjustRightInd w:val="0"/>
        <w:ind w:left="142" w:hanging="142"/>
        <w:jc w:val="both"/>
        <w:rPr>
          <w:lang w:val="en-GB"/>
        </w:rPr>
      </w:pPr>
      <w:r w:rsidRPr="004D0524">
        <w:rPr>
          <w:lang w:val="en-GB"/>
        </w:rPr>
        <w:t xml:space="preserve">As regards the delay in bringing the application for rescission, it is difficult to </w:t>
      </w:r>
      <w:r w:rsidR="002E0019">
        <w:rPr>
          <w:lang w:val="en-GB"/>
        </w:rPr>
        <w:t>contemplate a scenario</w:t>
      </w:r>
      <w:r w:rsidRPr="004D0524">
        <w:rPr>
          <w:lang w:val="en-GB"/>
        </w:rPr>
        <w:t xml:space="preserve"> where the setting aside of a judgment on the grounds of fraud by the successful litigant would be </w:t>
      </w:r>
      <w:r w:rsidR="002E0019">
        <w:rPr>
          <w:lang w:val="en-GB"/>
        </w:rPr>
        <w:t>refused</w:t>
      </w:r>
      <w:r w:rsidRPr="004D0524">
        <w:rPr>
          <w:lang w:val="en-GB"/>
        </w:rPr>
        <w:t xml:space="preserve"> on the basis that the application was not brought timeously. However, </w:t>
      </w:r>
      <w:r w:rsidR="002E0019">
        <w:rPr>
          <w:lang w:val="en-GB"/>
        </w:rPr>
        <w:t xml:space="preserve">following </w:t>
      </w:r>
      <w:r w:rsidR="002E0019">
        <w:rPr>
          <w:i/>
          <w:iCs/>
          <w:lang w:val="en-GB"/>
        </w:rPr>
        <w:t>Fraai Uitzicht</w:t>
      </w:r>
      <w:r w:rsidR="002E0019">
        <w:rPr>
          <w:lang w:val="en-GB"/>
        </w:rPr>
        <w:t>,</w:t>
      </w:r>
      <w:r w:rsidR="002E0019">
        <w:rPr>
          <w:i/>
          <w:iCs/>
          <w:lang w:val="en-GB"/>
        </w:rPr>
        <w:t xml:space="preserve"> </w:t>
      </w:r>
      <w:r w:rsidRPr="004D0524">
        <w:rPr>
          <w:lang w:val="en-GB"/>
        </w:rPr>
        <w:t xml:space="preserve">in light of </w:t>
      </w:r>
      <w:r w:rsidR="008B1E61">
        <w:rPr>
          <w:lang w:val="en-GB"/>
        </w:rPr>
        <w:t>the</w:t>
      </w:r>
      <w:r w:rsidRPr="004D0524">
        <w:rPr>
          <w:lang w:val="en-GB"/>
        </w:rPr>
        <w:t xml:space="preserve"> conclusion that the judgment cannot be set aside either on the grounds of fraud or </w:t>
      </w:r>
      <w:r w:rsidR="008B1E61">
        <w:rPr>
          <w:lang w:val="en-GB"/>
        </w:rPr>
        <w:t>j</w:t>
      </w:r>
      <w:r w:rsidRPr="004D0524">
        <w:rPr>
          <w:lang w:val="en-GB"/>
        </w:rPr>
        <w:t>ustus error, no finding in this regard is necessary.</w:t>
      </w:r>
      <w:r>
        <w:rPr>
          <w:rStyle w:val="FootnoteReference"/>
          <w:lang w:val="en-GB"/>
        </w:rPr>
        <w:footnoteReference w:id="65"/>
      </w:r>
    </w:p>
    <w:p w14:paraId="16C48121" w14:textId="77777777" w:rsidR="001549A2" w:rsidRDefault="001549A2" w:rsidP="001549A2">
      <w:pPr>
        <w:pStyle w:val="ListParagraph"/>
        <w:autoSpaceDE w:val="0"/>
        <w:autoSpaceDN w:val="0"/>
        <w:adjustRightInd w:val="0"/>
        <w:jc w:val="both"/>
        <w:rPr>
          <w:lang w:val="en-GB"/>
        </w:rPr>
      </w:pPr>
    </w:p>
    <w:p w14:paraId="0B9A97D2" w14:textId="77777777" w:rsidR="00D84913" w:rsidRDefault="00657261" w:rsidP="004478F5">
      <w:pPr>
        <w:pStyle w:val="ListParagraph"/>
        <w:numPr>
          <w:ilvl w:val="0"/>
          <w:numId w:val="16"/>
        </w:numPr>
        <w:autoSpaceDE w:val="0"/>
        <w:autoSpaceDN w:val="0"/>
        <w:adjustRightInd w:val="0"/>
        <w:ind w:left="142" w:hanging="142"/>
        <w:jc w:val="both"/>
        <w:rPr>
          <w:lang w:val="en-GB"/>
        </w:rPr>
      </w:pPr>
      <w:r>
        <w:rPr>
          <w:lang w:val="en-GB"/>
        </w:rPr>
        <w:t>T</w:t>
      </w:r>
      <w:r w:rsidR="00792F09">
        <w:rPr>
          <w:lang w:val="en-GB"/>
        </w:rPr>
        <w:t>he respondent persisted, during argument, only with selected aspects of an application to strike certain portions of the replying affidavit</w:t>
      </w:r>
      <w:r w:rsidR="00682983">
        <w:rPr>
          <w:lang w:val="en-GB"/>
        </w:rPr>
        <w:t>, alleging vexatious and irrelevant statements pertaining to the respondent and Marais</w:t>
      </w:r>
      <w:r w:rsidR="00792F09">
        <w:rPr>
          <w:lang w:val="en-GB"/>
        </w:rPr>
        <w:t xml:space="preserve">. </w:t>
      </w:r>
      <w:r w:rsidR="00EA5555">
        <w:rPr>
          <w:lang w:val="en-GB"/>
        </w:rPr>
        <w:t xml:space="preserve">Even interpreting the word ‘case’ as used in Uniform Rule 6(15) widely, the averments relating to Marais cannot prejudice the </w:t>
      </w:r>
      <w:r w:rsidR="003B6193">
        <w:rPr>
          <w:lang w:val="en-GB"/>
        </w:rPr>
        <w:t>respondent</w:t>
      </w:r>
      <w:r w:rsidR="00EA5555">
        <w:rPr>
          <w:lang w:val="en-GB"/>
        </w:rPr>
        <w:t xml:space="preserve"> in his case. </w:t>
      </w:r>
      <w:r w:rsidR="00792F09">
        <w:rPr>
          <w:lang w:val="en-GB"/>
        </w:rPr>
        <w:t>In my view</w:t>
      </w:r>
      <w:r w:rsidR="009274D8">
        <w:rPr>
          <w:lang w:val="en-GB"/>
        </w:rPr>
        <w:t>, the factual disputes having been resolved in favour of the respondent</w:t>
      </w:r>
      <w:r w:rsidR="00EA5555">
        <w:rPr>
          <w:lang w:val="en-GB"/>
        </w:rPr>
        <w:t xml:space="preserve"> applying </w:t>
      </w:r>
      <w:r w:rsidR="00EA5555">
        <w:rPr>
          <w:i/>
          <w:iCs/>
          <w:lang w:val="en-GB"/>
        </w:rPr>
        <w:t>Plascon-Evans</w:t>
      </w:r>
      <w:r w:rsidR="009274D8">
        <w:rPr>
          <w:lang w:val="en-GB"/>
        </w:rPr>
        <w:t>,</w:t>
      </w:r>
      <w:r w:rsidR="00792F09">
        <w:rPr>
          <w:lang w:val="en-GB"/>
        </w:rPr>
        <w:t xml:space="preserve"> there is </w:t>
      </w:r>
      <w:r w:rsidR="006F35F6">
        <w:rPr>
          <w:lang w:val="en-GB"/>
        </w:rPr>
        <w:t xml:space="preserve">also </w:t>
      </w:r>
      <w:r w:rsidR="00792F09">
        <w:rPr>
          <w:lang w:val="en-GB"/>
        </w:rPr>
        <w:t xml:space="preserve">no prejudice </w:t>
      </w:r>
      <w:r w:rsidR="00EA5555">
        <w:rPr>
          <w:lang w:val="en-GB"/>
        </w:rPr>
        <w:t>in</w:t>
      </w:r>
      <w:r w:rsidR="00792F09">
        <w:rPr>
          <w:lang w:val="en-GB"/>
        </w:rPr>
        <w:t xml:space="preserve"> </w:t>
      </w:r>
      <w:r w:rsidR="009274D8">
        <w:rPr>
          <w:lang w:val="en-GB"/>
        </w:rPr>
        <w:t xml:space="preserve">much of </w:t>
      </w:r>
      <w:r w:rsidR="00EA5555">
        <w:rPr>
          <w:lang w:val="en-GB"/>
        </w:rPr>
        <w:t xml:space="preserve">what remains if </w:t>
      </w:r>
      <w:r w:rsidR="00792F09">
        <w:rPr>
          <w:lang w:val="en-GB"/>
        </w:rPr>
        <w:t>th</w:t>
      </w:r>
      <w:r w:rsidR="00EA5555">
        <w:rPr>
          <w:lang w:val="en-GB"/>
        </w:rPr>
        <w:t>e</w:t>
      </w:r>
      <w:r w:rsidR="00792F09">
        <w:rPr>
          <w:lang w:val="en-GB"/>
        </w:rPr>
        <w:t xml:space="preserve"> application is no</w:t>
      </w:r>
      <w:r w:rsidR="00563DAE">
        <w:rPr>
          <w:lang w:val="en-GB"/>
        </w:rPr>
        <w:t xml:space="preserve">t granted. </w:t>
      </w:r>
      <w:r w:rsidR="009200F5">
        <w:rPr>
          <w:lang w:val="en-GB"/>
        </w:rPr>
        <w:t xml:space="preserve">Other than the reference to ‘blatant’ lies and untruths, in paras 20.2 and 26.2 of the replying affidavit, </w:t>
      </w:r>
      <w:r w:rsidR="002574F6">
        <w:rPr>
          <w:lang w:val="en-GB"/>
        </w:rPr>
        <w:t>the</w:t>
      </w:r>
      <w:r w:rsidR="00563DAE">
        <w:rPr>
          <w:lang w:val="en-GB"/>
        </w:rPr>
        <w:t xml:space="preserve"> application </w:t>
      </w:r>
      <w:r w:rsidR="00B834AB">
        <w:rPr>
          <w:lang w:val="en-GB"/>
        </w:rPr>
        <w:t xml:space="preserve">to strike </w:t>
      </w:r>
      <w:r w:rsidR="00563DAE">
        <w:rPr>
          <w:lang w:val="en-GB"/>
        </w:rPr>
        <w:t>must be refused.</w:t>
      </w:r>
    </w:p>
    <w:p w14:paraId="44BF1C0B" w14:textId="77777777" w:rsidR="00657261" w:rsidRPr="00657261" w:rsidRDefault="00657261" w:rsidP="00657261">
      <w:pPr>
        <w:pStyle w:val="ListParagraph"/>
        <w:rPr>
          <w:lang w:val="en-GB"/>
        </w:rPr>
      </w:pPr>
    </w:p>
    <w:p w14:paraId="72A3BA25" w14:textId="1D41B668" w:rsidR="007E379D" w:rsidRDefault="0056481A" w:rsidP="004478F5">
      <w:pPr>
        <w:pStyle w:val="ListParagraph"/>
        <w:numPr>
          <w:ilvl w:val="0"/>
          <w:numId w:val="16"/>
        </w:numPr>
        <w:autoSpaceDE w:val="0"/>
        <w:autoSpaceDN w:val="0"/>
        <w:adjustRightInd w:val="0"/>
        <w:ind w:left="142" w:hanging="142"/>
        <w:jc w:val="both"/>
        <w:rPr>
          <w:lang w:val="en-GB"/>
        </w:rPr>
      </w:pPr>
      <w:r>
        <w:rPr>
          <w:lang w:val="en-GB"/>
        </w:rPr>
        <w:t xml:space="preserve">The consequence of this judgment is that the applicant fails to set aside, rescind or vary the order. Even though she may have been entitled to obtain </w:t>
      </w:r>
      <w:r w:rsidR="007E379D">
        <w:rPr>
          <w:lang w:val="en-GB"/>
        </w:rPr>
        <w:t>a far better financial outcome had she enforced her claim for accrual prior to the divorce, the settlement agreement reached and made an order of court cannot be unravelled as claimed</w:t>
      </w:r>
      <w:r w:rsidR="008F3E3F">
        <w:rPr>
          <w:lang w:val="en-GB"/>
        </w:rPr>
        <w:t>, for the reasons given</w:t>
      </w:r>
      <w:r w:rsidR="007E379D">
        <w:rPr>
          <w:lang w:val="en-GB"/>
        </w:rPr>
        <w:t xml:space="preserve">. </w:t>
      </w:r>
      <w:r w:rsidR="00517642">
        <w:rPr>
          <w:lang w:val="en-GB"/>
        </w:rPr>
        <w:t xml:space="preserve">Unfortunate as this is for the applicant, the judgment should also serve as a salutary reminder to legal practitioners </w:t>
      </w:r>
      <w:r w:rsidR="00ED616C">
        <w:rPr>
          <w:lang w:val="en-GB"/>
        </w:rPr>
        <w:t>of</w:t>
      </w:r>
      <w:r w:rsidR="00517642">
        <w:rPr>
          <w:lang w:val="en-GB"/>
        </w:rPr>
        <w:t xml:space="preserve"> the possible dire consequences for their clients in cases where they choose </w:t>
      </w:r>
      <w:r w:rsidR="00ED616C">
        <w:rPr>
          <w:lang w:val="en-GB"/>
        </w:rPr>
        <w:t>or</w:t>
      </w:r>
      <w:r w:rsidR="00517642">
        <w:rPr>
          <w:lang w:val="en-GB"/>
        </w:rPr>
        <w:t xml:space="preserve"> attempt to represent both parties in proceedings where money or rights are involved. </w:t>
      </w:r>
      <w:r w:rsidR="00107301">
        <w:rPr>
          <w:lang w:val="en-GB"/>
        </w:rPr>
        <w:t xml:space="preserve">While these </w:t>
      </w:r>
      <w:r w:rsidR="009265D7">
        <w:rPr>
          <w:lang w:val="en-GB"/>
        </w:rPr>
        <w:t>joint consultations</w:t>
      </w:r>
      <w:r w:rsidR="00107301">
        <w:rPr>
          <w:lang w:val="en-GB"/>
        </w:rPr>
        <w:t xml:space="preserve"> may commence in a spirit of goodwill, or </w:t>
      </w:r>
      <w:r w:rsidR="00175A18">
        <w:rPr>
          <w:lang w:val="en-GB"/>
        </w:rPr>
        <w:t xml:space="preserve">in </w:t>
      </w:r>
      <w:r w:rsidR="00107301">
        <w:rPr>
          <w:lang w:val="en-GB"/>
        </w:rPr>
        <w:t>an attempt to expedite matters and save costs, once the shoe pinches</w:t>
      </w:r>
      <w:r w:rsidR="00ED616C">
        <w:rPr>
          <w:lang w:val="en-GB"/>
        </w:rPr>
        <w:t>,</w:t>
      </w:r>
      <w:r w:rsidR="00107301">
        <w:rPr>
          <w:lang w:val="en-GB"/>
        </w:rPr>
        <w:t xml:space="preserve"> it is inevitable that the legal practitioner, and by extension the profession, </w:t>
      </w:r>
      <w:r w:rsidR="002F2A16">
        <w:rPr>
          <w:lang w:val="en-GB"/>
        </w:rPr>
        <w:t xml:space="preserve">lands in the crosshairs. </w:t>
      </w:r>
    </w:p>
    <w:p w14:paraId="0E2909B7" w14:textId="77777777" w:rsidR="007E379D" w:rsidRPr="007E379D" w:rsidRDefault="007E379D" w:rsidP="007E379D">
      <w:pPr>
        <w:pStyle w:val="ListParagraph"/>
        <w:rPr>
          <w:lang w:val="en-GB"/>
        </w:rPr>
      </w:pPr>
    </w:p>
    <w:p w14:paraId="57667716" w14:textId="77777777" w:rsidR="00657261" w:rsidRDefault="00657261" w:rsidP="004478F5">
      <w:pPr>
        <w:pStyle w:val="ListParagraph"/>
        <w:numPr>
          <w:ilvl w:val="0"/>
          <w:numId w:val="16"/>
        </w:numPr>
        <w:autoSpaceDE w:val="0"/>
        <w:autoSpaceDN w:val="0"/>
        <w:adjustRightInd w:val="0"/>
        <w:ind w:left="142" w:hanging="142"/>
        <w:jc w:val="both"/>
        <w:rPr>
          <w:lang w:val="en-GB"/>
        </w:rPr>
      </w:pPr>
      <w:r>
        <w:rPr>
          <w:lang w:val="en-GB"/>
        </w:rPr>
        <w:t>Finally, as to costs, there is no reason to depart from the usual principle that costs should follow the result. The applicant has been unsuccessful and the application stands to be dismissed with costs, the costs to exclude costs associated with the application to strike.</w:t>
      </w:r>
    </w:p>
    <w:p w14:paraId="10F37D62" w14:textId="77777777" w:rsidR="00657261" w:rsidRDefault="00657261" w:rsidP="00657261">
      <w:pPr>
        <w:rPr>
          <w:lang w:val="en-GB"/>
        </w:rPr>
      </w:pPr>
    </w:p>
    <w:p w14:paraId="681DCBC7" w14:textId="77777777" w:rsidR="00657261" w:rsidRDefault="00657261" w:rsidP="00657261">
      <w:pPr>
        <w:rPr>
          <w:b/>
          <w:bCs/>
          <w:lang w:val="en-GB"/>
        </w:rPr>
      </w:pPr>
      <w:r>
        <w:rPr>
          <w:b/>
          <w:bCs/>
          <w:lang w:val="en-GB"/>
        </w:rPr>
        <w:t>Order</w:t>
      </w:r>
    </w:p>
    <w:p w14:paraId="5A1F6D74" w14:textId="77777777" w:rsidR="00657261" w:rsidRPr="00657261" w:rsidRDefault="00657261" w:rsidP="00657261">
      <w:pPr>
        <w:rPr>
          <w:b/>
          <w:bCs/>
          <w:lang w:val="en-GB"/>
        </w:rPr>
      </w:pPr>
    </w:p>
    <w:p w14:paraId="02B6E505" w14:textId="77777777" w:rsidR="00053B1F" w:rsidRDefault="00657261" w:rsidP="00053B1F">
      <w:pPr>
        <w:pStyle w:val="ListParagraph"/>
        <w:numPr>
          <w:ilvl w:val="0"/>
          <w:numId w:val="16"/>
        </w:numPr>
        <w:autoSpaceDE w:val="0"/>
        <w:autoSpaceDN w:val="0"/>
        <w:adjustRightInd w:val="0"/>
        <w:ind w:left="142" w:hanging="142"/>
        <w:jc w:val="both"/>
        <w:rPr>
          <w:lang w:val="en-GB"/>
        </w:rPr>
      </w:pPr>
      <w:r>
        <w:rPr>
          <w:lang w:val="en-GB"/>
        </w:rPr>
        <w:t>The following order will issue:</w:t>
      </w:r>
    </w:p>
    <w:p w14:paraId="3D7C972E" w14:textId="77777777" w:rsidR="00053B1F" w:rsidRDefault="00053B1F" w:rsidP="00053B1F">
      <w:pPr>
        <w:pStyle w:val="ListParagraph"/>
        <w:autoSpaceDE w:val="0"/>
        <w:autoSpaceDN w:val="0"/>
        <w:adjustRightInd w:val="0"/>
        <w:ind w:left="142"/>
        <w:jc w:val="both"/>
        <w:rPr>
          <w:lang w:val="en-GB"/>
        </w:rPr>
      </w:pPr>
    </w:p>
    <w:p w14:paraId="0DE8AAD1" w14:textId="13C61704" w:rsidR="002309B0" w:rsidRPr="00724831" w:rsidRDefault="00772514" w:rsidP="00682CE5">
      <w:pPr>
        <w:pStyle w:val="ListParagraph"/>
        <w:numPr>
          <w:ilvl w:val="0"/>
          <w:numId w:val="23"/>
        </w:numPr>
        <w:autoSpaceDE w:val="0"/>
        <w:autoSpaceDN w:val="0"/>
        <w:adjustRightInd w:val="0"/>
        <w:jc w:val="both"/>
        <w:rPr>
          <w:lang w:val="en-GB"/>
        </w:rPr>
      </w:pPr>
      <w:r w:rsidRPr="002309B0">
        <w:rPr>
          <w:lang w:val="en-GB"/>
        </w:rPr>
        <w:t>The application is dismissed with costs, excluding the costs of the application to strike.</w:t>
      </w:r>
    </w:p>
    <w:p w14:paraId="31EDBB0A" w14:textId="316DC0F5" w:rsidR="002309B0" w:rsidRDefault="002309B0" w:rsidP="00682CE5">
      <w:pPr>
        <w:autoSpaceDE w:val="0"/>
        <w:autoSpaceDN w:val="0"/>
        <w:adjustRightInd w:val="0"/>
        <w:jc w:val="both"/>
        <w:rPr>
          <w:lang w:val="en-GB"/>
        </w:rPr>
      </w:pPr>
    </w:p>
    <w:p w14:paraId="5A903BF0" w14:textId="6A584438" w:rsidR="00724831" w:rsidRDefault="00724831" w:rsidP="00682CE5">
      <w:pPr>
        <w:autoSpaceDE w:val="0"/>
        <w:autoSpaceDN w:val="0"/>
        <w:adjustRightInd w:val="0"/>
        <w:jc w:val="both"/>
        <w:rPr>
          <w:lang w:val="en-GB"/>
        </w:rPr>
      </w:pPr>
    </w:p>
    <w:p w14:paraId="573E16F9" w14:textId="77777777" w:rsidR="00724831" w:rsidRPr="00044B50" w:rsidRDefault="00724831" w:rsidP="00682CE5">
      <w:pPr>
        <w:autoSpaceDE w:val="0"/>
        <w:autoSpaceDN w:val="0"/>
        <w:adjustRightInd w:val="0"/>
        <w:jc w:val="both"/>
        <w:rPr>
          <w:lang w:val="en-GB"/>
        </w:rPr>
      </w:pPr>
    </w:p>
    <w:p w14:paraId="082D416F" w14:textId="77777777" w:rsidR="00D450B5" w:rsidRPr="00044B50" w:rsidRDefault="00D450B5" w:rsidP="00701614">
      <w:pPr>
        <w:ind w:left="4320" w:right="-52"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4B33E7C9" w14:textId="77777777" w:rsidR="00D450B5" w:rsidRPr="00044B50" w:rsidRDefault="00D450B5" w:rsidP="00701614">
      <w:pPr>
        <w:ind w:left="4321" w:right="-52" w:firstLine="720"/>
        <w:jc w:val="both"/>
        <w:rPr>
          <w:b/>
          <w:bCs/>
          <w:lang w:val="en-GB"/>
        </w:rPr>
      </w:pPr>
      <w:r w:rsidRPr="00044B50">
        <w:rPr>
          <w:b/>
          <w:bCs/>
          <w:lang w:val="en-GB"/>
        </w:rPr>
        <w:t xml:space="preserve">A. GOVINDJEE                                                                                                                                                       </w:t>
      </w:r>
    </w:p>
    <w:p w14:paraId="214FE728" w14:textId="77777777" w:rsidR="00D450B5" w:rsidRPr="00044B50" w:rsidRDefault="00D450B5" w:rsidP="00701614">
      <w:pPr>
        <w:ind w:left="4321" w:right="-52" w:firstLine="720"/>
        <w:jc w:val="both"/>
        <w:rPr>
          <w:b/>
          <w:bCs/>
          <w:lang w:val="en-GB"/>
        </w:rPr>
      </w:pPr>
      <w:r w:rsidRPr="00044B50">
        <w:rPr>
          <w:b/>
          <w:bCs/>
          <w:lang w:val="en-GB"/>
        </w:rPr>
        <w:t>JUDGE OF THE HIGH COURT</w:t>
      </w:r>
    </w:p>
    <w:p w14:paraId="1163BAE8" w14:textId="77777777" w:rsidR="00AA32DA" w:rsidRDefault="00AA32DA" w:rsidP="004A5151">
      <w:pPr>
        <w:autoSpaceDE w:val="0"/>
        <w:autoSpaceDN w:val="0"/>
        <w:adjustRightInd w:val="0"/>
        <w:jc w:val="both"/>
        <w:rPr>
          <w:lang w:val="en-GB"/>
        </w:rPr>
      </w:pPr>
    </w:p>
    <w:p w14:paraId="45A0C0F0" w14:textId="77777777" w:rsidR="00701614" w:rsidRDefault="00701614" w:rsidP="007A7BBE">
      <w:pPr>
        <w:widowControl w:val="0"/>
        <w:jc w:val="right"/>
        <w:rPr>
          <w:b/>
          <w:bCs/>
          <w:spacing w:val="14"/>
          <w:kern w:val="2"/>
          <w:lang w:val="en-GB"/>
        </w:rPr>
      </w:pPr>
    </w:p>
    <w:p w14:paraId="3A0613CC" w14:textId="28A46418" w:rsidR="007A7BBE" w:rsidRPr="00701614" w:rsidRDefault="007A7BBE" w:rsidP="007A7BBE">
      <w:pPr>
        <w:widowControl w:val="0"/>
        <w:jc w:val="right"/>
        <w:rPr>
          <w:spacing w:val="14"/>
          <w:kern w:val="2"/>
          <w:lang w:val="en-GB"/>
        </w:rPr>
      </w:pPr>
      <w:r w:rsidRPr="00701614">
        <w:rPr>
          <w:spacing w:val="14"/>
          <w:kern w:val="2"/>
          <w:lang w:val="en-GB"/>
        </w:rPr>
        <w:t>Heard:</w:t>
      </w:r>
      <w:r w:rsidR="005D7B48" w:rsidRPr="00701614">
        <w:rPr>
          <w:spacing w:val="14"/>
          <w:kern w:val="2"/>
          <w:lang w:val="en-GB"/>
        </w:rPr>
        <w:t xml:space="preserve"> </w:t>
      </w:r>
      <w:r w:rsidR="00053B1F" w:rsidRPr="00701614">
        <w:rPr>
          <w:spacing w:val="14"/>
          <w:kern w:val="2"/>
          <w:lang w:val="en-GB"/>
        </w:rPr>
        <w:t>24 March 2022</w:t>
      </w:r>
    </w:p>
    <w:p w14:paraId="163257D2" w14:textId="55482C94" w:rsidR="007A7BBE" w:rsidRPr="00701614" w:rsidRDefault="007A7BBE" w:rsidP="007A7BBE">
      <w:pPr>
        <w:widowControl w:val="0"/>
        <w:jc w:val="right"/>
        <w:rPr>
          <w:spacing w:val="14"/>
          <w:kern w:val="2"/>
          <w:lang w:val="en-GB"/>
        </w:rPr>
      </w:pPr>
      <w:r w:rsidRPr="00701614">
        <w:rPr>
          <w:spacing w:val="14"/>
          <w:kern w:val="2"/>
          <w:lang w:val="en-GB"/>
        </w:rPr>
        <w:t>Delivered:</w:t>
      </w:r>
      <w:r w:rsidR="005D7B48" w:rsidRPr="00701614">
        <w:rPr>
          <w:spacing w:val="14"/>
          <w:kern w:val="2"/>
          <w:lang w:val="en-GB"/>
        </w:rPr>
        <w:t xml:space="preserve"> </w:t>
      </w:r>
      <w:r w:rsidR="00053B1F" w:rsidRPr="00701614">
        <w:rPr>
          <w:spacing w:val="14"/>
          <w:kern w:val="2"/>
          <w:lang w:val="en-GB"/>
        </w:rPr>
        <w:t>17 May 2022</w:t>
      </w:r>
    </w:p>
    <w:p w14:paraId="25361FE8" w14:textId="77777777" w:rsidR="005D7B48" w:rsidRPr="00701614" w:rsidRDefault="005D7B48" w:rsidP="00053B1F">
      <w:pPr>
        <w:jc w:val="both"/>
        <w:rPr>
          <w:lang w:val="en-GB"/>
        </w:rPr>
      </w:pPr>
    </w:p>
    <w:p w14:paraId="2E627F18" w14:textId="77777777" w:rsidR="00724831" w:rsidRDefault="00724831" w:rsidP="00053B1F">
      <w:pPr>
        <w:jc w:val="both"/>
        <w:rPr>
          <w:lang w:val="en-GB"/>
        </w:rPr>
      </w:pPr>
    </w:p>
    <w:p w14:paraId="4235023F" w14:textId="77777777" w:rsidR="00724831" w:rsidRDefault="00724831" w:rsidP="00053B1F">
      <w:pPr>
        <w:jc w:val="both"/>
        <w:rPr>
          <w:lang w:val="en-GB"/>
        </w:rPr>
      </w:pPr>
    </w:p>
    <w:p w14:paraId="5CDD6AAC" w14:textId="77777777" w:rsidR="00724831" w:rsidRDefault="00724831" w:rsidP="00053B1F">
      <w:pPr>
        <w:jc w:val="both"/>
        <w:rPr>
          <w:lang w:val="en-GB"/>
        </w:rPr>
      </w:pPr>
    </w:p>
    <w:p w14:paraId="2DDB7AB8" w14:textId="77777777" w:rsidR="00724831" w:rsidRDefault="00724831" w:rsidP="00053B1F">
      <w:pPr>
        <w:jc w:val="both"/>
        <w:rPr>
          <w:lang w:val="en-GB"/>
        </w:rPr>
      </w:pPr>
    </w:p>
    <w:p w14:paraId="0651F322" w14:textId="77777777" w:rsidR="00724831" w:rsidRDefault="00724831" w:rsidP="00053B1F">
      <w:pPr>
        <w:jc w:val="both"/>
        <w:rPr>
          <w:lang w:val="en-GB"/>
        </w:rPr>
      </w:pPr>
    </w:p>
    <w:p w14:paraId="594797E4" w14:textId="77777777" w:rsidR="00724831" w:rsidRDefault="00724831" w:rsidP="00053B1F">
      <w:pPr>
        <w:jc w:val="both"/>
        <w:rPr>
          <w:lang w:val="en-GB"/>
        </w:rPr>
      </w:pPr>
    </w:p>
    <w:p w14:paraId="16718788" w14:textId="77777777" w:rsidR="00724831" w:rsidRDefault="00724831" w:rsidP="00053B1F">
      <w:pPr>
        <w:jc w:val="both"/>
        <w:rPr>
          <w:lang w:val="en-GB"/>
        </w:rPr>
      </w:pPr>
    </w:p>
    <w:p w14:paraId="0A37D8E9" w14:textId="77777777" w:rsidR="00724831" w:rsidRDefault="00724831" w:rsidP="00053B1F">
      <w:pPr>
        <w:jc w:val="both"/>
        <w:rPr>
          <w:lang w:val="en-GB"/>
        </w:rPr>
      </w:pPr>
    </w:p>
    <w:p w14:paraId="78081390" w14:textId="77777777" w:rsidR="00724831" w:rsidRDefault="00724831" w:rsidP="00053B1F">
      <w:pPr>
        <w:jc w:val="both"/>
        <w:rPr>
          <w:lang w:val="en-GB"/>
        </w:rPr>
      </w:pPr>
    </w:p>
    <w:p w14:paraId="7B98B697" w14:textId="77777777" w:rsidR="00724831" w:rsidRDefault="00724831" w:rsidP="00053B1F">
      <w:pPr>
        <w:jc w:val="both"/>
        <w:rPr>
          <w:lang w:val="en-GB"/>
        </w:rPr>
      </w:pPr>
    </w:p>
    <w:p w14:paraId="54EC0B9B" w14:textId="77777777" w:rsidR="00724831" w:rsidRDefault="00724831" w:rsidP="00053B1F">
      <w:pPr>
        <w:jc w:val="both"/>
        <w:rPr>
          <w:lang w:val="en-GB"/>
        </w:rPr>
      </w:pPr>
    </w:p>
    <w:p w14:paraId="797C8042" w14:textId="77777777" w:rsidR="00724831" w:rsidRDefault="00724831" w:rsidP="00053B1F">
      <w:pPr>
        <w:jc w:val="both"/>
        <w:rPr>
          <w:lang w:val="en-GB"/>
        </w:rPr>
      </w:pPr>
    </w:p>
    <w:p w14:paraId="22A2EB4F" w14:textId="77777777" w:rsidR="00724831" w:rsidRDefault="00724831" w:rsidP="00053B1F">
      <w:pPr>
        <w:jc w:val="both"/>
        <w:rPr>
          <w:lang w:val="en-GB"/>
        </w:rPr>
      </w:pPr>
    </w:p>
    <w:p w14:paraId="0CC2F790" w14:textId="38515126" w:rsidR="00053B1F" w:rsidRDefault="007C247A" w:rsidP="00053B1F">
      <w:pPr>
        <w:jc w:val="both"/>
        <w:rPr>
          <w:lang w:val="en-GB"/>
        </w:rPr>
      </w:pPr>
      <w:r w:rsidRPr="00044B50">
        <w:rPr>
          <w:lang w:val="en-GB"/>
        </w:rPr>
        <w:t>Appearances:</w:t>
      </w:r>
    </w:p>
    <w:p w14:paraId="2EA00F87" w14:textId="77777777" w:rsidR="00053B1F" w:rsidRDefault="00053B1F" w:rsidP="00053B1F">
      <w:pPr>
        <w:rPr>
          <w:lang w:val="en-GB"/>
        </w:rPr>
      </w:pPr>
    </w:p>
    <w:p w14:paraId="4D807B12" w14:textId="77777777" w:rsidR="00053B1F" w:rsidRPr="008E7830" w:rsidRDefault="002706AA" w:rsidP="00053B1F">
      <w:pPr>
        <w:tabs>
          <w:tab w:val="left" w:pos="3261"/>
          <w:tab w:val="center" w:pos="4003"/>
        </w:tabs>
        <w:jc w:val="both"/>
        <w:rPr>
          <w:color w:val="auto"/>
        </w:rPr>
      </w:pPr>
      <w:r>
        <w:rPr>
          <w:color w:val="auto"/>
        </w:rPr>
        <w:t xml:space="preserve">Applicant’s </w:t>
      </w:r>
      <w:r w:rsidR="00871DF1">
        <w:rPr>
          <w:color w:val="auto"/>
        </w:rPr>
        <w:t>Counsel :</w:t>
      </w:r>
      <w:r w:rsidR="00053B1F" w:rsidRPr="008E7830">
        <w:rPr>
          <w:color w:val="auto"/>
        </w:rPr>
        <w:tab/>
      </w:r>
      <w:r w:rsidR="00053B1F">
        <w:rPr>
          <w:bCs/>
          <w:lang w:val="en-US"/>
        </w:rPr>
        <w:t xml:space="preserve">Adv </w:t>
      </w:r>
      <w:r>
        <w:rPr>
          <w:bCs/>
          <w:lang w:val="en-US"/>
        </w:rPr>
        <w:t xml:space="preserve">L. </w:t>
      </w:r>
      <w:r w:rsidR="00053B1F">
        <w:rPr>
          <w:bCs/>
          <w:lang w:val="en-US"/>
        </w:rPr>
        <w:t>Crouse</w:t>
      </w:r>
    </w:p>
    <w:p w14:paraId="54FE30E3" w14:textId="77777777" w:rsidR="00053B1F" w:rsidRPr="008E7830" w:rsidRDefault="00053B1F" w:rsidP="00053B1F">
      <w:pPr>
        <w:tabs>
          <w:tab w:val="left" w:pos="3261"/>
          <w:tab w:val="center" w:pos="4003"/>
        </w:tabs>
        <w:jc w:val="both"/>
        <w:rPr>
          <w:color w:val="auto"/>
        </w:rPr>
      </w:pPr>
      <w:r w:rsidRPr="008E7830">
        <w:rPr>
          <w:color w:val="auto"/>
        </w:rPr>
        <w:tab/>
      </w:r>
    </w:p>
    <w:p w14:paraId="36A65C04" w14:textId="77777777" w:rsidR="00053B1F" w:rsidRDefault="00053B1F" w:rsidP="00053B1F">
      <w:pPr>
        <w:tabs>
          <w:tab w:val="left" w:pos="3261"/>
          <w:tab w:val="center" w:pos="4003"/>
        </w:tabs>
        <w:jc w:val="both"/>
        <w:rPr>
          <w:color w:val="auto"/>
        </w:rPr>
      </w:pPr>
      <w:r w:rsidRPr="008E7830">
        <w:rPr>
          <w:color w:val="auto"/>
        </w:rPr>
        <w:t xml:space="preserve">Instructed by                     :      </w:t>
      </w:r>
      <w:r>
        <w:rPr>
          <w:color w:val="auto"/>
        </w:rPr>
        <w:t xml:space="preserve">Cloete &amp; Company </w:t>
      </w:r>
    </w:p>
    <w:p w14:paraId="2724E058" w14:textId="77777777" w:rsidR="00053B1F" w:rsidRDefault="00053B1F" w:rsidP="00053B1F">
      <w:pPr>
        <w:tabs>
          <w:tab w:val="left" w:pos="3261"/>
          <w:tab w:val="center" w:pos="4003"/>
        </w:tabs>
        <w:jc w:val="both"/>
        <w:rPr>
          <w:color w:val="auto"/>
        </w:rPr>
      </w:pPr>
      <w:r>
        <w:rPr>
          <w:color w:val="auto"/>
        </w:rPr>
        <w:tab/>
        <w:t xml:space="preserve">12A High street </w:t>
      </w:r>
    </w:p>
    <w:p w14:paraId="4CBF501B" w14:textId="77777777" w:rsidR="00053B1F" w:rsidRPr="008E7830" w:rsidRDefault="00053B1F" w:rsidP="00053B1F">
      <w:pPr>
        <w:tabs>
          <w:tab w:val="left" w:pos="3261"/>
          <w:tab w:val="center" w:pos="4003"/>
        </w:tabs>
        <w:jc w:val="both"/>
        <w:rPr>
          <w:color w:val="auto"/>
        </w:rPr>
      </w:pPr>
      <w:r>
        <w:rPr>
          <w:color w:val="auto"/>
        </w:rPr>
        <w:tab/>
        <w:t xml:space="preserve">Makhanda </w:t>
      </w:r>
    </w:p>
    <w:p w14:paraId="6271083A" w14:textId="77777777" w:rsidR="00053B1F" w:rsidRPr="008E7830" w:rsidRDefault="00053B1F" w:rsidP="00053B1F">
      <w:pPr>
        <w:tabs>
          <w:tab w:val="left" w:pos="3261"/>
          <w:tab w:val="center" w:pos="4003"/>
        </w:tabs>
        <w:jc w:val="both"/>
        <w:rPr>
          <w:color w:val="auto"/>
        </w:rPr>
      </w:pPr>
      <w:r w:rsidRPr="008E7830">
        <w:rPr>
          <w:color w:val="auto"/>
        </w:rPr>
        <w:tab/>
      </w:r>
      <w:r>
        <w:rPr>
          <w:color w:val="auto"/>
        </w:rPr>
        <w:tab/>
        <w:t>Email:admin@cloeteandco.za</w:t>
      </w:r>
    </w:p>
    <w:p w14:paraId="255592E8" w14:textId="77777777" w:rsidR="00053B1F" w:rsidRPr="008E7830" w:rsidRDefault="00053B1F" w:rsidP="00053B1F">
      <w:pPr>
        <w:tabs>
          <w:tab w:val="left" w:pos="3261"/>
          <w:tab w:val="left" w:pos="3402"/>
          <w:tab w:val="left" w:pos="3686"/>
          <w:tab w:val="center" w:pos="4003"/>
        </w:tabs>
        <w:jc w:val="both"/>
        <w:rPr>
          <w:color w:val="auto"/>
        </w:rPr>
      </w:pPr>
      <w:r w:rsidRPr="008E7830">
        <w:rPr>
          <w:color w:val="auto"/>
        </w:rPr>
        <w:t xml:space="preserve">                                         </w:t>
      </w:r>
    </w:p>
    <w:p w14:paraId="5EF18F18" w14:textId="0CF0D38F" w:rsidR="00053B1F" w:rsidRPr="000472C2" w:rsidRDefault="00053B1F" w:rsidP="00053B1F">
      <w:pPr>
        <w:rPr>
          <w:b/>
          <w:bCs/>
          <w:lang w:val="en-US"/>
        </w:rPr>
      </w:pPr>
      <w:r>
        <w:rPr>
          <w:color w:val="auto"/>
        </w:rPr>
        <w:t>R</w:t>
      </w:r>
      <w:r w:rsidRPr="008E7830">
        <w:rPr>
          <w:color w:val="auto"/>
        </w:rPr>
        <w:t>espondent</w:t>
      </w:r>
      <w:r>
        <w:rPr>
          <w:color w:val="auto"/>
        </w:rPr>
        <w:t>’s Counsel</w:t>
      </w:r>
      <w:r w:rsidRPr="008E7830">
        <w:rPr>
          <w:color w:val="auto"/>
        </w:rPr>
        <w:t>:</w:t>
      </w:r>
      <w:r w:rsidRPr="008E7830">
        <w:rPr>
          <w:color w:val="auto"/>
        </w:rPr>
        <w:tab/>
      </w:r>
      <w:r>
        <w:rPr>
          <w:color w:val="auto"/>
        </w:rPr>
        <w:t xml:space="preserve">     </w:t>
      </w:r>
      <w:r w:rsidR="002706AA">
        <w:rPr>
          <w:bCs/>
          <w:lang w:val="en-US"/>
        </w:rPr>
        <w:t xml:space="preserve">Adv </w:t>
      </w:r>
      <w:r w:rsidR="00DF12AE">
        <w:rPr>
          <w:bCs/>
          <w:lang w:val="en-US"/>
        </w:rPr>
        <w:t xml:space="preserve">G. </w:t>
      </w:r>
      <w:r w:rsidR="002706AA">
        <w:rPr>
          <w:bCs/>
          <w:lang w:val="en-US"/>
        </w:rPr>
        <w:t>Brown</w:t>
      </w:r>
    </w:p>
    <w:p w14:paraId="740B6A20" w14:textId="77777777" w:rsidR="00053B1F" w:rsidRPr="008E7830" w:rsidRDefault="00053B1F" w:rsidP="00053B1F">
      <w:pPr>
        <w:tabs>
          <w:tab w:val="left" w:pos="3119"/>
          <w:tab w:val="center" w:pos="3989"/>
        </w:tabs>
        <w:rPr>
          <w:color w:val="auto"/>
        </w:rPr>
      </w:pPr>
      <w:r w:rsidRPr="008E7830">
        <w:rPr>
          <w:color w:val="auto"/>
        </w:rPr>
        <w:tab/>
        <w:t xml:space="preserve">  </w:t>
      </w:r>
    </w:p>
    <w:p w14:paraId="74F348BB" w14:textId="77777777" w:rsidR="00053B1F" w:rsidRPr="008E7830" w:rsidRDefault="00053B1F" w:rsidP="00053B1F">
      <w:pPr>
        <w:tabs>
          <w:tab w:val="left" w:pos="3119"/>
          <w:tab w:val="center" w:pos="3989"/>
        </w:tabs>
        <w:rPr>
          <w:color w:val="auto"/>
        </w:rPr>
      </w:pPr>
      <w:r w:rsidRPr="008E7830">
        <w:rPr>
          <w:color w:val="auto"/>
        </w:rPr>
        <w:t>Instructed by               :</w:t>
      </w:r>
      <w:r w:rsidRPr="008E7830">
        <w:rPr>
          <w:color w:val="auto"/>
        </w:rPr>
        <w:tab/>
        <w:t xml:space="preserve">  </w:t>
      </w:r>
      <w:r w:rsidR="002706AA">
        <w:rPr>
          <w:color w:val="auto"/>
        </w:rPr>
        <w:t>Wheeldon Rushmere &amp; Cole Inc.</w:t>
      </w:r>
    </w:p>
    <w:p w14:paraId="343A188F" w14:textId="77777777" w:rsidR="00053B1F" w:rsidRDefault="00053B1F" w:rsidP="00053B1F">
      <w:pPr>
        <w:tabs>
          <w:tab w:val="left" w:pos="3119"/>
          <w:tab w:val="center" w:pos="3989"/>
        </w:tabs>
        <w:rPr>
          <w:color w:val="auto"/>
        </w:rPr>
      </w:pPr>
      <w:r w:rsidRPr="008E7830">
        <w:rPr>
          <w:color w:val="auto"/>
        </w:rPr>
        <w:tab/>
        <w:t xml:space="preserve">  </w:t>
      </w:r>
      <w:r w:rsidR="002706AA">
        <w:rPr>
          <w:color w:val="auto"/>
        </w:rPr>
        <w:t>Matthew Fosi Chambers</w:t>
      </w:r>
    </w:p>
    <w:p w14:paraId="33CCEBB5" w14:textId="77777777" w:rsidR="00053B1F" w:rsidRPr="008E7830" w:rsidRDefault="00053B1F" w:rsidP="00053B1F">
      <w:pPr>
        <w:tabs>
          <w:tab w:val="left" w:pos="3261"/>
          <w:tab w:val="center" w:pos="3989"/>
        </w:tabs>
        <w:rPr>
          <w:color w:val="auto"/>
        </w:rPr>
      </w:pPr>
      <w:r>
        <w:rPr>
          <w:color w:val="auto"/>
        </w:rPr>
        <w:tab/>
      </w:r>
      <w:r>
        <w:rPr>
          <w:color w:val="auto"/>
        </w:rPr>
        <w:tab/>
      </w:r>
      <w:r w:rsidR="002706AA">
        <w:rPr>
          <w:color w:val="auto"/>
        </w:rPr>
        <w:t>119 High Street</w:t>
      </w:r>
    </w:p>
    <w:p w14:paraId="577B5CB6" w14:textId="77777777" w:rsidR="00053B1F" w:rsidRDefault="00053B1F" w:rsidP="00053B1F">
      <w:pPr>
        <w:tabs>
          <w:tab w:val="left" w:pos="3261"/>
          <w:tab w:val="center" w:pos="3989"/>
        </w:tabs>
        <w:rPr>
          <w:color w:val="auto"/>
        </w:rPr>
      </w:pPr>
      <w:r w:rsidRPr="008E7830">
        <w:rPr>
          <w:color w:val="auto"/>
        </w:rPr>
        <w:t xml:space="preserve">                                                 </w:t>
      </w:r>
      <w:r w:rsidR="002706AA">
        <w:rPr>
          <w:color w:val="auto"/>
        </w:rPr>
        <w:t>Makhanda</w:t>
      </w:r>
    </w:p>
    <w:p w14:paraId="32A0A9C7" w14:textId="77777777" w:rsidR="00053B1F" w:rsidRDefault="00053B1F" w:rsidP="00053B1F">
      <w:pPr>
        <w:tabs>
          <w:tab w:val="left" w:pos="3261"/>
          <w:tab w:val="center" w:pos="3989"/>
        </w:tabs>
        <w:rPr>
          <w:color w:val="auto"/>
        </w:rPr>
      </w:pPr>
      <w:r>
        <w:rPr>
          <w:color w:val="auto"/>
        </w:rPr>
        <w:tab/>
        <w:t>Email:</w:t>
      </w:r>
      <w:r w:rsidR="002706AA">
        <w:rPr>
          <w:color w:val="auto"/>
        </w:rPr>
        <w:t>sandra@wheeldon.co.za</w:t>
      </w:r>
    </w:p>
    <w:p w14:paraId="589E1434" w14:textId="77777777" w:rsidR="00053B1F" w:rsidRPr="008E7830" w:rsidRDefault="00053B1F" w:rsidP="00053B1F">
      <w:pPr>
        <w:tabs>
          <w:tab w:val="center" w:pos="3989"/>
        </w:tabs>
        <w:rPr>
          <w:color w:val="auto"/>
        </w:rPr>
      </w:pPr>
      <w:r>
        <w:rPr>
          <w:color w:val="auto"/>
        </w:rPr>
        <w:t xml:space="preserve">                                                 </w:t>
      </w:r>
    </w:p>
    <w:p w14:paraId="4379F1B9" w14:textId="77777777" w:rsidR="00AA32DA" w:rsidRPr="00044B50" w:rsidRDefault="00AA32DA" w:rsidP="00AF500C">
      <w:pPr>
        <w:tabs>
          <w:tab w:val="left" w:pos="3402"/>
          <w:tab w:val="center" w:pos="4003"/>
        </w:tabs>
        <w:jc w:val="both"/>
        <w:rPr>
          <w:lang w:val="en-GB"/>
        </w:rPr>
      </w:pPr>
      <w:r w:rsidRPr="00044B50">
        <w:rPr>
          <w:lang w:val="en-GB"/>
        </w:rPr>
        <w:t xml:space="preserve">                                          </w:t>
      </w:r>
    </w:p>
    <w:p w14:paraId="383B1016" w14:textId="77777777" w:rsidR="000A2E34" w:rsidRDefault="000A2E34" w:rsidP="00772E4B">
      <w:pPr>
        <w:autoSpaceDE w:val="0"/>
        <w:autoSpaceDN w:val="0"/>
        <w:adjustRightInd w:val="0"/>
        <w:jc w:val="both"/>
        <w:rPr>
          <w:lang w:val="en-GB"/>
        </w:rPr>
      </w:pPr>
    </w:p>
    <w:p w14:paraId="4CE4F994" w14:textId="77777777" w:rsidR="00520CD4" w:rsidRDefault="00520CD4" w:rsidP="00772E4B">
      <w:pPr>
        <w:autoSpaceDE w:val="0"/>
        <w:autoSpaceDN w:val="0"/>
        <w:adjustRightInd w:val="0"/>
        <w:jc w:val="both"/>
        <w:rPr>
          <w:lang w:val="en-GB"/>
        </w:rPr>
      </w:pPr>
    </w:p>
    <w:p w14:paraId="07477797" w14:textId="77777777" w:rsidR="00520CD4" w:rsidRPr="00044B50" w:rsidRDefault="00520CD4" w:rsidP="00772E4B">
      <w:pPr>
        <w:autoSpaceDE w:val="0"/>
        <w:autoSpaceDN w:val="0"/>
        <w:adjustRightInd w:val="0"/>
        <w:jc w:val="both"/>
        <w:rPr>
          <w:lang w:val="en-GB"/>
        </w:rPr>
      </w:pPr>
    </w:p>
    <w:sectPr w:rsidR="00520CD4"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D5ED8" w14:textId="77777777" w:rsidR="00994B31" w:rsidRDefault="00994B31" w:rsidP="00005691">
      <w:r>
        <w:separator/>
      </w:r>
    </w:p>
  </w:endnote>
  <w:endnote w:type="continuationSeparator" w:id="0">
    <w:p w14:paraId="448A9875" w14:textId="77777777" w:rsidR="00994B31" w:rsidRDefault="00994B31"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CFD8C" w14:textId="77777777" w:rsidR="00994B31" w:rsidRDefault="00994B31" w:rsidP="00005691">
      <w:r>
        <w:separator/>
      </w:r>
    </w:p>
  </w:footnote>
  <w:footnote w:type="continuationSeparator" w:id="0">
    <w:p w14:paraId="523D6AC8" w14:textId="77777777" w:rsidR="00994B31" w:rsidRDefault="00994B31" w:rsidP="00005691">
      <w:r>
        <w:continuationSeparator/>
      </w:r>
    </w:p>
  </w:footnote>
  <w:footnote w:id="1">
    <w:p w14:paraId="12939662"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The notice of motion also seeks the appointment of a receiver in the event of the parties not reaching agreement on the patrimonial aspects of their marriage, and, alternatively, that the settlement be rectified to include payment of R500 000 to the applicant.</w:t>
      </w:r>
    </w:p>
  </w:footnote>
  <w:footnote w:id="2">
    <w:p w14:paraId="42FCEC78" w14:textId="1877559D"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Para 5 of the founding affidavit. The notice of motion refers to paragraph 2 of the order, dealing with the settlement agreement, being ‘rescinded and set aside, alternatively that paragraphs 2, 3 and 4 of the settlement agreement that was made an order in paragraph 2 of the said judgment be expunged from the said agreement’, together with additional relief.</w:t>
      </w:r>
    </w:p>
  </w:footnote>
  <w:footnote w:id="3">
    <w:p w14:paraId="7C089148" w14:textId="3741EA41"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It appears to be common cause that Marais also never suggested to the applicant that she should obtain independent legal advice. It is also suggested</w:t>
      </w:r>
      <w:r>
        <w:rPr>
          <w:lang w:val="en-US"/>
        </w:rPr>
        <w:t>,</w:t>
      </w:r>
      <w:r w:rsidRPr="00CB0965">
        <w:rPr>
          <w:lang w:val="en-US"/>
        </w:rPr>
        <w:t xml:space="preserve"> on the papers that he failed to inform the applicant of her right to have access to spousal / rehabilitative maintenance from the time of separation.</w:t>
      </w:r>
    </w:p>
  </w:footnote>
  <w:footnote w:id="4">
    <w:p w14:paraId="5C31DC3E" w14:textId="6AFAD103"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The respondent has remarried since the divorce, and the applicant is living as husband and wife with the person with whom she had entered into the extramarital relationshi</w:t>
      </w:r>
      <w:r w:rsidR="00C04C51">
        <w:rPr>
          <w:lang w:val="en-US"/>
        </w:rPr>
        <w:t>p.</w:t>
      </w:r>
    </w:p>
  </w:footnote>
  <w:footnote w:id="5">
    <w:p w14:paraId="7713ADD0"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493A92">
        <w:rPr>
          <w:i/>
          <w:iCs/>
          <w:lang w:val="en-US"/>
        </w:rPr>
        <w:t>Plascon-Evans Paints v Van Riebeeck Paints</w:t>
      </w:r>
      <w:r w:rsidRPr="00CB0965">
        <w:rPr>
          <w:lang w:val="en-US"/>
        </w:rPr>
        <w:t xml:space="preserve"> 1984 (3) SA 623 (AD) (‘</w:t>
      </w:r>
      <w:r w:rsidRPr="00493A92">
        <w:rPr>
          <w:i/>
          <w:iCs/>
          <w:lang w:val="en-US"/>
        </w:rPr>
        <w:t>Plascon-Evans</w:t>
      </w:r>
      <w:r>
        <w:rPr>
          <w:lang w:val="en-US"/>
        </w:rPr>
        <w:t>’</w:t>
      </w:r>
      <w:r w:rsidRPr="00CB0965">
        <w:rPr>
          <w:lang w:val="en-US"/>
        </w:rPr>
        <w:t>) at 634E-G.</w:t>
      </w:r>
    </w:p>
  </w:footnote>
  <w:footnote w:id="6">
    <w:p w14:paraId="48FFFAF3" w14:textId="7CFF0912"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8E49B0">
        <w:rPr>
          <w:i/>
          <w:iCs/>
          <w:lang w:val="en-US"/>
        </w:rPr>
        <w:t>Stellenbosch Farmers’ Winery Ltd v Stellenvale Winery (Pty) Ltd</w:t>
      </w:r>
      <w:r w:rsidRPr="00CB0965">
        <w:rPr>
          <w:lang w:val="en-US"/>
        </w:rPr>
        <w:t xml:space="preserve"> 1957 (4) SA 234 (C) at 235E-G. In </w:t>
      </w:r>
      <w:r w:rsidRPr="008E49B0">
        <w:rPr>
          <w:i/>
          <w:iCs/>
          <w:lang w:val="en-US"/>
        </w:rPr>
        <w:t>Plascon-Evans</w:t>
      </w:r>
      <w:r w:rsidRPr="00CB0965">
        <w:rPr>
          <w:lang w:val="en-US"/>
        </w:rPr>
        <w:t xml:space="preserve">, the court added that in certain instances the denial by respondent of a fact alleged by the applicant may not be such as to raise a real, genuine or bona fide dispute of fact: </w:t>
      </w:r>
      <w:r w:rsidRPr="008E49B0">
        <w:rPr>
          <w:i/>
          <w:iCs/>
          <w:lang w:val="en-US"/>
        </w:rPr>
        <w:t>Plascon-Evans</w:t>
      </w:r>
      <w:r w:rsidRPr="00CB0965">
        <w:rPr>
          <w:lang w:val="en-US"/>
        </w:rPr>
        <w:t xml:space="preserve"> supra fn </w:t>
      </w:r>
      <w:r w:rsidR="00B011CD">
        <w:rPr>
          <w:lang w:val="en-US"/>
        </w:rPr>
        <w:t>5</w:t>
      </w:r>
      <w:r w:rsidRPr="00CB0965">
        <w:rPr>
          <w:lang w:val="en-US"/>
        </w:rPr>
        <w:t xml:space="preserve"> at 634I-635A.</w:t>
      </w:r>
    </w:p>
  </w:footnote>
  <w:footnote w:id="7">
    <w:p w14:paraId="1F4B15D2"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8E49B0">
        <w:rPr>
          <w:i/>
          <w:iCs/>
          <w:lang w:val="en-US"/>
        </w:rPr>
        <w:t>Gangat v Akoon</w:t>
      </w:r>
      <w:r w:rsidRPr="00CB0965">
        <w:rPr>
          <w:lang w:val="en-US"/>
        </w:rPr>
        <w:t xml:space="preserve"> [2021] ZAGPJHC 828 (‘</w:t>
      </w:r>
      <w:r w:rsidRPr="008E49B0">
        <w:rPr>
          <w:i/>
          <w:iCs/>
          <w:lang w:val="en-US"/>
        </w:rPr>
        <w:t>Gangat</w:t>
      </w:r>
      <w:r w:rsidRPr="00CB0965">
        <w:rPr>
          <w:lang w:val="en-US"/>
        </w:rPr>
        <w:t xml:space="preserve">’). </w:t>
      </w:r>
    </w:p>
  </w:footnote>
  <w:footnote w:id="8">
    <w:p w14:paraId="1E90CF17"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Paras 12 and 16 of the applicant’s supplementary heads of argument.</w:t>
      </w:r>
    </w:p>
  </w:footnote>
  <w:footnote w:id="9">
    <w:p w14:paraId="346568DE"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8E49B0">
        <w:rPr>
          <w:i/>
          <w:iCs/>
          <w:lang w:val="en-US"/>
        </w:rPr>
        <w:t>Jansen van Rensburg v Beynon</w:t>
      </w:r>
      <w:r w:rsidRPr="00CB0965">
        <w:rPr>
          <w:lang w:val="en-US"/>
        </w:rPr>
        <w:t xml:space="preserve"> [2003] JOL 10630 (SE) para 10.</w:t>
      </w:r>
    </w:p>
  </w:footnote>
  <w:footnote w:id="10">
    <w:p w14:paraId="6AC411B6"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This is the reason that one of the requirements for rescission is demonstration of a bona fide defence with prima facie prospects of success. This is a matter to established at the subsequent trial, so that the rescission application itself is not a ‘final judgment’.</w:t>
      </w:r>
    </w:p>
  </w:footnote>
  <w:footnote w:id="11">
    <w:p w14:paraId="7EE86B26"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8E49B0">
        <w:rPr>
          <w:i/>
          <w:iCs/>
          <w:lang w:val="en-US"/>
        </w:rPr>
        <w:t>Storti v Nugent and Others</w:t>
      </w:r>
      <w:r w:rsidRPr="00CB0965">
        <w:rPr>
          <w:lang w:val="en-US"/>
        </w:rPr>
        <w:t xml:space="preserve"> 2001 (3) SA 783 (W) at 806G-J. It might be added that the suggestion that the present circumstance is not equivalent to ‘the exception’ referred to in this passage loses sight of the illustrative nature of the example cited. That example is considered in further detail, below. On whether or not there is any difference between default orders and other orders, see </w:t>
      </w:r>
      <w:r w:rsidRPr="008E49B0">
        <w:rPr>
          <w:i/>
          <w:iCs/>
          <w:lang w:val="en-US"/>
        </w:rPr>
        <w:t>Moraitis Investments (Pty) Ltd and Others v Montic Dairy (Pty) Ltd and Others</w:t>
      </w:r>
      <w:r w:rsidRPr="00CB0965">
        <w:rPr>
          <w:lang w:val="en-US"/>
        </w:rPr>
        <w:t xml:space="preserve"> [2017] ZASCA 54; 2017 (5) SA 508 (SCA) (‘</w:t>
      </w:r>
      <w:r w:rsidRPr="008E49B0">
        <w:rPr>
          <w:i/>
          <w:iCs/>
          <w:lang w:val="en-US"/>
        </w:rPr>
        <w:t>Moraitis</w:t>
      </w:r>
      <w:r w:rsidRPr="00CB0965">
        <w:rPr>
          <w:lang w:val="en-US"/>
        </w:rPr>
        <w:t>’) at 517.</w:t>
      </w:r>
    </w:p>
  </w:footnote>
  <w:footnote w:id="12">
    <w:p w14:paraId="47AD8C40" w14:textId="79B0C95F"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See </w:t>
      </w:r>
      <w:r w:rsidRPr="00D93B48">
        <w:rPr>
          <w:i/>
          <w:iCs/>
          <w:lang w:val="en-US"/>
        </w:rPr>
        <w:t>Storti v Nugent and Others</w:t>
      </w:r>
      <w:r w:rsidRPr="00CB0965">
        <w:rPr>
          <w:lang w:val="en-US"/>
        </w:rPr>
        <w:t xml:space="preserve"> supra fn 1</w:t>
      </w:r>
      <w:r w:rsidR="00064AF6">
        <w:rPr>
          <w:lang w:val="en-US"/>
        </w:rPr>
        <w:t>1</w:t>
      </w:r>
      <w:r w:rsidRPr="00CB0965">
        <w:rPr>
          <w:lang w:val="en-US"/>
        </w:rPr>
        <w:t xml:space="preserve"> at 805H-806J. In the context of s 149(2) of the Insolvency Act, 1936 (Act 24 of 1936), the court drew a distinction between rescissions in cases where the order should not have been granted, and where it was properly made but supervening factors made its rescission or variation necessary or desirable. It is in the case of the former that a prima facie case for rescission would suffice and the effect of the order would be interim and not final. As a result, ‘factual disputes are ordinarily not a bar to success’. But if supervening factors, such as an alleged composition with creditors, had come to light, the position was different. The order had in fact been correctly made but was to be set aside because of supervening factors, ‘the order of setting aside is expected to have final effect and factual disputes would then become an obstacle to the applicant’. See </w:t>
      </w:r>
      <w:r w:rsidRPr="00D93B48">
        <w:rPr>
          <w:i/>
          <w:iCs/>
          <w:lang w:val="en-US"/>
        </w:rPr>
        <w:t>Storti v Nugent</w:t>
      </w:r>
      <w:r w:rsidRPr="00CB0965">
        <w:rPr>
          <w:lang w:val="en-US"/>
        </w:rPr>
        <w:t xml:space="preserve"> </w:t>
      </w:r>
      <w:r w:rsidRPr="00D93B48">
        <w:rPr>
          <w:i/>
          <w:iCs/>
          <w:lang w:val="en-US"/>
        </w:rPr>
        <w:t>and Others</w:t>
      </w:r>
      <w:r w:rsidRPr="00CB0965">
        <w:rPr>
          <w:lang w:val="en-US"/>
        </w:rPr>
        <w:t xml:space="preserve"> supra fn 1</w:t>
      </w:r>
      <w:r w:rsidR="00064AF6">
        <w:rPr>
          <w:lang w:val="en-US"/>
        </w:rPr>
        <w:t>1</w:t>
      </w:r>
      <w:r w:rsidRPr="00CB0965">
        <w:rPr>
          <w:lang w:val="en-US"/>
        </w:rPr>
        <w:t xml:space="preserve"> at 806H-J. </w:t>
      </w:r>
    </w:p>
  </w:footnote>
  <w:footnote w:id="13">
    <w:p w14:paraId="218B2951"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See </w:t>
      </w:r>
      <w:r w:rsidRPr="00D93B48">
        <w:rPr>
          <w:i/>
          <w:iCs/>
          <w:lang w:val="en-US"/>
        </w:rPr>
        <w:t>S A v J A and Others</w:t>
      </w:r>
      <w:r w:rsidRPr="00CB0965">
        <w:rPr>
          <w:lang w:val="en-US"/>
        </w:rPr>
        <w:t xml:space="preserve"> [2020] ZAWCHC 155 para 16: the settlement agreement and the resultant consent order disposes of the underlying dispute. Any rescission, variation or a suspension of the (maintenance) order granted earlier becomes a new dispute between the parties where the original order granted may form the basis of any new contemplated action.</w:t>
      </w:r>
    </w:p>
  </w:footnote>
  <w:footnote w:id="14">
    <w:p w14:paraId="72BCC351"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D93B48">
        <w:rPr>
          <w:i/>
          <w:iCs/>
          <w:lang w:val="en-US"/>
        </w:rPr>
        <w:t>Slabbert v MEC for Health and Social Development, Gauteng</w:t>
      </w:r>
      <w:r w:rsidRPr="00CB0965">
        <w:rPr>
          <w:lang w:val="en-US"/>
        </w:rPr>
        <w:t xml:space="preserve"> [2016] ZASCA 157 (‘</w:t>
      </w:r>
      <w:r w:rsidRPr="00D93B48">
        <w:rPr>
          <w:i/>
          <w:iCs/>
          <w:lang w:val="en-US"/>
        </w:rPr>
        <w:t>Slabbert</w:t>
      </w:r>
      <w:r w:rsidRPr="00CB0965">
        <w:rPr>
          <w:lang w:val="en-US"/>
        </w:rPr>
        <w:t>’).</w:t>
      </w:r>
    </w:p>
  </w:footnote>
  <w:footnote w:id="15">
    <w:p w14:paraId="4E9DF1C9"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D93B48">
        <w:rPr>
          <w:i/>
          <w:iCs/>
          <w:lang w:val="en-US"/>
        </w:rPr>
        <w:t>Slabbert</w:t>
      </w:r>
      <w:r w:rsidRPr="00CB0965">
        <w:rPr>
          <w:lang w:val="en-US"/>
        </w:rPr>
        <w:t xml:space="preserve"> ibid para 10.</w:t>
      </w:r>
    </w:p>
  </w:footnote>
  <w:footnote w:id="16">
    <w:p w14:paraId="1C51937F"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D93B48">
        <w:rPr>
          <w:i/>
          <w:iCs/>
          <w:lang w:val="en-US"/>
        </w:rPr>
        <w:t>Slabbert</w:t>
      </w:r>
      <w:r w:rsidRPr="00CB0965">
        <w:rPr>
          <w:lang w:val="en-US"/>
        </w:rPr>
        <w:t xml:space="preserve"> ibid para 19.</w:t>
      </w:r>
    </w:p>
  </w:footnote>
  <w:footnote w:id="17">
    <w:p w14:paraId="52DD5AB5"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Marais also confirms that he understood the reference to R100 000 to relate to expenses the applicant would pay over a period of time, with R400 000 to be payable upon the sale of the farm, if the respondent should decide to sell same.</w:t>
      </w:r>
    </w:p>
  </w:footnote>
  <w:footnote w:id="18">
    <w:p w14:paraId="10EDBDCE" w14:textId="0F74C90D"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D93B48">
        <w:rPr>
          <w:i/>
          <w:iCs/>
          <w:lang w:val="en-US"/>
        </w:rPr>
        <w:t>Plascon-Evans</w:t>
      </w:r>
      <w:r w:rsidRPr="00CB0965">
        <w:rPr>
          <w:lang w:val="en-US"/>
        </w:rPr>
        <w:t xml:space="preserve"> supra fn </w:t>
      </w:r>
      <w:r w:rsidR="0088367F">
        <w:rPr>
          <w:lang w:val="en-US"/>
        </w:rPr>
        <w:t>5</w:t>
      </w:r>
      <w:r w:rsidRPr="00CB0965">
        <w:rPr>
          <w:lang w:val="en-US"/>
        </w:rPr>
        <w:t xml:space="preserve"> at 634H-635C.</w:t>
      </w:r>
    </w:p>
  </w:footnote>
  <w:footnote w:id="19">
    <w:p w14:paraId="0B9743EF" w14:textId="31116FAC"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On the duty of the applicant to seek a referral to oral evidence if of the reasonable opinion that a dispute of fact merited this, see </w:t>
      </w:r>
      <w:r w:rsidRPr="00D93B48">
        <w:rPr>
          <w:i/>
          <w:iCs/>
          <w:lang w:val="en-US"/>
        </w:rPr>
        <w:t>Masetlha v President of the Republic of South Africa and Another</w:t>
      </w:r>
      <w:r w:rsidRPr="00CB0965">
        <w:rPr>
          <w:lang w:val="en-US"/>
        </w:rPr>
        <w:t xml:space="preserve"> [2007] ZACC 20 para 94. On the applicant’s risk in proceeding by way of motion proceedings, see </w:t>
      </w:r>
      <w:r w:rsidRPr="00D93B48">
        <w:rPr>
          <w:i/>
          <w:iCs/>
          <w:lang w:val="en-US"/>
        </w:rPr>
        <w:t>Gounder v Topspec Investments (Pty) Ltd</w:t>
      </w:r>
      <w:r w:rsidRPr="00CB0965">
        <w:rPr>
          <w:lang w:val="en-US"/>
        </w:rPr>
        <w:t xml:space="preserve"> [2008] ZASCA 52 at para 10. Cf </w:t>
      </w:r>
      <w:r w:rsidRPr="00A05A87">
        <w:rPr>
          <w:i/>
          <w:iCs/>
          <w:lang w:val="en-US"/>
        </w:rPr>
        <w:t>Bakoven Ltd v GJ Howes (Pty) Ltd</w:t>
      </w:r>
      <w:r w:rsidRPr="00CB0965">
        <w:rPr>
          <w:lang w:val="en-US"/>
        </w:rPr>
        <w:t xml:space="preserve"> 1992 (2) SA 466 (ECD) (‘</w:t>
      </w:r>
      <w:r w:rsidRPr="00A05A87">
        <w:rPr>
          <w:i/>
          <w:iCs/>
          <w:lang w:val="en-US"/>
        </w:rPr>
        <w:t>Bakoven</w:t>
      </w:r>
      <w:r w:rsidR="0088367F">
        <w:rPr>
          <w:lang w:val="en-US"/>
        </w:rPr>
        <w:t>’</w:t>
      </w:r>
      <w:r w:rsidRPr="00CB0965">
        <w:rPr>
          <w:lang w:val="en-US"/>
        </w:rPr>
        <w:t>) at 475A-E.</w:t>
      </w:r>
    </w:p>
  </w:footnote>
  <w:footnote w:id="20">
    <w:p w14:paraId="4515CEDD"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0738F3">
        <w:rPr>
          <w:i/>
          <w:iCs/>
          <w:lang w:val="en-US"/>
        </w:rPr>
        <w:t>Freedom Stationery (Pty) Ltd and Others v Hassam and Others</w:t>
      </w:r>
      <w:r w:rsidRPr="00CB0965">
        <w:rPr>
          <w:lang w:val="en-US"/>
        </w:rPr>
        <w:t xml:space="preserve"> 2019 (4) SA 459 (SCA) para 16. Also see s 165(5) of the Constitution of the Republic of South Africa, 1996.</w:t>
      </w:r>
    </w:p>
  </w:footnote>
  <w:footnote w:id="21">
    <w:p w14:paraId="70ADC01C"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See s 7(1) of the Divorce Act, 1979 (Act 70 of 1979), confirming that a court granting a decree of divorce may in accordance with a written agreement between the parties make an order with regard to the division of the assets of the parties or the payment of maintenance by the one party to the other.</w:t>
      </w:r>
    </w:p>
  </w:footnote>
  <w:footnote w:id="22">
    <w:p w14:paraId="54AFEB7B"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0738F3">
        <w:rPr>
          <w:i/>
          <w:iCs/>
          <w:lang w:val="en-US"/>
        </w:rPr>
        <w:t>Ex Parte Le Grange and Another In re: Le Grange v Le Grange</w:t>
      </w:r>
      <w:r w:rsidRPr="00CB0965">
        <w:rPr>
          <w:lang w:val="en-US"/>
        </w:rPr>
        <w:t xml:space="preserve"> [2013] ECGHC 75 (‘</w:t>
      </w:r>
      <w:r w:rsidRPr="000738F3">
        <w:rPr>
          <w:i/>
          <w:iCs/>
          <w:lang w:val="en-US"/>
        </w:rPr>
        <w:t>Le Grange</w:t>
      </w:r>
      <w:r w:rsidRPr="00CB0965">
        <w:rPr>
          <w:lang w:val="en-US"/>
        </w:rPr>
        <w:t xml:space="preserve">’), also reported as </w:t>
      </w:r>
      <w:r w:rsidRPr="00502759">
        <w:rPr>
          <w:i/>
          <w:iCs/>
          <w:lang w:val="en-US"/>
        </w:rPr>
        <w:t>PL v YL</w:t>
      </w:r>
      <w:r w:rsidRPr="00CB0965">
        <w:rPr>
          <w:lang w:val="en-US"/>
        </w:rPr>
        <w:t xml:space="preserve"> 2013 (6) SA 28 (ECG) para 15. </w:t>
      </w:r>
    </w:p>
  </w:footnote>
  <w:footnote w:id="23">
    <w:p w14:paraId="7BE9AA84" w14:textId="0607D4FB"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See the judgment of Eksteen J in </w:t>
      </w:r>
      <w:r w:rsidRPr="00502759">
        <w:rPr>
          <w:i/>
          <w:iCs/>
          <w:lang w:val="en-US"/>
        </w:rPr>
        <w:t>Van der Linde NO obo Robiyana v Road Accident Fund</w:t>
      </w:r>
      <w:r w:rsidRPr="00CB0965">
        <w:rPr>
          <w:lang w:val="en-US"/>
        </w:rPr>
        <w:t xml:space="preserve"> (unreported) (Eastern Cape Local Division, Gqeberha) (case no. 1453/2021) para 11. Litigation after the consent order will typically relate to non-compliance with the consent order and not the underlying dispute: </w:t>
      </w:r>
      <w:r w:rsidRPr="00502759">
        <w:rPr>
          <w:i/>
          <w:iCs/>
          <w:lang w:val="en-US"/>
        </w:rPr>
        <w:t>Slabbert</w:t>
      </w:r>
      <w:r w:rsidRPr="00CB0965">
        <w:rPr>
          <w:lang w:val="en-US"/>
        </w:rPr>
        <w:t xml:space="preserve"> supra fn </w:t>
      </w:r>
      <w:r w:rsidR="0088367F">
        <w:rPr>
          <w:lang w:val="en-US"/>
        </w:rPr>
        <w:t>14</w:t>
      </w:r>
      <w:r w:rsidRPr="00CB0965">
        <w:rPr>
          <w:lang w:val="en-US"/>
        </w:rPr>
        <w:t xml:space="preserve"> para 7.</w:t>
      </w:r>
    </w:p>
  </w:footnote>
  <w:footnote w:id="24">
    <w:p w14:paraId="4E3F8C2E" w14:textId="3594DEC5"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85603D">
        <w:rPr>
          <w:i/>
          <w:iCs/>
          <w:lang w:val="en-US"/>
        </w:rPr>
        <w:t>Le Grange</w:t>
      </w:r>
      <w:r w:rsidRPr="00CB0965">
        <w:rPr>
          <w:lang w:val="en-US"/>
        </w:rPr>
        <w:t xml:space="preserve"> supra fn </w:t>
      </w:r>
      <w:r w:rsidR="003D277E">
        <w:rPr>
          <w:lang w:val="en-US"/>
        </w:rPr>
        <w:t>22</w:t>
      </w:r>
      <w:r w:rsidRPr="00CB0965">
        <w:rPr>
          <w:lang w:val="en-US"/>
        </w:rPr>
        <w:t xml:space="preserve"> paras 45, 46. </w:t>
      </w:r>
    </w:p>
  </w:footnote>
  <w:footnote w:id="25">
    <w:p w14:paraId="76F18EDC" w14:textId="55603B50"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85603D">
        <w:rPr>
          <w:i/>
          <w:iCs/>
          <w:lang w:val="en-US"/>
        </w:rPr>
        <w:t>Eke v Parsons</w:t>
      </w:r>
      <w:r w:rsidRPr="00CB0965">
        <w:rPr>
          <w:lang w:val="en-US"/>
        </w:rPr>
        <w:t xml:space="preserve"> [2015] ZACC 30 para 31 (footnote included). For a detailed analysis of settlement agreements in the context of divorce proceedings where the parties have agreed that the terms of their agreement be made an order of court, see the judgment of Van Zyl DJP in </w:t>
      </w:r>
      <w:r w:rsidRPr="0085603D">
        <w:rPr>
          <w:i/>
          <w:iCs/>
          <w:lang w:val="en-US"/>
        </w:rPr>
        <w:t>Le Grange</w:t>
      </w:r>
      <w:r w:rsidRPr="00CB0965">
        <w:rPr>
          <w:lang w:val="en-US"/>
        </w:rPr>
        <w:t xml:space="preserve"> supra fn </w:t>
      </w:r>
      <w:r w:rsidR="00F54A0C">
        <w:rPr>
          <w:lang w:val="en-US"/>
        </w:rPr>
        <w:t>22</w:t>
      </w:r>
      <w:r w:rsidRPr="00CB0965">
        <w:rPr>
          <w:lang w:val="en-US"/>
        </w:rPr>
        <w:t xml:space="preserve">. Also see </w:t>
      </w:r>
      <w:r w:rsidRPr="0085603D">
        <w:rPr>
          <w:i/>
          <w:iCs/>
          <w:lang w:val="en-US"/>
        </w:rPr>
        <w:t>Slabbert</w:t>
      </w:r>
      <w:r w:rsidRPr="00CB0965">
        <w:rPr>
          <w:lang w:val="en-US"/>
        </w:rPr>
        <w:t xml:space="preserve"> supra fn </w:t>
      </w:r>
      <w:r w:rsidR="008E2CFB">
        <w:rPr>
          <w:lang w:val="en-US"/>
        </w:rPr>
        <w:t>14</w:t>
      </w:r>
      <w:r w:rsidRPr="00CB0965">
        <w:rPr>
          <w:lang w:val="en-US"/>
        </w:rPr>
        <w:t xml:space="preserve"> para 7 on the purpose of a compromise and the effect when a compromise is embodied in an order of court.</w:t>
      </w:r>
    </w:p>
  </w:footnote>
  <w:footnote w:id="26">
    <w:p w14:paraId="2C027912" w14:textId="2A9CBA7F"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1931F0">
        <w:rPr>
          <w:i/>
          <w:iCs/>
          <w:lang w:val="en-US"/>
        </w:rPr>
        <w:t>Slabbert</w:t>
      </w:r>
      <w:r w:rsidRPr="00CB0965">
        <w:rPr>
          <w:lang w:val="en-US"/>
        </w:rPr>
        <w:t xml:space="preserve"> supra fn </w:t>
      </w:r>
      <w:r w:rsidR="008E2CFB">
        <w:rPr>
          <w:lang w:val="en-US"/>
        </w:rPr>
        <w:t>14</w:t>
      </w:r>
      <w:r w:rsidRPr="00CB0965">
        <w:rPr>
          <w:lang w:val="en-US"/>
        </w:rPr>
        <w:t xml:space="preserve"> para 7.</w:t>
      </w:r>
    </w:p>
  </w:footnote>
  <w:footnote w:id="27">
    <w:p w14:paraId="75EB77C9" w14:textId="1F904663"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1931F0">
        <w:rPr>
          <w:i/>
          <w:iCs/>
        </w:rPr>
        <w:t>Moraitis</w:t>
      </w:r>
      <w:r w:rsidRPr="00CB0965">
        <w:t xml:space="preserve"> supra fn 1</w:t>
      </w:r>
      <w:r w:rsidR="008E2CFB">
        <w:t>1</w:t>
      </w:r>
      <w:r w:rsidRPr="00CB0965">
        <w:t xml:space="preserve"> </w:t>
      </w:r>
      <w:r w:rsidRPr="00CB0965">
        <w:rPr>
          <w:lang w:val="en-US"/>
        </w:rPr>
        <w:t>para 10.</w:t>
      </w:r>
    </w:p>
  </w:footnote>
  <w:footnote w:id="28">
    <w:p w14:paraId="655F4876" w14:textId="3F8B530D"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The judgment operates as res judicata and precludes a claim based on the underlying agreement. Unless and until the judgment is set aside the compromise agreement remains intact: </w:t>
      </w:r>
      <w:r w:rsidRPr="001931F0">
        <w:rPr>
          <w:i/>
          <w:iCs/>
          <w:lang w:val="en-US"/>
        </w:rPr>
        <w:t>Moraitis</w:t>
      </w:r>
      <w:r w:rsidRPr="00CB0965">
        <w:rPr>
          <w:lang w:val="en-US"/>
        </w:rPr>
        <w:t xml:space="preserve"> supra fn 1</w:t>
      </w:r>
      <w:r w:rsidR="00EA3FFE">
        <w:rPr>
          <w:lang w:val="en-US"/>
        </w:rPr>
        <w:t>1</w:t>
      </w:r>
      <w:r w:rsidRPr="00CB0965">
        <w:rPr>
          <w:lang w:val="en-US"/>
        </w:rPr>
        <w:t xml:space="preserve"> para 16. Cf </w:t>
      </w:r>
      <w:r w:rsidRPr="001931F0">
        <w:rPr>
          <w:i/>
          <w:iCs/>
          <w:lang w:val="en-US"/>
        </w:rPr>
        <w:t>Slabbert</w:t>
      </w:r>
      <w:r w:rsidRPr="00CB0965">
        <w:rPr>
          <w:lang w:val="en-US"/>
        </w:rPr>
        <w:t xml:space="preserve"> supra fn </w:t>
      </w:r>
      <w:r w:rsidR="00BA2923">
        <w:rPr>
          <w:lang w:val="en-US"/>
        </w:rPr>
        <w:t>14</w:t>
      </w:r>
      <w:r w:rsidRPr="00CB0965">
        <w:rPr>
          <w:lang w:val="en-US"/>
        </w:rPr>
        <w:t xml:space="preserve"> para 17, seemingly linking the setting aside of a consent order with the underlying agreement: </w:t>
      </w:r>
      <w:r w:rsidRPr="00CB0965">
        <w:rPr>
          <w:lang w:val="en-GB"/>
        </w:rPr>
        <w:t>‘A court also does not have a discretion to set aside a consent order where there are no grounds for setting aside the underlying agreement of compromise pursuant to which the consent order was made.’</w:t>
      </w:r>
    </w:p>
  </w:footnote>
  <w:footnote w:id="29">
    <w:p w14:paraId="136BCD2F" w14:textId="4FE6BF5A"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See </w:t>
      </w:r>
      <w:r w:rsidRPr="00DE5339">
        <w:rPr>
          <w:i/>
          <w:iCs/>
          <w:lang w:val="en-US"/>
        </w:rPr>
        <w:t>Moraitis</w:t>
      </w:r>
      <w:r w:rsidRPr="00CB0965">
        <w:rPr>
          <w:lang w:val="en-US"/>
        </w:rPr>
        <w:t xml:space="preserve"> supra fn 1</w:t>
      </w:r>
      <w:r w:rsidR="00914548">
        <w:rPr>
          <w:lang w:val="en-US"/>
        </w:rPr>
        <w:t>1</w:t>
      </w:r>
      <w:r w:rsidRPr="00CB0965">
        <w:rPr>
          <w:lang w:val="en-US"/>
        </w:rPr>
        <w:t xml:space="preserve"> para 16. Once a settlement agreement is made an order of court, it is an order like any other and will be interpreted like all court orders: </w:t>
      </w:r>
      <w:r w:rsidRPr="00DE5339">
        <w:rPr>
          <w:i/>
          <w:iCs/>
          <w:lang w:val="en-US"/>
        </w:rPr>
        <w:t>Eke v Parsons</w:t>
      </w:r>
      <w:r w:rsidRPr="00CB0965">
        <w:rPr>
          <w:lang w:val="en-US"/>
        </w:rPr>
        <w:t xml:space="preserve"> supra fn </w:t>
      </w:r>
      <w:r w:rsidR="006D3525">
        <w:rPr>
          <w:lang w:val="en-US"/>
        </w:rPr>
        <w:t>25</w:t>
      </w:r>
      <w:r w:rsidRPr="00CB0965">
        <w:rPr>
          <w:lang w:val="en-US"/>
        </w:rPr>
        <w:t xml:space="preserve"> paras 29, 30.</w:t>
      </w:r>
    </w:p>
  </w:footnote>
  <w:footnote w:id="30">
    <w:p w14:paraId="29AB3049" w14:textId="1BEFFD58"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DE5339">
        <w:rPr>
          <w:i/>
          <w:iCs/>
          <w:lang w:val="en-US"/>
        </w:rPr>
        <w:t>Moraitis</w:t>
      </w:r>
      <w:r w:rsidRPr="00CB0965">
        <w:rPr>
          <w:lang w:val="en-US"/>
        </w:rPr>
        <w:t xml:space="preserve"> supra fn 1</w:t>
      </w:r>
      <w:r w:rsidR="005B5ACB">
        <w:rPr>
          <w:lang w:val="en-US"/>
        </w:rPr>
        <w:t>1</w:t>
      </w:r>
      <w:r w:rsidRPr="00CB0965">
        <w:rPr>
          <w:lang w:val="en-US"/>
        </w:rPr>
        <w:t xml:space="preserve"> para 12. The reference to ‘</w:t>
      </w:r>
      <w:r w:rsidRPr="00DE5339">
        <w:rPr>
          <w:i/>
          <w:iCs/>
          <w:lang w:val="en-US"/>
        </w:rPr>
        <w:t>Schierhout</w:t>
      </w:r>
      <w:r w:rsidRPr="00CB0965">
        <w:rPr>
          <w:lang w:val="en-US"/>
        </w:rPr>
        <w:t xml:space="preserve">’ relates to </w:t>
      </w:r>
      <w:r w:rsidRPr="00DE5339">
        <w:rPr>
          <w:i/>
          <w:iCs/>
          <w:lang w:val="en-US"/>
        </w:rPr>
        <w:t>Schierhout v Union Government</w:t>
      </w:r>
      <w:r w:rsidRPr="00CB0965">
        <w:rPr>
          <w:lang w:val="en-US"/>
        </w:rPr>
        <w:t xml:space="preserve"> 1927 AD 94 (‘</w:t>
      </w:r>
      <w:r w:rsidRPr="00DE5339">
        <w:rPr>
          <w:i/>
          <w:iCs/>
          <w:lang w:val="en-US"/>
        </w:rPr>
        <w:t>Schierhout</w:t>
      </w:r>
      <w:r w:rsidRPr="00CB0965">
        <w:rPr>
          <w:lang w:val="en-US"/>
        </w:rPr>
        <w:t>’). The reference to ‘</w:t>
      </w:r>
      <w:r w:rsidRPr="00DE5339">
        <w:rPr>
          <w:i/>
          <w:iCs/>
          <w:lang w:val="en-US"/>
        </w:rPr>
        <w:t>Childerley</w:t>
      </w:r>
      <w:r w:rsidRPr="00CB0965">
        <w:rPr>
          <w:lang w:val="en-US"/>
        </w:rPr>
        <w:t xml:space="preserve">’ is to </w:t>
      </w:r>
      <w:r w:rsidRPr="00DE5339">
        <w:rPr>
          <w:i/>
          <w:iCs/>
          <w:lang w:val="en-US"/>
        </w:rPr>
        <w:t>Childerley Estate Stores v Standard Bank</w:t>
      </w:r>
      <w:r w:rsidRPr="00CB0965">
        <w:rPr>
          <w:lang w:val="en-US"/>
        </w:rPr>
        <w:t xml:space="preserve"> of SA Ltd 1924 OPD 163 (‘</w:t>
      </w:r>
      <w:r w:rsidRPr="00DE5339">
        <w:rPr>
          <w:i/>
          <w:iCs/>
          <w:lang w:val="en-US"/>
        </w:rPr>
        <w:t>Childerley</w:t>
      </w:r>
      <w:r w:rsidRPr="00CB0965">
        <w:rPr>
          <w:lang w:val="en-US"/>
        </w:rPr>
        <w:t xml:space="preserve">’) Also see </w:t>
      </w:r>
      <w:r w:rsidRPr="0062659D">
        <w:rPr>
          <w:i/>
          <w:iCs/>
          <w:lang w:val="en-US"/>
        </w:rPr>
        <w:t>De Wet and Others v Western Bank Ltd</w:t>
      </w:r>
      <w:r w:rsidRPr="00CB0965">
        <w:rPr>
          <w:lang w:val="en-US"/>
        </w:rPr>
        <w:t xml:space="preserve"> 1979 (2) SA 1031 (AD) (‘</w:t>
      </w:r>
      <w:r w:rsidRPr="0062659D">
        <w:rPr>
          <w:i/>
          <w:iCs/>
          <w:lang w:val="en-US"/>
        </w:rPr>
        <w:t>De Wet</w:t>
      </w:r>
      <w:r w:rsidRPr="0062659D">
        <w:rPr>
          <w:lang w:val="en-US"/>
        </w:rPr>
        <w:t>’</w:t>
      </w:r>
      <w:r w:rsidRPr="00CB0965">
        <w:rPr>
          <w:lang w:val="en-US"/>
        </w:rPr>
        <w:t xml:space="preserve">) at 1041B-E, which dealt with a wider discretion for rescission in cases of procedural defaults and default judgments. See the remarks of Erasmus J in </w:t>
      </w:r>
      <w:r w:rsidRPr="0062659D">
        <w:rPr>
          <w:i/>
          <w:iCs/>
          <w:lang w:val="en-US"/>
        </w:rPr>
        <w:t xml:space="preserve">Bakoven </w:t>
      </w:r>
      <w:r w:rsidRPr="00CB0965">
        <w:rPr>
          <w:lang w:val="en-US"/>
        </w:rPr>
        <w:t xml:space="preserve">supra fn </w:t>
      </w:r>
      <w:r w:rsidR="00D22365">
        <w:rPr>
          <w:lang w:val="en-US"/>
        </w:rPr>
        <w:t>19</w:t>
      </w:r>
      <w:r w:rsidRPr="00CB0965">
        <w:rPr>
          <w:lang w:val="en-US"/>
        </w:rPr>
        <w:t xml:space="preserve"> at 473C-E. </w:t>
      </w:r>
      <w:r w:rsidRPr="00D16CF4">
        <w:rPr>
          <w:i/>
          <w:iCs/>
          <w:lang w:val="en-US"/>
        </w:rPr>
        <w:t>De Wet</w:t>
      </w:r>
      <w:r w:rsidRPr="00CB0965">
        <w:rPr>
          <w:lang w:val="en-US"/>
        </w:rPr>
        <w:t xml:space="preserve"> referred specifically to the distinction between judgments granted ‘without going into the merits of the dispute between the parties, and the rescission of final and definitive judgments, whether by default or not, after evidence had been adduced on the merits of the dispute. In the present case, the consent order would have been granted after the respondent testified and the documentary evidence of the settlement agreement considered by the court. It cannot be akin to a situation of ‘default’. In the context of rescission of a consent order taken by default, see </w:t>
      </w:r>
      <w:r w:rsidRPr="00D16CF4">
        <w:rPr>
          <w:i/>
          <w:iCs/>
          <w:lang w:val="en-US"/>
        </w:rPr>
        <w:t>Oppressed A</w:t>
      </w:r>
      <w:r w:rsidR="00D32BFA">
        <w:rPr>
          <w:i/>
          <w:iCs/>
          <w:lang w:val="en-US"/>
        </w:rPr>
        <w:t xml:space="preserve">CSA </w:t>
      </w:r>
      <w:r w:rsidRPr="00D16CF4">
        <w:rPr>
          <w:i/>
          <w:iCs/>
          <w:lang w:val="en-US"/>
        </w:rPr>
        <w:t>Minority 1 (Pty) Ltd and Another v Government of the Republic of South Africa and Others</w:t>
      </w:r>
      <w:r w:rsidRPr="00CB0965">
        <w:rPr>
          <w:lang w:val="en-US"/>
        </w:rPr>
        <w:t xml:space="preserve"> [2022] ZASCA 50 (‘</w:t>
      </w:r>
      <w:r w:rsidRPr="00D16CF4">
        <w:rPr>
          <w:i/>
          <w:iCs/>
          <w:lang w:val="en-US"/>
        </w:rPr>
        <w:t>Oppressed ACSA Minority</w:t>
      </w:r>
      <w:r w:rsidRPr="00CB0965">
        <w:rPr>
          <w:lang w:val="en-US"/>
        </w:rPr>
        <w:t>’) para 24: ‘At common law a final judgment may be set aside for fraud, justus error (in exceptional circumstances) and justa causa.’</w:t>
      </w:r>
    </w:p>
  </w:footnote>
  <w:footnote w:id="31">
    <w:p w14:paraId="27681A71"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See </w:t>
      </w:r>
      <w:r w:rsidRPr="00D16CF4">
        <w:rPr>
          <w:i/>
          <w:iCs/>
          <w:lang w:val="en-US"/>
        </w:rPr>
        <w:t>S.S v H.P</w:t>
      </w:r>
      <w:r w:rsidRPr="00CB0965">
        <w:rPr>
          <w:lang w:val="en-US"/>
        </w:rPr>
        <w:t xml:space="preserve"> [2019] ZAGPJHC 486 paras 67-71 and the authorities cited there. Cf </w:t>
      </w:r>
      <w:r w:rsidRPr="00D16CF4">
        <w:rPr>
          <w:i/>
          <w:iCs/>
          <w:lang w:val="en-US"/>
        </w:rPr>
        <w:t>Faulkner v Freeman</w:t>
      </w:r>
      <w:r w:rsidRPr="00CB0965">
        <w:rPr>
          <w:lang w:val="en-US"/>
        </w:rPr>
        <w:t xml:space="preserve"> 1985 (3) SA 555 (C) at 559A-D.</w:t>
      </w:r>
    </w:p>
  </w:footnote>
  <w:footnote w:id="32">
    <w:p w14:paraId="5FCB242F"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Ibid.</w:t>
      </w:r>
    </w:p>
  </w:footnote>
  <w:footnote w:id="33">
    <w:p w14:paraId="0F3815B0"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It has been held that to be of little practical significance whether a judgment is based on a compromise or an agreement to consent to judgment: </w:t>
      </w:r>
      <w:r w:rsidRPr="00D16CF4">
        <w:rPr>
          <w:i/>
          <w:iCs/>
          <w:lang w:val="en-US"/>
        </w:rPr>
        <w:t>MEC for Economic Affairs, Environment and Tourism v Kruisenga</w:t>
      </w:r>
      <w:r w:rsidRPr="00CB0965">
        <w:rPr>
          <w:lang w:val="en-US"/>
        </w:rPr>
        <w:t xml:space="preserve"> (‘</w:t>
      </w:r>
      <w:r w:rsidRPr="00D16CF4">
        <w:rPr>
          <w:i/>
          <w:iCs/>
          <w:lang w:val="en-US"/>
        </w:rPr>
        <w:t>Kruisenga</w:t>
      </w:r>
      <w:r w:rsidRPr="00CB0965">
        <w:rPr>
          <w:lang w:val="en-US"/>
        </w:rPr>
        <w:t>’) 2008 (6) SA 264 (CkHC) para 53.</w:t>
      </w:r>
    </w:p>
  </w:footnote>
  <w:footnote w:id="34">
    <w:p w14:paraId="75A4C904"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See </w:t>
      </w:r>
      <w:r w:rsidRPr="00FA2115">
        <w:rPr>
          <w:i/>
          <w:iCs/>
          <w:lang w:val="en-US"/>
        </w:rPr>
        <w:t>Zwane v Zwane</w:t>
      </w:r>
      <w:r w:rsidRPr="00CB0965">
        <w:rPr>
          <w:lang w:val="en-US"/>
        </w:rPr>
        <w:t xml:space="preserve"> [2013] ZAGPPHC 339 para 9. </w:t>
      </w:r>
    </w:p>
  </w:footnote>
  <w:footnote w:id="35">
    <w:p w14:paraId="4DC0949D"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Para 5 of the founding affidavit, p 6 of the index.</w:t>
      </w:r>
    </w:p>
  </w:footnote>
  <w:footnote w:id="36">
    <w:p w14:paraId="7012361B"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The court does not have a discretion to set aside an order in terms of the subrule where one of the jurisdictional facts contained in paragraphs (a) to (c) of the subrule does not exist. Court have typically not given a more extended application to the rule to include all kinds of mistakes or irregularities: </w:t>
      </w:r>
      <w:r w:rsidRPr="00FA2115">
        <w:rPr>
          <w:i/>
          <w:iCs/>
          <w:lang w:val="en-US"/>
        </w:rPr>
        <w:t>Colyn v Tiger Food Industries Ltd t/a Meadow Feed Mills (Cape)</w:t>
      </w:r>
      <w:r w:rsidRPr="00CB0965">
        <w:rPr>
          <w:lang w:val="en-US"/>
        </w:rPr>
        <w:t xml:space="preserve"> 2003 (6) SA 1 (SCA) at 7E.</w:t>
      </w:r>
    </w:p>
  </w:footnote>
  <w:footnote w:id="37">
    <w:p w14:paraId="05B2994E" w14:textId="4679F283" w:rsidR="001F773F" w:rsidRPr="00F76A63"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See DE van Loggerenberg </w:t>
      </w:r>
      <w:r w:rsidRPr="00B44A8B">
        <w:rPr>
          <w:i/>
          <w:iCs/>
          <w:lang w:val="en-US"/>
        </w:rPr>
        <w:t>Erasmus: Superior Court Practice</w:t>
      </w:r>
      <w:r w:rsidRPr="00CB0965">
        <w:rPr>
          <w:lang w:val="en-US"/>
        </w:rPr>
        <w:t xml:space="preserve"> (RS 17) (2021) D1-576A and the authorities cited at fn 167. The general rule is that if the court has given judgment on mistaken facts, the judgment can be set aside only if the error was due to fraudulent misrepresentation. If the court is in error because of innocent misrepresentation, the vanquished party is not entitled to have the judgment rescinded even if the error was justus, except in rare and exceptional cases: </w:t>
      </w:r>
      <w:r w:rsidRPr="00B76097">
        <w:rPr>
          <w:i/>
          <w:iCs/>
          <w:lang w:val="en-US"/>
        </w:rPr>
        <w:t>Childerley</w:t>
      </w:r>
      <w:r w:rsidRPr="00CB0965">
        <w:rPr>
          <w:lang w:val="en-US"/>
        </w:rPr>
        <w:t xml:space="preserve"> supra fn </w:t>
      </w:r>
      <w:r w:rsidR="00995E05">
        <w:rPr>
          <w:lang w:val="en-US"/>
        </w:rPr>
        <w:t>30</w:t>
      </w:r>
      <w:r w:rsidRPr="00CB0965">
        <w:rPr>
          <w:lang w:val="en-US"/>
        </w:rPr>
        <w:t xml:space="preserve"> at 163.</w:t>
      </w:r>
      <w:r>
        <w:rPr>
          <w:lang w:val="en-US"/>
        </w:rPr>
        <w:t xml:space="preserve"> On unilateral mistake resulting in a contract made an order of court, and confirming that this is not a basis for rescission in terms of Uniform Rule 42(1)</w:t>
      </w:r>
      <w:r>
        <w:rPr>
          <w:i/>
          <w:iCs/>
          <w:lang w:val="en-US"/>
        </w:rPr>
        <w:t>(c)</w:t>
      </w:r>
      <w:r>
        <w:rPr>
          <w:lang w:val="en-US"/>
        </w:rPr>
        <w:t xml:space="preserve">, see </w:t>
      </w:r>
      <w:r>
        <w:rPr>
          <w:i/>
          <w:iCs/>
          <w:lang w:val="en-US"/>
        </w:rPr>
        <w:t>Botha v Road Accident Fund</w:t>
      </w:r>
      <w:r>
        <w:rPr>
          <w:lang w:val="en-US"/>
        </w:rPr>
        <w:t xml:space="preserve"> [2016] ZASCA 97 para 9.</w:t>
      </w:r>
    </w:p>
  </w:footnote>
  <w:footnote w:id="38">
    <w:p w14:paraId="2FB0039A" w14:textId="207E2F2B"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See para 51.8 of the answering affidavit. Also see </w:t>
      </w:r>
      <w:r w:rsidRPr="00B76097">
        <w:rPr>
          <w:i/>
          <w:iCs/>
        </w:rPr>
        <w:t xml:space="preserve">Tshivhase </w:t>
      </w:r>
      <w:r w:rsidRPr="00B76097">
        <w:rPr>
          <w:i/>
          <w:iCs/>
          <w:lang w:val="en-US"/>
        </w:rPr>
        <w:t>Royal Council and Another v Tshivhase and Another; Tshivhase and Another v Tshivhase and Another</w:t>
      </w:r>
      <w:r w:rsidRPr="00CB0965">
        <w:rPr>
          <w:lang w:val="en-US"/>
        </w:rPr>
        <w:t xml:space="preserve"> 1992 (4) SA 852 (‘</w:t>
      </w:r>
      <w:r w:rsidRPr="00B76097">
        <w:rPr>
          <w:i/>
          <w:iCs/>
          <w:lang w:val="en-US"/>
        </w:rPr>
        <w:t>Tshivhase</w:t>
      </w:r>
      <w:r>
        <w:rPr>
          <w:i/>
          <w:iCs/>
          <w:lang w:val="en-US"/>
        </w:rPr>
        <w:t>’</w:t>
      </w:r>
      <w:r w:rsidRPr="00CB0965">
        <w:rPr>
          <w:lang w:val="en-US"/>
        </w:rPr>
        <w:t>) at 863A-B.</w:t>
      </w:r>
    </w:p>
  </w:footnote>
  <w:footnote w:id="39">
    <w:p w14:paraId="0E87029D" w14:textId="38F17D53"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Para 13.7 of the replying affidavit.</w:t>
      </w:r>
    </w:p>
  </w:footnote>
  <w:footnote w:id="40">
    <w:p w14:paraId="6C7C0870"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The successful party must have been privy to the fraud: </w:t>
      </w:r>
      <w:r w:rsidRPr="00621CBD">
        <w:rPr>
          <w:i/>
          <w:iCs/>
          <w:lang w:val="en-US"/>
        </w:rPr>
        <w:t>Fraai Uitzicht 1798 Farm (Pty) Ltd v McCullough and Others</w:t>
      </w:r>
      <w:r w:rsidRPr="00CB0965">
        <w:rPr>
          <w:lang w:val="en-US"/>
        </w:rPr>
        <w:t xml:space="preserve"> [2020] ZASCA 60 para 17.</w:t>
      </w:r>
    </w:p>
  </w:footnote>
  <w:footnote w:id="41">
    <w:p w14:paraId="6D5CB4DC" w14:textId="64472B7E"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621CBD">
        <w:rPr>
          <w:i/>
          <w:iCs/>
        </w:rPr>
        <w:t>Schierhout</w:t>
      </w:r>
      <w:r w:rsidRPr="00CB0965">
        <w:t xml:space="preserve"> supra fn </w:t>
      </w:r>
      <w:r>
        <w:t>3</w:t>
      </w:r>
      <w:r w:rsidR="00F9588D">
        <w:t>0</w:t>
      </w:r>
      <w:r w:rsidRPr="00CB0965">
        <w:t xml:space="preserve"> </w:t>
      </w:r>
      <w:r w:rsidRPr="00CB0965">
        <w:rPr>
          <w:lang w:val="en-US"/>
        </w:rPr>
        <w:t xml:space="preserve">at 98. Also see </w:t>
      </w:r>
      <w:r w:rsidRPr="00621CBD">
        <w:rPr>
          <w:i/>
          <w:iCs/>
          <w:lang w:val="en-US"/>
        </w:rPr>
        <w:t>Fraai Uitzicht</w:t>
      </w:r>
      <w:r w:rsidRPr="00CB0965">
        <w:rPr>
          <w:lang w:val="en-US"/>
        </w:rPr>
        <w:t xml:space="preserve"> ibid 16, confirming that </w:t>
      </w:r>
      <w:r w:rsidRPr="00621CBD">
        <w:rPr>
          <w:i/>
          <w:iCs/>
          <w:lang w:val="en-US"/>
        </w:rPr>
        <w:t>Childerley</w:t>
      </w:r>
      <w:r w:rsidRPr="00CB0965">
        <w:rPr>
          <w:lang w:val="en-US"/>
        </w:rPr>
        <w:t xml:space="preserve"> supra fn </w:t>
      </w:r>
      <w:r>
        <w:rPr>
          <w:lang w:val="en-US"/>
        </w:rPr>
        <w:t>3</w:t>
      </w:r>
      <w:r w:rsidR="008000AC">
        <w:rPr>
          <w:lang w:val="en-US"/>
        </w:rPr>
        <w:t>0</w:t>
      </w:r>
      <w:r w:rsidRPr="00CB0965">
        <w:rPr>
          <w:lang w:val="en-US"/>
        </w:rPr>
        <w:t xml:space="preserve"> remains good authority regarding the circumstances under which a court can grant restitutio in integrum against a judgment. In order to succeed on this ground in the context of a trial, the plaintiff must prove: (1) the defendant gave incorrect evidence at the initial trial; (2) that the defendant did so fraudulently with the intention to mislead the court; and (3) that such false evidence diverged from the true facts to such an extent that the court, had it been aware thereof, would have given a different judgment: </w:t>
      </w:r>
      <w:r w:rsidRPr="00621CBD">
        <w:rPr>
          <w:i/>
          <w:iCs/>
          <w:lang w:val="en-US"/>
        </w:rPr>
        <w:t>Childerley</w:t>
      </w:r>
      <w:r w:rsidRPr="00CB0965">
        <w:rPr>
          <w:lang w:val="en-US"/>
        </w:rPr>
        <w:t xml:space="preserve"> supra fn </w:t>
      </w:r>
      <w:r>
        <w:rPr>
          <w:lang w:val="en-US"/>
        </w:rPr>
        <w:t>3</w:t>
      </w:r>
      <w:r w:rsidR="00575076">
        <w:rPr>
          <w:lang w:val="en-US"/>
        </w:rPr>
        <w:t>0</w:t>
      </w:r>
      <w:r w:rsidRPr="00CB0965">
        <w:rPr>
          <w:lang w:val="en-US"/>
        </w:rPr>
        <w:t xml:space="preserve"> at 169 as cited in </w:t>
      </w:r>
      <w:r w:rsidRPr="00621CBD">
        <w:rPr>
          <w:i/>
          <w:iCs/>
          <w:lang w:val="en-US"/>
        </w:rPr>
        <w:t>Fraai Uitzicht</w:t>
      </w:r>
      <w:r w:rsidRPr="00CB0965">
        <w:rPr>
          <w:lang w:val="en-US"/>
        </w:rPr>
        <w:t xml:space="preserve"> supra fn </w:t>
      </w:r>
      <w:r>
        <w:rPr>
          <w:lang w:val="en-US"/>
        </w:rPr>
        <w:t>4</w:t>
      </w:r>
      <w:r w:rsidR="00F77C63">
        <w:rPr>
          <w:lang w:val="en-US"/>
        </w:rPr>
        <w:t>0</w:t>
      </w:r>
      <w:r w:rsidRPr="00CB0965">
        <w:rPr>
          <w:lang w:val="en-US"/>
        </w:rPr>
        <w:t xml:space="preserve"> para 16. It has also been suggested that it must be alleged and proved that, but for the fraud, the court would not have granted the judgment: </w:t>
      </w:r>
      <w:r w:rsidRPr="00FE2603">
        <w:rPr>
          <w:i/>
          <w:iCs/>
          <w:lang w:val="en-US"/>
        </w:rPr>
        <w:t>Robinson v Kingswell</w:t>
      </w:r>
      <w:r w:rsidRPr="00CB0965">
        <w:rPr>
          <w:lang w:val="en-US"/>
        </w:rPr>
        <w:t xml:space="preserve"> 1915 AD 277 at 285.</w:t>
      </w:r>
    </w:p>
  </w:footnote>
  <w:footnote w:id="42">
    <w:p w14:paraId="189345A6" w14:textId="4CC10F2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See </w:t>
      </w:r>
      <w:r w:rsidRPr="005F36BE">
        <w:rPr>
          <w:i/>
          <w:iCs/>
          <w:lang w:val="en-US"/>
        </w:rPr>
        <w:t>Fraai Uitzicht</w:t>
      </w:r>
      <w:r w:rsidRPr="00CB0965">
        <w:rPr>
          <w:lang w:val="en-US"/>
        </w:rPr>
        <w:t xml:space="preserve"> supra fn </w:t>
      </w:r>
      <w:r>
        <w:rPr>
          <w:lang w:val="en-US"/>
        </w:rPr>
        <w:t>4</w:t>
      </w:r>
      <w:r w:rsidR="00E62609">
        <w:rPr>
          <w:lang w:val="en-US"/>
        </w:rPr>
        <w:t>0</w:t>
      </w:r>
      <w:r w:rsidRPr="00CB0965">
        <w:rPr>
          <w:lang w:val="en-US"/>
        </w:rPr>
        <w:t xml:space="preserve"> para 16.</w:t>
      </w:r>
    </w:p>
  </w:footnote>
  <w:footnote w:id="43">
    <w:p w14:paraId="64E3B02B" w14:textId="204F7D02"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5F36BE">
        <w:rPr>
          <w:i/>
          <w:iCs/>
          <w:lang w:val="en-US"/>
        </w:rPr>
        <w:t>Childerley</w:t>
      </w:r>
      <w:r w:rsidRPr="00CB0965">
        <w:rPr>
          <w:lang w:val="en-US"/>
        </w:rPr>
        <w:t xml:space="preserve"> supra fn </w:t>
      </w:r>
      <w:r>
        <w:rPr>
          <w:lang w:val="en-US"/>
        </w:rPr>
        <w:t>3</w:t>
      </w:r>
      <w:r w:rsidR="00A54335">
        <w:rPr>
          <w:lang w:val="en-US"/>
        </w:rPr>
        <w:t>0</w:t>
      </w:r>
      <w:r w:rsidRPr="00CB0965">
        <w:rPr>
          <w:lang w:val="en-US"/>
        </w:rPr>
        <w:t xml:space="preserve"> at 169.</w:t>
      </w:r>
    </w:p>
  </w:footnote>
  <w:footnote w:id="44">
    <w:p w14:paraId="0DEA4AAD"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See </w:t>
      </w:r>
      <w:r w:rsidRPr="005F36BE">
        <w:rPr>
          <w:i/>
          <w:iCs/>
          <w:lang w:val="en-US"/>
        </w:rPr>
        <w:t>Shomang v Moamogoe and Others</w:t>
      </w:r>
      <w:r w:rsidRPr="00CB0965">
        <w:rPr>
          <w:lang w:val="en-US"/>
        </w:rPr>
        <w:t xml:space="preserve"> [2021] ZAGPJHC 772 para 10. Cf </w:t>
      </w:r>
      <w:r w:rsidRPr="00CB4AED">
        <w:rPr>
          <w:i/>
          <w:iCs/>
          <w:lang w:val="en-US"/>
        </w:rPr>
        <w:t>Santos Ereq v Cheque Discounting Co (Pty) Ltd</w:t>
      </w:r>
      <w:r w:rsidRPr="00CB0965">
        <w:rPr>
          <w:lang w:val="en-US"/>
        </w:rPr>
        <w:t xml:space="preserve"> 1986 (4) SA 752 (W).</w:t>
      </w:r>
    </w:p>
  </w:footnote>
  <w:footnote w:id="45">
    <w:p w14:paraId="703F7549" w14:textId="525D2ABC"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It might be added that there is similarly no basis for setting aside the settlement agreement itself based on fraud on the part of the respondent. On the accepted facts, the applicant knew that she was married in terms of the accrual system. This had been explained to her by Marais. She further knew that the respondent owned immovable property worth millions of rand: See para 18 of the founding affidavit. The applicant’s case is that the concept of accrual was not explained to her and not understood, not that she was unaware that the respondent’s assets exceeded his liabilities so that his estate reflected ‘an accrual’ at the time of the divorce.</w:t>
      </w:r>
    </w:p>
  </w:footnote>
  <w:footnote w:id="46">
    <w:p w14:paraId="4D835254" w14:textId="7579A908"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91374F">
        <w:rPr>
          <w:i/>
          <w:iCs/>
          <w:lang w:val="en-US"/>
        </w:rPr>
        <w:t>Schierhout</w:t>
      </w:r>
      <w:r w:rsidRPr="00CB0965">
        <w:rPr>
          <w:lang w:val="en-US"/>
        </w:rPr>
        <w:t xml:space="preserve"> supra fn </w:t>
      </w:r>
      <w:r>
        <w:rPr>
          <w:lang w:val="en-US"/>
        </w:rPr>
        <w:t>3</w:t>
      </w:r>
      <w:r w:rsidR="00531DD4">
        <w:rPr>
          <w:lang w:val="en-US"/>
        </w:rPr>
        <w:t>0</w:t>
      </w:r>
      <w:r w:rsidRPr="00CB0965">
        <w:rPr>
          <w:lang w:val="en-US"/>
        </w:rPr>
        <w:t xml:space="preserve"> at 98.</w:t>
      </w:r>
    </w:p>
  </w:footnote>
  <w:footnote w:id="47">
    <w:p w14:paraId="41FA2E11"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See </w:t>
      </w:r>
      <w:r w:rsidRPr="00A966D3">
        <w:rPr>
          <w:i/>
          <w:iCs/>
          <w:lang w:val="en-US"/>
        </w:rPr>
        <w:t>Gwayi v MEC for Local Government and Traditional Affairs and Others</w:t>
      </w:r>
      <w:r w:rsidRPr="00CB0965">
        <w:rPr>
          <w:lang w:val="en-US"/>
        </w:rPr>
        <w:t xml:space="preserve"> [2015] ZAECBHC 37 para 31, citing </w:t>
      </w:r>
      <w:r w:rsidRPr="001A52ED">
        <w:rPr>
          <w:i/>
          <w:iCs/>
          <w:lang w:val="en-US"/>
        </w:rPr>
        <w:t>Gates v Gates</w:t>
      </w:r>
      <w:r w:rsidRPr="00CB0965">
        <w:rPr>
          <w:lang w:val="en-US"/>
        </w:rPr>
        <w:t xml:space="preserve"> 1939 AD 150 at 155 and </w:t>
      </w:r>
      <w:r w:rsidRPr="001A52ED">
        <w:rPr>
          <w:i/>
          <w:iCs/>
          <w:lang w:val="en-US"/>
        </w:rPr>
        <w:t>Kelleher v Minister of Defence</w:t>
      </w:r>
      <w:r w:rsidRPr="00CB0965">
        <w:rPr>
          <w:lang w:val="en-US"/>
        </w:rPr>
        <w:t xml:space="preserve"> 1983 (1) SA 71 (E) at 75D-E. Also see </w:t>
      </w:r>
      <w:r w:rsidRPr="001A52ED">
        <w:rPr>
          <w:i/>
          <w:iCs/>
          <w:lang w:val="en-US"/>
        </w:rPr>
        <w:t>Hulse-Reutter and Others v Godde</w:t>
      </w:r>
      <w:r w:rsidRPr="00CB0965">
        <w:rPr>
          <w:lang w:val="en-US"/>
        </w:rPr>
        <w:t xml:space="preserve"> [2001] ZASCA 102 para 14.</w:t>
      </w:r>
    </w:p>
  </w:footnote>
  <w:footnote w:id="48">
    <w:p w14:paraId="35C61BF1" w14:textId="248A6EF5"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There is reference to this, citing </w:t>
      </w:r>
      <w:r w:rsidRPr="00AC3959">
        <w:rPr>
          <w:i/>
          <w:iCs/>
          <w:lang w:val="en-US"/>
        </w:rPr>
        <w:t>De Wet</w:t>
      </w:r>
      <w:r w:rsidRPr="00CB0965">
        <w:rPr>
          <w:lang w:val="en-US"/>
        </w:rPr>
        <w:t xml:space="preserve"> supra fn </w:t>
      </w:r>
      <w:r>
        <w:rPr>
          <w:lang w:val="en-US"/>
        </w:rPr>
        <w:t>3</w:t>
      </w:r>
      <w:r w:rsidR="000760AF">
        <w:rPr>
          <w:lang w:val="en-US"/>
        </w:rPr>
        <w:t>0</w:t>
      </w:r>
      <w:r w:rsidRPr="00CB0965">
        <w:rPr>
          <w:lang w:val="en-US"/>
        </w:rPr>
        <w:t xml:space="preserve">, in applicant’s counsel’s heads of argument. </w:t>
      </w:r>
    </w:p>
  </w:footnote>
  <w:footnote w:id="49">
    <w:p w14:paraId="0C2AB742" w14:textId="4C276D24"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AC3959">
        <w:rPr>
          <w:i/>
          <w:iCs/>
          <w:lang w:val="en-US"/>
        </w:rPr>
        <w:t>Childerley</w:t>
      </w:r>
      <w:r w:rsidRPr="00CB0965">
        <w:rPr>
          <w:lang w:val="en-US"/>
        </w:rPr>
        <w:t xml:space="preserve"> supra fn </w:t>
      </w:r>
      <w:r>
        <w:rPr>
          <w:lang w:val="en-US"/>
        </w:rPr>
        <w:t>3</w:t>
      </w:r>
      <w:r w:rsidR="000760AF">
        <w:rPr>
          <w:lang w:val="en-US"/>
        </w:rPr>
        <w:t>0</w:t>
      </w:r>
      <w:r w:rsidRPr="00CB0965">
        <w:rPr>
          <w:lang w:val="en-US"/>
        </w:rPr>
        <w:t xml:space="preserve"> at 169, read with 165.</w:t>
      </w:r>
    </w:p>
  </w:footnote>
  <w:footnote w:id="50">
    <w:p w14:paraId="5DC5161F" w14:textId="62A6C13F"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As was the case in </w:t>
      </w:r>
      <w:r w:rsidRPr="00AC3959">
        <w:rPr>
          <w:i/>
          <w:iCs/>
        </w:rPr>
        <w:t>Childerley</w:t>
      </w:r>
      <w:r w:rsidRPr="00CB0965">
        <w:t xml:space="preserve"> supra fn </w:t>
      </w:r>
      <w:r>
        <w:t>3</w:t>
      </w:r>
      <w:r w:rsidR="009A10F5">
        <w:t>0</w:t>
      </w:r>
      <w:r w:rsidRPr="00CB0965">
        <w:t xml:space="preserve">, the applicant does not seek to make out a case of instrumentum noviter repertum, or suggest that a document had been discovered or had been fraudulently concealed from her, as the basis for the application: </w:t>
      </w:r>
      <w:r w:rsidRPr="00773F18">
        <w:rPr>
          <w:i/>
          <w:iCs/>
        </w:rPr>
        <w:t>Childerley</w:t>
      </w:r>
      <w:r w:rsidRPr="00CB0965">
        <w:t xml:space="preserve"> supra fn </w:t>
      </w:r>
      <w:r>
        <w:t>3</w:t>
      </w:r>
      <w:r w:rsidR="00BE16C7">
        <w:t>0</w:t>
      </w:r>
      <w:r w:rsidRPr="00CB0965">
        <w:t xml:space="preserve"> at 169.</w:t>
      </w:r>
      <w:r>
        <w:t xml:space="preserve"> </w:t>
      </w:r>
    </w:p>
  </w:footnote>
  <w:footnote w:id="51">
    <w:p w14:paraId="6CEE9779" w14:textId="7AD21F80"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277B33">
        <w:rPr>
          <w:i/>
          <w:iCs/>
          <w:lang w:val="en-US"/>
        </w:rPr>
        <w:t>Childerley</w:t>
      </w:r>
      <w:r w:rsidRPr="00CB0965">
        <w:rPr>
          <w:lang w:val="en-US"/>
        </w:rPr>
        <w:t xml:space="preserve"> supra fn </w:t>
      </w:r>
      <w:r>
        <w:rPr>
          <w:lang w:val="en-US"/>
        </w:rPr>
        <w:t>3</w:t>
      </w:r>
      <w:r w:rsidR="00D17EFB">
        <w:rPr>
          <w:lang w:val="en-US"/>
        </w:rPr>
        <w:t>0</w:t>
      </w:r>
      <w:r w:rsidRPr="00CB0965">
        <w:rPr>
          <w:lang w:val="en-US"/>
        </w:rPr>
        <w:t xml:space="preserve"> at 166. In cases of default, applicants may, for example, be able to show a ‘supremely just cause of ignorance, free from all blame whatsoever’.</w:t>
      </w:r>
    </w:p>
  </w:footnote>
  <w:footnote w:id="52">
    <w:p w14:paraId="1835F299" w14:textId="28BBB95E" w:rsidR="001F773F" w:rsidRPr="00761D7E" w:rsidRDefault="001F773F" w:rsidP="00FF29A7">
      <w:pPr>
        <w:pStyle w:val="FootnoteText"/>
        <w:spacing w:line="240" w:lineRule="auto"/>
        <w:jc w:val="both"/>
        <w:rPr>
          <w:lang w:val="en-US"/>
        </w:rPr>
      </w:pPr>
      <w:r w:rsidRPr="00CB0965">
        <w:rPr>
          <w:rStyle w:val="FootnoteReference"/>
        </w:rPr>
        <w:footnoteRef/>
      </w:r>
      <w:r w:rsidRPr="00CB0965">
        <w:t xml:space="preserve"> </w:t>
      </w:r>
      <w:r w:rsidRPr="00D555A8">
        <w:rPr>
          <w:i/>
          <w:iCs/>
          <w:lang w:val="en-US"/>
        </w:rPr>
        <w:t>Slabbert</w:t>
      </w:r>
      <w:r w:rsidRPr="00CB0965">
        <w:rPr>
          <w:lang w:val="en-US"/>
        </w:rPr>
        <w:t xml:space="preserve"> supra fn </w:t>
      </w:r>
      <w:r w:rsidR="00872DAA">
        <w:rPr>
          <w:lang w:val="en-US"/>
        </w:rPr>
        <w:t>14</w:t>
      </w:r>
      <w:r w:rsidRPr="00CB0965">
        <w:rPr>
          <w:lang w:val="en-US"/>
        </w:rPr>
        <w:t xml:space="preserve"> para 15</w:t>
      </w:r>
      <w:r>
        <w:rPr>
          <w:lang w:val="en-US"/>
        </w:rPr>
        <w:t xml:space="preserve">; </w:t>
      </w:r>
      <w:r>
        <w:rPr>
          <w:i/>
          <w:iCs/>
          <w:lang w:val="en-US"/>
        </w:rPr>
        <w:t>Botha v Road Accident Fund</w:t>
      </w:r>
      <w:r>
        <w:rPr>
          <w:lang w:val="en-US"/>
        </w:rPr>
        <w:t xml:space="preserve"> supra fn </w:t>
      </w:r>
      <w:r w:rsidR="006021DF">
        <w:rPr>
          <w:lang w:val="en-US"/>
        </w:rPr>
        <w:t>37</w:t>
      </w:r>
      <w:r>
        <w:rPr>
          <w:lang w:val="en-US"/>
        </w:rPr>
        <w:t xml:space="preserve">, containing the complete quotation from GB Bradfield </w:t>
      </w:r>
      <w:r>
        <w:rPr>
          <w:i/>
          <w:iCs/>
          <w:lang w:val="en-US"/>
        </w:rPr>
        <w:t>Christie’s The Law of Contract in South Africa</w:t>
      </w:r>
      <w:r>
        <w:rPr>
          <w:lang w:val="en-US"/>
        </w:rPr>
        <w:t xml:space="preserve"> (2011) 6ed at 329-330.</w:t>
      </w:r>
    </w:p>
  </w:footnote>
  <w:footnote w:id="53">
    <w:p w14:paraId="68A891F3" w14:textId="447BC66E"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272325">
        <w:rPr>
          <w:i/>
          <w:iCs/>
          <w:lang w:val="en-US"/>
        </w:rPr>
        <w:t xml:space="preserve">Bakoven </w:t>
      </w:r>
      <w:r w:rsidRPr="00CB0965">
        <w:rPr>
          <w:lang w:val="en-US"/>
        </w:rPr>
        <w:t xml:space="preserve">supra fn </w:t>
      </w:r>
      <w:r w:rsidR="00D6600F">
        <w:rPr>
          <w:lang w:val="en-US"/>
        </w:rPr>
        <w:t>19</w:t>
      </w:r>
      <w:r w:rsidRPr="00CB0965">
        <w:rPr>
          <w:lang w:val="en-US"/>
        </w:rPr>
        <w:t xml:space="preserve"> at 474A-C.</w:t>
      </w:r>
    </w:p>
  </w:footnote>
  <w:footnote w:id="54">
    <w:p w14:paraId="25F4043A" w14:textId="77777777"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2E423D">
        <w:rPr>
          <w:i/>
          <w:iCs/>
          <w:lang w:val="en-US"/>
        </w:rPr>
        <w:t>Joseph v Joseph</w:t>
      </w:r>
      <w:r w:rsidRPr="00CB0965">
        <w:rPr>
          <w:lang w:val="en-US"/>
        </w:rPr>
        <w:t xml:space="preserve"> 1951 (3) SA 776 (N) at 780.</w:t>
      </w:r>
    </w:p>
  </w:footnote>
  <w:footnote w:id="55">
    <w:p w14:paraId="1D52DC98" w14:textId="509F6606"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2E423D">
        <w:rPr>
          <w:i/>
          <w:iCs/>
          <w:lang w:val="en-US"/>
        </w:rPr>
        <w:t>Oppressed ACSA Minority</w:t>
      </w:r>
      <w:r w:rsidRPr="00CB0965">
        <w:rPr>
          <w:lang w:val="en-US"/>
        </w:rPr>
        <w:t xml:space="preserve"> supra fn </w:t>
      </w:r>
      <w:r>
        <w:rPr>
          <w:lang w:val="en-US"/>
        </w:rPr>
        <w:t>3</w:t>
      </w:r>
      <w:r w:rsidR="00C53908">
        <w:rPr>
          <w:lang w:val="en-US"/>
        </w:rPr>
        <w:t>0</w:t>
      </w:r>
      <w:r w:rsidRPr="00CB0965">
        <w:rPr>
          <w:lang w:val="en-US"/>
        </w:rPr>
        <w:t xml:space="preserve"> para 24.</w:t>
      </w:r>
    </w:p>
  </w:footnote>
  <w:footnote w:id="56">
    <w:p w14:paraId="0EE57D8D" w14:textId="77777777" w:rsidR="001F773F" w:rsidRPr="00CB0965" w:rsidRDefault="001F773F" w:rsidP="000C58C4">
      <w:pPr>
        <w:pStyle w:val="FootnoteText"/>
        <w:spacing w:line="240" w:lineRule="auto"/>
        <w:jc w:val="both"/>
        <w:rPr>
          <w:lang w:val="en-US"/>
        </w:rPr>
      </w:pPr>
      <w:r w:rsidRPr="00CB0965">
        <w:rPr>
          <w:rStyle w:val="FootnoteReference"/>
        </w:rPr>
        <w:footnoteRef/>
      </w:r>
      <w:r w:rsidRPr="00CB0965">
        <w:t xml:space="preserve"> </w:t>
      </w:r>
      <w:r w:rsidRPr="00CB0965">
        <w:rPr>
          <w:lang w:val="en-US"/>
        </w:rPr>
        <w:t xml:space="preserve">Ibid. </w:t>
      </w:r>
    </w:p>
  </w:footnote>
  <w:footnote w:id="57">
    <w:p w14:paraId="150E44E5" w14:textId="248FA055" w:rsidR="001F773F" w:rsidRPr="003075DF" w:rsidRDefault="001F773F" w:rsidP="000C58C4">
      <w:pPr>
        <w:pStyle w:val="FootnoteText"/>
        <w:spacing w:line="240" w:lineRule="auto"/>
        <w:jc w:val="both"/>
        <w:rPr>
          <w:lang w:val="en-US"/>
        </w:rPr>
      </w:pPr>
      <w:r w:rsidRPr="00CB0965">
        <w:rPr>
          <w:rStyle w:val="FootnoteReference"/>
        </w:rPr>
        <w:footnoteRef/>
      </w:r>
      <w:r w:rsidRPr="00CB0965">
        <w:t xml:space="preserve"> </w:t>
      </w:r>
      <w:r w:rsidRPr="00CB0965">
        <w:rPr>
          <w:lang w:val="en-US"/>
        </w:rPr>
        <w:t>Ibid paras 24, 27.</w:t>
      </w:r>
      <w:r>
        <w:rPr>
          <w:lang w:val="en-US"/>
        </w:rPr>
        <w:t xml:space="preserve"> It must be noted that the decision in </w:t>
      </w:r>
      <w:r>
        <w:rPr>
          <w:i/>
          <w:iCs/>
          <w:lang w:val="en-US"/>
        </w:rPr>
        <w:t>Moraitis</w:t>
      </w:r>
      <w:r>
        <w:rPr>
          <w:lang w:val="en-US"/>
        </w:rPr>
        <w:t xml:space="preserve"> appears not to have considered the earlier decision of a differently constituted SCA in </w:t>
      </w:r>
      <w:r>
        <w:rPr>
          <w:i/>
          <w:iCs/>
          <w:lang w:val="en-US"/>
        </w:rPr>
        <w:t>Slabbert</w:t>
      </w:r>
      <w:r>
        <w:rPr>
          <w:lang w:val="en-US"/>
        </w:rPr>
        <w:t xml:space="preserve">, which appears to have adopted a slightly different approach to the enquiry, focusing firstly on the </w:t>
      </w:r>
      <w:r>
        <w:rPr>
          <w:i/>
          <w:iCs/>
          <w:lang w:val="en-US"/>
        </w:rPr>
        <w:t>transactio</w:t>
      </w:r>
      <w:r>
        <w:rPr>
          <w:lang w:val="en-US"/>
        </w:rPr>
        <w:t xml:space="preserve">, rather than the order: </w:t>
      </w:r>
      <w:r>
        <w:rPr>
          <w:i/>
          <w:iCs/>
          <w:lang w:val="en-US"/>
        </w:rPr>
        <w:t>Slabbert</w:t>
      </w:r>
      <w:r>
        <w:rPr>
          <w:lang w:val="en-US"/>
        </w:rPr>
        <w:t xml:space="preserve"> supra fn </w:t>
      </w:r>
      <w:r w:rsidR="00DE77D9">
        <w:rPr>
          <w:lang w:val="en-US"/>
        </w:rPr>
        <w:t>14</w:t>
      </w:r>
      <w:r>
        <w:rPr>
          <w:lang w:val="en-US"/>
        </w:rPr>
        <w:t xml:space="preserve"> paras 8, 16 and 17.</w:t>
      </w:r>
    </w:p>
  </w:footnote>
  <w:footnote w:id="58">
    <w:p w14:paraId="5F75C148" w14:textId="7E516EBF" w:rsidR="001F773F" w:rsidRPr="00CB0965" w:rsidRDefault="001F773F" w:rsidP="000C58C4">
      <w:pPr>
        <w:pStyle w:val="FootnoteText"/>
        <w:spacing w:line="240" w:lineRule="auto"/>
        <w:jc w:val="both"/>
        <w:rPr>
          <w:lang w:val="en-US"/>
        </w:rPr>
      </w:pPr>
      <w:r w:rsidRPr="00CB0965">
        <w:rPr>
          <w:rStyle w:val="FootnoteReference"/>
        </w:rPr>
        <w:footnoteRef/>
      </w:r>
      <w:r w:rsidRPr="00CB0965">
        <w:t xml:space="preserve"> </w:t>
      </w:r>
      <w:r w:rsidRPr="00E71104">
        <w:rPr>
          <w:i/>
          <w:iCs/>
          <w:lang w:val="en-US"/>
        </w:rPr>
        <w:t>De Wet</w:t>
      </w:r>
      <w:r w:rsidRPr="00CB0965">
        <w:rPr>
          <w:lang w:val="en-US"/>
        </w:rPr>
        <w:t xml:space="preserve"> supra fn </w:t>
      </w:r>
      <w:r>
        <w:rPr>
          <w:lang w:val="en-US"/>
        </w:rPr>
        <w:t>3</w:t>
      </w:r>
      <w:r w:rsidR="00281E2B">
        <w:rPr>
          <w:lang w:val="en-US"/>
        </w:rPr>
        <w:t>0</w:t>
      </w:r>
      <w:r w:rsidRPr="00CB0965">
        <w:rPr>
          <w:lang w:val="en-US"/>
        </w:rPr>
        <w:t xml:space="preserve"> at 1042H. </w:t>
      </w:r>
    </w:p>
  </w:footnote>
  <w:footnote w:id="59">
    <w:p w14:paraId="4384DAEC" w14:textId="77777777" w:rsidR="001F773F" w:rsidRPr="00907BFB" w:rsidRDefault="001F773F" w:rsidP="000C58C4">
      <w:pPr>
        <w:pStyle w:val="FootnoteText"/>
        <w:spacing w:line="240" w:lineRule="auto"/>
        <w:jc w:val="both"/>
        <w:rPr>
          <w:lang w:val="en-US"/>
        </w:rPr>
      </w:pPr>
      <w:r>
        <w:rPr>
          <w:rStyle w:val="FootnoteReference"/>
        </w:rPr>
        <w:footnoteRef/>
      </w:r>
      <w:r>
        <w:t xml:space="preserve"> </w:t>
      </w:r>
      <w:r>
        <w:rPr>
          <w:i/>
          <w:iCs/>
          <w:lang w:val="en-US"/>
        </w:rPr>
        <w:t xml:space="preserve">ST v CT </w:t>
      </w:r>
      <w:r>
        <w:rPr>
          <w:lang w:val="en-US"/>
        </w:rPr>
        <w:t>[2018] ZASCA 73 paras 170-182.</w:t>
      </w:r>
    </w:p>
  </w:footnote>
  <w:footnote w:id="60">
    <w:p w14:paraId="5ACF5B8F" w14:textId="77777777" w:rsidR="001F773F" w:rsidRPr="00907BFB" w:rsidRDefault="001F773F" w:rsidP="000C58C4">
      <w:pPr>
        <w:pStyle w:val="FootnoteText"/>
        <w:spacing w:line="240" w:lineRule="auto"/>
        <w:jc w:val="both"/>
        <w:rPr>
          <w:lang w:val="en-US"/>
        </w:rPr>
      </w:pPr>
      <w:r>
        <w:rPr>
          <w:rStyle w:val="FootnoteReference"/>
        </w:rPr>
        <w:footnoteRef/>
      </w:r>
      <w:r>
        <w:t xml:space="preserve"> </w:t>
      </w:r>
      <w:r>
        <w:rPr>
          <w:lang w:val="en-US"/>
        </w:rPr>
        <w:t>Act 70 of 1979.</w:t>
      </w:r>
    </w:p>
  </w:footnote>
  <w:footnote w:id="61">
    <w:p w14:paraId="5FF87642" w14:textId="718CADCF" w:rsidR="001F773F" w:rsidRPr="00907BFB" w:rsidRDefault="001F773F" w:rsidP="000C58C4">
      <w:pPr>
        <w:pStyle w:val="FootnoteText"/>
        <w:spacing w:line="240" w:lineRule="auto"/>
        <w:jc w:val="both"/>
        <w:rPr>
          <w:lang w:val="en-US"/>
        </w:rPr>
      </w:pPr>
      <w:r>
        <w:rPr>
          <w:rStyle w:val="FootnoteReference"/>
        </w:rPr>
        <w:footnoteRef/>
      </w:r>
      <w:r>
        <w:t xml:space="preserve"> </w:t>
      </w:r>
      <w:r>
        <w:rPr>
          <w:lang w:val="en-US"/>
        </w:rPr>
        <w:t xml:space="preserve">The court, in any event, relying on </w:t>
      </w:r>
      <w:r>
        <w:rPr>
          <w:i/>
          <w:iCs/>
          <w:lang w:val="en-US"/>
        </w:rPr>
        <w:t>Schutte v Schutte</w:t>
      </w:r>
      <w:r>
        <w:rPr>
          <w:lang w:val="en-US"/>
        </w:rPr>
        <w:t xml:space="preserve"> 1986 (1) SA 872 (A),</w:t>
      </w:r>
      <w:r>
        <w:rPr>
          <w:i/>
          <w:iCs/>
          <w:lang w:val="en-US"/>
        </w:rPr>
        <w:t xml:space="preserve"> </w:t>
      </w:r>
      <w:r>
        <w:rPr>
          <w:lang w:val="en-US"/>
        </w:rPr>
        <w:t xml:space="preserve">drew a distinction between waiver upon divorce and a prenuptial waiver, noting that at the time of the divorce both spouses have full knowledge of their respective financial means and needs: </w:t>
      </w:r>
      <w:r>
        <w:rPr>
          <w:i/>
          <w:iCs/>
          <w:lang w:val="en-US"/>
        </w:rPr>
        <w:t xml:space="preserve">ST v CT </w:t>
      </w:r>
      <w:r>
        <w:rPr>
          <w:lang w:val="en-US"/>
        </w:rPr>
        <w:t xml:space="preserve">supra fn </w:t>
      </w:r>
      <w:r w:rsidR="0090362F">
        <w:rPr>
          <w:lang w:val="en-US"/>
        </w:rPr>
        <w:t>59</w:t>
      </w:r>
      <w:r>
        <w:rPr>
          <w:lang w:val="en-US"/>
        </w:rPr>
        <w:t xml:space="preserve"> para 174. Also see </w:t>
      </w:r>
      <w:r>
        <w:rPr>
          <w:i/>
          <w:iCs/>
          <w:lang w:val="en-US"/>
        </w:rPr>
        <w:t xml:space="preserve">Claassens v Claassens </w:t>
      </w:r>
      <w:r>
        <w:rPr>
          <w:lang w:val="en-US"/>
        </w:rPr>
        <w:t>1981 (1) SA 360 (N), holding that the waiver of a right to apply for an increase in maintenance, contained in a divorce settlement, does not offend public policy.</w:t>
      </w:r>
    </w:p>
  </w:footnote>
  <w:footnote w:id="62">
    <w:p w14:paraId="59DD9EBD" w14:textId="0758F05D" w:rsidR="001F773F" w:rsidRPr="00CB0965" w:rsidRDefault="001F773F" w:rsidP="000C58C4">
      <w:pPr>
        <w:pStyle w:val="FootnoteText"/>
        <w:spacing w:line="240" w:lineRule="auto"/>
        <w:jc w:val="both"/>
        <w:rPr>
          <w:lang w:val="en-US"/>
        </w:rPr>
      </w:pPr>
      <w:r w:rsidRPr="00CB0965">
        <w:rPr>
          <w:rStyle w:val="FootnoteReference"/>
        </w:rPr>
        <w:footnoteRef/>
      </w:r>
      <w:r w:rsidRPr="00CB0965">
        <w:t xml:space="preserve"> </w:t>
      </w:r>
      <w:r w:rsidRPr="006F01A7">
        <w:rPr>
          <w:i/>
          <w:iCs/>
          <w:lang w:val="en-US"/>
        </w:rPr>
        <w:t>Slabbert</w:t>
      </w:r>
      <w:r w:rsidRPr="00CB0965">
        <w:rPr>
          <w:lang w:val="en-US"/>
        </w:rPr>
        <w:t xml:space="preserve"> supra fn </w:t>
      </w:r>
      <w:r w:rsidR="00B63487">
        <w:rPr>
          <w:lang w:val="en-US"/>
        </w:rPr>
        <w:t>14</w:t>
      </w:r>
      <w:r w:rsidRPr="00CB0965">
        <w:rPr>
          <w:lang w:val="en-US"/>
        </w:rPr>
        <w:t xml:space="preserve"> para 16.</w:t>
      </w:r>
    </w:p>
  </w:footnote>
  <w:footnote w:id="63">
    <w:p w14:paraId="261F8D8E" w14:textId="065CAA34"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5403D2">
        <w:rPr>
          <w:i/>
          <w:iCs/>
          <w:lang w:val="en-US"/>
        </w:rPr>
        <w:t>Kruisenga</w:t>
      </w:r>
      <w:r w:rsidRPr="00CB0965">
        <w:rPr>
          <w:lang w:val="en-US"/>
        </w:rPr>
        <w:t xml:space="preserve"> supra fn </w:t>
      </w:r>
      <w:r w:rsidR="000B7E14">
        <w:rPr>
          <w:lang w:val="en-US"/>
        </w:rPr>
        <w:t>33</w:t>
      </w:r>
      <w:r w:rsidRPr="00CB0965">
        <w:rPr>
          <w:lang w:val="en-US"/>
        </w:rPr>
        <w:t xml:space="preserve"> para 74 (references omitted).</w:t>
      </w:r>
    </w:p>
  </w:footnote>
  <w:footnote w:id="64">
    <w:p w14:paraId="238652B6" w14:textId="7BEB449D"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5403D2">
        <w:rPr>
          <w:i/>
          <w:iCs/>
          <w:lang w:val="en-US"/>
        </w:rPr>
        <w:t>Moraitis</w:t>
      </w:r>
      <w:r w:rsidRPr="00CB0965">
        <w:rPr>
          <w:lang w:val="en-US"/>
        </w:rPr>
        <w:t xml:space="preserve"> supra</w:t>
      </w:r>
      <w:r>
        <w:rPr>
          <w:lang w:val="en-US"/>
        </w:rPr>
        <w:t xml:space="preserve"> fn 1</w:t>
      </w:r>
      <w:r w:rsidR="00ED355D">
        <w:rPr>
          <w:lang w:val="en-US"/>
        </w:rPr>
        <w:t>1</w:t>
      </w:r>
      <w:r w:rsidRPr="00CB0965">
        <w:rPr>
          <w:lang w:val="en-US"/>
        </w:rPr>
        <w:t xml:space="preserve"> para 16. It might be added, obiter, that consideration of the underlying agreement, the reasonableness of the applicant’s explanation of the circumstances that resulted in the consent judgment, the bona fides of the application for rescission and the ‘defence’ on the merits and prospects of success would result in the same outcome. The applicant has failed to convince that any error vitiated true consent to the settlement agreement. See </w:t>
      </w:r>
      <w:r w:rsidRPr="005403D2">
        <w:rPr>
          <w:i/>
          <w:iCs/>
          <w:lang w:val="en-US"/>
        </w:rPr>
        <w:t>Ntlabezo v MEC for Education, Culture and Sport, Eastern Cape</w:t>
      </w:r>
      <w:r w:rsidRPr="00CB0965">
        <w:rPr>
          <w:lang w:val="en-US"/>
        </w:rPr>
        <w:t xml:space="preserve"> 2001 (2) SA 1073 (Tk) at 1081B-E.</w:t>
      </w:r>
    </w:p>
  </w:footnote>
  <w:footnote w:id="65">
    <w:p w14:paraId="731FC696" w14:textId="4CF953AC" w:rsidR="001F773F" w:rsidRPr="00CB0965" w:rsidRDefault="001F773F" w:rsidP="00FF29A7">
      <w:pPr>
        <w:pStyle w:val="FootnoteText"/>
        <w:spacing w:line="240" w:lineRule="auto"/>
        <w:jc w:val="both"/>
        <w:rPr>
          <w:lang w:val="en-US"/>
        </w:rPr>
      </w:pPr>
      <w:r w:rsidRPr="00CB0965">
        <w:rPr>
          <w:rStyle w:val="FootnoteReference"/>
        </w:rPr>
        <w:footnoteRef/>
      </w:r>
      <w:r w:rsidRPr="00CB0965">
        <w:t xml:space="preserve"> </w:t>
      </w:r>
      <w:r w:rsidRPr="005403D2">
        <w:rPr>
          <w:i/>
          <w:iCs/>
          <w:lang w:val="en-US"/>
        </w:rPr>
        <w:t>Fraai Uitzicht</w:t>
      </w:r>
      <w:r w:rsidRPr="00CB0965">
        <w:rPr>
          <w:lang w:val="en-US"/>
        </w:rPr>
        <w:t xml:space="preserve"> supra </w:t>
      </w:r>
      <w:r>
        <w:rPr>
          <w:lang w:val="en-US"/>
        </w:rPr>
        <w:t>fn 4</w:t>
      </w:r>
      <w:r w:rsidR="00652F24">
        <w:rPr>
          <w:lang w:val="en-US"/>
        </w:rPr>
        <w:t>0</w:t>
      </w:r>
      <w:r>
        <w:rPr>
          <w:lang w:val="en-US"/>
        </w:rPr>
        <w:t xml:space="preserve"> </w:t>
      </w:r>
      <w:r w:rsidRPr="00CB0965">
        <w:rPr>
          <w:lang w:val="en-US"/>
        </w:rPr>
        <w:t>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6DDD10E8" w14:textId="77777777" w:rsidR="001F773F" w:rsidRDefault="001F773F" w:rsidP="001F77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DE8B91" w14:textId="77777777" w:rsidR="001F773F" w:rsidRDefault="001F773F"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DFF753F" w14:textId="5844533B" w:rsidR="001F773F" w:rsidRDefault="001F773F" w:rsidP="001F77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35048">
          <w:rPr>
            <w:rStyle w:val="PageNumber"/>
            <w:noProof/>
          </w:rPr>
          <w:t>11</w:t>
        </w:r>
        <w:r>
          <w:rPr>
            <w:rStyle w:val="PageNumber"/>
          </w:rPr>
          <w:fldChar w:fldCharType="end"/>
        </w:r>
      </w:p>
    </w:sdtContent>
  </w:sdt>
  <w:p w14:paraId="0C41BA0C" w14:textId="77777777" w:rsidR="001F773F" w:rsidRDefault="001F773F"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2D2BCF"/>
    <w:multiLevelType w:val="hybridMultilevel"/>
    <w:tmpl w:val="C6B489A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8627E0"/>
    <w:multiLevelType w:val="hybridMultilevel"/>
    <w:tmpl w:val="D0F61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57604"/>
    <w:multiLevelType w:val="hybridMultilevel"/>
    <w:tmpl w:val="70480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82617"/>
    <w:multiLevelType w:val="hybridMultilevel"/>
    <w:tmpl w:val="C6B489A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5D1715"/>
    <w:multiLevelType w:val="multilevel"/>
    <w:tmpl w:val="5BEE520E"/>
    <w:styleLink w:val="CurrentList1"/>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2415D"/>
    <w:multiLevelType w:val="hybridMultilevel"/>
    <w:tmpl w:val="C6B489A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3B0823"/>
    <w:multiLevelType w:val="hybridMultilevel"/>
    <w:tmpl w:val="F0EAE084"/>
    <w:lvl w:ilvl="0" w:tplc="84F8A14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A74124D"/>
    <w:multiLevelType w:val="hybridMultilevel"/>
    <w:tmpl w:val="494AFE56"/>
    <w:lvl w:ilvl="0" w:tplc="EBB4E7D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EDE4D9B"/>
    <w:multiLevelType w:val="hybridMultilevel"/>
    <w:tmpl w:val="AD7AC8F2"/>
    <w:lvl w:ilvl="0" w:tplc="28B8A6D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04F89"/>
    <w:multiLevelType w:val="hybridMultilevel"/>
    <w:tmpl w:val="1A0C9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ED04DA"/>
    <w:multiLevelType w:val="multilevel"/>
    <w:tmpl w:val="30081FDE"/>
    <w:lvl w:ilvl="0">
      <w:start w:val="1"/>
      <w:numFmt w:val="decimal"/>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5E28D8"/>
    <w:multiLevelType w:val="hybridMultilevel"/>
    <w:tmpl w:val="43F0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50F65"/>
    <w:multiLevelType w:val="hybridMultilevel"/>
    <w:tmpl w:val="CC684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20"/>
  </w:num>
  <w:num w:numId="6">
    <w:abstractNumId w:val="11"/>
  </w:num>
  <w:num w:numId="7">
    <w:abstractNumId w:val="21"/>
  </w:num>
  <w:num w:numId="8">
    <w:abstractNumId w:val="1"/>
  </w:num>
  <w:num w:numId="9">
    <w:abstractNumId w:val="7"/>
  </w:num>
  <w:num w:numId="10">
    <w:abstractNumId w:val="12"/>
  </w:num>
  <w:num w:numId="11">
    <w:abstractNumId w:val="3"/>
  </w:num>
  <w:num w:numId="12">
    <w:abstractNumId w:val="22"/>
  </w:num>
  <w:num w:numId="13">
    <w:abstractNumId w:val="19"/>
  </w:num>
  <w:num w:numId="14">
    <w:abstractNumId w:val="8"/>
  </w:num>
  <w:num w:numId="15">
    <w:abstractNumId w:val="18"/>
  </w:num>
  <w:num w:numId="16">
    <w:abstractNumId w:val="16"/>
  </w:num>
  <w:num w:numId="17">
    <w:abstractNumId w:val="15"/>
  </w:num>
  <w:num w:numId="18">
    <w:abstractNumId w:val="13"/>
  </w:num>
  <w:num w:numId="19">
    <w:abstractNumId w:val="2"/>
  </w:num>
  <w:num w:numId="20">
    <w:abstractNumId w:val="9"/>
  </w:num>
  <w:num w:numId="21">
    <w:abstractNumId w:val="17"/>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606"/>
    <w:rsid w:val="00000935"/>
    <w:rsid w:val="00000D88"/>
    <w:rsid w:val="00001897"/>
    <w:rsid w:val="00001F17"/>
    <w:rsid w:val="0000217A"/>
    <w:rsid w:val="00004E1E"/>
    <w:rsid w:val="00005691"/>
    <w:rsid w:val="00005ABB"/>
    <w:rsid w:val="00005BC2"/>
    <w:rsid w:val="0000642E"/>
    <w:rsid w:val="00006E5E"/>
    <w:rsid w:val="00006EF3"/>
    <w:rsid w:val="00007087"/>
    <w:rsid w:val="00007904"/>
    <w:rsid w:val="000109B4"/>
    <w:rsid w:val="000110C2"/>
    <w:rsid w:val="0001148E"/>
    <w:rsid w:val="00012775"/>
    <w:rsid w:val="00012A2F"/>
    <w:rsid w:val="00012D0A"/>
    <w:rsid w:val="0001363C"/>
    <w:rsid w:val="00014437"/>
    <w:rsid w:val="00014770"/>
    <w:rsid w:val="00016581"/>
    <w:rsid w:val="00016CC1"/>
    <w:rsid w:val="00016FDA"/>
    <w:rsid w:val="00017619"/>
    <w:rsid w:val="00021852"/>
    <w:rsid w:val="000220C3"/>
    <w:rsid w:val="00022804"/>
    <w:rsid w:val="00024321"/>
    <w:rsid w:val="00024672"/>
    <w:rsid w:val="000250A7"/>
    <w:rsid w:val="00026BC4"/>
    <w:rsid w:val="00027DA3"/>
    <w:rsid w:val="00027F8E"/>
    <w:rsid w:val="00030A25"/>
    <w:rsid w:val="000317DE"/>
    <w:rsid w:val="000323B0"/>
    <w:rsid w:val="000327CA"/>
    <w:rsid w:val="000341AF"/>
    <w:rsid w:val="00034B32"/>
    <w:rsid w:val="0003553E"/>
    <w:rsid w:val="00035648"/>
    <w:rsid w:val="0003740D"/>
    <w:rsid w:val="000378EE"/>
    <w:rsid w:val="00040136"/>
    <w:rsid w:val="0004040E"/>
    <w:rsid w:val="000407CC"/>
    <w:rsid w:val="00040F79"/>
    <w:rsid w:val="000415FF"/>
    <w:rsid w:val="000416D4"/>
    <w:rsid w:val="000422CD"/>
    <w:rsid w:val="000426ED"/>
    <w:rsid w:val="00042C5A"/>
    <w:rsid w:val="0004347D"/>
    <w:rsid w:val="00043483"/>
    <w:rsid w:val="0004373B"/>
    <w:rsid w:val="00043A45"/>
    <w:rsid w:val="00043AA5"/>
    <w:rsid w:val="00043C36"/>
    <w:rsid w:val="000443A2"/>
    <w:rsid w:val="00044A6F"/>
    <w:rsid w:val="00044B50"/>
    <w:rsid w:val="00044D13"/>
    <w:rsid w:val="000451D0"/>
    <w:rsid w:val="00047035"/>
    <w:rsid w:val="000473A0"/>
    <w:rsid w:val="000478E8"/>
    <w:rsid w:val="00047FB4"/>
    <w:rsid w:val="00050030"/>
    <w:rsid w:val="0005061D"/>
    <w:rsid w:val="00050CBD"/>
    <w:rsid w:val="00051225"/>
    <w:rsid w:val="00051F6C"/>
    <w:rsid w:val="000529DF"/>
    <w:rsid w:val="000536DD"/>
    <w:rsid w:val="00053B1F"/>
    <w:rsid w:val="00053B79"/>
    <w:rsid w:val="00053D81"/>
    <w:rsid w:val="00053F07"/>
    <w:rsid w:val="000546BA"/>
    <w:rsid w:val="00054DEC"/>
    <w:rsid w:val="0005557C"/>
    <w:rsid w:val="00056042"/>
    <w:rsid w:val="00056B16"/>
    <w:rsid w:val="00056FBA"/>
    <w:rsid w:val="000574BF"/>
    <w:rsid w:val="00057832"/>
    <w:rsid w:val="00060A0A"/>
    <w:rsid w:val="000615F9"/>
    <w:rsid w:val="00063188"/>
    <w:rsid w:val="00063C6E"/>
    <w:rsid w:val="00063D5A"/>
    <w:rsid w:val="00064AF6"/>
    <w:rsid w:val="00065AA3"/>
    <w:rsid w:val="00065FF7"/>
    <w:rsid w:val="000668D0"/>
    <w:rsid w:val="00066CB9"/>
    <w:rsid w:val="0007050F"/>
    <w:rsid w:val="000709D3"/>
    <w:rsid w:val="00070E78"/>
    <w:rsid w:val="0007234C"/>
    <w:rsid w:val="000738F3"/>
    <w:rsid w:val="00073EFC"/>
    <w:rsid w:val="00073FE1"/>
    <w:rsid w:val="0007566F"/>
    <w:rsid w:val="000760AF"/>
    <w:rsid w:val="000778A4"/>
    <w:rsid w:val="00080D4E"/>
    <w:rsid w:val="000813A0"/>
    <w:rsid w:val="000815F5"/>
    <w:rsid w:val="00082BB2"/>
    <w:rsid w:val="00083322"/>
    <w:rsid w:val="00083386"/>
    <w:rsid w:val="000833DB"/>
    <w:rsid w:val="00084076"/>
    <w:rsid w:val="00084C6F"/>
    <w:rsid w:val="00085540"/>
    <w:rsid w:val="00086278"/>
    <w:rsid w:val="00086A06"/>
    <w:rsid w:val="00086C7B"/>
    <w:rsid w:val="00087133"/>
    <w:rsid w:val="000875AC"/>
    <w:rsid w:val="00087B25"/>
    <w:rsid w:val="0009015D"/>
    <w:rsid w:val="00090507"/>
    <w:rsid w:val="000910CD"/>
    <w:rsid w:val="00091F8C"/>
    <w:rsid w:val="00092682"/>
    <w:rsid w:val="0009336F"/>
    <w:rsid w:val="0009497C"/>
    <w:rsid w:val="00096BC1"/>
    <w:rsid w:val="000976CA"/>
    <w:rsid w:val="000978C9"/>
    <w:rsid w:val="000A0192"/>
    <w:rsid w:val="000A2E34"/>
    <w:rsid w:val="000A3F7A"/>
    <w:rsid w:val="000A59DC"/>
    <w:rsid w:val="000B0946"/>
    <w:rsid w:val="000B0DBC"/>
    <w:rsid w:val="000B0DC8"/>
    <w:rsid w:val="000B26AE"/>
    <w:rsid w:val="000B26CF"/>
    <w:rsid w:val="000B456F"/>
    <w:rsid w:val="000B54EE"/>
    <w:rsid w:val="000B5790"/>
    <w:rsid w:val="000B5FBC"/>
    <w:rsid w:val="000B6155"/>
    <w:rsid w:val="000B6309"/>
    <w:rsid w:val="000B643B"/>
    <w:rsid w:val="000B78EC"/>
    <w:rsid w:val="000B7E14"/>
    <w:rsid w:val="000C1010"/>
    <w:rsid w:val="000C12AC"/>
    <w:rsid w:val="000C1875"/>
    <w:rsid w:val="000C2801"/>
    <w:rsid w:val="000C2D21"/>
    <w:rsid w:val="000C3142"/>
    <w:rsid w:val="000C3531"/>
    <w:rsid w:val="000C3620"/>
    <w:rsid w:val="000C395E"/>
    <w:rsid w:val="000C39A5"/>
    <w:rsid w:val="000C450C"/>
    <w:rsid w:val="000C58C4"/>
    <w:rsid w:val="000C6A6C"/>
    <w:rsid w:val="000C6B1B"/>
    <w:rsid w:val="000C7746"/>
    <w:rsid w:val="000C7A27"/>
    <w:rsid w:val="000D085B"/>
    <w:rsid w:val="000D0891"/>
    <w:rsid w:val="000D0D78"/>
    <w:rsid w:val="000D22FB"/>
    <w:rsid w:val="000D23BF"/>
    <w:rsid w:val="000D3B68"/>
    <w:rsid w:val="000D3FAD"/>
    <w:rsid w:val="000D487F"/>
    <w:rsid w:val="000D4BFA"/>
    <w:rsid w:val="000D667A"/>
    <w:rsid w:val="000D72E7"/>
    <w:rsid w:val="000E1C45"/>
    <w:rsid w:val="000E2444"/>
    <w:rsid w:val="000E3272"/>
    <w:rsid w:val="000E3E15"/>
    <w:rsid w:val="000E4F0D"/>
    <w:rsid w:val="000E5100"/>
    <w:rsid w:val="000E592D"/>
    <w:rsid w:val="000E752A"/>
    <w:rsid w:val="000E7ECD"/>
    <w:rsid w:val="000F05E0"/>
    <w:rsid w:val="000F0EE5"/>
    <w:rsid w:val="000F1A95"/>
    <w:rsid w:val="000F2099"/>
    <w:rsid w:val="000F263C"/>
    <w:rsid w:val="000F2D56"/>
    <w:rsid w:val="000F36FB"/>
    <w:rsid w:val="000F413C"/>
    <w:rsid w:val="000F6BFE"/>
    <w:rsid w:val="000F7DF4"/>
    <w:rsid w:val="0010068E"/>
    <w:rsid w:val="00100B33"/>
    <w:rsid w:val="00101973"/>
    <w:rsid w:val="0010218C"/>
    <w:rsid w:val="00102D5B"/>
    <w:rsid w:val="001044DB"/>
    <w:rsid w:val="0010622C"/>
    <w:rsid w:val="00107301"/>
    <w:rsid w:val="001078B5"/>
    <w:rsid w:val="00107A5F"/>
    <w:rsid w:val="0011026A"/>
    <w:rsid w:val="00110EF0"/>
    <w:rsid w:val="00111E89"/>
    <w:rsid w:val="001124A5"/>
    <w:rsid w:val="00116EB9"/>
    <w:rsid w:val="001172B4"/>
    <w:rsid w:val="001172EB"/>
    <w:rsid w:val="00120A85"/>
    <w:rsid w:val="00120E93"/>
    <w:rsid w:val="001226DE"/>
    <w:rsid w:val="00123296"/>
    <w:rsid w:val="00124334"/>
    <w:rsid w:val="001244A4"/>
    <w:rsid w:val="0012621C"/>
    <w:rsid w:val="00126740"/>
    <w:rsid w:val="001274D7"/>
    <w:rsid w:val="00130228"/>
    <w:rsid w:val="001309B5"/>
    <w:rsid w:val="00131984"/>
    <w:rsid w:val="00131A28"/>
    <w:rsid w:val="001337CC"/>
    <w:rsid w:val="00133E4C"/>
    <w:rsid w:val="00134C11"/>
    <w:rsid w:val="00135C81"/>
    <w:rsid w:val="00136B57"/>
    <w:rsid w:val="00137E08"/>
    <w:rsid w:val="00137F0F"/>
    <w:rsid w:val="0014155D"/>
    <w:rsid w:val="00142F79"/>
    <w:rsid w:val="001435EB"/>
    <w:rsid w:val="00144078"/>
    <w:rsid w:val="00144974"/>
    <w:rsid w:val="00145A4B"/>
    <w:rsid w:val="00146BA3"/>
    <w:rsid w:val="00150E29"/>
    <w:rsid w:val="001517E0"/>
    <w:rsid w:val="001526A3"/>
    <w:rsid w:val="001549A2"/>
    <w:rsid w:val="0015643D"/>
    <w:rsid w:val="00156CC5"/>
    <w:rsid w:val="00157785"/>
    <w:rsid w:val="00157898"/>
    <w:rsid w:val="00157C19"/>
    <w:rsid w:val="00160EBC"/>
    <w:rsid w:val="00160F58"/>
    <w:rsid w:val="00161091"/>
    <w:rsid w:val="00163A58"/>
    <w:rsid w:val="00164403"/>
    <w:rsid w:val="001663CA"/>
    <w:rsid w:val="001664D9"/>
    <w:rsid w:val="00170013"/>
    <w:rsid w:val="00170030"/>
    <w:rsid w:val="00172B5C"/>
    <w:rsid w:val="00172BEE"/>
    <w:rsid w:val="00172DBC"/>
    <w:rsid w:val="00173547"/>
    <w:rsid w:val="00174B6D"/>
    <w:rsid w:val="00175A18"/>
    <w:rsid w:val="0017614D"/>
    <w:rsid w:val="0018006A"/>
    <w:rsid w:val="00180820"/>
    <w:rsid w:val="001808F6"/>
    <w:rsid w:val="00180F4E"/>
    <w:rsid w:val="001816AC"/>
    <w:rsid w:val="00181923"/>
    <w:rsid w:val="00181E7E"/>
    <w:rsid w:val="00182175"/>
    <w:rsid w:val="00183B59"/>
    <w:rsid w:val="00184625"/>
    <w:rsid w:val="00184E2D"/>
    <w:rsid w:val="00185098"/>
    <w:rsid w:val="00186769"/>
    <w:rsid w:val="001870AF"/>
    <w:rsid w:val="00190B94"/>
    <w:rsid w:val="00191768"/>
    <w:rsid w:val="00192869"/>
    <w:rsid w:val="00192C1D"/>
    <w:rsid w:val="001930F3"/>
    <w:rsid w:val="001931F0"/>
    <w:rsid w:val="001943D2"/>
    <w:rsid w:val="001951CB"/>
    <w:rsid w:val="001954F0"/>
    <w:rsid w:val="00195571"/>
    <w:rsid w:val="001955AB"/>
    <w:rsid w:val="00195C48"/>
    <w:rsid w:val="00196260"/>
    <w:rsid w:val="00196742"/>
    <w:rsid w:val="00197118"/>
    <w:rsid w:val="00197570"/>
    <w:rsid w:val="0019786B"/>
    <w:rsid w:val="001A0E3F"/>
    <w:rsid w:val="001A4F33"/>
    <w:rsid w:val="001A52ED"/>
    <w:rsid w:val="001A6D33"/>
    <w:rsid w:val="001A75B8"/>
    <w:rsid w:val="001B0645"/>
    <w:rsid w:val="001B0D01"/>
    <w:rsid w:val="001B0E9C"/>
    <w:rsid w:val="001B2302"/>
    <w:rsid w:val="001B2578"/>
    <w:rsid w:val="001B2FE4"/>
    <w:rsid w:val="001B505F"/>
    <w:rsid w:val="001B55C6"/>
    <w:rsid w:val="001B644E"/>
    <w:rsid w:val="001B69E3"/>
    <w:rsid w:val="001B6AE2"/>
    <w:rsid w:val="001B7EA6"/>
    <w:rsid w:val="001C04BC"/>
    <w:rsid w:val="001C2DD7"/>
    <w:rsid w:val="001C3260"/>
    <w:rsid w:val="001C3AC0"/>
    <w:rsid w:val="001C4161"/>
    <w:rsid w:val="001C4269"/>
    <w:rsid w:val="001C42A6"/>
    <w:rsid w:val="001C474B"/>
    <w:rsid w:val="001C48A5"/>
    <w:rsid w:val="001C48E3"/>
    <w:rsid w:val="001C4AD6"/>
    <w:rsid w:val="001C5050"/>
    <w:rsid w:val="001C546A"/>
    <w:rsid w:val="001C56C3"/>
    <w:rsid w:val="001C6752"/>
    <w:rsid w:val="001C6B49"/>
    <w:rsid w:val="001C7061"/>
    <w:rsid w:val="001D0962"/>
    <w:rsid w:val="001D214B"/>
    <w:rsid w:val="001D42F4"/>
    <w:rsid w:val="001D5A72"/>
    <w:rsid w:val="001D5A9D"/>
    <w:rsid w:val="001D5F83"/>
    <w:rsid w:val="001D61C8"/>
    <w:rsid w:val="001E0100"/>
    <w:rsid w:val="001E056F"/>
    <w:rsid w:val="001E0794"/>
    <w:rsid w:val="001E07D0"/>
    <w:rsid w:val="001E0F36"/>
    <w:rsid w:val="001E1834"/>
    <w:rsid w:val="001E1B07"/>
    <w:rsid w:val="001E24E0"/>
    <w:rsid w:val="001E35DB"/>
    <w:rsid w:val="001E4824"/>
    <w:rsid w:val="001E583B"/>
    <w:rsid w:val="001E640A"/>
    <w:rsid w:val="001E6A6E"/>
    <w:rsid w:val="001E701F"/>
    <w:rsid w:val="001E7844"/>
    <w:rsid w:val="001E78D5"/>
    <w:rsid w:val="001E7C8F"/>
    <w:rsid w:val="001F335C"/>
    <w:rsid w:val="001F3A41"/>
    <w:rsid w:val="001F59AB"/>
    <w:rsid w:val="001F64DC"/>
    <w:rsid w:val="001F6BC5"/>
    <w:rsid w:val="001F754F"/>
    <w:rsid w:val="001F773F"/>
    <w:rsid w:val="001F7F35"/>
    <w:rsid w:val="00201DC6"/>
    <w:rsid w:val="00201F12"/>
    <w:rsid w:val="00206D6C"/>
    <w:rsid w:val="00207573"/>
    <w:rsid w:val="002075BF"/>
    <w:rsid w:val="002112D9"/>
    <w:rsid w:val="002115FE"/>
    <w:rsid w:val="00211BA6"/>
    <w:rsid w:val="00211C49"/>
    <w:rsid w:val="00211DD9"/>
    <w:rsid w:val="002135EF"/>
    <w:rsid w:val="0021430F"/>
    <w:rsid w:val="002148EB"/>
    <w:rsid w:val="002158DA"/>
    <w:rsid w:val="00215EBC"/>
    <w:rsid w:val="0021730A"/>
    <w:rsid w:val="00217399"/>
    <w:rsid w:val="00217E65"/>
    <w:rsid w:val="002203EC"/>
    <w:rsid w:val="00221171"/>
    <w:rsid w:val="00222854"/>
    <w:rsid w:val="00222D13"/>
    <w:rsid w:val="00223082"/>
    <w:rsid w:val="0022315C"/>
    <w:rsid w:val="00224363"/>
    <w:rsid w:val="0022594E"/>
    <w:rsid w:val="00225BF6"/>
    <w:rsid w:val="00226444"/>
    <w:rsid w:val="002264BE"/>
    <w:rsid w:val="00226ADA"/>
    <w:rsid w:val="00227379"/>
    <w:rsid w:val="002304A9"/>
    <w:rsid w:val="002305BB"/>
    <w:rsid w:val="002309B0"/>
    <w:rsid w:val="00231325"/>
    <w:rsid w:val="00232087"/>
    <w:rsid w:val="00232ACA"/>
    <w:rsid w:val="00233129"/>
    <w:rsid w:val="00233256"/>
    <w:rsid w:val="0023410F"/>
    <w:rsid w:val="002347E5"/>
    <w:rsid w:val="00234F0D"/>
    <w:rsid w:val="00235094"/>
    <w:rsid w:val="0023677B"/>
    <w:rsid w:val="00236B9D"/>
    <w:rsid w:val="0023768E"/>
    <w:rsid w:val="002402F6"/>
    <w:rsid w:val="002406DF"/>
    <w:rsid w:val="002412B6"/>
    <w:rsid w:val="00241ABA"/>
    <w:rsid w:val="00242E37"/>
    <w:rsid w:val="0024432F"/>
    <w:rsid w:val="00244E7C"/>
    <w:rsid w:val="0024540F"/>
    <w:rsid w:val="00245504"/>
    <w:rsid w:val="002457D7"/>
    <w:rsid w:val="00245BEB"/>
    <w:rsid w:val="00247551"/>
    <w:rsid w:val="00250530"/>
    <w:rsid w:val="0025056A"/>
    <w:rsid w:val="002519AC"/>
    <w:rsid w:val="00251D65"/>
    <w:rsid w:val="00252FC1"/>
    <w:rsid w:val="00253273"/>
    <w:rsid w:val="00256208"/>
    <w:rsid w:val="00256FCC"/>
    <w:rsid w:val="002574F6"/>
    <w:rsid w:val="00257A15"/>
    <w:rsid w:val="002606D8"/>
    <w:rsid w:val="00260A94"/>
    <w:rsid w:val="00260B67"/>
    <w:rsid w:val="002612A5"/>
    <w:rsid w:val="00261583"/>
    <w:rsid w:val="0026158F"/>
    <w:rsid w:val="0026171D"/>
    <w:rsid w:val="00261D94"/>
    <w:rsid w:val="00262D2A"/>
    <w:rsid w:val="002635B7"/>
    <w:rsid w:val="00263B8D"/>
    <w:rsid w:val="0026495C"/>
    <w:rsid w:val="00265010"/>
    <w:rsid w:val="00265180"/>
    <w:rsid w:val="00265AEB"/>
    <w:rsid w:val="0026634E"/>
    <w:rsid w:val="0026645C"/>
    <w:rsid w:val="002665F8"/>
    <w:rsid w:val="00266A5E"/>
    <w:rsid w:val="00267DD2"/>
    <w:rsid w:val="002705E9"/>
    <w:rsid w:val="002706AA"/>
    <w:rsid w:val="00272325"/>
    <w:rsid w:val="00274C64"/>
    <w:rsid w:val="00275410"/>
    <w:rsid w:val="00276100"/>
    <w:rsid w:val="00277B33"/>
    <w:rsid w:val="00277EB6"/>
    <w:rsid w:val="00281E2B"/>
    <w:rsid w:val="00282AA5"/>
    <w:rsid w:val="00284045"/>
    <w:rsid w:val="00284A82"/>
    <w:rsid w:val="002852C4"/>
    <w:rsid w:val="00285519"/>
    <w:rsid w:val="00285664"/>
    <w:rsid w:val="002869D9"/>
    <w:rsid w:val="00287A18"/>
    <w:rsid w:val="00287A26"/>
    <w:rsid w:val="00290DC6"/>
    <w:rsid w:val="00290E92"/>
    <w:rsid w:val="00290EBB"/>
    <w:rsid w:val="00291F8D"/>
    <w:rsid w:val="00292D3D"/>
    <w:rsid w:val="0029395B"/>
    <w:rsid w:val="00294129"/>
    <w:rsid w:val="00294313"/>
    <w:rsid w:val="00295734"/>
    <w:rsid w:val="002960D0"/>
    <w:rsid w:val="0029667D"/>
    <w:rsid w:val="0029693D"/>
    <w:rsid w:val="00297C36"/>
    <w:rsid w:val="002A01B5"/>
    <w:rsid w:val="002A080F"/>
    <w:rsid w:val="002A0EB5"/>
    <w:rsid w:val="002A157A"/>
    <w:rsid w:val="002A1950"/>
    <w:rsid w:val="002A1AF3"/>
    <w:rsid w:val="002A1D97"/>
    <w:rsid w:val="002A1E2F"/>
    <w:rsid w:val="002A2187"/>
    <w:rsid w:val="002A21AF"/>
    <w:rsid w:val="002A2AA4"/>
    <w:rsid w:val="002A3836"/>
    <w:rsid w:val="002A3C5C"/>
    <w:rsid w:val="002A5F0D"/>
    <w:rsid w:val="002A61D9"/>
    <w:rsid w:val="002A6332"/>
    <w:rsid w:val="002A6593"/>
    <w:rsid w:val="002A6B82"/>
    <w:rsid w:val="002A72F4"/>
    <w:rsid w:val="002A73A7"/>
    <w:rsid w:val="002A7B18"/>
    <w:rsid w:val="002A7F29"/>
    <w:rsid w:val="002B115B"/>
    <w:rsid w:val="002B31B7"/>
    <w:rsid w:val="002B3FE3"/>
    <w:rsid w:val="002B54B7"/>
    <w:rsid w:val="002B6730"/>
    <w:rsid w:val="002B70F4"/>
    <w:rsid w:val="002B74F7"/>
    <w:rsid w:val="002B7874"/>
    <w:rsid w:val="002C077F"/>
    <w:rsid w:val="002C166E"/>
    <w:rsid w:val="002C1ECF"/>
    <w:rsid w:val="002C3A0D"/>
    <w:rsid w:val="002C3AA3"/>
    <w:rsid w:val="002C3C03"/>
    <w:rsid w:val="002C45D8"/>
    <w:rsid w:val="002C4AA2"/>
    <w:rsid w:val="002C5511"/>
    <w:rsid w:val="002C7128"/>
    <w:rsid w:val="002D3ED0"/>
    <w:rsid w:val="002D4CBC"/>
    <w:rsid w:val="002D5128"/>
    <w:rsid w:val="002D5155"/>
    <w:rsid w:val="002D6845"/>
    <w:rsid w:val="002D6D70"/>
    <w:rsid w:val="002E0019"/>
    <w:rsid w:val="002E0CCA"/>
    <w:rsid w:val="002E0FB9"/>
    <w:rsid w:val="002E1121"/>
    <w:rsid w:val="002E141A"/>
    <w:rsid w:val="002E1826"/>
    <w:rsid w:val="002E1B95"/>
    <w:rsid w:val="002E3EC7"/>
    <w:rsid w:val="002E423D"/>
    <w:rsid w:val="002E4808"/>
    <w:rsid w:val="002E483E"/>
    <w:rsid w:val="002E5EDC"/>
    <w:rsid w:val="002E6159"/>
    <w:rsid w:val="002E7045"/>
    <w:rsid w:val="002E7199"/>
    <w:rsid w:val="002F012F"/>
    <w:rsid w:val="002F0513"/>
    <w:rsid w:val="002F0990"/>
    <w:rsid w:val="002F0C58"/>
    <w:rsid w:val="002F13D1"/>
    <w:rsid w:val="002F1465"/>
    <w:rsid w:val="002F1B00"/>
    <w:rsid w:val="002F2A16"/>
    <w:rsid w:val="002F37F8"/>
    <w:rsid w:val="002F3BFA"/>
    <w:rsid w:val="002F406B"/>
    <w:rsid w:val="002F4EDB"/>
    <w:rsid w:val="002F60D3"/>
    <w:rsid w:val="002F683F"/>
    <w:rsid w:val="002F7574"/>
    <w:rsid w:val="003006A9"/>
    <w:rsid w:val="00300A59"/>
    <w:rsid w:val="00300F20"/>
    <w:rsid w:val="00301777"/>
    <w:rsid w:val="0030214A"/>
    <w:rsid w:val="00302E78"/>
    <w:rsid w:val="003030CC"/>
    <w:rsid w:val="00305163"/>
    <w:rsid w:val="00306288"/>
    <w:rsid w:val="003075DF"/>
    <w:rsid w:val="00307D6D"/>
    <w:rsid w:val="00307F81"/>
    <w:rsid w:val="0031028C"/>
    <w:rsid w:val="00312639"/>
    <w:rsid w:val="003140F9"/>
    <w:rsid w:val="003148EA"/>
    <w:rsid w:val="00314EE6"/>
    <w:rsid w:val="00314FBF"/>
    <w:rsid w:val="003150CA"/>
    <w:rsid w:val="00315232"/>
    <w:rsid w:val="00315CB8"/>
    <w:rsid w:val="00315D8D"/>
    <w:rsid w:val="003168ED"/>
    <w:rsid w:val="003169C2"/>
    <w:rsid w:val="003172EB"/>
    <w:rsid w:val="00317793"/>
    <w:rsid w:val="00317797"/>
    <w:rsid w:val="00317AB4"/>
    <w:rsid w:val="00320542"/>
    <w:rsid w:val="00320E9C"/>
    <w:rsid w:val="00321E11"/>
    <w:rsid w:val="00322388"/>
    <w:rsid w:val="00322803"/>
    <w:rsid w:val="003228A7"/>
    <w:rsid w:val="00324C36"/>
    <w:rsid w:val="00324CE8"/>
    <w:rsid w:val="00325BD4"/>
    <w:rsid w:val="00326A33"/>
    <w:rsid w:val="0032785C"/>
    <w:rsid w:val="00327E36"/>
    <w:rsid w:val="00330795"/>
    <w:rsid w:val="00330E85"/>
    <w:rsid w:val="0033156B"/>
    <w:rsid w:val="0033219D"/>
    <w:rsid w:val="00332FA4"/>
    <w:rsid w:val="003343C5"/>
    <w:rsid w:val="00334624"/>
    <w:rsid w:val="00335042"/>
    <w:rsid w:val="00335693"/>
    <w:rsid w:val="00335897"/>
    <w:rsid w:val="00335B41"/>
    <w:rsid w:val="0033634C"/>
    <w:rsid w:val="0033669D"/>
    <w:rsid w:val="003367DD"/>
    <w:rsid w:val="003418E5"/>
    <w:rsid w:val="00342F38"/>
    <w:rsid w:val="003438B3"/>
    <w:rsid w:val="00343E5D"/>
    <w:rsid w:val="0034439B"/>
    <w:rsid w:val="0034501C"/>
    <w:rsid w:val="003455A7"/>
    <w:rsid w:val="00345C25"/>
    <w:rsid w:val="00345EDB"/>
    <w:rsid w:val="00346182"/>
    <w:rsid w:val="003469BB"/>
    <w:rsid w:val="00346D06"/>
    <w:rsid w:val="00350743"/>
    <w:rsid w:val="00350A47"/>
    <w:rsid w:val="00350FC8"/>
    <w:rsid w:val="003513CA"/>
    <w:rsid w:val="00351F75"/>
    <w:rsid w:val="00351FAC"/>
    <w:rsid w:val="003522DC"/>
    <w:rsid w:val="003529AF"/>
    <w:rsid w:val="00353652"/>
    <w:rsid w:val="00353871"/>
    <w:rsid w:val="003564CA"/>
    <w:rsid w:val="0035756C"/>
    <w:rsid w:val="00357751"/>
    <w:rsid w:val="003601F1"/>
    <w:rsid w:val="003608A8"/>
    <w:rsid w:val="00360BFC"/>
    <w:rsid w:val="00362A40"/>
    <w:rsid w:val="00363BF3"/>
    <w:rsid w:val="003642FA"/>
    <w:rsid w:val="003649E8"/>
    <w:rsid w:val="00365425"/>
    <w:rsid w:val="00365765"/>
    <w:rsid w:val="00366631"/>
    <w:rsid w:val="003679D5"/>
    <w:rsid w:val="00367B79"/>
    <w:rsid w:val="003700BB"/>
    <w:rsid w:val="0037015D"/>
    <w:rsid w:val="0037217E"/>
    <w:rsid w:val="003724DE"/>
    <w:rsid w:val="00373BB6"/>
    <w:rsid w:val="00374F02"/>
    <w:rsid w:val="00375614"/>
    <w:rsid w:val="00375ECA"/>
    <w:rsid w:val="003768AC"/>
    <w:rsid w:val="003779E2"/>
    <w:rsid w:val="003801FA"/>
    <w:rsid w:val="00380E60"/>
    <w:rsid w:val="00381483"/>
    <w:rsid w:val="00381C36"/>
    <w:rsid w:val="00381D62"/>
    <w:rsid w:val="003838AC"/>
    <w:rsid w:val="003855B5"/>
    <w:rsid w:val="003869D5"/>
    <w:rsid w:val="0038704A"/>
    <w:rsid w:val="003877A7"/>
    <w:rsid w:val="00390508"/>
    <w:rsid w:val="003905B9"/>
    <w:rsid w:val="0039206E"/>
    <w:rsid w:val="00392A4B"/>
    <w:rsid w:val="00392AA2"/>
    <w:rsid w:val="00393BA3"/>
    <w:rsid w:val="00394267"/>
    <w:rsid w:val="00394CFC"/>
    <w:rsid w:val="0039527F"/>
    <w:rsid w:val="00395A71"/>
    <w:rsid w:val="00395CAA"/>
    <w:rsid w:val="0039682A"/>
    <w:rsid w:val="00396851"/>
    <w:rsid w:val="00397055"/>
    <w:rsid w:val="00397C89"/>
    <w:rsid w:val="003A1744"/>
    <w:rsid w:val="003A37F4"/>
    <w:rsid w:val="003A3F44"/>
    <w:rsid w:val="003A4A87"/>
    <w:rsid w:val="003A4F1D"/>
    <w:rsid w:val="003A4F95"/>
    <w:rsid w:val="003A6CEA"/>
    <w:rsid w:val="003A6F71"/>
    <w:rsid w:val="003A745C"/>
    <w:rsid w:val="003A7AA6"/>
    <w:rsid w:val="003B01D4"/>
    <w:rsid w:val="003B0A0E"/>
    <w:rsid w:val="003B10EC"/>
    <w:rsid w:val="003B1570"/>
    <w:rsid w:val="003B2F03"/>
    <w:rsid w:val="003B3C31"/>
    <w:rsid w:val="003B43B8"/>
    <w:rsid w:val="003B4FD5"/>
    <w:rsid w:val="003B54AF"/>
    <w:rsid w:val="003B5E65"/>
    <w:rsid w:val="003B5FEE"/>
    <w:rsid w:val="003B6193"/>
    <w:rsid w:val="003B6217"/>
    <w:rsid w:val="003B6612"/>
    <w:rsid w:val="003B6D43"/>
    <w:rsid w:val="003B76D9"/>
    <w:rsid w:val="003B7F28"/>
    <w:rsid w:val="003C0CEB"/>
    <w:rsid w:val="003C2961"/>
    <w:rsid w:val="003C2A0D"/>
    <w:rsid w:val="003C2C1C"/>
    <w:rsid w:val="003C351A"/>
    <w:rsid w:val="003C3BC6"/>
    <w:rsid w:val="003C4059"/>
    <w:rsid w:val="003C4CFB"/>
    <w:rsid w:val="003C5934"/>
    <w:rsid w:val="003C6155"/>
    <w:rsid w:val="003C7080"/>
    <w:rsid w:val="003C71DD"/>
    <w:rsid w:val="003D0940"/>
    <w:rsid w:val="003D11D0"/>
    <w:rsid w:val="003D2204"/>
    <w:rsid w:val="003D239A"/>
    <w:rsid w:val="003D277E"/>
    <w:rsid w:val="003D2C74"/>
    <w:rsid w:val="003D34B3"/>
    <w:rsid w:val="003D39B2"/>
    <w:rsid w:val="003D5245"/>
    <w:rsid w:val="003D5507"/>
    <w:rsid w:val="003D5A10"/>
    <w:rsid w:val="003D5E6D"/>
    <w:rsid w:val="003D72FF"/>
    <w:rsid w:val="003D7CB9"/>
    <w:rsid w:val="003E0F7C"/>
    <w:rsid w:val="003E1BB0"/>
    <w:rsid w:val="003E1FA3"/>
    <w:rsid w:val="003E2B73"/>
    <w:rsid w:val="003E2F03"/>
    <w:rsid w:val="003E3BBF"/>
    <w:rsid w:val="003E424A"/>
    <w:rsid w:val="003E75F3"/>
    <w:rsid w:val="003F0338"/>
    <w:rsid w:val="003F0D9E"/>
    <w:rsid w:val="003F1303"/>
    <w:rsid w:val="003F1974"/>
    <w:rsid w:val="003F2109"/>
    <w:rsid w:val="003F3779"/>
    <w:rsid w:val="003F380F"/>
    <w:rsid w:val="003F50FF"/>
    <w:rsid w:val="003F5900"/>
    <w:rsid w:val="003F6355"/>
    <w:rsid w:val="00400266"/>
    <w:rsid w:val="00400874"/>
    <w:rsid w:val="004018E5"/>
    <w:rsid w:val="00401A9A"/>
    <w:rsid w:val="00402BAE"/>
    <w:rsid w:val="00402EEA"/>
    <w:rsid w:val="00403E1B"/>
    <w:rsid w:val="0040439F"/>
    <w:rsid w:val="00405299"/>
    <w:rsid w:val="00405CEF"/>
    <w:rsid w:val="00406337"/>
    <w:rsid w:val="00406A00"/>
    <w:rsid w:val="004074B3"/>
    <w:rsid w:val="004075EA"/>
    <w:rsid w:val="00410416"/>
    <w:rsid w:val="00410C82"/>
    <w:rsid w:val="00410D69"/>
    <w:rsid w:val="0041108E"/>
    <w:rsid w:val="00412DF2"/>
    <w:rsid w:val="0041360C"/>
    <w:rsid w:val="004138F5"/>
    <w:rsid w:val="00413D22"/>
    <w:rsid w:val="00414C90"/>
    <w:rsid w:val="0041532F"/>
    <w:rsid w:val="00415E31"/>
    <w:rsid w:val="004165B0"/>
    <w:rsid w:val="004165D6"/>
    <w:rsid w:val="00417965"/>
    <w:rsid w:val="00417FC7"/>
    <w:rsid w:val="00420B4E"/>
    <w:rsid w:val="0042163E"/>
    <w:rsid w:val="00421CFA"/>
    <w:rsid w:val="0042314A"/>
    <w:rsid w:val="00423163"/>
    <w:rsid w:val="0042530D"/>
    <w:rsid w:val="004265DD"/>
    <w:rsid w:val="00427010"/>
    <w:rsid w:val="00427318"/>
    <w:rsid w:val="004276CD"/>
    <w:rsid w:val="0042778E"/>
    <w:rsid w:val="00427843"/>
    <w:rsid w:val="00427F82"/>
    <w:rsid w:val="004302B6"/>
    <w:rsid w:val="00431ADD"/>
    <w:rsid w:val="0043230A"/>
    <w:rsid w:val="0043511C"/>
    <w:rsid w:val="00435538"/>
    <w:rsid w:val="00436CCD"/>
    <w:rsid w:val="00437E88"/>
    <w:rsid w:val="004405D1"/>
    <w:rsid w:val="00440672"/>
    <w:rsid w:val="00440DAE"/>
    <w:rsid w:val="004419AC"/>
    <w:rsid w:val="00441E70"/>
    <w:rsid w:val="00443779"/>
    <w:rsid w:val="00443C84"/>
    <w:rsid w:val="00443CCC"/>
    <w:rsid w:val="00443DDD"/>
    <w:rsid w:val="004441E4"/>
    <w:rsid w:val="004448E8"/>
    <w:rsid w:val="00447343"/>
    <w:rsid w:val="004474FB"/>
    <w:rsid w:val="00447821"/>
    <w:rsid w:val="004478F5"/>
    <w:rsid w:val="00450289"/>
    <w:rsid w:val="0045082D"/>
    <w:rsid w:val="00450888"/>
    <w:rsid w:val="004528CC"/>
    <w:rsid w:val="004529C3"/>
    <w:rsid w:val="00455E14"/>
    <w:rsid w:val="00456071"/>
    <w:rsid w:val="0045608B"/>
    <w:rsid w:val="004562B6"/>
    <w:rsid w:val="004612F5"/>
    <w:rsid w:val="00461665"/>
    <w:rsid w:val="00461677"/>
    <w:rsid w:val="004617A9"/>
    <w:rsid w:val="00462DA7"/>
    <w:rsid w:val="0046474D"/>
    <w:rsid w:val="00464C17"/>
    <w:rsid w:val="0046503C"/>
    <w:rsid w:val="004652FD"/>
    <w:rsid w:val="004657F4"/>
    <w:rsid w:val="00466979"/>
    <w:rsid w:val="00466D17"/>
    <w:rsid w:val="004675E2"/>
    <w:rsid w:val="00467E20"/>
    <w:rsid w:val="00470E02"/>
    <w:rsid w:val="00470FB1"/>
    <w:rsid w:val="00472166"/>
    <w:rsid w:val="00472A4C"/>
    <w:rsid w:val="00472B05"/>
    <w:rsid w:val="00472E85"/>
    <w:rsid w:val="00473068"/>
    <w:rsid w:val="004733C4"/>
    <w:rsid w:val="004735D5"/>
    <w:rsid w:val="0047556B"/>
    <w:rsid w:val="00475C2D"/>
    <w:rsid w:val="004766A4"/>
    <w:rsid w:val="00477226"/>
    <w:rsid w:val="0048124C"/>
    <w:rsid w:val="004813E8"/>
    <w:rsid w:val="00481EAC"/>
    <w:rsid w:val="004827F3"/>
    <w:rsid w:val="00486114"/>
    <w:rsid w:val="004863E4"/>
    <w:rsid w:val="00487264"/>
    <w:rsid w:val="00487EC6"/>
    <w:rsid w:val="00490D2A"/>
    <w:rsid w:val="0049105D"/>
    <w:rsid w:val="004918C4"/>
    <w:rsid w:val="00491C6B"/>
    <w:rsid w:val="004931D2"/>
    <w:rsid w:val="004932A2"/>
    <w:rsid w:val="00493A92"/>
    <w:rsid w:val="00496E8C"/>
    <w:rsid w:val="00496EAA"/>
    <w:rsid w:val="004A00B9"/>
    <w:rsid w:val="004A08D7"/>
    <w:rsid w:val="004A0BA2"/>
    <w:rsid w:val="004A18F3"/>
    <w:rsid w:val="004A3590"/>
    <w:rsid w:val="004A3BEC"/>
    <w:rsid w:val="004A42D3"/>
    <w:rsid w:val="004A5151"/>
    <w:rsid w:val="004A5DB1"/>
    <w:rsid w:val="004A687F"/>
    <w:rsid w:val="004A6ABA"/>
    <w:rsid w:val="004A6FAF"/>
    <w:rsid w:val="004A7359"/>
    <w:rsid w:val="004B2D33"/>
    <w:rsid w:val="004B3161"/>
    <w:rsid w:val="004B39F8"/>
    <w:rsid w:val="004B5BAF"/>
    <w:rsid w:val="004B5C0B"/>
    <w:rsid w:val="004B5CB4"/>
    <w:rsid w:val="004B632A"/>
    <w:rsid w:val="004B641F"/>
    <w:rsid w:val="004B721A"/>
    <w:rsid w:val="004B7E82"/>
    <w:rsid w:val="004C05F2"/>
    <w:rsid w:val="004C06AD"/>
    <w:rsid w:val="004C0860"/>
    <w:rsid w:val="004C0946"/>
    <w:rsid w:val="004C0C08"/>
    <w:rsid w:val="004C13CF"/>
    <w:rsid w:val="004C200E"/>
    <w:rsid w:val="004C56E9"/>
    <w:rsid w:val="004C7403"/>
    <w:rsid w:val="004C7EB2"/>
    <w:rsid w:val="004D0066"/>
    <w:rsid w:val="004D0163"/>
    <w:rsid w:val="004D0524"/>
    <w:rsid w:val="004D0AC5"/>
    <w:rsid w:val="004D19EB"/>
    <w:rsid w:val="004D2049"/>
    <w:rsid w:val="004D35C6"/>
    <w:rsid w:val="004D3A87"/>
    <w:rsid w:val="004D7449"/>
    <w:rsid w:val="004E06B4"/>
    <w:rsid w:val="004E189A"/>
    <w:rsid w:val="004E2076"/>
    <w:rsid w:val="004E318F"/>
    <w:rsid w:val="004E56D6"/>
    <w:rsid w:val="004E5878"/>
    <w:rsid w:val="004E5A0A"/>
    <w:rsid w:val="004E6764"/>
    <w:rsid w:val="004E69F6"/>
    <w:rsid w:val="004F021C"/>
    <w:rsid w:val="004F16D0"/>
    <w:rsid w:val="004F1757"/>
    <w:rsid w:val="004F1D20"/>
    <w:rsid w:val="004F25EA"/>
    <w:rsid w:val="004F326C"/>
    <w:rsid w:val="004F33AE"/>
    <w:rsid w:val="004F38A6"/>
    <w:rsid w:val="004F444A"/>
    <w:rsid w:val="004F4595"/>
    <w:rsid w:val="004F4820"/>
    <w:rsid w:val="004F5575"/>
    <w:rsid w:val="004F7824"/>
    <w:rsid w:val="004F79D9"/>
    <w:rsid w:val="005014BC"/>
    <w:rsid w:val="00501617"/>
    <w:rsid w:val="00502229"/>
    <w:rsid w:val="00502759"/>
    <w:rsid w:val="005030DE"/>
    <w:rsid w:val="00503266"/>
    <w:rsid w:val="005041E7"/>
    <w:rsid w:val="0050438F"/>
    <w:rsid w:val="00504B75"/>
    <w:rsid w:val="00504DF3"/>
    <w:rsid w:val="0050634D"/>
    <w:rsid w:val="005077F9"/>
    <w:rsid w:val="005078B2"/>
    <w:rsid w:val="005079C1"/>
    <w:rsid w:val="00507BBF"/>
    <w:rsid w:val="00511260"/>
    <w:rsid w:val="00511565"/>
    <w:rsid w:val="0051172C"/>
    <w:rsid w:val="00512FD8"/>
    <w:rsid w:val="0051380C"/>
    <w:rsid w:val="00514878"/>
    <w:rsid w:val="005164BC"/>
    <w:rsid w:val="0051706E"/>
    <w:rsid w:val="00517642"/>
    <w:rsid w:val="0052005E"/>
    <w:rsid w:val="00520CD4"/>
    <w:rsid w:val="00520E7F"/>
    <w:rsid w:val="005227B0"/>
    <w:rsid w:val="00523DBC"/>
    <w:rsid w:val="00524390"/>
    <w:rsid w:val="005244E9"/>
    <w:rsid w:val="00525CAE"/>
    <w:rsid w:val="005278D0"/>
    <w:rsid w:val="00530509"/>
    <w:rsid w:val="00530DEA"/>
    <w:rsid w:val="00531DD4"/>
    <w:rsid w:val="00532080"/>
    <w:rsid w:val="005324F3"/>
    <w:rsid w:val="005337DA"/>
    <w:rsid w:val="00535048"/>
    <w:rsid w:val="00535D10"/>
    <w:rsid w:val="005403D2"/>
    <w:rsid w:val="00544050"/>
    <w:rsid w:val="00544250"/>
    <w:rsid w:val="00545009"/>
    <w:rsid w:val="00545140"/>
    <w:rsid w:val="00545668"/>
    <w:rsid w:val="00546940"/>
    <w:rsid w:val="00546F4C"/>
    <w:rsid w:val="00547498"/>
    <w:rsid w:val="005479B2"/>
    <w:rsid w:val="00550077"/>
    <w:rsid w:val="0055098F"/>
    <w:rsid w:val="00550F76"/>
    <w:rsid w:val="005517B9"/>
    <w:rsid w:val="005519A2"/>
    <w:rsid w:val="00553E7D"/>
    <w:rsid w:val="00553ED1"/>
    <w:rsid w:val="005542BD"/>
    <w:rsid w:val="00555829"/>
    <w:rsid w:val="00556489"/>
    <w:rsid w:val="00556EDA"/>
    <w:rsid w:val="00556FC7"/>
    <w:rsid w:val="005573D6"/>
    <w:rsid w:val="0055798C"/>
    <w:rsid w:val="0056016D"/>
    <w:rsid w:val="0056029F"/>
    <w:rsid w:val="005627BA"/>
    <w:rsid w:val="005627E3"/>
    <w:rsid w:val="00563DAE"/>
    <w:rsid w:val="005647E9"/>
    <w:rsid w:val="0056481A"/>
    <w:rsid w:val="0056509F"/>
    <w:rsid w:val="00565326"/>
    <w:rsid w:val="0056584F"/>
    <w:rsid w:val="00566F4F"/>
    <w:rsid w:val="00570077"/>
    <w:rsid w:val="00570A0D"/>
    <w:rsid w:val="005733A3"/>
    <w:rsid w:val="00575076"/>
    <w:rsid w:val="0057534A"/>
    <w:rsid w:val="005754FC"/>
    <w:rsid w:val="005755D5"/>
    <w:rsid w:val="00575F9C"/>
    <w:rsid w:val="00576979"/>
    <w:rsid w:val="00577032"/>
    <w:rsid w:val="00577286"/>
    <w:rsid w:val="005772FF"/>
    <w:rsid w:val="00577D50"/>
    <w:rsid w:val="00580D85"/>
    <w:rsid w:val="005813AC"/>
    <w:rsid w:val="005822C2"/>
    <w:rsid w:val="0058354A"/>
    <w:rsid w:val="00584502"/>
    <w:rsid w:val="00584BA7"/>
    <w:rsid w:val="00586026"/>
    <w:rsid w:val="00586CFB"/>
    <w:rsid w:val="00587022"/>
    <w:rsid w:val="005877B2"/>
    <w:rsid w:val="00587D29"/>
    <w:rsid w:val="00591072"/>
    <w:rsid w:val="00591D7C"/>
    <w:rsid w:val="00593471"/>
    <w:rsid w:val="005934B8"/>
    <w:rsid w:val="005948FD"/>
    <w:rsid w:val="00594C9D"/>
    <w:rsid w:val="00595C65"/>
    <w:rsid w:val="005969E2"/>
    <w:rsid w:val="00597705"/>
    <w:rsid w:val="00597AB0"/>
    <w:rsid w:val="005A00B4"/>
    <w:rsid w:val="005A112C"/>
    <w:rsid w:val="005A16CB"/>
    <w:rsid w:val="005A2449"/>
    <w:rsid w:val="005A2C73"/>
    <w:rsid w:val="005A3875"/>
    <w:rsid w:val="005A3E4D"/>
    <w:rsid w:val="005A462D"/>
    <w:rsid w:val="005A4FC0"/>
    <w:rsid w:val="005A5196"/>
    <w:rsid w:val="005A6538"/>
    <w:rsid w:val="005A68D9"/>
    <w:rsid w:val="005A69CE"/>
    <w:rsid w:val="005A71F7"/>
    <w:rsid w:val="005B0DA7"/>
    <w:rsid w:val="005B1333"/>
    <w:rsid w:val="005B1872"/>
    <w:rsid w:val="005B27F3"/>
    <w:rsid w:val="005B5ACB"/>
    <w:rsid w:val="005B649F"/>
    <w:rsid w:val="005B7922"/>
    <w:rsid w:val="005B7CEE"/>
    <w:rsid w:val="005C1439"/>
    <w:rsid w:val="005C15DC"/>
    <w:rsid w:val="005C1994"/>
    <w:rsid w:val="005C1DEC"/>
    <w:rsid w:val="005C1EF1"/>
    <w:rsid w:val="005C21E6"/>
    <w:rsid w:val="005C28AE"/>
    <w:rsid w:val="005C2BF4"/>
    <w:rsid w:val="005C2CAB"/>
    <w:rsid w:val="005C36E4"/>
    <w:rsid w:val="005C3B70"/>
    <w:rsid w:val="005C4FDA"/>
    <w:rsid w:val="005C5C47"/>
    <w:rsid w:val="005C6034"/>
    <w:rsid w:val="005C6A41"/>
    <w:rsid w:val="005C75C8"/>
    <w:rsid w:val="005C77B1"/>
    <w:rsid w:val="005C7B19"/>
    <w:rsid w:val="005D0320"/>
    <w:rsid w:val="005D0B78"/>
    <w:rsid w:val="005D1DA4"/>
    <w:rsid w:val="005D237A"/>
    <w:rsid w:val="005D25D6"/>
    <w:rsid w:val="005D2F64"/>
    <w:rsid w:val="005D3407"/>
    <w:rsid w:val="005D3941"/>
    <w:rsid w:val="005D411A"/>
    <w:rsid w:val="005D47C3"/>
    <w:rsid w:val="005D5E9D"/>
    <w:rsid w:val="005D616B"/>
    <w:rsid w:val="005D6BF3"/>
    <w:rsid w:val="005D6D77"/>
    <w:rsid w:val="005D6F7D"/>
    <w:rsid w:val="005D7743"/>
    <w:rsid w:val="005D7B48"/>
    <w:rsid w:val="005E008C"/>
    <w:rsid w:val="005E0775"/>
    <w:rsid w:val="005E17FD"/>
    <w:rsid w:val="005E24B7"/>
    <w:rsid w:val="005E2F30"/>
    <w:rsid w:val="005E34E0"/>
    <w:rsid w:val="005E3541"/>
    <w:rsid w:val="005E36DE"/>
    <w:rsid w:val="005E560B"/>
    <w:rsid w:val="005E601A"/>
    <w:rsid w:val="005E60CE"/>
    <w:rsid w:val="005F03D5"/>
    <w:rsid w:val="005F04A5"/>
    <w:rsid w:val="005F06D5"/>
    <w:rsid w:val="005F08F9"/>
    <w:rsid w:val="005F0CCD"/>
    <w:rsid w:val="005F0DA7"/>
    <w:rsid w:val="005F158C"/>
    <w:rsid w:val="005F236B"/>
    <w:rsid w:val="005F36BE"/>
    <w:rsid w:val="005F4F0F"/>
    <w:rsid w:val="005F5AA9"/>
    <w:rsid w:val="005F654C"/>
    <w:rsid w:val="005F6D85"/>
    <w:rsid w:val="005F75C1"/>
    <w:rsid w:val="005F77BC"/>
    <w:rsid w:val="00600269"/>
    <w:rsid w:val="00600BFC"/>
    <w:rsid w:val="00600EEF"/>
    <w:rsid w:val="0060138F"/>
    <w:rsid w:val="006021DF"/>
    <w:rsid w:val="0060391E"/>
    <w:rsid w:val="0060443D"/>
    <w:rsid w:val="0060486E"/>
    <w:rsid w:val="00605377"/>
    <w:rsid w:val="006062FB"/>
    <w:rsid w:val="00606867"/>
    <w:rsid w:val="00607419"/>
    <w:rsid w:val="006101AF"/>
    <w:rsid w:val="00611026"/>
    <w:rsid w:val="006111AD"/>
    <w:rsid w:val="00611A97"/>
    <w:rsid w:val="00611F7E"/>
    <w:rsid w:val="00612393"/>
    <w:rsid w:val="00612ACF"/>
    <w:rsid w:val="00612B20"/>
    <w:rsid w:val="00613E36"/>
    <w:rsid w:val="00614A7A"/>
    <w:rsid w:val="00616B35"/>
    <w:rsid w:val="00617A30"/>
    <w:rsid w:val="00617F99"/>
    <w:rsid w:val="00621129"/>
    <w:rsid w:val="006215E6"/>
    <w:rsid w:val="00621B4B"/>
    <w:rsid w:val="00621CBD"/>
    <w:rsid w:val="00621FF7"/>
    <w:rsid w:val="006232F1"/>
    <w:rsid w:val="00623DDE"/>
    <w:rsid w:val="00624695"/>
    <w:rsid w:val="00624F21"/>
    <w:rsid w:val="00625D2D"/>
    <w:rsid w:val="0062659D"/>
    <w:rsid w:val="00626A64"/>
    <w:rsid w:val="006271A4"/>
    <w:rsid w:val="00627641"/>
    <w:rsid w:val="00630138"/>
    <w:rsid w:val="00630E2A"/>
    <w:rsid w:val="006313FC"/>
    <w:rsid w:val="0063285A"/>
    <w:rsid w:val="006332F2"/>
    <w:rsid w:val="006349B1"/>
    <w:rsid w:val="00634B17"/>
    <w:rsid w:val="00637564"/>
    <w:rsid w:val="00637A17"/>
    <w:rsid w:val="006402BE"/>
    <w:rsid w:val="0064030B"/>
    <w:rsid w:val="00640BE8"/>
    <w:rsid w:val="00641035"/>
    <w:rsid w:val="00641661"/>
    <w:rsid w:val="00641BD4"/>
    <w:rsid w:val="006433FD"/>
    <w:rsid w:val="0064381C"/>
    <w:rsid w:val="006444A9"/>
    <w:rsid w:val="00644F93"/>
    <w:rsid w:val="00644FB0"/>
    <w:rsid w:val="00646845"/>
    <w:rsid w:val="006476E6"/>
    <w:rsid w:val="00650EE2"/>
    <w:rsid w:val="006511A4"/>
    <w:rsid w:val="006513E2"/>
    <w:rsid w:val="006516CE"/>
    <w:rsid w:val="00651916"/>
    <w:rsid w:val="00651DE7"/>
    <w:rsid w:val="00652222"/>
    <w:rsid w:val="00652517"/>
    <w:rsid w:val="00652555"/>
    <w:rsid w:val="00652F24"/>
    <w:rsid w:val="006531C9"/>
    <w:rsid w:val="006535E1"/>
    <w:rsid w:val="006560DE"/>
    <w:rsid w:val="00657261"/>
    <w:rsid w:val="0066025E"/>
    <w:rsid w:val="00661711"/>
    <w:rsid w:val="00661BA9"/>
    <w:rsid w:val="00661D64"/>
    <w:rsid w:val="00662682"/>
    <w:rsid w:val="006639A0"/>
    <w:rsid w:val="00663C64"/>
    <w:rsid w:val="00663D7F"/>
    <w:rsid w:val="00664CD0"/>
    <w:rsid w:val="00665D94"/>
    <w:rsid w:val="006668FE"/>
    <w:rsid w:val="00666AD9"/>
    <w:rsid w:val="00667591"/>
    <w:rsid w:val="00667F9F"/>
    <w:rsid w:val="006710E7"/>
    <w:rsid w:val="00671978"/>
    <w:rsid w:val="00671A0B"/>
    <w:rsid w:val="00671BD4"/>
    <w:rsid w:val="0067210D"/>
    <w:rsid w:val="00672983"/>
    <w:rsid w:val="0067335C"/>
    <w:rsid w:val="00674214"/>
    <w:rsid w:val="00674B53"/>
    <w:rsid w:val="00675C81"/>
    <w:rsid w:val="00675CD6"/>
    <w:rsid w:val="006761B3"/>
    <w:rsid w:val="0068013D"/>
    <w:rsid w:val="0068034D"/>
    <w:rsid w:val="00681152"/>
    <w:rsid w:val="00681FCB"/>
    <w:rsid w:val="006828B6"/>
    <w:rsid w:val="00682948"/>
    <w:rsid w:val="00682983"/>
    <w:rsid w:val="00682987"/>
    <w:rsid w:val="00682CE5"/>
    <w:rsid w:val="0068304A"/>
    <w:rsid w:val="00683BC4"/>
    <w:rsid w:val="006841DC"/>
    <w:rsid w:val="0068468E"/>
    <w:rsid w:val="00685DAD"/>
    <w:rsid w:val="0068615D"/>
    <w:rsid w:val="0068675A"/>
    <w:rsid w:val="0068683B"/>
    <w:rsid w:val="0068774A"/>
    <w:rsid w:val="00690497"/>
    <w:rsid w:val="00690E3D"/>
    <w:rsid w:val="0069106B"/>
    <w:rsid w:val="00691AF2"/>
    <w:rsid w:val="00691CB2"/>
    <w:rsid w:val="00694527"/>
    <w:rsid w:val="00694D7E"/>
    <w:rsid w:val="0069550C"/>
    <w:rsid w:val="00696151"/>
    <w:rsid w:val="00696B1D"/>
    <w:rsid w:val="00697031"/>
    <w:rsid w:val="00697465"/>
    <w:rsid w:val="00697EB1"/>
    <w:rsid w:val="006A0AA4"/>
    <w:rsid w:val="006A1723"/>
    <w:rsid w:val="006A2310"/>
    <w:rsid w:val="006A2706"/>
    <w:rsid w:val="006A498B"/>
    <w:rsid w:val="006A6F5E"/>
    <w:rsid w:val="006B150C"/>
    <w:rsid w:val="006B1DCE"/>
    <w:rsid w:val="006B42B2"/>
    <w:rsid w:val="006B6180"/>
    <w:rsid w:val="006B692B"/>
    <w:rsid w:val="006C177A"/>
    <w:rsid w:val="006C1B13"/>
    <w:rsid w:val="006C32C4"/>
    <w:rsid w:val="006C45D5"/>
    <w:rsid w:val="006C4B69"/>
    <w:rsid w:val="006C5016"/>
    <w:rsid w:val="006C67A3"/>
    <w:rsid w:val="006D067F"/>
    <w:rsid w:val="006D07FB"/>
    <w:rsid w:val="006D0820"/>
    <w:rsid w:val="006D142E"/>
    <w:rsid w:val="006D265E"/>
    <w:rsid w:val="006D2AD0"/>
    <w:rsid w:val="006D3525"/>
    <w:rsid w:val="006D3F31"/>
    <w:rsid w:val="006D5A67"/>
    <w:rsid w:val="006D5EA3"/>
    <w:rsid w:val="006D64FA"/>
    <w:rsid w:val="006D65C0"/>
    <w:rsid w:val="006D762E"/>
    <w:rsid w:val="006D7DFD"/>
    <w:rsid w:val="006E0BD5"/>
    <w:rsid w:val="006E16D1"/>
    <w:rsid w:val="006E18CE"/>
    <w:rsid w:val="006E25AD"/>
    <w:rsid w:val="006E2B6D"/>
    <w:rsid w:val="006E3C88"/>
    <w:rsid w:val="006E4C1C"/>
    <w:rsid w:val="006E7EA3"/>
    <w:rsid w:val="006F01A7"/>
    <w:rsid w:val="006F09D8"/>
    <w:rsid w:val="006F1624"/>
    <w:rsid w:val="006F3052"/>
    <w:rsid w:val="006F3123"/>
    <w:rsid w:val="006F31BD"/>
    <w:rsid w:val="006F3259"/>
    <w:rsid w:val="006F35F6"/>
    <w:rsid w:val="006F3C00"/>
    <w:rsid w:val="006F434A"/>
    <w:rsid w:val="006F43C2"/>
    <w:rsid w:val="006F46DB"/>
    <w:rsid w:val="006F5015"/>
    <w:rsid w:val="006F5322"/>
    <w:rsid w:val="006F55B8"/>
    <w:rsid w:val="006F78DB"/>
    <w:rsid w:val="00701614"/>
    <w:rsid w:val="00702C42"/>
    <w:rsid w:val="00702F22"/>
    <w:rsid w:val="00703DBA"/>
    <w:rsid w:val="0070489F"/>
    <w:rsid w:val="00704A2E"/>
    <w:rsid w:val="007057AB"/>
    <w:rsid w:val="00706A9F"/>
    <w:rsid w:val="00707343"/>
    <w:rsid w:val="007073FB"/>
    <w:rsid w:val="00710A9E"/>
    <w:rsid w:val="00710C28"/>
    <w:rsid w:val="00711400"/>
    <w:rsid w:val="00711C08"/>
    <w:rsid w:val="00711CC1"/>
    <w:rsid w:val="00711EB8"/>
    <w:rsid w:val="00712094"/>
    <w:rsid w:val="00712DC4"/>
    <w:rsid w:val="00712ED3"/>
    <w:rsid w:val="00714697"/>
    <w:rsid w:val="007148A8"/>
    <w:rsid w:val="00714C9E"/>
    <w:rsid w:val="00714F26"/>
    <w:rsid w:val="00715651"/>
    <w:rsid w:val="00717903"/>
    <w:rsid w:val="00717B10"/>
    <w:rsid w:val="00722946"/>
    <w:rsid w:val="00724831"/>
    <w:rsid w:val="00724B29"/>
    <w:rsid w:val="00725A5F"/>
    <w:rsid w:val="007274FD"/>
    <w:rsid w:val="00727A78"/>
    <w:rsid w:val="00730A5A"/>
    <w:rsid w:val="00731207"/>
    <w:rsid w:val="00733DBD"/>
    <w:rsid w:val="00734430"/>
    <w:rsid w:val="00734C66"/>
    <w:rsid w:val="00735D28"/>
    <w:rsid w:val="007365F4"/>
    <w:rsid w:val="00737543"/>
    <w:rsid w:val="00737F11"/>
    <w:rsid w:val="0074053C"/>
    <w:rsid w:val="00743D4D"/>
    <w:rsid w:val="00743E88"/>
    <w:rsid w:val="00743EB1"/>
    <w:rsid w:val="00744507"/>
    <w:rsid w:val="0074485F"/>
    <w:rsid w:val="007451A8"/>
    <w:rsid w:val="00745BF2"/>
    <w:rsid w:val="00745E2B"/>
    <w:rsid w:val="00746757"/>
    <w:rsid w:val="00751ADD"/>
    <w:rsid w:val="00752013"/>
    <w:rsid w:val="007520F6"/>
    <w:rsid w:val="007532C0"/>
    <w:rsid w:val="00754417"/>
    <w:rsid w:val="00756020"/>
    <w:rsid w:val="00756098"/>
    <w:rsid w:val="007564C2"/>
    <w:rsid w:val="00756CF1"/>
    <w:rsid w:val="00757233"/>
    <w:rsid w:val="0075778A"/>
    <w:rsid w:val="00757809"/>
    <w:rsid w:val="00757F3C"/>
    <w:rsid w:val="00761D7E"/>
    <w:rsid w:val="007620A8"/>
    <w:rsid w:val="00762895"/>
    <w:rsid w:val="007631E0"/>
    <w:rsid w:val="00763628"/>
    <w:rsid w:val="00763BF3"/>
    <w:rsid w:val="0076438E"/>
    <w:rsid w:val="00764F87"/>
    <w:rsid w:val="007652DA"/>
    <w:rsid w:val="007655F3"/>
    <w:rsid w:val="00767A6B"/>
    <w:rsid w:val="00767BC4"/>
    <w:rsid w:val="00771094"/>
    <w:rsid w:val="00771421"/>
    <w:rsid w:val="00772514"/>
    <w:rsid w:val="00772E4B"/>
    <w:rsid w:val="00773F18"/>
    <w:rsid w:val="007742A9"/>
    <w:rsid w:val="007744D5"/>
    <w:rsid w:val="0077459E"/>
    <w:rsid w:val="00775448"/>
    <w:rsid w:val="0077676B"/>
    <w:rsid w:val="00782782"/>
    <w:rsid w:val="007841E0"/>
    <w:rsid w:val="007863FC"/>
    <w:rsid w:val="007866DC"/>
    <w:rsid w:val="0078767D"/>
    <w:rsid w:val="0078789E"/>
    <w:rsid w:val="00790A73"/>
    <w:rsid w:val="00790EC3"/>
    <w:rsid w:val="00791465"/>
    <w:rsid w:val="00792616"/>
    <w:rsid w:val="0079276A"/>
    <w:rsid w:val="00792F09"/>
    <w:rsid w:val="00794AA8"/>
    <w:rsid w:val="0079503C"/>
    <w:rsid w:val="007952A0"/>
    <w:rsid w:val="00796986"/>
    <w:rsid w:val="00796F39"/>
    <w:rsid w:val="00796F7A"/>
    <w:rsid w:val="00797A49"/>
    <w:rsid w:val="007A0E60"/>
    <w:rsid w:val="007A1488"/>
    <w:rsid w:val="007A1A81"/>
    <w:rsid w:val="007A2884"/>
    <w:rsid w:val="007A2E05"/>
    <w:rsid w:val="007A3705"/>
    <w:rsid w:val="007A39B0"/>
    <w:rsid w:val="007A5513"/>
    <w:rsid w:val="007A7583"/>
    <w:rsid w:val="007A7BBE"/>
    <w:rsid w:val="007B1008"/>
    <w:rsid w:val="007B196E"/>
    <w:rsid w:val="007B1F09"/>
    <w:rsid w:val="007B566C"/>
    <w:rsid w:val="007B686F"/>
    <w:rsid w:val="007B6CEF"/>
    <w:rsid w:val="007C17AD"/>
    <w:rsid w:val="007C247A"/>
    <w:rsid w:val="007C46D2"/>
    <w:rsid w:val="007C4731"/>
    <w:rsid w:val="007C540A"/>
    <w:rsid w:val="007C546A"/>
    <w:rsid w:val="007C5E91"/>
    <w:rsid w:val="007D0644"/>
    <w:rsid w:val="007D0A2D"/>
    <w:rsid w:val="007D1628"/>
    <w:rsid w:val="007D1DEB"/>
    <w:rsid w:val="007D3ACE"/>
    <w:rsid w:val="007D5680"/>
    <w:rsid w:val="007D57C8"/>
    <w:rsid w:val="007D5DA4"/>
    <w:rsid w:val="007D64EC"/>
    <w:rsid w:val="007D6E56"/>
    <w:rsid w:val="007D76BA"/>
    <w:rsid w:val="007E05A2"/>
    <w:rsid w:val="007E1089"/>
    <w:rsid w:val="007E1B26"/>
    <w:rsid w:val="007E1F8D"/>
    <w:rsid w:val="007E23D9"/>
    <w:rsid w:val="007E2D1B"/>
    <w:rsid w:val="007E379D"/>
    <w:rsid w:val="007E5E24"/>
    <w:rsid w:val="007F1E72"/>
    <w:rsid w:val="007F2C37"/>
    <w:rsid w:val="007F347A"/>
    <w:rsid w:val="007F4798"/>
    <w:rsid w:val="007F65CD"/>
    <w:rsid w:val="007F785B"/>
    <w:rsid w:val="008000AC"/>
    <w:rsid w:val="00800438"/>
    <w:rsid w:val="008019A5"/>
    <w:rsid w:val="008020C2"/>
    <w:rsid w:val="008020CD"/>
    <w:rsid w:val="00803543"/>
    <w:rsid w:val="00803C0D"/>
    <w:rsid w:val="00806AFC"/>
    <w:rsid w:val="00806B43"/>
    <w:rsid w:val="00810336"/>
    <w:rsid w:val="0081156D"/>
    <w:rsid w:val="00811B30"/>
    <w:rsid w:val="00812375"/>
    <w:rsid w:val="00812908"/>
    <w:rsid w:val="008129A7"/>
    <w:rsid w:val="00812B90"/>
    <w:rsid w:val="00812D95"/>
    <w:rsid w:val="00813448"/>
    <w:rsid w:val="0081418F"/>
    <w:rsid w:val="00814C1F"/>
    <w:rsid w:val="00814EDE"/>
    <w:rsid w:val="008150A1"/>
    <w:rsid w:val="00815CA4"/>
    <w:rsid w:val="0081612B"/>
    <w:rsid w:val="008166FE"/>
    <w:rsid w:val="00816ED1"/>
    <w:rsid w:val="008202DD"/>
    <w:rsid w:val="008214C9"/>
    <w:rsid w:val="00821D82"/>
    <w:rsid w:val="00822324"/>
    <w:rsid w:val="00822FCC"/>
    <w:rsid w:val="008230F2"/>
    <w:rsid w:val="00823109"/>
    <w:rsid w:val="00823385"/>
    <w:rsid w:val="00823442"/>
    <w:rsid w:val="0082414F"/>
    <w:rsid w:val="008242ED"/>
    <w:rsid w:val="00824909"/>
    <w:rsid w:val="008276BB"/>
    <w:rsid w:val="0083079D"/>
    <w:rsid w:val="00830F6A"/>
    <w:rsid w:val="008318BF"/>
    <w:rsid w:val="00831982"/>
    <w:rsid w:val="00831ADE"/>
    <w:rsid w:val="00831EB1"/>
    <w:rsid w:val="00832EA6"/>
    <w:rsid w:val="00832FD6"/>
    <w:rsid w:val="0083336E"/>
    <w:rsid w:val="00834066"/>
    <w:rsid w:val="008343B4"/>
    <w:rsid w:val="0083531F"/>
    <w:rsid w:val="008355D6"/>
    <w:rsid w:val="00837B9A"/>
    <w:rsid w:val="00837E1F"/>
    <w:rsid w:val="008405CE"/>
    <w:rsid w:val="008405CF"/>
    <w:rsid w:val="00841261"/>
    <w:rsid w:val="00841726"/>
    <w:rsid w:val="00841E7D"/>
    <w:rsid w:val="00842162"/>
    <w:rsid w:val="008426AA"/>
    <w:rsid w:val="0084295A"/>
    <w:rsid w:val="00842E36"/>
    <w:rsid w:val="0084393F"/>
    <w:rsid w:val="00846269"/>
    <w:rsid w:val="00847815"/>
    <w:rsid w:val="00851511"/>
    <w:rsid w:val="008516B0"/>
    <w:rsid w:val="00852737"/>
    <w:rsid w:val="008536CA"/>
    <w:rsid w:val="008547C2"/>
    <w:rsid w:val="00854A89"/>
    <w:rsid w:val="00855355"/>
    <w:rsid w:val="008557C2"/>
    <w:rsid w:val="00855F97"/>
    <w:rsid w:val="0085603D"/>
    <w:rsid w:val="00856F37"/>
    <w:rsid w:val="0086080D"/>
    <w:rsid w:val="00861BFB"/>
    <w:rsid w:val="008634DE"/>
    <w:rsid w:val="008647BD"/>
    <w:rsid w:val="00864B9F"/>
    <w:rsid w:val="0086556C"/>
    <w:rsid w:val="008656CC"/>
    <w:rsid w:val="008665C4"/>
    <w:rsid w:val="00866811"/>
    <w:rsid w:val="0086751C"/>
    <w:rsid w:val="008677E3"/>
    <w:rsid w:val="00867E95"/>
    <w:rsid w:val="008702BE"/>
    <w:rsid w:val="00870B41"/>
    <w:rsid w:val="008712E4"/>
    <w:rsid w:val="0087195C"/>
    <w:rsid w:val="00871DF1"/>
    <w:rsid w:val="00871E02"/>
    <w:rsid w:val="008725EE"/>
    <w:rsid w:val="00872DAA"/>
    <w:rsid w:val="00873629"/>
    <w:rsid w:val="00873BB3"/>
    <w:rsid w:val="00873C6E"/>
    <w:rsid w:val="008740F7"/>
    <w:rsid w:val="00874A48"/>
    <w:rsid w:val="00875AB7"/>
    <w:rsid w:val="00875D5A"/>
    <w:rsid w:val="00875F1E"/>
    <w:rsid w:val="00880351"/>
    <w:rsid w:val="0088086C"/>
    <w:rsid w:val="00881C4A"/>
    <w:rsid w:val="00882735"/>
    <w:rsid w:val="00882EFE"/>
    <w:rsid w:val="0088367F"/>
    <w:rsid w:val="00884499"/>
    <w:rsid w:val="00884F0E"/>
    <w:rsid w:val="00885C05"/>
    <w:rsid w:val="00885F6F"/>
    <w:rsid w:val="00886756"/>
    <w:rsid w:val="00886D82"/>
    <w:rsid w:val="00886F7E"/>
    <w:rsid w:val="0088730C"/>
    <w:rsid w:val="00887F9C"/>
    <w:rsid w:val="008902FC"/>
    <w:rsid w:val="00890838"/>
    <w:rsid w:val="00890F28"/>
    <w:rsid w:val="00891D44"/>
    <w:rsid w:val="00892541"/>
    <w:rsid w:val="0089372D"/>
    <w:rsid w:val="00893E14"/>
    <w:rsid w:val="0089409F"/>
    <w:rsid w:val="00894E84"/>
    <w:rsid w:val="0089533C"/>
    <w:rsid w:val="00895554"/>
    <w:rsid w:val="008957A8"/>
    <w:rsid w:val="00895A54"/>
    <w:rsid w:val="00896356"/>
    <w:rsid w:val="00896B6A"/>
    <w:rsid w:val="008A0454"/>
    <w:rsid w:val="008A1381"/>
    <w:rsid w:val="008A1A60"/>
    <w:rsid w:val="008A3638"/>
    <w:rsid w:val="008A3B15"/>
    <w:rsid w:val="008A3B56"/>
    <w:rsid w:val="008A4281"/>
    <w:rsid w:val="008A4527"/>
    <w:rsid w:val="008A504A"/>
    <w:rsid w:val="008A537D"/>
    <w:rsid w:val="008A5A76"/>
    <w:rsid w:val="008A5E1A"/>
    <w:rsid w:val="008A6A7F"/>
    <w:rsid w:val="008A7240"/>
    <w:rsid w:val="008A7BFC"/>
    <w:rsid w:val="008A7CF7"/>
    <w:rsid w:val="008A7FAD"/>
    <w:rsid w:val="008B100F"/>
    <w:rsid w:val="008B1779"/>
    <w:rsid w:val="008B17D8"/>
    <w:rsid w:val="008B1DA6"/>
    <w:rsid w:val="008B1E61"/>
    <w:rsid w:val="008B3509"/>
    <w:rsid w:val="008B3660"/>
    <w:rsid w:val="008B410E"/>
    <w:rsid w:val="008B4A61"/>
    <w:rsid w:val="008C0AE2"/>
    <w:rsid w:val="008C15FF"/>
    <w:rsid w:val="008C210D"/>
    <w:rsid w:val="008C35DD"/>
    <w:rsid w:val="008C3E59"/>
    <w:rsid w:val="008C4624"/>
    <w:rsid w:val="008C480D"/>
    <w:rsid w:val="008C4C45"/>
    <w:rsid w:val="008C651B"/>
    <w:rsid w:val="008C7138"/>
    <w:rsid w:val="008C7499"/>
    <w:rsid w:val="008C7A35"/>
    <w:rsid w:val="008D19A8"/>
    <w:rsid w:val="008D2564"/>
    <w:rsid w:val="008D3C26"/>
    <w:rsid w:val="008D4140"/>
    <w:rsid w:val="008D6ED8"/>
    <w:rsid w:val="008E1626"/>
    <w:rsid w:val="008E1CAB"/>
    <w:rsid w:val="008E25E8"/>
    <w:rsid w:val="008E270C"/>
    <w:rsid w:val="008E2CFB"/>
    <w:rsid w:val="008E480F"/>
    <w:rsid w:val="008E49B0"/>
    <w:rsid w:val="008E51D4"/>
    <w:rsid w:val="008E541F"/>
    <w:rsid w:val="008E5AAF"/>
    <w:rsid w:val="008E66F8"/>
    <w:rsid w:val="008E74EF"/>
    <w:rsid w:val="008E7904"/>
    <w:rsid w:val="008E7D8A"/>
    <w:rsid w:val="008E7EFA"/>
    <w:rsid w:val="008F051D"/>
    <w:rsid w:val="008F0FC5"/>
    <w:rsid w:val="008F0FD2"/>
    <w:rsid w:val="008F17A2"/>
    <w:rsid w:val="008F17A3"/>
    <w:rsid w:val="008F1C5A"/>
    <w:rsid w:val="008F203A"/>
    <w:rsid w:val="008F3E3F"/>
    <w:rsid w:val="008F4376"/>
    <w:rsid w:val="008F59AF"/>
    <w:rsid w:val="008F5B07"/>
    <w:rsid w:val="008F61FC"/>
    <w:rsid w:val="008F74A5"/>
    <w:rsid w:val="00900070"/>
    <w:rsid w:val="00901474"/>
    <w:rsid w:val="009014FD"/>
    <w:rsid w:val="00902AA7"/>
    <w:rsid w:val="00903496"/>
    <w:rsid w:val="0090362F"/>
    <w:rsid w:val="00903881"/>
    <w:rsid w:val="00903A37"/>
    <w:rsid w:val="009041F8"/>
    <w:rsid w:val="00904550"/>
    <w:rsid w:val="00904D4F"/>
    <w:rsid w:val="00904D53"/>
    <w:rsid w:val="00905C49"/>
    <w:rsid w:val="00906C53"/>
    <w:rsid w:val="0090737A"/>
    <w:rsid w:val="009077DC"/>
    <w:rsid w:val="00907BFB"/>
    <w:rsid w:val="009100BC"/>
    <w:rsid w:val="0091108D"/>
    <w:rsid w:val="00911228"/>
    <w:rsid w:val="0091374F"/>
    <w:rsid w:val="00913976"/>
    <w:rsid w:val="00914548"/>
    <w:rsid w:val="0091491D"/>
    <w:rsid w:val="0091517B"/>
    <w:rsid w:val="00915D2B"/>
    <w:rsid w:val="00916207"/>
    <w:rsid w:val="009200F5"/>
    <w:rsid w:val="0092036B"/>
    <w:rsid w:val="00921597"/>
    <w:rsid w:val="00921696"/>
    <w:rsid w:val="00924DFF"/>
    <w:rsid w:val="009251CD"/>
    <w:rsid w:val="0092525C"/>
    <w:rsid w:val="009257EE"/>
    <w:rsid w:val="009262E3"/>
    <w:rsid w:val="009265D7"/>
    <w:rsid w:val="00926BB1"/>
    <w:rsid w:val="009274D8"/>
    <w:rsid w:val="00927E7F"/>
    <w:rsid w:val="009300E6"/>
    <w:rsid w:val="009311FB"/>
    <w:rsid w:val="00931663"/>
    <w:rsid w:val="00931856"/>
    <w:rsid w:val="00931957"/>
    <w:rsid w:val="00932259"/>
    <w:rsid w:val="009333C2"/>
    <w:rsid w:val="00933D5C"/>
    <w:rsid w:val="00937B2D"/>
    <w:rsid w:val="00937F6E"/>
    <w:rsid w:val="00940225"/>
    <w:rsid w:val="009410ED"/>
    <w:rsid w:val="009429D4"/>
    <w:rsid w:val="00943D4D"/>
    <w:rsid w:val="00944464"/>
    <w:rsid w:val="00945BC4"/>
    <w:rsid w:val="00946162"/>
    <w:rsid w:val="00947D38"/>
    <w:rsid w:val="00947E64"/>
    <w:rsid w:val="009503FE"/>
    <w:rsid w:val="00950E3A"/>
    <w:rsid w:val="0095291D"/>
    <w:rsid w:val="00954778"/>
    <w:rsid w:val="0095687B"/>
    <w:rsid w:val="00957730"/>
    <w:rsid w:val="00957DC1"/>
    <w:rsid w:val="00960CDB"/>
    <w:rsid w:val="00961405"/>
    <w:rsid w:val="00961F9A"/>
    <w:rsid w:val="00962726"/>
    <w:rsid w:val="00962E0E"/>
    <w:rsid w:val="00964882"/>
    <w:rsid w:val="009648F1"/>
    <w:rsid w:val="00964C44"/>
    <w:rsid w:val="00964DFA"/>
    <w:rsid w:val="0096634B"/>
    <w:rsid w:val="0096650E"/>
    <w:rsid w:val="00966AC0"/>
    <w:rsid w:val="00970C9D"/>
    <w:rsid w:val="0097136D"/>
    <w:rsid w:val="009737E6"/>
    <w:rsid w:val="0097492C"/>
    <w:rsid w:val="00974DB4"/>
    <w:rsid w:val="00974E2D"/>
    <w:rsid w:val="00975DB5"/>
    <w:rsid w:val="009768B9"/>
    <w:rsid w:val="00976DCD"/>
    <w:rsid w:val="00976F0D"/>
    <w:rsid w:val="0098066C"/>
    <w:rsid w:val="009812F2"/>
    <w:rsid w:val="009814B0"/>
    <w:rsid w:val="00981871"/>
    <w:rsid w:val="00983AFC"/>
    <w:rsid w:val="00984181"/>
    <w:rsid w:val="00984BD4"/>
    <w:rsid w:val="00984D28"/>
    <w:rsid w:val="0098571F"/>
    <w:rsid w:val="00986A07"/>
    <w:rsid w:val="00987780"/>
    <w:rsid w:val="0099005D"/>
    <w:rsid w:val="0099046C"/>
    <w:rsid w:val="00990804"/>
    <w:rsid w:val="00990C90"/>
    <w:rsid w:val="00991E5D"/>
    <w:rsid w:val="00992B0D"/>
    <w:rsid w:val="00994B31"/>
    <w:rsid w:val="00995E05"/>
    <w:rsid w:val="009969E0"/>
    <w:rsid w:val="00996B5C"/>
    <w:rsid w:val="009A01FA"/>
    <w:rsid w:val="009A0545"/>
    <w:rsid w:val="009A065F"/>
    <w:rsid w:val="009A0B4E"/>
    <w:rsid w:val="009A10F5"/>
    <w:rsid w:val="009A1EC2"/>
    <w:rsid w:val="009A36AF"/>
    <w:rsid w:val="009A3E19"/>
    <w:rsid w:val="009A3E97"/>
    <w:rsid w:val="009A4B22"/>
    <w:rsid w:val="009A591E"/>
    <w:rsid w:val="009A77E7"/>
    <w:rsid w:val="009B0B48"/>
    <w:rsid w:val="009B11ED"/>
    <w:rsid w:val="009B1B1E"/>
    <w:rsid w:val="009B1B5C"/>
    <w:rsid w:val="009B306D"/>
    <w:rsid w:val="009B34A1"/>
    <w:rsid w:val="009B3D95"/>
    <w:rsid w:val="009B402C"/>
    <w:rsid w:val="009B4834"/>
    <w:rsid w:val="009B5983"/>
    <w:rsid w:val="009B652B"/>
    <w:rsid w:val="009B66DB"/>
    <w:rsid w:val="009B691B"/>
    <w:rsid w:val="009B70F3"/>
    <w:rsid w:val="009B7B65"/>
    <w:rsid w:val="009C052D"/>
    <w:rsid w:val="009C09A0"/>
    <w:rsid w:val="009C19B2"/>
    <w:rsid w:val="009C2135"/>
    <w:rsid w:val="009C28E9"/>
    <w:rsid w:val="009C323D"/>
    <w:rsid w:val="009C36F1"/>
    <w:rsid w:val="009C3E3C"/>
    <w:rsid w:val="009C4F54"/>
    <w:rsid w:val="009C5271"/>
    <w:rsid w:val="009C63A4"/>
    <w:rsid w:val="009C63D5"/>
    <w:rsid w:val="009C6B5F"/>
    <w:rsid w:val="009C6D43"/>
    <w:rsid w:val="009C7168"/>
    <w:rsid w:val="009C787C"/>
    <w:rsid w:val="009C7FC6"/>
    <w:rsid w:val="009D1373"/>
    <w:rsid w:val="009D161A"/>
    <w:rsid w:val="009D1687"/>
    <w:rsid w:val="009D1693"/>
    <w:rsid w:val="009D1BCC"/>
    <w:rsid w:val="009D461A"/>
    <w:rsid w:val="009D4AB7"/>
    <w:rsid w:val="009D5302"/>
    <w:rsid w:val="009D62F3"/>
    <w:rsid w:val="009D63AC"/>
    <w:rsid w:val="009D754F"/>
    <w:rsid w:val="009E1896"/>
    <w:rsid w:val="009E1980"/>
    <w:rsid w:val="009E1ACC"/>
    <w:rsid w:val="009E207B"/>
    <w:rsid w:val="009E2833"/>
    <w:rsid w:val="009E2BB3"/>
    <w:rsid w:val="009E325E"/>
    <w:rsid w:val="009E3484"/>
    <w:rsid w:val="009E3A06"/>
    <w:rsid w:val="009E3EB1"/>
    <w:rsid w:val="009E417C"/>
    <w:rsid w:val="009E44A7"/>
    <w:rsid w:val="009E569F"/>
    <w:rsid w:val="009E587C"/>
    <w:rsid w:val="009E5FDA"/>
    <w:rsid w:val="009E6160"/>
    <w:rsid w:val="009E646F"/>
    <w:rsid w:val="009E776E"/>
    <w:rsid w:val="009F010B"/>
    <w:rsid w:val="009F1760"/>
    <w:rsid w:val="009F4396"/>
    <w:rsid w:val="009F4DC0"/>
    <w:rsid w:val="009F5242"/>
    <w:rsid w:val="009F5D93"/>
    <w:rsid w:val="009F6F14"/>
    <w:rsid w:val="009F7433"/>
    <w:rsid w:val="00A00F3C"/>
    <w:rsid w:val="00A0144A"/>
    <w:rsid w:val="00A01D8D"/>
    <w:rsid w:val="00A020C0"/>
    <w:rsid w:val="00A02844"/>
    <w:rsid w:val="00A02A8B"/>
    <w:rsid w:val="00A034F2"/>
    <w:rsid w:val="00A042CC"/>
    <w:rsid w:val="00A05A7C"/>
    <w:rsid w:val="00A05A87"/>
    <w:rsid w:val="00A06BF5"/>
    <w:rsid w:val="00A06D56"/>
    <w:rsid w:val="00A076B8"/>
    <w:rsid w:val="00A07E9C"/>
    <w:rsid w:val="00A07F53"/>
    <w:rsid w:val="00A10065"/>
    <w:rsid w:val="00A10988"/>
    <w:rsid w:val="00A10BC3"/>
    <w:rsid w:val="00A10CD8"/>
    <w:rsid w:val="00A11066"/>
    <w:rsid w:val="00A11776"/>
    <w:rsid w:val="00A1196D"/>
    <w:rsid w:val="00A11A36"/>
    <w:rsid w:val="00A122F8"/>
    <w:rsid w:val="00A12914"/>
    <w:rsid w:val="00A12EEB"/>
    <w:rsid w:val="00A13A25"/>
    <w:rsid w:val="00A14173"/>
    <w:rsid w:val="00A14B2B"/>
    <w:rsid w:val="00A153BA"/>
    <w:rsid w:val="00A167B8"/>
    <w:rsid w:val="00A17060"/>
    <w:rsid w:val="00A17ED7"/>
    <w:rsid w:val="00A20492"/>
    <w:rsid w:val="00A2185E"/>
    <w:rsid w:val="00A21919"/>
    <w:rsid w:val="00A24D6B"/>
    <w:rsid w:val="00A26381"/>
    <w:rsid w:val="00A26BBE"/>
    <w:rsid w:val="00A3006C"/>
    <w:rsid w:val="00A315BB"/>
    <w:rsid w:val="00A31C08"/>
    <w:rsid w:val="00A32889"/>
    <w:rsid w:val="00A331C2"/>
    <w:rsid w:val="00A35179"/>
    <w:rsid w:val="00A36A40"/>
    <w:rsid w:val="00A36D42"/>
    <w:rsid w:val="00A40E0C"/>
    <w:rsid w:val="00A414A1"/>
    <w:rsid w:val="00A41BC0"/>
    <w:rsid w:val="00A41FF0"/>
    <w:rsid w:val="00A42893"/>
    <w:rsid w:val="00A42906"/>
    <w:rsid w:val="00A43D90"/>
    <w:rsid w:val="00A43E5D"/>
    <w:rsid w:val="00A45490"/>
    <w:rsid w:val="00A45EEA"/>
    <w:rsid w:val="00A4723D"/>
    <w:rsid w:val="00A47250"/>
    <w:rsid w:val="00A47AFA"/>
    <w:rsid w:val="00A5180C"/>
    <w:rsid w:val="00A521EE"/>
    <w:rsid w:val="00A526B5"/>
    <w:rsid w:val="00A5427C"/>
    <w:rsid w:val="00A54335"/>
    <w:rsid w:val="00A5504A"/>
    <w:rsid w:val="00A569C1"/>
    <w:rsid w:val="00A56ADF"/>
    <w:rsid w:val="00A56D22"/>
    <w:rsid w:val="00A57C11"/>
    <w:rsid w:val="00A603C3"/>
    <w:rsid w:val="00A60B70"/>
    <w:rsid w:val="00A61267"/>
    <w:rsid w:val="00A6274E"/>
    <w:rsid w:val="00A627E1"/>
    <w:rsid w:val="00A6371B"/>
    <w:rsid w:val="00A63829"/>
    <w:rsid w:val="00A64250"/>
    <w:rsid w:val="00A6480F"/>
    <w:rsid w:val="00A64DEE"/>
    <w:rsid w:val="00A64FD8"/>
    <w:rsid w:val="00A6550F"/>
    <w:rsid w:val="00A65CB2"/>
    <w:rsid w:val="00A67C97"/>
    <w:rsid w:val="00A711F9"/>
    <w:rsid w:val="00A71783"/>
    <w:rsid w:val="00A719FE"/>
    <w:rsid w:val="00A74937"/>
    <w:rsid w:val="00A75B8E"/>
    <w:rsid w:val="00A75CCB"/>
    <w:rsid w:val="00A76D84"/>
    <w:rsid w:val="00A776B6"/>
    <w:rsid w:val="00A779BC"/>
    <w:rsid w:val="00A80111"/>
    <w:rsid w:val="00A81808"/>
    <w:rsid w:val="00A81DF8"/>
    <w:rsid w:val="00A8264B"/>
    <w:rsid w:val="00A82B55"/>
    <w:rsid w:val="00A832BF"/>
    <w:rsid w:val="00A83D81"/>
    <w:rsid w:val="00A83F39"/>
    <w:rsid w:val="00A84210"/>
    <w:rsid w:val="00A85465"/>
    <w:rsid w:val="00A866AE"/>
    <w:rsid w:val="00A8721A"/>
    <w:rsid w:val="00A878A5"/>
    <w:rsid w:val="00A91785"/>
    <w:rsid w:val="00A92225"/>
    <w:rsid w:val="00A9235B"/>
    <w:rsid w:val="00A934DE"/>
    <w:rsid w:val="00A9381F"/>
    <w:rsid w:val="00A9499F"/>
    <w:rsid w:val="00A958D5"/>
    <w:rsid w:val="00A95B9A"/>
    <w:rsid w:val="00A95CB4"/>
    <w:rsid w:val="00A966D3"/>
    <w:rsid w:val="00A976E6"/>
    <w:rsid w:val="00AA00D8"/>
    <w:rsid w:val="00AA119D"/>
    <w:rsid w:val="00AA1FDF"/>
    <w:rsid w:val="00AA26FB"/>
    <w:rsid w:val="00AA32DA"/>
    <w:rsid w:val="00AA45A4"/>
    <w:rsid w:val="00AA4712"/>
    <w:rsid w:val="00AA4E10"/>
    <w:rsid w:val="00AA4FAB"/>
    <w:rsid w:val="00AA6070"/>
    <w:rsid w:val="00AA65F4"/>
    <w:rsid w:val="00AA6CF5"/>
    <w:rsid w:val="00AA7A71"/>
    <w:rsid w:val="00AA7C80"/>
    <w:rsid w:val="00AB01B3"/>
    <w:rsid w:val="00AB1064"/>
    <w:rsid w:val="00AB170C"/>
    <w:rsid w:val="00AB1B2B"/>
    <w:rsid w:val="00AB1E21"/>
    <w:rsid w:val="00AB23BF"/>
    <w:rsid w:val="00AB43EE"/>
    <w:rsid w:val="00AB4F07"/>
    <w:rsid w:val="00AB5121"/>
    <w:rsid w:val="00AB51EA"/>
    <w:rsid w:val="00AB618A"/>
    <w:rsid w:val="00AB6F0C"/>
    <w:rsid w:val="00AB794F"/>
    <w:rsid w:val="00AC0235"/>
    <w:rsid w:val="00AC147F"/>
    <w:rsid w:val="00AC1A9C"/>
    <w:rsid w:val="00AC1EC5"/>
    <w:rsid w:val="00AC2D2E"/>
    <w:rsid w:val="00AC3959"/>
    <w:rsid w:val="00AC4AC4"/>
    <w:rsid w:val="00AC78C2"/>
    <w:rsid w:val="00AC7F19"/>
    <w:rsid w:val="00AC7F40"/>
    <w:rsid w:val="00AC7FDF"/>
    <w:rsid w:val="00AD0544"/>
    <w:rsid w:val="00AD061A"/>
    <w:rsid w:val="00AD089F"/>
    <w:rsid w:val="00AD1A1B"/>
    <w:rsid w:val="00AD2128"/>
    <w:rsid w:val="00AD2872"/>
    <w:rsid w:val="00AD4E94"/>
    <w:rsid w:val="00AD565B"/>
    <w:rsid w:val="00AE099A"/>
    <w:rsid w:val="00AE154F"/>
    <w:rsid w:val="00AE18E1"/>
    <w:rsid w:val="00AE1EE1"/>
    <w:rsid w:val="00AE207E"/>
    <w:rsid w:val="00AE2782"/>
    <w:rsid w:val="00AE2C20"/>
    <w:rsid w:val="00AE3DAE"/>
    <w:rsid w:val="00AE412E"/>
    <w:rsid w:val="00AE4490"/>
    <w:rsid w:val="00AE5E46"/>
    <w:rsid w:val="00AF05EC"/>
    <w:rsid w:val="00AF1C9A"/>
    <w:rsid w:val="00AF223C"/>
    <w:rsid w:val="00AF2AE0"/>
    <w:rsid w:val="00AF399D"/>
    <w:rsid w:val="00AF3A8B"/>
    <w:rsid w:val="00AF3D6B"/>
    <w:rsid w:val="00AF4917"/>
    <w:rsid w:val="00AF4DC9"/>
    <w:rsid w:val="00AF4FE4"/>
    <w:rsid w:val="00AF500C"/>
    <w:rsid w:val="00AF6292"/>
    <w:rsid w:val="00AF680F"/>
    <w:rsid w:val="00AF6DF0"/>
    <w:rsid w:val="00B00514"/>
    <w:rsid w:val="00B00C04"/>
    <w:rsid w:val="00B011CD"/>
    <w:rsid w:val="00B01C2D"/>
    <w:rsid w:val="00B01FAF"/>
    <w:rsid w:val="00B020C3"/>
    <w:rsid w:val="00B04260"/>
    <w:rsid w:val="00B043FB"/>
    <w:rsid w:val="00B04A4E"/>
    <w:rsid w:val="00B0511A"/>
    <w:rsid w:val="00B05D39"/>
    <w:rsid w:val="00B0676F"/>
    <w:rsid w:val="00B100BE"/>
    <w:rsid w:val="00B11284"/>
    <w:rsid w:val="00B11F80"/>
    <w:rsid w:val="00B13A6B"/>
    <w:rsid w:val="00B14859"/>
    <w:rsid w:val="00B14FF9"/>
    <w:rsid w:val="00B15CA9"/>
    <w:rsid w:val="00B15D9A"/>
    <w:rsid w:val="00B160F4"/>
    <w:rsid w:val="00B1684F"/>
    <w:rsid w:val="00B1722F"/>
    <w:rsid w:val="00B17CCB"/>
    <w:rsid w:val="00B17E4E"/>
    <w:rsid w:val="00B207AC"/>
    <w:rsid w:val="00B208EE"/>
    <w:rsid w:val="00B20D36"/>
    <w:rsid w:val="00B212BF"/>
    <w:rsid w:val="00B21512"/>
    <w:rsid w:val="00B216AC"/>
    <w:rsid w:val="00B21FA2"/>
    <w:rsid w:val="00B235FF"/>
    <w:rsid w:val="00B23A30"/>
    <w:rsid w:val="00B24486"/>
    <w:rsid w:val="00B24846"/>
    <w:rsid w:val="00B259DB"/>
    <w:rsid w:val="00B26963"/>
    <w:rsid w:val="00B26AA4"/>
    <w:rsid w:val="00B272A3"/>
    <w:rsid w:val="00B30BDA"/>
    <w:rsid w:val="00B30C98"/>
    <w:rsid w:val="00B32AE8"/>
    <w:rsid w:val="00B3323A"/>
    <w:rsid w:val="00B34ECD"/>
    <w:rsid w:val="00B3528A"/>
    <w:rsid w:val="00B353EC"/>
    <w:rsid w:val="00B35487"/>
    <w:rsid w:val="00B36696"/>
    <w:rsid w:val="00B41092"/>
    <w:rsid w:val="00B415CC"/>
    <w:rsid w:val="00B418D6"/>
    <w:rsid w:val="00B42286"/>
    <w:rsid w:val="00B43446"/>
    <w:rsid w:val="00B446F9"/>
    <w:rsid w:val="00B44A2D"/>
    <w:rsid w:val="00B44A8B"/>
    <w:rsid w:val="00B45A9E"/>
    <w:rsid w:val="00B47499"/>
    <w:rsid w:val="00B47B74"/>
    <w:rsid w:val="00B50382"/>
    <w:rsid w:val="00B512A3"/>
    <w:rsid w:val="00B51F04"/>
    <w:rsid w:val="00B51F23"/>
    <w:rsid w:val="00B53331"/>
    <w:rsid w:val="00B559B2"/>
    <w:rsid w:val="00B565D4"/>
    <w:rsid w:val="00B56BAF"/>
    <w:rsid w:val="00B56D2F"/>
    <w:rsid w:val="00B56DA8"/>
    <w:rsid w:val="00B57BF8"/>
    <w:rsid w:val="00B60E51"/>
    <w:rsid w:val="00B61D4E"/>
    <w:rsid w:val="00B63487"/>
    <w:rsid w:val="00B63F7F"/>
    <w:rsid w:val="00B6537F"/>
    <w:rsid w:val="00B65433"/>
    <w:rsid w:val="00B65D0C"/>
    <w:rsid w:val="00B65DEE"/>
    <w:rsid w:val="00B667E1"/>
    <w:rsid w:val="00B673D7"/>
    <w:rsid w:val="00B71571"/>
    <w:rsid w:val="00B715B1"/>
    <w:rsid w:val="00B71F84"/>
    <w:rsid w:val="00B730BF"/>
    <w:rsid w:val="00B7376D"/>
    <w:rsid w:val="00B7379E"/>
    <w:rsid w:val="00B740F5"/>
    <w:rsid w:val="00B7446B"/>
    <w:rsid w:val="00B74A69"/>
    <w:rsid w:val="00B76097"/>
    <w:rsid w:val="00B7619E"/>
    <w:rsid w:val="00B77677"/>
    <w:rsid w:val="00B77BF3"/>
    <w:rsid w:val="00B83257"/>
    <w:rsid w:val="00B834AB"/>
    <w:rsid w:val="00B8381D"/>
    <w:rsid w:val="00B849F3"/>
    <w:rsid w:val="00B85EB0"/>
    <w:rsid w:val="00B85F87"/>
    <w:rsid w:val="00B87656"/>
    <w:rsid w:val="00B87B15"/>
    <w:rsid w:val="00B9092D"/>
    <w:rsid w:val="00B91527"/>
    <w:rsid w:val="00B92470"/>
    <w:rsid w:val="00B92963"/>
    <w:rsid w:val="00B929D1"/>
    <w:rsid w:val="00B93039"/>
    <w:rsid w:val="00B93182"/>
    <w:rsid w:val="00B939BF"/>
    <w:rsid w:val="00B93AC6"/>
    <w:rsid w:val="00B94749"/>
    <w:rsid w:val="00B95349"/>
    <w:rsid w:val="00B955C0"/>
    <w:rsid w:val="00B95B9C"/>
    <w:rsid w:val="00B961E2"/>
    <w:rsid w:val="00B967F0"/>
    <w:rsid w:val="00BA0067"/>
    <w:rsid w:val="00BA0BCF"/>
    <w:rsid w:val="00BA0F9A"/>
    <w:rsid w:val="00BA213B"/>
    <w:rsid w:val="00BA2179"/>
    <w:rsid w:val="00BA2923"/>
    <w:rsid w:val="00BA2E12"/>
    <w:rsid w:val="00BA3A11"/>
    <w:rsid w:val="00BA65AC"/>
    <w:rsid w:val="00BB0703"/>
    <w:rsid w:val="00BB2250"/>
    <w:rsid w:val="00BB243D"/>
    <w:rsid w:val="00BB27F3"/>
    <w:rsid w:val="00BB2985"/>
    <w:rsid w:val="00BB3967"/>
    <w:rsid w:val="00BB5F7D"/>
    <w:rsid w:val="00BB7D30"/>
    <w:rsid w:val="00BC0A20"/>
    <w:rsid w:val="00BC203E"/>
    <w:rsid w:val="00BC21A0"/>
    <w:rsid w:val="00BC2449"/>
    <w:rsid w:val="00BC249C"/>
    <w:rsid w:val="00BC4EF3"/>
    <w:rsid w:val="00BC77C0"/>
    <w:rsid w:val="00BD05DF"/>
    <w:rsid w:val="00BD0B25"/>
    <w:rsid w:val="00BD1798"/>
    <w:rsid w:val="00BD234D"/>
    <w:rsid w:val="00BD2561"/>
    <w:rsid w:val="00BD3859"/>
    <w:rsid w:val="00BD418B"/>
    <w:rsid w:val="00BD41D2"/>
    <w:rsid w:val="00BD4CA6"/>
    <w:rsid w:val="00BD54A3"/>
    <w:rsid w:val="00BD5DCD"/>
    <w:rsid w:val="00BD616D"/>
    <w:rsid w:val="00BD6439"/>
    <w:rsid w:val="00BD6C4D"/>
    <w:rsid w:val="00BE0997"/>
    <w:rsid w:val="00BE16C7"/>
    <w:rsid w:val="00BE1907"/>
    <w:rsid w:val="00BE1A97"/>
    <w:rsid w:val="00BE1FA6"/>
    <w:rsid w:val="00BE22B5"/>
    <w:rsid w:val="00BE3AF3"/>
    <w:rsid w:val="00BE41FF"/>
    <w:rsid w:val="00BE485B"/>
    <w:rsid w:val="00BE65D3"/>
    <w:rsid w:val="00BE6A74"/>
    <w:rsid w:val="00BE6F1C"/>
    <w:rsid w:val="00BE7D08"/>
    <w:rsid w:val="00BF0840"/>
    <w:rsid w:val="00BF08FC"/>
    <w:rsid w:val="00BF0DFF"/>
    <w:rsid w:val="00BF22B8"/>
    <w:rsid w:val="00BF2603"/>
    <w:rsid w:val="00BF51CE"/>
    <w:rsid w:val="00BF6541"/>
    <w:rsid w:val="00BF6812"/>
    <w:rsid w:val="00BF6ECE"/>
    <w:rsid w:val="00BF7D77"/>
    <w:rsid w:val="00C0127D"/>
    <w:rsid w:val="00C01A0D"/>
    <w:rsid w:val="00C028D9"/>
    <w:rsid w:val="00C036E4"/>
    <w:rsid w:val="00C038B8"/>
    <w:rsid w:val="00C03B35"/>
    <w:rsid w:val="00C03E01"/>
    <w:rsid w:val="00C04C51"/>
    <w:rsid w:val="00C05E6A"/>
    <w:rsid w:val="00C05F51"/>
    <w:rsid w:val="00C06574"/>
    <w:rsid w:val="00C06F31"/>
    <w:rsid w:val="00C10EAA"/>
    <w:rsid w:val="00C11EE9"/>
    <w:rsid w:val="00C12B8C"/>
    <w:rsid w:val="00C12F1F"/>
    <w:rsid w:val="00C13EA0"/>
    <w:rsid w:val="00C155D9"/>
    <w:rsid w:val="00C1720C"/>
    <w:rsid w:val="00C20171"/>
    <w:rsid w:val="00C20923"/>
    <w:rsid w:val="00C21155"/>
    <w:rsid w:val="00C2137F"/>
    <w:rsid w:val="00C2198E"/>
    <w:rsid w:val="00C21D65"/>
    <w:rsid w:val="00C2211D"/>
    <w:rsid w:val="00C2344F"/>
    <w:rsid w:val="00C23D1D"/>
    <w:rsid w:val="00C246F2"/>
    <w:rsid w:val="00C24D2D"/>
    <w:rsid w:val="00C25A80"/>
    <w:rsid w:val="00C263BF"/>
    <w:rsid w:val="00C26707"/>
    <w:rsid w:val="00C27719"/>
    <w:rsid w:val="00C2776C"/>
    <w:rsid w:val="00C30070"/>
    <w:rsid w:val="00C313DC"/>
    <w:rsid w:val="00C31BCD"/>
    <w:rsid w:val="00C320EB"/>
    <w:rsid w:val="00C328AC"/>
    <w:rsid w:val="00C32F7B"/>
    <w:rsid w:val="00C33600"/>
    <w:rsid w:val="00C33C41"/>
    <w:rsid w:val="00C34BA8"/>
    <w:rsid w:val="00C3513F"/>
    <w:rsid w:val="00C355AA"/>
    <w:rsid w:val="00C36223"/>
    <w:rsid w:val="00C40725"/>
    <w:rsid w:val="00C4207E"/>
    <w:rsid w:val="00C4373C"/>
    <w:rsid w:val="00C447EA"/>
    <w:rsid w:val="00C451A3"/>
    <w:rsid w:val="00C4577E"/>
    <w:rsid w:val="00C47475"/>
    <w:rsid w:val="00C50C8F"/>
    <w:rsid w:val="00C51156"/>
    <w:rsid w:val="00C53908"/>
    <w:rsid w:val="00C53E55"/>
    <w:rsid w:val="00C53FD7"/>
    <w:rsid w:val="00C540C1"/>
    <w:rsid w:val="00C54A14"/>
    <w:rsid w:val="00C55A45"/>
    <w:rsid w:val="00C55C61"/>
    <w:rsid w:val="00C57047"/>
    <w:rsid w:val="00C61C28"/>
    <w:rsid w:val="00C61E49"/>
    <w:rsid w:val="00C64CBA"/>
    <w:rsid w:val="00C64F44"/>
    <w:rsid w:val="00C650ED"/>
    <w:rsid w:val="00C65132"/>
    <w:rsid w:val="00C65F6A"/>
    <w:rsid w:val="00C665B2"/>
    <w:rsid w:val="00C66D87"/>
    <w:rsid w:val="00C67E3B"/>
    <w:rsid w:val="00C67F3E"/>
    <w:rsid w:val="00C701B8"/>
    <w:rsid w:val="00C70708"/>
    <w:rsid w:val="00C70CD5"/>
    <w:rsid w:val="00C71DDD"/>
    <w:rsid w:val="00C7216F"/>
    <w:rsid w:val="00C730E4"/>
    <w:rsid w:val="00C73BB8"/>
    <w:rsid w:val="00C74CC5"/>
    <w:rsid w:val="00C75863"/>
    <w:rsid w:val="00C7673D"/>
    <w:rsid w:val="00C76B48"/>
    <w:rsid w:val="00C76CC4"/>
    <w:rsid w:val="00C77815"/>
    <w:rsid w:val="00C823C5"/>
    <w:rsid w:val="00C82B8D"/>
    <w:rsid w:val="00C82D42"/>
    <w:rsid w:val="00C8322A"/>
    <w:rsid w:val="00C83583"/>
    <w:rsid w:val="00C83ACC"/>
    <w:rsid w:val="00C8458D"/>
    <w:rsid w:val="00C84B12"/>
    <w:rsid w:val="00C8611B"/>
    <w:rsid w:val="00C869BC"/>
    <w:rsid w:val="00C872C0"/>
    <w:rsid w:val="00C8737E"/>
    <w:rsid w:val="00C90F30"/>
    <w:rsid w:val="00C9108C"/>
    <w:rsid w:val="00C9243B"/>
    <w:rsid w:val="00C93B65"/>
    <w:rsid w:val="00C94B47"/>
    <w:rsid w:val="00C952FD"/>
    <w:rsid w:val="00C953C0"/>
    <w:rsid w:val="00C96C1A"/>
    <w:rsid w:val="00C96E5A"/>
    <w:rsid w:val="00C97474"/>
    <w:rsid w:val="00C97ACC"/>
    <w:rsid w:val="00CA0D3C"/>
    <w:rsid w:val="00CA181F"/>
    <w:rsid w:val="00CA2A54"/>
    <w:rsid w:val="00CA3219"/>
    <w:rsid w:val="00CA46C1"/>
    <w:rsid w:val="00CA4EC0"/>
    <w:rsid w:val="00CB01EB"/>
    <w:rsid w:val="00CB08F7"/>
    <w:rsid w:val="00CB0965"/>
    <w:rsid w:val="00CB0DFA"/>
    <w:rsid w:val="00CB1AFF"/>
    <w:rsid w:val="00CB250C"/>
    <w:rsid w:val="00CB34D5"/>
    <w:rsid w:val="00CB38D9"/>
    <w:rsid w:val="00CB47C6"/>
    <w:rsid w:val="00CB4AED"/>
    <w:rsid w:val="00CB507C"/>
    <w:rsid w:val="00CB5F57"/>
    <w:rsid w:val="00CB6CB0"/>
    <w:rsid w:val="00CC1247"/>
    <w:rsid w:val="00CC134C"/>
    <w:rsid w:val="00CC1C38"/>
    <w:rsid w:val="00CC2B0D"/>
    <w:rsid w:val="00CC36F9"/>
    <w:rsid w:val="00CC3E8F"/>
    <w:rsid w:val="00CC4396"/>
    <w:rsid w:val="00CC6020"/>
    <w:rsid w:val="00CD0BA2"/>
    <w:rsid w:val="00CD173B"/>
    <w:rsid w:val="00CD18DE"/>
    <w:rsid w:val="00CD2B80"/>
    <w:rsid w:val="00CD2DB9"/>
    <w:rsid w:val="00CD5B2B"/>
    <w:rsid w:val="00CD643B"/>
    <w:rsid w:val="00CD7CB9"/>
    <w:rsid w:val="00CE0D42"/>
    <w:rsid w:val="00CE0D64"/>
    <w:rsid w:val="00CE19D1"/>
    <w:rsid w:val="00CE23EF"/>
    <w:rsid w:val="00CE5CE2"/>
    <w:rsid w:val="00CE6197"/>
    <w:rsid w:val="00CE648A"/>
    <w:rsid w:val="00CE6490"/>
    <w:rsid w:val="00CE6BEE"/>
    <w:rsid w:val="00CE702E"/>
    <w:rsid w:val="00CE7723"/>
    <w:rsid w:val="00CF088A"/>
    <w:rsid w:val="00CF0F3E"/>
    <w:rsid w:val="00CF1AEC"/>
    <w:rsid w:val="00CF1FF4"/>
    <w:rsid w:val="00CF2954"/>
    <w:rsid w:val="00CF38F2"/>
    <w:rsid w:val="00CF4E17"/>
    <w:rsid w:val="00CF5CD7"/>
    <w:rsid w:val="00CF6926"/>
    <w:rsid w:val="00CF79DF"/>
    <w:rsid w:val="00D00702"/>
    <w:rsid w:val="00D00C09"/>
    <w:rsid w:val="00D00C83"/>
    <w:rsid w:val="00D01E61"/>
    <w:rsid w:val="00D02296"/>
    <w:rsid w:val="00D02B99"/>
    <w:rsid w:val="00D02FA5"/>
    <w:rsid w:val="00D0306C"/>
    <w:rsid w:val="00D034FA"/>
    <w:rsid w:val="00D0378E"/>
    <w:rsid w:val="00D06027"/>
    <w:rsid w:val="00D0642D"/>
    <w:rsid w:val="00D06E8C"/>
    <w:rsid w:val="00D0700A"/>
    <w:rsid w:val="00D071DB"/>
    <w:rsid w:val="00D0751A"/>
    <w:rsid w:val="00D078F8"/>
    <w:rsid w:val="00D07D25"/>
    <w:rsid w:val="00D07E02"/>
    <w:rsid w:val="00D110F0"/>
    <w:rsid w:val="00D116BA"/>
    <w:rsid w:val="00D12852"/>
    <w:rsid w:val="00D13010"/>
    <w:rsid w:val="00D133F0"/>
    <w:rsid w:val="00D143ED"/>
    <w:rsid w:val="00D14582"/>
    <w:rsid w:val="00D14834"/>
    <w:rsid w:val="00D1694F"/>
    <w:rsid w:val="00D16C5A"/>
    <w:rsid w:val="00D16CF4"/>
    <w:rsid w:val="00D16DAA"/>
    <w:rsid w:val="00D17E12"/>
    <w:rsid w:val="00D17EFB"/>
    <w:rsid w:val="00D20041"/>
    <w:rsid w:val="00D21B84"/>
    <w:rsid w:val="00D22365"/>
    <w:rsid w:val="00D22983"/>
    <w:rsid w:val="00D25359"/>
    <w:rsid w:val="00D25E7D"/>
    <w:rsid w:val="00D26D6A"/>
    <w:rsid w:val="00D27842"/>
    <w:rsid w:val="00D30628"/>
    <w:rsid w:val="00D309C1"/>
    <w:rsid w:val="00D30CEE"/>
    <w:rsid w:val="00D31D6C"/>
    <w:rsid w:val="00D32B3D"/>
    <w:rsid w:val="00D32BFA"/>
    <w:rsid w:val="00D33C8D"/>
    <w:rsid w:val="00D3475A"/>
    <w:rsid w:val="00D34F0A"/>
    <w:rsid w:val="00D34FFC"/>
    <w:rsid w:val="00D359D7"/>
    <w:rsid w:val="00D37148"/>
    <w:rsid w:val="00D37A00"/>
    <w:rsid w:val="00D40860"/>
    <w:rsid w:val="00D422CC"/>
    <w:rsid w:val="00D4280D"/>
    <w:rsid w:val="00D42B76"/>
    <w:rsid w:val="00D43787"/>
    <w:rsid w:val="00D43B1E"/>
    <w:rsid w:val="00D44482"/>
    <w:rsid w:val="00D447D8"/>
    <w:rsid w:val="00D450B5"/>
    <w:rsid w:val="00D455DF"/>
    <w:rsid w:val="00D45623"/>
    <w:rsid w:val="00D45942"/>
    <w:rsid w:val="00D45968"/>
    <w:rsid w:val="00D468AF"/>
    <w:rsid w:val="00D470FA"/>
    <w:rsid w:val="00D47F57"/>
    <w:rsid w:val="00D50983"/>
    <w:rsid w:val="00D5178D"/>
    <w:rsid w:val="00D51E3E"/>
    <w:rsid w:val="00D52AF3"/>
    <w:rsid w:val="00D5368C"/>
    <w:rsid w:val="00D53B35"/>
    <w:rsid w:val="00D5534B"/>
    <w:rsid w:val="00D555A8"/>
    <w:rsid w:val="00D5648F"/>
    <w:rsid w:val="00D56D5D"/>
    <w:rsid w:val="00D56E3B"/>
    <w:rsid w:val="00D57CC2"/>
    <w:rsid w:val="00D57E85"/>
    <w:rsid w:val="00D616EC"/>
    <w:rsid w:val="00D623FD"/>
    <w:rsid w:val="00D63463"/>
    <w:rsid w:val="00D648BA"/>
    <w:rsid w:val="00D6600F"/>
    <w:rsid w:val="00D66A4D"/>
    <w:rsid w:val="00D7058A"/>
    <w:rsid w:val="00D724E1"/>
    <w:rsid w:val="00D72FCC"/>
    <w:rsid w:val="00D752C5"/>
    <w:rsid w:val="00D76A95"/>
    <w:rsid w:val="00D801E1"/>
    <w:rsid w:val="00D82515"/>
    <w:rsid w:val="00D8255D"/>
    <w:rsid w:val="00D82682"/>
    <w:rsid w:val="00D82E21"/>
    <w:rsid w:val="00D840E2"/>
    <w:rsid w:val="00D846FE"/>
    <w:rsid w:val="00D84913"/>
    <w:rsid w:val="00D84A1B"/>
    <w:rsid w:val="00D86004"/>
    <w:rsid w:val="00D860CB"/>
    <w:rsid w:val="00D863E5"/>
    <w:rsid w:val="00D87C68"/>
    <w:rsid w:val="00D87E2A"/>
    <w:rsid w:val="00D921AD"/>
    <w:rsid w:val="00D92783"/>
    <w:rsid w:val="00D92B70"/>
    <w:rsid w:val="00D92D3B"/>
    <w:rsid w:val="00D93B48"/>
    <w:rsid w:val="00D9456A"/>
    <w:rsid w:val="00D946AC"/>
    <w:rsid w:val="00D948AD"/>
    <w:rsid w:val="00D94B4E"/>
    <w:rsid w:val="00D94DBD"/>
    <w:rsid w:val="00D9716C"/>
    <w:rsid w:val="00D97954"/>
    <w:rsid w:val="00DA00BB"/>
    <w:rsid w:val="00DA12E6"/>
    <w:rsid w:val="00DA3470"/>
    <w:rsid w:val="00DA35AB"/>
    <w:rsid w:val="00DA38F9"/>
    <w:rsid w:val="00DA4111"/>
    <w:rsid w:val="00DA4B36"/>
    <w:rsid w:val="00DA776D"/>
    <w:rsid w:val="00DA7AAB"/>
    <w:rsid w:val="00DB00F4"/>
    <w:rsid w:val="00DB0815"/>
    <w:rsid w:val="00DB0EA6"/>
    <w:rsid w:val="00DB1859"/>
    <w:rsid w:val="00DB620A"/>
    <w:rsid w:val="00DB6676"/>
    <w:rsid w:val="00DB7368"/>
    <w:rsid w:val="00DC03AC"/>
    <w:rsid w:val="00DC04F2"/>
    <w:rsid w:val="00DC1DC9"/>
    <w:rsid w:val="00DC2ABE"/>
    <w:rsid w:val="00DC4E53"/>
    <w:rsid w:val="00DC52EE"/>
    <w:rsid w:val="00DC59DE"/>
    <w:rsid w:val="00DC5DFB"/>
    <w:rsid w:val="00DC5F47"/>
    <w:rsid w:val="00DC7217"/>
    <w:rsid w:val="00DC79BB"/>
    <w:rsid w:val="00DC7D88"/>
    <w:rsid w:val="00DD11EB"/>
    <w:rsid w:val="00DD1B8B"/>
    <w:rsid w:val="00DD1F32"/>
    <w:rsid w:val="00DD23D6"/>
    <w:rsid w:val="00DD4855"/>
    <w:rsid w:val="00DD516A"/>
    <w:rsid w:val="00DD75C4"/>
    <w:rsid w:val="00DD7C72"/>
    <w:rsid w:val="00DE046C"/>
    <w:rsid w:val="00DE0C8F"/>
    <w:rsid w:val="00DE1FBA"/>
    <w:rsid w:val="00DE4550"/>
    <w:rsid w:val="00DE4CC2"/>
    <w:rsid w:val="00DE5339"/>
    <w:rsid w:val="00DE55DE"/>
    <w:rsid w:val="00DE5968"/>
    <w:rsid w:val="00DE5C02"/>
    <w:rsid w:val="00DE6A2A"/>
    <w:rsid w:val="00DE77D9"/>
    <w:rsid w:val="00DE7B84"/>
    <w:rsid w:val="00DF0391"/>
    <w:rsid w:val="00DF1227"/>
    <w:rsid w:val="00DF12AE"/>
    <w:rsid w:val="00DF131F"/>
    <w:rsid w:val="00DF2C98"/>
    <w:rsid w:val="00DF53A8"/>
    <w:rsid w:val="00DF77FD"/>
    <w:rsid w:val="00DF7AB6"/>
    <w:rsid w:val="00E00DCA"/>
    <w:rsid w:val="00E033B7"/>
    <w:rsid w:val="00E038DB"/>
    <w:rsid w:val="00E04CE7"/>
    <w:rsid w:val="00E04DC7"/>
    <w:rsid w:val="00E04FFB"/>
    <w:rsid w:val="00E055F8"/>
    <w:rsid w:val="00E05EEE"/>
    <w:rsid w:val="00E06244"/>
    <w:rsid w:val="00E065DD"/>
    <w:rsid w:val="00E06FE8"/>
    <w:rsid w:val="00E075A8"/>
    <w:rsid w:val="00E07D5A"/>
    <w:rsid w:val="00E105EE"/>
    <w:rsid w:val="00E10D91"/>
    <w:rsid w:val="00E12052"/>
    <w:rsid w:val="00E13396"/>
    <w:rsid w:val="00E134FC"/>
    <w:rsid w:val="00E135A7"/>
    <w:rsid w:val="00E1436B"/>
    <w:rsid w:val="00E143E1"/>
    <w:rsid w:val="00E14F22"/>
    <w:rsid w:val="00E151BD"/>
    <w:rsid w:val="00E15FD9"/>
    <w:rsid w:val="00E170FA"/>
    <w:rsid w:val="00E2020E"/>
    <w:rsid w:val="00E20388"/>
    <w:rsid w:val="00E20D15"/>
    <w:rsid w:val="00E2162E"/>
    <w:rsid w:val="00E2235E"/>
    <w:rsid w:val="00E2460C"/>
    <w:rsid w:val="00E25A13"/>
    <w:rsid w:val="00E26F75"/>
    <w:rsid w:val="00E3064C"/>
    <w:rsid w:val="00E30CD7"/>
    <w:rsid w:val="00E315E8"/>
    <w:rsid w:val="00E31F22"/>
    <w:rsid w:val="00E33007"/>
    <w:rsid w:val="00E33918"/>
    <w:rsid w:val="00E34483"/>
    <w:rsid w:val="00E3456D"/>
    <w:rsid w:val="00E363F1"/>
    <w:rsid w:val="00E368F5"/>
    <w:rsid w:val="00E40016"/>
    <w:rsid w:val="00E406B2"/>
    <w:rsid w:val="00E41555"/>
    <w:rsid w:val="00E4190D"/>
    <w:rsid w:val="00E41D28"/>
    <w:rsid w:val="00E43019"/>
    <w:rsid w:val="00E44430"/>
    <w:rsid w:val="00E44987"/>
    <w:rsid w:val="00E44B67"/>
    <w:rsid w:val="00E44F34"/>
    <w:rsid w:val="00E45859"/>
    <w:rsid w:val="00E47666"/>
    <w:rsid w:val="00E47C2B"/>
    <w:rsid w:val="00E503AE"/>
    <w:rsid w:val="00E504E9"/>
    <w:rsid w:val="00E505E8"/>
    <w:rsid w:val="00E506F3"/>
    <w:rsid w:val="00E507A9"/>
    <w:rsid w:val="00E51498"/>
    <w:rsid w:val="00E51726"/>
    <w:rsid w:val="00E519DE"/>
    <w:rsid w:val="00E51A14"/>
    <w:rsid w:val="00E5253D"/>
    <w:rsid w:val="00E53860"/>
    <w:rsid w:val="00E554E7"/>
    <w:rsid w:val="00E5688C"/>
    <w:rsid w:val="00E56B60"/>
    <w:rsid w:val="00E57B37"/>
    <w:rsid w:val="00E57C72"/>
    <w:rsid w:val="00E600EA"/>
    <w:rsid w:val="00E60AEE"/>
    <w:rsid w:val="00E61CA1"/>
    <w:rsid w:val="00E62609"/>
    <w:rsid w:val="00E62D65"/>
    <w:rsid w:val="00E636AF"/>
    <w:rsid w:val="00E63EF3"/>
    <w:rsid w:val="00E6547E"/>
    <w:rsid w:val="00E655F5"/>
    <w:rsid w:val="00E65E36"/>
    <w:rsid w:val="00E669A1"/>
    <w:rsid w:val="00E67625"/>
    <w:rsid w:val="00E700A0"/>
    <w:rsid w:val="00E700D9"/>
    <w:rsid w:val="00E70B2E"/>
    <w:rsid w:val="00E71104"/>
    <w:rsid w:val="00E722AA"/>
    <w:rsid w:val="00E724DC"/>
    <w:rsid w:val="00E72B57"/>
    <w:rsid w:val="00E7390F"/>
    <w:rsid w:val="00E7499D"/>
    <w:rsid w:val="00E74A8D"/>
    <w:rsid w:val="00E7595F"/>
    <w:rsid w:val="00E75BA7"/>
    <w:rsid w:val="00E75FF6"/>
    <w:rsid w:val="00E7628D"/>
    <w:rsid w:val="00E765EF"/>
    <w:rsid w:val="00E778C2"/>
    <w:rsid w:val="00E77A6F"/>
    <w:rsid w:val="00E81D7C"/>
    <w:rsid w:val="00E81E33"/>
    <w:rsid w:val="00E8390A"/>
    <w:rsid w:val="00E83A3B"/>
    <w:rsid w:val="00E86553"/>
    <w:rsid w:val="00E86EBF"/>
    <w:rsid w:val="00E86FE4"/>
    <w:rsid w:val="00E874CF"/>
    <w:rsid w:val="00E8758D"/>
    <w:rsid w:val="00E87902"/>
    <w:rsid w:val="00E901D7"/>
    <w:rsid w:val="00E9172D"/>
    <w:rsid w:val="00E91CDC"/>
    <w:rsid w:val="00E922BE"/>
    <w:rsid w:val="00E9258D"/>
    <w:rsid w:val="00E9268E"/>
    <w:rsid w:val="00E92B00"/>
    <w:rsid w:val="00E9368B"/>
    <w:rsid w:val="00E94D9A"/>
    <w:rsid w:val="00E953FA"/>
    <w:rsid w:val="00E97E28"/>
    <w:rsid w:val="00EA23B8"/>
    <w:rsid w:val="00EA3FFE"/>
    <w:rsid w:val="00EA4259"/>
    <w:rsid w:val="00EA484D"/>
    <w:rsid w:val="00EA4A96"/>
    <w:rsid w:val="00EA5555"/>
    <w:rsid w:val="00EA5BBE"/>
    <w:rsid w:val="00EA6AF6"/>
    <w:rsid w:val="00EA72E9"/>
    <w:rsid w:val="00EB01D0"/>
    <w:rsid w:val="00EB08CB"/>
    <w:rsid w:val="00EB1A14"/>
    <w:rsid w:val="00EB3B0A"/>
    <w:rsid w:val="00EB3DAC"/>
    <w:rsid w:val="00EB4073"/>
    <w:rsid w:val="00EB4093"/>
    <w:rsid w:val="00EB46F3"/>
    <w:rsid w:val="00EB4958"/>
    <w:rsid w:val="00EB554C"/>
    <w:rsid w:val="00EC1371"/>
    <w:rsid w:val="00EC1921"/>
    <w:rsid w:val="00EC1BF0"/>
    <w:rsid w:val="00EC2445"/>
    <w:rsid w:val="00EC33B2"/>
    <w:rsid w:val="00EC3796"/>
    <w:rsid w:val="00EC41A4"/>
    <w:rsid w:val="00EC58FE"/>
    <w:rsid w:val="00EC5D78"/>
    <w:rsid w:val="00EC6563"/>
    <w:rsid w:val="00EC6C77"/>
    <w:rsid w:val="00EC7294"/>
    <w:rsid w:val="00EC7555"/>
    <w:rsid w:val="00EC7728"/>
    <w:rsid w:val="00EC78B2"/>
    <w:rsid w:val="00ED0109"/>
    <w:rsid w:val="00ED0680"/>
    <w:rsid w:val="00ED0914"/>
    <w:rsid w:val="00ED10A6"/>
    <w:rsid w:val="00ED12A3"/>
    <w:rsid w:val="00ED27B9"/>
    <w:rsid w:val="00ED2905"/>
    <w:rsid w:val="00ED2912"/>
    <w:rsid w:val="00ED355D"/>
    <w:rsid w:val="00ED36D9"/>
    <w:rsid w:val="00ED3D65"/>
    <w:rsid w:val="00ED5131"/>
    <w:rsid w:val="00ED5AB2"/>
    <w:rsid w:val="00ED616C"/>
    <w:rsid w:val="00ED66EE"/>
    <w:rsid w:val="00ED7E7A"/>
    <w:rsid w:val="00EE08F2"/>
    <w:rsid w:val="00EE0D8C"/>
    <w:rsid w:val="00EE149D"/>
    <w:rsid w:val="00EE1681"/>
    <w:rsid w:val="00EE172B"/>
    <w:rsid w:val="00EE3F56"/>
    <w:rsid w:val="00EE4BB2"/>
    <w:rsid w:val="00EE560A"/>
    <w:rsid w:val="00EE6B47"/>
    <w:rsid w:val="00EE733B"/>
    <w:rsid w:val="00EE7AC4"/>
    <w:rsid w:val="00EE7B6D"/>
    <w:rsid w:val="00EF0F86"/>
    <w:rsid w:val="00EF13A5"/>
    <w:rsid w:val="00EF1724"/>
    <w:rsid w:val="00EF1AA9"/>
    <w:rsid w:val="00EF1B4E"/>
    <w:rsid w:val="00EF1CC2"/>
    <w:rsid w:val="00EF2657"/>
    <w:rsid w:val="00EF392A"/>
    <w:rsid w:val="00EF4796"/>
    <w:rsid w:val="00EF5079"/>
    <w:rsid w:val="00EF7A77"/>
    <w:rsid w:val="00EF7DE3"/>
    <w:rsid w:val="00F006C9"/>
    <w:rsid w:val="00F01964"/>
    <w:rsid w:val="00F01E05"/>
    <w:rsid w:val="00F02F54"/>
    <w:rsid w:val="00F03164"/>
    <w:rsid w:val="00F03638"/>
    <w:rsid w:val="00F039ED"/>
    <w:rsid w:val="00F03F16"/>
    <w:rsid w:val="00F050FD"/>
    <w:rsid w:val="00F0620D"/>
    <w:rsid w:val="00F07ECC"/>
    <w:rsid w:val="00F10116"/>
    <w:rsid w:val="00F10D69"/>
    <w:rsid w:val="00F11634"/>
    <w:rsid w:val="00F11B23"/>
    <w:rsid w:val="00F1231A"/>
    <w:rsid w:val="00F126A0"/>
    <w:rsid w:val="00F1344F"/>
    <w:rsid w:val="00F13850"/>
    <w:rsid w:val="00F13A34"/>
    <w:rsid w:val="00F146CB"/>
    <w:rsid w:val="00F14B1E"/>
    <w:rsid w:val="00F14E97"/>
    <w:rsid w:val="00F15C00"/>
    <w:rsid w:val="00F15D92"/>
    <w:rsid w:val="00F15E7C"/>
    <w:rsid w:val="00F17F3E"/>
    <w:rsid w:val="00F21342"/>
    <w:rsid w:val="00F21444"/>
    <w:rsid w:val="00F2188E"/>
    <w:rsid w:val="00F220EF"/>
    <w:rsid w:val="00F2298C"/>
    <w:rsid w:val="00F239F0"/>
    <w:rsid w:val="00F24CF2"/>
    <w:rsid w:val="00F25235"/>
    <w:rsid w:val="00F254F6"/>
    <w:rsid w:val="00F266D4"/>
    <w:rsid w:val="00F271FB"/>
    <w:rsid w:val="00F273E8"/>
    <w:rsid w:val="00F27E08"/>
    <w:rsid w:val="00F3022D"/>
    <w:rsid w:val="00F30708"/>
    <w:rsid w:val="00F31806"/>
    <w:rsid w:val="00F31B3B"/>
    <w:rsid w:val="00F31E35"/>
    <w:rsid w:val="00F3228A"/>
    <w:rsid w:val="00F3395E"/>
    <w:rsid w:val="00F33A72"/>
    <w:rsid w:val="00F3415D"/>
    <w:rsid w:val="00F3579C"/>
    <w:rsid w:val="00F363F1"/>
    <w:rsid w:val="00F36F97"/>
    <w:rsid w:val="00F37256"/>
    <w:rsid w:val="00F37FD0"/>
    <w:rsid w:val="00F439FE"/>
    <w:rsid w:val="00F43DFC"/>
    <w:rsid w:val="00F44A3D"/>
    <w:rsid w:val="00F45E5A"/>
    <w:rsid w:val="00F53A5F"/>
    <w:rsid w:val="00F54740"/>
    <w:rsid w:val="00F54A0C"/>
    <w:rsid w:val="00F56A90"/>
    <w:rsid w:val="00F575A4"/>
    <w:rsid w:val="00F57A3E"/>
    <w:rsid w:val="00F57D1A"/>
    <w:rsid w:val="00F61036"/>
    <w:rsid w:val="00F62899"/>
    <w:rsid w:val="00F62D67"/>
    <w:rsid w:val="00F637A9"/>
    <w:rsid w:val="00F63A4A"/>
    <w:rsid w:val="00F63E31"/>
    <w:rsid w:val="00F645AE"/>
    <w:rsid w:val="00F655A2"/>
    <w:rsid w:val="00F65604"/>
    <w:rsid w:val="00F67CA4"/>
    <w:rsid w:val="00F67D00"/>
    <w:rsid w:val="00F67D2C"/>
    <w:rsid w:val="00F70011"/>
    <w:rsid w:val="00F720FA"/>
    <w:rsid w:val="00F733B2"/>
    <w:rsid w:val="00F73672"/>
    <w:rsid w:val="00F75DF6"/>
    <w:rsid w:val="00F76A63"/>
    <w:rsid w:val="00F772EA"/>
    <w:rsid w:val="00F7740D"/>
    <w:rsid w:val="00F77698"/>
    <w:rsid w:val="00F77C63"/>
    <w:rsid w:val="00F77E2D"/>
    <w:rsid w:val="00F814E1"/>
    <w:rsid w:val="00F82F5A"/>
    <w:rsid w:val="00F83BC2"/>
    <w:rsid w:val="00F84ED2"/>
    <w:rsid w:val="00F8697C"/>
    <w:rsid w:val="00F90290"/>
    <w:rsid w:val="00F911AE"/>
    <w:rsid w:val="00F915B8"/>
    <w:rsid w:val="00F91B3B"/>
    <w:rsid w:val="00F937DA"/>
    <w:rsid w:val="00F94EC0"/>
    <w:rsid w:val="00F956A9"/>
    <w:rsid w:val="00F9588D"/>
    <w:rsid w:val="00F976C6"/>
    <w:rsid w:val="00FA0C52"/>
    <w:rsid w:val="00FA1AB1"/>
    <w:rsid w:val="00FA2115"/>
    <w:rsid w:val="00FA215D"/>
    <w:rsid w:val="00FA2451"/>
    <w:rsid w:val="00FA457D"/>
    <w:rsid w:val="00FA6E33"/>
    <w:rsid w:val="00FA72B1"/>
    <w:rsid w:val="00FA7972"/>
    <w:rsid w:val="00FB38B8"/>
    <w:rsid w:val="00FB4574"/>
    <w:rsid w:val="00FB48A8"/>
    <w:rsid w:val="00FB5672"/>
    <w:rsid w:val="00FC02F0"/>
    <w:rsid w:val="00FC0E9A"/>
    <w:rsid w:val="00FC219D"/>
    <w:rsid w:val="00FC2223"/>
    <w:rsid w:val="00FC324F"/>
    <w:rsid w:val="00FC479C"/>
    <w:rsid w:val="00FC51F6"/>
    <w:rsid w:val="00FC5A2B"/>
    <w:rsid w:val="00FC6B7B"/>
    <w:rsid w:val="00FC6E57"/>
    <w:rsid w:val="00FC7151"/>
    <w:rsid w:val="00FD0C02"/>
    <w:rsid w:val="00FD18E6"/>
    <w:rsid w:val="00FD1FCF"/>
    <w:rsid w:val="00FD282F"/>
    <w:rsid w:val="00FD3451"/>
    <w:rsid w:val="00FD4E6E"/>
    <w:rsid w:val="00FD56BA"/>
    <w:rsid w:val="00FD57D8"/>
    <w:rsid w:val="00FD586B"/>
    <w:rsid w:val="00FD6263"/>
    <w:rsid w:val="00FD6927"/>
    <w:rsid w:val="00FD6EAA"/>
    <w:rsid w:val="00FD7C0C"/>
    <w:rsid w:val="00FE0ABB"/>
    <w:rsid w:val="00FE141F"/>
    <w:rsid w:val="00FE1FDB"/>
    <w:rsid w:val="00FE20F0"/>
    <w:rsid w:val="00FE2603"/>
    <w:rsid w:val="00FE4130"/>
    <w:rsid w:val="00FE5480"/>
    <w:rsid w:val="00FE584E"/>
    <w:rsid w:val="00FE7911"/>
    <w:rsid w:val="00FF1735"/>
    <w:rsid w:val="00FF1E2F"/>
    <w:rsid w:val="00FF29A7"/>
    <w:rsid w:val="00FF2FF8"/>
    <w:rsid w:val="00FF31C9"/>
    <w:rsid w:val="00FF3D51"/>
    <w:rsid w:val="00FF65BD"/>
    <w:rsid w:val="00FF663F"/>
    <w:rsid w:val="00FF78F6"/>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156C"/>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2B"/>
  </w:style>
  <w:style w:type="paragraph" w:styleId="Heading2">
    <w:name w:val="heading 2"/>
    <w:basedOn w:val="Normal"/>
    <w:link w:val="Heading2Char"/>
    <w:uiPriority w:val="9"/>
    <w:qFormat/>
    <w:rsid w:val="00F126A0"/>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NormalWeb">
    <w:name w:val="Normal (Web)"/>
    <w:basedOn w:val="Normal"/>
    <w:uiPriority w:val="99"/>
    <w:unhideWhenUsed/>
    <w:rsid w:val="00A934DE"/>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A934DE"/>
  </w:style>
  <w:style w:type="character" w:styleId="Hyperlink">
    <w:name w:val="Hyperlink"/>
    <w:basedOn w:val="DefaultParagraphFont"/>
    <w:uiPriority w:val="99"/>
    <w:semiHidden/>
    <w:unhideWhenUsed/>
    <w:rsid w:val="00A934DE"/>
    <w:rPr>
      <w:color w:val="0000FF"/>
      <w:u w:val="single"/>
    </w:rPr>
  </w:style>
  <w:style w:type="character" w:customStyle="1" w:styleId="Heading2Char">
    <w:name w:val="Heading 2 Char"/>
    <w:basedOn w:val="DefaultParagraphFont"/>
    <w:link w:val="Heading2"/>
    <w:uiPriority w:val="9"/>
    <w:rsid w:val="00F126A0"/>
    <w:rPr>
      <w:rFonts w:ascii="Times New Roman" w:eastAsia="Times New Roman" w:hAnsi="Times New Roman" w:cs="Times New Roman"/>
      <w:b/>
      <w:bCs/>
      <w:color w:val="auto"/>
      <w:sz w:val="36"/>
      <w:szCs w:val="36"/>
      <w:lang w:eastAsia="en-GB"/>
    </w:rPr>
  </w:style>
  <w:style w:type="character" w:styleId="FollowedHyperlink">
    <w:name w:val="FollowedHyperlink"/>
    <w:basedOn w:val="DefaultParagraphFont"/>
    <w:uiPriority w:val="99"/>
    <w:semiHidden/>
    <w:unhideWhenUsed/>
    <w:rsid w:val="00D0378E"/>
    <w:rPr>
      <w:color w:val="954F72" w:themeColor="followedHyperlink"/>
      <w:u w:val="single"/>
    </w:rPr>
  </w:style>
  <w:style w:type="numbering" w:customStyle="1" w:styleId="CurrentList1">
    <w:name w:val="Current List1"/>
    <w:uiPriority w:val="99"/>
    <w:rsid w:val="00493A9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18544">
      <w:bodyDiv w:val="1"/>
      <w:marLeft w:val="0"/>
      <w:marRight w:val="0"/>
      <w:marTop w:val="0"/>
      <w:marBottom w:val="0"/>
      <w:divBdr>
        <w:top w:val="none" w:sz="0" w:space="0" w:color="auto"/>
        <w:left w:val="none" w:sz="0" w:space="0" w:color="auto"/>
        <w:bottom w:val="none" w:sz="0" w:space="0" w:color="auto"/>
        <w:right w:val="none" w:sz="0" w:space="0" w:color="auto"/>
      </w:divBdr>
    </w:div>
    <w:div w:id="591545746">
      <w:bodyDiv w:val="1"/>
      <w:marLeft w:val="0"/>
      <w:marRight w:val="0"/>
      <w:marTop w:val="0"/>
      <w:marBottom w:val="0"/>
      <w:divBdr>
        <w:top w:val="none" w:sz="0" w:space="0" w:color="auto"/>
        <w:left w:val="none" w:sz="0" w:space="0" w:color="auto"/>
        <w:bottom w:val="none" w:sz="0" w:space="0" w:color="auto"/>
        <w:right w:val="none" w:sz="0" w:space="0" w:color="auto"/>
      </w:divBdr>
    </w:div>
    <w:div w:id="617420581">
      <w:bodyDiv w:val="1"/>
      <w:marLeft w:val="0"/>
      <w:marRight w:val="0"/>
      <w:marTop w:val="0"/>
      <w:marBottom w:val="0"/>
      <w:divBdr>
        <w:top w:val="none" w:sz="0" w:space="0" w:color="auto"/>
        <w:left w:val="none" w:sz="0" w:space="0" w:color="auto"/>
        <w:bottom w:val="none" w:sz="0" w:space="0" w:color="auto"/>
        <w:right w:val="none" w:sz="0" w:space="0" w:color="auto"/>
      </w:divBdr>
    </w:div>
    <w:div w:id="685056311">
      <w:bodyDiv w:val="1"/>
      <w:marLeft w:val="0"/>
      <w:marRight w:val="0"/>
      <w:marTop w:val="0"/>
      <w:marBottom w:val="0"/>
      <w:divBdr>
        <w:top w:val="none" w:sz="0" w:space="0" w:color="auto"/>
        <w:left w:val="none" w:sz="0" w:space="0" w:color="auto"/>
        <w:bottom w:val="none" w:sz="0" w:space="0" w:color="auto"/>
        <w:right w:val="none" w:sz="0" w:space="0" w:color="auto"/>
      </w:divBdr>
    </w:div>
    <w:div w:id="910312533">
      <w:bodyDiv w:val="1"/>
      <w:marLeft w:val="0"/>
      <w:marRight w:val="0"/>
      <w:marTop w:val="0"/>
      <w:marBottom w:val="0"/>
      <w:divBdr>
        <w:top w:val="none" w:sz="0" w:space="0" w:color="auto"/>
        <w:left w:val="none" w:sz="0" w:space="0" w:color="auto"/>
        <w:bottom w:val="none" w:sz="0" w:space="0" w:color="auto"/>
        <w:right w:val="none" w:sz="0" w:space="0" w:color="auto"/>
      </w:divBdr>
    </w:div>
    <w:div w:id="921254342">
      <w:bodyDiv w:val="1"/>
      <w:marLeft w:val="0"/>
      <w:marRight w:val="0"/>
      <w:marTop w:val="0"/>
      <w:marBottom w:val="0"/>
      <w:divBdr>
        <w:top w:val="none" w:sz="0" w:space="0" w:color="auto"/>
        <w:left w:val="none" w:sz="0" w:space="0" w:color="auto"/>
        <w:bottom w:val="none" w:sz="0" w:space="0" w:color="auto"/>
        <w:right w:val="none" w:sz="0" w:space="0" w:color="auto"/>
      </w:divBdr>
    </w:div>
    <w:div w:id="993339205">
      <w:bodyDiv w:val="1"/>
      <w:marLeft w:val="0"/>
      <w:marRight w:val="0"/>
      <w:marTop w:val="0"/>
      <w:marBottom w:val="0"/>
      <w:divBdr>
        <w:top w:val="none" w:sz="0" w:space="0" w:color="auto"/>
        <w:left w:val="none" w:sz="0" w:space="0" w:color="auto"/>
        <w:bottom w:val="none" w:sz="0" w:space="0" w:color="auto"/>
        <w:right w:val="none" w:sz="0" w:space="0" w:color="auto"/>
      </w:divBdr>
    </w:div>
    <w:div w:id="1133208770">
      <w:bodyDiv w:val="1"/>
      <w:marLeft w:val="0"/>
      <w:marRight w:val="0"/>
      <w:marTop w:val="0"/>
      <w:marBottom w:val="0"/>
      <w:divBdr>
        <w:top w:val="none" w:sz="0" w:space="0" w:color="auto"/>
        <w:left w:val="none" w:sz="0" w:space="0" w:color="auto"/>
        <w:bottom w:val="none" w:sz="0" w:space="0" w:color="auto"/>
        <w:right w:val="none" w:sz="0" w:space="0" w:color="auto"/>
      </w:divBdr>
    </w:div>
    <w:div w:id="1171723634">
      <w:bodyDiv w:val="1"/>
      <w:marLeft w:val="0"/>
      <w:marRight w:val="0"/>
      <w:marTop w:val="0"/>
      <w:marBottom w:val="0"/>
      <w:divBdr>
        <w:top w:val="none" w:sz="0" w:space="0" w:color="auto"/>
        <w:left w:val="none" w:sz="0" w:space="0" w:color="auto"/>
        <w:bottom w:val="none" w:sz="0" w:space="0" w:color="auto"/>
        <w:right w:val="none" w:sz="0" w:space="0" w:color="auto"/>
      </w:divBdr>
    </w:div>
    <w:div w:id="1297758297">
      <w:bodyDiv w:val="1"/>
      <w:marLeft w:val="0"/>
      <w:marRight w:val="0"/>
      <w:marTop w:val="0"/>
      <w:marBottom w:val="0"/>
      <w:divBdr>
        <w:top w:val="none" w:sz="0" w:space="0" w:color="auto"/>
        <w:left w:val="none" w:sz="0" w:space="0" w:color="auto"/>
        <w:bottom w:val="none" w:sz="0" w:space="0" w:color="auto"/>
        <w:right w:val="none" w:sz="0" w:space="0" w:color="auto"/>
      </w:divBdr>
    </w:div>
    <w:div w:id="1327586985">
      <w:bodyDiv w:val="1"/>
      <w:marLeft w:val="0"/>
      <w:marRight w:val="0"/>
      <w:marTop w:val="0"/>
      <w:marBottom w:val="0"/>
      <w:divBdr>
        <w:top w:val="none" w:sz="0" w:space="0" w:color="auto"/>
        <w:left w:val="none" w:sz="0" w:space="0" w:color="auto"/>
        <w:bottom w:val="none" w:sz="0" w:space="0" w:color="auto"/>
        <w:right w:val="none" w:sz="0" w:space="0" w:color="auto"/>
      </w:divBdr>
    </w:div>
    <w:div w:id="1379738412">
      <w:bodyDiv w:val="1"/>
      <w:marLeft w:val="0"/>
      <w:marRight w:val="0"/>
      <w:marTop w:val="0"/>
      <w:marBottom w:val="0"/>
      <w:divBdr>
        <w:top w:val="none" w:sz="0" w:space="0" w:color="auto"/>
        <w:left w:val="none" w:sz="0" w:space="0" w:color="auto"/>
        <w:bottom w:val="none" w:sz="0" w:space="0" w:color="auto"/>
        <w:right w:val="none" w:sz="0" w:space="0" w:color="auto"/>
      </w:divBdr>
    </w:div>
    <w:div w:id="153041254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733037796">
      <w:bodyDiv w:val="1"/>
      <w:marLeft w:val="0"/>
      <w:marRight w:val="0"/>
      <w:marTop w:val="0"/>
      <w:marBottom w:val="0"/>
      <w:divBdr>
        <w:top w:val="none" w:sz="0" w:space="0" w:color="auto"/>
        <w:left w:val="none" w:sz="0" w:space="0" w:color="auto"/>
        <w:bottom w:val="none" w:sz="0" w:space="0" w:color="auto"/>
        <w:right w:val="none" w:sz="0" w:space="0" w:color="auto"/>
      </w:divBdr>
    </w:div>
    <w:div w:id="1770155423">
      <w:bodyDiv w:val="1"/>
      <w:marLeft w:val="0"/>
      <w:marRight w:val="0"/>
      <w:marTop w:val="0"/>
      <w:marBottom w:val="0"/>
      <w:divBdr>
        <w:top w:val="none" w:sz="0" w:space="0" w:color="auto"/>
        <w:left w:val="none" w:sz="0" w:space="0" w:color="auto"/>
        <w:bottom w:val="none" w:sz="0" w:space="0" w:color="auto"/>
        <w:right w:val="none" w:sz="0" w:space="0" w:color="auto"/>
      </w:divBdr>
    </w:div>
    <w:div w:id="1870802998">
      <w:bodyDiv w:val="1"/>
      <w:marLeft w:val="0"/>
      <w:marRight w:val="0"/>
      <w:marTop w:val="0"/>
      <w:marBottom w:val="0"/>
      <w:divBdr>
        <w:top w:val="none" w:sz="0" w:space="0" w:color="auto"/>
        <w:left w:val="none" w:sz="0" w:space="0" w:color="auto"/>
        <w:bottom w:val="none" w:sz="0" w:space="0" w:color="auto"/>
        <w:right w:val="none" w:sz="0" w:space="0" w:color="auto"/>
      </w:divBdr>
    </w:div>
    <w:div w:id="1876043730">
      <w:bodyDiv w:val="1"/>
      <w:marLeft w:val="0"/>
      <w:marRight w:val="0"/>
      <w:marTop w:val="0"/>
      <w:marBottom w:val="0"/>
      <w:divBdr>
        <w:top w:val="none" w:sz="0" w:space="0" w:color="auto"/>
        <w:left w:val="none" w:sz="0" w:space="0" w:color="auto"/>
        <w:bottom w:val="none" w:sz="0" w:space="0" w:color="auto"/>
        <w:right w:val="none" w:sz="0" w:space="0" w:color="auto"/>
      </w:divBdr>
    </w:div>
    <w:div w:id="18799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EE14-D578-4734-930F-C6DD51D7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5870</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dcterms:created xsi:type="dcterms:W3CDTF">2022-05-23T17:04:00Z</dcterms:created>
  <dcterms:modified xsi:type="dcterms:W3CDTF">2022-05-23T17:04:00Z</dcterms:modified>
</cp:coreProperties>
</file>