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24D93" w14:textId="77777777" w:rsidR="00876DB4" w:rsidRDefault="00876DB4" w:rsidP="00876DB4">
      <w:pPr>
        <w:spacing w:line="360" w:lineRule="auto"/>
        <w:jc w:val="center"/>
        <w:rPr>
          <w:sz w:val="25"/>
          <w:szCs w:val="25"/>
        </w:rPr>
      </w:pPr>
      <w:r>
        <w:rPr>
          <w:noProof/>
          <w:lang w:eastAsia="en-ZA"/>
        </w:rPr>
        <w:drawing>
          <wp:inline distT="0" distB="0" distL="0" distR="0" wp14:anchorId="471FE6D5" wp14:editId="2DE74A74">
            <wp:extent cx="1225550" cy="120967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lum contras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6A8A4" w14:textId="77777777" w:rsidR="00876DB4" w:rsidRPr="00B13E3E" w:rsidRDefault="00876DB4" w:rsidP="00876D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E3E">
        <w:rPr>
          <w:rFonts w:ascii="Times New Roman" w:hAnsi="Times New Roman" w:cs="Times New Roman"/>
          <w:b/>
          <w:sz w:val="28"/>
          <w:szCs w:val="28"/>
        </w:rPr>
        <w:t>IN THE HIGH COURT OF SOUTH AFRICA</w:t>
      </w:r>
    </w:p>
    <w:p w14:paraId="69F063CF" w14:textId="77777777" w:rsidR="00876DB4" w:rsidRPr="00B13E3E" w:rsidRDefault="00876DB4" w:rsidP="00876D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E3E">
        <w:rPr>
          <w:rFonts w:ascii="Times New Roman" w:hAnsi="Times New Roman" w:cs="Times New Roman"/>
          <w:b/>
          <w:sz w:val="28"/>
          <w:szCs w:val="28"/>
        </w:rPr>
        <w:t xml:space="preserve">EASTERN CAPE DIVISION, </w:t>
      </w:r>
      <w:r>
        <w:rPr>
          <w:rFonts w:ascii="Times New Roman" w:hAnsi="Times New Roman" w:cs="Times New Roman"/>
          <w:b/>
          <w:sz w:val="28"/>
          <w:szCs w:val="28"/>
        </w:rPr>
        <w:t>MAKHANDA</w:t>
      </w:r>
    </w:p>
    <w:p w14:paraId="4631E566" w14:textId="77777777" w:rsidR="00876DB4" w:rsidRDefault="00876DB4" w:rsidP="00876DB4">
      <w:pPr>
        <w:spacing w:line="360" w:lineRule="auto"/>
        <w:ind w:left="5760"/>
        <w:rPr>
          <w:rFonts w:ascii="Times New Roman" w:hAnsi="Times New Roman" w:cs="Times New Roman"/>
          <w:b/>
          <w:sz w:val="28"/>
          <w:szCs w:val="28"/>
        </w:rPr>
      </w:pPr>
      <w:r w:rsidRPr="00B13E3E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14:paraId="033A54CC" w14:textId="77777777" w:rsidR="00876DB4" w:rsidRPr="00B13E3E" w:rsidRDefault="00876DB4" w:rsidP="00876DB4">
      <w:pPr>
        <w:spacing w:line="360" w:lineRule="auto"/>
        <w:ind w:left="57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B13E3E">
        <w:rPr>
          <w:rFonts w:ascii="Times New Roman" w:hAnsi="Times New Roman" w:cs="Times New Roman"/>
          <w:b/>
          <w:sz w:val="28"/>
          <w:szCs w:val="28"/>
        </w:rPr>
        <w:t xml:space="preserve">CASE NO: </w:t>
      </w:r>
      <w:r>
        <w:rPr>
          <w:rFonts w:ascii="Times New Roman" w:hAnsi="Times New Roman" w:cs="Times New Roman"/>
          <w:b/>
          <w:sz w:val="28"/>
          <w:szCs w:val="28"/>
        </w:rPr>
        <w:t>1838</w:t>
      </w:r>
      <w:r w:rsidRPr="00B13E3E">
        <w:rPr>
          <w:rFonts w:ascii="Times New Roman" w:hAnsi="Times New Roman" w:cs="Times New Roman"/>
          <w:b/>
          <w:sz w:val="28"/>
          <w:szCs w:val="28"/>
        </w:rPr>
        <w:t>/20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13E3E">
        <w:rPr>
          <w:rFonts w:ascii="Times New Roman" w:hAnsi="Times New Roman" w:cs="Times New Roman"/>
          <w:b/>
          <w:sz w:val="28"/>
          <w:szCs w:val="28"/>
        </w:rPr>
        <w:t>1</w:t>
      </w:r>
    </w:p>
    <w:p w14:paraId="6FD3C84F" w14:textId="77777777" w:rsidR="00876DB4" w:rsidRPr="00B13E3E" w:rsidRDefault="00876DB4" w:rsidP="00876D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E3E">
        <w:rPr>
          <w:rFonts w:ascii="Times New Roman" w:hAnsi="Times New Roman" w:cs="Times New Roman"/>
          <w:sz w:val="28"/>
          <w:szCs w:val="28"/>
        </w:rPr>
        <w:t>In the matter between:</w:t>
      </w:r>
    </w:p>
    <w:p w14:paraId="2AB8735E" w14:textId="77777777" w:rsidR="00876DB4" w:rsidRPr="00B13E3E" w:rsidRDefault="00876DB4" w:rsidP="00876D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2EA083" w14:textId="77777777" w:rsidR="00876DB4" w:rsidRPr="00B13E3E" w:rsidRDefault="00876DB4" w:rsidP="00876D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RAYMOND MHLABA LOCAL MUNICIPALITY</w:t>
      </w:r>
      <w:r w:rsidRPr="00B13E3E">
        <w:rPr>
          <w:rFonts w:ascii="Times New Roman" w:hAnsi="Times New Roman" w:cs="Times New Roman"/>
          <w:sz w:val="28"/>
          <w:szCs w:val="28"/>
        </w:rPr>
        <w:tab/>
      </w:r>
      <w:r w:rsidRPr="00B13E3E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Applicant</w:t>
      </w:r>
    </w:p>
    <w:p w14:paraId="74D08060" w14:textId="77777777" w:rsidR="00876DB4" w:rsidRPr="00B13E3E" w:rsidRDefault="00876DB4" w:rsidP="00876D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D9EB51" w14:textId="77777777" w:rsidR="00876DB4" w:rsidRPr="00B13E3E" w:rsidRDefault="00876DB4" w:rsidP="00876D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E3E">
        <w:rPr>
          <w:rFonts w:ascii="Times New Roman" w:hAnsi="Times New Roman" w:cs="Times New Roman"/>
          <w:sz w:val="28"/>
          <w:szCs w:val="28"/>
        </w:rPr>
        <w:t>and</w:t>
      </w:r>
    </w:p>
    <w:p w14:paraId="2C258554" w14:textId="77777777" w:rsidR="00876DB4" w:rsidRPr="00B13E3E" w:rsidRDefault="00876DB4" w:rsidP="00876D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78A795" w14:textId="77777777" w:rsidR="00876DB4" w:rsidRDefault="00876DB4" w:rsidP="00876D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COEGA PACKAGING (PTY) LTD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Respondent</w:t>
      </w:r>
    </w:p>
    <w:p w14:paraId="4DC1BE38" w14:textId="77777777" w:rsidR="00A572D4" w:rsidRPr="003328A3" w:rsidRDefault="00A572D4" w:rsidP="00354A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B41F0" w14:textId="77777777" w:rsidR="00354A12" w:rsidRPr="003328A3" w:rsidRDefault="00354A12" w:rsidP="00354A12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0D54A0" w14:textId="77777777" w:rsidR="00354A12" w:rsidRPr="003328A3" w:rsidRDefault="00354A12" w:rsidP="00354A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74600F" w14:textId="77777777" w:rsidR="00354A12" w:rsidRPr="003328A3" w:rsidRDefault="00354A12" w:rsidP="00354A12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8A3">
        <w:rPr>
          <w:rFonts w:ascii="Times New Roman" w:hAnsi="Times New Roman" w:cs="Times New Roman"/>
          <w:b/>
          <w:sz w:val="28"/>
          <w:szCs w:val="28"/>
        </w:rPr>
        <w:t>JUDGMENT</w:t>
      </w:r>
      <w:r w:rsidR="00876DB4">
        <w:rPr>
          <w:rFonts w:ascii="Times New Roman" w:hAnsi="Times New Roman" w:cs="Times New Roman"/>
          <w:b/>
          <w:sz w:val="28"/>
          <w:szCs w:val="28"/>
        </w:rPr>
        <w:t xml:space="preserve"> ON APPLICATION FOR LEAVE TO APPEAL</w:t>
      </w:r>
    </w:p>
    <w:p w14:paraId="3695E283" w14:textId="77777777" w:rsidR="00354A12" w:rsidRPr="003328A3" w:rsidRDefault="00354A12" w:rsidP="00354A12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1F84DF" w14:textId="77777777" w:rsidR="00354A12" w:rsidRPr="003328A3" w:rsidRDefault="00354A12" w:rsidP="00354A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392B36" w14:textId="77777777" w:rsidR="00354A12" w:rsidRPr="003328A3" w:rsidRDefault="00354A12" w:rsidP="00354A1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3BAC68" w14:textId="77777777" w:rsidR="00354A12" w:rsidRPr="003328A3" w:rsidRDefault="00B27EF5" w:rsidP="00354A1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</w:t>
      </w:r>
      <w:r w:rsidR="008F22CA">
        <w:rPr>
          <w:rFonts w:ascii="Times New Roman" w:hAnsi="Times New Roman" w:cs="Times New Roman"/>
          <w:b/>
          <w:sz w:val="28"/>
          <w:szCs w:val="28"/>
        </w:rPr>
        <w:t xml:space="preserve">ugunanan </w:t>
      </w:r>
      <w:r>
        <w:rPr>
          <w:rFonts w:ascii="Times New Roman" w:hAnsi="Times New Roman" w:cs="Times New Roman"/>
          <w:b/>
          <w:sz w:val="28"/>
          <w:szCs w:val="28"/>
        </w:rPr>
        <w:t>J</w:t>
      </w:r>
    </w:p>
    <w:p w14:paraId="6751D9EF" w14:textId="77777777" w:rsidR="00354A12" w:rsidRPr="003328A3" w:rsidRDefault="00354A12" w:rsidP="00354A1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22A2F4" w14:textId="559FCEC9" w:rsidR="006544C1" w:rsidRPr="006544C1" w:rsidRDefault="000A286C" w:rsidP="000A286C">
      <w:pPr>
        <w:pStyle w:val="LegalList1"/>
        <w:spacing w:line="360" w:lineRule="auto"/>
        <w:ind w:left="851" w:hanging="851"/>
        <w:rPr>
          <w:rFonts w:ascii="Times New Roman" w:hAnsi="Times New Roman"/>
          <w:sz w:val="28"/>
          <w:szCs w:val="28"/>
        </w:rPr>
      </w:pPr>
      <w:r w:rsidRPr="006544C1">
        <w:rPr>
          <w:rFonts w:ascii="Times New Roman" w:hAnsi="Times New Roman"/>
          <w:sz w:val="28"/>
          <w:szCs w:val="28"/>
        </w:rPr>
        <w:t>[1]</w:t>
      </w:r>
      <w:r w:rsidRPr="006544C1">
        <w:rPr>
          <w:rFonts w:ascii="Times New Roman" w:hAnsi="Times New Roman"/>
          <w:sz w:val="28"/>
          <w:szCs w:val="28"/>
        </w:rPr>
        <w:tab/>
      </w:r>
      <w:r w:rsidR="008A35A8">
        <w:rPr>
          <w:rFonts w:ascii="Times New Roman" w:hAnsi="Times New Roman"/>
          <w:sz w:val="28"/>
          <w:szCs w:val="28"/>
        </w:rPr>
        <w:t xml:space="preserve">In this matter I delivered a judgment on </w:t>
      </w:r>
      <w:r w:rsidR="00527793">
        <w:rPr>
          <w:rFonts w:ascii="Times New Roman" w:hAnsi="Times New Roman"/>
          <w:sz w:val="28"/>
          <w:szCs w:val="28"/>
        </w:rPr>
        <w:t xml:space="preserve">19 July 2022 in which </w:t>
      </w:r>
      <w:r w:rsidR="00D221CD">
        <w:rPr>
          <w:rFonts w:ascii="Times New Roman" w:hAnsi="Times New Roman"/>
          <w:sz w:val="28"/>
          <w:szCs w:val="28"/>
        </w:rPr>
        <w:t xml:space="preserve">an </w:t>
      </w:r>
      <w:r w:rsidR="00750F93">
        <w:rPr>
          <w:rFonts w:ascii="Times New Roman" w:hAnsi="Times New Roman"/>
          <w:sz w:val="28"/>
          <w:szCs w:val="28"/>
        </w:rPr>
        <w:t>application for rescission</w:t>
      </w:r>
      <w:r w:rsidR="00750F93" w:rsidRPr="00750F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0F93" w:rsidRPr="006436E0">
        <w:rPr>
          <w:rFonts w:ascii="Times New Roman" w:hAnsi="Times New Roman"/>
          <w:color w:val="000000"/>
          <w:sz w:val="28"/>
          <w:szCs w:val="28"/>
        </w:rPr>
        <w:t xml:space="preserve">of a judgment/order granted </w:t>
      </w:r>
      <w:r w:rsidR="00750F93">
        <w:rPr>
          <w:rFonts w:ascii="Times New Roman" w:hAnsi="Times New Roman"/>
          <w:color w:val="000000"/>
          <w:sz w:val="28"/>
          <w:szCs w:val="28"/>
        </w:rPr>
        <w:t xml:space="preserve">by </w:t>
      </w:r>
      <w:r w:rsidR="00750F93" w:rsidRPr="006436E0">
        <w:rPr>
          <w:rFonts w:ascii="Times New Roman" w:hAnsi="Times New Roman"/>
          <w:color w:val="000000"/>
          <w:sz w:val="28"/>
          <w:szCs w:val="28"/>
        </w:rPr>
        <w:t>Smith J on 27</w:t>
      </w:r>
      <w:r w:rsidR="00CF139E">
        <w:rPr>
          <w:rFonts w:ascii="Times New Roman" w:hAnsi="Times New Roman"/>
          <w:color w:val="000000"/>
          <w:sz w:val="28"/>
          <w:szCs w:val="28"/>
        </w:rPr>
        <w:t> </w:t>
      </w:r>
      <w:r w:rsidR="00750F93" w:rsidRPr="006436E0">
        <w:rPr>
          <w:rFonts w:ascii="Times New Roman" w:hAnsi="Times New Roman"/>
          <w:color w:val="000000"/>
          <w:sz w:val="28"/>
          <w:szCs w:val="28"/>
        </w:rPr>
        <w:t>July 2021</w:t>
      </w:r>
      <w:r w:rsidR="009B2305">
        <w:rPr>
          <w:rFonts w:ascii="Times New Roman" w:hAnsi="Times New Roman"/>
          <w:color w:val="000000"/>
          <w:sz w:val="28"/>
          <w:szCs w:val="28"/>
        </w:rPr>
        <w:t xml:space="preserve"> was dismissed with costs.</w:t>
      </w:r>
    </w:p>
    <w:p w14:paraId="2DD25185" w14:textId="0B83AD66" w:rsidR="007371D8" w:rsidRPr="007371D8" w:rsidRDefault="000A286C" w:rsidP="000A286C">
      <w:pPr>
        <w:pStyle w:val="LegalList1"/>
        <w:spacing w:line="360" w:lineRule="auto"/>
        <w:ind w:left="851" w:hanging="851"/>
        <w:rPr>
          <w:rFonts w:ascii="Times New Roman" w:hAnsi="Times New Roman"/>
          <w:sz w:val="28"/>
          <w:szCs w:val="28"/>
        </w:rPr>
      </w:pPr>
      <w:r w:rsidRPr="007371D8">
        <w:rPr>
          <w:rFonts w:ascii="Times New Roman" w:hAnsi="Times New Roman"/>
          <w:sz w:val="28"/>
          <w:szCs w:val="28"/>
        </w:rPr>
        <w:t>[2]</w:t>
      </w:r>
      <w:r w:rsidRPr="007371D8">
        <w:rPr>
          <w:rFonts w:ascii="Times New Roman" w:hAnsi="Times New Roman"/>
          <w:sz w:val="28"/>
          <w:szCs w:val="28"/>
        </w:rPr>
        <w:tab/>
      </w:r>
      <w:r w:rsidR="006544C1">
        <w:rPr>
          <w:rFonts w:ascii="Times New Roman" w:hAnsi="Times New Roman"/>
          <w:color w:val="000000"/>
          <w:sz w:val="28"/>
          <w:szCs w:val="28"/>
        </w:rPr>
        <w:t>I shall refer to the parties as they were in the main application.</w:t>
      </w:r>
    </w:p>
    <w:p w14:paraId="788E1DD9" w14:textId="4C44EEA2" w:rsidR="00B27EF5" w:rsidRDefault="000A286C" w:rsidP="000A286C">
      <w:pPr>
        <w:pStyle w:val="LegalList1"/>
        <w:spacing w:line="360" w:lineRule="auto"/>
        <w:ind w:left="851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[3]</w:t>
      </w:r>
      <w:r>
        <w:rPr>
          <w:rFonts w:ascii="Times New Roman" w:hAnsi="Times New Roman"/>
          <w:sz w:val="28"/>
          <w:szCs w:val="28"/>
        </w:rPr>
        <w:tab/>
      </w:r>
      <w:r w:rsidR="007371D8">
        <w:rPr>
          <w:rFonts w:ascii="Times New Roman" w:hAnsi="Times New Roman"/>
          <w:color w:val="000000"/>
          <w:sz w:val="28"/>
          <w:szCs w:val="28"/>
        </w:rPr>
        <w:t>The applicant seeks leave to appeal either to a full court of this division or to the Supreme Court of Appeal against the whole of my judgment</w:t>
      </w:r>
      <w:r w:rsidR="0033054F">
        <w:rPr>
          <w:rFonts w:ascii="Times New Roman" w:hAnsi="Times New Roman"/>
          <w:color w:val="000000"/>
          <w:sz w:val="28"/>
          <w:szCs w:val="28"/>
        </w:rPr>
        <w:t>.</w:t>
      </w:r>
    </w:p>
    <w:p w14:paraId="7F1C196B" w14:textId="3389E5E2" w:rsidR="00B27EF5" w:rsidRDefault="000A286C" w:rsidP="000A286C">
      <w:pPr>
        <w:pStyle w:val="LegalList1"/>
        <w:spacing w:line="360" w:lineRule="auto"/>
        <w:ind w:left="851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[4]</w:t>
      </w:r>
      <w:r>
        <w:rPr>
          <w:rFonts w:ascii="Times New Roman" w:hAnsi="Times New Roman"/>
          <w:sz w:val="28"/>
          <w:szCs w:val="28"/>
        </w:rPr>
        <w:tab/>
      </w:r>
      <w:r w:rsidR="009B2305">
        <w:rPr>
          <w:rFonts w:ascii="Times New Roman" w:hAnsi="Times New Roman"/>
          <w:sz w:val="28"/>
          <w:szCs w:val="28"/>
        </w:rPr>
        <w:t xml:space="preserve">The </w:t>
      </w:r>
      <w:r w:rsidR="007371D8">
        <w:rPr>
          <w:rFonts w:ascii="Times New Roman" w:hAnsi="Times New Roman"/>
          <w:sz w:val="28"/>
          <w:szCs w:val="28"/>
        </w:rPr>
        <w:t xml:space="preserve">judgment sets out </w:t>
      </w:r>
      <w:r w:rsidR="00E93257">
        <w:rPr>
          <w:rFonts w:ascii="Times New Roman" w:hAnsi="Times New Roman"/>
          <w:sz w:val="28"/>
          <w:szCs w:val="28"/>
        </w:rPr>
        <w:t>in detail the background to this matter and the reasons for dismissing the application</w:t>
      </w:r>
      <w:r w:rsidR="00541A34">
        <w:rPr>
          <w:rFonts w:ascii="Times New Roman" w:hAnsi="Times New Roman"/>
          <w:sz w:val="28"/>
          <w:szCs w:val="28"/>
        </w:rPr>
        <w:t>.</w:t>
      </w:r>
    </w:p>
    <w:p w14:paraId="74082D5B" w14:textId="730C2239" w:rsidR="00541A34" w:rsidRDefault="000A286C" w:rsidP="000A286C">
      <w:pPr>
        <w:pStyle w:val="LegalList1"/>
        <w:spacing w:line="360" w:lineRule="auto"/>
        <w:ind w:left="851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[5]</w:t>
      </w:r>
      <w:r>
        <w:rPr>
          <w:rFonts w:ascii="Times New Roman" w:hAnsi="Times New Roman"/>
          <w:sz w:val="28"/>
          <w:szCs w:val="28"/>
        </w:rPr>
        <w:tab/>
      </w:r>
      <w:r w:rsidR="00541A34">
        <w:rPr>
          <w:rFonts w:ascii="Times New Roman" w:hAnsi="Times New Roman"/>
          <w:sz w:val="28"/>
          <w:szCs w:val="28"/>
        </w:rPr>
        <w:t>In essence it is argued that I erred on the</w:t>
      </w:r>
      <w:r w:rsidR="00BD5FE8">
        <w:rPr>
          <w:rFonts w:ascii="Times New Roman" w:hAnsi="Times New Roman"/>
          <w:sz w:val="28"/>
          <w:szCs w:val="28"/>
        </w:rPr>
        <w:t xml:space="preserve"> issue of service of the notice of</w:t>
      </w:r>
      <w:r w:rsidR="006544C1">
        <w:rPr>
          <w:rFonts w:ascii="Times New Roman" w:hAnsi="Times New Roman"/>
          <w:sz w:val="28"/>
          <w:szCs w:val="28"/>
        </w:rPr>
        <w:t xml:space="preserve"> motion and </w:t>
      </w:r>
      <w:r w:rsidR="00F74F43">
        <w:rPr>
          <w:rFonts w:ascii="Times New Roman" w:hAnsi="Times New Roman"/>
          <w:sz w:val="28"/>
          <w:szCs w:val="28"/>
        </w:rPr>
        <w:t xml:space="preserve">the </w:t>
      </w:r>
      <w:r w:rsidR="006544C1">
        <w:rPr>
          <w:rFonts w:ascii="Times New Roman" w:hAnsi="Times New Roman"/>
          <w:sz w:val="28"/>
          <w:szCs w:val="28"/>
        </w:rPr>
        <w:t xml:space="preserve">notice of set down; </w:t>
      </w:r>
      <w:r w:rsidR="00F74F43">
        <w:rPr>
          <w:rFonts w:ascii="Times New Roman" w:hAnsi="Times New Roman"/>
          <w:sz w:val="28"/>
          <w:szCs w:val="28"/>
        </w:rPr>
        <w:t xml:space="preserve">that I erred </w:t>
      </w:r>
      <w:r w:rsidR="006544C1">
        <w:rPr>
          <w:rFonts w:ascii="Times New Roman" w:hAnsi="Times New Roman"/>
          <w:sz w:val="28"/>
          <w:szCs w:val="28"/>
        </w:rPr>
        <w:t>in holding that the respondent’s</w:t>
      </w:r>
      <w:r w:rsidR="00D221CD">
        <w:rPr>
          <w:rFonts w:ascii="Times New Roman" w:hAnsi="Times New Roman"/>
          <w:sz w:val="28"/>
          <w:szCs w:val="28"/>
        </w:rPr>
        <w:t xml:space="preserve"> claim was liquid</w:t>
      </w:r>
      <w:r w:rsidR="00F74F43">
        <w:rPr>
          <w:rFonts w:ascii="Times New Roman" w:hAnsi="Times New Roman"/>
          <w:sz w:val="28"/>
          <w:szCs w:val="28"/>
        </w:rPr>
        <w:t>; that I failed to deal with the arguments advanced concerning the competence of seeking a forced transfer of encroached upon land</w:t>
      </w:r>
      <w:r w:rsidR="004E5BBF">
        <w:rPr>
          <w:rFonts w:ascii="Times New Roman" w:hAnsi="Times New Roman"/>
          <w:sz w:val="28"/>
          <w:szCs w:val="28"/>
        </w:rPr>
        <w:t>; and that I failed to deal with th</w:t>
      </w:r>
      <w:r w:rsidR="0091791F">
        <w:rPr>
          <w:rFonts w:ascii="Times New Roman" w:hAnsi="Times New Roman"/>
          <w:sz w:val="28"/>
          <w:szCs w:val="28"/>
        </w:rPr>
        <w:t>at</w:t>
      </w:r>
      <w:r w:rsidR="004E5BBF">
        <w:rPr>
          <w:rFonts w:ascii="Times New Roman" w:hAnsi="Times New Roman"/>
          <w:sz w:val="28"/>
          <w:szCs w:val="28"/>
        </w:rPr>
        <w:t xml:space="preserve"> </w:t>
      </w:r>
      <w:r w:rsidR="00914992">
        <w:rPr>
          <w:rFonts w:ascii="Times New Roman" w:hAnsi="Times New Roman"/>
          <w:sz w:val="28"/>
          <w:szCs w:val="28"/>
        </w:rPr>
        <w:t xml:space="preserve">component </w:t>
      </w:r>
      <w:r w:rsidR="004E5BBF">
        <w:rPr>
          <w:rFonts w:ascii="Times New Roman" w:hAnsi="Times New Roman"/>
          <w:sz w:val="28"/>
          <w:szCs w:val="28"/>
        </w:rPr>
        <w:t>of the order which directed a solatium to be paid as calculated by the Expropriation Act 63 of 1975</w:t>
      </w:r>
      <w:r w:rsidR="007C1FD0">
        <w:rPr>
          <w:rFonts w:ascii="Times New Roman" w:hAnsi="Times New Roman"/>
          <w:sz w:val="28"/>
          <w:szCs w:val="28"/>
        </w:rPr>
        <w:t>.</w:t>
      </w:r>
    </w:p>
    <w:p w14:paraId="78C0F643" w14:textId="12CD8FA3" w:rsidR="00B27EF5" w:rsidRDefault="000A286C" w:rsidP="000A286C">
      <w:pPr>
        <w:pStyle w:val="LegalList1"/>
        <w:spacing w:line="360" w:lineRule="auto"/>
        <w:ind w:left="851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[6]</w:t>
      </w:r>
      <w:r>
        <w:rPr>
          <w:rFonts w:ascii="Times New Roman" w:hAnsi="Times New Roman"/>
          <w:sz w:val="28"/>
          <w:szCs w:val="28"/>
        </w:rPr>
        <w:tab/>
      </w:r>
      <w:r w:rsidR="00725B06">
        <w:rPr>
          <w:rFonts w:ascii="Times New Roman" w:hAnsi="Times New Roman"/>
          <w:sz w:val="28"/>
          <w:szCs w:val="28"/>
        </w:rPr>
        <w:t>To a large extent</w:t>
      </w:r>
      <w:r w:rsidR="00725B06" w:rsidRPr="00725B06">
        <w:rPr>
          <w:rFonts w:ascii="Times New Roman" w:hAnsi="Times New Roman"/>
          <w:sz w:val="28"/>
          <w:szCs w:val="28"/>
        </w:rPr>
        <w:t xml:space="preserve"> </w:t>
      </w:r>
      <w:r w:rsidR="00725B06">
        <w:rPr>
          <w:rFonts w:ascii="Times New Roman" w:hAnsi="Times New Roman"/>
          <w:sz w:val="28"/>
          <w:szCs w:val="28"/>
        </w:rPr>
        <w:t>the grounds for leave to appeal</w:t>
      </w:r>
      <w:r w:rsidR="0091791F">
        <w:rPr>
          <w:rFonts w:ascii="Times New Roman" w:hAnsi="Times New Roman"/>
          <w:sz w:val="28"/>
          <w:szCs w:val="28"/>
        </w:rPr>
        <w:t>, both</w:t>
      </w:r>
      <w:r w:rsidR="00725B06">
        <w:rPr>
          <w:rFonts w:ascii="Times New Roman" w:hAnsi="Times New Roman"/>
          <w:sz w:val="28"/>
          <w:szCs w:val="28"/>
        </w:rPr>
        <w:t xml:space="preserve"> legal and factual</w:t>
      </w:r>
      <w:r w:rsidR="0091791F">
        <w:rPr>
          <w:rFonts w:ascii="Times New Roman" w:hAnsi="Times New Roman"/>
          <w:sz w:val="28"/>
          <w:szCs w:val="28"/>
        </w:rPr>
        <w:t xml:space="preserve">, </w:t>
      </w:r>
      <w:r w:rsidR="00725B06">
        <w:rPr>
          <w:rFonts w:ascii="Times New Roman" w:hAnsi="Times New Roman"/>
          <w:sz w:val="28"/>
          <w:szCs w:val="28"/>
        </w:rPr>
        <w:t>assert that my reasoning was erroneous and that I failed to take into consideration or give sufficient weight to other factors.</w:t>
      </w:r>
    </w:p>
    <w:p w14:paraId="1DB4726F" w14:textId="2F6D6522" w:rsidR="0091791F" w:rsidRDefault="000A286C" w:rsidP="000A286C">
      <w:pPr>
        <w:pStyle w:val="LegalList1"/>
        <w:spacing w:line="360" w:lineRule="auto"/>
        <w:ind w:left="851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[7]</w:t>
      </w:r>
      <w:r>
        <w:rPr>
          <w:rFonts w:ascii="Times New Roman" w:hAnsi="Times New Roman"/>
          <w:sz w:val="28"/>
          <w:szCs w:val="28"/>
        </w:rPr>
        <w:tab/>
      </w:r>
      <w:r w:rsidR="000A4C05" w:rsidRPr="00701736">
        <w:rPr>
          <w:rFonts w:ascii="Times New Roman" w:hAnsi="Times New Roman"/>
          <w:sz w:val="28"/>
          <w:szCs w:val="28"/>
        </w:rPr>
        <w:t>What I do not propose to do is to repeat that which is set out in my judgment in as much as that which was relevant was considered therein.</w:t>
      </w:r>
    </w:p>
    <w:p w14:paraId="2E96DD2C" w14:textId="35A8FFE3" w:rsidR="000A4C05" w:rsidRPr="00701736" w:rsidRDefault="000A286C" w:rsidP="000A286C">
      <w:pPr>
        <w:pStyle w:val="LegalList1"/>
        <w:spacing w:line="360" w:lineRule="auto"/>
        <w:ind w:left="851" w:hanging="851"/>
        <w:rPr>
          <w:rFonts w:ascii="Times New Roman" w:hAnsi="Times New Roman"/>
          <w:sz w:val="28"/>
          <w:szCs w:val="28"/>
        </w:rPr>
      </w:pPr>
      <w:r w:rsidRPr="00701736">
        <w:rPr>
          <w:rFonts w:ascii="Times New Roman" w:hAnsi="Times New Roman"/>
          <w:sz w:val="28"/>
          <w:szCs w:val="28"/>
        </w:rPr>
        <w:t>[8]</w:t>
      </w:r>
      <w:r w:rsidRPr="00701736">
        <w:rPr>
          <w:rFonts w:ascii="Times New Roman" w:hAnsi="Times New Roman"/>
          <w:sz w:val="28"/>
          <w:szCs w:val="28"/>
        </w:rPr>
        <w:tab/>
      </w:r>
      <w:r w:rsidR="00231B90" w:rsidRPr="00701736">
        <w:rPr>
          <w:rFonts w:ascii="Times New Roman" w:hAnsi="Times New Roman"/>
          <w:sz w:val="28"/>
          <w:szCs w:val="28"/>
        </w:rPr>
        <w:t>I am mindful that an appeal is solely aimed at an order of court and not its reasoning.</w:t>
      </w:r>
      <w:r w:rsidR="00273B96">
        <w:rPr>
          <w:rStyle w:val="FootnoteReference"/>
          <w:rFonts w:ascii="Times New Roman" w:hAnsi="Times New Roman"/>
          <w:sz w:val="28"/>
          <w:szCs w:val="28"/>
        </w:rPr>
        <w:footnoteReference w:id="1"/>
      </w:r>
    </w:p>
    <w:p w14:paraId="6CAFBA72" w14:textId="6C167C3C" w:rsidR="00701736" w:rsidRPr="00701736" w:rsidRDefault="000A286C" w:rsidP="000A286C">
      <w:pPr>
        <w:pStyle w:val="LegalList1"/>
        <w:spacing w:line="360" w:lineRule="auto"/>
        <w:ind w:left="851" w:hanging="851"/>
        <w:rPr>
          <w:rFonts w:ascii="Times New Roman" w:hAnsi="Times New Roman"/>
          <w:sz w:val="28"/>
          <w:szCs w:val="28"/>
        </w:rPr>
      </w:pPr>
      <w:r w:rsidRPr="00701736">
        <w:rPr>
          <w:rFonts w:ascii="Times New Roman" w:hAnsi="Times New Roman"/>
          <w:sz w:val="28"/>
          <w:szCs w:val="28"/>
        </w:rPr>
        <w:t>[9]</w:t>
      </w:r>
      <w:r w:rsidRPr="00701736">
        <w:rPr>
          <w:rFonts w:ascii="Times New Roman" w:hAnsi="Times New Roman"/>
          <w:sz w:val="28"/>
          <w:szCs w:val="28"/>
        </w:rPr>
        <w:tab/>
      </w:r>
      <w:r w:rsidR="00B75FFD">
        <w:rPr>
          <w:rFonts w:ascii="Times New Roman" w:hAnsi="Times New Roman"/>
          <w:sz w:val="28"/>
          <w:szCs w:val="28"/>
          <w:lang w:val="en-ZA"/>
        </w:rPr>
        <w:t>S</w:t>
      </w:r>
      <w:r w:rsidR="00701736" w:rsidRPr="00701736">
        <w:rPr>
          <w:rFonts w:ascii="Times New Roman" w:hAnsi="Times New Roman"/>
          <w:sz w:val="28"/>
          <w:szCs w:val="28"/>
          <w:lang w:val="en-ZA"/>
        </w:rPr>
        <w:t xml:space="preserve">ection 17(1) of the </w:t>
      </w:r>
      <w:r w:rsidR="00B75FFD">
        <w:rPr>
          <w:rFonts w:ascii="Times New Roman" w:hAnsi="Times New Roman"/>
          <w:sz w:val="28"/>
          <w:szCs w:val="28"/>
          <w:lang w:val="en-ZA"/>
        </w:rPr>
        <w:t xml:space="preserve">Superior Courts </w:t>
      </w:r>
      <w:r w:rsidR="00701736" w:rsidRPr="00701736">
        <w:rPr>
          <w:rFonts w:ascii="Times New Roman" w:hAnsi="Times New Roman"/>
          <w:sz w:val="28"/>
          <w:szCs w:val="28"/>
          <w:lang w:val="en-ZA"/>
        </w:rPr>
        <w:t>Act</w:t>
      </w:r>
      <w:r w:rsidR="00B75FFD">
        <w:rPr>
          <w:rFonts w:ascii="Times New Roman" w:hAnsi="Times New Roman"/>
          <w:sz w:val="28"/>
          <w:szCs w:val="28"/>
          <w:lang w:val="en-ZA"/>
        </w:rPr>
        <w:t xml:space="preserve"> 10 of 2013 deals with the circumstances upon which leave to appeal may be granted.</w:t>
      </w:r>
    </w:p>
    <w:p w14:paraId="2C90A2F9" w14:textId="1ACE0159" w:rsidR="0091791F" w:rsidRPr="0091791F" w:rsidRDefault="000A286C" w:rsidP="000A286C">
      <w:pPr>
        <w:pStyle w:val="LegalList1"/>
        <w:spacing w:line="360" w:lineRule="auto"/>
        <w:ind w:left="851" w:hanging="851"/>
        <w:rPr>
          <w:rFonts w:ascii="Times New Roman" w:hAnsi="Times New Roman"/>
          <w:sz w:val="28"/>
          <w:szCs w:val="28"/>
        </w:rPr>
      </w:pPr>
      <w:r w:rsidRPr="0091791F">
        <w:rPr>
          <w:rFonts w:ascii="Times New Roman" w:hAnsi="Times New Roman"/>
          <w:sz w:val="28"/>
          <w:szCs w:val="28"/>
        </w:rPr>
        <w:lastRenderedPageBreak/>
        <w:t>[10]</w:t>
      </w:r>
      <w:r w:rsidRPr="0091791F">
        <w:rPr>
          <w:rFonts w:ascii="Times New Roman" w:hAnsi="Times New Roman"/>
          <w:sz w:val="28"/>
          <w:szCs w:val="28"/>
        </w:rPr>
        <w:tab/>
      </w:r>
      <w:r w:rsidR="00014695">
        <w:rPr>
          <w:rFonts w:ascii="Times New Roman" w:hAnsi="Times New Roman"/>
          <w:sz w:val="28"/>
          <w:szCs w:val="28"/>
          <w:lang w:val="en-ZA"/>
        </w:rPr>
        <w:t xml:space="preserve">To make </w:t>
      </w:r>
      <w:r w:rsidR="00701736" w:rsidRPr="00701736">
        <w:rPr>
          <w:rFonts w:ascii="Times New Roman" w:hAnsi="Times New Roman"/>
          <w:sz w:val="28"/>
          <w:szCs w:val="28"/>
          <w:lang w:val="en-ZA"/>
        </w:rPr>
        <w:t xml:space="preserve">that determination, it is </w:t>
      </w:r>
      <w:r w:rsidR="00014695">
        <w:rPr>
          <w:rFonts w:ascii="Times New Roman" w:hAnsi="Times New Roman"/>
          <w:sz w:val="28"/>
          <w:szCs w:val="28"/>
          <w:lang w:val="en-ZA"/>
        </w:rPr>
        <w:t xml:space="preserve">worth restating </w:t>
      </w:r>
      <w:r w:rsidR="00701736" w:rsidRPr="00701736">
        <w:rPr>
          <w:rFonts w:ascii="Times New Roman" w:hAnsi="Times New Roman"/>
          <w:sz w:val="28"/>
          <w:szCs w:val="28"/>
          <w:lang w:val="en-ZA"/>
        </w:rPr>
        <w:t xml:space="preserve">the provisions of </w:t>
      </w:r>
      <w:r w:rsidR="0007797B">
        <w:rPr>
          <w:rFonts w:ascii="Times New Roman" w:hAnsi="Times New Roman"/>
          <w:sz w:val="28"/>
          <w:szCs w:val="28"/>
          <w:lang w:val="en-ZA"/>
        </w:rPr>
        <w:t>the section.</w:t>
      </w:r>
    </w:p>
    <w:p w14:paraId="43C8F22A" w14:textId="500CEC31" w:rsidR="00701736" w:rsidRPr="00545E0C" w:rsidRDefault="000A286C" w:rsidP="000A286C">
      <w:pPr>
        <w:pStyle w:val="LegalList1"/>
        <w:spacing w:line="360" w:lineRule="auto"/>
        <w:ind w:left="851" w:hanging="851"/>
        <w:rPr>
          <w:rFonts w:ascii="Times New Roman" w:hAnsi="Times New Roman"/>
          <w:sz w:val="28"/>
          <w:szCs w:val="28"/>
        </w:rPr>
      </w:pPr>
      <w:r w:rsidRPr="00545E0C">
        <w:rPr>
          <w:rFonts w:ascii="Times New Roman" w:hAnsi="Times New Roman"/>
          <w:sz w:val="28"/>
          <w:szCs w:val="28"/>
        </w:rPr>
        <w:t>[11]</w:t>
      </w:r>
      <w:r w:rsidRPr="00545E0C">
        <w:rPr>
          <w:rFonts w:ascii="Times New Roman" w:hAnsi="Times New Roman"/>
          <w:sz w:val="28"/>
          <w:szCs w:val="28"/>
        </w:rPr>
        <w:tab/>
      </w:r>
      <w:r w:rsidR="0007797B">
        <w:rPr>
          <w:rFonts w:ascii="Times New Roman" w:hAnsi="Times New Roman"/>
          <w:sz w:val="28"/>
          <w:szCs w:val="28"/>
          <w:lang w:val="en-ZA"/>
        </w:rPr>
        <w:t xml:space="preserve">It </w:t>
      </w:r>
      <w:r w:rsidR="00701736" w:rsidRPr="00701736">
        <w:rPr>
          <w:rFonts w:ascii="Times New Roman" w:hAnsi="Times New Roman"/>
          <w:sz w:val="28"/>
          <w:szCs w:val="28"/>
          <w:lang w:val="en-ZA"/>
        </w:rPr>
        <w:t>provides as follows:</w:t>
      </w:r>
    </w:p>
    <w:p w14:paraId="0EFF0895" w14:textId="77777777" w:rsidR="00545E0C" w:rsidRPr="00876DB4" w:rsidRDefault="00545E0C" w:rsidP="00876DB4">
      <w:pPr>
        <w:pStyle w:val="LegalList1"/>
        <w:spacing w:line="360" w:lineRule="auto"/>
        <w:ind w:left="1440" w:hanging="589"/>
        <w:rPr>
          <w:rFonts w:ascii="Times New Roman" w:hAnsi="Times New Roman"/>
        </w:rPr>
      </w:pPr>
      <w:r w:rsidRPr="00876DB4">
        <w:rPr>
          <w:rFonts w:ascii="Times New Roman" w:hAnsi="Times New Roman"/>
          <w:lang w:val="en-ZA"/>
        </w:rPr>
        <w:t>“(</w:t>
      </w:r>
      <w:r w:rsidR="00A1612F" w:rsidRPr="00876DB4">
        <w:rPr>
          <w:rFonts w:ascii="Times New Roman" w:hAnsi="Times New Roman"/>
          <w:lang w:val="en-ZA"/>
        </w:rPr>
        <w:t>1</w:t>
      </w:r>
      <w:r w:rsidRPr="00876DB4">
        <w:rPr>
          <w:rFonts w:ascii="Times New Roman" w:hAnsi="Times New Roman"/>
          <w:lang w:val="en-ZA"/>
        </w:rPr>
        <w:t>)</w:t>
      </w:r>
      <w:r w:rsidRPr="00876DB4">
        <w:rPr>
          <w:rFonts w:ascii="Times New Roman" w:hAnsi="Times New Roman"/>
          <w:lang w:val="en-ZA"/>
        </w:rPr>
        <w:tab/>
      </w:r>
      <w:r w:rsidR="00A1612F" w:rsidRPr="00876DB4">
        <w:rPr>
          <w:rFonts w:ascii="Times New Roman" w:hAnsi="Times New Roman"/>
          <w:lang w:val="en-ZA"/>
        </w:rPr>
        <w:t>L</w:t>
      </w:r>
      <w:r w:rsidRPr="00876DB4">
        <w:rPr>
          <w:rFonts w:ascii="Times New Roman" w:hAnsi="Times New Roman"/>
          <w:lang w:val="en-ZA"/>
        </w:rPr>
        <w:t>eave to appeal may only be given where the judge or judges co</w:t>
      </w:r>
      <w:r w:rsidR="00914992">
        <w:rPr>
          <w:rFonts w:ascii="Times New Roman" w:hAnsi="Times New Roman"/>
          <w:lang w:val="en-ZA"/>
        </w:rPr>
        <w:t>ncerned are of the opinion that –</w:t>
      </w:r>
    </w:p>
    <w:p w14:paraId="68F8EF01" w14:textId="77777777" w:rsidR="00545E0C" w:rsidRPr="00876DB4" w:rsidRDefault="00545E0C" w:rsidP="0007797B">
      <w:pPr>
        <w:pStyle w:val="LegalList1"/>
        <w:spacing w:line="360" w:lineRule="auto"/>
        <w:ind w:left="131" w:firstLine="862"/>
        <w:rPr>
          <w:rFonts w:ascii="Times New Roman" w:hAnsi="Times New Roman"/>
        </w:rPr>
      </w:pPr>
      <w:r w:rsidRPr="00876DB4">
        <w:rPr>
          <w:rFonts w:ascii="Times New Roman" w:hAnsi="Times New Roman"/>
          <w:lang w:val="en-ZA"/>
        </w:rPr>
        <w:t>(a)</w:t>
      </w:r>
      <w:r w:rsidR="006E5F21" w:rsidRPr="00876DB4">
        <w:rPr>
          <w:rFonts w:ascii="Times New Roman" w:hAnsi="Times New Roman"/>
          <w:lang w:val="en-ZA"/>
        </w:rPr>
        <w:tab/>
        <w:t>(</w:t>
      </w:r>
      <w:proofErr w:type="spellStart"/>
      <w:r w:rsidR="006E5F21" w:rsidRPr="00876DB4">
        <w:rPr>
          <w:rFonts w:ascii="Times New Roman" w:hAnsi="Times New Roman"/>
          <w:lang w:val="en-ZA"/>
        </w:rPr>
        <w:t>i</w:t>
      </w:r>
      <w:proofErr w:type="spellEnd"/>
      <w:r w:rsidR="006E5F21" w:rsidRPr="00876DB4">
        <w:rPr>
          <w:rFonts w:ascii="Times New Roman" w:hAnsi="Times New Roman"/>
          <w:lang w:val="en-ZA"/>
        </w:rPr>
        <w:t>)</w:t>
      </w:r>
      <w:r w:rsidR="006E5F21" w:rsidRPr="00876DB4">
        <w:rPr>
          <w:rFonts w:ascii="Times New Roman" w:hAnsi="Times New Roman"/>
          <w:lang w:val="en-ZA"/>
        </w:rPr>
        <w:tab/>
      </w:r>
      <w:r w:rsidR="00BE584C">
        <w:rPr>
          <w:rFonts w:ascii="Times New Roman" w:hAnsi="Times New Roman"/>
          <w:lang w:val="en-ZA"/>
        </w:rPr>
        <w:t>t</w:t>
      </w:r>
      <w:r w:rsidR="006E5F21" w:rsidRPr="00876DB4">
        <w:rPr>
          <w:rFonts w:ascii="Times New Roman" w:hAnsi="Times New Roman"/>
          <w:lang w:val="en-ZA"/>
        </w:rPr>
        <w:t>he appeal would have a reasonable prospect of success; or</w:t>
      </w:r>
    </w:p>
    <w:p w14:paraId="30F5E004" w14:textId="77777777" w:rsidR="006E5F21" w:rsidRPr="00876DB4" w:rsidRDefault="006E5F21" w:rsidP="00A1612F">
      <w:pPr>
        <w:pStyle w:val="LegalList1"/>
        <w:spacing w:line="360" w:lineRule="auto"/>
        <w:ind w:left="2160" w:hanging="720"/>
        <w:rPr>
          <w:rFonts w:ascii="Times New Roman" w:hAnsi="Times New Roman"/>
        </w:rPr>
      </w:pPr>
      <w:r w:rsidRPr="00876DB4">
        <w:rPr>
          <w:rFonts w:ascii="Times New Roman" w:hAnsi="Times New Roman"/>
        </w:rPr>
        <w:t xml:space="preserve">(ii) </w:t>
      </w:r>
      <w:r w:rsidRPr="00876DB4">
        <w:rPr>
          <w:rFonts w:ascii="Times New Roman" w:hAnsi="Times New Roman"/>
        </w:rPr>
        <w:tab/>
      </w:r>
      <w:r w:rsidR="00BE584C">
        <w:rPr>
          <w:rFonts w:ascii="Times New Roman" w:hAnsi="Times New Roman"/>
        </w:rPr>
        <w:t>t</w:t>
      </w:r>
      <w:r w:rsidRPr="00876DB4">
        <w:rPr>
          <w:rFonts w:ascii="Times New Roman" w:hAnsi="Times New Roman"/>
        </w:rPr>
        <w:t>here is some other compelling reason why the appeal should be heard, including conflicting judgments on the matter under consideration.</w:t>
      </w:r>
      <w:r w:rsidR="00A1612F" w:rsidRPr="00876DB4">
        <w:rPr>
          <w:rFonts w:ascii="Times New Roman" w:hAnsi="Times New Roman"/>
        </w:rPr>
        <w:t>”</w:t>
      </w:r>
    </w:p>
    <w:p w14:paraId="639FCD72" w14:textId="77777777" w:rsidR="00835ECD" w:rsidRPr="00054F16" w:rsidRDefault="009D0934" w:rsidP="00D466F7">
      <w:pPr>
        <w:rPr>
          <w:rFonts w:ascii="Times New Roman" w:hAnsi="Times New Roman" w:cs="Times New Roman"/>
          <w:sz w:val="28"/>
          <w:szCs w:val="28"/>
        </w:rPr>
      </w:pPr>
      <w:r>
        <w:tab/>
      </w:r>
    </w:p>
    <w:p w14:paraId="04998002" w14:textId="30F55D66" w:rsidR="00E90DC1" w:rsidRDefault="000A286C" w:rsidP="000A286C">
      <w:pPr>
        <w:pStyle w:val="LegalList1"/>
        <w:spacing w:line="360" w:lineRule="auto"/>
        <w:ind w:left="851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[12]</w:t>
      </w:r>
      <w:r>
        <w:rPr>
          <w:rFonts w:ascii="Times New Roman" w:hAnsi="Times New Roman"/>
          <w:sz w:val="28"/>
          <w:szCs w:val="28"/>
        </w:rPr>
        <w:tab/>
      </w:r>
      <w:r w:rsidR="00054F16" w:rsidRPr="005147C8">
        <w:rPr>
          <w:rFonts w:ascii="Times New Roman" w:hAnsi="Times New Roman"/>
          <w:sz w:val="28"/>
          <w:szCs w:val="28"/>
        </w:rPr>
        <w:t xml:space="preserve">Turning the focus to these provisions, leave to appeal may only be granted where the judge concerned </w:t>
      </w:r>
      <w:r w:rsidR="009459F0">
        <w:rPr>
          <w:rFonts w:ascii="Times New Roman" w:hAnsi="Times New Roman"/>
          <w:sz w:val="28"/>
          <w:szCs w:val="28"/>
        </w:rPr>
        <w:t xml:space="preserve">is </w:t>
      </w:r>
      <w:r w:rsidR="00054F16" w:rsidRPr="005147C8">
        <w:rPr>
          <w:rFonts w:ascii="Times New Roman" w:hAnsi="Times New Roman"/>
          <w:sz w:val="28"/>
          <w:szCs w:val="28"/>
        </w:rPr>
        <w:t>of the opinion that the appeal would have a reasonable prospect of success</w:t>
      </w:r>
      <w:r w:rsidR="009459F0">
        <w:rPr>
          <w:rFonts w:ascii="Times New Roman" w:hAnsi="Times New Roman"/>
          <w:sz w:val="28"/>
          <w:szCs w:val="28"/>
        </w:rPr>
        <w:t>,</w:t>
      </w:r>
      <w:r w:rsidR="00054F16" w:rsidRPr="005147C8">
        <w:rPr>
          <w:rFonts w:ascii="Times New Roman" w:hAnsi="Times New Roman"/>
          <w:sz w:val="28"/>
          <w:szCs w:val="28"/>
        </w:rPr>
        <w:t xml:space="preserve"> or there are compelling reasons which exist why the appeal should be heard such as the interests of justice. </w:t>
      </w:r>
      <w:r w:rsidR="004E78FB">
        <w:rPr>
          <w:rStyle w:val="FootnoteReference"/>
          <w:rFonts w:ascii="Times New Roman" w:hAnsi="Times New Roman"/>
          <w:sz w:val="28"/>
          <w:szCs w:val="28"/>
        </w:rPr>
        <w:footnoteReference w:id="2"/>
      </w:r>
      <w:r w:rsidR="00524711">
        <w:rPr>
          <w:rFonts w:ascii="Times New Roman" w:hAnsi="Times New Roman"/>
          <w:sz w:val="28"/>
          <w:szCs w:val="28"/>
        </w:rPr>
        <w:t xml:space="preserve">As to </w:t>
      </w:r>
      <w:r w:rsidR="00AA5336" w:rsidRPr="005147C8">
        <w:rPr>
          <w:rFonts w:ascii="Times New Roman" w:hAnsi="Times New Roman"/>
          <w:sz w:val="28"/>
          <w:szCs w:val="28"/>
        </w:rPr>
        <w:t>the provisions of s 17(1)</w:t>
      </w:r>
      <w:r w:rsidR="00AA5336" w:rsidRPr="005147C8">
        <w:rPr>
          <w:rFonts w:ascii="Times New Roman" w:hAnsi="Times New Roman"/>
          <w:i/>
          <w:iCs/>
          <w:sz w:val="28"/>
          <w:szCs w:val="28"/>
        </w:rPr>
        <w:t>(a)</w:t>
      </w:r>
      <w:r w:rsidR="00AA5336" w:rsidRPr="005147C8">
        <w:rPr>
          <w:rFonts w:ascii="Times New Roman" w:hAnsi="Times New Roman"/>
          <w:sz w:val="28"/>
          <w:szCs w:val="28"/>
        </w:rPr>
        <w:t>(ii) of the Act</w:t>
      </w:r>
      <w:r w:rsidR="004E78FB">
        <w:rPr>
          <w:rFonts w:ascii="Times New Roman" w:hAnsi="Times New Roman"/>
          <w:sz w:val="28"/>
          <w:szCs w:val="28"/>
        </w:rPr>
        <w:t>,</w:t>
      </w:r>
      <w:r w:rsidR="00AA5336" w:rsidRPr="005147C8">
        <w:rPr>
          <w:rFonts w:ascii="Times New Roman" w:hAnsi="Times New Roman"/>
          <w:sz w:val="28"/>
          <w:szCs w:val="28"/>
        </w:rPr>
        <w:t xml:space="preserve"> the Supreme Court of Appeal i</w:t>
      </w:r>
      <w:r w:rsidR="00054F16" w:rsidRPr="005147C8">
        <w:rPr>
          <w:rFonts w:ascii="Times New Roman" w:hAnsi="Times New Roman"/>
          <w:sz w:val="28"/>
          <w:szCs w:val="28"/>
        </w:rPr>
        <w:t xml:space="preserve">n </w:t>
      </w:r>
      <w:proofErr w:type="spellStart"/>
      <w:r w:rsidR="00054F16" w:rsidRPr="005147C8">
        <w:rPr>
          <w:rFonts w:ascii="Times New Roman" w:hAnsi="Times New Roman"/>
          <w:i/>
          <w:sz w:val="28"/>
          <w:szCs w:val="28"/>
        </w:rPr>
        <w:t>Caratco</w:t>
      </w:r>
      <w:proofErr w:type="spellEnd"/>
      <w:r w:rsidR="00AA5336" w:rsidRPr="005147C8">
        <w:rPr>
          <w:rFonts w:ascii="Times New Roman" w:hAnsi="Times New Roman"/>
          <w:i/>
          <w:sz w:val="28"/>
          <w:szCs w:val="28"/>
        </w:rPr>
        <w:t xml:space="preserve"> </w:t>
      </w:r>
      <w:r w:rsidR="00AA5336" w:rsidRPr="005147C8">
        <w:rPr>
          <w:rFonts w:ascii="Times New Roman" w:hAnsi="Times New Roman"/>
          <w:i/>
          <w:iCs/>
          <w:sz w:val="28"/>
          <w:szCs w:val="28"/>
          <w:lang w:val="en-ZA"/>
        </w:rPr>
        <w:t>(Pty) Ltd v Independent Advisory (Pty) Ltd</w:t>
      </w:r>
      <w:r w:rsidR="00AA5336" w:rsidRPr="005147C8">
        <w:rPr>
          <w:rStyle w:val="FootnoteReference"/>
          <w:rFonts w:ascii="Times New Roman" w:hAnsi="Times New Roman"/>
          <w:sz w:val="28"/>
          <w:szCs w:val="28"/>
        </w:rPr>
        <w:t xml:space="preserve"> </w:t>
      </w:r>
      <w:r w:rsidR="00054F16" w:rsidRPr="00AA5336">
        <w:rPr>
          <w:rStyle w:val="FootnoteReference"/>
          <w:rFonts w:ascii="Times New Roman" w:hAnsi="Times New Roman"/>
          <w:sz w:val="28"/>
          <w:szCs w:val="28"/>
        </w:rPr>
        <w:footnoteReference w:id="3"/>
      </w:r>
      <w:r w:rsidR="005147C8" w:rsidRPr="005147C8">
        <w:rPr>
          <w:rFonts w:ascii="Times New Roman" w:hAnsi="Times New Roman"/>
          <w:sz w:val="28"/>
          <w:szCs w:val="28"/>
        </w:rPr>
        <w:t xml:space="preserve"> </w:t>
      </w:r>
      <w:r w:rsidR="00E42C0A">
        <w:rPr>
          <w:rFonts w:ascii="Times New Roman" w:hAnsi="Times New Roman"/>
          <w:sz w:val="28"/>
          <w:szCs w:val="28"/>
        </w:rPr>
        <w:t xml:space="preserve">indicated </w:t>
      </w:r>
      <w:r w:rsidR="00054F16" w:rsidRPr="005147C8">
        <w:rPr>
          <w:rFonts w:ascii="Times New Roman" w:hAnsi="Times New Roman"/>
          <w:sz w:val="28"/>
          <w:szCs w:val="28"/>
        </w:rPr>
        <w:t>that if the court is unpersuaded that there are prospects of success, it must still enquire into whether there is a compelling reason to entertain the appeal.</w:t>
      </w:r>
    </w:p>
    <w:p w14:paraId="0FD08E4B" w14:textId="344AB458" w:rsidR="00835ECD" w:rsidRPr="002418C9" w:rsidRDefault="000A286C" w:rsidP="000A286C">
      <w:pPr>
        <w:pStyle w:val="LegalList1"/>
        <w:spacing w:line="360" w:lineRule="auto"/>
        <w:ind w:left="851" w:hanging="851"/>
        <w:rPr>
          <w:rFonts w:ascii="Times New Roman" w:hAnsi="Times New Roman"/>
          <w:sz w:val="28"/>
          <w:szCs w:val="28"/>
        </w:rPr>
      </w:pPr>
      <w:r w:rsidRPr="002418C9">
        <w:rPr>
          <w:rFonts w:ascii="Times New Roman" w:hAnsi="Times New Roman"/>
          <w:sz w:val="28"/>
          <w:szCs w:val="28"/>
        </w:rPr>
        <w:t>[13]</w:t>
      </w:r>
      <w:r w:rsidRPr="002418C9">
        <w:rPr>
          <w:rFonts w:ascii="Times New Roman" w:hAnsi="Times New Roman"/>
          <w:sz w:val="28"/>
          <w:szCs w:val="28"/>
        </w:rPr>
        <w:tab/>
      </w:r>
      <w:r w:rsidR="00835ECD" w:rsidRPr="005147C8">
        <w:rPr>
          <w:rFonts w:ascii="Times New Roman" w:hAnsi="Times New Roman"/>
          <w:sz w:val="28"/>
          <w:szCs w:val="28"/>
        </w:rPr>
        <w:t>Compelling reason would include an important question of law or a discret</w:t>
      </w:r>
      <w:r w:rsidR="00717FCD">
        <w:rPr>
          <w:rFonts w:ascii="Times New Roman" w:hAnsi="Times New Roman"/>
          <w:sz w:val="28"/>
          <w:szCs w:val="28"/>
        </w:rPr>
        <w:t>e</w:t>
      </w:r>
      <w:r w:rsidR="00835ECD" w:rsidRPr="005147C8">
        <w:rPr>
          <w:rFonts w:ascii="Times New Roman" w:hAnsi="Times New Roman"/>
          <w:sz w:val="28"/>
          <w:szCs w:val="28"/>
        </w:rPr>
        <w:t xml:space="preserve"> issue of public importance that will </w:t>
      </w:r>
      <w:proofErr w:type="gramStart"/>
      <w:r w:rsidR="00835ECD" w:rsidRPr="005147C8">
        <w:rPr>
          <w:rFonts w:ascii="Times New Roman" w:hAnsi="Times New Roman"/>
          <w:sz w:val="28"/>
          <w:szCs w:val="28"/>
        </w:rPr>
        <w:t>have an effect on</w:t>
      </w:r>
      <w:proofErr w:type="gramEnd"/>
      <w:r w:rsidR="00835ECD" w:rsidRPr="005147C8">
        <w:rPr>
          <w:rFonts w:ascii="Times New Roman" w:hAnsi="Times New Roman"/>
          <w:sz w:val="28"/>
          <w:szCs w:val="28"/>
        </w:rPr>
        <w:t xml:space="preserve"> future </w:t>
      </w:r>
      <w:r w:rsidR="00835ECD" w:rsidRPr="002418C9">
        <w:rPr>
          <w:rFonts w:ascii="Times New Roman" w:hAnsi="Times New Roman"/>
          <w:sz w:val="28"/>
          <w:szCs w:val="28"/>
        </w:rPr>
        <w:t xml:space="preserve">disputes. </w:t>
      </w:r>
      <w:r w:rsidR="006C6238" w:rsidRPr="002418C9">
        <w:rPr>
          <w:rFonts w:ascii="Times New Roman" w:hAnsi="Times New Roman"/>
          <w:sz w:val="28"/>
          <w:szCs w:val="28"/>
        </w:rPr>
        <w:t xml:space="preserve">But here the merits </w:t>
      </w:r>
      <w:r w:rsidR="003C76B3">
        <w:rPr>
          <w:rFonts w:ascii="Times New Roman" w:hAnsi="Times New Roman"/>
          <w:sz w:val="28"/>
          <w:szCs w:val="28"/>
        </w:rPr>
        <w:t xml:space="preserve">as well </w:t>
      </w:r>
      <w:r w:rsidR="006C6238" w:rsidRPr="002418C9">
        <w:rPr>
          <w:rFonts w:ascii="Times New Roman" w:hAnsi="Times New Roman"/>
          <w:sz w:val="28"/>
          <w:szCs w:val="28"/>
        </w:rPr>
        <w:t>remain vitally important and are often decisive.</w:t>
      </w:r>
      <w:r w:rsidR="00B17689" w:rsidRPr="002418C9">
        <w:rPr>
          <w:rStyle w:val="FootnoteReference"/>
          <w:rFonts w:ascii="Times New Roman" w:hAnsi="Times New Roman"/>
          <w:sz w:val="28"/>
          <w:szCs w:val="28"/>
        </w:rPr>
        <w:footnoteReference w:id="4"/>
      </w:r>
    </w:p>
    <w:p w14:paraId="4EEF8440" w14:textId="502EF3C5" w:rsidR="006C6238" w:rsidRPr="002418C9" w:rsidRDefault="000A286C" w:rsidP="000A286C">
      <w:pPr>
        <w:pStyle w:val="LegalList1"/>
        <w:spacing w:line="360" w:lineRule="auto"/>
        <w:ind w:left="851" w:hanging="851"/>
        <w:rPr>
          <w:rFonts w:ascii="Times New Roman" w:hAnsi="Times New Roman"/>
          <w:sz w:val="28"/>
          <w:szCs w:val="28"/>
        </w:rPr>
      </w:pPr>
      <w:r w:rsidRPr="002418C9">
        <w:rPr>
          <w:rFonts w:ascii="Times New Roman" w:hAnsi="Times New Roman"/>
          <w:sz w:val="28"/>
          <w:szCs w:val="28"/>
        </w:rPr>
        <w:lastRenderedPageBreak/>
        <w:t>[14]</w:t>
      </w:r>
      <w:r w:rsidRPr="002418C9">
        <w:rPr>
          <w:rFonts w:ascii="Times New Roman" w:hAnsi="Times New Roman"/>
          <w:sz w:val="28"/>
          <w:szCs w:val="28"/>
        </w:rPr>
        <w:tab/>
      </w:r>
      <w:r w:rsidR="00E90DC1" w:rsidRPr="002418C9">
        <w:rPr>
          <w:rFonts w:ascii="Times New Roman" w:hAnsi="Times New Roman"/>
          <w:sz w:val="28"/>
          <w:szCs w:val="28"/>
        </w:rPr>
        <w:t xml:space="preserve">I am </w:t>
      </w:r>
      <w:r w:rsidR="00034029">
        <w:rPr>
          <w:rFonts w:ascii="Times New Roman" w:hAnsi="Times New Roman"/>
          <w:sz w:val="28"/>
          <w:szCs w:val="28"/>
        </w:rPr>
        <w:t>cognisant</w:t>
      </w:r>
      <w:r w:rsidR="00034029" w:rsidRPr="002418C9">
        <w:rPr>
          <w:rFonts w:ascii="Times New Roman" w:hAnsi="Times New Roman"/>
          <w:sz w:val="28"/>
          <w:szCs w:val="28"/>
        </w:rPr>
        <w:t xml:space="preserve"> </w:t>
      </w:r>
      <w:r w:rsidR="00E90DC1" w:rsidRPr="002418C9">
        <w:rPr>
          <w:rFonts w:ascii="Times New Roman" w:hAnsi="Times New Roman"/>
          <w:sz w:val="28"/>
          <w:szCs w:val="28"/>
        </w:rPr>
        <w:t xml:space="preserve">of the decisions of the high court debating whether the use of the word ‘would’ as </w:t>
      </w:r>
      <w:proofErr w:type="gramStart"/>
      <w:r w:rsidR="00E90DC1" w:rsidRPr="002418C9">
        <w:rPr>
          <w:rFonts w:ascii="Times New Roman" w:hAnsi="Times New Roman"/>
          <w:sz w:val="28"/>
          <w:szCs w:val="28"/>
        </w:rPr>
        <w:t>opposed</w:t>
      </w:r>
      <w:proofErr w:type="gramEnd"/>
      <w:r w:rsidR="00E90DC1" w:rsidRPr="002418C9">
        <w:rPr>
          <w:rFonts w:ascii="Times New Roman" w:hAnsi="Times New Roman"/>
          <w:sz w:val="28"/>
          <w:szCs w:val="28"/>
        </w:rPr>
        <w:t xml:space="preserve"> to ‘could’ possibly means that the threshold for granting </w:t>
      </w:r>
      <w:r w:rsidR="002132A5">
        <w:rPr>
          <w:rFonts w:ascii="Times New Roman" w:hAnsi="Times New Roman"/>
          <w:sz w:val="28"/>
          <w:szCs w:val="28"/>
        </w:rPr>
        <w:t xml:space="preserve">leave to </w:t>
      </w:r>
      <w:r w:rsidR="00E90DC1" w:rsidRPr="002418C9">
        <w:rPr>
          <w:rFonts w:ascii="Times New Roman" w:hAnsi="Times New Roman"/>
          <w:sz w:val="28"/>
          <w:szCs w:val="28"/>
        </w:rPr>
        <w:t xml:space="preserve">appeal has been raised. If a reasonable prospect of success is established, leave should be granted. And similarly, if there are some other compelling reasons why the appeal should be heard, </w:t>
      </w:r>
      <w:r w:rsidR="002132A5">
        <w:rPr>
          <w:rFonts w:ascii="Times New Roman" w:hAnsi="Times New Roman"/>
          <w:sz w:val="28"/>
          <w:szCs w:val="28"/>
        </w:rPr>
        <w:t xml:space="preserve">then </w:t>
      </w:r>
      <w:r w:rsidR="00E90DC1" w:rsidRPr="002418C9">
        <w:rPr>
          <w:rFonts w:ascii="Times New Roman" w:hAnsi="Times New Roman"/>
          <w:sz w:val="28"/>
          <w:szCs w:val="28"/>
        </w:rPr>
        <w:t>leave should be granted. The test of reasonable p</w:t>
      </w:r>
      <w:r w:rsidR="002E7DB4">
        <w:rPr>
          <w:rFonts w:ascii="Times New Roman" w:hAnsi="Times New Roman"/>
          <w:sz w:val="28"/>
          <w:szCs w:val="28"/>
        </w:rPr>
        <w:t>rospects of success postulates ‘a dispassionate decision based on the facts and the law’</w:t>
      </w:r>
      <w:r w:rsidR="002E7DB4">
        <w:rPr>
          <w:rStyle w:val="FootnoteReference"/>
          <w:rFonts w:ascii="Times New Roman" w:hAnsi="Times New Roman"/>
          <w:sz w:val="28"/>
          <w:szCs w:val="28"/>
        </w:rPr>
        <w:footnoteReference w:id="5"/>
      </w:r>
      <w:r w:rsidR="002E7DB4">
        <w:rPr>
          <w:rFonts w:ascii="Times New Roman" w:hAnsi="Times New Roman"/>
          <w:sz w:val="28"/>
          <w:szCs w:val="28"/>
        </w:rPr>
        <w:t xml:space="preserve"> that </w:t>
      </w:r>
      <w:r w:rsidR="00970926">
        <w:rPr>
          <w:rFonts w:ascii="Times New Roman" w:hAnsi="Times New Roman"/>
          <w:sz w:val="28"/>
          <w:szCs w:val="28"/>
        </w:rPr>
        <w:t>‘another court may well find merit</w:t>
      </w:r>
      <w:r w:rsidR="002E723C">
        <w:rPr>
          <w:rFonts w:ascii="Times New Roman" w:hAnsi="Times New Roman"/>
          <w:sz w:val="28"/>
          <w:szCs w:val="28"/>
        </w:rPr>
        <w:t xml:space="preserve"> in [the] arguments advanced by the losing party’</w:t>
      </w:r>
      <w:r w:rsidR="002E723C">
        <w:rPr>
          <w:rStyle w:val="FootnoteReference"/>
          <w:rFonts w:ascii="Times New Roman" w:hAnsi="Times New Roman"/>
          <w:sz w:val="28"/>
          <w:szCs w:val="28"/>
        </w:rPr>
        <w:footnoteReference w:id="6"/>
      </w:r>
      <w:r w:rsidR="003850B2">
        <w:rPr>
          <w:rFonts w:ascii="Times New Roman" w:hAnsi="Times New Roman"/>
          <w:sz w:val="28"/>
          <w:szCs w:val="28"/>
        </w:rPr>
        <w:t xml:space="preserve"> and ‘</w:t>
      </w:r>
      <w:r w:rsidR="00E90DC1" w:rsidRPr="002418C9">
        <w:rPr>
          <w:rFonts w:ascii="Times New Roman" w:hAnsi="Times New Roman"/>
          <w:sz w:val="28"/>
          <w:szCs w:val="28"/>
        </w:rPr>
        <w:t>reasonably arrive at a conclusion different to that of the trial court</w:t>
      </w:r>
      <w:r w:rsidR="003850B2">
        <w:rPr>
          <w:rFonts w:ascii="Times New Roman" w:hAnsi="Times New Roman"/>
          <w:sz w:val="28"/>
          <w:szCs w:val="28"/>
        </w:rPr>
        <w:t>’</w:t>
      </w:r>
      <w:r w:rsidR="002418C9">
        <w:rPr>
          <w:rStyle w:val="FootnoteReference"/>
          <w:rFonts w:ascii="Times New Roman" w:hAnsi="Times New Roman"/>
          <w:sz w:val="28"/>
          <w:szCs w:val="28"/>
        </w:rPr>
        <w:footnoteReference w:id="7"/>
      </w:r>
      <w:r w:rsidR="003850B2">
        <w:rPr>
          <w:rFonts w:ascii="Times New Roman" w:hAnsi="Times New Roman"/>
          <w:sz w:val="28"/>
          <w:szCs w:val="28"/>
        </w:rPr>
        <w:t>.</w:t>
      </w:r>
    </w:p>
    <w:p w14:paraId="55B15D25" w14:textId="4387EA29" w:rsidR="00D50E48" w:rsidRDefault="000A286C" w:rsidP="000A286C">
      <w:pPr>
        <w:pStyle w:val="LegalList1"/>
        <w:spacing w:line="360" w:lineRule="auto"/>
        <w:ind w:left="851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[15]</w:t>
      </w:r>
      <w:r>
        <w:rPr>
          <w:rFonts w:ascii="Times New Roman" w:hAnsi="Times New Roman"/>
          <w:sz w:val="28"/>
          <w:szCs w:val="28"/>
        </w:rPr>
        <w:tab/>
      </w:r>
      <w:r w:rsidR="000A06B2" w:rsidRPr="00835ECD">
        <w:rPr>
          <w:rFonts w:ascii="Times New Roman" w:hAnsi="Times New Roman"/>
          <w:sz w:val="28"/>
          <w:szCs w:val="28"/>
        </w:rPr>
        <w:t xml:space="preserve">Foundational to the judgment is that </w:t>
      </w:r>
      <w:r w:rsidR="00DB24D1" w:rsidRPr="00835ECD">
        <w:rPr>
          <w:rFonts w:ascii="Times New Roman" w:hAnsi="Times New Roman"/>
          <w:sz w:val="28"/>
          <w:szCs w:val="28"/>
        </w:rPr>
        <w:t xml:space="preserve">I approached the matter </w:t>
      </w:r>
      <w:r w:rsidR="002132A5">
        <w:rPr>
          <w:rFonts w:ascii="Times New Roman" w:hAnsi="Times New Roman"/>
          <w:sz w:val="28"/>
          <w:szCs w:val="28"/>
        </w:rPr>
        <w:t xml:space="preserve">principally </w:t>
      </w:r>
      <w:r w:rsidR="00DB24D1" w:rsidRPr="00835ECD">
        <w:rPr>
          <w:rFonts w:ascii="Times New Roman" w:hAnsi="Times New Roman"/>
          <w:sz w:val="28"/>
          <w:szCs w:val="28"/>
        </w:rPr>
        <w:t xml:space="preserve">on the basis that an encroachment onto the respondent’s land was treated as an expropriation. </w:t>
      </w:r>
      <w:r w:rsidR="005D323E">
        <w:rPr>
          <w:rFonts w:ascii="Times New Roman" w:hAnsi="Times New Roman"/>
          <w:sz w:val="28"/>
          <w:szCs w:val="28"/>
        </w:rPr>
        <w:t xml:space="preserve">My decision impacts on the executive and functional competence of a municipality </w:t>
      </w:r>
      <w:r w:rsidR="00050185">
        <w:rPr>
          <w:rFonts w:ascii="Times New Roman" w:hAnsi="Times New Roman"/>
          <w:sz w:val="28"/>
          <w:szCs w:val="28"/>
        </w:rPr>
        <w:t xml:space="preserve">that has administrative authority </w:t>
      </w:r>
      <w:proofErr w:type="gramStart"/>
      <w:r w:rsidR="008A201A">
        <w:rPr>
          <w:rFonts w:ascii="Times New Roman" w:hAnsi="Times New Roman"/>
          <w:sz w:val="28"/>
          <w:szCs w:val="28"/>
        </w:rPr>
        <w:t>with regard to</w:t>
      </w:r>
      <w:proofErr w:type="gramEnd"/>
      <w:r w:rsidR="008A201A">
        <w:rPr>
          <w:rFonts w:ascii="Times New Roman" w:hAnsi="Times New Roman"/>
          <w:sz w:val="28"/>
          <w:szCs w:val="28"/>
        </w:rPr>
        <w:t xml:space="preserve"> </w:t>
      </w:r>
      <w:r w:rsidR="00050185">
        <w:rPr>
          <w:rFonts w:ascii="Times New Roman" w:hAnsi="Times New Roman"/>
          <w:sz w:val="28"/>
          <w:szCs w:val="28"/>
        </w:rPr>
        <w:t>the matters listed in Part B of s</w:t>
      </w:r>
      <w:r w:rsidR="00D74883">
        <w:rPr>
          <w:rFonts w:ascii="Times New Roman" w:hAnsi="Times New Roman"/>
          <w:sz w:val="28"/>
          <w:szCs w:val="28"/>
        </w:rPr>
        <w:t>c</w:t>
      </w:r>
      <w:r w:rsidR="00050185">
        <w:rPr>
          <w:rFonts w:ascii="Times New Roman" w:hAnsi="Times New Roman"/>
          <w:sz w:val="28"/>
          <w:szCs w:val="28"/>
        </w:rPr>
        <w:t xml:space="preserve">hedules 4 and 5 </w:t>
      </w:r>
      <w:r w:rsidR="00D74883">
        <w:rPr>
          <w:rFonts w:ascii="Times New Roman" w:hAnsi="Times New Roman"/>
          <w:sz w:val="28"/>
          <w:szCs w:val="28"/>
        </w:rPr>
        <w:t xml:space="preserve">of the Constitution and the </w:t>
      </w:r>
      <w:r w:rsidR="005D323E">
        <w:rPr>
          <w:rFonts w:ascii="Times New Roman" w:hAnsi="Times New Roman"/>
          <w:sz w:val="28"/>
          <w:szCs w:val="28"/>
        </w:rPr>
        <w:t xml:space="preserve">rights of </w:t>
      </w:r>
      <w:r w:rsidR="00D74883">
        <w:rPr>
          <w:rFonts w:ascii="Times New Roman" w:hAnsi="Times New Roman"/>
          <w:sz w:val="28"/>
          <w:szCs w:val="28"/>
        </w:rPr>
        <w:t xml:space="preserve">a </w:t>
      </w:r>
      <w:r w:rsidR="005D323E">
        <w:rPr>
          <w:rFonts w:ascii="Times New Roman" w:hAnsi="Times New Roman"/>
          <w:sz w:val="28"/>
          <w:szCs w:val="28"/>
        </w:rPr>
        <w:t>landowner</w:t>
      </w:r>
      <w:r w:rsidR="00D74883">
        <w:rPr>
          <w:rFonts w:ascii="Times New Roman" w:hAnsi="Times New Roman"/>
          <w:sz w:val="28"/>
          <w:szCs w:val="28"/>
        </w:rPr>
        <w:t>.</w:t>
      </w:r>
      <w:r w:rsidR="005D323E">
        <w:rPr>
          <w:rFonts w:ascii="Times New Roman" w:hAnsi="Times New Roman"/>
          <w:sz w:val="28"/>
          <w:szCs w:val="28"/>
        </w:rPr>
        <w:t xml:space="preserve"> </w:t>
      </w:r>
      <w:r w:rsidR="006C6238">
        <w:rPr>
          <w:rFonts w:ascii="Times New Roman" w:hAnsi="Times New Roman"/>
          <w:sz w:val="28"/>
          <w:szCs w:val="28"/>
        </w:rPr>
        <w:t xml:space="preserve">This is an issue of public importance that </w:t>
      </w:r>
      <w:r w:rsidR="00B71374">
        <w:rPr>
          <w:rFonts w:ascii="Times New Roman" w:hAnsi="Times New Roman"/>
          <w:sz w:val="28"/>
          <w:szCs w:val="28"/>
        </w:rPr>
        <w:t xml:space="preserve">conceivably </w:t>
      </w:r>
      <w:r w:rsidR="006C6238">
        <w:rPr>
          <w:rFonts w:ascii="Times New Roman" w:hAnsi="Times New Roman"/>
          <w:sz w:val="28"/>
          <w:szCs w:val="28"/>
        </w:rPr>
        <w:t xml:space="preserve">will </w:t>
      </w:r>
      <w:proofErr w:type="gramStart"/>
      <w:r w:rsidR="006C6238">
        <w:rPr>
          <w:rFonts w:ascii="Times New Roman" w:hAnsi="Times New Roman"/>
          <w:sz w:val="28"/>
          <w:szCs w:val="28"/>
        </w:rPr>
        <w:t>have an effect on</w:t>
      </w:r>
      <w:proofErr w:type="gramEnd"/>
      <w:r w:rsidR="006C6238">
        <w:rPr>
          <w:rFonts w:ascii="Times New Roman" w:hAnsi="Times New Roman"/>
          <w:sz w:val="28"/>
          <w:szCs w:val="28"/>
        </w:rPr>
        <w:t xml:space="preserve"> future disputes. </w:t>
      </w:r>
      <w:r w:rsidR="00425843" w:rsidRPr="00835ECD">
        <w:rPr>
          <w:rFonts w:ascii="Times New Roman" w:hAnsi="Times New Roman"/>
          <w:sz w:val="28"/>
          <w:szCs w:val="28"/>
        </w:rPr>
        <w:t>Matters in the realm</w:t>
      </w:r>
      <w:r w:rsidR="003D4E81">
        <w:rPr>
          <w:rFonts w:ascii="Times New Roman" w:hAnsi="Times New Roman"/>
          <w:sz w:val="28"/>
          <w:szCs w:val="28"/>
        </w:rPr>
        <w:t xml:space="preserve"> </w:t>
      </w:r>
      <w:r w:rsidR="00425843" w:rsidRPr="00835ECD">
        <w:rPr>
          <w:rFonts w:ascii="Times New Roman" w:hAnsi="Times New Roman"/>
          <w:sz w:val="28"/>
          <w:szCs w:val="28"/>
        </w:rPr>
        <w:t>of expropriation have a bearing on the Constitution</w:t>
      </w:r>
      <w:r w:rsidR="00D37CE8" w:rsidRPr="00835ECD">
        <w:rPr>
          <w:rFonts w:ascii="Times New Roman" w:hAnsi="Times New Roman"/>
          <w:sz w:val="28"/>
          <w:szCs w:val="28"/>
        </w:rPr>
        <w:t xml:space="preserve"> and fundamentally affects rights and o</w:t>
      </w:r>
      <w:r w:rsidR="00D50E48">
        <w:rPr>
          <w:rFonts w:ascii="Times New Roman" w:hAnsi="Times New Roman"/>
          <w:sz w:val="28"/>
          <w:szCs w:val="28"/>
        </w:rPr>
        <w:t>bligations.</w:t>
      </w:r>
      <w:r w:rsidR="00E43E26">
        <w:rPr>
          <w:rFonts w:ascii="Times New Roman" w:hAnsi="Times New Roman"/>
          <w:sz w:val="28"/>
          <w:szCs w:val="28"/>
        </w:rPr>
        <w:t xml:space="preserve"> Moreover</w:t>
      </w:r>
      <w:r w:rsidR="00342BB6">
        <w:rPr>
          <w:rFonts w:ascii="Times New Roman" w:hAnsi="Times New Roman"/>
          <w:sz w:val="28"/>
          <w:szCs w:val="28"/>
        </w:rPr>
        <w:t>,</w:t>
      </w:r>
      <w:r w:rsidR="00E43E26">
        <w:rPr>
          <w:rFonts w:ascii="Times New Roman" w:hAnsi="Times New Roman"/>
          <w:sz w:val="28"/>
          <w:szCs w:val="28"/>
        </w:rPr>
        <w:t xml:space="preserve"> it is not clear to me whether the judgment purports to establish a precedent that in all circumstances such as the present</w:t>
      </w:r>
      <w:r w:rsidR="00081231">
        <w:rPr>
          <w:rFonts w:ascii="Times New Roman" w:hAnsi="Times New Roman"/>
          <w:sz w:val="28"/>
          <w:szCs w:val="28"/>
        </w:rPr>
        <w:t>, a discretionary remedy to order compensation instead of the removal of the encroachment would be competent</w:t>
      </w:r>
      <w:r w:rsidR="00342BB6">
        <w:rPr>
          <w:rFonts w:ascii="Times New Roman" w:hAnsi="Times New Roman"/>
          <w:sz w:val="28"/>
          <w:szCs w:val="28"/>
        </w:rPr>
        <w:t>.</w:t>
      </w:r>
    </w:p>
    <w:p w14:paraId="104F42BD" w14:textId="1E732CBC" w:rsidR="00B27EF5" w:rsidRDefault="000A286C" w:rsidP="000A286C">
      <w:pPr>
        <w:pStyle w:val="LegalList1"/>
        <w:spacing w:line="360" w:lineRule="auto"/>
        <w:ind w:left="851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[16]</w:t>
      </w:r>
      <w:r>
        <w:rPr>
          <w:rFonts w:ascii="Times New Roman" w:hAnsi="Times New Roman"/>
          <w:sz w:val="28"/>
          <w:szCs w:val="28"/>
        </w:rPr>
        <w:tab/>
      </w:r>
      <w:r w:rsidR="00C4469F" w:rsidRPr="00D50E48">
        <w:rPr>
          <w:rFonts w:ascii="Times New Roman" w:hAnsi="Times New Roman"/>
          <w:sz w:val="28"/>
          <w:szCs w:val="28"/>
        </w:rPr>
        <w:t>Although differing contentions on the merits of the ap</w:t>
      </w:r>
      <w:r w:rsidR="00BD6621">
        <w:rPr>
          <w:rFonts w:ascii="Times New Roman" w:hAnsi="Times New Roman"/>
          <w:sz w:val="28"/>
          <w:szCs w:val="28"/>
        </w:rPr>
        <w:t xml:space="preserve">plication were </w:t>
      </w:r>
      <w:proofErr w:type="gramStart"/>
      <w:r w:rsidR="00BD6621">
        <w:rPr>
          <w:rFonts w:ascii="Times New Roman" w:hAnsi="Times New Roman"/>
          <w:sz w:val="28"/>
          <w:szCs w:val="28"/>
        </w:rPr>
        <w:t>made</w:t>
      </w:r>
      <w:proofErr w:type="gramEnd"/>
      <w:r w:rsidR="00D50E48">
        <w:rPr>
          <w:rFonts w:ascii="Times New Roman" w:hAnsi="Times New Roman"/>
          <w:sz w:val="28"/>
          <w:szCs w:val="28"/>
        </w:rPr>
        <w:t xml:space="preserve"> </w:t>
      </w:r>
      <w:r w:rsidR="00D37CE8" w:rsidRPr="00D50E48">
        <w:rPr>
          <w:rFonts w:ascii="Times New Roman" w:hAnsi="Times New Roman"/>
          <w:sz w:val="28"/>
          <w:szCs w:val="28"/>
        </w:rPr>
        <w:t xml:space="preserve">I consider that </w:t>
      </w:r>
      <w:r w:rsidR="00807ADC" w:rsidRPr="00D50E48">
        <w:rPr>
          <w:rFonts w:ascii="Times New Roman" w:hAnsi="Times New Roman"/>
          <w:sz w:val="28"/>
          <w:szCs w:val="28"/>
        </w:rPr>
        <w:t xml:space="preserve">the importance of this matter impels the conclusion that there </w:t>
      </w:r>
      <w:r w:rsidR="00BD6621">
        <w:rPr>
          <w:rFonts w:ascii="Times New Roman" w:hAnsi="Times New Roman"/>
          <w:sz w:val="28"/>
          <w:szCs w:val="28"/>
        </w:rPr>
        <w:t>are</w:t>
      </w:r>
      <w:r w:rsidR="00807ADC" w:rsidRPr="00D50E48">
        <w:rPr>
          <w:rFonts w:ascii="Times New Roman" w:hAnsi="Times New Roman"/>
          <w:sz w:val="28"/>
          <w:szCs w:val="28"/>
        </w:rPr>
        <w:t xml:space="preserve"> compelling reason</w:t>
      </w:r>
      <w:r w:rsidR="00BD6621">
        <w:rPr>
          <w:rFonts w:ascii="Times New Roman" w:hAnsi="Times New Roman"/>
          <w:sz w:val="28"/>
          <w:szCs w:val="28"/>
        </w:rPr>
        <w:t xml:space="preserve">s for allowing </w:t>
      </w:r>
      <w:r w:rsidR="00D37CE8" w:rsidRPr="00D50E48">
        <w:rPr>
          <w:rFonts w:ascii="Times New Roman" w:hAnsi="Times New Roman"/>
          <w:sz w:val="28"/>
          <w:szCs w:val="28"/>
        </w:rPr>
        <w:t>leave to appeal</w:t>
      </w:r>
      <w:r w:rsidR="00BD6621">
        <w:rPr>
          <w:rFonts w:ascii="Times New Roman" w:hAnsi="Times New Roman"/>
          <w:sz w:val="28"/>
          <w:szCs w:val="28"/>
        </w:rPr>
        <w:t>.</w:t>
      </w:r>
    </w:p>
    <w:p w14:paraId="4BC00E86" w14:textId="6EDC8F52" w:rsidR="00D50E48" w:rsidRPr="00A61153" w:rsidRDefault="000A286C" w:rsidP="000A286C">
      <w:pPr>
        <w:pStyle w:val="LegalList1"/>
        <w:spacing w:line="360" w:lineRule="auto"/>
        <w:ind w:left="851" w:hanging="851"/>
        <w:rPr>
          <w:rFonts w:ascii="Times New Roman" w:hAnsi="Times New Roman"/>
          <w:sz w:val="28"/>
          <w:szCs w:val="28"/>
        </w:rPr>
      </w:pPr>
      <w:r w:rsidRPr="00A61153">
        <w:rPr>
          <w:rFonts w:ascii="Times New Roman" w:hAnsi="Times New Roman"/>
          <w:sz w:val="28"/>
          <w:szCs w:val="28"/>
        </w:rPr>
        <w:t>[17]</w:t>
      </w:r>
      <w:r w:rsidRPr="00A61153">
        <w:rPr>
          <w:rFonts w:ascii="Times New Roman" w:hAnsi="Times New Roman"/>
          <w:sz w:val="28"/>
          <w:szCs w:val="28"/>
        </w:rPr>
        <w:tab/>
      </w:r>
      <w:r w:rsidR="00D50E48">
        <w:rPr>
          <w:rFonts w:ascii="Times New Roman" w:hAnsi="Times New Roman"/>
          <w:sz w:val="28"/>
          <w:szCs w:val="28"/>
        </w:rPr>
        <w:t>I do so on the basis essentially set out in this judgment – but do not limit such leave exclusively thereto as I consider that</w:t>
      </w:r>
      <w:r w:rsidR="00D50E48" w:rsidRPr="00A61153">
        <w:rPr>
          <w:rFonts w:ascii="Times New Roman" w:hAnsi="Times New Roman"/>
          <w:sz w:val="28"/>
          <w:szCs w:val="28"/>
        </w:rPr>
        <w:t xml:space="preserve"> it will be unjust to preclude interference on appeal if it is found that the judgment and the order is obviously wrong</w:t>
      </w:r>
      <w:r w:rsidR="00D50E48">
        <w:rPr>
          <w:rFonts w:ascii="Times New Roman" w:hAnsi="Times New Roman"/>
          <w:sz w:val="28"/>
          <w:szCs w:val="28"/>
        </w:rPr>
        <w:t xml:space="preserve"> in other respects</w:t>
      </w:r>
      <w:r w:rsidR="00D50E48">
        <w:rPr>
          <w:rStyle w:val="FootnoteReference"/>
          <w:rFonts w:ascii="Times New Roman" w:hAnsi="Times New Roman"/>
          <w:sz w:val="28"/>
          <w:szCs w:val="28"/>
        </w:rPr>
        <w:footnoteReference w:id="8"/>
      </w:r>
      <w:r w:rsidR="0014215F">
        <w:rPr>
          <w:rFonts w:ascii="Times New Roman" w:hAnsi="Times New Roman"/>
          <w:sz w:val="28"/>
          <w:szCs w:val="28"/>
        </w:rPr>
        <w:t xml:space="preserve"> – </w:t>
      </w:r>
      <w:r w:rsidR="0014244D">
        <w:rPr>
          <w:rFonts w:ascii="Times New Roman" w:hAnsi="Times New Roman"/>
          <w:sz w:val="28"/>
          <w:szCs w:val="28"/>
        </w:rPr>
        <w:t>in particular, the asserted</w:t>
      </w:r>
      <w:r w:rsidR="00BD6621">
        <w:rPr>
          <w:rFonts w:ascii="Times New Roman" w:hAnsi="Times New Roman"/>
          <w:sz w:val="28"/>
          <w:szCs w:val="28"/>
        </w:rPr>
        <w:t> </w:t>
      </w:r>
      <w:r w:rsidR="0014244D">
        <w:rPr>
          <w:rFonts w:ascii="Times New Roman" w:hAnsi="Times New Roman"/>
          <w:sz w:val="28"/>
          <w:szCs w:val="28"/>
        </w:rPr>
        <w:t>grounds of appeal.</w:t>
      </w:r>
      <w:r w:rsidR="00D50E48" w:rsidRPr="00A61153">
        <w:rPr>
          <w:rFonts w:ascii="Times New Roman" w:hAnsi="Times New Roman"/>
          <w:sz w:val="28"/>
          <w:szCs w:val="28"/>
        </w:rPr>
        <w:t xml:space="preserve"> </w:t>
      </w:r>
      <w:r w:rsidR="00BD6621">
        <w:rPr>
          <w:rFonts w:ascii="Times New Roman" w:hAnsi="Times New Roman"/>
          <w:sz w:val="28"/>
          <w:szCs w:val="28"/>
        </w:rPr>
        <w:t>As for the latter</w:t>
      </w:r>
      <w:r w:rsidR="00C10283">
        <w:rPr>
          <w:rFonts w:ascii="Times New Roman" w:hAnsi="Times New Roman"/>
          <w:sz w:val="28"/>
          <w:szCs w:val="28"/>
        </w:rPr>
        <w:t xml:space="preserve"> I make it clear that the test</w:t>
      </w:r>
      <w:r w:rsidR="00BD6621">
        <w:rPr>
          <w:rFonts w:ascii="Times New Roman" w:hAnsi="Times New Roman"/>
          <w:sz w:val="28"/>
          <w:szCs w:val="28"/>
        </w:rPr>
        <w:t> –</w:t>
      </w:r>
      <w:r w:rsidR="00C10283">
        <w:rPr>
          <w:rFonts w:ascii="Times New Roman" w:hAnsi="Times New Roman"/>
          <w:sz w:val="28"/>
          <w:szCs w:val="28"/>
        </w:rPr>
        <w:t xml:space="preserve"> </w:t>
      </w:r>
      <w:r w:rsidR="00F53782">
        <w:rPr>
          <w:rFonts w:ascii="Times New Roman" w:hAnsi="Times New Roman"/>
          <w:sz w:val="28"/>
          <w:szCs w:val="28"/>
        </w:rPr>
        <w:t xml:space="preserve">dispassionately </w:t>
      </w:r>
      <w:r w:rsidR="00C10283">
        <w:rPr>
          <w:rFonts w:ascii="Times New Roman" w:hAnsi="Times New Roman"/>
          <w:sz w:val="28"/>
          <w:szCs w:val="28"/>
        </w:rPr>
        <w:t>applied</w:t>
      </w:r>
      <w:r w:rsidR="00F61339">
        <w:rPr>
          <w:rFonts w:ascii="Times New Roman" w:hAnsi="Times New Roman"/>
          <w:sz w:val="28"/>
          <w:szCs w:val="28"/>
        </w:rPr>
        <w:t xml:space="preserve"> – </w:t>
      </w:r>
      <w:r w:rsidR="00C10283">
        <w:rPr>
          <w:rFonts w:ascii="Times New Roman" w:hAnsi="Times New Roman"/>
          <w:sz w:val="28"/>
          <w:szCs w:val="28"/>
        </w:rPr>
        <w:t xml:space="preserve">is </w:t>
      </w:r>
      <w:r w:rsidR="00982099">
        <w:rPr>
          <w:rFonts w:ascii="Times New Roman" w:hAnsi="Times New Roman"/>
          <w:sz w:val="28"/>
          <w:szCs w:val="28"/>
        </w:rPr>
        <w:t>that another court may well find merit in the applicant’s arguments</w:t>
      </w:r>
      <w:r w:rsidR="0014215F">
        <w:rPr>
          <w:rFonts w:ascii="Times New Roman" w:hAnsi="Times New Roman"/>
          <w:sz w:val="28"/>
          <w:szCs w:val="28"/>
        </w:rPr>
        <w:t xml:space="preserve"> and conclude differently </w:t>
      </w:r>
      <w:r w:rsidR="00C10283">
        <w:rPr>
          <w:rFonts w:ascii="Times New Roman" w:hAnsi="Times New Roman"/>
          <w:sz w:val="28"/>
          <w:szCs w:val="28"/>
        </w:rPr>
        <w:t>than did I.</w:t>
      </w:r>
    </w:p>
    <w:p w14:paraId="21F9F78F" w14:textId="7EDD2F54" w:rsidR="001579FD" w:rsidRDefault="000A286C" w:rsidP="000A286C">
      <w:pPr>
        <w:pStyle w:val="LegalList1"/>
        <w:spacing w:line="360" w:lineRule="auto"/>
        <w:ind w:left="851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[18]</w:t>
      </w:r>
      <w:r>
        <w:rPr>
          <w:rFonts w:ascii="Times New Roman" w:hAnsi="Times New Roman"/>
          <w:sz w:val="28"/>
          <w:szCs w:val="28"/>
        </w:rPr>
        <w:tab/>
      </w:r>
      <w:r w:rsidR="001579FD">
        <w:rPr>
          <w:rFonts w:ascii="Times New Roman" w:hAnsi="Times New Roman"/>
          <w:sz w:val="28"/>
          <w:szCs w:val="28"/>
        </w:rPr>
        <w:t>In the result, the following order is made:</w:t>
      </w:r>
    </w:p>
    <w:p w14:paraId="0D9AEA5D" w14:textId="570F3E7D" w:rsidR="001579FD" w:rsidRDefault="000A286C" w:rsidP="000A286C">
      <w:pPr>
        <w:pStyle w:val="LegalList1"/>
        <w:spacing w:line="360" w:lineRule="auto"/>
        <w:ind w:left="1211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="001579FD">
        <w:rPr>
          <w:rFonts w:ascii="Times New Roman" w:hAnsi="Times New Roman"/>
          <w:sz w:val="28"/>
          <w:szCs w:val="28"/>
        </w:rPr>
        <w:t xml:space="preserve">The applicant is granted leave to appeal to the full court of this division against the whole of the judgment </w:t>
      </w:r>
      <w:r w:rsidR="00D50E48">
        <w:rPr>
          <w:rFonts w:ascii="Times New Roman" w:hAnsi="Times New Roman"/>
          <w:sz w:val="28"/>
          <w:szCs w:val="28"/>
        </w:rPr>
        <w:t xml:space="preserve">and order </w:t>
      </w:r>
      <w:r w:rsidR="001579FD">
        <w:rPr>
          <w:rFonts w:ascii="Times New Roman" w:hAnsi="Times New Roman"/>
          <w:sz w:val="28"/>
          <w:szCs w:val="28"/>
        </w:rPr>
        <w:t>of this court delivered on 19 July 2022.</w:t>
      </w:r>
    </w:p>
    <w:p w14:paraId="0B1DBB38" w14:textId="6CAD7FDD" w:rsidR="001579FD" w:rsidRPr="002A5FA4" w:rsidRDefault="000A286C" w:rsidP="000A286C">
      <w:pPr>
        <w:pStyle w:val="LegalList1"/>
        <w:spacing w:line="360" w:lineRule="auto"/>
        <w:ind w:left="1211" w:hanging="360"/>
        <w:rPr>
          <w:rFonts w:ascii="Times New Roman" w:hAnsi="Times New Roman"/>
          <w:sz w:val="28"/>
          <w:szCs w:val="28"/>
        </w:rPr>
      </w:pPr>
      <w:r w:rsidRPr="002A5FA4">
        <w:rPr>
          <w:rFonts w:ascii="Times New Roman" w:hAnsi="Times New Roman"/>
          <w:sz w:val="28"/>
          <w:szCs w:val="28"/>
        </w:rPr>
        <w:t>2.</w:t>
      </w:r>
      <w:r w:rsidRPr="002A5FA4">
        <w:rPr>
          <w:rFonts w:ascii="Times New Roman" w:hAnsi="Times New Roman"/>
          <w:sz w:val="28"/>
          <w:szCs w:val="28"/>
        </w:rPr>
        <w:tab/>
      </w:r>
      <w:r w:rsidR="001579FD" w:rsidRPr="002A5FA4">
        <w:rPr>
          <w:rFonts w:ascii="Times New Roman" w:hAnsi="Times New Roman"/>
          <w:sz w:val="28"/>
          <w:szCs w:val="28"/>
        </w:rPr>
        <w:t>The costs of this application shall be costs in the appeal.</w:t>
      </w:r>
    </w:p>
    <w:p w14:paraId="0EA4071F" w14:textId="77777777" w:rsidR="001579FD" w:rsidRDefault="001579FD" w:rsidP="001579FD">
      <w:pPr>
        <w:rPr>
          <w:sz w:val="28"/>
          <w:szCs w:val="28"/>
        </w:rPr>
      </w:pPr>
    </w:p>
    <w:p w14:paraId="45B1F772" w14:textId="77777777" w:rsidR="00876DB4" w:rsidRDefault="00876DB4" w:rsidP="00876DB4">
      <w:pPr>
        <w:pStyle w:val="LegalList1"/>
        <w:spacing w:line="360" w:lineRule="auto"/>
        <w:rPr>
          <w:rFonts w:ascii="Times New Roman" w:hAnsi="Times New Roman"/>
          <w:sz w:val="28"/>
          <w:szCs w:val="28"/>
        </w:rPr>
      </w:pPr>
    </w:p>
    <w:p w14:paraId="576E9951" w14:textId="77777777" w:rsidR="00F53782" w:rsidRDefault="00F53782" w:rsidP="00876DB4">
      <w:pPr>
        <w:pStyle w:val="LegalList1"/>
        <w:spacing w:line="360" w:lineRule="auto"/>
        <w:rPr>
          <w:rFonts w:ascii="Times New Roman" w:hAnsi="Times New Roman"/>
          <w:sz w:val="28"/>
          <w:szCs w:val="28"/>
        </w:rPr>
      </w:pPr>
    </w:p>
    <w:p w14:paraId="48FCAE83" w14:textId="77777777" w:rsidR="00876DB4" w:rsidRDefault="00876DB4" w:rsidP="00876DB4">
      <w:pPr>
        <w:pStyle w:val="LegalList1"/>
        <w:spacing w:line="240" w:lineRule="auto"/>
        <w:ind w:left="131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14:paraId="20BFBB9F" w14:textId="77777777" w:rsidR="00876DB4" w:rsidRPr="009E483B" w:rsidRDefault="00876DB4" w:rsidP="00876DB4">
      <w:pPr>
        <w:pStyle w:val="LegalList1"/>
        <w:spacing w:line="240" w:lineRule="auto"/>
        <w:ind w:left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M. </w:t>
      </w:r>
      <w:r w:rsidRPr="009E483B">
        <w:rPr>
          <w:rFonts w:ascii="Times New Roman" w:hAnsi="Times New Roman"/>
          <w:b/>
          <w:sz w:val="28"/>
          <w:szCs w:val="28"/>
        </w:rPr>
        <w:t>S. RUGUNANAN</w:t>
      </w:r>
    </w:p>
    <w:p w14:paraId="768D890B" w14:textId="77777777" w:rsidR="00876DB4" w:rsidRPr="009E483B" w:rsidRDefault="00876DB4" w:rsidP="00876DB4">
      <w:pPr>
        <w:pStyle w:val="LegalList1"/>
        <w:spacing w:line="240" w:lineRule="auto"/>
        <w:ind w:left="851"/>
        <w:rPr>
          <w:rFonts w:ascii="Times New Roman" w:hAnsi="Times New Roman"/>
          <w:b/>
          <w:sz w:val="28"/>
          <w:szCs w:val="28"/>
        </w:rPr>
      </w:pPr>
      <w:r w:rsidRPr="009E483B">
        <w:rPr>
          <w:rFonts w:ascii="Times New Roman" w:hAnsi="Times New Roman"/>
          <w:b/>
          <w:sz w:val="28"/>
          <w:szCs w:val="28"/>
        </w:rPr>
        <w:t>JUDGE OF THE HIGH COURT</w:t>
      </w:r>
    </w:p>
    <w:p w14:paraId="2ECF535F" w14:textId="77777777" w:rsidR="00876DB4" w:rsidRDefault="00876DB4" w:rsidP="00876DB4">
      <w:pPr>
        <w:pStyle w:val="LegalList1"/>
        <w:spacing w:line="240" w:lineRule="auto"/>
        <w:ind w:left="851"/>
        <w:rPr>
          <w:rFonts w:ascii="Times New Roman" w:hAnsi="Times New Roman"/>
          <w:sz w:val="28"/>
          <w:szCs w:val="28"/>
        </w:rPr>
      </w:pPr>
    </w:p>
    <w:p w14:paraId="62BE3E66" w14:textId="77777777" w:rsidR="00876DB4" w:rsidRDefault="00876DB4" w:rsidP="00876DB4">
      <w:pPr>
        <w:pStyle w:val="LegalList1"/>
        <w:spacing w:line="240" w:lineRule="auto"/>
        <w:ind w:left="851"/>
        <w:rPr>
          <w:rFonts w:ascii="Times New Roman" w:hAnsi="Times New Roman"/>
          <w:sz w:val="28"/>
          <w:szCs w:val="28"/>
        </w:rPr>
      </w:pPr>
      <w:r w:rsidRPr="009E483B">
        <w:rPr>
          <w:rFonts w:ascii="Times New Roman" w:hAnsi="Times New Roman"/>
          <w:sz w:val="28"/>
          <w:szCs w:val="28"/>
        </w:rPr>
        <w:t>APPEARANCES:</w:t>
      </w:r>
    </w:p>
    <w:p w14:paraId="376CB58F" w14:textId="77777777" w:rsidR="00876DB4" w:rsidRPr="000B3496" w:rsidRDefault="00876DB4" w:rsidP="00876DB4">
      <w:pPr>
        <w:ind w:left="851"/>
        <w:rPr>
          <w:rFonts w:ascii="Times New Roman" w:hAnsi="Times New Roman" w:cs="Times New Roman"/>
          <w:sz w:val="28"/>
          <w:szCs w:val="28"/>
        </w:rPr>
      </w:pPr>
      <w:r w:rsidRPr="000B3496">
        <w:rPr>
          <w:rFonts w:ascii="Times New Roman" w:hAnsi="Times New Roman" w:cs="Times New Roman"/>
          <w:sz w:val="28"/>
          <w:szCs w:val="28"/>
        </w:rPr>
        <w:t xml:space="preserve">For the </w:t>
      </w:r>
      <w:r>
        <w:rPr>
          <w:rFonts w:ascii="Times New Roman" w:hAnsi="Times New Roman" w:cs="Times New Roman"/>
          <w:sz w:val="28"/>
          <w:szCs w:val="28"/>
        </w:rPr>
        <w:t>Applicant</w:t>
      </w:r>
      <w:r w:rsidRPr="000B3496">
        <w:rPr>
          <w:rFonts w:ascii="Times New Roman" w:hAnsi="Times New Roman" w:cs="Times New Roman"/>
          <w:sz w:val="28"/>
          <w:szCs w:val="28"/>
        </w:rPr>
        <w:t>:</w:t>
      </w:r>
      <w:r w:rsidRPr="000B3496">
        <w:rPr>
          <w:rFonts w:ascii="Times New Roman" w:hAnsi="Times New Roman" w:cs="Times New Roman"/>
          <w:sz w:val="28"/>
          <w:szCs w:val="28"/>
        </w:rPr>
        <w:tab/>
      </w:r>
      <w:r w:rsidRPr="000B3496">
        <w:rPr>
          <w:rFonts w:ascii="Times New Roman" w:hAnsi="Times New Roman" w:cs="Times New Roman"/>
          <w:sz w:val="28"/>
          <w:szCs w:val="28"/>
        </w:rPr>
        <w:tab/>
      </w:r>
      <w:r w:rsidR="008634FF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8634FF">
        <w:rPr>
          <w:rFonts w:ascii="Times New Roman" w:hAnsi="Times New Roman" w:cs="Times New Roman"/>
          <w:sz w:val="28"/>
          <w:szCs w:val="28"/>
        </w:rPr>
        <w:t>Beyleveld</w:t>
      </w:r>
      <w:proofErr w:type="spellEnd"/>
      <w:r w:rsidR="00863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SC </w:t>
      </w:r>
    </w:p>
    <w:p w14:paraId="607DF501" w14:textId="77777777" w:rsidR="00876DB4" w:rsidRDefault="00876DB4" w:rsidP="00876DB4">
      <w:pPr>
        <w:ind w:left="4320" w:firstLine="1"/>
        <w:rPr>
          <w:rFonts w:ascii="Times New Roman" w:hAnsi="Times New Roman" w:cs="Times New Roman"/>
          <w:sz w:val="28"/>
          <w:szCs w:val="28"/>
        </w:rPr>
      </w:pPr>
      <w:r w:rsidRPr="000B3496">
        <w:rPr>
          <w:rFonts w:ascii="Times New Roman" w:hAnsi="Times New Roman" w:cs="Times New Roman"/>
          <w:sz w:val="28"/>
          <w:szCs w:val="28"/>
        </w:rPr>
        <w:t>Instructed by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B2D2132" w14:textId="77777777" w:rsidR="00876DB4" w:rsidRPr="000B3496" w:rsidRDefault="00876DB4" w:rsidP="00876DB4">
      <w:pPr>
        <w:ind w:left="4320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Wheeldon Rushmere &amp; Cole Inc. </w:t>
      </w:r>
    </w:p>
    <w:p w14:paraId="6D5F6256" w14:textId="77777777" w:rsidR="00876DB4" w:rsidRDefault="00876DB4" w:rsidP="00876DB4">
      <w:pPr>
        <w:ind w:left="851"/>
        <w:rPr>
          <w:rFonts w:ascii="Times New Roman" w:hAnsi="Times New Roman" w:cs="Times New Roman"/>
          <w:sz w:val="28"/>
          <w:szCs w:val="28"/>
        </w:rPr>
      </w:pPr>
      <w:r w:rsidRPr="000B3496">
        <w:rPr>
          <w:rFonts w:ascii="Times New Roman" w:hAnsi="Times New Roman" w:cs="Times New Roman"/>
          <w:sz w:val="28"/>
          <w:szCs w:val="28"/>
        </w:rPr>
        <w:tab/>
      </w:r>
      <w:r w:rsidRPr="000B3496">
        <w:rPr>
          <w:rFonts w:ascii="Times New Roman" w:hAnsi="Times New Roman" w:cs="Times New Roman"/>
          <w:sz w:val="28"/>
          <w:szCs w:val="28"/>
        </w:rPr>
        <w:tab/>
      </w:r>
      <w:r w:rsidRPr="000B3496">
        <w:rPr>
          <w:rFonts w:ascii="Times New Roman" w:hAnsi="Times New Roman" w:cs="Times New Roman"/>
          <w:sz w:val="28"/>
          <w:szCs w:val="28"/>
        </w:rPr>
        <w:tab/>
      </w:r>
      <w:r w:rsidRPr="000B3496">
        <w:rPr>
          <w:rFonts w:ascii="Times New Roman" w:hAnsi="Times New Roman" w:cs="Times New Roman"/>
          <w:sz w:val="28"/>
          <w:szCs w:val="28"/>
        </w:rPr>
        <w:tab/>
      </w:r>
      <w:r w:rsidRPr="000B34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119 High Street</w:t>
      </w:r>
    </w:p>
    <w:p w14:paraId="7F4C8203" w14:textId="77777777" w:rsidR="00876DB4" w:rsidRDefault="00876DB4" w:rsidP="00876DB4">
      <w:pPr>
        <w:ind w:left="3731" w:firstLine="589"/>
        <w:rPr>
          <w:rFonts w:ascii="Times New Roman" w:hAnsi="Times New Roman" w:cs="Times New Roman"/>
          <w:sz w:val="28"/>
          <w:szCs w:val="28"/>
        </w:rPr>
      </w:pPr>
      <w:proofErr w:type="spellStart"/>
      <w:r w:rsidRPr="000B3496">
        <w:rPr>
          <w:rFonts w:ascii="Times New Roman" w:hAnsi="Times New Roman" w:cs="Times New Roman"/>
          <w:sz w:val="28"/>
          <w:szCs w:val="28"/>
        </w:rPr>
        <w:t>Makhanda</w:t>
      </w:r>
      <w:proofErr w:type="spellEnd"/>
    </w:p>
    <w:p w14:paraId="3524A833" w14:textId="77777777" w:rsidR="00876DB4" w:rsidRDefault="00876DB4" w:rsidP="00876DB4">
      <w:pPr>
        <w:ind w:left="3731" w:firstLine="5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Tel: 046-622 7005</w:t>
      </w:r>
    </w:p>
    <w:p w14:paraId="5A5570C9" w14:textId="77777777" w:rsidR="00876DB4" w:rsidRPr="000B3496" w:rsidRDefault="00876DB4" w:rsidP="00876DB4">
      <w:pPr>
        <w:ind w:left="3731" w:firstLine="5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(Ref: B. Brody)</w:t>
      </w:r>
    </w:p>
    <w:p w14:paraId="1AD4BB12" w14:textId="77777777" w:rsidR="00876DB4" w:rsidRPr="000B3496" w:rsidRDefault="00876DB4" w:rsidP="00876DB4">
      <w:pPr>
        <w:ind w:left="851"/>
        <w:rPr>
          <w:rFonts w:ascii="Times New Roman" w:hAnsi="Times New Roman" w:cs="Times New Roman"/>
          <w:sz w:val="28"/>
          <w:szCs w:val="28"/>
        </w:rPr>
      </w:pPr>
    </w:p>
    <w:p w14:paraId="6E19522A" w14:textId="77777777" w:rsidR="00876DB4" w:rsidRPr="000B3496" w:rsidRDefault="00876DB4" w:rsidP="00876DB4">
      <w:pPr>
        <w:ind w:left="851"/>
        <w:rPr>
          <w:rFonts w:ascii="Times New Roman" w:hAnsi="Times New Roman" w:cs="Times New Roman"/>
          <w:sz w:val="28"/>
          <w:szCs w:val="28"/>
        </w:rPr>
      </w:pPr>
      <w:r w:rsidRPr="000B3496">
        <w:rPr>
          <w:rFonts w:ascii="Times New Roman" w:hAnsi="Times New Roman" w:cs="Times New Roman"/>
          <w:sz w:val="28"/>
          <w:szCs w:val="28"/>
        </w:rPr>
        <w:t xml:space="preserve">For the </w:t>
      </w:r>
      <w:r>
        <w:rPr>
          <w:rFonts w:ascii="Times New Roman" w:hAnsi="Times New Roman" w:cs="Times New Roman"/>
          <w:sz w:val="28"/>
          <w:szCs w:val="28"/>
        </w:rPr>
        <w:t>Respondent</w:t>
      </w:r>
      <w:r w:rsidRPr="000B3496">
        <w:rPr>
          <w:rFonts w:ascii="Times New Roman" w:hAnsi="Times New Roman" w:cs="Times New Roman"/>
          <w:sz w:val="28"/>
          <w:szCs w:val="28"/>
        </w:rPr>
        <w:t>:</w:t>
      </w:r>
      <w:r w:rsidRPr="000B34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634FF">
        <w:rPr>
          <w:rFonts w:ascii="Times New Roman" w:hAnsi="Times New Roman" w:cs="Times New Roman"/>
          <w:sz w:val="28"/>
          <w:szCs w:val="28"/>
        </w:rPr>
        <w:t xml:space="preserve">D. De La </w:t>
      </w:r>
      <w:proofErr w:type="spellStart"/>
      <w:r w:rsidR="008634FF">
        <w:rPr>
          <w:rFonts w:ascii="Times New Roman" w:hAnsi="Times New Roman" w:cs="Times New Roman"/>
          <w:sz w:val="28"/>
          <w:szCs w:val="28"/>
        </w:rPr>
        <w:t>Harpe</w:t>
      </w:r>
      <w:proofErr w:type="spellEnd"/>
      <w:r w:rsidR="008634FF">
        <w:rPr>
          <w:rFonts w:ascii="Times New Roman" w:hAnsi="Times New Roman" w:cs="Times New Roman"/>
          <w:sz w:val="28"/>
          <w:szCs w:val="28"/>
        </w:rPr>
        <w:t xml:space="preserve"> SC</w:t>
      </w:r>
    </w:p>
    <w:p w14:paraId="5C72110A" w14:textId="77777777" w:rsidR="00876DB4" w:rsidRDefault="00876DB4" w:rsidP="00876DB4">
      <w:pPr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Instructed by:</w:t>
      </w:r>
    </w:p>
    <w:p w14:paraId="1F04892C" w14:textId="77777777" w:rsidR="00876DB4" w:rsidRDefault="00876DB4" w:rsidP="00876DB4">
      <w:pPr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Cloete &amp; Company</w:t>
      </w:r>
    </w:p>
    <w:p w14:paraId="0C0F1CFA" w14:textId="77777777" w:rsidR="00876DB4" w:rsidRDefault="00876DB4" w:rsidP="00876DB4">
      <w:pPr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112A High Street</w:t>
      </w:r>
    </w:p>
    <w:p w14:paraId="3AD75AF1" w14:textId="77777777" w:rsidR="00876DB4" w:rsidRDefault="00876DB4" w:rsidP="00876DB4">
      <w:pPr>
        <w:ind w:left="3731" w:firstLine="589"/>
        <w:rPr>
          <w:rFonts w:ascii="Times New Roman" w:hAnsi="Times New Roman" w:cs="Times New Roman"/>
          <w:sz w:val="28"/>
          <w:szCs w:val="28"/>
        </w:rPr>
      </w:pPr>
      <w:proofErr w:type="spellStart"/>
      <w:r w:rsidRPr="000B3496">
        <w:rPr>
          <w:rFonts w:ascii="Times New Roman" w:hAnsi="Times New Roman" w:cs="Times New Roman"/>
          <w:sz w:val="28"/>
          <w:szCs w:val="28"/>
        </w:rPr>
        <w:t>Makhanda</w:t>
      </w:r>
      <w:proofErr w:type="spellEnd"/>
    </w:p>
    <w:p w14:paraId="72C8AB43" w14:textId="77777777" w:rsidR="00876DB4" w:rsidRDefault="00876DB4" w:rsidP="00876DB4">
      <w:pPr>
        <w:ind w:left="3731" w:firstLine="5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Tel: 046-622 2563</w:t>
      </w:r>
    </w:p>
    <w:p w14:paraId="175F0FC5" w14:textId="77777777" w:rsidR="00876DB4" w:rsidRPr="000B3496" w:rsidRDefault="00876DB4" w:rsidP="00876DB4">
      <w:pPr>
        <w:ind w:left="3731" w:firstLine="5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(Ref: P. Cloete)</w:t>
      </w:r>
    </w:p>
    <w:p w14:paraId="34ECB7BB" w14:textId="77777777" w:rsidR="00876DB4" w:rsidRDefault="00876DB4" w:rsidP="00876DB4">
      <w:r>
        <w:tab/>
      </w:r>
    </w:p>
    <w:p w14:paraId="78515F7D" w14:textId="77777777" w:rsidR="00876DB4" w:rsidRDefault="00876DB4" w:rsidP="00876DB4">
      <w:pPr>
        <w:pStyle w:val="LegalList1"/>
        <w:spacing w:line="276" w:lineRule="auto"/>
        <w:ind w:firstLine="720"/>
        <w:rPr>
          <w:rFonts w:ascii="Times New Roman" w:hAnsi="Times New Roman"/>
          <w:sz w:val="28"/>
          <w:szCs w:val="28"/>
        </w:rPr>
      </w:pPr>
    </w:p>
    <w:p w14:paraId="64C94774" w14:textId="77777777" w:rsidR="00876DB4" w:rsidRDefault="00876DB4" w:rsidP="00876DB4">
      <w:pPr>
        <w:pStyle w:val="LegalList1"/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Date heard: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634FF">
        <w:rPr>
          <w:rFonts w:ascii="Times New Roman" w:hAnsi="Times New Roman"/>
          <w:sz w:val="28"/>
          <w:szCs w:val="28"/>
        </w:rPr>
        <w:t>31 August 2022</w:t>
      </w:r>
    </w:p>
    <w:p w14:paraId="18C70F86" w14:textId="77777777" w:rsidR="00876DB4" w:rsidRDefault="00876DB4" w:rsidP="00876DB4">
      <w:pPr>
        <w:pStyle w:val="LegalList1"/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Date Delivered: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634FF">
        <w:rPr>
          <w:rFonts w:ascii="Times New Roman" w:hAnsi="Times New Roman"/>
          <w:sz w:val="28"/>
          <w:szCs w:val="28"/>
        </w:rPr>
        <w:t xml:space="preserve">29 November </w:t>
      </w:r>
      <w:r>
        <w:rPr>
          <w:rFonts w:ascii="Times New Roman" w:hAnsi="Times New Roman"/>
          <w:sz w:val="28"/>
          <w:szCs w:val="28"/>
        </w:rPr>
        <w:t>2022</w:t>
      </w:r>
    </w:p>
    <w:p w14:paraId="27AB4E1D" w14:textId="77777777" w:rsidR="00876DB4" w:rsidRPr="002C2A24" w:rsidRDefault="00876DB4" w:rsidP="00876DB4">
      <w:pPr>
        <w:rPr>
          <w:sz w:val="28"/>
          <w:szCs w:val="28"/>
        </w:rPr>
      </w:pPr>
    </w:p>
    <w:p w14:paraId="71E07E7B" w14:textId="77777777" w:rsidR="00876DB4" w:rsidRPr="00AD327B" w:rsidRDefault="00876DB4" w:rsidP="00876DB4">
      <w:pPr>
        <w:rPr>
          <w:sz w:val="28"/>
          <w:szCs w:val="28"/>
        </w:rPr>
      </w:pPr>
    </w:p>
    <w:p w14:paraId="4C612D9E" w14:textId="77777777" w:rsidR="00876DB4" w:rsidRPr="003328A3" w:rsidRDefault="00876DB4" w:rsidP="00522840">
      <w:pPr>
        <w:rPr>
          <w:sz w:val="28"/>
          <w:szCs w:val="28"/>
        </w:rPr>
      </w:pPr>
    </w:p>
    <w:sectPr w:rsidR="00876DB4" w:rsidRPr="003328A3" w:rsidSect="00A572D4">
      <w:head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A3F3D" w14:textId="77777777" w:rsidR="00490575" w:rsidRDefault="00490575" w:rsidP="00354A12">
      <w:pPr>
        <w:spacing w:line="240" w:lineRule="auto"/>
      </w:pPr>
      <w:r>
        <w:separator/>
      </w:r>
    </w:p>
  </w:endnote>
  <w:endnote w:type="continuationSeparator" w:id="0">
    <w:p w14:paraId="57145262" w14:textId="77777777" w:rsidR="00490575" w:rsidRDefault="00490575" w:rsidP="00354A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451B5" w14:textId="77777777" w:rsidR="00490575" w:rsidRDefault="00490575" w:rsidP="00354A12">
      <w:pPr>
        <w:spacing w:line="240" w:lineRule="auto"/>
      </w:pPr>
      <w:r>
        <w:separator/>
      </w:r>
    </w:p>
  </w:footnote>
  <w:footnote w:type="continuationSeparator" w:id="0">
    <w:p w14:paraId="4E0E3AA1" w14:textId="77777777" w:rsidR="00490575" w:rsidRDefault="00490575" w:rsidP="00354A12">
      <w:pPr>
        <w:spacing w:line="240" w:lineRule="auto"/>
      </w:pPr>
      <w:r>
        <w:continuationSeparator/>
      </w:r>
    </w:p>
  </w:footnote>
  <w:footnote w:id="1">
    <w:p w14:paraId="78BBEECE" w14:textId="77777777" w:rsidR="00273B96" w:rsidRPr="00DF0C27" w:rsidRDefault="00273B96" w:rsidP="00DF0C27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DF0C27">
        <w:rPr>
          <w:rFonts w:ascii="Times New Roman" w:hAnsi="Times New Roman" w:cs="Times New Roman"/>
          <w:i/>
        </w:rPr>
        <w:t>The Minister of Justice and Constitutional Development and Others v The Southern Africa Litigation Centre</w:t>
      </w:r>
      <w:r w:rsidRPr="00DF0C27">
        <w:rPr>
          <w:rFonts w:ascii="Times New Roman" w:hAnsi="Times New Roman" w:cs="Times New Roman"/>
        </w:rPr>
        <w:t xml:space="preserve"> [2015] ZAGPPHC 675 para 5.</w:t>
      </w:r>
    </w:p>
  </w:footnote>
  <w:footnote w:id="2">
    <w:p w14:paraId="5CC5520A" w14:textId="77777777" w:rsidR="004E78FB" w:rsidRPr="00F53782" w:rsidRDefault="004E78FB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F53782">
        <w:rPr>
          <w:rFonts w:ascii="Times New Roman" w:hAnsi="Times New Roman" w:cs="Times New Roman"/>
          <w:i/>
        </w:rPr>
        <w:t>Nova Property Holdings Limited v Cobbett &amp; Others</w:t>
      </w:r>
      <w:r w:rsidRPr="00F53782">
        <w:rPr>
          <w:rFonts w:ascii="Times New Roman" w:hAnsi="Times New Roman" w:cs="Times New Roman"/>
        </w:rPr>
        <w:t xml:space="preserve"> [2016] ZASCA 63: 2016 (4) SA 317 (SCA) para 8.</w:t>
      </w:r>
    </w:p>
  </w:footnote>
  <w:footnote w:id="3">
    <w:p w14:paraId="18E9378E" w14:textId="77777777" w:rsidR="00054F16" w:rsidRPr="00F53782" w:rsidRDefault="00054F16" w:rsidP="00054F16">
      <w:pPr>
        <w:pStyle w:val="FootnoteText"/>
        <w:rPr>
          <w:rFonts w:ascii="Times New Roman" w:hAnsi="Times New Roman" w:cs="Times New Roman"/>
        </w:rPr>
      </w:pPr>
      <w:r w:rsidRPr="00F53782">
        <w:rPr>
          <w:rStyle w:val="FootnoteReference"/>
          <w:rFonts w:ascii="Times New Roman" w:hAnsi="Times New Roman" w:cs="Times New Roman"/>
        </w:rPr>
        <w:footnoteRef/>
      </w:r>
      <w:r w:rsidRPr="00F53782">
        <w:rPr>
          <w:rFonts w:ascii="Times New Roman" w:hAnsi="Times New Roman" w:cs="Times New Roman"/>
        </w:rPr>
        <w:t xml:space="preserve"> [2020] </w:t>
      </w:r>
      <w:r w:rsidR="005147C8" w:rsidRPr="00F53782">
        <w:rPr>
          <w:rFonts w:ascii="Times New Roman" w:hAnsi="Times New Roman" w:cs="Times New Roman"/>
        </w:rPr>
        <w:t>ZASCA 17; 2020 (5) SA 35 (SCA) para 2</w:t>
      </w:r>
      <w:r w:rsidR="004E78FB" w:rsidRPr="00F53782">
        <w:rPr>
          <w:rFonts w:ascii="Times New Roman" w:hAnsi="Times New Roman" w:cs="Times New Roman"/>
        </w:rPr>
        <w:t>.</w:t>
      </w:r>
    </w:p>
  </w:footnote>
  <w:footnote w:id="4">
    <w:p w14:paraId="460507F8" w14:textId="77777777" w:rsidR="00B17689" w:rsidRPr="00F53782" w:rsidRDefault="00B17689">
      <w:pPr>
        <w:pStyle w:val="FootnoteText"/>
        <w:rPr>
          <w:rFonts w:ascii="Times New Roman" w:hAnsi="Times New Roman" w:cs="Times New Roman"/>
        </w:rPr>
      </w:pPr>
      <w:r w:rsidRPr="00F53782">
        <w:rPr>
          <w:rStyle w:val="FootnoteReference"/>
          <w:rFonts w:ascii="Times New Roman" w:hAnsi="Times New Roman" w:cs="Times New Roman"/>
        </w:rPr>
        <w:footnoteRef/>
      </w:r>
      <w:r w:rsidRPr="00F53782">
        <w:rPr>
          <w:rFonts w:ascii="Times New Roman" w:hAnsi="Times New Roman" w:cs="Times New Roman"/>
        </w:rPr>
        <w:t xml:space="preserve"> </w:t>
      </w:r>
      <w:proofErr w:type="spellStart"/>
      <w:r w:rsidRPr="00F53782">
        <w:rPr>
          <w:rFonts w:ascii="Times New Roman" w:hAnsi="Times New Roman" w:cs="Times New Roman"/>
          <w:i/>
          <w:iCs/>
        </w:rPr>
        <w:t>Caratco</w:t>
      </w:r>
      <w:proofErr w:type="spellEnd"/>
      <w:r w:rsidR="007A5C96">
        <w:rPr>
          <w:rFonts w:ascii="Times New Roman" w:hAnsi="Times New Roman" w:cs="Times New Roman"/>
          <w:i/>
          <w:iCs/>
        </w:rPr>
        <w:t xml:space="preserve"> (Pty) Ltd v Independent Advisory (Pty) Ltd</w:t>
      </w:r>
      <w:r w:rsidR="004623FD">
        <w:rPr>
          <w:rFonts w:ascii="Times New Roman" w:hAnsi="Times New Roman" w:cs="Times New Roman"/>
          <w:i/>
          <w:iCs/>
        </w:rPr>
        <w:t xml:space="preserve"> </w:t>
      </w:r>
      <w:r w:rsidR="004623FD" w:rsidRPr="00F53782">
        <w:rPr>
          <w:rFonts w:ascii="Times New Roman" w:hAnsi="Times New Roman" w:cs="Times New Roman"/>
        </w:rPr>
        <w:t>[2020] ZASCA 17; 2020 (5) SA 35 (SCA)</w:t>
      </w:r>
      <w:r w:rsidR="004667BA" w:rsidRPr="00F53782">
        <w:rPr>
          <w:rFonts w:ascii="Times New Roman" w:hAnsi="Times New Roman" w:cs="Times New Roman"/>
          <w:i/>
          <w:iCs/>
        </w:rPr>
        <w:t xml:space="preserve"> </w:t>
      </w:r>
      <w:r w:rsidRPr="00F53782">
        <w:rPr>
          <w:rFonts w:ascii="Times New Roman" w:hAnsi="Times New Roman" w:cs="Times New Roman"/>
        </w:rPr>
        <w:t>para 2</w:t>
      </w:r>
      <w:r w:rsidR="004667BA" w:rsidRPr="00F53782">
        <w:rPr>
          <w:rFonts w:ascii="Times New Roman" w:hAnsi="Times New Roman" w:cs="Times New Roman"/>
        </w:rPr>
        <w:t xml:space="preserve">; </w:t>
      </w:r>
      <w:proofErr w:type="gramStart"/>
      <w:r w:rsidR="004667BA" w:rsidRPr="00F53782">
        <w:rPr>
          <w:rFonts w:ascii="Times New Roman" w:hAnsi="Times New Roman" w:cs="Times New Roman"/>
        </w:rPr>
        <w:t>also</w:t>
      </w:r>
      <w:proofErr w:type="gramEnd"/>
      <w:r w:rsidR="004667BA" w:rsidRPr="00F53782">
        <w:rPr>
          <w:rFonts w:ascii="Times New Roman" w:hAnsi="Times New Roman" w:cs="Times New Roman"/>
        </w:rPr>
        <w:t xml:space="preserve"> </w:t>
      </w:r>
      <w:proofErr w:type="spellStart"/>
      <w:r w:rsidR="00DA71B8" w:rsidRPr="00DA71B8">
        <w:rPr>
          <w:rFonts w:ascii="Times New Roman" w:hAnsi="Times New Roman" w:cs="Times New Roman"/>
          <w:i/>
        </w:rPr>
        <w:t>Ramakatsa</w:t>
      </w:r>
      <w:proofErr w:type="spellEnd"/>
      <w:r w:rsidR="00DA71B8" w:rsidRPr="00DA71B8">
        <w:rPr>
          <w:rFonts w:ascii="Times New Roman" w:hAnsi="Times New Roman" w:cs="Times New Roman"/>
          <w:i/>
        </w:rPr>
        <w:t xml:space="preserve"> and Others v African National Congress and Another</w:t>
      </w:r>
      <w:r w:rsidR="00DA71B8" w:rsidRPr="00F53782">
        <w:rPr>
          <w:rFonts w:ascii="Times New Roman" w:hAnsi="Times New Roman" w:cs="Times New Roman"/>
        </w:rPr>
        <w:t xml:space="preserve"> [2021] ZASCA 31 para 10.</w:t>
      </w:r>
    </w:p>
  </w:footnote>
  <w:footnote w:id="5">
    <w:p w14:paraId="4A0F9693" w14:textId="77777777" w:rsidR="002E7DB4" w:rsidRPr="00F53782" w:rsidRDefault="002E7DB4">
      <w:pPr>
        <w:pStyle w:val="FootnoteText"/>
        <w:rPr>
          <w:rFonts w:ascii="Times New Roman" w:hAnsi="Times New Roman" w:cs="Times New Roman"/>
        </w:rPr>
      </w:pPr>
      <w:r w:rsidRPr="00F53782">
        <w:rPr>
          <w:rStyle w:val="FootnoteReference"/>
          <w:rFonts w:ascii="Times New Roman" w:hAnsi="Times New Roman" w:cs="Times New Roman"/>
        </w:rPr>
        <w:footnoteRef/>
      </w:r>
      <w:r w:rsidRPr="00F53782">
        <w:rPr>
          <w:rFonts w:ascii="Times New Roman" w:hAnsi="Times New Roman" w:cs="Times New Roman"/>
        </w:rPr>
        <w:t xml:space="preserve"> </w:t>
      </w:r>
      <w:proofErr w:type="spellStart"/>
      <w:r w:rsidR="008A201A" w:rsidRPr="00DA71B8">
        <w:rPr>
          <w:rFonts w:ascii="Times New Roman" w:hAnsi="Times New Roman" w:cs="Times New Roman"/>
          <w:i/>
        </w:rPr>
        <w:t>Ramakatsa</w:t>
      </w:r>
      <w:proofErr w:type="spellEnd"/>
      <w:r w:rsidR="008A201A" w:rsidRPr="00DA71B8">
        <w:rPr>
          <w:rFonts w:ascii="Times New Roman" w:hAnsi="Times New Roman" w:cs="Times New Roman"/>
          <w:i/>
        </w:rPr>
        <w:t xml:space="preserve"> and Others v African National Congress and Another</w:t>
      </w:r>
      <w:r w:rsidR="008A201A" w:rsidRPr="009A4524">
        <w:rPr>
          <w:rFonts w:ascii="Times New Roman" w:hAnsi="Times New Roman" w:cs="Times New Roman"/>
          <w:i/>
        </w:rPr>
        <w:t xml:space="preserve"> </w:t>
      </w:r>
      <w:r w:rsidR="009A4524" w:rsidRPr="009A4524">
        <w:rPr>
          <w:rFonts w:ascii="Times New Roman" w:hAnsi="Times New Roman" w:cs="Times New Roman"/>
          <w:i/>
        </w:rPr>
        <w:t xml:space="preserve">supra </w:t>
      </w:r>
      <w:r w:rsidR="008A201A" w:rsidRPr="00F53782">
        <w:rPr>
          <w:rFonts w:ascii="Times New Roman" w:hAnsi="Times New Roman" w:cs="Times New Roman"/>
        </w:rPr>
        <w:t>para 10.</w:t>
      </w:r>
    </w:p>
  </w:footnote>
  <w:footnote w:id="6">
    <w:p w14:paraId="53106B4E" w14:textId="77777777" w:rsidR="002E723C" w:rsidRPr="00F53782" w:rsidRDefault="002E723C" w:rsidP="00E41F0F">
      <w:pPr>
        <w:pStyle w:val="FootnoteText"/>
        <w:jc w:val="both"/>
        <w:rPr>
          <w:rFonts w:ascii="Times New Roman" w:hAnsi="Times New Roman" w:cs="Times New Roman"/>
        </w:rPr>
      </w:pPr>
      <w:r w:rsidRPr="00F53782">
        <w:rPr>
          <w:rStyle w:val="FootnoteReference"/>
          <w:rFonts w:ascii="Times New Roman" w:hAnsi="Times New Roman" w:cs="Times New Roman"/>
        </w:rPr>
        <w:footnoteRef/>
      </w:r>
      <w:r w:rsidRPr="00F53782">
        <w:rPr>
          <w:rFonts w:ascii="Times New Roman" w:hAnsi="Times New Roman" w:cs="Times New Roman"/>
        </w:rPr>
        <w:t xml:space="preserve"> Per Smith J in </w:t>
      </w:r>
      <w:r w:rsidRPr="00F53782">
        <w:rPr>
          <w:rFonts w:ascii="Times New Roman" w:hAnsi="Times New Roman" w:cs="Times New Roman"/>
          <w:i/>
        </w:rPr>
        <w:t xml:space="preserve">Valley of the Kings </w:t>
      </w:r>
      <w:proofErr w:type="spellStart"/>
      <w:r w:rsidRPr="00F53782">
        <w:rPr>
          <w:rFonts w:ascii="Times New Roman" w:hAnsi="Times New Roman" w:cs="Times New Roman"/>
          <w:i/>
        </w:rPr>
        <w:t>Thaba</w:t>
      </w:r>
      <w:proofErr w:type="spellEnd"/>
      <w:r w:rsidRPr="00F53782">
        <w:rPr>
          <w:rFonts w:ascii="Times New Roman" w:hAnsi="Times New Roman" w:cs="Times New Roman"/>
          <w:i/>
        </w:rPr>
        <w:t xml:space="preserve"> </w:t>
      </w:r>
      <w:proofErr w:type="spellStart"/>
      <w:r w:rsidRPr="00F53782">
        <w:rPr>
          <w:rFonts w:ascii="Times New Roman" w:hAnsi="Times New Roman" w:cs="Times New Roman"/>
          <w:i/>
        </w:rPr>
        <w:t>Motswere</w:t>
      </w:r>
      <w:proofErr w:type="spellEnd"/>
      <w:r w:rsidRPr="00F53782">
        <w:rPr>
          <w:rFonts w:ascii="Times New Roman" w:hAnsi="Times New Roman" w:cs="Times New Roman"/>
          <w:i/>
        </w:rPr>
        <w:t xml:space="preserve"> (Pty) Ltd and Another v Al </w:t>
      </w:r>
      <w:proofErr w:type="spellStart"/>
      <w:r w:rsidRPr="00F53782">
        <w:rPr>
          <w:rFonts w:ascii="Times New Roman" w:hAnsi="Times New Roman" w:cs="Times New Roman"/>
          <w:i/>
        </w:rPr>
        <w:t>Mayya</w:t>
      </w:r>
      <w:proofErr w:type="spellEnd"/>
      <w:r w:rsidRPr="00F53782">
        <w:rPr>
          <w:rFonts w:ascii="Times New Roman" w:hAnsi="Times New Roman" w:cs="Times New Roman"/>
          <w:i/>
        </w:rPr>
        <w:t xml:space="preserve"> International </w:t>
      </w:r>
      <w:r w:rsidRPr="00F53782">
        <w:rPr>
          <w:rFonts w:ascii="Times New Roman" w:hAnsi="Times New Roman" w:cs="Times New Roman"/>
        </w:rPr>
        <w:t xml:space="preserve">[2016] </w:t>
      </w:r>
      <w:r w:rsidR="009A4524">
        <w:rPr>
          <w:rFonts w:ascii="Times New Roman" w:hAnsi="Times New Roman" w:cs="Times New Roman"/>
        </w:rPr>
        <w:t>ZAECGHC</w:t>
      </w:r>
      <w:r w:rsidR="00E41F0F">
        <w:rPr>
          <w:rFonts w:ascii="Times New Roman" w:hAnsi="Times New Roman" w:cs="Times New Roman"/>
        </w:rPr>
        <w:t xml:space="preserve"> 137 para 4. This test was cited with approval by </w:t>
      </w:r>
      <w:proofErr w:type="spellStart"/>
      <w:r w:rsidR="00E41F0F">
        <w:rPr>
          <w:rFonts w:ascii="Times New Roman" w:hAnsi="Times New Roman" w:cs="Times New Roman"/>
        </w:rPr>
        <w:t>Mbenenge</w:t>
      </w:r>
      <w:proofErr w:type="spellEnd"/>
      <w:r w:rsidR="00E41F0F">
        <w:rPr>
          <w:rFonts w:ascii="Times New Roman" w:hAnsi="Times New Roman" w:cs="Times New Roman"/>
        </w:rPr>
        <w:t xml:space="preserve"> JP in </w:t>
      </w:r>
      <w:r w:rsidR="00E41F0F" w:rsidRPr="00E41F0F">
        <w:rPr>
          <w:rFonts w:ascii="Times New Roman" w:hAnsi="Times New Roman" w:cs="Times New Roman"/>
          <w:i/>
        </w:rPr>
        <w:t xml:space="preserve">Minister of Police v Abongile Zamani </w:t>
      </w:r>
      <w:r w:rsidR="00E41F0F">
        <w:rPr>
          <w:rFonts w:ascii="Times New Roman" w:hAnsi="Times New Roman" w:cs="Times New Roman"/>
        </w:rPr>
        <w:t>[2021] ZAECBHC 1 para 10.</w:t>
      </w:r>
    </w:p>
  </w:footnote>
  <w:footnote w:id="7">
    <w:p w14:paraId="37F16A60" w14:textId="77777777" w:rsidR="002418C9" w:rsidRPr="00F53782" w:rsidRDefault="002418C9" w:rsidP="00E41F0F">
      <w:pPr>
        <w:pStyle w:val="FootnoteText"/>
        <w:jc w:val="both"/>
        <w:rPr>
          <w:rFonts w:ascii="Times New Roman" w:hAnsi="Times New Roman" w:cs="Times New Roman"/>
        </w:rPr>
      </w:pPr>
      <w:r w:rsidRPr="00F53782">
        <w:rPr>
          <w:rStyle w:val="FootnoteReference"/>
          <w:rFonts w:ascii="Times New Roman" w:hAnsi="Times New Roman" w:cs="Times New Roman"/>
        </w:rPr>
        <w:footnoteRef/>
      </w:r>
      <w:r w:rsidRPr="00F53782">
        <w:rPr>
          <w:rFonts w:ascii="Times New Roman" w:hAnsi="Times New Roman" w:cs="Times New Roman"/>
        </w:rPr>
        <w:t xml:space="preserve"> </w:t>
      </w:r>
      <w:proofErr w:type="spellStart"/>
      <w:r w:rsidRPr="00F53782">
        <w:rPr>
          <w:rFonts w:ascii="Times New Roman" w:hAnsi="Times New Roman" w:cs="Times New Roman"/>
          <w:i/>
        </w:rPr>
        <w:t>Ramakats</w:t>
      </w:r>
      <w:r w:rsidR="00D60ABC" w:rsidRPr="00F53782">
        <w:rPr>
          <w:rFonts w:ascii="Times New Roman" w:hAnsi="Times New Roman" w:cs="Times New Roman"/>
          <w:i/>
        </w:rPr>
        <w:t>a</w:t>
      </w:r>
      <w:proofErr w:type="spellEnd"/>
      <w:r w:rsidR="00D60ABC" w:rsidRPr="00F53782">
        <w:rPr>
          <w:rFonts w:ascii="Times New Roman" w:hAnsi="Times New Roman" w:cs="Times New Roman"/>
          <w:i/>
        </w:rPr>
        <w:t xml:space="preserve"> and Others v African National Congress</w:t>
      </w:r>
      <w:r w:rsidR="00C643D2" w:rsidRPr="00C643D2">
        <w:rPr>
          <w:rFonts w:ascii="Times New Roman" w:hAnsi="Times New Roman" w:cs="Times New Roman"/>
          <w:i/>
        </w:rPr>
        <w:t xml:space="preserve"> </w:t>
      </w:r>
      <w:r w:rsidR="00C643D2" w:rsidRPr="00DA71B8">
        <w:rPr>
          <w:rFonts w:ascii="Times New Roman" w:hAnsi="Times New Roman" w:cs="Times New Roman"/>
          <w:i/>
        </w:rPr>
        <w:t>and Another</w:t>
      </w:r>
      <w:r w:rsidR="00D60ABC" w:rsidRPr="00F53782">
        <w:rPr>
          <w:rFonts w:ascii="Times New Roman" w:hAnsi="Times New Roman" w:cs="Times New Roman"/>
          <w:i/>
        </w:rPr>
        <w:t xml:space="preserve"> </w:t>
      </w:r>
      <w:r w:rsidR="008A201A" w:rsidRPr="00F53782">
        <w:rPr>
          <w:rFonts w:ascii="Times New Roman" w:hAnsi="Times New Roman" w:cs="Times New Roman"/>
          <w:i/>
        </w:rPr>
        <w:t>supra</w:t>
      </w:r>
      <w:r w:rsidR="008A201A" w:rsidRPr="00F53782">
        <w:rPr>
          <w:rFonts w:ascii="Times New Roman" w:hAnsi="Times New Roman" w:cs="Times New Roman"/>
        </w:rPr>
        <w:t xml:space="preserve"> </w:t>
      </w:r>
      <w:r w:rsidR="00D60ABC" w:rsidRPr="00F53782">
        <w:rPr>
          <w:rFonts w:ascii="Times New Roman" w:hAnsi="Times New Roman" w:cs="Times New Roman"/>
        </w:rPr>
        <w:t>para 10.</w:t>
      </w:r>
    </w:p>
  </w:footnote>
  <w:footnote w:id="8">
    <w:p w14:paraId="438AB2F3" w14:textId="77777777" w:rsidR="00D50E48" w:rsidRDefault="00D50E48" w:rsidP="00D50E48">
      <w:pPr>
        <w:pStyle w:val="FootnoteText"/>
        <w:jc w:val="both"/>
        <w:rPr>
          <w:rFonts w:ascii="Times New Roman" w:hAnsi="Times New Roman" w:cs="Times New Roman"/>
          <w:lang w:val="en-GB"/>
        </w:rPr>
      </w:pPr>
      <w:r w:rsidRPr="00F53782">
        <w:rPr>
          <w:rStyle w:val="FootnoteReference"/>
          <w:rFonts w:ascii="Times New Roman" w:hAnsi="Times New Roman" w:cs="Times New Roman"/>
        </w:rPr>
        <w:footnoteRef/>
      </w:r>
      <w:r w:rsidRPr="00F53782">
        <w:rPr>
          <w:rFonts w:ascii="Times New Roman" w:hAnsi="Times New Roman" w:cs="Times New Roman"/>
        </w:rPr>
        <w:t xml:space="preserve"> Compare </w:t>
      </w:r>
      <w:proofErr w:type="spellStart"/>
      <w:r w:rsidRPr="00F53782">
        <w:rPr>
          <w:rFonts w:ascii="Times New Roman" w:hAnsi="Times New Roman" w:cs="Times New Roman"/>
          <w:i/>
          <w:iCs/>
          <w:lang w:val="en-GB"/>
        </w:rPr>
        <w:t>Qunta</w:t>
      </w:r>
      <w:proofErr w:type="spellEnd"/>
      <w:r w:rsidRPr="00F53782">
        <w:rPr>
          <w:rFonts w:ascii="Times New Roman" w:hAnsi="Times New Roman" w:cs="Times New Roman"/>
          <w:i/>
          <w:iCs/>
          <w:lang w:val="en-GB"/>
        </w:rPr>
        <w:t xml:space="preserve"> v Minister of Police</w:t>
      </w:r>
      <w:r w:rsidRPr="00F53782">
        <w:rPr>
          <w:rFonts w:ascii="Times New Roman" w:hAnsi="Times New Roman" w:cs="Times New Roman"/>
          <w:lang w:val="en-GB"/>
        </w:rPr>
        <w:t xml:space="preserve"> [2013] ZAECGHC 53 para</w:t>
      </w:r>
      <w:r w:rsidR="005105DB">
        <w:rPr>
          <w:rFonts w:ascii="Times New Roman" w:hAnsi="Times New Roman" w:cs="Times New Roman"/>
          <w:lang w:val="en-GB"/>
        </w:rPr>
        <w:t xml:space="preserve"> </w:t>
      </w:r>
      <w:r w:rsidRPr="00F53782">
        <w:rPr>
          <w:rFonts w:ascii="Times New Roman" w:hAnsi="Times New Roman" w:cs="Times New Roman"/>
          <w:lang w:val="en-GB"/>
        </w:rPr>
        <w:t>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136598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A1B7032" w14:textId="77777777" w:rsidR="00A572D4" w:rsidRDefault="00A572D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474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9ABF772" w14:textId="77777777" w:rsidR="00A572D4" w:rsidRDefault="00A572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F74BF"/>
    <w:multiLevelType w:val="hybridMultilevel"/>
    <w:tmpl w:val="1DC42C5C"/>
    <w:lvl w:ilvl="0" w:tplc="3D7E6C6E">
      <w:start w:val="1"/>
      <w:numFmt w:val="decimal"/>
      <w:lvlText w:val="[%1]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1C0287"/>
    <w:multiLevelType w:val="multilevel"/>
    <w:tmpl w:val="D0DE572A"/>
    <w:lvl w:ilvl="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lowerLetter"/>
      <w:pStyle w:val="LegalHeading2"/>
      <w:lvlText w:val="(%2)"/>
      <w:lvlJc w:val="left"/>
      <w:pPr>
        <w:tabs>
          <w:tab w:val="num" w:pos="2269"/>
        </w:tabs>
        <w:ind w:left="2269" w:hanging="1134"/>
      </w:pPr>
      <w:rPr>
        <w:rFonts w:ascii="Arial" w:eastAsia="Times New Roman" w:hAnsi="Arial" w:cs="Times New Roman"/>
        <w:b w:val="0"/>
        <w:i w:val="0"/>
      </w:rPr>
    </w:lvl>
    <w:lvl w:ilvl="2">
      <w:start w:val="1"/>
      <w:numFmt w:val="decimal"/>
      <w:pStyle w:val="LegalHeading3"/>
      <w:lvlText w:val="%1.%2.%3"/>
      <w:lvlJc w:val="left"/>
      <w:pPr>
        <w:tabs>
          <w:tab w:val="num" w:pos="1701"/>
        </w:tabs>
        <w:ind w:left="1701" w:hanging="1701"/>
      </w:pPr>
      <w:rPr>
        <w:rFonts w:cs="Times New Roman" w:hint="default"/>
        <w:b w:val="0"/>
        <w:i w:val="0"/>
      </w:rPr>
    </w:lvl>
    <w:lvl w:ilvl="3">
      <w:start w:val="1"/>
      <w:numFmt w:val="decimal"/>
      <w:pStyle w:val="LegalHeading4"/>
      <w:lvlText w:val="%1.%2.%3.%4"/>
      <w:lvlJc w:val="left"/>
      <w:pPr>
        <w:tabs>
          <w:tab w:val="num" w:pos="2268"/>
        </w:tabs>
        <w:ind w:left="2268" w:hanging="2268"/>
      </w:pPr>
      <w:rPr>
        <w:rFonts w:cs="Times New Roman" w:hint="default"/>
        <w:b w:val="0"/>
        <w:i w:val="0"/>
      </w:rPr>
    </w:lvl>
    <w:lvl w:ilvl="4">
      <w:start w:val="1"/>
      <w:numFmt w:val="decimal"/>
      <w:pStyle w:val="LegalHeading5"/>
      <w:lvlText w:val="%1.%2.%3.%4.%5"/>
      <w:lvlJc w:val="left"/>
      <w:pPr>
        <w:tabs>
          <w:tab w:val="num" w:pos="2835"/>
        </w:tabs>
        <w:ind w:left="2835" w:hanging="2835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3402"/>
        </w:tabs>
        <w:ind w:left="3402" w:hanging="3402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572"/>
        </w:tabs>
        <w:ind w:left="3572" w:hanging="3572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5F9B0914"/>
    <w:multiLevelType w:val="hybridMultilevel"/>
    <w:tmpl w:val="4A2CD3AA"/>
    <w:lvl w:ilvl="0" w:tplc="1C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0E614B5"/>
    <w:multiLevelType w:val="hybridMultilevel"/>
    <w:tmpl w:val="0F127130"/>
    <w:lvl w:ilvl="0" w:tplc="304C558E">
      <w:start w:val="1"/>
      <w:numFmt w:val="decimal"/>
      <w:lvlText w:val="[%1]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3FD245B"/>
    <w:multiLevelType w:val="hybridMultilevel"/>
    <w:tmpl w:val="DBB668F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D205C"/>
    <w:multiLevelType w:val="hybridMultilevel"/>
    <w:tmpl w:val="5C08291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82F9C"/>
    <w:multiLevelType w:val="hybridMultilevel"/>
    <w:tmpl w:val="6AFCC668"/>
    <w:lvl w:ilvl="0" w:tplc="3E6C2756">
      <w:start w:val="1"/>
      <w:numFmt w:val="lowerLetter"/>
      <w:lvlText w:val="(%1)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 w16cid:durableId="19618339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2506731">
    <w:abstractNumId w:val="1"/>
  </w:num>
  <w:num w:numId="3" w16cid:durableId="103042540">
    <w:abstractNumId w:val="0"/>
  </w:num>
  <w:num w:numId="4" w16cid:durableId="168519713">
    <w:abstractNumId w:val="4"/>
  </w:num>
  <w:num w:numId="5" w16cid:durableId="1619147119">
    <w:abstractNumId w:val="5"/>
  </w:num>
  <w:num w:numId="6" w16cid:durableId="1326206436">
    <w:abstractNumId w:val="2"/>
  </w:num>
  <w:num w:numId="7" w16cid:durableId="1708485961">
    <w:abstractNumId w:val="3"/>
  </w:num>
  <w:num w:numId="8" w16cid:durableId="16501342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A5A1324-E537-49BD-A3B7-FB264308D62D}"/>
    <w:docVar w:name="dgnword-eventsink" w:val="494038688"/>
  </w:docVars>
  <w:rsids>
    <w:rsidRoot w:val="00354A12"/>
    <w:rsid w:val="000006AD"/>
    <w:rsid w:val="000116B2"/>
    <w:rsid w:val="00014695"/>
    <w:rsid w:val="00034029"/>
    <w:rsid w:val="00034CA4"/>
    <w:rsid w:val="00050185"/>
    <w:rsid w:val="00054F16"/>
    <w:rsid w:val="00066F15"/>
    <w:rsid w:val="0007797B"/>
    <w:rsid w:val="00081231"/>
    <w:rsid w:val="000A06B2"/>
    <w:rsid w:val="000A286C"/>
    <w:rsid w:val="000A4C05"/>
    <w:rsid w:val="000B3BA1"/>
    <w:rsid w:val="000B7424"/>
    <w:rsid w:val="000D1DCE"/>
    <w:rsid w:val="000D6DA7"/>
    <w:rsid w:val="000E054D"/>
    <w:rsid w:val="0010309E"/>
    <w:rsid w:val="00131176"/>
    <w:rsid w:val="0014215F"/>
    <w:rsid w:val="0014244D"/>
    <w:rsid w:val="001579FD"/>
    <w:rsid w:val="00167BDA"/>
    <w:rsid w:val="001B21C4"/>
    <w:rsid w:val="001B2FE7"/>
    <w:rsid w:val="001C7A01"/>
    <w:rsid w:val="001D055A"/>
    <w:rsid w:val="002132A5"/>
    <w:rsid w:val="00231B90"/>
    <w:rsid w:val="002418C9"/>
    <w:rsid w:val="00273B96"/>
    <w:rsid w:val="002A21A5"/>
    <w:rsid w:val="002B7A11"/>
    <w:rsid w:val="002D391B"/>
    <w:rsid w:val="002D6D24"/>
    <w:rsid w:val="002E723C"/>
    <w:rsid w:val="002E7317"/>
    <w:rsid w:val="002E7DB4"/>
    <w:rsid w:val="002F091C"/>
    <w:rsid w:val="00324991"/>
    <w:rsid w:val="003250EC"/>
    <w:rsid w:val="0033054F"/>
    <w:rsid w:val="003328A3"/>
    <w:rsid w:val="00342BB6"/>
    <w:rsid w:val="00354A12"/>
    <w:rsid w:val="00383166"/>
    <w:rsid w:val="003850B2"/>
    <w:rsid w:val="0038713E"/>
    <w:rsid w:val="00390CBF"/>
    <w:rsid w:val="003C3BAD"/>
    <w:rsid w:val="003C76B3"/>
    <w:rsid w:val="003D4E81"/>
    <w:rsid w:val="003E3543"/>
    <w:rsid w:val="00425843"/>
    <w:rsid w:val="004623FD"/>
    <w:rsid w:val="004667BA"/>
    <w:rsid w:val="004804E0"/>
    <w:rsid w:val="00490575"/>
    <w:rsid w:val="004D49B9"/>
    <w:rsid w:val="004E5BBF"/>
    <w:rsid w:val="004E78FB"/>
    <w:rsid w:val="004F74AC"/>
    <w:rsid w:val="005105DB"/>
    <w:rsid w:val="005125C0"/>
    <w:rsid w:val="005147C8"/>
    <w:rsid w:val="005177DD"/>
    <w:rsid w:val="00522840"/>
    <w:rsid w:val="00524711"/>
    <w:rsid w:val="00527793"/>
    <w:rsid w:val="00541A34"/>
    <w:rsid w:val="00545E0C"/>
    <w:rsid w:val="005635D2"/>
    <w:rsid w:val="00563A15"/>
    <w:rsid w:val="00595B92"/>
    <w:rsid w:val="005B7B4F"/>
    <w:rsid w:val="005D323E"/>
    <w:rsid w:val="00601CF9"/>
    <w:rsid w:val="006046E8"/>
    <w:rsid w:val="00610062"/>
    <w:rsid w:val="006211FC"/>
    <w:rsid w:val="00633710"/>
    <w:rsid w:val="006544C1"/>
    <w:rsid w:val="00663658"/>
    <w:rsid w:val="00670B4B"/>
    <w:rsid w:val="00681EC7"/>
    <w:rsid w:val="006A657C"/>
    <w:rsid w:val="006C6238"/>
    <w:rsid w:val="006E5F21"/>
    <w:rsid w:val="006E6F55"/>
    <w:rsid w:val="00701736"/>
    <w:rsid w:val="00717FCD"/>
    <w:rsid w:val="00721D62"/>
    <w:rsid w:val="00725B06"/>
    <w:rsid w:val="007371D8"/>
    <w:rsid w:val="00750F93"/>
    <w:rsid w:val="00772450"/>
    <w:rsid w:val="007A5C96"/>
    <w:rsid w:val="007C1FD0"/>
    <w:rsid w:val="00807ADC"/>
    <w:rsid w:val="00830CB5"/>
    <w:rsid w:val="00835ECD"/>
    <w:rsid w:val="008634FF"/>
    <w:rsid w:val="00876DB4"/>
    <w:rsid w:val="008861AF"/>
    <w:rsid w:val="008978BB"/>
    <w:rsid w:val="008A201A"/>
    <w:rsid w:val="008A2F10"/>
    <w:rsid w:val="008A35A8"/>
    <w:rsid w:val="008B72E1"/>
    <w:rsid w:val="008D19BC"/>
    <w:rsid w:val="008E2ECD"/>
    <w:rsid w:val="008F22CA"/>
    <w:rsid w:val="00906DD1"/>
    <w:rsid w:val="00910716"/>
    <w:rsid w:val="00912ABB"/>
    <w:rsid w:val="00914992"/>
    <w:rsid w:val="0091791F"/>
    <w:rsid w:val="00932C3F"/>
    <w:rsid w:val="009459F0"/>
    <w:rsid w:val="009541A5"/>
    <w:rsid w:val="009574BF"/>
    <w:rsid w:val="00970926"/>
    <w:rsid w:val="00980272"/>
    <w:rsid w:val="00982099"/>
    <w:rsid w:val="009A409E"/>
    <w:rsid w:val="009A4524"/>
    <w:rsid w:val="009B2305"/>
    <w:rsid w:val="009D0934"/>
    <w:rsid w:val="009F48A6"/>
    <w:rsid w:val="00A1612F"/>
    <w:rsid w:val="00A27D5A"/>
    <w:rsid w:val="00A572D4"/>
    <w:rsid w:val="00A604C0"/>
    <w:rsid w:val="00A62CE5"/>
    <w:rsid w:val="00A664FC"/>
    <w:rsid w:val="00A70D61"/>
    <w:rsid w:val="00A81F50"/>
    <w:rsid w:val="00A9467A"/>
    <w:rsid w:val="00AA5336"/>
    <w:rsid w:val="00AB0FDB"/>
    <w:rsid w:val="00AD4ECD"/>
    <w:rsid w:val="00AD7016"/>
    <w:rsid w:val="00AF0451"/>
    <w:rsid w:val="00AF3F6D"/>
    <w:rsid w:val="00B14C07"/>
    <w:rsid w:val="00B17689"/>
    <w:rsid w:val="00B27EF5"/>
    <w:rsid w:val="00B40AA9"/>
    <w:rsid w:val="00B43022"/>
    <w:rsid w:val="00B4474B"/>
    <w:rsid w:val="00B6756B"/>
    <w:rsid w:val="00B71374"/>
    <w:rsid w:val="00B75FFD"/>
    <w:rsid w:val="00B800F5"/>
    <w:rsid w:val="00B841E8"/>
    <w:rsid w:val="00B85312"/>
    <w:rsid w:val="00BC0127"/>
    <w:rsid w:val="00BD5FE8"/>
    <w:rsid w:val="00BD6621"/>
    <w:rsid w:val="00BE3D8A"/>
    <w:rsid w:val="00BE584C"/>
    <w:rsid w:val="00C10283"/>
    <w:rsid w:val="00C4469F"/>
    <w:rsid w:val="00C643D2"/>
    <w:rsid w:val="00C65316"/>
    <w:rsid w:val="00C73ADC"/>
    <w:rsid w:val="00C857D9"/>
    <w:rsid w:val="00CC3C69"/>
    <w:rsid w:val="00CE1F27"/>
    <w:rsid w:val="00CF139E"/>
    <w:rsid w:val="00D221CD"/>
    <w:rsid w:val="00D37CE8"/>
    <w:rsid w:val="00D45647"/>
    <w:rsid w:val="00D466F7"/>
    <w:rsid w:val="00D50E48"/>
    <w:rsid w:val="00D602FA"/>
    <w:rsid w:val="00D60ABC"/>
    <w:rsid w:val="00D7391F"/>
    <w:rsid w:val="00D74883"/>
    <w:rsid w:val="00D81518"/>
    <w:rsid w:val="00D9251B"/>
    <w:rsid w:val="00DA71B8"/>
    <w:rsid w:val="00DB24D1"/>
    <w:rsid w:val="00DC7A3C"/>
    <w:rsid w:val="00DD38F4"/>
    <w:rsid w:val="00DE3DAC"/>
    <w:rsid w:val="00DF0C27"/>
    <w:rsid w:val="00E16EEF"/>
    <w:rsid w:val="00E41829"/>
    <w:rsid w:val="00E41F0F"/>
    <w:rsid w:val="00E42C0A"/>
    <w:rsid w:val="00E43E26"/>
    <w:rsid w:val="00E57D23"/>
    <w:rsid w:val="00E82D21"/>
    <w:rsid w:val="00E90DC1"/>
    <w:rsid w:val="00E93257"/>
    <w:rsid w:val="00E95379"/>
    <w:rsid w:val="00E95C8A"/>
    <w:rsid w:val="00EE1E9E"/>
    <w:rsid w:val="00EE5EC6"/>
    <w:rsid w:val="00EE6AFC"/>
    <w:rsid w:val="00F12E8C"/>
    <w:rsid w:val="00F53782"/>
    <w:rsid w:val="00F61339"/>
    <w:rsid w:val="00F66332"/>
    <w:rsid w:val="00F74F43"/>
    <w:rsid w:val="00F80958"/>
    <w:rsid w:val="00F85BC0"/>
    <w:rsid w:val="00F97C22"/>
    <w:rsid w:val="00FB53B7"/>
    <w:rsid w:val="00FC280A"/>
    <w:rsid w:val="00FD706E"/>
    <w:rsid w:val="00FE338A"/>
    <w:rsid w:val="00FE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E9BD57"/>
  <w15:chartTrackingRefBased/>
  <w15:docId w15:val="{E0FEC284-093A-4E21-949C-D9D2F75B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A12"/>
    <w:pPr>
      <w:spacing w:after="0" w:line="256" w:lineRule="auto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54A1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4A12"/>
    <w:rPr>
      <w:rFonts w:cstheme="minorBidi"/>
      <w:sz w:val="20"/>
      <w:szCs w:val="20"/>
    </w:rPr>
  </w:style>
  <w:style w:type="paragraph" w:styleId="ListParagraph">
    <w:name w:val="List Paragraph"/>
    <w:basedOn w:val="Normal"/>
    <w:uiPriority w:val="72"/>
    <w:qFormat/>
    <w:rsid w:val="00354A12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unhideWhenUsed/>
    <w:rsid w:val="00354A12"/>
    <w:rPr>
      <w:vertAlign w:val="superscript"/>
    </w:rPr>
  </w:style>
  <w:style w:type="paragraph" w:customStyle="1" w:styleId="LegalList1">
    <w:name w:val="Legal_List1"/>
    <w:basedOn w:val="Normal"/>
    <w:semiHidden/>
    <w:rsid w:val="00A572D4"/>
    <w:pPr>
      <w:suppressAutoHyphens/>
      <w:spacing w:after="360" w:line="480" w:lineRule="auto"/>
      <w:jc w:val="both"/>
      <w:outlineLvl w:val="0"/>
    </w:pPr>
    <w:rPr>
      <w:rFonts w:eastAsia="Times New Roman" w:cs="Times New Roman"/>
      <w:szCs w:val="24"/>
      <w:lang w:val="en-GB" w:eastAsia="en-GB"/>
    </w:rPr>
  </w:style>
  <w:style w:type="paragraph" w:customStyle="1" w:styleId="LegalHeading2">
    <w:name w:val="Legal_Heading2"/>
    <w:basedOn w:val="LegalNormal"/>
    <w:next w:val="Normal"/>
    <w:semiHidden/>
    <w:rsid w:val="00A572D4"/>
    <w:pPr>
      <w:keepNext/>
      <w:numPr>
        <w:ilvl w:val="1"/>
        <w:numId w:val="2"/>
      </w:numPr>
      <w:tabs>
        <w:tab w:val="left" w:pos="3402"/>
        <w:tab w:val="left" w:pos="3969"/>
      </w:tabs>
      <w:outlineLvl w:val="1"/>
    </w:pPr>
    <w:rPr>
      <w:b/>
    </w:rPr>
  </w:style>
  <w:style w:type="paragraph" w:customStyle="1" w:styleId="LegalHeading3">
    <w:name w:val="Legal_Heading3"/>
    <w:basedOn w:val="LegalNormal"/>
    <w:next w:val="Normal"/>
    <w:semiHidden/>
    <w:rsid w:val="00A572D4"/>
    <w:pPr>
      <w:keepNext/>
      <w:numPr>
        <w:ilvl w:val="2"/>
        <w:numId w:val="2"/>
      </w:numPr>
      <w:tabs>
        <w:tab w:val="left" w:pos="3969"/>
        <w:tab w:val="left" w:pos="4536"/>
      </w:tabs>
      <w:outlineLvl w:val="2"/>
    </w:pPr>
    <w:rPr>
      <w:b/>
    </w:rPr>
  </w:style>
  <w:style w:type="paragraph" w:customStyle="1" w:styleId="LegalHeading4">
    <w:name w:val="Legal_Heading4"/>
    <w:basedOn w:val="LegalNormal"/>
    <w:next w:val="Normal"/>
    <w:semiHidden/>
    <w:rsid w:val="00A572D4"/>
    <w:pPr>
      <w:keepNext/>
      <w:numPr>
        <w:ilvl w:val="3"/>
        <w:numId w:val="2"/>
      </w:numPr>
      <w:spacing w:after="240"/>
      <w:outlineLvl w:val="3"/>
    </w:pPr>
    <w:rPr>
      <w:b/>
    </w:rPr>
  </w:style>
  <w:style w:type="paragraph" w:customStyle="1" w:styleId="LegalHeading5">
    <w:name w:val="Legal_Heading5"/>
    <w:basedOn w:val="LegalNormal"/>
    <w:next w:val="Normal"/>
    <w:semiHidden/>
    <w:rsid w:val="00A572D4"/>
    <w:pPr>
      <w:keepNext/>
      <w:numPr>
        <w:ilvl w:val="4"/>
        <w:numId w:val="2"/>
      </w:numPr>
      <w:spacing w:after="240"/>
      <w:outlineLvl w:val="4"/>
    </w:pPr>
    <w:rPr>
      <w:b/>
    </w:rPr>
  </w:style>
  <w:style w:type="paragraph" w:customStyle="1" w:styleId="LegalNormal">
    <w:name w:val="Legal_Normal"/>
    <w:basedOn w:val="Normal"/>
    <w:rsid w:val="00A572D4"/>
    <w:pPr>
      <w:suppressAutoHyphens/>
      <w:spacing w:after="360" w:line="480" w:lineRule="auto"/>
      <w:jc w:val="both"/>
    </w:pPr>
    <w:rPr>
      <w:rFonts w:eastAsia="Times New Roman" w:cs="Times New Roman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572D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2D4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A572D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2D4"/>
    <w:rPr>
      <w:rFonts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F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F5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41F0F"/>
    <w:pPr>
      <w:spacing w:after="0" w:line="240" w:lineRule="auto"/>
    </w:pPr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0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58320-C73D-4CB2-AD84-AAFA7EC6C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Mariana Anguelov</cp:lastModifiedBy>
  <cp:revision>3</cp:revision>
  <cp:lastPrinted>2022-11-26T12:12:00Z</cp:lastPrinted>
  <dcterms:created xsi:type="dcterms:W3CDTF">2022-12-14T08:28:00Z</dcterms:created>
  <dcterms:modified xsi:type="dcterms:W3CDTF">2022-12-26T07:37:00Z</dcterms:modified>
  <cp:contentStatus/>
</cp:coreProperties>
</file>