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03F6" w14:textId="77777777" w:rsidR="00095D3B" w:rsidRDefault="00095D3B" w:rsidP="00292371">
      <w:pPr>
        <w:pStyle w:val="Header"/>
        <w:widowControl w:val="0"/>
        <w:tabs>
          <w:tab w:val="clear" w:pos="4320"/>
          <w:tab w:val="clear" w:pos="8640"/>
        </w:tabs>
        <w:spacing w:line="360" w:lineRule="auto"/>
        <w:jc w:val="center"/>
      </w:pPr>
      <w:r>
        <w:rPr>
          <w:noProof/>
          <w:lang w:eastAsia="en-ZA"/>
        </w:rPr>
        <w:drawing>
          <wp:inline distT="0" distB="0" distL="0" distR="0" wp14:anchorId="35586A02" wp14:editId="0277C8F2">
            <wp:extent cx="1073426" cy="10972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188" cy="1099082"/>
                    </a:xfrm>
                    <a:prstGeom prst="rect">
                      <a:avLst/>
                    </a:prstGeom>
                    <a:noFill/>
                  </pic:spPr>
                </pic:pic>
              </a:graphicData>
            </a:graphic>
          </wp:inline>
        </w:drawing>
      </w:r>
    </w:p>
    <w:p w14:paraId="04B1E492" w14:textId="77777777" w:rsidR="00095D3B" w:rsidRDefault="00095D3B" w:rsidP="00292371">
      <w:pPr>
        <w:pStyle w:val="Header"/>
        <w:widowControl w:val="0"/>
        <w:tabs>
          <w:tab w:val="clear" w:pos="4320"/>
          <w:tab w:val="clear" w:pos="8640"/>
        </w:tabs>
        <w:spacing w:line="360" w:lineRule="auto"/>
        <w:jc w:val="center"/>
      </w:pPr>
    </w:p>
    <w:p w14:paraId="379A5B54" w14:textId="77777777" w:rsidR="00E72012" w:rsidRPr="0069392A" w:rsidRDefault="00ED5360" w:rsidP="00292371">
      <w:pPr>
        <w:pStyle w:val="Header"/>
        <w:widowControl w:val="0"/>
        <w:tabs>
          <w:tab w:val="clear" w:pos="4320"/>
          <w:tab w:val="clear" w:pos="8640"/>
        </w:tabs>
        <w:spacing w:line="360" w:lineRule="auto"/>
        <w:jc w:val="center"/>
        <w:rPr>
          <w:b/>
          <w:bCs/>
        </w:rPr>
      </w:pPr>
      <w:r w:rsidRPr="0069392A">
        <w:rPr>
          <w:b/>
          <w:bCs/>
        </w:rPr>
        <w:t>IN THE HIGH COURT OF SOUTH AFRICA</w:t>
      </w:r>
    </w:p>
    <w:p w14:paraId="618F94A3" w14:textId="59864CCB" w:rsidR="0010382C" w:rsidRDefault="0069392A" w:rsidP="00292371">
      <w:pPr>
        <w:widowControl w:val="0"/>
        <w:tabs>
          <w:tab w:val="right" w:pos="9213"/>
        </w:tabs>
        <w:spacing w:line="360" w:lineRule="auto"/>
        <w:jc w:val="center"/>
        <w:rPr>
          <w:b/>
          <w:bCs/>
        </w:rPr>
      </w:pPr>
      <w:r w:rsidRPr="0069392A">
        <w:rPr>
          <w:b/>
          <w:bCs/>
        </w:rPr>
        <w:t>(</w:t>
      </w:r>
      <w:r w:rsidR="00ED5360" w:rsidRPr="0069392A">
        <w:rPr>
          <w:b/>
          <w:bCs/>
        </w:rPr>
        <w:t>EASTERN CAPE</w:t>
      </w:r>
      <w:r w:rsidR="009B6903" w:rsidRPr="0069392A">
        <w:rPr>
          <w:b/>
          <w:bCs/>
        </w:rPr>
        <w:t xml:space="preserve"> DIVISION, </w:t>
      </w:r>
      <w:r w:rsidR="00A72B20">
        <w:rPr>
          <w:b/>
          <w:bCs/>
        </w:rPr>
        <w:t>MAKHANDA</w:t>
      </w:r>
      <w:r w:rsidRPr="0069392A">
        <w:rPr>
          <w:b/>
          <w:bCs/>
        </w:rPr>
        <w:t>)</w:t>
      </w:r>
    </w:p>
    <w:p w14:paraId="564F3BFE" w14:textId="77777777" w:rsidR="000B0766" w:rsidRPr="0069392A" w:rsidRDefault="000B0766" w:rsidP="00292371">
      <w:pPr>
        <w:widowControl w:val="0"/>
        <w:tabs>
          <w:tab w:val="right" w:pos="9213"/>
        </w:tabs>
        <w:spacing w:line="360" w:lineRule="auto"/>
        <w:jc w:val="center"/>
        <w:rPr>
          <w:b/>
          <w:bCs/>
        </w:rPr>
      </w:pPr>
    </w:p>
    <w:p w14:paraId="3B4D43C2" w14:textId="0183CD29" w:rsidR="00E72012" w:rsidRDefault="0010382C" w:rsidP="003B100E">
      <w:pPr>
        <w:widowControl w:val="0"/>
        <w:tabs>
          <w:tab w:val="right" w:pos="9213"/>
        </w:tabs>
        <w:spacing w:line="360" w:lineRule="auto"/>
        <w:jc w:val="right"/>
      </w:pPr>
      <w:r>
        <w:tab/>
      </w:r>
      <w:r w:rsidR="00ED5360">
        <w:t>C</w:t>
      </w:r>
      <w:r>
        <w:t xml:space="preserve">ase </w:t>
      </w:r>
      <w:r w:rsidR="00A6068E">
        <w:t>n</w:t>
      </w:r>
      <w:r>
        <w:t>o:</w:t>
      </w:r>
      <w:r w:rsidR="00ED5360">
        <w:t xml:space="preserve"> </w:t>
      </w:r>
      <w:r w:rsidR="007C1E54">
        <w:t>2213/2020</w:t>
      </w:r>
    </w:p>
    <w:p w14:paraId="1E2D427E" w14:textId="77777777" w:rsidR="00E72012" w:rsidRDefault="00E72012" w:rsidP="00292371">
      <w:pPr>
        <w:widowControl w:val="0"/>
        <w:tabs>
          <w:tab w:val="right" w:pos="8640"/>
        </w:tabs>
        <w:spacing w:line="360" w:lineRule="auto"/>
      </w:pPr>
    </w:p>
    <w:p w14:paraId="495CAD85" w14:textId="386259FD" w:rsidR="00E72012" w:rsidRDefault="00ED5360" w:rsidP="00292371">
      <w:pPr>
        <w:widowControl w:val="0"/>
        <w:tabs>
          <w:tab w:val="right" w:pos="8640"/>
        </w:tabs>
        <w:spacing w:line="360" w:lineRule="auto"/>
      </w:pPr>
      <w:r>
        <w:t>In the matter between:</w:t>
      </w:r>
    </w:p>
    <w:p w14:paraId="6D2261F3" w14:textId="3ABDD1DA" w:rsidR="00E72012" w:rsidRDefault="007C1E54" w:rsidP="003B100E">
      <w:pPr>
        <w:widowControl w:val="0"/>
        <w:tabs>
          <w:tab w:val="right" w:pos="9213"/>
        </w:tabs>
        <w:spacing w:line="360" w:lineRule="auto"/>
        <w:rPr>
          <w:b/>
          <w:caps/>
        </w:rPr>
      </w:pPr>
      <w:r>
        <w:rPr>
          <w:b/>
        </w:rPr>
        <w:t>N</w:t>
      </w:r>
      <w:r w:rsidR="00664C0E">
        <w:rPr>
          <w:b/>
        </w:rPr>
        <w:t>ESLYNNE UDEAN</w:t>
      </w:r>
      <w:r>
        <w:rPr>
          <w:b/>
        </w:rPr>
        <w:t xml:space="preserve"> CANNON</w:t>
      </w:r>
      <w:r w:rsidR="00664C0E">
        <w:rPr>
          <w:b/>
        </w:rPr>
        <w:t xml:space="preserve"> obo</w:t>
      </w:r>
      <w:r w:rsidR="004C2EEB">
        <w:rPr>
          <w:b/>
        </w:rPr>
        <w:t xml:space="preserve"> </w:t>
      </w:r>
      <w:r w:rsidR="004C2EEB">
        <w:rPr>
          <w:b/>
          <w:caps/>
        </w:rPr>
        <w:t>DECLAN DEVANE CANNON</w:t>
      </w:r>
      <w:r w:rsidR="00ED5360">
        <w:rPr>
          <w:b/>
        </w:rPr>
        <w:tab/>
      </w:r>
      <w:r w:rsidR="0097689F">
        <w:rPr>
          <w:b/>
          <w:caps/>
        </w:rPr>
        <w:t>Plaintiff</w:t>
      </w:r>
    </w:p>
    <w:p w14:paraId="7524D417" w14:textId="77777777" w:rsidR="002A6E68" w:rsidRDefault="002A6E68" w:rsidP="003B100E">
      <w:pPr>
        <w:widowControl w:val="0"/>
        <w:tabs>
          <w:tab w:val="right" w:pos="9213"/>
        </w:tabs>
        <w:spacing w:line="360" w:lineRule="auto"/>
        <w:rPr>
          <w:b/>
          <w:caps/>
        </w:rPr>
      </w:pPr>
    </w:p>
    <w:p w14:paraId="405BE306" w14:textId="4B9C305B" w:rsidR="00E72012" w:rsidRDefault="002A6E68" w:rsidP="00292371">
      <w:pPr>
        <w:widowControl w:val="0"/>
        <w:tabs>
          <w:tab w:val="right" w:pos="8640"/>
        </w:tabs>
        <w:spacing w:line="360" w:lineRule="auto"/>
      </w:pPr>
      <w:r>
        <w:t>and</w:t>
      </w:r>
    </w:p>
    <w:p w14:paraId="75D621E4" w14:textId="77777777" w:rsidR="002A6E68" w:rsidRDefault="002A6E68" w:rsidP="003B100E">
      <w:pPr>
        <w:widowControl w:val="0"/>
        <w:tabs>
          <w:tab w:val="right" w:pos="8640"/>
        </w:tabs>
        <w:spacing w:line="360" w:lineRule="auto"/>
      </w:pPr>
    </w:p>
    <w:p w14:paraId="334043E6" w14:textId="172F85DE" w:rsidR="00E72012" w:rsidRDefault="007C1E54" w:rsidP="003B100E">
      <w:pPr>
        <w:widowControl w:val="0"/>
        <w:pBdr>
          <w:bottom w:val="single" w:sz="6" w:space="1" w:color="auto"/>
        </w:pBdr>
        <w:tabs>
          <w:tab w:val="right" w:pos="9213"/>
        </w:tabs>
        <w:spacing w:line="360" w:lineRule="auto"/>
        <w:rPr>
          <w:b/>
        </w:rPr>
      </w:pPr>
      <w:r>
        <w:rPr>
          <w:b/>
        </w:rPr>
        <w:t>ROAD ACCIDENT FUND</w:t>
      </w:r>
      <w:r w:rsidR="00ED5360">
        <w:rPr>
          <w:b/>
        </w:rPr>
        <w:tab/>
      </w:r>
      <w:r w:rsidR="0097689F">
        <w:rPr>
          <w:b/>
        </w:rPr>
        <w:t>DEFENDANT</w:t>
      </w:r>
    </w:p>
    <w:p w14:paraId="410ECC2A" w14:textId="77777777" w:rsidR="0097689F" w:rsidRDefault="0097689F" w:rsidP="003B100E">
      <w:pPr>
        <w:widowControl w:val="0"/>
        <w:pBdr>
          <w:bottom w:val="single" w:sz="6" w:space="1" w:color="auto"/>
        </w:pBdr>
        <w:tabs>
          <w:tab w:val="right" w:pos="9213"/>
        </w:tabs>
        <w:spacing w:line="360" w:lineRule="auto"/>
        <w:rPr>
          <w:b/>
          <w:caps/>
        </w:rPr>
      </w:pPr>
    </w:p>
    <w:p w14:paraId="57B29BC7" w14:textId="77777777" w:rsidR="00E72012" w:rsidRDefault="00E72012" w:rsidP="00292371">
      <w:pPr>
        <w:widowControl w:val="0"/>
        <w:tabs>
          <w:tab w:val="right" w:pos="8640"/>
        </w:tabs>
        <w:spacing w:line="360" w:lineRule="auto"/>
      </w:pPr>
    </w:p>
    <w:p w14:paraId="7A0EF8BB" w14:textId="77777777" w:rsidR="00E72012" w:rsidRDefault="00A10BE7" w:rsidP="00292371">
      <w:pPr>
        <w:widowControl w:val="0"/>
        <w:pBdr>
          <w:bottom w:val="single" w:sz="6" w:space="1" w:color="auto"/>
        </w:pBdr>
        <w:tabs>
          <w:tab w:val="right" w:pos="8640"/>
        </w:tabs>
        <w:spacing w:line="360" w:lineRule="auto"/>
        <w:jc w:val="center"/>
        <w:rPr>
          <w:b/>
        </w:rPr>
      </w:pPr>
      <w:r>
        <w:rPr>
          <w:b/>
        </w:rPr>
        <w:t>JUDGMENT</w:t>
      </w:r>
    </w:p>
    <w:p w14:paraId="7AD35B15" w14:textId="77777777" w:rsidR="0069392A" w:rsidRDefault="0069392A" w:rsidP="00292371">
      <w:pPr>
        <w:widowControl w:val="0"/>
        <w:pBdr>
          <w:bottom w:val="single" w:sz="6" w:space="1" w:color="auto"/>
        </w:pBdr>
        <w:tabs>
          <w:tab w:val="right" w:pos="8640"/>
        </w:tabs>
        <w:spacing w:line="360" w:lineRule="auto"/>
        <w:jc w:val="center"/>
        <w:rPr>
          <w:b/>
        </w:rPr>
      </w:pPr>
    </w:p>
    <w:p w14:paraId="7A909837" w14:textId="1CE0B4E8" w:rsidR="00D761A9" w:rsidRDefault="00A10BE7" w:rsidP="005E5408">
      <w:pPr>
        <w:widowControl w:val="0"/>
        <w:tabs>
          <w:tab w:val="right" w:pos="8640"/>
        </w:tabs>
        <w:spacing w:before="120" w:line="360" w:lineRule="auto"/>
        <w:jc w:val="both"/>
        <w:rPr>
          <w:b/>
        </w:rPr>
      </w:pPr>
      <w:r w:rsidRPr="0069392A">
        <w:rPr>
          <w:b/>
        </w:rPr>
        <w:t>Bloem J</w:t>
      </w:r>
    </w:p>
    <w:p w14:paraId="33C96B37" w14:textId="77777777" w:rsidR="0069392A" w:rsidRDefault="0069392A" w:rsidP="00292371">
      <w:pPr>
        <w:widowControl w:val="0"/>
        <w:tabs>
          <w:tab w:val="right" w:pos="8640"/>
        </w:tabs>
        <w:spacing w:line="360" w:lineRule="auto"/>
        <w:jc w:val="both"/>
        <w:rPr>
          <w:b/>
        </w:rPr>
      </w:pPr>
    </w:p>
    <w:p w14:paraId="182C6C85" w14:textId="0D3BEE11" w:rsidR="00FB1A1C" w:rsidRPr="0069392A" w:rsidRDefault="000B49FC" w:rsidP="000B49FC">
      <w:pPr>
        <w:widowControl w:val="0"/>
        <w:tabs>
          <w:tab w:val="left" w:pos="567"/>
          <w:tab w:val="right" w:pos="8640"/>
        </w:tabs>
        <w:spacing w:line="360" w:lineRule="auto"/>
        <w:jc w:val="both"/>
      </w:pPr>
      <w:r w:rsidRPr="0069392A">
        <w:t>[1]</w:t>
      </w:r>
      <w:r w:rsidRPr="0069392A">
        <w:tab/>
      </w:r>
      <w:r w:rsidR="00D43A94">
        <w:rPr>
          <w:rFonts w:cs="Arial"/>
          <w:szCs w:val="24"/>
        </w:rPr>
        <w:t>W</w:t>
      </w:r>
      <w:r w:rsidR="00C203D0">
        <w:rPr>
          <w:rFonts w:cs="Arial"/>
          <w:szCs w:val="24"/>
        </w:rPr>
        <w:t>hat needs to be determined is the quantification of the loss of earning</w:t>
      </w:r>
      <w:r w:rsidR="006378E2">
        <w:rPr>
          <w:rFonts w:cs="Arial"/>
          <w:szCs w:val="24"/>
        </w:rPr>
        <w:t>s that</w:t>
      </w:r>
      <w:r w:rsidR="00C203D0">
        <w:rPr>
          <w:rFonts w:cs="Arial"/>
          <w:szCs w:val="24"/>
        </w:rPr>
        <w:t xml:space="preserve"> the plaintiff’s minor son, Declan </w:t>
      </w:r>
      <w:r w:rsidR="00A57F49">
        <w:rPr>
          <w:rFonts w:cs="Arial"/>
          <w:szCs w:val="24"/>
        </w:rPr>
        <w:t>Cannon (Declan)</w:t>
      </w:r>
      <w:r w:rsidR="00782F4F">
        <w:rPr>
          <w:rFonts w:cs="Arial"/>
          <w:szCs w:val="24"/>
        </w:rPr>
        <w:t>,</w:t>
      </w:r>
      <w:r w:rsidR="006378E2">
        <w:rPr>
          <w:rFonts w:cs="Arial"/>
          <w:szCs w:val="24"/>
        </w:rPr>
        <w:t xml:space="preserve"> suffered, particularly</w:t>
      </w:r>
      <w:r w:rsidR="00782F4F">
        <w:rPr>
          <w:rFonts w:cs="Arial"/>
          <w:szCs w:val="24"/>
        </w:rPr>
        <w:t xml:space="preserve"> the contingencies to be applied</w:t>
      </w:r>
      <w:r w:rsidR="00A57F49">
        <w:rPr>
          <w:rFonts w:cs="Arial"/>
          <w:szCs w:val="24"/>
        </w:rPr>
        <w:t xml:space="preserve">.  The plaintiff’s claim arises from a motor vehicle collision which occurred on 29 March 2018 on the </w:t>
      </w:r>
      <w:r w:rsidR="00E17CB0">
        <w:rPr>
          <w:rFonts w:cs="Arial"/>
          <w:szCs w:val="24"/>
        </w:rPr>
        <w:t>national</w:t>
      </w:r>
      <w:r w:rsidR="00A57F49">
        <w:rPr>
          <w:rFonts w:cs="Arial"/>
          <w:szCs w:val="24"/>
        </w:rPr>
        <w:t xml:space="preserve"> road between </w:t>
      </w:r>
      <w:proofErr w:type="spellStart"/>
      <w:r w:rsidR="00A57F49">
        <w:rPr>
          <w:rFonts w:cs="Arial"/>
          <w:szCs w:val="24"/>
        </w:rPr>
        <w:t>Gqeberha</w:t>
      </w:r>
      <w:proofErr w:type="spellEnd"/>
      <w:r w:rsidR="00A57F49">
        <w:rPr>
          <w:rFonts w:cs="Arial"/>
          <w:szCs w:val="24"/>
        </w:rPr>
        <w:t xml:space="preserve"> and Cradock.  As a result of the collision, Declan sustained severe bodily injuries, inclusive of a </w:t>
      </w:r>
      <w:r w:rsidR="00E17CB0">
        <w:rPr>
          <w:rFonts w:cs="Arial"/>
          <w:szCs w:val="24"/>
        </w:rPr>
        <w:t>traumatic brain</w:t>
      </w:r>
      <w:r w:rsidR="00A57F49">
        <w:rPr>
          <w:rFonts w:cs="Arial"/>
          <w:szCs w:val="24"/>
        </w:rPr>
        <w:t xml:space="preserve"> injury.  His mother, the </w:t>
      </w:r>
      <w:r w:rsidR="002F02AB">
        <w:rPr>
          <w:rFonts w:cs="Arial"/>
          <w:szCs w:val="24"/>
        </w:rPr>
        <w:t>plaintiff, instituted</w:t>
      </w:r>
      <w:r w:rsidR="00A54CB8">
        <w:rPr>
          <w:rFonts w:cs="Arial"/>
          <w:szCs w:val="24"/>
        </w:rPr>
        <w:t xml:space="preserve"> action against the Road Accident Fund, the defendant, for damages suffered by her in her personal capacity as well as </w:t>
      </w:r>
      <w:r w:rsidR="00F05DEF">
        <w:rPr>
          <w:rFonts w:cs="Arial"/>
          <w:szCs w:val="24"/>
        </w:rPr>
        <w:t xml:space="preserve">in </w:t>
      </w:r>
      <w:r w:rsidR="00806474">
        <w:rPr>
          <w:rFonts w:cs="Arial"/>
          <w:szCs w:val="24"/>
        </w:rPr>
        <w:t>her representative capacity as Declan’s mother and natural guardian.  On 6 March 2023 the defendant conceded liability for such damages as the plaintiff could pro</w:t>
      </w:r>
      <w:r w:rsidR="00F05DEF">
        <w:rPr>
          <w:rFonts w:cs="Arial"/>
          <w:szCs w:val="24"/>
        </w:rPr>
        <w:t>ve</w:t>
      </w:r>
      <w:r w:rsidR="00806474">
        <w:rPr>
          <w:rFonts w:cs="Arial"/>
          <w:szCs w:val="24"/>
        </w:rPr>
        <w:t xml:space="preserve"> arose from the collision.  On 30</w:t>
      </w:r>
      <w:r w:rsidR="002F02AB">
        <w:rPr>
          <w:rFonts w:cs="Arial"/>
          <w:szCs w:val="24"/>
        </w:rPr>
        <w:t> </w:t>
      </w:r>
      <w:r w:rsidR="00806474">
        <w:rPr>
          <w:rFonts w:cs="Arial"/>
          <w:szCs w:val="24"/>
        </w:rPr>
        <w:t>May</w:t>
      </w:r>
      <w:r w:rsidR="00D46A44">
        <w:rPr>
          <w:rFonts w:cs="Arial"/>
          <w:szCs w:val="24"/>
        </w:rPr>
        <w:t> </w:t>
      </w:r>
      <w:r w:rsidR="00806474">
        <w:rPr>
          <w:rFonts w:cs="Arial"/>
          <w:szCs w:val="24"/>
        </w:rPr>
        <w:t>2023 this court ordered the defendant to pay the plaintiff R1</w:t>
      </w:r>
      <w:r w:rsidR="00573240">
        <w:rPr>
          <w:rFonts w:cs="Arial"/>
          <w:szCs w:val="24"/>
        </w:rPr>
        <w:t>.2</w:t>
      </w:r>
      <w:r w:rsidR="00215409">
        <w:rPr>
          <w:rFonts w:cs="Arial"/>
          <w:szCs w:val="24"/>
        </w:rPr>
        <w:t xml:space="preserve"> </w:t>
      </w:r>
      <w:r w:rsidR="00573240">
        <w:rPr>
          <w:rFonts w:cs="Arial"/>
          <w:szCs w:val="24"/>
        </w:rPr>
        <w:t>m</w:t>
      </w:r>
      <w:r w:rsidR="00215409">
        <w:rPr>
          <w:rFonts w:cs="Arial"/>
          <w:szCs w:val="24"/>
        </w:rPr>
        <w:t>illion</w:t>
      </w:r>
      <w:r w:rsidR="00573240">
        <w:rPr>
          <w:rFonts w:cs="Arial"/>
          <w:szCs w:val="24"/>
        </w:rPr>
        <w:t xml:space="preserve"> in respect of Declan’s general damages.  </w:t>
      </w:r>
    </w:p>
    <w:p w14:paraId="7B4BEB93" w14:textId="5167913F" w:rsidR="00D761A9" w:rsidRDefault="000B49FC" w:rsidP="000B49FC">
      <w:pPr>
        <w:widowControl w:val="0"/>
        <w:tabs>
          <w:tab w:val="left" w:pos="567"/>
          <w:tab w:val="right" w:pos="8640"/>
        </w:tabs>
        <w:spacing w:line="360" w:lineRule="auto"/>
        <w:jc w:val="both"/>
      </w:pPr>
      <w:r>
        <w:lastRenderedPageBreak/>
        <w:t>[2]</w:t>
      </w:r>
      <w:r>
        <w:tab/>
      </w:r>
      <w:r w:rsidR="00573240">
        <w:t>In her amended particulars of claim</w:t>
      </w:r>
      <w:r w:rsidR="00C57171">
        <w:t xml:space="preserve"> the plaintiff claim</w:t>
      </w:r>
      <w:r w:rsidR="00F41028">
        <w:t>ed</w:t>
      </w:r>
      <w:r w:rsidR="00C57171">
        <w:t xml:space="preserve"> R10 872</w:t>
      </w:r>
      <w:r w:rsidR="00FB11CB">
        <w:t> </w:t>
      </w:r>
      <w:r w:rsidR="00C57171">
        <w:t>389</w:t>
      </w:r>
      <w:r w:rsidR="00FB11CB">
        <w:t xml:space="preserve"> for Declan’s loss of earning</w:t>
      </w:r>
      <w:r w:rsidR="0064785D">
        <w:t>s</w:t>
      </w:r>
      <w:r w:rsidR="00FB11CB">
        <w:t>.  The facts upon which the issue must be determined were largely unchallenged.  Declan was born on 3 July 2012.  His mother testified that, because Declan was a very inquisitive child, she and his father decided to let him attend a crèche before he reached the age of four.  After a few weeks</w:t>
      </w:r>
      <w:r w:rsidR="0064785D">
        <w:t xml:space="preserve"> at the crèche</w:t>
      </w:r>
      <w:r w:rsidR="00FB11CB">
        <w:t xml:space="preserve">, his teacher, </w:t>
      </w:r>
      <w:proofErr w:type="spellStart"/>
      <w:r w:rsidR="00FB11CB">
        <w:t>Sophileen</w:t>
      </w:r>
      <w:proofErr w:type="spellEnd"/>
      <w:r w:rsidR="009307F4">
        <w:t> </w:t>
      </w:r>
      <w:r w:rsidR="00FB11CB">
        <w:t>Bond</w:t>
      </w:r>
      <w:r w:rsidR="0064785D">
        <w:t>,</w:t>
      </w:r>
      <w:r w:rsidR="00FB11CB">
        <w:t xml:space="preserve"> called her and Declan’s father and </w:t>
      </w:r>
      <w:r w:rsidR="0064785D">
        <w:t xml:space="preserve">recommended </w:t>
      </w:r>
      <w:r w:rsidR="00FB11CB">
        <w:t>that, because Declan was very bright, he b</w:t>
      </w:r>
      <w:r w:rsidR="00542A67">
        <w:t>e promoted to grade RR.  With their consent he was promoted to grade</w:t>
      </w:r>
      <w:r w:rsidR="00DD0646">
        <w:t xml:space="preserve"> RR</w:t>
      </w:r>
      <w:r w:rsidR="00542A67">
        <w:t xml:space="preserve"> in 2016</w:t>
      </w:r>
      <w:r w:rsidR="00EF436D">
        <w:t>.  At the end of that year</w:t>
      </w:r>
      <w:r w:rsidR="00DD0646">
        <w:t>,</w:t>
      </w:r>
      <w:r w:rsidR="00EF436D">
        <w:t xml:space="preserve"> Ms Bond informed them that, despite his age, Declan was ready for grade R.  </w:t>
      </w:r>
      <w:r w:rsidR="00DD0646">
        <w:t>S</w:t>
      </w:r>
      <w:r w:rsidR="00EF436D">
        <w:t>he testified that Ms</w:t>
      </w:r>
      <w:r w:rsidR="00216858">
        <w:t> </w:t>
      </w:r>
      <w:r w:rsidR="00EF436D">
        <w:t xml:space="preserve">Bond expressed the fear that, if Declan was kept in grade RR during 2017, he would be bored because, in her view, he was more advanced than children who were a year or two older </w:t>
      </w:r>
      <w:r w:rsidR="002F02AB">
        <w:t>than</w:t>
      </w:r>
      <w:r w:rsidR="00EF436D">
        <w:t xml:space="preserve"> him</w:t>
      </w:r>
      <w:r w:rsidR="00DD0646">
        <w:t xml:space="preserve">.  According to Ms Bond, </w:t>
      </w:r>
      <w:r w:rsidR="00C7180C">
        <w:t xml:space="preserve">he </w:t>
      </w:r>
      <w:r w:rsidR="00EF436D">
        <w:t>was doing things and thought about things that his peer</w:t>
      </w:r>
      <w:r w:rsidR="00C7180C">
        <w:t>s</w:t>
      </w:r>
      <w:r w:rsidR="00EF436D">
        <w:t xml:space="preserve"> did not.  They successfully applied for his admission at Alexandria Primary School where he attended grade R in 2017.  During 2017 he was assessed to be ready for grade 1.  He commenced with grade1 at the beginning of 2018.  </w:t>
      </w:r>
    </w:p>
    <w:p w14:paraId="09E9BEDE" w14:textId="77777777" w:rsidR="0069392A" w:rsidRDefault="0069392A" w:rsidP="00292371">
      <w:pPr>
        <w:widowControl w:val="0"/>
        <w:tabs>
          <w:tab w:val="right" w:pos="8640"/>
        </w:tabs>
        <w:spacing w:line="360" w:lineRule="auto"/>
        <w:ind w:left="567"/>
        <w:jc w:val="both"/>
      </w:pPr>
    </w:p>
    <w:p w14:paraId="2194739E" w14:textId="00477BDE" w:rsidR="00904337" w:rsidRDefault="000B49FC" w:rsidP="000B49FC">
      <w:pPr>
        <w:widowControl w:val="0"/>
        <w:tabs>
          <w:tab w:val="left" w:pos="567"/>
          <w:tab w:val="right" w:pos="8640"/>
        </w:tabs>
        <w:spacing w:line="360" w:lineRule="auto"/>
        <w:jc w:val="both"/>
      </w:pPr>
      <w:r>
        <w:t>[3]</w:t>
      </w:r>
      <w:r>
        <w:tab/>
      </w:r>
      <w:r w:rsidR="00EF436D">
        <w:t>Edwin</w:t>
      </w:r>
      <w:r w:rsidR="00F57300">
        <w:t>a Coltman was Declan’s grade 5 class teacher in 2023.  Before he attended Alexandria Primary School in 2017 she used to see him running around at rugby games</w:t>
      </w:r>
      <w:r w:rsidR="00C7180C">
        <w:t xml:space="preserve"> over weekends</w:t>
      </w:r>
      <w:r w:rsidR="00F57300">
        <w:t xml:space="preserve">.  He appeared to be a normal lively boy </w:t>
      </w:r>
      <w:r w:rsidR="00C7180C">
        <w:t xml:space="preserve">who </w:t>
      </w:r>
      <w:r w:rsidR="00F57300">
        <w:t>participat</w:t>
      </w:r>
      <w:r w:rsidR="00C7180C">
        <w:t>ed</w:t>
      </w:r>
      <w:r w:rsidR="00F57300">
        <w:t xml:space="preserve"> in all activities of daily living associated with boys of his age.  She taught him only </w:t>
      </w:r>
      <w:r w:rsidR="005F7758">
        <w:t>since 2022.  She testified that during 2022 learners of grade 4 and 7 shared the same class.  It was with the assistance of those learners that Declan scored a</w:t>
      </w:r>
      <w:r w:rsidR="00C7180C">
        <w:t>n</w:t>
      </w:r>
      <w:r w:rsidR="005F7758">
        <w:t xml:space="preserve"> average of 60% in the June 2022 class tests.  He would have failed had it not been for that assistance.  Declan has also learnt to copy from others.  His listening and </w:t>
      </w:r>
      <w:r w:rsidR="00957791">
        <w:t>concentration skills are not what they should be.  For example, when lea</w:t>
      </w:r>
      <w:r w:rsidR="008929AA">
        <w:t>r</w:t>
      </w:r>
      <w:r w:rsidR="00957791">
        <w:t>ners are given work</w:t>
      </w:r>
      <w:r w:rsidR="008929AA">
        <w:t>,</w:t>
      </w:r>
      <w:r w:rsidR="00957791">
        <w:t xml:space="preserve"> Declan would first look what others do before he does likewise.  When he copies from others, he is unable to copy a full word.  He would write down a few letters of a word, look at the word again and then write the remaining letters of the word.  He reads very slowly.  In addition, his reading is without comprehension.  He has a friend who assists him to move from one class to the other because Declan cannot read his class roster.  He also does not know which book to take out for a particular subject at the commencement of a lesson.  In her view, Declan is unable to work on his own.</w:t>
      </w:r>
    </w:p>
    <w:p w14:paraId="01D9302F" w14:textId="77777777" w:rsidR="00CE401F" w:rsidRDefault="00CE401F" w:rsidP="00292371">
      <w:pPr>
        <w:widowControl w:val="0"/>
        <w:tabs>
          <w:tab w:val="right" w:pos="8640"/>
        </w:tabs>
        <w:spacing w:line="360" w:lineRule="auto"/>
        <w:jc w:val="both"/>
      </w:pPr>
    </w:p>
    <w:p w14:paraId="5B35AC4B" w14:textId="354702E9" w:rsidR="00FB1A1C" w:rsidRDefault="000B49FC" w:rsidP="000B49FC">
      <w:pPr>
        <w:widowControl w:val="0"/>
        <w:tabs>
          <w:tab w:val="left" w:pos="567"/>
          <w:tab w:val="right" w:pos="8640"/>
        </w:tabs>
        <w:spacing w:line="360" w:lineRule="auto"/>
        <w:jc w:val="both"/>
      </w:pPr>
      <w:r>
        <w:t>[4]</w:t>
      </w:r>
      <w:r>
        <w:tab/>
      </w:r>
      <w:r w:rsidR="00957791">
        <w:t>Ms Bond was employed as a teacher by the Eastern Cape</w:t>
      </w:r>
      <w:r w:rsidR="00603825">
        <w:t xml:space="preserve"> Department of Education </w:t>
      </w:r>
      <w:r w:rsidR="00603825">
        <w:lastRenderedPageBreak/>
        <w:t xml:space="preserve">for 33 years until she resigned during 2015.  She had observed for a long time that most children in grade R did not have </w:t>
      </w:r>
      <w:r w:rsidR="00CC4BF7">
        <w:t>the necessary skill values.  She became self-employed in 2016. She</w:t>
      </w:r>
      <w:r w:rsidR="003A576B">
        <w:t xml:space="preserve"> became the owner of </w:t>
      </w:r>
      <w:r w:rsidR="00CC4BF7">
        <w:t>a school in 2017 where the</w:t>
      </w:r>
      <w:r w:rsidR="003A576B">
        <w:t>y</w:t>
      </w:r>
      <w:r w:rsidR="00CC4BF7">
        <w:t xml:space="preserve"> </w:t>
      </w:r>
      <w:r w:rsidR="003A576B">
        <w:t xml:space="preserve">accommodate </w:t>
      </w:r>
      <w:r w:rsidR="00CC4BF7">
        <w:t>children between the a</w:t>
      </w:r>
      <w:r w:rsidR="00BD3598">
        <w:t xml:space="preserve">ges of </w:t>
      </w:r>
      <w:r w:rsidR="003A576B">
        <w:t>3</w:t>
      </w:r>
      <w:r w:rsidR="003A576B">
        <w:rPr>
          <w:rFonts w:cs="Arial"/>
        </w:rPr>
        <w:t>½</w:t>
      </w:r>
      <w:r w:rsidR="00BD3598">
        <w:t xml:space="preserve"> and </w:t>
      </w:r>
      <w:r w:rsidR="003A576B">
        <w:t>4</w:t>
      </w:r>
      <w:r w:rsidR="003A576B">
        <w:rPr>
          <w:rFonts w:cs="Arial"/>
        </w:rPr>
        <w:t>½</w:t>
      </w:r>
      <w:r w:rsidR="00BD3598">
        <w:t xml:space="preserve"> who </w:t>
      </w:r>
      <w:r w:rsidR="001511B7">
        <w:t xml:space="preserve">they </w:t>
      </w:r>
      <w:r w:rsidR="00BD3598">
        <w:t xml:space="preserve">will prepare for grade R.  </w:t>
      </w:r>
      <w:r w:rsidR="001511B7">
        <w:t>S</w:t>
      </w:r>
      <w:r w:rsidR="00BD3598">
        <w:t xml:space="preserve">he taught </w:t>
      </w:r>
      <w:r w:rsidR="007522A9">
        <w:t>Declan</w:t>
      </w:r>
      <w:r w:rsidR="00BD3598">
        <w:t xml:space="preserve"> for the first time in 2016</w:t>
      </w:r>
      <w:r w:rsidR="007522A9">
        <w:t xml:space="preserve"> when she</w:t>
      </w:r>
      <w:r w:rsidR="00BD3598">
        <w:t xml:space="preserve"> was </w:t>
      </w:r>
      <w:r w:rsidR="00634679">
        <w:t>his</w:t>
      </w:r>
      <w:r w:rsidR="00BD3598">
        <w:t xml:space="preserve"> Sunday school teacher.  </w:t>
      </w:r>
      <w:r w:rsidR="00634679">
        <w:t xml:space="preserve">He was three, turning four, years old at the time.  </w:t>
      </w:r>
      <w:r w:rsidR="00BD3598">
        <w:t xml:space="preserve">She saw him as an eager, outspoken and inquisitive boy who asked questions after lessons.  He could recite </w:t>
      </w:r>
      <w:r w:rsidR="00634679">
        <w:t>B</w:t>
      </w:r>
      <w:r w:rsidR="00BD3598">
        <w:t>ible verses from memory and compete with children aged</w:t>
      </w:r>
      <w:r w:rsidR="006A40BC">
        <w:t xml:space="preserve"> 6 and 7.  He showed leadership skills at a young age, albeit that in most cases, he was self</w:t>
      </w:r>
      <w:r w:rsidR="00433826">
        <w:t>-</w:t>
      </w:r>
      <w:r w:rsidR="006A40BC">
        <w:t xml:space="preserve">appointed as a leader.  She said that </w:t>
      </w:r>
      <w:r w:rsidR="00CD2C05">
        <w:t>intellectually Declan was above his age group</w:t>
      </w:r>
      <w:r w:rsidR="00634679">
        <w:t>.</w:t>
      </w:r>
      <w:r w:rsidR="00CD2C05">
        <w:t xml:space="preserve">  He stood out and saw everything as a challenge.  He was quick to grasp new concepts.  Academically he was very sound.  He also enjoyed playing sports, particularly rugby and soccer.  He was </w:t>
      </w:r>
      <w:r w:rsidR="00433826">
        <w:t>an</w:t>
      </w:r>
      <w:r w:rsidR="00CD2C05">
        <w:t xml:space="preserve"> allrounder. </w:t>
      </w:r>
    </w:p>
    <w:p w14:paraId="7087B1D9" w14:textId="70168085" w:rsidR="00CD2C05" w:rsidRDefault="00CD2C05" w:rsidP="00292371">
      <w:pPr>
        <w:widowControl w:val="0"/>
        <w:tabs>
          <w:tab w:val="right" w:pos="8640"/>
        </w:tabs>
        <w:spacing w:line="360" w:lineRule="auto"/>
        <w:ind w:left="567"/>
        <w:jc w:val="both"/>
      </w:pPr>
    </w:p>
    <w:p w14:paraId="1E238568" w14:textId="680F7D4E" w:rsidR="00CD2C05" w:rsidRDefault="000B49FC" w:rsidP="000B49FC">
      <w:pPr>
        <w:widowControl w:val="0"/>
        <w:tabs>
          <w:tab w:val="left" w:pos="567"/>
          <w:tab w:val="right" w:pos="8640"/>
        </w:tabs>
        <w:spacing w:line="360" w:lineRule="auto"/>
        <w:jc w:val="both"/>
      </w:pPr>
      <w:r>
        <w:t>[5]</w:t>
      </w:r>
      <w:r>
        <w:tab/>
      </w:r>
      <w:r w:rsidR="00CD2C05">
        <w:t>After the collision, the plaintiff requested her to accommodate Declan at her school.  After the necessary permission had been obtained from the Eastern Cape Department of Education, Declan attended her school.  It became clear to her that he</w:t>
      </w:r>
      <w:r w:rsidR="00B15564">
        <w:t xml:space="preserve"> was not the same brilliant boy that he used to be before the collision.  Instead of being the first to solve a problem, as was the position before the collision, he resorted to copying from others, who were too keen to assist him.  He now no longer play</w:t>
      </w:r>
      <w:r w:rsidR="00A9743F">
        <w:t>s</w:t>
      </w:r>
      <w:r w:rsidR="00B15564">
        <w:t xml:space="preserve"> with boys older </w:t>
      </w:r>
      <w:r w:rsidR="00721EE7">
        <w:t xml:space="preserve">than him </w:t>
      </w:r>
      <w:r w:rsidR="00B15564">
        <w:t>or his age.  He play</w:t>
      </w:r>
      <w:r w:rsidR="00A9743F">
        <w:t>s</w:t>
      </w:r>
      <w:r w:rsidR="00B15564">
        <w:t xml:space="preserve"> with either girls or with </w:t>
      </w:r>
      <w:r w:rsidR="00721EE7">
        <w:t xml:space="preserve">boys </w:t>
      </w:r>
      <w:r w:rsidR="00B15564">
        <w:t xml:space="preserve">younger </w:t>
      </w:r>
      <w:r w:rsidR="00433826">
        <w:t>than</w:t>
      </w:r>
      <w:r w:rsidR="00B15564">
        <w:t xml:space="preserve"> him.</w:t>
      </w:r>
      <w:r w:rsidR="00797295">
        <w:t xml:space="preserve">  After a few months</w:t>
      </w:r>
      <w:r w:rsidR="00B41361">
        <w:t xml:space="preserve"> of Declan being at her school, she told the plaintiff that, because Declan has changed in many respects, he should be reintegrated in </w:t>
      </w:r>
      <w:r w:rsidR="00425C72">
        <w:t xml:space="preserve">the mainstream of education.  She entertained the fear that he was living in a </w:t>
      </w:r>
      <w:r w:rsidR="0053465D">
        <w:t>cocoon</w:t>
      </w:r>
      <w:r w:rsidR="00425C72">
        <w:t xml:space="preserve"> </w:t>
      </w:r>
      <w:r w:rsidR="0053465D">
        <w:t>at her school where his classmates and other learners felt sorry for him</w:t>
      </w:r>
      <w:r w:rsidR="00F22460">
        <w:t xml:space="preserve"> and being protective of him.  </w:t>
      </w:r>
    </w:p>
    <w:p w14:paraId="2217CBE4" w14:textId="77777777" w:rsidR="00B153AE" w:rsidRDefault="00B153AE" w:rsidP="003B100E">
      <w:pPr>
        <w:pStyle w:val="ListParagraph"/>
        <w:spacing w:after="0" w:line="360" w:lineRule="auto"/>
      </w:pPr>
    </w:p>
    <w:p w14:paraId="66F00C61" w14:textId="0C7E65AE" w:rsidR="00B153AE" w:rsidRDefault="000B49FC" w:rsidP="000B49FC">
      <w:pPr>
        <w:widowControl w:val="0"/>
        <w:tabs>
          <w:tab w:val="left" w:pos="567"/>
          <w:tab w:val="right" w:pos="8640"/>
        </w:tabs>
        <w:spacing w:line="360" w:lineRule="auto"/>
        <w:jc w:val="both"/>
      </w:pPr>
      <w:r>
        <w:t>[6]</w:t>
      </w:r>
      <w:r>
        <w:tab/>
      </w:r>
      <w:r w:rsidR="00B86AE9">
        <w:t>Ian Meyer, a registered practising clini</w:t>
      </w:r>
      <w:r w:rsidR="0018411C">
        <w:t>cal and neuropsychologist subjected Declan to a neuropsychological evaluation during 2020</w:t>
      </w:r>
      <w:r w:rsidR="00044B4D">
        <w:t>. He</w:t>
      </w:r>
      <w:r w:rsidR="0018411C">
        <w:t xml:space="preserve"> compiled a report after obtaining information from the plaintiff and his great-aunt</w:t>
      </w:r>
      <w:r w:rsidR="00044B4D">
        <w:t>.</w:t>
      </w:r>
      <w:r w:rsidR="00965128">
        <w:t xml:space="preserve"> </w:t>
      </w:r>
      <w:r w:rsidR="00044B4D">
        <w:t>B</w:t>
      </w:r>
      <w:r w:rsidR="0018411C">
        <w:t xml:space="preserve">ased primarily on his premorbid </w:t>
      </w:r>
      <w:r w:rsidR="00EE65E5">
        <w:t xml:space="preserve">scholastic achievements, </w:t>
      </w:r>
      <w:r w:rsidR="00056265">
        <w:t>psychometric</w:t>
      </w:r>
      <w:r w:rsidR="00EE65E5">
        <w:t xml:space="preserve"> testing</w:t>
      </w:r>
      <w:r w:rsidR="00D41DE6">
        <w:t>, professional educational assessment, underpinned by the educational achievements of his family and extended family</w:t>
      </w:r>
      <w:r w:rsidR="00044B4D">
        <w:t>,</w:t>
      </w:r>
      <w:r w:rsidR="00EF7B03">
        <w:rPr>
          <w:rStyle w:val="FootnoteReference"/>
        </w:rPr>
        <w:footnoteReference w:id="1"/>
      </w:r>
      <w:r w:rsidR="00EF7B03">
        <w:t xml:space="preserve"> he </w:t>
      </w:r>
      <w:r w:rsidR="00EF7B03">
        <w:lastRenderedPageBreak/>
        <w:t>predicted that Declan’s premorbid IQ was probab</w:t>
      </w:r>
      <w:r w:rsidR="00480263">
        <w:t>ly in the high average to superior category of intellectual classification.  In his view, Declan would in all probability have completed matric, an undergraduate degree and would have had the ability to achieve a postgraduate qualification.  Since the collision, Declan needs to be reminded</w:t>
      </w:r>
      <w:r w:rsidR="00583CD9">
        <w:t xml:space="preserve"> of instructions to complete</w:t>
      </w:r>
      <w:r w:rsidR="001E6133">
        <w:t xml:space="preserve"> tasks and needs supervision of simple tasks of daily living.  He struggles to execute </w:t>
      </w:r>
      <w:r w:rsidR="00044B4D">
        <w:t xml:space="preserve">not only complex but also </w:t>
      </w:r>
      <w:r w:rsidR="001E6133">
        <w:t xml:space="preserve">simple instructions.  Declan is unable to assume independent responsibility.  He no longer initiates homework.  Either the plaintiff reminds him of his </w:t>
      </w:r>
      <w:r w:rsidR="00812112">
        <w:t>homework</w:t>
      </w:r>
      <w:r w:rsidR="001E6133">
        <w:t xml:space="preserve"> or he does it in aftercare with the supervision of a teaching assistant.  He no longer performs routine tasks that he managed independently before the collision without being reminded.  He is </w:t>
      </w:r>
      <w:r w:rsidR="007A6B83">
        <w:t xml:space="preserve">inclined to become angry when the plaintiff insists on him performing specific tasks and is inclined to have temper tantrums.  In his view, Declan presents with persistent, significant neurocognitive </w:t>
      </w:r>
      <w:r w:rsidR="00407A0C">
        <w:t xml:space="preserve">and </w:t>
      </w:r>
      <w:proofErr w:type="spellStart"/>
      <w:r w:rsidR="00407A0C">
        <w:t>neurobehavioural</w:t>
      </w:r>
      <w:proofErr w:type="spellEnd"/>
      <w:r w:rsidR="00407A0C">
        <w:t xml:space="preserve"> seq</w:t>
      </w:r>
      <w:r w:rsidR="00077A71">
        <w:t>uelae secondary to his severe traumatic brain injury, consisting of permanent cognitive, soci</w:t>
      </w:r>
      <w:r w:rsidR="006C7A51">
        <w:t>oemotional, executive and physical deficit.  Due to Declan’s major neurocognitive disorder, Mr</w:t>
      </w:r>
      <w:r w:rsidR="009E79C2">
        <w:t> </w:t>
      </w:r>
      <w:r w:rsidR="006C7A51">
        <w:t>Meyer is of the view that he will be unable</w:t>
      </w:r>
      <w:r w:rsidR="00400A65">
        <w:t xml:space="preserve"> to be </w:t>
      </w:r>
      <w:r w:rsidR="006C7A51">
        <w:t xml:space="preserve">employable </w:t>
      </w:r>
      <w:r w:rsidR="00230A98">
        <w:t>i</w:t>
      </w:r>
      <w:r w:rsidR="006C7A51">
        <w:t xml:space="preserve">n the open labour market.  The above deficits will undermine his ability to cope in the real world and competently apply any </w:t>
      </w:r>
      <w:r w:rsidR="002D3B4A">
        <w:t>acquire</w:t>
      </w:r>
      <w:r w:rsidR="00400A65">
        <w:t>d</w:t>
      </w:r>
      <w:r w:rsidR="002D3B4A">
        <w:t xml:space="preserve"> knowledge.  </w:t>
      </w:r>
    </w:p>
    <w:p w14:paraId="2A6BCF7E" w14:textId="178B8858" w:rsidR="002D3B4A" w:rsidRDefault="002D3B4A" w:rsidP="00292371">
      <w:pPr>
        <w:widowControl w:val="0"/>
        <w:tabs>
          <w:tab w:val="right" w:pos="8640"/>
        </w:tabs>
        <w:spacing w:line="360" w:lineRule="auto"/>
        <w:ind w:left="567"/>
        <w:jc w:val="both"/>
      </w:pPr>
    </w:p>
    <w:p w14:paraId="04829754" w14:textId="269DBD93" w:rsidR="002D3B4A" w:rsidRDefault="000B49FC" w:rsidP="000B49FC">
      <w:pPr>
        <w:widowControl w:val="0"/>
        <w:tabs>
          <w:tab w:val="left" w:pos="567"/>
          <w:tab w:val="right" w:pos="8640"/>
        </w:tabs>
        <w:spacing w:line="360" w:lineRule="auto"/>
        <w:jc w:val="both"/>
      </w:pPr>
      <w:r>
        <w:t>[7]</w:t>
      </w:r>
      <w:r>
        <w:tab/>
      </w:r>
      <w:r w:rsidR="002D3B4A">
        <w:t>Ger</w:t>
      </w:r>
      <w:r w:rsidR="00812112">
        <w:t>h</w:t>
      </w:r>
      <w:r w:rsidR="002D3B4A">
        <w:t>ardt Goosen is an educational psychologist who assessed Declan on 17</w:t>
      </w:r>
      <w:r w:rsidR="00DA503A">
        <w:t> </w:t>
      </w:r>
      <w:r w:rsidR="002D3B4A">
        <w:t>November 2021 after which he compiled a report.  Based on the interview, assessment, academic achievements of his parents and extended family and Declan’s faster than average scholastic progress, Mr Goosen estimated Declan’s premorbid intellectual abilities to have been within the high</w:t>
      </w:r>
      <w:r w:rsidR="00493921">
        <w:t xml:space="preserve">-average </w:t>
      </w:r>
      <w:r w:rsidR="00E32295">
        <w:t>to superior range. He agree</w:t>
      </w:r>
      <w:r w:rsidR="002C6471">
        <w:t>d with Mr Meyer</w:t>
      </w:r>
      <w:r w:rsidR="00E32295">
        <w:t xml:space="preserve"> that Declan would in all probability have attain</w:t>
      </w:r>
      <w:r w:rsidR="002C6471">
        <w:t>ed</w:t>
      </w:r>
      <w:r w:rsidR="00E32295">
        <w:t xml:space="preserve"> a postgraduate qualification.  His current intellectual functioning is significantly lower than </w:t>
      </w:r>
      <w:r w:rsidR="00B4545A">
        <w:t>before the collision.  In his view</w:t>
      </w:r>
      <w:r w:rsidR="008629E3">
        <w:t>,</w:t>
      </w:r>
      <w:r w:rsidR="00B4545A">
        <w:t xml:space="preserve"> Declan is not expected to make significant scholastic progress and may prove to be a candidate for a school catering for learners with special educational needs. He is</w:t>
      </w:r>
      <w:r w:rsidR="008629E3">
        <w:t xml:space="preserve"> of the view that Declan is </w:t>
      </w:r>
      <w:r w:rsidR="00B4545A">
        <w:t>trainable but not edu</w:t>
      </w:r>
      <w:r w:rsidR="00DD02E6">
        <w:t>cable.  His dependence on the plaintiff’s care in several areas of daily living makes it doubtful whether he would be capable of independent living.  He is unable to perform</w:t>
      </w:r>
      <w:r w:rsidR="00F421A5">
        <w:t xml:space="preserve"> a task without supervision, but even </w:t>
      </w:r>
      <w:r w:rsidR="00FB6D54">
        <w:t>if</w:t>
      </w:r>
      <w:r w:rsidR="00F421A5">
        <w:t xml:space="preserve"> he completed a task, he is unable to stand back and evaluate the performed task.</w:t>
      </w:r>
    </w:p>
    <w:p w14:paraId="3CE8BA87" w14:textId="6D13AB41" w:rsidR="00502910" w:rsidRDefault="000B49FC" w:rsidP="000B49FC">
      <w:pPr>
        <w:widowControl w:val="0"/>
        <w:tabs>
          <w:tab w:val="left" w:pos="567"/>
          <w:tab w:val="right" w:pos="8640"/>
        </w:tabs>
        <w:spacing w:line="360" w:lineRule="auto"/>
        <w:jc w:val="both"/>
      </w:pPr>
      <w:r>
        <w:lastRenderedPageBreak/>
        <w:t>[8]</w:t>
      </w:r>
      <w:r>
        <w:tab/>
      </w:r>
      <w:r w:rsidR="009323B8">
        <w:t xml:space="preserve">Lani Martiny is an industrial and </w:t>
      </w:r>
      <w:r w:rsidR="00975A91">
        <w:t>organi</w:t>
      </w:r>
      <w:r w:rsidR="00754967">
        <w:t>s</w:t>
      </w:r>
      <w:r w:rsidR="00975A91">
        <w:t>ational psychologist.  He interviewed the plaintiff, Declan, his aunt, Ms Bond</w:t>
      </w:r>
      <w:r w:rsidR="00137C93">
        <w:t xml:space="preserve"> and</w:t>
      </w:r>
      <w:r w:rsidR="00975A91">
        <w:t xml:space="preserve"> Ms Coltm</w:t>
      </w:r>
      <w:r w:rsidR="00E84CAF">
        <w:t xml:space="preserve">an and compiled </w:t>
      </w:r>
      <w:r w:rsidR="00573D07">
        <w:t xml:space="preserve">reports based on those interviews and Declan’s school reports.  He also had access to the reports of </w:t>
      </w:r>
      <w:r w:rsidR="00573D07" w:rsidRPr="00D46A44">
        <w:t>inter</w:t>
      </w:r>
      <w:r w:rsidR="00D46A44">
        <w:t xml:space="preserve"> </w:t>
      </w:r>
      <w:r w:rsidR="00573D07" w:rsidRPr="00D46A44">
        <w:t>alia</w:t>
      </w:r>
      <w:r w:rsidR="00573D07">
        <w:t xml:space="preserve"> Messrs Meyer and Goosen.  Mr Martiny </w:t>
      </w:r>
      <w:r w:rsidR="00051479">
        <w:t>acknowledged that it was impossible to be specific about the career Declan would have followed had he not sustained the sever</w:t>
      </w:r>
      <w:r w:rsidR="00137C93">
        <w:t>e</w:t>
      </w:r>
      <w:r w:rsidR="00051479">
        <w:t xml:space="preserve"> traumatic brain injur</w:t>
      </w:r>
      <w:r w:rsidR="00137C93">
        <w:t>y</w:t>
      </w:r>
      <w:r w:rsidR="00051479">
        <w:t xml:space="preserve">.  He accordingly used a general career path </w:t>
      </w:r>
      <w:r w:rsidR="0076012F">
        <w:t xml:space="preserve">after </w:t>
      </w:r>
      <w:r w:rsidR="00051479">
        <w:t>completing his postgraduate qualification in 2033, starting to work in 2034 at the age of 21 at a trainee</w:t>
      </w:r>
      <w:r w:rsidR="00332AFF">
        <w:t>/intern/clerical level in the semi-skilled band</w:t>
      </w:r>
      <w:r w:rsidR="0076012F">
        <w:t>,</w:t>
      </w:r>
      <w:r w:rsidR="00332AFF">
        <w:t xml:space="preserve"> probably at the Paterson </w:t>
      </w:r>
      <w:r w:rsidR="005E562D">
        <w:t>B2-B3 level.  He would thereafter probably have advanced to the skilled band starting off at the Paterson</w:t>
      </w:r>
      <w:r w:rsidR="00D42C5A">
        <w:t xml:space="preserve"> C1 level, gradually advancing to the Paterson D3 level (middle management level) at the age of approximately 45.  He would thereafter probably </w:t>
      </w:r>
      <w:r w:rsidR="0076012F">
        <w:t xml:space="preserve">have </w:t>
      </w:r>
      <w:r w:rsidR="00502910">
        <w:t>continue</w:t>
      </w:r>
      <w:r w:rsidR="0076012F">
        <w:t>d</w:t>
      </w:r>
      <w:r w:rsidR="00D42C5A">
        <w:t xml:space="preserve"> working, with average annual increments of CPI</w:t>
      </w:r>
      <w:r w:rsidR="00502910">
        <w:t>+ between 1-3% up to the retirement age of 65.  Declan’s premorbid intellectual and scholastic performance as well as the academic achievements of his parents and extended family indicated that it is probable that he would have been able to secure employment paying full package salaries.</w:t>
      </w:r>
      <w:r w:rsidR="0076012F">
        <w:t xml:space="preserve">  </w:t>
      </w:r>
      <w:r w:rsidR="00502910">
        <w:t>The injuries that Declan sustained in the collision ha</w:t>
      </w:r>
      <w:r w:rsidR="00350282">
        <w:t xml:space="preserve">ve rendered him unable to be employed in the open labour market.  They have reduced his earning capacity to </w:t>
      </w:r>
      <w:r w:rsidR="00444F6C">
        <w:t>zero</w:t>
      </w:r>
      <w:r w:rsidR="00B84E6A">
        <w:t>.</w:t>
      </w:r>
    </w:p>
    <w:p w14:paraId="520C4EE6" w14:textId="77777777" w:rsidR="00B84E6A" w:rsidRDefault="00B84E6A" w:rsidP="003B100E">
      <w:pPr>
        <w:pStyle w:val="ListParagraph"/>
        <w:spacing w:after="0" w:line="360" w:lineRule="auto"/>
      </w:pPr>
    </w:p>
    <w:p w14:paraId="382DD9E1" w14:textId="54E4EAE1" w:rsidR="00B84E6A" w:rsidRDefault="000B49FC" w:rsidP="000B49FC">
      <w:pPr>
        <w:widowControl w:val="0"/>
        <w:tabs>
          <w:tab w:val="left" w:pos="567"/>
          <w:tab w:val="right" w:pos="8640"/>
        </w:tabs>
        <w:spacing w:line="360" w:lineRule="auto"/>
        <w:jc w:val="both"/>
      </w:pPr>
      <w:r>
        <w:t>[9]</w:t>
      </w:r>
      <w:r>
        <w:tab/>
      </w:r>
      <w:r w:rsidR="00B84E6A">
        <w:t>The plaintiff also called Annamarie van Zyl, an occupational therapist</w:t>
      </w:r>
      <w:r w:rsidR="00444F6C">
        <w:t>,</w:t>
      </w:r>
      <w:r w:rsidR="00B84E6A">
        <w:t xml:space="preserve"> who assessed Declan on 9 November 2021 and compiled a report.  Therein she stated </w:t>
      </w:r>
      <w:r w:rsidR="00B84E6A" w:rsidRPr="007A69D3">
        <w:t>inter alia</w:t>
      </w:r>
      <w:r w:rsidR="00B84E6A">
        <w:t xml:space="preserve"> that </w:t>
      </w:r>
      <w:r w:rsidR="00F85D58">
        <w:t>‘</w:t>
      </w:r>
      <w:r w:rsidR="002C3E00" w:rsidRPr="00CA3000">
        <w:rPr>
          <w:szCs w:val="24"/>
        </w:rPr>
        <w:t>it is unlikely that Declan will be able to enter the open labour market in the future, other than in a sheltered</w:t>
      </w:r>
      <w:r w:rsidR="002C3E00" w:rsidRPr="00667749">
        <w:rPr>
          <w:sz w:val="20"/>
        </w:rPr>
        <w:t xml:space="preserve"> </w:t>
      </w:r>
      <w:r w:rsidR="002C3E00" w:rsidRPr="00CA3000">
        <w:rPr>
          <w:szCs w:val="24"/>
        </w:rPr>
        <w:t>situation</w:t>
      </w:r>
      <w:r w:rsidR="00A6384B">
        <w:t>’</w:t>
      </w:r>
      <w:r w:rsidR="002C3E00">
        <w:t xml:space="preserve"> and that </w:t>
      </w:r>
      <w:r w:rsidR="00A6384B">
        <w:t>‘</w:t>
      </w:r>
      <w:r w:rsidR="00A6384B" w:rsidRPr="00C77683">
        <w:rPr>
          <w:szCs w:val="24"/>
        </w:rPr>
        <w:t>D</w:t>
      </w:r>
      <w:r w:rsidR="002C3E00" w:rsidRPr="00C77683">
        <w:rPr>
          <w:szCs w:val="24"/>
        </w:rPr>
        <w:t>eclan is unemployable on the open labour ma</w:t>
      </w:r>
      <w:r w:rsidR="00F9518C" w:rsidRPr="00C77683">
        <w:rPr>
          <w:szCs w:val="24"/>
        </w:rPr>
        <w:t>rket</w:t>
      </w:r>
      <w:r w:rsidR="00F85D58" w:rsidRPr="00C77683">
        <w:rPr>
          <w:szCs w:val="24"/>
        </w:rPr>
        <w:t>’</w:t>
      </w:r>
      <w:r w:rsidR="00F9518C">
        <w:t>.</w:t>
      </w:r>
    </w:p>
    <w:p w14:paraId="0B990498" w14:textId="77777777" w:rsidR="00F9518C" w:rsidRDefault="00F9518C" w:rsidP="003B100E">
      <w:pPr>
        <w:pStyle w:val="ListParagraph"/>
        <w:spacing w:after="0" w:line="360" w:lineRule="auto"/>
      </w:pPr>
    </w:p>
    <w:p w14:paraId="35013D4A" w14:textId="7AE8ED4F" w:rsidR="00F9518C" w:rsidRDefault="000B49FC" w:rsidP="000B49FC">
      <w:pPr>
        <w:widowControl w:val="0"/>
        <w:tabs>
          <w:tab w:val="left" w:pos="567"/>
          <w:tab w:val="right" w:pos="8640"/>
        </w:tabs>
        <w:spacing w:line="360" w:lineRule="auto"/>
        <w:jc w:val="both"/>
      </w:pPr>
      <w:r>
        <w:t>[10]</w:t>
      </w:r>
      <w:r>
        <w:tab/>
      </w:r>
      <w:r w:rsidR="00F9518C">
        <w:t xml:space="preserve">The plaintiff closed </w:t>
      </w:r>
      <w:r w:rsidR="00444F6C">
        <w:t>her</w:t>
      </w:r>
      <w:r w:rsidR="00F9518C">
        <w:t xml:space="preserve"> case.  The defendant did not lead any evidence. The evidence adduced by the plaintiff was not seriously challenged.  The qualifications of all the plaintiff’s expert witnesses were admitted.  Regard being had to their experience and content of their evidence, I accept the opinion evidence </w:t>
      </w:r>
      <w:r w:rsidR="00C34D1D">
        <w:t xml:space="preserve">given </w:t>
      </w:r>
      <w:r w:rsidR="00F9518C">
        <w:t xml:space="preserve">by each of the plaintiff’s expert witnesses.  The </w:t>
      </w:r>
      <w:r w:rsidR="00C34D1D">
        <w:t xml:space="preserve">objective </w:t>
      </w:r>
      <w:r w:rsidR="00F9518C">
        <w:t>opinions expressed by them were based on collateral facts provided by the plaintiff, Ms Coltman, Ms</w:t>
      </w:r>
      <w:r w:rsidR="00445B38">
        <w:t> </w:t>
      </w:r>
      <w:r w:rsidR="00F9518C">
        <w:t>Cannon and Ms Bond</w:t>
      </w:r>
      <w:r w:rsidR="00C34D1D">
        <w:t xml:space="preserve"> as well as the results of the tests performed by them</w:t>
      </w:r>
      <w:r w:rsidR="00F9518C">
        <w:t xml:space="preserve">.  In summary, the evidence adduced by plaintiff and her witnesses demonstrated that, had Declan not sustained the traumatic brain injury in the collision, he would probably have obtained a post graduate qualification in 2033 at the age of 21, advanced to </w:t>
      </w:r>
      <w:r w:rsidR="00644281">
        <w:t>middle management level at the ag</w:t>
      </w:r>
      <w:r w:rsidR="00C34D1D">
        <w:t>e</w:t>
      </w:r>
      <w:r w:rsidR="00644281">
        <w:t xml:space="preserve"> of 45 and thereafter continued working with the above average annual increments until he reached the </w:t>
      </w:r>
      <w:r w:rsidR="00644281">
        <w:lastRenderedPageBreak/>
        <w:t xml:space="preserve">retirement age of 65.  Now that Declan has sustained the traumatic brain injury, he has no earning capacity.  </w:t>
      </w:r>
    </w:p>
    <w:p w14:paraId="4D0A8F05" w14:textId="77777777" w:rsidR="00C06C81" w:rsidRDefault="00C06C81" w:rsidP="003B100E">
      <w:pPr>
        <w:pStyle w:val="ListParagraph"/>
        <w:spacing w:after="0" w:line="360" w:lineRule="auto"/>
      </w:pPr>
    </w:p>
    <w:p w14:paraId="10EF728F" w14:textId="57A89F02" w:rsidR="00C06C81" w:rsidRDefault="000B49FC" w:rsidP="000B49FC">
      <w:pPr>
        <w:widowControl w:val="0"/>
        <w:tabs>
          <w:tab w:val="left" w:pos="567"/>
          <w:tab w:val="right" w:pos="8640"/>
        </w:tabs>
        <w:spacing w:line="360" w:lineRule="auto"/>
        <w:jc w:val="both"/>
      </w:pPr>
      <w:r>
        <w:t>[11]</w:t>
      </w:r>
      <w:r>
        <w:tab/>
      </w:r>
      <w:r w:rsidR="00C959E2">
        <w:t>The quantification of a person</w:t>
      </w:r>
      <w:r w:rsidR="00D4142C">
        <w:t>’</w:t>
      </w:r>
      <w:r w:rsidR="00C959E2">
        <w:t xml:space="preserve">s future loss of income is not a matter of exact mathematical </w:t>
      </w:r>
      <w:r w:rsidR="0008155A">
        <w:t>calculation.  It is speculative and the court can therefore only make an estimate of the present value of the loss that it often a very rough estimate</w:t>
      </w:r>
      <w:r w:rsidR="00A8178D">
        <w:t>.  Courts have adopted the approach that, in order to assist in such a calculation, an actuarial computation is a useful basis for establishing the quantum of damages.</w:t>
      </w:r>
      <w:r w:rsidR="00A8178D">
        <w:rPr>
          <w:rStyle w:val="FootnoteReference"/>
        </w:rPr>
        <w:footnoteReference w:id="2"/>
      </w:r>
      <w:r w:rsidR="00A14EE4">
        <w:t xml:space="preserve">  </w:t>
      </w:r>
    </w:p>
    <w:p w14:paraId="40261D46" w14:textId="77777777" w:rsidR="00644281" w:rsidRDefault="00644281" w:rsidP="003B100E">
      <w:pPr>
        <w:pStyle w:val="ListParagraph"/>
        <w:spacing w:after="0" w:line="360" w:lineRule="auto"/>
      </w:pPr>
    </w:p>
    <w:p w14:paraId="478E7B89" w14:textId="0D217595" w:rsidR="00644281" w:rsidRDefault="000B49FC" w:rsidP="000B49FC">
      <w:pPr>
        <w:widowControl w:val="0"/>
        <w:tabs>
          <w:tab w:val="left" w:pos="567"/>
          <w:tab w:val="right" w:pos="8640"/>
        </w:tabs>
        <w:spacing w:line="360" w:lineRule="auto"/>
        <w:jc w:val="both"/>
      </w:pPr>
      <w:r>
        <w:t>[12]</w:t>
      </w:r>
      <w:r>
        <w:tab/>
      </w:r>
      <w:r w:rsidR="00644281">
        <w:t>The plaintiff employed Nil</w:t>
      </w:r>
      <w:r w:rsidR="00D82D05">
        <w:t xml:space="preserve">en </w:t>
      </w:r>
      <w:proofErr w:type="spellStart"/>
      <w:r w:rsidR="00D82D05">
        <w:t>Kambaran</w:t>
      </w:r>
      <w:proofErr w:type="spellEnd"/>
      <w:r w:rsidR="00D82D05">
        <w:t>, an actuary</w:t>
      </w:r>
      <w:r w:rsidR="00C34D1D">
        <w:t xml:space="preserve"> of Arch</w:t>
      </w:r>
      <w:r w:rsidR="00F26E10">
        <w:t xml:space="preserve"> Actuarial Consultancy,</w:t>
      </w:r>
      <w:r w:rsidR="00D82D05">
        <w:t xml:space="preserve"> to quantify the value of Declan’s loss of earnings resulting from the injuries that he sustained in the collision.  Mr </w:t>
      </w:r>
      <w:proofErr w:type="spellStart"/>
      <w:r w:rsidR="00D82D05">
        <w:t>Kambaran</w:t>
      </w:r>
      <w:proofErr w:type="spellEnd"/>
      <w:r w:rsidR="00D82D05">
        <w:t xml:space="preserve"> compiled a report which was based largely on the probable c</w:t>
      </w:r>
      <w:r w:rsidR="00414833">
        <w:t xml:space="preserve">areer path that Mr Martiny suggested </w:t>
      </w:r>
      <w:r w:rsidR="00864718">
        <w:t>that</w:t>
      </w:r>
      <w:r w:rsidR="00414833">
        <w:t xml:space="preserve"> Declan </w:t>
      </w:r>
      <w:r w:rsidR="00A13BB2">
        <w:t xml:space="preserve">would have followed had he </w:t>
      </w:r>
      <w:r w:rsidR="00414833">
        <w:t>not sustained those injuries</w:t>
      </w:r>
      <w:r w:rsidR="00A13BB2">
        <w:t xml:space="preserve">. </w:t>
      </w:r>
      <w:r w:rsidR="00843306">
        <w:t>He then calculated the present value of Declan’s future income in his uninjured state</w:t>
      </w:r>
      <w:r w:rsidR="0006141E">
        <w:t>.  From the calculated amount he made deductions on the basis of the standard earnings inflation, future CPI inflation, a discount rate, tax</w:t>
      </w:r>
      <w:r w:rsidR="003A66B2">
        <w:t xml:space="preserve">ation </w:t>
      </w:r>
      <w:r w:rsidR="0006141E">
        <w:t xml:space="preserve">and </w:t>
      </w:r>
      <w:r w:rsidR="003A66B2">
        <w:t xml:space="preserve">the </w:t>
      </w:r>
      <w:r w:rsidR="0006141E">
        <w:t>mortality</w:t>
      </w:r>
      <w:r w:rsidR="003A66B2">
        <w:t xml:space="preserve"> rate</w:t>
      </w:r>
      <w:r w:rsidR="0006141E">
        <w:t>.</w:t>
      </w:r>
      <w:r w:rsidR="003A66B2">
        <w:t xml:space="preserve">  </w:t>
      </w:r>
      <w:r w:rsidR="006E6E46">
        <w:t>He calculated that</w:t>
      </w:r>
      <w:r w:rsidR="001F49F2">
        <w:t xml:space="preserve">, after those deductions, </w:t>
      </w:r>
      <w:r w:rsidR="006E6E46">
        <w:t>Declan</w:t>
      </w:r>
      <w:r w:rsidR="001F49F2">
        <w:t xml:space="preserve"> would have</w:t>
      </w:r>
      <w:r w:rsidR="006E6E46">
        <w:t xml:space="preserve"> earned R14 999 352 by the time he retired</w:t>
      </w:r>
      <w:r w:rsidR="003A2B2E">
        <w:t>.</w:t>
      </w:r>
      <w:r w:rsidR="002D7531">
        <w:t xml:space="preserve"> The defendant has admitted the correctness of the content of</w:t>
      </w:r>
      <w:r w:rsidR="005D65E4">
        <w:t xml:space="preserve"> Mr</w:t>
      </w:r>
      <w:r w:rsidR="00144B52">
        <w:t> </w:t>
      </w:r>
      <w:proofErr w:type="spellStart"/>
      <w:r w:rsidR="005D65E4">
        <w:t>Kambaran’s</w:t>
      </w:r>
      <w:proofErr w:type="spellEnd"/>
      <w:r w:rsidR="002D7531">
        <w:t xml:space="preserve"> report.  </w:t>
      </w:r>
    </w:p>
    <w:p w14:paraId="5A21758A" w14:textId="77777777" w:rsidR="00994238" w:rsidRDefault="00994238" w:rsidP="003B100E">
      <w:pPr>
        <w:pStyle w:val="ListParagraph"/>
        <w:spacing w:after="0" w:line="360" w:lineRule="auto"/>
      </w:pPr>
    </w:p>
    <w:p w14:paraId="6C2A6E5C" w14:textId="2B2031C1" w:rsidR="009967B5" w:rsidRDefault="000B49FC" w:rsidP="000B49FC">
      <w:pPr>
        <w:widowControl w:val="0"/>
        <w:tabs>
          <w:tab w:val="left" w:pos="567"/>
          <w:tab w:val="right" w:pos="8640"/>
        </w:tabs>
        <w:spacing w:line="360" w:lineRule="auto"/>
        <w:jc w:val="both"/>
      </w:pPr>
      <w:r>
        <w:t>[13]</w:t>
      </w:r>
      <w:r>
        <w:tab/>
      </w:r>
      <w:r w:rsidR="009967B5">
        <w:t>In the light of a</w:t>
      </w:r>
      <w:r w:rsidR="00B473AA">
        <w:t xml:space="preserve">ll the evidence, the only issue to be decided is the contingency deduction to be applied to the claim </w:t>
      </w:r>
      <w:r w:rsidR="001F4217">
        <w:t xml:space="preserve">for </w:t>
      </w:r>
      <w:r w:rsidR="00B473AA">
        <w:t xml:space="preserve">Declan’s future loss of income </w:t>
      </w:r>
      <w:r w:rsidR="00695771">
        <w:t>because of</w:t>
      </w:r>
      <w:r w:rsidR="00B473AA">
        <w:t xml:space="preserve"> the absence of his earning capacity.  It was submitted on behalf of the plaintiff that a 20% contingency deduction should be applied to Declan’s future loss of income</w:t>
      </w:r>
      <w:r w:rsidR="001F4217">
        <w:t xml:space="preserve">. </w:t>
      </w:r>
      <w:r w:rsidR="00B473AA">
        <w:t xml:space="preserve">Ms Jeram, attorney for the defendant, suggested that a </w:t>
      </w:r>
      <w:r w:rsidR="000073CB">
        <w:t xml:space="preserve">contingency on a </w:t>
      </w:r>
      <w:r w:rsidR="00B473AA">
        <w:t>sliding scale of half a percent per annum</w:t>
      </w:r>
      <w:r w:rsidR="000073CB">
        <w:t xml:space="preserve"> should be applied </w:t>
      </w:r>
      <w:r w:rsidR="00B473AA">
        <w:t xml:space="preserve">from date of employment to date of retirement.  That </w:t>
      </w:r>
      <w:r w:rsidR="000073CB">
        <w:t xml:space="preserve">sliding </w:t>
      </w:r>
      <w:r w:rsidR="00B473AA">
        <w:t xml:space="preserve">scale is suggested in the 2023 edition of the </w:t>
      </w:r>
      <w:r w:rsidR="00B473AA" w:rsidRPr="000073CB">
        <w:rPr>
          <w:i/>
          <w:iCs/>
        </w:rPr>
        <w:t xml:space="preserve">Quantum </w:t>
      </w:r>
      <w:r w:rsidR="00B274AD" w:rsidRPr="000073CB">
        <w:rPr>
          <w:i/>
          <w:iCs/>
        </w:rPr>
        <w:t>Y</w:t>
      </w:r>
      <w:r w:rsidR="00B473AA" w:rsidRPr="000073CB">
        <w:rPr>
          <w:i/>
          <w:iCs/>
        </w:rPr>
        <w:t>earbook</w:t>
      </w:r>
      <w:r w:rsidR="00B473AA">
        <w:t xml:space="preserve"> </w:t>
      </w:r>
      <w:r w:rsidR="00B274AD">
        <w:t xml:space="preserve">by Robert J Koch.  </w:t>
      </w:r>
      <w:r w:rsidR="00385C4D">
        <w:t xml:space="preserve">If the suggested </w:t>
      </w:r>
      <w:r w:rsidR="00B274AD">
        <w:t>sliding scale is applied to the facts of this case, a general contingency of 21</w:t>
      </w:r>
      <w:r w:rsidR="00A21217">
        <w:rPr>
          <w:rFonts w:cs="Arial"/>
        </w:rPr>
        <w:t>½</w:t>
      </w:r>
      <w:r w:rsidR="00A21217">
        <w:t>%</w:t>
      </w:r>
      <w:r w:rsidR="003433A8">
        <w:t xml:space="preserve"> should be applied, since Declan would probably have </w:t>
      </w:r>
      <w:r w:rsidR="003460FD">
        <w:t>commenced</w:t>
      </w:r>
      <w:r w:rsidR="003433A8">
        <w:t xml:space="preserve"> employment in 2034 and would have retired in 2077 at age 65, having worked for 43 years</w:t>
      </w:r>
      <w:r w:rsidR="003460FD">
        <w:t xml:space="preserve">.  </w:t>
      </w:r>
      <w:r w:rsidR="00450BF7">
        <w:t xml:space="preserve">Without realising the effect of her submission if applied to the facts of this case, Ms Jeram concluded </w:t>
      </w:r>
      <w:r w:rsidR="004B4666">
        <w:t xml:space="preserve">her submissions </w:t>
      </w:r>
      <w:r w:rsidR="00625560">
        <w:t>that a contingency deduction</w:t>
      </w:r>
      <w:r w:rsidR="00165D5E">
        <w:t xml:space="preserve"> of between 30 and 35% </w:t>
      </w:r>
      <w:r w:rsidR="00625560">
        <w:t xml:space="preserve">would </w:t>
      </w:r>
      <w:r w:rsidR="00625560">
        <w:lastRenderedPageBreak/>
        <w:t>be fair.</w:t>
      </w:r>
      <w:r w:rsidR="00685638">
        <w:t xml:space="preserve"> It means that, on the </w:t>
      </w:r>
      <w:r w:rsidR="002A757E">
        <w:t xml:space="preserve">one </w:t>
      </w:r>
      <w:r w:rsidR="00685638">
        <w:t>hand, she submitted that a contingency of 21</w:t>
      </w:r>
      <w:r w:rsidR="00685638">
        <w:rPr>
          <w:rFonts w:cs="Arial"/>
        </w:rPr>
        <w:t>½</w:t>
      </w:r>
      <w:r w:rsidR="00D40F78">
        <w:t>% would be fair while, on the other hand, she submitted that a contingency deduction</w:t>
      </w:r>
      <w:r w:rsidR="00A84415">
        <w:t xml:space="preserve"> between 30</w:t>
      </w:r>
      <w:r w:rsidR="00144B52">
        <w:t> </w:t>
      </w:r>
      <w:r w:rsidR="00A84415">
        <w:t>and 35% would also be fair</w:t>
      </w:r>
      <w:r w:rsidR="00785480">
        <w:t>.</w:t>
      </w:r>
      <w:r w:rsidR="000303A9">
        <w:t xml:space="preserve">  </w:t>
      </w:r>
    </w:p>
    <w:p w14:paraId="4125404D" w14:textId="375706A9" w:rsidR="000303A9" w:rsidRDefault="000303A9" w:rsidP="00292371">
      <w:pPr>
        <w:widowControl w:val="0"/>
        <w:tabs>
          <w:tab w:val="right" w:pos="8640"/>
        </w:tabs>
        <w:spacing w:line="360" w:lineRule="auto"/>
        <w:ind w:left="567"/>
        <w:jc w:val="both"/>
      </w:pPr>
    </w:p>
    <w:p w14:paraId="08700BF9" w14:textId="58B4CCC3" w:rsidR="000303A9" w:rsidRDefault="000B49FC" w:rsidP="000B49FC">
      <w:pPr>
        <w:widowControl w:val="0"/>
        <w:tabs>
          <w:tab w:val="left" w:pos="567"/>
          <w:tab w:val="right" w:pos="8640"/>
        </w:tabs>
        <w:spacing w:line="360" w:lineRule="auto"/>
        <w:jc w:val="both"/>
      </w:pPr>
      <w:r>
        <w:t>[14]</w:t>
      </w:r>
      <w:r>
        <w:tab/>
      </w:r>
      <w:r w:rsidR="000303A9">
        <w:t xml:space="preserve">The assessment of an appropriate allowance for contingencies </w:t>
      </w:r>
      <w:r w:rsidR="00381C61">
        <w:t xml:space="preserve">is arbitrary </w:t>
      </w:r>
      <w:r w:rsidR="009C4BA2">
        <w:t xml:space="preserve">and subjective.  It </w:t>
      </w:r>
      <w:r w:rsidR="000303A9">
        <w:t xml:space="preserve">cannot be accurately calculated.  In </w:t>
      </w:r>
      <w:r w:rsidR="009C4BA2">
        <w:rPr>
          <w:i/>
          <w:iCs/>
        </w:rPr>
        <w:t>Goodall</w:t>
      </w:r>
      <w:r w:rsidR="000303A9">
        <w:rPr>
          <w:i/>
          <w:iCs/>
        </w:rPr>
        <w:t xml:space="preserve"> v </w:t>
      </w:r>
      <w:r w:rsidR="00464E92">
        <w:rPr>
          <w:i/>
          <w:iCs/>
        </w:rPr>
        <w:t>President Insurance Co</w:t>
      </w:r>
      <w:r w:rsidR="00AF1A3A">
        <w:rPr>
          <w:i/>
          <w:iCs/>
        </w:rPr>
        <w:t> </w:t>
      </w:r>
      <w:r w:rsidR="00464E92">
        <w:rPr>
          <w:i/>
          <w:iCs/>
        </w:rPr>
        <w:t>Ltd</w:t>
      </w:r>
      <w:r w:rsidR="000303A9" w:rsidRPr="003B100E">
        <w:rPr>
          <w:rStyle w:val="FootnoteReference"/>
        </w:rPr>
        <w:footnoteReference w:id="3"/>
      </w:r>
      <w:r w:rsidR="000303A9">
        <w:rPr>
          <w:i/>
          <w:iCs/>
        </w:rPr>
        <w:t xml:space="preserve"> </w:t>
      </w:r>
      <w:r w:rsidR="000303A9">
        <w:t>it was held that:</w:t>
      </w:r>
    </w:p>
    <w:p w14:paraId="447758BA" w14:textId="5726B03E" w:rsidR="000303A9" w:rsidRDefault="00351E3F" w:rsidP="00292371">
      <w:pPr>
        <w:widowControl w:val="0"/>
        <w:tabs>
          <w:tab w:val="right" w:pos="8640"/>
        </w:tabs>
        <w:spacing w:line="360" w:lineRule="auto"/>
        <w:jc w:val="both"/>
      </w:pPr>
      <w:r>
        <w:rPr>
          <w:sz w:val="20"/>
        </w:rPr>
        <w:t>‘</w:t>
      </w:r>
      <w:r w:rsidR="00FE62FF" w:rsidRPr="0097454F">
        <w:rPr>
          <w:sz w:val="22"/>
          <w:szCs w:val="22"/>
        </w:rPr>
        <w:t>I</w:t>
      </w:r>
      <w:r w:rsidR="000303A9" w:rsidRPr="0097454F">
        <w:rPr>
          <w:sz w:val="22"/>
          <w:szCs w:val="22"/>
        </w:rPr>
        <w:t>n the assessment of a proper allowance for contingenc</w:t>
      </w:r>
      <w:r w:rsidR="009246C0" w:rsidRPr="0097454F">
        <w:rPr>
          <w:sz w:val="22"/>
          <w:szCs w:val="22"/>
        </w:rPr>
        <w:t>ies</w:t>
      </w:r>
      <w:r w:rsidR="000303A9" w:rsidRPr="0097454F">
        <w:rPr>
          <w:sz w:val="22"/>
          <w:szCs w:val="22"/>
        </w:rPr>
        <w:t xml:space="preserve">, arbitrary considerations must inevitably play a part, for the art </w:t>
      </w:r>
      <w:r w:rsidR="009246C0" w:rsidRPr="0097454F">
        <w:rPr>
          <w:sz w:val="22"/>
          <w:szCs w:val="22"/>
        </w:rPr>
        <w:t>or</w:t>
      </w:r>
      <w:r w:rsidR="000303A9" w:rsidRPr="0097454F">
        <w:rPr>
          <w:sz w:val="22"/>
          <w:szCs w:val="22"/>
        </w:rPr>
        <w:t xml:space="preserve"> science of foretelling the future, so confidently practi</w:t>
      </w:r>
      <w:r w:rsidR="009246C0" w:rsidRPr="0097454F">
        <w:rPr>
          <w:sz w:val="22"/>
          <w:szCs w:val="22"/>
        </w:rPr>
        <w:t>sed</w:t>
      </w:r>
      <w:r w:rsidR="000303A9" w:rsidRPr="0097454F">
        <w:rPr>
          <w:sz w:val="22"/>
          <w:szCs w:val="22"/>
        </w:rPr>
        <w:t xml:space="preserve"> by ancient prophets and </w:t>
      </w:r>
      <w:r w:rsidR="003C3E7C" w:rsidRPr="0097454F">
        <w:rPr>
          <w:sz w:val="22"/>
          <w:szCs w:val="22"/>
        </w:rPr>
        <w:t>soothsayers</w:t>
      </w:r>
      <w:r w:rsidR="009246C0" w:rsidRPr="0097454F">
        <w:rPr>
          <w:sz w:val="22"/>
          <w:szCs w:val="22"/>
        </w:rPr>
        <w:t>,</w:t>
      </w:r>
      <w:r w:rsidR="003C3E7C" w:rsidRPr="0097454F">
        <w:rPr>
          <w:sz w:val="22"/>
          <w:szCs w:val="22"/>
        </w:rPr>
        <w:t xml:space="preserve"> and by modern authors of a certain type of almanack</w:t>
      </w:r>
      <w:r w:rsidR="009246C0" w:rsidRPr="0097454F">
        <w:rPr>
          <w:sz w:val="22"/>
          <w:szCs w:val="22"/>
        </w:rPr>
        <w:t>,</w:t>
      </w:r>
      <w:r w:rsidR="003C3E7C" w:rsidRPr="0097454F">
        <w:rPr>
          <w:sz w:val="22"/>
          <w:szCs w:val="22"/>
        </w:rPr>
        <w:t xml:space="preserve"> is not</w:t>
      </w:r>
      <w:r w:rsidRPr="0097454F">
        <w:rPr>
          <w:sz w:val="22"/>
          <w:szCs w:val="22"/>
        </w:rPr>
        <w:t xml:space="preserve"> numbered among the qualifications of judicial office</w:t>
      </w:r>
      <w:r w:rsidR="00A817A2">
        <w:rPr>
          <w:sz w:val="20"/>
        </w:rPr>
        <w:t>.</w:t>
      </w:r>
      <w:r>
        <w:rPr>
          <w:sz w:val="20"/>
        </w:rPr>
        <w:t>’</w:t>
      </w:r>
    </w:p>
    <w:p w14:paraId="3DF7C082" w14:textId="77777777" w:rsidR="000303A9" w:rsidRDefault="000303A9" w:rsidP="003B100E">
      <w:pPr>
        <w:pStyle w:val="ListParagraph"/>
        <w:spacing w:after="0" w:line="360" w:lineRule="auto"/>
      </w:pPr>
    </w:p>
    <w:p w14:paraId="16BF563B" w14:textId="1E7063E3" w:rsidR="000303A9" w:rsidRDefault="000B49FC" w:rsidP="000B49FC">
      <w:pPr>
        <w:widowControl w:val="0"/>
        <w:tabs>
          <w:tab w:val="left" w:pos="567"/>
          <w:tab w:val="right" w:pos="8640"/>
        </w:tabs>
        <w:spacing w:line="360" w:lineRule="auto"/>
        <w:jc w:val="both"/>
      </w:pPr>
      <w:r>
        <w:t>[15]</w:t>
      </w:r>
      <w:r>
        <w:tab/>
      </w:r>
      <w:r w:rsidR="00FE62FF">
        <w:t>The rate of contingency deductions</w:t>
      </w:r>
      <w:r w:rsidR="00ED2EC2">
        <w:t xml:space="preserve"> various from case to case.  It cannot be assessed on any logical basis.  It </w:t>
      </w:r>
      <w:r w:rsidR="00FE62FF">
        <w:t xml:space="preserve">is largely arbitrary </w:t>
      </w:r>
      <w:r w:rsidR="00ED2EC2">
        <w:t xml:space="preserve">and must </w:t>
      </w:r>
      <w:r w:rsidR="00FE62FF">
        <w:t xml:space="preserve">depend </w:t>
      </w:r>
      <w:r w:rsidR="002E021A">
        <w:t xml:space="preserve">on the </w:t>
      </w:r>
      <w:r w:rsidR="00ED2EC2">
        <w:t xml:space="preserve">trial </w:t>
      </w:r>
      <w:r w:rsidR="002E021A">
        <w:t>judge</w:t>
      </w:r>
      <w:r w:rsidR="00ED2EC2">
        <w:t>’</w:t>
      </w:r>
      <w:r w:rsidR="002E021A">
        <w:t>s impression of the case.</w:t>
      </w:r>
      <w:r w:rsidR="002E021A">
        <w:rPr>
          <w:rStyle w:val="FootnoteReference"/>
        </w:rPr>
        <w:footnoteReference w:id="4"/>
      </w:r>
    </w:p>
    <w:p w14:paraId="5DB3ADAC" w14:textId="46D6F61E" w:rsidR="002E021A" w:rsidRDefault="002E021A" w:rsidP="00292371">
      <w:pPr>
        <w:widowControl w:val="0"/>
        <w:tabs>
          <w:tab w:val="right" w:pos="8640"/>
        </w:tabs>
        <w:spacing w:line="360" w:lineRule="auto"/>
        <w:ind w:left="567"/>
        <w:jc w:val="both"/>
      </w:pPr>
    </w:p>
    <w:p w14:paraId="42D0AAFB" w14:textId="3529C4D1" w:rsidR="002E021A" w:rsidRDefault="000B49FC" w:rsidP="000B49FC">
      <w:pPr>
        <w:widowControl w:val="0"/>
        <w:tabs>
          <w:tab w:val="left" w:pos="567"/>
          <w:tab w:val="right" w:pos="8640"/>
        </w:tabs>
        <w:spacing w:line="360" w:lineRule="auto"/>
        <w:jc w:val="both"/>
      </w:pPr>
      <w:r>
        <w:t>[16]</w:t>
      </w:r>
      <w:r>
        <w:tab/>
      </w:r>
      <w:r w:rsidR="005A0A13">
        <w:t xml:space="preserve">I have had regard to previous awards to </w:t>
      </w:r>
      <w:r w:rsidR="000A2C32">
        <w:t xml:space="preserve">assist with the </w:t>
      </w:r>
      <w:r w:rsidR="005A0A13">
        <w:t>determin</w:t>
      </w:r>
      <w:r w:rsidR="000A2C32">
        <w:t xml:space="preserve">ation of </w:t>
      </w:r>
      <w:r w:rsidR="005A0A13">
        <w:t xml:space="preserve">an appropriate contingency deduction. </w:t>
      </w:r>
      <w:r w:rsidR="002E021A">
        <w:t xml:space="preserve">In </w:t>
      </w:r>
      <w:r w:rsidR="000A2C32" w:rsidRPr="000A2C32">
        <w:rPr>
          <w:i/>
          <w:iCs/>
        </w:rPr>
        <w:t>Wr</w:t>
      </w:r>
      <w:r w:rsidR="002E021A" w:rsidRPr="002E021A">
        <w:rPr>
          <w:i/>
          <w:iCs/>
        </w:rPr>
        <w:t xml:space="preserve">ight v Road Accident </w:t>
      </w:r>
      <w:r w:rsidR="002E021A" w:rsidRPr="000A2C32">
        <w:rPr>
          <w:i/>
          <w:iCs/>
        </w:rPr>
        <w:t>Fund</w:t>
      </w:r>
      <w:r w:rsidR="000A2C32">
        <w:rPr>
          <w:rStyle w:val="FootnoteReference"/>
        </w:rPr>
        <w:footnoteReference w:id="5"/>
      </w:r>
      <w:r w:rsidR="000A2C32">
        <w:t xml:space="preserve"> </w:t>
      </w:r>
      <w:r w:rsidR="002E021A" w:rsidRPr="000A2C32">
        <w:t>the</w:t>
      </w:r>
      <w:r w:rsidR="002E021A">
        <w:t xml:space="preserve"> plaintiff, who was 21 years of age at the time of the motor vehicle collision in which he sustained severe bodily injuries</w:t>
      </w:r>
      <w:r w:rsidR="00FC4D51">
        <w:t xml:space="preserve"> which rendered him unemployable</w:t>
      </w:r>
      <w:r w:rsidR="002E021A">
        <w:t xml:space="preserve">, intended to embark upon a career as an artisan </w:t>
      </w:r>
      <w:r w:rsidR="005D0814">
        <w:t>where working conditions were necessarily mo</w:t>
      </w:r>
      <w:r w:rsidR="005D0A75">
        <w:t>re</w:t>
      </w:r>
      <w:r w:rsidR="005D0814">
        <w:t xml:space="preserve"> hazardous than a career behind </w:t>
      </w:r>
      <w:r w:rsidR="005D0A75">
        <w:t xml:space="preserve">a </w:t>
      </w:r>
      <w:r w:rsidR="005D0814">
        <w:t>desk</w:t>
      </w:r>
      <w:r w:rsidR="005D0A75">
        <w:t xml:space="preserve">.  </w:t>
      </w:r>
      <w:r w:rsidR="005D0814">
        <w:t>The court was of the view that a 15%</w:t>
      </w:r>
      <w:r w:rsidR="00E83A96">
        <w:t> </w:t>
      </w:r>
      <w:r w:rsidR="005D0814">
        <w:t>premorbid co</w:t>
      </w:r>
      <w:r w:rsidR="002571B7">
        <w:t xml:space="preserve">ntingency deduction was appropriate in that case.  In </w:t>
      </w:r>
      <w:r w:rsidR="002571B7">
        <w:rPr>
          <w:i/>
          <w:iCs/>
        </w:rPr>
        <w:t>M</w:t>
      </w:r>
      <w:r w:rsidR="00CF123E">
        <w:rPr>
          <w:i/>
          <w:iCs/>
        </w:rPr>
        <w:t> </w:t>
      </w:r>
      <w:r w:rsidR="002571B7">
        <w:rPr>
          <w:i/>
          <w:iCs/>
        </w:rPr>
        <w:t>v</w:t>
      </w:r>
      <w:r w:rsidR="00CF123E">
        <w:rPr>
          <w:i/>
          <w:iCs/>
        </w:rPr>
        <w:t> </w:t>
      </w:r>
      <w:r w:rsidR="002571B7">
        <w:rPr>
          <w:i/>
          <w:iCs/>
        </w:rPr>
        <w:t>Road</w:t>
      </w:r>
      <w:r w:rsidR="00CF123E">
        <w:rPr>
          <w:i/>
          <w:iCs/>
        </w:rPr>
        <w:t> </w:t>
      </w:r>
      <w:r w:rsidR="002571B7">
        <w:rPr>
          <w:i/>
          <w:iCs/>
        </w:rPr>
        <w:t>Accident Fund</w:t>
      </w:r>
      <w:r w:rsidR="002571B7" w:rsidRPr="003B100E">
        <w:rPr>
          <w:rStyle w:val="FootnoteReference"/>
        </w:rPr>
        <w:footnoteReference w:id="6"/>
      </w:r>
      <w:r w:rsidR="009D3C13">
        <w:t xml:space="preserve"> a minor</w:t>
      </w:r>
      <w:r w:rsidR="005D0A75">
        <w:t xml:space="preserve">, </w:t>
      </w:r>
      <w:r w:rsidR="009D3C13">
        <w:t>who was 13 years old at the time of the collision and in grade 9, sustained a severe injury which caused the amputation of his right leg above the knee.  Before the collision the minor had not failed a grade.  After the collision, he was condoned to the next grade.  The court accepted the educational psychologist</w:t>
      </w:r>
      <w:r w:rsidR="005D0A75">
        <w:t>’s evidence</w:t>
      </w:r>
      <w:r w:rsidR="009D3C13">
        <w:t xml:space="preserve"> that </w:t>
      </w:r>
      <w:proofErr w:type="spellStart"/>
      <w:r w:rsidR="009D3C13">
        <w:t>premorbidly</w:t>
      </w:r>
      <w:proofErr w:type="spellEnd"/>
      <w:r w:rsidR="009D3C13">
        <w:t xml:space="preserve"> the minor had an</w:t>
      </w:r>
      <w:r w:rsidR="00AB66F7">
        <w:t xml:space="preserve"> above to superior</w:t>
      </w:r>
      <w:r w:rsidR="009D3C13">
        <w:t xml:space="preserve"> intelligence.  </w:t>
      </w:r>
      <w:r w:rsidR="0005701D">
        <w:t xml:space="preserve">A contingency deduction of 20% was applied to the minor’s future premorbid loss of income.  In </w:t>
      </w:r>
      <w:proofErr w:type="spellStart"/>
      <w:r w:rsidR="0005701D">
        <w:rPr>
          <w:i/>
          <w:iCs/>
        </w:rPr>
        <w:t>Va</w:t>
      </w:r>
      <w:r w:rsidR="00F11949">
        <w:rPr>
          <w:i/>
          <w:iCs/>
        </w:rPr>
        <w:t>ka</w:t>
      </w:r>
      <w:r w:rsidR="00CD1D81">
        <w:rPr>
          <w:i/>
          <w:iCs/>
        </w:rPr>
        <w:t>ta</w:t>
      </w:r>
      <w:proofErr w:type="spellEnd"/>
      <w:r w:rsidR="00CD1D81">
        <w:rPr>
          <w:i/>
          <w:iCs/>
        </w:rPr>
        <w:t xml:space="preserve"> v Road Accident Fund</w:t>
      </w:r>
      <w:r w:rsidR="00E6743E" w:rsidRPr="003B100E">
        <w:rPr>
          <w:rStyle w:val="FootnoteReference"/>
        </w:rPr>
        <w:footnoteReference w:id="7"/>
      </w:r>
      <w:r w:rsidR="0029000F">
        <w:rPr>
          <w:i/>
          <w:iCs/>
        </w:rPr>
        <w:t xml:space="preserve"> </w:t>
      </w:r>
      <w:r w:rsidR="0029000F">
        <w:t xml:space="preserve">a </w:t>
      </w:r>
      <w:r w:rsidR="00C738D2">
        <w:t>three-year-old</w:t>
      </w:r>
      <w:r w:rsidR="0029000F">
        <w:t xml:space="preserve"> girl sustained a moderately severe brain injury with a scalp fracture and probable diffuse injury.  Cognitive </w:t>
      </w:r>
      <w:r w:rsidR="008364BC">
        <w:lastRenderedPageBreak/>
        <w:t>def</w:t>
      </w:r>
      <w:r w:rsidR="00AB66F7">
        <w:t>i</w:t>
      </w:r>
      <w:r w:rsidR="008364BC">
        <w:t>c</w:t>
      </w:r>
      <w:r w:rsidR="00AB66F7">
        <w:t>i</w:t>
      </w:r>
      <w:r w:rsidR="008364BC">
        <w:t>t in the form of limited ability to learn new information, impair</w:t>
      </w:r>
      <w:r w:rsidR="00B15B2A">
        <w:t>ment</w:t>
      </w:r>
      <w:r w:rsidR="008364BC">
        <w:t xml:space="preserve"> of executive functioning, </w:t>
      </w:r>
      <w:r w:rsidR="0034649F">
        <w:t>disinhibition</w:t>
      </w:r>
      <w:r w:rsidR="00990DFE">
        <w:t xml:space="preserve"> and lack of control of emotions, limited insight</w:t>
      </w:r>
      <w:r w:rsidR="00C738D2">
        <w:t xml:space="preserve"> and behavioural difficulties presented themselves after she had sustained the above injuries.</w:t>
      </w:r>
      <w:r w:rsidR="006E67A8">
        <w:t xml:space="preserve"> </w:t>
      </w:r>
      <w:r w:rsidR="00C738D2">
        <w:t xml:space="preserve">Her intellectual abilities fell within the range of mild retardation and rendered her unemployable in the open labour market.  The court applied a contingency deduction of 20% to her claim for future loss of income.  </w:t>
      </w:r>
      <w:r w:rsidR="00086583">
        <w:t xml:space="preserve">In </w:t>
      </w:r>
      <w:r w:rsidR="00086583">
        <w:rPr>
          <w:i/>
          <w:iCs/>
        </w:rPr>
        <w:t>Khoza v MEC for Health, Gauteng</w:t>
      </w:r>
      <w:r w:rsidR="00086583" w:rsidRPr="003B100E">
        <w:rPr>
          <w:rStyle w:val="FootnoteReference"/>
        </w:rPr>
        <w:footnoteReference w:id="8"/>
      </w:r>
      <w:r w:rsidR="00A72F36">
        <w:rPr>
          <w:i/>
          <w:iCs/>
        </w:rPr>
        <w:t xml:space="preserve"> </w:t>
      </w:r>
      <w:r w:rsidR="00A72F36">
        <w:t xml:space="preserve">the agreed loss of future earnings of the appellant’s minor son was R1 783 958, subject to an appropriate contingency deduction.  </w:t>
      </w:r>
      <w:r w:rsidR="001C3184">
        <w:t xml:space="preserve">The minor boy suffered severe brain damage during labour caused by negligence of the </w:t>
      </w:r>
      <w:r w:rsidR="00A0487B">
        <w:t xml:space="preserve">staff </w:t>
      </w:r>
      <w:r w:rsidR="001C3184">
        <w:t xml:space="preserve">at the hospital where he was born.  </w:t>
      </w:r>
      <w:r w:rsidR="00A72F36">
        <w:t>The High</w:t>
      </w:r>
      <w:r w:rsidR="00E56A78">
        <w:t> </w:t>
      </w:r>
      <w:r w:rsidR="00A72F36">
        <w:t xml:space="preserve">Court made a 35% contingency deduction from that amount. The basis for that percentage deduction </w:t>
      </w:r>
      <w:r w:rsidR="00FD49C7">
        <w:t>was the division of the difference between the contingency contended for on behalf of the minor (20%) and the Road Accident Fund (50%)</w:t>
      </w:r>
      <w:r w:rsidR="00BD3C83">
        <w:t>.  The percentage deduction was one of the grounds of appeal</w:t>
      </w:r>
      <w:r w:rsidR="007B17A2">
        <w:t>.  T</w:t>
      </w:r>
      <w:r w:rsidR="00BD3C83">
        <w:t>he Supreme Court of Appeal</w:t>
      </w:r>
      <w:r w:rsidR="007B17A2">
        <w:t xml:space="preserve"> was critical of the </w:t>
      </w:r>
      <w:r w:rsidR="007212E1">
        <w:t>way</w:t>
      </w:r>
      <w:r w:rsidR="007B17A2">
        <w:t xml:space="preserve"> the High Court arrived at </w:t>
      </w:r>
      <w:r w:rsidR="00A37819">
        <w:t xml:space="preserve">a contingency deduction of 35%, stating that it was devoid of any rational connection between </w:t>
      </w:r>
      <w:r w:rsidR="0004633B">
        <w:t>how</w:t>
      </w:r>
      <w:r w:rsidR="00541683">
        <w:t xml:space="preserve"> the decision was made and the result of the decision-making process.  It s</w:t>
      </w:r>
      <w:r w:rsidR="00812DCC">
        <w:t xml:space="preserve">et aside that percentage deduction and, </w:t>
      </w:r>
      <w:r w:rsidR="0004633B">
        <w:t>considering</w:t>
      </w:r>
      <w:r w:rsidR="00812DCC">
        <w:t xml:space="preserve"> the facts of that case, replaced it with a contingency deduction of 20%.  </w:t>
      </w:r>
    </w:p>
    <w:p w14:paraId="5608AE94" w14:textId="4DEE3A0D" w:rsidR="00C738D2" w:rsidRDefault="00C738D2" w:rsidP="00292371">
      <w:pPr>
        <w:widowControl w:val="0"/>
        <w:tabs>
          <w:tab w:val="right" w:pos="8640"/>
        </w:tabs>
        <w:spacing w:line="360" w:lineRule="auto"/>
        <w:ind w:left="567"/>
        <w:jc w:val="both"/>
      </w:pPr>
    </w:p>
    <w:p w14:paraId="63B1B7B1" w14:textId="0F1F0C5B" w:rsidR="00C738D2" w:rsidRDefault="000B49FC" w:rsidP="000B49FC">
      <w:pPr>
        <w:widowControl w:val="0"/>
        <w:tabs>
          <w:tab w:val="left" w:pos="567"/>
          <w:tab w:val="right" w:pos="8640"/>
        </w:tabs>
        <w:spacing w:line="360" w:lineRule="auto"/>
        <w:jc w:val="both"/>
      </w:pPr>
      <w:r>
        <w:t>[17]</w:t>
      </w:r>
      <w:r>
        <w:tab/>
      </w:r>
      <w:r w:rsidR="00036D41">
        <w:t>In my view, a contingency deduction of 20% should be applied</w:t>
      </w:r>
      <w:r w:rsidR="005B3B08">
        <w:t xml:space="preserve"> in this case</w:t>
      </w:r>
      <w:r w:rsidR="00036D41">
        <w:t>, regard being had to the fact that Declan was ahead of his age cohort at school; he showed leadership qualities from a young age; he demonstrated empathy and emotional maturity beyond his years; and he came from a family of well-educated persons who valued education.</w:t>
      </w:r>
      <w:r w:rsidR="00C738D2">
        <w:t xml:space="preserve"> </w:t>
      </w:r>
      <w:r w:rsidR="005B3B08">
        <w:t xml:space="preserve">The R14 999 352 should accordingly be subjected to </w:t>
      </w:r>
      <w:r w:rsidR="00C738D2">
        <w:t>a 20%</w:t>
      </w:r>
      <w:r w:rsidR="00405439">
        <w:t> </w:t>
      </w:r>
      <w:r w:rsidR="00C738D2">
        <w:t>contingency deduction</w:t>
      </w:r>
      <w:r w:rsidR="00556B19">
        <w:t xml:space="preserve">, which </w:t>
      </w:r>
      <w:r w:rsidR="00593104">
        <w:t>place</w:t>
      </w:r>
      <w:r w:rsidR="00556B19">
        <w:t>s</w:t>
      </w:r>
      <w:r w:rsidR="00593104">
        <w:t xml:space="preserve"> the plaintiff’s claim in this regard </w:t>
      </w:r>
      <w:r w:rsidR="0027716B">
        <w:t xml:space="preserve">at </w:t>
      </w:r>
      <w:r w:rsidR="00593104">
        <w:t>R11</w:t>
      </w:r>
      <w:r w:rsidR="0069545D">
        <w:t> </w:t>
      </w:r>
      <w:r w:rsidR="00593104">
        <w:t>999</w:t>
      </w:r>
      <w:r w:rsidR="0069545D">
        <w:t xml:space="preserve"> 482.  The claim is subject to the limitations placed on the </w:t>
      </w:r>
      <w:r w:rsidR="0027716B">
        <w:t xml:space="preserve">defendant’s </w:t>
      </w:r>
      <w:r w:rsidR="0069545D">
        <w:t>liability by section 17(4)</w:t>
      </w:r>
      <w:r w:rsidR="0069545D" w:rsidRPr="003B100E">
        <w:rPr>
          <w:i/>
          <w:iCs/>
        </w:rPr>
        <w:t>(c)</w:t>
      </w:r>
      <w:r w:rsidR="0069545D">
        <w:t xml:space="preserve"> of the Road Accident Fund Act 56 of 1996.  That section sets a </w:t>
      </w:r>
      <w:r w:rsidR="007D1FA4">
        <w:t>monetary</w:t>
      </w:r>
      <w:r w:rsidR="0069545D">
        <w:t xml:space="preserve"> limit on the plaintiff's claim for loss of income</w:t>
      </w:r>
      <w:r w:rsidR="007D1FA4">
        <w:t>.</w:t>
      </w:r>
      <w:r w:rsidR="0069545D">
        <w:rPr>
          <w:rStyle w:val="FootnoteReference"/>
        </w:rPr>
        <w:footnoteReference w:id="9"/>
      </w:r>
      <w:r w:rsidR="00595929">
        <w:t xml:space="preserve">  After the application of the limitation contained in section 17(4)</w:t>
      </w:r>
      <w:r w:rsidR="00595929" w:rsidRPr="003B100E">
        <w:rPr>
          <w:i/>
          <w:iCs/>
        </w:rPr>
        <w:t>(c)</w:t>
      </w:r>
      <w:r w:rsidR="00595929">
        <w:t>, the plaintiff’s claim amounts to R10 872</w:t>
      </w:r>
      <w:r w:rsidR="00FA6F77">
        <w:t> </w:t>
      </w:r>
      <w:r w:rsidR="00595929">
        <w:t>389</w:t>
      </w:r>
      <w:r w:rsidR="00FA6F77">
        <w:t>.</w:t>
      </w:r>
    </w:p>
    <w:p w14:paraId="4C7371F2" w14:textId="77777777" w:rsidR="004B0028" w:rsidRPr="00742B35" w:rsidRDefault="004B0028" w:rsidP="003B100E">
      <w:pPr>
        <w:pStyle w:val="ListParagraph"/>
        <w:spacing w:after="0" w:line="360" w:lineRule="auto"/>
        <w:rPr>
          <w:rFonts w:ascii="Arial" w:hAnsi="Arial" w:cs="Arial"/>
          <w:sz w:val="24"/>
          <w:szCs w:val="24"/>
        </w:rPr>
      </w:pPr>
    </w:p>
    <w:p w14:paraId="3869C33B" w14:textId="61780FB4" w:rsidR="004B0028" w:rsidRPr="00946FAD" w:rsidRDefault="000B49FC" w:rsidP="000B49FC">
      <w:pPr>
        <w:widowControl w:val="0"/>
        <w:tabs>
          <w:tab w:val="left" w:pos="567"/>
          <w:tab w:val="right" w:pos="8640"/>
        </w:tabs>
        <w:spacing w:line="360" w:lineRule="auto"/>
        <w:jc w:val="both"/>
        <w:rPr>
          <w:rFonts w:cs="Arial"/>
          <w:szCs w:val="24"/>
        </w:rPr>
      </w:pPr>
      <w:r w:rsidRPr="00946FAD">
        <w:rPr>
          <w:rFonts w:cs="Arial"/>
          <w:szCs w:val="24"/>
        </w:rPr>
        <w:t>[18]</w:t>
      </w:r>
      <w:r w:rsidRPr="00946FAD">
        <w:rPr>
          <w:rFonts w:cs="Arial"/>
          <w:szCs w:val="24"/>
        </w:rPr>
        <w:tab/>
      </w:r>
      <w:r w:rsidR="004B0028" w:rsidRPr="00742B35">
        <w:rPr>
          <w:rFonts w:cs="Arial"/>
          <w:szCs w:val="24"/>
        </w:rPr>
        <w:t xml:space="preserve">Regarding costs, the plaintiff was successful and is accordingly entitled to the costs of establishing her claim for loss of income.  </w:t>
      </w:r>
      <w:r w:rsidR="00697EE5" w:rsidRPr="00742B35">
        <w:rPr>
          <w:rFonts w:cs="Arial"/>
          <w:szCs w:val="24"/>
        </w:rPr>
        <w:t>Those costs include the costs</w:t>
      </w:r>
      <w:r w:rsidR="000C70F1">
        <w:rPr>
          <w:rFonts w:cs="Arial"/>
          <w:szCs w:val="24"/>
        </w:rPr>
        <w:t xml:space="preserve"> and expenses </w:t>
      </w:r>
      <w:r w:rsidR="00697EE5" w:rsidRPr="00742B35">
        <w:rPr>
          <w:rFonts w:cs="Arial"/>
          <w:szCs w:val="24"/>
        </w:rPr>
        <w:t xml:space="preserve">relevant to the attendance of Messrs Meyer, Goosen and Martiny, but exclude the </w:t>
      </w:r>
      <w:r w:rsidR="00697EE5" w:rsidRPr="00742B35">
        <w:rPr>
          <w:rFonts w:cs="Arial"/>
          <w:szCs w:val="24"/>
        </w:rPr>
        <w:lastRenderedPageBreak/>
        <w:t xml:space="preserve">attendance costs and expenses relating to Ms van Zyl.  When it was enquired why there was </w:t>
      </w:r>
      <w:r w:rsidR="00495B03" w:rsidRPr="00742B35">
        <w:rPr>
          <w:rFonts w:cs="Arial"/>
          <w:szCs w:val="24"/>
        </w:rPr>
        <w:t xml:space="preserve">a need </w:t>
      </w:r>
      <w:r w:rsidR="00611FAC">
        <w:rPr>
          <w:rFonts w:cs="Arial"/>
          <w:szCs w:val="24"/>
        </w:rPr>
        <w:t xml:space="preserve">for </w:t>
      </w:r>
      <w:r w:rsidR="00495B03" w:rsidRPr="00742B35">
        <w:rPr>
          <w:rFonts w:cs="Arial"/>
          <w:szCs w:val="24"/>
        </w:rPr>
        <w:t>Ms van Zyl</w:t>
      </w:r>
      <w:r w:rsidR="00611FAC">
        <w:rPr>
          <w:rFonts w:cs="Arial"/>
          <w:szCs w:val="24"/>
        </w:rPr>
        <w:t xml:space="preserve"> to testif</w:t>
      </w:r>
      <w:r w:rsidR="00AF6C92">
        <w:rPr>
          <w:rFonts w:cs="Arial"/>
          <w:szCs w:val="24"/>
        </w:rPr>
        <w:t>y</w:t>
      </w:r>
      <w:r w:rsidR="00495B03" w:rsidRPr="00742B35">
        <w:rPr>
          <w:rFonts w:cs="Arial"/>
          <w:szCs w:val="24"/>
        </w:rPr>
        <w:t xml:space="preserve">, counsel for the plaintiff pointed out that the defendant had not admitted her report, which made it necessary </w:t>
      </w:r>
      <w:r w:rsidR="00495B03" w:rsidRPr="00946FAD">
        <w:rPr>
          <w:rFonts w:cs="Arial"/>
          <w:szCs w:val="24"/>
        </w:rPr>
        <w:t xml:space="preserve">for her testify.  I do not agree.  The only issue before this court </w:t>
      </w:r>
      <w:r w:rsidR="00D25DDE" w:rsidRPr="00946FAD">
        <w:rPr>
          <w:rFonts w:cs="Arial"/>
          <w:szCs w:val="24"/>
        </w:rPr>
        <w:t>was the plaintiff’s claim for loss of income, particularly the contingency deductions to be applied.  Ms</w:t>
      </w:r>
      <w:r w:rsidR="00405439">
        <w:rPr>
          <w:rFonts w:cs="Arial"/>
          <w:szCs w:val="24"/>
        </w:rPr>
        <w:t> </w:t>
      </w:r>
      <w:r w:rsidR="00D25DDE" w:rsidRPr="00946FAD">
        <w:rPr>
          <w:rFonts w:cs="Arial"/>
          <w:szCs w:val="24"/>
        </w:rPr>
        <w:t xml:space="preserve">van Zyl could not have been anticipated to make any contribution to that head of damages.  It was accordingly unnecessary to call her.  </w:t>
      </w:r>
    </w:p>
    <w:p w14:paraId="16A78FF4" w14:textId="77777777" w:rsidR="00D25DDE" w:rsidRPr="00946FAD" w:rsidRDefault="00D25DDE" w:rsidP="003B100E">
      <w:pPr>
        <w:pStyle w:val="ListParagraph"/>
        <w:spacing w:after="0" w:line="360" w:lineRule="auto"/>
        <w:rPr>
          <w:rFonts w:ascii="Arial" w:hAnsi="Arial" w:cs="Arial"/>
          <w:sz w:val="24"/>
          <w:szCs w:val="24"/>
        </w:rPr>
      </w:pPr>
    </w:p>
    <w:p w14:paraId="0F24ED12" w14:textId="4467E990" w:rsidR="00D25DDE" w:rsidRPr="00946FAD" w:rsidRDefault="000B49FC" w:rsidP="000B49FC">
      <w:pPr>
        <w:widowControl w:val="0"/>
        <w:tabs>
          <w:tab w:val="left" w:pos="567"/>
          <w:tab w:val="right" w:pos="8640"/>
        </w:tabs>
        <w:spacing w:line="360" w:lineRule="auto"/>
        <w:ind w:left="567" w:hanging="567"/>
        <w:jc w:val="both"/>
        <w:rPr>
          <w:rFonts w:cs="Arial"/>
          <w:szCs w:val="24"/>
        </w:rPr>
      </w:pPr>
      <w:r w:rsidRPr="00946FAD">
        <w:rPr>
          <w:rFonts w:cs="Arial"/>
          <w:szCs w:val="24"/>
        </w:rPr>
        <w:t>[19]</w:t>
      </w:r>
      <w:r w:rsidRPr="00946FAD">
        <w:rPr>
          <w:rFonts w:cs="Arial"/>
          <w:szCs w:val="24"/>
        </w:rPr>
        <w:tab/>
      </w:r>
      <w:r w:rsidR="00D25DDE" w:rsidRPr="00946FAD">
        <w:rPr>
          <w:rFonts w:cs="Arial"/>
          <w:szCs w:val="24"/>
        </w:rPr>
        <w:t>In the result, it is ordered that:</w:t>
      </w:r>
    </w:p>
    <w:p w14:paraId="5D6B244F" w14:textId="24A40BDD" w:rsidR="00C343B1" w:rsidRPr="000B49FC" w:rsidRDefault="000B49FC" w:rsidP="000B49FC">
      <w:pPr>
        <w:widowControl w:val="0"/>
        <w:tabs>
          <w:tab w:val="right" w:pos="8640"/>
        </w:tabs>
        <w:spacing w:line="360" w:lineRule="auto"/>
        <w:ind w:left="1069" w:hanging="502"/>
        <w:jc w:val="both"/>
        <w:rPr>
          <w:rFonts w:cs="Arial"/>
          <w:szCs w:val="24"/>
        </w:rPr>
      </w:pPr>
      <w:r w:rsidRPr="00946FAD">
        <w:rPr>
          <w:rFonts w:cs="Arial"/>
          <w:szCs w:val="24"/>
          <w:lang w:eastAsia="en-ZA"/>
        </w:rPr>
        <w:t>1.</w:t>
      </w:r>
      <w:r w:rsidRPr="00946FAD">
        <w:rPr>
          <w:rFonts w:cs="Arial"/>
          <w:szCs w:val="24"/>
          <w:lang w:eastAsia="en-ZA"/>
        </w:rPr>
        <w:tab/>
      </w:r>
      <w:r w:rsidR="00574CE3" w:rsidRPr="000B49FC">
        <w:rPr>
          <w:rFonts w:cs="Arial"/>
          <w:szCs w:val="24"/>
        </w:rPr>
        <w:t>The defendant shall pay to the plaintiff, in her representative capacity on behalf of Declan Cannon, the sum of R10 872</w:t>
      </w:r>
      <w:r w:rsidR="00215368" w:rsidRPr="000B49FC">
        <w:rPr>
          <w:rFonts w:cs="Arial"/>
          <w:szCs w:val="24"/>
        </w:rPr>
        <w:t> </w:t>
      </w:r>
      <w:r w:rsidR="00574CE3" w:rsidRPr="000B49FC">
        <w:rPr>
          <w:rFonts w:cs="Arial"/>
          <w:szCs w:val="24"/>
        </w:rPr>
        <w:t>389</w:t>
      </w:r>
      <w:r w:rsidR="00215368" w:rsidRPr="000B49FC">
        <w:rPr>
          <w:rFonts w:cs="Arial"/>
          <w:szCs w:val="24"/>
        </w:rPr>
        <w:t xml:space="preserve"> for his future loss of income.</w:t>
      </w:r>
    </w:p>
    <w:p w14:paraId="4001B23E" w14:textId="67DBB3D8" w:rsidR="00932CA9" w:rsidRPr="000B49FC" w:rsidRDefault="000B49FC" w:rsidP="000B49FC">
      <w:pPr>
        <w:widowControl w:val="0"/>
        <w:tabs>
          <w:tab w:val="right" w:pos="8640"/>
        </w:tabs>
        <w:spacing w:line="360" w:lineRule="auto"/>
        <w:ind w:left="1069" w:hanging="502"/>
        <w:jc w:val="both"/>
        <w:rPr>
          <w:rFonts w:cs="Arial"/>
          <w:szCs w:val="24"/>
        </w:rPr>
      </w:pPr>
      <w:r w:rsidRPr="00946FAD">
        <w:rPr>
          <w:rFonts w:cs="Arial"/>
          <w:szCs w:val="24"/>
          <w:lang w:eastAsia="en-ZA"/>
        </w:rPr>
        <w:t>2.</w:t>
      </w:r>
      <w:r w:rsidRPr="00946FAD">
        <w:rPr>
          <w:rFonts w:cs="Arial"/>
          <w:szCs w:val="24"/>
          <w:lang w:eastAsia="en-ZA"/>
        </w:rPr>
        <w:tab/>
      </w:r>
      <w:r w:rsidR="003B5D01" w:rsidRPr="000B49FC">
        <w:rPr>
          <w:rFonts w:cs="Arial"/>
          <w:szCs w:val="24"/>
        </w:rPr>
        <w:t xml:space="preserve">Payment of the amount in paragraph 1 above shall be made directly </w:t>
      </w:r>
      <w:r w:rsidR="00611FAC" w:rsidRPr="000B49FC">
        <w:rPr>
          <w:rFonts w:cs="Arial"/>
          <w:szCs w:val="24"/>
        </w:rPr>
        <w:t>in</w:t>
      </w:r>
      <w:r w:rsidR="003B5D01" w:rsidRPr="000B49FC">
        <w:rPr>
          <w:rFonts w:cs="Arial"/>
          <w:szCs w:val="24"/>
        </w:rPr>
        <w:t xml:space="preserve">to </w:t>
      </w:r>
      <w:r w:rsidR="00611FAC" w:rsidRPr="000B49FC">
        <w:rPr>
          <w:rFonts w:cs="Arial"/>
          <w:szCs w:val="24"/>
        </w:rPr>
        <w:t xml:space="preserve">the trust account of the </w:t>
      </w:r>
      <w:r w:rsidR="00931248" w:rsidRPr="000B49FC">
        <w:rPr>
          <w:rFonts w:cs="Arial"/>
          <w:szCs w:val="24"/>
        </w:rPr>
        <w:t>p</w:t>
      </w:r>
      <w:r w:rsidR="003B5D01" w:rsidRPr="000B49FC">
        <w:rPr>
          <w:rFonts w:cs="Arial"/>
          <w:szCs w:val="24"/>
        </w:rPr>
        <w:t xml:space="preserve">laintiff’s attorney of record, Meyer Inc, </w:t>
      </w:r>
      <w:r w:rsidR="00A44E92" w:rsidRPr="000B49FC">
        <w:rPr>
          <w:rFonts w:cs="Arial"/>
          <w:szCs w:val="24"/>
        </w:rPr>
        <w:t xml:space="preserve">the </w:t>
      </w:r>
      <w:r w:rsidR="003B5D01" w:rsidRPr="000B49FC">
        <w:rPr>
          <w:rFonts w:cs="Arial"/>
          <w:szCs w:val="24"/>
        </w:rPr>
        <w:t xml:space="preserve">details of which are as follows: </w:t>
      </w:r>
    </w:p>
    <w:p w14:paraId="7D22D1D8" w14:textId="07E0A9E0" w:rsidR="00932CA9" w:rsidRPr="00946FAD" w:rsidRDefault="00932CA9" w:rsidP="003B100E">
      <w:pPr>
        <w:pStyle w:val="ListParagraph"/>
        <w:spacing w:after="0" w:line="360" w:lineRule="auto"/>
        <w:ind w:left="1072"/>
        <w:jc w:val="both"/>
        <w:rPr>
          <w:rFonts w:ascii="Arial" w:hAnsi="Arial" w:cs="Arial"/>
          <w:sz w:val="24"/>
          <w:szCs w:val="24"/>
        </w:rPr>
      </w:pPr>
      <w:r w:rsidRPr="00946FAD">
        <w:rPr>
          <w:rFonts w:ascii="Arial" w:hAnsi="Arial" w:cs="Arial"/>
          <w:sz w:val="24"/>
          <w:szCs w:val="24"/>
        </w:rPr>
        <w:t>Name:</w:t>
      </w:r>
      <w:r w:rsidRPr="00946FAD">
        <w:rPr>
          <w:rFonts w:ascii="Arial" w:hAnsi="Arial" w:cs="Arial"/>
          <w:sz w:val="24"/>
          <w:szCs w:val="24"/>
        </w:rPr>
        <w:tab/>
      </w:r>
      <w:r w:rsidRPr="00946FAD">
        <w:rPr>
          <w:rFonts w:ascii="Arial" w:hAnsi="Arial" w:cs="Arial"/>
          <w:sz w:val="24"/>
          <w:szCs w:val="24"/>
        </w:rPr>
        <w:tab/>
      </w:r>
      <w:r w:rsidR="00F973AD" w:rsidRPr="00946FAD">
        <w:rPr>
          <w:rFonts w:ascii="Arial" w:hAnsi="Arial" w:cs="Arial"/>
          <w:sz w:val="24"/>
          <w:szCs w:val="24"/>
        </w:rPr>
        <w:tab/>
      </w:r>
      <w:r w:rsidRPr="00946FAD">
        <w:rPr>
          <w:rFonts w:ascii="Arial" w:hAnsi="Arial" w:cs="Arial"/>
          <w:sz w:val="24"/>
          <w:szCs w:val="24"/>
        </w:rPr>
        <w:t>Meyer Inc.</w:t>
      </w:r>
    </w:p>
    <w:p w14:paraId="3BD93EC9" w14:textId="165D0F51" w:rsidR="00932CA9" w:rsidRPr="00946FAD" w:rsidRDefault="00932CA9" w:rsidP="003B100E">
      <w:pPr>
        <w:pStyle w:val="ListParagraph"/>
        <w:spacing w:after="0" w:line="360" w:lineRule="auto"/>
        <w:ind w:left="1072"/>
        <w:jc w:val="both"/>
        <w:rPr>
          <w:rFonts w:ascii="Arial" w:hAnsi="Arial" w:cs="Arial"/>
          <w:sz w:val="24"/>
          <w:szCs w:val="24"/>
        </w:rPr>
      </w:pPr>
      <w:r w:rsidRPr="00946FAD">
        <w:rPr>
          <w:rFonts w:ascii="Arial" w:hAnsi="Arial" w:cs="Arial"/>
          <w:sz w:val="24"/>
          <w:szCs w:val="24"/>
        </w:rPr>
        <w:t>Bank:</w:t>
      </w:r>
      <w:r w:rsidRPr="00946FAD">
        <w:rPr>
          <w:rFonts w:ascii="Arial" w:hAnsi="Arial" w:cs="Arial"/>
          <w:sz w:val="24"/>
          <w:szCs w:val="24"/>
        </w:rPr>
        <w:tab/>
      </w:r>
      <w:r w:rsidRPr="00946FAD">
        <w:rPr>
          <w:rFonts w:ascii="Arial" w:hAnsi="Arial" w:cs="Arial"/>
          <w:sz w:val="24"/>
          <w:szCs w:val="24"/>
        </w:rPr>
        <w:tab/>
      </w:r>
      <w:r w:rsidR="00F973AD" w:rsidRPr="00946FAD">
        <w:rPr>
          <w:rFonts w:ascii="Arial" w:hAnsi="Arial" w:cs="Arial"/>
          <w:sz w:val="24"/>
          <w:szCs w:val="24"/>
        </w:rPr>
        <w:tab/>
      </w:r>
      <w:r w:rsidRPr="00946FAD">
        <w:rPr>
          <w:rFonts w:ascii="Arial" w:hAnsi="Arial" w:cs="Arial"/>
          <w:sz w:val="24"/>
          <w:szCs w:val="24"/>
        </w:rPr>
        <w:t>Standard Bank</w:t>
      </w:r>
    </w:p>
    <w:p w14:paraId="184A6D7A" w14:textId="0B214CE7" w:rsidR="00932CA9" w:rsidRPr="00946FAD" w:rsidRDefault="00932CA9" w:rsidP="003B100E">
      <w:pPr>
        <w:pStyle w:val="ListParagraph"/>
        <w:spacing w:after="0" w:line="360" w:lineRule="auto"/>
        <w:ind w:left="1072"/>
        <w:jc w:val="both"/>
        <w:rPr>
          <w:rFonts w:ascii="Arial" w:hAnsi="Arial" w:cs="Arial"/>
          <w:sz w:val="24"/>
          <w:szCs w:val="24"/>
        </w:rPr>
      </w:pPr>
      <w:r w:rsidRPr="00946FAD">
        <w:rPr>
          <w:rFonts w:ascii="Arial" w:hAnsi="Arial" w:cs="Arial"/>
          <w:sz w:val="24"/>
          <w:szCs w:val="24"/>
        </w:rPr>
        <w:t>Branch:</w:t>
      </w:r>
      <w:r w:rsidRPr="00946FAD">
        <w:rPr>
          <w:rFonts w:ascii="Arial" w:hAnsi="Arial" w:cs="Arial"/>
          <w:sz w:val="24"/>
          <w:szCs w:val="24"/>
        </w:rPr>
        <w:tab/>
      </w:r>
      <w:r w:rsidRPr="00946FAD">
        <w:rPr>
          <w:rFonts w:ascii="Arial" w:hAnsi="Arial" w:cs="Arial"/>
          <w:sz w:val="24"/>
          <w:szCs w:val="24"/>
        </w:rPr>
        <w:tab/>
      </w:r>
      <w:r w:rsidR="00F973AD" w:rsidRPr="00946FAD">
        <w:rPr>
          <w:rFonts w:ascii="Arial" w:hAnsi="Arial" w:cs="Arial"/>
          <w:sz w:val="24"/>
          <w:szCs w:val="24"/>
        </w:rPr>
        <w:tab/>
      </w:r>
      <w:r w:rsidRPr="00946FAD">
        <w:rPr>
          <w:rFonts w:ascii="Arial" w:hAnsi="Arial" w:cs="Arial"/>
          <w:sz w:val="24"/>
          <w:szCs w:val="24"/>
        </w:rPr>
        <w:t>Port Elizabeth</w:t>
      </w:r>
    </w:p>
    <w:p w14:paraId="7A56AD98" w14:textId="178FEF6B" w:rsidR="00932CA9" w:rsidRPr="00946FAD" w:rsidRDefault="00932CA9" w:rsidP="003B100E">
      <w:pPr>
        <w:pStyle w:val="ListParagraph"/>
        <w:spacing w:after="0" w:line="360" w:lineRule="auto"/>
        <w:ind w:left="1072"/>
        <w:jc w:val="both"/>
        <w:rPr>
          <w:rFonts w:ascii="Arial" w:hAnsi="Arial" w:cs="Arial"/>
          <w:sz w:val="24"/>
          <w:szCs w:val="24"/>
        </w:rPr>
      </w:pPr>
      <w:r w:rsidRPr="00946FAD">
        <w:rPr>
          <w:rFonts w:ascii="Arial" w:hAnsi="Arial" w:cs="Arial"/>
          <w:sz w:val="24"/>
          <w:szCs w:val="24"/>
        </w:rPr>
        <w:t>Branch Code:</w:t>
      </w:r>
      <w:r w:rsidRPr="00946FAD">
        <w:rPr>
          <w:rFonts w:ascii="Arial" w:hAnsi="Arial" w:cs="Arial"/>
          <w:sz w:val="24"/>
          <w:szCs w:val="24"/>
        </w:rPr>
        <w:tab/>
      </w:r>
      <w:r w:rsidR="00F973AD" w:rsidRPr="00946FAD">
        <w:rPr>
          <w:rFonts w:ascii="Arial" w:hAnsi="Arial" w:cs="Arial"/>
          <w:sz w:val="24"/>
          <w:szCs w:val="24"/>
        </w:rPr>
        <w:tab/>
      </w:r>
      <w:r w:rsidRPr="00946FAD">
        <w:rPr>
          <w:rFonts w:ascii="Arial" w:hAnsi="Arial" w:cs="Arial"/>
          <w:sz w:val="24"/>
          <w:szCs w:val="24"/>
        </w:rPr>
        <w:t>050017</w:t>
      </w:r>
    </w:p>
    <w:p w14:paraId="6A4E9CF9" w14:textId="4A686D4B" w:rsidR="00932CA9" w:rsidRPr="00946FAD" w:rsidRDefault="00932CA9" w:rsidP="003B100E">
      <w:pPr>
        <w:pStyle w:val="ListParagraph"/>
        <w:spacing w:after="0" w:line="360" w:lineRule="auto"/>
        <w:ind w:left="1072"/>
        <w:jc w:val="both"/>
        <w:rPr>
          <w:rFonts w:ascii="Arial" w:hAnsi="Arial" w:cs="Arial"/>
          <w:sz w:val="24"/>
          <w:szCs w:val="24"/>
        </w:rPr>
      </w:pPr>
      <w:r w:rsidRPr="00946FAD">
        <w:rPr>
          <w:rFonts w:ascii="Arial" w:hAnsi="Arial" w:cs="Arial"/>
          <w:sz w:val="24"/>
          <w:szCs w:val="24"/>
        </w:rPr>
        <w:t>Account Number:</w:t>
      </w:r>
      <w:r w:rsidRPr="00946FAD">
        <w:rPr>
          <w:rFonts w:ascii="Arial" w:hAnsi="Arial" w:cs="Arial"/>
          <w:sz w:val="24"/>
          <w:szCs w:val="24"/>
        </w:rPr>
        <w:tab/>
        <w:t>080 108 199</w:t>
      </w:r>
    </w:p>
    <w:p w14:paraId="177863F6" w14:textId="0F3273BB" w:rsidR="00932CA9" w:rsidRPr="000B49FC" w:rsidRDefault="000B49FC" w:rsidP="000B49FC">
      <w:pPr>
        <w:widowControl w:val="0"/>
        <w:tabs>
          <w:tab w:val="right" w:pos="8640"/>
        </w:tabs>
        <w:spacing w:line="360" w:lineRule="auto"/>
        <w:ind w:left="1069" w:hanging="502"/>
        <w:jc w:val="both"/>
        <w:rPr>
          <w:rFonts w:cs="Arial"/>
          <w:szCs w:val="24"/>
        </w:rPr>
      </w:pPr>
      <w:r w:rsidRPr="00946FAD">
        <w:rPr>
          <w:rFonts w:cs="Arial"/>
          <w:szCs w:val="24"/>
          <w:lang w:eastAsia="en-ZA"/>
        </w:rPr>
        <w:t>3.</w:t>
      </w:r>
      <w:r w:rsidRPr="00946FAD">
        <w:rPr>
          <w:rFonts w:cs="Arial"/>
          <w:szCs w:val="24"/>
          <w:lang w:eastAsia="en-ZA"/>
        </w:rPr>
        <w:tab/>
      </w:r>
      <w:r w:rsidR="00A44E92" w:rsidRPr="000B49FC">
        <w:rPr>
          <w:rFonts w:cs="Arial"/>
          <w:szCs w:val="24"/>
        </w:rPr>
        <w:t>The d</w:t>
      </w:r>
      <w:r w:rsidR="003B5D01" w:rsidRPr="000B49FC">
        <w:rPr>
          <w:rFonts w:cs="Arial"/>
          <w:szCs w:val="24"/>
        </w:rPr>
        <w:t xml:space="preserve">efendant shall pay interest on the amount in paragraph 1 above at the prevailing prescribed interest rate calculated from a date 14 days after the granting of this </w:t>
      </w:r>
      <w:r w:rsidR="00931248" w:rsidRPr="000B49FC">
        <w:rPr>
          <w:rFonts w:cs="Arial"/>
          <w:szCs w:val="24"/>
        </w:rPr>
        <w:t>o</w:t>
      </w:r>
      <w:r w:rsidR="003B5D01" w:rsidRPr="000B49FC">
        <w:rPr>
          <w:rFonts w:cs="Arial"/>
          <w:szCs w:val="24"/>
        </w:rPr>
        <w:t xml:space="preserve">rder, in accordance with </w:t>
      </w:r>
      <w:r w:rsidR="00931248" w:rsidRPr="000B49FC">
        <w:rPr>
          <w:rFonts w:cs="Arial"/>
          <w:szCs w:val="24"/>
        </w:rPr>
        <w:t>s</w:t>
      </w:r>
      <w:r w:rsidR="003B5D01" w:rsidRPr="000B49FC">
        <w:rPr>
          <w:rFonts w:cs="Arial"/>
          <w:szCs w:val="24"/>
        </w:rPr>
        <w:t>ection 17(3)</w:t>
      </w:r>
      <w:r w:rsidR="003B5D01" w:rsidRPr="000B49FC">
        <w:rPr>
          <w:rFonts w:cs="Arial"/>
          <w:i/>
          <w:iCs/>
          <w:szCs w:val="24"/>
        </w:rPr>
        <w:t>(a)</w:t>
      </w:r>
      <w:r w:rsidR="003B5D01" w:rsidRPr="000B49FC">
        <w:rPr>
          <w:rFonts w:cs="Arial"/>
          <w:szCs w:val="24"/>
        </w:rPr>
        <w:t xml:space="preserve"> of the Road Accident Fund Act 56 of 1996.</w:t>
      </w:r>
    </w:p>
    <w:p w14:paraId="02D0BD90" w14:textId="17DD0F92" w:rsidR="003636E0" w:rsidRPr="000B49FC" w:rsidRDefault="000B49FC" w:rsidP="000B49FC">
      <w:pPr>
        <w:widowControl w:val="0"/>
        <w:tabs>
          <w:tab w:val="right" w:pos="8640"/>
        </w:tabs>
        <w:spacing w:line="360" w:lineRule="auto"/>
        <w:ind w:left="1069" w:hanging="502"/>
        <w:jc w:val="both"/>
        <w:rPr>
          <w:rFonts w:cs="Arial"/>
          <w:szCs w:val="24"/>
        </w:rPr>
      </w:pPr>
      <w:r w:rsidRPr="00946FAD">
        <w:rPr>
          <w:rFonts w:cs="Arial"/>
          <w:szCs w:val="24"/>
          <w:lang w:eastAsia="en-ZA"/>
        </w:rPr>
        <w:t>4.</w:t>
      </w:r>
      <w:r w:rsidRPr="00946FAD">
        <w:rPr>
          <w:rFonts w:cs="Arial"/>
          <w:szCs w:val="24"/>
          <w:lang w:eastAsia="en-ZA"/>
        </w:rPr>
        <w:tab/>
      </w:r>
      <w:r w:rsidR="00DB6834" w:rsidRPr="000B49FC">
        <w:rPr>
          <w:rFonts w:cs="Arial"/>
          <w:szCs w:val="24"/>
        </w:rPr>
        <w:t>The d</w:t>
      </w:r>
      <w:r w:rsidR="003B5D01" w:rsidRPr="000B49FC">
        <w:rPr>
          <w:rFonts w:cs="Arial"/>
          <w:szCs w:val="24"/>
        </w:rPr>
        <w:t xml:space="preserve">efendant shall pay </w:t>
      </w:r>
      <w:r w:rsidR="00DB6834" w:rsidRPr="000B49FC">
        <w:rPr>
          <w:rFonts w:cs="Arial"/>
          <w:szCs w:val="24"/>
        </w:rPr>
        <w:t xml:space="preserve">the </w:t>
      </w:r>
      <w:r w:rsidR="00931248" w:rsidRPr="000B49FC">
        <w:rPr>
          <w:rFonts w:cs="Arial"/>
          <w:szCs w:val="24"/>
        </w:rPr>
        <w:t>p</w:t>
      </w:r>
      <w:r w:rsidR="003B5D01" w:rsidRPr="000B49FC">
        <w:rPr>
          <w:rFonts w:cs="Arial"/>
          <w:szCs w:val="24"/>
        </w:rPr>
        <w:t>laintiff’s costs of suit from 31 May 2023 up to and including 11</w:t>
      </w:r>
      <w:r w:rsidR="00931248" w:rsidRPr="000B49FC">
        <w:rPr>
          <w:rFonts w:cs="Arial"/>
          <w:szCs w:val="24"/>
        </w:rPr>
        <w:t> </w:t>
      </w:r>
      <w:r w:rsidR="003B5D01" w:rsidRPr="000B49FC">
        <w:rPr>
          <w:rFonts w:cs="Arial"/>
          <w:szCs w:val="24"/>
        </w:rPr>
        <w:t>October 2023, as taxed or agreed, such costs to include:</w:t>
      </w:r>
    </w:p>
    <w:p w14:paraId="176DB554" w14:textId="3571483F" w:rsidR="003D322A" w:rsidRPr="000B49FC" w:rsidRDefault="000B49FC" w:rsidP="000B49FC">
      <w:pPr>
        <w:widowControl w:val="0"/>
        <w:tabs>
          <w:tab w:val="right" w:pos="8640"/>
        </w:tabs>
        <w:spacing w:line="360" w:lineRule="auto"/>
        <w:ind w:left="1985" w:hanging="851"/>
        <w:jc w:val="both"/>
        <w:rPr>
          <w:rFonts w:cs="Arial"/>
          <w:szCs w:val="24"/>
        </w:rPr>
      </w:pPr>
      <w:r w:rsidRPr="00946FAD">
        <w:rPr>
          <w:rFonts w:cs="Arial"/>
          <w:szCs w:val="24"/>
          <w:lang w:eastAsia="en-ZA"/>
        </w:rPr>
        <w:t>4.1</w:t>
      </w:r>
      <w:r w:rsidRPr="00946FAD">
        <w:rPr>
          <w:rFonts w:cs="Arial"/>
          <w:szCs w:val="24"/>
          <w:lang w:eastAsia="en-ZA"/>
        </w:rPr>
        <w:tab/>
      </w:r>
      <w:r w:rsidR="003B5D01" w:rsidRPr="000B49FC">
        <w:rPr>
          <w:rFonts w:cs="Arial"/>
          <w:szCs w:val="24"/>
        </w:rPr>
        <w:t>The costs of the report of</w:t>
      </w:r>
      <w:r w:rsidR="00DE16CA" w:rsidRPr="000B49FC">
        <w:rPr>
          <w:rFonts w:cs="Arial"/>
          <w:szCs w:val="24"/>
        </w:rPr>
        <w:t xml:space="preserve"> </w:t>
      </w:r>
      <w:r w:rsidR="003B5D01" w:rsidRPr="000B49FC">
        <w:rPr>
          <w:rFonts w:cs="Arial"/>
          <w:szCs w:val="24"/>
        </w:rPr>
        <w:t xml:space="preserve">Dr K L F </w:t>
      </w:r>
      <w:proofErr w:type="spellStart"/>
      <w:r w:rsidR="003B5D01" w:rsidRPr="000B49FC">
        <w:rPr>
          <w:rFonts w:cs="Arial"/>
          <w:szCs w:val="24"/>
        </w:rPr>
        <w:t>Cronwright</w:t>
      </w:r>
      <w:proofErr w:type="spellEnd"/>
      <w:r w:rsidR="003B5D01" w:rsidRPr="000B49FC">
        <w:rPr>
          <w:rFonts w:cs="Arial"/>
          <w:szCs w:val="24"/>
        </w:rPr>
        <w:t xml:space="preserve">.  </w:t>
      </w:r>
    </w:p>
    <w:p w14:paraId="5E6A61DC" w14:textId="12E575F6" w:rsidR="00494093" w:rsidRPr="000B49FC" w:rsidRDefault="000B49FC" w:rsidP="000B49FC">
      <w:pPr>
        <w:widowControl w:val="0"/>
        <w:tabs>
          <w:tab w:val="right" w:pos="8640"/>
        </w:tabs>
        <w:spacing w:line="360" w:lineRule="auto"/>
        <w:ind w:left="1985" w:hanging="851"/>
        <w:jc w:val="both"/>
        <w:rPr>
          <w:rFonts w:cs="Arial"/>
          <w:szCs w:val="24"/>
        </w:rPr>
      </w:pPr>
      <w:r w:rsidRPr="00946FAD">
        <w:rPr>
          <w:rFonts w:cs="Arial"/>
          <w:szCs w:val="24"/>
          <w:lang w:eastAsia="en-ZA"/>
        </w:rPr>
        <w:t>4.2</w:t>
      </w:r>
      <w:r w:rsidRPr="00946FAD">
        <w:rPr>
          <w:rFonts w:cs="Arial"/>
          <w:szCs w:val="24"/>
          <w:lang w:eastAsia="en-ZA"/>
        </w:rPr>
        <w:tab/>
      </w:r>
      <w:r w:rsidR="003B5D01" w:rsidRPr="000B49FC">
        <w:rPr>
          <w:rFonts w:cs="Arial"/>
          <w:szCs w:val="24"/>
        </w:rPr>
        <w:t xml:space="preserve">The costs of the supplementary reports of: </w:t>
      </w:r>
    </w:p>
    <w:p w14:paraId="7A9B01C5" w14:textId="0D1EDD22" w:rsidR="00494093" w:rsidRPr="000B49FC" w:rsidRDefault="000B49FC" w:rsidP="000B49FC">
      <w:pPr>
        <w:widowControl w:val="0"/>
        <w:tabs>
          <w:tab w:val="right" w:pos="8640"/>
        </w:tabs>
        <w:spacing w:line="360" w:lineRule="auto"/>
        <w:ind w:left="2705" w:hanging="720"/>
        <w:jc w:val="both"/>
        <w:rPr>
          <w:rFonts w:cs="Arial"/>
          <w:szCs w:val="24"/>
        </w:rPr>
      </w:pPr>
      <w:r w:rsidRPr="00946FAD">
        <w:rPr>
          <w:rFonts w:cs="Arial"/>
          <w:szCs w:val="24"/>
          <w:lang w:eastAsia="en-ZA"/>
        </w:rPr>
        <w:t>4.2.1</w:t>
      </w:r>
      <w:r w:rsidRPr="00946FAD">
        <w:rPr>
          <w:rFonts w:cs="Arial"/>
          <w:szCs w:val="24"/>
          <w:lang w:eastAsia="en-ZA"/>
        </w:rPr>
        <w:tab/>
      </w:r>
      <w:r w:rsidR="003B5D01" w:rsidRPr="000B49FC">
        <w:rPr>
          <w:rFonts w:cs="Arial"/>
          <w:szCs w:val="24"/>
        </w:rPr>
        <w:t>Mr I Meyer;</w:t>
      </w:r>
    </w:p>
    <w:p w14:paraId="607CED0F" w14:textId="52A01F9F" w:rsidR="00494093" w:rsidRPr="000B49FC" w:rsidRDefault="000B49FC" w:rsidP="000B49FC">
      <w:pPr>
        <w:widowControl w:val="0"/>
        <w:tabs>
          <w:tab w:val="right" w:pos="8640"/>
        </w:tabs>
        <w:spacing w:line="360" w:lineRule="auto"/>
        <w:ind w:left="2705" w:hanging="720"/>
        <w:jc w:val="both"/>
        <w:rPr>
          <w:rFonts w:cs="Arial"/>
          <w:szCs w:val="24"/>
        </w:rPr>
      </w:pPr>
      <w:r w:rsidRPr="00946FAD">
        <w:rPr>
          <w:rFonts w:cs="Arial"/>
          <w:szCs w:val="24"/>
          <w:lang w:eastAsia="en-ZA"/>
        </w:rPr>
        <w:t>4.2.2</w:t>
      </w:r>
      <w:r w:rsidRPr="00946FAD">
        <w:rPr>
          <w:rFonts w:cs="Arial"/>
          <w:szCs w:val="24"/>
          <w:lang w:eastAsia="en-ZA"/>
        </w:rPr>
        <w:tab/>
      </w:r>
      <w:r w:rsidR="003B5D01" w:rsidRPr="000B49FC">
        <w:rPr>
          <w:rFonts w:cs="Arial"/>
          <w:szCs w:val="24"/>
        </w:rPr>
        <w:t>Mr L Martiny;</w:t>
      </w:r>
    </w:p>
    <w:p w14:paraId="36BEEE94" w14:textId="08AA75FC" w:rsidR="003B5D01" w:rsidRPr="000B49FC" w:rsidRDefault="000B49FC" w:rsidP="000B49FC">
      <w:pPr>
        <w:widowControl w:val="0"/>
        <w:tabs>
          <w:tab w:val="right" w:pos="8640"/>
        </w:tabs>
        <w:spacing w:line="360" w:lineRule="auto"/>
        <w:ind w:left="2705" w:hanging="720"/>
        <w:jc w:val="both"/>
        <w:rPr>
          <w:rFonts w:cs="Arial"/>
          <w:szCs w:val="24"/>
        </w:rPr>
      </w:pPr>
      <w:r w:rsidRPr="00946FAD">
        <w:rPr>
          <w:rFonts w:cs="Arial"/>
          <w:szCs w:val="24"/>
          <w:lang w:eastAsia="en-ZA"/>
        </w:rPr>
        <w:t>4.2.3</w:t>
      </w:r>
      <w:r w:rsidRPr="00946FAD">
        <w:rPr>
          <w:rFonts w:cs="Arial"/>
          <w:szCs w:val="24"/>
          <w:lang w:eastAsia="en-ZA"/>
        </w:rPr>
        <w:tab/>
      </w:r>
      <w:r w:rsidR="003B5D01" w:rsidRPr="000B49FC">
        <w:rPr>
          <w:rFonts w:cs="Arial"/>
          <w:szCs w:val="24"/>
        </w:rPr>
        <w:t xml:space="preserve">Arch Actuarial Consulting.  </w:t>
      </w:r>
    </w:p>
    <w:p w14:paraId="3B3C2747" w14:textId="6406FCDA" w:rsidR="00494093" w:rsidRPr="00946FAD" w:rsidRDefault="000B49FC" w:rsidP="000B49FC">
      <w:pPr>
        <w:spacing w:line="360" w:lineRule="auto"/>
        <w:ind w:left="1985" w:hanging="851"/>
        <w:jc w:val="both"/>
        <w:rPr>
          <w:rFonts w:cs="Arial"/>
          <w:szCs w:val="24"/>
        </w:rPr>
      </w:pPr>
      <w:r w:rsidRPr="00946FAD">
        <w:rPr>
          <w:rFonts w:cs="Arial"/>
          <w:szCs w:val="24"/>
        </w:rPr>
        <w:t>4.3</w:t>
      </w:r>
      <w:r w:rsidRPr="00946FAD">
        <w:rPr>
          <w:rFonts w:cs="Arial"/>
          <w:szCs w:val="24"/>
        </w:rPr>
        <w:tab/>
      </w:r>
      <w:r w:rsidR="003B5D01" w:rsidRPr="00946FAD">
        <w:rPr>
          <w:rFonts w:cs="Arial"/>
          <w:szCs w:val="24"/>
        </w:rPr>
        <w:t>The costs of the joint minutes of</w:t>
      </w:r>
      <w:r w:rsidR="00692BC4" w:rsidRPr="00946FAD">
        <w:rPr>
          <w:rFonts w:cs="Arial"/>
          <w:szCs w:val="24"/>
        </w:rPr>
        <w:t xml:space="preserve"> </w:t>
      </w:r>
      <w:r w:rsidR="003B5D01" w:rsidRPr="00946FAD">
        <w:rPr>
          <w:rFonts w:cs="Arial"/>
          <w:szCs w:val="24"/>
        </w:rPr>
        <w:t xml:space="preserve">Mr G Goosen. </w:t>
      </w:r>
    </w:p>
    <w:p w14:paraId="4A36B149" w14:textId="5EA7BCE8" w:rsidR="00494093" w:rsidRPr="00946FAD" w:rsidRDefault="000B49FC" w:rsidP="000B49FC">
      <w:pPr>
        <w:spacing w:line="360" w:lineRule="auto"/>
        <w:ind w:left="1985" w:hanging="851"/>
        <w:jc w:val="both"/>
        <w:rPr>
          <w:rFonts w:cs="Arial"/>
          <w:szCs w:val="24"/>
        </w:rPr>
      </w:pPr>
      <w:r w:rsidRPr="00946FAD">
        <w:rPr>
          <w:rFonts w:cs="Arial"/>
          <w:szCs w:val="24"/>
        </w:rPr>
        <w:t>4.4</w:t>
      </w:r>
      <w:r w:rsidRPr="00946FAD">
        <w:rPr>
          <w:rFonts w:cs="Arial"/>
          <w:szCs w:val="24"/>
        </w:rPr>
        <w:tab/>
      </w:r>
      <w:r w:rsidR="003B5D01" w:rsidRPr="00946FAD">
        <w:rPr>
          <w:rFonts w:cs="Arial"/>
          <w:szCs w:val="24"/>
        </w:rPr>
        <w:t>The qualifying fees, expenses and reservation costs of:</w:t>
      </w:r>
    </w:p>
    <w:p w14:paraId="2FC30B16" w14:textId="4E02DB66" w:rsidR="00494093" w:rsidRPr="00946FAD" w:rsidRDefault="000B49FC" w:rsidP="000B49FC">
      <w:pPr>
        <w:spacing w:line="360" w:lineRule="auto"/>
        <w:ind w:left="2705" w:hanging="720"/>
        <w:jc w:val="both"/>
        <w:rPr>
          <w:rFonts w:cs="Arial"/>
          <w:szCs w:val="24"/>
        </w:rPr>
      </w:pPr>
      <w:r w:rsidRPr="00946FAD">
        <w:rPr>
          <w:rFonts w:cs="Arial"/>
          <w:szCs w:val="24"/>
        </w:rPr>
        <w:t>4.4.1</w:t>
      </w:r>
      <w:r w:rsidRPr="00946FAD">
        <w:rPr>
          <w:rFonts w:cs="Arial"/>
          <w:szCs w:val="24"/>
        </w:rPr>
        <w:tab/>
      </w:r>
      <w:r w:rsidR="003B5D01" w:rsidRPr="00946FAD">
        <w:rPr>
          <w:rFonts w:cs="Arial"/>
          <w:szCs w:val="24"/>
        </w:rPr>
        <w:t>Mr I Meyer;</w:t>
      </w:r>
    </w:p>
    <w:p w14:paraId="0CC906AE" w14:textId="0A67DFD6" w:rsidR="00494093" w:rsidRPr="00946FAD" w:rsidRDefault="000B49FC" w:rsidP="000B49FC">
      <w:pPr>
        <w:spacing w:line="360" w:lineRule="auto"/>
        <w:ind w:left="2705" w:hanging="720"/>
        <w:jc w:val="both"/>
        <w:rPr>
          <w:rFonts w:cs="Arial"/>
          <w:szCs w:val="24"/>
        </w:rPr>
      </w:pPr>
      <w:r w:rsidRPr="00946FAD">
        <w:rPr>
          <w:rFonts w:cs="Arial"/>
          <w:szCs w:val="24"/>
        </w:rPr>
        <w:t>4.4.2</w:t>
      </w:r>
      <w:r w:rsidRPr="00946FAD">
        <w:rPr>
          <w:rFonts w:cs="Arial"/>
          <w:szCs w:val="24"/>
        </w:rPr>
        <w:tab/>
      </w:r>
      <w:r w:rsidR="003B5D01" w:rsidRPr="00946FAD">
        <w:rPr>
          <w:rFonts w:cs="Arial"/>
          <w:szCs w:val="24"/>
        </w:rPr>
        <w:t>Mr G Goosen;</w:t>
      </w:r>
    </w:p>
    <w:p w14:paraId="1DB6A65B" w14:textId="675386D1" w:rsidR="00494093" w:rsidRPr="00946FAD" w:rsidRDefault="000B49FC" w:rsidP="000B49FC">
      <w:pPr>
        <w:spacing w:line="360" w:lineRule="auto"/>
        <w:ind w:left="2705" w:hanging="720"/>
        <w:jc w:val="both"/>
        <w:rPr>
          <w:rFonts w:cs="Arial"/>
          <w:szCs w:val="24"/>
        </w:rPr>
      </w:pPr>
      <w:r w:rsidRPr="00946FAD">
        <w:rPr>
          <w:rFonts w:cs="Arial"/>
          <w:szCs w:val="24"/>
        </w:rPr>
        <w:lastRenderedPageBreak/>
        <w:t>4.4.3</w:t>
      </w:r>
      <w:r w:rsidRPr="00946FAD">
        <w:rPr>
          <w:rFonts w:cs="Arial"/>
          <w:szCs w:val="24"/>
        </w:rPr>
        <w:tab/>
      </w:r>
      <w:r w:rsidR="003B5D01" w:rsidRPr="00946FAD">
        <w:rPr>
          <w:rFonts w:cs="Arial"/>
          <w:szCs w:val="24"/>
        </w:rPr>
        <w:t>Mr L Martiny;</w:t>
      </w:r>
    </w:p>
    <w:p w14:paraId="39785EB2" w14:textId="31D22EA0" w:rsidR="00494093" w:rsidRPr="00946FAD" w:rsidRDefault="000B49FC" w:rsidP="000B49FC">
      <w:pPr>
        <w:spacing w:line="360" w:lineRule="auto"/>
        <w:ind w:left="2705" w:hanging="720"/>
        <w:jc w:val="both"/>
        <w:rPr>
          <w:rFonts w:cs="Arial"/>
          <w:szCs w:val="24"/>
        </w:rPr>
      </w:pPr>
      <w:r w:rsidRPr="00946FAD">
        <w:rPr>
          <w:rFonts w:cs="Arial"/>
          <w:szCs w:val="24"/>
        </w:rPr>
        <w:t>4.4.4</w:t>
      </w:r>
      <w:r w:rsidRPr="00946FAD">
        <w:rPr>
          <w:rFonts w:cs="Arial"/>
          <w:szCs w:val="24"/>
        </w:rPr>
        <w:tab/>
      </w:r>
      <w:r w:rsidR="003B5D01" w:rsidRPr="00946FAD">
        <w:rPr>
          <w:rFonts w:cs="Arial"/>
          <w:szCs w:val="24"/>
        </w:rPr>
        <w:t>Arch Actuarial Consulting.</w:t>
      </w:r>
    </w:p>
    <w:p w14:paraId="79131EE0" w14:textId="08AEB7EA" w:rsidR="007675CE" w:rsidRPr="00946FAD" w:rsidRDefault="000B49FC" w:rsidP="000B49FC">
      <w:pPr>
        <w:spacing w:line="360" w:lineRule="auto"/>
        <w:ind w:left="1985" w:hanging="851"/>
        <w:jc w:val="both"/>
        <w:rPr>
          <w:rFonts w:cs="Arial"/>
          <w:szCs w:val="24"/>
        </w:rPr>
      </w:pPr>
      <w:r w:rsidRPr="00946FAD">
        <w:rPr>
          <w:rFonts w:cs="Arial"/>
          <w:szCs w:val="24"/>
        </w:rPr>
        <w:t>4.5</w:t>
      </w:r>
      <w:r w:rsidRPr="00946FAD">
        <w:rPr>
          <w:rFonts w:cs="Arial"/>
          <w:szCs w:val="24"/>
        </w:rPr>
        <w:tab/>
      </w:r>
      <w:r w:rsidR="003B5D01" w:rsidRPr="00946FAD">
        <w:rPr>
          <w:rFonts w:cs="Arial"/>
          <w:szCs w:val="24"/>
        </w:rPr>
        <w:t xml:space="preserve">The attendance and testifying fees of: </w:t>
      </w:r>
    </w:p>
    <w:p w14:paraId="06DE2658" w14:textId="3D6FE4F1" w:rsidR="007675CE" w:rsidRPr="00946FAD" w:rsidRDefault="000B49FC" w:rsidP="000B49FC">
      <w:pPr>
        <w:spacing w:line="360" w:lineRule="auto"/>
        <w:ind w:left="2705" w:hanging="720"/>
        <w:jc w:val="both"/>
        <w:rPr>
          <w:rFonts w:cs="Arial"/>
          <w:szCs w:val="24"/>
        </w:rPr>
      </w:pPr>
      <w:r w:rsidRPr="00946FAD">
        <w:rPr>
          <w:rFonts w:cs="Arial"/>
          <w:szCs w:val="24"/>
        </w:rPr>
        <w:t>4.5.1</w:t>
      </w:r>
      <w:r w:rsidRPr="00946FAD">
        <w:rPr>
          <w:rFonts w:cs="Arial"/>
          <w:szCs w:val="24"/>
        </w:rPr>
        <w:tab/>
      </w:r>
      <w:r w:rsidR="003B5D01" w:rsidRPr="00946FAD">
        <w:rPr>
          <w:rFonts w:cs="Arial"/>
          <w:szCs w:val="24"/>
        </w:rPr>
        <w:t>Mr I Meyer, for 9 October 2023;</w:t>
      </w:r>
    </w:p>
    <w:p w14:paraId="463DB92F" w14:textId="5B7BF4EC" w:rsidR="007675CE" w:rsidRPr="00946FAD" w:rsidRDefault="000B49FC" w:rsidP="000B49FC">
      <w:pPr>
        <w:spacing w:line="360" w:lineRule="auto"/>
        <w:ind w:left="2705" w:hanging="720"/>
        <w:jc w:val="both"/>
        <w:rPr>
          <w:rFonts w:cs="Arial"/>
          <w:szCs w:val="24"/>
        </w:rPr>
      </w:pPr>
      <w:r w:rsidRPr="00946FAD">
        <w:rPr>
          <w:rFonts w:cs="Arial"/>
          <w:szCs w:val="24"/>
        </w:rPr>
        <w:t>4.5.2</w:t>
      </w:r>
      <w:r w:rsidRPr="00946FAD">
        <w:rPr>
          <w:rFonts w:cs="Arial"/>
          <w:szCs w:val="24"/>
        </w:rPr>
        <w:tab/>
      </w:r>
      <w:r w:rsidR="003B5D01" w:rsidRPr="00946FAD">
        <w:rPr>
          <w:rFonts w:cs="Arial"/>
          <w:szCs w:val="24"/>
        </w:rPr>
        <w:t>Mr L Martiny, for 9 and 10 October 2023;</w:t>
      </w:r>
    </w:p>
    <w:p w14:paraId="76C4F4A3" w14:textId="5581468A" w:rsidR="007675CE" w:rsidRPr="00946FAD" w:rsidRDefault="000B49FC" w:rsidP="000B49FC">
      <w:pPr>
        <w:spacing w:line="360" w:lineRule="auto"/>
        <w:ind w:left="2705" w:hanging="720"/>
        <w:jc w:val="both"/>
        <w:rPr>
          <w:rFonts w:cs="Arial"/>
          <w:szCs w:val="24"/>
        </w:rPr>
      </w:pPr>
      <w:r w:rsidRPr="00946FAD">
        <w:rPr>
          <w:rFonts w:cs="Arial"/>
          <w:szCs w:val="24"/>
        </w:rPr>
        <w:t>4.5.3</w:t>
      </w:r>
      <w:r w:rsidRPr="00946FAD">
        <w:rPr>
          <w:rFonts w:cs="Arial"/>
          <w:szCs w:val="24"/>
        </w:rPr>
        <w:tab/>
      </w:r>
      <w:r w:rsidR="003B5D01" w:rsidRPr="00946FAD">
        <w:rPr>
          <w:rFonts w:cs="Arial"/>
          <w:szCs w:val="24"/>
        </w:rPr>
        <w:t>Mr G Goosen, for 9 and 10 October 2023</w:t>
      </w:r>
      <w:r w:rsidR="00780923" w:rsidRPr="00946FAD">
        <w:rPr>
          <w:rFonts w:cs="Arial"/>
          <w:szCs w:val="24"/>
        </w:rPr>
        <w:t>.</w:t>
      </w:r>
    </w:p>
    <w:p w14:paraId="105CC561" w14:textId="1225F6FF" w:rsidR="007675CE" w:rsidRPr="00946FAD" w:rsidRDefault="000B49FC" w:rsidP="000B49FC">
      <w:pPr>
        <w:spacing w:line="360" w:lineRule="auto"/>
        <w:ind w:left="1985" w:hanging="851"/>
        <w:jc w:val="both"/>
        <w:rPr>
          <w:rFonts w:cs="Arial"/>
          <w:szCs w:val="24"/>
        </w:rPr>
      </w:pPr>
      <w:r w:rsidRPr="00946FAD">
        <w:rPr>
          <w:rFonts w:cs="Arial"/>
          <w:szCs w:val="24"/>
        </w:rPr>
        <w:t>4.6</w:t>
      </w:r>
      <w:r w:rsidRPr="00946FAD">
        <w:rPr>
          <w:rFonts w:cs="Arial"/>
          <w:szCs w:val="24"/>
        </w:rPr>
        <w:tab/>
      </w:r>
      <w:r w:rsidR="003B5D01" w:rsidRPr="00946FAD">
        <w:rPr>
          <w:rFonts w:cs="Arial"/>
          <w:szCs w:val="24"/>
        </w:rPr>
        <w:t xml:space="preserve">The costs of the trial for 9, 10 and 11 October 2023. </w:t>
      </w:r>
    </w:p>
    <w:p w14:paraId="485A6F96" w14:textId="03E5637A" w:rsidR="007675CE" w:rsidRPr="00946FAD" w:rsidRDefault="000B49FC" w:rsidP="000B49FC">
      <w:pPr>
        <w:spacing w:line="360" w:lineRule="auto"/>
        <w:ind w:left="1985" w:hanging="851"/>
        <w:jc w:val="both"/>
        <w:rPr>
          <w:rFonts w:cs="Arial"/>
          <w:szCs w:val="24"/>
        </w:rPr>
      </w:pPr>
      <w:r w:rsidRPr="00946FAD">
        <w:rPr>
          <w:rFonts w:cs="Arial"/>
          <w:szCs w:val="24"/>
        </w:rPr>
        <w:t>4.7</w:t>
      </w:r>
      <w:r w:rsidRPr="00946FAD">
        <w:rPr>
          <w:rFonts w:cs="Arial"/>
          <w:szCs w:val="24"/>
        </w:rPr>
        <w:tab/>
      </w:r>
      <w:r w:rsidR="003B5D01" w:rsidRPr="00946FAD">
        <w:rPr>
          <w:rFonts w:cs="Arial"/>
          <w:szCs w:val="24"/>
        </w:rPr>
        <w:t xml:space="preserve">The costs of consultations between </w:t>
      </w:r>
      <w:r w:rsidR="00A4083F">
        <w:rPr>
          <w:rFonts w:cs="Arial"/>
          <w:szCs w:val="24"/>
        </w:rPr>
        <w:t xml:space="preserve">the </w:t>
      </w:r>
      <w:r w:rsidR="00792320" w:rsidRPr="00946FAD">
        <w:rPr>
          <w:rFonts w:cs="Arial"/>
          <w:szCs w:val="24"/>
        </w:rPr>
        <w:t>p</w:t>
      </w:r>
      <w:r w:rsidR="003B5D01" w:rsidRPr="00946FAD">
        <w:rPr>
          <w:rFonts w:cs="Arial"/>
          <w:szCs w:val="24"/>
        </w:rPr>
        <w:t xml:space="preserve">laintiff’s counsel, </w:t>
      </w:r>
      <w:r w:rsidR="00792320" w:rsidRPr="00946FAD">
        <w:rPr>
          <w:rFonts w:cs="Arial"/>
          <w:szCs w:val="24"/>
        </w:rPr>
        <w:t>p</w:t>
      </w:r>
      <w:r w:rsidR="003B5D01" w:rsidRPr="00946FAD">
        <w:rPr>
          <w:rFonts w:cs="Arial"/>
          <w:szCs w:val="24"/>
        </w:rPr>
        <w:t xml:space="preserve">laintiff’s attorney, </w:t>
      </w:r>
      <w:r w:rsidR="00792320" w:rsidRPr="00946FAD">
        <w:rPr>
          <w:rFonts w:cs="Arial"/>
          <w:szCs w:val="24"/>
        </w:rPr>
        <w:t>p</w:t>
      </w:r>
      <w:r w:rsidR="003B5D01" w:rsidRPr="00946FAD">
        <w:rPr>
          <w:rFonts w:cs="Arial"/>
          <w:szCs w:val="24"/>
        </w:rPr>
        <w:t xml:space="preserve">laintiff and witnesses in preparation for the trial date set down for 9 October 2023. </w:t>
      </w:r>
    </w:p>
    <w:p w14:paraId="0F711529" w14:textId="6D76DC11" w:rsidR="007675CE" w:rsidRPr="00946FAD" w:rsidRDefault="000B49FC" w:rsidP="000B49FC">
      <w:pPr>
        <w:spacing w:line="360" w:lineRule="auto"/>
        <w:ind w:left="1985" w:hanging="851"/>
        <w:jc w:val="both"/>
        <w:rPr>
          <w:rFonts w:cs="Arial"/>
          <w:szCs w:val="24"/>
        </w:rPr>
      </w:pPr>
      <w:r w:rsidRPr="00946FAD">
        <w:rPr>
          <w:rFonts w:cs="Arial"/>
          <w:szCs w:val="24"/>
        </w:rPr>
        <w:t>4.8</w:t>
      </w:r>
      <w:r w:rsidRPr="00946FAD">
        <w:rPr>
          <w:rFonts w:cs="Arial"/>
          <w:szCs w:val="24"/>
        </w:rPr>
        <w:tab/>
      </w:r>
      <w:r w:rsidR="003B5D01" w:rsidRPr="00946FAD">
        <w:rPr>
          <w:rFonts w:cs="Arial"/>
          <w:szCs w:val="24"/>
        </w:rPr>
        <w:t xml:space="preserve">The travelling costs of air tickets, return and the accommodation costs and expenses incurred on behalf of </w:t>
      </w:r>
      <w:r w:rsidR="00792320" w:rsidRPr="00946FAD">
        <w:rPr>
          <w:rFonts w:cs="Arial"/>
          <w:szCs w:val="24"/>
        </w:rPr>
        <w:t>p</w:t>
      </w:r>
      <w:r w:rsidR="003B5D01" w:rsidRPr="00946FAD">
        <w:rPr>
          <w:rFonts w:cs="Arial"/>
          <w:szCs w:val="24"/>
        </w:rPr>
        <w:t xml:space="preserve">laintiff in respect of the attendance at trial in respect of Mr L Martiny.  </w:t>
      </w:r>
    </w:p>
    <w:p w14:paraId="5EB30220" w14:textId="206212C5" w:rsidR="007675CE" w:rsidRPr="00946FAD" w:rsidRDefault="000B49FC" w:rsidP="000B49FC">
      <w:pPr>
        <w:spacing w:line="360" w:lineRule="auto"/>
        <w:ind w:left="1985" w:hanging="851"/>
        <w:jc w:val="both"/>
        <w:rPr>
          <w:rFonts w:cs="Arial"/>
          <w:szCs w:val="24"/>
        </w:rPr>
      </w:pPr>
      <w:r w:rsidRPr="00946FAD">
        <w:rPr>
          <w:rFonts w:cs="Arial"/>
          <w:szCs w:val="24"/>
        </w:rPr>
        <w:t>4.9</w:t>
      </w:r>
      <w:r w:rsidRPr="00946FAD">
        <w:rPr>
          <w:rFonts w:cs="Arial"/>
          <w:szCs w:val="24"/>
        </w:rPr>
        <w:tab/>
      </w:r>
      <w:r w:rsidR="003B5D01" w:rsidRPr="00946FAD">
        <w:rPr>
          <w:rFonts w:cs="Arial"/>
          <w:szCs w:val="24"/>
        </w:rPr>
        <w:t xml:space="preserve">The costs and disbursements associated with </w:t>
      </w:r>
      <w:r w:rsidR="00792320" w:rsidRPr="00946FAD">
        <w:rPr>
          <w:rFonts w:cs="Arial"/>
          <w:szCs w:val="24"/>
        </w:rPr>
        <w:t>p</w:t>
      </w:r>
      <w:r w:rsidR="003B5D01" w:rsidRPr="00946FAD">
        <w:rPr>
          <w:rFonts w:cs="Arial"/>
          <w:szCs w:val="24"/>
        </w:rPr>
        <w:t xml:space="preserve">laintiff’s examination by </w:t>
      </w:r>
      <w:r w:rsidR="00792320" w:rsidRPr="00946FAD">
        <w:rPr>
          <w:rFonts w:cs="Arial"/>
          <w:szCs w:val="24"/>
        </w:rPr>
        <w:t>d</w:t>
      </w:r>
      <w:r w:rsidR="003B5D01" w:rsidRPr="00946FAD">
        <w:rPr>
          <w:rFonts w:cs="Arial"/>
          <w:szCs w:val="24"/>
        </w:rPr>
        <w:t xml:space="preserve">efendant’s expert witnesses, in the absence of </w:t>
      </w:r>
      <w:r w:rsidR="00792320" w:rsidRPr="00946FAD">
        <w:rPr>
          <w:rFonts w:cs="Arial"/>
          <w:szCs w:val="24"/>
        </w:rPr>
        <w:t>r</w:t>
      </w:r>
      <w:r w:rsidR="003B5D01" w:rsidRPr="00946FAD">
        <w:rPr>
          <w:rFonts w:cs="Arial"/>
          <w:szCs w:val="24"/>
        </w:rPr>
        <w:t xml:space="preserve">ule 36(2) </w:t>
      </w:r>
      <w:r w:rsidR="00792320" w:rsidRPr="00946FAD">
        <w:rPr>
          <w:rFonts w:cs="Arial"/>
          <w:szCs w:val="24"/>
        </w:rPr>
        <w:t>n</w:t>
      </w:r>
      <w:r w:rsidR="003B5D01" w:rsidRPr="00946FAD">
        <w:rPr>
          <w:rFonts w:cs="Arial"/>
          <w:szCs w:val="24"/>
        </w:rPr>
        <w:t xml:space="preserve">otices, shall be borne by </w:t>
      </w:r>
      <w:r w:rsidR="00792320" w:rsidRPr="00946FAD">
        <w:rPr>
          <w:rFonts w:cs="Arial"/>
          <w:szCs w:val="24"/>
        </w:rPr>
        <w:t>d</w:t>
      </w:r>
      <w:r w:rsidR="003B5D01" w:rsidRPr="00946FAD">
        <w:rPr>
          <w:rFonts w:cs="Arial"/>
          <w:szCs w:val="24"/>
        </w:rPr>
        <w:t>efendant.</w:t>
      </w:r>
    </w:p>
    <w:p w14:paraId="3E0D3881" w14:textId="6595015C" w:rsidR="007675CE" w:rsidRPr="00946FAD" w:rsidRDefault="000B49FC" w:rsidP="000B49FC">
      <w:pPr>
        <w:spacing w:line="360" w:lineRule="auto"/>
        <w:ind w:left="1985" w:hanging="851"/>
        <w:jc w:val="both"/>
        <w:rPr>
          <w:rFonts w:cs="Arial"/>
          <w:szCs w:val="24"/>
        </w:rPr>
      </w:pPr>
      <w:r w:rsidRPr="00946FAD">
        <w:rPr>
          <w:rFonts w:cs="Arial"/>
          <w:szCs w:val="24"/>
        </w:rPr>
        <w:t>4.10</w:t>
      </w:r>
      <w:r w:rsidRPr="00946FAD">
        <w:rPr>
          <w:rFonts w:cs="Arial"/>
          <w:szCs w:val="24"/>
        </w:rPr>
        <w:tab/>
      </w:r>
      <w:r w:rsidR="00780923" w:rsidRPr="00946FAD">
        <w:rPr>
          <w:rFonts w:cs="Arial"/>
          <w:szCs w:val="24"/>
        </w:rPr>
        <w:t>The p</w:t>
      </w:r>
      <w:r w:rsidR="003B5D01" w:rsidRPr="00946FAD">
        <w:rPr>
          <w:rFonts w:cs="Arial"/>
          <w:szCs w:val="24"/>
        </w:rPr>
        <w:t>laintiff, Mrs Bond and Mrs Coltman be and are hereby declared as necessary witnesses.</w:t>
      </w:r>
    </w:p>
    <w:p w14:paraId="3AA30A72" w14:textId="1FA3AF9E" w:rsidR="007675CE" w:rsidRPr="00946FAD" w:rsidRDefault="000B49FC" w:rsidP="000B49FC">
      <w:pPr>
        <w:spacing w:line="360" w:lineRule="auto"/>
        <w:ind w:left="1985" w:hanging="851"/>
        <w:jc w:val="both"/>
        <w:rPr>
          <w:rFonts w:cs="Arial"/>
          <w:szCs w:val="24"/>
        </w:rPr>
      </w:pPr>
      <w:r w:rsidRPr="00946FAD">
        <w:rPr>
          <w:rFonts w:cs="Arial"/>
          <w:szCs w:val="24"/>
        </w:rPr>
        <w:t>4.11</w:t>
      </w:r>
      <w:r w:rsidRPr="00946FAD">
        <w:rPr>
          <w:rFonts w:cs="Arial"/>
          <w:szCs w:val="24"/>
        </w:rPr>
        <w:tab/>
      </w:r>
      <w:r w:rsidR="003B5D01" w:rsidRPr="00946FAD">
        <w:rPr>
          <w:rFonts w:cs="Arial"/>
          <w:szCs w:val="24"/>
        </w:rPr>
        <w:t xml:space="preserve">The costs of </w:t>
      </w:r>
      <w:r w:rsidR="00792320" w:rsidRPr="00946FAD">
        <w:rPr>
          <w:rFonts w:cs="Arial"/>
          <w:szCs w:val="24"/>
        </w:rPr>
        <w:t>six</w:t>
      </w:r>
      <w:r w:rsidR="003B5D01" w:rsidRPr="00946FAD">
        <w:rPr>
          <w:rFonts w:cs="Arial"/>
          <w:szCs w:val="24"/>
        </w:rPr>
        <w:t xml:space="preserve"> trial bundles for the trial date set down for 9</w:t>
      </w:r>
      <w:r w:rsidR="00EE57FD">
        <w:rPr>
          <w:rFonts w:cs="Arial"/>
          <w:szCs w:val="24"/>
        </w:rPr>
        <w:t> </w:t>
      </w:r>
      <w:r w:rsidR="003B5D01" w:rsidRPr="00946FAD">
        <w:rPr>
          <w:rFonts w:cs="Arial"/>
          <w:szCs w:val="24"/>
        </w:rPr>
        <w:t>October</w:t>
      </w:r>
      <w:r w:rsidR="00EE57FD">
        <w:rPr>
          <w:rFonts w:cs="Arial"/>
          <w:szCs w:val="24"/>
        </w:rPr>
        <w:t> </w:t>
      </w:r>
      <w:r w:rsidR="003B5D01" w:rsidRPr="00946FAD">
        <w:rPr>
          <w:rFonts w:cs="Arial"/>
          <w:szCs w:val="24"/>
        </w:rPr>
        <w:t xml:space="preserve">2023. </w:t>
      </w:r>
    </w:p>
    <w:p w14:paraId="1A94EBA0" w14:textId="62458246" w:rsidR="007675CE" w:rsidRPr="00946FAD" w:rsidRDefault="000B49FC" w:rsidP="000B49FC">
      <w:pPr>
        <w:spacing w:line="360" w:lineRule="auto"/>
        <w:ind w:left="1985" w:hanging="851"/>
        <w:jc w:val="both"/>
        <w:rPr>
          <w:rFonts w:cs="Arial"/>
          <w:szCs w:val="24"/>
        </w:rPr>
      </w:pPr>
      <w:r w:rsidRPr="00946FAD">
        <w:rPr>
          <w:rFonts w:cs="Arial"/>
          <w:szCs w:val="24"/>
        </w:rPr>
        <w:t>4.12</w:t>
      </w:r>
      <w:r w:rsidRPr="00946FAD">
        <w:rPr>
          <w:rFonts w:cs="Arial"/>
          <w:szCs w:val="24"/>
        </w:rPr>
        <w:tab/>
      </w:r>
      <w:r w:rsidR="003B5D01" w:rsidRPr="00946FAD">
        <w:rPr>
          <w:rFonts w:cs="Arial"/>
          <w:szCs w:val="24"/>
        </w:rPr>
        <w:t xml:space="preserve">The costs of the interpreter employed </w:t>
      </w:r>
      <w:r w:rsidR="001B6754" w:rsidRPr="00946FAD">
        <w:rPr>
          <w:rFonts w:cs="Arial"/>
          <w:szCs w:val="24"/>
        </w:rPr>
        <w:t>on</w:t>
      </w:r>
      <w:r w:rsidR="003B5D01" w:rsidRPr="00946FAD">
        <w:rPr>
          <w:rFonts w:cs="Arial"/>
          <w:szCs w:val="24"/>
        </w:rPr>
        <w:t xml:space="preserve"> 9 and 10 October 2023.</w:t>
      </w:r>
    </w:p>
    <w:p w14:paraId="4506BA11" w14:textId="3365C50E" w:rsidR="00742B35" w:rsidRPr="00946FAD" w:rsidRDefault="000B49FC" w:rsidP="000B49FC">
      <w:pPr>
        <w:spacing w:line="360" w:lineRule="auto"/>
        <w:ind w:left="1985" w:hanging="851"/>
        <w:jc w:val="both"/>
        <w:rPr>
          <w:rFonts w:cs="Arial"/>
          <w:szCs w:val="24"/>
        </w:rPr>
      </w:pPr>
      <w:r w:rsidRPr="00946FAD">
        <w:rPr>
          <w:rFonts w:cs="Arial"/>
          <w:szCs w:val="24"/>
        </w:rPr>
        <w:t>4.13</w:t>
      </w:r>
      <w:r w:rsidRPr="00946FAD">
        <w:rPr>
          <w:rFonts w:cs="Arial"/>
          <w:szCs w:val="24"/>
        </w:rPr>
        <w:tab/>
      </w:r>
      <w:r w:rsidR="003B5D01" w:rsidRPr="00946FAD">
        <w:rPr>
          <w:rFonts w:cs="Arial"/>
          <w:szCs w:val="24"/>
        </w:rPr>
        <w:t xml:space="preserve">The costs of two counsel, where so employed, including the costs of counsel’s preparation </w:t>
      </w:r>
      <w:r w:rsidR="001B6754" w:rsidRPr="00946FAD">
        <w:rPr>
          <w:rFonts w:cs="Arial"/>
          <w:szCs w:val="24"/>
        </w:rPr>
        <w:t>for</w:t>
      </w:r>
      <w:r w:rsidR="003B5D01" w:rsidRPr="00946FAD">
        <w:rPr>
          <w:rFonts w:cs="Arial"/>
          <w:szCs w:val="24"/>
        </w:rPr>
        <w:t xml:space="preserve"> trial set down for 9 October 2023.  </w:t>
      </w:r>
    </w:p>
    <w:p w14:paraId="105A4AFE" w14:textId="709586EA" w:rsidR="00946FAD" w:rsidRPr="000B49FC" w:rsidRDefault="000B49FC" w:rsidP="000B49FC">
      <w:pPr>
        <w:spacing w:line="360" w:lineRule="auto"/>
        <w:ind w:left="1134" w:hanging="567"/>
        <w:jc w:val="both"/>
        <w:rPr>
          <w:rFonts w:cs="Arial"/>
          <w:szCs w:val="24"/>
        </w:rPr>
      </w:pPr>
      <w:r w:rsidRPr="00946FAD">
        <w:rPr>
          <w:rFonts w:cs="Arial"/>
          <w:szCs w:val="24"/>
          <w:lang w:eastAsia="en-ZA"/>
        </w:rPr>
        <w:t>5.</w:t>
      </w:r>
      <w:r w:rsidRPr="00946FAD">
        <w:rPr>
          <w:rFonts w:cs="Arial"/>
          <w:szCs w:val="24"/>
          <w:lang w:eastAsia="en-ZA"/>
        </w:rPr>
        <w:tab/>
      </w:r>
      <w:r w:rsidR="00EB60A6" w:rsidRPr="000B49FC">
        <w:rPr>
          <w:rFonts w:cs="Arial"/>
          <w:szCs w:val="24"/>
        </w:rPr>
        <w:t>The d</w:t>
      </w:r>
      <w:r w:rsidR="003B5D01" w:rsidRPr="000B49FC">
        <w:rPr>
          <w:rFonts w:cs="Arial"/>
          <w:szCs w:val="24"/>
        </w:rPr>
        <w:t xml:space="preserve">efendant shall pay interest on </w:t>
      </w:r>
      <w:r w:rsidR="00EB60A6" w:rsidRPr="000B49FC">
        <w:rPr>
          <w:rFonts w:cs="Arial"/>
          <w:szCs w:val="24"/>
        </w:rPr>
        <w:t>the p</w:t>
      </w:r>
      <w:r w:rsidR="003B5D01" w:rsidRPr="000B49FC">
        <w:rPr>
          <w:rFonts w:cs="Arial"/>
          <w:szCs w:val="24"/>
        </w:rPr>
        <w:t xml:space="preserve">laintiff’s taxed or agreed costs at the prevailing prescribed interest rate per annum calculated from a date 14 days after </w:t>
      </w:r>
      <w:proofErr w:type="spellStart"/>
      <w:r w:rsidR="003B5D01" w:rsidRPr="000B49FC">
        <w:rPr>
          <w:rFonts w:cs="Arial"/>
          <w:i/>
          <w:szCs w:val="24"/>
        </w:rPr>
        <w:t>allocatur</w:t>
      </w:r>
      <w:proofErr w:type="spellEnd"/>
      <w:r w:rsidR="003B5D01" w:rsidRPr="000B49FC">
        <w:rPr>
          <w:rFonts w:cs="Arial"/>
          <w:szCs w:val="24"/>
        </w:rPr>
        <w:t xml:space="preserve"> or written agreement to date of payment.</w:t>
      </w:r>
    </w:p>
    <w:p w14:paraId="6176AFFF" w14:textId="716E770A" w:rsidR="003B5D01" w:rsidRPr="000B49FC" w:rsidRDefault="000B49FC" w:rsidP="000B49FC">
      <w:pPr>
        <w:spacing w:line="360" w:lineRule="auto"/>
        <w:ind w:left="1134" w:hanging="567"/>
        <w:jc w:val="both"/>
        <w:rPr>
          <w:rFonts w:cs="Arial"/>
          <w:szCs w:val="24"/>
        </w:rPr>
      </w:pPr>
      <w:r w:rsidRPr="00946FAD">
        <w:rPr>
          <w:rFonts w:cs="Arial"/>
          <w:szCs w:val="24"/>
          <w:lang w:eastAsia="en-ZA"/>
        </w:rPr>
        <w:t>6.</w:t>
      </w:r>
      <w:r w:rsidRPr="00946FAD">
        <w:rPr>
          <w:rFonts w:cs="Arial"/>
          <w:szCs w:val="24"/>
          <w:lang w:eastAsia="en-ZA"/>
        </w:rPr>
        <w:tab/>
      </w:r>
      <w:r w:rsidR="00EB60A6" w:rsidRPr="000B49FC">
        <w:rPr>
          <w:rFonts w:cs="Arial"/>
          <w:szCs w:val="24"/>
        </w:rPr>
        <w:t>The p</w:t>
      </w:r>
      <w:r w:rsidR="003B5D01" w:rsidRPr="000B49FC">
        <w:rPr>
          <w:rFonts w:cs="Arial"/>
          <w:szCs w:val="24"/>
        </w:rPr>
        <w:t xml:space="preserve">laintiff’s claim in her personal capacity for past medical and hospital expenses be and is hereby postponed </w:t>
      </w:r>
      <w:r w:rsidR="003B5D01" w:rsidRPr="000B49FC">
        <w:rPr>
          <w:rFonts w:cs="Arial"/>
          <w:i/>
          <w:szCs w:val="24"/>
        </w:rPr>
        <w:t>sine die</w:t>
      </w:r>
      <w:r w:rsidR="003B5D01" w:rsidRPr="000B49FC">
        <w:rPr>
          <w:rFonts w:cs="Arial"/>
          <w:szCs w:val="24"/>
        </w:rPr>
        <w:t xml:space="preserve">. </w:t>
      </w:r>
    </w:p>
    <w:p w14:paraId="5D136C3A" w14:textId="77777777" w:rsidR="00D761A9" w:rsidRPr="00946FAD" w:rsidRDefault="00D761A9" w:rsidP="00292371">
      <w:pPr>
        <w:tabs>
          <w:tab w:val="num" w:pos="567"/>
        </w:tabs>
        <w:spacing w:line="360" w:lineRule="auto"/>
        <w:ind w:left="567" w:hanging="567"/>
        <w:jc w:val="both"/>
        <w:rPr>
          <w:rFonts w:cs="Arial"/>
          <w:szCs w:val="24"/>
        </w:rPr>
      </w:pPr>
    </w:p>
    <w:p w14:paraId="4D2BD3B9" w14:textId="77777777" w:rsidR="00D761A9" w:rsidRPr="00946FAD" w:rsidRDefault="00D761A9" w:rsidP="00292371">
      <w:pPr>
        <w:widowControl w:val="0"/>
        <w:tabs>
          <w:tab w:val="num" w:pos="567"/>
          <w:tab w:val="left" w:pos="4536"/>
          <w:tab w:val="right" w:pos="8640"/>
          <w:tab w:val="right" w:pos="9781"/>
        </w:tabs>
        <w:spacing w:line="360" w:lineRule="auto"/>
        <w:ind w:left="567" w:hanging="567"/>
        <w:jc w:val="both"/>
        <w:rPr>
          <w:rFonts w:eastAsia="Arial" w:cs="Arial"/>
          <w:szCs w:val="24"/>
        </w:rPr>
      </w:pPr>
    </w:p>
    <w:p w14:paraId="25663434" w14:textId="77777777" w:rsidR="00D761A9" w:rsidRPr="00E60EE2" w:rsidRDefault="00D761A9" w:rsidP="00292371">
      <w:pPr>
        <w:widowControl w:val="0"/>
        <w:tabs>
          <w:tab w:val="num" w:pos="567"/>
          <w:tab w:val="left" w:pos="4536"/>
          <w:tab w:val="right" w:pos="8640"/>
          <w:tab w:val="right" w:pos="9781"/>
        </w:tabs>
        <w:spacing w:line="360" w:lineRule="auto"/>
        <w:ind w:left="567" w:hanging="567"/>
        <w:jc w:val="both"/>
        <w:rPr>
          <w:rFonts w:eastAsia="Arial" w:cs="Arial"/>
          <w:szCs w:val="24"/>
        </w:rPr>
      </w:pPr>
      <w:r w:rsidRPr="00E60EE2">
        <w:rPr>
          <w:rFonts w:eastAsia="Arial" w:cs="Arial"/>
          <w:szCs w:val="24"/>
        </w:rPr>
        <w:t xml:space="preserve">_________________________ </w:t>
      </w:r>
    </w:p>
    <w:p w14:paraId="5CED7A1E" w14:textId="462EB304" w:rsidR="00D761A9" w:rsidRPr="00E60EE2" w:rsidRDefault="00D761A9" w:rsidP="00611972">
      <w:pPr>
        <w:widowControl w:val="0"/>
        <w:tabs>
          <w:tab w:val="num" w:pos="567"/>
          <w:tab w:val="left" w:pos="4536"/>
          <w:tab w:val="right" w:pos="8640"/>
          <w:tab w:val="right" w:pos="9781"/>
        </w:tabs>
        <w:ind w:left="567" w:hanging="567"/>
        <w:jc w:val="both"/>
        <w:rPr>
          <w:rFonts w:eastAsia="Arial" w:cs="Arial"/>
          <w:szCs w:val="24"/>
        </w:rPr>
      </w:pPr>
      <w:r w:rsidRPr="00E60EE2">
        <w:rPr>
          <w:rFonts w:eastAsia="Arial" w:cs="Arial"/>
          <w:szCs w:val="24"/>
        </w:rPr>
        <w:t>GH BLOEM</w:t>
      </w:r>
    </w:p>
    <w:p w14:paraId="1D72B8D4" w14:textId="04D3A45A" w:rsidR="00D761A9" w:rsidRPr="00E60EE2" w:rsidRDefault="00216858" w:rsidP="00611972">
      <w:pPr>
        <w:widowControl w:val="0"/>
        <w:tabs>
          <w:tab w:val="num" w:pos="567"/>
          <w:tab w:val="left" w:pos="4536"/>
          <w:tab w:val="right" w:pos="8640"/>
          <w:tab w:val="right" w:pos="9781"/>
        </w:tabs>
        <w:ind w:left="567" w:hanging="567"/>
        <w:jc w:val="both"/>
        <w:rPr>
          <w:rFonts w:eastAsia="Arial" w:cs="Arial"/>
          <w:caps/>
          <w:szCs w:val="24"/>
        </w:rPr>
      </w:pPr>
      <w:r w:rsidRPr="00E60EE2">
        <w:rPr>
          <w:rFonts w:eastAsia="Arial" w:cs="Arial"/>
          <w:szCs w:val="24"/>
        </w:rPr>
        <w:t xml:space="preserve">Judge </w:t>
      </w:r>
      <w:r>
        <w:rPr>
          <w:rFonts w:eastAsia="Arial" w:cs="Arial"/>
          <w:szCs w:val="24"/>
        </w:rPr>
        <w:t>o</w:t>
      </w:r>
      <w:r w:rsidRPr="00E60EE2">
        <w:rPr>
          <w:rFonts w:eastAsia="Arial" w:cs="Arial"/>
          <w:szCs w:val="24"/>
        </w:rPr>
        <w:t xml:space="preserve">f </w:t>
      </w:r>
      <w:r>
        <w:rPr>
          <w:rFonts w:eastAsia="Arial" w:cs="Arial"/>
          <w:szCs w:val="24"/>
        </w:rPr>
        <w:t>t</w:t>
      </w:r>
      <w:r w:rsidRPr="00E60EE2">
        <w:rPr>
          <w:rFonts w:eastAsia="Arial" w:cs="Arial"/>
          <w:szCs w:val="24"/>
        </w:rPr>
        <w:t>he High Court</w:t>
      </w:r>
    </w:p>
    <w:p w14:paraId="55294E05" w14:textId="77777777" w:rsidR="00D761A9" w:rsidRPr="00E60EE2" w:rsidRDefault="00D761A9" w:rsidP="00611972">
      <w:pPr>
        <w:widowControl w:val="0"/>
        <w:tabs>
          <w:tab w:val="num" w:pos="567"/>
          <w:tab w:val="right" w:pos="8640"/>
          <w:tab w:val="right" w:pos="9781"/>
        </w:tabs>
        <w:ind w:left="567" w:hanging="567"/>
        <w:jc w:val="both"/>
        <w:rPr>
          <w:rFonts w:eastAsia="Arial" w:cs="Arial"/>
          <w:szCs w:val="24"/>
        </w:rPr>
      </w:pPr>
    </w:p>
    <w:p w14:paraId="2A92D16A" w14:textId="77777777" w:rsidR="006F718F" w:rsidRPr="00E60EE2" w:rsidRDefault="006F718F" w:rsidP="00292371">
      <w:pPr>
        <w:tabs>
          <w:tab w:val="num" w:pos="567"/>
        </w:tabs>
        <w:spacing w:line="360" w:lineRule="auto"/>
        <w:ind w:left="567" w:hanging="567"/>
        <w:jc w:val="both"/>
        <w:rPr>
          <w:rFonts w:cs="Arial"/>
          <w:szCs w:val="24"/>
        </w:rPr>
      </w:pPr>
    </w:p>
    <w:p w14:paraId="2D2C6846" w14:textId="73696F4F" w:rsidR="00D761A9" w:rsidRDefault="006F718F" w:rsidP="00292371">
      <w:pPr>
        <w:tabs>
          <w:tab w:val="num" w:pos="567"/>
        </w:tabs>
        <w:spacing w:line="360" w:lineRule="auto"/>
        <w:ind w:left="567" w:hanging="567"/>
        <w:jc w:val="both"/>
        <w:rPr>
          <w:rFonts w:cs="Arial"/>
          <w:szCs w:val="24"/>
        </w:rPr>
      </w:pPr>
      <w:r>
        <w:rPr>
          <w:rFonts w:cs="Arial"/>
          <w:szCs w:val="24"/>
        </w:rPr>
        <w:lastRenderedPageBreak/>
        <w:t>A</w:t>
      </w:r>
      <w:r w:rsidR="00DE4444">
        <w:rPr>
          <w:rFonts w:cs="Arial"/>
          <w:szCs w:val="24"/>
        </w:rPr>
        <w:t>p</w:t>
      </w:r>
      <w:r w:rsidR="00324337">
        <w:rPr>
          <w:rFonts w:cs="Arial"/>
          <w:szCs w:val="24"/>
        </w:rPr>
        <w:t>pearances</w:t>
      </w:r>
    </w:p>
    <w:p w14:paraId="0A75F465" w14:textId="77777777" w:rsidR="00D761A9" w:rsidRDefault="00D761A9" w:rsidP="00292371">
      <w:pPr>
        <w:tabs>
          <w:tab w:val="num" w:pos="567"/>
        </w:tabs>
        <w:autoSpaceDE w:val="0"/>
        <w:autoSpaceDN w:val="0"/>
        <w:adjustRightInd w:val="0"/>
        <w:spacing w:line="360" w:lineRule="auto"/>
        <w:ind w:left="567" w:hanging="567"/>
        <w:jc w:val="both"/>
        <w:rPr>
          <w:rFonts w:cs="Arial"/>
          <w:szCs w:val="24"/>
        </w:rPr>
      </w:pPr>
    </w:p>
    <w:p w14:paraId="6BC4BB99" w14:textId="00FF0631" w:rsidR="00134851" w:rsidRDefault="00D761A9" w:rsidP="00292371">
      <w:pPr>
        <w:tabs>
          <w:tab w:val="num" w:pos="3119"/>
        </w:tabs>
        <w:autoSpaceDE w:val="0"/>
        <w:autoSpaceDN w:val="0"/>
        <w:adjustRightInd w:val="0"/>
        <w:spacing w:line="360" w:lineRule="auto"/>
        <w:ind w:left="3119" w:hanging="3119"/>
        <w:jc w:val="both"/>
        <w:rPr>
          <w:rFonts w:cs="Arial"/>
          <w:szCs w:val="24"/>
        </w:rPr>
      </w:pPr>
      <w:r w:rsidRPr="00455964">
        <w:rPr>
          <w:rFonts w:cs="Arial"/>
          <w:szCs w:val="24"/>
        </w:rPr>
        <w:t xml:space="preserve">For the </w:t>
      </w:r>
      <w:r w:rsidR="007529DC">
        <w:rPr>
          <w:rFonts w:cs="Arial"/>
          <w:szCs w:val="24"/>
        </w:rPr>
        <w:t>plaintiff</w:t>
      </w:r>
      <w:r w:rsidRPr="00455964">
        <w:rPr>
          <w:rFonts w:cs="Arial"/>
          <w:szCs w:val="24"/>
        </w:rPr>
        <w:t xml:space="preserve">: </w:t>
      </w:r>
      <w:r w:rsidRPr="00455964">
        <w:rPr>
          <w:rFonts w:cs="Arial"/>
          <w:szCs w:val="24"/>
        </w:rPr>
        <w:tab/>
      </w:r>
      <w:r w:rsidR="007529DC">
        <w:rPr>
          <w:rFonts w:cs="Arial"/>
          <w:szCs w:val="24"/>
        </w:rPr>
        <w:t>Mr A Frost with Ms B Westerdale, instructed by</w:t>
      </w:r>
      <w:r w:rsidR="0091054E">
        <w:rPr>
          <w:rFonts w:cs="Arial"/>
          <w:szCs w:val="24"/>
        </w:rPr>
        <w:t xml:space="preserve"> </w:t>
      </w:r>
      <w:r w:rsidR="00873868">
        <w:rPr>
          <w:rFonts w:cs="Arial"/>
          <w:szCs w:val="24"/>
        </w:rPr>
        <w:t xml:space="preserve">Meyer INC, </w:t>
      </w:r>
      <w:proofErr w:type="spellStart"/>
      <w:r w:rsidR="00873868">
        <w:rPr>
          <w:rFonts w:cs="Arial"/>
          <w:szCs w:val="24"/>
        </w:rPr>
        <w:t>Gqeberha</w:t>
      </w:r>
      <w:proofErr w:type="spellEnd"/>
      <w:r w:rsidR="00873868">
        <w:rPr>
          <w:rFonts w:cs="Arial"/>
          <w:szCs w:val="24"/>
        </w:rPr>
        <w:t xml:space="preserve"> and </w:t>
      </w:r>
      <w:proofErr w:type="spellStart"/>
      <w:r w:rsidR="00873868">
        <w:rPr>
          <w:rFonts w:cs="Arial"/>
          <w:szCs w:val="24"/>
        </w:rPr>
        <w:t>Netteltons</w:t>
      </w:r>
      <w:proofErr w:type="spellEnd"/>
      <w:r w:rsidR="00873868">
        <w:rPr>
          <w:rFonts w:cs="Arial"/>
          <w:szCs w:val="24"/>
        </w:rPr>
        <w:t xml:space="preserve"> Attorneys, </w:t>
      </w:r>
      <w:proofErr w:type="spellStart"/>
      <w:r w:rsidR="00873868">
        <w:rPr>
          <w:rFonts w:cs="Arial"/>
          <w:szCs w:val="24"/>
        </w:rPr>
        <w:t>Makhanda</w:t>
      </w:r>
      <w:proofErr w:type="spellEnd"/>
      <w:r w:rsidRPr="00455964">
        <w:rPr>
          <w:rFonts w:cs="Arial"/>
          <w:szCs w:val="24"/>
        </w:rPr>
        <w:t>.</w:t>
      </w:r>
    </w:p>
    <w:p w14:paraId="0508EFF3" w14:textId="77777777" w:rsidR="00BB554D" w:rsidRDefault="00BB554D" w:rsidP="00292371">
      <w:pPr>
        <w:tabs>
          <w:tab w:val="num" w:pos="3119"/>
        </w:tabs>
        <w:autoSpaceDE w:val="0"/>
        <w:autoSpaceDN w:val="0"/>
        <w:adjustRightInd w:val="0"/>
        <w:spacing w:line="360" w:lineRule="auto"/>
        <w:ind w:left="3119" w:hanging="3119"/>
        <w:jc w:val="both"/>
        <w:rPr>
          <w:rFonts w:cs="Arial"/>
          <w:szCs w:val="24"/>
        </w:rPr>
      </w:pPr>
    </w:p>
    <w:p w14:paraId="2D05BB87" w14:textId="6B5CC561" w:rsidR="00D761A9" w:rsidRDefault="006F718F" w:rsidP="00292371">
      <w:pPr>
        <w:tabs>
          <w:tab w:val="num" w:pos="3119"/>
        </w:tabs>
        <w:spacing w:line="360" w:lineRule="auto"/>
        <w:ind w:left="3119" w:hanging="3119"/>
        <w:jc w:val="both"/>
        <w:rPr>
          <w:rFonts w:cs="Arial"/>
          <w:szCs w:val="24"/>
        </w:rPr>
      </w:pPr>
      <w:r>
        <w:rPr>
          <w:rFonts w:cs="Arial"/>
          <w:szCs w:val="24"/>
        </w:rPr>
        <w:t>F</w:t>
      </w:r>
      <w:r w:rsidR="00D761A9" w:rsidRPr="00455964">
        <w:rPr>
          <w:rFonts w:cs="Arial"/>
          <w:szCs w:val="24"/>
        </w:rPr>
        <w:t xml:space="preserve">or the </w:t>
      </w:r>
      <w:r w:rsidR="007529DC">
        <w:rPr>
          <w:rFonts w:cs="Arial"/>
          <w:szCs w:val="24"/>
        </w:rPr>
        <w:t>defendant</w:t>
      </w:r>
      <w:r w:rsidR="00D761A9" w:rsidRPr="00455964">
        <w:rPr>
          <w:rFonts w:cs="Arial"/>
          <w:szCs w:val="24"/>
        </w:rPr>
        <w:t>:</w:t>
      </w:r>
      <w:r w:rsidR="00D761A9" w:rsidRPr="00455964">
        <w:rPr>
          <w:rFonts w:cs="Arial"/>
          <w:szCs w:val="24"/>
        </w:rPr>
        <w:tab/>
      </w:r>
      <w:r w:rsidR="007529DC">
        <w:rPr>
          <w:rFonts w:cs="Arial"/>
          <w:szCs w:val="24"/>
        </w:rPr>
        <w:t>Ms V Jeram</w:t>
      </w:r>
      <w:r w:rsidR="008014D6">
        <w:rPr>
          <w:rFonts w:cs="Arial"/>
          <w:szCs w:val="24"/>
        </w:rPr>
        <w:t xml:space="preserve"> of the State Attorney, </w:t>
      </w:r>
      <w:proofErr w:type="spellStart"/>
      <w:r w:rsidR="008014D6">
        <w:rPr>
          <w:rFonts w:cs="Arial"/>
          <w:szCs w:val="24"/>
        </w:rPr>
        <w:t>Gqeberha</w:t>
      </w:r>
      <w:proofErr w:type="spellEnd"/>
      <w:r w:rsidR="008014D6">
        <w:rPr>
          <w:rFonts w:cs="Arial"/>
          <w:szCs w:val="24"/>
        </w:rPr>
        <w:t xml:space="preserve"> and Whitesides Attorneys, </w:t>
      </w:r>
      <w:proofErr w:type="spellStart"/>
      <w:r w:rsidR="008014D6">
        <w:rPr>
          <w:rFonts w:cs="Arial"/>
          <w:szCs w:val="24"/>
        </w:rPr>
        <w:t>Makhanda</w:t>
      </w:r>
      <w:proofErr w:type="spellEnd"/>
      <w:r w:rsidR="00D761A9" w:rsidRPr="00455964">
        <w:rPr>
          <w:rFonts w:cs="Arial"/>
          <w:szCs w:val="24"/>
        </w:rPr>
        <w:t>.</w:t>
      </w:r>
    </w:p>
    <w:p w14:paraId="247825C5" w14:textId="77777777" w:rsidR="00BB554D" w:rsidRDefault="00BB554D" w:rsidP="00292371">
      <w:pPr>
        <w:tabs>
          <w:tab w:val="num" w:pos="3119"/>
        </w:tabs>
        <w:spacing w:line="360" w:lineRule="auto"/>
        <w:ind w:left="3119" w:hanging="3119"/>
        <w:jc w:val="both"/>
        <w:rPr>
          <w:rFonts w:cs="Arial"/>
          <w:szCs w:val="24"/>
        </w:rPr>
      </w:pPr>
    </w:p>
    <w:p w14:paraId="4FF804C8" w14:textId="75212B7B" w:rsidR="00D761A9" w:rsidRDefault="00D761A9" w:rsidP="00292371">
      <w:pPr>
        <w:tabs>
          <w:tab w:val="num" w:pos="3119"/>
        </w:tabs>
        <w:autoSpaceDE w:val="0"/>
        <w:autoSpaceDN w:val="0"/>
        <w:adjustRightInd w:val="0"/>
        <w:spacing w:line="360" w:lineRule="auto"/>
        <w:ind w:left="3119" w:hanging="3119"/>
        <w:jc w:val="both"/>
        <w:rPr>
          <w:rFonts w:cs="Arial"/>
          <w:szCs w:val="24"/>
        </w:rPr>
      </w:pPr>
      <w:r w:rsidRPr="00455964">
        <w:rPr>
          <w:rFonts w:cs="Arial"/>
          <w:szCs w:val="24"/>
        </w:rPr>
        <w:t>Date heard:</w:t>
      </w:r>
      <w:r w:rsidRPr="00455964">
        <w:rPr>
          <w:rFonts w:cs="Arial"/>
          <w:szCs w:val="24"/>
        </w:rPr>
        <w:tab/>
      </w:r>
      <w:r w:rsidR="00F95AD6">
        <w:rPr>
          <w:rFonts w:cs="Arial"/>
          <w:szCs w:val="24"/>
        </w:rPr>
        <w:t>9,</w:t>
      </w:r>
      <w:r w:rsidR="00535C55">
        <w:rPr>
          <w:rFonts w:cs="Arial"/>
          <w:szCs w:val="24"/>
        </w:rPr>
        <w:t xml:space="preserve"> </w:t>
      </w:r>
      <w:r w:rsidR="00F95AD6">
        <w:rPr>
          <w:rFonts w:cs="Arial"/>
          <w:szCs w:val="24"/>
        </w:rPr>
        <w:t>10 and 11 October 2023</w:t>
      </w:r>
      <w:r w:rsidR="00A952AB">
        <w:rPr>
          <w:rFonts w:cs="Arial"/>
          <w:szCs w:val="24"/>
        </w:rPr>
        <w:t>.</w:t>
      </w:r>
    </w:p>
    <w:p w14:paraId="306423F1" w14:textId="77777777" w:rsidR="00BB554D" w:rsidRPr="00455964" w:rsidRDefault="00BB554D" w:rsidP="00292371">
      <w:pPr>
        <w:tabs>
          <w:tab w:val="num" w:pos="3119"/>
        </w:tabs>
        <w:autoSpaceDE w:val="0"/>
        <w:autoSpaceDN w:val="0"/>
        <w:adjustRightInd w:val="0"/>
        <w:spacing w:line="360" w:lineRule="auto"/>
        <w:ind w:left="3119" w:hanging="3119"/>
        <w:jc w:val="both"/>
        <w:rPr>
          <w:rFonts w:cs="Arial"/>
          <w:szCs w:val="24"/>
        </w:rPr>
      </w:pPr>
    </w:p>
    <w:p w14:paraId="78DC4538" w14:textId="2070FAF7" w:rsidR="00D761A9" w:rsidRPr="00455964" w:rsidRDefault="00D761A9" w:rsidP="00292371">
      <w:pPr>
        <w:widowControl w:val="0"/>
        <w:tabs>
          <w:tab w:val="num" w:pos="3119"/>
          <w:tab w:val="right" w:pos="8640"/>
          <w:tab w:val="right" w:pos="9781"/>
        </w:tabs>
        <w:spacing w:line="360" w:lineRule="auto"/>
        <w:ind w:left="3119" w:hanging="3119"/>
        <w:jc w:val="both"/>
        <w:rPr>
          <w:rFonts w:cs="Arial"/>
          <w:szCs w:val="24"/>
        </w:rPr>
      </w:pPr>
      <w:r w:rsidRPr="00455964">
        <w:rPr>
          <w:rFonts w:cs="Arial"/>
          <w:szCs w:val="24"/>
        </w:rPr>
        <w:t>Date of delivery:</w:t>
      </w:r>
      <w:r w:rsidRPr="00455964">
        <w:rPr>
          <w:rFonts w:cs="Arial"/>
          <w:szCs w:val="24"/>
        </w:rPr>
        <w:tab/>
      </w:r>
      <w:r w:rsidR="006F718F">
        <w:rPr>
          <w:rFonts w:cs="Arial"/>
          <w:szCs w:val="24"/>
        </w:rPr>
        <w:t>24 October</w:t>
      </w:r>
      <w:r w:rsidR="00F95AD6">
        <w:rPr>
          <w:rFonts w:cs="Arial"/>
          <w:szCs w:val="24"/>
        </w:rPr>
        <w:t xml:space="preserve"> 2023</w:t>
      </w:r>
      <w:r w:rsidRPr="00455964">
        <w:rPr>
          <w:rFonts w:cs="Arial"/>
          <w:szCs w:val="24"/>
        </w:rPr>
        <w:t>.</w:t>
      </w:r>
    </w:p>
    <w:sectPr w:rsidR="00D761A9" w:rsidRPr="00455964" w:rsidSect="005B6BD4">
      <w:headerReference w:type="even" r:id="rId9"/>
      <w:headerReference w:type="default" r:id="rId10"/>
      <w:headerReference w:type="first" r:id="rId11"/>
      <w:pgSz w:w="12240" w:h="15840"/>
      <w:pgMar w:top="851" w:right="1440" w:bottom="56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4A7C" w14:textId="77777777" w:rsidR="00FB6FFB" w:rsidRDefault="00FB6FFB">
      <w:r>
        <w:separator/>
      </w:r>
    </w:p>
  </w:endnote>
  <w:endnote w:type="continuationSeparator" w:id="0">
    <w:p w14:paraId="6C0D7437" w14:textId="77777777" w:rsidR="00FB6FFB" w:rsidRDefault="00FB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FD85" w14:textId="77777777" w:rsidR="00FB6FFB" w:rsidRDefault="00FB6FFB">
      <w:r>
        <w:separator/>
      </w:r>
    </w:p>
  </w:footnote>
  <w:footnote w:type="continuationSeparator" w:id="0">
    <w:p w14:paraId="0740619B" w14:textId="77777777" w:rsidR="00FB6FFB" w:rsidRDefault="00FB6FFB">
      <w:r>
        <w:continuationSeparator/>
      </w:r>
    </w:p>
  </w:footnote>
  <w:footnote w:id="1">
    <w:p w14:paraId="2692FBF6" w14:textId="239A5F42" w:rsidR="00EF7B03" w:rsidRPr="00135BCB" w:rsidRDefault="00EF7B03" w:rsidP="005D5DF7">
      <w:pPr>
        <w:pStyle w:val="FootnoteText"/>
        <w:jc w:val="both"/>
        <w:rPr>
          <w:rFonts w:ascii="Arial" w:hAnsi="Arial" w:cs="Arial"/>
        </w:rPr>
      </w:pPr>
      <w:r w:rsidRPr="00135BCB">
        <w:rPr>
          <w:rStyle w:val="FootnoteReference"/>
          <w:rFonts w:ascii="Arial" w:hAnsi="Arial" w:cs="Arial"/>
        </w:rPr>
        <w:footnoteRef/>
      </w:r>
      <w:r w:rsidRPr="00135BCB">
        <w:rPr>
          <w:rFonts w:ascii="Arial" w:hAnsi="Arial" w:cs="Arial"/>
        </w:rPr>
        <w:t xml:space="preserve"> </w:t>
      </w:r>
      <w:r w:rsidR="0054546E" w:rsidRPr="00135BCB">
        <w:rPr>
          <w:rFonts w:ascii="Arial" w:hAnsi="Arial" w:cs="Arial"/>
        </w:rPr>
        <w:t xml:space="preserve">Declan’s father obtained a four-year degree in education and was a qualified primary school teacher.  His mother, </w:t>
      </w:r>
      <w:r w:rsidR="00F01368" w:rsidRPr="00135BCB">
        <w:rPr>
          <w:rFonts w:ascii="Arial" w:hAnsi="Arial" w:cs="Arial"/>
        </w:rPr>
        <w:t>the plaintiff, is a matriculant who intended studying to qualify as a teacher in 2019</w:t>
      </w:r>
      <w:r w:rsidR="00B16366" w:rsidRPr="00135BCB">
        <w:rPr>
          <w:rFonts w:ascii="Arial" w:hAnsi="Arial" w:cs="Arial"/>
        </w:rPr>
        <w:t xml:space="preserve"> after her fiancée, Declan’s father, had taught for at least one year.  Declan’s maternal grandfather is a retired captain in the South African Police Service, his uncle a qualified quantity surveyor </w:t>
      </w:r>
      <w:r w:rsidR="00135BCB" w:rsidRPr="00135BCB">
        <w:rPr>
          <w:rFonts w:ascii="Arial" w:hAnsi="Arial" w:cs="Arial"/>
        </w:rPr>
        <w:t>and his mother’s cousin a practising medical practitioner.</w:t>
      </w:r>
    </w:p>
  </w:footnote>
  <w:footnote w:id="2">
    <w:p w14:paraId="64C3D6ED" w14:textId="7C4E8BFC" w:rsidR="00A8178D" w:rsidRPr="006C2530" w:rsidRDefault="00A8178D" w:rsidP="003B100E">
      <w:pPr>
        <w:pStyle w:val="FootnoteText"/>
        <w:jc w:val="both"/>
        <w:rPr>
          <w:rFonts w:ascii="Arial" w:hAnsi="Arial" w:cs="Arial"/>
        </w:rPr>
      </w:pPr>
      <w:r w:rsidRPr="006C2530">
        <w:rPr>
          <w:rStyle w:val="FootnoteReference"/>
          <w:rFonts w:ascii="Arial" w:hAnsi="Arial" w:cs="Arial"/>
        </w:rPr>
        <w:footnoteRef/>
      </w:r>
      <w:r w:rsidRPr="006C2530">
        <w:rPr>
          <w:rFonts w:ascii="Arial" w:hAnsi="Arial" w:cs="Arial"/>
        </w:rPr>
        <w:t xml:space="preserve"> </w:t>
      </w:r>
      <w:r w:rsidR="00505632" w:rsidRPr="006C2530">
        <w:rPr>
          <w:rFonts w:ascii="Arial" w:hAnsi="Arial" w:cs="Arial"/>
          <w:i/>
          <w:iCs/>
        </w:rPr>
        <w:t xml:space="preserve">Road Accident Fund v </w:t>
      </w:r>
      <w:r w:rsidR="00505632" w:rsidRPr="006C2530">
        <w:rPr>
          <w:rFonts w:ascii="Arial" w:hAnsi="Arial" w:cs="Arial"/>
          <w:i/>
          <w:iCs/>
        </w:rPr>
        <w:t>Guedes</w:t>
      </w:r>
      <w:r w:rsidR="00505632" w:rsidRPr="006C2530">
        <w:rPr>
          <w:rFonts w:ascii="Arial" w:hAnsi="Arial" w:cs="Arial"/>
        </w:rPr>
        <w:t xml:space="preserve"> 2006 (5) SA 583 (SCA) par</w:t>
      </w:r>
      <w:r w:rsidR="006F17FE">
        <w:rPr>
          <w:rFonts w:ascii="Arial" w:hAnsi="Arial" w:cs="Arial"/>
        </w:rPr>
        <w:t>a</w:t>
      </w:r>
      <w:r w:rsidR="00505632" w:rsidRPr="006C2530">
        <w:rPr>
          <w:rFonts w:ascii="Arial" w:hAnsi="Arial" w:cs="Arial"/>
        </w:rPr>
        <w:t xml:space="preserve"> 8.</w:t>
      </w:r>
    </w:p>
  </w:footnote>
  <w:footnote w:id="3">
    <w:p w14:paraId="6B382EEE" w14:textId="79372E25" w:rsidR="000303A9" w:rsidRPr="00E905C6" w:rsidRDefault="000303A9" w:rsidP="005D5DF7">
      <w:pPr>
        <w:pStyle w:val="FootnoteText"/>
        <w:spacing w:after="0" w:line="240" w:lineRule="auto"/>
        <w:jc w:val="both"/>
        <w:rPr>
          <w:rFonts w:ascii="Arial" w:hAnsi="Arial" w:cs="Arial"/>
        </w:rPr>
      </w:pPr>
      <w:r w:rsidRPr="00E905C6">
        <w:rPr>
          <w:rStyle w:val="FootnoteReference"/>
          <w:rFonts w:ascii="Arial" w:hAnsi="Arial" w:cs="Arial"/>
        </w:rPr>
        <w:footnoteRef/>
      </w:r>
      <w:r w:rsidRPr="00E905C6">
        <w:rPr>
          <w:rFonts w:ascii="Arial" w:hAnsi="Arial" w:cs="Arial"/>
        </w:rPr>
        <w:t xml:space="preserve"> </w:t>
      </w:r>
      <w:r w:rsidR="00464E92" w:rsidRPr="00E905C6">
        <w:rPr>
          <w:rFonts w:ascii="Arial" w:hAnsi="Arial" w:cs="Arial"/>
          <w:i/>
          <w:iCs/>
        </w:rPr>
        <w:t>Goodall v President Insurance Co Ltd</w:t>
      </w:r>
      <w:r w:rsidR="00464E92" w:rsidRPr="00E905C6">
        <w:rPr>
          <w:rFonts w:ascii="Arial" w:hAnsi="Arial" w:cs="Arial"/>
        </w:rPr>
        <w:t xml:space="preserve"> </w:t>
      </w:r>
      <w:r w:rsidR="00AD6F0E" w:rsidRPr="00E905C6">
        <w:rPr>
          <w:rFonts w:ascii="Arial" w:hAnsi="Arial" w:cs="Arial"/>
        </w:rPr>
        <w:t>1</w:t>
      </w:r>
      <w:r w:rsidRPr="00E905C6">
        <w:rPr>
          <w:rFonts w:ascii="Arial" w:hAnsi="Arial" w:cs="Arial"/>
        </w:rPr>
        <w:t>97</w:t>
      </w:r>
      <w:r w:rsidR="00464E92" w:rsidRPr="00E905C6">
        <w:rPr>
          <w:rFonts w:ascii="Arial" w:hAnsi="Arial" w:cs="Arial"/>
        </w:rPr>
        <w:t>8</w:t>
      </w:r>
      <w:r w:rsidRPr="00E905C6">
        <w:rPr>
          <w:rFonts w:ascii="Arial" w:hAnsi="Arial" w:cs="Arial"/>
        </w:rPr>
        <w:t xml:space="preserve"> (</w:t>
      </w:r>
      <w:r w:rsidR="00464E92" w:rsidRPr="00E905C6">
        <w:rPr>
          <w:rFonts w:ascii="Arial" w:hAnsi="Arial" w:cs="Arial"/>
        </w:rPr>
        <w:t>1</w:t>
      </w:r>
      <w:r w:rsidRPr="00E905C6">
        <w:rPr>
          <w:rFonts w:ascii="Arial" w:hAnsi="Arial" w:cs="Arial"/>
        </w:rPr>
        <w:t xml:space="preserve">) SA </w:t>
      </w:r>
      <w:r w:rsidR="00464E92" w:rsidRPr="00E905C6">
        <w:rPr>
          <w:rFonts w:ascii="Arial" w:hAnsi="Arial" w:cs="Arial"/>
        </w:rPr>
        <w:t>389</w:t>
      </w:r>
      <w:r w:rsidRPr="00E905C6">
        <w:rPr>
          <w:rFonts w:ascii="Arial" w:hAnsi="Arial" w:cs="Arial"/>
        </w:rPr>
        <w:t xml:space="preserve"> (W) at </w:t>
      </w:r>
      <w:r w:rsidR="00464E92" w:rsidRPr="00E905C6">
        <w:rPr>
          <w:rFonts w:ascii="Arial" w:hAnsi="Arial" w:cs="Arial"/>
        </w:rPr>
        <w:t>392H-393A</w:t>
      </w:r>
      <w:r w:rsidRPr="00E905C6">
        <w:rPr>
          <w:rFonts w:ascii="Arial" w:hAnsi="Arial" w:cs="Arial"/>
        </w:rPr>
        <w:t>.</w:t>
      </w:r>
    </w:p>
  </w:footnote>
  <w:footnote w:id="4">
    <w:p w14:paraId="2B4C9C4B" w14:textId="00CDBB81" w:rsidR="002E021A" w:rsidRPr="00E905C6" w:rsidRDefault="002E021A" w:rsidP="005D5DF7">
      <w:pPr>
        <w:pStyle w:val="FootnoteText"/>
        <w:spacing w:after="0" w:line="240" w:lineRule="auto"/>
        <w:jc w:val="both"/>
        <w:rPr>
          <w:rFonts w:ascii="Arial" w:hAnsi="Arial" w:cs="Arial"/>
        </w:rPr>
      </w:pPr>
      <w:r w:rsidRPr="00E905C6">
        <w:rPr>
          <w:rStyle w:val="FootnoteReference"/>
          <w:rFonts w:ascii="Arial" w:hAnsi="Arial" w:cs="Arial"/>
        </w:rPr>
        <w:footnoteRef/>
      </w:r>
      <w:r w:rsidRPr="00E905C6">
        <w:rPr>
          <w:rFonts w:ascii="Arial" w:hAnsi="Arial" w:cs="Arial"/>
        </w:rPr>
        <w:t xml:space="preserve"> </w:t>
      </w:r>
      <w:r w:rsidRPr="00E905C6">
        <w:rPr>
          <w:rFonts w:ascii="Arial" w:hAnsi="Arial" w:cs="Arial"/>
          <w:i/>
          <w:iCs/>
        </w:rPr>
        <w:t>Southern Insurance Associat</w:t>
      </w:r>
      <w:r w:rsidR="00ED2EC2" w:rsidRPr="00E905C6">
        <w:rPr>
          <w:rFonts w:ascii="Arial" w:hAnsi="Arial" w:cs="Arial"/>
          <w:i/>
          <w:iCs/>
        </w:rPr>
        <w:t>ion</w:t>
      </w:r>
      <w:r w:rsidRPr="00E905C6">
        <w:rPr>
          <w:rFonts w:ascii="Arial" w:hAnsi="Arial" w:cs="Arial"/>
          <w:i/>
          <w:iCs/>
        </w:rPr>
        <w:t xml:space="preserve"> Ltd v Bail</w:t>
      </w:r>
      <w:r w:rsidR="00ED2EC2" w:rsidRPr="00E905C6">
        <w:rPr>
          <w:rFonts w:ascii="Arial" w:hAnsi="Arial" w:cs="Arial"/>
          <w:i/>
          <w:iCs/>
        </w:rPr>
        <w:t>ey</w:t>
      </w:r>
      <w:r w:rsidRPr="00E905C6">
        <w:rPr>
          <w:rFonts w:ascii="Arial" w:hAnsi="Arial" w:cs="Arial"/>
          <w:i/>
          <w:iCs/>
        </w:rPr>
        <w:t xml:space="preserve"> NO</w:t>
      </w:r>
      <w:r w:rsidRPr="00E905C6">
        <w:rPr>
          <w:rFonts w:ascii="Arial" w:hAnsi="Arial" w:cs="Arial"/>
        </w:rPr>
        <w:t xml:space="preserve"> 1984 (1) SA 98 (A) at 116H-117A.</w:t>
      </w:r>
    </w:p>
  </w:footnote>
  <w:footnote w:id="5">
    <w:p w14:paraId="019D537D" w14:textId="402E2A3A" w:rsidR="000A2C32" w:rsidRPr="00E905C6" w:rsidRDefault="000A2C32" w:rsidP="005D5DF7">
      <w:pPr>
        <w:pStyle w:val="FootnoteText"/>
        <w:spacing w:after="0" w:line="240" w:lineRule="auto"/>
        <w:jc w:val="both"/>
        <w:rPr>
          <w:rFonts w:ascii="Arial" w:hAnsi="Arial" w:cs="Arial"/>
        </w:rPr>
      </w:pPr>
      <w:r w:rsidRPr="00E905C6">
        <w:rPr>
          <w:rStyle w:val="FootnoteReference"/>
          <w:rFonts w:ascii="Arial" w:hAnsi="Arial" w:cs="Arial"/>
        </w:rPr>
        <w:footnoteRef/>
      </w:r>
      <w:r w:rsidRPr="00E905C6">
        <w:rPr>
          <w:rFonts w:ascii="Arial" w:hAnsi="Arial" w:cs="Arial"/>
        </w:rPr>
        <w:t xml:space="preserve"> </w:t>
      </w:r>
      <w:r w:rsidR="00E905C6" w:rsidRPr="00E905C6">
        <w:rPr>
          <w:rFonts w:ascii="Arial" w:hAnsi="Arial" w:cs="Arial"/>
          <w:i/>
          <w:iCs/>
        </w:rPr>
        <w:t xml:space="preserve">Wright v Road Accident Fund </w:t>
      </w:r>
      <w:r w:rsidR="00E905C6" w:rsidRPr="00E905C6">
        <w:rPr>
          <w:rFonts w:ascii="Arial" w:hAnsi="Arial" w:cs="Arial"/>
        </w:rPr>
        <w:t>2011 (6A3) QOD 19 (ECP).</w:t>
      </w:r>
    </w:p>
  </w:footnote>
  <w:footnote w:id="6">
    <w:p w14:paraId="7A7698EA" w14:textId="65F2437A" w:rsidR="002571B7" w:rsidRPr="00E905C6" w:rsidRDefault="002571B7" w:rsidP="005D5DF7">
      <w:pPr>
        <w:pStyle w:val="FootnoteText"/>
        <w:spacing w:after="0" w:line="240" w:lineRule="auto"/>
        <w:jc w:val="both"/>
        <w:rPr>
          <w:rFonts w:ascii="Arial" w:hAnsi="Arial" w:cs="Arial"/>
        </w:rPr>
      </w:pPr>
      <w:r w:rsidRPr="00E905C6">
        <w:rPr>
          <w:rStyle w:val="FootnoteReference"/>
          <w:rFonts w:ascii="Arial" w:hAnsi="Arial" w:cs="Arial"/>
        </w:rPr>
        <w:footnoteRef/>
      </w:r>
      <w:r w:rsidRPr="00E905C6">
        <w:rPr>
          <w:rFonts w:ascii="Arial" w:hAnsi="Arial" w:cs="Arial"/>
        </w:rPr>
        <w:t xml:space="preserve"> </w:t>
      </w:r>
      <w:r w:rsidRPr="00E905C6">
        <w:rPr>
          <w:rFonts w:ascii="Arial" w:hAnsi="Arial" w:cs="Arial"/>
          <w:i/>
          <w:iCs/>
        </w:rPr>
        <w:t>M v Road Accident Fund</w:t>
      </w:r>
      <w:r w:rsidR="00EA3612" w:rsidRPr="00E905C6">
        <w:rPr>
          <w:rFonts w:ascii="Arial" w:hAnsi="Arial" w:cs="Arial"/>
        </w:rPr>
        <w:t xml:space="preserve">, an unreported judgment of the </w:t>
      </w:r>
      <w:r w:rsidR="00EA3612" w:rsidRPr="00E905C6">
        <w:rPr>
          <w:rFonts w:ascii="Arial" w:hAnsi="Arial" w:cs="Arial"/>
        </w:rPr>
        <w:t>Northen Gauteng High Court delivered on 7 February 2014.</w:t>
      </w:r>
    </w:p>
  </w:footnote>
  <w:footnote w:id="7">
    <w:p w14:paraId="7C39B3AA" w14:textId="10F110D0" w:rsidR="00E6743E" w:rsidRPr="00A72F36" w:rsidRDefault="00E6743E" w:rsidP="005D5DF7">
      <w:pPr>
        <w:pStyle w:val="FootnoteText"/>
        <w:spacing w:after="0" w:line="240" w:lineRule="auto"/>
        <w:jc w:val="both"/>
        <w:rPr>
          <w:rFonts w:ascii="Arial" w:hAnsi="Arial" w:cs="Arial"/>
        </w:rPr>
      </w:pPr>
      <w:r w:rsidRPr="00A72F36">
        <w:rPr>
          <w:rStyle w:val="FootnoteReference"/>
          <w:rFonts w:ascii="Arial" w:hAnsi="Arial" w:cs="Arial"/>
        </w:rPr>
        <w:footnoteRef/>
      </w:r>
      <w:r w:rsidRPr="00A72F36">
        <w:rPr>
          <w:rFonts w:ascii="Arial" w:hAnsi="Arial" w:cs="Arial"/>
        </w:rPr>
        <w:t xml:space="preserve"> </w:t>
      </w:r>
      <w:r w:rsidRPr="00A72F36">
        <w:rPr>
          <w:rFonts w:ascii="Arial" w:hAnsi="Arial" w:cs="Arial"/>
          <w:i/>
          <w:iCs/>
        </w:rPr>
        <w:t>Vakata v Road Accident Fund</w:t>
      </w:r>
      <w:r w:rsidRPr="00A72F36">
        <w:rPr>
          <w:rFonts w:ascii="Arial" w:hAnsi="Arial" w:cs="Arial"/>
        </w:rPr>
        <w:t xml:space="preserve"> 2014 (7</w:t>
      </w:r>
      <w:r w:rsidR="00B42877" w:rsidRPr="00A72F36">
        <w:rPr>
          <w:rFonts w:ascii="Arial" w:hAnsi="Arial" w:cs="Arial"/>
        </w:rPr>
        <w:t>A</w:t>
      </w:r>
      <w:r w:rsidR="0029000F" w:rsidRPr="00A72F36">
        <w:rPr>
          <w:rFonts w:ascii="Arial" w:hAnsi="Arial" w:cs="Arial"/>
        </w:rPr>
        <w:t>4</w:t>
      </w:r>
      <w:r w:rsidRPr="00A72F36">
        <w:rPr>
          <w:rFonts w:ascii="Arial" w:hAnsi="Arial" w:cs="Arial"/>
        </w:rPr>
        <w:t>)</w:t>
      </w:r>
      <w:r w:rsidR="00552972" w:rsidRPr="00A72F36">
        <w:rPr>
          <w:rFonts w:ascii="Arial" w:hAnsi="Arial" w:cs="Arial"/>
        </w:rPr>
        <w:t xml:space="preserve"> QOD 1 (EC</w:t>
      </w:r>
      <w:r w:rsidR="00B42877" w:rsidRPr="00A72F36">
        <w:rPr>
          <w:rFonts w:ascii="Arial" w:hAnsi="Arial" w:cs="Arial"/>
        </w:rPr>
        <w:t>P).</w:t>
      </w:r>
    </w:p>
  </w:footnote>
  <w:footnote w:id="8">
    <w:p w14:paraId="5BF56780" w14:textId="15182447" w:rsidR="00086583" w:rsidRPr="00A72F36" w:rsidRDefault="00086583" w:rsidP="005D5DF7">
      <w:pPr>
        <w:pStyle w:val="FootnoteText"/>
        <w:spacing w:after="0" w:line="240" w:lineRule="auto"/>
        <w:jc w:val="both"/>
        <w:rPr>
          <w:rFonts w:ascii="Arial" w:hAnsi="Arial" w:cs="Arial"/>
        </w:rPr>
      </w:pPr>
      <w:r w:rsidRPr="00A72F36">
        <w:rPr>
          <w:rStyle w:val="FootnoteReference"/>
          <w:rFonts w:ascii="Arial" w:hAnsi="Arial" w:cs="Arial"/>
        </w:rPr>
        <w:footnoteRef/>
      </w:r>
      <w:r w:rsidRPr="00A72F36">
        <w:rPr>
          <w:rFonts w:ascii="Arial" w:hAnsi="Arial" w:cs="Arial"/>
        </w:rPr>
        <w:t xml:space="preserve"> </w:t>
      </w:r>
      <w:r w:rsidR="00AC326D" w:rsidRPr="00A72F36">
        <w:rPr>
          <w:rFonts w:ascii="Arial" w:hAnsi="Arial" w:cs="Arial"/>
          <w:i/>
          <w:iCs/>
        </w:rPr>
        <w:t xml:space="preserve">Khoza v MEC for Health, Gauteng </w:t>
      </w:r>
      <w:r w:rsidR="00AC326D" w:rsidRPr="00A72F36">
        <w:rPr>
          <w:rFonts w:ascii="Arial" w:hAnsi="Arial" w:cs="Arial"/>
        </w:rPr>
        <w:t>[2018] ZASCA 13</w:t>
      </w:r>
      <w:r w:rsidR="00D06215" w:rsidRPr="00A72F36">
        <w:rPr>
          <w:rFonts w:ascii="Arial" w:hAnsi="Arial" w:cs="Arial"/>
        </w:rPr>
        <w:t>.</w:t>
      </w:r>
      <w:r w:rsidR="00AC326D" w:rsidRPr="00A72F36">
        <w:rPr>
          <w:rFonts w:ascii="Arial" w:hAnsi="Arial" w:cs="Arial"/>
        </w:rPr>
        <w:t xml:space="preserve"> </w:t>
      </w:r>
    </w:p>
  </w:footnote>
  <w:footnote w:id="9">
    <w:p w14:paraId="49EBF50B" w14:textId="34ED39E3" w:rsidR="0069545D" w:rsidRDefault="0069545D" w:rsidP="005D5DF7">
      <w:pPr>
        <w:pStyle w:val="FootnoteText"/>
        <w:spacing w:after="0" w:line="240" w:lineRule="auto"/>
        <w:jc w:val="both"/>
      </w:pPr>
      <w:r w:rsidRPr="00A72F36">
        <w:rPr>
          <w:rStyle w:val="FootnoteReference"/>
          <w:rFonts w:ascii="Arial" w:hAnsi="Arial" w:cs="Arial"/>
        </w:rPr>
        <w:footnoteRef/>
      </w:r>
      <w:r w:rsidRPr="00A72F36">
        <w:rPr>
          <w:rFonts w:ascii="Arial" w:hAnsi="Arial" w:cs="Arial"/>
        </w:rPr>
        <w:t xml:space="preserve"> </w:t>
      </w:r>
      <w:r w:rsidRPr="00A72F36">
        <w:rPr>
          <w:rFonts w:ascii="Arial" w:hAnsi="Arial" w:cs="Arial"/>
          <w:i/>
          <w:iCs/>
        </w:rPr>
        <w:t xml:space="preserve">Road Accident Fund v </w:t>
      </w:r>
      <w:r w:rsidRPr="00A72F36">
        <w:rPr>
          <w:rFonts w:ascii="Arial" w:hAnsi="Arial" w:cs="Arial"/>
          <w:i/>
          <w:iCs/>
        </w:rPr>
        <w:t>Sweat</w:t>
      </w:r>
      <w:r w:rsidR="00595929" w:rsidRPr="00A72F36">
        <w:rPr>
          <w:rFonts w:ascii="Arial" w:hAnsi="Arial" w:cs="Arial"/>
          <w:i/>
          <w:iCs/>
        </w:rPr>
        <w:t>man</w:t>
      </w:r>
      <w:r w:rsidR="00595929" w:rsidRPr="00A72F36">
        <w:rPr>
          <w:rFonts w:ascii="Arial" w:hAnsi="Arial" w:cs="Arial"/>
        </w:rPr>
        <w:t xml:space="preserve"> 2015 (6) SA 186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A6CA" w14:textId="77777777" w:rsidR="00E72012" w:rsidRDefault="004A4969">
    <w:pPr>
      <w:pStyle w:val="Header"/>
      <w:framePr w:wrap="around" w:vAnchor="text" w:hAnchor="margin" w:xAlign="center" w:y="1"/>
      <w:rPr>
        <w:rStyle w:val="PageNumber"/>
      </w:rPr>
    </w:pPr>
    <w:r>
      <w:rPr>
        <w:rStyle w:val="PageNumber"/>
      </w:rPr>
      <w:fldChar w:fldCharType="begin"/>
    </w:r>
    <w:r w:rsidR="00ED5360">
      <w:rPr>
        <w:rStyle w:val="PageNumber"/>
      </w:rPr>
      <w:instrText xml:space="preserve">PAGE  </w:instrText>
    </w:r>
    <w:r>
      <w:rPr>
        <w:rStyle w:val="PageNumber"/>
      </w:rPr>
      <w:fldChar w:fldCharType="separate"/>
    </w:r>
    <w:r w:rsidR="00ED5360">
      <w:rPr>
        <w:rStyle w:val="PageNumber"/>
        <w:noProof/>
      </w:rPr>
      <w:t>1</w:t>
    </w:r>
    <w:r>
      <w:rPr>
        <w:rStyle w:val="PageNumber"/>
      </w:rPr>
      <w:fldChar w:fldCharType="end"/>
    </w:r>
  </w:p>
  <w:p w14:paraId="0BE662BC" w14:textId="77777777" w:rsidR="00E72012" w:rsidRDefault="00E72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92574"/>
      <w:docPartObj>
        <w:docPartGallery w:val="Page Numbers (Top of Page)"/>
        <w:docPartUnique/>
      </w:docPartObj>
    </w:sdtPr>
    <w:sdtEndPr>
      <w:rPr>
        <w:noProof/>
      </w:rPr>
    </w:sdtEndPr>
    <w:sdtContent>
      <w:p w14:paraId="24D444A5" w14:textId="705A6B76" w:rsidR="00324337" w:rsidRDefault="00324337">
        <w:pPr>
          <w:pStyle w:val="Header"/>
          <w:jc w:val="right"/>
        </w:pPr>
        <w:r>
          <w:fldChar w:fldCharType="begin"/>
        </w:r>
        <w:r>
          <w:instrText xml:space="preserve"> PAGE   \* MERGEFORMAT </w:instrText>
        </w:r>
        <w:r>
          <w:fldChar w:fldCharType="separate"/>
        </w:r>
        <w:r w:rsidR="000849A9">
          <w:rPr>
            <w:noProof/>
          </w:rPr>
          <w:t>11</w:t>
        </w:r>
        <w:r>
          <w:rPr>
            <w:noProof/>
          </w:rPr>
          <w:fldChar w:fldCharType="end"/>
        </w:r>
      </w:p>
    </w:sdtContent>
  </w:sdt>
  <w:p w14:paraId="21F206FD" w14:textId="77777777" w:rsidR="00324337" w:rsidRDefault="00324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A02A" w14:textId="5A210ADF" w:rsidR="00324337" w:rsidRDefault="00324337">
    <w:pPr>
      <w:pStyle w:val="Header"/>
      <w:jc w:val="right"/>
    </w:pPr>
  </w:p>
  <w:p w14:paraId="45A62496" w14:textId="77777777" w:rsidR="00324337" w:rsidRDefault="0032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1" w15:restartNumberingAfterBreak="0">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15:restartNumberingAfterBreak="0">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15:restartNumberingAfterBreak="0">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15:restartNumberingAfterBreak="0">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2C84D68"/>
    <w:multiLevelType w:val="hybridMultilevel"/>
    <w:tmpl w:val="4FCA659A"/>
    <w:lvl w:ilvl="0" w:tplc="50E01D4C">
      <w:start w:val="1"/>
      <w:numFmt w:val="decimal"/>
      <w:lvlText w:val="%1."/>
      <w:lvlJc w:val="left"/>
      <w:pPr>
        <w:ind w:left="1069" w:hanging="360"/>
      </w:pPr>
      <w:rPr>
        <w:rFonts w:ascii="Arial" w:hAnsi="Arial" w:cs="Arial" w:hint="default"/>
        <w:sz w:val="24"/>
        <w:szCs w:val="24"/>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7BCF7AFF"/>
    <w:multiLevelType w:val="multilevel"/>
    <w:tmpl w:val="F1A044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3552740">
    <w:abstractNumId w:val="0"/>
  </w:num>
  <w:num w:numId="2" w16cid:durableId="1990553600">
    <w:abstractNumId w:val="2"/>
  </w:num>
  <w:num w:numId="3" w16cid:durableId="2001343325">
    <w:abstractNumId w:val="3"/>
  </w:num>
  <w:num w:numId="4" w16cid:durableId="1722899975">
    <w:abstractNumId w:val="1"/>
  </w:num>
  <w:num w:numId="5" w16cid:durableId="886137573">
    <w:abstractNumId w:val="5"/>
  </w:num>
  <w:num w:numId="6" w16cid:durableId="235365763">
    <w:abstractNumId w:val="4"/>
  </w:num>
  <w:num w:numId="7" w16cid:durableId="1978559333">
    <w:abstractNumId w:val="6"/>
  </w:num>
  <w:num w:numId="8" w16cid:durableId="1268779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E7"/>
    <w:rsid w:val="000073CB"/>
    <w:rsid w:val="000303A9"/>
    <w:rsid w:val="000323EE"/>
    <w:rsid w:val="000328D4"/>
    <w:rsid w:val="00036D41"/>
    <w:rsid w:val="00044B4D"/>
    <w:rsid w:val="0004633B"/>
    <w:rsid w:val="00051479"/>
    <w:rsid w:val="00056265"/>
    <w:rsid w:val="0005701D"/>
    <w:rsid w:val="0006141E"/>
    <w:rsid w:val="0007788C"/>
    <w:rsid w:val="00077A71"/>
    <w:rsid w:val="0008155A"/>
    <w:rsid w:val="000849A9"/>
    <w:rsid w:val="00086583"/>
    <w:rsid w:val="00095D3B"/>
    <w:rsid w:val="000A2C32"/>
    <w:rsid w:val="000B0766"/>
    <w:rsid w:val="000B49FC"/>
    <w:rsid w:val="000C02C6"/>
    <w:rsid w:val="000C5AEF"/>
    <w:rsid w:val="000C70F1"/>
    <w:rsid w:val="000D0C2D"/>
    <w:rsid w:val="000E4963"/>
    <w:rsid w:val="000E6DF3"/>
    <w:rsid w:val="0010382C"/>
    <w:rsid w:val="001108BD"/>
    <w:rsid w:val="00115002"/>
    <w:rsid w:val="00131AF4"/>
    <w:rsid w:val="00134851"/>
    <w:rsid w:val="00135BCB"/>
    <w:rsid w:val="00136CA1"/>
    <w:rsid w:val="00137C93"/>
    <w:rsid w:val="00140EA7"/>
    <w:rsid w:val="00144B52"/>
    <w:rsid w:val="001511B7"/>
    <w:rsid w:val="00164CDF"/>
    <w:rsid w:val="00165D5E"/>
    <w:rsid w:val="00175B59"/>
    <w:rsid w:val="0018411C"/>
    <w:rsid w:val="0019563E"/>
    <w:rsid w:val="001B30BB"/>
    <w:rsid w:val="001B6754"/>
    <w:rsid w:val="001C3184"/>
    <w:rsid w:val="001E6133"/>
    <w:rsid w:val="001F4217"/>
    <w:rsid w:val="001F49F2"/>
    <w:rsid w:val="00212A86"/>
    <w:rsid w:val="0021457D"/>
    <w:rsid w:val="00215368"/>
    <w:rsid w:val="00215409"/>
    <w:rsid w:val="00216858"/>
    <w:rsid w:val="00217664"/>
    <w:rsid w:val="0021792F"/>
    <w:rsid w:val="00230A98"/>
    <w:rsid w:val="00240CF4"/>
    <w:rsid w:val="00247CAA"/>
    <w:rsid w:val="002566B7"/>
    <w:rsid w:val="002571B7"/>
    <w:rsid w:val="00261CCD"/>
    <w:rsid w:val="0027716B"/>
    <w:rsid w:val="0029000F"/>
    <w:rsid w:val="00292371"/>
    <w:rsid w:val="002A38E0"/>
    <w:rsid w:val="002A5DCB"/>
    <w:rsid w:val="002A6E68"/>
    <w:rsid w:val="002A757E"/>
    <w:rsid w:val="002B1719"/>
    <w:rsid w:val="002C20EE"/>
    <w:rsid w:val="002C3E00"/>
    <w:rsid w:val="002C6471"/>
    <w:rsid w:val="002D3B4A"/>
    <w:rsid w:val="002D7531"/>
    <w:rsid w:val="002E021A"/>
    <w:rsid w:val="002E396B"/>
    <w:rsid w:val="002F02AB"/>
    <w:rsid w:val="00324337"/>
    <w:rsid w:val="00332AFF"/>
    <w:rsid w:val="00332CE9"/>
    <w:rsid w:val="003344F9"/>
    <w:rsid w:val="003433A8"/>
    <w:rsid w:val="00343F3F"/>
    <w:rsid w:val="003460FD"/>
    <w:rsid w:val="0034649F"/>
    <w:rsid w:val="00350282"/>
    <w:rsid w:val="00351E3F"/>
    <w:rsid w:val="003636E0"/>
    <w:rsid w:val="00367EAD"/>
    <w:rsid w:val="00381C61"/>
    <w:rsid w:val="00385C4D"/>
    <w:rsid w:val="003A2B2E"/>
    <w:rsid w:val="003A576B"/>
    <w:rsid w:val="003A66B2"/>
    <w:rsid w:val="003A6CA7"/>
    <w:rsid w:val="003B100E"/>
    <w:rsid w:val="003B5D01"/>
    <w:rsid w:val="003C3E7C"/>
    <w:rsid w:val="003D09D7"/>
    <w:rsid w:val="003D322A"/>
    <w:rsid w:val="00400A65"/>
    <w:rsid w:val="00405439"/>
    <w:rsid w:val="00407A0C"/>
    <w:rsid w:val="00414833"/>
    <w:rsid w:val="00425C72"/>
    <w:rsid w:val="00425D9E"/>
    <w:rsid w:val="00433826"/>
    <w:rsid w:val="00435A4A"/>
    <w:rsid w:val="004364D3"/>
    <w:rsid w:val="00443176"/>
    <w:rsid w:val="00444F6C"/>
    <w:rsid w:val="00445B38"/>
    <w:rsid w:val="0044714D"/>
    <w:rsid w:val="00450BF7"/>
    <w:rsid w:val="00460CF5"/>
    <w:rsid w:val="00464E92"/>
    <w:rsid w:val="00480263"/>
    <w:rsid w:val="00480852"/>
    <w:rsid w:val="0049042A"/>
    <w:rsid w:val="00493921"/>
    <w:rsid w:val="00494093"/>
    <w:rsid w:val="00495B03"/>
    <w:rsid w:val="004A4969"/>
    <w:rsid w:val="004B0028"/>
    <w:rsid w:val="004B4666"/>
    <w:rsid w:val="004C1119"/>
    <w:rsid w:val="004C1953"/>
    <w:rsid w:val="004C2EEB"/>
    <w:rsid w:val="004C5060"/>
    <w:rsid w:val="004D7ED6"/>
    <w:rsid w:val="00502910"/>
    <w:rsid w:val="00505632"/>
    <w:rsid w:val="0053465D"/>
    <w:rsid w:val="00535C55"/>
    <w:rsid w:val="00541683"/>
    <w:rsid w:val="00542A67"/>
    <w:rsid w:val="0054546E"/>
    <w:rsid w:val="005523EA"/>
    <w:rsid w:val="00552972"/>
    <w:rsid w:val="00556B19"/>
    <w:rsid w:val="00565442"/>
    <w:rsid w:val="00571537"/>
    <w:rsid w:val="00573240"/>
    <w:rsid w:val="00573D07"/>
    <w:rsid w:val="00574CE3"/>
    <w:rsid w:val="00583CD9"/>
    <w:rsid w:val="00586B83"/>
    <w:rsid w:val="00593104"/>
    <w:rsid w:val="00595929"/>
    <w:rsid w:val="00595BC1"/>
    <w:rsid w:val="005A0A13"/>
    <w:rsid w:val="005B3B08"/>
    <w:rsid w:val="005B6BD4"/>
    <w:rsid w:val="005D0814"/>
    <w:rsid w:val="005D0A75"/>
    <w:rsid w:val="005D3CFE"/>
    <w:rsid w:val="005D5DF7"/>
    <w:rsid w:val="005D65E4"/>
    <w:rsid w:val="005E5408"/>
    <w:rsid w:val="005E562D"/>
    <w:rsid w:val="005F1A1A"/>
    <w:rsid w:val="005F7758"/>
    <w:rsid w:val="00603825"/>
    <w:rsid w:val="00611972"/>
    <w:rsid w:val="00611FAC"/>
    <w:rsid w:val="0062385E"/>
    <w:rsid w:val="00625560"/>
    <w:rsid w:val="00634679"/>
    <w:rsid w:val="006378E2"/>
    <w:rsid w:val="00644281"/>
    <w:rsid w:val="0064785D"/>
    <w:rsid w:val="00661AC9"/>
    <w:rsid w:val="00664C0E"/>
    <w:rsid w:val="00665E67"/>
    <w:rsid w:val="00667749"/>
    <w:rsid w:val="00685638"/>
    <w:rsid w:val="00692BC4"/>
    <w:rsid w:val="0069392A"/>
    <w:rsid w:val="0069545D"/>
    <w:rsid w:val="00695771"/>
    <w:rsid w:val="00697EE5"/>
    <w:rsid w:val="006A40BC"/>
    <w:rsid w:val="006C2530"/>
    <w:rsid w:val="006C7A51"/>
    <w:rsid w:val="006D4C1A"/>
    <w:rsid w:val="006D6AC3"/>
    <w:rsid w:val="006D6D96"/>
    <w:rsid w:val="006E67A8"/>
    <w:rsid w:val="006E6E46"/>
    <w:rsid w:val="006E745D"/>
    <w:rsid w:val="006F17FE"/>
    <w:rsid w:val="006F718F"/>
    <w:rsid w:val="00715243"/>
    <w:rsid w:val="007212E1"/>
    <w:rsid w:val="00721EE7"/>
    <w:rsid w:val="00725EA3"/>
    <w:rsid w:val="00731172"/>
    <w:rsid w:val="00742B35"/>
    <w:rsid w:val="007522A9"/>
    <w:rsid w:val="007529DC"/>
    <w:rsid w:val="00754967"/>
    <w:rsid w:val="0076012F"/>
    <w:rsid w:val="007675CE"/>
    <w:rsid w:val="007757DE"/>
    <w:rsid w:val="00780923"/>
    <w:rsid w:val="00782F4F"/>
    <w:rsid w:val="00785480"/>
    <w:rsid w:val="00792320"/>
    <w:rsid w:val="00796C86"/>
    <w:rsid w:val="00797295"/>
    <w:rsid w:val="007A69D3"/>
    <w:rsid w:val="007A6B83"/>
    <w:rsid w:val="007A7BA5"/>
    <w:rsid w:val="007B17A2"/>
    <w:rsid w:val="007C1E54"/>
    <w:rsid w:val="007D1FA4"/>
    <w:rsid w:val="007D6ED6"/>
    <w:rsid w:val="008014D6"/>
    <w:rsid w:val="00806474"/>
    <w:rsid w:val="00812112"/>
    <w:rsid w:val="00812DCC"/>
    <w:rsid w:val="008364BC"/>
    <w:rsid w:val="00843306"/>
    <w:rsid w:val="008470D7"/>
    <w:rsid w:val="008539A2"/>
    <w:rsid w:val="008629E3"/>
    <w:rsid w:val="00864718"/>
    <w:rsid w:val="00873868"/>
    <w:rsid w:val="008770CC"/>
    <w:rsid w:val="008850E0"/>
    <w:rsid w:val="008924A0"/>
    <w:rsid w:val="008929AA"/>
    <w:rsid w:val="008C77F3"/>
    <w:rsid w:val="00901637"/>
    <w:rsid w:val="00904337"/>
    <w:rsid w:val="0091054E"/>
    <w:rsid w:val="00912FA5"/>
    <w:rsid w:val="009246C0"/>
    <w:rsid w:val="009307F4"/>
    <w:rsid w:val="00931248"/>
    <w:rsid w:val="009323B8"/>
    <w:rsid w:val="00932CA9"/>
    <w:rsid w:val="00941C0E"/>
    <w:rsid w:val="00946FAD"/>
    <w:rsid w:val="0095334E"/>
    <w:rsid w:val="00957791"/>
    <w:rsid w:val="00965128"/>
    <w:rsid w:val="00965D2C"/>
    <w:rsid w:val="0097454F"/>
    <w:rsid w:val="00974566"/>
    <w:rsid w:val="00975A91"/>
    <w:rsid w:val="0097689F"/>
    <w:rsid w:val="00990DFE"/>
    <w:rsid w:val="00994238"/>
    <w:rsid w:val="009967B5"/>
    <w:rsid w:val="009B4411"/>
    <w:rsid w:val="009B6903"/>
    <w:rsid w:val="009C4BA2"/>
    <w:rsid w:val="009D2358"/>
    <w:rsid w:val="009D3C13"/>
    <w:rsid w:val="009E79C2"/>
    <w:rsid w:val="00A0487B"/>
    <w:rsid w:val="00A10BE7"/>
    <w:rsid w:val="00A13BB2"/>
    <w:rsid w:val="00A14EE4"/>
    <w:rsid w:val="00A21217"/>
    <w:rsid w:val="00A248B2"/>
    <w:rsid w:val="00A37819"/>
    <w:rsid w:val="00A4083F"/>
    <w:rsid w:val="00A44E92"/>
    <w:rsid w:val="00A54CB8"/>
    <w:rsid w:val="00A57F49"/>
    <w:rsid w:val="00A6068E"/>
    <w:rsid w:val="00A6384B"/>
    <w:rsid w:val="00A71EB8"/>
    <w:rsid w:val="00A72B20"/>
    <w:rsid w:val="00A72BCF"/>
    <w:rsid w:val="00A72F36"/>
    <w:rsid w:val="00A8178D"/>
    <w:rsid w:val="00A817A2"/>
    <w:rsid w:val="00A84415"/>
    <w:rsid w:val="00A952AB"/>
    <w:rsid w:val="00A9743F"/>
    <w:rsid w:val="00AB0B28"/>
    <w:rsid w:val="00AB1C81"/>
    <w:rsid w:val="00AB66F7"/>
    <w:rsid w:val="00AC326D"/>
    <w:rsid w:val="00AD2953"/>
    <w:rsid w:val="00AD6F0E"/>
    <w:rsid w:val="00AE67FD"/>
    <w:rsid w:val="00AF1A3A"/>
    <w:rsid w:val="00AF410B"/>
    <w:rsid w:val="00AF6C92"/>
    <w:rsid w:val="00B13B52"/>
    <w:rsid w:val="00B153AE"/>
    <w:rsid w:val="00B15564"/>
    <w:rsid w:val="00B15B2A"/>
    <w:rsid w:val="00B16366"/>
    <w:rsid w:val="00B274AD"/>
    <w:rsid w:val="00B3066E"/>
    <w:rsid w:val="00B31F3A"/>
    <w:rsid w:val="00B41361"/>
    <w:rsid w:val="00B42877"/>
    <w:rsid w:val="00B4545A"/>
    <w:rsid w:val="00B473AA"/>
    <w:rsid w:val="00B505FC"/>
    <w:rsid w:val="00B73D87"/>
    <w:rsid w:val="00B84E6A"/>
    <w:rsid w:val="00B85BC5"/>
    <w:rsid w:val="00B86AE9"/>
    <w:rsid w:val="00B93F0A"/>
    <w:rsid w:val="00BB554D"/>
    <w:rsid w:val="00BC0865"/>
    <w:rsid w:val="00BD3598"/>
    <w:rsid w:val="00BD3C83"/>
    <w:rsid w:val="00BD578C"/>
    <w:rsid w:val="00BD5B28"/>
    <w:rsid w:val="00BE3E6F"/>
    <w:rsid w:val="00C00E8B"/>
    <w:rsid w:val="00C06C81"/>
    <w:rsid w:val="00C20125"/>
    <w:rsid w:val="00C203D0"/>
    <w:rsid w:val="00C343B1"/>
    <w:rsid w:val="00C34D1D"/>
    <w:rsid w:val="00C57171"/>
    <w:rsid w:val="00C6133F"/>
    <w:rsid w:val="00C61656"/>
    <w:rsid w:val="00C7180C"/>
    <w:rsid w:val="00C738D2"/>
    <w:rsid w:val="00C77683"/>
    <w:rsid w:val="00C92768"/>
    <w:rsid w:val="00C9515D"/>
    <w:rsid w:val="00C959E2"/>
    <w:rsid w:val="00CA3000"/>
    <w:rsid w:val="00CB0941"/>
    <w:rsid w:val="00CC4BF7"/>
    <w:rsid w:val="00CD1D81"/>
    <w:rsid w:val="00CD2C05"/>
    <w:rsid w:val="00CE1AB9"/>
    <w:rsid w:val="00CE401F"/>
    <w:rsid w:val="00CF123E"/>
    <w:rsid w:val="00D06215"/>
    <w:rsid w:val="00D1461F"/>
    <w:rsid w:val="00D22A03"/>
    <w:rsid w:val="00D25DDE"/>
    <w:rsid w:val="00D35653"/>
    <w:rsid w:val="00D40F78"/>
    <w:rsid w:val="00D4142C"/>
    <w:rsid w:val="00D41DE6"/>
    <w:rsid w:val="00D42C5A"/>
    <w:rsid w:val="00D43A94"/>
    <w:rsid w:val="00D46A44"/>
    <w:rsid w:val="00D761A9"/>
    <w:rsid w:val="00D77F78"/>
    <w:rsid w:val="00D82D05"/>
    <w:rsid w:val="00D976F8"/>
    <w:rsid w:val="00D97A94"/>
    <w:rsid w:val="00DA503A"/>
    <w:rsid w:val="00DB6834"/>
    <w:rsid w:val="00DB7397"/>
    <w:rsid w:val="00DC3F2A"/>
    <w:rsid w:val="00DD02E6"/>
    <w:rsid w:val="00DD0646"/>
    <w:rsid w:val="00DD0F07"/>
    <w:rsid w:val="00DE16CA"/>
    <w:rsid w:val="00DE4444"/>
    <w:rsid w:val="00E14122"/>
    <w:rsid w:val="00E17CB0"/>
    <w:rsid w:val="00E32295"/>
    <w:rsid w:val="00E3671A"/>
    <w:rsid w:val="00E43A92"/>
    <w:rsid w:val="00E56A78"/>
    <w:rsid w:val="00E60EE2"/>
    <w:rsid w:val="00E6743E"/>
    <w:rsid w:val="00E72012"/>
    <w:rsid w:val="00E728F5"/>
    <w:rsid w:val="00E83A96"/>
    <w:rsid w:val="00E84CAF"/>
    <w:rsid w:val="00E905C6"/>
    <w:rsid w:val="00EA3612"/>
    <w:rsid w:val="00EA44DD"/>
    <w:rsid w:val="00EB60A6"/>
    <w:rsid w:val="00ED2EC2"/>
    <w:rsid w:val="00ED3B21"/>
    <w:rsid w:val="00ED5360"/>
    <w:rsid w:val="00EE091B"/>
    <w:rsid w:val="00EE57FD"/>
    <w:rsid w:val="00EE65E5"/>
    <w:rsid w:val="00EF436D"/>
    <w:rsid w:val="00EF7B03"/>
    <w:rsid w:val="00F01368"/>
    <w:rsid w:val="00F05DEF"/>
    <w:rsid w:val="00F11949"/>
    <w:rsid w:val="00F22460"/>
    <w:rsid w:val="00F26E10"/>
    <w:rsid w:val="00F3645C"/>
    <w:rsid w:val="00F41028"/>
    <w:rsid w:val="00F421A5"/>
    <w:rsid w:val="00F55E9C"/>
    <w:rsid w:val="00F57300"/>
    <w:rsid w:val="00F609D0"/>
    <w:rsid w:val="00F664A0"/>
    <w:rsid w:val="00F85D58"/>
    <w:rsid w:val="00F9518C"/>
    <w:rsid w:val="00F95AD6"/>
    <w:rsid w:val="00F973AD"/>
    <w:rsid w:val="00FA6F77"/>
    <w:rsid w:val="00FB11CB"/>
    <w:rsid w:val="00FB1A1C"/>
    <w:rsid w:val="00FB6D54"/>
    <w:rsid w:val="00FB6FFB"/>
    <w:rsid w:val="00FC4D51"/>
    <w:rsid w:val="00FC74E1"/>
    <w:rsid w:val="00FD49C7"/>
    <w:rsid w:val="00FE62FF"/>
    <w:rsid w:val="00FF0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F92BE"/>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semiHidden/>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semiHidden/>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324337"/>
    <w:pPr>
      <w:tabs>
        <w:tab w:val="center" w:pos="4513"/>
        <w:tab w:val="right" w:pos="9026"/>
      </w:tabs>
    </w:pPr>
  </w:style>
  <w:style w:type="character" w:customStyle="1" w:styleId="FooterChar">
    <w:name w:val="Footer Char"/>
    <w:basedOn w:val="DefaultParagraphFont"/>
    <w:link w:val="Footer"/>
    <w:uiPriority w:val="99"/>
    <w:rsid w:val="00324337"/>
    <w:rPr>
      <w:rFonts w:ascii="Arial" w:hAnsi="Arial"/>
      <w:sz w:val="24"/>
      <w:lang w:eastAsia="en-US"/>
    </w:rPr>
  </w:style>
  <w:style w:type="character" w:customStyle="1" w:styleId="HeaderChar">
    <w:name w:val="Header Char"/>
    <w:basedOn w:val="DefaultParagraphFont"/>
    <w:link w:val="Header"/>
    <w:uiPriority w:val="99"/>
    <w:rsid w:val="00324337"/>
    <w:rPr>
      <w:rFonts w:ascii="Arial" w:hAnsi="Arial"/>
      <w:sz w:val="24"/>
      <w:lang w:eastAsia="en-US"/>
    </w:rPr>
  </w:style>
  <w:style w:type="paragraph" w:styleId="Revision">
    <w:name w:val="Revision"/>
    <w:hidden/>
    <w:uiPriority w:val="99"/>
    <w:semiHidden/>
    <w:rsid w:val="002A38E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FFB0-38C4-4C0C-AF5F-038CE6AB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0</TotalTime>
  <Pages>11</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Mariana Anguelov</cp:lastModifiedBy>
  <cp:revision>3</cp:revision>
  <cp:lastPrinted>2023-10-18T13:45:00Z</cp:lastPrinted>
  <dcterms:created xsi:type="dcterms:W3CDTF">2023-10-27T20:06:00Z</dcterms:created>
  <dcterms:modified xsi:type="dcterms:W3CDTF">2023-10-29T12:23:00Z</dcterms:modified>
</cp:coreProperties>
</file>