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8056" w14:textId="1D71A81B" w:rsidR="00F61174" w:rsidRPr="00430469" w:rsidRDefault="00F61174" w:rsidP="00262A0A">
      <w:pPr>
        <w:spacing w:line="360" w:lineRule="auto"/>
        <w:jc w:val="center"/>
        <w:rPr>
          <w:rFonts w:ascii="Arial" w:hAnsi="Arial" w:cs="Arial"/>
          <w:b/>
          <w:lang w:val="en-GB"/>
        </w:rPr>
      </w:pPr>
      <w:r w:rsidRPr="00430469">
        <w:rPr>
          <w:noProof/>
          <w:sz w:val="32"/>
          <w:lang w:eastAsia="en-ZA"/>
        </w:rPr>
        <w:drawing>
          <wp:inline distT="0" distB="0" distL="0" distR="0" wp14:anchorId="406BCFE7" wp14:editId="29903C9A">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0942929C" w14:textId="30013C39" w:rsidR="00BB5A16" w:rsidRPr="00430469" w:rsidRDefault="00BB5A16" w:rsidP="00262A0A">
      <w:pPr>
        <w:spacing w:line="360" w:lineRule="auto"/>
        <w:jc w:val="center"/>
        <w:rPr>
          <w:rFonts w:ascii="Arial" w:hAnsi="Arial" w:cs="Arial"/>
          <w:b/>
          <w:lang w:val="en-GB"/>
        </w:rPr>
      </w:pPr>
      <w:r w:rsidRPr="00430469">
        <w:rPr>
          <w:rFonts w:ascii="Arial" w:hAnsi="Arial" w:cs="Arial"/>
          <w:b/>
          <w:lang w:val="en-GB"/>
        </w:rPr>
        <w:t>IN THE HIGH COURT OF SOUTH AFRICA</w:t>
      </w:r>
    </w:p>
    <w:p w14:paraId="59FF2856" w14:textId="6CF036C5" w:rsidR="00BB5A16" w:rsidRPr="00430469" w:rsidRDefault="00BB5A16" w:rsidP="00262A0A">
      <w:pPr>
        <w:spacing w:line="360" w:lineRule="auto"/>
        <w:jc w:val="center"/>
        <w:rPr>
          <w:rFonts w:ascii="Arial" w:hAnsi="Arial" w:cs="Arial"/>
          <w:b/>
          <w:lang w:val="en-GB"/>
        </w:rPr>
      </w:pPr>
      <w:r w:rsidRPr="00430469">
        <w:rPr>
          <w:rFonts w:ascii="Arial" w:hAnsi="Arial" w:cs="Arial"/>
          <w:b/>
          <w:lang w:val="en-GB"/>
        </w:rPr>
        <w:t xml:space="preserve">(EASTERN CAPE DIVISION, </w:t>
      </w:r>
      <w:r w:rsidR="006D25A6">
        <w:rPr>
          <w:rFonts w:ascii="Arial" w:hAnsi="Arial" w:cs="Arial"/>
          <w:b/>
          <w:lang w:val="en-GB"/>
        </w:rPr>
        <w:t>MAKHANDA</w:t>
      </w:r>
      <w:r w:rsidRPr="00430469">
        <w:rPr>
          <w:rFonts w:ascii="Arial" w:hAnsi="Arial" w:cs="Arial"/>
          <w:b/>
          <w:lang w:val="en-GB"/>
        </w:rPr>
        <w:t>)</w:t>
      </w:r>
    </w:p>
    <w:p w14:paraId="2CBB57E4" w14:textId="77777777" w:rsidR="00BB5A16" w:rsidRPr="00430469" w:rsidRDefault="00BB5A16" w:rsidP="00262A0A">
      <w:pPr>
        <w:widowControl w:val="0"/>
        <w:spacing w:line="360" w:lineRule="auto"/>
        <w:jc w:val="both"/>
        <w:rPr>
          <w:spacing w:val="14"/>
          <w:kern w:val="2"/>
          <w:u w:val="single"/>
          <w:lang w:val="en-GB"/>
        </w:rPr>
      </w:pPr>
    </w:p>
    <w:p w14:paraId="59D027C3" w14:textId="143482A3" w:rsidR="00E262B9" w:rsidRPr="00E262B9" w:rsidRDefault="00BB5A16" w:rsidP="00E262B9">
      <w:pPr>
        <w:ind w:right="-52"/>
        <w:jc w:val="center"/>
        <w:rPr>
          <w:rFonts w:ascii="Arial" w:hAnsi="Arial" w:cs="Arial"/>
          <w:b/>
          <w:bCs/>
          <w:color w:val="000000" w:themeColor="text1"/>
          <w:lang w:val="en-GB"/>
        </w:rPr>
      </w:pPr>
      <w:r w:rsidRPr="00430469">
        <w:rPr>
          <w:rFonts w:ascii="Arial" w:hAnsi="Arial" w:cs="Arial"/>
          <w:b/>
          <w:lang w:val="en-GB"/>
        </w:rPr>
        <w:t xml:space="preserve">                                                                                                   </w:t>
      </w:r>
      <w:r w:rsidR="00E262B9">
        <w:rPr>
          <w:rFonts w:ascii="Arial" w:hAnsi="Arial" w:cs="Arial"/>
          <w:b/>
          <w:lang w:val="en-GB"/>
        </w:rPr>
        <w:t xml:space="preserve">   </w:t>
      </w:r>
      <w:r w:rsidR="00E262B9" w:rsidRPr="00E262B9">
        <w:rPr>
          <w:rFonts w:ascii="Arial" w:hAnsi="Arial" w:cs="Arial"/>
          <w:b/>
          <w:bCs/>
          <w:color w:val="000000" w:themeColor="text1"/>
          <w:lang w:val="en-GB"/>
        </w:rPr>
        <w:t xml:space="preserve">NOT REPORTABLE                                     </w:t>
      </w:r>
    </w:p>
    <w:p w14:paraId="21925B47" w14:textId="77777777" w:rsidR="00E262B9" w:rsidRPr="00E262B9" w:rsidRDefault="00E262B9" w:rsidP="00E262B9">
      <w:pPr>
        <w:spacing w:line="360" w:lineRule="auto"/>
        <w:jc w:val="center"/>
        <w:rPr>
          <w:rFonts w:ascii="Arial" w:hAnsi="Arial" w:cs="Arial"/>
          <w:color w:val="000000" w:themeColor="text1"/>
          <w:lang w:val="en-GB"/>
        </w:rPr>
      </w:pPr>
      <w:r w:rsidRPr="00E262B9">
        <w:rPr>
          <w:rFonts w:ascii="Arial" w:hAnsi="Arial" w:cs="Arial"/>
          <w:color w:val="000000" w:themeColor="text1"/>
          <w:lang w:val="en-GB"/>
        </w:rPr>
        <w:t xml:space="preserve">                                                                                                  </w:t>
      </w:r>
    </w:p>
    <w:p w14:paraId="5A6A35CC" w14:textId="3D84560C" w:rsidR="00683BF6" w:rsidRDefault="00E262B9" w:rsidP="00E262B9">
      <w:pPr>
        <w:ind w:left="5760" w:firstLine="720"/>
        <w:jc w:val="center"/>
        <w:rPr>
          <w:rFonts w:ascii="Arial" w:hAnsi="Arial" w:cs="Arial"/>
          <w:b/>
          <w:color w:val="000000" w:themeColor="text1"/>
          <w:lang w:val="en-GB"/>
        </w:rPr>
      </w:pPr>
      <w:r>
        <w:rPr>
          <w:rFonts w:ascii="Arial" w:hAnsi="Arial" w:cs="Arial"/>
          <w:color w:val="000000" w:themeColor="text1"/>
          <w:lang w:val="en-GB"/>
        </w:rPr>
        <w:t xml:space="preserve"> </w:t>
      </w:r>
      <w:r w:rsidRPr="00E262B9">
        <w:rPr>
          <w:rFonts w:ascii="Arial" w:hAnsi="Arial" w:cs="Arial"/>
          <w:color w:val="000000" w:themeColor="text1"/>
          <w:lang w:val="en-GB"/>
        </w:rPr>
        <w:t>Case no: 26/2023</w:t>
      </w:r>
    </w:p>
    <w:p w14:paraId="473A34D2" w14:textId="77777777" w:rsidR="006D25A6" w:rsidRDefault="006D25A6" w:rsidP="00262A0A">
      <w:pPr>
        <w:jc w:val="center"/>
        <w:rPr>
          <w:rFonts w:ascii="Arial" w:hAnsi="Arial" w:cs="Arial"/>
          <w:b/>
          <w:color w:val="000000" w:themeColor="text1"/>
          <w:lang w:val="en-GB"/>
        </w:rPr>
      </w:pPr>
    </w:p>
    <w:p w14:paraId="2A2787D7" w14:textId="7F483FE6" w:rsidR="00BB5A16" w:rsidRPr="00430469" w:rsidRDefault="00683BF6" w:rsidP="00E262B9">
      <w:pPr>
        <w:tabs>
          <w:tab w:val="left" w:pos="8505"/>
          <w:tab w:val="left" w:pos="8647"/>
          <w:tab w:val="left" w:pos="8789"/>
        </w:tabs>
        <w:ind w:right="89"/>
        <w:jc w:val="center"/>
        <w:rPr>
          <w:rFonts w:ascii="Arial" w:hAnsi="Arial" w:cs="Arial"/>
          <w:b/>
          <w:lang w:val="en-GB"/>
        </w:rPr>
      </w:pPr>
      <w:r w:rsidRPr="00683BF6">
        <w:rPr>
          <w:rFonts w:ascii="Arial" w:hAnsi="Arial" w:cs="Arial"/>
          <w:b/>
          <w:color w:val="000000" w:themeColor="text1"/>
          <w:lang w:val="en-GB"/>
        </w:rPr>
        <w:t xml:space="preserve">                                                                                           </w:t>
      </w:r>
    </w:p>
    <w:p w14:paraId="49931DEB" w14:textId="66170741" w:rsidR="00BB5A16" w:rsidRPr="00430469" w:rsidRDefault="00BB5A16" w:rsidP="00262A0A">
      <w:pPr>
        <w:spacing w:line="360" w:lineRule="auto"/>
        <w:ind w:right="-52"/>
        <w:jc w:val="center"/>
        <w:rPr>
          <w:rFonts w:ascii="Arial" w:hAnsi="Arial" w:cs="Arial"/>
          <w:b/>
          <w:lang w:val="en-GB"/>
        </w:rPr>
      </w:pPr>
      <w:r w:rsidRPr="00430469">
        <w:rPr>
          <w:rFonts w:ascii="Arial" w:hAnsi="Arial" w:cs="Arial"/>
          <w:b/>
          <w:lang w:val="en-GB"/>
        </w:rPr>
        <w:t xml:space="preserve">                                                                                          </w:t>
      </w:r>
    </w:p>
    <w:p w14:paraId="12FFEEF7" w14:textId="77777777" w:rsidR="00BB5A16" w:rsidRPr="00430469" w:rsidRDefault="00BB5A16" w:rsidP="00262A0A">
      <w:pPr>
        <w:widowControl w:val="0"/>
        <w:spacing w:line="360" w:lineRule="auto"/>
        <w:jc w:val="both"/>
        <w:rPr>
          <w:rFonts w:ascii="Arial" w:hAnsi="Arial" w:cs="Arial"/>
          <w:spacing w:val="14"/>
          <w:kern w:val="2"/>
          <w:lang w:val="en-GB"/>
        </w:rPr>
      </w:pPr>
      <w:r w:rsidRPr="00430469">
        <w:rPr>
          <w:rFonts w:ascii="Arial" w:hAnsi="Arial" w:cs="Arial"/>
          <w:spacing w:val="14"/>
          <w:kern w:val="2"/>
          <w:lang w:val="en-GB"/>
        </w:rPr>
        <w:t>In the matter between</w:t>
      </w:r>
    </w:p>
    <w:p w14:paraId="7F7F3E10" w14:textId="77777777" w:rsidR="00BB5A16" w:rsidRPr="00430469" w:rsidRDefault="00BB5A16" w:rsidP="00262A0A">
      <w:pPr>
        <w:widowControl w:val="0"/>
        <w:tabs>
          <w:tab w:val="right" w:pos="8198"/>
        </w:tabs>
        <w:spacing w:line="360" w:lineRule="auto"/>
        <w:jc w:val="both"/>
        <w:rPr>
          <w:spacing w:val="14"/>
          <w:kern w:val="2"/>
          <w:lang w:val="en-GB"/>
        </w:rPr>
      </w:pPr>
    </w:p>
    <w:p w14:paraId="4F7CDED4" w14:textId="6BBB4536" w:rsidR="00BB5A16" w:rsidRPr="00430469" w:rsidRDefault="00BB5A16" w:rsidP="00262A0A">
      <w:pPr>
        <w:tabs>
          <w:tab w:val="right" w:pos="9072"/>
        </w:tabs>
        <w:suppressAutoHyphens/>
        <w:spacing w:line="360" w:lineRule="auto"/>
        <w:jc w:val="both"/>
        <w:rPr>
          <w:rFonts w:ascii="Arial" w:hAnsi="Arial" w:cs="Arial"/>
          <w:b/>
          <w:lang w:val="en-GB"/>
        </w:rPr>
      </w:pPr>
      <w:r w:rsidRPr="00430469">
        <w:rPr>
          <w:rFonts w:ascii="Arial" w:hAnsi="Arial" w:cs="Arial"/>
          <w:b/>
          <w:lang w:val="en-GB"/>
        </w:rPr>
        <w:t>THE STATE</w:t>
      </w:r>
    </w:p>
    <w:p w14:paraId="047D3DF7" w14:textId="77777777" w:rsidR="00BB5A16" w:rsidRPr="00430469" w:rsidRDefault="00BB5A16" w:rsidP="00262A0A">
      <w:pPr>
        <w:tabs>
          <w:tab w:val="right" w:pos="9072"/>
        </w:tabs>
        <w:suppressAutoHyphens/>
        <w:spacing w:line="360" w:lineRule="auto"/>
        <w:jc w:val="both"/>
        <w:rPr>
          <w:rFonts w:ascii="Arial" w:hAnsi="Arial" w:cs="Arial"/>
          <w:b/>
          <w:lang w:val="en-GB"/>
        </w:rPr>
      </w:pPr>
    </w:p>
    <w:p w14:paraId="53BEE321" w14:textId="77777777" w:rsidR="00BB5A16" w:rsidRPr="00430469" w:rsidRDefault="00BB5A16" w:rsidP="00262A0A">
      <w:pPr>
        <w:spacing w:line="360" w:lineRule="auto"/>
        <w:jc w:val="both"/>
        <w:rPr>
          <w:rFonts w:ascii="Arial" w:hAnsi="Arial" w:cs="Arial"/>
          <w:b/>
          <w:lang w:val="en-GB"/>
        </w:rPr>
      </w:pPr>
      <w:r w:rsidRPr="00430469">
        <w:rPr>
          <w:rFonts w:ascii="Arial" w:hAnsi="Arial" w:cs="Arial"/>
          <w:b/>
          <w:lang w:val="en-GB"/>
        </w:rPr>
        <w:t>and</w:t>
      </w:r>
    </w:p>
    <w:p w14:paraId="5D1C3DE1" w14:textId="77777777" w:rsidR="00BB5A16" w:rsidRPr="00430469" w:rsidRDefault="00BB5A16" w:rsidP="00262A0A">
      <w:pPr>
        <w:spacing w:line="360" w:lineRule="auto"/>
        <w:jc w:val="both"/>
        <w:rPr>
          <w:rFonts w:ascii="Arial" w:hAnsi="Arial" w:cs="Arial"/>
          <w:b/>
          <w:lang w:val="en-GB"/>
        </w:rPr>
      </w:pPr>
    </w:p>
    <w:p w14:paraId="1F7ED93A" w14:textId="1DEECD22" w:rsidR="00BB5A16" w:rsidRPr="00430469" w:rsidRDefault="006D25A6" w:rsidP="00262A0A">
      <w:pPr>
        <w:tabs>
          <w:tab w:val="left" w:pos="7410"/>
          <w:tab w:val="right" w:pos="9072"/>
        </w:tabs>
        <w:suppressAutoHyphens/>
        <w:spacing w:line="360" w:lineRule="auto"/>
        <w:jc w:val="both"/>
        <w:rPr>
          <w:rFonts w:ascii="Arial" w:hAnsi="Arial" w:cs="Arial"/>
          <w:b/>
          <w:bCs/>
          <w:lang w:val="en-GB"/>
        </w:rPr>
      </w:pPr>
      <w:r>
        <w:rPr>
          <w:rFonts w:ascii="Arial" w:hAnsi="Arial" w:cs="Arial"/>
          <w:b/>
          <w:lang w:val="en-GB"/>
        </w:rPr>
        <w:t>SONWABILE NTAKATSANE</w:t>
      </w:r>
      <w:r w:rsidR="00BB5A16" w:rsidRPr="00430469">
        <w:rPr>
          <w:rFonts w:ascii="Arial" w:hAnsi="Arial" w:cs="Arial"/>
          <w:b/>
          <w:lang w:val="en-GB"/>
        </w:rPr>
        <w:t xml:space="preserve">                                </w:t>
      </w:r>
      <w:r w:rsidR="007460DE">
        <w:rPr>
          <w:rFonts w:ascii="Arial" w:hAnsi="Arial" w:cs="Arial"/>
          <w:b/>
          <w:lang w:val="en-GB"/>
        </w:rPr>
        <w:tab/>
      </w:r>
      <w:r w:rsidR="00126EBB">
        <w:rPr>
          <w:rFonts w:ascii="Arial" w:hAnsi="Arial" w:cs="Arial"/>
          <w:b/>
          <w:lang w:val="en-GB"/>
        </w:rPr>
        <w:t xml:space="preserve">      </w:t>
      </w:r>
      <w:r w:rsidR="007460DE">
        <w:rPr>
          <w:rFonts w:ascii="Arial" w:hAnsi="Arial" w:cs="Arial"/>
          <w:b/>
          <w:lang w:val="en-GB"/>
        </w:rPr>
        <w:t>ACCUSED</w:t>
      </w:r>
      <w:r w:rsidR="00BB5A16" w:rsidRPr="00430469">
        <w:rPr>
          <w:rFonts w:ascii="Arial" w:hAnsi="Arial" w:cs="Arial"/>
          <w:b/>
          <w:lang w:val="en-GB"/>
        </w:rPr>
        <w:t xml:space="preserve">           </w:t>
      </w:r>
    </w:p>
    <w:p w14:paraId="66FF7C5B" w14:textId="77777777" w:rsidR="00BB5A16" w:rsidRPr="00E262B9" w:rsidRDefault="00BB5A16" w:rsidP="00262A0A">
      <w:pPr>
        <w:spacing w:line="360" w:lineRule="auto"/>
        <w:jc w:val="both"/>
        <w:rPr>
          <w:rFonts w:ascii="Arial" w:hAnsi="Arial" w:cs="Arial"/>
          <w:bCs/>
          <w:lang w:val="en-GB"/>
        </w:rPr>
      </w:pPr>
      <w:r w:rsidRPr="00E262B9">
        <w:rPr>
          <w:rFonts w:ascii="Arial" w:hAnsi="Arial" w:cs="Arial"/>
          <w:bCs/>
          <w:lang w:val="en-GB"/>
        </w:rPr>
        <w:t>___________________________________________________________________</w:t>
      </w:r>
    </w:p>
    <w:p w14:paraId="01611719" w14:textId="77777777" w:rsidR="00140377" w:rsidRPr="00E262B9" w:rsidRDefault="00140377" w:rsidP="00262A0A">
      <w:pPr>
        <w:spacing w:line="360" w:lineRule="auto"/>
        <w:jc w:val="center"/>
        <w:rPr>
          <w:rFonts w:ascii="Arial" w:hAnsi="Arial" w:cs="Arial"/>
          <w:bCs/>
          <w:lang w:val="en-GB"/>
        </w:rPr>
      </w:pPr>
    </w:p>
    <w:p w14:paraId="7252A36B" w14:textId="021893DD" w:rsidR="00BB5A16" w:rsidRPr="00E262B9" w:rsidRDefault="00683BF6" w:rsidP="00262A0A">
      <w:pPr>
        <w:spacing w:line="360" w:lineRule="auto"/>
        <w:jc w:val="center"/>
        <w:rPr>
          <w:rFonts w:ascii="Arial" w:hAnsi="Arial" w:cs="Arial"/>
          <w:b/>
          <w:lang w:val="en-GB"/>
        </w:rPr>
      </w:pPr>
      <w:r w:rsidRPr="00E262B9">
        <w:rPr>
          <w:rFonts w:ascii="Arial" w:hAnsi="Arial" w:cs="Arial"/>
          <w:b/>
          <w:lang w:val="en-GB"/>
        </w:rPr>
        <w:t>SENTENCE</w:t>
      </w:r>
    </w:p>
    <w:p w14:paraId="67544371" w14:textId="77777777" w:rsidR="00BB5A16" w:rsidRPr="00430469" w:rsidRDefault="00BB5A16" w:rsidP="00262A0A">
      <w:pPr>
        <w:spacing w:line="360" w:lineRule="auto"/>
        <w:jc w:val="both"/>
        <w:rPr>
          <w:rFonts w:ascii="Arial" w:hAnsi="Arial" w:cs="Arial"/>
          <w:b/>
          <w:lang w:val="en-GB"/>
        </w:rPr>
      </w:pPr>
      <w:r w:rsidRPr="00E262B9">
        <w:rPr>
          <w:rFonts w:ascii="Arial" w:hAnsi="Arial" w:cs="Arial"/>
          <w:bCs/>
          <w:lang w:val="en-GB"/>
        </w:rPr>
        <w:t>___________________________________________________________________</w:t>
      </w:r>
    </w:p>
    <w:p w14:paraId="1ADBF067" w14:textId="77777777" w:rsidR="00F7250D" w:rsidRPr="00430469" w:rsidRDefault="00BB5A16" w:rsidP="00262A0A">
      <w:pPr>
        <w:spacing w:line="360" w:lineRule="auto"/>
        <w:jc w:val="both"/>
        <w:rPr>
          <w:rFonts w:ascii="Arial" w:hAnsi="Arial" w:cs="Arial"/>
          <w:b/>
          <w:lang w:val="en-GB"/>
        </w:rPr>
      </w:pPr>
      <w:r w:rsidRPr="00430469">
        <w:rPr>
          <w:rFonts w:ascii="Arial" w:hAnsi="Arial" w:cs="Arial"/>
          <w:b/>
          <w:lang w:val="en-GB"/>
        </w:rPr>
        <w:t>GOVINDJEE, J</w:t>
      </w:r>
    </w:p>
    <w:p w14:paraId="5CC2F128" w14:textId="21ECF767" w:rsidR="006623AC" w:rsidRPr="00430469" w:rsidRDefault="007B43C1" w:rsidP="00262A0A">
      <w:pPr>
        <w:spacing w:line="360" w:lineRule="auto"/>
        <w:jc w:val="both"/>
        <w:rPr>
          <w:rFonts w:ascii="Arial" w:hAnsi="Arial" w:cs="Arial"/>
          <w:b/>
          <w:lang w:val="en-GB"/>
        </w:rPr>
      </w:pPr>
      <w:r w:rsidRPr="00430469">
        <w:rPr>
          <w:rFonts w:ascii="Times New Roman" w:hAnsi="Times New Roman" w:cs="Times New Roman"/>
          <w:b/>
          <w:bCs/>
          <w:sz w:val="28"/>
          <w:szCs w:val="28"/>
          <w:lang w:val="en-GB"/>
        </w:rPr>
        <w:tab/>
      </w:r>
    </w:p>
    <w:p w14:paraId="323B0D72" w14:textId="7522DF5C" w:rsidR="00A95005" w:rsidRPr="000268C3" w:rsidRDefault="00A95005" w:rsidP="00262A0A">
      <w:pPr>
        <w:spacing w:line="360" w:lineRule="auto"/>
        <w:jc w:val="both"/>
        <w:rPr>
          <w:rFonts w:ascii="Times New Roman" w:hAnsi="Times New Roman" w:cs="Times New Roman"/>
          <w:b/>
          <w:bCs/>
          <w:sz w:val="28"/>
          <w:szCs w:val="28"/>
          <w:lang w:val="en-GB"/>
        </w:rPr>
      </w:pPr>
      <w:r w:rsidRPr="000268C3">
        <w:rPr>
          <w:rFonts w:ascii="Arial" w:hAnsi="Arial" w:cs="Arial"/>
          <w:b/>
          <w:bCs/>
          <w:lang w:val="en-GB"/>
        </w:rPr>
        <w:t>Background</w:t>
      </w:r>
    </w:p>
    <w:p w14:paraId="55DFC9B3" w14:textId="77777777" w:rsidR="007460DE" w:rsidRPr="00E262B9" w:rsidRDefault="007460DE" w:rsidP="00262A0A">
      <w:pPr>
        <w:spacing w:line="360" w:lineRule="auto"/>
        <w:jc w:val="both"/>
        <w:rPr>
          <w:rFonts w:ascii="Arial" w:hAnsi="Arial" w:cs="Arial"/>
          <w:b/>
          <w:bCs/>
          <w:lang w:val="en-GB"/>
        </w:rPr>
      </w:pPr>
    </w:p>
    <w:p w14:paraId="63767708" w14:textId="71A5CF1E" w:rsidR="001266DE" w:rsidRDefault="006D25A6" w:rsidP="00262A0A">
      <w:pPr>
        <w:pStyle w:val="ListParagraph"/>
        <w:numPr>
          <w:ilvl w:val="0"/>
          <w:numId w:val="1"/>
        </w:numPr>
        <w:spacing w:line="360" w:lineRule="auto"/>
        <w:ind w:left="0" w:firstLine="0"/>
        <w:jc w:val="both"/>
        <w:rPr>
          <w:rFonts w:ascii="Arial" w:hAnsi="Arial" w:cs="Arial"/>
          <w:lang w:val="en-GB"/>
        </w:rPr>
      </w:pPr>
      <w:r>
        <w:rPr>
          <w:rFonts w:ascii="Arial" w:hAnsi="Arial" w:cs="Arial"/>
          <w:lang w:val="en-GB"/>
        </w:rPr>
        <w:t xml:space="preserve">Mr </w:t>
      </w:r>
      <w:proofErr w:type="spellStart"/>
      <w:r>
        <w:rPr>
          <w:rFonts w:ascii="Arial" w:hAnsi="Arial" w:cs="Arial"/>
          <w:lang w:val="en-GB"/>
        </w:rPr>
        <w:t>Ntakatsane</w:t>
      </w:r>
      <w:proofErr w:type="spellEnd"/>
      <w:r w:rsidR="00140377">
        <w:rPr>
          <w:rFonts w:ascii="Arial" w:hAnsi="Arial" w:cs="Arial"/>
          <w:lang w:val="en-GB"/>
        </w:rPr>
        <w:t xml:space="preserve"> was convicted of </w:t>
      </w:r>
      <w:r>
        <w:rPr>
          <w:rFonts w:ascii="Arial" w:hAnsi="Arial" w:cs="Arial"/>
          <w:lang w:val="en-GB"/>
        </w:rPr>
        <w:t xml:space="preserve">three counts of </w:t>
      </w:r>
      <w:r w:rsidR="00140377">
        <w:rPr>
          <w:rFonts w:ascii="Arial" w:hAnsi="Arial" w:cs="Arial"/>
          <w:lang w:val="en-GB"/>
        </w:rPr>
        <w:t>rape in contravention of section 3, read with various sections of the Criminal Law (Sexual Offences and Related Matters) Amendment Act, 2007.</w:t>
      </w:r>
      <w:r w:rsidR="00140377">
        <w:rPr>
          <w:rStyle w:val="FootnoteReference"/>
          <w:rFonts w:ascii="Arial" w:hAnsi="Arial" w:cs="Arial"/>
          <w:lang w:val="en-GB"/>
        </w:rPr>
        <w:footnoteReference w:id="1"/>
      </w:r>
      <w:r w:rsidR="00140377">
        <w:rPr>
          <w:rFonts w:ascii="Arial" w:hAnsi="Arial" w:cs="Arial"/>
          <w:lang w:val="en-GB"/>
        </w:rPr>
        <w:t xml:space="preserve"> </w:t>
      </w:r>
    </w:p>
    <w:p w14:paraId="448B0547" w14:textId="77777777" w:rsidR="00AD6742" w:rsidRPr="006D5AF1" w:rsidRDefault="00AD6742" w:rsidP="00262A0A">
      <w:pPr>
        <w:rPr>
          <w:rFonts w:ascii="Arial" w:hAnsi="Arial" w:cs="Arial"/>
          <w:lang w:val="en-GB"/>
        </w:rPr>
      </w:pPr>
    </w:p>
    <w:p w14:paraId="31BA26FE" w14:textId="106CB23B" w:rsidR="001266DE" w:rsidRPr="00430469" w:rsidRDefault="00A47BA3" w:rsidP="00262A0A">
      <w:pPr>
        <w:pStyle w:val="ListParagraph"/>
        <w:numPr>
          <w:ilvl w:val="0"/>
          <w:numId w:val="1"/>
        </w:numPr>
        <w:spacing w:line="360" w:lineRule="auto"/>
        <w:ind w:left="0" w:firstLine="0"/>
        <w:jc w:val="both"/>
        <w:rPr>
          <w:rFonts w:ascii="Arial" w:hAnsi="Arial" w:cs="Arial"/>
          <w:lang w:val="en-GB"/>
        </w:rPr>
      </w:pPr>
      <w:r w:rsidRPr="00430469">
        <w:rPr>
          <w:rFonts w:ascii="Arial" w:hAnsi="Arial" w:cs="Arial"/>
          <w:lang w:val="en-GB"/>
        </w:rPr>
        <w:lastRenderedPageBreak/>
        <w:t>The Director of Public Prosecutions relied on s 51(1), read with Part I of Schedule 2 of the Criminal Law Amendment Act, 1997</w:t>
      </w:r>
      <w:r w:rsidRPr="00430469">
        <w:rPr>
          <w:rStyle w:val="FootnoteReference"/>
          <w:rFonts w:ascii="Arial" w:hAnsi="Arial" w:cs="Arial"/>
          <w:lang w:val="en-GB"/>
        </w:rPr>
        <w:footnoteReference w:id="2"/>
      </w:r>
      <w:r w:rsidR="00742714">
        <w:rPr>
          <w:rFonts w:ascii="Arial" w:hAnsi="Arial" w:cs="Arial"/>
          <w:lang w:val="en-GB"/>
        </w:rPr>
        <w:t xml:space="preserve"> (‘the Minimum Sentences Act’)</w:t>
      </w:r>
      <w:r w:rsidRPr="00430469">
        <w:rPr>
          <w:rFonts w:ascii="Arial" w:hAnsi="Arial" w:cs="Arial"/>
          <w:lang w:val="en-GB"/>
        </w:rPr>
        <w:t xml:space="preserve"> in seeking life imprisonment for the rape conviction</w:t>
      </w:r>
      <w:r w:rsidR="00EB6018">
        <w:rPr>
          <w:rFonts w:ascii="Arial" w:hAnsi="Arial" w:cs="Arial"/>
          <w:lang w:val="en-GB"/>
        </w:rPr>
        <w:t>s in respect of counts 1 and 2</w:t>
      </w:r>
      <w:r w:rsidRPr="00430469">
        <w:rPr>
          <w:rFonts w:ascii="Arial" w:hAnsi="Arial" w:cs="Arial"/>
          <w:lang w:val="en-GB"/>
        </w:rPr>
        <w:t xml:space="preserve">, on the basis that </w:t>
      </w:r>
      <w:r w:rsidR="00EB6018">
        <w:rPr>
          <w:rFonts w:ascii="Arial" w:hAnsi="Arial" w:cs="Arial"/>
          <w:lang w:val="en-GB"/>
        </w:rPr>
        <w:t>both</w:t>
      </w:r>
      <w:r w:rsidRPr="00430469">
        <w:rPr>
          <w:rFonts w:ascii="Arial" w:hAnsi="Arial" w:cs="Arial"/>
          <w:lang w:val="en-GB"/>
        </w:rPr>
        <w:t xml:space="preserve"> rape</w:t>
      </w:r>
      <w:r w:rsidR="00EB6018">
        <w:rPr>
          <w:rFonts w:ascii="Arial" w:hAnsi="Arial" w:cs="Arial"/>
          <w:lang w:val="en-GB"/>
        </w:rPr>
        <w:t>s</w:t>
      </w:r>
      <w:r w:rsidRPr="00430469">
        <w:rPr>
          <w:rFonts w:ascii="Arial" w:hAnsi="Arial" w:cs="Arial"/>
          <w:lang w:val="en-GB"/>
        </w:rPr>
        <w:t xml:space="preserve"> involved </w:t>
      </w:r>
      <w:r w:rsidR="00D61C1F">
        <w:rPr>
          <w:rFonts w:ascii="Arial" w:hAnsi="Arial" w:cs="Arial"/>
          <w:lang w:val="en-GB"/>
        </w:rPr>
        <w:t>victim</w:t>
      </w:r>
      <w:r w:rsidR="00EB6018">
        <w:rPr>
          <w:rFonts w:ascii="Arial" w:hAnsi="Arial" w:cs="Arial"/>
          <w:lang w:val="en-GB"/>
        </w:rPr>
        <w:t>s</w:t>
      </w:r>
      <w:r w:rsidR="00D61C1F">
        <w:rPr>
          <w:rFonts w:ascii="Arial" w:hAnsi="Arial" w:cs="Arial"/>
          <w:lang w:val="en-GB"/>
        </w:rPr>
        <w:t xml:space="preserve"> under the age of 16</w:t>
      </w:r>
      <w:r w:rsidRPr="00430469">
        <w:rPr>
          <w:rFonts w:ascii="Arial" w:hAnsi="Arial" w:cs="Arial"/>
          <w:lang w:val="en-GB"/>
        </w:rPr>
        <w:t>.</w:t>
      </w:r>
      <w:r w:rsidR="00B56362" w:rsidRPr="00430469">
        <w:rPr>
          <w:rFonts w:ascii="Arial" w:hAnsi="Arial" w:cs="Arial"/>
          <w:lang w:val="en-GB"/>
        </w:rPr>
        <w:t xml:space="preserve"> </w:t>
      </w:r>
      <w:r w:rsidR="00EB6018">
        <w:rPr>
          <w:rFonts w:ascii="Arial" w:hAnsi="Arial" w:cs="Arial"/>
          <w:lang w:val="en-GB"/>
        </w:rPr>
        <w:t xml:space="preserve">As Mr </w:t>
      </w:r>
      <w:proofErr w:type="spellStart"/>
      <w:r w:rsidR="00EB6018">
        <w:rPr>
          <w:rFonts w:ascii="Arial" w:hAnsi="Arial" w:cs="Arial"/>
          <w:lang w:val="en-GB"/>
        </w:rPr>
        <w:t>Ntakatsane</w:t>
      </w:r>
      <w:proofErr w:type="spellEnd"/>
      <w:r w:rsidR="00EB6018">
        <w:rPr>
          <w:rFonts w:ascii="Arial" w:hAnsi="Arial" w:cs="Arial"/>
          <w:lang w:val="en-GB"/>
        </w:rPr>
        <w:t xml:space="preserve"> had no prior convictions at the time, the minimum prescribed sentence for the count 3 conviction</w:t>
      </w:r>
      <w:r w:rsidR="00742714">
        <w:rPr>
          <w:rFonts w:ascii="Arial" w:hAnsi="Arial" w:cs="Arial"/>
          <w:lang w:val="en-GB"/>
        </w:rPr>
        <w:t xml:space="preserve"> is imprisonment for a period not less than 10 years. </w:t>
      </w:r>
      <w:r w:rsidR="00B56362" w:rsidRPr="00430469">
        <w:rPr>
          <w:rFonts w:ascii="Arial" w:hAnsi="Arial" w:cs="Arial"/>
          <w:lang w:val="en-GB"/>
        </w:rPr>
        <w:t>A court that is satisfied that substantial and compelling circumstances exist to justify the imposition of a lesser sentence than that prescribed by the Minimum Sentences Act must impose a lesser sentence, entering the relevant circumstances on the record of proceedings.</w:t>
      </w:r>
      <w:r w:rsidR="00DA77C4" w:rsidRPr="00430469">
        <w:rPr>
          <w:rStyle w:val="FootnoteReference"/>
          <w:rFonts w:ascii="Arial" w:hAnsi="Arial" w:cs="Arial"/>
          <w:lang w:val="en-GB"/>
        </w:rPr>
        <w:footnoteReference w:id="3"/>
      </w:r>
    </w:p>
    <w:p w14:paraId="456F2F02" w14:textId="77777777" w:rsidR="00361AB3" w:rsidRPr="00430469" w:rsidRDefault="00361AB3" w:rsidP="00262A0A">
      <w:pPr>
        <w:pStyle w:val="ListParagraph"/>
        <w:spacing w:line="360" w:lineRule="auto"/>
        <w:ind w:left="0"/>
        <w:jc w:val="both"/>
        <w:rPr>
          <w:rFonts w:ascii="Arial" w:hAnsi="Arial" w:cs="Arial"/>
          <w:lang w:val="en-GB"/>
        </w:rPr>
      </w:pPr>
    </w:p>
    <w:p w14:paraId="77B75D0E" w14:textId="323ECF74" w:rsidR="00DD257D" w:rsidRPr="00430469" w:rsidRDefault="00DD257D" w:rsidP="00262A0A">
      <w:pPr>
        <w:pStyle w:val="ListParagraph"/>
        <w:numPr>
          <w:ilvl w:val="0"/>
          <w:numId w:val="1"/>
        </w:numPr>
        <w:spacing w:line="360" w:lineRule="auto"/>
        <w:ind w:left="0" w:firstLine="0"/>
        <w:jc w:val="both"/>
        <w:rPr>
          <w:rFonts w:ascii="Arial" w:hAnsi="Arial" w:cs="Arial"/>
          <w:lang w:val="en-GB"/>
        </w:rPr>
      </w:pPr>
      <w:r w:rsidRPr="00430469">
        <w:rPr>
          <w:rFonts w:ascii="Arial" w:hAnsi="Arial" w:cs="Arial"/>
          <w:lang w:val="en-GB"/>
        </w:rPr>
        <w:t xml:space="preserve">Section 276 of the </w:t>
      </w:r>
      <w:r w:rsidRPr="00430469">
        <w:rPr>
          <w:rFonts w:ascii="Arial" w:hAnsi="Arial" w:cs="Arial"/>
          <w:bCs/>
          <w:lang w:val="en-GB"/>
        </w:rPr>
        <w:t>Criminal Procedure Act,</w:t>
      </w:r>
      <w:r w:rsidRPr="00430469">
        <w:rPr>
          <w:rFonts w:ascii="Arial" w:hAnsi="Arial" w:cs="Arial"/>
          <w:lang w:val="en-GB"/>
        </w:rPr>
        <w:t xml:space="preserve"> 1977</w:t>
      </w:r>
      <w:r w:rsidRPr="00430469">
        <w:rPr>
          <w:rStyle w:val="FootnoteReference"/>
          <w:rFonts w:ascii="Arial" w:hAnsi="Arial" w:cs="Arial"/>
          <w:lang w:val="en-GB"/>
        </w:rPr>
        <w:footnoteReference w:id="4"/>
      </w:r>
      <w:r w:rsidRPr="00430469">
        <w:rPr>
          <w:rFonts w:ascii="Arial" w:hAnsi="Arial" w:cs="Arial"/>
          <w:lang w:val="en-GB"/>
        </w:rPr>
        <w:t xml:space="preserve"> provides for the sentences which courts can impose. The imposition of sentence is pre-eminently a matter for the discretion of the trial court, which is free to impose whatever sentence it deems appropriate </w:t>
      </w:r>
      <w:r w:rsidR="00002B0D" w:rsidRPr="00430469">
        <w:rPr>
          <w:rFonts w:ascii="Arial" w:hAnsi="Arial" w:cs="Arial"/>
          <w:lang w:val="en-GB"/>
        </w:rPr>
        <w:t>provided</w:t>
      </w:r>
      <w:r w:rsidRPr="00430469">
        <w:rPr>
          <w:rFonts w:ascii="Arial" w:hAnsi="Arial" w:cs="Arial"/>
          <w:lang w:val="en-GB"/>
        </w:rPr>
        <w:t xml:space="preserve"> it exercises its discretion judicially and properly. The general purpose of imposing a sentence is fourfold: retributive</w:t>
      </w:r>
      <w:r w:rsidR="00A866A5">
        <w:rPr>
          <w:rFonts w:ascii="Arial" w:hAnsi="Arial" w:cs="Arial"/>
          <w:lang w:val="en-GB"/>
        </w:rPr>
        <w:t xml:space="preserve">, </w:t>
      </w:r>
      <w:r w:rsidRPr="00430469">
        <w:rPr>
          <w:rFonts w:ascii="Arial" w:hAnsi="Arial" w:cs="Arial"/>
          <w:lang w:val="en-GB"/>
        </w:rPr>
        <w:t>preventative, rehabilitative (reformative) and to act as a general deterrent.</w:t>
      </w:r>
      <w:r w:rsidRPr="00430469">
        <w:rPr>
          <w:rStyle w:val="FootnoteReference"/>
          <w:rFonts w:ascii="Arial" w:hAnsi="Arial" w:cs="Arial"/>
          <w:lang w:val="en-GB"/>
        </w:rPr>
        <w:footnoteReference w:id="5"/>
      </w:r>
      <w:r w:rsidRPr="00430469">
        <w:rPr>
          <w:rFonts w:ascii="Arial" w:hAnsi="Arial" w:cs="Arial"/>
          <w:lang w:val="en-GB"/>
        </w:rPr>
        <w:t xml:space="preserve"> While the retributive aspect tends to dominate, courts are enjoined to temper the punishment with a measure of mercy.</w:t>
      </w:r>
      <w:r w:rsidRPr="00430469">
        <w:rPr>
          <w:rStyle w:val="FootnoteReference"/>
          <w:rFonts w:ascii="Arial" w:hAnsi="Arial" w:cs="Arial"/>
          <w:lang w:val="en-GB"/>
        </w:rPr>
        <w:footnoteReference w:id="6"/>
      </w:r>
    </w:p>
    <w:p w14:paraId="53B19ABF" w14:textId="77777777" w:rsidR="00361AB3" w:rsidRPr="00430469" w:rsidRDefault="00361AB3" w:rsidP="00262A0A">
      <w:pPr>
        <w:spacing w:line="360" w:lineRule="auto"/>
        <w:rPr>
          <w:rFonts w:ascii="Arial" w:hAnsi="Arial" w:cs="Arial"/>
          <w:lang w:val="en-GB"/>
        </w:rPr>
      </w:pPr>
    </w:p>
    <w:p w14:paraId="6B8409BD" w14:textId="57365DF2" w:rsidR="00DD257D" w:rsidRPr="00430469" w:rsidRDefault="00340ABD" w:rsidP="00262A0A">
      <w:pPr>
        <w:pStyle w:val="ListParagraph"/>
        <w:numPr>
          <w:ilvl w:val="0"/>
          <w:numId w:val="1"/>
        </w:numPr>
        <w:spacing w:line="360" w:lineRule="auto"/>
        <w:ind w:left="0" w:firstLine="0"/>
        <w:jc w:val="both"/>
        <w:rPr>
          <w:rFonts w:ascii="Arial" w:hAnsi="Arial" w:cs="Arial"/>
          <w:lang w:val="en-GB"/>
        </w:rPr>
      </w:pPr>
      <w:r>
        <w:rPr>
          <w:rFonts w:ascii="Arial" w:hAnsi="Arial" w:cs="Arial"/>
          <w:lang w:val="en-GB"/>
        </w:rPr>
        <w:t>This court has often had occasion to remark that a</w:t>
      </w:r>
      <w:r w:rsidR="00DD257D" w:rsidRPr="00430469">
        <w:rPr>
          <w:rFonts w:ascii="Arial" w:hAnsi="Arial" w:cs="Arial"/>
          <w:lang w:val="en-GB"/>
        </w:rPr>
        <w:t xml:space="preserve"> sentencing court must attempt to achieve a balance in its sentence, and not approach its task in a spirit of anger, but in one of equity. Hastiness, the striving after severity and misplaced pity </w:t>
      </w:r>
      <w:r w:rsidR="00B84BA8" w:rsidRPr="00430469">
        <w:rPr>
          <w:rFonts w:ascii="Arial" w:hAnsi="Arial" w:cs="Arial"/>
          <w:lang w:val="en-GB"/>
        </w:rPr>
        <w:t>are</w:t>
      </w:r>
      <w:r w:rsidR="00DD257D" w:rsidRPr="00430469">
        <w:rPr>
          <w:rFonts w:ascii="Arial" w:hAnsi="Arial" w:cs="Arial"/>
          <w:lang w:val="en-GB"/>
        </w:rPr>
        <w:t xml:space="preserve"> out of place, as are so-called exemplary sentences designed to use the crime to set an example for others in society.</w:t>
      </w:r>
      <w:r w:rsidR="00DD257D" w:rsidRPr="00430469">
        <w:rPr>
          <w:rStyle w:val="FootnoteReference"/>
          <w:rFonts w:ascii="Arial" w:hAnsi="Arial" w:cs="Arial"/>
          <w:lang w:val="en-GB"/>
        </w:rPr>
        <w:footnoteReference w:id="7"/>
      </w:r>
      <w:r w:rsidR="00DD257D" w:rsidRPr="00430469">
        <w:rPr>
          <w:rFonts w:ascii="Arial" w:hAnsi="Arial" w:cs="Arial"/>
          <w:lang w:val="en-GB"/>
        </w:rPr>
        <w:t xml:space="preserve"> Still, more serious cases clearly require severity, with a certain moderation of generosity, </w:t>
      </w:r>
      <w:r w:rsidR="00B84BA8" w:rsidRPr="00430469">
        <w:rPr>
          <w:rFonts w:ascii="Arial" w:hAnsi="Arial" w:cs="Arial"/>
          <w:lang w:val="en-GB"/>
        </w:rPr>
        <w:t>for</w:t>
      </w:r>
      <w:r w:rsidR="00DD257D" w:rsidRPr="00430469">
        <w:rPr>
          <w:rFonts w:ascii="Arial" w:hAnsi="Arial" w:cs="Arial"/>
          <w:lang w:val="en-GB"/>
        </w:rPr>
        <w:t xml:space="preserve"> the appropriate balance to be struck. The object of sentencing is not to satisfy public opinion, but to serve the public interest.</w:t>
      </w:r>
      <w:r w:rsidR="00DD257D" w:rsidRPr="00430469">
        <w:rPr>
          <w:rStyle w:val="FootnoteReference"/>
          <w:rFonts w:ascii="Arial" w:hAnsi="Arial" w:cs="Arial"/>
          <w:lang w:val="en-GB"/>
        </w:rPr>
        <w:footnoteReference w:id="8"/>
      </w:r>
    </w:p>
    <w:p w14:paraId="77C50B75" w14:textId="77777777" w:rsidR="00361AB3" w:rsidRPr="00430469" w:rsidRDefault="00361AB3" w:rsidP="00262A0A">
      <w:pPr>
        <w:pStyle w:val="ListParagraph"/>
        <w:spacing w:line="360" w:lineRule="auto"/>
        <w:ind w:left="0"/>
        <w:rPr>
          <w:rFonts w:ascii="Arial" w:hAnsi="Arial" w:cs="Arial"/>
          <w:lang w:val="en-GB"/>
        </w:rPr>
      </w:pPr>
    </w:p>
    <w:p w14:paraId="71117313" w14:textId="05BA0DE7" w:rsidR="00DD257D" w:rsidRDefault="00DD257D" w:rsidP="00262A0A">
      <w:pPr>
        <w:pStyle w:val="ListParagraph"/>
        <w:numPr>
          <w:ilvl w:val="0"/>
          <w:numId w:val="1"/>
        </w:numPr>
        <w:spacing w:line="360" w:lineRule="auto"/>
        <w:ind w:left="0" w:firstLine="0"/>
        <w:jc w:val="both"/>
        <w:rPr>
          <w:rFonts w:ascii="Arial" w:hAnsi="Arial" w:cs="Arial"/>
          <w:lang w:val="en-GB"/>
        </w:rPr>
      </w:pPr>
      <w:r w:rsidRPr="00430469">
        <w:rPr>
          <w:rFonts w:ascii="Arial" w:hAnsi="Arial" w:cs="Arial"/>
          <w:lang w:val="en-GB"/>
        </w:rPr>
        <w:t xml:space="preserve">In the final analysis, the well-known triad of factors to be considered consists of the crime, the </w:t>
      </w:r>
      <w:proofErr w:type="gramStart"/>
      <w:r w:rsidRPr="00430469">
        <w:rPr>
          <w:rFonts w:ascii="Arial" w:hAnsi="Arial" w:cs="Arial"/>
          <w:lang w:val="en-GB"/>
        </w:rPr>
        <w:t>offender</w:t>
      </w:r>
      <w:proofErr w:type="gramEnd"/>
      <w:r w:rsidRPr="00430469">
        <w:rPr>
          <w:rFonts w:ascii="Arial" w:hAnsi="Arial" w:cs="Arial"/>
          <w:lang w:val="en-GB"/>
        </w:rPr>
        <w:t xml:space="preserve"> and the interests of society,</w:t>
      </w:r>
      <w:r w:rsidRPr="00430469">
        <w:rPr>
          <w:rStyle w:val="FootnoteReference"/>
          <w:rFonts w:ascii="Arial" w:hAnsi="Arial" w:cs="Arial"/>
          <w:lang w:val="en-GB"/>
        </w:rPr>
        <w:footnoteReference w:id="9"/>
      </w:r>
      <w:r w:rsidRPr="00430469">
        <w:rPr>
          <w:rFonts w:ascii="Arial" w:hAnsi="Arial" w:cs="Arial"/>
          <w:lang w:val="en-GB"/>
        </w:rPr>
        <w:t xml:space="preserve"> and these factors must be applied, </w:t>
      </w:r>
      <w:r w:rsidRPr="00430469">
        <w:rPr>
          <w:rFonts w:ascii="Arial" w:hAnsi="Arial" w:cs="Arial"/>
          <w:lang w:val="en-GB"/>
        </w:rPr>
        <w:lastRenderedPageBreak/>
        <w:t xml:space="preserve">in accordance with </w:t>
      </w:r>
      <w:r w:rsidRPr="00430469">
        <w:rPr>
          <w:rFonts w:ascii="Arial" w:hAnsi="Arial" w:cs="Arial"/>
          <w:bCs/>
          <w:i/>
          <w:iCs/>
          <w:lang w:val="en-GB"/>
        </w:rPr>
        <w:t>S v Malgas</w:t>
      </w:r>
      <w:r w:rsidRPr="00430469">
        <w:rPr>
          <w:rFonts w:ascii="Arial" w:hAnsi="Arial" w:cs="Arial"/>
          <w:bCs/>
          <w:lang w:val="en-GB"/>
        </w:rPr>
        <w:t>,</w:t>
      </w:r>
      <w:r w:rsidRPr="00430469">
        <w:rPr>
          <w:rStyle w:val="FootnoteReference"/>
          <w:rFonts w:ascii="Arial" w:hAnsi="Arial" w:cs="Arial"/>
          <w:lang w:val="en-GB"/>
        </w:rPr>
        <w:footnoteReference w:id="10"/>
      </w:r>
      <w:r w:rsidRPr="00430469">
        <w:rPr>
          <w:rFonts w:ascii="Arial" w:hAnsi="Arial" w:cs="Arial"/>
          <w:lang w:val="en-GB"/>
        </w:rPr>
        <w:t xml:space="preserve"> to consider whether substantial and compelling circumstances exist to deviate from </w:t>
      </w:r>
      <w:r w:rsidR="00590025" w:rsidRPr="00430469">
        <w:rPr>
          <w:rFonts w:ascii="Arial" w:hAnsi="Arial" w:cs="Arial"/>
          <w:lang w:val="en-GB"/>
        </w:rPr>
        <w:t>any</w:t>
      </w:r>
      <w:r w:rsidRPr="00430469">
        <w:rPr>
          <w:rFonts w:ascii="Arial" w:hAnsi="Arial" w:cs="Arial"/>
          <w:lang w:val="en-GB"/>
        </w:rPr>
        <w:t xml:space="preserve"> prescribed minimum sentence.</w:t>
      </w:r>
      <w:r w:rsidRPr="00430469">
        <w:rPr>
          <w:rStyle w:val="FootnoteReference"/>
          <w:rFonts w:ascii="Arial" w:hAnsi="Arial" w:cs="Arial"/>
          <w:lang w:val="en-GB"/>
        </w:rPr>
        <w:footnoteReference w:id="11"/>
      </w:r>
      <w:r w:rsidRPr="00430469">
        <w:rPr>
          <w:rFonts w:ascii="Arial" w:hAnsi="Arial" w:cs="Arial"/>
          <w:lang w:val="en-GB"/>
        </w:rPr>
        <w:t xml:space="preserve"> In </w:t>
      </w:r>
      <w:r w:rsidRPr="00430469">
        <w:rPr>
          <w:rFonts w:ascii="Arial" w:hAnsi="Arial" w:cs="Arial"/>
          <w:bCs/>
          <w:i/>
          <w:iCs/>
          <w:lang w:val="en-GB"/>
        </w:rPr>
        <w:t xml:space="preserve">S v </w:t>
      </w:r>
      <w:proofErr w:type="spellStart"/>
      <w:r w:rsidRPr="00430469">
        <w:rPr>
          <w:rFonts w:ascii="Arial" w:hAnsi="Arial" w:cs="Arial"/>
          <w:bCs/>
          <w:i/>
          <w:iCs/>
          <w:lang w:val="en-GB"/>
        </w:rPr>
        <w:t>Matyityi</w:t>
      </w:r>
      <w:proofErr w:type="spellEnd"/>
      <w:r w:rsidRPr="00430469">
        <w:rPr>
          <w:rFonts w:ascii="Arial" w:hAnsi="Arial" w:cs="Arial"/>
          <w:bCs/>
          <w:lang w:val="en-GB"/>
        </w:rPr>
        <w:t>,</w:t>
      </w:r>
      <w:r w:rsidRPr="00430469">
        <w:rPr>
          <w:rStyle w:val="FootnoteReference"/>
          <w:rFonts w:ascii="Arial" w:hAnsi="Arial" w:cs="Arial"/>
          <w:lang w:val="en-GB"/>
        </w:rPr>
        <w:footnoteReference w:id="12"/>
      </w:r>
      <w:r w:rsidRPr="00430469">
        <w:rPr>
          <w:rFonts w:ascii="Arial" w:hAnsi="Arial" w:cs="Arial"/>
          <w:lang w:val="en-GB"/>
        </w:rPr>
        <w:t xml:space="preserve"> Ponnan JA held that Parliament:</w:t>
      </w:r>
    </w:p>
    <w:p w14:paraId="4DB405D3" w14:textId="77777777" w:rsidR="006D5AF1" w:rsidRPr="006D5AF1" w:rsidRDefault="006D5AF1" w:rsidP="00262A0A">
      <w:pPr>
        <w:spacing w:line="360" w:lineRule="auto"/>
        <w:jc w:val="both"/>
        <w:rPr>
          <w:rFonts w:ascii="Arial" w:hAnsi="Arial" w:cs="Arial"/>
          <w:lang w:val="en-GB"/>
        </w:rPr>
      </w:pPr>
    </w:p>
    <w:p w14:paraId="7DDBDE04" w14:textId="5379EAA3" w:rsidR="0072544F" w:rsidRPr="0072544F" w:rsidRDefault="00DD257D" w:rsidP="00262A0A">
      <w:pPr>
        <w:pStyle w:val="ListParagraph"/>
        <w:spacing w:line="360" w:lineRule="auto"/>
        <w:ind w:left="0" w:right="-52"/>
        <w:jc w:val="both"/>
        <w:rPr>
          <w:rFonts w:ascii="Arial" w:hAnsi="Arial" w:cs="Arial"/>
          <w:sz w:val="22"/>
          <w:szCs w:val="22"/>
          <w:lang w:val="en-GB"/>
        </w:rPr>
      </w:pPr>
      <w:r w:rsidRPr="00430469">
        <w:rPr>
          <w:rFonts w:ascii="Arial" w:hAnsi="Arial" w:cs="Arial"/>
          <w:sz w:val="22"/>
          <w:szCs w:val="22"/>
          <w:lang w:val="en-GB"/>
        </w:rPr>
        <w:t>‘…has ordained minimum sentences for certain specified offences. Courts are obliged to impose those sentences unless there are truly convincing reasons for departing from them. Courts are not free to subvert the will of the legislature by resort to vague, ill-defined concepts…and ill-founded hypotheses that appear to fit the particular sentencing officer’s personal notion of fairness. Predictable outcomes, not outcomes based on the whim of an individual judicial officer, [are] foundational to the rule of law which lies at the heart of our constitutional order’.</w:t>
      </w:r>
    </w:p>
    <w:p w14:paraId="394D5D7D" w14:textId="1F8AC77A" w:rsidR="00C82EDD" w:rsidRPr="00430469" w:rsidRDefault="00C82EDD" w:rsidP="00262A0A">
      <w:pPr>
        <w:spacing w:line="360" w:lineRule="auto"/>
        <w:ind w:right="89"/>
        <w:jc w:val="both"/>
        <w:rPr>
          <w:rFonts w:ascii="Arial" w:hAnsi="Arial" w:cs="Arial"/>
          <w:lang w:val="en-GB"/>
        </w:rPr>
      </w:pPr>
    </w:p>
    <w:p w14:paraId="7123843D" w14:textId="19CE11BA" w:rsidR="00F74D71" w:rsidRPr="000268C3" w:rsidRDefault="00F74D71" w:rsidP="00262A0A">
      <w:pPr>
        <w:spacing w:line="360" w:lineRule="auto"/>
        <w:rPr>
          <w:rFonts w:ascii="Arial" w:hAnsi="Arial" w:cs="Arial"/>
          <w:b/>
          <w:bCs/>
          <w:lang w:val="en-GB"/>
        </w:rPr>
      </w:pPr>
      <w:r w:rsidRPr="000268C3">
        <w:rPr>
          <w:rFonts w:ascii="Arial" w:hAnsi="Arial" w:cs="Arial"/>
          <w:b/>
          <w:bCs/>
          <w:lang w:val="en-GB"/>
        </w:rPr>
        <w:t>Nature of the crime and surrounding</w:t>
      </w:r>
      <w:r w:rsidR="0043536A" w:rsidRPr="000268C3">
        <w:rPr>
          <w:rFonts w:ascii="Arial" w:hAnsi="Arial" w:cs="Arial"/>
          <w:b/>
          <w:bCs/>
          <w:lang w:val="en-GB"/>
        </w:rPr>
        <w:t xml:space="preserve"> circumstances</w:t>
      </w:r>
      <w:r w:rsidRPr="000268C3">
        <w:rPr>
          <w:rFonts w:ascii="Arial" w:hAnsi="Arial" w:cs="Arial"/>
          <w:b/>
          <w:bCs/>
          <w:lang w:val="en-GB"/>
        </w:rPr>
        <w:t xml:space="preserve"> </w:t>
      </w:r>
    </w:p>
    <w:p w14:paraId="4FC26F76" w14:textId="77777777" w:rsidR="00F1112A" w:rsidRPr="00430469" w:rsidRDefault="00F1112A" w:rsidP="00262A0A">
      <w:pPr>
        <w:spacing w:line="360" w:lineRule="auto"/>
        <w:jc w:val="both"/>
        <w:rPr>
          <w:rFonts w:ascii="Arial" w:hAnsi="Arial" w:cs="Arial"/>
          <w:lang w:val="en-GB"/>
        </w:rPr>
      </w:pPr>
    </w:p>
    <w:p w14:paraId="2BD25058" w14:textId="77777777" w:rsidR="00E132B9" w:rsidRDefault="00E132B9" w:rsidP="00262A0A">
      <w:pPr>
        <w:pStyle w:val="ListParagraph"/>
        <w:numPr>
          <w:ilvl w:val="0"/>
          <w:numId w:val="1"/>
        </w:numPr>
        <w:spacing w:line="360" w:lineRule="auto"/>
        <w:ind w:left="0" w:firstLine="0"/>
        <w:jc w:val="both"/>
        <w:rPr>
          <w:rFonts w:ascii="Arial" w:hAnsi="Arial" w:cs="Arial"/>
          <w:lang w:val="en-GB"/>
        </w:rPr>
      </w:pPr>
      <w:r>
        <w:rPr>
          <w:rFonts w:ascii="Arial" w:hAnsi="Arial" w:cs="Arial"/>
          <w:lang w:val="en-GB"/>
        </w:rPr>
        <w:t xml:space="preserve">Mr </w:t>
      </w:r>
      <w:proofErr w:type="spellStart"/>
      <w:r>
        <w:rPr>
          <w:rFonts w:ascii="Arial" w:hAnsi="Arial" w:cs="Arial"/>
          <w:lang w:val="en-GB"/>
        </w:rPr>
        <w:t>Ntakatsane</w:t>
      </w:r>
      <w:proofErr w:type="spellEnd"/>
      <w:r>
        <w:rPr>
          <w:rFonts w:ascii="Arial" w:hAnsi="Arial" w:cs="Arial"/>
          <w:lang w:val="en-GB"/>
        </w:rPr>
        <w:t xml:space="preserve"> raped both ‘NN’ and ‘AN’, the complainants in counts 1 and 2, aged 14 and 15 at the time respectively, at his dwelling on 25 August 2018. This after they had been threatened with a knife and forced to accompany him to a bridge, where he inserted his fingers into their vaginas, and then to his dwelling. </w:t>
      </w:r>
    </w:p>
    <w:p w14:paraId="3E610FD8" w14:textId="77777777" w:rsidR="00E132B9" w:rsidRPr="00AD6742" w:rsidRDefault="00E132B9" w:rsidP="00262A0A">
      <w:pPr>
        <w:pStyle w:val="ListParagraph"/>
        <w:ind w:left="0"/>
        <w:rPr>
          <w:rFonts w:ascii="Arial" w:hAnsi="Arial" w:cs="Arial"/>
          <w:lang w:val="en-GB"/>
        </w:rPr>
      </w:pPr>
    </w:p>
    <w:p w14:paraId="2CA99D13" w14:textId="77777777" w:rsidR="00E132B9" w:rsidRDefault="00E132B9" w:rsidP="00262A0A">
      <w:pPr>
        <w:pStyle w:val="ListParagraph"/>
        <w:numPr>
          <w:ilvl w:val="0"/>
          <w:numId w:val="1"/>
        </w:numPr>
        <w:spacing w:line="360" w:lineRule="auto"/>
        <w:ind w:left="0" w:firstLine="0"/>
        <w:jc w:val="both"/>
        <w:rPr>
          <w:rFonts w:ascii="Arial" w:hAnsi="Arial" w:cs="Arial"/>
          <w:lang w:val="en-GB"/>
        </w:rPr>
      </w:pPr>
      <w:r>
        <w:rPr>
          <w:rFonts w:ascii="Arial" w:hAnsi="Arial" w:cs="Arial"/>
          <w:lang w:val="en-GB"/>
        </w:rPr>
        <w:t xml:space="preserve">Mr </w:t>
      </w:r>
      <w:proofErr w:type="spellStart"/>
      <w:r>
        <w:rPr>
          <w:rFonts w:ascii="Arial" w:hAnsi="Arial" w:cs="Arial"/>
          <w:lang w:val="en-GB"/>
        </w:rPr>
        <w:t>Ntakatsane</w:t>
      </w:r>
      <w:proofErr w:type="spellEnd"/>
      <w:r>
        <w:rPr>
          <w:rFonts w:ascii="Arial" w:hAnsi="Arial" w:cs="Arial"/>
          <w:lang w:val="en-GB"/>
        </w:rPr>
        <w:t xml:space="preserve"> pleaded not guilty to those counts, and guilty to a third count of rape, involving ‘ND’, an adult woman, for which he was convicted. On the accepted facts contained in his statement in terms of s 112(2) of the Criminal Procedure Act, 1977, Mr </w:t>
      </w:r>
      <w:proofErr w:type="spellStart"/>
      <w:r>
        <w:rPr>
          <w:rFonts w:ascii="Arial" w:hAnsi="Arial" w:cs="Arial"/>
          <w:lang w:val="en-GB"/>
        </w:rPr>
        <w:t>Ntakatsane</w:t>
      </w:r>
      <w:proofErr w:type="spellEnd"/>
      <w:r>
        <w:rPr>
          <w:rFonts w:ascii="Arial" w:hAnsi="Arial" w:cs="Arial"/>
          <w:lang w:val="en-GB"/>
        </w:rPr>
        <w:t xml:space="preserve"> had been drinking with his brother and the complainant at a tavern and at his brother’s dwelling on 27 October 2018. The complainant and the brother slept on the bed while he slept on a chair in the room. Mr </w:t>
      </w:r>
      <w:proofErr w:type="spellStart"/>
      <w:r>
        <w:rPr>
          <w:rFonts w:ascii="Arial" w:hAnsi="Arial" w:cs="Arial"/>
          <w:lang w:val="en-GB"/>
        </w:rPr>
        <w:t>Ntakatsane</w:t>
      </w:r>
      <w:proofErr w:type="spellEnd"/>
      <w:r>
        <w:rPr>
          <w:rFonts w:ascii="Arial" w:hAnsi="Arial" w:cs="Arial"/>
          <w:lang w:val="en-GB"/>
        </w:rPr>
        <w:t xml:space="preserve"> awoke and observed that the complainant’s dress was pulled up and he observed that she was not wearing a panty. Overcome with sexual desire, he proceeded to rape her, while his brother continued sleeping. </w:t>
      </w:r>
    </w:p>
    <w:p w14:paraId="3A008571" w14:textId="77777777" w:rsidR="004919ED" w:rsidRPr="00E132B9" w:rsidRDefault="004919ED" w:rsidP="00262A0A">
      <w:pPr>
        <w:spacing w:line="360" w:lineRule="auto"/>
        <w:rPr>
          <w:rFonts w:ascii="Arial" w:hAnsi="Arial" w:cs="Arial"/>
          <w:lang w:val="en-GB"/>
        </w:rPr>
      </w:pPr>
    </w:p>
    <w:p w14:paraId="4C7B2B33" w14:textId="3A69A57C" w:rsidR="006B7F5D" w:rsidRDefault="004919ED" w:rsidP="00262A0A">
      <w:pPr>
        <w:pStyle w:val="ListParagraph"/>
        <w:numPr>
          <w:ilvl w:val="0"/>
          <w:numId w:val="1"/>
        </w:numPr>
        <w:spacing w:line="360" w:lineRule="auto"/>
        <w:ind w:left="0" w:firstLine="0"/>
        <w:jc w:val="both"/>
        <w:rPr>
          <w:rFonts w:ascii="Arial" w:hAnsi="Arial" w:cs="Arial"/>
          <w:lang w:val="en-GB"/>
        </w:rPr>
      </w:pPr>
      <w:r w:rsidRPr="00E132B9">
        <w:rPr>
          <w:rFonts w:ascii="Arial" w:hAnsi="Arial" w:cs="Arial"/>
          <w:lang w:val="en-GB"/>
        </w:rPr>
        <w:lastRenderedPageBreak/>
        <w:t>As part of consideration of an appropriate sentence, it is also important to consider the eff</w:t>
      </w:r>
      <w:r w:rsidR="00A866A5" w:rsidRPr="00E132B9">
        <w:rPr>
          <w:rFonts w:ascii="Arial" w:hAnsi="Arial" w:cs="Arial"/>
          <w:lang w:val="en-GB"/>
        </w:rPr>
        <w:t>ect of the crimes on the victim</w:t>
      </w:r>
      <w:r w:rsidR="00902782" w:rsidRPr="00E132B9">
        <w:rPr>
          <w:rFonts w:ascii="Arial" w:hAnsi="Arial" w:cs="Arial"/>
          <w:lang w:val="en-GB"/>
        </w:rPr>
        <w:t>, particularly in cases of gender-based violence</w:t>
      </w:r>
      <w:r w:rsidR="00A866A5" w:rsidRPr="00E132B9">
        <w:rPr>
          <w:rFonts w:ascii="Arial" w:hAnsi="Arial" w:cs="Arial"/>
          <w:lang w:val="en-GB"/>
        </w:rPr>
        <w:t>.</w:t>
      </w:r>
      <w:r w:rsidR="00804937">
        <w:rPr>
          <w:rStyle w:val="FootnoteReference"/>
          <w:rFonts w:ascii="Arial" w:hAnsi="Arial" w:cs="Arial"/>
          <w:lang w:val="en-GB"/>
        </w:rPr>
        <w:footnoteReference w:id="13"/>
      </w:r>
      <w:r w:rsidR="00694A57" w:rsidRPr="00E132B9">
        <w:rPr>
          <w:rFonts w:ascii="Arial" w:hAnsi="Arial" w:cs="Arial"/>
          <w:lang w:val="en-GB"/>
        </w:rPr>
        <w:t xml:space="preserve"> </w:t>
      </w:r>
      <w:r w:rsidR="00E132B9">
        <w:rPr>
          <w:rFonts w:ascii="Arial" w:hAnsi="Arial" w:cs="Arial"/>
          <w:lang w:val="en-GB"/>
        </w:rPr>
        <w:t>In the case of the complainant in count 1, a psychological assessment report</w:t>
      </w:r>
      <w:r w:rsidR="00E92093">
        <w:rPr>
          <w:rFonts w:ascii="Arial" w:hAnsi="Arial" w:cs="Arial"/>
          <w:lang w:val="en-GB"/>
        </w:rPr>
        <w:t>, dated 7 August 2023 and</w:t>
      </w:r>
      <w:r w:rsidR="00E132B9">
        <w:rPr>
          <w:rFonts w:ascii="Arial" w:hAnsi="Arial" w:cs="Arial"/>
          <w:lang w:val="en-GB"/>
        </w:rPr>
        <w:t xml:space="preserve"> accepted into evidence</w:t>
      </w:r>
      <w:r w:rsidR="00E92093">
        <w:rPr>
          <w:rFonts w:ascii="Arial" w:hAnsi="Arial" w:cs="Arial"/>
          <w:lang w:val="en-GB"/>
        </w:rPr>
        <w:t>,</w:t>
      </w:r>
      <w:r w:rsidR="00E132B9">
        <w:rPr>
          <w:rFonts w:ascii="Arial" w:hAnsi="Arial" w:cs="Arial"/>
          <w:lang w:val="en-GB"/>
        </w:rPr>
        <w:t xml:space="preserve"> confirms that the complainant endured ‘significant emotional effects as well as psychological distress</w:t>
      </w:r>
      <w:r w:rsidR="00262A0A">
        <w:rPr>
          <w:rFonts w:ascii="Arial" w:hAnsi="Arial" w:cs="Arial"/>
          <w:lang w:val="en-GB"/>
        </w:rPr>
        <w:t>’</w:t>
      </w:r>
      <w:r w:rsidR="00E132B9">
        <w:rPr>
          <w:rFonts w:ascii="Arial" w:hAnsi="Arial" w:cs="Arial"/>
          <w:lang w:val="en-GB"/>
        </w:rPr>
        <w:t xml:space="preserve"> from her rape, requiring psychiatric and psychological intervention once her mental state has stabilised.</w:t>
      </w:r>
    </w:p>
    <w:p w14:paraId="4231D7E7" w14:textId="77777777" w:rsidR="00E132B9" w:rsidRPr="00E132B9" w:rsidRDefault="00E132B9" w:rsidP="00262A0A">
      <w:pPr>
        <w:pStyle w:val="ListParagraph"/>
        <w:ind w:left="0"/>
        <w:rPr>
          <w:rFonts w:ascii="Arial" w:hAnsi="Arial" w:cs="Arial"/>
          <w:lang w:val="en-GB"/>
        </w:rPr>
      </w:pPr>
    </w:p>
    <w:p w14:paraId="45AE1393" w14:textId="49F1B91E" w:rsidR="00E132B9" w:rsidRDefault="00E92093" w:rsidP="00262A0A">
      <w:pPr>
        <w:pStyle w:val="ListParagraph"/>
        <w:numPr>
          <w:ilvl w:val="0"/>
          <w:numId w:val="1"/>
        </w:numPr>
        <w:spacing w:line="360" w:lineRule="auto"/>
        <w:ind w:left="0" w:firstLine="0"/>
        <w:jc w:val="both"/>
        <w:rPr>
          <w:rFonts w:ascii="Arial" w:hAnsi="Arial" w:cs="Arial"/>
          <w:lang w:val="en-GB"/>
        </w:rPr>
      </w:pPr>
      <w:r>
        <w:rPr>
          <w:rFonts w:ascii="Arial" w:hAnsi="Arial" w:cs="Arial"/>
          <w:lang w:val="en-GB"/>
        </w:rPr>
        <w:t xml:space="preserve">The complainant in count 2, who is now 20 years of age, underwent psychological assessment on 5 September 2023. </w:t>
      </w:r>
      <w:r w:rsidR="000274FF">
        <w:rPr>
          <w:rFonts w:ascii="Arial" w:hAnsi="Arial" w:cs="Arial"/>
          <w:lang w:val="en-GB"/>
        </w:rPr>
        <w:t>The clinical psychologist who examined her confirms that she ‘has endured significant emotional duress’ from her rape, now presenting with a pattern of symptoms that are consistent with the emotional effects of trauma. That report concludes that she may benefit from a psychological intervention in order to assist her to process the impact of her rape, and to learn adaptive ways of coping.</w:t>
      </w:r>
    </w:p>
    <w:p w14:paraId="6F4F040B" w14:textId="77777777" w:rsidR="00E92093" w:rsidRPr="003974D3" w:rsidRDefault="00E92093" w:rsidP="00262A0A">
      <w:pPr>
        <w:spacing w:line="360" w:lineRule="auto"/>
        <w:jc w:val="both"/>
        <w:rPr>
          <w:rFonts w:ascii="Arial" w:hAnsi="Arial" w:cs="Arial"/>
          <w:lang w:val="en-GB"/>
        </w:rPr>
      </w:pPr>
    </w:p>
    <w:p w14:paraId="0B7B7ED0" w14:textId="142E31BF" w:rsidR="006B7F5D" w:rsidRPr="000268C3" w:rsidRDefault="003974D3" w:rsidP="00262A0A">
      <w:pPr>
        <w:spacing w:line="360" w:lineRule="auto"/>
        <w:rPr>
          <w:rFonts w:ascii="Arial" w:hAnsi="Arial" w:cs="Arial"/>
          <w:b/>
          <w:bCs/>
          <w:lang w:val="en-GB"/>
        </w:rPr>
      </w:pPr>
      <w:r w:rsidRPr="000268C3">
        <w:rPr>
          <w:rFonts w:ascii="Arial" w:hAnsi="Arial" w:cs="Arial"/>
          <w:b/>
          <w:bCs/>
          <w:lang w:val="en-GB"/>
        </w:rPr>
        <w:t xml:space="preserve">Mr </w:t>
      </w:r>
      <w:proofErr w:type="spellStart"/>
      <w:r w:rsidRPr="000268C3">
        <w:rPr>
          <w:rFonts w:ascii="Arial" w:hAnsi="Arial" w:cs="Arial"/>
          <w:b/>
          <w:bCs/>
          <w:lang w:val="en-GB"/>
        </w:rPr>
        <w:t>Ntakatsane’s</w:t>
      </w:r>
      <w:proofErr w:type="spellEnd"/>
      <w:r w:rsidR="006B7F5D" w:rsidRPr="000268C3">
        <w:rPr>
          <w:rFonts w:ascii="Arial" w:hAnsi="Arial" w:cs="Arial"/>
          <w:b/>
          <w:bCs/>
          <w:lang w:val="en-GB"/>
        </w:rPr>
        <w:t xml:space="preserve"> circumstances and interests</w:t>
      </w:r>
    </w:p>
    <w:p w14:paraId="104BEEA9" w14:textId="77777777" w:rsidR="006B7F5D" w:rsidRPr="006B7F5D" w:rsidRDefault="006B7F5D" w:rsidP="00262A0A">
      <w:pPr>
        <w:spacing w:line="360" w:lineRule="auto"/>
        <w:rPr>
          <w:rFonts w:ascii="Arial" w:hAnsi="Arial" w:cs="Arial"/>
          <w:b/>
          <w:bCs/>
          <w:lang w:val="en-GB"/>
        </w:rPr>
      </w:pPr>
    </w:p>
    <w:p w14:paraId="4DEA41CE" w14:textId="2EEB5633" w:rsidR="000F55A8" w:rsidRDefault="00744357" w:rsidP="00262A0A">
      <w:pPr>
        <w:pStyle w:val="ListParagraph"/>
        <w:numPr>
          <w:ilvl w:val="0"/>
          <w:numId w:val="1"/>
        </w:numPr>
        <w:spacing w:line="360" w:lineRule="auto"/>
        <w:ind w:left="0" w:firstLine="0"/>
        <w:jc w:val="both"/>
        <w:rPr>
          <w:rFonts w:ascii="Arial" w:hAnsi="Arial" w:cs="Arial"/>
          <w:lang w:val="en-GB"/>
        </w:rPr>
      </w:pPr>
      <w:r>
        <w:rPr>
          <w:rFonts w:ascii="Arial" w:hAnsi="Arial" w:cs="Arial"/>
          <w:lang w:val="en-GB"/>
        </w:rPr>
        <w:t xml:space="preserve">Mr </w:t>
      </w:r>
      <w:proofErr w:type="spellStart"/>
      <w:r>
        <w:rPr>
          <w:rFonts w:ascii="Arial" w:hAnsi="Arial" w:cs="Arial"/>
          <w:lang w:val="en-GB"/>
        </w:rPr>
        <w:t>Ntakatsane</w:t>
      </w:r>
      <w:proofErr w:type="spellEnd"/>
      <w:r w:rsidR="006B7F5D">
        <w:rPr>
          <w:rFonts w:ascii="Arial" w:hAnsi="Arial" w:cs="Arial"/>
          <w:lang w:val="en-GB"/>
        </w:rPr>
        <w:t xml:space="preserve"> chose not to testify in mitigation of sentence. His counsel explained </w:t>
      </w:r>
      <w:r w:rsidR="001635EE">
        <w:rPr>
          <w:rFonts w:ascii="Arial" w:hAnsi="Arial" w:cs="Arial"/>
          <w:lang w:val="en-GB"/>
        </w:rPr>
        <w:t xml:space="preserve">that he was 23 years old at the time of the commission of the offences. His highest level of education was grade 9. He had two minor children, aged 8 and 9, and his girlfriend was pregnant. Given that it appears as if he does not have a good relationship with the mother of the children, it may be accepted that he is not a feature of their lives. </w:t>
      </w:r>
      <w:r w:rsidR="000F55A8">
        <w:rPr>
          <w:rFonts w:ascii="Arial" w:hAnsi="Arial" w:cs="Arial"/>
          <w:lang w:val="en-GB"/>
        </w:rPr>
        <w:t xml:space="preserve">Mr </w:t>
      </w:r>
      <w:proofErr w:type="spellStart"/>
      <w:r w:rsidR="000F55A8">
        <w:rPr>
          <w:rFonts w:ascii="Arial" w:hAnsi="Arial" w:cs="Arial"/>
          <w:lang w:val="en-GB"/>
        </w:rPr>
        <w:t>Ntakatsane</w:t>
      </w:r>
      <w:proofErr w:type="spellEnd"/>
      <w:r w:rsidR="000F55A8">
        <w:rPr>
          <w:rFonts w:ascii="Arial" w:hAnsi="Arial" w:cs="Arial"/>
          <w:lang w:val="en-GB"/>
        </w:rPr>
        <w:t xml:space="preserve"> survived on contract construction </w:t>
      </w:r>
      <w:proofErr w:type="gramStart"/>
      <w:r w:rsidR="000F55A8">
        <w:rPr>
          <w:rFonts w:ascii="Arial" w:hAnsi="Arial" w:cs="Arial"/>
          <w:lang w:val="en-GB"/>
        </w:rPr>
        <w:t>work</w:t>
      </w:r>
      <w:proofErr w:type="gramEnd"/>
      <w:r w:rsidR="000F55A8">
        <w:rPr>
          <w:rFonts w:ascii="Arial" w:hAnsi="Arial" w:cs="Arial"/>
          <w:lang w:val="en-GB"/>
        </w:rPr>
        <w:t xml:space="preserve"> and he had no permanent employment at the time of the offences. The main points advanced in his favour was that he had no previous convictions at the time of the commission of the offences, and that he had pleaded guilty in respect of count 3. </w:t>
      </w:r>
    </w:p>
    <w:p w14:paraId="7D2FBBF8" w14:textId="77777777" w:rsidR="00262A0A" w:rsidRPr="00430469" w:rsidRDefault="00262A0A" w:rsidP="00262A0A">
      <w:pPr>
        <w:spacing w:line="360" w:lineRule="auto"/>
        <w:rPr>
          <w:rFonts w:ascii="Arial" w:hAnsi="Arial" w:cs="Arial"/>
          <w:lang w:val="en-GB"/>
        </w:rPr>
      </w:pPr>
    </w:p>
    <w:p w14:paraId="5C23774F" w14:textId="47D17A19" w:rsidR="0043536A" w:rsidRPr="000268C3" w:rsidRDefault="0043536A" w:rsidP="00262A0A">
      <w:pPr>
        <w:spacing w:line="360" w:lineRule="auto"/>
        <w:rPr>
          <w:rFonts w:ascii="Arial" w:hAnsi="Arial" w:cs="Arial"/>
          <w:b/>
          <w:bCs/>
          <w:lang w:val="en-GB"/>
        </w:rPr>
      </w:pPr>
      <w:r w:rsidRPr="000268C3">
        <w:rPr>
          <w:rFonts w:ascii="Arial" w:hAnsi="Arial" w:cs="Arial"/>
          <w:b/>
          <w:bCs/>
          <w:lang w:val="en-GB"/>
        </w:rPr>
        <w:t>The interests of society</w:t>
      </w:r>
    </w:p>
    <w:p w14:paraId="37A2D948" w14:textId="77777777" w:rsidR="006E2001" w:rsidRPr="00430469" w:rsidRDefault="006E2001" w:rsidP="00262A0A">
      <w:pPr>
        <w:spacing w:line="360" w:lineRule="auto"/>
        <w:jc w:val="both"/>
        <w:rPr>
          <w:rFonts w:ascii="Arial" w:hAnsi="Arial" w:cs="Arial"/>
          <w:lang w:val="en-GB"/>
        </w:rPr>
      </w:pPr>
    </w:p>
    <w:p w14:paraId="4FAA7538" w14:textId="4E210693" w:rsidR="006E2001" w:rsidRDefault="006E2001" w:rsidP="00262A0A">
      <w:pPr>
        <w:pStyle w:val="ListParagraph"/>
        <w:numPr>
          <w:ilvl w:val="0"/>
          <w:numId w:val="1"/>
        </w:numPr>
        <w:spacing w:line="360" w:lineRule="auto"/>
        <w:ind w:left="0" w:firstLine="0"/>
        <w:jc w:val="both"/>
        <w:rPr>
          <w:rFonts w:ascii="Arial" w:hAnsi="Arial" w:cs="Arial"/>
          <w:lang w:val="en-GB"/>
        </w:rPr>
      </w:pPr>
      <w:r w:rsidRPr="00430469">
        <w:rPr>
          <w:rFonts w:ascii="Arial" w:hAnsi="Arial" w:cs="Arial"/>
          <w:lang w:val="en-GB"/>
        </w:rPr>
        <w:t xml:space="preserve">Courts have repeatedly reflected on the horrific nature of the offence of rape, given that it constitutes a humiliating, degrading and brutal invasion of the privacy, </w:t>
      </w:r>
      <w:proofErr w:type="gramStart"/>
      <w:r w:rsidRPr="00430469">
        <w:rPr>
          <w:rFonts w:ascii="Arial" w:hAnsi="Arial" w:cs="Arial"/>
          <w:lang w:val="en-GB"/>
        </w:rPr>
        <w:lastRenderedPageBreak/>
        <w:t>dignity</w:t>
      </w:r>
      <w:proofErr w:type="gramEnd"/>
      <w:r w:rsidRPr="00430469">
        <w:rPr>
          <w:rFonts w:ascii="Arial" w:hAnsi="Arial" w:cs="Arial"/>
          <w:lang w:val="en-GB"/>
        </w:rPr>
        <w:t xml:space="preserve"> and person of the victim. As such, it has been accepted that the crime deserves severe punishment.</w:t>
      </w:r>
      <w:r w:rsidRPr="00430469">
        <w:rPr>
          <w:rStyle w:val="FootnoteReference"/>
          <w:rFonts w:ascii="Arial" w:hAnsi="Arial" w:cs="Arial"/>
          <w:lang w:val="en-GB"/>
        </w:rPr>
        <w:footnoteReference w:id="14"/>
      </w:r>
      <w:r w:rsidRPr="00430469">
        <w:rPr>
          <w:rFonts w:ascii="Arial" w:hAnsi="Arial" w:cs="Arial"/>
          <w:lang w:val="en-GB"/>
        </w:rPr>
        <w:t xml:space="preserve"> As the court held in </w:t>
      </w:r>
      <w:r w:rsidRPr="00430469">
        <w:rPr>
          <w:rFonts w:ascii="Arial" w:hAnsi="Arial" w:cs="Arial"/>
          <w:i/>
          <w:iCs/>
          <w:lang w:val="en-GB"/>
        </w:rPr>
        <w:t xml:space="preserve">S v </w:t>
      </w:r>
      <w:proofErr w:type="spellStart"/>
      <w:r w:rsidRPr="00430469">
        <w:rPr>
          <w:rFonts w:ascii="Arial" w:hAnsi="Arial" w:cs="Arial"/>
          <w:i/>
          <w:iCs/>
          <w:lang w:val="en-GB"/>
        </w:rPr>
        <w:t>Ncheche</w:t>
      </w:r>
      <w:proofErr w:type="spellEnd"/>
      <w:r w:rsidRPr="00430469">
        <w:rPr>
          <w:rFonts w:ascii="Arial" w:hAnsi="Arial" w:cs="Arial"/>
          <w:lang w:val="en-GB"/>
        </w:rPr>
        <w:t>:</w:t>
      </w:r>
      <w:r w:rsidRPr="00430469">
        <w:rPr>
          <w:rStyle w:val="FootnoteReference"/>
          <w:rFonts w:ascii="Arial" w:hAnsi="Arial" w:cs="Arial"/>
          <w:lang w:val="en-GB"/>
        </w:rPr>
        <w:footnoteReference w:id="15"/>
      </w:r>
    </w:p>
    <w:p w14:paraId="64061802" w14:textId="77777777" w:rsidR="00943FAD" w:rsidRPr="00430469" w:rsidRDefault="00943FAD" w:rsidP="00262A0A">
      <w:pPr>
        <w:pStyle w:val="ListParagraph"/>
        <w:spacing w:line="360" w:lineRule="auto"/>
        <w:ind w:left="0"/>
        <w:jc w:val="both"/>
        <w:rPr>
          <w:rFonts w:ascii="Arial" w:hAnsi="Arial" w:cs="Arial"/>
          <w:lang w:val="en-GB"/>
        </w:rPr>
      </w:pPr>
    </w:p>
    <w:p w14:paraId="595FB464" w14:textId="77A99B57" w:rsidR="006E2001" w:rsidRPr="00430469" w:rsidRDefault="006E2001" w:rsidP="00262A0A">
      <w:pPr>
        <w:spacing w:line="360" w:lineRule="auto"/>
        <w:jc w:val="both"/>
        <w:rPr>
          <w:rFonts w:ascii="Arial" w:hAnsi="Arial" w:cs="Arial"/>
          <w:sz w:val="22"/>
          <w:szCs w:val="22"/>
          <w:lang w:val="en-GB"/>
        </w:rPr>
      </w:pPr>
      <w:r w:rsidRPr="00430469">
        <w:rPr>
          <w:rFonts w:ascii="Arial" w:hAnsi="Arial" w:cs="Arial"/>
          <w:sz w:val="22"/>
          <w:szCs w:val="22"/>
          <w:lang w:val="en-GB"/>
        </w:rPr>
        <w:t>‘A woman’s body is sacrosanct and anyone who violates it does so at his peril and our Legislature, and the community at large, correctly expects of our courts to punish rapists severely.’</w:t>
      </w:r>
    </w:p>
    <w:p w14:paraId="40B94062" w14:textId="77777777" w:rsidR="00CF4FCE" w:rsidRPr="00430469" w:rsidRDefault="00CF4FCE" w:rsidP="00262A0A">
      <w:pPr>
        <w:spacing w:line="360" w:lineRule="auto"/>
        <w:ind w:right="-52"/>
        <w:jc w:val="both"/>
        <w:rPr>
          <w:rFonts w:ascii="Arial" w:hAnsi="Arial" w:cs="Arial"/>
          <w:sz w:val="22"/>
          <w:szCs w:val="22"/>
          <w:lang w:val="en-GB"/>
        </w:rPr>
      </w:pPr>
    </w:p>
    <w:p w14:paraId="3A6E63E0" w14:textId="55D6D7F5" w:rsidR="00824EDE" w:rsidRDefault="00960910" w:rsidP="00262A0A">
      <w:pPr>
        <w:pStyle w:val="ListParagraph"/>
        <w:numPr>
          <w:ilvl w:val="0"/>
          <w:numId w:val="1"/>
        </w:numPr>
        <w:spacing w:line="360" w:lineRule="auto"/>
        <w:ind w:left="0" w:right="-52" w:firstLine="0"/>
        <w:jc w:val="both"/>
        <w:rPr>
          <w:rFonts w:ascii="Arial" w:hAnsi="Arial" w:cs="Arial"/>
          <w:lang w:val="en-GB"/>
        </w:rPr>
      </w:pPr>
      <w:r w:rsidRPr="007F51C5">
        <w:rPr>
          <w:rFonts w:ascii="Arial" w:hAnsi="Arial" w:cs="Arial"/>
          <w:lang w:val="en-GB"/>
        </w:rPr>
        <w:t xml:space="preserve">In </w:t>
      </w:r>
      <w:r w:rsidRPr="007F51C5">
        <w:rPr>
          <w:rFonts w:ascii="Arial" w:hAnsi="Arial" w:cs="Arial"/>
          <w:i/>
          <w:iCs/>
          <w:lang w:val="en-GB"/>
        </w:rPr>
        <w:t>S v Vilakazi</w:t>
      </w:r>
      <w:r w:rsidRPr="007F51C5">
        <w:rPr>
          <w:rFonts w:ascii="Arial" w:hAnsi="Arial" w:cs="Arial"/>
          <w:lang w:val="en-GB"/>
        </w:rPr>
        <w:t>,</w:t>
      </w:r>
      <w:r w:rsidRPr="00430469">
        <w:rPr>
          <w:rStyle w:val="FootnoteReference"/>
          <w:rFonts w:ascii="Arial" w:hAnsi="Arial" w:cs="Arial"/>
          <w:lang w:val="en-GB"/>
        </w:rPr>
        <w:footnoteReference w:id="16"/>
      </w:r>
      <w:r w:rsidRPr="007F51C5">
        <w:rPr>
          <w:rFonts w:ascii="Arial" w:hAnsi="Arial" w:cs="Arial"/>
          <w:lang w:val="en-GB"/>
        </w:rPr>
        <w:t xml:space="preserve"> the Supreme Court of Appeal confirmed that rape is a repulsive crime. </w:t>
      </w:r>
      <w:r w:rsidR="00561370" w:rsidRPr="007F51C5">
        <w:rPr>
          <w:rFonts w:ascii="Arial" w:hAnsi="Arial" w:cs="Arial"/>
          <w:lang w:val="en-GB"/>
        </w:rPr>
        <w:t>Society expects that the scourge of gender-based violence</w:t>
      </w:r>
      <w:r w:rsidR="00AA5CD9" w:rsidRPr="007F51C5">
        <w:rPr>
          <w:rFonts w:ascii="Arial" w:hAnsi="Arial" w:cs="Arial"/>
          <w:lang w:val="en-GB"/>
        </w:rPr>
        <w:t xml:space="preserve"> must be addressed and must cease. </w:t>
      </w:r>
      <w:r w:rsidR="007F51C5">
        <w:rPr>
          <w:rFonts w:ascii="Arial" w:hAnsi="Arial" w:cs="Arial"/>
          <w:lang w:val="en-GB"/>
        </w:rPr>
        <w:t xml:space="preserve">In addition, children’s rights are constitutionally protected, and rape of </w:t>
      </w:r>
      <w:r w:rsidR="00677FA3">
        <w:rPr>
          <w:rFonts w:ascii="Arial" w:hAnsi="Arial" w:cs="Arial"/>
          <w:lang w:val="en-GB"/>
        </w:rPr>
        <w:t>a child</w:t>
      </w:r>
      <w:r w:rsidR="007F51C5">
        <w:rPr>
          <w:rFonts w:ascii="Arial" w:hAnsi="Arial" w:cs="Arial"/>
          <w:lang w:val="en-GB"/>
        </w:rPr>
        <w:t xml:space="preserve"> is by its nature one of the worst kinds of offences imaginable. </w:t>
      </w:r>
    </w:p>
    <w:p w14:paraId="64A9FBF2" w14:textId="77777777" w:rsidR="007F51C5" w:rsidRPr="007F51C5" w:rsidRDefault="007F51C5" w:rsidP="00262A0A">
      <w:pPr>
        <w:pStyle w:val="ListParagraph"/>
        <w:spacing w:line="360" w:lineRule="auto"/>
        <w:ind w:left="0" w:right="-52"/>
        <w:jc w:val="both"/>
        <w:rPr>
          <w:rFonts w:ascii="Arial" w:hAnsi="Arial" w:cs="Arial"/>
          <w:lang w:val="en-GB"/>
        </w:rPr>
      </w:pPr>
    </w:p>
    <w:p w14:paraId="44B3CA9C" w14:textId="1CD25761" w:rsidR="00027791" w:rsidRDefault="00824EDE" w:rsidP="00262A0A">
      <w:pPr>
        <w:pStyle w:val="ListParagraph"/>
        <w:numPr>
          <w:ilvl w:val="0"/>
          <w:numId w:val="1"/>
        </w:numPr>
        <w:spacing w:line="360" w:lineRule="auto"/>
        <w:ind w:left="0" w:right="-52" w:firstLine="0"/>
        <w:jc w:val="both"/>
        <w:rPr>
          <w:rFonts w:ascii="Arial" w:hAnsi="Arial" w:cs="Arial"/>
          <w:lang w:val="en-GB"/>
        </w:rPr>
      </w:pPr>
      <w:r w:rsidRPr="00DF4CF7">
        <w:rPr>
          <w:rFonts w:ascii="Arial" w:hAnsi="Arial" w:cs="Arial"/>
          <w:lang w:val="en-GB"/>
        </w:rPr>
        <w:t xml:space="preserve">Society’s opprobrium has translated into the Minimum Sentences Act, which by way of a prescribed, albeit discretionary minimum sentence regime, has drastically impacted upon the exercise of a court’s discretion in imposing </w:t>
      </w:r>
      <w:r w:rsidR="00DE7D6A" w:rsidRPr="00DF4CF7">
        <w:rPr>
          <w:rFonts w:ascii="Arial" w:hAnsi="Arial" w:cs="Arial"/>
          <w:lang w:val="en-GB"/>
        </w:rPr>
        <w:t xml:space="preserve">a </w:t>
      </w:r>
      <w:r w:rsidRPr="00DF4CF7">
        <w:rPr>
          <w:rFonts w:ascii="Arial" w:hAnsi="Arial" w:cs="Arial"/>
          <w:lang w:val="en-GB"/>
        </w:rPr>
        <w:t>sentence.</w:t>
      </w:r>
      <w:r w:rsidRPr="00430469">
        <w:rPr>
          <w:rStyle w:val="FootnoteReference"/>
          <w:rFonts w:ascii="Arial" w:hAnsi="Arial" w:cs="Arial"/>
          <w:lang w:val="en-GB"/>
        </w:rPr>
        <w:footnoteReference w:id="17"/>
      </w:r>
      <w:r w:rsidR="00363797" w:rsidRPr="00DF4CF7">
        <w:rPr>
          <w:rFonts w:ascii="Arial" w:hAnsi="Arial" w:cs="Arial"/>
          <w:lang w:val="en-GB"/>
        </w:rPr>
        <w:t xml:space="preserve"> </w:t>
      </w:r>
      <w:r w:rsidR="00B119F0" w:rsidRPr="00DF4CF7">
        <w:rPr>
          <w:rFonts w:ascii="Arial" w:hAnsi="Arial" w:cs="Arial"/>
          <w:lang w:val="en-GB"/>
        </w:rPr>
        <w:t xml:space="preserve">Mr </w:t>
      </w:r>
      <w:proofErr w:type="spellStart"/>
      <w:r w:rsidR="00B119F0" w:rsidRPr="00DF4CF7">
        <w:rPr>
          <w:rFonts w:ascii="Arial" w:hAnsi="Arial" w:cs="Arial"/>
          <w:lang w:val="en-GB"/>
        </w:rPr>
        <w:t>Ntakatsane’s</w:t>
      </w:r>
      <w:proofErr w:type="spellEnd"/>
      <w:r w:rsidR="00BE21A0" w:rsidRPr="00DF4CF7">
        <w:rPr>
          <w:rFonts w:ascii="Arial" w:hAnsi="Arial" w:cs="Arial"/>
          <w:lang w:val="en-GB"/>
        </w:rPr>
        <w:t xml:space="preserve"> conduct has been found to fall within the purview of this Act. </w:t>
      </w:r>
      <w:r w:rsidR="00363797" w:rsidRPr="00DF4CF7">
        <w:rPr>
          <w:rFonts w:ascii="Arial" w:hAnsi="Arial" w:cs="Arial"/>
          <w:lang w:val="en-GB"/>
        </w:rPr>
        <w:t xml:space="preserve">A court should not for ‘flimsy reasons’ and ‘speculative hypotheses favourable to the offender’ deviate from the minimum sentence </w:t>
      </w:r>
      <w:proofErr w:type="gramStart"/>
      <w:r w:rsidR="00363797" w:rsidRPr="00DF4CF7">
        <w:rPr>
          <w:rFonts w:ascii="Arial" w:hAnsi="Arial" w:cs="Arial"/>
          <w:lang w:val="en-GB"/>
        </w:rPr>
        <w:t>prescribed</w:t>
      </w:r>
      <w:r w:rsidR="00697D92" w:rsidRPr="00DF4CF7">
        <w:rPr>
          <w:rFonts w:ascii="Arial" w:hAnsi="Arial" w:cs="Arial"/>
          <w:lang w:val="en-GB"/>
        </w:rPr>
        <w:t>,</w:t>
      </w:r>
      <w:r w:rsidR="00896983">
        <w:rPr>
          <w:rFonts w:ascii="Arial" w:hAnsi="Arial" w:cs="Arial"/>
          <w:lang w:val="en-GB"/>
        </w:rPr>
        <w:t xml:space="preserve"> </w:t>
      </w:r>
      <w:r w:rsidR="00697D92" w:rsidRPr="00DF4CF7">
        <w:rPr>
          <w:rFonts w:ascii="Arial" w:hAnsi="Arial" w:cs="Arial"/>
          <w:lang w:val="en-GB"/>
        </w:rPr>
        <w:t>or</w:t>
      </w:r>
      <w:proofErr w:type="gramEnd"/>
      <w:r w:rsidR="00697D92" w:rsidRPr="00DF4CF7">
        <w:rPr>
          <w:rFonts w:ascii="Arial" w:hAnsi="Arial" w:cs="Arial"/>
          <w:lang w:val="en-GB"/>
        </w:rPr>
        <w:t xml:space="preserve"> apply their personal notion of fairness.</w:t>
      </w:r>
      <w:r w:rsidR="00363797" w:rsidRPr="00430469">
        <w:rPr>
          <w:rStyle w:val="FootnoteReference"/>
          <w:rFonts w:ascii="Arial" w:hAnsi="Arial" w:cs="Arial"/>
          <w:lang w:val="en-GB"/>
        </w:rPr>
        <w:footnoteReference w:id="18"/>
      </w:r>
      <w:r w:rsidR="00697D92" w:rsidRPr="00DF4CF7">
        <w:rPr>
          <w:rFonts w:ascii="Arial" w:hAnsi="Arial" w:cs="Arial"/>
          <w:lang w:val="en-GB"/>
        </w:rPr>
        <w:t xml:space="preserve"> </w:t>
      </w:r>
    </w:p>
    <w:p w14:paraId="320DBADD" w14:textId="77777777" w:rsidR="00DF4CF7" w:rsidRPr="00DF4CF7" w:rsidRDefault="00DF4CF7" w:rsidP="00262A0A">
      <w:pPr>
        <w:spacing w:line="360" w:lineRule="auto"/>
        <w:ind w:right="-52"/>
        <w:jc w:val="both"/>
        <w:rPr>
          <w:rFonts w:ascii="Arial" w:hAnsi="Arial" w:cs="Arial"/>
          <w:lang w:val="en-GB"/>
        </w:rPr>
      </w:pPr>
    </w:p>
    <w:p w14:paraId="68AF0616" w14:textId="35F6FEFC" w:rsidR="005870B4" w:rsidRPr="000268C3" w:rsidRDefault="005870B4" w:rsidP="00262A0A">
      <w:pPr>
        <w:spacing w:line="360" w:lineRule="auto"/>
        <w:ind w:right="-52"/>
        <w:jc w:val="both"/>
        <w:rPr>
          <w:rFonts w:ascii="Arial" w:hAnsi="Arial" w:cs="Arial"/>
          <w:b/>
          <w:bCs/>
          <w:lang w:val="en-GB"/>
        </w:rPr>
      </w:pPr>
      <w:r w:rsidRPr="000268C3">
        <w:rPr>
          <w:rFonts w:ascii="Arial" w:hAnsi="Arial" w:cs="Arial"/>
          <w:b/>
          <w:bCs/>
          <w:lang w:val="en-GB"/>
        </w:rPr>
        <w:t>Analysis</w:t>
      </w:r>
    </w:p>
    <w:p w14:paraId="5FA0D3E0" w14:textId="77777777" w:rsidR="005870B4" w:rsidRPr="00430469" w:rsidRDefault="005870B4" w:rsidP="00262A0A">
      <w:pPr>
        <w:spacing w:line="360" w:lineRule="auto"/>
        <w:ind w:right="-52"/>
        <w:jc w:val="both"/>
        <w:rPr>
          <w:rFonts w:ascii="Arial" w:hAnsi="Arial" w:cs="Arial"/>
          <w:b/>
          <w:bCs/>
          <w:lang w:val="en-GB"/>
        </w:rPr>
      </w:pPr>
    </w:p>
    <w:p w14:paraId="119606C5" w14:textId="470FC133" w:rsidR="00943FAD" w:rsidRPr="00DF4CF7" w:rsidRDefault="00943FAD" w:rsidP="00262A0A">
      <w:pPr>
        <w:pStyle w:val="ListParagraph"/>
        <w:numPr>
          <w:ilvl w:val="0"/>
          <w:numId w:val="1"/>
        </w:numPr>
        <w:spacing w:line="360" w:lineRule="auto"/>
        <w:ind w:left="0" w:right="-52" w:firstLine="0"/>
        <w:jc w:val="both"/>
        <w:rPr>
          <w:rFonts w:ascii="Arial" w:hAnsi="Arial" w:cs="Arial"/>
          <w:lang w:val="en-GB"/>
        </w:rPr>
      </w:pPr>
      <w:r>
        <w:rPr>
          <w:rFonts w:ascii="Arial" w:hAnsi="Arial" w:cs="Arial"/>
          <w:lang w:val="en-GB"/>
        </w:rPr>
        <w:t xml:space="preserve">Mr </w:t>
      </w:r>
      <w:proofErr w:type="spellStart"/>
      <w:r>
        <w:rPr>
          <w:rFonts w:ascii="Arial" w:hAnsi="Arial" w:cs="Arial"/>
          <w:i/>
          <w:iCs/>
          <w:lang w:val="en-GB"/>
        </w:rPr>
        <w:t>Sojada</w:t>
      </w:r>
      <w:proofErr w:type="spellEnd"/>
      <w:r>
        <w:rPr>
          <w:rFonts w:ascii="Arial" w:hAnsi="Arial" w:cs="Arial"/>
          <w:lang w:val="en-GB"/>
        </w:rPr>
        <w:t xml:space="preserve"> emphasised that a sentence of life imprisonment was the ultimate </w:t>
      </w:r>
      <w:proofErr w:type="gramStart"/>
      <w:r>
        <w:rPr>
          <w:rFonts w:ascii="Arial" w:hAnsi="Arial" w:cs="Arial"/>
          <w:lang w:val="en-GB"/>
        </w:rPr>
        <w:t>punishment, and</w:t>
      </w:r>
      <w:proofErr w:type="gramEnd"/>
      <w:r>
        <w:rPr>
          <w:rFonts w:ascii="Arial" w:hAnsi="Arial" w:cs="Arial"/>
          <w:lang w:val="en-GB"/>
        </w:rPr>
        <w:t xml:space="preserve"> referred to two instances from some 20 years ago where life imprisonment had not been imposed despite convictions for rape. For present purposes it may be noted that those cases are distinguishable for various reasons. To </w:t>
      </w:r>
      <w:r>
        <w:rPr>
          <w:rFonts w:ascii="Arial" w:hAnsi="Arial" w:cs="Arial"/>
          <w:lang w:val="en-GB"/>
        </w:rPr>
        <w:lastRenderedPageBreak/>
        <w:t xml:space="preserve">cite one example, in </w:t>
      </w:r>
      <w:r>
        <w:rPr>
          <w:rFonts w:ascii="Arial" w:hAnsi="Arial" w:cs="Arial"/>
          <w:i/>
          <w:iCs/>
          <w:lang w:val="en-GB"/>
        </w:rPr>
        <w:t>S v Abrahams</w:t>
      </w:r>
      <w:r w:rsidRPr="000F55A8">
        <w:rPr>
          <w:rStyle w:val="FootnoteReference"/>
          <w:rFonts w:ascii="Arial" w:hAnsi="Arial" w:cs="Arial"/>
          <w:lang w:val="en-GB"/>
        </w:rPr>
        <w:footnoteReference w:id="19"/>
      </w:r>
      <w:r>
        <w:rPr>
          <w:rFonts w:ascii="Arial" w:hAnsi="Arial" w:cs="Arial"/>
          <w:lang w:val="en-GB"/>
        </w:rPr>
        <w:t xml:space="preserve"> the victim had been the perpetrator’s daughter, and one of the main reasons for a finding of substantial and compelling circumstances was the downward spiral that the perpetrator had experienced following his son’s suicide. </w:t>
      </w:r>
      <w:r w:rsidR="00DF4CF7">
        <w:rPr>
          <w:rFonts w:ascii="Arial" w:hAnsi="Arial" w:cs="Arial"/>
          <w:lang w:val="en-GB"/>
        </w:rPr>
        <w:t>The question remains whether there are substantial and compelling reasons to justify a lesser sentence than the minimum sentence prescribed.</w:t>
      </w:r>
    </w:p>
    <w:p w14:paraId="1D2FCEE6" w14:textId="77777777" w:rsidR="00943FAD" w:rsidRDefault="00943FAD" w:rsidP="00262A0A">
      <w:pPr>
        <w:pStyle w:val="ListParagraph"/>
        <w:spacing w:line="360" w:lineRule="auto"/>
        <w:ind w:left="0"/>
        <w:jc w:val="both"/>
        <w:rPr>
          <w:rFonts w:ascii="Arial" w:hAnsi="Arial" w:cs="Arial"/>
          <w:lang w:val="en-GB"/>
        </w:rPr>
      </w:pPr>
    </w:p>
    <w:p w14:paraId="5161F371" w14:textId="55CB3018" w:rsidR="005870B4" w:rsidRPr="00430469" w:rsidRDefault="005870B4" w:rsidP="00262A0A">
      <w:pPr>
        <w:pStyle w:val="ListParagraph"/>
        <w:numPr>
          <w:ilvl w:val="0"/>
          <w:numId w:val="1"/>
        </w:numPr>
        <w:spacing w:line="360" w:lineRule="auto"/>
        <w:ind w:left="0" w:right="-52" w:firstLine="0"/>
        <w:jc w:val="both"/>
        <w:rPr>
          <w:rFonts w:ascii="Arial" w:hAnsi="Arial" w:cs="Arial"/>
          <w:lang w:val="en-GB"/>
        </w:rPr>
      </w:pPr>
      <w:r w:rsidRPr="00430469">
        <w:rPr>
          <w:rFonts w:ascii="Arial" w:hAnsi="Arial" w:cs="Arial"/>
          <w:lang w:val="en-GB"/>
        </w:rPr>
        <w:t xml:space="preserve">This court is duty bound to consider </w:t>
      </w:r>
      <w:r w:rsidR="00C236C7">
        <w:rPr>
          <w:rFonts w:ascii="Arial" w:hAnsi="Arial" w:cs="Arial"/>
          <w:lang w:val="en-GB"/>
        </w:rPr>
        <w:t xml:space="preserve">Mr </w:t>
      </w:r>
      <w:proofErr w:type="spellStart"/>
      <w:r w:rsidR="00C236C7">
        <w:rPr>
          <w:rFonts w:ascii="Arial" w:hAnsi="Arial" w:cs="Arial"/>
          <w:lang w:val="en-GB"/>
        </w:rPr>
        <w:t>Ntakatsane’s</w:t>
      </w:r>
      <w:proofErr w:type="spellEnd"/>
      <w:r w:rsidRPr="00430469">
        <w:rPr>
          <w:rFonts w:ascii="Arial" w:hAnsi="Arial" w:cs="Arial"/>
          <w:lang w:val="en-GB"/>
        </w:rPr>
        <w:t xml:space="preserve"> personal circumstances</w:t>
      </w:r>
      <w:r w:rsidR="00D835C2">
        <w:rPr>
          <w:rFonts w:ascii="Arial" w:hAnsi="Arial" w:cs="Arial"/>
          <w:lang w:val="en-GB"/>
        </w:rPr>
        <w:t>.</w:t>
      </w:r>
      <w:r w:rsidRPr="00430469">
        <w:rPr>
          <w:rFonts w:ascii="Arial" w:hAnsi="Arial" w:cs="Arial"/>
          <w:lang w:val="en-GB"/>
        </w:rPr>
        <w:t xml:space="preserve"> </w:t>
      </w:r>
      <w:r w:rsidR="00AD781D" w:rsidRPr="00430469">
        <w:rPr>
          <w:rFonts w:ascii="Arial" w:hAnsi="Arial" w:cs="Arial"/>
          <w:lang w:val="en-GB"/>
        </w:rPr>
        <w:t>The nature of the crime must also be considered, together with the interests of society, seasoned with a measure of mercy</w:t>
      </w:r>
      <w:r w:rsidR="00B12A52" w:rsidRPr="00430469">
        <w:rPr>
          <w:rFonts w:ascii="Arial" w:hAnsi="Arial" w:cs="Arial"/>
          <w:lang w:val="en-GB"/>
        </w:rPr>
        <w:t xml:space="preserve"> and bearing in mind the various purposes of punishment</w:t>
      </w:r>
      <w:r w:rsidR="00AB048D" w:rsidRPr="00430469">
        <w:rPr>
          <w:rFonts w:ascii="Arial" w:hAnsi="Arial" w:cs="Arial"/>
          <w:lang w:val="en-GB"/>
        </w:rPr>
        <w:t xml:space="preserve">, including prevention, retribution, </w:t>
      </w:r>
      <w:proofErr w:type="gramStart"/>
      <w:r w:rsidR="00AB048D" w:rsidRPr="00430469">
        <w:rPr>
          <w:rFonts w:ascii="Arial" w:hAnsi="Arial" w:cs="Arial"/>
          <w:lang w:val="en-GB"/>
        </w:rPr>
        <w:t>rehabilitation</w:t>
      </w:r>
      <w:proofErr w:type="gramEnd"/>
      <w:r w:rsidR="00AB048D" w:rsidRPr="00430469">
        <w:rPr>
          <w:rFonts w:ascii="Arial" w:hAnsi="Arial" w:cs="Arial"/>
          <w:lang w:val="en-GB"/>
        </w:rPr>
        <w:t xml:space="preserve"> and deterrence.</w:t>
      </w:r>
      <w:r w:rsidR="00B153B4" w:rsidRPr="00430469">
        <w:rPr>
          <w:rStyle w:val="FootnoteReference"/>
          <w:rFonts w:ascii="Arial" w:hAnsi="Arial" w:cs="Arial"/>
          <w:lang w:val="en-GB"/>
        </w:rPr>
        <w:footnoteReference w:id="20"/>
      </w:r>
      <w:r w:rsidR="00430469" w:rsidRPr="00430469">
        <w:rPr>
          <w:rFonts w:ascii="Arial" w:hAnsi="Arial" w:cs="Arial"/>
          <w:lang w:val="en-GB"/>
        </w:rPr>
        <w:t xml:space="preserve"> </w:t>
      </w:r>
      <w:r w:rsidR="00AD0A51">
        <w:rPr>
          <w:rFonts w:ascii="Arial" w:hAnsi="Arial" w:cs="Arial"/>
          <w:lang w:val="en-GB"/>
        </w:rPr>
        <w:t xml:space="preserve">The impact of the offences on the lives of the complainants in counts 1 and 2 </w:t>
      </w:r>
      <w:r w:rsidR="00486B4B">
        <w:rPr>
          <w:rFonts w:ascii="Arial" w:hAnsi="Arial" w:cs="Arial"/>
          <w:lang w:val="en-GB"/>
        </w:rPr>
        <w:t>is a further consideration</w:t>
      </w:r>
      <w:r w:rsidR="00AD0A51">
        <w:rPr>
          <w:rFonts w:ascii="Arial" w:hAnsi="Arial" w:cs="Arial"/>
          <w:lang w:val="en-GB"/>
        </w:rPr>
        <w:t xml:space="preserve">. </w:t>
      </w:r>
      <w:r w:rsidR="00F949F6">
        <w:rPr>
          <w:rFonts w:ascii="Arial" w:hAnsi="Arial" w:cs="Arial"/>
          <w:lang w:val="en-GB"/>
        </w:rPr>
        <w:t>They were young and vulnerable and were subjected to threats with a knife, as well as a prolonged ordeal</w:t>
      </w:r>
      <w:r w:rsidR="0070073F">
        <w:rPr>
          <w:rFonts w:ascii="Arial" w:hAnsi="Arial" w:cs="Arial"/>
          <w:lang w:val="en-GB"/>
        </w:rPr>
        <w:t xml:space="preserve"> as they were forced to accompany Mr </w:t>
      </w:r>
      <w:proofErr w:type="spellStart"/>
      <w:r w:rsidR="0070073F">
        <w:rPr>
          <w:rFonts w:ascii="Arial" w:hAnsi="Arial" w:cs="Arial"/>
          <w:lang w:val="en-GB"/>
        </w:rPr>
        <w:t>Ntakatsane</w:t>
      </w:r>
      <w:proofErr w:type="spellEnd"/>
      <w:r w:rsidR="0070073F">
        <w:rPr>
          <w:rFonts w:ascii="Arial" w:hAnsi="Arial" w:cs="Arial"/>
          <w:lang w:val="en-GB"/>
        </w:rPr>
        <w:t xml:space="preserve"> first to the bridge and then to his home</w:t>
      </w:r>
      <w:r w:rsidR="003364EB">
        <w:rPr>
          <w:rFonts w:ascii="Arial" w:hAnsi="Arial" w:cs="Arial"/>
          <w:lang w:val="en-GB"/>
        </w:rPr>
        <w:t>, where they were raped before managing to escape while he slept</w:t>
      </w:r>
      <w:r w:rsidR="00F949F6">
        <w:rPr>
          <w:rFonts w:ascii="Arial" w:hAnsi="Arial" w:cs="Arial"/>
          <w:lang w:val="en-GB"/>
        </w:rPr>
        <w:t xml:space="preserve">. </w:t>
      </w:r>
      <w:r w:rsidR="00D36AA0">
        <w:rPr>
          <w:rFonts w:ascii="Arial" w:hAnsi="Arial" w:cs="Arial"/>
          <w:lang w:val="en-GB"/>
        </w:rPr>
        <w:t>A</w:t>
      </w:r>
      <w:r w:rsidR="00430469">
        <w:rPr>
          <w:rFonts w:ascii="Arial" w:hAnsi="Arial" w:cs="Arial"/>
          <w:lang w:val="en-GB"/>
        </w:rPr>
        <w:t xml:space="preserve">ll the circumstances of the case </w:t>
      </w:r>
      <w:r w:rsidR="00D36AA0">
        <w:rPr>
          <w:rFonts w:ascii="Arial" w:hAnsi="Arial" w:cs="Arial"/>
          <w:lang w:val="en-GB"/>
        </w:rPr>
        <w:t>must be considered to</w:t>
      </w:r>
      <w:r w:rsidR="00430469">
        <w:rPr>
          <w:rFonts w:ascii="Arial" w:hAnsi="Arial" w:cs="Arial"/>
          <w:lang w:val="en-GB"/>
        </w:rPr>
        <w:t xml:space="preserve"> determine whether the imposition of a minimum sentence is proportionate to the particular offence.</w:t>
      </w:r>
      <w:r w:rsidR="00430469">
        <w:rPr>
          <w:rStyle w:val="FootnoteReference"/>
          <w:rFonts w:ascii="Arial" w:hAnsi="Arial" w:cs="Arial"/>
          <w:lang w:val="en-GB"/>
        </w:rPr>
        <w:footnoteReference w:id="21"/>
      </w:r>
    </w:p>
    <w:p w14:paraId="4A432C33" w14:textId="77777777" w:rsidR="003268BE" w:rsidRPr="00430469" w:rsidRDefault="003268BE" w:rsidP="00262A0A">
      <w:pPr>
        <w:pStyle w:val="ListParagraph"/>
        <w:spacing w:line="360" w:lineRule="auto"/>
        <w:ind w:left="0" w:right="-52"/>
        <w:jc w:val="both"/>
        <w:rPr>
          <w:rFonts w:ascii="Arial" w:hAnsi="Arial" w:cs="Arial"/>
          <w:lang w:val="en-GB"/>
        </w:rPr>
      </w:pPr>
    </w:p>
    <w:p w14:paraId="0D248B39" w14:textId="4F75FD56" w:rsidR="00245071" w:rsidRDefault="003268BE" w:rsidP="00262A0A">
      <w:pPr>
        <w:pStyle w:val="ListParagraph"/>
        <w:numPr>
          <w:ilvl w:val="0"/>
          <w:numId w:val="1"/>
        </w:numPr>
        <w:spacing w:line="360" w:lineRule="auto"/>
        <w:ind w:left="0" w:right="-52" w:firstLine="0"/>
        <w:jc w:val="both"/>
        <w:rPr>
          <w:rFonts w:ascii="Arial" w:hAnsi="Arial" w:cs="Arial"/>
          <w:lang w:val="en-GB"/>
        </w:rPr>
      </w:pPr>
      <w:r w:rsidRPr="00486B4B">
        <w:rPr>
          <w:rFonts w:ascii="Arial" w:hAnsi="Arial" w:cs="Arial"/>
          <w:lang w:val="en-GB"/>
        </w:rPr>
        <w:t xml:space="preserve">The factors relied upon by </w:t>
      </w:r>
      <w:r w:rsidR="00AD0A51" w:rsidRPr="00486B4B">
        <w:rPr>
          <w:rFonts w:ascii="Arial" w:hAnsi="Arial" w:cs="Arial"/>
          <w:lang w:val="en-GB"/>
        </w:rPr>
        <w:t xml:space="preserve">Mr </w:t>
      </w:r>
      <w:proofErr w:type="spellStart"/>
      <w:r w:rsidR="00AD0A51" w:rsidRPr="00486B4B">
        <w:rPr>
          <w:rFonts w:ascii="Arial" w:hAnsi="Arial" w:cs="Arial"/>
          <w:lang w:val="en-GB"/>
        </w:rPr>
        <w:t>Ntakatsane</w:t>
      </w:r>
      <w:proofErr w:type="spellEnd"/>
      <w:r w:rsidRPr="00486B4B">
        <w:rPr>
          <w:rFonts w:ascii="Arial" w:hAnsi="Arial" w:cs="Arial"/>
          <w:lang w:val="en-GB"/>
        </w:rPr>
        <w:t xml:space="preserve"> as substantial and compelling have been considered in their totality. The </w:t>
      </w:r>
      <w:r w:rsidR="00AD0A51" w:rsidRPr="00486B4B">
        <w:rPr>
          <w:rFonts w:ascii="Arial" w:hAnsi="Arial" w:cs="Arial"/>
          <w:lang w:val="en-GB"/>
        </w:rPr>
        <w:t>only real</w:t>
      </w:r>
      <w:r w:rsidRPr="00486B4B">
        <w:rPr>
          <w:rFonts w:ascii="Arial" w:hAnsi="Arial" w:cs="Arial"/>
          <w:lang w:val="en-GB"/>
        </w:rPr>
        <w:t xml:space="preserve"> factor in his favour </w:t>
      </w:r>
      <w:r w:rsidR="00ED7D7C" w:rsidRPr="00486B4B">
        <w:rPr>
          <w:rFonts w:ascii="Arial" w:hAnsi="Arial" w:cs="Arial"/>
          <w:lang w:val="en-GB"/>
        </w:rPr>
        <w:t>is</w:t>
      </w:r>
      <w:r w:rsidRPr="00486B4B">
        <w:rPr>
          <w:rFonts w:ascii="Arial" w:hAnsi="Arial" w:cs="Arial"/>
          <w:lang w:val="en-GB"/>
        </w:rPr>
        <w:t xml:space="preserve"> that he </w:t>
      </w:r>
      <w:r w:rsidR="00AD0A51" w:rsidRPr="00486B4B">
        <w:rPr>
          <w:rFonts w:ascii="Arial" w:hAnsi="Arial" w:cs="Arial"/>
          <w:lang w:val="en-GB"/>
        </w:rPr>
        <w:t>is considered</w:t>
      </w:r>
      <w:r w:rsidRPr="00486B4B">
        <w:rPr>
          <w:rFonts w:ascii="Arial" w:hAnsi="Arial" w:cs="Arial"/>
          <w:lang w:val="en-GB"/>
        </w:rPr>
        <w:t xml:space="preserve"> a first offender</w:t>
      </w:r>
      <w:r w:rsidR="00AD0A51" w:rsidRPr="00486B4B">
        <w:rPr>
          <w:rFonts w:ascii="Arial" w:hAnsi="Arial" w:cs="Arial"/>
          <w:lang w:val="en-GB"/>
        </w:rPr>
        <w:t xml:space="preserve"> for purposes of sentencing</w:t>
      </w:r>
      <w:r w:rsidR="00566CFF" w:rsidRPr="00486B4B">
        <w:rPr>
          <w:rFonts w:ascii="Arial" w:hAnsi="Arial" w:cs="Arial"/>
          <w:lang w:val="en-GB"/>
        </w:rPr>
        <w:t xml:space="preserve">. </w:t>
      </w:r>
      <w:r w:rsidR="000270AA" w:rsidRPr="00486B4B">
        <w:rPr>
          <w:rFonts w:ascii="Arial" w:hAnsi="Arial" w:cs="Arial"/>
          <w:lang w:val="en-GB"/>
        </w:rPr>
        <w:t xml:space="preserve">The </w:t>
      </w:r>
      <w:r w:rsidR="00AD0A51" w:rsidRPr="00486B4B">
        <w:rPr>
          <w:rFonts w:ascii="Arial" w:hAnsi="Arial" w:cs="Arial"/>
          <w:lang w:val="en-GB"/>
        </w:rPr>
        <w:t>remainder of his personal circumstances</w:t>
      </w:r>
      <w:r w:rsidR="000270AA" w:rsidRPr="00486B4B">
        <w:rPr>
          <w:rFonts w:ascii="Arial" w:hAnsi="Arial" w:cs="Arial"/>
          <w:lang w:val="en-GB"/>
        </w:rPr>
        <w:t xml:space="preserve"> carry less weight when given proper consideration</w:t>
      </w:r>
      <w:r w:rsidR="003C7068" w:rsidRPr="00486B4B">
        <w:rPr>
          <w:rFonts w:ascii="Arial" w:hAnsi="Arial" w:cs="Arial"/>
          <w:lang w:val="en-GB"/>
        </w:rPr>
        <w:t>.</w:t>
      </w:r>
      <w:r w:rsidR="00ED7D7C" w:rsidRPr="00486B4B">
        <w:rPr>
          <w:rFonts w:ascii="Arial" w:hAnsi="Arial" w:cs="Arial"/>
          <w:lang w:val="en-GB"/>
        </w:rPr>
        <w:t xml:space="preserve"> </w:t>
      </w:r>
      <w:r w:rsidR="00AD0A51" w:rsidRPr="00486B4B">
        <w:rPr>
          <w:rFonts w:ascii="Arial" w:hAnsi="Arial" w:cs="Arial"/>
          <w:lang w:val="en-GB"/>
        </w:rPr>
        <w:t>It is not unusual that he was unemployed and a person with a low level of education</w:t>
      </w:r>
      <w:r w:rsidR="008D3775">
        <w:rPr>
          <w:rFonts w:ascii="Arial" w:hAnsi="Arial" w:cs="Arial"/>
          <w:lang w:val="en-GB"/>
        </w:rPr>
        <w:t>, or that he had consumed liquor prior to committing the offences</w:t>
      </w:r>
      <w:r w:rsidR="00AD0A51" w:rsidRPr="00486B4B">
        <w:rPr>
          <w:rFonts w:ascii="Arial" w:hAnsi="Arial" w:cs="Arial"/>
          <w:lang w:val="en-GB"/>
        </w:rPr>
        <w:t xml:space="preserve">. He has shown no remorse </w:t>
      </w:r>
      <w:proofErr w:type="gramStart"/>
      <w:r w:rsidR="00AD0A51" w:rsidRPr="00486B4B">
        <w:rPr>
          <w:rFonts w:ascii="Arial" w:hAnsi="Arial" w:cs="Arial"/>
          <w:lang w:val="en-GB"/>
        </w:rPr>
        <w:t>whatsoever, but</w:t>
      </w:r>
      <w:proofErr w:type="gramEnd"/>
      <w:r w:rsidR="00AD0A51" w:rsidRPr="00486B4B">
        <w:rPr>
          <w:rFonts w:ascii="Arial" w:hAnsi="Arial" w:cs="Arial"/>
          <w:lang w:val="en-GB"/>
        </w:rPr>
        <w:t xml:space="preserve"> did plead guilty to the offence in count 3, thereby shortening proceedings and avoiding the need for the complainant to testify. </w:t>
      </w:r>
      <w:proofErr w:type="gramStart"/>
      <w:r w:rsidR="00114D7A">
        <w:rPr>
          <w:rFonts w:ascii="Arial" w:hAnsi="Arial" w:cs="Arial"/>
          <w:lang w:val="en-GB"/>
        </w:rPr>
        <w:t>AN</w:t>
      </w:r>
      <w:proofErr w:type="gramEnd"/>
      <w:r w:rsidR="00114D7A">
        <w:rPr>
          <w:rFonts w:ascii="Arial" w:hAnsi="Arial" w:cs="Arial"/>
          <w:lang w:val="en-GB"/>
        </w:rPr>
        <w:t xml:space="preserve"> was required to testify and NN was unable to do so.</w:t>
      </w:r>
    </w:p>
    <w:p w14:paraId="53AB57DA" w14:textId="77777777" w:rsidR="0025193F" w:rsidRPr="0025193F" w:rsidRDefault="0025193F" w:rsidP="00262A0A">
      <w:pPr>
        <w:pStyle w:val="ListParagraph"/>
        <w:ind w:left="0"/>
        <w:rPr>
          <w:rFonts w:ascii="Arial" w:hAnsi="Arial" w:cs="Arial"/>
          <w:lang w:val="en-GB"/>
        </w:rPr>
      </w:pPr>
    </w:p>
    <w:p w14:paraId="633DC494" w14:textId="2B4B07FD" w:rsidR="0025193F" w:rsidRDefault="0025193F" w:rsidP="00262A0A">
      <w:pPr>
        <w:pStyle w:val="ListParagraph"/>
        <w:numPr>
          <w:ilvl w:val="0"/>
          <w:numId w:val="1"/>
        </w:numPr>
        <w:spacing w:line="360" w:lineRule="auto"/>
        <w:ind w:left="0" w:right="-52" w:firstLine="0"/>
        <w:jc w:val="both"/>
        <w:rPr>
          <w:rFonts w:ascii="Arial" w:hAnsi="Arial" w:cs="Arial"/>
          <w:lang w:val="en-GB"/>
        </w:rPr>
      </w:pPr>
      <w:r>
        <w:rPr>
          <w:rFonts w:ascii="Arial" w:hAnsi="Arial" w:cs="Arial"/>
          <w:lang w:val="en-GB"/>
        </w:rPr>
        <w:t xml:space="preserve">What stands out is that the incident involving counts 1 and 2 was </w:t>
      </w:r>
      <w:r w:rsidR="00DD2879">
        <w:rPr>
          <w:rFonts w:ascii="Arial" w:hAnsi="Arial" w:cs="Arial"/>
          <w:lang w:val="en-GB"/>
        </w:rPr>
        <w:t>braze</w:t>
      </w:r>
      <w:r w:rsidR="00262A0A">
        <w:rPr>
          <w:rFonts w:ascii="Arial" w:hAnsi="Arial" w:cs="Arial"/>
          <w:lang w:val="en-GB"/>
        </w:rPr>
        <w:t>n</w:t>
      </w:r>
      <w:r w:rsidR="00DD2879">
        <w:rPr>
          <w:rFonts w:ascii="Arial" w:hAnsi="Arial" w:cs="Arial"/>
          <w:lang w:val="en-GB"/>
        </w:rPr>
        <w:t>, involving the rape of one child in the presence of another.</w:t>
      </w:r>
      <w:r>
        <w:rPr>
          <w:rFonts w:ascii="Arial" w:hAnsi="Arial" w:cs="Arial"/>
          <w:lang w:val="en-GB"/>
        </w:rPr>
        <w:t xml:space="preserve"> </w:t>
      </w:r>
      <w:r w:rsidR="00DD2879">
        <w:rPr>
          <w:rFonts w:ascii="Arial" w:hAnsi="Arial" w:cs="Arial"/>
          <w:lang w:val="en-GB"/>
        </w:rPr>
        <w:t xml:space="preserve">This </w:t>
      </w:r>
      <w:r>
        <w:rPr>
          <w:rFonts w:ascii="Arial" w:hAnsi="Arial" w:cs="Arial"/>
          <w:lang w:val="en-GB"/>
        </w:rPr>
        <w:t xml:space="preserve">was followed </w:t>
      </w:r>
      <w:r w:rsidR="00700204">
        <w:rPr>
          <w:rFonts w:ascii="Arial" w:hAnsi="Arial" w:cs="Arial"/>
          <w:lang w:val="en-GB"/>
        </w:rPr>
        <w:t>a mere</w:t>
      </w:r>
      <w:r>
        <w:rPr>
          <w:rFonts w:ascii="Arial" w:hAnsi="Arial" w:cs="Arial"/>
          <w:lang w:val="en-GB"/>
        </w:rPr>
        <w:t xml:space="preserve"> eight weeks later with a further instance of rape in arguably even more shameless </w:t>
      </w:r>
      <w:r>
        <w:rPr>
          <w:rFonts w:ascii="Arial" w:hAnsi="Arial" w:cs="Arial"/>
          <w:lang w:val="en-GB"/>
        </w:rPr>
        <w:lastRenderedPageBreak/>
        <w:t>circumstances</w:t>
      </w:r>
      <w:r w:rsidR="007D0819">
        <w:rPr>
          <w:rFonts w:ascii="Arial" w:hAnsi="Arial" w:cs="Arial"/>
          <w:lang w:val="en-GB"/>
        </w:rPr>
        <w:t xml:space="preserve">, with complete disregard of the possibility of Mr </w:t>
      </w:r>
      <w:proofErr w:type="spellStart"/>
      <w:r w:rsidR="007D0819">
        <w:rPr>
          <w:rFonts w:ascii="Arial" w:hAnsi="Arial" w:cs="Arial"/>
          <w:lang w:val="en-GB"/>
        </w:rPr>
        <w:t>Ntakatsane’s</w:t>
      </w:r>
      <w:proofErr w:type="spellEnd"/>
      <w:r w:rsidR="007D0819">
        <w:rPr>
          <w:rFonts w:ascii="Arial" w:hAnsi="Arial" w:cs="Arial"/>
          <w:lang w:val="en-GB"/>
        </w:rPr>
        <w:t xml:space="preserve"> brother waking up while he raped the complainant</w:t>
      </w:r>
      <w:r w:rsidR="007F4099">
        <w:rPr>
          <w:rFonts w:ascii="Arial" w:hAnsi="Arial" w:cs="Arial"/>
          <w:lang w:val="en-GB"/>
        </w:rPr>
        <w:t xml:space="preserve"> in count 3.</w:t>
      </w:r>
      <w:r w:rsidR="00DD2879">
        <w:rPr>
          <w:rFonts w:ascii="Arial" w:hAnsi="Arial" w:cs="Arial"/>
          <w:lang w:val="en-GB"/>
        </w:rPr>
        <w:t xml:space="preserve"> </w:t>
      </w:r>
    </w:p>
    <w:p w14:paraId="51758454" w14:textId="77777777" w:rsidR="00486B4B" w:rsidRPr="00486B4B" w:rsidRDefault="00486B4B" w:rsidP="00262A0A">
      <w:pPr>
        <w:spacing w:line="360" w:lineRule="auto"/>
        <w:ind w:right="-52"/>
        <w:jc w:val="both"/>
        <w:rPr>
          <w:rFonts w:ascii="Arial" w:hAnsi="Arial" w:cs="Arial"/>
          <w:lang w:val="en-GB"/>
        </w:rPr>
      </w:pPr>
    </w:p>
    <w:p w14:paraId="32C8B4A5" w14:textId="27668009" w:rsidR="00E67029" w:rsidRPr="00430469" w:rsidRDefault="00171A1A" w:rsidP="00262A0A">
      <w:pPr>
        <w:pStyle w:val="ListParagraph"/>
        <w:numPr>
          <w:ilvl w:val="0"/>
          <w:numId w:val="1"/>
        </w:numPr>
        <w:spacing w:line="360" w:lineRule="auto"/>
        <w:ind w:left="0" w:right="-52" w:firstLine="0"/>
        <w:jc w:val="both"/>
        <w:rPr>
          <w:rFonts w:ascii="Arial" w:hAnsi="Arial" w:cs="Arial"/>
          <w:lang w:val="en-GB"/>
        </w:rPr>
      </w:pPr>
      <w:r w:rsidRPr="00430469">
        <w:rPr>
          <w:rFonts w:ascii="Arial" w:hAnsi="Arial" w:cs="Arial"/>
          <w:lang w:val="en-GB"/>
        </w:rPr>
        <w:t xml:space="preserve">It is important to consider the various circumstances cumulatively, and with specific focus on </w:t>
      </w:r>
      <w:r w:rsidR="009E2950">
        <w:rPr>
          <w:rFonts w:ascii="Arial" w:hAnsi="Arial" w:cs="Arial"/>
          <w:lang w:val="en-GB"/>
        </w:rPr>
        <w:t xml:space="preserve">Mr </w:t>
      </w:r>
      <w:proofErr w:type="spellStart"/>
      <w:r w:rsidR="009E2950">
        <w:rPr>
          <w:rFonts w:ascii="Arial" w:hAnsi="Arial" w:cs="Arial"/>
          <w:lang w:val="en-GB"/>
        </w:rPr>
        <w:t>Ntakatsane’s</w:t>
      </w:r>
      <w:proofErr w:type="spellEnd"/>
      <w:r w:rsidRPr="00430469">
        <w:rPr>
          <w:rFonts w:ascii="Arial" w:hAnsi="Arial" w:cs="Arial"/>
          <w:lang w:val="en-GB"/>
        </w:rPr>
        <w:t xml:space="preserve"> clean</w:t>
      </w:r>
      <w:r w:rsidR="002B05E5">
        <w:rPr>
          <w:rFonts w:ascii="Arial" w:hAnsi="Arial" w:cs="Arial"/>
          <w:lang w:val="en-GB"/>
        </w:rPr>
        <w:t xml:space="preserve"> record</w:t>
      </w:r>
      <w:r w:rsidRPr="00430469">
        <w:rPr>
          <w:rFonts w:ascii="Arial" w:hAnsi="Arial" w:cs="Arial"/>
          <w:lang w:val="en-GB"/>
        </w:rPr>
        <w:t xml:space="preserve">. </w:t>
      </w:r>
      <w:r w:rsidR="008005BA">
        <w:rPr>
          <w:rFonts w:ascii="Arial" w:hAnsi="Arial" w:cs="Arial"/>
          <w:lang w:val="en-GB"/>
        </w:rPr>
        <w:t xml:space="preserve">I have also considered the time he may have spent in custody, although not raised specifically as a feature, and his general socio-economic background. </w:t>
      </w:r>
      <w:r w:rsidR="009E60DB" w:rsidRPr="00430469">
        <w:rPr>
          <w:rFonts w:ascii="Arial" w:hAnsi="Arial" w:cs="Arial"/>
          <w:lang w:val="en-GB"/>
        </w:rPr>
        <w:t xml:space="preserve">The legislature has directed that, when imposing a sentence in respect of rape, an apparent lack of physical injury to </w:t>
      </w:r>
      <w:r w:rsidR="00B94208">
        <w:rPr>
          <w:rFonts w:ascii="Arial" w:hAnsi="Arial" w:cs="Arial"/>
          <w:lang w:val="en-GB"/>
        </w:rPr>
        <w:t>a</w:t>
      </w:r>
      <w:r w:rsidR="009E60DB" w:rsidRPr="00430469">
        <w:rPr>
          <w:rFonts w:ascii="Arial" w:hAnsi="Arial" w:cs="Arial"/>
          <w:lang w:val="en-GB"/>
        </w:rPr>
        <w:t xml:space="preserve"> complainant cannot constitute substantial and compelling circumstances justifying the imposition of a lesser sentence.</w:t>
      </w:r>
      <w:r w:rsidR="009E60DB" w:rsidRPr="00430469">
        <w:rPr>
          <w:rStyle w:val="FootnoteReference"/>
          <w:rFonts w:ascii="Arial" w:hAnsi="Arial" w:cs="Arial"/>
          <w:lang w:val="en-GB"/>
        </w:rPr>
        <w:footnoteReference w:id="22"/>
      </w:r>
      <w:r w:rsidR="009E60DB" w:rsidRPr="00430469">
        <w:rPr>
          <w:rFonts w:ascii="Arial" w:hAnsi="Arial" w:cs="Arial"/>
          <w:lang w:val="en-GB"/>
        </w:rPr>
        <w:t xml:space="preserve"> </w:t>
      </w:r>
      <w:r w:rsidR="00306003" w:rsidRPr="00430469">
        <w:rPr>
          <w:rFonts w:ascii="Arial" w:hAnsi="Arial" w:cs="Arial"/>
          <w:lang w:val="en-GB"/>
        </w:rPr>
        <w:t>I am also cognisant that a finding of an absence of substantial and compelling circumstances will result in the gravest of sentences being passed</w:t>
      </w:r>
      <w:r w:rsidR="006C034D" w:rsidRPr="00430469">
        <w:rPr>
          <w:rFonts w:ascii="Arial" w:hAnsi="Arial" w:cs="Arial"/>
          <w:lang w:val="en-GB"/>
        </w:rPr>
        <w:t xml:space="preserve"> and that the consequences of this are profound</w:t>
      </w:r>
      <w:r w:rsidR="002751DB">
        <w:rPr>
          <w:rFonts w:ascii="Arial" w:hAnsi="Arial" w:cs="Arial"/>
          <w:lang w:val="en-GB"/>
        </w:rPr>
        <w:t>, effectively removing an individual from society</w:t>
      </w:r>
      <w:r w:rsidR="00306003" w:rsidRPr="00430469">
        <w:rPr>
          <w:rFonts w:ascii="Arial" w:hAnsi="Arial" w:cs="Arial"/>
          <w:lang w:val="en-GB"/>
        </w:rPr>
        <w:t>.</w:t>
      </w:r>
      <w:r w:rsidR="00E67029" w:rsidRPr="00430469">
        <w:rPr>
          <w:rStyle w:val="FootnoteReference"/>
          <w:rFonts w:ascii="Arial" w:hAnsi="Arial" w:cs="Arial"/>
          <w:lang w:val="en-GB"/>
        </w:rPr>
        <w:footnoteReference w:id="23"/>
      </w:r>
      <w:r w:rsidR="00306003" w:rsidRPr="00430469">
        <w:rPr>
          <w:rFonts w:ascii="Arial" w:hAnsi="Arial" w:cs="Arial"/>
          <w:lang w:val="en-GB"/>
        </w:rPr>
        <w:t xml:space="preserve"> </w:t>
      </w:r>
      <w:r w:rsidR="00E67029" w:rsidRPr="00430469">
        <w:rPr>
          <w:rFonts w:ascii="Arial" w:hAnsi="Arial" w:cs="Arial"/>
          <w:lang w:val="en-GB"/>
        </w:rPr>
        <w:t>It requires a meticulous weighing of all relevant factors before a decision to impose it can be justified.</w:t>
      </w:r>
      <w:r w:rsidR="00E67029" w:rsidRPr="00430469">
        <w:rPr>
          <w:rStyle w:val="FootnoteReference"/>
          <w:rFonts w:ascii="Arial" w:hAnsi="Arial" w:cs="Arial"/>
          <w:lang w:val="en-GB"/>
        </w:rPr>
        <w:footnoteReference w:id="24"/>
      </w:r>
    </w:p>
    <w:p w14:paraId="44B96044" w14:textId="77777777" w:rsidR="00E67029" w:rsidRPr="00430469" w:rsidRDefault="00E67029" w:rsidP="00262A0A">
      <w:pPr>
        <w:spacing w:line="360" w:lineRule="auto"/>
        <w:ind w:right="-52"/>
        <w:jc w:val="both"/>
        <w:rPr>
          <w:rFonts w:ascii="Arial" w:hAnsi="Arial" w:cs="Arial"/>
          <w:lang w:val="en-GB"/>
        </w:rPr>
      </w:pPr>
    </w:p>
    <w:p w14:paraId="1FE53B81" w14:textId="52D216BF" w:rsidR="00251B32" w:rsidRDefault="00A866A5" w:rsidP="00262A0A">
      <w:pPr>
        <w:pStyle w:val="ListParagraph"/>
        <w:numPr>
          <w:ilvl w:val="0"/>
          <w:numId w:val="1"/>
        </w:numPr>
        <w:spacing w:line="360" w:lineRule="auto"/>
        <w:ind w:left="0" w:right="-52" w:firstLine="0"/>
        <w:jc w:val="both"/>
        <w:rPr>
          <w:rFonts w:ascii="Arial" w:hAnsi="Arial" w:cs="Arial"/>
          <w:lang w:val="en-GB"/>
        </w:rPr>
      </w:pPr>
      <w:r w:rsidRPr="00655241">
        <w:rPr>
          <w:rFonts w:ascii="Arial" w:hAnsi="Arial" w:cs="Arial"/>
          <w:lang w:val="en-GB"/>
        </w:rPr>
        <w:t>T</w:t>
      </w:r>
      <w:r w:rsidR="00171A1A" w:rsidRPr="00655241">
        <w:rPr>
          <w:rFonts w:ascii="Arial" w:hAnsi="Arial" w:cs="Arial"/>
          <w:lang w:val="en-GB"/>
        </w:rPr>
        <w:t xml:space="preserve">he aggravating features of the matter are </w:t>
      </w:r>
      <w:r w:rsidR="009007F9" w:rsidRPr="00655241">
        <w:rPr>
          <w:rFonts w:ascii="Arial" w:hAnsi="Arial" w:cs="Arial"/>
          <w:lang w:val="en-GB"/>
        </w:rPr>
        <w:t xml:space="preserve">undeniably </w:t>
      </w:r>
      <w:r w:rsidR="00171A1A" w:rsidRPr="00655241">
        <w:rPr>
          <w:rFonts w:ascii="Arial" w:hAnsi="Arial" w:cs="Arial"/>
          <w:lang w:val="en-GB"/>
        </w:rPr>
        <w:t>severe</w:t>
      </w:r>
      <w:r w:rsidR="00B07069" w:rsidRPr="00655241">
        <w:rPr>
          <w:rFonts w:ascii="Arial" w:hAnsi="Arial" w:cs="Arial"/>
          <w:lang w:val="en-GB"/>
        </w:rPr>
        <w:t xml:space="preserve">. </w:t>
      </w:r>
      <w:r w:rsidR="00684DB9" w:rsidRPr="00655241">
        <w:rPr>
          <w:rFonts w:ascii="Arial" w:hAnsi="Arial" w:cs="Arial"/>
          <w:lang w:val="en-GB"/>
        </w:rPr>
        <w:t xml:space="preserve"> </w:t>
      </w:r>
      <w:r w:rsidR="005B6A36" w:rsidRPr="00655241">
        <w:rPr>
          <w:rFonts w:ascii="Arial" w:hAnsi="Arial" w:cs="Arial"/>
          <w:lang w:val="en-GB"/>
        </w:rPr>
        <w:t>This includes the very fact that two children were raped</w:t>
      </w:r>
      <w:r w:rsidR="001E1987">
        <w:rPr>
          <w:rFonts w:ascii="Arial" w:hAnsi="Arial" w:cs="Arial"/>
          <w:lang w:val="en-GB"/>
        </w:rPr>
        <w:t xml:space="preserve">, having been forced to accompany Mr </w:t>
      </w:r>
      <w:proofErr w:type="spellStart"/>
      <w:r w:rsidR="001E1987">
        <w:rPr>
          <w:rFonts w:ascii="Arial" w:hAnsi="Arial" w:cs="Arial"/>
          <w:lang w:val="en-GB"/>
        </w:rPr>
        <w:t>Ntakatsane</w:t>
      </w:r>
      <w:proofErr w:type="spellEnd"/>
      <w:r w:rsidR="00726D6A">
        <w:rPr>
          <w:rFonts w:ascii="Arial" w:hAnsi="Arial" w:cs="Arial"/>
          <w:lang w:val="en-GB"/>
        </w:rPr>
        <w:t xml:space="preserve">, and eventually to submit to him, </w:t>
      </w:r>
      <w:r w:rsidR="001E1987">
        <w:rPr>
          <w:rFonts w:ascii="Arial" w:hAnsi="Arial" w:cs="Arial"/>
          <w:lang w:val="en-GB"/>
        </w:rPr>
        <w:t>under threat of the knife he wielded</w:t>
      </w:r>
      <w:r w:rsidR="00B07069" w:rsidRPr="00655241">
        <w:rPr>
          <w:rFonts w:ascii="Arial" w:hAnsi="Arial" w:cs="Arial"/>
          <w:lang w:val="en-GB"/>
        </w:rPr>
        <w:t xml:space="preserve">. </w:t>
      </w:r>
      <w:r w:rsidR="003A29AD" w:rsidRPr="00655241">
        <w:rPr>
          <w:rFonts w:ascii="Arial" w:hAnsi="Arial" w:cs="Arial"/>
          <w:lang w:val="en-GB"/>
        </w:rPr>
        <w:t xml:space="preserve">Every child is meant to enjoy the constitutional rights to be protected </w:t>
      </w:r>
      <w:proofErr w:type="gramStart"/>
      <w:r w:rsidR="003A29AD" w:rsidRPr="00655241">
        <w:rPr>
          <w:rFonts w:ascii="Arial" w:hAnsi="Arial" w:cs="Arial"/>
          <w:lang w:val="en-GB"/>
        </w:rPr>
        <w:t>from maltreatment, abuse and degradation,</w:t>
      </w:r>
      <w:proofErr w:type="gramEnd"/>
      <w:r w:rsidR="003A29AD" w:rsidRPr="00655241">
        <w:rPr>
          <w:rFonts w:ascii="Arial" w:hAnsi="Arial" w:cs="Arial"/>
          <w:lang w:val="en-GB"/>
        </w:rPr>
        <w:t xml:space="preserve"> to freedom and security, which includes the right to be free from all forms of violence and to have their</w:t>
      </w:r>
      <w:r w:rsidR="00771866" w:rsidRPr="00655241">
        <w:rPr>
          <w:rFonts w:ascii="Arial" w:hAnsi="Arial" w:cs="Arial"/>
          <w:lang w:val="en-GB"/>
        </w:rPr>
        <w:t xml:space="preserve"> privacy and </w:t>
      </w:r>
      <w:r w:rsidR="003A29AD" w:rsidRPr="00655241">
        <w:rPr>
          <w:rFonts w:ascii="Arial" w:hAnsi="Arial" w:cs="Arial"/>
          <w:lang w:val="en-GB"/>
        </w:rPr>
        <w:t>dignity respected and protected.</w:t>
      </w:r>
      <w:r w:rsidR="003A29AD">
        <w:rPr>
          <w:rStyle w:val="FootnoteReference"/>
          <w:rFonts w:ascii="Arial" w:hAnsi="Arial" w:cs="Arial"/>
          <w:lang w:val="en-GB"/>
        </w:rPr>
        <w:footnoteReference w:id="25"/>
      </w:r>
      <w:r w:rsidR="003A29AD" w:rsidRPr="00655241">
        <w:rPr>
          <w:rFonts w:ascii="Arial" w:hAnsi="Arial" w:cs="Arial"/>
          <w:lang w:val="en-GB"/>
        </w:rPr>
        <w:t xml:space="preserve"> </w:t>
      </w:r>
      <w:r w:rsidR="00EA50AF" w:rsidRPr="00655241">
        <w:rPr>
          <w:rFonts w:ascii="Arial" w:hAnsi="Arial" w:cs="Arial"/>
          <w:lang w:val="en-GB"/>
        </w:rPr>
        <w:t xml:space="preserve">The reasons for the high premium placed on the rights of children is apparent from the significant adverse effects experienced by both complainants who were children at the time they were raped. </w:t>
      </w:r>
      <w:r w:rsidR="00B07069" w:rsidRPr="00655241">
        <w:rPr>
          <w:rFonts w:ascii="Arial" w:hAnsi="Arial" w:cs="Arial"/>
          <w:lang w:val="en-GB"/>
        </w:rPr>
        <w:t>This</w:t>
      </w:r>
      <w:r w:rsidR="00C44357" w:rsidRPr="00655241">
        <w:rPr>
          <w:rFonts w:ascii="Arial" w:hAnsi="Arial" w:cs="Arial"/>
          <w:lang w:val="en-GB"/>
        </w:rPr>
        <w:t>, together with the brazenness of the commission of the offences,</w:t>
      </w:r>
      <w:r w:rsidR="00655241" w:rsidRPr="00655241">
        <w:rPr>
          <w:rFonts w:ascii="Arial" w:hAnsi="Arial" w:cs="Arial"/>
          <w:lang w:val="en-GB"/>
        </w:rPr>
        <w:t xml:space="preserve"> including that in count 3,</w:t>
      </w:r>
      <w:r w:rsidR="00B07069" w:rsidRPr="00655241">
        <w:rPr>
          <w:rFonts w:ascii="Arial" w:hAnsi="Arial" w:cs="Arial"/>
          <w:lang w:val="en-GB"/>
        </w:rPr>
        <w:t xml:space="preserve"> </w:t>
      </w:r>
      <w:r w:rsidR="00684DB9" w:rsidRPr="00655241">
        <w:rPr>
          <w:rFonts w:ascii="Arial" w:hAnsi="Arial" w:cs="Arial"/>
          <w:lang w:val="en-GB"/>
        </w:rPr>
        <w:t>overtake</w:t>
      </w:r>
      <w:r w:rsidR="00B07069" w:rsidRPr="00655241">
        <w:rPr>
          <w:rFonts w:ascii="Arial" w:hAnsi="Arial" w:cs="Arial"/>
          <w:lang w:val="en-GB"/>
        </w:rPr>
        <w:t>s</w:t>
      </w:r>
      <w:r w:rsidR="00684DB9" w:rsidRPr="00655241">
        <w:rPr>
          <w:rFonts w:ascii="Arial" w:hAnsi="Arial" w:cs="Arial"/>
          <w:lang w:val="en-GB"/>
        </w:rPr>
        <w:t xml:space="preserve"> the</w:t>
      </w:r>
      <w:r w:rsidR="006C034D" w:rsidRPr="00655241">
        <w:rPr>
          <w:rFonts w:ascii="Arial" w:hAnsi="Arial" w:cs="Arial"/>
          <w:lang w:val="en-GB"/>
        </w:rPr>
        <w:t xml:space="preserve"> various mitigating</w:t>
      </w:r>
      <w:r w:rsidR="00684DB9" w:rsidRPr="00655241">
        <w:rPr>
          <w:rFonts w:ascii="Arial" w:hAnsi="Arial" w:cs="Arial"/>
          <w:lang w:val="en-GB"/>
        </w:rPr>
        <w:t xml:space="preserve"> considerations</w:t>
      </w:r>
      <w:r w:rsidR="0046580F" w:rsidRPr="00655241">
        <w:rPr>
          <w:rFonts w:ascii="Arial" w:hAnsi="Arial" w:cs="Arial"/>
          <w:lang w:val="en-GB"/>
        </w:rPr>
        <w:t xml:space="preserve">, including </w:t>
      </w:r>
      <w:r w:rsidR="00EA50AF" w:rsidRPr="00655241">
        <w:rPr>
          <w:rFonts w:ascii="Arial" w:hAnsi="Arial" w:cs="Arial"/>
          <w:lang w:val="en-GB"/>
        </w:rPr>
        <w:t xml:space="preserve">Mr </w:t>
      </w:r>
      <w:proofErr w:type="spellStart"/>
      <w:r w:rsidR="00EA50AF" w:rsidRPr="00655241">
        <w:rPr>
          <w:rFonts w:ascii="Arial" w:hAnsi="Arial" w:cs="Arial"/>
          <w:lang w:val="en-GB"/>
        </w:rPr>
        <w:t>Ntakatsane’s</w:t>
      </w:r>
      <w:proofErr w:type="spellEnd"/>
      <w:r w:rsidR="0046580F" w:rsidRPr="00655241">
        <w:rPr>
          <w:rFonts w:ascii="Arial" w:hAnsi="Arial" w:cs="Arial"/>
          <w:lang w:val="en-GB"/>
        </w:rPr>
        <w:t xml:space="preserve"> lack of previous convictions</w:t>
      </w:r>
      <w:r w:rsidR="00C7145C" w:rsidRPr="00655241">
        <w:rPr>
          <w:rFonts w:ascii="Arial" w:hAnsi="Arial" w:cs="Arial"/>
          <w:lang w:val="en-GB"/>
        </w:rPr>
        <w:t>.</w:t>
      </w:r>
      <w:r w:rsidR="00A04FE9">
        <w:rPr>
          <w:rStyle w:val="FootnoteReference"/>
          <w:rFonts w:ascii="Arial" w:hAnsi="Arial" w:cs="Arial"/>
          <w:lang w:val="en-GB"/>
        </w:rPr>
        <w:footnoteReference w:id="26"/>
      </w:r>
      <w:r w:rsidR="00C7145C" w:rsidRPr="00655241">
        <w:rPr>
          <w:rFonts w:ascii="Arial" w:hAnsi="Arial" w:cs="Arial"/>
          <w:lang w:val="en-GB"/>
        </w:rPr>
        <w:t xml:space="preserve"> </w:t>
      </w:r>
      <w:r w:rsidR="005F76FE" w:rsidRPr="00655241">
        <w:rPr>
          <w:rFonts w:ascii="Arial" w:hAnsi="Arial" w:cs="Arial"/>
          <w:lang w:val="en-GB"/>
        </w:rPr>
        <w:t xml:space="preserve">On its own this cannot </w:t>
      </w:r>
      <w:r w:rsidR="00793193" w:rsidRPr="00655241">
        <w:rPr>
          <w:rFonts w:ascii="Arial" w:hAnsi="Arial" w:cs="Arial"/>
          <w:lang w:val="en-GB"/>
        </w:rPr>
        <w:t>constitute a substantial and compelling circumstance</w:t>
      </w:r>
      <w:r w:rsidR="005F76FE" w:rsidRPr="00655241">
        <w:rPr>
          <w:rFonts w:ascii="Arial" w:hAnsi="Arial" w:cs="Arial"/>
          <w:lang w:val="en-GB"/>
        </w:rPr>
        <w:t xml:space="preserve"> in context</w:t>
      </w:r>
      <w:r w:rsidR="00793193" w:rsidRPr="00655241">
        <w:rPr>
          <w:rFonts w:ascii="Arial" w:hAnsi="Arial" w:cs="Arial"/>
          <w:lang w:val="en-GB"/>
        </w:rPr>
        <w:t>.</w:t>
      </w:r>
      <w:r w:rsidR="00793193">
        <w:rPr>
          <w:rStyle w:val="FootnoteReference"/>
          <w:rFonts w:ascii="Arial" w:hAnsi="Arial" w:cs="Arial"/>
          <w:lang w:val="en-GB"/>
        </w:rPr>
        <w:footnoteReference w:id="27"/>
      </w:r>
    </w:p>
    <w:p w14:paraId="03C41ED7" w14:textId="77777777" w:rsidR="00655241" w:rsidRPr="00655241" w:rsidRDefault="00655241" w:rsidP="00262A0A">
      <w:pPr>
        <w:spacing w:line="360" w:lineRule="auto"/>
        <w:ind w:right="-52"/>
        <w:jc w:val="both"/>
        <w:rPr>
          <w:rFonts w:ascii="Arial" w:hAnsi="Arial" w:cs="Arial"/>
          <w:lang w:val="en-GB"/>
        </w:rPr>
      </w:pPr>
    </w:p>
    <w:p w14:paraId="17F2CDBB" w14:textId="4C8743C6" w:rsidR="00771866" w:rsidRPr="001E1987" w:rsidRDefault="007220D2" w:rsidP="00262A0A">
      <w:pPr>
        <w:pStyle w:val="ListParagraph"/>
        <w:numPr>
          <w:ilvl w:val="0"/>
          <w:numId w:val="1"/>
        </w:numPr>
        <w:spacing w:line="360" w:lineRule="auto"/>
        <w:ind w:left="0" w:right="-52" w:firstLine="0"/>
        <w:jc w:val="both"/>
        <w:rPr>
          <w:rFonts w:ascii="Arial" w:hAnsi="Arial" w:cs="Arial"/>
          <w:lang w:val="en-GB"/>
        </w:rPr>
      </w:pPr>
      <w:r w:rsidRPr="006721CE">
        <w:rPr>
          <w:rFonts w:ascii="Arial" w:hAnsi="Arial" w:cs="Arial"/>
          <w:lang w:val="en-GB"/>
        </w:rPr>
        <w:lastRenderedPageBreak/>
        <w:t>In the final analysis, I am obliged to impose the minimum sentence prescribed by the legislature unless there</w:t>
      </w:r>
      <w:r w:rsidR="00F25B7F">
        <w:rPr>
          <w:rFonts w:ascii="Arial" w:hAnsi="Arial" w:cs="Arial"/>
          <w:lang w:val="en-GB"/>
        </w:rPr>
        <w:t xml:space="preserve"> are</w:t>
      </w:r>
      <w:r w:rsidRPr="006721CE">
        <w:rPr>
          <w:rFonts w:ascii="Arial" w:hAnsi="Arial" w:cs="Arial"/>
          <w:lang w:val="en-GB"/>
        </w:rPr>
        <w:t xml:space="preserve"> truly convincing reasons for departure.</w:t>
      </w:r>
      <w:r w:rsidRPr="00430469">
        <w:rPr>
          <w:rStyle w:val="FootnoteReference"/>
          <w:rFonts w:ascii="Arial" w:hAnsi="Arial" w:cs="Arial"/>
          <w:lang w:val="en-GB"/>
        </w:rPr>
        <w:footnoteReference w:id="28"/>
      </w:r>
      <w:r w:rsidRPr="006721CE">
        <w:rPr>
          <w:rFonts w:ascii="Arial" w:hAnsi="Arial" w:cs="Arial"/>
          <w:lang w:val="en-GB"/>
        </w:rPr>
        <w:t xml:space="preserve"> </w:t>
      </w:r>
      <w:r w:rsidR="00E05489">
        <w:rPr>
          <w:rFonts w:ascii="Arial" w:hAnsi="Arial" w:cs="Arial"/>
          <w:lang w:val="en-GB"/>
        </w:rPr>
        <w:t xml:space="preserve">In </w:t>
      </w:r>
      <w:r w:rsidR="00E05489">
        <w:rPr>
          <w:rFonts w:ascii="Arial" w:hAnsi="Arial" w:cs="Arial"/>
          <w:i/>
          <w:iCs/>
          <w:lang w:val="en-GB"/>
        </w:rPr>
        <w:t>S v Zitha</w:t>
      </w:r>
      <w:r w:rsidR="00E05489">
        <w:rPr>
          <w:rFonts w:ascii="Arial" w:hAnsi="Arial" w:cs="Arial"/>
          <w:lang w:val="en-GB"/>
        </w:rPr>
        <w:t>, Goldstein J commented on the need to punish perpetrators of child rape as heavily and severely as the law allowed in the absence of substantial and compelling circumstances dictating otherwise. Courts will not shirk this responsibility, however agonising it may be to do so</w:t>
      </w:r>
      <w:r w:rsidR="00813F80">
        <w:rPr>
          <w:rFonts w:ascii="Arial" w:hAnsi="Arial" w:cs="Arial"/>
          <w:lang w:val="en-GB"/>
        </w:rPr>
        <w:t xml:space="preserve">, and even though the result will have a tremendous impact on the rest of Mr </w:t>
      </w:r>
      <w:proofErr w:type="spellStart"/>
      <w:r w:rsidR="00813F80">
        <w:rPr>
          <w:rFonts w:ascii="Arial" w:hAnsi="Arial" w:cs="Arial"/>
          <w:lang w:val="en-GB"/>
        </w:rPr>
        <w:t>Ntakatsane’s</w:t>
      </w:r>
      <w:proofErr w:type="spellEnd"/>
      <w:r w:rsidR="00813F80">
        <w:rPr>
          <w:rFonts w:ascii="Arial" w:hAnsi="Arial" w:cs="Arial"/>
          <w:lang w:val="en-GB"/>
        </w:rPr>
        <w:t xml:space="preserve"> life</w:t>
      </w:r>
      <w:r w:rsidR="00E05489">
        <w:rPr>
          <w:rFonts w:ascii="Arial" w:hAnsi="Arial" w:cs="Arial"/>
          <w:lang w:val="en-GB"/>
        </w:rPr>
        <w:t>.</w:t>
      </w:r>
      <w:r w:rsidR="00E05489">
        <w:rPr>
          <w:rStyle w:val="FootnoteReference"/>
          <w:rFonts w:ascii="Arial" w:hAnsi="Arial" w:cs="Arial"/>
          <w:lang w:val="en-GB"/>
        </w:rPr>
        <w:footnoteReference w:id="29"/>
      </w:r>
      <w:r w:rsidR="00E05489">
        <w:rPr>
          <w:rFonts w:ascii="Arial" w:hAnsi="Arial" w:cs="Arial"/>
          <w:lang w:val="en-GB"/>
        </w:rPr>
        <w:t xml:space="preserve"> </w:t>
      </w:r>
      <w:r w:rsidR="009C6C98" w:rsidRPr="006721CE">
        <w:rPr>
          <w:rFonts w:ascii="Arial" w:hAnsi="Arial" w:cs="Arial"/>
          <w:lang w:val="en-GB"/>
        </w:rPr>
        <w:t xml:space="preserve">In all the circumstances, </w:t>
      </w:r>
      <w:r w:rsidR="003F50B2" w:rsidRPr="006721CE">
        <w:rPr>
          <w:rFonts w:ascii="Arial" w:hAnsi="Arial" w:cs="Arial"/>
          <w:lang w:val="en-GB"/>
        </w:rPr>
        <w:t xml:space="preserve">I must conclude that </w:t>
      </w:r>
      <w:r w:rsidR="00B8522F" w:rsidRPr="006721CE">
        <w:rPr>
          <w:rFonts w:ascii="Arial" w:hAnsi="Arial" w:cs="Arial"/>
          <w:lang w:val="en-GB"/>
        </w:rPr>
        <w:t>there is an</w:t>
      </w:r>
      <w:r w:rsidR="003F50B2" w:rsidRPr="006721CE">
        <w:rPr>
          <w:rFonts w:ascii="Arial" w:hAnsi="Arial" w:cs="Arial"/>
          <w:lang w:val="en-GB"/>
        </w:rPr>
        <w:t xml:space="preserve"> absence of substantial and compelling reasons</w:t>
      </w:r>
      <w:r w:rsidR="00A063EC">
        <w:rPr>
          <w:rFonts w:ascii="Arial" w:hAnsi="Arial" w:cs="Arial"/>
          <w:lang w:val="en-GB"/>
        </w:rPr>
        <w:t xml:space="preserve"> or weighty justification for a departure from the prescribed minimum</w:t>
      </w:r>
      <w:r w:rsidR="00655241">
        <w:rPr>
          <w:rFonts w:ascii="Arial" w:hAnsi="Arial" w:cs="Arial"/>
          <w:lang w:val="en-GB"/>
        </w:rPr>
        <w:t xml:space="preserve"> in respect of any of the counts</w:t>
      </w:r>
      <w:r w:rsidR="002D64C5">
        <w:rPr>
          <w:rFonts w:ascii="Arial" w:hAnsi="Arial" w:cs="Arial"/>
          <w:lang w:val="en-GB"/>
        </w:rPr>
        <w:t xml:space="preserve">. The </w:t>
      </w:r>
      <w:r w:rsidR="00B778E3">
        <w:rPr>
          <w:rFonts w:ascii="Arial" w:hAnsi="Arial" w:cs="Arial"/>
          <w:lang w:val="en-GB"/>
        </w:rPr>
        <w:t xml:space="preserve">ultimate </w:t>
      </w:r>
      <w:r w:rsidR="002D64C5">
        <w:rPr>
          <w:rFonts w:ascii="Arial" w:hAnsi="Arial" w:cs="Arial"/>
          <w:lang w:val="en-GB"/>
        </w:rPr>
        <w:t xml:space="preserve">result is that </w:t>
      </w:r>
      <w:r w:rsidR="003F50B2" w:rsidRPr="006721CE">
        <w:rPr>
          <w:rFonts w:ascii="Arial" w:hAnsi="Arial" w:cs="Arial"/>
          <w:lang w:val="en-GB"/>
        </w:rPr>
        <w:t>sentence</w:t>
      </w:r>
      <w:r w:rsidR="00B778E3">
        <w:rPr>
          <w:rFonts w:ascii="Arial" w:hAnsi="Arial" w:cs="Arial"/>
          <w:lang w:val="en-GB"/>
        </w:rPr>
        <w:t>s</w:t>
      </w:r>
      <w:r w:rsidR="003F50B2" w:rsidRPr="006721CE">
        <w:rPr>
          <w:rFonts w:ascii="Arial" w:hAnsi="Arial" w:cs="Arial"/>
          <w:lang w:val="en-GB"/>
        </w:rPr>
        <w:t xml:space="preserve"> of life imprisonment</w:t>
      </w:r>
      <w:r w:rsidR="002D64C5">
        <w:rPr>
          <w:rFonts w:ascii="Arial" w:hAnsi="Arial" w:cs="Arial"/>
          <w:lang w:val="en-GB"/>
        </w:rPr>
        <w:t xml:space="preserve"> </w:t>
      </w:r>
      <w:r w:rsidR="00B778E3">
        <w:rPr>
          <w:rFonts w:ascii="Arial" w:hAnsi="Arial" w:cs="Arial"/>
          <w:lang w:val="en-GB"/>
        </w:rPr>
        <w:t>for the offences in counts 1 and 2 are</w:t>
      </w:r>
      <w:r w:rsidR="002D64C5">
        <w:rPr>
          <w:rFonts w:ascii="Arial" w:hAnsi="Arial" w:cs="Arial"/>
          <w:lang w:val="en-GB"/>
        </w:rPr>
        <w:t xml:space="preserve"> </w:t>
      </w:r>
      <w:r w:rsidR="00A85ECC">
        <w:rPr>
          <w:rFonts w:ascii="Arial" w:hAnsi="Arial" w:cs="Arial"/>
          <w:lang w:val="en-GB"/>
        </w:rPr>
        <w:t xml:space="preserve">considered to be </w:t>
      </w:r>
      <w:r w:rsidR="00BC58F4">
        <w:rPr>
          <w:rFonts w:ascii="Arial" w:hAnsi="Arial" w:cs="Arial"/>
          <w:lang w:val="en-GB"/>
        </w:rPr>
        <w:t xml:space="preserve">proportionate and </w:t>
      </w:r>
      <w:r w:rsidR="002D64C5">
        <w:rPr>
          <w:rFonts w:ascii="Arial" w:hAnsi="Arial" w:cs="Arial"/>
          <w:lang w:val="en-GB"/>
        </w:rPr>
        <w:t>justified</w:t>
      </w:r>
      <w:r w:rsidR="00B4457A">
        <w:rPr>
          <w:rFonts w:ascii="Arial" w:hAnsi="Arial" w:cs="Arial"/>
          <w:lang w:val="en-GB"/>
        </w:rPr>
        <w:t xml:space="preserve">, and, as Ms </w:t>
      </w:r>
      <w:r w:rsidR="00B4457A">
        <w:rPr>
          <w:rFonts w:ascii="Arial" w:hAnsi="Arial" w:cs="Arial"/>
          <w:i/>
          <w:iCs/>
          <w:lang w:val="en-GB"/>
        </w:rPr>
        <w:t>Van Rooyen</w:t>
      </w:r>
      <w:r w:rsidR="00B4457A">
        <w:rPr>
          <w:rFonts w:ascii="Arial" w:hAnsi="Arial" w:cs="Arial"/>
          <w:lang w:val="en-GB"/>
        </w:rPr>
        <w:t xml:space="preserve"> argued, the only suitable punishment for what has transpired</w:t>
      </w:r>
      <w:r w:rsidR="00B778E3">
        <w:rPr>
          <w:rFonts w:ascii="Arial" w:hAnsi="Arial" w:cs="Arial"/>
          <w:lang w:val="en-GB"/>
        </w:rPr>
        <w:t xml:space="preserve">. </w:t>
      </w:r>
      <w:r w:rsidR="00FB0675" w:rsidRPr="006721CE">
        <w:rPr>
          <w:rFonts w:ascii="Arial" w:hAnsi="Arial" w:cs="Arial"/>
          <w:lang w:val="en-GB"/>
        </w:rPr>
        <w:t xml:space="preserve">I </w:t>
      </w:r>
      <w:r w:rsidR="00E42EF6">
        <w:rPr>
          <w:rFonts w:ascii="Arial" w:hAnsi="Arial" w:cs="Arial"/>
          <w:lang w:val="en-GB"/>
        </w:rPr>
        <w:t>am constrained to agree with that argument in the circumstances</w:t>
      </w:r>
      <w:r w:rsidR="003F50B2" w:rsidRPr="006721CE">
        <w:rPr>
          <w:rFonts w:ascii="Arial" w:hAnsi="Arial" w:cs="Arial"/>
          <w:lang w:val="en-GB"/>
        </w:rPr>
        <w:t>.</w:t>
      </w:r>
      <w:r w:rsidR="00627862" w:rsidRPr="006721CE">
        <w:rPr>
          <w:rFonts w:ascii="Arial" w:hAnsi="Arial" w:cs="Arial"/>
          <w:lang w:val="en-GB"/>
        </w:rPr>
        <w:t xml:space="preserve"> </w:t>
      </w:r>
      <w:r w:rsidR="00306DE1">
        <w:rPr>
          <w:rFonts w:ascii="Arial" w:hAnsi="Arial" w:cs="Arial"/>
          <w:lang w:val="en-GB"/>
        </w:rPr>
        <w:t xml:space="preserve">Despite the plea of guilty adding to the </w:t>
      </w:r>
      <w:r w:rsidR="00E42EF6">
        <w:rPr>
          <w:rFonts w:ascii="Arial" w:hAnsi="Arial" w:cs="Arial"/>
          <w:lang w:val="en-GB"/>
        </w:rPr>
        <w:t>factors</w:t>
      </w:r>
      <w:r w:rsidR="00306DE1">
        <w:rPr>
          <w:rFonts w:ascii="Arial" w:hAnsi="Arial" w:cs="Arial"/>
          <w:lang w:val="en-GB"/>
        </w:rPr>
        <w:t xml:space="preserve"> to be considered in respect of count 3, there is again no justifiable basis for deviating from the prescribed minimum sentence. As a result, a</w:t>
      </w:r>
      <w:r w:rsidR="00B778E3">
        <w:rPr>
          <w:rFonts w:ascii="Arial" w:hAnsi="Arial" w:cs="Arial"/>
          <w:lang w:val="en-GB"/>
        </w:rPr>
        <w:t xml:space="preserve"> sentence of 10 years imprisonment is imposed in respect of count 3, to run concurrently with the sentences of life imprisonment. </w:t>
      </w:r>
      <w:r w:rsidR="00492178">
        <w:rPr>
          <w:rFonts w:ascii="Arial" w:hAnsi="Arial" w:cs="Arial"/>
          <w:lang w:val="en-GB"/>
        </w:rPr>
        <w:t>Given the nature of the offence</w:t>
      </w:r>
      <w:r w:rsidR="00106E46">
        <w:rPr>
          <w:rFonts w:ascii="Arial" w:hAnsi="Arial" w:cs="Arial"/>
          <w:lang w:val="en-GB"/>
        </w:rPr>
        <w:t>s</w:t>
      </w:r>
      <w:r w:rsidR="00492178">
        <w:rPr>
          <w:rFonts w:ascii="Arial" w:hAnsi="Arial" w:cs="Arial"/>
          <w:lang w:val="en-GB"/>
        </w:rPr>
        <w:t>, various other consequences emanating from legislation follow. These have been included as part of the order to follow.</w:t>
      </w:r>
    </w:p>
    <w:p w14:paraId="2B3B6327" w14:textId="77777777" w:rsidR="00F25B7F" w:rsidRPr="006721CE" w:rsidRDefault="00F25B7F" w:rsidP="00262A0A">
      <w:pPr>
        <w:spacing w:line="360" w:lineRule="auto"/>
        <w:ind w:right="-52"/>
        <w:jc w:val="both"/>
        <w:rPr>
          <w:rFonts w:ascii="Arial" w:hAnsi="Arial" w:cs="Arial"/>
          <w:lang w:val="en-GB"/>
        </w:rPr>
      </w:pPr>
    </w:p>
    <w:p w14:paraId="18A4FB61" w14:textId="34212B4A" w:rsidR="002B6AC4" w:rsidRDefault="002B6AC4" w:rsidP="00262A0A">
      <w:pPr>
        <w:spacing w:line="360" w:lineRule="auto"/>
        <w:jc w:val="both"/>
        <w:rPr>
          <w:rFonts w:ascii="Arial" w:hAnsi="Arial" w:cs="Arial"/>
          <w:b/>
          <w:bCs/>
          <w:lang w:val="en-GB"/>
        </w:rPr>
      </w:pPr>
      <w:r>
        <w:rPr>
          <w:rFonts w:ascii="Arial" w:hAnsi="Arial" w:cs="Arial"/>
          <w:b/>
          <w:bCs/>
          <w:lang w:val="en-GB"/>
        </w:rPr>
        <w:t>Order</w:t>
      </w:r>
    </w:p>
    <w:p w14:paraId="77868F92" w14:textId="003EBE24" w:rsidR="002B6AC4" w:rsidRDefault="002B6AC4" w:rsidP="00262A0A">
      <w:pPr>
        <w:spacing w:line="360" w:lineRule="auto"/>
        <w:jc w:val="both"/>
        <w:rPr>
          <w:rFonts w:ascii="Arial" w:hAnsi="Arial" w:cs="Arial"/>
          <w:b/>
          <w:bCs/>
          <w:lang w:val="en-GB"/>
        </w:rPr>
      </w:pPr>
    </w:p>
    <w:p w14:paraId="0211265A" w14:textId="2184A80A" w:rsidR="002B6AC4" w:rsidRDefault="002B6AC4" w:rsidP="00262A0A">
      <w:pPr>
        <w:pStyle w:val="ListParagraph"/>
        <w:numPr>
          <w:ilvl w:val="0"/>
          <w:numId w:val="1"/>
        </w:numPr>
        <w:spacing w:line="360" w:lineRule="auto"/>
        <w:ind w:left="0" w:firstLine="0"/>
        <w:jc w:val="both"/>
        <w:rPr>
          <w:rFonts w:ascii="Arial" w:hAnsi="Arial" w:cs="Arial"/>
          <w:lang w:val="en-GB"/>
        </w:rPr>
      </w:pPr>
      <w:r>
        <w:rPr>
          <w:rFonts w:ascii="Arial" w:hAnsi="Arial" w:cs="Arial"/>
          <w:lang w:val="en-GB"/>
        </w:rPr>
        <w:t xml:space="preserve">The following sentence </w:t>
      </w:r>
      <w:r w:rsidR="00A3405A">
        <w:rPr>
          <w:rFonts w:ascii="Arial" w:hAnsi="Arial" w:cs="Arial"/>
          <w:lang w:val="en-GB"/>
        </w:rPr>
        <w:t>is</w:t>
      </w:r>
      <w:r>
        <w:rPr>
          <w:rFonts w:ascii="Arial" w:hAnsi="Arial" w:cs="Arial"/>
          <w:lang w:val="en-GB"/>
        </w:rPr>
        <w:t xml:space="preserve"> imposed:</w:t>
      </w:r>
    </w:p>
    <w:p w14:paraId="792F4BAA" w14:textId="77777777" w:rsidR="00A861AB" w:rsidRDefault="00A861AB" w:rsidP="00262A0A">
      <w:pPr>
        <w:pStyle w:val="ListParagraph"/>
        <w:spacing w:line="360" w:lineRule="auto"/>
        <w:ind w:left="0"/>
        <w:jc w:val="both"/>
        <w:rPr>
          <w:rFonts w:ascii="Arial" w:hAnsi="Arial" w:cs="Arial"/>
          <w:lang w:val="en-GB"/>
        </w:rPr>
      </w:pPr>
    </w:p>
    <w:p w14:paraId="2CA07985" w14:textId="5A96F53E" w:rsidR="00804F1D" w:rsidRDefault="002B6AC4" w:rsidP="000A7452">
      <w:pPr>
        <w:pStyle w:val="ListParagraph"/>
        <w:numPr>
          <w:ilvl w:val="1"/>
          <w:numId w:val="1"/>
        </w:numPr>
        <w:spacing w:line="360" w:lineRule="auto"/>
        <w:jc w:val="both"/>
        <w:rPr>
          <w:rFonts w:ascii="Arial" w:hAnsi="Arial" w:cs="Arial"/>
          <w:lang w:val="en-GB"/>
        </w:rPr>
      </w:pPr>
      <w:r w:rsidRPr="000A7452">
        <w:rPr>
          <w:rFonts w:ascii="Arial" w:hAnsi="Arial" w:cs="Arial"/>
          <w:lang w:val="en-GB"/>
        </w:rPr>
        <w:t xml:space="preserve">The accused, </w:t>
      </w:r>
      <w:proofErr w:type="spellStart"/>
      <w:r w:rsidR="00106E46" w:rsidRPr="000A7452">
        <w:rPr>
          <w:rFonts w:ascii="Arial" w:hAnsi="Arial" w:cs="Arial"/>
          <w:lang w:val="en-GB"/>
        </w:rPr>
        <w:t>Sonwabile</w:t>
      </w:r>
      <w:proofErr w:type="spellEnd"/>
      <w:r w:rsidR="00106E46" w:rsidRPr="000A7452">
        <w:rPr>
          <w:rFonts w:ascii="Arial" w:hAnsi="Arial" w:cs="Arial"/>
          <w:lang w:val="en-GB"/>
        </w:rPr>
        <w:t xml:space="preserve"> </w:t>
      </w:r>
      <w:proofErr w:type="spellStart"/>
      <w:r w:rsidR="00106E46" w:rsidRPr="000A7452">
        <w:rPr>
          <w:rFonts w:ascii="Arial" w:hAnsi="Arial" w:cs="Arial"/>
          <w:lang w:val="en-GB"/>
        </w:rPr>
        <w:t>Ntakatsane</w:t>
      </w:r>
      <w:proofErr w:type="spellEnd"/>
      <w:r w:rsidRPr="000A7452">
        <w:rPr>
          <w:rFonts w:ascii="Arial" w:hAnsi="Arial" w:cs="Arial"/>
          <w:lang w:val="en-GB"/>
        </w:rPr>
        <w:t xml:space="preserve">, is sentenced to life imprisonment </w:t>
      </w:r>
      <w:r w:rsidR="00CC0D35" w:rsidRPr="000A7452">
        <w:rPr>
          <w:rFonts w:ascii="Arial" w:hAnsi="Arial" w:cs="Arial"/>
          <w:lang w:val="en-GB"/>
        </w:rPr>
        <w:t>in respect of the conviction</w:t>
      </w:r>
      <w:r w:rsidR="00106E46" w:rsidRPr="000A7452">
        <w:rPr>
          <w:rFonts w:ascii="Arial" w:hAnsi="Arial" w:cs="Arial"/>
          <w:lang w:val="en-GB"/>
        </w:rPr>
        <w:t>s</w:t>
      </w:r>
      <w:r w:rsidR="00CC0D35" w:rsidRPr="000A7452">
        <w:rPr>
          <w:rFonts w:ascii="Arial" w:hAnsi="Arial" w:cs="Arial"/>
          <w:lang w:val="en-GB"/>
        </w:rPr>
        <w:t xml:space="preserve"> </w:t>
      </w:r>
      <w:r w:rsidR="00563EFD" w:rsidRPr="000A7452">
        <w:rPr>
          <w:rFonts w:ascii="Arial" w:hAnsi="Arial" w:cs="Arial"/>
          <w:lang w:val="en-GB"/>
        </w:rPr>
        <w:t>of</w:t>
      </w:r>
      <w:r w:rsidRPr="000A7452">
        <w:rPr>
          <w:rFonts w:ascii="Arial" w:hAnsi="Arial" w:cs="Arial"/>
          <w:lang w:val="en-GB"/>
        </w:rPr>
        <w:t xml:space="preserve"> rape </w:t>
      </w:r>
      <w:r w:rsidR="00106E46" w:rsidRPr="000A7452">
        <w:rPr>
          <w:rFonts w:ascii="Arial" w:hAnsi="Arial" w:cs="Arial"/>
          <w:lang w:val="en-GB"/>
        </w:rPr>
        <w:t xml:space="preserve">in respect of </w:t>
      </w:r>
      <w:r w:rsidR="00BD478D" w:rsidRPr="000A7452">
        <w:rPr>
          <w:rFonts w:ascii="Arial" w:hAnsi="Arial" w:cs="Arial"/>
          <w:lang w:val="en-GB"/>
        </w:rPr>
        <w:t xml:space="preserve">both </w:t>
      </w:r>
      <w:r w:rsidR="00106E46" w:rsidRPr="000A7452">
        <w:rPr>
          <w:rFonts w:ascii="Arial" w:hAnsi="Arial" w:cs="Arial"/>
          <w:lang w:val="en-GB"/>
        </w:rPr>
        <w:t>counts 1 (rape of a 14-year-old girl) and 2 (rape of a 15-year-old girl)</w:t>
      </w:r>
      <w:r w:rsidR="00263983" w:rsidRPr="000A7452">
        <w:rPr>
          <w:rFonts w:ascii="Arial" w:hAnsi="Arial" w:cs="Arial"/>
          <w:lang w:val="en-GB"/>
        </w:rPr>
        <w:t>.</w:t>
      </w:r>
    </w:p>
    <w:p w14:paraId="47D39B75" w14:textId="0E66D08F" w:rsidR="00106E46" w:rsidRDefault="00106E46" w:rsidP="000A7452">
      <w:pPr>
        <w:pStyle w:val="ListParagraph"/>
        <w:numPr>
          <w:ilvl w:val="1"/>
          <w:numId w:val="1"/>
        </w:numPr>
        <w:spacing w:line="360" w:lineRule="auto"/>
        <w:jc w:val="both"/>
        <w:rPr>
          <w:rFonts w:ascii="Arial" w:hAnsi="Arial" w:cs="Arial"/>
          <w:lang w:val="en-GB"/>
        </w:rPr>
      </w:pPr>
      <w:r w:rsidRPr="000A7452">
        <w:rPr>
          <w:rFonts w:ascii="Arial" w:hAnsi="Arial" w:cs="Arial"/>
          <w:lang w:val="en-GB"/>
        </w:rPr>
        <w:t>The accused is sentenced to 10 (ten) years imprisonment in respect of count 3 (rape of an adult female), to run concurrently with the sentences of life imprisonment imposed in respect of counts 1 and 2.</w:t>
      </w:r>
    </w:p>
    <w:p w14:paraId="17530077" w14:textId="202A1443" w:rsidR="0027049E" w:rsidRDefault="0027049E" w:rsidP="000A7452">
      <w:pPr>
        <w:pStyle w:val="ListParagraph"/>
        <w:numPr>
          <w:ilvl w:val="1"/>
          <w:numId w:val="1"/>
        </w:numPr>
        <w:spacing w:line="360" w:lineRule="auto"/>
        <w:jc w:val="both"/>
        <w:rPr>
          <w:rFonts w:ascii="Arial" w:hAnsi="Arial" w:cs="Arial"/>
          <w:lang w:val="en-GB"/>
        </w:rPr>
      </w:pPr>
      <w:r w:rsidRPr="000A7452">
        <w:rPr>
          <w:rFonts w:ascii="Arial" w:hAnsi="Arial" w:cs="Arial"/>
          <w:lang w:val="en-GB"/>
        </w:rPr>
        <w:lastRenderedPageBreak/>
        <w:t>In terms of section 50(2) of the Criminal Law (Sexual Offences and Related Matters) Amendment Act 32 of 2007, the particulars of the accused, as a convicted sexual offender, must be included in the National Register for Sex Offenders.</w:t>
      </w:r>
    </w:p>
    <w:p w14:paraId="1782D7EF" w14:textId="3C0B0C74" w:rsidR="0027049E" w:rsidRDefault="0027049E" w:rsidP="000A7452">
      <w:pPr>
        <w:pStyle w:val="ListParagraph"/>
        <w:numPr>
          <w:ilvl w:val="1"/>
          <w:numId w:val="1"/>
        </w:numPr>
        <w:spacing w:line="360" w:lineRule="auto"/>
        <w:jc w:val="both"/>
        <w:rPr>
          <w:rFonts w:ascii="Arial" w:hAnsi="Arial" w:cs="Arial"/>
          <w:lang w:val="en-GB"/>
        </w:rPr>
      </w:pPr>
      <w:r w:rsidRPr="000A7452">
        <w:rPr>
          <w:rFonts w:ascii="Arial" w:hAnsi="Arial" w:cs="Arial"/>
          <w:lang w:val="en-GB"/>
        </w:rPr>
        <w:t>In terms of section 120(4) of the Children’s Act 38 of 2005 and section 41 of the Criminal Law (Sexual Offences and Related Matters</w:t>
      </w:r>
      <w:r w:rsidR="00C21E2D" w:rsidRPr="000A7452">
        <w:rPr>
          <w:rFonts w:ascii="Arial" w:hAnsi="Arial" w:cs="Arial"/>
          <w:lang w:val="en-GB"/>
        </w:rPr>
        <w:t>) Amendment Act 32 of 2007</w:t>
      </w:r>
      <w:r w:rsidRPr="000A7452">
        <w:rPr>
          <w:rFonts w:ascii="Arial" w:hAnsi="Arial" w:cs="Arial"/>
          <w:lang w:val="en-GB"/>
        </w:rPr>
        <w:t>, the accused is declared to be unsuitable to work with children, and it is directed that his particulars be entered in Part B of the National Child Protection Register.</w:t>
      </w:r>
    </w:p>
    <w:p w14:paraId="5120DEC5" w14:textId="486D1728" w:rsidR="00804F1D" w:rsidRPr="000A7452" w:rsidRDefault="00124C0D" w:rsidP="000A7452">
      <w:pPr>
        <w:pStyle w:val="ListParagraph"/>
        <w:numPr>
          <w:ilvl w:val="1"/>
          <w:numId w:val="1"/>
        </w:numPr>
        <w:spacing w:line="360" w:lineRule="auto"/>
        <w:jc w:val="both"/>
        <w:rPr>
          <w:rFonts w:ascii="Arial" w:hAnsi="Arial" w:cs="Arial"/>
          <w:lang w:val="en-GB"/>
        </w:rPr>
      </w:pPr>
      <w:r w:rsidRPr="000A7452">
        <w:rPr>
          <w:rFonts w:ascii="Arial" w:hAnsi="Arial" w:cs="Arial"/>
          <w:lang w:val="en-GB"/>
        </w:rPr>
        <w:t>In terms of section 103(1) of the Firearms Control Act 60 of 2000, the accused is declared unfit to possess a firearm.</w:t>
      </w:r>
    </w:p>
    <w:p w14:paraId="5F5D1546" w14:textId="72214747" w:rsidR="00804F1D" w:rsidRDefault="00804F1D" w:rsidP="00262A0A">
      <w:pPr>
        <w:spacing w:line="360" w:lineRule="auto"/>
        <w:rPr>
          <w:lang w:val="en-GB"/>
        </w:rPr>
      </w:pPr>
    </w:p>
    <w:p w14:paraId="01B87033" w14:textId="67E068F1" w:rsidR="002B77D1" w:rsidRDefault="002B77D1" w:rsidP="00262A0A">
      <w:pPr>
        <w:spacing w:line="360" w:lineRule="auto"/>
        <w:rPr>
          <w:lang w:val="en-GB"/>
        </w:rPr>
      </w:pPr>
    </w:p>
    <w:p w14:paraId="2726D712" w14:textId="77777777" w:rsidR="00771866" w:rsidRDefault="00771866" w:rsidP="00262A0A">
      <w:pPr>
        <w:spacing w:line="360" w:lineRule="auto"/>
        <w:rPr>
          <w:lang w:val="en-GB"/>
        </w:rPr>
      </w:pPr>
    </w:p>
    <w:p w14:paraId="4BDCAC3F" w14:textId="77777777" w:rsidR="00683BF6" w:rsidRPr="00804F1D" w:rsidRDefault="00683BF6" w:rsidP="00262A0A">
      <w:pPr>
        <w:spacing w:line="360" w:lineRule="auto"/>
        <w:rPr>
          <w:lang w:val="en-GB"/>
        </w:rPr>
      </w:pPr>
    </w:p>
    <w:p w14:paraId="3BBD7679" w14:textId="77777777" w:rsidR="00804F1D" w:rsidRPr="0089313F" w:rsidRDefault="00804F1D" w:rsidP="00262A0A">
      <w:pPr>
        <w:spacing w:line="360" w:lineRule="auto"/>
        <w:jc w:val="both"/>
        <w:rPr>
          <w:sz w:val="28"/>
          <w:szCs w:val="28"/>
        </w:rPr>
      </w:pPr>
      <w:r w:rsidRPr="0089313F">
        <w:rPr>
          <w:sz w:val="28"/>
          <w:szCs w:val="28"/>
        </w:rPr>
        <w:t>_______</w:t>
      </w:r>
      <w:r>
        <w:rPr>
          <w:sz w:val="28"/>
          <w:szCs w:val="28"/>
        </w:rPr>
        <w:t>________</w:t>
      </w:r>
      <w:r w:rsidRPr="0089313F">
        <w:rPr>
          <w:sz w:val="28"/>
          <w:szCs w:val="28"/>
        </w:rPr>
        <w:t xml:space="preserve"> </w:t>
      </w:r>
    </w:p>
    <w:p w14:paraId="6E76E70E" w14:textId="77777777" w:rsidR="00804F1D" w:rsidRPr="00683BF6" w:rsidRDefault="00804F1D" w:rsidP="00262A0A">
      <w:pPr>
        <w:spacing w:line="360" w:lineRule="auto"/>
        <w:jc w:val="both"/>
        <w:rPr>
          <w:rFonts w:ascii="Arial" w:hAnsi="Arial" w:cs="Arial"/>
          <w:b/>
          <w:sz w:val="28"/>
          <w:szCs w:val="28"/>
        </w:rPr>
      </w:pPr>
      <w:r w:rsidRPr="00683BF6">
        <w:rPr>
          <w:rFonts w:ascii="Arial" w:hAnsi="Arial" w:cs="Arial"/>
          <w:b/>
          <w:sz w:val="28"/>
          <w:szCs w:val="28"/>
        </w:rPr>
        <w:t xml:space="preserve">A. GOVINDJEE                                                                                                                                                       </w:t>
      </w:r>
    </w:p>
    <w:p w14:paraId="628B01E4" w14:textId="77777777" w:rsidR="00804F1D" w:rsidRPr="00683BF6" w:rsidRDefault="00804F1D" w:rsidP="00262A0A">
      <w:pPr>
        <w:spacing w:line="360" w:lineRule="auto"/>
        <w:jc w:val="both"/>
        <w:rPr>
          <w:rFonts w:ascii="Arial" w:hAnsi="Arial" w:cs="Arial"/>
          <w:b/>
          <w:sz w:val="28"/>
          <w:szCs w:val="28"/>
        </w:rPr>
      </w:pPr>
      <w:r w:rsidRPr="00683BF6">
        <w:rPr>
          <w:rFonts w:ascii="Arial" w:hAnsi="Arial" w:cs="Arial"/>
          <w:b/>
          <w:sz w:val="28"/>
          <w:szCs w:val="28"/>
        </w:rPr>
        <w:t>JUDGE OF THE HIGH COURT</w:t>
      </w:r>
    </w:p>
    <w:p w14:paraId="19487F5C" w14:textId="453638C1" w:rsidR="00804F1D" w:rsidRDefault="00804F1D" w:rsidP="00262A0A">
      <w:pPr>
        <w:spacing w:line="360" w:lineRule="auto"/>
        <w:rPr>
          <w:lang w:val="en-GB"/>
        </w:rPr>
      </w:pPr>
    </w:p>
    <w:p w14:paraId="4C2C0D3E" w14:textId="4C771E4E" w:rsidR="002B6AC4" w:rsidRDefault="002B6AC4" w:rsidP="00262A0A">
      <w:pPr>
        <w:spacing w:line="360" w:lineRule="auto"/>
        <w:rPr>
          <w:lang w:val="en-GB"/>
        </w:rPr>
      </w:pPr>
    </w:p>
    <w:p w14:paraId="1DC6F086" w14:textId="6AB52A06" w:rsidR="00896983" w:rsidRPr="00896983" w:rsidRDefault="00896983" w:rsidP="00896983">
      <w:pPr>
        <w:widowControl w:val="0"/>
        <w:spacing w:line="360" w:lineRule="auto"/>
        <w:ind w:right="656"/>
        <w:rPr>
          <w:rFonts w:ascii="Arial" w:hAnsi="Arial" w:cs="Arial"/>
          <w:color w:val="000000" w:themeColor="text1"/>
          <w:spacing w:val="14"/>
          <w:kern w:val="2"/>
          <w:lang w:val="en-GB"/>
        </w:rPr>
      </w:pPr>
      <w:r w:rsidRPr="00896983">
        <w:rPr>
          <w:rFonts w:ascii="Arial" w:hAnsi="Arial" w:cs="Arial"/>
          <w:b/>
          <w:bCs/>
          <w:color w:val="000000" w:themeColor="text1"/>
          <w:spacing w:val="14"/>
          <w:kern w:val="2"/>
          <w:lang w:val="en-GB"/>
        </w:rPr>
        <w:t xml:space="preserve">Heard: </w:t>
      </w:r>
      <w:r>
        <w:rPr>
          <w:rFonts w:ascii="Arial" w:hAnsi="Arial" w:cs="Arial"/>
          <w:color w:val="000000" w:themeColor="text1"/>
          <w:spacing w:val="14"/>
          <w:kern w:val="2"/>
          <w:lang w:val="en-GB"/>
        </w:rPr>
        <w:t xml:space="preserve">23 October </w:t>
      </w:r>
      <w:r w:rsidRPr="00896983">
        <w:rPr>
          <w:rFonts w:ascii="Arial" w:hAnsi="Arial" w:cs="Arial"/>
          <w:color w:val="000000" w:themeColor="text1"/>
          <w:spacing w:val="14"/>
          <w:kern w:val="2"/>
          <w:lang w:val="en-GB"/>
        </w:rPr>
        <w:t>2023</w:t>
      </w:r>
    </w:p>
    <w:p w14:paraId="7406033E" w14:textId="77777777" w:rsidR="00896983" w:rsidRPr="00896983" w:rsidRDefault="00896983" w:rsidP="00896983">
      <w:pPr>
        <w:widowControl w:val="0"/>
        <w:spacing w:line="360" w:lineRule="auto"/>
        <w:ind w:left="4320" w:right="656" w:firstLine="720"/>
        <w:jc w:val="right"/>
        <w:rPr>
          <w:rFonts w:ascii="Arial" w:hAnsi="Arial" w:cs="Arial"/>
          <w:color w:val="000000" w:themeColor="text1"/>
          <w:spacing w:val="14"/>
          <w:kern w:val="2"/>
          <w:lang w:val="en-GB"/>
        </w:rPr>
      </w:pPr>
    </w:p>
    <w:p w14:paraId="25B75511" w14:textId="0604814E" w:rsidR="00896983" w:rsidRPr="00896983" w:rsidRDefault="00896983" w:rsidP="00896983">
      <w:pPr>
        <w:widowControl w:val="0"/>
        <w:spacing w:line="360" w:lineRule="auto"/>
        <w:ind w:right="656"/>
        <w:rPr>
          <w:rFonts w:ascii="Arial" w:hAnsi="Arial" w:cs="Arial"/>
          <w:color w:val="000000" w:themeColor="text1"/>
          <w:spacing w:val="14"/>
          <w:kern w:val="2"/>
          <w:lang w:val="en-GB"/>
        </w:rPr>
      </w:pPr>
      <w:r w:rsidRPr="00896983">
        <w:rPr>
          <w:rFonts w:ascii="Arial" w:hAnsi="Arial" w:cs="Arial"/>
          <w:b/>
          <w:bCs/>
          <w:color w:val="000000" w:themeColor="text1"/>
          <w:spacing w:val="14"/>
          <w:kern w:val="2"/>
          <w:lang w:val="en-GB"/>
        </w:rPr>
        <w:t xml:space="preserve">Delivered: </w:t>
      </w:r>
      <w:r>
        <w:rPr>
          <w:rFonts w:ascii="Arial" w:hAnsi="Arial" w:cs="Arial"/>
          <w:color w:val="000000" w:themeColor="text1"/>
          <w:spacing w:val="14"/>
          <w:kern w:val="2"/>
          <w:lang w:val="en-GB"/>
        </w:rPr>
        <w:t>27 October</w:t>
      </w:r>
      <w:r w:rsidRPr="00896983">
        <w:rPr>
          <w:rFonts w:ascii="Arial" w:hAnsi="Arial" w:cs="Arial"/>
          <w:color w:val="000000" w:themeColor="text1"/>
          <w:spacing w:val="14"/>
          <w:kern w:val="2"/>
          <w:lang w:val="en-GB"/>
        </w:rPr>
        <w:t xml:space="preserve"> 2023</w:t>
      </w:r>
    </w:p>
    <w:p w14:paraId="05472441" w14:textId="77777777" w:rsidR="00896983" w:rsidRPr="00896983" w:rsidRDefault="00896983" w:rsidP="00896983">
      <w:pPr>
        <w:autoSpaceDE w:val="0"/>
        <w:autoSpaceDN w:val="0"/>
        <w:adjustRightInd w:val="0"/>
        <w:spacing w:line="360" w:lineRule="auto"/>
        <w:jc w:val="both"/>
        <w:rPr>
          <w:rFonts w:ascii="Arial" w:hAnsi="Arial" w:cs="Arial"/>
          <w:color w:val="000000" w:themeColor="text1"/>
          <w:lang w:val="en-GB"/>
        </w:rPr>
      </w:pPr>
    </w:p>
    <w:p w14:paraId="15467223" w14:textId="77777777" w:rsidR="00896983" w:rsidRPr="00896983" w:rsidRDefault="00896983" w:rsidP="00896983">
      <w:pPr>
        <w:autoSpaceDE w:val="0"/>
        <w:autoSpaceDN w:val="0"/>
        <w:adjustRightInd w:val="0"/>
        <w:spacing w:line="360" w:lineRule="auto"/>
        <w:jc w:val="both"/>
        <w:rPr>
          <w:rFonts w:ascii="Arial" w:hAnsi="Arial" w:cs="Arial"/>
          <w:color w:val="000000" w:themeColor="text1"/>
          <w:lang w:val="en-GB"/>
        </w:rPr>
      </w:pPr>
    </w:p>
    <w:p w14:paraId="4A9555BF" w14:textId="77777777" w:rsidR="00896983" w:rsidRPr="00896983" w:rsidRDefault="00896983" w:rsidP="00896983">
      <w:pPr>
        <w:autoSpaceDE w:val="0"/>
        <w:autoSpaceDN w:val="0"/>
        <w:adjustRightInd w:val="0"/>
        <w:spacing w:line="360" w:lineRule="auto"/>
        <w:jc w:val="both"/>
        <w:rPr>
          <w:rFonts w:ascii="Arial" w:hAnsi="Arial" w:cs="Arial"/>
          <w:color w:val="000000" w:themeColor="text1"/>
          <w:lang w:val="en-GB"/>
        </w:rPr>
      </w:pPr>
    </w:p>
    <w:p w14:paraId="5E076098" w14:textId="77777777" w:rsidR="00896983" w:rsidRPr="00896983" w:rsidRDefault="00896983" w:rsidP="00896983">
      <w:pPr>
        <w:autoSpaceDE w:val="0"/>
        <w:autoSpaceDN w:val="0"/>
        <w:adjustRightInd w:val="0"/>
        <w:spacing w:line="360" w:lineRule="auto"/>
        <w:jc w:val="both"/>
        <w:rPr>
          <w:rFonts w:ascii="Arial" w:hAnsi="Arial" w:cs="Arial"/>
          <w:color w:val="000000" w:themeColor="text1"/>
          <w:lang w:val="en-GB"/>
        </w:rPr>
      </w:pPr>
    </w:p>
    <w:p w14:paraId="5C1189C0" w14:textId="77777777" w:rsidR="00896983" w:rsidRPr="00896983" w:rsidRDefault="00896983" w:rsidP="00896983">
      <w:pPr>
        <w:autoSpaceDE w:val="0"/>
        <w:autoSpaceDN w:val="0"/>
        <w:adjustRightInd w:val="0"/>
        <w:spacing w:line="360" w:lineRule="auto"/>
        <w:jc w:val="both"/>
        <w:rPr>
          <w:rFonts w:ascii="Arial" w:hAnsi="Arial" w:cs="Arial"/>
          <w:color w:val="000000" w:themeColor="text1"/>
          <w:lang w:val="en-GB"/>
        </w:rPr>
      </w:pPr>
    </w:p>
    <w:p w14:paraId="27DE5F1F" w14:textId="77777777" w:rsidR="00896983" w:rsidRPr="00896983" w:rsidRDefault="00896983" w:rsidP="00896983">
      <w:pPr>
        <w:autoSpaceDE w:val="0"/>
        <w:autoSpaceDN w:val="0"/>
        <w:adjustRightInd w:val="0"/>
        <w:spacing w:line="360" w:lineRule="auto"/>
        <w:jc w:val="both"/>
        <w:rPr>
          <w:rFonts w:ascii="Arial" w:hAnsi="Arial" w:cs="Arial"/>
          <w:color w:val="000000" w:themeColor="text1"/>
          <w:lang w:val="en-GB"/>
        </w:rPr>
      </w:pPr>
    </w:p>
    <w:p w14:paraId="18F3EFF9" w14:textId="77777777" w:rsidR="00896983" w:rsidRPr="00896983" w:rsidRDefault="00896983" w:rsidP="00896983">
      <w:pPr>
        <w:autoSpaceDE w:val="0"/>
        <w:autoSpaceDN w:val="0"/>
        <w:adjustRightInd w:val="0"/>
        <w:spacing w:line="360" w:lineRule="auto"/>
        <w:jc w:val="both"/>
        <w:rPr>
          <w:rFonts w:ascii="Arial" w:hAnsi="Arial" w:cs="Arial"/>
          <w:color w:val="000000" w:themeColor="text1"/>
          <w:lang w:val="en-GB"/>
        </w:rPr>
      </w:pPr>
    </w:p>
    <w:p w14:paraId="6149D06A" w14:textId="77777777" w:rsidR="00896983" w:rsidRPr="00896983" w:rsidRDefault="00896983" w:rsidP="00896983">
      <w:pPr>
        <w:autoSpaceDE w:val="0"/>
        <w:autoSpaceDN w:val="0"/>
        <w:adjustRightInd w:val="0"/>
        <w:spacing w:line="360" w:lineRule="auto"/>
        <w:jc w:val="both"/>
        <w:rPr>
          <w:rFonts w:ascii="Arial" w:hAnsi="Arial" w:cs="Arial"/>
          <w:color w:val="000000" w:themeColor="text1"/>
          <w:lang w:val="en-GB"/>
        </w:rPr>
      </w:pPr>
    </w:p>
    <w:p w14:paraId="67CD4BBF" w14:textId="77777777" w:rsidR="00896983" w:rsidRPr="00896983" w:rsidRDefault="00896983" w:rsidP="00896983">
      <w:pPr>
        <w:autoSpaceDE w:val="0"/>
        <w:autoSpaceDN w:val="0"/>
        <w:adjustRightInd w:val="0"/>
        <w:spacing w:line="360" w:lineRule="auto"/>
        <w:jc w:val="both"/>
        <w:rPr>
          <w:rFonts w:ascii="Arial" w:hAnsi="Arial" w:cs="Arial"/>
          <w:color w:val="000000" w:themeColor="text1"/>
          <w:lang w:val="en-GB"/>
        </w:rPr>
      </w:pPr>
    </w:p>
    <w:p w14:paraId="49DFC50A" w14:textId="77777777" w:rsidR="00896983" w:rsidRPr="00896983" w:rsidRDefault="00896983" w:rsidP="00896983">
      <w:pPr>
        <w:autoSpaceDE w:val="0"/>
        <w:autoSpaceDN w:val="0"/>
        <w:adjustRightInd w:val="0"/>
        <w:spacing w:line="360" w:lineRule="auto"/>
        <w:jc w:val="both"/>
        <w:rPr>
          <w:rFonts w:ascii="Arial" w:hAnsi="Arial" w:cs="Arial"/>
          <w:color w:val="000000" w:themeColor="text1"/>
          <w:lang w:val="en-GB"/>
        </w:rPr>
      </w:pPr>
    </w:p>
    <w:p w14:paraId="2896E4A1" w14:textId="77777777" w:rsidR="00896983" w:rsidRPr="00896983" w:rsidRDefault="00896983" w:rsidP="00896983">
      <w:pPr>
        <w:spacing w:line="360" w:lineRule="auto"/>
        <w:jc w:val="both"/>
        <w:rPr>
          <w:rFonts w:ascii="Arial" w:hAnsi="Arial" w:cs="Arial"/>
          <w:lang w:val="en-GB"/>
        </w:rPr>
      </w:pPr>
      <w:r w:rsidRPr="00896983">
        <w:rPr>
          <w:rFonts w:ascii="Arial" w:hAnsi="Arial" w:cs="Arial"/>
          <w:lang w:val="en-GB"/>
        </w:rPr>
        <w:lastRenderedPageBreak/>
        <w:t>Appearances:</w:t>
      </w:r>
    </w:p>
    <w:p w14:paraId="3FCDBFB7" w14:textId="77777777" w:rsidR="00896983" w:rsidRPr="00896983" w:rsidRDefault="00896983" w:rsidP="00896983">
      <w:pPr>
        <w:spacing w:line="360" w:lineRule="auto"/>
        <w:jc w:val="both"/>
        <w:rPr>
          <w:rFonts w:ascii="Arial" w:hAnsi="Arial" w:cs="Arial"/>
          <w:lang w:val="en-GB"/>
        </w:rPr>
      </w:pPr>
    </w:p>
    <w:p w14:paraId="5340B768" w14:textId="77777777" w:rsidR="00896983" w:rsidRPr="00896983" w:rsidRDefault="00896983" w:rsidP="00896983">
      <w:pPr>
        <w:tabs>
          <w:tab w:val="left" w:pos="3261"/>
          <w:tab w:val="center" w:pos="4003"/>
        </w:tabs>
        <w:spacing w:line="360" w:lineRule="auto"/>
        <w:jc w:val="both"/>
        <w:rPr>
          <w:rFonts w:ascii="Arial" w:hAnsi="Arial" w:cs="Arial"/>
        </w:rPr>
      </w:pPr>
      <w:r w:rsidRPr="00896983">
        <w:rPr>
          <w:rFonts w:ascii="Arial" w:hAnsi="Arial" w:cs="Arial"/>
        </w:rPr>
        <w:t>Counsel for the State:</w:t>
      </w:r>
      <w:r w:rsidRPr="00896983">
        <w:rPr>
          <w:rFonts w:ascii="Arial" w:hAnsi="Arial" w:cs="Arial"/>
        </w:rPr>
        <w:tab/>
        <w:t>Adv M. van Rooyen</w:t>
      </w:r>
    </w:p>
    <w:p w14:paraId="74C8E825" w14:textId="77777777" w:rsidR="00896983" w:rsidRPr="00896983" w:rsidRDefault="00896983" w:rsidP="00896983">
      <w:pPr>
        <w:tabs>
          <w:tab w:val="left" w:pos="3261"/>
          <w:tab w:val="center" w:pos="4003"/>
        </w:tabs>
        <w:spacing w:line="360" w:lineRule="auto"/>
        <w:jc w:val="both"/>
        <w:rPr>
          <w:rFonts w:ascii="Arial" w:hAnsi="Arial" w:cs="Arial"/>
        </w:rPr>
      </w:pPr>
      <w:r w:rsidRPr="00896983">
        <w:rPr>
          <w:rFonts w:ascii="Arial" w:hAnsi="Arial" w:cs="Arial"/>
        </w:rPr>
        <w:tab/>
        <w:t>Director of Public Prosecutions</w:t>
      </w:r>
    </w:p>
    <w:p w14:paraId="5A7ECBB3" w14:textId="77777777" w:rsidR="00896983" w:rsidRPr="00896983" w:rsidRDefault="00896983" w:rsidP="00896983">
      <w:pPr>
        <w:tabs>
          <w:tab w:val="left" w:pos="3261"/>
          <w:tab w:val="center" w:pos="4003"/>
        </w:tabs>
        <w:spacing w:line="360" w:lineRule="auto"/>
        <w:jc w:val="both"/>
        <w:rPr>
          <w:rFonts w:ascii="Arial" w:hAnsi="Arial" w:cs="Arial"/>
        </w:rPr>
      </w:pPr>
      <w:r w:rsidRPr="00896983">
        <w:rPr>
          <w:rFonts w:ascii="Arial" w:hAnsi="Arial" w:cs="Arial"/>
        </w:rPr>
        <w:t xml:space="preserve">                                                 </w:t>
      </w:r>
      <w:proofErr w:type="spellStart"/>
      <w:r w:rsidRPr="00896983">
        <w:rPr>
          <w:rFonts w:ascii="Arial" w:hAnsi="Arial" w:cs="Arial"/>
        </w:rPr>
        <w:t>Makhanda</w:t>
      </w:r>
      <w:proofErr w:type="spellEnd"/>
    </w:p>
    <w:p w14:paraId="4D598065" w14:textId="77777777" w:rsidR="00896983" w:rsidRPr="00896983" w:rsidRDefault="00896983" w:rsidP="00896983">
      <w:pPr>
        <w:tabs>
          <w:tab w:val="left" w:pos="3261"/>
          <w:tab w:val="left" w:pos="3402"/>
          <w:tab w:val="left" w:pos="3686"/>
          <w:tab w:val="center" w:pos="4003"/>
        </w:tabs>
        <w:spacing w:line="360" w:lineRule="auto"/>
        <w:jc w:val="both"/>
        <w:rPr>
          <w:rFonts w:ascii="Arial" w:hAnsi="Arial" w:cs="Arial"/>
        </w:rPr>
      </w:pPr>
      <w:r w:rsidRPr="00896983">
        <w:rPr>
          <w:rFonts w:ascii="Arial" w:hAnsi="Arial" w:cs="Arial"/>
        </w:rPr>
        <w:t xml:space="preserve">                                                 046 602 3000</w:t>
      </w:r>
    </w:p>
    <w:p w14:paraId="7D9F91E2" w14:textId="77777777" w:rsidR="00896983" w:rsidRPr="00896983" w:rsidRDefault="00896983" w:rsidP="00896983">
      <w:pPr>
        <w:tabs>
          <w:tab w:val="center" w:pos="3989"/>
        </w:tabs>
        <w:spacing w:line="360" w:lineRule="auto"/>
        <w:rPr>
          <w:rFonts w:ascii="Arial" w:hAnsi="Arial" w:cs="Arial"/>
        </w:rPr>
      </w:pPr>
    </w:p>
    <w:p w14:paraId="6DAC7A38" w14:textId="77777777" w:rsidR="00896983" w:rsidRPr="00896983" w:rsidRDefault="00896983" w:rsidP="00896983">
      <w:pPr>
        <w:autoSpaceDE w:val="0"/>
        <w:autoSpaceDN w:val="0"/>
        <w:adjustRightInd w:val="0"/>
        <w:spacing w:line="360" w:lineRule="auto"/>
        <w:jc w:val="both"/>
        <w:rPr>
          <w:rFonts w:ascii="Arial" w:hAnsi="Arial" w:cs="Arial"/>
          <w:lang w:val="en-GB"/>
        </w:rPr>
      </w:pPr>
    </w:p>
    <w:p w14:paraId="0CD99E93" w14:textId="77777777" w:rsidR="00896983" w:rsidRPr="00896983" w:rsidRDefault="00896983" w:rsidP="00896983">
      <w:pPr>
        <w:tabs>
          <w:tab w:val="left" w:pos="3261"/>
          <w:tab w:val="center" w:pos="3989"/>
        </w:tabs>
        <w:spacing w:line="360" w:lineRule="auto"/>
        <w:rPr>
          <w:rFonts w:ascii="Arial" w:hAnsi="Arial" w:cs="Arial"/>
        </w:rPr>
      </w:pPr>
      <w:r w:rsidRPr="00896983">
        <w:rPr>
          <w:rFonts w:ascii="Arial" w:hAnsi="Arial" w:cs="Arial"/>
        </w:rPr>
        <w:t xml:space="preserve">Attorney for Accused:     </w:t>
      </w:r>
      <w:r w:rsidRPr="00896983">
        <w:rPr>
          <w:rFonts w:ascii="Arial" w:hAnsi="Arial" w:cs="Arial"/>
        </w:rPr>
        <w:tab/>
        <w:t xml:space="preserve">Mr V. </w:t>
      </w:r>
      <w:proofErr w:type="spellStart"/>
      <w:r w:rsidRPr="00896983">
        <w:rPr>
          <w:rFonts w:ascii="Arial" w:hAnsi="Arial" w:cs="Arial"/>
        </w:rPr>
        <w:t>Sojada</w:t>
      </w:r>
      <w:proofErr w:type="spellEnd"/>
    </w:p>
    <w:p w14:paraId="13A513FE" w14:textId="77777777" w:rsidR="00896983" w:rsidRPr="00896983" w:rsidRDefault="00896983" w:rsidP="00896983">
      <w:pPr>
        <w:tabs>
          <w:tab w:val="left" w:pos="3119"/>
          <w:tab w:val="center" w:pos="3989"/>
        </w:tabs>
        <w:spacing w:line="360" w:lineRule="auto"/>
        <w:rPr>
          <w:rFonts w:ascii="Arial" w:hAnsi="Arial" w:cs="Arial"/>
        </w:rPr>
      </w:pPr>
      <w:r w:rsidRPr="00896983">
        <w:rPr>
          <w:rFonts w:ascii="Arial" w:hAnsi="Arial" w:cs="Arial"/>
        </w:rPr>
        <w:t xml:space="preserve">                                                 Legal Aid of South Africa</w:t>
      </w:r>
      <w:r w:rsidRPr="00896983">
        <w:rPr>
          <w:rFonts w:ascii="Arial" w:hAnsi="Arial" w:cs="Arial"/>
        </w:rPr>
        <w:tab/>
      </w:r>
    </w:p>
    <w:p w14:paraId="3EFCBFA8" w14:textId="77777777" w:rsidR="00896983" w:rsidRPr="00896983" w:rsidRDefault="00896983" w:rsidP="00896983">
      <w:pPr>
        <w:tabs>
          <w:tab w:val="center" w:pos="3989"/>
        </w:tabs>
        <w:spacing w:line="360" w:lineRule="auto"/>
        <w:rPr>
          <w:rFonts w:ascii="Arial" w:hAnsi="Arial" w:cs="Arial"/>
        </w:rPr>
      </w:pPr>
      <w:r w:rsidRPr="00896983">
        <w:rPr>
          <w:rFonts w:ascii="Arial" w:hAnsi="Arial" w:cs="Arial"/>
        </w:rPr>
        <w:t xml:space="preserve">                                                 </w:t>
      </w:r>
      <w:proofErr w:type="spellStart"/>
      <w:r w:rsidRPr="00896983">
        <w:rPr>
          <w:rFonts w:ascii="Arial" w:hAnsi="Arial" w:cs="Arial"/>
        </w:rPr>
        <w:t>Makhanda</w:t>
      </w:r>
      <w:proofErr w:type="spellEnd"/>
    </w:p>
    <w:p w14:paraId="10D27BA4" w14:textId="01515558" w:rsidR="00683BF6" w:rsidRDefault="00896983" w:rsidP="00896983">
      <w:pPr>
        <w:spacing w:line="360" w:lineRule="auto"/>
        <w:rPr>
          <w:lang w:val="en-GB"/>
        </w:rPr>
      </w:pPr>
      <w:r w:rsidRPr="00896983">
        <w:rPr>
          <w:rFonts w:ascii="Arial" w:hAnsi="Arial" w:cs="Arial"/>
        </w:rPr>
        <w:t xml:space="preserve">                                                 046 622 9350</w:t>
      </w:r>
    </w:p>
    <w:p w14:paraId="772137F7" w14:textId="75EA8B18" w:rsidR="00683BF6" w:rsidRDefault="00683BF6" w:rsidP="00262A0A">
      <w:pPr>
        <w:spacing w:line="360" w:lineRule="auto"/>
        <w:rPr>
          <w:lang w:val="en-GB"/>
        </w:rPr>
      </w:pPr>
    </w:p>
    <w:p w14:paraId="41E70DBB" w14:textId="4D50CF78" w:rsidR="00683BF6" w:rsidRDefault="00683BF6" w:rsidP="00262A0A">
      <w:pPr>
        <w:spacing w:line="360" w:lineRule="auto"/>
        <w:rPr>
          <w:lang w:val="en-GB"/>
        </w:rPr>
      </w:pPr>
    </w:p>
    <w:p w14:paraId="30340091" w14:textId="2B2FD817" w:rsidR="00683BF6" w:rsidRDefault="00683BF6" w:rsidP="00262A0A">
      <w:pPr>
        <w:spacing w:line="360" w:lineRule="auto"/>
        <w:rPr>
          <w:lang w:val="en-GB"/>
        </w:rPr>
      </w:pPr>
    </w:p>
    <w:p w14:paraId="6581AC71" w14:textId="19729E63" w:rsidR="00771866" w:rsidRDefault="00771866" w:rsidP="00262A0A">
      <w:pPr>
        <w:spacing w:line="360" w:lineRule="auto"/>
        <w:rPr>
          <w:lang w:val="en-GB"/>
        </w:rPr>
      </w:pPr>
    </w:p>
    <w:p w14:paraId="5D330265" w14:textId="77777777" w:rsidR="00771866" w:rsidRDefault="00771866" w:rsidP="00262A0A">
      <w:pPr>
        <w:spacing w:line="360" w:lineRule="auto"/>
        <w:rPr>
          <w:lang w:val="en-GB"/>
        </w:rPr>
      </w:pPr>
    </w:p>
    <w:p w14:paraId="49C2A72C" w14:textId="18F5CBE5" w:rsidR="00683BF6" w:rsidRDefault="00683BF6" w:rsidP="00262A0A">
      <w:pPr>
        <w:autoSpaceDE w:val="0"/>
        <w:autoSpaceDN w:val="0"/>
        <w:adjustRightInd w:val="0"/>
        <w:spacing w:line="360" w:lineRule="auto"/>
        <w:jc w:val="both"/>
        <w:rPr>
          <w:rFonts w:ascii="Arial" w:hAnsi="Arial" w:cs="Arial"/>
          <w:color w:val="000000" w:themeColor="text1"/>
          <w:lang w:val="en-GB"/>
        </w:rPr>
      </w:pPr>
    </w:p>
    <w:p w14:paraId="289BBF66" w14:textId="7A0A7029" w:rsidR="005231D6" w:rsidRDefault="005231D6" w:rsidP="00262A0A">
      <w:pPr>
        <w:autoSpaceDE w:val="0"/>
        <w:autoSpaceDN w:val="0"/>
        <w:adjustRightInd w:val="0"/>
        <w:spacing w:line="360" w:lineRule="auto"/>
        <w:jc w:val="both"/>
        <w:rPr>
          <w:rFonts w:ascii="Arial" w:hAnsi="Arial" w:cs="Arial"/>
          <w:color w:val="000000" w:themeColor="text1"/>
          <w:lang w:val="en-GB"/>
        </w:rPr>
      </w:pPr>
    </w:p>
    <w:p w14:paraId="7D7DD95D" w14:textId="77777777" w:rsidR="005231D6" w:rsidRPr="00683BF6" w:rsidRDefault="005231D6" w:rsidP="00262A0A">
      <w:pPr>
        <w:autoSpaceDE w:val="0"/>
        <w:autoSpaceDN w:val="0"/>
        <w:adjustRightInd w:val="0"/>
        <w:spacing w:line="360" w:lineRule="auto"/>
        <w:jc w:val="both"/>
        <w:rPr>
          <w:rFonts w:ascii="Arial" w:hAnsi="Arial" w:cs="Arial"/>
          <w:color w:val="000000" w:themeColor="text1"/>
          <w:lang w:val="en-GB"/>
        </w:rPr>
      </w:pPr>
    </w:p>
    <w:sectPr w:rsidR="005231D6" w:rsidRPr="00683BF6" w:rsidSect="0038367E">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97C6" w14:textId="77777777" w:rsidR="00CB4BF1" w:rsidRDefault="00CB4BF1" w:rsidP="002E3F77">
      <w:r>
        <w:separator/>
      </w:r>
    </w:p>
  </w:endnote>
  <w:endnote w:type="continuationSeparator" w:id="0">
    <w:p w14:paraId="4B246B23" w14:textId="77777777" w:rsidR="00CB4BF1" w:rsidRDefault="00CB4BF1" w:rsidP="002E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680D" w14:textId="77777777" w:rsidR="00CB4BF1" w:rsidRDefault="00CB4BF1" w:rsidP="002E3F77">
      <w:r>
        <w:separator/>
      </w:r>
    </w:p>
  </w:footnote>
  <w:footnote w:type="continuationSeparator" w:id="0">
    <w:p w14:paraId="48DF43CB" w14:textId="77777777" w:rsidR="00CB4BF1" w:rsidRDefault="00CB4BF1" w:rsidP="002E3F77">
      <w:r>
        <w:continuationSeparator/>
      </w:r>
    </w:p>
  </w:footnote>
  <w:footnote w:id="1">
    <w:p w14:paraId="529C5A92" w14:textId="224D1CB0" w:rsidR="00140377" w:rsidRPr="0040616F" w:rsidRDefault="00140377" w:rsidP="0040616F">
      <w:pPr>
        <w:pStyle w:val="FootnoteText"/>
        <w:jc w:val="both"/>
        <w:rPr>
          <w:rFonts w:ascii="Arial" w:hAnsi="Arial" w:cs="Arial"/>
          <w:lang w:val="en-US"/>
        </w:rPr>
      </w:pPr>
      <w:r w:rsidRPr="0040616F">
        <w:rPr>
          <w:rStyle w:val="FootnoteReference"/>
          <w:rFonts w:ascii="Arial" w:hAnsi="Arial" w:cs="Arial"/>
        </w:rPr>
        <w:footnoteRef/>
      </w:r>
      <w:r w:rsidRPr="0040616F">
        <w:rPr>
          <w:rFonts w:ascii="Arial" w:hAnsi="Arial" w:cs="Arial"/>
        </w:rPr>
        <w:t xml:space="preserve"> </w:t>
      </w:r>
      <w:r w:rsidRPr="0040616F">
        <w:rPr>
          <w:rFonts w:ascii="Arial" w:hAnsi="Arial" w:cs="Arial"/>
          <w:lang w:val="en-US"/>
        </w:rPr>
        <w:t>Act 32 of 2007 (‘the Act’).</w:t>
      </w:r>
    </w:p>
  </w:footnote>
  <w:footnote w:id="2">
    <w:p w14:paraId="351E3E0E" w14:textId="5E4A2690" w:rsidR="00A47BA3" w:rsidRPr="0040616F" w:rsidRDefault="00A47BA3"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Act 105 of 1997 (‘the Minimum Sentences Act’).</w:t>
      </w:r>
    </w:p>
  </w:footnote>
  <w:footnote w:id="3">
    <w:p w14:paraId="4A826EB7" w14:textId="2EE03A6E" w:rsidR="00DA77C4" w:rsidRPr="0040616F" w:rsidRDefault="00DA77C4"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S 51(3)</w:t>
      </w:r>
      <w:r w:rsidR="0072584D" w:rsidRPr="0040616F">
        <w:rPr>
          <w:rFonts w:ascii="Arial" w:hAnsi="Arial" w:cs="Arial"/>
          <w:lang w:val="en-GB"/>
        </w:rPr>
        <w:t>(</w:t>
      </w:r>
      <w:r w:rsidR="0072584D" w:rsidRPr="0040616F">
        <w:rPr>
          <w:rFonts w:ascii="Arial" w:hAnsi="Arial" w:cs="Arial"/>
          <w:i/>
          <w:iCs/>
          <w:lang w:val="en-GB"/>
        </w:rPr>
        <w:t>a</w:t>
      </w:r>
      <w:r w:rsidR="0072584D" w:rsidRPr="0040616F">
        <w:rPr>
          <w:rFonts w:ascii="Arial" w:hAnsi="Arial" w:cs="Arial"/>
          <w:lang w:val="en-GB"/>
        </w:rPr>
        <w:t>)</w:t>
      </w:r>
      <w:r w:rsidRPr="0040616F">
        <w:rPr>
          <w:rFonts w:ascii="Arial" w:hAnsi="Arial" w:cs="Arial"/>
          <w:lang w:val="en-GB"/>
        </w:rPr>
        <w:t xml:space="preserve"> of the Minimum Sentences Act.</w:t>
      </w:r>
    </w:p>
  </w:footnote>
  <w:footnote w:id="4">
    <w:p w14:paraId="2BFA82B7" w14:textId="77777777" w:rsidR="00DD257D" w:rsidRPr="0040616F" w:rsidRDefault="00DD257D"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Act 51 of 1977 (‘the CPA’).</w:t>
      </w:r>
    </w:p>
  </w:footnote>
  <w:footnote w:id="5">
    <w:p w14:paraId="44756558" w14:textId="77777777" w:rsidR="00DD257D" w:rsidRPr="0040616F" w:rsidRDefault="00DD257D"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Pr="0040616F">
        <w:rPr>
          <w:rFonts w:ascii="Arial" w:hAnsi="Arial" w:cs="Arial"/>
          <w:i/>
          <w:iCs/>
          <w:lang w:val="en-GB"/>
        </w:rPr>
        <w:t>S v Rabie</w:t>
      </w:r>
      <w:r w:rsidRPr="0040616F">
        <w:rPr>
          <w:rFonts w:ascii="Arial" w:hAnsi="Arial" w:cs="Arial"/>
          <w:lang w:val="en-GB"/>
        </w:rPr>
        <w:t xml:space="preserve"> 1975 (4) SA 855 (A).</w:t>
      </w:r>
    </w:p>
  </w:footnote>
  <w:footnote w:id="6">
    <w:p w14:paraId="66BDCA04" w14:textId="630901C7" w:rsidR="00DD257D" w:rsidRPr="0040616F" w:rsidRDefault="00DD257D"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00A56F3E">
        <w:rPr>
          <w:rFonts w:ascii="Arial" w:hAnsi="Arial" w:cs="Arial"/>
          <w:lang w:val="en-GB"/>
        </w:rPr>
        <w:t xml:space="preserve">Ibid </w:t>
      </w:r>
      <w:r w:rsidRPr="0040616F">
        <w:rPr>
          <w:rFonts w:ascii="Arial" w:hAnsi="Arial" w:cs="Arial"/>
          <w:lang w:val="en-GB"/>
        </w:rPr>
        <w:t>at 862G-H.</w:t>
      </w:r>
    </w:p>
  </w:footnote>
  <w:footnote w:id="7">
    <w:p w14:paraId="19FBEE9F" w14:textId="77777777" w:rsidR="00DD257D" w:rsidRPr="0040616F" w:rsidRDefault="00DD257D"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See </w:t>
      </w:r>
      <w:r w:rsidRPr="0040616F">
        <w:rPr>
          <w:rFonts w:ascii="Arial" w:hAnsi="Arial" w:cs="Arial"/>
          <w:i/>
          <w:iCs/>
          <w:lang w:val="en-GB"/>
        </w:rPr>
        <w:t xml:space="preserve">S v </w:t>
      </w:r>
      <w:proofErr w:type="spellStart"/>
      <w:r w:rsidRPr="0040616F">
        <w:rPr>
          <w:rFonts w:ascii="Arial" w:hAnsi="Arial" w:cs="Arial"/>
          <w:i/>
          <w:iCs/>
          <w:lang w:val="en-GB"/>
        </w:rPr>
        <w:t>Khulu</w:t>
      </w:r>
      <w:proofErr w:type="spellEnd"/>
      <w:r w:rsidRPr="0040616F">
        <w:rPr>
          <w:rFonts w:ascii="Arial" w:hAnsi="Arial" w:cs="Arial"/>
          <w:lang w:val="en-GB"/>
        </w:rPr>
        <w:t xml:space="preserve"> 1975 (2) SA 518 (N) 521-522.</w:t>
      </w:r>
    </w:p>
  </w:footnote>
  <w:footnote w:id="8">
    <w:p w14:paraId="70FE0434" w14:textId="77777777" w:rsidR="00DD257D" w:rsidRPr="0040616F" w:rsidRDefault="00DD257D"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Pr="0040616F">
        <w:rPr>
          <w:rFonts w:ascii="Arial" w:hAnsi="Arial" w:cs="Arial"/>
          <w:i/>
          <w:iCs/>
          <w:lang w:val="en-GB"/>
        </w:rPr>
        <w:t xml:space="preserve">S v </w:t>
      </w:r>
      <w:proofErr w:type="spellStart"/>
      <w:r w:rsidRPr="0040616F">
        <w:rPr>
          <w:rFonts w:ascii="Arial" w:hAnsi="Arial" w:cs="Arial"/>
          <w:i/>
          <w:iCs/>
          <w:lang w:val="en-GB"/>
        </w:rPr>
        <w:t>Mhlakhaza</w:t>
      </w:r>
      <w:proofErr w:type="spellEnd"/>
      <w:r w:rsidRPr="0040616F">
        <w:rPr>
          <w:rFonts w:ascii="Arial" w:hAnsi="Arial" w:cs="Arial"/>
          <w:i/>
          <w:iCs/>
          <w:lang w:val="en-GB"/>
        </w:rPr>
        <w:t xml:space="preserve"> and Another</w:t>
      </w:r>
      <w:r w:rsidRPr="0040616F">
        <w:rPr>
          <w:rFonts w:ascii="Arial" w:hAnsi="Arial" w:cs="Arial"/>
          <w:lang w:val="en-GB"/>
        </w:rPr>
        <w:t xml:space="preserve"> [1997] 2 All SA 185 (A) at 189. Also see </w:t>
      </w:r>
      <w:r w:rsidRPr="0040616F">
        <w:rPr>
          <w:rFonts w:ascii="Arial" w:hAnsi="Arial" w:cs="Arial"/>
          <w:i/>
          <w:iCs/>
          <w:lang w:val="en-GB"/>
        </w:rPr>
        <w:t xml:space="preserve">S v M </w:t>
      </w:r>
      <w:r w:rsidRPr="0040616F">
        <w:rPr>
          <w:rFonts w:ascii="Arial" w:hAnsi="Arial" w:cs="Arial"/>
          <w:lang w:val="en-GB"/>
        </w:rPr>
        <w:t xml:space="preserve">(Centre for Child Law as </w:t>
      </w:r>
      <w:r w:rsidRPr="0040616F">
        <w:rPr>
          <w:rFonts w:ascii="Arial" w:hAnsi="Arial" w:cs="Arial"/>
          <w:i/>
          <w:iCs/>
          <w:lang w:val="en-GB"/>
        </w:rPr>
        <w:t>amicus curiae</w:t>
      </w:r>
      <w:r w:rsidRPr="0040616F">
        <w:rPr>
          <w:rFonts w:ascii="Arial" w:hAnsi="Arial" w:cs="Arial"/>
          <w:lang w:val="en-GB"/>
        </w:rPr>
        <w:t>) 2007 (2) SACR 539 (CC).</w:t>
      </w:r>
    </w:p>
  </w:footnote>
  <w:footnote w:id="9">
    <w:p w14:paraId="5BF432CE" w14:textId="77777777" w:rsidR="00DD257D" w:rsidRPr="0040616F" w:rsidRDefault="00DD257D"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Pr="0040616F">
        <w:rPr>
          <w:rFonts w:ascii="Arial" w:hAnsi="Arial" w:cs="Arial"/>
          <w:i/>
          <w:iCs/>
          <w:lang w:val="en-GB"/>
        </w:rPr>
        <w:t>S v Zinn</w:t>
      </w:r>
      <w:r w:rsidRPr="0040616F">
        <w:rPr>
          <w:rFonts w:ascii="Arial" w:hAnsi="Arial" w:cs="Arial"/>
          <w:lang w:val="en-GB"/>
        </w:rPr>
        <w:t xml:space="preserve"> [1969] 3 All SA 57 (A) at 540G-H.</w:t>
      </w:r>
    </w:p>
  </w:footnote>
  <w:footnote w:id="10">
    <w:p w14:paraId="424DE2AD" w14:textId="71F0CDB1" w:rsidR="00DD257D" w:rsidRPr="0040616F" w:rsidRDefault="00DD257D"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007B0911">
        <w:rPr>
          <w:rFonts w:ascii="Arial" w:hAnsi="Arial" w:cs="Arial"/>
          <w:i/>
          <w:iCs/>
          <w:lang w:val="en-GB"/>
        </w:rPr>
        <w:t xml:space="preserve">S v Malgas </w:t>
      </w:r>
      <w:r w:rsidRPr="0040616F">
        <w:rPr>
          <w:rFonts w:ascii="Arial" w:hAnsi="Arial" w:cs="Arial"/>
          <w:lang w:val="en-GB"/>
        </w:rPr>
        <w:t>2001 (1) SACR 469 (SCA).</w:t>
      </w:r>
    </w:p>
  </w:footnote>
  <w:footnote w:id="11">
    <w:p w14:paraId="40FDD885" w14:textId="41A09935" w:rsidR="00DD257D" w:rsidRPr="0040616F" w:rsidRDefault="00DD257D"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See </w:t>
      </w:r>
      <w:r w:rsidRPr="0040616F">
        <w:rPr>
          <w:rFonts w:ascii="Arial" w:hAnsi="Arial" w:cs="Arial"/>
          <w:i/>
          <w:iCs/>
          <w:lang w:val="en-GB"/>
        </w:rPr>
        <w:t>Radebe v The State</w:t>
      </w:r>
      <w:r w:rsidRPr="0040616F">
        <w:rPr>
          <w:rFonts w:ascii="Arial" w:hAnsi="Arial" w:cs="Arial"/>
          <w:lang w:val="en-GB"/>
        </w:rPr>
        <w:t xml:space="preserve"> [2019] ZAGPPHC 406 at para 12.</w:t>
      </w:r>
      <w:r w:rsidR="0072544F" w:rsidRPr="0040616F">
        <w:rPr>
          <w:rFonts w:ascii="Arial" w:hAnsi="Arial" w:cs="Arial"/>
          <w:lang w:val="en-GB"/>
        </w:rPr>
        <w:t xml:space="preserve"> </w:t>
      </w:r>
    </w:p>
  </w:footnote>
  <w:footnote w:id="12">
    <w:p w14:paraId="65683FB4" w14:textId="4EEACE52" w:rsidR="00DD257D" w:rsidRPr="0040616F" w:rsidRDefault="00DD257D"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007B0911">
        <w:rPr>
          <w:rFonts w:ascii="Arial" w:hAnsi="Arial" w:cs="Arial"/>
          <w:i/>
          <w:iCs/>
          <w:lang w:val="en-GB"/>
        </w:rPr>
        <w:t xml:space="preserve">S v </w:t>
      </w:r>
      <w:proofErr w:type="spellStart"/>
      <w:r w:rsidR="007B0911">
        <w:rPr>
          <w:rFonts w:ascii="Arial" w:hAnsi="Arial" w:cs="Arial"/>
          <w:i/>
          <w:iCs/>
          <w:lang w:val="en-GB"/>
        </w:rPr>
        <w:t>Matyityi</w:t>
      </w:r>
      <w:proofErr w:type="spellEnd"/>
      <w:r w:rsidR="007B0911">
        <w:rPr>
          <w:rFonts w:ascii="Arial" w:hAnsi="Arial" w:cs="Arial"/>
          <w:i/>
          <w:iCs/>
          <w:lang w:val="en-GB"/>
        </w:rPr>
        <w:t xml:space="preserve"> </w:t>
      </w:r>
      <w:r w:rsidRPr="0040616F">
        <w:rPr>
          <w:rFonts w:ascii="Arial" w:hAnsi="Arial" w:cs="Arial"/>
          <w:lang w:val="en-GB"/>
        </w:rPr>
        <w:t>2011 (1) SACR 40 (SCA) at para 23. Also see</w:t>
      </w:r>
      <w:r w:rsidR="001009E1" w:rsidRPr="0040616F">
        <w:rPr>
          <w:rFonts w:ascii="Arial" w:hAnsi="Arial" w:cs="Arial"/>
          <w:lang w:val="en-GB"/>
        </w:rPr>
        <w:t xml:space="preserve"> </w:t>
      </w:r>
      <w:r w:rsidRPr="0040616F">
        <w:rPr>
          <w:rFonts w:ascii="Arial" w:hAnsi="Arial" w:cs="Arial"/>
          <w:i/>
          <w:iCs/>
          <w:lang w:val="en-GB"/>
        </w:rPr>
        <w:t>Malgas</w:t>
      </w:r>
      <w:r w:rsidRPr="0040616F">
        <w:rPr>
          <w:rFonts w:ascii="Arial" w:hAnsi="Arial" w:cs="Arial"/>
          <w:lang w:val="en-GB"/>
        </w:rPr>
        <w:t xml:space="preserve"> </w:t>
      </w:r>
      <w:r w:rsidR="001F7E33">
        <w:rPr>
          <w:rFonts w:ascii="Arial" w:hAnsi="Arial" w:cs="Arial"/>
          <w:lang w:val="en-GB"/>
        </w:rPr>
        <w:t>above n 10</w:t>
      </w:r>
      <w:r w:rsidRPr="0040616F">
        <w:rPr>
          <w:rFonts w:ascii="Arial" w:hAnsi="Arial" w:cs="Arial"/>
          <w:lang w:val="en-GB"/>
        </w:rPr>
        <w:t>, in respect of the prescribed period of imprisonment in the Minimum Sentences Act ordinarily</w:t>
      </w:r>
      <w:r w:rsidRPr="0040616F">
        <w:rPr>
          <w:rFonts w:ascii="Arial" w:hAnsi="Arial" w:cs="Arial"/>
          <w:i/>
          <w:iCs/>
          <w:lang w:val="en-GB"/>
        </w:rPr>
        <w:t xml:space="preserve"> </w:t>
      </w:r>
      <w:r w:rsidRPr="0040616F">
        <w:rPr>
          <w:rFonts w:ascii="Arial" w:hAnsi="Arial" w:cs="Arial"/>
          <w:lang w:val="en-GB"/>
        </w:rPr>
        <w:t xml:space="preserve">being imposed for the commission of the listed crimes in the specified circumstances, </w:t>
      </w:r>
      <w:r w:rsidR="00526302" w:rsidRPr="0040616F">
        <w:rPr>
          <w:rFonts w:ascii="Arial" w:hAnsi="Arial" w:cs="Arial"/>
          <w:lang w:val="en-GB"/>
        </w:rPr>
        <w:t xml:space="preserve">in the absence of weighty justification, </w:t>
      </w:r>
      <w:r w:rsidRPr="0040616F">
        <w:rPr>
          <w:rFonts w:ascii="Arial" w:hAnsi="Arial" w:cs="Arial"/>
          <w:lang w:val="en-GB"/>
        </w:rPr>
        <w:t xml:space="preserve">as quoted in </w:t>
      </w:r>
      <w:r w:rsidRPr="0040616F">
        <w:rPr>
          <w:rFonts w:ascii="Arial" w:hAnsi="Arial" w:cs="Arial"/>
          <w:i/>
          <w:iCs/>
          <w:lang w:val="en-GB"/>
        </w:rPr>
        <w:t xml:space="preserve">Otto v S </w:t>
      </w:r>
      <w:r w:rsidRPr="0040616F">
        <w:rPr>
          <w:rFonts w:ascii="Arial" w:hAnsi="Arial" w:cs="Arial"/>
          <w:lang w:val="en-GB"/>
        </w:rPr>
        <w:t>[2017] ZASCA 114 at para 21.</w:t>
      </w:r>
    </w:p>
  </w:footnote>
  <w:footnote w:id="13">
    <w:p w14:paraId="48014477" w14:textId="5DD6C9FF" w:rsidR="00804937" w:rsidRPr="0040616F" w:rsidRDefault="00804937" w:rsidP="0040616F">
      <w:pPr>
        <w:pStyle w:val="FootnoteText"/>
        <w:jc w:val="both"/>
        <w:rPr>
          <w:rFonts w:ascii="Arial" w:hAnsi="Arial" w:cs="Arial"/>
          <w:lang w:val="en-US"/>
        </w:rPr>
      </w:pPr>
      <w:r w:rsidRPr="0040616F">
        <w:rPr>
          <w:rStyle w:val="FootnoteReference"/>
          <w:rFonts w:ascii="Arial" w:hAnsi="Arial" w:cs="Arial"/>
        </w:rPr>
        <w:footnoteRef/>
      </w:r>
      <w:r w:rsidRPr="0040616F">
        <w:rPr>
          <w:rFonts w:ascii="Arial" w:hAnsi="Arial" w:cs="Arial"/>
        </w:rPr>
        <w:t xml:space="preserve"> </w:t>
      </w:r>
      <w:r w:rsidRPr="0040616F">
        <w:rPr>
          <w:rFonts w:ascii="Arial" w:hAnsi="Arial" w:cs="Arial"/>
          <w:lang w:val="en-US"/>
        </w:rPr>
        <w:t xml:space="preserve">See A Spies ‘The judicial relevance and impact of victim impact statements in the sentencing of rape offenders’ (2018) </w:t>
      </w:r>
      <w:r w:rsidRPr="0040616F">
        <w:rPr>
          <w:rFonts w:ascii="Arial" w:hAnsi="Arial" w:cs="Arial"/>
          <w:i/>
          <w:iCs/>
          <w:lang w:val="en-US"/>
        </w:rPr>
        <w:t>SACJ</w:t>
      </w:r>
      <w:r w:rsidRPr="0040616F">
        <w:rPr>
          <w:rFonts w:ascii="Arial" w:hAnsi="Arial" w:cs="Arial"/>
          <w:lang w:val="en-US"/>
        </w:rPr>
        <w:t xml:space="preserve"> 212 at 231</w:t>
      </w:r>
      <w:r w:rsidR="00A172D9" w:rsidRPr="0040616F">
        <w:rPr>
          <w:rFonts w:ascii="Arial" w:hAnsi="Arial" w:cs="Arial"/>
          <w:lang w:val="en-US"/>
        </w:rPr>
        <w:t xml:space="preserve"> as cited in </w:t>
      </w:r>
      <w:r w:rsidR="00A172D9" w:rsidRPr="0040616F">
        <w:rPr>
          <w:rFonts w:ascii="Arial" w:hAnsi="Arial" w:cs="Arial"/>
          <w:i/>
          <w:iCs/>
          <w:lang w:val="en-US"/>
        </w:rPr>
        <w:t xml:space="preserve">S v </w:t>
      </w:r>
      <w:proofErr w:type="spellStart"/>
      <w:r w:rsidR="00A172D9" w:rsidRPr="0040616F">
        <w:rPr>
          <w:rFonts w:ascii="Arial" w:hAnsi="Arial" w:cs="Arial"/>
          <w:i/>
          <w:iCs/>
          <w:lang w:val="en-US"/>
        </w:rPr>
        <w:t>Dyonase</w:t>
      </w:r>
      <w:proofErr w:type="spellEnd"/>
      <w:r w:rsidR="00A172D9" w:rsidRPr="0040616F">
        <w:rPr>
          <w:rFonts w:ascii="Arial" w:hAnsi="Arial" w:cs="Arial"/>
          <w:lang w:val="en-US"/>
        </w:rPr>
        <w:t xml:space="preserve"> [2020] ZAWCHC 137 para 21.</w:t>
      </w:r>
    </w:p>
  </w:footnote>
  <w:footnote w:id="14">
    <w:p w14:paraId="4798525E" w14:textId="19A64B38" w:rsidR="006E2001" w:rsidRPr="0040616F" w:rsidRDefault="006E2001"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Pr="0040616F">
        <w:rPr>
          <w:rFonts w:ascii="Arial" w:hAnsi="Arial" w:cs="Arial"/>
          <w:i/>
          <w:iCs/>
          <w:lang w:val="en-GB"/>
        </w:rPr>
        <w:t>S v Chapman</w:t>
      </w:r>
      <w:r w:rsidRPr="0040616F">
        <w:rPr>
          <w:rFonts w:ascii="Arial" w:hAnsi="Arial" w:cs="Arial"/>
          <w:lang w:val="en-GB"/>
        </w:rPr>
        <w:t xml:space="preserve"> 1997 (2) SACR 3 (SCA) at 5B. When imposing a sentence in respect of the offence of rape, an apparent lack of physical injury to the complainant and any relationship between the complainant and accused prior to the offence being committed are not, on their own, considered to be substantial and compelling circumstances justifying the imposition of a lesser sentence: section 51(</w:t>
      </w:r>
      <w:proofErr w:type="gramStart"/>
      <w:r w:rsidRPr="0040616F">
        <w:rPr>
          <w:rFonts w:ascii="Arial" w:hAnsi="Arial" w:cs="Arial"/>
          <w:lang w:val="en-GB"/>
        </w:rPr>
        <w:t>3)(</w:t>
      </w:r>
      <w:proofErr w:type="spellStart"/>
      <w:proofErr w:type="gramEnd"/>
      <w:r w:rsidRPr="0040616F">
        <w:rPr>
          <w:rFonts w:ascii="Arial" w:hAnsi="Arial" w:cs="Arial"/>
          <w:i/>
          <w:iCs/>
          <w:lang w:val="en-GB"/>
        </w:rPr>
        <w:t>a</w:t>
      </w:r>
      <w:r w:rsidRPr="0040616F">
        <w:rPr>
          <w:rFonts w:ascii="Arial" w:hAnsi="Arial" w:cs="Arial"/>
          <w:lang w:val="en-GB"/>
        </w:rPr>
        <w:t>A</w:t>
      </w:r>
      <w:proofErr w:type="spellEnd"/>
      <w:r w:rsidRPr="0040616F">
        <w:rPr>
          <w:rFonts w:ascii="Arial" w:hAnsi="Arial" w:cs="Arial"/>
          <w:lang w:val="en-GB"/>
        </w:rPr>
        <w:t xml:space="preserve">) of the Minimum Sentences Act. </w:t>
      </w:r>
      <w:r w:rsidRPr="0040616F">
        <w:rPr>
          <w:rFonts w:ascii="Arial" w:hAnsi="Arial" w:cs="Arial"/>
          <w:i/>
          <w:iCs/>
          <w:lang w:val="en-GB"/>
        </w:rPr>
        <w:t>Radebe</w:t>
      </w:r>
      <w:r w:rsidRPr="0040616F">
        <w:rPr>
          <w:rFonts w:ascii="Arial" w:hAnsi="Arial" w:cs="Arial"/>
          <w:lang w:val="en-GB"/>
        </w:rPr>
        <w:t xml:space="preserve"> </w:t>
      </w:r>
      <w:r w:rsidR="00430469" w:rsidRPr="0040616F">
        <w:rPr>
          <w:rFonts w:ascii="Arial" w:hAnsi="Arial" w:cs="Arial"/>
          <w:i/>
          <w:iCs/>
          <w:lang w:val="en-GB"/>
        </w:rPr>
        <w:t>supra</w:t>
      </w:r>
      <w:r w:rsidRPr="0040616F">
        <w:rPr>
          <w:rFonts w:ascii="Arial" w:hAnsi="Arial" w:cs="Arial"/>
          <w:lang w:val="en-GB"/>
        </w:rPr>
        <w:t xml:space="preserve"> para 34. </w:t>
      </w:r>
      <w:r w:rsidR="00777846" w:rsidRPr="0040616F">
        <w:rPr>
          <w:rFonts w:ascii="Arial" w:hAnsi="Arial" w:cs="Arial"/>
          <w:lang w:val="en-GB"/>
        </w:rPr>
        <w:t xml:space="preserve">In </w:t>
      </w:r>
      <w:r w:rsidR="00771866" w:rsidRPr="0040616F">
        <w:rPr>
          <w:rFonts w:ascii="Arial" w:hAnsi="Arial" w:cs="Arial"/>
          <w:i/>
          <w:lang w:val="en-GB"/>
        </w:rPr>
        <w:t xml:space="preserve">S v </w:t>
      </w:r>
      <w:r w:rsidR="00777846" w:rsidRPr="0040616F">
        <w:rPr>
          <w:rFonts w:ascii="Arial" w:hAnsi="Arial" w:cs="Arial"/>
          <w:i/>
          <w:iCs/>
          <w:lang w:val="en-GB"/>
        </w:rPr>
        <w:t xml:space="preserve">Vilakazi </w:t>
      </w:r>
      <w:r w:rsidR="00771866" w:rsidRPr="0040616F">
        <w:rPr>
          <w:rFonts w:ascii="Arial" w:hAnsi="Arial" w:cs="Arial"/>
          <w:iCs/>
          <w:lang w:val="en-GB"/>
        </w:rPr>
        <w:t>[2008] ZASCA 87</w:t>
      </w:r>
      <w:r w:rsidR="00777846" w:rsidRPr="0040616F">
        <w:rPr>
          <w:rFonts w:ascii="Arial" w:hAnsi="Arial" w:cs="Arial"/>
          <w:lang w:val="en-GB"/>
        </w:rPr>
        <w:t xml:space="preserve"> para</w:t>
      </w:r>
      <w:r w:rsidR="00777846" w:rsidRPr="0040616F">
        <w:rPr>
          <w:rFonts w:ascii="Arial" w:hAnsi="Arial" w:cs="Arial"/>
          <w:i/>
          <w:lang w:val="en-GB"/>
        </w:rPr>
        <w:t xml:space="preserve"> </w:t>
      </w:r>
      <w:r w:rsidR="00777846" w:rsidRPr="0040616F">
        <w:rPr>
          <w:rFonts w:ascii="Arial" w:hAnsi="Arial" w:cs="Arial"/>
          <w:lang w:val="en-GB"/>
        </w:rPr>
        <w:t>54</w:t>
      </w:r>
      <w:r w:rsidR="00777846" w:rsidRPr="0040616F">
        <w:rPr>
          <w:rFonts w:ascii="Arial" w:hAnsi="Arial" w:cs="Arial"/>
          <w:i/>
          <w:lang w:val="en-GB"/>
        </w:rPr>
        <w:t>,</w:t>
      </w:r>
      <w:r w:rsidR="00777846" w:rsidRPr="0040616F">
        <w:rPr>
          <w:rFonts w:ascii="Arial" w:hAnsi="Arial" w:cs="Arial"/>
          <w:lang w:val="en-GB"/>
        </w:rPr>
        <w:t xml:space="preserve"> Nugent JA noted that ‘there comes a stage at which the maximum sentence is proportionate to an offence and the fact that the same sentence will be attracted by an even greater horror means only that the law can offer nothing more.’</w:t>
      </w:r>
    </w:p>
  </w:footnote>
  <w:footnote w:id="15">
    <w:p w14:paraId="399CCB85" w14:textId="012A745D" w:rsidR="006E2001" w:rsidRPr="0040616F" w:rsidRDefault="006E2001"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003429E7">
        <w:rPr>
          <w:rFonts w:ascii="Arial" w:hAnsi="Arial" w:cs="Arial"/>
          <w:i/>
          <w:iCs/>
          <w:lang w:val="en-GB"/>
        </w:rPr>
        <w:t xml:space="preserve">S v </w:t>
      </w:r>
      <w:proofErr w:type="spellStart"/>
      <w:r w:rsidR="003429E7">
        <w:rPr>
          <w:rFonts w:ascii="Arial" w:hAnsi="Arial" w:cs="Arial"/>
          <w:i/>
          <w:iCs/>
          <w:lang w:val="en-GB"/>
        </w:rPr>
        <w:t>Ncheche</w:t>
      </w:r>
      <w:proofErr w:type="spellEnd"/>
      <w:r w:rsidR="003429E7">
        <w:rPr>
          <w:rFonts w:ascii="Arial" w:hAnsi="Arial" w:cs="Arial"/>
          <w:i/>
          <w:iCs/>
          <w:lang w:val="en-GB"/>
        </w:rPr>
        <w:t xml:space="preserve"> </w:t>
      </w:r>
      <w:r w:rsidRPr="0040616F">
        <w:rPr>
          <w:rFonts w:ascii="Arial" w:hAnsi="Arial" w:cs="Arial"/>
          <w:lang w:val="en-GB"/>
        </w:rPr>
        <w:t>2005 (2) SACR 386 (WLD) para 35.</w:t>
      </w:r>
    </w:p>
  </w:footnote>
  <w:footnote w:id="16">
    <w:p w14:paraId="47C0F643" w14:textId="011D7E05" w:rsidR="00960910" w:rsidRPr="0040616F" w:rsidRDefault="00960910"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004A54B4">
        <w:rPr>
          <w:rFonts w:ascii="Arial" w:hAnsi="Arial" w:cs="Arial"/>
          <w:i/>
          <w:iCs/>
          <w:lang w:val="en-GB"/>
        </w:rPr>
        <w:t xml:space="preserve">S v Vilakazi </w:t>
      </w:r>
      <w:r w:rsidRPr="0040616F">
        <w:rPr>
          <w:rFonts w:ascii="Arial" w:hAnsi="Arial" w:cs="Arial"/>
          <w:lang w:val="en-GB"/>
        </w:rPr>
        <w:t>2009 (1) SACR 552 (SCA) at 555h.</w:t>
      </w:r>
    </w:p>
  </w:footnote>
  <w:footnote w:id="17">
    <w:p w14:paraId="0277E87E" w14:textId="5B881ED7" w:rsidR="00824EDE" w:rsidRPr="0040616F" w:rsidRDefault="00824EDE"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Pr="0040616F">
        <w:rPr>
          <w:rFonts w:ascii="Arial" w:hAnsi="Arial" w:cs="Arial"/>
          <w:i/>
          <w:iCs/>
          <w:lang w:val="en-GB"/>
        </w:rPr>
        <w:t>S v September</w:t>
      </w:r>
      <w:r w:rsidRPr="0040616F">
        <w:rPr>
          <w:rFonts w:ascii="Arial" w:hAnsi="Arial" w:cs="Arial"/>
          <w:lang w:val="en-GB"/>
        </w:rPr>
        <w:t xml:space="preserve"> [2014] ZAECGHC 38</w:t>
      </w:r>
      <w:r w:rsidR="00D2734E" w:rsidRPr="0040616F">
        <w:rPr>
          <w:rFonts w:ascii="Arial" w:hAnsi="Arial" w:cs="Arial"/>
          <w:lang w:val="en-GB"/>
        </w:rPr>
        <w:t xml:space="preserve"> para 8.</w:t>
      </w:r>
    </w:p>
  </w:footnote>
  <w:footnote w:id="18">
    <w:p w14:paraId="07983A0F" w14:textId="5ABDCB0F" w:rsidR="00363797" w:rsidRPr="0040616F" w:rsidRDefault="00363797"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Pr="0040616F">
        <w:rPr>
          <w:rFonts w:ascii="Arial" w:hAnsi="Arial" w:cs="Arial"/>
          <w:i/>
          <w:iCs/>
          <w:lang w:val="en-GB"/>
        </w:rPr>
        <w:t xml:space="preserve">S v PB </w:t>
      </w:r>
      <w:r w:rsidRPr="0040616F">
        <w:rPr>
          <w:rFonts w:ascii="Arial" w:hAnsi="Arial" w:cs="Arial"/>
          <w:lang w:val="en-GB"/>
        </w:rPr>
        <w:t>2011 (1) SACR 448 (SCA) para 21</w:t>
      </w:r>
      <w:r w:rsidR="00297116" w:rsidRPr="0040616F">
        <w:rPr>
          <w:rFonts w:ascii="Arial" w:hAnsi="Arial" w:cs="Arial"/>
          <w:lang w:val="en-GB"/>
        </w:rPr>
        <w:t xml:space="preserve">; </w:t>
      </w:r>
      <w:r w:rsidR="00FF5163">
        <w:rPr>
          <w:rFonts w:ascii="Arial" w:hAnsi="Arial" w:cs="Arial"/>
          <w:i/>
          <w:iCs/>
          <w:lang w:val="en-GB"/>
        </w:rPr>
        <w:t xml:space="preserve">S v </w:t>
      </w:r>
      <w:proofErr w:type="spellStart"/>
      <w:r w:rsidR="00297116" w:rsidRPr="0040616F">
        <w:rPr>
          <w:rFonts w:ascii="Arial" w:hAnsi="Arial" w:cs="Arial"/>
          <w:i/>
          <w:iCs/>
          <w:lang w:val="en-GB"/>
        </w:rPr>
        <w:t>Matyityi</w:t>
      </w:r>
      <w:proofErr w:type="spellEnd"/>
      <w:r w:rsidR="00297116" w:rsidRPr="0040616F">
        <w:rPr>
          <w:rFonts w:ascii="Arial" w:hAnsi="Arial" w:cs="Arial"/>
          <w:i/>
          <w:iCs/>
          <w:lang w:val="en-GB"/>
        </w:rPr>
        <w:t xml:space="preserve"> </w:t>
      </w:r>
      <w:r w:rsidR="00FF5163">
        <w:rPr>
          <w:rFonts w:ascii="Arial" w:hAnsi="Arial" w:cs="Arial"/>
          <w:lang w:val="en-GB"/>
        </w:rPr>
        <w:t>above n 12</w:t>
      </w:r>
      <w:r w:rsidR="00297116" w:rsidRPr="0040616F">
        <w:rPr>
          <w:rFonts w:ascii="Arial" w:hAnsi="Arial" w:cs="Arial"/>
          <w:lang w:val="en-GB"/>
        </w:rPr>
        <w:t xml:space="preserve"> para 23.</w:t>
      </w:r>
    </w:p>
  </w:footnote>
  <w:footnote w:id="19">
    <w:p w14:paraId="438E5B21" w14:textId="77777777" w:rsidR="00943FAD" w:rsidRPr="0040616F" w:rsidRDefault="00943FAD" w:rsidP="0040616F">
      <w:pPr>
        <w:pStyle w:val="FootnoteText"/>
        <w:jc w:val="both"/>
        <w:rPr>
          <w:rFonts w:ascii="Arial" w:hAnsi="Arial" w:cs="Arial"/>
          <w:lang w:val="en-US"/>
        </w:rPr>
      </w:pPr>
      <w:r w:rsidRPr="0040616F">
        <w:rPr>
          <w:rStyle w:val="FootnoteReference"/>
          <w:rFonts w:ascii="Arial" w:hAnsi="Arial" w:cs="Arial"/>
        </w:rPr>
        <w:footnoteRef/>
      </w:r>
      <w:r w:rsidRPr="0040616F">
        <w:rPr>
          <w:rFonts w:ascii="Arial" w:hAnsi="Arial" w:cs="Arial"/>
        </w:rPr>
        <w:t xml:space="preserve"> </w:t>
      </w:r>
      <w:r w:rsidRPr="0040616F">
        <w:rPr>
          <w:rFonts w:ascii="Arial" w:hAnsi="Arial" w:cs="Arial"/>
          <w:i/>
          <w:iCs/>
        </w:rPr>
        <w:t>S v Abrahams</w:t>
      </w:r>
      <w:r w:rsidRPr="0040616F">
        <w:rPr>
          <w:rFonts w:ascii="Arial" w:hAnsi="Arial" w:cs="Arial"/>
        </w:rPr>
        <w:t xml:space="preserve"> 2002 (2) SACR 116 (SCA).</w:t>
      </w:r>
    </w:p>
  </w:footnote>
  <w:footnote w:id="20">
    <w:p w14:paraId="5A85ACD8" w14:textId="4FB1F704" w:rsidR="00B153B4" w:rsidRPr="0040616F" w:rsidRDefault="00B153B4"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Pr="0040616F">
        <w:rPr>
          <w:rFonts w:ascii="Arial" w:hAnsi="Arial" w:cs="Arial"/>
          <w:i/>
          <w:iCs/>
          <w:lang w:val="en-GB"/>
        </w:rPr>
        <w:t>S v Genever and Others</w:t>
      </w:r>
      <w:r w:rsidRPr="0040616F">
        <w:rPr>
          <w:rFonts w:ascii="Arial" w:hAnsi="Arial" w:cs="Arial"/>
          <w:lang w:val="en-GB"/>
        </w:rPr>
        <w:t xml:space="preserve"> 2008 (2) SACR 117 (C) at 122</w:t>
      </w:r>
      <w:r w:rsidRPr="0040616F">
        <w:rPr>
          <w:rFonts w:ascii="Arial" w:hAnsi="Arial" w:cs="Arial"/>
          <w:i/>
          <w:iCs/>
          <w:lang w:val="en-GB"/>
        </w:rPr>
        <w:t>c-d</w:t>
      </w:r>
      <w:r w:rsidRPr="0040616F">
        <w:rPr>
          <w:rFonts w:ascii="Arial" w:hAnsi="Arial" w:cs="Arial"/>
          <w:lang w:val="en-GB"/>
        </w:rPr>
        <w:t>.</w:t>
      </w:r>
    </w:p>
  </w:footnote>
  <w:footnote w:id="21">
    <w:p w14:paraId="3500C315" w14:textId="3AF824CB" w:rsidR="00430469" w:rsidRPr="0040616F" w:rsidRDefault="00430469" w:rsidP="0040616F">
      <w:pPr>
        <w:pStyle w:val="FootnoteText"/>
        <w:jc w:val="both"/>
        <w:rPr>
          <w:rFonts w:ascii="Arial" w:hAnsi="Arial" w:cs="Arial"/>
          <w:lang w:val="en-US"/>
        </w:rPr>
      </w:pPr>
      <w:r w:rsidRPr="0040616F">
        <w:rPr>
          <w:rStyle w:val="FootnoteReference"/>
          <w:rFonts w:ascii="Arial" w:hAnsi="Arial" w:cs="Arial"/>
        </w:rPr>
        <w:footnoteRef/>
      </w:r>
      <w:r w:rsidRPr="0040616F">
        <w:rPr>
          <w:rFonts w:ascii="Arial" w:hAnsi="Arial" w:cs="Arial"/>
        </w:rPr>
        <w:t xml:space="preserve"> </w:t>
      </w:r>
      <w:r w:rsidR="002F675A">
        <w:rPr>
          <w:rFonts w:ascii="Arial" w:hAnsi="Arial" w:cs="Arial"/>
          <w:i/>
          <w:iCs/>
        </w:rPr>
        <w:t xml:space="preserve">S v </w:t>
      </w:r>
      <w:r w:rsidR="005C0B4A" w:rsidRPr="0040616F">
        <w:rPr>
          <w:rFonts w:ascii="Arial" w:hAnsi="Arial" w:cs="Arial"/>
          <w:i/>
          <w:iCs/>
        </w:rPr>
        <w:t xml:space="preserve">Vilakazi </w:t>
      </w:r>
      <w:r w:rsidR="002F675A">
        <w:rPr>
          <w:rFonts w:ascii="Arial" w:hAnsi="Arial" w:cs="Arial"/>
        </w:rPr>
        <w:t>above n 16</w:t>
      </w:r>
      <w:r w:rsidR="005C0B4A" w:rsidRPr="0040616F">
        <w:rPr>
          <w:rFonts w:ascii="Arial" w:hAnsi="Arial" w:cs="Arial"/>
        </w:rPr>
        <w:t xml:space="preserve"> para 15.</w:t>
      </w:r>
    </w:p>
  </w:footnote>
  <w:footnote w:id="22">
    <w:p w14:paraId="50EA80E0" w14:textId="54EC7C5E" w:rsidR="009E60DB" w:rsidRPr="0040616F" w:rsidRDefault="009E60DB"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S 51(</w:t>
      </w:r>
      <w:proofErr w:type="gramStart"/>
      <w:r w:rsidRPr="0040616F">
        <w:rPr>
          <w:rFonts w:ascii="Arial" w:hAnsi="Arial" w:cs="Arial"/>
          <w:lang w:val="en-GB"/>
        </w:rPr>
        <w:t>3)</w:t>
      </w:r>
      <w:r w:rsidRPr="0040616F">
        <w:rPr>
          <w:rFonts w:ascii="Arial" w:hAnsi="Arial" w:cs="Arial"/>
          <w:i/>
          <w:iCs/>
          <w:lang w:val="en-GB"/>
        </w:rPr>
        <w:t>(</w:t>
      </w:r>
      <w:proofErr w:type="gramEnd"/>
      <w:r w:rsidRPr="0040616F">
        <w:rPr>
          <w:rFonts w:ascii="Arial" w:hAnsi="Arial" w:cs="Arial"/>
          <w:i/>
          <w:iCs/>
          <w:lang w:val="en-GB"/>
        </w:rPr>
        <w:t xml:space="preserve">a </w:t>
      </w:r>
      <w:r w:rsidRPr="0040616F">
        <w:rPr>
          <w:rFonts w:ascii="Arial" w:hAnsi="Arial" w:cs="Arial"/>
          <w:lang w:val="en-GB"/>
        </w:rPr>
        <w:t>A</w:t>
      </w:r>
      <w:r w:rsidRPr="0040616F">
        <w:rPr>
          <w:rFonts w:ascii="Arial" w:hAnsi="Arial" w:cs="Arial"/>
          <w:i/>
          <w:iCs/>
          <w:lang w:val="en-GB"/>
        </w:rPr>
        <w:t>)</w:t>
      </w:r>
      <w:r w:rsidRPr="0040616F">
        <w:rPr>
          <w:rFonts w:ascii="Arial" w:hAnsi="Arial" w:cs="Arial"/>
          <w:lang w:val="en-GB"/>
        </w:rPr>
        <w:t>(ii) and (iv) of the Minimum Sentences Act.</w:t>
      </w:r>
      <w:r w:rsidR="00BD192F" w:rsidRPr="0040616F">
        <w:rPr>
          <w:rFonts w:ascii="Arial" w:hAnsi="Arial" w:cs="Arial"/>
          <w:lang w:val="en-GB"/>
        </w:rPr>
        <w:t>.</w:t>
      </w:r>
    </w:p>
  </w:footnote>
  <w:footnote w:id="23">
    <w:p w14:paraId="695575F4" w14:textId="2CACF23C" w:rsidR="00E67029" w:rsidRPr="0040616F" w:rsidRDefault="00E67029" w:rsidP="0040616F">
      <w:pPr>
        <w:pStyle w:val="FootnoteText"/>
        <w:jc w:val="both"/>
        <w:rPr>
          <w:rFonts w:ascii="Arial" w:hAnsi="Arial" w:cs="Arial"/>
          <w:lang w:val="en-GB"/>
        </w:rPr>
      </w:pPr>
      <w:r w:rsidRPr="0040616F">
        <w:rPr>
          <w:rStyle w:val="FootnoteReference"/>
          <w:rFonts w:ascii="Arial" w:hAnsi="Arial" w:cs="Arial"/>
        </w:rPr>
        <w:footnoteRef/>
      </w:r>
      <w:r w:rsidRPr="0040616F">
        <w:rPr>
          <w:rFonts w:ascii="Arial" w:hAnsi="Arial" w:cs="Arial"/>
        </w:rPr>
        <w:t xml:space="preserve"> </w:t>
      </w:r>
      <w:r w:rsidRPr="0040616F">
        <w:rPr>
          <w:rFonts w:ascii="Arial" w:hAnsi="Arial" w:cs="Arial"/>
          <w:i/>
          <w:iCs/>
          <w:lang w:val="en-GB"/>
        </w:rPr>
        <w:t>S v Bull</w:t>
      </w:r>
      <w:r w:rsidRPr="0040616F">
        <w:rPr>
          <w:rFonts w:ascii="Arial" w:hAnsi="Arial" w:cs="Arial"/>
          <w:lang w:val="en-GB"/>
        </w:rPr>
        <w:t xml:space="preserve"> 2001 (2) SACR 681 (SCA) para 21.</w:t>
      </w:r>
    </w:p>
  </w:footnote>
  <w:footnote w:id="24">
    <w:p w14:paraId="58C6F84E" w14:textId="77777777" w:rsidR="00E67029" w:rsidRPr="0040616F" w:rsidRDefault="00E67029" w:rsidP="0040616F">
      <w:pPr>
        <w:pStyle w:val="FootnoteText"/>
        <w:jc w:val="both"/>
        <w:rPr>
          <w:rFonts w:ascii="Arial" w:hAnsi="Arial" w:cs="Arial"/>
          <w:lang w:val="en-GB"/>
        </w:rPr>
      </w:pPr>
      <w:r w:rsidRPr="0040616F">
        <w:rPr>
          <w:rStyle w:val="FootnoteReference"/>
          <w:rFonts w:ascii="Arial" w:hAnsi="Arial" w:cs="Arial"/>
          <w:lang w:val="en-GB"/>
        </w:rPr>
        <w:footnoteRef/>
      </w:r>
      <w:r w:rsidRPr="0040616F">
        <w:rPr>
          <w:rFonts w:ascii="Arial" w:hAnsi="Arial" w:cs="Arial"/>
          <w:lang w:val="en-GB"/>
        </w:rPr>
        <w:t xml:space="preserve"> </w:t>
      </w:r>
      <w:r w:rsidRPr="0040616F">
        <w:rPr>
          <w:rFonts w:ascii="Arial" w:hAnsi="Arial" w:cs="Arial"/>
          <w:i/>
          <w:iCs/>
          <w:lang w:val="en-GB"/>
        </w:rPr>
        <w:t>S v Dodo</w:t>
      </w:r>
      <w:r w:rsidRPr="0040616F">
        <w:rPr>
          <w:rFonts w:ascii="Arial" w:hAnsi="Arial" w:cs="Arial"/>
          <w:lang w:val="en-GB"/>
        </w:rPr>
        <w:t xml:space="preserve"> 2001 (1) SACR 301 (E).</w:t>
      </w:r>
    </w:p>
  </w:footnote>
  <w:footnote w:id="25">
    <w:p w14:paraId="2E00F6B9" w14:textId="54738591" w:rsidR="003A29AD" w:rsidRPr="0040616F" w:rsidRDefault="003A29AD" w:rsidP="0040616F">
      <w:pPr>
        <w:pStyle w:val="FootnoteText"/>
        <w:jc w:val="both"/>
        <w:rPr>
          <w:rFonts w:ascii="Arial" w:hAnsi="Arial" w:cs="Arial"/>
          <w:lang w:val="en-US"/>
        </w:rPr>
      </w:pPr>
      <w:r w:rsidRPr="0040616F">
        <w:rPr>
          <w:rStyle w:val="FootnoteReference"/>
          <w:rFonts w:ascii="Arial" w:hAnsi="Arial" w:cs="Arial"/>
        </w:rPr>
        <w:footnoteRef/>
      </w:r>
      <w:r w:rsidRPr="0040616F">
        <w:rPr>
          <w:rFonts w:ascii="Arial" w:hAnsi="Arial" w:cs="Arial"/>
        </w:rPr>
        <w:t xml:space="preserve"> </w:t>
      </w:r>
      <w:r w:rsidRPr="0040616F">
        <w:rPr>
          <w:rFonts w:ascii="Arial" w:hAnsi="Arial" w:cs="Arial"/>
          <w:lang w:val="en-US"/>
        </w:rPr>
        <w:t>Ss 28</w:t>
      </w:r>
      <w:r w:rsidR="00DA7BCF" w:rsidRPr="0040616F">
        <w:rPr>
          <w:rFonts w:ascii="Arial" w:hAnsi="Arial" w:cs="Arial"/>
          <w:lang w:val="en-US"/>
        </w:rPr>
        <w:t>(1)(</w:t>
      </w:r>
      <w:r w:rsidR="00DA7BCF" w:rsidRPr="0040616F">
        <w:rPr>
          <w:rFonts w:ascii="Arial" w:hAnsi="Arial" w:cs="Arial"/>
          <w:i/>
          <w:iCs/>
          <w:lang w:val="en-US"/>
        </w:rPr>
        <w:t>d</w:t>
      </w:r>
      <w:r w:rsidR="00DA7BCF" w:rsidRPr="0040616F">
        <w:rPr>
          <w:rFonts w:ascii="Arial" w:hAnsi="Arial" w:cs="Arial"/>
          <w:lang w:val="en-US"/>
        </w:rPr>
        <w:t>)</w:t>
      </w:r>
      <w:r w:rsidRPr="0040616F">
        <w:rPr>
          <w:rFonts w:ascii="Arial" w:hAnsi="Arial" w:cs="Arial"/>
          <w:lang w:val="en-US"/>
        </w:rPr>
        <w:t>, 12</w:t>
      </w:r>
      <w:r w:rsidR="00855EFC" w:rsidRPr="0040616F">
        <w:rPr>
          <w:rFonts w:ascii="Arial" w:hAnsi="Arial" w:cs="Arial"/>
          <w:lang w:val="en-US"/>
        </w:rPr>
        <w:t>(1)(</w:t>
      </w:r>
      <w:r w:rsidR="00855EFC" w:rsidRPr="0040616F">
        <w:rPr>
          <w:rFonts w:ascii="Arial" w:hAnsi="Arial" w:cs="Arial"/>
          <w:i/>
          <w:iCs/>
          <w:lang w:val="en-US"/>
        </w:rPr>
        <w:t>c</w:t>
      </w:r>
      <w:r w:rsidR="00855EFC" w:rsidRPr="0040616F">
        <w:rPr>
          <w:rFonts w:ascii="Arial" w:hAnsi="Arial" w:cs="Arial"/>
          <w:lang w:val="en-US"/>
        </w:rPr>
        <w:t>)</w:t>
      </w:r>
      <w:r w:rsidRPr="0040616F">
        <w:rPr>
          <w:rFonts w:ascii="Arial" w:hAnsi="Arial" w:cs="Arial"/>
          <w:lang w:val="en-US"/>
        </w:rPr>
        <w:t xml:space="preserve"> </w:t>
      </w:r>
      <w:r w:rsidR="00C21E2D" w:rsidRPr="0040616F">
        <w:rPr>
          <w:rFonts w:ascii="Arial" w:hAnsi="Arial" w:cs="Arial"/>
          <w:lang w:val="en-US"/>
        </w:rPr>
        <w:t xml:space="preserve">14 </w:t>
      </w:r>
      <w:r w:rsidRPr="0040616F">
        <w:rPr>
          <w:rFonts w:ascii="Arial" w:hAnsi="Arial" w:cs="Arial"/>
          <w:lang w:val="en-US"/>
        </w:rPr>
        <w:t>and 10 of the Constitution of the Republic of South Africa, 1996.</w:t>
      </w:r>
    </w:p>
  </w:footnote>
  <w:footnote w:id="26">
    <w:p w14:paraId="770C6FA5" w14:textId="565B70D2" w:rsidR="00A04FE9" w:rsidRPr="0040616F" w:rsidRDefault="00A04FE9" w:rsidP="0040616F">
      <w:pPr>
        <w:pStyle w:val="FootnoteText"/>
        <w:jc w:val="both"/>
        <w:rPr>
          <w:rFonts w:ascii="Arial" w:hAnsi="Arial" w:cs="Arial"/>
          <w:lang w:val="en-US"/>
        </w:rPr>
      </w:pPr>
      <w:r w:rsidRPr="0040616F">
        <w:rPr>
          <w:rStyle w:val="FootnoteReference"/>
          <w:rFonts w:ascii="Arial" w:hAnsi="Arial" w:cs="Arial"/>
        </w:rPr>
        <w:footnoteRef/>
      </w:r>
      <w:r w:rsidRPr="0040616F">
        <w:rPr>
          <w:rFonts w:ascii="Arial" w:hAnsi="Arial" w:cs="Arial"/>
        </w:rPr>
        <w:t xml:space="preserve"> </w:t>
      </w:r>
      <w:r w:rsidRPr="0040616F">
        <w:rPr>
          <w:rFonts w:ascii="Arial" w:hAnsi="Arial" w:cs="Arial"/>
          <w:lang w:val="en-US"/>
        </w:rPr>
        <w:t xml:space="preserve">See </w:t>
      </w:r>
      <w:r w:rsidR="000F4ADD">
        <w:rPr>
          <w:rFonts w:ascii="Arial" w:hAnsi="Arial" w:cs="Arial"/>
          <w:i/>
          <w:iCs/>
          <w:lang w:val="en-US"/>
        </w:rPr>
        <w:t xml:space="preserve">S v </w:t>
      </w:r>
      <w:r w:rsidRPr="0040616F">
        <w:rPr>
          <w:rFonts w:ascii="Arial" w:hAnsi="Arial" w:cs="Arial"/>
          <w:i/>
          <w:iCs/>
          <w:lang w:val="en-US"/>
        </w:rPr>
        <w:t xml:space="preserve">Vilakazi </w:t>
      </w:r>
      <w:r w:rsidR="000F4ADD">
        <w:rPr>
          <w:rFonts w:ascii="Arial" w:hAnsi="Arial" w:cs="Arial"/>
          <w:lang w:val="en-US"/>
        </w:rPr>
        <w:t>above n 16</w:t>
      </w:r>
      <w:r w:rsidRPr="0040616F">
        <w:rPr>
          <w:rFonts w:ascii="Arial" w:hAnsi="Arial" w:cs="Arial"/>
          <w:lang w:val="en-US"/>
        </w:rPr>
        <w:t xml:space="preserve"> para 58.</w:t>
      </w:r>
      <w:r w:rsidR="0083754B" w:rsidRPr="0040616F">
        <w:rPr>
          <w:rFonts w:ascii="Arial" w:hAnsi="Arial" w:cs="Arial"/>
          <w:lang w:val="en-US"/>
        </w:rPr>
        <w:t xml:space="preserve"> Also </w:t>
      </w:r>
      <w:r w:rsidR="00F25B7F" w:rsidRPr="0040616F">
        <w:rPr>
          <w:rFonts w:ascii="Arial" w:hAnsi="Arial" w:cs="Arial"/>
          <w:lang w:val="en-US"/>
        </w:rPr>
        <w:t>see S</w:t>
      </w:r>
      <w:r w:rsidR="0083754B" w:rsidRPr="0040616F">
        <w:rPr>
          <w:rFonts w:ascii="Arial" w:hAnsi="Arial" w:cs="Arial"/>
          <w:i/>
          <w:iCs/>
          <w:lang w:val="en-US"/>
        </w:rPr>
        <w:t xml:space="preserve"> v Zitha and Others</w:t>
      </w:r>
      <w:r w:rsidR="0083754B" w:rsidRPr="0040616F">
        <w:rPr>
          <w:rFonts w:ascii="Arial" w:hAnsi="Arial" w:cs="Arial"/>
          <w:lang w:val="en-US"/>
        </w:rPr>
        <w:t xml:space="preserve"> 1999 (2) SACR 404 (WLD): the absence of previous convictions is not ‘substantial and compelling’ for purposes of s 51(3)(</w:t>
      </w:r>
      <w:r w:rsidR="0083754B" w:rsidRPr="0040616F">
        <w:rPr>
          <w:rFonts w:ascii="Arial" w:hAnsi="Arial" w:cs="Arial"/>
          <w:i/>
          <w:iCs/>
          <w:lang w:val="en-US"/>
        </w:rPr>
        <w:t>a</w:t>
      </w:r>
      <w:r w:rsidR="0083754B" w:rsidRPr="0040616F">
        <w:rPr>
          <w:rFonts w:ascii="Arial" w:hAnsi="Arial" w:cs="Arial"/>
          <w:lang w:val="en-US"/>
        </w:rPr>
        <w:t>).</w:t>
      </w:r>
    </w:p>
  </w:footnote>
  <w:footnote w:id="27">
    <w:p w14:paraId="2D4E8524" w14:textId="76C002ED" w:rsidR="00793193" w:rsidRPr="0040616F" w:rsidRDefault="00793193" w:rsidP="0040616F">
      <w:pPr>
        <w:pStyle w:val="FootnoteText"/>
        <w:jc w:val="both"/>
        <w:rPr>
          <w:rFonts w:ascii="Arial" w:hAnsi="Arial" w:cs="Arial"/>
          <w:lang w:val="en-US"/>
        </w:rPr>
      </w:pPr>
      <w:r w:rsidRPr="0040616F">
        <w:rPr>
          <w:rStyle w:val="FootnoteReference"/>
          <w:rFonts w:ascii="Arial" w:hAnsi="Arial" w:cs="Arial"/>
        </w:rPr>
        <w:footnoteRef/>
      </w:r>
      <w:r w:rsidRPr="0040616F">
        <w:rPr>
          <w:rFonts w:ascii="Arial" w:hAnsi="Arial" w:cs="Arial"/>
        </w:rPr>
        <w:t xml:space="preserve"> </w:t>
      </w:r>
      <w:r w:rsidRPr="0040616F">
        <w:rPr>
          <w:rFonts w:ascii="Arial" w:hAnsi="Arial" w:cs="Arial"/>
          <w:i/>
          <w:iCs/>
          <w:lang w:val="en-US"/>
        </w:rPr>
        <w:t>Mthimkhulu v S</w:t>
      </w:r>
      <w:r w:rsidRPr="0040616F">
        <w:rPr>
          <w:rFonts w:ascii="Arial" w:hAnsi="Arial" w:cs="Arial"/>
          <w:lang w:val="en-US"/>
        </w:rPr>
        <w:t xml:space="preserve"> [2021] ZAGPPHC 573 para 49.</w:t>
      </w:r>
    </w:p>
  </w:footnote>
  <w:footnote w:id="28">
    <w:p w14:paraId="78805FC9" w14:textId="5B7DBD07" w:rsidR="007220D2" w:rsidRPr="0040616F" w:rsidRDefault="007220D2" w:rsidP="0040616F">
      <w:pPr>
        <w:pStyle w:val="FootnoteText"/>
        <w:jc w:val="both"/>
        <w:rPr>
          <w:rFonts w:ascii="Arial" w:hAnsi="Arial" w:cs="Arial"/>
          <w:lang w:val="en-US"/>
        </w:rPr>
      </w:pPr>
      <w:r w:rsidRPr="0040616F">
        <w:rPr>
          <w:rStyle w:val="FootnoteReference"/>
          <w:rFonts w:ascii="Arial" w:hAnsi="Arial" w:cs="Arial"/>
        </w:rPr>
        <w:footnoteRef/>
      </w:r>
      <w:r w:rsidRPr="0040616F">
        <w:rPr>
          <w:rFonts w:ascii="Arial" w:hAnsi="Arial" w:cs="Arial"/>
        </w:rPr>
        <w:t xml:space="preserve"> </w:t>
      </w:r>
      <w:r w:rsidR="000F4ADD">
        <w:rPr>
          <w:rFonts w:ascii="Arial" w:hAnsi="Arial" w:cs="Arial"/>
          <w:i/>
          <w:iCs/>
        </w:rPr>
        <w:t xml:space="preserve">S v </w:t>
      </w:r>
      <w:proofErr w:type="spellStart"/>
      <w:r w:rsidRPr="0040616F">
        <w:rPr>
          <w:rFonts w:ascii="Arial" w:hAnsi="Arial" w:cs="Arial"/>
          <w:i/>
          <w:iCs/>
          <w:lang w:val="en-US"/>
        </w:rPr>
        <w:t>Matyityi</w:t>
      </w:r>
      <w:proofErr w:type="spellEnd"/>
      <w:r w:rsidRPr="0040616F">
        <w:rPr>
          <w:rFonts w:ascii="Arial" w:hAnsi="Arial" w:cs="Arial"/>
          <w:i/>
          <w:iCs/>
          <w:lang w:val="en-US"/>
        </w:rPr>
        <w:t xml:space="preserve"> </w:t>
      </w:r>
      <w:r w:rsidR="000F4ADD">
        <w:rPr>
          <w:rFonts w:ascii="Arial" w:hAnsi="Arial" w:cs="Arial"/>
          <w:lang w:val="en-US"/>
        </w:rPr>
        <w:t>above n 12</w:t>
      </w:r>
      <w:r w:rsidRPr="0040616F">
        <w:rPr>
          <w:rFonts w:ascii="Arial" w:hAnsi="Arial" w:cs="Arial"/>
          <w:lang w:val="en-US"/>
        </w:rPr>
        <w:t xml:space="preserve"> para 23.</w:t>
      </w:r>
    </w:p>
  </w:footnote>
  <w:footnote w:id="29">
    <w:p w14:paraId="6CE8A562" w14:textId="39CE1617" w:rsidR="00E05489" w:rsidRPr="0040616F" w:rsidRDefault="00E05489" w:rsidP="0040616F">
      <w:pPr>
        <w:pStyle w:val="FootnoteText"/>
        <w:jc w:val="both"/>
        <w:rPr>
          <w:rFonts w:ascii="Arial" w:hAnsi="Arial" w:cs="Arial"/>
          <w:lang w:val="en-US"/>
        </w:rPr>
      </w:pPr>
      <w:r w:rsidRPr="0040616F">
        <w:rPr>
          <w:rStyle w:val="FootnoteReference"/>
          <w:rFonts w:ascii="Arial" w:hAnsi="Arial" w:cs="Arial"/>
        </w:rPr>
        <w:footnoteRef/>
      </w:r>
      <w:r w:rsidRPr="0040616F">
        <w:rPr>
          <w:rFonts w:ascii="Arial" w:hAnsi="Arial" w:cs="Arial"/>
        </w:rPr>
        <w:t xml:space="preserve"> </w:t>
      </w:r>
      <w:r w:rsidR="009C6C00">
        <w:rPr>
          <w:rFonts w:ascii="Arial" w:hAnsi="Arial" w:cs="Arial"/>
          <w:i/>
          <w:iCs/>
        </w:rPr>
        <w:t xml:space="preserve">S v </w:t>
      </w:r>
      <w:r w:rsidRPr="0040616F">
        <w:rPr>
          <w:rFonts w:ascii="Arial" w:hAnsi="Arial" w:cs="Arial"/>
          <w:i/>
          <w:iCs/>
          <w:lang w:val="en-US"/>
        </w:rPr>
        <w:t xml:space="preserve">Zitha </w:t>
      </w:r>
      <w:r w:rsidR="009C6C00">
        <w:rPr>
          <w:rFonts w:ascii="Arial" w:hAnsi="Arial" w:cs="Arial"/>
          <w:lang w:val="en-US"/>
        </w:rPr>
        <w:t>above n 26</w:t>
      </w:r>
      <w:r w:rsidRPr="0040616F">
        <w:rPr>
          <w:rFonts w:ascii="Arial" w:hAnsi="Arial" w:cs="Arial"/>
          <w:lang w:val="en-US"/>
        </w:rPr>
        <w:t xml:space="preserve"> at 418</w:t>
      </w:r>
      <w:r w:rsidRPr="0040616F">
        <w:rPr>
          <w:rFonts w:ascii="Arial" w:hAnsi="Arial" w:cs="Arial"/>
          <w:i/>
          <w:iCs/>
          <w:lang w:val="en-US"/>
        </w:rPr>
        <w:t>h-i</w:t>
      </w:r>
      <w:r w:rsidRPr="0040616F">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661566"/>
      <w:docPartObj>
        <w:docPartGallery w:val="Page Numbers (Top of Page)"/>
        <w:docPartUnique/>
      </w:docPartObj>
    </w:sdtPr>
    <w:sdtContent>
      <w:p w14:paraId="01280C5A" w14:textId="412A2682" w:rsidR="0038367E" w:rsidRDefault="0038367E"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2190E" w14:textId="77777777" w:rsidR="0038367E" w:rsidRDefault="0038367E" w:rsidP="003836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728550"/>
      <w:docPartObj>
        <w:docPartGallery w:val="Page Numbers (Top of Page)"/>
        <w:docPartUnique/>
      </w:docPartObj>
    </w:sdtPr>
    <w:sdtContent>
      <w:p w14:paraId="0189604A" w14:textId="69315AEA" w:rsidR="0038367E" w:rsidRDefault="0038367E"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1E2D">
          <w:rPr>
            <w:rStyle w:val="PageNumber"/>
            <w:noProof/>
          </w:rPr>
          <w:t>9</w:t>
        </w:r>
        <w:r>
          <w:rPr>
            <w:rStyle w:val="PageNumber"/>
          </w:rPr>
          <w:fldChar w:fldCharType="end"/>
        </w:r>
      </w:p>
    </w:sdtContent>
  </w:sdt>
  <w:p w14:paraId="22FDE6BB" w14:textId="77777777" w:rsidR="0038367E" w:rsidRDefault="0038367E" w:rsidP="003836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C0397"/>
    <w:multiLevelType w:val="hybridMultilevel"/>
    <w:tmpl w:val="58EEFE8C"/>
    <w:lvl w:ilvl="0" w:tplc="FCC809D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74851"/>
    <w:multiLevelType w:val="hybridMultilevel"/>
    <w:tmpl w:val="4B5C79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607B5"/>
    <w:multiLevelType w:val="hybridMultilevel"/>
    <w:tmpl w:val="3CAE5EDA"/>
    <w:lvl w:ilvl="0" w:tplc="B69E61C6">
      <w:start w:val="1"/>
      <w:numFmt w:val="decimal"/>
      <w:lvlText w:val="[%1]"/>
      <w:lvlJc w:val="left"/>
      <w:pPr>
        <w:ind w:left="720" w:hanging="360"/>
      </w:pPr>
      <w:rPr>
        <w:rFonts w:hint="default"/>
      </w:rPr>
    </w:lvl>
    <w:lvl w:ilvl="1" w:tplc="2E84DF24">
      <w:start w:val="1"/>
      <w:numFmt w:val="decimal"/>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9073671">
    <w:abstractNumId w:val="2"/>
  </w:num>
  <w:num w:numId="2" w16cid:durableId="1952978247">
    <w:abstractNumId w:val="0"/>
  </w:num>
  <w:num w:numId="3" w16cid:durableId="107553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DD"/>
    <w:rsid w:val="00000818"/>
    <w:rsid w:val="00002A07"/>
    <w:rsid w:val="00002B0D"/>
    <w:rsid w:val="000063E6"/>
    <w:rsid w:val="00011F9B"/>
    <w:rsid w:val="00012258"/>
    <w:rsid w:val="0001602E"/>
    <w:rsid w:val="0002172E"/>
    <w:rsid w:val="000223FC"/>
    <w:rsid w:val="00023F8C"/>
    <w:rsid w:val="00025969"/>
    <w:rsid w:val="000265DC"/>
    <w:rsid w:val="000268C3"/>
    <w:rsid w:val="000270AA"/>
    <w:rsid w:val="000274FF"/>
    <w:rsid w:val="00027791"/>
    <w:rsid w:val="000279B8"/>
    <w:rsid w:val="000368D2"/>
    <w:rsid w:val="00037293"/>
    <w:rsid w:val="000379AA"/>
    <w:rsid w:val="00037C03"/>
    <w:rsid w:val="00040DD0"/>
    <w:rsid w:val="00046160"/>
    <w:rsid w:val="0005009B"/>
    <w:rsid w:val="00051FA6"/>
    <w:rsid w:val="00052B21"/>
    <w:rsid w:val="00052BF0"/>
    <w:rsid w:val="0005510B"/>
    <w:rsid w:val="00061A24"/>
    <w:rsid w:val="00081FB0"/>
    <w:rsid w:val="00085763"/>
    <w:rsid w:val="000904A1"/>
    <w:rsid w:val="00090AF6"/>
    <w:rsid w:val="000910CD"/>
    <w:rsid w:val="000919A0"/>
    <w:rsid w:val="00093EDC"/>
    <w:rsid w:val="00094985"/>
    <w:rsid w:val="000955C7"/>
    <w:rsid w:val="000A19DB"/>
    <w:rsid w:val="000A1DF9"/>
    <w:rsid w:val="000A7452"/>
    <w:rsid w:val="000B08C4"/>
    <w:rsid w:val="000B1D64"/>
    <w:rsid w:val="000C5B4A"/>
    <w:rsid w:val="000D0112"/>
    <w:rsid w:val="000D08BF"/>
    <w:rsid w:val="000D73D6"/>
    <w:rsid w:val="000E0506"/>
    <w:rsid w:val="000F0657"/>
    <w:rsid w:val="000F06AD"/>
    <w:rsid w:val="000F2213"/>
    <w:rsid w:val="000F4ADD"/>
    <w:rsid w:val="000F55A8"/>
    <w:rsid w:val="000F6730"/>
    <w:rsid w:val="000F6E9B"/>
    <w:rsid w:val="000F711C"/>
    <w:rsid w:val="001009E1"/>
    <w:rsid w:val="00103838"/>
    <w:rsid w:val="00106E46"/>
    <w:rsid w:val="00112AF5"/>
    <w:rsid w:val="00114A7E"/>
    <w:rsid w:val="00114D7A"/>
    <w:rsid w:val="00123055"/>
    <w:rsid w:val="00124C0D"/>
    <w:rsid w:val="001266DE"/>
    <w:rsid w:val="00126EBB"/>
    <w:rsid w:val="00133273"/>
    <w:rsid w:val="00136417"/>
    <w:rsid w:val="00140377"/>
    <w:rsid w:val="00141AF1"/>
    <w:rsid w:val="00151923"/>
    <w:rsid w:val="00151959"/>
    <w:rsid w:val="00151C04"/>
    <w:rsid w:val="0015728F"/>
    <w:rsid w:val="001614B5"/>
    <w:rsid w:val="001635EE"/>
    <w:rsid w:val="001673D6"/>
    <w:rsid w:val="00171A1A"/>
    <w:rsid w:val="00172CBF"/>
    <w:rsid w:val="001743C2"/>
    <w:rsid w:val="00176CA9"/>
    <w:rsid w:val="00183079"/>
    <w:rsid w:val="00185FBA"/>
    <w:rsid w:val="00187965"/>
    <w:rsid w:val="00195C35"/>
    <w:rsid w:val="00196DBA"/>
    <w:rsid w:val="001A105B"/>
    <w:rsid w:val="001A15C3"/>
    <w:rsid w:val="001A21FE"/>
    <w:rsid w:val="001A3B58"/>
    <w:rsid w:val="001B0708"/>
    <w:rsid w:val="001B2101"/>
    <w:rsid w:val="001B68F7"/>
    <w:rsid w:val="001D4D39"/>
    <w:rsid w:val="001D4E28"/>
    <w:rsid w:val="001D546A"/>
    <w:rsid w:val="001E006A"/>
    <w:rsid w:val="001E104A"/>
    <w:rsid w:val="001E139F"/>
    <w:rsid w:val="001E1987"/>
    <w:rsid w:val="001E2777"/>
    <w:rsid w:val="001E322C"/>
    <w:rsid w:val="001F11B1"/>
    <w:rsid w:val="001F24C7"/>
    <w:rsid w:val="001F6916"/>
    <w:rsid w:val="001F7E33"/>
    <w:rsid w:val="002046A4"/>
    <w:rsid w:val="0021457A"/>
    <w:rsid w:val="00214EEB"/>
    <w:rsid w:val="002166F3"/>
    <w:rsid w:val="00220ACD"/>
    <w:rsid w:val="0022197E"/>
    <w:rsid w:val="00222F09"/>
    <w:rsid w:val="00224186"/>
    <w:rsid w:val="00241189"/>
    <w:rsid w:val="002446E9"/>
    <w:rsid w:val="00245071"/>
    <w:rsid w:val="00245D26"/>
    <w:rsid w:val="0025193F"/>
    <w:rsid w:val="00251B32"/>
    <w:rsid w:val="00256F8B"/>
    <w:rsid w:val="00262A0A"/>
    <w:rsid w:val="00263983"/>
    <w:rsid w:val="00267EB0"/>
    <w:rsid w:val="0027049E"/>
    <w:rsid w:val="002706E2"/>
    <w:rsid w:val="00272317"/>
    <w:rsid w:val="002738F6"/>
    <w:rsid w:val="00274F1A"/>
    <w:rsid w:val="002751DB"/>
    <w:rsid w:val="00280D4F"/>
    <w:rsid w:val="00282270"/>
    <w:rsid w:val="002836F0"/>
    <w:rsid w:val="00291522"/>
    <w:rsid w:val="0029241D"/>
    <w:rsid w:val="00294C14"/>
    <w:rsid w:val="00294F0F"/>
    <w:rsid w:val="00297116"/>
    <w:rsid w:val="00297C68"/>
    <w:rsid w:val="002A3866"/>
    <w:rsid w:val="002A5410"/>
    <w:rsid w:val="002A6D9E"/>
    <w:rsid w:val="002B05E5"/>
    <w:rsid w:val="002B4463"/>
    <w:rsid w:val="002B527F"/>
    <w:rsid w:val="002B6AC4"/>
    <w:rsid w:val="002B77D1"/>
    <w:rsid w:val="002C0E6B"/>
    <w:rsid w:val="002C40BC"/>
    <w:rsid w:val="002D0580"/>
    <w:rsid w:val="002D0959"/>
    <w:rsid w:val="002D0CB9"/>
    <w:rsid w:val="002D0EA9"/>
    <w:rsid w:val="002D2ECC"/>
    <w:rsid w:val="002D46E4"/>
    <w:rsid w:val="002D64C5"/>
    <w:rsid w:val="002D71C0"/>
    <w:rsid w:val="002E30EE"/>
    <w:rsid w:val="002E3F77"/>
    <w:rsid w:val="002F197F"/>
    <w:rsid w:val="002F22A9"/>
    <w:rsid w:val="002F3F02"/>
    <w:rsid w:val="002F49FD"/>
    <w:rsid w:val="002F675A"/>
    <w:rsid w:val="00300A96"/>
    <w:rsid w:val="00306003"/>
    <w:rsid w:val="003065B5"/>
    <w:rsid w:val="00306DE1"/>
    <w:rsid w:val="00310140"/>
    <w:rsid w:val="00315DE7"/>
    <w:rsid w:val="00316AAD"/>
    <w:rsid w:val="003268BE"/>
    <w:rsid w:val="00326EBE"/>
    <w:rsid w:val="003364EB"/>
    <w:rsid w:val="00340ABD"/>
    <w:rsid w:val="003429E7"/>
    <w:rsid w:val="00347DF0"/>
    <w:rsid w:val="00352C78"/>
    <w:rsid w:val="003558F3"/>
    <w:rsid w:val="00357DC0"/>
    <w:rsid w:val="00361AB3"/>
    <w:rsid w:val="00363797"/>
    <w:rsid w:val="00366361"/>
    <w:rsid w:val="00366BA7"/>
    <w:rsid w:val="00370905"/>
    <w:rsid w:val="0037317D"/>
    <w:rsid w:val="00373A86"/>
    <w:rsid w:val="00375FCB"/>
    <w:rsid w:val="00380955"/>
    <w:rsid w:val="0038367E"/>
    <w:rsid w:val="003854E0"/>
    <w:rsid w:val="003974D3"/>
    <w:rsid w:val="003A09BB"/>
    <w:rsid w:val="003A29AD"/>
    <w:rsid w:val="003A5DDB"/>
    <w:rsid w:val="003A6795"/>
    <w:rsid w:val="003A6D8F"/>
    <w:rsid w:val="003B4454"/>
    <w:rsid w:val="003B495F"/>
    <w:rsid w:val="003B50F9"/>
    <w:rsid w:val="003B6A68"/>
    <w:rsid w:val="003C509B"/>
    <w:rsid w:val="003C7068"/>
    <w:rsid w:val="003D01F6"/>
    <w:rsid w:val="003D1570"/>
    <w:rsid w:val="003D1888"/>
    <w:rsid w:val="003D287A"/>
    <w:rsid w:val="003D2D82"/>
    <w:rsid w:val="003D7C05"/>
    <w:rsid w:val="003E1F79"/>
    <w:rsid w:val="003E6DDC"/>
    <w:rsid w:val="003E7394"/>
    <w:rsid w:val="003F0FE5"/>
    <w:rsid w:val="003F2B5B"/>
    <w:rsid w:val="003F363C"/>
    <w:rsid w:val="003F39F3"/>
    <w:rsid w:val="003F50B2"/>
    <w:rsid w:val="003F5D3C"/>
    <w:rsid w:val="00405754"/>
    <w:rsid w:val="0040616F"/>
    <w:rsid w:val="00416EB9"/>
    <w:rsid w:val="00417288"/>
    <w:rsid w:val="00420545"/>
    <w:rsid w:val="00421BE1"/>
    <w:rsid w:val="004229DF"/>
    <w:rsid w:val="00424368"/>
    <w:rsid w:val="00424671"/>
    <w:rsid w:val="004249D2"/>
    <w:rsid w:val="00427CD5"/>
    <w:rsid w:val="00430453"/>
    <w:rsid w:val="00430469"/>
    <w:rsid w:val="00431DE6"/>
    <w:rsid w:val="004336D8"/>
    <w:rsid w:val="0043536A"/>
    <w:rsid w:val="0044048A"/>
    <w:rsid w:val="00447597"/>
    <w:rsid w:val="00447603"/>
    <w:rsid w:val="0046580F"/>
    <w:rsid w:val="00465CC9"/>
    <w:rsid w:val="00466C95"/>
    <w:rsid w:val="00473B4C"/>
    <w:rsid w:val="00474A62"/>
    <w:rsid w:val="00477E50"/>
    <w:rsid w:val="004817C7"/>
    <w:rsid w:val="00481C24"/>
    <w:rsid w:val="004823F3"/>
    <w:rsid w:val="00486B4B"/>
    <w:rsid w:val="0048751C"/>
    <w:rsid w:val="004919ED"/>
    <w:rsid w:val="00492178"/>
    <w:rsid w:val="00496F1D"/>
    <w:rsid w:val="004A3E01"/>
    <w:rsid w:val="004A54B4"/>
    <w:rsid w:val="004A54BA"/>
    <w:rsid w:val="004B04EF"/>
    <w:rsid w:val="004B2E22"/>
    <w:rsid w:val="004B5825"/>
    <w:rsid w:val="004C4B13"/>
    <w:rsid w:val="004C559D"/>
    <w:rsid w:val="004D69C8"/>
    <w:rsid w:val="004D79AD"/>
    <w:rsid w:val="004E1697"/>
    <w:rsid w:val="004E3C59"/>
    <w:rsid w:val="004E65E4"/>
    <w:rsid w:val="004F581E"/>
    <w:rsid w:val="004F68D4"/>
    <w:rsid w:val="004F7DA6"/>
    <w:rsid w:val="005015C7"/>
    <w:rsid w:val="005062D3"/>
    <w:rsid w:val="005231D6"/>
    <w:rsid w:val="00524993"/>
    <w:rsid w:val="005251CE"/>
    <w:rsid w:val="00525B59"/>
    <w:rsid w:val="00525D73"/>
    <w:rsid w:val="00526302"/>
    <w:rsid w:val="0052701F"/>
    <w:rsid w:val="005328DA"/>
    <w:rsid w:val="00533AE6"/>
    <w:rsid w:val="00536C4E"/>
    <w:rsid w:val="00537225"/>
    <w:rsid w:val="00540506"/>
    <w:rsid w:val="00556B82"/>
    <w:rsid w:val="00557B41"/>
    <w:rsid w:val="00561370"/>
    <w:rsid w:val="00561765"/>
    <w:rsid w:val="00563EFD"/>
    <w:rsid w:val="00566882"/>
    <w:rsid w:val="00566CFF"/>
    <w:rsid w:val="00571E94"/>
    <w:rsid w:val="00575914"/>
    <w:rsid w:val="005870B4"/>
    <w:rsid w:val="00590025"/>
    <w:rsid w:val="00594AA3"/>
    <w:rsid w:val="005958C0"/>
    <w:rsid w:val="00596322"/>
    <w:rsid w:val="005A2AA5"/>
    <w:rsid w:val="005A6E5E"/>
    <w:rsid w:val="005A7803"/>
    <w:rsid w:val="005B39C4"/>
    <w:rsid w:val="005B4EA9"/>
    <w:rsid w:val="005B6A36"/>
    <w:rsid w:val="005C0B4A"/>
    <w:rsid w:val="005D6A62"/>
    <w:rsid w:val="005E1502"/>
    <w:rsid w:val="005E45B8"/>
    <w:rsid w:val="005E671A"/>
    <w:rsid w:val="005F06C9"/>
    <w:rsid w:val="005F13F5"/>
    <w:rsid w:val="005F29BB"/>
    <w:rsid w:val="005F76FE"/>
    <w:rsid w:val="006101A0"/>
    <w:rsid w:val="00624A5B"/>
    <w:rsid w:val="006265E9"/>
    <w:rsid w:val="00627862"/>
    <w:rsid w:val="006321DE"/>
    <w:rsid w:val="0063397F"/>
    <w:rsid w:val="00641C8D"/>
    <w:rsid w:val="00645CD1"/>
    <w:rsid w:val="0064659F"/>
    <w:rsid w:val="00650A4F"/>
    <w:rsid w:val="00654C24"/>
    <w:rsid w:val="00655241"/>
    <w:rsid w:val="006568AE"/>
    <w:rsid w:val="00657C9B"/>
    <w:rsid w:val="0066120A"/>
    <w:rsid w:val="00662296"/>
    <w:rsid w:val="006623AC"/>
    <w:rsid w:val="006721CE"/>
    <w:rsid w:val="00673C79"/>
    <w:rsid w:val="006779BD"/>
    <w:rsid w:val="00677AAB"/>
    <w:rsid w:val="00677FA3"/>
    <w:rsid w:val="006822E0"/>
    <w:rsid w:val="00683BF6"/>
    <w:rsid w:val="00684DB9"/>
    <w:rsid w:val="00686574"/>
    <w:rsid w:val="00692AF3"/>
    <w:rsid w:val="0069323C"/>
    <w:rsid w:val="00694A57"/>
    <w:rsid w:val="00695432"/>
    <w:rsid w:val="00697D92"/>
    <w:rsid w:val="006A1569"/>
    <w:rsid w:val="006A1E25"/>
    <w:rsid w:val="006A1FD1"/>
    <w:rsid w:val="006A223A"/>
    <w:rsid w:val="006A6FD0"/>
    <w:rsid w:val="006B2AFE"/>
    <w:rsid w:val="006B7F5D"/>
    <w:rsid w:val="006C034D"/>
    <w:rsid w:val="006C20BB"/>
    <w:rsid w:val="006C3A1E"/>
    <w:rsid w:val="006C472E"/>
    <w:rsid w:val="006D0493"/>
    <w:rsid w:val="006D0805"/>
    <w:rsid w:val="006D0C2C"/>
    <w:rsid w:val="006D25A6"/>
    <w:rsid w:val="006D3B84"/>
    <w:rsid w:val="006D3DE9"/>
    <w:rsid w:val="006D4033"/>
    <w:rsid w:val="006D5AF1"/>
    <w:rsid w:val="006D6B80"/>
    <w:rsid w:val="006E02AD"/>
    <w:rsid w:val="006E0F7C"/>
    <w:rsid w:val="006E13CF"/>
    <w:rsid w:val="006E2001"/>
    <w:rsid w:val="006E2BDE"/>
    <w:rsid w:val="006E622D"/>
    <w:rsid w:val="006E62D6"/>
    <w:rsid w:val="006F197D"/>
    <w:rsid w:val="006F35FB"/>
    <w:rsid w:val="006F4FC6"/>
    <w:rsid w:val="006F6DCC"/>
    <w:rsid w:val="00700204"/>
    <w:rsid w:val="007003DD"/>
    <w:rsid w:val="0070073F"/>
    <w:rsid w:val="00703D91"/>
    <w:rsid w:val="007109B5"/>
    <w:rsid w:val="0071171D"/>
    <w:rsid w:val="0071228F"/>
    <w:rsid w:val="007160B2"/>
    <w:rsid w:val="0071714E"/>
    <w:rsid w:val="00721629"/>
    <w:rsid w:val="007220D2"/>
    <w:rsid w:val="0072544F"/>
    <w:rsid w:val="0072584D"/>
    <w:rsid w:val="00726D6A"/>
    <w:rsid w:val="00740DD6"/>
    <w:rsid w:val="00741377"/>
    <w:rsid w:val="00742714"/>
    <w:rsid w:val="0074309D"/>
    <w:rsid w:val="00744357"/>
    <w:rsid w:val="00744721"/>
    <w:rsid w:val="007460DE"/>
    <w:rsid w:val="00750D17"/>
    <w:rsid w:val="007664F6"/>
    <w:rsid w:val="007666DB"/>
    <w:rsid w:val="00770730"/>
    <w:rsid w:val="0077112A"/>
    <w:rsid w:val="00771866"/>
    <w:rsid w:val="00777846"/>
    <w:rsid w:val="00782636"/>
    <w:rsid w:val="0078758F"/>
    <w:rsid w:val="007910E6"/>
    <w:rsid w:val="00793193"/>
    <w:rsid w:val="007A62E6"/>
    <w:rsid w:val="007A6581"/>
    <w:rsid w:val="007B0911"/>
    <w:rsid w:val="007B3E10"/>
    <w:rsid w:val="007B4252"/>
    <w:rsid w:val="007B43C1"/>
    <w:rsid w:val="007B49B5"/>
    <w:rsid w:val="007C1682"/>
    <w:rsid w:val="007C5DC9"/>
    <w:rsid w:val="007D033D"/>
    <w:rsid w:val="007D0819"/>
    <w:rsid w:val="007D12EC"/>
    <w:rsid w:val="007D55E9"/>
    <w:rsid w:val="007D57BD"/>
    <w:rsid w:val="007E1C2C"/>
    <w:rsid w:val="007E32A0"/>
    <w:rsid w:val="007E6A03"/>
    <w:rsid w:val="007F4099"/>
    <w:rsid w:val="007F51C5"/>
    <w:rsid w:val="008005BA"/>
    <w:rsid w:val="00801E7F"/>
    <w:rsid w:val="008021A8"/>
    <w:rsid w:val="00804937"/>
    <w:rsid w:val="00804A0F"/>
    <w:rsid w:val="00804F1D"/>
    <w:rsid w:val="00812A59"/>
    <w:rsid w:val="00812DEB"/>
    <w:rsid w:val="00813F80"/>
    <w:rsid w:val="008207A3"/>
    <w:rsid w:val="00820FCC"/>
    <w:rsid w:val="00823723"/>
    <w:rsid w:val="008244AC"/>
    <w:rsid w:val="00824EDE"/>
    <w:rsid w:val="00826B0B"/>
    <w:rsid w:val="008272B1"/>
    <w:rsid w:val="00832790"/>
    <w:rsid w:val="008355C0"/>
    <w:rsid w:val="0083754B"/>
    <w:rsid w:val="00841897"/>
    <w:rsid w:val="00844861"/>
    <w:rsid w:val="00844B1D"/>
    <w:rsid w:val="0084574D"/>
    <w:rsid w:val="00846600"/>
    <w:rsid w:val="00846EAA"/>
    <w:rsid w:val="00851B4D"/>
    <w:rsid w:val="008545DD"/>
    <w:rsid w:val="00854B53"/>
    <w:rsid w:val="00855EFC"/>
    <w:rsid w:val="00860FC4"/>
    <w:rsid w:val="00861A2B"/>
    <w:rsid w:val="0086653C"/>
    <w:rsid w:val="008742F3"/>
    <w:rsid w:val="008758B6"/>
    <w:rsid w:val="00876C76"/>
    <w:rsid w:val="00885244"/>
    <w:rsid w:val="0088558F"/>
    <w:rsid w:val="00886196"/>
    <w:rsid w:val="00887538"/>
    <w:rsid w:val="00887653"/>
    <w:rsid w:val="00896983"/>
    <w:rsid w:val="008A57AB"/>
    <w:rsid w:val="008A7CA8"/>
    <w:rsid w:val="008B229E"/>
    <w:rsid w:val="008B4D8A"/>
    <w:rsid w:val="008B6011"/>
    <w:rsid w:val="008B6BF3"/>
    <w:rsid w:val="008B6F35"/>
    <w:rsid w:val="008B76BE"/>
    <w:rsid w:val="008C02B8"/>
    <w:rsid w:val="008C1D30"/>
    <w:rsid w:val="008C3B10"/>
    <w:rsid w:val="008C6BFF"/>
    <w:rsid w:val="008C7DD5"/>
    <w:rsid w:val="008D0C56"/>
    <w:rsid w:val="008D3775"/>
    <w:rsid w:val="008D5246"/>
    <w:rsid w:val="008D69EE"/>
    <w:rsid w:val="008E4A62"/>
    <w:rsid w:val="008E4F59"/>
    <w:rsid w:val="008E5A22"/>
    <w:rsid w:val="008F3036"/>
    <w:rsid w:val="008F6C0B"/>
    <w:rsid w:val="008F6E62"/>
    <w:rsid w:val="009007F9"/>
    <w:rsid w:val="009009FE"/>
    <w:rsid w:val="00901A78"/>
    <w:rsid w:val="00902782"/>
    <w:rsid w:val="00905948"/>
    <w:rsid w:val="009112F5"/>
    <w:rsid w:val="00911E6A"/>
    <w:rsid w:val="00912DC2"/>
    <w:rsid w:val="00913A3B"/>
    <w:rsid w:val="009179F5"/>
    <w:rsid w:val="00927B41"/>
    <w:rsid w:val="00927FB7"/>
    <w:rsid w:val="00930BA2"/>
    <w:rsid w:val="00937206"/>
    <w:rsid w:val="00937FEA"/>
    <w:rsid w:val="00942B50"/>
    <w:rsid w:val="00943FAD"/>
    <w:rsid w:val="00951183"/>
    <w:rsid w:val="00953EB5"/>
    <w:rsid w:val="009563BD"/>
    <w:rsid w:val="00956439"/>
    <w:rsid w:val="00960910"/>
    <w:rsid w:val="00962C4C"/>
    <w:rsid w:val="00972277"/>
    <w:rsid w:val="009739AA"/>
    <w:rsid w:val="009806FD"/>
    <w:rsid w:val="00983ECC"/>
    <w:rsid w:val="00986196"/>
    <w:rsid w:val="00990B10"/>
    <w:rsid w:val="00994D2B"/>
    <w:rsid w:val="009958B1"/>
    <w:rsid w:val="009974BD"/>
    <w:rsid w:val="009A002D"/>
    <w:rsid w:val="009A0A7D"/>
    <w:rsid w:val="009A3BA6"/>
    <w:rsid w:val="009A6A71"/>
    <w:rsid w:val="009B1DFE"/>
    <w:rsid w:val="009B25F5"/>
    <w:rsid w:val="009C243C"/>
    <w:rsid w:val="009C32FC"/>
    <w:rsid w:val="009C66D0"/>
    <w:rsid w:val="009C6C00"/>
    <w:rsid w:val="009C6C98"/>
    <w:rsid w:val="009D0628"/>
    <w:rsid w:val="009D2790"/>
    <w:rsid w:val="009D3556"/>
    <w:rsid w:val="009D3FF1"/>
    <w:rsid w:val="009D5210"/>
    <w:rsid w:val="009E12EE"/>
    <w:rsid w:val="009E1C29"/>
    <w:rsid w:val="009E21C6"/>
    <w:rsid w:val="009E2950"/>
    <w:rsid w:val="009E60DB"/>
    <w:rsid w:val="009F3118"/>
    <w:rsid w:val="009F4D12"/>
    <w:rsid w:val="009F757F"/>
    <w:rsid w:val="00A03C69"/>
    <w:rsid w:val="00A04FE9"/>
    <w:rsid w:val="00A063EC"/>
    <w:rsid w:val="00A07139"/>
    <w:rsid w:val="00A129DF"/>
    <w:rsid w:val="00A16B04"/>
    <w:rsid w:val="00A172D9"/>
    <w:rsid w:val="00A2159E"/>
    <w:rsid w:val="00A21A84"/>
    <w:rsid w:val="00A25FCF"/>
    <w:rsid w:val="00A3405A"/>
    <w:rsid w:val="00A3512A"/>
    <w:rsid w:val="00A35EAF"/>
    <w:rsid w:val="00A37179"/>
    <w:rsid w:val="00A42F8B"/>
    <w:rsid w:val="00A44A92"/>
    <w:rsid w:val="00A44D77"/>
    <w:rsid w:val="00A46464"/>
    <w:rsid w:val="00A47BA3"/>
    <w:rsid w:val="00A52540"/>
    <w:rsid w:val="00A5316C"/>
    <w:rsid w:val="00A56EC1"/>
    <w:rsid w:val="00A56F3E"/>
    <w:rsid w:val="00A57C78"/>
    <w:rsid w:val="00A57D56"/>
    <w:rsid w:val="00A607EC"/>
    <w:rsid w:val="00A65450"/>
    <w:rsid w:val="00A67873"/>
    <w:rsid w:val="00A71123"/>
    <w:rsid w:val="00A71432"/>
    <w:rsid w:val="00A72D73"/>
    <w:rsid w:val="00A775D7"/>
    <w:rsid w:val="00A82B59"/>
    <w:rsid w:val="00A85ECC"/>
    <w:rsid w:val="00A861AB"/>
    <w:rsid w:val="00A866A5"/>
    <w:rsid w:val="00A87098"/>
    <w:rsid w:val="00A95005"/>
    <w:rsid w:val="00A95676"/>
    <w:rsid w:val="00A967DE"/>
    <w:rsid w:val="00A9771B"/>
    <w:rsid w:val="00AA5CD9"/>
    <w:rsid w:val="00AB0377"/>
    <w:rsid w:val="00AB03F4"/>
    <w:rsid w:val="00AB048D"/>
    <w:rsid w:val="00AB4487"/>
    <w:rsid w:val="00AC3144"/>
    <w:rsid w:val="00AC6744"/>
    <w:rsid w:val="00AD0A51"/>
    <w:rsid w:val="00AD420C"/>
    <w:rsid w:val="00AD6742"/>
    <w:rsid w:val="00AD7565"/>
    <w:rsid w:val="00AD7577"/>
    <w:rsid w:val="00AD781D"/>
    <w:rsid w:val="00AF010A"/>
    <w:rsid w:val="00AF59B3"/>
    <w:rsid w:val="00AF7B9C"/>
    <w:rsid w:val="00B0189A"/>
    <w:rsid w:val="00B041D1"/>
    <w:rsid w:val="00B07069"/>
    <w:rsid w:val="00B07D43"/>
    <w:rsid w:val="00B119F0"/>
    <w:rsid w:val="00B12A52"/>
    <w:rsid w:val="00B153B4"/>
    <w:rsid w:val="00B15CAB"/>
    <w:rsid w:val="00B23898"/>
    <w:rsid w:val="00B25340"/>
    <w:rsid w:val="00B30DEB"/>
    <w:rsid w:val="00B33D0E"/>
    <w:rsid w:val="00B34ABE"/>
    <w:rsid w:val="00B3627A"/>
    <w:rsid w:val="00B434B7"/>
    <w:rsid w:val="00B4457A"/>
    <w:rsid w:val="00B46E7E"/>
    <w:rsid w:val="00B5093C"/>
    <w:rsid w:val="00B52BD4"/>
    <w:rsid w:val="00B556D7"/>
    <w:rsid w:val="00B56362"/>
    <w:rsid w:val="00B57538"/>
    <w:rsid w:val="00B621B9"/>
    <w:rsid w:val="00B642EF"/>
    <w:rsid w:val="00B64FE2"/>
    <w:rsid w:val="00B67093"/>
    <w:rsid w:val="00B708C0"/>
    <w:rsid w:val="00B730CC"/>
    <w:rsid w:val="00B74D76"/>
    <w:rsid w:val="00B778E3"/>
    <w:rsid w:val="00B80F1E"/>
    <w:rsid w:val="00B81146"/>
    <w:rsid w:val="00B8422D"/>
    <w:rsid w:val="00B84BA8"/>
    <w:rsid w:val="00B85062"/>
    <w:rsid w:val="00B8522F"/>
    <w:rsid w:val="00B94208"/>
    <w:rsid w:val="00B94F9C"/>
    <w:rsid w:val="00BA291E"/>
    <w:rsid w:val="00BA2A3E"/>
    <w:rsid w:val="00BA2D37"/>
    <w:rsid w:val="00BA56DE"/>
    <w:rsid w:val="00BB32AE"/>
    <w:rsid w:val="00BB3DD7"/>
    <w:rsid w:val="00BB5A16"/>
    <w:rsid w:val="00BC0354"/>
    <w:rsid w:val="00BC58F4"/>
    <w:rsid w:val="00BC7001"/>
    <w:rsid w:val="00BD08F6"/>
    <w:rsid w:val="00BD192F"/>
    <w:rsid w:val="00BD2382"/>
    <w:rsid w:val="00BD478D"/>
    <w:rsid w:val="00BD6808"/>
    <w:rsid w:val="00BD78CC"/>
    <w:rsid w:val="00BE0036"/>
    <w:rsid w:val="00BE21A0"/>
    <w:rsid w:val="00BE2403"/>
    <w:rsid w:val="00BE251F"/>
    <w:rsid w:val="00BE344B"/>
    <w:rsid w:val="00BE3590"/>
    <w:rsid w:val="00BF0436"/>
    <w:rsid w:val="00BF0736"/>
    <w:rsid w:val="00C04072"/>
    <w:rsid w:val="00C04D67"/>
    <w:rsid w:val="00C21085"/>
    <w:rsid w:val="00C21E2D"/>
    <w:rsid w:val="00C236C7"/>
    <w:rsid w:val="00C24B0E"/>
    <w:rsid w:val="00C2560A"/>
    <w:rsid w:val="00C26FB6"/>
    <w:rsid w:val="00C30FDD"/>
    <w:rsid w:val="00C37047"/>
    <w:rsid w:val="00C37DF2"/>
    <w:rsid w:val="00C40762"/>
    <w:rsid w:val="00C40D35"/>
    <w:rsid w:val="00C41112"/>
    <w:rsid w:val="00C44357"/>
    <w:rsid w:val="00C46430"/>
    <w:rsid w:val="00C50749"/>
    <w:rsid w:val="00C524B3"/>
    <w:rsid w:val="00C54EAC"/>
    <w:rsid w:val="00C62FC3"/>
    <w:rsid w:val="00C64BA2"/>
    <w:rsid w:val="00C67759"/>
    <w:rsid w:val="00C7062A"/>
    <w:rsid w:val="00C7144F"/>
    <w:rsid w:val="00C7145C"/>
    <w:rsid w:val="00C71F83"/>
    <w:rsid w:val="00C772E9"/>
    <w:rsid w:val="00C77345"/>
    <w:rsid w:val="00C77979"/>
    <w:rsid w:val="00C82EDD"/>
    <w:rsid w:val="00C83CA3"/>
    <w:rsid w:val="00C86BFD"/>
    <w:rsid w:val="00C902F3"/>
    <w:rsid w:val="00C9262E"/>
    <w:rsid w:val="00C94D40"/>
    <w:rsid w:val="00CA204E"/>
    <w:rsid w:val="00CA5C36"/>
    <w:rsid w:val="00CB1ECF"/>
    <w:rsid w:val="00CB4BF1"/>
    <w:rsid w:val="00CB587B"/>
    <w:rsid w:val="00CB63D0"/>
    <w:rsid w:val="00CC0D35"/>
    <w:rsid w:val="00CC358F"/>
    <w:rsid w:val="00CC41F0"/>
    <w:rsid w:val="00CC76A6"/>
    <w:rsid w:val="00CD1305"/>
    <w:rsid w:val="00CD19EB"/>
    <w:rsid w:val="00CD6F75"/>
    <w:rsid w:val="00CD7C26"/>
    <w:rsid w:val="00CE28EF"/>
    <w:rsid w:val="00CE2A94"/>
    <w:rsid w:val="00CF4FCE"/>
    <w:rsid w:val="00CF55ED"/>
    <w:rsid w:val="00D01B82"/>
    <w:rsid w:val="00D02FE9"/>
    <w:rsid w:val="00D0437F"/>
    <w:rsid w:val="00D13A86"/>
    <w:rsid w:val="00D13D61"/>
    <w:rsid w:val="00D1598D"/>
    <w:rsid w:val="00D23208"/>
    <w:rsid w:val="00D2446F"/>
    <w:rsid w:val="00D246DA"/>
    <w:rsid w:val="00D24CF4"/>
    <w:rsid w:val="00D2734E"/>
    <w:rsid w:val="00D30E66"/>
    <w:rsid w:val="00D35517"/>
    <w:rsid w:val="00D36AA0"/>
    <w:rsid w:val="00D5105E"/>
    <w:rsid w:val="00D5221E"/>
    <w:rsid w:val="00D55FB2"/>
    <w:rsid w:val="00D565B1"/>
    <w:rsid w:val="00D61C1F"/>
    <w:rsid w:val="00D66C61"/>
    <w:rsid w:val="00D72619"/>
    <w:rsid w:val="00D742C7"/>
    <w:rsid w:val="00D74669"/>
    <w:rsid w:val="00D76402"/>
    <w:rsid w:val="00D77686"/>
    <w:rsid w:val="00D8012D"/>
    <w:rsid w:val="00D802C0"/>
    <w:rsid w:val="00D835C2"/>
    <w:rsid w:val="00D84580"/>
    <w:rsid w:val="00D914B4"/>
    <w:rsid w:val="00D92E80"/>
    <w:rsid w:val="00D95566"/>
    <w:rsid w:val="00D97FE9"/>
    <w:rsid w:val="00DA0001"/>
    <w:rsid w:val="00DA63D2"/>
    <w:rsid w:val="00DA77C4"/>
    <w:rsid w:val="00DA7BCF"/>
    <w:rsid w:val="00DB20BC"/>
    <w:rsid w:val="00DB410D"/>
    <w:rsid w:val="00DB6717"/>
    <w:rsid w:val="00DB76DE"/>
    <w:rsid w:val="00DC13D0"/>
    <w:rsid w:val="00DC75F7"/>
    <w:rsid w:val="00DD257D"/>
    <w:rsid w:val="00DD2879"/>
    <w:rsid w:val="00DD5402"/>
    <w:rsid w:val="00DD692A"/>
    <w:rsid w:val="00DD7037"/>
    <w:rsid w:val="00DE06D3"/>
    <w:rsid w:val="00DE2F4B"/>
    <w:rsid w:val="00DE7D6A"/>
    <w:rsid w:val="00DF1DF1"/>
    <w:rsid w:val="00DF4CF7"/>
    <w:rsid w:val="00E02C0E"/>
    <w:rsid w:val="00E033B7"/>
    <w:rsid w:val="00E03B32"/>
    <w:rsid w:val="00E04931"/>
    <w:rsid w:val="00E05489"/>
    <w:rsid w:val="00E05F1F"/>
    <w:rsid w:val="00E10513"/>
    <w:rsid w:val="00E10EDA"/>
    <w:rsid w:val="00E11566"/>
    <w:rsid w:val="00E132B9"/>
    <w:rsid w:val="00E14713"/>
    <w:rsid w:val="00E262B9"/>
    <w:rsid w:val="00E26D4F"/>
    <w:rsid w:val="00E336A3"/>
    <w:rsid w:val="00E35720"/>
    <w:rsid w:val="00E35FB3"/>
    <w:rsid w:val="00E36323"/>
    <w:rsid w:val="00E37AD0"/>
    <w:rsid w:val="00E40F6E"/>
    <w:rsid w:val="00E42EF6"/>
    <w:rsid w:val="00E43451"/>
    <w:rsid w:val="00E500F4"/>
    <w:rsid w:val="00E55046"/>
    <w:rsid w:val="00E63B5F"/>
    <w:rsid w:val="00E67029"/>
    <w:rsid w:val="00E763B9"/>
    <w:rsid w:val="00E77A2F"/>
    <w:rsid w:val="00E8097F"/>
    <w:rsid w:val="00E83A0F"/>
    <w:rsid w:val="00E841BF"/>
    <w:rsid w:val="00E92093"/>
    <w:rsid w:val="00E92AA1"/>
    <w:rsid w:val="00E9616C"/>
    <w:rsid w:val="00E96DE7"/>
    <w:rsid w:val="00EA1034"/>
    <w:rsid w:val="00EA50AF"/>
    <w:rsid w:val="00EB3604"/>
    <w:rsid w:val="00EB3611"/>
    <w:rsid w:val="00EB38DA"/>
    <w:rsid w:val="00EB6018"/>
    <w:rsid w:val="00EC12EA"/>
    <w:rsid w:val="00EC2366"/>
    <w:rsid w:val="00ED46ED"/>
    <w:rsid w:val="00ED7D7C"/>
    <w:rsid w:val="00EE351F"/>
    <w:rsid w:val="00EF7207"/>
    <w:rsid w:val="00F0293E"/>
    <w:rsid w:val="00F05CA7"/>
    <w:rsid w:val="00F06BF9"/>
    <w:rsid w:val="00F1112A"/>
    <w:rsid w:val="00F1230C"/>
    <w:rsid w:val="00F245F9"/>
    <w:rsid w:val="00F25B7F"/>
    <w:rsid w:val="00F34CE9"/>
    <w:rsid w:val="00F366A7"/>
    <w:rsid w:val="00F37367"/>
    <w:rsid w:val="00F55E8B"/>
    <w:rsid w:val="00F55F7E"/>
    <w:rsid w:val="00F61174"/>
    <w:rsid w:val="00F639C1"/>
    <w:rsid w:val="00F659FE"/>
    <w:rsid w:val="00F65CE4"/>
    <w:rsid w:val="00F71095"/>
    <w:rsid w:val="00F7250D"/>
    <w:rsid w:val="00F72594"/>
    <w:rsid w:val="00F74D71"/>
    <w:rsid w:val="00F76A50"/>
    <w:rsid w:val="00F82F8A"/>
    <w:rsid w:val="00F83835"/>
    <w:rsid w:val="00F85B15"/>
    <w:rsid w:val="00F8770C"/>
    <w:rsid w:val="00F87D0D"/>
    <w:rsid w:val="00F949F6"/>
    <w:rsid w:val="00FA1538"/>
    <w:rsid w:val="00FA3A7E"/>
    <w:rsid w:val="00FA4B14"/>
    <w:rsid w:val="00FA753E"/>
    <w:rsid w:val="00FB0675"/>
    <w:rsid w:val="00FB1A10"/>
    <w:rsid w:val="00FB38BC"/>
    <w:rsid w:val="00FB4B26"/>
    <w:rsid w:val="00FB66F0"/>
    <w:rsid w:val="00FB6C4A"/>
    <w:rsid w:val="00FC1F11"/>
    <w:rsid w:val="00FC6807"/>
    <w:rsid w:val="00FC719B"/>
    <w:rsid w:val="00FD2677"/>
    <w:rsid w:val="00FD7B78"/>
    <w:rsid w:val="00FF13B2"/>
    <w:rsid w:val="00FF19C6"/>
    <w:rsid w:val="00FF5163"/>
    <w:rsid w:val="00FF68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FEE3"/>
  <w15:chartTrackingRefBased/>
  <w15:docId w15:val="{C99CDF48-5E46-4B40-A32D-1747C373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1A"/>
    <w:pPr>
      <w:ind w:left="720"/>
      <w:contextualSpacing/>
    </w:pPr>
  </w:style>
  <w:style w:type="paragraph" w:styleId="FootnoteText">
    <w:name w:val="footnote text"/>
    <w:basedOn w:val="Normal"/>
    <w:link w:val="FootnoteTextChar"/>
    <w:uiPriority w:val="99"/>
    <w:semiHidden/>
    <w:unhideWhenUsed/>
    <w:rsid w:val="002E3F77"/>
    <w:rPr>
      <w:sz w:val="20"/>
      <w:szCs w:val="20"/>
    </w:rPr>
  </w:style>
  <w:style w:type="character" w:customStyle="1" w:styleId="FootnoteTextChar">
    <w:name w:val="Footnote Text Char"/>
    <w:basedOn w:val="DefaultParagraphFont"/>
    <w:link w:val="FootnoteText"/>
    <w:uiPriority w:val="99"/>
    <w:semiHidden/>
    <w:rsid w:val="002E3F77"/>
    <w:rPr>
      <w:sz w:val="20"/>
      <w:szCs w:val="20"/>
    </w:rPr>
  </w:style>
  <w:style w:type="character" w:styleId="FootnoteReference">
    <w:name w:val="footnote reference"/>
    <w:basedOn w:val="DefaultParagraphFont"/>
    <w:uiPriority w:val="99"/>
    <w:semiHidden/>
    <w:unhideWhenUsed/>
    <w:rsid w:val="002E3F77"/>
    <w:rPr>
      <w:vertAlign w:val="superscript"/>
    </w:rPr>
  </w:style>
  <w:style w:type="paragraph" w:styleId="Header">
    <w:name w:val="header"/>
    <w:basedOn w:val="Normal"/>
    <w:link w:val="HeaderChar"/>
    <w:uiPriority w:val="99"/>
    <w:unhideWhenUsed/>
    <w:rsid w:val="0038367E"/>
    <w:pPr>
      <w:tabs>
        <w:tab w:val="center" w:pos="4513"/>
        <w:tab w:val="right" w:pos="9026"/>
      </w:tabs>
    </w:pPr>
  </w:style>
  <w:style w:type="character" w:customStyle="1" w:styleId="HeaderChar">
    <w:name w:val="Header Char"/>
    <w:basedOn w:val="DefaultParagraphFont"/>
    <w:link w:val="Header"/>
    <w:uiPriority w:val="99"/>
    <w:rsid w:val="0038367E"/>
  </w:style>
  <w:style w:type="character" w:styleId="PageNumber">
    <w:name w:val="page number"/>
    <w:basedOn w:val="DefaultParagraphFont"/>
    <w:uiPriority w:val="99"/>
    <w:semiHidden/>
    <w:unhideWhenUsed/>
    <w:rsid w:val="0038367E"/>
  </w:style>
  <w:style w:type="paragraph" w:styleId="BalloonText">
    <w:name w:val="Balloon Text"/>
    <w:basedOn w:val="Normal"/>
    <w:link w:val="BalloonTextChar"/>
    <w:uiPriority w:val="99"/>
    <w:semiHidden/>
    <w:unhideWhenUsed/>
    <w:rsid w:val="00BB5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3C6E-AB69-4B30-8ACD-7A3FFF1D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Nomakorinte Ntliziywana</cp:lastModifiedBy>
  <cp:revision>2</cp:revision>
  <cp:lastPrinted>2022-02-25T09:25:00Z</cp:lastPrinted>
  <dcterms:created xsi:type="dcterms:W3CDTF">2023-10-31T08:13:00Z</dcterms:created>
  <dcterms:modified xsi:type="dcterms:W3CDTF">2023-10-31T08:13:00Z</dcterms:modified>
</cp:coreProperties>
</file>