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C4F6" w14:textId="77777777" w:rsidR="00C91BD0" w:rsidRPr="00F34416" w:rsidRDefault="00C91BD0" w:rsidP="001E62A4">
      <w:pPr>
        <w:jc w:val="center"/>
        <w:rPr>
          <w:lang w:val="en-GB"/>
        </w:rPr>
      </w:pPr>
      <w:r w:rsidRPr="00F34416">
        <w:rPr>
          <w:noProof/>
          <w:lang w:eastAsia="en-ZA"/>
        </w:rPr>
        <w:drawing>
          <wp:inline distT="0" distB="0" distL="0" distR="0" wp14:anchorId="194FC55B" wp14:editId="2452F1CD">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6281D88C" w14:textId="77777777" w:rsidR="00C91BD0" w:rsidRPr="00F34416" w:rsidRDefault="00C91BD0" w:rsidP="00C91BD0">
      <w:pPr>
        <w:jc w:val="center"/>
        <w:rPr>
          <w:b/>
          <w:bCs/>
          <w:lang w:val="en-GB"/>
        </w:rPr>
      </w:pPr>
      <w:r w:rsidRPr="00F34416">
        <w:rPr>
          <w:b/>
          <w:bCs/>
          <w:lang w:val="en-GB"/>
        </w:rPr>
        <w:t>IN THE HIGH COURT OF SOUTH AFRICA</w:t>
      </w:r>
    </w:p>
    <w:p w14:paraId="2A5D6221" w14:textId="77777777" w:rsidR="00C91BD0" w:rsidRPr="00F34416" w:rsidRDefault="00656E28" w:rsidP="00C91BD0">
      <w:pPr>
        <w:jc w:val="center"/>
        <w:rPr>
          <w:b/>
          <w:bCs/>
          <w:lang w:val="en-GB"/>
        </w:rPr>
      </w:pPr>
      <w:r>
        <w:rPr>
          <w:b/>
          <w:bCs/>
          <w:lang w:val="en-GB"/>
        </w:rPr>
        <w:t>(</w:t>
      </w:r>
      <w:r w:rsidR="00C91BD0" w:rsidRPr="00F34416">
        <w:rPr>
          <w:b/>
          <w:bCs/>
          <w:lang w:val="en-GB"/>
        </w:rPr>
        <w:t>EAST</w:t>
      </w:r>
      <w:r w:rsidR="00A77C18">
        <w:rPr>
          <w:b/>
          <w:bCs/>
          <w:lang w:val="en-GB"/>
        </w:rPr>
        <w:t>ERN CAPE</w:t>
      </w:r>
      <w:r w:rsidR="00C91BD0" w:rsidRPr="00F34416">
        <w:rPr>
          <w:b/>
          <w:bCs/>
          <w:lang w:val="en-GB"/>
        </w:rPr>
        <w:t xml:space="preserve"> DIVISION</w:t>
      </w:r>
      <w:r w:rsidR="00A77C18">
        <w:rPr>
          <w:b/>
          <w:bCs/>
          <w:lang w:val="en-GB"/>
        </w:rPr>
        <w:t>, MAKHANDA</w:t>
      </w:r>
      <w:r>
        <w:rPr>
          <w:b/>
          <w:bCs/>
          <w:lang w:val="en-GB"/>
        </w:rPr>
        <w:t>)</w:t>
      </w:r>
    </w:p>
    <w:p w14:paraId="5B8A5BB6" w14:textId="77777777" w:rsidR="006E3570" w:rsidRPr="00D35A0D" w:rsidRDefault="006E3570" w:rsidP="006E3570">
      <w:pPr>
        <w:rPr>
          <w:b/>
        </w:rPr>
      </w:pPr>
    </w:p>
    <w:p w14:paraId="65ED3925" w14:textId="77777777" w:rsidR="00BE0063" w:rsidRPr="00BE0063" w:rsidRDefault="006E3570" w:rsidP="00BE0063">
      <w:pPr>
        <w:spacing w:after="160" w:line="259" w:lineRule="auto"/>
        <w:jc w:val="right"/>
        <w:rPr>
          <w:rFonts w:eastAsia="Calibri"/>
          <w:b/>
          <w:bCs/>
          <w:color w:val="auto"/>
          <w:kern w:val="2"/>
          <w:lang w:val="en-GB"/>
          <w14:ligatures w14:val="standardContextual"/>
        </w:rPr>
      </w:pPr>
      <w:r w:rsidRPr="00D35A0D">
        <w:rPr>
          <w:b/>
        </w:rPr>
        <w:tab/>
      </w:r>
      <w:r w:rsidRPr="00D35A0D">
        <w:rPr>
          <w:b/>
        </w:rPr>
        <w:tab/>
      </w:r>
      <w:r w:rsidRPr="00D35A0D">
        <w:rPr>
          <w:b/>
        </w:rPr>
        <w:tab/>
      </w:r>
      <w:r w:rsidRPr="00D35A0D">
        <w:rPr>
          <w:b/>
        </w:rPr>
        <w:tab/>
      </w:r>
      <w:r w:rsidRPr="00D35A0D">
        <w:rPr>
          <w:b/>
        </w:rPr>
        <w:tab/>
      </w:r>
      <w:r w:rsidRPr="00D35A0D">
        <w:rPr>
          <w:b/>
        </w:rPr>
        <w:tab/>
      </w:r>
      <w:r w:rsidRPr="00D35A0D">
        <w:rPr>
          <w:b/>
        </w:rPr>
        <w:tab/>
      </w:r>
      <w:r w:rsidR="00BE0063" w:rsidRPr="00F8402E">
        <w:rPr>
          <w:b/>
          <w:bCs/>
        </w:rPr>
        <w:t>APPEAL CASE NO: C</w:t>
      </w:r>
      <w:r w:rsidR="006166CF">
        <w:rPr>
          <w:b/>
          <w:bCs/>
        </w:rPr>
        <w:t>A</w:t>
      </w:r>
      <w:r w:rsidR="00BE0063" w:rsidRPr="00F8402E">
        <w:rPr>
          <w:b/>
          <w:bCs/>
        </w:rPr>
        <w:t>&amp;R 188/19</w:t>
      </w:r>
      <w:r w:rsidR="00BE0063" w:rsidRPr="00BE0063">
        <w:rPr>
          <w:rFonts w:eastAsia="Calibri"/>
          <w:b/>
          <w:bCs/>
          <w:color w:val="auto"/>
          <w:kern w:val="2"/>
          <w:lang w:val="en-GB"/>
          <w14:ligatures w14:val="standardContextual"/>
        </w:rPr>
        <w:t xml:space="preserve"> </w:t>
      </w:r>
    </w:p>
    <w:tbl>
      <w:tblPr>
        <w:tblW w:w="2835" w:type="dxa"/>
        <w:tblInd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7"/>
      </w:tblGrid>
      <w:tr w:rsidR="00BE0063" w:rsidRPr="00BE0063" w14:paraId="7E45E518" w14:textId="77777777" w:rsidTr="00F8402E">
        <w:trPr>
          <w:trHeight w:val="542"/>
        </w:trPr>
        <w:tc>
          <w:tcPr>
            <w:tcW w:w="1418" w:type="dxa"/>
          </w:tcPr>
          <w:p w14:paraId="58B62D16" w14:textId="77777777" w:rsidR="00BE0063" w:rsidRPr="00BE0063" w:rsidRDefault="00BE0063" w:rsidP="00BE0063">
            <w:pPr>
              <w:spacing w:line="240" w:lineRule="auto"/>
              <w:rPr>
                <w:rFonts w:eastAsia="Times New Roman"/>
                <w:b/>
                <w:color w:val="auto"/>
                <w:sz w:val="20"/>
                <w:szCs w:val="20"/>
                <w:lang w:eastAsia="en-ZA"/>
              </w:rPr>
            </w:pPr>
          </w:p>
          <w:p w14:paraId="5FEC8D5E" w14:textId="77777777" w:rsidR="00BE0063" w:rsidRPr="00BE0063" w:rsidRDefault="00BE0063" w:rsidP="00BE0063">
            <w:pPr>
              <w:spacing w:line="240" w:lineRule="auto"/>
              <w:jc w:val="center"/>
              <w:rPr>
                <w:rFonts w:eastAsia="Times New Roman"/>
                <w:b/>
                <w:color w:val="auto"/>
                <w:sz w:val="20"/>
                <w:szCs w:val="20"/>
                <w:lang w:eastAsia="en-ZA"/>
              </w:rPr>
            </w:pPr>
            <w:r w:rsidRPr="00BE0063">
              <w:rPr>
                <w:rFonts w:eastAsia="Times New Roman"/>
                <w:b/>
                <w:color w:val="auto"/>
                <w:sz w:val="20"/>
                <w:szCs w:val="20"/>
                <w:lang w:eastAsia="en-ZA"/>
              </w:rPr>
              <w:t>Reportable</w:t>
            </w:r>
          </w:p>
        </w:tc>
        <w:tc>
          <w:tcPr>
            <w:tcW w:w="1417" w:type="dxa"/>
          </w:tcPr>
          <w:p w14:paraId="10F829F7" w14:textId="77777777" w:rsidR="00BE0063" w:rsidRPr="00BE0063" w:rsidRDefault="00BE0063" w:rsidP="00BE0063">
            <w:pPr>
              <w:spacing w:line="240" w:lineRule="auto"/>
              <w:rPr>
                <w:rFonts w:eastAsia="Times New Roman"/>
                <w:b/>
                <w:color w:val="auto"/>
                <w:sz w:val="20"/>
                <w:szCs w:val="20"/>
                <w:lang w:eastAsia="en-ZA"/>
              </w:rPr>
            </w:pPr>
          </w:p>
          <w:p w14:paraId="1B6EA1E7" w14:textId="77777777" w:rsidR="00BE0063" w:rsidRPr="00BE0063" w:rsidRDefault="00BE0063" w:rsidP="00BE0063">
            <w:pPr>
              <w:spacing w:line="240" w:lineRule="auto"/>
              <w:jc w:val="center"/>
              <w:rPr>
                <w:rFonts w:eastAsia="Times New Roman"/>
                <w:b/>
                <w:color w:val="auto"/>
                <w:sz w:val="20"/>
                <w:szCs w:val="20"/>
                <w:lang w:eastAsia="en-ZA"/>
              </w:rPr>
            </w:pPr>
            <w:r w:rsidRPr="00BE0063">
              <w:rPr>
                <w:rFonts w:eastAsia="Times New Roman"/>
                <w:b/>
                <w:color w:val="auto"/>
                <w:sz w:val="20"/>
                <w:szCs w:val="20"/>
                <w:lang w:eastAsia="en-ZA"/>
              </w:rPr>
              <w:t>Yes / No</w:t>
            </w:r>
          </w:p>
        </w:tc>
      </w:tr>
    </w:tbl>
    <w:p w14:paraId="5A72C32D" w14:textId="77777777" w:rsidR="006E3570" w:rsidRDefault="006E3570" w:rsidP="006E3570"/>
    <w:p w14:paraId="7FB6801E" w14:textId="77777777" w:rsidR="00BE0063" w:rsidRPr="00D35A0D" w:rsidRDefault="00BE0063" w:rsidP="003765E8"/>
    <w:p w14:paraId="175DF8E2" w14:textId="77777777" w:rsidR="006E3570" w:rsidRPr="00D35A0D" w:rsidRDefault="00D778B5" w:rsidP="00F8402E">
      <w:pPr>
        <w:jc w:val="both"/>
        <w:rPr>
          <w:b/>
        </w:rPr>
      </w:pPr>
      <w:r>
        <w:t>In the matter between</w:t>
      </w:r>
      <w:r w:rsidR="006E3570" w:rsidRPr="00D35A0D">
        <w:rPr>
          <w:b/>
        </w:rPr>
        <w:t>:</w:t>
      </w:r>
    </w:p>
    <w:p w14:paraId="0B21C4DB" w14:textId="77777777" w:rsidR="006E3570" w:rsidRPr="00D35A0D" w:rsidRDefault="006E3570" w:rsidP="00F8402E">
      <w:pPr>
        <w:jc w:val="both"/>
        <w:rPr>
          <w:b/>
        </w:rPr>
      </w:pPr>
    </w:p>
    <w:p w14:paraId="2989B55D" w14:textId="77777777" w:rsidR="006E3570" w:rsidRPr="00D35A0D" w:rsidRDefault="000C39B1" w:rsidP="00F8402E">
      <w:pPr>
        <w:spacing w:line="480" w:lineRule="auto"/>
        <w:jc w:val="both"/>
        <w:rPr>
          <w:b/>
        </w:rPr>
      </w:pPr>
      <w:r>
        <w:rPr>
          <w:b/>
        </w:rPr>
        <w:t>ASANDA NGXABAZI</w:t>
      </w:r>
      <w:r w:rsidR="00C477FC">
        <w:rPr>
          <w:b/>
        </w:rPr>
        <w:tab/>
      </w:r>
      <w:r w:rsidR="00C477FC">
        <w:rPr>
          <w:b/>
        </w:rPr>
        <w:tab/>
      </w:r>
      <w:r w:rsidR="00C477FC">
        <w:rPr>
          <w:b/>
        </w:rPr>
        <w:tab/>
      </w:r>
      <w:r w:rsidR="00C477FC">
        <w:rPr>
          <w:b/>
        </w:rPr>
        <w:tab/>
      </w:r>
      <w:r w:rsidR="00C477FC">
        <w:rPr>
          <w:b/>
        </w:rPr>
        <w:tab/>
      </w:r>
      <w:r w:rsidR="00C477FC">
        <w:rPr>
          <w:b/>
        </w:rPr>
        <w:tab/>
      </w:r>
      <w:r w:rsidR="00E153B9">
        <w:rPr>
          <w:b/>
        </w:rPr>
        <w:t xml:space="preserve">          </w:t>
      </w:r>
      <w:r w:rsidR="00BE0063">
        <w:rPr>
          <w:b/>
        </w:rPr>
        <w:t xml:space="preserve"> </w:t>
      </w:r>
      <w:r w:rsidR="006E3570" w:rsidRPr="00D35A0D">
        <w:rPr>
          <w:b/>
        </w:rPr>
        <w:t xml:space="preserve"> APPELLANT</w:t>
      </w:r>
    </w:p>
    <w:p w14:paraId="22FF8648" w14:textId="77777777" w:rsidR="00D37B4A" w:rsidRDefault="00D37B4A" w:rsidP="00BE0063">
      <w:pPr>
        <w:jc w:val="both"/>
      </w:pPr>
    </w:p>
    <w:p w14:paraId="3FCF354C" w14:textId="77777777" w:rsidR="006E3570" w:rsidRDefault="00BE0063" w:rsidP="00BE0063">
      <w:pPr>
        <w:jc w:val="both"/>
      </w:pPr>
      <w:r>
        <w:t>a</w:t>
      </w:r>
      <w:r w:rsidR="00D778B5">
        <w:t>nd</w:t>
      </w:r>
    </w:p>
    <w:p w14:paraId="0B3C86D8" w14:textId="77777777" w:rsidR="00BE0063" w:rsidRPr="00D778B5" w:rsidRDefault="00BE0063" w:rsidP="00F8402E">
      <w:pPr>
        <w:jc w:val="both"/>
      </w:pPr>
    </w:p>
    <w:p w14:paraId="2C0DC4F7" w14:textId="77777777" w:rsidR="00E153B9" w:rsidRPr="00D35A0D" w:rsidRDefault="006E3570" w:rsidP="00F8402E">
      <w:pPr>
        <w:jc w:val="both"/>
        <w:rPr>
          <w:b/>
        </w:rPr>
      </w:pPr>
      <w:r w:rsidRPr="00D35A0D">
        <w:rPr>
          <w:b/>
        </w:rPr>
        <w:t>THE STATE</w:t>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Pr="00D35A0D">
        <w:rPr>
          <w:b/>
        </w:rPr>
        <w:t>RESPONDENT</w:t>
      </w:r>
    </w:p>
    <w:p w14:paraId="274A0FEC" w14:textId="77777777" w:rsidR="006E3570" w:rsidRPr="00D35A0D" w:rsidRDefault="006E3570" w:rsidP="00F8402E">
      <w:pPr>
        <w:jc w:val="both"/>
        <w:rPr>
          <w:b/>
        </w:rPr>
      </w:pPr>
    </w:p>
    <w:p w14:paraId="5F51A28E" w14:textId="77777777" w:rsidR="005E238C" w:rsidRDefault="005E238C" w:rsidP="00F8402E">
      <w:pPr>
        <w:pBdr>
          <w:top w:val="single" w:sz="12" w:space="1" w:color="auto"/>
          <w:bottom w:val="single" w:sz="12" w:space="1" w:color="auto"/>
        </w:pBdr>
        <w:jc w:val="both"/>
        <w:rPr>
          <w:b/>
        </w:rPr>
      </w:pPr>
    </w:p>
    <w:p w14:paraId="59D608E9" w14:textId="77777777" w:rsidR="006E3570" w:rsidRPr="00D35A0D" w:rsidRDefault="006E3570" w:rsidP="00BE0063">
      <w:pPr>
        <w:pBdr>
          <w:top w:val="single" w:sz="12" w:space="1" w:color="auto"/>
          <w:bottom w:val="single" w:sz="12" w:space="1" w:color="auto"/>
        </w:pBdr>
        <w:jc w:val="center"/>
        <w:rPr>
          <w:b/>
        </w:rPr>
      </w:pPr>
      <w:r w:rsidRPr="00D35A0D">
        <w:rPr>
          <w:b/>
        </w:rPr>
        <w:t>JUDGMENT</w:t>
      </w:r>
    </w:p>
    <w:p w14:paraId="0320BEFF" w14:textId="77777777" w:rsidR="006E3570" w:rsidRPr="00D35A0D" w:rsidRDefault="006E3570" w:rsidP="00F8402E">
      <w:pPr>
        <w:pBdr>
          <w:top w:val="single" w:sz="12" w:space="1" w:color="auto"/>
          <w:bottom w:val="single" w:sz="12" w:space="1" w:color="auto"/>
        </w:pBdr>
        <w:jc w:val="both"/>
        <w:rPr>
          <w:b/>
        </w:rPr>
      </w:pPr>
    </w:p>
    <w:p w14:paraId="1A4BE2C7" w14:textId="77777777" w:rsidR="006E3570" w:rsidRDefault="00BE0063" w:rsidP="00BE0063">
      <w:pPr>
        <w:jc w:val="both"/>
        <w:rPr>
          <w:b/>
        </w:rPr>
      </w:pPr>
      <w:r>
        <w:rPr>
          <w:b/>
        </w:rPr>
        <w:t>CENGANI-MBAKAZA AJ</w:t>
      </w:r>
    </w:p>
    <w:p w14:paraId="6C47B13A" w14:textId="77777777" w:rsidR="005E238C" w:rsidRPr="00C77E8C" w:rsidRDefault="005E238C" w:rsidP="00BE0063">
      <w:pPr>
        <w:jc w:val="both"/>
        <w:rPr>
          <w:b/>
        </w:rPr>
      </w:pPr>
    </w:p>
    <w:p w14:paraId="1566F31C" w14:textId="77777777" w:rsidR="006E3570" w:rsidRPr="00D37B4A" w:rsidRDefault="000C39B1" w:rsidP="00F8402E">
      <w:pPr>
        <w:spacing w:line="480" w:lineRule="auto"/>
        <w:jc w:val="both"/>
        <w:rPr>
          <w:b/>
          <w:i/>
          <w:u w:val="single"/>
        </w:rPr>
      </w:pPr>
      <w:r w:rsidRPr="00D37B4A">
        <w:rPr>
          <w:b/>
          <w:i/>
          <w:u w:val="single"/>
        </w:rPr>
        <w:t>Introduction</w:t>
      </w:r>
    </w:p>
    <w:p w14:paraId="29894886" w14:textId="77777777" w:rsidR="006E3570" w:rsidRPr="00B75F6A" w:rsidRDefault="00C477FC" w:rsidP="00F8402E">
      <w:pPr>
        <w:spacing w:line="480" w:lineRule="auto"/>
        <w:jc w:val="both"/>
      </w:pPr>
      <w:r>
        <w:t>[1</w:t>
      </w:r>
      <w:r w:rsidR="00A01DF8">
        <w:t>]   The</w:t>
      </w:r>
      <w:r w:rsidR="008A2EFD">
        <w:t xml:space="preserve"> a</w:t>
      </w:r>
      <w:r w:rsidR="00F625AC">
        <w:t>ppellant along</w:t>
      </w:r>
      <w:r w:rsidR="00C75C2C">
        <w:t xml:space="preserve"> with his co-</w:t>
      </w:r>
      <w:r w:rsidR="001758A6">
        <w:t>accused</w:t>
      </w:r>
      <w:r w:rsidR="00DA15B8">
        <w:t xml:space="preserve"> stood trial in the Regional Cour</w:t>
      </w:r>
      <w:r w:rsidR="00A41354">
        <w:t>t in</w:t>
      </w:r>
      <w:r w:rsidR="00DA15B8">
        <w:t xml:space="preserve"> Queenstown</w:t>
      </w:r>
      <w:r w:rsidR="00A41354">
        <w:t xml:space="preserve"> </w:t>
      </w:r>
      <w:r w:rsidR="00E7738E">
        <w:t>(the</w:t>
      </w:r>
      <w:r w:rsidR="009E021D">
        <w:t xml:space="preserve"> trial court</w:t>
      </w:r>
      <w:r w:rsidR="00A41354">
        <w:t>)</w:t>
      </w:r>
      <w:r w:rsidR="00A01DF8">
        <w:t xml:space="preserve"> on a charge of rape in contravention of Section 3 of the Criminal Law Sexual Offences</w:t>
      </w:r>
      <w:r w:rsidR="00D65519">
        <w:t xml:space="preserve"> and Related Matters Amendment</w:t>
      </w:r>
      <w:r w:rsidR="00A01DF8">
        <w:t xml:space="preserve"> Act 32 of 2007 read with the provisions of Section 51 (1) of the Criminal Law Amendment Act 105 of 1997 as amended. He </w:t>
      </w:r>
      <w:proofErr w:type="gramStart"/>
      <w:r w:rsidR="00A01DF8">
        <w:t xml:space="preserve">was </w:t>
      </w:r>
      <w:r w:rsidR="00FD70FA">
        <w:t xml:space="preserve"> convicted</w:t>
      </w:r>
      <w:proofErr w:type="gramEnd"/>
      <w:r w:rsidR="00FD70FA">
        <w:t xml:space="preserve"> and </w:t>
      </w:r>
      <w:r w:rsidR="00A01DF8">
        <w:t>sentenced to lif</w:t>
      </w:r>
      <w:r w:rsidR="00B75F6A">
        <w:t>e imprisonment.</w:t>
      </w:r>
    </w:p>
    <w:p w14:paraId="12AFFDDF" w14:textId="77777777" w:rsidR="006E3570" w:rsidRDefault="00C477FC" w:rsidP="00F8402E">
      <w:pPr>
        <w:spacing w:line="480" w:lineRule="auto"/>
        <w:jc w:val="both"/>
      </w:pPr>
      <w:r w:rsidRPr="00C77E8C">
        <w:lastRenderedPageBreak/>
        <w:t>[2]</w:t>
      </w:r>
      <w:r w:rsidR="00BE0063">
        <w:rPr>
          <w:b/>
        </w:rPr>
        <w:tab/>
      </w:r>
      <w:r w:rsidR="00F625AC">
        <w:t>Discontented</w:t>
      </w:r>
      <w:r w:rsidR="00BA1688">
        <w:t xml:space="preserve"> by the</w:t>
      </w:r>
      <w:r w:rsidR="006E3570" w:rsidRPr="00D35A0D">
        <w:t xml:space="preserve"> senten</w:t>
      </w:r>
      <w:r w:rsidR="00A01DF8">
        <w:t>ce</w:t>
      </w:r>
      <w:r w:rsidR="00BA1688">
        <w:t xml:space="preserve"> imposed, the appellant</w:t>
      </w:r>
      <w:r w:rsidR="00A91C68">
        <w:t xml:space="preserve"> exercised</w:t>
      </w:r>
      <w:r w:rsidR="00A01DF8">
        <w:t xml:space="preserve"> his</w:t>
      </w:r>
      <w:r w:rsidR="006E3570" w:rsidRPr="00D35A0D">
        <w:t xml:space="preserve"> automatic right</w:t>
      </w:r>
      <w:r w:rsidR="00BE23E8">
        <w:t xml:space="preserve"> of appeal</w:t>
      </w:r>
      <w:r w:rsidR="006E3570" w:rsidRPr="00D35A0D">
        <w:rPr>
          <w:rStyle w:val="FootnoteReference"/>
        </w:rPr>
        <w:footnoteReference w:id="1"/>
      </w:r>
      <w:r w:rsidR="006E3570" w:rsidRPr="00D35A0D">
        <w:t xml:space="preserve"> and appealed</w:t>
      </w:r>
      <w:r w:rsidR="00BA1688">
        <w:t xml:space="preserve"> against </w:t>
      </w:r>
      <w:r w:rsidR="00BE0063">
        <w:t xml:space="preserve">the </w:t>
      </w:r>
      <w:r w:rsidR="00BA1688" w:rsidRPr="00D35A0D">
        <w:t>sentence</w:t>
      </w:r>
      <w:r w:rsidR="00BA1688">
        <w:t xml:space="preserve"> only</w:t>
      </w:r>
      <w:r w:rsidR="006E3570" w:rsidRPr="00D35A0D">
        <w:t>.</w:t>
      </w:r>
      <w:r w:rsidR="006E3570">
        <w:t xml:space="preserve"> </w:t>
      </w:r>
      <w:r w:rsidR="00BA1688">
        <w:t>Subsequently, he filed a</w:t>
      </w:r>
      <w:r w:rsidR="00E16DE3">
        <w:t>n amended</w:t>
      </w:r>
      <w:r w:rsidR="00BA1688">
        <w:t xml:space="preserve"> notice of appeal</w:t>
      </w:r>
      <w:r w:rsidR="00E16DE3">
        <w:t xml:space="preserve"> and appealed</w:t>
      </w:r>
      <w:r w:rsidR="00BA1688">
        <w:t xml:space="preserve"> against conviction</w:t>
      </w:r>
      <w:r w:rsidR="00FD70FA">
        <w:t xml:space="preserve"> as well</w:t>
      </w:r>
      <w:r w:rsidR="00BA1688">
        <w:t>.</w:t>
      </w:r>
    </w:p>
    <w:p w14:paraId="04AB088A" w14:textId="77777777" w:rsidR="006E3570" w:rsidRPr="00D35A0D" w:rsidRDefault="006E3570" w:rsidP="00F8402E">
      <w:pPr>
        <w:spacing w:line="480" w:lineRule="auto"/>
        <w:jc w:val="both"/>
      </w:pPr>
    </w:p>
    <w:p w14:paraId="30735646" w14:textId="77777777" w:rsidR="006E3570" w:rsidRPr="00D37B4A" w:rsidRDefault="00600B87" w:rsidP="00F8402E">
      <w:pPr>
        <w:spacing w:line="480" w:lineRule="auto"/>
        <w:jc w:val="both"/>
        <w:rPr>
          <w:b/>
          <w:i/>
          <w:u w:val="single"/>
        </w:rPr>
      </w:pPr>
      <w:r w:rsidRPr="00D37B4A">
        <w:rPr>
          <w:b/>
          <w:i/>
          <w:u w:val="single"/>
        </w:rPr>
        <w:t>Factual background</w:t>
      </w:r>
    </w:p>
    <w:p w14:paraId="53C1817D" w14:textId="77777777" w:rsidR="006E3570" w:rsidRDefault="007B6E84" w:rsidP="00F8402E">
      <w:pPr>
        <w:spacing w:line="480" w:lineRule="auto"/>
        <w:jc w:val="both"/>
      </w:pPr>
      <w:r>
        <w:t>[3</w:t>
      </w:r>
      <w:r w:rsidR="00BE0063">
        <w:t>]</w:t>
      </w:r>
      <w:r w:rsidR="00BE0063">
        <w:tab/>
      </w:r>
      <w:r w:rsidR="001722EB">
        <w:t>The complainant</w:t>
      </w:r>
      <w:r w:rsidR="00FD70FA">
        <w:t>,</w:t>
      </w:r>
      <w:r w:rsidR="001722EB">
        <w:t xml:space="preserve"> </w:t>
      </w:r>
      <w:proofErr w:type="gramStart"/>
      <w:r w:rsidR="00783C1C">
        <w:t>N</w:t>
      </w:r>
      <w:r w:rsidR="00AF2DB9">
        <w:t>S</w:t>
      </w:r>
      <w:r w:rsidR="00A1445D">
        <w:t>[</w:t>
      </w:r>
      <w:proofErr w:type="gramEnd"/>
      <w:r w:rsidR="00A1445D">
        <w:t xml:space="preserve">…] </w:t>
      </w:r>
      <w:r w:rsidR="00641185">
        <w:t xml:space="preserve">is a </w:t>
      </w:r>
      <w:r w:rsidR="00621CD8">
        <w:t xml:space="preserve">child who </w:t>
      </w:r>
      <w:r w:rsidR="009E1D80">
        <w:t xml:space="preserve">was deprived of the </w:t>
      </w:r>
      <w:r w:rsidR="0028211F">
        <w:t>opportunity</w:t>
      </w:r>
      <w:r>
        <w:t xml:space="preserve"> to attend school and receive</w:t>
      </w:r>
      <w:r w:rsidR="00D34190">
        <w:t xml:space="preserve"> a</w:t>
      </w:r>
      <w:r w:rsidR="001758A6">
        <w:t xml:space="preserve"> formal</w:t>
      </w:r>
      <w:r>
        <w:t xml:space="preserve"> </w:t>
      </w:r>
      <w:r w:rsidR="009E1D80">
        <w:t>education.</w:t>
      </w:r>
      <w:r w:rsidR="0028211F">
        <w:t xml:space="preserve"> </w:t>
      </w:r>
      <w:r w:rsidR="00B87330">
        <w:t>At the time she testified,</w:t>
      </w:r>
      <w:r w:rsidR="00516350">
        <w:t xml:space="preserve"> </w:t>
      </w:r>
      <w:r w:rsidR="00B87330">
        <w:t>s</w:t>
      </w:r>
      <w:r w:rsidR="0028211F">
        <w:t xml:space="preserve">he could </w:t>
      </w:r>
      <w:r w:rsidR="009E021D">
        <w:t xml:space="preserve">neither </w:t>
      </w:r>
      <w:r w:rsidR="00516350">
        <w:t xml:space="preserve">read </w:t>
      </w:r>
      <w:r w:rsidR="009E021D">
        <w:t>n</w:t>
      </w:r>
      <w:r w:rsidR="00516350">
        <w:t>or</w:t>
      </w:r>
      <w:r w:rsidR="00B87330">
        <w:t xml:space="preserve"> write</w:t>
      </w:r>
      <w:r w:rsidR="000C5B3A">
        <w:t xml:space="preserve"> and was </w:t>
      </w:r>
      <w:r w:rsidR="009E021D">
        <w:t>inexact</w:t>
      </w:r>
      <w:r w:rsidR="00663C3D">
        <w:t xml:space="preserve"> about her age</w:t>
      </w:r>
      <w:r w:rsidR="0028211F">
        <w:t>.</w:t>
      </w:r>
      <w:r w:rsidR="009E1D80">
        <w:t xml:space="preserve"> </w:t>
      </w:r>
      <w:r w:rsidR="00663C3D">
        <w:t xml:space="preserve">She was raised by her grandmother and </w:t>
      </w:r>
      <w:r w:rsidR="009E1D80">
        <w:t xml:space="preserve">no </w:t>
      </w:r>
      <w:r>
        <w:t>birth certificate was submitted</w:t>
      </w:r>
      <w:r w:rsidR="00663C3D">
        <w:t xml:space="preserve"> to prove her age.</w:t>
      </w:r>
      <w:r w:rsidR="00516350">
        <w:t xml:space="preserve"> </w:t>
      </w:r>
      <w:r w:rsidR="00663C3D">
        <w:t>This notwithstanding, it was admitted that</w:t>
      </w:r>
      <w:r w:rsidR="009E1D80">
        <w:t xml:space="preserve"> she was between</w:t>
      </w:r>
      <w:r>
        <w:t xml:space="preserve"> the ages </w:t>
      </w:r>
      <w:r w:rsidR="00BE0063">
        <w:t xml:space="preserve">of </w:t>
      </w:r>
      <w:r>
        <w:t>13 and 14 when</w:t>
      </w:r>
      <w:r w:rsidR="009E1D80">
        <w:t xml:space="preserve"> the alleged offence was committed.</w:t>
      </w:r>
    </w:p>
    <w:p w14:paraId="41916BE1" w14:textId="77777777" w:rsidR="006E3570" w:rsidRPr="00D35A0D" w:rsidRDefault="006E3570" w:rsidP="00F8402E">
      <w:pPr>
        <w:spacing w:line="480" w:lineRule="auto"/>
        <w:jc w:val="both"/>
      </w:pPr>
    </w:p>
    <w:p w14:paraId="02E47DEB" w14:textId="77777777" w:rsidR="007706A8" w:rsidRDefault="007B6E84" w:rsidP="00F8402E">
      <w:pPr>
        <w:spacing w:line="480" w:lineRule="auto"/>
        <w:jc w:val="both"/>
      </w:pPr>
      <w:r>
        <w:t>[4</w:t>
      </w:r>
      <w:r w:rsidR="0028211F">
        <w:t>]</w:t>
      </w:r>
      <w:r w:rsidR="00BE0063">
        <w:tab/>
      </w:r>
      <w:r w:rsidR="0028211F">
        <w:t>I</w:t>
      </w:r>
      <w:r w:rsidR="00B87330">
        <w:t xml:space="preserve">n the early evening </w:t>
      </w:r>
      <w:proofErr w:type="gramStart"/>
      <w:r w:rsidR="00B87330">
        <w:t xml:space="preserve">of </w:t>
      </w:r>
      <w:r w:rsidR="009E1D80">
        <w:t xml:space="preserve"> </w:t>
      </w:r>
      <w:r w:rsidR="0028211F">
        <w:t>1</w:t>
      </w:r>
      <w:proofErr w:type="gramEnd"/>
      <w:r w:rsidR="0028211F">
        <w:t xml:space="preserve"> of May 2012, she</w:t>
      </w:r>
      <w:r w:rsidR="005E7663">
        <w:t xml:space="preserve"> went </w:t>
      </w:r>
      <w:r w:rsidR="0028211F">
        <w:t>to Molly’s</w:t>
      </w:r>
      <w:r w:rsidR="005E7663">
        <w:t xml:space="preserve"> place, a tavern, to look for</w:t>
      </w:r>
      <w:r w:rsidR="0028211F">
        <w:t xml:space="preserve"> </w:t>
      </w:r>
      <w:r w:rsidR="005E7663">
        <w:t xml:space="preserve">her grandmother and aunt. </w:t>
      </w:r>
      <w:r w:rsidR="000A70DD">
        <w:t>She found</w:t>
      </w:r>
      <w:r w:rsidR="00516350">
        <w:t xml:space="preserve"> them drinking liquor </w:t>
      </w:r>
      <w:r w:rsidR="00AA55E6">
        <w:t>and at</w:t>
      </w:r>
      <w:r w:rsidR="00516350">
        <w:t xml:space="preserve"> some point</w:t>
      </w:r>
      <w:r w:rsidR="00BE0063">
        <w:t>,</w:t>
      </w:r>
      <w:r w:rsidR="00516350">
        <w:t xml:space="preserve"> they all proceed</w:t>
      </w:r>
      <w:r w:rsidR="00641185">
        <w:t xml:space="preserve">ed to </w:t>
      </w:r>
      <w:proofErr w:type="spellStart"/>
      <w:r w:rsidR="00641185">
        <w:t>Mxeshe</w:t>
      </w:r>
      <w:proofErr w:type="spellEnd"/>
      <w:r w:rsidR="00641185">
        <w:t xml:space="preserve"> location where her grandmother and aunt</w:t>
      </w:r>
      <w:r w:rsidR="00516350">
        <w:t xml:space="preserve"> continued to drink liquor at a certain house. </w:t>
      </w:r>
    </w:p>
    <w:p w14:paraId="12BF586C" w14:textId="77777777" w:rsidR="00516350" w:rsidRDefault="00516350" w:rsidP="00F8402E">
      <w:pPr>
        <w:spacing w:line="480" w:lineRule="auto"/>
        <w:jc w:val="both"/>
      </w:pPr>
    </w:p>
    <w:p w14:paraId="51AFD59E" w14:textId="77777777" w:rsidR="00516350" w:rsidRDefault="007B6E84" w:rsidP="00F8402E">
      <w:pPr>
        <w:spacing w:line="480" w:lineRule="auto"/>
        <w:jc w:val="both"/>
      </w:pPr>
      <w:r>
        <w:t>[5</w:t>
      </w:r>
      <w:r w:rsidR="00516350">
        <w:t>]</w:t>
      </w:r>
      <w:r w:rsidR="00BE0063">
        <w:tab/>
      </w:r>
      <w:r w:rsidR="00AA55E6">
        <w:t>S</w:t>
      </w:r>
      <w:r w:rsidR="00516350">
        <w:t>inc</w:t>
      </w:r>
      <w:r w:rsidR="00AF2DB9">
        <w:t xml:space="preserve">e it was becoming dark </w:t>
      </w:r>
      <w:proofErr w:type="gramStart"/>
      <w:r w:rsidR="00783C1C">
        <w:t>N</w:t>
      </w:r>
      <w:r w:rsidR="00AF2DB9">
        <w:t>S</w:t>
      </w:r>
      <w:r w:rsidR="00783C1C">
        <w:t>[</w:t>
      </w:r>
      <w:proofErr w:type="gramEnd"/>
      <w:r w:rsidR="00783C1C">
        <w:t>…]</w:t>
      </w:r>
      <w:r w:rsidR="00516350">
        <w:t xml:space="preserve"> signalled that it was time to go home. </w:t>
      </w:r>
      <w:r w:rsidR="00362240">
        <w:t>Her grandmother and aunt refused to</w:t>
      </w:r>
      <w:r w:rsidR="00516350">
        <w:t xml:space="preserve"> leave instead they asked her to carry their</w:t>
      </w:r>
      <w:r w:rsidR="009E021D">
        <w:t xml:space="preserve"> box of wine home</w:t>
      </w:r>
      <w:r w:rsidR="00AF2DB9">
        <w:t xml:space="preserve">. </w:t>
      </w:r>
      <w:proofErr w:type="gramStart"/>
      <w:r w:rsidR="00AF2DB9">
        <w:t>NS</w:t>
      </w:r>
      <w:r w:rsidR="00783C1C">
        <w:t>[</w:t>
      </w:r>
      <w:proofErr w:type="gramEnd"/>
      <w:r w:rsidR="00783C1C">
        <w:t>…]</w:t>
      </w:r>
      <w:r w:rsidR="00516350">
        <w:t xml:space="preserve"> left carrying this box of wi</w:t>
      </w:r>
      <w:r w:rsidR="009E021D">
        <w:t>ne on her back.  On the way</w:t>
      </w:r>
      <w:r w:rsidR="00516350">
        <w:t>, she</w:t>
      </w:r>
      <w:r w:rsidR="00A91C68">
        <w:t xml:space="preserve"> met the appellant who was accompanied by a group of</w:t>
      </w:r>
      <w:r w:rsidR="00AA55E6">
        <w:t xml:space="preserve"> </w:t>
      </w:r>
      <w:r w:rsidR="00600B87">
        <w:t xml:space="preserve">other </w:t>
      </w:r>
      <w:r w:rsidR="009E021D">
        <w:t>young men.</w:t>
      </w:r>
      <w:r w:rsidR="00362240" w:rsidRPr="00362240">
        <w:t xml:space="preserve"> </w:t>
      </w:r>
      <w:r w:rsidR="00362240">
        <w:t>The appellant grabbed her.</w:t>
      </w:r>
      <w:r w:rsidR="009E021D">
        <w:t xml:space="preserve"> </w:t>
      </w:r>
      <w:r w:rsidR="00362240">
        <w:t>She screamed and tried to free herself from the grip of the</w:t>
      </w:r>
      <w:r w:rsidR="00D65519">
        <w:t xml:space="preserve"> appellant. T</w:t>
      </w:r>
      <w:r w:rsidR="00362240">
        <w:t>he</w:t>
      </w:r>
      <w:r w:rsidR="00D65519">
        <w:t xml:space="preserve"> appellant</w:t>
      </w:r>
      <w:r w:rsidR="00362240">
        <w:t xml:space="preserve"> assaulted her with a pipe</w:t>
      </w:r>
      <w:r w:rsidR="00D65519">
        <w:t xml:space="preserve"> and further dragged her</w:t>
      </w:r>
      <w:r w:rsidR="00362240">
        <w:t xml:space="preserve"> while </w:t>
      </w:r>
      <w:r w:rsidR="008A2EFD">
        <w:t>the other young men were hurling</w:t>
      </w:r>
      <w:r w:rsidR="00362240">
        <w:t xml:space="preserve"> insults</w:t>
      </w:r>
      <w:r w:rsidR="00D65519">
        <w:t xml:space="preserve"> at her. </w:t>
      </w:r>
      <w:r w:rsidR="00362240">
        <w:t>They</w:t>
      </w:r>
      <w:r w:rsidR="00A1445D">
        <w:t xml:space="preserve"> forced</w:t>
      </w:r>
      <w:r w:rsidR="00B268AC">
        <w:t xml:space="preserve"> her to go </w:t>
      </w:r>
      <w:r w:rsidR="00362240">
        <w:t xml:space="preserve">to a certain house </w:t>
      </w:r>
      <w:r w:rsidR="001722EB">
        <w:t xml:space="preserve">where a certain girl </w:t>
      </w:r>
      <w:proofErr w:type="gramStart"/>
      <w:r w:rsidR="00A91C68">
        <w:t>Z</w:t>
      </w:r>
      <w:r w:rsidR="001722EB">
        <w:t>M</w:t>
      </w:r>
      <w:r w:rsidR="00783C1C">
        <w:t>[</w:t>
      </w:r>
      <w:proofErr w:type="gramEnd"/>
      <w:r w:rsidR="00783C1C">
        <w:t>…]</w:t>
      </w:r>
      <w:r w:rsidR="00A91C68">
        <w:t xml:space="preserve"> opened for them. </w:t>
      </w:r>
      <w:proofErr w:type="gramStart"/>
      <w:r w:rsidR="00A91C68">
        <w:t>NS</w:t>
      </w:r>
      <w:r w:rsidR="00783C1C">
        <w:t>[</w:t>
      </w:r>
      <w:proofErr w:type="gramEnd"/>
      <w:r w:rsidR="00783C1C">
        <w:t>…]</w:t>
      </w:r>
      <w:r w:rsidR="00AA55E6">
        <w:t xml:space="preserve"> </w:t>
      </w:r>
      <w:r w:rsidR="00A91C68">
        <w:t xml:space="preserve">was forced to sit on a couch and </w:t>
      </w:r>
      <w:r w:rsidR="00A91C68">
        <w:lastRenderedPageBreak/>
        <w:t xml:space="preserve">drink the wine she was carrying. The </w:t>
      </w:r>
      <w:r w:rsidR="00D65519">
        <w:t>appellant proceeded</w:t>
      </w:r>
      <w:r w:rsidR="00362240">
        <w:t xml:space="preserve"> to assault </w:t>
      </w:r>
      <w:r w:rsidR="00AF6362">
        <w:t>a</w:t>
      </w:r>
      <w:r w:rsidR="00A91C68">
        <w:t>nd continued to assault her whenever she refused to carry out hi</w:t>
      </w:r>
      <w:r w:rsidR="00362240">
        <w:t xml:space="preserve">s instructions </w:t>
      </w:r>
      <w:r w:rsidR="00A91C68">
        <w:t>which included drinking the</w:t>
      </w:r>
      <w:r w:rsidR="00E16DE3">
        <w:t xml:space="preserve"> wine she had in her possession</w:t>
      </w:r>
      <w:r w:rsidR="00453EEF">
        <w:t>.</w:t>
      </w:r>
      <w:r w:rsidR="00A91C68">
        <w:t xml:space="preserve"> </w:t>
      </w:r>
    </w:p>
    <w:p w14:paraId="61A2E996" w14:textId="77777777" w:rsidR="00AA55E6" w:rsidRDefault="00AA55E6" w:rsidP="00F8402E">
      <w:pPr>
        <w:spacing w:line="480" w:lineRule="auto"/>
        <w:jc w:val="both"/>
      </w:pPr>
    </w:p>
    <w:p w14:paraId="41E7FB81" w14:textId="77777777" w:rsidR="00AA55E6" w:rsidRDefault="00362240" w:rsidP="00F8402E">
      <w:pPr>
        <w:spacing w:line="480" w:lineRule="auto"/>
        <w:jc w:val="both"/>
      </w:pPr>
      <w:r>
        <w:t xml:space="preserve">[6] </w:t>
      </w:r>
      <w:r w:rsidR="00BE0063">
        <w:tab/>
      </w:r>
      <w:r>
        <w:t>Whil</w:t>
      </w:r>
      <w:r w:rsidR="008F4929">
        <w:t>st</w:t>
      </w:r>
      <w:r>
        <w:t xml:space="preserve"> intoxicated from the wine, she noticed the appellant pulling her in the direction of the bedroom where he proceeded to rape her.</w:t>
      </w:r>
      <w:r w:rsidR="006E6B31">
        <w:t xml:space="preserve"> </w:t>
      </w:r>
      <w:r>
        <w:t>The other young men entered the bedroom and one of them was instructed to have sexual intercourse with</w:t>
      </w:r>
      <w:r w:rsidR="008A2EFD">
        <w:t xml:space="preserve"> her by the </w:t>
      </w:r>
      <w:proofErr w:type="gramStart"/>
      <w:r w:rsidR="008A2EFD">
        <w:t>appellant</w:t>
      </w:r>
      <w:r w:rsidR="008F4929">
        <w:t>,</w:t>
      </w:r>
      <w:r w:rsidR="008A2EFD">
        <w:t xml:space="preserve">  which</w:t>
      </w:r>
      <w:proofErr w:type="gramEnd"/>
      <w:r w:rsidR="008A2EFD">
        <w:t xml:space="preserve"> </w:t>
      </w:r>
      <w:r>
        <w:t xml:space="preserve">he did. </w:t>
      </w:r>
      <w:proofErr w:type="gramStart"/>
      <w:r w:rsidR="00AF2DB9">
        <w:t>NS</w:t>
      </w:r>
      <w:r w:rsidR="00783C1C">
        <w:t>[</w:t>
      </w:r>
      <w:proofErr w:type="gramEnd"/>
      <w:r w:rsidR="00783C1C">
        <w:t>…]</w:t>
      </w:r>
      <w:r w:rsidR="00C7767A">
        <w:t xml:space="preserve"> testified that she was scared and could no</w:t>
      </w:r>
      <w:r>
        <w:t>t resist when the other young ma</w:t>
      </w:r>
      <w:r w:rsidR="00C7767A">
        <w:t>n was raping her.</w:t>
      </w:r>
    </w:p>
    <w:p w14:paraId="7BA85FCC" w14:textId="77777777" w:rsidR="00C7767A" w:rsidRDefault="00C7767A" w:rsidP="00F8402E">
      <w:pPr>
        <w:spacing w:line="480" w:lineRule="auto"/>
        <w:jc w:val="both"/>
      </w:pPr>
    </w:p>
    <w:p w14:paraId="05701072" w14:textId="77777777" w:rsidR="00AA55E6" w:rsidRDefault="00F5665D" w:rsidP="00F8402E">
      <w:pPr>
        <w:spacing w:line="480" w:lineRule="auto"/>
        <w:jc w:val="both"/>
      </w:pPr>
      <w:r>
        <w:t>[7</w:t>
      </w:r>
      <w:r w:rsidR="00BA105E">
        <w:t xml:space="preserve">] </w:t>
      </w:r>
      <w:r w:rsidR="00BE0063">
        <w:tab/>
      </w:r>
      <w:r w:rsidR="00BA105E">
        <w:t>She</w:t>
      </w:r>
      <w:r w:rsidR="00D65519">
        <w:t xml:space="preserve"> later put </w:t>
      </w:r>
      <w:r w:rsidR="00362240">
        <w:t xml:space="preserve">her clothes on and found </w:t>
      </w:r>
      <w:proofErr w:type="gramStart"/>
      <w:r w:rsidR="00362240">
        <w:t>ZM</w:t>
      </w:r>
      <w:r w:rsidR="00783C1C">
        <w:t>[</w:t>
      </w:r>
      <w:proofErr w:type="gramEnd"/>
      <w:r w:rsidR="00783C1C">
        <w:t>…]</w:t>
      </w:r>
      <w:r w:rsidR="00362240">
        <w:t xml:space="preserve"> sleeping on another bed</w:t>
      </w:r>
      <w:r w:rsidR="00BA105E">
        <w:t xml:space="preserve"> with her sibling. She was accompanied by one of the young </w:t>
      </w:r>
      <w:proofErr w:type="gramStart"/>
      <w:r w:rsidR="00866892">
        <w:t>ma</w:t>
      </w:r>
      <w:r w:rsidR="00BE0063">
        <w:t>n</w:t>
      </w:r>
      <w:proofErr w:type="gramEnd"/>
      <w:r w:rsidR="00BE0063">
        <w:t xml:space="preserve"> </w:t>
      </w:r>
      <w:r w:rsidR="00BA105E">
        <w:t>who was in the house while she was being raped.</w:t>
      </w:r>
      <w:r w:rsidR="00F066AD">
        <w:t xml:space="preserve"> </w:t>
      </w:r>
    </w:p>
    <w:p w14:paraId="3733984B" w14:textId="77777777" w:rsidR="00F066AD" w:rsidRDefault="00F066AD" w:rsidP="00F8402E">
      <w:pPr>
        <w:spacing w:line="480" w:lineRule="auto"/>
        <w:jc w:val="both"/>
      </w:pPr>
    </w:p>
    <w:p w14:paraId="51663589" w14:textId="77777777" w:rsidR="00AA55E6" w:rsidRDefault="00F5665D" w:rsidP="00F8402E">
      <w:pPr>
        <w:spacing w:line="480" w:lineRule="auto"/>
        <w:jc w:val="both"/>
      </w:pPr>
      <w:r>
        <w:t>[8</w:t>
      </w:r>
      <w:r w:rsidR="00F066AD">
        <w:t>]</w:t>
      </w:r>
      <w:r w:rsidR="00BE0063">
        <w:tab/>
      </w:r>
      <w:r w:rsidR="00F066AD">
        <w:t xml:space="preserve"> On the way </w:t>
      </w:r>
      <w:r w:rsidR="009E021D">
        <w:t xml:space="preserve">home, </w:t>
      </w:r>
      <w:r w:rsidR="00F066AD">
        <w:t xml:space="preserve">she met her grandmother and aunt who were looking for her. She informed them of what had happened to her. A </w:t>
      </w:r>
      <w:proofErr w:type="gramStart"/>
      <w:r w:rsidR="00F066AD">
        <w:t>police</w:t>
      </w:r>
      <w:proofErr w:type="gramEnd"/>
      <w:r w:rsidR="00F066AD">
        <w:t xml:space="preserve"> van coincidentally passed by. They stopped the poli</w:t>
      </w:r>
      <w:r w:rsidR="00BA1688">
        <w:t xml:space="preserve">ce car and reported the matter to the police </w:t>
      </w:r>
      <w:r w:rsidR="00E16DE3">
        <w:t>where</w:t>
      </w:r>
      <w:r w:rsidR="00D34190">
        <w:t>after</w:t>
      </w:r>
      <w:r w:rsidR="009E021D">
        <w:t xml:space="preserve"> a case was formally opened. </w:t>
      </w:r>
      <w:proofErr w:type="gramStart"/>
      <w:r w:rsidR="009E021D">
        <w:t>NS</w:t>
      </w:r>
      <w:r w:rsidR="00783C1C">
        <w:t>[</w:t>
      </w:r>
      <w:proofErr w:type="gramEnd"/>
      <w:r w:rsidR="00783C1C">
        <w:t>…]</w:t>
      </w:r>
      <w:r w:rsidR="009E021D">
        <w:t xml:space="preserve"> </w:t>
      </w:r>
      <w:r w:rsidR="00BA1688">
        <w:t>was later examined by the Doctor who noted injuries in her genitals.</w:t>
      </w:r>
    </w:p>
    <w:p w14:paraId="59209CC3" w14:textId="77777777" w:rsidR="00F066AD" w:rsidRDefault="00F066AD" w:rsidP="00F8402E">
      <w:pPr>
        <w:spacing w:line="480" w:lineRule="auto"/>
        <w:jc w:val="both"/>
      </w:pPr>
    </w:p>
    <w:p w14:paraId="532AD66E" w14:textId="77777777" w:rsidR="00407110" w:rsidRDefault="00F5665D" w:rsidP="00F8402E">
      <w:pPr>
        <w:spacing w:line="480" w:lineRule="auto"/>
        <w:jc w:val="both"/>
      </w:pPr>
      <w:r>
        <w:t>[9</w:t>
      </w:r>
      <w:r w:rsidR="00F066AD">
        <w:t>]</w:t>
      </w:r>
      <w:r w:rsidR="00BE0063">
        <w:tab/>
      </w:r>
      <w:r w:rsidR="00F066AD">
        <w:t xml:space="preserve"> </w:t>
      </w:r>
      <w:r w:rsidR="00D34190">
        <w:t>In cross-examination</w:t>
      </w:r>
      <w:r w:rsidR="00BE0063">
        <w:t>,</w:t>
      </w:r>
      <w:r w:rsidR="00D34190">
        <w:t xml:space="preserve"> </w:t>
      </w:r>
      <w:proofErr w:type="gramStart"/>
      <w:r w:rsidR="00AF2DB9">
        <w:t>NS</w:t>
      </w:r>
      <w:r w:rsidR="00783C1C">
        <w:t>[</w:t>
      </w:r>
      <w:proofErr w:type="gramEnd"/>
      <w:r w:rsidR="00783C1C">
        <w:t>…]</w:t>
      </w:r>
      <w:r w:rsidR="00D34190">
        <w:t xml:space="preserve"> denied that she had</w:t>
      </w:r>
      <w:r w:rsidR="00F066AD">
        <w:t xml:space="preserve"> a relationship</w:t>
      </w:r>
      <w:r w:rsidR="00D34190">
        <w:t xml:space="preserve"> with the appellant. She</w:t>
      </w:r>
      <w:r w:rsidR="009E021D">
        <w:t xml:space="preserve"> further denied that there was </w:t>
      </w:r>
      <w:r w:rsidR="00D34190">
        <w:t>con</w:t>
      </w:r>
      <w:r w:rsidR="009E021D">
        <w:t>sensual sexual intercourse between them</w:t>
      </w:r>
      <w:r w:rsidR="00D65519">
        <w:t xml:space="preserve">. </w:t>
      </w:r>
      <w:r w:rsidR="003B2874">
        <w:t>She could</w:t>
      </w:r>
      <w:r w:rsidR="00673B6B">
        <w:t xml:space="preserve"> not remember which par</w:t>
      </w:r>
      <w:r w:rsidR="00641185">
        <w:t xml:space="preserve">t of her body </w:t>
      </w:r>
      <w:proofErr w:type="gramStart"/>
      <w:r w:rsidR="00641185">
        <w:t>was  assaulted</w:t>
      </w:r>
      <w:proofErr w:type="gramEnd"/>
      <w:r w:rsidR="00641185">
        <w:t xml:space="preserve"> but testified that she felt pains.</w:t>
      </w:r>
    </w:p>
    <w:p w14:paraId="2D7121E3" w14:textId="77777777" w:rsidR="00407110" w:rsidRDefault="00407110" w:rsidP="00F8402E">
      <w:pPr>
        <w:spacing w:line="480" w:lineRule="auto"/>
        <w:jc w:val="both"/>
      </w:pPr>
    </w:p>
    <w:p w14:paraId="682DD8D4" w14:textId="77777777" w:rsidR="00AA55E6" w:rsidRDefault="00673B6B" w:rsidP="00F8402E">
      <w:pPr>
        <w:spacing w:line="480" w:lineRule="auto"/>
        <w:jc w:val="both"/>
      </w:pPr>
      <w:r>
        <w:lastRenderedPageBreak/>
        <w:t>[1</w:t>
      </w:r>
      <w:r w:rsidR="00F5665D">
        <w:t>0</w:t>
      </w:r>
      <w:r>
        <w:t xml:space="preserve">] </w:t>
      </w:r>
      <w:r w:rsidR="00BE0063">
        <w:tab/>
      </w:r>
      <w:r>
        <w:t>The state further led the evidence of the yo</w:t>
      </w:r>
      <w:r w:rsidR="00D34190">
        <w:t>ung ma</w:t>
      </w:r>
      <w:r w:rsidR="003B2874">
        <w:t xml:space="preserve">n who accompanied </w:t>
      </w:r>
      <w:proofErr w:type="gramStart"/>
      <w:r w:rsidR="009E021D">
        <w:t>NS</w:t>
      </w:r>
      <w:r w:rsidR="00783C1C">
        <w:t>[</w:t>
      </w:r>
      <w:proofErr w:type="gramEnd"/>
      <w:r w:rsidR="00783C1C">
        <w:t>…]</w:t>
      </w:r>
      <w:r w:rsidR="009E021D">
        <w:t xml:space="preserve"> on her way home</w:t>
      </w:r>
      <w:r>
        <w:t xml:space="preserve">. Since </w:t>
      </w:r>
      <w:r w:rsidR="00BA1688">
        <w:t>t</w:t>
      </w:r>
      <w:r>
        <w:t>he</w:t>
      </w:r>
      <w:r w:rsidR="00BA1688">
        <w:t xml:space="preserve"> young man</w:t>
      </w:r>
      <w:r>
        <w:t xml:space="preserve"> was declared a hostile witness, his eviden</w:t>
      </w:r>
      <w:r w:rsidR="009E021D">
        <w:t xml:space="preserve">ce was </w:t>
      </w:r>
      <w:r w:rsidR="008F4929">
        <w:t>(</w:t>
      </w:r>
      <w:r w:rsidR="009E021D">
        <w:t>discarded</w:t>
      </w:r>
      <w:r w:rsidR="008F4929">
        <w:t>) disregarded</w:t>
      </w:r>
      <w:r w:rsidR="009E021D">
        <w:t xml:space="preserve"> by the trial court</w:t>
      </w:r>
      <w:r w:rsidR="00BA105E">
        <w:t xml:space="preserve">. </w:t>
      </w:r>
      <w:proofErr w:type="gramStart"/>
      <w:r w:rsidR="00BA105E">
        <w:t>ZM</w:t>
      </w:r>
      <w:r w:rsidR="00783C1C">
        <w:t>[</w:t>
      </w:r>
      <w:proofErr w:type="gramEnd"/>
      <w:r w:rsidR="00783C1C">
        <w:t>…]</w:t>
      </w:r>
      <w:r w:rsidR="00BA105E">
        <w:t xml:space="preserve"> testified that she</w:t>
      </w:r>
      <w:r w:rsidR="00AA55E6">
        <w:t xml:space="preserve"> </w:t>
      </w:r>
      <w:r w:rsidR="00AF2DB9">
        <w:t>did not know NS</w:t>
      </w:r>
      <w:r w:rsidR="00783C1C">
        <w:t>[…]</w:t>
      </w:r>
      <w:r w:rsidR="00AF2DB9">
        <w:t xml:space="preserve"> </w:t>
      </w:r>
      <w:r w:rsidR="00BE29A6">
        <w:t xml:space="preserve">prior </w:t>
      </w:r>
      <w:r w:rsidR="00BE0063">
        <w:t xml:space="preserve">to </w:t>
      </w:r>
      <w:r w:rsidR="00BE29A6">
        <w:t xml:space="preserve">the incident. She </w:t>
      </w:r>
      <w:proofErr w:type="gramStart"/>
      <w:r w:rsidR="00BE29A6">
        <w:t>confirmed  see</w:t>
      </w:r>
      <w:r w:rsidR="008F4929">
        <w:t>i</w:t>
      </w:r>
      <w:r w:rsidR="00BE29A6">
        <w:t>n</w:t>
      </w:r>
      <w:r w:rsidR="008F4929">
        <w:t>g</w:t>
      </w:r>
      <w:proofErr w:type="gramEnd"/>
      <w:r w:rsidR="00BE29A6">
        <w:t xml:space="preserve"> the appellant </w:t>
      </w:r>
      <w:r w:rsidR="00D34190">
        <w:t>getting in her h</w:t>
      </w:r>
      <w:r w:rsidR="008A2EFD">
        <w:t>ome with a</w:t>
      </w:r>
      <w:r w:rsidR="003B2874">
        <w:t xml:space="preserve"> group of young me</w:t>
      </w:r>
      <w:r w:rsidR="00D34190">
        <w:t>n</w:t>
      </w:r>
      <w:r w:rsidR="008F4929">
        <w:t xml:space="preserve"> on the night in question</w:t>
      </w:r>
      <w:r w:rsidR="00D34190">
        <w:t>. She</w:t>
      </w:r>
      <w:r w:rsidR="009E021D">
        <w:t xml:space="preserve"> saw the appellant assaulting </w:t>
      </w:r>
      <w:proofErr w:type="gramStart"/>
      <w:r w:rsidR="009E021D">
        <w:t>NS</w:t>
      </w:r>
      <w:r w:rsidR="00783C1C">
        <w:t>[</w:t>
      </w:r>
      <w:proofErr w:type="gramEnd"/>
      <w:r w:rsidR="00783C1C">
        <w:t>…]</w:t>
      </w:r>
      <w:r w:rsidR="00BE29A6">
        <w:t xml:space="preserve"> with a pipe.</w:t>
      </w:r>
      <w:r w:rsidR="00AA55E6">
        <w:t xml:space="preserve"> </w:t>
      </w:r>
      <w:r w:rsidR="008A2EFD">
        <w:t xml:space="preserve">She testified </w:t>
      </w:r>
      <w:proofErr w:type="gramStart"/>
      <w:r w:rsidR="008A2EFD">
        <w:t xml:space="preserve">that </w:t>
      </w:r>
      <w:r w:rsidR="009E021D">
        <w:t xml:space="preserve"> NS</w:t>
      </w:r>
      <w:proofErr w:type="gramEnd"/>
      <w:r w:rsidR="00263194">
        <w:t>[…]</w:t>
      </w:r>
      <w:r w:rsidR="00D34190">
        <w:t xml:space="preserve"> was </w:t>
      </w:r>
      <w:r w:rsidR="00BE29A6">
        <w:t xml:space="preserve">in the same bed with the appellant; </w:t>
      </w:r>
      <w:r w:rsidR="009E021D">
        <w:t>she heard them having sexual intercourse, however, NS</w:t>
      </w:r>
      <w:r w:rsidR="00263194">
        <w:t>[…]</w:t>
      </w:r>
      <w:r w:rsidR="009E021D">
        <w:t xml:space="preserve"> </w:t>
      </w:r>
      <w:r w:rsidR="007B6E84">
        <w:t>was crying when she left the house.</w:t>
      </w:r>
    </w:p>
    <w:p w14:paraId="41E43547" w14:textId="77777777" w:rsidR="007B6E84" w:rsidRDefault="007B6E84" w:rsidP="00F8402E">
      <w:pPr>
        <w:spacing w:line="480" w:lineRule="auto"/>
        <w:jc w:val="both"/>
      </w:pPr>
    </w:p>
    <w:p w14:paraId="6ADCACB9" w14:textId="77777777" w:rsidR="007B6E84" w:rsidRDefault="00F5665D" w:rsidP="00F8402E">
      <w:pPr>
        <w:spacing w:line="480" w:lineRule="auto"/>
        <w:jc w:val="both"/>
      </w:pPr>
      <w:r>
        <w:t>[11</w:t>
      </w:r>
      <w:r w:rsidR="00AF2DB9">
        <w:t xml:space="preserve">] </w:t>
      </w:r>
      <w:r w:rsidR="00BE0063">
        <w:tab/>
      </w:r>
      <w:proofErr w:type="gramStart"/>
      <w:r w:rsidR="00AF2DB9">
        <w:t>NS</w:t>
      </w:r>
      <w:r w:rsidR="00263194">
        <w:t>[</w:t>
      </w:r>
      <w:proofErr w:type="gramEnd"/>
      <w:r w:rsidR="00263194">
        <w:t>…]</w:t>
      </w:r>
      <w:r w:rsidR="007B6E84">
        <w:t>’s aunt i</w:t>
      </w:r>
      <w:r w:rsidR="009E021D">
        <w:t>nformed the court that the girl’s eyes</w:t>
      </w:r>
      <w:r w:rsidR="007B6E84">
        <w:t xml:space="preserve"> were red when she informed her about the rape incident. She obse</w:t>
      </w:r>
      <w:r w:rsidR="00BA105E">
        <w:t xml:space="preserve">rved signs that she had consumed heavy amounts </w:t>
      </w:r>
      <w:r w:rsidR="008A2EFD">
        <w:t>of liquor.</w:t>
      </w:r>
    </w:p>
    <w:p w14:paraId="2EDB1D6F" w14:textId="77777777" w:rsidR="000A70DD" w:rsidRDefault="000A70DD" w:rsidP="00F8402E">
      <w:pPr>
        <w:spacing w:line="480" w:lineRule="auto"/>
        <w:jc w:val="both"/>
      </w:pPr>
    </w:p>
    <w:p w14:paraId="2704F847" w14:textId="77777777" w:rsidR="000A70DD" w:rsidRDefault="00F5665D" w:rsidP="00F8402E">
      <w:pPr>
        <w:spacing w:line="480" w:lineRule="auto"/>
        <w:jc w:val="both"/>
      </w:pPr>
      <w:r>
        <w:t>[12</w:t>
      </w:r>
      <w:r w:rsidR="000A70DD">
        <w:t xml:space="preserve">] </w:t>
      </w:r>
      <w:r w:rsidR="00BE0063">
        <w:tab/>
      </w:r>
      <w:r w:rsidR="000A70DD">
        <w:t>On 02 May 2012, Dr Mabele</w:t>
      </w:r>
      <w:r w:rsidR="009D57C0">
        <w:t xml:space="preserve"> examined NS</w:t>
      </w:r>
      <w:r w:rsidR="00263194">
        <w:t>[...]</w:t>
      </w:r>
      <w:r w:rsidR="000A70DD">
        <w:t xml:space="preserve">. His findings were recorded in the medical report (J88) that was submitted by consent between the parties. The </w:t>
      </w:r>
      <w:r w:rsidR="005B133B">
        <w:t>d</w:t>
      </w:r>
      <w:r w:rsidR="000A70DD">
        <w:t>octor observed no physical findings of trauma on the bo</w:t>
      </w:r>
      <w:r w:rsidR="009D57C0">
        <w:t xml:space="preserve">dy or bones. He observed that </w:t>
      </w:r>
      <w:proofErr w:type="gramStart"/>
      <w:r w:rsidR="009D57C0">
        <w:t>NS</w:t>
      </w:r>
      <w:r w:rsidR="00C70D64">
        <w:t>[</w:t>
      </w:r>
      <w:proofErr w:type="gramEnd"/>
      <w:r w:rsidR="00C70D64">
        <w:t>…]</w:t>
      </w:r>
      <w:r w:rsidR="000A70DD">
        <w:t xml:space="preserve"> suffered some bruises </w:t>
      </w:r>
      <w:r w:rsidR="00BE0063">
        <w:t xml:space="preserve">on </w:t>
      </w:r>
      <w:r w:rsidR="000A70DD">
        <w:t xml:space="preserve">her genitals. The </w:t>
      </w:r>
      <w:r w:rsidR="005B133B">
        <w:t>d</w:t>
      </w:r>
      <w:r w:rsidR="000A70DD">
        <w:t xml:space="preserve">octor concluded that the findings were consistent with a history of sexual activity and forceful penetration of the vagina. </w:t>
      </w:r>
      <w:r w:rsidR="00FC63B3">
        <w:t xml:space="preserve">The Doctor also obtained the DNA sample for forensic analysis. </w:t>
      </w:r>
      <w:r w:rsidR="000A70DD">
        <w:t>The contents of the medical report were never placed in dispute by the defence.</w:t>
      </w:r>
    </w:p>
    <w:p w14:paraId="04B5842D" w14:textId="77777777" w:rsidR="000A70DD" w:rsidRDefault="000A70DD" w:rsidP="00F8402E">
      <w:pPr>
        <w:spacing w:line="480" w:lineRule="auto"/>
        <w:jc w:val="both"/>
      </w:pPr>
    </w:p>
    <w:p w14:paraId="429C77A8" w14:textId="77777777" w:rsidR="000A70DD" w:rsidRDefault="00F5665D" w:rsidP="00F8402E">
      <w:pPr>
        <w:spacing w:line="480" w:lineRule="auto"/>
        <w:jc w:val="both"/>
      </w:pPr>
      <w:r>
        <w:t>[13</w:t>
      </w:r>
      <w:r w:rsidR="000A70DD">
        <w:t>]</w:t>
      </w:r>
      <w:r w:rsidR="00BE0063">
        <w:tab/>
      </w:r>
      <w:r w:rsidR="000A70DD">
        <w:t xml:space="preserve">The evidence of the DNA forensic analysis was submitted by consent between the parties. </w:t>
      </w:r>
      <w:r w:rsidR="00FC63B3">
        <w:t xml:space="preserve">The analyst confirmed that the DNA </w:t>
      </w:r>
      <w:r w:rsidR="00AF2DB9">
        <w:t xml:space="preserve">sample that was obtained from </w:t>
      </w:r>
      <w:proofErr w:type="gramStart"/>
      <w:r w:rsidR="00AF2DB9">
        <w:t>NS</w:t>
      </w:r>
      <w:r w:rsidR="00C70D64">
        <w:t>[</w:t>
      </w:r>
      <w:proofErr w:type="gramEnd"/>
      <w:r w:rsidR="00C70D64">
        <w:t>…]</w:t>
      </w:r>
      <w:r w:rsidR="00BA105E">
        <w:t>’s underwear matches</w:t>
      </w:r>
      <w:r w:rsidR="00FC63B3">
        <w:t xml:space="preserve"> that of the appellant. The state led no further </w:t>
      </w:r>
      <w:proofErr w:type="gramStart"/>
      <w:r w:rsidR="00FC63B3">
        <w:t>evidence</w:t>
      </w:r>
      <w:proofErr w:type="gramEnd"/>
      <w:r w:rsidR="00FC63B3">
        <w:t xml:space="preserve"> and the appellant did not testify in his defence.</w:t>
      </w:r>
    </w:p>
    <w:p w14:paraId="07A7428C" w14:textId="77777777" w:rsidR="00BE29A6" w:rsidRDefault="00BE29A6" w:rsidP="00F8402E">
      <w:pPr>
        <w:spacing w:line="480" w:lineRule="auto"/>
        <w:jc w:val="both"/>
      </w:pPr>
    </w:p>
    <w:p w14:paraId="36B0B885" w14:textId="77777777" w:rsidR="00D37B4A" w:rsidRDefault="00FC63B3" w:rsidP="00BE0063">
      <w:pPr>
        <w:spacing w:line="480" w:lineRule="auto"/>
        <w:jc w:val="both"/>
        <w:rPr>
          <w:b/>
          <w:u w:val="single"/>
        </w:rPr>
      </w:pPr>
      <w:r w:rsidRPr="00D37B4A">
        <w:rPr>
          <w:b/>
          <w:i/>
          <w:u w:val="single"/>
        </w:rPr>
        <w:lastRenderedPageBreak/>
        <w:t xml:space="preserve">Grounds of </w:t>
      </w:r>
      <w:r w:rsidR="00BE0063" w:rsidRPr="00D37B4A">
        <w:rPr>
          <w:b/>
          <w:i/>
          <w:u w:val="single"/>
        </w:rPr>
        <w:t>A</w:t>
      </w:r>
      <w:r w:rsidRPr="00D37B4A">
        <w:rPr>
          <w:b/>
          <w:i/>
          <w:u w:val="single"/>
        </w:rPr>
        <w:t>ppeal</w:t>
      </w:r>
    </w:p>
    <w:p w14:paraId="34A3A0FB" w14:textId="77777777" w:rsidR="00DD0584" w:rsidRPr="00D37B4A" w:rsidRDefault="00F5665D" w:rsidP="00BE0063">
      <w:pPr>
        <w:spacing w:line="480" w:lineRule="auto"/>
        <w:jc w:val="both"/>
        <w:rPr>
          <w:b/>
          <w:u w:val="single"/>
        </w:rPr>
      </w:pPr>
      <w:r>
        <w:t>[14</w:t>
      </w:r>
      <w:r w:rsidR="00107CF1">
        <w:t>]</w:t>
      </w:r>
      <w:r w:rsidR="00107CF1">
        <w:tab/>
      </w:r>
      <w:r w:rsidR="00600B87">
        <w:t>The appeal is premised on the</w:t>
      </w:r>
      <w:r w:rsidR="00DD0584">
        <w:t xml:space="preserve"> following grounds: </w:t>
      </w:r>
    </w:p>
    <w:p w14:paraId="04638EC9" w14:textId="77777777" w:rsidR="00BE0063" w:rsidRDefault="00BE0063" w:rsidP="00F8402E">
      <w:pPr>
        <w:spacing w:line="480" w:lineRule="auto"/>
        <w:jc w:val="both"/>
      </w:pPr>
    </w:p>
    <w:p w14:paraId="7A696113" w14:textId="77777777" w:rsidR="00BE0063" w:rsidRDefault="00BE0063" w:rsidP="00BE0063">
      <w:pPr>
        <w:spacing w:line="480" w:lineRule="auto"/>
        <w:ind w:left="1440" w:hanging="720"/>
        <w:jc w:val="both"/>
      </w:pPr>
      <w:r>
        <w:t>14.1</w:t>
      </w:r>
      <w:r>
        <w:tab/>
      </w:r>
      <w:r w:rsidR="00DD0584">
        <w:t>T</w:t>
      </w:r>
      <w:r w:rsidR="00600B87">
        <w:t>he complainant was an illiterate minor child and the presiding officer did not</w:t>
      </w:r>
      <w:r w:rsidR="00DD0584">
        <w:t xml:space="preserve"> admonish her in terms of Section 164 of the Criminal Procedure Act 51 of </w:t>
      </w:r>
      <w:proofErr w:type="gramStart"/>
      <w:r w:rsidR="00DD0584">
        <w:t>1977( CPA</w:t>
      </w:r>
      <w:proofErr w:type="gramEnd"/>
      <w:r w:rsidR="00DD0584">
        <w:t>).</w:t>
      </w:r>
    </w:p>
    <w:p w14:paraId="37BE0E9D" w14:textId="77777777" w:rsidR="00BE0063" w:rsidRDefault="00BE0063" w:rsidP="00F8402E">
      <w:pPr>
        <w:spacing w:line="480" w:lineRule="auto"/>
        <w:ind w:left="1440" w:hanging="720"/>
        <w:jc w:val="both"/>
      </w:pPr>
    </w:p>
    <w:p w14:paraId="1143687E" w14:textId="77777777" w:rsidR="00BE0063" w:rsidRDefault="00BE0063" w:rsidP="00BE0063">
      <w:pPr>
        <w:spacing w:line="480" w:lineRule="auto"/>
        <w:ind w:left="1440" w:hanging="720"/>
        <w:jc w:val="both"/>
      </w:pPr>
      <w:r>
        <w:t>14.2</w:t>
      </w:r>
      <w:r>
        <w:tab/>
      </w:r>
      <w:r w:rsidR="00BA105E">
        <w:t xml:space="preserve">During the complainant’s swearing-in process, the court failed to assess her capacity to understand the nature and import of taking an oath. The court failed to assess whether </w:t>
      </w:r>
      <w:proofErr w:type="gramStart"/>
      <w:r w:rsidR="00BA105E">
        <w:t>NS</w:t>
      </w:r>
      <w:r w:rsidR="00263194">
        <w:t>[</w:t>
      </w:r>
      <w:proofErr w:type="gramEnd"/>
      <w:r w:rsidR="00263194">
        <w:t>…]</w:t>
      </w:r>
      <w:r w:rsidR="00BA105E">
        <w:t xml:space="preserve"> can differentiate between right and wrong. </w:t>
      </w:r>
    </w:p>
    <w:p w14:paraId="620C59E0" w14:textId="77777777" w:rsidR="00BE0063" w:rsidRDefault="00BE0063" w:rsidP="00F8402E">
      <w:pPr>
        <w:spacing w:line="480" w:lineRule="auto"/>
        <w:ind w:left="1440" w:hanging="720"/>
        <w:jc w:val="both"/>
      </w:pPr>
    </w:p>
    <w:p w14:paraId="0EE0D7BF" w14:textId="77777777" w:rsidR="00DD0584" w:rsidRDefault="00BE0063" w:rsidP="00A70E05">
      <w:pPr>
        <w:spacing w:line="480" w:lineRule="auto"/>
        <w:ind w:left="1440" w:hanging="720"/>
        <w:jc w:val="both"/>
      </w:pPr>
      <w:r>
        <w:t>14.3</w:t>
      </w:r>
      <w:r>
        <w:tab/>
      </w:r>
      <w:r w:rsidR="00DD0584">
        <w:t>The complainant contradicted herself and her evidence was also contradicted by the evidence of a witness who was present in the house where the incident occurred.</w:t>
      </w:r>
    </w:p>
    <w:p w14:paraId="62C1670B" w14:textId="77777777" w:rsidR="00D37B4A" w:rsidRDefault="00D37B4A" w:rsidP="00A70E05">
      <w:pPr>
        <w:spacing w:line="480" w:lineRule="auto"/>
        <w:ind w:left="1440" w:hanging="720"/>
        <w:jc w:val="both"/>
      </w:pPr>
    </w:p>
    <w:p w14:paraId="309AF4BA" w14:textId="77777777" w:rsidR="00E16DE3" w:rsidRDefault="00E16DE3" w:rsidP="00A70E05">
      <w:pPr>
        <w:spacing w:line="480" w:lineRule="auto"/>
        <w:ind w:left="1440" w:hanging="720"/>
        <w:jc w:val="both"/>
      </w:pPr>
      <w:r>
        <w:t>14.5    The sentence of life imprisonment is shockingly inappropriate.</w:t>
      </w:r>
    </w:p>
    <w:p w14:paraId="43AB5458" w14:textId="77777777" w:rsidR="00DD0584" w:rsidRDefault="00DD0584" w:rsidP="00F8402E">
      <w:pPr>
        <w:spacing w:line="480" w:lineRule="auto"/>
        <w:jc w:val="both"/>
      </w:pPr>
    </w:p>
    <w:p w14:paraId="1ECF8678" w14:textId="77777777" w:rsidR="000876D8" w:rsidRDefault="00F5665D" w:rsidP="00F8402E">
      <w:pPr>
        <w:spacing w:line="480" w:lineRule="auto"/>
        <w:jc w:val="both"/>
      </w:pPr>
      <w:r>
        <w:t>[15</w:t>
      </w:r>
      <w:r w:rsidR="00DD0584">
        <w:t>]</w:t>
      </w:r>
      <w:r w:rsidR="00BE0063">
        <w:tab/>
      </w:r>
      <w:r w:rsidR="00DD0584">
        <w:t xml:space="preserve">Counsel for the state opposed the appeal on the basis that the complainant was sworn in with the assistance of the interpreter. He </w:t>
      </w:r>
      <w:r w:rsidR="000876D8">
        <w:t xml:space="preserve">contended that no difficulties were experienced with the complainant’s understanding of what it meant to tell the </w:t>
      </w:r>
      <w:r w:rsidR="003B77E5">
        <w:t>truth,</w:t>
      </w:r>
      <w:r w:rsidR="000876D8">
        <w:t xml:space="preserve"> the whole truth and nothing but the truth when she was sworn in</w:t>
      </w:r>
      <w:r w:rsidR="00BA105E">
        <w:t>.</w:t>
      </w:r>
    </w:p>
    <w:p w14:paraId="1A665C8C" w14:textId="77777777" w:rsidR="000876D8" w:rsidRDefault="000876D8" w:rsidP="00F8402E">
      <w:pPr>
        <w:spacing w:line="480" w:lineRule="auto"/>
        <w:jc w:val="both"/>
      </w:pPr>
    </w:p>
    <w:p w14:paraId="63F92E1D" w14:textId="77777777" w:rsidR="00407110" w:rsidRDefault="00F5665D" w:rsidP="00F8402E">
      <w:pPr>
        <w:spacing w:line="480" w:lineRule="auto"/>
        <w:jc w:val="both"/>
        <w:rPr>
          <w:i/>
        </w:rPr>
      </w:pPr>
      <w:r>
        <w:t>[16</w:t>
      </w:r>
      <w:r w:rsidR="000876D8">
        <w:t>]</w:t>
      </w:r>
      <w:r w:rsidR="00BE0063">
        <w:tab/>
      </w:r>
      <w:r w:rsidR="000876D8">
        <w:t>Although the</w:t>
      </w:r>
      <w:r w:rsidR="00866892">
        <w:t xml:space="preserve"> amended</w:t>
      </w:r>
      <w:r w:rsidR="000876D8">
        <w:t xml:space="preserve"> </w:t>
      </w:r>
      <w:r w:rsidR="00720496">
        <w:t xml:space="preserve">notice of </w:t>
      </w:r>
      <w:r w:rsidR="000876D8">
        <w:t>appe</w:t>
      </w:r>
      <w:r w:rsidR="00720496">
        <w:t>al is directed</w:t>
      </w:r>
      <w:r w:rsidR="009D57C0">
        <w:t xml:space="preserve"> </w:t>
      </w:r>
      <w:r w:rsidR="00BE0063">
        <w:t xml:space="preserve">at </w:t>
      </w:r>
      <w:r w:rsidR="009D57C0">
        <w:t xml:space="preserve">the ability of </w:t>
      </w:r>
      <w:proofErr w:type="gramStart"/>
      <w:r w:rsidR="009D57C0">
        <w:t>NS</w:t>
      </w:r>
      <w:r w:rsidR="00263194">
        <w:t>[</w:t>
      </w:r>
      <w:proofErr w:type="gramEnd"/>
      <w:r w:rsidR="00263194">
        <w:t>…]</w:t>
      </w:r>
      <w:r w:rsidR="00BA105E">
        <w:t xml:space="preserve"> to take an oath or affirmation</w:t>
      </w:r>
      <w:r w:rsidR="009D57C0">
        <w:t>,</w:t>
      </w:r>
      <w:r w:rsidR="000876D8">
        <w:t xml:space="preserve"> it is noted that the girl child</w:t>
      </w:r>
      <w:r w:rsidR="003B77E5">
        <w:t>,</w:t>
      </w:r>
      <w:r w:rsidR="000876D8">
        <w:t xml:space="preserve"> ZM</w:t>
      </w:r>
      <w:r w:rsidR="00263194">
        <w:t>[…]</w:t>
      </w:r>
      <w:r w:rsidR="000876D8">
        <w:t xml:space="preserve"> who was also a witness in the proceedings was a child and a similar approach was followed by the </w:t>
      </w:r>
      <w:r w:rsidR="009D57C0">
        <w:lastRenderedPageBreak/>
        <w:t>trial court</w:t>
      </w:r>
      <w:r w:rsidR="00641185">
        <w:rPr>
          <w:i/>
        </w:rPr>
        <w:t>.</w:t>
      </w:r>
      <w:r w:rsidR="00641185">
        <w:t xml:space="preserve"> Before she gave her testimony,</w:t>
      </w:r>
      <w:r w:rsidR="000876D8">
        <w:t xml:space="preserve"> </w:t>
      </w:r>
      <w:r w:rsidR="00641185">
        <w:t>s</w:t>
      </w:r>
      <w:r w:rsidR="003B77E5">
        <w:t>he</w:t>
      </w:r>
      <w:r w:rsidR="000876D8">
        <w:t xml:space="preserve"> </w:t>
      </w:r>
      <w:r w:rsidR="003B77E5">
        <w:t xml:space="preserve">was also </w:t>
      </w:r>
      <w:r w:rsidR="009D57C0">
        <w:t xml:space="preserve">sworn in and her ability to </w:t>
      </w:r>
      <w:r w:rsidR="00717575">
        <w:t xml:space="preserve">understand the import of taking </w:t>
      </w:r>
      <w:proofErr w:type="gramStart"/>
      <w:r w:rsidR="00717575">
        <w:t xml:space="preserve">an </w:t>
      </w:r>
      <w:r w:rsidR="009D57C0">
        <w:t xml:space="preserve"> oath</w:t>
      </w:r>
      <w:proofErr w:type="gramEnd"/>
      <w:r w:rsidR="009D57C0">
        <w:t xml:space="preserve"> was never assessed</w:t>
      </w:r>
      <w:r w:rsidR="00F76467">
        <w:t>. Th</w:t>
      </w:r>
      <w:r w:rsidR="00C70D64">
        <w:t>e witnesses’ ages were calculated</w:t>
      </w:r>
      <w:r w:rsidR="00F76467">
        <w:t xml:space="preserve"> at 16 years </w:t>
      </w:r>
      <w:r w:rsidR="003B77E5">
        <w:t>when th</w:t>
      </w:r>
      <w:r w:rsidR="009D57C0">
        <w:t>ey testified before the trial court</w:t>
      </w:r>
      <w:r w:rsidR="003B77E5" w:rsidRPr="003B77E5">
        <w:rPr>
          <w:i/>
        </w:rPr>
        <w:t>.</w:t>
      </w:r>
    </w:p>
    <w:p w14:paraId="696B04C5" w14:textId="77777777" w:rsidR="00407110" w:rsidRDefault="00407110" w:rsidP="00F8402E">
      <w:pPr>
        <w:spacing w:line="480" w:lineRule="auto"/>
        <w:jc w:val="both"/>
        <w:rPr>
          <w:i/>
        </w:rPr>
      </w:pPr>
    </w:p>
    <w:p w14:paraId="49A2EB88" w14:textId="77777777" w:rsidR="008A2DB5" w:rsidRPr="00407110" w:rsidRDefault="008A2DB5" w:rsidP="00F8402E">
      <w:pPr>
        <w:spacing w:line="480" w:lineRule="auto"/>
        <w:jc w:val="both"/>
        <w:rPr>
          <w:i/>
        </w:rPr>
      </w:pPr>
      <w:r w:rsidRPr="00D37B4A">
        <w:rPr>
          <w:b/>
          <w:i/>
          <w:u w:val="single"/>
        </w:rPr>
        <w:t>Issues</w:t>
      </w:r>
    </w:p>
    <w:p w14:paraId="0A32A4D0" w14:textId="77777777" w:rsidR="00A05DE6" w:rsidRDefault="00F5665D" w:rsidP="00F8402E">
      <w:pPr>
        <w:spacing w:line="480" w:lineRule="auto"/>
        <w:jc w:val="both"/>
      </w:pPr>
      <w:r>
        <w:t>[17</w:t>
      </w:r>
      <w:r w:rsidR="009E021D">
        <w:t>]</w:t>
      </w:r>
      <w:r w:rsidR="00BE0063">
        <w:tab/>
      </w:r>
      <w:r w:rsidR="009E021D">
        <w:t xml:space="preserve">The ability </w:t>
      </w:r>
      <w:r w:rsidR="00AF2DB9">
        <w:t xml:space="preserve">of </w:t>
      </w:r>
      <w:proofErr w:type="gramStart"/>
      <w:r w:rsidR="00783C1C">
        <w:t>NS[</w:t>
      </w:r>
      <w:proofErr w:type="gramEnd"/>
      <w:r w:rsidR="00783C1C">
        <w:t>…]</w:t>
      </w:r>
      <w:r w:rsidR="009E021D">
        <w:t xml:space="preserve"> to</w:t>
      </w:r>
      <w:r w:rsidR="00717575">
        <w:t xml:space="preserve"> understand the import of</w:t>
      </w:r>
      <w:r w:rsidR="009E021D">
        <w:t xml:space="preserve"> </w:t>
      </w:r>
      <w:r w:rsidR="009D57C0">
        <w:t>tak</w:t>
      </w:r>
      <w:r w:rsidR="00717575">
        <w:t>ing</w:t>
      </w:r>
      <w:r w:rsidR="009D57C0">
        <w:t xml:space="preserve"> an</w:t>
      </w:r>
      <w:r w:rsidR="009E021D">
        <w:t xml:space="preserve"> oath as a witness is a </w:t>
      </w:r>
      <w:r w:rsidR="009D57C0">
        <w:t>broader</w:t>
      </w:r>
      <w:r w:rsidR="001758A6">
        <w:t xml:space="preserve"> issue for </w:t>
      </w:r>
      <w:r w:rsidR="00DD3FA0">
        <w:t>determination</w:t>
      </w:r>
      <w:r w:rsidR="001758A6">
        <w:t>.</w:t>
      </w:r>
      <w:r w:rsidR="009D57C0">
        <w:t xml:space="preserve"> </w:t>
      </w:r>
      <w:r w:rsidR="00C70D64">
        <w:t>In line with the principle of</w:t>
      </w:r>
      <w:r w:rsidR="0069300B">
        <w:t xml:space="preserve"> the</w:t>
      </w:r>
      <w:r w:rsidR="00C70D64">
        <w:t xml:space="preserve"> appellant’s right to a fair trial, i</w:t>
      </w:r>
      <w:r w:rsidR="009D57C0">
        <w:t>t is</w:t>
      </w:r>
      <w:r w:rsidR="008A2DB5">
        <w:t xml:space="preserve"> also</w:t>
      </w:r>
      <w:r w:rsidR="009D57C0">
        <w:t xml:space="preserve"> imperative to examine whether </w:t>
      </w:r>
      <w:proofErr w:type="gramStart"/>
      <w:r w:rsidR="009D57C0">
        <w:t>ZM</w:t>
      </w:r>
      <w:r w:rsidR="00263194">
        <w:t>[</w:t>
      </w:r>
      <w:proofErr w:type="gramEnd"/>
      <w:r w:rsidR="00263194">
        <w:t>…]</w:t>
      </w:r>
      <w:r w:rsidR="009D57C0">
        <w:t>’s ability to take an oath was properly assessed by the trial court.</w:t>
      </w:r>
    </w:p>
    <w:p w14:paraId="53E98253" w14:textId="77777777" w:rsidR="009D57C0" w:rsidRDefault="009D57C0" w:rsidP="00F8402E">
      <w:pPr>
        <w:spacing w:line="480" w:lineRule="auto"/>
        <w:jc w:val="both"/>
      </w:pPr>
    </w:p>
    <w:p w14:paraId="40397DEC" w14:textId="77777777" w:rsidR="009D57C0" w:rsidRPr="00A05DE6" w:rsidRDefault="00F5665D" w:rsidP="00F8402E">
      <w:pPr>
        <w:spacing w:line="480" w:lineRule="auto"/>
        <w:jc w:val="both"/>
      </w:pPr>
      <w:r>
        <w:t>[18</w:t>
      </w:r>
      <w:r w:rsidR="009D57C0">
        <w:t>]</w:t>
      </w:r>
      <w:r w:rsidR="00BE0063">
        <w:tab/>
      </w:r>
      <w:r w:rsidR="009D57C0">
        <w:t>On the merits, t</w:t>
      </w:r>
      <w:r w:rsidR="00BA105E">
        <w:t>he issues u</w:t>
      </w:r>
      <w:r w:rsidR="008A2DB5">
        <w:t>p for debate are whether the tr</w:t>
      </w:r>
      <w:r w:rsidR="00BA105E">
        <w:t>i</w:t>
      </w:r>
      <w:r w:rsidR="008A2DB5">
        <w:t>a</w:t>
      </w:r>
      <w:r w:rsidR="00BA105E">
        <w:t xml:space="preserve">l court properly assessed the evidence in light of the contradictions in </w:t>
      </w:r>
      <w:r w:rsidR="008A2DB5">
        <w:t>the testimonies of</w:t>
      </w:r>
      <w:r w:rsidR="003B2874">
        <w:t xml:space="preserve"> both</w:t>
      </w:r>
      <w:r w:rsidR="008A2DB5">
        <w:t xml:space="preserve"> child witnesses and</w:t>
      </w:r>
      <w:r w:rsidR="009D57C0">
        <w:t xml:space="preserve"> whethe</w:t>
      </w:r>
      <w:r w:rsidR="003B2874">
        <w:t xml:space="preserve">r the state had proved </w:t>
      </w:r>
      <w:r w:rsidR="009D57C0">
        <w:t>beyond reasonable doubt</w:t>
      </w:r>
      <w:r w:rsidR="00BD2F93">
        <w:t xml:space="preserve"> that there was no consensual sexual intercourse between the </w:t>
      </w:r>
      <w:proofErr w:type="gramStart"/>
      <w:r w:rsidR="00BD2F93">
        <w:t>NS</w:t>
      </w:r>
      <w:r w:rsidR="00263194">
        <w:t>[</w:t>
      </w:r>
      <w:proofErr w:type="gramEnd"/>
      <w:r w:rsidR="00263194">
        <w:t>…]</w:t>
      </w:r>
      <w:r w:rsidR="00BD2F93">
        <w:t xml:space="preserve"> and the appellant</w:t>
      </w:r>
      <w:r w:rsidR="009D57C0">
        <w:t>.</w:t>
      </w:r>
    </w:p>
    <w:p w14:paraId="78A0A36B" w14:textId="77777777" w:rsidR="003B77E5" w:rsidRDefault="003B77E5" w:rsidP="00F8402E">
      <w:pPr>
        <w:spacing w:line="480" w:lineRule="auto"/>
        <w:jc w:val="both"/>
        <w:rPr>
          <w:i/>
        </w:rPr>
      </w:pPr>
    </w:p>
    <w:p w14:paraId="45AA3429" w14:textId="77777777" w:rsidR="003B77E5" w:rsidRPr="00D37B4A" w:rsidRDefault="003B77E5" w:rsidP="00F8402E">
      <w:pPr>
        <w:spacing w:line="480" w:lineRule="auto"/>
        <w:jc w:val="both"/>
        <w:rPr>
          <w:b/>
          <w:i/>
          <w:u w:val="single"/>
        </w:rPr>
      </w:pPr>
      <w:r w:rsidRPr="00D37B4A">
        <w:rPr>
          <w:b/>
          <w:i/>
          <w:u w:val="single"/>
        </w:rPr>
        <w:t xml:space="preserve">The </w:t>
      </w:r>
      <w:r w:rsidR="00BE0063" w:rsidRPr="00D37B4A">
        <w:rPr>
          <w:b/>
          <w:i/>
          <w:u w:val="single"/>
        </w:rPr>
        <w:t>L</w:t>
      </w:r>
      <w:r w:rsidRPr="00D37B4A">
        <w:rPr>
          <w:b/>
          <w:i/>
          <w:u w:val="single"/>
        </w:rPr>
        <w:t xml:space="preserve">egal </w:t>
      </w:r>
      <w:r w:rsidR="00BE0063" w:rsidRPr="00D37B4A">
        <w:rPr>
          <w:b/>
          <w:i/>
          <w:u w:val="single"/>
        </w:rPr>
        <w:t>P</w:t>
      </w:r>
      <w:r w:rsidRPr="00D37B4A">
        <w:rPr>
          <w:b/>
          <w:i/>
          <w:u w:val="single"/>
        </w:rPr>
        <w:t>rinciples</w:t>
      </w:r>
    </w:p>
    <w:p w14:paraId="2D9FDF23" w14:textId="77777777" w:rsidR="003B77E5" w:rsidRDefault="00641185" w:rsidP="00F8402E">
      <w:pPr>
        <w:spacing w:line="480" w:lineRule="auto"/>
        <w:jc w:val="both"/>
      </w:pPr>
      <w:r>
        <w:t>[19</w:t>
      </w:r>
      <w:r w:rsidR="003B77E5">
        <w:t>]</w:t>
      </w:r>
      <w:r w:rsidR="00BE0063">
        <w:tab/>
      </w:r>
      <w:r w:rsidR="00A05DE6">
        <w:t>Section 192 of the CPA provides that every person not expressly excluded by this Act from giving evidence shall, subject to the provisions of section 206, be competent and compellable to give evidence in criminal proceedings.</w:t>
      </w:r>
    </w:p>
    <w:p w14:paraId="69401E2D" w14:textId="77777777" w:rsidR="00A6044C" w:rsidRDefault="00A6044C" w:rsidP="00F8402E">
      <w:pPr>
        <w:spacing w:line="480" w:lineRule="auto"/>
        <w:jc w:val="both"/>
      </w:pPr>
    </w:p>
    <w:p w14:paraId="5BD283BB" w14:textId="77777777" w:rsidR="00B75F6A" w:rsidRDefault="00A6044C" w:rsidP="00D37B4A">
      <w:pPr>
        <w:spacing w:line="480" w:lineRule="auto"/>
        <w:jc w:val="both"/>
      </w:pPr>
      <w:r>
        <w:t>[20]</w:t>
      </w:r>
      <w:r w:rsidR="00BE0063">
        <w:tab/>
      </w:r>
      <w:r>
        <w:t>In terms of section 193 of the CPA</w:t>
      </w:r>
      <w:r w:rsidR="00BE0063">
        <w:t>,</w:t>
      </w:r>
      <w:r>
        <w:t xml:space="preserve"> a court is obliged to decide on the competency or compellability of any witness to give evidence.</w:t>
      </w:r>
      <w:r w:rsidR="004D0E36">
        <w:t xml:space="preserve"> Evidence is normally given under oath. When a witness is called to testify, an oath is administered to ensure that he does not speak carelessly and </w:t>
      </w:r>
      <w:proofErr w:type="spellStart"/>
      <w:proofErr w:type="gramStart"/>
      <w:r w:rsidR="004D0E36">
        <w:t>frivolously;rather</w:t>
      </w:r>
      <w:proofErr w:type="spellEnd"/>
      <w:proofErr w:type="gramEnd"/>
      <w:r w:rsidR="004D0E36">
        <w:t xml:space="preserve"> he evaluates his words to convey the gravity of the situation and most importantly, oath is </w:t>
      </w:r>
      <w:proofErr w:type="spellStart"/>
      <w:r w:rsidR="004D0E36">
        <w:lastRenderedPageBreak/>
        <w:t>administrered</w:t>
      </w:r>
      <w:proofErr w:type="spellEnd"/>
      <w:r w:rsidR="004D0E36">
        <w:t xml:space="preserve">  to provide a penalty against untruthfulness.</w:t>
      </w:r>
      <w:r>
        <w:t xml:space="preserve"> </w:t>
      </w:r>
      <w:r w:rsidR="00022D42">
        <w:t>Section 162 of the CPA is couched as follows:</w:t>
      </w:r>
    </w:p>
    <w:p w14:paraId="36147F8A" w14:textId="77777777" w:rsidR="00022D42" w:rsidRPr="00D37B4A" w:rsidRDefault="00B75F6A" w:rsidP="00D37B4A">
      <w:pPr>
        <w:spacing w:line="480" w:lineRule="auto"/>
        <w:jc w:val="both"/>
      </w:pPr>
      <w:r>
        <w:rPr>
          <w:sz w:val="22"/>
          <w:szCs w:val="22"/>
        </w:rPr>
        <w:tab/>
      </w:r>
      <w:r w:rsidR="00BE0063">
        <w:rPr>
          <w:sz w:val="22"/>
          <w:szCs w:val="22"/>
        </w:rPr>
        <w:t>“</w:t>
      </w:r>
      <w:r w:rsidR="00022D42" w:rsidRPr="00F8402E">
        <w:rPr>
          <w:sz w:val="22"/>
          <w:szCs w:val="22"/>
        </w:rPr>
        <w:t xml:space="preserve">Witness </w:t>
      </w:r>
      <w:r w:rsidR="00276D78" w:rsidRPr="00F8402E">
        <w:rPr>
          <w:sz w:val="22"/>
          <w:szCs w:val="22"/>
        </w:rPr>
        <w:t>to be examined under oath:</w:t>
      </w:r>
    </w:p>
    <w:p w14:paraId="4B6DAC78" w14:textId="77777777" w:rsidR="00276D78" w:rsidRPr="00F8402E" w:rsidRDefault="00276D78" w:rsidP="00F8402E">
      <w:pPr>
        <w:pStyle w:val="ListParagraph"/>
        <w:numPr>
          <w:ilvl w:val="0"/>
          <w:numId w:val="8"/>
        </w:numPr>
        <w:spacing w:line="480" w:lineRule="auto"/>
        <w:jc w:val="both"/>
        <w:rPr>
          <w:sz w:val="22"/>
          <w:szCs w:val="22"/>
        </w:rPr>
      </w:pPr>
      <w:r w:rsidRPr="00F8402E">
        <w:rPr>
          <w:sz w:val="22"/>
          <w:szCs w:val="22"/>
        </w:rPr>
        <w:t>Subject to the provisions of Section 163 and 164, no person shall be examined as a witness in criminal proceedings unless he is under oath, which shall be administered by the presiding judicial officer or, in case of a superior court, by the presiding judge or the registrar of the court, and which shall be in the following form:</w:t>
      </w:r>
    </w:p>
    <w:p w14:paraId="497E618B" w14:textId="77777777" w:rsidR="00276D78" w:rsidRPr="00F8402E" w:rsidRDefault="00276D78" w:rsidP="00F8402E">
      <w:pPr>
        <w:pStyle w:val="ListParagraph"/>
        <w:spacing w:line="480" w:lineRule="auto"/>
        <w:jc w:val="both"/>
        <w:rPr>
          <w:sz w:val="22"/>
          <w:szCs w:val="22"/>
        </w:rPr>
      </w:pPr>
    </w:p>
    <w:p w14:paraId="1070E532" w14:textId="77777777" w:rsidR="00276D78" w:rsidRPr="00F8402E" w:rsidRDefault="00276D78" w:rsidP="00F8402E">
      <w:pPr>
        <w:pStyle w:val="ListParagraph"/>
        <w:spacing w:line="480" w:lineRule="auto"/>
        <w:ind w:left="1352"/>
        <w:jc w:val="both"/>
        <w:rPr>
          <w:sz w:val="22"/>
          <w:szCs w:val="22"/>
        </w:rPr>
      </w:pPr>
      <w:r w:rsidRPr="00F8402E">
        <w:rPr>
          <w:sz w:val="22"/>
          <w:szCs w:val="22"/>
        </w:rPr>
        <w:t>‘I swear that the evidence I shall give, shall be the truth, the whole truth and nothing but the truth, so help me God</w:t>
      </w:r>
      <w:r w:rsidR="00BE0063">
        <w:rPr>
          <w:sz w:val="22"/>
          <w:szCs w:val="22"/>
        </w:rPr>
        <w:t>”</w:t>
      </w:r>
    </w:p>
    <w:p w14:paraId="56155E85" w14:textId="77777777" w:rsidR="00BD50A4" w:rsidRDefault="00BD50A4" w:rsidP="00F8402E">
      <w:pPr>
        <w:pStyle w:val="ListParagraph"/>
        <w:spacing w:line="480" w:lineRule="auto"/>
        <w:jc w:val="both"/>
      </w:pPr>
    </w:p>
    <w:p w14:paraId="0CD7E65E" w14:textId="77777777" w:rsidR="00BD50A4" w:rsidRDefault="00BD50A4" w:rsidP="00F8402E">
      <w:pPr>
        <w:spacing w:line="480" w:lineRule="auto"/>
        <w:jc w:val="both"/>
      </w:pPr>
      <w:r>
        <w:t>[21]</w:t>
      </w:r>
      <w:r w:rsidR="00BE0063">
        <w:tab/>
      </w:r>
      <w:r>
        <w:t>It is well settled that the testimony of a witness who has not been placed under oath properly, has not made a proper affirmation or has not been admonished to speak the truth as provided for in the Act, lacks the status and character of evidence and is inadmissible.</w:t>
      </w:r>
      <w:r>
        <w:rPr>
          <w:rStyle w:val="FootnoteReference"/>
        </w:rPr>
        <w:footnoteReference w:id="2"/>
      </w:r>
    </w:p>
    <w:p w14:paraId="51AD53A7" w14:textId="77777777" w:rsidR="00A6044C" w:rsidRDefault="00A6044C" w:rsidP="00F8402E">
      <w:pPr>
        <w:pStyle w:val="ListParagraph"/>
        <w:spacing w:line="480" w:lineRule="auto"/>
        <w:jc w:val="both"/>
      </w:pPr>
    </w:p>
    <w:p w14:paraId="016F0DA8" w14:textId="77777777" w:rsidR="00A6044C" w:rsidRDefault="00BA609E" w:rsidP="00F8402E">
      <w:pPr>
        <w:pStyle w:val="ListParagraph"/>
        <w:spacing w:line="480" w:lineRule="auto"/>
        <w:ind w:left="0"/>
        <w:jc w:val="both"/>
      </w:pPr>
      <w:r>
        <w:t>[2</w:t>
      </w:r>
      <w:r w:rsidR="00BD50A4">
        <w:t>2</w:t>
      </w:r>
      <w:r w:rsidR="00C75C2C">
        <w:t>]</w:t>
      </w:r>
      <w:r w:rsidR="00BE0063">
        <w:tab/>
      </w:r>
      <w:r w:rsidR="00C75C2C">
        <w:t>T</w:t>
      </w:r>
      <w:r w:rsidR="00A6044C">
        <w:t xml:space="preserve">he provisions of Section 162 are </w:t>
      </w:r>
      <w:proofErr w:type="gramStart"/>
      <w:r w:rsidR="00A6044C">
        <w:t>peremptory,</w:t>
      </w:r>
      <w:proofErr w:type="gramEnd"/>
      <w:r w:rsidR="00A6044C">
        <w:t xml:space="preserve"> </w:t>
      </w:r>
      <w:r w:rsidR="00C75C2C">
        <w:t xml:space="preserve">however, they </w:t>
      </w:r>
      <w:r w:rsidR="00425AEE">
        <w:t xml:space="preserve">may be departed from the circumstances set out in Sections 163 and 164 of the CPA. </w:t>
      </w:r>
      <w:r w:rsidR="000B6507">
        <w:t xml:space="preserve">Any person, who is found not to understand the nature and import of the oath or affirmation, may be admitted </w:t>
      </w:r>
      <w:proofErr w:type="gramStart"/>
      <w:r w:rsidR="000B6507">
        <w:t>to give</w:t>
      </w:r>
      <w:proofErr w:type="gramEnd"/>
      <w:r w:rsidR="000B6507">
        <w:t xml:space="preserve"> evidence in criminal proceedings without taking the oath or making the affirmation, provided that such person in lieu of the oath or affirmation </w:t>
      </w:r>
      <w:r w:rsidR="00C75C2C">
        <w:t>is</w:t>
      </w:r>
      <w:r w:rsidR="000B6507">
        <w:t xml:space="preserve"> admonished by the presiding judge or judicial officer to speak the truth.</w:t>
      </w:r>
      <w:r w:rsidR="000B6507">
        <w:rPr>
          <w:rStyle w:val="FootnoteReference"/>
        </w:rPr>
        <w:footnoteReference w:id="3"/>
      </w:r>
    </w:p>
    <w:p w14:paraId="1C6B8D4C" w14:textId="77777777" w:rsidR="00B75F6A" w:rsidRDefault="00B75F6A" w:rsidP="00F8402E">
      <w:pPr>
        <w:spacing w:line="480" w:lineRule="auto"/>
        <w:jc w:val="both"/>
      </w:pPr>
    </w:p>
    <w:p w14:paraId="651856FA" w14:textId="77777777" w:rsidR="00F76467" w:rsidRDefault="00BA609E" w:rsidP="00F8402E">
      <w:pPr>
        <w:spacing w:line="480" w:lineRule="auto"/>
        <w:jc w:val="both"/>
      </w:pPr>
      <w:r>
        <w:t>[2</w:t>
      </w:r>
      <w:r w:rsidR="00BD50A4">
        <w:t>3</w:t>
      </w:r>
      <w:r w:rsidR="00B32F5B">
        <w:t>]</w:t>
      </w:r>
      <w:r w:rsidR="00BE0063">
        <w:tab/>
      </w:r>
      <w:r w:rsidR="00761805">
        <w:t xml:space="preserve">Section 164(1) is resorted to when a court is dealing with the admission of evidence of a witness who from obliviousness arising from youth, a sub-standard education or other cause, is found not to understand the nature and significance of the oath or the affirmation. </w:t>
      </w:r>
      <w:r w:rsidR="00B32F5B">
        <w:t>The words ‘is found’ in section 164(1) have been held to indicate that a proper enquiry must be conducted in order to determine whether an oath can be administered to the witness.</w:t>
      </w:r>
      <w:r w:rsidR="00B32F5B">
        <w:rPr>
          <w:rStyle w:val="FootnoteReference"/>
        </w:rPr>
        <w:footnoteReference w:id="4"/>
      </w:r>
      <w:r w:rsidR="00B32F5B">
        <w:t xml:space="preserve"> </w:t>
      </w:r>
      <w:r w:rsidR="00F76467">
        <w:t>The first duty of the court, therefore, is to enquire whether a child tendered as a witness understands the meaning and r</w:t>
      </w:r>
      <w:r w:rsidR="00B32F5B">
        <w:t>eli</w:t>
      </w:r>
      <w:r w:rsidR="00F76467">
        <w:t>gious sanction of an oath.</w:t>
      </w:r>
      <w:r w:rsidR="00F76467">
        <w:rPr>
          <w:rStyle w:val="FootnoteReference"/>
        </w:rPr>
        <w:footnoteReference w:id="5"/>
      </w:r>
      <w:r w:rsidR="00F76467">
        <w:t xml:space="preserve"> In </w:t>
      </w:r>
      <w:r w:rsidR="00F76467" w:rsidRPr="00F8402E">
        <w:rPr>
          <w:i/>
          <w:iCs/>
        </w:rPr>
        <w:t>S v N</w:t>
      </w:r>
      <w:r w:rsidR="00F76467">
        <w:rPr>
          <w:rStyle w:val="FootnoteReference"/>
        </w:rPr>
        <w:footnoteReference w:id="6"/>
      </w:r>
      <w:r w:rsidR="00F76467">
        <w:t xml:space="preserve"> Van </w:t>
      </w:r>
      <w:proofErr w:type="spellStart"/>
      <w:r w:rsidR="00F76467">
        <w:t>Reen</w:t>
      </w:r>
      <w:proofErr w:type="spellEnd"/>
      <w:r w:rsidR="00F76467">
        <w:t xml:space="preserve"> J held</w:t>
      </w:r>
      <w:r w:rsidR="00BE0063">
        <w:t>:</w:t>
      </w:r>
    </w:p>
    <w:p w14:paraId="71CDAD44" w14:textId="77777777" w:rsidR="00F76467" w:rsidRPr="00F8402E" w:rsidRDefault="00F76467" w:rsidP="00F8402E">
      <w:pPr>
        <w:spacing w:line="480" w:lineRule="auto"/>
        <w:jc w:val="both"/>
        <w:rPr>
          <w:sz w:val="22"/>
          <w:szCs w:val="22"/>
        </w:rPr>
      </w:pPr>
    </w:p>
    <w:p w14:paraId="7A7CF632" w14:textId="77777777" w:rsidR="00F76467" w:rsidRPr="00F8402E" w:rsidRDefault="00BE0063" w:rsidP="00F8402E">
      <w:pPr>
        <w:pStyle w:val="ListParagraph"/>
        <w:spacing w:line="480" w:lineRule="auto"/>
        <w:jc w:val="both"/>
        <w:rPr>
          <w:sz w:val="22"/>
          <w:szCs w:val="22"/>
        </w:rPr>
      </w:pPr>
      <w:r>
        <w:rPr>
          <w:sz w:val="22"/>
          <w:szCs w:val="22"/>
        </w:rPr>
        <w:t>“</w:t>
      </w:r>
      <w:r w:rsidR="00F76467" w:rsidRPr="00F8402E">
        <w:rPr>
          <w:sz w:val="22"/>
          <w:szCs w:val="22"/>
        </w:rPr>
        <w:t>It is self -evident that that purpose is not attainable where a witness lacks the capacity to understand and assume the religious obligation of the oath. Accordingly, a court before administering the oath to a child or any person who is lacking in formal education or for any other reason might not have the required capacity, enquire whether such a witness understands the meaning of and possess the capacity to appreciate and accept the religious sanction of the oath. If after such an enquiry, the court finds that the witness does not possess the required capacity, it should establish whether he or she understands what it means to speak the truth as in the absence of the capacity to distinguish between ‘truth and falsity….and to recognise the danger of wickedness of lying…, he or she is not a competent witness. The capacity to distinguish between the truth and falsity is furthermore a prerequisite for the making of an affirmation or an admonition in terms of Ss163 and 164 of the Act</w:t>
      </w:r>
      <w:r w:rsidR="000B2422" w:rsidRPr="00F8402E">
        <w:rPr>
          <w:sz w:val="22"/>
          <w:szCs w:val="22"/>
        </w:rPr>
        <w:t>.</w:t>
      </w:r>
      <w:r>
        <w:rPr>
          <w:sz w:val="22"/>
          <w:szCs w:val="22"/>
        </w:rPr>
        <w:t>”</w:t>
      </w:r>
      <w:r w:rsidR="000B2422" w:rsidRPr="00F8402E">
        <w:rPr>
          <w:sz w:val="22"/>
          <w:szCs w:val="22"/>
        </w:rPr>
        <w:t xml:space="preserve"> (</w:t>
      </w:r>
      <w:r w:rsidR="00D65519" w:rsidRPr="00F8402E">
        <w:rPr>
          <w:sz w:val="22"/>
          <w:szCs w:val="22"/>
        </w:rPr>
        <w:t>Emphasis</w:t>
      </w:r>
      <w:r w:rsidR="000B2422" w:rsidRPr="00F8402E">
        <w:rPr>
          <w:sz w:val="22"/>
          <w:szCs w:val="22"/>
        </w:rPr>
        <w:t xml:space="preserve"> added)</w:t>
      </w:r>
    </w:p>
    <w:p w14:paraId="26FDDCF8" w14:textId="77777777" w:rsidR="00761805" w:rsidRDefault="00761805" w:rsidP="00F8402E">
      <w:pPr>
        <w:pStyle w:val="ListParagraph"/>
        <w:spacing w:line="480" w:lineRule="auto"/>
        <w:ind w:left="0"/>
        <w:jc w:val="both"/>
      </w:pPr>
    </w:p>
    <w:p w14:paraId="7412D2DC" w14:textId="77777777" w:rsidR="000B2422" w:rsidRPr="00B75F6A" w:rsidRDefault="000B2422" w:rsidP="00F8402E">
      <w:pPr>
        <w:pStyle w:val="ListParagraph"/>
        <w:spacing w:line="480" w:lineRule="auto"/>
        <w:ind w:left="0"/>
        <w:jc w:val="both"/>
        <w:rPr>
          <w:b/>
          <w:i/>
          <w:u w:val="single"/>
        </w:rPr>
      </w:pPr>
      <w:r w:rsidRPr="00B75F6A">
        <w:rPr>
          <w:b/>
          <w:i/>
          <w:u w:val="single"/>
        </w:rPr>
        <w:lastRenderedPageBreak/>
        <w:t>Discussion</w:t>
      </w:r>
    </w:p>
    <w:p w14:paraId="113027AD" w14:textId="77777777" w:rsidR="004E7FA6" w:rsidRDefault="00BA609E" w:rsidP="00F8402E">
      <w:pPr>
        <w:pStyle w:val="ListParagraph"/>
        <w:spacing w:line="480" w:lineRule="auto"/>
        <w:ind w:left="0"/>
        <w:jc w:val="both"/>
      </w:pPr>
      <w:r>
        <w:t>[2</w:t>
      </w:r>
      <w:r w:rsidR="00BD50A4">
        <w:t>4</w:t>
      </w:r>
      <w:r w:rsidR="005C68F6">
        <w:t>]</w:t>
      </w:r>
      <w:r w:rsidR="00BE0063">
        <w:tab/>
      </w:r>
      <w:r w:rsidR="005C68F6">
        <w:t>Counsel</w:t>
      </w:r>
      <w:r w:rsidR="004E7FA6">
        <w:t xml:space="preserve"> fo</w:t>
      </w:r>
      <w:r w:rsidR="005C68F6">
        <w:t xml:space="preserve">r the state submitted </w:t>
      </w:r>
      <w:r w:rsidR="00516BD6">
        <w:t>that the tria</w:t>
      </w:r>
      <w:r w:rsidR="004E7FA6">
        <w:t>l court saw and heard the compla</w:t>
      </w:r>
      <w:r w:rsidR="005C68F6">
        <w:t xml:space="preserve">inant. </w:t>
      </w:r>
      <w:proofErr w:type="gramStart"/>
      <w:r w:rsidR="005C68F6">
        <w:t>Therefore</w:t>
      </w:r>
      <w:proofErr w:type="gramEnd"/>
      <w:r w:rsidR="005C68F6">
        <w:t xml:space="preserve"> </w:t>
      </w:r>
      <w:r w:rsidR="004E7FA6">
        <w:t>the appeal court</w:t>
      </w:r>
      <w:r w:rsidR="005C68F6">
        <w:t>, so he argued,</w:t>
      </w:r>
      <w:r w:rsidR="004E7FA6">
        <w:t xml:space="preserve"> is in no position to question the correctness of the trial court’s approach on whether she </w:t>
      </w:r>
      <w:r w:rsidR="005C68F6">
        <w:t xml:space="preserve">was competent to take an oath. Counsel further argued that </w:t>
      </w:r>
      <w:proofErr w:type="gramStart"/>
      <w:r w:rsidR="005C68F6">
        <w:t>NS</w:t>
      </w:r>
      <w:r w:rsidR="00263194">
        <w:t>[</w:t>
      </w:r>
      <w:proofErr w:type="gramEnd"/>
      <w:r w:rsidR="00263194">
        <w:t>…]</w:t>
      </w:r>
      <w:r w:rsidR="005C68F6">
        <w:t xml:space="preserve"> gave a clear and satisfactory </w:t>
      </w:r>
      <w:r w:rsidR="00453EEF">
        <w:t>account of events hence the tria</w:t>
      </w:r>
      <w:r w:rsidR="005C68F6">
        <w:t>l court never doubted her competency as a witness.</w:t>
      </w:r>
      <w:r w:rsidR="00304F52" w:rsidRPr="00304F52">
        <w:t xml:space="preserve"> </w:t>
      </w:r>
      <w:r w:rsidR="00304F52">
        <w:t>The trial court had no obligation to embark on an enquiry to assess the competency of the complainant to take an oath, so the argument continued.</w:t>
      </w:r>
    </w:p>
    <w:p w14:paraId="7F6EE518" w14:textId="77777777" w:rsidR="00B86C35" w:rsidRDefault="00B86C35" w:rsidP="00F8402E">
      <w:pPr>
        <w:pStyle w:val="ListParagraph"/>
        <w:spacing w:line="480" w:lineRule="auto"/>
        <w:ind w:left="0"/>
        <w:jc w:val="both"/>
      </w:pPr>
    </w:p>
    <w:p w14:paraId="5C57D456" w14:textId="77777777" w:rsidR="000A1A90" w:rsidRDefault="00B86C35" w:rsidP="00F8402E">
      <w:pPr>
        <w:pStyle w:val="FootnoteText"/>
        <w:spacing w:line="480" w:lineRule="auto"/>
        <w:jc w:val="both"/>
        <w:rPr>
          <w:sz w:val="24"/>
          <w:szCs w:val="24"/>
        </w:rPr>
      </w:pPr>
      <w:r w:rsidRPr="00B86C35">
        <w:rPr>
          <w:sz w:val="24"/>
          <w:szCs w:val="24"/>
        </w:rPr>
        <w:t>[25]</w:t>
      </w:r>
      <w:r w:rsidR="00BE0063">
        <w:rPr>
          <w:sz w:val="24"/>
          <w:szCs w:val="24"/>
        </w:rPr>
        <w:tab/>
      </w:r>
      <w:r w:rsidR="00C70D64">
        <w:rPr>
          <w:sz w:val="24"/>
          <w:szCs w:val="24"/>
        </w:rPr>
        <w:t xml:space="preserve">There </w:t>
      </w:r>
      <w:proofErr w:type="gramStart"/>
      <w:r w:rsidR="00C70D64">
        <w:rPr>
          <w:sz w:val="24"/>
          <w:szCs w:val="24"/>
        </w:rPr>
        <w:t xml:space="preserve">are </w:t>
      </w:r>
      <w:r w:rsidR="005C572D">
        <w:rPr>
          <w:sz w:val="24"/>
          <w:szCs w:val="24"/>
        </w:rPr>
        <w:t xml:space="preserve"> </w:t>
      </w:r>
      <w:r w:rsidRPr="00B86C35">
        <w:rPr>
          <w:sz w:val="24"/>
          <w:szCs w:val="24"/>
        </w:rPr>
        <w:t>views</w:t>
      </w:r>
      <w:proofErr w:type="gramEnd"/>
      <w:r w:rsidR="005C572D">
        <w:rPr>
          <w:sz w:val="24"/>
          <w:szCs w:val="24"/>
        </w:rPr>
        <w:t xml:space="preserve"> expressed</w:t>
      </w:r>
      <w:r w:rsidRPr="00B86C35">
        <w:rPr>
          <w:sz w:val="24"/>
          <w:szCs w:val="24"/>
        </w:rPr>
        <w:t xml:space="preserve"> on whether an inquiry must first be held before an oath is administered to a child.</w:t>
      </w:r>
      <w:r w:rsidRPr="00B86C35">
        <w:rPr>
          <w:rStyle w:val="FootnoteReference"/>
          <w:sz w:val="24"/>
          <w:szCs w:val="24"/>
        </w:rPr>
        <w:footnoteReference w:id="7"/>
      </w:r>
      <w:r w:rsidRPr="00B86C35">
        <w:rPr>
          <w:rStyle w:val="FootnoteReference"/>
          <w:sz w:val="24"/>
          <w:szCs w:val="24"/>
        </w:rPr>
        <w:t xml:space="preserve"> </w:t>
      </w:r>
      <w:r w:rsidRPr="00B86C35">
        <w:rPr>
          <w:sz w:val="24"/>
          <w:szCs w:val="24"/>
        </w:rPr>
        <w:t xml:space="preserve">In </w:t>
      </w:r>
      <w:r w:rsidRPr="00F8402E">
        <w:rPr>
          <w:i/>
          <w:iCs/>
          <w:sz w:val="24"/>
          <w:szCs w:val="24"/>
        </w:rPr>
        <w:t>S v B</w:t>
      </w:r>
      <w:r>
        <w:rPr>
          <w:rStyle w:val="FootnoteReference"/>
          <w:sz w:val="24"/>
          <w:szCs w:val="24"/>
        </w:rPr>
        <w:footnoteReference w:id="8"/>
      </w:r>
      <w:r w:rsidR="00B75F6A">
        <w:rPr>
          <w:sz w:val="24"/>
          <w:szCs w:val="24"/>
        </w:rPr>
        <w:t>, it was held:</w:t>
      </w:r>
    </w:p>
    <w:p w14:paraId="3079C295" w14:textId="77777777" w:rsidR="000A1A90" w:rsidRDefault="000A1A90" w:rsidP="00F8402E">
      <w:pPr>
        <w:pStyle w:val="FootnoteText"/>
        <w:spacing w:line="480" w:lineRule="auto"/>
        <w:jc w:val="both"/>
        <w:rPr>
          <w:sz w:val="24"/>
          <w:szCs w:val="24"/>
        </w:rPr>
      </w:pPr>
    </w:p>
    <w:p w14:paraId="4A2A91B7" w14:textId="77777777" w:rsidR="00DA11EB" w:rsidRDefault="00BE0063" w:rsidP="00DA11EB">
      <w:pPr>
        <w:pStyle w:val="FootnoteText"/>
        <w:spacing w:line="480" w:lineRule="auto"/>
        <w:ind w:left="851"/>
        <w:jc w:val="both"/>
        <w:rPr>
          <w:sz w:val="22"/>
          <w:szCs w:val="22"/>
        </w:rPr>
      </w:pPr>
      <w:r>
        <w:rPr>
          <w:sz w:val="22"/>
          <w:szCs w:val="22"/>
        </w:rPr>
        <w:t>“</w:t>
      </w:r>
      <w:r w:rsidR="00B86C35" w:rsidRPr="00F8402E">
        <w:rPr>
          <w:sz w:val="22"/>
          <w:szCs w:val="22"/>
        </w:rPr>
        <w:t>Section 164 required nothing more than that the presiding judicial officer had to form an opinion that the witness did not understand the nature and import of an oath or affirmation due to</w:t>
      </w:r>
      <w:r w:rsidR="000A1A90" w:rsidRPr="00F8402E">
        <w:rPr>
          <w:sz w:val="22"/>
          <w:szCs w:val="22"/>
        </w:rPr>
        <w:t xml:space="preserve"> ignorance arising from youth, </w:t>
      </w:r>
      <w:r w:rsidR="00B86C35" w:rsidRPr="00F8402E">
        <w:rPr>
          <w:sz w:val="22"/>
          <w:szCs w:val="22"/>
        </w:rPr>
        <w:t>defective education or other cause and that the section did not expressly require that an investigation be held</w:t>
      </w:r>
      <w:r w:rsidR="00B86C35" w:rsidRPr="00F8402E">
        <w:rPr>
          <w:sz w:val="22"/>
          <w:szCs w:val="22"/>
          <w:u w:val="single"/>
        </w:rPr>
        <w:t xml:space="preserve"> in all circumstances</w:t>
      </w:r>
      <w:r w:rsidR="00B86C35" w:rsidRPr="00B75F6A">
        <w:rPr>
          <w:sz w:val="22"/>
          <w:szCs w:val="22"/>
        </w:rPr>
        <w:t>.</w:t>
      </w:r>
      <w:r w:rsidRPr="00B75F6A">
        <w:rPr>
          <w:sz w:val="22"/>
          <w:szCs w:val="22"/>
        </w:rPr>
        <w:t>”</w:t>
      </w:r>
      <w:r w:rsidR="000A1A90" w:rsidRPr="00B75F6A">
        <w:rPr>
          <w:sz w:val="22"/>
          <w:szCs w:val="22"/>
        </w:rPr>
        <w:t xml:space="preserve"> </w:t>
      </w:r>
      <w:r w:rsidR="00B86C35" w:rsidRPr="00F8402E">
        <w:rPr>
          <w:sz w:val="22"/>
          <w:szCs w:val="22"/>
        </w:rPr>
        <w:t>(</w:t>
      </w:r>
      <w:r w:rsidR="005C572D" w:rsidRPr="00F8402E">
        <w:rPr>
          <w:sz w:val="22"/>
          <w:szCs w:val="22"/>
        </w:rPr>
        <w:t>Accentuation</w:t>
      </w:r>
      <w:r w:rsidR="00B86C35" w:rsidRPr="00F8402E">
        <w:rPr>
          <w:sz w:val="22"/>
          <w:szCs w:val="22"/>
        </w:rPr>
        <w:t xml:space="preserve"> added)</w:t>
      </w:r>
    </w:p>
    <w:p w14:paraId="5E24ED2D" w14:textId="77777777" w:rsidR="00DA11EB" w:rsidRDefault="00DA11EB" w:rsidP="00DA11EB">
      <w:pPr>
        <w:pStyle w:val="FootnoteText"/>
        <w:spacing w:line="480" w:lineRule="auto"/>
        <w:ind w:left="851"/>
        <w:jc w:val="both"/>
        <w:rPr>
          <w:sz w:val="22"/>
          <w:szCs w:val="22"/>
        </w:rPr>
      </w:pPr>
    </w:p>
    <w:p w14:paraId="49ABAD11" w14:textId="77777777" w:rsidR="00B75F6A" w:rsidRPr="00B75F6A" w:rsidRDefault="00263194" w:rsidP="00DA11EB">
      <w:pPr>
        <w:pStyle w:val="FootnoteText"/>
        <w:spacing w:line="480" w:lineRule="auto"/>
        <w:jc w:val="both"/>
        <w:rPr>
          <w:sz w:val="22"/>
          <w:szCs w:val="22"/>
        </w:rPr>
      </w:pPr>
      <w:r>
        <w:rPr>
          <w:rFonts w:eastAsia="Times New Roman"/>
          <w:sz w:val="22"/>
          <w:szCs w:val="22"/>
          <w:lang w:eastAsia="en-ZA"/>
        </w:rPr>
        <w:t>[26</w:t>
      </w:r>
      <w:r w:rsidR="00B85FFC">
        <w:rPr>
          <w:rFonts w:eastAsia="Times New Roman"/>
          <w:sz w:val="22"/>
          <w:szCs w:val="22"/>
          <w:lang w:eastAsia="en-ZA"/>
        </w:rPr>
        <w:t xml:space="preserve">]      </w:t>
      </w:r>
      <w:r w:rsidR="00B85FFC" w:rsidRPr="00915EEA">
        <w:rPr>
          <w:rFonts w:eastAsia="Times New Roman"/>
          <w:sz w:val="24"/>
          <w:szCs w:val="24"/>
          <w:lang w:eastAsia="en-ZA"/>
        </w:rPr>
        <w:t xml:space="preserve">The Supreme Court of </w:t>
      </w:r>
      <w:r w:rsidR="00915EEA" w:rsidRPr="00915EEA">
        <w:rPr>
          <w:rFonts w:eastAsia="Times New Roman"/>
          <w:sz w:val="24"/>
          <w:szCs w:val="24"/>
          <w:lang w:eastAsia="en-ZA"/>
        </w:rPr>
        <w:t xml:space="preserve">Appeal in </w:t>
      </w:r>
      <w:proofErr w:type="spellStart"/>
      <w:r w:rsidR="00915EEA" w:rsidRPr="00A1445D">
        <w:rPr>
          <w:rFonts w:eastAsia="Times New Roman"/>
          <w:i/>
          <w:sz w:val="24"/>
          <w:szCs w:val="24"/>
          <w:lang w:eastAsia="en-ZA"/>
        </w:rPr>
        <w:t>Tshimbudzi</w:t>
      </w:r>
      <w:proofErr w:type="spellEnd"/>
      <w:r w:rsidR="00915EEA" w:rsidRPr="00A1445D">
        <w:rPr>
          <w:rFonts w:eastAsia="Times New Roman"/>
          <w:i/>
          <w:sz w:val="24"/>
          <w:szCs w:val="24"/>
          <w:lang w:eastAsia="en-ZA"/>
        </w:rPr>
        <w:t xml:space="preserve"> v The State</w:t>
      </w:r>
      <w:r w:rsidR="00915EEA" w:rsidRPr="00915EEA">
        <w:rPr>
          <w:rStyle w:val="FootnoteReference"/>
          <w:rFonts w:eastAsia="Times New Roman"/>
          <w:sz w:val="24"/>
          <w:szCs w:val="24"/>
          <w:lang w:eastAsia="en-ZA"/>
        </w:rPr>
        <w:footnoteReference w:id="9"/>
      </w:r>
      <w:r w:rsidR="00915EEA" w:rsidRPr="00915EEA">
        <w:rPr>
          <w:rFonts w:eastAsia="Times New Roman"/>
          <w:sz w:val="24"/>
          <w:szCs w:val="24"/>
          <w:lang w:eastAsia="en-ZA"/>
        </w:rPr>
        <w:t>, said the following:</w:t>
      </w:r>
    </w:p>
    <w:p w14:paraId="5A1B3739" w14:textId="77777777" w:rsidR="00DA11EB" w:rsidRDefault="00B75F6A" w:rsidP="00B75F6A">
      <w:pPr>
        <w:pStyle w:val="FootnoteText"/>
        <w:spacing w:line="480" w:lineRule="auto"/>
        <w:jc w:val="both"/>
        <w:rPr>
          <w:rFonts w:eastAsia="Times New Roman"/>
          <w:sz w:val="24"/>
          <w:szCs w:val="24"/>
          <w:lang w:eastAsia="en-ZA"/>
        </w:rPr>
      </w:pPr>
      <w:r>
        <w:rPr>
          <w:rFonts w:eastAsia="Times New Roman"/>
          <w:sz w:val="24"/>
          <w:szCs w:val="24"/>
          <w:lang w:eastAsia="en-ZA"/>
        </w:rPr>
        <w:tab/>
      </w:r>
      <w:r w:rsidR="00DA11EB">
        <w:rPr>
          <w:rFonts w:eastAsia="Times New Roman"/>
          <w:sz w:val="24"/>
          <w:szCs w:val="24"/>
          <w:lang w:eastAsia="en-ZA"/>
        </w:rPr>
        <w:tab/>
      </w:r>
    </w:p>
    <w:p w14:paraId="61225B93" w14:textId="77777777" w:rsidR="00915EEA" w:rsidRPr="00DA11EB" w:rsidRDefault="00DA11EB" w:rsidP="00B75F6A">
      <w:pPr>
        <w:pStyle w:val="FootnoteText"/>
        <w:spacing w:line="480" w:lineRule="auto"/>
        <w:jc w:val="both"/>
        <w:rPr>
          <w:rFonts w:eastAsia="Times New Roman"/>
          <w:sz w:val="24"/>
          <w:szCs w:val="24"/>
          <w:lang w:eastAsia="en-ZA"/>
        </w:rPr>
      </w:pPr>
      <w:r>
        <w:rPr>
          <w:rFonts w:eastAsia="Times New Roman"/>
          <w:sz w:val="24"/>
          <w:szCs w:val="24"/>
          <w:lang w:eastAsia="en-ZA"/>
        </w:rPr>
        <w:tab/>
      </w:r>
      <w:r>
        <w:rPr>
          <w:rFonts w:eastAsia="Times New Roman"/>
          <w:sz w:val="24"/>
          <w:szCs w:val="24"/>
          <w:lang w:eastAsia="en-ZA"/>
        </w:rPr>
        <w:tab/>
      </w:r>
      <w:r w:rsidR="00915EEA" w:rsidRPr="00915EEA">
        <w:rPr>
          <w:rFonts w:eastAsia="Times New Roman"/>
          <w:sz w:val="22"/>
          <w:szCs w:val="22"/>
          <w:lang w:eastAsia="en-ZA"/>
        </w:rPr>
        <w:t xml:space="preserve">At paragraph 7, </w:t>
      </w:r>
      <w:r w:rsidR="0088337E">
        <w:rPr>
          <w:rFonts w:eastAsia="Times New Roman"/>
          <w:sz w:val="22"/>
          <w:szCs w:val="22"/>
          <w:lang w:eastAsia="en-ZA"/>
        </w:rPr>
        <w:t>‘</w:t>
      </w:r>
      <w:r w:rsidR="00915EEA" w:rsidRPr="00915EEA">
        <w:rPr>
          <w:rFonts w:eastAsia="Times New Roman"/>
          <w:sz w:val="22"/>
          <w:szCs w:val="22"/>
          <w:lang w:eastAsia="en-ZA"/>
        </w:rPr>
        <w:t>a further irregularity relates to whether</w:t>
      </w:r>
      <w:r w:rsidR="00915EEA">
        <w:rPr>
          <w:rFonts w:eastAsia="Times New Roman"/>
          <w:sz w:val="22"/>
          <w:szCs w:val="22"/>
          <w:lang w:eastAsia="en-ZA"/>
        </w:rPr>
        <w:t xml:space="preserve"> the complainant was</w:t>
      </w:r>
      <w:r w:rsidR="00B75F6A">
        <w:rPr>
          <w:rFonts w:eastAsia="Times New Roman"/>
          <w:sz w:val="22"/>
          <w:szCs w:val="22"/>
          <w:lang w:eastAsia="en-ZA"/>
        </w:rPr>
        <w:t xml:space="preserve">                                                    </w:t>
      </w:r>
      <w:r w:rsidR="00915EEA">
        <w:rPr>
          <w:rFonts w:eastAsia="Times New Roman"/>
          <w:sz w:val="22"/>
          <w:szCs w:val="22"/>
          <w:lang w:eastAsia="en-ZA"/>
        </w:rPr>
        <w:t xml:space="preserve"> </w:t>
      </w:r>
      <w:r w:rsidR="00B75F6A">
        <w:rPr>
          <w:rFonts w:eastAsia="Times New Roman"/>
          <w:sz w:val="22"/>
          <w:szCs w:val="22"/>
          <w:lang w:eastAsia="en-ZA"/>
        </w:rPr>
        <w:tab/>
      </w:r>
      <w:r w:rsidR="00B75F6A">
        <w:rPr>
          <w:rFonts w:eastAsia="Times New Roman"/>
          <w:sz w:val="22"/>
          <w:szCs w:val="22"/>
          <w:lang w:eastAsia="en-ZA"/>
        </w:rPr>
        <w:tab/>
      </w:r>
      <w:r w:rsidR="00915EEA">
        <w:rPr>
          <w:rFonts w:eastAsia="Times New Roman"/>
          <w:sz w:val="22"/>
          <w:szCs w:val="22"/>
          <w:lang w:eastAsia="en-ZA"/>
        </w:rPr>
        <w:t xml:space="preserve">validly sworn in in terms of s162 of the Criminal Procedure Act 51 of </w:t>
      </w:r>
      <w:r w:rsidR="00B75F6A">
        <w:rPr>
          <w:rFonts w:eastAsia="Times New Roman"/>
          <w:sz w:val="22"/>
          <w:szCs w:val="22"/>
          <w:lang w:eastAsia="en-ZA"/>
        </w:rPr>
        <w:t xml:space="preserve">           </w:t>
      </w:r>
      <w:r w:rsidR="00B75F6A">
        <w:rPr>
          <w:rFonts w:eastAsia="Times New Roman"/>
          <w:sz w:val="22"/>
          <w:szCs w:val="22"/>
          <w:lang w:eastAsia="en-ZA"/>
        </w:rPr>
        <w:tab/>
      </w:r>
      <w:r w:rsidR="00B75F6A">
        <w:rPr>
          <w:rFonts w:eastAsia="Times New Roman"/>
          <w:sz w:val="22"/>
          <w:szCs w:val="22"/>
          <w:lang w:eastAsia="en-ZA"/>
        </w:rPr>
        <w:tab/>
      </w:r>
      <w:r w:rsidR="00915EEA">
        <w:rPr>
          <w:rFonts w:eastAsia="Times New Roman"/>
          <w:sz w:val="22"/>
          <w:szCs w:val="22"/>
          <w:lang w:eastAsia="en-ZA"/>
        </w:rPr>
        <w:t>1977(CPA) before she testified. The record shows that she was sworn in</w:t>
      </w:r>
      <w:r w:rsidR="00B75F6A">
        <w:rPr>
          <w:rFonts w:eastAsia="Times New Roman"/>
          <w:sz w:val="22"/>
          <w:szCs w:val="22"/>
          <w:lang w:eastAsia="en-ZA"/>
        </w:rPr>
        <w:t xml:space="preserve">     </w:t>
      </w:r>
      <w:r w:rsidR="00915EEA">
        <w:rPr>
          <w:rFonts w:eastAsia="Times New Roman"/>
          <w:sz w:val="22"/>
          <w:szCs w:val="22"/>
          <w:lang w:eastAsia="en-ZA"/>
        </w:rPr>
        <w:t xml:space="preserve"> </w:t>
      </w:r>
      <w:r w:rsidR="00B75F6A">
        <w:rPr>
          <w:rFonts w:eastAsia="Times New Roman"/>
          <w:sz w:val="22"/>
          <w:szCs w:val="22"/>
          <w:lang w:eastAsia="en-ZA"/>
        </w:rPr>
        <w:tab/>
      </w:r>
      <w:r w:rsidR="00B75F6A">
        <w:rPr>
          <w:rFonts w:eastAsia="Times New Roman"/>
          <w:sz w:val="22"/>
          <w:szCs w:val="22"/>
          <w:lang w:eastAsia="en-ZA"/>
        </w:rPr>
        <w:tab/>
      </w:r>
      <w:r w:rsidR="00915EEA">
        <w:rPr>
          <w:rFonts w:eastAsia="Times New Roman"/>
          <w:sz w:val="22"/>
          <w:szCs w:val="22"/>
          <w:lang w:eastAsia="en-ZA"/>
        </w:rPr>
        <w:t>(‘</w:t>
      </w:r>
      <w:proofErr w:type="spellStart"/>
      <w:r w:rsidR="00915EEA">
        <w:rPr>
          <w:rFonts w:eastAsia="Times New Roman"/>
          <w:sz w:val="22"/>
          <w:szCs w:val="22"/>
          <w:lang w:eastAsia="en-ZA"/>
        </w:rPr>
        <w:t>d.s.s</w:t>
      </w:r>
      <w:proofErr w:type="spellEnd"/>
      <w:r w:rsidR="00915EEA">
        <w:rPr>
          <w:rFonts w:eastAsia="Times New Roman"/>
          <w:sz w:val="22"/>
          <w:szCs w:val="22"/>
          <w:lang w:eastAsia="en-ZA"/>
        </w:rPr>
        <w:t>’). How</w:t>
      </w:r>
      <w:r w:rsidR="0088337E">
        <w:rPr>
          <w:rFonts w:eastAsia="Times New Roman"/>
          <w:sz w:val="22"/>
          <w:szCs w:val="22"/>
          <w:lang w:eastAsia="en-ZA"/>
        </w:rPr>
        <w:t>e</w:t>
      </w:r>
      <w:r w:rsidR="00915EEA">
        <w:rPr>
          <w:rFonts w:eastAsia="Times New Roman"/>
          <w:sz w:val="22"/>
          <w:szCs w:val="22"/>
          <w:lang w:eastAsia="en-ZA"/>
        </w:rPr>
        <w:t xml:space="preserve">ver this </w:t>
      </w:r>
      <w:proofErr w:type="gramStart"/>
      <w:r w:rsidR="00915EEA">
        <w:rPr>
          <w:rFonts w:eastAsia="Times New Roman"/>
          <w:sz w:val="22"/>
          <w:szCs w:val="22"/>
          <w:lang w:eastAsia="en-ZA"/>
        </w:rPr>
        <w:t xml:space="preserve">is </w:t>
      </w:r>
      <w:r w:rsidR="00B75F6A">
        <w:rPr>
          <w:rFonts w:eastAsia="Times New Roman"/>
          <w:sz w:val="22"/>
          <w:szCs w:val="22"/>
          <w:lang w:eastAsia="en-ZA"/>
        </w:rPr>
        <w:t xml:space="preserve"> </w:t>
      </w:r>
      <w:r w:rsidR="00915EEA">
        <w:rPr>
          <w:rFonts w:eastAsia="Times New Roman"/>
          <w:sz w:val="22"/>
          <w:szCs w:val="22"/>
          <w:lang w:eastAsia="en-ZA"/>
        </w:rPr>
        <w:t>not</w:t>
      </w:r>
      <w:proofErr w:type="gramEnd"/>
      <w:r w:rsidR="00915EEA">
        <w:rPr>
          <w:rFonts w:eastAsia="Times New Roman"/>
          <w:sz w:val="22"/>
          <w:szCs w:val="22"/>
          <w:lang w:eastAsia="en-ZA"/>
        </w:rPr>
        <w:t xml:space="preserve"> enough as the complainant was a minor. Given </w:t>
      </w:r>
      <w:r>
        <w:rPr>
          <w:rFonts w:eastAsia="Times New Roman"/>
          <w:sz w:val="22"/>
          <w:szCs w:val="22"/>
          <w:lang w:eastAsia="en-ZA"/>
        </w:rPr>
        <w:lastRenderedPageBreak/>
        <w:tab/>
      </w:r>
      <w:r>
        <w:rPr>
          <w:rFonts w:eastAsia="Times New Roman"/>
          <w:sz w:val="22"/>
          <w:szCs w:val="22"/>
          <w:lang w:eastAsia="en-ZA"/>
        </w:rPr>
        <w:tab/>
      </w:r>
      <w:r w:rsidR="00915EEA">
        <w:rPr>
          <w:rFonts w:eastAsia="Times New Roman"/>
          <w:sz w:val="22"/>
          <w:szCs w:val="22"/>
          <w:lang w:eastAsia="en-ZA"/>
        </w:rPr>
        <w:t>th</w:t>
      </w:r>
      <w:r>
        <w:rPr>
          <w:rFonts w:eastAsia="Times New Roman"/>
          <w:sz w:val="22"/>
          <w:szCs w:val="22"/>
          <w:lang w:eastAsia="en-ZA"/>
        </w:rPr>
        <w:t xml:space="preserve">e age of the complainant it was </w:t>
      </w:r>
      <w:r w:rsidR="00915EEA">
        <w:rPr>
          <w:rFonts w:eastAsia="Times New Roman"/>
          <w:sz w:val="22"/>
          <w:szCs w:val="22"/>
          <w:lang w:eastAsia="en-ZA"/>
        </w:rPr>
        <w:t>essential that the regional magistrate</w:t>
      </w:r>
      <w:r w:rsidR="0088337E">
        <w:rPr>
          <w:rFonts w:eastAsia="Times New Roman"/>
          <w:sz w:val="22"/>
          <w:szCs w:val="22"/>
          <w:lang w:eastAsia="en-ZA"/>
        </w:rPr>
        <w:t xml:space="preserve"> </w:t>
      </w:r>
      <w:r w:rsidR="00915EEA">
        <w:rPr>
          <w:rFonts w:eastAsia="Times New Roman"/>
          <w:sz w:val="22"/>
          <w:szCs w:val="22"/>
          <w:lang w:eastAsia="en-ZA"/>
        </w:rPr>
        <w:t xml:space="preserve">make </w:t>
      </w:r>
      <w:r>
        <w:rPr>
          <w:rFonts w:eastAsia="Times New Roman"/>
          <w:sz w:val="22"/>
          <w:szCs w:val="22"/>
          <w:lang w:eastAsia="en-ZA"/>
        </w:rPr>
        <w:tab/>
      </w:r>
      <w:r>
        <w:rPr>
          <w:rFonts w:eastAsia="Times New Roman"/>
          <w:sz w:val="22"/>
          <w:szCs w:val="22"/>
          <w:lang w:eastAsia="en-ZA"/>
        </w:rPr>
        <w:tab/>
      </w:r>
      <w:r w:rsidR="00915EEA">
        <w:rPr>
          <w:rFonts w:eastAsia="Times New Roman"/>
          <w:sz w:val="22"/>
          <w:szCs w:val="22"/>
          <w:lang w:eastAsia="en-ZA"/>
        </w:rPr>
        <w:t>some enquiry to satisfy himself that the complainant understood and</w:t>
      </w:r>
      <w:r>
        <w:rPr>
          <w:rFonts w:eastAsia="Times New Roman"/>
          <w:sz w:val="22"/>
          <w:szCs w:val="22"/>
          <w:lang w:eastAsia="en-ZA"/>
        </w:rPr>
        <w:t xml:space="preserve">                </w:t>
      </w:r>
      <w:r w:rsidR="00915EEA">
        <w:rPr>
          <w:rFonts w:eastAsia="Times New Roman"/>
          <w:sz w:val="22"/>
          <w:szCs w:val="22"/>
          <w:lang w:eastAsia="en-ZA"/>
        </w:rPr>
        <w:t xml:space="preserve"> </w:t>
      </w:r>
      <w:r>
        <w:rPr>
          <w:rFonts w:eastAsia="Times New Roman"/>
          <w:sz w:val="22"/>
          <w:szCs w:val="22"/>
          <w:lang w:eastAsia="en-ZA"/>
        </w:rPr>
        <w:tab/>
      </w:r>
      <w:r>
        <w:rPr>
          <w:rFonts w:eastAsia="Times New Roman"/>
          <w:sz w:val="22"/>
          <w:szCs w:val="22"/>
          <w:lang w:eastAsia="en-ZA"/>
        </w:rPr>
        <w:tab/>
      </w:r>
      <w:r w:rsidR="00915EEA">
        <w:rPr>
          <w:rFonts w:eastAsia="Times New Roman"/>
          <w:sz w:val="22"/>
          <w:szCs w:val="22"/>
          <w:lang w:eastAsia="en-ZA"/>
        </w:rPr>
        <w:t xml:space="preserve">appreciated the distinction of telling the truth </w:t>
      </w:r>
      <w:r>
        <w:rPr>
          <w:rFonts w:eastAsia="Times New Roman"/>
          <w:sz w:val="22"/>
          <w:szCs w:val="22"/>
          <w:lang w:eastAsia="en-ZA"/>
        </w:rPr>
        <w:t xml:space="preserve">and a lie.  </w:t>
      </w:r>
      <w:r w:rsidR="00915EEA">
        <w:rPr>
          <w:rFonts w:eastAsia="Times New Roman"/>
          <w:sz w:val="22"/>
          <w:szCs w:val="22"/>
          <w:lang w:eastAsia="en-ZA"/>
        </w:rPr>
        <w:t xml:space="preserve">Only in the event that </w:t>
      </w:r>
      <w:r>
        <w:rPr>
          <w:rFonts w:eastAsia="Times New Roman"/>
          <w:sz w:val="22"/>
          <w:szCs w:val="22"/>
          <w:lang w:eastAsia="en-ZA"/>
        </w:rPr>
        <w:tab/>
      </w:r>
      <w:r>
        <w:rPr>
          <w:rFonts w:eastAsia="Times New Roman"/>
          <w:sz w:val="22"/>
          <w:szCs w:val="22"/>
          <w:lang w:eastAsia="en-ZA"/>
        </w:rPr>
        <w:tab/>
      </w:r>
      <w:r w:rsidR="00915EEA">
        <w:rPr>
          <w:rFonts w:eastAsia="Times New Roman"/>
          <w:sz w:val="22"/>
          <w:szCs w:val="22"/>
          <w:lang w:eastAsia="en-ZA"/>
        </w:rPr>
        <w:t>the magistrate</w:t>
      </w:r>
      <w:r w:rsidR="0088337E">
        <w:rPr>
          <w:rFonts w:eastAsia="Times New Roman"/>
          <w:sz w:val="22"/>
          <w:szCs w:val="22"/>
          <w:lang w:eastAsia="en-ZA"/>
        </w:rPr>
        <w:t xml:space="preserve"> was satisfie</w:t>
      </w:r>
      <w:r>
        <w:rPr>
          <w:rFonts w:eastAsia="Times New Roman"/>
          <w:sz w:val="22"/>
          <w:szCs w:val="22"/>
          <w:lang w:eastAsia="en-ZA"/>
        </w:rPr>
        <w:t xml:space="preserve">d that the minor possessed this </w:t>
      </w:r>
      <w:r w:rsidR="0088337E">
        <w:rPr>
          <w:rFonts w:eastAsia="Times New Roman"/>
          <w:sz w:val="22"/>
          <w:szCs w:val="22"/>
          <w:lang w:eastAsia="en-ZA"/>
        </w:rPr>
        <w:t xml:space="preserve">ability should the </w:t>
      </w:r>
      <w:r>
        <w:rPr>
          <w:rFonts w:eastAsia="Times New Roman"/>
          <w:sz w:val="22"/>
          <w:szCs w:val="22"/>
          <w:lang w:eastAsia="en-ZA"/>
        </w:rPr>
        <w:tab/>
      </w:r>
      <w:r>
        <w:rPr>
          <w:rFonts w:eastAsia="Times New Roman"/>
          <w:sz w:val="22"/>
          <w:szCs w:val="22"/>
          <w:lang w:eastAsia="en-ZA"/>
        </w:rPr>
        <w:tab/>
      </w:r>
      <w:r w:rsidR="0088337E">
        <w:rPr>
          <w:rFonts w:eastAsia="Times New Roman"/>
          <w:sz w:val="22"/>
          <w:szCs w:val="22"/>
          <w:lang w:eastAsia="en-ZA"/>
        </w:rPr>
        <w:t>magistrate then have proceede</w:t>
      </w:r>
      <w:r>
        <w:rPr>
          <w:rFonts w:eastAsia="Times New Roman"/>
          <w:sz w:val="22"/>
          <w:szCs w:val="22"/>
          <w:lang w:eastAsia="en-ZA"/>
        </w:rPr>
        <w:t xml:space="preserve">d to </w:t>
      </w:r>
      <w:proofErr w:type="spellStart"/>
      <w:r>
        <w:rPr>
          <w:rFonts w:eastAsia="Times New Roman"/>
          <w:sz w:val="22"/>
          <w:szCs w:val="22"/>
          <w:lang w:eastAsia="en-ZA"/>
        </w:rPr>
        <w:t>dertemine</w:t>
      </w:r>
      <w:proofErr w:type="spellEnd"/>
      <w:r>
        <w:rPr>
          <w:rFonts w:eastAsia="Times New Roman"/>
          <w:sz w:val="22"/>
          <w:szCs w:val="22"/>
          <w:lang w:eastAsia="en-ZA"/>
        </w:rPr>
        <w:t xml:space="preserve"> whether the said </w:t>
      </w:r>
      <w:r w:rsidR="0088337E">
        <w:rPr>
          <w:rFonts w:eastAsia="Times New Roman"/>
          <w:sz w:val="22"/>
          <w:szCs w:val="22"/>
          <w:lang w:eastAsia="en-ZA"/>
        </w:rPr>
        <w:t xml:space="preserve">minor fully </w:t>
      </w:r>
      <w:r>
        <w:rPr>
          <w:rFonts w:eastAsia="Times New Roman"/>
          <w:sz w:val="22"/>
          <w:szCs w:val="22"/>
          <w:lang w:eastAsia="en-ZA"/>
        </w:rPr>
        <w:tab/>
      </w:r>
      <w:r>
        <w:rPr>
          <w:rFonts w:eastAsia="Times New Roman"/>
          <w:sz w:val="22"/>
          <w:szCs w:val="22"/>
          <w:lang w:eastAsia="en-ZA"/>
        </w:rPr>
        <w:tab/>
      </w:r>
      <w:r w:rsidR="0088337E">
        <w:rPr>
          <w:rFonts w:eastAsia="Times New Roman"/>
          <w:sz w:val="22"/>
          <w:szCs w:val="22"/>
          <w:lang w:eastAsia="en-ZA"/>
        </w:rPr>
        <w:t>understood the nature and import of giving evidence under oath. The</w:t>
      </w:r>
      <w:r>
        <w:rPr>
          <w:rFonts w:eastAsia="Times New Roman"/>
          <w:sz w:val="22"/>
          <w:szCs w:val="22"/>
          <w:lang w:eastAsia="en-ZA"/>
        </w:rPr>
        <w:t xml:space="preserve">              </w:t>
      </w:r>
      <w:r w:rsidR="0088337E">
        <w:rPr>
          <w:rFonts w:eastAsia="Times New Roman"/>
          <w:sz w:val="22"/>
          <w:szCs w:val="22"/>
          <w:lang w:eastAsia="en-ZA"/>
        </w:rPr>
        <w:t xml:space="preserve"> </w:t>
      </w:r>
      <w:r w:rsidR="00B75F6A">
        <w:rPr>
          <w:rFonts w:eastAsia="Times New Roman"/>
          <w:sz w:val="22"/>
          <w:szCs w:val="22"/>
          <w:lang w:eastAsia="en-ZA"/>
        </w:rPr>
        <w:tab/>
      </w:r>
      <w:r>
        <w:rPr>
          <w:rFonts w:eastAsia="Times New Roman"/>
          <w:sz w:val="22"/>
          <w:szCs w:val="22"/>
          <w:lang w:eastAsia="en-ZA"/>
        </w:rPr>
        <w:tab/>
      </w:r>
      <w:r w:rsidR="0088337E">
        <w:rPr>
          <w:rFonts w:eastAsia="Times New Roman"/>
          <w:sz w:val="22"/>
          <w:szCs w:val="22"/>
          <w:lang w:eastAsia="en-ZA"/>
        </w:rPr>
        <w:t xml:space="preserve">magistrate conducted none of these enquiries and as </w:t>
      </w:r>
      <w:proofErr w:type="gramStart"/>
      <w:r w:rsidR="0088337E">
        <w:rPr>
          <w:rFonts w:eastAsia="Times New Roman"/>
          <w:sz w:val="22"/>
          <w:szCs w:val="22"/>
          <w:lang w:eastAsia="en-ZA"/>
        </w:rPr>
        <w:t>a consequence the</w:t>
      </w:r>
      <w:r>
        <w:rPr>
          <w:rFonts w:eastAsia="Times New Roman"/>
          <w:sz w:val="22"/>
          <w:szCs w:val="22"/>
          <w:lang w:eastAsia="en-ZA"/>
        </w:rPr>
        <w:t xml:space="preserve">        </w:t>
      </w:r>
      <w:r w:rsidR="0088337E">
        <w:rPr>
          <w:rFonts w:eastAsia="Times New Roman"/>
          <w:sz w:val="22"/>
          <w:szCs w:val="22"/>
          <w:lang w:eastAsia="en-ZA"/>
        </w:rPr>
        <w:t xml:space="preserve"> </w:t>
      </w:r>
      <w:r w:rsidR="00B75F6A">
        <w:rPr>
          <w:rFonts w:eastAsia="Times New Roman"/>
          <w:sz w:val="22"/>
          <w:szCs w:val="22"/>
          <w:lang w:eastAsia="en-ZA"/>
        </w:rPr>
        <w:tab/>
      </w:r>
      <w:r>
        <w:rPr>
          <w:rFonts w:eastAsia="Times New Roman"/>
          <w:sz w:val="22"/>
          <w:szCs w:val="22"/>
          <w:lang w:eastAsia="en-ZA"/>
        </w:rPr>
        <w:tab/>
      </w:r>
      <w:r w:rsidR="0088337E">
        <w:rPr>
          <w:rFonts w:eastAsia="Times New Roman"/>
          <w:sz w:val="22"/>
          <w:szCs w:val="22"/>
          <w:lang w:eastAsia="en-ZA"/>
        </w:rPr>
        <w:t>complainant’s evidence</w:t>
      </w:r>
      <w:proofErr w:type="gramEnd"/>
      <w:r w:rsidR="0088337E">
        <w:rPr>
          <w:rFonts w:eastAsia="Times New Roman"/>
          <w:sz w:val="22"/>
          <w:szCs w:val="22"/>
          <w:lang w:eastAsia="en-ZA"/>
        </w:rPr>
        <w:t xml:space="preserve"> is inadmissible.’</w:t>
      </w:r>
    </w:p>
    <w:p w14:paraId="7E1FF662" w14:textId="77777777" w:rsidR="00263194" w:rsidRDefault="00263194" w:rsidP="00915EEA">
      <w:pPr>
        <w:pStyle w:val="FootnoteText"/>
        <w:spacing w:line="480" w:lineRule="auto"/>
        <w:ind w:left="851"/>
        <w:jc w:val="both"/>
        <w:rPr>
          <w:rFonts w:eastAsia="Times New Roman"/>
          <w:sz w:val="22"/>
          <w:szCs w:val="22"/>
          <w:lang w:eastAsia="en-ZA"/>
        </w:rPr>
      </w:pPr>
    </w:p>
    <w:p w14:paraId="2B3C0198" w14:textId="77777777" w:rsidR="0088337E" w:rsidRPr="00DA11EB" w:rsidRDefault="00263194" w:rsidP="0088337E">
      <w:pPr>
        <w:pStyle w:val="FootnoteText"/>
        <w:spacing w:line="480" w:lineRule="auto"/>
        <w:jc w:val="both"/>
        <w:rPr>
          <w:rFonts w:eastAsia="Times New Roman"/>
          <w:sz w:val="24"/>
          <w:szCs w:val="24"/>
          <w:lang w:eastAsia="en-ZA"/>
        </w:rPr>
      </w:pPr>
      <w:r w:rsidRPr="00DA11EB">
        <w:rPr>
          <w:rFonts w:eastAsia="Times New Roman"/>
          <w:sz w:val="24"/>
          <w:szCs w:val="24"/>
          <w:lang w:eastAsia="en-ZA"/>
        </w:rPr>
        <w:t>[27</w:t>
      </w:r>
      <w:proofErr w:type="gramStart"/>
      <w:r w:rsidR="0088337E" w:rsidRPr="00DA11EB">
        <w:rPr>
          <w:rFonts w:eastAsia="Times New Roman"/>
          <w:sz w:val="24"/>
          <w:szCs w:val="24"/>
          <w:lang w:eastAsia="en-ZA"/>
        </w:rPr>
        <w:t xml:space="preserve">]  </w:t>
      </w:r>
      <w:r w:rsidRPr="00DA11EB">
        <w:rPr>
          <w:rFonts w:eastAsia="Times New Roman"/>
          <w:sz w:val="24"/>
          <w:szCs w:val="24"/>
          <w:lang w:eastAsia="en-ZA"/>
        </w:rPr>
        <w:t>The</w:t>
      </w:r>
      <w:proofErr w:type="gramEnd"/>
      <w:r w:rsidRPr="00DA11EB">
        <w:rPr>
          <w:rFonts w:eastAsia="Times New Roman"/>
          <w:sz w:val="24"/>
          <w:szCs w:val="24"/>
          <w:lang w:eastAsia="en-ZA"/>
        </w:rPr>
        <w:t xml:space="preserve"> most </w:t>
      </w:r>
      <w:r w:rsidR="0088337E" w:rsidRPr="00DA11EB">
        <w:rPr>
          <w:rFonts w:eastAsia="Times New Roman"/>
          <w:sz w:val="24"/>
          <w:szCs w:val="24"/>
          <w:lang w:eastAsia="en-ZA"/>
        </w:rPr>
        <w:t xml:space="preserve">recent pronouncement </w:t>
      </w:r>
      <w:r w:rsidRPr="00DA11EB">
        <w:rPr>
          <w:rFonts w:eastAsia="Times New Roman"/>
          <w:sz w:val="24"/>
          <w:szCs w:val="24"/>
          <w:lang w:eastAsia="en-ZA"/>
        </w:rPr>
        <w:t xml:space="preserve"> on whether an enquiry must first be held before an oath is administered to a child witness </w:t>
      </w:r>
      <w:r w:rsidR="0088337E" w:rsidRPr="00DA11EB">
        <w:rPr>
          <w:rFonts w:eastAsia="Times New Roman"/>
          <w:sz w:val="24"/>
          <w:szCs w:val="24"/>
          <w:lang w:eastAsia="en-ZA"/>
        </w:rPr>
        <w:t>was made in the matter of SJ v S</w:t>
      </w:r>
      <w:r w:rsidR="0088337E" w:rsidRPr="00DA11EB">
        <w:rPr>
          <w:rStyle w:val="FootnoteReference"/>
          <w:rFonts w:eastAsia="Times New Roman"/>
          <w:sz w:val="24"/>
          <w:szCs w:val="24"/>
          <w:lang w:eastAsia="en-ZA"/>
        </w:rPr>
        <w:footnoteReference w:id="10"/>
      </w:r>
      <w:r w:rsidR="00F17852" w:rsidRPr="00DA11EB">
        <w:rPr>
          <w:rFonts w:eastAsia="Times New Roman"/>
          <w:sz w:val="24"/>
          <w:szCs w:val="24"/>
          <w:lang w:eastAsia="en-ZA"/>
        </w:rPr>
        <w:t xml:space="preserve"> per Stretch J at paragraph 25:</w:t>
      </w:r>
    </w:p>
    <w:p w14:paraId="3815DE97" w14:textId="77777777" w:rsidR="00DA11EB" w:rsidRDefault="00F17852" w:rsidP="00263194">
      <w:pPr>
        <w:pStyle w:val="FootnoteText"/>
        <w:spacing w:line="480" w:lineRule="auto"/>
        <w:jc w:val="both"/>
        <w:rPr>
          <w:rFonts w:eastAsia="Times New Roman"/>
          <w:sz w:val="22"/>
          <w:szCs w:val="22"/>
          <w:lang w:eastAsia="en-ZA"/>
        </w:rPr>
      </w:pPr>
      <w:r>
        <w:rPr>
          <w:rFonts w:eastAsia="Times New Roman"/>
          <w:sz w:val="22"/>
          <w:szCs w:val="22"/>
          <w:lang w:eastAsia="en-ZA"/>
        </w:rPr>
        <w:tab/>
      </w:r>
    </w:p>
    <w:p w14:paraId="3A090D70" w14:textId="77777777" w:rsidR="00F17852" w:rsidRDefault="00DA11EB" w:rsidP="00263194">
      <w:pPr>
        <w:pStyle w:val="FootnoteText"/>
        <w:spacing w:line="480" w:lineRule="auto"/>
        <w:jc w:val="both"/>
        <w:rPr>
          <w:rFonts w:eastAsia="Times New Roman"/>
          <w:sz w:val="22"/>
          <w:szCs w:val="22"/>
          <w:lang w:eastAsia="en-ZA"/>
        </w:rPr>
      </w:pPr>
      <w:r>
        <w:rPr>
          <w:rFonts w:eastAsia="Times New Roman"/>
          <w:sz w:val="22"/>
          <w:szCs w:val="22"/>
          <w:lang w:eastAsia="en-ZA"/>
        </w:rPr>
        <w:tab/>
      </w:r>
      <w:r w:rsidR="00F17852">
        <w:rPr>
          <w:rFonts w:eastAsia="Times New Roman"/>
          <w:sz w:val="22"/>
          <w:szCs w:val="22"/>
          <w:lang w:eastAsia="en-ZA"/>
        </w:rPr>
        <w:t>‘</w:t>
      </w:r>
      <w:r w:rsidR="001C473C">
        <w:rPr>
          <w:rFonts w:eastAsia="Times New Roman"/>
          <w:sz w:val="22"/>
          <w:szCs w:val="22"/>
          <w:lang w:eastAsia="en-ZA"/>
        </w:rPr>
        <w:t xml:space="preserve">I venture to add that by the same </w:t>
      </w:r>
      <w:proofErr w:type="gramStart"/>
      <w:r w:rsidR="001C473C">
        <w:rPr>
          <w:rFonts w:eastAsia="Times New Roman"/>
          <w:sz w:val="22"/>
          <w:szCs w:val="22"/>
          <w:lang w:eastAsia="en-ZA"/>
        </w:rPr>
        <w:t>token ,</w:t>
      </w:r>
      <w:proofErr w:type="gramEnd"/>
      <w:r w:rsidR="001C473C">
        <w:rPr>
          <w:rFonts w:eastAsia="Times New Roman"/>
          <w:sz w:val="22"/>
          <w:szCs w:val="22"/>
          <w:lang w:eastAsia="en-ZA"/>
        </w:rPr>
        <w:t xml:space="preserve"> </w:t>
      </w:r>
      <w:proofErr w:type="spellStart"/>
      <w:r w:rsidR="001C473C">
        <w:rPr>
          <w:rFonts w:eastAsia="Times New Roman"/>
          <w:sz w:val="22"/>
          <w:szCs w:val="22"/>
          <w:lang w:eastAsia="en-ZA"/>
        </w:rPr>
        <w:t>particulary</w:t>
      </w:r>
      <w:proofErr w:type="spellEnd"/>
      <w:r w:rsidR="001C473C">
        <w:rPr>
          <w:rFonts w:eastAsia="Times New Roman"/>
          <w:sz w:val="22"/>
          <w:szCs w:val="22"/>
          <w:lang w:eastAsia="en-ZA"/>
        </w:rPr>
        <w:t xml:space="preserve"> when one is dealing with an </w:t>
      </w:r>
      <w:r w:rsidR="00F17852">
        <w:rPr>
          <w:rFonts w:eastAsia="Times New Roman"/>
          <w:sz w:val="22"/>
          <w:szCs w:val="22"/>
          <w:lang w:eastAsia="en-ZA"/>
        </w:rPr>
        <w:tab/>
      </w:r>
      <w:r w:rsidR="001C473C">
        <w:rPr>
          <w:rFonts w:eastAsia="Times New Roman"/>
          <w:sz w:val="22"/>
          <w:szCs w:val="22"/>
          <w:lang w:eastAsia="en-ZA"/>
        </w:rPr>
        <w:t xml:space="preserve">older child such as L[…] thorough questioning should also be aimed at </w:t>
      </w:r>
      <w:proofErr w:type="spellStart"/>
      <w:r w:rsidR="001C473C">
        <w:rPr>
          <w:rFonts w:eastAsia="Times New Roman"/>
          <w:sz w:val="22"/>
          <w:szCs w:val="22"/>
          <w:lang w:eastAsia="en-ZA"/>
        </w:rPr>
        <w:t>dertemining</w:t>
      </w:r>
      <w:proofErr w:type="spellEnd"/>
      <w:r w:rsidR="001C473C">
        <w:rPr>
          <w:rFonts w:eastAsia="Times New Roman"/>
          <w:sz w:val="22"/>
          <w:szCs w:val="22"/>
          <w:lang w:eastAsia="en-ZA"/>
        </w:rPr>
        <w:t xml:space="preserve"> </w:t>
      </w:r>
      <w:r w:rsidR="00F17852">
        <w:rPr>
          <w:rFonts w:eastAsia="Times New Roman"/>
          <w:sz w:val="22"/>
          <w:szCs w:val="22"/>
          <w:lang w:eastAsia="en-ZA"/>
        </w:rPr>
        <w:tab/>
      </w:r>
      <w:r w:rsidR="001C473C">
        <w:rPr>
          <w:rFonts w:eastAsia="Times New Roman"/>
          <w:sz w:val="22"/>
          <w:szCs w:val="22"/>
          <w:lang w:eastAsia="en-ZA"/>
        </w:rPr>
        <w:t>wh</w:t>
      </w:r>
      <w:r w:rsidR="003A1AC6">
        <w:rPr>
          <w:rFonts w:eastAsia="Times New Roman"/>
          <w:sz w:val="22"/>
          <w:szCs w:val="22"/>
          <w:lang w:eastAsia="en-ZA"/>
        </w:rPr>
        <w:t>e</w:t>
      </w:r>
      <w:r w:rsidR="001C473C">
        <w:rPr>
          <w:rFonts w:eastAsia="Times New Roman"/>
          <w:sz w:val="22"/>
          <w:szCs w:val="22"/>
          <w:lang w:eastAsia="en-ZA"/>
        </w:rPr>
        <w:t xml:space="preserve">ther the oath </w:t>
      </w:r>
      <w:r w:rsidR="003A1AC6">
        <w:rPr>
          <w:rFonts w:eastAsia="Times New Roman"/>
          <w:sz w:val="22"/>
          <w:szCs w:val="22"/>
          <w:lang w:eastAsia="en-ZA"/>
        </w:rPr>
        <w:t xml:space="preserve">should be administered. If the court is persuaded that the oath </w:t>
      </w:r>
      <w:r w:rsidR="00F17852">
        <w:rPr>
          <w:rFonts w:eastAsia="Times New Roman"/>
          <w:sz w:val="22"/>
          <w:szCs w:val="22"/>
          <w:lang w:eastAsia="en-ZA"/>
        </w:rPr>
        <w:tab/>
      </w:r>
      <w:r w:rsidR="003A1AC6">
        <w:rPr>
          <w:rFonts w:eastAsia="Times New Roman"/>
          <w:sz w:val="22"/>
          <w:szCs w:val="22"/>
          <w:lang w:eastAsia="en-ZA"/>
        </w:rPr>
        <w:t>should be administered, it must do so, and not merely admonish the child witness</w:t>
      </w:r>
      <w:r w:rsidR="00F17852">
        <w:rPr>
          <w:rFonts w:eastAsia="Times New Roman"/>
          <w:sz w:val="22"/>
          <w:szCs w:val="22"/>
          <w:lang w:eastAsia="en-ZA"/>
        </w:rPr>
        <w:t>’</w:t>
      </w:r>
      <w:r w:rsidR="003A1AC6">
        <w:rPr>
          <w:rFonts w:eastAsia="Times New Roman"/>
          <w:sz w:val="22"/>
          <w:szCs w:val="22"/>
          <w:lang w:eastAsia="en-ZA"/>
        </w:rPr>
        <w:t>.</w:t>
      </w:r>
    </w:p>
    <w:p w14:paraId="08555F94" w14:textId="77777777" w:rsidR="00DA11EB" w:rsidRDefault="00DA11EB" w:rsidP="00263194">
      <w:pPr>
        <w:pStyle w:val="FootnoteText"/>
        <w:spacing w:line="480" w:lineRule="auto"/>
        <w:jc w:val="both"/>
        <w:rPr>
          <w:rFonts w:eastAsia="Times New Roman"/>
          <w:sz w:val="22"/>
          <w:szCs w:val="22"/>
          <w:lang w:eastAsia="en-ZA"/>
        </w:rPr>
      </w:pPr>
    </w:p>
    <w:p w14:paraId="4E4054BB" w14:textId="77777777" w:rsidR="001C473C" w:rsidRPr="00DA11EB" w:rsidRDefault="00DA11EB" w:rsidP="00263194">
      <w:pPr>
        <w:pStyle w:val="FootnoteText"/>
        <w:spacing w:line="480" w:lineRule="auto"/>
        <w:jc w:val="both"/>
        <w:rPr>
          <w:rFonts w:eastAsia="Times New Roman"/>
          <w:sz w:val="24"/>
          <w:szCs w:val="24"/>
          <w:lang w:eastAsia="en-ZA"/>
        </w:rPr>
      </w:pPr>
      <w:r>
        <w:rPr>
          <w:rFonts w:eastAsia="Times New Roman"/>
          <w:sz w:val="24"/>
          <w:szCs w:val="24"/>
          <w:lang w:eastAsia="en-ZA"/>
        </w:rPr>
        <w:t>[28]</w:t>
      </w:r>
      <w:r>
        <w:rPr>
          <w:rFonts w:eastAsia="Times New Roman"/>
          <w:sz w:val="24"/>
          <w:szCs w:val="24"/>
          <w:lang w:eastAsia="en-ZA"/>
        </w:rPr>
        <w:tab/>
      </w:r>
      <w:r w:rsidR="00263194" w:rsidRPr="00DA11EB">
        <w:rPr>
          <w:rFonts w:eastAsia="Times New Roman"/>
          <w:sz w:val="24"/>
          <w:szCs w:val="24"/>
          <w:lang w:eastAsia="en-ZA"/>
        </w:rPr>
        <w:t>In</w:t>
      </w:r>
      <w:r w:rsidR="003A72E9">
        <w:rPr>
          <w:rFonts w:eastAsia="Times New Roman"/>
          <w:sz w:val="24"/>
          <w:szCs w:val="24"/>
          <w:lang w:eastAsia="en-ZA"/>
        </w:rPr>
        <w:t xml:space="preserve"> the</w:t>
      </w:r>
      <w:r w:rsidR="00263194" w:rsidRPr="00DA11EB">
        <w:rPr>
          <w:rFonts w:eastAsia="Times New Roman"/>
          <w:sz w:val="24"/>
          <w:szCs w:val="24"/>
          <w:lang w:eastAsia="en-ZA"/>
        </w:rPr>
        <w:t xml:space="preserve"> SJ</w:t>
      </w:r>
      <w:r w:rsidR="00263194" w:rsidRPr="00DA11EB">
        <w:rPr>
          <w:rStyle w:val="FootnoteReference"/>
          <w:rFonts w:eastAsia="Times New Roman"/>
          <w:sz w:val="24"/>
          <w:szCs w:val="24"/>
          <w:lang w:eastAsia="en-ZA"/>
        </w:rPr>
        <w:footnoteReference w:id="11"/>
      </w:r>
      <w:r w:rsidR="00263194" w:rsidRPr="00DA11EB">
        <w:rPr>
          <w:rFonts w:eastAsia="Times New Roman"/>
          <w:sz w:val="24"/>
          <w:szCs w:val="24"/>
          <w:lang w:eastAsia="en-ZA"/>
        </w:rPr>
        <w:t xml:space="preserve"> matter, the court re-iterated the views that </w:t>
      </w:r>
      <w:r w:rsidR="003A1AC6" w:rsidRPr="00DA11EB">
        <w:rPr>
          <w:rFonts w:eastAsia="Times New Roman"/>
          <w:sz w:val="24"/>
          <w:szCs w:val="24"/>
          <w:lang w:eastAsia="en-ZA"/>
        </w:rPr>
        <w:t>were endorsed in S v M</w:t>
      </w:r>
      <w:r w:rsidR="00783C1C" w:rsidRPr="00DA11EB">
        <w:rPr>
          <w:rStyle w:val="FootnoteReference"/>
          <w:rFonts w:eastAsia="Times New Roman"/>
          <w:sz w:val="24"/>
          <w:szCs w:val="24"/>
          <w:lang w:eastAsia="en-ZA"/>
        </w:rPr>
        <w:footnoteReference w:id="12"/>
      </w:r>
      <w:r w:rsidR="003A1AC6" w:rsidRPr="00DA11EB">
        <w:rPr>
          <w:rFonts w:eastAsia="Times New Roman"/>
          <w:sz w:val="24"/>
          <w:szCs w:val="24"/>
          <w:lang w:eastAsia="en-ZA"/>
        </w:rPr>
        <w:t xml:space="preserve"> where </w:t>
      </w:r>
      <w:proofErr w:type="spellStart"/>
      <w:r w:rsidR="003A1AC6" w:rsidRPr="00DA11EB">
        <w:rPr>
          <w:rFonts w:eastAsia="Times New Roman"/>
          <w:sz w:val="24"/>
          <w:szCs w:val="24"/>
          <w:lang w:eastAsia="en-ZA"/>
        </w:rPr>
        <w:t>Dambuza</w:t>
      </w:r>
      <w:proofErr w:type="spellEnd"/>
      <w:r w:rsidR="003A1AC6" w:rsidRPr="00DA11EB">
        <w:rPr>
          <w:rFonts w:eastAsia="Times New Roman"/>
          <w:sz w:val="24"/>
          <w:szCs w:val="24"/>
          <w:lang w:eastAsia="en-ZA"/>
        </w:rPr>
        <w:t xml:space="preserve"> JA </w:t>
      </w:r>
      <w:proofErr w:type="gramStart"/>
      <w:r w:rsidR="003A1AC6" w:rsidRPr="00DA11EB">
        <w:rPr>
          <w:rFonts w:eastAsia="Times New Roman"/>
          <w:sz w:val="24"/>
          <w:szCs w:val="24"/>
          <w:lang w:eastAsia="en-ZA"/>
        </w:rPr>
        <w:t>( at</w:t>
      </w:r>
      <w:proofErr w:type="gramEnd"/>
      <w:r w:rsidR="003A1AC6" w:rsidRPr="00DA11EB">
        <w:rPr>
          <w:rFonts w:eastAsia="Times New Roman"/>
          <w:sz w:val="24"/>
          <w:szCs w:val="24"/>
          <w:lang w:eastAsia="en-ZA"/>
        </w:rPr>
        <w:t xml:space="preserve"> [19] said the following:</w:t>
      </w:r>
    </w:p>
    <w:p w14:paraId="14FF6AF8" w14:textId="77777777" w:rsidR="003A1AC6" w:rsidRDefault="00F17852" w:rsidP="00783C1C">
      <w:pPr>
        <w:pStyle w:val="FootnoteText"/>
        <w:spacing w:line="480" w:lineRule="auto"/>
        <w:ind w:left="851"/>
        <w:jc w:val="both"/>
        <w:rPr>
          <w:rFonts w:eastAsia="Times New Roman"/>
          <w:sz w:val="22"/>
          <w:szCs w:val="22"/>
          <w:lang w:eastAsia="en-ZA"/>
        </w:rPr>
      </w:pPr>
      <w:r>
        <w:rPr>
          <w:rFonts w:eastAsia="Times New Roman"/>
          <w:sz w:val="22"/>
          <w:szCs w:val="22"/>
          <w:lang w:eastAsia="en-ZA"/>
        </w:rPr>
        <w:t>‘</w:t>
      </w:r>
      <w:r w:rsidR="003A1AC6">
        <w:rPr>
          <w:rFonts w:eastAsia="Times New Roman"/>
          <w:sz w:val="22"/>
          <w:szCs w:val="22"/>
          <w:lang w:eastAsia="en-ZA"/>
        </w:rPr>
        <w:t xml:space="preserve">An enquiry into whether a potential witness can distinguish between truth and falsity goes to whether the witness is competent in the first place. On the other hand, a question directed to a witness on whether he or she understands the nature and import of the oath and affirmation goes to whether the witness should be </w:t>
      </w:r>
      <w:r w:rsidR="00783C1C">
        <w:rPr>
          <w:rFonts w:eastAsia="Times New Roman"/>
          <w:sz w:val="22"/>
          <w:szCs w:val="22"/>
          <w:lang w:eastAsia="en-ZA"/>
        </w:rPr>
        <w:t xml:space="preserve">caused to take the oath or </w:t>
      </w:r>
      <w:proofErr w:type="gramStart"/>
      <w:r w:rsidR="00783C1C">
        <w:rPr>
          <w:rFonts w:eastAsia="Times New Roman"/>
          <w:sz w:val="22"/>
          <w:szCs w:val="22"/>
          <w:lang w:eastAsia="en-ZA"/>
        </w:rPr>
        <w:t>affirmation, or</w:t>
      </w:r>
      <w:proofErr w:type="gramEnd"/>
      <w:r w:rsidR="00783C1C">
        <w:rPr>
          <w:rFonts w:eastAsia="Times New Roman"/>
          <w:sz w:val="22"/>
          <w:szCs w:val="22"/>
          <w:lang w:eastAsia="en-ZA"/>
        </w:rPr>
        <w:t xml:space="preserve"> should be admonished to speak the truth</w:t>
      </w:r>
      <w:r>
        <w:rPr>
          <w:rFonts w:eastAsia="Times New Roman"/>
          <w:sz w:val="22"/>
          <w:szCs w:val="22"/>
          <w:lang w:eastAsia="en-ZA"/>
        </w:rPr>
        <w:t>’</w:t>
      </w:r>
      <w:r w:rsidR="00783C1C">
        <w:rPr>
          <w:rFonts w:eastAsia="Times New Roman"/>
          <w:sz w:val="22"/>
          <w:szCs w:val="22"/>
          <w:lang w:eastAsia="en-ZA"/>
        </w:rPr>
        <w:t>.</w:t>
      </w:r>
      <w:r w:rsidR="003A1AC6">
        <w:rPr>
          <w:rFonts w:eastAsia="Times New Roman"/>
          <w:sz w:val="22"/>
          <w:szCs w:val="22"/>
          <w:lang w:eastAsia="en-ZA"/>
        </w:rPr>
        <w:t xml:space="preserve"> </w:t>
      </w:r>
    </w:p>
    <w:p w14:paraId="25B76830" w14:textId="77777777" w:rsidR="00B86C35" w:rsidRPr="00915EEA" w:rsidRDefault="00B86C35" w:rsidP="00F8402E">
      <w:pPr>
        <w:pStyle w:val="ListParagraph"/>
        <w:spacing w:line="480" w:lineRule="auto"/>
        <w:ind w:left="0"/>
        <w:jc w:val="both"/>
      </w:pPr>
    </w:p>
    <w:p w14:paraId="0824C6D8" w14:textId="77777777" w:rsidR="001B6631" w:rsidRDefault="00783C1C" w:rsidP="00F8402E">
      <w:pPr>
        <w:pStyle w:val="ListParagraph"/>
        <w:spacing w:line="480" w:lineRule="auto"/>
        <w:ind w:left="0"/>
        <w:jc w:val="both"/>
      </w:pPr>
      <w:r>
        <w:t>[2</w:t>
      </w:r>
      <w:r w:rsidR="00F17852">
        <w:t>9]</w:t>
      </w:r>
      <w:r w:rsidR="00F17852">
        <w:tab/>
      </w:r>
      <w:r w:rsidR="006979EB">
        <w:t>In the matter under consideration</w:t>
      </w:r>
      <w:r w:rsidR="00BD2F93">
        <w:t>,</w:t>
      </w:r>
      <w:r w:rsidR="006979EB">
        <w:t xml:space="preserve"> the crisp issue is whether judging from the circumstances </w:t>
      </w:r>
      <w:r w:rsidR="00453EEF">
        <w:t>of the</w:t>
      </w:r>
      <w:r w:rsidR="00720496">
        <w:t xml:space="preserve"> case</w:t>
      </w:r>
      <w:r w:rsidR="00B32F5B">
        <w:t>,</w:t>
      </w:r>
      <w:r w:rsidR="000B2422">
        <w:t xml:space="preserve"> </w:t>
      </w:r>
      <w:r w:rsidR="000A1A90">
        <w:t xml:space="preserve">the trial court </w:t>
      </w:r>
      <w:r w:rsidR="00720496">
        <w:t>made a proper assessment</w:t>
      </w:r>
      <w:r w:rsidR="000A1A90">
        <w:t xml:space="preserve"> </w:t>
      </w:r>
      <w:r w:rsidR="00BE0063">
        <w:t xml:space="preserve">of </w:t>
      </w:r>
      <w:r w:rsidR="000A1A90">
        <w:t>whether the</w:t>
      </w:r>
      <w:r w:rsidR="00720496">
        <w:t xml:space="preserve"> two minor children had a required capacity to understand t</w:t>
      </w:r>
      <w:r w:rsidR="000B2422">
        <w:t xml:space="preserve">he nature and import of </w:t>
      </w:r>
      <w:r w:rsidR="00A40CB2">
        <w:t>the</w:t>
      </w:r>
      <w:r w:rsidR="000A1A90">
        <w:t xml:space="preserve"> oath</w:t>
      </w:r>
      <w:r w:rsidR="00A40CB2">
        <w:t xml:space="preserve"> before the oath was administered to them</w:t>
      </w:r>
      <w:r w:rsidR="00431CF9">
        <w:t xml:space="preserve">. </w:t>
      </w:r>
      <w:r w:rsidR="00382AFD">
        <w:t>Even though</w:t>
      </w:r>
      <w:r w:rsidR="00BA609E">
        <w:t xml:space="preserve"> it may not always be </w:t>
      </w:r>
      <w:r w:rsidR="00B32F5B">
        <w:t>a requirement,</w:t>
      </w:r>
      <w:r w:rsidR="00925487">
        <w:t xml:space="preserve"> </w:t>
      </w:r>
      <w:r w:rsidR="00B32F5B">
        <w:t>a finding that the child understands the nature and im</w:t>
      </w:r>
      <w:r w:rsidR="000B2422">
        <w:t>port of an oath or whether she understands the difference between the truth and falsity</w:t>
      </w:r>
      <w:r w:rsidR="00431CF9">
        <w:t xml:space="preserve"> before she can be admonished</w:t>
      </w:r>
      <w:r w:rsidR="000B2422">
        <w:t xml:space="preserve"> must appear</w:t>
      </w:r>
      <w:r w:rsidR="00D82E38">
        <w:t xml:space="preserve"> </w:t>
      </w:r>
      <w:r w:rsidR="00BE0063">
        <w:t>ex-</w:t>
      </w:r>
      <w:r w:rsidR="00D82E38">
        <w:t>facie the record.</w:t>
      </w:r>
      <w:r w:rsidR="00516BD6">
        <w:rPr>
          <w:rStyle w:val="FootnoteReference"/>
        </w:rPr>
        <w:footnoteReference w:id="13"/>
      </w:r>
    </w:p>
    <w:p w14:paraId="05ECF1F0" w14:textId="77777777" w:rsidR="00F76467" w:rsidRDefault="00F76467" w:rsidP="00F8402E">
      <w:pPr>
        <w:pStyle w:val="ListParagraph"/>
        <w:spacing w:line="480" w:lineRule="auto"/>
        <w:ind w:left="0"/>
        <w:jc w:val="both"/>
        <w:rPr>
          <w:u w:val="single"/>
        </w:rPr>
      </w:pPr>
    </w:p>
    <w:p w14:paraId="6E0A30C4" w14:textId="77777777" w:rsidR="00F17852" w:rsidRDefault="00263194" w:rsidP="00F17852">
      <w:pPr>
        <w:spacing w:line="480" w:lineRule="auto"/>
        <w:jc w:val="both"/>
      </w:pPr>
      <w:r>
        <w:t>[30</w:t>
      </w:r>
      <w:r w:rsidR="004E7FA6">
        <w:t>]</w:t>
      </w:r>
      <w:r w:rsidR="00BE0063">
        <w:tab/>
      </w:r>
      <w:r w:rsidR="00A74153">
        <w:t>The</w:t>
      </w:r>
      <w:r w:rsidR="00CC487F">
        <w:t xml:space="preserve"> record was </w:t>
      </w:r>
      <w:r w:rsidR="00C8013B">
        <w:t xml:space="preserve">reconstructed, however, </w:t>
      </w:r>
      <w:r w:rsidR="00BE0063">
        <w:t xml:space="preserve">on </w:t>
      </w:r>
      <w:r w:rsidR="00C8013B">
        <w:t>page</w:t>
      </w:r>
      <w:r w:rsidR="00BE0063">
        <w:t>s</w:t>
      </w:r>
      <w:r w:rsidR="00C8013B">
        <w:t xml:space="preserve"> </w:t>
      </w:r>
      <w:r w:rsidR="00AF2DB9">
        <w:t>13</w:t>
      </w:r>
      <w:r w:rsidR="00F17852">
        <w:t>-</w:t>
      </w:r>
      <w:r w:rsidR="00C8013B">
        <w:t>14 of the original record</w:t>
      </w:r>
      <w:r w:rsidR="00CC487F">
        <w:t xml:space="preserve"> the following excerpts are</w:t>
      </w:r>
      <w:r w:rsidR="00F17852">
        <w:t xml:space="preserve"> noted</w:t>
      </w:r>
      <w:r w:rsidR="00C8013B">
        <w:t>:</w:t>
      </w:r>
    </w:p>
    <w:p w14:paraId="17FDD255" w14:textId="77777777" w:rsidR="00AF2DB9" w:rsidRPr="00F17852" w:rsidRDefault="00F17852" w:rsidP="00F17852">
      <w:pPr>
        <w:spacing w:line="480" w:lineRule="auto"/>
        <w:jc w:val="both"/>
      </w:pPr>
      <w:r>
        <w:tab/>
      </w:r>
      <w:r w:rsidR="00BE0063">
        <w:rPr>
          <w:i/>
          <w:sz w:val="22"/>
          <w:szCs w:val="22"/>
        </w:rPr>
        <w:t>“</w:t>
      </w:r>
      <w:r w:rsidR="00AF2DB9" w:rsidRPr="00F8402E">
        <w:rPr>
          <w:i/>
          <w:sz w:val="22"/>
          <w:szCs w:val="22"/>
        </w:rPr>
        <w:t>EVIDENCE</w:t>
      </w:r>
      <w:r w:rsidR="000A1A90" w:rsidRPr="00F8402E">
        <w:rPr>
          <w:i/>
          <w:sz w:val="22"/>
          <w:szCs w:val="22"/>
        </w:rPr>
        <w:t xml:space="preserve"> </w:t>
      </w:r>
      <w:r w:rsidR="00AF2DB9" w:rsidRPr="00F8402E">
        <w:rPr>
          <w:i/>
          <w:sz w:val="22"/>
          <w:szCs w:val="22"/>
        </w:rPr>
        <w:t>FOR THE STATE</w:t>
      </w:r>
    </w:p>
    <w:p w14:paraId="7F7AB58E" w14:textId="77777777" w:rsidR="00AF2DB9" w:rsidRPr="00F8402E" w:rsidRDefault="00AF2DB9" w:rsidP="00F8402E">
      <w:pPr>
        <w:spacing w:line="480" w:lineRule="auto"/>
        <w:ind w:firstLine="720"/>
        <w:jc w:val="both"/>
        <w:rPr>
          <w:i/>
          <w:sz w:val="22"/>
          <w:szCs w:val="22"/>
        </w:rPr>
      </w:pPr>
      <w:r w:rsidRPr="00F8402E">
        <w:rPr>
          <w:i/>
          <w:sz w:val="22"/>
          <w:szCs w:val="22"/>
        </w:rPr>
        <w:t>NS</w:t>
      </w:r>
      <w:r w:rsidR="00A41354" w:rsidRPr="00F8402E">
        <w:rPr>
          <w:i/>
          <w:sz w:val="22"/>
          <w:szCs w:val="22"/>
        </w:rPr>
        <w:t xml:space="preserve"> </w:t>
      </w:r>
      <w:r w:rsidRPr="00F8402E">
        <w:rPr>
          <w:i/>
          <w:sz w:val="22"/>
          <w:szCs w:val="22"/>
        </w:rPr>
        <w:t>(sworn states)</w:t>
      </w:r>
      <w:r w:rsidR="0033302C" w:rsidRPr="00F8402E">
        <w:rPr>
          <w:i/>
          <w:sz w:val="22"/>
          <w:szCs w:val="22"/>
        </w:rPr>
        <w:t xml:space="preserve"> </w:t>
      </w:r>
      <w:r w:rsidRPr="00F8402E">
        <w:rPr>
          <w:i/>
          <w:sz w:val="22"/>
          <w:szCs w:val="22"/>
        </w:rPr>
        <w:t>(Through interpreter)</w:t>
      </w:r>
    </w:p>
    <w:p w14:paraId="21940F02" w14:textId="77777777" w:rsidR="00AF2DB9" w:rsidRPr="00F8402E" w:rsidRDefault="00AF2DB9" w:rsidP="00F8402E">
      <w:pPr>
        <w:spacing w:line="480" w:lineRule="auto"/>
        <w:ind w:firstLine="720"/>
        <w:jc w:val="both"/>
        <w:rPr>
          <w:i/>
          <w:sz w:val="22"/>
          <w:szCs w:val="22"/>
        </w:rPr>
      </w:pPr>
      <w:r w:rsidRPr="00F8402E">
        <w:rPr>
          <w:i/>
          <w:sz w:val="22"/>
          <w:szCs w:val="22"/>
        </w:rPr>
        <w:t xml:space="preserve">COURT: Thank </w:t>
      </w:r>
      <w:proofErr w:type="gramStart"/>
      <w:r w:rsidRPr="00F8402E">
        <w:rPr>
          <w:i/>
          <w:sz w:val="22"/>
          <w:szCs w:val="22"/>
        </w:rPr>
        <w:t xml:space="preserve">you Mr </w:t>
      </w:r>
      <w:proofErr w:type="spellStart"/>
      <w:r w:rsidRPr="00F8402E">
        <w:rPr>
          <w:i/>
          <w:sz w:val="22"/>
          <w:szCs w:val="22"/>
        </w:rPr>
        <w:t>Khaketla</w:t>
      </w:r>
      <w:proofErr w:type="spellEnd"/>
      <w:proofErr w:type="gramEnd"/>
    </w:p>
    <w:p w14:paraId="48109478" w14:textId="77777777" w:rsidR="00F17852" w:rsidRDefault="00F17852" w:rsidP="00F8402E">
      <w:pPr>
        <w:spacing w:line="480" w:lineRule="auto"/>
        <w:ind w:firstLine="720"/>
        <w:jc w:val="both"/>
        <w:rPr>
          <w:sz w:val="22"/>
          <w:szCs w:val="22"/>
        </w:rPr>
      </w:pPr>
    </w:p>
    <w:p w14:paraId="3F1CAA24" w14:textId="77777777" w:rsidR="00AF2DB9" w:rsidRPr="00F8402E" w:rsidRDefault="00AF2DB9" w:rsidP="00F8402E">
      <w:pPr>
        <w:spacing w:line="480" w:lineRule="auto"/>
        <w:ind w:firstLine="720"/>
        <w:jc w:val="both"/>
        <w:rPr>
          <w:sz w:val="22"/>
          <w:szCs w:val="22"/>
        </w:rPr>
      </w:pPr>
      <w:r w:rsidRPr="00F8402E">
        <w:rPr>
          <w:sz w:val="22"/>
          <w:szCs w:val="22"/>
        </w:rPr>
        <w:t>EXAMINATION BY PROSECUTOR</w:t>
      </w:r>
    </w:p>
    <w:p w14:paraId="49B80C28" w14:textId="77777777" w:rsidR="00CC487F" w:rsidRPr="00F8402E" w:rsidRDefault="00CC487F" w:rsidP="00F8402E">
      <w:pPr>
        <w:spacing w:line="480" w:lineRule="auto"/>
        <w:ind w:left="720"/>
        <w:jc w:val="both"/>
        <w:rPr>
          <w:i/>
          <w:sz w:val="22"/>
          <w:szCs w:val="22"/>
        </w:rPr>
      </w:pPr>
      <w:r w:rsidRPr="00F8402E">
        <w:rPr>
          <w:i/>
          <w:sz w:val="22"/>
          <w:szCs w:val="22"/>
        </w:rPr>
        <w:t xml:space="preserve">PROSECUTOR: Thank you, Worship, Ms S are you schooling? </w:t>
      </w:r>
      <w:proofErr w:type="gramStart"/>
      <w:r w:rsidRPr="00F8402E">
        <w:rPr>
          <w:i/>
          <w:sz w:val="22"/>
          <w:szCs w:val="22"/>
        </w:rPr>
        <w:t>No</w:t>
      </w:r>
      <w:proofErr w:type="gramEnd"/>
      <w:r w:rsidRPr="00F8402E">
        <w:rPr>
          <w:i/>
          <w:sz w:val="22"/>
          <w:szCs w:val="22"/>
        </w:rPr>
        <w:t xml:space="preserve"> your Worship</w:t>
      </w:r>
    </w:p>
    <w:p w14:paraId="34B735A5" w14:textId="77777777" w:rsidR="00CC487F" w:rsidRPr="00F8402E" w:rsidRDefault="00CC487F" w:rsidP="00F8402E">
      <w:pPr>
        <w:spacing w:line="480" w:lineRule="auto"/>
        <w:ind w:firstLine="720"/>
        <w:jc w:val="both"/>
        <w:rPr>
          <w:i/>
          <w:sz w:val="22"/>
          <w:szCs w:val="22"/>
        </w:rPr>
      </w:pPr>
      <w:r w:rsidRPr="00F8402E">
        <w:rPr>
          <w:i/>
          <w:sz w:val="22"/>
          <w:szCs w:val="22"/>
        </w:rPr>
        <w:t>How old are you: 16 years of age?</w:t>
      </w:r>
    </w:p>
    <w:p w14:paraId="7391CFFB" w14:textId="77777777" w:rsidR="00CC487F" w:rsidRPr="00F8402E" w:rsidRDefault="00CC487F" w:rsidP="00F8402E">
      <w:pPr>
        <w:spacing w:line="480" w:lineRule="auto"/>
        <w:ind w:left="720"/>
        <w:jc w:val="both"/>
        <w:rPr>
          <w:i/>
          <w:sz w:val="22"/>
          <w:szCs w:val="22"/>
        </w:rPr>
      </w:pPr>
      <w:r w:rsidRPr="00F8402E">
        <w:rPr>
          <w:i/>
          <w:sz w:val="22"/>
          <w:szCs w:val="22"/>
        </w:rPr>
        <w:t xml:space="preserve">COURT: Mr </w:t>
      </w:r>
      <w:proofErr w:type="spellStart"/>
      <w:r w:rsidRPr="00F8402E">
        <w:rPr>
          <w:i/>
          <w:sz w:val="22"/>
          <w:szCs w:val="22"/>
        </w:rPr>
        <w:t>Khaketla</w:t>
      </w:r>
      <w:proofErr w:type="spellEnd"/>
      <w:r w:rsidRPr="00F8402E">
        <w:rPr>
          <w:i/>
          <w:sz w:val="22"/>
          <w:szCs w:val="22"/>
        </w:rPr>
        <w:t xml:space="preserve"> just before we </w:t>
      </w:r>
      <w:r w:rsidR="006B68BD" w:rsidRPr="00F8402E">
        <w:rPr>
          <w:i/>
          <w:sz w:val="22"/>
          <w:szCs w:val="22"/>
        </w:rPr>
        <w:t>proceed,</w:t>
      </w:r>
      <w:r w:rsidR="00921A75" w:rsidRPr="00F8402E">
        <w:rPr>
          <w:i/>
          <w:sz w:val="22"/>
          <w:szCs w:val="22"/>
        </w:rPr>
        <w:t xml:space="preserve"> they stay at- she is still a</w:t>
      </w:r>
      <w:r w:rsidR="006B68BD" w:rsidRPr="00F8402E">
        <w:rPr>
          <w:i/>
          <w:sz w:val="22"/>
          <w:szCs w:val="22"/>
        </w:rPr>
        <w:t xml:space="preserve"> </w:t>
      </w:r>
      <w:r w:rsidR="00921A75" w:rsidRPr="00F8402E">
        <w:rPr>
          <w:i/>
          <w:sz w:val="22"/>
          <w:szCs w:val="22"/>
        </w:rPr>
        <w:t>minor, do you want her to testify in open court or are we going to have his evidence taken in camera?</w:t>
      </w:r>
    </w:p>
    <w:p w14:paraId="3BE4D69B" w14:textId="77777777" w:rsidR="00921A75" w:rsidRPr="00F8402E" w:rsidRDefault="00921A75" w:rsidP="00F8402E">
      <w:pPr>
        <w:spacing w:line="480" w:lineRule="auto"/>
        <w:ind w:left="720"/>
        <w:jc w:val="both"/>
        <w:rPr>
          <w:i/>
          <w:sz w:val="22"/>
          <w:szCs w:val="22"/>
        </w:rPr>
      </w:pPr>
      <w:r w:rsidRPr="00F8402E">
        <w:rPr>
          <w:i/>
          <w:sz w:val="22"/>
          <w:szCs w:val="22"/>
        </w:rPr>
        <w:t xml:space="preserve">PROSECUTOR: Your Worship that is </w:t>
      </w:r>
      <w:r w:rsidR="006B68BD" w:rsidRPr="00F8402E">
        <w:rPr>
          <w:i/>
          <w:sz w:val="22"/>
          <w:szCs w:val="22"/>
        </w:rPr>
        <w:t>precisely</w:t>
      </w:r>
      <w:r w:rsidRPr="00F8402E">
        <w:rPr>
          <w:i/>
          <w:sz w:val="22"/>
          <w:szCs w:val="22"/>
        </w:rPr>
        <w:t xml:space="preserve"> the case, when I consulted with her she was fairly well in consulting but there were stages where I felt, but because Your Worship I thought she would be confident</w:t>
      </w:r>
      <w:proofErr w:type="gramStart"/>
      <w:r w:rsidRPr="00F8402E">
        <w:rPr>
          <w:i/>
          <w:sz w:val="22"/>
          <w:szCs w:val="22"/>
        </w:rPr>
        <w:t>….(</w:t>
      </w:r>
      <w:proofErr w:type="gramEnd"/>
      <w:r w:rsidRPr="00F8402E">
        <w:rPr>
          <w:i/>
          <w:sz w:val="22"/>
          <w:szCs w:val="22"/>
        </w:rPr>
        <w:t>intervention)</w:t>
      </w:r>
    </w:p>
    <w:p w14:paraId="5509CD0D" w14:textId="77777777" w:rsidR="00921A75" w:rsidRPr="00F8402E" w:rsidRDefault="00921A75" w:rsidP="00F8402E">
      <w:pPr>
        <w:spacing w:line="480" w:lineRule="auto"/>
        <w:ind w:left="720"/>
        <w:jc w:val="both"/>
        <w:rPr>
          <w:i/>
          <w:sz w:val="22"/>
          <w:szCs w:val="22"/>
        </w:rPr>
      </w:pPr>
      <w:r w:rsidRPr="00F8402E">
        <w:rPr>
          <w:i/>
          <w:sz w:val="22"/>
          <w:szCs w:val="22"/>
        </w:rPr>
        <w:t xml:space="preserve">COURT: </w:t>
      </w:r>
      <w:r w:rsidRPr="00F8402E">
        <w:rPr>
          <w:i/>
          <w:sz w:val="22"/>
          <w:szCs w:val="22"/>
          <w:u w:val="single"/>
        </w:rPr>
        <w:t>But that has got nothing to do with the fact that she is still a minor</w:t>
      </w:r>
      <w:r w:rsidR="000A1A90" w:rsidRPr="00F8402E">
        <w:rPr>
          <w:i/>
          <w:sz w:val="22"/>
          <w:szCs w:val="22"/>
          <w:u w:val="single"/>
        </w:rPr>
        <w:t xml:space="preserve"> </w:t>
      </w:r>
      <w:r w:rsidR="000A1A90" w:rsidRPr="00F8402E">
        <w:rPr>
          <w:i/>
          <w:sz w:val="22"/>
          <w:szCs w:val="22"/>
        </w:rPr>
        <w:t>(underlining added)</w:t>
      </w:r>
    </w:p>
    <w:p w14:paraId="740C5645" w14:textId="77777777" w:rsidR="00921A75" w:rsidRPr="00F8402E" w:rsidRDefault="00921A75" w:rsidP="00F8402E">
      <w:pPr>
        <w:spacing w:line="480" w:lineRule="auto"/>
        <w:ind w:firstLine="720"/>
        <w:jc w:val="both"/>
        <w:rPr>
          <w:i/>
          <w:sz w:val="22"/>
          <w:szCs w:val="22"/>
        </w:rPr>
      </w:pPr>
      <w:r w:rsidRPr="00F8402E">
        <w:rPr>
          <w:i/>
          <w:sz w:val="22"/>
          <w:szCs w:val="22"/>
        </w:rPr>
        <w:lastRenderedPageBreak/>
        <w:t>PROSECUTOR: Yes</w:t>
      </w:r>
    </w:p>
    <w:p w14:paraId="18567A26" w14:textId="77777777" w:rsidR="00921A75" w:rsidRPr="00F8402E" w:rsidRDefault="00921A75" w:rsidP="00F8402E">
      <w:pPr>
        <w:spacing w:line="480" w:lineRule="auto"/>
        <w:ind w:left="720"/>
        <w:jc w:val="both"/>
        <w:rPr>
          <w:i/>
          <w:sz w:val="22"/>
          <w:szCs w:val="22"/>
        </w:rPr>
      </w:pPr>
      <w:r w:rsidRPr="00F8402E">
        <w:rPr>
          <w:i/>
          <w:sz w:val="22"/>
          <w:szCs w:val="22"/>
        </w:rPr>
        <w:t>COURT: Does the defence have a problem with the order that her evidence be taken in camera? I will allo</w:t>
      </w:r>
      <w:r w:rsidR="002526C7" w:rsidRPr="00F8402E">
        <w:rPr>
          <w:i/>
          <w:sz w:val="22"/>
          <w:szCs w:val="22"/>
        </w:rPr>
        <w:t>w</w:t>
      </w:r>
      <w:r w:rsidRPr="00F8402E">
        <w:rPr>
          <w:i/>
          <w:sz w:val="22"/>
          <w:szCs w:val="22"/>
        </w:rPr>
        <w:t xml:space="preserve"> her parents if they are present to remain</w:t>
      </w:r>
      <w:r w:rsidR="002526C7" w:rsidRPr="00F8402E">
        <w:rPr>
          <w:i/>
          <w:sz w:val="22"/>
          <w:szCs w:val="22"/>
        </w:rPr>
        <w:t>.</w:t>
      </w:r>
    </w:p>
    <w:p w14:paraId="4898B8A1" w14:textId="77777777" w:rsidR="00921A75" w:rsidRPr="00F8402E" w:rsidRDefault="00921A75" w:rsidP="00F8402E">
      <w:pPr>
        <w:spacing w:line="480" w:lineRule="auto"/>
        <w:ind w:firstLine="720"/>
        <w:jc w:val="both"/>
        <w:rPr>
          <w:i/>
          <w:sz w:val="22"/>
          <w:szCs w:val="22"/>
        </w:rPr>
      </w:pPr>
      <w:r w:rsidRPr="00F8402E">
        <w:rPr>
          <w:i/>
          <w:sz w:val="22"/>
          <w:szCs w:val="22"/>
        </w:rPr>
        <w:t xml:space="preserve">MR GIWU: As </w:t>
      </w:r>
      <w:r w:rsidR="006B68BD" w:rsidRPr="00F8402E">
        <w:rPr>
          <w:i/>
          <w:sz w:val="22"/>
          <w:szCs w:val="22"/>
        </w:rPr>
        <w:t>far as I’</w:t>
      </w:r>
      <w:r w:rsidRPr="00F8402E">
        <w:rPr>
          <w:i/>
          <w:sz w:val="22"/>
          <w:szCs w:val="22"/>
        </w:rPr>
        <w:t xml:space="preserve">m </w:t>
      </w:r>
      <w:proofErr w:type="gramStart"/>
      <w:r w:rsidRPr="00F8402E">
        <w:rPr>
          <w:i/>
          <w:sz w:val="22"/>
          <w:szCs w:val="22"/>
        </w:rPr>
        <w:t>concerned</w:t>
      </w:r>
      <w:proofErr w:type="gramEnd"/>
      <w:r w:rsidRPr="00F8402E">
        <w:rPr>
          <w:i/>
          <w:sz w:val="22"/>
          <w:szCs w:val="22"/>
        </w:rPr>
        <w:t xml:space="preserve"> I think it is a court’s decision, it is mandatory</w:t>
      </w:r>
    </w:p>
    <w:p w14:paraId="25EFD481" w14:textId="77777777" w:rsidR="00921A75" w:rsidRPr="00F8402E" w:rsidRDefault="00921A75" w:rsidP="00F8402E">
      <w:pPr>
        <w:spacing w:line="480" w:lineRule="auto"/>
        <w:ind w:left="720"/>
        <w:jc w:val="both"/>
        <w:rPr>
          <w:sz w:val="22"/>
          <w:szCs w:val="22"/>
        </w:rPr>
      </w:pPr>
      <w:r w:rsidRPr="00F8402E">
        <w:rPr>
          <w:i/>
          <w:sz w:val="22"/>
          <w:szCs w:val="22"/>
        </w:rPr>
        <w:t>……</w:t>
      </w:r>
      <w:proofErr w:type="gramStart"/>
      <w:r w:rsidRPr="00F8402E">
        <w:rPr>
          <w:i/>
          <w:sz w:val="22"/>
          <w:szCs w:val="22"/>
        </w:rPr>
        <w:t>….Because</w:t>
      </w:r>
      <w:proofErr w:type="gramEnd"/>
      <w:r w:rsidRPr="00F8402E">
        <w:rPr>
          <w:i/>
          <w:sz w:val="22"/>
          <w:szCs w:val="22"/>
        </w:rPr>
        <w:t xml:space="preserve"> I do not know whether there is a birth certificate for her because according to my statement at the time she was</w:t>
      </w:r>
      <w:r w:rsidRPr="00F8402E">
        <w:rPr>
          <w:sz w:val="22"/>
          <w:szCs w:val="22"/>
        </w:rPr>
        <w:t xml:space="preserve"> </w:t>
      </w:r>
      <w:r w:rsidRPr="00F8402E">
        <w:rPr>
          <w:i/>
          <w:sz w:val="22"/>
          <w:szCs w:val="22"/>
        </w:rPr>
        <w:t>15.</w:t>
      </w:r>
      <w:r w:rsidR="00BE0063">
        <w:rPr>
          <w:i/>
          <w:sz w:val="22"/>
          <w:szCs w:val="22"/>
        </w:rPr>
        <w:t>”</w:t>
      </w:r>
    </w:p>
    <w:p w14:paraId="7CB80E6F" w14:textId="77777777" w:rsidR="00921A75" w:rsidRDefault="00921A75" w:rsidP="00F8402E">
      <w:pPr>
        <w:spacing w:line="480" w:lineRule="auto"/>
        <w:jc w:val="both"/>
      </w:pPr>
    </w:p>
    <w:p w14:paraId="3C0EB3A8" w14:textId="77777777" w:rsidR="00034B72" w:rsidRDefault="00263194" w:rsidP="00F8402E">
      <w:pPr>
        <w:spacing w:line="480" w:lineRule="auto"/>
        <w:jc w:val="both"/>
      </w:pPr>
      <w:r>
        <w:t>[31</w:t>
      </w:r>
      <w:r w:rsidR="00921A75">
        <w:t>]</w:t>
      </w:r>
      <w:r w:rsidR="00BE0063">
        <w:tab/>
      </w:r>
      <w:r w:rsidR="00BD2F93">
        <w:t>After the swearing</w:t>
      </w:r>
      <w:r w:rsidR="00BE0063">
        <w:t>-in</w:t>
      </w:r>
      <w:r w:rsidR="00BD2F93">
        <w:t xml:space="preserve"> process was conducted by the interpreter, the court </w:t>
      </w:r>
      <w:r w:rsidR="00BE0063">
        <w:t xml:space="preserve">at </w:t>
      </w:r>
      <w:r w:rsidR="002526C7">
        <w:t>page 15, paragraph 20</w:t>
      </w:r>
      <w:r w:rsidR="00BD2F93">
        <w:t xml:space="preserve"> of the original record </w:t>
      </w:r>
      <w:r w:rsidR="006B68BD">
        <w:t xml:space="preserve">went on to establish </w:t>
      </w:r>
      <w:proofErr w:type="gramStart"/>
      <w:r w:rsidR="00A41354">
        <w:t>NS</w:t>
      </w:r>
      <w:r w:rsidR="007E41E4">
        <w:t>[</w:t>
      </w:r>
      <w:proofErr w:type="gramEnd"/>
      <w:r w:rsidR="007E41E4">
        <w:t>…]</w:t>
      </w:r>
      <w:r w:rsidR="006B68BD">
        <w:t>’s</w:t>
      </w:r>
      <w:r w:rsidR="00921A75">
        <w:t xml:space="preserve"> age. </w:t>
      </w:r>
      <w:proofErr w:type="gramStart"/>
      <w:r w:rsidR="00A41354">
        <w:t>NS</w:t>
      </w:r>
      <w:r w:rsidR="007E41E4">
        <w:t>[</w:t>
      </w:r>
      <w:proofErr w:type="gramEnd"/>
      <w:r w:rsidR="007E41E4">
        <w:t>…]</w:t>
      </w:r>
      <w:r w:rsidR="00921A75">
        <w:t xml:space="preserve"> indicated th</w:t>
      </w:r>
      <w:r w:rsidR="00E9440C">
        <w:t>at she was born in 1999 but did</w:t>
      </w:r>
      <w:r w:rsidR="00921A75">
        <w:t xml:space="preserve"> not know her date of birth.</w:t>
      </w:r>
      <w:r w:rsidR="006B68BD" w:rsidRPr="006B68BD">
        <w:t xml:space="preserve"> </w:t>
      </w:r>
      <w:r w:rsidR="006B68BD">
        <w:t>The public prosecutor informed the court that the birth certificate was unavailable.</w:t>
      </w:r>
      <w:r w:rsidR="00034B72" w:rsidRPr="00034B72">
        <w:t xml:space="preserve"> </w:t>
      </w:r>
      <w:r w:rsidR="00034B72">
        <w:t xml:space="preserve">From the onset, </w:t>
      </w:r>
      <w:proofErr w:type="gramStart"/>
      <w:r w:rsidR="00A41354">
        <w:t>NS</w:t>
      </w:r>
      <w:r w:rsidR="00042E88">
        <w:t>[</w:t>
      </w:r>
      <w:proofErr w:type="gramEnd"/>
      <w:r w:rsidR="00042E88">
        <w:t>…]</w:t>
      </w:r>
      <w:r w:rsidR="00034B72">
        <w:t xml:space="preserve"> placed it on record that she never went to school to receive formal education and she could neither read nor write.  </w:t>
      </w:r>
      <w:r w:rsidR="00921A75">
        <w:t xml:space="preserve"> T</w:t>
      </w:r>
      <w:r w:rsidR="006B68BD">
        <w:t>he court</w:t>
      </w:r>
      <w:r w:rsidR="00921A75">
        <w:t xml:space="preserve"> estimated</w:t>
      </w:r>
      <w:r w:rsidR="006B68BD">
        <w:t xml:space="preserve"> </w:t>
      </w:r>
      <w:r w:rsidR="00921A75">
        <w:t xml:space="preserve">her age to </w:t>
      </w:r>
      <w:r w:rsidR="00526A80">
        <w:t xml:space="preserve">have </w:t>
      </w:r>
      <w:r w:rsidR="00921A75">
        <w:t>be</w:t>
      </w:r>
      <w:r w:rsidR="00526A80">
        <w:t>en</w:t>
      </w:r>
      <w:r w:rsidR="002526C7">
        <w:t xml:space="preserve"> around</w:t>
      </w:r>
      <w:r w:rsidR="00921A75">
        <w:t xml:space="preserve"> 13 or 14 years at the time of the alleged incident. </w:t>
      </w:r>
    </w:p>
    <w:p w14:paraId="1B0F0D46" w14:textId="77777777" w:rsidR="00034B72" w:rsidRDefault="00034B72" w:rsidP="00F8402E">
      <w:pPr>
        <w:spacing w:line="480" w:lineRule="auto"/>
        <w:jc w:val="both"/>
      </w:pPr>
    </w:p>
    <w:p w14:paraId="2B7CF6B8" w14:textId="77777777" w:rsidR="00034B72" w:rsidRDefault="00F17852" w:rsidP="00F8402E">
      <w:pPr>
        <w:spacing w:line="480" w:lineRule="auto"/>
        <w:jc w:val="both"/>
      </w:pPr>
      <w:r>
        <w:t>[32</w:t>
      </w:r>
      <w:r w:rsidR="00034B72">
        <w:t>]</w:t>
      </w:r>
      <w:r w:rsidR="00BE0063">
        <w:tab/>
      </w:r>
      <w:r w:rsidR="00616511">
        <w:t>Gleaning from the record,</w:t>
      </w:r>
      <w:r w:rsidR="00616511" w:rsidRPr="00616511">
        <w:t xml:space="preserve"> </w:t>
      </w:r>
      <w:r w:rsidR="00616511">
        <w:t xml:space="preserve">the proposition by counsel for the state that the court was satisfied that </w:t>
      </w:r>
      <w:proofErr w:type="gramStart"/>
      <w:r w:rsidR="00616511">
        <w:t>NS</w:t>
      </w:r>
      <w:r w:rsidR="00783C1C">
        <w:t>[</w:t>
      </w:r>
      <w:proofErr w:type="gramEnd"/>
      <w:r w:rsidR="00783C1C">
        <w:t>…]</w:t>
      </w:r>
      <w:r w:rsidR="00616511">
        <w:t xml:space="preserve"> understood what it means </w:t>
      </w:r>
      <w:r w:rsidR="00BE0063">
        <w:rPr>
          <w:i/>
        </w:rPr>
        <w:t>“</w:t>
      </w:r>
      <w:r w:rsidR="00616511" w:rsidRPr="00616511">
        <w:rPr>
          <w:i/>
        </w:rPr>
        <w:t>to tell the truth, the whole truth and nothing but the truth</w:t>
      </w:r>
      <w:r w:rsidR="00BE0063">
        <w:rPr>
          <w:i/>
        </w:rPr>
        <w:t>”</w:t>
      </w:r>
      <w:r w:rsidR="00616511" w:rsidRPr="00616511">
        <w:rPr>
          <w:i/>
        </w:rPr>
        <w:t xml:space="preserve"> </w:t>
      </w:r>
      <w:r w:rsidR="00616511">
        <w:t xml:space="preserve">is not substantiated.  The proceedings were adjourned on more than one occasion and </w:t>
      </w:r>
      <w:proofErr w:type="gramStart"/>
      <w:r w:rsidR="00616511">
        <w:t>NS</w:t>
      </w:r>
      <w:r w:rsidR="00783C1C">
        <w:t>[</w:t>
      </w:r>
      <w:proofErr w:type="gramEnd"/>
      <w:r w:rsidR="00783C1C">
        <w:t>…]</w:t>
      </w:r>
      <w:r w:rsidR="00616511">
        <w:t xml:space="preserve"> was reminded to abide by the oath that she took earlier</w:t>
      </w:r>
      <w:r w:rsidR="00BD2F93">
        <w:t xml:space="preserve"> through the interpreter</w:t>
      </w:r>
      <w:r w:rsidR="00616511">
        <w:t xml:space="preserve">. </w:t>
      </w:r>
      <w:r w:rsidR="00042069">
        <w:t>Nowhere in the record does it reflect that the</w:t>
      </w:r>
      <w:r w:rsidR="007E41E4">
        <w:t xml:space="preserve"> trial court embarked on neither of the </w:t>
      </w:r>
      <w:proofErr w:type="spellStart"/>
      <w:r w:rsidR="007E41E4">
        <w:t>enquries</w:t>
      </w:r>
      <w:proofErr w:type="spellEnd"/>
      <w:r w:rsidR="007E41E4">
        <w:t xml:space="preserve"> under ss162 and 164 of the CPA.</w:t>
      </w:r>
      <w:r w:rsidR="00616511">
        <w:t xml:space="preserve"> </w:t>
      </w:r>
      <w:r w:rsidR="00A74153">
        <w:t>The contention</w:t>
      </w:r>
      <w:r w:rsidR="003955E6">
        <w:t xml:space="preserve"> </w:t>
      </w:r>
      <w:proofErr w:type="gramStart"/>
      <w:r w:rsidR="003955E6">
        <w:t xml:space="preserve">that </w:t>
      </w:r>
      <w:r w:rsidR="00A40CB2">
        <w:t xml:space="preserve"> NS</w:t>
      </w:r>
      <w:proofErr w:type="gramEnd"/>
      <w:r w:rsidR="00783C1C">
        <w:t>[…]</w:t>
      </w:r>
      <w:r w:rsidR="00034B72">
        <w:t xml:space="preserve"> gave evidence </w:t>
      </w:r>
      <w:r w:rsidR="00BE0063">
        <w:t>clearly and coherently</w:t>
      </w:r>
      <w:r w:rsidR="00BD2F93">
        <w:t xml:space="preserve"> has no bearing on the issues raised.</w:t>
      </w:r>
    </w:p>
    <w:p w14:paraId="7411C4D6" w14:textId="77777777" w:rsidR="00034B72" w:rsidRDefault="00034B72" w:rsidP="00F8402E">
      <w:pPr>
        <w:spacing w:line="480" w:lineRule="auto"/>
        <w:jc w:val="both"/>
      </w:pPr>
    </w:p>
    <w:p w14:paraId="68B93755" w14:textId="77777777" w:rsidR="006B68BD" w:rsidRDefault="00F17852" w:rsidP="00F8402E">
      <w:pPr>
        <w:spacing w:line="480" w:lineRule="auto"/>
        <w:jc w:val="both"/>
      </w:pPr>
      <w:r>
        <w:t>[33</w:t>
      </w:r>
      <w:r w:rsidR="00034B72">
        <w:t>]</w:t>
      </w:r>
      <w:r w:rsidR="00BE0063">
        <w:tab/>
      </w:r>
      <w:r w:rsidR="00034B72">
        <w:t xml:space="preserve">The </w:t>
      </w:r>
      <w:r w:rsidR="007C1C04">
        <w:t xml:space="preserve">court </w:t>
      </w:r>
      <w:r w:rsidR="00034B72">
        <w:t>record reflects</w:t>
      </w:r>
      <w:r w:rsidR="00800E23">
        <w:t xml:space="preserve"> the trial court’s acknowledg</w:t>
      </w:r>
      <w:r w:rsidR="00BE0063">
        <w:t>e</w:t>
      </w:r>
      <w:r w:rsidR="00800E23">
        <w:t xml:space="preserve">ment </w:t>
      </w:r>
      <w:r w:rsidR="00E9440C">
        <w:t xml:space="preserve">of </w:t>
      </w:r>
      <w:proofErr w:type="gramStart"/>
      <w:r w:rsidR="00A41354">
        <w:t>NS</w:t>
      </w:r>
      <w:r w:rsidR="00783C1C">
        <w:t>[</w:t>
      </w:r>
      <w:proofErr w:type="gramEnd"/>
      <w:r w:rsidR="00783C1C">
        <w:t>…]</w:t>
      </w:r>
      <w:r w:rsidR="00800E23">
        <w:t>’s youthfulness and ignorance</w:t>
      </w:r>
      <w:r w:rsidR="00034B72">
        <w:t>.</w:t>
      </w:r>
      <w:r w:rsidR="00800E23">
        <w:t xml:space="preserve"> </w:t>
      </w:r>
      <w:r w:rsidR="006B68BD">
        <w:t>This notwithstandi</w:t>
      </w:r>
      <w:r w:rsidR="00800E23">
        <w:t>ng, the trial court</w:t>
      </w:r>
      <w:r w:rsidR="006B68BD">
        <w:t xml:space="preserve"> failed to comply with </w:t>
      </w:r>
      <w:r w:rsidR="006B68BD">
        <w:lastRenderedPageBreak/>
        <w:t xml:space="preserve">the statutory and evidential requirements governing a proper assessment of </w:t>
      </w:r>
      <w:proofErr w:type="gramStart"/>
      <w:r w:rsidR="00A41354">
        <w:t>NS</w:t>
      </w:r>
      <w:r w:rsidR="007E41E4">
        <w:t>[</w:t>
      </w:r>
      <w:proofErr w:type="gramEnd"/>
      <w:r w:rsidR="007E41E4">
        <w:t>…]</w:t>
      </w:r>
      <w:r w:rsidR="0033302C">
        <w:t xml:space="preserve">’s </w:t>
      </w:r>
      <w:r w:rsidR="00BD2F93">
        <w:t xml:space="preserve">capability </w:t>
      </w:r>
      <w:r w:rsidR="006B68BD">
        <w:t>who appeared from the beginning of the proceedings that she</w:t>
      </w:r>
      <w:r w:rsidR="00800E23">
        <w:t xml:space="preserve"> was a minor, had</w:t>
      </w:r>
      <w:r w:rsidR="006B68BD">
        <w:t xml:space="preserve"> acquired no formal education and may not understand the nature and import of an oath.</w:t>
      </w:r>
      <w:r w:rsidR="002526C7">
        <w:t xml:space="preserve"> </w:t>
      </w:r>
    </w:p>
    <w:p w14:paraId="248C9FCE" w14:textId="77777777" w:rsidR="00C95B88" w:rsidRDefault="00C95B88" w:rsidP="00F8402E">
      <w:pPr>
        <w:spacing w:line="480" w:lineRule="auto"/>
        <w:jc w:val="both"/>
      </w:pPr>
    </w:p>
    <w:p w14:paraId="41DB7934" w14:textId="77777777" w:rsidR="00A75B2C" w:rsidRDefault="00034B72" w:rsidP="00F8402E">
      <w:pPr>
        <w:spacing w:line="480" w:lineRule="auto"/>
        <w:jc w:val="both"/>
      </w:pPr>
      <w:r>
        <w:t>[</w:t>
      </w:r>
      <w:r w:rsidR="00F17852">
        <w:t>34</w:t>
      </w:r>
      <w:r w:rsidR="00382AFD">
        <w:t>]</w:t>
      </w:r>
      <w:r w:rsidR="00BE0063">
        <w:tab/>
      </w:r>
      <w:r w:rsidR="00BD2F93">
        <w:t>In essence, t</w:t>
      </w:r>
      <w:r w:rsidR="002526C7">
        <w:t xml:space="preserve">he </w:t>
      </w:r>
      <w:r w:rsidR="00BD2F93">
        <w:t>trial court’s</w:t>
      </w:r>
      <w:r w:rsidR="00C95B88">
        <w:t xml:space="preserve"> assumption that the minor </w:t>
      </w:r>
      <w:r w:rsidR="00382AFD">
        <w:t>child,</w:t>
      </w:r>
      <w:r w:rsidR="003955E6">
        <w:t xml:space="preserve"> who was </w:t>
      </w:r>
      <w:proofErr w:type="spellStart"/>
      <w:r w:rsidR="003955E6">
        <w:t>illeterate</w:t>
      </w:r>
      <w:proofErr w:type="spellEnd"/>
      <w:r w:rsidR="00C95B88">
        <w:t>, understood the nature and import of the oath was a serious misdirection on her part.</w:t>
      </w:r>
      <w:r w:rsidR="00A75B2C" w:rsidRPr="00A75B2C">
        <w:t xml:space="preserve"> </w:t>
      </w:r>
      <w:r w:rsidR="00A75B2C">
        <w:t xml:space="preserve">The fact that a similar approach was followed when </w:t>
      </w:r>
      <w:proofErr w:type="gramStart"/>
      <w:r w:rsidR="00A75B2C">
        <w:t>ZM</w:t>
      </w:r>
      <w:r w:rsidR="007E41E4">
        <w:t>[</w:t>
      </w:r>
      <w:proofErr w:type="gramEnd"/>
      <w:r w:rsidR="007E41E4">
        <w:t>…]</w:t>
      </w:r>
      <w:r w:rsidR="00A75B2C">
        <w:t xml:space="preserve">’s evidence was </w:t>
      </w:r>
      <w:r w:rsidR="00BD50A4">
        <w:t>obtained is</w:t>
      </w:r>
      <w:r w:rsidR="00A75B2C">
        <w:t xml:space="preserve"> unfortunate.</w:t>
      </w:r>
      <w:r w:rsidR="00C8013B">
        <w:t xml:space="preserve"> </w:t>
      </w:r>
    </w:p>
    <w:p w14:paraId="1BC591CA" w14:textId="77777777" w:rsidR="00933D1D" w:rsidRDefault="00933D1D" w:rsidP="00F8402E">
      <w:pPr>
        <w:spacing w:line="480" w:lineRule="auto"/>
        <w:jc w:val="both"/>
      </w:pPr>
    </w:p>
    <w:p w14:paraId="0576BA51" w14:textId="77777777" w:rsidR="00C8013B" w:rsidRDefault="00F17852" w:rsidP="00F8402E">
      <w:pPr>
        <w:spacing w:line="480" w:lineRule="auto"/>
        <w:jc w:val="both"/>
      </w:pPr>
      <w:r>
        <w:t>[35</w:t>
      </w:r>
      <w:r w:rsidR="00C8013B">
        <w:t>]</w:t>
      </w:r>
      <w:r w:rsidR="00BE0063">
        <w:tab/>
      </w:r>
      <w:r w:rsidR="00C8013B">
        <w:t xml:space="preserve">Following </w:t>
      </w:r>
      <w:proofErr w:type="spellStart"/>
      <w:r w:rsidR="00C8013B">
        <w:t>Tshiva’s</w:t>
      </w:r>
      <w:proofErr w:type="spellEnd"/>
      <w:r w:rsidR="00C8013B">
        <w:rPr>
          <w:rStyle w:val="FootnoteReference"/>
        </w:rPr>
        <w:footnoteReference w:id="14"/>
      </w:r>
      <w:r w:rsidR="00BD2F93">
        <w:t xml:space="preserve"> ma</w:t>
      </w:r>
      <w:r w:rsidR="00F21FB3">
        <w:t xml:space="preserve">tter, the testimonies of both </w:t>
      </w:r>
      <w:proofErr w:type="gramStart"/>
      <w:r w:rsidR="00F21FB3">
        <w:t>NS[</w:t>
      </w:r>
      <w:proofErr w:type="gramEnd"/>
      <w:r w:rsidR="00F21FB3">
        <w:t>…]</w:t>
      </w:r>
      <w:r w:rsidR="00BD2F93">
        <w:t xml:space="preserve"> and ZM</w:t>
      </w:r>
      <w:r w:rsidR="00F21FB3">
        <w:t xml:space="preserve">[…] </w:t>
      </w:r>
      <w:r w:rsidR="00BD2F93">
        <w:t>lack</w:t>
      </w:r>
      <w:r w:rsidR="00526A80">
        <w:t>ed</w:t>
      </w:r>
      <w:r w:rsidR="00C8013B">
        <w:t xml:space="preserve"> the charact</w:t>
      </w:r>
      <w:r w:rsidR="00BD2F93">
        <w:t xml:space="preserve">er and status of evidence and </w:t>
      </w:r>
      <w:r w:rsidR="00526A80">
        <w:t>should have</w:t>
      </w:r>
      <w:r w:rsidR="00C8013B">
        <w:t xml:space="preserve"> accordingly</w:t>
      </w:r>
      <w:r w:rsidR="00526A80">
        <w:t xml:space="preserve"> been</w:t>
      </w:r>
      <w:r w:rsidR="00C8013B">
        <w:t xml:space="preserve"> ruled inadmissible.</w:t>
      </w:r>
    </w:p>
    <w:p w14:paraId="36D6774A" w14:textId="77777777" w:rsidR="00C8013B" w:rsidRDefault="00C8013B" w:rsidP="00F8402E">
      <w:pPr>
        <w:spacing w:line="480" w:lineRule="auto"/>
        <w:jc w:val="both"/>
      </w:pPr>
    </w:p>
    <w:p w14:paraId="5CAB1EC2" w14:textId="77777777" w:rsidR="00720496" w:rsidRDefault="00F17852" w:rsidP="00F8402E">
      <w:pPr>
        <w:spacing w:line="480" w:lineRule="auto"/>
        <w:jc w:val="both"/>
      </w:pPr>
      <w:r>
        <w:t>[36</w:t>
      </w:r>
      <w:r w:rsidR="00C8013B">
        <w:t>]</w:t>
      </w:r>
      <w:r w:rsidR="00BE0063">
        <w:tab/>
      </w:r>
      <w:r w:rsidR="00C8013B">
        <w:t>The</w:t>
      </w:r>
      <w:r w:rsidR="00034B72">
        <w:t xml:space="preserve"> question is whether the remainder of </w:t>
      </w:r>
      <w:r w:rsidR="00BE0063">
        <w:t xml:space="preserve">the </w:t>
      </w:r>
      <w:r w:rsidR="00034B72">
        <w:t xml:space="preserve">evidence </w:t>
      </w:r>
      <w:r w:rsidR="00C8013B">
        <w:t xml:space="preserve">supports the conviction of the appellant. The issue is whether the appellant had consensual sexual intercourse with </w:t>
      </w:r>
      <w:proofErr w:type="gramStart"/>
      <w:r w:rsidR="00A41354">
        <w:t>NS</w:t>
      </w:r>
      <w:r w:rsidR="00B268AC">
        <w:t>[</w:t>
      </w:r>
      <w:proofErr w:type="gramEnd"/>
      <w:r w:rsidR="00B268AC">
        <w:t>…]</w:t>
      </w:r>
      <w:r w:rsidR="00C8013B">
        <w:t xml:space="preserve">. </w:t>
      </w:r>
      <w:r w:rsidR="00933D1D">
        <w:t xml:space="preserve">Section 58 of </w:t>
      </w:r>
      <w:r w:rsidR="00BE0063">
        <w:t xml:space="preserve">the </w:t>
      </w:r>
      <w:r w:rsidR="00933D1D">
        <w:t xml:space="preserve">Criminal </w:t>
      </w:r>
      <w:r w:rsidR="00BE0063">
        <w:t xml:space="preserve">Law </w:t>
      </w:r>
      <w:r w:rsidR="00933D1D">
        <w:t xml:space="preserve">Sexual </w:t>
      </w:r>
      <w:r w:rsidR="00BE0063">
        <w:t xml:space="preserve">Offences </w:t>
      </w:r>
      <w:r w:rsidR="00933D1D">
        <w:t xml:space="preserve">and Related </w:t>
      </w:r>
      <w:r w:rsidR="00BE0063">
        <w:t xml:space="preserve">Matters </w:t>
      </w:r>
      <w:r w:rsidR="00933D1D">
        <w:t>Amendment Act</w:t>
      </w:r>
      <w:r w:rsidR="00933D1D">
        <w:rPr>
          <w:rStyle w:val="FootnoteReference"/>
        </w:rPr>
        <w:footnoteReference w:id="15"/>
      </w:r>
      <w:r w:rsidR="00933D1D">
        <w:t xml:space="preserve"> provides that</w:t>
      </w:r>
      <w:r w:rsidR="00C8013B">
        <w:t xml:space="preserve"> evidence relating to previous consistent statements by a complainant shall be admissible in criminal proceedings involving the alleged commission of sexual offence</w:t>
      </w:r>
      <w:r w:rsidR="00933D1D">
        <w:t>, provided that the court may not draw any inference only from the absence of such previous consistent statement.</w:t>
      </w:r>
    </w:p>
    <w:p w14:paraId="2BC7E041" w14:textId="77777777" w:rsidR="00933D1D" w:rsidRDefault="00933D1D" w:rsidP="00F8402E">
      <w:pPr>
        <w:spacing w:line="480" w:lineRule="auto"/>
        <w:jc w:val="both"/>
      </w:pPr>
    </w:p>
    <w:p w14:paraId="2DF2E70B" w14:textId="77777777" w:rsidR="00933D1D" w:rsidRDefault="00F17852" w:rsidP="00F8402E">
      <w:pPr>
        <w:spacing w:line="480" w:lineRule="auto"/>
        <w:jc w:val="both"/>
      </w:pPr>
      <w:r>
        <w:t>[37</w:t>
      </w:r>
      <w:r w:rsidR="00933D1D">
        <w:t>]</w:t>
      </w:r>
      <w:r w:rsidR="00BE0063">
        <w:tab/>
      </w:r>
      <w:proofErr w:type="gramStart"/>
      <w:r w:rsidR="00933D1D">
        <w:t>N</w:t>
      </w:r>
      <w:r w:rsidR="00A41354">
        <w:t>S</w:t>
      </w:r>
      <w:r w:rsidR="007E41E4">
        <w:t>[</w:t>
      </w:r>
      <w:proofErr w:type="gramEnd"/>
      <w:r w:rsidR="007E41E4">
        <w:t>…]</w:t>
      </w:r>
      <w:r w:rsidR="00933D1D">
        <w:t xml:space="preserve"> informed her aunt</w:t>
      </w:r>
      <w:r w:rsidR="003B2874">
        <w:t xml:space="preserve"> about the rape incident</w:t>
      </w:r>
      <w:r w:rsidR="00933D1D">
        <w:t xml:space="preserve"> at </w:t>
      </w:r>
      <w:r w:rsidR="00BE0063">
        <w:t xml:space="preserve">the </w:t>
      </w:r>
      <w:r w:rsidR="00933D1D">
        <w:t>very f</w:t>
      </w:r>
      <w:r w:rsidR="003B2874">
        <w:t>irst reasonable opportunity.</w:t>
      </w:r>
      <w:r w:rsidR="00933D1D">
        <w:t xml:space="preserve"> She appeared to be terrified by the incident at the time of her reporting. </w:t>
      </w:r>
      <w:r w:rsidR="00933D1D">
        <w:lastRenderedPageBreak/>
        <w:t xml:space="preserve">Her statement would have constituted a previous consistent statement, had the evidence of </w:t>
      </w:r>
      <w:proofErr w:type="gramStart"/>
      <w:r w:rsidR="00A41354">
        <w:t>NS</w:t>
      </w:r>
      <w:r w:rsidR="007E41E4">
        <w:t>[</w:t>
      </w:r>
      <w:proofErr w:type="gramEnd"/>
      <w:r w:rsidR="007E41E4">
        <w:t>…]</w:t>
      </w:r>
      <w:r w:rsidR="00A41354">
        <w:t xml:space="preserve"> been</w:t>
      </w:r>
      <w:r w:rsidR="00933D1D">
        <w:t xml:space="preserve"> admitted. In the absence of evidence of </w:t>
      </w:r>
      <w:proofErr w:type="gramStart"/>
      <w:r w:rsidR="00A41354">
        <w:t>NS</w:t>
      </w:r>
      <w:r w:rsidR="007E41E4">
        <w:t>[</w:t>
      </w:r>
      <w:proofErr w:type="gramEnd"/>
      <w:r w:rsidR="007E41E4">
        <w:t>…]</w:t>
      </w:r>
      <w:r w:rsidR="00933D1D">
        <w:t xml:space="preserve">, </w:t>
      </w:r>
      <w:r w:rsidR="00833821">
        <w:t xml:space="preserve">the aunt’s </w:t>
      </w:r>
      <w:r w:rsidR="00933D1D">
        <w:t>evidence carries no probative weight in the proceedings.</w:t>
      </w:r>
      <w:r w:rsidR="00C214F8">
        <w:t xml:space="preserve"> Similarly, the medi</w:t>
      </w:r>
      <w:r w:rsidR="00A41354">
        <w:t xml:space="preserve">cal report </w:t>
      </w:r>
      <w:r w:rsidR="0033302C">
        <w:t>is not substantiated by salient facts.</w:t>
      </w:r>
    </w:p>
    <w:p w14:paraId="5A966B22" w14:textId="77777777" w:rsidR="0065537B" w:rsidRPr="00102857" w:rsidRDefault="0065537B" w:rsidP="00F8402E">
      <w:pPr>
        <w:spacing w:line="480" w:lineRule="auto"/>
        <w:jc w:val="both"/>
        <w:rPr>
          <w:u w:val="single"/>
        </w:rPr>
      </w:pPr>
    </w:p>
    <w:p w14:paraId="5798E4E5" w14:textId="77777777" w:rsidR="0065537B" w:rsidRDefault="00F17852" w:rsidP="00BE0063">
      <w:pPr>
        <w:spacing w:line="480" w:lineRule="auto"/>
        <w:jc w:val="both"/>
      </w:pPr>
      <w:r>
        <w:t>[38</w:t>
      </w:r>
      <w:r w:rsidR="00C36B9F">
        <w:t>]</w:t>
      </w:r>
      <w:r w:rsidR="00BE0063">
        <w:tab/>
      </w:r>
      <w:r w:rsidR="00C36B9F">
        <w:t xml:space="preserve">It would be remiss </w:t>
      </w:r>
      <w:r w:rsidR="0065537B">
        <w:t xml:space="preserve">not </w:t>
      </w:r>
      <w:r w:rsidR="00A74153">
        <w:t xml:space="preserve">to </w:t>
      </w:r>
      <w:r w:rsidR="0065537B">
        <w:t>comment o</w:t>
      </w:r>
      <w:r w:rsidR="004F6B38">
        <w:t>n other issues which drew</w:t>
      </w:r>
      <w:r w:rsidR="0065537B">
        <w:t xml:space="preserve"> our attention in the proceedings of the trial court. It is apparent from the record that both children were not at ease whe</w:t>
      </w:r>
      <w:r w:rsidR="00F3246C">
        <w:t>n they presented their testimonies</w:t>
      </w:r>
      <w:r w:rsidR="0065537B">
        <w:t xml:space="preserve"> in court. </w:t>
      </w:r>
      <w:r w:rsidR="00BE0063">
        <w:t xml:space="preserve">On </w:t>
      </w:r>
      <w:r w:rsidR="004F6B38">
        <w:t>page 63 of the original record, the following is noted:</w:t>
      </w:r>
    </w:p>
    <w:p w14:paraId="1F921476" w14:textId="77777777" w:rsidR="004F6B38" w:rsidRPr="00F8402E" w:rsidRDefault="00BE0063" w:rsidP="00F8402E">
      <w:pPr>
        <w:spacing w:line="480" w:lineRule="auto"/>
        <w:ind w:left="720"/>
        <w:jc w:val="both"/>
        <w:rPr>
          <w:sz w:val="22"/>
          <w:szCs w:val="22"/>
        </w:rPr>
      </w:pPr>
      <w:r w:rsidRPr="00F8402E">
        <w:rPr>
          <w:sz w:val="22"/>
          <w:szCs w:val="22"/>
        </w:rPr>
        <w:t>“</w:t>
      </w:r>
      <w:r w:rsidR="004F6B38" w:rsidRPr="00F8402E">
        <w:rPr>
          <w:sz w:val="22"/>
          <w:szCs w:val="22"/>
        </w:rPr>
        <w:t xml:space="preserve">PROSECUTOR: What exactly did </w:t>
      </w:r>
      <w:proofErr w:type="gramStart"/>
      <w:r w:rsidR="004F6B38" w:rsidRPr="00F8402E">
        <w:rPr>
          <w:sz w:val="22"/>
          <w:szCs w:val="22"/>
        </w:rPr>
        <w:t>accused</w:t>
      </w:r>
      <w:proofErr w:type="gramEnd"/>
      <w:r w:rsidR="004F6B38" w:rsidRPr="00F8402E">
        <w:rPr>
          <w:sz w:val="22"/>
          <w:szCs w:val="22"/>
        </w:rPr>
        <w:t xml:space="preserve"> no 4 do to you? I know what you told us what no1 told him to do, but tell us what he;</w:t>
      </w:r>
      <w:r w:rsidR="00102857" w:rsidRPr="00F8402E">
        <w:rPr>
          <w:sz w:val="22"/>
          <w:szCs w:val="22"/>
        </w:rPr>
        <w:t xml:space="preserve"> </w:t>
      </w:r>
      <w:r w:rsidR="004F6B38" w:rsidRPr="00F8402E">
        <w:rPr>
          <w:sz w:val="22"/>
          <w:szCs w:val="22"/>
        </w:rPr>
        <w:t xml:space="preserve">accused no4 did to </w:t>
      </w:r>
      <w:proofErr w:type="gramStart"/>
      <w:r w:rsidR="004F6B38" w:rsidRPr="00F8402E">
        <w:rPr>
          <w:sz w:val="22"/>
          <w:szCs w:val="22"/>
        </w:rPr>
        <w:t>you?-</w:t>
      </w:r>
      <w:proofErr w:type="gramEnd"/>
      <w:r w:rsidR="004F6B38" w:rsidRPr="00F8402E">
        <w:rPr>
          <w:sz w:val="22"/>
          <w:szCs w:val="22"/>
        </w:rPr>
        <w:t>he took down his zip as well Your Worship and he climbed on top of me.</w:t>
      </w:r>
    </w:p>
    <w:p w14:paraId="4227C297" w14:textId="77777777" w:rsidR="004F6B38" w:rsidRPr="00F8402E" w:rsidRDefault="004F6B38" w:rsidP="00F8402E">
      <w:pPr>
        <w:spacing w:line="480" w:lineRule="auto"/>
        <w:ind w:firstLine="720"/>
        <w:jc w:val="both"/>
        <w:rPr>
          <w:sz w:val="22"/>
          <w:szCs w:val="22"/>
        </w:rPr>
      </w:pPr>
      <w:r w:rsidRPr="00F8402E">
        <w:rPr>
          <w:sz w:val="22"/>
          <w:szCs w:val="22"/>
        </w:rPr>
        <w:t>AND-</w:t>
      </w:r>
      <w:r w:rsidR="00102857" w:rsidRPr="00F8402E">
        <w:rPr>
          <w:sz w:val="22"/>
          <w:szCs w:val="22"/>
        </w:rPr>
        <w:t>? ---</w:t>
      </w:r>
      <w:r w:rsidRPr="00F8402E">
        <w:rPr>
          <w:sz w:val="22"/>
          <w:szCs w:val="22"/>
        </w:rPr>
        <w:t>He then continued Your Worship</w:t>
      </w:r>
    </w:p>
    <w:p w14:paraId="0A60FEE3" w14:textId="77777777" w:rsidR="004F6B38" w:rsidRPr="00F8402E" w:rsidRDefault="004F6B38" w:rsidP="00F8402E">
      <w:pPr>
        <w:spacing w:line="480" w:lineRule="auto"/>
        <w:ind w:firstLine="720"/>
        <w:jc w:val="both"/>
        <w:rPr>
          <w:sz w:val="22"/>
          <w:szCs w:val="22"/>
        </w:rPr>
      </w:pPr>
      <w:r w:rsidRPr="00F8402E">
        <w:rPr>
          <w:sz w:val="22"/>
          <w:szCs w:val="22"/>
        </w:rPr>
        <w:t>To do what?</w:t>
      </w:r>
    </w:p>
    <w:p w14:paraId="461F10BF" w14:textId="77777777" w:rsidR="003B2874" w:rsidRPr="00F8402E" w:rsidRDefault="004F6B38" w:rsidP="00F8402E">
      <w:pPr>
        <w:spacing w:line="480" w:lineRule="auto"/>
        <w:ind w:firstLine="720"/>
        <w:jc w:val="both"/>
        <w:rPr>
          <w:sz w:val="22"/>
          <w:szCs w:val="22"/>
        </w:rPr>
      </w:pPr>
      <w:r w:rsidRPr="00F8402E">
        <w:rPr>
          <w:sz w:val="22"/>
          <w:szCs w:val="22"/>
        </w:rPr>
        <w:t>COURT: Continued with what</w:t>
      </w:r>
      <w:r w:rsidR="00102857" w:rsidRPr="00F8402E">
        <w:rPr>
          <w:sz w:val="22"/>
          <w:szCs w:val="22"/>
        </w:rPr>
        <w:t>? ---</w:t>
      </w:r>
      <w:r w:rsidRPr="00F8402E">
        <w:rPr>
          <w:sz w:val="22"/>
          <w:szCs w:val="22"/>
        </w:rPr>
        <w:t>he did what Asanda did Your Worship.</w:t>
      </w:r>
      <w:r w:rsidR="003B2874" w:rsidRPr="00F8402E">
        <w:rPr>
          <w:sz w:val="22"/>
          <w:szCs w:val="22"/>
        </w:rPr>
        <w:t>’</w:t>
      </w:r>
    </w:p>
    <w:p w14:paraId="30D257C3" w14:textId="77777777" w:rsidR="003B2874" w:rsidRPr="00F8402E" w:rsidRDefault="003B2874" w:rsidP="00F8402E">
      <w:pPr>
        <w:spacing w:line="480" w:lineRule="auto"/>
        <w:jc w:val="both"/>
        <w:rPr>
          <w:sz w:val="22"/>
          <w:szCs w:val="22"/>
        </w:rPr>
      </w:pPr>
    </w:p>
    <w:p w14:paraId="107DAEA8" w14:textId="77777777" w:rsidR="004F6B38" w:rsidRPr="00F8402E" w:rsidRDefault="004F6B38" w:rsidP="00F8402E">
      <w:pPr>
        <w:spacing w:line="480" w:lineRule="auto"/>
        <w:ind w:left="720" w:firstLine="72"/>
        <w:jc w:val="both"/>
        <w:rPr>
          <w:sz w:val="22"/>
          <w:szCs w:val="22"/>
        </w:rPr>
      </w:pPr>
      <w:r w:rsidRPr="00F8402E">
        <w:rPr>
          <w:sz w:val="22"/>
          <w:szCs w:val="22"/>
        </w:rPr>
        <w:t xml:space="preserve">At this moment the court said: ‘Tell us what he did Madam. My darling </w:t>
      </w:r>
      <w:proofErr w:type="gramStart"/>
      <w:r w:rsidRPr="00F8402E">
        <w:rPr>
          <w:sz w:val="22"/>
          <w:szCs w:val="22"/>
        </w:rPr>
        <w:t>do</w:t>
      </w:r>
      <w:proofErr w:type="gramEnd"/>
      <w:r w:rsidRPr="00F8402E">
        <w:rPr>
          <w:sz w:val="22"/>
          <w:szCs w:val="22"/>
        </w:rPr>
        <w:t xml:space="preserve"> not be scared, do not be afraid, we are all known to it, we are all adults here</w:t>
      </w:r>
      <w:r w:rsidR="00BE0063" w:rsidRPr="00F8402E">
        <w:rPr>
          <w:sz w:val="22"/>
          <w:szCs w:val="22"/>
        </w:rPr>
        <w:t>.”</w:t>
      </w:r>
    </w:p>
    <w:p w14:paraId="40A21C34" w14:textId="77777777" w:rsidR="00102857" w:rsidRDefault="00102857" w:rsidP="00F8402E">
      <w:pPr>
        <w:spacing w:line="480" w:lineRule="auto"/>
        <w:jc w:val="both"/>
      </w:pPr>
    </w:p>
    <w:p w14:paraId="2620C112" w14:textId="77777777" w:rsidR="00102857" w:rsidRDefault="00F17852" w:rsidP="00F8402E">
      <w:pPr>
        <w:spacing w:line="480" w:lineRule="auto"/>
        <w:jc w:val="both"/>
      </w:pPr>
      <w:r>
        <w:t>[3</w:t>
      </w:r>
      <w:r w:rsidR="00DA11EB">
        <w:t>9</w:t>
      </w:r>
      <w:r w:rsidR="00102857">
        <w:t>]</w:t>
      </w:r>
      <w:r w:rsidR="00BE0063">
        <w:tab/>
      </w:r>
      <w:r w:rsidR="00102857">
        <w:t xml:space="preserve">The </w:t>
      </w:r>
      <w:r w:rsidR="00BF5A84">
        <w:t>discomfort</w:t>
      </w:r>
      <w:r w:rsidR="00102857">
        <w:t xml:space="preserve"> of </w:t>
      </w:r>
      <w:proofErr w:type="gramStart"/>
      <w:r w:rsidR="00102857">
        <w:t>ZM</w:t>
      </w:r>
      <w:r w:rsidR="007E41E4">
        <w:t>[</w:t>
      </w:r>
      <w:proofErr w:type="gramEnd"/>
      <w:r w:rsidR="007E41E4">
        <w:t>…]</w:t>
      </w:r>
      <w:r w:rsidR="00102857">
        <w:t xml:space="preserve"> to testify can be observed </w:t>
      </w:r>
      <w:r w:rsidR="003955E6">
        <w:t>at</w:t>
      </w:r>
      <w:r w:rsidR="00BE0063">
        <w:t xml:space="preserve"> </w:t>
      </w:r>
      <w:r w:rsidR="00102857">
        <w:t>page 171 of the reconstructed record</w:t>
      </w:r>
      <w:r w:rsidR="00F3246C">
        <w:t>.</w:t>
      </w:r>
      <w:r w:rsidR="00102857">
        <w:t xml:space="preserve"> </w:t>
      </w:r>
      <w:proofErr w:type="gramStart"/>
      <w:r w:rsidR="00102857">
        <w:t>ZM</w:t>
      </w:r>
      <w:r w:rsidR="007E41E4">
        <w:t>[</w:t>
      </w:r>
      <w:proofErr w:type="gramEnd"/>
      <w:r w:rsidR="007E41E4">
        <w:t>…]</w:t>
      </w:r>
      <w:r w:rsidR="00E7738E">
        <w:t xml:space="preserve"> gave her evidence in an open court and started</w:t>
      </w:r>
      <w:r w:rsidR="00102857">
        <w:t xml:space="preserve"> to cry</w:t>
      </w:r>
      <w:r w:rsidR="00E7738E">
        <w:t xml:space="preserve">. She informed the court that she was scared and </w:t>
      </w:r>
      <w:r w:rsidR="00102857">
        <w:t>that it was her first time to appear in court. At that moment the court remarked:</w:t>
      </w:r>
    </w:p>
    <w:p w14:paraId="519BA2A2" w14:textId="77777777" w:rsidR="00102857" w:rsidRDefault="00102857" w:rsidP="00F8402E">
      <w:pPr>
        <w:spacing w:line="480" w:lineRule="auto"/>
        <w:jc w:val="both"/>
      </w:pPr>
    </w:p>
    <w:p w14:paraId="5ABB0B8C" w14:textId="77777777" w:rsidR="00102857" w:rsidRPr="001458A9" w:rsidRDefault="00BE0063" w:rsidP="00F8402E">
      <w:pPr>
        <w:spacing w:line="480" w:lineRule="auto"/>
        <w:ind w:left="720"/>
        <w:jc w:val="both"/>
        <w:rPr>
          <w:i/>
        </w:rPr>
      </w:pPr>
      <w:r>
        <w:rPr>
          <w:i/>
        </w:rPr>
        <w:t>“</w:t>
      </w:r>
      <w:r w:rsidR="00102857" w:rsidRPr="001458A9">
        <w:rPr>
          <w:i/>
        </w:rPr>
        <w:t>Court orders that the witness evidence be taken in camera as she is still a minor</w:t>
      </w:r>
      <w:r>
        <w:rPr>
          <w:i/>
        </w:rPr>
        <w:t>.”</w:t>
      </w:r>
    </w:p>
    <w:p w14:paraId="54B6ECE0" w14:textId="77777777" w:rsidR="00102857" w:rsidRPr="001458A9" w:rsidRDefault="00102857" w:rsidP="00F8402E">
      <w:pPr>
        <w:spacing w:line="480" w:lineRule="auto"/>
        <w:jc w:val="both"/>
        <w:rPr>
          <w:i/>
        </w:rPr>
      </w:pPr>
    </w:p>
    <w:p w14:paraId="08AA2040" w14:textId="77777777" w:rsidR="00AC4CBE" w:rsidRDefault="00DA11EB" w:rsidP="00F8402E">
      <w:pPr>
        <w:spacing w:line="480" w:lineRule="auto"/>
        <w:jc w:val="both"/>
      </w:pPr>
      <w:r>
        <w:t>[40</w:t>
      </w:r>
      <w:r w:rsidR="00102857">
        <w:t>]</w:t>
      </w:r>
      <w:r w:rsidR="00BE0063">
        <w:tab/>
      </w:r>
      <w:r w:rsidR="00F3246C">
        <w:t>I</w:t>
      </w:r>
      <w:r w:rsidR="00102857">
        <w:t>t is apparent from the record that both child witnesses present</w:t>
      </w:r>
      <w:r w:rsidR="001458A9">
        <w:t>ed their testimonies</w:t>
      </w:r>
      <w:r w:rsidR="00800E23">
        <w:t xml:space="preserve"> in an open court, </w:t>
      </w:r>
      <w:r w:rsidR="00201EEE">
        <w:t>without the assistance of an</w:t>
      </w:r>
      <w:r w:rsidR="00F3246C">
        <w:t xml:space="preserve"> intermediary</w:t>
      </w:r>
      <w:r w:rsidR="00BF5A84">
        <w:t xml:space="preserve"> and no </w:t>
      </w:r>
      <w:r w:rsidR="00BE0063">
        <w:t>closed-</w:t>
      </w:r>
      <w:r w:rsidR="00F274A2">
        <w:t>circuit television was utilised</w:t>
      </w:r>
      <w:r w:rsidR="00F3246C">
        <w:t>.</w:t>
      </w:r>
      <w:r w:rsidR="00571ABB">
        <w:t xml:space="preserve"> The purpose of section 170 A of the CPA</w:t>
      </w:r>
      <w:r w:rsidR="00571ABB">
        <w:rPr>
          <w:rStyle w:val="FootnoteReference"/>
        </w:rPr>
        <w:footnoteReference w:id="16"/>
      </w:r>
      <w:r w:rsidR="00571ABB">
        <w:t xml:space="preserve"> is to guard against a child experiencing undue mental stress or suffering while testifying. </w:t>
      </w:r>
    </w:p>
    <w:p w14:paraId="01A3E6AF" w14:textId="77777777" w:rsidR="00AC4CBE" w:rsidRDefault="00AC4CBE" w:rsidP="00F8402E">
      <w:pPr>
        <w:spacing w:line="480" w:lineRule="auto"/>
        <w:jc w:val="both"/>
      </w:pPr>
    </w:p>
    <w:p w14:paraId="07D57A3B" w14:textId="77777777" w:rsidR="00AC4CBE" w:rsidRDefault="00F17852" w:rsidP="00F8402E">
      <w:pPr>
        <w:spacing w:line="480" w:lineRule="auto"/>
        <w:jc w:val="both"/>
      </w:pPr>
      <w:r>
        <w:t>[4</w:t>
      </w:r>
      <w:r w:rsidR="00DA11EB">
        <w:t>1</w:t>
      </w:r>
      <w:r w:rsidR="00924E50">
        <w:t>]</w:t>
      </w:r>
      <w:r w:rsidR="00BE0063">
        <w:tab/>
      </w:r>
      <w:r w:rsidR="00924E50">
        <w:t>The</w:t>
      </w:r>
      <w:r w:rsidR="00BA19C5">
        <w:t xml:space="preserve"> court in</w:t>
      </w:r>
      <w:r w:rsidR="00F274A2">
        <w:t xml:space="preserve"> </w:t>
      </w:r>
      <w:r w:rsidR="00F274A2" w:rsidRPr="00F8402E">
        <w:rPr>
          <w:i/>
          <w:iCs/>
        </w:rPr>
        <w:t xml:space="preserve">S v Elton </w:t>
      </w:r>
      <w:proofErr w:type="spellStart"/>
      <w:r w:rsidR="00F274A2" w:rsidRPr="00F8402E">
        <w:rPr>
          <w:i/>
          <w:iCs/>
        </w:rPr>
        <w:t>Lenting</w:t>
      </w:r>
      <w:proofErr w:type="spellEnd"/>
      <w:r w:rsidR="00F274A2" w:rsidRPr="00F8402E">
        <w:rPr>
          <w:i/>
          <w:iCs/>
        </w:rPr>
        <w:t xml:space="preserve"> and 19 others</w:t>
      </w:r>
      <w:r w:rsidR="00F274A2">
        <w:rPr>
          <w:rStyle w:val="FootnoteReference"/>
        </w:rPr>
        <w:footnoteReference w:id="17"/>
      </w:r>
      <w:r w:rsidR="00F274A2">
        <w:t xml:space="preserve"> </w:t>
      </w:r>
      <w:r w:rsidR="00BA19C5">
        <w:t xml:space="preserve">referred to </w:t>
      </w:r>
      <w:proofErr w:type="gramStart"/>
      <w:r w:rsidR="00BA19C5">
        <w:t>a research</w:t>
      </w:r>
      <w:proofErr w:type="gramEnd"/>
      <w:r w:rsidR="00BA19C5">
        <w:t xml:space="preserve"> by </w:t>
      </w:r>
      <w:r w:rsidR="00BE0063">
        <w:t xml:space="preserve">the </w:t>
      </w:r>
      <w:r w:rsidR="00BA19C5">
        <w:t xml:space="preserve">South African Law Commission (‘SALRC’) </w:t>
      </w:r>
      <w:r w:rsidR="00924E50">
        <w:t>where it was</w:t>
      </w:r>
      <w:r w:rsidR="00F274A2">
        <w:t xml:space="preserve"> emphasized</w:t>
      </w:r>
      <w:r w:rsidR="00BA19C5">
        <w:t xml:space="preserve"> that child witnesses must be protected and that they should testify in a child-friendly environment as opposed </w:t>
      </w:r>
      <w:r w:rsidR="00924E50">
        <w:t>to the</w:t>
      </w:r>
      <w:r w:rsidR="00BA19C5">
        <w:t xml:space="preserve"> traditional courtroom with </w:t>
      </w:r>
      <w:r w:rsidR="00BE0063">
        <w:t xml:space="preserve">the </w:t>
      </w:r>
      <w:r w:rsidR="00BA19C5">
        <w:t xml:space="preserve">attired </w:t>
      </w:r>
      <w:r w:rsidR="00924E50">
        <w:t>court which</w:t>
      </w:r>
      <w:r w:rsidR="00BA19C5">
        <w:t xml:space="preserve"> resulted in children being afraid and confused. </w:t>
      </w:r>
    </w:p>
    <w:p w14:paraId="23BED4D2" w14:textId="77777777" w:rsidR="00AC4CBE" w:rsidRDefault="00AC4CBE" w:rsidP="00F8402E">
      <w:pPr>
        <w:spacing w:line="480" w:lineRule="auto"/>
        <w:jc w:val="both"/>
      </w:pPr>
    </w:p>
    <w:p w14:paraId="6AF741C8" w14:textId="77777777" w:rsidR="00AC4CBE" w:rsidRDefault="00AC4CBE" w:rsidP="00F8402E">
      <w:pPr>
        <w:spacing w:line="480" w:lineRule="auto"/>
        <w:jc w:val="both"/>
        <w:rPr>
          <w:rFonts w:eastAsia="Times New Roman"/>
          <w:lang w:eastAsia="en-ZA"/>
        </w:rPr>
      </w:pPr>
      <w:r>
        <w:t>[</w:t>
      </w:r>
      <w:r w:rsidR="00F17852">
        <w:t>4</w:t>
      </w:r>
      <w:r w:rsidR="00DA11EB">
        <w:t>2</w:t>
      </w:r>
      <w:r>
        <w:t>]</w:t>
      </w:r>
      <w:r w:rsidR="00BE0063">
        <w:tab/>
      </w:r>
      <w:r w:rsidR="00BA19C5">
        <w:t xml:space="preserve">In </w:t>
      </w:r>
      <w:r w:rsidR="00BA19C5" w:rsidRPr="00F8402E">
        <w:rPr>
          <w:i/>
          <w:iCs/>
        </w:rPr>
        <w:t>Director of Public Prosecutions, Transvaal v Minister of Justice and Constitutional Development and others</w:t>
      </w:r>
      <w:r w:rsidR="00BA19C5" w:rsidRPr="00F8402E">
        <w:rPr>
          <w:rStyle w:val="FootnoteReference"/>
          <w:i/>
          <w:iCs/>
        </w:rPr>
        <w:footnoteReference w:id="18"/>
      </w:r>
      <w:r w:rsidR="00BA19C5" w:rsidRPr="00F8402E">
        <w:rPr>
          <w:i/>
          <w:iCs/>
        </w:rPr>
        <w:t xml:space="preserve"> </w:t>
      </w:r>
      <w:r>
        <w:t xml:space="preserve">, it was held, </w:t>
      </w:r>
      <w:r w:rsidRPr="00AC4CBE">
        <w:rPr>
          <w:rFonts w:eastAsia="Times New Roman"/>
          <w:lang w:eastAsia="en-ZA"/>
        </w:rPr>
        <w:t>that,</w:t>
      </w:r>
      <w:r w:rsidR="00F5665D">
        <w:rPr>
          <w:rFonts w:eastAsia="Times New Roman"/>
          <w:lang w:eastAsia="en-ZA"/>
        </w:rPr>
        <w:t xml:space="preserve"> when</w:t>
      </w:r>
      <w:r w:rsidRPr="00AC4CBE">
        <w:rPr>
          <w:rFonts w:eastAsia="Times New Roman"/>
          <w:lang w:eastAsia="en-ZA"/>
        </w:rPr>
        <w:t xml:space="preserve"> properly construed, s 170A</w:t>
      </w:r>
      <w:r>
        <w:rPr>
          <w:rFonts w:eastAsia="Times New Roman"/>
          <w:lang w:eastAsia="en-ZA"/>
        </w:rPr>
        <w:t xml:space="preserve"> </w:t>
      </w:r>
      <w:r w:rsidRPr="00AC4CBE">
        <w:rPr>
          <w:rFonts w:eastAsia="Times New Roman"/>
          <w:lang w:eastAsia="en-ZA"/>
        </w:rPr>
        <w:t>(1) read with s 170A</w:t>
      </w:r>
      <w:r>
        <w:rPr>
          <w:rFonts w:eastAsia="Times New Roman"/>
          <w:lang w:eastAsia="en-ZA"/>
        </w:rPr>
        <w:t xml:space="preserve"> </w:t>
      </w:r>
      <w:r w:rsidRPr="00AC4CBE">
        <w:rPr>
          <w:rFonts w:eastAsia="Times New Roman"/>
          <w:lang w:eastAsia="en-ZA"/>
        </w:rPr>
        <w:t xml:space="preserve">(3) contemplated that, in every trial in which a child was to testify and the prosecutor did not raise the matter, the judicial officer, of his or her own accord, had to raise the need for an intermediary to assist the child in giving his </w:t>
      </w:r>
      <w:r w:rsidRPr="00AC4CBE">
        <w:rPr>
          <w:rFonts w:eastAsia="Times New Roman"/>
          <w:lang w:eastAsia="en-ZA"/>
        </w:rPr>
        <w:lastRenderedPageBreak/>
        <w:t>or her testimony.</w:t>
      </w:r>
      <w:r>
        <w:rPr>
          <w:rStyle w:val="FootnoteReference"/>
          <w:rFonts w:eastAsia="Times New Roman"/>
          <w:lang w:eastAsia="en-ZA"/>
        </w:rPr>
        <w:footnoteReference w:id="19"/>
      </w:r>
      <w:r w:rsidRPr="00AC4CBE">
        <w:rPr>
          <w:rFonts w:eastAsia="Times New Roman"/>
          <w:lang w:eastAsia="en-ZA"/>
        </w:rPr>
        <w:t xml:space="preserve"> In every case in which a child was to te</w:t>
      </w:r>
      <w:r>
        <w:rPr>
          <w:rFonts w:eastAsia="Times New Roman"/>
          <w:lang w:eastAsia="en-ZA"/>
        </w:rPr>
        <w:t>stify, therefore, the court</w:t>
      </w:r>
      <w:r w:rsidR="00F5665D">
        <w:rPr>
          <w:rFonts w:eastAsia="Times New Roman"/>
          <w:lang w:eastAsia="en-ZA"/>
        </w:rPr>
        <w:t> is</w:t>
      </w:r>
      <w:r w:rsidRPr="00AC4CBE">
        <w:rPr>
          <w:rFonts w:eastAsia="Times New Roman"/>
          <w:lang w:eastAsia="en-ZA"/>
        </w:rPr>
        <w:t xml:space="preserve"> required to enquire into the desirability of appointing an intermediary. The exercise of judicial discretion in the appointment of an intermediary allowed a judicial officer to assess the individual needs, wishes and feelings of each child. That conformed to the principle</w:t>
      </w:r>
      <w:r>
        <w:rPr>
          <w:rFonts w:eastAsia="Times New Roman"/>
          <w:lang w:eastAsia="en-ZA"/>
        </w:rPr>
        <w:t xml:space="preserve"> that the best </w:t>
      </w:r>
      <w:r w:rsidRPr="00AC4CBE">
        <w:rPr>
          <w:rFonts w:eastAsia="Times New Roman"/>
          <w:lang w:eastAsia="en-ZA"/>
        </w:rPr>
        <w:t>interests of the child were of paramount importance in matters concerning the child.</w:t>
      </w:r>
      <w:r>
        <w:rPr>
          <w:rStyle w:val="FootnoteReference"/>
          <w:rFonts w:eastAsia="Times New Roman"/>
          <w:lang w:eastAsia="en-ZA"/>
        </w:rPr>
        <w:footnoteReference w:id="20"/>
      </w:r>
      <w:r w:rsidRPr="00AC4CBE">
        <w:rPr>
          <w:rFonts w:eastAsia="Times New Roman"/>
          <w:lang w:eastAsia="en-ZA"/>
        </w:rPr>
        <w:t xml:space="preserve"> </w:t>
      </w:r>
    </w:p>
    <w:p w14:paraId="2AA394C6" w14:textId="77777777" w:rsidR="00571ABB" w:rsidRDefault="00571ABB" w:rsidP="00F8402E">
      <w:pPr>
        <w:spacing w:line="480" w:lineRule="auto"/>
        <w:jc w:val="both"/>
        <w:rPr>
          <w:rFonts w:eastAsia="Times New Roman"/>
          <w:lang w:eastAsia="en-ZA"/>
        </w:rPr>
      </w:pPr>
    </w:p>
    <w:p w14:paraId="608F3C94" w14:textId="77777777" w:rsidR="00571ABB" w:rsidRPr="00AC4CBE" w:rsidRDefault="00F17852" w:rsidP="00F8402E">
      <w:pPr>
        <w:spacing w:line="480" w:lineRule="auto"/>
        <w:jc w:val="both"/>
        <w:rPr>
          <w:rFonts w:eastAsia="Times New Roman"/>
          <w:lang w:eastAsia="en-ZA"/>
        </w:rPr>
      </w:pPr>
      <w:r>
        <w:rPr>
          <w:rFonts w:eastAsia="Times New Roman"/>
          <w:lang w:eastAsia="en-ZA"/>
        </w:rPr>
        <w:t>[4</w:t>
      </w:r>
      <w:r w:rsidR="00DA11EB">
        <w:rPr>
          <w:rFonts w:eastAsia="Times New Roman"/>
          <w:lang w:eastAsia="en-ZA"/>
        </w:rPr>
        <w:t>3</w:t>
      </w:r>
      <w:r w:rsidR="00571ABB">
        <w:rPr>
          <w:rFonts w:eastAsia="Times New Roman"/>
          <w:lang w:eastAsia="en-ZA"/>
        </w:rPr>
        <w:t>]</w:t>
      </w:r>
      <w:r w:rsidR="00201EEE">
        <w:rPr>
          <w:rFonts w:eastAsia="Times New Roman"/>
          <w:lang w:eastAsia="en-ZA"/>
        </w:rPr>
        <w:t xml:space="preserve"> </w:t>
      </w:r>
      <w:r w:rsidR="00201EEE">
        <w:rPr>
          <w:rFonts w:eastAsia="Times New Roman"/>
          <w:lang w:eastAsia="en-ZA"/>
        </w:rPr>
        <w:tab/>
        <w:t xml:space="preserve">In </w:t>
      </w:r>
      <w:proofErr w:type="spellStart"/>
      <w:r w:rsidR="00201EEE" w:rsidRPr="00201EEE">
        <w:rPr>
          <w:rFonts w:eastAsia="Times New Roman"/>
          <w:i/>
          <w:lang w:eastAsia="en-ZA"/>
        </w:rPr>
        <w:t>casu</w:t>
      </w:r>
      <w:proofErr w:type="spellEnd"/>
      <w:r w:rsidR="00E9440C">
        <w:rPr>
          <w:rFonts w:eastAsia="Times New Roman"/>
          <w:lang w:eastAsia="en-ZA"/>
        </w:rPr>
        <w:t xml:space="preserve">, </w:t>
      </w:r>
      <w:r w:rsidR="00201EEE">
        <w:rPr>
          <w:rFonts w:eastAsia="Times New Roman"/>
          <w:lang w:eastAsia="en-ZA"/>
        </w:rPr>
        <w:t xml:space="preserve">the </w:t>
      </w:r>
      <w:r w:rsidR="00925487">
        <w:rPr>
          <w:rFonts w:eastAsia="Times New Roman"/>
          <w:lang w:eastAsia="en-ZA"/>
        </w:rPr>
        <w:t>P</w:t>
      </w:r>
      <w:r w:rsidR="00201EEE">
        <w:rPr>
          <w:rFonts w:eastAsia="Times New Roman"/>
          <w:lang w:eastAsia="en-ZA"/>
        </w:rPr>
        <w:t xml:space="preserve">ublic </w:t>
      </w:r>
      <w:r w:rsidR="00925487">
        <w:rPr>
          <w:rFonts w:eastAsia="Times New Roman"/>
          <w:lang w:eastAsia="en-ZA"/>
        </w:rPr>
        <w:t>P</w:t>
      </w:r>
      <w:r w:rsidR="008035C5">
        <w:rPr>
          <w:rFonts w:eastAsia="Times New Roman"/>
          <w:lang w:eastAsia="en-ZA"/>
        </w:rPr>
        <w:t>rosecutor</w:t>
      </w:r>
      <w:r w:rsidR="00201EEE">
        <w:rPr>
          <w:rFonts w:eastAsia="Times New Roman"/>
          <w:lang w:eastAsia="en-ZA"/>
        </w:rPr>
        <w:t xml:space="preserve"> </w:t>
      </w:r>
      <w:r w:rsidR="00E9440C">
        <w:rPr>
          <w:rFonts w:eastAsia="Times New Roman"/>
          <w:lang w:eastAsia="en-ZA"/>
        </w:rPr>
        <w:t xml:space="preserve">was interrupted by the court when he </w:t>
      </w:r>
      <w:r w:rsidR="00201EEE">
        <w:rPr>
          <w:rFonts w:eastAsia="Times New Roman"/>
          <w:lang w:eastAsia="en-ZA"/>
        </w:rPr>
        <w:t xml:space="preserve">expressed his reservations </w:t>
      </w:r>
      <w:r w:rsidR="00BE0063">
        <w:rPr>
          <w:rFonts w:eastAsia="Times New Roman"/>
          <w:lang w:eastAsia="en-ZA"/>
        </w:rPr>
        <w:t xml:space="preserve">about </w:t>
      </w:r>
      <w:r w:rsidR="00201EEE">
        <w:rPr>
          <w:rFonts w:eastAsia="Times New Roman"/>
          <w:lang w:eastAsia="en-ZA"/>
        </w:rPr>
        <w:t xml:space="preserve">the posture and confidence of </w:t>
      </w:r>
      <w:proofErr w:type="gramStart"/>
      <w:r w:rsidR="00201EEE">
        <w:rPr>
          <w:rFonts w:eastAsia="Times New Roman"/>
          <w:lang w:eastAsia="en-ZA"/>
        </w:rPr>
        <w:t>NS</w:t>
      </w:r>
      <w:r w:rsidR="00F21FB3">
        <w:rPr>
          <w:rFonts w:eastAsia="Times New Roman"/>
          <w:lang w:eastAsia="en-ZA"/>
        </w:rPr>
        <w:t>[</w:t>
      </w:r>
      <w:proofErr w:type="gramEnd"/>
      <w:r w:rsidR="00F21FB3">
        <w:rPr>
          <w:rFonts w:eastAsia="Times New Roman"/>
          <w:lang w:eastAsia="en-ZA"/>
        </w:rPr>
        <w:t>…]</w:t>
      </w:r>
      <w:r w:rsidR="00201EEE">
        <w:rPr>
          <w:rFonts w:eastAsia="Times New Roman"/>
          <w:lang w:eastAsia="en-ZA"/>
        </w:rPr>
        <w:t xml:space="preserve"> as a witness.</w:t>
      </w:r>
      <w:r w:rsidR="00201EEE" w:rsidRPr="00201EEE">
        <w:rPr>
          <w:rFonts w:eastAsia="Times New Roman"/>
          <w:lang w:eastAsia="en-ZA"/>
        </w:rPr>
        <w:t xml:space="preserve"> </w:t>
      </w:r>
      <w:r w:rsidR="00201EEE">
        <w:rPr>
          <w:rFonts w:eastAsia="Times New Roman"/>
          <w:lang w:eastAsia="en-ZA"/>
        </w:rPr>
        <w:t>T</w:t>
      </w:r>
      <w:r w:rsidR="00571ABB">
        <w:rPr>
          <w:rFonts w:eastAsia="Times New Roman"/>
          <w:lang w:eastAsia="en-ZA"/>
        </w:rPr>
        <w:t xml:space="preserve">he trial </w:t>
      </w:r>
      <w:r w:rsidR="00201EEE">
        <w:rPr>
          <w:rFonts w:eastAsia="Times New Roman"/>
          <w:lang w:eastAsia="en-ZA"/>
        </w:rPr>
        <w:t xml:space="preserve">court acknowledged that both child witnesses were </w:t>
      </w:r>
      <w:r w:rsidR="00BE0063">
        <w:rPr>
          <w:rFonts w:eastAsia="Times New Roman"/>
          <w:lang w:eastAsia="en-ZA"/>
        </w:rPr>
        <w:t>uneas</w:t>
      </w:r>
      <w:r w:rsidR="003418DB">
        <w:rPr>
          <w:rFonts w:eastAsia="Times New Roman"/>
          <w:lang w:eastAsia="en-ZA"/>
        </w:rPr>
        <w:t>y</w:t>
      </w:r>
      <w:r w:rsidR="00BE0063">
        <w:rPr>
          <w:rFonts w:eastAsia="Times New Roman"/>
          <w:lang w:eastAsia="en-ZA"/>
        </w:rPr>
        <w:t xml:space="preserve"> </w:t>
      </w:r>
      <w:r w:rsidR="00201EEE">
        <w:rPr>
          <w:rFonts w:eastAsia="Times New Roman"/>
          <w:lang w:eastAsia="en-ZA"/>
        </w:rPr>
        <w:t>when they presented their evidence in</w:t>
      </w:r>
      <w:r w:rsidR="00F5665D">
        <w:rPr>
          <w:rFonts w:eastAsia="Times New Roman"/>
          <w:lang w:eastAsia="en-ZA"/>
        </w:rPr>
        <w:t xml:space="preserve"> an open</w:t>
      </w:r>
      <w:r w:rsidR="00201EEE">
        <w:rPr>
          <w:rFonts w:eastAsia="Times New Roman"/>
          <w:lang w:eastAsia="en-ZA"/>
        </w:rPr>
        <w:t xml:space="preserve"> court</w:t>
      </w:r>
      <w:r w:rsidR="00571ABB">
        <w:rPr>
          <w:rFonts w:eastAsia="Times New Roman"/>
          <w:lang w:eastAsia="en-ZA"/>
        </w:rPr>
        <w:t>.</w:t>
      </w:r>
      <w:r w:rsidR="00201EEE">
        <w:rPr>
          <w:rFonts w:eastAsia="Times New Roman"/>
          <w:lang w:eastAsia="en-ZA"/>
        </w:rPr>
        <w:t xml:space="preserve"> Despite this, the appointment of an intermediary to assist the two minor children to present their testimonies in a child</w:t>
      </w:r>
      <w:r w:rsidR="00924E50">
        <w:rPr>
          <w:rFonts w:eastAsia="Times New Roman"/>
          <w:lang w:eastAsia="en-ZA"/>
        </w:rPr>
        <w:t>-</w:t>
      </w:r>
      <w:r w:rsidR="00201EEE">
        <w:rPr>
          <w:rFonts w:eastAsia="Times New Roman"/>
          <w:lang w:eastAsia="en-ZA"/>
        </w:rPr>
        <w:t xml:space="preserve">friendly </w:t>
      </w:r>
      <w:r w:rsidR="00F5665D">
        <w:rPr>
          <w:rFonts w:eastAsia="Times New Roman"/>
          <w:lang w:eastAsia="en-ZA"/>
        </w:rPr>
        <w:t>environment</w:t>
      </w:r>
      <w:r w:rsidR="00201EEE">
        <w:rPr>
          <w:rFonts w:eastAsia="Times New Roman"/>
          <w:lang w:eastAsia="en-ZA"/>
        </w:rPr>
        <w:t xml:space="preserve"> was never given a thought.</w:t>
      </w:r>
      <w:r w:rsidR="00201EEE" w:rsidRPr="00201EEE">
        <w:t xml:space="preserve"> </w:t>
      </w:r>
      <w:r w:rsidR="00201EEE">
        <w:t>The haphazard manner in which the evidence of these</w:t>
      </w:r>
      <w:r w:rsidR="00924E50">
        <w:t xml:space="preserve"> two </w:t>
      </w:r>
      <w:r w:rsidR="00201EEE">
        <w:t>children was obtained is frowned upon by this court</w:t>
      </w:r>
    </w:p>
    <w:p w14:paraId="7213F2FF" w14:textId="77777777" w:rsidR="00AC4CBE" w:rsidRPr="00AC4CBE" w:rsidRDefault="00AC4CBE" w:rsidP="00F8402E">
      <w:pPr>
        <w:spacing w:line="480" w:lineRule="auto"/>
        <w:jc w:val="both"/>
      </w:pPr>
    </w:p>
    <w:p w14:paraId="025E1CCC" w14:textId="77777777" w:rsidR="00216340" w:rsidRDefault="00201EEE" w:rsidP="00F8402E">
      <w:pPr>
        <w:spacing w:line="480" w:lineRule="auto"/>
        <w:jc w:val="both"/>
      </w:pPr>
      <w:r>
        <w:t>[</w:t>
      </w:r>
      <w:r w:rsidR="00F17852">
        <w:t>4</w:t>
      </w:r>
      <w:r w:rsidR="00DA11EB">
        <w:t>4</w:t>
      </w:r>
      <w:r w:rsidR="001458A9">
        <w:t xml:space="preserve">] </w:t>
      </w:r>
      <w:r w:rsidR="00BE0063">
        <w:tab/>
      </w:r>
      <w:r w:rsidR="001458A9">
        <w:t>The ul</w:t>
      </w:r>
      <w:r w:rsidR="00F5665D">
        <w:t>timate result is that t</w:t>
      </w:r>
      <w:r w:rsidR="00933D1D">
        <w:t>he appeal against both conviction and sentence must succeed.</w:t>
      </w:r>
    </w:p>
    <w:p w14:paraId="6F8370D5" w14:textId="77777777" w:rsidR="00F21FB3" w:rsidRDefault="00F21FB3" w:rsidP="00F8402E">
      <w:pPr>
        <w:spacing w:line="480" w:lineRule="auto"/>
        <w:jc w:val="both"/>
      </w:pPr>
    </w:p>
    <w:p w14:paraId="208C9A76" w14:textId="77777777" w:rsidR="003418DB" w:rsidRPr="00AA0042" w:rsidRDefault="003418DB" w:rsidP="00F8402E">
      <w:pPr>
        <w:spacing w:line="480" w:lineRule="auto"/>
        <w:jc w:val="both"/>
        <w:rPr>
          <w:b/>
          <w:i/>
          <w:u w:val="single"/>
        </w:rPr>
      </w:pPr>
      <w:r w:rsidRPr="00AA0042">
        <w:rPr>
          <w:b/>
          <w:i/>
          <w:u w:val="single"/>
        </w:rPr>
        <w:t>Order</w:t>
      </w:r>
    </w:p>
    <w:p w14:paraId="4D0E6DD1" w14:textId="77777777" w:rsidR="00B268AC" w:rsidRDefault="00F21FB3" w:rsidP="00F8402E">
      <w:pPr>
        <w:autoSpaceDE w:val="0"/>
        <w:autoSpaceDN w:val="0"/>
        <w:adjustRightInd w:val="0"/>
        <w:spacing w:line="480" w:lineRule="auto"/>
        <w:jc w:val="both"/>
      </w:pPr>
      <w:r>
        <w:t>[45]</w:t>
      </w:r>
      <w:r>
        <w:tab/>
        <w:t>In the result I make the following order</w:t>
      </w:r>
      <w:r w:rsidR="003418DB">
        <w:t>:</w:t>
      </w:r>
    </w:p>
    <w:p w14:paraId="3D97D9AC" w14:textId="77777777" w:rsidR="00B268AC" w:rsidRDefault="00B268AC" w:rsidP="00F8402E">
      <w:pPr>
        <w:autoSpaceDE w:val="0"/>
        <w:autoSpaceDN w:val="0"/>
        <w:adjustRightInd w:val="0"/>
        <w:spacing w:line="480" w:lineRule="auto"/>
        <w:jc w:val="both"/>
      </w:pPr>
    </w:p>
    <w:p w14:paraId="058660CC" w14:textId="77777777" w:rsidR="00E153B9" w:rsidRDefault="006E3570" w:rsidP="00F8402E">
      <w:pPr>
        <w:autoSpaceDE w:val="0"/>
        <w:autoSpaceDN w:val="0"/>
        <w:adjustRightInd w:val="0"/>
        <w:spacing w:line="480" w:lineRule="auto"/>
        <w:jc w:val="both"/>
      </w:pPr>
      <w:r w:rsidRPr="00C77E8C">
        <w:t>[</w:t>
      </w:r>
      <w:r w:rsidR="003955E6">
        <w:t>1]</w:t>
      </w:r>
      <w:r w:rsidR="00D42D36">
        <w:rPr>
          <w:b/>
        </w:rPr>
        <w:tab/>
      </w:r>
      <w:r w:rsidR="003955E6">
        <w:t>The appeal is upheld</w:t>
      </w:r>
      <w:r>
        <w:t>.</w:t>
      </w:r>
    </w:p>
    <w:p w14:paraId="0F3C2643" w14:textId="77777777" w:rsidR="003955E6" w:rsidRDefault="003955E6" w:rsidP="00F8402E">
      <w:pPr>
        <w:autoSpaceDE w:val="0"/>
        <w:autoSpaceDN w:val="0"/>
        <w:adjustRightInd w:val="0"/>
        <w:spacing w:line="480" w:lineRule="auto"/>
        <w:jc w:val="both"/>
      </w:pPr>
      <w:r>
        <w:t>[2]       The conviction and sentence are set aside.</w:t>
      </w:r>
    </w:p>
    <w:p w14:paraId="11949C01" w14:textId="77777777" w:rsidR="00FD6F34" w:rsidRDefault="00FD6F34" w:rsidP="00F8402E">
      <w:pPr>
        <w:autoSpaceDE w:val="0"/>
        <w:autoSpaceDN w:val="0"/>
        <w:adjustRightInd w:val="0"/>
        <w:spacing w:line="480" w:lineRule="auto"/>
        <w:jc w:val="both"/>
      </w:pPr>
      <w:r>
        <w:lastRenderedPageBreak/>
        <w:t>[3]          The immediate release of the appellant is to be expedited.</w:t>
      </w:r>
    </w:p>
    <w:p w14:paraId="0D3186AB" w14:textId="77777777" w:rsidR="00E153B9" w:rsidRDefault="00E153B9" w:rsidP="00BE0063">
      <w:pPr>
        <w:autoSpaceDE w:val="0"/>
        <w:autoSpaceDN w:val="0"/>
        <w:adjustRightInd w:val="0"/>
        <w:jc w:val="both"/>
      </w:pPr>
    </w:p>
    <w:p w14:paraId="4007F95B" w14:textId="77777777" w:rsidR="00F3246C" w:rsidRDefault="00F3246C" w:rsidP="00BE0063">
      <w:pPr>
        <w:autoSpaceDE w:val="0"/>
        <w:autoSpaceDN w:val="0"/>
        <w:adjustRightInd w:val="0"/>
        <w:jc w:val="both"/>
        <w:rPr>
          <w:b/>
        </w:rPr>
      </w:pPr>
    </w:p>
    <w:p w14:paraId="0CF5EA7C" w14:textId="77777777" w:rsidR="00F3246C" w:rsidRPr="00F8402E" w:rsidRDefault="00F3246C" w:rsidP="00BE0063">
      <w:pPr>
        <w:autoSpaceDE w:val="0"/>
        <w:autoSpaceDN w:val="0"/>
        <w:adjustRightInd w:val="0"/>
        <w:jc w:val="both"/>
        <w:rPr>
          <w:bCs/>
          <w:u w:val="single"/>
        </w:rPr>
      </w:pPr>
    </w:p>
    <w:p w14:paraId="51314307" w14:textId="77777777" w:rsidR="00F3246C" w:rsidRPr="00F8402E" w:rsidRDefault="00F3246C" w:rsidP="00665137">
      <w:pPr>
        <w:autoSpaceDE w:val="0"/>
        <w:autoSpaceDN w:val="0"/>
        <w:adjustRightInd w:val="0"/>
        <w:spacing w:line="240" w:lineRule="auto"/>
        <w:jc w:val="both"/>
        <w:rPr>
          <w:bCs/>
          <w:u w:val="single"/>
        </w:rPr>
      </w:pPr>
      <w:r w:rsidRPr="00F8402E">
        <w:rPr>
          <w:bCs/>
          <w:u w:val="single"/>
        </w:rPr>
        <w:t xml:space="preserve"> </w:t>
      </w:r>
      <w:r w:rsidR="00BE0063" w:rsidRPr="00F8402E">
        <w:rPr>
          <w:bCs/>
          <w:u w:val="single"/>
        </w:rPr>
        <w:t>___________________________________</w:t>
      </w:r>
      <w:r w:rsidRPr="00F8402E">
        <w:rPr>
          <w:bCs/>
          <w:u w:val="single"/>
        </w:rPr>
        <w:t xml:space="preserve">                                                       </w:t>
      </w:r>
    </w:p>
    <w:p w14:paraId="69E55548" w14:textId="77777777" w:rsidR="00665137" w:rsidRDefault="00F3246C" w:rsidP="00665137">
      <w:pPr>
        <w:autoSpaceDE w:val="0"/>
        <w:autoSpaceDN w:val="0"/>
        <w:adjustRightInd w:val="0"/>
        <w:spacing w:line="240" w:lineRule="auto"/>
        <w:jc w:val="both"/>
        <w:rPr>
          <w:b/>
          <w:lang w:val="en-GB"/>
        </w:rPr>
      </w:pPr>
      <w:r>
        <w:rPr>
          <w:b/>
        </w:rPr>
        <w:t>N CENGANI-MBAKAZA</w:t>
      </w:r>
    </w:p>
    <w:p w14:paraId="1E05A105" w14:textId="77777777" w:rsidR="00F3246C" w:rsidRDefault="00F3246C" w:rsidP="00665137">
      <w:pPr>
        <w:autoSpaceDE w:val="0"/>
        <w:autoSpaceDN w:val="0"/>
        <w:adjustRightInd w:val="0"/>
        <w:spacing w:line="240" w:lineRule="auto"/>
        <w:jc w:val="both"/>
        <w:rPr>
          <w:b/>
          <w:lang w:val="en-GB"/>
        </w:rPr>
      </w:pPr>
      <w:r w:rsidRPr="00E84D97">
        <w:rPr>
          <w:b/>
        </w:rPr>
        <w:t>ACTING JUDGE OF THE HIGH COURT</w:t>
      </w:r>
      <w:r w:rsidRPr="00E153B9">
        <w:rPr>
          <w:rFonts w:ascii="Times New Roman" w:hAnsi="Times New Roman" w:cs="Times New Roman"/>
          <w:b/>
          <w:color w:val="auto"/>
          <w:lang w:val="en-GB"/>
        </w:rPr>
        <w:t xml:space="preserve"> </w:t>
      </w:r>
    </w:p>
    <w:p w14:paraId="58FF0BF1" w14:textId="77777777" w:rsidR="00933D1D" w:rsidRDefault="00933D1D" w:rsidP="00BE0063">
      <w:pPr>
        <w:autoSpaceDE w:val="0"/>
        <w:autoSpaceDN w:val="0"/>
        <w:adjustRightInd w:val="0"/>
        <w:jc w:val="both"/>
      </w:pPr>
    </w:p>
    <w:p w14:paraId="4B79EF32" w14:textId="77777777" w:rsidR="00933D1D" w:rsidRDefault="00933D1D" w:rsidP="00BE0063">
      <w:pPr>
        <w:autoSpaceDE w:val="0"/>
        <w:autoSpaceDN w:val="0"/>
        <w:adjustRightInd w:val="0"/>
        <w:jc w:val="both"/>
      </w:pPr>
    </w:p>
    <w:p w14:paraId="1FDA386B" w14:textId="77777777" w:rsidR="006E3570" w:rsidRDefault="00F3246C" w:rsidP="00BE0063">
      <w:pPr>
        <w:autoSpaceDE w:val="0"/>
        <w:autoSpaceDN w:val="0"/>
        <w:adjustRightInd w:val="0"/>
        <w:jc w:val="both"/>
      </w:pPr>
      <w:r>
        <w:t>I agree</w:t>
      </w:r>
      <w:r w:rsidR="00BF5A84">
        <w:t>.</w:t>
      </w:r>
    </w:p>
    <w:p w14:paraId="11B31FE4" w14:textId="77777777" w:rsidR="00281FA1" w:rsidRPr="00F8402E" w:rsidRDefault="00281FA1" w:rsidP="00BE0063">
      <w:pPr>
        <w:autoSpaceDE w:val="0"/>
        <w:autoSpaceDN w:val="0"/>
        <w:adjustRightInd w:val="0"/>
        <w:jc w:val="both"/>
        <w:rPr>
          <w:b/>
          <w:bCs/>
          <w:u w:val="single"/>
        </w:rPr>
      </w:pPr>
    </w:p>
    <w:p w14:paraId="1FDB1817" w14:textId="77777777" w:rsidR="000445FB" w:rsidRDefault="000445FB" w:rsidP="00BE0063">
      <w:pPr>
        <w:autoSpaceDE w:val="0"/>
        <w:autoSpaceDN w:val="0"/>
        <w:adjustRightInd w:val="0"/>
        <w:jc w:val="both"/>
        <w:rPr>
          <w:b/>
          <w:bCs/>
          <w:u w:val="single"/>
        </w:rPr>
      </w:pPr>
    </w:p>
    <w:p w14:paraId="3337EEEA" w14:textId="77777777" w:rsidR="00BE0063" w:rsidRPr="00F8402E" w:rsidRDefault="00BE0063" w:rsidP="00665137">
      <w:pPr>
        <w:autoSpaceDE w:val="0"/>
        <w:autoSpaceDN w:val="0"/>
        <w:adjustRightInd w:val="0"/>
        <w:spacing w:line="240" w:lineRule="auto"/>
        <w:jc w:val="both"/>
        <w:rPr>
          <w:b/>
          <w:bCs/>
          <w:u w:val="single"/>
        </w:rPr>
      </w:pPr>
      <w:r w:rsidRPr="00F8402E">
        <w:rPr>
          <w:b/>
          <w:bCs/>
          <w:u w:val="single"/>
        </w:rPr>
        <w:t>________________________________</w:t>
      </w:r>
    </w:p>
    <w:p w14:paraId="03D56892" w14:textId="77777777" w:rsidR="006E3570" w:rsidRPr="00E84D97" w:rsidRDefault="000876D8" w:rsidP="00665137">
      <w:pPr>
        <w:autoSpaceDE w:val="0"/>
        <w:autoSpaceDN w:val="0"/>
        <w:adjustRightInd w:val="0"/>
        <w:spacing w:line="240" w:lineRule="auto"/>
        <w:jc w:val="both"/>
        <w:rPr>
          <w:b/>
        </w:rPr>
      </w:pPr>
      <w:r>
        <w:rPr>
          <w:b/>
        </w:rPr>
        <w:t>V P NONCEMBU</w:t>
      </w:r>
    </w:p>
    <w:p w14:paraId="2D19492F" w14:textId="77777777" w:rsidR="00E153B9" w:rsidRDefault="006E3570" w:rsidP="00665137">
      <w:pPr>
        <w:autoSpaceDE w:val="0"/>
        <w:autoSpaceDN w:val="0"/>
        <w:adjustRightInd w:val="0"/>
        <w:spacing w:line="240" w:lineRule="auto"/>
        <w:jc w:val="both"/>
        <w:rPr>
          <w:b/>
          <w:lang w:val="en-GB"/>
        </w:rPr>
      </w:pPr>
      <w:r w:rsidRPr="00E84D97">
        <w:rPr>
          <w:b/>
        </w:rPr>
        <w:t>JUDGE OF THE HIGH COURT</w:t>
      </w:r>
    </w:p>
    <w:p w14:paraId="3E1966FE" w14:textId="77777777" w:rsidR="001305D3" w:rsidRDefault="001305D3" w:rsidP="00BE0063">
      <w:pPr>
        <w:autoSpaceDE w:val="0"/>
        <w:autoSpaceDN w:val="0"/>
        <w:adjustRightInd w:val="0"/>
        <w:jc w:val="both"/>
        <w:rPr>
          <w:b/>
          <w:lang w:val="en-GB"/>
        </w:rPr>
      </w:pPr>
    </w:p>
    <w:p w14:paraId="6F90ECB9" w14:textId="77777777" w:rsidR="00E153B9" w:rsidRPr="00E153B9" w:rsidRDefault="00E153B9" w:rsidP="00BE0063">
      <w:pPr>
        <w:autoSpaceDE w:val="0"/>
        <w:autoSpaceDN w:val="0"/>
        <w:adjustRightInd w:val="0"/>
        <w:jc w:val="both"/>
        <w:rPr>
          <w:b/>
          <w:lang w:val="en-GB"/>
        </w:rPr>
      </w:pPr>
    </w:p>
    <w:p w14:paraId="25D655DE" w14:textId="77777777" w:rsidR="006E3570" w:rsidRDefault="006E3570" w:rsidP="00BE0063">
      <w:pPr>
        <w:autoSpaceDE w:val="0"/>
        <w:autoSpaceDN w:val="0"/>
        <w:adjustRightInd w:val="0"/>
        <w:jc w:val="both"/>
      </w:pPr>
      <w:r>
        <w:t>Counsel for the Appellants</w:t>
      </w:r>
      <w:r w:rsidR="000445FB">
        <w:tab/>
      </w:r>
      <w:r w:rsidR="000445FB">
        <w:tab/>
      </w:r>
      <w:r w:rsidR="000445FB">
        <w:tab/>
      </w:r>
      <w:r>
        <w:t>:</w:t>
      </w:r>
      <w:r w:rsidR="00F217AD">
        <w:t xml:space="preserve"> </w:t>
      </w:r>
      <w:r w:rsidR="00E153B9">
        <w:tab/>
      </w:r>
      <w:r w:rsidR="00933D1D">
        <w:t xml:space="preserve">D </w:t>
      </w:r>
      <w:proofErr w:type="spellStart"/>
      <w:r w:rsidR="00933D1D">
        <w:t>Geldenhys</w:t>
      </w:r>
      <w:proofErr w:type="spellEnd"/>
    </w:p>
    <w:p w14:paraId="2AA8E56A" w14:textId="77777777" w:rsidR="00E153B9" w:rsidRDefault="00E153B9" w:rsidP="00BE0063">
      <w:pPr>
        <w:autoSpaceDE w:val="0"/>
        <w:autoSpaceDN w:val="0"/>
        <w:adjustRightInd w:val="0"/>
        <w:jc w:val="both"/>
      </w:pPr>
    </w:p>
    <w:p w14:paraId="2C75DD17" w14:textId="77777777" w:rsidR="000445FB" w:rsidRDefault="000445FB" w:rsidP="000445FB">
      <w:pPr>
        <w:autoSpaceDE w:val="0"/>
        <w:autoSpaceDN w:val="0"/>
        <w:adjustRightInd w:val="0"/>
        <w:jc w:val="both"/>
      </w:pPr>
      <w:r>
        <w:t>Instructed by</w:t>
      </w:r>
      <w:r>
        <w:tab/>
      </w:r>
      <w:r>
        <w:tab/>
      </w:r>
      <w:r>
        <w:tab/>
      </w:r>
      <w:r>
        <w:tab/>
      </w:r>
      <w:r>
        <w:tab/>
      </w:r>
      <w:r w:rsidR="00E153B9">
        <w:t>:</w:t>
      </w:r>
      <w:r w:rsidR="00E153B9">
        <w:tab/>
      </w:r>
      <w:r>
        <w:t>Legal Aid South Africa</w:t>
      </w:r>
    </w:p>
    <w:p w14:paraId="40AF7D11" w14:textId="77777777" w:rsidR="000445FB" w:rsidRDefault="000445FB" w:rsidP="000445FB">
      <w:pPr>
        <w:autoSpaceDE w:val="0"/>
        <w:autoSpaceDN w:val="0"/>
        <w:adjustRightInd w:val="0"/>
        <w:jc w:val="both"/>
      </w:pPr>
      <w:r>
        <w:tab/>
      </w:r>
      <w:r>
        <w:tab/>
      </w:r>
      <w:r>
        <w:tab/>
      </w:r>
      <w:r>
        <w:tab/>
      </w:r>
      <w:r>
        <w:tab/>
      </w:r>
      <w:r>
        <w:tab/>
      </w:r>
      <w:r>
        <w:tab/>
      </w:r>
      <w:r w:rsidR="006E3570">
        <w:t>69 H</w:t>
      </w:r>
      <w:r w:rsidR="00AA0042">
        <w:t>i</w:t>
      </w:r>
      <w:r w:rsidR="006E3570">
        <w:t>gh Street</w:t>
      </w:r>
    </w:p>
    <w:p w14:paraId="275DDA7B" w14:textId="77777777" w:rsidR="006E3570" w:rsidRDefault="000445FB" w:rsidP="000445FB">
      <w:pPr>
        <w:autoSpaceDE w:val="0"/>
        <w:autoSpaceDN w:val="0"/>
        <w:adjustRightInd w:val="0"/>
        <w:jc w:val="both"/>
      </w:pPr>
      <w:r>
        <w:tab/>
      </w:r>
      <w:r>
        <w:tab/>
      </w:r>
      <w:r>
        <w:tab/>
      </w:r>
      <w:r>
        <w:tab/>
      </w:r>
      <w:r>
        <w:tab/>
      </w:r>
      <w:r>
        <w:tab/>
      </w:r>
      <w:r>
        <w:tab/>
      </w:r>
      <w:r w:rsidR="006E3570">
        <w:t>MAKHANDA</w:t>
      </w:r>
    </w:p>
    <w:p w14:paraId="56936A56" w14:textId="77777777" w:rsidR="006E3570" w:rsidRDefault="006E3570" w:rsidP="00BE0063">
      <w:pPr>
        <w:autoSpaceDE w:val="0"/>
        <w:autoSpaceDN w:val="0"/>
        <w:adjustRightInd w:val="0"/>
        <w:jc w:val="both"/>
      </w:pPr>
    </w:p>
    <w:p w14:paraId="70635449" w14:textId="77777777" w:rsidR="006E3570" w:rsidRDefault="006E3570" w:rsidP="00BE0063">
      <w:pPr>
        <w:autoSpaceDE w:val="0"/>
        <w:autoSpaceDN w:val="0"/>
        <w:adjustRightInd w:val="0"/>
        <w:jc w:val="both"/>
      </w:pPr>
      <w:r>
        <w:t>Counsel for the Respondent</w:t>
      </w:r>
      <w:r w:rsidR="000445FB">
        <w:tab/>
      </w:r>
      <w:r w:rsidR="000445FB">
        <w:tab/>
      </w:r>
      <w:r>
        <w:t xml:space="preserve">: </w:t>
      </w:r>
      <w:r w:rsidR="000445FB">
        <w:tab/>
      </w:r>
      <w:r w:rsidR="00E9440C">
        <w:t>T SOGA</w:t>
      </w:r>
    </w:p>
    <w:p w14:paraId="2DA555B4" w14:textId="77777777" w:rsidR="00E153B9" w:rsidRDefault="00E153B9" w:rsidP="00BE0063">
      <w:pPr>
        <w:autoSpaceDE w:val="0"/>
        <w:autoSpaceDN w:val="0"/>
        <w:adjustRightInd w:val="0"/>
        <w:jc w:val="both"/>
      </w:pPr>
    </w:p>
    <w:p w14:paraId="3AD5A47F" w14:textId="77777777" w:rsidR="006E3570" w:rsidRDefault="000445FB" w:rsidP="000445FB">
      <w:pPr>
        <w:autoSpaceDE w:val="0"/>
        <w:autoSpaceDN w:val="0"/>
        <w:adjustRightInd w:val="0"/>
      </w:pPr>
      <w:r>
        <w:t>Instructed by</w:t>
      </w:r>
      <w:r>
        <w:tab/>
      </w:r>
      <w:r>
        <w:tab/>
      </w:r>
      <w:r>
        <w:tab/>
      </w:r>
      <w:r>
        <w:tab/>
      </w:r>
      <w:r>
        <w:tab/>
      </w:r>
      <w:r w:rsidR="00E153B9">
        <w:t>:</w:t>
      </w:r>
      <w:r w:rsidR="00E153B9">
        <w:tab/>
      </w:r>
      <w:r w:rsidR="00C214F8">
        <w:t>D</w:t>
      </w:r>
      <w:r w:rsidR="006E3570">
        <w:t>irector</w:t>
      </w:r>
      <w:r w:rsidR="00BE0063">
        <w:t xml:space="preserve"> </w:t>
      </w:r>
      <w:r w:rsidR="00FC2057">
        <w:t>of</w:t>
      </w:r>
      <w:r w:rsidR="00E9440C">
        <w:t xml:space="preserve"> Publi</w:t>
      </w:r>
      <w:r>
        <w:t xml:space="preserve">c </w:t>
      </w:r>
      <w:r w:rsidR="006E3570">
        <w:t>Prosecutions</w:t>
      </w:r>
      <w:r>
        <w:tab/>
      </w:r>
      <w:r>
        <w:tab/>
      </w:r>
      <w:r>
        <w:tab/>
      </w:r>
      <w:r>
        <w:tab/>
      </w:r>
      <w:r>
        <w:tab/>
      </w:r>
      <w:r>
        <w:tab/>
      </w:r>
      <w:r>
        <w:tab/>
      </w:r>
      <w:r>
        <w:tab/>
      </w:r>
      <w:r w:rsidR="006E3570">
        <w:t>MAKHANDA</w:t>
      </w:r>
    </w:p>
    <w:p w14:paraId="31146844" w14:textId="77777777" w:rsidR="00E153B9" w:rsidRDefault="00E153B9" w:rsidP="00BE0063">
      <w:pPr>
        <w:autoSpaceDE w:val="0"/>
        <w:autoSpaceDN w:val="0"/>
        <w:adjustRightInd w:val="0"/>
        <w:jc w:val="both"/>
      </w:pPr>
    </w:p>
    <w:p w14:paraId="76F0C128" w14:textId="77777777" w:rsidR="00E153B9" w:rsidRDefault="00E153B9" w:rsidP="00BE0063">
      <w:pPr>
        <w:autoSpaceDE w:val="0"/>
        <w:autoSpaceDN w:val="0"/>
        <w:adjustRightInd w:val="0"/>
        <w:jc w:val="both"/>
      </w:pPr>
    </w:p>
    <w:p w14:paraId="0D2F0E2D" w14:textId="77777777" w:rsidR="00E153B9" w:rsidRDefault="000445FB" w:rsidP="00BE0063">
      <w:pPr>
        <w:autoSpaceDE w:val="0"/>
        <w:autoSpaceDN w:val="0"/>
        <w:adjustRightInd w:val="0"/>
        <w:jc w:val="both"/>
      </w:pPr>
      <w:r>
        <w:t>DATE OF HEARING</w:t>
      </w:r>
      <w:r>
        <w:tab/>
      </w:r>
      <w:r>
        <w:tab/>
      </w:r>
      <w:r>
        <w:tab/>
      </w:r>
      <w:r w:rsidR="002904BF">
        <w:t xml:space="preserve">: </w:t>
      </w:r>
      <w:r w:rsidR="002904BF">
        <w:tab/>
        <w:t>04 October</w:t>
      </w:r>
      <w:r w:rsidR="00E153B9">
        <w:t xml:space="preserve"> 2023</w:t>
      </w:r>
    </w:p>
    <w:p w14:paraId="613F8486" w14:textId="77777777" w:rsidR="00E153B9" w:rsidRDefault="00E153B9" w:rsidP="00BE0063">
      <w:pPr>
        <w:autoSpaceDE w:val="0"/>
        <w:autoSpaceDN w:val="0"/>
        <w:adjustRightInd w:val="0"/>
        <w:jc w:val="both"/>
      </w:pPr>
    </w:p>
    <w:p w14:paraId="5CCC0103" w14:textId="77777777" w:rsidR="00C2796C" w:rsidRPr="00C77E8C" w:rsidRDefault="000445FB" w:rsidP="00BE0063">
      <w:pPr>
        <w:autoSpaceDE w:val="0"/>
        <w:autoSpaceDN w:val="0"/>
        <w:adjustRightInd w:val="0"/>
        <w:jc w:val="both"/>
      </w:pPr>
      <w:r>
        <w:t>DATE OF JUDGMENT</w:t>
      </w:r>
      <w:r>
        <w:tab/>
      </w:r>
      <w:r>
        <w:tab/>
      </w:r>
      <w:r>
        <w:tab/>
      </w:r>
      <w:r w:rsidR="00E153B9">
        <w:t xml:space="preserve">: </w:t>
      </w:r>
      <w:r w:rsidR="00C75C2C">
        <w:t xml:space="preserve">         </w:t>
      </w:r>
      <w:r w:rsidR="007E41E4">
        <w:t>07 November 2023</w:t>
      </w:r>
      <w:r w:rsidR="00C75C2C">
        <w:t xml:space="preserve"> </w:t>
      </w:r>
    </w:p>
    <w:sectPr w:rsidR="00C2796C" w:rsidRPr="00C77E8C" w:rsidSect="004F0FEF">
      <w:headerReference w:type="default" r:id="rId12"/>
      <w:footerReference w:type="defaul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714A" w14:textId="77777777" w:rsidR="00D458F9" w:rsidRDefault="00D458F9" w:rsidP="00C91BD0">
      <w:pPr>
        <w:spacing w:line="240" w:lineRule="auto"/>
      </w:pPr>
      <w:r>
        <w:separator/>
      </w:r>
    </w:p>
  </w:endnote>
  <w:endnote w:type="continuationSeparator" w:id="0">
    <w:p w14:paraId="47E0A79C" w14:textId="77777777" w:rsidR="00D458F9" w:rsidRDefault="00D458F9"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76373"/>
      <w:docPartObj>
        <w:docPartGallery w:val="Page Numbers (Bottom of Page)"/>
        <w:docPartUnique/>
      </w:docPartObj>
    </w:sdtPr>
    <w:sdtContent>
      <w:sdt>
        <w:sdtPr>
          <w:id w:val="-1769616900"/>
          <w:docPartObj>
            <w:docPartGallery w:val="Page Numbers (Top of Page)"/>
            <w:docPartUnique/>
          </w:docPartObj>
        </w:sdtPr>
        <w:sdtContent>
          <w:p w14:paraId="4761DDA9" w14:textId="77777777" w:rsidR="006D7883" w:rsidRDefault="006D7883">
            <w:pPr>
              <w:pStyle w:val="Footer"/>
              <w:jc w:val="right"/>
            </w:pPr>
            <w:r>
              <w:t xml:space="preserve">Page </w:t>
            </w:r>
            <w:r>
              <w:rPr>
                <w:b/>
                <w:bCs/>
              </w:rPr>
              <w:fldChar w:fldCharType="begin"/>
            </w:r>
            <w:r>
              <w:rPr>
                <w:b/>
                <w:bCs/>
              </w:rPr>
              <w:instrText xml:space="preserve"> PAGE </w:instrText>
            </w:r>
            <w:r>
              <w:rPr>
                <w:b/>
                <w:bCs/>
              </w:rPr>
              <w:fldChar w:fldCharType="separate"/>
            </w:r>
            <w:r w:rsidR="00FD6F34">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FD6F34">
              <w:rPr>
                <w:b/>
                <w:bCs/>
                <w:noProof/>
              </w:rPr>
              <w:t>17</w:t>
            </w:r>
            <w:r>
              <w:rPr>
                <w:b/>
                <w:bCs/>
              </w:rPr>
              <w:fldChar w:fldCharType="end"/>
            </w:r>
          </w:p>
        </w:sdtContent>
      </w:sdt>
    </w:sdtContent>
  </w:sdt>
  <w:p w14:paraId="10817C3B" w14:textId="77777777" w:rsidR="006D7883" w:rsidRDefault="006D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F3D9" w14:textId="77777777" w:rsidR="00D458F9" w:rsidRDefault="00D458F9" w:rsidP="00C91BD0">
      <w:pPr>
        <w:spacing w:line="240" w:lineRule="auto"/>
      </w:pPr>
      <w:r>
        <w:separator/>
      </w:r>
    </w:p>
  </w:footnote>
  <w:footnote w:type="continuationSeparator" w:id="0">
    <w:p w14:paraId="038C4BF3" w14:textId="77777777" w:rsidR="00D458F9" w:rsidRDefault="00D458F9" w:rsidP="00C91BD0">
      <w:pPr>
        <w:spacing w:line="240" w:lineRule="auto"/>
      </w:pPr>
      <w:r>
        <w:continuationSeparator/>
      </w:r>
    </w:p>
  </w:footnote>
  <w:footnote w:id="1">
    <w:p w14:paraId="18607AFF" w14:textId="77777777" w:rsidR="00641185" w:rsidRPr="00CB237F" w:rsidRDefault="00641185" w:rsidP="006E3570">
      <w:pPr>
        <w:pStyle w:val="FootnoteText"/>
        <w:rPr>
          <w:rFonts w:ascii="Times New Roman" w:hAnsi="Times New Roman" w:cs="Times New Roman"/>
        </w:rPr>
      </w:pPr>
      <w:r w:rsidRPr="00CB237F">
        <w:rPr>
          <w:rStyle w:val="FootnoteReference"/>
          <w:rFonts w:ascii="Times New Roman" w:hAnsi="Times New Roman" w:cs="Times New Roman"/>
        </w:rPr>
        <w:footnoteRef/>
      </w:r>
      <w:r w:rsidRPr="00CB237F">
        <w:rPr>
          <w:rFonts w:ascii="Times New Roman" w:hAnsi="Times New Roman" w:cs="Times New Roman"/>
        </w:rPr>
        <w:t xml:space="preserve"> </w:t>
      </w:r>
      <w:r w:rsidRPr="00864B2C">
        <w:t>Section 309(1)(a) of the Criminal Procedure Act no 51 of 1977, the Act</w:t>
      </w:r>
    </w:p>
  </w:footnote>
  <w:footnote w:id="2">
    <w:p w14:paraId="485B4734" w14:textId="77777777" w:rsidR="00BD50A4" w:rsidRDefault="00BD50A4">
      <w:pPr>
        <w:pStyle w:val="FootnoteText"/>
      </w:pPr>
      <w:r>
        <w:rPr>
          <w:rStyle w:val="FootnoteReference"/>
        </w:rPr>
        <w:footnoteRef/>
      </w:r>
      <w:r>
        <w:t xml:space="preserve"> S v Matshiva 2014</w:t>
      </w:r>
      <w:r w:rsidR="00BE0063">
        <w:t xml:space="preserve"> </w:t>
      </w:r>
      <w:r>
        <w:t>(1) SACR 29</w:t>
      </w:r>
      <w:r w:rsidR="00BE0063">
        <w:t xml:space="preserve"> </w:t>
      </w:r>
      <w:r>
        <w:t>(SCA) paragraph 10</w:t>
      </w:r>
      <w:r w:rsidR="003955E6">
        <w:t>, Henderson v S 1997</w:t>
      </w:r>
      <w:r w:rsidR="00BE0063">
        <w:t xml:space="preserve"> </w:t>
      </w:r>
      <w:r w:rsidR="008A2DB5">
        <w:t>(1) All SA594 (C), S v Bezuidenhout 2002</w:t>
      </w:r>
      <w:r w:rsidR="00A855A9">
        <w:t xml:space="preserve"> </w:t>
      </w:r>
      <w:r w:rsidR="008A2DB5">
        <w:t>(4) All SA 230F</w:t>
      </w:r>
      <w:r w:rsidR="00D65519">
        <w:t>.</w:t>
      </w:r>
    </w:p>
  </w:footnote>
  <w:footnote w:id="3">
    <w:p w14:paraId="70C76310" w14:textId="77777777" w:rsidR="000B6507" w:rsidRDefault="000B6507">
      <w:pPr>
        <w:pStyle w:val="FootnoteText"/>
      </w:pPr>
      <w:r>
        <w:rPr>
          <w:rStyle w:val="FootnoteReference"/>
        </w:rPr>
        <w:footnoteRef/>
      </w:r>
      <w:r>
        <w:t xml:space="preserve"> Section 164 of the CPA</w:t>
      </w:r>
      <w:r w:rsidR="00D65519">
        <w:t>.</w:t>
      </w:r>
    </w:p>
  </w:footnote>
  <w:footnote w:id="4">
    <w:p w14:paraId="2C306077" w14:textId="77777777" w:rsidR="00B32F5B" w:rsidRPr="003955E6" w:rsidRDefault="00B32F5B" w:rsidP="00B32F5B">
      <w:pPr>
        <w:pStyle w:val="FootnoteText"/>
        <w:rPr>
          <w:lang w:val="pt-BR"/>
        </w:rPr>
      </w:pPr>
      <w:r>
        <w:rPr>
          <w:rStyle w:val="FootnoteReference"/>
        </w:rPr>
        <w:footnoteRef/>
      </w:r>
      <w:r w:rsidRPr="003955E6">
        <w:rPr>
          <w:lang w:val="pt-BR"/>
        </w:rPr>
        <w:t xml:space="preserve"> </w:t>
      </w:r>
      <w:r w:rsidRPr="003955E6">
        <w:rPr>
          <w:lang w:val="pt-BR"/>
        </w:rPr>
        <w:t>S v Pienaar 2001</w:t>
      </w:r>
      <w:r w:rsidR="00BE23E8">
        <w:rPr>
          <w:lang w:val="pt-BR"/>
        </w:rPr>
        <w:t xml:space="preserve"> </w:t>
      </w:r>
      <w:r w:rsidRPr="003955E6">
        <w:rPr>
          <w:lang w:val="pt-BR"/>
        </w:rPr>
        <w:t>(1) SACR 39 (C) ;S v Malinga 2002 (1) SACR</w:t>
      </w:r>
      <w:r w:rsidR="00BE0063" w:rsidRPr="003955E6">
        <w:rPr>
          <w:lang w:val="pt-BR"/>
        </w:rPr>
        <w:t xml:space="preserve"> </w:t>
      </w:r>
      <w:r w:rsidRPr="003955E6">
        <w:rPr>
          <w:lang w:val="pt-BR"/>
        </w:rPr>
        <w:t>615 (N</w:t>
      </w:r>
      <w:r w:rsidR="00D65519" w:rsidRPr="003955E6">
        <w:rPr>
          <w:lang w:val="pt-BR"/>
        </w:rPr>
        <w:t>).</w:t>
      </w:r>
    </w:p>
  </w:footnote>
  <w:footnote w:id="5">
    <w:p w14:paraId="56F16E40" w14:textId="77777777" w:rsidR="00F76467" w:rsidRDefault="00F76467" w:rsidP="00F76467">
      <w:pPr>
        <w:pStyle w:val="FootnoteText"/>
      </w:pPr>
      <w:r>
        <w:rPr>
          <w:rStyle w:val="FootnoteReference"/>
        </w:rPr>
        <w:footnoteRef/>
      </w:r>
      <w:r>
        <w:t xml:space="preserve"> The South African Law of Evidence 3</w:t>
      </w:r>
      <w:r w:rsidRPr="00886064">
        <w:rPr>
          <w:vertAlign w:val="superscript"/>
        </w:rPr>
        <w:t>rd</w:t>
      </w:r>
      <w:r>
        <w:t xml:space="preserve"> Edition, Ch 20 at page 935</w:t>
      </w:r>
      <w:r w:rsidR="00D65519">
        <w:t>.</w:t>
      </w:r>
    </w:p>
  </w:footnote>
  <w:footnote w:id="6">
    <w:p w14:paraId="071F6FDC" w14:textId="77777777" w:rsidR="00F76467" w:rsidRPr="0010533D" w:rsidRDefault="00F76467" w:rsidP="00F76467">
      <w:pPr>
        <w:pStyle w:val="FootnoteText"/>
        <w:rPr>
          <w:lang w:val="pt-BR"/>
        </w:rPr>
      </w:pPr>
      <w:r>
        <w:rPr>
          <w:rStyle w:val="FootnoteReference"/>
        </w:rPr>
        <w:footnoteRef/>
      </w:r>
      <w:r w:rsidRPr="0010533D">
        <w:rPr>
          <w:lang w:val="pt-BR"/>
        </w:rPr>
        <w:t xml:space="preserve"> </w:t>
      </w:r>
      <w:r w:rsidRPr="0010533D">
        <w:rPr>
          <w:lang w:val="pt-BR"/>
        </w:rPr>
        <w:t>1996 (2)</w:t>
      </w:r>
      <w:r w:rsidR="00BE0063">
        <w:rPr>
          <w:lang w:val="pt-BR"/>
        </w:rPr>
        <w:t xml:space="preserve"> </w:t>
      </w:r>
      <w:r w:rsidRPr="0010533D">
        <w:rPr>
          <w:lang w:val="pt-BR"/>
        </w:rPr>
        <w:t>SACR 225 (C)</w:t>
      </w:r>
      <w:r w:rsidR="00D65519" w:rsidRPr="0010533D">
        <w:rPr>
          <w:lang w:val="pt-BR"/>
        </w:rPr>
        <w:t>.</w:t>
      </w:r>
    </w:p>
  </w:footnote>
  <w:footnote w:id="7">
    <w:p w14:paraId="5C12FFE5" w14:textId="77777777" w:rsidR="00E16DE3" w:rsidRDefault="00E16DE3" w:rsidP="00DA11EB">
      <w:pPr>
        <w:spacing w:line="240" w:lineRule="auto"/>
      </w:pPr>
    </w:p>
    <w:p w14:paraId="5FEFDE23" w14:textId="77777777" w:rsidR="00B86C35" w:rsidRPr="00BE0063" w:rsidRDefault="00B86C35" w:rsidP="00DA11EB">
      <w:pPr>
        <w:pStyle w:val="FootnoteText"/>
        <w:spacing w:line="240" w:lineRule="auto"/>
        <w:rPr>
          <w:u w:val="single"/>
          <w:lang w:val="pt-BR"/>
        </w:rPr>
      </w:pPr>
    </w:p>
  </w:footnote>
  <w:footnote w:id="8">
    <w:p w14:paraId="1029DEC7" w14:textId="77777777" w:rsidR="00B86C35" w:rsidRPr="00BE0063" w:rsidRDefault="00B86C35" w:rsidP="00DA11EB">
      <w:pPr>
        <w:pStyle w:val="FootnoteText"/>
        <w:spacing w:line="240" w:lineRule="auto"/>
        <w:rPr>
          <w:lang w:val="pt-BR"/>
        </w:rPr>
      </w:pPr>
      <w:r w:rsidRPr="00BE0063">
        <w:rPr>
          <w:rStyle w:val="FootnoteReference"/>
        </w:rPr>
        <w:footnoteRef/>
      </w:r>
      <w:r w:rsidRPr="00BE0063">
        <w:rPr>
          <w:lang w:val="pt-BR"/>
        </w:rPr>
        <w:t xml:space="preserve"> </w:t>
      </w:r>
      <w:r w:rsidRPr="00BE0063">
        <w:rPr>
          <w:lang w:val="pt-BR"/>
        </w:rPr>
        <w:t>2003</w:t>
      </w:r>
      <w:r w:rsidR="00BE0063" w:rsidRPr="00BE0063">
        <w:rPr>
          <w:lang w:val="pt-BR"/>
        </w:rPr>
        <w:t xml:space="preserve"> </w:t>
      </w:r>
      <w:r w:rsidRPr="00BE0063">
        <w:rPr>
          <w:lang w:val="pt-BR"/>
        </w:rPr>
        <w:t>(1) SACR 52</w:t>
      </w:r>
      <w:r w:rsidR="00BE0063" w:rsidRPr="00BE0063">
        <w:rPr>
          <w:lang w:val="pt-BR"/>
        </w:rPr>
        <w:t xml:space="preserve"> </w:t>
      </w:r>
      <w:r w:rsidRPr="00BE0063">
        <w:rPr>
          <w:lang w:val="pt-BR"/>
        </w:rPr>
        <w:t>(SCA), 2003</w:t>
      </w:r>
      <w:r w:rsidR="00BE0063" w:rsidRPr="00BE0063">
        <w:rPr>
          <w:lang w:val="pt-BR"/>
        </w:rPr>
        <w:t xml:space="preserve"> </w:t>
      </w:r>
      <w:r w:rsidRPr="00BE0063">
        <w:rPr>
          <w:lang w:val="pt-BR"/>
        </w:rPr>
        <w:t>(</w:t>
      </w:r>
      <w:r w:rsidR="00BE0063" w:rsidRPr="00BE0063">
        <w:rPr>
          <w:lang w:val="pt-BR"/>
        </w:rPr>
        <w:t xml:space="preserve"> </w:t>
      </w:r>
      <w:r w:rsidRPr="00BE0063">
        <w:rPr>
          <w:lang w:val="pt-BR"/>
        </w:rPr>
        <w:t xml:space="preserve">1) SA </w:t>
      </w:r>
      <w:r w:rsidR="00925487" w:rsidRPr="00BE0063">
        <w:rPr>
          <w:lang w:val="pt-BR"/>
        </w:rPr>
        <w:t>552.</w:t>
      </w:r>
      <w:r w:rsidR="005C68F6" w:rsidRPr="00BE0063">
        <w:rPr>
          <w:lang w:val="pt-BR"/>
        </w:rPr>
        <w:t xml:space="preserve"> S v Malinga, S v Pienaar fn 4 (supra);</w:t>
      </w:r>
      <w:r w:rsidR="003C0DF9">
        <w:rPr>
          <w:lang w:val="pt-BR"/>
        </w:rPr>
        <w:t xml:space="preserve"> </w:t>
      </w:r>
      <w:r w:rsidR="005C68F6" w:rsidRPr="00BE0063">
        <w:rPr>
          <w:lang w:val="pt-BR"/>
        </w:rPr>
        <w:t xml:space="preserve">S v N </w:t>
      </w:r>
      <w:r w:rsidR="00BE0063" w:rsidRPr="003C0DF9">
        <w:rPr>
          <w:i/>
          <w:lang w:val="pt-BR"/>
        </w:rPr>
        <w:t>supra</w:t>
      </w:r>
      <w:r w:rsidR="00BE0063" w:rsidRPr="00BE0063">
        <w:rPr>
          <w:lang w:val="pt-BR"/>
        </w:rPr>
        <w:t xml:space="preserve"> note</w:t>
      </w:r>
      <w:r w:rsidR="003C0DF9">
        <w:rPr>
          <w:lang w:val="pt-BR"/>
        </w:rPr>
        <w:t>.</w:t>
      </w:r>
      <w:r w:rsidR="005C68F6" w:rsidRPr="00BE0063">
        <w:rPr>
          <w:lang w:val="pt-BR"/>
        </w:rPr>
        <w:t xml:space="preserve"> </w:t>
      </w:r>
    </w:p>
  </w:footnote>
  <w:footnote w:id="9">
    <w:p w14:paraId="315427A6" w14:textId="77777777" w:rsidR="00915EEA" w:rsidRDefault="00915EEA" w:rsidP="00DA11EB">
      <w:pPr>
        <w:pStyle w:val="FootnoteText"/>
        <w:spacing w:line="240" w:lineRule="auto"/>
      </w:pPr>
      <w:r>
        <w:rPr>
          <w:rStyle w:val="FootnoteReference"/>
        </w:rPr>
        <w:footnoteRef/>
      </w:r>
      <w:r>
        <w:t xml:space="preserve"> Case number (137/2012) [2012] ZASCA</w:t>
      </w:r>
    </w:p>
  </w:footnote>
  <w:footnote w:id="10">
    <w:p w14:paraId="0481DD5B" w14:textId="77777777" w:rsidR="0088337E" w:rsidRDefault="0088337E">
      <w:pPr>
        <w:pStyle w:val="FootnoteText"/>
      </w:pPr>
      <w:r>
        <w:rPr>
          <w:rStyle w:val="FootnoteReference"/>
        </w:rPr>
        <w:footnoteRef/>
      </w:r>
      <w:r>
        <w:t xml:space="preserve"> (CA&amp;R 26/</w:t>
      </w:r>
      <w:proofErr w:type="gramStart"/>
      <w:r>
        <w:t>21)[</w:t>
      </w:r>
      <w:proofErr w:type="gramEnd"/>
      <w:r>
        <w:t xml:space="preserve">2022] ZAECBHC 44; </w:t>
      </w:r>
      <w:r w:rsidR="001C473C">
        <w:t>2023(1) SACR 380 (ECB) (6 December 2022)</w:t>
      </w:r>
    </w:p>
  </w:footnote>
  <w:footnote w:id="11">
    <w:p w14:paraId="05159B91" w14:textId="77777777" w:rsidR="00263194" w:rsidRDefault="00263194">
      <w:pPr>
        <w:pStyle w:val="FootnoteText"/>
      </w:pPr>
      <w:r>
        <w:rPr>
          <w:rStyle w:val="FootnoteReference"/>
        </w:rPr>
        <w:footnoteRef/>
      </w:r>
      <w:r>
        <w:t xml:space="preserve"> Supra fn 11</w:t>
      </w:r>
    </w:p>
  </w:footnote>
  <w:footnote w:id="12">
    <w:p w14:paraId="28FDC34C" w14:textId="77777777" w:rsidR="00783C1C" w:rsidRDefault="00783C1C">
      <w:pPr>
        <w:pStyle w:val="FootnoteText"/>
      </w:pPr>
      <w:r>
        <w:rPr>
          <w:rStyle w:val="FootnoteReference"/>
        </w:rPr>
        <w:footnoteRef/>
      </w:r>
      <w:r>
        <w:t xml:space="preserve"> 2018(2) SACR 573 SCA</w:t>
      </w:r>
    </w:p>
  </w:footnote>
  <w:footnote w:id="13">
    <w:p w14:paraId="2A3A083D" w14:textId="77777777" w:rsidR="00516BD6" w:rsidRDefault="00516BD6">
      <w:pPr>
        <w:pStyle w:val="FootnoteText"/>
      </w:pPr>
      <w:r>
        <w:rPr>
          <w:rStyle w:val="FootnoteReference"/>
        </w:rPr>
        <w:footnoteRef/>
      </w:r>
      <w:r w:rsidR="00707561">
        <w:t xml:space="preserve"> Law of </w:t>
      </w:r>
      <w:proofErr w:type="gramStart"/>
      <w:r w:rsidR="00707561">
        <w:t>Evidence ,</w:t>
      </w:r>
      <w:proofErr w:type="gramEnd"/>
      <w:r w:rsidR="00707561">
        <w:t xml:space="preserve"> lexis Nexis, But</w:t>
      </w:r>
      <w:r w:rsidR="003C0DF9">
        <w:t>terworths, ISSUE 9, pages 9-39.</w:t>
      </w:r>
    </w:p>
  </w:footnote>
  <w:footnote w:id="14">
    <w:p w14:paraId="0F5AC688" w14:textId="77777777" w:rsidR="00C8013B" w:rsidRDefault="00C8013B">
      <w:pPr>
        <w:pStyle w:val="FootnoteText"/>
      </w:pPr>
      <w:r>
        <w:rPr>
          <w:rStyle w:val="FootnoteReference"/>
        </w:rPr>
        <w:footnoteRef/>
      </w:r>
      <w:r>
        <w:t xml:space="preserve"> Supra </w:t>
      </w:r>
      <w:r w:rsidR="00BE0063">
        <w:t xml:space="preserve">note </w:t>
      </w:r>
      <w:r>
        <w:t>2</w:t>
      </w:r>
      <w:r w:rsidR="00BE0063">
        <w:t>.</w:t>
      </w:r>
    </w:p>
  </w:footnote>
  <w:footnote w:id="15">
    <w:p w14:paraId="287F15FE" w14:textId="77777777" w:rsidR="00933D1D" w:rsidRDefault="00933D1D">
      <w:pPr>
        <w:pStyle w:val="FootnoteText"/>
      </w:pPr>
      <w:r>
        <w:rPr>
          <w:rStyle w:val="FootnoteReference"/>
        </w:rPr>
        <w:footnoteRef/>
      </w:r>
      <w:r>
        <w:t xml:space="preserve"> Act 32 of 2007</w:t>
      </w:r>
      <w:r w:rsidR="00BE0063">
        <w:t>.</w:t>
      </w:r>
    </w:p>
  </w:footnote>
  <w:footnote w:id="16">
    <w:p w14:paraId="2E7B68CC" w14:textId="77777777" w:rsidR="00F5665D" w:rsidRDefault="00571ABB" w:rsidP="00B60A7E">
      <w:pPr>
        <w:pStyle w:val="FootnoteText"/>
        <w:jc w:val="both"/>
      </w:pPr>
      <w:r>
        <w:rPr>
          <w:rStyle w:val="FootnoteReference"/>
        </w:rPr>
        <w:footnoteRef/>
      </w:r>
      <w:r>
        <w:t xml:space="preserve"> Before 05 August 2022</w:t>
      </w:r>
      <w:r w:rsidR="00F5665D">
        <w:t>, the provisions of Section 170 A of the CPA provided as follows:’(1) Whenever criminal proceedings are pending before any court and it appears to each court that it would expose any witness under th</w:t>
      </w:r>
      <w:r w:rsidR="00F274A2">
        <w:t>e biological or mental age of eighteen years to undue mental stress or suffering if he or she testifies at such proceedings, the court may, subject to subsection 4 appoint a competent person as an intermediary.</w:t>
      </w:r>
      <w:r w:rsidR="00A1445D">
        <w:t xml:space="preserve"> </w:t>
      </w:r>
      <w:r w:rsidR="003418DB">
        <w:t>(</w:t>
      </w:r>
      <w:r w:rsidR="00F274A2">
        <w:t>2</w:t>
      </w:r>
      <w:r w:rsidR="003418DB">
        <w:t>)</w:t>
      </w:r>
      <w:r w:rsidR="00F274A2">
        <w:t xml:space="preserve"> No examination, cross-examination or re-examination of any witness in respect of whom a court has appointed as an intermediary under subsection (1), except examination by the court shall take place in any manner other than through that intermediary…</w:t>
      </w:r>
      <w:proofErr w:type="gramStart"/>
      <w:r w:rsidR="00F274A2">
        <w:t>….</w:t>
      </w:r>
      <w:r w:rsidR="00B60A7E">
        <w:t>S</w:t>
      </w:r>
      <w:r w:rsidR="00B268AC">
        <w:t>ection</w:t>
      </w:r>
      <w:proofErr w:type="gramEnd"/>
      <w:r w:rsidR="00B268AC">
        <w:t xml:space="preserve"> 170A(1) </w:t>
      </w:r>
      <w:r w:rsidR="00B60A7E">
        <w:t>was</w:t>
      </w:r>
      <w:r w:rsidR="00B268AC">
        <w:t xml:space="preserve"> amended by the Criminal Law Amendment Act 12 of 2021</w:t>
      </w:r>
      <w:r w:rsidR="00AA0042">
        <w:t xml:space="preserve">, however, </w:t>
      </w:r>
      <w:r w:rsidR="00FD6F34">
        <w:t>the amendments did not change the essence of the provision as aforementioned.</w:t>
      </w:r>
      <w:r w:rsidR="00D069BA">
        <w:t>.</w:t>
      </w:r>
    </w:p>
  </w:footnote>
  <w:footnote w:id="17">
    <w:p w14:paraId="4F702470" w14:textId="77777777" w:rsidR="00F274A2" w:rsidRDefault="00F274A2" w:rsidP="003955E6">
      <w:pPr>
        <w:pStyle w:val="FootnoteText"/>
        <w:jc w:val="both"/>
      </w:pPr>
      <w:r>
        <w:rPr>
          <w:rStyle w:val="FootnoteReference"/>
        </w:rPr>
        <w:footnoteRef/>
      </w:r>
      <w:r>
        <w:t xml:space="preserve"> Case no: CC08/2019, unr</w:t>
      </w:r>
      <w:r w:rsidR="00F21FB3">
        <w:t xml:space="preserve">eported judgment </w:t>
      </w:r>
      <w:r>
        <w:t>delivered on 14 September 2023.</w:t>
      </w:r>
    </w:p>
  </w:footnote>
  <w:footnote w:id="18">
    <w:p w14:paraId="1C32BDB9" w14:textId="77777777" w:rsidR="00BA19C5" w:rsidRDefault="00BA19C5" w:rsidP="003955E6">
      <w:pPr>
        <w:pStyle w:val="FootnoteText"/>
        <w:jc w:val="both"/>
      </w:pPr>
      <w:r>
        <w:rPr>
          <w:rStyle w:val="FootnoteReference"/>
        </w:rPr>
        <w:footnoteRef/>
      </w:r>
      <w:r>
        <w:t xml:space="preserve"> 2009</w:t>
      </w:r>
      <w:r w:rsidR="00BE0063">
        <w:t xml:space="preserve"> </w:t>
      </w:r>
      <w:r>
        <w:t>(2) SACR 130 (CC)</w:t>
      </w:r>
      <w:r w:rsidR="003C0DF9">
        <w:t>.</w:t>
      </w:r>
    </w:p>
  </w:footnote>
  <w:footnote w:id="19">
    <w:p w14:paraId="61A51E4C" w14:textId="77777777" w:rsidR="00AC4CBE" w:rsidRDefault="00AC4CBE" w:rsidP="003955E6">
      <w:pPr>
        <w:pStyle w:val="FootnoteText"/>
        <w:jc w:val="both"/>
      </w:pPr>
      <w:r>
        <w:rPr>
          <w:rStyle w:val="FootnoteReference"/>
        </w:rPr>
        <w:footnoteRef/>
      </w:r>
      <w:r>
        <w:t xml:space="preserve"> </w:t>
      </w:r>
      <w:r w:rsidR="00BE0063">
        <w:rPr>
          <w:rFonts w:eastAsia="Times New Roman"/>
          <w:lang w:eastAsia="en-ZA"/>
        </w:rPr>
        <w:t>Supra note 15 p</w:t>
      </w:r>
      <w:r w:rsidRPr="00AC4CBE">
        <w:rPr>
          <w:rFonts w:eastAsia="Times New Roman"/>
          <w:lang w:eastAsia="en-ZA"/>
        </w:rPr>
        <w:t>ara</w:t>
      </w:r>
      <w:r w:rsidR="00BE0063">
        <w:rPr>
          <w:rFonts w:eastAsia="Times New Roman"/>
          <w:lang w:eastAsia="en-ZA"/>
        </w:rPr>
        <w:t>s</w:t>
      </w:r>
      <w:r w:rsidRPr="00AC4CBE">
        <w:rPr>
          <w:rFonts w:eastAsia="Times New Roman"/>
          <w:lang w:eastAsia="en-ZA"/>
        </w:rPr>
        <w:t xml:space="preserve"> [113]</w:t>
      </w:r>
      <w:r w:rsidR="00BE0063">
        <w:rPr>
          <w:rFonts w:eastAsia="Times New Roman"/>
          <w:lang w:eastAsia="en-ZA"/>
        </w:rPr>
        <w:t xml:space="preserve"> and </w:t>
      </w:r>
      <w:r w:rsidRPr="00AC4CBE">
        <w:rPr>
          <w:rFonts w:eastAsia="Times New Roman"/>
          <w:lang w:eastAsia="en-ZA"/>
        </w:rPr>
        <w:t>[114].</w:t>
      </w:r>
    </w:p>
  </w:footnote>
  <w:footnote w:id="20">
    <w:p w14:paraId="16883D60" w14:textId="77777777" w:rsidR="00AC4CBE" w:rsidRPr="00AC4CBE" w:rsidRDefault="00AC4CBE" w:rsidP="00AC4CBE">
      <w:pPr>
        <w:jc w:val="both"/>
        <w:rPr>
          <w:rFonts w:eastAsia="Times New Roman"/>
          <w:sz w:val="20"/>
          <w:szCs w:val="20"/>
          <w:lang w:eastAsia="en-ZA"/>
        </w:rPr>
      </w:pPr>
      <w:r>
        <w:rPr>
          <w:rStyle w:val="FootnoteReference"/>
        </w:rPr>
        <w:footnoteRef/>
      </w:r>
      <w:r>
        <w:t xml:space="preserve"> </w:t>
      </w:r>
      <w:r w:rsidRPr="00AC4CBE">
        <w:rPr>
          <w:rFonts w:eastAsia="Times New Roman"/>
          <w:sz w:val="20"/>
          <w:szCs w:val="20"/>
          <w:lang w:eastAsia="en-ZA"/>
        </w:rPr>
        <w:t>Paragraph [123] at 176</w:t>
      </w:r>
      <w:r w:rsidRPr="00AC4CBE">
        <w:rPr>
          <w:rFonts w:eastAsia="Times New Roman"/>
          <w:i/>
          <w:iCs/>
          <w:sz w:val="20"/>
          <w:szCs w:val="20"/>
          <w:lang w:eastAsia="en-ZA"/>
        </w:rPr>
        <w:t>b</w:t>
      </w:r>
      <w:r w:rsidRPr="00AC4CBE">
        <w:rPr>
          <w:rFonts w:eastAsia="Times New Roman"/>
          <w:sz w:val="20"/>
          <w:szCs w:val="20"/>
          <w:lang w:eastAsia="en-ZA"/>
        </w:rPr>
        <w:t>.)</w:t>
      </w:r>
    </w:p>
    <w:p w14:paraId="03A757B5" w14:textId="77777777" w:rsidR="00AC4CBE" w:rsidRDefault="00AC4C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AF06" w14:textId="77777777" w:rsidR="00641185" w:rsidRPr="004F0FEF" w:rsidRDefault="00641185">
    <w:pPr>
      <w:pStyle w:val="Header"/>
      <w:jc w:val="right"/>
      <w:rPr>
        <w:sz w:val="20"/>
        <w:szCs w:val="20"/>
      </w:rPr>
    </w:pPr>
  </w:p>
  <w:p w14:paraId="4911568A" w14:textId="77777777" w:rsidR="00641185" w:rsidRDefault="0064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4C"/>
    <w:multiLevelType w:val="hybridMultilevel"/>
    <w:tmpl w:val="1CF2EDD6"/>
    <w:lvl w:ilvl="0" w:tplc="BBCAA652">
      <w:start w:val="1"/>
      <w:numFmt w:val="decimal"/>
      <w:lvlText w:val="(%1)"/>
      <w:lvlJc w:val="left"/>
      <w:pPr>
        <w:ind w:left="1352" w:hanging="360"/>
      </w:pPr>
      <w:rPr>
        <w:rFonts w:hint="default"/>
      </w:rPr>
    </w:lvl>
    <w:lvl w:ilvl="1" w:tplc="1C090019" w:tentative="1">
      <w:start w:val="1"/>
      <w:numFmt w:val="lowerLetter"/>
      <w:lvlText w:val="%2."/>
      <w:lvlJc w:val="left"/>
      <w:pPr>
        <w:ind w:left="2072" w:hanging="360"/>
      </w:pPr>
    </w:lvl>
    <w:lvl w:ilvl="2" w:tplc="1C09001B" w:tentative="1">
      <w:start w:val="1"/>
      <w:numFmt w:val="lowerRoman"/>
      <w:lvlText w:val="%3."/>
      <w:lvlJc w:val="right"/>
      <w:pPr>
        <w:ind w:left="2792" w:hanging="180"/>
      </w:pPr>
    </w:lvl>
    <w:lvl w:ilvl="3" w:tplc="1C09000F" w:tentative="1">
      <w:start w:val="1"/>
      <w:numFmt w:val="decimal"/>
      <w:lvlText w:val="%4."/>
      <w:lvlJc w:val="left"/>
      <w:pPr>
        <w:ind w:left="3512" w:hanging="360"/>
      </w:pPr>
    </w:lvl>
    <w:lvl w:ilvl="4" w:tplc="1C090019" w:tentative="1">
      <w:start w:val="1"/>
      <w:numFmt w:val="lowerLetter"/>
      <w:lvlText w:val="%5."/>
      <w:lvlJc w:val="left"/>
      <w:pPr>
        <w:ind w:left="4232" w:hanging="360"/>
      </w:pPr>
    </w:lvl>
    <w:lvl w:ilvl="5" w:tplc="1C09001B" w:tentative="1">
      <w:start w:val="1"/>
      <w:numFmt w:val="lowerRoman"/>
      <w:lvlText w:val="%6."/>
      <w:lvlJc w:val="right"/>
      <w:pPr>
        <w:ind w:left="4952" w:hanging="180"/>
      </w:pPr>
    </w:lvl>
    <w:lvl w:ilvl="6" w:tplc="1C09000F" w:tentative="1">
      <w:start w:val="1"/>
      <w:numFmt w:val="decimal"/>
      <w:lvlText w:val="%7."/>
      <w:lvlJc w:val="left"/>
      <w:pPr>
        <w:ind w:left="5672" w:hanging="360"/>
      </w:pPr>
    </w:lvl>
    <w:lvl w:ilvl="7" w:tplc="1C090019" w:tentative="1">
      <w:start w:val="1"/>
      <w:numFmt w:val="lowerLetter"/>
      <w:lvlText w:val="%8."/>
      <w:lvlJc w:val="left"/>
      <w:pPr>
        <w:ind w:left="6392" w:hanging="360"/>
      </w:pPr>
    </w:lvl>
    <w:lvl w:ilvl="8" w:tplc="1C09001B" w:tentative="1">
      <w:start w:val="1"/>
      <w:numFmt w:val="lowerRoman"/>
      <w:lvlText w:val="%9."/>
      <w:lvlJc w:val="right"/>
      <w:pPr>
        <w:ind w:left="7112" w:hanging="180"/>
      </w:pPr>
    </w:lvl>
  </w:abstractNum>
  <w:abstractNum w:abstractNumId="1"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C0936"/>
    <w:multiLevelType w:val="hybridMultilevel"/>
    <w:tmpl w:val="4B2E73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15:restartNumberingAfterBreak="0">
    <w:nsid w:val="32367407"/>
    <w:multiLevelType w:val="hybridMultilevel"/>
    <w:tmpl w:val="AD0C3942"/>
    <w:lvl w:ilvl="0" w:tplc="B6E888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C626E9A"/>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691D53"/>
    <w:multiLevelType w:val="hybridMultilevel"/>
    <w:tmpl w:val="7D60297A"/>
    <w:lvl w:ilvl="0" w:tplc="3A3EA4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9A5E53"/>
    <w:multiLevelType w:val="hybridMultilevel"/>
    <w:tmpl w:val="9C9A708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7EDE6AA0"/>
    <w:multiLevelType w:val="hybridMultilevel"/>
    <w:tmpl w:val="580661D8"/>
    <w:lvl w:ilvl="0" w:tplc="85F8E0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71711361">
    <w:abstractNumId w:val="2"/>
  </w:num>
  <w:num w:numId="2" w16cid:durableId="25952370">
    <w:abstractNumId w:val="8"/>
  </w:num>
  <w:num w:numId="3" w16cid:durableId="503933837">
    <w:abstractNumId w:val="1"/>
  </w:num>
  <w:num w:numId="4" w16cid:durableId="678897392">
    <w:abstractNumId w:val="4"/>
  </w:num>
  <w:num w:numId="5" w16cid:durableId="1098063163">
    <w:abstractNumId w:val="6"/>
  </w:num>
  <w:num w:numId="6" w16cid:durableId="745880648">
    <w:abstractNumId w:val="7"/>
  </w:num>
  <w:num w:numId="7" w16cid:durableId="1994290945">
    <w:abstractNumId w:val="3"/>
  </w:num>
  <w:num w:numId="8" w16cid:durableId="1288319370">
    <w:abstractNumId w:val="0"/>
  </w:num>
  <w:num w:numId="9" w16cid:durableId="2001536161">
    <w:abstractNumId w:val="10"/>
  </w:num>
  <w:num w:numId="10" w16cid:durableId="1008865698">
    <w:abstractNumId w:val="5"/>
  </w:num>
  <w:num w:numId="11" w16cid:durableId="39210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S0tLA0szAyNLYwMjFT0lEKTi0uzszPAykwrgUAYAUV6ywAAAA="/>
  </w:docVars>
  <w:rsids>
    <w:rsidRoot w:val="00C91BD0"/>
    <w:rsid w:val="00015CB3"/>
    <w:rsid w:val="00022D42"/>
    <w:rsid w:val="00025548"/>
    <w:rsid w:val="000342A6"/>
    <w:rsid w:val="00034B72"/>
    <w:rsid w:val="00042069"/>
    <w:rsid w:val="000420A4"/>
    <w:rsid w:val="00042E88"/>
    <w:rsid w:val="000445FB"/>
    <w:rsid w:val="0008292B"/>
    <w:rsid w:val="000876D8"/>
    <w:rsid w:val="00087986"/>
    <w:rsid w:val="00090F43"/>
    <w:rsid w:val="000947D6"/>
    <w:rsid w:val="00096FD4"/>
    <w:rsid w:val="000978A7"/>
    <w:rsid w:val="000A1A90"/>
    <w:rsid w:val="000A70DD"/>
    <w:rsid w:val="000B2422"/>
    <w:rsid w:val="000B6507"/>
    <w:rsid w:val="000C39B1"/>
    <w:rsid w:val="000C5B3A"/>
    <w:rsid w:val="000D3219"/>
    <w:rsid w:val="000F0DCE"/>
    <w:rsid w:val="000F172F"/>
    <w:rsid w:val="000F4CF3"/>
    <w:rsid w:val="000F7F86"/>
    <w:rsid w:val="00102857"/>
    <w:rsid w:val="0010533D"/>
    <w:rsid w:val="00105FAC"/>
    <w:rsid w:val="00107CF1"/>
    <w:rsid w:val="001305D3"/>
    <w:rsid w:val="001318BD"/>
    <w:rsid w:val="00133D95"/>
    <w:rsid w:val="00137FFD"/>
    <w:rsid w:val="001458A9"/>
    <w:rsid w:val="00170946"/>
    <w:rsid w:val="001722EB"/>
    <w:rsid w:val="001758A6"/>
    <w:rsid w:val="00191EF6"/>
    <w:rsid w:val="00191F9A"/>
    <w:rsid w:val="001947E2"/>
    <w:rsid w:val="00196E38"/>
    <w:rsid w:val="001A4DF7"/>
    <w:rsid w:val="001B4161"/>
    <w:rsid w:val="001B6631"/>
    <w:rsid w:val="001C2606"/>
    <w:rsid w:val="001C473C"/>
    <w:rsid w:val="001D7CB3"/>
    <w:rsid w:val="001E62A4"/>
    <w:rsid w:val="00201EC4"/>
    <w:rsid w:val="00201EEE"/>
    <w:rsid w:val="0020606B"/>
    <w:rsid w:val="00216340"/>
    <w:rsid w:val="002278D8"/>
    <w:rsid w:val="0022794C"/>
    <w:rsid w:val="0023584C"/>
    <w:rsid w:val="002526C7"/>
    <w:rsid w:val="00263194"/>
    <w:rsid w:val="002639E9"/>
    <w:rsid w:val="00270D0A"/>
    <w:rsid w:val="00276D78"/>
    <w:rsid w:val="00280D29"/>
    <w:rsid w:val="00281FA1"/>
    <w:rsid w:val="0028211F"/>
    <w:rsid w:val="0028790C"/>
    <w:rsid w:val="002904BF"/>
    <w:rsid w:val="002C3791"/>
    <w:rsid w:val="00304F52"/>
    <w:rsid w:val="00310D90"/>
    <w:rsid w:val="00325834"/>
    <w:rsid w:val="0033302C"/>
    <w:rsid w:val="00333397"/>
    <w:rsid w:val="003348FF"/>
    <w:rsid w:val="00335E89"/>
    <w:rsid w:val="003418DB"/>
    <w:rsid w:val="00362240"/>
    <w:rsid w:val="00371E51"/>
    <w:rsid w:val="003765E8"/>
    <w:rsid w:val="00380018"/>
    <w:rsid w:val="00380F22"/>
    <w:rsid w:val="00382AFD"/>
    <w:rsid w:val="003955E6"/>
    <w:rsid w:val="003A1AC6"/>
    <w:rsid w:val="003A72E9"/>
    <w:rsid w:val="003B0227"/>
    <w:rsid w:val="003B2874"/>
    <w:rsid w:val="003B77E5"/>
    <w:rsid w:val="003C0A46"/>
    <w:rsid w:val="003C0DF9"/>
    <w:rsid w:val="003C4D02"/>
    <w:rsid w:val="003D0718"/>
    <w:rsid w:val="003D436C"/>
    <w:rsid w:val="003E4AE4"/>
    <w:rsid w:val="003F21F8"/>
    <w:rsid w:val="00407110"/>
    <w:rsid w:val="00413353"/>
    <w:rsid w:val="00423895"/>
    <w:rsid w:val="00425AEE"/>
    <w:rsid w:val="004275DB"/>
    <w:rsid w:val="00431CF9"/>
    <w:rsid w:val="00444170"/>
    <w:rsid w:val="0044431A"/>
    <w:rsid w:val="00453EEF"/>
    <w:rsid w:val="00476FA3"/>
    <w:rsid w:val="004A3816"/>
    <w:rsid w:val="004A650C"/>
    <w:rsid w:val="004B5AF9"/>
    <w:rsid w:val="004D0E36"/>
    <w:rsid w:val="004E7FA6"/>
    <w:rsid w:val="004F0FEF"/>
    <w:rsid w:val="004F1518"/>
    <w:rsid w:val="004F6B38"/>
    <w:rsid w:val="00516350"/>
    <w:rsid w:val="00516BD6"/>
    <w:rsid w:val="005235B6"/>
    <w:rsid w:val="00526A80"/>
    <w:rsid w:val="00532975"/>
    <w:rsid w:val="00543A95"/>
    <w:rsid w:val="00570CF0"/>
    <w:rsid w:val="00571573"/>
    <w:rsid w:val="00571ABB"/>
    <w:rsid w:val="005911CD"/>
    <w:rsid w:val="005B133B"/>
    <w:rsid w:val="005B4CF3"/>
    <w:rsid w:val="005C572D"/>
    <w:rsid w:val="005C68F6"/>
    <w:rsid w:val="005E1780"/>
    <w:rsid w:val="005E238C"/>
    <w:rsid w:val="005E7663"/>
    <w:rsid w:val="00600ADD"/>
    <w:rsid w:val="00600B87"/>
    <w:rsid w:val="00606807"/>
    <w:rsid w:val="006145F2"/>
    <w:rsid w:val="00616511"/>
    <w:rsid w:val="006166CF"/>
    <w:rsid w:val="00621CD8"/>
    <w:rsid w:val="0062634D"/>
    <w:rsid w:val="00634D1E"/>
    <w:rsid w:val="00641185"/>
    <w:rsid w:val="0065537B"/>
    <w:rsid w:val="00656E28"/>
    <w:rsid w:val="00663C3D"/>
    <w:rsid w:val="00665137"/>
    <w:rsid w:val="00673B6B"/>
    <w:rsid w:val="006773E9"/>
    <w:rsid w:val="00677EA3"/>
    <w:rsid w:val="0069300B"/>
    <w:rsid w:val="006932CF"/>
    <w:rsid w:val="00694FFB"/>
    <w:rsid w:val="006979EB"/>
    <w:rsid w:val="006A257E"/>
    <w:rsid w:val="006B2B0B"/>
    <w:rsid w:val="006B43D1"/>
    <w:rsid w:val="006B44B7"/>
    <w:rsid w:val="006B68BD"/>
    <w:rsid w:val="006B6AC4"/>
    <w:rsid w:val="006D22C9"/>
    <w:rsid w:val="006D7883"/>
    <w:rsid w:val="006E3570"/>
    <w:rsid w:val="006E6B31"/>
    <w:rsid w:val="00700AE0"/>
    <w:rsid w:val="00707561"/>
    <w:rsid w:val="00717575"/>
    <w:rsid w:val="00720496"/>
    <w:rsid w:val="00753865"/>
    <w:rsid w:val="00753B29"/>
    <w:rsid w:val="00761805"/>
    <w:rsid w:val="007657AF"/>
    <w:rsid w:val="007706A8"/>
    <w:rsid w:val="00782560"/>
    <w:rsid w:val="00783C1C"/>
    <w:rsid w:val="007A0CFB"/>
    <w:rsid w:val="007B6E84"/>
    <w:rsid w:val="007C1C04"/>
    <w:rsid w:val="007C297B"/>
    <w:rsid w:val="007C724B"/>
    <w:rsid w:val="007E1027"/>
    <w:rsid w:val="007E41E4"/>
    <w:rsid w:val="007F1FD3"/>
    <w:rsid w:val="007F3766"/>
    <w:rsid w:val="00800E23"/>
    <w:rsid w:val="008035C5"/>
    <w:rsid w:val="00811AFC"/>
    <w:rsid w:val="00833821"/>
    <w:rsid w:val="00844757"/>
    <w:rsid w:val="008522CE"/>
    <w:rsid w:val="0085350C"/>
    <w:rsid w:val="00866892"/>
    <w:rsid w:val="0088337E"/>
    <w:rsid w:val="00886064"/>
    <w:rsid w:val="008A143D"/>
    <w:rsid w:val="008A2DB5"/>
    <w:rsid w:val="008A2EFD"/>
    <w:rsid w:val="008B0118"/>
    <w:rsid w:val="008C2739"/>
    <w:rsid w:val="008F4929"/>
    <w:rsid w:val="00913193"/>
    <w:rsid w:val="00915EEA"/>
    <w:rsid w:val="009166C2"/>
    <w:rsid w:val="00921A75"/>
    <w:rsid w:val="00924E50"/>
    <w:rsid w:val="00925487"/>
    <w:rsid w:val="00925877"/>
    <w:rsid w:val="00930012"/>
    <w:rsid w:val="00933D1D"/>
    <w:rsid w:val="00961CC0"/>
    <w:rsid w:val="00963C65"/>
    <w:rsid w:val="00967673"/>
    <w:rsid w:val="009707BA"/>
    <w:rsid w:val="00977FC6"/>
    <w:rsid w:val="009A07DE"/>
    <w:rsid w:val="009A0E4F"/>
    <w:rsid w:val="009A47A3"/>
    <w:rsid w:val="009A7606"/>
    <w:rsid w:val="009D57C0"/>
    <w:rsid w:val="009D7D9B"/>
    <w:rsid w:val="009E021D"/>
    <w:rsid w:val="009E1D80"/>
    <w:rsid w:val="00A00D0C"/>
    <w:rsid w:val="00A013EC"/>
    <w:rsid w:val="00A01DF8"/>
    <w:rsid w:val="00A05DE6"/>
    <w:rsid w:val="00A06A1C"/>
    <w:rsid w:val="00A115F8"/>
    <w:rsid w:val="00A13CAA"/>
    <w:rsid w:val="00A1445D"/>
    <w:rsid w:val="00A157C9"/>
    <w:rsid w:val="00A31BD0"/>
    <w:rsid w:val="00A33587"/>
    <w:rsid w:val="00A40CB2"/>
    <w:rsid w:val="00A41354"/>
    <w:rsid w:val="00A43FCF"/>
    <w:rsid w:val="00A518C3"/>
    <w:rsid w:val="00A51BC7"/>
    <w:rsid w:val="00A6044C"/>
    <w:rsid w:val="00A70E05"/>
    <w:rsid w:val="00A74153"/>
    <w:rsid w:val="00A75B2C"/>
    <w:rsid w:val="00A77C18"/>
    <w:rsid w:val="00A8401C"/>
    <w:rsid w:val="00A855A9"/>
    <w:rsid w:val="00A91C68"/>
    <w:rsid w:val="00AA0042"/>
    <w:rsid w:val="00AA5556"/>
    <w:rsid w:val="00AA55E6"/>
    <w:rsid w:val="00AB4CEE"/>
    <w:rsid w:val="00AC4CBE"/>
    <w:rsid w:val="00AC63B5"/>
    <w:rsid w:val="00AD0475"/>
    <w:rsid w:val="00AE7D47"/>
    <w:rsid w:val="00AF2DB9"/>
    <w:rsid w:val="00AF3FDC"/>
    <w:rsid w:val="00AF6362"/>
    <w:rsid w:val="00AF661D"/>
    <w:rsid w:val="00AF68CE"/>
    <w:rsid w:val="00B04F93"/>
    <w:rsid w:val="00B072B9"/>
    <w:rsid w:val="00B16D07"/>
    <w:rsid w:val="00B268AC"/>
    <w:rsid w:val="00B32F5B"/>
    <w:rsid w:val="00B349A2"/>
    <w:rsid w:val="00B42EBB"/>
    <w:rsid w:val="00B50080"/>
    <w:rsid w:val="00B5543C"/>
    <w:rsid w:val="00B5772C"/>
    <w:rsid w:val="00B60A7E"/>
    <w:rsid w:val="00B75F6A"/>
    <w:rsid w:val="00B82A2C"/>
    <w:rsid w:val="00B85FFC"/>
    <w:rsid w:val="00B86C35"/>
    <w:rsid w:val="00B87330"/>
    <w:rsid w:val="00B917E0"/>
    <w:rsid w:val="00B93A41"/>
    <w:rsid w:val="00BA105E"/>
    <w:rsid w:val="00BA1688"/>
    <w:rsid w:val="00BA19C5"/>
    <w:rsid w:val="00BA4B3F"/>
    <w:rsid w:val="00BA609E"/>
    <w:rsid w:val="00BD2F93"/>
    <w:rsid w:val="00BD387B"/>
    <w:rsid w:val="00BD50A4"/>
    <w:rsid w:val="00BD661B"/>
    <w:rsid w:val="00BE0063"/>
    <w:rsid w:val="00BE23E8"/>
    <w:rsid w:val="00BE29A6"/>
    <w:rsid w:val="00BE649A"/>
    <w:rsid w:val="00BE65E8"/>
    <w:rsid w:val="00BE7696"/>
    <w:rsid w:val="00BF5A84"/>
    <w:rsid w:val="00C14B5A"/>
    <w:rsid w:val="00C16D91"/>
    <w:rsid w:val="00C214F8"/>
    <w:rsid w:val="00C2796C"/>
    <w:rsid w:val="00C3581B"/>
    <w:rsid w:val="00C36B9F"/>
    <w:rsid w:val="00C425C4"/>
    <w:rsid w:val="00C477FC"/>
    <w:rsid w:val="00C53861"/>
    <w:rsid w:val="00C570E2"/>
    <w:rsid w:val="00C6647E"/>
    <w:rsid w:val="00C70D64"/>
    <w:rsid w:val="00C75C2C"/>
    <w:rsid w:val="00C7708B"/>
    <w:rsid w:val="00C7767A"/>
    <w:rsid w:val="00C77E8C"/>
    <w:rsid w:val="00C8013B"/>
    <w:rsid w:val="00C91BD0"/>
    <w:rsid w:val="00C91CF2"/>
    <w:rsid w:val="00C95B88"/>
    <w:rsid w:val="00CA525F"/>
    <w:rsid w:val="00CB442B"/>
    <w:rsid w:val="00CC487F"/>
    <w:rsid w:val="00CF2122"/>
    <w:rsid w:val="00D069BA"/>
    <w:rsid w:val="00D07A29"/>
    <w:rsid w:val="00D07AFC"/>
    <w:rsid w:val="00D25828"/>
    <w:rsid w:val="00D2797C"/>
    <w:rsid w:val="00D27D8C"/>
    <w:rsid w:val="00D34190"/>
    <w:rsid w:val="00D37B4A"/>
    <w:rsid w:val="00D42D36"/>
    <w:rsid w:val="00D43AA8"/>
    <w:rsid w:val="00D458F9"/>
    <w:rsid w:val="00D52AE1"/>
    <w:rsid w:val="00D562E6"/>
    <w:rsid w:val="00D57ECB"/>
    <w:rsid w:val="00D65519"/>
    <w:rsid w:val="00D778B5"/>
    <w:rsid w:val="00D82E38"/>
    <w:rsid w:val="00D958F7"/>
    <w:rsid w:val="00DA11EB"/>
    <w:rsid w:val="00DA15B8"/>
    <w:rsid w:val="00DA5DB8"/>
    <w:rsid w:val="00DB2DA1"/>
    <w:rsid w:val="00DB6C28"/>
    <w:rsid w:val="00DD0584"/>
    <w:rsid w:val="00DD3FA0"/>
    <w:rsid w:val="00DE2587"/>
    <w:rsid w:val="00DF3EE8"/>
    <w:rsid w:val="00DF5E32"/>
    <w:rsid w:val="00E153B9"/>
    <w:rsid w:val="00E16DE3"/>
    <w:rsid w:val="00E172F3"/>
    <w:rsid w:val="00E275CA"/>
    <w:rsid w:val="00E33CBD"/>
    <w:rsid w:val="00E53B4E"/>
    <w:rsid w:val="00E57A5F"/>
    <w:rsid w:val="00E7738E"/>
    <w:rsid w:val="00E9440C"/>
    <w:rsid w:val="00EA087C"/>
    <w:rsid w:val="00EA0E6B"/>
    <w:rsid w:val="00EA5FD7"/>
    <w:rsid w:val="00EA6475"/>
    <w:rsid w:val="00EA7573"/>
    <w:rsid w:val="00EC110C"/>
    <w:rsid w:val="00ED2268"/>
    <w:rsid w:val="00ED2E27"/>
    <w:rsid w:val="00EF09CA"/>
    <w:rsid w:val="00EF438F"/>
    <w:rsid w:val="00F00CCD"/>
    <w:rsid w:val="00F066AD"/>
    <w:rsid w:val="00F17852"/>
    <w:rsid w:val="00F217AD"/>
    <w:rsid w:val="00F21FB3"/>
    <w:rsid w:val="00F274A2"/>
    <w:rsid w:val="00F3246C"/>
    <w:rsid w:val="00F549E7"/>
    <w:rsid w:val="00F5665D"/>
    <w:rsid w:val="00F61E9B"/>
    <w:rsid w:val="00F625AC"/>
    <w:rsid w:val="00F701E0"/>
    <w:rsid w:val="00F76467"/>
    <w:rsid w:val="00F8402E"/>
    <w:rsid w:val="00F93711"/>
    <w:rsid w:val="00FA15F5"/>
    <w:rsid w:val="00FA48CA"/>
    <w:rsid w:val="00FC2057"/>
    <w:rsid w:val="00FC63B3"/>
    <w:rsid w:val="00FD6F34"/>
    <w:rsid w:val="00FD70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F9A42"/>
  <w15:docId w15:val="{1BF7481E-8DC6-694D-A59D-F88B8948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E153B9"/>
    <w:rPr>
      <w:sz w:val="16"/>
      <w:szCs w:val="16"/>
    </w:rPr>
  </w:style>
  <w:style w:type="paragraph" w:styleId="CommentText">
    <w:name w:val="annotation text"/>
    <w:basedOn w:val="Normal"/>
    <w:link w:val="CommentTextChar"/>
    <w:uiPriority w:val="99"/>
    <w:unhideWhenUsed/>
    <w:rsid w:val="00E153B9"/>
    <w:pPr>
      <w:spacing w:line="240" w:lineRule="auto"/>
    </w:pPr>
    <w:rPr>
      <w:sz w:val="20"/>
      <w:szCs w:val="20"/>
    </w:rPr>
  </w:style>
  <w:style w:type="character" w:customStyle="1" w:styleId="CommentTextChar">
    <w:name w:val="Comment Text Char"/>
    <w:basedOn w:val="DefaultParagraphFont"/>
    <w:link w:val="CommentText"/>
    <w:uiPriority w:val="99"/>
    <w:rsid w:val="00E153B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153B9"/>
    <w:rPr>
      <w:b/>
      <w:bCs/>
    </w:rPr>
  </w:style>
  <w:style w:type="character" w:customStyle="1" w:styleId="CommentSubjectChar">
    <w:name w:val="Comment Subject Char"/>
    <w:basedOn w:val="CommentTextChar"/>
    <w:link w:val="CommentSubject"/>
    <w:uiPriority w:val="99"/>
    <w:semiHidden/>
    <w:rsid w:val="00E153B9"/>
    <w:rPr>
      <w:rFonts w:ascii="Arial" w:hAnsi="Arial" w:cs="Arial"/>
      <w:b/>
      <w:bCs/>
      <w:color w:val="000000" w:themeColor="text1"/>
      <w:sz w:val="20"/>
      <w:szCs w:val="20"/>
    </w:rPr>
  </w:style>
  <w:style w:type="paragraph" w:styleId="Revision">
    <w:name w:val="Revision"/>
    <w:hidden/>
    <w:uiPriority w:val="99"/>
    <w:semiHidden/>
    <w:rsid w:val="00BE649A"/>
    <w:pPr>
      <w:spacing w:after="0" w:line="240" w:lineRule="auto"/>
    </w:pPr>
    <w:rPr>
      <w:rFonts w:ascii="Arial" w:hAnsi="Arial" w:cs="Arial"/>
      <w:color w:val="000000" w:themeColor="text1"/>
      <w:sz w:val="24"/>
      <w:szCs w:val="24"/>
    </w:rPr>
  </w:style>
  <w:style w:type="paragraph" w:styleId="IntenseQuote">
    <w:name w:val="Intense Quote"/>
    <w:basedOn w:val="Normal"/>
    <w:next w:val="Normal"/>
    <w:link w:val="IntenseQuoteChar"/>
    <w:uiPriority w:val="30"/>
    <w:qFormat/>
    <w:rsid w:val="001E62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62A4"/>
    <w:rPr>
      <w:rFonts w:ascii="Arial" w:hAnsi="Arial" w:cs="Arial"/>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99F17329-B88D-4325-9977-DFE6F62C61F2}">
  <ds:schemaRefs>
    <ds:schemaRef ds:uri="http://schemas.openxmlformats.org/officeDocument/2006/bibliography"/>
  </ds:schemaRefs>
</ds:datastoreItem>
</file>

<file path=customXml/itemProps4.xml><?xml version="1.0" encoding="utf-8"?>
<ds:datastoreItem xmlns:ds="http://schemas.openxmlformats.org/officeDocument/2006/customXml" ds:itemID="{1B611EF4-8D04-4C0A-875D-77EB97250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Nomakorinte Ntliziywana</cp:lastModifiedBy>
  <cp:revision>2</cp:revision>
  <cp:lastPrinted>2023-11-01T10:04:00Z</cp:lastPrinted>
  <dcterms:created xsi:type="dcterms:W3CDTF">2023-11-13T12:12:00Z</dcterms:created>
  <dcterms:modified xsi:type="dcterms:W3CDTF">2023-11-13T12:12:00Z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f309592db1aa714b5e071c388378da31d93aa0e0966b2190770a695d780bfdbf</vt:lpwstr>
  </property>
</Properties>
</file>