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7A83" w14:textId="77777777" w:rsidR="007E428F" w:rsidRPr="003304AD" w:rsidRDefault="007E428F" w:rsidP="007E428F">
      <w:pPr>
        <w:widowControl w:val="0"/>
        <w:spacing w:after="0" w:line="360" w:lineRule="auto"/>
        <w:jc w:val="center"/>
        <w:rPr>
          <w:rFonts w:ascii="Arial" w:eastAsia="Times New Roman" w:hAnsi="Arial" w:cs="Arial"/>
          <w:sz w:val="24"/>
          <w:szCs w:val="24"/>
        </w:rPr>
      </w:pPr>
      <w:bookmarkStart w:id="0" w:name="_GoBack"/>
      <w:bookmarkEnd w:id="0"/>
      <w:r w:rsidRPr="003304AD">
        <w:rPr>
          <w:rFonts w:ascii="Arial" w:eastAsia="Times New Roman" w:hAnsi="Arial" w:cs="Arial"/>
          <w:noProof/>
          <w:sz w:val="24"/>
          <w:szCs w:val="24"/>
          <w:lang w:eastAsia="en-ZA"/>
        </w:rPr>
        <w:drawing>
          <wp:inline distT="0" distB="0" distL="0" distR="0" wp14:anchorId="746306B8" wp14:editId="1605A46D">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3C1DD140" w14:textId="77777777" w:rsidR="007E428F" w:rsidRPr="003304AD" w:rsidRDefault="007E428F" w:rsidP="007E428F">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5EF16009" w14:textId="79B4023F" w:rsidR="007E428F" w:rsidRDefault="007E428F" w:rsidP="007E428F">
      <w:pPr>
        <w:widowControl w:val="0"/>
        <w:tabs>
          <w:tab w:val="right" w:pos="9213"/>
        </w:tabs>
        <w:spacing w:line="720" w:lineRule="auto"/>
        <w:jc w:val="center"/>
        <w:rPr>
          <w:rFonts w:ascii="Arial" w:hAnsi="Arial" w:cs="Arial"/>
          <w:b/>
          <w:sz w:val="24"/>
          <w:szCs w:val="24"/>
        </w:rPr>
      </w:pPr>
      <w:r>
        <w:rPr>
          <w:rFonts w:ascii="Arial" w:hAnsi="Arial" w:cs="Arial"/>
          <w:b/>
          <w:sz w:val="24"/>
          <w:szCs w:val="24"/>
        </w:rPr>
        <w:t>(</w:t>
      </w:r>
      <w:r w:rsidRPr="003304AD">
        <w:rPr>
          <w:rFonts w:ascii="Arial" w:hAnsi="Arial" w:cs="Arial"/>
          <w:b/>
          <w:sz w:val="24"/>
          <w:szCs w:val="24"/>
        </w:rPr>
        <w:t xml:space="preserve">EASTERN CAPE DIVISION, </w:t>
      </w:r>
      <w:r>
        <w:rPr>
          <w:rFonts w:ascii="Arial" w:hAnsi="Arial" w:cs="Arial"/>
          <w:b/>
          <w:sz w:val="24"/>
          <w:szCs w:val="24"/>
        </w:rPr>
        <w:t>MAKHANDA)</w:t>
      </w:r>
    </w:p>
    <w:p w14:paraId="3225EE5D" w14:textId="3D25307B" w:rsidR="008763C0" w:rsidRPr="003304AD" w:rsidRDefault="008763C0" w:rsidP="007E428F">
      <w:pPr>
        <w:widowControl w:val="0"/>
        <w:tabs>
          <w:tab w:val="right" w:pos="9213"/>
        </w:tabs>
        <w:spacing w:line="720" w:lineRule="auto"/>
        <w:jc w:val="center"/>
        <w:rPr>
          <w:rFonts w:ascii="Arial" w:hAnsi="Arial" w:cs="Arial"/>
          <w:sz w:val="24"/>
          <w:szCs w:val="24"/>
        </w:rPr>
      </w:pPr>
      <w:r>
        <w:rPr>
          <w:rFonts w:ascii="Arial" w:hAnsi="Arial" w:cs="Arial"/>
          <w:b/>
          <w:sz w:val="24"/>
          <w:szCs w:val="24"/>
        </w:rPr>
        <w:tab/>
      </w:r>
      <w:r w:rsidRPr="008763C0">
        <w:rPr>
          <w:rFonts w:ascii="Arial" w:hAnsi="Arial" w:cs="Arial"/>
          <w:b/>
          <w:sz w:val="24"/>
          <w:szCs w:val="24"/>
        </w:rPr>
        <w:t>Reportable</w:t>
      </w:r>
    </w:p>
    <w:p w14:paraId="6CFE26AA" w14:textId="29A1669F" w:rsidR="007E428F" w:rsidRDefault="007E428F" w:rsidP="007E428F">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621/2022</w:t>
      </w:r>
    </w:p>
    <w:p w14:paraId="6D1E2916" w14:textId="77777777" w:rsidR="007E428F" w:rsidRDefault="007E428F" w:rsidP="007E428F">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391B2F66" w14:textId="55411930" w:rsidR="007E428F" w:rsidRDefault="007E428F" w:rsidP="007E428F">
      <w:pPr>
        <w:widowControl w:val="0"/>
        <w:tabs>
          <w:tab w:val="right" w:pos="9213"/>
        </w:tabs>
        <w:spacing w:line="360" w:lineRule="auto"/>
        <w:rPr>
          <w:rFonts w:ascii="Arial" w:hAnsi="Arial" w:cs="Arial"/>
          <w:b/>
          <w:sz w:val="24"/>
          <w:szCs w:val="24"/>
        </w:rPr>
      </w:pPr>
      <w:r>
        <w:rPr>
          <w:rFonts w:ascii="Arial" w:hAnsi="Arial" w:cs="Arial"/>
          <w:b/>
          <w:sz w:val="24"/>
          <w:szCs w:val="24"/>
        </w:rPr>
        <w:t>VANESSA LEA LONG</w:t>
      </w:r>
      <w:r w:rsidRPr="003304AD">
        <w:rPr>
          <w:rFonts w:ascii="Arial" w:hAnsi="Arial" w:cs="Arial"/>
          <w:b/>
          <w:sz w:val="24"/>
          <w:szCs w:val="24"/>
        </w:rPr>
        <w:tab/>
      </w:r>
      <w:r>
        <w:rPr>
          <w:rFonts w:ascii="Arial" w:hAnsi="Arial" w:cs="Arial"/>
          <w:b/>
          <w:sz w:val="24"/>
          <w:szCs w:val="24"/>
        </w:rPr>
        <w:t>Applicant</w:t>
      </w:r>
    </w:p>
    <w:p w14:paraId="173709A1" w14:textId="77777777" w:rsidR="007E428F" w:rsidRDefault="007E428F" w:rsidP="007E428F">
      <w:pPr>
        <w:widowControl w:val="0"/>
        <w:tabs>
          <w:tab w:val="right" w:pos="9213"/>
        </w:tabs>
        <w:spacing w:line="480" w:lineRule="auto"/>
        <w:rPr>
          <w:rFonts w:ascii="Arial" w:hAnsi="Arial" w:cs="Arial"/>
          <w:sz w:val="24"/>
          <w:szCs w:val="24"/>
        </w:rPr>
      </w:pPr>
      <w:r>
        <w:rPr>
          <w:rFonts w:ascii="Arial" w:hAnsi="Arial" w:cs="Arial"/>
          <w:sz w:val="24"/>
          <w:szCs w:val="24"/>
        </w:rPr>
        <w:t>and</w:t>
      </w:r>
    </w:p>
    <w:p w14:paraId="7E0022E3" w14:textId="77777777" w:rsidR="007E428F" w:rsidRDefault="007E428F" w:rsidP="007E428F">
      <w:pPr>
        <w:widowControl w:val="0"/>
        <w:tabs>
          <w:tab w:val="right" w:pos="9213"/>
        </w:tabs>
        <w:spacing w:line="240" w:lineRule="auto"/>
        <w:rPr>
          <w:rFonts w:ascii="Arial" w:hAnsi="Arial" w:cs="Arial"/>
          <w:b/>
          <w:sz w:val="24"/>
          <w:szCs w:val="24"/>
        </w:rPr>
      </w:pPr>
      <w:r>
        <w:rPr>
          <w:rFonts w:ascii="Arial" w:hAnsi="Arial" w:cs="Arial"/>
          <w:b/>
          <w:sz w:val="24"/>
          <w:szCs w:val="24"/>
        </w:rPr>
        <w:t xml:space="preserve">APPEAL AUTHORITY IRO THE </w:t>
      </w:r>
    </w:p>
    <w:p w14:paraId="3579269A" w14:textId="1A47E269" w:rsidR="007E428F" w:rsidRDefault="007E428F" w:rsidP="007E428F">
      <w:pPr>
        <w:widowControl w:val="0"/>
        <w:tabs>
          <w:tab w:val="right" w:pos="9213"/>
        </w:tabs>
        <w:spacing w:line="240" w:lineRule="auto"/>
        <w:rPr>
          <w:rFonts w:ascii="Arial" w:hAnsi="Arial" w:cs="Arial"/>
          <w:b/>
          <w:sz w:val="24"/>
          <w:szCs w:val="24"/>
        </w:rPr>
      </w:pPr>
      <w:r>
        <w:rPr>
          <w:rFonts w:ascii="Arial" w:hAnsi="Arial" w:cs="Arial"/>
          <w:b/>
          <w:sz w:val="24"/>
          <w:szCs w:val="24"/>
        </w:rPr>
        <w:t>NDLAMBE MUNICIPALITY</w:t>
      </w:r>
      <w:r w:rsidRPr="003304AD">
        <w:rPr>
          <w:rFonts w:ascii="Arial" w:hAnsi="Arial" w:cs="Arial"/>
          <w:b/>
          <w:sz w:val="24"/>
          <w:szCs w:val="24"/>
        </w:rPr>
        <w:tab/>
      </w:r>
      <w:r>
        <w:rPr>
          <w:rFonts w:ascii="Arial" w:hAnsi="Arial" w:cs="Arial"/>
          <w:b/>
          <w:sz w:val="24"/>
          <w:szCs w:val="24"/>
        </w:rPr>
        <w:t xml:space="preserve">First </w:t>
      </w:r>
      <w:r w:rsidR="006D263F">
        <w:rPr>
          <w:rFonts w:ascii="Arial" w:hAnsi="Arial" w:cs="Arial"/>
          <w:b/>
          <w:sz w:val="24"/>
          <w:szCs w:val="24"/>
        </w:rPr>
        <w:t>Respondent</w:t>
      </w:r>
    </w:p>
    <w:p w14:paraId="4BE74C11" w14:textId="025B31DA" w:rsidR="007E428F" w:rsidRDefault="00B04A6B" w:rsidP="007E428F">
      <w:pPr>
        <w:widowControl w:val="0"/>
        <w:tabs>
          <w:tab w:val="right" w:pos="9213"/>
        </w:tabs>
        <w:spacing w:line="240" w:lineRule="auto"/>
        <w:rPr>
          <w:rFonts w:ascii="Arial" w:hAnsi="Arial" w:cs="Arial"/>
          <w:b/>
          <w:sz w:val="24"/>
          <w:szCs w:val="24"/>
        </w:rPr>
      </w:pPr>
      <w:r>
        <w:rPr>
          <w:rFonts w:ascii="Arial" w:hAnsi="Arial" w:cs="Arial"/>
          <w:b/>
          <w:sz w:val="24"/>
          <w:szCs w:val="24"/>
        </w:rPr>
        <w:t>MUNICIPAL PLANNINGTRIBUNAL:</w:t>
      </w:r>
    </w:p>
    <w:p w14:paraId="74A3BCE7" w14:textId="5457521B" w:rsidR="00B04A6B" w:rsidRDefault="00B04A6B" w:rsidP="007E428F">
      <w:pPr>
        <w:widowControl w:val="0"/>
        <w:tabs>
          <w:tab w:val="right" w:pos="9213"/>
        </w:tabs>
        <w:spacing w:line="240" w:lineRule="auto"/>
        <w:rPr>
          <w:rFonts w:ascii="Arial" w:hAnsi="Arial" w:cs="Arial"/>
          <w:b/>
          <w:sz w:val="24"/>
          <w:szCs w:val="24"/>
        </w:rPr>
      </w:pPr>
      <w:r>
        <w:rPr>
          <w:rFonts w:ascii="Arial" w:hAnsi="Arial" w:cs="Arial"/>
          <w:b/>
          <w:sz w:val="24"/>
          <w:szCs w:val="24"/>
        </w:rPr>
        <w:t>NDLAMBE MUNICIPALITY</w:t>
      </w:r>
      <w:r>
        <w:rPr>
          <w:rFonts w:ascii="Arial" w:hAnsi="Arial" w:cs="Arial"/>
          <w:b/>
          <w:sz w:val="24"/>
          <w:szCs w:val="24"/>
        </w:rPr>
        <w:tab/>
        <w:t xml:space="preserve">Second </w:t>
      </w:r>
      <w:r w:rsidR="006D263F">
        <w:rPr>
          <w:rFonts w:ascii="Arial" w:hAnsi="Arial" w:cs="Arial"/>
          <w:b/>
          <w:sz w:val="24"/>
          <w:szCs w:val="24"/>
        </w:rPr>
        <w:t>Respondent</w:t>
      </w:r>
    </w:p>
    <w:p w14:paraId="6F965C10" w14:textId="7E6043F5" w:rsidR="00B04A6B" w:rsidRDefault="00B04A6B" w:rsidP="007E428F">
      <w:pPr>
        <w:widowControl w:val="0"/>
        <w:tabs>
          <w:tab w:val="right" w:pos="9213"/>
        </w:tabs>
        <w:spacing w:line="240" w:lineRule="auto"/>
        <w:rPr>
          <w:rFonts w:ascii="Arial" w:hAnsi="Arial" w:cs="Arial"/>
          <w:b/>
          <w:sz w:val="24"/>
          <w:szCs w:val="24"/>
        </w:rPr>
      </w:pPr>
      <w:r>
        <w:rPr>
          <w:rFonts w:ascii="Arial" w:hAnsi="Arial" w:cs="Arial"/>
          <w:b/>
          <w:sz w:val="24"/>
          <w:szCs w:val="24"/>
        </w:rPr>
        <w:t>NDLAMBE MUNICIPALITY</w:t>
      </w:r>
      <w:r>
        <w:rPr>
          <w:rFonts w:ascii="Arial" w:hAnsi="Arial" w:cs="Arial"/>
          <w:b/>
          <w:sz w:val="24"/>
          <w:szCs w:val="24"/>
        </w:rPr>
        <w:tab/>
        <w:t xml:space="preserve">Third </w:t>
      </w:r>
      <w:r w:rsidR="006D263F">
        <w:rPr>
          <w:rFonts w:ascii="Arial" w:hAnsi="Arial" w:cs="Arial"/>
          <w:b/>
          <w:sz w:val="24"/>
          <w:szCs w:val="24"/>
        </w:rPr>
        <w:t>Respondent</w:t>
      </w:r>
    </w:p>
    <w:p w14:paraId="0F8E786F" w14:textId="778AE417" w:rsidR="00B04A6B" w:rsidRPr="00E80AB7" w:rsidRDefault="006D263F" w:rsidP="007E428F">
      <w:pPr>
        <w:widowControl w:val="0"/>
        <w:tabs>
          <w:tab w:val="right" w:pos="9213"/>
        </w:tabs>
        <w:spacing w:line="240" w:lineRule="auto"/>
        <w:rPr>
          <w:rFonts w:ascii="Arial" w:hAnsi="Arial" w:cs="Arial"/>
          <w:b/>
          <w:sz w:val="24"/>
          <w:szCs w:val="24"/>
          <w:lang w:val="en-GB"/>
        </w:rPr>
      </w:pPr>
      <w:r>
        <w:rPr>
          <w:rFonts w:ascii="Arial" w:hAnsi="Arial" w:cs="Arial"/>
          <w:b/>
          <w:sz w:val="24"/>
          <w:szCs w:val="24"/>
        </w:rPr>
        <w:t>PASTRY-WIZE (PTY) LTD</w:t>
      </w:r>
      <w:r>
        <w:rPr>
          <w:rFonts w:ascii="Arial" w:hAnsi="Arial" w:cs="Arial"/>
          <w:b/>
          <w:sz w:val="24"/>
          <w:szCs w:val="24"/>
        </w:rPr>
        <w:tab/>
        <w:t>Fourth Respondent</w:t>
      </w:r>
    </w:p>
    <w:p w14:paraId="03CAB5DE" w14:textId="44A96554" w:rsidR="007E428F" w:rsidRPr="00E80AB7" w:rsidRDefault="007E428F" w:rsidP="007E428F">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w:t>
      </w:r>
      <w:r>
        <w:rPr>
          <w:rFonts w:ascii="Arial" w:hAnsi="Arial" w:cs="Arial"/>
          <w:sz w:val="24"/>
          <w:szCs w:val="24"/>
          <w:lang w:val="en-GB"/>
        </w:rPr>
        <w:t>________________</w:t>
      </w:r>
      <w:r w:rsidR="006D263F">
        <w:rPr>
          <w:rFonts w:ascii="Arial" w:hAnsi="Arial" w:cs="Arial"/>
          <w:sz w:val="24"/>
          <w:szCs w:val="24"/>
          <w:lang w:val="en-GB"/>
        </w:rPr>
        <w:t>__</w:t>
      </w:r>
    </w:p>
    <w:p w14:paraId="12AFC9E9" w14:textId="77777777" w:rsidR="007E428F" w:rsidRPr="00E80AB7" w:rsidRDefault="007E428F" w:rsidP="007E428F">
      <w:pPr>
        <w:spacing w:line="360" w:lineRule="auto"/>
        <w:jc w:val="center"/>
        <w:rPr>
          <w:rFonts w:ascii="Arial" w:hAnsi="Arial" w:cs="Arial"/>
          <w:b/>
          <w:sz w:val="24"/>
          <w:szCs w:val="24"/>
          <w:lang w:val="en-GB"/>
        </w:rPr>
      </w:pPr>
      <w:r w:rsidRPr="00E80AB7">
        <w:rPr>
          <w:rFonts w:ascii="Arial" w:hAnsi="Arial" w:cs="Arial"/>
          <w:b/>
          <w:sz w:val="24"/>
          <w:szCs w:val="24"/>
          <w:lang w:val="en-GB"/>
        </w:rPr>
        <w:t>JUDGMENT</w:t>
      </w:r>
    </w:p>
    <w:p w14:paraId="7CE1B553" w14:textId="0E0DABC9" w:rsidR="007E428F" w:rsidRDefault="007E428F" w:rsidP="007E428F">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__________________________________________________________________</w:t>
      </w:r>
      <w:r>
        <w:rPr>
          <w:rFonts w:ascii="Arial" w:hAnsi="Arial" w:cs="Arial"/>
          <w:sz w:val="24"/>
          <w:szCs w:val="24"/>
          <w:lang w:val="en-GB"/>
        </w:rPr>
        <w:t>_</w:t>
      </w:r>
      <w:r w:rsidR="006D263F">
        <w:rPr>
          <w:rFonts w:ascii="Arial" w:hAnsi="Arial" w:cs="Arial"/>
          <w:sz w:val="24"/>
          <w:szCs w:val="24"/>
          <w:lang w:val="en-GB"/>
        </w:rPr>
        <w:t>__</w:t>
      </w:r>
    </w:p>
    <w:p w14:paraId="06A8F382" w14:textId="6A0340EB" w:rsidR="00A432A7" w:rsidRDefault="00A432A7" w:rsidP="00A432A7">
      <w:pPr>
        <w:spacing w:line="360" w:lineRule="auto"/>
        <w:rPr>
          <w:rFonts w:ascii="Arial" w:hAnsi="Arial" w:cs="Arial"/>
          <w:b/>
          <w:bCs/>
          <w:sz w:val="24"/>
          <w:szCs w:val="24"/>
        </w:rPr>
      </w:pPr>
      <w:r w:rsidRPr="00A432A7">
        <w:rPr>
          <w:rFonts w:ascii="Arial" w:hAnsi="Arial" w:cs="Arial"/>
          <w:b/>
          <w:bCs/>
          <w:sz w:val="24"/>
          <w:szCs w:val="24"/>
        </w:rPr>
        <w:t>LAING J</w:t>
      </w:r>
    </w:p>
    <w:p w14:paraId="5E8298B2" w14:textId="081F11EF" w:rsidR="00A432A7" w:rsidRPr="007B0231" w:rsidRDefault="007B0231" w:rsidP="007B0231">
      <w:pPr>
        <w:spacing w:line="360" w:lineRule="auto"/>
        <w:jc w:val="both"/>
        <w:rPr>
          <w:rFonts w:ascii="Arial" w:hAnsi="Arial" w:cs="Arial"/>
          <w:sz w:val="24"/>
          <w:szCs w:val="24"/>
        </w:rPr>
      </w:pPr>
      <w:r w:rsidRPr="006D263F">
        <w:rPr>
          <w:rFonts w:ascii="Arial" w:hAnsi="Arial" w:cs="Arial"/>
          <w:sz w:val="24"/>
          <w:szCs w:val="24"/>
        </w:rPr>
        <w:t>[1]</w:t>
      </w:r>
      <w:r w:rsidRPr="006D263F">
        <w:rPr>
          <w:rFonts w:ascii="Arial" w:hAnsi="Arial" w:cs="Arial"/>
          <w:sz w:val="24"/>
          <w:szCs w:val="24"/>
        </w:rPr>
        <w:tab/>
      </w:r>
      <w:r w:rsidR="00A432A7" w:rsidRPr="007B0231">
        <w:rPr>
          <w:rFonts w:ascii="Arial" w:hAnsi="Arial" w:cs="Arial"/>
          <w:sz w:val="24"/>
          <w:szCs w:val="24"/>
        </w:rPr>
        <w:t>This is an application for</w:t>
      </w:r>
      <w:r w:rsidR="008930F6" w:rsidRPr="007B0231">
        <w:rPr>
          <w:rFonts w:ascii="Arial" w:hAnsi="Arial" w:cs="Arial"/>
          <w:sz w:val="24"/>
          <w:szCs w:val="24"/>
        </w:rPr>
        <w:t xml:space="preserve"> the review and setting aside </w:t>
      </w:r>
      <w:r w:rsidR="00745B1A" w:rsidRPr="007B0231">
        <w:rPr>
          <w:rFonts w:ascii="Arial" w:hAnsi="Arial" w:cs="Arial"/>
          <w:sz w:val="24"/>
          <w:szCs w:val="24"/>
        </w:rPr>
        <w:t xml:space="preserve">of a decision </w:t>
      </w:r>
      <w:r w:rsidR="007F2509" w:rsidRPr="007B0231">
        <w:rPr>
          <w:rFonts w:ascii="Arial" w:hAnsi="Arial" w:cs="Arial"/>
          <w:sz w:val="24"/>
          <w:szCs w:val="24"/>
        </w:rPr>
        <w:t>to approve the operation of a guesthouse at Kenton-on-Sea</w:t>
      </w:r>
      <w:r w:rsidR="00A17ABA" w:rsidRPr="007B0231">
        <w:rPr>
          <w:rFonts w:ascii="Arial" w:hAnsi="Arial" w:cs="Arial"/>
          <w:sz w:val="24"/>
          <w:szCs w:val="24"/>
        </w:rPr>
        <w:t xml:space="preserve">, situated along the </w:t>
      </w:r>
      <w:r w:rsidR="00670EFC" w:rsidRPr="007B0231">
        <w:rPr>
          <w:rFonts w:ascii="Arial" w:hAnsi="Arial" w:cs="Arial"/>
          <w:sz w:val="24"/>
          <w:szCs w:val="24"/>
        </w:rPr>
        <w:t>south-east</w:t>
      </w:r>
      <w:r w:rsidR="0066347B" w:rsidRPr="007B0231">
        <w:rPr>
          <w:rFonts w:ascii="Arial" w:hAnsi="Arial" w:cs="Arial"/>
          <w:sz w:val="24"/>
          <w:szCs w:val="24"/>
        </w:rPr>
        <w:t xml:space="preserve">ern </w:t>
      </w:r>
      <w:r w:rsidR="00670EFC" w:rsidRPr="007B0231">
        <w:rPr>
          <w:rFonts w:ascii="Arial" w:hAnsi="Arial" w:cs="Arial"/>
          <w:sz w:val="24"/>
          <w:szCs w:val="24"/>
        </w:rPr>
        <w:t>coastline</w:t>
      </w:r>
      <w:r w:rsidR="00AC77FC" w:rsidRPr="007B0231">
        <w:rPr>
          <w:rFonts w:ascii="Arial" w:hAnsi="Arial" w:cs="Arial"/>
          <w:sz w:val="24"/>
          <w:szCs w:val="24"/>
        </w:rPr>
        <w:t xml:space="preserve">. The applicant also seeks the review and setting aside of a decision to </w:t>
      </w:r>
      <w:r w:rsidR="001C72FF" w:rsidRPr="007B0231">
        <w:rPr>
          <w:rFonts w:ascii="Arial" w:hAnsi="Arial" w:cs="Arial"/>
          <w:sz w:val="24"/>
          <w:szCs w:val="24"/>
        </w:rPr>
        <w:t>dismiss her appeal</w:t>
      </w:r>
      <w:r w:rsidR="0025709C" w:rsidRPr="007B0231">
        <w:rPr>
          <w:rFonts w:ascii="Arial" w:hAnsi="Arial" w:cs="Arial"/>
          <w:sz w:val="24"/>
          <w:szCs w:val="24"/>
        </w:rPr>
        <w:t xml:space="preserve">, </w:t>
      </w:r>
      <w:r w:rsidR="0025709C" w:rsidRPr="007B0231">
        <w:rPr>
          <w:rFonts w:ascii="Arial" w:hAnsi="Arial" w:cs="Arial"/>
          <w:sz w:val="24"/>
          <w:szCs w:val="24"/>
        </w:rPr>
        <w:lastRenderedPageBreak/>
        <w:t xml:space="preserve">and a declarator to the effect that the development of the guesthouse in question </w:t>
      </w:r>
      <w:r w:rsidR="006071F0" w:rsidRPr="007B0231">
        <w:rPr>
          <w:rFonts w:ascii="Arial" w:hAnsi="Arial" w:cs="Arial"/>
          <w:sz w:val="24"/>
          <w:szCs w:val="24"/>
        </w:rPr>
        <w:t>is unlawful</w:t>
      </w:r>
      <w:r w:rsidR="00816936" w:rsidRPr="007B0231">
        <w:rPr>
          <w:rFonts w:ascii="Arial" w:hAnsi="Arial" w:cs="Arial"/>
          <w:sz w:val="24"/>
          <w:szCs w:val="24"/>
        </w:rPr>
        <w:t>.</w:t>
      </w:r>
    </w:p>
    <w:p w14:paraId="26CFC23D" w14:textId="77777777" w:rsidR="00816936" w:rsidRDefault="00816936" w:rsidP="00A432A7">
      <w:pPr>
        <w:spacing w:line="360" w:lineRule="auto"/>
        <w:rPr>
          <w:rFonts w:ascii="Arial" w:hAnsi="Arial" w:cs="Arial"/>
          <w:sz w:val="24"/>
          <w:szCs w:val="24"/>
        </w:rPr>
      </w:pPr>
    </w:p>
    <w:p w14:paraId="4E2BB447" w14:textId="2AB69D10" w:rsidR="00816936" w:rsidRPr="00C92F70" w:rsidRDefault="000B3753" w:rsidP="006D263F">
      <w:pPr>
        <w:spacing w:line="360" w:lineRule="auto"/>
        <w:jc w:val="both"/>
        <w:rPr>
          <w:rFonts w:ascii="Arial" w:hAnsi="Arial" w:cs="Arial"/>
          <w:b/>
          <w:bCs/>
          <w:sz w:val="24"/>
          <w:szCs w:val="24"/>
        </w:rPr>
      </w:pPr>
      <w:r w:rsidRPr="00C92F70">
        <w:rPr>
          <w:rFonts w:ascii="Arial" w:hAnsi="Arial" w:cs="Arial"/>
          <w:b/>
          <w:bCs/>
          <w:sz w:val="24"/>
          <w:szCs w:val="24"/>
        </w:rPr>
        <w:t>BACKGROUND</w:t>
      </w:r>
    </w:p>
    <w:p w14:paraId="313181E5" w14:textId="77777777" w:rsidR="000B3753" w:rsidRDefault="000B3753" w:rsidP="00A432A7">
      <w:pPr>
        <w:spacing w:line="360" w:lineRule="auto"/>
        <w:rPr>
          <w:rFonts w:ascii="Arial" w:hAnsi="Arial" w:cs="Arial"/>
          <w:sz w:val="24"/>
          <w:szCs w:val="24"/>
        </w:rPr>
      </w:pPr>
    </w:p>
    <w:p w14:paraId="62865C6D" w14:textId="678C62B9" w:rsidR="000B3753" w:rsidRPr="007B0231" w:rsidRDefault="007B0231" w:rsidP="007B0231">
      <w:pPr>
        <w:spacing w:line="360" w:lineRule="auto"/>
        <w:jc w:val="both"/>
        <w:rPr>
          <w:rFonts w:ascii="Arial" w:hAnsi="Arial" w:cs="Arial"/>
          <w:sz w:val="24"/>
          <w:szCs w:val="24"/>
        </w:rPr>
      </w:pPr>
      <w:r w:rsidRPr="006D263F">
        <w:rPr>
          <w:rFonts w:ascii="Arial" w:hAnsi="Arial" w:cs="Arial"/>
          <w:sz w:val="24"/>
          <w:szCs w:val="24"/>
        </w:rPr>
        <w:t>[2]</w:t>
      </w:r>
      <w:r w:rsidRPr="006D263F">
        <w:rPr>
          <w:rFonts w:ascii="Arial" w:hAnsi="Arial" w:cs="Arial"/>
          <w:sz w:val="24"/>
          <w:szCs w:val="24"/>
        </w:rPr>
        <w:tab/>
      </w:r>
      <w:r w:rsidR="003E5AE8" w:rsidRPr="007B0231">
        <w:rPr>
          <w:rFonts w:ascii="Arial" w:hAnsi="Arial" w:cs="Arial"/>
          <w:sz w:val="24"/>
          <w:szCs w:val="24"/>
        </w:rPr>
        <w:t>The parties’ respective cases are set out in the paragraphs that follow.</w:t>
      </w:r>
    </w:p>
    <w:p w14:paraId="417188CB" w14:textId="77777777" w:rsidR="003E5AE8" w:rsidRDefault="003E5AE8" w:rsidP="00A432A7">
      <w:pPr>
        <w:spacing w:line="360" w:lineRule="auto"/>
        <w:rPr>
          <w:rFonts w:ascii="Arial" w:hAnsi="Arial" w:cs="Arial"/>
          <w:sz w:val="24"/>
          <w:szCs w:val="24"/>
        </w:rPr>
      </w:pPr>
    </w:p>
    <w:p w14:paraId="1085B21A" w14:textId="17337929" w:rsidR="003E5AE8" w:rsidRPr="00B90442" w:rsidRDefault="003E5AE8" w:rsidP="009E5BAA">
      <w:pPr>
        <w:spacing w:line="360" w:lineRule="auto"/>
        <w:jc w:val="both"/>
        <w:rPr>
          <w:rFonts w:ascii="Arial" w:hAnsi="Arial" w:cs="Arial"/>
          <w:b/>
          <w:bCs/>
          <w:sz w:val="24"/>
          <w:szCs w:val="24"/>
        </w:rPr>
      </w:pPr>
      <w:r w:rsidRPr="00B90442">
        <w:rPr>
          <w:rFonts w:ascii="Arial" w:hAnsi="Arial" w:cs="Arial"/>
          <w:b/>
          <w:bCs/>
          <w:sz w:val="24"/>
          <w:szCs w:val="24"/>
        </w:rPr>
        <w:t>Applicant’s case</w:t>
      </w:r>
    </w:p>
    <w:p w14:paraId="0791C279" w14:textId="77777777" w:rsidR="00C92F70" w:rsidRDefault="00C92F70" w:rsidP="00A432A7">
      <w:pPr>
        <w:spacing w:line="360" w:lineRule="auto"/>
        <w:rPr>
          <w:rFonts w:ascii="Arial" w:hAnsi="Arial" w:cs="Arial"/>
          <w:sz w:val="24"/>
          <w:szCs w:val="24"/>
        </w:rPr>
      </w:pPr>
    </w:p>
    <w:p w14:paraId="223858C8" w14:textId="77565905"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92F70" w:rsidRPr="007B0231">
        <w:rPr>
          <w:rFonts w:ascii="Arial" w:hAnsi="Arial" w:cs="Arial"/>
          <w:sz w:val="24"/>
          <w:szCs w:val="24"/>
        </w:rPr>
        <w:t xml:space="preserve">The applicant </w:t>
      </w:r>
      <w:r w:rsidR="00FC2F61" w:rsidRPr="007B0231">
        <w:rPr>
          <w:rFonts w:ascii="Arial" w:hAnsi="Arial" w:cs="Arial"/>
          <w:sz w:val="24"/>
          <w:szCs w:val="24"/>
        </w:rPr>
        <w:t xml:space="preserve">is the registered owner </w:t>
      </w:r>
      <w:r w:rsidR="00647DCD" w:rsidRPr="007B0231">
        <w:rPr>
          <w:rFonts w:ascii="Arial" w:hAnsi="Arial" w:cs="Arial"/>
          <w:sz w:val="24"/>
          <w:szCs w:val="24"/>
        </w:rPr>
        <w:t xml:space="preserve">of </w:t>
      </w:r>
      <w:r w:rsidR="00A17ABA" w:rsidRPr="007B0231">
        <w:rPr>
          <w:rFonts w:ascii="Arial" w:hAnsi="Arial" w:cs="Arial"/>
          <w:sz w:val="24"/>
          <w:szCs w:val="24"/>
        </w:rPr>
        <w:t>erf 1488, Kenton-on-Sea</w:t>
      </w:r>
      <w:r w:rsidR="00E645D0" w:rsidRPr="007B0231">
        <w:rPr>
          <w:rFonts w:ascii="Arial" w:hAnsi="Arial" w:cs="Arial"/>
          <w:sz w:val="24"/>
          <w:szCs w:val="24"/>
        </w:rPr>
        <w:t xml:space="preserve">. </w:t>
      </w:r>
      <w:r w:rsidR="00EC17D8" w:rsidRPr="007B0231">
        <w:rPr>
          <w:rFonts w:ascii="Arial" w:hAnsi="Arial" w:cs="Arial"/>
          <w:sz w:val="24"/>
          <w:szCs w:val="24"/>
        </w:rPr>
        <w:t>T</w:t>
      </w:r>
      <w:r w:rsidR="001961B9" w:rsidRPr="007B0231">
        <w:rPr>
          <w:rFonts w:ascii="Arial" w:hAnsi="Arial" w:cs="Arial"/>
          <w:sz w:val="24"/>
          <w:szCs w:val="24"/>
        </w:rPr>
        <w:t xml:space="preserve">he fourth respondent is a </w:t>
      </w:r>
      <w:r w:rsidR="001A1CEC" w:rsidRPr="007B0231">
        <w:rPr>
          <w:rFonts w:ascii="Arial" w:hAnsi="Arial" w:cs="Arial"/>
          <w:sz w:val="24"/>
          <w:szCs w:val="24"/>
        </w:rPr>
        <w:t>company registered as Pastry-Wise (Pty) Ltd</w:t>
      </w:r>
      <w:r w:rsidR="007952CA" w:rsidRPr="007B0231">
        <w:rPr>
          <w:rFonts w:ascii="Arial" w:hAnsi="Arial" w:cs="Arial"/>
          <w:sz w:val="24"/>
          <w:szCs w:val="24"/>
        </w:rPr>
        <w:t xml:space="preserve"> and the owner of erf 1483</w:t>
      </w:r>
      <w:r w:rsidR="00257000" w:rsidRPr="007B0231">
        <w:rPr>
          <w:rFonts w:ascii="Arial" w:hAnsi="Arial" w:cs="Arial"/>
          <w:sz w:val="24"/>
          <w:szCs w:val="24"/>
        </w:rPr>
        <w:t xml:space="preserve">, which abuts </w:t>
      </w:r>
      <w:r w:rsidR="00D73D63" w:rsidRPr="007B0231">
        <w:rPr>
          <w:rFonts w:ascii="Arial" w:hAnsi="Arial" w:cs="Arial"/>
          <w:sz w:val="24"/>
          <w:szCs w:val="24"/>
        </w:rPr>
        <w:t>the applicant’s property.</w:t>
      </w:r>
    </w:p>
    <w:p w14:paraId="6E975ACA" w14:textId="77777777" w:rsidR="009E5BAA" w:rsidRDefault="009E5BAA" w:rsidP="009E5BAA">
      <w:pPr>
        <w:pStyle w:val="ListParagraph"/>
        <w:spacing w:line="360" w:lineRule="auto"/>
        <w:ind w:left="0"/>
        <w:jc w:val="both"/>
        <w:rPr>
          <w:rFonts w:ascii="Arial" w:hAnsi="Arial" w:cs="Arial"/>
          <w:sz w:val="24"/>
          <w:szCs w:val="24"/>
        </w:rPr>
      </w:pPr>
    </w:p>
    <w:p w14:paraId="128AB31F" w14:textId="2F24CDCE"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594762" w:rsidRPr="007B0231">
        <w:rPr>
          <w:rFonts w:ascii="Arial" w:hAnsi="Arial" w:cs="Arial"/>
          <w:sz w:val="24"/>
          <w:szCs w:val="24"/>
        </w:rPr>
        <w:t xml:space="preserve">The applicant alleges </w:t>
      </w:r>
      <w:r w:rsidR="007D3985" w:rsidRPr="007B0231">
        <w:rPr>
          <w:rFonts w:ascii="Arial" w:hAnsi="Arial" w:cs="Arial"/>
          <w:sz w:val="24"/>
          <w:szCs w:val="24"/>
        </w:rPr>
        <w:t xml:space="preserve">that </w:t>
      </w:r>
      <w:r w:rsidR="002F1950" w:rsidRPr="007B0231">
        <w:rPr>
          <w:rFonts w:ascii="Arial" w:hAnsi="Arial" w:cs="Arial"/>
          <w:sz w:val="24"/>
          <w:szCs w:val="24"/>
        </w:rPr>
        <w:t xml:space="preserve">the </w:t>
      </w:r>
      <w:r w:rsidR="00C13659" w:rsidRPr="007B0231">
        <w:rPr>
          <w:rFonts w:ascii="Arial" w:hAnsi="Arial" w:cs="Arial"/>
          <w:sz w:val="24"/>
          <w:szCs w:val="24"/>
        </w:rPr>
        <w:t xml:space="preserve">steep </w:t>
      </w:r>
      <w:r w:rsidR="00D070BB" w:rsidRPr="007B0231">
        <w:rPr>
          <w:rFonts w:ascii="Arial" w:hAnsi="Arial" w:cs="Arial"/>
          <w:sz w:val="24"/>
          <w:szCs w:val="24"/>
        </w:rPr>
        <w:t xml:space="preserve">topography of the area affords the </w:t>
      </w:r>
      <w:r w:rsidR="007D3985" w:rsidRPr="007B0231">
        <w:rPr>
          <w:rFonts w:ascii="Arial" w:hAnsi="Arial" w:cs="Arial"/>
          <w:sz w:val="24"/>
          <w:szCs w:val="24"/>
        </w:rPr>
        <w:t xml:space="preserve">occupants of </w:t>
      </w:r>
      <w:r w:rsidR="005C0F66" w:rsidRPr="007B0231">
        <w:rPr>
          <w:rFonts w:ascii="Arial" w:hAnsi="Arial" w:cs="Arial"/>
          <w:sz w:val="24"/>
          <w:szCs w:val="24"/>
        </w:rPr>
        <w:t>erf 1483</w:t>
      </w:r>
      <w:r w:rsidR="002F1950" w:rsidRPr="007B0231">
        <w:rPr>
          <w:rFonts w:ascii="Arial" w:hAnsi="Arial" w:cs="Arial"/>
          <w:sz w:val="24"/>
          <w:szCs w:val="24"/>
        </w:rPr>
        <w:t xml:space="preserve"> a clear and unobstructed view over her property.</w:t>
      </w:r>
      <w:r w:rsidR="001D0B5C" w:rsidRPr="007B0231">
        <w:rPr>
          <w:rFonts w:ascii="Arial" w:hAnsi="Arial" w:cs="Arial"/>
          <w:sz w:val="24"/>
          <w:szCs w:val="24"/>
        </w:rPr>
        <w:t xml:space="preserve"> </w:t>
      </w:r>
      <w:r w:rsidR="00753D91" w:rsidRPr="007B0231">
        <w:rPr>
          <w:rFonts w:ascii="Arial" w:hAnsi="Arial" w:cs="Arial"/>
          <w:sz w:val="24"/>
          <w:szCs w:val="24"/>
        </w:rPr>
        <w:t xml:space="preserve">This </w:t>
      </w:r>
      <w:r w:rsidR="005613D5" w:rsidRPr="007B0231">
        <w:rPr>
          <w:rFonts w:ascii="Arial" w:hAnsi="Arial" w:cs="Arial"/>
          <w:sz w:val="24"/>
          <w:szCs w:val="24"/>
        </w:rPr>
        <w:t>has become</w:t>
      </w:r>
      <w:r w:rsidR="00753D91" w:rsidRPr="007B0231">
        <w:rPr>
          <w:rFonts w:ascii="Arial" w:hAnsi="Arial" w:cs="Arial"/>
          <w:sz w:val="24"/>
          <w:szCs w:val="24"/>
        </w:rPr>
        <w:t xml:space="preserve"> problematic</w:t>
      </w:r>
      <w:r w:rsidR="00B67642" w:rsidRPr="007B0231">
        <w:rPr>
          <w:rFonts w:ascii="Arial" w:hAnsi="Arial" w:cs="Arial"/>
          <w:sz w:val="24"/>
          <w:szCs w:val="24"/>
        </w:rPr>
        <w:t xml:space="preserve"> </w:t>
      </w:r>
      <w:r w:rsidR="00753D91" w:rsidRPr="007B0231">
        <w:rPr>
          <w:rFonts w:ascii="Arial" w:hAnsi="Arial" w:cs="Arial"/>
          <w:sz w:val="24"/>
          <w:szCs w:val="24"/>
        </w:rPr>
        <w:t xml:space="preserve">because </w:t>
      </w:r>
      <w:r w:rsidR="00F85C34" w:rsidRPr="007B0231">
        <w:rPr>
          <w:rFonts w:ascii="Arial" w:hAnsi="Arial" w:cs="Arial"/>
          <w:sz w:val="24"/>
          <w:szCs w:val="24"/>
        </w:rPr>
        <w:t>the fourth respondent use</w:t>
      </w:r>
      <w:r w:rsidR="00EC17D8" w:rsidRPr="007B0231">
        <w:rPr>
          <w:rFonts w:ascii="Arial" w:hAnsi="Arial" w:cs="Arial"/>
          <w:sz w:val="24"/>
          <w:szCs w:val="24"/>
        </w:rPr>
        <w:t>s</w:t>
      </w:r>
      <w:r w:rsidR="00F85C34" w:rsidRPr="007B0231">
        <w:rPr>
          <w:rFonts w:ascii="Arial" w:hAnsi="Arial" w:cs="Arial"/>
          <w:sz w:val="24"/>
          <w:szCs w:val="24"/>
        </w:rPr>
        <w:t xml:space="preserve"> the property as a </w:t>
      </w:r>
      <w:r w:rsidR="00212908" w:rsidRPr="007B0231">
        <w:rPr>
          <w:rFonts w:ascii="Arial" w:hAnsi="Arial" w:cs="Arial"/>
          <w:sz w:val="24"/>
          <w:szCs w:val="24"/>
        </w:rPr>
        <w:t xml:space="preserve">seven-roomed </w:t>
      </w:r>
      <w:r w:rsidR="00F85C34" w:rsidRPr="007B0231">
        <w:rPr>
          <w:rFonts w:ascii="Arial" w:hAnsi="Arial" w:cs="Arial"/>
          <w:sz w:val="24"/>
          <w:szCs w:val="24"/>
        </w:rPr>
        <w:t>guesthouse</w:t>
      </w:r>
      <w:r w:rsidR="00AB62F7" w:rsidRPr="007B0231">
        <w:rPr>
          <w:rFonts w:ascii="Arial" w:hAnsi="Arial" w:cs="Arial"/>
          <w:sz w:val="24"/>
          <w:szCs w:val="24"/>
        </w:rPr>
        <w:t>,</w:t>
      </w:r>
      <w:r w:rsidR="000F5390" w:rsidRPr="007B0231">
        <w:rPr>
          <w:rFonts w:ascii="Arial" w:hAnsi="Arial" w:cs="Arial"/>
          <w:sz w:val="24"/>
          <w:szCs w:val="24"/>
        </w:rPr>
        <w:t xml:space="preserve"> </w:t>
      </w:r>
      <w:r w:rsidR="00D9415F" w:rsidRPr="007B0231">
        <w:rPr>
          <w:rFonts w:ascii="Arial" w:hAnsi="Arial" w:cs="Arial"/>
          <w:sz w:val="24"/>
          <w:szCs w:val="24"/>
        </w:rPr>
        <w:t xml:space="preserve">trading as </w:t>
      </w:r>
      <w:r w:rsidR="000F5390" w:rsidRPr="007B0231">
        <w:rPr>
          <w:rFonts w:ascii="Arial" w:hAnsi="Arial" w:cs="Arial"/>
          <w:sz w:val="24"/>
          <w:szCs w:val="24"/>
        </w:rPr>
        <w:t>‘Sky Blue’</w:t>
      </w:r>
      <w:r w:rsidR="00EC17D8" w:rsidRPr="007B0231">
        <w:rPr>
          <w:rFonts w:ascii="Arial" w:hAnsi="Arial" w:cs="Arial"/>
          <w:sz w:val="24"/>
          <w:szCs w:val="24"/>
        </w:rPr>
        <w:t xml:space="preserve">, which </w:t>
      </w:r>
      <w:r w:rsidR="00391A68" w:rsidRPr="007B0231">
        <w:rPr>
          <w:rFonts w:ascii="Arial" w:hAnsi="Arial" w:cs="Arial"/>
          <w:sz w:val="24"/>
          <w:szCs w:val="24"/>
        </w:rPr>
        <w:t xml:space="preserve">creates a disturbance and </w:t>
      </w:r>
      <w:r w:rsidR="008A1BF1" w:rsidRPr="007B0231">
        <w:rPr>
          <w:rFonts w:ascii="Arial" w:hAnsi="Arial" w:cs="Arial"/>
          <w:sz w:val="24"/>
          <w:szCs w:val="24"/>
        </w:rPr>
        <w:t>prevents the applicant</w:t>
      </w:r>
      <w:r w:rsidR="00100F26" w:rsidRPr="007B0231">
        <w:rPr>
          <w:rFonts w:ascii="Arial" w:hAnsi="Arial" w:cs="Arial"/>
          <w:sz w:val="24"/>
          <w:szCs w:val="24"/>
        </w:rPr>
        <w:t>’s</w:t>
      </w:r>
      <w:r w:rsidR="008A1BF1" w:rsidRPr="007B0231">
        <w:rPr>
          <w:rFonts w:ascii="Arial" w:hAnsi="Arial" w:cs="Arial"/>
          <w:sz w:val="24"/>
          <w:szCs w:val="24"/>
        </w:rPr>
        <w:t xml:space="preserve"> full use and enjoyment of </w:t>
      </w:r>
      <w:r w:rsidR="000B3408" w:rsidRPr="007B0231">
        <w:rPr>
          <w:rFonts w:ascii="Arial" w:hAnsi="Arial" w:cs="Arial"/>
          <w:sz w:val="24"/>
          <w:szCs w:val="24"/>
        </w:rPr>
        <w:t>erf 1488</w:t>
      </w:r>
      <w:r w:rsidR="008A1BF1" w:rsidRPr="007B0231">
        <w:rPr>
          <w:rFonts w:ascii="Arial" w:hAnsi="Arial" w:cs="Arial"/>
          <w:sz w:val="24"/>
          <w:szCs w:val="24"/>
        </w:rPr>
        <w:t>.</w:t>
      </w:r>
    </w:p>
    <w:p w14:paraId="6E0669C6" w14:textId="77777777" w:rsidR="009E5BAA" w:rsidRPr="009E5BAA" w:rsidRDefault="009E5BAA" w:rsidP="009E5BAA">
      <w:pPr>
        <w:pStyle w:val="ListParagraph"/>
        <w:rPr>
          <w:rFonts w:ascii="Arial" w:hAnsi="Arial" w:cs="Arial"/>
          <w:sz w:val="24"/>
          <w:szCs w:val="24"/>
        </w:rPr>
      </w:pPr>
    </w:p>
    <w:p w14:paraId="30603DDC" w14:textId="18B6B589"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426E0" w:rsidRPr="007B0231">
        <w:rPr>
          <w:rFonts w:ascii="Arial" w:hAnsi="Arial" w:cs="Arial"/>
          <w:sz w:val="24"/>
          <w:szCs w:val="24"/>
        </w:rPr>
        <w:t xml:space="preserve">The fourth respondent initially </w:t>
      </w:r>
      <w:r w:rsidR="00D216C7" w:rsidRPr="007B0231">
        <w:rPr>
          <w:rFonts w:ascii="Arial" w:hAnsi="Arial" w:cs="Arial"/>
          <w:sz w:val="24"/>
          <w:szCs w:val="24"/>
        </w:rPr>
        <w:t xml:space="preserve">sought </w:t>
      </w:r>
      <w:r w:rsidR="00A426E0" w:rsidRPr="007B0231">
        <w:rPr>
          <w:rFonts w:ascii="Arial" w:hAnsi="Arial" w:cs="Arial"/>
          <w:sz w:val="24"/>
          <w:szCs w:val="24"/>
        </w:rPr>
        <w:t>the applicant</w:t>
      </w:r>
      <w:r w:rsidR="00D216C7" w:rsidRPr="007B0231">
        <w:rPr>
          <w:rFonts w:ascii="Arial" w:hAnsi="Arial" w:cs="Arial"/>
          <w:sz w:val="24"/>
          <w:szCs w:val="24"/>
        </w:rPr>
        <w:t>’s</w:t>
      </w:r>
      <w:r w:rsidR="00E05982" w:rsidRPr="007B0231">
        <w:rPr>
          <w:rFonts w:ascii="Arial" w:hAnsi="Arial" w:cs="Arial"/>
          <w:sz w:val="24"/>
          <w:szCs w:val="24"/>
        </w:rPr>
        <w:t xml:space="preserve"> </w:t>
      </w:r>
      <w:r w:rsidR="005B27C5" w:rsidRPr="007B0231">
        <w:rPr>
          <w:rFonts w:ascii="Arial" w:hAnsi="Arial" w:cs="Arial"/>
          <w:sz w:val="24"/>
          <w:szCs w:val="24"/>
        </w:rPr>
        <w:t xml:space="preserve">consent </w:t>
      </w:r>
      <w:r w:rsidR="00D216C7" w:rsidRPr="007B0231">
        <w:rPr>
          <w:rFonts w:ascii="Arial" w:hAnsi="Arial" w:cs="Arial"/>
          <w:sz w:val="24"/>
          <w:szCs w:val="24"/>
        </w:rPr>
        <w:t>f</w:t>
      </w:r>
      <w:r w:rsidR="005B27C5" w:rsidRPr="007B0231">
        <w:rPr>
          <w:rFonts w:ascii="Arial" w:hAnsi="Arial" w:cs="Arial"/>
          <w:sz w:val="24"/>
          <w:szCs w:val="24"/>
        </w:rPr>
        <w:t>o</w:t>
      </w:r>
      <w:r w:rsidR="00D216C7" w:rsidRPr="007B0231">
        <w:rPr>
          <w:rFonts w:ascii="Arial" w:hAnsi="Arial" w:cs="Arial"/>
          <w:sz w:val="24"/>
          <w:szCs w:val="24"/>
        </w:rPr>
        <w:t>r</w:t>
      </w:r>
      <w:r w:rsidR="005B27C5" w:rsidRPr="007B0231">
        <w:rPr>
          <w:rFonts w:ascii="Arial" w:hAnsi="Arial" w:cs="Arial"/>
          <w:sz w:val="24"/>
          <w:szCs w:val="24"/>
        </w:rPr>
        <w:t xml:space="preserve"> the relaxation of building lines. </w:t>
      </w:r>
      <w:r w:rsidR="00EC17D8" w:rsidRPr="007B0231">
        <w:rPr>
          <w:rFonts w:ascii="Arial" w:hAnsi="Arial" w:cs="Arial"/>
          <w:sz w:val="24"/>
          <w:szCs w:val="24"/>
        </w:rPr>
        <w:t xml:space="preserve">She </w:t>
      </w:r>
      <w:r w:rsidR="00925D35" w:rsidRPr="007B0231">
        <w:rPr>
          <w:rFonts w:ascii="Arial" w:hAnsi="Arial" w:cs="Arial"/>
          <w:sz w:val="24"/>
          <w:szCs w:val="24"/>
        </w:rPr>
        <w:t>refus</w:t>
      </w:r>
      <w:r w:rsidR="001332E4" w:rsidRPr="007B0231">
        <w:rPr>
          <w:rFonts w:ascii="Arial" w:hAnsi="Arial" w:cs="Arial"/>
          <w:sz w:val="24"/>
          <w:szCs w:val="24"/>
        </w:rPr>
        <w:t xml:space="preserve">ed </w:t>
      </w:r>
      <w:r w:rsidR="00EC17D8" w:rsidRPr="007B0231">
        <w:rPr>
          <w:rFonts w:ascii="Arial" w:hAnsi="Arial" w:cs="Arial"/>
          <w:sz w:val="24"/>
          <w:szCs w:val="24"/>
        </w:rPr>
        <w:t xml:space="preserve">on the basis that the property was zoned for single residential use, as advised by the </w:t>
      </w:r>
      <w:r w:rsidR="00E74C06" w:rsidRPr="007B0231">
        <w:rPr>
          <w:rFonts w:ascii="Arial" w:hAnsi="Arial" w:cs="Arial"/>
          <w:sz w:val="24"/>
          <w:szCs w:val="24"/>
        </w:rPr>
        <w:t>third respondent, the Ndlambe Local Municipality</w:t>
      </w:r>
      <w:r w:rsidR="00AC0353" w:rsidRPr="007B0231">
        <w:rPr>
          <w:rFonts w:ascii="Arial" w:hAnsi="Arial" w:cs="Arial"/>
          <w:sz w:val="24"/>
          <w:szCs w:val="24"/>
        </w:rPr>
        <w:t>.</w:t>
      </w:r>
      <w:r w:rsidR="00EC17D8" w:rsidRPr="007B0231">
        <w:rPr>
          <w:rFonts w:ascii="Arial" w:hAnsi="Arial" w:cs="Arial"/>
          <w:sz w:val="24"/>
          <w:szCs w:val="24"/>
        </w:rPr>
        <w:t xml:space="preserve"> This prompted the fourth respondent to apply to the municipality,</w:t>
      </w:r>
      <w:r w:rsidR="00B2654C" w:rsidRPr="007B0231">
        <w:rPr>
          <w:rFonts w:ascii="Arial" w:hAnsi="Arial" w:cs="Arial"/>
          <w:sz w:val="24"/>
          <w:szCs w:val="24"/>
        </w:rPr>
        <w:t xml:space="preserve"> </w:t>
      </w:r>
      <w:r w:rsidR="00EC17D8" w:rsidRPr="007B0231">
        <w:rPr>
          <w:rFonts w:ascii="Arial" w:hAnsi="Arial" w:cs="Arial"/>
          <w:sz w:val="24"/>
          <w:szCs w:val="24"/>
        </w:rPr>
        <w:t xml:space="preserve">on </w:t>
      </w:r>
      <w:r w:rsidR="00B2654C" w:rsidRPr="007B0231">
        <w:rPr>
          <w:rFonts w:ascii="Arial" w:hAnsi="Arial" w:cs="Arial"/>
          <w:sz w:val="24"/>
          <w:szCs w:val="24"/>
        </w:rPr>
        <w:t xml:space="preserve">16 July 2018, for </w:t>
      </w:r>
      <w:r w:rsidR="006C376A" w:rsidRPr="007B0231">
        <w:rPr>
          <w:rFonts w:ascii="Arial" w:hAnsi="Arial" w:cs="Arial"/>
          <w:sz w:val="24"/>
          <w:szCs w:val="24"/>
        </w:rPr>
        <w:t xml:space="preserve">a permanent departure from the </w:t>
      </w:r>
      <w:r w:rsidR="000E5539" w:rsidRPr="007B0231">
        <w:rPr>
          <w:rFonts w:ascii="Arial" w:hAnsi="Arial" w:cs="Arial"/>
          <w:sz w:val="24"/>
          <w:szCs w:val="24"/>
        </w:rPr>
        <w:t xml:space="preserve">zoning </w:t>
      </w:r>
      <w:r w:rsidR="00FC6938" w:rsidRPr="007B0231">
        <w:rPr>
          <w:rFonts w:ascii="Arial" w:hAnsi="Arial" w:cs="Arial"/>
          <w:sz w:val="24"/>
          <w:szCs w:val="24"/>
        </w:rPr>
        <w:t>scheme conditions</w:t>
      </w:r>
      <w:r w:rsidR="00163951" w:rsidRPr="007B0231">
        <w:rPr>
          <w:rFonts w:ascii="Arial" w:hAnsi="Arial" w:cs="Arial"/>
          <w:sz w:val="24"/>
          <w:szCs w:val="24"/>
        </w:rPr>
        <w:t xml:space="preserve"> </w:t>
      </w:r>
      <w:r w:rsidR="003C26A3" w:rsidRPr="007B0231">
        <w:rPr>
          <w:rFonts w:ascii="Arial" w:hAnsi="Arial" w:cs="Arial"/>
          <w:sz w:val="24"/>
          <w:szCs w:val="24"/>
        </w:rPr>
        <w:t xml:space="preserve">to allow </w:t>
      </w:r>
      <w:r w:rsidR="006C011F" w:rsidRPr="007B0231">
        <w:rPr>
          <w:rFonts w:ascii="Arial" w:hAnsi="Arial" w:cs="Arial"/>
          <w:sz w:val="24"/>
          <w:szCs w:val="24"/>
        </w:rPr>
        <w:t xml:space="preserve">the operation of a guesthouse </w:t>
      </w:r>
      <w:r w:rsidR="00163951" w:rsidRPr="007B0231">
        <w:rPr>
          <w:rFonts w:ascii="Arial" w:hAnsi="Arial" w:cs="Arial"/>
          <w:sz w:val="24"/>
          <w:szCs w:val="24"/>
        </w:rPr>
        <w:t>with</w:t>
      </w:r>
      <w:r w:rsidR="007267C9" w:rsidRPr="007B0231">
        <w:rPr>
          <w:rFonts w:ascii="Arial" w:hAnsi="Arial" w:cs="Arial"/>
          <w:sz w:val="24"/>
          <w:szCs w:val="24"/>
        </w:rPr>
        <w:t xml:space="preserve"> eight separate suites</w:t>
      </w:r>
      <w:r w:rsidR="00E31949" w:rsidRPr="007B0231">
        <w:rPr>
          <w:rFonts w:ascii="Arial" w:hAnsi="Arial" w:cs="Arial"/>
          <w:sz w:val="24"/>
          <w:szCs w:val="24"/>
        </w:rPr>
        <w:t xml:space="preserve"> </w:t>
      </w:r>
      <w:r w:rsidR="00163951" w:rsidRPr="007B0231">
        <w:rPr>
          <w:rFonts w:ascii="Arial" w:hAnsi="Arial" w:cs="Arial"/>
          <w:sz w:val="24"/>
          <w:szCs w:val="24"/>
        </w:rPr>
        <w:t xml:space="preserve">and on-site parking for </w:t>
      </w:r>
      <w:r w:rsidR="00E31949" w:rsidRPr="007B0231">
        <w:rPr>
          <w:rFonts w:ascii="Arial" w:hAnsi="Arial" w:cs="Arial"/>
          <w:sz w:val="24"/>
          <w:szCs w:val="24"/>
        </w:rPr>
        <w:t>16 guests</w:t>
      </w:r>
      <w:r w:rsidR="009160B2" w:rsidRPr="007B0231">
        <w:rPr>
          <w:rFonts w:ascii="Arial" w:hAnsi="Arial" w:cs="Arial"/>
          <w:sz w:val="24"/>
          <w:szCs w:val="24"/>
        </w:rPr>
        <w:t>.</w:t>
      </w:r>
      <w:r w:rsidR="004E7EC7" w:rsidRPr="007B0231">
        <w:rPr>
          <w:rFonts w:ascii="Arial" w:hAnsi="Arial" w:cs="Arial"/>
          <w:sz w:val="24"/>
          <w:szCs w:val="24"/>
        </w:rPr>
        <w:t xml:space="preserve"> The fourth respondent also applied for the removal of </w:t>
      </w:r>
      <w:r w:rsidR="00320598" w:rsidRPr="007B0231">
        <w:rPr>
          <w:rFonts w:ascii="Arial" w:hAnsi="Arial" w:cs="Arial"/>
          <w:sz w:val="24"/>
          <w:szCs w:val="24"/>
        </w:rPr>
        <w:t>the restrictive conditions attached to the title deed</w:t>
      </w:r>
      <w:r w:rsidR="001C7250" w:rsidRPr="007B0231">
        <w:rPr>
          <w:rFonts w:ascii="Arial" w:hAnsi="Arial" w:cs="Arial"/>
          <w:sz w:val="24"/>
          <w:szCs w:val="24"/>
        </w:rPr>
        <w:t>.</w:t>
      </w:r>
      <w:r w:rsidR="00EC17D8" w:rsidRPr="007B0231">
        <w:rPr>
          <w:rFonts w:ascii="Arial" w:hAnsi="Arial" w:cs="Arial"/>
          <w:sz w:val="24"/>
          <w:szCs w:val="24"/>
        </w:rPr>
        <w:t xml:space="preserve"> </w:t>
      </w:r>
    </w:p>
    <w:p w14:paraId="7731DE36" w14:textId="77777777" w:rsidR="009E5BAA" w:rsidRPr="009E5BAA" w:rsidRDefault="009E5BAA" w:rsidP="009E5BAA">
      <w:pPr>
        <w:pStyle w:val="ListParagraph"/>
        <w:rPr>
          <w:rFonts w:ascii="Arial" w:hAnsi="Arial" w:cs="Arial"/>
          <w:sz w:val="24"/>
          <w:szCs w:val="24"/>
        </w:rPr>
      </w:pPr>
    </w:p>
    <w:p w14:paraId="239B968F" w14:textId="7556FA95"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A5AC8" w:rsidRPr="007B0231">
        <w:rPr>
          <w:rFonts w:ascii="Arial" w:hAnsi="Arial" w:cs="Arial"/>
          <w:sz w:val="24"/>
          <w:szCs w:val="24"/>
        </w:rPr>
        <w:t>T</w:t>
      </w:r>
      <w:r w:rsidR="00162162" w:rsidRPr="007B0231">
        <w:rPr>
          <w:rFonts w:ascii="Arial" w:hAnsi="Arial" w:cs="Arial"/>
          <w:sz w:val="24"/>
          <w:szCs w:val="24"/>
        </w:rPr>
        <w:t xml:space="preserve">he applicant lodged </w:t>
      </w:r>
      <w:r w:rsidR="005B0E1E" w:rsidRPr="007B0231">
        <w:rPr>
          <w:rFonts w:ascii="Arial" w:hAnsi="Arial" w:cs="Arial"/>
          <w:sz w:val="24"/>
          <w:szCs w:val="24"/>
        </w:rPr>
        <w:t xml:space="preserve">an </w:t>
      </w:r>
      <w:r w:rsidR="00162162" w:rsidRPr="007B0231">
        <w:rPr>
          <w:rFonts w:ascii="Arial" w:hAnsi="Arial" w:cs="Arial"/>
          <w:sz w:val="24"/>
          <w:szCs w:val="24"/>
        </w:rPr>
        <w:t xml:space="preserve">objection to the </w:t>
      </w:r>
      <w:r w:rsidR="00E601A2" w:rsidRPr="007B0231">
        <w:rPr>
          <w:rFonts w:ascii="Arial" w:hAnsi="Arial" w:cs="Arial"/>
          <w:sz w:val="24"/>
          <w:szCs w:val="24"/>
        </w:rPr>
        <w:t>application</w:t>
      </w:r>
      <w:r w:rsidR="006A5AC8" w:rsidRPr="007B0231">
        <w:rPr>
          <w:rFonts w:ascii="Arial" w:hAnsi="Arial" w:cs="Arial"/>
          <w:sz w:val="24"/>
          <w:szCs w:val="24"/>
        </w:rPr>
        <w:t xml:space="preserve"> on 15 October 2018</w:t>
      </w:r>
      <w:r w:rsidR="00E601A2" w:rsidRPr="007B0231">
        <w:rPr>
          <w:rFonts w:ascii="Arial" w:hAnsi="Arial" w:cs="Arial"/>
          <w:sz w:val="24"/>
          <w:szCs w:val="24"/>
        </w:rPr>
        <w:t>.</w:t>
      </w:r>
      <w:r w:rsidR="005E52D2" w:rsidRPr="007B0231">
        <w:rPr>
          <w:rFonts w:ascii="Arial" w:hAnsi="Arial" w:cs="Arial"/>
          <w:sz w:val="24"/>
          <w:szCs w:val="24"/>
        </w:rPr>
        <w:t xml:space="preserve"> She </w:t>
      </w:r>
      <w:r w:rsidR="002625F7" w:rsidRPr="007B0231">
        <w:rPr>
          <w:rFonts w:ascii="Arial" w:hAnsi="Arial" w:cs="Arial"/>
          <w:sz w:val="24"/>
          <w:szCs w:val="24"/>
        </w:rPr>
        <w:t>alleg</w:t>
      </w:r>
      <w:r w:rsidR="005E52D2" w:rsidRPr="007B0231">
        <w:rPr>
          <w:rFonts w:ascii="Arial" w:hAnsi="Arial" w:cs="Arial"/>
          <w:sz w:val="24"/>
          <w:szCs w:val="24"/>
        </w:rPr>
        <w:t>ed that the fourth respondent had</w:t>
      </w:r>
      <w:r w:rsidR="00C55192" w:rsidRPr="007B0231">
        <w:rPr>
          <w:rFonts w:ascii="Arial" w:hAnsi="Arial" w:cs="Arial"/>
          <w:sz w:val="24"/>
          <w:szCs w:val="24"/>
        </w:rPr>
        <w:t xml:space="preserve"> already commenced operating </w:t>
      </w:r>
      <w:r w:rsidR="00163951" w:rsidRPr="007B0231">
        <w:rPr>
          <w:rFonts w:ascii="Arial" w:hAnsi="Arial" w:cs="Arial"/>
          <w:sz w:val="24"/>
          <w:szCs w:val="24"/>
        </w:rPr>
        <w:t>the</w:t>
      </w:r>
      <w:r w:rsidR="00C55192" w:rsidRPr="007B0231">
        <w:rPr>
          <w:rFonts w:ascii="Arial" w:hAnsi="Arial" w:cs="Arial"/>
          <w:sz w:val="24"/>
          <w:szCs w:val="24"/>
        </w:rPr>
        <w:t xml:space="preserve"> guesthouse without </w:t>
      </w:r>
      <w:r w:rsidR="00021B0D" w:rsidRPr="007B0231">
        <w:rPr>
          <w:rFonts w:ascii="Arial" w:hAnsi="Arial" w:cs="Arial"/>
          <w:sz w:val="24"/>
          <w:szCs w:val="24"/>
        </w:rPr>
        <w:t xml:space="preserve">the necessary </w:t>
      </w:r>
      <w:r w:rsidR="00C55192" w:rsidRPr="007B0231">
        <w:rPr>
          <w:rFonts w:ascii="Arial" w:hAnsi="Arial" w:cs="Arial"/>
          <w:sz w:val="24"/>
          <w:szCs w:val="24"/>
        </w:rPr>
        <w:t>permission.</w:t>
      </w:r>
      <w:r w:rsidR="00795583" w:rsidRPr="007B0231">
        <w:rPr>
          <w:rFonts w:ascii="Arial" w:hAnsi="Arial" w:cs="Arial"/>
          <w:sz w:val="24"/>
          <w:szCs w:val="24"/>
        </w:rPr>
        <w:t xml:space="preserve"> </w:t>
      </w:r>
      <w:r w:rsidR="00A82E58" w:rsidRPr="007B0231">
        <w:rPr>
          <w:rFonts w:ascii="Arial" w:hAnsi="Arial" w:cs="Arial"/>
          <w:sz w:val="24"/>
          <w:szCs w:val="24"/>
        </w:rPr>
        <w:t>The fourth respondent had</w:t>
      </w:r>
      <w:r w:rsidR="006F1945" w:rsidRPr="007B0231">
        <w:rPr>
          <w:rFonts w:ascii="Arial" w:hAnsi="Arial" w:cs="Arial"/>
          <w:sz w:val="24"/>
          <w:szCs w:val="24"/>
        </w:rPr>
        <w:t xml:space="preserve">, </w:t>
      </w:r>
      <w:r w:rsidR="00817AD1" w:rsidRPr="007B0231">
        <w:rPr>
          <w:rFonts w:ascii="Arial" w:hAnsi="Arial" w:cs="Arial"/>
          <w:sz w:val="24"/>
          <w:szCs w:val="24"/>
        </w:rPr>
        <w:t>moreover</w:t>
      </w:r>
      <w:r w:rsidR="006F1945" w:rsidRPr="007B0231">
        <w:rPr>
          <w:rFonts w:ascii="Arial" w:hAnsi="Arial" w:cs="Arial"/>
          <w:sz w:val="24"/>
          <w:szCs w:val="24"/>
        </w:rPr>
        <w:t>,</w:t>
      </w:r>
      <w:r w:rsidR="00A82E58" w:rsidRPr="007B0231">
        <w:rPr>
          <w:rFonts w:ascii="Arial" w:hAnsi="Arial" w:cs="Arial"/>
          <w:sz w:val="24"/>
          <w:szCs w:val="24"/>
        </w:rPr>
        <w:t xml:space="preserve"> removed trees and other plant growth </w:t>
      </w:r>
      <w:r w:rsidR="00817AD1" w:rsidRPr="007B0231">
        <w:rPr>
          <w:rFonts w:ascii="Arial" w:hAnsi="Arial" w:cs="Arial"/>
          <w:sz w:val="24"/>
          <w:szCs w:val="24"/>
        </w:rPr>
        <w:t>from</w:t>
      </w:r>
      <w:r w:rsidR="00A82E58" w:rsidRPr="007B0231">
        <w:rPr>
          <w:rFonts w:ascii="Arial" w:hAnsi="Arial" w:cs="Arial"/>
          <w:sz w:val="24"/>
          <w:szCs w:val="24"/>
        </w:rPr>
        <w:t xml:space="preserve"> the </w:t>
      </w:r>
      <w:r w:rsidR="003211BA" w:rsidRPr="007B0231">
        <w:rPr>
          <w:rFonts w:ascii="Arial" w:hAnsi="Arial" w:cs="Arial"/>
          <w:sz w:val="24"/>
          <w:szCs w:val="24"/>
        </w:rPr>
        <w:t xml:space="preserve">boundary line </w:t>
      </w:r>
      <w:r w:rsidR="00685C53" w:rsidRPr="007B0231">
        <w:rPr>
          <w:rFonts w:ascii="Arial" w:hAnsi="Arial" w:cs="Arial"/>
          <w:sz w:val="24"/>
          <w:szCs w:val="24"/>
        </w:rPr>
        <w:t xml:space="preserve">and </w:t>
      </w:r>
      <w:r w:rsidR="003211BA" w:rsidRPr="007B0231">
        <w:rPr>
          <w:rFonts w:ascii="Arial" w:hAnsi="Arial" w:cs="Arial"/>
          <w:sz w:val="24"/>
          <w:szCs w:val="24"/>
        </w:rPr>
        <w:t xml:space="preserve">had failed to erect a fence or similar structure to </w:t>
      </w:r>
      <w:r w:rsidR="008437A3" w:rsidRPr="007B0231">
        <w:rPr>
          <w:rFonts w:ascii="Arial" w:hAnsi="Arial" w:cs="Arial"/>
          <w:sz w:val="24"/>
          <w:szCs w:val="24"/>
        </w:rPr>
        <w:t xml:space="preserve">limit the impact </w:t>
      </w:r>
      <w:r w:rsidR="00115540" w:rsidRPr="007B0231">
        <w:rPr>
          <w:rFonts w:ascii="Arial" w:hAnsi="Arial" w:cs="Arial"/>
          <w:sz w:val="24"/>
          <w:szCs w:val="24"/>
        </w:rPr>
        <w:t>on the applicant’s privacy.</w:t>
      </w:r>
      <w:r w:rsidR="00864303" w:rsidRPr="007B0231">
        <w:rPr>
          <w:rFonts w:ascii="Arial" w:hAnsi="Arial" w:cs="Arial"/>
          <w:sz w:val="24"/>
          <w:szCs w:val="24"/>
        </w:rPr>
        <w:t xml:space="preserve"> </w:t>
      </w:r>
      <w:r w:rsidR="00C03237" w:rsidRPr="007B0231">
        <w:rPr>
          <w:rFonts w:ascii="Arial" w:hAnsi="Arial" w:cs="Arial"/>
          <w:sz w:val="24"/>
          <w:szCs w:val="24"/>
        </w:rPr>
        <w:t xml:space="preserve">This would be </w:t>
      </w:r>
      <w:r w:rsidR="00163951" w:rsidRPr="007B0231">
        <w:rPr>
          <w:rFonts w:ascii="Arial" w:hAnsi="Arial" w:cs="Arial"/>
          <w:sz w:val="24"/>
          <w:szCs w:val="24"/>
        </w:rPr>
        <w:t>aggravated</w:t>
      </w:r>
      <w:r w:rsidR="00C03237" w:rsidRPr="007B0231">
        <w:rPr>
          <w:rFonts w:ascii="Arial" w:hAnsi="Arial" w:cs="Arial"/>
          <w:sz w:val="24"/>
          <w:szCs w:val="24"/>
        </w:rPr>
        <w:t xml:space="preserve"> by </w:t>
      </w:r>
      <w:r w:rsidR="00F77D73" w:rsidRPr="007B0231">
        <w:rPr>
          <w:rFonts w:ascii="Arial" w:hAnsi="Arial" w:cs="Arial"/>
          <w:sz w:val="24"/>
          <w:szCs w:val="24"/>
        </w:rPr>
        <w:t>the</w:t>
      </w:r>
      <w:r w:rsidR="009521B7" w:rsidRPr="007B0231">
        <w:rPr>
          <w:rFonts w:ascii="Arial" w:hAnsi="Arial" w:cs="Arial"/>
          <w:sz w:val="24"/>
          <w:szCs w:val="24"/>
        </w:rPr>
        <w:t xml:space="preserve"> </w:t>
      </w:r>
      <w:r w:rsidR="00A455A3" w:rsidRPr="007B0231">
        <w:rPr>
          <w:rFonts w:ascii="Arial" w:hAnsi="Arial" w:cs="Arial"/>
          <w:sz w:val="24"/>
          <w:szCs w:val="24"/>
        </w:rPr>
        <w:t>intended conversion of the existing dwelling to a double-stor</w:t>
      </w:r>
      <w:r w:rsidR="008171D1" w:rsidRPr="007B0231">
        <w:rPr>
          <w:rFonts w:ascii="Arial" w:hAnsi="Arial" w:cs="Arial"/>
          <w:sz w:val="24"/>
          <w:szCs w:val="24"/>
        </w:rPr>
        <w:t>e</w:t>
      </w:r>
      <w:r w:rsidR="00A455A3" w:rsidRPr="007B0231">
        <w:rPr>
          <w:rFonts w:ascii="Arial" w:hAnsi="Arial" w:cs="Arial"/>
          <w:sz w:val="24"/>
          <w:szCs w:val="24"/>
        </w:rPr>
        <w:t>y</w:t>
      </w:r>
      <w:r w:rsidR="008171D1" w:rsidRPr="007B0231">
        <w:rPr>
          <w:rFonts w:ascii="Arial" w:hAnsi="Arial" w:cs="Arial"/>
          <w:sz w:val="24"/>
          <w:szCs w:val="24"/>
        </w:rPr>
        <w:t>ed</w:t>
      </w:r>
      <w:r w:rsidR="00A455A3" w:rsidRPr="007B0231">
        <w:rPr>
          <w:rFonts w:ascii="Arial" w:hAnsi="Arial" w:cs="Arial"/>
          <w:sz w:val="24"/>
          <w:szCs w:val="24"/>
        </w:rPr>
        <w:t xml:space="preserve"> structure. </w:t>
      </w:r>
      <w:r w:rsidR="004171C7" w:rsidRPr="007B0231">
        <w:rPr>
          <w:rFonts w:ascii="Arial" w:hAnsi="Arial" w:cs="Arial"/>
          <w:sz w:val="24"/>
          <w:szCs w:val="24"/>
        </w:rPr>
        <w:t xml:space="preserve">The applicant </w:t>
      </w:r>
      <w:r w:rsidR="00450056" w:rsidRPr="007B0231">
        <w:rPr>
          <w:rFonts w:ascii="Arial" w:hAnsi="Arial" w:cs="Arial"/>
          <w:sz w:val="24"/>
          <w:szCs w:val="24"/>
        </w:rPr>
        <w:t>expressed unhappiness</w:t>
      </w:r>
      <w:r w:rsidR="00163951" w:rsidRPr="007B0231">
        <w:rPr>
          <w:rFonts w:ascii="Arial" w:hAnsi="Arial" w:cs="Arial"/>
          <w:sz w:val="24"/>
          <w:szCs w:val="24"/>
        </w:rPr>
        <w:t>, too,</w:t>
      </w:r>
      <w:r w:rsidR="00450056" w:rsidRPr="007B0231">
        <w:rPr>
          <w:rFonts w:ascii="Arial" w:hAnsi="Arial" w:cs="Arial"/>
          <w:sz w:val="24"/>
          <w:szCs w:val="24"/>
        </w:rPr>
        <w:t xml:space="preserve"> about </w:t>
      </w:r>
      <w:r w:rsidR="009C4073" w:rsidRPr="007B0231">
        <w:rPr>
          <w:rFonts w:ascii="Arial" w:hAnsi="Arial" w:cs="Arial"/>
          <w:sz w:val="24"/>
          <w:szCs w:val="24"/>
        </w:rPr>
        <w:t xml:space="preserve">the </w:t>
      </w:r>
      <w:r w:rsidR="00CF7B56" w:rsidRPr="007B0231">
        <w:rPr>
          <w:rFonts w:ascii="Arial" w:hAnsi="Arial" w:cs="Arial"/>
          <w:sz w:val="24"/>
          <w:szCs w:val="24"/>
        </w:rPr>
        <w:t xml:space="preserve">negative impact of the development on the general character of the area, </w:t>
      </w:r>
      <w:r w:rsidR="00F77D73" w:rsidRPr="007B0231">
        <w:rPr>
          <w:rFonts w:ascii="Arial" w:hAnsi="Arial" w:cs="Arial"/>
          <w:sz w:val="24"/>
          <w:szCs w:val="24"/>
        </w:rPr>
        <w:t xml:space="preserve">the likelihood of </w:t>
      </w:r>
      <w:r w:rsidR="00666404" w:rsidRPr="007B0231">
        <w:rPr>
          <w:rFonts w:ascii="Arial" w:hAnsi="Arial" w:cs="Arial"/>
          <w:sz w:val="24"/>
          <w:szCs w:val="24"/>
        </w:rPr>
        <w:t>increased traffic volumes</w:t>
      </w:r>
      <w:r w:rsidR="00F77D73" w:rsidRPr="007B0231">
        <w:rPr>
          <w:rFonts w:ascii="Arial" w:hAnsi="Arial" w:cs="Arial"/>
          <w:sz w:val="24"/>
          <w:szCs w:val="24"/>
        </w:rPr>
        <w:t>,</w:t>
      </w:r>
      <w:r w:rsidR="00666404" w:rsidRPr="007B0231">
        <w:rPr>
          <w:rFonts w:ascii="Arial" w:hAnsi="Arial" w:cs="Arial"/>
          <w:sz w:val="24"/>
          <w:szCs w:val="24"/>
        </w:rPr>
        <w:t xml:space="preserve"> and </w:t>
      </w:r>
      <w:r w:rsidR="00F77D73" w:rsidRPr="007B0231">
        <w:rPr>
          <w:rFonts w:ascii="Arial" w:hAnsi="Arial" w:cs="Arial"/>
          <w:sz w:val="24"/>
          <w:szCs w:val="24"/>
        </w:rPr>
        <w:t xml:space="preserve">inadequate </w:t>
      </w:r>
      <w:r w:rsidR="00666404" w:rsidRPr="007B0231">
        <w:rPr>
          <w:rFonts w:ascii="Arial" w:hAnsi="Arial" w:cs="Arial"/>
          <w:sz w:val="24"/>
          <w:szCs w:val="24"/>
        </w:rPr>
        <w:t xml:space="preserve">stormwater </w:t>
      </w:r>
      <w:r w:rsidR="00C73620" w:rsidRPr="007B0231">
        <w:rPr>
          <w:rFonts w:ascii="Arial" w:hAnsi="Arial" w:cs="Arial"/>
          <w:sz w:val="24"/>
          <w:szCs w:val="24"/>
        </w:rPr>
        <w:t xml:space="preserve">management. </w:t>
      </w:r>
      <w:r w:rsidR="00163951" w:rsidRPr="007B0231">
        <w:rPr>
          <w:rFonts w:ascii="Arial" w:hAnsi="Arial" w:cs="Arial"/>
          <w:sz w:val="24"/>
          <w:szCs w:val="24"/>
        </w:rPr>
        <w:t>Her</w:t>
      </w:r>
      <w:r w:rsidR="00775738" w:rsidRPr="007B0231">
        <w:rPr>
          <w:rFonts w:ascii="Arial" w:hAnsi="Arial" w:cs="Arial"/>
          <w:sz w:val="24"/>
          <w:szCs w:val="24"/>
        </w:rPr>
        <w:t xml:space="preserve"> objection</w:t>
      </w:r>
      <w:r w:rsidR="00B66100" w:rsidRPr="007B0231">
        <w:rPr>
          <w:rFonts w:ascii="Arial" w:hAnsi="Arial" w:cs="Arial"/>
          <w:sz w:val="24"/>
          <w:szCs w:val="24"/>
        </w:rPr>
        <w:t xml:space="preserve"> was</w:t>
      </w:r>
      <w:r w:rsidR="00775738" w:rsidRPr="007B0231">
        <w:rPr>
          <w:rFonts w:ascii="Arial" w:hAnsi="Arial" w:cs="Arial"/>
          <w:sz w:val="24"/>
          <w:szCs w:val="24"/>
        </w:rPr>
        <w:t xml:space="preserve"> supported by </w:t>
      </w:r>
      <w:r w:rsidR="00817AD1" w:rsidRPr="007B0231">
        <w:rPr>
          <w:rFonts w:ascii="Arial" w:hAnsi="Arial" w:cs="Arial"/>
          <w:sz w:val="24"/>
          <w:szCs w:val="24"/>
        </w:rPr>
        <w:t>an</w:t>
      </w:r>
      <w:r w:rsidR="00B85FAE" w:rsidRPr="007B0231">
        <w:rPr>
          <w:rFonts w:ascii="Arial" w:hAnsi="Arial" w:cs="Arial"/>
          <w:sz w:val="24"/>
          <w:szCs w:val="24"/>
        </w:rPr>
        <w:t xml:space="preserve"> urban and rural </w:t>
      </w:r>
      <w:r w:rsidR="00950B1B" w:rsidRPr="007B0231">
        <w:rPr>
          <w:rFonts w:ascii="Arial" w:hAnsi="Arial" w:cs="Arial"/>
          <w:sz w:val="24"/>
          <w:szCs w:val="24"/>
        </w:rPr>
        <w:t xml:space="preserve">development </w:t>
      </w:r>
      <w:r w:rsidR="00B85FAE" w:rsidRPr="007B0231">
        <w:rPr>
          <w:rFonts w:ascii="Arial" w:hAnsi="Arial" w:cs="Arial"/>
          <w:sz w:val="24"/>
          <w:szCs w:val="24"/>
        </w:rPr>
        <w:t>planning consultant</w:t>
      </w:r>
      <w:r w:rsidR="003A7BA2" w:rsidRPr="007B0231">
        <w:rPr>
          <w:rFonts w:ascii="Arial" w:hAnsi="Arial" w:cs="Arial"/>
          <w:sz w:val="24"/>
          <w:szCs w:val="24"/>
        </w:rPr>
        <w:t xml:space="preserve"> </w:t>
      </w:r>
      <w:r w:rsidR="00CD7F69" w:rsidRPr="007B0231">
        <w:rPr>
          <w:rFonts w:ascii="Arial" w:hAnsi="Arial" w:cs="Arial"/>
          <w:sz w:val="24"/>
          <w:szCs w:val="24"/>
        </w:rPr>
        <w:t xml:space="preserve">as well as </w:t>
      </w:r>
      <w:r w:rsidR="00F677AA" w:rsidRPr="007B0231">
        <w:rPr>
          <w:rFonts w:ascii="Arial" w:hAnsi="Arial" w:cs="Arial"/>
          <w:sz w:val="24"/>
          <w:szCs w:val="24"/>
        </w:rPr>
        <w:t xml:space="preserve">her attorneys. </w:t>
      </w:r>
    </w:p>
    <w:p w14:paraId="22EBC3D8" w14:textId="77777777" w:rsidR="009E5BAA" w:rsidRPr="009E5BAA" w:rsidRDefault="009E5BAA" w:rsidP="009E5BAA">
      <w:pPr>
        <w:pStyle w:val="ListParagraph"/>
        <w:rPr>
          <w:rFonts w:ascii="Arial" w:hAnsi="Arial" w:cs="Arial"/>
          <w:sz w:val="24"/>
          <w:szCs w:val="24"/>
        </w:rPr>
      </w:pPr>
    </w:p>
    <w:p w14:paraId="01F37DCA" w14:textId="6DF1B7BA"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685C53" w:rsidRPr="007B0231">
        <w:rPr>
          <w:rFonts w:ascii="Arial" w:hAnsi="Arial" w:cs="Arial"/>
          <w:sz w:val="24"/>
          <w:szCs w:val="24"/>
        </w:rPr>
        <w:t>Subsequently, t</w:t>
      </w:r>
      <w:r w:rsidR="00547B94" w:rsidRPr="007B0231">
        <w:rPr>
          <w:rFonts w:ascii="Arial" w:hAnsi="Arial" w:cs="Arial"/>
          <w:sz w:val="24"/>
          <w:szCs w:val="24"/>
        </w:rPr>
        <w:t xml:space="preserve">he fourth respondent’s </w:t>
      </w:r>
      <w:r w:rsidR="00465FF8" w:rsidRPr="007B0231">
        <w:rPr>
          <w:rFonts w:ascii="Arial" w:hAnsi="Arial" w:cs="Arial"/>
          <w:sz w:val="24"/>
          <w:szCs w:val="24"/>
        </w:rPr>
        <w:t>planning consultant</w:t>
      </w:r>
      <w:r w:rsidR="00E14DE1" w:rsidRPr="007B0231">
        <w:rPr>
          <w:rFonts w:ascii="Arial" w:hAnsi="Arial" w:cs="Arial"/>
          <w:sz w:val="24"/>
          <w:szCs w:val="24"/>
        </w:rPr>
        <w:t>s</w:t>
      </w:r>
      <w:r w:rsidR="00093594" w:rsidRPr="007B0231">
        <w:rPr>
          <w:rFonts w:ascii="Arial" w:hAnsi="Arial" w:cs="Arial"/>
          <w:sz w:val="24"/>
          <w:szCs w:val="24"/>
        </w:rPr>
        <w:t>, Setplan (Pty) Ltd, represented by</w:t>
      </w:r>
      <w:r w:rsidR="00465FF8" w:rsidRPr="007B0231">
        <w:rPr>
          <w:rFonts w:ascii="Arial" w:hAnsi="Arial" w:cs="Arial"/>
          <w:sz w:val="24"/>
          <w:szCs w:val="24"/>
        </w:rPr>
        <w:t xml:space="preserve"> Mr Brendan Hindes, </w:t>
      </w:r>
      <w:r w:rsidR="00B66100" w:rsidRPr="007B0231">
        <w:rPr>
          <w:rFonts w:ascii="Arial" w:hAnsi="Arial" w:cs="Arial"/>
          <w:sz w:val="24"/>
          <w:szCs w:val="24"/>
        </w:rPr>
        <w:t>delivered a response</w:t>
      </w:r>
      <w:r w:rsidR="00075977" w:rsidRPr="007B0231">
        <w:rPr>
          <w:rFonts w:ascii="Arial" w:hAnsi="Arial" w:cs="Arial"/>
          <w:sz w:val="24"/>
          <w:szCs w:val="24"/>
        </w:rPr>
        <w:t>.</w:t>
      </w:r>
      <w:r w:rsidR="005A441E" w:rsidRPr="007B0231">
        <w:rPr>
          <w:rFonts w:ascii="Arial" w:hAnsi="Arial" w:cs="Arial"/>
          <w:sz w:val="24"/>
          <w:szCs w:val="24"/>
        </w:rPr>
        <w:t xml:space="preserve"> He pointed out</w:t>
      </w:r>
      <w:r w:rsidR="00081E12" w:rsidRPr="007B0231">
        <w:rPr>
          <w:rFonts w:ascii="Arial" w:hAnsi="Arial" w:cs="Arial"/>
          <w:sz w:val="24"/>
          <w:szCs w:val="24"/>
        </w:rPr>
        <w:t xml:space="preserve"> that</w:t>
      </w:r>
      <w:r w:rsidR="00D00C0A" w:rsidRPr="007B0231">
        <w:rPr>
          <w:rFonts w:ascii="Arial" w:hAnsi="Arial" w:cs="Arial"/>
          <w:sz w:val="24"/>
          <w:szCs w:val="24"/>
        </w:rPr>
        <w:t xml:space="preserve"> </w:t>
      </w:r>
      <w:r w:rsidR="00513686" w:rsidRPr="007B0231">
        <w:rPr>
          <w:rFonts w:ascii="Arial" w:hAnsi="Arial" w:cs="Arial"/>
          <w:sz w:val="24"/>
          <w:szCs w:val="24"/>
        </w:rPr>
        <w:t xml:space="preserve">most of the adjacent properties, including </w:t>
      </w:r>
      <w:r w:rsidR="00002791" w:rsidRPr="007B0231">
        <w:rPr>
          <w:rFonts w:ascii="Arial" w:hAnsi="Arial" w:cs="Arial"/>
          <w:sz w:val="24"/>
          <w:szCs w:val="24"/>
        </w:rPr>
        <w:t>the applicant</w:t>
      </w:r>
      <w:r w:rsidR="0053117D" w:rsidRPr="007B0231">
        <w:rPr>
          <w:rFonts w:ascii="Arial" w:hAnsi="Arial" w:cs="Arial"/>
          <w:sz w:val="24"/>
          <w:szCs w:val="24"/>
        </w:rPr>
        <w:t>’s</w:t>
      </w:r>
      <w:r w:rsidR="00002791" w:rsidRPr="007B0231">
        <w:rPr>
          <w:rFonts w:ascii="Arial" w:hAnsi="Arial" w:cs="Arial"/>
          <w:sz w:val="24"/>
          <w:szCs w:val="24"/>
        </w:rPr>
        <w:t xml:space="preserve">, had been </w:t>
      </w:r>
      <w:r w:rsidR="00B21936" w:rsidRPr="007B0231">
        <w:rPr>
          <w:rFonts w:ascii="Arial" w:hAnsi="Arial" w:cs="Arial"/>
          <w:sz w:val="24"/>
          <w:szCs w:val="24"/>
        </w:rPr>
        <w:t xml:space="preserve">improved by the </w:t>
      </w:r>
      <w:r w:rsidR="00601498" w:rsidRPr="007B0231">
        <w:rPr>
          <w:rFonts w:ascii="Arial" w:hAnsi="Arial" w:cs="Arial"/>
          <w:sz w:val="24"/>
          <w:szCs w:val="24"/>
        </w:rPr>
        <w:t>erec</w:t>
      </w:r>
      <w:r w:rsidR="00B21936" w:rsidRPr="007B0231">
        <w:rPr>
          <w:rFonts w:ascii="Arial" w:hAnsi="Arial" w:cs="Arial"/>
          <w:sz w:val="24"/>
          <w:szCs w:val="24"/>
        </w:rPr>
        <w:t>tion of double-storeyed structure</w:t>
      </w:r>
      <w:r w:rsidR="00DB3356" w:rsidRPr="007B0231">
        <w:rPr>
          <w:rFonts w:ascii="Arial" w:hAnsi="Arial" w:cs="Arial"/>
          <w:sz w:val="24"/>
          <w:szCs w:val="24"/>
        </w:rPr>
        <w:t>s</w:t>
      </w:r>
      <w:r w:rsidR="00B21936" w:rsidRPr="007B0231">
        <w:rPr>
          <w:rFonts w:ascii="Arial" w:hAnsi="Arial" w:cs="Arial"/>
          <w:sz w:val="24"/>
          <w:szCs w:val="24"/>
        </w:rPr>
        <w:t xml:space="preserve"> </w:t>
      </w:r>
      <w:r w:rsidR="00437596" w:rsidRPr="007B0231">
        <w:rPr>
          <w:rFonts w:ascii="Arial" w:hAnsi="Arial" w:cs="Arial"/>
          <w:sz w:val="24"/>
          <w:szCs w:val="24"/>
        </w:rPr>
        <w:t xml:space="preserve">close to </w:t>
      </w:r>
      <w:r w:rsidR="00F855D9" w:rsidRPr="007B0231">
        <w:rPr>
          <w:rFonts w:ascii="Arial" w:hAnsi="Arial" w:cs="Arial"/>
          <w:sz w:val="24"/>
          <w:szCs w:val="24"/>
        </w:rPr>
        <w:t xml:space="preserve">the boundary line </w:t>
      </w:r>
      <w:r w:rsidR="00B21936" w:rsidRPr="007B0231">
        <w:rPr>
          <w:rFonts w:ascii="Arial" w:hAnsi="Arial" w:cs="Arial"/>
          <w:sz w:val="24"/>
          <w:szCs w:val="24"/>
        </w:rPr>
        <w:t xml:space="preserve">to </w:t>
      </w:r>
      <w:r w:rsidR="007C5494" w:rsidRPr="007B0231">
        <w:rPr>
          <w:rFonts w:ascii="Arial" w:hAnsi="Arial" w:cs="Arial"/>
          <w:sz w:val="24"/>
          <w:szCs w:val="24"/>
        </w:rPr>
        <w:t xml:space="preserve">take advantage of the views afforded by the </w:t>
      </w:r>
      <w:r w:rsidR="00E51813" w:rsidRPr="007B0231">
        <w:rPr>
          <w:rFonts w:ascii="Arial" w:hAnsi="Arial" w:cs="Arial"/>
          <w:sz w:val="24"/>
          <w:szCs w:val="24"/>
        </w:rPr>
        <w:t>slope and elevation</w:t>
      </w:r>
      <w:r w:rsidR="00407277" w:rsidRPr="007B0231">
        <w:rPr>
          <w:rFonts w:ascii="Arial" w:hAnsi="Arial" w:cs="Arial"/>
          <w:sz w:val="24"/>
          <w:szCs w:val="24"/>
        </w:rPr>
        <w:t>.</w:t>
      </w:r>
      <w:r w:rsidR="00460861" w:rsidRPr="007B0231">
        <w:rPr>
          <w:rFonts w:ascii="Arial" w:hAnsi="Arial" w:cs="Arial"/>
          <w:sz w:val="24"/>
          <w:szCs w:val="24"/>
        </w:rPr>
        <w:t xml:space="preserve"> Mr Hindes said that </w:t>
      </w:r>
      <w:r w:rsidR="0053117D" w:rsidRPr="007B0231">
        <w:rPr>
          <w:rFonts w:ascii="Arial" w:hAnsi="Arial" w:cs="Arial"/>
          <w:sz w:val="24"/>
          <w:szCs w:val="24"/>
        </w:rPr>
        <w:t xml:space="preserve">the </w:t>
      </w:r>
      <w:r w:rsidR="00897A5E" w:rsidRPr="007B0231">
        <w:rPr>
          <w:rFonts w:ascii="Arial" w:hAnsi="Arial" w:cs="Arial"/>
          <w:sz w:val="24"/>
          <w:szCs w:val="24"/>
        </w:rPr>
        <w:t xml:space="preserve">existing trees </w:t>
      </w:r>
      <w:r w:rsidR="00D44C6C" w:rsidRPr="007B0231">
        <w:rPr>
          <w:rFonts w:ascii="Arial" w:hAnsi="Arial" w:cs="Arial"/>
          <w:sz w:val="24"/>
          <w:szCs w:val="24"/>
        </w:rPr>
        <w:t xml:space="preserve">and additional </w:t>
      </w:r>
      <w:r w:rsidR="00601498" w:rsidRPr="007B0231">
        <w:rPr>
          <w:rFonts w:ascii="Arial" w:hAnsi="Arial" w:cs="Arial"/>
          <w:sz w:val="24"/>
          <w:szCs w:val="24"/>
        </w:rPr>
        <w:t xml:space="preserve">plant growth </w:t>
      </w:r>
      <w:r w:rsidR="00DB3356" w:rsidRPr="007B0231">
        <w:rPr>
          <w:rFonts w:ascii="Arial" w:hAnsi="Arial" w:cs="Arial"/>
          <w:sz w:val="24"/>
          <w:szCs w:val="24"/>
        </w:rPr>
        <w:t xml:space="preserve">would address the applicant’s concerns about privacy. The </w:t>
      </w:r>
      <w:r w:rsidR="00CD1C8F" w:rsidRPr="007B0231">
        <w:rPr>
          <w:rFonts w:ascii="Arial" w:hAnsi="Arial" w:cs="Arial"/>
          <w:sz w:val="24"/>
          <w:szCs w:val="24"/>
        </w:rPr>
        <w:t>guesthouse would</w:t>
      </w:r>
      <w:r w:rsidR="0053117D" w:rsidRPr="007B0231">
        <w:rPr>
          <w:rFonts w:ascii="Arial" w:hAnsi="Arial" w:cs="Arial"/>
          <w:sz w:val="24"/>
          <w:szCs w:val="24"/>
        </w:rPr>
        <w:t>, moreover,</w:t>
      </w:r>
      <w:r w:rsidR="00CD1C8F" w:rsidRPr="007B0231">
        <w:rPr>
          <w:rFonts w:ascii="Arial" w:hAnsi="Arial" w:cs="Arial"/>
          <w:sz w:val="24"/>
          <w:szCs w:val="24"/>
        </w:rPr>
        <w:t xml:space="preserve"> be </w:t>
      </w:r>
      <w:r w:rsidR="0053117D" w:rsidRPr="007B0231">
        <w:rPr>
          <w:rFonts w:ascii="Arial" w:hAnsi="Arial" w:cs="Arial"/>
          <w:sz w:val="24"/>
          <w:szCs w:val="24"/>
        </w:rPr>
        <w:t>manag</w:t>
      </w:r>
      <w:r w:rsidR="00CD1C8F" w:rsidRPr="007B0231">
        <w:rPr>
          <w:rFonts w:ascii="Arial" w:hAnsi="Arial" w:cs="Arial"/>
          <w:sz w:val="24"/>
          <w:szCs w:val="24"/>
        </w:rPr>
        <w:t>ed</w:t>
      </w:r>
      <w:r w:rsidR="004B2213" w:rsidRPr="007B0231">
        <w:rPr>
          <w:rFonts w:ascii="Arial" w:hAnsi="Arial" w:cs="Arial"/>
          <w:sz w:val="24"/>
          <w:szCs w:val="24"/>
        </w:rPr>
        <w:t xml:space="preserve"> </w:t>
      </w:r>
      <w:r w:rsidR="00B20E14" w:rsidRPr="007B0231">
        <w:rPr>
          <w:rFonts w:ascii="Arial" w:hAnsi="Arial" w:cs="Arial"/>
          <w:sz w:val="24"/>
          <w:szCs w:val="24"/>
        </w:rPr>
        <w:t xml:space="preserve">in such a way as </w:t>
      </w:r>
      <w:r w:rsidR="004B2213" w:rsidRPr="007B0231">
        <w:rPr>
          <w:rFonts w:ascii="Arial" w:hAnsi="Arial" w:cs="Arial"/>
          <w:sz w:val="24"/>
          <w:szCs w:val="24"/>
        </w:rPr>
        <w:t>to limit the extent of noise created by guests.</w:t>
      </w:r>
      <w:r w:rsidR="00B20E14" w:rsidRPr="007B0231">
        <w:rPr>
          <w:rFonts w:ascii="Arial" w:hAnsi="Arial" w:cs="Arial"/>
          <w:sz w:val="24"/>
          <w:szCs w:val="24"/>
        </w:rPr>
        <w:t xml:space="preserve"> He addressed </w:t>
      </w:r>
      <w:r w:rsidR="002022AF" w:rsidRPr="007B0231">
        <w:rPr>
          <w:rFonts w:ascii="Arial" w:hAnsi="Arial" w:cs="Arial"/>
          <w:sz w:val="24"/>
          <w:szCs w:val="24"/>
        </w:rPr>
        <w:t xml:space="preserve">her </w:t>
      </w:r>
      <w:r w:rsidR="000A00B9" w:rsidRPr="007B0231">
        <w:rPr>
          <w:rFonts w:ascii="Arial" w:hAnsi="Arial" w:cs="Arial"/>
          <w:sz w:val="24"/>
          <w:szCs w:val="24"/>
        </w:rPr>
        <w:t>concerns</w:t>
      </w:r>
      <w:r w:rsidR="00B27244" w:rsidRPr="007B0231">
        <w:rPr>
          <w:rFonts w:ascii="Arial" w:hAnsi="Arial" w:cs="Arial"/>
          <w:sz w:val="24"/>
          <w:szCs w:val="24"/>
        </w:rPr>
        <w:t>, too,</w:t>
      </w:r>
      <w:r w:rsidR="000A00B9" w:rsidRPr="007B0231">
        <w:rPr>
          <w:rFonts w:ascii="Arial" w:hAnsi="Arial" w:cs="Arial"/>
          <w:sz w:val="24"/>
          <w:szCs w:val="24"/>
        </w:rPr>
        <w:t xml:space="preserve"> about </w:t>
      </w:r>
      <w:r w:rsidR="00301801" w:rsidRPr="007B0231">
        <w:rPr>
          <w:rFonts w:ascii="Arial" w:hAnsi="Arial" w:cs="Arial"/>
          <w:sz w:val="24"/>
          <w:szCs w:val="24"/>
        </w:rPr>
        <w:t>the general character of</w:t>
      </w:r>
      <w:r w:rsidR="006A5703" w:rsidRPr="007B0231">
        <w:rPr>
          <w:rFonts w:ascii="Arial" w:hAnsi="Arial" w:cs="Arial"/>
          <w:sz w:val="24"/>
          <w:szCs w:val="24"/>
        </w:rPr>
        <w:t xml:space="preserve"> the area, </w:t>
      </w:r>
      <w:r w:rsidR="000A00B9" w:rsidRPr="007B0231">
        <w:rPr>
          <w:rFonts w:ascii="Arial" w:hAnsi="Arial" w:cs="Arial"/>
          <w:sz w:val="24"/>
          <w:szCs w:val="24"/>
        </w:rPr>
        <w:t>traffic volumes</w:t>
      </w:r>
      <w:r w:rsidR="006A5703" w:rsidRPr="007B0231">
        <w:rPr>
          <w:rFonts w:ascii="Arial" w:hAnsi="Arial" w:cs="Arial"/>
          <w:sz w:val="24"/>
          <w:szCs w:val="24"/>
        </w:rPr>
        <w:t>,</w:t>
      </w:r>
      <w:r w:rsidR="000A00B9" w:rsidRPr="007B0231">
        <w:rPr>
          <w:rFonts w:ascii="Arial" w:hAnsi="Arial" w:cs="Arial"/>
          <w:sz w:val="24"/>
          <w:szCs w:val="24"/>
        </w:rPr>
        <w:t xml:space="preserve"> and stormwater.</w:t>
      </w:r>
    </w:p>
    <w:p w14:paraId="752D6441" w14:textId="77777777" w:rsidR="009E5BAA" w:rsidRPr="009E5BAA" w:rsidRDefault="009E5BAA" w:rsidP="009E5BAA">
      <w:pPr>
        <w:pStyle w:val="ListParagraph"/>
        <w:rPr>
          <w:rFonts w:ascii="Arial" w:hAnsi="Arial" w:cs="Arial"/>
          <w:sz w:val="24"/>
          <w:szCs w:val="24"/>
        </w:rPr>
      </w:pPr>
    </w:p>
    <w:p w14:paraId="35DA9547" w14:textId="2AE5645A"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C4552" w:rsidRPr="007B0231">
        <w:rPr>
          <w:rFonts w:ascii="Arial" w:hAnsi="Arial" w:cs="Arial"/>
          <w:sz w:val="24"/>
          <w:szCs w:val="24"/>
        </w:rPr>
        <w:t>T</w:t>
      </w:r>
      <w:r w:rsidR="004D694F" w:rsidRPr="007B0231">
        <w:rPr>
          <w:rFonts w:ascii="Arial" w:hAnsi="Arial" w:cs="Arial"/>
          <w:sz w:val="24"/>
          <w:szCs w:val="24"/>
        </w:rPr>
        <w:t xml:space="preserve">he </w:t>
      </w:r>
      <w:r w:rsidR="00891E9A" w:rsidRPr="007B0231">
        <w:rPr>
          <w:rFonts w:ascii="Arial" w:hAnsi="Arial" w:cs="Arial"/>
          <w:sz w:val="24"/>
          <w:szCs w:val="24"/>
        </w:rPr>
        <w:t xml:space="preserve">second respondent, the Municipal Planning Tribunal, </w:t>
      </w:r>
      <w:r w:rsidR="0053117D" w:rsidRPr="007B0231">
        <w:rPr>
          <w:rFonts w:ascii="Arial" w:hAnsi="Arial" w:cs="Arial"/>
          <w:sz w:val="24"/>
          <w:szCs w:val="24"/>
        </w:rPr>
        <w:t xml:space="preserve">considered the application </w:t>
      </w:r>
      <w:r w:rsidR="00A22A16" w:rsidRPr="007B0231">
        <w:rPr>
          <w:rFonts w:ascii="Arial" w:hAnsi="Arial" w:cs="Arial"/>
          <w:sz w:val="24"/>
          <w:szCs w:val="24"/>
        </w:rPr>
        <w:t>on 28 October 2019.</w:t>
      </w:r>
      <w:r w:rsidR="00F97FDB" w:rsidRPr="007B0231">
        <w:rPr>
          <w:rFonts w:ascii="Arial" w:hAnsi="Arial" w:cs="Arial"/>
          <w:sz w:val="24"/>
          <w:szCs w:val="24"/>
        </w:rPr>
        <w:t xml:space="preserve"> The </w:t>
      </w:r>
      <w:r w:rsidR="00EC52AD" w:rsidRPr="007B0231">
        <w:rPr>
          <w:rFonts w:ascii="Arial" w:hAnsi="Arial" w:cs="Arial"/>
          <w:sz w:val="24"/>
          <w:szCs w:val="24"/>
        </w:rPr>
        <w:t xml:space="preserve">tribunal </w:t>
      </w:r>
      <w:r w:rsidR="00FB7644" w:rsidRPr="007B0231">
        <w:rPr>
          <w:rFonts w:ascii="Arial" w:hAnsi="Arial" w:cs="Arial"/>
          <w:sz w:val="24"/>
          <w:szCs w:val="24"/>
        </w:rPr>
        <w:t>conducted a site inspection</w:t>
      </w:r>
      <w:r w:rsidR="00FE1D41" w:rsidRPr="007B0231">
        <w:rPr>
          <w:rFonts w:ascii="Arial" w:hAnsi="Arial" w:cs="Arial"/>
          <w:sz w:val="24"/>
          <w:szCs w:val="24"/>
        </w:rPr>
        <w:t xml:space="preserve"> and listened to </w:t>
      </w:r>
      <w:r w:rsidR="00220D98" w:rsidRPr="007B0231">
        <w:rPr>
          <w:rFonts w:ascii="Arial" w:hAnsi="Arial" w:cs="Arial"/>
          <w:sz w:val="24"/>
          <w:szCs w:val="24"/>
        </w:rPr>
        <w:t>oral representations</w:t>
      </w:r>
      <w:r w:rsidR="00A0387C" w:rsidRPr="007B0231">
        <w:rPr>
          <w:rFonts w:ascii="Arial" w:hAnsi="Arial" w:cs="Arial"/>
          <w:sz w:val="24"/>
          <w:szCs w:val="24"/>
        </w:rPr>
        <w:t xml:space="preserve"> before </w:t>
      </w:r>
      <w:r w:rsidR="00A3367E" w:rsidRPr="007B0231">
        <w:rPr>
          <w:rFonts w:ascii="Arial" w:hAnsi="Arial" w:cs="Arial"/>
          <w:sz w:val="24"/>
          <w:szCs w:val="24"/>
        </w:rPr>
        <w:t>resolv</w:t>
      </w:r>
      <w:r w:rsidR="00A0387C" w:rsidRPr="007B0231">
        <w:rPr>
          <w:rFonts w:ascii="Arial" w:hAnsi="Arial" w:cs="Arial"/>
          <w:sz w:val="24"/>
          <w:szCs w:val="24"/>
        </w:rPr>
        <w:t>ing</w:t>
      </w:r>
      <w:r w:rsidR="00A3367E" w:rsidRPr="007B0231">
        <w:rPr>
          <w:rFonts w:ascii="Arial" w:hAnsi="Arial" w:cs="Arial"/>
          <w:sz w:val="24"/>
          <w:szCs w:val="24"/>
        </w:rPr>
        <w:t xml:space="preserve"> </w:t>
      </w:r>
      <w:r w:rsidR="009330C3" w:rsidRPr="007B0231">
        <w:rPr>
          <w:rFonts w:ascii="Arial" w:hAnsi="Arial" w:cs="Arial"/>
          <w:sz w:val="24"/>
          <w:szCs w:val="24"/>
        </w:rPr>
        <w:t>to: (a)</w:t>
      </w:r>
      <w:r w:rsidR="00216BF3" w:rsidRPr="007B0231">
        <w:rPr>
          <w:rFonts w:ascii="Arial" w:hAnsi="Arial" w:cs="Arial"/>
          <w:sz w:val="24"/>
          <w:szCs w:val="24"/>
        </w:rPr>
        <w:t xml:space="preserve"> refuse the application to remove the restrictive </w:t>
      </w:r>
      <w:r w:rsidR="00FF1679" w:rsidRPr="007B0231">
        <w:rPr>
          <w:rFonts w:ascii="Arial" w:hAnsi="Arial" w:cs="Arial"/>
          <w:sz w:val="24"/>
          <w:szCs w:val="24"/>
        </w:rPr>
        <w:t>conditions</w:t>
      </w:r>
      <w:r w:rsidR="000575F6" w:rsidRPr="007B0231">
        <w:rPr>
          <w:rFonts w:ascii="Arial" w:hAnsi="Arial" w:cs="Arial"/>
          <w:sz w:val="24"/>
          <w:szCs w:val="24"/>
        </w:rPr>
        <w:t>,</w:t>
      </w:r>
      <w:r w:rsidR="005420FC" w:rsidRPr="007B0231">
        <w:rPr>
          <w:rFonts w:ascii="Arial" w:hAnsi="Arial" w:cs="Arial"/>
          <w:sz w:val="24"/>
          <w:szCs w:val="24"/>
        </w:rPr>
        <w:t xml:space="preserve"> </w:t>
      </w:r>
      <w:r w:rsidR="00E567D2" w:rsidRPr="007B0231">
        <w:rPr>
          <w:rFonts w:ascii="Arial" w:hAnsi="Arial" w:cs="Arial"/>
          <w:sz w:val="24"/>
          <w:szCs w:val="24"/>
        </w:rPr>
        <w:t xml:space="preserve">because they protected the </w:t>
      </w:r>
      <w:r w:rsidR="00A86540" w:rsidRPr="007B0231">
        <w:rPr>
          <w:rFonts w:ascii="Arial" w:hAnsi="Arial" w:cs="Arial"/>
          <w:sz w:val="24"/>
          <w:szCs w:val="24"/>
        </w:rPr>
        <w:t xml:space="preserve">general </w:t>
      </w:r>
      <w:r w:rsidR="00E567D2" w:rsidRPr="007B0231">
        <w:rPr>
          <w:rFonts w:ascii="Arial" w:hAnsi="Arial" w:cs="Arial"/>
          <w:sz w:val="24"/>
          <w:szCs w:val="24"/>
        </w:rPr>
        <w:t xml:space="preserve">character of the area, </w:t>
      </w:r>
      <w:r w:rsidR="000A722E" w:rsidRPr="007B0231">
        <w:rPr>
          <w:rFonts w:ascii="Arial" w:hAnsi="Arial" w:cs="Arial"/>
          <w:sz w:val="24"/>
          <w:szCs w:val="24"/>
        </w:rPr>
        <w:t>ensured that the property would remain residen</w:t>
      </w:r>
      <w:r w:rsidR="00E22C2E" w:rsidRPr="007B0231">
        <w:rPr>
          <w:rFonts w:ascii="Arial" w:hAnsi="Arial" w:cs="Arial"/>
          <w:sz w:val="24"/>
          <w:szCs w:val="24"/>
        </w:rPr>
        <w:t xml:space="preserve">tial, and </w:t>
      </w:r>
      <w:r w:rsidR="00AA67B2" w:rsidRPr="007B0231">
        <w:rPr>
          <w:rFonts w:ascii="Arial" w:hAnsi="Arial" w:cs="Arial"/>
          <w:sz w:val="24"/>
          <w:szCs w:val="24"/>
        </w:rPr>
        <w:t xml:space="preserve">did not </w:t>
      </w:r>
      <w:r w:rsidR="007D62FC" w:rsidRPr="007B0231">
        <w:rPr>
          <w:rFonts w:ascii="Arial" w:hAnsi="Arial" w:cs="Arial"/>
          <w:sz w:val="24"/>
          <w:szCs w:val="24"/>
        </w:rPr>
        <w:t>prevent the fourth respondent from making application for a departure</w:t>
      </w:r>
      <w:r w:rsidR="00E22C2E" w:rsidRPr="007B0231">
        <w:rPr>
          <w:rFonts w:ascii="Arial" w:hAnsi="Arial" w:cs="Arial"/>
          <w:sz w:val="24"/>
          <w:szCs w:val="24"/>
        </w:rPr>
        <w:t>; and (b)</w:t>
      </w:r>
      <w:r w:rsidR="00186A2D" w:rsidRPr="007B0231">
        <w:rPr>
          <w:rFonts w:ascii="Arial" w:hAnsi="Arial" w:cs="Arial"/>
          <w:sz w:val="24"/>
          <w:szCs w:val="24"/>
        </w:rPr>
        <w:t xml:space="preserve"> approve the application</w:t>
      </w:r>
      <w:r w:rsidR="00475FE5" w:rsidRPr="007B0231">
        <w:rPr>
          <w:rFonts w:ascii="Arial" w:hAnsi="Arial" w:cs="Arial"/>
          <w:sz w:val="24"/>
          <w:szCs w:val="24"/>
        </w:rPr>
        <w:t xml:space="preserve"> for a departure, subject to </w:t>
      </w:r>
      <w:r w:rsidR="00FA6C54" w:rsidRPr="007B0231">
        <w:rPr>
          <w:rFonts w:ascii="Arial" w:hAnsi="Arial" w:cs="Arial"/>
          <w:sz w:val="24"/>
          <w:szCs w:val="24"/>
        </w:rPr>
        <w:t>numerous conditions</w:t>
      </w:r>
      <w:r w:rsidR="00664BDB" w:rsidRPr="007B0231">
        <w:rPr>
          <w:rFonts w:ascii="Arial" w:hAnsi="Arial" w:cs="Arial"/>
          <w:sz w:val="24"/>
          <w:szCs w:val="24"/>
        </w:rPr>
        <w:t xml:space="preserve">, because it </w:t>
      </w:r>
      <w:r w:rsidR="00BD217E" w:rsidRPr="007B0231">
        <w:rPr>
          <w:rFonts w:ascii="Arial" w:hAnsi="Arial" w:cs="Arial"/>
          <w:sz w:val="24"/>
          <w:szCs w:val="24"/>
        </w:rPr>
        <w:t>was consistent with the provisions of the Municipal Spatial Development Framework (‘MSDF’)</w:t>
      </w:r>
      <w:r w:rsidR="0037282A" w:rsidRPr="007B0231">
        <w:rPr>
          <w:rFonts w:ascii="Arial" w:hAnsi="Arial" w:cs="Arial"/>
          <w:sz w:val="24"/>
          <w:szCs w:val="24"/>
        </w:rPr>
        <w:t xml:space="preserve"> and the Integrated Development </w:t>
      </w:r>
      <w:r w:rsidR="0037282A" w:rsidRPr="007B0231">
        <w:rPr>
          <w:rFonts w:ascii="Arial" w:hAnsi="Arial" w:cs="Arial"/>
          <w:sz w:val="24"/>
          <w:szCs w:val="24"/>
        </w:rPr>
        <w:lastRenderedPageBreak/>
        <w:t>Plan (‘IDP’) for the municipality</w:t>
      </w:r>
      <w:r w:rsidR="006F15C7" w:rsidRPr="007B0231">
        <w:rPr>
          <w:rFonts w:ascii="Arial" w:hAnsi="Arial" w:cs="Arial"/>
          <w:sz w:val="24"/>
          <w:szCs w:val="24"/>
        </w:rPr>
        <w:t>, and was in alignment with the principles, norms</w:t>
      </w:r>
      <w:r w:rsidR="000575F6" w:rsidRPr="007B0231">
        <w:rPr>
          <w:rFonts w:ascii="Arial" w:hAnsi="Arial" w:cs="Arial"/>
          <w:sz w:val="24"/>
          <w:szCs w:val="24"/>
        </w:rPr>
        <w:t xml:space="preserve">, and standards contained in the Spatial Planning and Land Use Management </w:t>
      </w:r>
      <w:r w:rsidR="005071D0" w:rsidRPr="007B0231">
        <w:rPr>
          <w:rFonts w:ascii="Arial" w:hAnsi="Arial" w:cs="Arial"/>
          <w:sz w:val="24"/>
          <w:szCs w:val="24"/>
        </w:rPr>
        <w:t>Act</w:t>
      </w:r>
      <w:r w:rsidR="007531E0" w:rsidRPr="007B0231">
        <w:rPr>
          <w:rFonts w:ascii="Arial" w:hAnsi="Arial" w:cs="Arial"/>
          <w:sz w:val="24"/>
          <w:szCs w:val="24"/>
        </w:rPr>
        <w:t xml:space="preserve"> 6 of 2013 (‘SPLUMA’)</w:t>
      </w:r>
      <w:r w:rsidR="00CC62EE" w:rsidRPr="007B0231">
        <w:rPr>
          <w:rFonts w:ascii="Arial" w:hAnsi="Arial" w:cs="Arial"/>
          <w:sz w:val="24"/>
          <w:szCs w:val="24"/>
        </w:rPr>
        <w:t>.</w:t>
      </w:r>
    </w:p>
    <w:p w14:paraId="1D9D9BDD" w14:textId="77777777" w:rsidR="009E5BAA" w:rsidRPr="009E5BAA" w:rsidRDefault="009E5BAA" w:rsidP="009E5BAA">
      <w:pPr>
        <w:pStyle w:val="ListParagraph"/>
        <w:rPr>
          <w:rFonts w:ascii="Arial" w:hAnsi="Arial" w:cs="Arial"/>
          <w:sz w:val="24"/>
          <w:szCs w:val="24"/>
        </w:rPr>
      </w:pPr>
    </w:p>
    <w:p w14:paraId="2CD543E2" w14:textId="6BE70335"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744D3" w:rsidRPr="007B0231">
        <w:rPr>
          <w:rFonts w:ascii="Arial" w:hAnsi="Arial" w:cs="Arial"/>
          <w:sz w:val="24"/>
          <w:szCs w:val="24"/>
        </w:rPr>
        <w:t xml:space="preserve">The tribunal informed the applicant </w:t>
      </w:r>
      <w:r w:rsidR="000C3277" w:rsidRPr="007B0231">
        <w:rPr>
          <w:rFonts w:ascii="Arial" w:hAnsi="Arial" w:cs="Arial"/>
          <w:sz w:val="24"/>
          <w:szCs w:val="24"/>
        </w:rPr>
        <w:t xml:space="preserve">of its decision on 6 November 2019. </w:t>
      </w:r>
      <w:r w:rsidR="00932AA0" w:rsidRPr="007B0231">
        <w:rPr>
          <w:rFonts w:ascii="Arial" w:hAnsi="Arial" w:cs="Arial"/>
          <w:sz w:val="24"/>
          <w:szCs w:val="24"/>
        </w:rPr>
        <w:t xml:space="preserve">Her attorneys </w:t>
      </w:r>
      <w:r w:rsidR="000C3277" w:rsidRPr="007B0231">
        <w:rPr>
          <w:rFonts w:ascii="Arial" w:hAnsi="Arial" w:cs="Arial"/>
          <w:sz w:val="24"/>
          <w:szCs w:val="24"/>
        </w:rPr>
        <w:t xml:space="preserve">lodged an appeal </w:t>
      </w:r>
      <w:r w:rsidR="00E31479" w:rsidRPr="007B0231">
        <w:rPr>
          <w:rFonts w:ascii="Arial" w:hAnsi="Arial" w:cs="Arial"/>
          <w:sz w:val="24"/>
          <w:szCs w:val="24"/>
        </w:rPr>
        <w:t xml:space="preserve">with the </w:t>
      </w:r>
      <w:r w:rsidR="00150DD8" w:rsidRPr="007B0231">
        <w:rPr>
          <w:rFonts w:ascii="Arial" w:hAnsi="Arial" w:cs="Arial"/>
          <w:sz w:val="24"/>
          <w:szCs w:val="24"/>
        </w:rPr>
        <w:t xml:space="preserve">municipality </w:t>
      </w:r>
      <w:r w:rsidR="00E6078A" w:rsidRPr="007B0231">
        <w:rPr>
          <w:rFonts w:ascii="Arial" w:hAnsi="Arial" w:cs="Arial"/>
          <w:sz w:val="24"/>
          <w:szCs w:val="24"/>
        </w:rPr>
        <w:t>on 26 November 2019</w:t>
      </w:r>
      <w:r w:rsidR="0001434B" w:rsidRPr="007B0231">
        <w:rPr>
          <w:rFonts w:ascii="Arial" w:hAnsi="Arial" w:cs="Arial"/>
          <w:sz w:val="24"/>
          <w:szCs w:val="24"/>
        </w:rPr>
        <w:t xml:space="preserve">, </w:t>
      </w:r>
      <w:r w:rsidR="0078309D" w:rsidRPr="007B0231">
        <w:rPr>
          <w:rFonts w:ascii="Arial" w:hAnsi="Arial" w:cs="Arial"/>
          <w:sz w:val="24"/>
          <w:szCs w:val="24"/>
        </w:rPr>
        <w:t>sett</w:t>
      </w:r>
      <w:r w:rsidR="00DB799F" w:rsidRPr="007B0231">
        <w:rPr>
          <w:rFonts w:ascii="Arial" w:hAnsi="Arial" w:cs="Arial"/>
          <w:sz w:val="24"/>
          <w:szCs w:val="24"/>
        </w:rPr>
        <w:t xml:space="preserve">ing </w:t>
      </w:r>
      <w:r w:rsidR="0078309D" w:rsidRPr="007B0231">
        <w:rPr>
          <w:rFonts w:ascii="Arial" w:hAnsi="Arial" w:cs="Arial"/>
          <w:sz w:val="24"/>
          <w:szCs w:val="24"/>
        </w:rPr>
        <w:t xml:space="preserve">out </w:t>
      </w:r>
      <w:r w:rsidR="002F468D" w:rsidRPr="007B0231">
        <w:rPr>
          <w:rFonts w:ascii="Arial" w:hAnsi="Arial" w:cs="Arial"/>
          <w:sz w:val="24"/>
          <w:szCs w:val="24"/>
        </w:rPr>
        <w:t xml:space="preserve">the </w:t>
      </w:r>
      <w:r w:rsidR="0078309D" w:rsidRPr="007B0231">
        <w:rPr>
          <w:rFonts w:ascii="Arial" w:hAnsi="Arial" w:cs="Arial"/>
          <w:sz w:val="24"/>
          <w:szCs w:val="24"/>
        </w:rPr>
        <w:t xml:space="preserve">procedural and substantive </w:t>
      </w:r>
      <w:r w:rsidR="002F468D" w:rsidRPr="007B0231">
        <w:rPr>
          <w:rFonts w:ascii="Arial" w:hAnsi="Arial" w:cs="Arial"/>
          <w:sz w:val="24"/>
          <w:szCs w:val="24"/>
        </w:rPr>
        <w:t xml:space="preserve">grounds </w:t>
      </w:r>
      <w:r w:rsidR="0078309D" w:rsidRPr="007B0231">
        <w:rPr>
          <w:rFonts w:ascii="Arial" w:hAnsi="Arial" w:cs="Arial"/>
          <w:sz w:val="24"/>
          <w:szCs w:val="24"/>
        </w:rPr>
        <w:t>upon which the applicant relied.</w:t>
      </w:r>
      <w:r w:rsidR="00657D7F" w:rsidRPr="007B0231">
        <w:rPr>
          <w:rFonts w:ascii="Arial" w:hAnsi="Arial" w:cs="Arial"/>
          <w:sz w:val="24"/>
          <w:szCs w:val="24"/>
        </w:rPr>
        <w:t xml:space="preserve"> </w:t>
      </w:r>
      <w:r w:rsidR="000563D8" w:rsidRPr="007B0231">
        <w:rPr>
          <w:rFonts w:ascii="Arial" w:hAnsi="Arial" w:cs="Arial"/>
          <w:sz w:val="24"/>
          <w:szCs w:val="24"/>
        </w:rPr>
        <w:t xml:space="preserve">On 15 January 2020, </w:t>
      </w:r>
      <w:r w:rsidR="00187407" w:rsidRPr="007B0231">
        <w:rPr>
          <w:rFonts w:ascii="Arial" w:hAnsi="Arial" w:cs="Arial"/>
          <w:sz w:val="24"/>
          <w:szCs w:val="24"/>
        </w:rPr>
        <w:t xml:space="preserve">Mr </w:t>
      </w:r>
      <w:r w:rsidR="001F67F1" w:rsidRPr="007B0231">
        <w:rPr>
          <w:rFonts w:ascii="Arial" w:hAnsi="Arial" w:cs="Arial"/>
          <w:sz w:val="24"/>
          <w:szCs w:val="24"/>
        </w:rPr>
        <w:t xml:space="preserve">Hindes </w:t>
      </w:r>
      <w:r w:rsidR="00AD32DE" w:rsidRPr="007B0231">
        <w:rPr>
          <w:rFonts w:ascii="Arial" w:hAnsi="Arial" w:cs="Arial"/>
          <w:sz w:val="24"/>
          <w:szCs w:val="24"/>
        </w:rPr>
        <w:t>furnish</w:t>
      </w:r>
      <w:r w:rsidR="001F67F1" w:rsidRPr="007B0231">
        <w:rPr>
          <w:rFonts w:ascii="Arial" w:hAnsi="Arial" w:cs="Arial"/>
          <w:sz w:val="24"/>
          <w:szCs w:val="24"/>
        </w:rPr>
        <w:t xml:space="preserve">ed </w:t>
      </w:r>
      <w:r w:rsidR="003F1F36" w:rsidRPr="007B0231">
        <w:rPr>
          <w:rFonts w:ascii="Arial" w:hAnsi="Arial" w:cs="Arial"/>
          <w:sz w:val="24"/>
          <w:szCs w:val="24"/>
        </w:rPr>
        <w:t>a response to the appeal</w:t>
      </w:r>
      <w:r w:rsidR="00912B30" w:rsidRPr="007B0231">
        <w:rPr>
          <w:rFonts w:ascii="Arial" w:hAnsi="Arial" w:cs="Arial"/>
          <w:sz w:val="24"/>
          <w:szCs w:val="24"/>
        </w:rPr>
        <w:t>.</w:t>
      </w:r>
      <w:r w:rsidR="00A1251A" w:rsidRPr="007B0231">
        <w:rPr>
          <w:rFonts w:ascii="Arial" w:hAnsi="Arial" w:cs="Arial"/>
          <w:sz w:val="24"/>
          <w:szCs w:val="24"/>
        </w:rPr>
        <w:t xml:space="preserve"> </w:t>
      </w:r>
    </w:p>
    <w:p w14:paraId="46C03AAA" w14:textId="77777777" w:rsidR="00620B5C" w:rsidRPr="00620B5C" w:rsidRDefault="00620B5C" w:rsidP="00620B5C">
      <w:pPr>
        <w:pStyle w:val="ListParagraph"/>
        <w:rPr>
          <w:rFonts w:ascii="Arial" w:hAnsi="Arial" w:cs="Arial"/>
          <w:sz w:val="24"/>
          <w:szCs w:val="24"/>
        </w:rPr>
      </w:pPr>
    </w:p>
    <w:p w14:paraId="12C43FF5" w14:textId="20B50B07"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D3827" w:rsidRPr="007B0231">
        <w:rPr>
          <w:rFonts w:ascii="Arial" w:hAnsi="Arial" w:cs="Arial"/>
          <w:sz w:val="24"/>
          <w:szCs w:val="24"/>
        </w:rPr>
        <w:t xml:space="preserve">The hearing of the appeal was delayed. The </w:t>
      </w:r>
      <w:r w:rsidR="00EE4E5A" w:rsidRPr="007B0231">
        <w:rPr>
          <w:rFonts w:ascii="Arial" w:hAnsi="Arial" w:cs="Arial"/>
          <w:sz w:val="24"/>
          <w:szCs w:val="24"/>
        </w:rPr>
        <w:t xml:space="preserve">applicant’s </w:t>
      </w:r>
      <w:r w:rsidR="000D3827" w:rsidRPr="007B0231">
        <w:rPr>
          <w:rFonts w:ascii="Arial" w:hAnsi="Arial" w:cs="Arial"/>
          <w:sz w:val="24"/>
          <w:szCs w:val="24"/>
        </w:rPr>
        <w:t>spouse, Mr Royce Long</w:t>
      </w:r>
      <w:r w:rsidR="00684682" w:rsidRPr="007B0231">
        <w:rPr>
          <w:rFonts w:ascii="Arial" w:hAnsi="Arial" w:cs="Arial"/>
          <w:sz w:val="24"/>
          <w:szCs w:val="24"/>
        </w:rPr>
        <w:t xml:space="preserve">, </w:t>
      </w:r>
      <w:r w:rsidR="002A3CBE" w:rsidRPr="007B0231">
        <w:rPr>
          <w:rFonts w:ascii="Arial" w:hAnsi="Arial" w:cs="Arial"/>
          <w:sz w:val="24"/>
          <w:szCs w:val="24"/>
        </w:rPr>
        <w:t>requested the municipality</w:t>
      </w:r>
      <w:r w:rsidR="0053117D" w:rsidRPr="007B0231">
        <w:rPr>
          <w:rFonts w:ascii="Arial" w:hAnsi="Arial" w:cs="Arial"/>
          <w:sz w:val="24"/>
          <w:szCs w:val="24"/>
        </w:rPr>
        <w:t xml:space="preserve"> </w:t>
      </w:r>
      <w:r w:rsidR="006D0384" w:rsidRPr="007B0231">
        <w:rPr>
          <w:rFonts w:ascii="Arial" w:hAnsi="Arial" w:cs="Arial"/>
          <w:sz w:val="24"/>
          <w:szCs w:val="24"/>
        </w:rPr>
        <w:t>to</w:t>
      </w:r>
      <w:r w:rsidR="005D7C59" w:rsidRPr="007B0231">
        <w:rPr>
          <w:rFonts w:ascii="Arial" w:hAnsi="Arial" w:cs="Arial"/>
          <w:sz w:val="24"/>
          <w:szCs w:val="24"/>
        </w:rPr>
        <w:t xml:space="preserve"> tak</w:t>
      </w:r>
      <w:r w:rsidR="0053117D" w:rsidRPr="007B0231">
        <w:rPr>
          <w:rFonts w:ascii="Arial" w:hAnsi="Arial" w:cs="Arial"/>
          <w:sz w:val="24"/>
          <w:szCs w:val="24"/>
        </w:rPr>
        <w:t>e</w:t>
      </w:r>
      <w:r w:rsidR="005D7C59" w:rsidRPr="007B0231">
        <w:rPr>
          <w:rFonts w:ascii="Arial" w:hAnsi="Arial" w:cs="Arial"/>
          <w:sz w:val="24"/>
          <w:szCs w:val="24"/>
        </w:rPr>
        <w:t xml:space="preserve"> steps </w:t>
      </w:r>
      <w:r w:rsidR="000943FA" w:rsidRPr="007B0231">
        <w:rPr>
          <w:rFonts w:ascii="Arial" w:hAnsi="Arial" w:cs="Arial"/>
          <w:sz w:val="24"/>
          <w:szCs w:val="24"/>
        </w:rPr>
        <w:t xml:space="preserve">in the interim </w:t>
      </w:r>
      <w:r w:rsidR="005D7C59" w:rsidRPr="007B0231">
        <w:rPr>
          <w:rFonts w:ascii="Arial" w:hAnsi="Arial" w:cs="Arial"/>
          <w:sz w:val="24"/>
          <w:szCs w:val="24"/>
        </w:rPr>
        <w:t xml:space="preserve">to </w:t>
      </w:r>
      <w:r w:rsidR="0053117D" w:rsidRPr="007B0231">
        <w:rPr>
          <w:rFonts w:ascii="Arial" w:hAnsi="Arial" w:cs="Arial"/>
          <w:sz w:val="24"/>
          <w:szCs w:val="24"/>
        </w:rPr>
        <w:t>deal with</w:t>
      </w:r>
      <w:r w:rsidR="005D7C59" w:rsidRPr="007B0231">
        <w:rPr>
          <w:rFonts w:ascii="Arial" w:hAnsi="Arial" w:cs="Arial"/>
          <w:sz w:val="24"/>
          <w:szCs w:val="24"/>
        </w:rPr>
        <w:t xml:space="preserve"> the </w:t>
      </w:r>
      <w:r w:rsidR="003A2D40" w:rsidRPr="007B0231">
        <w:rPr>
          <w:rFonts w:ascii="Arial" w:hAnsi="Arial" w:cs="Arial"/>
          <w:sz w:val="24"/>
          <w:szCs w:val="24"/>
        </w:rPr>
        <w:t xml:space="preserve">unlawful </w:t>
      </w:r>
      <w:r w:rsidR="00082B2B" w:rsidRPr="007B0231">
        <w:rPr>
          <w:rFonts w:ascii="Arial" w:hAnsi="Arial" w:cs="Arial"/>
          <w:sz w:val="24"/>
          <w:szCs w:val="24"/>
        </w:rPr>
        <w:t>operation of the guesthouse</w:t>
      </w:r>
      <w:r w:rsidR="003A2D40" w:rsidRPr="007B0231">
        <w:rPr>
          <w:rFonts w:ascii="Arial" w:hAnsi="Arial" w:cs="Arial"/>
          <w:sz w:val="24"/>
          <w:szCs w:val="24"/>
        </w:rPr>
        <w:t>, pending the finalization of the appeal.</w:t>
      </w:r>
      <w:r w:rsidR="00AB234E" w:rsidRPr="007B0231">
        <w:rPr>
          <w:rFonts w:ascii="Arial" w:hAnsi="Arial" w:cs="Arial"/>
          <w:sz w:val="24"/>
          <w:szCs w:val="24"/>
        </w:rPr>
        <w:t xml:space="preserve"> </w:t>
      </w:r>
      <w:r w:rsidR="003A6166" w:rsidRPr="007B0231">
        <w:rPr>
          <w:rFonts w:ascii="Arial" w:hAnsi="Arial" w:cs="Arial"/>
          <w:sz w:val="24"/>
          <w:szCs w:val="24"/>
        </w:rPr>
        <w:t xml:space="preserve">He received no satisfactory </w:t>
      </w:r>
      <w:r w:rsidR="00A32CFF" w:rsidRPr="007B0231">
        <w:rPr>
          <w:rFonts w:ascii="Arial" w:hAnsi="Arial" w:cs="Arial"/>
          <w:sz w:val="24"/>
          <w:szCs w:val="24"/>
        </w:rPr>
        <w:t>answer</w:t>
      </w:r>
      <w:r w:rsidR="003A6166" w:rsidRPr="007B0231">
        <w:rPr>
          <w:rFonts w:ascii="Arial" w:hAnsi="Arial" w:cs="Arial"/>
          <w:sz w:val="24"/>
          <w:szCs w:val="24"/>
        </w:rPr>
        <w:t xml:space="preserve">. The municipality contacted the applicant </w:t>
      </w:r>
      <w:r w:rsidR="00A32CFF" w:rsidRPr="007B0231">
        <w:rPr>
          <w:rFonts w:ascii="Arial" w:hAnsi="Arial" w:cs="Arial"/>
          <w:sz w:val="24"/>
          <w:szCs w:val="24"/>
        </w:rPr>
        <w:t>on 27 November 2020</w:t>
      </w:r>
      <w:r w:rsidR="00063C70" w:rsidRPr="007B0231">
        <w:rPr>
          <w:rFonts w:ascii="Arial" w:hAnsi="Arial" w:cs="Arial"/>
          <w:sz w:val="24"/>
          <w:szCs w:val="24"/>
        </w:rPr>
        <w:t xml:space="preserve">, </w:t>
      </w:r>
      <w:r w:rsidR="00A9579D" w:rsidRPr="007B0231">
        <w:rPr>
          <w:rFonts w:ascii="Arial" w:hAnsi="Arial" w:cs="Arial"/>
          <w:sz w:val="24"/>
          <w:szCs w:val="24"/>
        </w:rPr>
        <w:t>explain</w:t>
      </w:r>
      <w:r w:rsidR="00063C70" w:rsidRPr="007B0231">
        <w:rPr>
          <w:rFonts w:ascii="Arial" w:hAnsi="Arial" w:cs="Arial"/>
          <w:sz w:val="24"/>
          <w:szCs w:val="24"/>
        </w:rPr>
        <w:t xml:space="preserve">ing that COVID-19 regulations had </w:t>
      </w:r>
      <w:r w:rsidR="00505032" w:rsidRPr="007B0231">
        <w:rPr>
          <w:rFonts w:ascii="Arial" w:hAnsi="Arial" w:cs="Arial"/>
          <w:sz w:val="24"/>
          <w:szCs w:val="24"/>
        </w:rPr>
        <w:t xml:space="preserve">delayed the hearing; furthermore, it </w:t>
      </w:r>
      <w:r w:rsidR="00227B0C" w:rsidRPr="007B0231">
        <w:rPr>
          <w:rFonts w:ascii="Arial" w:hAnsi="Arial" w:cs="Arial"/>
          <w:sz w:val="24"/>
          <w:szCs w:val="24"/>
        </w:rPr>
        <w:t xml:space="preserve">was awaiting guidance from the Department of Cooperative Governance and Traditional Affairs </w:t>
      </w:r>
      <w:r w:rsidR="00B4766E" w:rsidRPr="007B0231">
        <w:rPr>
          <w:rFonts w:ascii="Arial" w:hAnsi="Arial" w:cs="Arial"/>
          <w:sz w:val="24"/>
          <w:szCs w:val="24"/>
        </w:rPr>
        <w:t>(‘COGTA’)</w:t>
      </w:r>
      <w:r w:rsidR="003018EA" w:rsidRPr="007B0231">
        <w:rPr>
          <w:rFonts w:ascii="Arial" w:hAnsi="Arial" w:cs="Arial"/>
          <w:sz w:val="24"/>
          <w:szCs w:val="24"/>
        </w:rPr>
        <w:t>.</w:t>
      </w:r>
    </w:p>
    <w:p w14:paraId="703966EF" w14:textId="77777777" w:rsidR="009E5BAA" w:rsidRDefault="009E5BAA" w:rsidP="009E5BAA">
      <w:pPr>
        <w:pStyle w:val="ListParagraph"/>
        <w:spacing w:line="360" w:lineRule="auto"/>
        <w:ind w:left="0"/>
        <w:jc w:val="both"/>
        <w:rPr>
          <w:rFonts w:ascii="Arial" w:hAnsi="Arial" w:cs="Arial"/>
          <w:sz w:val="24"/>
          <w:szCs w:val="24"/>
        </w:rPr>
      </w:pPr>
    </w:p>
    <w:p w14:paraId="6221DFC6" w14:textId="407444CF"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E473E" w:rsidRPr="007B0231">
        <w:rPr>
          <w:rFonts w:ascii="Arial" w:hAnsi="Arial" w:cs="Arial"/>
          <w:sz w:val="24"/>
          <w:szCs w:val="24"/>
        </w:rPr>
        <w:t xml:space="preserve">The </w:t>
      </w:r>
      <w:r w:rsidR="00B47793" w:rsidRPr="007B0231">
        <w:rPr>
          <w:rFonts w:ascii="Arial" w:hAnsi="Arial" w:cs="Arial"/>
          <w:sz w:val="24"/>
          <w:szCs w:val="24"/>
        </w:rPr>
        <w:t xml:space="preserve">first respondent, the Appeal Authority for the Ndlambe Local Municipality, eventually </w:t>
      </w:r>
      <w:r w:rsidR="009E5E41" w:rsidRPr="007B0231">
        <w:rPr>
          <w:rFonts w:ascii="Arial" w:hAnsi="Arial" w:cs="Arial"/>
          <w:sz w:val="24"/>
          <w:szCs w:val="24"/>
        </w:rPr>
        <w:t xml:space="preserve">heard the appeal on </w:t>
      </w:r>
      <w:r w:rsidR="00E80C6A" w:rsidRPr="007B0231">
        <w:rPr>
          <w:rFonts w:ascii="Arial" w:hAnsi="Arial" w:cs="Arial"/>
          <w:sz w:val="24"/>
          <w:szCs w:val="24"/>
        </w:rPr>
        <w:t xml:space="preserve">29 June 2021. </w:t>
      </w:r>
      <w:r w:rsidR="00FE48CA" w:rsidRPr="007B0231">
        <w:rPr>
          <w:rFonts w:ascii="Arial" w:hAnsi="Arial" w:cs="Arial"/>
          <w:sz w:val="24"/>
          <w:szCs w:val="24"/>
        </w:rPr>
        <w:t xml:space="preserve">It </w:t>
      </w:r>
      <w:r w:rsidR="009A5E71" w:rsidRPr="007B0231">
        <w:rPr>
          <w:rFonts w:ascii="Arial" w:hAnsi="Arial" w:cs="Arial"/>
          <w:sz w:val="24"/>
          <w:szCs w:val="24"/>
        </w:rPr>
        <w:t xml:space="preserve">informed </w:t>
      </w:r>
      <w:r w:rsidR="00025ED7" w:rsidRPr="007B0231">
        <w:rPr>
          <w:rFonts w:ascii="Arial" w:hAnsi="Arial" w:cs="Arial"/>
          <w:sz w:val="24"/>
          <w:szCs w:val="24"/>
        </w:rPr>
        <w:t>the applicant</w:t>
      </w:r>
      <w:r w:rsidR="009A5E71" w:rsidRPr="007B0231">
        <w:rPr>
          <w:rFonts w:ascii="Arial" w:hAnsi="Arial" w:cs="Arial"/>
          <w:sz w:val="24"/>
          <w:szCs w:val="24"/>
        </w:rPr>
        <w:t>,</w:t>
      </w:r>
      <w:r w:rsidR="00025ED7" w:rsidRPr="007B0231">
        <w:rPr>
          <w:rFonts w:ascii="Arial" w:hAnsi="Arial" w:cs="Arial"/>
          <w:sz w:val="24"/>
          <w:szCs w:val="24"/>
        </w:rPr>
        <w:t xml:space="preserve"> on 6 July 2021</w:t>
      </w:r>
      <w:r w:rsidR="006013CF" w:rsidRPr="007B0231">
        <w:rPr>
          <w:rFonts w:ascii="Arial" w:hAnsi="Arial" w:cs="Arial"/>
          <w:sz w:val="24"/>
          <w:szCs w:val="24"/>
        </w:rPr>
        <w:t xml:space="preserve">, that </w:t>
      </w:r>
      <w:r w:rsidR="007866FC" w:rsidRPr="007B0231">
        <w:rPr>
          <w:rFonts w:ascii="Arial" w:hAnsi="Arial" w:cs="Arial"/>
          <w:sz w:val="24"/>
          <w:szCs w:val="24"/>
        </w:rPr>
        <w:t xml:space="preserve">it had </w:t>
      </w:r>
      <w:r w:rsidR="009A5E71" w:rsidRPr="007B0231">
        <w:rPr>
          <w:rFonts w:ascii="Arial" w:hAnsi="Arial" w:cs="Arial"/>
          <w:sz w:val="24"/>
          <w:szCs w:val="24"/>
        </w:rPr>
        <w:t xml:space="preserve">decided to </w:t>
      </w:r>
      <w:r w:rsidR="007866FC" w:rsidRPr="007B0231">
        <w:rPr>
          <w:rFonts w:ascii="Arial" w:hAnsi="Arial" w:cs="Arial"/>
          <w:sz w:val="24"/>
          <w:szCs w:val="24"/>
        </w:rPr>
        <w:t xml:space="preserve">dismiss the appeal and </w:t>
      </w:r>
      <w:r w:rsidR="009A3A6B" w:rsidRPr="007B0231">
        <w:rPr>
          <w:rFonts w:ascii="Arial" w:hAnsi="Arial" w:cs="Arial"/>
          <w:sz w:val="24"/>
          <w:szCs w:val="24"/>
        </w:rPr>
        <w:t xml:space="preserve">to </w:t>
      </w:r>
      <w:r w:rsidR="007866FC" w:rsidRPr="007B0231">
        <w:rPr>
          <w:rFonts w:ascii="Arial" w:hAnsi="Arial" w:cs="Arial"/>
          <w:sz w:val="24"/>
          <w:szCs w:val="24"/>
        </w:rPr>
        <w:t>confir</w:t>
      </w:r>
      <w:r w:rsidR="00963C8F" w:rsidRPr="007B0231">
        <w:rPr>
          <w:rFonts w:ascii="Arial" w:hAnsi="Arial" w:cs="Arial"/>
          <w:sz w:val="24"/>
          <w:szCs w:val="24"/>
        </w:rPr>
        <w:t>m</w:t>
      </w:r>
      <w:r w:rsidR="007866FC" w:rsidRPr="007B0231">
        <w:rPr>
          <w:rFonts w:ascii="Arial" w:hAnsi="Arial" w:cs="Arial"/>
          <w:sz w:val="24"/>
          <w:szCs w:val="24"/>
        </w:rPr>
        <w:t xml:space="preserve"> the </w:t>
      </w:r>
      <w:r w:rsidR="00736C8E" w:rsidRPr="007B0231">
        <w:rPr>
          <w:rFonts w:ascii="Arial" w:hAnsi="Arial" w:cs="Arial"/>
          <w:sz w:val="24"/>
          <w:szCs w:val="24"/>
        </w:rPr>
        <w:t>tribunal’s decision</w:t>
      </w:r>
      <w:r w:rsidR="00963C8F" w:rsidRPr="007B0231">
        <w:rPr>
          <w:rFonts w:ascii="Arial" w:hAnsi="Arial" w:cs="Arial"/>
          <w:sz w:val="24"/>
          <w:szCs w:val="24"/>
        </w:rPr>
        <w:t xml:space="preserve">. The reasons provided were that </w:t>
      </w:r>
      <w:r w:rsidR="00715C7B" w:rsidRPr="007B0231">
        <w:rPr>
          <w:rFonts w:ascii="Arial" w:hAnsi="Arial" w:cs="Arial"/>
          <w:sz w:val="24"/>
          <w:szCs w:val="24"/>
        </w:rPr>
        <w:t xml:space="preserve">the guesthouse </w:t>
      </w:r>
      <w:r w:rsidR="00C909FD" w:rsidRPr="007B0231">
        <w:rPr>
          <w:rFonts w:ascii="Arial" w:hAnsi="Arial" w:cs="Arial"/>
          <w:sz w:val="24"/>
          <w:szCs w:val="24"/>
        </w:rPr>
        <w:t>would have a positive socio-economic impact</w:t>
      </w:r>
      <w:r w:rsidR="00DA3EC7" w:rsidRPr="007B0231">
        <w:rPr>
          <w:rFonts w:ascii="Arial" w:hAnsi="Arial" w:cs="Arial"/>
          <w:sz w:val="24"/>
          <w:szCs w:val="24"/>
        </w:rPr>
        <w:t xml:space="preserve">, </w:t>
      </w:r>
      <w:r w:rsidR="00681FE7" w:rsidRPr="007B0231">
        <w:rPr>
          <w:rFonts w:ascii="Arial" w:hAnsi="Arial" w:cs="Arial"/>
          <w:sz w:val="24"/>
          <w:szCs w:val="24"/>
        </w:rPr>
        <w:t xml:space="preserve">have minimal impact on the traffic in the area, and </w:t>
      </w:r>
      <w:r w:rsidR="0064779E" w:rsidRPr="007B0231">
        <w:rPr>
          <w:rFonts w:ascii="Arial" w:hAnsi="Arial" w:cs="Arial"/>
          <w:sz w:val="24"/>
          <w:szCs w:val="24"/>
        </w:rPr>
        <w:t>would not have a negative impact on the health, safety, or wellbeing, of the community.</w:t>
      </w:r>
    </w:p>
    <w:p w14:paraId="4892894B" w14:textId="77777777" w:rsidR="009E5BAA" w:rsidRPr="009E5BAA" w:rsidRDefault="009E5BAA" w:rsidP="009E5BAA">
      <w:pPr>
        <w:pStyle w:val="ListParagraph"/>
        <w:rPr>
          <w:rFonts w:ascii="Arial" w:hAnsi="Arial" w:cs="Arial"/>
          <w:sz w:val="24"/>
          <w:szCs w:val="24"/>
        </w:rPr>
      </w:pPr>
    </w:p>
    <w:p w14:paraId="65B5BC45" w14:textId="165F2631" w:rsidR="003E79EF" w:rsidRPr="007B0231" w:rsidRDefault="007B0231" w:rsidP="007B0231">
      <w:pPr>
        <w:spacing w:line="360" w:lineRule="auto"/>
        <w:jc w:val="both"/>
        <w:rPr>
          <w:rFonts w:ascii="Arial" w:hAnsi="Arial" w:cs="Arial"/>
          <w:sz w:val="24"/>
          <w:szCs w:val="24"/>
        </w:rPr>
      </w:pPr>
      <w:r w:rsidRPr="009E5BAA">
        <w:rPr>
          <w:rFonts w:ascii="Arial" w:hAnsi="Arial" w:cs="Arial"/>
          <w:sz w:val="24"/>
          <w:szCs w:val="24"/>
        </w:rPr>
        <w:t>[12]</w:t>
      </w:r>
      <w:r w:rsidRPr="009E5BAA">
        <w:rPr>
          <w:rFonts w:ascii="Arial" w:hAnsi="Arial" w:cs="Arial"/>
          <w:sz w:val="24"/>
          <w:szCs w:val="24"/>
        </w:rPr>
        <w:tab/>
      </w:r>
      <w:r w:rsidR="003B4890" w:rsidRPr="007B0231">
        <w:rPr>
          <w:rFonts w:ascii="Arial" w:hAnsi="Arial" w:cs="Arial"/>
          <w:sz w:val="24"/>
          <w:szCs w:val="24"/>
        </w:rPr>
        <w:t xml:space="preserve">The applicant </w:t>
      </w:r>
      <w:r w:rsidR="00E53AC7" w:rsidRPr="007B0231">
        <w:rPr>
          <w:rFonts w:ascii="Arial" w:hAnsi="Arial" w:cs="Arial"/>
          <w:sz w:val="24"/>
          <w:szCs w:val="24"/>
        </w:rPr>
        <w:t xml:space="preserve">contends </w:t>
      </w:r>
      <w:r w:rsidR="00F255A6" w:rsidRPr="007B0231">
        <w:rPr>
          <w:rFonts w:ascii="Arial" w:hAnsi="Arial" w:cs="Arial"/>
          <w:sz w:val="24"/>
          <w:szCs w:val="24"/>
        </w:rPr>
        <w:t xml:space="preserve">that the </w:t>
      </w:r>
      <w:r w:rsidR="007C6AFB" w:rsidRPr="007B0231">
        <w:rPr>
          <w:rFonts w:ascii="Arial" w:hAnsi="Arial" w:cs="Arial"/>
          <w:sz w:val="24"/>
          <w:szCs w:val="24"/>
        </w:rPr>
        <w:t>tribunal’s decision to approve the fourth respondent’s application for a departure was incorrect</w:t>
      </w:r>
      <w:r w:rsidR="007E4064" w:rsidRPr="007B0231">
        <w:rPr>
          <w:rFonts w:ascii="Arial" w:hAnsi="Arial" w:cs="Arial"/>
          <w:sz w:val="24"/>
          <w:szCs w:val="24"/>
        </w:rPr>
        <w:t>. I</w:t>
      </w:r>
      <w:r w:rsidR="00F93609" w:rsidRPr="007B0231">
        <w:rPr>
          <w:rFonts w:ascii="Arial" w:hAnsi="Arial" w:cs="Arial"/>
          <w:sz w:val="24"/>
          <w:szCs w:val="24"/>
        </w:rPr>
        <w:t xml:space="preserve">t amounts to a reviewable decision </w:t>
      </w:r>
      <w:r w:rsidR="00C66551" w:rsidRPr="007B0231">
        <w:rPr>
          <w:rFonts w:ascii="Arial" w:hAnsi="Arial" w:cs="Arial"/>
          <w:sz w:val="24"/>
          <w:szCs w:val="24"/>
        </w:rPr>
        <w:t>in terms of the Promotion of Administrative Justice Act 3 of 2000 (‘PAJA’).</w:t>
      </w:r>
      <w:r w:rsidR="00F50420" w:rsidRPr="007B0231">
        <w:rPr>
          <w:rFonts w:ascii="Arial" w:hAnsi="Arial" w:cs="Arial"/>
          <w:sz w:val="24"/>
          <w:szCs w:val="24"/>
        </w:rPr>
        <w:t xml:space="preserve"> </w:t>
      </w:r>
    </w:p>
    <w:p w14:paraId="5624E864" w14:textId="77777777" w:rsidR="000423BF" w:rsidRDefault="000423BF" w:rsidP="00A432A7">
      <w:pPr>
        <w:spacing w:line="360" w:lineRule="auto"/>
        <w:rPr>
          <w:rFonts w:ascii="Arial" w:hAnsi="Arial" w:cs="Arial"/>
          <w:sz w:val="24"/>
          <w:szCs w:val="24"/>
        </w:rPr>
      </w:pPr>
    </w:p>
    <w:p w14:paraId="114CFCC0" w14:textId="5BA9FA79" w:rsidR="000423BF" w:rsidRPr="000423BF" w:rsidRDefault="000423BF" w:rsidP="009E5BAA">
      <w:pPr>
        <w:spacing w:line="360" w:lineRule="auto"/>
        <w:jc w:val="both"/>
        <w:rPr>
          <w:rFonts w:ascii="Arial" w:hAnsi="Arial" w:cs="Arial"/>
          <w:b/>
          <w:bCs/>
          <w:sz w:val="24"/>
          <w:szCs w:val="24"/>
        </w:rPr>
      </w:pPr>
      <w:r w:rsidRPr="000423BF">
        <w:rPr>
          <w:rFonts w:ascii="Arial" w:hAnsi="Arial" w:cs="Arial"/>
          <w:b/>
          <w:bCs/>
          <w:sz w:val="24"/>
          <w:szCs w:val="24"/>
        </w:rPr>
        <w:t>Respondents’ case</w:t>
      </w:r>
    </w:p>
    <w:p w14:paraId="09E9C5F8" w14:textId="77777777" w:rsidR="000423BF" w:rsidRDefault="000423BF" w:rsidP="00A432A7">
      <w:pPr>
        <w:spacing w:line="360" w:lineRule="auto"/>
        <w:rPr>
          <w:rFonts w:ascii="Arial" w:hAnsi="Arial" w:cs="Arial"/>
          <w:sz w:val="24"/>
          <w:szCs w:val="24"/>
        </w:rPr>
      </w:pPr>
    </w:p>
    <w:p w14:paraId="3EB6C94E" w14:textId="7406774D"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74CFA" w:rsidRPr="007B0231">
        <w:rPr>
          <w:rFonts w:ascii="Arial" w:hAnsi="Arial" w:cs="Arial"/>
          <w:sz w:val="24"/>
          <w:szCs w:val="24"/>
        </w:rPr>
        <w:t>The appeal authority, the tribunal, and the municipality</w:t>
      </w:r>
      <w:r w:rsidR="00845B49" w:rsidRPr="007B0231">
        <w:rPr>
          <w:rFonts w:ascii="Arial" w:hAnsi="Arial" w:cs="Arial"/>
          <w:sz w:val="24"/>
          <w:szCs w:val="24"/>
        </w:rPr>
        <w:t xml:space="preserve"> originally </w:t>
      </w:r>
      <w:r w:rsidR="00EC6B27" w:rsidRPr="007B0231">
        <w:rPr>
          <w:rFonts w:ascii="Arial" w:hAnsi="Arial" w:cs="Arial"/>
          <w:sz w:val="24"/>
          <w:szCs w:val="24"/>
        </w:rPr>
        <w:t xml:space="preserve">opposed the application. </w:t>
      </w:r>
      <w:r w:rsidR="00D74CFA" w:rsidRPr="007B0231">
        <w:rPr>
          <w:rFonts w:ascii="Arial" w:hAnsi="Arial" w:cs="Arial"/>
          <w:sz w:val="24"/>
          <w:szCs w:val="24"/>
        </w:rPr>
        <w:t>T</w:t>
      </w:r>
      <w:r w:rsidR="00EC6B27" w:rsidRPr="007B0231">
        <w:rPr>
          <w:rFonts w:ascii="Arial" w:hAnsi="Arial" w:cs="Arial"/>
          <w:sz w:val="24"/>
          <w:szCs w:val="24"/>
        </w:rPr>
        <w:t>hey</w:t>
      </w:r>
      <w:r w:rsidR="00D74CFA" w:rsidRPr="007B0231">
        <w:rPr>
          <w:rFonts w:ascii="Arial" w:hAnsi="Arial" w:cs="Arial"/>
          <w:sz w:val="24"/>
          <w:szCs w:val="24"/>
        </w:rPr>
        <w:t xml:space="preserve"> </w:t>
      </w:r>
      <w:r w:rsidR="007C50C6" w:rsidRPr="007B0231">
        <w:rPr>
          <w:rFonts w:ascii="Arial" w:hAnsi="Arial" w:cs="Arial"/>
          <w:sz w:val="24"/>
          <w:szCs w:val="24"/>
        </w:rPr>
        <w:t>later</w:t>
      </w:r>
      <w:r w:rsidR="00D74CFA" w:rsidRPr="007B0231">
        <w:rPr>
          <w:rFonts w:ascii="Arial" w:hAnsi="Arial" w:cs="Arial"/>
          <w:sz w:val="24"/>
          <w:szCs w:val="24"/>
        </w:rPr>
        <w:t xml:space="preserve"> withdrew and </w:t>
      </w:r>
      <w:r w:rsidR="006B25C3" w:rsidRPr="007B0231">
        <w:rPr>
          <w:rFonts w:ascii="Arial" w:hAnsi="Arial" w:cs="Arial"/>
          <w:sz w:val="24"/>
          <w:szCs w:val="24"/>
        </w:rPr>
        <w:t>gave notice of their intention to abide</w:t>
      </w:r>
      <w:r w:rsidR="004B2F70" w:rsidRPr="007B0231">
        <w:rPr>
          <w:rFonts w:ascii="Arial" w:hAnsi="Arial" w:cs="Arial"/>
          <w:sz w:val="24"/>
          <w:szCs w:val="24"/>
        </w:rPr>
        <w:t>.</w:t>
      </w:r>
    </w:p>
    <w:p w14:paraId="3B0709B0" w14:textId="77777777" w:rsidR="009E5BAA" w:rsidRDefault="009E5BAA" w:rsidP="009E5BAA">
      <w:pPr>
        <w:pStyle w:val="ListParagraph"/>
        <w:spacing w:line="360" w:lineRule="auto"/>
        <w:ind w:left="0"/>
        <w:jc w:val="both"/>
        <w:rPr>
          <w:rFonts w:ascii="Arial" w:hAnsi="Arial" w:cs="Arial"/>
          <w:sz w:val="24"/>
          <w:szCs w:val="24"/>
        </w:rPr>
      </w:pPr>
    </w:p>
    <w:p w14:paraId="15E14ECC" w14:textId="7540E8C1"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6544F" w:rsidRPr="007B0231">
        <w:rPr>
          <w:rFonts w:ascii="Arial" w:hAnsi="Arial" w:cs="Arial"/>
          <w:sz w:val="24"/>
          <w:szCs w:val="24"/>
        </w:rPr>
        <w:t>The fourth respondent</w:t>
      </w:r>
      <w:r w:rsidR="007E4064" w:rsidRPr="007B0231">
        <w:rPr>
          <w:rFonts w:ascii="Arial" w:hAnsi="Arial" w:cs="Arial"/>
          <w:sz w:val="24"/>
          <w:szCs w:val="24"/>
        </w:rPr>
        <w:t>, represented by Mr Miguel Teixeira,</w:t>
      </w:r>
      <w:r w:rsidR="0096544F" w:rsidRPr="007B0231">
        <w:rPr>
          <w:rFonts w:ascii="Arial" w:hAnsi="Arial" w:cs="Arial"/>
          <w:sz w:val="24"/>
          <w:szCs w:val="24"/>
        </w:rPr>
        <w:t xml:space="preserve"> </w:t>
      </w:r>
      <w:r w:rsidR="00CC1A7A" w:rsidRPr="007B0231">
        <w:rPr>
          <w:rFonts w:ascii="Arial" w:hAnsi="Arial" w:cs="Arial"/>
          <w:sz w:val="24"/>
          <w:szCs w:val="24"/>
        </w:rPr>
        <w:t>strong</w:t>
      </w:r>
      <w:r w:rsidR="005C5131" w:rsidRPr="007B0231">
        <w:rPr>
          <w:rFonts w:ascii="Arial" w:hAnsi="Arial" w:cs="Arial"/>
          <w:sz w:val="24"/>
          <w:szCs w:val="24"/>
        </w:rPr>
        <w:t>ly opposes the application.</w:t>
      </w:r>
      <w:r w:rsidR="008910A5" w:rsidRPr="007B0231">
        <w:rPr>
          <w:rFonts w:ascii="Arial" w:hAnsi="Arial" w:cs="Arial"/>
          <w:sz w:val="24"/>
          <w:szCs w:val="24"/>
        </w:rPr>
        <w:t xml:space="preserve"> </w:t>
      </w:r>
      <w:r w:rsidR="009F308D" w:rsidRPr="007B0231">
        <w:rPr>
          <w:rFonts w:ascii="Arial" w:hAnsi="Arial" w:cs="Arial"/>
          <w:sz w:val="24"/>
          <w:szCs w:val="24"/>
        </w:rPr>
        <w:t xml:space="preserve">He states that </w:t>
      </w:r>
      <w:r w:rsidR="00A11438" w:rsidRPr="007B0231">
        <w:rPr>
          <w:rFonts w:ascii="Arial" w:hAnsi="Arial" w:cs="Arial"/>
          <w:sz w:val="24"/>
          <w:szCs w:val="24"/>
        </w:rPr>
        <w:t xml:space="preserve">the </w:t>
      </w:r>
      <w:r w:rsidR="00912E06" w:rsidRPr="007B0231">
        <w:rPr>
          <w:rFonts w:ascii="Arial" w:hAnsi="Arial" w:cs="Arial"/>
          <w:sz w:val="24"/>
          <w:szCs w:val="24"/>
        </w:rPr>
        <w:t xml:space="preserve">fourth respondent </w:t>
      </w:r>
      <w:r w:rsidR="00605CC2" w:rsidRPr="007B0231">
        <w:rPr>
          <w:rFonts w:ascii="Arial" w:hAnsi="Arial" w:cs="Arial"/>
          <w:sz w:val="24"/>
          <w:szCs w:val="24"/>
        </w:rPr>
        <w:t xml:space="preserve">previously </w:t>
      </w:r>
      <w:r w:rsidR="00912E06" w:rsidRPr="007B0231">
        <w:rPr>
          <w:rFonts w:ascii="Arial" w:hAnsi="Arial" w:cs="Arial"/>
          <w:sz w:val="24"/>
          <w:szCs w:val="24"/>
        </w:rPr>
        <w:t xml:space="preserve">applied to the </w:t>
      </w:r>
      <w:r w:rsidR="00A11438" w:rsidRPr="007B0231">
        <w:rPr>
          <w:rFonts w:ascii="Arial" w:hAnsi="Arial" w:cs="Arial"/>
          <w:sz w:val="24"/>
          <w:szCs w:val="24"/>
        </w:rPr>
        <w:t>municipality</w:t>
      </w:r>
      <w:r w:rsidR="00912E06" w:rsidRPr="007B0231">
        <w:rPr>
          <w:rFonts w:ascii="Arial" w:hAnsi="Arial" w:cs="Arial"/>
          <w:sz w:val="24"/>
          <w:szCs w:val="24"/>
        </w:rPr>
        <w:t xml:space="preserve"> for </w:t>
      </w:r>
      <w:r w:rsidR="00605CC2" w:rsidRPr="007B0231">
        <w:rPr>
          <w:rFonts w:ascii="Arial" w:hAnsi="Arial" w:cs="Arial"/>
          <w:sz w:val="24"/>
          <w:szCs w:val="24"/>
        </w:rPr>
        <w:t>the</w:t>
      </w:r>
      <w:r w:rsidR="003266EE" w:rsidRPr="007B0231">
        <w:rPr>
          <w:rFonts w:ascii="Arial" w:hAnsi="Arial" w:cs="Arial"/>
          <w:sz w:val="24"/>
          <w:szCs w:val="24"/>
        </w:rPr>
        <w:t xml:space="preserve"> rezoning </w:t>
      </w:r>
      <w:r w:rsidR="00605CC2" w:rsidRPr="007B0231">
        <w:rPr>
          <w:rFonts w:ascii="Arial" w:hAnsi="Arial" w:cs="Arial"/>
          <w:sz w:val="24"/>
          <w:szCs w:val="24"/>
        </w:rPr>
        <w:t xml:space="preserve">of the property </w:t>
      </w:r>
      <w:r w:rsidR="003266EE" w:rsidRPr="007B0231">
        <w:rPr>
          <w:rFonts w:ascii="Arial" w:hAnsi="Arial" w:cs="Arial"/>
          <w:sz w:val="24"/>
          <w:szCs w:val="24"/>
        </w:rPr>
        <w:t>from single residential to general residential</w:t>
      </w:r>
      <w:r w:rsidR="00A74BAF" w:rsidRPr="007B0231">
        <w:rPr>
          <w:rFonts w:ascii="Arial" w:hAnsi="Arial" w:cs="Arial"/>
          <w:sz w:val="24"/>
          <w:szCs w:val="24"/>
        </w:rPr>
        <w:t xml:space="preserve"> </w:t>
      </w:r>
      <w:r w:rsidR="00F3583B" w:rsidRPr="007B0231">
        <w:rPr>
          <w:rFonts w:ascii="Arial" w:hAnsi="Arial" w:cs="Arial"/>
          <w:sz w:val="24"/>
          <w:szCs w:val="24"/>
        </w:rPr>
        <w:t xml:space="preserve">for purposes of </w:t>
      </w:r>
      <w:r w:rsidR="00451AFB" w:rsidRPr="007B0231">
        <w:rPr>
          <w:rFonts w:ascii="Arial" w:hAnsi="Arial" w:cs="Arial"/>
          <w:sz w:val="24"/>
          <w:szCs w:val="24"/>
        </w:rPr>
        <w:t xml:space="preserve">developing </w:t>
      </w:r>
      <w:r w:rsidR="00F3583B" w:rsidRPr="007B0231">
        <w:rPr>
          <w:rFonts w:ascii="Arial" w:hAnsi="Arial" w:cs="Arial"/>
          <w:sz w:val="24"/>
          <w:szCs w:val="24"/>
        </w:rPr>
        <w:t>four terraced units.</w:t>
      </w:r>
      <w:r w:rsidR="00571D85" w:rsidRPr="007B0231">
        <w:rPr>
          <w:rFonts w:ascii="Arial" w:hAnsi="Arial" w:cs="Arial"/>
          <w:sz w:val="24"/>
          <w:szCs w:val="24"/>
        </w:rPr>
        <w:t xml:space="preserve"> </w:t>
      </w:r>
      <w:r w:rsidR="00605CC2" w:rsidRPr="007B0231">
        <w:rPr>
          <w:rFonts w:ascii="Arial" w:hAnsi="Arial" w:cs="Arial"/>
          <w:sz w:val="24"/>
          <w:szCs w:val="24"/>
        </w:rPr>
        <w:t xml:space="preserve">It </w:t>
      </w:r>
      <w:r w:rsidR="00571D85" w:rsidRPr="007B0231">
        <w:rPr>
          <w:rFonts w:ascii="Arial" w:hAnsi="Arial" w:cs="Arial"/>
          <w:sz w:val="24"/>
          <w:szCs w:val="24"/>
        </w:rPr>
        <w:t xml:space="preserve">also applied for </w:t>
      </w:r>
      <w:r w:rsidR="00605CC2" w:rsidRPr="007B0231">
        <w:rPr>
          <w:rFonts w:ascii="Arial" w:hAnsi="Arial" w:cs="Arial"/>
          <w:sz w:val="24"/>
          <w:szCs w:val="24"/>
        </w:rPr>
        <w:t>the</w:t>
      </w:r>
      <w:r w:rsidR="00571D85" w:rsidRPr="007B0231">
        <w:rPr>
          <w:rFonts w:ascii="Arial" w:hAnsi="Arial" w:cs="Arial"/>
          <w:sz w:val="24"/>
          <w:szCs w:val="24"/>
        </w:rPr>
        <w:t xml:space="preserve"> relaxation of</w:t>
      </w:r>
      <w:r w:rsidR="00605CC2" w:rsidRPr="007B0231">
        <w:rPr>
          <w:rFonts w:ascii="Arial" w:hAnsi="Arial" w:cs="Arial"/>
          <w:sz w:val="24"/>
          <w:szCs w:val="24"/>
        </w:rPr>
        <w:t xml:space="preserve"> the</w:t>
      </w:r>
      <w:r w:rsidR="00571D85" w:rsidRPr="007B0231">
        <w:rPr>
          <w:rFonts w:ascii="Arial" w:hAnsi="Arial" w:cs="Arial"/>
          <w:sz w:val="24"/>
          <w:szCs w:val="24"/>
        </w:rPr>
        <w:t xml:space="preserve"> building lines.</w:t>
      </w:r>
      <w:r w:rsidR="00EB1D02" w:rsidRPr="007B0231">
        <w:rPr>
          <w:rFonts w:ascii="Arial" w:hAnsi="Arial" w:cs="Arial"/>
          <w:sz w:val="24"/>
          <w:szCs w:val="24"/>
        </w:rPr>
        <w:t xml:space="preserve"> The municipality granted the rezoning</w:t>
      </w:r>
      <w:r w:rsidR="003E6A72" w:rsidRPr="007B0231">
        <w:rPr>
          <w:rFonts w:ascii="Arial" w:hAnsi="Arial" w:cs="Arial"/>
          <w:sz w:val="24"/>
          <w:szCs w:val="24"/>
        </w:rPr>
        <w:t xml:space="preserve"> but later revoked </w:t>
      </w:r>
      <w:r w:rsidR="006B06F4" w:rsidRPr="007B0231">
        <w:rPr>
          <w:rFonts w:ascii="Arial" w:hAnsi="Arial" w:cs="Arial"/>
          <w:sz w:val="24"/>
          <w:szCs w:val="24"/>
        </w:rPr>
        <w:t xml:space="preserve">this </w:t>
      </w:r>
      <w:r w:rsidR="00605CC2" w:rsidRPr="007B0231">
        <w:rPr>
          <w:rFonts w:ascii="Arial" w:hAnsi="Arial" w:cs="Arial"/>
          <w:sz w:val="24"/>
          <w:szCs w:val="24"/>
        </w:rPr>
        <w:t xml:space="preserve">because </w:t>
      </w:r>
      <w:r w:rsidR="00BC06E2" w:rsidRPr="007B0231">
        <w:rPr>
          <w:rFonts w:ascii="Arial" w:hAnsi="Arial" w:cs="Arial"/>
          <w:sz w:val="24"/>
          <w:szCs w:val="24"/>
        </w:rPr>
        <w:t>the applicant had not been properly notified</w:t>
      </w:r>
      <w:r w:rsidR="00F127EE" w:rsidRPr="007B0231">
        <w:rPr>
          <w:rFonts w:ascii="Arial" w:hAnsi="Arial" w:cs="Arial"/>
          <w:sz w:val="24"/>
          <w:szCs w:val="24"/>
        </w:rPr>
        <w:t xml:space="preserve">. </w:t>
      </w:r>
      <w:r w:rsidR="002401C9" w:rsidRPr="007B0231">
        <w:rPr>
          <w:rFonts w:ascii="Arial" w:hAnsi="Arial" w:cs="Arial"/>
          <w:sz w:val="24"/>
          <w:szCs w:val="24"/>
        </w:rPr>
        <w:t>It indicated to the fourth respondent</w:t>
      </w:r>
      <w:r w:rsidR="00605CC2" w:rsidRPr="007B0231">
        <w:rPr>
          <w:rFonts w:ascii="Arial" w:hAnsi="Arial" w:cs="Arial"/>
          <w:sz w:val="24"/>
          <w:szCs w:val="24"/>
        </w:rPr>
        <w:t xml:space="preserve"> </w:t>
      </w:r>
      <w:r w:rsidR="002401C9" w:rsidRPr="007B0231">
        <w:rPr>
          <w:rFonts w:ascii="Arial" w:hAnsi="Arial" w:cs="Arial"/>
          <w:sz w:val="24"/>
          <w:szCs w:val="24"/>
        </w:rPr>
        <w:t xml:space="preserve">that the zoning would revert to </w:t>
      </w:r>
      <w:r w:rsidR="00FD56D9" w:rsidRPr="007B0231">
        <w:rPr>
          <w:rFonts w:ascii="Arial" w:hAnsi="Arial" w:cs="Arial"/>
          <w:sz w:val="24"/>
          <w:szCs w:val="24"/>
        </w:rPr>
        <w:t xml:space="preserve">single residential, meaning that </w:t>
      </w:r>
      <w:r w:rsidR="00FC4BAF" w:rsidRPr="007B0231">
        <w:rPr>
          <w:rFonts w:ascii="Arial" w:hAnsi="Arial" w:cs="Arial"/>
          <w:sz w:val="24"/>
          <w:szCs w:val="24"/>
        </w:rPr>
        <w:t xml:space="preserve">the </w:t>
      </w:r>
      <w:r w:rsidR="00605CC2" w:rsidRPr="007B0231">
        <w:rPr>
          <w:rFonts w:ascii="Arial" w:hAnsi="Arial" w:cs="Arial"/>
          <w:sz w:val="24"/>
          <w:szCs w:val="24"/>
        </w:rPr>
        <w:t xml:space="preserve">property </w:t>
      </w:r>
      <w:r w:rsidR="00FC4BAF" w:rsidRPr="007B0231">
        <w:rPr>
          <w:rFonts w:ascii="Arial" w:hAnsi="Arial" w:cs="Arial"/>
          <w:sz w:val="24"/>
          <w:szCs w:val="24"/>
        </w:rPr>
        <w:t xml:space="preserve">could only </w:t>
      </w:r>
      <w:r w:rsidR="00605CC2" w:rsidRPr="007B0231">
        <w:rPr>
          <w:rFonts w:ascii="Arial" w:hAnsi="Arial" w:cs="Arial"/>
          <w:sz w:val="24"/>
          <w:szCs w:val="24"/>
        </w:rPr>
        <w:t xml:space="preserve">be </w:t>
      </w:r>
      <w:r w:rsidR="00FC4BAF" w:rsidRPr="007B0231">
        <w:rPr>
          <w:rFonts w:ascii="Arial" w:hAnsi="Arial" w:cs="Arial"/>
          <w:sz w:val="24"/>
          <w:szCs w:val="24"/>
        </w:rPr>
        <w:t>develop</w:t>
      </w:r>
      <w:r w:rsidR="00605CC2" w:rsidRPr="007B0231">
        <w:rPr>
          <w:rFonts w:ascii="Arial" w:hAnsi="Arial" w:cs="Arial"/>
          <w:sz w:val="24"/>
          <w:szCs w:val="24"/>
        </w:rPr>
        <w:t>ed</w:t>
      </w:r>
      <w:r w:rsidR="00FC4BAF" w:rsidRPr="007B0231">
        <w:rPr>
          <w:rFonts w:ascii="Arial" w:hAnsi="Arial" w:cs="Arial"/>
          <w:sz w:val="24"/>
          <w:szCs w:val="24"/>
        </w:rPr>
        <w:t xml:space="preserve"> in accordance with the </w:t>
      </w:r>
      <w:r w:rsidR="00605CC2" w:rsidRPr="007B0231">
        <w:rPr>
          <w:rFonts w:ascii="Arial" w:hAnsi="Arial" w:cs="Arial"/>
          <w:sz w:val="24"/>
          <w:szCs w:val="24"/>
        </w:rPr>
        <w:t xml:space="preserve">conditions applicable to </w:t>
      </w:r>
      <w:r w:rsidR="007D6D92" w:rsidRPr="007B0231">
        <w:rPr>
          <w:rFonts w:ascii="Arial" w:hAnsi="Arial" w:cs="Arial"/>
          <w:sz w:val="24"/>
          <w:szCs w:val="24"/>
        </w:rPr>
        <w:t>the zoning in question</w:t>
      </w:r>
      <w:r w:rsidR="00605CC2" w:rsidRPr="007B0231">
        <w:rPr>
          <w:rFonts w:ascii="Arial" w:hAnsi="Arial" w:cs="Arial"/>
          <w:sz w:val="24"/>
          <w:szCs w:val="24"/>
        </w:rPr>
        <w:t xml:space="preserve">. These were </w:t>
      </w:r>
      <w:r w:rsidR="007D6D92" w:rsidRPr="007B0231">
        <w:rPr>
          <w:rFonts w:ascii="Arial" w:hAnsi="Arial" w:cs="Arial"/>
          <w:sz w:val="24"/>
          <w:szCs w:val="24"/>
        </w:rPr>
        <w:t xml:space="preserve">contained in the </w:t>
      </w:r>
      <w:r w:rsidR="00055FA0" w:rsidRPr="007B0231">
        <w:rPr>
          <w:rFonts w:ascii="Arial" w:hAnsi="Arial" w:cs="Arial"/>
          <w:sz w:val="24"/>
          <w:szCs w:val="24"/>
        </w:rPr>
        <w:t xml:space="preserve">Kenton-on-Sea </w:t>
      </w:r>
      <w:r w:rsidR="0021694F" w:rsidRPr="007B0231">
        <w:rPr>
          <w:rFonts w:ascii="Arial" w:hAnsi="Arial" w:cs="Arial"/>
          <w:sz w:val="24"/>
          <w:szCs w:val="24"/>
        </w:rPr>
        <w:t>Town Planning Scheme</w:t>
      </w:r>
      <w:r w:rsidR="007504A5" w:rsidRPr="007B0231">
        <w:rPr>
          <w:rFonts w:ascii="Arial" w:hAnsi="Arial" w:cs="Arial"/>
          <w:sz w:val="24"/>
          <w:szCs w:val="24"/>
        </w:rPr>
        <w:t xml:space="preserve"> </w:t>
      </w:r>
      <w:r w:rsidR="00055FA0" w:rsidRPr="007B0231">
        <w:rPr>
          <w:rFonts w:ascii="Arial" w:hAnsi="Arial" w:cs="Arial"/>
          <w:sz w:val="24"/>
          <w:szCs w:val="24"/>
        </w:rPr>
        <w:t>By-laws</w:t>
      </w:r>
      <w:r w:rsidR="008E2876" w:rsidRPr="007B0231">
        <w:rPr>
          <w:rFonts w:ascii="Arial" w:hAnsi="Arial" w:cs="Arial"/>
          <w:sz w:val="24"/>
          <w:szCs w:val="24"/>
        </w:rPr>
        <w:t xml:space="preserve"> (‘the Kenton-on-Sea scheme</w:t>
      </w:r>
      <w:r w:rsidR="00256354" w:rsidRPr="007B0231">
        <w:rPr>
          <w:rFonts w:ascii="Arial" w:hAnsi="Arial" w:cs="Arial"/>
          <w:sz w:val="24"/>
          <w:szCs w:val="24"/>
        </w:rPr>
        <w:t>’)</w:t>
      </w:r>
      <w:r w:rsidR="007504A5" w:rsidRPr="007B0231">
        <w:rPr>
          <w:rFonts w:ascii="Arial" w:hAnsi="Arial" w:cs="Arial"/>
          <w:sz w:val="24"/>
          <w:szCs w:val="24"/>
        </w:rPr>
        <w:t>, adopted in 1986.</w:t>
      </w:r>
    </w:p>
    <w:p w14:paraId="7F98B38F" w14:textId="77777777" w:rsidR="009E5BAA" w:rsidRPr="009E5BAA" w:rsidRDefault="009E5BAA" w:rsidP="009E5BAA">
      <w:pPr>
        <w:pStyle w:val="ListParagraph"/>
        <w:rPr>
          <w:rFonts w:ascii="Arial" w:hAnsi="Arial" w:cs="Arial"/>
          <w:sz w:val="24"/>
          <w:szCs w:val="24"/>
        </w:rPr>
      </w:pPr>
    </w:p>
    <w:p w14:paraId="11DC8E03" w14:textId="01BD35FE"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20689" w:rsidRPr="007B0231">
        <w:rPr>
          <w:rFonts w:ascii="Arial" w:hAnsi="Arial" w:cs="Arial"/>
          <w:sz w:val="24"/>
          <w:szCs w:val="24"/>
        </w:rPr>
        <w:t>Consequently</w:t>
      </w:r>
      <w:r w:rsidR="006215FE" w:rsidRPr="007B0231">
        <w:rPr>
          <w:rFonts w:ascii="Arial" w:hAnsi="Arial" w:cs="Arial"/>
          <w:sz w:val="24"/>
          <w:szCs w:val="24"/>
        </w:rPr>
        <w:t xml:space="preserve">, the fourth respondent submitted building plans for </w:t>
      </w:r>
      <w:r w:rsidR="00126013" w:rsidRPr="007B0231">
        <w:rPr>
          <w:rFonts w:ascii="Arial" w:hAnsi="Arial" w:cs="Arial"/>
          <w:sz w:val="24"/>
          <w:szCs w:val="24"/>
        </w:rPr>
        <w:t>a dwelling unit to be constructed on the property</w:t>
      </w:r>
      <w:r w:rsidR="00605CC2" w:rsidRPr="007B0231">
        <w:rPr>
          <w:rFonts w:ascii="Arial" w:hAnsi="Arial" w:cs="Arial"/>
          <w:sz w:val="24"/>
          <w:szCs w:val="24"/>
        </w:rPr>
        <w:t>, which were approved</w:t>
      </w:r>
      <w:r w:rsidR="00126013" w:rsidRPr="007B0231">
        <w:rPr>
          <w:rFonts w:ascii="Arial" w:hAnsi="Arial" w:cs="Arial"/>
          <w:sz w:val="24"/>
          <w:szCs w:val="24"/>
        </w:rPr>
        <w:t xml:space="preserve">. </w:t>
      </w:r>
      <w:r w:rsidR="00D61003" w:rsidRPr="007B0231">
        <w:rPr>
          <w:rFonts w:ascii="Arial" w:hAnsi="Arial" w:cs="Arial"/>
          <w:sz w:val="24"/>
          <w:szCs w:val="24"/>
        </w:rPr>
        <w:t xml:space="preserve">The fourth respondent </w:t>
      </w:r>
      <w:r w:rsidR="003628B4" w:rsidRPr="007B0231">
        <w:rPr>
          <w:rFonts w:ascii="Arial" w:hAnsi="Arial" w:cs="Arial"/>
          <w:sz w:val="24"/>
          <w:szCs w:val="24"/>
        </w:rPr>
        <w:t>took</w:t>
      </w:r>
      <w:r w:rsidR="00605CC2" w:rsidRPr="007B0231">
        <w:rPr>
          <w:rFonts w:ascii="Arial" w:hAnsi="Arial" w:cs="Arial"/>
          <w:sz w:val="24"/>
          <w:szCs w:val="24"/>
        </w:rPr>
        <w:t xml:space="preserve"> occupation of the property after construction had been completed.</w:t>
      </w:r>
      <w:r w:rsidR="003628B4" w:rsidRPr="007B0231">
        <w:rPr>
          <w:rFonts w:ascii="Arial" w:hAnsi="Arial" w:cs="Arial"/>
          <w:sz w:val="24"/>
          <w:szCs w:val="24"/>
        </w:rPr>
        <w:t xml:space="preserve"> </w:t>
      </w:r>
    </w:p>
    <w:p w14:paraId="5540B645" w14:textId="77777777" w:rsidR="009E5BAA" w:rsidRPr="009E5BAA" w:rsidRDefault="009E5BAA" w:rsidP="009E5BAA">
      <w:pPr>
        <w:pStyle w:val="ListParagraph"/>
        <w:rPr>
          <w:rFonts w:ascii="Arial" w:hAnsi="Arial" w:cs="Arial"/>
          <w:sz w:val="24"/>
          <w:szCs w:val="24"/>
        </w:rPr>
      </w:pPr>
    </w:p>
    <w:p w14:paraId="2B5AA199" w14:textId="426A50E9"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D7E2D" w:rsidRPr="007B0231">
        <w:rPr>
          <w:rFonts w:ascii="Arial" w:hAnsi="Arial" w:cs="Arial"/>
          <w:sz w:val="24"/>
          <w:szCs w:val="24"/>
        </w:rPr>
        <w:t>T</w:t>
      </w:r>
      <w:r w:rsidR="00886B6D" w:rsidRPr="007B0231">
        <w:rPr>
          <w:rFonts w:ascii="Arial" w:hAnsi="Arial" w:cs="Arial"/>
          <w:sz w:val="24"/>
          <w:szCs w:val="24"/>
        </w:rPr>
        <w:t>he applicant</w:t>
      </w:r>
      <w:r w:rsidR="00853B8A" w:rsidRPr="007B0231">
        <w:rPr>
          <w:rFonts w:ascii="Arial" w:hAnsi="Arial" w:cs="Arial"/>
          <w:sz w:val="24"/>
          <w:szCs w:val="24"/>
        </w:rPr>
        <w:t xml:space="preserve"> </w:t>
      </w:r>
      <w:r w:rsidR="00605CC2" w:rsidRPr="007B0231">
        <w:rPr>
          <w:rFonts w:ascii="Arial" w:hAnsi="Arial" w:cs="Arial"/>
          <w:sz w:val="24"/>
          <w:szCs w:val="24"/>
        </w:rPr>
        <w:t xml:space="preserve">in due course </w:t>
      </w:r>
      <w:r w:rsidR="00886B6D" w:rsidRPr="007B0231">
        <w:rPr>
          <w:rFonts w:ascii="Arial" w:hAnsi="Arial" w:cs="Arial"/>
          <w:sz w:val="24"/>
          <w:szCs w:val="24"/>
        </w:rPr>
        <w:t xml:space="preserve">lodged a complaint with the municipality, pointing out that </w:t>
      </w:r>
      <w:r w:rsidR="00F46281" w:rsidRPr="007B0231">
        <w:rPr>
          <w:rFonts w:ascii="Arial" w:hAnsi="Arial" w:cs="Arial"/>
          <w:sz w:val="24"/>
          <w:szCs w:val="24"/>
        </w:rPr>
        <w:t>the fourth respondent was operating a guesthouse.</w:t>
      </w:r>
      <w:r w:rsidR="00257B6F" w:rsidRPr="007B0231">
        <w:rPr>
          <w:rFonts w:ascii="Arial" w:hAnsi="Arial" w:cs="Arial"/>
          <w:sz w:val="24"/>
          <w:szCs w:val="24"/>
        </w:rPr>
        <w:t xml:space="preserve"> Mr Teixeira explains </w:t>
      </w:r>
      <w:r w:rsidR="004049CE" w:rsidRPr="007B0231">
        <w:rPr>
          <w:rFonts w:ascii="Arial" w:hAnsi="Arial" w:cs="Arial"/>
          <w:sz w:val="24"/>
          <w:szCs w:val="24"/>
        </w:rPr>
        <w:t xml:space="preserve">that the fourth respondent initially </w:t>
      </w:r>
      <w:r w:rsidR="00412C15" w:rsidRPr="007B0231">
        <w:rPr>
          <w:rFonts w:ascii="Arial" w:hAnsi="Arial" w:cs="Arial"/>
          <w:sz w:val="24"/>
          <w:szCs w:val="24"/>
        </w:rPr>
        <w:t>listed two rooms on the Airbnb</w:t>
      </w:r>
      <w:r w:rsidR="00464FFE" w:rsidRPr="007B0231">
        <w:rPr>
          <w:rFonts w:ascii="Arial" w:hAnsi="Arial" w:cs="Arial"/>
          <w:sz w:val="24"/>
          <w:szCs w:val="24"/>
        </w:rPr>
        <w:t xml:space="preserve"> online </w:t>
      </w:r>
      <w:r w:rsidR="005B45CF" w:rsidRPr="007B0231">
        <w:rPr>
          <w:rFonts w:ascii="Arial" w:hAnsi="Arial" w:cs="Arial"/>
          <w:sz w:val="24"/>
          <w:szCs w:val="24"/>
        </w:rPr>
        <w:t xml:space="preserve">accommodation </w:t>
      </w:r>
      <w:r w:rsidR="00E0103D" w:rsidRPr="007B0231">
        <w:rPr>
          <w:rFonts w:ascii="Arial" w:hAnsi="Arial" w:cs="Arial"/>
          <w:sz w:val="24"/>
          <w:szCs w:val="24"/>
        </w:rPr>
        <w:t xml:space="preserve">website, but strong </w:t>
      </w:r>
      <w:r w:rsidR="00E40F69" w:rsidRPr="007B0231">
        <w:rPr>
          <w:rFonts w:ascii="Arial" w:hAnsi="Arial" w:cs="Arial"/>
          <w:sz w:val="24"/>
          <w:szCs w:val="24"/>
        </w:rPr>
        <w:t>market</w:t>
      </w:r>
      <w:r w:rsidR="002F14DA" w:rsidRPr="007B0231">
        <w:rPr>
          <w:rFonts w:ascii="Arial" w:hAnsi="Arial" w:cs="Arial"/>
          <w:sz w:val="24"/>
          <w:szCs w:val="24"/>
        </w:rPr>
        <w:t xml:space="preserve"> demand</w:t>
      </w:r>
      <w:r w:rsidR="00FB3412" w:rsidRPr="007B0231">
        <w:rPr>
          <w:rFonts w:ascii="Arial" w:hAnsi="Arial" w:cs="Arial"/>
          <w:sz w:val="24"/>
          <w:szCs w:val="24"/>
        </w:rPr>
        <w:t xml:space="preserve"> pro</w:t>
      </w:r>
      <w:r w:rsidR="00015F86" w:rsidRPr="007B0231">
        <w:rPr>
          <w:rFonts w:ascii="Arial" w:hAnsi="Arial" w:cs="Arial"/>
          <w:sz w:val="24"/>
          <w:szCs w:val="24"/>
        </w:rPr>
        <w:t>mpt</w:t>
      </w:r>
      <w:r w:rsidR="00E0103D" w:rsidRPr="007B0231">
        <w:rPr>
          <w:rFonts w:ascii="Arial" w:hAnsi="Arial" w:cs="Arial"/>
          <w:sz w:val="24"/>
          <w:szCs w:val="24"/>
        </w:rPr>
        <w:t>ed</w:t>
      </w:r>
      <w:r w:rsidR="00015F86" w:rsidRPr="007B0231">
        <w:rPr>
          <w:rFonts w:ascii="Arial" w:hAnsi="Arial" w:cs="Arial"/>
          <w:sz w:val="24"/>
          <w:szCs w:val="24"/>
        </w:rPr>
        <w:t xml:space="preserve"> the fourth respondent to </w:t>
      </w:r>
      <w:r w:rsidR="00A94BBA" w:rsidRPr="007B0231">
        <w:rPr>
          <w:rFonts w:ascii="Arial" w:hAnsi="Arial" w:cs="Arial"/>
          <w:sz w:val="24"/>
          <w:szCs w:val="24"/>
        </w:rPr>
        <w:t xml:space="preserve">begin renting </w:t>
      </w:r>
      <w:r w:rsidR="0036385F" w:rsidRPr="007B0231">
        <w:rPr>
          <w:rFonts w:ascii="Arial" w:hAnsi="Arial" w:cs="Arial"/>
          <w:sz w:val="24"/>
          <w:szCs w:val="24"/>
        </w:rPr>
        <w:t xml:space="preserve">out </w:t>
      </w:r>
      <w:r w:rsidR="00F30C21" w:rsidRPr="007B0231">
        <w:rPr>
          <w:rFonts w:ascii="Arial" w:hAnsi="Arial" w:cs="Arial"/>
          <w:sz w:val="24"/>
          <w:szCs w:val="24"/>
        </w:rPr>
        <w:t>all</w:t>
      </w:r>
      <w:r w:rsidR="0036385F" w:rsidRPr="007B0231">
        <w:rPr>
          <w:rFonts w:ascii="Arial" w:hAnsi="Arial" w:cs="Arial"/>
          <w:sz w:val="24"/>
          <w:szCs w:val="24"/>
        </w:rPr>
        <w:t xml:space="preserve"> its </w:t>
      </w:r>
      <w:r w:rsidR="00F30C21" w:rsidRPr="007B0231">
        <w:rPr>
          <w:rFonts w:ascii="Arial" w:hAnsi="Arial" w:cs="Arial"/>
          <w:sz w:val="24"/>
          <w:szCs w:val="24"/>
        </w:rPr>
        <w:t xml:space="preserve">rooms. </w:t>
      </w:r>
      <w:r w:rsidR="00477F64" w:rsidRPr="007B0231">
        <w:rPr>
          <w:rFonts w:ascii="Arial" w:hAnsi="Arial" w:cs="Arial"/>
          <w:sz w:val="24"/>
          <w:szCs w:val="24"/>
        </w:rPr>
        <w:t xml:space="preserve">The municipality had, in the meanwhile, </w:t>
      </w:r>
      <w:r w:rsidR="009C6A8B" w:rsidRPr="007B0231">
        <w:rPr>
          <w:rFonts w:ascii="Arial" w:hAnsi="Arial" w:cs="Arial"/>
          <w:sz w:val="24"/>
          <w:szCs w:val="24"/>
        </w:rPr>
        <w:t xml:space="preserve">served a contravention notice </w:t>
      </w:r>
      <w:r w:rsidR="00B30F99" w:rsidRPr="007B0231">
        <w:rPr>
          <w:rFonts w:ascii="Arial" w:hAnsi="Arial" w:cs="Arial"/>
          <w:sz w:val="24"/>
          <w:szCs w:val="24"/>
        </w:rPr>
        <w:t xml:space="preserve">under the provisions of </w:t>
      </w:r>
      <w:r w:rsidR="001B22E1" w:rsidRPr="007B0231">
        <w:rPr>
          <w:rFonts w:ascii="Arial" w:hAnsi="Arial" w:cs="Arial"/>
          <w:sz w:val="24"/>
          <w:szCs w:val="24"/>
        </w:rPr>
        <w:t xml:space="preserve">its </w:t>
      </w:r>
      <w:r w:rsidR="00234746" w:rsidRPr="007B0231">
        <w:rPr>
          <w:rFonts w:ascii="Arial" w:hAnsi="Arial" w:cs="Arial"/>
          <w:sz w:val="24"/>
          <w:szCs w:val="24"/>
        </w:rPr>
        <w:t xml:space="preserve">By-law on </w:t>
      </w:r>
      <w:r w:rsidR="001B22E1" w:rsidRPr="007B0231">
        <w:rPr>
          <w:rFonts w:ascii="Arial" w:hAnsi="Arial" w:cs="Arial"/>
          <w:sz w:val="24"/>
          <w:szCs w:val="24"/>
        </w:rPr>
        <w:t>Spatial Planning and Land Use Management</w:t>
      </w:r>
      <w:r w:rsidR="00E56C24" w:rsidRPr="007B0231">
        <w:rPr>
          <w:rFonts w:ascii="Arial" w:hAnsi="Arial" w:cs="Arial"/>
          <w:sz w:val="24"/>
          <w:szCs w:val="24"/>
        </w:rPr>
        <w:t xml:space="preserve">, 2015 (‘the </w:t>
      </w:r>
      <w:r w:rsidR="00C863A8" w:rsidRPr="007B0231">
        <w:rPr>
          <w:rFonts w:ascii="Arial" w:hAnsi="Arial" w:cs="Arial"/>
          <w:sz w:val="24"/>
          <w:szCs w:val="24"/>
        </w:rPr>
        <w:t xml:space="preserve">SPLUM </w:t>
      </w:r>
      <w:r w:rsidR="00E56C24" w:rsidRPr="007B0231">
        <w:rPr>
          <w:rFonts w:ascii="Arial" w:hAnsi="Arial" w:cs="Arial"/>
          <w:sz w:val="24"/>
          <w:szCs w:val="24"/>
        </w:rPr>
        <w:t>By-law’).</w:t>
      </w:r>
      <w:r w:rsidR="007D43D1" w:rsidRPr="007B0231">
        <w:rPr>
          <w:rFonts w:ascii="Arial" w:hAnsi="Arial" w:cs="Arial"/>
          <w:sz w:val="24"/>
          <w:szCs w:val="24"/>
        </w:rPr>
        <w:t xml:space="preserve"> This</w:t>
      </w:r>
      <w:r w:rsidR="00E0103D" w:rsidRPr="007B0231">
        <w:rPr>
          <w:rFonts w:ascii="Arial" w:hAnsi="Arial" w:cs="Arial"/>
          <w:sz w:val="24"/>
          <w:szCs w:val="24"/>
        </w:rPr>
        <w:t xml:space="preserve"> led to the </w:t>
      </w:r>
      <w:r w:rsidR="00955885" w:rsidRPr="007B0231">
        <w:rPr>
          <w:rFonts w:ascii="Arial" w:hAnsi="Arial" w:cs="Arial"/>
          <w:sz w:val="24"/>
          <w:szCs w:val="24"/>
        </w:rPr>
        <w:t xml:space="preserve">fourth respondent’s </w:t>
      </w:r>
      <w:r w:rsidR="00E0103D" w:rsidRPr="007B0231">
        <w:rPr>
          <w:rFonts w:ascii="Arial" w:hAnsi="Arial" w:cs="Arial"/>
          <w:sz w:val="24"/>
          <w:szCs w:val="24"/>
        </w:rPr>
        <w:t xml:space="preserve">submission of its departure and removal application, on the advice of </w:t>
      </w:r>
      <w:r w:rsidR="00275771" w:rsidRPr="007B0231">
        <w:rPr>
          <w:rFonts w:ascii="Arial" w:hAnsi="Arial" w:cs="Arial"/>
          <w:sz w:val="24"/>
          <w:szCs w:val="24"/>
        </w:rPr>
        <w:t>Mr Hindes</w:t>
      </w:r>
      <w:r w:rsidR="00D422EE" w:rsidRPr="007B0231">
        <w:rPr>
          <w:rFonts w:ascii="Arial" w:hAnsi="Arial" w:cs="Arial"/>
          <w:sz w:val="24"/>
          <w:szCs w:val="24"/>
        </w:rPr>
        <w:t xml:space="preserve">. </w:t>
      </w:r>
    </w:p>
    <w:p w14:paraId="4EF6318A" w14:textId="77777777" w:rsidR="009E5BAA" w:rsidRPr="009E5BAA" w:rsidRDefault="009E5BAA" w:rsidP="009E5BAA">
      <w:pPr>
        <w:pStyle w:val="ListParagraph"/>
        <w:rPr>
          <w:rFonts w:ascii="Arial" w:hAnsi="Arial" w:cs="Arial"/>
          <w:sz w:val="24"/>
          <w:szCs w:val="24"/>
        </w:rPr>
      </w:pPr>
    </w:p>
    <w:p w14:paraId="2973BC24" w14:textId="27FAA81E" w:rsidR="009E5BAA" w:rsidRPr="007B0231" w:rsidRDefault="007B0231" w:rsidP="007B0231">
      <w:pPr>
        <w:spacing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F03EE4" w:rsidRPr="007B0231">
        <w:rPr>
          <w:rFonts w:ascii="Arial" w:hAnsi="Arial" w:cs="Arial"/>
          <w:sz w:val="24"/>
          <w:szCs w:val="24"/>
        </w:rPr>
        <w:t xml:space="preserve">Prior to the </w:t>
      </w:r>
      <w:r w:rsidR="00976CA3" w:rsidRPr="007B0231">
        <w:rPr>
          <w:rFonts w:ascii="Arial" w:hAnsi="Arial" w:cs="Arial"/>
          <w:sz w:val="24"/>
          <w:szCs w:val="24"/>
        </w:rPr>
        <w:t xml:space="preserve">sitting of the tribunal, </w:t>
      </w:r>
      <w:r w:rsidR="00AD7E78" w:rsidRPr="007B0231">
        <w:rPr>
          <w:rFonts w:ascii="Arial" w:hAnsi="Arial" w:cs="Arial"/>
          <w:sz w:val="24"/>
          <w:szCs w:val="24"/>
        </w:rPr>
        <w:t xml:space="preserve">the municipality received </w:t>
      </w:r>
      <w:r w:rsidR="00265CE2" w:rsidRPr="007B0231">
        <w:rPr>
          <w:rFonts w:ascii="Arial" w:hAnsi="Arial" w:cs="Arial"/>
          <w:sz w:val="24"/>
          <w:szCs w:val="24"/>
        </w:rPr>
        <w:t>additional</w:t>
      </w:r>
      <w:r w:rsidR="00AD7E78" w:rsidRPr="007B0231">
        <w:rPr>
          <w:rFonts w:ascii="Arial" w:hAnsi="Arial" w:cs="Arial"/>
          <w:sz w:val="24"/>
          <w:szCs w:val="24"/>
        </w:rPr>
        <w:t xml:space="preserve"> complaints about the guesthouse</w:t>
      </w:r>
      <w:r w:rsidR="00A75DA7" w:rsidRPr="007B0231">
        <w:rPr>
          <w:rFonts w:ascii="Arial" w:hAnsi="Arial" w:cs="Arial"/>
          <w:sz w:val="24"/>
          <w:szCs w:val="24"/>
        </w:rPr>
        <w:t xml:space="preserve">. </w:t>
      </w:r>
      <w:r w:rsidR="00E0103D" w:rsidRPr="007B0231">
        <w:rPr>
          <w:rFonts w:ascii="Arial" w:hAnsi="Arial" w:cs="Arial"/>
          <w:sz w:val="24"/>
          <w:szCs w:val="24"/>
        </w:rPr>
        <w:t xml:space="preserve">It </w:t>
      </w:r>
      <w:r w:rsidR="00A75DA7" w:rsidRPr="007B0231">
        <w:rPr>
          <w:rFonts w:ascii="Arial" w:hAnsi="Arial" w:cs="Arial"/>
          <w:sz w:val="24"/>
          <w:szCs w:val="24"/>
        </w:rPr>
        <w:t>serv</w:t>
      </w:r>
      <w:r w:rsidR="00E0103D" w:rsidRPr="007B0231">
        <w:rPr>
          <w:rFonts w:ascii="Arial" w:hAnsi="Arial" w:cs="Arial"/>
          <w:sz w:val="24"/>
          <w:szCs w:val="24"/>
        </w:rPr>
        <w:t>ed</w:t>
      </w:r>
      <w:r w:rsidR="00A75DA7" w:rsidRPr="007B0231">
        <w:rPr>
          <w:rFonts w:ascii="Arial" w:hAnsi="Arial" w:cs="Arial"/>
          <w:sz w:val="24"/>
          <w:szCs w:val="24"/>
        </w:rPr>
        <w:t xml:space="preserve"> </w:t>
      </w:r>
      <w:r w:rsidR="00265CE2" w:rsidRPr="007B0231">
        <w:rPr>
          <w:rFonts w:ascii="Arial" w:hAnsi="Arial" w:cs="Arial"/>
          <w:sz w:val="24"/>
          <w:szCs w:val="24"/>
        </w:rPr>
        <w:t xml:space="preserve">a </w:t>
      </w:r>
      <w:r w:rsidR="00A75DA7" w:rsidRPr="007B0231">
        <w:rPr>
          <w:rFonts w:ascii="Arial" w:hAnsi="Arial" w:cs="Arial"/>
          <w:sz w:val="24"/>
          <w:szCs w:val="24"/>
        </w:rPr>
        <w:t xml:space="preserve">further </w:t>
      </w:r>
      <w:r w:rsidR="00265CE2" w:rsidRPr="007B0231">
        <w:rPr>
          <w:rFonts w:ascii="Arial" w:hAnsi="Arial" w:cs="Arial"/>
          <w:sz w:val="24"/>
          <w:szCs w:val="24"/>
        </w:rPr>
        <w:t>contravention notice</w:t>
      </w:r>
      <w:r w:rsidR="00A04947" w:rsidRPr="007B0231">
        <w:rPr>
          <w:rFonts w:ascii="Arial" w:hAnsi="Arial" w:cs="Arial"/>
          <w:sz w:val="24"/>
          <w:szCs w:val="24"/>
        </w:rPr>
        <w:t>.</w:t>
      </w:r>
      <w:r w:rsidR="00E0103D" w:rsidRPr="007B0231">
        <w:rPr>
          <w:rFonts w:ascii="Arial" w:hAnsi="Arial" w:cs="Arial"/>
          <w:sz w:val="24"/>
          <w:szCs w:val="24"/>
        </w:rPr>
        <w:t xml:space="preserve"> Mr Teixeira states that </w:t>
      </w:r>
      <w:r w:rsidR="00CA57B3" w:rsidRPr="007B0231">
        <w:rPr>
          <w:rFonts w:ascii="Arial" w:hAnsi="Arial" w:cs="Arial"/>
          <w:sz w:val="24"/>
          <w:szCs w:val="24"/>
        </w:rPr>
        <w:t xml:space="preserve">Mr Hindes informed </w:t>
      </w:r>
      <w:r w:rsidR="00014DB5" w:rsidRPr="007B0231">
        <w:rPr>
          <w:rFonts w:ascii="Arial" w:hAnsi="Arial" w:cs="Arial"/>
          <w:sz w:val="24"/>
          <w:szCs w:val="24"/>
        </w:rPr>
        <w:t xml:space="preserve">the municipality </w:t>
      </w:r>
      <w:r w:rsidR="00101F1A" w:rsidRPr="007B0231">
        <w:rPr>
          <w:rFonts w:ascii="Arial" w:hAnsi="Arial" w:cs="Arial"/>
          <w:sz w:val="24"/>
          <w:szCs w:val="24"/>
        </w:rPr>
        <w:t>that the fourth respondent had appointed a full-time manager</w:t>
      </w:r>
      <w:r w:rsidR="00144597" w:rsidRPr="007B0231">
        <w:rPr>
          <w:rFonts w:ascii="Arial" w:hAnsi="Arial" w:cs="Arial"/>
          <w:sz w:val="24"/>
          <w:szCs w:val="24"/>
        </w:rPr>
        <w:t xml:space="preserve"> who would </w:t>
      </w:r>
      <w:r w:rsidR="00162400" w:rsidRPr="007B0231">
        <w:rPr>
          <w:rFonts w:ascii="Arial" w:hAnsi="Arial" w:cs="Arial"/>
          <w:sz w:val="24"/>
          <w:szCs w:val="24"/>
        </w:rPr>
        <w:t xml:space="preserve">live on </w:t>
      </w:r>
      <w:r w:rsidR="00101F1A" w:rsidRPr="007B0231">
        <w:rPr>
          <w:rFonts w:ascii="Arial" w:hAnsi="Arial" w:cs="Arial"/>
          <w:sz w:val="24"/>
          <w:szCs w:val="24"/>
        </w:rPr>
        <w:t>the property</w:t>
      </w:r>
      <w:r w:rsidR="00103060" w:rsidRPr="007B0231">
        <w:rPr>
          <w:rFonts w:ascii="Arial" w:hAnsi="Arial" w:cs="Arial"/>
          <w:sz w:val="24"/>
          <w:szCs w:val="24"/>
        </w:rPr>
        <w:t xml:space="preserve">. </w:t>
      </w:r>
      <w:r w:rsidR="00144597" w:rsidRPr="007B0231">
        <w:rPr>
          <w:rFonts w:ascii="Arial" w:hAnsi="Arial" w:cs="Arial"/>
          <w:sz w:val="24"/>
          <w:szCs w:val="24"/>
        </w:rPr>
        <w:t>For this purpose</w:t>
      </w:r>
      <w:r w:rsidR="00103060" w:rsidRPr="007B0231">
        <w:rPr>
          <w:rFonts w:ascii="Arial" w:hAnsi="Arial" w:cs="Arial"/>
          <w:sz w:val="24"/>
          <w:szCs w:val="24"/>
        </w:rPr>
        <w:t xml:space="preserve">, </w:t>
      </w:r>
      <w:r w:rsidR="00E0103D" w:rsidRPr="007B0231">
        <w:rPr>
          <w:rFonts w:ascii="Arial" w:hAnsi="Arial" w:cs="Arial"/>
          <w:sz w:val="24"/>
          <w:szCs w:val="24"/>
        </w:rPr>
        <w:t xml:space="preserve">it </w:t>
      </w:r>
      <w:r w:rsidR="00103060" w:rsidRPr="007B0231">
        <w:rPr>
          <w:rFonts w:ascii="Arial" w:hAnsi="Arial" w:cs="Arial"/>
          <w:sz w:val="24"/>
          <w:szCs w:val="24"/>
        </w:rPr>
        <w:t xml:space="preserve">had </w:t>
      </w:r>
      <w:r w:rsidR="00D34B13" w:rsidRPr="007B0231">
        <w:rPr>
          <w:rFonts w:ascii="Arial" w:hAnsi="Arial" w:cs="Arial"/>
          <w:sz w:val="24"/>
          <w:szCs w:val="24"/>
        </w:rPr>
        <w:t xml:space="preserve">reduced the number of </w:t>
      </w:r>
      <w:r w:rsidR="00382144" w:rsidRPr="007B0231">
        <w:rPr>
          <w:rFonts w:ascii="Arial" w:hAnsi="Arial" w:cs="Arial"/>
          <w:sz w:val="24"/>
          <w:szCs w:val="24"/>
        </w:rPr>
        <w:t xml:space="preserve">guest suites </w:t>
      </w:r>
      <w:r w:rsidR="00315138" w:rsidRPr="007B0231">
        <w:rPr>
          <w:rFonts w:ascii="Arial" w:hAnsi="Arial" w:cs="Arial"/>
          <w:sz w:val="24"/>
          <w:szCs w:val="24"/>
        </w:rPr>
        <w:t xml:space="preserve">to seven </w:t>
      </w:r>
      <w:r w:rsidR="00577F29" w:rsidRPr="007B0231">
        <w:rPr>
          <w:rFonts w:ascii="Arial" w:hAnsi="Arial" w:cs="Arial"/>
          <w:sz w:val="24"/>
          <w:szCs w:val="24"/>
        </w:rPr>
        <w:t>and</w:t>
      </w:r>
      <w:r w:rsidR="00671208" w:rsidRPr="007B0231">
        <w:rPr>
          <w:rFonts w:ascii="Arial" w:hAnsi="Arial" w:cs="Arial"/>
          <w:sz w:val="24"/>
          <w:szCs w:val="24"/>
        </w:rPr>
        <w:t xml:space="preserve"> had erected screens and planted vegetation</w:t>
      </w:r>
      <w:r w:rsidR="007F6693" w:rsidRPr="007B0231">
        <w:rPr>
          <w:rFonts w:ascii="Arial" w:hAnsi="Arial" w:cs="Arial"/>
          <w:sz w:val="24"/>
          <w:szCs w:val="24"/>
        </w:rPr>
        <w:t xml:space="preserve"> to minimise the impact of activities</w:t>
      </w:r>
      <w:r w:rsidR="00002009" w:rsidRPr="007B0231">
        <w:rPr>
          <w:rFonts w:ascii="Arial" w:hAnsi="Arial" w:cs="Arial"/>
          <w:sz w:val="24"/>
          <w:szCs w:val="24"/>
        </w:rPr>
        <w:t xml:space="preserve"> on the privacy of adjacent properties.</w:t>
      </w:r>
    </w:p>
    <w:p w14:paraId="58057663" w14:textId="77777777" w:rsidR="009E5BAA" w:rsidRPr="009E5BAA" w:rsidRDefault="009E5BAA" w:rsidP="009E5BAA">
      <w:pPr>
        <w:pStyle w:val="ListParagraph"/>
        <w:rPr>
          <w:rFonts w:ascii="Arial" w:hAnsi="Arial" w:cs="Arial"/>
          <w:sz w:val="24"/>
          <w:szCs w:val="24"/>
        </w:rPr>
      </w:pPr>
    </w:p>
    <w:p w14:paraId="6B4D780D" w14:textId="11C7DFCB"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745E4" w:rsidRPr="007B0231">
        <w:rPr>
          <w:rFonts w:ascii="Arial" w:hAnsi="Arial" w:cs="Arial"/>
          <w:sz w:val="24"/>
          <w:szCs w:val="24"/>
        </w:rPr>
        <w:t xml:space="preserve">Mr </w:t>
      </w:r>
      <w:r w:rsidR="007D53E2" w:rsidRPr="007B0231">
        <w:rPr>
          <w:rFonts w:ascii="Arial" w:hAnsi="Arial" w:cs="Arial"/>
          <w:sz w:val="24"/>
          <w:szCs w:val="24"/>
        </w:rPr>
        <w:t>Teixeira does not dispute the applicant’s description of t</w:t>
      </w:r>
      <w:r w:rsidR="00BC7484" w:rsidRPr="007B0231">
        <w:rPr>
          <w:rFonts w:ascii="Arial" w:hAnsi="Arial" w:cs="Arial"/>
          <w:sz w:val="24"/>
          <w:szCs w:val="24"/>
        </w:rPr>
        <w:t>he</w:t>
      </w:r>
      <w:r w:rsidR="005E0211" w:rsidRPr="007B0231">
        <w:rPr>
          <w:rFonts w:ascii="Arial" w:hAnsi="Arial" w:cs="Arial"/>
          <w:sz w:val="24"/>
          <w:szCs w:val="24"/>
        </w:rPr>
        <w:t xml:space="preserve"> </w:t>
      </w:r>
      <w:r w:rsidR="000A305F" w:rsidRPr="007B0231">
        <w:rPr>
          <w:rFonts w:ascii="Arial" w:hAnsi="Arial" w:cs="Arial"/>
          <w:sz w:val="24"/>
          <w:szCs w:val="24"/>
        </w:rPr>
        <w:t>proceedings in relation to the decisions of the tribunal and appeal authority</w:t>
      </w:r>
      <w:r w:rsidR="00A8042B" w:rsidRPr="007B0231">
        <w:rPr>
          <w:rFonts w:ascii="Arial" w:hAnsi="Arial" w:cs="Arial"/>
          <w:sz w:val="24"/>
          <w:szCs w:val="24"/>
        </w:rPr>
        <w:t xml:space="preserve">. </w:t>
      </w:r>
      <w:r w:rsidR="0064634E" w:rsidRPr="007B0231">
        <w:rPr>
          <w:rFonts w:ascii="Arial" w:hAnsi="Arial" w:cs="Arial"/>
          <w:sz w:val="24"/>
          <w:szCs w:val="24"/>
        </w:rPr>
        <w:t xml:space="preserve">He avers </w:t>
      </w:r>
      <w:r w:rsidR="002E3260" w:rsidRPr="007B0231">
        <w:rPr>
          <w:rFonts w:ascii="Arial" w:hAnsi="Arial" w:cs="Arial"/>
          <w:sz w:val="24"/>
          <w:szCs w:val="24"/>
        </w:rPr>
        <w:t xml:space="preserve">that </w:t>
      </w:r>
      <w:r w:rsidR="00481B15" w:rsidRPr="007B0231">
        <w:rPr>
          <w:rFonts w:ascii="Arial" w:hAnsi="Arial" w:cs="Arial"/>
          <w:sz w:val="24"/>
          <w:szCs w:val="24"/>
        </w:rPr>
        <w:t>the applicant and her spouse</w:t>
      </w:r>
      <w:r w:rsidR="006C725F" w:rsidRPr="007B0231">
        <w:rPr>
          <w:rFonts w:ascii="Arial" w:hAnsi="Arial" w:cs="Arial"/>
          <w:sz w:val="24"/>
          <w:szCs w:val="24"/>
        </w:rPr>
        <w:t xml:space="preserve"> reside permanently in Johannesburg</w:t>
      </w:r>
      <w:r w:rsidR="004D0BD2" w:rsidRPr="007B0231">
        <w:rPr>
          <w:rFonts w:ascii="Arial" w:hAnsi="Arial" w:cs="Arial"/>
          <w:sz w:val="24"/>
          <w:szCs w:val="24"/>
        </w:rPr>
        <w:t xml:space="preserve"> and that t</w:t>
      </w:r>
      <w:r w:rsidR="006C725F" w:rsidRPr="007B0231">
        <w:rPr>
          <w:rFonts w:ascii="Arial" w:hAnsi="Arial" w:cs="Arial"/>
          <w:sz w:val="24"/>
          <w:szCs w:val="24"/>
        </w:rPr>
        <w:t xml:space="preserve">hey </w:t>
      </w:r>
      <w:r w:rsidR="00300C50" w:rsidRPr="007B0231">
        <w:rPr>
          <w:rFonts w:ascii="Arial" w:hAnsi="Arial" w:cs="Arial"/>
          <w:sz w:val="24"/>
          <w:szCs w:val="24"/>
        </w:rPr>
        <w:t>use erf 1488 as their holiday ho</w:t>
      </w:r>
      <w:r w:rsidR="00CA2029" w:rsidRPr="007B0231">
        <w:rPr>
          <w:rFonts w:ascii="Arial" w:hAnsi="Arial" w:cs="Arial"/>
          <w:sz w:val="24"/>
          <w:szCs w:val="24"/>
        </w:rPr>
        <w:t>me</w:t>
      </w:r>
      <w:r w:rsidR="00535D43" w:rsidRPr="007B0231">
        <w:rPr>
          <w:rFonts w:ascii="Arial" w:hAnsi="Arial" w:cs="Arial"/>
          <w:sz w:val="24"/>
          <w:szCs w:val="24"/>
        </w:rPr>
        <w:t xml:space="preserve">, </w:t>
      </w:r>
      <w:r w:rsidR="006C725F" w:rsidRPr="007B0231">
        <w:rPr>
          <w:rFonts w:ascii="Arial" w:hAnsi="Arial" w:cs="Arial"/>
          <w:sz w:val="24"/>
          <w:szCs w:val="24"/>
        </w:rPr>
        <w:t>visit</w:t>
      </w:r>
      <w:r w:rsidR="00535D43" w:rsidRPr="007B0231">
        <w:rPr>
          <w:rFonts w:ascii="Arial" w:hAnsi="Arial" w:cs="Arial"/>
          <w:sz w:val="24"/>
          <w:szCs w:val="24"/>
        </w:rPr>
        <w:t>ing</w:t>
      </w:r>
      <w:r w:rsidR="006C725F" w:rsidRPr="007B0231">
        <w:rPr>
          <w:rFonts w:ascii="Arial" w:hAnsi="Arial" w:cs="Arial"/>
          <w:sz w:val="24"/>
          <w:szCs w:val="24"/>
        </w:rPr>
        <w:t xml:space="preserve"> </w:t>
      </w:r>
      <w:r w:rsidR="00CA2029" w:rsidRPr="007B0231">
        <w:rPr>
          <w:rFonts w:ascii="Arial" w:hAnsi="Arial" w:cs="Arial"/>
          <w:sz w:val="24"/>
          <w:szCs w:val="24"/>
        </w:rPr>
        <w:t>it infrequently.</w:t>
      </w:r>
      <w:r w:rsidR="00377D47" w:rsidRPr="007B0231">
        <w:rPr>
          <w:rFonts w:ascii="Arial" w:hAnsi="Arial" w:cs="Arial"/>
          <w:sz w:val="24"/>
          <w:szCs w:val="24"/>
        </w:rPr>
        <w:t xml:space="preserve"> </w:t>
      </w:r>
      <w:r w:rsidR="0064634E" w:rsidRPr="007B0231">
        <w:rPr>
          <w:rFonts w:ascii="Arial" w:hAnsi="Arial" w:cs="Arial"/>
          <w:sz w:val="24"/>
          <w:szCs w:val="24"/>
        </w:rPr>
        <w:t>T</w:t>
      </w:r>
      <w:r w:rsidR="000213B3" w:rsidRPr="007B0231">
        <w:rPr>
          <w:rFonts w:ascii="Arial" w:hAnsi="Arial" w:cs="Arial"/>
          <w:sz w:val="24"/>
          <w:szCs w:val="24"/>
        </w:rPr>
        <w:t xml:space="preserve">he view from </w:t>
      </w:r>
      <w:r w:rsidR="00B12B61" w:rsidRPr="007B0231">
        <w:rPr>
          <w:rFonts w:ascii="Arial" w:hAnsi="Arial" w:cs="Arial"/>
          <w:sz w:val="24"/>
          <w:szCs w:val="24"/>
        </w:rPr>
        <w:t>erf 1483</w:t>
      </w:r>
      <w:r w:rsidR="00143222" w:rsidRPr="007B0231">
        <w:rPr>
          <w:rFonts w:ascii="Arial" w:hAnsi="Arial" w:cs="Arial"/>
          <w:sz w:val="24"/>
          <w:szCs w:val="24"/>
        </w:rPr>
        <w:t xml:space="preserve"> is </w:t>
      </w:r>
      <w:r w:rsidR="0064634E" w:rsidRPr="007B0231">
        <w:rPr>
          <w:rFonts w:ascii="Arial" w:hAnsi="Arial" w:cs="Arial"/>
          <w:sz w:val="24"/>
          <w:szCs w:val="24"/>
        </w:rPr>
        <w:t xml:space="preserve">over, </w:t>
      </w:r>
      <w:r w:rsidR="000B4CC5" w:rsidRPr="007B0231">
        <w:rPr>
          <w:rFonts w:ascii="Arial" w:hAnsi="Arial" w:cs="Arial"/>
          <w:sz w:val="24"/>
          <w:szCs w:val="24"/>
        </w:rPr>
        <w:t xml:space="preserve">not of, </w:t>
      </w:r>
      <w:r w:rsidR="00143222" w:rsidRPr="007B0231">
        <w:rPr>
          <w:rFonts w:ascii="Arial" w:hAnsi="Arial" w:cs="Arial"/>
          <w:sz w:val="24"/>
          <w:szCs w:val="24"/>
        </w:rPr>
        <w:t xml:space="preserve">the applicant’s property, which she </w:t>
      </w:r>
      <w:r w:rsidR="007370C4" w:rsidRPr="007B0231">
        <w:rPr>
          <w:rFonts w:ascii="Arial" w:hAnsi="Arial" w:cs="Arial"/>
          <w:sz w:val="24"/>
          <w:szCs w:val="24"/>
        </w:rPr>
        <w:t>seldom occupies</w:t>
      </w:r>
      <w:r w:rsidR="00163906" w:rsidRPr="007B0231">
        <w:rPr>
          <w:rFonts w:ascii="Arial" w:hAnsi="Arial" w:cs="Arial"/>
          <w:sz w:val="24"/>
          <w:szCs w:val="24"/>
        </w:rPr>
        <w:t xml:space="preserve">. </w:t>
      </w:r>
      <w:r w:rsidR="0064634E" w:rsidRPr="007B0231">
        <w:rPr>
          <w:rFonts w:ascii="Arial" w:hAnsi="Arial" w:cs="Arial"/>
          <w:sz w:val="24"/>
          <w:szCs w:val="24"/>
        </w:rPr>
        <w:t>Mr Teixeira</w:t>
      </w:r>
      <w:r w:rsidR="00163906" w:rsidRPr="007B0231">
        <w:rPr>
          <w:rFonts w:ascii="Arial" w:hAnsi="Arial" w:cs="Arial"/>
          <w:sz w:val="24"/>
          <w:szCs w:val="24"/>
        </w:rPr>
        <w:t xml:space="preserve"> admits that the guesthouse receives a steady </w:t>
      </w:r>
      <w:r w:rsidR="00233C1D" w:rsidRPr="007B0231">
        <w:rPr>
          <w:rFonts w:ascii="Arial" w:hAnsi="Arial" w:cs="Arial"/>
          <w:sz w:val="24"/>
          <w:szCs w:val="24"/>
        </w:rPr>
        <w:t xml:space="preserve">stream of visitors but </w:t>
      </w:r>
      <w:r w:rsidR="0064634E" w:rsidRPr="007B0231">
        <w:rPr>
          <w:rFonts w:ascii="Arial" w:hAnsi="Arial" w:cs="Arial"/>
          <w:sz w:val="24"/>
          <w:szCs w:val="24"/>
        </w:rPr>
        <w:t xml:space="preserve">says </w:t>
      </w:r>
      <w:r w:rsidR="00DE74A9" w:rsidRPr="007B0231">
        <w:rPr>
          <w:rFonts w:ascii="Arial" w:hAnsi="Arial" w:cs="Arial"/>
          <w:sz w:val="24"/>
          <w:szCs w:val="24"/>
        </w:rPr>
        <w:t>that</w:t>
      </w:r>
      <w:r w:rsidR="00233C1D" w:rsidRPr="007B0231">
        <w:rPr>
          <w:rFonts w:ascii="Arial" w:hAnsi="Arial" w:cs="Arial"/>
          <w:sz w:val="24"/>
          <w:szCs w:val="24"/>
        </w:rPr>
        <w:t xml:space="preserve"> they comprise individuals or couples, not large groups</w:t>
      </w:r>
      <w:r w:rsidR="0064634E" w:rsidRPr="007B0231">
        <w:rPr>
          <w:rFonts w:ascii="Arial" w:hAnsi="Arial" w:cs="Arial"/>
          <w:sz w:val="24"/>
          <w:szCs w:val="24"/>
        </w:rPr>
        <w:t xml:space="preserve">; they </w:t>
      </w:r>
      <w:r w:rsidR="00DE74A9" w:rsidRPr="007B0231">
        <w:rPr>
          <w:rFonts w:ascii="Arial" w:hAnsi="Arial" w:cs="Arial"/>
          <w:sz w:val="24"/>
          <w:szCs w:val="24"/>
        </w:rPr>
        <w:t>do not c</w:t>
      </w:r>
      <w:r w:rsidR="0064634E" w:rsidRPr="007B0231">
        <w:rPr>
          <w:rFonts w:ascii="Arial" w:hAnsi="Arial" w:cs="Arial"/>
          <w:sz w:val="24"/>
          <w:szCs w:val="24"/>
        </w:rPr>
        <w:t>reate</w:t>
      </w:r>
      <w:r w:rsidR="00DE74A9" w:rsidRPr="007B0231">
        <w:rPr>
          <w:rFonts w:ascii="Arial" w:hAnsi="Arial" w:cs="Arial"/>
          <w:sz w:val="24"/>
          <w:szCs w:val="24"/>
        </w:rPr>
        <w:t xml:space="preserve"> </w:t>
      </w:r>
      <w:r w:rsidR="000B4CC5" w:rsidRPr="007B0231">
        <w:rPr>
          <w:rFonts w:ascii="Arial" w:hAnsi="Arial" w:cs="Arial"/>
          <w:sz w:val="24"/>
          <w:szCs w:val="24"/>
        </w:rPr>
        <w:t>a noise</w:t>
      </w:r>
      <w:r w:rsidR="007D6C00" w:rsidRPr="007B0231">
        <w:rPr>
          <w:rFonts w:ascii="Arial" w:hAnsi="Arial" w:cs="Arial"/>
          <w:sz w:val="24"/>
          <w:szCs w:val="24"/>
        </w:rPr>
        <w:t>. T</w:t>
      </w:r>
      <w:r w:rsidR="00EF77A8" w:rsidRPr="007B0231">
        <w:rPr>
          <w:rFonts w:ascii="Arial" w:hAnsi="Arial" w:cs="Arial"/>
          <w:sz w:val="24"/>
          <w:szCs w:val="24"/>
        </w:rPr>
        <w:t xml:space="preserve">he </w:t>
      </w:r>
      <w:r w:rsidR="00E44D05" w:rsidRPr="007B0231">
        <w:rPr>
          <w:rFonts w:ascii="Arial" w:hAnsi="Arial" w:cs="Arial"/>
          <w:sz w:val="24"/>
          <w:szCs w:val="24"/>
        </w:rPr>
        <w:t>establishment employs three permanent and three casual staff</w:t>
      </w:r>
      <w:r w:rsidR="00D660B9" w:rsidRPr="007B0231">
        <w:rPr>
          <w:rFonts w:ascii="Arial" w:hAnsi="Arial" w:cs="Arial"/>
          <w:sz w:val="24"/>
          <w:szCs w:val="24"/>
        </w:rPr>
        <w:t>.</w:t>
      </w:r>
      <w:r w:rsidR="00CC0736" w:rsidRPr="007B0231">
        <w:rPr>
          <w:rFonts w:ascii="Arial" w:hAnsi="Arial" w:cs="Arial"/>
          <w:sz w:val="24"/>
          <w:szCs w:val="24"/>
        </w:rPr>
        <w:t xml:space="preserve"> A</w:t>
      </w:r>
      <w:r w:rsidR="008353A3" w:rsidRPr="007B0231">
        <w:rPr>
          <w:rFonts w:ascii="Arial" w:hAnsi="Arial" w:cs="Arial"/>
          <w:sz w:val="24"/>
          <w:szCs w:val="24"/>
        </w:rPr>
        <w:t xml:space="preserve">s a tourist attraction, Kenton-on-Sea </w:t>
      </w:r>
      <w:r w:rsidR="00AF5371" w:rsidRPr="007B0231">
        <w:rPr>
          <w:rFonts w:ascii="Arial" w:hAnsi="Arial" w:cs="Arial"/>
          <w:sz w:val="24"/>
          <w:szCs w:val="24"/>
        </w:rPr>
        <w:t>needs accommodation facilities</w:t>
      </w:r>
      <w:r w:rsidR="004F342A" w:rsidRPr="007B0231">
        <w:rPr>
          <w:rFonts w:ascii="Arial" w:hAnsi="Arial" w:cs="Arial"/>
          <w:sz w:val="24"/>
          <w:szCs w:val="24"/>
        </w:rPr>
        <w:t xml:space="preserve"> and</w:t>
      </w:r>
      <w:r w:rsidR="00CC0736" w:rsidRPr="007B0231">
        <w:rPr>
          <w:rFonts w:ascii="Arial" w:hAnsi="Arial" w:cs="Arial"/>
          <w:sz w:val="24"/>
          <w:szCs w:val="24"/>
        </w:rPr>
        <w:t xml:space="preserve"> t</w:t>
      </w:r>
      <w:r w:rsidR="00AF5371" w:rsidRPr="007B0231">
        <w:rPr>
          <w:rFonts w:ascii="Arial" w:hAnsi="Arial" w:cs="Arial"/>
          <w:sz w:val="24"/>
          <w:szCs w:val="24"/>
        </w:rPr>
        <w:t>here are</w:t>
      </w:r>
      <w:r w:rsidR="007C5562" w:rsidRPr="007B0231">
        <w:rPr>
          <w:rFonts w:ascii="Arial" w:hAnsi="Arial" w:cs="Arial"/>
          <w:sz w:val="24"/>
          <w:szCs w:val="24"/>
        </w:rPr>
        <w:t xml:space="preserve"> at least 132 guesthouses or </w:t>
      </w:r>
      <w:r w:rsidR="00DD3D04" w:rsidRPr="007B0231">
        <w:rPr>
          <w:rFonts w:ascii="Arial" w:hAnsi="Arial" w:cs="Arial"/>
          <w:sz w:val="24"/>
          <w:szCs w:val="24"/>
        </w:rPr>
        <w:t xml:space="preserve">Airbnb homes </w:t>
      </w:r>
      <w:r w:rsidR="004D0BD2" w:rsidRPr="007B0231">
        <w:rPr>
          <w:rFonts w:ascii="Arial" w:hAnsi="Arial" w:cs="Arial"/>
          <w:sz w:val="24"/>
          <w:szCs w:val="24"/>
        </w:rPr>
        <w:t xml:space="preserve">already </w:t>
      </w:r>
      <w:r w:rsidR="00DD3D04" w:rsidRPr="007B0231">
        <w:rPr>
          <w:rFonts w:ascii="Arial" w:hAnsi="Arial" w:cs="Arial"/>
          <w:sz w:val="24"/>
          <w:szCs w:val="24"/>
        </w:rPr>
        <w:t>listed in the area.</w:t>
      </w:r>
    </w:p>
    <w:p w14:paraId="16036949" w14:textId="77777777" w:rsidR="009E5BAA" w:rsidRPr="009E5BAA" w:rsidRDefault="009E5BAA" w:rsidP="009E5BAA">
      <w:pPr>
        <w:pStyle w:val="ListParagraph"/>
        <w:rPr>
          <w:rFonts w:ascii="Arial" w:hAnsi="Arial" w:cs="Arial"/>
          <w:sz w:val="24"/>
          <w:szCs w:val="24"/>
        </w:rPr>
      </w:pPr>
    </w:p>
    <w:p w14:paraId="32513D62" w14:textId="3590A6AA"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40369" w:rsidRPr="007B0231">
        <w:rPr>
          <w:rFonts w:ascii="Arial" w:hAnsi="Arial" w:cs="Arial"/>
          <w:sz w:val="24"/>
          <w:szCs w:val="24"/>
        </w:rPr>
        <w:t>The fourth respondent ha</w:t>
      </w:r>
      <w:r w:rsidR="00F32A08" w:rsidRPr="007B0231">
        <w:rPr>
          <w:rFonts w:ascii="Arial" w:hAnsi="Arial" w:cs="Arial"/>
          <w:sz w:val="24"/>
          <w:szCs w:val="24"/>
        </w:rPr>
        <w:t xml:space="preserve">s </w:t>
      </w:r>
      <w:r w:rsidR="00040369" w:rsidRPr="007B0231">
        <w:rPr>
          <w:rFonts w:ascii="Arial" w:hAnsi="Arial" w:cs="Arial"/>
          <w:sz w:val="24"/>
          <w:szCs w:val="24"/>
        </w:rPr>
        <w:t>continued to operate the guesthouse</w:t>
      </w:r>
      <w:r w:rsidR="007B0936" w:rsidRPr="007B0231">
        <w:rPr>
          <w:rFonts w:ascii="Arial" w:hAnsi="Arial" w:cs="Arial"/>
          <w:sz w:val="24"/>
          <w:szCs w:val="24"/>
        </w:rPr>
        <w:t xml:space="preserve">, notwithstanding </w:t>
      </w:r>
      <w:r w:rsidR="00637492" w:rsidRPr="007B0231">
        <w:rPr>
          <w:rFonts w:ascii="Arial" w:hAnsi="Arial" w:cs="Arial"/>
          <w:sz w:val="24"/>
          <w:szCs w:val="24"/>
        </w:rPr>
        <w:t xml:space="preserve">receipt of </w:t>
      </w:r>
      <w:r w:rsidR="00EC4EC5" w:rsidRPr="007B0231">
        <w:rPr>
          <w:rFonts w:ascii="Arial" w:hAnsi="Arial" w:cs="Arial"/>
          <w:sz w:val="24"/>
          <w:szCs w:val="24"/>
        </w:rPr>
        <w:t xml:space="preserve">the </w:t>
      </w:r>
      <w:r w:rsidR="00637492" w:rsidRPr="007B0231">
        <w:rPr>
          <w:rFonts w:ascii="Arial" w:hAnsi="Arial" w:cs="Arial"/>
          <w:sz w:val="24"/>
          <w:szCs w:val="24"/>
        </w:rPr>
        <w:t xml:space="preserve">contravention notices. This was because of the delay in the </w:t>
      </w:r>
      <w:r w:rsidR="00C627C5" w:rsidRPr="007B0231">
        <w:rPr>
          <w:rFonts w:ascii="Arial" w:hAnsi="Arial" w:cs="Arial"/>
          <w:sz w:val="24"/>
          <w:szCs w:val="24"/>
        </w:rPr>
        <w:t xml:space="preserve">tribunal’s </w:t>
      </w:r>
      <w:r w:rsidR="00C565CC" w:rsidRPr="007B0231">
        <w:rPr>
          <w:rFonts w:ascii="Arial" w:hAnsi="Arial" w:cs="Arial"/>
          <w:sz w:val="24"/>
          <w:szCs w:val="24"/>
        </w:rPr>
        <w:t>proceedings</w:t>
      </w:r>
      <w:r w:rsidR="00576656" w:rsidRPr="007B0231">
        <w:rPr>
          <w:rFonts w:ascii="Arial" w:hAnsi="Arial" w:cs="Arial"/>
          <w:sz w:val="24"/>
          <w:szCs w:val="24"/>
        </w:rPr>
        <w:t>.</w:t>
      </w:r>
      <w:r w:rsidR="00CF1E77" w:rsidRPr="007B0231">
        <w:rPr>
          <w:rFonts w:ascii="Arial" w:hAnsi="Arial" w:cs="Arial"/>
          <w:sz w:val="24"/>
          <w:szCs w:val="24"/>
        </w:rPr>
        <w:t xml:space="preserve"> </w:t>
      </w:r>
      <w:r w:rsidR="0068392A" w:rsidRPr="007B0231">
        <w:rPr>
          <w:rFonts w:ascii="Arial" w:hAnsi="Arial" w:cs="Arial"/>
          <w:sz w:val="24"/>
          <w:szCs w:val="24"/>
        </w:rPr>
        <w:t>Many other guesthouses do the same, alleges Mr Teixeira</w:t>
      </w:r>
      <w:r w:rsidR="00B244ED" w:rsidRPr="007B0231">
        <w:rPr>
          <w:rFonts w:ascii="Arial" w:hAnsi="Arial" w:cs="Arial"/>
          <w:sz w:val="24"/>
          <w:szCs w:val="24"/>
        </w:rPr>
        <w:t>.</w:t>
      </w:r>
      <w:r w:rsidR="00240506" w:rsidRPr="007B0231">
        <w:rPr>
          <w:rFonts w:ascii="Arial" w:hAnsi="Arial" w:cs="Arial"/>
          <w:sz w:val="24"/>
          <w:szCs w:val="24"/>
        </w:rPr>
        <w:t xml:space="preserve"> </w:t>
      </w:r>
    </w:p>
    <w:p w14:paraId="71ACA04E" w14:textId="77777777" w:rsidR="009E5BAA" w:rsidRPr="009E5BAA" w:rsidRDefault="009E5BAA" w:rsidP="009E5BAA">
      <w:pPr>
        <w:pStyle w:val="ListParagraph"/>
        <w:rPr>
          <w:rFonts w:ascii="Arial" w:hAnsi="Arial" w:cs="Arial"/>
          <w:sz w:val="24"/>
          <w:szCs w:val="24"/>
        </w:rPr>
      </w:pPr>
    </w:p>
    <w:p w14:paraId="1E8C36B0" w14:textId="22FE214C"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60879" w:rsidRPr="007B0231">
        <w:rPr>
          <w:rFonts w:ascii="Arial" w:hAnsi="Arial" w:cs="Arial"/>
          <w:sz w:val="24"/>
          <w:szCs w:val="24"/>
        </w:rPr>
        <w:t xml:space="preserve">Regarding the </w:t>
      </w:r>
      <w:r w:rsidR="0064634E" w:rsidRPr="007B0231">
        <w:rPr>
          <w:rFonts w:ascii="Arial" w:hAnsi="Arial" w:cs="Arial"/>
          <w:sz w:val="24"/>
          <w:szCs w:val="24"/>
        </w:rPr>
        <w:t xml:space="preserve">tribunal’s </w:t>
      </w:r>
      <w:r w:rsidR="002E4D5E" w:rsidRPr="007B0231">
        <w:rPr>
          <w:rFonts w:ascii="Arial" w:hAnsi="Arial" w:cs="Arial"/>
          <w:sz w:val="24"/>
          <w:szCs w:val="24"/>
        </w:rPr>
        <w:t xml:space="preserve">approval </w:t>
      </w:r>
      <w:r w:rsidR="002C451C" w:rsidRPr="007B0231">
        <w:rPr>
          <w:rFonts w:ascii="Arial" w:hAnsi="Arial" w:cs="Arial"/>
          <w:sz w:val="24"/>
          <w:szCs w:val="24"/>
        </w:rPr>
        <w:t xml:space="preserve">of the departure, Mr Teixeira emphasises that the conditions </w:t>
      </w:r>
      <w:r w:rsidR="0064634E" w:rsidRPr="007B0231">
        <w:rPr>
          <w:rFonts w:ascii="Arial" w:hAnsi="Arial" w:cs="Arial"/>
          <w:sz w:val="24"/>
          <w:szCs w:val="24"/>
        </w:rPr>
        <w:t>imposed</w:t>
      </w:r>
      <w:r w:rsidR="006838BD" w:rsidRPr="007B0231">
        <w:rPr>
          <w:rFonts w:ascii="Arial" w:hAnsi="Arial" w:cs="Arial"/>
          <w:sz w:val="24"/>
          <w:szCs w:val="24"/>
        </w:rPr>
        <w:t xml:space="preserve"> will ensure that the </w:t>
      </w:r>
      <w:r w:rsidR="0064634E" w:rsidRPr="007B0231">
        <w:rPr>
          <w:rFonts w:ascii="Arial" w:hAnsi="Arial" w:cs="Arial"/>
          <w:sz w:val="24"/>
          <w:szCs w:val="24"/>
        </w:rPr>
        <w:t xml:space="preserve">activities of the </w:t>
      </w:r>
      <w:r w:rsidR="006838BD" w:rsidRPr="007B0231">
        <w:rPr>
          <w:rFonts w:ascii="Arial" w:hAnsi="Arial" w:cs="Arial"/>
          <w:sz w:val="24"/>
          <w:szCs w:val="24"/>
        </w:rPr>
        <w:t xml:space="preserve">guesthouse </w:t>
      </w:r>
      <w:r w:rsidR="0064634E" w:rsidRPr="007B0231">
        <w:rPr>
          <w:rFonts w:ascii="Arial" w:hAnsi="Arial" w:cs="Arial"/>
          <w:sz w:val="24"/>
          <w:szCs w:val="24"/>
        </w:rPr>
        <w:t>will</w:t>
      </w:r>
      <w:r w:rsidR="006838BD" w:rsidRPr="007B0231">
        <w:rPr>
          <w:rFonts w:ascii="Arial" w:hAnsi="Arial" w:cs="Arial"/>
          <w:sz w:val="24"/>
          <w:szCs w:val="24"/>
        </w:rPr>
        <w:t xml:space="preserve"> not </w:t>
      </w:r>
      <w:r w:rsidR="005642CC" w:rsidRPr="007B0231">
        <w:rPr>
          <w:rFonts w:ascii="Arial" w:hAnsi="Arial" w:cs="Arial"/>
          <w:sz w:val="24"/>
          <w:szCs w:val="24"/>
        </w:rPr>
        <w:t>c</w:t>
      </w:r>
      <w:r w:rsidR="0064634E" w:rsidRPr="007B0231">
        <w:rPr>
          <w:rFonts w:ascii="Arial" w:hAnsi="Arial" w:cs="Arial"/>
          <w:sz w:val="24"/>
          <w:szCs w:val="24"/>
        </w:rPr>
        <w:t>aus</w:t>
      </w:r>
      <w:r w:rsidR="005642CC" w:rsidRPr="007B0231">
        <w:rPr>
          <w:rFonts w:ascii="Arial" w:hAnsi="Arial" w:cs="Arial"/>
          <w:sz w:val="24"/>
          <w:szCs w:val="24"/>
        </w:rPr>
        <w:t xml:space="preserve">e a </w:t>
      </w:r>
      <w:r w:rsidR="002E5F2E" w:rsidRPr="007B0231">
        <w:rPr>
          <w:rFonts w:ascii="Arial" w:hAnsi="Arial" w:cs="Arial"/>
          <w:sz w:val="24"/>
          <w:szCs w:val="24"/>
        </w:rPr>
        <w:t>disturb</w:t>
      </w:r>
      <w:r w:rsidR="005642CC" w:rsidRPr="007B0231">
        <w:rPr>
          <w:rFonts w:ascii="Arial" w:hAnsi="Arial" w:cs="Arial"/>
          <w:sz w:val="24"/>
          <w:szCs w:val="24"/>
        </w:rPr>
        <w:t>ance or infringe the rights of adjacent property owners.</w:t>
      </w:r>
      <w:r w:rsidR="00FC7F1C" w:rsidRPr="007B0231">
        <w:rPr>
          <w:rFonts w:ascii="Arial" w:hAnsi="Arial" w:cs="Arial"/>
          <w:sz w:val="24"/>
          <w:szCs w:val="24"/>
        </w:rPr>
        <w:t xml:space="preserve"> These include condition</w:t>
      </w:r>
      <w:r w:rsidR="0032308C" w:rsidRPr="007B0231">
        <w:rPr>
          <w:rFonts w:ascii="Arial" w:hAnsi="Arial" w:cs="Arial"/>
          <w:sz w:val="24"/>
          <w:szCs w:val="24"/>
        </w:rPr>
        <w:t xml:space="preserve">s to the effect </w:t>
      </w:r>
      <w:r w:rsidR="002E5F2E" w:rsidRPr="007B0231">
        <w:rPr>
          <w:rFonts w:ascii="Arial" w:hAnsi="Arial" w:cs="Arial"/>
          <w:sz w:val="24"/>
          <w:szCs w:val="24"/>
        </w:rPr>
        <w:t xml:space="preserve">that no public or private nuisance </w:t>
      </w:r>
      <w:r w:rsidR="00F7695B" w:rsidRPr="007B0231">
        <w:rPr>
          <w:rFonts w:ascii="Arial" w:hAnsi="Arial" w:cs="Arial"/>
          <w:sz w:val="24"/>
          <w:szCs w:val="24"/>
        </w:rPr>
        <w:t>is to be caused</w:t>
      </w:r>
      <w:r w:rsidR="00934C77" w:rsidRPr="007B0231">
        <w:rPr>
          <w:rFonts w:ascii="Arial" w:hAnsi="Arial" w:cs="Arial"/>
          <w:sz w:val="24"/>
          <w:szCs w:val="24"/>
        </w:rPr>
        <w:t xml:space="preserve">, that the municipality </w:t>
      </w:r>
      <w:r w:rsidR="006F54F6" w:rsidRPr="007B0231">
        <w:rPr>
          <w:rFonts w:ascii="Arial" w:hAnsi="Arial" w:cs="Arial"/>
          <w:sz w:val="24"/>
          <w:szCs w:val="24"/>
        </w:rPr>
        <w:t>reserve</w:t>
      </w:r>
      <w:r w:rsidR="00472AA6" w:rsidRPr="007B0231">
        <w:rPr>
          <w:rFonts w:ascii="Arial" w:hAnsi="Arial" w:cs="Arial"/>
          <w:sz w:val="24"/>
          <w:szCs w:val="24"/>
        </w:rPr>
        <w:t>s</w:t>
      </w:r>
      <w:r w:rsidR="006F54F6" w:rsidRPr="007B0231">
        <w:rPr>
          <w:rFonts w:ascii="Arial" w:hAnsi="Arial" w:cs="Arial"/>
          <w:sz w:val="24"/>
          <w:szCs w:val="24"/>
        </w:rPr>
        <w:t xml:space="preserve"> its right to </w:t>
      </w:r>
      <w:r w:rsidR="004E7E91" w:rsidRPr="007B0231">
        <w:rPr>
          <w:rFonts w:ascii="Arial" w:hAnsi="Arial" w:cs="Arial"/>
          <w:sz w:val="24"/>
          <w:szCs w:val="24"/>
        </w:rPr>
        <w:t xml:space="preserve">inspect the property at regular </w:t>
      </w:r>
      <w:r w:rsidR="00ED743C" w:rsidRPr="007B0231">
        <w:rPr>
          <w:rFonts w:ascii="Arial" w:hAnsi="Arial" w:cs="Arial"/>
          <w:sz w:val="24"/>
          <w:szCs w:val="24"/>
        </w:rPr>
        <w:t>intervals and</w:t>
      </w:r>
      <w:r w:rsidR="009426FE" w:rsidRPr="007B0231">
        <w:rPr>
          <w:rFonts w:ascii="Arial" w:hAnsi="Arial" w:cs="Arial"/>
          <w:sz w:val="24"/>
          <w:szCs w:val="24"/>
        </w:rPr>
        <w:t xml:space="preserve"> </w:t>
      </w:r>
      <w:r w:rsidR="00D4143A" w:rsidRPr="007B0231">
        <w:rPr>
          <w:rFonts w:ascii="Arial" w:hAnsi="Arial" w:cs="Arial"/>
          <w:sz w:val="24"/>
          <w:szCs w:val="24"/>
        </w:rPr>
        <w:t>reserve</w:t>
      </w:r>
      <w:r w:rsidR="00472AA6" w:rsidRPr="007B0231">
        <w:rPr>
          <w:rFonts w:ascii="Arial" w:hAnsi="Arial" w:cs="Arial"/>
          <w:sz w:val="24"/>
          <w:szCs w:val="24"/>
        </w:rPr>
        <w:t>s</w:t>
      </w:r>
      <w:r w:rsidR="00D4143A" w:rsidRPr="007B0231">
        <w:rPr>
          <w:rFonts w:ascii="Arial" w:hAnsi="Arial" w:cs="Arial"/>
          <w:sz w:val="24"/>
          <w:szCs w:val="24"/>
        </w:rPr>
        <w:t xml:space="preserve"> </w:t>
      </w:r>
      <w:r w:rsidR="009426FE" w:rsidRPr="007B0231">
        <w:rPr>
          <w:rFonts w:ascii="Arial" w:hAnsi="Arial" w:cs="Arial"/>
          <w:sz w:val="24"/>
          <w:szCs w:val="24"/>
        </w:rPr>
        <w:t xml:space="preserve">its right </w:t>
      </w:r>
      <w:r w:rsidR="0032308C" w:rsidRPr="007B0231">
        <w:rPr>
          <w:rFonts w:ascii="Arial" w:hAnsi="Arial" w:cs="Arial"/>
          <w:sz w:val="24"/>
          <w:szCs w:val="24"/>
        </w:rPr>
        <w:t>to impose further conditions if necessary.</w:t>
      </w:r>
      <w:r w:rsidR="00ED743C" w:rsidRPr="007B0231">
        <w:rPr>
          <w:rFonts w:ascii="Arial" w:hAnsi="Arial" w:cs="Arial"/>
          <w:sz w:val="24"/>
          <w:szCs w:val="24"/>
        </w:rPr>
        <w:t xml:space="preserve"> He also explains that the </w:t>
      </w:r>
      <w:r w:rsidR="00996F85" w:rsidRPr="007B0231">
        <w:rPr>
          <w:rFonts w:ascii="Arial" w:hAnsi="Arial" w:cs="Arial"/>
          <w:sz w:val="24"/>
          <w:szCs w:val="24"/>
        </w:rPr>
        <w:t xml:space="preserve">presence of a full-time manager on the property will discourage </w:t>
      </w:r>
      <w:r w:rsidR="00D7240B" w:rsidRPr="007B0231">
        <w:rPr>
          <w:rFonts w:ascii="Arial" w:hAnsi="Arial" w:cs="Arial"/>
          <w:sz w:val="24"/>
          <w:szCs w:val="24"/>
        </w:rPr>
        <w:t xml:space="preserve">guests from </w:t>
      </w:r>
      <w:r w:rsidR="0064634E" w:rsidRPr="007B0231">
        <w:rPr>
          <w:rFonts w:ascii="Arial" w:hAnsi="Arial" w:cs="Arial"/>
          <w:sz w:val="24"/>
          <w:szCs w:val="24"/>
        </w:rPr>
        <w:t>creat</w:t>
      </w:r>
      <w:r w:rsidR="00D7240B" w:rsidRPr="007B0231">
        <w:rPr>
          <w:rFonts w:ascii="Arial" w:hAnsi="Arial" w:cs="Arial"/>
          <w:sz w:val="24"/>
          <w:szCs w:val="24"/>
        </w:rPr>
        <w:t>ing a noise</w:t>
      </w:r>
      <w:r w:rsidR="00005982" w:rsidRPr="007B0231">
        <w:rPr>
          <w:rFonts w:ascii="Arial" w:hAnsi="Arial" w:cs="Arial"/>
          <w:sz w:val="24"/>
          <w:szCs w:val="24"/>
        </w:rPr>
        <w:t>. Mr Teixeira</w:t>
      </w:r>
      <w:r w:rsidR="00F01620" w:rsidRPr="007B0231">
        <w:rPr>
          <w:rFonts w:ascii="Arial" w:hAnsi="Arial" w:cs="Arial"/>
          <w:sz w:val="24"/>
          <w:szCs w:val="24"/>
        </w:rPr>
        <w:t xml:space="preserve"> </w:t>
      </w:r>
      <w:r w:rsidR="00D7240B" w:rsidRPr="007B0231">
        <w:rPr>
          <w:rFonts w:ascii="Arial" w:hAnsi="Arial" w:cs="Arial"/>
          <w:sz w:val="24"/>
          <w:szCs w:val="24"/>
        </w:rPr>
        <w:t xml:space="preserve">mentions, too, that </w:t>
      </w:r>
      <w:r w:rsidR="00077BE2" w:rsidRPr="007B0231">
        <w:rPr>
          <w:rFonts w:ascii="Arial" w:hAnsi="Arial" w:cs="Arial"/>
          <w:sz w:val="24"/>
          <w:szCs w:val="24"/>
        </w:rPr>
        <w:t>he and another director of the fourth respondent live on either side of the property</w:t>
      </w:r>
      <w:r w:rsidR="0064634E" w:rsidRPr="007B0231">
        <w:rPr>
          <w:rFonts w:ascii="Arial" w:hAnsi="Arial" w:cs="Arial"/>
          <w:sz w:val="24"/>
          <w:szCs w:val="24"/>
        </w:rPr>
        <w:t xml:space="preserve">; it would be </w:t>
      </w:r>
      <w:r w:rsidR="00F01620" w:rsidRPr="007B0231">
        <w:rPr>
          <w:rFonts w:ascii="Arial" w:hAnsi="Arial" w:cs="Arial"/>
          <w:sz w:val="24"/>
          <w:szCs w:val="24"/>
        </w:rPr>
        <w:t xml:space="preserve">in their own interests to </w:t>
      </w:r>
      <w:r w:rsidR="00E91C7D" w:rsidRPr="007B0231">
        <w:rPr>
          <w:rFonts w:ascii="Arial" w:hAnsi="Arial" w:cs="Arial"/>
          <w:sz w:val="24"/>
          <w:szCs w:val="24"/>
        </w:rPr>
        <w:t xml:space="preserve">ensure that no disturbances </w:t>
      </w:r>
      <w:r w:rsidR="004A7ACA" w:rsidRPr="007B0231">
        <w:rPr>
          <w:rFonts w:ascii="Arial" w:hAnsi="Arial" w:cs="Arial"/>
          <w:sz w:val="24"/>
          <w:szCs w:val="24"/>
        </w:rPr>
        <w:t>we</w:t>
      </w:r>
      <w:r w:rsidR="00E91C7D" w:rsidRPr="007B0231">
        <w:rPr>
          <w:rFonts w:ascii="Arial" w:hAnsi="Arial" w:cs="Arial"/>
          <w:sz w:val="24"/>
          <w:szCs w:val="24"/>
        </w:rPr>
        <w:t xml:space="preserve">re </w:t>
      </w:r>
      <w:r w:rsidR="00E91C7D" w:rsidRPr="007B0231">
        <w:rPr>
          <w:rFonts w:ascii="Arial" w:hAnsi="Arial" w:cs="Arial"/>
          <w:sz w:val="24"/>
          <w:szCs w:val="24"/>
        </w:rPr>
        <w:lastRenderedPageBreak/>
        <w:t>c</w:t>
      </w:r>
      <w:r w:rsidR="0064634E" w:rsidRPr="007B0231">
        <w:rPr>
          <w:rFonts w:ascii="Arial" w:hAnsi="Arial" w:cs="Arial"/>
          <w:sz w:val="24"/>
          <w:szCs w:val="24"/>
        </w:rPr>
        <w:t>aused</w:t>
      </w:r>
      <w:r w:rsidR="001A3A33" w:rsidRPr="007B0231">
        <w:rPr>
          <w:rFonts w:ascii="Arial" w:hAnsi="Arial" w:cs="Arial"/>
          <w:sz w:val="24"/>
          <w:szCs w:val="24"/>
        </w:rPr>
        <w:t xml:space="preserve">. </w:t>
      </w:r>
      <w:r w:rsidR="009B4CCA" w:rsidRPr="007B0231">
        <w:rPr>
          <w:rFonts w:ascii="Arial" w:hAnsi="Arial" w:cs="Arial"/>
          <w:sz w:val="24"/>
          <w:szCs w:val="24"/>
        </w:rPr>
        <w:t>The applicant and her spouse, contends Mr Teixeira, were not blameless</w:t>
      </w:r>
      <w:r w:rsidR="004A7ACA" w:rsidRPr="007B0231">
        <w:rPr>
          <w:rFonts w:ascii="Arial" w:hAnsi="Arial" w:cs="Arial"/>
          <w:sz w:val="24"/>
          <w:szCs w:val="24"/>
        </w:rPr>
        <w:t xml:space="preserve">. They </w:t>
      </w:r>
      <w:r w:rsidR="00CB1BFE" w:rsidRPr="007B0231">
        <w:rPr>
          <w:rFonts w:ascii="Arial" w:hAnsi="Arial" w:cs="Arial"/>
          <w:sz w:val="24"/>
          <w:szCs w:val="24"/>
        </w:rPr>
        <w:t xml:space="preserve">would often </w:t>
      </w:r>
      <w:r w:rsidR="00530548" w:rsidRPr="007B0231">
        <w:rPr>
          <w:rFonts w:ascii="Arial" w:hAnsi="Arial" w:cs="Arial"/>
          <w:sz w:val="24"/>
          <w:szCs w:val="24"/>
        </w:rPr>
        <w:t xml:space="preserve">‘rev’ the engine of their motorboat </w:t>
      </w:r>
      <w:r w:rsidR="00D940DE" w:rsidRPr="007B0231">
        <w:rPr>
          <w:rFonts w:ascii="Arial" w:hAnsi="Arial" w:cs="Arial"/>
          <w:sz w:val="24"/>
          <w:szCs w:val="24"/>
        </w:rPr>
        <w:t>at night.</w:t>
      </w:r>
    </w:p>
    <w:p w14:paraId="041AC63F" w14:textId="77777777" w:rsidR="009E5BAA" w:rsidRPr="009E5BAA" w:rsidRDefault="009E5BAA" w:rsidP="009E5BAA">
      <w:pPr>
        <w:pStyle w:val="ListParagraph"/>
        <w:rPr>
          <w:rFonts w:ascii="Arial" w:hAnsi="Arial" w:cs="Arial"/>
          <w:sz w:val="24"/>
          <w:szCs w:val="24"/>
        </w:rPr>
      </w:pPr>
    </w:p>
    <w:p w14:paraId="79617E6E" w14:textId="7CA68F4B" w:rsidR="00CE7FFE" w:rsidRPr="007B0231" w:rsidRDefault="007B0231" w:rsidP="007B0231">
      <w:pPr>
        <w:spacing w:line="360" w:lineRule="auto"/>
        <w:jc w:val="both"/>
        <w:rPr>
          <w:rFonts w:ascii="Arial" w:hAnsi="Arial" w:cs="Arial"/>
          <w:sz w:val="24"/>
          <w:szCs w:val="24"/>
        </w:rPr>
      </w:pPr>
      <w:r w:rsidRPr="009E5BAA">
        <w:rPr>
          <w:rFonts w:ascii="Arial" w:hAnsi="Arial" w:cs="Arial"/>
          <w:sz w:val="24"/>
          <w:szCs w:val="24"/>
        </w:rPr>
        <w:t>[21]</w:t>
      </w:r>
      <w:r w:rsidRPr="009E5BAA">
        <w:rPr>
          <w:rFonts w:ascii="Arial" w:hAnsi="Arial" w:cs="Arial"/>
          <w:sz w:val="24"/>
          <w:szCs w:val="24"/>
        </w:rPr>
        <w:tab/>
      </w:r>
      <w:r w:rsidR="00CE7FFE" w:rsidRPr="007B0231">
        <w:rPr>
          <w:rFonts w:ascii="Arial" w:hAnsi="Arial" w:cs="Arial"/>
          <w:sz w:val="24"/>
          <w:szCs w:val="24"/>
        </w:rPr>
        <w:t>The tribunal’s decision</w:t>
      </w:r>
      <w:r w:rsidR="00933A34" w:rsidRPr="007B0231">
        <w:rPr>
          <w:rFonts w:ascii="Arial" w:hAnsi="Arial" w:cs="Arial"/>
          <w:sz w:val="24"/>
          <w:szCs w:val="24"/>
        </w:rPr>
        <w:t xml:space="preserve"> to grant the application for a departure was correct, asserts Mr Teixeira; it d</w:t>
      </w:r>
      <w:r w:rsidR="00E908C3" w:rsidRPr="007B0231">
        <w:rPr>
          <w:rFonts w:ascii="Arial" w:hAnsi="Arial" w:cs="Arial"/>
          <w:sz w:val="24"/>
          <w:szCs w:val="24"/>
        </w:rPr>
        <w:t>id not amount to a reviewable decision.</w:t>
      </w:r>
    </w:p>
    <w:p w14:paraId="0D242DD9" w14:textId="77777777" w:rsidR="00D559C4" w:rsidRDefault="00D559C4" w:rsidP="00A432A7">
      <w:pPr>
        <w:spacing w:line="360" w:lineRule="auto"/>
        <w:rPr>
          <w:rFonts w:ascii="Arial" w:hAnsi="Arial" w:cs="Arial"/>
          <w:sz w:val="24"/>
          <w:szCs w:val="24"/>
        </w:rPr>
      </w:pPr>
    </w:p>
    <w:p w14:paraId="49FABAEF" w14:textId="5375AB96" w:rsidR="00D559C4" w:rsidRPr="00D559C4" w:rsidRDefault="00D559C4" w:rsidP="009E5BAA">
      <w:pPr>
        <w:spacing w:line="360" w:lineRule="auto"/>
        <w:jc w:val="both"/>
        <w:rPr>
          <w:rFonts w:ascii="Arial" w:hAnsi="Arial" w:cs="Arial"/>
          <w:b/>
          <w:bCs/>
          <w:sz w:val="24"/>
          <w:szCs w:val="24"/>
        </w:rPr>
      </w:pPr>
      <w:r w:rsidRPr="00D559C4">
        <w:rPr>
          <w:rFonts w:ascii="Arial" w:hAnsi="Arial" w:cs="Arial"/>
          <w:b/>
          <w:bCs/>
          <w:sz w:val="24"/>
          <w:szCs w:val="24"/>
        </w:rPr>
        <w:t>In reply</w:t>
      </w:r>
    </w:p>
    <w:p w14:paraId="351706DD" w14:textId="77777777" w:rsidR="00D559C4" w:rsidRDefault="00D559C4" w:rsidP="00A432A7">
      <w:pPr>
        <w:spacing w:line="360" w:lineRule="auto"/>
        <w:rPr>
          <w:rFonts w:ascii="Arial" w:hAnsi="Arial" w:cs="Arial"/>
          <w:sz w:val="24"/>
          <w:szCs w:val="24"/>
        </w:rPr>
      </w:pPr>
    </w:p>
    <w:p w14:paraId="6E364253" w14:textId="322E19B5" w:rsidR="009E5BAA" w:rsidRPr="007B0231" w:rsidRDefault="007B0231" w:rsidP="007B0231">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559C4" w:rsidRPr="007B0231">
        <w:rPr>
          <w:rFonts w:ascii="Arial" w:hAnsi="Arial" w:cs="Arial"/>
          <w:sz w:val="24"/>
          <w:szCs w:val="24"/>
        </w:rPr>
        <w:t>The applicant</w:t>
      </w:r>
      <w:r w:rsidR="00681607" w:rsidRPr="007B0231">
        <w:rPr>
          <w:rFonts w:ascii="Arial" w:hAnsi="Arial" w:cs="Arial"/>
          <w:sz w:val="24"/>
          <w:szCs w:val="24"/>
        </w:rPr>
        <w:t xml:space="preserve">, in reply, </w:t>
      </w:r>
      <w:r w:rsidR="00B1762B" w:rsidRPr="007B0231">
        <w:rPr>
          <w:rFonts w:ascii="Arial" w:hAnsi="Arial" w:cs="Arial"/>
          <w:sz w:val="24"/>
          <w:szCs w:val="24"/>
        </w:rPr>
        <w:t xml:space="preserve">focuses on the </w:t>
      </w:r>
      <w:r w:rsidR="001D4E46" w:rsidRPr="007B0231">
        <w:rPr>
          <w:rFonts w:ascii="Arial" w:hAnsi="Arial" w:cs="Arial"/>
          <w:sz w:val="24"/>
          <w:szCs w:val="24"/>
        </w:rPr>
        <w:t xml:space="preserve">grounds of </w:t>
      </w:r>
      <w:r w:rsidR="00E36162" w:rsidRPr="007B0231">
        <w:rPr>
          <w:rFonts w:ascii="Arial" w:hAnsi="Arial" w:cs="Arial"/>
          <w:sz w:val="24"/>
          <w:szCs w:val="24"/>
        </w:rPr>
        <w:t>her</w:t>
      </w:r>
      <w:r w:rsidR="009D54E4" w:rsidRPr="007B0231">
        <w:rPr>
          <w:rFonts w:ascii="Arial" w:hAnsi="Arial" w:cs="Arial"/>
          <w:sz w:val="24"/>
          <w:szCs w:val="24"/>
        </w:rPr>
        <w:t xml:space="preserve"> review application. She </w:t>
      </w:r>
      <w:r w:rsidR="00F77CB3" w:rsidRPr="007B0231">
        <w:rPr>
          <w:rFonts w:ascii="Arial" w:hAnsi="Arial" w:cs="Arial"/>
          <w:sz w:val="24"/>
          <w:szCs w:val="24"/>
        </w:rPr>
        <w:t xml:space="preserve">reiterates that </w:t>
      </w:r>
      <w:r w:rsidR="00F31D48" w:rsidRPr="007B0231">
        <w:rPr>
          <w:rFonts w:ascii="Arial" w:hAnsi="Arial" w:cs="Arial"/>
          <w:sz w:val="24"/>
          <w:szCs w:val="24"/>
        </w:rPr>
        <w:t xml:space="preserve">erf 1483 </w:t>
      </w:r>
      <w:r w:rsidR="00F77CB3" w:rsidRPr="007B0231">
        <w:rPr>
          <w:rFonts w:ascii="Arial" w:hAnsi="Arial" w:cs="Arial"/>
          <w:sz w:val="24"/>
          <w:szCs w:val="24"/>
        </w:rPr>
        <w:t xml:space="preserve">is </w:t>
      </w:r>
      <w:r w:rsidR="00D42BE4" w:rsidRPr="007B0231">
        <w:rPr>
          <w:rFonts w:ascii="Arial" w:hAnsi="Arial" w:cs="Arial"/>
          <w:sz w:val="24"/>
          <w:szCs w:val="24"/>
        </w:rPr>
        <w:t xml:space="preserve">subject to the restrictive conditions attached to the title deed, including the stipulation that </w:t>
      </w:r>
      <w:r w:rsidR="00B55C2A" w:rsidRPr="007B0231">
        <w:rPr>
          <w:rFonts w:ascii="Arial" w:hAnsi="Arial" w:cs="Arial"/>
          <w:sz w:val="24"/>
          <w:szCs w:val="24"/>
        </w:rPr>
        <w:t xml:space="preserve">it may only be used as a single residence and </w:t>
      </w:r>
      <w:r w:rsidR="00DE7A28" w:rsidRPr="007B0231">
        <w:rPr>
          <w:rFonts w:ascii="Arial" w:hAnsi="Arial" w:cs="Arial"/>
          <w:sz w:val="24"/>
          <w:szCs w:val="24"/>
        </w:rPr>
        <w:t xml:space="preserve">must comply with </w:t>
      </w:r>
      <w:r w:rsidR="00EC1ED6" w:rsidRPr="007B0231">
        <w:rPr>
          <w:rFonts w:ascii="Arial" w:hAnsi="Arial" w:cs="Arial"/>
          <w:sz w:val="24"/>
          <w:szCs w:val="24"/>
        </w:rPr>
        <w:t>its</w:t>
      </w:r>
      <w:r w:rsidR="00DE7A28" w:rsidRPr="007B0231">
        <w:rPr>
          <w:rFonts w:ascii="Arial" w:hAnsi="Arial" w:cs="Arial"/>
          <w:sz w:val="24"/>
          <w:szCs w:val="24"/>
        </w:rPr>
        <w:t xml:space="preserve"> single residential zoning</w:t>
      </w:r>
      <w:r w:rsidR="00EC1ED6" w:rsidRPr="007B0231">
        <w:rPr>
          <w:rFonts w:ascii="Arial" w:hAnsi="Arial" w:cs="Arial"/>
          <w:sz w:val="24"/>
          <w:szCs w:val="24"/>
        </w:rPr>
        <w:t>. A guesthouse may not be operated on the property.</w:t>
      </w:r>
    </w:p>
    <w:p w14:paraId="0E8E3F58" w14:textId="77777777" w:rsidR="009E5BAA" w:rsidRDefault="009E5BAA" w:rsidP="009E5BAA">
      <w:pPr>
        <w:pStyle w:val="ListParagraph"/>
        <w:spacing w:line="360" w:lineRule="auto"/>
        <w:ind w:left="0"/>
        <w:jc w:val="both"/>
        <w:rPr>
          <w:rFonts w:ascii="Arial" w:hAnsi="Arial" w:cs="Arial"/>
          <w:sz w:val="24"/>
          <w:szCs w:val="24"/>
        </w:rPr>
      </w:pPr>
    </w:p>
    <w:p w14:paraId="4DFB491C" w14:textId="7CE71466" w:rsidR="00930C43" w:rsidRPr="007B0231" w:rsidRDefault="007B0231" w:rsidP="007B0231">
      <w:pPr>
        <w:spacing w:line="360" w:lineRule="auto"/>
        <w:jc w:val="both"/>
        <w:rPr>
          <w:rFonts w:ascii="Arial" w:hAnsi="Arial" w:cs="Arial"/>
          <w:sz w:val="24"/>
          <w:szCs w:val="24"/>
        </w:rPr>
      </w:pPr>
      <w:r w:rsidRPr="009E5BAA">
        <w:rPr>
          <w:rFonts w:ascii="Arial" w:hAnsi="Arial" w:cs="Arial"/>
          <w:sz w:val="24"/>
          <w:szCs w:val="24"/>
        </w:rPr>
        <w:t>[23]</w:t>
      </w:r>
      <w:r w:rsidRPr="009E5BAA">
        <w:rPr>
          <w:rFonts w:ascii="Arial" w:hAnsi="Arial" w:cs="Arial"/>
          <w:sz w:val="24"/>
          <w:szCs w:val="24"/>
        </w:rPr>
        <w:tab/>
      </w:r>
      <w:r w:rsidR="00930C43" w:rsidRPr="007B0231">
        <w:rPr>
          <w:rFonts w:ascii="Arial" w:hAnsi="Arial" w:cs="Arial"/>
          <w:sz w:val="24"/>
          <w:szCs w:val="24"/>
        </w:rPr>
        <w:t xml:space="preserve">Furthermore, argues the applicant, the fourth respondent </w:t>
      </w:r>
      <w:r w:rsidR="00F44D1B" w:rsidRPr="007B0231">
        <w:rPr>
          <w:rFonts w:ascii="Arial" w:hAnsi="Arial" w:cs="Arial"/>
          <w:sz w:val="24"/>
          <w:szCs w:val="24"/>
        </w:rPr>
        <w:t xml:space="preserve">applied for a departure. It ought to have applied for </w:t>
      </w:r>
      <w:r w:rsidR="00577941" w:rsidRPr="007B0231">
        <w:rPr>
          <w:rFonts w:ascii="Arial" w:hAnsi="Arial" w:cs="Arial"/>
          <w:sz w:val="24"/>
          <w:szCs w:val="24"/>
        </w:rPr>
        <w:t>consent use.</w:t>
      </w:r>
      <w:r w:rsidR="00F554ED" w:rsidRPr="007B0231">
        <w:rPr>
          <w:rFonts w:ascii="Arial" w:hAnsi="Arial" w:cs="Arial"/>
          <w:sz w:val="24"/>
          <w:szCs w:val="24"/>
        </w:rPr>
        <w:t xml:space="preserve"> The </w:t>
      </w:r>
      <w:r w:rsidR="001C1F68" w:rsidRPr="007B0231">
        <w:rPr>
          <w:rFonts w:ascii="Arial" w:hAnsi="Arial" w:cs="Arial"/>
          <w:sz w:val="24"/>
          <w:szCs w:val="24"/>
        </w:rPr>
        <w:t xml:space="preserve">SPLUM </w:t>
      </w:r>
      <w:r w:rsidR="00F554ED" w:rsidRPr="007B0231">
        <w:rPr>
          <w:rFonts w:ascii="Arial" w:hAnsi="Arial" w:cs="Arial"/>
          <w:sz w:val="24"/>
          <w:szCs w:val="24"/>
        </w:rPr>
        <w:t xml:space="preserve">By-law and the </w:t>
      </w:r>
      <w:r w:rsidR="004A7ACA" w:rsidRPr="007B0231">
        <w:rPr>
          <w:rFonts w:ascii="Arial" w:hAnsi="Arial" w:cs="Arial"/>
          <w:sz w:val="24"/>
          <w:szCs w:val="24"/>
        </w:rPr>
        <w:t xml:space="preserve">municipality’s </w:t>
      </w:r>
      <w:r w:rsidR="0081246B" w:rsidRPr="007B0231">
        <w:rPr>
          <w:rFonts w:ascii="Arial" w:hAnsi="Arial" w:cs="Arial"/>
          <w:sz w:val="24"/>
          <w:szCs w:val="24"/>
        </w:rPr>
        <w:t>l</w:t>
      </w:r>
      <w:r w:rsidR="00F554ED" w:rsidRPr="007B0231">
        <w:rPr>
          <w:rFonts w:ascii="Arial" w:hAnsi="Arial" w:cs="Arial"/>
          <w:sz w:val="24"/>
          <w:szCs w:val="24"/>
        </w:rPr>
        <w:t xml:space="preserve">and </w:t>
      </w:r>
      <w:r w:rsidR="0081246B" w:rsidRPr="007B0231">
        <w:rPr>
          <w:rFonts w:ascii="Arial" w:hAnsi="Arial" w:cs="Arial"/>
          <w:sz w:val="24"/>
          <w:szCs w:val="24"/>
        </w:rPr>
        <w:t>u</w:t>
      </w:r>
      <w:r w:rsidR="00F554ED" w:rsidRPr="007B0231">
        <w:rPr>
          <w:rFonts w:ascii="Arial" w:hAnsi="Arial" w:cs="Arial"/>
          <w:sz w:val="24"/>
          <w:szCs w:val="24"/>
        </w:rPr>
        <w:t xml:space="preserve">se </w:t>
      </w:r>
      <w:r w:rsidR="0081246B" w:rsidRPr="007B0231">
        <w:rPr>
          <w:rFonts w:ascii="Arial" w:hAnsi="Arial" w:cs="Arial"/>
          <w:sz w:val="24"/>
          <w:szCs w:val="24"/>
        </w:rPr>
        <w:t>s</w:t>
      </w:r>
      <w:r w:rsidR="00F554ED" w:rsidRPr="007B0231">
        <w:rPr>
          <w:rFonts w:ascii="Arial" w:hAnsi="Arial" w:cs="Arial"/>
          <w:sz w:val="24"/>
          <w:szCs w:val="24"/>
        </w:rPr>
        <w:t xml:space="preserve">cheme </w:t>
      </w:r>
      <w:r w:rsidR="006F29A8" w:rsidRPr="007B0231">
        <w:rPr>
          <w:rFonts w:ascii="Arial" w:hAnsi="Arial" w:cs="Arial"/>
          <w:sz w:val="24"/>
          <w:szCs w:val="24"/>
        </w:rPr>
        <w:t xml:space="preserve">only permit the granting of a departure in relation to </w:t>
      </w:r>
      <w:r w:rsidR="00D12E8C" w:rsidRPr="007B0231">
        <w:rPr>
          <w:rFonts w:ascii="Arial" w:hAnsi="Arial" w:cs="Arial"/>
          <w:sz w:val="24"/>
          <w:szCs w:val="24"/>
        </w:rPr>
        <w:t>development or construction of a permanent nature.</w:t>
      </w:r>
      <w:r w:rsidR="004C304F" w:rsidRPr="007B0231">
        <w:rPr>
          <w:rFonts w:ascii="Arial" w:hAnsi="Arial" w:cs="Arial"/>
          <w:sz w:val="24"/>
          <w:szCs w:val="24"/>
        </w:rPr>
        <w:t xml:space="preserve"> The tribunal had no authority to approve the fourth respondent’s </w:t>
      </w:r>
      <w:r w:rsidR="0000479B" w:rsidRPr="007B0231">
        <w:rPr>
          <w:rFonts w:ascii="Arial" w:hAnsi="Arial" w:cs="Arial"/>
          <w:sz w:val="24"/>
          <w:szCs w:val="24"/>
        </w:rPr>
        <w:t>application.</w:t>
      </w:r>
      <w:r w:rsidR="00497250" w:rsidRPr="007B0231">
        <w:rPr>
          <w:rFonts w:ascii="Arial" w:hAnsi="Arial" w:cs="Arial"/>
          <w:sz w:val="24"/>
          <w:szCs w:val="24"/>
        </w:rPr>
        <w:t xml:space="preserve"> </w:t>
      </w:r>
      <w:r w:rsidR="00E05E2E" w:rsidRPr="007B0231">
        <w:rPr>
          <w:rFonts w:ascii="Arial" w:hAnsi="Arial" w:cs="Arial"/>
          <w:sz w:val="24"/>
          <w:szCs w:val="24"/>
        </w:rPr>
        <w:t xml:space="preserve">The granting of a departure was not </w:t>
      </w:r>
      <w:r w:rsidR="00583FE5" w:rsidRPr="007B0231">
        <w:rPr>
          <w:rFonts w:ascii="Arial" w:hAnsi="Arial" w:cs="Arial"/>
          <w:sz w:val="24"/>
          <w:szCs w:val="24"/>
        </w:rPr>
        <w:t xml:space="preserve">allowed under the </w:t>
      </w:r>
      <w:r w:rsidR="003E4C6D" w:rsidRPr="007B0231">
        <w:rPr>
          <w:rFonts w:ascii="Arial" w:hAnsi="Arial" w:cs="Arial"/>
          <w:sz w:val="24"/>
          <w:szCs w:val="24"/>
        </w:rPr>
        <w:t>l</w:t>
      </w:r>
      <w:r w:rsidR="006D0CC1" w:rsidRPr="007B0231">
        <w:rPr>
          <w:rFonts w:ascii="Arial" w:hAnsi="Arial" w:cs="Arial"/>
          <w:sz w:val="24"/>
          <w:szCs w:val="24"/>
        </w:rPr>
        <w:t xml:space="preserve">and </w:t>
      </w:r>
      <w:r w:rsidR="003E4C6D" w:rsidRPr="007B0231">
        <w:rPr>
          <w:rFonts w:ascii="Arial" w:hAnsi="Arial" w:cs="Arial"/>
          <w:sz w:val="24"/>
          <w:szCs w:val="24"/>
        </w:rPr>
        <w:t>u</w:t>
      </w:r>
      <w:r w:rsidR="006D0CC1" w:rsidRPr="007B0231">
        <w:rPr>
          <w:rFonts w:ascii="Arial" w:hAnsi="Arial" w:cs="Arial"/>
          <w:sz w:val="24"/>
          <w:szCs w:val="24"/>
        </w:rPr>
        <w:t xml:space="preserve">se </w:t>
      </w:r>
      <w:r w:rsidR="003E4C6D" w:rsidRPr="007B0231">
        <w:rPr>
          <w:rFonts w:ascii="Arial" w:hAnsi="Arial" w:cs="Arial"/>
          <w:sz w:val="24"/>
          <w:szCs w:val="24"/>
        </w:rPr>
        <w:t>s</w:t>
      </w:r>
      <w:r w:rsidR="006D0CC1" w:rsidRPr="007B0231">
        <w:rPr>
          <w:rFonts w:ascii="Arial" w:hAnsi="Arial" w:cs="Arial"/>
          <w:sz w:val="24"/>
          <w:szCs w:val="24"/>
        </w:rPr>
        <w:t xml:space="preserve">cheme; it was also in conflict with the </w:t>
      </w:r>
      <w:r w:rsidR="00AF3D0D" w:rsidRPr="007B0231">
        <w:rPr>
          <w:rFonts w:ascii="Arial" w:hAnsi="Arial" w:cs="Arial"/>
          <w:sz w:val="24"/>
          <w:szCs w:val="24"/>
        </w:rPr>
        <w:t xml:space="preserve">restrictive conditions </w:t>
      </w:r>
      <w:r w:rsidR="00740F4F" w:rsidRPr="007B0231">
        <w:rPr>
          <w:rFonts w:ascii="Arial" w:hAnsi="Arial" w:cs="Arial"/>
          <w:sz w:val="24"/>
          <w:szCs w:val="24"/>
        </w:rPr>
        <w:t xml:space="preserve">of </w:t>
      </w:r>
      <w:r w:rsidR="00DE167D" w:rsidRPr="007B0231">
        <w:rPr>
          <w:rFonts w:ascii="Arial" w:hAnsi="Arial" w:cs="Arial"/>
          <w:sz w:val="24"/>
          <w:szCs w:val="24"/>
        </w:rPr>
        <w:t xml:space="preserve">the </w:t>
      </w:r>
      <w:r w:rsidR="00740F4F" w:rsidRPr="007B0231">
        <w:rPr>
          <w:rFonts w:ascii="Arial" w:hAnsi="Arial" w:cs="Arial"/>
          <w:sz w:val="24"/>
          <w:szCs w:val="24"/>
        </w:rPr>
        <w:t>title</w:t>
      </w:r>
      <w:r w:rsidR="00DE167D" w:rsidRPr="007B0231">
        <w:rPr>
          <w:rFonts w:ascii="Arial" w:hAnsi="Arial" w:cs="Arial"/>
          <w:sz w:val="24"/>
          <w:szCs w:val="24"/>
        </w:rPr>
        <w:t xml:space="preserve"> deed</w:t>
      </w:r>
      <w:r w:rsidR="00740F4F" w:rsidRPr="007B0231">
        <w:rPr>
          <w:rFonts w:ascii="Arial" w:hAnsi="Arial" w:cs="Arial"/>
          <w:sz w:val="24"/>
          <w:szCs w:val="24"/>
        </w:rPr>
        <w:t xml:space="preserve"> </w:t>
      </w:r>
      <w:r w:rsidR="00AF3D0D" w:rsidRPr="007B0231">
        <w:rPr>
          <w:rFonts w:ascii="Arial" w:hAnsi="Arial" w:cs="Arial"/>
          <w:sz w:val="24"/>
          <w:szCs w:val="24"/>
        </w:rPr>
        <w:t xml:space="preserve">and the zoning </w:t>
      </w:r>
      <w:r w:rsidR="00DE167D" w:rsidRPr="007B0231">
        <w:rPr>
          <w:rFonts w:ascii="Arial" w:hAnsi="Arial" w:cs="Arial"/>
          <w:sz w:val="24"/>
          <w:szCs w:val="24"/>
        </w:rPr>
        <w:t>limita</w:t>
      </w:r>
      <w:r w:rsidR="00AF3D0D" w:rsidRPr="007B0231">
        <w:rPr>
          <w:rFonts w:ascii="Arial" w:hAnsi="Arial" w:cs="Arial"/>
          <w:sz w:val="24"/>
          <w:szCs w:val="24"/>
        </w:rPr>
        <w:t>tions.</w:t>
      </w:r>
    </w:p>
    <w:p w14:paraId="3ECACE24" w14:textId="77777777" w:rsidR="00A33E18" w:rsidRDefault="00A33E18" w:rsidP="00A432A7">
      <w:pPr>
        <w:spacing w:line="360" w:lineRule="auto"/>
        <w:rPr>
          <w:rFonts w:ascii="Arial" w:hAnsi="Arial" w:cs="Arial"/>
          <w:sz w:val="24"/>
          <w:szCs w:val="24"/>
        </w:rPr>
      </w:pPr>
    </w:p>
    <w:p w14:paraId="5E9B7573" w14:textId="46EB0111" w:rsidR="00A33E18" w:rsidRPr="001206A5" w:rsidRDefault="001206A5" w:rsidP="00537568">
      <w:pPr>
        <w:spacing w:line="360" w:lineRule="auto"/>
        <w:jc w:val="both"/>
        <w:rPr>
          <w:rFonts w:ascii="Arial" w:hAnsi="Arial" w:cs="Arial"/>
          <w:b/>
          <w:bCs/>
          <w:sz w:val="24"/>
          <w:szCs w:val="24"/>
        </w:rPr>
      </w:pPr>
      <w:r w:rsidRPr="001206A5">
        <w:rPr>
          <w:rFonts w:ascii="Arial" w:hAnsi="Arial" w:cs="Arial"/>
          <w:b/>
          <w:bCs/>
          <w:sz w:val="24"/>
          <w:szCs w:val="24"/>
        </w:rPr>
        <w:t>ISSUES FOR DETERMINATION</w:t>
      </w:r>
    </w:p>
    <w:p w14:paraId="6D3690D5" w14:textId="77777777" w:rsidR="00A33E18" w:rsidRDefault="00A33E18" w:rsidP="00A432A7">
      <w:pPr>
        <w:spacing w:line="360" w:lineRule="auto"/>
        <w:rPr>
          <w:rFonts w:ascii="Arial" w:hAnsi="Arial" w:cs="Arial"/>
          <w:sz w:val="24"/>
          <w:szCs w:val="24"/>
        </w:rPr>
      </w:pPr>
    </w:p>
    <w:p w14:paraId="7A84DC79" w14:textId="2ADF3235"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A7ACA" w:rsidRPr="007B0231">
        <w:rPr>
          <w:rFonts w:ascii="Arial" w:hAnsi="Arial" w:cs="Arial"/>
          <w:sz w:val="24"/>
          <w:szCs w:val="24"/>
        </w:rPr>
        <w:t>There are three main issues to be decided: (a) t</w:t>
      </w:r>
      <w:r w:rsidR="00A33E18" w:rsidRPr="007B0231">
        <w:rPr>
          <w:rFonts w:ascii="Arial" w:hAnsi="Arial" w:cs="Arial"/>
          <w:sz w:val="24"/>
          <w:szCs w:val="24"/>
        </w:rPr>
        <w:t xml:space="preserve">he </w:t>
      </w:r>
      <w:r w:rsidR="001206A5" w:rsidRPr="007B0231">
        <w:rPr>
          <w:rFonts w:ascii="Arial" w:hAnsi="Arial" w:cs="Arial"/>
          <w:sz w:val="24"/>
          <w:szCs w:val="24"/>
        </w:rPr>
        <w:t>applicant</w:t>
      </w:r>
      <w:r w:rsidR="006466C7" w:rsidRPr="007B0231">
        <w:rPr>
          <w:rFonts w:ascii="Arial" w:hAnsi="Arial" w:cs="Arial"/>
          <w:sz w:val="24"/>
          <w:szCs w:val="24"/>
        </w:rPr>
        <w:t xml:space="preserve">’s </w:t>
      </w:r>
      <w:r w:rsidR="004A7ACA" w:rsidRPr="007B0231">
        <w:rPr>
          <w:rFonts w:ascii="Arial" w:hAnsi="Arial" w:cs="Arial"/>
          <w:sz w:val="24"/>
          <w:szCs w:val="24"/>
        </w:rPr>
        <w:t xml:space="preserve">application for condonation in relation to the late filing of her </w:t>
      </w:r>
      <w:r w:rsidR="006466C7" w:rsidRPr="007B0231">
        <w:rPr>
          <w:rFonts w:ascii="Arial" w:hAnsi="Arial" w:cs="Arial"/>
          <w:sz w:val="24"/>
          <w:szCs w:val="24"/>
        </w:rPr>
        <w:t>replying affidavit</w:t>
      </w:r>
      <w:r w:rsidR="004A7ACA" w:rsidRPr="007B0231">
        <w:rPr>
          <w:rFonts w:ascii="Arial" w:hAnsi="Arial" w:cs="Arial"/>
          <w:sz w:val="24"/>
          <w:szCs w:val="24"/>
        </w:rPr>
        <w:t xml:space="preserve">; (b) the applicant’s application for </w:t>
      </w:r>
      <w:r w:rsidR="001170C6" w:rsidRPr="007B0231">
        <w:rPr>
          <w:rFonts w:ascii="Arial" w:hAnsi="Arial" w:cs="Arial"/>
          <w:sz w:val="24"/>
          <w:szCs w:val="24"/>
        </w:rPr>
        <w:t xml:space="preserve">the extension of the </w:t>
      </w:r>
      <w:r w:rsidR="009C048D" w:rsidRPr="007B0231">
        <w:rPr>
          <w:rFonts w:ascii="Arial" w:hAnsi="Arial" w:cs="Arial"/>
          <w:sz w:val="24"/>
          <w:szCs w:val="24"/>
        </w:rPr>
        <w:t xml:space="preserve">180-day </w:t>
      </w:r>
      <w:r w:rsidR="00CA7804" w:rsidRPr="007B0231">
        <w:rPr>
          <w:rFonts w:ascii="Arial" w:hAnsi="Arial" w:cs="Arial"/>
          <w:sz w:val="24"/>
          <w:szCs w:val="24"/>
        </w:rPr>
        <w:t xml:space="preserve">period within which to have brought </w:t>
      </w:r>
      <w:r w:rsidR="009C048D" w:rsidRPr="007B0231">
        <w:rPr>
          <w:rFonts w:ascii="Arial" w:hAnsi="Arial" w:cs="Arial"/>
          <w:sz w:val="24"/>
          <w:szCs w:val="24"/>
        </w:rPr>
        <w:t xml:space="preserve">her review </w:t>
      </w:r>
      <w:r w:rsidR="009C048D" w:rsidRPr="007B0231">
        <w:rPr>
          <w:rFonts w:ascii="Arial" w:hAnsi="Arial" w:cs="Arial"/>
          <w:sz w:val="24"/>
          <w:szCs w:val="24"/>
        </w:rPr>
        <w:lastRenderedPageBreak/>
        <w:t>application</w:t>
      </w:r>
      <w:r w:rsidR="004A7ACA" w:rsidRPr="007B0231">
        <w:rPr>
          <w:rFonts w:ascii="Arial" w:hAnsi="Arial" w:cs="Arial"/>
          <w:sz w:val="24"/>
          <w:szCs w:val="24"/>
        </w:rPr>
        <w:t>;</w:t>
      </w:r>
      <w:r w:rsidR="00102BE3">
        <w:rPr>
          <w:rStyle w:val="FootnoteReference"/>
          <w:rFonts w:ascii="Arial" w:hAnsi="Arial" w:cs="Arial"/>
          <w:sz w:val="24"/>
          <w:szCs w:val="24"/>
        </w:rPr>
        <w:footnoteReference w:id="2"/>
      </w:r>
      <w:r w:rsidR="004A7ACA" w:rsidRPr="007B0231">
        <w:rPr>
          <w:rFonts w:ascii="Arial" w:hAnsi="Arial" w:cs="Arial"/>
          <w:sz w:val="24"/>
          <w:szCs w:val="24"/>
        </w:rPr>
        <w:t xml:space="preserve"> and (c) i</w:t>
      </w:r>
      <w:r w:rsidR="004530C1" w:rsidRPr="007B0231">
        <w:rPr>
          <w:rFonts w:ascii="Arial" w:hAnsi="Arial" w:cs="Arial"/>
          <w:sz w:val="24"/>
          <w:szCs w:val="24"/>
        </w:rPr>
        <w:t xml:space="preserve">f the </w:t>
      </w:r>
      <w:r w:rsidR="004F0868" w:rsidRPr="007B0231">
        <w:rPr>
          <w:rFonts w:ascii="Arial" w:hAnsi="Arial" w:cs="Arial"/>
          <w:sz w:val="24"/>
          <w:szCs w:val="24"/>
        </w:rPr>
        <w:t xml:space="preserve">extension is granted, then whether the </w:t>
      </w:r>
      <w:r w:rsidR="00DB2147" w:rsidRPr="007B0231">
        <w:rPr>
          <w:rFonts w:ascii="Arial" w:hAnsi="Arial" w:cs="Arial"/>
          <w:sz w:val="24"/>
          <w:szCs w:val="24"/>
        </w:rPr>
        <w:t>tribunal</w:t>
      </w:r>
      <w:r w:rsidR="00BE1D0F" w:rsidRPr="007B0231">
        <w:rPr>
          <w:rFonts w:ascii="Arial" w:hAnsi="Arial" w:cs="Arial"/>
          <w:sz w:val="24"/>
          <w:szCs w:val="24"/>
        </w:rPr>
        <w:t xml:space="preserve">’s decision to grant conditional approval for the operation of a guest house on </w:t>
      </w:r>
      <w:r w:rsidR="002B00C3" w:rsidRPr="007B0231">
        <w:rPr>
          <w:rFonts w:ascii="Arial" w:hAnsi="Arial" w:cs="Arial"/>
          <w:sz w:val="24"/>
          <w:szCs w:val="24"/>
        </w:rPr>
        <w:t xml:space="preserve">erf 1483 Kenton-on-Sea, and the appeal authority’s </w:t>
      </w:r>
      <w:r w:rsidR="00D230EF" w:rsidRPr="007B0231">
        <w:rPr>
          <w:rFonts w:ascii="Arial" w:hAnsi="Arial" w:cs="Arial"/>
          <w:sz w:val="24"/>
          <w:szCs w:val="24"/>
        </w:rPr>
        <w:t>decision to dismiss the applicant’s appeal, are reviewable</w:t>
      </w:r>
      <w:r w:rsidR="002F51E0" w:rsidRPr="007B0231">
        <w:rPr>
          <w:rFonts w:ascii="Arial" w:hAnsi="Arial" w:cs="Arial"/>
          <w:sz w:val="24"/>
          <w:szCs w:val="24"/>
        </w:rPr>
        <w:t xml:space="preserve">. </w:t>
      </w:r>
    </w:p>
    <w:p w14:paraId="7D9EB581" w14:textId="77777777" w:rsidR="00537568" w:rsidRDefault="00537568" w:rsidP="00537568">
      <w:pPr>
        <w:pStyle w:val="ListParagraph"/>
        <w:spacing w:line="360" w:lineRule="auto"/>
        <w:ind w:left="0"/>
        <w:jc w:val="both"/>
        <w:rPr>
          <w:rFonts w:ascii="Arial" w:hAnsi="Arial" w:cs="Arial"/>
          <w:sz w:val="24"/>
          <w:szCs w:val="24"/>
        </w:rPr>
      </w:pPr>
    </w:p>
    <w:p w14:paraId="117735A6" w14:textId="508B20D0" w:rsidR="005A3F0C"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t>[25]</w:t>
      </w:r>
      <w:r w:rsidRPr="00537568">
        <w:rPr>
          <w:rFonts w:ascii="Arial" w:hAnsi="Arial" w:cs="Arial"/>
          <w:sz w:val="24"/>
          <w:szCs w:val="24"/>
        </w:rPr>
        <w:tab/>
      </w:r>
      <w:r w:rsidR="005A3F0C" w:rsidRPr="007B0231">
        <w:rPr>
          <w:rFonts w:ascii="Arial" w:hAnsi="Arial" w:cs="Arial"/>
          <w:sz w:val="24"/>
          <w:szCs w:val="24"/>
        </w:rPr>
        <w:t xml:space="preserve">The legislative context for the </w:t>
      </w:r>
      <w:r w:rsidR="001057B5" w:rsidRPr="007B0231">
        <w:rPr>
          <w:rFonts w:ascii="Arial" w:hAnsi="Arial" w:cs="Arial"/>
          <w:sz w:val="24"/>
          <w:szCs w:val="24"/>
        </w:rPr>
        <w:t>matter</w:t>
      </w:r>
      <w:r w:rsidR="00763FCB" w:rsidRPr="007B0231">
        <w:rPr>
          <w:rFonts w:ascii="Arial" w:hAnsi="Arial" w:cs="Arial"/>
          <w:sz w:val="24"/>
          <w:szCs w:val="24"/>
        </w:rPr>
        <w:t xml:space="preserve"> is PAJA</w:t>
      </w:r>
      <w:r w:rsidR="004A7ACA" w:rsidRPr="007B0231">
        <w:rPr>
          <w:rFonts w:ascii="Arial" w:hAnsi="Arial" w:cs="Arial"/>
          <w:sz w:val="24"/>
          <w:szCs w:val="24"/>
        </w:rPr>
        <w:t xml:space="preserve">. This </w:t>
      </w:r>
      <w:r w:rsidR="001505A1" w:rsidRPr="007B0231">
        <w:rPr>
          <w:rFonts w:ascii="Arial" w:hAnsi="Arial" w:cs="Arial"/>
          <w:sz w:val="24"/>
          <w:szCs w:val="24"/>
        </w:rPr>
        <w:t xml:space="preserve">was enacted to give effect to </w:t>
      </w:r>
      <w:r w:rsidR="00C32D92" w:rsidRPr="007B0231">
        <w:rPr>
          <w:rFonts w:ascii="Arial" w:hAnsi="Arial" w:cs="Arial"/>
          <w:sz w:val="24"/>
          <w:szCs w:val="24"/>
        </w:rPr>
        <w:t xml:space="preserve">the constitutional right to </w:t>
      </w:r>
      <w:r w:rsidR="00072EB0" w:rsidRPr="007B0231">
        <w:rPr>
          <w:rFonts w:ascii="Arial" w:hAnsi="Arial" w:cs="Arial"/>
          <w:sz w:val="24"/>
          <w:szCs w:val="24"/>
        </w:rPr>
        <w:t>administrative action that is lawful, reasonable, and procedurally fair.</w:t>
      </w:r>
      <w:r w:rsidR="00072EB0">
        <w:rPr>
          <w:rStyle w:val="FootnoteReference"/>
          <w:rFonts w:ascii="Arial" w:hAnsi="Arial" w:cs="Arial"/>
          <w:sz w:val="24"/>
          <w:szCs w:val="24"/>
        </w:rPr>
        <w:footnoteReference w:id="3"/>
      </w:r>
      <w:r w:rsidR="008140B1" w:rsidRPr="007B0231">
        <w:rPr>
          <w:rFonts w:ascii="Arial" w:hAnsi="Arial" w:cs="Arial"/>
          <w:sz w:val="24"/>
          <w:szCs w:val="24"/>
        </w:rPr>
        <w:t xml:space="preserve"> </w:t>
      </w:r>
      <w:r w:rsidR="003150A9" w:rsidRPr="007B0231">
        <w:rPr>
          <w:rFonts w:ascii="Arial" w:hAnsi="Arial" w:cs="Arial"/>
          <w:sz w:val="24"/>
          <w:szCs w:val="24"/>
        </w:rPr>
        <w:t xml:space="preserve">The applicant, in relation to the third issue identified above, will need to demonstrate </w:t>
      </w:r>
      <w:r w:rsidR="00D365E9" w:rsidRPr="007B0231">
        <w:rPr>
          <w:rFonts w:ascii="Arial" w:hAnsi="Arial" w:cs="Arial"/>
          <w:sz w:val="24"/>
          <w:szCs w:val="24"/>
        </w:rPr>
        <w:t>that there are sufficient grounds for the judicial review of the decisions in question</w:t>
      </w:r>
      <w:r w:rsidR="00760C86" w:rsidRPr="007B0231">
        <w:rPr>
          <w:rFonts w:ascii="Arial" w:hAnsi="Arial" w:cs="Arial"/>
          <w:sz w:val="24"/>
          <w:szCs w:val="24"/>
        </w:rPr>
        <w:t>. The court may grant any order that is just and equitable</w:t>
      </w:r>
      <w:r w:rsidR="009810CE" w:rsidRPr="007B0231">
        <w:rPr>
          <w:rFonts w:ascii="Arial" w:hAnsi="Arial" w:cs="Arial"/>
          <w:sz w:val="24"/>
          <w:szCs w:val="24"/>
        </w:rPr>
        <w:t>.</w:t>
      </w:r>
      <w:r w:rsidR="009810CE">
        <w:rPr>
          <w:rStyle w:val="FootnoteReference"/>
          <w:rFonts w:ascii="Arial" w:hAnsi="Arial" w:cs="Arial"/>
          <w:sz w:val="24"/>
          <w:szCs w:val="24"/>
        </w:rPr>
        <w:footnoteReference w:id="4"/>
      </w:r>
    </w:p>
    <w:p w14:paraId="654BA74C" w14:textId="64B80103" w:rsidR="00A26E6B" w:rsidRDefault="00646CD6" w:rsidP="00537568">
      <w:pPr>
        <w:spacing w:line="360" w:lineRule="auto"/>
        <w:jc w:val="both"/>
        <w:rPr>
          <w:rFonts w:ascii="Arial" w:hAnsi="Arial" w:cs="Arial"/>
          <w:b/>
          <w:bCs/>
          <w:sz w:val="24"/>
          <w:szCs w:val="24"/>
        </w:rPr>
      </w:pPr>
      <w:r w:rsidRPr="00D434AE">
        <w:rPr>
          <w:rFonts w:ascii="Arial" w:hAnsi="Arial" w:cs="Arial"/>
          <w:b/>
          <w:bCs/>
          <w:sz w:val="24"/>
          <w:szCs w:val="24"/>
        </w:rPr>
        <w:t>APPLICATION FOR CONDONATION OF LATE FILING OF REPLYING AFFIDAVIT</w:t>
      </w:r>
    </w:p>
    <w:p w14:paraId="26B2BFB1" w14:textId="77777777" w:rsidR="00862807" w:rsidRDefault="00862807" w:rsidP="00862807">
      <w:pPr>
        <w:pStyle w:val="ListParagraph"/>
        <w:spacing w:line="360" w:lineRule="auto"/>
        <w:ind w:left="0"/>
        <w:jc w:val="both"/>
        <w:rPr>
          <w:rFonts w:ascii="Arial" w:hAnsi="Arial" w:cs="Arial"/>
          <w:sz w:val="24"/>
          <w:szCs w:val="24"/>
        </w:rPr>
      </w:pPr>
    </w:p>
    <w:p w14:paraId="35128B6B" w14:textId="0B996A7D"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D434AE" w:rsidRPr="007B0231">
        <w:rPr>
          <w:rFonts w:ascii="Arial" w:hAnsi="Arial" w:cs="Arial"/>
          <w:sz w:val="24"/>
          <w:szCs w:val="24"/>
        </w:rPr>
        <w:t xml:space="preserve">The applicant’s attorney, Mr Jacobus Coetzee, </w:t>
      </w:r>
      <w:r w:rsidR="007E33CF" w:rsidRPr="007B0231">
        <w:rPr>
          <w:rFonts w:ascii="Arial" w:hAnsi="Arial" w:cs="Arial"/>
          <w:sz w:val="24"/>
          <w:szCs w:val="24"/>
        </w:rPr>
        <w:t xml:space="preserve">provided a timeline in relation to the </w:t>
      </w:r>
      <w:r w:rsidR="005634E5" w:rsidRPr="007B0231">
        <w:rPr>
          <w:rFonts w:ascii="Arial" w:hAnsi="Arial" w:cs="Arial"/>
          <w:sz w:val="24"/>
          <w:szCs w:val="24"/>
        </w:rPr>
        <w:t xml:space="preserve">exchange of pleadings. The </w:t>
      </w:r>
      <w:r w:rsidR="00A644B8" w:rsidRPr="007B0231">
        <w:rPr>
          <w:rFonts w:ascii="Arial" w:hAnsi="Arial" w:cs="Arial"/>
          <w:sz w:val="24"/>
          <w:szCs w:val="24"/>
        </w:rPr>
        <w:t xml:space="preserve">notice of motion was served on 28 February 2022 and the applicant’s supplementary founding affidavit was </w:t>
      </w:r>
      <w:r w:rsidR="000E1EA5" w:rsidRPr="007B0231">
        <w:rPr>
          <w:rFonts w:ascii="Arial" w:hAnsi="Arial" w:cs="Arial"/>
          <w:sz w:val="24"/>
          <w:szCs w:val="24"/>
        </w:rPr>
        <w:t>fil</w:t>
      </w:r>
      <w:r w:rsidR="00A644B8" w:rsidRPr="007B0231">
        <w:rPr>
          <w:rFonts w:ascii="Arial" w:hAnsi="Arial" w:cs="Arial"/>
          <w:sz w:val="24"/>
          <w:szCs w:val="24"/>
        </w:rPr>
        <w:t xml:space="preserve">ed on </w:t>
      </w:r>
      <w:r w:rsidR="00E60A97" w:rsidRPr="007B0231">
        <w:rPr>
          <w:rFonts w:ascii="Arial" w:hAnsi="Arial" w:cs="Arial"/>
          <w:sz w:val="24"/>
          <w:szCs w:val="24"/>
        </w:rPr>
        <w:t xml:space="preserve">25 April 2022, after the respondents’ delivery of the record. </w:t>
      </w:r>
      <w:r w:rsidR="00BB0947" w:rsidRPr="007B0231">
        <w:rPr>
          <w:rFonts w:ascii="Arial" w:hAnsi="Arial" w:cs="Arial"/>
          <w:sz w:val="24"/>
          <w:szCs w:val="24"/>
        </w:rPr>
        <w:t xml:space="preserve">The first to third respondents </w:t>
      </w:r>
      <w:r w:rsidR="000E1EA5" w:rsidRPr="007B0231">
        <w:rPr>
          <w:rFonts w:ascii="Arial" w:hAnsi="Arial" w:cs="Arial"/>
          <w:sz w:val="24"/>
          <w:szCs w:val="24"/>
        </w:rPr>
        <w:t>file</w:t>
      </w:r>
      <w:r w:rsidR="003A729D" w:rsidRPr="007B0231">
        <w:rPr>
          <w:rFonts w:ascii="Arial" w:hAnsi="Arial" w:cs="Arial"/>
          <w:sz w:val="24"/>
          <w:szCs w:val="24"/>
        </w:rPr>
        <w:t>d</w:t>
      </w:r>
      <w:r w:rsidR="00E442FA" w:rsidRPr="007B0231">
        <w:rPr>
          <w:rFonts w:ascii="Arial" w:hAnsi="Arial" w:cs="Arial"/>
          <w:sz w:val="24"/>
          <w:szCs w:val="24"/>
        </w:rPr>
        <w:t xml:space="preserve"> a notice to abide on 12 July 2022. The fourth respondent </w:t>
      </w:r>
      <w:r w:rsidR="006D4DED" w:rsidRPr="007B0231">
        <w:rPr>
          <w:rFonts w:ascii="Arial" w:hAnsi="Arial" w:cs="Arial"/>
          <w:sz w:val="24"/>
          <w:szCs w:val="24"/>
        </w:rPr>
        <w:t>filed its answering affidavit on 1 August 2022</w:t>
      </w:r>
      <w:r w:rsidR="00A6184F" w:rsidRPr="007B0231">
        <w:rPr>
          <w:rFonts w:ascii="Arial" w:hAnsi="Arial" w:cs="Arial"/>
          <w:sz w:val="24"/>
          <w:szCs w:val="24"/>
        </w:rPr>
        <w:t xml:space="preserve">, but without signed confirmatory affidavits, which were </w:t>
      </w:r>
      <w:r w:rsidR="004A667D" w:rsidRPr="007B0231">
        <w:rPr>
          <w:rFonts w:ascii="Arial" w:hAnsi="Arial" w:cs="Arial"/>
          <w:sz w:val="24"/>
          <w:szCs w:val="24"/>
        </w:rPr>
        <w:t>delivered three weeks later. T</w:t>
      </w:r>
      <w:r w:rsidR="00EB0510" w:rsidRPr="007B0231">
        <w:rPr>
          <w:rFonts w:ascii="Arial" w:hAnsi="Arial" w:cs="Arial"/>
          <w:sz w:val="24"/>
          <w:szCs w:val="24"/>
        </w:rPr>
        <w:t xml:space="preserve">he applicant’s replying affidavit was required to have been filed by </w:t>
      </w:r>
      <w:r w:rsidR="00DC3C5B" w:rsidRPr="007B0231">
        <w:rPr>
          <w:rFonts w:ascii="Arial" w:hAnsi="Arial" w:cs="Arial"/>
          <w:sz w:val="24"/>
          <w:szCs w:val="24"/>
        </w:rPr>
        <w:t>5 September 2022</w:t>
      </w:r>
      <w:r w:rsidR="004A667D" w:rsidRPr="007B0231">
        <w:rPr>
          <w:rFonts w:ascii="Arial" w:hAnsi="Arial" w:cs="Arial"/>
          <w:sz w:val="24"/>
          <w:szCs w:val="24"/>
        </w:rPr>
        <w:t xml:space="preserve">, but was only </w:t>
      </w:r>
      <w:r w:rsidR="004E23FB" w:rsidRPr="007B0231">
        <w:rPr>
          <w:rFonts w:ascii="Arial" w:hAnsi="Arial" w:cs="Arial"/>
          <w:sz w:val="24"/>
          <w:szCs w:val="24"/>
        </w:rPr>
        <w:t>filed on 3 April 2023.</w:t>
      </w:r>
    </w:p>
    <w:p w14:paraId="4B0AC6B5" w14:textId="77777777" w:rsidR="00537568" w:rsidRDefault="00537568" w:rsidP="00537568">
      <w:pPr>
        <w:pStyle w:val="ListParagraph"/>
        <w:spacing w:line="360" w:lineRule="auto"/>
        <w:ind w:left="0"/>
        <w:jc w:val="both"/>
        <w:rPr>
          <w:rFonts w:ascii="Arial" w:hAnsi="Arial" w:cs="Arial"/>
          <w:sz w:val="24"/>
          <w:szCs w:val="24"/>
        </w:rPr>
      </w:pPr>
    </w:p>
    <w:p w14:paraId="1A20FB38" w14:textId="57536CBF"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C25FE" w:rsidRPr="007B0231">
        <w:rPr>
          <w:rFonts w:ascii="Arial" w:hAnsi="Arial" w:cs="Arial"/>
          <w:sz w:val="24"/>
          <w:szCs w:val="24"/>
        </w:rPr>
        <w:t>Mr Coetzee explain</w:t>
      </w:r>
      <w:r w:rsidR="00703C79" w:rsidRPr="007B0231">
        <w:rPr>
          <w:rFonts w:ascii="Arial" w:hAnsi="Arial" w:cs="Arial"/>
          <w:sz w:val="24"/>
          <w:szCs w:val="24"/>
        </w:rPr>
        <w:t>s</w:t>
      </w:r>
      <w:r w:rsidR="00AC25FE" w:rsidRPr="007B0231">
        <w:rPr>
          <w:rFonts w:ascii="Arial" w:hAnsi="Arial" w:cs="Arial"/>
          <w:sz w:val="24"/>
          <w:szCs w:val="24"/>
        </w:rPr>
        <w:t xml:space="preserve"> </w:t>
      </w:r>
      <w:r w:rsidR="00DF5E94" w:rsidRPr="007B0231">
        <w:rPr>
          <w:rFonts w:ascii="Arial" w:hAnsi="Arial" w:cs="Arial"/>
          <w:sz w:val="24"/>
          <w:szCs w:val="24"/>
        </w:rPr>
        <w:t xml:space="preserve">that he had been involved in </w:t>
      </w:r>
      <w:r w:rsidR="00A03389" w:rsidRPr="007B0231">
        <w:rPr>
          <w:rFonts w:ascii="Arial" w:hAnsi="Arial" w:cs="Arial"/>
          <w:sz w:val="24"/>
          <w:szCs w:val="24"/>
        </w:rPr>
        <w:t xml:space="preserve">various </w:t>
      </w:r>
      <w:r w:rsidR="006424B7" w:rsidRPr="007B0231">
        <w:rPr>
          <w:rFonts w:ascii="Arial" w:hAnsi="Arial" w:cs="Arial"/>
          <w:sz w:val="24"/>
          <w:szCs w:val="24"/>
        </w:rPr>
        <w:t>matter</w:t>
      </w:r>
      <w:r w:rsidR="00A03389" w:rsidRPr="007B0231">
        <w:rPr>
          <w:rFonts w:ascii="Arial" w:hAnsi="Arial" w:cs="Arial"/>
          <w:sz w:val="24"/>
          <w:szCs w:val="24"/>
        </w:rPr>
        <w:t xml:space="preserve">s </w:t>
      </w:r>
      <w:r w:rsidR="00777468" w:rsidRPr="007B0231">
        <w:rPr>
          <w:rFonts w:ascii="Arial" w:hAnsi="Arial" w:cs="Arial"/>
          <w:sz w:val="24"/>
          <w:szCs w:val="24"/>
        </w:rPr>
        <w:t xml:space="preserve">that </w:t>
      </w:r>
      <w:r w:rsidR="006424B7" w:rsidRPr="007B0231">
        <w:rPr>
          <w:rFonts w:ascii="Arial" w:hAnsi="Arial" w:cs="Arial"/>
          <w:sz w:val="24"/>
          <w:szCs w:val="24"/>
        </w:rPr>
        <w:t xml:space="preserve">had contributed </w:t>
      </w:r>
      <w:r w:rsidR="00777468" w:rsidRPr="007B0231">
        <w:rPr>
          <w:rFonts w:ascii="Arial" w:hAnsi="Arial" w:cs="Arial"/>
          <w:sz w:val="24"/>
          <w:szCs w:val="24"/>
        </w:rPr>
        <w:t xml:space="preserve">to the delay in the filing of the replying affidavit. </w:t>
      </w:r>
      <w:r w:rsidR="00DA4108" w:rsidRPr="007B0231">
        <w:rPr>
          <w:rFonts w:ascii="Arial" w:hAnsi="Arial" w:cs="Arial"/>
          <w:sz w:val="24"/>
          <w:szCs w:val="24"/>
        </w:rPr>
        <w:t xml:space="preserve">These included </w:t>
      </w:r>
      <w:r w:rsidR="00DF5E94" w:rsidRPr="007B0231">
        <w:rPr>
          <w:rFonts w:ascii="Arial" w:hAnsi="Arial" w:cs="Arial"/>
          <w:sz w:val="24"/>
          <w:szCs w:val="24"/>
        </w:rPr>
        <w:t>a trial in Pietermaritzburg</w:t>
      </w:r>
      <w:r w:rsidR="00DE49F9" w:rsidRPr="007B0231">
        <w:rPr>
          <w:rFonts w:ascii="Arial" w:hAnsi="Arial" w:cs="Arial"/>
          <w:sz w:val="24"/>
          <w:szCs w:val="24"/>
        </w:rPr>
        <w:t>;</w:t>
      </w:r>
      <w:r w:rsidR="00491CB5" w:rsidRPr="007B0231">
        <w:rPr>
          <w:rFonts w:ascii="Arial" w:hAnsi="Arial" w:cs="Arial"/>
          <w:sz w:val="24"/>
          <w:szCs w:val="24"/>
        </w:rPr>
        <w:t xml:space="preserve"> an opposed liquidation in Pretoria</w:t>
      </w:r>
      <w:r w:rsidR="003A729D" w:rsidRPr="007B0231">
        <w:rPr>
          <w:rFonts w:ascii="Arial" w:hAnsi="Arial" w:cs="Arial"/>
          <w:sz w:val="24"/>
          <w:szCs w:val="24"/>
        </w:rPr>
        <w:t>,</w:t>
      </w:r>
      <w:r w:rsidR="00491CB5" w:rsidRPr="007B0231">
        <w:rPr>
          <w:rFonts w:ascii="Arial" w:hAnsi="Arial" w:cs="Arial"/>
          <w:sz w:val="24"/>
          <w:szCs w:val="24"/>
        </w:rPr>
        <w:t xml:space="preserve"> </w:t>
      </w:r>
      <w:r w:rsidR="0083505D" w:rsidRPr="007B0231">
        <w:rPr>
          <w:rFonts w:ascii="Arial" w:hAnsi="Arial" w:cs="Arial"/>
          <w:sz w:val="24"/>
          <w:szCs w:val="24"/>
        </w:rPr>
        <w:t xml:space="preserve">which entailed </w:t>
      </w:r>
      <w:r w:rsidR="00DE6A7F" w:rsidRPr="007B0231">
        <w:rPr>
          <w:rFonts w:ascii="Arial" w:hAnsi="Arial" w:cs="Arial"/>
          <w:sz w:val="24"/>
          <w:szCs w:val="24"/>
        </w:rPr>
        <w:t xml:space="preserve">consultations with </w:t>
      </w:r>
      <w:r w:rsidR="00DE49F9" w:rsidRPr="007B0231">
        <w:rPr>
          <w:rFonts w:ascii="Arial" w:hAnsi="Arial" w:cs="Arial"/>
          <w:sz w:val="24"/>
          <w:szCs w:val="24"/>
        </w:rPr>
        <w:t xml:space="preserve">senior </w:t>
      </w:r>
      <w:r w:rsidR="00DE6A7F" w:rsidRPr="007B0231">
        <w:rPr>
          <w:rFonts w:ascii="Arial" w:hAnsi="Arial" w:cs="Arial"/>
          <w:sz w:val="24"/>
          <w:szCs w:val="24"/>
        </w:rPr>
        <w:t>counsel in Cape Town</w:t>
      </w:r>
      <w:r w:rsidR="006F6A50" w:rsidRPr="007B0231">
        <w:rPr>
          <w:rFonts w:ascii="Arial" w:hAnsi="Arial" w:cs="Arial"/>
          <w:sz w:val="24"/>
          <w:szCs w:val="24"/>
        </w:rPr>
        <w:t xml:space="preserve"> and the management </w:t>
      </w:r>
      <w:r w:rsidR="00DB6D6F" w:rsidRPr="007B0231">
        <w:rPr>
          <w:rFonts w:ascii="Arial" w:hAnsi="Arial" w:cs="Arial"/>
          <w:sz w:val="24"/>
          <w:szCs w:val="24"/>
        </w:rPr>
        <w:t>of significant volumes of evidence</w:t>
      </w:r>
      <w:r w:rsidR="00DE49F9" w:rsidRPr="007B0231">
        <w:rPr>
          <w:rFonts w:ascii="Arial" w:hAnsi="Arial" w:cs="Arial"/>
          <w:sz w:val="24"/>
          <w:szCs w:val="24"/>
        </w:rPr>
        <w:t xml:space="preserve">; </w:t>
      </w:r>
      <w:r w:rsidR="004C77C6" w:rsidRPr="007B0231">
        <w:rPr>
          <w:rFonts w:ascii="Arial" w:hAnsi="Arial" w:cs="Arial"/>
          <w:sz w:val="24"/>
          <w:szCs w:val="24"/>
        </w:rPr>
        <w:lastRenderedPageBreak/>
        <w:t xml:space="preserve">urgent </w:t>
      </w:r>
      <w:r w:rsidR="003C0F0F" w:rsidRPr="007B0231">
        <w:rPr>
          <w:rFonts w:ascii="Arial" w:hAnsi="Arial" w:cs="Arial"/>
          <w:sz w:val="24"/>
          <w:szCs w:val="24"/>
        </w:rPr>
        <w:t xml:space="preserve">proceedings </w:t>
      </w:r>
      <w:r w:rsidR="00BB2E04" w:rsidRPr="007B0231">
        <w:rPr>
          <w:rFonts w:ascii="Arial" w:hAnsi="Arial" w:cs="Arial"/>
          <w:sz w:val="24"/>
          <w:szCs w:val="24"/>
        </w:rPr>
        <w:t>in several jurisdictions</w:t>
      </w:r>
      <w:r w:rsidR="003A729D" w:rsidRPr="007B0231">
        <w:rPr>
          <w:rFonts w:ascii="Arial" w:hAnsi="Arial" w:cs="Arial"/>
          <w:sz w:val="24"/>
          <w:szCs w:val="24"/>
        </w:rPr>
        <w:t xml:space="preserve"> in relation </w:t>
      </w:r>
      <w:r w:rsidR="003C0F0F" w:rsidRPr="007B0231">
        <w:rPr>
          <w:rFonts w:ascii="Arial" w:hAnsi="Arial" w:cs="Arial"/>
          <w:sz w:val="24"/>
          <w:szCs w:val="24"/>
        </w:rPr>
        <w:t xml:space="preserve">to </w:t>
      </w:r>
      <w:r w:rsidR="003F1568" w:rsidRPr="007B0231">
        <w:rPr>
          <w:rFonts w:ascii="Arial" w:hAnsi="Arial" w:cs="Arial"/>
          <w:sz w:val="24"/>
          <w:szCs w:val="24"/>
        </w:rPr>
        <w:t>a business rescue</w:t>
      </w:r>
      <w:r w:rsidR="00BB2E04" w:rsidRPr="007B0231">
        <w:rPr>
          <w:rFonts w:ascii="Arial" w:hAnsi="Arial" w:cs="Arial"/>
          <w:sz w:val="24"/>
          <w:szCs w:val="24"/>
        </w:rPr>
        <w:t xml:space="preserve">; a </w:t>
      </w:r>
      <w:r w:rsidR="009A492D" w:rsidRPr="007B0231">
        <w:rPr>
          <w:rFonts w:ascii="Arial" w:hAnsi="Arial" w:cs="Arial"/>
          <w:sz w:val="24"/>
          <w:szCs w:val="24"/>
        </w:rPr>
        <w:t>matter in the Supreme Court of Appeal</w:t>
      </w:r>
      <w:r w:rsidR="00A9236D" w:rsidRPr="007B0231">
        <w:rPr>
          <w:rFonts w:ascii="Arial" w:hAnsi="Arial" w:cs="Arial"/>
          <w:sz w:val="24"/>
          <w:szCs w:val="24"/>
        </w:rPr>
        <w:t xml:space="preserve">; and so forth. </w:t>
      </w:r>
      <w:r w:rsidR="00D95ED5" w:rsidRPr="007B0231">
        <w:rPr>
          <w:rFonts w:ascii="Arial" w:hAnsi="Arial" w:cs="Arial"/>
          <w:sz w:val="24"/>
          <w:szCs w:val="24"/>
        </w:rPr>
        <w:t xml:space="preserve">Mr Coetzee </w:t>
      </w:r>
      <w:r w:rsidR="006037AB" w:rsidRPr="007B0231">
        <w:rPr>
          <w:rFonts w:ascii="Arial" w:hAnsi="Arial" w:cs="Arial"/>
          <w:sz w:val="24"/>
          <w:szCs w:val="24"/>
        </w:rPr>
        <w:t>goes</w:t>
      </w:r>
      <w:r w:rsidR="00551102" w:rsidRPr="007B0231">
        <w:rPr>
          <w:rFonts w:ascii="Arial" w:hAnsi="Arial" w:cs="Arial"/>
          <w:sz w:val="24"/>
          <w:szCs w:val="24"/>
        </w:rPr>
        <w:t xml:space="preserve"> on to say that he prepared a draft replying affidavit </w:t>
      </w:r>
      <w:r w:rsidR="00AA2417" w:rsidRPr="007B0231">
        <w:rPr>
          <w:rFonts w:ascii="Arial" w:hAnsi="Arial" w:cs="Arial"/>
          <w:sz w:val="24"/>
          <w:szCs w:val="24"/>
        </w:rPr>
        <w:t>in the time that was available to him</w:t>
      </w:r>
      <w:r w:rsidR="00E760FB" w:rsidRPr="007B0231">
        <w:rPr>
          <w:rFonts w:ascii="Arial" w:hAnsi="Arial" w:cs="Arial"/>
          <w:sz w:val="24"/>
          <w:szCs w:val="24"/>
        </w:rPr>
        <w:t>. The delay had been unavoidable.</w:t>
      </w:r>
    </w:p>
    <w:p w14:paraId="7E5244CB" w14:textId="77777777" w:rsidR="00537568" w:rsidRPr="00537568" w:rsidRDefault="00537568" w:rsidP="00537568">
      <w:pPr>
        <w:pStyle w:val="ListParagraph"/>
        <w:rPr>
          <w:rFonts w:ascii="Arial" w:hAnsi="Arial" w:cs="Arial"/>
          <w:sz w:val="24"/>
          <w:szCs w:val="24"/>
        </w:rPr>
      </w:pPr>
    </w:p>
    <w:p w14:paraId="5B36A2DF" w14:textId="2A6947C2" w:rsidR="007B2380" w:rsidRPr="007B0231" w:rsidRDefault="007B0231" w:rsidP="007B0231">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A729D" w:rsidRPr="007B0231">
        <w:rPr>
          <w:rFonts w:ascii="Arial" w:hAnsi="Arial" w:cs="Arial"/>
          <w:sz w:val="24"/>
          <w:szCs w:val="24"/>
        </w:rPr>
        <w:t>T</w:t>
      </w:r>
      <w:r w:rsidR="0098284A" w:rsidRPr="007B0231">
        <w:rPr>
          <w:rFonts w:ascii="Arial" w:hAnsi="Arial" w:cs="Arial"/>
          <w:sz w:val="24"/>
          <w:szCs w:val="24"/>
        </w:rPr>
        <w:t xml:space="preserve">he fourth respondent </w:t>
      </w:r>
      <w:r w:rsidR="008A389B" w:rsidRPr="007B0231">
        <w:rPr>
          <w:rFonts w:ascii="Arial" w:hAnsi="Arial" w:cs="Arial"/>
          <w:sz w:val="24"/>
          <w:szCs w:val="24"/>
        </w:rPr>
        <w:t>c</w:t>
      </w:r>
      <w:r w:rsidR="00AB6DD5" w:rsidRPr="007B0231">
        <w:rPr>
          <w:rFonts w:ascii="Arial" w:hAnsi="Arial" w:cs="Arial"/>
          <w:sz w:val="24"/>
          <w:szCs w:val="24"/>
        </w:rPr>
        <w:t>halleng</w:t>
      </w:r>
      <w:r w:rsidR="008A389B" w:rsidRPr="007B0231">
        <w:rPr>
          <w:rFonts w:ascii="Arial" w:hAnsi="Arial" w:cs="Arial"/>
          <w:sz w:val="24"/>
          <w:szCs w:val="24"/>
        </w:rPr>
        <w:t>e</w:t>
      </w:r>
      <w:r w:rsidR="003A729D" w:rsidRPr="007B0231">
        <w:rPr>
          <w:rFonts w:ascii="Arial" w:hAnsi="Arial" w:cs="Arial"/>
          <w:sz w:val="24"/>
          <w:szCs w:val="24"/>
        </w:rPr>
        <w:t>s</w:t>
      </w:r>
      <w:r w:rsidR="008A389B" w:rsidRPr="007B0231">
        <w:rPr>
          <w:rFonts w:ascii="Arial" w:hAnsi="Arial" w:cs="Arial"/>
          <w:sz w:val="24"/>
          <w:szCs w:val="24"/>
        </w:rPr>
        <w:t xml:space="preserve"> Mr Coetzee’s explanation for the delay. </w:t>
      </w:r>
      <w:r w:rsidR="003A729D" w:rsidRPr="007B0231">
        <w:rPr>
          <w:rFonts w:ascii="Arial" w:hAnsi="Arial" w:cs="Arial"/>
          <w:sz w:val="24"/>
          <w:szCs w:val="24"/>
        </w:rPr>
        <w:t>Counsel</w:t>
      </w:r>
      <w:r w:rsidR="007B2380" w:rsidRPr="007B0231">
        <w:rPr>
          <w:rFonts w:ascii="Arial" w:hAnsi="Arial" w:cs="Arial"/>
          <w:sz w:val="24"/>
          <w:szCs w:val="24"/>
        </w:rPr>
        <w:t xml:space="preserve"> r</w:t>
      </w:r>
      <w:r w:rsidR="0085365F" w:rsidRPr="007B0231">
        <w:rPr>
          <w:rFonts w:ascii="Arial" w:hAnsi="Arial" w:cs="Arial"/>
          <w:sz w:val="24"/>
          <w:szCs w:val="24"/>
        </w:rPr>
        <w:t>efer</w:t>
      </w:r>
      <w:r w:rsidR="003A729D" w:rsidRPr="007B0231">
        <w:rPr>
          <w:rFonts w:ascii="Arial" w:hAnsi="Arial" w:cs="Arial"/>
          <w:sz w:val="24"/>
          <w:szCs w:val="24"/>
        </w:rPr>
        <w:t>red</w:t>
      </w:r>
      <w:r w:rsidR="0085365F" w:rsidRPr="007B0231">
        <w:rPr>
          <w:rFonts w:ascii="Arial" w:hAnsi="Arial" w:cs="Arial"/>
          <w:sz w:val="24"/>
          <w:szCs w:val="24"/>
        </w:rPr>
        <w:t xml:space="preserve"> to the decision </w:t>
      </w:r>
      <w:r w:rsidR="005829F4" w:rsidRPr="007B0231">
        <w:rPr>
          <w:rFonts w:ascii="Arial" w:hAnsi="Arial" w:cs="Arial"/>
          <w:sz w:val="24"/>
          <w:szCs w:val="24"/>
        </w:rPr>
        <w:t xml:space="preserve">of the erstwhile Appellate Division </w:t>
      </w:r>
      <w:r w:rsidR="0085365F" w:rsidRPr="007B0231">
        <w:rPr>
          <w:rFonts w:ascii="Arial" w:hAnsi="Arial" w:cs="Arial"/>
          <w:sz w:val="24"/>
          <w:szCs w:val="24"/>
        </w:rPr>
        <w:t xml:space="preserve">in </w:t>
      </w:r>
      <w:r w:rsidR="00335BD9" w:rsidRPr="007B0231">
        <w:rPr>
          <w:rFonts w:ascii="Arial" w:hAnsi="Arial" w:cs="Arial"/>
          <w:i/>
          <w:iCs/>
          <w:sz w:val="24"/>
          <w:szCs w:val="24"/>
        </w:rPr>
        <w:t xml:space="preserve">Kgobane and another v </w:t>
      </w:r>
      <w:r w:rsidR="00EC61AB" w:rsidRPr="007B0231">
        <w:rPr>
          <w:rFonts w:ascii="Arial" w:hAnsi="Arial" w:cs="Arial"/>
          <w:i/>
          <w:iCs/>
          <w:sz w:val="24"/>
          <w:szCs w:val="24"/>
        </w:rPr>
        <w:t>Minister of Justice and another</w:t>
      </w:r>
      <w:r w:rsidR="00EC61AB" w:rsidRPr="007B0231">
        <w:rPr>
          <w:rFonts w:ascii="Arial" w:hAnsi="Arial" w:cs="Arial"/>
          <w:sz w:val="24"/>
          <w:szCs w:val="24"/>
        </w:rPr>
        <w:t>,</w:t>
      </w:r>
      <w:r w:rsidR="00EC61AB">
        <w:rPr>
          <w:rStyle w:val="FootnoteReference"/>
          <w:rFonts w:ascii="Arial" w:hAnsi="Arial" w:cs="Arial"/>
          <w:sz w:val="24"/>
          <w:szCs w:val="24"/>
        </w:rPr>
        <w:footnoteReference w:id="5"/>
      </w:r>
      <w:r w:rsidR="00EC61AB" w:rsidRPr="007B0231">
        <w:rPr>
          <w:rFonts w:ascii="Arial" w:hAnsi="Arial" w:cs="Arial"/>
          <w:sz w:val="24"/>
          <w:szCs w:val="24"/>
        </w:rPr>
        <w:t xml:space="preserve"> where </w:t>
      </w:r>
      <w:r w:rsidR="00911FD0" w:rsidRPr="007B0231">
        <w:rPr>
          <w:rFonts w:ascii="Arial" w:hAnsi="Arial" w:cs="Arial"/>
          <w:sz w:val="24"/>
          <w:szCs w:val="24"/>
        </w:rPr>
        <w:t xml:space="preserve">Rumpff JA </w:t>
      </w:r>
      <w:r w:rsidR="0027690A" w:rsidRPr="007B0231">
        <w:rPr>
          <w:rFonts w:ascii="Arial" w:hAnsi="Arial" w:cs="Arial"/>
          <w:sz w:val="24"/>
          <w:szCs w:val="24"/>
        </w:rPr>
        <w:t xml:space="preserve">held that </w:t>
      </w:r>
      <w:r w:rsidR="007F2B5F" w:rsidRPr="007B0231">
        <w:rPr>
          <w:rFonts w:ascii="Arial" w:hAnsi="Arial" w:cs="Arial"/>
          <w:sz w:val="24"/>
          <w:szCs w:val="24"/>
        </w:rPr>
        <w:t xml:space="preserve">an </w:t>
      </w:r>
      <w:r w:rsidR="0027690A" w:rsidRPr="007B0231">
        <w:rPr>
          <w:rFonts w:ascii="Arial" w:hAnsi="Arial" w:cs="Arial"/>
          <w:sz w:val="24"/>
          <w:szCs w:val="24"/>
        </w:rPr>
        <w:t>attorney</w:t>
      </w:r>
      <w:r w:rsidR="007F2B5F" w:rsidRPr="007B0231">
        <w:rPr>
          <w:rFonts w:ascii="Arial" w:hAnsi="Arial" w:cs="Arial"/>
          <w:sz w:val="24"/>
          <w:szCs w:val="24"/>
        </w:rPr>
        <w:t xml:space="preserve">’s explanation that </w:t>
      </w:r>
      <w:r w:rsidR="00204545" w:rsidRPr="007B0231">
        <w:rPr>
          <w:rFonts w:ascii="Arial" w:hAnsi="Arial" w:cs="Arial"/>
          <w:sz w:val="24"/>
          <w:szCs w:val="24"/>
        </w:rPr>
        <w:t xml:space="preserve">he was too busy </w:t>
      </w:r>
      <w:r w:rsidR="00EF0247" w:rsidRPr="007B0231">
        <w:rPr>
          <w:rFonts w:ascii="Arial" w:hAnsi="Arial" w:cs="Arial"/>
          <w:sz w:val="24"/>
          <w:szCs w:val="24"/>
        </w:rPr>
        <w:t>to study the rules of court and to supervise the prosecution of an appeal</w:t>
      </w:r>
      <w:r w:rsidR="007F2B5F" w:rsidRPr="007B0231">
        <w:rPr>
          <w:rFonts w:ascii="Arial" w:hAnsi="Arial" w:cs="Arial"/>
          <w:sz w:val="24"/>
          <w:szCs w:val="24"/>
        </w:rPr>
        <w:t xml:space="preserve"> </w:t>
      </w:r>
      <w:r w:rsidR="00994B5C" w:rsidRPr="007B0231">
        <w:rPr>
          <w:rFonts w:ascii="Arial" w:hAnsi="Arial" w:cs="Arial"/>
          <w:sz w:val="24"/>
          <w:szCs w:val="24"/>
        </w:rPr>
        <w:t xml:space="preserve">was unacceptable. </w:t>
      </w:r>
      <w:r w:rsidR="001C480B" w:rsidRPr="007B0231">
        <w:rPr>
          <w:rFonts w:ascii="Arial" w:hAnsi="Arial" w:cs="Arial"/>
          <w:sz w:val="24"/>
          <w:szCs w:val="24"/>
        </w:rPr>
        <w:t>Such gross negligence</w:t>
      </w:r>
      <w:r w:rsidR="002630DA" w:rsidRPr="007B0231">
        <w:rPr>
          <w:rFonts w:ascii="Arial" w:hAnsi="Arial" w:cs="Arial"/>
          <w:sz w:val="24"/>
          <w:szCs w:val="24"/>
        </w:rPr>
        <w:t xml:space="preserve"> had caused an inordinate delay.</w:t>
      </w:r>
      <w:r w:rsidR="002630DA">
        <w:rPr>
          <w:rStyle w:val="FootnoteReference"/>
          <w:rFonts w:ascii="Arial" w:hAnsi="Arial" w:cs="Arial"/>
          <w:sz w:val="24"/>
          <w:szCs w:val="24"/>
        </w:rPr>
        <w:footnoteReference w:id="6"/>
      </w:r>
      <w:r w:rsidR="007B2380" w:rsidRPr="007B0231">
        <w:rPr>
          <w:rFonts w:ascii="Arial" w:hAnsi="Arial" w:cs="Arial"/>
          <w:sz w:val="24"/>
          <w:szCs w:val="24"/>
        </w:rPr>
        <w:t xml:space="preserve"> Furthermore, </w:t>
      </w:r>
      <w:r w:rsidR="00A718CF" w:rsidRPr="007B0231">
        <w:rPr>
          <w:rFonts w:ascii="Arial" w:hAnsi="Arial" w:cs="Arial"/>
          <w:sz w:val="24"/>
          <w:szCs w:val="24"/>
        </w:rPr>
        <w:t xml:space="preserve">counsel </w:t>
      </w:r>
      <w:r w:rsidR="00D62D35" w:rsidRPr="007B0231">
        <w:rPr>
          <w:rFonts w:ascii="Arial" w:hAnsi="Arial" w:cs="Arial"/>
          <w:sz w:val="24"/>
          <w:szCs w:val="24"/>
        </w:rPr>
        <w:t>refer</w:t>
      </w:r>
      <w:r w:rsidR="003A729D" w:rsidRPr="007B0231">
        <w:rPr>
          <w:rFonts w:ascii="Arial" w:hAnsi="Arial" w:cs="Arial"/>
          <w:sz w:val="24"/>
          <w:szCs w:val="24"/>
        </w:rPr>
        <w:t>red</w:t>
      </w:r>
      <w:r w:rsidR="00D62D35" w:rsidRPr="007B0231">
        <w:rPr>
          <w:rFonts w:ascii="Arial" w:hAnsi="Arial" w:cs="Arial"/>
          <w:sz w:val="24"/>
          <w:szCs w:val="24"/>
        </w:rPr>
        <w:t xml:space="preserve"> to </w:t>
      </w:r>
      <w:r w:rsidR="00D62D35" w:rsidRPr="007B0231">
        <w:rPr>
          <w:rFonts w:ascii="Arial" w:hAnsi="Arial" w:cs="Arial"/>
          <w:i/>
          <w:iCs/>
          <w:sz w:val="24"/>
          <w:szCs w:val="24"/>
        </w:rPr>
        <w:t xml:space="preserve">Mbutuma </w:t>
      </w:r>
      <w:r w:rsidR="005829F4" w:rsidRPr="007B0231">
        <w:rPr>
          <w:rFonts w:ascii="Arial" w:hAnsi="Arial" w:cs="Arial"/>
          <w:i/>
          <w:iCs/>
          <w:sz w:val="24"/>
          <w:szCs w:val="24"/>
        </w:rPr>
        <w:t>v Xhosa Development Corporation Ltd</w:t>
      </w:r>
      <w:r w:rsidR="005829F4" w:rsidRPr="007B0231">
        <w:rPr>
          <w:rFonts w:ascii="Arial" w:hAnsi="Arial" w:cs="Arial"/>
          <w:sz w:val="24"/>
          <w:szCs w:val="24"/>
        </w:rPr>
        <w:t>,</w:t>
      </w:r>
      <w:r w:rsidR="005829F4">
        <w:rPr>
          <w:rStyle w:val="FootnoteReference"/>
          <w:rFonts w:ascii="Arial" w:hAnsi="Arial" w:cs="Arial"/>
          <w:sz w:val="24"/>
          <w:szCs w:val="24"/>
        </w:rPr>
        <w:footnoteReference w:id="7"/>
      </w:r>
      <w:r w:rsidR="00985272" w:rsidRPr="007B0231">
        <w:rPr>
          <w:rFonts w:ascii="Arial" w:hAnsi="Arial" w:cs="Arial"/>
          <w:sz w:val="24"/>
          <w:szCs w:val="24"/>
        </w:rPr>
        <w:t xml:space="preserve"> where </w:t>
      </w:r>
      <w:r w:rsidR="009C40D1" w:rsidRPr="007B0231">
        <w:rPr>
          <w:rFonts w:ascii="Arial" w:hAnsi="Arial" w:cs="Arial"/>
          <w:sz w:val="24"/>
          <w:szCs w:val="24"/>
        </w:rPr>
        <w:t>Trengove AJA held that a</w:t>
      </w:r>
      <w:r w:rsidR="00905BAE" w:rsidRPr="007B0231">
        <w:rPr>
          <w:rFonts w:ascii="Arial" w:hAnsi="Arial" w:cs="Arial"/>
          <w:sz w:val="24"/>
          <w:szCs w:val="24"/>
        </w:rPr>
        <w:t>n applicant</w:t>
      </w:r>
      <w:r w:rsidR="009C40D1" w:rsidRPr="007B0231">
        <w:rPr>
          <w:rFonts w:ascii="Arial" w:hAnsi="Arial" w:cs="Arial"/>
          <w:sz w:val="24"/>
          <w:szCs w:val="24"/>
        </w:rPr>
        <w:t xml:space="preserve"> could not be exonerated </w:t>
      </w:r>
      <w:r w:rsidR="00A546CB" w:rsidRPr="007B0231">
        <w:rPr>
          <w:rFonts w:ascii="Arial" w:hAnsi="Arial" w:cs="Arial"/>
          <w:sz w:val="24"/>
          <w:szCs w:val="24"/>
        </w:rPr>
        <w:t>from</w:t>
      </w:r>
      <w:r w:rsidR="00905BAE" w:rsidRPr="007B0231">
        <w:rPr>
          <w:rFonts w:ascii="Arial" w:hAnsi="Arial" w:cs="Arial"/>
          <w:sz w:val="24"/>
          <w:szCs w:val="24"/>
        </w:rPr>
        <w:t xml:space="preserve"> all blame for a delay when he h</w:t>
      </w:r>
      <w:r w:rsidR="00A546CB" w:rsidRPr="007B0231">
        <w:rPr>
          <w:rFonts w:ascii="Arial" w:hAnsi="Arial" w:cs="Arial"/>
          <w:sz w:val="24"/>
          <w:szCs w:val="24"/>
        </w:rPr>
        <w:t xml:space="preserve">ad not given a satisfactory account </w:t>
      </w:r>
      <w:r w:rsidR="005D76C7" w:rsidRPr="007B0231">
        <w:rPr>
          <w:rFonts w:ascii="Arial" w:hAnsi="Arial" w:cs="Arial"/>
          <w:sz w:val="24"/>
          <w:szCs w:val="24"/>
        </w:rPr>
        <w:t>of the interest that he had taken in relation to the progress of an appeal</w:t>
      </w:r>
      <w:r w:rsidR="00186E7B" w:rsidRPr="007B0231">
        <w:rPr>
          <w:rFonts w:ascii="Arial" w:hAnsi="Arial" w:cs="Arial"/>
          <w:sz w:val="24"/>
          <w:szCs w:val="24"/>
        </w:rPr>
        <w:t>.</w:t>
      </w:r>
      <w:r w:rsidR="00623168" w:rsidRPr="007B0231">
        <w:rPr>
          <w:rFonts w:ascii="Arial" w:hAnsi="Arial" w:cs="Arial"/>
          <w:sz w:val="24"/>
          <w:szCs w:val="24"/>
        </w:rPr>
        <w:t xml:space="preserve"> His petition </w:t>
      </w:r>
      <w:r w:rsidR="003A729D" w:rsidRPr="007B0231">
        <w:rPr>
          <w:rFonts w:ascii="Arial" w:hAnsi="Arial" w:cs="Arial"/>
          <w:sz w:val="24"/>
          <w:szCs w:val="24"/>
        </w:rPr>
        <w:t xml:space="preserve">had </w:t>
      </w:r>
      <w:r w:rsidR="00623168" w:rsidRPr="007B0231">
        <w:rPr>
          <w:rFonts w:ascii="Arial" w:hAnsi="Arial" w:cs="Arial"/>
          <w:sz w:val="24"/>
          <w:szCs w:val="24"/>
        </w:rPr>
        <w:t xml:space="preserve">lacked </w:t>
      </w:r>
      <w:r w:rsidR="00E12127" w:rsidRPr="007B0231">
        <w:rPr>
          <w:rFonts w:ascii="Arial" w:hAnsi="Arial" w:cs="Arial"/>
          <w:sz w:val="24"/>
          <w:szCs w:val="24"/>
        </w:rPr>
        <w:t xml:space="preserve">the </w:t>
      </w:r>
      <w:r w:rsidR="00E6391F" w:rsidRPr="007B0231">
        <w:rPr>
          <w:rFonts w:ascii="Arial" w:hAnsi="Arial" w:cs="Arial"/>
          <w:sz w:val="24"/>
          <w:szCs w:val="24"/>
        </w:rPr>
        <w:t xml:space="preserve">necessary </w:t>
      </w:r>
      <w:r w:rsidR="00623168" w:rsidRPr="007B0231">
        <w:rPr>
          <w:rFonts w:ascii="Arial" w:hAnsi="Arial" w:cs="Arial"/>
          <w:sz w:val="24"/>
          <w:szCs w:val="24"/>
        </w:rPr>
        <w:t>candour.</w:t>
      </w:r>
      <w:r w:rsidR="00186E7B">
        <w:rPr>
          <w:rStyle w:val="FootnoteReference"/>
          <w:rFonts w:ascii="Arial" w:hAnsi="Arial" w:cs="Arial"/>
          <w:sz w:val="24"/>
          <w:szCs w:val="24"/>
        </w:rPr>
        <w:footnoteReference w:id="8"/>
      </w:r>
      <w:r w:rsidR="00905BAE" w:rsidRPr="007B0231">
        <w:rPr>
          <w:rFonts w:ascii="Arial" w:hAnsi="Arial" w:cs="Arial"/>
          <w:sz w:val="24"/>
          <w:szCs w:val="24"/>
        </w:rPr>
        <w:t xml:space="preserve"> </w:t>
      </w:r>
    </w:p>
    <w:p w14:paraId="126E47EA" w14:textId="77777777" w:rsidR="00862807" w:rsidRPr="00862807" w:rsidRDefault="00862807" w:rsidP="00862807">
      <w:pPr>
        <w:pStyle w:val="ListParagraph"/>
        <w:rPr>
          <w:rFonts w:ascii="Arial" w:hAnsi="Arial" w:cs="Arial"/>
          <w:sz w:val="24"/>
          <w:szCs w:val="24"/>
        </w:rPr>
      </w:pPr>
    </w:p>
    <w:p w14:paraId="7056CD49" w14:textId="4FA04B57"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579FF" w:rsidRPr="007B0231">
        <w:rPr>
          <w:rFonts w:ascii="Arial" w:hAnsi="Arial" w:cs="Arial"/>
          <w:sz w:val="24"/>
          <w:szCs w:val="24"/>
        </w:rPr>
        <w:t xml:space="preserve">The provisions of rule 27(3) of the </w:t>
      </w:r>
      <w:r w:rsidR="00B17ABE" w:rsidRPr="007B0231">
        <w:rPr>
          <w:rFonts w:ascii="Arial" w:hAnsi="Arial" w:cs="Arial"/>
          <w:sz w:val="24"/>
          <w:szCs w:val="24"/>
        </w:rPr>
        <w:t xml:space="preserve">URC permit a court, on good cause shown, to condone </w:t>
      </w:r>
      <w:r w:rsidR="00730E08" w:rsidRPr="007B0231">
        <w:rPr>
          <w:rFonts w:ascii="Arial" w:hAnsi="Arial" w:cs="Arial"/>
          <w:sz w:val="24"/>
          <w:szCs w:val="24"/>
        </w:rPr>
        <w:t xml:space="preserve">non-compliance. </w:t>
      </w:r>
      <w:r w:rsidR="00024F76" w:rsidRPr="007B0231">
        <w:rPr>
          <w:rFonts w:ascii="Arial" w:hAnsi="Arial" w:cs="Arial"/>
          <w:sz w:val="24"/>
          <w:szCs w:val="24"/>
        </w:rPr>
        <w:t>The court enjoys a wide discret</w:t>
      </w:r>
      <w:r w:rsidR="003A729D" w:rsidRPr="007B0231">
        <w:rPr>
          <w:rFonts w:ascii="Arial" w:hAnsi="Arial" w:cs="Arial"/>
          <w:sz w:val="24"/>
          <w:szCs w:val="24"/>
        </w:rPr>
        <w:t>ion</w:t>
      </w:r>
      <w:r w:rsidR="00024F76" w:rsidRPr="007B0231">
        <w:rPr>
          <w:rFonts w:ascii="Arial" w:hAnsi="Arial" w:cs="Arial"/>
          <w:sz w:val="24"/>
          <w:szCs w:val="24"/>
        </w:rPr>
        <w:t>.</w:t>
      </w:r>
      <w:r w:rsidR="00024F76">
        <w:rPr>
          <w:rStyle w:val="FootnoteReference"/>
          <w:rFonts w:ascii="Arial" w:hAnsi="Arial" w:cs="Arial"/>
          <w:sz w:val="24"/>
          <w:szCs w:val="24"/>
        </w:rPr>
        <w:footnoteReference w:id="9"/>
      </w:r>
      <w:r w:rsidR="00DD1F39" w:rsidRPr="007B0231">
        <w:rPr>
          <w:rFonts w:ascii="Arial" w:hAnsi="Arial" w:cs="Arial"/>
          <w:sz w:val="24"/>
          <w:szCs w:val="24"/>
        </w:rPr>
        <w:t xml:space="preserve"> </w:t>
      </w:r>
      <w:r w:rsidR="00A32C6B" w:rsidRPr="007B0231">
        <w:rPr>
          <w:rFonts w:ascii="Arial" w:hAnsi="Arial" w:cs="Arial"/>
          <w:sz w:val="24"/>
          <w:szCs w:val="24"/>
        </w:rPr>
        <w:t xml:space="preserve">In his commentary on </w:t>
      </w:r>
      <w:r w:rsidR="00D37BCF" w:rsidRPr="007B0231">
        <w:rPr>
          <w:rFonts w:ascii="Arial" w:hAnsi="Arial" w:cs="Arial"/>
          <w:sz w:val="24"/>
          <w:szCs w:val="24"/>
        </w:rPr>
        <w:t>civil pro</w:t>
      </w:r>
      <w:r w:rsidR="00C13F5C" w:rsidRPr="007B0231">
        <w:rPr>
          <w:rFonts w:ascii="Arial" w:hAnsi="Arial" w:cs="Arial"/>
          <w:sz w:val="24"/>
          <w:szCs w:val="24"/>
        </w:rPr>
        <w:t>cedure,</w:t>
      </w:r>
      <w:r w:rsidR="00C13F5C">
        <w:rPr>
          <w:rStyle w:val="FootnoteReference"/>
          <w:rFonts w:ascii="Arial" w:hAnsi="Arial" w:cs="Arial"/>
          <w:sz w:val="24"/>
          <w:szCs w:val="24"/>
        </w:rPr>
        <w:footnoteReference w:id="10"/>
      </w:r>
      <w:r w:rsidR="00C13F5C" w:rsidRPr="007B0231">
        <w:rPr>
          <w:rFonts w:ascii="Arial" w:hAnsi="Arial" w:cs="Arial"/>
          <w:sz w:val="24"/>
          <w:szCs w:val="24"/>
        </w:rPr>
        <w:t xml:space="preserve"> DE van Loggerenberg observes that </w:t>
      </w:r>
      <w:r w:rsidR="00A309BF" w:rsidRPr="007B0231">
        <w:rPr>
          <w:rFonts w:ascii="Arial" w:hAnsi="Arial" w:cs="Arial"/>
          <w:sz w:val="24"/>
          <w:szCs w:val="24"/>
        </w:rPr>
        <w:t>two pri</w:t>
      </w:r>
      <w:r w:rsidR="003A729D" w:rsidRPr="007B0231">
        <w:rPr>
          <w:rFonts w:ascii="Arial" w:hAnsi="Arial" w:cs="Arial"/>
          <w:sz w:val="24"/>
          <w:szCs w:val="24"/>
        </w:rPr>
        <w:t>mary</w:t>
      </w:r>
      <w:r w:rsidR="00A309BF" w:rsidRPr="007B0231">
        <w:rPr>
          <w:rFonts w:ascii="Arial" w:hAnsi="Arial" w:cs="Arial"/>
          <w:sz w:val="24"/>
          <w:szCs w:val="24"/>
        </w:rPr>
        <w:t xml:space="preserve"> requirements have emerged</w:t>
      </w:r>
      <w:r w:rsidR="003A729D" w:rsidRPr="007B0231">
        <w:rPr>
          <w:rFonts w:ascii="Arial" w:hAnsi="Arial" w:cs="Arial"/>
          <w:sz w:val="24"/>
          <w:szCs w:val="24"/>
        </w:rPr>
        <w:t xml:space="preserve"> regarding</w:t>
      </w:r>
      <w:r w:rsidR="00B91613" w:rsidRPr="007B0231">
        <w:rPr>
          <w:rFonts w:ascii="Arial" w:hAnsi="Arial" w:cs="Arial"/>
          <w:sz w:val="24"/>
          <w:szCs w:val="24"/>
        </w:rPr>
        <w:t xml:space="preserve"> what constitutes good cause: </w:t>
      </w:r>
      <w:r w:rsidR="003F19F9" w:rsidRPr="007B0231">
        <w:rPr>
          <w:rFonts w:ascii="Arial" w:hAnsi="Arial" w:cs="Arial"/>
          <w:sz w:val="24"/>
          <w:szCs w:val="24"/>
        </w:rPr>
        <w:t xml:space="preserve">the applicant must file an affidavit that satisfactorily explains the delay, </w:t>
      </w:r>
      <w:r w:rsidR="00164706" w:rsidRPr="007B0231">
        <w:rPr>
          <w:rFonts w:ascii="Arial" w:hAnsi="Arial" w:cs="Arial"/>
          <w:sz w:val="24"/>
          <w:szCs w:val="24"/>
        </w:rPr>
        <w:t xml:space="preserve">and </w:t>
      </w:r>
      <w:r w:rsidR="00BD64EA" w:rsidRPr="007B0231">
        <w:rPr>
          <w:rFonts w:ascii="Arial" w:hAnsi="Arial" w:cs="Arial"/>
          <w:sz w:val="24"/>
          <w:szCs w:val="24"/>
        </w:rPr>
        <w:t xml:space="preserve">demonstrate </w:t>
      </w:r>
      <w:r w:rsidR="005A51B8" w:rsidRPr="007B0231">
        <w:rPr>
          <w:rFonts w:ascii="Arial" w:hAnsi="Arial" w:cs="Arial"/>
          <w:sz w:val="24"/>
          <w:szCs w:val="24"/>
        </w:rPr>
        <w:t xml:space="preserve">on oath that </w:t>
      </w:r>
      <w:r w:rsidR="00164706" w:rsidRPr="007B0231">
        <w:rPr>
          <w:rFonts w:ascii="Arial" w:hAnsi="Arial" w:cs="Arial"/>
          <w:sz w:val="24"/>
          <w:szCs w:val="24"/>
        </w:rPr>
        <w:t xml:space="preserve">his or her action is clearly not </w:t>
      </w:r>
      <w:r w:rsidR="00884CFF" w:rsidRPr="007B0231">
        <w:rPr>
          <w:rFonts w:ascii="Arial" w:hAnsi="Arial" w:cs="Arial"/>
          <w:sz w:val="24"/>
          <w:szCs w:val="24"/>
        </w:rPr>
        <w:t>ill-founded.</w:t>
      </w:r>
      <w:r w:rsidR="00884CFF">
        <w:rPr>
          <w:rStyle w:val="FootnoteReference"/>
          <w:rFonts w:ascii="Arial" w:hAnsi="Arial" w:cs="Arial"/>
          <w:sz w:val="24"/>
          <w:szCs w:val="24"/>
        </w:rPr>
        <w:footnoteReference w:id="11"/>
      </w:r>
      <w:r w:rsidR="00FB7CD0" w:rsidRPr="007B0231">
        <w:rPr>
          <w:rFonts w:ascii="Arial" w:hAnsi="Arial" w:cs="Arial"/>
          <w:sz w:val="24"/>
          <w:szCs w:val="24"/>
        </w:rPr>
        <w:t xml:space="preserve"> A further</w:t>
      </w:r>
      <w:r w:rsidR="00565F1A" w:rsidRPr="007B0231">
        <w:rPr>
          <w:rFonts w:ascii="Arial" w:hAnsi="Arial" w:cs="Arial"/>
          <w:sz w:val="24"/>
          <w:szCs w:val="24"/>
        </w:rPr>
        <w:t xml:space="preserve"> requirement</w:t>
      </w:r>
      <w:r w:rsidR="00FB7CD0" w:rsidRPr="007B0231">
        <w:rPr>
          <w:rFonts w:ascii="Arial" w:hAnsi="Arial" w:cs="Arial"/>
          <w:sz w:val="24"/>
          <w:szCs w:val="24"/>
        </w:rPr>
        <w:t>, possibly secondary</w:t>
      </w:r>
      <w:r w:rsidR="00565F1A" w:rsidRPr="007B0231">
        <w:rPr>
          <w:rFonts w:ascii="Arial" w:hAnsi="Arial" w:cs="Arial"/>
          <w:sz w:val="24"/>
          <w:szCs w:val="24"/>
        </w:rPr>
        <w:t xml:space="preserve"> in nature, is that the granting of condonation must not </w:t>
      </w:r>
      <w:r w:rsidR="00CF2973" w:rsidRPr="007B0231">
        <w:rPr>
          <w:rFonts w:ascii="Arial" w:hAnsi="Arial" w:cs="Arial"/>
          <w:sz w:val="24"/>
          <w:szCs w:val="24"/>
        </w:rPr>
        <w:t xml:space="preserve">prejudice the other party in any way that cannot be compensated </w:t>
      </w:r>
      <w:r w:rsidR="003A1532" w:rsidRPr="007B0231">
        <w:rPr>
          <w:rFonts w:ascii="Arial" w:hAnsi="Arial" w:cs="Arial"/>
          <w:sz w:val="24"/>
          <w:szCs w:val="24"/>
        </w:rPr>
        <w:t>by a suitable order.</w:t>
      </w:r>
      <w:r w:rsidR="003A1532">
        <w:rPr>
          <w:rStyle w:val="FootnoteReference"/>
          <w:rFonts w:ascii="Arial" w:hAnsi="Arial" w:cs="Arial"/>
          <w:sz w:val="24"/>
          <w:szCs w:val="24"/>
        </w:rPr>
        <w:footnoteReference w:id="12"/>
      </w:r>
    </w:p>
    <w:p w14:paraId="3DDDC5D0" w14:textId="77777777" w:rsidR="00537568" w:rsidRDefault="00537568" w:rsidP="00537568">
      <w:pPr>
        <w:pStyle w:val="ListParagraph"/>
        <w:spacing w:line="360" w:lineRule="auto"/>
        <w:ind w:left="0"/>
        <w:jc w:val="both"/>
        <w:rPr>
          <w:rFonts w:ascii="Arial" w:hAnsi="Arial" w:cs="Arial"/>
          <w:sz w:val="24"/>
          <w:szCs w:val="24"/>
        </w:rPr>
      </w:pPr>
    </w:p>
    <w:p w14:paraId="1FC4AE7B" w14:textId="1222427A"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A51B8" w:rsidRPr="007B0231">
        <w:rPr>
          <w:rFonts w:ascii="Arial" w:hAnsi="Arial" w:cs="Arial"/>
          <w:sz w:val="24"/>
          <w:szCs w:val="24"/>
        </w:rPr>
        <w:t xml:space="preserve">In the present matter, </w:t>
      </w:r>
      <w:r w:rsidR="00730E3C" w:rsidRPr="007B0231">
        <w:rPr>
          <w:rFonts w:ascii="Arial" w:hAnsi="Arial" w:cs="Arial"/>
          <w:sz w:val="24"/>
          <w:szCs w:val="24"/>
        </w:rPr>
        <w:t xml:space="preserve">the applicant’s attorney attributes the delay to his </w:t>
      </w:r>
      <w:r w:rsidR="002517F5" w:rsidRPr="007B0231">
        <w:rPr>
          <w:rFonts w:ascii="Arial" w:hAnsi="Arial" w:cs="Arial"/>
          <w:sz w:val="24"/>
          <w:szCs w:val="24"/>
        </w:rPr>
        <w:t xml:space="preserve">busy litigation practice. </w:t>
      </w:r>
      <w:r w:rsidR="00B30DC4" w:rsidRPr="007B0231">
        <w:rPr>
          <w:rFonts w:ascii="Arial" w:hAnsi="Arial" w:cs="Arial"/>
          <w:sz w:val="24"/>
          <w:szCs w:val="24"/>
        </w:rPr>
        <w:t>The explanation is not beyond c</w:t>
      </w:r>
      <w:r w:rsidR="00495200" w:rsidRPr="007B0231">
        <w:rPr>
          <w:rFonts w:ascii="Arial" w:hAnsi="Arial" w:cs="Arial"/>
          <w:sz w:val="24"/>
          <w:szCs w:val="24"/>
        </w:rPr>
        <w:t>riticism</w:t>
      </w:r>
      <w:r w:rsidR="00985C02" w:rsidRPr="007B0231">
        <w:rPr>
          <w:rFonts w:ascii="Arial" w:hAnsi="Arial" w:cs="Arial"/>
          <w:sz w:val="24"/>
          <w:szCs w:val="24"/>
        </w:rPr>
        <w:t xml:space="preserve">. The </w:t>
      </w:r>
      <w:r w:rsidR="003634F6" w:rsidRPr="007B0231">
        <w:rPr>
          <w:rFonts w:ascii="Arial" w:hAnsi="Arial" w:cs="Arial"/>
          <w:sz w:val="24"/>
          <w:szCs w:val="24"/>
        </w:rPr>
        <w:t xml:space="preserve">URC cannot simply be ignored or interpreted to suit the </w:t>
      </w:r>
      <w:r w:rsidR="00C078B3" w:rsidRPr="007B0231">
        <w:rPr>
          <w:rFonts w:ascii="Arial" w:hAnsi="Arial" w:cs="Arial"/>
          <w:sz w:val="24"/>
          <w:szCs w:val="24"/>
        </w:rPr>
        <w:t xml:space="preserve">time </w:t>
      </w:r>
      <w:r w:rsidR="00B72B7B" w:rsidRPr="007B0231">
        <w:rPr>
          <w:rFonts w:ascii="Arial" w:hAnsi="Arial" w:cs="Arial"/>
          <w:sz w:val="24"/>
          <w:szCs w:val="24"/>
        </w:rPr>
        <w:t xml:space="preserve">management shortcomings of a practitioner. </w:t>
      </w:r>
      <w:r w:rsidR="00E50167" w:rsidRPr="007B0231">
        <w:rPr>
          <w:rFonts w:ascii="Arial" w:hAnsi="Arial" w:cs="Arial"/>
          <w:sz w:val="24"/>
          <w:szCs w:val="24"/>
        </w:rPr>
        <w:t xml:space="preserve">Nevertheless, the applicant’s attorney has </w:t>
      </w:r>
      <w:r w:rsidR="00DC21C7" w:rsidRPr="007B0231">
        <w:rPr>
          <w:rFonts w:ascii="Arial" w:hAnsi="Arial" w:cs="Arial"/>
          <w:sz w:val="24"/>
          <w:szCs w:val="24"/>
        </w:rPr>
        <w:t xml:space="preserve">furnished a full and reasonable explanation that allows the court to understand how the delay came about. There is no suggestion of </w:t>
      </w:r>
      <w:r w:rsidR="007B729D" w:rsidRPr="007B0231">
        <w:rPr>
          <w:rFonts w:ascii="Arial" w:hAnsi="Arial" w:cs="Arial"/>
          <w:sz w:val="24"/>
          <w:szCs w:val="24"/>
        </w:rPr>
        <w:t>any improper motive or conduct.</w:t>
      </w:r>
      <w:r w:rsidR="00C25910" w:rsidRPr="007B0231">
        <w:rPr>
          <w:rFonts w:ascii="Arial" w:hAnsi="Arial" w:cs="Arial"/>
          <w:sz w:val="24"/>
          <w:szCs w:val="24"/>
        </w:rPr>
        <w:t xml:space="preserve"> Furthermore, the </w:t>
      </w:r>
      <w:r w:rsidR="00227CF2" w:rsidRPr="007B0231">
        <w:rPr>
          <w:rFonts w:ascii="Arial" w:hAnsi="Arial" w:cs="Arial"/>
          <w:sz w:val="24"/>
          <w:szCs w:val="24"/>
        </w:rPr>
        <w:t>applicant has already set out, in her founding</w:t>
      </w:r>
      <w:r w:rsidR="00E9756A" w:rsidRPr="007B0231">
        <w:rPr>
          <w:rFonts w:ascii="Arial" w:hAnsi="Arial" w:cs="Arial"/>
          <w:sz w:val="24"/>
          <w:szCs w:val="24"/>
        </w:rPr>
        <w:t xml:space="preserve"> affidavit, the facts and arguments upon which her application rests.</w:t>
      </w:r>
      <w:r w:rsidR="005151EC" w:rsidRPr="007B0231">
        <w:rPr>
          <w:rFonts w:ascii="Arial" w:hAnsi="Arial" w:cs="Arial"/>
          <w:sz w:val="24"/>
          <w:szCs w:val="24"/>
        </w:rPr>
        <w:t xml:space="preserve"> The matter is not </w:t>
      </w:r>
      <w:r w:rsidR="00331C9B" w:rsidRPr="007B0231">
        <w:rPr>
          <w:rFonts w:ascii="Arial" w:hAnsi="Arial" w:cs="Arial"/>
          <w:sz w:val="24"/>
          <w:szCs w:val="24"/>
        </w:rPr>
        <w:t>uncomplicated,</w:t>
      </w:r>
      <w:r w:rsidR="005151EC" w:rsidRPr="007B0231">
        <w:rPr>
          <w:rFonts w:ascii="Arial" w:hAnsi="Arial" w:cs="Arial"/>
          <w:sz w:val="24"/>
          <w:szCs w:val="24"/>
        </w:rPr>
        <w:t xml:space="preserve"> and the applicant has demonstrated, at the very least, that her case is not ill-founded.</w:t>
      </w:r>
      <w:r w:rsidR="00331C9B" w:rsidRPr="007B0231">
        <w:rPr>
          <w:rFonts w:ascii="Arial" w:hAnsi="Arial" w:cs="Arial"/>
          <w:sz w:val="24"/>
          <w:szCs w:val="24"/>
        </w:rPr>
        <w:t xml:space="preserve"> Finally, </w:t>
      </w:r>
      <w:r w:rsidR="006603F4" w:rsidRPr="007B0231">
        <w:rPr>
          <w:rFonts w:ascii="Arial" w:hAnsi="Arial" w:cs="Arial"/>
          <w:sz w:val="24"/>
          <w:szCs w:val="24"/>
        </w:rPr>
        <w:t xml:space="preserve">the fourth respondent can hardly complain about delay when its own answering affidavit was </w:t>
      </w:r>
      <w:r w:rsidR="008744D7" w:rsidRPr="007B0231">
        <w:rPr>
          <w:rFonts w:ascii="Arial" w:hAnsi="Arial" w:cs="Arial"/>
          <w:sz w:val="24"/>
          <w:szCs w:val="24"/>
        </w:rPr>
        <w:t xml:space="preserve">filed </w:t>
      </w:r>
      <w:r w:rsidR="005B4842" w:rsidRPr="007B0231">
        <w:rPr>
          <w:rFonts w:ascii="Arial" w:hAnsi="Arial" w:cs="Arial"/>
          <w:sz w:val="24"/>
          <w:szCs w:val="24"/>
        </w:rPr>
        <w:t xml:space="preserve">considerably late, as </w:t>
      </w:r>
      <w:r w:rsidR="00A6157F" w:rsidRPr="007B0231">
        <w:rPr>
          <w:rFonts w:ascii="Arial" w:hAnsi="Arial" w:cs="Arial"/>
          <w:sz w:val="24"/>
          <w:szCs w:val="24"/>
        </w:rPr>
        <w:t>apparent from</w:t>
      </w:r>
      <w:r w:rsidR="003A729D" w:rsidRPr="007B0231">
        <w:rPr>
          <w:rFonts w:ascii="Arial" w:hAnsi="Arial" w:cs="Arial"/>
          <w:sz w:val="24"/>
          <w:szCs w:val="24"/>
        </w:rPr>
        <w:t xml:space="preserve"> Mr Coetzee’s </w:t>
      </w:r>
      <w:r w:rsidR="00A6157F" w:rsidRPr="007B0231">
        <w:rPr>
          <w:rFonts w:ascii="Arial" w:hAnsi="Arial" w:cs="Arial"/>
          <w:sz w:val="24"/>
          <w:szCs w:val="24"/>
        </w:rPr>
        <w:t xml:space="preserve">timeline. </w:t>
      </w:r>
      <w:r w:rsidR="00E83222" w:rsidRPr="007B0231">
        <w:rPr>
          <w:rFonts w:ascii="Arial" w:hAnsi="Arial" w:cs="Arial"/>
          <w:sz w:val="24"/>
          <w:szCs w:val="24"/>
        </w:rPr>
        <w:t>It received the replying affidavit well in advance of the hearing of the matter</w:t>
      </w:r>
      <w:r w:rsidR="00284310" w:rsidRPr="007B0231">
        <w:rPr>
          <w:rFonts w:ascii="Arial" w:hAnsi="Arial" w:cs="Arial"/>
          <w:sz w:val="24"/>
          <w:szCs w:val="24"/>
        </w:rPr>
        <w:t xml:space="preserve">, no visible prejudice was </w:t>
      </w:r>
      <w:r w:rsidR="0076686F" w:rsidRPr="007B0231">
        <w:rPr>
          <w:rFonts w:ascii="Arial" w:hAnsi="Arial" w:cs="Arial"/>
          <w:sz w:val="24"/>
          <w:szCs w:val="24"/>
        </w:rPr>
        <w:t>caused.</w:t>
      </w:r>
    </w:p>
    <w:p w14:paraId="576676E1" w14:textId="77777777" w:rsidR="00537568" w:rsidRPr="00537568" w:rsidRDefault="00537568" w:rsidP="00537568">
      <w:pPr>
        <w:pStyle w:val="ListParagraph"/>
        <w:rPr>
          <w:rFonts w:ascii="Arial" w:hAnsi="Arial" w:cs="Arial"/>
          <w:sz w:val="24"/>
          <w:szCs w:val="24"/>
        </w:rPr>
      </w:pPr>
    </w:p>
    <w:p w14:paraId="7139BA55" w14:textId="5F782DA8" w:rsidR="0076686F"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t>[31]</w:t>
      </w:r>
      <w:r w:rsidRPr="00537568">
        <w:rPr>
          <w:rFonts w:ascii="Arial" w:hAnsi="Arial" w:cs="Arial"/>
          <w:sz w:val="24"/>
          <w:szCs w:val="24"/>
        </w:rPr>
        <w:tab/>
      </w:r>
      <w:r w:rsidR="00707E9A" w:rsidRPr="007B0231">
        <w:rPr>
          <w:rFonts w:ascii="Arial" w:hAnsi="Arial" w:cs="Arial"/>
          <w:sz w:val="24"/>
          <w:szCs w:val="24"/>
        </w:rPr>
        <w:t>Consequently, the court is prepared to condone the applicant’s non-compliance.</w:t>
      </w:r>
      <w:r w:rsidR="00DB660C" w:rsidRPr="007B0231">
        <w:rPr>
          <w:rFonts w:ascii="Arial" w:hAnsi="Arial" w:cs="Arial"/>
          <w:sz w:val="24"/>
          <w:szCs w:val="24"/>
        </w:rPr>
        <w:t xml:space="preserve"> Her application succeeds.</w:t>
      </w:r>
    </w:p>
    <w:p w14:paraId="23E7166F" w14:textId="77BC07D1" w:rsidR="00862807" w:rsidRDefault="003A729D" w:rsidP="00537568">
      <w:pPr>
        <w:spacing w:line="360" w:lineRule="auto"/>
        <w:jc w:val="both"/>
        <w:rPr>
          <w:rFonts w:ascii="Arial" w:hAnsi="Arial" w:cs="Arial"/>
          <w:b/>
          <w:bCs/>
          <w:sz w:val="24"/>
          <w:szCs w:val="24"/>
        </w:rPr>
      </w:pPr>
      <w:r w:rsidRPr="00144F6C">
        <w:rPr>
          <w:rFonts w:ascii="Arial" w:hAnsi="Arial" w:cs="Arial"/>
          <w:b/>
          <w:bCs/>
          <w:sz w:val="24"/>
          <w:szCs w:val="24"/>
        </w:rPr>
        <w:t>APPLICATION FOR EXTENSION OF 180-DAY PERIOD FOR REVIEW APPLICATION</w:t>
      </w:r>
    </w:p>
    <w:p w14:paraId="1863CC7F" w14:textId="77777777" w:rsidR="00862807" w:rsidRPr="00144F6C" w:rsidRDefault="00862807" w:rsidP="00537568">
      <w:pPr>
        <w:spacing w:line="360" w:lineRule="auto"/>
        <w:jc w:val="both"/>
        <w:rPr>
          <w:rFonts w:ascii="Arial" w:hAnsi="Arial" w:cs="Arial"/>
          <w:b/>
          <w:bCs/>
          <w:sz w:val="24"/>
          <w:szCs w:val="24"/>
        </w:rPr>
      </w:pPr>
    </w:p>
    <w:p w14:paraId="7270B83B" w14:textId="5A77A975"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A729D" w:rsidRPr="007B0231">
        <w:rPr>
          <w:rFonts w:ascii="Arial" w:hAnsi="Arial" w:cs="Arial"/>
          <w:sz w:val="24"/>
          <w:szCs w:val="24"/>
        </w:rPr>
        <w:t>T</w:t>
      </w:r>
      <w:r w:rsidR="003959A2" w:rsidRPr="007B0231">
        <w:rPr>
          <w:rFonts w:ascii="Arial" w:hAnsi="Arial" w:cs="Arial"/>
          <w:sz w:val="24"/>
          <w:szCs w:val="24"/>
        </w:rPr>
        <w:t>he applicant</w:t>
      </w:r>
      <w:r w:rsidR="00144F6C" w:rsidRPr="007B0231">
        <w:rPr>
          <w:rFonts w:ascii="Arial" w:hAnsi="Arial" w:cs="Arial"/>
          <w:sz w:val="24"/>
          <w:szCs w:val="24"/>
        </w:rPr>
        <w:t xml:space="preserve"> </w:t>
      </w:r>
      <w:r w:rsidR="003A729D" w:rsidRPr="007B0231">
        <w:rPr>
          <w:rFonts w:ascii="Arial" w:hAnsi="Arial" w:cs="Arial"/>
          <w:sz w:val="24"/>
          <w:szCs w:val="24"/>
        </w:rPr>
        <w:t xml:space="preserve">alleges </w:t>
      </w:r>
      <w:r w:rsidR="009B21C2" w:rsidRPr="007B0231">
        <w:rPr>
          <w:rFonts w:ascii="Arial" w:hAnsi="Arial" w:cs="Arial"/>
          <w:sz w:val="24"/>
          <w:szCs w:val="24"/>
        </w:rPr>
        <w:t xml:space="preserve">that she </w:t>
      </w:r>
      <w:r w:rsidR="00BA557F" w:rsidRPr="007B0231">
        <w:rPr>
          <w:rFonts w:ascii="Arial" w:hAnsi="Arial" w:cs="Arial"/>
          <w:sz w:val="24"/>
          <w:szCs w:val="24"/>
        </w:rPr>
        <w:t xml:space="preserve">became aware of the </w:t>
      </w:r>
      <w:r w:rsidR="002362B6" w:rsidRPr="007B0231">
        <w:rPr>
          <w:rFonts w:ascii="Arial" w:hAnsi="Arial" w:cs="Arial"/>
          <w:sz w:val="24"/>
          <w:szCs w:val="24"/>
        </w:rPr>
        <w:t>appeal authority</w:t>
      </w:r>
      <w:r w:rsidR="00BA557F" w:rsidRPr="007B0231">
        <w:rPr>
          <w:rFonts w:ascii="Arial" w:hAnsi="Arial" w:cs="Arial"/>
          <w:sz w:val="24"/>
          <w:szCs w:val="24"/>
        </w:rPr>
        <w:t xml:space="preserve">’s decision on </w:t>
      </w:r>
      <w:r w:rsidR="00227B0B" w:rsidRPr="007B0231">
        <w:rPr>
          <w:rFonts w:ascii="Arial" w:hAnsi="Arial" w:cs="Arial"/>
          <w:sz w:val="24"/>
          <w:szCs w:val="24"/>
        </w:rPr>
        <w:t xml:space="preserve">7 July 2021. </w:t>
      </w:r>
      <w:r w:rsidR="009B21C2" w:rsidRPr="007B0231">
        <w:rPr>
          <w:rFonts w:ascii="Arial" w:hAnsi="Arial" w:cs="Arial"/>
          <w:sz w:val="24"/>
          <w:szCs w:val="24"/>
        </w:rPr>
        <w:t xml:space="preserve">She was required, </w:t>
      </w:r>
      <w:r w:rsidR="003A729D" w:rsidRPr="007B0231">
        <w:rPr>
          <w:rFonts w:ascii="Arial" w:hAnsi="Arial" w:cs="Arial"/>
          <w:sz w:val="24"/>
          <w:szCs w:val="24"/>
        </w:rPr>
        <w:t xml:space="preserve">in terms of </w:t>
      </w:r>
      <w:r w:rsidR="008A27A4" w:rsidRPr="007B0231">
        <w:rPr>
          <w:rFonts w:ascii="Arial" w:hAnsi="Arial" w:cs="Arial"/>
          <w:sz w:val="24"/>
          <w:szCs w:val="24"/>
        </w:rPr>
        <w:t xml:space="preserve">section </w:t>
      </w:r>
      <w:r w:rsidR="005B1F4C" w:rsidRPr="007B0231">
        <w:rPr>
          <w:rFonts w:ascii="Arial" w:hAnsi="Arial" w:cs="Arial"/>
          <w:sz w:val="24"/>
          <w:szCs w:val="24"/>
        </w:rPr>
        <w:t xml:space="preserve">7(1) of PAJA, to have </w:t>
      </w:r>
      <w:r w:rsidR="00F82FBB" w:rsidRPr="007B0231">
        <w:rPr>
          <w:rFonts w:ascii="Arial" w:hAnsi="Arial" w:cs="Arial"/>
          <w:sz w:val="24"/>
          <w:szCs w:val="24"/>
        </w:rPr>
        <w:t xml:space="preserve">instituted proceedings </w:t>
      </w:r>
      <w:r w:rsidR="003542B5" w:rsidRPr="007B0231">
        <w:rPr>
          <w:rFonts w:ascii="Arial" w:hAnsi="Arial" w:cs="Arial"/>
          <w:sz w:val="24"/>
          <w:szCs w:val="24"/>
        </w:rPr>
        <w:t xml:space="preserve">for judicial review </w:t>
      </w:r>
      <w:r w:rsidR="00F82FBB" w:rsidRPr="007B0231">
        <w:rPr>
          <w:rFonts w:ascii="Arial" w:hAnsi="Arial" w:cs="Arial"/>
          <w:sz w:val="24"/>
          <w:szCs w:val="24"/>
        </w:rPr>
        <w:t xml:space="preserve">without unreasonable delay and by no later than </w:t>
      </w:r>
      <w:r w:rsidR="00FB68C3" w:rsidRPr="007B0231">
        <w:rPr>
          <w:rFonts w:ascii="Arial" w:hAnsi="Arial" w:cs="Arial"/>
          <w:sz w:val="24"/>
          <w:szCs w:val="24"/>
        </w:rPr>
        <w:t>3 January 202</w:t>
      </w:r>
      <w:r w:rsidR="00A239E3" w:rsidRPr="007B0231">
        <w:rPr>
          <w:rFonts w:ascii="Arial" w:hAnsi="Arial" w:cs="Arial"/>
          <w:sz w:val="24"/>
          <w:szCs w:val="24"/>
        </w:rPr>
        <w:t>2</w:t>
      </w:r>
      <w:r w:rsidR="00FB68C3" w:rsidRPr="007B0231">
        <w:rPr>
          <w:rFonts w:ascii="Arial" w:hAnsi="Arial" w:cs="Arial"/>
          <w:sz w:val="24"/>
          <w:szCs w:val="24"/>
        </w:rPr>
        <w:t>.</w:t>
      </w:r>
      <w:r w:rsidR="00EF7AD8" w:rsidRPr="007B0231">
        <w:rPr>
          <w:rFonts w:ascii="Arial" w:hAnsi="Arial" w:cs="Arial"/>
          <w:sz w:val="24"/>
          <w:szCs w:val="24"/>
        </w:rPr>
        <w:t xml:space="preserve"> </w:t>
      </w:r>
    </w:p>
    <w:p w14:paraId="0748F524" w14:textId="77777777" w:rsidR="00537568" w:rsidRDefault="00537568" w:rsidP="00537568">
      <w:pPr>
        <w:pStyle w:val="ListParagraph"/>
        <w:spacing w:line="360" w:lineRule="auto"/>
        <w:ind w:left="0"/>
        <w:jc w:val="both"/>
        <w:rPr>
          <w:rFonts w:ascii="Arial" w:hAnsi="Arial" w:cs="Arial"/>
          <w:sz w:val="24"/>
          <w:szCs w:val="24"/>
        </w:rPr>
      </w:pPr>
    </w:p>
    <w:p w14:paraId="6A0CCA7E" w14:textId="25EFCD22" w:rsidR="003959A2"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t>[33]</w:t>
      </w:r>
      <w:r w:rsidRPr="00537568">
        <w:rPr>
          <w:rFonts w:ascii="Arial" w:hAnsi="Arial" w:cs="Arial"/>
          <w:sz w:val="24"/>
          <w:szCs w:val="24"/>
        </w:rPr>
        <w:tab/>
      </w:r>
      <w:r w:rsidR="00A05FCD" w:rsidRPr="007B0231">
        <w:rPr>
          <w:rFonts w:ascii="Arial" w:hAnsi="Arial" w:cs="Arial"/>
          <w:sz w:val="24"/>
          <w:szCs w:val="24"/>
        </w:rPr>
        <w:t xml:space="preserve">The applicant </w:t>
      </w:r>
      <w:r w:rsidR="00EF7AD8" w:rsidRPr="007B0231">
        <w:rPr>
          <w:rFonts w:ascii="Arial" w:hAnsi="Arial" w:cs="Arial"/>
          <w:sz w:val="24"/>
          <w:szCs w:val="24"/>
        </w:rPr>
        <w:t xml:space="preserve">avers that she </w:t>
      </w:r>
      <w:r w:rsidR="00A2503B" w:rsidRPr="007B0231">
        <w:rPr>
          <w:rFonts w:ascii="Arial" w:hAnsi="Arial" w:cs="Arial"/>
          <w:sz w:val="24"/>
          <w:szCs w:val="24"/>
        </w:rPr>
        <w:t xml:space="preserve">considered the </w:t>
      </w:r>
      <w:r w:rsidR="008501C9" w:rsidRPr="007B0231">
        <w:rPr>
          <w:rFonts w:ascii="Arial" w:hAnsi="Arial" w:cs="Arial"/>
          <w:sz w:val="24"/>
          <w:szCs w:val="24"/>
        </w:rPr>
        <w:t>entire matter</w:t>
      </w:r>
      <w:r w:rsidR="00742BF0" w:rsidRPr="007B0231">
        <w:rPr>
          <w:rFonts w:ascii="Arial" w:hAnsi="Arial" w:cs="Arial"/>
          <w:sz w:val="24"/>
          <w:szCs w:val="24"/>
        </w:rPr>
        <w:t xml:space="preserve"> </w:t>
      </w:r>
      <w:r w:rsidR="008501C9" w:rsidRPr="007B0231">
        <w:rPr>
          <w:rFonts w:ascii="Arial" w:hAnsi="Arial" w:cs="Arial"/>
          <w:sz w:val="24"/>
          <w:szCs w:val="24"/>
        </w:rPr>
        <w:t>before seeking legal advice</w:t>
      </w:r>
      <w:r w:rsidR="007713DA" w:rsidRPr="007B0231">
        <w:rPr>
          <w:rFonts w:ascii="Arial" w:hAnsi="Arial" w:cs="Arial"/>
          <w:sz w:val="24"/>
          <w:szCs w:val="24"/>
        </w:rPr>
        <w:t>.</w:t>
      </w:r>
      <w:r w:rsidR="00621551" w:rsidRPr="007B0231">
        <w:rPr>
          <w:rFonts w:ascii="Arial" w:hAnsi="Arial" w:cs="Arial"/>
          <w:sz w:val="24"/>
          <w:szCs w:val="24"/>
        </w:rPr>
        <w:t xml:space="preserve"> </w:t>
      </w:r>
      <w:r w:rsidR="00A05FCD" w:rsidRPr="007B0231">
        <w:rPr>
          <w:rFonts w:ascii="Arial" w:hAnsi="Arial" w:cs="Arial"/>
          <w:sz w:val="24"/>
          <w:szCs w:val="24"/>
        </w:rPr>
        <w:t xml:space="preserve">She contracted COVID-19 in June 2021, </w:t>
      </w:r>
      <w:r w:rsidR="00D05582" w:rsidRPr="007B0231">
        <w:rPr>
          <w:rFonts w:ascii="Arial" w:hAnsi="Arial" w:cs="Arial"/>
          <w:sz w:val="24"/>
          <w:szCs w:val="24"/>
        </w:rPr>
        <w:t xml:space="preserve">however, </w:t>
      </w:r>
      <w:r w:rsidR="00A05FCD" w:rsidRPr="007B0231">
        <w:rPr>
          <w:rFonts w:ascii="Arial" w:hAnsi="Arial" w:cs="Arial"/>
          <w:sz w:val="24"/>
          <w:szCs w:val="24"/>
        </w:rPr>
        <w:t>which led to her hospitalization</w:t>
      </w:r>
      <w:r w:rsidR="00586B78" w:rsidRPr="007B0231">
        <w:rPr>
          <w:rFonts w:ascii="Arial" w:hAnsi="Arial" w:cs="Arial"/>
          <w:sz w:val="24"/>
          <w:szCs w:val="24"/>
        </w:rPr>
        <w:t xml:space="preserve"> in July 2021. Th</w:t>
      </w:r>
      <w:r w:rsidR="006C750A" w:rsidRPr="007B0231">
        <w:rPr>
          <w:rFonts w:ascii="Arial" w:hAnsi="Arial" w:cs="Arial"/>
          <w:sz w:val="24"/>
          <w:szCs w:val="24"/>
        </w:rPr>
        <w:t xml:space="preserve">is prevented her from working during August and September 2021, which is the same </w:t>
      </w:r>
      <w:r w:rsidR="00BC3560" w:rsidRPr="007B0231">
        <w:rPr>
          <w:rFonts w:ascii="Arial" w:hAnsi="Arial" w:cs="Arial"/>
          <w:sz w:val="24"/>
          <w:szCs w:val="24"/>
        </w:rPr>
        <w:t>period in which h</w:t>
      </w:r>
      <w:r w:rsidR="00621551" w:rsidRPr="007B0231">
        <w:rPr>
          <w:rFonts w:ascii="Arial" w:hAnsi="Arial" w:cs="Arial"/>
          <w:sz w:val="24"/>
          <w:szCs w:val="24"/>
        </w:rPr>
        <w:t xml:space="preserve">er attorney, Mr Coetzee, contracted </w:t>
      </w:r>
      <w:r w:rsidR="00BC3560" w:rsidRPr="007B0231">
        <w:rPr>
          <w:rFonts w:ascii="Arial" w:hAnsi="Arial" w:cs="Arial"/>
          <w:sz w:val="24"/>
          <w:szCs w:val="24"/>
        </w:rPr>
        <w:t xml:space="preserve">the </w:t>
      </w:r>
      <w:r w:rsidR="00B81AEF" w:rsidRPr="007B0231">
        <w:rPr>
          <w:rFonts w:ascii="Arial" w:hAnsi="Arial" w:cs="Arial"/>
          <w:sz w:val="24"/>
          <w:szCs w:val="24"/>
        </w:rPr>
        <w:t>virus</w:t>
      </w:r>
      <w:r w:rsidR="00BC3560" w:rsidRPr="007B0231">
        <w:rPr>
          <w:rFonts w:ascii="Arial" w:hAnsi="Arial" w:cs="Arial"/>
          <w:sz w:val="24"/>
          <w:szCs w:val="24"/>
        </w:rPr>
        <w:t xml:space="preserve">. He was </w:t>
      </w:r>
      <w:r w:rsidR="00A04E62" w:rsidRPr="007B0231">
        <w:rPr>
          <w:rFonts w:ascii="Arial" w:hAnsi="Arial" w:cs="Arial"/>
          <w:sz w:val="24"/>
          <w:szCs w:val="24"/>
        </w:rPr>
        <w:t xml:space="preserve">absent from work for </w:t>
      </w:r>
      <w:r w:rsidR="00886EFC" w:rsidRPr="007B0231">
        <w:rPr>
          <w:rFonts w:ascii="Arial" w:hAnsi="Arial" w:cs="Arial"/>
          <w:sz w:val="24"/>
          <w:szCs w:val="24"/>
        </w:rPr>
        <w:t xml:space="preserve">various </w:t>
      </w:r>
      <w:r w:rsidR="00A04E62" w:rsidRPr="007B0231">
        <w:rPr>
          <w:rFonts w:ascii="Arial" w:hAnsi="Arial" w:cs="Arial"/>
          <w:sz w:val="24"/>
          <w:szCs w:val="24"/>
        </w:rPr>
        <w:t xml:space="preserve">periods </w:t>
      </w:r>
      <w:r w:rsidR="00DF2D52" w:rsidRPr="007B0231">
        <w:rPr>
          <w:rFonts w:ascii="Arial" w:hAnsi="Arial" w:cs="Arial"/>
          <w:sz w:val="24"/>
          <w:szCs w:val="24"/>
        </w:rPr>
        <w:t>over th</w:t>
      </w:r>
      <w:r w:rsidR="007E543A" w:rsidRPr="007B0231">
        <w:rPr>
          <w:rFonts w:ascii="Arial" w:hAnsi="Arial" w:cs="Arial"/>
          <w:sz w:val="24"/>
          <w:szCs w:val="24"/>
        </w:rPr>
        <w:t>at</w:t>
      </w:r>
      <w:r w:rsidR="00DF2D52" w:rsidRPr="007B0231">
        <w:rPr>
          <w:rFonts w:ascii="Arial" w:hAnsi="Arial" w:cs="Arial"/>
          <w:sz w:val="24"/>
          <w:szCs w:val="24"/>
        </w:rPr>
        <w:t xml:space="preserve"> </w:t>
      </w:r>
      <w:r w:rsidR="00D05582" w:rsidRPr="007B0231">
        <w:rPr>
          <w:rFonts w:ascii="Arial" w:hAnsi="Arial" w:cs="Arial"/>
          <w:sz w:val="24"/>
          <w:szCs w:val="24"/>
        </w:rPr>
        <w:t>time</w:t>
      </w:r>
      <w:r w:rsidR="0089031D" w:rsidRPr="007B0231">
        <w:rPr>
          <w:rFonts w:ascii="Arial" w:hAnsi="Arial" w:cs="Arial"/>
          <w:sz w:val="24"/>
          <w:szCs w:val="24"/>
        </w:rPr>
        <w:t xml:space="preserve"> </w:t>
      </w:r>
      <w:r w:rsidR="00DF2D52" w:rsidRPr="007B0231">
        <w:rPr>
          <w:rFonts w:ascii="Arial" w:hAnsi="Arial" w:cs="Arial"/>
          <w:sz w:val="24"/>
          <w:szCs w:val="24"/>
        </w:rPr>
        <w:t xml:space="preserve">and only </w:t>
      </w:r>
      <w:r w:rsidR="00886EFC" w:rsidRPr="007B0231">
        <w:rPr>
          <w:rFonts w:ascii="Arial" w:hAnsi="Arial" w:cs="Arial"/>
          <w:sz w:val="24"/>
          <w:szCs w:val="24"/>
        </w:rPr>
        <w:t xml:space="preserve">returned to full-time </w:t>
      </w:r>
      <w:r w:rsidR="004A2C70" w:rsidRPr="007B0231">
        <w:rPr>
          <w:rFonts w:ascii="Arial" w:hAnsi="Arial" w:cs="Arial"/>
          <w:sz w:val="24"/>
          <w:szCs w:val="24"/>
        </w:rPr>
        <w:t>practice</w:t>
      </w:r>
      <w:r w:rsidR="00886EFC" w:rsidRPr="007B0231">
        <w:rPr>
          <w:rFonts w:ascii="Arial" w:hAnsi="Arial" w:cs="Arial"/>
          <w:sz w:val="24"/>
          <w:szCs w:val="24"/>
        </w:rPr>
        <w:t xml:space="preserve"> in </w:t>
      </w:r>
      <w:r w:rsidR="00886EFC" w:rsidRPr="007B0231">
        <w:rPr>
          <w:rFonts w:ascii="Arial" w:hAnsi="Arial" w:cs="Arial"/>
          <w:sz w:val="24"/>
          <w:szCs w:val="24"/>
        </w:rPr>
        <w:lastRenderedPageBreak/>
        <w:t>October 2021.</w:t>
      </w:r>
      <w:r w:rsidR="00BC0BEE" w:rsidRPr="007B0231">
        <w:rPr>
          <w:rFonts w:ascii="Arial" w:hAnsi="Arial" w:cs="Arial"/>
          <w:sz w:val="24"/>
          <w:szCs w:val="24"/>
        </w:rPr>
        <w:t xml:space="preserve"> Mr Coetzee contracted COVID-19 again in December 202</w:t>
      </w:r>
      <w:r w:rsidR="007E543A" w:rsidRPr="007B0231">
        <w:rPr>
          <w:rFonts w:ascii="Arial" w:hAnsi="Arial" w:cs="Arial"/>
          <w:sz w:val="24"/>
          <w:szCs w:val="24"/>
        </w:rPr>
        <w:t>1 before taking annual leave</w:t>
      </w:r>
      <w:r w:rsidR="0089031D" w:rsidRPr="007B0231">
        <w:rPr>
          <w:rFonts w:ascii="Arial" w:hAnsi="Arial" w:cs="Arial"/>
          <w:sz w:val="24"/>
          <w:szCs w:val="24"/>
        </w:rPr>
        <w:t xml:space="preserve">. </w:t>
      </w:r>
      <w:r w:rsidR="005B3E29" w:rsidRPr="007B0231">
        <w:rPr>
          <w:rFonts w:ascii="Arial" w:hAnsi="Arial" w:cs="Arial"/>
          <w:sz w:val="24"/>
          <w:szCs w:val="24"/>
        </w:rPr>
        <w:t xml:space="preserve">Consultations commenced in January 2022 and culminated in the </w:t>
      </w:r>
      <w:r w:rsidR="002D54E9" w:rsidRPr="007B0231">
        <w:rPr>
          <w:rFonts w:ascii="Arial" w:hAnsi="Arial" w:cs="Arial"/>
          <w:sz w:val="24"/>
          <w:szCs w:val="24"/>
        </w:rPr>
        <w:t xml:space="preserve">institution of </w:t>
      </w:r>
      <w:r w:rsidR="005278F2" w:rsidRPr="007B0231">
        <w:rPr>
          <w:rFonts w:ascii="Arial" w:hAnsi="Arial" w:cs="Arial"/>
          <w:sz w:val="24"/>
          <w:szCs w:val="24"/>
        </w:rPr>
        <w:t xml:space="preserve">review </w:t>
      </w:r>
      <w:r w:rsidR="002D54E9" w:rsidRPr="007B0231">
        <w:rPr>
          <w:rFonts w:ascii="Arial" w:hAnsi="Arial" w:cs="Arial"/>
          <w:sz w:val="24"/>
          <w:szCs w:val="24"/>
        </w:rPr>
        <w:t>proceedings on 28 February 2022.</w:t>
      </w:r>
    </w:p>
    <w:p w14:paraId="2BA2BC03" w14:textId="77777777" w:rsidR="004E0C4C" w:rsidRDefault="004E0C4C" w:rsidP="00E04865">
      <w:pPr>
        <w:spacing w:line="360" w:lineRule="auto"/>
        <w:rPr>
          <w:rFonts w:ascii="Arial" w:hAnsi="Arial" w:cs="Arial"/>
          <w:sz w:val="24"/>
          <w:szCs w:val="24"/>
        </w:rPr>
      </w:pPr>
    </w:p>
    <w:p w14:paraId="0F77E6D5" w14:textId="4DCA9F72" w:rsidR="004E0C4C" w:rsidRPr="00D05582" w:rsidRDefault="004E0C4C" w:rsidP="00537568">
      <w:pPr>
        <w:spacing w:line="360" w:lineRule="auto"/>
        <w:jc w:val="both"/>
        <w:rPr>
          <w:rFonts w:ascii="Arial" w:hAnsi="Arial" w:cs="Arial"/>
          <w:b/>
          <w:bCs/>
          <w:sz w:val="24"/>
          <w:szCs w:val="24"/>
        </w:rPr>
      </w:pPr>
      <w:r w:rsidRPr="00D05582">
        <w:rPr>
          <w:rFonts w:ascii="Arial" w:hAnsi="Arial" w:cs="Arial"/>
          <w:b/>
          <w:bCs/>
          <w:sz w:val="24"/>
          <w:szCs w:val="24"/>
        </w:rPr>
        <w:t>Extension by agreement betwee</w:t>
      </w:r>
      <w:r w:rsidR="00DC69B9" w:rsidRPr="00D05582">
        <w:rPr>
          <w:rFonts w:ascii="Arial" w:hAnsi="Arial" w:cs="Arial"/>
          <w:b/>
          <w:bCs/>
          <w:sz w:val="24"/>
          <w:szCs w:val="24"/>
        </w:rPr>
        <w:t>n the parties</w:t>
      </w:r>
    </w:p>
    <w:p w14:paraId="35263F8D" w14:textId="77777777" w:rsidR="00DC69B9" w:rsidRDefault="00DC69B9" w:rsidP="00E04865">
      <w:pPr>
        <w:spacing w:line="360" w:lineRule="auto"/>
        <w:rPr>
          <w:rFonts w:ascii="Arial" w:hAnsi="Arial" w:cs="Arial"/>
          <w:sz w:val="24"/>
          <w:szCs w:val="24"/>
        </w:rPr>
      </w:pPr>
    </w:p>
    <w:p w14:paraId="76BF3F6B" w14:textId="73051643"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D54E9" w:rsidRPr="007B0231">
        <w:rPr>
          <w:rFonts w:ascii="Arial" w:hAnsi="Arial" w:cs="Arial"/>
          <w:sz w:val="24"/>
          <w:szCs w:val="24"/>
        </w:rPr>
        <w:t xml:space="preserve">Importantly, </w:t>
      </w:r>
      <w:r w:rsidR="0023665D" w:rsidRPr="007B0231">
        <w:rPr>
          <w:rFonts w:ascii="Arial" w:hAnsi="Arial" w:cs="Arial"/>
          <w:sz w:val="24"/>
          <w:szCs w:val="24"/>
        </w:rPr>
        <w:t>Mr Coetzee</w:t>
      </w:r>
      <w:r w:rsidR="00AF33F7" w:rsidRPr="007B0231">
        <w:rPr>
          <w:rFonts w:ascii="Arial" w:hAnsi="Arial" w:cs="Arial"/>
          <w:sz w:val="24"/>
          <w:szCs w:val="24"/>
        </w:rPr>
        <w:t xml:space="preserve"> previously </w:t>
      </w:r>
      <w:r w:rsidR="0023665D" w:rsidRPr="007B0231">
        <w:rPr>
          <w:rFonts w:ascii="Arial" w:hAnsi="Arial" w:cs="Arial"/>
          <w:sz w:val="24"/>
          <w:szCs w:val="24"/>
        </w:rPr>
        <w:t>requested</w:t>
      </w:r>
      <w:r w:rsidR="006143B8" w:rsidRPr="007B0231">
        <w:rPr>
          <w:rFonts w:ascii="Arial" w:hAnsi="Arial" w:cs="Arial"/>
          <w:sz w:val="24"/>
          <w:szCs w:val="24"/>
        </w:rPr>
        <w:t xml:space="preserve"> </w:t>
      </w:r>
      <w:r w:rsidR="0023665D" w:rsidRPr="007B0231">
        <w:rPr>
          <w:rFonts w:ascii="Arial" w:hAnsi="Arial" w:cs="Arial"/>
          <w:sz w:val="24"/>
          <w:szCs w:val="24"/>
        </w:rPr>
        <w:t>th</w:t>
      </w:r>
      <w:r w:rsidR="00AF33F7" w:rsidRPr="007B0231">
        <w:rPr>
          <w:rFonts w:ascii="Arial" w:hAnsi="Arial" w:cs="Arial"/>
          <w:sz w:val="24"/>
          <w:szCs w:val="24"/>
        </w:rPr>
        <w:t>at th</w:t>
      </w:r>
      <w:r w:rsidR="0023665D" w:rsidRPr="007B0231">
        <w:rPr>
          <w:rFonts w:ascii="Arial" w:hAnsi="Arial" w:cs="Arial"/>
          <w:sz w:val="24"/>
          <w:szCs w:val="24"/>
        </w:rPr>
        <w:t xml:space="preserve">e </w:t>
      </w:r>
      <w:r w:rsidR="00BB55C0" w:rsidRPr="007B0231">
        <w:rPr>
          <w:rFonts w:ascii="Arial" w:hAnsi="Arial" w:cs="Arial"/>
          <w:sz w:val="24"/>
          <w:szCs w:val="24"/>
        </w:rPr>
        <w:t xml:space="preserve">parties </w:t>
      </w:r>
      <w:r w:rsidR="009C2ECA" w:rsidRPr="007B0231">
        <w:rPr>
          <w:rFonts w:ascii="Arial" w:hAnsi="Arial" w:cs="Arial"/>
          <w:sz w:val="24"/>
          <w:szCs w:val="24"/>
        </w:rPr>
        <w:t>agree to the extension of the 180-day period.</w:t>
      </w:r>
      <w:r w:rsidR="009C2ECA">
        <w:rPr>
          <w:rStyle w:val="FootnoteReference"/>
          <w:rFonts w:ascii="Arial" w:hAnsi="Arial" w:cs="Arial"/>
          <w:sz w:val="24"/>
          <w:szCs w:val="24"/>
        </w:rPr>
        <w:footnoteReference w:id="13"/>
      </w:r>
      <w:r w:rsidR="004F2DD0" w:rsidRPr="007B0231">
        <w:rPr>
          <w:rFonts w:ascii="Arial" w:hAnsi="Arial" w:cs="Arial"/>
          <w:sz w:val="24"/>
          <w:szCs w:val="24"/>
        </w:rPr>
        <w:t xml:space="preserve"> This resulted in an extension </w:t>
      </w:r>
      <w:r w:rsidR="00317A3C" w:rsidRPr="007B0231">
        <w:rPr>
          <w:rFonts w:ascii="Arial" w:hAnsi="Arial" w:cs="Arial"/>
          <w:sz w:val="24"/>
          <w:szCs w:val="24"/>
        </w:rPr>
        <w:t xml:space="preserve">until the </w:t>
      </w:r>
      <w:r w:rsidR="003B2699" w:rsidRPr="007B0231">
        <w:rPr>
          <w:rFonts w:ascii="Arial" w:hAnsi="Arial" w:cs="Arial"/>
          <w:sz w:val="24"/>
          <w:szCs w:val="24"/>
        </w:rPr>
        <w:t xml:space="preserve">above </w:t>
      </w:r>
      <w:r w:rsidR="00317A3C" w:rsidRPr="007B0231">
        <w:rPr>
          <w:rFonts w:ascii="Arial" w:hAnsi="Arial" w:cs="Arial"/>
          <w:sz w:val="24"/>
          <w:szCs w:val="24"/>
        </w:rPr>
        <w:t>date</w:t>
      </w:r>
      <w:r w:rsidR="003B2699" w:rsidRPr="007B0231">
        <w:rPr>
          <w:rFonts w:ascii="Arial" w:hAnsi="Arial" w:cs="Arial"/>
          <w:sz w:val="24"/>
          <w:szCs w:val="24"/>
        </w:rPr>
        <w:t>.</w:t>
      </w:r>
      <w:r w:rsidR="00D85C15" w:rsidRPr="007B0231">
        <w:rPr>
          <w:rFonts w:ascii="Arial" w:hAnsi="Arial" w:cs="Arial"/>
          <w:sz w:val="24"/>
          <w:szCs w:val="24"/>
        </w:rPr>
        <w:t xml:space="preserve"> </w:t>
      </w:r>
    </w:p>
    <w:p w14:paraId="32050D94" w14:textId="77777777" w:rsidR="00537568" w:rsidRDefault="00537568" w:rsidP="00537568">
      <w:pPr>
        <w:pStyle w:val="ListParagraph"/>
        <w:spacing w:line="360" w:lineRule="auto"/>
        <w:ind w:left="0"/>
        <w:jc w:val="both"/>
        <w:rPr>
          <w:rFonts w:ascii="Arial" w:hAnsi="Arial" w:cs="Arial"/>
          <w:sz w:val="24"/>
          <w:szCs w:val="24"/>
        </w:rPr>
      </w:pPr>
    </w:p>
    <w:p w14:paraId="5FC01FF0" w14:textId="36C6D228" w:rsidR="00286718" w:rsidRPr="007B0231" w:rsidRDefault="007B0231" w:rsidP="007B0231">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86718" w:rsidRPr="007B0231">
        <w:rPr>
          <w:rFonts w:ascii="Arial" w:hAnsi="Arial" w:cs="Arial"/>
          <w:sz w:val="24"/>
          <w:szCs w:val="24"/>
        </w:rPr>
        <w:t>The fourth respondent</w:t>
      </w:r>
      <w:r w:rsidR="00E97BB6" w:rsidRPr="007B0231">
        <w:rPr>
          <w:rFonts w:ascii="Arial" w:hAnsi="Arial" w:cs="Arial"/>
          <w:sz w:val="24"/>
          <w:szCs w:val="24"/>
        </w:rPr>
        <w:t xml:space="preserve">, represented by Mr Teixeira, </w:t>
      </w:r>
      <w:r w:rsidR="00075C6B" w:rsidRPr="007B0231">
        <w:rPr>
          <w:rFonts w:ascii="Arial" w:hAnsi="Arial" w:cs="Arial"/>
          <w:sz w:val="24"/>
          <w:szCs w:val="24"/>
        </w:rPr>
        <w:t xml:space="preserve">points out that the applicant never </w:t>
      </w:r>
      <w:r w:rsidR="00A76854" w:rsidRPr="007B0231">
        <w:rPr>
          <w:rFonts w:ascii="Arial" w:hAnsi="Arial" w:cs="Arial"/>
          <w:sz w:val="24"/>
          <w:szCs w:val="24"/>
        </w:rPr>
        <w:t xml:space="preserve">sought its agreement to the extension of the </w:t>
      </w:r>
      <w:r w:rsidR="003C7DEA" w:rsidRPr="007B0231">
        <w:rPr>
          <w:rFonts w:ascii="Arial" w:hAnsi="Arial" w:cs="Arial"/>
          <w:sz w:val="24"/>
          <w:szCs w:val="24"/>
        </w:rPr>
        <w:t xml:space="preserve">180-day period. </w:t>
      </w:r>
      <w:r w:rsidR="00744475" w:rsidRPr="007B0231">
        <w:rPr>
          <w:rFonts w:ascii="Arial" w:hAnsi="Arial" w:cs="Arial"/>
          <w:sz w:val="24"/>
          <w:szCs w:val="24"/>
        </w:rPr>
        <w:t xml:space="preserve">In its answering affidavit, filed on 1 August 2022, the fourth respondent </w:t>
      </w:r>
      <w:r w:rsidR="006C6BEA" w:rsidRPr="007B0231">
        <w:rPr>
          <w:rFonts w:ascii="Arial" w:hAnsi="Arial" w:cs="Arial"/>
          <w:sz w:val="24"/>
          <w:szCs w:val="24"/>
        </w:rPr>
        <w:t>clearly objected to the delay</w:t>
      </w:r>
      <w:r w:rsidR="00D05582" w:rsidRPr="007B0231">
        <w:rPr>
          <w:rFonts w:ascii="Arial" w:hAnsi="Arial" w:cs="Arial"/>
          <w:sz w:val="24"/>
          <w:szCs w:val="24"/>
        </w:rPr>
        <w:t xml:space="preserve">. </w:t>
      </w:r>
      <w:r w:rsidR="00F22B99" w:rsidRPr="007B0231">
        <w:rPr>
          <w:rFonts w:ascii="Arial" w:hAnsi="Arial" w:cs="Arial"/>
          <w:sz w:val="24"/>
          <w:szCs w:val="24"/>
        </w:rPr>
        <w:t xml:space="preserve">The applicant, however, only brought the present application </w:t>
      </w:r>
      <w:r w:rsidR="00B50404" w:rsidRPr="007B0231">
        <w:rPr>
          <w:rFonts w:ascii="Arial" w:hAnsi="Arial" w:cs="Arial"/>
          <w:sz w:val="24"/>
          <w:szCs w:val="24"/>
        </w:rPr>
        <w:t xml:space="preserve">on 16 August 2023, after the </w:t>
      </w:r>
      <w:r w:rsidR="00DD4946" w:rsidRPr="007B0231">
        <w:rPr>
          <w:rFonts w:ascii="Arial" w:hAnsi="Arial" w:cs="Arial"/>
          <w:sz w:val="24"/>
          <w:szCs w:val="24"/>
        </w:rPr>
        <w:t xml:space="preserve">fourth respondent </w:t>
      </w:r>
      <w:r w:rsidR="001A2746" w:rsidRPr="007B0231">
        <w:rPr>
          <w:rFonts w:ascii="Arial" w:hAnsi="Arial" w:cs="Arial"/>
          <w:sz w:val="24"/>
          <w:szCs w:val="24"/>
        </w:rPr>
        <w:t>had delivered heads of argument and only a week before the hearing.</w:t>
      </w:r>
      <w:r w:rsidR="00E4039C" w:rsidRPr="007B0231">
        <w:rPr>
          <w:rFonts w:ascii="Arial" w:hAnsi="Arial" w:cs="Arial"/>
          <w:sz w:val="24"/>
          <w:szCs w:val="24"/>
        </w:rPr>
        <w:t xml:space="preserve"> </w:t>
      </w:r>
      <w:r w:rsidR="00653932" w:rsidRPr="007B0231">
        <w:rPr>
          <w:rFonts w:ascii="Arial" w:hAnsi="Arial" w:cs="Arial"/>
          <w:sz w:val="24"/>
          <w:szCs w:val="24"/>
        </w:rPr>
        <w:t>S</w:t>
      </w:r>
      <w:r w:rsidR="00E4039C" w:rsidRPr="007B0231">
        <w:rPr>
          <w:rFonts w:ascii="Arial" w:hAnsi="Arial" w:cs="Arial"/>
          <w:sz w:val="24"/>
          <w:szCs w:val="24"/>
        </w:rPr>
        <w:t xml:space="preserve">he has not explained </w:t>
      </w:r>
      <w:r w:rsidR="00B7419F" w:rsidRPr="007B0231">
        <w:rPr>
          <w:rFonts w:ascii="Arial" w:hAnsi="Arial" w:cs="Arial"/>
          <w:sz w:val="24"/>
          <w:szCs w:val="24"/>
        </w:rPr>
        <w:t xml:space="preserve">the intervening </w:t>
      </w:r>
      <w:r w:rsidR="00E4039C" w:rsidRPr="007B0231">
        <w:rPr>
          <w:rFonts w:ascii="Arial" w:hAnsi="Arial" w:cs="Arial"/>
          <w:sz w:val="24"/>
          <w:szCs w:val="24"/>
        </w:rPr>
        <w:t>delay</w:t>
      </w:r>
      <w:r w:rsidR="00336916" w:rsidRPr="007B0231">
        <w:rPr>
          <w:rFonts w:ascii="Arial" w:hAnsi="Arial" w:cs="Arial"/>
          <w:sz w:val="24"/>
          <w:szCs w:val="24"/>
        </w:rPr>
        <w:t xml:space="preserve"> regarding the present application</w:t>
      </w:r>
      <w:r w:rsidR="00D622E6" w:rsidRPr="007B0231">
        <w:rPr>
          <w:rFonts w:ascii="Arial" w:hAnsi="Arial" w:cs="Arial"/>
          <w:sz w:val="24"/>
          <w:szCs w:val="24"/>
        </w:rPr>
        <w:t>.</w:t>
      </w:r>
      <w:r w:rsidR="008818DC" w:rsidRPr="007B0231">
        <w:rPr>
          <w:rFonts w:ascii="Arial" w:hAnsi="Arial" w:cs="Arial"/>
          <w:sz w:val="24"/>
          <w:szCs w:val="24"/>
        </w:rPr>
        <w:t xml:space="preserve"> </w:t>
      </w:r>
    </w:p>
    <w:p w14:paraId="5C9C344A" w14:textId="116D405E"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D05582" w:rsidRPr="007B0231">
        <w:rPr>
          <w:rFonts w:ascii="Arial" w:hAnsi="Arial" w:cs="Arial"/>
          <w:sz w:val="24"/>
          <w:szCs w:val="24"/>
        </w:rPr>
        <w:t xml:space="preserve">The departure and removal application was submitted on 16 July 2018. </w:t>
      </w:r>
      <w:r w:rsidR="00C6045B" w:rsidRPr="007B0231">
        <w:rPr>
          <w:rFonts w:ascii="Arial" w:hAnsi="Arial" w:cs="Arial"/>
          <w:sz w:val="24"/>
          <w:szCs w:val="24"/>
        </w:rPr>
        <w:t>The applicant</w:t>
      </w:r>
      <w:r w:rsidR="00C57791" w:rsidRPr="007B0231">
        <w:rPr>
          <w:rFonts w:ascii="Arial" w:hAnsi="Arial" w:cs="Arial"/>
          <w:sz w:val="24"/>
          <w:szCs w:val="24"/>
        </w:rPr>
        <w:t xml:space="preserve"> failed to take </w:t>
      </w:r>
      <w:r w:rsidR="00622112" w:rsidRPr="007B0231">
        <w:rPr>
          <w:rFonts w:ascii="Arial" w:hAnsi="Arial" w:cs="Arial"/>
          <w:sz w:val="24"/>
          <w:szCs w:val="24"/>
        </w:rPr>
        <w:t xml:space="preserve">sufficient </w:t>
      </w:r>
      <w:r w:rsidR="00C57791" w:rsidRPr="007B0231">
        <w:rPr>
          <w:rFonts w:ascii="Arial" w:hAnsi="Arial" w:cs="Arial"/>
          <w:sz w:val="24"/>
          <w:szCs w:val="24"/>
        </w:rPr>
        <w:t xml:space="preserve">steps to </w:t>
      </w:r>
      <w:r w:rsidR="00622112" w:rsidRPr="007B0231">
        <w:rPr>
          <w:rFonts w:ascii="Arial" w:hAnsi="Arial" w:cs="Arial"/>
          <w:sz w:val="24"/>
          <w:szCs w:val="24"/>
        </w:rPr>
        <w:t xml:space="preserve">institute </w:t>
      </w:r>
      <w:r w:rsidR="00B40709" w:rsidRPr="007B0231">
        <w:rPr>
          <w:rFonts w:ascii="Arial" w:hAnsi="Arial" w:cs="Arial"/>
          <w:sz w:val="24"/>
          <w:szCs w:val="24"/>
        </w:rPr>
        <w:t xml:space="preserve">review proceedings </w:t>
      </w:r>
      <w:r w:rsidR="00622112" w:rsidRPr="007B0231">
        <w:rPr>
          <w:rFonts w:ascii="Arial" w:hAnsi="Arial" w:cs="Arial"/>
          <w:sz w:val="24"/>
          <w:szCs w:val="24"/>
        </w:rPr>
        <w:t xml:space="preserve">until 28 February </w:t>
      </w:r>
      <w:r w:rsidR="0001423F" w:rsidRPr="007B0231">
        <w:rPr>
          <w:rFonts w:ascii="Arial" w:hAnsi="Arial" w:cs="Arial"/>
          <w:sz w:val="24"/>
          <w:szCs w:val="24"/>
        </w:rPr>
        <w:t xml:space="preserve">2022, </w:t>
      </w:r>
      <w:r w:rsidR="00622112" w:rsidRPr="007B0231">
        <w:rPr>
          <w:rFonts w:ascii="Arial" w:hAnsi="Arial" w:cs="Arial"/>
          <w:sz w:val="24"/>
          <w:szCs w:val="24"/>
        </w:rPr>
        <w:t xml:space="preserve">more than three-and-a-half years later and </w:t>
      </w:r>
      <w:r w:rsidR="0001423F" w:rsidRPr="007B0231">
        <w:rPr>
          <w:rFonts w:ascii="Arial" w:hAnsi="Arial" w:cs="Arial"/>
          <w:sz w:val="24"/>
          <w:szCs w:val="24"/>
        </w:rPr>
        <w:t>well after the expiry of the 180-day period</w:t>
      </w:r>
      <w:r w:rsidR="00336916" w:rsidRPr="007B0231">
        <w:rPr>
          <w:rFonts w:ascii="Arial" w:hAnsi="Arial" w:cs="Arial"/>
          <w:sz w:val="24"/>
          <w:szCs w:val="24"/>
        </w:rPr>
        <w:t>.</w:t>
      </w:r>
      <w:r w:rsidR="00D82A02" w:rsidRPr="007B0231">
        <w:rPr>
          <w:rFonts w:ascii="Arial" w:hAnsi="Arial" w:cs="Arial"/>
          <w:sz w:val="24"/>
          <w:szCs w:val="24"/>
        </w:rPr>
        <w:t xml:space="preserve"> </w:t>
      </w:r>
      <w:r w:rsidR="00622112" w:rsidRPr="007B0231">
        <w:rPr>
          <w:rFonts w:ascii="Arial" w:hAnsi="Arial" w:cs="Arial"/>
          <w:sz w:val="24"/>
          <w:szCs w:val="24"/>
        </w:rPr>
        <w:t xml:space="preserve">The fourth respondent, avers Mr Teixeira, </w:t>
      </w:r>
      <w:r w:rsidR="00C97177" w:rsidRPr="007B0231">
        <w:rPr>
          <w:rFonts w:ascii="Arial" w:hAnsi="Arial" w:cs="Arial"/>
          <w:sz w:val="24"/>
          <w:szCs w:val="24"/>
        </w:rPr>
        <w:t>has</w:t>
      </w:r>
      <w:r w:rsidR="00D05582" w:rsidRPr="007B0231">
        <w:rPr>
          <w:rFonts w:ascii="Arial" w:hAnsi="Arial" w:cs="Arial"/>
          <w:sz w:val="24"/>
          <w:szCs w:val="24"/>
        </w:rPr>
        <w:t xml:space="preserve"> </w:t>
      </w:r>
      <w:r w:rsidR="00C97177" w:rsidRPr="007B0231">
        <w:rPr>
          <w:rFonts w:ascii="Arial" w:hAnsi="Arial" w:cs="Arial"/>
          <w:sz w:val="24"/>
          <w:szCs w:val="24"/>
        </w:rPr>
        <w:t xml:space="preserve">spent a great deal of time and money </w:t>
      </w:r>
      <w:r w:rsidR="00F30F16" w:rsidRPr="007B0231">
        <w:rPr>
          <w:rFonts w:ascii="Arial" w:hAnsi="Arial" w:cs="Arial"/>
          <w:sz w:val="24"/>
          <w:szCs w:val="24"/>
        </w:rPr>
        <w:t>i</w:t>
      </w:r>
      <w:r w:rsidR="00C97177" w:rsidRPr="007B0231">
        <w:rPr>
          <w:rFonts w:ascii="Arial" w:hAnsi="Arial" w:cs="Arial"/>
          <w:sz w:val="24"/>
          <w:szCs w:val="24"/>
        </w:rPr>
        <w:t xml:space="preserve">n attempting to </w:t>
      </w:r>
      <w:r w:rsidR="00534220" w:rsidRPr="007B0231">
        <w:rPr>
          <w:rFonts w:ascii="Arial" w:hAnsi="Arial" w:cs="Arial"/>
          <w:sz w:val="24"/>
          <w:szCs w:val="24"/>
        </w:rPr>
        <w:t>regularise the operation of the guesthouse</w:t>
      </w:r>
      <w:r w:rsidR="00652293" w:rsidRPr="007B0231">
        <w:rPr>
          <w:rFonts w:ascii="Arial" w:hAnsi="Arial" w:cs="Arial"/>
          <w:sz w:val="24"/>
          <w:szCs w:val="24"/>
        </w:rPr>
        <w:t xml:space="preserve"> and t</w:t>
      </w:r>
      <w:r w:rsidR="00DC3DC9" w:rsidRPr="007B0231">
        <w:rPr>
          <w:rFonts w:ascii="Arial" w:hAnsi="Arial" w:cs="Arial"/>
          <w:sz w:val="24"/>
          <w:szCs w:val="24"/>
        </w:rPr>
        <w:t xml:space="preserve">he various delays caused by </w:t>
      </w:r>
      <w:r w:rsidR="00402B19" w:rsidRPr="007B0231">
        <w:rPr>
          <w:rFonts w:ascii="Arial" w:hAnsi="Arial" w:cs="Arial"/>
          <w:sz w:val="24"/>
          <w:szCs w:val="24"/>
        </w:rPr>
        <w:t xml:space="preserve">the applicant have </w:t>
      </w:r>
      <w:r w:rsidR="00692EC3" w:rsidRPr="007B0231">
        <w:rPr>
          <w:rFonts w:ascii="Arial" w:hAnsi="Arial" w:cs="Arial"/>
          <w:sz w:val="24"/>
          <w:szCs w:val="24"/>
        </w:rPr>
        <w:t xml:space="preserve">prejudiced </w:t>
      </w:r>
      <w:r w:rsidR="00652293" w:rsidRPr="007B0231">
        <w:rPr>
          <w:rFonts w:ascii="Arial" w:hAnsi="Arial" w:cs="Arial"/>
          <w:sz w:val="24"/>
          <w:szCs w:val="24"/>
        </w:rPr>
        <w:t>both its business</w:t>
      </w:r>
      <w:r w:rsidR="00F20AAC" w:rsidRPr="007B0231">
        <w:rPr>
          <w:rFonts w:ascii="Arial" w:hAnsi="Arial" w:cs="Arial"/>
          <w:sz w:val="24"/>
          <w:szCs w:val="24"/>
        </w:rPr>
        <w:t xml:space="preserve"> and its staff.</w:t>
      </w:r>
    </w:p>
    <w:p w14:paraId="59F312CC" w14:textId="77777777" w:rsidR="00537568" w:rsidRDefault="00537568" w:rsidP="00537568">
      <w:pPr>
        <w:pStyle w:val="ListParagraph"/>
        <w:spacing w:line="360" w:lineRule="auto"/>
        <w:ind w:left="0"/>
        <w:jc w:val="both"/>
        <w:rPr>
          <w:rFonts w:ascii="Arial" w:hAnsi="Arial" w:cs="Arial"/>
          <w:sz w:val="24"/>
          <w:szCs w:val="24"/>
        </w:rPr>
      </w:pPr>
    </w:p>
    <w:p w14:paraId="521726D7" w14:textId="1B6EF948"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160B3" w:rsidRPr="007B0231">
        <w:rPr>
          <w:rFonts w:ascii="Arial" w:hAnsi="Arial" w:cs="Arial"/>
          <w:sz w:val="24"/>
          <w:szCs w:val="24"/>
        </w:rPr>
        <w:t xml:space="preserve">Mr Teixeira goes on to assert that the applicant and her attorney may well have contracted COVID-19 but that does </w:t>
      </w:r>
      <w:r w:rsidR="00357629" w:rsidRPr="007B0231">
        <w:rPr>
          <w:rFonts w:ascii="Arial" w:hAnsi="Arial" w:cs="Arial"/>
          <w:sz w:val="24"/>
          <w:szCs w:val="24"/>
        </w:rPr>
        <w:t xml:space="preserve">not explain the eight-month delay in instituting the </w:t>
      </w:r>
      <w:r w:rsidR="00E52835" w:rsidRPr="007B0231">
        <w:rPr>
          <w:rFonts w:ascii="Arial" w:hAnsi="Arial" w:cs="Arial"/>
          <w:sz w:val="24"/>
          <w:szCs w:val="24"/>
        </w:rPr>
        <w:t xml:space="preserve">review </w:t>
      </w:r>
      <w:r w:rsidR="00357629" w:rsidRPr="007B0231">
        <w:rPr>
          <w:rFonts w:ascii="Arial" w:hAnsi="Arial" w:cs="Arial"/>
          <w:sz w:val="24"/>
          <w:szCs w:val="24"/>
        </w:rPr>
        <w:t>proceedings</w:t>
      </w:r>
      <w:r w:rsidR="00E474C4" w:rsidRPr="007B0231">
        <w:rPr>
          <w:rFonts w:ascii="Arial" w:hAnsi="Arial" w:cs="Arial"/>
          <w:sz w:val="24"/>
          <w:szCs w:val="24"/>
        </w:rPr>
        <w:t xml:space="preserve"> or the delay in bringing the present </w:t>
      </w:r>
      <w:r w:rsidR="00622112" w:rsidRPr="007B0231">
        <w:rPr>
          <w:rFonts w:ascii="Arial" w:hAnsi="Arial" w:cs="Arial"/>
          <w:sz w:val="24"/>
          <w:szCs w:val="24"/>
        </w:rPr>
        <w:t xml:space="preserve">extension </w:t>
      </w:r>
      <w:r w:rsidR="00E474C4" w:rsidRPr="007B0231">
        <w:rPr>
          <w:rFonts w:ascii="Arial" w:hAnsi="Arial" w:cs="Arial"/>
          <w:sz w:val="24"/>
          <w:szCs w:val="24"/>
        </w:rPr>
        <w:t>application.</w:t>
      </w:r>
      <w:r w:rsidR="00692EC3" w:rsidRPr="007B0231">
        <w:rPr>
          <w:rFonts w:ascii="Arial" w:hAnsi="Arial" w:cs="Arial"/>
          <w:sz w:val="24"/>
          <w:szCs w:val="24"/>
        </w:rPr>
        <w:t xml:space="preserve"> </w:t>
      </w:r>
      <w:r w:rsidR="00491DC4" w:rsidRPr="007B0231">
        <w:rPr>
          <w:rFonts w:ascii="Arial" w:hAnsi="Arial" w:cs="Arial"/>
          <w:sz w:val="24"/>
          <w:szCs w:val="24"/>
        </w:rPr>
        <w:t xml:space="preserve">The </w:t>
      </w:r>
      <w:r w:rsidR="00FD0D75" w:rsidRPr="007B0231">
        <w:rPr>
          <w:rFonts w:ascii="Arial" w:hAnsi="Arial" w:cs="Arial"/>
          <w:sz w:val="24"/>
          <w:szCs w:val="24"/>
        </w:rPr>
        <w:t xml:space="preserve">proper use of available </w:t>
      </w:r>
      <w:r w:rsidR="00CE74EC" w:rsidRPr="007B0231">
        <w:rPr>
          <w:rFonts w:ascii="Arial" w:hAnsi="Arial" w:cs="Arial"/>
          <w:sz w:val="24"/>
          <w:szCs w:val="24"/>
        </w:rPr>
        <w:t>i</w:t>
      </w:r>
      <w:r w:rsidR="0042079F" w:rsidRPr="007B0231">
        <w:rPr>
          <w:rFonts w:ascii="Arial" w:hAnsi="Arial" w:cs="Arial"/>
          <w:sz w:val="24"/>
          <w:szCs w:val="24"/>
        </w:rPr>
        <w:t xml:space="preserve">nformation communication technology </w:t>
      </w:r>
      <w:r w:rsidR="0063723A" w:rsidRPr="007B0231">
        <w:rPr>
          <w:rFonts w:ascii="Arial" w:hAnsi="Arial" w:cs="Arial"/>
          <w:sz w:val="24"/>
          <w:szCs w:val="24"/>
        </w:rPr>
        <w:t xml:space="preserve">(‘ICT’) </w:t>
      </w:r>
      <w:r w:rsidR="007A772A" w:rsidRPr="007B0231">
        <w:rPr>
          <w:rFonts w:ascii="Arial" w:hAnsi="Arial" w:cs="Arial"/>
          <w:sz w:val="24"/>
          <w:szCs w:val="24"/>
        </w:rPr>
        <w:t xml:space="preserve">would have allowed </w:t>
      </w:r>
      <w:r w:rsidR="00903007" w:rsidRPr="007B0231">
        <w:rPr>
          <w:rFonts w:ascii="Arial" w:hAnsi="Arial" w:cs="Arial"/>
          <w:sz w:val="24"/>
          <w:szCs w:val="24"/>
        </w:rPr>
        <w:t xml:space="preserve">the </w:t>
      </w:r>
      <w:r w:rsidR="00903007" w:rsidRPr="007B0231">
        <w:rPr>
          <w:rFonts w:ascii="Arial" w:hAnsi="Arial" w:cs="Arial"/>
          <w:sz w:val="24"/>
          <w:szCs w:val="24"/>
        </w:rPr>
        <w:lastRenderedPageBreak/>
        <w:t xml:space="preserve">parties to have worked </w:t>
      </w:r>
      <w:r w:rsidR="007A772A" w:rsidRPr="007B0231">
        <w:rPr>
          <w:rFonts w:ascii="Arial" w:hAnsi="Arial" w:cs="Arial"/>
          <w:sz w:val="24"/>
          <w:szCs w:val="24"/>
        </w:rPr>
        <w:t>remote</w:t>
      </w:r>
      <w:r w:rsidR="00903007" w:rsidRPr="007B0231">
        <w:rPr>
          <w:rFonts w:ascii="Arial" w:hAnsi="Arial" w:cs="Arial"/>
          <w:sz w:val="24"/>
          <w:szCs w:val="24"/>
        </w:rPr>
        <w:t xml:space="preserve">ly and to have complied with </w:t>
      </w:r>
      <w:r w:rsidR="00622112" w:rsidRPr="007B0231">
        <w:rPr>
          <w:rFonts w:ascii="Arial" w:hAnsi="Arial" w:cs="Arial"/>
          <w:sz w:val="24"/>
          <w:szCs w:val="24"/>
        </w:rPr>
        <w:t xml:space="preserve">the applicable </w:t>
      </w:r>
      <w:r w:rsidR="00903007" w:rsidRPr="007B0231">
        <w:rPr>
          <w:rFonts w:ascii="Arial" w:hAnsi="Arial" w:cs="Arial"/>
          <w:sz w:val="24"/>
          <w:szCs w:val="24"/>
        </w:rPr>
        <w:t>t</w:t>
      </w:r>
      <w:r w:rsidR="007076AA" w:rsidRPr="007B0231">
        <w:rPr>
          <w:rFonts w:ascii="Arial" w:hAnsi="Arial" w:cs="Arial"/>
          <w:sz w:val="24"/>
          <w:szCs w:val="24"/>
        </w:rPr>
        <w:t xml:space="preserve">ime </w:t>
      </w:r>
      <w:r w:rsidR="00622112" w:rsidRPr="007B0231">
        <w:rPr>
          <w:rFonts w:ascii="Arial" w:hAnsi="Arial" w:cs="Arial"/>
          <w:sz w:val="24"/>
          <w:szCs w:val="24"/>
        </w:rPr>
        <w:t>limits</w:t>
      </w:r>
      <w:r w:rsidR="007076AA" w:rsidRPr="007B0231">
        <w:rPr>
          <w:rFonts w:ascii="Arial" w:hAnsi="Arial" w:cs="Arial"/>
          <w:sz w:val="24"/>
          <w:szCs w:val="24"/>
        </w:rPr>
        <w:t>. They were</w:t>
      </w:r>
      <w:r w:rsidR="00C76ECF" w:rsidRPr="007B0231">
        <w:rPr>
          <w:rFonts w:ascii="Arial" w:hAnsi="Arial" w:cs="Arial"/>
          <w:sz w:val="24"/>
          <w:szCs w:val="24"/>
        </w:rPr>
        <w:t xml:space="preserve"> well acquainted with the matter.</w:t>
      </w:r>
      <w:r w:rsidR="00C9774C" w:rsidRPr="007B0231">
        <w:rPr>
          <w:rFonts w:ascii="Arial" w:hAnsi="Arial" w:cs="Arial"/>
          <w:sz w:val="24"/>
          <w:szCs w:val="24"/>
        </w:rPr>
        <w:t xml:space="preserve"> </w:t>
      </w:r>
      <w:r w:rsidR="00604AF9" w:rsidRPr="007B0231">
        <w:rPr>
          <w:rFonts w:ascii="Arial" w:hAnsi="Arial" w:cs="Arial"/>
          <w:sz w:val="24"/>
          <w:szCs w:val="24"/>
        </w:rPr>
        <w:t xml:space="preserve">If </w:t>
      </w:r>
      <w:r w:rsidR="00CA56C4" w:rsidRPr="007B0231">
        <w:rPr>
          <w:rFonts w:ascii="Arial" w:hAnsi="Arial" w:cs="Arial"/>
          <w:sz w:val="24"/>
          <w:szCs w:val="24"/>
        </w:rPr>
        <w:t>necessary,</w:t>
      </w:r>
      <w:r w:rsidR="00604AF9" w:rsidRPr="007B0231">
        <w:rPr>
          <w:rFonts w:ascii="Arial" w:hAnsi="Arial" w:cs="Arial"/>
          <w:sz w:val="24"/>
          <w:szCs w:val="24"/>
        </w:rPr>
        <w:t xml:space="preserve"> then another attorney or counsel could have been </w:t>
      </w:r>
      <w:r w:rsidR="00D874DA" w:rsidRPr="007B0231">
        <w:rPr>
          <w:rFonts w:ascii="Arial" w:hAnsi="Arial" w:cs="Arial"/>
          <w:sz w:val="24"/>
          <w:szCs w:val="24"/>
        </w:rPr>
        <w:t>instructed</w:t>
      </w:r>
      <w:r w:rsidR="005517BE" w:rsidRPr="007B0231">
        <w:rPr>
          <w:rFonts w:ascii="Arial" w:hAnsi="Arial" w:cs="Arial"/>
          <w:sz w:val="24"/>
          <w:szCs w:val="24"/>
        </w:rPr>
        <w:t xml:space="preserve"> </w:t>
      </w:r>
      <w:r w:rsidR="00CA56C4" w:rsidRPr="007B0231">
        <w:rPr>
          <w:rFonts w:ascii="Arial" w:hAnsi="Arial" w:cs="Arial"/>
          <w:sz w:val="24"/>
          <w:szCs w:val="24"/>
        </w:rPr>
        <w:t>to step into the breach</w:t>
      </w:r>
      <w:r w:rsidR="00761989" w:rsidRPr="007B0231">
        <w:rPr>
          <w:rFonts w:ascii="Arial" w:hAnsi="Arial" w:cs="Arial"/>
          <w:sz w:val="24"/>
          <w:szCs w:val="24"/>
        </w:rPr>
        <w:t>.</w:t>
      </w:r>
    </w:p>
    <w:p w14:paraId="5D39E50A" w14:textId="77777777" w:rsidR="00537568" w:rsidRPr="00537568" w:rsidRDefault="00537568" w:rsidP="00537568">
      <w:pPr>
        <w:pStyle w:val="ListParagraph"/>
        <w:rPr>
          <w:rFonts w:ascii="Arial" w:hAnsi="Arial" w:cs="Arial"/>
          <w:sz w:val="24"/>
          <w:szCs w:val="24"/>
        </w:rPr>
      </w:pPr>
    </w:p>
    <w:p w14:paraId="6A7E38B2" w14:textId="2CD41501"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0E2BA2" w:rsidRPr="007B0231">
        <w:rPr>
          <w:rFonts w:ascii="Arial" w:hAnsi="Arial" w:cs="Arial"/>
          <w:sz w:val="24"/>
          <w:szCs w:val="24"/>
        </w:rPr>
        <w:t xml:space="preserve">In elaborating upon the prejudice suffered, Mr Teixeira </w:t>
      </w:r>
      <w:r w:rsidR="00386944" w:rsidRPr="007B0231">
        <w:rPr>
          <w:rFonts w:ascii="Arial" w:hAnsi="Arial" w:cs="Arial"/>
          <w:sz w:val="24"/>
          <w:szCs w:val="24"/>
        </w:rPr>
        <w:t xml:space="preserve">indicates that the fourth respondent has </w:t>
      </w:r>
      <w:r w:rsidR="00B4374C" w:rsidRPr="007B0231">
        <w:rPr>
          <w:rFonts w:ascii="Arial" w:hAnsi="Arial" w:cs="Arial"/>
          <w:sz w:val="24"/>
          <w:szCs w:val="24"/>
        </w:rPr>
        <w:t xml:space="preserve">had to </w:t>
      </w:r>
      <w:r w:rsidR="000F31A6" w:rsidRPr="007B0231">
        <w:rPr>
          <w:rFonts w:ascii="Arial" w:hAnsi="Arial" w:cs="Arial"/>
          <w:sz w:val="24"/>
          <w:szCs w:val="24"/>
        </w:rPr>
        <w:t xml:space="preserve">suspend </w:t>
      </w:r>
      <w:r w:rsidR="00B4374C" w:rsidRPr="007B0231">
        <w:rPr>
          <w:rFonts w:ascii="Arial" w:hAnsi="Arial" w:cs="Arial"/>
          <w:sz w:val="24"/>
          <w:szCs w:val="24"/>
        </w:rPr>
        <w:t>maintenance work</w:t>
      </w:r>
      <w:r w:rsidR="000F31A6" w:rsidRPr="007B0231">
        <w:rPr>
          <w:rFonts w:ascii="Arial" w:hAnsi="Arial" w:cs="Arial"/>
          <w:sz w:val="24"/>
          <w:szCs w:val="24"/>
        </w:rPr>
        <w:t xml:space="preserve"> and the installation of </w:t>
      </w:r>
      <w:r w:rsidR="008D1587" w:rsidRPr="007B0231">
        <w:rPr>
          <w:rFonts w:ascii="Arial" w:hAnsi="Arial" w:cs="Arial"/>
          <w:sz w:val="24"/>
          <w:szCs w:val="24"/>
        </w:rPr>
        <w:t xml:space="preserve">alternative energy sources. </w:t>
      </w:r>
      <w:r w:rsidR="00AE23CC" w:rsidRPr="007B0231">
        <w:rPr>
          <w:rFonts w:ascii="Arial" w:hAnsi="Arial" w:cs="Arial"/>
          <w:sz w:val="24"/>
          <w:szCs w:val="24"/>
        </w:rPr>
        <w:t xml:space="preserve">It has </w:t>
      </w:r>
      <w:r w:rsidR="00386944" w:rsidRPr="007B0231">
        <w:rPr>
          <w:rFonts w:ascii="Arial" w:hAnsi="Arial" w:cs="Arial"/>
          <w:sz w:val="24"/>
          <w:szCs w:val="24"/>
        </w:rPr>
        <w:t>been unable to market the guesthouse</w:t>
      </w:r>
      <w:r w:rsidR="00A000A2" w:rsidRPr="007B0231">
        <w:rPr>
          <w:rFonts w:ascii="Arial" w:hAnsi="Arial" w:cs="Arial"/>
          <w:sz w:val="24"/>
          <w:szCs w:val="24"/>
        </w:rPr>
        <w:t xml:space="preserve"> and has been constrained to adjust its </w:t>
      </w:r>
      <w:r w:rsidR="00B23141" w:rsidRPr="007B0231">
        <w:rPr>
          <w:rFonts w:ascii="Arial" w:hAnsi="Arial" w:cs="Arial"/>
          <w:sz w:val="24"/>
          <w:szCs w:val="24"/>
        </w:rPr>
        <w:t>booking practices</w:t>
      </w:r>
      <w:r w:rsidR="009A77C2" w:rsidRPr="007B0231">
        <w:rPr>
          <w:rFonts w:ascii="Arial" w:hAnsi="Arial" w:cs="Arial"/>
          <w:sz w:val="24"/>
          <w:szCs w:val="24"/>
        </w:rPr>
        <w:t xml:space="preserve"> and lower its rates</w:t>
      </w:r>
      <w:r w:rsidR="00B25A4D" w:rsidRPr="007B0231">
        <w:rPr>
          <w:rFonts w:ascii="Arial" w:hAnsi="Arial" w:cs="Arial"/>
          <w:sz w:val="24"/>
          <w:szCs w:val="24"/>
        </w:rPr>
        <w:t xml:space="preserve"> to accommodate the uncertainty </w:t>
      </w:r>
      <w:r w:rsidR="00837C04" w:rsidRPr="007B0231">
        <w:rPr>
          <w:rFonts w:ascii="Arial" w:hAnsi="Arial" w:cs="Arial"/>
          <w:sz w:val="24"/>
          <w:szCs w:val="24"/>
        </w:rPr>
        <w:t xml:space="preserve">associated with ongoing </w:t>
      </w:r>
      <w:r w:rsidR="00D727DA" w:rsidRPr="007B0231">
        <w:rPr>
          <w:rFonts w:ascii="Arial" w:hAnsi="Arial" w:cs="Arial"/>
          <w:sz w:val="24"/>
          <w:szCs w:val="24"/>
        </w:rPr>
        <w:t xml:space="preserve">delays in the </w:t>
      </w:r>
      <w:r w:rsidR="00837C04" w:rsidRPr="007B0231">
        <w:rPr>
          <w:rFonts w:ascii="Arial" w:hAnsi="Arial" w:cs="Arial"/>
          <w:sz w:val="24"/>
          <w:szCs w:val="24"/>
        </w:rPr>
        <w:t>litigation</w:t>
      </w:r>
      <w:r w:rsidR="002F7FCC" w:rsidRPr="007B0231">
        <w:rPr>
          <w:rFonts w:ascii="Arial" w:hAnsi="Arial" w:cs="Arial"/>
          <w:sz w:val="24"/>
          <w:szCs w:val="24"/>
        </w:rPr>
        <w:t xml:space="preserve">. </w:t>
      </w:r>
      <w:r w:rsidR="008720C4" w:rsidRPr="007B0231">
        <w:rPr>
          <w:rFonts w:ascii="Arial" w:hAnsi="Arial" w:cs="Arial"/>
          <w:sz w:val="24"/>
          <w:szCs w:val="24"/>
        </w:rPr>
        <w:t>The fourth respondent’s employees are un</w:t>
      </w:r>
      <w:r w:rsidR="004A40CF" w:rsidRPr="007B0231">
        <w:rPr>
          <w:rFonts w:ascii="Arial" w:hAnsi="Arial" w:cs="Arial"/>
          <w:sz w:val="24"/>
          <w:szCs w:val="24"/>
        </w:rPr>
        <w:t>sure of</w:t>
      </w:r>
      <w:r w:rsidR="008720C4" w:rsidRPr="007B0231">
        <w:rPr>
          <w:rFonts w:ascii="Arial" w:hAnsi="Arial" w:cs="Arial"/>
          <w:sz w:val="24"/>
          <w:szCs w:val="24"/>
        </w:rPr>
        <w:t xml:space="preserve"> their job security</w:t>
      </w:r>
      <w:r w:rsidR="00896261" w:rsidRPr="007B0231">
        <w:rPr>
          <w:rFonts w:ascii="Arial" w:hAnsi="Arial" w:cs="Arial"/>
          <w:sz w:val="24"/>
          <w:szCs w:val="24"/>
        </w:rPr>
        <w:t xml:space="preserve"> and </w:t>
      </w:r>
      <w:r w:rsidR="00A67A1A" w:rsidRPr="007B0231">
        <w:rPr>
          <w:rFonts w:ascii="Arial" w:hAnsi="Arial" w:cs="Arial"/>
          <w:sz w:val="24"/>
          <w:szCs w:val="24"/>
        </w:rPr>
        <w:t xml:space="preserve">their </w:t>
      </w:r>
      <w:r w:rsidR="00896261" w:rsidRPr="007B0231">
        <w:rPr>
          <w:rFonts w:ascii="Arial" w:hAnsi="Arial" w:cs="Arial"/>
          <w:sz w:val="24"/>
          <w:szCs w:val="24"/>
        </w:rPr>
        <w:t>morale has been adversely affected.</w:t>
      </w:r>
    </w:p>
    <w:p w14:paraId="075203D2" w14:textId="77777777" w:rsidR="00537568" w:rsidRPr="00537568" w:rsidRDefault="00537568" w:rsidP="00537568">
      <w:pPr>
        <w:pStyle w:val="ListParagraph"/>
        <w:rPr>
          <w:rFonts w:ascii="Arial" w:hAnsi="Arial" w:cs="Arial"/>
          <w:sz w:val="24"/>
          <w:szCs w:val="24"/>
        </w:rPr>
      </w:pPr>
    </w:p>
    <w:p w14:paraId="2ABAC917" w14:textId="5417CABD" w:rsidR="00C2254C"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t>[39]</w:t>
      </w:r>
      <w:r w:rsidRPr="00537568">
        <w:rPr>
          <w:rFonts w:ascii="Arial" w:hAnsi="Arial" w:cs="Arial"/>
          <w:sz w:val="24"/>
          <w:szCs w:val="24"/>
        </w:rPr>
        <w:tab/>
      </w:r>
      <w:r w:rsidR="0019230E" w:rsidRPr="007B0231">
        <w:rPr>
          <w:rFonts w:ascii="Arial" w:hAnsi="Arial" w:cs="Arial"/>
          <w:sz w:val="24"/>
          <w:szCs w:val="24"/>
        </w:rPr>
        <w:t>Regarding the legal framework for the issue at hand</w:t>
      </w:r>
      <w:r w:rsidR="00F5433B" w:rsidRPr="007B0231">
        <w:rPr>
          <w:rFonts w:ascii="Arial" w:hAnsi="Arial" w:cs="Arial"/>
          <w:sz w:val="24"/>
          <w:szCs w:val="24"/>
        </w:rPr>
        <w:t xml:space="preserve">, section </w:t>
      </w:r>
      <w:r w:rsidR="00522CBA" w:rsidRPr="007B0231">
        <w:rPr>
          <w:rFonts w:ascii="Arial" w:hAnsi="Arial" w:cs="Arial"/>
          <w:sz w:val="24"/>
          <w:szCs w:val="24"/>
        </w:rPr>
        <w:t>9(1) of PAJA</w:t>
      </w:r>
      <w:r w:rsidR="00DF479A" w:rsidRPr="007B0231">
        <w:rPr>
          <w:rFonts w:ascii="Arial" w:hAnsi="Arial" w:cs="Arial"/>
          <w:sz w:val="24"/>
          <w:szCs w:val="24"/>
        </w:rPr>
        <w:t xml:space="preserve"> </w:t>
      </w:r>
      <w:r w:rsidR="00522CBA" w:rsidRPr="007B0231">
        <w:rPr>
          <w:rFonts w:ascii="Arial" w:hAnsi="Arial" w:cs="Arial"/>
          <w:sz w:val="24"/>
          <w:szCs w:val="24"/>
        </w:rPr>
        <w:t>pro</w:t>
      </w:r>
      <w:r w:rsidR="00E53128" w:rsidRPr="007B0231">
        <w:rPr>
          <w:rFonts w:ascii="Arial" w:hAnsi="Arial" w:cs="Arial"/>
          <w:sz w:val="24"/>
          <w:szCs w:val="24"/>
        </w:rPr>
        <w:t xml:space="preserve">vides </w:t>
      </w:r>
      <w:r w:rsidR="00C2254C" w:rsidRPr="007B0231">
        <w:rPr>
          <w:rFonts w:ascii="Arial" w:hAnsi="Arial" w:cs="Arial"/>
          <w:sz w:val="24"/>
          <w:szCs w:val="24"/>
        </w:rPr>
        <w:t>as follows:</w:t>
      </w:r>
    </w:p>
    <w:p w14:paraId="43637336" w14:textId="011401DE" w:rsidR="00C2254C" w:rsidRPr="003A3F22" w:rsidRDefault="00C2254C" w:rsidP="00537568">
      <w:pPr>
        <w:spacing w:line="360" w:lineRule="auto"/>
        <w:jc w:val="both"/>
        <w:rPr>
          <w:rFonts w:ascii="Arial" w:hAnsi="Arial" w:cs="Arial"/>
        </w:rPr>
      </w:pPr>
      <w:r w:rsidRPr="003A3F22">
        <w:rPr>
          <w:rFonts w:ascii="Arial" w:hAnsi="Arial" w:cs="Arial"/>
        </w:rPr>
        <w:tab/>
        <w:t>‘</w:t>
      </w:r>
      <w:r w:rsidR="008A08AB" w:rsidRPr="003A3F22">
        <w:rPr>
          <w:rFonts w:ascii="Arial" w:hAnsi="Arial" w:cs="Arial"/>
        </w:rPr>
        <w:t>(1)</w:t>
      </w:r>
      <w:r w:rsidR="008A08AB" w:rsidRPr="003A3F22">
        <w:rPr>
          <w:rFonts w:ascii="Arial" w:hAnsi="Arial" w:cs="Arial"/>
        </w:rPr>
        <w:tab/>
        <w:t>The period of–</w:t>
      </w:r>
    </w:p>
    <w:p w14:paraId="2A8D9839" w14:textId="194F84DC" w:rsidR="008A08AB" w:rsidRPr="007B0231" w:rsidRDefault="007B0231" w:rsidP="007B0231">
      <w:pPr>
        <w:spacing w:line="360" w:lineRule="auto"/>
        <w:ind w:left="1800" w:hanging="360"/>
        <w:jc w:val="both"/>
        <w:rPr>
          <w:rFonts w:ascii="Arial" w:hAnsi="Arial" w:cs="Arial"/>
        </w:rPr>
      </w:pPr>
      <w:r w:rsidRPr="003A3F22">
        <w:rPr>
          <w:rFonts w:ascii="Arial" w:hAnsi="Arial" w:cs="Arial"/>
        </w:rPr>
        <w:t>(a)</w:t>
      </w:r>
      <w:r w:rsidRPr="003A3F22">
        <w:rPr>
          <w:rFonts w:ascii="Arial" w:hAnsi="Arial" w:cs="Arial"/>
        </w:rPr>
        <w:tab/>
      </w:r>
      <w:r w:rsidR="00BE7332" w:rsidRPr="007B0231">
        <w:rPr>
          <w:rFonts w:ascii="Arial" w:hAnsi="Arial" w:cs="Arial"/>
        </w:rPr>
        <w:t>…</w:t>
      </w:r>
    </w:p>
    <w:p w14:paraId="19F681E7" w14:textId="64A5D773" w:rsidR="00BE7332" w:rsidRPr="007B0231" w:rsidRDefault="007B0231" w:rsidP="007B0231">
      <w:pPr>
        <w:spacing w:line="360" w:lineRule="auto"/>
        <w:ind w:left="1800" w:hanging="360"/>
        <w:jc w:val="both"/>
        <w:rPr>
          <w:rFonts w:ascii="Arial" w:hAnsi="Arial" w:cs="Arial"/>
        </w:rPr>
      </w:pPr>
      <w:r w:rsidRPr="003A3F22">
        <w:rPr>
          <w:rFonts w:ascii="Arial" w:hAnsi="Arial" w:cs="Arial"/>
        </w:rPr>
        <w:t>(b)</w:t>
      </w:r>
      <w:r w:rsidRPr="003A3F22">
        <w:rPr>
          <w:rFonts w:ascii="Arial" w:hAnsi="Arial" w:cs="Arial"/>
        </w:rPr>
        <w:tab/>
      </w:r>
      <w:r w:rsidR="00BE7332" w:rsidRPr="007B0231">
        <w:rPr>
          <w:rFonts w:ascii="Arial" w:hAnsi="Arial" w:cs="Arial"/>
        </w:rPr>
        <w:t xml:space="preserve">90 days or 180 days referred to in </w:t>
      </w:r>
      <w:r w:rsidR="002B0043" w:rsidRPr="007B0231">
        <w:rPr>
          <w:rFonts w:ascii="Arial" w:hAnsi="Arial" w:cs="Arial"/>
        </w:rPr>
        <w:t>sections 5 and 7 may be extended for a fixed period,</w:t>
      </w:r>
    </w:p>
    <w:p w14:paraId="77548888" w14:textId="560EBE29" w:rsidR="002B0043" w:rsidRPr="003A3F22" w:rsidRDefault="00072CBD" w:rsidP="00537568">
      <w:pPr>
        <w:spacing w:line="360" w:lineRule="auto"/>
        <w:ind w:left="720"/>
        <w:jc w:val="both"/>
        <w:rPr>
          <w:rFonts w:ascii="Arial" w:hAnsi="Arial" w:cs="Arial"/>
        </w:rPr>
      </w:pPr>
      <w:r>
        <w:rPr>
          <w:rFonts w:ascii="Arial" w:hAnsi="Arial" w:cs="Arial"/>
        </w:rPr>
        <w:t>b</w:t>
      </w:r>
      <w:r w:rsidR="002B0043" w:rsidRPr="003A3F22">
        <w:rPr>
          <w:rFonts w:ascii="Arial" w:hAnsi="Arial" w:cs="Arial"/>
        </w:rPr>
        <w:t xml:space="preserve">y agreement between the parties </w:t>
      </w:r>
      <w:r w:rsidR="007C5C9B" w:rsidRPr="003A3F22">
        <w:rPr>
          <w:rFonts w:ascii="Arial" w:hAnsi="Arial" w:cs="Arial"/>
        </w:rPr>
        <w:t>or, failing such agreement, by a court or tribunal on application by the person or administrator concerned.’</w:t>
      </w:r>
    </w:p>
    <w:p w14:paraId="012E5D54" w14:textId="5D5A9F29"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22112" w:rsidRPr="007B0231">
        <w:rPr>
          <w:rFonts w:ascii="Arial" w:hAnsi="Arial" w:cs="Arial"/>
          <w:sz w:val="24"/>
          <w:szCs w:val="24"/>
        </w:rPr>
        <w:t>T</w:t>
      </w:r>
      <w:r w:rsidR="009048DD" w:rsidRPr="007B0231">
        <w:rPr>
          <w:rFonts w:ascii="Arial" w:hAnsi="Arial" w:cs="Arial"/>
          <w:sz w:val="24"/>
          <w:szCs w:val="24"/>
        </w:rPr>
        <w:t xml:space="preserve">he </w:t>
      </w:r>
      <w:r w:rsidR="007E6BD0" w:rsidRPr="007B0231">
        <w:rPr>
          <w:rFonts w:ascii="Arial" w:hAnsi="Arial" w:cs="Arial"/>
          <w:sz w:val="24"/>
          <w:szCs w:val="24"/>
        </w:rPr>
        <w:t>fourth respondent contend</w:t>
      </w:r>
      <w:r w:rsidR="00622112" w:rsidRPr="007B0231">
        <w:rPr>
          <w:rFonts w:ascii="Arial" w:hAnsi="Arial" w:cs="Arial"/>
          <w:sz w:val="24"/>
          <w:szCs w:val="24"/>
        </w:rPr>
        <w:t>s</w:t>
      </w:r>
      <w:r w:rsidR="007E6BD0" w:rsidRPr="007B0231">
        <w:rPr>
          <w:rFonts w:ascii="Arial" w:hAnsi="Arial" w:cs="Arial"/>
          <w:sz w:val="24"/>
          <w:szCs w:val="24"/>
        </w:rPr>
        <w:t xml:space="preserve"> that </w:t>
      </w:r>
      <w:r w:rsidR="003032AE" w:rsidRPr="007B0231">
        <w:rPr>
          <w:rFonts w:ascii="Arial" w:hAnsi="Arial" w:cs="Arial"/>
          <w:sz w:val="24"/>
          <w:szCs w:val="24"/>
        </w:rPr>
        <w:t xml:space="preserve">it </w:t>
      </w:r>
      <w:r w:rsidR="00622112" w:rsidRPr="007B0231">
        <w:rPr>
          <w:rFonts w:ascii="Arial" w:hAnsi="Arial" w:cs="Arial"/>
          <w:sz w:val="24"/>
          <w:szCs w:val="24"/>
        </w:rPr>
        <w:t xml:space="preserve">(the fourth respondent) </w:t>
      </w:r>
      <w:r w:rsidR="003032AE" w:rsidRPr="007B0231">
        <w:rPr>
          <w:rFonts w:ascii="Arial" w:hAnsi="Arial" w:cs="Arial"/>
          <w:sz w:val="24"/>
          <w:szCs w:val="24"/>
        </w:rPr>
        <w:t xml:space="preserve">is </w:t>
      </w:r>
      <w:r w:rsidR="00656940" w:rsidRPr="007B0231">
        <w:rPr>
          <w:rFonts w:ascii="Arial" w:hAnsi="Arial" w:cs="Arial"/>
          <w:sz w:val="24"/>
          <w:szCs w:val="24"/>
        </w:rPr>
        <w:t xml:space="preserve">the </w:t>
      </w:r>
      <w:r w:rsidR="003032AE" w:rsidRPr="007B0231">
        <w:rPr>
          <w:rFonts w:ascii="Arial" w:hAnsi="Arial" w:cs="Arial"/>
          <w:sz w:val="24"/>
          <w:szCs w:val="24"/>
        </w:rPr>
        <w:t xml:space="preserve">party </w:t>
      </w:r>
      <w:r w:rsidR="00656940" w:rsidRPr="007B0231">
        <w:rPr>
          <w:rFonts w:ascii="Arial" w:hAnsi="Arial" w:cs="Arial"/>
          <w:sz w:val="24"/>
          <w:szCs w:val="24"/>
        </w:rPr>
        <w:t xml:space="preserve">to whom the </w:t>
      </w:r>
      <w:r w:rsidR="00915E35" w:rsidRPr="007B0231">
        <w:rPr>
          <w:rFonts w:ascii="Arial" w:hAnsi="Arial" w:cs="Arial"/>
          <w:sz w:val="24"/>
          <w:szCs w:val="24"/>
        </w:rPr>
        <w:t xml:space="preserve">administrative action </w:t>
      </w:r>
      <w:r w:rsidR="009910F8" w:rsidRPr="007B0231">
        <w:rPr>
          <w:rFonts w:ascii="Arial" w:hAnsi="Arial" w:cs="Arial"/>
          <w:sz w:val="24"/>
          <w:szCs w:val="24"/>
        </w:rPr>
        <w:t xml:space="preserve">directly </w:t>
      </w:r>
      <w:r w:rsidR="00915E35" w:rsidRPr="007B0231">
        <w:rPr>
          <w:rFonts w:ascii="Arial" w:hAnsi="Arial" w:cs="Arial"/>
          <w:sz w:val="24"/>
          <w:szCs w:val="24"/>
        </w:rPr>
        <w:t>pertains</w:t>
      </w:r>
      <w:r w:rsidR="00C25AB7" w:rsidRPr="007B0231">
        <w:rPr>
          <w:rFonts w:ascii="Arial" w:hAnsi="Arial" w:cs="Arial"/>
          <w:sz w:val="24"/>
          <w:szCs w:val="24"/>
        </w:rPr>
        <w:t>. It</w:t>
      </w:r>
      <w:r w:rsidR="006F17CE" w:rsidRPr="007B0231">
        <w:rPr>
          <w:rFonts w:ascii="Arial" w:hAnsi="Arial" w:cs="Arial"/>
          <w:sz w:val="24"/>
          <w:szCs w:val="24"/>
        </w:rPr>
        <w:t xml:space="preserve"> </w:t>
      </w:r>
      <w:r w:rsidR="00EA39EF" w:rsidRPr="007B0231">
        <w:rPr>
          <w:rFonts w:ascii="Arial" w:hAnsi="Arial" w:cs="Arial"/>
          <w:sz w:val="24"/>
          <w:szCs w:val="24"/>
        </w:rPr>
        <w:t xml:space="preserve">relies thereon for the operation of the guesthouse and suffers prejudice </w:t>
      </w:r>
      <w:r w:rsidR="006E5C24" w:rsidRPr="007B0231">
        <w:rPr>
          <w:rFonts w:ascii="Arial" w:hAnsi="Arial" w:cs="Arial"/>
          <w:sz w:val="24"/>
          <w:szCs w:val="24"/>
        </w:rPr>
        <w:t>because of the applicant’s delay in seeking to have the decision reviewed and set aside.</w:t>
      </w:r>
      <w:r w:rsidR="00D25346" w:rsidRPr="007B0231">
        <w:rPr>
          <w:rFonts w:ascii="Arial" w:hAnsi="Arial" w:cs="Arial"/>
          <w:sz w:val="24"/>
          <w:szCs w:val="24"/>
        </w:rPr>
        <w:t xml:space="preserve"> The </w:t>
      </w:r>
      <w:r w:rsidR="00ED35A3" w:rsidRPr="007B0231">
        <w:rPr>
          <w:rFonts w:ascii="Arial" w:hAnsi="Arial" w:cs="Arial"/>
          <w:sz w:val="24"/>
          <w:szCs w:val="24"/>
        </w:rPr>
        <w:t xml:space="preserve">court’s </w:t>
      </w:r>
      <w:r w:rsidR="00D25346" w:rsidRPr="007B0231">
        <w:rPr>
          <w:rFonts w:ascii="Arial" w:hAnsi="Arial" w:cs="Arial"/>
          <w:sz w:val="24"/>
          <w:szCs w:val="24"/>
        </w:rPr>
        <w:t>finding</w:t>
      </w:r>
      <w:r w:rsidR="00ED35A3" w:rsidRPr="007B0231">
        <w:rPr>
          <w:rFonts w:ascii="Arial" w:hAnsi="Arial" w:cs="Arial"/>
          <w:sz w:val="24"/>
          <w:szCs w:val="24"/>
        </w:rPr>
        <w:t>s</w:t>
      </w:r>
      <w:r w:rsidR="00294C06" w:rsidRPr="007B0231">
        <w:rPr>
          <w:rFonts w:ascii="Arial" w:hAnsi="Arial" w:cs="Arial"/>
          <w:sz w:val="24"/>
          <w:szCs w:val="24"/>
        </w:rPr>
        <w:t xml:space="preserve"> will have an </w:t>
      </w:r>
      <w:r w:rsidR="00375906" w:rsidRPr="007B0231">
        <w:rPr>
          <w:rFonts w:ascii="Arial" w:hAnsi="Arial" w:cs="Arial"/>
          <w:sz w:val="24"/>
          <w:szCs w:val="24"/>
        </w:rPr>
        <w:t xml:space="preserve">undeniable </w:t>
      </w:r>
      <w:r w:rsidR="00294C06" w:rsidRPr="007B0231">
        <w:rPr>
          <w:rFonts w:ascii="Arial" w:hAnsi="Arial" w:cs="Arial"/>
          <w:sz w:val="24"/>
          <w:szCs w:val="24"/>
        </w:rPr>
        <w:t xml:space="preserve">impact on the </w:t>
      </w:r>
      <w:r w:rsidR="004A44C5" w:rsidRPr="007B0231">
        <w:rPr>
          <w:rFonts w:ascii="Arial" w:hAnsi="Arial" w:cs="Arial"/>
          <w:sz w:val="24"/>
          <w:szCs w:val="24"/>
        </w:rPr>
        <w:t xml:space="preserve">fourth respondent’s rights. </w:t>
      </w:r>
      <w:r w:rsidR="00375906" w:rsidRPr="007B0231">
        <w:rPr>
          <w:rFonts w:ascii="Arial" w:hAnsi="Arial" w:cs="Arial"/>
          <w:sz w:val="24"/>
          <w:szCs w:val="24"/>
        </w:rPr>
        <w:t>Considering</w:t>
      </w:r>
      <w:r w:rsidR="004A44C5" w:rsidRPr="007B0231">
        <w:rPr>
          <w:rFonts w:ascii="Arial" w:hAnsi="Arial" w:cs="Arial"/>
          <w:sz w:val="24"/>
          <w:szCs w:val="24"/>
        </w:rPr>
        <w:t xml:space="preserve"> the above, argue</w:t>
      </w:r>
      <w:r w:rsidR="00622112" w:rsidRPr="007B0231">
        <w:rPr>
          <w:rFonts w:ascii="Arial" w:hAnsi="Arial" w:cs="Arial"/>
          <w:sz w:val="24"/>
          <w:szCs w:val="24"/>
        </w:rPr>
        <w:t>s</w:t>
      </w:r>
      <w:r w:rsidR="004A44C5" w:rsidRPr="007B0231">
        <w:rPr>
          <w:rFonts w:ascii="Arial" w:hAnsi="Arial" w:cs="Arial"/>
          <w:sz w:val="24"/>
          <w:szCs w:val="24"/>
        </w:rPr>
        <w:t xml:space="preserve"> </w:t>
      </w:r>
      <w:r w:rsidR="00622112" w:rsidRPr="007B0231">
        <w:rPr>
          <w:rFonts w:ascii="Arial" w:hAnsi="Arial" w:cs="Arial"/>
          <w:sz w:val="24"/>
          <w:szCs w:val="24"/>
        </w:rPr>
        <w:t>the fourth respondent</w:t>
      </w:r>
      <w:r w:rsidR="004A44C5" w:rsidRPr="007B0231">
        <w:rPr>
          <w:rFonts w:ascii="Arial" w:hAnsi="Arial" w:cs="Arial"/>
          <w:sz w:val="24"/>
          <w:szCs w:val="24"/>
        </w:rPr>
        <w:t xml:space="preserve">, </w:t>
      </w:r>
      <w:r w:rsidR="00D208BC" w:rsidRPr="007B0231">
        <w:rPr>
          <w:rFonts w:ascii="Arial" w:hAnsi="Arial" w:cs="Arial"/>
          <w:sz w:val="24"/>
          <w:szCs w:val="24"/>
        </w:rPr>
        <w:t xml:space="preserve">section 9(1) must be interpreted </w:t>
      </w:r>
      <w:r w:rsidR="004B2B8E" w:rsidRPr="007B0231">
        <w:rPr>
          <w:rFonts w:ascii="Arial" w:hAnsi="Arial" w:cs="Arial"/>
          <w:sz w:val="24"/>
          <w:szCs w:val="24"/>
        </w:rPr>
        <w:t xml:space="preserve">to mean that </w:t>
      </w:r>
      <w:r w:rsidR="00622112" w:rsidRPr="007B0231">
        <w:rPr>
          <w:rFonts w:ascii="Arial" w:hAnsi="Arial" w:cs="Arial"/>
          <w:sz w:val="24"/>
          <w:szCs w:val="24"/>
        </w:rPr>
        <w:t xml:space="preserve">it </w:t>
      </w:r>
      <w:r w:rsidR="00C0287F" w:rsidRPr="007B0231">
        <w:rPr>
          <w:rFonts w:ascii="Arial" w:hAnsi="Arial" w:cs="Arial"/>
          <w:sz w:val="24"/>
          <w:szCs w:val="24"/>
        </w:rPr>
        <w:t>must</w:t>
      </w:r>
      <w:r w:rsidR="002D1D1A" w:rsidRPr="007B0231">
        <w:rPr>
          <w:rFonts w:ascii="Arial" w:hAnsi="Arial" w:cs="Arial"/>
          <w:sz w:val="24"/>
          <w:szCs w:val="24"/>
        </w:rPr>
        <w:t xml:space="preserve"> </w:t>
      </w:r>
      <w:r w:rsidR="00622112" w:rsidRPr="007B0231">
        <w:rPr>
          <w:rFonts w:ascii="Arial" w:hAnsi="Arial" w:cs="Arial"/>
          <w:sz w:val="24"/>
          <w:szCs w:val="24"/>
        </w:rPr>
        <w:t xml:space="preserve">have </w:t>
      </w:r>
      <w:r w:rsidR="005B7379" w:rsidRPr="007B0231">
        <w:rPr>
          <w:rFonts w:ascii="Arial" w:hAnsi="Arial" w:cs="Arial"/>
          <w:sz w:val="24"/>
          <w:szCs w:val="24"/>
        </w:rPr>
        <w:t>be</w:t>
      </w:r>
      <w:r w:rsidR="00622112" w:rsidRPr="007B0231">
        <w:rPr>
          <w:rFonts w:ascii="Arial" w:hAnsi="Arial" w:cs="Arial"/>
          <w:sz w:val="24"/>
          <w:szCs w:val="24"/>
        </w:rPr>
        <w:t>en included as</w:t>
      </w:r>
      <w:r w:rsidR="004B2B8E" w:rsidRPr="007B0231">
        <w:rPr>
          <w:rFonts w:ascii="Arial" w:hAnsi="Arial" w:cs="Arial"/>
          <w:sz w:val="24"/>
          <w:szCs w:val="24"/>
        </w:rPr>
        <w:t xml:space="preserve"> a party to </w:t>
      </w:r>
      <w:r w:rsidR="005B7379" w:rsidRPr="007B0231">
        <w:rPr>
          <w:rFonts w:ascii="Arial" w:hAnsi="Arial" w:cs="Arial"/>
          <w:sz w:val="24"/>
          <w:szCs w:val="24"/>
        </w:rPr>
        <w:t>any agreement for the extension of the 180-day period.</w:t>
      </w:r>
      <w:r w:rsidR="002A7B4E" w:rsidRPr="007B0231">
        <w:rPr>
          <w:rFonts w:ascii="Arial" w:hAnsi="Arial" w:cs="Arial"/>
          <w:sz w:val="24"/>
          <w:szCs w:val="24"/>
        </w:rPr>
        <w:t xml:space="preserve"> </w:t>
      </w:r>
    </w:p>
    <w:p w14:paraId="414DD4AB" w14:textId="77777777" w:rsidR="00537568" w:rsidRDefault="00537568" w:rsidP="00537568">
      <w:pPr>
        <w:pStyle w:val="ListParagraph"/>
        <w:spacing w:line="360" w:lineRule="auto"/>
        <w:ind w:left="0"/>
        <w:jc w:val="both"/>
        <w:rPr>
          <w:rFonts w:ascii="Arial" w:hAnsi="Arial" w:cs="Arial"/>
          <w:sz w:val="24"/>
          <w:szCs w:val="24"/>
        </w:rPr>
      </w:pPr>
    </w:p>
    <w:p w14:paraId="100B4C61" w14:textId="679F271A" w:rsidR="00E53128"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lastRenderedPageBreak/>
        <w:t>[41]</w:t>
      </w:r>
      <w:r w:rsidRPr="00537568">
        <w:rPr>
          <w:rFonts w:ascii="Arial" w:hAnsi="Arial" w:cs="Arial"/>
          <w:sz w:val="24"/>
          <w:szCs w:val="24"/>
        </w:rPr>
        <w:tab/>
      </w:r>
      <w:r w:rsidR="002A7B4E" w:rsidRPr="007B0231">
        <w:rPr>
          <w:rFonts w:ascii="Arial" w:hAnsi="Arial" w:cs="Arial"/>
          <w:sz w:val="24"/>
          <w:szCs w:val="24"/>
        </w:rPr>
        <w:t xml:space="preserve">To that effect, </w:t>
      </w:r>
      <w:r w:rsidR="0046422C" w:rsidRPr="007B0231">
        <w:rPr>
          <w:rFonts w:ascii="Arial" w:hAnsi="Arial" w:cs="Arial"/>
          <w:sz w:val="24"/>
          <w:szCs w:val="24"/>
        </w:rPr>
        <w:t>counsel referred t</w:t>
      </w:r>
      <w:r w:rsidR="00DA54D7" w:rsidRPr="007B0231">
        <w:rPr>
          <w:rFonts w:ascii="Arial" w:hAnsi="Arial" w:cs="Arial"/>
          <w:sz w:val="24"/>
          <w:szCs w:val="24"/>
        </w:rPr>
        <w:t xml:space="preserve">o </w:t>
      </w:r>
      <w:r w:rsidR="008B5A80" w:rsidRPr="007B0231">
        <w:rPr>
          <w:rFonts w:ascii="Arial" w:hAnsi="Arial" w:cs="Arial"/>
          <w:i/>
          <w:iCs/>
          <w:sz w:val="24"/>
          <w:szCs w:val="24"/>
        </w:rPr>
        <w:t xml:space="preserve">ABM Motors v Minister of Minerals and </w:t>
      </w:r>
      <w:r w:rsidR="0006013B" w:rsidRPr="007B0231">
        <w:rPr>
          <w:rFonts w:ascii="Arial" w:hAnsi="Arial" w:cs="Arial"/>
          <w:i/>
          <w:iCs/>
          <w:sz w:val="24"/>
          <w:szCs w:val="24"/>
        </w:rPr>
        <w:t>Energy and others</w:t>
      </w:r>
      <w:r w:rsidR="00D34408" w:rsidRPr="007B0231">
        <w:rPr>
          <w:rFonts w:ascii="Arial" w:hAnsi="Arial" w:cs="Arial"/>
          <w:i/>
          <w:iCs/>
          <w:sz w:val="24"/>
          <w:szCs w:val="24"/>
        </w:rPr>
        <w:t>.</w:t>
      </w:r>
      <w:r w:rsidR="0006013B">
        <w:rPr>
          <w:rStyle w:val="FootnoteReference"/>
          <w:rFonts w:ascii="Arial" w:hAnsi="Arial" w:cs="Arial"/>
          <w:sz w:val="24"/>
          <w:szCs w:val="24"/>
        </w:rPr>
        <w:footnoteReference w:id="14"/>
      </w:r>
      <w:r w:rsidR="00596475" w:rsidRPr="007B0231">
        <w:rPr>
          <w:rFonts w:ascii="Arial" w:hAnsi="Arial" w:cs="Arial"/>
          <w:sz w:val="24"/>
          <w:szCs w:val="24"/>
        </w:rPr>
        <w:t xml:space="preserve"> </w:t>
      </w:r>
      <w:r w:rsidR="00D34408" w:rsidRPr="007B0231">
        <w:rPr>
          <w:rFonts w:ascii="Arial" w:hAnsi="Arial" w:cs="Arial"/>
          <w:sz w:val="24"/>
          <w:szCs w:val="24"/>
        </w:rPr>
        <w:t>This involved</w:t>
      </w:r>
      <w:r w:rsidR="00283656" w:rsidRPr="007B0231">
        <w:rPr>
          <w:rFonts w:ascii="Arial" w:hAnsi="Arial" w:cs="Arial"/>
          <w:sz w:val="24"/>
          <w:szCs w:val="24"/>
        </w:rPr>
        <w:t xml:space="preserve"> </w:t>
      </w:r>
      <w:r w:rsidR="00C624EB" w:rsidRPr="007B0231">
        <w:rPr>
          <w:rFonts w:ascii="Arial" w:hAnsi="Arial" w:cs="Arial"/>
          <w:sz w:val="24"/>
          <w:szCs w:val="24"/>
        </w:rPr>
        <w:t xml:space="preserve">a review of </w:t>
      </w:r>
      <w:r w:rsidR="00D34408" w:rsidRPr="007B0231">
        <w:rPr>
          <w:rFonts w:ascii="Arial" w:hAnsi="Arial" w:cs="Arial"/>
          <w:sz w:val="24"/>
          <w:szCs w:val="24"/>
        </w:rPr>
        <w:t>the</w:t>
      </w:r>
      <w:r w:rsidR="00322F72" w:rsidRPr="007B0231">
        <w:rPr>
          <w:rFonts w:ascii="Arial" w:hAnsi="Arial" w:cs="Arial"/>
          <w:sz w:val="24"/>
          <w:szCs w:val="24"/>
        </w:rPr>
        <w:t xml:space="preserve"> decision by the Minister of Minerals and Energy </w:t>
      </w:r>
      <w:r w:rsidR="00614024" w:rsidRPr="007B0231">
        <w:rPr>
          <w:rFonts w:ascii="Arial" w:hAnsi="Arial" w:cs="Arial"/>
          <w:sz w:val="24"/>
          <w:szCs w:val="24"/>
        </w:rPr>
        <w:t>to dismiss the applicant’s appeal against the decision of the Controller of Petroleum Pro</w:t>
      </w:r>
      <w:r w:rsidR="00165404" w:rsidRPr="007B0231">
        <w:rPr>
          <w:rFonts w:ascii="Arial" w:hAnsi="Arial" w:cs="Arial"/>
          <w:sz w:val="24"/>
          <w:szCs w:val="24"/>
        </w:rPr>
        <w:t>ducts to refuse the granting of site and retail licences</w:t>
      </w:r>
      <w:r w:rsidR="00D83407" w:rsidRPr="007B0231">
        <w:rPr>
          <w:rFonts w:ascii="Arial" w:hAnsi="Arial" w:cs="Arial"/>
          <w:sz w:val="24"/>
          <w:szCs w:val="24"/>
        </w:rPr>
        <w:t xml:space="preserve"> </w:t>
      </w:r>
      <w:r w:rsidR="004B2379" w:rsidRPr="007B0231">
        <w:rPr>
          <w:rFonts w:ascii="Arial" w:hAnsi="Arial" w:cs="Arial"/>
          <w:sz w:val="24"/>
          <w:szCs w:val="24"/>
        </w:rPr>
        <w:t xml:space="preserve">to operate a filling station in the Newcastle district </w:t>
      </w:r>
      <w:r w:rsidR="00D83407" w:rsidRPr="007B0231">
        <w:rPr>
          <w:rFonts w:ascii="Arial" w:hAnsi="Arial" w:cs="Arial"/>
          <w:sz w:val="24"/>
          <w:szCs w:val="24"/>
        </w:rPr>
        <w:t>under the Petroleum Products Act 120 of 1977.</w:t>
      </w:r>
      <w:r w:rsidR="00A565CE" w:rsidRPr="007B0231">
        <w:rPr>
          <w:rFonts w:ascii="Arial" w:hAnsi="Arial" w:cs="Arial"/>
          <w:sz w:val="24"/>
          <w:szCs w:val="24"/>
        </w:rPr>
        <w:t xml:space="preserve"> </w:t>
      </w:r>
      <w:r w:rsidR="000A7A3B" w:rsidRPr="007B0231">
        <w:rPr>
          <w:rFonts w:ascii="Arial" w:hAnsi="Arial" w:cs="Arial"/>
          <w:sz w:val="24"/>
          <w:szCs w:val="24"/>
        </w:rPr>
        <w:t xml:space="preserve">Other filling stations </w:t>
      </w:r>
      <w:r w:rsidR="004E6FB9" w:rsidRPr="007B0231">
        <w:rPr>
          <w:rFonts w:ascii="Arial" w:hAnsi="Arial" w:cs="Arial"/>
          <w:sz w:val="24"/>
          <w:szCs w:val="24"/>
        </w:rPr>
        <w:t xml:space="preserve">opposed the review application, saying that the applicant only served </w:t>
      </w:r>
      <w:r w:rsidR="00450D3B" w:rsidRPr="007B0231">
        <w:rPr>
          <w:rFonts w:ascii="Arial" w:hAnsi="Arial" w:cs="Arial"/>
          <w:sz w:val="24"/>
          <w:szCs w:val="24"/>
        </w:rPr>
        <w:t>papers on them</w:t>
      </w:r>
      <w:r w:rsidR="00590912" w:rsidRPr="007B0231">
        <w:rPr>
          <w:rFonts w:ascii="Arial" w:hAnsi="Arial" w:cs="Arial"/>
          <w:sz w:val="24"/>
          <w:szCs w:val="24"/>
        </w:rPr>
        <w:t xml:space="preserve"> </w:t>
      </w:r>
      <w:r w:rsidR="00556D12" w:rsidRPr="007B0231">
        <w:rPr>
          <w:rFonts w:ascii="Arial" w:hAnsi="Arial" w:cs="Arial"/>
          <w:sz w:val="24"/>
          <w:szCs w:val="24"/>
        </w:rPr>
        <w:t>after the ex</w:t>
      </w:r>
      <w:r w:rsidR="005143F2" w:rsidRPr="007B0231">
        <w:rPr>
          <w:rFonts w:ascii="Arial" w:hAnsi="Arial" w:cs="Arial"/>
          <w:sz w:val="24"/>
          <w:szCs w:val="24"/>
        </w:rPr>
        <w:t>piry of the 180-day period. The applicant</w:t>
      </w:r>
      <w:r w:rsidR="00450D3B" w:rsidRPr="007B0231">
        <w:rPr>
          <w:rFonts w:ascii="Arial" w:hAnsi="Arial" w:cs="Arial"/>
          <w:sz w:val="24"/>
          <w:szCs w:val="24"/>
        </w:rPr>
        <w:t xml:space="preserve"> contended</w:t>
      </w:r>
      <w:r w:rsidR="005143F2" w:rsidRPr="007B0231">
        <w:rPr>
          <w:rFonts w:ascii="Arial" w:hAnsi="Arial" w:cs="Arial"/>
          <w:sz w:val="24"/>
          <w:szCs w:val="24"/>
        </w:rPr>
        <w:t xml:space="preserve">, in turn, that service on the decision-makers alone </w:t>
      </w:r>
      <w:r w:rsidR="00D62496" w:rsidRPr="007B0231">
        <w:rPr>
          <w:rFonts w:ascii="Arial" w:hAnsi="Arial" w:cs="Arial"/>
          <w:sz w:val="24"/>
          <w:szCs w:val="24"/>
        </w:rPr>
        <w:t>was adequate</w:t>
      </w:r>
      <w:r w:rsidR="005143F2" w:rsidRPr="007B0231">
        <w:rPr>
          <w:rFonts w:ascii="Arial" w:hAnsi="Arial" w:cs="Arial"/>
          <w:sz w:val="24"/>
          <w:szCs w:val="24"/>
        </w:rPr>
        <w:t>.</w:t>
      </w:r>
      <w:r w:rsidR="00032B02" w:rsidRPr="007B0231">
        <w:rPr>
          <w:rFonts w:ascii="Arial" w:hAnsi="Arial" w:cs="Arial"/>
          <w:sz w:val="24"/>
          <w:szCs w:val="24"/>
        </w:rPr>
        <w:t xml:space="preserve"> </w:t>
      </w:r>
      <w:r w:rsidR="00596475" w:rsidRPr="007B0231">
        <w:rPr>
          <w:rFonts w:ascii="Arial" w:hAnsi="Arial" w:cs="Arial"/>
          <w:sz w:val="24"/>
          <w:szCs w:val="24"/>
        </w:rPr>
        <w:t>Ploos van Amstel J held</w:t>
      </w:r>
      <w:r w:rsidR="00032B02" w:rsidRPr="007B0231">
        <w:rPr>
          <w:rFonts w:ascii="Arial" w:hAnsi="Arial" w:cs="Arial"/>
          <w:sz w:val="24"/>
          <w:szCs w:val="24"/>
        </w:rPr>
        <w:t xml:space="preserve"> as follows:</w:t>
      </w:r>
    </w:p>
    <w:p w14:paraId="7EB368B2" w14:textId="004D2A5A" w:rsidR="00032B02" w:rsidRPr="00D62496" w:rsidRDefault="00032B02" w:rsidP="00537568">
      <w:pPr>
        <w:spacing w:line="360" w:lineRule="auto"/>
        <w:ind w:left="720"/>
        <w:jc w:val="both"/>
        <w:rPr>
          <w:rFonts w:ascii="Arial" w:hAnsi="Arial" w:cs="Arial"/>
        </w:rPr>
      </w:pPr>
      <w:r w:rsidRPr="00D62496">
        <w:rPr>
          <w:rFonts w:ascii="Arial" w:hAnsi="Arial" w:cs="Arial"/>
        </w:rPr>
        <w:t>‘</w:t>
      </w:r>
      <w:r w:rsidR="00290188" w:rsidRPr="00D62496">
        <w:rPr>
          <w:rFonts w:ascii="Arial" w:hAnsi="Arial" w:cs="Arial"/>
        </w:rPr>
        <w:t>…The respondents had been involved in the matter from the outset</w:t>
      </w:r>
      <w:r w:rsidR="006A6CC4" w:rsidRPr="00D62496">
        <w:rPr>
          <w:rFonts w:ascii="Arial" w:hAnsi="Arial" w:cs="Arial"/>
        </w:rPr>
        <w:t xml:space="preserve">- they opposed the application for the issue of the licences and they opposed the </w:t>
      </w:r>
      <w:r w:rsidR="00177423" w:rsidRPr="00D62496">
        <w:rPr>
          <w:rFonts w:ascii="Arial" w:hAnsi="Arial" w:cs="Arial"/>
        </w:rPr>
        <w:t>appeal to the Minister. They were interested parties in the review proceedings</w:t>
      </w:r>
      <w:r w:rsidR="00806BF9" w:rsidRPr="00D62496">
        <w:rPr>
          <w:rFonts w:ascii="Arial" w:hAnsi="Arial" w:cs="Arial"/>
        </w:rPr>
        <w:t>, as is demonstrated by the fact that they were cited as respondents.</w:t>
      </w:r>
      <w:r w:rsidR="00280E28" w:rsidRPr="00D62496">
        <w:rPr>
          <w:rFonts w:ascii="Arial" w:hAnsi="Arial" w:cs="Arial"/>
        </w:rPr>
        <w:t xml:space="preserve"> It makes no sense to me to hold that service of the review papers on the decision-maker, but not on </w:t>
      </w:r>
      <w:r w:rsidR="00047859" w:rsidRPr="00D62496">
        <w:rPr>
          <w:rFonts w:ascii="Arial" w:hAnsi="Arial" w:cs="Arial"/>
        </w:rPr>
        <w:t>the other parties affected, suffices for the review proceedings to be instituted.</w:t>
      </w:r>
      <w:r w:rsidR="009250EB" w:rsidRPr="00D62496">
        <w:rPr>
          <w:rFonts w:ascii="Arial" w:hAnsi="Arial" w:cs="Arial"/>
        </w:rPr>
        <w:t xml:space="preserve"> In many cases, as in the present one, it is not the decision-maker who opposes the review</w:t>
      </w:r>
      <w:r w:rsidR="001B339D" w:rsidRPr="00D62496">
        <w:rPr>
          <w:rFonts w:ascii="Arial" w:hAnsi="Arial" w:cs="Arial"/>
        </w:rPr>
        <w:t>, but a third party who was involved in the administrative action</w:t>
      </w:r>
      <w:r w:rsidR="003D4C56" w:rsidRPr="00D62496">
        <w:rPr>
          <w:rFonts w:ascii="Arial" w:hAnsi="Arial" w:cs="Arial"/>
        </w:rPr>
        <w:t xml:space="preserve"> and who has a direct and substantial interest in the outcome of the review.</w:t>
      </w:r>
      <w:r w:rsidR="00964255" w:rsidRPr="00D62496">
        <w:rPr>
          <w:rFonts w:ascii="Arial" w:hAnsi="Arial" w:cs="Arial"/>
        </w:rPr>
        <w:t xml:space="preserve"> This is why rule 6, which prescribes how an application must be brought</w:t>
      </w:r>
      <w:r w:rsidR="00A203CB" w:rsidRPr="00D62496">
        <w:rPr>
          <w:rFonts w:ascii="Arial" w:hAnsi="Arial" w:cs="Arial"/>
        </w:rPr>
        <w:t xml:space="preserve">, provides in sub-rule (2) that when relief is claimed against any person, </w:t>
      </w:r>
      <w:r w:rsidR="00DE5AE0" w:rsidRPr="00D62496">
        <w:rPr>
          <w:rFonts w:ascii="Arial" w:hAnsi="Arial" w:cs="Arial"/>
        </w:rPr>
        <w:t xml:space="preserve">or where it is necessary or proper to give any person notice of such </w:t>
      </w:r>
      <w:r w:rsidR="00436911" w:rsidRPr="00D62496">
        <w:rPr>
          <w:rFonts w:ascii="Arial" w:hAnsi="Arial" w:cs="Arial"/>
        </w:rPr>
        <w:t>application, the notice of motion must be addressed to both the registrar and such person</w:t>
      </w:r>
      <w:r w:rsidR="001262E5" w:rsidRPr="00D62496">
        <w:rPr>
          <w:rFonts w:ascii="Arial" w:hAnsi="Arial" w:cs="Arial"/>
        </w:rPr>
        <w:t xml:space="preserve">, and why sub-rule 5(a) provides that every application other than </w:t>
      </w:r>
      <w:r w:rsidR="00312F70" w:rsidRPr="00D62496">
        <w:rPr>
          <w:rFonts w:ascii="Arial" w:hAnsi="Arial" w:cs="Arial"/>
        </w:rPr>
        <w:t xml:space="preserve">one brought </w:t>
      </w:r>
      <w:r w:rsidR="00312F70" w:rsidRPr="000F7DC5">
        <w:rPr>
          <w:rFonts w:ascii="Arial" w:hAnsi="Arial" w:cs="Arial"/>
          <w:i/>
          <w:iCs/>
        </w:rPr>
        <w:t>ex parte</w:t>
      </w:r>
      <w:r w:rsidR="00312F70" w:rsidRPr="00D62496">
        <w:rPr>
          <w:rFonts w:ascii="Arial" w:hAnsi="Arial" w:cs="Arial"/>
        </w:rPr>
        <w:t xml:space="preserve"> </w:t>
      </w:r>
      <w:r w:rsidR="0028721E" w:rsidRPr="00D62496">
        <w:rPr>
          <w:rFonts w:ascii="Arial" w:hAnsi="Arial" w:cs="Arial"/>
        </w:rPr>
        <w:t xml:space="preserve">must be brought on notice of motion </w:t>
      </w:r>
      <w:r w:rsidR="00327A11" w:rsidRPr="00D62496">
        <w:rPr>
          <w:rFonts w:ascii="Arial" w:hAnsi="Arial" w:cs="Arial"/>
        </w:rPr>
        <w:t xml:space="preserve">and must be served upon every party to whom notice thereof </w:t>
      </w:r>
      <w:r w:rsidR="0024268C" w:rsidRPr="00D62496">
        <w:rPr>
          <w:rFonts w:ascii="Arial" w:hAnsi="Arial" w:cs="Arial"/>
        </w:rPr>
        <w:t xml:space="preserve">is to be given. In </w:t>
      </w:r>
      <w:r w:rsidR="0024268C" w:rsidRPr="00D62496">
        <w:rPr>
          <w:rFonts w:ascii="Arial" w:hAnsi="Arial" w:cs="Arial"/>
          <w:i/>
          <w:iCs/>
        </w:rPr>
        <w:t>Finishing Touch</w:t>
      </w:r>
      <w:r w:rsidR="00242B04" w:rsidRPr="00D62496">
        <w:rPr>
          <w:rStyle w:val="FootnoteReference"/>
          <w:rFonts w:ascii="Arial" w:hAnsi="Arial" w:cs="Arial"/>
          <w:i/>
          <w:iCs/>
        </w:rPr>
        <w:footnoteReference w:id="15"/>
      </w:r>
      <w:r w:rsidR="0023620D" w:rsidRPr="00D62496">
        <w:rPr>
          <w:rFonts w:ascii="Arial" w:hAnsi="Arial" w:cs="Arial"/>
        </w:rPr>
        <w:t>… Mhlantla JA</w:t>
      </w:r>
      <w:r w:rsidR="00060B73" w:rsidRPr="00D62496">
        <w:rPr>
          <w:rFonts w:ascii="Arial" w:hAnsi="Arial" w:cs="Arial"/>
        </w:rPr>
        <w:t xml:space="preserve"> said notice of the application had to be “given to the registrar and the application </w:t>
      </w:r>
      <w:r w:rsidR="00E101FF" w:rsidRPr="00D62496">
        <w:rPr>
          <w:rFonts w:ascii="Arial" w:hAnsi="Arial" w:cs="Arial"/>
        </w:rPr>
        <w:t xml:space="preserve">served on the affected parties”. This means all the affected parties, not </w:t>
      </w:r>
      <w:r w:rsidR="00242B04" w:rsidRPr="00D62496">
        <w:rPr>
          <w:rFonts w:ascii="Arial" w:hAnsi="Arial" w:cs="Arial"/>
        </w:rPr>
        <w:t>only the decision-makers.’</w:t>
      </w:r>
      <w:r w:rsidR="00DE6FEB" w:rsidRPr="00D62496">
        <w:rPr>
          <w:rStyle w:val="FootnoteReference"/>
          <w:rFonts w:ascii="Arial" w:hAnsi="Arial" w:cs="Arial"/>
        </w:rPr>
        <w:footnoteReference w:id="16"/>
      </w:r>
    </w:p>
    <w:p w14:paraId="7BD2BD45" w14:textId="77777777" w:rsidR="00702E65" w:rsidRDefault="00702E65" w:rsidP="00A432A7">
      <w:pPr>
        <w:spacing w:line="360" w:lineRule="auto"/>
        <w:rPr>
          <w:rFonts w:ascii="Arial" w:hAnsi="Arial" w:cs="Arial"/>
          <w:sz w:val="24"/>
          <w:szCs w:val="24"/>
        </w:rPr>
      </w:pPr>
    </w:p>
    <w:p w14:paraId="0EE31C9F" w14:textId="4C18F944"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06C07" w:rsidRPr="007B0231">
        <w:rPr>
          <w:rFonts w:ascii="Arial" w:hAnsi="Arial" w:cs="Arial"/>
          <w:sz w:val="24"/>
          <w:szCs w:val="24"/>
        </w:rPr>
        <w:t xml:space="preserve">The </w:t>
      </w:r>
      <w:r w:rsidR="003C1DEE" w:rsidRPr="007B0231">
        <w:rPr>
          <w:rFonts w:ascii="Arial" w:hAnsi="Arial" w:cs="Arial"/>
          <w:sz w:val="24"/>
          <w:szCs w:val="24"/>
        </w:rPr>
        <w:t xml:space="preserve">learned judge’s reasoning was affirmed </w:t>
      </w:r>
      <w:r w:rsidR="00A03E2A" w:rsidRPr="007B0231">
        <w:rPr>
          <w:rFonts w:ascii="Arial" w:hAnsi="Arial" w:cs="Arial"/>
          <w:sz w:val="24"/>
          <w:szCs w:val="24"/>
        </w:rPr>
        <w:t xml:space="preserve">by the Supreme Court of Appeal </w:t>
      </w:r>
      <w:r w:rsidR="000527DF" w:rsidRPr="007B0231">
        <w:rPr>
          <w:rFonts w:ascii="Arial" w:hAnsi="Arial" w:cs="Arial"/>
          <w:sz w:val="24"/>
          <w:szCs w:val="24"/>
        </w:rPr>
        <w:t xml:space="preserve">in </w:t>
      </w:r>
      <w:r w:rsidR="0008240E" w:rsidRPr="007B0231">
        <w:rPr>
          <w:rFonts w:ascii="Arial" w:hAnsi="Arial" w:cs="Arial"/>
          <w:i/>
          <w:iCs/>
          <w:sz w:val="24"/>
          <w:szCs w:val="24"/>
        </w:rPr>
        <w:t xml:space="preserve">Commissioner </w:t>
      </w:r>
      <w:r w:rsidR="00795D86" w:rsidRPr="007B0231">
        <w:rPr>
          <w:rFonts w:ascii="Arial" w:hAnsi="Arial" w:cs="Arial"/>
          <w:i/>
          <w:iCs/>
          <w:sz w:val="24"/>
          <w:szCs w:val="24"/>
        </w:rPr>
        <w:t xml:space="preserve">for the South African Revenue Service </w:t>
      </w:r>
      <w:r w:rsidR="00751685" w:rsidRPr="007B0231">
        <w:rPr>
          <w:rFonts w:ascii="Arial" w:hAnsi="Arial" w:cs="Arial"/>
          <w:i/>
          <w:iCs/>
          <w:sz w:val="24"/>
          <w:szCs w:val="24"/>
        </w:rPr>
        <w:t xml:space="preserve">v Sasol Chevron Holdings </w:t>
      </w:r>
      <w:r w:rsidR="00D40F0D" w:rsidRPr="007B0231">
        <w:rPr>
          <w:rFonts w:ascii="Arial" w:hAnsi="Arial" w:cs="Arial"/>
          <w:i/>
          <w:iCs/>
          <w:sz w:val="24"/>
          <w:szCs w:val="24"/>
        </w:rPr>
        <w:t>Limited</w:t>
      </w:r>
      <w:r w:rsidR="00717758" w:rsidRPr="007B0231">
        <w:rPr>
          <w:rFonts w:ascii="Arial" w:hAnsi="Arial" w:cs="Arial"/>
          <w:sz w:val="24"/>
          <w:szCs w:val="24"/>
        </w:rPr>
        <w:t>,</w:t>
      </w:r>
      <w:r w:rsidR="00CA628C">
        <w:rPr>
          <w:rStyle w:val="FootnoteReference"/>
          <w:rFonts w:ascii="Arial" w:hAnsi="Arial" w:cs="Arial"/>
          <w:sz w:val="24"/>
          <w:szCs w:val="24"/>
        </w:rPr>
        <w:footnoteReference w:id="17"/>
      </w:r>
      <w:r w:rsidR="0055513A" w:rsidRPr="007B0231">
        <w:rPr>
          <w:rFonts w:ascii="Arial" w:hAnsi="Arial" w:cs="Arial"/>
          <w:sz w:val="24"/>
          <w:szCs w:val="24"/>
        </w:rPr>
        <w:t xml:space="preserve"> where Petse </w:t>
      </w:r>
      <w:r w:rsidR="00A03E2A" w:rsidRPr="007B0231">
        <w:rPr>
          <w:rFonts w:ascii="Arial" w:hAnsi="Arial" w:cs="Arial"/>
          <w:sz w:val="24"/>
          <w:szCs w:val="24"/>
        </w:rPr>
        <w:t>DP</w:t>
      </w:r>
      <w:r w:rsidR="00693472" w:rsidRPr="007B0231">
        <w:rPr>
          <w:rFonts w:ascii="Arial" w:hAnsi="Arial" w:cs="Arial"/>
          <w:sz w:val="24"/>
          <w:szCs w:val="24"/>
        </w:rPr>
        <w:t xml:space="preserve"> </w:t>
      </w:r>
      <w:r w:rsidR="00C93C9F" w:rsidRPr="007B0231">
        <w:rPr>
          <w:rFonts w:ascii="Arial" w:hAnsi="Arial" w:cs="Arial"/>
          <w:sz w:val="24"/>
          <w:szCs w:val="24"/>
        </w:rPr>
        <w:t>found</w:t>
      </w:r>
      <w:r w:rsidR="003856D1" w:rsidRPr="007B0231">
        <w:rPr>
          <w:rFonts w:ascii="Arial" w:hAnsi="Arial" w:cs="Arial"/>
          <w:sz w:val="24"/>
          <w:szCs w:val="24"/>
        </w:rPr>
        <w:t xml:space="preserve"> that a review application</w:t>
      </w:r>
      <w:r w:rsidR="005364BF" w:rsidRPr="007B0231">
        <w:rPr>
          <w:rFonts w:ascii="Arial" w:hAnsi="Arial" w:cs="Arial"/>
          <w:sz w:val="24"/>
          <w:szCs w:val="24"/>
        </w:rPr>
        <w:t xml:space="preserve"> brought in terms of section 6(1) </w:t>
      </w:r>
      <w:r w:rsidR="005364BF" w:rsidRPr="007B0231">
        <w:rPr>
          <w:rFonts w:ascii="Arial" w:hAnsi="Arial" w:cs="Arial"/>
          <w:sz w:val="24"/>
          <w:szCs w:val="24"/>
        </w:rPr>
        <w:lastRenderedPageBreak/>
        <w:t xml:space="preserve">of PAJA </w:t>
      </w:r>
      <w:r w:rsidR="002F16ED" w:rsidRPr="007B0231">
        <w:rPr>
          <w:rFonts w:ascii="Arial" w:hAnsi="Arial" w:cs="Arial"/>
          <w:sz w:val="24"/>
          <w:szCs w:val="24"/>
        </w:rPr>
        <w:t xml:space="preserve">must be issued and served on the affected parties to satisfy the prescripts </w:t>
      </w:r>
      <w:r w:rsidR="00717758" w:rsidRPr="007B0231">
        <w:rPr>
          <w:rFonts w:ascii="Arial" w:hAnsi="Arial" w:cs="Arial"/>
          <w:sz w:val="24"/>
          <w:szCs w:val="24"/>
        </w:rPr>
        <w:t>of section 7(1).</w:t>
      </w:r>
    </w:p>
    <w:p w14:paraId="265E9A6F" w14:textId="77777777" w:rsidR="00537568" w:rsidRDefault="00537568" w:rsidP="00537568">
      <w:pPr>
        <w:pStyle w:val="ListParagraph"/>
        <w:spacing w:line="360" w:lineRule="auto"/>
        <w:ind w:left="0"/>
        <w:jc w:val="both"/>
        <w:rPr>
          <w:rFonts w:ascii="Arial" w:hAnsi="Arial" w:cs="Arial"/>
          <w:sz w:val="24"/>
          <w:szCs w:val="24"/>
        </w:rPr>
      </w:pPr>
    </w:p>
    <w:p w14:paraId="2574B0A1" w14:textId="7DE504F8" w:rsidR="00537568" w:rsidRPr="007B0231" w:rsidRDefault="007B0231" w:rsidP="007B0231">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DC0CE4" w:rsidRPr="007B0231">
        <w:rPr>
          <w:rFonts w:ascii="Arial" w:hAnsi="Arial" w:cs="Arial"/>
          <w:sz w:val="24"/>
          <w:szCs w:val="24"/>
        </w:rPr>
        <w:t xml:space="preserve">In this matter, the </w:t>
      </w:r>
      <w:r w:rsidR="00563BEA" w:rsidRPr="007B0231">
        <w:rPr>
          <w:rFonts w:ascii="Arial" w:hAnsi="Arial" w:cs="Arial"/>
          <w:sz w:val="24"/>
          <w:szCs w:val="24"/>
        </w:rPr>
        <w:t xml:space="preserve">question is </w:t>
      </w:r>
      <w:r w:rsidR="00D87B33" w:rsidRPr="007B0231">
        <w:rPr>
          <w:rFonts w:ascii="Arial" w:hAnsi="Arial" w:cs="Arial"/>
          <w:sz w:val="24"/>
          <w:szCs w:val="24"/>
        </w:rPr>
        <w:t xml:space="preserve">how section 9(1) is to be interpreted. More particularly, </w:t>
      </w:r>
      <w:r w:rsidR="00BD50E2" w:rsidRPr="007B0231">
        <w:rPr>
          <w:rFonts w:ascii="Arial" w:hAnsi="Arial" w:cs="Arial"/>
          <w:sz w:val="24"/>
          <w:szCs w:val="24"/>
        </w:rPr>
        <w:t xml:space="preserve">the question is </w:t>
      </w:r>
      <w:r w:rsidR="00563BEA" w:rsidRPr="007B0231">
        <w:rPr>
          <w:rFonts w:ascii="Arial" w:hAnsi="Arial" w:cs="Arial"/>
          <w:sz w:val="24"/>
          <w:szCs w:val="24"/>
        </w:rPr>
        <w:t xml:space="preserve">whether the </w:t>
      </w:r>
      <w:r w:rsidR="007E3561" w:rsidRPr="007B0231">
        <w:rPr>
          <w:rFonts w:ascii="Arial" w:hAnsi="Arial" w:cs="Arial"/>
          <w:sz w:val="24"/>
          <w:szCs w:val="24"/>
        </w:rPr>
        <w:t xml:space="preserve">‘parties’ referred to in section 9(1) </w:t>
      </w:r>
      <w:r w:rsidR="00EA75B6" w:rsidRPr="007B0231">
        <w:rPr>
          <w:rFonts w:ascii="Arial" w:hAnsi="Arial" w:cs="Arial"/>
          <w:sz w:val="24"/>
          <w:szCs w:val="24"/>
        </w:rPr>
        <w:t>are limited to the applicant</w:t>
      </w:r>
      <w:r w:rsidR="00BD50E2" w:rsidRPr="007B0231">
        <w:rPr>
          <w:rFonts w:ascii="Arial" w:hAnsi="Arial" w:cs="Arial"/>
          <w:sz w:val="24"/>
          <w:szCs w:val="24"/>
        </w:rPr>
        <w:t xml:space="preserve"> and the decision-makers or whether </w:t>
      </w:r>
      <w:r w:rsidR="00A06F4A" w:rsidRPr="007B0231">
        <w:rPr>
          <w:rFonts w:ascii="Arial" w:hAnsi="Arial" w:cs="Arial"/>
          <w:sz w:val="24"/>
          <w:szCs w:val="24"/>
        </w:rPr>
        <w:t xml:space="preserve">the </w:t>
      </w:r>
      <w:r w:rsidR="008C52DA" w:rsidRPr="007B0231">
        <w:rPr>
          <w:rFonts w:ascii="Arial" w:hAnsi="Arial" w:cs="Arial"/>
          <w:sz w:val="24"/>
          <w:szCs w:val="24"/>
        </w:rPr>
        <w:t xml:space="preserve">agreement of the fourth respondent was also required </w:t>
      </w:r>
      <w:r w:rsidR="00027371" w:rsidRPr="007B0231">
        <w:rPr>
          <w:rFonts w:ascii="Arial" w:hAnsi="Arial" w:cs="Arial"/>
          <w:sz w:val="24"/>
          <w:szCs w:val="24"/>
        </w:rPr>
        <w:t xml:space="preserve">before </w:t>
      </w:r>
      <w:r w:rsidR="0008095E" w:rsidRPr="007B0231">
        <w:rPr>
          <w:rFonts w:ascii="Arial" w:hAnsi="Arial" w:cs="Arial"/>
          <w:sz w:val="24"/>
          <w:szCs w:val="24"/>
        </w:rPr>
        <w:t xml:space="preserve">the 180-day period </w:t>
      </w:r>
      <w:r w:rsidR="003B5209" w:rsidRPr="007B0231">
        <w:rPr>
          <w:rFonts w:ascii="Arial" w:hAnsi="Arial" w:cs="Arial"/>
          <w:sz w:val="24"/>
          <w:szCs w:val="24"/>
        </w:rPr>
        <w:t xml:space="preserve">could be said to have been </w:t>
      </w:r>
      <w:r w:rsidR="00876AE1" w:rsidRPr="007B0231">
        <w:rPr>
          <w:rFonts w:ascii="Arial" w:hAnsi="Arial" w:cs="Arial"/>
          <w:sz w:val="24"/>
          <w:szCs w:val="24"/>
        </w:rPr>
        <w:t>extended.</w:t>
      </w:r>
      <w:r w:rsidR="0053796A" w:rsidRPr="007B0231">
        <w:rPr>
          <w:rFonts w:ascii="Arial" w:hAnsi="Arial" w:cs="Arial"/>
          <w:sz w:val="24"/>
          <w:szCs w:val="24"/>
        </w:rPr>
        <w:t xml:space="preserve"> </w:t>
      </w:r>
      <w:r w:rsidR="00157E80" w:rsidRPr="007B0231">
        <w:rPr>
          <w:rFonts w:ascii="Arial" w:hAnsi="Arial" w:cs="Arial"/>
          <w:sz w:val="24"/>
          <w:szCs w:val="24"/>
        </w:rPr>
        <w:t xml:space="preserve">There is no reason why the </w:t>
      </w:r>
      <w:r w:rsidR="00D721A5" w:rsidRPr="007B0231">
        <w:rPr>
          <w:rFonts w:ascii="Arial" w:hAnsi="Arial" w:cs="Arial"/>
          <w:sz w:val="24"/>
          <w:szCs w:val="24"/>
        </w:rPr>
        <w:t xml:space="preserve">principles enunciated in </w:t>
      </w:r>
      <w:r w:rsidR="00D721A5" w:rsidRPr="007B0231">
        <w:rPr>
          <w:rFonts w:ascii="Arial" w:hAnsi="Arial" w:cs="Arial"/>
          <w:i/>
          <w:iCs/>
          <w:sz w:val="24"/>
          <w:szCs w:val="24"/>
        </w:rPr>
        <w:t>ABM Motors</w:t>
      </w:r>
      <w:r w:rsidR="00D721A5" w:rsidRPr="007B0231">
        <w:rPr>
          <w:rFonts w:ascii="Arial" w:hAnsi="Arial" w:cs="Arial"/>
          <w:sz w:val="24"/>
          <w:szCs w:val="24"/>
        </w:rPr>
        <w:t xml:space="preserve"> and </w:t>
      </w:r>
      <w:r w:rsidR="00D721A5" w:rsidRPr="007B0231">
        <w:rPr>
          <w:rFonts w:ascii="Arial" w:hAnsi="Arial" w:cs="Arial"/>
          <w:i/>
          <w:iCs/>
          <w:sz w:val="24"/>
          <w:szCs w:val="24"/>
        </w:rPr>
        <w:t>Sasol Chevron Holding</w:t>
      </w:r>
      <w:r w:rsidR="007B7487" w:rsidRPr="007B0231">
        <w:rPr>
          <w:rFonts w:ascii="Arial" w:hAnsi="Arial" w:cs="Arial"/>
          <w:i/>
          <w:iCs/>
          <w:sz w:val="24"/>
          <w:szCs w:val="24"/>
        </w:rPr>
        <w:t>s</w:t>
      </w:r>
      <w:r w:rsidR="007B7487" w:rsidRPr="007B0231">
        <w:rPr>
          <w:rFonts w:ascii="Arial" w:hAnsi="Arial" w:cs="Arial"/>
          <w:sz w:val="24"/>
          <w:szCs w:val="24"/>
        </w:rPr>
        <w:t xml:space="preserve"> should not apply. </w:t>
      </w:r>
      <w:r w:rsidR="001A0E95" w:rsidRPr="007B0231">
        <w:rPr>
          <w:rFonts w:ascii="Arial" w:hAnsi="Arial" w:cs="Arial"/>
          <w:sz w:val="24"/>
          <w:szCs w:val="24"/>
        </w:rPr>
        <w:t xml:space="preserve">The </w:t>
      </w:r>
      <w:r w:rsidR="00CC3FB9" w:rsidRPr="007B0231">
        <w:rPr>
          <w:rFonts w:ascii="Arial" w:hAnsi="Arial" w:cs="Arial"/>
          <w:sz w:val="24"/>
          <w:szCs w:val="24"/>
        </w:rPr>
        <w:t xml:space="preserve">provisions of section 9(1) must, moreover, be interpreted </w:t>
      </w:r>
      <w:r w:rsidR="00FE5F14" w:rsidRPr="007B0231">
        <w:rPr>
          <w:rFonts w:ascii="Arial" w:hAnsi="Arial" w:cs="Arial"/>
          <w:sz w:val="24"/>
          <w:szCs w:val="24"/>
        </w:rPr>
        <w:t>with reference to sections 5 and 7</w:t>
      </w:r>
      <w:r w:rsidR="00820926" w:rsidRPr="007B0231">
        <w:rPr>
          <w:rFonts w:ascii="Arial" w:hAnsi="Arial" w:cs="Arial"/>
          <w:sz w:val="24"/>
          <w:szCs w:val="24"/>
        </w:rPr>
        <w:t xml:space="preserve"> of PAJA</w:t>
      </w:r>
      <w:r w:rsidR="00201E9C" w:rsidRPr="007B0231">
        <w:rPr>
          <w:rFonts w:ascii="Arial" w:hAnsi="Arial" w:cs="Arial"/>
          <w:sz w:val="24"/>
          <w:szCs w:val="24"/>
        </w:rPr>
        <w:t xml:space="preserve">, </w:t>
      </w:r>
      <w:r w:rsidR="007E7753" w:rsidRPr="007B0231">
        <w:rPr>
          <w:rFonts w:ascii="Arial" w:hAnsi="Arial" w:cs="Arial"/>
          <w:sz w:val="24"/>
          <w:szCs w:val="24"/>
        </w:rPr>
        <w:t xml:space="preserve">which deal with the time limit within which to request written reasons for administrative action and the institution of </w:t>
      </w:r>
      <w:r w:rsidR="006C6553" w:rsidRPr="007B0231">
        <w:rPr>
          <w:rFonts w:ascii="Arial" w:hAnsi="Arial" w:cs="Arial"/>
          <w:sz w:val="24"/>
          <w:szCs w:val="24"/>
        </w:rPr>
        <w:t xml:space="preserve">review proceedings, respectively. </w:t>
      </w:r>
      <w:r w:rsidR="00C93C9F" w:rsidRPr="007B0231">
        <w:rPr>
          <w:rFonts w:ascii="Arial" w:hAnsi="Arial" w:cs="Arial"/>
          <w:sz w:val="24"/>
          <w:szCs w:val="24"/>
        </w:rPr>
        <w:t>I</w:t>
      </w:r>
      <w:r w:rsidR="00A42808" w:rsidRPr="007B0231">
        <w:rPr>
          <w:rFonts w:ascii="Arial" w:hAnsi="Arial" w:cs="Arial"/>
          <w:sz w:val="24"/>
          <w:szCs w:val="24"/>
        </w:rPr>
        <w:t xml:space="preserve">n relation to section 7, </w:t>
      </w:r>
      <w:r w:rsidR="000871DF" w:rsidRPr="007B0231">
        <w:rPr>
          <w:rFonts w:ascii="Arial" w:hAnsi="Arial" w:cs="Arial"/>
          <w:sz w:val="24"/>
          <w:szCs w:val="24"/>
        </w:rPr>
        <w:t xml:space="preserve">the reference to ‘parties’ in section 9(1) must </w:t>
      </w:r>
      <w:r w:rsidR="004E1D5F" w:rsidRPr="007B0231">
        <w:rPr>
          <w:rFonts w:ascii="Arial" w:hAnsi="Arial" w:cs="Arial"/>
          <w:sz w:val="24"/>
          <w:szCs w:val="24"/>
        </w:rPr>
        <w:t xml:space="preserve">be understood as a reference to the parties to </w:t>
      </w:r>
      <w:r w:rsidR="00354342" w:rsidRPr="007B0231">
        <w:rPr>
          <w:rFonts w:ascii="Arial" w:hAnsi="Arial" w:cs="Arial"/>
          <w:sz w:val="24"/>
          <w:szCs w:val="24"/>
        </w:rPr>
        <w:t xml:space="preserve">be </w:t>
      </w:r>
      <w:r w:rsidR="00803D8B" w:rsidRPr="007B0231">
        <w:rPr>
          <w:rFonts w:ascii="Arial" w:hAnsi="Arial" w:cs="Arial"/>
          <w:sz w:val="24"/>
          <w:szCs w:val="24"/>
        </w:rPr>
        <w:t>join</w:t>
      </w:r>
      <w:r w:rsidR="00354342" w:rsidRPr="007B0231">
        <w:rPr>
          <w:rFonts w:ascii="Arial" w:hAnsi="Arial" w:cs="Arial"/>
          <w:sz w:val="24"/>
          <w:szCs w:val="24"/>
        </w:rPr>
        <w:t xml:space="preserve">ed in </w:t>
      </w:r>
      <w:r w:rsidR="00C71DB6" w:rsidRPr="007B0231">
        <w:rPr>
          <w:rFonts w:ascii="Arial" w:hAnsi="Arial" w:cs="Arial"/>
          <w:sz w:val="24"/>
          <w:szCs w:val="24"/>
        </w:rPr>
        <w:t xml:space="preserve">the envisaged </w:t>
      </w:r>
      <w:r w:rsidR="00354342" w:rsidRPr="007B0231">
        <w:rPr>
          <w:rFonts w:ascii="Arial" w:hAnsi="Arial" w:cs="Arial"/>
          <w:sz w:val="24"/>
          <w:szCs w:val="24"/>
        </w:rPr>
        <w:t xml:space="preserve">proceedings. </w:t>
      </w:r>
      <w:r w:rsidR="00D15504" w:rsidRPr="007B0231">
        <w:rPr>
          <w:rFonts w:ascii="Arial" w:hAnsi="Arial" w:cs="Arial"/>
          <w:sz w:val="24"/>
          <w:szCs w:val="24"/>
        </w:rPr>
        <w:t xml:space="preserve">The test, in terms of either section 7 or </w:t>
      </w:r>
      <w:r w:rsidR="00191E52" w:rsidRPr="007B0231">
        <w:rPr>
          <w:rFonts w:ascii="Arial" w:hAnsi="Arial" w:cs="Arial"/>
          <w:sz w:val="24"/>
          <w:szCs w:val="24"/>
        </w:rPr>
        <w:t xml:space="preserve">9(1), is </w:t>
      </w:r>
      <w:r w:rsidR="00AE5105" w:rsidRPr="007B0231">
        <w:rPr>
          <w:rFonts w:ascii="Arial" w:hAnsi="Arial" w:cs="Arial"/>
          <w:sz w:val="24"/>
          <w:szCs w:val="24"/>
        </w:rPr>
        <w:t xml:space="preserve">whether a party </w:t>
      </w:r>
      <w:r w:rsidR="00B82EDE" w:rsidRPr="007B0231">
        <w:rPr>
          <w:rFonts w:ascii="Arial" w:hAnsi="Arial" w:cs="Arial"/>
          <w:sz w:val="24"/>
          <w:szCs w:val="24"/>
        </w:rPr>
        <w:t xml:space="preserve">has a direct and substantial interest in the subject matter of </w:t>
      </w:r>
      <w:r w:rsidR="00D9254C" w:rsidRPr="007B0231">
        <w:rPr>
          <w:rFonts w:ascii="Arial" w:hAnsi="Arial" w:cs="Arial"/>
          <w:sz w:val="24"/>
          <w:szCs w:val="24"/>
        </w:rPr>
        <w:t>such proceedings</w:t>
      </w:r>
      <w:r w:rsidR="00FB4EE2" w:rsidRPr="007B0231">
        <w:rPr>
          <w:rFonts w:ascii="Arial" w:hAnsi="Arial" w:cs="Arial"/>
          <w:sz w:val="24"/>
          <w:szCs w:val="24"/>
        </w:rPr>
        <w:t xml:space="preserve">, </w:t>
      </w:r>
      <w:r w:rsidR="00751257" w:rsidRPr="007B0231">
        <w:rPr>
          <w:rFonts w:ascii="Arial" w:hAnsi="Arial" w:cs="Arial"/>
          <w:sz w:val="24"/>
          <w:szCs w:val="24"/>
        </w:rPr>
        <w:t>i.e.,</w:t>
      </w:r>
      <w:r w:rsidR="00FB4EE2" w:rsidRPr="007B0231">
        <w:rPr>
          <w:rFonts w:ascii="Arial" w:hAnsi="Arial" w:cs="Arial"/>
          <w:sz w:val="24"/>
          <w:szCs w:val="24"/>
        </w:rPr>
        <w:t xml:space="preserve"> a legal interest in the subject matter of the litigation which may be affected</w:t>
      </w:r>
      <w:r w:rsidR="007B61A7" w:rsidRPr="007B0231">
        <w:rPr>
          <w:rFonts w:ascii="Arial" w:hAnsi="Arial" w:cs="Arial"/>
          <w:sz w:val="24"/>
          <w:szCs w:val="24"/>
        </w:rPr>
        <w:t xml:space="preserve"> prejudicially by the court’s findings.</w:t>
      </w:r>
      <w:r w:rsidR="007B61A7">
        <w:rPr>
          <w:rStyle w:val="FootnoteReference"/>
          <w:rFonts w:ascii="Arial" w:hAnsi="Arial" w:cs="Arial"/>
          <w:sz w:val="24"/>
          <w:szCs w:val="24"/>
        </w:rPr>
        <w:footnoteReference w:id="18"/>
      </w:r>
      <w:r w:rsidR="00522E4B" w:rsidRPr="007B0231">
        <w:rPr>
          <w:rFonts w:ascii="Arial" w:hAnsi="Arial" w:cs="Arial"/>
          <w:sz w:val="24"/>
          <w:szCs w:val="24"/>
        </w:rPr>
        <w:t xml:space="preserve"> The fourth respondent </w:t>
      </w:r>
      <w:r w:rsidR="00162E8F" w:rsidRPr="007B0231">
        <w:rPr>
          <w:rFonts w:ascii="Arial" w:hAnsi="Arial" w:cs="Arial"/>
          <w:sz w:val="24"/>
          <w:szCs w:val="24"/>
        </w:rPr>
        <w:t xml:space="preserve">in the present matter </w:t>
      </w:r>
      <w:r w:rsidR="00B22E7C" w:rsidRPr="007B0231">
        <w:rPr>
          <w:rFonts w:ascii="Arial" w:hAnsi="Arial" w:cs="Arial"/>
          <w:sz w:val="24"/>
          <w:szCs w:val="24"/>
        </w:rPr>
        <w:t>satisfies the test</w:t>
      </w:r>
      <w:r w:rsidR="003030B1" w:rsidRPr="007B0231">
        <w:rPr>
          <w:rFonts w:ascii="Arial" w:hAnsi="Arial" w:cs="Arial"/>
          <w:sz w:val="24"/>
          <w:szCs w:val="24"/>
        </w:rPr>
        <w:t xml:space="preserve">; it </w:t>
      </w:r>
      <w:r w:rsidR="00522E4B" w:rsidRPr="007B0231">
        <w:rPr>
          <w:rFonts w:ascii="Arial" w:hAnsi="Arial" w:cs="Arial"/>
          <w:sz w:val="24"/>
          <w:szCs w:val="24"/>
        </w:rPr>
        <w:t>is, undoubtedly, an affected party.</w:t>
      </w:r>
      <w:r w:rsidR="00B22E7C" w:rsidRPr="007B0231">
        <w:rPr>
          <w:rFonts w:ascii="Arial" w:hAnsi="Arial" w:cs="Arial"/>
          <w:sz w:val="24"/>
          <w:szCs w:val="24"/>
        </w:rPr>
        <w:t xml:space="preserve"> </w:t>
      </w:r>
      <w:r w:rsidR="003030B1" w:rsidRPr="007B0231">
        <w:rPr>
          <w:rFonts w:ascii="Arial" w:hAnsi="Arial" w:cs="Arial"/>
          <w:sz w:val="24"/>
          <w:szCs w:val="24"/>
        </w:rPr>
        <w:t xml:space="preserve">The applicant, however, failed to seek agreement from the fourth respondent </w:t>
      </w:r>
      <w:r w:rsidR="00E97A54" w:rsidRPr="007B0231">
        <w:rPr>
          <w:rFonts w:ascii="Arial" w:hAnsi="Arial" w:cs="Arial"/>
          <w:sz w:val="24"/>
          <w:szCs w:val="24"/>
        </w:rPr>
        <w:t>for the extension of the 180-day period.</w:t>
      </w:r>
    </w:p>
    <w:p w14:paraId="52E1EDCF" w14:textId="77777777" w:rsidR="00537568" w:rsidRDefault="00537568" w:rsidP="00537568">
      <w:pPr>
        <w:pStyle w:val="ListParagraph"/>
        <w:spacing w:line="360" w:lineRule="auto"/>
        <w:ind w:left="0"/>
        <w:jc w:val="both"/>
        <w:rPr>
          <w:rFonts w:ascii="Arial" w:hAnsi="Arial" w:cs="Arial"/>
          <w:sz w:val="24"/>
          <w:szCs w:val="24"/>
        </w:rPr>
      </w:pPr>
    </w:p>
    <w:p w14:paraId="6B5DA88D" w14:textId="39D544DC" w:rsidR="00220405" w:rsidRPr="007B0231" w:rsidRDefault="007B0231" w:rsidP="007B0231">
      <w:pPr>
        <w:spacing w:line="360" w:lineRule="auto"/>
        <w:jc w:val="both"/>
        <w:rPr>
          <w:rFonts w:ascii="Arial" w:hAnsi="Arial" w:cs="Arial"/>
          <w:sz w:val="24"/>
          <w:szCs w:val="24"/>
        </w:rPr>
      </w:pPr>
      <w:r w:rsidRPr="00537568">
        <w:rPr>
          <w:rFonts w:ascii="Arial" w:hAnsi="Arial" w:cs="Arial"/>
          <w:sz w:val="24"/>
          <w:szCs w:val="24"/>
        </w:rPr>
        <w:t>[44]</w:t>
      </w:r>
      <w:r w:rsidRPr="00537568">
        <w:rPr>
          <w:rFonts w:ascii="Arial" w:hAnsi="Arial" w:cs="Arial"/>
          <w:sz w:val="24"/>
          <w:szCs w:val="24"/>
        </w:rPr>
        <w:tab/>
      </w:r>
      <w:r w:rsidR="00E97A54" w:rsidRPr="007B0231">
        <w:rPr>
          <w:rFonts w:ascii="Arial" w:hAnsi="Arial" w:cs="Arial"/>
          <w:sz w:val="24"/>
          <w:szCs w:val="24"/>
        </w:rPr>
        <w:t xml:space="preserve">There is a further difficulty that faces the applicant. </w:t>
      </w:r>
      <w:r w:rsidR="00C172B3" w:rsidRPr="007B0231">
        <w:rPr>
          <w:rFonts w:ascii="Arial" w:hAnsi="Arial" w:cs="Arial"/>
          <w:sz w:val="24"/>
          <w:szCs w:val="24"/>
        </w:rPr>
        <w:t xml:space="preserve">It seems to be common cause that the applicant had until 3 January 2022 by which to have instituted review proceedings. The </w:t>
      </w:r>
      <w:r w:rsidR="00266B4E" w:rsidRPr="007B0231">
        <w:rPr>
          <w:rFonts w:ascii="Arial" w:hAnsi="Arial" w:cs="Arial"/>
          <w:sz w:val="24"/>
          <w:szCs w:val="24"/>
        </w:rPr>
        <w:t xml:space="preserve">applicant only requested </w:t>
      </w:r>
      <w:r w:rsidR="00414976" w:rsidRPr="007B0231">
        <w:rPr>
          <w:rFonts w:ascii="Arial" w:hAnsi="Arial" w:cs="Arial"/>
          <w:sz w:val="24"/>
          <w:szCs w:val="24"/>
        </w:rPr>
        <w:t xml:space="preserve">an extension on 1 February 2022, after the expiry of the 180-day period. </w:t>
      </w:r>
      <w:r w:rsidR="00220405" w:rsidRPr="007B0231">
        <w:rPr>
          <w:rFonts w:ascii="Arial" w:hAnsi="Arial" w:cs="Arial"/>
          <w:sz w:val="24"/>
          <w:szCs w:val="24"/>
        </w:rPr>
        <w:t xml:space="preserve">In </w:t>
      </w:r>
      <w:r w:rsidR="00220405" w:rsidRPr="007B0231">
        <w:rPr>
          <w:rFonts w:ascii="Arial" w:hAnsi="Arial" w:cs="Arial"/>
          <w:i/>
          <w:iCs/>
          <w:sz w:val="24"/>
          <w:szCs w:val="24"/>
        </w:rPr>
        <w:t xml:space="preserve">Joubert Galpin Searle </w:t>
      </w:r>
      <w:r w:rsidR="00C32C81" w:rsidRPr="007B0231">
        <w:rPr>
          <w:rFonts w:ascii="Arial" w:hAnsi="Arial" w:cs="Arial"/>
          <w:i/>
          <w:iCs/>
          <w:sz w:val="24"/>
          <w:szCs w:val="24"/>
        </w:rPr>
        <w:t xml:space="preserve">Inc and others v </w:t>
      </w:r>
      <w:r w:rsidR="00486049" w:rsidRPr="007B0231">
        <w:rPr>
          <w:rFonts w:ascii="Arial" w:hAnsi="Arial" w:cs="Arial"/>
          <w:i/>
          <w:iCs/>
          <w:sz w:val="24"/>
          <w:szCs w:val="24"/>
        </w:rPr>
        <w:t>Road Accident Fund and others</w:t>
      </w:r>
      <w:r w:rsidR="00486049" w:rsidRPr="007B0231">
        <w:rPr>
          <w:rFonts w:ascii="Arial" w:hAnsi="Arial" w:cs="Arial"/>
          <w:sz w:val="24"/>
          <w:szCs w:val="24"/>
        </w:rPr>
        <w:t>,</w:t>
      </w:r>
      <w:r w:rsidR="00486049">
        <w:rPr>
          <w:rStyle w:val="FootnoteReference"/>
          <w:rFonts w:ascii="Arial" w:hAnsi="Arial" w:cs="Arial"/>
          <w:sz w:val="24"/>
          <w:szCs w:val="24"/>
        </w:rPr>
        <w:footnoteReference w:id="19"/>
      </w:r>
      <w:r w:rsidR="0024143F" w:rsidRPr="007B0231">
        <w:rPr>
          <w:rFonts w:ascii="Arial" w:hAnsi="Arial" w:cs="Arial"/>
          <w:sz w:val="24"/>
          <w:szCs w:val="24"/>
        </w:rPr>
        <w:t xml:space="preserve"> Plasket J dealt with the legal consequences of the expiry of a bid </w:t>
      </w:r>
      <w:r w:rsidR="0024143F" w:rsidRPr="007B0231">
        <w:rPr>
          <w:rFonts w:ascii="Arial" w:hAnsi="Arial" w:cs="Arial"/>
          <w:sz w:val="24"/>
          <w:szCs w:val="24"/>
        </w:rPr>
        <w:lastRenderedPageBreak/>
        <w:t xml:space="preserve">validity period </w:t>
      </w:r>
      <w:r w:rsidR="001F02FB" w:rsidRPr="007B0231">
        <w:rPr>
          <w:rFonts w:ascii="Arial" w:hAnsi="Arial" w:cs="Arial"/>
          <w:sz w:val="24"/>
          <w:szCs w:val="24"/>
        </w:rPr>
        <w:t xml:space="preserve">within the context of </w:t>
      </w:r>
      <w:r w:rsidR="00A16C0B" w:rsidRPr="007B0231">
        <w:rPr>
          <w:rFonts w:ascii="Arial" w:hAnsi="Arial" w:cs="Arial"/>
          <w:sz w:val="24"/>
          <w:szCs w:val="24"/>
        </w:rPr>
        <w:t xml:space="preserve">the </w:t>
      </w:r>
      <w:r w:rsidR="00C65219" w:rsidRPr="007B0231">
        <w:rPr>
          <w:rFonts w:ascii="Arial" w:hAnsi="Arial" w:cs="Arial"/>
          <w:sz w:val="24"/>
          <w:szCs w:val="24"/>
        </w:rPr>
        <w:t>RAF</w:t>
      </w:r>
      <w:r w:rsidR="00A16C0B" w:rsidRPr="007B0231">
        <w:rPr>
          <w:rFonts w:ascii="Arial" w:hAnsi="Arial" w:cs="Arial"/>
          <w:sz w:val="24"/>
          <w:szCs w:val="24"/>
        </w:rPr>
        <w:t>’s procurement of legal services</w:t>
      </w:r>
      <w:r w:rsidR="0077221C" w:rsidRPr="007B0231">
        <w:rPr>
          <w:rFonts w:ascii="Arial" w:hAnsi="Arial" w:cs="Arial"/>
          <w:sz w:val="24"/>
          <w:szCs w:val="24"/>
        </w:rPr>
        <w:t>. He held as follows:</w:t>
      </w:r>
    </w:p>
    <w:p w14:paraId="58B5F1D6" w14:textId="291391BF" w:rsidR="0077221C" w:rsidRPr="003B5734" w:rsidRDefault="00CF1F56" w:rsidP="003C5F04">
      <w:pPr>
        <w:spacing w:line="360" w:lineRule="auto"/>
        <w:ind w:left="720"/>
        <w:jc w:val="both"/>
        <w:rPr>
          <w:rFonts w:ascii="Arial" w:hAnsi="Arial" w:cs="Arial"/>
        </w:rPr>
      </w:pPr>
      <w:r w:rsidRPr="003B5734">
        <w:rPr>
          <w:rFonts w:ascii="Arial" w:hAnsi="Arial" w:cs="Arial"/>
        </w:rPr>
        <w:t>‘</w:t>
      </w:r>
      <w:r w:rsidR="00027736" w:rsidRPr="003B5734">
        <w:rPr>
          <w:rFonts w:ascii="Arial" w:hAnsi="Arial" w:cs="Arial"/>
        </w:rPr>
        <w:t>…The issue that I now turn to is whether, having heard the views of the bidders</w:t>
      </w:r>
      <w:r w:rsidR="006E3E6E" w:rsidRPr="003B5734">
        <w:rPr>
          <w:rFonts w:ascii="Arial" w:hAnsi="Arial" w:cs="Arial"/>
        </w:rPr>
        <w:t xml:space="preserve"> whose hats, ostensibly, remained in the ring, the RAF could </w:t>
      </w:r>
      <w:r w:rsidR="00C65219" w:rsidRPr="003B5734">
        <w:rPr>
          <w:rFonts w:ascii="Arial" w:hAnsi="Arial" w:cs="Arial"/>
        </w:rPr>
        <w:t xml:space="preserve">extend the tender validity period </w:t>
      </w:r>
      <w:r w:rsidR="00381CB6" w:rsidRPr="003B5734">
        <w:rPr>
          <w:rFonts w:ascii="Arial" w:hAnsi="Arial" w:cs="Arial"/>
        </w:rPr>
        <w:t xml:space="preserve">after it had already expired- and thus whether the unsuccessfully </w:t>
      </w:r>
      <w:r w:rsidR="00F96618" w:rsidRPr="003B5734">
        <w:rPr>
          <w:rFonts w:ascii="Arial" w:hAnsi="Arial" w:cs="Arial"/>
        </w:rPr>
        <w:t>concluded tender process could, in this way, be revived.</w:t>
      </w:r>
    </w:p>
    <w:p w14:paraId="6EE3DF61" w14:textId="3CFDC2A8" w:rsidR="00E75F9E" w:rsidRPr="003B5734" w:rsidRDefault="00E75F9E" w:rsidP="003C5F04">
      <w:pPr>
        <w:spacing w:line="360" w:lineRule="auto"/>
        <w:ind w:left="720"/>
        <w:jc w:val="both"/>
        <w:rPr>
          <w:rFonts w:ascii="Arial" w:hAnsi="Arial" w:cs="Arial"/>
        </w:rPr>
      </w:pPr>
      <w:r w:rsidRPr="003B5734">
        <w:rPr>
          <w:rFonts w:ascii="Arial" w:hAnsi="Arial" w:cs="Arial"/>
        </w:rPr>
        <w:t>…By the time the tender validity period has expired</w:t>
      </w:r>
      <w:r w:rsidR="00B04D27" w:rsidRPr="003B5734">
        <w:rPr>
          <w:rFonts w:ascii="Arial" w:hAnsi="Arial" w:cs="Arial"/>
        </w:rPr>
        <w:t xml:space="preserve">, there is nothing to extend because, as Southwood J </w:t>
      </w:r>
      <w:r w:rsidR="00D0546E" w:rsidRPr="003B5734">
        <w:rPr>
          <w:rFonts w:ascii="Arial" w:hAnsi="Arial" w:cs="Arial"/>
        </w:rPr>
        <w:t xml:space="preserve">said in </w:t>
      </w:r>
      <w:r w:rsidR="00D0546E" w:rsidRPr="003B5734">
        <w:rPr>
          <w:rFonts w:ascii="Arial" w:hAnsi="Arial" w:cs="Arial"/>
          <w:i/>
          <w:iCs/>
        </w:rPr>
        <w:t>Telkom</w:t>
      </w:r>
      <w:r w:rsidR="00D0546E" w:rsidRPr="003B5734">
        <w:rPr>
          <w:rFonts w:ascii="Arial" w:hAnsi="Arial" w:cs="Arial"/>
        </w:rPr>
        <w:t>,</w:t>
      </w:r>
      <w:r w:rsidR="00D61888" w:rsidRPr="003B5734">
        <w:rPr>
          <w:rStyle w:val="FootnoteReference"/>
          <w:rFonts w:ascii="Arial" w:hAnsi="Arial" w:cs="Arial"/>
        </w:rPr>
        <w:footnoteReference w:id="20"/>
      </w:r>
      <w:r w:rsidR="00D0546E" w:rsidRPr="003B5734">
        <w:rPr>
          <w:rFonts w:ascii="Arial" w:hAnsi="Arial" w:cs="Arial"/>
        </w:rPr>
        <w:t xml:space="preserve"> the tender process has been concluded</w:t>
      </w:r>
      <w:r w:rsidR="00A864B0" w:rsidRPr="003B5734">
        <w:rPr>
          <w:rFonts w:ascii="Arial" w:hAnsi="Arial" w:cs="Arial"/>
        </w:rPr>
        <w:t xml:space="preserve">, albeit unsuccessfully. </w:t>
      </w:r>
      <w:r w:rsidR="0090776F" w:rsidRPr="003B5734">
        <w:rPr>
          <w:rFonts w:ascii="Arial" w:hAnsi="Arial" w:cs="Arial"/>
        </w:rPr>
        <w:t xml:space="preserve">The result, in this case, is that the RAF had no power to award the tender </w:t>
      </w:r>
      <w:r w:rsidR="005B6CD6" w:rsidRPr="003B5734">
        <w:rPr>
          <w:rFonts w:ascii="Arial" w:hAnsi="Arial" w:cs="Arial"/>
        </w:rPr>
        <w:t xml:space="preserve">once the bid validity period had expired </w:t>
      </w:r>
      <w:r w:rsidR="00CF32C7" w:rsidRPr="003B5734">
        <w:rPr>
          <w:rFonts w:ascii="Arial" w:hAnsi="Arial" w:cs="Arial"/>
        </w:rPr>
        <w:t>and it had no power to extend the period as it purported to do.</w:t>
      </w:r>
      <w:r w:rsidR="00833D16" w:rsidRPr="003B5734">
        <w:rPr>
          <w:rFonts w:ascii="Arial" w:hAnsi="Arial" w:cs="Arial"/>
        </w:rPr>
        <w:t xml:space="preserve"> In the language of s 6(2)(a)(i) of the PAJA, the decision-maker- the </w:t>
      </w:r>
      <w:r w:rsidR="004C750C" w:rsidRPr="003B5734">
        <w:rPr>
          <w:rFonts w:ascii="Arial" w:hAnsi="Arial" w:cs="Arial"/>
        </w:rPr>
        <w:t>b</w:t>
      </w:r>
      <w:r w:rsidR="00833D16" w:rsidRPr="003B5734">
        <w:rPr>
          <w:rFonts w:ascii="Arial" w:hAnsi="Arial" w:cs="Arial"/>
        </w:rPr>
        <w:t>oard</w:t>
      </w:r>
      <w:r w:rsidR="004C750C" w:rsidRPr="003B5734">
        <w:rPr>
          <w:rFonts w:ascii="Arial" w:hAnsi="Arial" w:cs="Arial"/>
        </w:rPr>
        <w:t>, in this instance- “was not authorised” to take the decision</w:t>
      </w:r>
      <w:r w:rsidR="001719FB" w:rsidRPr="003B5734">
        <w:rPr>
          <w:rFonts w:ascii="Arial" w:hAnsi="Arial" w:cs="Arial"/>
        </w:rPr>
        <w:t>. Put in slightly different terms, there were no valid bids to accept</w:t>
      </w:r>
      <w:r w:rsidR="00CE227A" w:rsidRPr="003B5734">
        <w:rPr>
          <w:rFonts w:ascii="Arial" w:hAnsi="Arial" w:cs="Arial"/>
        </w:rPr>
        <w:t>, so the RAF had no power to accept the expired bids.’</w:t>
      </w:r>
      <w:r w:rsidR="00DE3B1E" w:rsidRPr="003B5734">
        <w:rPr>
          <w:rStyle w:val="FootnoteReference"/>
          <w:rFonts w:ascii="Arial" w:hAnsi="Arial" w:cs="Arial"/>
        </w:rPr>
        <w:footnoteReference w:id="21"/>
      </w:r>
    </w:p>
    <w:p w14:paraId="6154DA51" w14:textId="77777777" w:rsidR="003B5734" w:rsidRDefault="003B5734" w:rsidP="00A432A7">
      <w:pPr>
        <w:spacing w:line="360" w:lineRule="auto"/>
        <w:rPr>
          <w:rFonts w:ascii="Arial" w:hAnsi="Arial" w:cs="Arial"/>
          <w:sz w:val="24"/>
          <w:szCs w:val="24"/>
        </w:rPr>
      </w:pPr>
    </w:p>
    <w:p w14:paraId="7C011750" w14:textId="4021DF80"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06370" w:rsidRPr="007B0231">
        <w:rPr>
          <w:rFonts w:ascii="Arial" w:hAnsi="Arial" w:cs="Arial"/>
          <w:sz w:val="24"/>
          <w:szCs w:val="24"/>
        </w:rPr>
        <w:t>The</w:t>
      </w:r>
      <w:r w:rsidR="00953AB8" w:rsidRPr="007B0231">
        <w:rPr>
          <w:rFonts w:ascii="Arial" w:hAnsi="Arial" w:cs="Arial"/>
          <w:sz w:val="24"/>
          <w:szCs w:val="24"/>
        </w:rPr>
        <w:t xml:space="preserve"> same reasoning </w:t>
      </w:r>
      <w:r w:rsidR="005466AE" w:rsidRPr="007B0231">
        <w:rPr>
          <w:rFonts w:ascii="Arial" w:hAnsi="Arial" w:cs="Arial"/>
          <w:sz w:val="24"/>
          <w:szCs w:val="24"/>
        </w:rPr>
        <w:t>can be applied to section 9(1) of PAJA. Once 180</w:t>
      </w:r>
      <w:r w:rsidR="003366AF" w:rsidRPr="007B0231">
        <w:rPr>
          <w:rFonts w:ascii="Arial" w:hAnsi="Arial" w:cs="Arial"/>
          <w:sz w:val="24"/>
          <w:szCs w:val="24"/>
        </w:rPr>
        <w:t xml:space="preserve"> </w:t>
      </w:r>
      <w:r w:rsidR="005466AE" w:rsidRPr="007B0231">
        <w:rPr>
          <w:rFonts w:ascii="Arial" w:hAnsi="Arial" w:cs="Arial"/>
          <w:sz w:val="24"/>
          <w:szCs w:val="24"/>
        </w:rPr>
        <w:t>day</w:t>
      </w:r>
      <w:r w:rsidR="003366AF" w:rsidRPr="007B0231">
        <w:rPr>
          <w:rFonts w:ascii="Arial" w:hAnsi="Arial" w:cs="Arial"/>
          <w:sz w:val="24"/>
          <w:szCs w:val="24"/>
        </w:rPr>
        <w:t>s</w:t>
      </w:r>
      <w:r w:rsidR="005466AE" w:rsidRPr="007B0231">
        <w:rPr>
          <w:rFonts w:ascii="Arial" w:hAnsi="Arial" w:cs="Arial"/>
          <w:sz w:val="24"/>
          <w:szCs w:val="24"/>
        </w:rPr>
        <w:t xml:space="preserve"> had </w:t>
      </w:r>
      <w:r w:rsidR="003366AF" w:rsidRPr="007B0231">
        <w:rPr>
          <w:rFonts w:ascii="Arial" w:hAnsi="Arial" w:cs="Arial"/>
          <w:sz w:val="24"/>
          <w:szCs w:val="24"/>
        </w:rPr>
        <w:t>laps</w:t>
      </w:r>
      <w:r w:rsidR="005466AE" w:rsidRPr="007B0231">
        <w:rPr>
          <w:rFonts w:ascii="Arial" w:hAnsi="Arial" w:cs="Arial"/>
          <w:sz w:val="24"/>
          <w:szCs w:val="24"/>
        </w:rPr>
        <w:t xml:space="preserve">ed, there was </w:t>
      </w:r>
      <w:r w:rsidR="00712E38" w:rsidRPr="007B0231">
        <w:rPr>
          <w:rFonts w:ascii="Arial" w:hAnsi="Arial" w:cs="Arial"/>
          <w:sz w:val="24"/>
          <w:szCs w:val="24"/>
        </w:rPr>
        <w:t xml:space="preserve">no period that could be </w:t>
      </w:r>
      <w:r w:rsidR="0074481E" w:rsidRPr="007B0231">
        <w:rPr>
          <w:rFonts w:ascii="Arial" w:hAnsi="Arial" w:cs="Arial"/>
          <w:sz w:val="24"/>
          <w:szCs w:val="24"/>
        </w:rPr>
        <w:t xml:space="preserve">made longer or continued for a specified length of time. The </w:t>
      </w:r>
      <w:r w:rsidR="00B7783F" w:rsidRPr="007B0231">
        <w:rPr>
          <w:rFonts w:ascii="Arial" w:hAnsi="Arial" w:cs="Arial"/>
          <w:sz w:val="24"/>
          <w:szCs w:val="24"/>
        </w:rPr>
        <w:t xml:space="preserve">provisions </w:t>
      </w:r>
      <w:r w:rsidR="00C46F42" w:rsidRPr="007B0231">
        <w:rPr>
          <w:rFonts w:ascii="Arial" w:hAnsi="Arial" w:cs="Arial"/>
          <w:sz w:val="24"/>
          <w:szCs w:val="24"/>
        </w:rPr>
        <w:t>of section 9(1)</w:t>
      </w:r>
      <w:r w:rsidR="0096220C" w:rsidRPr="007B0231">
        <w:rPr>
          <w:rFonts w:ascii="Arial" w:hAnsi="Arial" w:cs="Arial"/>
          <w:sz w:val="24"/>
          <w:szCs w:val="24"/>
        </w:rPr>
        <w:t xml:space="preserve">, furthermore, </w:t>
      </w:r>
      <w:r w:rsidR="00B7783F" w:rsidRPr="007B0231">
        <w:rPr>
          <w:rFonts w:ascii="Arial" w:hAnsi="Arial" w:cs="Arial"/>
          <w:sz w:val="24"/>
          <w:szCs w:val="24"/>
        </w:rPr>
        <w:t xml:space="preserve">do not </w:t>
      </w:r>
      <w:r w:rsidR="00D746A3" w:rsidRPr="007B0231">
        <w:rPr>
          <w:rFonts w:ascii="Arial" w:hAnsi="Arial" w:cs="Arial"/>
          <w:sz w:val="24"/>
          <w:szCs w:val="24"/>
        </w:rPr>
        <w:t xml:space="preserve">authorise a decision-maker to </w:t>
      </w:r>
      <w:r w:rsidR="00C46F42" w:rsidRPr="007B0231">
        <w:rPr>
          <w:rFonts w:ascii="Arial" w:hAnsi="Arial" w:cs="Arial"/>
          <w:sz w:val="24"/>
          <w:szCs w:val="24"/>
        </w:rPr>
        <w:t xml:space="preserve">revive </w:t>
      </w:r>
      <w:r w:rsidR="00C640A4" w:rsidRPr="007B0231">
        <w:rPr>
          <w:rFonts w:ascii="Arial" w:hAnsi="Arial" w:cs="Arial"/>
          <w:sz w:val="24"/>
          <w:szCs w:val="24"/>
        </w:rPr>
        <w:t>the</w:t>
      </w:r>
      <w:r w:rsidR="007961E1" w:rsidRPr="007B0231">
        <w:rPr>
          <w:rFonts w:ascii="Arial" w:hAnsi="Arial" w:cs="Arial"/>
          <w:sz w:val="24"/>
          <w:szCs w:val="24"/>
        </w:rPr>
        <w:t xml:space="preserve"> lapsed period</w:t>
      </w:r>
      <w:r w:rsidR="0096220C" w:rsidRPr="007B0231">
        <w:rPr>
          <w:rFonts w:ascii="Arial" w:hAnsi="Arial" w:cs="Arial"/>
          <w:sz w:val="24"/>
          <w:szCs w:val="24"/>
        </w:rPr>
        <w:t>.</w:t>
      </w:r>
    </w:p>
    <w:p w14:paraId="7CBCF861" w14:textId="77777777" w:rsidR="0030569B" w:rsidRDefault="0030569B" w:rsidP="0030569B">
      <w:pPr>
        <w:pStyle w:val="ListParagraph"/>
        <w:spacing w:line="360" w:lineRule="auto"/>
        <w:ind w:left="0"/>
        <w:jc w:val="both"/>
        <w:rPr>
          <w:rFonts w:ascii="Arial" w:hAnsi="Arial" w:cs="Arial"/>
          <w:sz w:val="24"/>
          <w:szCs w:val="24"/>
        </w:rPr>
      </w:pPr>
    </w:p>
    <w:p w14:paraId="43016E63" w14:textId="02A293E7" w:rsidR="007F32AF" w:rsidRPr="007B0231" w:rsidRDefault="007B0231" w:rsidP="007B0231">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36FB6" w:rsidRPr="007B0231">
        <w:rPr>
          <w:rFonts w:ascii="Arial" w:hAnsi="Arial" w:cs="Arial"/>
          <w:sz w:val="24"/>
          <w:szCs w:val="24"/>
        </w:rPr>
        <w:t xml:space="preserve">In the absence of an agreement that meets the requirements of section </w:t>
      </w:r>
      <w:r w:rsidR="00DA0041" w:rsidRPr="007B0231">
        <w:rPr>
          <w:rFonts w:ascii="Arial" w:hAnsi="Arial" w:cs="Arial"/>
          <w:sz w:val="24"/>
          <w:szCs w:val="24"/>
        </w:rPr>
        <w:t>9(1), the applicant’s institution of review proceedings fell outside the 180-day period stipulate</w:t>
      </w:r>
      <w:r w:rsidR="001E0F3B" w:rsidRPr="007B0231">
        <w:rPr>
          <w:rFonts w:ascii="Arial" w:hAnsi="Arial" w:cs="Arial"/>
          <w:sz w:val="24"/>
          <w:szCs w:val="24"/>
        </w:rPr>
        <w:t>d</w:t>
      </w:r>
      <w:r w:rsidR="00DA0041" w:rsidRPr="007B0231">
        <w:rPr>
          <w:rFonts w:ascii="Arial" w:hAnsi="Arial" w:cs="Arial"/>
          <w:sz w:val="24"/>
          <w:szCs w:val="24"/>
        </w:rPr>
        <w:t xml:space="preserve"> under section 7</w:t>
      </w:r>
      <w:r w:rsidR="00001AD1" w:rsidRPr="007B0231">
        <w:rPr>
          <w:rFonts w:ascii="Arial" w:hAnsi="Arial" w:cs="Arial"/>
          <w:sz w:val="24"/>
          <w:szCs w:val="24"/>
        </w:rPr>
        <w:t>(1).</w:t>
      </w:r>
      <w:r w:rsidR="00961ED9" w:rsidRPr="007B0231">
        <w:rPr>
          <w:rFonts w:ascii="Arial" w:hAnsi="Arial" w:cs="Arial"/>
          <w:sz w:val="24"/>
          <w:szCs w:val="24"/>
        </w:rPr>
        <w:t xml:space="preserve"> </w:t>
      </w:r>
    </w:p>
    <w:p w14:paraId="024F5B32" w14:textId="77777777" w:rsidR="00862807" w:rsidRPr="00862807" w:rsidRDefault="00862807" w:rsidP="00862807">
      <w:pPr>
        <w:pStyle w:val="ListParagraph"/>
        <w:rPr>
          <w:rFonts w:ascii="Arial" w:hAnsi="Arial" w:cs="Arial"/>
          <w:sz w:val="24"/>
          <w:szCs w:val="24"/>
        </w:rPr>
      </w:pPr>
    </w:p>
    <w:p w14:paraId="703485D2" w14:textId="33BE6183" w:rsidR="007F32AF" w:rsidRPr="00C93C9F" w:rsidRDefault="007F32AF" w:rsidP="0030569B">
      <w:pPr>
        <w:spacing w:line="360" w:lineRule="auto"/>
        <w:jc w:val="both"/>
        <w:rPr>
          <w:rFonts w:ascii="Arial" w:hAnsi="Arial" w:cs="Arial"/>
          <w:b/>
          <w:bCs/>
          <w:sz w:val="24"/>
          <w:szCs w:val="24"/>
        </w:rPr>
      </w:pPr>
      <w:r w:rsidRPr="00C93C9F">
        <w:rPr>
          <w:rFonts w:ascii="Arial" w:hAnsi="Arial" w:cs="Arial"/>
          <w:b/>
          <w:bCs/>
          <w:sz w:val="24"/>
          <w:szCs w:val="24"/>
        </w:rPr>
        <w:t>Unreasonable delay</w:t>
      </w:r>
    </w:p>
    <w:p w14:paraId="2B265F52" w14:textId="77777777" w:rsidR="007F32AF" w:rsidRDefault="007F32AF" w:rsidP="00775021">
      <w:pPr>
        <w:spacing w:line="360" w:lineRule="auto"/>
        <w:rPr>
          <w:rFonts w:ascii="Arial" w:hAnsi="Arial" w:cs="Arial"/>
          <w:sz w:val="24"/>
          <w:szCs w:val="24"/>
        </w:rPr>
      </w:pPr>
    </w:p>
    <w:p w14:paraId="779DD4CA" w14:textId="7B99427C" w:rsidR="00077DC6"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lastRenderedPageBreak/>
        <w:t>[47]</w:t>
      </w:r>
      <w:r w:rsidRPr="0030569B">
        <w:rPr>
          <w:rFonts w:ascii="Arial" w:hAnsi="Arial" w:cs="Arial"/>
          <w:sz w:val="24"/>
          <w:szCs w:val="24"/>
          <w:lang w:val="en-GB"/>
        </w:rPr>
        <w:tab/>
      </w:r>
      <w:r w:rsidR="004E09CA" w:rsidRPr="007B0231">
        <w:rPr>
          <w:rFonts w:ascii="Arial" w:hAnsi="Arial" w:cs="Arial"/>
          <w:sz w:val="24"/>
          <w:szCs w:val="24"/>
          <w:lang w:val="en-GB"/>
        </w:rPr>
        <w:t xml:space="preserve">A delay </w:t>
      </w:r>
      <w:r w:rsidR="00775021" w:rsidRPr="007B0231">
        <w:rPr>
          <w:rFonts w:ascii="Arial" w:hAnsi="Arial" w:cs="Arial"/>
          <w:sz w:val="24"/>
          <w:szCs w:val="24"/>
          <w:lang w:val="en-GB"/>
        </w:rPr>
        <w:t>in the institution of review proceedings</w:t>
      </w:r>
      <w:r w:rsidR="00BE1AC4" w:rsidRPr="007B0231">
        <w:rPr>
          <w:rFonts w:ascii="Arial" w:hAnsi="Arial" w:cs="Arial"/>
          <w:sz w:val="24"/>
          <w:szCs w:val="24"/>
          <w:lang w:val="en-GB"/>
        </w:rPr>
        <w:t xml:space="preserve"> </w:t>
      </w:r>
      <w:r w:rsidR="00AF209B" w:rsidRPr="007B0231">
        <w:rPr>
          <w:rFonts w:ascii="Arial" w:hAnsi="Arial" w:cs="Arial"/>
          <w:sz w:val="24"/>
          <w:szCs w:val="24"/>
          <w:lang w:val="en-GB"/>
        </w:rPr>
        <w:t>attracts an enquiry into whether it was unreasonable</w:t>
      </w:r>
      <w:r w:rsidR="00D07D02" w:rsidRPr="007B0231">
        <w:rPr>
          <w:rFonts w:ascii="Arial" w:hAnsi="Arial" w:cs="Arial"/>
          <w:sz w:val="24"/>
          <w:szCs w:val="24"/>
          <w:lang w:val="en-GB"/>
        </w:rPr>
        <w:t xml:space="preserve">. </w:t>
      </w:r>
      <w:r w:rsidR="00077DC6" w:rsidRPr="007B0231">
        <w:rPr>
          <w:rFonts w:ascii="Arial" w:hAnsi="Arial" w:cs="Arial"/>
          <w:sz w:val="24"/>
          <w:szCs w:val="24"/>
          <w:lang w:val="en-GB"/>
        </w:rPr>
        <w:t xml:space="preserve">The relevant common law principles were discussed in </w:t>
      </w:r>
      <w:r w:rsidR="00B65C86" w:rsidRPr="007B0231">
        <w:rPr>
          <w:rFonts w:ascii="Arial" w:hAnsi="Arial" w:cs="Arial"/>
          <w:i/>
          <w:iCs/>
          <w:sz w:val="24"/>
          <w:szCs w:val="24"/>
          <w:lang w:val="en-GB"/>
        </w:rPr>
        <w:t xml:space="preserve">Associated Institutions Pension Fund and others v Van Zyl </w:t>
      </w:r>
      <w:r w:rsidR="00A82B77" w:rsidRPr="007B0231">
        <w:rPr>
          <w:rFonts w:ascii="Arial" w:hAnsi="Arial" w:cs="Arial"/>
          <w:i/>
          <w:iCs/>
          <w:sz w:val="24"/>
          <w:szCs w:val="24"/>
          <w:lang w:val="en-GB"/>
        </w:rPr>
        <w:t>and others</w:t>
      </w:r>
      <w:r w:rsidR="00A82B77" w:rsidRPr="007B0231">
        <w:rPr>
          <w:rFonts w:ascii="Arial" w:hAnsi="Arial" w:cs="Arial"/>
          <w:sz w:val="24"/>
          <w:szCs w:val="24"/>
          <w:lang w:val="en-GB"/>
        </w:rPr>
        <w:t>,</w:t>
      </w:r>
      <w:r w:rsidR="00A82B77">
        <w:rPr>
          <w:rStyle w:val="FootnoteReference"/>
          <w:rFonts w:ascii="Arial" w:hAnsi="Arial" w:cs="Arial"/>
          <w:sz w:val="24"/>
          <w:szCs w:val="24"/>
          <w:lang w:val="en-GB"/>
        </w:rPr>
        <w:footnoteReference w:id="22"/>
      </w:r>
      <w:r w:rsidR="00AB4AF2" w:rsidRPr="007B0231">
        <w:rPr>
          <w:rFonts w:ascii="Arial" w:hAnsi="Arial" w:cs="Arial"/>
          <w:sz w:val="24"/>
          <w:szCs w:val="24"/>
          <w:lang w:val="en-GB"/>
        </w:rPr>
        <w:t xml:space="preserve"> where Brand JA remarked:</w:t>
      </w:r>
    </w:p>
    <w:p w14:paraId="3669F533" w14:textId="5A923FC0" w:rsidR="007454D4" w:rsidRPr="0039220F" w:rsidRDefault="007454D4" w:rsidP="0030569B">
      <w:pPr>
        <w:spacing w:line="360" w:lineRule="auto"/>
        <w:ind w:left="720"/>
        <w:jc w:val="both"/>
        <w:rPr>
          <w:rFonts w:ascii="Arial" w:hAnsi="Arial" w:cs="Arial"/>
          <w:lang w:val="en-GB"/>
        </w:rPr>
      </w:pPr>
      <w:r w:rsidRPr="0039220F">
        <w:rPr>
          <w:rFonts w:ascii="Arial" w:hAnsi="Arial" w:cs="Arial"/>
          <w:lang w:val="en-GB"/>
        </w:rPr>
        <w:t>‘</w:t>
      </w:r>
      <w:r w:rsidR="00C059D7" w:rsidRPr="0039220F">
        <w:rPr>
          <w:rFonts w:ascii="Arial" w:hAnsi="Arial" w:cs="Arial"/>
          <w:lang w:val="en-GB"/>
        </w:rPr>
        <w:t xml:space="preserve">It is a long-standing rule that courts have the power, as part of their inherent jurisdiction, </w:t>
      </w:r>
      <w:r w:rsidR="004E412C" w:rsidRPr="0039220F">
        <w:rPr>
          <w:rFonts w:ascii="Arial" w:hAnsi="Arial" w:cs="Arial"/>
          <w:lang w:val="en-GB"/>
        </w:rPr>
        <w:t>to regulate their own proceedings, to refuse a review application</w:t>
      </w:r>
      <w:r w:rsidR="00256A9A" w:rsidRPr="0039220F">
        <w:rPr>
          <w:rFonts w:ascii="Arial" w:hAnsi="Arial" w:cs="Arial"/>
          <w:lang w:val="en-GB"/>
        </w:rPr>
        <w:t xml:space="preserve"> if the aggrieved party had been guilty of unreasonable delay in initiating the proceedings</w:t>
      </w:r>
      <w:r w:rsidR="00855BD4" w:rsidRPr="0039220F">
        <w:rPr>
          <w:rFonts w:ascii="Arial" w:hAnsi="Arial" w:cs="Arial"/>
          <w:lang w:val="en-GB"/>
        </w:rPr>
        <w:t>. The effect is that, in a sense, delay would “validate” the invalid administrative action</w:t>
      </w:r>
      <w:r w:rsidR="00447703" w:rsidRPr="0039220F">
        <w:rPr>
          <w:rFonts w:ascii="Arial" w:hAnsi="Arial" w:cs="Arial"/>
          <w:lang w:val="en-GB"/>
        </w:rPr>
        <w:t>… The raison d</w:t>
      </w:r>
      <w:r w:rsidR="00C57DC5" w:rsidRPr="0039220F">
        <w:rPr>
          <w:rFonts w:ascii="Arial" w:hAnsi="Arial" w:cs="Arial"/>
          <w:lang w:val="en-GB"/>
        </w:rPr>
        <w:t>´etre of the rule is said to be twofold</w:t>
      </w:r>
      <w:r w:rsidR="00AA2D99" w:rsidRPr="0039220F">
        <w:rPr>
          <w:rFonts w:ascii="Arial" w:hAnsi="Arial" w:cs="Arial"/>
          <w:lang w:val="en-GB"/>
        </w:rPr>
        <w:t>. First, the failure to bring a review within a reasonable time may cause prejudice to the respondent</w:t>
      </w:r>
      <w:r w:rsidR="009532AD" w:rsidRPr="0039220F">
        <w:rPr>
          <w:rFonts w:ascii="Arial" w:hAnsi="Arial" w:cs="Arial"/>
          <w:lang w:val="en-GB"/>
        </w:rPr>
        <w:t>. Second, there is a public interest element in the finality of administrative decisions</w:t>
      </w:r>
      <w:r w:rsidR="00685F91" w:rsidRPr="0039220F">
        <w:rPr>
          <w:rFonts w:ascii="Arial" w:hAnsi="Arial" w:cs="Arial"/>
          <w:lang w:val="en-GB"/>
        </w:rPr>
        <w:t xml:space="preserve"> and the exercise of administrative functions</w:t>
      </w:r>
      <w:r w:rsidR="00954FAC" w:rsidRPr="0039220F">
        <w:rPr>
          <w:rFonts w:ascii="Arial" w:hAnsi="Arial" w:cs="Arial"/>
          <w:lang w:val="en-GB"/>
        </w:rPr>
        <w:t>…</w:t>
      </w:r>
    </w:p>
    <w:p w14:paraId="6C15C0A9" w14:textId="4DB38147" w:rsidR="00954FAC" w:rsidRPr="0039220F" w:rsidRDefault="00954FAC" w:rsidP="0030569B">
      <w:pPr>
        <w:spacing w:line="360" w:lineRule="auto"/>
        <w:ind w:left="720"/>
        <w:jc w:val="both"/>
        <w:rPr>
          <w:rFonts w:ascii="Arial" w:hAnsi="Arial" w:cs="Arial"/>
          <w:lang w:val="en-GB"/>
        </w:rPr>
      </w:pPr>
      <w:r w:rsidRPr="0039220F">
        <w:rPr>
          <w:rFonts w:ascii="Arial" w:hAnsi="Arial" w:cs="Arial"/>
          <w:lang w:val="en-GB"/>
        </w:rPr>
        <w:t xml:space="preserve">…The scope and content of the </w:t>
      </w:r>
      <w:r w:rsidR="00742F06" w:rsidRPr="0039220F">
        <w:rPr>
          <w:rFonts w:ascii="Arial" w:hAnsi="Arial" w:cs="Arial"/>
          <w:lang w:val="en-GB"/>
        </w:rPr>
        <w:t>rule has been the subject of investigation in two decisions of this court.</w:t>
      </w:r>
      <w:r w:rsidR="00981B98" w:rsidRPr="0039220F">
        <w:rPr>
          <w:rFonts w:ascii="Arial" w:hAnsi="Arial" w:cs="Arial"/>
          <w:lang w:val="en-GB"/>
        </w:rPr>
        <w:t xml:space="preserve"> They are the </w:t>
      </w:r>
      <w:r w:rsidR="00981B98" w:rsidRPr="0039220F">
        <w:rPr>
          <w:rFonts w:ascii="Arial" w:hAnsi="Arial" w:cs="Arial"/>
          <w:i/>
          <w:iCs/>
          <w:lang w:val="en-GB"/>
        </w:rPr>
        <w:t>Wolgroeiers</w:t>
      </w:r>
      <w:r w:rsidR="00981B98" w:rsidRPr="0039220F">
        <w:rPr>
          <w:rFonts w:ascii="Arial" w:hAnsi="Arial" w:cs="Arial"/>
          <w:lang w:val="en-GB"/>
        </w:rPr>
        <w:t xml:space="preserve"> case…</w:t>
      </w:r>
      <w:r w:rsidR="00A06170" w:rsidRPr="0039220F">
        <w:rPr>
          <w:rStyle w:val="FootnoteReference"/>
          <w:rFonts w:ascii="Arial" w:hAnsi="Arial" w:cs="Arial"/>
          <w:lang w:val="en-GB"/>
        </w:rPr>
        <w:footnoteReference w:id="23"/>
      </w:r>
      <w:r w:rsidR="002E21EB" w:rsidRPr="0039220F">
        <w:rPr>
          <w:rFonts w:ascii="Arial" w:hAnsi="Arial" w:cs="Arial"/>
          <w:lang w:val="en-GB"/>
        </w:rPr>
        <w:t xml:space="preserve"> and </w:t>
      </w:r>
      <w:r w:rsidR="002E21EB" w:rsidRPr="0039220F">
        <w:rPr>
          <w:rFonts w:ascii="Arial" w:hAnsi="Arial" w:cs="Arial"/>
          <w:i/>
          <w:iCs/>
          <w:lang w:val="en-GB"/>
        </w:rPr>
        <w:t xml:space="preserve">Setsokosane </w:t>
      </w:r>
      <w:r w:rsidR="00773300" w:rsidRPr="0039220F">
        <w:rPr>
          <w:rFonts w:ascii="Arial" w:hAnsi="Arial" w:cs="Arial"/>
          <w:i/>
          <w:iCs/>
          <w:lang w:val="en-GB"/>
        </w:rPr>
        <w:t xml:space="preserve">Busdiens (Edms) Bpk v Voorsitter, Nasionale </w:t>
      </w:r>
      <w:r w:rsidR="00D726E8" w:rsidRPr="0039220F">
        <w:rPr>
          <w:rFonts w:ascii="Arial" w:hAnsi="Arial" w:cs="Arial"/>
          <w:i/>
          <w:iCs/>
          <w:lang w:val="en-GB"/>
        </w:rPr>
        <w:t>Vervoerkommissie en ‘n ander</w:t>
      </w:r>
      <w:r w:rsidR="00D726E8" w:rsidRPr="0039220F">
        <w:rPr>
          <w:rFonts w:ascii="Arial" w:hAnsi="Arial" w:cs="Arial"/>
          <w:lang w:val="en-GB"/>
        </w:rPr>
        <w:t>…</w:t>
      </w:r>
      <w:r w:rsidR="00D726E8" w:rsidRPr="0039220F">
        <w:rPr>
          <w:rStyle w:val="FootnoteReference"/>
          <w:rFonts w:ascii="Arial" w:hAnsi="Arial" w:cs="Arial"/>
          <w:lang w:val="en-GB"/>
        </w:rPr>
        <w:footnoteReference w:id="24"/>
      </w:r>
      <w:r w:rsidR="00661275" w:rsidRPr="0039220F">
        <w:rPr>
          <w:rFonts w:ascii="Arial" w:hAnsi="Arial" w:cs="Arial"/>
          <w:lang w:val="en-GB"/>
        </w:rPr>
        <w:t xml:space="preserve"> As appears from these two cases</w:t>
      </w:r>
      <w:r w:rsidR="007822D8" w:rsidRPr="0039220F">
        <w:rPr>
          <w:rFonts w:ascii="Arial" w:hAnsi="Arial" w:cs="Arial"/>
          <w:lang w:val="en-GB"/>
        </w:rPr>
        <w:t xml:space="preserve"> and the numerous decisions in which they have been followed, </w:t>
      </w:r>
      <w:r w:rsidR="0071291C" w:rsidRPr="0039220F">
        <w:rPr>
          <w:rFonts w:ascii="Arial" w:hAnsi="Arial" w:cs="Arial"/>
          <w:lang w:val="en-GB"/>
        </w:rPr>
        <w:t>application of the rule requires consideration of two questions:</w:t>
      </w:r>
    </w:p>
    <w:p w14:paraId="43389744" w14:textId="16D21348" w:rsidR="0071291C" w:rsidRPr="007B0231" w:rsidRDefault="007B0231" w:rsidP="007B0231">
      <w:pPr>
        <w:spacing w:line="360" w:lineRule="auto"/>
        <w:ind w:left="1080" w:hanging="360"/>
        <w:jc w:val="both"/>
        <w:rPr>
          <w:rFonts w:ascii="Arial" w:hAnsi="Arial" w:cs="Arial"/>
          <w:lang w:val="en-GB"/>
        </w:rPr>
      </w:pPr>
      <w:r w:rsidRPr="0039220F">
        <w:rPr>
          <w:rFonts w:ascii="Arial" w:hAnsi="Arial" w:cs="Arial"/>
          <w:lang w:val="en-GB"/>
        </w:rPr>
        <w:t>(a)</w:t>
      </w:r>
      <w:r w:rsidRPr="0039220F">
        <w:rPr>
          <w:rFonts w:ascii="Arial" w:hAnsi="Arial" w:cs="Arial"/>
          <w:lang w:val="en-GB"/>
        </w:rPr>
        <w:tab/>
      </w:r>
      <w:r w:rsidR="0071291C" w:rsidRPr="007B0231">
        <w:rPr>
          <w:rFonts w:ascii="Arial" w:hAnsi="Arial" w:cs="Arial"/>
          <w:lang w:val="en-GB"/>
        </w:rPr>
        <w:t>Was there an unreasonable delay?</w:t>
      </w:r>
    </w:p>
    <w:p w14:paraId="13C7ECFA" w14:textId="7364025A" w:rsidR="0071291C" w:rsidRPr="007B0231" w:rsidRDefault="007B0231" w:rsidP="007B0231">
      <w:pPr>
        <w:spacing w:line="360" w:lineRule="auto"/>
        <w:ind w:left="1080" w:hanging="360"/>
        <w:jc w:val="both"/>
        <w:rPr>
          <w:rFonts w:ascii="Arial" w:hAnsi="Arial" w:cs="Arial"/>
          <w:lang w:val="en-GB"/>
        </w:rPr>
      </w:pPr>
      <w:r w:rsidRPr="0039220F">
        <w:rPr>
          <w:rFonts w:ascii="Arial" w:hAnsi="Arial" w:cs="Arial"/>
          <w:lang w:val="en-GB"/>
        </w:rPr>
        <w:t>(b)</w:t>
      </w:r>
      <w:r w:rsidRPr="0039220F">
        <w:rPr>
          <w:rFonts w:ascii="Arial" w:hAnsi="Arial" w:cs="Arial"/>
          <w:lang w:val="en-GB"/>
        </w:rPr>
        <w:tab/>
      </w:r>
      <w:r w:rsidR="004446BA" w:rsidRPr="007B0231">
        <w:rPr>
          <w:rFonts w:ascii="Arial" w:hAnsi="Arial" w:cs="Arial"/>
          <w:lang w:val="en-GB"/>
        </w:rPr>
        <w:t>If so, should the delay in all the circumstances be condoned?</w:t>
      </w:r>
    </w:p>
    <w:p w14:paraId="0B16871D" w14:textId="2E524722" w:rsidR="00E15E2D" w:rsidRDefault="00E15E2D" w:rsidP="0030569B">
      <w:pPr>
        <w:spacing w:line="360" w:lineRule="auto"/>
        <w:ind w:left="720"/>
        <w:jc w:val="both"/>
        <w:rPr>
          <w:rFonts w:ascii="Arial" w:hAnsi="Arial" w:cs="Arial"/>
          <w:lang w:val="en-GB"/>
        </w:rPr>
      </w:pPr>
      <w:r w:rsidRPr="0039220F">
        <w:rPr>
          <w:rFonts w:ascii="Arial" w:hAnsi="Arial" w:cs="Arial"/>
          <w:lang w:val="en-GB"/>
        </w:rPr>
        <w:t>…The reasonableness or unreasonableness of a delay</w:t>
      </w:r>
      <w:r w:rsidR="009852BE" w:rsidRPr="0039220F">
        <w:rPr>
          <w:rFonts w:ascii="Arial" w:hAnsi="Arial" w:cs="Arial"/>
          <w:lang w:val="en-GB"/>
        </w:rPr>
        <w:t xml:space="preserve"> is entirely dependent on the facts and circumstances of any particular case.’</w:t>
      </w:r>
      <w:r w:rsidR="002B0FB8" w:rsidRPr="0039220F">
        <w:rPr>
          <w:rStyle w:val="FootnoteReference"/>
          <w:rFonts w:ascii="Arial" w:hAnsi="Arial" w:cs="Arial"/>
          <w:lang w:val="en-GB"/>
        </w:rPr>
        <w:footnoteReference w:id="25"/>
      </w:r>
    </w:p>
    <w:p w14:paraId="0E6D782C" w14:textId="77777777" w:rsidR="00F30B96" w:rsidRPr="0039220F" w:rsidRDefault="00F30B96" w:rsidP="0030569B">
      <w:pPr>
        <w:spacing w:line="360" w:lineRule="auto"/>
        <w:ind w:left="720"/>
        <w:jc w:val="both"/>
        <w:rPr>
          <w:rFonts w:ascii="Arial" w:hAnsi="Arial" w:cs="Arial"/>
          <w:lang w:val="en-GB"/>
        </w:rPr>
      </w:pPr>
    </w:p>
    <w:p w14:paraId="14853331" w14:textId="5790ACE1" w:rsidR="00370538"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275546" w:rsidRPr="007B0231">
        <w:rPr>
          <w:rFonts w:ascii="Arial" w:hAnsi="Arial" w:cs="Arial"/>
          <w:sz w:val="24"/>
          <w:szCs w:val="24"/>
          <w:lang w:val="en-GB"/>
        </w:rPr>
        <w:t xml:space="preserve">The two questions identified by Brand JA lie at the heart of </w:t>
      </w:r>
      <w:r w:rsidR="004E203B" w:rsidRPr="007B0231">
        <w:rPr>
          <w:rFonts w:ascii="Arial" w:hAnsi="Arial" w:cs="Arial"/>
          <w:sz w:val="24"/>
          <w:szCs w:val="24"/>
          <w:lang w:val="en-GB"/>
        </w:rPr>
        <w:t>any enquiry into whether a delay was unreasonable</w:t>
      </w:r>
      <w:r w:rsidR="00443219" w:rsidRPr="007B0231">
        <w:rPr>
          <w:rFonts w:ascii="Arial" w:hAnsi="Arial" w:cs="Arial"/>
          <w:sz w:val="24"/>
          <w:szCs w:val="24"/>
          <w:lang w:val="en-GB"/>
        </w:rPr>
        <w:t xml:space="preserve">. They </w:t>
      </w:r>
      <w:r w:rsidR="004A3B1A" w:rsidRPr="007B0231">
        <w:rPr>
          <w:rFonts w:ascii="Arial" w:hAnsi="Arial" w:cs="Arial"/>
          <w:sz w:val="24"/>
          <w:szCs w:val="24"/>
          <w:lang w:val="en-GB"/>
        </w:rPr>
        <w:t>are rooted in our common law jurisprudence and survive</w:t>
      </w:r>
      <w:r w:rsidR="006C7D12" w:rsidRPr="007B0231">
        <w:rPr>
          <w:rFonts w:ascii="Arial" w:hAnsi="Arial" w:cs="Arial"/>
          <w:sz w:val="24"/>
          <w:szCs w:val="24"/>
          <w:lang w:val="en-GB"/>
        </w:rPr>
        <w:t xml:space="preserve"> in the </w:t>
      </w:r>
      <w:r w:rsidR="00EB1258" w:rsidRPr="007B0231">
        <w:rPr>
          <w:rFonts w:ascii="Arial" w:hAnsi="Arial" w:cs="Arial"/>
          <w:sz w:val="24"/>
          <w:szCs w:val="24"/>
          <w:lang w:val="en-GB"/>
        </w:rPr>
        <w:t>more recent authoriti</w:t>
      </w:r>
      <w:r w:rsidR="006C7D12" w:rsidRPr="007B0231">
        <w:rPr>
          <w:rFonts w:ascii="Arial" w:hAnsi="Arial" w:cs="Arial"/>
          <w:sz w:val="24"/>
          <w:szCs w:val="24"/>
          <w:lang w:val="en-GB"/>
        </w:rPr>
        <w:t xml:space="preserve">es that </w:t>
      </w:r>
      <w:r w:rsidR="00EB1258" w:rsidRPr="007B0231">
        <w:rPr>
          <w:rFonts w:ascii="Arial" w:hAnsi="Arial" w:cs="Arial"/>
          <w:sz w:val="24"/>
          <w:szCs w:val="24"/>
          <w:lang w:val="en-GB"/>
        </w:rPr>
        <w:t xml:space="preserve">pertain to </w:t>
      </w:r>
      <w:r w:rsidR="008C2106" w:rsidRPr="007B0231">
        <w:rPr>
          <w:rFonts w:ascii="Arial" w:hAnsi="Arial" w:cs="Arial"/>
          <w:sz w:val="24"/>
          <w:szCs w:val="24"/>
          <w:lang w:val="en-GB"/>
        </w:rPr>
        <w:t>the</w:t>
      </w:r>
      <w:r w:rsidR="002F15C1" w:rsidRPr="007B0231">
        <w:rPr>
          <w:rFonts w:ascii="Arial" w:hAnsi="Arial" w:cs="Arial"/>
          <w:sz w:val="24"/>
          <w:szCs w:val="24"/>
          <w:lang w:val="en-GB"/>
        </w:rPr>
        <w:t xml:space="preserve"> </w:t>
      </w:r>
      <w:r w:rsidR="004D01C4" w:rsidRPr="007B0231">
        <w:rPr>
          <w:rFonts w:ascii="Arial" w:hAnsi="Arial" w:cs="Arial"/>
          <w:sz w:val="24"/>
          <w:szCs w:val="24"/>
          <w:lang w:val="en-GB"/>
        </w:rPr>
        <w:t>institution of review proceedings under PAJA and delays in relation thereto.</w:t>
      </w:r>
    </w:p>
    <w:p w14:paraId="4E95599B" w14:textId="08F81851" w:rsidR="00775021"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lastRenderedPageBreak/>
        <w:t>[49]</w:t>
      </w:r>
      <w:r w:rsidRPr="0030569B">
        <w:rPr>
          <w:rFonts w:ascii="Arial" w:hAnsi="Arial" w:cs="Arial"/>
          <w:sz w:val="24"/>
          <w:szCs w:val="24"/>
          <w:lang w:val="en-GB"/>
        </w:rPr>
        <w:tab/>
      </w:r>
      <w:r w:rsidR="000B0633" w:rsidRPr="007B0231">
        <w:rPr>
          <w:rFonts w:ascii="Arial" w:hAnsi="Arial" w:cs="Arial"/>
          <w:sz w:val="24"/>
          <w:szCs w:val="24"/>
          <w:lang w:val="en-GB"/>
        </w:rPr>
        <w:t xml:space="preserve">Strong public interest considerations inform </w:t>
      </w:r>
      <w:r w:rsidR="0059614D" w:rsidRPr="007B0231">
        <w:rPr>
          <w:rFonts w:ascii="Arial" w:hAnsi="Arial" w:cs="Arial"/>
          <w:sz w:val="24"/>
          <w:szCs w:val="24"/>
          <w:lang w:val="en-GB"/>
        </w:rPr>
        <w:t>an</w:t>
      </w:r>
      <w:r w:rsidR="0081426F" w:rsidRPr="007B0231">
        <w:rPr>
          <w:rFonts w:ascii="Arial" w:hAnsi="Arial" w:cs="Arial"/>
          <w:sz w:val="24"/>
          <w:szCs w:val="24"/>
          <w:lang w:val="en-GB"/>
        </w:rPr>
        <w:t>y such</w:t>
      </w:r>
      <w:r w:rsidR="0059614D" w:rsidRPr="007B0231">
        <w:rPr>
          <w:rFonts w:ascii="Arial" w:hAnsi="Arial" w:cs="Arial"/>
          <w:sz w:val="24"/>
          <w:szCs w:val="24"/>
          <w:lang w:val="en-GB"/>
        </w:rPr>
        <w:t xml:space="preserve"> enquiry</w:t>
      </w:r>
      <w:r w:rsidR="000B0633" w:rsidRPr="007B0231">
        <w:rPr>
          <w:rFonts w:ascii="Arial" w:hAnsi="Arial" w:cs="Arial"/>
          <w:sz w:val="24"/>
          <w:szCs w:val="24"/>
          <w:lang w:val="en-GB"/>
        </w:rPr>
        <w:t>.</w:t>
      </w:r>
      <w:r w:rsidR="00775021" w:rsidRPr="007B0231">
        <w:rPr>
          <w:rFonts w:ascii="Arial" w:hAnsi="Arial" w:cs="Arial"/>
          <w:sz w:val="24"/>
          <w:szCs w:val="24"/>
          <w:lang w:val="en-GB"/>
        </w:rPr>
        <w:t xml:space="preserve"> </w:t>
      </w:r>
      <w:r w:rsidR="00E117C6" w:rsidRPr="007B0231">
        <w:rPr>
          <w:rFonts w:ascii="Arial" w:hAnsi="Arial" w:cs="Arial"/>
          <w:sz w:val="24"/>
          <w:szCs w:val="24"/>
          <w:lang w:val="en-GB"/>
        </w:rPr>
        <w:t>I</w:t>
      </w:r>
      <w:r w:rsidR="00775021" w:rsidRPr="007B0231">
        <w:rPr>
          <w:rFonts w:ascii="Arial" w:hAnsi="Arial" w:cs="Arial"/>
          <w:sz w:val="24"/>
          <w:szCs w:val="24"/>
          <w:lang w:val="en-GB"/>
        </w:rPr>
        <w:t xml:space="preserve">n </w:t>
      </w:r>
      <w:r w:rsidR="00775021" w:rsidRPr="007B0231">
        <w:rPr>
          <w:rFonts w:ascii="Arial" w:hAnsi="Arial" w:cs="Arial"/>
          <w:i/>
          <w:iCs/>
          <w:sz w:val="24"/>
          <w:szCs w:val="24"/>
          <w:lang w:val="en-GB"/>
        </w:rPr>
        <w:t>Gqwetha v Transkei Development Corporation and others</w:t>
      </w:r>
      <w:r w:rsidR="00E117C6" w:rsidRPr="007B0231">
        <w:rPr>
          <w:rFonts w:ascii="Arial" w:hAnsi="Arial" w:cs="Arial"/>
          <w:sz w:val="24"/>
          <w:szCs w:val="24"/>
          <w:lang w:val="en-GB"/>
        </w:rPr>
        <w:t>,</w:t>
      </w:r>
      <w:r w:rsidR="00E117C6">
        <w:rPr>
          <w:rStyle w:val="FootnoteReference"/>
          <w:rFonts w:ascii="Arial" w:hAnsi="Arial" w:cs="Arial"/>
          <w:sz w:val="24"/>
          <w:szCs w:val="24"/>
          <w:lang w:val="en-GB"/>
        </w:rPr>
        <w:footnoteReference w:id="26"/>
      </w:r>
      <w:r w:rsidR="00762DAA" w:rsidRPr="007B0231">
        <w:rPr>
          <w:rFonts w:ascii="Arial" w:hAnsi="Arial" w:cs="Arial"/>
          <w:sz w:val="24"/>
          <w:szCs w:val="24"/>
          <w:lang w:val="en-GB"/>
        </w:rPr>
        <w:t xml:space="preserve"> </w:t>
      </w:r>
      <w:r w:rsidR="00775021" w:rsidRPr="007B0231">
        <w:rPr>
          <w:rFonts w:ascii="Arial" w:hAnsi="Arial" w:cs="Arial"/>
          <w:sz w:val="24"/>
          <w:szCs w:val="24"/>
          <w:lang w:val="en-GB"/>
        </w:rPr>
        <w:t>the appellant had brought review proceedings in the Transkei High Court some 14 months after her dismissal from employment. Nugent JA held</w:t>
      </w:r>
      <w:r w:rsidR="00CB099B" w:rsidRPr="007B0231">
        <w:rPr>
          <w:rFonts w:ascii="Arial" w:hAnsi="Arial" w:cs="Arial"/>
          <w:sz w:val="24"/>
          <w:szCs w:val="24"/>
          <w:lang w:val="en-GB"/>
        </w:rPr>
        <w:t xml:space="preserve"> as follows</w:t>
      </w:r>
      <w:r w:rsidR="00775021" w:rsidRPr="007B0231">
        <w:rPr>
          <w:rFonts w:ascii="Arial" w:hAnsi="Arial" w:cs="Arial"/>
          <w:sz w:val="24"/>
          <w:szCs w:val="24"/>
          <w:lang w:val="en-GB"/>
        </w:rPr>
        <w:t>:</w:t>
      </w:r>
      <w:r w:rsidR="00CB099B">
        <w:rPr>
          <w:rStyle w:val="FootnoteReference"/>
          <w:rFonts w:ascii="Arial" w:hAnsi="Arial" w:cs="Arial"/>
          <w:sz w:val="24"/>
          <w:szCs w:val="24"/>
          <w:lang w:val="en-GB"/>
        </w:rPr>
        <w:footnoteReference w:id="27"/>
      </w:r>
    </w:p>
    <w:p w14:paraId="529B7296" w14:textId="55DD31C6" w:rsidR="00775021" w:rsidRPr="00775021" w:rsidRDefault="00775021" w:rsidP="0030569B">
      <w:pPr>
        <w:spacing w:line="360" w:lineRule="auto"/>
        <w:ind w:left="720"/>
        <w:jc w:val="both"/>
        <w:rPr>
          <w:rFonts w:ascii="Arial" w:hAnsi="Arial" w:cs="Arial"/>
          <w:lang w:val="en-GB"/>
        </w:rPr>
      </w:pPr>
      <w:r w:rsidRPr="00775021">
        <w:rPr>
          <w:rFonts w:ascii="Arial" w:hAnsi="Arial" w:cs="Arial"/>
          <w:lang w:val="en-GB"/>
        </w:rPr>
        <w:t>‘</w:t>
      </w:r>
      <w:r w:rsidR="00CE107F" w:rsidRPr="000A1F14">
        <w:rPr>
          <w:rFonts w:ascii="Arial" w:hAnsi="Arial" w:cs="Arial"/>
          <w:lang w:val="en-GB"/>
        </w:rPr>
        <w:t>…</w:t>
      </w:r>
      <w:r w:rsidRPr="00775021">
        <w:rPr>
          <w:rFonts w:ascii="Arial" w:hAnsi="Arial" w:cs="Arial"/>
          <w:lang w:val="en-GB"/>
        </w:rPr>
        <w:t xml:space="preserve">It is important for the efficient functioning of public bodies… that a challenge to the validity of their decisions by proceedings for judicial review should be initiated without undue delay. The rationale for that longstanding rule… is twofold: First, the failure to bring a review within a reasonable time may cause prejudice to the respondent. Secondly, and in my view more importantly, there is a public interest element in the finality of administrative decisions and the exercise of administrative functions. As pointed out by Miller JA in </w:t>
      </w:r>
      <w:r w:rsidRPr="00775021">
        <w:rPr>
          <w:rFonts w:ascii="Arial" w:hAnsi="Arial" w:cs="Arial"/>
          <w:i/>
          <w:iCs/>
          <w:lang w:val="en-GB"/>
        </w:rPr>
        <w:t>Wolgroeiers Afslaers (Edms) Bpk v Munisipaliteit van Kaapstad</w:t>
      </w:r>
      <w:r w:rsidR="009069BF" w:rsidRPr="000A1F14">
        <w:rPr>
          <w:rFonts w:ascii="Arial" w:hAnsi="Arial" w:cs="Arial"/>
          <w:i/>
          <w:iCs/>
          <w:lang w:val="en-GB"/>
        </w:rPr>
        <w:t>…</w:t>
      </w:r>
      <w:r w:rsidR="0002111F" w:rsidRPr="000A1F14">
        <w:rPr>
          <w:rStyle w:val="FootnoteReference"/>
          <w:rFonts w:ascii="Arial" w:hAnsi="Arial" w:cs="Arial"/>
          <w:lang w:val="en-GB"/>
        </w:rPr>
        <w:footnoteReference w:id="28"/>
      </w:r>
      <w:r w:rsidR="00C44E0E" w:rsidRPr="000A1F14">
        <w:rPr>
          <w:rFonts w:ascii="Arial" w:hAnsi="Arial" w:cs="Arial"/>
          <w:i/>
          <w:iCs/>
          <w:lang w:val="en-GB"/>
        </w:rPr>
        <w:t xml:space="preserve"> </w:t>
      </w:r>
      <w:r w:rsidRPr="00775021">
        <w:rPr>
          <w:rFonts w:ascii="Arial" w:hAnsi="Arial" w:cs="Arial"/>
          <w:lang w:val="en-GB"/>
        </w:rPr>
        <w:t>:</w:t>
      </w:r>
    </w:p>
    <w:p w14:paraId="3087D82F" w14:textId="4431E996" w:rsidR="00775021" w:rsidRPr="00775021" w:rsidRDefault="00775021" w:rsidP="0030569B">
      <w:pPr>
        <w:spacing w:line="360" w:lineRule="auto"/>
        <w:ind w:left="1440"/>
        <w:jc w:val="both"/>
        <w:rPr>
          <w:rFonts w:ascii="Arial" w:hAnsi="Arial" w:cs="Arial"/>
          <w:lang w:val="en-GB"/>
        </w:rPr>
      </w:pPr>
      <w:r w:rsidRPr="00775021">
        <w:rPr>
          <w:rFonts w:ascii="Arial" w:hAnsi="Arial" w:cs="Arial"/>
          <w:lang w:val="en-GB"/>
        </w:rPr>
        <w:t xml:space="preserve">“It is desirable and important that finality should be arrived at within a reasonable time in relation to judicial and administrative decisions or acts. It can be contrary to the administration of justice and the public interest to allow such decisions or acts to be set aside after an unreasonably long period of time has elapsed- </w:t>
      </w:r>
      <w:r w:rsidRPr="00775021">
        <w:rPr>
          <w:rFonts w:ascii="Arial" w:hAnsi="Arial" w:cs="Arial"/>
          <w:i/>
          <w:iCs/>
          <w:lang w:val="en-GB"/>
        </w:rPr>
        <w:t>interest reipublicae ut sit finis litium</w:t>
      </w:r>
      <w:r w:rsidRPr="00775021">
        <w:rPr>
          <w:rFonts w:ascii="Arial" w:hAnsi="Arial" w:cs="Arial"/>
          <w:lang w:val="en-GB"/>
        </w:rPr>
        <w:t>… Considerations of this kind undoubtedly constitute part of the underlying reasons for the existence of this rule.”</w:t>
      </w:r>
      <w:r w:rsidR="00126BD0" w:rsidRPr="000A1F14">
        <w:rPr>
          <w:rStyle w:val="FootnoteReference"/>
          <w:rFonts w:ascii="Arial" w:hAnsi="Arial" w:cs="Arial"/>
          <w:lang w:val="en-GB"/>
        </w:rPr>
        <w:footnoteReference w:id="29"/>
      </w:r>
    </w:p>
    <w:p w14:paraId="4C937104" w14:textId="77777777" w:rsidR="00EB68DC" w:rsidRDefault="00EB68DC" w:rsidP="00EB68DC">
      <w:pPr>
        <w:spacing w:line="360" w:lineRule="auto"/>
        <w:rPr>
          <w:rFonts w:ascii="Arial" w:hAnsi="Arial" w:cs="Arial"/>
          <w:sz w:val="24"/>
          <w:szCs w:val="24"/>
          <w:lang w:val="en-GB"/>
        </w:rPr>
      </w:pPr>
    </w:p>
    <w:p w14:paraId="667D47EE" w14:textId="76B35F0B" w:rsidR="00775021"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[50]</w:t>
      </w:r>
      <w:r w:rsidRPr="0030569B">
        <w:rPr>
          <w:rFonts w:ascii="Arial" w:hAnsi="Arial" w:cs="Arial"/>
          <w:sz w:val="24"/>
          <w:szCs w:val="24"/>
          <w:lang w:val="en-GB"/>
        </w:rPr>
        <w:tab/>
      </w:r>
      <w:r w:rsidR="00EB68DC" w:rsidRPr="007B0231">
        <w:rPr>
          <w:rFonts w:ascii="Arial" w:hAnsi="Arial" w:cs="Arial"/>
          <w:sz w:val="24"/>
          <w:szCs w:val="24"/>
          <w:lang w:val="en-GB"/>
        </w:rPr>
        <w:t xml:space="preserve">The learned judge went on to </w:t>
      </w:r>
      <w:r w:rsidR="00222E07" w:rsidRPr="007B0231">
        <w:rPr>
          <w:rFonts w:ascii="Arial" w:hAnsi="Arial" w:cs="Arial"/>
          <w:sz w:val="24"/>
          <w:szCs w:val="24"/>
          <w:lang w:val="en-GB"/>
        </w:rPr>
        <w:t xml:space="preserve">deal with the correct approach </w:t>
      </w:r>
      <w:r w:rsidR="002473B4" w:rsidRPr="007B0231">
        <w:rPr>
          <w:rFonts w:ascii="Arial" w:hAnsi="Arial" w:cs="Arial"/>
          <w:sz w:val="24"/>
          <w:szCs w:val="24"/>
          <w:lang w:val="en-GB"/>
        </w:rPr>
        <w:t xml:space="preserve">to be adopted when </w:t>
      </w:r>
      <w:r w:rsidR="00222E07" w:rsidRPr="007B0231">
        <w:rPr>
          <w:rFonts w:ascii="Arial" w:hAnsi="Arial" w:cs="Arial"/>
          <w:sz w:val="24"/>
          <w:szCs w:val="24"/>
          <w:lang w:val="en-GB"/>
        </w:rPr>
        <w:t xml:space="preserve">assessing </w:t>
      </w:r>
      <w:r w:rsidR="000A1F14" w:rsidRPr="007B0231">
        <w:rPr>
          <w:rFonts w:ascii="Arial" w:hAnsi="Arial" w:cs="Arial"/>
          <w:sz w:val="24"/>
          <w:szCs w:val="24"/>
          <w:lang w:val="en-GB"/>
        </w:rPr>
        <w:t xml:space="preserve">the </w:t>
      </w:r>
      <w:r w:rsidR="00222E07" w:rsidRPr="007B0231">
        <w:rPr>
          <w:rFonts w:ascii="Arial" w:hAnsi="Arial" w:cs="Arial"/>
          <w:sz w:val="24"/>
          <w:szCs w:val="24"/>
          <w:lang w:val="en-GB"/>
        </w:rPr>
        <w:t>unreasonable</w:t>
      </w:r>
      <w:r w:rsidR="000A1F14" w:rsidRPr="007B0231">
        <w:rPr>
          <w:rFonts w:ascii="Arial" w:hAnsi="Arial" w:cs="Arial"/>
          <w:sz w:val="24"/>
          <w:szCs w:val="24"/>
          <w:lang w:val="en-GB"/>
        </w:rPr>
        <w:t>ness of a delay</w:t>
      </w:r>
      <w:r w:rsidR="008622F4" w:rsidRPr="007B0231">
        <w:rPr>
          <w:rFonts w:ascii="Arial" w:hAnsi="Arial" w:cs="Arial"/>
          <w:sz w:val="24"/>
          <w:szCs w:val="24"/>
          <w:lang w:val="en-GB"/>
        </w:rPr>
        <w:t>.</w:t>
      </w:r>
      <w:r w:rsidR="000A13E7">
        <w:rPr>
          <w:rStyle w:val="FootnoteReference"/>
          <w:rFonts w:ascii="Arial" w:hAnsi="Arial" w:cs="Arial"/>
          <w:sz w:val="24"/>
          <w:szCs w:val="24"/>
          <w:lang w:val="en-GB"/>
        </w:rPr>
        <w:footnoteReference w:id="30"/>
      </w:r>
    </w:p>
    <w:p w14:paraId="6F3D72E3" w14:textId="5393CA75" w:rsidR="00775021" w:rsidRPr="00775021" w:rsidRDefault="00765865" w:rsidP="0030569B">
      <w:pPr>
        <w:spacing w:line="360" w:lineRule="auto"/>
        <w:ind w:left="720"/>
        <w:jc w:val="both"/>
        <w:rPr>
          <w:rFonts w:ascii="Arial" w:hAnsi="Arial" w:cs="Arial"/>
          <w:lang w:val="en-GB"/>
        </w:rPr>
      </w:pPr>
      <w:r w:rsidRPr="008A282A">
        <w:rPr>
          <w:rFonts w:ascii="Arial" w:hAnsi="Arial" w:cs="Arial"/>
          <w:lang w:val="en-GB"/>
        </w:rPr>
        <w:t>…</w:t>
      </w:r>
      <w:r w:rsidR="00775021" w:rsidRPr="00775021">
        <w:rPr>
          <w:rFonts w:ascii="Arial" w:hAnsi="Arial" w:cs="Arial"/>
          <w:lang w:val="en-GB"/>
        </w:rPr>
        <w:t>Whether there has been undue delay entails a factual enquiry upon which a value judgment is called for in the light of all the relevant circumstances including any explanation that is offered for the delay (</w:t>
      </w:r>
      <w:r w:rsidR="00775021" w:rsidRPr="00775021">
        <w:rPr>
          <w:rFonts w:ascii="Arial" w:hAnsi="Arial" w:cs="Arial"/>
          <w:i/>
          <w:iCs/>
          <w:lang w:val="en-GB"/>
        </w:rPr>
        <w:t>Setsokosane Busdiens (Edms) Bpk v Voorsitter, Nasionale Vervoerkommissie, en ‘n Ander</w:t>
      </w:r>
      <w:r w:rsidR="003B4D08">
        <w:rPr>
          <w:rFonts w:ascii="Arial" w:hAnsi="Arial" w:cs="Arial"/>
          <w:lang w:val="en-GB"/>
        </w:rPr>
        <w:t>…</w:t>
      </w:r>
      <w:r w:rsidR="00824D99">
        <w:rPr>
          <w:rFonts w:ascii="Arial" w:hAnsi="Arial" w:cs="Arial"/>
          <w:lang w:val="en-GB"/>
        </w:rPr>
        <w:t>).</w:t>
      </w:r>
      <w:r w:rsidR="00C31D80">
        <w:rPr>
          <w:rStyle w:val="FootnoteReference"/>
          <w:rFonts w:ascii="Arial" w:hAnsi="Arial" w:cs="Arial"/>
          <w:lang w:val="en-GB"/>
        </w:rPr>
        <w:footnoteReference w:id="31"/>
      </w:r>
    </w:p>
    <w:p w14:paraId="236D7137" w14:textId="77777777" w:rsidR="00775021" w:rsidRPr="00775021" w:rsidRDefault="00775021" w:rsidP="00775021">
      <w:pPr>
        <w:spacing w:line="360" w:lineRule="auto"/>
        <w:rPr>
          <w:rFonts w:ascii="Arial" w:hAnsi="Arial" w:cs="Arial"/>
          <w:sz w:val="24"/>
          <w:szCs w:val="24"/>
          <w:lang w:val="en-GB"/>
        </w:rPr>
      </w:pPr>
    </w:p>
    <w:p w14:paraId="5DFA9782" w14:textId="595576C3"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lastRenderedPageBreak/>
        <w:t>[51]</w:t>
      </w:r>
      <w:r>
        <w:rPr>
          <w:rFonts w:ascii="Arial" w:hAnsi="Arial" w:cs="Arial"/>
          <w:sz w:val="24"/>
          <w:szCs w:val="24"/>
          <w:lang w:val="en-GB"/>
        </w:rPr>
        <w:tab/>
      </w:r>
      <w:r w:rsidR="00925858" w:rsidRPr="007B0231">
        <w:rPr>
          <w:rFonts w:ascii="Arial" w:hAnsi="Arial" w:cs="Arial"/>
          <w:sz w:val="24"/>
          <w:szCs w:val="24"/>
          <w:lang w:val="en-GB"/>
        </w:rPr>
        <w:t xml:space="preserve">A court is required to </w:t>
      </w:r>
      <w:r w:rsidR="00BE0975" w:rsidRPr="007B0231">
        <w:rPr>
          <w:rFonts w:ascii="Arial" w:hAnsi="Arial" w:cs="Arial"/>
          <w:sz w:val="24"/>
          <w:szCs w:val="24"/>
          <w:lang w:val="en-GB"/>
        </w:rPr>
        <w:t>embark upon a wide enquiry, taking all relevant facts into consideration. It must</w:t>
      </w:r>
      <w:r w:rsidR="005E2D7A" w:rsidRPr="007B0231">
        <w:rPr>
          <w:rFonts w:ascii="Arial" w:hAnsi="Arial" w:cs="Arial"/>
          <w:sz w:val="24"/>
          <w:szCs w:val="24"/>
          <w:lang w:val="en-GB"/>
        </w:rPr>
        <w:t>,</w:t>
      </w:r>
      <w:r w:rsidR="00BE0975" w:rsidRPr="007B0231">
        <w:rPr>
          <w:rFonts w:ascii="Arial" w:hAnsi="Arial" w:cs="Arial"/>
          <w:sz w:val="24"/>
          <w:szCs w:val="24"/>
          <w:lang w:val="en-GB"/>
        </w:rPr>
        <w:t xml:space="preserve"> the</w:t>
      </w:r>
      <w:r w:rsidR="005E2D7A" w:rsidRPr="007B0231">
        <w:rPr>
          <w:rFonts w:ascii="Arial" w:hAnsi="Arial" w:cs="Arial"/>
          <w:sz w:val="24"/>
          <w:szCs w:val="24"/>
          <w:lang w:val="en-GB"/>
        </w:rPr>
        <w:t>reafter,</w:t>
      </w:r>
      <w:r w:rsidR="00BE0975" w:rsidRPr="007B0231">
        <w:rPr>
          <w:rFonts w:ascii="Arial" w:hAnsi="Arial" w:cs="Arial"/>
          <w:sz w:val="24"/>
          <w:szCs w:val="24"/>
          <w:lang w:val="en-GB"/>
        </w:rPr>
        <w:t xml:space="preserve"> </w:t>
      </w:r>
      <w:r w:rsidR="00BB3A53" w:rsidRPr="007B0231">
        <w:rPr>
          <w:rFonts w:ascii="Arial" w:hAnsi="Arial" w:cs="Arial"/>
          <w:sz w:val="24"/>
          <w:szCs w:val="24"/>
          <w:lang w:val="en-GB"/>
        </w:rPr>
        <w:t xml:space="preserve">assess whether the </w:t>
      </w:r>
      <w:r w:rsidR="00E33D7F" w:rsidRPr="007B0231">
        <w:rPr>
          <w:rFonts w:ascii="Arial" w:hAnsi="Arial" w:cs="Arial"/>
          <w:sz w:val="24"/>
          <w:szCs w:val="24"/>
          <w:lang w:val="en-GB"/>
        </w:rPr>
        <w:t>delay is good or bad</w:t>
      </w:r>
      <w:r w:rsidR="00437143" w:rsidRPr="007B0231">
        <w:rPr>
          <w:rFonts w:ascii="Arial" w:hAnsi="Arial" w:cs="Arial"/>
          <w:sz w:val="24"/>
          <w:szCs w:val="24"/>
          <w:lang w:val="en-GB"/>
        </w:rPr>
        <w:t xml:space="preserve"> in terms of </w:t>
      </w:r>
      <w:r w:rsidR="00D33D8D" w:rsidRPr="007B0231">
        <w:rPr>
          <w:rFonts w:ascii="Arial" w:hAnsi="Arial" w:cs="Arial"/>
          <w:sz w:val="24"/>
          <w:szCs w:val="24"/>
          <w:lang w:val="en-GB"/>
        </w:rPr>
        <w:t xml:space="preserve">the </w:t>
      </w:r>
      <w:r w:rsidR="005C2518" w:rsidRPr="007B0231">
        <w:rPr>
          <w:rFonts w:ascii="Arial" w:hAnsi="Arial" w:cs="Arial"/>
          <w:sz w:val="24"/>
          <w:szCs w:val="24"/>
          <w:lang w:val="en-GB"/>
        </w:rPr>
        <w:t xml:space="preserve">standards or priorities attached to </w:t>
      </w:r>
      <w:r w:rsidR="00EB1BB7" w:rsidRPr="007B0231">
        <w:rPr>
          <w:rFonts w:ascii="Arial" w:hAnsi="Arial" w:cs="Arial"/>
          <w:sz w:val="24"/>
          <w:szCs w:val="24"/>
          <w:lang w:val="en-GB"/>
        </w:rPr>
        <w:t xml:space="preserve">a determination of </w:t>
      </w:r>
      <w:r w:rsidR="005C2518" w:rsidRPr="007B0231">
        <w:rPr>
          <w:rFonts w:ascii="Arial" w:hAnsi="Arial" w:cs="Arial"/>
          <w:sz w:val="24"/>
          <w:szCs w:val="24"/>
          <w:lang w:val="en-GB"/>
        </w:rPr>
        <w:t>what would be in the interests of justice.</w:t>
      </w:r>
    </w:p>
    <w:p w14:paraId="37BEA14E" w14:textId="77777777" w:rsidR="0030569B" w:rsidRDefault="0030569B" w:rsidP="0030569B">
      <w:pPr>
        <w:pStyle w:val="ListParagraph"/>
        <w:spacing w:line="360" w:lineRule="auto"/>
        <w:ind w:left="0"/>
        <w:jc w:val="both"/>
        <w:rPr>
          <w:rFonts w:ascii="Arial" w:hAnsi="Arial" w:cs="Arial"/>
          <w:sz w:val="24"/>
          <w:szCs w:val="24"/>
          <w:lang w:val="en-GB"/>
        </w:rPr>
      </w:pPr>
    </w:p>
    <w:p w14:paraId="4EDB8BD3" w14:textId="1D13231A" w:rsidR="00727AEE"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[52]</w:t>
      </w:r>
      <w:r w:rsidRPr="0030569B">
        <w:rPr>
          <w:rFonts w:ascii="Arial" w:hAnsi="Arial" w:cs="Arial"/>
          <w:sz w:val="24"/>
          <w:szCs w:val="24"/>
          <w:lang w:val="en-GB"/>
        </w:rPr>
        <w:tab/>
      </w:r>
      <w:r w:rsidR="00936A2F" w:rsidRPr="007B0231">
        <w:rPr>
          <w:rFonts w:ascii="Arial" w:hAnsi="Arial" w:cs="Arial"/>
          <w:sz w:val="24"/>
          <w:szCs w:val="24"/>
          <w:lang w:val="en-GB"/>
        </w:rPr>
        <w:t xml:space="preserve">A few years after </w:t>
      </w:r>
      <w:r w:rsidR="00936A2F" w:rsidRPr="007B0231">
        <w:rPr>
          <w:rFonts w:ascii="Arial" w:hAnsi="Arial" w:cs="Arial"/>
          <w:i/>
          <w:iCs/>
          <w:sz w:val="24"/>
          <w:szCs w:val="24"/>
          <w:lang w:val="en-GB"/>
        </w:rPr>
        <w:t>Gqwetha</w:t>
      </w:r>
      <w:r w:rsidR="00936A2F" w:rsidRPr="007B0231">
        <w:rPr>
          <w:rFonts w:ascii="Arial" w:hAnsi="Arial" w:cs="Arial"/>
          <w:sz w:val="24"/>
          <w:szCs w:val="24"/>
          <w:lang w:val="en-GB"/>
        </w:rPr>
        <w:t>, t</w:t>
      </w:r>
      <w:r w:rsidR="00F20DDF" w:rsidRPr="007B0231">
        <w:rPr>
          <w:rFonts w:ascii="Arial" w:hAnsi="Arial" w:cs="Arial"/>
          <w:sz w:val="24"/>
          <w:szCs w:val="24"/>
          <w:lang w:val="en-GB"/>
        </w:rPr>
        <w:t xml:space="preserve">he Supreme Court of Appeal addressed </w:t>
      </w:r>
      <w:r w:rsidR="00727AEE" w:rsidRPr="007B0231">
        <w:rPr>
          <w:rFonts w:ascii="Arial" w:hAnsi="Arial" w:cs="Arial"/>
          <w:sz w:val="24"/>
          <w:szCs w:val="24"/>
          <w:lang w:val="en-GB"/>
        </w:rPr>
        <w:t xml:space="preserve">the subject </w:t>
      </w:r>
      <w:r w:rsidR="008F2C2D" w:rsidRPr="007B0231">
        <w:rPr>
          <w:rFonts w:ascii="Arial" w:hAnsi="Arial" w:cs="Arial"/>
          <w:sz w:val="24"/>
          <w:szCs w:val="24"/>
          <w:lang w:val="en-GB"/>
        </w:rPr>
        <w:t>within the context of section 7(1) of PAJA</w:t>
      </w:r>
      <w:r w:rsidR="00727AEE" w:rsidRPr="007B0231">
        <w:rPr>
          <w:rFonts w:ascii="Arial" w:hAnsi="Arial" w:cs="Arial"/>
          <w:sz w:val="24"/>
          <w:szCs w:val="24"/>
          <w:lang w:val="en-GB"/>
        </w:rPr>
        <w:t xml:space="preserve"> in </w:t>
      </w:r>
      <w:r w:rsidR="00F439FD" w:rsidRPr="007B0231">
        <w:rPr>
          <w:rFonts w:ascii="Arial" w:hAnsi="Arial" w:cs="Arial"/>
          <w:i/>
          <w:iCs/>
          <w:sz w:val="24"/>
          <w:szCs w:val="24"/>
          <w:lang w:val="en-GB"/>
        </w:rPr>
        <w:t>Camps Bay Ratepayers</w:t>
      </w:r>
      <w:r w:rsidR="0031164B" w:rsidRPr="007B0231">
        <w:rPr>
          <w:rFonts w:ascii="Arial" w:hAnsi="Arial" w:cs="Arial"/>
          <w:i/>
          <w:iCs/>
          <w:sz w:val="24"/>
          <w:szCs w:val="24"/>
          <w:lang w:val="en-GB"/>
        </w:rPr>
        <w:t>’</w:t>
      </w:r>
      <w:r w:rsidR="00F439FD" w:rsidRPr="007B0231">
        <w:rPr>
          <w:rFonts w:ascii="Arial" w:hAnsi="Arial" w:cs="Arial"/>
          <w:i/>
          <w:iCs/>
          <w:sz w:val="24"/>
          <w:szCs w:val="24"/>
          <w:lang w:val="en-GB"/>
        </w:rPr>
        <w:t xml:space="preserve"> and Residents</w:t>
      </w:r>
      <w:r w:rsidR="0031164B" w:rsidRPr="007B0231">
        <w:rPr>
          <w:rFonts w:ascii="Arial" w:hAnsi="Arial" w:cs="Arial"/>
          <w:i/>
          <w:iCs/>
          <w:sz w:val="24"/>
          <w:szCs w:val="24"/>
          <w:lang w:val="en-GB"/>
        </w:rPr>
        <w:t>’</w:t>
      </w:r>
      <w:r w:rsidR="00F439FD" w:rsidRPr="007B0231">
        <w:rPr>
          <w:rFonts w:ascii="Arial" w:hAnsi="Arial" w:cs="Arial"/>
          <w:i/>
          <w:iCs/>
          <w:sz w:val="24"/>
          <w:szCs w:val="24"/>
          <w:lang w:val="en-GB"/>
        </w:rPr>
        <w:t xml:space="preserve"> Association</w:t>
      </w:r>
      <w:r w:rsidR="0031164B" w:rsidRPr="007B0231">
        <w:rPr>
          <w:rFonts w:ascii="Arial" w:hAnsi="Arial" w:cs="Arial"/>
          <w:i/>
          <w:iCs/>
          <w:sz w:val="24"/>
          <w:szCs w:val="24"/>
          <w:lang w:val="en-GB"/>
        </w:rPr>
        <w:t xml:space="preserve"> v Harrison</w:t>
      </w:r>
      <w:r w:rsidR="00D3739C" w:rsidRPr="007B0231">
        <w:rPr>
          <w:rFonts w:ascii="Arial" w:hAnsi="Arial" w:cs="Arial"/>
          <w:sz w:val="24"/>
          <w:szCs w:val="24"/>
          <w:lang w:val="en-GB"/>
        </w:rPr>
        <w:t>.</w:t>
      </w:r>
      <w:r w:rsidR="00244E0D">
        <w:rPr>
          <w:rStyle w:val="FootnoteReference"/>
          <w:rFonts w:ascii="Arial" w:hAnsi="Arial" w:cs="Arial"/>
          <w:sz w:val="24"/>
          <w:szCs w:val="24"/>
          <w:lang w:val="en-GB"/>
        </w:rPr>
        <w:footnoteReference w:id="32"/>
      </w:r>
      <w:r w:rsidR="00D2414B" w:rsidRPr="007B0231">
        <w:rPr>
          <w:rFonts w:ascii="Arial" w:hAnsi="Arial" w:cs="Arial"/>
          <w:sz w:val="24"/>
          <w:szCs w:val="24"/>
          <w:lang w:val="en-GB"/>
        </w:rPr>
        <w:t xml:space="preserve"> </w:t>
      </w:r>
      <w:r w:rsidR="00E9289F" w:rsidRPr="007B0231">
        <w:rPr>
          <w:rFonts w:ascii="Arial" w:hAnsi="Arial" w:cs="Arial"/>
          <w:sz w:val="24"/>
          <w:szCs w:val="24"/>
          <w:lang w:val="en-GB"/>
        </w:rPr>
        <w:t>To that effect</w:t>
      </w:r>
      <w:r w:rsidR="00D3739C" w:rsidRPr="007B0231">
        <w:rPr>
          <w:rFonts w:ascii="Arial" w:hAnsi="Arial" w:cs="Arial"/>
          <w:sz w:val="24"/>
          <w:szCs w:val="24"/>
          <w:lang w:val="en-GB"/>
        </w:rPr>
        <w:t xml:space="preserve">, </w:t>
      </w:r>
      <w:r w:rsidR="00D2414B" w:rsidRPr="007B0231">
        <w:rPr>
          <w:rFonts w:ascii="Arial" w:hAnsi="Arial" w:cs="Arial"/>
          <w:sz w:val="24"/>
          <w:szCs w:val="24"/>
          <w:lang w:val="en-GB"/>
        </w:rPr>
        <w:t xml:space="preserve">Maya </w:t>
      </w:r>
      <w:r w:rsidR="003134D2" w:rsidRPr="007B0231">
        <w:rPr>
          <w:rFonts w:ascii="Arial" w:hAnsi="Arial" w:cs="Arial"/>
          <w:sz w:val="24"/>
          <w:szCs w:val="24"/>
          <w:lang w:val="en-GB"/>
        </w:rPr>
        <w:t>J</w:t>
      </w:r>
      <w:r w:rsidR="00D2414B" w:rsidRPr="007B0231">
        <w:rPr>
          <w:rFonts w:ascii="Arial" w:hAnsi="Arial" w:cs="Arial"/>
          <w:sz w:val="24"/>
          <w:szCs w:val="24"/>
          <w:lang w:val="en-GB"/>
        </w:rPr>
        <w:t>A</w:t>
      </w:r>
      <w:r w:rsidR="00987EA1" w:rsidRPr="007B0231">
        <w:rPr>
          <w:rFonts w:ascii="Arial" w:hAnsi="Arial" w:cs="Arial"/>
          <w:sz w:val="24"/>
          <w:szCs w:val="24"/>
          <w:lang w:val="en-GB"/>
        </w:rPr>
        <w:t xml:space="preserve"> </w:t>
      </w:r>
      <w:r w:rsidR="002A63E4" w:rsidRPr="007B0231">
        <w:rPr>
          <w:rFonts w:ascii="Arial" w:hAnsi="Arial" w:cs="Arial"/>
          <w:sz w:val="24"/>
          <w:szCs w:val="24"/>
          <w:lang w:val="en-GB"/>
        </w:rPr>
        <w:t>re</w:t>
      </w:r>
      <w:r w:rsidR="001140C2" w:rsidRPr="007B0231">
        <w:rPr>
          <w:rFonts w:ascii="Arial" w:hAnsi="Arial" w:cs="Arial"/>
          <w:sz w:val="24"/>
          <w:szCs w:val="24"/>
          <w:lang w:val="en-GB"/>
        </w:rPr>
        <w:t>iterat</w:t>
      </w:r>
      <w:r w:rsidR="002A63E4" w:rsidRPr="007B0231">
        <w:rPr>
          <w:rFonts w:ascii="Arial" w:hAnsi="Arial" w:cs="Arial"/>
          <w:sz w:val="24"/>
          <w:szCs w:val="24"/>
          <w:lang w:val="en-GB"/>
        </w:rPr>
        <w:t xml:space="preserve">ed that section 9(2) allows </w:t>
      </w:r>
      <w:r w:rsidR="00AE5817" w:rsidRPr="007B0231">
        <w:rPr>
          <w:rFonts w:ascii="Arial" w:hAnsi="Arial" w:cs="Arial"/>
          <w:sz w:val="24"/>
          <w:szCs w:val="24"/>
          <w:lang w:val="en-GB"/>
        </w:rPr>
        <w:t xml:space="preserve">the </w:t>
      </w:r>
      <w:r w:rsidR="002A63E4" w:rsidRPr="007B0231">
        <w:rPr>
          <w:rFonts w:ascii="Arial" w:hAnsi="Arial" w:cs="Arial"/>
          <w:sz w:val="24"/>
          <w:szCs w:val="24"/>
          <w:lang w:val="en-GB"/>
        </w:rPr>
        <w:t>exten</w:t>
      </w:r>
      <w:r w:rsidR="00AE5817" w:rsidRPr="007B0231">
        <w:rPr>
          <w:rFonts w:ascii="Arial" w:hAnsi="Arial" w:cs="Arial"/>
          <w:sz w:val="24"/>
          <w:szCs w:val="24"/>
          <w:lang w:val="en-GB"/>
        </w:rPr>
        <w:t>sion</w:t>
      </w:r>
      <w:r w:rsidR="002A63E4" w:rsidRPr="007B0231">
        <w:rPr>
          <w:rFonts w:ascii="Arial" w:hAnsi="Arial" w:cs="Arial"/>
          <w:sz w:val="24"/>
          <w:szCs w:val="24"/>
          <w:lang w:val="en-GB"/>
        </w:rPr>
        <w:t xml:space="preserve"> the </w:t>
      </w:r>
      <w:r w:rsidR="00B366A9" w:rsidRPr="007B0231">
        <w:rPr>
          <w:rFonts w:ascii="Arial" w:hAnsi="Arial" w:cs="Arial"/>
          <w:sz w:val="24"/>
          <w:szCs w:val="24"/>
          <w:lang w:val="en-GB"/>
        </w:rPr>
        <w:t>180-day period where the interests of justice so require</w:t>
      </w:r>
      <w:r w:rsidR="00B272E7" w:rsidRPr="007B0231">
        <w:rPr>
          <w:rFonts w:ascii="Arial" w:hAnsi="Arial" w:cs="Arial"/>
          <w:sz w:val="24"/>
          <w:szCs w:val="24"/>
          <w:lang w:val="en-GB"/>
        </w:rPr>
        <w:t>,</w:t>
      </w:r>
      <w:r w:rsidR="00774D21" w:rsidRPr="007B0231">
        <w:rPr>
          <w:rFonts w:ascii="Arial" w:hAnsi="Arial" w:cs="Arial"/>
          <w:sz w:val="24"/>
          <w:szCs w:val="24"/>
          <w:lang w:val="en-GB"/>
        </w:rPr>
        <w:t xml:space="preserve"> and </w:t>
      </w:r>
      <w:r w:rsidR="004F3748" w:rsidRPr="007B0231">
        <w:rPr>
          <w:rFonts w:ascii="Arial" w:hAnsi="Arial" w:cs="Arial"/>
          <w:sz w:val="24"/>
          <w:szCs w:val="24"/>
          <w:lang w:val="en-GB"/>
        </w:rPr>
        <w:t xml:space="preserve">provided a useful </w:t>
      </w:r>
      <w:r w:rsidR="00914FEE" w:rsidRPr="007B0231">
        <w:rPr>
          <w:rFonts w:ascii="Arial" w:hAnsi="Arial" w:cs="Arial"/>
          <w:sz w:val="24"/>
          <w:szCs w:val="24"/>
          <w:lang w:val="en-GB"/>
        </w:rPr>
        <w:t>indicat</w:t>
      </w:r>
      <w:r w:rsidR="001B13AD" w:rsidRPr="007B0231">
        <w:rPr>
          <w:rFonts w:ascii="Arial" w:hAnsi="Arial" w:cs="Arial"/>
          <w:sz w:val="24"/>
          <w:szCs w:val="24"/>
          <w:lang w:val="en-GB"/>
        </w:rPr>
        <w:t>ion of</w:t>
      </w:r>
      <w:r w:rsidR="00914FEE" w:rsidRPr="007B0231">
        <w:rPr>
          <w:rFonts w:ascii="Arial" w:hAnsi="Arial" w:cs="Arial"/>
          <w:sz w:val="24"/>
          <w:szCs w:val="24"/>
          <w:lang w:val="en-GB"/>
        </w:rPr>
        <w:t xml:space="preserve"> what </w:t>
      </w:r>
      <w:r w:rsidR="00B272E7" w:rsidRPr="007B0231">
        <w:rPr>
          <w:rFonts w:ascii="Arial" w:hAnsi="Arial" w:cs="Arial"/>
          <w:sz w:val="24"/>
          <w:szCs w:val="24"/>
          <w:lang w:val="en-GB"/>
        </w:rPr>
        <w:t xml:space="preserve">would comprise </w:t>
      </w:r>
      <w:r w:rsidR="00120F0B" w:rsidRPr="007B0231">
        <w:rPr>
          <w:rFonts w:ascii="Arial" w:hAnsi="Arial" w:cs="Arial"/>
          <w:sz w:val="24"/>
          <w:szCs w:val="24"/>
          <w:lang w:val="en-GB"/>
        </w:rPr>
        <w:t xml:space="preserve">the </w:t>
      </w:r>
      <w:r w:rsidR="00B272E7" w:rsidRPr="007B0231">
        <w:rPr>
          <w:rFonts w:ascii="Arial" w:hAnsi="Arial" w:cs="Arial"/>
          <w:sz w:val="24"/>
          <w:szCs w:val="24"/>
          <w:lang w:val="en-GB"/>
        </w:rPr>
        <w:t>relevant circumstances</w:t>
      </w:r>
      <w:r w:rsidR="001B13AD" w:rsidRPr="007B0231">
        <w:rPr>
          <w:rFonts w:ascii="Arial" w:hAnsi="Arial" w:cs="Arial"/>
          <w:sz w:val="24"/>
          <w:szCs w:val="24"/>
          <w:lang w:val="en-GB"/>
        </w:rPr>
        <w:t xml:space="preserve"> in making </w:t>
      </w:r>
      <w:r w:rsidR="00120F0B" w:rsidRPr="007B0231">
        <w:rPr>
          <w:rFonts w:ascii="Arial" w:hAnsi="Arial" w:cs="Arial"/>
          <w:sz w:val="24"/>
          <w:szCs w:val="24"/>
          <w:lang w:val="en-GB"/>
        </w:rPr>
        <w:t>such a determination</w:t>
      </w:r>
      <w:r w:rsidR="00AE5817" w:rsidRPr="007B0231">
        <w:rPr>
          <w:rFonts w:ascii="Arial" w:hAnsi="Arial" w:cs="Arial"/>
          <w:sz w:val="24"/>
          <w:szCs w:val="24"/>
          <w:lang w:val="en-GB"/>
        </w:rPr>
        <w:t xml:space="preserve">. </w:t>
      </w:r>
      <w:r w:rsidR="00D94928" w:rsidRPr="007B0231">
        <w:rPr>
          <w:rFonts w:ascii="Arial" w:hAnsi="Arial" w:cs="Arial"/>
          <w:sz w:val="24"/>
          <w:szCs w:val="24"/>
          <w:lang w:val="en-GB"/>
        </w:rPr>
        <w:t>She held that:</w:t>
      </w:r>
    </w:p>
    <w:p w14:paraId="1BEB1789" w14:textId="04F1C0F8" w:rsidR="00D94928" w:rsidRPr="00537098" w:rsidRDefault="00D94928" w:rsidP="0030569B">
      <w:pPr>
        <w:spacing w:line="360" w:lineRule="auto"/>
        <w:ind w:left="720"/>
        <w:jc w:val="both"/>
        <w:rPr>
          <w:rFonts w:ascii="Arial" w:hAnsi="Arial" w:cs="Arial"/>
          <w:lang w:val="en-GB"/>
        </w:rPr>
      </w:pPr>
      <w:r w:rsidRPr="00537098">
        <w:rPr>
          <w:rFonts w:ascii="Arial" w:hAnsi="Arial" w:cs="Arial"/>
          <w:lang w:val="en-GB"/>
        </w:rPr>
        <w:t>‘</w:t>
      </w:r>
      <w:r w:rsidR="00D82C21" w:rsidRPr="00537098">
        <w:rPr>
          <w:rFonts w:ascii="Arial" w:hAnsi="Arial" w:cs="Arial"/>
          <w:lang w:val="en-GB"/>
        </w:rPr>
        <w:t xml:space="preserve">…the question whether the interests of justice require the grant of such extension </w:t>
      </w:r>
      <w:r w:rsidR="004C5019" w:rsidRPr="00537098">
        <w:rPr>
          <w:rFonts w:ascii="Arial" w:hAnsi="Arial" w:cs="Arial"/>
          <w:lang w:val="en-GB"/>
        </w:rPr>
        <w:t>depends on the facts and circumstances of each case</w:t>
      </w:r>
      <w:r w:rsidR="00B75F48" w:rsidRPr="00537098">
        <w:rPr>
          <w:rFonts w:ascii="Arial" w:hAnsi="Arial" w:cs="Arial"/>
          <w:lang w:val="en-GB"/>
        </w:rPr>
        <w:t xml:space="preserve">: the party seeking it must furnish a full and reasonable explanation </w:t>
      </w:r>
      <w:r w:rsidR="00F028FB" w:rsidRPr="00537098">
        <w:rPr>
          <w:rFonts w:ascii="Arial" w:hAnsi="Arial" w:cs="Arial"/>
          <w:lang w:val="en-GB"/>
        </w:rPr>
        <w:t xml:space="preserve">for the delay which covers the entire duration thereof and relevant factors </w:t>
      </w:r>
      <w:r w:rsidR="00A011CD" w:rsidRPr="00537098">
        <w:rPr>
          <w:rFonts w:ascii="Arial" w:hAnsi="Arial" w:cs="Arial"/>
          <w:lang w:val="en-GB"/>
        </w:rPr>
        <w:t>include the nature of the relief sought, the extent and cause of the delay</w:t>
      </w:r>
      <w:r w:rsidR="002C529F" w:rsidRPr="00537098">
        <w:rPr>
          <w:rFonts w:ascii="Arial" w:hAnsi="Arial" w:cs="Arial"/>
          <w:lang w:val="en-GB"/>
        </w:rPr>
        <w:t>, its effect on the administration of justice and other litigants</w:t>
      </w:r>
      <w:r w:rsidR="000322F4" w:rsidRPr="00537098">
        <w:rPr>
          <w:rFonts w:ascii="Arial" w:hAnsi="Arial" w:cs="Arial"/>
          <w:lang w:val="en-GB"/>
        </w:rPr>
        <w:t>, the importance of the issue to be raised in the intended proceedings and the prospects of success.’</w:t>
      </w:r>
      <w:r w:rsidR="00537098" w:rsidRPr="00537098">
        <w:rPr>
          <w:rStyle w:val="FootnoteReference"/>
          <w:rFonts w:ascii="Arial" w:hAnsi="Arial" w:cs="Arial"/>
          <w:lang w:val="en-GB"/>
        </w:rPr>
        <w:footnoteReference w:id="33"/>
      </w:r>
    </w:p>
    <w:p w14:paraId="012A69DE" w14:textId="77777777" w:rsidR="00537098" w:rsidRDefault="00537098" w:rsidP="00775021">
      <w:pPr>
        <w:spacing w:line="360" w:lineRule="auto"/>
        <w:rPr>
          <w:rFonts w:ascii="Arial" w:hAnsi="Arial" w:cs="Arial"/>
          <w:sz w:val="24"/>
          <w:szCs w:val="24"/>
          <w:lang w:val="en-GB"/>
        </w:rPr>
      </w:pPr>
    </w:p>
    <w:p w14:paraId="48CD8AD3" w14:textId="42354FC3" w:rsidR="006D0508"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[53]</w:t>
      </w:r>
      <w:r w:rsidRPr="0030569B">
        <w:rPr>
          <w:rFonts w:ascii="Arial" w:hAnsi="Arial" w:cs="Arial"/>
          <w:sz w:val="24"/>
          <w:szCs w:val="24"/>
          <w:lang w:val="en-GB"/>
        </w:rPr>
        <w:tab/>
      </w:r>
      <w:r w:rsidR="00DB2E09" w:rsidRPr="007B0231">
        <w:rPr>
          <w:rFonts w:ascii="Arial" w:hAnsi="Arial" w:cs="Arial"/>
          <w:sz w:val="24"/>
          <w:szCs w:val="24"/>
          <w:lang w:val="en-GB"/>
        </w:rPr>
        <w:t xml:space="preserve">Following </w:t>
      </w:r>
      <w:r w:rsidR="008777DD" w:rsidRPr="007B0231">
        <w:rPr>
          <w:rFonts w:ascii="Arial" w:hAnsi="Arial" w:cs="Arial"/>
          <w:sz w:val="24"/>
          <w:szCs w:val="24"/>
          <w:lang w:val="en-GB"/>
        </w:rPr>
        <w:t xml:space="preserve">the decision in </w:t>
      </w:r>
      <w:r w:rsidR="008777DD" w:rsidRPr="007B0231">
        <w:rPr>
          <w:rFonts w:ascii="Arial" w:hAnsi="Arial" w:cs="Arial"/>
          <w:i/>
          <w:iCs/>
          <w:sz w:val="24"/>
          <w:szCs w:val="24"/>
          <w:lang w:val="en-GB"/>
        </w:rPr>
        <w:t>Camps Bay Ratepayers</w:t>
      </w:r>
      <w:r w:rsidR="008777DD" w:rsidRPr="007B0231">
        <w:rPr>
          <w:rFonts w:ascii="Arial" w:hAnsi="Arial" w:cs="Arial"/>
          <w:sz w:val="24"/>
          <w:szCs w:val="24"/>
          <w:lang w:val="en-GB"/>
        </w:rPr>
        <w:t xml:space="preserve">, </w:t>
      </w:r>
      <w:r w:rsidR="001639DC" w:rsidRPr="007B0231">
        <w:rPr>
          <w:rFonts w:ascii="Arial" w:hAnsi="Arial" w:cs="Arial"/>
          <w:sz w:val="24"/>
          <w:szCs w:val="24"/>
          <w:lang w:val="en-GB"/>
        </w:rPr>
        <w:t>t</w:t>
      </w:r>
      <w:r w:rsidR="009F3B73" w:rsidRPr="007B0231">
        <w:rPr>
          <w:rFonts w:ascii="Arial" w:hAnsi="Arial" w:cs="Arial"/>
          <w:sz w:val="24"/>
          <w:szCs w:val="24"/>
          <w:lang w:val="en-GB"/>
        </w:rPr>
        <w:t xml:space="preserve">he question of </w:t>
      </w:r>
      <w:r w:rsidR="0056387B" w:rsidRPr="007B0231">
        <w:rPr>
          <w:rFonts w:ascii="Arial" w:hAnsi="Arial" w:cs="Arial"/>
          <w:sz w:val="24"/>
          <w:szCs w:val="24"/>
          <w:lang w:val="en-GB"/>
        </w:rPr>
        <w:t>what an unreasonable delay entails</w:t>
      </w:r>
      <w:r w:rsidR="001967F2" w:rsidRPr="007B0231">
        <w:rPr>
          <w:rFonts w:ascii="Arial" w:hAnsi="Arial" w:cs="Arial"/>
          <w:sz w:val="24"/>
          <w:szCs w:val="24"/>
          <w:lang w:val="en-GB"/>
        </w:rPr>
        <w:t xml:space="preserve"> within the context of section 7(1) </w:t>
      </w:r>
      <w:r w:rsidR="001639DC" w:rsidRPr="007B0231">
        <w:rPr>
          <w:rFonts w:ascii="Arial" w:hAnsi="Arial" w:cs="Arial"/>
          <w:sz w:val="24"/>
          <w:szCs w:val="24"/>
          <w:lang w:val="en-GB"/>
        </w:rPr>
        <w:t>arose</w:t>
      </w:r>
      <w:r w:rsidR="001121A2" w:rsidRPr="007B0231">
        <w:rPr>
          <w:rFonts w:ascii="Arial" w:hAnsi="Arial" w:cs="Arial"/>
          <w:sz w:val="24"/>
          <w:szCs w:val="24"/>
          <w:lang w:val="en-GB"/>
        </w:rPr>
        <w:t xml:space="preserve"> once more in </w:t>
      </w:r>
      <w:r w:rsidR="00E70196" w:rsidRPr="007B0231">
        <w:rPr>
          <w:rFonts w:ascii="Arial" w:hAnsi="Arial" w:cs="Arial"/>
          <w:i/>
          <w:iCs/>
          <w:sz w:val="24"/>
          <w:szCs w:val="24"/>
          <w:lang w:val="en-GB"/>
        </w:rPr>
        <w:t xml:space="preserve">Opposition to </w:t>
      </w:r>
      <w:r w:rsidR="00DF10A3" w:rsidRPr="007B0231">
        <w:rPr>
          <w:rFonts w:ascii="Arial" w:hAnsi="Arial" w:cs="Arial"/>
          <w:i/>
          <w:iCs/>
          <w:sz w:val="24"/>
          <w:szCs w:val="24"/>
          <w:lang w:val="en-GB"/>
        </w:rPr>
        <w:t xml:space="preserve">Urban Tolling Alliance </w:t>
      </w:r>
      <w:r w:rsidR="00767822" w:rsidRPr="007B0231">
        <w:rPr>
          <w:rFonts w:ascii="Arial" w:hAnsi="Arial" w:cs="Arial"/>
          <w:i/>
          <w:iCs/>
          <w:sz w:val="24"/>
          <w:szCs w:val="24"/>
          <w:lang w:val="en-GB"/>
        </w:rPr>
        <w:t>v South African National Roads Agency Limited</w:t>
      </w:r>
      <w:r w:rsidR="001121A2" w:rsidRPr="007B0231">
        <w:rPr>
          <w:rFonts w:ascii="Arial" w:hAnsi="Arial" w:cs="Arial"/>
          <w:sz w:val="24"/>
          <w:szCs w:val="24"/>
          <w:lang w:val="en-GB"/>
        </w:rPr>
        <w:t>.</w:t>
      </w:r>
      <w:r w:rsidR="00091D55">
        <w:rPr>
          <w:rStyle w:val="FootnoteReference"/>
          <w:rFonts w:ascii="Arial" w:hAnsi="Arial" w:cs="Arial"/>
          <w:sz w:val="24"/>
          <w:szCs w:val="24"/>
          <w:lang w:val="en-GB"/>
        </w:rPr>
        <w:footnoteReference w:id="34"/>
      </w:r>
      <w:r w:rsidR="00091D55" w:rsidRPr="007B0231">
        <w:rPr>
          <w:rFonts w:ascii="Arial" w:hAnsi="Arial" w:cs="Arial"/>
          <w:sz w:val="24"/>
          <w:szCs w:val="24"/>
          <w:lang w:val="en-GB"/>
        </w:rPr>
        <w:t xml:space="preserve"> </w:t>
      </w:r>
      <w:r w:rsidR="001121A2" w:rsidRPr="007B0231">
        <w:rPr>
          <w:rFonts w:ascii="Arial" w:hAnsi="Arial" w:cs="Arial"/>
          <w:sz w:val="24"/>
          <w:szCs w:val="24"/>
          <w:lang w:val="en-GB"/>
        </w:rPr>
        <w:t xml:space="preserve">In </w:t>
      </w:r>
      <w:r w:rsidR="00BB7752" w:rsidRPr="007B0231">
        <w:rPr>
          <w:rFonts w:ascii="Arial" w:hAnsi="Arial" w:cs="Arial"/>
          <w:sz w:val="24"/>
          <w:szCs w:val="24"/>
          <w:lang w:val="en-GB"/>
        </w:rPr>
        <w:t xml:space="preserve">that matter, </w:t>
      </w:r>
      <w:r w:rsidR="00D26CD5" w:rsidRPr="007B0231">
        <w:rPr>
          <w:rFonts w:ascii="Arial" w:hAnsi="Arial" w:cs="Arial"/>
          <w:sz w:val="24"/>
          <w:szCs w:val="24"/>
          <w:lang w:val="en-GB"/>
        </w:rPr>
        <w:t xml:space="preserve">Brand JA </w:t>
      </w:r>
      <w:r w:rsidR="00706A2C" w:rsidRPr="007B0231">
        <w:rPr>
          <w:rFonts w:ascii="Arial" w:hAnsi="Arial" w:cs="Arial"/>
          <w:sz w:val="24"/>
          <w:szCs w:val="24"/>
          <w:lang w:val="en-GB"/>
        </w:rPr>
        <w:t>observed:</w:t>
      </w:r>
    </w:p>
    <w:p w14:paraId="7C35018F" w14:textId="37D87E6C" w:rsidR="00706A2C" w:rsidRPr="00A770E0" w:rsidRDefault="00706A2C" w:rsidP="0030569B">
      <w:pPr>
        <w:spacing w:line="360" w:lineRule="auto"/>
        <w:ind w:left="720"/>
        <w:jc w:val="both"/>
        <w:rPr>
          <w:rFonts w:ascii="Arial" w:hAnsi="Arial" w:cs="Arial"/>
          <w:lang w:val="en-GB"/>
        </w:rPr>
      </w:pPr>
      <w:r w:rsidRPr="00A770E0">
        <w:rPr>
          <w:rFonts w:ascii="Arial" w:hAnsi="Arial" w:cs="Arial"/>
          <w:lang w:val="en-GB"/>
        </w:rPr>
        <w:t>‘</w:t>
      </w:r>
      <w:r w:rsidR="005A223C" w:rsidRPr="00A770E0">
        <w:rPr>
          <w:rFonts w:ascii="Arial" w:hAnsi="Arial" w:cs="Arial"/>
          <w:lang w:val="en-GB"/>
        </w:rPr>
        <w:t xml:space="preserve">At common law, application of the undue delay rule </w:t>
      </w:r>
      <w:r w:rsidR="005B2955" w:rsidRPr="00A770E0">
        <w:rPr>
          <w:rFonts w:ascii="Arial" w:hAnsi="Arial" w:cs="Arial"/>
          <w:lang w:val="en-GB"/>
        </w:rPr>
        <w:t xml:space="preserve">required a two-stage enquiry. First, whether there was an unreasonable delay </w:t>
      </w:r>
      <w:r w:rsidR="00F13744" w:rsidRPr="00A770E0">
        <w:rPr>
          <w:rFonts w:ascii="Arial" w:hAnsi="Arial" w:cs="Arial"/>
          <w:lang w:val="en-GB"/>
        </w:rPr>
        <w:t>and, second, if so, whether the delay should in all the circumstances be condoned</w:t>
      </w:r>
      <w:r w:rsidR="0013221A" w:rsidRPr="00A770E0">
        <w:rPr>
          <w:rFonts w:ascii="Arial" w:hAnsi="Arial" w:cs="Arial"/>
          <w:lang w:val="en-GB"/>
        </w:rPr>
        <w:t xml:space="preserve">… Up to a point, I think, </w:t>
      </w:r>
      <w:r w:rsidR="00084806" w:rsidRPr="00A770E0">
        <w:rPr>
          <w:rFonts w:ascii="Arial" w:hAnsi="Arial" w:cs="Arial"/>
          <w:lang w:val="en-GB"/>
        </w:rPr>
        <w:t xml:space="preserve">section 7(1) of PAJA </w:t>
      </w:r>
      <w:r w:rsidR="00006732" w:rsidRPr="00A770E0">
        <w:rPr>
          <w:rFonts w:ascii="Arial" w:hAnsi="Arial" w:cs="Arial"/>
          <w:lang w:val="en-GB"/>
        </w:rPr>
        <w:t xml:space="preserve">requires the same two-stage approach. The difference lies, as I see it, </w:t>
      </w:r>
      <w:r w:rsidR="005A13C6" w:rsidRPr="00A770E0">
        <w:rPr>
          <w:rFonts w:ascii="Arial" w:hAnsi="Arial" w:cs="Arial"/>
          <w:lang w:val="en-GB"/>
        </w:rPr>
        <w:t xml:space="preserve">in the Legislature’s determination of a delay exceeding 180 days as </w:t>
      </w:r>
      <w:r w:rsidR="005A13C6" w:rsidRPr="00A770E0">
        <w:rPr>
          <w:rFonts w:ascii="Arial" w:hAnsi="Arial" w:cs="Arial"/>
          <w:i/>
          <w:iCs/>
          <w:lang w:val="en-GB"/>
        </w:rPr>
        <w:t>per se</w:t>
      </w:r>
      <w:r w:rsidR="005A13C6" w:rsidRPr="00A770E0">
        <w:rPr>
          <w:rFonts w:ascii="Arial" w:hAnsi="Arial" w:cs="Arial"/>
          <w:lang w:val="en-GB"/>
        </w:rPr>
        <w:t xml:space="preserve"> unreasonable.</w:t>
      </w:r>
      <w:r w:rsidR="00713B22" w:rsidRPr="00A770E0">
        <w:rPr>
          <w:rFonts w:ascii="Arial" w:hAnsi="Arial" w:cs="Arial"/>
          <w:lang w:val="en-GB"/>
        </w:rPr>
        <w:t xml:space="preserve"> Before the effluxion </w:t>
      </w:r>
      <w:r w:rsidR="00713B22" w:rsidRPr="00A770E0">
        <w:rPr>
          <w:rFonts w:ascii="Arial" w:hAnsi="Arial" w:cs="Arial"/>
          <w:lang w:val="en-GB"/>
        </w:rPr>
        <w:lastRenderedPageBreak/>
        <w:t xml:space="preserve">of 180 days, </w:t>
      </w:r>
      <w:r w:rsidR="00326523" w:rsidRPr="00A770E0">
        <w:rPr>
          <w:rFonts w:ascii="Arial" w:hAnsi="Arial" w:cs="Arial"/>
          <w:lang w:val="en-GB"/>
        </w:rPr>
        <w:t xml:space="preserve">the first enquiry in applying section 7(1) is still whether the delay </w:t>
      </w:r>
      <w:r w:rsidR="006A49B6" w:rsidRPr="00A770E0">
        <w:rPr>
          <w:rFonts w:ascii="Arial" w:hAnsi="Arial" w:cs="Arial"/>
          <w:lang w:val="en-GB"/>
        </w:rPr>
        <w:t>(if any) was unreasonable. But after the 180-day period</w:t>
      </w:r>
      <w:r w:rsidR="00701BAD" w:rsidRPr="00A770E0">
        <w:rPr>
          <w:rFonts w:ascii="Arial" w:hAnsi="Arial" w:cs="Arial"/>
          <w:lang w:val="en-GB"/>
        </w:rPr>
        <w:t xml:space="preserve"> the issue of unreasonableness is pre-determined by the Legislature; it is unreasonable </w:t>
      </w:r>
      <w:r w:rsidR="00701BAD" w:rsidRPr="00A770E0">
        <w:rPr>
          <w:rFonts w:ascii="Arial" w:hAnsi="Arial" w:cs="Arial"/>
          <w:i/>
          <w:iCs/>
          <w:lang w:val="en-GB"/>
        </w:rPr>
        <w:t>per se</w:t>
      </w:r>
      <w:r w:rsidR="00701BAD" w:rsidRPr="00A770E0">
        <w:rPr>
          <w:rFonts w:ascii="Arial" w:hAnsi="Arial" w:cs="Arial"/>
          <w:lang w:val="en-GB"/>
        </w:rPr>
        <w:t>.</w:t>
      </w:r>
      <w:r w:rsidR="00B51DE2" w:rsidRPr="00A770E0">
        <w:rPr>
          <w:rFonts w:ascii="Arial" w:hAnsi="Arial" w:cs="Arial"/>
          <w:lang w:val="en-GB"/>
        </w:rPr>
        <w:t xml:space="preserve"> It follows that the court is only empowered</w:t>
      </w:r>
      <w:r w:rsidR="00C40DA7" w:rsidRPr="00A770E0">
        <w:rPr>
          <w:rFonts w:ascii="Arial" w:hAnsi="Arial" w:cs="Arial"/>
          <w:lang w:val="en-GB"/>
        </w:rPr>
        <w:t xml:space="preserve"> to entertain the review application if the interest of justice dictates</w:t>
      </w:r>
      <w:r w:rsidR="00135241" w:rsidRPr="00A770E0">
        <w:rPr>
          <w:rFonts w:ascii="Arial" w:hAnsi="Arial" w:cs="Arial"/>
          <w:lang w:val="en-GB"/>
        </w:rPr>
        <w:t xml:space="preserve"> an extension in terms of section 9. Absent such extension the court has no authority to </w:t>
      </w:r>
      <w:r w:rsidR="005E6673" w:rsidRPr="00A770E0">
        <w:rPr>
          <w:rFonts w:ascii="Arial" w:hAnsi="Arial" w:cs="Arial"/>
          <w:lang w:val="en-GB"/>
        </w:rPr>
        <w:t>entertain the review application at all. Whether or not the decision was unlawful no longer matters.</w:t>
      </w:r>
      <w:r w:rsidR="007A3BA6" w:rsidRPr="00A770E0">
        <w:rPr>
          <w:rFonts w:ascii="Arial" w:hAnsi="Arial" w:cs="Arial"/>
          <w:lang w:val="en-GB"/>
        </w:rPr>
        <w:t xml:space="preserve"> The decision has been “validated” by the delay…</w:t>
      </w:r>
      <w:r w:rsidR="008234D3" w:rsidRPr="00A770E0">
        <w:rPr>
          <w:rFonts w:ascii="Arial" w:hAnsi="Arial" w:cs="Arial"/>
          <w:lang w:val="en-GB"/>
        </w:rPr>
        <w:t>’</w:t>
      </w:r>
      <w:r w:rsidR="008234D3" w:rsidRPr="00A770E0">
        <w:rPr>
          <w:rStyle w:val="FootnoteReference"/>
          <w:rFonts w:ascii="Arial" w:hAnsi="Arial" w:cs="Arial"/>
          <w:lang w:val="en-GB"/>
        </w:rPr>
        <w:footnoteReference w:id="35"/>
      </w:r>
    </w:p>
    <w:p w14:paraId="19AC1666" w14:textId="77777777" w:rsidR="00A770E0" w:rsidRDefault="00A770E0" w:rsidP="00775021">
      <w:pPr>
        <w:spacing w:line="360" w:lineRule="auto"/>
        <w:rPr>
          <w:rFonts w:ascii="Arial" w:hAnsi="Arial" w:cs="Arial"/>
          <w:sz w:val="24"/>
          <w:szCs w:val="24"/>
          <w:lang w:val="en-GB"/>
        </w:rPr>
      </w:pPr>
    </w:p>
    <w:p w14:paraId="6D7FD28E" w14:textId="3419EA51"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r>
      <w:r w:rsidR="001C67D1" w:rsidRPr="007B0231">
        <w:rPr>
          <w:rFonts w:ascii="Arial" w:hAnsi="Arial" w:cs="Arial"/>
          <w:sz w:val="24"/>
          <w:szCs w:val="24"/>
          <w:lang w:val="en-GB"/>
        </w:rPr>
        <w:t xml:space="preserve">The </w:t>
      </w:r>
      <w:r w:rsidR="002F3F8A" w:rsidRPr="007B0231">
        <w:rPr>
          <w:rFonts w:ascii="Arial" w:hAnsi="Arial" w:cs="Arial"/>
          <w:sz w:val="24"/>
          <w:szCs w:val="24"/>
          <w:lang w:val="en-GB"/>
        </w:rPr>
        <w:t xml:space="preserve">decision in </w:t>
      </w:r>
      <w:r w:rsidR="00B002DF" w:rsidRPr="007B0231">
        <w:rPr>
          <w:rFonts w:ascii="Arial" w:hAnsi="Arial" w:cs="Arial"/>
          <w:i/>
          <w:iCs/>
          <w:sz w:val="24"/>
          <w:szCs w:val="24"/>
          <w:lang w:val="en-GB"/>
        </w:rPr>
        <w:t>OUTA</w:t>
      </w:r>
      <w:r w:rsidR="00BD1418" w:rsidRPr="007B0231">
        <w:rPr>
          <w:rFonts w:ascii="Arial" w:hAnsi="Arial" w:cs="Arial"/>
          <w:sz w:val="24"/>
          <w:szCs w:val="24"/>
          <w:lang w:val="en-GB"/>
        </w:rPr>
        <w:t xml:space="preserve"> makes it clear that </w:t>
      </w:r>
      <w:r w:rsidR="009D7D47" w:rsidRPr="007B0231">
        <w:rPr>
          <w:rFonts w:ascii="Arial" w:hAnsi="Arial" w:cs="Arial"/>
          <w:sz w:val="24"/>
          <w:szCs w:val="24"/>
          <w:lang w:val="en-GB"/>
        </w:rPr>
        <w:t xml:space="preserve">any delay that exceeds the 180-day period is </w:t>
      </w:r>
      <w:r w:rsidR="009D7D47" w:rsidRPr="007B0231">
        <w:rPr>
          <w:rFonts w:ascii="Arial" w:hAnsi="Arial" w:cs="Arial"/>
          <w:i/>
          <w:iCs/>
          <w:sz w:val="24"/>
          <w:szCs w:val="24"/>
          <w:lang w:val="en-GB"/>
        </w:rPr>
        <w:t>per se</w:t>
      </w:r>
      <w:r w:rsidR="009D7D47" w:rsidRPr="007B0231">
        <w:rPr>
          <w:rFonts w:ascii="Arial" w:hAnsi="Arial" w:cs="Arial"/>
          <w:sz w:val="24"/>
          <w:szCs w:val="24"/>
          <w:lang w:val="en-GB"/>
        </w:rPr>
        <w:t xml:space="preserve"> unreasonable</w:t>
      </w:r>
      <w:r w:rsidR="00DE3A37" w:rsidRPr="007B0231">
        <w:rPr>
          <w:rFonts w:ascii="Arial" w:hAnsi="Arial" w:cs="Arial"/>
          <w:sz w:val="24"/>
          <w:szCs w:val="24"/>
          <w:lang w:val="en-GB"/>
        </w:rPr>
        <w:t>. A court cannot deal with the review proceedings unless</w:t>
      </w:r>
      <w:r w:rsidR="00EA04D3" w:rsidRPr="007B0231">
        <w:rPr>
          <w:rFonts w:ascii="Arial" w:hAnsi="Arial" w:cs="Arial"/>
          <w:sz w:val="24"/>
          <w:szCs w:val="24"/>
          <w:lang w:val="en-GB"/>
        </w:rPr>
        <w:t xml:space="preserve"> the interests of justice </w:t>
      </w:r>
      <w:r w:rsidR="005346C7" w:rsidRPr="007B0231">
        <w:rPr>
          <w:rFonts w:ascii="Arial" w:hAnsi="Arial" w:cs="Arial"/>
          <w:sz w:val="24"/>
          <w:szCs w:val="24"/>
          <w:lang w:val="en-GB"/>
        </w:rPr>
        <w:t xml:space="preserve">require </w:t>
      </w:r>
      <w:r w:rsidR="00792D69" w:rsidRPr="007B0231">
        <w:rPr>
          <w:rFonts w:ascii="Arial" w:hAnsi="Arial" w:cs="Arial"/>
          <w:sz w:val="24"/>
          <w:szCs w:val="24"/>
          <w:lang w:val="en-GB"/>
        </w:rPr>
        <w:t xml:space="preserve">the granting of an application made for </w:t>
      </w:r>
      <w:r w:rsidR="00B63D47" w:rsidRPr="007B0231">
        <w:rPr>
          <w:rFonts w:ascii="Arial" w:hAnsi="Arial" w:cs="Arial"/>
          <w:sz w:val="24"/>
          <w:szCs w:val="24"/>
          <w:lang w:val="en-GB"/>
        </w:rPr>
        <w:t>the</w:t>
      </w:r>
      <w:r w:rsidR="00EA04D3" w:rsidRPr="007B0231">
        <w:rPr>
          <w:rFonts w:ascii="Arial" w:hAnsi="Arial" w:cs="Arial"/>
          <w:sz w:val="24"/>
          <w:szCs w:val="24"/>
          <w:lang w:val="en-GB"/>
        </w:rPr>
        <w:t xml:space="preserve"> extension</w:t>
      </w:r>
      <w:r w:rsidR="00B63D47" w:rsidRPr="007B0231">
        <w:rPr>
          <w:rFonts w:ascii="Arial" w:hAnsi="Arial" w:cs="Arial"/>
          <w:sz w:val="24"/>
          <w:szCs w:val="24"/>
          <w:lang w:val="en-GB"/>
        </w:rPr>
        <w:t xml:space="preserve"> of the period in question</w:t>
      </w:r>
      <w:r w:rsidR="00B915C2" w:rsidRPr="007B0231">
        <w:rPr>
          <w:rFonts w:ascii="Arial" w:hAnsi="Arial" w:cs="Arial"/>
          <w:sz w:val="24"/>
          <w:szCs w:val="24"/>
          <w:lang w:val="en-GB"/>
        </w:rPr>
        <w:t>.</w:t>
      </w:r>
    </w:p>
    <w:p w14:paraId="1094DAE5" w14:textId="77777777" w:rsidR="0030569B" w:rsidRDefault="0030569B" w:rsidP="0030569B">
      <w:pPr>
        <w:pStyle w:val="ListParagraph"/>
        <w:spacing w:line="360" w:lineRule="auto"/>
        <w:ind w:left="0"/>
        <w:jc w:val="both"/>
        <w:rPr>
          <w:rFonts w:ascii="Arial" w:hAnsi="Arial" w:cs="Arial"/>
          <w:sz w:val="24"/>
          <w:szCs w:val="24"/>
          <w:lang w:val="en-GB"/>
        </w:rPr>
      </w:pPr>
    </w:p>
    <w:p w14:paraId="389D2379" w14:textId="04867AB2" w:rsidR="00775021"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[55]</w:t>
      </w:r>
      <w:r w:rsidRPr="0030569B">
        <w:rPr>
          <w:rFonts w:ascii="Arial" w:hAnsi="Arial" w:cs="Arial"/>
          <w:sz w:val="24"/>
          <w:szCs w:val="24"/>
          <w:lang w:val="en-GB"/>
        </w:rPr>
        <w:tab/>
      </w:r>
      <w:r w:rsidR="001F4E4D" w:rsidRPr="007B0231">
        <w:rPr>
          <w:rFonts w:ascii="Arial" w:hAnsi="Arial" w:cs="Arial"/>
          <w:sz w:val="24"/>
          <w:szCs w:val="24"/>
          <w:lang w:val="en-GB"/>
        </w:rPr>
        <w:t xml:space="preserve">The </w:t>
      </w:r>
      <w:r w:rsidR="00334E38" w:rsidRPr="007B0231">
        <w:rPr>
          <w:rFonts w:ascii="Arial" w:hAnsi="Arial" w:cs="Arial"/>
          <w:sz w:val="24"/>
          <w:szCs w:val="24"/>
          <w:lang w:val="en-GB"/>
        </w:rPr>
        <w:t>subject</w:t>
      </w:r>
      <w:r w:rsidR="00D01A94" w:rsidRPr="007B0231">
        <w:rPr>
          <w:rFonts w:ascii="Arial" w:hAnsi="Arial" w:cs="Arial"/>
          <w:sz w:val="24"/>
          <w:szCs w:val="24"/>
          <w:lang w:val="en-GB"/>
        </w:rPr>
        <w:t xml:space="preserve"> </w:t>
      </w:r>
      <w:r w:rsidR="00775021" w:rsidRPr="007B0231">
        <w:rPr>
          <w:rFonts w:ascii="Arial" w:hAnsi="Arial" w:cs="Arial"/>
          <w:sz w:val="24"/>
          <w:szCs w:val="24"/>
          <w:lang w:val="en-GB"/>
        </w:rPr>
        <w:t xml:space="preserve">was </w:t>
      </w:r>
      <w:r w:rsidR="00B70BFC" w:rsidRPr="007B0231">
        <w:rPr>
          <w:rFonts w:ascii="Arial" w:hAnsi="Arial" w:cs="Arial"/>
          <w:sz w:val="24"/>
          <w:szCs w:val="24"/>
          <w:lang w:val="en-GB"/>
        </w:rPr>
        <w:t xml:space="preserve">also </w:t>
      </w:r>
      <w:r w:rsidR="002A5856" w:rsidRPr="007B0231">
        <w:rPr>
          <w:rFonts w:ascii="Arial" w:hAnsi="Arial" w:cs="Arial"/>
          <w:sz w:val="24"/>
          <w:szCs w:val="24"/>
          <w:lang w:val="en-GB"/>
        </w:rPr>
        <w:t>consider</w:t>
      </w:r>
      <w:r w:rsidR="00775021" w:rsidRPr="007B0231">
        <w:rPr>
          <w:rFonts w:ascii="Arial" w:hAnsi="Arial" w:cs="Arial"/>
          <w:sz w:val="24"/>
          <w:szCs w:val="24"/>
          <w:lang w:val="en-GB"/>
        </w:rPr>
        <w:t xml:space="preserve">ed in </w:t>
      </w:r>
      <w:r w:rsidR="00775021" w:rsidRPr="007B0231">
        <w:rPr>
          <w:rFonts w:ascii="Arial" w:hAnsi="Arial" w:cs="Arial"/>
          <w:i/>
          <w:iCs/>
          <w:sz w:val="24"/>
          <w:szCs w:val="24"/>
          <w:lang w:val="en-GB"/>
        </w:rPr>
        <w:t>Khumalo and another v Member of the Executive Council for Education: KwaZulu-Natal</w:t>
      </w:r>
      <w:r w:rsidR="008A282A" w:rsidRPr="007B0231">
        <w:rPr>
          <w:rFonts w:ascii="Arial" w:hAnsi="Arial" w:cs="Arial"/>
          <w:sz w:val="24"/>
          <w:szCs w:val="24"/>
          <w:lang w:val="en-GB"/>
        </w:rPr>
        <w:t>,</w:t>
      </w:r>
      <w:r w:rsidR="00B11706" w:rsidRPr="008A282A">
        <w:rPr>
          <w:rStyle w:val="FootnoteReference"/>
          <w:rFonts w:ascii="Arial" w:hAnsi="Arial" w:cs="Arial"/>
          <w:sz w:val="24"/>
          <w:szCs w:val="24"/>
          <w:lang w:val="en-GB"/>
        </w:rPr>
        <w:footnoteReference w:id="36"/>
      </w:r>
      <w:r w:rsidR="008A282A" w:rsidRPr="007B0231">
        <w:rPr>
          <w:rFonts w:ascii="Arial" w:hAnsi="Arial" w:cs="Arial"/>
          <w:sz w:val="24"/>
          <w:szCs w:val="24"/>
          <w:lang w:val="en-GB"/>
        </w:rPr>
        <w:t xml:space="preserve"> </w:t>
      </w:r>
      <w:r w:rsidR="00775021" w:rsidRPr="007B0231">
        <w:rPr>
          <w:rFonts w:ascii="Arial" w:hAnsi="Arial" w:cs="Arial"/>
          <w:sz w:val="24"/>
          <w:szCs w:val="24"/>
          <w:lang w:val="en-GB"/>
        </w:rPr>
        <w:t xml:space="preserve">where the MEC </w:t>
      </w:r>
      <w:r w:rsidR="00F016FA" w:rsidRPr="007B0231">
        <w:rPr>
          <w:rFonts w:ascii="Arial" w:hAnsi="Arial" w:cs="Arial"/>
          <w:sz w:val="24"/>
          <w:szCs w:val="24"/>
          <w:lang w:val="en-GB"/>
        </w:rPr>
        <w:t xml:space="preserve">had </w:t>
      </w:r>
      <w:r w:rsidR="00775021" w:rsidRPr="007B0231">
        <w:rPr>
          <w:rFonts w:ascii="Arial" w:hAnsi="Arial" w:cs="Arial"/>
          <w:sz w:val="24"/>
          <w:szCs w:val="24"/>
          <w:lang w:val="en-GB"/>
        </w:rPr>
        <w:t xml:space="preserve">challenged her own department’s decision to promote the appellant and to provide another employee with a ‘protected promotion’. The Constitutional Court </w:t>
      </w:r>
      <w:r w:rsidR="00F016FA" w:rsidRPr="007B0231">
        <w:rPr>
          <w:rFonts w:ascii="Arial" w:hAnsi="Arial" w:cs="Arial"/>
          <w:sz w:val="24"/>
          <w:szCs w:val="24"/>
          <w:lang w:val="en-GB"/>
        </w:rPr>
        <w:t>found</w:t>
      </w:r>
      <w:r w:rsidR="00775021" w:rsidRPr="007B0231">
        <w:rPr>
          <w:rFonts w:ascii="Arial" w:hAnsi="Arial" w:cs="Arial"/>
          <w:sz w:val="24"/>
          <w:szCs w:val="24"/>
          <w:lang w:val="en-GB"/>
        </w:rPr>
        <w:t>:</w:t>
      </w:r>
    </w:p>
    <w:p w14:paraId="7F66A049" w14:textId="16985DA5" w:rsidR="00775021" w:rsidRPr="00775021" w:rsidRDefault="00775021" w:rsidP="0030569B">
      <w:pPr>
        <w:spacing w:line="360" w:lineRule="auto"/>
        <w:ind w:left="720"/>
        <w:jc w:val="both"/>
        <w:rPr>
          <w:rFonts w:ascii="Arial" w:hAnsi="Arial" w:cs="Arial"/>
          <w:lang w:val="en-GB"/>
        </w:rPr>
      </w:pPr>
      <w:r w:rsidRPr="00775021">
        <w:rPr>
          <w:rFonts w:ascii="Arial" w:hAnsi="Arial" w:cs="Arial"/>
          <w:lang w:val="en-GB"/>
        </w:rPr>
        <w:t xml:space="preserve">‘In </w:t>
      </w:r>
      <w:r w:rsidRPr="00775021">
        <w:rPr>
          <w:rFonts w:ascii="Arial" w:hAnsi="Arial" w:cs="Arial"/>
          <w:i/>
          <w:iCs/>
          <w:lang w:val="en-GB"/>
        </w:rPr>
        <w:t>Gqwetha</w:t>
      </w:r>
      <w:r w:rsidRPr="00775021">
        <w:rPr>
          <w:rFonts w:ascii="Arial" w:hAnsi="Arial" w:cs="Arial"/>
          <w:lang w:val="en-GB"/>
        </w:rPr>
        <w:t xml:space="preserve"> the majority of the Supreme Court of Appeal held that an assessment of a plea of undue delay involves examining: (1) whether the delay is unreasonable or undue (a factual enquiry upon which a value judgment is made in the light of “all the relevant circumstances”); and if so (2) whether the court’s discretion should be exercised to overlook the delay and nevertheless entertain the application.’</w:t>
      </w:r>
      <w:r w:rsidR="002E7BBF" w:rsidRPr="00EE4330">
        <w:rPr>
          <w:rStyle w:val="FootnoteReference"/>
          <w:rFonts w:ascii="Arial" w:hAnsi="Arial" w:cs="Arial"/>
          <w:lang w:val="en-GB"/>
        </w:rPr>
        <w:footnoteReference w:id="37"/>
      </w:r>
    </w:p>
    <w:p w14:paraId="1F200DBA" w14:textId="77777777" w:rsidR="00775021" w:rsidRPr="00775021" w:rsidRDefault="00775021" w:rsidP="00775021">
      <w:pPr>
        <w:spacing w:line="360" w:lineRule="auto"/>
        <w:rPr>
          <w:rFonts w:ascii="Arial" w:hAnsi="Arial" w:cs="Arial"/>
          <w:sz w:val="24"/>
          <w:szCs w:val="24"/>
          <w:lang w:val="en-GB"/>
        </w:rPr>
      </w:pPr>
    </w:p>
    <w:p w14:paraId="0F1037E5" w14:textId="3683CA47"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r>
      <w:r w:rsidR="00775021" w:rsidRPr="007B0231">
        <w:rPr>
          <w:rFonts w:ascii="Arial" w:hAnsi="Arial" w:cs="Arial"/>
          <w:sz w:val="24"/>
          <w:szCs w:val="24"/>
          <w:lang w:val="en-GB"/>
        </w:rPr>
        <w:t xml:space="preserve">The </w:t>
      </w:r>
      <w:r w:rsidR="00775021" w:rsidRPr="007B0231">
        <w:rPr>
          <w:rFonts w:ascii="Arial" w:hAnsi="Arial" w:cs="Arial"/>
          <w:i/>
          <w:iCs/>
          <w:sz w:val="24"/>
          <w:szCs w:val="24"/>
          <w:lang w:val="en-GB"/>
        </w:rPr>
        <w:t>Khumalo</w:t>
      </w:r>
      <w:r w:rsidR="00775021" w:rsidRPr="007B0231">
        <w:rPr>
          <w:rFonts w:ascii="Arial" w:hAnsi="Arial" w:cs="Arial"/>
          <w:sz w:val="24"/>
          <w:szCs w:val="24"/>
          <w:lang w:val="en-GB"/>
        </w:rPr>
        <w:t xml:space="preserve"> test, as it </w:t>
      </w:r>
      <w:r w:rsidR="00946E9E" w:rsidRPr="007B0231">
        <w:rPr>
          <w:rFonts w:ascii="Arial" w:hAnsi="Arial" w:cs="Arial"/>
          <w:sz w:val="24"/>
          <w:szCs w:val="24"/>
          <w:lang w:val="en-GB"/>
        </w:rPr>
        <w:t>is</w:t>
      </w:r>
      <w:r w:rsidR="00775021" w:rsidRPr="007B0231">
        <w:rPr>
          <w:rFonts w:ascii="Arial" w:hAnsi="Arial" w:cs="Arial"/>
          <w:sz w:val="24"/>
          <w:szCs w:val="24"/>
          <w:lang w:val="en-GB"/>
        </w:rPr>
        <w:t xml:space="preserve"> known, </w:t>
      </w:r>
      <w:r w:rsidR="00420701" w:rsidRPr="007B0231">
        <w:rPr>
          <w:rFonts w:ascii="Arial" w:hAnsi="Arial" w:cs="Arial"/>
          <w:sz w:val="24"/>
          <w:szCs w:val="24"/>
          <w:lang w:val="en-GB"/>
        </w:rPr>
        <w:t>approved</w:t>
      </w:r>
      <w:r w:rsidR="00775021" w:rsidRPr="007B0231">
        <w:rPr>
          <w:rFonts w:ascii="Arial" w:hAnsi="Arial" w:cs="Arial"/>
          <w:sz w:val="24"/>
          <w:szCs w:val="24"/>
          <w:lang w:val="en-GB"/>
        </w:rPr>
        <w:t xml:space="preserve"> the approach adopted in </w:t>
      </w:r>
      <w:r w:rsidR="00775021" w:rsidRPr="007B0231">
        <w:rPr>
          <w:rFonts w:ascii="Arial" w:hAnsi="Arial" w:cs="Arial"/>
          <w:i/>
          <w:iCs/>
          <w:sz w:val="24"/>
          <w:szCs w:val="24"/>
          <w:lang w:val="en-GB"/>
        </w:rPr>
        <w:t>Gqwetha</w:t>
      </w:r>
      <w:r w:rsidR="00775021" w:rsidRPr="007B0231">
        <w:rPr>
          <w:rFonts w:ascii="Arial" w:hAnsi="Arial" w:cs="Arial"/>
          <w:sz w:val="24"/>
          <w:szCs w:val="24"/>
          <w:lang w:val="en-GB"/>
        </w:rPr>
        <w:t xml:space="preserve">. </w:t>
      </w:r>
      <w:r w:rsidR="00492143" w:rsidRPr="007B0231">
        <w:rPr>
          <w:rFonts w:ascii="Arial" w:hAnsi="Arial" w:cs="Arial"/>
          <w:sz w:val="24"/>
          <w:szCs w:val="24"/>
          <w:lang w:val="en-GB"/>
        </w:rPr>
        <w:t>I</w:t>
      </w:r>
      <w:r w:rsidR="00420701" w:rsidRPr="007B0231">
        <w:rPr>
          <w:rFonts w:ascii="Arial" w:hAnsi="Arial" w:cs="Arial"/>
          <w:sz w:val="24"/>
          <w:szCs w:val="24"/>
          <w:lang w:val="en-GB"/>
        </w:rPr>
        <w:t>n turn</w:t>
      </w:r>
      <w:r w:rsidR="00492143" w:rsidRPr="007B0231">
        <w:rPr>
          <w:rFonts w:ascii="Arial" w:hAnsi="Arial" w:cs="Arial"/>
          <w:sz w:val="24"/>
          <w:szCs w:val="24"/>
          <w:lang w:val="en-GB"/>
        </w:rPr>
        <w:t xml:space="preserve">, </w:t>
      </w:r>
      <w:r w:rsidR="005658B3" w:rsidRPr="007B0231">
        <w:rPr>
          <w:rFonts w:ascii="Arial" w:hAnsi="Arial" w:cs="Arial"/>
          <w:sz w:val="24"/>
          <w:szCs w:val="24"/>
          <w:lang w:val="en-GB"/>
        </w:rPr>
        <w:t xml:space="preserve">the </w:t>
      </w:r>
      <w:r w:rsidR="00CD2F10" w:rsidRPr="007B0231">
        <w:rPr>
          <w:rFonts w:ascii="Arial" w:hAnsi="Arial" w:cs="Arial"/>
          <w:sz w:val="24"/>
          <w:szCs w:val="24"/>
          <w:lang w:val="en-GB"/>
        </w:rPr>
        <w:t xml:space="preserve">Constitutional Court affirmed </w:t>
      </w:r>
      <w:r w:rsidR="00492143" w:rsidRPr="007B0231">
        <w:rPr>
          <w:rFonts w:ascii="Arial" w:hAnsi="Arial" w:cs="Arial"/>
          <w:sz w:val="24"/>
          <w:szCs w:val="24"/>
          <w:lang w:val="en-GB"/>
        </w:rPr>
        <w:t xml:space="preserve">the </w:t>
      </w:r>
      <w:r w:rsidR="00492143" w:rsidRPr="007B0231">
        <w:rPr>
          <w:rFonts w:ascii="Arial" w:hAnsi="Arial" w:cs="Arial"/>
          <w:i/>
          <w:iCs/>
          <w:sz w:val="24"/>
          <w:szCs w:val="24"/>
          <w:lang w:val="en-GB"/>
        </w:rPr>
        <w:t>Khumalo</w:t>
      </w:r>
      <w:r w:rsidR="00492143" w:rsidRPr="007B0231">
        <w:rPr>
          <w:rFonts w:ascii="Arial" w:hAnsi="Arial" w:cs="Arial"/>
          <w:sz w:val="24"/>
          <w:szCs w:val="24"/>
          <w:lang w:val="en-GB"/>
        </w:rPr>
        <w:t xml:space="preserve"> test</w:t>
      </w:r>
      <w:r w:rsidR="00361442" w:rsidRPr="007B0231">
        <w:rPr>
          <w:rFonts w:ascii="Arial" w:hAnsi="Arial" w:cs="Arial"/>
          <w:sz w:val="24"/>
          <w:szCs w:val="24"/>
          <w:lang w:val="en-GB"/>
        </w:rPr>
        <w:t xml:space="preserve"> </w:t>
      </w:r>
      <w:r w:rsidR="00775021" w:rsidRPr="007B0231">
        <w:rPr>
          <w:rFonts w:ascii="Arial" w:hAnsi="Arial" w:cs="Arial"/>
          <w:sz w:val="24"/>
          <w:szCs w:val="24"/>
          <w:lang w:val="en-GB"/>
        </w:rPr>
        <w:t xml:space="preserve">in </w:t>
      </w:r>
      <w:r w:rsidR="00775021" w:rsidRPr="007B0231">
        <w:rPr>
          <w:rFonts w:ascii="Arial" w:hAnsi="Arial" w:cs="Arial"/>
          <w:i/>
          <w:iCs/>
          <w:sz w:val="24"/>
          <w:szCs w:val="24"/>
          <w:lang w:val="en-GB"/>
        </w:rPr>
        <w:t xml:space="preserve">Buffalo City Metropolitan </w:t>
      </w:r>
      <w:r w:rsidR="00775021" w:rsidRPr="007B0231">
        <w:rPr>
          <w:rFonts w:ascii="Arial" w:hAnsi="Arial" w:cs="Arial"/>
          <w:i/>
          <w:iCs/>
          <w:sz w:val="24"/>
          <w:szCs w:val="24"/>
          <w:lang w:val="en-GB"/>
        </w:rPr>
        <w:lastRenderedPageBreak/>
        <w:t>Municipality v Asla Construction (Pty) Ltd</w:t>
      </w:r>
      <w:r w:rsidR="00A54C3E" w:rsidRPr="007B0231">
        <w:rPr>
          <w:rFonts w:ascii="Arial" w:hAnsi="Arial" w:cs="Arial"/>
          <w:sz w:val="24"/>
          <w:szCs w:val="24"/>
          <w:lang w:val="en-GB"/>
        </w:rPr>
        <w:t>,</w:t>
      </w:r>
      <w:r w:rsidR="0037695A">
        <w:rPr>
          <w:rStyle w:val="FootnoteReference"/>
          <w:rFonts w:ascii="Arial" w:hAnsi="Arial" w:cs="Arial"/>
          <w:sz w:val="24"/>
          <w:szCs w:val="24"/>
          <w:lang w:val="en-GB"/>
        </w:rPr>
        <w:footnoteReference w:id="38"/>
      </w:r>
      <w:r w:rsidR="004850BF" w:rsidRPr="007B0231">
        <w:rPr>
          <w:rFonts w:ascii="Arial" w:hAnsi="Arial" w:cs="Arial"/>
          <w:sz w:val="24"/>
          <w:szCs w:val="24"/>
          <w:lang w:val="en-GB"/>
        </w:rPr>
        <w:t xml:space="preserve"> and set out, expressly, the principles that </w:t>
      </w:r>
      <w:r w:rsidR="002C5736" w:rsidRPr="007B0231">
        <w:rPr>
          <w:rFonts w:ascii="Arial" w:hAnsi="Arial" w:cs="Arial"/>
          <w:sz w:val="24"/>
          <w:szCs w:val="24"/>
          <w:lang w:val="en-GB"/>
        </w:rPr>
        <w:t>apply when assessing delay.</w:t>
      </w:r>
      <w:r w:rsidR="00775021" w:rsidRPr="00775021">
        <w:rPr>
          <w:vertAlign w:val="superscript"/>
          <w:lang w:val="en-GB"/>
        </w:rPr>
        <w:footnoteReference w:id="39"/>
      </w:r>
      <w:r w:rsidR="00775021" w:rsidRPr="007B0231">
        <w:rPr>
          <w:rFonts w:ascii="Arial" w:hAnsi="Arial" w:cs="Arial"/>
          <w:sz w:val="24"/>
          <w:szCs w:val="24"/>
          <w:lang w:val="en-GB"/>
        </w:rPr>
        <w:t xml:space="preserve"> The first principle is that there are differences between a review brought in terms of PAJA and a review brought on the basis of legality.</w:t>
      </w:r>
      <w:r w:rsidR="00775021" w:rsidRPr="00775021">
        <w:rPr>
          <w:vertAlign w:val="superscript"/>
          <w:lang w:val="en-GB"/>
        </w:rPr>
        <w:footnoteReference w:id="40"/>
      </w:r>
      <w:r w:rsidR="00775021" w:rsidRPr="007B0231">
        <w:rPr>
          <w:rFonts w:ascii="Arial" w:hAnsi="Arial" w:cs="Arial"/>
          <w:sz w:val="24"/>
          <w:szCs w:val="24"/>
          <w:lang w:val="en-GB"/>
        </w:rPr>
        <w:t xml:space="preserve"> The second principle is that the reasonableness of the delay must be examined with reference to the explanation offered for the delay; where there is no explanation, the delay will necessarily be unreasonable. The third principle is that the reasonableness of the delay cannot be examined in a vacuum and the court must decide whether the delay ought nevertheless to be overlooked. In doing so, the court must </w:t>
      </w:r>
      <w:r w:rsidR="00A84614" w:rsidRPr="007B0231">
        <w:rPr>
          <w:rFonts w:ascii="Arial" w:hAnsi="Arial" w:cs="Arial"/>
          <w:sz w:val="24"/>
          <w:szCs w:val="24"/>
          <w:lang w:val="en-GB"/>
        </w:rPr>
        <w:t>consider</w:t>
      </w:r>
      <w:r w:rsidR="00775021" w:rsidRPr="007B0231">
        <w:rPr>
          <w:rFonts w:ascii="Arial" w:hAnsi="Arial" w:cs="Arial"/>
          <w:sz w:val="24"/>
          <w:szCs w:val="24"/>
          <w:lang w:val="en-GB"/>
        </w:rPr>
        <w:t xml:space="preserve"> several factors: (a) the potential prejudice to affected parties as well as the possible consequences of setting aside the impugned decision; (b) the nature of the impugned decision; and (c) the conduct of the applicant. The fourth principle is that, despite there being no basis upon which to overlook an unreasonable delay, the court may nevertheless be constitutionally compelled to declare state conduct unlawful.</w:t>
      </w:r>
      <w:r w:rsidR="00775021" w:rsidRPr="00775021">
        <w:rPr>
          <w:vertAlign w:val="superscript"/>
          <w:lang w:val="en-GB"/>
        </w:rPr>
        <w:footnoteReference w:id="41"/>
      </w:r>
    </w:p>
    <w:p w14:paraId="4A995B42" w14:textId="77777777" w:rsidR="0030569B" w:rsidRDefault="0030569B" w:rsidP="0030569B">
      <w:pPr>
        <w:pStyle w:val="ListParagraph"/>
        <w:spacing w:line="360" w:lineRule="auto"/>
        <w:ind w:left="0"/>
        <w:jc w:val="both"/>
        <w:rPr>
          <w:rFonts w:ascii="Arial" w:hAnsi="Arial" w:cs="Arial"/>
          <w:sz w:val="24"/>
          <w:szCs w:val="24"/>
          <w:lang w:val="en-GB"/>
        </w:rPr>
      </w:pPr>
    </w:p>
    <w:p w14:paraId="326B3A04" w14:textId="6729FD62" w:rsidR="00200F51"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[57]</w:t>
      </w:r>
      <w:r w:rsidRPr="0030569B">
        <w:rPr>
          <w:rFonts w:ascii="Arial" w:hAnsi="Arial" w:cs="Arial"/>
          <w:sz w:val="24"/>
          <w:szCs w:val="24"/>
          <w:lang w:val="en-GB"/>
        </w:rPr>
        <w:tab/>
      </w:r>
      <w:r w:rsidR="00E44007" w:rsidRPr="007B0231">
        <w:rPr>
          <w:rFonts w:ascii="Arial" w:hAnsi="Arial" w:cs="Arial"/>
          <w:sz w:val="24"/>
          <w:szCs w:val="24"/>
          <w:lang w:val="en-GB"/>
        </w:rPr>
        <w:t xml:space="preserve">Ultimately, </w:t>
      </w:r>
      <w:r w:rsidR="00C91573" w:rsidRPr="007B0231">
        <w:rPr>
          <w:rFonts w:ascii="Arial" w:hAnsi="Arial" w:cs="Arial"/>
          <w:i/>
          <w:iCs/>
          <w:sz w:val="24"/>
          <w:szCs w:val="24"/>
          <w:lang w:val="en-GB"/>
        </w:rPr>
        <w:t>Asla</w:t>
      </w:r>
      <w:r w:rsidR="00C91573" w:rsidRPr="007B0231">
        <w:rPr>
          <w:rFonts w:ascii="Arial" w:hAnsi="Arial" w:cs="Arial"/>
          <w:sz w:val="24"/>
          <w:szCs w:val="24"/>
          <w:lang w:val="en-GB"/>
        </w:rPr>
        <w:t xml:space="preserve"> </w:t>
      </w:r>
      <w:r w:rsidR="00C63F5C" w:rsidRPr="007B0231">
        <w:rPr>
          <w:rFonts w:ascii="Arial" w:hAnsi="Arial" w:cs="Arial"/>
          <w:sz w:val="24"/>
          <w:szCs w:val="24"/>
          <w:lang w:val="en-GB"/>
        </w:rPr>
        <w:t>and the decisions that preceded it</w:t>
      </w:r>
      <w:r w:rsidR="0095570C" w:rsidRPr="007B0231">
        <w:rPr>
          <w:rFonts w:ascii="Arial" w:hAnsi="Arial" w:cs="Arial"/>
          <w:sz w:val="24"/>
          <w:szCs w:val="24"/>
          <w:lang w:val="en-GB"/>
        </w:rPr>
        <w:t xml:space="preserve"> rest on the two questions identified in </w:t>
      </w:r>
      <w:r w:rsidR="0095570C" w:rsidRPr="007B0231">
        <w:rPr>
          <w:rFonts w:ascii="Arial" w:hAnsi="Arial" w:cs="Arial"/>
          <w:i/>
          <w:iCs/>
          <w:sz w:val="24"/>
          <w:szCs w:val="24"/>
          <w:lang w:val="en-GB"/>
        </w:rPr>
        <w:t>Associated Institutions Pension Fund</w:t>
      </w:r>
      <w:r w:rsidR="0095570C" w:rsidRPr="007B0231">
        <w:rPr>
          <w:rFonts w:ascii="Arial" w:hAnsi="Arial" w:cs="Arial"/>
          <w:sz w:val="24"/>
          <w:szCs w:val="24"/>
          <w:lang w:val="en-GB"/>
        </w:rPr>
        <w:t>: (a)</w:t>
      </w:r>
      <w:r w:rsidR="00366C93" w:rsidRPr="007B0231">
        <w:rPr>
          <w:rFonts w:ascii="Arial" w:hAnsi="Arial" w:cs="Arial"/>
          <w:sz w:val="24"/>
          <w:szCs w:val="24"/>
          <w:lang w:val="en-GB"/>
        </w:rPr>
        <w:t xml:space="preserve"> was there an unreasonable delay; and (b) if so, should the delay in all the circumstances be condoned?</w:t>
      </w:r>
      <w:r w:rsidR="003E1EF2" w:rsidRPr="007B0231">
        <w:rPr>
          <w:rFonts w:ascii="Arial" w:hAnsi="Arial" w:cs="Arial"/>
          <w:sz w:val="24"/>
          <w:szCs w:val="24"/>
          <w:lang w:val="en-GB"/>
        </w:rPr>
        <w:t xml:space="preserve"> This </w:t>
      </w:r>
      <w:r w:rsidR="007604A0" w:rsidRPr="007B0231">
        <w:rPr>
          <w:rFonts w:ascii="Arial" w:hAnsi="Arial" w:cs="Arial"/>
          <w:sz w:val="24"/>
          <w:szCs w:val="24"/>
          <w:lang w:val="en-GB"/>
        </w:rPr>
        <w:t xml:space="preserve">appears to </w:t>
      </w:r>
      <w:r w:rsidR="00971F2E" w:rsidRPr="007B0231">
        <w:rPr>
          <w:rFonts w:ascii="Arial" w:hAnsi="Arial" w:cs="Arial"/>
          <w:sz w:val="24"/>
          <w:szCs w:val="24"/>
          <w:lang w:val="en-GB"/>
        </w:rPr>
        <w:t>ha</w:t>
      </w:r>
      <w:r w:rsidR="007604A0" w:rsidRPr="007B0231">
        <w:rPr>
          <w:rFonts w:ascii="Arial" w:hAnsi="Arial" w:cs="Arial"/>
          <w:sz w:val="24"/>
          <w:szCs w:val="24"/>
          <w:lang w:val="en-GB"/>
        </w:rPr>
        <w:t>ve</w:t>
      </w:r>
      <w:r w:rsidR="00971F2E" w:rsidRPr="007B0231">
        <w:rPr>
          <w:rFonts w:ascii="Arial" w:hAnsi="Arial" w:cs="Arial"/>
          <w:sz w:val="24"/>
          <w:szCs w:val="24"/>
          <w:lang w:val="en-GB"/>
        </w:rPr>
        <w:t xml:space="preserve"> been </w:t>
      </w:r>
      <w:r w:rsidR="00D40FD6" w:rsidRPr="007B0231">
        <w:rPr>
          <w:rFonts w:ascii="Arial" w:hAnsi="Arial" w:cs="Arial"/>
          <w:sz w:val="24"/>
          <w:szCs w:val="24"/>
          <w:lang w:val="en-GB"/>
        </w:rPr>
        <w:t>acknowledged</w:t>
      </w:r>
      <w:r w:rsidR="00971F2E" w:rsidRPr="007B0231">
        <w:rPr>
          <w:rFonts w:ascii="Arial" w:hAnsi="Arial" w:cs="Arial"/>
          <w:sz w:val="24"/>
          <w:szCs w:val="24"/>
          <w:lang w:val="en-GB"/>
        </w:rPr>
        <w:t xml:space="preserve"> by the Supreme Court of Appeal in recent decisions such as </w:t>
      </w:r>
      <w:r w:rsidR="007102F0" w:rsidRPr="007B0231">
        <w:rPr>
          <w:rFonts w:ascii="Arial" w:hAnsi="Arial" w:cs="Arial"/>
          <w:i/>
          <w:iCs/>
          <w:sz w:val="24"/>
          <w:szCs w:val="24"/>
          <w:lang w:val="en-GB"/>
        </w:rPr>
        <w:t>Sasol Chevron Holding</w:t>
      </w:r>
      <w:r w:rsidR="00996AAA" w:rsidRPr="007B0231">
        <w:rPr>
          <w:rFonts w:ascii="Arial" w:hAnsi="Arial" w:cs="Arial"/>
          <w:i/>
          <w:iCs/>
          <w:sz w:val="24"/>
          <w:szCs w:val="24"/>
          <w:lang w:val="en-GB"/>
        </w:rPr>
        <w:t>s</w:t>
      </w:r>
      <w:r w:rsidR="007102F0" w:rsidRPr="007B0231">
        <w:rPr>
          <w:rFonts w:ascii="Arial" w:hAnsi="Arial" w:cs="Arial"/>
          <w:i/>
          <w:iCs/>
          <w:sz w:val="24"/>
          <w:szCs w:val="24"/>
          <w:lang w:val="en-GB"/>
        </w:rPr>
        <w:t xml:space="preserve"> Limited</w:t>
      </w:r>
      <w:r w:rsidR="00200F51" w:rsidRPr="007B0231">
        <w:rPr>
          <w:rFonts w:ascii="Arial" w:hAnsi="Arial" w:cs="Arial"/>
          <w:sz w:val="24"/>
          <w:szCs w:val="24"/>
          <w:lang w:val="en-GB"/>
        </w:rPr>
        <w:t>,</w:t>
      </w:r>
      <w:r w:rsidR="007E4B32">
        <w:rPr>
          <w:rStyle w:val="FootnoteReference"/>
          <w:rFonts w:ascii="Arial" w:hAnsi="Arial" w:cs="Arial"/>
          <w:sz w:val="24"/>
          <w:szCs w:val="24"/>
          <w:lang w:val="en-GB"/>
        </w:rPr>
        <w:footnoteReference w:id="42"/>
      </w:r>
      <w:r w:rsidR="00C20F0D" w:rsidRPr="007B0231">
        <w:rPr>
          <w:rFonts w:ascii="Arial" w:hAnsi="Arial" w:cs="Arial"/>
          <w:sz w:val="24"/>
          <w:szCs w:val="24"/>
          <w:lang w:val="en-GB"/>
        </w:rPr>
        <w:t xml:space="preserve"> </w:t>
      </w:r>
      <w:r w:rsidR="00200F51" w:rsidRPr="007B0231">
        <w:rPr>
          <w:rFonts w:ascii="Arial" w:hAnsi="Arial" w:cs="Arial"/>
          <w:sz w:val="24"/>
          <w:szCs w:val="24"/>
          <w:lang w:val="en-GB"/>
        </w:rPr>
        <w:t>to which counsel for the fourth respondent in the present matter referred.</w:t>
      </w:r>
    </w:p>
    <w:p w14:paraId="2A5E476B" w14:textId="77777777" w:rsidR="00EE4BE8" w:rsidRDefault="00EE4BE8" w:rsidP="00775021">
      <w:pPr>
        <w:spacing w:line="360" w:lineRule="auto"/>
        <w:rPr>
          <w:rFonts w:ascii="Arial" w:hAnsi="Arial" w:cs="Arial"/>
          <w:sz w:val="24"/>
          <w:szCs w:val="24"/>
          <w:lang w:val="en-GB"/>
        </w:rPr>
      </w:pPr>
    </w:p>
    <w:p w14:paraId="1158E232" w14:textId="52E05292" w:rsidR="00EE4BE8" w:rsidRPr="00C93C9F" w:rsidRDefault="00EE4BE8" w:rsidP="0030569B">
      <w:pPr>
        <w:spacing w:line="360" w:lineRule="auto"/>
        <w:jc w:val="both"/>
        <w:rPr>
          <w:rFonts w:ascii="Arial" w:hAnsi="Arial" w:cs="Arial"/>
          <w:b/>
          <w:bCs/>
          <w:sz w:val="24"/>
          <w:szCs w:val="24"/>
          <w:lang w:val="en-GB"/>
        </w:rPr>
      </w:pPr>
      <w:r w:rsidRPr="00C93C9F">
        <w:rPr>
          <w:rFonts w:ascii="Arial" w:hAnsi="Arial" w:cs="Arial"/>
          <w:b/>
          <w:bCs/>
          <w:sz w:val="24"/>
          <w:szCs w:val="24"/>
          <w:lang w:val="en-GB"/>
        </w:rPr>
        <w:t>Whether to grant application for extension</w:t>
      </w:r>
    </w:p>
    <w:p w14:paraId="319C3A0D" w14:textId="77777777" w:rsidR="00E64CB3" w:rsidRDefault="00E64CB3" w:rsidP="00775021">
      <w:pPr>
        <w:spacing w:line="360" w:lineRule="auto"/>
        <w:rPr>
          <w:rFonts w:ascii="Arial" w:hAnsi="Arial" w:cs="Arial"/>
          <w:sz w:val="24"/>
          <w:szCs w:val="24"/>
          <w:lang w:val="en-GB"/>
        </w:rPr>
      </w:pPr>
    </w:p>
    <w:p w14:paraId="4596620D" w14:textId="7D9A533D"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[58]</w:t>
      </w:r>
      <w:r>
        <w:rPr>
          <w:rFonts w:ascii="Arial" w:hAnsi="Arial" w:cs="Arial"/>
          <w:sz w:val="24"/>
          <w:szCs w:val="24"/>
          <w:lang w:val="en-GB"/>
        </w:rPr>
        <w:tab/>
      </w:r>
      <w:r w:rsidR="00EA7462" w:rsidRPr="007B0231">
        <w:rPr>
          <w:rFonts w:ascii="Arial" w:hAnsi="Arial" w:cs="Arial"/>
          <w:sz w:val="24"/>
          <w:szCs w:val="24"/>
          <w:lang w:val="en-GB"/>
        </w:rPr>
        <w:t>I</w:t>
      </w:r>
      <w:r w:rsidR="00200F51" w:rsidRPr="007B0231">
        <w:rPr>
          <w:rFonts w:ascii="Arial" w:hAnsi="Arial" w:cs="Arial"/>
          <w:sz w:val="24"/>
          <w:szCs w:val="24"/>
          <w:lang w:val="en-GB"/>
        </w:rPr>
        <w:t xml:space="preserve">t is </w:t>
      </w:r>
      <w:r w:rsidR="00E64CB3" w:rsidRPr="007B0231">
        <w:rPr>
          <w:rFonts w:ascii="Arial" w:hAnsi="Arial" w:cs="Arial"/>
          <w:sz w:val="24"/>
          <w:szCs w:val="24"/>
          <w:lang w:val="en-GB"/>
        </w:rPr>
        <w:t>u</w:t>
      </w:r>
      <w:r w:rsidR="00200F51" w:rsidRPr="007B0231">
        <w:rPr>
          <w:rFonts w:ascii="Arial" w:hAnsi="Arial" w:cs="Arial"/>
          <w:sz w:val="24"/>
          <w:szCs w:val="24"/>
          <w:lang w:val="en-GB"/>
        </w:rPr>
        <w:t>n</w:t>
      </w:r>
      <w:r w:rsidR="00EE4BE8" w:rsidRPr="007B0231">
        <w:rPr>
          <w:rFonts w:ascii="Arial" w:hAnsi="Arial" w:cs="Arial"/>
          <w:sz w:val="24"/>
          <w:szCs w:val="24"/>
          <w:lang w:val="en-GB"/>
        </w:rPr>
        <w:t>n</w:t>
      </w:r>
      <w:r w:rsidR="00200F51" w:rsidRPr="007B0231">
        <w:rPr>
          <w:rFonts w:ascii="Arial" w:hAnsi="Arial" w:cs="Arial"/>
          <w:sz w:val="24"/>
          <w:szCs w:val="24"/>
          <w:lang w:val="en-GB"/>
        </w:rPr>
        <w:t>ecessary</w:t>
      </w:r>
      <w:r w:rsidR="00EA7462" w:rsidRPr="007B0231">
        <w:rPr>
          <w:rFonts w:ascii="Arial" w:hAnsi="Arial" w:cs="Arial"/>
          <w:sz w:val="24"/>
          <w:szCs w:val="24"/>
          <w:lang w:val="en-GB"/>
        </w:rPr>
        <w:t xml:space="preserve"> at this stage</w:t>
      </w:r>
      <w:r w:rsidR="00200F51" w:rsidRPr="007B0231">
        <w:rPr>
          <w:rFonts w:ascii="Arial" w:hAnsi="Arial" w:cs="Arial"/>
          <w:sz w:val="24"/>
          <w:szCs w:val="24"/>
          <w:lang w:val="en-GB"/>
        </w:rPr>
        <w:t xml:space="preserve"> to embark upon </w:t>
      </w:r>
      <w:r w:rsidR="00EE4BE8" w:rsidRPr="007B0231">
        <w:rPr>
          <w:rFonts w:ascii="Arial" w:hAnsi="Arial" w:cs="Arial"/>
          <w:sz w:val="24"/>
          <w:szCs w:val="24"/>
          <w:lang w:val="en-GB"/>
        </w:rPr>
        <w:t xml:space="preserve">an </w:t>
      </w:r>
      <w:r w:rsidR="000C682E" w:rsidRPr="007B0231">
        <w:rPr>
          <w:rFonts w:ascii="Arial" w:hAnsi="Arial" w:cs="Arial"/>
          <w:sz w:val="24"/>
          <w:szCs w:val="24"/>
          <w:lang w:val="en-GB"/>
        </w:rPr>
        <w:t xml:space="preserve">enquiry </w:t>
      </w:r>
      <w:r w:rsidR="002A6B81" w:rsidRPr="007B0231">
        <w:rPr>
          <w:rFonts w:ascii="Arial" w:hAnsi="Arial" w:cs="Arial"/>
          <w:sz w:val="24"/>
          <w:szCs w:val="24"/>
          <w:lang w:val="en-GB"/>
        </w:rPr>
        <w:t>into whether the applicant’s delay was unreasonable</w:t>
      </w:r>
      <w:r w:rsidR="004D5A04" w:rsidRPr="007B0231">
        <w:rPr>
          <w:rFonts w:ascii="Arial" w:hAnsi="Arial" w:cs="Arial"/>
          <w:sz w:val="24"/>
          <w:szCs w:val="24"/>
          <w:lang w:val="en-GB"/>
        </w:rPr>
        <w:t xml:space="preserve">. </w:t>
      </w:r>
      <w:r w:rsidR="00587763" w:rsidRPr="007B0231">
        <w:rPr>
          <w:rFonts w:ascii="Arial" w:hAnsi="Arial" w:cs="Arial"/>
          <w:sz w:val="24"/>
          <w:szCs w:val="24"/>
          <w:lang w:val="en-GB"/>
        </w:rPr>
        <w:t>The court</w:t>
      </w:r>
      <w:r w:rsidR="004D5A04" w:rsidRPr="007B0231">
        <w:rPr>
          <w:rFonts w:ascii="Arial" w:hAnsi="Arial" w:cs="Arial"/>
          <w:sz w:val="24"/>
          <w:szCs w:val="24"/>
          <w:lang w:val="en-GB"/>
        </w:rPr>
        <w:t xml:space="preserve"> has </w:t>
      </w:r>
      <w:r w:rsidR="001E0F3B" w:rsidRPr="007B0231">
        <w:rPr>
          <w:rFonts w:ascii="Arial" w:hAnsi="Arial" w:cs="Arial"/>
          <w:sz w:val="24"/>
          <w:szCs w:val="24"/>
          <w:lang w:val="en-GB"/>
        </w:rPr>
        <w:t xml:space="preserve">already found that the applicant’s institution of review proceedings fell outside the 180-day period stipulated </w:t>
      </w:r>
      <w:r w:rsidR="008409D9" w:rsidRPr="007B0231">
        <w:rPr>
          <w:rFonts w:ascii="Arial" w:hAnsi="Arial" w:cs="Arial"/>
          <w:sz w:val="24"/>
          <w:szCs w:val="24"/>
          <w:lang w:val="en-GB"/>
        </w:rPr>
        <w:t>under</w:t>
      </w:r>
      <w:r w:rsidR="001E0F3B" w:rsidRPr="007B0231">
        <w:rPr>
          <w:rFonts w:ascii="Arial" w:hAnsi="Arial" w:cs="Arial"/>
          <w:sz w:val="24"/>
          <w:szCs w:val="24"/>
          <w:lang w:val="en-GB"/>
        </w:rPr>
        <w:t xml:space="preserve"> section 7(1)</w:t>
      </w:r>
      <w:r w:rsidR="00076165" w:rsidRPr="007B0231">
        <w:rPr>
          <w:rFonts w:ascii="Arial" w:hAnsi="Arial" w:cs="Arial"/>
          <w:sz w:val="24"/>
          <w:szCs w:val="24"/>
          <w:lang w:val="en-GB"/>
        </w:rPr>
        <w:t xml:space="preserve"> of PAJA.</w:t>
      </w:r>
      <w:r w:rsidR="001E0F3B" w:rsidRPr="007B0231">
        <w:rPr>
          <w:rFonts w:ascii="Arial" w:hAnsi="Arial" w:cs="Arial"/>
          <w:sz w:val="24"/>
          <w:szCs w:val="24"/>
          <w:lang w:val="en-GB"/>
        </w:rPr>
        <w:t xml:space="preserve"> </w:t>
      </w:r>
      <w:r w:rsidR="00076165" w:rsidRPr="007B0231">
        <w:rPr>
          <w:rFonts w:ascii="Arial" w:hAnsi="Arial" w:cs="Arial"/>
          <w:sz w:val="24"/>
          <w:szCs w:val="24"/>
          <w:lang w:val="en-GB"/>
        </w:rPr>
        <w:t xml:space="preserve">The decision in </w:t>
      </w:r>
      <w:r w:rsidR="00076165" w:rsidRPr="007B0231">
        <w:rPr>
          <w:rFonts w:ascii="Arial" w:hAnsi="Arial" w:cs="Arial"/>
          <w:i/>
          <w:iCs/>
          <w:sz w:val="24"/>
          <w:szCs w:val="24"/>
          <w:lang w:val="en-GB"/>
        </w:rPr>
        <w:t>OUTA</w:t>
      </w:r>
      <w:r w:rsidR="00076165" w:rsidRPr="007B0231">
        <w:rPr>
          <w:rFonts w:ascii="Arial" w:hAnsi="Arial" w:cs="Arial"/>
          <w:sz w:val="24"/>
          <w:szCs w:val="24"/>
          <w:lang w:val="en-GB"/>
        </w:rPr>
        <w:t xml:space="preserve"> makes it clear that such delay is</w:t>
      </w:r>
      <w:r w:rsidR="00051C56" w:rsidRPr="007B0231">
        <w:rPr>
          <w:rFonts w:ascii="Arial" w:hAnsi="Arial" w:cs="Arial"/>
          <w:sz w:val="24"/>
          <w:szCs w:val="24"/>
          <w:lang w:val="en-GB"/>
        </w:rPr>
        <w:t xml:space="preserve"> </w:t>
      </w:r>
      <w:r w:rsidR="00076165" w:rsidRPr="007B0231">
        <w:rPr>
          <w:rFonts w:ascii="Arial" w:hAnsi="Arial" w:cs="Arial"/>
          <w:sz w:val="24"/>
          <w:szCs w:val="24"/>
          <w:lang w:val="en-GB"/>
        </w:rPr>
        <w:t>unreasonable</w:t>
      </w:r>
      <w:r w:rsidR="00051C56" w:rsidRPr="007B0231">
        <w:rPr>
          <w:rFonts w:ascii="Arial" w:hAnsi="Arial" w:cs="Arial"/>
          <w:sz w:val="24"/>
          <w:szCs w:val="24"/>
          <w:lang w:val="en-GB"/>
        </w:rPr>
        <w:t xml:space="preserve"> </w:t>
      </w:r>
      <w:r w:rsidR="00051C56" w:rsidRPr="007B0231">
        <w:rPr>
          <w:rFonts w:ascii="Arial" w:hAnsi="Arial" w:cs="Arial"/>
          <w:i/>
          <w:iCs/>
          <w:sz w:val="24"/>
          <w:szCs w:val="24"/>
          <w:lang w:val="en-GB"/>
        </w:rPr>
        <w:t>per se</w:t>
      </w:r>
      <w:r w:rsidR="00051C56" w:rsidRPr="007B0231">
        <w:rPr>
          <w:rFonts w:ascii="Arial" w:hAnsi="Arial" w:cs="Arial"/>
          <w:sz w:val="24"/>
          <w:szCs w:val="24"/>
          <w:lang w:val="en-GB"/>
        </w:rPr>
        <w:t>.</w:t>
      </w:r>
      <w:r w:rsidR="00E54F88" w:rsidRPr="007B0231">
        <w:rPr>
          <w:rFonts w:ascii="Arial" w:hAnsi="Arial" w:cs="Arial"/>
          <w:sz w:val="24"/>
          <w:szCs w:val="24"/>
          <w:lang w:val="en-GB"/>
        </w:rPr>
        <w:t xml:space="preserve"> </w:t>
      </w:r>
      <w:r w:rsidR="00371318" w:rsidRPr="007B0231">
        <w:rPr>
          <w:rFonts w:ascii="Arial" w:hAnsi="Arial" w:cs="Arial"/>
          <w:sz w:val="24"/>
          <w:szCs w:val="24"/>
          <w:lang w:val="en-GB"/>
        </w:rPr>
        <w:t>Th</w:t>
      </w:r>
      <w:r w:rsidR="00587763" w:rsidRPr="007B0231">
        <w:rPr>
          <w:rFonts w:ascii="Arial" w:hAnsi="Arial" w:cs="Arial"/>
          <w:sz w:val="24"/>
          <w:szCs w:val="24"/>
          <w:lang w:val="en-GB"/>
        </w:rPr>
        <w:t>e court is satisfied that the applica</w:t>
      </w:r>
      <w:r w:rsidR="00816303" w:rsidRPr="007B0231">
        <w:rPr>
          <w:rFonts w:ascii="Arial" w:hAnsi="Arial" w:cs="Arial"/>
          <w:sz w:val="24"/>
          <w:szCs w:val="24"/>
          <w:lang w:val="en-GB"/>
        </w:rPr>
        <w:t>nt</w:t>
      </w:r>
      <w:r w:rsidR="00587763" w:rsidRPr="007B0231">
        <w:rPr>
          <w:rFonts w:ascii="Arial" w:hAnsi="Arial" w:cs="Arial"/>
          <w:sz w:val="24"/>
          <w:szCs w:val="24"/>
          <w:lang w:val="en-GB"/>
        </w:rPr>
        <w:t xml:space="preserve"> has made application for the extension of the period in question</w:t>
      </w:r>
      <w:r w:rsidR="003D4E27" w:rsidRPr="007B0231">
        <w:rPr>
          <w:rFonts w:ascii="Arial" w:hAnsi="Arial" w:cs="Arial"/>
          <w:sz w:val="24"/>
          <w:szCs w:val="24"/>
          <w:lang w:val="en-GB"/>
        </w:rPr>
        <w:t>,</w:t>
      </w:r>
      <w:r w:rsidR="00BC31E6" w:rsidRPr="007B0231">
        <w:rPr>
          <w:rFonts w:ascii="Arial" w:hAnsi="Arial" w:cs="Arial"/>
          <w:sz w:val="24"/>
          <w:szCs w:val="24"/>
          <w:lang w:val="en-GB"/>
        </w:rPr>
        <w:t xml:space="preserve"> </w:t>
      </w:r>
      <w:r w:rsidR="00371318" w:rsidRPr="007B0231">
        <w:rPr>
          <w:rFonts w:ascii="Arial" w:hAnsi="Arial" w:cs="Arial"/>
          <w:sz w:val="24"/>
          <w:szCs w:val="24"/>
          <w:lang w:val="en-GB"/>
        </w:rPr>
        <w:t xml:space="preserve">but </w:t>
      </w:r>
      <w:r w:rsidR="00CC78A7" w:rsidRPr="007B0231">
        <w:rPr>
          <w:rFonts w:ascii="Arial" w:hAnsi="Arial" w:cs="Arial"/>
          <w:sz w:val="24"/>
          <w:szCs w:val="24"/>
          <w:lang w:val="en-GB"/>
        </w:rPr>
        <w:t xml:space="preserve">whether </w:t>
      </w:r>
      <w:r w:rsidR="00BC31E6" w:rsidRPr="007B0231">
        <w:rPr>
          <w:rFonts w:ascii="Arial" w:hAnsi="Arial" w:cs="Arial"/>
          <w:sz w:val="24"/>
          <w:szCs w:val="24"/>
          <w:lang w:val="en-GB"/>
        </w:rPr>
        <w:t xml:space="preserve">it would be in the interests of justice to grant such application will depend on the </w:t>
      </w:r>
      <w:r w:rsidR="00E9524C" w:rsidRPr="007B0231">
        <w:rPr>
          <w:rFonts w:ascii="Arial" w:hAnsi="Arial" w:cs="Arial"/>
          <w:sz w:val="24"/>
          <w:szCs w:val="24"/>
          <w:lang w:val="en-GB"/>
        </w:rPr>
        <w:t>fact</w:t>
      </w:r>
      <w:r w:rsidR="005F3967" w:rsidRPr="007B0231">
        <w:rPr>
          <w:rFonts w:ascii="Arial" w:hAnsi="Arial" w:cs="Arial"/>
          <w:sz w:val="24"/>
          <w:szCs w:val="24"/>
          <w:lang w:val="en-GB"/>
        </w:rPr>
        <w:t>s and circumstances of th</w:t>
      </w:r>
      <w:r w:rsidR="00E54F88" w:rsidRPr="007B0231">
        <w:rPr>
          <w:rFonts w:ascii="Arial" w:hAnsi="Arial" w:cs="Arial"/>
          <w:sz w:val="24"/>
          <w:szCs w:val="24"/>
          <w:lang w:val="en-GB"/>
        </w:rPr>
        <w:t>e</w:t>
      </w:r>
      <w:r w:rsidR="005F3967" w:rsidRPr="007B0231">
        <w:rPr>
          <w:rFonts w:ascii="Arial" w:hAnsi="Arial" w:cs="Arial"/>
          <w:sz w:val="24"/>
          <w:szCs w:val="24"/>
          <w:lang w:val="en-GB"/>
        </w:rPr>
        <w:t xml:space="preserve"> matter.</w:t>
      </w:r>
    </w:p>
    <w:p w14:paraId="69207504" w14:textId="77777777" w:rsidR="0030569B" w:rsidRDefault="0030569B" w:rsidP="0030569B">
      <w:pPr>
        <w:pStyle w:val="ListParagraph"/>
        <w:spacing w:line="360" w:lineRule="auto"/>
        <w:ind w:left="0"/>
        <w:jc w:val="both"/>
        <w:rPr>
          <w:rFonts w:ascii="Arial" w:hAnsi="Arial" w:cs="Arial"/>
          <w:sz w:val="24"/>
          <w:szCs w:val="24"/>
          <w:lang w:val="en-GB"/>
        </w:rPr>
      </w:pPr>
    </w:p>
    <w:p w14:paraId="2D3C9344" w14:textId="54BF3852" w:rsidR="0030569B"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[59]</w:t>
      </w:r>
      <w:r w:rsidRPr="0030569B">
        <w:rPr>
          <w:rFonts w:ascii="Arial" w:hAnsi="Arial" w:cs="Arial"/>
          <w:sz w:val="24"/>
          <w:szCs w:val="24"/>
          <w:lang w:val="en-GB"/>
        </w:rPr>
        <w:tab/>
      </w:r>
      <w:r w:rsidR="00937874" w:rsidRPr="007B0231">
        <w:rPr>
          <w:rFonts w:ascii="Arial" w:hAnsi="Arial" w:cs="Arial"/>
          <w:sz w:val="24"/>
          <w:szCs w:val="24"/>
        </w:rPr>
        <w:t xml:space="preserve">The applicant has provided </w:t>
      </w:r>
      <w:r w:rsidR="00624F0D" w:rsidRPr="007B0231">
        <w:rPr>
          <w:rFonts w:ascii="Arial" w:hAnsi="Arial" w:cs="Arial"/>
          <w:sz w:val="24"/>
          <w:szCs w:val="24"/>
        </w:rPr>
        <w:t xml:space="preserve">an explanation for the delay. </w:t>
      </w:r>
      <w:r w:rsidR="00BC2677" w:rsidRPr="007B0231">
        <w:rPr>
          <w:rFonts w:ascii="Arial" w:hAnsi="Arial" w:cs="Arial"/>
          <w:sz w:val="24"/>
          <w:szCs w:val="24"/>
        </w:rPr>
        <w:t xml:space="preserve">Whether </w:t>
      </w:r>
      <w:r w:rsidR="00624F0D" w:rsidRPr="007B0231">
        <w:rPr>
          <w:rFonts w:ascii="Arial" w:hAnsi="Arial" w:cs="Arial"/>
          <w:sz w:val="24"/>
          <w:szCs w:val="24"/>
        </w:rPr>
        <w:t>it is sufficiently</w:t>
      </w:r>
      <w:r w:rsidR="009A54C7" w:rsidRPr="007B0231">
        <w:rPr>
          <w:rFonts w:ascii="Arial" w:hAnsi="Arial" w:cs="Arial"/>
          <w:sz w:val="24"/>
          <w:szCs w:val="24"/>
        </w:rPr>
        <w:t xml:space="preserve"> full and reasonable </w:t>
      </w:r>
      <w:r w:rsidR="00C93C9F" w:rsidRPr="007B0231">
        <w:rPr>
          <w:rFonts w:ascii="Arial" w:hAnsi="Arial" w:cs="Arial"/>
          <w:sz w:val="24"/>
          <w:szCs w:val="24"/>
        </w:rPr>
        <w:t>i</w:t>
      </w:r>
      <w:r w:rsidR="00AF7114" w:rsidRPr="007B0231">
        <w:rPr>
          <w:rFonts w:ascii="Arial" w:hAnsi="Arial" w:cs="Arial"/>
          <w:sz w:val="24"/>
          <w:szCs w:val="24"/>
        </w:rPr>
        <w:t>s</w:t>
      </w:r>
      <w:r w:rsidR="009A54C7" w:rsidRPr="007B0231">
        <w:rPr>
          <w:rFonts w:ascii="Arial" w:hAnsi="Arial" w:cs="Arial"/>
          <w:sz w:val="24"/>
          <w:szCs w:val="24"/>
        </w:rPr>
        <w:t xml:space="preserve"> </w:t>
      </w:r>
      <w:r w:rsidR="00A1146E" w:rsidRPr="007B0231">
        <w:rPr>
          <w:rFonts w:ascii="Arial" w:hAnsi="Arial" w:cs="Arial"/>
          <w:sz w:val="24"/>
          <w:szCs w:val="24"/>
        </w:rPr>
        <w:t xml:space="preserve">questionable. </w:t>
      </w:r>
      <w:r w:rsidR="00164634" w:rsidRPr="007B0231">
        <w:rPr>
          <w:rFonts w:ascii="Arial" w:hAnsi="Arial" w:cs="Arial"/>
          <w:sz w:val="24"/>
          <w:szCs w:val="24"/>
        </w:rPr>
        <w:t>The COVID-19 pandemic had an extraor</w:t>
      </w:r>
      <w:r w:rsidR="00A85629" w:rsidRPr="007B0231">
        <w:rPr>
          <w:rFonts w:ascii="Arial" w:hAnsi="Arial" w:cs="Arial"/>
          <w:sz w:val="24"/>
          <w:szCs w:val="24"/>
        </w:rPr>
        <w:t xml:space="preserve">dinary </w:t>
      </w:r>
      <w:r w:rsidR="0071545D" w:rsidRPr="007B0231">
        <w:rPr>
          <w:rFonts w:ascii="Arial" w:hAnsi="Arial" w:cs="Arial"/>
          <w:sz w:val="24"/>
          <w:szCs w:val="24"/>
        </w:rPr>
        <w:t>impa</w:t>
      </w:r>
      <w:r w:rsidR="00A85629" w:rsidRPr="007B0231">
        <w:rPr>
          <w:rFonts w:ascii="Arial" w:hAnsi="Arial" w:cs="Arial"/>
          <w:sz w:val="24"/>
          <w:szCs w:val="24"/>
        </w:rPr>
        <w:t xml:space="preserve">ct on society but </w:t>
      </w:r>
      <w:r w:rsidR="004B59C2" w:rsidRPr="007B0231">
        <w:rPr>
          <w:rFonts w:ascii="Arial" w:hAnsi="Arial" w:cs="Arial"/>
          <w:sz w:val="24"/>
          <w:szCs w:val="24"/>
        </w:rPr>
        <w:t>did not</w:t>
      </w:r>
      <w:r w:rsidR="00CC2A64" w:rsidRPr="007B0231">
        <w:rPr>
          <w:rFonts w:ascii="Arial" w:hAnsi="Arial" w:cs="Arial"/>
          <w:sz w:val="24"/>
          <w:szCs w:val="24"/>
        </w:rPr>
        <w:t xml:space="preserve"> </w:t>
      </w:r>
      <w:r w:rsidR="004B59C2" w:rsidRPr="007B0231">
        <w:rPr>
          <w:rFonts w:ascii="Arial" w:hAnsi="Arial" w:cs="Arial"/>
          <w:sz w:val="24"/>
          <w:szCs w:val="24"/>
        </w:rPr>
        <w:t xml:space="preserve">prevent </w:t>
      </w:r>
      <w:r w:rsidR="00CC2A64" w:rsidRPr="007B0231">
        <w:rPr>
          <w:rFonts w:ascii="Arial" w:hAnsi="Arial" w:cs="Arial"/>
          <w:sz w:val="24"/>
          <w:szCs w:val="24"/>
        </w:rPr>
        <w:t xml:space="preserve">altogether </w:t>
      </w:r>
      <w:r w:rsidR="00684201" w:rsidRPr="007B0231">
        <w:rPr>
          <w:rFonts w:ascii="Arial" w:hAnsi="Arial" w:cs="Arial"/>
          <w:sz w:val="24"/>
          <w:szCs w:val="24"/>
        </w:rPr>
        <w:t xml:space="preserve">the usual conduct of socio-economic </w:t>
      </w:r>
      <w:r w:rsidR="003A20E9" w:rsidRPr="007B0231">
        <w:rPr>
          <w:rFonts w:ascii="Arial" w:hAnsi="Arial" w:cs="Arial"/>
          <w:sz w:val="24"/>
          <w:szCs w:val="24"/>
        </w:rPr>
        <w:t>activities</w:t>
      </w:r>
      <w:r w:rsidR="00E126AC" w:rsidRPr="007B0231">
        <w:rPr>
          <w:rFonts w:ascii="Arial" w:hAnsi="Arial" w:cs="Arial"/>
          <w:sz w:val="24"/>
          <w:szCs w:val="24"/>
        </w:rPr>
        <w:t xml:space="preserve">. Within the legal </w:t>
      </w:r>
      <w:r w:rsidR="00E71DA1" w:rsidRPr="007B0231">
        <w:rPr>
          <w:rFonts w:ascii="Arial" w:hAnsi="Arial" w:cs="Arial"/>
          <w:sz w:val="24"/>
          <w:szCs w:val="24"/>
        </w:rPr>
        <w:t xml:space="preserve">sector, </w:t>
      </w:r>
      <w:r w:rsidR="003A20E9" w:rsidRPr="007B0231">
        <w:rPr>
          <w:rFonts w:ascii="Arial" w:hAnsi="Arial" w:cs="Arial"/>
          <w:sz w:val="24"/>
          <w:szCs w:val="24"/>
        </w:rPr>
        <w:t xml:space="preserve">ICT facilities </w:t>
      </w:r>
      <w:r w:rsidR="000F5F4B" w:rsidRPr="007B0231">
        <w:rPr>
          <w:rFonts w:ascii="Arial" w:hAnsi="Arial" w:cs="Arial"/>
          <w:sz w:val="24"/>
          <w:szCs w:val="24"/>
        </w:rPr>
        <w:t xml:space="preserve">allowed </w:t>
      </w:r>
      <w:r w:rsidR="00116901" w:rsidRPr="007B0231">
        <w:rPr>
          <w:rFonts w:ascii="Arial" w:hAnsi="Arial" w:cs="Arial"/>
          <w:sz w:val="24"/>
          <w:szCs w:val="24"/>
        </w:rPr>
        <w:t xml:space="preserve">an adequate measure of communication between </w:t>
      </w:r>
      <w:r w:rsidR="00E71DA1" w:rsidRPr="007B0231">
        <w:rPr>
          <w:rFonts w:ascii="Arial" w:hAnsi="Arial" w:cs="Arial"/>
          <w:sz w:val="24"/>
          <w:szCs w:val="24"/>
        </w:rPr>
        <w:t>client and practitioner</w:t>
      </w:r>
      <w:r w:rsidR="00CA5598" w:rsidRPr="007B0231">
        <w:rPr>
          <w:rFonts w:ascii="Arial" w:hAnsi="Arial" w:cs="Arial"/>
          <w:sz w:val="24"/>
          <w:szCs w:val="24"/>
        </w:rPr>
        <w:t>, and the functioning of the courts continued, albeit subject to</w:t>
      </w:r>
      <w:r w:rsidR="002E4C0C" w:rsidRPr="007B0231">
        <w:rPr>
          <w:rFonts w:ascii="Arial" w:hAnsi="Arial" w:cs="Arial"/>
          <w:sz w:val="24"/>
          <w:szCs w:val="24"/>
        </w:rPr>
        <w:t xml:space="preserve"> limitations. In the present matter, it is </w:t>
      </w:r>
      <w:r w:rsidR="00BD6604" w:rsidRPr="007B0231">
        <w:rPr>
          <w:rFonts w:ascii="Arial" w:hAnsi="Arial" w:cs="Arial"/>
          <w:sz w:val="24"/>
          <w:szCs w:val="24"/>
        </w:rPr>
        <w:t xml:space="preserve">apparent that </w:t>
      </w:r>
      <w:r w:rsidR="002E4C0C" w:rsidRPr="007B0231">
        <w:rPr>
          <w:rFonts w:ascii="Arial" w:hAnsi="Arial" w:cs="Arial"/>
          <w:sz w:val="24"/>
          <w:szCs w:val="24"/>
        </w:rPr>
        <w:t>the applicant’s spouse, Mr</w:t>
      </w:r>
      <w:r w:rsidR="00E74092" w:rsidRPr="007B0231">
        <w:rPr>
          <w:rFonts w:ascii="Arial" w:hAnsi="Arial" w:cs="Arial"/>
          <w:sz w:val="24"/>
          <w:szCs w:val="24"/>
        </w:rPr>
        <w:t xml:space="preserve"> Long, was </w:t>
      </w:r>
      <w:r w:rsidR="00BD6604" w:rsidRPr="007B0231">
        <w:rPr>
          <w:rFonts w:ascii="Arial" w:hAnsi="Arial" w:cs="Arial"/>
          <w:sz w:val="24"/>
          <w:szCs w:val="24"/>
        </w:rPr>
        <w:t>closely involved</w:t>
      </w:r>
      <w:r w:rsidR="001F3CD7" w:rsidRPr="007B0231">
        <w:rPr>
          <w:rFonts w:ascii="Arial" w:hAnsi="Arial" w:cs="Arial"/>
          <w:sz w:val="24"/>
          <w:szCs w:val="24"/>
        </w:rPr>
        <w:t xml:space="preserve"> but it is unclear why he was </w:t>
      </w:r>
      <w:r w:rsidR="00BD6C11" w:rsidRPr="007B0231">
        <w:rPr>
          <w:rFonts w:ascii="Arial" w:hAnsi="Arial" w:cs="Arial"/>
          <w:sz w:val="24"/>
          <w:szCs w:val="24"/>
        </w:rPr>
        <w:t xml:space="preserve">unable to take the necessary steps to institute review proceedings, notwithstanding the applicant’s </w:t>
      </w:r>
      <w:r w:rsidR="009470E1" w:rsidRPr="007B0231">
        <w:rPr>
          <w:rFonts w:ascii="Arial" w:hAnsi="Arial" w:cs="Arial"/>
          <w:sz w:val="24"/>
          <w:szCs w:val="24"/>
        </w:rPr>
        <w:t>illness</w:t>
      </w:r>
      <w:r w:rsidR="007E5F32" w:rsidRPr="007B0231">
        <w:rPr>
          <w:rFonts w:ascii="Arial" w:hAnsi="Arial" w:cs="Arial"/>
          <w:sz w:val="24"/>
          <w:szCs w:val="24"/>
        </w:rPr>
        <w:t>. It is also unclear why an alternative professional</w:t>
      </w:r>
      <w:r w:rsidR="002C7E40" w:rsidRPr="007B0231">
        <w:rPr>
          <w:rFonts w:ascii="Arial" w:hAnsi="Arial" w:cs="Arial"/>
          <w:sz w:val="24"/>
          <w:szCs w:val="24"/>
        </w:rPr>
        <w:t xml:space="preserve"> at the offices of the applicant’s attorneys, with or without the assistance of counsel, could not have </w:t>
      </w:r>
      <w:r w:rsidR="00596423" w:rsidRPr="007B0231">
        <w:rPr>
          <w:rFonts w:ascii="Arial" w:hAnsi="Arial" w:cs="Arial"/>
          <w:sz w:val="24"/>
          <w:szCs w:val="24"/>
        </w:rPr>
        <w:t xml:space="preserve">become involved, notwithstanding Mr Coetzee’s </w:t>
      </w:r>
      <w:r w:rsidR="00570AF8" w:rsidRPr="007B0231">
        <w:rPr>
          <w:rFonts w:ascii="Arial" w:hAnsi="Arial" w:cs="Arial"/>
          <w:sz w:val="24"/>
          <w:szCs w:val="24"/>
        </w:rPr>
        <w:t>having contracted the virus</w:t>
      </w:r>
      <w:r w:rsidR="00CC2A64" w:rsidRPr="007B0231">
        <w:rPr>
          <w:rFonts w:ascii="Arial" w:hAnsi="Arial" w:cs="Arial"/>
          <w:sz w:val="24"/>
          <w:szCs w:val="24"/>
        </w:rPr>
        <w:t>.</w:t>
      </w:r>
    </w:p>
    <w:p w14:paraId="07EA5EE4" w14:textId="77777777" w:rsidR="0030569B" w:rsidRPr="0030569B" w:rsidRDefault="0030569B" w:rsidP="0030569B">
      <w:pPr>
        <w:pStyle w:val="ListParagraph"/>
        <w:rPr>
          <w:rFonts w:ascii="Arial" w:hAnsi="Arial" w:cs="Arial"/>
          <w:sz w:val="24"/>
          <w:szCs w:val="24"/>
        </w:rPr>
      </w:pPr>
    </w:p>
    <w:p w14:paraId="4801A0D5" w14:textId="740B807C" w:rsidR="0030569B"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[60]</w:t>
      </w:r>
      <w:r w:rsidRPr="0030569B">
        <w:rPr>
          <w:rFonts w:ascii="Arial" w:hAnsi="Arial" w:cs="Arial"/>
          <w:sz w:val="24"/>
          <w:szCs w:val="24"/>
          <w:lang w:val="en-GB"/>
        </w:rPr>
        <w:tab/>
      </w:r>
      <w:r w:rsidR="00F04848" w:rsidRPr="007B0231">
        <w:rPr>
          <w:rFonts w:ascii="Arial" w:hAnsi="Arial" w:cs="Arial"/>
          <w:sz w:val="24"/>
          <w:szCs w:val="24"/>
        </w:rPr>
        <w:t xml:space="preserve">The extent and cause of the delay </w:t>
      </w:r>
      <w:r w:rsidR="00566A94" w:rsidRPr="007B0231">
        <w:rPr>
          <w:rFonts w:ascii="Arial" w:hAnsi="Arial" w:cs="Arial"/>
          <w:sz w:val="24"/>
          <w:szCs w:val="24"/>
        </w:rPr>
        <w:t xml:space="preserve">remain a </w:t>
      </w:r>
      <w:r w:rsidR="00BC68D5" w:rsidRPr="007B0231">
        <w:rPr>
          <w:rFonts w:ascii="Arial" w:hAnsi="Arial" w:cs="Arial"/>
          <w:sz w:val="24"/>
          <w:szCs w:val="24"/>
        </w:rPr>
        <w:t xml:space="preserve">cause for concern. The fourth respondent </w:t>
      </w:r>
      <w:r w:rsidR="004E1566" w:rsidRPr="007B0231">
        <w:rPr>
          <w:rFonts w:ascii="Arial" w:hAnsi="Arial" w:cs="Arial"/>
          <w:sz w:val="24"/>
          <w:szCs w:val="24"/>
        </w:rPr>
        <w:t xml:space="preserve">lodged </w:t>
      </w:r>
      <w:r w:rsidR="00BC68D5" w:rsidRPr="007B0231">
        <w:rPr>
          <w:rFonts w:ascii="Arial" w:hAnsi="Arial" w:cs="Arial"/>
          <w:sz w:val="24"/>
          <w:szCs w:val="24"/>
        </w:rPr>
        <w:t xml:space="preserve">its </w:t>
      </w:r>
      <w:r w:rsidR="004E1566" w:rsidRPr="007B0231">
        <w:rPr>
          <w:rFonts w:ascii="Arial" w:hAnsi="Arial" w:cs="Arial"/>
          <w:sz w:val="24"/>
          <w:szCs w:val="24"/>
        </w:rPr>
        <w:t xml:space="preserve">departure and removal </w:t>
      </w:r>
      <w:r w:rsidR="00BC68D5" w:rsidRPr="007B0231">
        <w:rPr>
          <w:rFonts w:ascii="Arial" w:hAnsi="Arial" w:cs="Arial"/>
          <w:sz w:val="24"/>
          <w:szCs w:val="24"/>
        </w:rPr>
        <w:t xml:space="preserve">application </w:t>
      </w:r>
      <w:r w:rsidR="004E1566" w:rsidRPr="007B0231">
        <w:rPr>
          <w:rFonts w:ascii="Arial" w:hAnsi="Arial" w:cs="Arial"/>
          <w:sz w:val="24"/>
          <w:szCs w:val="24"/>
        </w:rPr>
        <w:t>on 16 July 2018</w:t>
      </w:r>
      <w:r w:rsidR="00566A94" w:rsidRPr="007B0231">
        <w:rPr>
          <w:rFonts w:ascii="Arial" w:hAnsi="Arial" w:cs="Arial"/>
          <w:sz w:val="24"/>
          <w:szCs w:val="24"/>
        </w:rPr>
        <w:t xml:space="preserve">; </w:t>
      </w:r>
      <w:r w:rsidR="00F00AE4" w:rsidRPr="007B0231">
        <w:rPr>
          <w:rFonts w:ascii="Arial" w:hAnsi="Arial" w:cs="Arial"/>
          <w:sz w:val="24"/>
          <w:szCs w:val="24"/>
        </w:rPr>
        <w:t xml:space="preserve">the </w:t>
      </w:r>
      <w:r w:rsidR="000D3B96" w:rsidRPr="007B0231">
        <w:rPr>
          <w:rFonts w:ascii="Arial" w:hAnsi="Arial" w:cs="Arial"/>
          <w:sz w:val="24"/>
          <w:szCs w:val="24"/>
        </w:rPr>
        <w:t xml:space="preserve">resulting </w:t>
      </w:r>
      <w:r w:rsidR="00F00AE4" w:rsidRPr="007B0231">
        <w:rPr>
          <w:rFonts w:ascii="Arial" w:hAnsi="Arial" w:cs="Arial"/>
          <w:sz w:val="24"/>
          <w:szCs w:val="24"/>
        </w:rPr>
        <w:t xml:space="preserve">dispute </w:t>
      </w:r>
      <w:r w:rsidR="00566A94" w:rsidRPr="007B0231">
        <w:rPr>
          <w:rFonts w:ascii="Arial" w:hAnsi="Arial" w:cs="Arial"/>
          <w:sz w:val="24"/>
          <w:szCs w:val="24"/>
        </w:rPr>
        <w:t xml:space="preserve">has only reached </w:t>
      </w:r>
      <w:r w:rsidR="000D3B96" w:rsidRPr="007B0231">
        <w:rPr>
          <w:rFonts w:ascii="Arial" w:hAnsi="Arial" w:cs="Arial"/>
          <w:sz w:val="24"/>
          <w:szCs w:val="24"/>
        </w:rPr>
        <w:t>court some five years later</w:t>
      </w:r>
      <w:r w:rsidR="000F544E" w:rsidRPr="007B0231">
        <w:rPr>
          <w:rFonts w:ascii="Arial" w:hAnsi="Arial" w:cs="Arial"/>
          <w:sz w:val="24"/>
          <w:szCs w:val="24"/>
        </w:rPr>
        <w:t xml:space="preserve">. </w:t>
      </w:r>
      <w:r w:rsidR="00C06E44" w:rsidRPr="007B0231">
        <w:rPr>
          <w:rFonts w:ascii="Arial" w:hAnsi="Arial" w:cs="Arial"/>
          <w:sz w:val="24"/>
          <w:szCs w:val="24"/>
        </w:rPr>
        <w:t>Inasmuch as t</w:t>
      </w:r>
      <w:r w:rsidR="000F544E" w:rsidRPr="007B0231">
        <w:rPr>
          <w:rFonts w:ascii="Arial" w:hAnsi="Arial" w:cs="Arial"/>
          <w:sz w:val="24"/>
          <w:szCs w:val="24"/>
        </w:rPr>
        <w:t xml:space="preserve">he municipality can be criticised </w:t>
      </w:r>
      <w:r w:rsidR="00F67F1F" w:rsidRPr="007B0231">
        <w:rPr>
          <w:rFonts w:ascii="Arial" w:hAnsi="Arial" w:cs="Arial"/>
          <w:sz w:val="24"/>
          <w:szCs w:val="24"/>
        </w:rPr>
        <w:t xml:space="preserve">for not having ensured that the </w:t>
      </w:r>
      <w:r w:rsidR="00FD500D" w:rsidRPr="007B0231">
        <w:rPr>
          <w:rFonts w:ascii="Arial" w:hAnsi="Arial" w:cs="Arial"/>
          <w:sz w:val="24"/>
          <w:szCs w:val="24"/>
        </w:rPr>
        <w:t xml:space="preserve">proceedings before the tribunal and the appeal authority </w:t>
      </w:r>
      <w:r w:rsidR="00A81FC4" w:rsidRPr="007B0231">
        <w:rPr>
          <w:rFonts w:ascii="Arial" w:hAnsi="Arial" w:cs="Arial"/>
          <w:sz w:val="24"/>
          <w:szCs w:val="24"/>
        </w:rPr>
        <w:t>took</w:t>
      </w:r>
      <w:r w:rsidR="00C06E44" w:rsidRPr="007B0231">
        <w:rPr>
          <w:rFonts w:ascii="Arial" w:hAnsi="Arial" w:cs="Arial"/>
          <w:sz w:val="24"/>
          <w:szCs w:val="24"/>
        </w:rPr>
        <w:t xml:space="preserve"> place more expeditiously</w:t>
      </w:r>
      <w:r w:rsidR="00EB695B" w:rsidRPr="007B0231">
        <w:rPr>
          <w:rFonts w:ascii="Arial" w:hAnsi="Arial" w:cs="Arial"/>
          <w:sz w:val="24"/>
          <w:szCs w:val="24"/>
        </w:rPr>
        <w:t xml:space="preserve">, </w:t>
      </w:r>
      <w:r w:rsidR="00837D56" w:rsidRPr="007B0231">
        <w:rPr>
          <w:rFonts w:ascii="Arial" w:hAnsi="Arial" w:cs="Arial"/>
          <w:sz w:val="24"/>
          <w:szCs w:val="24"/>
        </w:rPr>
        <w:t xml:space="preserve">the applicant’s delay </w:t>
      </w:r>
      <w:r w:rsidR="00C01DB0" w:rsidRPr="007B0231">
        <w:rPr>
          <w:rFonts w:ascii="Arial" w:hAnsi="Arial" w:cs="Arial"/>
          <w:sz w:val="24"/>
          <w:szCs w:val="24"/>
        </w:rPr>
        <w:t xml:space="preserve">has </w:t>
      </w:r>
      <w:r w:rsidR="00B459E9" w:rsidRPr="007B0231">
        <w:rPr>
          <w:rFonts w:ascii="Arial" w:hAnsi="Arial" w:cs="Arial"/>
          <w:sz w:val="24"/>
          <w:szCs w:val="24"/>
        </w:rPr>
        <w:t xml:space="preserve">served to </w:t>
      </w:r>
      <w:r w:rsidR="00566A94" w:rsidRPr="007B0231">
        <w:rPr>
          <w:rFonts w:ascii="Arial" w:hAnsi="Arial" w:cs="Arial"/>
          <w:sz w:val="24"/>
          <w:szCs w:val="24"/>
        </w:rPr>
        <w:t xml:space="preserve">exacerbate </w:t>
      </w:r>
      <w:r w:rsidR="00B459E9" w:rsidRPr="007B0231">
        <w:rPr>
          <w:rFonts w:ascii="Arial" w:hAnsi="Arial" w:cs="Arial"/>
          <w:sz w:val="24"/>
          <w:szCs w:val="24"/>
        </w:rPr>
        <w:t xml:space="preserve">the uncertainty </w:t>
      </w:r>
      <w:r w:rsidR="001C72F2" w:rsidRPr="007B0231">
        <w:rPr>
          <w:rFonts w:ascii="Arial" w:hAnsi="Arial" w:cs="Arial"/>
          <w:sz w:val="24"/>
          <w:szCs w:val="24"/>
        </w:rPr>
        <w:t>of the matter</w:t>
      </w:r>
      <w:r w:rsidR="00260AC0" w:rsidRPr="007B0231">
        <w:rPr>
          <w:rFonts w:ascii="Arial" w:hAnsi="Arial" w:cs="Arial"/>
          <w:sz w:val="24"/>
          <w:szCs w:val="24"/>
        </w:rPr>
        <w:t xml:space="preserve">. The fourth respondent has </w:t>
      </w:r>
      <w:r w:rsidR="001457E3" w:rsidRPr="007B0231">
        <w:rPr>
          <w:rFonts w:ascii="Arial" w:hAnsi="Arial" w:cs="Arial"/>
          <w:sz w:val="24"/>
          <w:szCs w:val="24"/>
        </w:rPr>
        <w:t xml:space="preserve">mentioned, in some detail, the prejudice to its </w:t>
      </w:r>
      <w:r w:rsidR="00950227" w:rsidRPr="007B0231">
        <w:rPr>
          <w:rFonts w:ascii="Arial" w:hAnsi="Arial" w:cs="Arial"/>
          <w:sz w:val="24"/>
          <w:szCs w:val="24"/>
        </w:rPr>
        <w:t>business operations.</w:t>
      </w:r>
      <w:r w:rsidR="00C06E44" w:rsidRPr="007B0231">
        <w:rPr>
          <w:rFonts w:ascii="Arial" w:hAnsi="Arial" w:cs="Arial"/>
          <w:sz w:val="24"/>
          <w:szCs w:val="24"/>
        </w:rPr>
        <w:t xml:space="preserve"> </w:t>
      </w:r>
    </w:p>
    <w:p w14:paraId="0183F1CF" w14:textId="77777777" w:rsidR="0030569B" w:rsidRPr="0030569B" w:rsidRDefault="0030569B" w:rsidP="0030569B">
      <w:pPr>
        <w:pStyle w:val="ListParagraph"/>
        <w:rPr>
          <w:rFonts w:ascii="Arial" w:hAnsi="Arial" w:cs="Arial"/>
          <w:sz w:val="24"/>
          <w:szCs w:val="24"/>
        </w:rPr>
      </w:pPr>
    </w:p>
    <w:p w14:paraId="73F1B341" w14:textId="020BD56B" w:rsidR="00344869"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lastRenderedPageBreak/>
        <w:t>[61]</w:t>
      </w:r>
      <w:r w:rsidRPr="0030569B">
        <w:rPr>
          <w:rFonts w:ascii="Arial" w:hAnsi="Arial" w:cs="Arial"/>
          <w:sz w:val="24"/>
          <w:szCs w:val="24"/>
          <w:lang w:val="en-GB"/>
        </w:rPr>
        <w:tab/>
      </w:r>
      <w:r w:rsidR="00C83A61" w:rsidRPr="007B0231">
        <w:rPr>
          <w:rFonts w:ascii="Arial" w:hAnsi="Arial" w:cs="Arial"/>
          <w:sz w:val="24"/>
          <w:szCs w:val="24"/>
        </w:rPr>
        <w:t xml:space="preserve">An integral </w:t>
      </w:r>
      <w:r w:rsidR="00395FFB" w:rsidRPr="007B0231">
        <w:rPr>
          <w:rFonts w:ascii="Arial" w:hAnsi="Arial" w:cs="Arial"/>
          <w:sz w:val="24"/>
          <w:szCs w:val="24"/>
        </w:rPr>
        <w:t>part of the bundle of facts and circumstances</w:t>
      </w:r>
      <w:r w:rsidR="00DE7191" w:rsidRPr="007B0231">
        <w:rPr>
          <w:rFonts w:ascii="Arial" w:hAnsi="Arial" w:cs="Arial"/>
          <w:sz w:val="24"/>
          <w:szCs w:val="24"/>
        </w:rPr>
        <w:t xml:space="preserve"> </w:t>
      </w:r>
      <w:r w:rsidR="00C83A61" w:rsidRPr="007B0231">
        <w:rPr>
          <w:rFonts w:ascii="Arial" w:hAnsi="Arial" w:cs="Arial"/>
          <w:sz w:val="24"/>
          <w:szCs w:val="24"/>
        </w:rPr>
        <w:t xml:space="preserve">to </w:t>
      </w:r>
      <w:r w:rsidR="00DE7191" w:rsidRPr="007B0231">
        <w:rPr>
          <w:rFonts w:ascii="Arial" w:hAnsi="Arial" w:cs="Arial"/>
          <w:sz w:val="24"/>
          <w:szCs w:val="24"/>
        </w:rPr>
        <w:t>be considered when deciding whether to</w:t>
      </w:r>
      <w:r w:rsidR="00567C83" w:rsidRPr="007B0231">
        <w:rPr>
          <w:rFonts w:ascii="Arial" w:hAnsi="Arial" w:cs="Arial"/>
          <w:sz w:val="24"/>
          <w:szCs w:val="24"/>
        </w:rPr>
        <w:t xml:space="preserve"> grant the application for extension</w:t>
      </w:r>
      <w:r w:rsidR="00C83A61" w:rsidRPr="007B0231">
        <w:rPr>
          <w:rFonts w:ascii="Arial" w:hAnsi="Arial" w:cs="Arial"/>
          <w:sz w:val="24"/>
          <w:szCs w:val="24"/>
        </w:rPr>
        <w:t xml:space="preserve"> </w:t>
      </w:r>
      <w:r w:rsidR="00566A94" w:rsidRPr="007B0231">
        <w:rPr>
          <w:rFonts w:ascii="Arial" w:hAnsi="Arial" w:cs="Arial"/>
          <w:sz w:val="24"/>
          <w:szCs w:val="24"/>
        </w:rPr>
        <w:t xml:space="preserve">is an assessment of </w:t>
      </w:r>
      <w:r w:rsidR="00C83A61" w:rsidRPr="007B0231">
        <w:rPr>
          <w:rFonts w:ascii="Arial" w:hAnsi="Arial" w:cs="Arial"/>
          <w:sz w:val="24"/>
          <w:szCs w:val="24"/>
        </w:rPr>
        <w:t xml:space="preserve">the applicant’s prospects of success in the </w:t>
      </w:r>
      <w:r w:rsidR="006222E3" w:rsidRPr="007B0231">
        <w:rPr>
          <w:rFonts w:ascii="Arial" w:hAnsi="Arial" w:cs="Arial"/>
          <w:sz w:val="24"/>
          <w:szCs w:val="24"/>
        </w:rPr>
        <w:t>review proceedings</w:t>
      </w:r>
      <w:r w:rsidR="00567C83" w:rsidRPr="007B0231">
        <w:rPr>
          <w:rFonts w:ascii="Arial" w:hAnsi="Arial" w:cs="Arial"/>
          <w:sz w:val="24"/>
          <w:szCs w:val="24"/>
        </w:rPr>
        <w:t>.</w:t>
      </w:r>
      <w:r w:rsidR="00490A29" w:rsidRPr="007B0231">
        <w:rPr>
          <w:rFonts w:ascii="Arial" w:hAnsi="Arial" w:cs="Arial"/>
          <w:sz w:val="24"/>
          <w:szCs w:val="24"/>
        </w:rPr>
        <w:t xml:space="preserve"> </w:t>
      </w:r>
      <w:r w:rsidR="00EC6153" w:rsidRPr="007B0231">
        <w:rPr>
          <w:rFonts w:ascii="Arial" w:hAnsi="Arial" w:cs="Arial"/>
          <w:sz w:val="24"/>
          <w:szCs w:val="24"/>
        </w:rPr>
        <w:t xml:space="preserve">This was emphasised by the </w:t>
      </w:r>
      <w:r w:rsidR="00913FBF" w:rsidRPr="007B0231">
        <w:rPr>
          <w:rFonts w:ascii="Arial" w:hAnsi="Arial" w:cs="Arial"/>
          <w:sz w:val="24"/>
          <w:szCs w:val="24"/>
        </w:rPr>
        <w:t xml:space="preserve">Supreme Court of Appeal in </w:t>
      </w:r>
      <w:r w:rsidR="00383BA4" w:rsidRPr="007B0231">
        <w:rPr>
          <w:rFonts w:ascii="Arial" w:hAnsi="Arial" w:cs="Arial"/>
          <w:i/>
          <w:iCs/>
          <w:sz w:val="24"/>
          <w:szCs w:val="24"/>
        </w:rPr>
        <w:t>South African National Roads Agency Ltd v City of Cape Town</w:t>
      </w:r>
      <w:r w:rsidR="00383BA4" w:rsidRPr="007B0231">
        <w:rPr>
          <w:rFonts w:ascii="Arial" w:hAnsi="Arial" w:cs="Arial"/>
          <w:sz w:val="24"/>
          <w:szCs w:val="24"/>
        </w:rPr>
        <w:t>,</w:t>
      </w:r>
      <w:r w:rsidR="00383BA4">
        <w:rPr>
          <w:rStyle w:val="FootnoteReference"/>
          <w:rFonts w:ascii="Arial" w:hAnsi="Arial" w:cs="Arial"/>
          <w:sz w:val="24"/>
          <w:szCs w:val="24"/>
        </w:rPr>
        <w:footnoteReference w:id="43"/>
      </w:r>
      <w:r w:rsidR="001D0330" w:rsidRPr="007B0231">
        <w:rPr>
          <w:rFonts w:ascii="Arial" w:hAnsi="Arial" w:cs="Arial"/>
          <w:sz w:val="24"/>
          <w:szCs w:val="24"/>
        </w:rPr>
        <w:t xml:space="preserve"> where Navsa JA held that </w:t>
      </w:r>
      <w:r w:rsidR="00F02654" w:rsidRPr="007B0231">
        <w:rPr>
          <w:rFonts w:ascii="Arial" w:hAnsi="Arial" w:cs="Arial"/>
          <w:sz w:val="24"/>
          <w:szCs w:val="24"/>
        </w:rPr>
        <w:t xml:space="preserve">the merits of </w:t>
      </w:r>
      <w:r w:rsidR="0064756C" w:rsidRPr="007B0231">
        <w:rPr>
          <w:rFonts w:ascii="Arial" w:hAnsi="Arial" w:cs="Arial"/>
          <w:sz w:val="24"/>
          <w:szCs w:val="24"/>
        </w:rPr>
        <w:t xml:space="preserve">an </w:t>
      </w:r>
      <w:r w:rsidR="00F02654" w:rsidRPr="007B0231">
        <w:rPr>
          <w:rFonts w:ascii="Arial" w:hAnsi="Arial" w:cs="Arial"/>
          <w:sz w:val="24"/>
          <w:szCs w:val="24"/>
        </w:rPr>
        <w:t>impugned</w:t>
      </w:r>
      <w:r w:rsidR="0064756C" w:rsidRPr="007B0231">
        <w:rPr>
          <w:rFonts w:ascii="Arial" w:hAnsi="Arial" w:cs="Arial"/>
          <w:sz w:val="24"/>
          <w:szCs w:val="24"/>
        </w:rPr>
        <w:t xml:space="preserve"> decision </w:t>
      </w:r>
      <w:r w:rsidR="001E4128" w:rsidRPr="007B0231">
        <w:rPr>
          <w:rFonts w:ascii="Arial" w:hAnsi="Arial" w:cs="Arial"/>
          <w:sz w:val="24"/>
          <w:szCs w:val="24"/>
        </w:rPr>
        <w:t xml:space="preserve">are critical when a court embarks </w:t>
      </w:r>
      <w:r w:rsidR="00343C6A" w:rsidRPr="007B0231">
        <w:rPr>
          <w:rFonts w:ascii="Arial" w:hAnsi="Arial" w:cs="Arial"/>
          <w:sz w:val="24"/>
          <w:szCs w:val="24"/>
        </w:rPr>
        <w:t>upon a consideration of the facts and circumstances</w:t>
      </w:r>
      <w:r w:rsidR="00970D43" w:rsidRPr="007B0231">
        <w:rPr>
          <w:rFonts w:ascii="Arial" w:hAnsi="Arial" w:cs="Arial"/>
          <w:sz w:val="24"/>
          <w:szCs w:val="24"/>
        </w:rPr>
        <w:t xml:space="preserve"> of a case to determine whether the interests of justice </w:t>
      </w:r>
      <w:r w:rsidR="00AA2B9C" w:rsidRPr="007B0231">
        <w:rPr>
          <w:rFonts w:ascii="Arial" w:hAnsi="Arial" w:cs="Arial"/>
          <w:sz w:val="24"/>
          <w:szCs w:val="24"/>
        </w:rPr>
        <w:t>dictate that a delay should be condoned.</w:t>
      </w:r>
      <w:r w:rsidR="00252937">
        <w:rPr>
          <w:rStyle w:val="FootnoteReference"/>
          <w:rFonts w:ascii="Arial" w:hAnsi="Arial" w:cs="Arial"/>
          <w:sz w:val="24"/>
          <w:szCs w:val="24"/>
        </w:rPr>
        <w:footnoteReference w:id="44"/>
      </w:r>
      <w:r w:rsidR="00AB5E45" w:rsidRPr="007B0231">
        <w:rPr>
          <w:rFonts w:ascii="Arial" w:hAnsi="Arial" w:cs="Arial"/>
          <w:sz w:val="24"/>
          <w:szCs w:val="24"/>
        </w:rPr>
        <w:t xml:space="preserve"> Th</w:t>
      </w:r>
      <w:r w:rsidR="00566A94" w:rsidRPr="007B0231">
        <w:rPr>
          <w:rFonts w:ascii="Arial" w:hAnsi="Arial" w:cs="Arial"/>
          <w:sz w:val="24"/>
          <w:szCs w:val="24"/>
        </w:rPr>
        <w:t xml:space="preserve">is aspect </w:t>
      </w:r>
      <w:r w:rsidR="00AB5E45" w:rsidRPr="007B0231">
        <w:rPr>
          <w:rFonts w:ascii="Arial" w:hAnsi="Arial" w:cs="Arial"/>
          <w:sz w:val="24"/>
          <w:szCs w:val="24"/>
        </w:rPr>
        <w:t xml:space="preserve">will be discussed further </w:t>
      </w:r>
      <w:r w:rsidR="00D111DA" w:rsidRPr="007B0231">
        <w:rPr>
          <w:rFonts w:ascii="Arial" w:hAnsi="Arial" w:cs="Arial"/>
          <w:sz w:val="24"/>
          <w:szCs w:val="24"/>
        </w:rPr>
        <w:t>below</w:t>
      </w:r>
      <w:r w:rsidR="00A51831" w:rsidRPr="007B0231">
        <w:rPr>
          <w:rFonts w:ascii="Arial" w:hAnsi="Arial" w:cs="Arial"/>
          <w:sz w:val="24"/>
          <w:szCs w:val="24"/>
        </w:rPr>
        <w:t>.</w:t>
      </w:r>
    </w:p>
    <w:p w14:paraId="47AEE3E3" w14:textId="77777777" w:rsidR="00A51831" w:rsidRDefault="00A51831" w:rsidP="00A432A7">
      <w:pPr>
        <w:spacing w:line="360" w:lineRule="auto"/>
        <w:rPr>
          <w:rFonts w:ascii="Arial" w:hAnsi="Arial" w:cs="Arial"/>
          <w:sz w:val="24"/>
          <w:szCs w:val="24"/>
        </w:rPr>
      </w:pPr>
    </w:p>
    <w:p w14:paraId="33731D94" w14:textId="5AF396F8" w:rsidR="00A51831" w:rsidRPr="00A51831" w:rsidRDefault="00566A94" w:rsidP="0030569B">
      <w:pPr>
        <w:spacing w:line="360" w:lineRule="auto"/>
        <w:jc w:val="both"/>
        <w:rPr>
          <w:rFonts w:ascii="Arial" w:hAnsi="Arial" w:cs="Arial"/>
          <w:i/>
          <w:iCs/>
          <w:sz w:val="24"/>
          <w:szCs w:val="24"/>
        </w:rPr>
      </w:pPr>
      <w:r>
        <w:rPr>
          <w:rFonts w:ascii="Arial" w:hAnsi="Arial" w:cs="Arial"/>
          <w:i/>
          <w:iCs/>
          <w:sz w:val="24"/>
          <w:szCs w:val="24"/>
        </w:rPr>
        <w:t>Basis for the applicant’s challenge</w:t>
      </w:r>
    </w:p>
    <w:p w14:paraId="5AE8E795" w14:textId="77777777" w:rsidR="00A51831" w:rsidRDefault="00A51831" w:rsidP="00A432A7">
      <w:pPr>
        <w:spacing w:line="360" w:lineRule="auto"/>
        <w:rPr>
          <w:rFonts w:ascii="Arial" w:hAnsi="Arial" w:cs="Arial"/>
          <w:sz w:val="24"/>
          <w:szCs w:val="24"/>
        </w:rPr>
      </w:pPr>
    </w:p>
    <w:p w14:paraId="5C158A82" w14:textId="10055FC4" w:rsidR="00A51831" w:rsidRPr="007B0231" w:rsidRDefault="007B0231" w:rsidP="007B0231">
      <w:pPr>
        <w:spacing w:line="360" w:lineRule="auto"/>
        <w:ind w:left="142" w:hanging="142"/>
        <w:jc w:val="both"/>
        <w:rPr>
          <w:rFonts w:ascii="Arial" w:hAnsi="Arial" w:cs="Arial"/>
          <w:sz w:val="24"/>
          <w:szCs w:val="24"/>
        </w:rPr>
      </w:pPr>
      <w:r w:rsidRPr="0030569B">
        <w:rPr>
          <w:rFonts w:ascii="Arial" w:hAnsi="Arial" w:cs="Arial"/>
          <w:sz w:val="24"/>
          <w:szCs w:val="24"/>
        </w:rPr>
        <w:t>[62]</w:t>
      </w:r>
      <w:r w:rsidRPr="0030569B">
        <w:rPr>
          <w:rFonts w:ascii="Arial" w:hAnsi="Arial" w:cs="Arial"/>
          <w:sz w:val="24"/>
          <w:szCs w:val="24"/>
        </w:rPr>
        <w:tab/>
      </w:r>
      <w:r w:rsidR="00A51831" w:rsidRPr="007B0231">
        <w:rPr>
          <w:rFonts w:ascii="Arial" w:hAnsi="Arial" w:cs="Arial"/>
          <w:sz w:val="24"/>
          <w:szCs w:val="24"/>
        </w:rPr>
        <w:t>The starting point for the enquiry, contend</w:t>
      </w:r>
      <w:r w:rsidR="002218F1" w:rsidRPr="007B0231">
        <w:rPr>
          <w:rFonts w:ascii="Arial" w:hAnsi="Arial" w:cs="Arial"/>
          <w:sz w:val="24"/>
          <w:szCs w:val="24"/>
        </w:rPr>
        <w:t xml:space="preserve">s the applicant, </w:t>
      </w:r>
      <w:r w:rsidR="00566A94" w:rsidRPr="007B0231">
        <w:rPr>
          <w:rFonts w:ascii="Arial" w:hAnsi="Arial" w:cs="Arial"/>
          <w:sz w:val="24"/>
          <w:szCs w:val="24"/>
        </w:rPr>
        <w:t>is</w:t>
      </w:r>
      <w:r w:rsidR="002218F1" w:rsidRPr="007B0231">
        <w:rPr>
          <w:rFonts w:ascii="Arial" w:hAnsi="Arial" w:cs="Arial"/>
          <w:sz w:val="24"/>
          <w:szCs w:val="24"/>
        </w:rPr>
        <w:t xml:space="preserve"> the </w:t>
      </w:r>
      <w:r w:rsidR="00566A94" w:rsidRPr="007B0231">
        <w:rPr>
          <w:rFonts w:ascii="Arial" w:hAnsi="Arial" w:cs="Arial"/>
          <w:sz w:val="24"/>
          <w:szCs w:val="24"/>
        </w:rPr>
        <w:t xml:space="preserve">legal effect of the </w:t>
      </w:r>
      <w:r w:rsidR="002218F1" w:rsidRPr="007B0231">
        <w:rPr>
          <w:rFonts w:ascii="Arial" w:hAnsi="Arial" w:cs="Arial"/>
          <w:sz w:val="24"/>
          <w:szCs w:val="24"/>
        </w:rPr>
        <w:t>conditions attached to</w:t>
      </w:r>
      <w:r w:rsidR="00D111DA" w:rsidRPr="007B0231">
        <w:rPr>
          <w:rFonts w:ascii="Arial" w:hAnsi="Arial" w:cs="Arial"/>
          <w:sz w:val="24"/>
          <w:szCs w:val="24"/>
        </w:rPr>
        <w:t xml:space="preserve"> the </w:t>
      </w:r>
      <w:r w:rsidR="00566A94" w:rsidRPr="007B0231">
        <w:rPr>
          <w:rFonts w:ascii="Arial" w:hAnsi="Arial" w:cs="Arial"/>
          <w:sz w:val="24"/>
          <w:szCs w:val="24"/>
        </w:rPr>
        <w:t xml:space="preserve">title </w:t>
      </w:r>
      <w:r w:rsidR="00D111DA" w:rsidRPr="007B0231">
        <w:rPr>
          <w:rFonts w:ascii="Arial" w:hAnsi="Arial" w:cs="Arial"/>
          <w:sz w:val="24"/>
          <w:szCs w:val="24"/>
        </w:rPr>
        <w:t xml:space="preserve">deed </w:t>
      </w:r>
      <w:r w:rsidR="00566A94" w:rsidRPr="007B0231">
        <w:rPr>
          <w:rFonts w:ascii="Arial" w:hAnsi="Arial" w:cs="Arial"/>
          <w:sz w:val="24"/>
          <w:szCs w:val="24"/>
        </w:rPr>
        <w:t xml:space="preserve">for </w:t>
      </w:r>
      <w:r w:rsidR="00D111DA" w:rsidRPr="007B0231">
        <w:rPr>
          <w:rFonts w:ascii="Arial" w:hAnsi="Arial" w:cs="Arial"/>
          <w:sz w:val="24"/>
          <w:szCs w:val="24"/>
        </w:rPr>
        <w:t xml:space="preserve">erf 1483. The relevant conditions </w:t>
      </w:r>
      <w:r w:rsidR="00782BA0" w:rsidRPr="007B0231">
        <w:rPr>
          <w:rFonts w:ascii="Arial" w:hAnsi="Arial" w:cs="Arial"/>
          <w:sz w:val="24"/>
          <w:szCs w:val="24"/>
        </w:rPr>
        <w:t>state as follows:</w:t>
      </w:r>
    </w:p>
    <w:p w14:paraId="068768EB" w14:textId="7DED1CD0" w:rsidR="00782BA0" w:rsidRPr="00F207E9" w:rsidRDefault="00782BA0" w:rsidP="0030569B">
      <w:pPr>
        <w:spacing w:line="360" w:lineRule="auto"/>
        <w:ind w:left="1440" w:hanging="720"/>
        <w:jc w:val="both"/>
        <w:rPr>
          <w:rFonts w:ascii="Arial" w:hAnsi="Arial" w:cs="Arial"/>
        </w:rPr>
      </w:pPr>
      <w:r w:rsidRPr="00F207E9">
        <w:rPr>
          <w:rFonts w:ascii="Arial" w:hAnsi="Arial" w:cs="Arial"/>
        </w:rPr>
        <w:t>‘</w:t>
      </w:r>
      <w:r w:rsidR="008A60DC" w:rsidRPr="00F207E9">
        <w:rPr>
          <w:rFonts w:ascii="Arial" w:hAnsi="Arial" w:cs="Arial"/>
        </w:rPr>
        <w:t>3.</w:t>
      </w:r>
      <w:r w:rsidR="008A60DC" w:rsidRPr="00F207E9">
        <w:rPr>
          <w:rFonts w:ascii="Arial" w:hAnsi="Arial" w:cs="Arial"/>
        </w:rPr>
        <w:tab/>
        <w:t>No building on this erf shall be used or converted to use</w:t>
      </w:r>
      <w:r w:rsidR="006433AA" w:rsidRPr="00F207E9">
        <w:rPr>
          <w:rFonts w:ascii="Arial" w:hAnsi="Arial" w:cs="Arial"/>
        </w:rPr>
        <w:t xml:space="preserve"> for any purpose other than that permitted in terms of these conditions</w:t>
      </w:r>
      <w:r w:rsidR="00BD5A59" w:rsidRPr="00F207E9">
        <w:rPr>
          <w:rFonts w:ascii="Arial" w:hAnsi="Arial" w:cs="Arial"/>
        </w:rPr>
        <w:t>…</w:t>
      </w:r>
    </w:p>
    <w:p w14:paraId="65014BA0" w14:textId="04FFE107" w:rsidR="00BD5A59" w:rsidRPr="00F207E9" w:rsidRDefault="00BD5A59" w:rsidP="0030569B">
      <w:pPr>
        <w:spacing w:line="360" w:lineRule="auto"/>
        <w:ind w:left="1440" w:hanging="720"/>
        <w:jc w:val="both"/>
        <w:rPr>
          <w:rFonts w:ascii="Arial" w:hAnsi="Arial" w:cs="Arial"/>
        </w:rPr>
      </w:pPr>
      <w:r w:rsidRPr="00F207E9">
        <w:rPr>
          <w:rFonts w:ascii="Arial" w:hAnsi="Arial" w:cs="Arial"/>
        </w:rPr>
        <w:t>6</w:t>
      </w:r>
      <w:r w:rsidR="00C62194" w:rsidRPr="00F207E9">
        <w:rPr>
          <w:rFonts w:ascii="Arial" w:hAnsi="Arial" w:cs="Arial"/>
        </w:rPr>
        <w:t>.(a)</w:t>
      </w:r>
      <w:r w:rsidR="00C62194" w:rsidRPr="00F207E9">
        <w:rPr>
          <w:rFonts w:ascii="Arial" w:hAnsi="Arial" w:cs="Arial"/>
        </w:rPr>
        <w:tab/>
        <w:t>This erf shall be used solely for the purposes of</w:t>
      </w:r>
      <w:r w:rsidR="003B3DF6" w:rsidRPr="00F207E9">
        <w:rPr>
          <w:rFonts w:ascii="Arial" w:hAnsi="Arial" w:cs="Arial"/>
        </w:rPr>
        <w:t xml:space="preserve"> erecting thereon one dwelling or other buildings for such purposes as the Administrator </w:t>
      </w:r>
      <w:r w:rsidR="00606350" w:rsidRPr="00F207E9">
        <w:rPr>
          <w:rFonts w:ascii="Arial" w:hAnsi="Arial" w:cs="Arial"/>
        </w:rPr>
        <w:t>may, from time to time after reference to the Townships Board and the local authority</w:t>
      </w:r>
      <w:r w:rsidR="00D225CC" w:rsidRPr="00F207E9">
        <w:rPr>
          <w:rFonts w:ascii="Arial" w:hAnsi="Arial" w:cs="Arial"/>
        </w:rPr>
        <w:t xml:space="preserve">, approve, provided that if the erf is included within the area of a </w:t>
      </w:r>
      <w:r w:rsidR="00EB49AF" w:rsidRPr="00F207E9">
        <w:rPr>
          <w:rFonts w:ascii="Arial" w:hAnsi="Arial" w:cs="Arial"/>
        </w:rPr>
        <w:t xml:space="preserve">Town Planning Scheme, the local authority may permit such other buildings </w:t>
      </w:r>
      <w:r w:rsidR="00D045D2" w:rsidRPr="00F207E9">
        <w:rPr>
          <w:rFonts w:ascii="Arial" w:hAnsi="Arial" w:cs="Arial"/>
        </w:rPr>
        <w:t xml:space="preserve">as are permitted by the scheme, subject to the conditions and restrictions </w:t>
      </w:r>
      <w:r w:rsidR="00C274D1" w:rsidRPr="00F207E9">
        <w:rPr>
          <w:rFonts w:ascii="Arial" w:hAnsi="Arial" w:cs="Arial"/>
        </w:rPr>
        <w:t>stipulated by the scheme.</w:t>
      </w:r>
      <w:r w:rsidR="00E652D0" w:rsidRPr="00F207E9">
        <w:rPr>
          <w:rFonts w:ascii="Arial" w:hAnsi="Arial" w:cs="Arial"/>
        </w:rPr>
        <w:t>’</w:t>
      </w:r>
    </w:p>
    <w:p w14:paraId="31774458" w14:textId="77777777" w:rsidR="00E652D0" w:rsidRDefault="00E652D0" w:rsidP="0030569B">
      <w:pPr>
        <w:spacing w:line="360" w:lineRule="auto"/>
        <w:jc w:val="both"/>
        <w:rPr>
          <w:rFonts w:ascii="Arial" w:hAnsi="Arial" w:cs="Arial"/>
          <w:sz w:val="24"/>
          <w:szCs w:val="24"/>
        </w:rPr>
      </w:pPr>
    </w:p>
    <w:p w14:paraId="423F8D84" w14:textId="2E251041"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207E9" w:rsidRPr="007B0231">
        <w:rPr>
          <w:rFonts w:ascii="Arial" w:hAnsi="Arial" w:cs="Arial"/>
          <w:sz w:val="24"/>
          <w:szCs w:val="24"/>
        </w:rPr>
        <w:t xml:space="preserve">The applicant argues that </w:t>
      </w:r>
      <w:r w:rsidR="009754D6" w:rsidRPr="007B0231">
        <w:rPr>
          <w:rFonts w:ascii="Arial" w:hAnsi="Arial" w:cs="Arial"/>
          <w:sz w:val="24"/>
          <w:szCs w:val="24"/>
        </w:rPr>
        <w:t>the reviewable irregularit</w:t>
      </w:r>
      <w:r w:rsidR="009D02F6" w:rsidRPr="007B0231">
        <w:rPr>
          <w:rFonts w:ascii="Arial" w:hAnsi="Arial" w:cs="Arial"/>
          <w:sz w:val="24"/>
          <w:szCs w:val="24"/>
        </w:rPr>
        <w:t>ies</w:t>
      </w:r>
      <w:r w:rsidR="009754D6" w:rsidRPr="007B0231">
        <w:rPr>
          <w:rFonts w:ascii="Arial" w:hAnsi="Arial" w:cs="Arial"/>
          <w:sz w:val="24"/>
          <w:szCs w:val="24"/>
        </w:rPr>
        <w:t xml:space="preserve"> upon which </w:t>
      </w:r>
      <w:r w:rsidR="00FF58F5" w:rsidRPr="007B0231">
        <w:rPr>
          <w:rFonts w:ascii="Arial" w:hAnsi="Arial" w:cs="Arial"/>
          <w:sz w:val="24"/>
          <w:szCs w:val="24"/>
        </w:rPr>
        <w:t xml:space="preserve">she advances her application arise from the </w:t>
      </w:r>
      <w:r w:rsidR="00575988" w:rsidRPr="007B0231">
        <w:rPr>
          <w:rFonts w:ascii="Arial" w:hAnsi="Arial" w:cs="Arial"/>
          <w:sz w:val="24"/>
          <w:szCs w:val="24"/>
        </w:rPr>
        <w:t>fact that the restrictive conditions</w:t>
      </w:r>
      <w:r w:rsidR="00566A94" w:rsidRPr="007B0231">
        <w:rPr>
          <w:rFonts w:ascii="Arial" w:hAnsi="Arial" w:cs="Arial"/>
          <w:sz w:val="24"/>
          <w:szCs w:val="24"/>
        </w:rPr>
        <w:t>,</w:t>
      </w:r>
      <w:r w:rsidR="00575988" w:rsidRPr="007B0231">
        <w:rPr>
          <w:rFonts w:ascii="Arial" w:hAnsi="Arial" w:cs="Arial"/>
          <w:sz w:val="24"/>
          <w:szCs w:val="24"/>
        </w:rPr>
        <w:t xml:space="preserve"> </w:t>
      </w:r>
      <w:r w:rsidR="0057394F" w:rsidRPr="007B0231">
        <w:rPr>
          <w:rFonts w:ascii="Arial" w:hAnsi="Arial" w:cs="Arial"/>
          <w:sz w:val="24"/>
          <w:szCs w:val="24"/>
        </w:rPr>
        <w:t>described above</w:t>
      </w:r>
      <w:r w:rsidR="00566A94" w:rsidRPr="007B0231">
        <w:rPr>
          <w:rFonts w:ascii="Arial" w:hAnsi="Arial" w:cs="Arial"/>
          <w:sz w:val="24"/>
          <w:szCs w:val="24"/>
        </w:rPr>
        <w:t>,</w:t>
      </w:r>
      <w:r w:rsidR="0057394F" w:rsidRPr="007B0231">
        <w:rPr>
          <w:rFonts w:ascii="Arial" w:hAnsi="Arial" w:cs="Arial"/>
          <w:sz w:val="24"/>
          <w:szCs w:val="24"/>
        </w:rPr>
        <w:t xml:space="preserve"> limit the use of </w:t>
      </w:r>
      <w:r w:rsidR="00575988" w:rsidRPr="007B0231">
        <w:rPr>
          <w:rFonts w:ascii="Arial" w:hAnsi="Arial" w:cs="Arial"/>
          <w:sz w:val="24"/>
          <w:szCs w:val="24"/>
        </w:rPr>
        <w:t xml:space="preserve">erf 1483 </w:t>
      </w:r>
      <w:r w:rsidR="0057394F" w:rsidRPr="007B0231">
        <w:rPr>
          <w:rFonts w:ascii="Arial" w:hAnsi="Arial" w:cs="Arial"/>
          <w:sz w:val="24"/>
          <w:szCs w:val="24"/>
        </w:rPr>
        <w:t xml:space="preserve">to </w:t>
      </w:r>
      <w:r w:rsidR="00151EB9" w:rsidRPr="007B0231">
        <w:rPr>
          <w:rFonts w:ascii="Arial" w:hAnsi="Arial" w:cs="Arial"/>
          <w:sz w:val="24"/>
          <w:szCs w:val="24"/>
        </w:rPr>
        <w:t xml:space="preserve">that of a domestic </w:t>
      </w:r>
      <w:r w:rsidR="009C0E6B" w:rsidRPr="007B0231">
        <w:rPr>
          <w:rFonts w:ascii="Arial" w:hAnsi="Arial" w:cs="Arial"/>
          <w:sz w:val="24"/>
          <w:szCs w:val="24"/>
        </w:rPr>
        <w:t xml:space="preserve">residence. </w:t>
      </w:r>
      <w:r w:rsidR="009D02F6" w:rsidRPr="007B0231">
        <w:rPr>
          <w:rFonts w:ascii="Arial" w:hAnsi="Arial" w:cs="Arial"/>
          <w:sz w:val="24"/>
          <w:szCs w:val="24"/>
        </w:rPr>
        <w:t xml:space="preserve">Furthermore, erf 1483 </w:t>
      </w:r>
      <w:r w:rsidR="0068048D" w:rsidRPr="007B0231">
        <w:rPr>
          <w:rFonts w:ascii="Arial" w:hAnsi="Arial" w:cs="Arial"/>
          <w:sz w:val="24"/>
          <w:szCs w:val="24"/>
        </w:rPr>
        <w:t xml:space="preserve">is zoned as ‘Residential 1’, which permits </w:t>
      </w:r>
      <w:r w:rsidR="00E517DF" w:rsidRPr="007B0231">
        <w:rPr>
          <w:rFonts w:ascii="Arial" w:hAnsi="Arial" w:cs="Arial"/>
          <w:sz w:val="24"/>
          <w:szCs w:val="24"/>
        </w:rPr>
        <w:t>only a single residential dwelling.</w:t>
      </w:r>
      <w:r w:rsidR="00235555" w:rsidRPr="007B0231">
        <w:rPr>
          <w:rFonts w:ascii="Arial" w:hAnsi="Arial" w:cs="Arial"/>
          <w:sz w:val="24"/>
          <w:szCs w:val="24"/>
        </w:rPr>
        <w:t xml:space="preserve"> The decisions made by </w:t>
      </w:r>
      <w:r w:rsidR="00235555" w:rsidRPr="007B0231">
        <w:rPr>
          <w:rFonts w:ascii="Arial" w:hAnsi="Arial" w:cs="Arial"/>
          <w:sz w:val="24"/>
          <w:szCs w:val="24"/>
        </w:rPr>
        <w:lastRenderedPageBreak/>
        <w:t xml:space="preserve">the </w:t>
      </w:r>
      <w:r w:rsidR="00B461A7" w:rsidRPr="007B0231">
        <w:rPr>
          <w:rFonts w:ascii="Arial" w:hAnsi="Arial" w:cs="Arial"/>
          <w:sz w:val="24"/>
          <w:szCs w:val="24"/>
        </w:rPr>
        <w:t xml:space="preserve">tribunal and appeal authority, asserts the applicant, </w:t>
      </w:r>
      <w:r w:rsidR="005E7D36" w:rsidRPr="007B0231">
        <w:rPr>
          <w:rFonts w:ascii="Arial" w:hAnsi="Arial" w:cs="Arial"/>
          <w:sz w:val="24"/>
          <w:szCs w:val="24"/>
        </w:rPr>
        <w:t>conflicted with</w:t>
      </w:r>
      <w:r w:rsidR="00B461A7" w:rsidRPr="007B0231">
        <w:rPr>
          <w:rFonts w:ascii="Arial" w:hAnsi="Arial" w:cs="Arial"/>
          <w:sz w:val="24"/>
          <w:szCs w:val="24"/>
        </w:rPr>
        <w:t xml:space="preserve"> the restrictive </w:t>
      </w:r>
      <w:r w:rsidR="005E7D36" w:rsidRPr="007B0231">
        <w:rPr>
          <w:rFonts w:ascii="Arial" w:hAnsi="Arial" w:cs="Arial"/>
          <w:sz w:val="24"/>
          <w:szCs w:val="24"/>
        </w:rPr>
        <w:t xml:space="preserve">conditions and the zoning limitations. The decisions </w:t>
      </w:r>
      <w:r w:rsidR="00F215A8" w:rsidRPr="007B0231">
        <w:rPr>
          <w:rFonts w:ascii="Arial" w:hAnsi="Arial" w:cs="Arial"/>
          <w:sz w:val="24"/>
          <w:szCs w:val="24"/>
        </w:rPr>
        <w:t xml:space="preserve">also conflicted with the relevant provisions of the municipality’s </w:t>
      </w:r>
      <w:r w:rsidR="00F268BA" w:rsidRPr="007B0231">
        <w:rPr>
          <w:rFonts w:ascii="Arial" w:hAnsi="Arial" w:cs="Arial"/>
          <w:sz w:val="24"/>
          <w:szCs w:val="24"/>
        </w:rPr>
        <w:t>l</w:t>
      </w:r>
      <w:r w:rsidR="00F215A8" w:rsidRPr="007B0231">
        <w:rPr>
          <w:rFonts w:ascii="Arial" w:hAnsi="Arial" w:cs="Arial"/>
          <w:sz w:val="24"/>
          <w:szCs w:val="24"/>
        </w:rPr>
        <w:t xml:space="preserve">and </w:t>
      </w:r>
      <w:r w:rsidR="00F268BA" w:rsidRPr="007B0231">
        <w:rPr>
          <w:rFonts w:ascii="Arial" w:hAnsi="Arial" w:cs="Arial"/>
          <w:sz w:val="24"/>
          <w:szCs w:val="24"/>
        </w:rPr>
        <w:t>u</w:t>
      </w:r>
      <w:r w:rsidR="00F215A8" w:rsidRPr="007B0231">
        <w:rPr>
          <w:rFonts w:ascii="Arial" w:hAnsi="Arial" w:cs="Arial"/>
          <w:sz w:val="24"/>
          <w:szCs w:val="24"/>
        </w:rPr>
        <w:t xml:space="preserve">se </w:t>
      </w:r>
      <w:r w:rsidR="00F268BA" w:rsidRPr="007B0231">
        <w:rPr>
          <w:rFonts w:ascii="Arial" w:hAnsi="Arial" w:cs="Arial"/>
          <w:sz w:val="24"/>
          <w:szCs w:val="24"/>
        </w:rPr>
        <w:t>s</w:t>
      </w:r>
      <w:r w:rsidR="00F215A8" w:rsidRPr="007B0231">
        <w:rPr>
          <w:rFonts w:ascii="Arial" w:hAnsi="Arial" w:cs="Arial"/>
          <w:sz w:val="24"/>
          <w:szCs w:val="24"/>
        </w:rPr>
        <w:t>cheme.</w:t>
      </w:r>
      <w:r w:rsidR="00193560" w:rsidRPr="007B0231">
        <w:rPr>
          <w:rFonts w:ascii="Arial" w:hAnsi="Arial" w:cs="Arial"/>
          <w:sz w:val="24"/>
          <w:szCs w:val="24"/>
        </w:rPr>
        <w:t xml:space="preserve"> </w:t>
      </w:r>
    </w:p>
    <w:p w14:paraId="65F2CC74" w14:textId="3AD781D1"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34A8F" w:rsidRPr="007B0231">
        <w:rPr>
          <w:rFonts w:ascii="Arial" w:hAnsi="Arial" w:cs="Arial"/>
          <w:sz w:val="24"/>
          <w:szCs w:val="24"/>
        </w:rPr>
        <w:t xml:space="preserve">Consequently, </w:t>
      </w:r>
      <w:r w:rsidR="006A495A" w:rsidRPr="007B0231">
        <w:rPr>
          <w:rFonts w:ascii="Arial" w:hAnsi="Arial" w:cs="Arial"/>
          <w:sz w:val="24"/>
          <w:szCs w:val="24"/>
        </w:rPr>
        <w:t xml:space="preserve">the </w:t>
      </w:r>
      <w:r w:rsidR="00323092" w:rsidRPr="007B0231">
        <w:rPr>
          <w:rFonts w:ascii="Arial" w:hAnsi="Arial" w:cs="Arial"/>
          <w:sz w:val="24"/>
          <w:szCs w:val="24"/>
        </w:rPr>
        <w:t>applicant relies on sections 6</w:t>
      </w:r>
      <w:r w:rsidR="001E51F8" w:rsidRPr="007B0231">
        <w:rPr>
          <w:rFonts w:ascii="Arial" w:hAnsi="Arial" w:cs="Arial"/>
          <w:sz w:val="24"/>
          <w:szCs w:val="24"/>
        </w:rPr>
        <w:t xml:space="preserve">(2)(a)(i), </w:t>
      </w:r>
      <w:r w:rsidR="00E85523" w:rsidRPr="007B0231">
        <w:rPr>
          <w:rFonts w:ascii="Arial" w:hAnsi="Arial" w:cs="Arial"/>
          <w:sz w:val="24"/>
          <w:szCs w:val="24"/>
        </w:rPr>
        <w:t xml:space="preserve">6(2)(b), 6(2)(d), and </w:t>
      </w:r>
      <w:r w:rsidR="000F6DF1" w:rsidRPr="007B0231">
        <w:rPr>
          <w:rFonts w:ascii="Arial" w:hAnsi="Arial" w:cs="Arial"/>
          <w:sz w:val="24"/>
          <w:szCs w:val="24"/>
        </w:rPr>
        <w:t xml:space="preserve">6(2)(f)(ii) of PAJA. </w:t>
      </w:r>
      <w:r w:rsidR="00ED72AE" w:rsidRPr="007B0231">
        <w:rPr>
          <w:rFonts w:ascii="Arial" w:hAnsi="Arial" w:cs="Arial"/>
          <w:sz w:val="24"/>
          <w:szCs w:val="24"/>
        </w:rPr>
        <w:t xml:space="preserve">She </w:t>
      </w:r>
      <w:r w:rsidR="006C7349" w:rsidRPr="007B0231">
        <w:rPr>
          <w:rFonts w:ascii="Arial" w:hAnsi="Arial" w:cs="Arial"/>
          <w:sz w:val="24"/>
          <w:szCs w:val="24"/>
        </w:rPr>
        <w:t>contends that t</w:t>
      </w:r>
      <w:r w:rsidR="002563C1" w:rsidRPr="007B0231">
        <w:rPr>
          <w:rFonts w:ascii="Arial" w:hAnsi="Arial" w:cs="Arial"/>
          <w:sz w:val="24"/>
          <w:szCs w:val="24"/>
        </w:rPr>
        <w:t xml:space="preserve">he </w:t>
      </w:r>
      <w:r w:rsidR="004634F8" w:rsidRPr="007B0231">
        <w:rPr>
          <w:rFonts w:ascii="Arial" w:hAnsi="Arial" w:cs="Arial"/>
          <w:sz w:val="24"/>
          <w:szCs w:val="24"/>
        </w:rPr>
        <w:t xml:space="preserve">administrators </w:t>
      </w:r>
      <w:r w:rsidR="00216FCA" w:rsidRPr="007B0231">
        <w:rPr>
          <w:rFonts w:ascii="Arial" w:hAnsi="Arial" w:cs="Arial"/>
          <w:sz w:val="24"/>
          <w:szCs w:val="24"/>
        </w:rPr>
        <w:t xml:space="preserve">were not authorised </w:t>
      </w:r>
      <w:r w:rsidR="004A0541" w:rsidRPr="007B0231">
        <w:rPr>
          <w:rFonts w:ascii="Arial" w:hAnsi="Arial" w:cs="Arial"/>
          <w:sz w:val="24"/>
          <w:szCs w:val="24"/>
        </w:rPr>
        <w:t xml:space="preserve">by the empowering provisions </w:t>
      </w:r>
      <w:r w:rsidR="00B77188" w:rsidRPr="007B0231">
        <w:rPr>
          <w:rFonts w:ascii="Arial" w:hAnsi="Arial" w:cs="Arial"/>
          <w:sz w:val="24"/>
          <w:szCs w:val="24"/>
        </w:rPr>
        <w:t xml:space="preserve">in question, </w:t>
      </w:r>
      <w:r w:rsidR="00526539" w:rsidRPr="007B0231">
        <w:rPr>
          <w:rFonts w:ascii="Arial" w:hAnsi="Arial" w:cs="Arial"/>
          <w:sz w:val="24"/>
          <w:szCs w:val="24"/>
        </w:rPr>
        <w:t xml:space="preserve">failed to ensure compliance with </w:t>
      </w:r>
      <w:r w:rsidR="008F4FF0" w:rsidRPr="007B0231">
        <w:rPr>
          <w:rFonts w:ascii="Arial" w:hAnsi="Arial" w:cs="Arial"/>
          <w:sz w:val="24"/>
          <w:szCs w:val="24"/>
        </w:rPr>
        <w:t xml:space="preserve">a mandatory </w:t>
      </w:r>
      <w:r w:rsidR="00C50257" w:rsidRPr="007B0231">
        <w:rPr>
          <w:rFonts w:ascii="Arial" w:hAnsi="Arial" w:cs="Arial"/>
          <w:sz w:val="24"/>
          <w:szCs w:val="24"/>
        </w:rPr>
        <w:t>and material condition prescribed by the empowering provisions</w:t>
      </w:r>
      <w:r w:rsidR="00173132" w:rsidRPr="007B0231">
        <w:rPr>
          <w:rFonts w:ascii="Arial" w:hAnsi="Arial" w:cs="Arial"/>
          <w:sz w:val="24"/>
          <w:szCs w:val="24"/>
        </w:rPr>
        <w:t xml:space="preserve">, were materially influenced </w:t>
      </w:r>
      <w:r w:rsidR="00EB1095" w:rsidRPr="007B0231">
        <w:rPr>
          <w:rFonts w:ascii="Arial" w:hAnsi="Arial" w:cs="Arial"/>
          <w:sz w:val="24"/>
          <w:szCs w:val="24"/>
        </w:rPr>
        <w:t xml:space="preserve">by an error of law, and </w:t>
      </w:r>
      <w:r w:rsidR="003E2BB4" w:rsidRPr="007B0231">
        <w:rPr>
          <w:rFonts w:ascii="Arial" w:hAnsi="Arial" w:cs="Arial"/>
          <w:sz w:val="24"/>
          <w:szCs w:val="24"/>
        </w:rPr>
        <w:t xml:space="preserve">the decisions themselves were not rationally connected to </w:t>
      </w:r>
      <w:r w:rsidR="00E3711C" w:rsidRPr="007B0231">
        <w:rPr>
          <w:rFonts w:ascii="Arial" w:hAnsi="Arial" w:cs="Arial"/>
          <w:sz w:val="24"/>
          <w:szCs w:val="24"/>
        </w:rPr>
        <w:t xml:space="preserve">the purpose of the empowering provisions </w:t>
      </w:r>
      <w:r w:rsidR="00C97F07" w:rsidRPr="007B0231">
        <w:rPr>
          <w:rFonts w:ascii="Arial" w:hAnsi="Arial" w:cs="Arial"/>
          <w:sz w:val="24"/>
          <w:szCs w:val="24"/>
        </w:rPr>
        <w:t>and the information before the administrators.</w:t>
      </w:r>
      <w:r w:rsidR="006272BC" w:rsidRPr="007B0231">
        <w:rPr>
          <w:rFonts w:ascii="Arial" w:hAnsi="Arial" w:cs="Arial"/>
          <w:sz w:val="24"/>
          <w:szCs w:val="24"/>
        </w:rPr>
        <w:t xml:space="preserve"> </w:t>
      </w:r>
    </w:p>
    <w:p w14:paraId="769D76C5" w14:textId="77777777" w:rsidR="0030569B" w:rsidRDefault="0030569B" w:rsidP="0030569B">
      <w:pPr>
        <w:pStyle w:val="ListParagraph"/>
        <w:spacing w:line="360" w:lineRule="auto"/>
        <w:ind w:left="0"/>
        <w:jc w:val="both"/>
        <w:rPr>
          <w:rFonts w:ascii="Arial" w:hAnsi="Arial" w:cs="Arial"/>
          <w:sz w:val="24"/>
          <w:szCs w:val="24"/>
        </w:rPr>
      </w:pPr>
    </w:p>
    <w:p w14:paraId="4C742E2D" w14:textId="4A72BAC0" w:rsidR="00C04648"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[65]</w:t>
      </w:r>
      <w:r w:rsidRPr="0030569B">
        <w:rPr>
          <w:rFonts w:ascii="Arial" w:hAnsi="Arial" w:cs="Arial"/>
          <w:sz w:val="24"/>
          <w:szCs w:val="24"/>
        </w:rPr>
        <w:tab/>
      </w:r>
      <w:r w:rsidR="00512D14" w:rsidRPr="007B0231">
        <w:rPr>
          <w:rFonts w:ascii="Arial" w:hAnsi="Arial" w:cs="Arial"/>
          <w:sz w:val="24"/>
          <w:szCs w:val="24"/>
        </w:rPr>
        <w:t xml:space="preserve">The </w:t>
      </w:r>
      <w:r w:rsidR="00AF105C" w:rsidRPr="007B0231">
        <w:rPr>
          <w:rFonts w:ascii="Arial" w:hAnsi="Arial" w:cs="Arial"/>
          <w:sz w:val="24"/>
          <w:szCs w:val="24"/>
        </w:rPr>
        <w:t>applicant’s argument requires closer analysis</w:t>
      </w:r>
      <w:r w:rsidR="002A1ED9" w:rsidRPr="007B0231">
        <w:rPr>
          <w:rFonts w:ascii="Arial" w:hAnsi="Arial" w:cs="Arial"/>
          <w:sz w:val="24"/>
          <w:szCs w:val="24"/>
        </w:rPr>
        <w:t>.</w:t>
      </w:r>
      <w:r w:rsidR="007146CA" w:rsidRPr="007B0231">
        <w:rPr>
          <w:rFonts w:ascii="Arial" w:hAnsi="Arial" w:cs="Arial"/>
          <w:sz w:val="24"/>
          <w:szCs w:val="24"/>
        </w:rPr>
        <w:t xml:space="preserve"> </w:t>
      </w:r>
      <w:r w:rsidR="00C04648" w:rsidRPr="007B0231">
        <w:rPr>
          <w:rFonts w:ascii="Arial" w:hAnsi="Arial" w:cs="Arial"/>
          <w:sz w:val="24"/>
          <w:szCs w:val="24"/>
        </w:rPr>
        <w:t xml:space="preserve">It is </w:t>
      </w:r>
      <w:r w:rsidR="00502884" w:rsidRPr="007B0231">
        <w:rPr>
          <w:rFonts w:ascii="Arial" w:hAnsi="Arial" w:cs="Arial"/>
          <w:sz w:val="24"/>
          <w:szCs w:val="24"/>
        </w:rPr>
        <w:t>important</w:t>
      </w:r>
      <w:r w:rsidR="00C04648" w:rsidRPr="007B0231">
        <w:rPr>
          <w:rFonts w:ascii="Arial" w:hAnsi="Arial" w:cs="Arial"/>
          <w:sz w:val="24"/>
          <w:szCs w:val="24"/>
        </w:rPr>
        <w:t xml:space="preserve"> to</w:t>
      </w:r>
      <w:r w:rsidR="00842ECF" w:rsidRPr="007B0231">
        <w:rPr>
          <w:rFonts w:ascii="Arial" w:hAnsi="Arial" w:cs="Arial"/>
          <w:sz w:val="24"/>
          <w:szCs w:val="24"/>
        </w:rPr>
        <w:t xml:space="preserve"> remark</w:t>
      </w:r>
      <w:r w:rsidR="002D1AB6" w:rsidRPr="007B0231">
        <w:rPr>
          <w:rFonts w:ascii="Arial" w:hAnsi="Arial" w:cs="Arial"/>
          <w:sz w:val="24"/>
          <w:szCs w:val="24"/>
        </w:rPr>
        <w:t>, at the outset,</w:t>
      </w:r>
      <w:r w:rsidR="00C04648" w:rsidRPr="007B0231">
        <w:rPr>
          <w:rFonts w:ascii="Arial" w:hAnsi="Arial" w:cs="Arial"/>
          <w:sz w:val="24"/>
          <w:szCs w:val="24"/>
        </w:rPr>
        <w:t xml:space="preserve"> </w:t>
      </w:r>
      <w:r w:rsidR="00842ECF" w:rsidRPr="007B0231">
        <w:rPr>
          <w:rFonts w:ascii="Arial" w:hAnsi="Arial" w:cs="Arial"/>
          <w:sz w:val="24"/>
          <w:szCs w:val="24"/>
        </w:rPr>
        <w:t xml:space="preserve">that the present dispute cannot be fully understood without an appreciation of </w:t>
      </w:r>
      <w:r w:rsidR="00C04648" w:rsidRPr="007B0231">
        <w:rPr>
          <w:rFonts w:ascii="Arial" w:hAnsi="Arial" w:cs="Arial"/>
          <w:sz w:val="24"/>
          <w:szCs w:val="24"/>
        </w:rPr>
        <w:t xml:space="preserve">the </w:t>
      </w:r>
      <w:r w:rsidR="00921C44" w:rsidRPr="007B0231">
        <w:rPr>
          <w:rFonts w:ascii="Arial" w:hAnsi="Arial" w:cs="Arial"/>
          <w:sz w:val="24"/>
          <w:szCs w:val="24"/>
        </w:rPr>
        <w:t xml:space="preserve">somewhat complex </w:t>
      </w:r>
      <w:r w:rsidR="006E2960" w:rsidRPr="007B0231">
        <w:rPr>
          <w:rFonts w:ascii="Arial" w:hAnsi="Arial" w:cs="Arial"/>
          <w:sz w:val="24"/>
          <w:szCs w:val="24"/>
        </w:rPr>
        <w:t>history</w:t>
      </w:r>
      <w:r w:rsidR="00525DE3" w:rsidRPr="007B0231">
        <w:rPr>
          <w:rFonts w:ascii="Arial" w:hAnsi="Arial" w:cs="Arial"/>
          <w:sz w:val="24"/>
          <w:szCs w:val="24"/>
        </w:rPr>
        <w:t xml:space="preserve"> of </w:t>
      </w:r>
      <w:r w:rsidR="000B6A0A" w:rsidRPr="007B0231">
        <w:rPr>
          <w:rFonts w:ascii="Arial" w:hAnsi="Arial" w:cs="Arial"/>
          <w:sz w:val="24"/>
          <w:szCs w:val="24"/>
        </w:rPr>
        <w:t>South African planning law</w:t>
      </w:r>
      <w:r w:rsidR="00C04648" w:rsidRPr="007B0231">
        <w:rPr>
          <w:rFonts w:ascii="Arial" w:hAnsi="Arial" w:cs="Arial"/>
          <w:sz w:val="24"/>
          <w:szCs w:val="24"/>
        </w:rPr>
        <w:t>.</w:t>
      </w:r>
    </w:p>
    <w:p w14:paraId="4B0D6792" w14:textId="77777777" w:rsidR="00566A94" w:rsidRDefault="00566A94" w:rsidP="00A432A7">
      <w:pPr>
        <w:spacing w:line="360" w:lineRule="auto"/>
        <w:rPr>
          <w:rFonts w:ascii="Arial" w:hAnsi="Arial" w:cs="Arial"/>
          <w:sz w:val="24"/>
          <w:szCs w:val="24"/>
        </w:rPr>
      </w:pPr>
    </w:p>
    <w:p w14:paraId="4A6355A0" w14:textId="0733656F" w:rsidR="00566A94" w:rsidRPr="00566A94" w:rsidRDefault="00566A94" w:rsidP="00A432A7">
      <w:pPr>
        <w:spacing w:line="360" w:lineRule="auto"/>
        <w:rPr>
          <w:rFonts w:ascii="Arial" w:hAnsi="Arial" w:cs="Arial"/>
          <w:i/>
          <w:iCs/>
          <w:sz w:val="24"/>
          <w:szCs w:val="24"/>
        </w:rPr>
      </w:pPr>
      <w:r w:rsidRPr="00566A94">
        <w:rPr>
          <w:rFonts w:ascii="Arial" w:hAnsi="Arial" w:cs="Arial"/>
          <w:i/>
          <w:iCs/>
          <w:sz w:val="24"/>
          <w:szCs w:val="24"/>
        </w:rPr>
        <w:t>Planning law framework</w:t>
      </w:r>
    </w:p>
    <w:p w14:paraId="4396358F" w14:textId="77777777" w:rsidR="00566A94" w:rsidRDefault="00566A94" w:rsidP="00A432A7">
      <w:pPr>
        <w:spacing w:line="360" w:lineRule="auto"/>
        <w:rPr>
          <w:rFonts w:ascii="Arial" w:hAnsi="Arial" w:cs="Arial"/>
          <w:sz w:val="24"/>
          <w:szCs w:val="24"/>
        </w:rPr>
      </w:pPr>
    </w:p>
    <w:p w14:paraId="76ED8F05" w14:textId="02E3B3DE"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7F4A44" w:rsidRPr="007B0231">
        <w:rPr>
          <w:rFonts w:ascii="Arial" w:hAnsi="Arial" w:cs="Arial"/>
          <w:sz w:val="24"/>
          <w:szCs w:val="24"/>
        </w:rPr>
        <w:t xml:space="preserve">Prior to the </w:t>
      </w:r>
      <w:r w:rsidR="006E2960" w:rsidRPr="007B0231">
        <w:rPr>
          <w:rFonts w:ascii="Arial" w:hAnsi="Arial" w:cs="Arial"/>
          <w:sz w:val="24"/>
          <w:szCs w:val="24"/>
        </w:rPr>
        <w:t xml:space="preserve">advent of a constitutional democracy, apartheid </w:t>
      </w:r>
      <w:r w:rsidR="00D97E50" w:rsidRPr="007B0231">
        <w:rPr>
          <w:rFonts w:ascii="Arial" w:hAnsi="Arial" w:cs="Arial"/>
          <w:sz w:val="24"/>
          <w:szCs w:val="24"/>
        </w:rPr>
        <w:t>planning</w:t>
      </w:r>
      <w:r w:rsidR="006E2960" w:rsidRPr="007B0231">
        <w:rPr>
          <w:rFonts w:ascii="Arial" w:hAnsi="Arial" w:cs="Arial"/>
          <w:sz w:val="24"/>
          <w:szCs w:val="24"/>
        </w:rPr>
        <w:t xml:space="preserve"> law comprised a ‘myriad of </w:t>
      </w:r>
      <w:r w:rsidR="006B17B2" w:rsidRPr="007B0231">
        <w:rPr>
          <w:rFonts w:ascii="Arial" w:hAnsi="Arial" w:cs="Arial"/>
          <w:sz w:val="24"/>
          <w:szCs w:val="24"/>
        </w:rPr>
        <w:t xml:space="preserve">different pieces of legislation </w:t>
      </w:r>
      <w:r w:rsidR="008B46C4" w:rsidRPr="007B0231">
        <w:rPr>
          <w:rFonts w:ascii="Arial" w:hAnsi="Arial" w:cs="Arial"/>
          <w:sz w:val="24"/>
          <w:szCs w:val="24"/>
        </w:rPr>
        <w:t>applicable in different areas.’</w:t>
      </w:r>
      <w:r w:rsidR="00B712E9">
        <w:rPr>
          <w:rStyle w:val="FootnoteReference"/>
          <w:rFonts w:ascii="Arial" w:hAnsi="Arial" w:cs="Arial"/>
          <w:sz w:val="24"/>
          <w:szCs w:val="24"/>
        </w:rPr>
        <w:footnoteReference w:id="45"/>
      </w:r>
      <w:r w:rsidR="0099224A" w:rsidRPr="007B0231">
        <w:rPr>
          <w:rFonts w:ascii="Arial" w:hAnsi="Arial" w:cs="Arial"/>
          <w:sz w:val="24"/>
          <w:szCs w:val="24"/>
        </w:rPr>
        <w:t xml:space="preserve"> Notwithstanding the </w:t>
      </w:r>
      <w:r w:rsidR="00C059B6" w:rsidRPr="007B0231">
        <w:rPr>
          <w:rFonts w:ascii="Arial" w:hAnsi="Arial" w:cs="Arial"/>
          <w:sz w:val="24"/>
          <w:szCs w:val="24"/>
        </w:rPr>
        <w:t xml:space="preserve">legislative changes brought about by the Constitution, </w:t>
      </w:r>
      <w:r w:rsidR="00EE3360" w:rsidRPr="007B0231">
        <w:rPr>
          <w:rFonts w:ascii="Arial" w:hAnsi="Arial" w:cs="Arial"/>
          <w:sz w:val="24"/>
          <w:szCs w:val="24"/>
        </w:rPr>
        <w:t>South Africa’s planning system remained fragmented and uncoordinated</w:t>
      </w:r>
      <w:r w:rsidR="003C5274" w:rsidRPr="007B0231">
        <w:rPr>
          <w:rFonts w:ascii="Arial" w:hAnsi="Arial" w:cs="Arial"/>
          <w:sz w:val="24"/>
          <w:szCs w:val="24"/>
        </w:rPr>
        <w:t>, with many different statutes applying in bo</w:t>
      </w:r>
      <w:r w:rsidR="00D45B20" w:rsidRPr="007B0231">
        <w:rPr>
          <w:rFonts w:ascii="Arial" w:hAnsi="Arial" w:cs="Arial"/>
          <w:sz w:val="24"/>
          <w:szCs w:val="24"/>
        </w:rPr>
        <w:t>th the national and provincial spheres of government.</w:t>
      </w:r>
      <w:r w:rsidR="007F60EC">
        <w:rPr>
          <w:rStyle w:val="FootnoteReference"/>
          <w:rFonts w:ascii="Arial" w:hAnsi="Arial" w:cs="Arial"/>
          <w:sz w:val="24"/>
          <w:szCs w:val="24"/>
        </w:rPr>
        <w:footnoteReference w:id="46"/>
      </w:r>
      <w:r w:rsidR="00C059B6" w:rsidRPr="007B0231">
        <w:rPr>
          <w:rFonts w:ascii="Arial" w:hAnsi="Arial" w:cs="Arial"/>
          <w:sz w:val="24"/>
          <w:szCs w:val="24"/>
        </w:rPr>
        <w:t xml:space="preserve"> </w:t>
      </w:r>
      <w:r w:rsidR="005F7F2B" w:rsidRPr="007B0231">
        <w:rPr>
          <w:rFonts w:ascii="Arial" w:hAnsi="Arial" w:cs="Arial"/>
          <w:sz w:val="24"/>
          <w:szCs w:val="24"/>
        </w:rPr>
        <w:t>A</w:t>
      </w:r>
      <w:r w:rsidR="00566A94" w:rsidRPr="007B0231">
        <w:rPr>
          <w:rFonts w:ascii="Arial" w:hAnsi="Arial" w:cs="Arial"/>
          <w:sz w:val="24"/>
          <w:szCs w:val="24"/>
        </w:rPr>
        <w:t>n important</w:t>
      </w:r>
      <w:r w:rsidR="005F7F2B" w:rsidRPr="007B0231">
        <w:rPr>
          <w:rFonts w:ascii="Arial" w:hAnsi="Arial" w:cs="Arial"/>
          <w:sz w:val="24"/>
          <w:szCs w:val="24"/>
        </w:rPr>
        <w:t xml:space="preserve"> regulatory </w:t>
      </w:r>
      <w:r w:rsidR="00C077C7" w:rsidRPr="007B0231">
        <w:rPr>
          <w:rFonts w:ascii="Arial" w:hAnsi="Arial" w:cs="Arial"/>
          <w:sz w:val="24"/>
          <w:szCs w:val="24"/>
        </w:rPr>
        <w:t xml:space="preserve">instrument </w:t>
      </w:r>
      <w:r w:rsidR="005141DB" w:rsidRPr="007B0231">
        <w:rPr>
          <w:rFonts w:ascii="Arial" w:hAnsi="Arial" w:cs="Arial"/>
          <w:sz w:val="24"/>
          <w:szCs w:val="24"/>
        </w:rPr>
        <w:t xml:space="preserve">in this regard was the </w:t>
      </w:r>
      <w:r w:rsidR="00607CFF" w:rsidRPr="007B0231">
        <w:rPr>
          <w:rFonts w:ascii="Arial" w:hAnsi="Arial" w:cs="Arial"/>
          <w:sz w:val="24"/>
          <w:szCs w:val="24"/>
        </w:rPr>
        <w:t>Land Use Planning Ordinance</w:t>
      </w:r>
      <w:r w:rsidR="00D44886" w:rsidRPr="007B0231">
        <w:rPr>
          <w:rFonts w:ascii="Arial" w:hAnsi="Arial" w:cs="Arial"/>
          <w:sz w:val="24"/>
          <w:szCs w:val="24"/>
        </w:rPr>
        <w:t xml:space="preserve"> 15 of 1985 (‘LUPO’)</w:t>
      </w:r>
      <w:r w:rsidR="005141DB" w:rsidRPr="007B0231">
        <w:rPr>
          <w:rFonts w:ascii="Arial" w:hAnsi="Arial" w:cs="Arial"/>
          <w:sz w:val="24"/>
          <w:szCs w:val="24"/>
        </w:rPr>
        <w:t xml:space="preserve">, which </w:t>
      </w:r>
      <w:r w:rsidR="00D16D62" w:rsidRPr="007B0231">
        <w:rPr>
          <w:rFonts w:ascii="Arial" w:hAnsi="Arial" w:cs="Arial"/>
          <w:sz w:val="24"/>
          <w:szCs w:val="24"/>
        </w:rPr>
        <w:t xml:space="preserve">provided for the </w:t>
      </w:r>
      <w:r w:rsidR="00535269" w:rsidRPr="007B0231">
        <w:rPr>
          <w:rFonts w:ascii="Arial" w:hAnsi="Arial" w:cs="Arial"/>
          <w:sz w:val="24"/>
          <w:szCs w:val="24"/>
        </w:rPr>
        <w:t>creation of town planning or zoning schemes</w:t>
      </w:r>
      <w:r w:rsidR="00B976D2" w:rsidRPr="007B0231">
        <w:rPr>
          <w:rFonts w:ascii="Arial" w:hAnsi="Arial" w:cs="Arial"/>
          <w:sz w:val="24"/>
          <w:szCs w:val="24"/>
        </w:rPr>
        <w:t xml:space="preserve"> in </w:t>
      </w:r>
      <w:r w:rsidR="00571DBB" w:rsidRPr="007B0231">
        <w:rPr>
          <w:rFonts w:ascii="Arial" w:hAnsi="Arial" w:cs="Arial"/>
          <w:sz w:val="24"/>
          <w:szCs w:val="24"/>
        </w:rPr>
        <w:t xml:space="preserve">the erstwhile Cape Province and </w:t>
      </w:r>
      <w:r w:rsidR="00276DEC" w:rsidRPr="007B0231">
        <w:rPr>
          <w:rFonts w:ascii="Arial" w:hAnsi="Arial" w:cs="Arial"/>
          <w:sz w:val="24"/>
          <w:szCs w:val="24"/>
        </w:rPr>
        <w:t xml:space="preserve">applied to </w:t>
      </w:r>
      <w:r w:rsidR="006245D8" w:rsidRPr="007B0231">
        <w:rPr>
          <w:rFonts w:ascii="Arial" w:hAnsi="Arial" w:cs="Arial"/>
          <w:sz w:val="24"/>
          <w:szCs w:val="24"/>
        </w:rPr>
        <w:t xml:space="preserve">land use planning </w:t>
      </w:r>
      <w:r w:rsidR="009C5105" w:rsidRPr="007B0231">
        <w:rPr>
          <w:rFonts w:ascii="Arial" w:hAnsi="Arial" w:cs="Arial"/>
          <w:sz w:val="24"/>
          <w:szCs w:val="24"/>
        </w:rPr>
        <w:t xml:space="preserve">within the jurisdiction of a municipality </w:t>
      </w:r>
      <w:r w:rsidR="005775D8" w:rsidRPr="007B0231">
        <w:rPr>
          <w:rFonts w:ascii="Arial" w:hAnsi="Arial" w:cs="Arial"/>
          <w:sz w:val="24"/>
          <w:szCs w:val="24"/>
        </w:rPr>
        <w:t xml:space="preserve">such as the third respondent. It preceded the </w:t>
      </w:r>
      <w:r w:rsidR="00DD116C" w:rsidRPr="007B0231">
        <w:rPr>
          <w:rFonts w:ascii="Arial" w:hAnsi="Arial" w:cs="Arial"/>
          <w:sz w:val="24"/>
          <w:szCs w:val="24"/>
        </w:rPr>
        <w:t>introduction</w:t>
      </w:r>
      <w:r w:rsidR="005775D8" w:rsidRPr="007B0231">
        <w:rPr>
          <w:rFonts w:ascii="Arial" w:hAnsi="Arial" w:cs="Arial"/>
          <w:sz w:val="24"/>
          <w:szCs w:val="24"/>
        </w:rPr>
        <w:t xml:space="preserve"> </w:t>
      </w:r>
      <w:r w:rsidR="00D44886" w:rsidRPr="007B0231">
        <w:rPr>
          <w:rFonts w:ascii="Arial" w:hAnsi="Arial" w:cs="Arial"/>
          <w:sz w:val="24"/>
          <w:szCs w:val="24"/>
        </w:rPr>
        <w:t>of SPLUMA</w:t>
      </w:r>
      <w:r w:rsidR="00E523BB" w:rsidRPr="007B0231">
        <w:rPr>
          <w:rFonts w:ascii="Arial" w:hAnsi="Arial" w:cs="Arial"/>
          <w:sz w:val="24"/>
          <w:szCs w:val="24"/>
        </w:rPr>
        <w:t xml:space="preserve"> and </w:t>
      </w:r>
      <w:r w:rsidR="00F118BC" w:rsidRPr="007B0231">
        <w:rPr>
          <w:rFonts w:ascii="Arial" w:hAnsi="Arial" w:cs="Arial"/>
          <w:sz w:val="24"/>
          <w:szCs w:val="24"/>
        </w:rPr>
        <w:t xml:space="preserve">the </w:t>
      </w:r>
      <w:r w:rsidR="008622CC" w:rsidRPr="007B0231">
        <w:rPr>
          <w:rFonts w:ascii="Arial" w:hAnsi="Arial" w:cs="Arial"/>
          <w:sz w:val="24"/>
          <w:szCs w:val="24"/>
        </w:rPr>
        <w:t>shift towards a system in which local government play</w:t>
      </w:r>
      <w:r w:rsidR="007733DB" w:rsidRPr="007B0231">
        <w:rPr>
          <w:rFonts w:ascii="Arial" w:hAnsi="Arial" w:cs="Arial"/>
          <w:sz w:val="24"/>
          <w:szCs w:val="24"/>
        </w:rPr>
        <w:t>ed</w:t>
      </w:r>
      <w:r w:rsidR="008622CC" w:rsidRPr="007B0231">
        <w:rPr>
          <w:rFonts w:ascii="Arial" w:hAnsi="Arial" w:cs="Arial"/>
          <w:sz w:val="24"/>
          <w:szCs w:val="24"/>
        </w:rPr>
        <w:t xml:space="preserve"> a central planning role.</w:t>
      </w:r>
      <w:r w:rsidR="00B90F4A" w:rsidRPr="007B0231">
        <w:rPr>
          <w:rFonts w:ascii="Arial" w:hAnsi="Arial" w:cs="Arial"/>
          <w:sz w:val="24"/>
          <w:szCs w:val="24"/>
        </w:rPr>
        <w:t xml:space="preserve"> </w:t>
      </w:r>
    </w:p>
    <w:p w14:paraId="19F51DA6" w14:textId="77777777" w:rsidR="007414BA" w:rsidRDefault="007414BA" w:rsidP="007414BA">
      <w:pPr>
        <w:pStyle w:val="ListParagraph"/>
        <w:spacing w:line="360" w:lineRule="auto"/>
        <w:ind w:left="0"/>
        <w:jc w:val="both"/>
        <w:rPr>
          <w:rFonts w:ascii="Arial" w:hAnsi="Arial" w:cs="Arial"/>
          <w:sz w:val="24"/>
          <w:szCs w:val="24"/>
        </w:rPr>
      </w:pPr>
    </w:p>
    <w:p w14:paraId="23325E02" w14:textId="14703EFA"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9C5727" w:rsidRPr="007B0231">
        <w:rPr>
          <w:rFonts w:ascii="Arial" w:hAnsi="Arial" w:cs="Arial"/>
          <w:sz w:val="24"/>
          <w:szCs w:val="24"/>
        </w:rPr>
        <w:t>SPLUMA was in operation a</w:t>
      </w:r>
      <w:r w:rsidR="00030689" w:rsidRPr="007B0231">
        <w:rPr>
          <w:rFonts w:ascii="Arial" w:hAnsi="Arial" w:cs="Arial"/>
          <w:sz w:val="24"/>
          <w:szCs w:val="24"/>
        </w:rPr>
        <w:t>t the time that the fourth respondent lodged its departure and removal application</w:t>
      </w:r>
      <w:r w:rsidR="00AD7A78" w:rsidRPr="007B0231">
        <w:rPr>
          <w:rFonts w:ascii="Arial" w:hAnsi="Arial" w:cs="Arial"/>
          <w:sz w:val="24"/>
          <w:szCs w:val="24"/>
        </w:rPr>
        <w:t xml:space="preserve"> on </w:t>
      </w:r>
      <w:r w:rsidR="007254DB" w:rsidRPr="007B0231">
        <w:rPr>
          <w:rFonts w:ascii="Arial" w:hAnsi="Arial" w:cs="Arial"/>
          <w:sz w:val="24"/>
          <w:szCs w:val="24"/>
        </w:rPr>
        <w:t>16 July 2018</w:t>
      </w:r>
      <w:r w:rsidR="009C5727" w:rsidRPr="007B0231">
        <w:rPr>
          <w:rFonts w:ascii="Arial" w:hAnsi="Arial" w:cs="Arial"/>
          <w:sz w:val="24"/>
          <w:szCs w:val="24"/>
        </w:rPr>
        <w:t xml:space="preserve">. </w:t>
      </w:r>
      <w:r w:rsidR="00846985" w:rsidRPr="007B0231">
        <w:rPr>
          <w:rFonts w:ascii="Arial" w:hAnsi="Arial" w:cs="Arial"/>
          <w:sz w:val="24"/>
          <w:szCs w:val="24"/>
        </w:rPr>
        <w:t>It provide</w:t>
      </w:r>
      <w:r w:rsidR="006D1480" w:rsidRPr="007B0231">
        <w:rPr>
          <w:rFonts w:ascii="Arial" w:hAnsi="Arial" w:cs="Arial"/>
          <w:sz w:val="24"/>
          <w:szCs w:val="24"/>
        </w:rPr>
        <w:t>s</w:t>
      </w:r>
      <w:r w:rsidR="00481DFF" w:rsidRPr="007B0231">
        <w:rPr>
          <w:rFonts w:ascii="Arial" w:hAnsi="Arial" w:cs="Arial"/>
          <w:sz w:val="24"/>
          <w:szCs w:val="24"/>
        </w:rPr>
        <w:t xml:space="preserve">, </w:t>
      </w:r>
      <w:r w:rsidR="00481DFF" w:rsidRPr="007B0231">
        <w:rPr>
          <w:rFonts w:ascii="Arial" w:hAnsi="Arial" w:cs="Arial"/>
          <w:i/>
          <w:iCs/>
          <w:sz w:val="24"/>
          <w:szCs w:val="24"/>
        </w:rPr>
        <w:t>inter alia</w:t>
      </w:r>
      <w:r w:rsidR="00481DFF" w:rsidRPr="007B0231">
        <w:rPr>
          <w:rFonts w:ascii="Arial" w:hAnsi="Arial" w:cs="Arial"/>
          <w:sz w:val="24"/>
          <w:szCs w:val="24"/>
        </w:rPr>
        <w:t>,</w:t>
      </w:r>
      <w:r w:rsidR="006D1480" w:rsidRPr="007B0231">
        <w:rPr>
          <w:rFonts w:ascii="Arial" w:hAnsi="Arial" w:cs="Arial"/>
          <w:sz w:val="24"/>
          <w:szCs w:val="24"/>
        </w:rPr>
        <w:t xml:space="preserve"> a framework for spatial planning and land use management in South </w:t>
      </w:r>
      <w:r w:rsidR="00EC5078" w:rsidRPr="007B0231">
        <w:rPr>
          <w:rFonts w:ascii="Arial" w:hAnsi="Arial" w:cs="Arial"/>
          <w:sz w:val="24"/>
          <w:szCs w:val="24"/>
        </w:rPr>
        <w:t>Africa and</w:t>
      </w:r>
      <w:r w:rsidR="00F502D6" w:rsidRPr="007B0231">
        <w:rPr>
          <w:rFonts w:ascii="Arial" w:hAnsi="Arial" w:cs="Arial"/>
          <w:sz w:val="24"/>
          <w:szCs w:val="24"/>
        </w:rPr>
        <w:t xml:space="preserve"> was designed to promote </w:t>
      </w:r>
      <w:r w:rsidR="00351A8D" w:rsidRPr="007B0231">
        <w:rPr>
          <w:rFonts w:ascii="Arial" w:hAnsi="Arial" w:cs="Arial"/>
          <w:sz w:val="24"/>
          <w:szCs w:val="24"/>
        </w:rPr>
        <w:t xml:space="preserve">greater consistency and uniformity in the application procedures </w:t>
      </w:r>
      <w:r w:rsidR="008149A8" w:rsidRPr="007B0231">
        <w:rPr>
          <w:rFonts w:ascii="Arial" w:hAnsi="Arial" w:cs="Arial"/>
          <w:sz w:val="24"/>
          <w:szCs w:val="24"/>
        </w:rPr>
        <w:t xml:space="preserve">and decision-making by authorities responsible for land use </w:t>
      </w:r>
      <w:r w:rsidR="00290319" w:rsidRPr="007B0231">
        <w:rPr>
          <w:rFonts w:ascii="Arial" w:hAnsi="Arial" w:cs="Arial"/>
          <w:sz w:val="24"/>
          <w:szCs w:val="24"/>
        </w:rPr>
        <w:t>decisions and development applications.</w:t>
      </w:r>
      <w:r w:rsidR="00A072B7">
        <w:rPr>
          <w:rStyle w:val="FootnoteReference"/>
          <w:rFonts w:ascii="Arial" w:hAnsi="Arial" w:cs="Arial"/>
          <w:sz w:val="24"/>
          <w:szCs w:val="24"/>
        </w:rPr>
        <w:footnoteReference w:id="47"/>
      </w:r>
      <w:r w:rsidR="006D1480" w:rsidRPr="007B0231">
        <w:rPr>
          <w:rFonts w:ascii="Arial" w:hAnsi="Arial" w:cs="Arial"/>
          <w:sz w:val="24"/>
          <w:szCs w:val="24"/>
        </w:rPr>
        <w:t xml:space="preserve"> </w:t>
      </w:r>
      <w:r w:rsidR="001F3679" w:rsidRPr="007B0231">
        <w:rPr>
          <w:rFonts w:ascii="Arial" w:hAnsi="Arial" w:cs="Arial"/>
          <w:sz w:val="24"/>
          <w:szCs w:val="24"/>
        </w:rPr>
        <w:t>Despite</w:t>
      </w:r>
      <w:r w:rsidR="006F6868" w:rsidRPr="007B0231">
        <w:rPr>
          <w:rFonts w:ascii="Arial" w:hAnsi="Arial" w:cs="Arial"/>
          <w:sz w:val="24"/>
          <w:szCs w:val="24"/>
        </w:rPr>
        <w:t xml:space="preserve"> the </w:t>
      </w:r>
      <w:r w:rsidR="003668FC" w:rsidRPr="007B0231">
        <w:rPr>
          <w:rFonts w:ascii="Arial" w:hAnsi="Arial" w:cs="Arial"/>
          <w:sz w:val="24"/>
          <w:szCs w:val="24"/>
        </w:rPr>
        <w:t xml:space="preserve">high-level legislative </w:t>
      </w:r>
      <w:r w:rsidR="006F6868" w:rsidRPr="007B0231">
        <w:rPr>
          <w:rFonts w:ascii="Arial" w:hAnsi="Arial" w:cs="Arial"/>
          <w:sz w:val="24"/>
          <w:szCs w:val="24"/>
        </w:rPr>
        <w:t>changes brought about by SPLUMA</w:t>
      </w:r>
      <w:r w:rsidR="003668FC" w:rsidRPr="007B0231">
        <w:rPr>
          <w:rFonts w:ascii="Arial" w:hAnsi="Arial" w:cs="Arial"/>
          <w:sz w:val="24"/>
          <w:szCs w:val="24"/>
        </w:rPr>
        <w:t xml:space="preserve">, provincial legislation such as LUPO continued to </w:t>
      </w:r>
      <w:r w:rsidR="00FB37B9" w:rsidRPr="007B0231">
        <w:rPr>
          <w:rFonts w:ascii="Arial" w:hAnsi="Arial" w:cs="Arial"/>
          <w:sz w:val="24"/>
          <w:szCs w:val="24"/>
        </w:rPr>
        <w:t xml:space="preserve">apply </w:t>
      </w:r>
      <w:r w:rsidR="00F406A7" w:rsidRPr="007B0231">
        <w:rPr>
          <w:rFonts w:ascii="Arial" w:hAnsi="Arial" w:cs="Arial"/>
          <w:sz w:val="24"/>
          <w:szCs w:val="24"/>
        </w:rPr>
        <w:t xml:space="preserve">in relation </w:t>
      </w:r>
      <w:r w:rsidR="00FB37B9" w:rsidRPr="007B0231">
        <w:rPr>
          <w:rFonts w:ascii="Arial" w:hAnsi="Arial" w:cs="Arial"/>
          <w:sz w:val="24"/>
          <w:szCs w:val="24"/>
        </w:rPr>
        <w:t>to</w:t>
      </w:r>
      <w:r w:rsidR="00F406A7" w:rsidRPr="007B0231">
        <w:rPr>
          <w:rFonts w:ascii="Arial" w:hAnsi="Arial" w:cs="Arial"/>
          <w:sz w:val="24"/>
          <w:szCs w:val="24"/>
        </w:rPr>
        <w:t xml:space="preserve"> land use planning decisions </w:t>
      </w:r>
      <w:r w:rsidR="00973960" w:rsidRPr="007B0231">
        <w:rPr>
          <w:rFonts w:ascii="Arial" w:hAnsi="Arial" w:cs="Arial"/>
          <w:sz w:val="24"/>
          <w:szCs w:val="24"/>
        </w:rPr>
        <w:t xml:space="preserve">within the </w:t>
      </w:r>
      <w:r w:rsidR="00C80BA7" w:rsidRPr="007B0231">
        <w:rPr>
          <w:rFonts w:ascii="Arial" w:hAnsi="Arial" w:cs="Arial"/>
          <w:sz w:val="24"/>
          <w:szCs w:val="24"/>
        </w:rPr>
        <w:t>context of local government.</w:t>
      </w:r>
      <w:r w:rsidR="00711461">
        <w:rPr>
          <w:rStyle w:val="FootnoteReference"/>
          <w:rFonts w:ascii="Arial" w:hAnsi="Arial" w:cs="Arial"/>
          <w:sz w:val="24"/>
          <w:szCs w:val="24"/>
        </w:rPr>
        <w:footnoteReference w:id="48"/>
      </w:r>
      <w:r w:rsidR="00C80BA7" w:rsidRPr="007B0231">
        <w:rPr>
          <w:rFonts w:ascii="Arial" w:hAnsi="Arial" w:cs="Arial"/>
          <w:sz w:val="24"/>
          <w:szCs w:val="24"/>
        </w:rPr>
        <w:t xml:space="preserve"> </w:t>
      </w:r>
    </w:p>
    <w:p w14:paraId="5E4D4033" w14:textId="77777777" w:rsidR="0030569B" w:rsidRPr="0030569B" w:rsidRDefault="0030569B" w:rsidP="0030569B">
      <w:pPr>
        <w:pStyle w:val="ListParagraph"/>
        <w:rPr>
          <w:rFonts w:ascii="Arial" w:hAnsi="Arial" w:cs="Arial"/>
          <w:sz w:val="24"/>
          <w:szCs w:val="24"/>
        </w:rPr>
      </w:pPr>
    </w:p>
    <w:p w14:paraId="6B96EF18" w14:textId="166517B8"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F84274" w:rsidRPr="007B0231">
        <w:rPr>
          <w:rFonts w:ascii="Arial" w:hAnsi="Arial" w:cs="Arial"/>
          <w:sz w:val="24"/>
          <w:szCs w:val="24"/>
        </w:rPr>
        <w:t>A</w:t>
      </w:r>
      <w:r w:rsidR="00566A94" w:rsidRPr="007B0231">
        <w:rPr>
          <w:rFonts w:ascii="Arial" w:hAnsi="Arial" w:cs="Arial"/>
          <w:sz w:val="24"/>
          <w:szCs w:val="24"/>
        </w:rPr>
        <w:t xml:space="preserve"> key </w:t>
      </w:r>
      <w:r w:rsidR="00F84274" w:rsidRPr="007B0231">
        <w:rPr>
          <w:rFonts w:ascii="Arial" w:hAnsi="Arial" w:cs="Arial"/>
          <w:sz w:val="24"/>
          <w:szCs w:val="24"/>
        </w:rPr>
        <w:t>component of</w:t>
      </w:r>
      <w:r w:rsidR="0029708F" w:rsidRPr="007B0231">
        <w:rPr>
          <w:rFonts w:ascii="Arial" w:hAnsi="Arial" w:cs="Arial"/>
          <w:sz w:val="24"/>
          <w:szCs w:val="24"/>
        </w:rPr>
        <w:t xml:space="preserve"> </w:t>
      </w:r>
      <w:r w:rsidR="00F84274" w:rsidRPr="007B0231">
        <w:rPr>
          <w:rFonts w:ascii="Arial" w:hAnsi="Arial" w:cs="Arial"/>
          <w:sz w:val="24"/>
          <w:szCs w:val="24"/>
        </w:rPr>
        <w:t>land use</w:t>
      </w:r>
      <w:r w:rsidR="0029708F" w:rsidRPr="007B0231">
        <w:rPr>
          <w:rFonts w:ascii="Arial" w:hAnsi="Arial" w:cs="Arial"/>
          <w:sz w:val="24"/>
          <w:szCs w:val="24"/>
        </w:rPr>
        <w:t xml:space="preserve"> </w:t>
      </w:r>
      <w:r w:rsidR="00CB6A6E" w:rsidRPr="007B0231">
        <w:rPr>
          <w:rFonts w:ascii="Arial" w:hAnsi="Arial" w:cs="Arial"/>
          <w:sz w:val="24"/>
          <w:szCs w:val="24"/>
        </w:rPr>
        <w:t xml:space="preserve">planning </w:t>
      </w:r>
      <w:r w:rsidR="008D382B" w:rsidRPr="007B0231">
        <w:rPr>
          <w:rFonts w:ascii="Arial" w:hAnsi="Arial" w:cs="Arial"/>
          <w:sz w:val="24"/>
          <w:szCs w:val="24"/>
        </w:rPr>
        <w:t>under LUPO was the zoning scheme</w:t>
      </w:r>
      <w:r w:rsidR="0035574F" w:rsidRPr="007B0231">
        <w:rPr>
          <w:rFonts w:ascii="Arial" w:hAnsi="Arial" w:cs="Arial"/>
          <w:sz w:val="24"/>
          <w:szCs w:val="24"/>
        </w:rPr>
        <w:t>.</w:t>
      </w:r>
      <w:r w:rsidR="001027BD" w:rsidRPr="007B0231">
        <w:rPr>
          <w:rFonts w:ascii="Arial" w:hAnsi="Arial" w:cs="Arial"/>
          <w:sz w:val="24"/>
          <w:szCs w:val="24"/>
        </w:rPr>
        <w:t xml:space="preserve"> </w:t>
      </w:r>
      <w:r w:rsidR="002B3719" w:rsidRPr="007B0231">
        <w:rPr>
          <w:rFonts w:ascii="Arial" w:hAnsi="Arial" w:cs="Arial"/>
          <w:sz w:val="24"/>
          <w:szCs w:val="24"/>
        </w:rPr>
        <w:t>Its</w:t>
      </w:r>
      <w:r w:rsidR="001027BD" w:rsidRPr="007B0231">
        <w:rPr>
          <w:rFonts w:ascii="Arial" w:hAnsi="Arial" w:cs="Arial"/>
          <w:sz w:val="24"/>
          <w:szCs w:val="24"/>
        </w:rPr>
        <w:t xml:space="preserve"> </w:t>
      </w:r>
      <w:r w:rsidR="004F6D00" w:rsidRPr="007B0231">
        <w:rPr>
          <w:rFonts w:ascii="Arial" w:hAnsi="Arial" w:cs="Arial"/>
          <w:sz w:val="24"/>
          <w:szCs w:val="24"/>
        </w:rPr>
        <w:t xml:space="preserve">general </w:t>
      </w:r>
      <w:r w:rsidR="001027BD" w:rsidRPr="007B0231">
        <w:rPr>
          <w:rFonts w:ascii="Arial" w:hAnsi="Arial" w:cs="Arial"/>
          <w:sz w:val="24"/>
          <w:szCs w:val="24"/>
        </w:rPr>
        <w:t xml:space="preserve">purpose </w:t>
      </w:r>
      <w:r w:rsidR="004F6D00" w:rsidRPr="007B0231">
        <w:rPr>
          <w:rFonts w:ascii="Arial" w:hAnsi="Arial" w:cs="Arial"/>
          <w:sz w:val="24"/>
          <w:szCs w:val="24"/>
        </w:rPr>
        <w:t xml:space="preserve">was </w:t>
      </w:r>
      <w:r w:rsidR="00664EA1" w:rsidRPr="007B0231">
        <w:rPr>
          <w:rFonts w:ascii="Arial" w:hAnsi="Arial" w:cs="Arial"/>
          <w:sz w:val="24"/>
          <w:szCs w:val="24"/>
        </w:rPr>
        <w:t xml:space="preserve">to determine use rights and to provide control over </w:t>
      </w:r>
      <w:r w:rsidR="00754BBE" w:rsidRPr="007B0231">
        <w:rPr>
          <w:rFonts w:ascii="Arial" w:hAnsi="Arial" w:cs="Arial"/>
          <w:sz w:val="24"/>
          <w:szCs w:val="24"/>
        </w:rPr>
        <w:t>use rights and over the utilisation of land in the area of jurisdiction of a local authority.</w:t>
      </w:r>
      <w:r w:rsidR="002B3719">
        <w:rPr>
          <w:rStyle w:val="FootnoteReference"/>
          <w:rFonts w:ascii="Arial" w:hAnsi="Arial" w:cs="Arial"/>
          <w:sz w:val="24"/>
          <w:szCs w:val="24"/>
        </w:rPr>
        <w:footnoteReference w:id="49"/>
      </w:r>
      <w:r w:rsidR="001027BD" w:rsidRPr="007B0231">
        <w:rPr>
          <w:rFonts w:ascii="Arial" w:hAnsi="Arial" w:cs="Arial"/>
          <w:sz w:val="24"/>
          <w:szCs w:val="24"/>
        </w:rPr>
        <w:t xml:space="preserve"> </w:t>
      </w:r>
      <w:r w:rsidR="001D4427" w:rsidRPr="007B0231">
        <w:rPr>
          <w:rFonts w:ascii="Arial" w:hAnsi="Arial" w:cs="Arial"/>
          <w:sz w:val="24"/>
          <w:szCs w:val="24"/>
        </w:rPr>
        <w:t xml:space="preserve">The </w:t>
      </w:r>
      <w:r w:rsidR="00702491" w:rsidRPr="007B0231">
        <w:rPr>
          <w:rFonts w:ascii="Arial" w:hAnsi="Arial" w:cs="Arial"/>
          <w:sz w:val="24"/>
          <w:szCs w:val="24"/>
        </w:rPr>
        <w:t xml:space="preserve">mechanism </w:t>
      </w:r>
      <w:r w:rsidR="00F223E8" w:rsidRPr="007B0231">
        <w:rPr>
          <w:rFonts w:ascii="Arial" w:hAnsi="Arial" w:cs="Arial"/>
          <w:sz w:val="24"/>
          <w:szCs w:val="24"/>
        </w:rPr>
        <w:t xml:space="preserve">of the zoning scheme has </w:t>
      </w:r>
      <w:r w:rsidR="00F830D3" w:rsidRPr="007B0231">
        <w:rPr>
          <w:rFonts w:ascii="Arial" w:hAnsi="Arial" w:cs="Arial"/>
          <w:sz w:val="24"/>
          <w:szCs w:val="24"/>
        </w:rPr>
        <w:t xml:space="preserve">evolved to become a land use scheme under SPLUMA, but its essential </w:t>
      </w:r>
      <w:r w:rsidR="0080576D" w:rsidRPr="007B0231">
        <w:rPr>
          <w:rFonts w:ascii="Arial" w:hAnsi="Arial" w:cs="Arial"/>
          <w:sz w:val="24"/>
          <w:szCs w:val="24"/>
        </w:rPr>
        <w:t>purpose remains the same</w:t>
      </w:r>
      <w:r w:rsidR="004721C2" w:rsidRPr="007B0231">
        <w:rPr>
          <w:rFonts w:ascii="Arial" w:hAnsi="Arial" w:cs="Arial"/>
          <w:sz w:val="24"/>
          <w:szCs w:val="24"/>
        </w:rPr>
        <w:t xml:space="preserve">, viz. to determine the use and development of land </w:t>
      </w:r>
      <w:r w:rsidR="00421AE8" w:rsidRPr="007B0231">
        <w:rPr>
          <w:rFonts w:ascii="Arial" w:hAnsi="Arial" w:cs="Arial"/>
          <w:sz w:val="24"/>
          <w:szCs w:val="24"/>
        </w:rPr>
        <w:t>within the municipal area to which it relates.</w:t>
      </w:r>
      <w:r w:rsidR="00421AE8">
        <w:rPr>
          <w:rStyle w:val="FootnoteReference"/>
          <w:rFonts w:ascii="Arial" w:hAnsi="Arial" w:cs="Arial"/>
          <w:sz w:val="24"/>
          <w:szCs w:val="24"/>
        </w:rPr>
        <w:footnoteReference w:id="50"/>
      </w:r>
      <w:r w:rsidR="0089652F" w:rsidRPr="007B0231">
        <w:rPr>
          <w:rFonts w:ascii="Arial" w:hAnsi="Arial" w:cs="Arial"/>
          <w:sz w:val="24"/>
          <w:szCs w:val="24"/>
        </w:rPr>
        <w:t xml:space="preserve"> </w:t>
      </w:r>
      <w:r w:rsidR="00180D47" w:rsidRPr="007B0231">
        <w:rPr>
          <w:rFonts w:ascii="Arial" w:hAnsi="Arial" w:cs="Arial"/>
          <w:sz w:val="24"/>
          <w:szCs w:val="24"/>
        </w:rPr>
        <w:t>I</w:t>
      </w:r>
      <w:r w:rsidR="000B6DE1" w:rsidRPr="007B0231">
        <w:rPr>
          <w:rFonts w:ascii="Arial" w:hAnsi="Arial" w:cs="Arial"/>
          <w:sz w:val="24"/>
          <w:szCs w:val="24"/>
        </w:rPr>
        <w:t>n terms of</w:t>
      </w:r>
      <w:r w:rsidR="008F17C3" w:rsidRPr="007B0231">
        <w:rPr>
          <w:rFonts w:ascii="Arial" w:hAnsi="Arial" w:cs="Arial"/>
          <w:sz w:val="24"/>
          <w:szCs w:val="24"/>
        </w:rPr>
        <w:t xml:space="preserve"> section </w:t>
      </w:r>
      <w:r w:rsidR="001D7A80" w:rsidRPr="007B0231">
        <w:rPr>
          <w:rFonts w:ascii="Arial" w:hAnsi="Arial" w:cs="Arial"/>
          <w:sz w:val="24"/>
          <w:szCs w:val="24"/>
        </w:rPr>
        <w:t>24</w:t>
      </w:r>
      <w:r w:rsidR="006F59BF" w:rsidRPr="007B0231">
        <w:rPr>
          <w:rFonts w:ascii="Arial" w:hAnsi="Arial" w:cs="Arial"/>
          <w:sz w:val="24"/>
          <w:szCs w:val="24"/>
        </w:rPr>
        <w:t>(1)</w:t>
      </w:r>
      <w:r w:rsidR="00922E9F" w:rsidRPr="007B0231">
        <w:rPr>
          <w:rFonts w:ascii="Arial" w:hAnsi="Arial" w:cs="Arial"/>
          <w:sz w:val="24"/>
          <w:szCs w:val="24"/>
        </w:rPr>
        <w:t xml:space="preserve"> of SPLUMA</w:t>
      </w:r>
      <w:r w:rsidR="001D7A80" w:rsidRPr="007B0231">
        <w:rPr>
          <w:rFonts w:ascii="Arial" w:hAnsi="Arial" w:cs="Arial"/>
          <w:sz w:val="24"/>
          <w:szCs w:val="24"/>
        </w:rPr>
        <w:t xml:space="preserve">, a municipality </w:t>
      </w:r>
      <w:r w:rsidR="00752962" w:rsidRPr="007B0231">
        <w:rPr>
          <w:rFonts w:ascii="Arial" w:hAnsi="Arial" w:cs="Arial"/>
          <w:sz w:val="24"/>
          <w:szCs w:val="24"/>
        </w:rPr>
        <w:t xml:space="preserve">was required to </w:t>
      </w:r>
      <w:r w:rsidR="001D7A80" w:rsidRPr="007B0231">
        <w:rPr>
          <w:rFonts w:ascii="Arial" w:hAnsi="Arial" w:cs="Arial"/>
          <w:sz w:val="24"/>
          <w:szCs w:val="24"/>
        </w:rPr>
        <w:t xml:space="preserve">adopt and </w:t>
      </w:r>
      <w:r w:rsidR="00365688" w:rsidRPr="007B0231">
        <w:rPr>
          <w:rFonts w:ascii="Arial" w:hAnsi="Arial" w:cs="Arial"/>
          <w:sz w:val="24"/>
          <w:szCs w:val="24"/>
        </w:rPr>
        <w:t xml:space="preserve">approve a single land use scheme </w:t>
      </w:r>
      <w:r w:rsidR="00C94B8B" w:rsidRPr="007B0231">
        <w:rPr>
          <w:rFonts w:ascii="Arial" w:hAnsi="Arial" w:cs="Arial"/>
          <w:sz w:val="24"/>
          <w:szCs w:val="24"/>
        </w:rPr>
        <w:t>for its entire area</w:t>
      </w:r>
      <w:r w:rsidR="00752962" w:rsidRPr="007B0231">
        <w:rPr>
          <w:rFonts w:ascii="Arial" w:hAnsi="Arial" w:cs="Arial"/>
          <w:sz w:val="24"/>
          <w:szCs w:val="24"/>
        </w:rPr>
        <w:t xml:space="preserve"> </w:t>
      </w:r>
      <w:r w:rsidR="00E45A53" w:rsidRPr="007B0231">
        <w:rPr>
          <w:rFonts w:ascii="Arial" w:hAnsi="Arial" w:cs="Arial"/>
          <w:sz w:val="24"/>
          <w:szCs w:val="24"/>
        </w:rPr>
        <w:t xml:space="preserve">within five years of </w:t>
      </w:r>
      <w:r w:rsidR="00CB2297" w:rsidRPr="007B0231">
        <w:rPr>
          <w:rFonts w:ascii="Arial" w:hAnsi="Arial" w:cs="Arial"/>
          <w:sz w:val="24"/>
          <w:szCs w:val="24"/>
        </w:rPr>
        <w:t xml:space="preserve">SPLUMA’s </w:t>
      </w:r>
      <w:r w:rsidR="00260799" w:rsidRPr="007B0231">
        <w:rPr>
          <w:rFonts w:ascii="Arial" w:hAnsi="Arial" w:cs="Arial"/>
          <w:sz w:val="24"/>
          <w:szCs w:val="24"/>
        </w:rPr>
        <w:t>commencement</w:t>
      </w:r>
      <w:r w:rsidR="00F01ACE" w:rsidRPr="007B0231">
        <w:rPr>
          <w:rFonts w:ascii="Arial" w:hAnsi="Arial" w:cs="Arial"/>
          <w:sz w:val="24"/>
          <w:szCs w:val="24"/>
        </w:rPr>
        <w:t>.</w:t>
      </w:r>
      <w:r w:rsidR="00CB2297">
        <w:rPr>
          <w:rStyle w:val="FootnoteReference"/>
          <w:rFonts w:ascii="Arial" w:hAnsi="Arial" w:cs="Arial"/>
          <w:sz w:val="24"/>
          <w:szCs w:val="24"/>
        </w:rPr>
        <w:footnoteReference w:id="51"/>
      </w:r>
      <w:r w:rsidR="006F59BF" w:rsidRPr="007B0231">
        <w:rPr>
          <w:rFonts w:ascii="Arial" w:hAnsi="Arial" w:cs="Arial"/>
          <w:sz w:val="24"/>
          <w:szCs w:val="24"/>
        </w:rPr>
        <w:t xml:space="preserve"> </w:t>
      </w:r>
      <w:r w:rsidR="00E27D4F" w:rsidRPr="007B0231">
        <w:rPr>
          <w:rFonts w:ascii="Arial" w:hAnsi="Arial" w:cs="Arial"/>
          <w:sz w:val="24"/>
          <w:szCs w:val="24"/>
        </w:rPr>
        <w:t xml:space="preserve">The provision serves to highlight the central </w:t>
      </w:r>
      <w:r w:rsidR="009D0B45" w:rsidRPr="007B0231">
        <w:rPr>
          <w:rFonts w:ascii="Arial" w:hAnsi="Arial" w:cs="Arial"/>
          <w:sz w:val="24"/>
          <w:szCs w:val="24"/>
        </w:rPr>
        <w:t xml:space="preserve">planning </w:t>
      </w:r>
      <w:r w:rsidR="004326A9" w:rsidRPr="007B0231">
        <w:rPr>
          <w:rFonts w:ascii="Arial" w:hAnsi="Arial" w:cs="Arial"/>
          <w:sz w:val="24"/>
          <w:szCs w:val="24"/>
        </w:rPr>
        <w:t xml:space="preserve">role </w:t>
      </w:r>
      <w:r w:rsidR="009D0B45" w:rsidRPr="007B0231">
        <w:rPr>
          <w:rFonts w:ascii="Arial" w:hAnsi="Arial" w:cs="Arial"/>
          <w:sz w:val="24"/>
          <w:szCs w:val="24"/>
        </w:rPr>
        <w:t xml:space="preserve">now </w:t>
      </w:r>
      <w:r w:rsidR="004326A9" w:rsidRPr="007B0231">
        <w:rPr>
          <w:rFonts w:ascii="Arial" w:hAnsi="Arial" w:cs="Arial"/>
          <w:sz w:val="24"/>
          <w:szCs w:val="24"/>
        </w:rPr>
        <w:t>played by local government</w:t>
      </w:r>
      <w:r w:rsidR="00BA3C9C" w:rsidRPr="007B0231">
        <w:rPr>
          <w:rFonts w:ascii="Arial" w:hAnsi="Arial" w:cs="Arial"/>
          <w:sz w:val="24"/>
          <w:szCs w:val="24"/>
        </w:rPr>
        <w:t xml:space="preserve">, which was not the case under LUPO. </w:t>
      </w:r>
      <w:r w:rsidR="00FA350A" w:rsidRPr="007B0231">
        <w:rPr>
          <w:rFonts w:ascii="Arial" w:hAnsi="Arial" w:cs="Arial"/>
          <w:sz w:val="24"/>
          <w:szCs w:val="24"/>
        </w:rPr>
        <w:t>Furthermore, s</w:t>
      </w:r>
      <w:r w:rsidR="006F59BF" w:rsidRPr="007B0231">
        <w:rPr>
          <w:rFonts w:ascii="Arial" w:hAnsi="Arial" w:cs="Arial"/>
          <w:sz w:val="24"/>
          <w:szCs w:val="24"/>
        </w:rPr>
        <w:t xml:space="preserve">ub-section </w:t>
      </w:r>
      <w:r w:rsidR="00E71E77" w:rsidRPr="007B0231">
        <w:rPr>
          <w:rFonts w:ascii="Arial" w:hAnsi="Arial" w:cs="Arial"/>
          <w:sz w:val="24"/>
          <w:szCs w:val="24"/>
        </w:rPr>
        <w:t xml:space="preserve">(2) </w:t>
      </w:r>
      <w:r w:rsidR="00BA3C9C" w:rsidRPr="007B0231">
        <w:rPr>
          <w:rFonts w:ascii="Arial" w:hAnsi="Arial" w:cs="Arial"/>
          <w:sz w:val="24"/>
          <w:szCs w:val="24"/>
        </w:rPr>
        <w:t xml:space="preserve">of SPLUMA </w:t>
      </w:r>
      <w:r w:rsidR="00E71E77" w:rsidRPr="007B0231">
        <w:rPr>
          <w:rFonts w:ascii="Arial" w:hAnsi="Arial" w:cs="Arial"/>
          <w:sz w:val="24"/>
          <w:szCs w:val="24"/>
        </w:rPr>
        <w:t>stipulate</w:t>
      </w:r>
      <w:r w:rsidR="003E1220" w:rsidRPr="007B0231">
        <w:rPr>
          <w:rFonts w:ascii="Arial" w:hAnsi="Arial" w:cs="Arial"/>
          <w:sz w:val="24"/>
          <w:szCs w:val="24"/>
        </w:rPr>
        <w:t>s</w:t>
      </w:r>
      <w:r w:rsidR="00E71E77" w:rsidRPr="007B0231">
        <w:rPr>
          <w:rFonts w:ascii="Arial" w:hAnsi="Arial" w:cs="Arial"/>
          <w:sz w:val="24"/>
          <w:szCs w:val="24"/>
        </w:rPr>
        <w:t xml:space="preserve"> that the scheme </w:t>
      </w:r>
      <w:r w:rsidR="00E50F85" w:rsidRPr="007B0231">
        <w:rPr>
          <w:rFonts w:ascii="Arial" w:hAnsi="Arial" w:cs="Arial"/>
          <w:sz w:val="24"/>
          <w:szCs w:val="24"/>
        </w:rPr>
        <w:t>must include</w:t>
      </w:r>
      <w:r w:rsidR="00E71E77" w:rsidRPr="007B0231">
        <w:rPr>
          <w:rFonts w:ascii="Arial" w:hAnsi="Arial" w:cs="Arial"/>
          <w:sz w:val="24"/>
          <w:szCs w:val="24"/>
        </w:rPr>
        <w:t xml:space="preserve">, </w:t>
      </w:r>
      <w:r w:rsidR="00E71E77" w:rsidRPr="007B0231">
        <w:rPr>
          <w:rFonts w:ascii="Arial" w:hAnsi="Arial" w:cs="Arial"/>
          <w:i/>
          <w:iCs/>
          <w:sz w:val="24"/>
          <w:szCs w:val="24"/>
        </w:rPr>
        <w:t>inter alia</w:t>
      </w:r>
      <w:r w:rsidR="00E71E77" w:rsidRPr="007B0231">
        <w:rPr>
          <w:rFonts w:ascii="Arial" w:hAnsi="Arial" w:cs="Arial"/>
          <w:sz w:val="24"/>
          <w:szCs w:val="24"/>
        </w:rPr>
        <w:t xml:space="preserve">, </w:t>
      </w:r>
      <w:r w:rsidR="00E50F85" w:rsidRPr="007B0231">
        <w:rPr>
          <w:rFonts w:ascii="Arial" w:hAnsi="Arial" w:cs="Arial"/>
          <w:sz w:val="24"/>
          <w:szCs w:val="24"/>
        </w:rPr>
        <w:t xml:space="preserve">appropriate </w:t>
      </w:r>
      <w:r w:rsidR="00A67B7F" w:rsidRPr="007B0231">
        <w:rPr>
          <w:rFonts w:ascii="Arial" w:hAnsi="Arial" w:cs="Arial"/>
          <w:sz w:val="24"/>
          <w:szCs w:val="24"/>
        </w:rPr>
        <w:t>categories of land use zoning and regulations</w:t>
      </w:r>
      <w:r w:rsidR="00D15EBF" w:rsidRPr="007B0231">
        <w:rPr>
          <w:rFonts w:ascii="Arial" w:hAnsi="Arial" w:cs="Arial"/>
          <w:sz w:val="24"/>
          <w:szCs w:val="24"/>
        </w:rPr>
        <w:t xml:space="preserve">, while sub-section (3) </w:t>
      </w:r>
      <w:r w:rsidR="000B7003" w:rsidRPr="007B0231">
        <w:rPr>
          <w:rFonts w:ascii="Arial" w:hAnsi="Arial" w:cs="Arial"/>
          <w:sz w:val="24"/>
          <w:szCs w:val="24"/>
        </w:rPr>
        <w:t>stipulat</w:t>
      </w:r>
      <w:r w:rsidR="00D15EBF" w:rsidRPr="007B0231">
        <w:rPr>
          <w:rFonts w:ascii="Arial" w:hAnsi="Arial" w:cs="Arial"/>
          <w:sz w:val="24"/>
          <w:szCs w:val="24"/>
        </w:rPr>
        <w:t xml:space="preserve">es that the scheme may </w:t>
      </w:r>
      <w:r w:rsidR="000B7003" w:rsidRPr="007B0231">
        <w:rPr>
          <w:rFonts w:ascii="Arial" w:hAnsi="Arial" w:cs="Arial"/>
          <w:sz w:val="24"/>
          <w:szCs w:val="24"/>
        </w:rPr>
        <w:t xml:space="preserve">include provisions </w:t>
      </w:r>
      <w:r w:rsidR="000A3E78" w:rsidRPr="007B0231">
        <w:rPr>
          <w:rFonts w:ascii="Arial" w:hAnsi="Arial" w:cs="Arial"/>
          <w:sz w:val="24"/>
          <w:szCs w:val="24"/>
        </w:rPr>
        <w:t xml:space="preserve">relating to, </w:t>
      </w:r>
      <w:r w:rsidR="000A3E78" w:rsidRPr="007B0231">
        <w:rPr>
          <w:rFonts w:ascii="Arial" w:hAnsi="Arial" w:cs="Arial"/>
          <w:i/>
          <w:iCs/>
          <w:sz w:val="24"/>
          <w:szCs w:val="24"/>
        </w:rPr>
        <w:t>inter alia</w:t>
      </w:r>
      <w:r w:rsidR="000A3E78" w:rsidRPr="007B0231">
        <w:rPr>
          <w:rFonts w:ascii="Arial" w:hAnsi="Arial" w:cs="Arial"/>
          <w:sz w:val="24"/>
          <w:szCs w:val="24"/>
        </w:rPr>
        <w:t>,</w:t>
      </w:r>
      <w:r w:rsidR="00A049EA" w:rsidRPr="007B0231">
        <w:rPr>
          <w:rFonts w:ascii="Arial" w:hAnsi="Arial" w:cs="Arial"/>
          <w:sz w:val="24"/>
          <w:szCs w:val="24"/>
        </w:rPr>
        <w:t xml:space="preserve"> </w:t>
      </w:r>
      <w:r w:rsidR="00125BD3" w:rsidRPr="007B0231">
        <w:rPr>
          <w:rFonts w:ascii="Arial" w:hAnsi="Arial" w:cs="Arial"/>
          <w:sz w:val="24"/>
          <w:szCs w:val="24"/>
        </w:rPr>
        <w:t xml:space="preserve">the use and development of land </w:t>
      </w:r>
      <w:r w:rsidR="003D5EDE" w:rsidRPr="007B0231">
        <w:rPr>
          <w:rFonts w:ascii="Arial" w:hAnsi="Arial" w:cs="Arial"/>
          <w:sz w:val="24"/>
          <w:szCs w:val="24"/>
        </w:rPr>
        <w:t xml:space="preserve">only with the written consent of the municipality, and the </w:t>
      </w:r>
      <w:r w:rsidR="00A049EA" w:rsidRPr="007B0231">
        <w:rPr>
          <w:rFonts w:ascii="Arial" w:hAnsi="Arial" w:cs="Arial"/>
          <w:sz w:val="24"/>
          <w:szCs w:val="24"/>
        </w:rPr>
        <w:t xml:space="preserve">variation of conditions of a </w:t>
      </w:r>
      <w:r w:rsidR="00F10CB1" w:rsidRPr="007B0231">
        <w:rPr>
          <w:rFonts w:ascii="Arial" w:hAnsi="Arial" w:cs="Arial"/>
          <w:sz w:val="24"/>
          <w:szCs w:val="24"/>
        </w:rPr>
        <w:t>scheme</w:t>
      </w:r>
      <w:r w:rsidR="00C6612A" w:rsidRPr="007B0231">
        <w:rPr>
          <w:rFonts w:ascii="Arial" w:hAnsi="Arial" w:cs="Arial"/>
          <w:sz w:val="24"/>
          <w:szCs w:val="24"/>
        </w:rPr>
        <w:t xml:space="preserve"> other than a variation which may materially alter </w:t>
      </w:r>
      <w:r w:rsidR="002E2359" w:rsidRPr="007B0231">
        <w:rPr>
          <w:rFonts w:ascii="Arial" w:hAnsi="Arial" w:cs="Arial"/>
          <w:sz w:val="24"/>
          <w:szCs w:val="24"/>
        </w:rPr>
        <w:t xml:space="preserve">or affect </w:t>
      </w:r>
      <w:r w:rsidR="002E2359" w:rsidRPr="007B0231">
        <w:rPr>
          <w:rFonts w:ascii="Arial" w:hAnsi="Arial" w:cs="Arial"/>
          <w:sz w:val="24"/>
          <w:szCs w:val="24"/>
        </w:rPr>
        <w:lastRenderedPageBreak/>
        <w:t xml:space="preserve">conditions relating to the </w:t>
      </w:r>
      <w:r w:rsidR="002D7067" w:rsidRPr="007B0231">
        <w:rPr>
          <w:rFonts w:ascii="Arial" w:hAnsi="Arial" w:cs="Arial"/>
          <w:sz w:val="24"/>
          <w:szCs w:val="24"/>
        </w:rPr>
        <w:t>use, size, and scale of buildings and the intensity or density of land use.</w:t>
      </w:r>
    </w:p>
    <w:p w14:paraId="1E911BEF" w14:textId="77777777" w:rsidR="0030569B" w:rsidRDefault="0030569B" w:rsidP="0030569B">
      <w:pPr>
        <w:pStyle w:val="ListParagraph"/>
        <w:spacing w:line="360" w:lineRule="auto"/>
        <w:ind w:left="0"/>
        <w:jc w:val="both"/>
        <w:rPr>
          <w:rFonts w:ascii="Arial" w:hAnsi="Arial" w:cs="Arial"/>
          <w:sz w:val="24"/>
          <w:szCs w:val="24"/>
        </w:rPr>
      </w:pPr>
    </w:p>
    <w:p w14:paraId="7072E168" w14:textId="39EFDED8" w:rsidR="00D4692D"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[69]</w:t>
      </w:r>
      <w:r w:rsidRPr="0030569B">
        <w:rPr>
          <w:rFonts w:ascii="Arial" w:hAnsi="Arial" w:cs="Arial"/>
          <w:sz w:val="24"/>
          <w:szCs w:val="24"/>
        </w:rPr>
        <w:tab/>
      </w:r>
      <w:r w:rsidR="00425D7E" w:rsidRPr="007B0231">
        <w:rPr>
          <w:rFonts w:ascii="Arial" w:hAnsi="Arial" w:cs="Arial"/>
          <w:sz w:val="24"/>
          <w:szCs w:val="24"/>
        </w:rPr>
        <w:t>Crucially, a</w:t>
      </w:r>
      <w:r w:rsidR="00D4692D" w:rsidRPr="007B0231">
        <w:rPr>
          <w:rFonts w:ascii="Arial" w:hAnsi="Arial" w:cs="Arial"/>
          <w:sz w:val="24"/>
          <w:szCs w:val="24"/>
        </w:rPr>
        <w:t xml:space="preserve">t the time of the </w:t>
      </w:r>
      <w:r w:rsidR="0037103A" w:rsidRPr="007B0231">
        <w:rPr>
          <w:rFonts w:ascii="Arial" w:hAnsi="Arial" w:cs="Arial"/>
          <w:sz w:val="24"/>
          <w:szCs w:val="24"/>
        </w:rPr>
        <w:t xml:space="preserve">fourth respondent’s application, the municipality had not yet </w:t>
      </w:r>
      <w:r w:rsidR="00E45A53" w:rsidRPr="007B0231">
        <w:rPr>
          <w:rFonts w:ascii="Arial" w:hAnsi="Arial" w:cs="Arial"/>
          <w:sz w:val="24"/>
          <w:szCs w:val="24"/>
        </w:rPr>
        <w:t xml:space="preserve">adopted and approved </w:t>
      </w:r>
      <w:r w:rsidR="0035396D" w:rsidRPr="007B0231">
        <w:rPr>
          <w:rFonts w:ascii="Arial" w:hAnsi="Arial" w:cs="Arial"/>
          <w:sz w:val="24"/>
          <w:szCs w:val="24"/>
        </w:rPr>
        <w:t xml:space="preserve">the land use scheme envisaged under section 24(1) of SPLUMA. </w:t>
      </w:r>
      <w:r w:rsidR="00C023D5" w:rsidRPr="007B0231">
        <w:rPr>
          <w:rFonts w:ascii="Arial" w:hAnsi="Arial" w:cs="Arial"/>
          <w:sz w:val="24"/>
          <w:szCs w:val="24"/>
        </w:rPr>
        <w:t xml:space="preserve">The municipality had, however, </w:t>
      </w:r>
      <w:r w:rsidR="00A557FD" w:rsidRPr="007B0231">
        <w:rPr>
          <w:rFonts w:ascii="Arial" w:hAnsi="Arial" w:cs="Arial"/>
          <w:sz w:val="24"/>
          <w:szCs w:val="24"/>
        </w:rPr>
        <w:t>approved and adopted the SPLUM By-law,</w:t>
      </w:r>
      <w:r w:rsidR="00A17C3D">
        <w:rPr>
          <w:rStyle w:val="FootnoteReference"/>
          <w:rFonts w:ascii="Arial" w:hAnsi="Arial" w:cs="Arial"/>
          <w:sz w:val="24"/>
          <w:szCs w:val="24"/>
        </w:rPr>
        <w:footnoteReference w:id="52"/>
      </w:r>
      <w:r w:rsidR="00A557FD" w:rsidRPr="007B0231">
        <w:rPr>
          <w:rFonts w:ascii="Arial" w:hAnsi="Arial" w:cs="Arial"/>
          <w:sz w:val="24"/>
          <w:szCs w:val="24"/>
        </w:rPr>
        <w:t xml:space="preserve"> which </w:t>
      </w:r>
      <w:r w:rsidR="009A64C4" w:rsidRPr="007B0231">
        <w:rPr>
          <w:rFonts w:ascii="Arial" w:hAnsi="Arial" w:cs="Arial"/>
          <w:sz w:val="24"/>
          <w:szCs w:val="24"/>
        </w:rPr>
        <w:t xml:space="preserve">addressed, in terms of Chapter </w:t>
      </w:r>
      <w:r w:rsidR="003074CA" w:rsidRPr="007B0231">
        <w:rPr>
          <w:rFonts w:ascii="Arial" w:hAnsi="Arial" w:cs="Arial"/>
          <w:sz w:val="24"/>
          <w:szCs w:val="24"/>
        </w:rPr>
        <w:t xml:space="preserve">3, the development, approval, and adoption of </w:t>
      </w:r>
      <w:r w:rsidR="00D56F2D" w:rsidRPr="007B0231">
        <w:rPr>
          <w:rFonts w:ascii="Arial" w:hAnsi="Arial" w:cs="Arial"/>
          <w:sz w:val="24"/>
          <w:szCs w:val="24"/>
        </w:rPr>
        <w:t xml:space="preserve">such </w:t>
      </w:r>
      <w:r w:rsidR="009A1D48" w:rsidRPr="007B0231">
        <w:rPr>
          <w:rFonts w:ascii="Arial" w:hAnsi="Arial" w:cs="Arial"/>
          <w:sz w:val="24"/>
          <w:szCs w:val="24"/>
        </w:rPr>
        <w:t xml:space="preserve">a scheme. </w:t>
      </w:r>
      <w:r w:rsidR="00345C12" w:rsidRPr="007B0231">
        <w:rPr>
          <w:rFonts w:ascii="Arial" w:hAnsi="Arial" w:cs="Arial"/>
          <w:sz w:val="24"/>
          <w:szCs w:val="24"/>
        </w:rPr>
        <w:t>Pertinently</w:t>
      </w:r>
      <w:r w:rsidR="009A1D48" w:rsidRPr="007B0231">
        <w:rPr>
          <w:rFonts w:ascii="Arial" w:hAnsi="Arial" w:cs="Arial"/>
          <w:sz w:val="24"/>
          <w:szCs w:val="24"/>
        </w:rPr>
        <w:t xml:space="preserve">, </w:t>
      </w:r>
      <w:r w:rsidR="002A7296" w:rsidRPr="007B0231">
        <w:rPr>
          <w:rFonts w:ascii="Arial" w:hAnsi="Arial" w:cs="Arial"/>
          <w:sz w:val="24"/>
          <w:szCs w:val="24"/>
        </w:rPr>
        <w:t xml:space="preserve">section 1 of the SPLUM By-law </w:t>
      </w:r>
      <w:r w:rsidR="0098764A" w:rsidRPr="007B0231">
        <w:rPr>
          <w:rFonts w:ascii="Arial" w:hAnsi="Arial" w:cs="Arial"/>
          <w:sz w:val="24"/>
          <w:szCs w:val="24"/>
        </w:rPr>
        <w:t xml:space="preserve">provides the </w:t>
      </w:r>
      <w:r w:rsidR="002227C5" w:rsidRPr="007B0231">
        <w:rPr>
          <w:rFonts w:ascii="Arial" w:hAnsi="Arial" w:cs="Arial"/>
          <w:sz w:val="24"/>
          <w:szCs w:val="24"/>
        </w:rPr>
        <w:t>following definition</w:t>
      </w:r>
      <w:r w:rsidR="005E3C79" w:rsidRPr="007B0231">
        <w:rPr>
          <w:rFonts w:ascii="Arial" w:hAnsi="Arial" w:cs="Arial"/>
          <w:sz w:val="24"/>
          <w:szCs w:val="24"/>
        </w:rPr>
        <w:t>:</w:t>
      </w:r>
    </w:p>
    <w:p w14:paraId="6D4F5568" w14:textId="2C9D723F" w:rsidR="005E3C79" w:rsidRPr="000536B3" w:rsidRDefault="007C1B64" w:rsidP="0030569B">
      <w:pPr>
        <w:spacing w:line="360" w:lineRule="auto"/>
        <w:ind w:left="720"/>
        <w:jc w:val="both"/>
        <w:rPr>
          <w:rFonts w:ascii="Arial" w:hAnsi="Arial" w:cs="Arial"/>
        </w:rPr>
      </w:pPr>
      <w:r w:rsidRPr="000536B3">
        <w:rPr>
          <w:rFonts w:ascii="Arial" w:hAnsi="Arial" w:cs="Arial"/>
        </w:rPr>
        <w:t>‘</w:t>
      </w:r>
      <w:r w:rsidR="00C44391">
        <w:rPr>
          <w:rFonts w:ascii="Arial" w:hAnsi="Arial" w:cs="Arial"/>
        </w:rPr>
        <w:t>”</w:t>
      </w:r>
      <w:r w:rsidRPr="000536B3">
        <w:rPr>
          <w:rFonts w:ascii="Arial" w:hAnsi="Arial" w:cs="Arial"/>
          <w:b/>
          <w:bCs/>
        </w:rPr>
        <w:t>land</w:t>
      </w:r>
      <w:r w:rsidR="00936F14" w:rsidRPr="000536B3">
        <w:rPr>
          <w:rFonts w:ascii="Arial" w:hAnsi="Arial" w:cs="Arial"/>
          <w:b/>
          <w:bCs/>
        </w:rPr>
        <w:t xml:space="preserve"> use scheme</w:t>
      </w:r>
      <w:r w:rsidR="00936F14" w:rsidRPr="000536B3">
        <w:rPr>
          <w:rFonts w:ascii="Arial" w:hAnsi="Arial" w:cs="Arial"/>
        </w:rPr>
        <w:t xml:space="preserve">” means the land use scheme adopted and approved in terms of </w:t>
      </w:r>
      <w:r w:rsidR="003A01BE" w:rsidRPr="000536B3">
        <w:rPr>
          <w:rFonts w:ascii="Arial" w:hAnsi="Arial" w:cs="Arial"/>
        </w:rPr>
        <w:t xml:space="preserve">Chapter 3 and for the purpose of these By-laws </w:t>
      </w:r>
      <w:r w:rsidR="003A01BE" w:rsidRPr="000F33C1">
        <w:rPr>
          <w:rFonts w:ascii="Arial" w:hAnsi="Arial" w:cs="Arial"/>
          <w:i/>
          <w:iCs/>
        </w:rPr>
        <w:t xml:space="preserve">include an existing scheme until such time </w:t>
      </w:r>
      <w:r w:rsidR="00BE662C" w:rsidRPr="000F33C1">
        <w:rPr>
          <w:rFonts w:ascii="Arial" w:hAnsi="Arial" w:cs="Arial"/>
          <w:i/>
          <w:iCs/>
        </w:rPr>
        <w:t>as the existing scheme is replaced by the adopted and approved land use scheme</w:t>
      </w:r>
      <w:r w:rsidR="00446AAE" w:rsidRPr="000536B3">
        <w:rPr>
          <w:rFonts w:ascii="Arial" w:hAnsi="Arial" w:cs="Arial"/>
        </w:rPr>
        <w:t>.’</w:t>
      </w:r>
      <w:r w:rsidR="000F33C1">
        <w:rPr>
          <w:rStyle w:val="FootnoteReference"/>
          <w:rFonts w:ascii="Arial" w:hAnsi="Arial" w:cs="Arial"/>
        </w:rPr>
        <w:footnoteReference w:id="53"/>
      </w:r>
    </w:p>
    <w:p w14:paraId="04AE02D3" w14:textId="77777777" w:rsidR="00446AAE" w:rsidRDefault="00446AAE" w:rsidP="00446AAE">
      <w:pPr>
        <w:spacing w:line="360" w:lineRule="auto"/>
        <w:rPr>
          <w:rFonts w:ascii="Arial" w:hAnsi="Arial" w:cs="Arial"/>
          <w:sz w:val="24"/>
          <w:szCs w:val="24"/>
        </w:rPr>
      </w:pPr>
    </w:p>
    <w:p w14:paraId="0625F2E3" w14:textId="78346561" w:rsidR="007A347C"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[70]</w:t>
      </w:r>
      <w:r w:rsidRPr="0030569B">
        <w:rPr>
          <w:rFonts w:ascii="Arial" w:hAnsi="Arial" w:cs="Arial"/>
          <w:sz w:val="24"/>
          <w:szCs w:val="24"/>
        </w:rPr>
        <w:tab/>
      </w:r>
      <w:r w:rsidR="00446AAE" w:rsidRPr="007B0231">
        <w:rPr>
          <w:rFonts w:ascii="Arial" w:hAnsi="Arial" w:cs="Arial"/>
          <w:sz w:val="24"/>
          <w:szCs w:val="24"/>
        </w:rPr>
        <w:t xml:space="preserve">The fourth respondent </w:t>
      </w:r>
      <w:r w:rsidR="00DA16BB" w:rsidRPr="007B0231">
        <w:rPr>
          <w:rFonts w:ascii="Arial" w:hAnsi="Arial" w:cs="Arial"/>
          <w:sz w:val="24"/>
          <w:szCs w:val="24"/>
        </w:rPr>
        <w:t>alleges</w:t>
      </w:r>
      <w:r w:rsidR="00926CB7" w:rsidRPr="007B0231">
        <w:rPr>
          <w:rFonts w:ascii="Arial" w:hAnsi="Arial" w:cs="Arial"/>
          <w:sz w:val="24"/>
          <w:szCs w:val="24"/>
        </w:rPr>
        <w:t xml:space="preserve"> </w:t>
      </w:r>
      <w:r w:rsidR="00DA16BB" w:rsidRPr="007B0231">
        <w:rPr>
          <w:rFonts w:ascii="Arial" w:hAnsi="Arial" w:cs="Arial"/>
          <w:sz w:val="24"/>
          <w:szCs w:val="24"/>
        </w:rPr>
        <w:t>that</w:t>
      </w:r>
      <w:r w:rsidR="00EA0C4B" w:rsidRPr="007B0231">
        <w:rPr>
          <w:rFonts w:ascii="Arial" w:hAnsi="Arial" w:cs="Arial"/>
          <w:sz w:val="24"/>
          <w:szCs w:val="24"/>
        </w:rPr>
        <w:t>,</w:t>
      </w:r>
      <w:r w:rsidR="00DA16BB" w:rsidRPr="007B0231">
        <w:rPr>
          <w:rFonts w:ascii="Arial" w:hAnsi="Arial" w:cs="Arial"/>
          <w:sz w:val="24"/>
          <w:szCs w:val="24"/>
        </w:rPr>
        <w:t xml:space="preserve"> </w:t>
      </w:r>
      <w:r w:rsidR="000678EC" w:rsidRPr="007B0231">
        <w:rPr>
          <w:rFonts w:ascii="Arial" w:hAnsi="Arial" w:cs="Arial"/>
          <w:sz w:val="24"/>
          <w:szCs w:val="24"/>
        </w:rPr>
        <w:t xml:space="preserve">in the absence of </w:t>
      </w:r>
      <w:r w:rsidR="00E136A3" w:rsidRPr="007B0231">
        <w:rPr>
          <w:rFonts w:ascii="Arial" w:hAnsi="Arial" w:cs="Arial"/>
          <w:sz w:val="24"/>
          <w:szCs w:val="24"/>
        </w:rPr>
        <w:t xml:space="preserve">a new scheme, the existing </w:t>
      </w:r>
      <w:r w:rsidR="00454AA4" w:rsidRPr="007B0231">
        <w:rPr>
          <w:rFonts w:ascii="Arial" w:hAnsi="Arial" w:cs="Arial"/>
          <w:sz w:val="24"/>
          <w:szCs w:val="24"/>
        </w:rPr>
        <w:t xml:space="preserve">zoning </w:t>
      </w:r>
      <w:r w:rsidR="00E136A3" w:rsidRPr="007B0231">
        <w:rPr>
          <w:rFonts w:ascii="Arial" w:hAnsi="Arial" w:cs="Arial"/>
          <w:sz w:val="24"/>
          <w:szCs w:val="24"/>
        </w:rPr>
        <w:t>scheme applied</w:t>
      </w:r>
      <w:r w:rsidR="00B0030F" w:rsidRPr="007B0231">
        <w:rPr>
          <w:rFonts w:ascii="Arial" w:hAnsi="Arial" w:cs="Arial"/>
          <w:sz w:val="24"/>
          <w:szCs w:val="24"/>
        </w:rPr>
        <w:t xml:space="preserve"> </w:t>
      </w:r>
      <w:r w:rsidR="00E136A3" w:rsidRPr="007B0231">
        <w:rPr>
          <w:rFonts w:ascii="Arial" w:hAnsi="Arial" w:cs="Arial"/>
          <w:sz w:val="24"/>
          <w:szCs w:val="24"/>
        </w:rPr>
        <w:t>at the time that it lodged its application</w:t>
      </w:r>
      <w:r w:rsidR="00345C12" w:rsidRPr="007B0231">
        <w:rPr>
          <w:rFonts w:ascii="Arial" w:hAnsi="Arial" w:cs="Arial"/>
          <w:sz w:val="24"/>
          <w:szCs w:val="24"/>
        </w:rPr>
        <w:t xml:space="preserve">, </w:t>
      </w:r>
      <w:r w:rsidR="007C1B64" w:rsidRPr="007B0231">
        <w:rPr>
          <w:rFonts w:ascii="Arial" w:hAnsi="Arial" w:cs="Arial"/>
          <w:sz w:val="24"/>
          <w:szCs w:val="24"/>
        </w:rPr>
        <w:t>i.e.,</w:t>
      </w:r>
      <w:r w:rsidR="00345C12" w:rsidRPr="007B0231">
        <w:rPr>
          <w:rFonts w:ascii="Arial" w:hAnsi="Arial" w:cs="Arial"/>
          <w:sz w:val="24"/>
          <w:szCs w:val="24"/>
        </w:rPr>
        <w:t xml:space="preserve"> </w:t>
      </w:r>
      <w:r w:rsidR="00382F54" w:rsidRPr="007B0231">
        <w:rPr>
          <w:rFonts w:ascii="Arial" w:hAnsi="Arial" w:cs="Arial"/>
          <w:sz w:val="24"/>
          <w:szCs w:val="24"/>
        </w:rPr>
        <w:t>the</w:t>
      </w:r>
      <w:r w:rsidR="007B44E5" w:rsidRPr="007B0231">
        <w:rPr>
          <w:rFonts w:ascii="Arial" w:hAnsi="Arial" w:cs="Arial"/>
          <w:sz w:val="24"/>
          <w:szCs w:val="24"/>
        </w:rPr>
        <w:t xml:space="preserve"> Kenton-on-Sea </w:t>
      </w:r>
      <w:r w:rsidR="004A0C42" w:rsidRPr="007B0231">
        <w:rPr>
          <w:rFonts w:ascii="Arial" w:hAnsi="Arial" w:cs="Arial"/>
          <w:sz w:val="24"/>
          <w:szCs w:val="24"/>
        </w:rPr>
        <w:t>s</w:t>
      </w:r>
      <w:r w:rsidR="007B44E5" w:rsidRPr="007B0231">
        <w:rPr>
          <w:rFonts w:ascii="Arial" w:hAnsi="Arial" w:cs="Arial"/>
          <w:sz w:val="24"/>
          <w:szCs w:val="24"/>
        </w:rPr>
        <w:t>cheme</w:t>
      </w:r>
      <w:r w:rsidR="00345C12" w:rsidRPr="007B0231">
        <w:rPr>
          <w:rFonts w:ascii="Arial" w:hAnsi="Arial" w:cs="Arial"/>
          <w:sz w:val="24"/>
          <w:szCs w:val="24"/>
        </w:rPr>
        <w:t>, mentioned earlier in the judgment. T</w:t>
      </w:r>
      <w:r w:rsidR="00846D26" w:rsidRPr="007B0231">
        <w:rPr>
          <w:rFonts w:ascii="Arial" w:hAnsi="Arial" w:cs="Arial"/>
          <w:sz w:val="24"/>
          <w:szCs w:val="24"/>
        </w:rPr>
        <w:t>he applicant has not disputed</w:t>
      </w:r>
      <w:r w:rsidR="00345C12" w:rsidRPr="007B0231">
        <w:rPr>
          <w:rFonts w:ascii="Arial" w:hAnsi="Arial" w:cs="Arial"/>
          <w:sz w:val="24"/>
          <w:szCs w:val="24"/>
        </w:rPr>
        <w:t xml:space="preserve"> this</w:t>
      </w:r>
      <w:r w:rsidR="00846D26" w:rsidRPr="007B0231">
        <w:rPr>
          <w:rFonts w:ascii="Arial" w:hAnsi="Arial" w:cs="Arial"/>
          <w:sz w:val="24"/>
          <w:szCs w:val="24"/>
        </w:rPr>
        <w:t>.</w:t>
      </w:r>
      <w:r w:rsidR="00C24F8A" w:rsidRPr="007B0231">
        <w:rPr>
          <w:rFonts w:ascii="Arial" w:hAnsi="Arial" w:cs="Arial"/>
          <w:sz w:val="24"/>
          <w:szCs w:val="24"/>
        </w:rPr>
        <w:t xml:space="preserve"> </w:t>
      </w:r>
      <w:r w:rsidR="007A347C" w:rsidRPr="007B0231">
        <w:rPr>
          <w:rFonts w:ascii="Arial" w:hAnsi="Arial" w:cs="Arial"/>
          <w:sz w:val="24"/>
          <w:szCs w:val="24"/>
        </w:rPr>
        <w:t xml:space="preserve">The </w:t>
      </w:r>
      <w:r w:rsidR="0045205C" w:rsidRPr="007B0231">
        <w:rPr>
          <w:rFonts w:ascii="Arial" w:hAnsi="Arial" w:cs="Arial"/>
          <w:sz w:val="24"/>
          <w:szCs w:val="24"/>
        </w:rPr>
        <w:t xml:space="preserve">municipality </w:t>
      </w:r>
      <w:r w:rsidR="00E970EC" w:rsidRPr="007B0231">
        <w:rPr>
          <w:rFonts w:ascii="Arial" w:hAnsi="Arial" w:cs="Arial"/>
          <w:sz w:val="24"/>
          <w:szCs w:val="24"/>
        </w:rPr>
        <w:t xml:space="preserve">only </w:t>
      </w:r>
      <w:r w:rsidR="00092197" w:rsidRPr="007B0231">
        <w:rPr>
          <w:rFonts w:ascii="Arial" w:hAnsi="Arial" w:cs="Arial"/>
          <w:sz w:val="24"/>
          <w:szCs w:val="24"/>
        </w:rPr>
        <w:t xml:space="preserve">adopted and </w:t>
      </w:r>
      <w:r w:rsidR="006D115F" w:rsidRPr="007B0231">
        <w:rPr>
          <w:rFonts w:ascii="Arial" w:hAnsi="Arial" w:cs="Arial"/>
          <w:sz w:val="24"/>
          <w:szCs w:val="24"/>
        </w:rPr>
        <w:t xml:space="preserve">approved </w:t>
      </w:r>
      <w:r w:rsidR="00B04A05" w:rsidRPr="007B0231">
        <w:rPr>
          <w:rFonts w:ascii="Arial" w:hAnsi="Arial" w:cs="Arial"/>
          <w:sz w:val="24"/>
          <w:szCs w:val="24"/>
        </w:rPr>
        <w:t>a</w:t>
      </w:r>
      <w:r w:rsidR="009B6C16" w:rsidRPr="007B0231">
        <w:rPr>
          <w:rFonts w:ascii="Arial" w:hAnsi="Arial" w:cs="Arial"/>
          <w:sz w:val="24"/>
          <w:szCs w:val="24"/>
        </w:rPr>
        <w:t xml:space="preserve"> </w:t>
      </w:r>
      <w:r w:rsidR="00AA2132" w:rsidRPr="007B0231">
        <w:rPr>
          <w:rFonts w:ascii="Arial" w:hAnsi="Arial" w:cs="Arial"/>
          <w:sz w:val="24"/>
          <w:szCs w:val="24"/>
        </w:rPr>
        <w:t>l</w:t>
      </w:r>
      <w:r w:rsidR="009B6C16" w:rsidRPr="007B0231">
        <w:rPr>
          <w:rFonts w:ascii="Arial" w:hAnsi="Arial" w:cs="Arial"/>
          <w:sz w:val="24"/>
          <w:szCs w:val="24"/>
        </w:rPr>
        <w:t xml:space="preserve">and </w:t>
      </w:r>
      <w:r w:rsidR="00AA2132" w:rsidRPr="007B0231">
        <w:rPr>
          <w:rFonts w:ascii="Arial" w:hAnsi="Arial" w:cs="Arial"/>
          <w:sz w:val="24"/>
          <w:szCs w:val="24"/>
        </w:rPr>
        <w:t>u</w:t>
      </w:r>
      <w:r w:rsidR="009B6C16" w:rsidRPr="007B0231">
        <w:rPr>
          <w:rFonts w:ascii="Arial" w:hAnsi="Arial" w:cs="Arial"/>
          <w:sz w:val="24"/>
          <w:szCs w:val="24"/>
        </w:rPr>
        <w:t xml:space="preserve">se </w:t>
      </w:r>
      <w:r w:rsidR="00AA2132" w:rsidRPr="007B0231">
        <w:rPr>
          <w:rFonts w:ascii="Arial" w:hAnsi="Arial" w:cs="Arial"/>
          <w:sz w:val="24"/>
          <w:szCs w:val="24"/>
        </w:rPr>
        <w:t>s</w:t>
      </w:r>
      <w:r w:rsidR="009B6C16" w:rsidRPr="007B0231">
        <w:rPr>
          <w:rFonts w:ascii="Arial" w:hAnsi="Arial" w:cs="Arial"/>
          <w:sz w:val="24"/>
          <w:szCs w:val="24"/>
        </w:rPr>
        <w:t>cheme</w:t>
      </w:r>
      <w:r w:rsidR="00EA49A2" w:rsidRPr="007B0231">
        <w:rPr>
          <w:rFonts w:ascii="Arial" w:hAnsi="Arial" w:cs="Arial"/>
          <w:sz w:val="24"/>
          <w:szCs w:val="24"/>
        </w:rPr>
        <w:t xml:space="preserve"> (‘the new scheme’)</w:t>
      </w:r>
      <w:r w:rsidR="00345C12" w:rsidRPr="007B0231">
        <w:rPr>
          <w:rFonts w:ascii="Arial" w:hAnsi="Arial" w:cs="Arial"/>
          <w:sz w:val="24"/>
          <w:szCs w:val="24"/>
        </w:rPr>
        <w:t xml:space="preserve"> on 27 March 2019, </w:t>
      </w:r>
      <w:r w:rsidR="00CF534B" w:rsidRPr="007B0231">
        <w:rPr>
          <w:rFonts w:ascii="Arial" w:hAnsi="Arial" w:cs="Arial"/>
          <w:sz w:val="24"/>
          <w:szCs w:val="24"/>
        </w:rPr>
        <w:t>after the date of the fourth respondent’s departure and removal application but before the tribunal’s decision.</w:t>
      </w:r>
    </w:p>
    <w:p w14:paraId="033192BC" w14:textId="77777777" w:rsidR="00345C12" w:rsidRDefault="00345C12" w:rsidP="00446AAE">
      <w:pPr>
        <w:spacing w:line="360" w:lineRule="auto"/>
        <w:rPr>
          <w:rFonts w:ascii="Arial" w:hAnsi="Arial" w:cs="Arial"/>
          <w:sz w:val="24"/>
          <w:szCs w:val="24"/>
        </w:rPr>
      </w:pPr>
    </w:p>
    <w:p w14:paraId="1473EFDB" w14:textId="5DB0F8F5" w:rsidR="00345C12" w:rsidRPr="00345C12" w:rsidRDefault="00345C12" w:rsidP="0030569B">
      <w:pPr>
        <w:spacing w:line="360" w:lineRule="auto"/>
        <w:jc w:val="both"/>
        <w:rPr>
          <w:rFonts w:ascii="Arial" w:hAnsi="Arial" w:cs="Arial"/>
          <w:i/>
          <w:iCs/>
          <w:sz w:val="24"/>
          <w:szCs w:val="24"/>
        </w:rPr>
      </w:pPr>
      <w:r w:rsidRPr="00345C12">
        <w:rPr>
          <w:rFonts w:ascii="Arial" w:hAnsi="Arial" w:cs="Arial"/>
          <w:i/>
          <w:iCs/>
          <w:sz w:val="24"/>
          <w:szCs w:val="24"/>
        </w:rPr>
        <w:t>Application for departure</w:t>
      </w:r>
    </w:p>
    <w:p w14:paraId="1A0BB071" w14:textId="77777777" w:rsidR="00345C12" w:rsidRDefault="00345C12" w:rsidP="00446AAE">
      <w:pPr>
        <w:spacing w:line="360" w:lineRule="auto"/>
        <w:rPr>
          <w:rFonts w:ascii="Arial" w:hAnsi="Arial" w:cs="Arial"/>
          <w:sz w:val="24"/>
          <w:szCs w:val="24"/>
        </w:rPr>
      </w:pPr>
    </w:p>
    <w:p w14:paraId="41400A32" w14:textId="23644CC4"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1D45A2" w:rsidRPr="007B0231">
        <w:rPr>
          <w:rFonts w:ascii="Arial" w:hAnsi="Arial" w:cs="Arial"/>
          <w:sz w:val="24"/>
          <w:szCs w:val="24"/>
        </w:rPr>
        <w:t xml:space="preserve">Mindful of the </w:t>
      </w:r>
      <w:r w:rsidR="00476644" w:rsidRPr="007B0231">
        <w:rPr>
          <w:rFonts w:ascii="Arial" w:hAnsi="Arial" w:cs="Arial"/>
          <w:sz w:val="24"/>
          <w:szCs w:val="24"/>
        </w:rPr>
        <w:t>above</w:t>
      </w:r>
      <w:r w:rsidR="001D45A2" w:rsidRPr="007B0231">
        <w:rPr>
          <w:rFonts w:ascii="Arial" w:hAnsi="Arial" w:cs="Arial"/>
          <w:sz w:val="24"/>
          <w:szCs w:val="24"/>
        </w:rPr>
        <w:t xml:space="preserve">, it is necessary to return to the </w:t>
      </w:r>
      <w:r w:rsidR="00E55E55" w:rsidRPr="007B0231">
        <w:rPr>
          <w:rFonts w:ascii="Arial" w:hAnsi="Arial" w:cs="Arial"/>
          <w:sz w:val="24"/>
          <w:szCs w:val="24"/>
        </w:rPr>
        <w:t>nature of the application</w:t>
      </w:r>
      <w:r w:rsidR="007338BD" w:rsidRPr="007B0231">
        <w:rPr>
          <w:rFonts w:ascii="Arial" w:hAnsi="Arial" w:cs="Arial"/>
          <w:sz w:val="24"/>
          <w:szCs w:val="24"/>
        </w:rPr>
        <w:t xml:space="preserve"> itself</w:t>
      </w:r>
      <w:r w:rsidR="00E55E55" w:rsidRPr="007B0231">
        <w:rPr>
          <w:rFonts w:ascii="Arial" w:hAnsi="Arial" w:cs="Arial"/>
          <w:sz w:val="24"/>
          <w:szCs w:val="24"/>
        </w:rPr>
        <w:t xml:space="preserve">. In terms thereof, </w:t>
      </w:r>
      <w:r w:rsidR="007338BD" w:rsidRPr="007B0231">
        <w:rPr>
          <w:rFonts w:ascii="Arial" w:hAnsi="Arial" w:cs="Arial"/>
          <w:sz w:val="24"/>
          <w:szCs w:val="24"/>
        </w:rPr>
        <w:t>the fourth respondent</w:t>
      </w:r>
      <w:r w:rsidR="00E36A77" w:rsidRPr="007B0231">
        <w:rPr>
          <w:rFonts w:ascii="Arial" w:hAnsi="Arial" w:cs="Arial"/>
          <w:sz w:val="24"/>
          <w:szCs w:val="24"/>
        </w:rPr>
        <w:t xml:space="preserve"> sought </w:t>
      </w:r>
      <w:r w:rsidR="007146CA" w:rsidRPr="007B0231">
        <w:rPr>
          <w:rFonts w:ascii="Arial" w:hAnsi="Arial" w:cs="Arial"/>
          <w:sz w:val="24"/>
          <w:szCs w:val="24"/>
        </w:rPr>
        <w:t xml:space="preserve">a </w:t>
      </w:r>
      <w:r w:rsidR="007D3351" w:rsidRPr="007B0231">
        <w:rPr>
          <w:rFonts w:ascii="Arial" w:hAnsi="Arial" w:cs="Arial"/>
          <w:sz w:val="24"/>
          <w:szCs w:val="24"/>
        </w:rPr>
        <w:t>‘</w:t>
      </w:r>
      <w:r w:rsidR="007146CA" w:rsidRPr="007B0231">
        <w:rPr>
          <w:rFonts w:ascii="Arial" w:hAnsi="Arial" w:cs="Arial"/>
          <w:sz w:val="24"/>
          <w:szCs w:val="24"/>
        </w:rPr>
        <w:t xml:space="preserve">permanent departure to permit </w:t>
      </w:r>
      <w:r w:rsidR="007D3351" w:rsidRPr="007B0231">
        <w:rPr>
          <w:rFonts w:ascii="Arial" w:hAnsi="Arial" w:cs="Arial"/>
          <w:sz w:val="24"/>
          <w:szCs w:val="24"/>
        </w:rPr>
        <w:t>a guesthouse on erf 1483’</w:t>
      </w:r>
      <w:r w:rsidR="00000D91" w:rsidRPr="007B0231">
        <w:rPr>
          <w:rFonts w:ascii="Arial" w:hAnsi="Arial" w:cs="Arial"/>
          <w:sz w:val="24"/>
          <w:szCs w:val="24"/>
        </w:rPr>
        <w:t xml:space="preserve"> and for </w:t>
      </w:r>
      <w:r w:rsidR="00ED67A0" w:rsidRPr="007B0231">
        <w:rPr>
          <w:rFonts w:ascii="Arial" w:hAnsi="Arial" w:cs="Arial"/>
          <w:sz w:val="24"/>
          <w:szCs w:val="24"/>
        </w:rPr>
        <w:t xml:space="preserve">the ‘removal of restrictive conditions’ in relation to </w:t>
      </w:r>
      <w:r w:rsidR="00D27DD8" w:rsidRPr="007B0231">
        <w:rPr>
          <w:rFonts w:ascii="Arial" w:hAnsi="Arial" w:cs="Arial"/>
          <w:sz w:val="24"/>
          <w:szCs w:val="24"/>
        </w:rPr>
        <w:t>the title deed.</w:t>
      </w:r>
      <w:r w:rsidR="00A73D98" w:rsidRPr="007B0231">
        <w:rPr>
          <w:rFonts w:ascii="Arial" w:hAnsi="Arial" w:cs="Arial"/>
          <w:sz w:val="24"/>
          <w:szCs w:val="24"/>
        </w:rPr>
        <w:t xml:space="preserve"> </w:t>
      </w:r>
      <w:r w:rsidR="00D90610" w:rsidRPr="007B0231">
        <w:rPr>
          <w:rFonts w:ascii="Arial" w:hAnsi="Arial" w:cs="Arial"/>
          <w:sz w:val="24"/>
          <w:szCs w:val="24"/>
        </w:rPr>
        <w:t xml:space="preserve">The former </w:t>
      </w:r>
      <w:r w:rsidR="00624228" w:rsidRPr="007B0231">
        <w:rPr>
          <w:rFonts w:ascii="Arial" w:hAnsi="Arial" w:cs="Arial"/>
          <w:sz w:val="24"/>
          <w:szCs w:val="24"/>
        </w:rPr>
        <w:t xml:space="preserve">is </w:t>
      </w:r>
      <w:r w:rsidR="00870F1E" w:rsidRPr="007B0231">
        <w:rPr>
          <w:rFonts w:ascii="Arial" w:hAnsi="Arial" w:cs="Arial"/>
          <w:sz w:val="24"/>
          <w:szCs w:val="24"/>
        </w:rPr>
        <w:t xml:space="preserve">the </w:t>
      </w:r>
      <w:r w:rsidR="00624228" w:rsidRPr="007B0231">
        <w:rPr>
          <w:rFonts w:ascii="Arial" w:hAnsi="Arial" w:cs="Arial"/>
          <w:sz w:val="24"/>
          <w:szCs w:val="24"/>
        </w:rPr>
        <w:t xml:space="preserve">immediate </w:t>
      </w:r>
      <w:r w:rsidR="00870F1E" w:rsidRPr="007B0231">
        <w:rPr>
          <w:rFonts w:ascii="Arial" w:hAnsi="Arial" w:cs="Arial"/>
          <w:sz w:val="24"/>
          <w:szCs w:val="24"/>
        </w:rPr>
        <w:t>subject of the court’s enquiry.</w:t>
      </w:r>
    </w:p>
    <w:p w14:paraId="6E841189" w14:textId="77777777" w:rsidR="0030569B" w:rsidRDefault="0030569B" w:rsidP="0030569B">
      <w:pPr>
        <w:pStyle w:val="ListParagraph"/>
        <w:spacing w:line="360" w:lineRule="auto"/>
        <w:ind w:left="0"/>
        <w:jc w:val="both"/>
        <w:rPr>
          <w:rFonts w:ascii="Arial" w:hAnsi="Arial" w:cs="Arial"/>
          <w:sz w:val="24"/>
          <w:szCs w:val="24"/>
        </w:rPr>
      </w:pPr>
    </w:p>
    <w:p w14:paraId="2298C0F6" w14:textId="16E41547" w:rsidR="008A60A6"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[72]</w:t>
      </w:r>
      <w:r w:rsidRPr="0030569B">
        <w:rPr>
          <w:rFonts w:ascii="Arial" w:hAnsi="Arial" w:cs="Arial"/>
          <w:sz w:val="24"/>
          <w:szCs w:val="24"/>
        </w:rPr>
        <w:tab/>
      </w:r>
      <w:r w:rsidR="000C3CD9" w:rsidRPr="007B0231">
        <w:rPr>
          <w:rFonts w:ascii="Arial" w:hAnsi="Arial" w:cs="Arial"/>
          <w:sz w:val="24"/>
          <w:szCs w:val="24"/>
        </w:rPr>
        <w:t>T</w:t>
      </w:r>
      <w:r w:rsidR="009C0345" w:rsidRPr="007B0231">
        <w:rPr>
          <w:rFonts w:ascii="Arial" w:hAnsi="Arial" w:cs="Arial"/>
          <w:sz w:val="24"/>
          <w:szCs w:val="24"/>
        </w:rPr>
        <w:t>he SPLUM By-law define</w:t>
      </w:r>
      <w:r w:rsidR="00E138A3" w:rsidRPr="007B0231">
        <w:rPr>
          <w:rFonts w:ascii="Arial" w:hAnsi="Arial" w:cs="Arial"/>
          <w:sz w:val="24"/>
          <w:szCs w:val="24"/>
        </w:rPr>
        <w:t>s</w:t>
      </w:r>
      <w:r w:rsidR="009C0345" w:rsidRPr="007B0231">
        <w:rPr>
          <w:rFonts w:ascii="Arial" w:hAnsi="Arial" w:cs="Arial"/>
          <w:sz w:val="24"/>
          <w:szCs w:val="24"/>
        </w:rPr>
        <w:t xml:space="preserve"> a departure</w:t>
      </w:r>
      <w:r w:rsidR="000B2E19" w:rsidRPr="007B0231">
        <w:rPr>
          <w:rFonts w:ascii="Arial" w:hAnsi="Arial" w:cs="Arial"/>
          <w:sz w:val="24"/>
          <w:szCs w:val="24"/>
        </w:rPr>
        <w:t>, in terms of section 1,</w:t>
      </w:r>
      <w:r w:rsidR="009C0345" w:rsidRPr="007B0231">
        <w:rPr>
          <w:rFonts w:ascii="Arial" w:hAnsi="Arial" w:cs="Arial"/>
          <w:sz w:val="24"/>
          <w:szCs w:val="24"/>
        </w:rPr>
        <w:t xml:space="preserve"> as </w:t>
      </w:r>
      <w:r w:rsidR="00CC199A" w:rsidRPr="007B0231">
        <w:rPr>
          <w:rFonts w:ascii="Arial" w:hAnsi="Arial" w:cs="Arial"/>
          <w:sz w:val="24"/>
          <w:szCs w:val="24"/>
        </w:rPr>
        <w:t>‘</w:t>
      </w:r>
      <w:r w:rsidR="004779C0" w:rsidRPr="007B0231">
        <w:rPr>
          <w:rFonts w:ascii="Arial" w:hAnsi="Arial" w:cs="Arial"/>
          <w:sz w:val="24"/>
          <w:szCs w:val="24"/>
        </w:rPr>
        <w:t xml:space="preserve">an application for a temporary deviation from, or permanent amendment of, land </w:t>
      </w:r>
      <w:r w:rsidR="006C1CE3" w:rsidRPr="007B0231">
        <w:rPr>
          <w:rFonts w:ascii="Arial" w:hAnsi="Arial" w:cs="Arial"/>
          <w:sz w:val="24"/>
          <w:szCs w:val="24"/>
        </w:rPr>
        <w:t>use scheme provisions applicable to land’.</w:t>
      </w:r>
      <w:r w:rsidR="00A71943" w:rsidRPr="007B0231">
        <w:rPr>
          <w:rFonts w:ascii="Arial" w:hAnsi="Arial" w:cs="Arial"/>
          <w:sz w:val="24"/>
          <w:szCs w:val="24"/>
        </w:rPr>
        <w:t xml:space="preserve"> </w:t>
      </w:r>
      <w:r w:rsidR="00FF2100" w:rsidRPr="007B0231">
        <w:rPr>
          <w:rFonts w:ascii="Arial" w:hAnsi="Arial" w:cs="Arial"/>
          <w:sz w:val="24"/>
          <w:szCs w:val="24"/>
        </w:rPr>
        <w:t xml:space="preserve">Applications for permanent or temporary departures are addressed under section </w:t>
      </w:r>
      <w:r w:rsidR="008A60A6" w:rsidRPr="007B0231">
        <w:rPr>
          <w:rFonts w:ascii="Arial" w:hAnsi="Arial" w:cs="Arial"/>
          <w:sz w:val="24"/>
          <w:szCs w:val="24"/>
        </w:rPr>
        <w:t>76</w:t>
      </w:r>
      <w:r w:rsidR="0079547D" w:rsidRPr="007B0231">
        <w:rPr>
          <w:rFonts w:ascii="Arial" w:hAnsi="Arial" w:cs="Arial"/>
          <w:sz w:val="24"/>
          <w:szCs w:val="24"/>
        </w:rPr>
        <w:t>(1)</w:t>
      </w:r>
      <w:r w:rsidR="008A60A6" w:rsidRPr="007B0231">
        <w:rPr>
          <w:rFonts w:ascii="Arial" w:hAnsi="Arial" w:cs="Arial"/>
          <w:sz w:val="24"/>
          <w:szCs w:val="24"/>
        </w:rPr>
        <w:t>, which provide</w:t>
      </w:r>
      <w:r w:rsidR="0079547D" w:rsidRPr="007B0231">
        <w:rPr>
          <w:rFonts w:ascii="Arial" w:hAnsi="Arial" w:cs="Arial"/>
          <w:sz w:val="24"/>
          <w:szCs w:val="24"/>
        </w:rPr>
        <w:t>s as follows</w:t>
      </w:r>
      <w:r w:rsidR="008A60A6" w:rsidRPr="007B0231">
        <w:rPr>
          <w:rFonts w:ascii="Arial" w:hAnsi="Arial" w:cs="Arial"/>
          <w:sz w:val="24"/>
          <w:szCs w:val="24"/>
        </w:rPr>
        <w:t>:</w:t>
      </w:r>
    </w:p>
    <w:p w14:paraId="0703C2BB" w14:textId="449DC22A" w:rsidR="008A60A6" w:rsidRPr="00C22C54" w:rsidRDefault="008A60A6" w:rsidP="0030569B">
      <w:pPr>
        <w:spacing w:line="360" w:lineRule="auto"/>
        <w:jc w:val="both"/>
        <w:rPr>
          <w:rFonts w:ascii="Arial" w:hAnsi="Arial" w:cs="Arial"/>
        </w:rPr>
      </w:pPr>
      <w:r w:rsidRPr="00C22C54">
        <w:rPr>
          <w:rFonts w:ascii="Arial" w:hAnsi="Arial" w:cs="Arial"/>
        </w:rPr>
        <w:tab/>
      </w:r>
      <w:r w:rsidR="003B7CE4" w:rsidRPr="00C22C54">
        <w:rPr>
          <w:rFonts w:ascii="Arial" w:hAnsi="Arial" w:cs="Arial"/>
        </w:rPr>
        <w:t>‘</w:t>
      </w:r>
      <w:r w:rsidR="00723C89" w:rsidRPr="00C22C54">
        <w:rPr>
          <w:rFonts w:ascii="Arial" w:hAnsi="Arial" w:cs="Arial"/>
          <w:b/>
          <w:bCs/>
        </w:rPr>
        <w:t>76</w:t>
      </w:r>
      <w:r w:rsidR="00723C89" w:rsidRPr="00C22C54">
        <w:rPr>
          <w:rFonts w:ascii="Arial" w:hAnsi="Arial" w:cs="Arial"/>
          <w:b/>
          <w:bCs/>
        </w:rPr>
        <w:tab/>
        <w:t>Application for permanent or temporary departures</w:t>
      </w:r>
    </w:p>
    <w:p w14:paraId="1E7F163B" w14:textId="7469CBA6" w:rsidR="00732ACE" w:rsidRPr="007B0231" w:rsidRDefault="007B0231" w:rsidP="007B0231">
      <w:pPr>
        <w:spacing w:line="360" w:lineRule="auto"/>
        <w:ind w:left="1800" w:hanging="360"/>
        <w:jc w:val="both"/>
        <w:rPr>
          <w:rFonts w:ascii="Arial" w:hAnsi="Arial" w:cs="Arial"/>
        </w:rPr>
      </w:pPr>
      <w:r w:rsidRPr="00C22C54">
        <w:rPr>
          <w:rFonts w:ascii="Arial" w:hAnsi="Arial" w:cs="Arial"/>
        </w:rPr>
        <w:t>(1)</w:t>
      </w:r>
      <w:r w:rsidRPr="00C22C54">
        <w:rPr>
          <w:rFonts w:ascii="Arial" w:hAnsi="Arial" w:cs="Arial"/>
        </w:rPr>
        <w:tab/>
      </w:r>
      <w:r w:rsidR="00732ACE" w:rsidRPr="007B0231">
        <w:rPr>
          <w:rFonts w:ascii="Arial" w:hAnsi="Arial" w:cs="Arial"/>
        </w:rPr>
        <w:t xml:space="preserve">Permanent departure applications are applications </w:t>
      </w:r>
      <w:r w:rsidR="005F1BE6" w:rsidRPr="007B0231">
        <w:rPr>
          <w:rFonts w:ascii="Arial" w:hAnsi="Arial" w:cs="Arial"/>
        </w:rPr>
        <w:t>that will result in permanent amendment of land use scheme provisions applicable to land, such as:</w:t>
      </w:r>
    </w:p>
    <w:p w14:paraId="440AA521" w14:textId="43A73993" w:rsidR="005F1BE6" w:rsidRPr="007B0231" w:rsidRDefault="007B0231" w:rsidP="007B0231">
      <w:pPr>
        <w:spacing w:line="360" w:lineRule="auto"/>
        <w:ind w:left="2160" w:hanging="360"/>
        <w:jc w:val="both"/>
        <w:rPr>
          <w:rFonts w:ascii="Arial" w:hAnsi="Arial" w:cs="Arial"/>
        </w:rPr>
      </w:pPr>
      <w:r w:rsidRPr="00C22C54">
        <w:rPr>
          <w:rFonts w:ascii="Arial" w:hAnsi="Arial" w:cs="Arial"/>
        </w:rPr>
        <w:t>(a)</w:t>
      </w:r>
      <w:r w:rsidRPr="00C22C54">
        <w:rPr>
          <w:rFonts w:ascii="Arial" w:hAnsi="Arial" w:cs="Arial"/>
        </w:rPr>
        <w:tab/>
      </w:r>
      <w:r w:rsidR="003B7CE4" w:rsidRPr="007B0231">
        <w:rPr>
          <w:rFonts w:ascii="Arial" w:hAnsi="Arial" w:cs="Arial"/>
        </w:rPr>
        <w:t>r</w:t>
      </w:r>
      <w:r w:rsidR="009A1D7B" w:rsidRPr="007B0231">
        <w:rPr>
          <w:rFonts w:ascii="Arial" w:hAnsi="Arial" w:cs="Arial"/>
        </w:rPr>
        <w:t>elaxations of development parameters such as building line, height, coverage or number of storeys</w:t>
      </w:r>
      <w:r w:rsidR="0079518B" w:rsidRPr="007B0231">
        <w:rPr>
          <w:rFonts w:ascii="Arial" w:hAnsi="Arial" w:cs="Arial"/>
        </w:rPr>
        <w:t>; and</w:t>
      </w:r>
    </w:p>
    <w:p w14:paraId="3A6D87D9" w14:textId="77777777" w:rsidR="003B7CE4" w:rsidRPr="00C22C54" w:rsidRDefault="003B7CE4" w:rsidP="0030569B">
      <w:pPr>
        <w:pStyle w:val="ListParagraph"/>
        <w:spacing w:line="360" w:lineRule="auto"/>
        <w:ind w:left="2160"/>
        <w:jc w:val="both"/>
        <w:rPr>
          <w:rFonts w:ascii="Arial" w:hAnsi="Arial" w:cs="Arial"/>
        </w:rPr>
      </w:pPr>
    </w:p>
    <w:p w14:paraId="151886C7" w14:textId="32AF9C33" w:rsidR="0079518B" w:rsidRPr="007B0231" w:rsidRDefault="007B0231" w:rsidP="007B0231">
      <w:pPr>
        <w:spacing w:line="360" w:lineRule="auto"/>
        <w:ind w:left="2160" w:hanging="360"/>
        <w:jc w:val="both"/>
        <w:rPr>
          <w:rFonts w:ascii="Arial" w:hAnsi="Arial" w:cs="Arial"/>
        </w:rPr>
      </w:pPr>
      <w:r w:rsidRPr="00C22C54">
        <w:rPr>
          <w:rFonts w:ascii="Arial" w:hAnsi="Arial" w:cs="Arial"/>
        </w:rPr>
        <w:t>(b)</w:t>
      </w:r>
      <w:r w:rsidRPr="00C22C54">
        <w:rPr>
          <w:rFonts w:ascii="Arial" w:hAnsi="Arial" w:cs="Arial"/>
        </w:rPr>
        <w:tab/>
      </w:r>
      <w:r w:rsidR="003B7CE4" w:rsidRPr="007B0231">
        <w:rPr>
          <w:rFonts w:ascii="Arial" w:hAnsi="Arial" w:cs="Arial"/>
        </w:rPr>
        <w:t>d</w:t>
      </w:r>
      <w:r w:rsidR="0079518B" w:rsidRPr="007B0231">
        <w:rPr>
          <w:rFonts w:ascii="Arial" w:hAnsi="Arial" w:cs="Arial"/>
        </w:rPr>
        <w:t>eparture from any other provisions of a land use scheme that will result in physical development</w:t>
      </w:r>
      <w:r w:rsidR="003B7CE4" w:rsidRPr="007B0231">
        <w:rPr>
          <w:rFonts w:ascii="Arial" w:hAnsi="Arial" w:cs="Arial"/>
        </w:rPr>
        <w:t xml:space="preserve"> or construction of a permanent nature on land.’</w:t>
      </w:r>
    </w:p>
    <w:p w14:paraId="4A8F5442" w14:textId="77777777" w:rsidR="00EC71D9" w:rsidRPr="00EC71D9" w:rsidRDefault="00EC71D9" w:rsidP="00EC71D9">
      <w:pPr>
        <w:pStyle w:val="ListParagraph"/>
        <w:rPr>
          <w:rFonts w:ascii="Arial" w:hAnsi="Arial" w:cs="Arial"/>
          <w:sz w:val="24"/>
          <w:szCs w:val="24"/>
        </w:rPr>
      </w:pPr>
    </w:p>
    <w:p w14:paraId="4037E0F8" w14:textId="77777777" w:rsidR="004D433D" w:rsidRDefault="004D433D" w:rsidP="00EC71D9">
      <w:pPr>
        <w:spacing w:line="360" w:lineRule="auto"/>
        <w:rPr>
          <w:rFonts w:ascii="Arial" w:hAnsi="Arial" w:cs="Arial"/>
          <w:sz w:val="24"/>
          <w:szCs w:val="24"/>
        </w:rPr>
      </w:pPr>
    </w:p>
    <w:p w14:paraId="75BC9B2E" w14:textId="2860BF8B" w:rsidR="00781E5B"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[73]</w:t>
      </w:r>
      <w:r w:rsidRPr="0030569B">
        <w:rPr>
          <w:rFonts w:ascii="Arial" w:hAnsi="Arial" w:cs="Arial"/>
          <w:sz w:val="24"/>
          <w:szCs w:val="24"/>
        </w:rPr>
        <w:tab/>
      </w:r>
      <w:r w:rsidR="00C7749B" w:rsidRPr="007B0231">
        <w:rPr>
          <w:rFonts w:ascii="Arial" w:hAnsi="Arial" w:cs="Arial"/>
          <w:sz w:val="24"/>
          <w:szCs w:val="24"/>
        </w:rPr>
        <w:t>It is common cause that t</w:t>
      </w:r>
      <w:r w:rsidR="002102D5" w:rsidRPr="007B0231">
        <w:rPr>
          <w:rFonts w:ascii="Arial" w:hAnsi="Arial" w:cs="Arial"/>
          <w:sz w:val="24"/>
          <w:szCs w:val="24"/>
        </w:rPr>
        <w:t>he fourth respondent’s</w:t>
      </w:r>
      <w:r w:rsidR="00C7749B" w:rsidRPr="007B0231">
        <w:rPr>
          <w:rFonts w:ascii="Arial" w:hAnsi="Arial" w:cs="Arial"/>
          <w:sz w:val="24"/>
          <w:szCs w:val="24"/>
        </w:rPr>
        <w:t xml:space="preserve"> land, erf 1483, </w:t>
      </w:r>
      <w:r w:rsidR="007F1742" w:rsidRPr="007B0231">
        <w:rPr>
          <w:rFonts w:ascii="Arial" w:hAnsi="Arial" w:cs="Arial"/>
          <w:sz w:val="24"/>
          <w:szCs w:val="24"/>
        </w:rPr>
        <w:t xml:space="preserve">had been </w:t>
      </w:r>
      <w:r w:rsidR="006F3397" w:rsidRPr="007B0231">
        <w:rPr>
          <w:rFonts w:ascii="Arial" w:hAnsi="Arial" w:cs="Arial"/>
          <w:sz w:val="24"/>
          <w:szCs w:val="24"/>
        </w:rPr>
        <w:t xml:space="preserve">zoned </w:t>
      </w:r>
      <w:r w:rsidR="001539AE" w:rsidRPr="007B0231">
        <w:rPr>
          <w:rFonts w:ascii="Arial" w:hAnsi="Arial" w:cs="Arial"/>
          <w:sz w:val="24"/>
          <w:szCs w:val="24"/>
        </w:rPr>
        <w:t>for s</w:t>
      </w:r>
      <w:r w:rsidR="006F3397" w:rsidRPr="007B0231">
        <w:rPr>
          <w:rFonts w:ascii="Arial" w:hAnsi="Arial" w:cs="Arial"/>
          <w:sz w:val="24"/>
          <w:szCs w:val="24"/>
        </w:rPr>
        <w:t>ingle residential use</w:t>
      </w:r>
      <w:r w:rsidR="00904C8E" w:rsidRPr="007B0231">
        <w:rPr>
          <w:rFonts w:ascii="Arial" w:hAnsi="Arial" w:cs="Arial"/>
          <w:sz w:val="24"/>
          <w:szCs w:val="24"/>
        </w:rPr>
        <w:t xml:space="preserve"> </w:t>
      </w:r>
      <w:r w:rsidR="00640EFC" w:rsidRPr="007B0231">
        <w:rPr>
          <w:rFonts w:ascii="Arial" w:hAnsi="Arial" w:cs="Arial"/>
          <w:sz w:val="24"/>
          <w:szCs w:val="24"/>
        </w:rPr>
        <w:t>i</w:t>
      </w:r>
      <w:r w:rsidR="00904C8E" w:rsidRPr="007B0231">
        <w:rPr>
          <w:rFonts w:ascii="Arial" w:hAnsi="Arial" w:cs="Arial"/>
          <w:sz w:val="24"/>
          <w:szCs w:val="24"/>
        </w:rPr>
        <w:t xml:space="preserve">n terms of the Kenton-on-Sea </w:t>
      </w:r>
      <w:r w:rsidR="00501FA1" w:rsidRPr="007B0231">
        <w:rPr>
          <w:rFonts w:ascii="Arial" w:hAnsi="Arial" w:cs="Arial"/>
          <w:sz w:val="24"/>
          <w:szCs w:val="24"/>
        </w:rPr>
        <w:t>s</w:t>
      </w:r>
      <w:r w:rsidR="00904C8E" w:rsidRPr="007B0231">
        <w:rPr>
          <w:rFonts w:ascii="Arial" w:hAnsi="Arial" w:cs="Arial"/>
          <w:sz w:val="24"/>
          <w:szCs w:val="24"/>
        </w:rPr>
        <w:t xml:space="preserve">cheme. This </w:t>
      </w:r>
      <w:r w:rsidR="00AD6E6B" w:rsidRPr="007B0231">
        <w:rPr>
          <w:rFonts w:ascii="Arial" w:hAnsi="Arial" w:cs="Arial"/>
          <w:sz w:val="24"/>
          <w:szCs w:val="24"/>
        </w:rPr>
        <w:t xml:space="preserve">permitted the erection and </w:t>
      </w:r>
      <w:r w:rsidR="004F34AF" w:rsidRPr="007B0231">
        <w:rPr>
          <w:rFonts w:ascii="Arial" w:hAnsi="Arial" w:cs="Arial"/>
          <w:sz w:val="24"/>
          <w:szCs w:val="24"/>
        </w:rPr>
        <w:t xml:space="preserve">use of </w:t>
      </w:r>
      <w:r w:rsidR="00E639EF" w:rsidRPr="007B0231">
        <w:rPr>
          <w:rFonts w:ascii="Arial" w:hAnsi="Arial" w:cs="Arial"/>
          <w:sz w:val="24"/>
          <w:szCs w:val="24"/>
        </w:rPr>
        <w:t xml:space="preserve">a </w:t>
      </w:r>
      <w:r w:rsidR="004F34AF" w:rsidRPr="007B0231">
        <w:rPr>
          <w:rFonts w:ascii="Arial" w:hAnsi="Arial" w:cs="Arial"/>
          <w:sz w:val="24"/>
          <w:szCs w:val="24"/>
        </w:rPr>
        <w:t xml:space="preserve">‘dwelling house’, meaning </w:t>
      </w:r>
      <w:r w:rsidR="000A5F98" w:rsidRPr="007B0231">
        <w:rPr>
          <w:rFonts w:ascii="Arial" w:hAnsi="Arial" w:cs="Arial"/>
          <w:sz w:val="24"/>
          <w:szCs w:val="24"/>
        </w:rPr>
        <w:t>a building with one dwelling unit, which was defined in turn as</w:t>
      </w:r>
      <w:r w:rsidR="00781E5B" w:rsidRPr="007B0231">
        <w:rPr>
          <w:rFonts w:ascii="Arial" w:hAnsi="Arial" w:cs="Arial"/>
          <w:sz w:val="24"/>
          <w:szCs w:val="24"/>
        </w:rPr>
        <w:t>:</w:t>
      </w:r>
    </w:p>
    <w:p w14:paraId="754D31AD" w14:textId="318DFB59" w:rsidR="002102D5" w:rsidRPr="007657B4" w:rsidRDefault="0060593F" w:rsidP="0030569B">
      <w:pPr>
        <w:spacing w:line="360" w:lineRule="auto"/>
        <w:ind w:left="720"/>
        <w:jc w:val="both"/>
        <w:rPr>
          <w:rFonts w:ascii="Arial" w:hAnsi="Arial" w:cs="Arial"/>
        </w:rPr>
      </w:pPr>
      <w:r w:rsidRPr="007657B4">
        <w:rPr>
          <w:rFonts w:ascii="Arial" w:hAnsi="Arial" w:cs="Arial"/>
        </w:rPr>
        <w:t xml:space="preserve">‘a self-contained interleading group of rooms used only for the living accommodation and </w:t>
      </w:r>
      <w:r w:rsidR="001A773A" w:rsidRPr="007657B4">
        <w:rPr>
          <w:rFonts w:ascii="Arial" w:hAnsi="Arial" w:cs="Arial"/>
        </w:rPr>
        <w:t xml:space="preserve">housing of a single family together with such outbuildings as are </w:t>
      </w:r>
      <w:r w:rsidR="00781E5B" w:rsidRPr="007657B4">
        <w:rPr>
          <w:rFonts w:ascii="Arial" w:hAnsi="Arial" w:cs="Arial"/>
        </w:rPr>
        <w:t>ordinarily used therewith.’</w:t>
      </w:r>
      <w:r w:rsidR="00E639EF" w:rsidRPr="007657B4">
        <w:rPr>
          <w:rStyle w:val="FootnoteReference"/>
          <w:rFonts w:ascii="Arial" w:hAnsi="Arial" w:cs="Arial"/>
        </w:rPr>
        <w:footnoteReference w:id="54"/>
      </w:r>
    </w:p>
    <w:p w14:paraId="5609FB9C" w14:textId="77777777" w:rsidR="00640EFC" w:rsidRDefault="00640EFC" w:rsidP="00640EFC">
      <w:pPr>
        <w:spacing w:line="360" w:lineRule="auto"/>
        <w:rPr>
          <w:rFonts w:ascii="Arial" w:hAnsi="Arial" w:cs="Arial"/>
          <w:sz w:val="24"/>
          <w:szCs w:val="24"/>
        </w:rPr>
      </w:pPr>
    </w:p>
    <w:p w14:paraId="0EDD2AB5" w14:textId="53B92380"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640EFC" w:rsidRPr="007B0231">
        <w:rPr>
          <w:rFonts w:ascii="Arial" w:hAnsi="Arial" w:cs="Arial"/>
          <w:sz w:val="24"/>
          <w:szCs w:val="24"/>
        </w:rPr>
        <w:t>The fourth respondent</w:t>
      </w:r>
      <w:r w:rsidR="00433DA4" w:rsidRPr="007B0231">
        <w:rPr>
          <w:rFonts w:ascii="Arial" w:hAnsi="Arial" w:cs="Arial"/>
          <w:sz w:val="24"/>
          <w:szCs w:val="24"/>
        </w:rPr>
        <w:t>’s</w:t>
      </w:r>
      <w:r w:rsidR="00977A0E" w:rsidRPr="007B0231">
        <w:rPr>
          <w:rFonts w:ascii="Arial" w:hAnsi="Arial" w:cs="Arial"/>
          <w:sz w:val="24"/>
          <w:szCs w:val="24"/>
        </w:rPr>
        <w:t xml:space="preserve"> </w:t>
      </w:r>
      <w:r w:rsidR="00133264" w:rsidRPr="007B0231">
        <w:rPr>
          <w:rFonts w:ascii="Arial" w:hAnsi="Arial" w:cs="Arial"/>
          <w:sz w:val="24"/>
          <w:szCs w:val="24"/>
        </w:rPr>
        <w:t>development proposal</w:t>
      </w:r>
      <w:r w:rsidR="00977A0E" w:rsidRPr="007B0231">
        <w:rPr>
          <w:rFonts w:ascii="Arial" w:hAnsi="Arial" w:cs="Arial"/>
          <w:sz w:val="24"/>
          <w:szCs w:val="24"/>
        </w:rPr>
        <w:t xml:space="preserve">, entailing </w:t>
      </w:r>
      <w:r w:rsidR="00640EFC" w:rsidRPr="007B0231">
        <w:rPr>
          <w:rFonts w:ascii="Arial" w:hAnsi="Arial" w:cs="Arial"/>
          <w:sz w:val="24"/>
          <w:szCs w:val="24"/>
        </w:rPr>
        <w:t xml:space="preserve">the </w:t>
      </w:r>
      <w:r w:rsidR="00C022AA" w:rsidRPr="007B0231">
        <w:rPr>
          <w:rFonts w:ascii="Arial" w:hAnsi="Arial" w:cs="Arial"/>
          <w:sz w:val="24"/>
          <w:szCs w:val="24"/>
        </w:rPr>
        <w:t xml:space="preserve">conversion of the existing building into a </w:t>
      </w:r>
      <w:r w:rsidR="007D4EE0" w:rsidRPr="007B0231">
        <w:rPr>
          <w:rFonts w:ascii="Arial" w:hAnsi="Arial" w:cs="Arial"/>
          <w:sz w:val="24"/>
          <w:szCs w:val="24"/>
        </w:rPr>
        <w:t>double-storey guesthouse</w:t>
      </w:r>
      <w:r w:rsidR="00FF7334" w:rsidRPr="007B0231">
        <w:rPr>
          <w:rFonts w:ascii="Arial" w:hAnsi="Arial" w:cs="Arial"/>
          <w:sz w:val="24"/>
          <w:szCs w:val="24"/>
        </w:rPr>
        <w:t xml:space="preserve"> with </w:t>
      </w:r>
      <w:r w:rsidR="007D4EE0" w:rsidRPr="007B0231">
        <w:rPr>
          <w:rFonts w:ascii="Arial" w:hAnsi="Arial" w:cs="Arial"/>
          <w:sz w:val="24"/>
          <w:szCs w:val="24"/>
        </w:rPr>
        <w:t xml:space="preserve">eight suites </w:t>
      </w:r>
      <w:r w:rsidR="007657B4" w:rsidRPr="007B0231">
        <w:rPr>
          <w:rFonts w:ascii="Arial" w:hAnsi="Arial" w:cs="Arial"/>
          <w:sz w:val="24"/>
          <w:szCs w:val="24"/>
        </w:rPr>
        <w:t>to accommodate 16 guests</w:t>
      </w:r>
      <w:r w:rsidR="007615A8" w:rsidRPr="007B0231">
        <w:rPr>
          <w:rFonts w:ascii="Arial" w:hAnsi="Arial" w:cs="Arial"/>
          <w:sz w:val="24"/>
          <w:szCs w:val="24"/>
        </w:rPr>
        <w:t xml:space="preserve">, </w:t>
      </w:r>
      <w:r w:rsidR="00144E3A" w:rsidRPr="007B0231">
        <w:rPr>
          <w:rFonts w:ascii="Arial" w:hAnsi="Arial" w:cs="Arial"/>
          <w:sz w:val="24"/>
          <w:szCs w:val="24"/>
        </w:rPr>
        <w:t xml:space="preserve">clearly failed to </w:t>
      </w:r>
      <w:r w:rsidR="007615A8" w:rsidRPr="007B0231">
        <w:rPr>
          <w:rFonts w:ascii="Arial" w:hAnsi="Arial" w:cs="Arial"/>
          <w:sz w:val="24"/>
          <w:szCs w:val="24"/>
        </w:rPr>
        <w:t xml:space="preserve">satisfy the </w:t>
      </w:r>
      <w:r w:rsidR="00946F44" w:rsidRPr="007B0231">
        <w:rPr>
          <w:rFonts w:ascii="Arial" w:hAnsi="Arial" w:cs="Arial"/>
          <w:sz w:val="24"/>
          <w:szCs w:val="24"/>
        </w:rPr>
        <w:t xml:space="preserve">requirements for </w:t>
      </w:r>
      <w:r w:rsidR="00F74A16" w:rsidRPr="007B0231">
        <w:rPr>
          <w:rFonts w:ascii="Arial" w:hAnsi="Arial" w:cs="Arial"/>
          <w:sz w:val="24"/>
          <w:szCs w:val="24"/>
        </w:rPr>
        <w:t>a dwelling house</w:t>
      </w:r>
      <w:r w:rsidR="007657B4" w:rsidRPr="007B0231">
        <w:rPr>
          <w:rFonts w:ascii="Arial" w:hAnsi="Arial" w:cs="Arial"/>
          <w:sz w:val="24"/>
          <w:szCs w:val="24"/>
        </w:rPr>
        <w:t xml:space="preserve">. </w:t>
      </w:r>
      <w:r w:rsidR="00263C0F" w:rsidRPr="007B0231">
        <w:rPr>
          <w:rFonts w:ascii="Arial" w:hAnsi="Arial" w:cs="Arial"/>
          <w:sz w:val="24"/>
          <w:szCs w:val="24"/>
        </w:rPr>
        <w:t xml:space="preserve">The Kenton-on-Sea </w:t>
      </w:r>
      <w:r w:rsidR="008A1CD7" w:rsidRPr="007B0231">
        <w:rPr>
          <w:rFonts w:ascii="Arial" w:hAnsi="Arial" w:cs="Arial"/>
          <w:sz w:val="24"/>
          <w:szCs w:val="24"/>
        </w:rPr>
        <w:lastRenderedPageBreak/>
        <w:t>s</w:t>
      </w:r>
      <w:r w:rsidR="00263C0F" w:rsidRPr="007B0231">
        <w:rPr>
          <w:rFonts w:ascii="Arial" w:hAnsi="Arial" w:cs="Arial"/>
          <w:sz w:val="24"/>
          <w:szCs w:val="24"/>
        </w:rPr>
        <w:t xml:space="preserve">cheme </w:t>
      </w:r>
      <w:r w:rsidR="00EB4624" w:rsidRPr="007B0231">
        <w:rPr>
          <w:rFonts w:ascii="Arial" w:hAnsi="Arial" w:cs="Arial"/>
          <w:sz w:val="24"/>
          <w:szCs w:val="24"/>
        </w:rPr>
        <w:t xml:space="preserve">simply </w:t>
      </w:r>
      <w:r w:rsidR="00263C0F" w:rsidRPr="007B0231">
        <w:rPr>
          <w:rFonts w:ascii="Arial" w:hAnsi="Arial" w:cs="Arial"/>
          <w:sz w:val="24"/>
          <w:szCs w:val="24"/>
        </w:rPr>
        <w:t xml:space="preserve">did not </w:t>
      </w:r>
      <w:r w:rsidR="001C0D44" w:rsidRPr="007B0231">
        <w:rPr>
          <w:rFonts w:ascii="Arial" w:hAnsi="Arial" w:cs="Arial"/>
          <w:sz w:val="24"/>
          <w:szCs w:val="24"/>
        </w:rPr>
        <w:t xml:space="preserve">envisage the </w:t>
      </w:r>
      <w:r w:rsidR="00E47DFD" w:rsidRPr="007B0231">
        <w:rPr>
          <w:rFonts w:ascii="Arial" w:hAnsi="Arial" w:cs="Arial"/>
          <w:sz w:val="24"/>
          <w:szCs w:val="24"/>
        </w:rPr>
        <w:t xml:space="preserve">use of </w:t>
      </w:r>
      <w:r w:rsidR="006D2143" w:rsidRPr="007B0231">
        <w:rPr>
          <w:rFonts w:ascii="Arial" w:hAnsi="Arial" w:cs="Arial"/>
          <w:sz w:val="24"/>
          <w:szCs w:val="24"/>
        </w:rPr>
        <w:t xml:space="preserve">erf 1483 </w:t>
      </w:r>
      <w:r w:rsidR="00FD20F6" w:rsidRPr="007B0231">
        <w:rPr>
          <w:rFonts w:ascii="Arial" w:hAnsi="Arial" w:cs="Arial"/>
          <w:sz w:val="24"/>
          <w:szCs w:val="24"/>
        </w:rPr>
        <w:t>for</w:t>
      </w:r>
      <w:r w:rsidR="006D2143" w:rsidRPr="007B0231">
        <w:rPr>
          <w:rFonts w:ascii="Arial" w:hAnsi="Arial" w:cs="Arial"/>
          <w:sz w:val="24"/>
          <w:szCs w:val="24"/>
        </w:rPr>
        <w:t xml:space="preserve"> a guesthouse</w:t>
      </w:r>
      <w:r w:rsidR="00FA4E41" w:rsidRPr="007B0231">
        <w:rPr>
          <w:rFonts w:ascii="Arial" w:hAnsi="Arial" w:cs="Arial"/>
          <w:sz w:val="24"/>
          <w:szCs w:val="24"/>
        </w:rPr>
        <w:t xml:space="preserve">. It </w:t>
      </w:r>
      <w:r w:rsidR="006C3C5A" w:rsidRPr="007B0231">
        <w:rPr>
          <w:rFonts w:ascii="Arial" w:hAnsi="Arial" w:cs="Arial"/>
          <w:sz w:val="24"/>
          <w:szCs w:val="24"/>
        </w:rPr>
        <w:t xml:space="preserve">could, admittedly, </w:t>
      </w:r>
      <w:r w:rsidR="00FA4E41" w:rsidRPr="007B0231">
        <w:rPr>
          <w:rFonts w:ascii="Arial" w:hAnsi="Arial" w:cs="Arial"/>
          <w:sz w:val="24"/>
          <w:szCs w:val="24"/>
        </w:rPr>
        <w:t xml:space="preserve">be used for </w:t>
      </w:r>
      <w:r w:rsidR="007D0DDF" w:rsidRPr="007B0231">
        <w:rPr>
          <w:rFonts w:ascii="Arial" w:hAnsi="Arial" w:cs="Arial"/>
          <w:sz w:val="24"/>
          <w:szCs w:val="24"/>
        </w:rPr>
        <w:t xml:space="preserve">a place of instruction </w:t>
      </w:r>
      <w:r w:rsidR="009D788D" w:rsidRPr="007B0231">
        <w:rPr>
          <w:rFonts w:ascii="Arial" w:hAnsi="Arial" w:cs="Arial"/>
          <w:sz w:val="24"/>
          <w:szCs w:val="24"/>
        </w:rPr>
        <w:t>or for</w:t>
      </w:r>
      <w:r w:rsidR="007A2917" w:rsidRPr="007B0231">
        <w:rPr>
          <w:rFonts w:ascii="Arial" w:hAnsi="Arial" w:cs="Arial"/>
          <w:sz w:val="24"/>
          <w:szCs w:val="24"/>
        </w:rPr>
        <w:t xml:space="preserve"> use by medical practitioners</w:t>
      </w:r>
      <w:r w:rsidR="00612A30" w:rsidRPr="007B0231">
        <w:rPr>
          <w:rFonts w:ascii="Arial" w:hAnsi="Arial" w:cs="Arial"/>
          <w:sz w:val="24"/>
          <w:szCs w:val="24"/>
        </w:rPr>
        <w:t>,</w:t>
      </w:r>
      <w:r w:rsidR="007117D5" w:rsidRPr="007B0231">
        <w:rPr>
          <w:rFonts w:ascii="Arial" w:hAnsi="Arial" w:cs="Arial"/>
          <w:sz w:val="24"/>
          <w:szCs w:val="24"/>
        </w:rPr>
        <w:t xml:space="preserve"> but </w:t>
      </w:r>
      <w:r w:rsidR="006B32D2" w:rsidRPr="007B0231">
        <w:rPr>
          <w:rFonts w:ascii="Arial" w:hAnsi="Arial" w:cs="Arial"/>
          <w:sz w:val="24"/>
          <w:szCs w:val="24"/>
        </w:rPr>
        <w:t xml:space="preserve">only </w:t>
      </w:r>
      <w:r w:rsidR="007117D5" w:rsidRPr="007B0231">
        <w:rPr>
          <w:rFonts w:ascii="Arial" w:hAnsi="Arial" w:cs="Arial"/>
          <w:sz w:val="24"/>
          <w:szCs w:val="24"/>
        </w:rPr>
        <w:t xml:space="preserve">with the special consent </w:t>
      </w:r>
      <w:r w:rsidR="00501E78" w:rsidRPr="007B0231">
        <w:rPr>
          <w:rFonts w:ascii="Arial" w:hAnsi="Arial" w:cs="Arial"/>
          <w:sz w:val="24"/>
          <w:szCs w:val="24"/>
        </w:rPr>
        <w:t xml:space="preserve">of the </w:t>
      </w:r>
      <w:r w:rsidR="002218FD" w:rsidRPr="007B0231">
        <w:rPr>
          <w:rFonts w:ascii="Arial" w:hAnsi="Arial" w:cs="Arial"/>
          <w:sz w:val="24"/>
          <w:szCs w:val="24"/>
        </w:rPr>
        <w:t>m</w:t>
      </w:r>
      <w:r w:rsidR="00501E78" w:rsidRPr="007B0231">
        <w:rPr>
          <w:rFonts w:ascii="Arial" w:hAnsi="Arial" w:cs="Arial"/>
          <w:sz w:val="24"/>
          <w:szCs w:val="24"/>
        </w:rPr>
        <w:t>unicipality</w:t>
      </w:r>
      <w:r w:rsidR="00FD20F6" w:rsidRPr="007B0231">
        <w:rPr>
          <w:rFonts w:ascii="Arial" w:hAnsi="Arial" w:cs="Arial"/>
          <w:sz w:val="24"/>
          <w:szCs w:val="24"/>
        </w:rPr>
        <w:t>.</w:t>
      </w:r>
      <w:r w:rsidR="00856E5F">
        <w:rPr>
          <w:rStyle w:val="FootnoteReference"/>
          <w:rFonts w:ascii="Arial" w:hAnsi="Arial" w:cs="Arial"/>
          <w:sz w:val="24"/>
          <w:szCs w:val="24"/>
        </w:rPr>
        <w:footnoteReference w:id="55"/>
      </w:r>
      <w:r w:rsidR="002218FD" w:rsidRPr="007B0231">
        <w:rPr>
          <w:rFonts w:ascii="Arial" w:hAnsi="Arial" w:cs="Arial"/>
          <w:sz w:val="24"/>
          <w:szCs w:val="24"/>
        </w:rPr>
        <w:t xml:space="preserve"> Interestingly, the </w:t>
      </w:r>
      <w:r w:rsidR="00A97420" w:rsidRPr="007B0231">
        <w:rPr>
          <w:rFonts w:ascii="Arial" w:hAnsi="Arial" w:cs="Arial"/>
          <w:sz w:val="24"/>
          <w:szCs w:val="24"/>
        </w:rPr>
        <w:t xml:space="preserve">Kenton-on-Sea </w:t>
      </w:r>
      <w:r w:rsidR="008A1CD7" w:rsidRPr="007B0231">
        <w:rPr>
          <w:rFonts w:ascii="Arial" w:hAnsi="Arial" w:cs="Arial"/>
          <w:sz w:val="24"/>
          <w:szCs w:val="24"/>
        </w:rPr>
        <w:t>s</w:t>
      </w:r>
      <w:r w:rsidR="00A97420" w:rsidRPr="007B0231">
        <w:rPr>
          <w:rFonts w:ascii="Arial" w:hAnsi="Arial" w:cs="Arial"/>
          <w:sz w:val="24"/>
          <w:szCs w:val="24"/>
        </w:rPr>
        <w:t xml:space="preserve">cheme makes no mention of a guesthouse, irrespective of the </w:t>
      </w:r>
      <w:r w:rsidR="00544FD4" w:rsidRPr="007B0231">
        <w:rPr>
          <w:rFonts w:ascii="Arial" w:hAnsi="Arial" w:cs="Arial"/>
          <w:sz w:val="24"/>
          <w:szCs w:val="24"/>
        </w:rPr>
        <w:t>use zone.</w:t>
      </w:r>
    </w:p>
    <w:p w14:paraId="07EA2609" w14:textId="77777777" w:rsidR="007414BA" w:rsidRDefault="007414BA" w:rsidP="007414BA">
      <w:pPr>
        <w:pStyle w:val="ListParagraph"/>
        <w:spacing w:line="360" w:lineRule="auto"/>
        <w:ind w:left="0"/>
        <w:jc w:val="both"/>
        <w:rPr>
          <w:rFonts w:ascii="Arial" w:hAnsi="Arial" w:cs="Arial"/>
          <w:sz w:val="24"/>
          <w:szCs w:val="24"/>
        </w:rPr>
      </w:pPr>
    </w:p>
    <w:p w14:paraId="42D065ED" w14:textId="5E59E408"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1264E2" w:rsidRPr="007B0231">
        <w:rPr>
          <w:rFonts w:ascii="Arial" w:hAnsi="Arial" w:cs="Arial"/>
          <w:sz w:val="24"/>
          <w:szCs w:val="24"/>
        </w:rPr>
        <w:t xml:space="preserve">The </w:t>
      </w:r>
      <w:r w:rsidR="00F04954" w:rsidRPr="007B0231">
        <w:rPr>
          <w:rFonts w:ascii="Arial" w:hAnsi="Arial" w:cs="Arial"/>
          <w:sz w:val="24"/>
          <w:szCs w:val="24"/>
        </w:rPr>
        <w:t xml:space="preserve">operation of </w:t>
      </w:r>
      <w:r w:rsidR="001264E2" w:rsidRPr="007B0231">
        <w:rPr>
          <w:rFonts w:ascii="Arial" w:hAnsi="Arial" w:cs="Arial"/>
          <w:sz w:val="24"/>
          <w:szCs w:val="24"/>
        </w:rPr>
        <w:t xml:space="preserve">a guesthouse </w:t>
      </w:r>
      <w:r w:rsidR="00DF2110" w:rsidRPr="007B0231">
        <w:rPr>
          <w:rFonts w:ascii="Arial" w:hAnsi="Arial" w:cs="Arial"/>
          <w:sz w:val="24"/>
          <w:szCs w:val="24"/>
        </w:rPr>
        <w:t>is allowed</w:t>
      </w:r>
      <w:r w:rsidR="00BF5523" w:rsidRPr="007B0231">
        <w:rPr>
          <w:rFonts w:ascii="Arial" w:hAnsi="Arial" w:cs="Arial"/>
          <w:sz w:val="24"/>
          <w:szCs w:val="24"/>
        </w:rPr>
        <w:t>, however,</w:t>
      </w:r>
      <w:r w:rsidR="00DF2110" w:rsidRPr="007B0231">
        <w:rPr>
          <w:rFonts w:ascii="Arial" w:hAnsi="Arial" w:cs="Arial"/>
          <w:sz w:val="24"/>
          <w:szCs w:val="24"/>
        </w:rPr>
        <w:t xml:space="preserve"> under the new scheme.</w:t>
      </w:r>
      <w:r w:rsidR="006A5026">
        <w:rPr>
          <w:rStyle w:val="FootnoteReference"/>
          <w:rFonts w:ascii="Arial" w:hAnsi="Arial" w:cs="Arial"/>
          <w:sz w:val="24"/>
          <w:szCs w:val="24"/>
        </w:rPr>
        <w:footnoteReference w:id="56"/>
      </w:r>
      <w:r w:rsidR="00F6454F" w:rsidRPr="007B0231">
        <w:rPr>
          <w:rFonts w:ascii="Arial" w:hAnsi="Arial" w:cs="Arial"/>
          <w:sz w:val="24"/>
          <w:szCs w:val="24"/>
        </w:rPr>
        <w:t xml:space="preserve"> </w:t>
      </w:r>
      <w:r w:rsidR="00542865" w:rsidRPr="007B0231">
        <w:rPr>
          <w:rFonts w:ascii="Arial" w:hAnsi="Arial" w:cs="Arial"/>
          <w:sz w:val="24"/>
          <w:szCs w:val="24"/>
        </w:rPr>
        <w:t xml:space="preserve">Whereas </w:t>
      </w:r>
      <w:r w:rsidR="00483B1F" w:rsidRPr="007B0231">
        <w:rPr>
          <w:rFonts w:ascii="Arial" w:hAnsi="Arial" w:cs="Arial"/>
          <w:sz w:val="24"/>
          <w:szCs w:val="24"/>
        </w:rPr>
        <w:t xml:space="preserve">the primary use of </w:t>
      </w:r>
      <w:r w:rsidR="0059171C" w:rsidRPr="007B0231">
        <w:rPr>
          <w:rFonts w:ascii="Arial" w:hAnsi="Arial" w:cs="Arial"/>
          <w:sz w:val="24"/>
          <w:szCs w:val="24"/>
        </w:rPr>
        <w:t>‘Res</w:t>
      </w:r>
      <w:r w:rsidR="00A07712" w:rsidRPr="007B0231">
        <w:rPr>
          <w:rFonts w:ascii="Arial" w:hAnsi="Arial" w:cs="Arial"/>
          <w:sz w:val="24"/>
          <w:szCs w:val="24"/>
        </w:rPr>
        <w:t>idential Zone 1’</w:t>
      </w:r>
      <w:r w:rsidR="00C44EF6" w:rsidRPr="007B0231">
        <w:rPr>
          <w:rFonts w:ascii="Arial" w:hAnsi="Arial" w:cs="Arial"/>
          <w:sz w:val="24"/>
          <w:szCs w:val="24"/>
        </w:rPr>
        <w:t xml:space="preserve"> </w:t>
      </w:r>
      <w:r w:rsidR="003573D1" w:rsidRPr="007B0231">
        <w:rPr>
          <w:rFonts w:ascii="Arial" w:hAnsi="Arial" w:cs="Arial"/>
          <w:sz w:val="24"/>
          <w:szCs w:val="24"/>
        </w:rPr>
        <w:t>l</w:t>
      </w:r>
      <w:r w:rsidR="007D5F80" w:rsidRPr="007B0231">
        <w:rPr>
          <w:rFonts w:ascii="Arial" w:hAnsi="Arial" w:cs="Arial"/>
          <w:sz w:val="24"/>
          <w:szCs w:val="24"/>
        </w:rPr>
        <w:t xml:space="preserve">and is </w:t>
      </w:r>
      <w:r w:rsidR="003573D1" w:rsidRPr="007B0231">
        <w:rPr>
          <w:rFonts w:ascii="Arial" w:hAnsi="Arial" w:cs="Arial"/>
          <w:sz w:val="24"/>
          <w:szCs w:val="24"/>
        </w:rPr>
        <w:t>for a dwelling unit,</w:t>
      </w:r>
      <w:r w:rsidR="00C44EF6" w:rsidRPr="00C44EF6">
        <w:rPr>
          <w:vertAlign w:val="superscript"/>
        </w:rPr>
        <w:footnoteReference w:id="57"/>
      </w:r>
      <w:r w:rsidR="00C44EF6" w:rsidRPr="007B0231">
        <w:rPr>
          <w:rFonts w:ascii="Arial" w:hAnsi="Arial" w:cs="Arial"/>
          <w:sz w:val="24"/>
          <w:szCs w:val="24"/>
        </w:rPr>
        <w:t xml:space="preserve"> </w:t>
      </w:r>
      <w:r w:rsidR="00C30B73" w:rsidRPr="007B0231">
        <w:rPr>
          <w:rFonts w:ascii="Arial" w:hAnsi="Arial" w:cs="Arial"/>
          <w:sz w:val="24"/>
          <w:szCs w:val="24"/>
        </w:rPr>
        <w:t xml:space="preserve">the new scheme </w:t>
      </w:r>
      <w:r w:rsidR="005D5D40" w:rsidRPr="007B0231">
        <w:rPr>
          <w:rFonts w:ascii="Arial" w:hAnsi="Arial" w:cs="Arial"/>
          <w:sz w:val="24"/>
          <w:szCs w:val="24"/>
        </w:rPr>
        <w:t>indicates</w:t>
      </w:r>
      <w:r w:rsidR="00C30B73" w:rsidRPr="007B0231">
        <w:rPr>
          <w:rFonts w:ascii="Arial" w:hAnsi="Arial" w:cs="Arial"/>
          <w:sz w:val="24"/>
          <w:szCs w:val="24"/>
        </w:rPr>
        <w:t xml:space="preserve"> that </w:t>
      </w:r>
      <w:r w:rsidR="002A3702" w:rsidRPr="007B0231">
        <w:rPr>
          <w:rFonts w:ascii="Arial" w:hAnsi="Arial" w:cs="Arial"/>
          <w:sz w:val="24"/>
          <w:szCs w:val="24"/>
        </w:rPr>
        <w:t xml:space="preserve">the consent use </w:t>
      </w:r>
      <w:r w:rsidR="004F2D43" w:rsidRPr="007B0231">
        <w:rPr>
          <w:rFonts w:ascii="Arial" w:hAnsi="Arial" w:cs="Arial"/>
          <w:sz w:val="24"/>
          <w:szCs w:val="24"/>
        </w:rPr>
        <w:t xml:space="preserve">in relation thereto includes </w:t>
      </w:r>
      <w:r w:rsidR="002C12EA" w:rsidRPr="007B0231">
        <w:rPr>
          <w:rFonts w:ascii="Arial" w:hAnsi="Arial" w:cs="Arial"/>
          <w:sz w:val="24"/>
          <w:szCs w:val="24"/>
        </w:rPr>
        <w:t xml:space="preserve">a </w:t>
      </w:r>
      <w:r w:rsidR="00C30B73" w:rsidRPr="007B0231">
        <w:rPr>
          <w:rFonts w:ascii="Arial" w:hAnsi="Arial" w:cs="Arial"/>
          <w:sz w:val="24"/>
          <w:szCs w:val="24"/>
        </w:rPr>
        <w:t xml:space="preserve">guesthouse, </w:t>
      </w:r>
      <w:r w:rsidR="00C9396A" w:rsidRPr="007B0231">
        <w:rPr>
          <w:rFonts w:ascii="Arial" w:hAnsi="Arial" w:cs="Arial"/>
          <w:sz w:val="24"/>
          <w:szCs w:val="24"/>
        </w:rPr>
        <w:t xml:space="preserve">provided </w:t>
      </w:r>
      <w:r w:rsidR="00C12029" w:rsidRPr="007B0231">
        <w:rPr>
          <w:rFonts w:ascii="Arial" w:hAnsi="Arial" w:cs="Arial"/>
          <w:sz w:val="24"/>
          <w:szCs w:val="24"/>
        </w:rPr>
        <w:t xml:space="preserve">that </w:t>
      </w:r>
      <w:r w:rsidR="003036C1" w:rsidRPr="007B0231">
        <w:rPr>
          <w:rFonts w:ascii="Arial" w:hAnsi="Arial" w:cs="Arial"/>
          <w:sz w:val="24"/>
          <w:szCs w:val="24"/>
        </w:rPr>
        <w:t xml:space="preserve">the prior </w:t>
      </w:r>
      <w:r w:rsidR="001E3B57" w:rsidRPr="007B0231">
        <w:rPr>
          <w:rFonts w:ascii="Arial" w:hAnsi="Arial" w:cs="Arial"/>
          <w:sz w:val="24"/>
          <w:szCs w:val="24"/>
        </w:rPr>
        <w:t>app</w:t>
      </w:r>
      <w:r w:rsidR="00764D68" w:rsidRPr="007B0231">
        <w:rPr>
          <w:rFonts w:ascii="Arial" w:hAnsi="Arial" w:cs="Arial"/>
          <w:sz w:val="24"/>
          <w:szCs w:val="24"/>
        </w:rPr>
        <w:t>roval of the municipality is obtained.</w:t>
      </w:r>
      <w:r w:rsidR="007214DB">
        <w:rPr>
          <w:rStyle w:val="FootnoteReference"/>
          <w:rFonts w:ascii="Arial" w:hAnsi="Arial" w:cs="Arial"/>
          <w:sz w:val="24"/>
          <w:szCs w:val="24"/>
        </w:rPr>
        <w:footnoteReference w:id="58"/>
      </w:r>
      <w:r w:rsidR="00F52BF7" w:rsidRPr="007B0231">
        <w:rPr>
          <w:rFonts w:ascii="Arial" w:hAnsi="Arial" w:cs="Arial"/>
          <w:sz w:val="24"/>
          <w:szCs w:val="24"/>
        </w:rPr>
        <w:t xml:space="preserve"> </w:t>
      </w:r>
    </w:p>
    <w:p w14:paraId="4FE2FBAE" w14:textId="77777777" w:rsidR="0030569B" w:rsidRPr="0030569B" w:rsidRDefault="0030569B" w:rsidP="0030569B">
      <w:pPr>
        <w:pStyle w:val="ListParagraph"/>
        <w:rPr>
          <w:rFonts w:ascii="Arial" w:hAnsi="Arial" w:cs="Arial"/>
          <w:sz w:val="24"/>
          <w:szCs w:val="24"/>
        </w:rPr>
      </w:pPr>
    </w:p>
    <w:p w14:paraId="3F780FC3" w14:textId="36229FDF"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6519DB" w:rsidRPr="007B0231">
        <w:rPr>
          <w:rFonts w:ascii="Arial" w:hAnsi="Arial" w:cs="Arial"/>
          <w:sz w:val="24"/>
          <w:szCs w:val="24"/>
        </w:rPr>
        <w:t xml:space="preserve">The new scheme had not </w:t>
      </w:r>
      <w:r w:rsidR="00B32570" w:rsidRPr="007B0231">
        <w:rPr>
          <w:rFonts w:ascii="Arial" w:hAnsi="Arial" w:cs="Arial"/>
          <w:sz w:val="24"/>
          <w:szCs w:val="24"/>
        </w:rPr>
        <w:t xml:space="preserve">yet </w:t>
      </w:r>
      <w:r w:rsidR="006519DB" w:rsidRPr="007B0231">
        <w:rPr>
          <w:rFonts w:ascii="Arial" w:hAnsi="Arial" w:cs="Arial"/>
          <w:sz w:val="24"/>
          <w:szCs w:val="24"/>
        </w:rPr>
        <w:t xml:space="preserve">been </w:t>
      </w:r>
      <w:r w:rsidR="002F1DCE" w:rsidRPr="007B0231">
        <w:rPr>
          <w:rFonts w:ascii="Arial" w:hAnsi="Arial" w:cs="Arial"/>
          <w:sz w:val="24"/>
          <w:szCs w:val="24"/>
        </w:rPr>
        <w:t>adopted and approved at the time of the fourth respondent’s application</w:t>
      </w:r>
      <w:r w:rsidR="00CE26D3" w:rsidRPr="007B0231">
        <w:rPr>
          <w:rFonts w:ascii="Arial" w:hAnsi="Arial" w:cs="Arial"/>
          <w:sz w:val="24"/>
          <w:szCs w:val="24"/>
        </w:rPr>
        <w:t xml:space="preserve"> but </w:t>
      </w:r>
      <w:r w:rsidR="00B21F06" w:rsidRPr="007B0231">
        <w:rPr>
          <w:rFonts w:ascii="Arial" w:hAnsi="Arial" w:cs="Arial"/>
          <w:sz w:val="24"/>
          <w:szCs w:val="24"/>
        </w:rPr>
        <w:t>was in place</w:t>
      </w:r>
      <w:r w:rsidR="00CE26D3" w:rsidRPr="007B0231">
        <w:rPr>
          <w:rFonts w:ascii="Arial" w:hAnsi="Arial" w:cs="Arial"/>
          <w:sz w:val="24"/>
          <w:szCs w:val="24"/>
        </w:rPr>
        <w:t xml:space="preserve"> </w:t>
      </w:r>
      <w:r w:rsidR="001B5821" w:rsidRPr="007B0231">
        <w:rPr>
          <w:rFonts w:ascii="Arial" w:hAnsi="Arial" w:cs="Arial"/>
          <w:sz w:val="24"/>
          <w:szCs w:val="24"/>
        </w:rPr>
        <w:t xml:space="preserve">when </w:t>
      </w:r>
      <w:r w:rsidR="00B21F06" w:rsidRPr="007B0231">
        <w:rPr>
          <w:rFonts w:ascii="Arial" w:hAnsi="Arial" w:cs="Arial"/>
          <w:sz w:val="24"/>
          <w:szCs w:val="24"/>
        </w:rPr>
        <w:t xml:space="preserve">the tribunal made its decision. </w:t>
      </w:r>
      <w:r w:rsidR="005D5D40" w:rsidRPr="007B0231">
        <w:rPr>
          <w:rFonts w:ascii="Arial" w:hAnsi="Arial" w:cs="Arial"/>
          <w:sz w:val="24"/>
          <w:szCs w:val="24"/>
        </w:rPr>
        <w:t>T</w:t>
      </w:r>
      <w:r w:rsidR="007E4E70" w:rsidRPr="007B0231">
        <w:rPr>
          <w:rFonts w:ascii="Arial" w:hAnsi="Arial" w:cs="Arial"/>
          <w:sz w:val="24"/>
          <w:szCs w:val="24"/>
        </w:rPr>
        <w:t xml:space="preserve">he </w:t>
      </w:r>
      <w:r w:rsidR="00000CA1" w:rsidRPr="007B0231">
        <w:rPr>
          <w:rFonts w:ascii="Arial" w:hAnsi="Arial" w:cs="Arial"/>
          <w:sz w:val="24"/>
          <w:szCs w:val="24"/>
        </w:rPr>
        <w:t xml:space="preserve">question arises as to </w:t>
      </w:r>
      <w:r w:rsidR="000708E6" w:rsidRPr="007B0231">
        <w:rPr>
          <w:rFonts w:ascii="Arial" w:hAnsi="Arial" w:cs="Arial"/>
          <w:sz w:val="24"/>
          <w:szCs w:val="24"/>
        </w:rPr>
        <w:t xml:space="preserve">which </w:t>
      </w:r>
      <w:r w:rsidR="002F1451" w:rsidRPr="007B0231">
        <w:rPr>
          <w:rFonts w:ascii="Arial" w:hAnsi="Arial" w:cs="Arial"/>
          <w:sz w:val="24"/>
          <w:szCs w:val="24"/>
        </w:rPr>
        <w:t xml:space="preserve">scheme </w:t>
      </w:r>
      <w:r w:rsidR="002100EE" w:rsidRPr="007B0231">
        <w:rPr>
          <w:rFonts w:ascii="Arial" w:hAnsi="Arial" w:cs="Arial"/>
          <w:sz w:val="24"/>
          <w:szCs w:val="24"/>
        </w:rPr>
        <w:t>applied</w:t>
      </w:r>
      <w:r w:rsidR="000F3BC4" w:rsidRPr="007B0231">
        <w:rPr>
          <w:rFonts w:ascii="Arial" w:hAnsi="Arial" w:cs="Arial"/>
          <w:sz w:val="24"/>
          <w:szCs w:val="24"/>
        </w:rPr>
        <w:t xml:space="preserve"> </w:t>
      </w:r>
      <w:r w:rsidR="00E510E9" w:rsidRPr="007B0231">
        <w:rPr>
          <w:rFonts w:ascii="Arial" w:hAnsi="Arial" w:cs="Arial"/>
          <w:sz w:val="24"/>
          <w:szCs w:val="24"/>
        </w:rPr>
        <w:t>for purposes of deciding the application</w:t>
      </w:r>
      <w:r w:rsidR="002100EE" w:rsidRPr="007B0231">
        <w:rPr>
          <w:rFonts w:ascii="Arial" w:hAnsi="Arial" w:cs="Arial"/>
          <w:sz w:val="24"/>
          <w:szCs w:val="24"/>
        </w:rPr>
        <w:t>.</w:t>
      </w:r>
      <w:r w:rsidR="00AD0683" w:rsidRPr="007B0231">
        <w:rPr>
          <w:rFonts w:ascii="Arial" w:hAnsi="Arial" w:cs="Arial"/>
          <w:sz w:val="24"/>
          <w:szCs w:val="24"/>
        </w:rPr>
        <w:t xml:space="preserve"> </w:t>
      </w:r>
      <w:r w:rsidR="00345C12" w:rsidRPr="007B0231">
        <w:rPr>
          <w:rFonts w:ascii="Arial" w:hAnsi="Arial" w:cs="Arial"/>
          <w:sz w:val="24"/>
          <w:szCs w:val="24"/>
        </w:rPr>
        <w:t>Counsel for t</w:t>
      </w:r>
      <w:r w:rsidR="001D151B" w:rsidRPr="007B0231">
        <w:rPr>
          <w:rFonts w:ascii="Arial" w:hAnsi="Arial" w:cs="Arial"/>
          <w:sz w:val="24"/>
          <w:szCs w:val="24"/>
        </w:rPr>
        <w:t xml:space="preserve">he </w:t>
      </w:r>
      <w:r w:rsidR="006F67DC" w:rsidRPr="007B0231">
        <w:rPr>
          <w:rFonts w:ascii="Arial" w:hAnsi="Arial" w:cs="Arial"/>
          <w:sz w:val="24"/>
          <w:szCs w:val="24"/>
        </w:rPr>
        <w:t xml:space="preserve">fourth respondent </w:t>
      </w:r>
      <w:r w:rsidR="00C52FBE" w:rsidRPr="007B0231">
        <w:rPr>
          <w:rFonts w:ascii="Arial" w:hAnsi="Arial" w:cs="Arial"/>
          <w:sz w:val="24"/>
          <w:szCs w:val="24"/>
        </w:rPr>
        <w:t>assert</w:t>
      </w:r>
      <w:r w:rsidR="00345C12" w:rsidRPr="007B0231">
        <w:rPr>
          <w:rFonts w:ascii="Arial" w:hAnsi="Arial" w:cs="Arial"/>
          <w:sz w:val="24"/>
          <w:szCs w:val="24"/>
        </w:rPr>
        <w:t>ed</w:t>
      </w:r>
      <w:r w:rsidR="00C52FBE" w:rsidRPr="007B0231">
        <w:rPr>
          <w:rFonts w:ascii="Arial" w:hAnsi="Arial" w:cs="Arial"/>
          <w:sz w:val="24"/>
          <w:szCs w:val="24"/>
        </w:rPr>
        <w:t xml:space="preserve"> that the presumption against statutory retrospectivity </w:t>
      </w:r>
      <w:r w:rsidR="008D1BD5" w:rsidRPr="007B0231">
        <w:rPr>
          <w:rFonts w:ascii="Arial" w:hAnsi="Arial" w:cs="Arial"/>
          <w:sz w:val="24"/>
          <w:szCs w:val="24"/>
        </w:rPr>
        <w:t>operat</w:t>
      </w:r>
      <w:r w:rsidR="005662C7" w:rsidRPr="007B0231">
        <w:rPr>
          <w:rFonts w:ascii="Arial" w:hAnsi="Arial" w:cs="Arial"/>
          <w:sz w:val="24"/>
          <w:szCs w:val="24"/>
        </w:rPr>
        <w:t xml:space="preserve">ed and </w:t>
      </w:r>
      <w:r w:rsidR="006F67DC" w:rsidRPr="007B0231">
        <w:rPr>
          <w:rFonts w:ascii="Arial" w:hAnsi="Arial" w:cs="Arial"/>
          <w:sz w:val="24"/>
          <w:szCs w:val="24"/>
        </w:rPr>
        <w:t xml:space="preserve">referred to </w:t>
      </w:r>
      <w:r w:rsidR="00000CA1" w:rsidRPr="007B0231">
        <w:rPr>
          <w:rFonts w:ascii="Arial" w:hAnsi="Arial" w:cs="Arial"/>
          <w:sz w:val="24"/>
          <w:szCs w:val="24"/>
        </w:rPr>
        <w:t>the decision in</w:t>
      </w:r>
      <w:r w:rsidR="009164D1" w:rsidRPr="007B0231">
        <w:rPr>
          <w:rFonts w:ascii="Arial" w:hAnsi="Arial" w:cs="Arial"/>
          <w:sz w:val="24"/>
          <w:szCs w:val="24"/>
        </w:rPr>
        <w:t xml:space="preserve"> </w:t>
      </w:r>
      <w:r w:rsidR="003654A5" w:rsidRPr="007B0231">
        <w:rPr>
          <w:rFonts w:ascii="Arial" w:hAnsi="Arial" w:cs="Arial"/>
          <w:i/>
          <w:iCs/>
          <w:sz w:val="24"/>
          <w:szCs w:val="24"/>
        </w:rPr>
        <w:t>Minister of Public Works v Haffejee</w:t>
      </w:r>
      <w:r w:rsidR="005662C7" w:rsidRPr="007B0231">
        <w:rPr>
          <w:rFonts w:ascii="Arial" w:hAnsi="Arial" w:cs="Arial"/>
          <w:sz w:val="24"/>
          <w:szCs w:val="24"/>
        </w:rPr>
        <w:t>.</w:t>
      </w:r>
      <w:r w:rsidR="009164D1">
        <w:rPr>
          <w:rStyle w:val="FootnoteReference"/>
          <w:rFonts w:ascii="Arial" w:hAnsi="Arial" w:cs="Arial"/>
          <w:sz w:val="24"/>
          <w:szCs w:val="24"/>
        </w:rPr>
        <w:footnoteReference w:id="59"/>
      </w:r>
      <w:r w:rsidR="009164D1" w:rsidRPr="007B0231">
        <w:rPr>
          <w:rFonts w:ascii="Arial" w:hAnsi="Arial" w:cs="Arial"/>
          <w:sz w:val="24"/>
          <w:szCs w:val="24"/>
        </w:rPr>
        <w:t xml:space="preserve"> </w:t>
      </w:r>
      <w:r w:rsidR="00193BAE" w:rsidRPr="007B0231">
        <w:rPr>
          <w:rFonts w:ascii="Arial" w:hAnsi="Arial" w:cs="Arial"/>
          <w:sz w:val="24"/>
          <w:szCs w:val="24"/>
        </w:rPr>
        <w:t>In that regard</w:t>
      </w:r>
      <w:r w:rsidR="00C53F7D" w:rsidRPr="007B0231">
        <w:rPr>
          <w:rFonts w:ascii="Arial" w:hAnsi="Arial" w:cs="Arial"/>
          <w:sz w:val="24"/>
          <w:szCs w:val="24"/>
        </w:rPr>
        <w:t xml:space="preserve">, however, </w:t>
      </w:r>
      <w:r w:rsidR="007714BC" w:rsidRPr="007B0231">
        <w:rPr>
          <w:rFonts w:ascii="Arial" w:hAnsi="Arial" w:cs="Arial"/>
          <w:sz w:val="24"/>
          <w:szCs w:val="24"/>
        </w:rPr>
        <w:t xml:space="preserve">Marais JA </w:t>
      </w:r>
      <w:r w:rsidR="00193BAE" w:rsidRPr="007B0231">
        <w:rPr>
          <w:rFonts w:ascii="Arial" w:hAnsi="Arial" w:cs="Arial"/>
          <w:sz w:val="24"/>
          <w:szCs w:val="24"/>
        </w:rPr>
        <w:t xml:space="preserve">merely </w:t>
      </w:r>
      <w:r w:rsidR="00A75898" w:rsidRPr="007B0231">
        <w:rPr>
          <w:rFonts w:ascii="Arial" w:hAnsi="Arial" w:cs="Arial"/>
          <w:sz w:val="24"/>
          <w:szCs w:val="24"/>
        </w:rPr>
        <w:t>held that an amending sta</w:t>
      </w:r>
      <w:r w:rsidR="002E638B" w:rsidRPr="007B0231">
        <w:rPr>
          <w:rFonts w:ascii="Arial" w:hAnsi="Arial" w:cs="Arial"/>
          <w:sz w:val="24"/>
          <w:szCs w:val="24"/>
        </w:rPr>
        <w:t>t</w:t>
      </w:r>
      <w:r w:rsidR="00A75898" w:rsidRPr="007B0231">
        <w:rPr>
          <w:rFonts w:ascii="Arial" w:hAnsi="Arial" w:cs="Arial"/>
          <w:sz w:val="24"/>
          <w:szCs w:val="24"/>
        </w:rPr>
        <w:t>ute</w:t>
      </w:r>
      <w:r w:rsidR="002E638B" w:rsidRPr="007B0231">
        <w:rPr>
          <w:rFonts w:ascii="Arial" w:hAnsi="Arial" w:cs="Arial"/>
          <w:sz w:val="24"/>
          <w:szCs w:val="24"/>
        </w:rPr>
        <w:t xml:space="preserve"> that was characterised as regulating procedure</w:t>
      </w:r>
      <w:r w:rsidR="00630425" w:rsidRPr="007B0231">
        <w:rPr>
          <w:rFonts w:ascii="Arial" w:hAnsi="Arial" w:cs="Arial"/>
          <w:sz w:val="24"/>
          <w:szCs w:val="24"/>
        </w:rPr>
        <w:t xml:space="preserve"> will not always have retrospective effect</w:t>
      </w:r>
      <w:r w:rsidR="00F7643B" w:rsidRPr="007B0231">
        <w:rPr>
          <w:rFonts w:ascii="Arial" w:hAnsi="Arial" w:cs="Arial"/>
          <w:sz w:val="24"/>
          <w:szCs w:val="24"/>
        </w:rPr>
        <w:t xml:space="preserve">; it would depend </w:t>
      </w:r>
      <w:r w:rsidR="00CA0FA3" w:rsidRPr="007B0231">
        <w:rPr>
          <w:rFonts w:ascii="Arial" w:hAnsi="Arial" w:cs="Arial"/>
          <w:sz w:val="24"/>
          <w:szCs w:val="24"/>
        </w:rPr>
        <w:t xml:space="preserve">on </w:t>
      </w:r>
      <w:r w:rsidR="00840A0E" w:rsidRPr="007B0231">
        <w:rPr>
          <w:rFonts w:ascii="Arial" w:hAnsi="Arial" w:cs="Arial"/>
          <w:sz w:val="24"/>
          <w:szCs w:val="24"/>
        </w:rPr>
        <w:t>the</w:t>
      </w:r>
      <w:r w:rsidR="00CA0FA3" w:rsidRPr="007B0231">
        <w:rPr>
          <w:rFonts w:ascii="Arial" w:hAnsi="Arial" w:cs="Arial"/>
          <w:sz w:val="24"/>
          <w:szCs w:val="24"/>
        </w:rPr>
        <w:t xml:space="preserve"> impact </w:t>
      </w:r>
      <w:r w:rsidR="00840A0E" w:rsidRPr="007B0231">
        <w:rPr>
          <w:rFonts w:ascii="Arial" w:hAnsi="Arial" w:cs="Arial"/>
          <w:sz w:val="24"/>
          <w:szCs w:val="24"/>
        </w:rPr>
        <w:t xml:space="preserve">that it had </w:t>
      </w:r>
      <w:r w:rsidR="00550DBE" w:rsidRPr="007B0231">
        <w:rPr>
          <w:rFonts w:ascii="Arial" w:hAnsi="Arial" w:cs="Arial"/>
          <w:sz w:val="24"/>
          <w:szCs w:val="24"/>
        </w:rPr>
        <w:t xml:space="preserve">upon </w:t>
      </w:r>
      <w:r w:rsidR="00CE037B" w:rsidRPr="007B0231">
        <w:rPr>
          <w:rFonts w:ascii="Arial" w:hAnsi="Arial" w:cs="Arial"/>
          <w:sz w:val="24"/>
          <w:szCs w:val="24"/>
        </w:rPr>
        <w:t>existing substantive rights and obligations</w:t>
      </w:r>
      <w:r w:rsidR="00630425" w:rsidRPr="007B0231">
        <w:rPr>
          <w:rFonts w:ascii="Arial" w:hAnsi="Arial" w:cs="Arial"/>
          <w:sz w:val="24"/>
          <w:szCs w:val="24"/>
        </w:rPr>
        <w:t>.</w:t>
      </w:r>
      <w:r w:rsidR="00CE037B">
        <w:rPr>
          <w:rStyle w:val="FootnoteReference"/>
          <w:rFonts w:ascii="Arial" w:hAnsi="Arial" w:cs="Arial"/>
          <w:sz w:val="24"/>
          <w:szCs w:val="24"/>
        </w:rPr>
        <w:footnoteReference w:id="60"/>
      </w:r>
      <w:r w:rsidR="00630425" w:rsidRPr="007B0231">
        <w:rPr>
          <w:rFonts w:ascii="Arial" w:hAnsi="Arial" w:cs="Arial"/>
          <w:sz w:val="24"/>
          <w:szCs w:val="24"/>
        </w:rPr>
        <w:t xml:space="preserve"> </w:t>
      </w:r>
      <w:r w:rsidR="00343FFC" w:rsidRPr="007B0231">
        <w:rPr>
          <w:rFonts w:ascii="Arial" w:hAnsi="Arial" w:cs="Arial"/>
          <w:sz w:val="24"/>
          <w:szCs w:val="24"/>
        </w:rPr>
        <w:t>Possibly o</w:t>
      </w:r>
      <w:r w:rsidR="000B20AA" w:rsidRPr="007B0231">
        <w:rPr>
          <w:rFonts w:ascii="Arial" w:hAnsi="Arial" w:cs="Arial"/>
          <w:sz w:val="24"/>
          <w:szCs w:val="24"/>
        </w:rPr>
        <w:t>f more relevance is the decision in</w:t>
      </w:r>
      <w:r w:rsidR="001532E4" w:rsidRPr="007B0231">
        <w:rPr>
          <w:rFonts w:ascii="Arial" w:hAnsi="Arial" w:cs="Arial"/>
          <w:sz w:val="24"/>
          <w:szCs w:val="24"/>
        </w:rPr>
        <w:t xml:space="preserve"> </w:t>
      </w:r>
      <w:r w:rsidR="009768D2" w:rsidRPr="007B0231">
        <w:rPr>
          <w:rFonts w:ascii="Arial" w:hAnsi="Arial" w:cs="Arial"/>
          <w:i/>
          <w:iCs/>
          <w:sz w:val="24"/>
          <w:szCs w:val="24"/>
        </w:rPr>
        <w:t xml:space="preserve">Ntame v </w:t>
      </w:r>
      <w:r w:rsidR="00727E20" w:rsidRPr="007B0231">
        <w:rPr>
          <w:rFonts w:ascii="Arial" w:hAnsi="Arial" w:cs="Arial"/>
          <w:i/>
          <w:iCs/>
          <w:sz w:val="24"/>
          <w:szCs w:val="24"/>
        </w:rPr>
        <w:t>MEC for Social Development</w:t>
      </w:r>
      <w:r w:rsidR="00B40115" w:rsidRPr="007B0231">
        <w:rPr>
          <w:rFonts w:ascii="Arial" w:hAnsi="Arial" w:cs="Arial"/>
          <w:i/>
          <w:iCs/>
          <w:sz w:val="24"/>
          <w:szCs w:val="24"/>
        </w:rPr>
        <w:t>, Eastern Cape, and two similar cases</w:t>
      </w:r>
      <w:r w:rsidR="00B40115" w:rsidRPr="007B0231">
        <w:rPr>
          <w:rFonts w:ascii="Arial" w:hAnsi="Arial" w:cs="Arial"/>
          <w:sz w:val="24"/>
          <w:szCs w:val="24"/>
        </w:rPr>
        <w:t>,</w:t>
      </w:r>
      <w:r w:rsidR="00B40115">
        <w:rPr>
          <w:rStyle w:val="FootnoteReference"/>
          <w:rFonts w:ascii="Arial" w:hAnsi="Arial" w:cs="Arial"/>
          <w:sz w:val="24"/>
          <w:szCs w:val="24"/>
        </w:rPr>
        <w:footnoteReference w:id="61"/>
      </w:r>
      <w:r w:rsidR="00A12CDD" w:rsidRPr="007B0231">
        <w:rPr>
          <w:rFonts w:ascii="Arial" w:hAnsi="Arial" w:cs="Arial"/>
          <w:sz w:val="24"/>
          <w:szCs w:val="24"/>
        </w:rPr>
        <w:t xml:space="preserve"> where Plasket J </w:t>
      </w:r>
      <w:r w:rsidR="00AB6CEE" w:rsidRPr="007B0231">
        <w:rPr>
          <w:rFonts w:ascii="Arial" w:hAnsi="Arial" w:cs="Arial"/>
          <w:sz w:val="24"/>
          <w:szCs w:val="24"/>
        </w:rPr>
        <w:t xml:space="preserve">dealt with the </w:t>
      </w:r>
      <w:r w:rsidR="00794B03" w:rsidRPr="007B0231">
        <w:rPr>
          <w:rFonts w:ascii="Arial" w:hAnsi="Arial" w:cs="Arial"/>
          <w:sz w:val="24"/>
          <w:szCs w:val="24"/>
        </w:rPr>
        <w:t xml:space="preserve">respondent’s failure to have decided on the applicant’s </w:t>
      </w:r>
      <w:r w:rsidR="001831A3" w:rsidRPr="007B0231">
        <w:rPr>
          <w:rFonts w:ascii="Arial" w:hAnsi="Arial" w:cs="Arial"/>
          <w:sz w:val="24"/>
          <w:szCs w:val="24"/>
        </w:rPr>
        <w:t>application for maintenance grants</w:t>
      </w:r>
      <w:r w:rsidR="008915AB" w:rsidRPr="007B0231">
        <w:rPr>
          <w:rFonts w:ascii="Arial" w:hAnsi="Arial" w:cs="Arial"/>
          <w:sz w:val="24"/>
          <w:szCs w:val="24"/>
        </w:rPr>
        <w:t xml:space="preserve">. The court found that </w:t>
      </w:r>
      <w:r w:rsidR="004766F8" w:rsidRPr="007B0231">
        <w:rPr>
          <w:rFonts w:ascii="Arial" w:hAnsi="Arial" w:cs="Arial"/>
          <w:sz w:val="24"/>
          <w:szCs w:val="24"/>
        </w:rPr>
        <w:t xml:space="preserve">the applications were pending the moment that they were </w:t>
      </w:r>
      <w:r w:rsidR="0093245E" w:rsidRPr="007B0231">
        <w:rPr>
          <w:rFonts w:ascii="Arial" w:hAnsi="Arial" w:cs="Arial"/>
          <w:sz w:val="24"/>
          <w:szCs w:val="24"/>
        </w:rPr>
        <w:t>made,</w:t>
      </w:r>
      <w:r w:rsidR="004766F8" w:rsidRPr="007B0231">
        <w:rPr>
          <w:rFonts w:ascii="Arial" w:hAnsi="Arial" w:cs="Arial"/>
          <w:sz w:val="24"/>
          <w:szCs w:val="24"/>
        </w:rPr>
        <w:t xml:space="preserve"> and decisions had </w:t>
      </w:r>
      <w:r w:rsidR="004766F8" w:rsidRPr="007B0231">
        <w:rPr>
          <w:rFonts w:ascii="Arial" w:hAnsi="Arial" w:cs="Arial"/>
          <w:sz w:val="24"/>
          <w:szCs w:val="24"/>
        </w:rPr>
        <w:lastRenderedPageBreak/>
        <w:t xml:space="preserve">to be </w:t>
      </w:r>
      <w:r w:rsidR="00AF1043" w:rsidRPr="007B0231">
        <w:rPr>
          <w:rFonts w:ascii="Arial" w:hAnsi="Arial" w:cs="Arial"/>
          <w:sz w:val="24"/>
          <w:szCs w:val="24"/>
        </w:rPr>
        <w:t xml:space="preserve">taken on them in terms of the law applicable at the time, notwithstanding the fact that the maintenance grant had subsequently been </w:t>
      </w:r>
      <w:r w:rsidR="00CB1250" w:rsidRPr="007B0231">
        <w:rPr>
          <w:rFonts w:ascii="Arial" w:hAnsi="Arial" w:cs="Arial"/>
          <w:sz w:val="24"/>
          <w:szCs w:val="24"/>
        </w:rPr>
        <w:t>phased out in favour of a child support grant.</w:t>
      </w:r>
      <w:r w:rsidR="0093245E">
        <w:rPr>
          <w:rStyle w:val="FootnoteReference"/>
          <w:rFonts w:ascii="Arial" w:hAnsi="Arial" w:cs="Arial"/>
          <w:sz w:val="24"/>
          <w:szCs w:val="24"/>
        </w:rPr>
        <w:footnoteReference w:id="62"/>
      </w:r>
      <w:r w:rsidR="00CA6687" w:rsidRPr="007B0231">
        <w:rPr>
          <w:rFonts w:ascii="Arial" w:hAnsi="Arial" w:cs="Arial"/>
          <w:sz w:val="24"/>
          <w:szCs w:val="24"/>
        </w:rPr>
        <w:t xml:space="preserve"> </w:t>
      </w:r>
    </w:p>
    <w:p w14:paraId="5E27FBC6" w14:textId="77777777" w:rsidR="0030569B" w:rsidRDefault="0030569B" w:rsidP="0030569B">
      <w:pPr>
        <w:pStyle w:val="ListParagraph"/>
        <w:spacing w:line="360" w:lineRule="auto"/>
        <w:ind w:left="0"/>
        <w:jc w:val="both"/>
        <w:rPr>
          <w:rFonts w:ascii="Arial" w:hAnsi="Arial" w:cs="Arial"/>
          <w:sz w:val="24"/>
          <w:szCs w:val="24"/>
        </w:rPr>
      </w:pPr>
    </w:p>
    <w:p w14:paraId="5477B42C" w14:textId="284C8969"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AE3C04" w:rsidRPr="007B0231">
        <w:rPr>
          <w:rFonts w:ascii="Arial" w:hAnsi="Arial" w:cs="Arial"/>
          <w:sz w:val="24"/>
          <w:szCs w:val="24"/>
        </w:rPr>
        <w:t xml:space="preserve">In the present matter, the new scheme </w:t>
      </w:r>
      <w:r w:rsidR="00242CB8" w:rsidRPr="007B0231">
        <w:rPr>
          <w:rFonts w:ascii="Arial" w:hAnsi="Arial" w:cs="Arial"/>
          <w:sz w:val="24"/>
          <w:szCs w:val="24"/>
        </w:rPr>
        <w:t xml:space="preserve">does not make provision for its retrospective </w:t>
      </w:r>
      <w:r w:rsidR="008E2D88" w:rsidRPr="007B0231">
        <w:rPr>
          <w:rFonts w:ascii="Arial" w:hAnsi="Arial" w:cs="Arial"/>
          <w:sz w:val="24"/>
          <w:szCs w:val="24"/>
        </w:rPr>
        <w:t>effect</w:t>
      </w:r>
      <w:r w:rsidR="007F7901" w:rsidRPr="007B0231">
        <w:rPr>
          <w:rFonts w:ascii="Arial" w:hAnsi="Arial" w:cs="Arial"/>
          <w:sz w:val="24"/>
          <w:szCs w:val="24"/>
        </w:rPr>
        <w:t xml:space="preserve">. </w:t>
      </w:r>
      <w:r w:rsidR="003D4ABC" w:rsidRPr="007B0231">
        <w:rPr>
          <w:rFonts w:ascii="Arial" w:hAnsi="Arial" w:cs="Arial"/>
          <w:sz w:val="24"/>
          <w:szCs w:val="24"/>
        </w:rPr>
        <w:t xml:space="preserve">It </w:t>
      </w:r>
      <w:r w:rsidR="00183F28" w:rsidRPr="007B0231">
        <w:rPr>
          <w:rFonts w:ascii="Arial" w:hAnsi="Arial" w:cs="Arial"/>
          <w:sz w:val="24"/>
          <w:szCs w:val="24"/>
        </w:rPr>
        <w:t>makes provision for transitional arrangements</w:t>
      </w:r>
      <w:r w:rsidR="004500C3" w:rsidRPr="007B0231">
        <w:rPr>
          <w:rFonts w:ascii="Arial" w:hAnsi="Arial" w:cs="Arial"/>
          <w:sz w:val="24"/>
          <w:szCs w:val="24"/>
        </w:rPr>
        <w:t xml:space="preserve"> but stipulates that these are subject </w:t>
      </w:r>
      <w:r w:rsidR="003D4ABC" w:rsidRPr="007B0231">
        <w:rPr>
          <w:rFonts w:ascii="Arial" w:hAnsi="Arial" w:cs="Arial"/>
          <w:sz w:val="24"/>
          <w:szCs w:val="24"/>
        </w:rPr>
        <w:t xml:space="preserve">to </w:t>
      </w:r>
      <w:r w:rsidR="00E11B82" w:rsidRPr="007B0231">
        <w:rPr>
          <w:rFonts w:ascii="Arial" w:hAnsi="Arial" w:cs="Arial"/>
          <w:sz w:val="24"/>
          <w:szCs w:val="24"/>
        </w:rPr>
        <w:t xml:space="preserve">section 180 of the SPLUM By-law, which provides, in turn, that </w:t>
      </w:r>
      <w:r w:rsidR="00622BC4" w:rsidRPr="007B0231">
        <w:rPr>
          <w:rFonts w:ascii="Arial" w:hAnsi="Arial" w:cs="Arial"/>
          <w:sz w:val="24"/>
          <w:szCs w:val="24"/>
        </w:rPr>
        <w:t xml:space="preserve">pending </w:t>
      </w:r>
      <w:r w:rsidR="00FC018C" w:rsidRPr="007B0231">
        <w:rPr>
          <w:rFonts w:ascii="Arial" w:hAnsi="Arial" w:cs="Arial"/>
          <w:sz w:val="24"/>
          <w:szCs w:val="24"/>
        </w:rPr>
        <w:t xml:space="preserve">applications at the time of its coming into operation, </w:t>
      </w:r>
      <w:r w:rsidR="007C1B64" w:rsidRPr="007B0231">
        <w:rPr>
          <w:rFonts w:ascii="Arial" w:hAnsi="Arial" w:cs="Arial"/>
          <w:sz w:val="24"/>
          <w:szCs w:val="24"/>
        </w:rPr>
        <w:t>i.e.,</w:t>
      </w:r>
      <w:r w:rsidR="00FC018C" w:rsidRPr="007B0231">
        <w:rPr>
          <w:rFonts w:ascii="Arial" w:hAnsi="Arial" w:cs="Arial"/>
          <w:sz w:val="24"/>
          <w:szCs w:val="24"/>
        </w:rPr>
        <w:t xml:space="preserve"> </w:t>
      </w:r>
      <w:r w:rsidR="008F7406" w:rsidRPr="007B0231">
        <w:rPr>
          <w:rFonts w:ascii="Arial" w:hAnsi="Arial" w:cs="Arial"/>
          <w:sz w:val="24"/>
          <w:szCs w:val="24"/>
        </w:rPr>
        <w:t>4 March 2016</w:t>
      </w:r>
      <w:r w:rsidR="008D4C1D" w:rsidRPr="007B0231">
        <w:rPr>
          <w:rFonts w:ascii="Arial" w:hAnsi="Arial" w:cs="Arial"/>
          <w:sz w:val="24"/>
          <w:szCs w:val="24"/>
        </w:rPr>
        <w:t xml:space="preserve">, must be dealt with in terms of </w:t>
      </w:r>
      <w:r w:rsidR="00A545F5" w:rsidRPr="007B0231">
        <w:rPr>
          <w:rFonts w:ascii="Arial" w:hAnsi="Arial" w:cs="Arial"/>
          <w:sz w:val="24"/>
          <w:szCs w:val="24"/>
        </w:rPr>
        <w:t>the national or provincial legislation in question.</w:t>
      </w:r>
      <w:r w:rsidR="00AF428B" w:rsidRPr="007B0231">
        <w:rPr>
          <w:rFonts w:ascii="Arial" w:hAnsi="Arial" w:cs="Arial"/>
          <w:sz w:val="24"/>
          <w:szCs w:val="24"/>
        </w:rPr>
        <w:t xml:space="preserve"> Absent </w:t>
      </w:r>
      <w:r w:rsidR="00BC3351" w:rsidRPr="007B0231">
        <w:rPr>
          <w:rFonts w:ascii="Arial" w:hAnsi="Arial" w:cs="Arial"/>
          <w:sz w:val="24"/>
          <w:szCs w:val="24"/>
        </w:rPr>
        <w:t>any clear provision to the contrary in the new scheme, the presumption against statutory retrospectivity</w:t>
      </w:r>
      <w:r w:rsidR="002143CF" w:rsidRPr="007B0231">
        <w:rPr>
          <w:rFonts w:ascii="Arial" w:hAnsi="Arial" w:cs="Arial"/>
          <w:sz w:val="24"/>
          <w:szCs w:val="24"/>
        </w:rPr>
        <w:t xml:space="preserve"> </w:t>
      </w:r>
      <w:r w:rsidR="004E012B" w:rsidRPr="007B0231">
        <w:rPr>
          <w:rFonts w:ascii="Arial" w:hAnsi="Arial" w:cs="Arial"/>
          <w:sz w:val="24"/>
          <w:szCs w:val="24"/>
        </w:rPr>
        <w:t>applies</w:t>
      </w:r>
      <w:r w:rsidR="00FD7A90" w:rsidRPr="007B0231">
        <w:rPr>
          <w:rFonts w:ascii="Arial" w:hAnsi="Arial" w:cs="Arial"/>
          <w:sz w:val="24"/>
          <w:szCs w:val="24"/>
        </w:rPr>
        <w:t>.</w:t>
      </w:r>
      <w:r w:rsidR="00BC3351" w:rsidRPr="007B0231">
        <w:rPr>
          <w:rFonts w:ascii="Arial" w:hAnsi="Arial" w:cs="Arial"/>
          <w:sz w:val="24"/>
          <w:szCs w:val="24"/>
        </w:rPr>
        <w:t xml:space="preserve"> </w:t>
      </w:r>
      <w:r w:rsidR="0094423E" w:rsidRPr="007B0231">
        <w:rPr>
          <w:rFonts w:ascii="Arial" w:hAnsi="Arial" w:cs="Arial"/>
          <w:sz w:val="24"/>
          <w:szCs w:val="24"/>
        </w:rPr>
        <w:t xml:space="preserve"> </w:t>
      </w:r>
    </w:p>
    <w:p w14:paraId="0F47CC89" w14:textId="77777777" w:rsidR="0030569B" w:rsidRPr="0030569B" w:rsidRDefault="0030569B" w:rsidP="0030569B">
      <w:pPr>
        <w:pStyle w:val="ListParagraph"/>
        <w:rPr>
          <w:rFonts w:ascii="Arial" w:hAnsi="Arial" w:cs="Arial"/>
          <w:sz w:val="24"/>
          <w:szCs w:val="24"/>
        </w:rPr>
      </w:pPr>
    </w:p>
    <w:p w14:paraId="39458B7C" w14:textId="05C6BA41"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12D1D" w:rsidRPr="007B0231">
        <w:rPr>
          <w:rFonts w:ascii="Arial" w:hAnsi="Arial" w:cs="Arial"/>
          <w:sz w:val="24"/>
          <w:szCs w:val="24"/>
        </w:rPr>
        <w:t xml:space="preserve">Consequently, the </w:t>
      </w:r>
      <w:r w:rsidR="006D138E" w:rsidRPr="007B0231">
        <w:rPr>
          <w:rFonts w:ascii="Arial" w:hAnsi="Arial" w:cs="Arial"/>
          <w:sz w:val="24"/>
          <w:szCs w:val="24"/>
        </w:rPr>
        <w:t xml:space="preserve">fourth respondent’s application for a permanent departure must be construed </w:t>
      </w:r>
      <w:r w:rsidR="0083015A" w:rsidRPr="007B0231">
        <w:rPr>
          <w:rFonts w:ascii="Arial" w:hAnsi="Arial" w:cs="Arial"/>
          <w:sz w:val="24"/>
          <w:szCs w:val="24"/>
        </w:rPr>
        <w:t>in terms of the SPLUM By-law</w:t>
      </w:r>
      <w:r w:rsidR="00EA1A3C" w:rsidRPr="007B0231">
        <w:rPr>
          <w:rFonts w:ascii="Arial" w:hAnsi="Arial" w:cs="Arial"/>
          <w:sz w:val="24"/>
          <w:szCs w:val="24"/>
        </w:rPr>
        <w:t>.</w:t>
      </w:r>
      <w:r w:rsidR="009D67FC" w:rsidRPr="007B0231">
        <w:rPr>
          <w:rFonts w:ascii="Arial" w:hAnsi="Arial" w:cs="Arial"/>
          <w:sz w:val="24"/>
          <w:szCs w:val="24"/>
        </w:rPr>
        <w:t xml:space="preserve"> The relevant </w:t>
      </w:r>
      <w:r w:rsidR="002D675A" w:rsidRPr="007B0231">
        <w:rPr>
          <w:rFonts w:ascii="Arial" w:hAnsi="Arial" w:cs="Arial"/>
          <w:sz w:val="24"/>
          <w:szCs w:val="24"/>
        </w:rPr>
        <w:t xml:space="preserve">land use scheme </w:t>
      </w:r>
      <w:r w:rsidR="0083015A" w:rsidRPr="007B0231">
        <w:rPr>
          <w:rFonts w:ascii="Arial" w:hAnsi="Arial" w:cs="Arial"/>
          <w:sz w:val="24"/>
          <w:szCs w:val="24"/>
        </w:rPr>
        <w:t xml:space="preserve">provisions </w:t>
      </w:r>
      <w:r w:rsidR="009A139E" w:rsidRPr="007B0231">
        <w:rPr>
          <w:rFonts w:ascii="Arial" w:hAnsi="Arial" w:cs="Arial"/>
          <w:sz w:val="24"/>
          <w:szCs w:val="24"/>
        </w:rPr>
        <w:t xml:space="preserve">are those </w:t>
      </w:r>
      <w:r w:rsidR="0083015A" w:rsidRPr="007B0231">
        <w:rPr>
          <w:rFonts w:ascii="Arial" w:hAnsi="Arial" w:cs="Arial"/>
          <w:sz w:val="24"/>
          <w:szCs w:val="24"/>
        </w:rPr>
        <w:t xml:space="preserve">of the Kenton-on-Sea </w:t>
      </w:r>
      <w:r w:rsidR="003B431A" w:rsidRPr="007B0231">
        <w:rPr>
          <w:rFonts w:ascii="Arial" w:hAnsi="Arial" w:cs="Arial"/>
          <w:sz w:val="24"/>
          <w:szCs w:val="24"/>
        </w:rPr>
        <w:t>s</w:t>
      </w:r>
      <w:r w:rsidR="0083015A" w:rsidRPr="007B0231">
        <w:rPr>
          <w:rFonts w:ascii="Arial" w:hAnsi="Arial" w:cs="Arial"/>
          <w:sz w:val="24"/>
          <w:szCs w:val="24"/>
        </w:rPr>
        <w:t>cheme.</w:t>
      </w:r>
      <w:r w:rsidR="000949DA" w:rsidRPr="007B0231">
        <w:rPr>
          <w:rFonts w:ascii="Arial" w:hAnsi="Arial" w:cs="Arial"/>
          <w:sz w:val="24"/>
          <w:szCs w:val="24"/>
        </w:rPr>
        <w:t xml:space="preserve"> </w:t>
      </w:r>
      <w:r w:rsidR="00BF5FB4" w:rsidRPr="007B0231">
        <w:rPr>
          <w:rFonts w:ascii="Arial" w:hAnsi="Arial" w:cs="Arial"/>
          <w:sz w:val="24"/>
          <w:szCs w:val="24"/>
        </w:rPr>
        <w:t>The definition of a ‘departure’</w:t>
      </w:r>
      <w:r w:rsidR="00313CAD" w:rsidRPr="007B0231">
        <w:rPr>
          <w:rFonts w:ascii="Arial" w:hAnsi="Arial" w:cs="Arial"/>
          <w:sz w:val="24"/>
          <w:szCs w:val="24"/>
        </w:rPr>
        <w:t xml:space="preserve">, under section 1 of the SPLUM By-law, </w:t>
      </w:r>
      <w:r w:rsidR="00BF5FB4" w:rsidRPr="007B0231">
        <w:rPr>
          <w:rFonts w:ascii="Arial" w:hAnsi="Arial" w:cs="Arial"/>
          <w:sz w:val="24"/>
          <w:szCs w:val="24"/>
        </w:rPr>
        <w:t xml:space="preserve">is wide enough to include the </w:t>
      </w:r>
      <w:r w:rsidR="00E543C5" w:rsidRPr="007B0231">
        <w:rPr>
          <w:rFonts w:ascii="Arial" w:hAnsi="Arial" w:cs="Arial"/>
          <w:sz w:val="24"/>
          <w:szCs w:val="24"/>
        </w:rPr>
        <w:t>application in question</w:t>
      </w:r>
      <w:r w:rsidR="002E0556" w:rsidRPr="007B0231">
        <w:rPr>
          <w:rFonts w:ascii="Arial" w:hAnsi="Arial" w:cs="Arial"/>
          <w:sz w:val="24"/>
          <w:szCs w:val="24"/>
        </w:rPr>
        <w:t xml:space="preserve"> </w:t>
      </w:r>
      <w:r w:rsidR="004A2C95" w:rsidRPr="007B0231">
        <w:rPr>
          <w:rFonts w:ascii="Arial" w:hAnsi="Arial" w:cs="Arial"/>
          <w:sz w:val="24"/>
          <w:szCs w:val="24"/>
        </w:rPr>
        <w:t>because</w:t>
      </w:r>
      <w:r w:rsidR="002E0556" w:rsidRPr="007B0231">
        <w:rPr>
          <w:rFonts w:ascii="Arial" w:hAnsi="Arial" w:cs="Arial"/>
          <w:sz w:val="24"/>
          <w:szCs w:val="24"/>
        </w:rPr>
        <w:t xml:space="preserve"> t</w:t>
      </w:r>
      <w:r w:rsidR="004F4443" w:rsidRPr="007B0231">
        <w:rPr>
          <w:rFonts w:ascii="Arial" w:hAnsi="Arial" w:cs="Arial"/>
          <w:sz w:val="24"/>
          <w:szCs w:val="24"/>
        </w:rPr>
        <w:t xml:space="preserve">he </w:t>
      </w:r>
      <w:r w:rsidR="006B43A1" w:rsidRPr="007B0231">
        <w:rPr>
          <w:rFonts w:ascii="Arial" w:hAnsi="Arial" w:cs="Arial"/>
          <w:sz w:val="24"/>
          <w:szCs w:val="24"/>
        </w:rPr>
        <w:t xml:space="preserve">approval of the </w:t>
      </w:r>
      <w:r w:rsidR="004F4443" w:rsidRPr="007B0231">
        <w:rPr>
          <w:rFonts w:ascii="Arial" w:hAnsi="Arial" w:cs="Arial"/>
          <w:sz w:val="24"/>
          <w:szCs w:val="24"/>
        </w:rPr>
        <w:t xml:space="preserve">development of a guesthouse </w:t>
      </w:r>
      <w:r w:rsidR="00DB608E" w:rsidRPr="007B0231">
        <w:rPr>
          <w:rFonts w:ascii="Arial" w:hAnsi="Arial" w:cs="Arial"/>
          <w:sz w:val="24"/>
          <w:szCs w:val="24"/>
        </w:rPr>
        <w:t xml:space="preserve">would </w:t>
      </w:r>
      <w:r w:rsidR="006B43A1" w:rsidRPr="007B0231">
        <w:rPr>
          <w:rFonts w:ascii="Arial" w:hAnsi="Arial" w:cs="Arial"/>
          <w:sz w:val="24"/>
          <w:szCs w:val="24"/>
        </w:rPr>
        <w:t xml:space="preserve">result in a permanent amendment </w:t>
      </w:r>
      <w:r w:rsidR="00D356DE" w:rsidRPr="007B0231">
        <w:rPr>
          <w:rFonts w:ascii="Arial" w:hAnsi="Arial" w:cs="Arial"/>
          <w:sz w:val="24"/>
          <w:szCs w:val="24"/>
        </w:rPr>
        <w:t xml:space="preserve">of the </w:t>
      </w:r>
      <w:r w:rsidR="009375B5" w:rsidRPr="007B0231">
        <w:rPr>
          <w:rFonts w:ascii="Arial" w:hAnsi="Arial" w:cs="Arial"/>
          <w:sz w:val="24"/>
          <w:szCs w:val="24"/>
        </w:rPr>
        <w:t xml:space="preserve">land use scheme provisions that </w:t>
      </w:r>
      <w:r w:rsidR="00851736" w:rsidRPr="007B0231">
        <w:rPr>
          <w:rFonts w:ascii="Arial" w:hAnsi="Arial" w:cs="Arial"/>
          <w:sz w:val="24"/>
          <w:szCs w:val="24"/>
        </w:rPr>
        <w:t xml:space="preserve">previously </w:t>
      </w:r>
      <w:r w:rsidR="009375B5" w:rsidRPr="007B0231">
        <w:rPr>
          <w:rFonts w:ascii="Arial" w:hAnsi="Arial" w:cs="Arial"/>
          <w:sz w:val="24"/>
          <w:szCs w:val="24"/>
        </w:rPr>
        <w:t xml:space="preserve">limited </w:t>
      </w:r>
      <w:r w:rsidR="00BA3B11" w:rsidRPr="007B0231">
        <w:rPr>
          <w:rFonts w:ascii="Arial" w:hAnsi="Arial" w:cs="Arial"/>
          <w:sz w:val="24"/>
          <w:szCs w:val="24"/>
        </w:rPr>
        <w:t xml:space="preserve">the use of erf 1483 to </w:t>
      </w:r>
      <w:r w:rsidR="00101F5B" w:rsidRPr="007B0231">
        <w:rPr>
          <w:rFonts w:ascii="Arial" w:hAnsi="Arial" w:cs="Arial"/>
          <w:sz w:val="24"/>
          <w:szCs w:val="24"/>
        </w:rPr>
        <w:t>a dwelling house</w:t>
      </w:r>
      <w:r w:rsidR="00D15B38" w:rsidRPr="007B0231">
        <w:rPr>
          <w:rFonts w:ascii="Arial" w:hAnsi="Arial" w:cs="Arial"/>
          <w:sz w:val="24"/>
          <w:szCs w:val="24"/>
        </w:rPr>
        <w:t xml:space="preserve"> </w:t>
      </w:r>
      <w:r w:rsidR="00B613C3" w:rsidRPr="007B0231">
        <w:rPr>
          <w:rFonts w:ascii="Arial" w:hAnsi="Arial" w:cs="Arial"/>
          <w:sz w:val="24"/>
          <w:szCs w:val="24"/>
        </w:rPr>
        <w:t xml:space="preserve">in alignment with </w:t>
      </w:r>
      <w:r w:rsidR="00EA1A3C" w:rsidRPr="007B0231">
        <w:rPr>
          <w:rFonts w:ascii="Arial" w:hAnsi="Arial" w:cs="Arial"/>
          <w:sz w:val="24"/>
          <w:szCs w:val="24"/>
        </w:rPr>
        <w:t>its single residential zoning.</w:t>
      </w:r>
      <w:r w:rsidR="009375B5" w:rsidRPr="007B0231">
        <w:rPr>
          <w:rFonts w:ascii="Arial" w:hAnsi="Arial" w:cs="Arial"/>
          <w:sz w:val="24"/>
          <w:szCs w:val="24"/>
        </w:rPr>
        <w:t xml:space="preserve"> </w:t>
      </w:r>
      <w:r w:rsidR="00831107" w:rsidRPr="007B0231">
        <w:rPr>
          <w:rFonts w:ascii="Arial" w:hAnsi="Arial" w:cs="Arial"/>
          <w:sz w:val="24"/>
          <w:szCs w:val="24"/>
        </w:rPr>
        <w:t xml:space="preserve">The applicant’s contention that section 76 </w:t>
      </w:r>
      <w:r w:rsidR="004B7987" w:rsidRPr="007B0231">
        <w:rPr>
          <w:rFonts w:ascii="Arial" w:hAnsi="Arial" w:cs="Arial"/>
          <w:sz w:val="24"/>
          <w:szCs w:val="24"/>
        </w:rPr>
        <w:t xml:space="preserve">did not permit a departure application </w:t>
      </w:r>
      <w:r w:rsidR="00016027" w:rsidRPr="007B0231">
        <w:rPr>
          <w:rFonts w:ascii="Arial" w:hAnsi="Arial" w:cs="Arial"/>
          <w:sz w:val="24"/>
          <w:szCs w:val="24"/>
        </w:rPr>
        <w:t xml:space="preserve">because they pertain to building restrictions </w:t>
      </w:r>
      <w:r w:rsidR="00407A19" w:rsidRPr="007B0231">
        <w:rPr>
          <w:rFonts w:ascii="Arial" w:hAnsi="Arial" w:cs="Arial"/>
          <w:sz w:val="24"/>
          <w:szCs w:val="24"/>
        </w:rPr>
        <w:t>cannot be sup</w:t>
      </w:r>
      <w:r w:rsidR="004A2C95" w:rsidRPr="007B0231">
        <w:rPr>
          <w:rFonts w:ascii="Arial" w:hAnsi="Arial" w:cs="Arial"/>
          <w:sz w:val="24"/>
          <w:szCs w:val="24"/>
        </w:rPr>
        <w:t>p</w:t>
      </w:r>
      <w:r w:rsidR="00407A19" w:rsidRPr="007B0231">
        <w:rPr>
          <w:rFonts w:ascii="Arial" w:hAnsi="Arial" w:cs="Arial"/>
          <w:sz w:val="24"/>
          <w:szCs w:val="24"/>
        </w:rPr>
        <w:t>orted</w:t>
      </w:r>
      <w:r w:rsidR="004A2C95" w:rsidRPr="007B0231">
        <w:rPr>
          <w:rFonts w:ascii="Arial" w:hAnsi="Arial" w:cs="Arial"/>
          <w:sz w:val="24"/>
          <w:szCs w:val="24"/>
        </w:rPr>
        <w:t xml:space="preserve">. </w:t>
      </w:r>
      <w:r w:rsidR="00A94B93" w:rsidRPr="007B0231">
        <w:rPr>
          <w:rFonts w:ascii="Arial" w:hAnsi="Arial" w:cs="Arial"/>
          <w:sz w:val="24"/>
          <w:szCs w:val="24"/>
        </w:rPr>
        <w:t xml:space="preserve">The examples given under sub-sections </w:t>
      </w:r>
      <w:r w:rsidR="003D3DFF" w:rsidRPr="007B0231">
        <w:rPr>
          <w:rFonts w:ascii="Arial" w:hAnsi="Arial" w:cs="Arial"/>
          <w:sz w:val="24"/>
          <w:szCs w:val="24"/>
        </w:rPr>
        <w:t>(a) and (b) are merely illustrative</w:t>
      </w:r>
      <w:r w:rsidR="00A31150" w:rsidRPr="007B0231">
        <w:rPr>
          <w:rFonts w:ascii="Arial" w:hAnsi="Arial" w:cs="Arial"/>
          <w:sz w:val="24"/>
          <w:szCs w:val="24"/>
        </w:rPr>
        <w:t xml:space="preserve"> of the type of permanent departure application envisaged</w:t>
      </w:r>
      <w:r w:rsidR="00E036D3" w:rsidRPr="007B0231">
        <w:rPr>
          <w:rFonts w:ascii="Arial" w:hAnsi="Arial" w:cs="Arial"/>
          <w:sz w:val="24"/>
          <w:szCs w:val="24"/>
        </w:rPr>
        <w:t>. In any event, t</w:t>
      </w:r>
      <w:r w:rsidR="004B6FFE" w:rsidRPr="007B0231">
        <w:rPr>
          <w:rFonts w:ascii="Arial" w:hAnsi="Arial" w:cs="Arial"/>
          <w:sz w:val="24"/>
          <w:szCs w:val="24"/>
        </w:rPr>
        <w:t>he development of a</w:t>
      </w:r>
      <w:r w:rsidR="00883548" w:rsidRPr="007B0231">
        <w:rPr>
          <w:rFonts w:ascii="Arial" w:hAnsi="Arial" w:cs="Arial"/>
          <w:sz w:val="24"/>
          <w:szCs w:val="24"/>
        </w:rPr>
        <w:t>n eight-suite</w:t>
      </w:r>
      <w:r w:rsidR="004B6FFE" w:rsidRPr="007B0231">
        <w:rPr>
          <w:rFonts w:ascii="Arial" w:hAnsi="Arial" w:cs="Arial"/>
          <w:sz w:val="24"/>
          <w:szCs w:val="24"/>
        </w:rPr>
        <w:t xml:space="preserve"> guesthouse would appear to fit, comfortably</w:t>
      </w:r>
      <w:r w:rsidR="001A1A79" w:rsidRPr="007B0231">
        <w:rPr>
          <w:rFonts w:ascii="Arial" w:hAnsi="Arial" w:cs="Arial"/>
          <w:sz w:val="24"/>
          <w:szCs w:val="24"/>
        </w:rPr>
        <w:t>, within the ambit of</w:t>
      </w:r>
      <w:r w:rsidR="00537A4F" w:rsidRPr="007B0231">
        <w:rPr>
          <w:rFonts w:ascii="Arial" w:hAnsi="Arial" w:cs="Arial"/>
          <w:sz w:val="24"/>
          <w:szCs w:val="24"/>
        </w:rPr>
        <w:t xml:space="preserve"> a </w:t>
      </w:r>
      <w:r w:rsidR="001A1A79" w:rsidRPr="007B0231">
        <w:rPr>
          <w:rFonts w:ascii="Arial" w:hAnsi="Arial" w:cs="Arial"/>
          <w:sz w:val="24"/>
          <w:szCs w:val="24"/>
        </w:rPr>
        <w:t>‘departure</w:t>
      </w:r>
      <w:r w:rsidR="00E036D3" w:rsidRPr="007B0231">
        <w:rPr>
          <w:rFonts w:ascii="Arial" w:hAnsi="Arial" w:cs="Arial"/>
          <w:sz w:val="24"/>
          <w:szCs w:val="24"/>
        </w:rPr>
        <w:t xml:space="preserve"> from any other </w:t>
      </w:r>
      <w:r w:rsidR="00C54AB3" w:rsidRPr="007B0231">
        <w:rPr>
          <w:rFonts w:ascii="Arial" w:hAnsi="Arial" w:cs="Arial"/>
          <w:sz w:val="24"/>
          <w:szCs w:val="24"/>
        </w:rPr>
        <w:t xml:space="preserve">provisions of a land use scheme that will result in physical development or construction </w:t>
      </w:r>
      <w:r w:rsidR="00AE3885" w:rsidRPr="007B0231">
        <w:rPr>
          <w:rFonts w:ascii="Arial" w:hAnsi="Arial" w:cs="Arial"/>
          <w:sz w:val="24"/>
          <w:szCs w:val="24"/>
        </w:rPr>
        <w:t>of a permanent nature on land.’</w:t>
      </w:r>
      <w:r w:rsidR="00AA10B9">
        <w:rPr>
          <w:rStyle w:val="FootnoteReference"/>
          <w:rFonts w:ascii="Arial" w:hAnsi="Arial" w:cs="Arial"/>
          <w:sz w:val="24"/>
          <w:szCs w:val="24"/>
        </w:rPr>
        <w:footnoteReference w:id="63"/>
      </w:r>
      <w:r w:rsidR="001A1A79" w:rsidRPr="007B0231">
        <w:rPr>
          <w:rFonts w:ascii="Arial" w:hAnsi="Arial" w:cs="Arial"/>
          <w:sz w:val="24"/>
          <w:szCs w:val="24"/>
        </w:rPr>
        <w:t xml:space="preserve"> </w:t>
      </w:r>
      <w:r w:rsidR="00537A4F" w:rsidRPr="007B0231">
        <w:rPr>
          <w:rFonts w:ascii="Arial" w:hAnsi="Arial" w:cs="Arial"/>
          <w:sz w:val="24"/>
          <w:szCs w:val="24"/>
        </w:rPr>
        <w:t xml:space="preserve">The applicant’s </w:t>
      </w:r>
      <w:r w:rsidR="00522585" w:rsidRPr="007B0231">
        <w:rPr>
          <w:rFonts w:ascii="Arial" w:hAnsi="Arial" w:cs="Arial"/>
          <w:sz w:val="24"/>
          <w:szCs w:val="24"/>
        </w:rPr>
        <w:t xml:space="preserve">contention, too, that the fourth respondent ought to have applied for </w:t>
      </w:r>
      <w:r w:rsidR="00EC3306" w:rsidRPr="007B0231">
        <w:rPr>
          <w:rFonts w:ascii="Arial" w:hAnsi="Arial" w:cs="Arial"/>
          <w:sz w:val="24"/>
          <w:szCs w:val="24"/>
        </w:rPr>
        <w:t xml:space="preserve">a consent use, as </w:t>
      </w:r>
      <w:r w:rsidR="000E3308" w:rsidRPr="007B0231">
        <w:rPr>
          <w:rFonts w:ascii="Arial" w:hAnsi="Arial" w:cs="Arial"/>
          <w:sz w:val="24"/>
          <w:szCs w:val="24"/>
        </w:rPr>
        <w:t>defined,</w:t>
      </w:r>
      <w:r w:rsidR="00854E45" w:rsidRPr="007B0231">
        <w:rPr>
          <w:rFonts w:ascii="Arial" w:hAnsi="Arial" w:cs="Arial"/>
          <w:sz w:val="24"/>
          <w:szCs w:val="24"/>
        </w:rPr>
        <w:t xml:space="preserve"> and read with section 74, cannot be supported</w:t>
      </w:r>
      <w:r w:rsidR="006B7B11" w:rsidRPr="007B0231">
        <w:rPr>
          <w:rFonts w:ascii="Arial" w:hAnsi="Arial" w:cs="Arial"/>
          <w:sz w:val="24"/>
          <w:szCs w:val="24"/>
        </w:rPr>
        <w:t xml:space="preserve"> for the simple reason that </w:t>
      </w:r>
      <w:r w:rsidR="00236CE4" w:rsidRPr="007B0231">
        <w:rPr>
          <w:rFonts w:ascii="Arial" w:hAnsi="Arial" w:cs="Arial"/>
          <w:sz w:val="24"/>
          <w:szCs w:val="24"/>
        </w:rPr>
        <w:t xml:space="preserve">the land </w:t>
      </w:r>
      <w:r w:rsidR="00236CE4" w:rsidRPr="007B0231">
        <w:rPr>
          <w:rFonts w:ascii="Arial" w:hAnsi="Arial" w:cs="Arial"/>
          <w:sz w:val="24"/>
          <w:szCs w:val="24"/>
        </w:rPr>
        <w:lastRenderedPageBreak/>
        <w:t xml:space="preserve">use right for </w:t>
      </w:r>
      <w:r w:rsidR="00972E7B" w:rsidRPr="007B0231">
        <w:rPr>
          <w:rFonts w:ascii="Arial" w:hAnsi="Arial" w:cs="Arial"/>
          <w:sz w:val="24"/>
          <w:szCs w:val="24"/>
        </w:rPr>
        <w:t xml:space="preserve">a guesthouse could not be obtained </w:t>
      </w:r>
      <w:r w:rsidR="007D254A" w:rsidRPr="007B0231">
        <w:rPr>
          <w:rFonts w:ascii="Arial" w:hAnsi="Arial" w:cs="Arial"/>
          <w:sz w:val="24"/>
          <w:szCs w:val="24"/>
        </w:rPr>
        <w:t xml:space="preserve">by way of consent from the municipality and was not specified </w:t>
      </w:r>
      <w:r w:rsidR="001A25AF" w:rsidRPr="007B0231">
        <w:rPr>
          <w:rFonts w:ascii="Arial" w:hAnsi="Arial" w:cs="Arial"/>
          <w:sz w:val="24"/>
          <w:szCs w:val="24"/>
        </w:rPr>
        <w:t xml:space="preserve">as such in the Kenton-on-Sea </w:t>
      </w:r>
      <w:r w:rsidR="00D9512B" w:rsidRPr="007B0231">
        <w:rPr>
          <w:rFonts w:ascii="Arial" w:hAnsi="Arial" w:cs="Arial"/>
          <w:sz w:val="24"/>
          <w:szCs w:val="24"/>
        </w:rPr>
        <w:t>s</w:t>
      </w:r>
      <w:r w:rsidR="001A25AF" w:rsidRPr="007B0231">
        <w:rPr>
          <w:rFonts w:ascii="Arial" w:hAnsi="Arial" w:cs="Arial"/>
          <w:sz w:val="24"/>
          <w:szCs w:val="24"/>
        </w:rPr>
        <w:t>cheme.</w:t>
      </w:r>
      <w:r w:rsidR="00A73F90" w:rsidRPr="007B0231">
        <w:rPr>
          <w:rFonts w:ascii="Arial" w:hAnsi="Arial" w:cs="Arial"/>
          <w:sz w:val="24"/>
          <w:szCs w:val="24"/>
        </w:rPr>
        <w:t xml:space="preserve"> </w:t>
      </w:r>
    </w:p>
    <w:p w14:paraId="25B0BD6C" w14:textId="77777777" w:rsidR="0030569B" w:rsidRDefault="0030569B" w:rsidP="0030569B">
      <w:pPr>
        <w:pStyle w:val="ListParagraph"/>
        <w:spacing w:line="360" w:lineRule="auto"/>
        <w:ind w:left="0"/>
        <w:jc w:val="both"/>
        <w:rPr>
          <w:rFonts w:ascii="Arial" w:hAnsi="Arial" w:cs="Arial"/>
          <w:sz w:val="24"/>
          <w:szCs w:val="24"/>
        </w:rPr>
      </w:pPr>
    </w:p>
    <w:p w14:paraId="6D9176EB" w14:textId="3A2FF110" w:rsidR="00D07337"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[79]</w:t>
      </w:r>
      <w:r w:rsidRPr="0030569B">
        <w:rPr>
          <w:rFonts w:ascii="Arial" w:hAnsi="Arial" w:cs="Arial"/>
          <w:sz w:val="24"/>
          <w:szCs w:val="24"/>
        </w:rPr>
        <w:tab/>
      </w:r>
      <w:r w:rsidR="00D07337" w:rsidRPr="007B0231">
        <w:rPr>
          <w:rFonts w:ascii="Arial" w:hAnsi="Arial" w:cs="Arial"/>
          <w:sz w:val="24"/>
          <w:szCs w:val="24"/>
        </w:rPr>
        <w:t xml:space="preserve">The tribunal, moreover, was </w:t>
      </w:r>
      <w:r w:rsidR="008D0514" w:rsidRPr="007B0231">
        <w:rPr>
          <w:rFonts w:ascii="Arial" w:hAnsi="Arial" w:cs="Arial"/>
          <w:sz w:val="24"/>
          <w:szCs w:val="24"/>
        </w:rPr>
        <w:t xml:space="preserve">undoubtedly </w:t>
      </w:r>
      <w:r w:rsidR="00D07337" w:rsidRPr="007B0231">
        <w:rPr>
          <w:rFonts w:ascii="Arial" w:hAnsi="Arial" w:cs="Arial"/>
          <w:sz w:val="24"/>
          <w:szCs w:val="24"/>
        </w:rPr>
        <w:t xml:space="preserve">authorised to </w:t>
      </w:r>
      <w:r w:rsidR="00A20C6F" w:rsidRPr="007B0231">
        <w:rPr>
          <w:rFonts w:ascii="Arial" w:hAnsi="Arial" w:cs="Arial"/>
          <w:sz w:val="24"/>
          <w:szCs w:val="24"/>
        </w:rPr>
        <w:t xml:space="preserve">approve the application </w:t>
      </w:r>
      <w:r w:rsidR="009A7FBC" w:rsidRPr="007B0231">
        <w:rPr>
          <w:rFonts w:ascii="Arial" w:hAnsi="Arial" w:cs="Arial"/>
          <w:sz w:val="24"/>
          <w:szCs w:val="24"/>
        </w:rPr>
        <w:t xml:space="preserve">in terms of </w:t>
      </w:r>
      <w:r w:rsidR="00713AA3" w:rsidRPr="007B0231">
        <w:rPr>
          <w:rFonts w:ascii="Arial" w:hAnsi="Arial" w:cs="Arial"/>
          <w:sz w:val="24"/>
          <w:szCs w:val="24"/>
        </w:rPr>
        <w:t>section 108</w:t>
      </w:r>
      <w:r w:rsidR="008D6DE0" w:rsidRPr="007B0231">
        <w:rPr>
          <w:rFonts w:ascii="Arial" w:hAnsi="Arial" w:cs="Arial"/>
          <w:sz w:val="24"/>
          <w:szCs w:val="24"/>
        </w:rPr>
        <w:t>(a)</w:t>
      </w:r>
      <w:r w:rsidR="00713AA3" w:rsidRPr="007B0231">
        <w:rPr>
          <w:rFonts w:ascii="Arial" w:hAnsi="Arial" w:cs="Arial"/>
          <w:sz w:val="24"/>
          <w:szCs w:val="24"/>
        </w:rPr>
        <w:t xml:space="preserve"> of the SPLUM By-law.</w:t>
      </w:r>
      <w:r w:rsidR="00713AA3">
        <w:rPr>
          <w:rStyle w:val="FootnoteReference"/>
          <w:rFonts w:ascii="Arial" w:hAnsi="Arial" w:cs="Arial"/>
          <w:sz w:val="24"/>
          <w:szCs w:val="24"/>
        </w:rPr>
        <w:footnoteReference w:id="64"/>
      </w:r>
      <w:r w:rsidR="00A1470F" w:rsidRPr="007B0231">
        <w:rPr>
          <w:rFonts w:ascii="Arial" w:hAnsi="Arial" w:cs="Arial"/>
          <w:sz w:val="24"/>
          <w:szCs w:val="24"/>
        </w:rPr>
        <w:t xml:space="preserve"> It was also authorised</w:t>
      </w:r>
      <w:r w:rsidR="00521AC8" w:rsidRPr="007B0231">
        <w:rPr>
          <w:rFonts w:ascii="Arial" w:hAnsi="Arial" w:cs="Arial"/>
          <w:sz w:val="24"/>
          <w:szCs w:val="24"/>
        </w:rPr>
        <w:t>, under sub-section (b),</w:t>
      </w:r>
      <w:r w:rsidR="00036125" w:rsidRPr="007B0231">
        <w:rPr>
          <w:rFonts w:ascii="Arial" w:hAnsi="Arial" w:cs="Arial"/>
          <w:sz w:val="24"/>
          <w:szCs w:val="24"/>
        </w:rPr>
        <w:t xml:space="preserve"> to impose reasonable </w:t>
      </w:r>
      <w:r w:rsidR="008D6DE0" w:rsidRPr="007B0231">
        <w:rPr>
          <w:rFonts w:ascii="Arial" w:hAnsi="Arial" w:cs="Arial"/>
          <w:sz w:val="24"/>
          <w:szCs w:val="24"/>
        </w:rPr>
        <w:t>conditions in relation thereto</w:t>
      </w:r>
      <w:r w:rsidR="00521AC8" w:rsidRPr="007B0231">
        <w:rPr>
          <w:rFonts w:ascii="Arial" w:hAnsi="Arial" w:cs="Arial"/>
          <w:sz w:val="24"/>
          <w:szCs w:val="24"/>
        </w:rPr>
        <w:t>.</w:t>
      </w:r>
      <w:r w:rsidR="00310C39">
        <w:rPr>
          <w:rStyle w:val="FootnoteReference"/>
          <w:rFonts w:ascii="Arial" w:hAnsi="Arial" w:cs="Arial"/>
          <w:sz w:val="24"/>
          <w:szCs w:val="24"/>
        </w:rPr>
        <w:footnoteReference w:id="65"/>
      </w:r>
      <w:r w:rsidR="00A9385E" w:rsidRPr="007B0231">
        <w:rPr>
          <w:rFonts w:ascii="Arial" w:hAnsi="Arial" w:cs="Arial"/>
          <w:sz w:val="24"/>
          <w:szCs w:val="24"/>
        </w:rPr>
        <w:t xml:space="preserve"> That the tribunal </w:t>
      </w:r>
      <w:r w:rsidR="009D187A" w:rsidRPr="007B0231">
        <w:rPr>
          <w:rFonts w:ascii="Arial" w:hAnsi="Arial" w:cs="Arial"/>
          <w:sz w:val="24"/>
          <w:szCs w:val="24"/>
        </w:rPr>
        <w:t xml:space="preserve">did in fact </w:t>
      </w:r>
      <w:r w:rsidR="00A9385E" w:rsidRPr="007B0231">
        <w:rPr>
          <w:rFonts w:ascii="Arial" w:hAnsi="Arial" w:cs="Arial"/>
          <w:sz w:val="24"/>
          <w:szCs w:val="24"/>
        </w:rPr>
        <w:t xml:space="preserve">do so on that basis is evident from </w:t>
      </w:r>
      <w:r w:rsidR="004C6D37" w:rsidRPr="007B0231">
        <w:rPr>
          <w:rFonts w:ascii="Arial" w:hAnsi="Arial" w:cs="Arial"/>
          <w:sz w:val="24"/>
          <w:szCs w:val="24"/>
        </w:rPr>
        <w:t>its decision.</w:t>
      </w:r>
    </w:p>
    <w:p w14:paraId="659EDE30" w14:textId="77777777" w:rsidR="00265F5F" w:rsidRDefault="00265F5F" w:rsidP="00FB7F15">
      <w:pPr>
        <w:spacing w:line="360" w:lineRule="auto"/>
        <w:rPr>
          <w:rFonts w:ascii="Arial" w:hAnsi="Arial" w:cs="Arial"/>
          <w:sz w:val="24"/>
          <w:szCs w:val="24"/>
        </w:rPr>
      </w:pPr>
    </w:p>
    <w:p w14:paraId="23CE5DFF" w14:textId="3422905D" w:rsidR="00265F5F" w:rsidRPr="00265F5F" w:rsidRDefault="00265F5F" w:rsidP="0030569B">
      <w:pPr>
        <w:spacing w:line="360" w:lineRule="auto"/>
        <w:jc w:val="both"/>
        <w:rPr>
          <w:rFonts w:ascii="Arial" w:hAnsi="Arial" w:cs="Arial"/>
          <w:i/>
          <w:iCs/>
          <w:sz w:val="24"/>
          <w:szCs w:val="24"/>
        </w:rPr>
      </w:pPr>
      <w:r w:rsidRPr="00265F5F">
        <w:rPr>
          <w:rFonts w:ascii="Arial" w:hAnsi="Arial" w:cs="Arial"/>
          <w:i/>
          <w:iCs/>
          <w:sz w:val="24"/>
          <w:szCs w:val="24"/>
        </w:rPr>
        <w:t>The restrictive conditions</w:t>
      </w:r>
    </w:p>
    <w:p w14:paraId="2F8E881B" w14:textId="233FD3DC" w:rsidR="003811C7"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[80]</w:t>
      </w:r>
      <w:r w:rsidRPr="0030569B">
        <w:rPr>
          <w:rFonts w:ascii="Arial" w:hAnsi="Arial" w:cs="Arial"/>
          <w:sz w:val="24"/>
          <w:szCs w:val="24"/>
        </w:rPr>
        <w:tab/>
      </w:r>
      <w:r w:rsidR="003734C4" w:rsidRPr="007B0231">
        <w:rPr>
          <w:rFonts w:ascii="Arial" w:hAnsi="Arial" w:cs="Arial"/>
          <w:sz w:val="24"/>
          <w:szCs w:val="24"/>
        </w:rPr>
        <w:t>T</w:t>
      </w:r>
      <w:r w:rsidR="003811C7" w:rsidRPr="007B0231">
        <w:rPr>
          <w:rFonts w:ascii="Arial" w:hAnsi="Arial" w:cs="Arial"/>
          <w:sz w:val="24"/>
          <w:szCs w:val="24"/>
        </w:rPr>
        <w:t xml:space="preserve">he applicant’s </w:t>
      </w:r>
      <w:r w:rsidR="003734C4" w:rsidRPr="007B0231">
        <w:rPr>
          <w:rFonts w:ascii="Arial" w:hAnsi="Arial" w:cs="Arial"/>
          <w:sz w:val="24"/>
          <w:szCs w:val="24"/>
        </w:rPr>
        <w:t xml:space="preserve">chief </w:t>
      </w:r>
      <w:r w:rsidR="00794AEE" w:rsidRPr="007B0231">
        <w:rPr>
          <w:rFonts w:ascii="Arial" w:hAnsi="Arial" w:cs="Arial"/>
          <w:sz w:val="24"/>
          <w:szCs w:val="24"/>
        </w:rPr>
        <w:t>contention</w:t>
      </w:r>
      <w:r w:rsidR="00265F5F" w:rsidRPr="007B0231">
        <w:rPr>
          <w:rFonts w:ascii="Arial" w:hAnsi="Arial" w:cs="Arial"/>
          <w:sz w:val="24"/>
          <w:szCs w:val="24"/>
        </w:rPr>
        <w:t xml:space="preserve"> </w:t>
      </w:r>
      <w:r w:rsidR="00794AEE" w:rsidRPr="007B0231">
        <w:rPr>
          <w:rFonts w:ascii="Arial" w:hAnsi="Arial" w:cs="Arial"/>
          <w:sz w:val="24"/>
          <w:szCs w:val="24"/>
        </w:rPr>
        <w:t>is that the rest</w:t>
      </w:r>
      <w:r w:rsidR="000820DE" w:rsidRPr="007B0231">
        <w:rPr>
          <w:rFonts w:ascii="Arial" w:hAnsi="Arial" w:cs="Arial"/>
          <w:sz w:val="24"/>
          <w:szCs w:val="24"/>
        </w:rPr>
        <w:t xml:space="preserve">rictive conditions attached to the title deed prevented the approval of the </w:t>
      </w:r>
      <w:r w:rsidR="00CD25D7" w:rsidRPr="007B0231">
        <w:rPr>
          <w:rFonts w:ascii="Arial" w:hAnsi="Arial" w:cs="Arial"/>
          <w:sz w:val="24"/>
          <w:szCs w:val="24"/>
        </w:rPr>
        <w:t>departure application.</w:t>
      </w:r>
      <w:r w:rsidR="0075576C" w:rsidRPr="007B0231">
        <w:rPr>
          <w:rFonts w:ascii="Arial" w:hAnsi="Arial" w:cs="Arial"/>
          <w:sz w:val="24"/>
          <w:szCs w:val="24"/>
        </w:rPr>
        <w:t xml:space="preserve"> </w:t>
      </w:r>
      <w:r w:rsidR="00494C19" w:rsidRPr="007B0231">
        <w:rPr>
          <w:rFonts w:ascii="Arial" w:hAnsi="Arial" w:cs="Arial"/>
          <w:sz w:val="24"/>
          <w:szCs w:val="24"/>
        </w:rPr>
        <w:t xml:space="preserve">She refers to the decision in </w:t>
      </w:r>
      <w:r w:rsidR="007E1B71" w:rsidRPr="007B0231">
        <w:rPr>
          <w:rFonts w:ascii="Arial" w:hAnsi="Arial" w:cs="Arial"/>
          <w:i/>
          <w:iCs/>
          <w:sz w:val="24"/>
          <w:szCs w:val="24"/>
        </w:rPr>
        <w:t xml:space="preserve">Malan and </w:t>
      </w:r>
      <w:r w:rsidR="0024142C" w:rsidRPr="007B0231">
        <w:rPr>
          <w:rFonts w:ascii="Arial" w:hAnsi="Arial" w:cs="Arial"/>
          <w:i/>
          <w:iCs/>
          <w:sz w:val="24"/>
          <w:szCs w:val="24"/>
        </w:rPr>
        <w:t>another v Ardconnel</w:t>
      </w:r>
      <w:r w:rsidR="007700E8" w:rsidRPr="007B0231">
        <w:rPr>
          <w:rFonts w:ascii="Arial" w:hAnsi="Arial" w:cs="Arial"/>
          <w:i/>
          <w:iCs/>
          <w:sz w:val="24"/>
          <w:szCs w:val="24"/>
        </w:rPr>
        <w:t xml:space="preserve"> Investments (Pty) Ltd</w:t>
      </w:r>
      <w:r w:rsidR="0024142C" w:rsidRPr="007B0231">
        <w:rPr>
          <w:rFonts w:ascii="Arial" w:hAnsi="Arial" w:cs="Arial"/>
          <w:sz w:val="24"/>
          <w:szCs w:val="24"/>
        </w:rPr>
        <w:t>,</w:t>
      </w:r>
      <w:r w:rsidR="0024142C">
        <w:rPr>
          <w:rStyle w:val="FootnoteReference"/>
          <w:rFonts w:ascii="Arial" w:hAnsi="Arial" w:cs="Arial"/>
          <w:sz w:val="24"/>
          <w:szCs w:val="24"/>
        </w:rPr>
        <w:footnoteReference w:id="66"/>
      </w:r>
      <w:r w:rsidR="0024142C" w:rsidRPr="007B0231">
        <w:rPr>
          <w:rFonts w:ascii="Arial" w:hAnsi="Arial" w:cs="Arial"/>
          <w:sz w:val="24"/>
          <w:szCs w:val="24"/>
        </w:rPr>
        <w:t xml:space="preserve"> where </w:t>
      </w:r>
      <w:r w:rsidR="005E5FC8" w:rsidRPr="007B0231">
        <w:rPr>
          <w:rFonts w:ascii="Arial" w:hAnsi="Arial" w:cs="Arial"/>
          <w:sz w:val="24"/>
          <w:szCs w:val="24"/>
        </w:rPr>
        <w:t>Joubert JA</w:t>
      </w:r>
      <w:r w:rsidR="00D5032F" w:rsidRPr="007B0231">
        <w:rPr>
          <w:rFonts w:ascii="Arial" w:hAnsi="Arial" w:cs="Arial"/>
          <w:sz w:val="24"/>
          <w:szCs w:val="24"/>
        </w:rPr>
        <w:t xml:space="preserve"> held that </w:t>
      </w:r>
      <w:r w:rsidR="00E33620" w:rsidRPr="007B0231">
        <w:rPr>
          <w:rFonts w:ascii="Arial" w:hAnsi="Arial" w:cs="Arial"/>
          <w:sz w:val="24"/>
          <w:szCs w:val="24"/>
        </w:rPr>
        <w:t xml:space="preserve">a </w:t>
      </w:r>
      <w:r w:rsidR="007F3687" w:rsidRPr="007B0231">
        <w:rPr>
          <w:rFonts w:ascii="Arial" w:hAnsi="Arial" w:cs="Arial"/>
          <w:sz w:val="24"/>
          <w:szCs w:val="24"/>
        </w:rPr>
        <w:t>town planning scheme does not overrule registered restrictive conditions in title deeds</w:t>
      </w:r>
      <w:r w:rsidR="001707D1" w:rsidRPr="007B0231">
        <w:rPr>
          <w:rFonts w:ascii="Arial" w:hAnsi="Arial" w:cs="Arial"/>
          <w:sz w:val="24"/>
          <w:szCs w:val="24"/>
        </w:rPr>
        <w:t>.</w:t>
      </w:r>
      <w:r w:rsidR="001707D1">
        <w:rPr>
          <w:rStyle w:val="FootnoteReference"/>
          <w:rFonts w:ascii="Arial" w:hAnsi="Arial" w:cs="Arial"/>
          <w:sz w:val="24"/>
          <w:szCs w:val="24"/>
        </w:rPr>
        <w:footnoteReference w:id="67"/>
      </w:r>
      <w:r w:rsidR="00AB4192" w:rsidRPr="007B0231">
        <w:rPr>
          <w:rFonts w:ascii="Arial" w:hAnsi="Arial" w:cs="Arial"/>
          <w:sz w:val="24"/>
          <w:szCs w:val="24"/>
        </w:rPr>
        <w:t xml:space="preserve"> </w:t>
      </w:r>
      <w:r w:rsidR="003A60AA" w:rsidRPr="007B0231">
        <w:rPr>
          <w:rFonts w:ascii="Arial" w:hAnsi="Arial" w:cs="Arial"/>
          <w:sz w:val="24"/>
          <w:szCs w:val="24"/>
        </w:rPr>
        <w:t xml:space="preserve">Similarly, in </w:t>
      </w:r>
      <w:r w:rsidR="004B02FB" w:rsidRPr="007B0231">
        <w:rPr>
          <w:rFonts w:ascii="Arial" w:hAnsi="Arial" w:cs="Arial"/>
          <w:i/>
          <w:iCs/>
          <w:sz w:val="24"/>
          <w:szCs w:val="24"/>
        </w:rPr>
        <w:t>Camps Bay Ratepayers and Residents Association</w:t>
      </w:r>
      <w:r w:rsidR="00241D2C" w:rsidRPr="007B0231">
        <w:rPr>
          <w:rFonts w:ascii="Arial" w:hAnsi="Arial" w:cs="Arial"/>
          <w:i/>
          <w:iCs/>
          <w:sz w:val="24"/>
          <w:szCs w:val="24"/>
        </w:rPr>
        <w:t xml:space="preserve"> and others v Minister of Planning, Culture and Administration, Western Cape, and others</w:t>
      </w:r>
      <w:r w:rsidR="00241D2C" w:rsidRPr="007B0231">
        <w:rPr>
          <w:rFonts w:ascii="Arial" w:hAnsi="Arial" w:cs="Arial"/>
          <w:sz w:val="24"/>
          <w:szCs w:val="24"/>
        </w:rPr>
        <w:t>,</w:t>
      </w:r>
      <w:r w:rsidR="00241D2C">
        <w:rPr>
          <w:rStyle w:val="FootnoteReference"/>
          <w:rFonts w:ascii="Arial" w:hAnsi="Arial" w:cs="Arial"/>
          <w:sz w:val="24"/>
          <w:szCs w:val="24"/>
        </w:rPr>
        <w:footnoteReference w:id="68"/>
      </w:r>
      <w:r w:rsidR="00042109" w:rsidRPr="007B0231">
        <w:rPr>
          <w:rFonts w:ascii="Arial" w:hAnsi="Arial" w:cs="Arial"/>
          <w:sz w:val="24"/>
          <w:szCs w:val="24"/>
        </w:rPr>
        <w:t xml:space="preserve"> Griesel J </w:t>
      </w:r>
      <w:r w:rsidR="002A607A" w:rsidRPr="007B0231">
        <w:rPr>
          <w:rFonts w:ascii="Arial" w:hAnsi="Arial" w:cs="Arial"/>
          <w:sz w:val="24"/>
          <w:szCs w:val="24"/>
        </w:rPr>
        <w:t xml:space="preserve">referred to </w:t>
      </w:r>
      <w:r w:rsidR="009D2C85" w:rsidRPr="007B0231">
        <w:rPr>
          <w:rFonts w:ascii="Arial" w:hAnsi="Arial" w:cs="Arial"/>
          <w:i/>
          <w:iCs/>
          <w:sz w:val="24"/>
          <w:szCs w:val="24"/>
        </w:rPr>
        <w:t>Malan</w:t>
      </w:r>
      <w:r w:rsidR="009D2C85" w:rsidRPr="007B0231">
        <w:rPr>
          <w:rFonts w:ascii="Arial" w:hAnsi="Arial" w:cs="Arial"/>
          <w:sz w:val="24"/>
          <w:szCs w:val="24"/>
        </w:rPr>
        <w:t xml:space="preserve"> </w:t>
      </w:r>
      <w:r w:rsidR="00045563" w:rsidRPr="007B0231">
        <w:rPr>
          <w:rFonts w:ascii="Arial" w:hAnsi="Arial" w:cs="Arial"/>
          <w:sz w:val="24"/>
          <w:szCs w:val="24"/>
        </w:rPr>
        <w:t xml:space="preserve">and </w:t>
      </w:r>
      <w:r w:rsidR="009D2C85" w:rsidRPr="007B0231">
        <w:rPr>
          <w:rFonts w:ascii="Arial" w:hAnsi="Arial" w:cs="Arial"/>
          <w:sz w:val="24"/>
          <w:szCs w:val="24"/>
        </w:rPr>
        <w:t>remarked that</w:t>
      </w:r>
      <w:r w:rsidR="00045563" w:rsidRPr="007B0231">
        <w:rPr>
          <w:rFonts w:ascii="Arial" w:hAnsi="Arial" w:cs="Arial"/>
          <w:sz w:val="24"/>
          <w:szCs w:val="24"/>
        </w:rPr>
        <w:t>:</w:t>
      </w:r>
    </w:p>
    <w:p w14:paraId="03AD73E7" w14:textId="74E6062E" w:rsidR="00045563" w:rsidRPr="00033870" w:rsidRDefault="00045563" w:rsidP="0030569B">
      <w:pPr>
        <w:spacing w:line="360" w:lineRule="auto"/>
        <w:ind w:left="720"/>
        <w:jc w:val="both"/>
        <w:rPr>
          <w:rFonts w:ascii="Arial" w:hAnsi="Arial" w:cs="Arial"/>
        </w:rPr>
      </w:pPr>
      <w:r w:rsidRPr="00033870">
        <w:rPr>
          <w:rFonts w:ascii="Arial" w:hAnsi="Arial" w:cs="Arial"/>
        </w:rPr>
        <w:t>‘</w:t>
      </w:r>
      <w:r w:rsidR="00597574" w:rsidRPr="00033870">
        <w:rPr>
          <w:rFonts w:ascii="Arial" w:hAnsi="Arial" w:cs="Arial"/>
        </w:rPr>
        <w:t xml:space="preserve">The zoning scheme does not override title deed restrictions… and indeed </w:t>
      </w:r>
      <w:r w:rsidR="00DA17E4" w:rsidRPr="00033870">
        <w:rPr>
          <w:rFonts w:ascii="Arial" w:hAnsi="Arial" w:cs="Arial"/>
        </w:rPr>
        <w:t>the zoning scheme expressly confirms this point. If it were in the public interest</w:t>
      </w:r>
      <w:r w:rsidR="004F7133" w:rsidRPr="00033870">
        <w:rPr>
          <w:rFonts w:ascii="Arial" w:hAnsi="Arial" w:cs="Arial"/>
        </w:rPr>
        <w:t xml:space="preserve"> for all properties for all properties to be subject only </w:t>
      </w:r>
      <w:r w:rsidR="003B0A83" w:rsidRPr="00033870">
        <w:rPr>
          <w:rFonts w:ascii="Arial" w:hAnsi="Arial" w:cs="Arial"/>
        </w:rPr>
        <w:t xml:space="preserve">to zoning restrictions, the Legislature would simply have abolished all restrictive title deed conditions </w:t>
      </w:r>
      <w:r w:rsidR="004D57F9" w:rsidRPr="00033870">
        <w:rPr>
          <w:rFonts w:ascii="Arial" w:hAnsi="Arial" w:cs="Arial"/>
        </w:rPr>
        <w:t xml:space="preserve">by statute. Instead, it has laid down a procedure whereby such </w:t>
      </w:r>
      <w:r w:rsidR="00B176A5" w:rsidRPr="00033870">
        <w:rPr>
          <w:rFonts w:ascii="Arial" w:hAnsi="Arial" w:cs="Arial"/>
        </w:rPr>
        <w:t>title deed restrictions can be removed only if to do so would specifically</w:t>
      </w:r>
      <w:r w:rsidR="0008381C" w:rsidRPr="00033870">
        <w:rPr>
          <w:rFonts w:ascii="Arial" w:hAnsi="Arial" w:cs="Arial"/>
        </w:rPr>
        <w:t xml:space="preserve"> be in the interest of the township, </w:t>
      </w:r>
      <w:r w:rsidR="008569F3" w:rsidRPr="00033870">
        <w:rPr>
          <w:rFonts w:ascii="Arial" w:hAnsi="Arial" w:cs="Arial"/>
        </w:rPr>
        <w:t>area or public.’</w:t>
      </w:r>
      <w:r w:rsidR="008569F3" w:rsidRPr="00033870">
        <w:rPr>
          <w:rStyle w:val="FootnoteReference"/>
          <w:rFonts w:ascii="Arial" w:hAnsi="Arial" w:cs="Arial"/>
        </w:rPr>
        <w:footnoteReference w:id="69"/>
      </w:r>
    </w:p>
    <w:p w14:paraId="6AB85E11" w14:textId="77777777" w:rsidR="00033870" w:rsidRDefault="00033870" w:rsidP="00033870">
      <w:pPr>
        <w:spacing w:line="360" w:lineRule="auto"/>
        <w:rPr>
          <w:rFonts w:ascii="Arial" w:hAnsi="Arial" w:cs="Arial"/>
          <w:sz w:val="24"/>
          <w:szCs w:val="24"/>
        </w:rPr>
      </w:pPr>
    </w:p>
    <w:p w14:paraId="46F09916" w14:textId="4949546E" w:rsidR="00033870"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[81]</w:t>
      </w:r>
      <w:r w:rsidRPr="0030569B">
        <w:rPr>
          <w:rFonts w:ascii="Arial" w:hAnsi="Arial" w:cs="Arial"/>
          <w:sz w:val="24"/>
          <w:szCs w:val="24"/>
        </w:rPr>
        <w:tab/>
      </w:r>
      <w:r w:rsidR="00033870" w:rsidRPr="007B0231">
        <w:rPr>
          <w:rFonts w:ascii="Arial" w:hAnsi="Arial" w:cs="Arial"/>
          <w:sz w:val="24"/>
          <w:szCs w:val="24"/>
        </w:rPr>
        <w:t xml:space="preserve">The applicant went on to </w:t>
      </w:r>
      <w:r w:rsidR="00F23B8D" w:rsidRPr="007B0231">
        <w:rPr>
          <w:rFonts w:ascii="Arial" w:hAnsi="Arial" w:cs="Arial"/>
          <w:sz w:val="24"/>
          <w:szCs w:val="24"/>
        </w:rPr>
        <w:t xml:space="preserve">point out that the </w:t>
      </w:r>
      <w:r w:rsidR="00D532EE" w:rsidRPr="007B0231">
        <w:rPr>
          <w:rFonts w:ascii="Arial" w:hAnsi="Arial" w:cs="Arial"/>
          <w:sz w:val="24"/>
          <w:szCs w:val="24"/>
        </w:rPr>
        <w:t xml:space="preserve">above principles were reflected in </w:t>
      </w:r>
      <w:r w:rsidR="008B185C" w:rsidRPr="007B0231">
        <w:rPr>
          <w:rFonts w:ascii="Arial" w:hAnsi="Arial" w:cs="Arial"/>
          <w:sz w:val="24"/>
          <w:szCs w:val="24"/>
        </w:rPr>
        <w:t>section 56 of the new scheme</w:t>
      </w:r>
      <w:r w:rsidR="00924C55" w:rsidRPr="007B0231">
        <w:rPr>
          <w:rFonts w:ascii="Arial" w:hAnsi="Arial" w:cs="Arial"/>
          <w:sz w:val="24"/>
          <w:szCs w:val="24"/>
        </w:rPr>
        <w:t xml:space="preserve">. This </w:t>
      </w:r>
      <w:r w:rsidR="00806E17" w:rsidRPr="007B0231">
        <w:rPr>
          <w:rFonts w:ascii="Arial" w:hAnsi="Arial" w:cs="Arial"/>
          <w:sz w:val="24"/>
          <w:szCs w:val="24"/>
        </w:rPr>
        <w:t>provides as follows:</w:t>
      </w:r>
    </w:p>
    <w:p w14:paraId="15D5D5A2" w14:textId="0D717B8D" w:rsidR="00806E17" w:rsidRPr="00F118FB" w:rsidRDefault="00806E17" w:rsidP="0030569B">
      <w:pPr>
        <w:spacing w:line="360" w:lineRule="auto"/>
        <w:jc w:val="both"/>
        <w:rPr>
          <w:rFonts w:ascii="Arial" w:hAnsi="Arial" w:cs="Arial"/>
        </w:rPr>
      </w:pPr>
      <w:r w:rsidRPr="00F118FB">
        <w:rPr>
          <w:rFonts w:ascii="Arial" w:hAnsi="Arial" w:cs="Arial"/>
        </w:rPr>
        <w:tab/>
      </w:r>
      <w:r w:rsidR="00130A73" w:rsidRPr="00F118FB">
        <w:rPr>
          <w:rFonts w:ascii="Arial" w:hAnsi="Arial" w:cs="Arial"/>
        </w:rPr>
        <w:t>‘</w:t>
      </w:r>
      <w:r w:rsidRPr="00F118FB">
        <w:rPr>
          <w:rFonts w:ascii="Arial" w:hAnsi="Arial" w:cs="Arial"/>
          <w:b/>
          <w:bCs/>
        </w:rPr>
        <w:t>56.</w:t>
      </w:r>
      <w:r w:rsidRPr="00F118FB">
        <w:rPr>
          <w:rFonts w:ascii="Arial" w:hAnsi="Arial" w:cs="Arial"/>
          <w:b/>
          <w:bCs/>
        </w:rPr>
        <w:tab/>
        <w:t>Title Conditions</w:t>
      </w:r>
    </w:p>
    <w:p w14:paraId="7E57D4CC" w14:textId="559D8DE3" w:rsidR="00806E17" w:rsidRPr="00F118FB" w:rsidRDefault="00806E17" w:rsidP="0030569B">
      <w:pPr>
        <w:spacing w:line="360" w:lineRule="auto"/>
        <w:ind w:left="1440"/>
        <w:jc w:val="both"/>
        <w:rPr>
          <w:rFonts w:ascii="Arial" w:hAnsi="Arial" w:cs="Arial"/>
        </w:rPr>
      </w:pPr>
      <w:r w:rsidRPr="00F118FB">
        <w:rPr>
          <w:rFonts w:ascii="Arial" w:hAnsi="Arial" w:cs="Arial"/>
        </w:rPr>
        <w:t xml:space="preserve">Nothing in </w:t>
      </w:r>
      <w:r w:rsidR="00780420" w:rsidRPr="00F118FB">
        <w:rPr>
          <w:rFonts w:ascii="Arial" w:hAnsi="Arial" w:cs="Arial"/>
        </w:rPr>
        <w:t>the provisions of this Scheme shall be construed as permitting or enabling the Municipality to permit</w:t>
      </w:r>
      <w:r w:rsidR="00FB68E1" w:rsidRPr="00F118FB">
        <w:rPr>
          <w:rFonts w:ascii="Arial" w:hAnsi="Arial" w:cs="Arial"/>
        </w:rPr>
        <w:t>,</w:t>
      </w:r>
      <w:r w:rsidR="00780420" w:rsidRPr="00F118FB">
        <w:rPr>
          <w:rFonts w:ascii="Arial" w:hAnsi="Arial" w:cs="Arial"/>
        </w:rPr>
        <w:t xml:space="preserve"> in any area</w:t>
      </w:r>
      <w:r w:rsidR="00FB68E1" w:rsidRPr="00F118FB">
        <w:rPr>
          <w:rFonts w:ascii="Arial" w:hAnsi="Arial" w:cs="Arial"/>
        </w:rPr>
        <w:t>, the erection or use of any building or the use of any land</w:t>
      </w:r>
      <w:r w:rsidR="000C6EB9" w:rsidRPr="00F118FB">
        <w:rPr>
          <w:rFonts w:ascii="Arial" w:hAnsi="Arial" w:cs="Arial"/>
        </w:rPr>
        <w:t>, for the purpose which is prohibited under any approved conditions of title</w:t>
      </w:r>
      <w:r w:rsidR="004E6950" w:rsidRPr="00F118FB">
        <w:rPr>
          <w:rFonts w:ascii="Arial" w:hAnsi="Arial" w:cs="Arial"/>
        </w:rPr>
        <w:t xml:space="preserve"> applying to such area or the conditions of title under which any land may be held.’</w:t>
      </w:r>
    </w:p>
    <w:p w14:paraId="79ADF719" w14:textId="77777777" w:rsidR="006833F7" w:rsidRDefault="006833F7" w:rsidP="006833F7">
      <w:pPr>
        <w:spacing w:line="360" w:lineRule="auto"/>
        <w:rPr>
          <w:rFonts w:ascii="Arial" w:hAnsi="Arial" w:cs="Arial"/>
          <w:sz w:val="24"/>
          <w:szCs w:val="24"/>
        </w:rPr>
      </w:pPr>
    </w:p>
    <w:p w14:paraId="282E738B" w14:textId="2C7579B8"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677902" w:rsidRPr="007B0231">
        <w:rPr>
          <w:rFonts w:ascii="Arial" w:hAnsi="Arial" w:cs="Arial"/>
          <w:sz w:val="24"/>
          <w:szCs w:val="24"/>
        </w:rPr>
        <w:t xml:space="preserve">Consequently, argued the applicant, the approval of the fourth respondent’s application </w:t>
      </w:r>
      <w:r w:rsidR="008B3942" w:rsidRPr="007B0231">
        <w:rPr>
          <w:rFonts w:ascii="Arial" w:hAnsi="Arial" w:cs="Arial"/>
          <w:sz w:val="24"/>
          <w:szCs w:val="24"/>
        </w:rPr>
        <w:t>conflicted with</w:t>
      </w:r>
      <w:r w:rsidR="007C2092" w:rsidRPr="007B0231">
        <w:rPr>
          <w:rFonts w:ascii="Arial" w:hAnsi="Arial" w:cs="Arial"/>
          <w:sz w:val="24"/>
          <w:szCs w:val="24"/>
        </w:rPr>
        <w:t xml:space="preserve"> </w:t>
      </w:r>
      <w:r w:rsidR="0080469A" w:rsidRPr="007B0231">
        <w:rPr>
          <w:rFonts w:ascii="Arial" w:hAnsi="Arial" w:cs="Arial"/>
          <w:sz w:val="24"/>
          <w:szCs w:val="24"/>
        </w:rPr>
        <w:t xml:space="preserve">both </w:t>
      </w:r>
      <w:r w:rsidR="007C2092" w:rsidRPr="007B0231">
        <w:rPr>
          <w:rFonts w:ascii="Arial" w:hAnsi="Arial" w:cs="Arial"/>
          <w:sz w:val="24"/>
          <w:szCs w:val="24"/>
        </w:rPr>
        <w:t>the restrictive conditions applicable to erf 1483</w:t>
      </w:r>
      <w:r w:rsidR="0080469A" w:rsidRPr="007B0231">
        <w:rPr>
          <w:rFonts w:ascii="Arial" w:hAnsi="Arial" w:cs="Arial"/>
          <w:sz w:val="24"/>
          <w:szCs w:val="24"/>
        </w:rPr>
        <w:t xml:space="preserve"> and section 56</w:t>
      </w:r>
      <w:r w:rsidR="00F118FB" w:rsidRPr="007B0231">
        <w:rPr>
          <w:rFonts w:ascii="Arial" w:hAnsi="Arial" w:cs="Arial"/>
          <w:sz w:val="24"/>
          <w:szCs w:val="24"/>
        </w:rPr>
        <w:t xml:space="preserve"> of the new scheme.</w:t>
      </w:r>
      <w:r w:rsidR="007C2092" w:rsidRPr="007B0231">
        <w:rPr>
          <w:rFonts w:ascii="Arial" w:hAnsi="Arial" w:cs="Arial"/>
          <w:sz w:val="24"/>
          <w:szCs w:val="24"/>
        </w:rPr>
        <w:t xml:space="preserve"> </w:t>
      </w:r>
    </w:p>
    <w:p w14:paraId="1883CD32" w14:textId="77777777" w:rsidR="0030569B" w:rsidRDefault="0030569B" w:rsidP="0030569B">
      <w:pPr>
        <w:pStyle w:val="ListParagraph"/>
        <w:spacing w:line="360" w:lineRule="auto"/>
        <w:ind w:left="0"/>
        <w:jc w:val="both"/>
        <w:rPr>
          <w:rFonts w:ascii="Arial" w:hAnsi="Arial" w:cs="Arial"/>
          <w:sz w:val="24"/>
          <w:szCs w:val="24"/>
        </w:rPr>
      </w:pPr>
    </w:p>
    <w:p w14:paraId="6DAD346C" w14:textId="2AEE91CA"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F45CA1" w:rsidRPr="007B0231">
        <w:rPr>
          <w:rFonts w:ascii="Arial" w:hAnsi="Arial" w:cs="Arial"/>
          <w:sz w:val="24"/>
          <w:szCs w:val="24"/>
        </w:rPr>
        <w:t>The restrictive conditions</w:t>
      </w:r>
      <w:r w:rsidR="00B64BC7" w:rsidRPr="007B0231">
        <w:rPr>
          <w:rFonts w:ascii="Arial" w:hAnsi="Arial" w:cs="Arial"/>
          <w:sz w:val="24"/>
          <w:szCs w:val="24"/>
        </w:rPr>
        <w:t xml:space="preserve"> </w:t>
      </w:r>
      <w:r w:rsidR="007E7619" w:rsidRPr="007B0231">
        <w:rPr>
          <w:rFonts w:ascii="Arial" w:hAnsi="Arial" w:cs="Arial"/>
          <w:sz w:val="24"/>
          <w:szCs w:val="24"/>
        </w:rPr>
        <w:t xml:space="preserve">in question </w:t>
      </w:r>
      <w:r w:rsidR="002F59CA" w:rsidRPr="007B0231">
        <w:rPr>
          <w:rFonts w:ascii="Arial" w:hAnsi="Arial" w:cs="Arial"/>
          <w:sz w:val="24"/>
          <w:szCs w:val="24"/>
        </w:rPr>
        <w:t>permit</w:t>
      </w:r>
      <w:r w:rsidR="002E5E42" w:rsidRPr="007B0231">
        <w:rPr>
          <w:rFonts w:ascii="Arial" w:hAnsi="Arial" w:cs="Arial"/>
          <w:sz w:val="24"/>
          <w:szCs w:val="24"/>
        </w:rPr>
        <w:t xml:space="preserve"> </w:t>
      </w:r>
      <w:r w:rsidR="007E7619" w:rsidRPr="007B0231">
        <w:rPr>
          <w:rFonts w:ascii="Arial" w:hAnsi="Arial" w:cs="Arial"/>
          <w:sz w:val="24"/>
          <w:szCs w:val="24"/>
        </w:rPr>
        <w:t xml:space="preserve">the land </w:t>
      </w:r>
      <w:r w:rsidR="002F59CA" w:rsidRPr="007B0231">
        <w:rPr>
          <w:rFonts w:ascii="Arial" w:hAnsi="Arial" w:cs="Arial"/>
          <w:sz w:val="24"/>
          <w:szCs w:val="24"/>
        </w:rPr>
        <w:t xml:space="preserve">to </w:t>
      </w:r>
      <w:r w:rsidR="00B64BC7" w:rsidRPr="007B0231">
        <w:rPr>
          <w:rFonts w:ascii="Arial" w:hAnsi="Arial" w:cs="Arial"/>
          <w:sz w:val="24"/>
          <w:szCs w:val="24"/>
        </w:rPr>
        <w:t xml:space="preserve">be used </w:t>
      </w:r>
      <w:r w:rsidR="001C2EEB" w:rsidRPr="007B0231">
        <w:rPr>
          <w:rFonts w:ascii="Arial" w:hAnsi="Arial" w:cs="Arial"/>
          <w:sz w:val="24"/>
          <w:szCs w:val="24"/>
        </w:rPr>
        <w:t>‘</w:t>
      </w:r>
      <w:r w:rsidR="00B64BC7" w:rsidRPr="007B0231">
        <w:rPr>
          <w:rFonts w:ascii="Arial" w:hAnsi="Arial" w:cs="Arial"/>
          <w:sz w:val="24"/>
          <w:szCs w:val="24"/>
        </w:rPr>
        <w:t xml:space="preserve">for the purposes of erecting </w:t>
      </w:r>
      <w:r w:rsidR="003A12B5" w:rsidRPr="007B0231">
        <w:rPr>
          <w:rFonts w:ascii="Arial" w:hAnsi="Arial" w:cs="Arial"/>
          <w:sz w:val="24"/>
          <w:szCs w:val="24"/>
        </w:rPr>
        <w:t>there</w:t>
      </w:r>
      <w:r w:rsidR="00B64BC7" w:rsidRPr="007B0231">
        <w:rPr>
          <w:rFonts w:ascii="Arial" w:hAnsi="Arial" w:cs="Arial"/>
          <w:sz w:val="24"/>
          <w:szCs w:val="24"/>
        </w:rPr>
        <w:t>on</w:t>
      </w:r>
      <w:r w:rsidR="003A12B5" w:rsidRPr="007B0231">
        <w:rPr>
          <w:rFonts w:ascii="Arial" w:hAnsi="Arial" w:cs="Arial"/>
          <w:sz w:val="24"/>
          <w:szCs w:val="24"/>
        </w:rPr>
        <w:t xml:space="preserve"> one</w:t>
      </w:r>
      <w:r w:rsidR="00B64BC7" w:rsidRPr="007B0231">
        <w:rPr>
          <w:rFonts w:ascii="Arial" w:hAnsi="Arial" w:cs="Arial"/>
          <w:sz w:val="24"/>
          <w:szCs w:val="24"/>
        </w:rPr>
        <w:t xml:space="preserve"> dwelling or other buildings for such purposes as the Administrator may, from time to time after reference to the Townships Board and the local authority, approve</w:t>
      </w:r>
      <w:r w:rsidR="0084341C" w:rsidRPr="007B0231">
        <w:rPr>
          <w:rFonts w:ascii="Arial" w:hAnsi="Arial" w:cs="Arial"/>
          <w:sz w:val="24"/>
          <w:szCs w:val="24"/>
        </w:rPr>
        <w:t xml:space="preserve">’. </w:t>
      </w:r>
      <w:r w:rsidR="00F765F4" w:rsidRPr="007B0231">
        <w:rPr>
          <w:rFonts w:ascii="Arial" w:hAnsi="Arial" w:cs="Arial"/>
          <w:sz w:val="24"/>
          <w:szCs w:val="24"/>
        </w:rPr>
        <w:t>It must be noted that t</w:t>
      </w:r>
      <w:r w:rsidR="008C1D00" w:rsidRPr="007B0231">
        <w:rPr>
          <w:rFonts w:ascii="Arial" w:hAnsi="Arial" w:cs="Arial"/>
          <w:sz w:val="24"/>
          <w:szCs w:val="24"/>
        </w:rPr>
        <w:t xml:space="preserve">he provisions </w:t>
      </w:r>
      <w:r w:rsidR="00490F32" w:rsidRPr="007B0231">
        <w:rPr>
          <w:rFonts w:ascii="Arial" w:hAnsi="Arial" w:cs="Arial"/>
          <w:sz w:val="24"/>
          <w:szCs w:val="24"/>
        </w:rPr>
        <w:t xml:space="preserve">of </w:t>
      </w:r>
      <w:r w:rsidR="00635590" w:rsidRPr="007B0231">
        <w:rPr>
          <w:rFonts w:ascii="Arial" w:hAnsi="Arial" w:cs="Arial"/>
          <w:sz w:val="24"/>
          <w:szCs w:val="24"/>
        </w:rPr>
        <w:t xml:space="preserve">section </w:t>
      </w:r>
      <w:r w:rsidR="00964282" w:rsidRPr="007B0231">
        <w:rPr>
          <w:rFonts w:ascii="Arial" w:hAnsi="Arial" w:cs="Arial"/>
          <w:sz w:val="24"/>
          <w:szCs w:val="24"/>
        </w:rPr>
        <w:t xml:space="preserve">45(6) of SPLUMA, </w:t>
      </w:r>
      <w:r w:rsidR="008C1D00" w:rsidRPr="007B0231">
        <w:rPr>
          <w:rFonts w:ascii="Arial" w:hAnsi="Arial" w:cs="Arial"/>
          <w:sz w:val="24"/>
          <w:szCs w:val="24"/>
        </w:rPr>
        <w:t>in relation to the parties to a land development application,</w:t>
      </w:r>
      <w:r w:rsidR="00A327FE" w:rsidRPr="007B0231">
        <w:rPr>
          <w:rFonts w:ascii="Arial" w:hAnsi="Arial" w:cs="Arial"/>
          <w:sz w:val="24"/>
          <w:szCs w:val="24"/>
        </w:rPr>
        <w:t xml:space="preserve"> </w:t>
      </w:r>
      <w:r w:rsidR="00D44938" w:rsidRPr="007B0231">
        <w:rPr>
          <w:rFonts w:ascii="Arial" w:hAnsi="Arial" w:cs="Arial"/>
          <w:sz w:val="24"/>
          <w:szCs w:val="24"/>
        </w:rPr>
        <w:t xml:space="preserve">stipulate </w:t>
      </w:r>
      <w:r w:rsidR="009C7CE7" w:rsidRPr="007B0231">
        <w:rPr>
          <w:rFonts w:ascii="Arial" w:hAnsi="Arial" w:cs="Arial"/>
          <w:sz w:val="24"/>
          <w:szCs w:val="24"/>
        </w:rPr>
        <w:t xml:space="preserve">that </w:t>
      </w:r>
      <w:r w:rsidR="00D23D94" w:rsidRPr="007B0231">
        <w:rPr>
          <w:rFonts w:ascii="Arial" w:hAnsi="Arial" w:cs="Arial"/>
          <w:sz w:val="24"/>
          <w:szCs w:val="24"/>
        </w:rPr>
        <w:t>where a condition of title provides for a purpose</w:t>
      </w:r>
      <w:r w:rsidR="00052D4E" w:rsidRPr="007B0231">
        <w:rPr>
          <w:rFonts w:ascii="Arial" w:hAnsi="Arial" w:cs="Arial"/>
          <w:sz w:val="24"/>
          <w:szCs w:val="24"/>
        </w:rPr>
        <w:t xml:space="preserve"> with the consent or approval of the administrator</w:t>
      </w:r>
      <w:r w:rsidR="00B64BC7" w:rsidRPr="007B0231">
        <w:rPr>
          <w:rFonts w:ascii="Arial" w:hAnsi="Arial" w:cs="Arial"/>
          <w:sz w:val="24"/>
          <w:szCs w:val="24"/>
        </w:rPr>
        <w:t xml:space="preserve">, </w:t>
      </w:r>
      <w:r w:rsidR="002D1328" w:rsidRPr="007B0231">
        <w:rPr>
          <w:rFonts w:ascii="Arial" w:hAnsi="Arial" w:cs="Arial"/>
          <w:sz w:val="24"/>
          <w:szCs w:val="24"/>
        </w:rPr>
        <w:t xml:space="preserve">such </w:t>
      </w:r>
      <w:r w:rsidR="0005233E" w:rsidRPr="007B0231">
        <w:rPr>
          <w:rFonts w:ascii="Arial" w:hAnsi="Arial" w:cs="Arial"/>
          <w:sz w:val="24"/>
          <w:szCs w:val="24"/>
        </w:rPr>
        <w:t xml:space="preserve">consent may be granted by the municipality. </w:t>
      </w:r>
      <w:r w:rsidR="00D44938" w:rsidRPr="007B0231">
        <w:rPr>
          <w:rFonts w:ascii="Arial" w:hAnsi="Arial" w:cs="Arial"/>
          <w:sz w:val="24"/>
          <w:szCs w:val="24"/>
        </w:rPr>
        <w:t xml:space="preserve">Quite clearly, the restrictive conditions </w:t>
      </w:r>
      <w:r w:rsidR="006B397B" w:rsidRPr="007B0231">
        <w:rPr>
          <w:rFonts w:ascii="Arial" w:hAnsi="Arial" w:cs="Arial"/>
          <w:sz w:val="24"/>
          <w:szCs w:val="24"/>
        </w:rPr>
        <w:t>do not limit the use</w:t>
      </w:r>
      <w:r w:rsidR="00C02959" w:rsidRPr="007B0231">
        <w:rPr>
          <w:rFonts w:ascii="Arial" w:hAnsi="Arial" w:cs="Arial"/>
          <w:sz w:val="24"/>
          <w:szCs w:val="24"/>
        </w:rPr>
        <w:t xml:space="preserve"> or erf 1483</w:t>
      </w:r>
      <w:r w:rsidR="006B397B" w:rsidRPr="007B0231">
        <w:rPr>
          <w:rFonts w:ascii="Arial" w:hAnsi="Arial" w:cs="Arial"/>
          <w:sz w:val="24"/>
          <w:szCs w:val="24"/>
        </w:rPr>
        <w:t xml:space="preserve">, without exception, to </w:t>
      </w:r>
      <w:r w:rsidR="00D962E7" w:rsidRPr="007B0231">
        <w:rPr>
          <w:rFonts w:ascii="Arial" w:hAnsi="Arial" w:cs="Arial"/>
          <w:sz w:val="24"/>
          <w:szCs w:val="24"/>
        </w:rPr>
        <w:t xml:space="preserve">the erection of one dwelling. The </w:t>
      </w:r>
      <w:r w:rsidR="00B561BC" w:rsidRPr="007B0231">
        <w:rPr>
          <w:rFonts w:ascii="Arial" w:hAnsi="Arial" w:cs="Arial"/>
          <w:sz w:val="24"/>
          <w:szCs w:val="24"/>
        </w:rPr>
        <w:t xml:space="preserve">municipality may approve other uses. </w:t>
      </w:r>
    </w:p>
    <w:p w14:paraId="28C10188" w14:textId="77777777" w:rsidR="0030569B" w:rsidRPr="0030569B" w:rsidRDefault="0030569B" w:rsidP="0030569B">
      <w:pPr>
        <w:pStyle w:val="ListParagraph"/>
        <w:rPr>
          <w:rFonts w:ascii="Arial" w:hAnsi="Arial" w:cs="Arial"/>
          <w:sz w:val="24"/>
          <w:szCs w:val="24"/>
        </w:rPr>
      </w:pPr>
    </w:p>
    <w:p w14:paraId="691DDE07" w14:textId="045C4D36"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010496" w:rsidRPr="007B0231">
        <w:rPr>
          <w:rFonts w:ascii="Arial" w:hAnsi="Arial" w:cs="Arial"/>
          <w:sz w:val="24"/>
          <w:szCs w:val="24"/>
        </w:rPr>
        <w:t xml:space="preserve">There is, admittedly, </w:t>
      </w:r>
      <w:r w:rsidR="006B397B" w:rsidRPr="007B0231">
        <w:rPr>
          <w:rFonts w:ascii="Arial" w:hAnsi="Arial" w:cs="Arial"/>
          <w:sz w:val="24"/>
          <w:szCs w:val="24"/>
        </w:rPr>
        <w:t xml:space="preserve">a </w:t>
      </w:r>
      <w:r w:rsidR="008D72C8" w:rsidRPr="007B0231">
        <w:rPr>
          <w:rFonts w:ascii="Arial" w:hAnsi="Arial" w:cs="Arial"/>
          <w:sz w:val="24"/>
          <w:szCs w:val="24"/>
        </w:rPr>
        <w:t xml:space="preserve">qualification attached to the authorization granted to a municipality. </w:t>
      </w:r>
      <w:r w:rsidR="00934912" w:rsidRPr="007B0231">
        <w:rPr>
          <w:rFonts w:ascii="Arial" w:hAnsi="Arial" w:cs="Arial"/>
          <w:sz w:val="24"/>
          <w:szCs w:val="24"/>
        </w:rPr>
        <w:t>I</w:t>
      </w:r>
      <w:r w:rsidR="00B64BC7" w:rsidRPr="007B0231">
        <w:rPr>
          <w:rFonts w:ascii="Arial" w:hAnsi="Arial" w:cs="Arial"/>
          <w:sz w:val="24"/>
          <w:szCs w:val="24"/>
        </w:rPr>
        <w:t xml:space="preserve">f the </w:t>
      </w:r>
      <w:r w:rsidR="00330225" w:rsidRPr="007B0231">
        <w:rPr>
          <w:rFonts w:ascii="Arial" w:hAnsi="Arial" w:cs="Arial"/>
          <w:sz w:val="24"/>
          <w:szCs w:val="24"/>
        </w:rPr>
        <w:t>land</w:t>
      </w:r>
      <w:r w:rsidR="00B64BC7" w:rsidRPr="007B0231">
        <w:rPr>
          <w:rFonts w:ascii="Arial" w:hAnsi="Arial" w:cs="Arial"/>
          <w:sz w:val="24"/>
          <w:szCs w:val="24"/>
        </w:rPr>
        <w:t xml:space="preserve"> </w:t>
      </w:r>
      <w:r w:rsidR="00330225" w:rsidRPr="007B0231">
        <w:rPr>
          <w:rFonts w:ascii="Arial" w:hAnsi="Arial" w:cs="Arial"/>
          <w:sz w:val="24"/>
          <w:szCs w:val="24"/>
        </w:rPr>
        <w:t>‘</w:t>
      </w:r>
      <w:r w:rsidR="00B64BC7" w:rsidRPr="007B0231">
        <w:rPr>
          <w:rFonts w:ascii="Arial" w:hAnsi="Arial" w:cs="Arial"/>
          <w:sz w:val="24"/>
          <w:szCs w:val="24"/>
        </w:rPr>
        <w:t xml:space="preserve">is included within the area of a Town Planning Scheme, the local </w:t>
      </w:r>
      <w:r w:rsidR="00B64BC7" w:rsidRPr="007B0231">
        <w:rPr>
          <w:rFonts w:ascii="Arial" w:hAnsi="Arial" w:cs="Arial"/>
          <w:sz w:val="24"/>
          <w:szCs w:val="24"/>
        </w:rPr>
        <w:lastRenderedPageBreak/>
        <w:t>authority may permit such other buildings as are permitted by the scheme, subject to the conditions and restrictions stipulated by the scheme.</w:t>
      </w:r>
      <w:r w:rsidR="00597D63" w:rsidRPr="007B0231">
        <w:rPr>
          <w:rFonts w:ascii="Arial" w:hAnsi="Arial" w:cs="Arial"/>
          <w:sz w:val="24"/>
          <w:szCs w:val="24"/>
        </w:rPr>
        <w:t>’</w:t>
      </w:r>
      <w:r w:rsidR="00F33119" w:rsidRPr="007B0231">
        <w:rPr>
          <w:rFonts w:ascii="Arial" w:hAnsi="Arial" w:cs="Arial"/>
          <w:sz w:val="24"/>
          <w:szCs w:val="24"/>
        </w:rPr>
        <w:t xml:space="preserve"> The Kenton-on-Sea scheme applied when the fourth respondent lodged its </w:t>
      </w:r>
      <w:r w:rsidR="00502103" w:rsidRPr="007B0231">
        <w:rPr>
          <w:rFonts w:ascii="Arial" w:hAnsi="Arial" w:cs="Arial"/>
          <w:sz w:val="24"/>
          <w:szCs w:val="24"/>
        </w:rPr>
        <w:t xml:space="preserve">departure and removal application. </w:t>
      </w:r>
      <w:r w:rsidR="0051524E" w:rsidRPr="007B0231">
        <w:rPr>
          <w:rFonts w:ascii="Arial" w:hAnsi="Arial" w:cs="Arial"/>
          <w:sz w:val="24"/>
          <w:szCs w:val="24"/>
        </w:rPr>
        <w:t xml:space="preserve">It </w:t>
      </w:r>
      <w:r w:rsidR="009B4404" w:rsidRPr="007B0231">
        <w:rPr>
          <w:rFonts w:ascii="Arial" w:hAnsi="Arial" w:cs="Arial"/>
          <w:sz w:val="24"/>
          <w:szCs w:val="24"/>
        </w:rPr>
        <w:t xml:space="preserve">simply made no provision for the use of erf 1483 </w:t>
      </w:r>
      <w:r w:rsidR="00294DAC" w:rsidRPr="007B0231">
        <w:rPr>
          <w:rFonts w:ascii="Arial" w:hAnsi="Arial" w:cs="Arial"/>
          <w:sz w:val="24"/>
          <w:szCs w:val="24"/>
        </w:rPr>
        <w:t>as a guesthouse.</w:t>
      </w:r>
      <w:r w:rsidR="002352C3" w:rsidRPr="007B0231">
        <w:rPr>
          <w:rFonts w:ascii="Arial" w:hAnsi="Arial" w:cs="Arial"/>
          <w:sz w:val="24"/>
          <w:szCs w:val="24"/>
        </w:rPr>
        <w:t xml:space="preserve"> </w:t>
      </w:r>
      <w:r w:rsidR="008D2509" w:rsidRPr="007B0231">
        <w:rPr>
          <w:rFonts w:ascii="Arial" w:hAnsi="Arial" w:cs="Arial"/>
          <w:sz w:val="24"/>
          <w:szCs w:val="24"/>
        </w:rPr>
        <w:t>This is the hurdle that faces the fourth respondent.</w:t>
      </w:r>
    </w:p>
    <w:p w14:paraId="39DB9526" w14:textId="77777777" w:rsidR="0030569B" w:rsidRPr="0030569B" w:rsidRDefault="0030569B" w:rsidP="0030569B">
      <w:pPr>
        <w:pStyle w:val="ListParagraph"/>
        <w:rPr>
          <w:rFonts w:ascii="Arial" w:hAnsi="Arial" w:cs="Arial"/>
          <w:sz w:val="24"/>
          <w:szCs w:val="24"/>
        </w:rPr>
      </w:pPr>
    </w:p>
    <w:p w14:paraId="7F89DFBA" w14:textId="26A1A698"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8D2509" w:rsidRPr="007B0231">
        <w:rPr>
          <w:rFonts w:ascii="Arial" w:hAnsi="Arial" w:cs="Arial"/>
          <w:sz w:val="24"/>
          <w:szCs w:val="24"/>
        </w:rPr>
        <w:t>Counsel for the fourth respondent correctly asserted that the tribunal’s decision did not conflict with the restrictive conditions in relation to the new scheme. Critically, however, the new scheme was not in place when the fourth respondent submitted its application. The tribunal was obligated to have decided the application based on the law that applied at the time.</w:t>
      </w:r>
    </w:p>
    <w:p w14:paraId="6758CFBD" w14:textId="77777777" w:rsidR="0030569B" w:rsidRPr="0030569B" w:rsidRDefault="0030569B" w:rsidP="0030569B">
      <w:pPr>
        <w:pStyle w:val="ListParagraph"/>
        <w:rPr>
          <w:rFonts w:ascii="Arial" w:hAnsi="Arial" w:cs="Arial"/>
          <w:sz w:val="24"/>
          <w:szCs w:val="24"/>
        </w:rPr>
      </w:pPr>
    </w:p>
    <w:p w14:paraId="417C0791" w14:textId="6AFCB16E" w:rsidR="008F2014"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[86]</w:t>
      </w:r>
      <w:r w:rsidRPr="0030569B">
        <w:rPr>
          <w:rFonts w:ascii="Arial" w:hAnsi="Arial" w:cs="Arial"/>
          <w:sz w:val="24"/>
          <w:szCs w:val="24"/>
        </w:rPr>
        <w:tab/>
      </w:r>
      <w:r w:rsidR="007B4DC9" w:rsidRPr="007B0231">
        <w:rPr>
          <w:rFonts w:ascii="Arial" w:hAnsi="Arial" w:cs="Arial"/>
          <w:sz w:val="24"/>
          <w:szCs w:val="24"/>
        </w:rPr>
        <w:t xml:space="preserve">A further argument made by </w:t>
      </w:r>
      <w:r w:rsidR="008D2509" w:rsidRPr="007B0231">
        <w:rPr>
          <w:rFonts w:ascii="Arial" w:hAnsi="Arial" w:cs="Arial"/>
          <w:sz w:val="24"/>
          <w:szCs w:val="24"/>
        </w:rPr>
        <w:t>the fourth respondent</w:t>
      </w:r>
      <w:r w:rsidR="007B4DC9" w:rsidRPr="007B0231">
        <w:rPr>
          <w:rFonts w:ascii="Arial" w:hAnsi="Arial" w:cs="Arial"/>
          <w:sz w:val="24"/>
          <w:szCs w:val="24"/>
        </w:rPr>
        <w:t>, presumably in the alternative,</w:t>
      </w:r>
      <w:r w:rsidR="008D2509" w:rsidRPr="007B0231">
        <w:rPr>
          <w:rFonts w:ascii="Arial" w:hAnsi="Arial" w:cs="Arial"/>
          <w:sz w:val="24"/>
          <w:szCs w:val="24"/>
        </w:rPr>
        <w:t xml:space="preserve"> relies </w:t>
      </w:r>
      <w:r w:rsidR="005C3E36" w:rsidRPr="007B0231">
        <w:rPr>
          <w:rFonts w:ascii="Arial" w:hAnsi="Arial" w:cs="Arial"/>
          <w:sz w:val="24"/>
          <w:szCs w:val="24"/>
        </w:rPr>
        <w:t xml:space="preserve">on </w:t>
      </w:r>
      <w:r w:rsidR="008F2014" w:rsidRPr="007B0231">
        <w:rPr>
          <w:rFonts w:ascii="Arial" w:hAnsi="Arial" w:cs="Arial"/>
          <w:sz w:val="24"/>
          <w:szCs w:val="24"/>
        </w:rPr>
        <w:t>section 6(2)(d) of PAJA</w:t>
      </w:r>
      <w:r w:rsidR="005C3E36" w:rsidRPr="007B0231">
        <w:rPr>
          <w:rFonts w:ascii="Arial" w:hAnsi="Arial" w:cs="Arial"/>
          <w:sz w:val="24"/>
          <w:szCs w:val="24"/>
        </w:rPr>
        <w:t xml:space="preserve">, to the extent that a ground of review arises only when </w:t>
      </w:r>
      <w:r w:rsidR="008F2014" w:rsidRPr="007B0231">
        <w:rPr>
          <w:rFonts w:ascii="Arial" w:hAnsi="Arial" w:cs="Arial"/>
          <w:sz w:val="24"/>
          <w:szCs w:val="24"/>
        </w:rPr>
        <w:t>an administrative action was ‘</w:t>
      </w:r>
      <w:r w:rsidR="008F2014" w:rsidRPr="007B0231">
        <w:rPr>
          <w:rFonts w:ascii="Arial" w:hAnsi="Arial" w:cs="Arial"/>
          <w:i/>
          <w:iCs/>
          <w:sz w:val="24"/>
          <w:szCs w:val="24"/>
        </w:rPr>
        <w:t>materially</w:t>
      </w:r>
      <w:r w:rsidR="008F2014" w:rsidRPr="007B0231">
        <w:rPr>
          <w:rFonts w:ascii="Arial" w:hAnsi="Arial" w:cs="Arial"/>
          <w:sz w:val="24"/>
          <w:szCs w:val="24"/>
        </w:rPr>
        <w:t xml:space="preserve"> influenced by an error of law’</w:t>
      </w:r>
      <w:r w:rsidR="007B4DC9" w:rsidRPr="007B0231">
        <w:rPr>
          <w:rFonts w:ascii="Arial" w:hAnsi="Arial" w:cs="Arial"/>
          <w:sz w:val="24"/>
          <w:szCs w:val="24"/>
        </w:rPr>
        <w:t>.</w:t>
      </w:r>
      <w:r w:rsidR="005C3E36">
        <w:rPr>
          <w:rStyle w:val="FootnoteReference"/>
          <w:rFonts w:ascii="Arial" w:hAnsi="Arial" w:cs="Arial"/>
          <w:sz w:val="24"/>
          <w:szCs w:val="24"/>
        </w:rPr>
        <w:footnoteReference w:id="70"/>
      </w:r>
      <w:r w:rsidR="005C3E36" w:rsidRPr="007B0231">
        <w:rPr>
          <w:rFonts w:ascii="Arial" w:hAnsi="Arial" w:cs="Arial"/>
          <w:sz w:val="24"/>
          <w:szCs w:val="24"/>
        </w:rPr>
        <w:t xml:space="preserve"> </w:t>
      </w:r>
      <w:r w:rsidR="008F2014" w:rsidRPr="007B0231">
        <w:rPr>
          <w:rFonts w:ascii="Arial" w:hAnsi="Arial" w:cs="Arial"/>
          <w:sz w:val="24"/>
          <w:szCs w:val="24"/>
        </w:rPr>
        <w:t xml:space="preserve">It referred to the decision in </w:t>
      </w:r>
      <w:r w:rsidR="008F2014" w:rsidRPr="007B0231">
        <w:rPr>
          <w:rFonts w:ascii="Arial" w:hAnsi="Arial" w:cs="Arial"/>
          <w:i/>
          <w:iCs/>
          <w:sz w:val="24"/>
          <w:szCs w:val="24"/>
        </w:rPr>
        <w:t>Johannesburg Metropolitan Municipality v Gauteng Development Tribunal and others</w:t>
      </w:r>
      <w:r w:rsidR="008F2014" w:rsidRPr="007B0231">
        <w:rPr>
          <w:rFonts w:ascii="Arial" w:hAnsi="Arial" w:cs="Arial"/>
          <w:sz w:val="24"/>
          <w:szCs w:val="24"/>
        </w:rPr>
        <w:t>,</w:t>
      </w:r>
      <w:r w:rsidR="008F2014" w:rsidRPr="008F2014">
        <w:rPr>
          <w:vertAlign w:val="superscript"/>
        </w:rPr>
        <w:footnoteReference w:id="71"/>
      </w:r>
      <w:r w:rsidR="008F2014" w:rsidRPr="007B0231">
        <w:rPr>
          <w:rFonts w:ascii="Arial" w:hAnsi="Arial" w:cs="Arial"/>
          <w:sz w:val="24"/>
          <w:szCs w:val="24"/>
        </w:rPr>
        <w:t xml:space="preserve"> where the Constitutional Court held that:</w:t>
      </w:r>
    </w:p>
    <w:p w14:paraId="4E3B1F4A" w14:textId="77777777" w:rsidR="008F2014" w:rsidRPr="008F2014" w:rsidRDefault="008F2014" w:rsidP="0030569B">
      <w:pPr>
        <w:spacing w:line="360" w:lineRule="auto"/>
        <w:ind w:left="720"/>
        <w:jc w:val="both"/>
        <w:rPr>
          <w:rFonts w:ascii="Arial" w:hAnsi="Arial" w:cs="Arial"/>
        </w:rPr>
      </w:pPr>
      <w:r w:rsidRPr="008F2014">
        <w:rPr>
          <w:rFonts w:ascii="Arial" w:hAnsi="Arial" w:cs="Arial"/>
        </w:rPr>
        <w:t>‘…a mere error of law is not sufficient for an administrative act to be set aside. Section 6(2)(d) of the Promotion of Administrative Justice Act permits administrative action to be reviewed and set aside only where it is “materially influenced by an error of law”. An error of law is not material if it does not affect the outcome of the decision. This occurs if, on the facts, the decision-maker would have reached the same decision, despite the error of law.’</w:t>
      </w:r>
      <w:r w:rsidRPr="008F2014">
        <w:rPr>
          <w:rFonts w:ascii="Arial" w:hAnsi="Arial" w:cs="Arial"/>
          <w:vertAlign w:val="superscript"/>
        </w:rPr>
        <w:footnoteReference w:id="72"/>
      </w:r>
    </w:p>
    <w:p w14:paraId="005F3E1D" w14:textId="31CC8425" w:rsidR="00A21EE6" w:rsidRDefault="00A21EE6" w:rsidP="001A6024">
      <w:pPr>
        <w:spacing w:line="360" w:lineRule="auto"/>
        <w:rPr>
          <w:rFonts w:ascii="Arial" w:hAnsi="Arial" w:cs="Arial"/>
          <w:sz w:val="24"/>
          <w:szCs w:val="24"/>
        </w:rPr>
      </w:pPr>
    </w:p>
    <w:p w14:paraId="070E0D94" w14:textId="222BC35C"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7B4DC9" w:rsidRPr="007B0231">
        <w:rPr>
          <w:rFonts w:ascii="Arial" w:hAnsi="Arial" w:cs="Arial"/>
          <w:sz w:val="24"/>
          <w:szCs w:val="24"/>
        </w:rPr>
        <w:t xml:space="preserve">That is not the case here. If the tribunal had properly considered the restrictive conditions in relation to the Kenton-on-Scheme, instead of the new scheme, then it is </w:t>
      </w:r>
      <w:r w:rsidR="007414BA" w:rsidRPr="007B0231">
        <w:rPr>
          <w:rFonts w:ascii="Arial" w:hAnsi="Arial" w:cs="Arial"/>
          <w:sz w:val="24"/>
          <w:szCs w:val="24"/>
        </w:rPr>
        <w:lastRenderedPageBreak/>
        <w:t xml:space="preserve">highly </w:t>
      </w:r>
      <w:r w:rsidR="007B4DC9" w:rsidRPr="007B0231">
        <w:rPr>
          <w:rFonts w:ascii="Arial" w:hAnsi="Arial" w:cs="Arial"/>
          <w:sz w:val="24"/>
          <w:szCs w:val="24"/>
        </w:rPr>
        <w:t>improbable that it would have decided to approve the departure. As previously observed, the new scheme makes provision for a guesthouse; the Kenton-on-Sea scheme did not. It cannot be said that the error in law was not material.</w:t>
      </w:r>
      <w:r w:rsidR="00200899" w:rsidRPr="007B0231">
        <w:rPr>
          <w:rFonts w:ascii="Arial" w:hAnsi="Arial" w:cs="Arial"/>
          <w:sz w:val="24"/>
          <w:szCs w:val="24"/>
        </w:rPr>
        <w:t xml:space="preserve"> </w:t>
      </w:r>
    </w:p>
    <w:p w14:paraId="40BD8EB6" w14:textId="77777777" w:rsidR="0030569B" w:rsidRDefault="0030569B" w:rsidP="0030569B">
      <w:pPr>
        <w:pStyle w:val="ListParagraph"/>
        <w:spacing w:line="360" w:lineRule="auto"/>
        <w:ind w:left="0"/>
        <w:jc w:val="both"/>
        <w:rPr>
          <w:rFonts w:ascii="Arial" w:hAnsi="Arial" w:cs="Arial"/>
          <w:sz w:val="24"/>
          <w:szCs w:val="24"/>
        </w:rPr>
      </w:pPr>
    </w:p>
    <w:p w14:paraId="7BFE4780" w14:textId="7543354B" w:rsidR="00476549"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[88]</w:t>
      </w:r>
      <w:r w:rsidRPr="0030569B">
        <w:rPr>
          <w:rFonts w:ascii="Arial" w:hAnsi="Arial" w:cs="Arial"/>
          <w:sz w:val="24"/>
          <w:szCs w:val="24"/>
        </w:rPr>
        <w:tab/>
      </w:r>
      <w:r w:rsidR="00476549" w:rsidRPr="007B0231">
        <w:rPr>
          <w:rFonts w:ascii="Arial" w:hAnsi="Arial" w:cs="Arial"/>
          <w:sz w:val="24"/>
          <w:szCs w:val="24"/>
        </w:rPr>
        <w:t>The applicant’s argument in relation to section 56 of the new scheme takes the matter no further.</w:t>
      </w:r>
      <w:r w:rsidR="004E7FAF" w:rsidRPr="007B0231">
        <w:rPr>
          <w:rFonts w:ascii="Arial" w:hAnsi="Arial" w:cs="Arial"/>
          <w:sz w:val="24"/>
          <w:szCs w:val="24"/>
        </w:rPr>
        <w:t xml:space="preserve"> </w:t>
      </w:r>
      <w:r w:rsidR="0011068F" w:rsidRPr="007B0231">
        <w:rPr>
          <w:rFonts w:ascii="Arial" w:hAnsi="Arial" w:cs="Arial"/>
          <w:sz w:val="24"/>
          <w:szCs w:val="24"/>
        </w:rPr>
        <w:t>The provisions of the Kenton-on-Sea scheme in relation to the restrictive conditions ought to have been decisive of the matter.</w:t>
      </w:r>
    </w:p>
    <w:p w14:paraId="57AE7638" w14:textId="77777777" w:rsidR="009D1F43" w:rsidRDefault="009D1F43" w:rsidP="001A6024">
      <w:pPr>
        <w:spacing w:line="360" w:lineRule="auto"/>
        <w:rPr>
          <w:rFonts w:ascii="Arial" w:hAnsi="Arial" w:cs="Arial"/>
          <w:sz w:val="24"/>
          <w:szCs w:val="24"/>
        </w:rPr>
      </w:pPr>
    </w:p>
    <w:p w14:paraId="4C64F737" w14:textId="6C0D0BAF" w:rsidR="009D1F43" w:rsidRPr="00EC3435" w:rsidRDefault="00EC3435" w:rsidP="0030569B">
      <w:pPr>
        <w:spacing w:line="360" w:lineRule="auto"/>
        <w:jc w:val="both"/>
        <w:rPr>
          <w:rFonts w:ascii="Arial" w:hAnsi="Arial" w:cs="Arial"/>
          <w:i/>
          <w:iCs/>
          <w:sz w:val="24"/>
          <w:szCs w:val="24"/>
        </w:rPr>
      </w:pPr>
      <w:r w:rsidRPr="00EC3435">
        <w:rPr>
          <w:rFonts w:ascii="Arial" w:hAnsi="Arial" w:cs="Arial"/>
          <w:i/>
          <w:iCs/>
          <w:sz w:val="24"/>
          <w:szCs w:val="24"/>
        </w:rPr>
        <w:t>F</w:t>
      </w:r>
      <w:r w:rsidR="009D1F43" w:rsidRPr="00EC3435">
        <w:rPr>
          <w:rFonts w:ascii="Arial" w:hAnsi="Arial" w:cs="Arial"/>
          <w:i/>
          <w:iCs/>
          <w:sz w:val="24"/>
          <w:szCs w:val="24"/>
        </w:rPr>
        <w:t>acts and circumstances</w:t>
      </w:r>
    </w:p>
    <w:p w14:paraId="7A2B1FF8" w14:textId="77777777" w:rsidR="009D1F43" w:rsidRDefault="009D1F43" w:rsidP="001A6024">
      <w:pPr>
        <w:spacing w:line="360" w:lineRule="auto"/>
        <w:rPr>
          <w:rFonts w:ascii="Arial" w:hAnsi="Arial" w:cs="Arial"/>
          <w:sz w:val="24"/>
          <w:szCs w:val="24"/>
        </w:rPr>
      </w:pPr>
    </w:p>
    <w:p w14:paraId="7554B571" w14:textId="6E679699"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FC23EF" w:rsidRPr="007B0231">
        <w:rPr>
          <w:rFonts w:ascii="Arial" w:hAnsi="Arial" w:cs="Arial"/>
          <w:sz w:val="24"/>
          <w:szCs w:val="24"/>
        </w:rPr>
        <w:t xml:space="preserve">The court has already found that the </w:t>
      </w:r>
      <w:r w:rsidR="00A77970" w:rsidRPr="007B0231">
        <w:rPr>
          <w:rFonts w:ascii="Arial" w:hAnsi="Arial" w:cs="Arial"/>
          <w:sz w:val="24"/>
          <w:szCs w:val="24"/>
        </w:rPr>
        <w:t xml:space="preserve">applicant’s delay in the institution of proceedings was unreasonable. The </w:t>
      </w:r>
      <w:r w:rsidR="00EC35E6" w:rsidRPr="007B0231">
        <w:rPr>
          <w:rFonts w:ascii="Arial" w:hAnsi="Arial" w:cs="Arial"/>
          <w:sz w:val="24"/>
          <w:szCs w:val="24"/>
        </w:rPr>
        <w:t xml:space="preserve">applicant </w:t>
      </w:r>
      <w:r w:rsidR="00730591" w:rsidRPr="007B0231">
        <w:rPr>
          <w:rFonts w:ascii="Arial" w:hAnsi="Arial" w:cs="Arial"/>
          <w:sz w:val="24"/>
          <w:szCs w:val="24"/>
        </w:rPr>
        <w:t>has</w:t>
      </w:r>
      <w:r w:rsidR="00EC35E6" w:rsidRPr="007B0231">
        <w:rPr>
          <w:rFonts w:ascii="Arial" w:hAnsi="Arial" w:cs="Arial"/>
          <w:sz w:val="24"/>
          <w:szCs w:val="24"/>
        </w:rPr>
        <w:t>, moreover,</w:t>
      </w:r>
      <w:r w:rsidR="00730591" w:rsidRPr="007B0231">
        <w:rPr>
          <w:rFonts w:ascii="Arial" w:hAnsi="Arial" w:cs="Arial"/>
          <w:sz w:val="24"/>
          <w:szCs w:val="24"/>
        </w:rPr>
        <w:t xml:space="preserve"> not been wholly persuasive regarding the </w:t>
      </w:r>
      <w:r w:rsidR="00EC35E6" w:rsidRPr="007B0231">
        <w:rPr>
          <w:rFonts w:ascii="Arial" w:hAnsi="Arial" w:cs="Arial"/>
          <w:sz w:val="24"/>
          <w:szCs w:val="24"/>
        </w:rPr>
        <w:t xml:space="preserve">cause of the delay. </w:t>
      </w:r>
      <w:r w:rsidR="00340925" w:rsidRPr="007B0231">
        <w:rPr>
          <w:rFonts w:ascii="Arial" w:hAnsi="Arial" w:cs="Arial"/>
          <w:sz w:val="24"/>
          <w:szCs w:val="24"/>
        </w:rPr>
        <w:t xml:space="preserve">Nevertheless, the role of the tribunal, appeal authority, and the municipality </w:t>
      </w:r>
      <w:r w:rsidR="00DC6540" w:rsidRPr="007B0231">
        <w:rPr>
          <w:rFonts w:ascii="Arial" w:hAnsi="Arial" w:cs="Arial"/>
          <w:sz w:val="24"/>
          <w:szCs w:val="24"/>
        </w:rPr>
        <w:t xml:space="preserve">cannot be ignored. It is not </w:t>
      </w:r>
      <w:r w:rsidR="001E7620" w:rsidRPr="007B0231">
        <w:rPr>
          <w:rFonts w:ascii="Arial" w:hAnsi="Arial" w:cs="Arial"/>
          <w:sz w:val="24"/>
          <w:szCs w:val="24"/>
        </w:rPr>
        <w:t>clear</w:t>
      </w:r>
      <w:r w:rsidR="00DC6540" w:rsidRPr="007B0231">
        <w:rPr>
          <w:rFonts w:ascii="Arial" w:hAnsi="Arial" w:cs="Arial"/>
          <w:sz w:val="24"/>
          <w:szCs w:val="24"/>
        </w:rPr>
        <w:t xml:space="preserve"> from the papers why the </w:t>
      </w:r>
      <w:r w:rsidR="0009105E" w:rsidRPr="007B0231">
        <w:rPr>
          <w:rFonts w:ascii="Arial" w:hAnsi="Arial" w:cs="Arial"/>
          <w:sz w:val="24"/>
          <w:szCs w:val="24"/>
        </w:rPr>
        <w:t xml:space="preserve">hearings </w:t>
      </w:r>
      <w:r w:rsidR="00D6515A" w:rsidRPr="007B0231">
        <w:rPr>
          <w:rFonts w:ascii="Arial" w:hAnsi="Arial" w:cs="Arial"/>
          <w:sz w:val="24"/>
          <w:szCs w:val="24"/>
        </w:rPr>
        <w:t xml:space="preserve">for the departure and removal application and the appeal could not have been </w:t>
      </w:r>
      <w:r w:rsidR="00A25948" w:rsidRPr="007B0231">
        <w:rPr>
          <w:rFonts w:ascii="Arial" w:hAnsi="Arial" w:cs="Arial"/>
          <w:sz w:val="24"/>
          <w:szCs w:val="24"/>
        </w:rPr>
        <w:t>held earlier.</w:t>
      </w:r>
      <w:r w:rsidR="000D624D" w:rsidRPr="007B0231">
        <w:rPr>
          <w:rFonts w:ascii="Arial" w:hAnsi="Arial" w:cs="Arial"/>
          <w:sz w:val="24"/>
          <w:szCs w:val="24"/>
        </w:rPr>
        <w:t xml:space="preserve"> The delay</w:t>
      </w:r>
      <w:r w:rsidR="002157BA" w:rsidRPr="007B0231">
        <w:rPr>
          <w:rFonts w:ascii="Arial" w:hAnsi="Arial" w:cs="Arial"/>
          <w:sz w:val="24"/>
          <w:szCs w:val="24"/>
        </w:rPr>
        <w:t xml:space="preserve"> in the institution of review proceedings, </w:t>
      </w:r>
      <w:r w:rsidR="001E7620" w:rsidRPr="007B0231">
        <w:rPr>
          <w:rFonts w:ascii="Arial" w:hAnsi="Arial" w:cs="Arial"/>
          <w:sz w:val="24"/>
          <w:szCs w:val="24"/>
        </w:rPr>
        <w:t>however</w:t>
      </w:r>
      <w:r w:rsidR="002157BA" w:rsidRPr="007B0231">
        <w:rPr>
          <w:rFonts w:ascii="Arial" w:hAnsi="Arial" w:cs="Arial"/>
          <w:sz w:val="24"/>
          <w:szCs w:val="24"/>
        </w:rPr>
        <w:t>, was 56 days.</w:t>
      </w:r>
      <w:r w:rsidR="002157BA">
        <w:rPr>
          <w:rStyle w:val="FootnoteReference"/>
          <w:rFonts w:ascii="Arial" w:hAnsi="Arial" w:cs="Arial"/>
          <w:sz w:val="24"/>
          <w:szCs w:val="24"/>
        </w:rPr>
        <w:footnoteReference w:id="73"/>
      </w:r>
      <w:r w:rsidR="001E7620" w:rsidRPr="007B0231">
        <w:rPr>
          <w:rFonts w:ascii="Arial" w:hAnsi="Arial" w:cs="Arial"/>
          <w:sz w:val="24"/>
          <w:szCs w:val="24"/>
        </w:rPr>
        <w:t xml:space="preserve"> </w:t>
      </w:r>
      <w:r w:rsidR="004A59CC" w:rsidRPr="007B0231">
        <w:rPr>
          <w:rFonts w:ascii="Arial" w:hAnsi="Arial" w:cs="Arial"/>
          <w:sz w:val="24"/>
          <w:szCs w:val="24"/>
        </w:rPr>
        <w:t xml:space="preserve">Mindful of the </w:t>
      </w:r>
      <w:r w:rsidR="004F5C02" w:rsidRPr="007B0231">
        <w:rPr>
          <w:rFonts w:ascii="Arial" w:hAnsi="Arial" w:cs="Arial"/>
          <w:sz w:val="24"/>
          <w:szCs w:val="24"/>
        </w:rPr>
        <w:t xml:space="preserve">strong </w:t>
      </w:r>
      <w:r w:rsidR="00D134E4" w:rsidRPr="007B0231">
        <w:rPr>
          <w:rFonts w:ascii="Arial" w:hAnsi="Arial" w:cs="Arial"/>
          <w:sz w:val="24"/>
          <w:szCs w:val="24"/>
        </w:rPr>
        <w:t>re</w:t>
      </w:r>
      <w:r w:rsidR="00002734" w:rsidRPr="007B0231">
        <w:rPr>
          <w:rFonts w:ascii="Arial" w:hAnsi="Arial" w:cs="Arial"/>
          <w:sz w:val="24"/>
          <w:szCs w:val="24"/>
        </w:rPr>
        <w:t>action</w:t>
      </w:r>
      <w:r w:rsidR="00D134E4" w:rsidRPr="007B0231">
        <w:rPr>
          <w:rFonts w:ascii="Arial" w:hAnsi="Arial" w:cs="Arial"/>
          <w:sz w:val="24"/>
          <w:szCs w:val="24"/>
        </w:rPr>
        <w:t xml:space="preserve"> that the fourth respondent’s </w:t>
      </w:r>
      <w:r w:rsidR="00A12001" w:rsidRPr="007B0231">
        <w:rPr>
          <w:rFonts w:ascii="Arial" w:hAnsi="Arial" w:cs="Arial"/>
          <w:sz w:val="24"/>
          <w:szCs w:val="24"/>
        </w:rPr>
        <w:t xml:space="preserve">application </w:t>
      </w:r>
      <w:r w:rsidR="00161AF9" w:rsidRPr="007B0231">
        <w:rPr>
          <w:rFonts w:ascii="Arial" w:hAnsi="Arial" w:cs="Arial"/>
          <w:sz w:val="24"/>
          <w:szCs w:val="24"/>
        </w:rPr>
        <w:t xml:space="preserve">attracted, the </w:t>
      </w:r>
      <w:r w:rsidR="0045403A" w:rsidRPr="007B0231">
        <w:rPr>
          <w:rFonts w:ascii="Arial" w:hAnsi="Arial" w:cs="Arial"/>
          <w:sz w:val="24"/>
          <w:szCs w:val="24"/>
        </w:rPr>
        <w:t>comprehensive representations made by the parties</w:t>
      </w:r>
      <w:r w:rsidR="004A5989" w:rsidRPr="007B0231">
        <w:rPr>
          <w:rFonts w:ascii="Arial" w:hAnsi="Arial" w:cs="Arial"/>
          <w:sz w:val="24"/>
          <w:szCs w:val="24"/>
        </w:rPr>
        <w:t xml:space="preserve"> (</w:t>
      </w:r>
      <w:r w:rsidR="002066CD" w:rsidRPr="007B0231">
        <w:rPr>
          <w:rFonts w:ascii="Arial" w:hAnsi="Arial" w:cs="Arial"/>
          <w:sz w:val="24"/>
          <w:szCs w:val="24"/>
        </w:rPr>
        <w:t xml:space="preserve">with the assistance </w:t>
      </w:r>
      <w:r w:rsidR="009867D0" w:rsidRPr="007B0231">
        <w:rPr>
          <w:rFonts w:ascii="Arial" w:hAnsi="Arial" w:cs="Arial"/>
          <w:sz w:val="24"/>
          <w:szCs w:val="24"/>
        </w:rPr>
        <w:t xml:space="preserve">of both legal and planning practitioners), the involvement of </w:t>
      </w:r>
      <w:r w:rsidR="00BC194E" w:rsidRPr="007B0231">
        <w:rPr>
          <w:rFonts w:ascii="Arial" w:hAnsi="Arial" w:cs="Arial"/>
          <w:sz w:val="24"/>
          <w:szCs w:val="24"/>
        </w:rPr>
        <w:t>COGTA</w:t>
      </w:r>
      <w:r w:rsidR="00265CCB" w:rsidRPr="007B0231">
        <w:rPr>
          <w:rFonts w:ascii="Arial" w:hAnsi="Arial" w:cs="Arial"/>
          <w:sz w:val="24"/>
          <w:szCs w:val="24"/>
        </w:rPr>
        <w:t xml:space="preserve"> and other third parties</w:t>
      </w:r>
      <w:r w:rsidR="00BC194E" w:rsidRPr="007B0231">
        <w:rPr>
          <w:rFonts w:ascii="Arial" w:hAnsi="Arial" w:cs="Arial"/>
          <w:sz w:val="24"/>
          <w:szCs w:val="24"/>
        </w:rPr>
        <w:t xml:space="preserve">, </w:t>
      </w:r>
      <w:r w:rsidR="00745465" w:rsidRPr="007B0231">
        <w:rPr>
          <w:rFonts w:ascii="Arial" w:hAnsi="Arial" w:cs="Arial"/>
          <w:sz w:val="24"/>
          <w:szCs w:val="24"/>
        </w:rPr>
        <w:t>and the conclusion of</w:t>
      </w:r>
      <w:r w:rsidR="00B333FD" w:rsidRPr="007B0231">
        <w:rPr>
          <w:rFonts w:ascii="Arial" w:hAnsi="Arial" w:cs="Arial"/>
          <w:sz w:val="24"/>
          <w:szCs w:val="24"/>
        </w:rPr>
        <w:t xml:space="preserve"> the</w:t>
      </w:r>
      <w:r w:rsidR="00745465" w:rsidRPr="007B0231">
        <w:rPr>
          <w:rFonts w:ascii="Arial" w:hAnsi="Arial" w:cs="Arial"/>
          <w:sz w:val="24"/>
          <w:szCs w:val="24"/>
        </w:rPr>
        <w:t xml:space="preserve"> appeal </w:t>
      </w:r>
      <w:r w:rsidR="00B333FD" w:rsidRPr="007B0231">
        <w:rPr>
          <w:rFonts w:ascii="Arial" w:hAnsi="Arial" w:cs="Arial"/>
          <w:sz w:val="24"/>
          <w:szCs w:val="24"/>
        </w:rPr>
        <w:t xml:space="preserve">process, </w:t>
      </w:r>
      <w:r w:rsidR="00AF5AC5" w:rsidRPr="007B0231">
        <w:rPr>
          <w:rFonts w:ascii="Arial" w:hAnsi="Arial" w:cs="Arial"/>
          <w:sz w:val="24"/>
          <w:szCs w:val="24"/>
        </w:rPr>
        <w:t xml:space="preserve">all </w:t>
      </w:r>
      <w:r w:rsidR="00421F13" w:rsidRPr="007B0231">
        <w:rPr>
          <w:rFonts w:ascii="Arial" w:hAnsi="Arial" w:cs="Arial"/>
          <w:sz w:val="24"/>
          <w:szCs w:val="24"/>
        </w:rPr>
        <w:t xml:space="preserve">taking place over </w:t>
      </w:r>
      <w:r w:rsidR="008F30F7" w:rsidRPr="007B0231">
        <w:rPr>
          <w:rFonts w:ascii="Arial" w:hAnsi="Arial" w:cs="Arial"/>
          <w:sz w:val="24"/>
          <w:szCs w:val="24"/>
        </w:rPr>
        <w:t>a</w:t>
      </w:r>
      <w:r w:rsidR="00C20026" w:rsidRPr="007B0231">
        <w:rPr>
          <w:rFonts w:ascii="Arial" w:hAnsi="Arial" w:cs="Arial"/>
          <w:sz w:val="24"/>
          <w:szCs w:val="24"/>
        </w:rPr>
        <w:t xml:space="preserve">pproximately </w:t>
      </w:r>
      <w:r w:rsidR="00AE2FF7" w:rsidRPr="007B0231">
        <w:rPr>
          <w:rFonts w:ascii="Arial" w:hAnsi="Arial" w:cs="Arial"/>
          <w:sz w:val="24"/>
          <w:szCs w:val="24"/>
        </w:rPr>
        <w:t xml:space="preserve">three years, </w:t>
      </w:r>
      <w:r w:rsidR="00BF6969" w:rsidRPr="007B0231">
        <w:rPr>
          <w:rFonts w:ascii="Arial" w:hAnsi="Arial" w:cs="Arial"/>
          <w:sz w:val="24"/>
          <w:szCs w:val="24"/>
        </w:rPr>
        <w:t xml:space="preserve">it </w:t>
      </w:r>
      <w:r w:rsidR="002102B1" w:rsidRPr="007B0231">
        <w:rPr>
          <w:rFonts w:ascii="Arial" w:hAnsi="Arial" w:cs="Arial"/>
          <w:sz w:val="24"/>
          <w:szCs w:val="24"/>
        </w:rPr>
        <w:t xml:space="preserve">would not be entirely fair to </w:t>
      </w:r>
      <w:r w:rsidR="008F30F7" w:rsidRPr="007B0231">
        <w:rPr>
          <w:rFonts w:ascii="Arial" w:hAnsi="Arial" w:cs="Arial"/>
          <w:sz w:val="24"/>
          <w:szCs w:val="24"/>
        </w:rPr>
        <w:t>penaliz</w:t>
      </w:r>
      <w:r w:rsidR="003752E4" w:rsidRPr="007B0231">
        <w:rPr>
          <w:rFonts w:ascii="Arial" w:hAnsi="Arial" w:cs="Arial"/>
          <w:sz w:val="24"/>
          <w:szCs w:val="24"/>
        </w:rPr>
        <w:t xml:space="preserve">e </w:t>
      </w:r>
      <w:r w:rsidR="00726B8F" w:rsidRPr="007B0231">
        <w:rPr>
          <w:rFonts w:ascii="Arial" w:hAnsi="Arial" w:cs="Arial"/>
          <w:sz w:val="24"/>
          <w:szCs w:val="24"/>
        </w:rPr>
        <w:t xml:space="preserve">the applicant for </w:t>
      </w:r>
      <w:r w:rsidR="00634449" w:rsidRPr="007B0231">
        <w:rPr>
          <w:rFonts w:ascii="Arial" w:hAnsi="Arial" w:cs="Arial"/>
          <w:sz w:val="24"/>
          <w:szCs w:val="24"/>
        </w:rPr>
        <w:t xml:space="preserve">a further delay of </w:t>
      </w:r>
      <w:r w:rsidR="00B34661" w:rsidRPr="007B0231">
        <w:rPr>
          <w:rFonts w:ascii="Arial" w:hAnsi="Arial" w:cs="Arial"/>
          <w:sz w:val="24"/>
          <w:szCs w:val="24"/>
        </w:rPr>
        <w:t xml:space="preserve">slightly less than two months after the </w:t>
      </w:r>
      <w:r w:rsidR="00EA1022" w:rsidRPr="007B0231">
        <w:rPr>
          <w:rFonts w:ascii="Arial" w:hAnsi="Arial" w:cs="Arial"/>
          <w:sz w:val="24"/>
          <w:szCs w:val="24"/>
        </w:rPr>
        <w:t xml:space="preserve">expiry of the </w:t>
      </w:r>
      <w:r w:rsidR="00B34661" w:rsidRPr="007B0231">
        <w:rPr>
          <w:rFonts w:ascii="Arial" w:hAnsi="Arial" w:cs="Arial"/>
          <w:sz w:val="24"/>
          <w:szCs w:val="24"/>
        </w:rPr>
        <w:t>statutory 180-day period.</w:t>
      </w:r>
      <w:r w:rsidR="004244C7" w:rsidRPr="007B0231">
        <w:rPr>
          <w:rFonts w:ascii="Arial" w:hAnsi="Arial" w:cs="Arial"/>
          <w:sz w:val="24"/>
          <w:szCs w:val="24"/>
        </w:rPr>
        <w:t xml:space="preserve"> </w:t>
      </w:r>
    </w:p>
    <w:p w14:paraId="1B797504" w14:textId="77777777" w:rsidR="0030569B" w:rsidRDefault="0030569B" w:rsidP="0030569B">
      <w:pPr>
        <w:pStyle w:val="ListParagraph"/>
        <w:spacing w:line="360" w:lineRule="auto"/>
        <w:ind w:left="0"/>
        <w:jc w:val="both"/>
        <w:rPr>
          <w:rFonts w:ascii="Arial" w:hAnsi="Arial" w:cs="Arial"/>
          <w:sz w:val="24"/>
          <w:szCs w:val="24"/>
        </w:rPr>
      </w:pPr>
    </w:p>
    <w:p w14:paraId="4F863C44" w14:textId="4C56102E"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[90]</w:t>
      </w:r>
      <w:r>
        <w:rPr>
          <w:rFonts w:ascii="Arial" w:hAnsi="Arial" w:cs="Arial"/>
          <w:sz w:val="24"/>
          <w:szCs w:val="24"/>
        </w:rPr>
        <w:tab/>
      </w:r>
      <w:r w:rsidR="008D18D9" w:rsidRPr="007B0231">
        <w:rPr>
          <w:rFonts w:ascii="Arial" w:hAnsi="Arial" w:cs="Arial"/>
          <w:sz w:val="24"/>
          <w:szCs w:val="24"/>
        </w:rPr>
        <w:t xml:space="preserve">The potential prejudice that would be caused to the </w:t>
      </w:r>
      <w:r w:rsidR="00D47EB7" w:rsidRPr="007B0231">
        <w:rPr>
          <w:rFonts w:ascii="Arial" w:hAnsi="Arial" w:cs="Arial"/>
          <w:sz w:val="24"/>
          <w:szCs w:val="24"/>
        </w:rPr>
        <w:t xml:space="preserve">fourth respondent </w:t>
      </w:r>
      <w:r w:rsidR="000D4533" w:rsidRPr="007B0231">
        <w:rPr>
          <w:rFonts w:ascii="Arial" w:hAnsi="Arial" w:cs="Arial"/>
          <w:sz w:val="24"/>
          <w:szCs w:val="24"/>
        </w:rPr>
        <w:t>if</w:t>
      </w:r>
      <w:r w:rsidR="00D47EB7" w:rsidRPr="007B0231">
        <w:rPr>
          <w:rFonts w:ascii="Arial" w:hAnsi="Arial" w:cs="Arial"/>
          <w:sz w:val="24"/>
          <w:szCs w:val="24"/>
        </w:rPr>
        <w:t xml:space="preserve"> the </w:t>
      </w:r>
      <w:r w:rsidR="00E6362C" w:rsidRPr="007B0231">
        <w:rPr>
          <w:rFonts w:ascii="Arial" w:hAnsi="Arial" w:cs="Arial"/>
          <w:sz w:val="24"/>
          <w:szCs w:val="24"/>
        </w:rPr>
        <w:t xml:space="preserve">extension application </w:t>
      </w:r>
      <w:r w:rsidR="000D4533" w:rsidRPr="007B0231">
        <w:rPr>
          <w:rFonts w:ascii="Arial" w:hAnsi="Arial" w:cs="Arial"/>
          <w:sz w:val="24"/>
          <w:szCs w:val="24"/>
        </w:rPr>
        <w:t xml:space="preserve">were </w:t>
      </w:r>
      <w:r w:rsidR="00E6362C" w:rsidRPr="007B0231">
        <w:rPr>
          <w:rFonts w:ascii="Arial" w:hAnsi="Arial" w:cs="Arial"/>
          <w:sz w:val="24"/>
          <w:szCs w:val="24"/>
        </w:rPr>
        <w:t>to be granted</w:t>
      </w:r>
      <w:r w:rsidR="006133E6" w:rsidRPr="007B0231">
        <w:rPr>
          <w:rFonts w:ascii="Arial" w:hAnsi="Arial" w:cs="Arial"/>
          <w:sz w:val="24"/>
          <w:szCs w:val="24"/>
        </w:rPr>
        <w:t xml:space="preserve"> is not </w:t>
      </w:r>
      <w:r w:rsidR="008B43F1" w:rsidRPr="007B0231">
        <w:rPr>
          <w:rFonts w:ascii="Arial" w:hAnsi="Arial" w:cs="Arial"/>
          <w:sz w:val="24"/>
          <w:szCs w:val="24"/>
        </w:rPr>
        <w:t>easi</w:t>
      </w:r>
      <w:r w:rsidR="00AA0CE9" w:rsidRPr="007B0231">
        <w:rPr>
          <w:rFonts w:ascii="Arial" w:hAnsi="Arial" w:cs="Arial"/>
          <w:sz w:val="24"/>
          <w:szCs w:val="24"/>
        </w:rPr>
        <w:t>ly apparent</w:t>
      </w:r>
      <w:r w:rsidR="006133E6" w:rsidRPr="007B0231">
        <w:rPr>
          <w:rFonts w:ascii="Arial" w:hAnsi="Arial" w:cs="Arial"/>
          <w:sz w:val="24"/>
          <w:szCs w:val="24"/>
        </w:rPr>
        <w:t xml:space="preserve">. </w:t>
      </w:r>
      <w:r w:rsidR="00EE51AC" w:rsidRPr="007B0231">
        <w:rPr>
          <w:rFonts w:ascii="Arial" w:hAnsi="Arial" w:cs="Arial"/>
          <w:sz w:val="24"/>
          <w:szCs w:val="24"/>
        </w:rPr>
        <w:t>The parties have already presented their respective cases</w:t>
      </w:r>
      <w:r w:rsidR="00150917" w:rsidRPr="007B0231">
        <w:rPr>
          <w:rFonts w:ascii="Arial" w:hAnsi="Arial" w:cs="Arial"/>
          <w:sz w:val="24"/>
          <w:szCs w:val="24"/>
        </w:rPr>
        <w:t xml:space="preserve"> regarding the merits of the</w:t>
      </w:r>
      <w:r w:rsidR="00AD3331" w:rsidRPr="007B0231">
        <w:rPr>
          <w:rFonts w:ascii="Arial" w:hAnsi="Arial" w:cs="Arial"/>
          <w:sz w:val="24"/>
          <w:szCs w:val="24"/>
        </w:rPr>
        <w:t xml:space="preserve"> </w:t>
      </w:r>
      <w:r w:rsidR="00E03670" w:rsidRPr="007B0231">
        <w:rPr>
          <w:rFonts w:ascii="Arial" w:hAnsi="Arial" w:cs="Arial"/>
          <w:sz w:val="24"/>
          <w:szCs w:val="24"/>
        </w:rPr>
        <w:t xml:space="preserve">review proceedings. If </w:t>
      </w:r>
      <w:r w:rsidR="00E03670" w:rsidRPr="007B0231">
        <w:rPr>
          <w:rFonts w:ascii="Arial" w:hAnsi="Arial" w:cs="Arial"/>
          <w:sz w:val="24"/>
          <w:szCs w:val="24"/>
        </w:rPr>
        <w:lastRenderedPageBreak/>
        <w:t xml:space="preserve">anything, then such prejudice as may result is too closely linked to the </w:t>
      </w:r>
      <w:r w:rsidR="007351D2" w:rsidRPr="007B0231">
        <w:rPr>
          <w:rFonts w:ascii="Arial" w:hAnsi="Arial" w:cs="Arial"/>
          <w:sz w:val="24"/>
          <w:szCs w:val="24"/>
        </w:rPr>
        <w:t xml:space="preserve">determination of </w:t>
      </w:r>
      <w:r w:rsidR="008B43F1" w:rsidRPr="007B0231">
        <w:rPr>
          <w:rFonts w:ascii="Arial" w:hAnsi="Arial" w:cs="Arial"/>
          <w:sz w:val="24"/>
          <w:szCs w:val="24"/>
        </w:rPr>
        <w:t xml:space="preserve">the </w:t>
      </w:r>
      <w:r w:rsidR="003C74E9" w:rsidRPr="007B0231">
        <w:rPr>
          <w:rFonts w:ascii="Arial" w:hAnsi="Arial" w:cs="Arial"/>
          <w:sz w:val="24"/>
          <w:szCs w:val="24"/>
        </w:rPr>
        <w:t xml:space="preserve">merits for it to </w:t>
      </w:r>
      <w:r w:rsidR="0086781C" w:rsidRPr="007B0231">
        <w:rPr>
          <w:rFonts w:ascii="Arial" w:hAnsi="Arial" w:cs="Arial"/>
          <w:sz w:val="24"/>
          <w:szCs w:val="24"/>
        </w:rPr>
        <w:t>be a decisive factor</w:t>
      </w:r>
      <w:r w:rsidR="00320241" w:rsidRPr="007B0231">
        <w:rPr>
          <w:rFonts w:ascii="Arial" w:hAnsi="Arial" w:cs="Arial"/>
          <w:sz w:val="24"/>
          <w:szCs w:val="24"/>
        </w:rPr>
        <w:t xml:space="preserve"> in</w:t>
      </w:r>
      <w:r w:rsidR="00ED1013" w:rsidRPr="007B0231">
        <w:rPr>
          <w:rFonts w:ascii="Arial" w:hAnsi="Arial" w:cs="Arial"/>
          <w:sz w:val="24"/>
          <w:szCs w:val="24"/>
        </w:rPr>
        <w:t xml:space="preserve"> </w:t>
      </w:r>
      <w:r w:rsidR="0050170D" w:rsidRPr="007B0231">
        <w:rPr>
          <w:rFonts w:ascii="Arial" w:hAnsi="Arial" w:cs="Arial"/>
          <w:sz w:val="24"/>
          <w:szCs w:val="24"/>
        </w:rPr>
        <w:t>relation to the immediate issue</w:t>
      </w:r>
      <w:r w:rsidR="00320241" w:rsidRPr="007B0231">
        <w:rPr>
          <w:rFonts w:ascii="Arial" w:hAnsi="Arial" w:cs="Arial"/>
          <w:sz w:val="24"/>
          <w:szCs w:val="24"/>
        </w:rPr>
        <w:t>.</w:t>
      </w:r>
      <w:r w:rsidR="00150917" w:rsidRPr="007B0231">
        <w:rPr>
          <w:rFonts w:ascii="Arial" w:hAnsi="Arial" w:cs="Arial"/>
          <w:sz w:val="24"/>
          <w:szCs w:val="24"/>
        </w:rPr>
        <w:t xml:space="preserve"> </w:t>
      </w:r>
    </w:p>
    <w:p w14:paraId="6BC2D557" w14:textId="77777777" w:rsidR="0030569B" w:rsidRPr="0030569B" w:rsidRDefault="0030569B" w:rsidP="0030569B">
      <w:pPr>
        <w:pStyle w:val="ListParagraph"/>
        <w:rPr>
          <w:rFonts w:ascii="Arial" w:hAnsi="Arial" w:cs="Arial"/>
          <w:sz w:val="24"/>
          <w:szCs w:val="24"/>
        </w:rPr>
      </w:pPr>
    </w:p>
    <w:p w14:paraId="523783C0" w14:textId="67473A63" w:rsidR="009D1F43"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[91]</w:t>
      </w:r>
      <w:r w:rsidRPr="0030569B">
        <w:rPr>
          <w:rFonts w:ascii="Arial" w:hAnsi="Arial" w:cs="Arial"/>
          <w:sz w:val="24"/>
          <w:szCs w:val="24"/>
        </w:rPr>
        <w:tab/>
      </w:r>
      <w:r w:rsidR="00FE5CF5" w:rsidRPr="007B0231">
        <w:rPr>
          <w:rFonts w:ascii="Arial" w:hAnsi="Arial" w:cs="Arial"/>
          <w:sz w:val="24"/>
          <w:szCs w:val="24"/>
        </w:rPr>
        <w:t xml:space="preserve">Once the </w:t>
      </w:r>
      <w:r w:rsidR="00EB48C2" w:rsidRPr="007B0231">
        <w:rPr>
          <w:rFonts w:ascii="Arial" w:hAnsi="Arial" w:cs="Arial"/>
          <w:sz w:val="24"/>
          <w:szCs w:val="24"/>
        </w:rPr>
        <w:t>applicant’s favourable prospects of success are considered</w:t>
      </w:r>
      <w:r w:rsidR="009E3EFC" w:rsidRPr="007B0231">
        <w:rPr>
          <w:rFonts w:ascii="Arial" w:hAnsi="Arial" w:cs="Arial"/>
          <w:sz w:val="24"/>
          <w:szCs w:val="24"/>
        </w:rPr>
        <w:t xml:space="preserve">, </w:t>
      </w:r>
      <w:r w:rsidR="003752E4" w:rsidRPr="007B0231">
        <w:rPr>
          <w:rFonts w:ascii="Arial" w:hAnsi="Arial" w:cs="Arial"/>
          <w:sz w:val="24"/>
          <w:szCs w:val="24"/>
        </w:rPr>
        <w:t>it becomes diffi</w:t>
      </w:r>
      <w:r w:rsidR="00EF50CC" w:rsidRPr="007B0231">
        <w:rPr>
          <w:rFonts w:ascii="Arial" w:hAnsi="Arial" w:cs="Arial"/>
          <w:sz w:val="24"/>
          <w:szCs w:val="24"/>
        </w:rPr>
        <w:t xml:space="preserve">cult to refuse the application for </w:t>
      </w:r>
      <w:r w:rsidR="00D32C06" w:rsidRPr="007B0231">
        <w:rPr>
          <w:rFonts w:ascii="Arial" w:hAnsi="Arial" w:cs="Arial"/>
          <w:sz w:val="24"/>
          <w:szCs w:val="24"/>
        </w:rPr>
        <w:t xml:space="preserve">an extension. </w:t>
      </w:r>
      <w:r w:rsidR="00D10B0F" w:rsidRPr="007B0231">
        <w:rPr>
          <w:rFonts w:ascii="Arial" w:hAnsi="Arial" w:cs="Arial"/>
          <w:sz w:val="24"/>
          <w:szCs w:val="24"/>
        </w:rPr>
        <w:t xml:space="preserve">The cumulative </w:t>
      </w:r>
      <w:r w:rsidR="00BE3411" w:rsidRPr="007B0231">
        <w:rPr>
          <w:rFonts w:ascii="Arial" w:hAnsi="Arial" w:cs="Arial"/>
          <w:sz w:val="24"/>
          <w:szCs w:val="24"/>
        </w:rPr>
        <w:t>i</w:t>
      </w:r>
      <w:r w:rsidR="0036231F" w:rsidRPr="007B0231">
        <w:rPr>
          <w:rFonts w:ascii="Arial" w:hAnsi="Arial" w:cs="Arial"/>
          <w:sz w:val="24"/>
          <w:szCs w:val="24"/>
        </w:rPr>
        <w:t>mpa</w:t>
      </w:r>
      <w:r w:rsidR="00D10B0F" w:rsidRPr="007B0231">
        <w:rPr>
          <w:rFonts w:ascii="Arial" w:hAnsi="Arial" w:cs="Arial"/>
          <w:sz w:val="24"/>
          <w:szCs w:val="24"/>
        </w:rPr>
        <w:t xml:space="preserve">ct of all the relevant facts and circumstances </w:t>
      </w:r>
      <w:r w:rsidR="00BE3411" w:rsidRPr="007B0231">
        <w:rPr>
          <w:rFonts w:ascii="Arial" w:hAnsi="Arial" w:cs="Arial"/>
          <w:sz w:val="24"/>
          <w:szCs w:val="24"/>
        </w:rPr>
        <w:t>favour</w:t>
      </w:r>
      <w:r w:rsidR="00CB0BA7" w:rsidRPr="007B0231">
        <w:rPr>
          <w:rFonts w:ascii="Arial" w:hAnsi="Arial" w:cs="Arial"/>
          <w:sz w:val="24"/>
          <w:szCs w:val="24"/>
        </w:rPr>
        <w:t>s</w:t>
      </w:r>
      <w:r w:rsidR="00BE3411" w:rsidRPr="007B0231">
        <w:rPr>
          <w:rFonts w:ascii="Arial" w:hAnsi="Arial" w:cs="Arial"/>
          <w:sz w:val="24"/>
          <w:szCs w:val="24"/>
        </w:rPr>
        <w:t xml:space="preserve"> the applicant</w:t>
      </w:r>
      <w:r w:rsidR="00EB17B3" w:rsidRPr="007B0231">
        <w:rPr>
          <w:rFonts w:ascii="Arial" w:hAnsi="Arial" w:cs="Arial"/>
          <w:sz w:val="24"/>
          <w:szCs w:val="24"/>
        </w:rPr>
        <w:t xml:space="preserve">. </w:t>
      </w:r>
    </w:p>
    <w:p w14:paraId="1B6338F8" w14:textId="77777777" w:rsidR="009252AF" w:rsidRDefault="009252AF" w:rsidP="001A6024">
      <w:pPr>
        <w:spacing w:line="360" w:lineRule="auto"/>
        <w:rPr>
          <w:rFonts w:ascii="Arial" w:hAnsi="Arial" w:cs="Arial"/>
          <w:sz w:val="24"/>
          <w:szCs w:val="24"/>
        </w:rPr>
      </w:pPr>
    </w:p>
    <w:p w14:paraId="4078DE30" w14:textId="255C67C2" w:rsidR="00F70B40" w:rsidRPr="001B2900" w:rsidRDefault="00F70B40" w:rsidP="0030569B">
      <w:pPr>
        <w:spacing w:line="360" w:lineRule="auto"/>
        <w:jc w:val="both"/>
        <w:rPr>
          <w:rFonts w:ascii="Arial" w:hAnsi="Arial" w:cs="Arial"/>
          <w:b/>
          <w:bCs/>
          <w:sz w:val="24"/>
          <w:szCs w:val="24"/>
        </w:rPr>
      </w:pPr>
      <w:r w:rsidRPr="001B2900">
        <w:rPr>
          <w:rFonts w:ascii="Arial" w:hAnsi="Arial" w:cs="Arial"/>
          <w:b/>
          <w:bCs/>
          <w:sz w:val="24"/>
          <w:szCs w:val="24"/>
        </w:rPr>
        <w:t>WHETHER THE DECISIONS ARE REVIEWABLE</w:t>
      </w:r>
    </w:p>
    <w:p w14:paraId="1555F9BE" w14:textId="77777777" w:rsidR="00F70B40" w:rsidRDefault="00F70B40" w:rsidP="001A6024">
      <w:pPr>
        <w:spacing w:line="360" w:lineRule="auto"/>
        <w:rPr>
          <w:rFonts w:ascii="Arial" w:hAnsi="Arial" w:cs="Arial"/>
          <w:sz w:val="24"/>
          <w:szCs w:val="24"/>
        </w:rPr>
      </w:pPr>
    </w:p>
    <w:p w14:paraId="1F1D6E1B" w14:textId="5641A381"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B0BA7" w:rsidRPr="007B0231">
        <w:rPr>
          <w:rFonts w:ascii="Arial" w:hAnsi="Arial" w:cs="Arial"/>
          <w:sz w:val="24"/>
          <w:szCs w:val="24"/>
        </w:rPr>
        <w:t xml:space="preserve">The tribunal’s failure to have </w:t>
      </w:r>
      <w:r w:rsidR="001B2900" w:rsidRPr="007B0231">
        <w:rPr>
          <w:rFonts w:ascii="Arial" w:hAnsi="Arial" w:cs="Arial"/>
          <w:sz w:val="24"/>
          <w:szCs w:val="24"/>
        </w:rPr>
        <w:t xml:space="preserve">appreciated the </w:t>
      </w:r>
      <w:r w:rsidR="00500E34" w:rsidRPr="007B0231">
        <w:rPr>
          <w:rFonts w:ascii="Arial" w:hAnsi="Arial" w:cs="Arial"/>
          <w:sz w:val="24"/>
          <w:szCs w:val="24"/>
        </w:rPr>
        <w:t xml:space="preserve">legal effect of the restrictive conditions </w:t>
      </w:r>
      <w:r w:rsidR="00F47050" w:rsidRPr="007B0231">
        <w:rPr>
          <w:rFonts w:ascii="Arial" w:hAnsi="Arial" w:cs="Arial"/>
          <w:sz w:val="24"/>
          <w:szCs w:val="24"/>
        </w:rPr>
        <w:t>in relation to the Kenton-on-Sea scheme</w:t>
      </w:r>
      <w:r w:rsidR="006174AF" w:rsidRPr="007B0231">
        <w:rPr>
          <w:rFonts w:ascii="Arial" w:hAnsi="Arial" w:cs="Arial"/>
          <w:sz w:val="24"/>
          <w:szCs w:val="24"/>
        </w:rPr>
        <w:t xml:space="preserve"> instead of the new scheme</w:t>
      </w:r>
      <w:r w:rsidR="003638EA" w:rsidRPr="007B0231">
        <w:rPr>
          <w:rFonts w:ascii="Arial" w:hAnsi="Arial" w:cs="Arial"/>
          <w:sz w:val="24"/>
          <w:szCs w:val="24"/>
        </w:rPr>
        <w:t xml:space="preserve"> </w:t>
      </w:r>
      <w:r w:rsidR="006174AF" w:rsidRPr="007B0231">
        <w:rPr>
          <w:rFonts w:ascii="Arial" w:hAnsi="Arial" w:cs="Arial"/>
          <w:sz w:val="24"/>
          <w:szCs w:val="24"/>
        </w:rPr>
        <w:t xml:space="preserve">gave rise to an irregularity. </w:t>
      </w:r>
      <w:r w:rsidR="00AA5AAC" w:rsidRPr="007B0231">
        <w:rPr>
          <w:rFonts w:ascii="Arial" w:hAnsi="Arial" w:cs="Arial"/>
          <w:sz w:val="24"/>
          <w:szCs w:val="24"/>
        </w:rPr>
        <w:t xml:space="preserve">The </w:t>
      </w:r>
      <w:r w:rsidR="00FD498C" w:rsidRPr="007B0231">
        <w:rPr>
          <w:rFonts w:ascii="Arial" w:hAnsi="Arial" w:cs="Arial"/>
          <w:sz w:val="24"/>
          <w:szCs w:val="24"/>
        </w:rPr>
        <w:t xml:space="preserve">resulting </w:t>
      </w:r>
      <w:r w:rsidR="00AA5AAC" w:rsidRPr="007B0231">
        <w:rPr>
          <w:rFonts w:ascii="Arial" w:hAnsi="Arial" w:cs="Arial"/>
          <w:sz w:val="24"/>
          <w:szCs w:val="24"/>
        </w:rPr>
        <w:t xml:space="preserve">decision </w:t>
      </w:r>
      <w:r w:rsidR="00FD498C" w:rsidRPr="007B0231">
        <w:rPr>
          <w:rFonts w:ascii="Arial" w:hAnsi="Arial" w:cs="Arial"/>
          <w:sz w:val="24"/>
          <w:szCs w:val="24"/>
        </w:rPr>
        <w:t xml:space="preserve">was </w:t>
      </w:r>
      <w:r w:rsidR="002016F7" w:rsidRPr="007B0231">
        <w:rPr>
          <w:rFonts w:ascii="Arial" w:hAnsi="Arial" w:cs="Arial"/>
          <w:sz w:val="24"/>
          <w:szCs w:val="24"/>
        </w:rPr>
        <w:t>materially influenced by an error in law</w:t>
      </w:r>
      <w:r w:rsidR="008A4D54" w:rsidRPr="007B0231">
        <w:rPr>
          <w:rFonts w:ascii="Arial" w:hAnsi="Arial" w:cs="Arial"/>
          <w:sz w:val="24"/>
          <w:szCs w:val="24"/>
        </w:rPr>
        <w:t xml:space="preserve">, as envisaged under section </w:t>
      </w:r>
      <w:r w:rsidR="002F6D34" w:rsidRPr="007B0231">
        <w:rPr>
          <w:rFonts w:ascii="Arial" w:hAnsi="Arial" w:cs="Arial"/>
          <w:sz w:val="24"/>
          <w:szCs w:val="24"/>
        </w:rPr>
        <w:t>6(2)(d) of PAJA</w:t>
      </w:r>
      <w:r w:rsidR="00374715" w:rsidRPr="007B0231">
        <w:rPr>
          <w:rFonts w:ascii="Arial" w:hAnsi="Arial" w:cs="Arial"/>
          <w:sz w:val="24"/>
          <w:szCs w:val="24"/>
        </w:rPr>
        <w:t xml:space="preserve">. </w:t>
      </w:r>
      <w:r w:rsidR="001C2512" w:rsidRPr="007B0231">
        <w:rPr>
          <w:rFonts w:ascii="Arial" w:hAnsi="Arial" w:cs="Arial"/>
          <w:sz w:val="24"/>
          <w:szCs w:val="24"/>
        </w:rPr>
        <w:t xml:space="preserve">It could also be said that </w:t>
      </w:r>
      <w:r w:rsidR="00876297" w:rsidRPr="007B0231">
        <w:rPr>
          <w:rFonts w:ascii="Arial" w:hAnsi="Arial" w:cs="Arial"/>
          <w:sz w:val="24"/>
          <w:szCs w:val="24"/>
        </w:rPr>
        <w:t>it fell within the ambit of section 6(2)(</w:t>
      </w:r>
      <w:r w:rsidR="0078414D" w:rsidRPr="007B0231">
        <w:rPr>
          <w:rFonts w:ascii="Arial" w:hAnsi="Arial" w:cs="Arial"/>
          <w:sz w:val="24"/>
          <w:szCs w:val="24"/>
        </w:rPr>
        <w:t xml:space="preserve">f)(ii) </w:t>
      </w:r>
      <w:r w:rsidR="00A64EDE" w:rsidRPr="007B0231">
        <w:rPr>
          <w:rFonts w:ascii="Arial" w:hAnsi="Arial" w:cs="Arial"/>
          <w:sz w:val="24"/>
          <w:szCs w:val="24"/>
        </w:rPr>
        <w:t>since</w:t>
      </w:r>
      <w:r w:rsidR="0078414D" w:rsidRPr="007B0231">
        <w:rPr>
          <w:rFonts w:ascii="Arial" w:hAnsi="Arial" w:cs="Arial"/>
          <w:sz w:val="24"/>
          <w:szCs w:val="24"/>
        </w:rPr>
        <w:t xml:space="preserve"> </w:t>
      </w:r>
      <w:r w:rsidR="00A93DC2" w:rsidRPr="007B0231">
        <w:rPr>
          <w:rFonts w:ascii="Arial" w:hAnsi="Arial" w:cs="Arial"/>
          <w:sz w:val="24"/>
          <w:szCs w:val="24"/>
        </w:rPr>
        <w:t xml:space="preserve">it was not rationally connected to the information </w:t>
      </w:r>
      <w:r w:rsidR="00B44043" w:rsidRPr="007B0231">
        <w:rPr>
          <w:rFonts w:ascii="Arial" w:hAnsi="Arial" w:cs="Arial"/>
          <w:sz w:val="24"/>
          <w:szCs w:val="24"/>
        </w:rPr>
        <w:t xml:space="preserve">before the tribunal, which included details of the </w:t>
      </w:r>
      <w:r w:rsidR="006A682F" w:rsidRPr="007B0231">
        <w:rPr>
          <w:rFonts w:ascii="Arial" w:hAnsi="Arial" w:cs="Arial"/>
          <w:sz w:val="24"/>
          <w:szCs w:val="24"/>
        </w:rPr>
        <w:t xml:space="preserve">restrictive conditions </w:t>
      </w:r>
      <w:r w:rsidR="00C02F48" w:rsidRPr="007B0231">
        <w:rPr>
          <w:rFonts w:ascii="Arial" w:hAnsi="Arial" w:cs="Arial"/>
          <w:sz w:val="24"/>
          <w:szCs w:val="24"/>
        </w:rPr>
        <w:t>in question as well as, undoubtedly, the Kenton-on-Sea scheme itself.</w:t>
      </w:r>
    </w:p>
    <w:p w14:paraId="3E2601F2" w14:textId="0EA5B5AF" w:rsidR="005E5FCE"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[93]</w:t>
      </w:r>
      <w:r w:rsidRPr="0030569B">
        <w:rPr>
          <w:rFonts w:ascii="Arial" w:hAnsi="Arial" w:cs="Arial"/>
          <w:sz w:val="24"/>
          <w:szCs w:val="24"/>
        </w:rPr>
        <w:tab/>
      </w:r>
      <w:r w:rsidR="005E5FCE" w:rsidRPr="007B0231">
        <w:rPr>
          <w:rFonts w:ascii="Arial" w:hAnsi="Arial" w:cs="Arial"/>
          <w:sz w:val="24"/>
          <w:szCs w:val="24"/>
        </w:rPr>
        <w:t>The appeal authority confirmed the tribunal’s decision</w:t>
      </w:r>
      <w:r w:rsidR="00A263C2" w:rsidRPr="007B0231">
        <w:rPr>
          <w:rFonts w:ascii="Arial" w:hAnsi="Arial" w:cs="Arial"/>
          <w:sz w:val="24"/>
          <w:szCs w:val="24"/>
        </w:rPr>
        <w:t xml:space="preserve">, </w:t>
      </w:r>
      <w:r w:rsidR="00B3589A" w:rsidRPr="007B0231">
        <w:rPr>
          <w:rFonts w:ascii="Arial" w:hAnsi="Arial" w:cs="Arial"/>
          <w:sz w:val="24"/>
          <w:szCs w:val="24"/>
        </w:rPr>
        <w:t xml:space="preserve">in accordance with the </w:t>
      </w:r>
      <w:r w:rsidR="00A263C2" w:rsidRPr="007B0231">
        <w:rPr>
          <w:rFonts w:ascii="Arial" w:hAnsi="Arial" w:cs="Arial"/>
          <w:sz w:val="24"/>
          <w:szCs w:val="24"/>
        </w:rPr>
        <w:t>authority given under section 163(1) of the SPLUM By-law.</w:t>
      </w:r>
      <w:r w:rsidR="005E5FCE" w:rsidRPr="007B0231">
        <w:rPr>
          <w:rFonts w:ascii="Arial" w:hAnsi="Arial" w:cs="Arial"/>
          <w:sz w:val="24"/>
          <w:szCs w:val="24"/>
        </w:rPr>
        <w:t xml:space="preserve"> </w:t>
      </w:r>
      <w:r w:rsidR="00F95017" w:rsidRPr="007B0231">
        <w:rPr>
          <w:rFonts w:ascii="Arial" w:hAnsi="Arial" w:cs="Arial"/>
          <w:sz w:val="24"/>
          <w:szCs w:val="24"/>
        </w:rPr>
        <w:t xml:space="preserve">In doing so, however, it </w:t>
      </w:r>
      <w:r w:rsidR="00147A6C" w:rsidRPr="007B0231">
        <w:rPr>
          <w:rFonts w:ascii="Arial" w:hAnsi="Arial" w:cs="Arial"/>
          <w:sz w:val="24"/>
          <w:szCs w:val="24"/>
        </w:rPr>
        <w:t>reasoned</w:t>
      </w:r>
      <w:r w:rsidR="00F95017" w:rsidRPr="007B0231">
        <w:rPr>
          <w:rFonts w:ascii="Arial" w:hAnsi="Arial" w:cs="Arial"/>
          <w:sz w:val="24"/>
          <w:szCs w:val="24"/>
        </w:rPr>
        <w:t xml:space="preserve"> that:</w:t>
      </w:r>
    </w:p>
    <w:p w14:paraId="67B44DB6" w14:textId="0FC0A926" w:rsidR="00F95017" w:rsidRPr="008D0740" w:rsidRDefault="00F95017" w:rsidP="0030569B">
      <w:pPr>
        <w:spacing w:line="360" w:lineRule="auto"/>
        <w:ind w:left="720"/>
        <w:jc w:val="both"/>
        <w:rPr>
          <w:rFonts w:ascii="Arial" w:hAnsi="Arial" w:cs="Arial"/>
        </w:rPr>
      </w:pPr>
      <w:r w:rsidRPr="008D0740">
        <w:rPr>
          <w:rFonts w:ascii="Arial" w:hAnsi="Arial" w:cs="Arial"/>
        </w:rPr>
        <w:t>‘</w:t>
      </w:r>
      <w:r w:rsidR="000C5309" w:rsidRPr="008D0740">
        <w:rPr>
          <w:rFonts w:ascii="Arial" w:hAnsi="Arial" w:cs="Arial"/>
        </w:rPr>
        <w:t>The Ndlambe Municipal Planning Tribunal</w:t>
      </w:r>
      <w:r w:rsidR="00784CD5" w:rsidRPr="008D0740">
        <w:rPr>
          <w:rFonts w:ascii="Arial" w:hAnsi="Arial" w:cs="Arial"/>
        </w:rPr>
        <w:t xml:space="preserve">’s </w:t>
      </w:r>
      <w:r w:rsidR="00042628" w:rsidRPr="008D0740">
        <w:rPr>
          <w:rFonts w:ascii="Arial" w:hAnsi="Arial" w:cs="Arial"/>
        </w:rPr>
        <w:t>reasons to approve the application was informed by relevant factors</w:t>
      </w:r>
      <w:r w:rsidR="006F583A" w:rsidRPr="008D0740">
        <w:rPr>
          <w:rFonts w:ascii="Arial" w:hAnsi="Arial" w:cs="Arial"/>
        </w:rPr>
        <w:t xml:space="preserve"> which are sound and well substantiated, therefore no fault can be found in the decision</w:t>
      </w:r>
      <w:r w:rsidR="00F14C1B" w:rsidRPr="008D0740">
        <w:rPr>
          <w:rFonts w:ascii="Arial" w:hAnsi="Arial" w:cs="Arial"/>
        </w:rPr>
        <w:t xml:space="preserve"> taken by the Municipal Planning Tribunal.’</w:t>
      </w:r>
      <w:r w:rsidR="00F14C1B" w:rsidRPr="008D0740">
        <w:rPr>
          <w:rStyle w:val="FootnoteReference"/>
          <w:rFonts w:ascii="Arial" w:hAnsi="Arial" w:cs="Arial"/>
        </w:rPr>
        <w:footnoteReference w:id="74"/>
      </w:r>
    </w:p>
    <w:p w14:paraId="7F329A5D" w14:textId="77777777" w:rsidR="000A72B0" w:rsidRDefault="000A72B0" w:rsidP="000A72B0">
      <w:pPr>
        <w:spacing w:line="360" w:lineRule="auto"/>
        <w:rPr>
          <w:rFonts w:ascii="Arial" w:hAnsi="Arial" w:cs="Arial"/>
          <w:sz w:val="24"/>
          <w:szCs w:val="24"/>
        </w:rPr>
      </w:pPr>
    </w:p>
    <w:p w14:paraId="2F50C515" w14:textId="044F8832"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0A72B0" w:rsidRPr="007B0231">
        <w:rPr>
          <w:rFonts w:ascii="Arial" w:hAnsi="Arial" w:cs="Arial"/>
          <w:sz w:val="24"/>
          <w:szCs w:val="24"/>
        </w:rPr>
        <w:t xml:space="preserve">The appeal authority failed, </w:t>
      </w:r>
      <w:r w:rsidR="0041551C" w:rsidRPr="007B0231">
        <w:rPr>
          <w:rFonts w:ascii="Arial" w:hAnsi="Arial" w:cs="Arial"/>
          <w:sz w:val="24"/>
          <w:szCs w:val="24"/>
        </w:rPr>
        <w:t>like the tribunal, to appreciate the legal effect of the restrictive conditions.</w:t>
      </w:r>
      <w:r w:rsidR="008D0740" w:rsidRPr="007B0231">
        <w:rPr>
          <w:rFonts w:ascii="Arial" w:hAnsi="Arial" w:cs="Arial"/>
          <w:sz w:val="24"/>
          <w:szCs w:val="24"/>
        </w:rPr>
        <w:t xml:space="preserve"> </w:t>
      </w:r>
      <w:r w:rsidR="00726053" w:rsidRPr="007B0231">
        <w:rPr>
          <w:rFonts w:ascii="Arial" w:hAnsi="Arial" w:cs="Arial"/>
          <w:sz w:val="24"/>
          <w:szCs w:val="24"/>
        </w:rPr>
        <w:t xml:space="preserve">This gave rise to an irregularity that </w:t>
      </w:r>
      <w:r w:rsidR="0062592B" w:rsidRPr="007B0231">
        <w:rPr>
          <w:rFonts w:ascii="Arial" w:hAnsi="Arial" w:cs="Arial"/>
          <w:sz w:val="24"/>
          <w:szCs w:val="24"/>
        </w:rPr>
        <w:t>informed i</w:t>
      </w:r>
      <w:r w:rsidR="008D0740" w:rsidRPr="007B0231">
        <w:rPr>
          <w:rFonts w:ascii="Arial" w:hAnsi="Arial" w:cs="Arial"/>
          <w:sz w:val="24"/>
          <w:szCs w:val="24"/>
        </w:rPr>
        <w:t>ts decision</w:t>
      </w:r>
      <w:r w:rsidR="0062592B" w:rsidRPr="007B0231">
        <w:rPr>
          <w:rFonts w:ascii="Arial" w:hAnsi="Arial" w:cs="Arial"/>
          <w:sz w:val="24"/>
          <w:szCs w:val="24"/>
        </w:rPr>
        <w:t xml:space="preserve">, </w:t>
      </w:r>
      <w:r w:rsidR="00600C38" w:rsidRPr="007B0231">
        <w:rPr>
          <w:rFonts w:ascii="Arial" w:hAnsi="Arial" w:cs="Arial"/>
          <w:sz w:val="24"/>
          <w:szCs w:val="24"/>
        </w:rPr>
        <w:t>establishing the same grounds for review as those described above.</w:t>
      </w:r>
      <w:r w:rsidR="00726053" w:rsidRPr="007B0231">
        <w:rPr>
          <w:rFonts w:ascii="Arial" w:hAnsi="Arial" w:cs="Arial"/>
          <w:sz w:val="24"/>
          <w:szCs w:val="24"/>
        </w:rPr>
        <w:t xml:space="preserve"> </w:t>
      </w:r>
    </w:p>
    <w:p w14:paraId="0F5FA2E7" w14:textId="77777777" w:rsidR="0030569B" w:rsidRDefault="0030569B" w:rsidP="0030569B">
      <w:pPr>
        <w:pStyle w:val="ListParagraph"/>
        <w:spacing w:line="360" w:lineRule="auto"/>
        <w:ind w:left="0"/>
        <w:jc w:val="both"/>
        <w:rPr>
          <w:rFonts w:ascii="Arial" w:hAnsi="Arial" w:cs="Arial"/>
          <w:sz w:val="24"/>
          <w:szCs w:val="24"/>
        </w:rPr>
      </w:pPr>
    </w:p>
    <w:p w14:paraId="12B4E740" w14:textId="60DAD7CC"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F06E36" w:rsidRPr="007B0231">
        <w:rPr>
          <w:rFonts w:ascii="Arial" w:hAnsi="Arial" w:cs="Arial"/>
          <w:sz w:val="24"/>
          <w:szCs w:val="24"/>
        </w:rPr>
        <w:t xml:space="preserve">In </w:t>
      </w:r>
      <w:r w:rsidR="00F739DA" w:rsidRPr="007B0231">
        <w:rPr>
          <w:rFonts w:ascii="Arial" w:hAnsi="Arial" w:cs="Arial"/>
          <w:i/>
          <w:iCs/>
          <w:sz w:val="24"/>
          <w:szCs w:val="24"/>
        </w:rPr>
        <w:t xml:space="preserve">Van Rensburg and another </w:t>
      </w:r>
      <w:r w:rsidR="00EA6ED3" w:rsidRPr="007B0231">
        <w:rPr>
          <w:rFonts w:ascii="Arial" w:hAnsi="Arial" w:cs="Arial"/>
          <w:i/>
          <w:iCs/>
          <w:sz w:val="24"/>
          <w:szCs w:val="24"/>
        </w:rPr>
        <w:t>NNO v Nelson Mandela Metropolitan Municipality and others</w:t>
      </w:r>
      <w:r w:rsidR="00EA6ED3" w:rsidRPr="007B0231">
        <w:rPr>
          <w:rFonts w:ascii="Arial" w:hAnsi="Arial" w:cs="Arial"/>
          <w:sz w:val="24"/>
          <w:szCs w:val="24"/>
        </w:rPr>
        <w:t>,</w:t>
      </w:r>
      <w:r w:rsidR="00EA6ED3">
        <w:rPr>
          <w:rStyle w:val="FootnoteReference"/>
          <w:rFonts w:ascii="Arial" w:hAnsi="Arial" w:cs="Arial"/>
          <w:sz w:val="24"/>
          <w:szCs w:val="24"/>
        </w:rPr>
        <w:footnoteReference w:id="75"/>
      </w:r>
      <w:r w:rsidR="00CF49BE" w:rsidRPr="007B0231">
        <w:rPr>
          <w:rFonts w:ascii="Arial" w:hAnsi="Arial" w:cs="Arial"/>
          <w:sz w:val="24"/>
          <w:szCs w:val="24"/>
        </w:rPr>
        <w:t xml:space="preserve"> Froneman J </w:t>
      </w:r>
      <w:r w:rsidR="001F1E7F" w:rsidRPr="007B0231">
        <w:rPr>
          <w:rFonts w:ascii="Arial" w:hAnsi="Arial" w:cs="Arial"/>
          <w:sz w:val="24"/>
          <w:szCs w:val="24"/>
        </w:rPr>
        <w:t xml:space="preserve">reiterated that any permission by a municipality </w:t>
      </w:r>
      <w:r w:rsidR="00FA779E" w:rsidRPr="007B0231">
        <w:rPr>
          <w:rFonts w:ascii="Arial" w:hAnsi="Arial" w:cs="Arial"/>
          <w:sz w:val="24"/>
          <w:szCs w:val="24"/>
        </w:rPr>
        <w:t xml:space="preserve">to build or use buildings contrary to the </w:t>
      </w:r>
      <w:r w:rsidR="005D3176" w:rsidRPr="007B0231">
        <w:rPr>
          <w:rFonts w:ascii="Arial" w:hAnsi="Arial" w:cs="Arial"/>
          <w:sz w:val="24"/>
          <w:szCs w:val="24"/>
        </w:rPr>
        <w:t xml:space="preserve">restrictive </w:t>
      </w:r>
      <w:r w:rsidR="00FA779E" w:rsidRPr="007B0231">
        <w:rPr>
          <w:rFonts w:ascii="Arial" w:hAnsi="Arial" w:cs="Arial"/>
          <w:sz w:val="24"/>
          <w:szCs w:val="24"/>
        </w:rPr>
        <w:t xml:space="preserve">conditions </w:t>
      </w:r>
      <w:r w:rsidR="00EF2BAC" w:rsidRPr="007B0231">
        <w:rPr>
          <w:rFonts w:ascii="Arial" w:hAnsi="Arial" w:cs="Arial"/>
          <w:sz w:val="24"/>
          <w:szCs w:val="24"/>
        </w:rPr>
        <w:t>for the land in question cannot be lawful.</w:t>
      </w:r>
      <w:r w:rsidR="00EF2BAC">
        <w:rPr>
          <w:rStyle w:val="FootnoteReference"/>
          <w:rFonts w:ascii="Arial" w:hAnsi="Arial" w:cs="Arial"/>
          <w:sz w:val="24"/>
          <w:szCs w:val="24"/>
        </w:rPr>
        <w:footnoteReference w:id="76"/>
      </w:r>
      <w:r w:rsidR="00736796" w:rsidRPr="007B0231">
        <w:rPr>
          <w:rFonts w:ascii="Arial" w:hAnsi="Arial" w:cs="Arial"/>
          <w:sz w:val="24"/>
          <w:szCs w:val="24"/>
        </w:rPr>
        <w:t xml:space="preserve"> </w:t>
      </w:r>
      <w:r w:rsidR="00823B96" w:rsidRPr="007B0231">
        <w:rPr>
          <w:rFonts w:ascii="Arial" w:hAnsi="Arial" w:cs="Arial"/>
          <w:sz w:val="24"/>
          <w:szCs w:val="24"/>
        </w:rPr>
        <w:t xml:space="preserve">This was </w:t>
      </w:r>
      <w:r w:rsidR="007C7158" w:rsidRPr="007B0231">
        <w:rPr>
          <w:rFonts w:ascii="Arial" w:hAnsi="Arial" w:cs="Arial"/>
          <w:sz w:val="24"/>
          <w:szCs w:val="24"/>
        </w:rPr>
        <w:t>the situation regarding the Kenton-on-Sea scheme</w:t>
      </w:r>
      <w:r w:rsidR="00765846" w:rsidRPr="007B0231">
        <w:rPr>
          <w:rFonts w:ascii="Arial" w:hAnsi="Arial" w:cs="Arial"/>
          <w:sz w:val="24"/>
          <w:szCs w:val="24"/>
        </w:rPr>
        <w:t>. The use of erf 1483 for a guesthouse</w:t>
      </w:r>
      <w:r w:rsidR="00982AB7" w:rsidRPr="007B0231">
        <w:rPr>
          <w:rFonts w:ascii="Arial" w:hAnsi="Arial" w:cs="Arial"/>
          <w:sz w:val="24"/>
          <w:szCs w:val="24"/>
        </w:rPr>
        <w:t xml:space="preserve"> is not contrary</w:t>
      </w:r>
      <w:r w:rsidR="00807E9C" w:rsidRPr="007B0231">
        <w:rPr>
          <w:rFonts w:ascii="Arial" w:hAnsi="Arial" w:cs="Arial"/>
          <w:sz w:val="24"/>
          <w:szCs w:val="24"/>
        </w:rPr>
        <w:t>, however,</w:t>
      </w:r>
      <w:r w:rsidR="00982AB7" w:rsidRPr="007B0231">
        <w:rPr>
          <w:rFonts w:ascii="Arial" w:hAnsi="Arial" w:cs="Arial"/>
          <w:sz w:val="24"/>
          <w:szCs w:val="24"/>
        </w:rPr>
        <w:t xml:space="preserve"> to the restrictive conditions in relation to the new scheme. </w:t>
      </w:r>
    </w:p>
    <w:p w14:paraId="41184A08" w14:textId="77777777" w:rsidR="0030569B" w:rsidRPr="0030569B" w:rsidRDefault="0030569B" w:rsidP="0030569B">
      <w:pPr>
        <w:pStyle w:val="ListParagraph"/>
        <w:rPr>
          <w:rFonts w:ascii="Arial" w:hAnsi="Arial" w:cs="Arial"/>
          <w:sz w:val="24"/>
          <w:szCs w:val="24"/>
        </w:rPr>
      </w:pPr>
    </w:p>
    <w:p w14:paraId="6E211BDD" w14:textId="62202B29"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807E9C" w:rsidRPr="007B0231">
        <w:rPr>
          <w:rFonts w:ascii="Arial" w:hAnsi="Arial" w:cs="Arial"/>
          <w:sz w:val="24"/>
          <w:szCs w:val="24"/>
        </w:rPr>
        <w:t xml:space="preserve">As already discussed, the restrictive conditions </w:t>
      </w:r>
      <w:r w:rsidR="0089060C" w:rsidRPr="007B0231">
        <w:rPr>
          <w:rFonts w:ascii="Arial" w:hAnsi="Arial" w:cs="Arial"/>
          <w:sz w:val="24"/>
          <w:szCs w:val="24"/>
        </w:rPr>
        <w:t xml:space="preserve">permit the land to be used </w:t>
      </w:r>
      <w:r w:rsidR="00F650A8" w:rsidRPr="007B0231">
        <w:rPr>
          <w:rFonts w:ascii="Arial" w:hAnsi="Arial" w:cs="Arial"/>
          <w:sz w:val="24"/>
          <w:szCs w:val="24"/>
        </w:rPr>
        <w:t xml:space="preserve">for </w:t>
      </w:r>
      <w:r w:rsidR="008A4AC9" w:rsidRPr="007B0231">
        <w:rPr>
          <w:rFonts w:ascii="Arial" w:hAnsi="Arial" w:cs="Arial"/>
          <w:sz w:val="24"/>
          <w:szCs w:val="24"/>
        </w:rPr>
        <w:t>the erection of one dwellin</w:t>
      </w:r>
      <w:r w:rsidR="007549EF" w:rsidRPr="007B0231">
        <w:rPr>
          <w:rFonts w:ascii="Arial" w:hAnsi="Arial" w:cs="Arial"/>
          <w:sz w:val="24"/>
          <w:szCs w:val="24"/>
        </w:rPr>
        <w:t xml:space="preserve">g or </w:t>
      </w:r>
      <w:r w:rsidR="00FE4E9C" w:rsidRPr="007B0231">
        <w:rPr>
          <w:rFonts w:ascii="Arial" w:hAnsi="Arial" w:cs="Arial"/>
          <w:sz w:val="24"/>
          <w:szCs w:val="24"/>
        </w:rPr>
        <w:t xml:space="preserve">other buildings </w:t>
      </w:r>
      <w:r w:rsidR="009D187F" w:rsidRPr="007B0231">
        <w:rPr>
          <w:rFonts w:ascii="Arial" w:hAnsi="Arial" w:cs="Arial"/>
          <w:sz w:val="24"/>
          <w:szCs w:val="24"/>
        </w:rPr>
        <w:t xml:space="preserve">for </w:t>
      </w:r>
      <w:r w:rsidR="00F650A8" w:rsidRPr="007B0231">
        <w:rPr>
          <w:rFonts w:ascii="Arial" w:hAnsi="Arial" w:cs="Arial"/>
          <w:sz w:val="24"/>
          <w:szCs w:val="24"/>
        </w:rPr>
        <w:t>such purposes as the municipality may approve</w:t>
      </w:r>
      <w:r w:rsidR="008414B6" w:rsidRPr="007B0231">
        <w:rPr>
          <w:rFonts w:ascii="Arial" w:hAnsi="Arial" w:cs="Arial"/>
          <w:sz w:val="24"/>
          <w:szCs w:val="24"/>
        </w:rPr>
        <w:t xml:space="preserve">, </w:t>
      </w:r>
      <w:r w:rsidR="006C1997" w:rsidRPr="007B0231">
        <w:rPr>
          <w:rFonts w:ascii="Arial" w:hAnsi="Arial" w:cs="Arial"/>
          <w:sz w:val="24"/>
          <w:szCs w:val="24"/>
        </w:rPr>
        <w:t xml:space="preserve">subject </w:t>
      </w:r>
      <w:r w:rsidR="001C789C" w:rsidRPr="007B0231">
        <w:rPr>
          <w:rFonts w:ascii="Arial" w:hAnsi="Arial" w:cs="Arial"/>
          <w:sz w:val="24"/>
          <w:szCs w:val="24"/>
        </w:rPr>
        <w:t>to what is permitted by the land use scheme</w:t>
      </w:r>
      <w:r w:rsidR="003617F6" w:rsidRPr="007B0231">
        <w:rPr>
          <w:rFonts w:ascii="Arial" w:hAnsi="Arial" w:cs="Arial"/>
          <w:sz w:val="24"/>
          <w:szCs w:val="24"/>
        </w:rPr>
        <w:t xml:space="preserve"> and the </w:t>
      </w:r>
      <w:r w:rsidR="00DD6A08" w:rsidRPr="007B0231">
        <w:rPr>
          <w:rFonts w:ascii="Arial" w:hAnsi="Arial" w:cs="Arial"/>
          <w:sz w:val="24"/>
          <w:szCs w:val="24"/>
        </w:rPr>
        <w:t xml:space="preserve">conditions and restrictions </w:t>
      </w:r>
      <w:r w:rsidR="003617F6" w:rsidRPr="007B0231">
        <w:rPr>
          <w:rFonts w:ascii="Arial" w:hAnsi="Arial" w:cs="Arial"/>
          <w:sz w:val="24"/>
          <w:szCs w:val="24"/>
        </w:rPr>
        <w:t>that pertain thereto.</w:t>
      </w:r>
      <w:r w:rsidR="00DD6A08" w:rsidRPr="007B0231">
        <w:rPr>
          <w:rFonts w:ascii="Arial" w:hAnsi="Arial" w:cs="Arial"/>
          <w:sz w:val="24"/>
          <w:szCs w:val="24"/>
        </w:rPr>
        <w:t xml:space="preserve"> The</w:t>
      </w:r>
      <w:r w:rsidR="00BC2E35" w:rsidRPr="007B0231">
        <w:rPr>
          <w:rFonts w:ascii="Arial" w:hAnsi="Arial" w:cs="Arial"/>
          <w:sz w:val="24"/>
          <w:szCs w:val="24"/>
        </w:rPr>
        <w:t xml:space="preserve"> new scheme permits the </w:t>
      </w:r>
      <w:r w:rsidR="00C931D2" w:rsidRPr="007B0231">
        <w:rPr>
          <w:rFonts w:ascii="Arial" w:hAnsi="Arial" w:cs="Arial"/>
          <w:sz w:val="24"/>
          <w:szCs w:val="24"/>
        </w:rPr>
        <w:t xml:space="preserve">operation of a guesthouse on </w:t>
      </w:r>
      <w:r w:rsidR="00BC2E35" w:rsidRPr="007B0231">
        <w:rPr>
          <w:rFonts w:ascii="Arial" w:hAnsi="Arial" w:cs="Arial"/>
          <w:sz w:val="24"/>
          <w:szCs w:val="24"/>
        </w:rPr>
        <w:t>erf 1483</w:t>
      </w:r>
      <w:r w:rsidR="00B476BC" w:rsidRPr="007B0231">
        <w:rPr>
          <w:rFonts w:ascii="Arial" w:hAnsi="Arial" w:cs="Arial"/>
          <w:sz w:val="24"/>
          <w:szCs w:val="24"/>
        </w:rPr>
        <w:t xml:space="preserve"> as a consent use</w:t>
      </w:r>
      <w:r w:rsidR="002375C7" w:rsidRPr="007B0231">
        <w:rPr>
          <w:rFonts w:ascii="Arial" w:hAnsi="Arial" w:cs="Arial"/>
          <w:sz w:val="24"/>
          <w:szCs w:val="24"/>
        </w:rPr>
        <w:t xml:space="preserve">. </w:t>
      </w:r>
      <w:r w:rsidR="00CB7550" w:rsidRPr="007B0231">
        <w:rPr>
          <w:rFonts w:ascii="Arial" w:hAnsi="Arial" w:cs="Arial"/>
          <w:sz w:val="24"/>
          <w:szCs w:val="24"/>
        </w:rPr>
        <w:t xml:space="preserve">It stipulates that the approval of the municipality is </w:t>
      </w:r>
      <w:r w:rsidR="00EC03E6" w:rsidRPr="007B0231">
        <w:rPr>
          <w:rFonts w:ascii="Arial" w:hAnsi="Arial" w:cs="Arial"/>
          <w:sz w:val="24"/>
          <w:szCs w:val="24"/>
        </w:rPr>
        <w:t>to be obtained prior to development.</w:t>
      </w:r>
      <w:r w:rsidR="00EC03E6">
        <w:rPr>
          <w:rStyle w:val="FootnoteReference"/>
          <w:rFonts w:ascii="Arial" w:hAnsi="Arial" w:cs="Arial"/>
          <w:sz w:val="24"/>
          <w:szCs w:val="24"/>
        </w:rPr>
        <w:footnoteReference w:id="77"/>
      </w:r>
      <w:r w:rsidR="00B0632B" w:rsidRPr="007B0231">
        <w:rPr>
          <w:rFonts w:ascii="Arial" w:hAnsi="Arial" w:cs="Arial"/>
          <w:sz w:val="24"/>
          <w:szCs w:val="24"/>
        </w:rPr>
        <w:t xml:space="preserve"> </w:t>
      </w:r>
    </w:p>
    <w:p w14:paraId="0736E314" w14:textId="77777777" w:rsidR="0030569B" w:rsidRPr="0030569B" w:rsidRDefault="0030569B" w:rsidP="0030569B">
      <w:pPr>
        <w:pStyle w:val="ListParagraph"/>
        <w:rPr>
          <w:rFonts w:ascii="Arial" w:hAnsi="Arial" w:cs="Arial"/>
          <w:sz w:val="24"/>
          <w:szCs w:val="24"/>
        </w:rPr>
      </w:pPr>
    </w:p>
    <w:p w14:paraId="0723D10B" w14:textId="5EE6F835" w:rsidR="00FF466C"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[97]</w:t>
      </w:r>
      <w:r w:rsidRPr="0030569B">
        <w:rPr>
          <w:rFonts w:ascii="Arial" w:hAnsi="Arial" w:cs="Arial"/>
          <w:sz w:val="24"/>
          <w:szCs w:val="24"/>
        </w:rPr>
        <w:tab/>
      </w:r>
      <w:r w:rsidR="00B0632B" w:rsidRPr="007B0231">
        <w:rPr>
          <w:rFonts w:ascii="Arial" w:hAnsi="Arial" w:cs="Arial"/>
          <w:sz w:val="24"/>
          <w:szCs w:val="24"/>
        </w:rPr>
        <w:t xml:space="preserve">Under </w:t>
      </w:r>
      <w:r w:rsidR="00BF5066" w:rsidRPr="007B0231">
        <w:rPr>
          <w:rFonts w:ascii="Arial" w:hAnsi="Arial" w:cs="Arial"/>
          <w:sz w:val="24"/>
          <w:szCs w:val="24"/>
        </w:rPr>
        <w:t>section 1 of the SPLUM By-law, consent is defined as</w:t>
      </w:r>
      <w:r w:rsidR="00204200" w:rsidRPr="007B0231">
        <w:rPr>
          <w:rFonts w:ascii="Arial" w:hAnsi="Arial" w:cs="Arial"/>
          <w:sz w:val="24"/>
          <w:szCs w:val="24"/>
        </w:rPr>
        <w:t xml:space="preserve"> follows:</w:t>
      </w:r>
    </w:p>
    <w:p w14:paraId="0D563AC9" w14:textId="70F96B98" w:rsidR="00BF5066" w:rsidRPr="001B6B79" w:rsidRDefault="007C1B64" w:rsidP="0030569B">
      <w:pPr>
        <w:spacing w:line="360" w:lineRule="auto"/>
        <w:ind w:left="720"/>
        <w:jc w:val="both"/>
        <w:rPr>
          <w:rFonts w:ascii="Arial" w:hAnsi="Arial" w:cs="Arial"/>
        </w:rPr>
      </w:pPr>
      <w:r w:rsidRPr="001B6B79">
        <w:rPr>
          <w:rFonts w:ascii="Arial" w:hAnsi="Arial" w:cs="Arial"/>
        </w:rPr>
        <w:t>‘</w:t>
      </w:r>
      <w:r w:rsidRPr="001B6B79">
        <w:rPr>
          <w:rFonts w:ascii="Arial" w:hAnsi="Arial" w:cs="Arial"/>
          <w:b/>
          <w:bCs/>
        </w:rPr>
        <w:t>” consent</w:t>
      </w:r>
      <w:r w:rsidR="00204200" w:rsidRPr="001B6B79">
        <w:rPr>
          <w:rFonts w:ascii="Arial" w:hAnsi="Arial" w:cs="Arial"/>
          <w:b/>
          <w:bCs/>
        </w:rPr>
        <w:t>”</w:t>
      </w:r>
      <w:r w:rsidR="00204200" w:rsidRPr="001B6B79">
        <w:rPr>
          <w:rFonts w:ascii="Arial" w:hAnsi="Arial" w:cs="Arial"/>
        </w:rPr>
        <w:t xml:space="preserve"> means a land use right </w:t>
      </w:r>
      <w:r w:rsidR="00775B0F" w:rsidRPr="001B6B79">
        <w:rPr>
          <w:rFonts w:ascii="Arial" w:hAnsi="Arial" w:cs="Arial"/>
        </w:rPr>
        <w:t>that may be obtained by way of consent from the municipality and is specified as such in the land use scheme.’</w:t>
      </w:r>
    </w:p>
    <w:p w14:paraId="4AA848E0" w14:textId="77777777" w:rsidR="00946AA9" w:rsidRDefault="00946AA9" w:rsidP="00946AA9">
      <w:pPr>
        <w:spacing w:line="360" w:lineRule="auto"/>
        <w:rPr>
          <w:rFonts w:ascii="Arial" w:hAnsi="Arial" w:cs="Arial"/>
          <w:sz w:val="24"/>
          <w:szCs w:val="24"/>
        </w:rPr>
      </w:pPr>
    </w:p>
    <w:p w14:paraId="54C31C5C" w14:textId="6CF08BB6" w:rsidR="0030569B" w:rsidRPr="007B0231" w:rsidRDefault="007B0231" w:rsidP="007B0231">
      <w:pPr>
        <w:spacing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327086" w:rsidRPr="007B0231">
        <w:rPr>
          <w:rFonts w:ascii="Arial" w:hAnsi="Arial" w:cs="Arial"/>
          <w:sz w:val="24"/>
          <w:szCs w:val="24"/>
        </w:rPr>
        <w:t xml:space="preserve">In terms of section 74(1), </w:t>
      </w:r>
      <w:r w:rsidR="006101D2" w:rsidRPr="007B0231">
        <w:rPr>
          <w:rFonts w:ascii="Arial" w:hAnsi="Arial" w:cs="Arial"/>
          <w:sz w:val="24"/>
          <w:szCs w:val="24"/>
        </w:rPr>
        <w:t>an applicant may apply to the municipality for a consent use</w:t>
      </w:r>
      <w:r w:rsidR="008B08BB" w:rsidRPr="007B0231">
        <w:rPr>
          <w:rFonts w:ascii="Arial" w:hAnsi="Arial" w:cs="Arial"/>
          <w:sz w:val="24"/>
          <w:szCs w:val="24"/>
        </w:rPr>
        <w:t xml:space="preserve"> </w:t>
      </w:r>
      <w:r w:rsidR="00C814B7" w:rsidRPr="007B0231">
        <w:rPr>
          <w:rFonts w:ascii="Arial" w:hAnsi="Arial" w:cs="Arial"/>
          <w:sz w:val="24"/>
          <w:szCs w:val="24"/>
        </w:rPr>
        <w:t>in the manner set out in Chapter 6.</w:t>
      </w:r>
      <w:r w:rsidR="00D06FB1" w:rsidRPr="007B0231">
        <w:rPr>
          <w:rFonts w:ascii="Arial" w:hAnsi="Arial" w:cs="Arial"/>
          <w:sz w:val="24"/>
          <w:szCs w:val="24"/>
        </w:rPr>
        <w:t xml:space="preserve"> This entails </w:t>
      </w:r>
      <w:r w:rsidR="001901D8" w:rsidRPr="007B0231">
        <w:rPr>
          <w:rFonts w:ascii="Arial" w:hAnsi="Arial" w:cs="Arial"/>
          <w:sz w:val="24"/>
          <w:szCs w:val="24"/>
        </w:rPr>
        <w:t xml:space="preserve">the </w:t>
      </w:r>
      <w:r w:rsidR="00C22A07" w:rsidRPr="007B0231">
        <w:rPr>
          <w:rFonts w:ascii="Arial" w:hAnsi="Arial" w:cs="Arial"/>
          <w:sz w:val="24"/>
          <w:szCs w:val="24"/>
        </w:rPr>
        <w:t xml:space="preserve">submission of an application with the information stipulated under section 85 and the </w:t>
      </w:r>
      <w:r w:rsidR="00A74E79" w:rsidRPr="007B0231">
        <w:rPr>
          <w:rFonts w:ascii="Arial" w:hAnsi="Arial" w:cs="Arial"/>
          <w:sz w:val="24"/>
          <w:szCs w:val="24"/>
        </w:rPr>
        <w:t>fee</w:t>
      </w:r>
      <w:r w:rsidR="00CC3AFF" w:rsidRPr="007B0231">
        <w:rPr>
          <w:rFonts w:ascii="Arial" w:hAnsi="Arial" w:cs="Arial"/>
          <w:sz w:val="24"/>
          <w:szCs w:val="24"/>
        </w:rPr>
        <w:t xml:space="preserve">s determined under section 86. To all intent and purposes, the fourth respondent has </w:t>
      </w:r>
      <w:r w:rsidR="00BA73CC" w:rsidRPr="007B0231">
        <w:rPr>
          <w:rFonts w:ascii="Arial" w:hAnsi="Arial" w:cs="Arial"/>
          <w:sz w:val="24"/>
          <w:szCs w:val="24"/>
        </w:rPr>
        <w:t>already done so by way of its departure and removal application</w:t>
      </w:r>
      <w:r w:rsidR="00BE6669" w:rsidRPr="007B0231">
        <w:rPr>
          <w:rFonts w:ascii="Arial" w:hAnsi="Arial" w:cs="Arial"/>
          <w:sz w:val="24"/>
          <w:szCs w:val="24"/>
        </w:rPr>
        <w:t>, submitted in relation to the Kenton-on-Sea scheme</w:t>
      </w:r>
      <w:r w:rsidR="00104A61" w:rsidRPr="007B0231">
        <w:rPr>
          <w:rFonts w:ascii="Arial" w:hAnsi="Arial" w:cs="Arial"/>
          <w:sz w:val="24"/>
          <w:szCs w:val="24"/>
        </w:rPr>
        <w:t xml:space="preserve">. The municipality has, moreover, effectively </w:t>
      </w:r>
      <w:r w:rsidR="001B6B79" w:rsidRPr="007B0231">
        <w:rPr>
          <w:rFonts w:ascii="Arial" w:hAnsi="Arial" w:cs="Arial"/>
          <w:sz w:val="24"/>
          <w:szCs w:val="24"/>
        </w:rPr>
        <w:t xml:space="preserve">provided consent for the land use </w:t>
      </w:r>
      <w:r w:rsidR="004A32AA" w:rsidRPr="007B0231">
        <w:rPr>
          <w:rFonts w:ascii="Arial" w:hAnsi="Arial" w:cs="Arial"/>
          <w:sz w:val="24"/>
          <w:szCs w:val="24"/>
        </w:rPr>
        <w:t>requested</w:t>
      </w:r>
      <w:r w:rsidR="001B6B79" w:rsidRPr="007B0231">
        <w:rPr>
          <w:rFonts w:ascii="Arial" w:hAnsi="Arial" w:cs="Arial"/>
          <w:sz w:val="24"/>
          <w:szCs w:val="24"/>
        </w:rPr>
        <w:t>.</w:t>
      </w:r>
    </w:p>
    <w:p w14:paraId="647CE9E4" w14:textId="77777777" w:rsidR="0030569B" w:rsidRDefault="0030569B" w:rsidP="0030569B">
      <w:pPr>
        <w:pStyle w:val="ListParagraph"/>
        <w:spacing w:line="360" w:lineRule="auto"/>
        <w:ind w:left="0"/>
        <w:jc w:val="both"/>
        <w:rPr>
          <w:rFonts w:ascii="Arial" w:hAnsi="Arial" w:cs="Arial"/>
          <w:sz w:val="24"/>
          <w:szCs w:val="24"/>
        </w:rPr>
      </w:pPr>
    </w:p>
    <w:p w14:paraId="6D12CC11" w14:textId="2499093B" w:rsidR="00FE7042" w:rsidRPr="007B0231" w:rsidRDefault="007B0231" w:rsidP="007B0231">
      <w:pPr>
        <w:spacing w:line="360" w:lineRule="auto"/>
        <w:jc w:val="both"/>
        <w:rPr>
          <w:rFonts w:ascii="Arial" w:hAnsi="Arial" w:cs="Arial"/>
          <w:sz w:val="24"/>
          <w:szCs w:val="24"/>
        </w:rPr>
      </w:pPr>
      <w:r w:rsidRPr="0030569B">
        <w:rPr>
          <w:rFonts w:ascii="Arial" w:hAnsi="Arial" w:cs="Arial"/>
          <w:sz w:val="24"/>
          <w:szCs w:val="24"/>
        </w:rPr>
        <w:t>[99]</w:t>
      </w:r>
      <w:r w:rsidRPr="0030569B">
        <w:rPr>
          <w:rFonts w:ascii="Arial" w:hAnsi="Arial" w:cs="Arial"/>
          <w:sz w:val="24"/>
          <w:szCs w:val="24"/>
        </w:rPr>
        <w:tab/>
      </w:r>
      <w:r w:rsidR="00FE7042" w:rsidRPr="007B0231">
        <w:rPr>
          <w:rFonts w:ascii="Arial" w:hAnsi="Arial" w:cs="Arial"/>
          <w:sz w:val="24"/>
          <w:szCs w:val="24"/>
        </w:rPr>
        <w:t xml:space="preserve">The implications of the above have a bearing on the relief to be granted. For immediate purposes, </w:t>
      </w:r>
      <w:r w:rsidR="005B6742" w:rsidRPr="007B0231">
        <w:rPr>
          <w:rFonts w:ascii="Arial" w:hAnsi="Arial" w:cs="Arial"/>
          <w:sz w:val="24"/>
          <w:szCs w:val="24"/>
        </w:rPr>
        <w:t xml:space="preserve">however, </w:t>
      </w:r>
      <w:r w:rsidR="00065304" w:rsidRPr="007B0231">
        <w:rPr>
          <w:rFonts w:ascii="Arial" w:hAnsi="Arial" w:cs="Arial"/>
          <w:sz w:val="24"/>
          <w:szCs w:val="24"/>
        </w:rPr>
        <w:t xml:space="preserve">the court </w:t>
      </w:r>
      <w:r w:rsidR="002C526E" w:rsidRPr="007B0231">
        <w:rPr>
          <w:rFonts w:ascii="Arial" w:hAnsi="Arial" w:cs="Arial"/>
          <w:sz w:val="24"/>
          <w:szCs w:val="24"/>
        </w:rPr>
        <w:t xml:space="preserve">cannot avoid </w:t>
      </w:r>
      <w:r w:rsidR="0094478D" w:rsidRPr="007B0231">
        <w:rPr>
          <w:rFonts w:ascii="Arial" w:hAnsi="Arial" w:cs="Arial"/>
          <w:sz w:val="24"/>
          <w:szCs w:val="24"/>
        </w:rPr>
        <w:t xml:space="preserve">a </w:t>
      </w:r>
      <w:r w:rsidR="002C526E" w:rsidRPr="007B0231">
        <w:rPr>
          <w:rFonts w:ascii="Arial" w:hAnsi="Arial" w:cs="Arial"/>
          <w:sz w:val="24"/>
          <w:szCs w:val="24"/>
        </w:rPr>
        <w:t xml:space="preserve">finding </w:t>
      </w:r>
      <w:r w:rsidR="0094478D" w:rsidRPr="007B0231">
        <w:rPr>
          <w:rFonts w:ascii="Arial" w:hAnsi="Arial" w:cs="Arial"/>
          <w:sz w:val="24"/>
          <w:szCs w:val="24"/>
        </w:rPr>
        <w:t xml:space="preserve">to the effect </w:t>
      </w:r>
      <w:r w:rsidR="002C526E" w:rsidRPr="007B0231">
        <w:rPr>
          <w:rFonts w:ascii="Arial" w:hAnsi="Arial" w:cs="Arial"/>
          <w:sz w:val="24"/>
          <w:szCs w:val="24"/>
        </w:rPr>
        <w:t xml:space="preserve">that </w:t>
      </w:r>
      <w:r w:rsidR="009D3D3E" w:rsidRPr="007B0231">
        <w:rPr>
          <w:rFonts w:ascii="Arial" w:hAnsi="Arial" w:cs="Arial"/>
          <w:sz w:val="24"/>
          <w:szCs w:val="24"/>
        </w:rPr>
        <w:t xml:space="preserve">the fourth respondent’s </w:t>
      </w:r>
      <w:r w:rsidR="00154C70" w:rsidRPr="007B0231">
        <w:rPr>
          <w:rFonts w:ascii="Arial" w:hAnsi="Arial" w:cs="Arial"/>
          <w:sz w:val="24"/>
          <w:szCs w:val="24"/>
        </w:rPr>
        <w:t>development of a guesthouse on erf 1483</w:t>
      </w:r>
      <w:r w:rsidR="003B6185" w:rsidRPr="007B0231">
        <w:rPr>
          <w:rFonts w:ascii="Arial" w:hAnsi="Arial" w:cs="Arial"/>
          <w:sz w:val="24"/>
          <w:szCs w:val="24"/>
        </w:rPr>
        <w:t xml:space="preserve"> </w:t>
      </w:r>
      <w:r w:rsidR="00DE2ABB" w:rsidRPr="007B0231">
        <w:rPr>
          <w:rFonts w:ascii="Arial" w:hAnsi="Arial" w:cs="Arial"/>
          <w:sz w:val="24"/>
          <w:szCs w:val="24"/>
        </w:rPr>
        <w:t>was and remains</w:t>
      </w:r>
      <w:r w:rsidR="00984457" w:rsidRPr="007B0231">
        <w:rPr>
          <w:rFonts w:ascii="Arial" w:hAnsi="Arial" w:cs="Arial"/>
          <w:sz w:val="24"/>
          <w:szCs w:val="24"/>
        </w:rPr>
        <w:t xml:space="preserve"> </w:t>
      </w:r>
      <w:r w:rsidR="003B6185" w:rsidRPr="007B0231">
        <w:rPr>
          <w:rFonts w:ascii="Arial" w:hAnsi="Arial" w:cs="Arial"/>
          <w:sz w:val="24"/>
          <w:szCs w:val="24"/>
        </w:rPr>
        <w:t>unlawful.</w:t>
      </w:r>
    </w:p>
    <w:p w14:paraId="201EF594" w14:textId="77777777" w:rsidR="0011068F" w:rsidRDefault="0011068F" w:rsidP="0030569B">
      <w:pPr>
        <w:spacing w:line="360" w:lineRule="auto"/>
        <w:jc w:val="both"/>
        <w:rPr>
          <w:rFonts w:ascii="Arial" w:hAnsi="Arial" w:cs="Arial"/>
          <w:sz w:val="24"/>
          <w:szCs w:val="24"/>
        </w:rPr>
      </w:pPr>
    </w:p>
    <w:p w14:paraId="021DB8C9" w14:textId="30911367" w:rsidR="0011068F" w:rsidRPr="0011068F" w:rsidRDefault="0011068F" w:rsidP="0030569B">
      <w:pPr>
        <w:spacing w:line="360" w:lineRule="auto"/>
        <w:jc w:val="both"/>
        <w:rPr>
          <w:rFonts w:ascii="Arial" w:hAnsi="Arial" w:cs="Arial"/>
          <w:b/>
          <w:bCs/>
          <w:sz w:val="24"/>
          <w:szCs w:val="24"/>
        </w:rPr>
      </w:pPr>
      <w:r w:rsidRPr="0011068F">
        <w:rPr>
          <w:rFonts w:ascii="Arial" w:hAnsi="Arial" w:cs="Arial"/>
          <w:b/>
          <w:bCs/>
          <w:sz w:val="24"/>
          <w:szCs w:val="24"/>
        </w:rPr>
        <w:t xml:space="preserve">RELIEF </w:t>
      </w:r>
      <w:r w:rsidR="009B7F7F">
        <w:rPr>
          <w:rFonts w:ascii="Arial" w:hAnsi="Arial" w:cs="Arial"/>
          <w:b/>
          <w:bCs/>
          <w:sz w:val="24"/>
          <w:szCs w:val="24"/>
        </w:rPr>
        <w:t>TO BE GRANTED</w:t>
      </w:r>
    </w:p>
    <w:p w14:paraId="4AF78BF2" w14:textId="77777777" w:rsidR="00173D88" w:rsidRDefault="00173D88" w:rsidP="001A6024">
      <w:pPr>
        <w:spacing w:line="360" w:lineRule="auto"/>
        <w:rPr>
          <w:rFonts w:ascii="Arial" w:hAnsi="Arial" w:cs="Arial"/>
          <w:sz w:val="24"/>
          <w:szCs w:val="24"/>
        </w:rPr>
      </w:pPr>
    </w:p>
    <w:p w14:paraId="35E62683" w14:textId="20C5DDA3" w:rsidR="003026D7"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[100]</w:t>
      </w:r>
      <w:r w:rsidRPr="0030569B">
        <w:rPr>
          <w:rFonts w:ascii="Arial" w:hAnsi="Arial" w:cs="Arial"/>
          <w:sz w:val="24"/>
          <w:szCs w:val="24"/>
          <w:lang w:val="en-GB"/>
        </w:rPr>
        <w:tab/>
      </w:r>
      <w:r w:rsidR="00C028AA" w:rsidRPr="007B0231">
        <w:rPr>
          <w:rFonts w:ascii="Arial" w:hAnsi="Arial" w:cs="Arial"/>
          <w:sz w:val="24"/>
          <w:szCs w:val="24"/>
          <w:lang w:val="en-GB"/>
        </w:rPr>
        <w:t>PAJA</w:t>
      </w:r>
      <w:r w:rsidR="0094596E" w:rsidRPr="007B0231">
        <w:rPr>
          <w:rFonts w:ascii="Arial" w:hAnsi="Arial" w:cs="Arial"/>
          <w:sz w:val="24"/>
          <w:szCs w:val="24"/>
          <w:lang w:val="en-GB"/>
        </w:rPr>
        <w:t xml:space="preserve">, in terms of section </w:t>
      </w:r>
      <w:r w:rsidR="00417FA9" w:rsidRPr="007B0231">
        <w:rPr>
          <w:rFonts w:ascii="Arial" w:hAnsi="Arial" w:cs="Arial"/>
          <w:sz w:val="24"/>
          <w:szCs w:val="24"/>
          <w:lang w:val="en-GB"/>
        </w:rPr>
        <w:t xml:space="preserve">8(1), </w:t>
      </w:r>
      <w:r w:rsidR="00C028AA" w:rsidRPr="007B0231">
        <w:rPr>
          <w:rFonts w:ascii="Arial" w:hAnsi="Arial" w:cs="Arial"/>
          <w:sz w:val="24"/>
          <w:szCs w:val="24"/>
          <w:lang w:val="en-GB"/>
        </w:rPr>
        <w:t xml:space="preserve">deals with the </w:t>
      </w:r>
      <w:r w:rsidR="00181235" w:rsidRPr="007B0231">
        <w:rPr>
          <w:rFonts w:ascii="Arial" w:hAnsi="Arial" w:cs="Arial"/>
          <w:sz w:val="24"/>
          <w:szCs w:val="24"/>
          <w:lang w:val="en-GB"/>
        </w:rPr>
        <w:t xml:space="preserve">remedies available </w:t>
      </w:r>
      <w:r w:rsidR="007317D1" w:rsidRPr="007B0231">
        <w:rPr>
          <w:rFonts w:ascii="Arial" w:hAnsi="Arial" w:cs="Arial"/>
          <w:sz w:val="24"/>
          <w:szCs w:val="24"/>
          <w:lang w:val="en-GB"/>
        </w:rPr>
        <w:t xml:space="preserve">in review proceedings </w:t>
      </w:r>
      <w:r w:rsidR="006B77AD" w:rsidRPr="007B0231">
        <w:rPr>
          <w:rFonts w:ascii="Arial" w:hAnsi="Arial" w:cs="Arial"/>
          <w:sz w:val="24"/>
          <w:szCs w:val="24"/>
          <w:lang w:val="en-GB"/>
        </w:rPr>
        <w:t>such as</w:t>
      </w:r>
      <w:r w:rsidR="00EC0EFD" w:rsidRPr="007B0231">
        <w:rPr>
          <w:rFonts w:ascii="Arial" w:hAnsi="Arial" w:cs="Arial"/>
          <w:sz w:val="24"/>
          <w:szCs w:val="24"/>
          <w:lang w:val="en-GB"/>
        </w:rPr>
        <w:t xml:space="preserve"> the present</w:t>
      </w:r>
      <w:r w:rsidR="00C028AA" w:rsidRPr="007B0231">
        <w:rPr>
          <w:rFonts w:ascii="Arial" w:hAnsi="Arial" w:cs="Arial"/>
          <w:sz w:val="24"/>
          <w:szCs w:val="24"/>
          <w:lang w:val="en-GB"/>
        </w:rPr>
        <w:t>.</w:t>
      </w:r>
      <w:r w:rsidR="008F4252" w:rsidRPr="007B0231">
        <w:rPr>
          <w:rFonts w:ascii="Arial" w:hAnsi="Arial" w:cs="Arial"/>
          <w:sz w:val="24"/>
          <w:szCs w:val="24"/>
          <w:lang w:val="en-GB"/>
        </w:rPr>
        <w:t xml:space="preserve"> A court </w:t>
      </w:r>
      <w:r w:rsidR="00000156" w:rsidRPr="007B0231">
        <w:rPr>
          <w:rFonts w:ascii="Arial" w:hAnsi="Arial" w:cs="Arial"/>
          <w:sz w:val="24"/>
          <w:szCs w:val="24"/>
          <w:lang w:val="en-GB"/>
        </w:rPr>
        <w:t xml:space="preserve">may grant any order that is just and equitable, including those listed </w:t>
      </w:r>
      <w:r w:rsidR="00AE78B6" w:rsidRPr="007B0231">
        <w:rPr>
          <w:rFonts w:ascii="Arial" w:hAnsi="Arial" w:cs="Arial"/>
          <w:sz w:val="24"/>
          <w:szCs w:val="24"/>
          <w:lang w:val="en-GB"/>
        </w:rPr>
        <w:t xml:space="preserve">in sub-sections </w:t>
      </w:r>
      <w:r w:rsidR="006E3E41" w:rsidRPr="007B0231">
        <w:rPr>
          <w:rFonts w:ascii="Arial" w:hAnsi="Arial" w:cs="Arial"/>
          <w:sz w:val="24"/>
          <w:szCs w:val="24"/>
          <w:lang w:val="en-GB"/>
        </w:rPr>
        <w:t xml:space="preserve">(a) to (f). </w:t>
      </w:r>
    </w:p>
    <w:p w14:paraId="37CDFE7D" w14:textId="77777777" w:rsidR="00DB5231" w:rsidRDefault="00DB5231" w:rsidP="007132BB">
      <w:pPr>
        <w:spacing w:line="360" w:lineRule="auto"/>
        <w:rPr>
          <w:rFonts w:ascii="Arial" w:hAnsi="Arial" w:cs="Arial"/>
          <w:sz w:val="24"/>
          <w:szCs w:val="24"/>
          <w:lang w:val="en-GB"/>
        </w:rPr>
      </w:pPr>
    </w:p>
    <w:p w14:paraId="0AC810C2" w14:textId="0C8650A0" w:rsidR="00DB5231" w:rsidRPr="009B7F7F" w:rsidRDefault="00DB5231" w:rsidP="0030569B">
      <w:pPr>
        <w:spacing w:line="360" w:lineRule="auto"/>
        <w:jc w:val="both"/>
        <w:rPr>
          <w:rFonts w:ascii="Arial" w:hAnsi="Arial" w:cs="Arial"/>
          <w:b/>
          <w:bCs/>
          <w:sz w:val="24"/>
          <w:szCs w:val="24"/>
          <w:lang w:val="en-GB"/>
        </w:rPr>
      </w:pPr>
      <w:r w:rsidRPr="009B7F7F">
        <w:rPr>
          <w:rFonts w:ascii="Arial" w:hAnsi="Arial" w:cs="Arial"/>
          <w:b/>
          <w:bCs/>
          <w:sz w:val="24"/>
          <w:szCs w:val="24"/>
          <w:lang w:val="en-GB"/>
        </w:rPr>
        <w:t xml:space="preserve">Just and equitable </w:t>
      </w:r>
      <w:r w:rsidR="009B7F7F" w:rsidRPr="009B7F7F">
        <w:rPr>
          <w:rFonts w:ascii="Arial" w:hAnsi="Arial" w:cs="Arial"/>
          <w:b/>
          <w:bCs/>
          <w:sz w:val="24"/>
          <w:szCs w:val="24"/>
          <w:lang w:val="en-GB"/>
        </w:rPr>
        <w:t>order</w:t>
      </w:r>
    </w:p>
    <w:p w14:paraId="0FAC7677" w14:textId="77777777" w:rsidR="009B7F7F" w:rsidRDefault="009B7F7F" w:rsidP="007132BB">
      <w:pPr>
        <w:spacing w:line="360" w:lineRule="auto"/>
        <w:rPr>
          <w:rFonts w:ascii="Arial" w:hAnsi="Arial" w:cs="Arial"/>
          <w:sz w:val="24"/>
          <w:szCs w:val="24"/>
          <w:lang w:val="en-GB"/>
        </w:rPr>
      </w:pPr>
    </w:p>
    <w:p w14:paraId="1EF36771" w14:textId="62D96BC3" w:rsidR="007132BB"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[101]</w:t>
      </w:r>
      <w:r w:rsidRPr="0030569B">
        <w:rPr>
          <w:rFonts w:ascii="Arial" w:hAnsi="Arial" w:cs="Arial"/>
          <w:sz w:val="24"/>
          <w:szCs w:val="24"/>
          <w:lang w:val="en-GB"/>
        </w:rPr>
        <w:tab/>
      </w:r>
      <w:r w:rsidR="0010429F" w:rsidRPr="007B0231">
        <w:rPr>
          <w:rFonts w:ascii="Arial" w:hAnsi="Arial" w:cs="Arial"/>
          <w:sz w:val="24"/>
          <w:szCs w:val="24"/>
          <w:lang w:val="en-GB"/>
        </w:rPr>
        <w:t xml:space="preserve">The Constitutional Court has </w:t>
      </w:r>
      <w:r w:rsidR="00D85DD8" w:rsidRPr="007B0231">
        <w:rPr>
          <w:rFonts w:ascii="Arial" w:hAnsi="Arial" w:cs="Arial"/>
          <w:sz w:val="24"/>
          <w:szCs w:val="24"/>
          <w:lang w:val="en-GB"/>
        </w:rPr>
        <w:t xml:space="preserve">dealt with the subject in several decisions. </w:t>
      </w:r>
      <w:r w:rsidR="007132BB" w:rsidRPr="007B0231">
        <w:rPr>
          <w:rFonts w:ascii="Arial" w:hAnsi="Arial" w:cs="Arial"/>
          <w:sz w:val="24"/>
          <w:szCs w:val="24"/>
          <w:lang w:val="en-GB"/>
        </w:rPr>
        <w:t xml:space="preserve">In </w:t>
      </w:r>
      <w:r w:rsidR="007132BB" w:rsidRPr="007B0231">
        <w:rPr>
          <w:rFonts w:ascii="Arial" w:hAnsi="Arial" w:cs="Arial"/>
          <w:i/>
          <w:sz w:val="24"/>
          <w:szCs w:val="24"/>
          <w:lang w:val="en-GB"/>
        </w:rPr>
        <w:t>Steenkamp NO v Provincial Tender Board, Eastern Cape</w:t>
      </w:r>
      <w:r w:rsidR="007132BB" w:rsidRPr="007B0231">
        <w:rPr>
          <w:rFonts w:ascii="Arial" w:hAnsi="Arial" w:cs="Arial"/>
          <w:sz w:val="24"/>
          <w:szCs w:val="24"/>
          <w:lang w:val="en-GB"/>
        </w:rPr>
        <w:t>,</w:t>
      </w:r>
      <w:r w:rsidR="005D26B5">
        <w:rPr>
          <w:rStyle w:val="FootnoteReference"/>
          <w:rFonts w:ascii="Arial" w:hAnsi="Arial" w:cs="Arial"/>
          <w:sz w:val="24"/>
          <w:szCs w:val="24"/>
          <w:lang w:val="en-GB"/>
        </w:rPr>
        <w:footnoteReference w:id="78"/>
      </w:r>
      <w:r w:rsidR="007132BB" w:rsidRPr="007B0231">
        <w:rPr>
          <w:rFonts w:ascii="Arial" w:hAnsi="Arial" w:cs="Arial"/>
          <w:sz w:val="24"/>
          <w:szCs w:val="24"/>
          <w:lang w:val="en-GB"/>
        </w:rPr>
        <w:t xml:space="preserve"> </w:t>
      </w:r>
      <w:r w:rsidR="00EE4992" w:rsidRPr="007B0231">
        <w:rPr>
          <w:rFonts w:ascii="Arial" w:hAnsi="Arial" w:cs="Arial"/>
          <w:sz w:val="24"/>
          <w:szCs w:val="24"/>
          <w:lang w:val="en-GB"/>
        </w:rPr>
        <w:t>observed</w:t>
      </w:r>
      <w:r w:rsidR="005F2B45" w:rsidRPr="007B0231">
        <w:rPr>
          <w:rFonts w:ascii="Arial" w:hAnsi="Arial" w:cs="Arial"/>
          <w:sz w:val="24"/>
          <w:szCs w:val="24"/>
          <w:lang w:val="en-GB"/>
        </w:rPr>
        <w:t xml:space="preserve"> </w:t>
      </w:r>
      <w:r w:rsidR="007132BB" w:rsidRPr="007B0231">
        <w:rPr>
          <w:rFonts w:ascii="Arial" w:hAnsi="Arial" w:cs="Arial"/>
          <w:sz w:val="24"/>
          <w:szCs w:val="24"/>
          <w:lang w:val="en-GB"/>
        </w:rPr>
        <w:t>that</w:t>
      </w:r>
      <w:r w:rsidR="005F2B45" w:rsidRPr="007B0231">
        <w:rPr>
          <w:rFonts w:ascii="Arial" w:hAnsi="Arial" w:cs="Arial"/>
          <w:sz w:val="24"/>
          <w:szCs w:val="24"/>
          <w:lang w:val="en-GB"/>
        </w:rPr>
        <w:t>:</w:t>
      </w:r>
    </w:p>
    <w:p w14:paraId="368D4965" w14:textId="1EA4515B" w:rsidR="007132BB" w:rsidRPr="007132BB" w:rsidRDefault="007132BB" w:rsidP="0030569B">
      <w:pPr>
        <w:spacing w:line="360" w:lineRule="auto"/>
        <w:ind w:left="720"/>
        <w:jc w:val="both"/>
        <w:rPr>
          <w:rFonts w:ascii="Arial" w:hAnsi="Arial" w:cs="Arial"/>
          <w:lang w:val="en-GB"/>
        </w:rPr>
      </w:pPr>
      <w:r w:rsidRPr="007132BB">
        <w:rPr>
          <w:rFonts w:ascii="Arial" w:hAnsi="Arial" w:cs="Arial"/>
          <w:lang w:val="en-GB"/>
        </w:rPr>
        <w:t>‘</w:t>
      </w:r>
      <w:r w:rsidR="002009A7">
        <w:rPr>
          <w:rFonts w:ascii="Arial" w:hAnsi="Arial" w:cs="Arial"/>
          <w:lang w:val="en-GB"/>
        </w:rPr>
        <w:t>I</w:t>
      </w:r>
      <w:r w:rsidRPr="007132BB">
        <w:rPr>
          <w:rFonts w:ascii="Arial" w:hAnsi="Arial" w:cs="Arial"/>
          <w:lang w:val="en-GB"/>
        </w:rPr>
        <w:t>t goes without saying that every improper performance of an administrative function would implicate the Constitution and entitle the aggrieved party to appropriate relief.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r w:rsidR="005D26B5" w:rsidRPr="005D26B5">
        <w:rPr>
          <w:rStyle w:val="FootnoteReference"/>
          <w:rFonts w:ascii="Arial" w:hAnsi="Arial" w:cs="Arial"/>
          <w:lang w:val="en-GB"/>
        </w:rPr>
        <w:footnoteReference w:id="79"/>
      </w:r>
    </w:p>
    <w:p w14:paraId="093A6B7C" w14:textId="77777777" w:rsidR="00E81839" w:rsidRDefault="00E81839" w:rsidP="007132BB">
      <w:pPr>
        <w:spacing w:line="360" w:lineRule="auto"/>
        <w:rPr>
          <w:rFonts w:ascii="Arial" w:hAnsi="Arial" w:cs="Arial"/>
          <w:sz w:val="24"/>
          <w:szCs w:val="24"/>
          <w:lang w:val="en-GB"/>
        </w:rPr>
      </w:pPr>
    </w:p>
    <w:p w14:paraId="33737384" w14:textId="6CA02876" w:rsidR="007132BB"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[102]</w:t>
      </w:r>
      <w:r w:rsidRPr="0030569B">
        <w:rPr>
          <w:rFonts w:ascii="Arial" w:hAnsi="Arial" w:cs="Arial"/>
          <w:sz w:val="24"/>
          <w:szCs w:val="24"/>
          <w:lang w:val="en-GB"/>
        </w:rPr>
        <w:tab/>
      </w:r>
      <w:r w:rsidR="007132BB" w:rsidRPr="007B0231">
        <w:rPr>
          <w:rFonts w:ascii="Arial" w:hAnsi="Arial" w:cs="Arial"/>
          <w:sz w:val="24"/>
          <w:szCs w:val="24"/>
          <w:lang w:val="en-GB"/>
        </w:rPr>
        <w:t xml:space="preserve">The court </w:t>
      </w:r>
      <w:r w:rsidR="002A69EE" w:rsidRPr="007B0231">
        <w:rPr>
          <w:rFonts w:ascii="Arial" w:hAnsi="Arial" w:cs="Arial"/>
          <w:sz w:val="24"/>
          <w:szCs w:val="24"/>
          <w:lang w:val="en-GB"/>
        </w:rPr>
        <w:t>confirmed</w:t>
      </w:r>
      <w:r w:rsidR="007132BB" w:rsidRPr="007B0231">
        <w:rPr>
          <w:rFonts w:ascii="Arial" w:hAnsi="Arial" w:cs="Arial"/>
          <w:sz w:val="24"/>
          <w:szCs w:val="24"/>
          <w:lang w:val="en-GB"/>
        </w:rPr>
        <w:t xml:space="preserve"> that PAJA confers on a court </w:t>
      </w:r>
      <w:r w:rsidR="00162347" w:rsidRPr="007B0231">
        <w:rPr>
          <w:rFonts w:ascii="Arial" w:hAnsi="Arial" w:cs="Arial"/>
          <w:sz w:val="24"/>
          <w:szCs w:val="24"/>
          <w:lang w:val="en-GB"/>
        </w:rPr>
        <w:t>in r</w:t>
      </w:r>
      <w:r w:rsidR="0020025E" w:rsidRPr="007B0231">
        <w:rPr>
          <w:rFonts w:ascii="Arial" w:hAnsi="Arial" w:cs="Arial"/>
          <w:sz w:val="24"/>
          <w:szCs w:val="24"/>
          <w:lang w:val="en-GB"/>
        </w:rPr>
        <w:t xml:space="preserve">eview proceedings </w:t>
      </w:r>
      <w:r w:rsidR="007132BB" w:rsidRPr="007B0231">
        <w:rPr>
          <w:rFonts w:ascii="Arial" w:hAnsi="Arial" w:cs="Arial"/>
          <w:sz w:val="24"/>
          <w:szCs w:val="24"/>
          <w:lang w:val="en-GB"/>
        </w:rPr>
        <w:t>a ‘generous jurisdiction’ to make just and equitable orders.</w:t>
      </w:r>
      <w:r w:rsidR="007132BB" w:rsidRPr="007132BB">
        <w:rPr>
          <w:vertAlign w:val="superscript"/>
          <w:lang w:val="en-GB"/>
        </w:rPr>
        <w:footnoteReference w:id="80"/>
      </w:r>
      <w:r w:rsidR="007132BB" w:rsidRPr="007B0231">
        <w:rPr>
          <w:rFonts w:ascii="Arial" w:hAnsi="Arial" w:cs="Arial"/>
          <w:sz w:val="24"/>
          <w:szCs w:val="24"/>
          <w:lang w:val="en-GB"/>
        </w:rPr>
        <w:t xml:space="preserve"> </w:t>
      </w:r>
      <w:r w:rsidR="0020025E" w:rsidRPr="007B0231">
        <w:rPr>
          <w:rFonts w:ascii="Arial" w:hAnsi="Arial" w:cs="Arial"/>
          <w:sz w:val="24"/>
          <w:szCs w:val="24"/>
          <w:lang w:val="en-GB"/>
        </w:rPr>
        <w:t xml:space="preserve">Some </w:t>
      </w:r>
      <w:r w:rsidR="00417FA7" w:rsidRPr="007B0231">
        <w:rPr>
          <w:rFonts w:ascii="Arial" w:hAnsi="Arial" w:cs="Arial"/>
          <w:sz w:val="24"/>
          <w:szCs w:val="24"/>
          <w:lang w:val="en-GB"/>
        </w:rPr>
        <w:t xml:space="preserve">years later, </w:t>
      </w:r>
      <w:r w:rsidR="007132BB" w:rsidRPr="007B0231">
        <w:rPr>
          <w:rFonts w:ascii="Arial" w:hAnsi="Arial" w:cs="Arial"/>
          <w:sz w:val="24"/>
          <w:szCs w:val="24"/>
          <w:lang w:val="en-GB"/>
        </w:rPr>
        <w:t xml:space="preserve">in </w:t>
      </w:r>
      <w:r w:rsidR="007132BB" w:rsidRPr="007B0231">
        <w:rPr>
          <w:rFonts w:ascii="Arial" w:hAnsi="Arial" w:cs="Arial"/>
          <w:i/>
          <w:sz w:val="24"/>
          <w:szCs w:val="24"/>
          <w:lang w:val="en-GB"/>
        </w:rPr>
        <w:t>Bengwenyama Minerals (Pty) Ltd and others v Genorah Resources (Pty) Ltd and others</w:t>
      </w:r>
      <w:r w:rsidR="00417FA7" w:rsidRPr="007B0231">
        <w:rPr>
          <w:rFonts w:ascii="Arial" w:hAnsi="Arial" w:cs="Arial"/>
          <w:sz w:val="24"/>
          <w:szCs w:val="24"/>
          <w:lang w:val="en-GB"/>
        </w:rPr>
        <w:t>,</w:t>
      </w:r>
      <w:r w:rsidR="00417FA7">
        <w:rPr>
          <w:rStyle w:val="FootnoteReference"/>
          <w:rFonts w:ascii="Arial" w:hAnsi="Arial" w:cs="Arial"/>
          <w:sz w:val="24"/>
          <w:szCs w:val="24"/>
          <w:lang w:val="en-GB"/>
        </w:rPr>
        <w:footnoteReference w:id="81"/>
      </w:r>
      <w:r w:rsidR="007132BB" w:rsidRPr="007B0231">
        <w:rPr>
          <w:rFonts w:ascii="Arial" w:hAnsi="Arial" w:cs="Arial"/>
          <w:sz w:val="24"/>
          <w:szCs w:val="24"/>
          <w:lang w:val="en-GB"/>
        </w:rPr>
        <w:t xml:space="preserve"> the Constitutional Court </w:t>
      </w:r>
      <w:r w:rsidR="002F285F" w:rsidRPr="007B0231">
        <w:rPr>
          <w:rFonts w:ascii="Arial" w:hAnsi="Arial" w:cs="Arial"/>
          <w:sz w:val="24"/>
          <w:szCs w:val="24"/>
          <w:lang w:val="en-GB"/>
        </w:rPr>
        <w:t>stated as follows:</w:t>
      </w:r>
      <w:r w:rsidR="007132BB" w:rsidRPr="007B0231">
        <w:rPr>
          <w:rFonts w:ascii="Arial" w:hAnsi="Arial" w:cs="Arial"/>
          <w:sz w:val="24"/>
          <w:szCs w:val="24"/>
          <w:lang w:val="en-GB"/>
        </w:rPr>
        <w:t xml:space="preserve"> </w:t>
      </w:r>
    </w:p>
    <w:p w14:paraId="39252BB3" w14:textId="775DC60B" w:rsidR="007132BB" w:rsidRPr="007132BB" w:rsidRDefault="007132BB" w:rsidP="0030569B">
      <w:pPr>
        <w:spacing w:line="360" w:lineRule="auto"/>
        <w:ind w:left="720"/>
        <w:jc w:val="both"/>
        <w:rPr>
          <w:rFonts w:ascii="Arial" w:hAnsi="Arial" w:cs="Arial"/>
          <w:lang w:val="en-GB"/>
        </w:rPr>
      </w:pPr>
      <w:r w:rsidRPr="007132BB">
        <w:rPr>
          <w:rFonts w:ascii="Arial" w:hAnsi="Arial" w:cs="Arial"/>
          <w:lang w:val="en-GB"/>
        </w:rPr>
        <w:t>‘</w:t>
      </w:r>
      <w:r w:rsidR="00427E16" w:rsidRPr="00427E16">
        <w:rPr>
          <w:rFonts w:ascii="Arial" w:hAnsi="Arial" w:cs="Arial"/>
          <w:lang w:val="en-GB"/>
        </w:rPr>
        <w:t>T</w:t>
      </w:r>
      <w:r w:rsidRPr="007132BB">
        <w:rPr>
          <w:rFonts w:ascii="Arial" w:hAnsi="Arial" w:cs="Arial"/>
          <w:lang w:val="en-GB"/>
        </w:rPr>
        <w:t>his “generous jurisdiction” in terms of section 8 of PAJA provides for a wide range of just and equitable remedies, including declaratory orders, orders setting aside the administrative action, orders directing the administrator to act in an appropriate manner, and orders prohibiting him or her from acting in a particular manner.’</w:t>
      </w:r>
      <w:r w:rsidR="002D34A3">
        <w:rPr>
          <w:rStyle w:val="FootnoteReference"/>
          <w:rFonts w:ascii="Arial" w:hAnsi="Arial" w:cs="Arial"/>
          <w:lang w:val="en-GB"/>
        </w:rPr>
        <w:footnoteReference w:id="82"/>
      </w:r>
    </w:p>
    <w:p w14:paraId="0A15DDA5" w14:textId="77777777" w:rsidR="00427E16" w:rsidRDefault="00427E16" w:rsidP="00816846">
      <w:pPr>
        <w:spacing w:line="360" w:lineRule="auto"/>
        <w:rPr>
          <w:rFonts w:ascii="Arial" w:hAnsi="Arial" w:cs="Arial"/>
          <w:sz w:val="24"/>
          <w:szCs w:val="24"/>
          <w:lang w:val="en-GB"/>
        </w:rPr>
      </w:pPr>
    </w:p>
    <w:p w14:paraId="68F621D0" w14:textId="1698FB31" w:rsidR="00816846"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[103]</w:t>
      </w:r>
      <w:r w:rsidRPr="0030569B">
        <w:rPr>
          <w:rFonts w:ascii="Arial" w:hAnsi="Arial" w:cs="Arial"/>
          <w:sz w:val="24"/>
          <w:szCs w:val="24"/>
          <w:lang w:val="en-GB"/>
        </w:rPr>
        <w:tab/>
      </w:r>
      <w:r w:rsidR="00607A5C" w:rsidRPr="007B0231">
        <w:rPr>
          <w:rFonts w:ascii="Arial" w:hAnsi="Arial" w:cs="Arial"/>
          <w:sz w:val="24"/>
          <w:szCs w:val="24"/>
          <w:lang w:val="en-GB"/>
        </w:rPr>
        <w:t xml:space="preserve">The court </w:t>
      </w:r>
      <w:r w:rsidR="00F306AF" w:rsidRPr="007B0231">
        <w:rPr>
          <w:rFonts w:ascii="Arial" w:hAnsi="Arial" w:cs="Arial"/>
          <w:sz w:val="24"/>
          <w:szCs w:val="24"/>
          <w:lang w:val="en-GB"/>
        </w:rPr>
        <w:t xml:space="preserve">applied the same approach, later, </w:t>
      </w:r>
      <w:r w:rsidR="00436DC0" w:rsidRPr="007B0231">
        <w:rPr>
          <w:rFonts w:ascii="Arial" w:hAnsi="Arial" w:cs="Arial"/>
          <w:sz w:val="24"/>
          <w:szCs w:val="24"/>
          <w:lang w:val="en-GB"/>
        </w:rPr>
        <w:t>i</w:t>
      </w:r>
      <w:r w:rsidR="00816846" w:rsidRPr="007B0231">
        <w:rPr>
          <w:rFonts w:ascii="Arial" w:hAnsi="Arial" w:cs="Arial"/>
          <w:sz w:val="24"/>
          <w:szCs w:val="24"/>
          <w:lang w:val="en-GB"/>
        </w:rPr>
        <w:t xml:space="preserve">n </w:t>
      </w:r>
      <w:r w:rsidR="00816846" w:rsidRPr="007B0231">
        <w:rPr>
          <w:rFonts w:ascii="Arial" w:hAnsi="Arial" w:cs="Arial"/>
          <w:i/>
          <w:sz w:val="24"/>
          <w:szCs w:val="24"/>
          <w:lang w:val="en-GB"/>
        </w:rPr>
        <w:t>AllPay</w:t>
      </w:r>
      <w:r w:rsidR="00994020" w:rsidRPr="007B0231">
        <w:rPr>
          <w:rFonts w:ascii="Arial" w:hAnsi="Arial" w:cs="Arial"/>
          <w:i/>
          <w:sz w:val="24"/>
          <w:szCs w:val="24"/>
          <w:lang w:val="en-GB"/>
        </w:rPr>
        <w:t xml:space="preserve"> Consolidated Investment Holdings (Pty) Ltd</w:t>
      </w:r>
      <w:r w:rsidR="00F37A90" w:rsidRPr="007B0231">
        <w:rPr>
          <w:rFonts w:ascii="Arial" w:hAnsi="Arial" w:cs="Arial"/>
          <w:i/>
          <w:sz w:val="24"/>
          <w:szCs w:val="24"/>
          <w:lang w:val="en-GB"/>
        </w:rPr>
        <w:t xml:space="preserve"> and others v </w:t>
      </w:r>
      <w:r w:rsidR="0061184C" w:rsidRPr="007B0231">
        <w:rPr>
          <w:rFonts w:ascii="Arial" w:hAnsi="Arial" w:cs="Arial"/>
          <w:i/>
          <w:sz w:val="24"/>
          <w:szCs w:val="24"/>
          <w:lang w:val="en-GB"/>
        </w:rPr>
        <w:t>Chief Executive Officer of the South Africa Social Security Agency</w:t>
      </w:r>
      <w:r w:rsidR="000A6500" w:rsidRPr="007B0231">
        <w:rPr>
          <w:rFonts w:ascii="Arial" w:hAnsi="Arial" w:cs="Arial"/>
          <w:i/>
          <w:sz w:val="24"/>
          <w:szCs w:val="24"/>
          <w:lang w:val="en-GB"/>
        </w:rPr>
        <w:t xml:space="preserve"> and others (Corruption Watch </w:t>
      </w:r>
      <w:r w:rsidR="007C7ADC" w:rsidRPr="007B0231">
        <w:rPr>
          <w:rFonts w:ascii="Arial" w:hAnsi="Arial" w:cs="Arial"/>
          <w:i/>
          <w:sz w:val="24"/>
          <w:szCs w:val="24"/>
          <w:lang w:val="en-GB"/>
        </w:rPr>
        <w:t>and another as amici curiae)</w:t>
      </w:r>
      <w:r w:rsidR="00816846" w:rsidRPr="007B0231">
        <w:rPr>
          <w:rFonts w:ascii="Arial" w:hAnsi="Arial" w:cs="Arial"/>
          <w:sz w:val="24"/>
          <w:szCs w:val="24"/>
          <w:lang w:val="en-GB"/>
        </w:rPr>
        <w:t>,</w:t>
      </w:r>
      <w:r w:rsidR="007C7ADC">
        <w:rPr>
          <w:rStyle w:val="FootnoteReference"/>
          <w:rFonts w:ascii="Arial" w:hAnsi="Arial" w:cs="Arial"/>
          <w:sz w:val="24"/>
          <w:szCs w:val="24"/>
          <w:lang w:val="en-GB"/>
        </w:rPr>
        <w:footnoteReference w:id="83"/>
      </w:r>
      <w:r w:rsidR="00816846" w:rsidRPr="007B0231">
        <w:rPr>
          <w:rFonts w:ascii="Arial" w:hAnsi="Arial" w:cs="Arial"/>
          <w:sz w:val="24"/>
          <w:szCs w:val="24"/>
          <w:lang w:val="en-GB"/>
        </w:rPr>
        <w:t xml:space="preserve"> </w:t>
      </w:r>
      <w:r w:rsidR="00C1111D" w:rsidRPr="007B0231">
        <w:rPr>
          <w:rFonts w:ascii="Arial" w:hAnsi="Arial" w:cs="Arial"/>
          <w:sz w:val="24"/>
          <w:szCs w:val="24"/>
          <w:lang w:val="en-GB"/>
        </w:rPr>
        <w:t xml:space="preserve">where it </w:t>
      </w:r>
      <w:r w:rsidR="000C4EE3" w:rsidRPr="007B0231">
        <w:rPr>
          <w:rFonts w:ascii="Arial" w:hAnsi="Arial" w:cs="Arial"/>
          <w:sz w:val="24"/>
          <w:szCs w:val="24"/>
          <w:lang w:val="en-GB"/>
        </w:rPr>
        <w:t>held that:</w:t>
      </w:r>
    </w:p>
    <w:p w14:paraId="43AE217C" w14:textId="6B7F522A" w:rsidR="00816846" w:rsidRPr="00C1111D" w:rsidRDefault="00816846" w:rsidP="0030569B">
      <w:pPr>
        <w:spacing w:line="360" w:lineRule="auto"/>
        <w:ind w:left="720"/>
        <w:jc w:val="both"/>
        <w:rPr>
          <w:rFonts w:ascii="Arial" w:hAnsi="Arial" w:cs="Arial"/>
          <w:lang w:val="en-GB"/>
        </w:rPr>
      </w:pPr>
      <w:r w:rsidRPr="00816846">
        <w:rPr>
          <w:rFonts w:ascii="Arial" w:hAnsi="Arial" w:cs="Arial"/>
          <w:lang w:val="en-GB"/>
        </w:rPr>
        <w:lastRenderedPageBreak/>
        <w:t>‘</w:t>
      </w:r>
      <w:r w:rsidR="007B4284" w:rsidRPr="00C1111D">
        <w:rPr>
          <w:rFonts w:ascii="Arial" w:hAnsi="Arial" w:cs="Arial"/>
          <w:lang w:val="en-GB"/>
        </w:rPr>
        <w:t>O</w:t>
      </w:r>
      <w:r w:rsidRPr="00816846">
        <w:rPr>
          <w:rFonts w:ascii="Arial" w:hAnsi="Arial" w:cs="Arial"/>
          <w:lang w:val="en-GB"/>
        </w:rPr>
        <w:t>nce a ground of review under PAJA has been established there is no room for shying away from it. Section 172(1)(a) of the Constitution requires the decision to be declared unlawful. The consequences of the declaration of unlawfulness must then be dealt with in a just and equitable order under section 172(1)(b). Section 8 of PAJA gives detailed legislative content to the Constitution’s “just and equitable” remedy.’</w:t>
      </w:r>
      <w:r w:rsidR="00423ED0" w:rsidRPr="00C1111D">
        <w:rPr>
          <w:rStyle w:val="FootnoteReference"/>
          <w:rFonts w:ascii="Arial" w:hAnsi="Arial" w:cs="Arial"/>
          <w:lang w:val="en-GB"/>
        </w:rPr>
        <w:footnoteReference w:id="84"/>
      </w:r>
    </w:p>
    <w:p w14:paraId="5A5B937A" w14:textId="77777777" w:rsidR="00C1111D" w:rsidRDefault="00C1111D" w:rsidP="00C1111D">
      <w:pPr>
        <w:spacing w:line="360" w:lineRule="auto"/>
        <w:rPr>
          <w:rFonts w:ascii="Arial" w:hAnsi="Arial" w:cs="Arial"/>
          <w:sz w:val="24"/>
          <w:szCs w:val="24"/>
          <w:lang w:val="en-GB"/>
        </w:rPr>
      </w:pPr>
    </w:p>
    <w:p w14:paraId="6D67B274" w14:textId="14B3D068"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[104]</w:t>
      </w:r>
      <w:r>
        <w:rPr>
          <w:rFonts w:ascii="Arial" w:hAnsi="Arial" w:cs="Arial"/>
          <w:sz w:val="24"/>
          <w:szCs w:val="24"/>
          <w:lang w:val="en-GB"/>
        </w:rPr>
        <w:tab/>
      </w:r>
      <w:r w:rsidR="00C1111D" w:rsidRPr="007B0231">
        <w:rPr>
          <w:rFonts w:ascii="Arial" w:hAnsi="Arial" w:cs="Arial"/>
          <w:sz w:val="24"/>
          <w:szCs w:val="24"/>
          <w:lang w:val="en-GB"/>
        </w:rPr>
        <w:t>Mindful of the above,</w:t>
      </w:r>
      <w:r w:rsidR="00130F46" w:rsidRPr="007B0231">
        <w:rPr>
          <w:rFonts w:ascii="Arial" w:hAnsi="Arial" w:cs="Arial"/>
          <w:sz w:val="24"/>
          <w:szCs w:val="24"/>
          <w:lang w:val="en-GB"/>
        </w:rPr>
        <w:t xml:space="preserve"> it is necessary to de</w:t>
      </w:r>
      <w:r w:rsidR="00000E76" w:rsidRPr="007B0231">
        <w:rPr>
          <w:rFonts w:ascii="Arial" w:hAnsi="Arial" w:cs="Arial"/>
          <w:sz w:val="24"/>
          <w:szCs w:val="24"/>
          <w:lang w:val="en-GB"/>
        </w:rPr>
        <w:t>termine</w:t>
      </w:r>
      <w:r w:rsidR="00130F46" w:rsidRPr="007B0231">
        <w:rPr>
          <w:rFonts w:ascii="Arial" w:hAnsi="Arial" w:cs="Arial"/>
          <w:sz w:val="24"/>
          <w:szCs w:val="24"/>
          <w:lang w:val="en-GB"/>
        </w:rPr>
        <w:t xml:space="preserve"> what would be just and equitable in the immediate circumstances.</w:t>
      </w:r>
      <w:r w:rsidR="00DD75D4" w:rsidRPr="007B0231">
        <w:rPr>
          <w:rFonts w:ascii="Arial" w:hAnsi="Arial" w:cs="Arial"/>
          <w:sz w:val="24"/>
          <w:szCs w:val="24"/>
          <w:lang w:val="en-GB"/>
        </w:rPr>
        <w:t xml:space="preserve"> To that end, it may be </w:t>
      </w:r>
      <w:r w:rsidR="00940BD3" w:rsidRPr="007B0231">
        <w:rPr>
          <w:rFonts w:ascii="Arial" w:hAnsi="Arial" w:cs="Arial"/>
          <w:sz w:val="24"/>
          <w:szCs w:val="24"/>
          <w:lang w:val="en-GB"/>
        </w:rPr>
        <w:t xml:space="preserve">more helpful to approach the matter from </w:t>
      </w:r>
      <w:r w:rsidR="00000E76" w:rsidRPr="007B0231">
        <w:rPr>
          <w:rFonts w:ascii="Arial" w:hAnsi="Arial" w:cs="Arial"/>
          <w:sz w:val="24"/>
          <w:szCs w:val="24"/>
          <w:lang w:val="en-GB"/>
        </w:rPr>
        <w:t xml:space="preserve">a different angle and to </w:t>
      </w:r>
      <w:r w:rsidR="00940BD3" w:rsidRPr="007B0231">
        <w:rPr>
          <w:rFonts w:ascii="Arial" w:hAnsi="Arial" w:cs="Arial"/>
          <w:sz w:val="24"/>
          <w:szCs w:val="24"/>
          <w:lang w:val="en-GB"/>
        </w:rPr>
        <w:t>decide, at the outset, what would not be just and equitable.</w:t>
      </w:r>
    </w:p>
    <w:p w14:paraId="38A4533D" w14:textId="77777777" w:rsidR="0030569B" w:rsidRDefault="0030569B" w:rsidP="0030569B">
      <w:pPr>
        <w:pStyle w:val="ListParagraph"/>
        <w:spacing w:line="360" w:lineRule="auto"/>
        <w:ind w:left="0"/>
        <w:jc w:val="both"/>
        <w:rPr>
          <w:rFonts w:ascii="Arial" w:hAnsi="Arial" w:cs="Arial"/>
          <w:sz w:val="24"/>
          <w:szCs w:val="24"/>
          <w:lang w:val="en-GB"/>
        </w:rPr>
      </w:pPr>
    </w:p>
    <w:p w14:paraId="1C2D288D" w14:textId="65B13AF9" w:rsidR="00173D88"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[105]</w:t>
      </w:r>
      <w:r w:rsidRPr="0030569B">
        <w:rPr>
          <w:rFonts w:ascii="Arial" w:hAnsi="Arial" w:cs="Arial"/>
          <w:sz w:val="24"/>
          <w:szCs w:val="24"/>
          <w:lang w:val="en-GB"/>
        </w:rPr>
        <w:tab/>
      </w:r>
      <w:r w:rsidR="00BC767A" w:rsidRPr="007B0231">
        <w:rPr>
          <w:rFonts w:ascii="Arial" w:hAnsi="Arial" w:cs="Arial"/>
          <w:sz w:val="24"/>
          <w:szCs w:val="24"/>
          <w:lang w:val="en-GB"/>
        </w:rPr>
        <w:t xml:space="preserve">Having found that the </w:t>
      </w:r>
      <w:r w:rsidR="00FB6E5D" w:rsidRPr="007B0231">
        <w:rPr>
          <w:rFonts w:ascii="Arial" w:hAnsi="Arial" w:cs="Arial"/>
          <w:sz w:val="24"/>
          <w:szCs w:val="24"/>
          <w:lang w:val="en-GB"/>
        </w:rPr>
        <w:t xml:space="preserve">decisions of the tribunal and the appeal authority are reviewable, the court is obligated to </w:t>
      </w:r>
      <w:r w:rsidR="003F4307" w:rsidRPr="007B0231">
        <w:rPr>
          <w:rFonts w:ascii="Arial" w:hAnsi="Arial" w:cs="Arial"/>
          <w:sz w:val="24"/>
          <w:szCs w:val="24"/>
          <w:lang w:val="en-GB"/>
        </w:rPr>
        <w:t xml:space="preserve">declare </w:t>
      </w:r>
      <w:r w:rsidR="00795A07" w:rsidRPr="007B0231">
        <w:rPr>
          <w:rFonts w:ascii="Arial" w:hAnsi="Arial" w:cs="Arial"/>
          <w:sz w:val="24"/>
          <w:szCs w:val="24"/>
          <w:lang w:val="en-GB"/>
        </w:rPr>
        <w:t xml:space="preserve">them to be </w:t>
      </w:r>
      <w:r w:rsidR="0066437F" w:rsidRPr="007B0231">
        <w:rPr>
          <w:rFonts w:ascii="Arial" w:hAnsi="Arial" w:cs="Arial"/>
          <w:sz w:val="24"/>
          <w:szCs w:val="24"/>
          <w:lang w:val="en-GB"/>
        </w:rPr>
        <w:t xml:space="preserve">invalid and </w:t>
      </w:r>
      <w:r w:rsidR="00795A07" w:rsidRPr="007B0231">
        <w:rPr>
          <w:rFonts w:ascii="Arial" w:hAnsi="Arial" w:cs="Arial"/>
          <w:sz w:val="24"/>
          <w:szCs w:val="24"/>
          <w:lang w:val="en-GB"/>
        </w:rPr>
        <w:t>unlawful.</w:t>
      </w:r>
      <w:r w:rsidR="001423A7" w:rsidRPr="007B0231">
        <w:rPr>
          <w:rFonts w:ascii="Arial" w:hAnsi="Arial" w:cs="Arial"/>
          <w:sz w:val="24"/>
          <w:szCs w:val="24"/>
          <w:lang w:val="en-GB"/>
        </w:rPr>
        <w:t xml:space="preserve"> </w:t>
      </w:r>
      <w:r w:rsidR="00C94A13" w:rsidRPr="007B0231">
        <w:rPr>
          <w:rFonts w:ascii="Arial" w:hAnsi="Arial" w:cs="Arial"/>
          <w:sz w:val="24"/>
          <w:szCs w:val="24"/>
          <w:lang w:val="en-GB"/>
        </w:rPr>
        <w:t>After that, t</w:t>
      </w:r>
      <w:r w:rsidR="00C41115" w:rsidRPr="007B0231">
        <w:rPr>
          <w:rFonts w:ascii="Arial" w:hAnsi="Arial" w:cs="Arial"/>
          <w:sz w:val="24"/>
          <w:szCs w:val="24"/>
          <w:lang w:val="en-GB"/>
        </w:rPr>
        <w:t xml:space="preserve">he remittal of the </w:t>
      </w:r>
      <w:r w:rsidR="0088038F" w:rsidRPr="007B0231">
        <w:rPr>
          <w:rFonts w:ascii="Arial" w:hAnsi="Arial" w:cs="Arial"/>
          <w:sz w:val="24"/>
          <w:szCs w:val="24"/>
          <w:lang w:val="en-GB"/>
        </w:rPr>
        <w:t xml:space="preserve">matters to the decision-makers would </w:t>
      </w:r>
      <w:r w:rsidR="000A634E" w:rsidRPr="007B0231">
        <w:rPr>
          <w:rFonts w:ascii="Arial" w:hAnsi="Arial" w:cs="Arial"/>
          <w:sz w:val="24"/>
          <w:szCs w:val="24"/>
          <w:lang w:val="en-GB"/>
        </w:rPr>
        <w:t xml:space="preserve">usually </w:t>
      </w:r>
      <w:r w:rsidR="001366F9" w:rsidRPr="007B0231">
        <w:rPr>
          <w:rFonts w:ascii="Arial" w:hAnsi="Arial" w:cs="Arial"/>
          <w:sz w:val="24"/>
          <w:szCs w:val="24"/>
          <w:lang w:val="en-GB"/>
        </w:rPr>
        <w:t xml:space="preserve">be the most sensible </w:t>
      </w:r>
      <w:r w:rsidR="00854880" w:rsidRPr="007B0231">
        <w:rPr>
          <w:rFonts w:ascii="Arial" w:hAnsi="Arial" w:cs="Arial"/>
          <w:sz w:val="24"/>
          <w:szCs w:val="24"/>
          <w:lang w:val="en-GB"/>
        </w:rPr>
        <w:t>way forward.</w:t>
      </w:r>
      <w:r w:rsidR="00C94A13">
        <w:rPr>
          <w:rStyle w:val="FootnoteReference"/>
          <w:rFonts w:ascii="Arial" w:hAnsi="Arial" w:cs="Arial"/>
          <w:sz w:val="24"/>
          <w:szCs w:val="24"/>
          <w:lang w:val="en-GB"/>
        </w:rPr>
        <w:footnoteReference w:id="85"/>
      </w:r>
      <w:r w:rsidR="002952E1" w:rsidRPr="007B0231">
        <w:rPr>
          <w:rFonts w:ascii="Arial" w:hAnsi="Arial" w:cs="Arial"/>
          <w:sz w:val="24"/>
          <w:szCs w:val="24"/>
          <w:lang w:val="en-GB"/>
        </w:rPr>
        <w:t xml:space="preserve"> In terms of section 8</w:t>
      </w:r>
      <w:r w:rsidR="00E570C0" w:rsidRPr="007B0231">
        <w:rPr>
          <w:rFonts w:ascii="Arial" w:hAnsi="Arial" w:cs="Arial"/>
          <w:sz w:val="24"/>
          <w:szCs w:val="24"/>
          <w:lang w:val="en-GB"/>
        </w:rPr>
        <w:t>(1)(c)(ii),</w:t>
      </w:r>
      <w:r w:rsidR="00CF48D8" w:rsidRPr="007B0231">
        <w:rPr>
          <w:rFonts w:ascii="Arial" w:hAnsi="Arial" w:cs="Arial"/>
          <w:sz w:val="24"/>
          <w:szCs w:val="24"/>
          <w:lang w:val="en-GB"/>
        </w:rPr>
        <w:t xml:space="preserve"> however, a court may</w:t>
      </w:r>
      <w:r w:rsidR="00B874D1" w:rsidRPr="007B0231">
        <w:rPr>
          <w:rFonts w:ascii="Arial" w:hAnsi="Arial" w:cs="Arial"/>
          <w:sz w:val="24"/>
          <w:szCs w:val="24"/>
          <w:lang w:val="en-GB"/>
        </w:rPr>
        <w:t>, in exceptional cases,</w:t>
      </w:r>
      <w:r w:rsidR="00CF48D8" w:rsidRPr="007B0231">
        <w:rPr>
          <w:rFonts w:ascii="Arial" w:hAnsi="Arial" w:cs="Arial"/>
          <w:sz w:val="24"/>
          <w:szCs w:val="24"/>
          <w:lang w:val="en-GB"/>
        </w:rPr>
        <w:t xml:space="preserve"> set aside an administrative action </w:t>
      </w:r>
      <w:r w:rsidR="00A14EEE" w:rsidRPr="007B0231">
        <w:rPr>
          <w:rFonts w:ascii="Arial" w:hAnsi="Arial" w:cs="Arial"/>
          <w:sz w:val="24"/>
          <w:szCs w:val="24"/>
          <w:lang w:val="en-GB"/>
        </w:rPr>
        <w:t xml:space="preserve">and substitute or vary the action </w:t>
      </w:r>
      <w:r w:rsidR="004C7513" w:rsidRPr="007B0231">
        <w:rPr>
          <w:rFonts w:ascii="Arial" w:hAnsi="Arial" w:cs="Arial"/>
          <w:sz w:val="24"/>
          <w:szCs w:val="24"/>
          <w:lang w:val="en-GB"/>
        </w:rPr>
        <w:t>or correct a defect resulting therefrom</w:t>
      </w:r>
      <w:r w:rsidR="00B874D1" w:rsidRPr="007B0231">
        <w:rPr>
          <w:rFonts w:ascii="Arial" w:hAnsi="Arial" w:cs="Arial"/>
          <w:sz w:val="24"/>
          <w:szCs w:val="24"/>
          <w:lang w:val="en-GB"/>
        </w:rPr>
        <w:t>.</w:t>
      </w:r>
      <w:r w:rsidR="00A17952" w:rsidRPr="007B0231">
        <w:rPr>
          <w:rFonts w:ascii="Arial" w:hAnsi="Arial" w:cs="Arial"/>
          <w:sz w:val="24"/>
          <w:szCs w:val="24"/>
          <w:lang w:val="en-GB"/>
        </w:rPr>
        <w:t xml:space="preserve"> </w:t>
      </w:r>
      <w:r w:rsidR="00D126EB" w:rsidRPr="007B0231">
        <w:rPr>
          <w:rFonts w:ascii="Arial" w:hAnsi="Arial" w:cs="Arial"/>
          <w:sz w:val="24"/>
          <w:szCs w:val="24"/>
          <w:lang w:val="en-GB"/>
        </w:rPr>
        <w:t xml:space="preserve">The underlying common law principles emerged from the decision in </w:t>
      </w:r>
      <w:r w:rsidR="005564E3" w:rsidRPr="007B0231">
        <w:rPr>
          <w:rFonts w:ascii="Arial" w:hAnsi="Arial" w:cs="Arial"/>
          <w:i/>
          <w:iCs/>
          <w:sz w:val="24"/>
          <w:szCs w:val="24"/>
          <w:lang w:val="en-GB"/>
        </w:rPr>
        <w:t>Johannesburg City Council v Administrator</w:t>
      </w:r>
      <w:r w:rsidR="002A19F4" w:rsidRPr="007B0231">
        <w:rPr>
          <w:rFonts w:ascii="Arial" w:hAnsi="Arial" w:cs="Arial"/>
          <w:i/>
          <w:iCs/>
          <w:sz w:val="24"/>
          <w:szCs w:val="24"/>
          <w:lang w:val="en-GB"/>
        </w:rPr>
        <w:t>, Transvaal</w:t>
      </w:r>
      <w:r w:rsidR="00061CFE" w:rsidRPr="007B0231">
        <w:rPr>
          <w:rFonts w:ascii="Arial" w:hAnsi="Arial" w:cs="Arial"/>
          <w:sz w:val="24"/>
          <w:szCs w:val="24"/>
          <w:lang w:val="en-GB"/>
        </w:rPr>
        <w:t>,</w:t>
      </w:r>
      <w:r w:rsidR="001B0694">
        <w:rPr>
          <w:rStyle w:val="FootnoteReference"/>
          <w:rFonts w:ascii="Arial" w:hAnsi="Arial" w:cs="Arial"/>
          <w:sz w:val="24"/>
          <w:szCs w:val="24"/>
          <w:lang w:val="en-GB"/>
        </w:rPr>
        <w:footnoteReference w:id="86"/>
      </w:r>
      <w:r w:rsidR="00061CFE" w:rsidRPr="007B0231">
        <w:rPr>
          <w:rFonts w:ascii="Arial" w:hAnsi="Arial" w:cs="Arial"/>
          <w:sz w:val="24"/>
          <w:szCs w:val="24"/>
          <w:lang w:val="en-GB"/>
        </w:rPr>
        <w:t xml:space="preserve"> where Hiemstra J summarised the position as </w:t>
      </w:r>
      <w:r w:rsidR="001B0694" w:rsidRPr="007B0231">
        <w:rPr>
          <w:rFonts w:ascii="Arial" w:hAnsi="Arial" w:cs="Arial"/>
          <w:sz w:val="24"/>
          <w:szCs w:val="24"/>
          <w:lang w:val="en-GB"/>
        </w:rPr>
        <w:t>follows:</w:t>
      </w:r>
    </w:p>
    <w:p w14:paraId="06D60396" w14:textId="03EFA6E5" w:rsidR="006672E4" w:rsidRPr="00FD050C" w:rsidRDefault="006672E4" w:rsidP="0030569B">
      <w:pPr>
        <w:spacing w:line="360" w:lineRule="auto"/>
        <w:jc w:val="both"/>
        <w:rPr>
          <w:rFonts w:ascii="Arial" w:hAnsi="Arial" w:cs="Arial"/>
          <w:lang w:val="en-GB"/>
        </w:rPr>
      </w:pPr>
      <w:r w:rsidRPr="00FD050C">
        <w:rPr>
          <w:rFonts w:ascii="Arial" w:hAnsi="Arial" w:cs="Arial"/>
          <w:lang w:val="en-GB"/>
        </w:rPr>
        <w:tab/>
        <w:t xml:space="preserve">‘…it seems clear that the </w:t>
      </w:r>
      <w:r w:rsidR="009923D2" w:rsidRPr="00FD050C">
        <w:rPr>
          <w:rFonts w:ascii="Arial" w:hAnsi="Arial" w:cs="Arial"/>
          <w:lang w:val="en-GB"/>
        </w:rPr>
        <w:t>C</w:t>
      </w:r>
      <w:r w:rsidRPr="00FD050C">
        <w:rPr>
          <w:rFonts w:ascii="Arial" w:hAnsi="Arial" w:cs="Arial"/>
          <w:lang w:val="en-GB"/>
        </w:rPr>
        <w:t xml:space="preserve">ourts have </w:t>
      </w:r>
      <w:r w:rsidR="009923D2" w:rsidRPr="00FD050C">
        <w:rPr>
          <w:rFonts w:ascii="Arial" w:hAnsi="Arial" w:cs="Arial"/>
          <w:lang w:val="en-GB"/>
        </w:rPr>
        <w:t>consistently followed this pattern:</w:t>
      </w:r>
    </w:p>
    <w:p w14:paraId="55958FC4" w14:textId="69AF2C8C" w:rsidR="009923D2" w:rsidRPr="007B0231" w:rsidRDefault="007B0231" w:rsidP="007B0231">
      <w:pPr>
        <w:spacing w:line="360" w:lineRule="auto"/>
        <w:ind w:left="1800" w:hanging="360"/>
        <w:jc w:val="both"/>
        <w:rPr>
          <w:rFonts w:ascii="Arial" w:hAnsi="Arial" w:cs="Arial"/>
          <w:lang w:val="en-GB"/>
        </w:rPr>
      </w:pPr>
      <w:r w:rsidRPr="00FD050C">
        <w:rPr>
          <w:rFonts w:ascii="Arial" w:hAnsi="Arial" w:cs="Arial"/>
          <w:lang w:val="en-GB"/>
        </w:rPr>
        <w:t>1.</w:t>
      </w:r>
      <w:r w:rsidRPr="00FD050C">
        <w:rPr>
          <w:rFonts w:ascii="Arial" w:hAnsi="Arial" w:cs="Arial"/>
          <w:lang w:val="en-GB"/>
        </w:rPr>
        <w:tab/>
      </w:r>
      <w:r w:rsidR="009923D2" w:rsidRPr="007B0231">
        <w:rPr>
          <w:rFonts w:ascii="Arial" w:hAnsi="Arial" w:cs="Arial"/>
          <w:lang w:val="en-GB"/>
        </w:rPr>
        <w:t xml:space="preserve">The ordinary </w:t>
      </w:r>
      <w:r w:rsidR="005F44EB" w:rsidRPr="007B0231">
        <w:rPr>
          <w:rFonts w:ascii="Arial" w:hAnsi="Arial" w:cs="Arial"/>
          <w:lang w:val="en-GB"/>
        </w:rPr>
        <w:t xml:space="preserve">course is to refer back because the Court is slow to assume a discretion which has by statute </w:t>
      </w:r>
      <w:r w:rsidR="007205E0" w:rsidRPr="007B0231">
        <w:rPr>
          <w:rFonts w:ascii="Arial" w:hAnsi="Arial" w:cs="Arial"/>
          <w:lang w:val="en-GB"/>
        </w:rPr>
        <w:t>been entrusted to another tribunal or functionary.</w:t>
      </w:r>
    </w:p>
    <w:p w14:paraId="2C0AF966" w14:textId="097C7D81" w:rsidR="007205E0" w:rsidRPr="007B0231" w:rsidRDefault="007B0231" w:rsidP="007B0231">
      <w:pPr>
        <w:spacing w:line="360" w:lineRule="auto"/>
        <w:ind w:left="1800" w:hanging="360"/>
        <w:jc w:val="both"/>
        <w:rPr>
          <w:rFonts w:ascii="Arial" w:hAnsi="Arial" w:cs="Arial"/>
          <w:lang w:val="en-GB"/>
        </w:rPr>
      </w:pPr>
      <w:r w:rsidRPr="00FD050C">
        <w:rPr>
          <w:rFonts w:ascii="Arial" w:hAnsi="Arial" w:cs="Arial"/>
          <w:lang w:val="en-GB"/>
        </w:rPr>
        <w:t>2.</w:t>
      </w:r>
      <w:r w:rsidRPr="00FD050C">
        <w:rPr>
          <w:rFonts w:ascii="Arial" w:hAnsi="Arial" w:cs="Arial"/>
          <w:lang w:val="en-GB"/>
        </w:rPr>
        <w:tab/>
      </w:r>
      <w:r w:rsidR="007205E0" w:rsidRPr="007B0231">
        <w:rPr>
          <w:rFonts w:ascii="Arial" w:hAnsi="Arial" w:cs="Arial"/>
          <w:lang w:val="en-GB"/>
        </w:rPr>
        <w:t>The Court will depart from the ordinary course</w:t>
      </w:r>
      <w:r w:rsidR="00922C02" w:rsidRPr="007B0231">
        <w:rPr>
          <w:rFonts w:ascii="Arial" w:hAnsi="Arial" w:cs="Arial"/>
          <w:lang w:val="en-GB"/>
        </w:rPr>
        <w:t xml:space="preserve"> in these circumstances:</w:t>
      </w:r>
    </w:p>
    <w:p w14:paraId="2C77DAF7" w14:textId="73DBBF19" w:rsidR="00922C02" w:rsidRPr="007B0231" w:rsidRDefault="007B0231" w:rsidP="007B0231">
      <w:pPr>
        <w:spacing w:line="360" w:lineRule="auto"/>
        <w:ind w:left="2520" w:hanging="720"/>
        <w:jc w:val="both"/>
        <w:rPr>
          <w:rFonts w:ascii="Arial" w:hAnsi="Arial" w:cs="Arial"/>
          <w:lang w:val="en-GB"/>
        </w:rPr>
      </w:pPr>
      <w:r w:rsidRPr="00FD050C">
        <w:rPr>
          <w:rFonts w:ascii="Arial" w:hAnsi="Arial" w:cs="Arial"/>
          <w:lang w:val="en-GB"/>
        </w:rPr>
        <w:t>(i)</w:t>
      </w:r>
      <w:r w:rsidRPr="00FD050C">
        <w:rPr>
          <w:rFonts w:ascii="Arial" w:hAnsi="Arial" w:cs="Arial"/>
          <w:lang w:val="en-GB"/>
        </w:rPr>
        <w:tab/>
      </w:r>
      <w:r w:rsidR="00922C02" w:rsidRPr="007B0231">
        <w:rPr>
          <w:rFonts w:ascii="Arial" w:hAnsi="Arial" w:cs="Arial"/>
          <w:lang w:val="en-GB"/>
        </w:rPr>
        <w:t>Where the end result is in any event</w:t>
      </w:r>
      <w:r w:rsidR="00CA3E0E" w:rsidRPr="007B0231">
        <w:rPr>
          <w:rFonts w:ascii="Arial" w:hAnsi="Arial" w:cs="Arial"/>
          <w:lang w:val="en-GB"/>
        </w:rPr>
        <w:t xml:space="preserve"> a foregone conclusion and it would merely be a waste of time to order the tribunal or functionary to reconsider the matter</w:t>
      </w:r>
      <w:r w:rsidR="00C14EAD" w:rsidRPr="007B0231">
        <w:rPr>
          <w:rFonts w:ascii="Arial" w:hAnsi="Arial" w:cs="Arial"/>
          <w:lang w:val="en-GB"/>
        </w:rPr>
        <w:t xml:space="preserve">. This applies more particularly where much time </w:t>
      </w:r>
      <w:r w:rsidR="00C14EAD" w:rsidRPr="007B0231">
        <w:rPr>
          <w:rFonts w:ascii="Arial" w:hAnsi="Arial" w:cs="Arial"/>
          <w:lang w:val="en-GB"/>
        </w:rPr>
        <w:lastRenderedPageBreak/>
        <w:t xml:space="preserve">has already </w:t>
      </w:r>
      <w:r w:rsidR="00A52C88" w:rsidRPr="007B0231">
        <w:rPr>
          <w:rFonts w:ascii="Arial" w:hAnsi="Arial" w:cs="Arial"/>
          <w:lang w:val="en-GB"/>
        </w:rPr>
        <w:t xml:space="preserve">unjustifiably been lost by an applicant to whom time </w:t>
      </w:r>
      <w:r w:rsidR="00CB4DC2" w:rsidRPr="007B0231">
        <w:rPr>
          <w:rFonts w:ascii="Arial" w:hAnsi="Arial" w:cs="Arial"/>
          <w:lang w:val="en-GB"/>
        </w:rPr>
        <w:t>is in the circumstances valuable, and the further delay which would be caused</w:t>
      </w:r>
      <w:r w:rsidR="00790B69" w:rsidRPr="007B0231">
        <w:rPr>
          <w:rFonts w:ascii="Arial" w:hAnsi="Arial" w:cs="Arial"/>
          <w:lang w:val="en-GB"/>
        </w:rPr>
        <w:t xml:space="preserve"> by reference back is significant in the context.</w:t>
      </w:r>
      <w:r w:rsidR="00015409" w:rsidRPr="007B0231">
        <w:rPr>
          <w:rFonts w:ascii="Arial" w:hAnsi="Arial" w:cs="Arial"/>
          <w:lang w:val="en-GB"/>
        </w:rPr>
        <w:t>’</w:t>
      </w:r>
    </w:p>
    <w:p w14:paraId="25E62442" w14:textId="6769F4ED" w:rsidR="00790B69" w:rsidRPr="007B0231" w:rsidRDefault="007B0231" w:rsidP="007B0231">
      <w:pPr>
        <w:spacing w:line="360" w:lineRule="auto"/>
        <w:ind w:left="2520" w:hanging="720"/>
        <w:jc w:val="both"/>
        <w:rPr>
          <w:rFonts w:ascii="Arial" w:hAnsi="Arial" w:cs="Arial"/>
          <w:lang w:val="en-GB"/>
        </w:rPr>
      </w:pPr>
      <w:r w:rsidRPr="00FD050C">
        <w:rPr>
          <w:rFonts w:ascii="Arial" w:hAnsi="Arial" w:cs="Arial"/>
          <w:lang w:val="en-GB"/>
        </w:rPr>
        <w:t>(ii)</w:t>
      </w:r>
      <w:r w:rsidRPr="00FD050C">
        <w:rPr>
          <w:rFonts w:ascii="Arial" w:hAnsi="Arial" w:cs="Arial"/>
          <w:lang w:val="en-GB"/>
        </w:rPr>
        <w:tab/>
      </w:r>
      <w:r w:rsidR="00790B69" w:rsidRPr="007B0231">
        <w:rPr>
          <w:rFonts w:ascii="Arial" w:hAnsi="Arial" w:cs="Arial"/>
          <w:lang w:val="en-GB"/>
        </w:rPr>
        <w:t xml:space="preserve">Where the tribunal or functionary </w:t>
      </w:r>
      <w:r w:rsidR="00E51985" w:rsidRPr="007B0231">
        <w:rPr>
          <w:rFonts w:ascii="Arial" w:hAnsi="Arial" w:cs="Arial"/>
          <w:lang w:val="en-GB"/>
        </w:rPr>
        <w:t xml:space="preserve">has exhibited bias or incompetence to such a degree that it would be unfair to require the applicant </w:t>
      </w:r>
      <w:r w:rsidR="00B528DE" w:rsidRPr="007B0231">
        <w:rPr>
          <w:rFonts w:ascii="Arial" w:hAnsi="Arial" w:cs="Arial"/>
          <w:lang w:val="en-GB"/>
        </w:rPr>
        <w:t>to submit to the same jurisdiction again.’</w:t>
      </w:r>
      <w:r w:rsidR="00B528DE" w:rsidRPr="00FD050C">
        <w:rPr>
          <w:rStyle w:val="FootnoteReference"/>
          <w:rFonts w:ascii="Arial" w:hAnsi="Arial" w:cs="Arial"/>
          <w:lang w:val="en-GB"/>
        </w:rPr>
        <w:footnoteReference w:id="87"/>
      </w:r>
    </w:p>
    <w:p w14:paraId="63BD1522" w14:textId="77777777" w:rsidR="00FD050C" w:rsidRPr="00FD050C" w:rsidRDefault="00FD050C" w:rsidP="00FD050C">
      <w:pPr>
        <w:pStyle w:val="ListParagraph"/>
        <w:rPr>
          <w:rFonts w:ascii="Arial" w:hAnsi="Arial" w:cs="Arial"/>
          <w:sz w:val="24"/>
          <w:szCs w:val="24"/>
          <w:lang w:val="en-GB"/>
        </w:rPr>
      </w:pPr>
    </w:p>
    <w:p w14:paraId="3267203C" w14:textId="7BCF0905"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[106]</w:t>
      </w:r>
      <w:r>
        <w:rPr>
          <w:rFonts w:ascii="Arial" w:hAnsi="Arial" w:cs="Arial"/>
          <w:sz w:val="24"/>
          <w:szCs w:val="24"/>
          <w:lang w:val="en-GB"/>
        </w:rPr>
        <w:tab/>
      </w:r>
      <w:r w:rsidR="00FD050C" w:rsidRPr="007B0231">
        <w:rPr>
          <w:rFonts w:ascii="Arial" w:hAnsi="Arial" w:cs="Arial"/>
          <w:sz w:val="24"/>
          <w:szCs w:val="24"/>
          <w:lang w:val="en-GB"/>
        </w:rPr>
        <w:t>In the present matter, t</w:t>
      </w:r>
      <w:r w:rsidR="00514CC1" w:rsidRPr="007B0231">
        <w:rPr>
          <w:rFonts w:ascii="Arial" w:hAnsi="Arial" w:cs="Arial"/>
          <w:sz w:val="24"/>
          <w:szCs w:val="24"/>
          <w:lang w:val="en-GB"/>
        </w:rPr>
        <w:t xml:space="preserve">he remittal of the </w:t>
      </w:r>
      <w:r w:rsidR="00820A64" w:rsidRPr="007B0231">
        <w:rPr>
          <w:rFonts w:ascii="Arial" w:hAnsi="Arial" w:cs="Arial"/>
          <w:sz w:val="24"/>
          <w:szCs w:val="24"/>
          <w:lang w:val="en-GB"/>
        </w:rPr>
        <w:t>fourth respondent’s departure and removal application</w:t>
      </w:r>
      <w:r w:rsidR="00514CC1" w:rsidRPr="007B0231">
        <w:rPr>
          <w:rFonts w:ascii="Arial" w:hAnsi="Arial" w:cs="Arial"/>
          <w:sz w:val="24"/>
          <w:szCs w:val="24"/>
          <w:lang w:val="en-GB"/>
        </w:rPr>
        <w:t xml:space="preserve"> to the tribunal would </w:t>
      </w:r>
      <w:r w:rsidR="00760F87" w:rsidRPr="007B0231">
        <w:rPr>
          <w:rFonts w:ascii="Arial" w:hAnsi="Arial" w:cs="Arial"/>
          <w:sz w:val="24"/>
          <w:szCs w:val="24"/>
          <w:lang w:val="en-GB"/>
        </w:rPr>
        <w:t xml:space="preserve">require </w:t>
      </w:r>
      <w:r w:rsidR="00452B83" w:rsidRPr="007B0231">
        <w:rPr>
          <w:rFonts w:ascii="Arial" w:hAnsi="Arial" w:cs="Arial"/>
          <w:sz w:val="24"/>
          <w:szCs w:val="24"/>
          <w:lang w:val="en-GB"/>
        </w:rPr>
        <w:t xml:space="preserve">it to </w:t>
      </w:r>
      <w:r w:rsidR="00760F87" w:rsidRPr="007B0231">
        <w:rPr>
          <w:rFonts w:ascii="Arial" w:hAnsi="Arial" w:cs="Arial"/>
          <w:sz w:val="24"/>
          <w:szCs w:val="24"/>
          <w:lang w:val="en-GB"/>
        </w:rPr>
        <w:t>decide it in accordance with the law as it applied at the time</w:t>
      </w:r>
      <w:r w:rsidR="001A3F86" w:rsidRPr="007B0231">
        <w:rPr>
          <w:rFonts w:ascii="Arial" w:hAnsi="Arial" w:cs="Arial"/>
          <w:sz w:val="24"/>
          <w:szCs w:val="24"/>
          <w:lang w:val="en-GB"/>
        </w:rPr>
        <w:t xml:space="preserve">. </w:t>
      </w:r>
      <w:r w:rsidR="00852F6C" w:rsidRPr="007B0231">
        <w:rPr>
          <w:rFonts w:ascii="Arial" w:hAnsi="Arial" w:cs="Arial"/>
          <w:sz w:val="24"/>
          <w:szCs w:val="24"/>
          <w:lang w:val="en-GB"/>
        </w:rPr>
        <w:t xml:space="preserve">The tribunal would be bound to follow the court’s interpretation </w:t>
      </w:r>
      <w:r w:rsidR="00956CEB" w:rsidRPr="007B0231">
        <w:rPr>
          <w:rFonts w:ascii="Arial" w:hAnsi="Arial" w:cs="Arial"/>
          <w:sz w:val="24"/>
          <w:szCs w:val="24"/>
          <w:lang w:val="en-GB"/>
        </w:rPr>
        <w:t>of</w:t>
      </w:r>
      <w:r w:rsidR="00F67C22" w:rsidRPr="007B0231">
        <w:rPr>
          <w:rFonts w:ascii="Arial" w:hAnsi="Arial" w:cs="Arial"/>
          <w:sz w:val="24"/>
          <w:szCs w:val="24"/>
          <w:lang w:val="en-GB"/>
        </w:rPr>
        <w:t xml:space="preserve"> the restrictive conditions</w:t>
      </w:r>
      <w:r w:rsidR="004735A5" w:rsidRPr="007B0231">
        <w:rPr>
          <w:rFonts w:ascii="Arial" w:hAnsi="Arial" w:cs="Arial"/>
          <w:sz w:val="24"/>
          <w:szCs w:val="24"/>
          <w:lang w:val="en-GB"/>
        </w:rPr>
        <w:t xml:space="preserve"> in relation to the </w:t>
      </w:r>
      <w:r w:rsidR="001A3F86" w:rsidRPr="007B0231">
        <w:rPr>
          <w:rFonts w:ascii="Arial" w:hAnsi="Arial" w:cs="Arial"/>
          <w:sz w:val="24"/>
          <w:szCs w:val="24"/>
          <w:lang w:val="en-GB"/>
        </w:rPr>
        <w:t>Kenton-on-Sea scheme</w:t>
      </w:r>
      <w:r w:rsidR="00956CEB" w:rsidRPr="007B0231">
        <w:rPr>
          <w:rFonts w:ascii="Arial" w:hAnsi="Arial" w:cs="Arial"/>
          <w:sz w:val="24"/>
          <w:szCs w:val="24"/>
          <w:lang w:val="en-GB"/>
        </w:rPr>
        <w:t>, meaning that it</w:t>
      </w:r>
      <w:r w:rsidR="000773BC" w:rsidRPr="007B0231">
        <w:rPr>
          <w:rFonts w:ascii="Arial" w:hAnsi="Arial" w:cs="Arial"/>
          <w:sz w:val="24"/>
          <w:szCs w:val="24"/>
          <w:lang w:val="en-GB"/>
        </w:rPr>
        <w:t xml:space="preserve">s decision </w:t>
      </w:r>
      <w:r w:rsidR="00956CEB" w:rsidRPr="007B0231">
        <w:rPr>
          <w:rFonts w:ascii="Arial" w:hAnsi="Arial" w:cs="Arial"/>
          <w:sz w:val="24"/>
          <w:szCs w:val="24"/>
          <w:lang w:val="en-GB"/>
        </w:rPr>
        <w:t>would be a foregone conclusion</w:t>
      </w:r>
      <w:r w:rsidR="00F476F1" w:rsidRPr="007B0231">
        <w:rPr>
          <w:rFonts w:ascii="Arial" w:hAnsi="Arial" w:cs="Arial"/>
          <w:sz w:val="24"/>
          <w:szCs w:val="24"/>
          <w:lang w:val="en-GB"/>
        </w:rPr>
        <w:t>.</w:t>
      </w:r>
      <w:r w:rsidR="009A6E11" w:rsidRPr="007B0231">
        <w:rPr>
          <w:rFonts w:ascii="Arial" w:hAnsi="Arial" w:cs="Arial"/>
          <w:sz w:val="24"/>
          <w:szCs w:val="24"/>
          <w:lang w:val="en-GB"/>
        </w:rPr>
        <w:t xml:space="preserve"> </w:t>
      </w:r>
      <w:r w:rsidR="003F13DB" w:rsidRPr="007B0231">
        <w:rPr>
          <w:rFonts w:ascii="Arial" w:hAnsi="Arial" w:cs="Arial"/>
          <w:sz w:val="24"/>
          <w:szCs w:val="24"/>
          <w:lang w:val="en-GB"/>
        </w:rPr>
        <w:t>The exercise</w:t>
      </w:r>
      <w:r w:rsidR="009A6E11" w:rsidRPr="007B0231">
        <w:rPr>
          <w:rFonts w:ascii="Arial" w:hAnsi="Arial" w:cs="Arial"/>
          <w:sz w:val="24"/>
          <w:szCs w:val="24"/>
          <w:lang w:val="en-GB"/>
        </w:rPr>
        <w:t xml:space="preserve"> would be </w:t>
      </w:r>
      <w:r w:rsidR="00104D9D" w:rsidRPr="007B0231">
        <w:rPr>
          <w:rFonts w:ascii="Arial" w:hAnsi="Arial" w:cs="Arial"/>
          <w:sz w:val="24"/>
          <w:szCs w:val="24"/>
          <w:lang w:val="en-GB"/>
        </w:rPr>
        <w:t>a waste of time.</w:t>
      </w:r>
      <w:r w:rsidR="00104D9D">
        <w:rPr>
          <w:rStyle w:val="FootnoteReference"/>
          <w:rFonts w:ascii="Arial" w:hAnsi="Arial" w:cs="Arial"/>
          <w:sz w:val="24"/>
          <w:szCs w:val="24"/>
          <w:lang w:val="en-GB"/>
        </w:rPr>
        <w:footnoteReference w:id="88"/>
      </w:r>
      <w:r w:rsidR="00CB4111" w:rsidRPr="007B0231">
        <w:rPr>
          <w:rFonts w:ascii="Arial" w:hAnsi="Arial" w:cs="Arial"/>
          <w:sz w:val="24"/>
          <w:szCs w:val="24"/>
          <w:lang w:val="en-GB"/>
        </w:rPr>
        <w:t xml:space="preserve"> An order</w:t>
      </w:r>
      <w:r w:rsidR="001609AA" w:rsidRPr="007B0231">
        <w:rPr>
          <w:rFonts w:ascii="Arial" w:hAnsi="Arial" w:cs="Arial"/>
          <w:sz w:val="24"/>
          <w:szCs w:val="24"/>
          <w:lang w:val="en-GB"/>
        </w:rPr>
        <w:t xml:space="preserve"> setting aside the decisions and </w:t>
      </w:r>
      <w:r w:rsidR="00CB4111" w:rsidRPr="007B0231">
        <w:rPr>
          <w:rFonts w:ascii="Arial" w:hAnsi="Arial" w:cs="Arial"/>
          <w:sz w:val="24"/>
          <w:szCs w:val="24"/>
          <w:lang w:val="en-GB"/>
        </w:rPr>
        <w:t>remitt</w:t>
      </w:r>
      <w:r w:rsidR="001609AA" w:rsidRPr="007B0231">
        <w:rPr>
          <w:rFonts w:ascii="Arial" w:hAnsi="Arial" w:cs="Arial"/>
          <w:sz w:val="24"/>
          <w:szCs w:val="24"/>
          <w:lang w:val="en-GB"/>
        </w:rPr>
        <w:t xml:space="preserve">ing the matter to the </w:t>
      </w:r>
      <w:r w:rsidR="006D0D96" w:rsidRPr="007B0231">
        <w:rPr>
          <w:rFonts w:ascii="Arial" w:hAnsi="Arial" w:cs="Arial"/>
          <w:sz w:val="24"/>
          <w:szCs w:val="24"/>
          <w:lang w:val="en-GB"/>
        </w:rPr>
        <w:t>tribunal for reconsideration would not be just and equitable.</w:t>
      </w:r>
    </w:p>
    <w:p w14:paraId="14D0ACDF" w14:textId="77777777" w:rsidR="0030569B" w:rsidRDefault="0030569B" w:rsidP="0030569B">
      <w:pPr>
        <w:pStyle w:val="ListParagraph"/>
        <w:spacing w:line="360" w:lineRule="auto"/>
        <w:ind w:left="0"/>
        <w:jc w:val="both"/>
        <w:rPr>
          <w:rFonts w:ascii="Arial" w:hAnsi="Arial" w:cs="Arial"/>
          <w:sz w:val="24"/>
          <w:szCs w:val="24"/>
          <w:lang w:val="en-GB"/>
        </w:rPr>
      </w:pPr>
    </w:p>
    <w:p w14:paraId="02EC3F87" w14:textId="63E0A222"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[107]</w:t>
      </w:r>
      <w:r>
        <w:rPr>
          <w:rFonts w:ascii="Arial" w:hAnsi="Arial" w:cs="Arial"/>
          <w:sz w:val="24"/>
          <w:szCs w:val="24"/>
          <w:lang w:val="en-GB"/>
        </w:rPr>
        <w:tab/>
      </w:r>
      <w:r w:rsidR="003901A7" w:rsidRPr="007B0231">
        <w:rPr>
          <w:rFonts w:ascii="Arial" w:hAnsi="Arial" w:cs="Arial"/>
          <w:sz w:val="24"/>
          <w:szCs w:val="24"/>
          <w:lang w:val="en-GB"/>
        </w:rPr>
        <w:t xml:space="preserve">Similarly, however, it would </w:t>
      </w:r>
      <w:r w:rsidR="007907EE" w:rsidRPr="007B0231">
        <w:rPr>
          <w:rFonts w:ascii="Arial" w:hAnsi="Arial" w:cs="Arial"/>
          <w:sz w:val="24"/>
          <w:szCs w:val="24"/>
          <w:lang w:val="en-GB"/>
        </w:rPr>
        <w:t>be</w:t>
      </w:r>
      <w:r w:rsidR="003901A7" w:rsidRPr="007B0231">
        <w:rPr>
          <w:rFonts w:ascii="Arial" w:hAnsi="Arial" w:cs="Arial"/>
          <w:sz w:val="24"/>
          <w:szCs w:val="24"/>
          <w:lang w:val="en-GB"/>
        </w:rPr>
        <w:t xml:space="preserve"> utterly pointless to insist on the fourth respondent’s </w:t>
      </w:r>
      <w:r w:rsidR="00944AE6" w:rsidRPr="007B0231">
        <w:rPr>
          <w:rFonts w:ascii="Arial" w:hAnsi="Arial" w:cs="Arial"/>
          <w:sz w:val="24"/>
          <w:szCs w:val="24"/>
          <w:lang w:val="en-GB"/>
        </w:rPr>
        <w:t xml:space="preserve">preparation of a fresh application </w:t>
      </w:r>
      <w:r w:rsidR="007358A3" w:rsidRPr="007B0231">
        <w:rPr>
          <w:rFonts w:ascii="Arial" w:hAnsi="Arial" w:cs="Arial"/>
          <w:sz w:val="24"/>
          <w:szCs w:val="24"/>
          <w:lang w:val="en-GB"/>
        </w:rPr>
        <w:t xml:space="preserve">for </w:t>
      </w:r>
      <w:r w:rsidR="00751AC1" w:rsidRPr="007B0231">
        <w:rPr>
          <w:rFonts w:ascii="Arial" w:hAnsi="Arial" w:cs="Arial"/>
          <w:sz w:val="24"/>
          <w:szCs w:val="24"/>
          <w:lang w:val="en-GB"/>
        </w:rPr>
        <w:t xml:space="preserve">consent use </w:t>
      </w:r>
      <w:r w:rsidR="007421FD" w:rsidRPr="007B0231">
        <w:rPr>
          <w:rFonts w:ascii="Arial" w:hAnsi="Arial" w:cs="Arial"/>
          <w:sz w:val="24"/>
          <w:szCs w:val="24"/>
          <w:lang w:val="en-GB"/>
        </w:rPr>
        <w:t xml:space="preserve">in terms of section 74 of the SPLUM By-law. </w:t>
      </w:r>
      <w:r w:rsidR="00B01B5A" w:rsidRPr="007B0231">
        <w:rPr>
          <w:rFonts w:ascii="Arial" w:hAnsi="Arial" w:cs="Arial"/>
          <w:sz w:val="24"/>
          <w:szCs w:val="24"/>
          <w:lang w:val="en-GB"/>
        </w:rPr>
        <w:t>A</w:t>
      </w:r>
      <w:r w:rsidR="00F20FF6" w:rsidRPr="007B0231">
        <w:rPr>
          <w:rFonts w:ascii="Arial" w:hAnsi="Arial" w:cs="Arial"/>
          <w:sz w:val="24"/>
          <w:szCs w:val="24"/>
          <w:lang w:val="en-GB"/>
        </w:rPr>
        <w:t xml:space="preserve">ll the relevant information </w:t>
      </w:r>
      <w:r w:rsidR="00B01B5A" w:rsidRPr="007B0231">
        <w:rPr>
          <w:rFonts w:ascii="Arial" w:hAnsi="Arial" w:cs="Arial"/>
          <w:sz w:val="24"/>
          <w:szCs w:val="24"/>
          <w:lang w:val="en-GB"/>
        </w:rPr>
        <w:t xml:space="preserve">is already before </w:t>
      </w:r>
      <w:r w:rsidR="00F20FF6" w:rsidRPr="007B0231">
        <w:rPr>
          <w:rFonts w:ascii="Arial" w:hAnsi="Arial" w:cs="Arial"/>
          <w:sz w:val="24"/>
          <w:szCs w:val="24"/>
          <w:lang w:val="en-GB"/>
        </w:rPr>
        <w:t xml:space="preserve">the tribunal. </w:t>
      </w:r>
      <w:r w:rsidR="00B01B5A" w:rsidRPr="007B0231">
        <w:rPr>
          <w:rFonts w:ascii="Arial" w:hAnsi="Arial" w:cs="Arial"/>
          <w:sz w:val="24"/>
          <w:szCs w:val="24"/>
          <w:lang w:val="en-GB"/>
        </w:rPr>
        <w:t>A</w:t>
      </w:r>
      <w:r w:rsidR="005B01D3" w:rsidRPr="007B0231">
        <w:rPr>
          <w:rFonts w:ascii="Arial" w:hAnsi="Arial" w:cs="Arial"/>
          <w:sz w:val="24"/>
          <w:szCs w:val="24"/>
          <w:lang w:val="en-GB"/>
        </w:rPr>
        <w:t>ll interested parties have had a</w:t>
      </w:r>
      <w:r w:rsidR="00B01B5A" w:rsidRPr="007B0231">
        <w:rPr>
          <w:rFonts w:ascii="Arial" w:hAnsi="Arial" w:cs="Arial"/>
          <w:sz w:val="24"/>
          <w:szCs w:val="24"/>
          <w:lang w:val="en-GB"/>
        </w:rPr>
        <w:t xml:space="preserve">n </w:t>
      </w:r>
      <w:r w:rsidR="005B01D3" w:rsidRPr="007B0231">
        <w:rPr>
          <w:rFonts w:ascii="Arial" w:hAnsi="Arial" w:cs="Arial"/>
          <w:sz w:val="24"/>
          <w:szCs w:val="24"/>
          <w:lang w:val="en-GB"/>
        </w:rPr>
        <w:t xml:space="preserve">opportunity to make </w:t>
      </w:r>
      <w:r w:rsidR="00074E9E" w:rsidRPr="007B0231">
        <w:rPr>
          <w:rFonts w:ascii="Arial" w:hAnsi="Arial" w:cs="Arial"/>
          <w:sz w:val="24"/>
          <w:szCs w:val="24"/>
          <w:lang w:val="en-GB"/>
        </w:rPr>
        <w:t>representations</w:t>
      </w:r>
      <w:r w:rsidR="005B01D3" w:rsidRPr="007B0231">
        <w:rPr>
          <w:rFonts w:ascii="Arial" w:hAnsi="Arial" w:cs="Arial"/>
          <w:sz w:val="24"/>
          <w:szCs w:val="24"/>
          <w:lang w:val="en-GB"/>
        </w:rPr>
        <w:t xml:space="preserve">. </w:t>
      </w:r>
      <w:r w:rsidR="00B01B5A" w:rsidRPr="007B0231">
        <w:rPr>
          <w:rFonts w:ascii="Arial" w:hAnsi="Arial" w:cs="Arial"/>
          <w:sz w:val="24"/>
          <w:szCs w:val="24"/>
          <w:lang w:val="en-GB"/>
        </w:rPr>
        <w:t>A</w:t>
      </w:r>
      <w:r w:rsidR="00AB7D4F" w:rsidRPr="007B0231">
        <w:rPr>
          <w:rFonts w:ascii="Arial" w:hAnsi="Arial" w:cs="Arial"/>
          <w:sz w:val="24"/>
          <w:szCs w:val="24"/>
          <w:lang w:val="en-GB"/>
        </w:rPr>
        <w:t xml:space="preserve">ll the issues that would pertain to </w:t>
      </w:r>
      <w:r w:rsidR="005734E2" w:rsidRPr="007B0231">
        <w:rPr>
          <w:rFonts w:ascii="Arial" w:hAnsi="Arial" w:cs="Arial"/>
          <w:sz w:val="24"/>
          <w:szCs w:val="24"/>
          <w:lang w:val="en-GB"/>
        </w:rPr>
        <w:t xml:space="preserve">a consent use application have </w:t>
      </w:r>
      <w:r w:rsidR="00D24016" w:rsidRPr="007B0231">
        <w:rPr>
          <w:rFonts w:ascii="Arial" w:hAnsi="Arial" w:cs="Arial"/>
          <w:sz w:val="24"/>
          <w:szCs w:val="24"/>
          <w:lang w:val="en-GB"/>
        </w:rPr>
        <w:t xml:space="preserve">already </w:t>
      </w:r>
      <w:r w:rsidR="00F20FF6" w:rsidRPr="007B0231">
        <w:rPr>
          <w:rFonts w:ascii="Arial" w:hAnsi="Arial" w:cs="Arial"/>
          <w:sz w:val="24"/>
          <w:szCs w:val="24"/>
          <w:lang w:val="en-GB"/>
        </w:rPr>
        <w:t xml:space="preserve">been </w:t>
      </w:r>
      <w:r w:rsidR="00AB043E" w:rsidRPr="007B0231">
        <w:rPr>
          <w:rFonts w:ascii="Arial" w:hAnsi="Arial" w:cs="Arial"/>
          <w:sz w:val="24"/>
          <w:szCs w:val="24"/>
          <w:lang w:val="en-GB"/>
        </w:rPr>
        <w:t xml:space="preserve">ventilated to </w:t>
      </w:r>
      <w:r w:rsidR="00622C58" w:rsidRPr="007B0231">
        <w:rPr>
          <w:rFonts w:ascii="Arial" w:hAnsi="Arial" w:cs="Arial"/>
          <w:sz w:val="24"/>
          <w:szCs w:val="24"/>
          <w:lang w:val="en-GB"/>
        </w:rPr>
        <w:t>a</w:t>
      </w:r>
      <w:r w:rsidR="00AB043E" w:rsidRPr="007B0231">
        <w:rPr>
          <w:rFonts w:ascii="Arial" w:hAnsi="Arial" w:cs="Arial"/>
          <w:sz w:val="24"/>
          <w:szCs w:val="24"/>
          <w:lang w:val="en-GB"/>
        </w:rPr>
        <w:t xml:space="preserve"> point of exhaustion</w:t>
      </w:r>
      <w:r w:rsidR="0023781D" w:rsidRPr="007B0231">
        <w:rPr>
          <w:rFonts w:ascii="Arial" w:hAnsi="Arial" w:cs="Arial"/>
          <w:sz w:val="24"/>
          <w:szCs w:val="24"/>
          <w:lang w:val="en-GB"/>
        </w:rPr>
        <w:t xml:space="preserve">. </w:t>
      </w:r>
    </w:p>
    <w:p w14:paraId="3C4DCE72" w14:textId="77777777" w:rsidR="0030569B" w:rsidRPr="0030569B" w:rsidRDefault="0030569B" w:rsidP="0030569B">
      <w:pPr>
        <w:pStyle w:val="ListParagraph"/>
        <w:rPr>
          <w:rFonts w:ascii="Arial" w:hAnsi="Arial" w:cs="Arial"/>
          <w:sz w:val="24"/>
          <w:szCs w:val="24"/>
          <w:lang w:val="en-GB"/>
        </w:rPr>
      </w:pPr>
    </w:p>
    <w:p w14:paraId="7CC9C5FA" w14:textId="71744601" w:rsidR="00FD050C"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[108]</w:t>
      </w:r>
      <w:r w:rsidRPr="0030569B">
        <w:rPr>
          <w:rFonts w:ascii="Arial" w:hAnsi="Arial" w:cs="Arial"/>
          <w:sz w:val="24"/>
          <w:szCs w:val="24"/>
          <w:lang w:val="en-GB"/>
        </w:rPr>
        <w:tab/>
      </w:r>
      <w:r w:rsidR="00F81E11" w:rsidRPr="007B0231">
        <w:rPr>
          <w:rFonts w:ascii="Arial" w:hAnsi="Arial" w:cs="Arial"/>
          <w:sz w:val="24"/>
          <w:szCs w:val="24"/>
          <w:lang w:val="en-GB"/>
        </w:rPr>
        <w:t>The tribunal</w:t>
      </w:r>
      <w:r w:rsidR="00B10382" w:rsidRPr="007B0231">
        <w:rPr>
          <w:rFonts w:ascii="Arial" w:hAnsi="Arial" w:cs="Arial"/>
          <w:sz w:val="24"/>
          <w:szCs w:val="24"/>
          <w:lang w:val="en-GB"/>
        </w:rPr>
        <w:t>, moreover,</w:t>
      </w:r>
      <w:r w:rsidR="002861BD" w:rsidRPr="007B0231">
        <w:rPr>
          <w:rFonts w:ascii="Arial" w:hAnsi="Arial" w:cs="Arial"/>
          <w:sz w:val="24"/>
          <w:szCs w:val="24"/>
          <w:lang w:val="en-GB"/>
        </w:rPr>
        <w:t xml:space="preserve"> appears to have been </w:t>
      </w:r>
      <w:r w:rsidR="005A6122" w:rsidRPr="007B0231">
        <w:rPr>
          <w:rFonts w:ascii="Arial" w:hAnsi="Arial" w:cs="Arial"/>
          <w:sz w:val="24"/>
          <w:szCs w:val="24"/>
          <w:lang w:val="en-GB"/>
        </w:rPr>
        <w:t xml:space="preserve">almost entirely responsible for the delay of the hearing, </w:t>
      </w:r>
      <w:r w:rsidR="00EC67CA" w:rsidRPr="007B0231">
        <w:rPr>
          <w:rFonts w:ascii="Arial" w:hAnsi="Arial" w:cs="Arial"/>
          <w:sz w:val="24"/>
          <w:szCs w:val="24"/>
          <w:lang w:val="en-GB"/>
        </w:rPr>
        <w:t xml:space="preserve">during which time the Kenton-on-Sea scheme was replaced by the new scheme. </w:t>
      </w:r>
      <w:r w:rsidR="00676F11" w:rsidRPr="007B0231">
        <w:rPr>
          <w:rFonts w:ascii="Arial" w:hAnsi="Arial" w:cs="Arial"/>
          <w:sz w:val="24"/>
          <w:szCs w:val="24"/>
          <w:lang w:val="en-GB"/>
        </w:rPr>
        <w:t xml:space="preserve">The fourth respondent </w:t>
      </w:r>
      <w:r w:rsidR="009B1D55" w:rsidRPr="007B0231">
        <w:rPr>
          <w:rFonts w:ascii="Arial" w:hAnsi="Arial" w:cs="Arial"/>
          <w:sz w:val="24"/>
          <w:szCs w:val="24"/>
          <w:lang w:val="en-GB"/>
        </w:rPr>
        <w:t>has</w:t>
      </w:r>
      <w:r w:rsidR="00722D96" w:rsidRPr="007B0231">
        <w:rPr>
          <w:rFonts w:ascii="Arial" w:hAnsi="Arial" w:cs="Arial"/>
          <w:sz w:val="24"/>
          <w:szCs w:val="24"/>
          <w:lang w:val="en-GB"/>
        </w:rPr>
        <w:t xml:space="preserve"> largely</w:t>
      </w:r>
      <w:r w:rsidR="009B1D55" w:rsidRPr="007B0231">
        <w:rPr>
          <w:rFonts w:ascii="Arial" w:hAnsi="Arial" w:cs="Arial"/>
          <w:sz w:val="24"/>
          <w:szCs w:val="24"/>
          <w:lang w:val="en-GB"/>
        </w:rPr>
        <w:t xml:space="preserve"> </w:t>
      </w:r>
      <w:r w:rsidR="003A6ABB" w:rsidRPr="007B0231">
        <w:rPr>
          <w:rFonts w:ascii="Arial" w:hAnsi="Arial" w:cs="Arial"/>
          <w:sz w:val="24"/>
          <w:szCs w:val="24"/>
          <w:lang w:val="en-GB"/>
        </w:rPr>
        <w:t xml:space="preserve">borne </w:t>
      </w:r>
      <w:r w:rsidR="00B14793" w:rsidRPr="007B0231">
        <w:rPr>
          <w:rFonts w:ascii="Arial" w:hAnsi="Arial" w:cs="Arial"/>
          <w:sz w:val="24"/>
          <w:szCs w:val="24"/>
          <w:lang w:val="en-GB"/>
        </w:rPr>
        <w:t>the</w:t>
      </w:r>
      <w:r w:rsidR="00676F11" w:rsidRPr="007B0231">
        <w:rPr>
          <w:rFonts w:ascii="Arial" w:hAnsi="Arial" w:cs="Arial"/>
          <w:sz w:val="24"/>
          <w:szCs w:val="24"/>
          <w:lang w:val="en-GB"/>
        </w:rPr>
        <w:t xml:space="preserve"> brunt of </w:t>
      </w:r>
      <w:r w:rsidR="00B14793" w:rsidRPr="007B0231">
        <w:rPr>
          <w:rFonts w:ascii="Arial" w:hAnsi="Arial" w:cs="Arial"/>
          <w:sz w:val="24"/>
          <w:szCs w:val="24"/>
          <w:lang w:val="en-GB"/>
        </w:rPr>
        <w:t>the consequences</w:t>
      </w:r>
      <w:r w:rsidR="00B01B5A" w:rsidRPr="007B0231">
        <w:rPr>
          <w:rFonts w:ascii="Arial" w:hAnsi="Arial" w:cs="Arial"/>
          <w:sz w:val="24"/>
          <w:szCs w:val="24"/>
          <w:lang w:val="en-GB"/>
        </w:rPr>
        <w:t>.</w:t>
      </w:r>
      <w:r w:rsidR="00716E1C" w:rsidRPr="007B0231">
        <w:rPr>
          <w:rFonts w:ascii="Arial" w:hAnsi="Arial" w:cs="Arial"/>
          <w:sz w:val="24"/>
          <w:szCs w:val="24"/>
          <w:lang w:val="en-GB"/>
        </w:rPr>
        <w:t xml:space="preserve"> To require it to submit a </w:t>
      </w:r>
      <w:r w:rsidR="00925E37" w:rsidRPr="007B0231">
        <w:rPr>
          <w:rFonts w:ascii="Arial" w:hAnsi="Arial" w:cs="Arial"/>
          <w:sz w:val="24"/>
          <w:szCs w:val="24"/>
          <w:lang w:val="en-GB"/>
        </w:rPr>
        <w:t xml:space="preserve">fresh application and to bear the </w:t>
      </w:r>
      <w:r w:rsidR="00722D96" w:rsidRPr="007B0231">
        <w:rPr>
          <w:rFonts w:ascii="Arial" w:hAnsi="Arial" w:cs="Arial"/>
          <w:sz w:val="24"/>
          <w:szCs w:val="24"/>
          <w:lang w:val="en-GB"/>
        </w:rPr>
        <w:t xml:space="preserve">costs </w:t>
      </w:r>
      <w:r w:rsidR="00622C58" w:rsidRPr="007B0231">
        <w:rPr>
          <w:rFonts w:ascii="Arial" w:hAnsi="Arial" w:cs="Arial"/>
          <w:sz w:val="24"/>
          <w:szCs w:val="24"/>
          <w:lang w:val="en-GB"/>
        </w:rPr>
        <w:t>thereof</w:t>
      </w:r>
      <w:r w:rsidR="000D5F6E" w:rsidRPr="007B0231">
        <w:rPr>
          <w:rFonts w:ascii="Arial" w:hAnsi="Arial" w:cs="Arial"/>
          <w:sz w:val="24"/>
          <w:szCs w:val="24"/>
          <w:lang w:val="en-GB"/>
        </w:rPr>
        <w:t xml:space="preserve">, including </w:t>
      </w:r>
      <w:r w:rsidR="00B01B5A" w:rsidRPr="007B0231">
        <w:rPr>
          <w:rFonts w:ascii="Arial" w:hAnsi="Arial" w:cs="Arial"/>
          <w:sz w:val="24"/>
          <w:szCs w:val="24"/>
          <w:lang w:val="en-GB"/>
        </w:rPr>
        <w:t xml:space="preserve">a </w:t>
      </w:r>
      <w:r w:rsidR="000D5F6E" w:rsidRPr="007B0231">
        <w:rPr>
          <w:rFonts w:ascii="Arial" w:hAnsi="Arial" w:cs="Arial"/>
          <w:sz w:val="24"/>
          <w:szCs w:val="24"/>
          <w:lang w:val="en-GB"/>
        </w:rPr>
        <w:t xml:space="preserve">further application fee, would </w:t>
      </w:r>
      <w:r w:rsidR="00B01B5A" w:rsidRPr="007B0231">
        <w:rPr>
          <w:rFonts w:ascii="Arial" w:hAnsi="Arial" w:cs="Arial"/>
          <w:sz w:val="24"/>
          <w:szCs w:val="24"/>
          <w:lang w:val="en-GB"/>
        </w:rPr>
        <w:t>be</w:t>
      </w:r>
      <w:r w:rsidR="00C30527" w:rsidRPr="007B0231">
        <w:rPr>
          <w:rFonts w:ascii="Arial" w:hAnsi="Arial" w:cs="Arial"/>
          <w:sz w:val="24"/>
          <w:szCs w:val="24"/>
          <w:lang w:val="en-GB"/>
        </w:rPr>
        <w:t xml:space="preserve"> </w:t>
      </w:r>
      <w:r w:rsidR="00FE1116" w:rsidRPr="007B0231">
        <w:rPr>
          <w:rFonts w:ascii="Arial" w:hAnsi="Arial" w:cs="Arial"/>
          <w:sz w:val="24"/>
          <w:szCs w:val="24"/>
          <w:lang w:val="en-GB"/>
        </w:rPr>
        <w:t xml:space="preserve">to add insult to injury. </w:t>
      </w:r>
      <w:r w:rsidR="007421FD" w:rsidRPr="007B0231">
        <w:rPr>
          <w:rFonts w:ascii="Arial" w:hAnsi="Arial" w:cs="Arial"/>
          <w:sz w:val="24"/>
          <w:szCs w:val="24"/>
          <w:lang w:val="en-GB"/>
        </w:rPr>
        <w:t xml:space="preserve">There is no reason why it should not be </w:t>
      </w:r>
      <w:r w:rsidR="00F165AC" w:rsidRPr="007B0231">
        <w:rPr>
          <w:rFonts w:ascii="Arial" w:hAnsi="Arial" w:cs="Arial"/>
          <w:sz w:val="24"/>
          <w:szCs w:val="24"/>
          <w:lang w:val="en-GB"/>
        </w:rPr>
        <w:t xml:space="preserve">able to </w:t>
      </w:r>
      <w:r w:rsidR="009F10C2" w:rsidRPr="007B0231">
        <w:rPr>
          <w:rFonts w:ascii="Arial" w:hAnsi="Arial" w:cs="Arial"/>
          <w:sz w:val="24"/>
          <w:szCs w:val="24"/>
          <w:lang w:val="en-GB"/>
        </w:rPr>
        <w:t xml:space="preserve">make such </w:t>
      </w:r>
      <w:r w:rsidR="002D1ABC" w:rsidRPr="007B0231">
        <w:rPr>
          <w:rFonts w:ascii="Arial" w:hAnsi="Arial" w:cs="Arial"/>
          <w:sz w:val="24"/>
          <w:szCs w:val="24"/>
          <w:lang w:val="en-GB"/>
        </w:rPr>
        <w:t xml:space="preserve">application on the </w:t>
      </w:r>
      <w:r w:rsidR="00823E34" w:rsidRPr="007B0231">
        <w:rPr>
          <w:rFonts w:ascii="Arial" w:hAnsi="Arial" w:cs="Arial"/>
          <w:sz w:val="24"/>
          <w:szCs w:val="24"/>
          <w:lang w:val="en-GB"/>
        </w:rPr>
        <w:t xml:space="preserve">same papers, </w:t>
      </w:r>
      <w:r w:rsidR="003F13DB" w:rsidRPr="007B0231">
        <w:rPr>
          <w:rFonts w:ascii="Arial" w:hAnsi="Arial" w:cs="Arial"/>
          <w:sz w:val="24"/>
          <w:szCs w:val="24"/>
          <w:lang w:val="en-GB"/>
        </w:rPr>
        <w:t xml:space="preserve">amended or </w:t>
      </w:r>
      <w:r w:rsidR="00823E34" w:rsidRPr="007B0231">
        <w:rPr>
          <w:rFonts w:ascii="Arial" w:hAnsi="Arial" w:cs="Arial"/>
          <w:sz w:val="24"/>
          <w:szCs w:val="24"/>
          <w:lang w:val="en-GB"/>
        </w:rPr>
        <w:t xml:space="preserve">supplemented where necessary, and for </w:t>
      </w:r>
      <w:r w:rsidR="000D1B8D" w:rsidRPr="007B0231">
        <w:rPr>
          <w:rFonts w:ascii="Arial" w:hAnsi="Arial" w:cs="Arial"/>
          <w:sz w:val="24"/>
          <w:szCs w:val="24"/>
          <w:lang w:val="en-GB"/>
        </w:rPr>
        <w:t xml:space="preserve">the municipality to waive the </w:t>
      </w:r>
      <w:r w:rsidR="009646BE" w:rsidRPr="007B0231">
        <w:rPr>
          <w:rFonts w:ascii="Arial" w:hAnsi="Arial" w:cs="Arial"/>
          <w:sz w:val="24"/>
          <w:szCs w:val="24"/>
          <w:lang w:val="en-GB"/>
        </w:rPr>
        <w:t xml:space="preserve">fee. Furthermore, </w:t>
      </w:r>
      <w:r w:rsidR="0068389E" w:rsidRPr="007B0231">
        <w:rPr>
          <w:rFonts w:ascii="Arial" w:hAnsi="Arial" w:cs="Arial"/>
          <w:sz w:val="24"/>
          <w:szCs w:val="24"/>
          <w:lang w:val="en-GB"/>
        </w:rPr>
        <w:t xml:space="preserve">it would be imperative </w:t>
      </w:r>
      <w:r w:rsidR="00FF743D" w:rsidRPr="007B0231">
        <w:rPr>
          <w:rFonts w:ascii="Arial" w:hAnsi="Arial" w:cs="Arial"/>
          <w:sz w:val="24"/>
          <w:szCs w:val="24"/>
          <w:lang w:val="en-GB"/>
        </w:rPr>
        <w:lastRenderedPageBreak/>
        <w:t xml:space="preserve">to put in place </w:t>
      </w:r>
      <w:r w:rsidR="0068389E" w:rsidRPr="007B0231">
        <w:rPr>
          <w:rFonts w:ascii="Arial" w:hAnsi="Arial" w:cs="Arial"/>
          <w:sz w:val="24"/>
          <w:szCs w:val="24"/>
          <w:lang w:val="en-GB"/>
        </w:rPr>
        <w:t xml:space="preserve">a </w:t>
      </w:r>
      <w:r w:rsidR="00721810" w:rsidRPr="007B0231">
        <w:rPr>
          <w:rFonts w:ascii="Arial" w:hAnsi="Arial" w:cs="Arial"/>
          <w:sz w:val="24"/>
          <w:szCs w:val="24"/>
          <w:lang w:val="en-GB"/>
        </w:rPr>
        <w:t xml:space="preserve">timeframe </w:t>
      </w:r>
      <w:r w:rsidR="004858AD" w:rsidRPr="007B0231">
        <w:rPr>
          <w:rFonts w:ascii="Arial" w:hAnsi="Arial" w:cs="Arial"/>
          <w:sz w:val="24"/>
          <w:szCs w:val="24"/>
          <w:lang w:val="en-GB"/>
        </w:rPr>
        <w:t xml:space="preserve">within which the tribunal must </w:t>
      </w:r>
      <w:r w:rsidR="00BD421A" w:rsidRPr="007B0231">
        <w:rPr>
          <w:rFonts w:ascii="Arial" w:hAnsi="Arial" w:cs="Arial"/>
          <w:sz w:val="24"/>
          <w:szCs w:val="24"/>
          <w:lang w:val="en-GB"/>
        </w:rPr>
        <w:t>make its decision to avoid further prejudice</w:t>
      </w:r>
      <w:r w:rsidR="00A224A3" w:rsidRPr="007B0231">
        <w:rPr>
          <w:rFonts w:ascii="Arial" w:hAnsi="Arial" w:cs="Arial"/>
          <w:sz w:val="24"/>
          <w:szCs w:val="24"/>
          <w:lang w:val="en-GB"/>
        </w:rPr>
        <w:t>.</w:t>
      </w:r>
      <w:r w:rsidR="00B01B5A" w:rsidRPr="007B0231">
        <w:rPr>
          <w:rFonts w:ascii="Arial" w:hAnsi="Arial" w:cs="Arial"/>
          <w:sz w:val="24"/>
          <w:szCs w:val="24"/>
          <w:lang w:val="en-GB"/>
        </w:rPr>
        <w:t xml:space="preserve"> The same principles apply to any appeal process.</w:t>
      </w:r>
    </w:p>
    <w:p w14:paraId="4B356FE2" w14:textId="170A5D55" w:rsidR="00A224A3" w:rsidRPr="00A224A3" w:rsidRDefault="00A224A3" w:rsidP="0030569B">
      <w:pPr>
        <w:spacing w:line="360" w:lineRule="auto"/>
        <w:jc w:val="both"/>
        <w:rPr>
          <w:rFonts w:ascii="Arial" w:hAnsi="Arial" w:cs="Arial"/>
          <w:b/>
          <w:bCs/>
          <w:sz w:val="24"/>
          <w:szCs w:val="24"/>
          <w:lang w:val="en-GB"/>
        </w:rPr>
      </w:pPr>
      <w:r w:rsidRPr="00A224A3">
        <w:rPr>
          <w:rFonts w:ascii="Arial" w:hAnsi="Arial" w:cs="Arial"/>
          <w:b/>
          <w:bCs/>
          <w:sz w:val="24"/>
          <w:szCs w:val="24"/>
          <w:lang w:val="en-GB"/>
        </w:rPr>
        <w:t>Costs</w:t>
      </w:r>
    </w:p>
    <w:p w14:paraId="5CB5735B" w14:textId="77777777" w:rsidR="00A224A3" w:rsidRDefault="00A224A3" w:rsidP="00FD050C">
      <w:pPr>
        <w:spacing w:line="360" w:lineRule="auto"/>
        <w:rPr>
          <w:rFonts w:ascii="Arial" w:hAnsi="Arial" w:cs="Arial"/>
          <w:sz w:val="24"/>
          <w:szCs w:val="24"/>
          <w:lang w:val="en-GB"/>
        </w:rPr>
      </w:pPr>
    </w:p>
    <w:p w14:paraId="3EB7E45F" w14:textId="45875C8B"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[109]</w:t>
      </w:r>
      <w:r>
        <w:rPr>
          <w:rFonts w:ascii="Arial" w:hAnsi="Arial" w:cs="Arial"/>
          <w:sz w:val="24"/>
          <w:szCs w:val="24"/>
          <w:lang w:val="en-GB"/>
        </w:rPr>
        <w:tab/>
      </w:r>
      <w:r w:rsidR="00A224A3" w:rsidRPr="007B0231">
        <w:rPr>
          <w:rFonts w:ascii="Arial" w:hAnsi="Arial" w:cs="Arial"/>
          <w:sz w:val="24"/>
          <w:szCs w:val="24"/>
          <w:lang w:val="en-GB"/>
        </w:rPr>
        <w:t xml:space="preserve">The only remaining issue is that of costs. </w:t>
      </w:r>
      <w:r w:rsidR="00CB7C4F" w:rsidRPr="007B0231">
        <w:rPr>
          <w:rFonts w:ascii="Arial" w:hAnsi="Arial" w:cs="Arial"/>
          <w:sz w:val="24"/>
          <w:szCs w:val="24"/>
          <w:lang w:val="en-GB"/>
        </w:rPr>
        <w:t xml:space="preserve">This aspect necessarily forms part of the just and equitable order </w:t>
      </w:r>
      <w:r w:rsidR="00F97909" w:rsidRPr="007B0231">
        <w:rPr>
          <w:rFonts w:ascii="Arial" w:hAnsi="Arial" w:cs="Arial"/>
          <w:sz w:val="24"/>
          <w:szCs w:val="24"/>
          <w:lang w:val="en-GB"/>
        </w:rPr>
        <w:t xml:space="preserve">that the court </w:t>
      </w:r>
      <w:r w:rsidR="00250667" w:rsidRPr="007B0231">
        <w:rPr>
          <w:rFonts w:ascii="Arial" w:hAnsi="Arial" w:cs="Arial"/>
          <w:sz w:val="24"/>
          <w:szCs w:val="24"/>
          <w:lang w:val="en-GB"/>
        </w:rPr>
        <w:t xml:space="preserve">is </w:t>
      </w:r>
      <w:r w:rsidR="00F97909" w:rsidRPr="007B0231">
        <w:rPr>
          <w:rFonts w:ascii="Arial" w:hAnsi="Arial" w:cs="Arial"/>
          <w:sz w:val="24"/>
          <w:szCs w:val="24"/>
          <w:lang w:val="en-GB"/>
        </w:rPr>
        <w:t>required to grant.</w:t>
      </w:r>
    </w:p>
    <w:p w14:paraId="1810832E" w14:textId="77777777" w:rsidR="0030569B" w:rsidRDefault="0030569B" w:rsidP="0030569B">
      <w:pPr>
        <w:pStyle w:val="ListParagraph"/>
        <w:spacing w:line="360" w:lineRule="auto"/>
        <w:ind w:left="0"/>
        <w:jc w:val="both"/>
        <w:rPr>
          <w:rFonts w:ascii="Arial" w:hAnsi="Arial" w:cs="Arial"/>
          <w:sz w:val="24"/>
          <w:szCs w:val="24"/>
          <w:lang w:val="en-GB"/>
        </w:rPr>
      </w:pPr>
    </w:p>
    <w:p w14:paraId="72C3C59F" w14:textId="01BFBC11"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[110]</w:t>
      </w:r>
      <w:r>
        <w:rPr>
          <w:rFonts w:ascii="Arial" w:hAnsi="Arial" w:cs="Arial"/>
          <w:sz w:val="24"/>
          <w:szCs w:val="24"/>
          <w:lang w:val="en-GB"/>
        </w:rPr>
        <w:tab/>
      </w:r>
      <w:r w:rsidR="005F725B" w:rsidRPr="007B0231">
        <w:rPr>
          <w:rFonts w:ascii="Arial" w:hAnsi="Arial" w:cs="Arial"/>
          <w:sz w:val="24"/>
          <w:szCs w:val="24"/>
          <w:lang w:val="en-GB"/>
        </w:rPr>
        <w:t xml:space="preserve">The </w:t>
      </w:r>
      <w:r w:rsidR="002D2FAE" w:rsidRPr="007B0231">
        <w:rPr>
          <w:rFonts w:ascii="Arial" w:hAnsi="Arial" w:cs="Arial"/>
          <w:sz w:val="24"/>
          <w:szCs w:val="24"/>
          <w:lang w:val="en-GB"/>
        </w:rPr>
        <w:t>court is satisfied t</w:t>
      </w:r>
      <w:r w:rsidR="00075C04" w:rsidRPr="007B0231">
        <w:rPr>
          <w:rFonts w:ascii="Arial" w:hAnsi="Arial" w:cs="Arial"/>
          <w:sz w:val="24"/>
          <w:szCs w:val="24"/>
          <w:lang w:val="en-GB"/>
        </w:rPr>
        <w:t xml:space="preserve">hat the applicant </w:t>
      </w:r>
      <w:r w:rsidR="00527A9E" w:rsidRPr="007B0231">
        <w:rPr>
          <w:rFonts w:ascii="Arial" w:hAnsi="Arial" w:cs="Arial"/>
          <w:sz w:val="24"/>
          <w:szCs w:val="24"/>
          <w:lang w:val="en-GB"/>
        </w:rPr>
        <w:t>has demonstrated a basis upon which t</w:t>
      </w:r>
      <w:r w:rsidR="002D2FAE" w:rsidRPr="007B0231">
        <w:rPr>
          <w:rFonts w:ascii="Arial" w:hAnsi="Arial" w:cs="Arial"/>
          <w:sz w:val="24"/>
          <w:szCs w:val="24"/>
          <w:lang w:val="en-GB"/>
        </w:rPr>
        <w:t xml:space="preserve">o </w:t>
      </w:r>
      <w:r w:rsidR="00673CD4" w:rsidRPr="007B0231">
        <w:rPr>
          <w:rFonts w:ascii="Arial" w:hAnsi="Arial" w:cs="Arial"/>
          <w:sz w:val="24"/>
          <w:szCs w:val="24"/>
          <w:lang w:val="en-GB"/>
        </w:rPr>
        <w:t xml:space="preserve">grant </w:t>
      </w:r>
      <w:r w:rsidR="002D2FAE" w:rsidRPr="007B0231">
        <w:rPr>
          <w:rFonts w:ascii="Arial" w:hAnsi="Arial" w:cs="Arial"/>
          <w:sz w:val="24"/>
          <w:szCs w:val="24"/>
          <w:lang w:val="en-GB"/>
        </w:rPr>
        <w:t xml:space="preserve">the </w:t>
      </w:r>
      <w:r w:rsidR="00C6684E" w:rsidRPr="007B0231">
        <w:rPr>
          <w:rFonts w:ascii="Arial" w:hAnsi="Arial" w:cs="Arial"/>
          <w:sz w:val="24"/>
          <w:szCs w:val="24"/>
          <w:lang w:val="en-GB"/>
        </w:rPr>
        <w:t>application</w:t>
      </w:r>
      <w:r w:rsidR="00574821" w:rsidRPr="007B0231">
        <w:rPr>
          <w:rFonts w:ascii="Arial" w:hAnsi="Arial" w:cs="Arial"/>
          <w:sz w:val="24"/>
          <w:szCs w:val="24"/>
          <w:lang w:val="en-GB"/>
        </w:rPr>
        <w:t>s for condonation and extension of the 180-day period, respectively</w:t>
      </w:r>
      <w:r w:rsidR="00527A9E" w:rsidRPr="007B0231">
        <w:rPr>
          <w:rFonts w:ascii="Arial" w:hAnsi="Arial" w:cs="Arial"/>
          <w:sz w:val="24"/>
          <w:szCs w:val="24"/>
          <w:lang w:val="en-GB"/>
        </w:rPr>
        <w:t xml:space="preserve">. </w:t>
      </w:r>
      <w:r w:rsidR="00140054" w:rsidRPr="007B0231">
        <w:rPr>
          <w:rFonts w:ascii="Arial" w:hAnsi="Arial" w:cs="Arial"/>
          <w:sz w:val="24"/>
          <w:szCs w:val="24"/>
          <w:lang w:val="en-GB"/>
        </w:rPr>
        <w:t xml:space="preserve">This does, however, amount to the granting of an indulgence </w:t>
      </w:r>
      <w:r w:rsidR="00586966" w:rsidRPr="007B0231">
        <w:rPr>
          <w:rFonts w:ascii="Arial" w:hAnsi="Arial" w:cs="Arial"/>
          <w:sz w:val="24"/>
          <w:szCs w:val="24"/>
          <w:lang w:val="en-GB"/>
        </w:rPr>
        <w:t xml:space="preserve">in relation to </w:t>
      </w:r>
      <w:r w:rsidR="008A290D" w:rsidRPr="007B0231">
        <w:rPr>
          <w:rFonts w:ascii="Arial" w:hAnsi="Arial" w:cs="Arial"/>
          <w:sz w:val="24"/>
          <w:szCs w:val="24"/>
          <w:lang w:val="en-GB"/>
        </w:rPr>
        <w:t xml:space="preserve">the </w:t>
      </w:r>
      <w:r w:rsidR="00574821" w:rsidRPr="007B0231">
        <w:rPr>
          <w:rFonts w:ascii="Arial" w:hAnsi="Arial" w:cs="Arial"/>
          <w:sz w:val="24"/>
          <w:szCs w:val="24"/>
          <w:lang w:val="en-GB"/>
        </w:rPr>
        <w:t>applicant</w:t>
      </w:r>
      <w:r w:rsidR="00586966" w:rsidRPr="007B0231">
        <w:rPr>
          <w:rFonts w:ascii="Arial" w:hAnsi="Arial" w:cs="Arial"/>
          <w:sz w:val="24"/>
          <w:szCs w:val="24"/>
          <w:lang w:val="en-GB"/>
        </w:rPr>
        <w:t xml:space="preserve">’s failure to have complied with the applicable time limits. It would be </w:t>
      </w:r>
      <w:r w:rsidR="008A6686" w:rsidRPr="007B0231">
        <w:rPr>
          <w:rFonts w:ascii="Arial" w:hAnsi="Arial" w:cs="Arial"/>
          <w:sz w:val="24"/>
          <w:szCs w:val="24"/>
          <w:lang w:val="en-GB"/>
        </w:rPr>
        <w:t>un</w:t>
      </w:r>
      <w:r w:rsidR="00586966" w:rsidRPr="007B0231">
        <w:rPr>
          <w:rFonts w:ascii="Arial" w:hAnsi="Arial" w:cs="Arial"/>
          <w:sz w:val="24"/>
          <w:szCs w:val="24"/>
          <w:lang w:val="en-GB"/>
        </w:rPr>
        <w:t>fair to</w:t>
      </w:r>
      <w:r w:rsidR="00F842CB" w:rsidRPr="007B0231">
        <w:rPr>
          <w:rFonts w:ascii="Arial" w:hAnsi="Arial" w:cs="Arial"/>
          <w:sz w:val="24"/>
          <w:szCs w:val="24"/>
          <w:lang w:val="en-GB"/>
        </w:rPr>
        <w:t xml:space="preserve"> apply the general rule that the </w:t>
      </w:r>
      <w:r w:rsidR="00574821" w:rsidRPr="007B0231">
        <w:rPr>
          <w:rFonts w:ascii="Arial" w:hAnsi="Arial" w:cs="Arial"/>
          <w:sz w:val="24"/>
          <w:szCs w:val="24"/>
          <w:lang w:val="en-GB"/>
        </w:rPr>
        <w:t xml:space="preserve">successful </w:t>
      </w:r>
      <w:r w:rsidR="00F842CB" w:rsidRPr="007B0231">
        <w:rPr>
          <w:rFonts w:ascii="Arial" w:hAnsi="Arial" w:cs="Arial"/>
          <w:sz w:val="24"/>
          <w:szCs w:val="24"/>
          <w:lang w:val="en-GB"/>
        </w:rPr>
        <w:t>party is entitled to</w:t>
      </w:r>
      <w:r w:rsidR="009F6C00" w:rsidRPr="007B0231">
        <w:rPr>
          <w:rFonts w:ascii="Arial" w:hAnsi="Arial" w:cs="Arial"/>
          <w:sz w:val="24"/>
          <w:szCs w:val="24"/>
          <w:lang w:val="en-GB"/>
        </w:rPr>
        <w:t xml:space="preserve"> </w:t>
      </w:r>
      <w:r w:rsidR="00F842CB" w:rsidRPr="007B0231">
        <w:rPr>
          <w:rFonts w:ascii="Arial" w:hAnsi="Arial" w:cs="Arial"/>
          <w:sz w:val="24"/>
          <w:szCs w:val="24"/>
          <w:lang w:val="en-GB"/>
        </w:rPr>
        <w:t>her costs.</w:t>
      </w:r>
    </w:p>
    <w:p w14:paraId="5B814A70" w14:textId="77777777" w:rsidR="0030569B" w:rsidRPr="0030569B" w:rsidRDefault="0030569B" w:rsidP="0030569B">
      <w:pPr>
        <w:pStyle w:val="ListParagraph"/>
        <w:rPr>
          <w:rFonts w:ascii="Arial" w:hAnsi="Arial" w:cs="Arial"/>
          <w:sz w:val="24"/>
          <w:szCs w:val="24"/>
          <w:lang w:val="en-GB"/>
        </w:rPr>
      </w:pPr>
    </w:p>
    <w:p w14:paraId="620DBB6C" w14:textId="5F81FDA9" w:rsidR="0030569B" w:rsidRPr="007B0231" w:rsidRDefault="007B0231" w:rsidP="007B0231">
      <w:pPr>
        <w:spacing w:line="360" w:lineRule="auto"/>
        <w:jc w:val="both"/>
        <w:rPr>
          <w:rFonts w:ascii="Arial" w:hAnsi="Arial" w:cs="Arial"/>
          <w:sz w:val="24"/>
          <w:szCs w:val="24"/>
          <w:lang w:val="en-GB"/>
        </w:rPr>
      </w:pPr>
      <w:r>
        <w:rPr>
          <w:rFonts w:ascii="Arial" w:hAnsi="Arial" w:cs="Arial"/>
          <w:sz w:val="24"/>
          <w:szCs w:val="24"/>
          <w:lang w:val="en-GB"/>
        </w:rPr>
        <w:t>[111]</w:t>
      </w:r>
      <w:r>
        <w:rPr>
          <w:rFonts w:ascii="Arial" w:hAnsi="Arial" w:cs="Arial"/>
          <w:sz w:val="24"/>
          <w:szCs w:val="24"/>
          <w:lang w:val="en-GB"/>
        </w:rPr>
        <w:tab/>
      </w:r>
      <w:r w:rsidR="002860E7" w:rsidRPr="007B0231">
        <w:rPr>
          <w:rFonts w:ascii="Arial" w:hAnsi="Arial" w:cs="Arial"/>
          <w:sz w:val="24"/>
          <w:szCs w:val="24"/>
          <w:lang w:val="en-GB"/>
        </w:rPr>
        <w:t xml:space="preserve">In relation to the review proceedings, the applicant has been substantially successful. </w:t>
      </w:r>
      <w:r w:rsidR="0057341A" w:rsidRPr="007B0231">
        <w:rPr>
          <w:rFonts w:ascii="Arial" w:hAnsi="Arial" w:cs="Arial"/>
          <w:sz w:val="24"/>
          <w:szCs w:val="24"/>
          <w:lang w:val="en-GB"/>
        </w:rPr>
        <w:t xml:space="preserve">Nevertheless, </w:t>
      </w:r>
      <w:r w:rsidR="0033251B" w:rsidRPr="007B0231">
        <w:rPr>
          <w:rFonts w:ascii="Arial" w:hAnsi="Arial" w:cs="Arial"/>
          <w:sz w:val="24"/>
          <w:szCs w:val="24"/>
          <w:lang w:val="en-GB"/>
        </w:rPr>
        <w:t>vast</w:t>
      </w:r>
      <w:r w:rsidR="0057341A" w:rsidRPr="007B0231">
        <w:rPr>
          <w:rFonts w:ascii="Arial" w:hAnsi="Arial" w:cs="Arial"/>
          <w:sz w:val="24"/>
          <w:szCs w:val="24"/>
          <w:lang w:val="en-GB"/>
        </w:rPr>
        <w:t xml:space="preserve"> swathes </w:t>
      </w:r>
      <w:r w:rsidR="00F005EE" w:rsidRPr="007B0231">
        <w:rPr>
          <w:rFonts w:ascii="Arial" w:hAnsi="Arial" w:cs="Arial"/>
          <w:sz w:val="24"/>
          <w:szCs w:val="24"/>
          <w:lang w:val="en-GB"/>
        </w:rPr>
        <w:t xml:space="preserve">of </w:t>
      </w:r>
      <w:r w:rsidR="00783764" w:rsidRPr="007B0231">
        <w:rPr>
          <w:rFonts w:ascii="Arial" w:hAnsi="Arial" w:cs="Arial"/>
          <w:sz w:val="24"/>
          <w:szCs w:val="24"/>
          <w:lang w:val="en-GB"/>
        </w:rPr>
        <w:t xml:space="preserve">allegations made </w:t>
      </w:r>
      <w:r w:rsidR="000325D6" w:rsidRPr="007B0231">
        <w:rPr>
          <w:rFonts w:ascii="Arial" w:hAnsi="Arial" w:cs="Arial"/>
          <w:sz w:val="24"/>
          <w:szCs w:val="24"/>
          <w:lang w:val="en-GB"/>
        </w:rPr>
        <w:t>in,</w:t>
      </w:r>
      <w:r w:rsidR="00783764" w:rsidRPr="007B0231">
        <w:rPr>
          <w:rFonts w:ascii="Arial" w:hAnsi="Arial" w:cs="Arial"/>
          <w:sz w:val="24"/>
          <w:szCs w:val="24"/>
          <w:lang w:val="en-GB"/>
        </w:rPr>
        <w:t xml:space="preserve"> </w:t>
      </w:r>
      <w:r w:rsidR="00252719" w:rsidRPr="007B0231">
        <w:rPr>
          <w:rFonts w:ascii="Arial" w:hAnsi="Arial" w:cs="Arial"/>
          <w:sz w:val="24"/>
          <w:szCs w:val="24"/>
          <w:lang w:val="en-GB"/>
        </w:rPr>
        <w:t xml:space="preserve">and annexures attached to </w:t>
      </w:r>
      <w:r w:rsidR="00783764" w:rsidRPr="007B0231">
        <w:rPr>
          <w:rFonts w:ascii="Arial" w:hAnsi="Arial" w:cs="Arial"/>
          <w:sz w:val="24"/>
          <w:szCs w:val="24"/>
          <w:lang w:val="en-GB"/>
        </w:rPr>
        <w:t xml:space="preserve">the founding papers </w:t>
      </w:r>
      <w:r w:rsidR="00252719" w:rsidRPr="007B0231">
        <w:rPr>
          <w:rFonts w:ascii="Arial" w:hAnsi="Arial" w:cs="Arial"/>
          <w:sz w:val="24"/>
          <w:szCs w:val="24"/>
          <w:lang w:val="en-GB"/>
        </w:rPr>
        <w:t xml:space="preserve">had little or no significance </w:t>
      </w:r>
      <w:r w:rsidR="00BD7206" w:rsidRPr="007B0231">
        <w:rPr>
          <w:rFonts w:ascii="Arial" w:hAnsi="Arial" w:cs="Arial"/>
          <w:sz w:val="24"/>
          <w:szCs w:val="24"/>
          <w:lang w:val="en-GB"/>
        </w:rPr>
        <w:t>once the issues had been properly identified</w:t>
      </w:r>
      <w:r w:rsidR="00733B95" w:rsidRPr="007B0231">
        <w:rPr>
          <w:rFonts w:ascii="Arial" w:hAnsi="Arial" w:cs="Arial"/>
          <w:sz w:val="24"/>
          <w:szCs w:val="24"/>
          <w:lang w:val="en-GB"/>
        </w:rPr>
        <w:t xml:space="preserve"> and </w:t>
      </w:r>
      <w:r w:rsidR="00212A7E" w:rsidRPr="007B0231">
        <w:rPr>
          <w:rFonts w:ascii="Arial" w:hAnsi="Arial" w:cs="Arial"/>
          <w:sz w:val="24"/>
          <w:szCs w:val="24"/>
          <w:lang w:val="en-GB"/>
        </w:rPr>
        <w:t xml:space="preserve">argued. </w:t>
      </w:r>
      <w:r w:rsidR="007F319D" w:rsidRPr="007B0231">
        <w:rPr>
          <w:rFonts w:ascii="Arial" w:hAnsi="Arial" w:cs="Arial"/>
          <w:sz w:val="24"/>
          <w:szCs w:val="24"/>
          <w:lang w:val="en-GB"/>
        </w:rPr>
        <w:t xml:space="preserve">It was </w:t>
      </w:r>
      <w:r w:rsidR="009953FC" w:rsidRPr="007B0231">
        <w:rPr>
          <w:rFonts w:ascii="Arial" w:hAnsi="Arial" w:cs="Arial"/>
          <w:sz w:val="24"/>
          <w:szCs w:val="24"/>
          <w:lang w:val="en-GB"/>
        </w:rPr>
        <w:t xml:space="preserve">commendable </w:t>
      </w:r>
      <w:r w:rsidR="007F319D" w:rsidRPr="007B0231">
        <w:rPr>
          <w:rFonts w:ascii="Arial" w:hAnsi="Arial" w:cs="Arial"/>
          <w:sz w:val="24"/>
          <w:szCs w:val="24"/>
          <w:lang w:val="en-GB"/>
        </w:rPr>
        <w:t>of c</w:t>
      </w:r>
      <w:r w:rsidR="00212A7E" w:rsidRPr="007B0231">
        <w:rPr>
          <w:rFonts w:ascii="Arial" w:hAnsi="Arial" w:cs="Arial"/>
          <w:sz w:val="24"/>
          <w:szCs w:val="24"/>
          <w:lang w:val="en-GB"/>
        </w:rPr>
        <w:t xml:space="preserve">ounsel for the applicant </w:t>
      </w:r>
      <w:r w:rsidR="007F319D" w:rsidRPr="007B0231">
        <w:rPr>
          <w:rFonts w:ascii="Arial" w:hAnsi="Arial" w:cs="Arial"/>
          <w:sz w:val="24"/>
          <w:szCs w:val="24"/>
          <w:lang w:val="en-GB"/>
        </w:rPr>
        <w:t xml:space="preserve">to have acknowledged this. In the circumstances, it would be unfair to </w:t>
      </w:r>
      <w:r w:rsidR="00990FBF" w:rsidRPr="007B0231">
        <w:rPr>
          <w:rFonts w:ascii="Arial" w:hAnsi="Arial" w:cs="Arial"/>
          <w:sz w:val="24"/>
          <w:szCs w:val="24"/>
          <w:lang w:val="en-GB"/>
        </w:rPr>
        <w:t xml:space="preserve">direct </w:t>
      </w:r>
      <w:r w:rsidR="00B01B5A" w:rsidRPr="007B0231">
        <w:rPr>
          <w:rFonts w:ascii="Arial" w:hAnsi="Arial" w:cs="Arial"/>
          <w:sz w:val="24"/>
          <w:szCs w:val="24"/>
          <w:lang w:val="en-GB"/>
        </w:rPr>
        <w:t xml:space="preserve">an </w:t>
      </w:r>
      <w:r w:rsidR="00990FBF" w:rsidRPr="007B0231">
        <w:rPr>
          <w:rFonts w:ascii="Arial" w:hAnsi="Arial" w:cs="Arial"/>
          <w:sz w:val="24"/>
          <w:szCs w:val="24"/>
          <w:lang w:val="en-GB"/>
        </w:rPr>
        <w:t xml:space="preserve">unsuccessful party to pay all the costs </w:t>
      </w:r>
      <w:r w:rsidR="009F6C00" w:rsidRPr="007B0231">
        <w:rPr>
          <w:rFonts w:ascii="Arial" w:hAnsi="Arial" w:cs="Arial"/>
          <w:sz w:val="24"/>
          <w:szCs w:val="24"/>
          <w:lang w:val="en-GB"/>
        </w:rPr>
        <w:t xml:space="preserve">for which it would </w:t>
      </w:r>
      <w:r w:rsidR="00990FBF" w:rsidRPr="007B0231">
        <w:rPr>
          <w:rFonts w:ascii="Arial" w:hAnsi="Arial" w:cs="Arial"/>
          <w:sz w:val="24"/>
          <w:szCs w:val="24"/>
          <w:lang w:val="en-GB"/>
        </w:rPr>
        <w:t xml:space="preserve">usually </w:t>
      </w:r>
      <w:r w:rsidR="009F6C00" w:rsidRPr="007B0231">
        <w:rPr>
          <w:rFonts w:ascii="Arial" w:hAnsi="Arial" w:cs="Arial"/>
          <w:sz w:val="24"/>
          <w:szCs w:val="24"/>
          <w:lang w:val="en-GB"/>
        </w:rPr>
        <w:t>be liable.</w:t>
      </w:r>
    </w:p>
    <w:p w14:paraId="43DC1811" w14:textId="77777777" w:rsidR="0030569B" w:rsidRPr="0030569B" w:rsidRDefault="0030569B" w:rsidP="0030569B">
      <w:pPr>
        <w:pStyle w:val="ListParagraph"/>
        <w:rPr>
          <w:rFonts w:ascii="Arial" w:hAnsi="Arial" w:cs="Arial"/>
          <w:sz w:val="24"/>
          <w:szCs w:val="24"/>
          <w:lang w:val="en-GB"/>
        </w:rPr>
      </w:pPr>
    </w:p>
    <w:p w14:paraId="543F1703" w14:textId="2A579BAA" w:rsidR="00C010EB"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[112]</w:t>
      </w:r>
      <w:r w:rsidRPr="0030569B">
        <w:rPr>
          <w:rFonts w:ascii="Arial" w:hAnsi="Arial" w:cs="Arial"/>
          <w:sz w:val="24"/>
          <w:szCs w:val="24"/>
          <w:lang w:val="en-GB"/>
        </w:rPr>
        <w:tab/>
      </w:r>
      <w:r w:rsidR="00C010EB" w:rsidRPr="007B0231">
        <w:rPr>
          <w:rFonts w:ascii="Arial" w:hAnsi="Arial" w:cs="Arial"/>
          <w:sz w:val="24"/>
          <w:szCs w:val="24"/>
          <w:lang w:val="en-GB"/>
        </w:rPr>
        <w:t>At the same time,</w:t>
      </w:r>
      <w:r w:rsidR="006718F7" w:rsidRPr="007B0231">
        <w:rPr>
          <w:rFonts w:ascii="Arial" w:hAnsi="Arial" w:cs="Arial"/>
          <w:sz w:val="24"/>
          <w:szCs w:val="24"/>
          <w:lang w:val="en-GB"/>
        </w:rPr>
        <w:t xml:space="preserve"> the tribunal, appeal authority, and the municipality must accept their </w:t>
      </w:r>
      <w:r w:rsidR="002E4CF7" w:rsidRPr="007B0231">
        <w:rPr>
          <w:rFonts w:ascii="Arial" w:hAnsi="Arial" w:cs="Arial"/>
          <w:sz w:val="24"/>
          <w:szCs w:val="24"/>
          <w:lang w:val="en-GB"/>
        </w:rPr>
        <w:t xml:space="preserve">share of </w:t>
      </w:r>
      <w:r w:rsidR="006718F7" w:rsidRPr="007B0231">
        <w:rPr>
          <w:rFonts w:ascii="Arial" w:hAnsi="Arial" w:cs="Arial"/>
          <w:sz w:val="24"/>
          <w:szCs w:val="24"/>
          <w:lang w:val="en-GB"/>
        </w:rPr>
        <w:t xml:space="preserve">liability </w:t>
      </w:r>
      <w:r w:rsidR="002E4CF7" w:rsidRPr="007B0231">
        <w:rPr>
          <w:rFonts w:ascii="Arial" w:hAnsi="Arial" w:cs="Arial"/>
          <w:sz w:val="24"/>
          <w:szCs w:val="24"/>
          <w:lang w:val="en-GB"/>
        </w:rPr>
        <w:t xml:space="preserve">for the applicant’s costs. In choosing not to oppose the matter, they assumed the risk </w:t>
      </w:r>
      <w:r w:rsidR="009E3989" w:rsidRPr="007B0231">
        <w:rPr>
          <w:rFonts w:ascii="Arial" w:hAnsi="Arial" w:cs="Arial"/>
          <w:sz w:val="24"/>
          <w:szCs w:val="24"/>
          <w:lang w:val="en-GB"/>
        </w:rPr>
        <w:t xml:space="preserve">of </w:t>
      </w:r>
      <w:r w:rsidR="002E4CF7" w:rsidRPr="007B0231">
        <w:rPr>
          <w:rFonts w:ascii="Arial" w:hAnsi="Arial" w:cs="Arial"/>
          <w:sz w:val="24"/>
          <w:szCs w:val="24"/>
          <w:lang w:val="en-GB"/>
        </w:rPr>
        <w:t>a</w:t>
      </w:r>
      <w:r w:rsidR="00E53995" w:rsidRPr="007B0231">
        <w:rPr>
          <w:rFonts w:ascii="Arial" w:hAnsi="Arial" w:cs="Arial"/>
          <w:sz w:val="24"/>
          <w:szCs w:val="24"/>
          <w:lang w:val="en-GB"/>
        </w:rPr>
        <w:t>n adverse</w:t>
      </w:r>
      <w:r w:rsidR="002E4CF7" w:rsidRPr="007B0231">
        <w:rPr>
          <w:rFonts w:ascii="Arial" w:hAnsi="Arial" w:cs="Arial"/>
          <w:sz w:val="24"/>
          <w:szCs w:val="24"/>
          <w:lang w:val="en-GB"/>
        </w:rPr>
        <w:t xml:space="preserve"> finding </w:t>
      </w:r>
      <w:r w:rsidR="00E53995" w:rsidRPr="007B0231">
        <w:rPr>
          <w:rFonts w:ascii="Arial" w:hAnsi="Arial" w:cs="Arial"/>
          <w:sz w:val="24"/>
          <w:szCs w:val="24"/>
          <w:lang w:val="en-GB"/>
        </w:rPr>
        <w:t xml:space="preserve">in relation to the </w:t>
      </w:r>
      <w:r w:rsidR="009E3989" w:rsidRPr="007B0231">
        <w:rPr>
          <w:rFonts w:ascii="Arial" w:hAnsi="Arial" w:cs="Arial"/>
          <w:sz w:val="24"/>
          <w:szCs w:val="24"/>
          <w:lang w:val="en-GB"/>
        </w:rPr>
        <w:t>decisions</w:t>
      </w:r>
      <w:r w:rsidR="00E53995" w:rsidRPr="007B0231">
        <w:rPr>
          <w:rFonts w:ascii="Arial" w:hAnsi="Arial" w:cs="Arial"/>
          <w:sz w:val="24"/>
          <w:szCs w:val="24"/>
          <w:lang w:val="en-GB"/>
        </w:rPr>
        <w:t xml:space="preserve"> that were</w:t>
      </w:r>
      <w:r w:rsidR="009E3989" w:rsidRPr="007B0231">
        <w:rPr>
          <w:rFonts w:ascii="Arial" w:hAnsi="Arial" w:cs="Arial"/>
          <w:sz w:val="24"/>
          <w:szCs w:val="24"/>
          <w:lang w:val="en-GB"/>
        </w:rPr>
        <w:t xml:space="preserve"> made </w:t>
      </w:r>
      <w:r w:rsidR="007C2178" w:rsidRPr="007B0231">
        <w:rPr>
          <w:rFonts w:ascii="Arial" w:hAnsi="Arial" w:cs="Arial"/>
          <w:sz w:val="24"/>
          <w:szCs w:val="24"/>
          <w:lang w:val="en-GB"/>
        </w:rPr>
        <w:t>and must consequently shoulder the cost implications thereof.</w:t>
      </w:r>
    </w:p>
    <w:p w14:paraId="01438CC8" w14:textId="77777777" w:rsidR="000C7563" w:rsidRDefault="000C7563" w:rsidP="0030569B">
      <w:pPr>
        <w:spacing w:line="360" w:lineRule="auto"/>
        <w:jc w:val="both"/>
        <w:rPr>
          <w:rFonts w:ascii="Arial" w:hAnsi="Arial" w:cs="Arial"/>
          <w:sz w:val="24"/>
          <w:szCs w:val="24"/>
          <w:lang w:val="en-GB"/>
        </w:rPr>
      </w:pPr>
    </w:p>
    <w:p w14:paraId="2181DAE1" w14:textId="00357279" w:rsidR="000C7563" w:rsidRPr="000C7563" w:rsidRDefault="000C7563" w:rsidP="0030569B">
      <w:pPr>
        <w:spacing w:line="360" w:lineRule="auto"/>
        <w:jc w:val="both"/>
        <w:rPr>
          <w:rFonts w:ascii="Arial" w:hAnsi="Arial" w:cs="Arial"/>
          <w:b/>
          <w:bCs/>
          <w:sz w:val="24"/>
          <w:szCs w:val="24"/>
          <w:lang w:val="en-GB"/>
        </w:rPr>
      </w:pPr>
      <w:r w:rsidRPr="000C7563">
        <w:rPr>
          <w:rFonts w:ascii="Arial" w:hAnsi="Arial" w:cs="Arial"/>
          <w:b/>
          <w:bCs/>
          <w:sz w:val="24"/>
          <w:szCs w:val="24"/>
          <w:lang w:val="en-GB"/>
        </w:rPr>
        <w:t>ORDER</w:t>
      </w:r>
    </w:p>
    <w:p w14:paraId="335A962B" w14:textId="77777777" w:rsidR="000C7563" w:rsidRDefault="000C7563" w:rsidP="00FD050C">
      <w:pPr>
        <w:spacing w:line="360" w:lineRule="auto"/>
        <w:rPr>
          <w:rFonts w:ascii="Arial" w:hAnsi="Arial" w:cs="Arial"/>
          <w:sz w:val="24"/>
          <w:szCs w:val="24"/>
          <w:lang w:val="en-GB"/>
        </w:rPr>
      </w:pPr>
    </w:p>
    <w:p w14:paraId="66D39712" w14:textId="1A9232F7" w:rsidR="000C7563" w:rsidRPr="007B0231" w:rsidRDefault="007B0231" w:rsidP="007B0231">
      <w:pPr>
        <w:spacing w:line="360" w:lineRule="auto"/>
        <w:jc w:val="both"/>
        <w:rPr>
          <w:rFonts w:ascii="Arial" w:hAnsi="Arial" w:cs="Arial"/>
          <w:sz w:val="24"/>
          <w:szCs w:val="24"/>
          <w:lang w:val="en-GB"/>
        </w:rPr>
      </w:pPr>
      <w:r w:rsidRPr="0030569B">
        <w:rPr>
          <w:rFonts w:ascii="Arial" w:hAnsi="Arial" w:cs="Arial"/>
          <w:sz w:val="24"/>
          <w:szCs w:val="24"/>
          <w:lang w:val="en-GB"/>
        </w:rPr>
        <w:t>[113]</w:t>
      </w:r>
      <w:r w:rsidRPr="0030569B">
        <w:rPr>
          <w:rFonts w:ascii="Arial" w:hAnsi="Arial" w:cs="Arial"/>
          <w:sz w:val="24"/>
          <w:szCs w:val="24"/>
          <w:lang w:val="en-GB"/>
        </w:rPr>
        <w:tab/>
      </w:r>
      <w:r w:rsidR="000C7563" w:rsidRPr="007B0231">
        <w:rPr>
          <w:rFonts w:ascii="Arial" w:hAnsi="Arial" w:cs="Arial"/>
          <w:sz w:val="24"/>
          <w:szCs w:val="24"/>
          <w:lang w:val="en-GB"/>
        </w:rPr>
        <w:t>Consequently, the court grants the following order</w:t>
      </w:r>
      <w:r w:rsidR="00966F29" w:rsidRPr="007B0231">
        <w:rPr>
          <w:rFonts w:ascii="Arial" w:hAnsi="Arial" w:cs="Arial"/>
          <w:sz w:val="24"/>
          <w:szCs w:val="24"/>
          <w:lang w:val="en-GB"/>
        </w:rPr>
        <w:t xml:space="preserve"> in terms of the provisions of section 8(1) of PAJA:</w:t>
      </w:r>
    </w:p>
    <w:p w14:paraId="02C71746" w14:textId="77777777" w:rsidR="00AA24DD" w:rsidRDefault="00AA24DD" w:rsidP="00AA24DD">
      <w:pPr>
        <w:pStyle w:val="ListParagraph"/>
        <w:spacing w:line="360" w:lineRule="auto"/>
        <w:rPr>
          <w:rFonts w:ascii="Arial" w:hAnsi="Arial" w:cs="Arial"/>
          <w:sz w:val="24"/>
          <w:szCs w:val="24"/>
          <w:lang w:val="en-GB"/>
        </w:rPr>
      </w:pPr>
    </w:p>
    <w:p w14:paraId="2536FDB1" w14:textId="6FBD6B4E" w:rsidR="0030569B" w:rsidRPr="007B0231" w:rsidRDefault="007B0231" w:rsidP="007B0231">
      <w:pPr>
        <w:spacing w:line="360" w:lineRule="auto"/>
        <w:ind w:left="851" w:hanging="491"/>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AA24DD" w:rsidRPr="007B0231">
        <w:rPr>
          <w:rFonts w:ascii="Arial" w:hAnsi="Arial" w:cs="Arial"/>
          <w:sz w:val="24"/>
          <w:szCs w:val="24"/>
          <w:lang w:val="en-GB"/>
        </w:rPr>
        <w:t>t</w:t>
      </w:r>
      <w:r w:rsidR="00E85C9B" w:rsidRPr="007B0231">
        <w:rPr>
          <w:rFonts w:ascii="Arial" w:hAnsi="Arial" w:cs="Arial"/>
          <w:sz w:val="24"/>
          <w:szCs w:val="24"/>
          <w:lang w:val="en-GB"/>
        </w:rPr>
        <w:t xml:space="preserve">he </w:t>
      </w:r>
      <w:r w:rsidR="0027467F" w:rsidRPr="007B0231">
        <w:rPr>
          <w:rFonts w:ascii="Arial" w:hAnsi="Arial" w:cs="Arial"/>
          <w:sz w:val="24"/>
          <w:szCs w:val="24"/>
          <w:lang w:val="en-GB"/>
        </w:rPr>
        <w:t xml:space="preserve">decision of the </w:t>
      </w:r>
      <w:r w:rsidR="00BC71BE" w:rsidRPr="007B0231">
        <w:rPr>
          <w:rFonts w:ascii="Arial" w:hAnsi="Arial" w:cs="Arial"/>
          <w:sz w:val="24"/>
          <w:szCs w:val="24"/>
          <w:lang w:val="en-GB"/>
        </w:rPr>
        <w:t>second respondent</w:t>
      </w:r>
      <w:r w:rsidR="00B97DE5" w:rsidRPr="007B0231">
        <w:rPr>
          <w:rFonts w:ascii="Arial" w:hAnsi="Arial" w:cs="Arial"/>
          <w:sz w:val="24"/>
          <w:szCs w:val="24"/>
          <w:lang w:val="en-GB"/>
        </w:rPr>
        <w:t xml:space="preserve">, made on 28 October 2019, </w:t>
      </w:r>
      <w:r w:rsidR="00BC71BE" w:rsidRPr="007B0231">
        <w:rPr>
          <w:rFonts w:ascii="Arial" w:hAnsi="Arial" w:cs="Arial"/>
          <w:sz w:val="24"/>
          <w:szCs w:val="24"/>
          <w:lang w:val="en-GB"/>
        </w:rPr>
        <w:t xml:space="preserve">to grant conditional approval to the fourth respondent for the operation of a guesthouse on erf </w:t>
      </w:r>
      <w:r w:rsidR="006C7AD0" w:rsidRPr="007B0231">
        <w:rPr>
          <w:rFonts w:ascii="Arial" w:hAnsi="Arial" w:cs="Arial"/>
          <w:sz w:val="24"/>
          <w:szCs w:val="24"/>
          <w:lang w:val="en-GB"/>
        </w:rPr>
        <w:t>1483 Kenton-on-Sea is reviewed and set aside;</w:t>
      </w:r>
    </w:p>
    <w:p w14:paraId="4349AC08" w14:textId="77777777" w:rsidR="0030569B" w:rsidRDefault="0030569B" w:rsidP="0030569B">
      <w:pPr>
        <w:pStyle w:val="ListParagraph"/>
        <w:spacing w:line="360" w:lineRule="auto"/>
        <w:ind w:left="851"/>
        <w:jc w:val="both"/>
        <w:rPr>
          <w:rFonts w:ascii="Arial" w:hAnsi="Arial" w:cs="Arial"/>
          <w:sz w:val="24"/>
          <w:szCs w:val="24"/>
          <w:lang w:val="en-GB"/>
        </w:rPr>
      </w:pPr>
    </w:p>
    <w:p w14:paraId="1C327B12" w14:textId="6FA259EF" w:rsidR="0030569B" w:rsidRPr="007B0231" w:rsidRDefault="007B0231" w:rsidP="007B0231">
      <w:pPr>
        <w:spacing w:line="360" w:lineRule="auto"/>
        <w:ind w:left="851" w:hanging="491"/>
        <w:jc w:val="both"/>
        <w:rPr>
          <w:rFonts w:ascii="Arial" w:hAnsi="Arial" w:cs="Arial"/>
          <w:sz w:val="24"/>
          <w:szCs w:val="24"/>
          <w:lang w:val="en-GB"/>
        </w:rPr>
      </w:pPr>
      <w:r>
        <w:rPr>
          <w:rFonts w:ascii="Arial" w:hAnsi="Arial" w:cs="Arial"/>
          <w:sz w:val="24"/>
          <w:szCs w:val="24"/>
          <w:lang w:val="en-GB"/>
        </w:rPr>
        <w:t>(b)</w:t>
      </w:r>
      <w:r>
        <w:rPr>
          <w:rFonts w:ascii="Arial" w:hAnsi="Arial" w:cs="Arial"/>
          <w:sz w:val="24"/>
          <w:szCs w:val="24"/>
          <w:lang w:val="en-GB"/>
        </w:rPr>
        <w:tab/>
      </w:r>
      <w:r w:rsidR="000057AF" w:rsidRPr="007B0231">
        <w:rPr>
          <w:rFonts w:ascii="Arial" w:hAnsi="Arial" w:cs="Arial"/>
          <w:sz w:val="24"/>
          <w:szCs w:val="24"/>
          <w:lang w:val="en-GB"/>
        </w:rPr>
        <w:t>t</w:t>
      </w:r>
      <w:r w:rsidR="006C7AD0" w:rsidRPr="007B0231">
        <w:rPr>
          <w:rFonts w:ascii="Arial" w:hAnsi="Arial" w:cs="Arial"/>
          <w:sz w:val="24"/>
          <w:szCs w:val="24"/>
          <w:lang w:val="en-GB"/>
        </w:rPr>
        <w:t>he decision of the first respondent</w:t>
      </w:r>
      <w:r w:rsidR="00B97DE5" w:rsidRPr="007B0231">
        <w:rPr>
          <w:rFonts w:ascii="Arial" w:hAnsi="Arial" w:cs="Arial"/>
          <w:sz w:val="24"/>
          <w:szCs w:val="24"/>
          <w:lang w:val="en-GB"/>
        </w:rPr>
        <w:t>, made on 6 July 2021,</w:t>
      </w:r>
      <w:r w:rsidR="006C7AD0" w:rsidRPr="007B0231">
        <w:rPr>
          <w:rFonts w:ascii="Arial" w:hAnsi="Arial" w:cs="Arial"/>
          <w:sz w:val="24"/>
          <w:szCs w:val="24"/>
          <w:lang w:val="en-GB"/>
        </w:rPr>
        <w:t xml:space="preserve"> to </w:t>
      </w:r>
      <w:r w:rsidR="00664452" w:rsidRPr="007B0231">
        <w:rPr>
          <w:rFonts w:ascii="Arial" w:hAnsi="Arial" w:cs="Arial"/>
          <w:sz w:val="24"/>
          <w:szCs w:val="24"/>
          <w:lang w:val="en-GB"/>
        </w:rPr>
        <w:t>dismiss the applicant’s appeal regarding the second respondent’s decision is reviewed and set aside;</w:t>
      </w:r>
    </w:p>
    <w:p w14:paraId="57A829D8" w14:textId="77777777" w:rsidR="0030569B" w:rsidRPr="0030569B" w:rsidRDefault="0030569B" w:rsidP="0030569B">
      <w:pPr>
        <w:pStyle w:val="ListParagraph"/>
        <w:rPr>
          <w:rFonts w:ascii="Arial" w:hAnsi="Arial" w:cs="Arial"/>
          <w:sz w:val="24"/>
          <w:szCs w:val="24"/>
          <w:lang w:val="en-GB"/>
        </w:rPr>
      </w:pPr>
    </w:p>
    <w:p w14:paraId="2121A89C" w14:textId="59E8CC89" w:rsidR="0030569B" w:rsidRPr="007B0231" w:rsidRDefault="007B0231" w:rsidP="007B0231">
      <w:pPr>
        <w:spacing w:line="360" w:lineRule="auto"/>
        <w:ind w:left="851" w:hanging="491"/>
        <w:jc w:val="both"/>
        <w:rPr>
          <w:rFonts w:ascii="Arial" w:hAnsi="Arial" w:cs="Arial"/>
          <w:sz w:val="24"/>
          <w:szCs w:val="24"/>
          <w:lang w:val="en-GB"/>
        </w:rPr>
      </w:pPr>
      <w:r>
        <w:rPr>
          <w:rFonts w:ascii="Arial" w:hAnsi="Arial" w:cs="Arial"/>
          <w:sz w:val="24"/>
          <w:szCs w:val="24"/>
          <w:lang w:val="en-GB"/>
        </w:rPr>
        <w:t>(c)</w:t>
      </w:r>
      <w:r>
        <w:rPr>
          <w:rFonts w:ascii="Arial" w:hAnsi="Arial" w:cs="Arial"/>
          <w:sz w:val="24"/>
          <w:szCs w:val="24"/>
          <w:lang w:val="en-GB"/>
        </w:rPr>
        <w:tab/>
      </w:r>
      <w:r w:rsidR="007D2EAA" w:rsidRPr="007B0231">
        <w:rPr>
          <w:rFonts w:ascii="Arial" w:hAnsi="Arial" w:cs="Arial"/>
          <w:sz w:val="24"/>
          <w:szCs w:val="24"/>
          <w:lang w:val="en-GB"/>
        </w:rPr>
        <w:t>t</w:t>
      </w:r>
      <w:r w:rsidR="002A293A" w:rsidRPr="007B0231">
        <w:rPr>
          <w:rFonts w:ascii="Arial" w:hAnsi="Arial" w:cs="Arial"/>
          <w:sz w:val="24"/>
          <w:szCs w:val="24"/>
          <w:lang w:val="en-GB"/>
        </w:rPr>
        <w:t xml:space="preserve">he fourth respondent’s </w:t>
      </w:r>
      <w:r w:rsidR="00B97DE5" w:rsidRPr="007B0231">
        <w:rPr>
          <w:rFonts w:ascii="Arial" w:hAnsi="Arial" w:cs="Arial"/>
          <w:sz w:val="24"/>
          <w:szCs w:val="24"/>
          <w:lang w:val="en-GB"/>
        </w:rPr>
        <w:t>development</w:t>
      </w:r>
      <w:r w:rsidR="002A293A" w:rsidRPr="007B0231">
        <w:rPr>
          <w:rFonts w:ascii="Arial" w:hAnsi="Arial" w:cs="Arial"/>
          <w:sz w:val="24"/>
          <w:szCs w:val="24"/>
          <w:lang w:val="en-GB"/>
        </w:rPr>
        <w:t xml:space="preserve"> of a guesthouse on erf 1483 Kenton-on-Sea is declared unlawful</w:t>
      </w:r>
      <w:r w:rsidR="0065197F" w:rsidRPr="007B0231">
        <w:rPr>
          <w:rFonts w:ascii="Arial" w:hAnsi="Arial" w:cs="Arial"/>
          <w:sz w:val="24"/>
          <w:szCs w:val="24"/>
          <w:lang w:val="en-GB"/>
        </w:rPr>
        <w:t>;</w:t>
      </w:r>
    </w:p>
    <w:p w14:paraId="234E1ED9" w14:textId="77777777" w:rsidR="0030569B" w:rsidRPr="0030569B" w:rsidRDefault="0030569B" w:rsidP="0030569B">
      <w:pPr>
        <w:pStyle w:val="ListParagraph"/>
        <w:rPr>
          <w:rFonts w:ascii="Arial" w:hAnsi="Arial" w:cs="Arial"/>
          <w:sz w:val="24"/>
          <w:szCs w:val="24"/>
          <w:lang w:val="en-GB"/>
        </w:rPr>
      </w:pPr>
    </w:p>
    <w:p w14:paraId="19F37AAA" w14:textId="30391428" w:rsidR="00A875FE" w:rsidRPr="007B0231" w:rsidRDefault="007B0231" w:rsidP="007B0231">
      <w:pPr>
        <w:spacing w:line="360" w:lineRule="auto"/>
        <w:ind w:left="851" w:hanging="491"/>
        <w:jc w:val="both"/>
        <w:rPr>
          <w:rFonts w:ascii="Arial" w:hAnsi="Arial" w:cs="Arial"/>
          <w:sz w:val="24"/>
          <w:szCs w:val="24"/>
          <w:lang w:val="en-GB"/>
        </w:rPr>
      </w:pPr>
      <w:r w:rsidRPr="0030569B">
        <w:rPr>
          <w:rFonts w:ascii="Arial" w:hAnsi="Arial" w:cs="Arial"/>
          <w:sz w:val="24"/>
          <w:szCs w:val="24"/>
          <w:lang w:val="en-GB"/>
        </w:rPr>
        <w:t>(d)</w:t>
      </w:r>
      <w:r w:rsidRPr="0030569B">
        <w:rPr>
          <w:rFonts w:ascii="Arial" w:hAnsi="Arial" w:cs="Arial"/>
          <w:sz w:val="24"/>
          <w:szCs w:val="24"/>
          <w:lang w:val="en-GB"/>
        </w:rPr>
        <w:tab/>
      </w:r>
      <w:r w:rsidR="0065197F" w:rsidRPr="007B0231">
        <w:rPr>
          <w:rFonts w:ascii="Arial" w:hAnsi="Arial" w:cs="Arial"/>
          <w:sz w:val="24"/>
          <w:szCs w:val="24"/>
          <w:lang w:val="en-GB"/>
        </w:rPr>
        <w:t>the second respondent is directed</w:t>
      </w:r>
      <w:r w:rsidR="008856B2" w:rsidRPr="007B0231">
        <w:rPr>
          <w:rFonts w:ascii="Arial" w:hAnsi="Arial" w:cs="Arial"/>
          <w:sz w:val="24"/>
          <w:szCs w:val="24"/>
          <w:lang w:val="en-GB"/>
        </w:rPr>
        <w:t xml:space="preserve"> to decide, </w:t>
      </w:r>
      <w:bookmarkStart w:id="1" w:name="_Hlk151367682"/>
      <w:r w:rsidR="008856B2" w:rsidRPr="007B0231">
        <w:rPr>
          <w:rFonts w:ascii="Arial" w:hAnsi="Arial" w:cs="Arial"/>
          <w:sz w:val="24"/>
          <w:szCs w:val="24"/>
          <w:lang w:val="en-GB"/>
        </w:rPr>
        <w:t xml:space="preserve">within </w:t>
      </w:r>
      <w:r w:rsidR="00EF7A67" w:rsidRPr="007B0231">
        <w:rPr>
          <w:rFonts w:ascii="Arial" w:hAnsi="Arial" w:cs="Arial"/>
          <w:sz w:val="24"/>
          <w:szCs w:val="24"/>
          <w:lang w:val="en-GB"/>
        </w:rPr>
        <w:t>9</w:t>
      </w:r>
      <w:r w:rsidR="00875384" w:rsidRPr="007B0231">
        <w:rPr>
          <w:rFonts w:ascii="Arial" w:hAnsi="Arial" w:cs="Arial"/>
          <w:sz w:val="24"/>
          <w:szCs w:val="24"/>
          <w:lang w:val="en-GB"/>
        </w:rPr>
        <w:t>0</w:t>
      </w:r>
      <w:r w:rsidR="008856B2" w:rsidRPr="007B0231">
        <w:rPr>
          <w:rFonts w:ascii="Arial" w:hAnsi="Arial" w:cs="Arial"/>
          <w:sz w:val="24"/>
          <w:szCs w:val="24"/>
          <w:lang w:val="en-GB"/>
        </w:rPr>
        <w:t xml:space="preserve"> calendar days</w:t>
      </w:r>
      <w:r w:rsidR="00875384" w:rsidRPr="007B0231">
        <w:rPr>
          <w:rFonts w:ascii="Arial" w:hAnsi="Arial" w:cs="Arial"/>
          <w:sz w:val="24"/>
          <w:szCs w:val="24"/>
          <w:lang w:val="en-GB"/>
        </w:rPr>
        <w:t>,</w:t>
      </w:r>
      <w:r w:rsidR="00651ED0" w:rsidRPr="007B0231">
        <w:rPr>
          <w:rFonts w:ascii="Arial" w:hAnsi="Arial" w:cs="Arial"/>
          <w:sz w:val="24"/>
          <w:szCs w:val="24"/>
          <w:lang w:val="en-GB"/>
        </w:rPr>
        <w:t xml:space="preserve"> </w:t>
      </w:r>
      <w:bookmarkEnd w:id="1"/>
      <w:r w:rsidR="005D217A" w:rsidRPr="007B0231">
        <w:rPr>
          <w:rFonts w:ascii="Arial" w:hAnsi="Arial" w:cs="Arial"/>
          <w:sz w:val="24"/>
          <w:szCs w:val="24"/>
          <w:lang w:val="en-GB"/>
        </w:rPr>
        <w:t>any application made by the fourth respondent for consent use</w:t>
      </w:r>
      <w:r w:rsidR="006B19E4" w:rsidRPr="007B0231">
        <w:rPr>
          <w:rFonts w:ascii="Arial" w:hAnsi="Arial" w:cs="Arial"/>
          <w:sz w:val="24"/>
          <w:szCs w:val="24"/>
          <w:lang w:val="en-GB"/>
        </w:rPr>
        <w:t xml:space="preserve"> as envisaged </w:t>
      </w:r>
      <w:r w:rsidR="00EB6AEE" w:rsidRPr="007B0231">
        <w:rPr>
          <w:rFonts w:ascii="Arial" w:hAnsi="Arial" w:cs="Arial"/>
          <w:sz w:val="24"/>
          <w:szCs w:val="24"/>
          <w:lang w:val="en-GB"/>
        </w:rPr>
        <w:t>under the current land use scheme,</w:t>
      </w:r>
      <w:r w:rsidR="00A875FE" w:rsidRPr="007B0231">
        <w:rPr>
          <w:rFonts w:ascii="Arial" w:hAnsi="Arial" w:cs="Arial"/>
          <w:sz w:val="24"/>
          <w:szCs w:val="24"/>
          <w:lang w:val="en-GB"/>
        </w:rPr>
        <w:t xml:space="preserve"> provided that:</w:t>
      </w:r>
    </w:p>
    <w:p w14:paraId="2CB5999C" w14:textId="77777777" w:rsidR="00A875FE" w:rsidRPr="00A875FE" w:rsidRDefault="00A875FE" w:rsidP="0030569B">
      <w:pPr>
        <w:pStyle w:val="ListParagraph"/>
        <w:jc w:val="both"/>
        <w:rPr>
          <w:rFonts w:ascii="Arial" w:hAnsi="Arial" w:cs="Arial"/>
          <w:sz w:val="24"/>
          <w:szCs w:val="24"/>
          <w:lang w:val="en-GB"/>
        </w:rPr>
      </w:pPr>
    </w:p>
    <w:p w14:paraId="7E8AF04D" w14:textId="35407CB7" w:rsidR="0065197F" w:rsidRPr="007B0231" w:rsidRDefault="007B0231" w:rsidP="007B0231">
      <w:pPr>
        <w:spacing w:line="360" w:lineRule="auto"/>
        <w:ind w:left="1440" w:hanging="589"/>
        <w:jc w:val="both"/>
        <w:rPr>
          <w:rFonts w:ascii="Arial" w:hAnsi="Arial" w:cs="Arial"/>
          <w:sz w:val="24"/>
          <w:szCs w:val="24"/>
          <w:lang w:val="en-GB"/>
        </w:rPr>
      </w:pPr>
      <w:r>
        <w:rPr>
          <w:rFonts w:ascii="Arial" w:hAnsi="Arial" w:cs="Arial"/>
          <w:sz w:val="24"/>
          <w:szCs w:val="24"/>
          <w:lang w:val="en-GB"/>
        </w:rPr>
        <w:t>(i)</w:t>
      </w:r>
      <w:r>
        <w:rPr>
          <w:rFonts w:ascii="Arial" w:hAnsi="Arial" w:cs="Arial"/>
          <w:sz w:val="24"/>
          <w:szCs w:val="24"/>
          <w:lang w:val="en-GB"/>
        </w:rPr>
        <w:tab/>
      </w:r>
      <w:r w:rsidR="00A875FE" w:rsidRPr="007B0231">
        <w:rPr>
          <w:rFonts w:ascii="Arial" w:hAnsi="Arial" w:cs="Arial"/>
          <w:sz w:val="24"/>
          <w:szCs w:val="24"/>
          <w:lang w:val="en-GB"/>
        </w:rPr>
        <w:t xml:space="preserve">the fourth respondent may </w:t>
      </w:r>
      <w:r w:rsidR="0041201F" w:rsidRPr="007B0231">
        <w:rPr>
          <w:rFonts w:ascii="Arial" w:hAnsi="Arial" w:cs="Arial"/>
          <w:sz w:val="24"/>
          <w:szCs w:val="24"/>
          <w:lang w:val="en-GB"/>
        </w:rPr>
        <w:t>make application on the same papers</w:t>
      </w:r>
      <w:r w:rsidR="00B97DE5" w:rsidRPr="007B0231">
        <w:rPr>
          <w:rFonts w:ascii="Arial" w:hAnsi="Arial" w:cs="Arial"/>
          <w:sz w:val="24"/>
          <w:szCs w:val="24"/>
          <w:lang w:val="en-GB"/>
        </w:rPr>
        <w:t xml:space="preserve"> as those</w:t>
      </w:r>
      <w:r w:rsidR="00EF7A67" w:rsidRPr="007B0231">
        <w:rPr>
          <w:rFonts w:ascii="Arial" w:hAnsi="Arial" w:cs="Arial"/>
          <w:sz w:val="24"/>
          <w:szCs w:val="24"/>
          <w:lang w:val="en-GB"/>
        </w:rPr>
        <w:t xml:space="preserve"> </w:t>
      </w:r>
      <w:r w:rsidR="004F5C87" w:rsidRPr="007B0231">
        <w:rPr>
          <w:rFonts w:ascii="Arial" w:hAnsi="Arial" w:cs="Arial"/>
          <w:sz w:val="24"/>
          <w:szCs w:val="24"/>
          <w:lang w:val="en-GB"/>
        </w:rPr>
        <w:t xml:space="preserve">for its departure and removal </w:t>
      </w:r>
      <w:r w:rsidR="0085785D" w:rsidRPr="007B0231">
        <w:rPr>
          <w:rFonts w:ascii="Arial" w:hAnsi="Arial" w:cs="Arial"/>
          <w:sz w:val="24"/>
          <w:szCs w:val="24"/>
          <w:lang w:val="en-GB"/>
        </w:rPr>
        <w:t>application,</w:t>
      </w:r>
      <w:r w:rsidR="00B97DE5" w:rsidRPr="007B0231">
        <w:rPr>
          <w:rFonts w:ascii="Arial" w:hAnsi="Arial" w:cs="Arial"/>
          <w:sz w:val="24"/>
          <w:szCs w:val="24"/>
          <w:lang w:val="en-GB"/>
        </w:rPr>
        <w:t xml:space="preserve"> </w:t>
      </w:r>
      <w:r w:rsidR="00651ED0" w:rsidRPr="007B0231">
        <w:rPr>
          <w:rFonts w:ascii="Arial" w:hAnsi="Arial" w:cs="Arial"/>
          <w:sz w:val="24"/>
          <w:szCs w:val="24"/>
          <w:lang w:val="en-GB"/>
        </w:rPr>
        <w:t xml:space="preserve">amended </w:t>
      </w:r>
      <w:r w:rsidR="00915F91" w:rsidRPr="007B0231">
        <w:rPr>
          <w:rFonts w:ascii="Arial" w:hAnsi="Arial" w:cs="Arial"/>
          <w:sz w:val="24"/>
          <w:szCs w:val="24"/>
          <w:lang w:val="en-GB"/>
        </w:rPr>
        <w:t>as may strictly be necessary</w:t>
      </w:r>
      <w:r w:rsidR="00A721D3" w:rsidRPr="007B0231">
        <w:rPr>
          <w:rFonts w:ascii="Arial" w:hAnsi="Arial" w:cs="Arial"/>
          <w:sz w:val="24"/>
          <w:szCs w:val="24"/>
          <w:lang w:val="en-GB"/>
        </w:rPr>
        <w:t>;</w:t>
      </w:r>
    </w:p>
    <w:p w14:paraId="2DF6B784" w14:textId="77777777" w:rsidR="00EF1484" w:rsidRDefault="00EF1484" w:rsidP="0030569B">
      <w:pPr>
        <w:pStyle w:val="ListParagraph"/>
        <w:spacing w:line="360" w:lineRule="auto"/>
        <w:ind w:left="1440"/>
        <w:jc w:val="both"/>
        <w:rPr>
          <w:rFonts w:ascii="Arial" w:hAnsi="Arial" w:cs="Arial"/>
          <w:sz w:val="24"/>
          <w:szCs w:val="24"/>
          <w:lang w:val="en-GB"/>
        </w:rPr>
      </w:pPr>
    </w:p>
    <w:p w14:paraId="58A5A6EE" w14:textId="49017B7F" w:rsidR="00A721D3" w:rsidRPr="007B0231" w:rsidRDefault="007B0231" w:rsidP="007B0231">
      <w:pPr>
        <w:spacing w:line="360" w:lineRule="auto"/>
        <w:ind w:left="1440" w:hanging="589"/>
        <w:jc w:val="both"/>
        <w:rPr>
          <w:rFonts w:ascii="Arial" w:hAnsi="Arial" w:cs="Arial"/>
          <w:sz w:val="24"/>
          <w:szCs w:val="24"/>
          <w:lang w:val="en-GB"/>
        </w:rPr>
      </w:pPr>
      <w:r w:rsidRPr="00B97DE5">
        <w:rPr>
          <w:rFonts w:ascii="Arial" w:hAnsi="Arial" w:cs="Arial"/>
          <w:sz w:val="24"/>
          <w:szCs w:val="24"/>
          <w:lang w:val="en-GB"/>
        </w:rPr>
        <w:t>(ii)</w:t>
      </w:r>
      <w:r w:rsidRPr="00B97DE5">
        <w:rPr>
          <w:rFonts w:ascii="Arial" w:hAnsi="Arial" w:cs="Arial"/>
          <w:sz w:val="24"/>
          <w:szCs w:val="24"/>
          <w:lang w:val="en-GB"/>
        </w:rPr>
        <w:tab/>
      </w:r>
      <w:r w:rsidR="00A721D3" w:rsidRPr="007B0231">
        <w:rPr>
          <w:rFonts w:ascii="Arial" w:hAnsi="Arial" w:cs="Arial"/>
          <w:sz w:val="24"/>
          <w:szCs w:val="24"/>
          <w:lang w:val="en-GB"/>
        </w:rPr>
        <w:t>the applicant</w:t>
      </w:r>
      <w:r w:rsidR="00B97DE5" w:rsidRPr="007B0231">
        <w:rPr>
          <w:rFonts w:ascii="Arial" w:hAnsi="Arial" w:cs="Arial"/>
          <w:sz w:val="24"/>
          <w:szCs w:val="24"/>
          <w:lang w:val="en-GB"/>
        </w:rPr>
        <w:t xml:space="preserve"> </w:t>
      </w:r>
      <w:r w:rsidR="00A721D3" w:rsidRPr="007B0231">
        <w:rPr>
          <w:rFonts w:ascii="Arial" w:hAnsi="Arial" w:cs="Arial"/>
          <w:sz w:val="24"/>
          <w:szCs w:val="24"/>
          <w:lang w:val="en-GB"/>
        </w:rPr>
        <w:t xml:space="preserve">shall be </w:t>
      </w:r>
      <w:r w:rsidR="00651ED0" w:rsidRPr="007B0231">
        <w:rPr>
          <w:rFonts w:ascii="Arial" w:hAnsi="Arial" w:cs="Arial"/>
          <w:sz w:val="24"/>
          <w:szCs w:val="24"/>
          <w:lang w:val="en-GB"/>
        </w:rPr>
        <w:t>serv</w:t>
      </w:r>
      <w:r w:rsidR="00A721D3" w:rsidRPr="007B0231">
        <w:rPr>
          <w:rFonts w:ascii="Arial" w:hAnsi="Arial" w:cs="Arial"/>
          <w:sz w:val="24"/>
          <w:szCs w:val="24"/>
          <w:lang w:val="en-GB"/>
        </w:rPr>
        <w:t>ed with a copy of the application</w:t>
      </w:r>
      <w:r w:rsidR="00B97DE5" w:rsidRPr="007B0231">
        <w:rPr>
          <w:rFonts w:ascii="Arial" w:hAnsi="Arial" w:cs="Arial"/>
          <w:sz w:val="24"/>
          <w:szCs w:val="24"/>
          <w:lang w:val="en-GB"/>
        </w:rPr>
        <w:t xml:space="preserve"> described</w:t>
      </w:r>
      <w:r w:rsidR="00BF1C3D" w:rsidRPr="007B0231">
        <w:rPr>
          <w:rFonts w:ascii="Arial" w:hAnsi="Arial" w:cs="Arial"/>
          <w:sz w:val="24"/>
          <w:szCs w:val="24"/>
          <w:lang w:val="en-GB"/>
        </w:rPr>
        <w:t xml:space="preserve"> </w:t>
      </w:r>
      <w:r w:rsidR="00B97DE5" w:rsidRPr="007B0231">
        <w:rPr>
          <w:rFonts w:ascii="Arial" w:hAnsi="Arial" w:cs="Arial"/>
          <w:sz w:val="24"/>
          <w:szCs w:val="24"/>
          <w:lang w:val="en-GB"/>
        </w:rPr>
        <w:t>above</w:t>
      </w:r>
      <w:r w:rsidR="00651ED0" w:rsidRPr="007B0231">
        <w:rPr>
          <w:rFonts w:ascii="Arial" w:hAnsi="Arial" w:cs="Arial"/>
          <w:sz w:val="24"/>
          <w:szCs w:val="24"/>
          <w:lang w:val="en-GB"/>
        </w:rPr>
        <w:t xml:space="preserve"> at the time of </w:t>
      </w:r>
      <w:r w:rsidR="00B97DE5" w:rsidRPr="007B0231">
        <w:rPr>
          <w:rFonts w:ascii="Arial" w:hAnsi="Arial" w:cs="Arial"/>
          <w:sz w:val="24"/>
          <w:szCs w:val="24"/>
          <w:lang w:val="en-GB"/>
        </w:rPr>
        <w:t>the fourth respondent’s submission thereof</w:t>
      </w:r>
      <w:r w:rsidR="00A721D3" w:rsidRPr="007B0231">
        <w:rPr>
          <w:rFonts w:ascii="Arial" w:hAnsi="Arial" w:cs="Arial"/>
          <w:sz w:val="24"/>
          <w:szCs w:val="24"/>
          <w:lang w:val="en-GB"/>
        </w:rPr>
        <w:t>;</w:t>
      </w:r>
      <w:r w:rsidR="00EF1484" w:rsidRPr="007B0231">
        <w:rPr>
          <w:rFonts w:ascii="Arial" w:hAnsi="Arial" w:cs="Arial"/>
          <w:sz w:val="24"/>
          <w:szCs w:val="24"/>
          <w:lang w:val="en-GB"/>
        </w:rPr>
        <w:t xml:space="preserve"> and</w:t>
      </w:r>
    </w:p>
    <w:p w14:paraId="5B4FA24A" w14:textId="77777777" w:rsidR="00A25A58" w:rsidRDefault="00A25A58" w:rsidP="0030569B">
      <w:pPr>
        <w:pStyle w:val="ListParagraph"/>
        <w:spacing w:line="360" w:lineRule="auto"/>
        <w:ind w:left="1440"/>
        <w:jc w:val="both"/>
        <w:rPr>
          <w:rFonts w:ascii="Arial" w:hAnsi="Arial" w:cs="Arial"/>
          <w:sz w:val="24"/>
          <w:szCs w:val="24"/>
          <w:lang w:val="en-GB"/>
        </w:rPr>
      </w:pPr>
    </w:p>
    <w:p w14:paraId="7F7E0A34" w14:textId="602C8EE9" w:rsidR="00EF1484" w:rsidRPr="007B0231" w:rsidRDefault="007B0231" w:rsidP="007B0231">
      <w:pPr>
        <w:spacing w:line="360" w:lineRule="auto"/>
        <w:ind w:left="1440" w:hanging="589"/>
        <w:jc w:val="both"/>
        <w:rPr>
          <w:rFonts w:ascii="Arial" w:hAnsi="Arial" w:cs="Arial"/>
          <w:sz w:val="24"/>
          <w:szCs w:val="24"/>
          <w:lang w:val="en-GB"/>
        </w:rPr>
      </w:pPr>
      <w:r w:rsidRPr="00B97DE5">
        <w:rPr>
          <w:rFonts w:ascii="Arial" w:hAnsi="Arial" w:cs="Arial"/>
          <w:sz w:val="24"/>
          <w:szCs w:val="24"/>
          <w:lang w:val="en-GB"/>
        </w:rPr>
        <w:t>(iii)</w:t>
      </w:r>
      <w:r w:rsidRPr="00B97DE5">
        <w:rPr>
          <w:rFonts w:ascii="Arial" w:hAnsi="Arial" w:cs="Arial"/>
          <w:sz w:val="24"/>
          <w:szCs w:val="24"/>
          <w:lang w:val="en-GB"/>
        </w:rPr>
        <w:tab/>
      </w:r>
      <w:r w:rsidR="00A721D3" w:rsidRPr="007B0231">
        <w:rPr>
          <w:rFonts w:ascii="Arial" w:hAnsi="Arial" w:cs="Arial"/>
          <w:sz w:val="24"/>
          <w:szCs w:val="24"/>
          <w:lang w:val="en-GB"/>
        </w:rPr>
        <w:t xml:space="preserve">the </w:t>
      </w:r>
      <w:r w:rsidR="00CF43B9" w:rsidRPr="007B0231">
        <w:rPr>
          <w:rFonts w:ascii="Arial" w:hAnsi="Arial" w:cs="Arial"/>
          <w:sz w:val="24"/>
          <w:szCs w:val="24"/>
          <w:lang w:val="en-GB"/>
        </w:rPr>
        <w:t xml:space="preserve">third respondent shall </w:t>
      </w:r>
      <w:r w:rsidR="00B01B5A" w:rsidRPr="007B0231">
        <w:rPr>
          <w:rFonts w:ascii="Arial" w:hAnsi="Arial" w:cs="Arial"/>
          <w:sz w:val="24"/>
          <w:szCs w:val="24"/>
          <w:lang w:val="en-GB"/>
        </w:rPr>
        <w:t xml:space="preserve">determine that the </w:t>
      </w:r>
      <w:r w:rsidR="00CF43B9" w:rsidRPr="007B0231">
        <w:rPr>
          <w:rFonts w:ascii="Arial" w:hAnsi="Arial" w:cs="Arial"/>
          <w:sz w:val="24"/>
          <w:szCs w:val="24"/>
          <w:lang w:val="en-GB"/>
        </w:rPr>
        <w:t>application fee payable</w:t>
      </w:r>
      <w:r w:rsidR="00B01B5A" w:rsidRPr="007B0231">
        <w:rPr>
          <w:rFonts w:ascii="Arial" w:hAnsi="Arial" w:cs="Arial"/>
          <w:sz w:val="24"/>
          <w:szCs w:val="24"/>
          <w:lang w:val="en-GB"/>
        </w:rPr>
        <w:t xml:space="preserve"> is nil</w:t>
      </w:r>
      <w:r w:rsidR="00EF1484" w:rsidRPr="007B0231">
        <w:rPr>
          <w:rFonts w:ascii="Arial" w:hAnsi="Arial" w:cs="Arial"/>
          <w:sz w:val="24"/>
          <w:szCs w:val="24"/>
          <w:lang w:val="en-GB"/>
        </w:rPr>
        <w:t>;</w:t>
      </w:r>
    </w:p>
    <w:p w14:paraId="58973959" w14:textId="77777777" w:rsidR="00A25A58" w:rsidRPr="00A25A58" w:rsidRDefault="00A25A58" w:rsidP="0030569B">
      <w:pPr>
        <w:pStyle w:val="ListParagraph"/>
        <w:jc w:val="both"/>
        <w:rPr>
          <w:rFonts w:ascii="Arial" w:hAnsi="Arial" w:cs="Arial"/>
          <w:sz w:val="24"/>
          <w:szCs w:val="24"/>
          <w:lang w:val="en-GB"/>
        </w:rPr>
      </w:pPr>
    </w:p>
    <w:p w14:paraId="21A55ED6" w14:textId="06C2E4CA" w:rsidR="0030569B" w:rsidRPr="007B0231" w:rsidRDefault="007B0231" w:rsidP="007B0231">
      <w:pPr>
        <w:spacing w:line="360" w:lineRule="auto"/>
        <w:ind w:left="993" w:hanging="633"/>
        <w:jc w:val="both"/>
        <w:rPr>
          <w:rFonts w:ascii="Arial" w:hAnsi="Arial" w:cs="Arial"/>
          <w:sz w:val="24"/>
          <w:szCs w:val="24"/>
          <w:lang w:val="en-GB"/>
        </w:rPr>
      </w:pPr>
      <w:r>
        <w:rPr>
          <w:rFonts w:ascii="Arial" w:hAnsi="Arial" w:cs="Arial"/>
          <w:sz w:val="24"/>
          <w:szCs w:val="24"/>
          <w:lang w:val="en-GB"/>
        </w:rPr>
        <w:t>(e)</w:t>
      </w:r>
      <w:r>
        <w:rPr>
          <w:rFonts w:ascii="Arial" w:hAnsi="Arial" w:cs="Arial"/>
          <w:sz w:val="24"/>
          <w:szCs w:val="24"/>
          <w:lang w:val="en-GB"/>
        </w:rPr>
        <w:tab/>
      </w:r>
      <w:r w:rsidR="008D35A8" w:rsidRPr="007B0231">
        <w:rPr>
          <w:rFonts w:ascii="Arial" w:hAnsi="Arial" w:cs="Arial"/>
          <w:sz w:val="24"/>
          <w:szCs w:val="24"/>
          <w:lang w:val="en-GB"/>
        </w:rPr>
        <w:t xml:space="preserve">the first respondent is directed to decide, </w:t>
      </w:r>
      <w:r w:rsidR="003F13DB" w:rsidRPr="007B0231">
        <w:rPr>
          <w:rFonts w:ascii="Arial" w:hAnsi="Arial" w:cs="Arial"/>
          <w:sz w:val="24"/>
          <w:szCs w:val="24"/>
          <w:lang w:val="en-GB"/>
        </w:rPr>
        <w:t xml:space="preserve">within </w:t>
      </w:r>
      <w:r w:rsidR="00D80791" w:rsidRPr="007B0231">
        <w:rPr>
          <w:rFonts w:ascii="Arial" w:hAnsi="Arial" w:cs="Arial"/>
          <w:sz w:val="24"/>
          <w:szCs w:val="24"/>
          <w:lang w:val="en-GB"/>
        </w:rPr>
        <w:t>9</w:t>
      </w:r>
      <w:r w:rsidR="003F13DB" w:rsidRPr="007B0231">
        <w:rPr>
          <w:rFonts w:ascii="Arial" w:hAnsi="Arial" w:cs="Arial"/>
          <w:sz w:val="24"/>
          <w:szCs w:val="24"/>
          <w:lang w:val="en-GB"/>
        </w:rPr>
        <w:t>0 calendar days</w:t>
      </w:r>
      <w:r w:rsidR="0002417F" w:rsidRPr="007B0231">
        <w:rPr>
          <w:rFonts w:ascii="Arial" w:hAnsi="Arial" w:cs="Arial"/>
          <w:sz w:val="24"/>
          <w:szCs w:val="24"/>
          <w:lang w:val="en-GB"/>
        </w:rPr>
        <w:t>,</w:t>
      </w:r>
      <w:r w:rsidR="003F13DB" w:rsidRPr="007B0231">
        <w:rPr>
          <w:rFonts w:ascii="Arial" w:hAnsi="Arial" w:cs="Arial"/>
          <w:sz w:val="24"/>
          <w:szCs w:val="24"/>
          <w:lang w:val="en-GB"/>
        </w:rPr>
        <w:t xml:space="preserve"> </w:t>
      </w:r>
      <w:r w:rsidR="009900BE" w:rsidRPr="007B0231">
        <w:rPr>
          <w:rFonts w:ascii="Arial" w:hAnsi="Arial" w:cs="Arial"/>
          <w:sz w:val="24"/>
          <w:szCs w:val="24"/>
          <w:lang w:val="en-GB"/>
        </w:rPr>
        <w:t>any appeal that arises therefrom</w:t>
      </w:r>
      <w:r w:rsidR="00D80791" w:rsidRPr="007B0231">
        <w:rPr>
          <w:rFonts w:ascii="Arial" w:hAnsi="Arial" w:cs="Arial"/>
          <w:sz w:val="24"/>
          <w:szCs w:val="24"/>
          <w:lang w:val="en-GB"/>
        </w:rPr>
        <w:t>;</w:t>
      </w:r>
    </w:p>
    <w:p w14:paraId="433B105C" w14:textId="77777777" w:rsidR="0030569B" w:rsidRDefault="0030569B" w:rsidP="0030569B">
      <w:pPr>
        <w:pStyle w:val="ListParagraph"/>
        <w:spacing w:line="360" w:lineRule="auto"/>
        <w:ind w:left="993"/>
        <w:jc w:val="both"/>
        <w:rPr>
          <w:rFonts w:ascii="Arial" w:hAnsi="Arial" w:cs="Arial"/>
          <w:sz w:val="24"/>
          <w:szCs w:val="24"/>
          <w:lang w:val="en-GB"/>
        </w:rPr>
      </w:pPr>
    </w:p>
    <w:p w14:paraId="29780EF8" w14:textId="053A19C2" w:rsidR="009900BE" w:rsidRPr="007B0231" w:rsidRDefault="007B0231" w:rsidP="007B0231">
      <w:pPr>
        <w:spacing w:line="360" w:lineRule="auto"/>
        <w:ind w:left="993" w:hanging="633"/>
        <w:jc w:val="both"/>
        <w:rPr>
          <w:rFonts w:ascii="Arial" w:hAnsi="Arial" w:cs="Arial"/>
          <w:sz w:val="24"/>
          <w:szCs w:val="24"/>
          <w:lang w:val="en-GB"/>
        </w:rPr>
      </w:pPr>
      <w:r w:rsidRPr="0030569B">
        <w:rPr>
          <w:rFonts w:ascii="Arial" w:hAnsi="Arial" w:cs="Arial"/>
          <w:sz w:val="24"/>
          <w:szCs w:val="24"/>
          <w:lang w:val="en-GB"/>
        </w:rPr>
        <w:t>(f)</w:t>
      </w:r>
      <w:r w:rsidRPr="0030569B">
        <w:rPr>
          <w:rFonts w:ascii="Arial" w:hAnsi="Arial" w:cs="Arial"/>
          <w:sz w:val="24"/>
          <w:szCs w:val="24"/>
          <w:lang w:val="en-GB"/>
        </w:rPr>
        <w:tab/>
      </w:r>
      <w:r w:rsidR="009900BE" w:rsidRPr="007B0231">
        <w:rPr>
          <w:rFonts w:ascii="Arial" w:hAnsi="Arial" w:cs="Arial"/>
          <w:sz w:val="24"/>
          <w:szCs w:val="24"/>
          <w:lang w:val="en-GB"/>
        </w:rPr>
        <w:t>regarding costs:</w:t>
      </w:r>
    </w:p>
    <w:p w14:paraId="239A4B28" w14:textId="77777777" w:rsidR="00A41FF3" w:rsidRDefault="00A41FF3" w:rsidP="0030569B">
      <w:pPr>
        <w:pStyle w:val="ListParagraph"/>
        <w:spacing w:line="360" w:lineRule="auto"/>
        <w:ind w:left="1440"/>
        <w:jc w:val="both"/>
        <w:rPr>
          <w:rFonts w:ascii="Arial" w:hAnsi="Arial" w:cs="Arial"/>
          <w:sz w:val="24"/>
          <w:szCs w:val="24"/>
          <w:lang w:val="en-GB"/>
        </w:rPr>
      </w:pPr>
    </w:p>
    <w:p w14:paraId="2A0CC2CE" w14:textId="25B23E26" w:rsidR="009900BE" w:rsidRPr="007B0231" w:rsidRDefault="007B0231" w:rsidP="007B0231">
      <w:pPr>
        <w:spacing w:line="360" w:lineRule="auto"/>
        <w:ind w:left="1440" w:hanging="447"/>
        <w:jc w:val="both"/>
        <w:rPr>
          <w:rFonts w:ascii="Arial" w:hAnsi="Arial" w:cs="Arial"/>
          <w:sz w:val="24"/>
          <w:szCs w:val="24"/>
          <w:lang w:val="en-GB"/>
        </w:rPr>
      </w:pPr>
      <w:r>
        <w:rPr>
          <w:rFonts w:ascii="Arial" w:hAnsi="Arial" w:cs="Arial"/>
          <w:sz w:val="24"/>
          <w:szCs w:val="24"/>
          <w:lang w:val="en-GB"/>
        </w:rPr>
        <w:t>(i)</w:t>
      </w:r>
      <w:r>
        <w:rPr>
          <w:rFonts w:ascii="Arial" w:hAnsi="Arial" w:cs="Arial"/>
          <w:sz w:val="24"/>
          <w:szCs w:val="24"/>
          <w:lang w:val="en-GB"/>
        </w:rPr>
        <w:tab/>
      </w:r>
      <w:r w:rsidR="006023B5" w:rsidRPr="007B0231">
        <w:rPr>
          <w:rFonts w:ascii="Arial" w:hAnsi="Arial" w:cs="Arial"/>
          <w:sz w:val="24"/>
          <w:szCs w:val="24"/>
          <w:lang w:val="en-GB"/>
        </w:rPr>
        <w:t>each party is directed to pay its own costs</w:t>
      </w:r>
      <w:r w:rsidR="00AD0553" w:rsidRPr="007B0231">
        <w:rPr>
          <w:rFonts w:ascii="Arial" w:hAnsi="Arial" w:cs="Arial"/>
          <w:sz w:val="24"/>
          <w:szCs w:val="24"/>
          <w:lang w:val="en-GB"/>
        </w:rPr>
        <w:t xml:space="preserve"> in relation to:</w:t>
      </w:r>
    </w:p>
    <w:p w14:paraId="00CD5ACC" w14:textId="7141F593" w:rsidR="00AD0553" w:rsidRDefault="00AD0553" w:rsidP="0030569B">
      <w:pPr>
        <w:pStyle w:val="ListParagraph"/>
        <w:spacing w:line="360" w:lineRule="auto"/>
        <w:ind w:left="1440"/>
        <w:jc w:val="both"/>
        <w:rPr>
          <w:rFonts w:ascii="Arial" w:hAnsi="Arial" w:cs="Arial"/>
          <w:sz w:val="24"/>
          <w:szCs w:val="24"/>
          <w:lang w:val="en-GB"/>
        </w:rPr>
      </w:pPr>
      <w:r>
        <w:rPr>
          <w:rFonts w:ascii="Arial" w:hAnsi="Arial" w:cs="Arial"/>
          <w:sz w:val="24"/>
          <w:szCs w:val="24"/>
          <w:lang w:val="en-GB"/>
        </w:rPr>
        <w:t xml:space="preserve">(aa) the application for condonation; </w:t>
      </w:r>
    </w:p>
    <w:p w14:paraId="16987CE2" w14:textId="77777777" w:rsidR="00A41FF3" w:rsidRDefault="00A41FF3" w:rsidP="0030569B">
      <w:pPr>
        <w:pStyle w:val="ListParagraph"/>
        <w:spacing w:line="360" w:lineRule="auto"/>
        <w:ind w:left="1440"/>
        <w:jc w:val="both"/>
        <w:rPr>
          <w:rFonts w:ascii="Arial" w:hAnsi="Arial" w:cs="Arial"/>
          <w:sz w:val="24"/>
          <w:szCs w:val="24"/>
          <w:lang w:val="en-GB"/>
        </w:rPr>
      </w:pPr>
    </w:p>
    <w:p w14:paraId="6E22114B" w14:textId="12CE7CDA" w:rsidR="00AD0553" w:rsidRDefault="00AD0553" w:rsidP="0030569B">
      <w:pPr>
        <w:pStyle w:val="ListParagraph"/>
        <w:spacing w:line="360" w:lineRule="auto"/>
        <w:ind w:left="1440"/>
        <w:jc w:val="both"/>
        <w:rPr>
          <w:rFonts w:ascii="Arial" w:hAnsi="Arial" w:cs="Arial"/>
          <w:sz w:val="24"/>
          <w:szCs w:val="24"/>
          <w:lang w:val="en-GB"/>
        </w:rPr>
      </w:pPr>
      <w:r>
        <w:rPr>
          <w:rFonts w:ascii="Arial" w:hAnsi="Arial" w:cs="Arial"/>
          <w:sz w:val="24"/>
          <w:szCs w:val="24"/>
          <w:lang w:val="en-GB"/>
        </w:rPr>
        <w:t>(bb) the application for extension of the 180-day period; and</w:t>
      </w:r>
    </w:p>
    <w:p w14:paraId="396BCD5A" w14:textId="77777777" w:rsidR="00A41FF3" w:rsidRDefault="00A41FF3" w:rsidP="0030569B">
      <w:pPr>
        <w:pStyle w:val="ListParagraph"/>
        <w:spacing w:line="360" w:lineRule="auto"/>
        <w:ind w:left="1440"/>
        <w:jc w:val="both"/>
        <w:rPr>
          <w:rFonts w:ascii="Arial" w:hAnsi="Arial" w:cs="Arial"/>
          <w:sz w:val="24"/>
          <w:szCs w:val="24"/>
          <w:lang w:val="en-GB"/>
        </w:rPr>
      </w:pPr>
    </w:p>
    <w:p w14:paraId="649505A3" w14:textId="18FA1EAD" w:rsidR="00AD0553" w:rsidRPr="007B0231" w:rsidRDefault="007B0231" w:rsidP="007B0231">
      <w:pPr>
        <w:spacing w:line="360" w:lineRule="auto"/>
        <w:ind w:left="1440" w:hanging="447"/>
        <w:jc w:val="both"/>
        <w:rPr>
          <w:rFonts w:ascii="Arial" w:hAnsi="Arial" w:cs="Arial"/>
          <w:sz w:val="24"/>
          <w:szCs w:val="24"/>
          <w:lang w:val="en-GB"/>
        </w:rPr>
      </w:pPr>
      <w:r w:rsidRPr="00AD0553">
        <w:rPr>
          <w:rFonts w:ascii="Arial" w:hAnsi="Arial" w:cs="Arial"/>
          <w:sz w:val="24"/>
          <w:szCs w:val="24"/>
          <w:lang w:val="en-GB"/>
        </w:rPr>
        <w:t>(ii)</w:t>
      </w:r>
      <w:r w:rsidRPr="00AD0553">
        <w:rPr>
          <w:rFonts w:ascii="Arial" w:hAnsi="Arial" w:cs="Arial"/>
          <w:sz w:val="24"/>
          <w:szCs w:val="24"/>
          <w:lang w:val="en-GB"/>
        </w:rPr>
        <w:tab/>
      </w:r>
      <w:r w:rsidR="009F2078" w:rsidRPr="007B0231">
        <w:rPr>
          <w:rFonts w:ascii="Arial" w:hAnsi="Arial" w:cs="Arial"/>
          <w:sz w:val="24"/>
          <w:szCs w:val="24"/>
          <w:lang w:val="en-GB"/>
        </w:rPr>
        <w:t>the respondents</w:t>
      </w:r>
      <w:r w:rsidR="006474AB" w:rsidRPr="007B0231">
        <w:rPr>
          <w:rFonts w:ascii="Arial" w:hAnsi="Arial" w:cs="Arial"/>
          <w:sz w:val="24"/>
          <w:szCs w:val="24"/>
          <w:lang w:val="en-GB"/>
        </w:rPr>
        <w:t xml:space="preserve">, joint and severally, </w:t>
      </w:r>
      <w:r w:rsidR="009F2078" w:rsidRPr="007B0231">
        <w:rPr>
          <w:rFonts w:ascii="Arial" w:hAnsi="Arial" w:cs="Arial"/>
          <w:sz w:val="24"/>
          <w:szCs w:val="24"/>
          <w:lang w:val="en-GB"/>
        </w:rPr>
        <w:t xml:space="preserve">are directed </w:t>
      </w:r>
      <w:r w:rsidR="006474AB" w:rsidRPr="007B0231">
        <w:rPr>
          <w:rFonts w:ascii="Arial" w:hAnsi="Arial" w:cs="Arial"/>
          <w:sz w:val="24"/>
          <w:szCs w:val="24"/>
          <w:lang w:val="en-GB"/>
        </w:rPr>
        <w:t xml:space="preserve">to pay 75% of the applicant’s </w:t>
      </w:r>
      <w:r w:rsidR="00A41FF3" w:rsidRPr="007B0231">
        <w:rPr>
          <w:rFonts w:ascii="Arial" w:hAnsi="Arial" w:cs="Arial"/>
          <w:sz w:val="24"/>
          <w:szCs w:val="24"/>
          <w:lang w:val="en-GB"/>
        </w:rPr>
        <w:t>remaining costs.</w:t>
      </w:r>
    </w:p>
    <w:p w14:paraId="35C010A6" w14:textId="6D249803" w:rsidR="00A721D3" w:rsidRDefault="00A721D3" w:rsidP="00EF1484">
      <w:pPr>
        <w:spacing w:line="360" w:lineRule="auto"/>
        <w:rPr>
          <w:rFonts w:ascii="Arial" w:hAnsi="Arial" w:cs="Arial"/>
          <w:sz w:val="24"/>
          <w:szCs w:val="24"/>
          <w:lang w:val="en-GB"/>
        </w:rPr>
      </w:pPr>
    </w:p>
    <w:p w14:paraId="11B99249" w14:textId="77777777" w:rsidR="00362B67" w:rsidRDefault="00362B67" w:rsidP="0030569B">
      <w:pPr>
        <w:spacing w:line="240" w:lineRule="auto"/>
        <w:jc w:val="both"/>
        <w:rPr>
          <w:rFonts w:ascii="Arial" w:hAnsi="Arial" w:cs="Arial"/>
          <w:sz w:val="24"/>
          <w:szCs w:val="24"/>
          <w:lang w:val="en-GB"/>
        </w:rPr>
      </w:pPr>
    </w:p>
    <w:p w14:paraId="4E8A2088" w14:textId="3B14B6B5" w:rsidR="00362B67" w:rsidRDefault="00362B67" w:rsidP="0030569B">
      <w:pPr>
        <w:spacing w:line="240" w:lineRule="auto"/>
        <w:jc w:val="both"/>
        <w:rPr>
          <w:rFonts w:ascii="Arial" w:hAnsi="Arial" w:cs="Arial"/>
          <w:sz w:val="24"/>
          <w:szCs w:val="24"/>
          <w:lang w:val="en-GB"/>
        </w:rPr>
      </w:pPr>
      <w:r>
        <w:rPr>
          <w:rFonts w:ascii="Arial" w:hAnsi="Arial" w:cs="Arial"/>
          <w:sz w:val="24"/>
          <w:szCs w:val="24"/>
          <w:lang w:val="en-GB"/>
        </w:rPr>
        <w:t>______________________________</w:t>
      </w:r>
    </w:p>
    <w:p w14:paraId="5F4E533E" w14:textId="129F3958" w:rsidR="00362B67" w:rsidRPr="00BA1207" w:rsidRDefault="00362B67" w:rsidP="0030569B">
      <w:pPr>
        <w:spacing w:line="240" w:lineRule="auto"/>
        <w:jc w:val="both"/>
        <w:rPr>
          <w:rFonts w:ascii="Arial" w:hAnsi="Arial" w:cs="Arial"/>
          <w:b/>
          <w:bCs/>
          <w:sz w:val="24"/>
          <w:szCs w:val="24"/>
          <w:lang w:val="en-GB"/>
        </w:rPr>
      </w:pPr>
      <w:r w:rsidRPr="00BA1207">
        <w:rPr>
          <w:rFonts w:ascii="Arial" w:hAnsi="Arial" w:cs="Arial"/>
          <w:b/>
          <w:bCs/>
          <w:sz w:val="24"/>
          <w:szCs w:val="24"/>
          <w:lang w:val="en-GB"/>
        </w:rPr>
        <w:t>JGA LAING</w:t>
      </w:r>
    </w:p>
    <w:p w14:paraId="2CDF891D" w14:textId="7B984E24" w:rsidR="00BA1207" w:rsidRDefault="00BA1207" w:rsidP="0030569B">
      <w:pPr>
        <w:spacing w:line="240" w:lineRule="auto"/>
        <w:jc w:val="both"/>
        <w:rPr>
          <w:rFonts w:ascii="Arial" w:hAnsi="Arial" w:cs="Arial"/>
          <w:b/>
          <w:bCs/>
          <w:sz w:val="24"/>
          <w:szCs w:val="24"/>
          <w:lang w:val="en-GB"/>
        </w:rPr>
      </w:pPr>
      <w:r w:rsidRPr="00BA1207">
        <w:rPr>
          <w:rFonts w:ascii="Arial" w:hAnsi="Arial" w:cs="Arial"/>
          <w:b/>
          <w:bCs/>
          <w:sz w:val="24"/>
          <w:szCs w:val="24"/>
          <w:lang w:val="en-GB"/>
        </w:rPr>
        <w:t>JUDGE OF THE HIGH COURT</w:t>
      </w:r>
    </w:p>
    <w:p w14:paraId="584D5BE2" w14:textId="77777777" w:rsidR="0030569B" w:rsidRDefault="0030569B" w:rsidP="0030569B">
      <w:pPr>
        <w:spacing w:line="240" w:lineRule="auto"/>
        <w:jc w:val="both"/>
        <w:rPr>
          <w:rFonts w:ascii="Arial" w:hAnsi="Arial" w:cs="Arial"/>
          <w:b/>
          <w:bCs/>
          <w:sz w:val="24"/>
          <w:szCs w:val="24"/>
          <w:lang w:val="en-GB"/>
        </w:rPr>
      </w:pPr>
    </w:p>
    <w:p w14:paraId="41E56A36" w14:textId="77777777" w:rsidR="0030569B" w:rsidRDefault="0030569B" w:rsidP="0030569B">
      <w:pPr>
        <w:spacing w:line="240" w:lineRule="auto"/>
        <w:jc w:val="both"/>
        <w:rPr>
          <w:rFonts w:ascii="Arial" w:hAnsi="Arial" w:cs="Arial"/>
          <w:b/>
          <w:bCs/>
          <w:sz w:val="24"/>
          <w:szCs w:val="24"/>
          <w:lang w:val="en-GB"/>
        </w:rPr>
      </w:pPr>
    </w:p>
    <w:p w14:paraId="4104741D" w14:textId="77777777" w:rsidR="0030569B" w:rsidRDefault="0030569B" w:rsidP="0030569B">
      <w:pPr>
        <w:spacing w:line="240" w:lineRule="auto"/>
        <w:jc w:val="both"/>
        <w:rPr>
          <w:rFonts w:ascii="Arial" w:hAnsi="Arial" w:cs="Arial"/>
          <w:b/>
          <w:bCs/>
          <w:sz w:val="24"/>
          <w:szCs w:val="24"/>
          <w:lang w:val="en-GB"/>
        </w:rPr>
      </w:pPr>
    </w:p>
    <w:p w14:paraId="60B5895D" w14:textId="77777777" w:rsidR="0030569B" w:rsidRDefault="0030569B" w:rsidP="0030569B">
      <w:pPr>
        <w:spacing w:line="240" w:lineRule="auto"/>
        <w:jc w:val="both"/>
        <w:rPr>
          <w:rFonts w:ascii="Arial" w:hAnsi="Arial" w:cs="Arial"/>
          <w:b/>
          <w:bCs/>
          <w:sz w:val="24"/>
          <w:szCs w:val="24"/>
          <w:lang w:val="en-GB"/>
        </w:rPr>
      </w:pPr>
    </w:p>
    <w:p w14:paraId="1B7729E0" w14:textId="77777777" w:rsidR="0030569B" w:rsidRDefault="0030569B" w:rsidP="0030569B">
      <w:pPr>
        <w:spacing w:line="240" w:lineRule="auto"/>
        <w:jc w:val="both"/>
        <w:rPr>
          <w:rFonts w:ascii="Arial" w:hAnsi="Arial" w:cs="Arial"/>
          <w:b/>
          <w:bCs/>
          <w:sz w:val="24"/>
          <w:szCs w:val="24"/>
          <w:lang w:val="en-GB"/>
        </w:rPr>
      </w:pPr>
    </w:p>
    <w:p w14:paraId="7A91FA3C" w14:textId="77777777" w:rsidR="0030569B" w:rsidRDefault="0030569B" w:rsidP="0030569B">
      <w:pPr>
        <w:spacing w:line="240" w:lineRule="auto"/>
        <w:jc w:val="both"/>
        <w:rPr>
          <w:rFonts w:ascii="Arial" w:hAnsi="Arial" w:cs="Arial"/>
          <w:b/>
          <w:bCs/>
          <w:sz w:val="24"/>
          <w:szCs w:val="24"/>
          <w:lang w:val="en-GB"/>
        </w:rPr>
      </w:pPr>
    </w:p>
    <w:p w14:paraId="3BEAD8D2" w14:textId="77777777" w:rsidR="0030569B" w:rsidRDefault="0030569B" w:rsidP="0030569B">
      <w:pPr>
        <w:spacing w:line="240" w:lineRule="auto"/>
        <w:jc w:val="both"/>
        <w:rPr>
          <w:rFonts w:ascii="Arial" w:hAnsi="Arial" w:cs="Arial"/>
          <w:b/>
          <w:bCs/>
          <w:sz w:val="24"/>
          <w:szCs w:val="24"/>
          <w:lang w:val="en-GB"/>
        </w:rPr>
      </w:pPr>
    </w:p>
    <w:p w14:paraId="2472374F" w14:textId="77777777" w:rsidR="0030569B" w:rsidRDefault="0030569B" w:rsidP="0030569B">
      <w:pPr>
        <w:spacing w:line="240" w:lineRule="auto"/>
        <w:jc w:val="both"/>
        <w:rPr>
          <w:rFonts w:ascii="Arial" w:hAnsi="Arial" w:cs="Arial"/>
          <w:b/>
          <w:bCs/>
          <w:sz w:val="24"/>
          <w:szCs w:val="24"/>
          <w:lang w:val="en-GB"/>
        </w:rPr>
      </w:pPr>
    </w:p>
    <w:p w14:paraId="6D8C58E6" w14:textId="77777777" w:rsidR="0002417F" w:rsidRDefault="0002417F" w:rsidP="0030569B">
      <w:pPr>
        <w:spacing w:line="240" w:lineRule="auto"/>
        <w:jc w:val="both"/>
        <w:rPr>
          <w:rFonts w:ascii="Arial" w:hAnsi="Arial" w:cs="Arial"/>
          <w:b/>
          <w:bCs/>
          <w:sz w:val="24"/>
          <w:szCs w:val="24"/>
          <w:lang w:val="en-GB"/>
        </w:rPr>
      </w:pPr>
    </w:p>
    <w:p w14:paraId="4EE4FB1A" w14:textId="77777777" w:rsidR="0002417F" w:rsidRDefault="0002417F" w:rsidP="0030569B">
      <w:pPr>
        <w:spacing w:line="240" w:lineRule="auto"/>
        <w:jc w:val="both"/>
        <w:rPr>
          <w:rFonts w:ascii="Arial" w:hAnsi="Arial" w:cs="Arial"/>
          <w:b/>
          <w:bCs/>
          <w:sz w:val="24"/>
          <w:szCs w:val="24"/>
          <w:lang w:val="en-GB"/>
        </w:rPr>
      </w:pPr>
    </w:p>
    <w:p w14:paraId="32E0FE33" w14:textId="77777777" w:rsidR="0002417F" w:rsidRDefault="0002417F" w:rsidP="0030569B">
      <w:pPr>
        <w:spacing w:line="240" w:lineRule="auto"/>
        <w:jc w:val="both"/>
        <w:rPr>
          <w:rFonts w:ascii="Arial" w:hAnsi="Arial" w:cs="Arial"/>
          <w:b/>
          <w:bCs/>
          <w:sz w:val="24"/>
          <w:szCs w:val="24"/>
          <w:lang w:val="en-GB"/>
        </w:rPr>
      </w:pPr>
    </w:p>
    <w:p w14:paraId="1120BCC1" w14:textId="77777777" w:rsidR="0030569B" w:rsidRDefault="0030569B" w:rsidP="0030569B">
      <w:pPr>
        <w:spacing w:line="240" w:lineRule="auto"/>
        <w:jc w:val="both"/>
        <w:rPr>
          <w:rFonts w:ascii="Arial" w:hAnsi="Arial" w:cs="Arial"/>
          <w:b/>
          <w:bCs/>
          <w:sz w:val="24"/>
          <w:szCs w:val="24"/>
          <w:lang w:val="en-GB"/>
        </w:rPr>
      </w:pPr>
    </w:p>
    <w:p w14:paraId="0AE8542D" w14:textId="77777777" w:rsidR="0030569B" w:rsidRDefault="0030569B" w:rsidP="0030569B">
      <w:pPr>
        <w:spacing w:line="240" w:lineRule="auto"/>
        <w:jc w:val="both"/>
        <w:rPr>
          <w:rFonts w:ascii="Arial" w:hAnsi="Arial" w:cs="Arial"/>
          <w:b/>
          <w:bCs/>
          <w:sz w:val="24"/>
          <w:szCs w:val="24"/>
          <w:lang w:val="en-GB"/>
        </w:rPr>
      </w:pPr>
    </w:p>
    <w:p w14:paraId="1428EB95" w14:textId="77777777" w:rsidR="0030569B" w:rsidRDefault="0030569B" w:rsidP="0030569B">
      <w:pPr>
        <w:spacing w:line="240" w:lineRule="auto"/>
        <w:jc w:val="both"/>
        <w:rPr>
          <w:rFonts w:ascii="Arial" w:hAnsi="Arial" w:cs="Arial"/>
          <w:b/>
          <w:bCs/>
          <w:sz w:val="24"/>
          <w:szCs w:val="24"/>
          <w:lang w:val="en-GB"/>
        </w:rPr>
      </w:pPr>
    </w:p>
    <w:p w14:paraId="07594790" w14:textId="77777777" w:rsidR="0030569B" w:rsidRDefault="0030569B" w:rsidP="0030569B">
      <w:pPr>
        <w:spacing w:line="240" w:lineRule="auto"/>
        <w:jc w:val="both"/>
        <w:rPr>
          <w:rFonts w:ascii="Arial" w:hAnsi="Arial" w:cs="Arial"/>
          <w:b/>
          <w:bCs/>
          <w:sz w:val="24"/>
          <w:szCs w:val="24"/>
          <w:lang w:val="en-GB"/>
        </w:rPr>
      </w:pPr>
    </w:p>
    <w:p w14:paraId="3D6701AB" w14:textId="77777777" w:rsidR="00D80791" w:rsidRDefault="00D80791" w:rsidP="0030569B">
      <w:pPr>
        <w:spacing w:line="240" w:lineRule="auto"/>
        <w:jc w:val="both"/>
        <w:rPr>
          <w:rFonts w:ascii="Arial" w:hAnsi="Arial" w:cs="Arial"/>
          <w:b/>
          <w:bCs/>
          <w:sz w:val="24"/>
          <w:szCs w:val="24"/>
          <w:lang w:val="en-GB"/>
        </w:rPr>
      </w:pPr>
    </w:p>
    <w:p w14:paraId="2E820FC2" w14:textId="77777777" w:rsidR="00D80791" w:rsidRDefault="00D80791" w:rsidP="0030569B">
      <w:pPr>
        <w:spacing w:line="240" w:lineRule="auto"/>
        <w:jc w:val="both"/>
        <w:rPr>
          <w:rFonts w:ascii="Arial" w:hAnsi="Arial" w:cs="Arial"/>
          <w:b/>
          <w:bCs/>
          <w:sz w:val="24"/>
          <w:szCs w:val="24"/>
          <w:lang w:val="en-GB"/>
        </w:rPr>
      </w:pPr>
    </w:p>
    <w:p w14:paraId="68340A25" w14:textId="77777777" w:rsidR="00D80791" w:rsidRDefault="00D80791" w:rsidP="0030569B">
      <w:pPr>
        <w:spacing w:line="240" w:lineRule="auto"/>
        <w:jc w:val="both"/>
        <w:rPr>
          <w:rFonts w:ascii="Arial" w:hAnsi="Arial" w:cs="Arial"/>
          <w:b/>
          <w:bCs/>
          <w:sz w:val="24"/>
          <w:szCs w:val="24"/>
          <w:lang w:val="en-GB"/>
        </w:rPr>
      </w:pPr>
    </w:p>
    <w:p w14:paraId="36367AD7" w14:textId="77777777" w:rsidR="0030569B" w:rsidRDefault="0030569B" w:rsidP="0030569B">
      <w:pPr>
        <w:spacing w:line="240" w:lineRule="auto"/>
        <w:jc w:val="both"/>
        <w:rPr>
          <w:rFonts w:ascii="Arial" w:hAnsi="Arial" w:cs="Arial"/>
          <w:b/>
          <w:bCs/>
          <w:sz w:val="24"/>
          <w:szCs w:val="24"/>
          <w:lang w:val="en-GB"/>
        </w:rPr>
      </w:pPr>
    </w:p>
    <w:p w14:paraId="007FE0B1" w14:textId="77777777" w:rsidR="00C8007A" w:rsidRDefault="00C8007A" w:rsidP="0030569B">
      <w:pPr>
        <w:spacing w:line="240" w:lineRule="auto"/>
        <w:jc w:val="both"/>
        <w:rPr>
          <w:rFonts w:ascii="Arial" w:hAnsi="Arial" w:cs="Arial"/>
          <w:b/>
          <w:bCs/>
          <w:sz w:val="24"/>
          <w:szCs w:val="24"/>
          <w:lang w:val="en-GB"/>
        </w:rPr>
      </w:pPr>
    </w:p>
    <w:p w14:paraId="02ACC65E" w14:textId="0C470650" w:rsidR="0030569B" w:rsidRPr="007E2557" w:rsidRDefault="0030569B" w:rsidP="0030569B">
      <w:pPr>
        <w:spacing w:line="240" w:lineRule="auto"/>
        <w:jc w:val="both"/>
        <w:rPr>
          <w:rFonts w:ascii="Arial" w:hAnsi="Arial" w:cs="Arial"/>
          <w:sz w:val="24"/>
          <w:szCs w:val="24"/>
          <w:lang w:val="en-GB"/>
        </w:rPr>
      </w:pPr>
      <w:r w:rsidRPr="007E2557">
        <w:rPr>
          <w:rFonts w:ascii="Arial" w:hAnsi="Arial" w:cs="Arial"/>
          <w:sz w:val="24"/>
          <w:szCs w:val="24"/>
          <w:lang w:val="en-GB"/>
        </w:rPr>
        <w:t>APPEARANCE</w:t>
      </w:r>
    </w:p>
    <w:p w14:paraId="2B179E0C" w14:textId="68A4E9D7" w:rsidR="0030569B" w:rsidRPr="007E2557" w:rsidRDefault="0030569B" w:rsidP="0062156C">
      <w:pPr>
        <w:spacing w:line="240" w:lineRule="auto"/>
        <w:ind w:left="2880" w:hanging="2880"/>
        <w:jc w:val="both"/>
        <w:rPr>
          <w:rFonts w:ascii="Arial" w:hAnsi="Arial" w:cs="Arial"/>
          <w:sz w:val="24"/>
          <w:szCs w:val="24"/>
          <w:lang w:val="en-GB"/>
        </w:rPr>
      </w:pPr>
      <w:r w:rsidRPr="007E2557">
        <w:rPr>
          <w:rFonts w:ascii="Arial" w:hAnsi="Arial" w:cs="Arial"/>
          <w:sz w:val="24"/>
          <w:szCs w:val="24"/>
          <w:lang w:val="en-GB"/>
        </w:rPr>
        <w:t>For the applicant:</w:t>
      </w:r>
      <w:r w:rsidRPr="007E2557">
        <w:rPr>
          <w:rFonts w:ascii="Arial" w:hAnsi="Arial" w:cs="Arial"/>
          <w:sz w:val="24"/>
          <w:szCs w:val="24"/>
          <w:lang w:val="en-GB"/>
        </w:rPr>
        <w:tab/>
      </w:r>
      <w:r w:rsidR="0062156C" w:rsidRPr="007E2557">
        <w:rPr>
          <w:rFonts w:ascii="Arial" w:hAnsi="Arial" w:cs="Arial"/>
          <w:sz w:val="24"/>
          <w:szCs w:val="24"/>
          <w:lang w:val="en-GB"/>
        </w:rPr>
        <w:t xml:space="preserve">Adv De la Harpe SC, instructed by De Jager Lordan Inc., Makhanda. </w:t>
      </w:r>
    </w:p>
    <w:p w14:paraId="6F5EE800" w14:textId="047B4993" w:rsidR="0062156C" w:rsidRPr="007E2557" w:rsidRDefault="0062156C" w:rsidP="0062156C">
      <w:pPr>
        <w:spacing w:line="240" w:lineRule="auto"/>
        <w:ind w:left="2880" w:hanging="2880"/>
        <w:jc w:val="both"/>
        <w:rPr>
          <w:rFonts w:ascii="Arial" w:hAnsi="Arial" w:cs="Arial"/>
          <w:sz w:val="24"/>
          <w:szCs w:val="24"/>
          <w:lang w:val="en-GB"/>
        </w:rPr>
      </w:pPr>
      <w:r w:rsidRPr="007E2557">
        <w:rPr>
          <w:rFonts w:ascii="Arial" w:hAnsi="Arial" w:cs="Arial"/>
          <w:sz w:val="24"/>
          <w:szCs w:val="24"/>
          <w:lang w:val="en-GB"/>
        </w:rPr>
        <w:t xml:space="preserve">For the </w:t>
      </w:r>
      <w:r w:rsidR="00EE17B0" w:rsidRPr="007E2557">
        <w:rPr>
          <w:rFonts w:ascii="Arial" w:hAnsi="Arial" w:cs="Arial"/>
          <w:sz w:val="24"/>
          <w:szCs w:val="24"/>
          <w:lang w:val="en-GB"/>
        </w:rPr>
        <w:t>4</w:t>
      </w:r>
      <w:r w:rsidR="00EE17B0" w:rsidRPr="007E2557">
        <w:rPr>
          <w:rFonts w:ascii="Arial" w:hAnsi="Arial" w:cs="Arial"/>
          <w:sz w:val="24"/>
          <w:szCs w:val="24"/>
          <w:vertAlign w:val="superscript"/>
          <w:lang w:val="en-GB"/>
        </w:rPr>
        <w:t>th</w:t>
      </w:r>
      <w:r w:rsidR="00EE17B0" w:rsidRPr="007E2557">
        <w:rPr>
          <w:rFonts w:ascii="Arial" w:hAnsi="Arial" w:cs="Arial"/>
          <w:sz w:val="24"/>
          <w:szCs w:val="24"/>
          <w:lang w:val="en-GB"/>
        </w:rPr>
        <w:t xml:space="preserve"> respondent:</w:t>
      </w:r>
      <w:r w:rsidR="00EE17B0" w:rsidRPr="007E2557">
        <w:rPr>
          <w:rFonts w:ascii="Arial" w:hAnsi="Arial" w:cs="Arial"/>
          <w:sz w:val="24"/>
          <w:szCs w:val="24"/>
          <w:lang w:val="en-GB"/>
        </w:rPr>
        <w:tab/>
        <w:t xml:space="preserve">Adv Ford SC with Adv Sephton, instructed by Neville Borman </w:t>
      </w:r>
      <w:r w:rsidR="007E2557" w:rsidRPr="007E2557">
        <w:rPr>
          <w:rFonts w:ascii="Arial" w:hAnsi="Arial" w:cs="Arial"/>
          <w:sz w:val="24"/>
          <w:szCs w:val="24"/>
          <w:lang w:val="en-GB"/>
        </w:rPr>
        <w:t xml:space="preserve">&amp; Botha Attorneys, Makhanda. </w:t>
      </w:r>
    </w:p>
    <w:p w14:paraId="21C58DA2" w14:textId="77777777" w:rsidR="007E2557" w:rsidRPr="007E2557" w:rsidRDefault="007E2557" w:rsidP="0062156C">
      <w:pPr>
        <w:spacing w:line="240" w:lineRule="auto"/>
        <w:ind w:left="2880" w:hanging="2880"/>
        <w:jc w:val="both"/>
        <w:rPr>
          <w:rFonts w:ascii="Arial" w:hAnsi="Arial" w:cs="Arial"/>
          <w:sz w:val="24"/>
          <w:szCs w:val="24"/>
          <w:lang w:val="en-GB"/>
        </w:rPr>
      </w:pPr>
    </w:p>
    <w:p w14:paraId="0745D342" w14:textId="7D618779" w:rsidR="007E2557" w:rsidRPr="007E2557" w:rsidRDefault="007E2557" w:rsidP="0062156C">
      <w:pPr>
        <w:spacing w:line="240" w:lineRule="auto"/>
        <w:ind w:left="2880" w:hanging="2880"/>
        <w:jc w:val="both"/>
        <w:rPr>
          <w:rFonts w:ascii="Arial" w:hAnsi="Arial" w:cs="Arial"/>
          <w:sz w:val="24"/>
          <w:szCs w:val="24"/>
          <w:lang w:val="en-GB"/>
        </w:rPr>
      </w:pPr>
      <w:r w:rsidRPr="007E2557">
        <w:rPr>
          <w:rFonts w:ascii="Arial" w:hAnsi="Arial" w:cs="Arial"/>
          <w:sz w:val="24"/>
          <w:szCs w:val="24"/>
          <w:lang w:val="en-GB"/>
        </w:rPr>
        <w:t xml:space="preserve">Date of hearing: </w:t>
      </w:r>
      <w:r w:rsidRPr="007E2557">
        <w:rPr>
          <w:rFonts w:ascii="Arial" w:hAnsi="Arial" w:cs="Arial"/>
          <w:sz w:val="24"/>
          <w:szCs w:val="24"/>
          <w:lang w:val="en-GB"/>
        </w:rPr>
        <w:tab/>
        <w:t>17 August 2023.</w:t>
      </w:r>
    </w:p>
    <w:p w14:paraId="3CD7F03B" w14:textId="17C2F810" w:rsidR="007E2557" w:rsidRPr="007E2557" w:rsidRDefault="007E2557" w:rsidP="0062156C">
      <w:pPr>
        <w:spacing w:line="240" w:lineRule="auto"/>
        <w:ind w:left="2880" w:hanging="2880"/>
        <w:jc w:val="both"/>
        <w:rPr>
          <w:rFonts w:ascii="Arial" w:hAnsi="Arial" w:cs="Arial"/>
          <w:sz w:val="24"/>
          <w:szCs w:val="24"/>
          <w:lang w:val="en-GB"/>
        </w:rPr>
      </w:pPr>
      <w:r w:rsidRPr="007E2557">
        <w:rPr>
          <w:rFonts w:ascii="Arial" w:hAnsi="Arial" w:cs="Arial"/>
          <w:sz w:val="24"/>
          <w:szCs w:val="24"/>
          <w:lang w:val="en-GB"/>
        </w:rPr>
        <w:t>Date of judgment:</w:t>
      </w:r>
      <w:r w:rsidRPr="007E2557">
        <w:rPr>
          <w:rFonts w:ascii="Arial" w:hAnsi="Arial" w:cs="Arial"/>
          <w:sz w:val="24"/>
          <w:szCs w:val="24"/>
          <w:lang w:val="en-GB"/>
        </w:rPr>
        <w:tab/>
        <w:t>21 November 2023.</w:t>
      </w:r>
    </w:p>
    <w:sectPr w:rsidR="007E2557" w:rsidRPr="007E2557" w:rsidSect="00A763A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3BB2" w14:textId="77777777" w:rsidR="00A658DA" w:rsidRDefault="00A658DA" w:rsidP="00FB4F6B">
      <w:pPr>
        <w:spacing w:after="0" w:line="240" w:lineRule="auto"/>
      </w:pPr>
      <w:r>
        <w:separator/>
      </w:r>
    </w:p>
  </w:endnote>
  <w:endnote w:type="continuationSeparator" w:id="0">
    <w:p w14:paraId="2FE3BED1" w14:textId="77777777" w:rsidR="00A658DA" w:rsidRDefault="00A658DA" w:rsidP="00FB4F6B">
      <w:pPr>
        <w:spacing w:after="0" w:line="240" w:lineRule="auto"/>
      </w:pPr>
      <w:r>
        <w:continuationSeparator/>
      </w:r>
    </w:p>
  </w:endnote>
  <w:endnote w:type="continuationNotice" w:id="1">
    <w:p w14:paraId="03CB6AA0" w14:textId="77777777" w:rsidR="00A658DA" w:rsidRDefault="00A6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CA3F" w14:textId="77777777" w:rsidR="00A658DA" w:rsidRDefault="00A658DA" w:rsidP="00FB4F6B">
      <w:pPr>
        <w:spacing w:after="0" w:line="240" w:lineRule="auto"/>
      </w:pPr>
      <w:r>
        <w:separator/>
      </w:r>
    </w:p>
  </w:footnote>
  <w:footnote w:type="continuationSeparator" w:id="0">
    <w:p w14:paraId="0510941B" w14:textId="77777777" w:rsidR="00A658DA" w:rsidRDefault="00A658DA" w:rsidP="00FB4F6B">
      <w:pPr>
        <w:spacing w:after="0" w:line="240" w:lineRule="auto"/>
      </w:pPr>
      <w:r>
        <w:continuationSeparator/>
      </w:r>
    </w:p>
  </w:footnote>
  <w:footnote w:type="continuationNotice" w:id="1">
    <w:p w14:paraId="0E7668B7" w14:textId="77777777" w:rsidR="00A658DA" w:rsidRDefault="00A658DA">
      <w:pPr>
        <w:spacing w:after="0" w:line="240" w:lineRule="auto"/>
      </w:pPr>
    </w:p>
  </w:footnote>
  <w:footnote w:id="2">
    <w:p w14:paraId="54DA637B" w14:textId="2A92E73E" w:rsidR="00102BE3" w:rsidRPr="00102BE3" w:rsidRDefault="00102BE3" w:rsidP="00537568">
      <w:pPr>
        <w:pStyle w:val="FootnoteText"/>
        <w:jc w:val="both"/>
        <w:rPr>
          <w:lang w:val="en-US"/>
        </w:rPr>
      </w:pPr>
      <w:r>
        <w:rPr>
          <w:rStyle w:val="FootnoteReference"/>
        </w:rPr>
        <w:footnoteRef/>
      </w:r>
      <w:r>
        <w:t xml:space="preserve"> </w:t>
      </w:r>
      <w:r w:rsidR="00A81F63">
        <w:rPr>
          <w:lang w:val="en-US"/>
        </w:rPr>
        <w:t xml:space="preserve">In terms of </w:t>
      </w:r>
      <w:r>
        <w:rPr>
          <w:lang w:val="en-US"/>
        </w:rPr>
        <w:t xml:space="preserve">section </w:t>
      </w:r>
      <w:r w:rsidR="00EF1F08">
        <w:rPr>
          <w:lang w:val="en-US"/>
        </w:rPr>
        <w:t>7(1)</w:t>
      </w:r>
      <w:r w:rsidR="00C535C9">
        <w:rPr>
          <w:lang w:val="en-US"/>
        </w:rPr>
        <w:t xml:space="preserve"> of PAJA, any proceedings for judicial review must be </w:t>
      </w:r>
      <w:r w:rsidR="00125D87">
        <w:rPr>
          <w:lang w:val="en-US"/>
        </w:rPr>
        <w:t>instituted without unreasonable delay and not later than 180 days after the date</w:t>
      </w:r>
      <w:r w:rsidR="007B0297">
        <w:rPr>
          <w:lang w:val="en-US"/>
        </w:rPr>
        <w:t xml:space="preserve"> on which, </w:t>
      </w:r>
      <w:r w:rsidR="007B0297" w:rsidRPr="00711A0E">
        <w:rPr>
          <w:i/>
          <w:iCs/>
          <w:lang w:val="en-US"/>
        </w:rPr>
        <w:t>inter alia</w:t>
      </w:r>
      <w:r w:rsidR="007B0297">
        <w:rPr>
          <w:lang w:val="en-US"/>
        </w:rPr>
        <w:t xml:space="preserve">, the </w:t>
      </w:r>
      <w:r w:rsidR="0081583D">
        <w:rPr>
          <w:lang w:val="en-US"/>
        </w:rPr>
        <w:t xml:space="preserve">person concerned became aware of the administrative action and the reasons for it. </w:t>
      </w:r>
      <w:r w:rsidR="00197F2D">
        <w:rPr>
          <w:lang w:val="en-US"/>
        </w:rPr>
        <w:t xml:space="preserve">The period </w:t>
      </w:r>
      <w:r w:rsidR="00295A1F">
        <w:rPr>
          <w:lang w:val="en-US"/>
        </w:rPr>
        <w:t>of 180 days may be extended for a fixed period</w:t>
      </w:r>
      <w:r w:rsidR="008D0E7E">
        <w:rPr>
          <w:lang w:val="en-US"/>
        </w:rPr>
        <w:t>, under section 9(1)(b)</w:t>
      </w:r>
      <w:r w:rsidR="004530C1">
        <w:rPr>
          <w:lang w:val="en-US"/>
        </w:rPr>
        <w:t>,</w:t>
      </w:r>
      <w:r w:rsidR="00295A1F">
        <w:rPr>
          <w:lang w:val="en-US"/>
        </w:rPr>
        <w:t xml:space="preserve"> by agreement or on application by the person concerned.</w:t>
      </w:r>
      <w:r w:rsidR="00EF1F08">
        <w:rPr>
          <w:lang w:val="en-US"/>
        </w:rPr>
        <w:t xml:space="preserve"> </w:t>
      </w:r>
    </w:p>
  </w:footnote>
  <w:footnote w:id="3">
    <w:p w14:paraId="4E698C5F" w14:textId="472FA4DC" w:rsidR="00072EB0" w:rsidRPr="00072EB0" w:rsidRDefault="00072EB0" w:rsidP="00537568">
      <w:pPr>
        <w:pStyle w:val="FootnoteText"/>
        <w:jc w:val="both"/>
        <w:rPr>
          <w:lang w:val="en-US"/>
        </w:rPr>
      </w:pPr>
      <w:r>
        <w:rPr>
          <w:rStyle w:val="FootnoteReference"/>
        </w:rPr>
        <w:footnoteRef/>
      </w:r>
      <w:r>
        <w:t xml:space="preserve"> </w:t>
      </w:r>
      <w:r>
        <w:rPr>
          <w:lang w:val="en-US"/>
        </w:rPr>
        <w:t>Section 33(1), read with sub-section (3), of the Constitution of the Republic of South Africa</w:t>
      </w:r>
      <w:r w:rsidR="005A3386">
        <w:rPr>
          <w:lang w:val="en-US"/>
        </w:rPr>
        <w:t>, 1996.</w:t>
      </w:r>
    </w:p>
  </w:footnote>
  <w:footnote w:id="4">
    <w:p w14:paraId="34AEA730" w14:textId="18BDADA8" w:rsidR="009810CE" w:rsidRPr="009810CE" w:rsidRDefault="009810CE" w:rsidP="00537568">
      <w:pPr>
        <w:pStyle w:val="FootnoteText"/>
        <w:jc w:val="both"/>
        <w:rPr>
          <w:lang w:val="en-US"/>
        </w:rPr>
      </w:pPr>
      <w:r>
        <w:rPr>
          <w:rStyle w:val="FootnoteReference"/>
        </w:rPr>
        <w:footnoteRef/>
      </w:r>
      <w:r>
        <w:t xml:space="preserve"> </w:t>
      </w:r>
      <w:r>
        <w:rPr>
          <w:lang w:val="en-US"/>
        </w:rPr>
        <w:t>Section 8(1) of PAJA.</w:t>
      </w:r>
    </w:p>
  </w:footnote>
  <w:footnote w:id="5">
    <w:p w14:paraId="0AAECAD7" w14:textId="4B54DB1D" w:rsidR="00EC61AB" w:rsidRPr="00EC61AB" w:rsidRDefault="00EC61AB" w:rsidP="00537568">
      <w:pPr>
        <w:pStyle w:val="FootnoteText"/>
        <w:jc w:val="both"/>
        <w:rPr>
          <w:lang w:val="en-US"/>
        </w:rPr>
      </w:pPr>
      <w:r>
        <w:rPr>
          <w:rStyle w:val="FootnoteReference"/>
        </w:rPr>
        <w:footnoteRef/>
      </w:r>
      <w:r>
        <w:t xml:space="preserve"> </w:t>
      </w:r>
      <w:r>
        <w:rPr>
          <w:lang w:val="en-US"/>
        </w:rPr>
        <w:t xml:space="preserve">1969 (3) </w:t>
      </w:r>
      <w:r w:rsidR="00536BFB">
        <w:rPr>
          <w:lang w:val="en-US"/>
        </w:rPr>
        <w:t xml:space="preserve">SA </w:t>
      </w:r>
      <w:r>
        <w:rPr>
          <w:lang w:val="en-US"/>
        </w:rPr>
        <w:t>365</w:t>
      </w:r>
      <w:r w:rsidR="00536BFB">
        <w:rPr>
          <w:lang w:val="en-US"/>
        </w:rPr>
        <w:t xml:space="preserve"> (A).</w:t>
      </w:r>
    </w:p>
  </w:footnote>
  <w:footnote w:id="6">
    <w:p w14:paraId="1952743D" w14:textId="6DD28192" w:rsidR="002630DA" w:rsidRPr="002630DA" w:rsidRDefault="002630DA" w:rsidP="00537568">
      <w:pPr>
        <w:pStyle w:val="FootnoteText"/>
        <w:jc w:val="both"/>
        <w:rPr>
          <w:lang w:val="en-US"/>
        </w:rPr>
      </w:pPr>
      <w:r>
        <w:rPr>
          <w:rStyle w:val="FootnoteReference"/>
        </w:rPr>
        <w:footnoteRef/>
      </w:r>
      <w:r>
        <w:t xml:space="preserve"> </w:t>
      </w:r>
      <w:r>
        <w:rPr>
          <w:lang w:val="en-US"/>
        </w:rPr>
        <w:t>At 369A-C.</w:t>
      </w:r>
    </w:p>
  </w:footnote>
  <w:footnote w:id="7">
    <w:p w14:paraId="46425B1C" w14:textId="5FCEA0B1" w:rsidR="005829F4" w:rsidRPr="005829F4" w:rsidRDefault="005829F4" w:rsidP="00537568">
      <w:pPr>
        <w:pStyle w:val="FootnoteText"/>
        <w:jc w:val="both"/>
        <w:rPr>
          <w:lang w:val="en-US"/>
        </w:rPr>
      </w:pPr>
      <w:r>
        <w:rPr>
          <w:rStyle w:val="FootnoteReference"/>
        </w:rPr>
        <w:footnoteRef/>
      </w:r>
      <w:r>
        <w:t xml:space="preserve"> </w:t>
      </w:r>
      <w:r w:rsidR="00985272">
        <w:rPr>
          <w:lang w:val="en-US"/>
        </w:rPr>
        <w:t>1978 (1) SA 681 (A).</w:t>
      </w:r>
    </w:p>
  </w:footnote>
  <w:footnote w:id="8">
    <w:p w14:paraId="7DFBA112" w14:textId="43F95140" w:rsidR="00186E7B" w:rsidRPr="00186E7B" w:rsidRDefault="00186E7B" w:rsidP="00537568">
      <w:pPr>
        <w:pStyle w:val="FootnoteText"/>
        <w:jc w:val="both"/>
        <w:rPr>
          <w:lang w:val="en-US"/>
        </w:rPr>
      </w:pPr>
      <w:r>
        <w:rPr>
          <w:rStyle w:val="FootnoteReference"/>
        </w:rPr>
        <w:footnoteRef/>
      </w:r>
      <w:r>
        <w:t xml:space="preserve"> </w:t>
      </w:r>
      <w:r>
        <w:rPr>
          <w:lang w:val="en-US"/>
        </w:rPr>
        <w:t xml:space="preserve">At </w:t>
      </w:r>
      <w:r w:rsidR="00623168">
        <w:rPr>
          <w:lang w:val="en-US"/>
        </w:rPr>
        <w:t>685G.</w:t>
      </w:r>
    </w:p>
  </w:footnote>
  <w:footnote w:id="9">
    <w:p w14:paraId="01013136" w14:textId="1268DF8D" w:rsidR="00024F76" w:rsidRPr="00024F76" w:rsidRDefault="00024F76" w:rsidP="00537568">
      <w:pPr>
        <w:pStyle w:val="FootnoteText"/>
        <w:jc w:val="both"/>
        <w:rPr>
          <w:lang w:val="en-US"/>
        </w:rPr>
      </w:pPr>
      <w:r>
        <w:rPr>
          <w:rStyle w:val="FootnoteReference"/>
        </w:rPr>
        <w:footnoteRef/>
      </w:r>
      <w:r>
        <w:t xml:space="preserve"> </w:t>
      </w:r>
      <w:r w:rsidR="00E45DD1">
        <w:t xml:space="preserve">See </w:t>
      </w:r>
      <w:r w:rsidR="00E45DD1" w:rsidRPr="00DD1F39">
        <w:rPr>
          <w:i/>
          <w:iCs/>
          <w:lang w:val="en-US"/>
        </w:rPr>
        <w:t>Smith NO</w:t>
      </w:r>
      <w:r w:rsidR="00C123BD" w:rsidRPr="00DD1F39">
        <w:rPr>
          <w:i/>
          <w:iCs/>
          <w:lang w:val="en-US"/>
        </w:rPr>
        <w:t xml:space="preserve"> v Brummer NO</w:t>
      </w:r>
      <w:r w:rsidR="00C123BD">
        <w:rPr>
          <w:lang w:val="en-US"/>
        </w:rPr>
        <w:t xml:space="preserve"> 1954 (3) SA </w:t>
      </w:r>
      <w:r w:rsidR="00DF7DEB">
        <w:rPr>
          <w:lang w:val="en-US"/>
        </w:rPr>
        <w:t xml:space="preserve">352 (O), at 358A; </w:t>
      </w:r>
      <w:r w:rsidR="00DF7DEB" w:rsidRPr="00DD1F39">
        <w:rPr>
          <w:i/>
          <w:iCs/>
          <w:lang w:val="en-US"/>
        </w:rPr>
        <w:t>Du Plooy v Anwes Motors</w:t>
      </w:r>
      <w:r w:rsidR="00C25EEE" w:rsidRPr="00DD1F39">
        <w:rPr>
          <w:i/>
          <w:iCs/>
          <w:lang w:val="en-US"/>
        </w:rPr>
        <w:t xml:space="preserve"> (Edms) Bpk</w:t>
      </w:r>
      <w:r w:rsidR="00C25EEE">
        <w:rPr>
          <w:lang w:val="en-US"/>
        </w:rPr>
        <w:t xml:space="preserve"> 1983 (4) SA 212 (O), at 216H</w:t>
      </w:r>
      <w:r w:rsidR="00DD1F39">
        <w:rPr>
          <w:lang w:val="en-US"/>
        </w:rPr>
        <w:t>- 217A.</w:t>
      </w:r>
    </w:p>
  </w:footnote>
  <w:footnote w:id="10">
    <w:p w14:paraId="0280E079" w14:textId="6E1CBE8E" w:rsidR="00C13F5C" w:rsidRPr="00C13F5C" w:rsidRDefault="00C13F5C" w:rsidP="00537568">
      <w:pPr>
        <w:pStyle w:val="FootnoteText"/>
        <w:jc w:val="both"/>
        <w:rPr>
          <w:lang w:val="en-US"/>
        </w:rPr>
      </w:pPr>
      <w:r>
        <w:rPr>
          <w:rStyle w:val="FootnoteReference"/>
        </w:rPr>
        <w:footnoteRef/>
      </w:r>
      <w:r>
        <w:t xml:space="preserve"> </w:t>
      </w:r>
      <w:r>
        <w:rPr>
          <w:lang w:val="en-US"/>
        </w:rPr>
        <w:t xml:space="preserve">DE van Loggerenberg, </w:t>
      </w:r>
      <w:r w:rsidRPr="00D27262">
        <w:rPr>
          <w:i/>
          <w:iCs/>
          <w:lang w:val="en-US"/>
        </w:rPr>
        <w:t>Erasmus: Superior Court Practice</w:t>
      </w:r>
      <w:r w:rsidR="00E613E3">
        <w:rPr>
          <w:lang w:val="en-US"/>
        </w:rPr>
        <w:t xml:space="preserve"> (Jutastat e-publications</w:t>
      </w:r>
      <w:r w:rsidR="00D27262">
        <w:rPr>
          <w:lang w:val="en-US"/>
        </w:rPr>
        <w:t>, RS 20, 2022)</w:t>
      </w:r>
      <w:r w:rsidR="00A309BF">
        <w:rPr>
          <w:lang w:val="en-US"/>
        </w:rPr>
        <w:t>.</w:t>
      </w:r>
    </w:p>
  </w:footnote>
  <w:footnote w:id="11">
    <w:p w14:paraId="327FEF3D" w14:textId="16C1AEB0" w:rsidR="00884CFF" w:rsidRPr="00884CFF" w:rsidRDefault="00884CFF" w:rsidP="00537568">
      <w:pPr>
        <w:pStyle w:val="FootnoteText"/>
        <w:jc w:val="both"/>
        <w:rPr>
          <w:lang w:val="en-US"/>
        </w:rPr>
      </w:pPr>
      <w:r>
        <w:rPr>
          <w:rStyle w:val="FootnoteReference"/>
        </w:rPr>
        <w:footnoteRef/>
      </w:r>
      <w:r>
        <w:t xml:space="preserve"> </w:t>
      </w:r>
      <w:r>
        <w:rPr>
          <w:lang w:val="en-US"/>
        </w:rPr>
        <w:t xml:space="preserve">At </w:t>
      </w:r>
      <w:r w:rsidR="00EB62B0">
        <w:rPr>
          <w:lang w:val="en-US"/>
        </w:rPr>
        <w:t>D1-323-</w:t>
      </w:r>
      <w:r w:rsidR="003A1532">
        <w:rPr>
          <w:lang w:val="en-US"/>
        </w:rPr>
        <w:t>5</w:t>
      </w:r>
      <w:r w:rsidR="00EB62B0">
        <w:rPr>
          <w:lang w:val="en-US"/>
        </w:rPr>
        <w:t>.</w:t>
      </w:r>
    </w:p>
  </w:footnote>
  <w:footnote w:id="12">
    <w:p w14:paraId="0DE381C9" w14:textId="2DA7C1B5" w:rsidR="003A1532" w:rsidRPr="003A1532" w:rsidRDefault="003A1532" w:rsidP="00537568">
      <w:pPr>
        <w:pStyle w:val="FootnoteText"/>
        <w:jc w:val="both"/>
        <w:rPr>
          <w:lang w:val="en-US"/>
        </w:rPr>
      </w:pPr>
      <w:r>
        <w:rPr>
          <w:rStyle w:val="FootnoteReference"/>
        </w:rPr>
        <w:footnoteRef/>
      </w:r>
      <w:r>
        <w:t xml:space="preserve"> </w:t>
      </w:r>
      <w:r>
        <w:rPr>
          <w:lang w:val="en-US"/>
        </w:rPr>
        <w:t>Ibid.</w:t>
      </w:r>
    </w:p>
  </w:footnote>
  <w:footnote w:id="13">
    <w:p w14:paraId="0E80947C" w14:textId="6595A79C" w:rsidR="009C2ECA" w:rsidRPr="009C2ECA" w:rsidRDefault="009C2ECA" w:rsidP="00537568">
      <w:pPr>
        <w:pStyle w:val="FootnoteText"/>
        <w:jc w:val="both"/>
        <w:rPr>
          <w:lang w:val="en-US"/>
        </w:rPr>
      </w:pPr>
      <w:r>
        <w:rPr>
          <w:rStyle w:val="FootnoteReference"/>
        </w:rPr>
        <w:footnoteRef/>
      </w:r>
      <w:r>
        <w:t xml:space="preserve"> </w:t>
      </w:r>
      <w:r w:rsidR="0032713E">
        <w:rPr>
          <w:lang w:val="en-US"/>
        </w:rPr>
        <w:t xml:space="preserve">The parties </w:t>
      </w:r>
      <w:r w:rsidR="009D50D4">
        <w:rPr>
          <w:lang w:val="en-US"/>
        </w:rPr>
        <w:t xml:space="preserve">allegedly comprised </w:t>
      </w:r>
      <w:r w:rsidR="0032713E">
        <w:rPr>
          <w:lang w:val="en-US"/>
        </w:rPr>
        <w:t xml:space="preserve">the appeal authority, the tribunal, and the municipality. Mr Coetzee did not approach the fourth respondent, </w:t>
      </w:r>
      <w:r w:rsidR="00D05582">
        <w:rPr>
          <w:lang w:val="en-US"/>
        </w:rPr>
        <w:t xml:space="preserve">with implications that </w:t>
      </w:r>
      <w:r w:rsidR="0032713E">
        <w:rPr>
          <w:lang w:val="en-US"/>
        </w:rPr>
        <w:t xml:space="preserve">will be </w:t>
      </w:r>
      <w:r w:rsidR="009D50D4">
        <w:rPr>
          <w:lang w:val="en-US"/>
        </w:rPr>
        <w:t xml:space="preserve">discussed </w:t>
      </w:r>
      <w:r w:rsidR="00537C37">
        <w:rPr>
          <w:lang w:val="en-US"/>
        </w:rPr>
        <w:t>lat</w:t>
      </w:r>
      <w:r w:rsidR="009D50D4">
        <w:rPr>
          <w:lang w:val="en-US"/>
        </w:rPr>
        <w:t>er.</w:t>
      </w:r>
    </w:p>
  </w:footnote>
  <w:footnote w:id="14">
    <w:p w14:paraId="0483B927" w14:textId="29F34E0A" w:rsidR="0006013B" w:rsidRPr="0006013B" w:rsidRDefault="0006013B" w:rsidP="00537568">
      <w:pPr>
        <w:pStyle w:val="FootnoteText"/>
        <w:jc w:val="both"/>
        <w:rPr>
          <w:lang w:val="en-US"/>
        </w:rPr>
      </w:pPr>
      <w:r>
        <w:rPr>
          <w:rStyle w:val="FootnoteReference"/>
        </w:rPr>
        <w:footnoteRef/>
      </w:r>
      <w:r>
        <w:t xml:space="preserve"> </w:t>
      </w:r>
      <w:r>
        <w:rPr>
          <w:lang w:val="en-US"/>
        </w:rPr>
        <w:t>2018 (5) SA 540 (KZP).</w:t>
      </w:r>
    </w:p>
  </w:footnote>
  <w:footnote w:id="15">
    <w:p w14:paraId="253A3A2B" w14:textId="2015AFDA" w:rsidR="00242B04" w:rsidRPr="00242B04" w:rsidRDefault="00242B04" w:rsidP="00537568">
      <w:pPr>
        <w:pStyle w:val="FootnoteText"/>
        <w:jc w:val="both"/>
        <w:rPr>
          <w:lang w:val="en-US"/>
        </w:rPr>
      </w:pPr>
      <w:r>
        <w:rPr>
          <w:rStyle w:val="FootnoteReference"/>
        </w:rPr>
        <w:footnoteRef/>
      </w:r>
      <w:r>
        <w:t xml:space="preserve"> </w:t>
      </w:r>
      <w:r w:rsidR="00EA74B0" w:rsidRPr="00D72E53">
        <w:rPr>
          <w:i/>
          <w:iCs/>
          <w:lang w:val="en-US"/>
        </w:rPr>
        <w:t xml:space="preserve">Finishing Touch 163 (Pty) Ltd v </w:t>
      </w:r>
      <w:r w:rsidR="00764A79" w:rsidRPr="00D72E53">
        <w:rPr>
          <w:i/>
          <w:iCs/>
          <w:lang w:val="en-US"/>
        </w:rPr>
        <w:t>BHP Billiton Energy Coal South Africa Ltd and others</w:t>
      </w:r>
      <w:r w:rsidR="00D72E53">
        <w:rPr>
          <w:lang w:val="en-US"/>
        </w:rPr>
        <w:t xml:space="preserve"> 2013 (2) SA 204 (SCA).</w:t>
      </w:r>
    </w:p>
  </w:footnote>
  <w:footnote w:id="16">
    <w:p w14:paraId="08EFC5B0" w14:textId="5E4C0F64" w:rsidR="00DE6FEB" w:rsidRPr="00DE6FEB" w:rsidRDefault="00DE6FEB" w:rsidP="003C5F04">
      <w:pPr>
        <w:pStyle w:val="FootnoteText"/>
        <w:jc w:val="both"/>
        <w:rPr>
          <w:lang w:val="en-US"/>
        </w:rPr>
      </w:pPr>
      <w:r>
        <w:rPr>
          <w:rStyle w:val="FootnoteReference"/>
        </w:rPr>
        <w:footnoteRef/>
      </w:r>
      <w:r>
        <w:t xml:space="preserve"> </w:t>
      </w:r>
      <w:r w:rsidRPr="00DE6FEB">
        <w:rPr>
          <w:i/>
          <w:iCs/>
          <w:lang w:val="en-US"/>
        </w:rPr>
        <w:t>ABM Motors</w:t>
      </w:r>
      <w:r>
        <w:rPr>
          <w:lang w:val="en-US"/>
        </w:rPr>
        <w:t xml:space="preserve">, </w:t>
      </w:r>
      <w:r w:rsidR="00DA3FCB" w:rsidRPr="00DA3FCB">
        <w:rPr>
          <w:i/>
          <w:iCs/>
          <w:lang w:val="en-US"/>
        </w:rPr>
        <w:t>supra</w:t>
      </w:r>
      <w:r w:rsidR="00DA3FCB">
        <w:rPr>
          <w:lang w:val="en-US"/>
        </w:rPr>
        <w:t xml:space="preserve">, </w:t>
      </w:r>
      <w:r>
        <w:rPr>
          <w:lang w:val="en-US"/>
        </w:rPr>
        <w:t>at paragraph [18].</w:t>
      </w:r>
    </w:p>
  </w:footnote>
  <w:footnote w:id="17">
    <w:p w14:paraId="1A443259" w14:textId="1791A0E6" w:rsidR="00CA628C" w:rsidRPr="00CA628C" w:rsidRDefault="00CA628C" w:rsidP="003C5F04">
      <w:pPr>
        <w:pStyle w:val="FootnoteText"/>
        <w:jc w:val="both"/>
        <w:rPr>
          <w:lang w:val="en-US"/>
        </w:rPr>
      </w:pPr>
      <w:r>
        <w:rPr>
          <w:rStyle w:val="FootnoteReference"/>
        </w:rPr>
        <w:footnoteRef/>
      </w:r>
      <w:r>
        <w:t xml:space="preserve"> </w:t>
      </w:r>
      <w:r>
        <w:rPr>
          <w:lang w:val="en-US"/>
        </w:rPr>
        <w:t>2022 JDR 0978 (SCA).</w:t>
      </w:r>
    </w:p>
  </w:footnote>
  <w:footnote w:id="18">
    <w:p w14:paraId="7175544D" w14:textId="5C8C1529" w:rsidR="007B61A7" w:rsidRPr="007B61A7" w:rsidRDefault="007B61A7" w:rsidP="003C5F04">
      <w:pPr>
        <w:pStyle w:val="FootnoteText"/>
        <w:jc w:val="both"/>
        <w:rPr>
          <w:lang w:val="en-US"/>
        </w:rPr>
      </w:pPr>
      <w:r>
        <w:rPr>
          <w:rStyle w:val="FootnoteReference"/>
        </w:rPr>
        <w:footnoteRef/>
      </w:r>
      <w:r>
        <w:t xml:space="preserve"> </w:t>
      </w:r>
      <w:r w:rsidR="00292AC0" w:rsidRPr="00B71710">
        <w:rPr>
          <w:i/>
          <w:iCs/>
          <w:lang w:val="en-US"/>
        </w:rPr>
        <w:t>Henri Viljoen (Pty) Ltd v Awerbuch Bros</w:t>
      </w:r>
      <w:r w:rsidR="00292AC0">
        <w:rPr>
          <w:lang w:val="en-US"/>
        </w:rPr>
        <w:t xml:space="preserve"> </w:t>
      </w:r>
      <w:r w:rsidR="00142030">
        <w:rPr>
          <w:lang w:val="en-US"/>
        </w:rPr>
        <w:t xml:space="preserve">1953 (2) SA 151 (O), at 168-70. See, too, the discussion in DE van Loggerenberg, </w:t>
      </w:r>
      <w:r w:rsidR="00560CA8" w:rsidRPr="00523A31">
        <w:rPr>
          <w:i/>
          <w:iCs/>
          <w:lang w:val="en-US"/>
        </w:rPr>
        <w:t>supra</w:t>
      </w:r>
      <w:r w:rsidR="00560CA8">
        <w:rPr>
          <w:lang w:val="en-US"/>
        </w:rPr>
        <w:t xml:space="preserve">, at </w:t>
      </w:r>
      <w:r w:rsidR="00523A31">
        <w:rPr>
          <w:lang w:val="en-US"/>
        </w:rPr>
        <w:t>D1-124-5.</w:t>
      </w:r>
    </w:p>
  </w:footnote>
  <w:footnote w:id="19">
    <w:p w14:paraId="0BBB0034" w14:textId="0A688E20" w:rsidR="00486049" w:rsidRPr="00486049" w:rsidRDefault="00486049" w:rsidP="0030569B">
      <w:pPr>
        <w:pStyle w:val="FootnoteText"/>
        <w:jc w:val="both"/>
        <w:rPr>
          <w:lang w:val="en-US"/>
        </w:rPr>
      </w:pPr>
      <w:r>
        <w:rPr>
          <w:rStyle w:val="FootnoteReference"/>
        </w:rPr>
        <w:footnoteRef/>
      </w:r>
      <w:r>
        <w:t xml:space="preserve"> </w:t>
      </w:r>
      <w:r>
        <w:rPr>
          <w:lang w:val="en-US"/>
        </w:rPr>
        <w:t>2014 (4) SA 148 (ECP).</w:t>
      </w:r>
    </w:p>
  </w:footnote>
  <w:footnote w:id="20">
    <w:p w14:paraId="235C5D8C" w14:textId="676815CB" w:rsidR="00D61888" w:rsidRPr="00D61888" w:rsidRDefault="00D61888" w:rsidP="0030569B">
      <w:pPr>
        <w:pStyle w:val="FootnoteText"/>
        <w:jc w:val="both"/>
        <w:rPr>
          <w:lang w:val="en-US"/>
        </w:rPr>
      </w:pPr>
      <w:r>
        <w:rPr>
          <w:rStyle w:val="FootnoteReference"/>
        </w:rPr>
        <w:footnoteRef/>
      </w:r>
      <w:r>
        <w:t xml:space="preserve"> </w:t>
      </w:r>
      <w:r w:rsidRPr="004613DF">
        <w:rPr>
          <w:i/>
          <w:iCs/>
          <w:lang w:val="en-US"/>
        </w:rPr>
        <w:t xml:space="preserve">Telkom SA Ltd </w:t>
      </w:r>
      <w:r w:rsidR="0046687A" w:rsidRPr="004613DF">
        <w:rPr>
          <w:i/>
          <w:iCs/>
          <w:lang w:val="en-US"/>
        </w:rPr>
        <w:t xml:space="preserve">v Merid Training (Pty) Ltd and others; Bihati Solutions (Pty) Ltd </w:t>
      </w:r>
      <w:r w:rsidR="005219EC" w:rsidRPr="004613DF">
        <w:rPr>
          <w:i/>
          <w:iCs/>
          <w:lang w:val="en-US"/>
        </w:rPr>
        <w:t>v Telkom SA Ltd</w:t>
      </w:r>
      <w:r w:rsidR="005219EC">
        <w:rPr>
          <w:lang w:val="en-US"/>
        </w:rPr>
        <w:t xml:space="preserve"> </w:t>
      </w:r>
      <w:r w:rsidR="004613DF">
        <w:rPr>
          <w:lang w:val="en-US"/>
        </w:rPr>
        <w:t>[2011] ZAGPPHC 1.</w:t>
      </w:r>
    </w:p>
  </w:footnote>
  <w:footnote w:id="21">
    <w:p w14:paraId="6E217747" w14:textId="22DCE7BC" w:rsidR="00DE3B1E" w:rsidRPr="00DE3B1E" w:rsidRDefault="00DE3B1E" w:rsidP="0030569B">
      <w:pPr>
        <w:pStyle w:val="FootnoteText"/>
        <w:jc w:val="both"/>
        <w:rPr>
          <w:lang w:val="en-US"/>
        </w:rPr>
      </w:pPr>
      <w:r>
        <w:rPr>
          <w:rStyle w:val="FootnoteReference"/>
        </w:rPr>
        <w:footnoteRef/>
      </w:r>
      <w:r>
        <w:t xml:space="preserve"> </w:t>
      </w:r>
      <w:r w:rsidRPr="003D6962">
        <w:rPr>
          <w:i/>
          <w:iCs/>
          <w:lang w:val="en-US"/>
        </w:rPr>
        <w:t xml:space="preserve">Joubert Galpin </w:t>
      </w:r>
      <w:r w:rsidR="003D6962" w:rsidRPr="003D6962">
        <w:rPr>
          <w:i/>
          <w:iCs/>
          <w:lang w:val="en-US"/>
        </w:rPr>
        <w:t>Searle Inc</w:t>
      </w:r>
      <w:r w:rsidR="003D6962">
        <w:rPr>
          <w:lang w:val="en-US"/>
        </w:rPr>
        <w:t>, at paragraphs [72] and [74].</w:t>
      </w:r>
    </w:p>
  </w:footnote>
  <w:footnote w:id="22">
    <w:p w14:paraId="2205B827" w14:textId="223A02D2" w:rsidR="00A82B77" w:rsidRPr="00A82B77" w:rsidRDefault="00A82B77" w:rsidP="0030569B">
      <w:pPr>
        <w:pStyle w:val="FootnoteText"/>
        <w:jc w:val="both"/>
        <w:rPr>
          <w:lang w:val="en-US"/>
        </w:rPr>
      </w:pPr>
      <w:r>
        <w:rPr>
          <w:rStyle w:val="FootnoteReference"/>
        </w:rPr>
        <w:footnoteRef/>
      </w:r>
      <w:r>
        <w:t xml:space="preserve"> </w:t>
      </w:r>
      <w:r>
        <w:rPr>
          <w:lang w:val="en-US"/>
        </w:rPr>
        <w:t>[2004] 4 All SA 133 (SCA).</w:t>
      </w:r>
    </w:p>
  </w:footnote>
  <w:footnote w:id="23">
    <w:p w14:paraId="47337EDB" w14:textId="6CB5073B" w:rsidR="00A06170" w:rsidRPr="00A06170" w:rsidRDefault="00A06170" w:rsidP="0030569B">
      <w:pPr>
        <w:pStyle w:val="FootnoteText"/>
        <w:jc w:val="both"/>
        <w:rPr>
          <w:lang w:val="en-US"/>
        </w:rPr>
      </w:pPr>
      <w:r>
        <w:rPr>
          <w:rStyle w:val="FootnoteReference"/>
        </w:rPr>
        <w:footnoteRef/>
      </w:r>
      <w:r>
        <w:t xml:space="preserve"> </w:t>
      </w:r>
      <w:r w:rsidRPr="00146C8B">
        <w:rPr>
          <w:i/>
          <w:iCs/>
          <w:lang w:val="en-US"/>
        </w:rPr>
        <w:t xml:space="preserve">Wolgroeiers Afslaers (Edms) Bpk v </w:t>
      </w:r>
      <w:r w:rsidR="00D63E78" w:rsidRPr="00146C8B">
        <w:rPr>
          <w:i/>
          <w:iCs/>
          <w:lang w:val="en-US"/>
        </w:rPr>
        <w:t>Munisipaliteit van Kaapstad</w:t>
      </w:r>
      <w:r w:rsidR="00D63E78">
        <w:rPr>
          <w:lang w:val="en-US"/>
        </w:rPr>
        <w:t xml:space="preserve"> 1978 (1) SA 13 (A)</w:t>
      </w:r>
    </w:p>
  </w:footnote>
  <w:footnote w:id="24">
    <w:p w14:paraId="246CF98F" w14:textId="06F8AF9B" w:rsidR="00D726E8" w:rsidRPr="00D726E8" w:rsidRDefault="00D726E8" w:rsidP="0030569B">
      <w:pPr>
        <w:pStyle w:val="FootnoteText"/>
        <w:jc w:val="both"/>
        <w:rPr>
          <w:lang w:val="en-US"/>
        </w:rPr>
      </w:pPr>
      <w:r>
        <w:rPr>
          <w:rStyle w:val="FootnoteReference"/>
        </w:rPr>
        <w:footnoteRef/>
      </w:r>
      <w:r>
        <w:t xml:space="preserve"> </w:t>
      </w:r>
      <w:r w:rsidR="00146C8B">
        <w:rPr>
          <w:lang w:val="en-US"/>
        </w:rPr>
        <w:t>1986 (2) SA 57 (A).</w:t>
      </w:r>
    </w:p>
  </w:footnote>
  <w:footnote w:id="25">
    <w:p w14:paraId="257FA331" w14:textId="18507CA2" w:rsidR="002B0FB8" w:rsidRPr="002B0FB8" w:rsidRDefault="002B0FB8" w:rsidP="0030569B">
      <w:pPr>
        <w:pStyle w:val="FootnoteText"/>
        <w:jc w:val="both"/>
        <w:rPr>
          <w:lang w:val="en-US"/>
        </w:rPr>
      </w:pPr>
      <w:r>
        <w:rPr>
          <w:rStyle w:val="FootnoteReference"/>
        </w:rPr>
        <w:footnoteRef/>
      </w:r>
      <w:r>
        <w:t xml:space="preserve"> </w:t>
      </w:r>
      <w:r w:rsidRPr="00A40ED8">
        <w:rPr>
          <w:i/>
          <w:iCs/>
          <w:lang w:val="en-US"/>
        </w:rPr>
        <w:t>Associated Institutions Pension Fund</w:t>
      </w:r>
      <w:r>
        <w:rPr>
          <w:lang w:val="en-US"/>
        </w:rPr>
        <w:t xml:space="preserve">, </w:t>
      </w:r>
      <w:r w:rsidRPr="00A40ED8">
        <w:rPr>
          <w:i/>
          <w:iCs/>
          <w:lang w:val="en-US"/>
        </w:rPr>
        <w:t>supra</w:t>
      </w:r>
      <w:r>
        <w:rPr>
          <w:lang w:val="en-US"/>
        </w:rPr>
        <w:t>, at paragraphs [46] to [48].</w:t>
      </w:r>
    </w:p>
  </w:footnote>
  <w:footnote w:id="26">
    <w:p w14:paraId="18FE5FC5" w14:textId="7E184033" w:rsidR="00E117C6" w:rsidRPr="00E117C6" w:rsidRDefault="00E117C6" w:rsidP="0030569B">
      <w:pPr>
        <w:pStyle w:val="FootnoteText"/>
        <w:jc w:val="both"/>
        <w:rPr>
          <w:lang w:val="en-US"/>
        </w:rPr>
      </w:pPr>
      <w:r>
        <w:rPr>
          <w:rStyle w:val="FootnoteReference"/>
        </w:rPr>
        <w:footnoteRef/>
      </w:r>
      <w:r>
        <w:t xml:space="preserve"> </w:t>
      </w:r>
      <w:r w:rsidR="00762DAA">
        <w:rPr>
          <w:lang w:val="en-US"/>
        </w:rPr>
        <w:t>[2006] 3 All SA 245 (SCA)</w:t>
      </w:r>
      <w:r w:rsidR="00BB2DFE">
        <w:rPr>
          <w:lang w:val="en-US"/>
        </w:rPr>
        <w:t>.</w:t>
      </w:r>
    </w:p>
  </w:footnote>
  <w:footnote w:id="27">
    <w:p w14:paraId="27767BFC" w14:textId="7A292812" w:rsidR="00CB099B" w:rsidRPr="00CB099B" w:rsidRDefault="00CB099B" w:rsidP="0030569B">
      <w:pPr>
        <w:pStyle w:val="FootnoteText"/>
        <w:jc w:val="both"/>
        <w:rPr>
          <w:lang w:val="en-US"/>
        </w:rPr>
      </w:pPr>
      <w:r>
        <w:rPr>
          <w:rStyle w:val="FootnoteReference"/>
        </w:rPr>
        <w:footnoteRef/>
      </w:r>
      <w:r>
        <w:t xml:space="preserve"> </w:t>
      </w:r>
      <w:r>
        <w:rPr>
          <w:lang w:val="en-US"/>
        </w:rPr>
        <w:t>At paragraph [22].</w:t>
      </w:r>
    </w:p>
  </w:footnote>
  <w:footnote w:id="28">
    <w:p w14:paraId="2DC5B86F" w14:textId="1D3CE535" w:rsidR="0002111F" w:rsidRPr="0002111F" w:rsidRDefault="0002111F" w:rsidP="0030569B">
      <w:pPr>
        <w:pStyle w:val="FootnoteText"/>
        <w:jc w:val="both"/>
        <w:rPr>
          <w:lang w:val="en-US"/>
        </w:rPr>
      </w:pPr>
      <w:r>
        <w:rPr>
          <w:rStyle w:val="FootnoteReference"/>
        </w:rPr>
        <w:footnoteRef/>
      </w:r>
      <w:r>
        <w:t xml:space="preserve"> </w:t>
      </w:r>
      <w:r>
        <w:rPr>
          <w:lang w:val="en-US"/>
        </w:rPr>
        <w:t>1978 (1) SA 13 (A)</w:t>
      </w:r>
      <w:r w:rsidR="00126BD0">
        <w:rPr>
          <w:lang w:val="en-US"/>
        </w:rPr>
        <w:t>.</w:t>
      </w:r>
    </w:p>
  </w:footnote>
  <w:footnote w:id="29">
    <w:p w14:paraId="49DAF655" w14:textId="58F4B9AA" w:rsidR="00126BD0" w:rsidRPr="00126BD0" w:rsidRDefault="00126BD0" w:rsidP="0030569B">
      <w:pPr>
        <w:pStyle w:val="FootnoteText"/>
        <w:jc w:val="both"/>
        <w:rPr>
          <w:lang w:val="en-US"/>
        </w:rPr>
      </w:pPr>
      <w:r>
        <w:rPr>
          <w:rStyle w:val="FootnoteReference"/>
        </w:rPr>
        <w:footnoteRef/>
      </w:r>
      <w:r>
        <w:t xml:space="preserve"> </w:t>
      </w:r>
      <w:r>
        <w:rPr>
          <w:lang w:val="en-US"/>
        </w:rPr>
        <w:t>At 41E-F.</w:t>
      </w:r>
    </w:p>
  </w:footnote>
  <w:footnote w:id="30">
    <w:p w14:paraId="05074D71" w14:textId="4D16456E" w:rsidR="000A13E7" w:rsidRPr="000A13E7" w:rsidRDefault="000A13E7" w:rsidP="0030569B">
      <w:pPr>
        <w:pStyle w:val="FootnoteText"/>
        <w:jc w:val="both"/>
        <w:rPr>
          <w:lang w:val="en-US"/>
        </w:rPr>
      </w:pPr>
      <w:r>
        <w:rPr>
          <w:rStyle w:val="FootnoteReference"/>
        </w:rPr>
        <w:footnoteRef/>
      </w:r>
      <w:r>
        <w:t xml:space="preserve"> </w:t>
      </w:r>
      <w:r w:rsidR="00A92760" w:rsidRPr="00AE19E6">
        <w:rPr>
          <w:i/>
          <w:iCs/>
        </w:rPr>
        <w:t>Gqwetha</w:t>
      </w:r>
      <w:r w:rsidR="00A92760">
        <w:t xml:space="preserve">, </w:t>
      </w:r>
      <w:r w:rsidR="00AE19E6" w:rsidRPr="00AE19E6">
        <w:rPr>
          <w:i/>
          <w:iCs/>
        </w:rPr>
        <w:t>supra</w:t>
      </w:r>
      <w:r w:rsidR="00A92760">
        <w:t xml:space="preserve">, at paragraph </w:t>
      </w:r>
      <w:r w:rsidR="00AE19E6">
        <w:t>[24].</w:t>
      </w:r>
    </w:p>
  </w:footnote>
  <w:footnote w:id="31">
    <w:p w14:paraId="6B833C6B" w14:textId="39CD2C78" w:rsidR="00C31D80" w:rsidRPr="00C31D80" w:rsidRDefault="00C31D80" w:rsidP="0030569B">
      <w:pPr>
        <w:pStyle w:val="FootnoteText"/>
        <w:jc w:val="both"/>
        <w:rPr>
          <w:lang w:val="en-US"/>
        </w:rPr>
      </w:pPr>
      <w:r>
        <w:rPr>
          <w:rStyle w:val="FootnoteReference"/>
        </w:rPr>
        <w:footnoteRef/>
      </w:r>
      <w:r>
        <w:t xml:space="preserve"> </w:t>
      </w:r>
      <w:r w:rsidR="008634D9" w:rsidRPr="008634D9">
        <w:rPr>
          <w:i/>
          <w:iCs/>
        </w:rPr>
        <w:t>Setsokane</w:t>
      </w:r>
      <w:r w:rsidR="008634D9">
        <w:t xml:space="preserve">, </w:t>
      </w:r>
      <w:r w:rsidR="008634D9" w:rsidRPr="008634D9">
        <w:rPr>
          <w:i/>
          <w:iCs/>
        </w:rPr>
        <w:t>supra</w:t>
      </w:r>
      <w:r w:rsidR="00A15131">
        <w:t>, at</w:t>
      </w:r>
      <w:r w:rsidR="005444C2">
        <w:t xml:space="preserve"> 86D-F and 86I</w:t>
      </w:r>
      <w:r w:rsidR="00013D84">
        <w:t>-87A.</w:t>
      </w:r>
      <w:r w:rsidR="00A15131">
        <w:t xml:space="preserve"> </w:t>
      </w:r>
    </w:p>
  </w:footnote>
  <w:footnote w:id="32">
    <w:p w14:paraId="27E39A56" w14:textId="4F8A2333" w:rsidR="00244E0D" w:rsidRPr="00244E0D" w:rsidRDefault="00244E0D" w:rsidP="0030569B">
      <w:pPr>
        <w:pStyle w:val="FootnoteText"/>
        <w:jc w:val="both"/>
        <w:rPr>
          <w:lang w:val="en-US"/>
        </w:rPr>
      </w:pPr>
      <w:r>
        <w:rPr>
          <w:rStyle w:val="FootnoteReference"/>
        </w:rPr>
        <w:footnoteRef/>
      </w:r>
      <w:r>
        <w:t xml:space="preserve"> </w:t>
      </w:r>
      <w:r>
        <w:rPr>
          <w:lang w:val="en-US"/>
        </w:rPr>
        <w:t>[2010] 2 All SA 519 (SCA).</w:t>
      </w:r>
    </w:p>
  </w:footnote>
  <w:footnote w:id="33">
    <w:p w14:paraId="463D03D3" w14:textId="642F4833" w:rsidR="00537098" w:rsidRPr="00537098" w:rsidRDefault="00537098" w:rsidP="0030569B">
      <w:pPr>
        <w:pStyle w:val="FootnoteText"/>
        <w:jc w:val="both"/>
        <w:rPr>
          <w:lang w:val="en-US"/>
        </w:rPr>
      </w:pPr>
      <w:r>
        <w:rPr>
          <w:rStyle w:val="FootnoteReference"/>
        </w:rPr>
        <w:footnoteRef/>
      </w:r>
      <w:r>
        <w:t xml:space="preserve"> </w:t>
      </w:r>
      <w:r>
        <w:rPr>
          <w:lang w:val="en-US"/>
        </w:rPr>
        <w:t>At paragraph [54].</w:t>
      </w:r>
    </w:p>
  </w:footnote>
  <w:footnote w:id="34">
    <w:p w14:paraId="4E0E5EA8" w14:textId="4ED7F7D4" w:rsidR="00091D55" w:rsidRPr="00091D55" w:rsidRDefault="00091D55" w:rsidP="0030569B">
      <w:pPr>
        <w:pStyle w:val="FootnoteText"/>
        <w:jc w:val="both"/>
        <w:rPr>
          <w:lang w:val="en-US"/>
        </w:rPr>
      </w:pPr>
      <w:r>
        <w:rPr>
          <w:rStyle w:val="FootnoteReference"/>
        </w:rPr>
        <w:footnoteRef/>
      </w:r>
      <w:r>
        <w:t xml:space="preserve"> </w:t>
      </w:r>
      <w:r>
        <w:rPr>
          <w:lang w:val="en-US"/>
        </w:rPr>
        <w:t>[2013] 4 All SA 639 (SCA)</w:t>
      </w:r>
      <w:r w:rsidR="00B002DF">
        <w:rPr>
          <w:lang w:val="en-US"/>
        </w:rPr>
        <w:t xml:space="preserve">, also referred to as </w:t>
      </w:r>
      <w:r w:rsidR="00BD1418">
        <w:rPr>
          <w:lang w:val="en-US"/>
        </w:rPr>
        <w:t xml:space="preserve">the </w:t>
      </w:r>
      <w:r w:rsidR="00BD1418" w:rsidRPr="00BD1418">
        <w:rPr>
          <w:i/>
          <w:iCs/>
          <w:lang w:val="en-US"/>
        </w:rPr>
        <w:t>OUTA</w:t>
      </w:r>
      <w:r w:rsidR="00BD1418">
        <w:rPr>
          <w:lang w:val="en-US"/>
        </w:rPr>
        <w:t xml:space="preserve"> case</w:t>
      </w:r>
      <w:r>
        <w:rPr>
          <w:lang w:val="en-US"/>
        </w:rPr>
        <w:t>.</w:t>
      </w:r>
    </w:p>
  </w:footnote>
  <w:footnote w:id="35">
    <w:p w14:paraId="0776CAF5" w14:textId="1B4CDA2F" w:rsidR="008234D3" w:rsidRPr="008234D3" w:rsidRDefault="008234D3" w:rsidP="0030569B">
      <w:pPr>
        <w:pStyle w:val="FootnoteText"/>
        <w:jc w:val="both"/>
        <w:rPr>
          <w:lang w:val="en-US"/>
        </w:rPr>
      </w:pPr>
      <w:r>
        <w:rPr>
          <w:rStyle w:val="FootnoteReference"/>
        </w:rPr>
        <w:footnoteRef/>
      </w:r>
      <w:r>
        <w:t xml:space="preserve"> </w:t>
      </w:r>
      <w:r>
        <w:rPr>
          <w:lang w:val="en-US"/>
        </w:rPr>
        <w:t>At paragraph [26].</w:t>
      </w:r>
    </w:p>
  </w:footnote>
  <w:footnote w:id="36">
    <w:p w14:paraId="25106C79" w14:textId="2074CC46" w:rsidR="00B11706" w:rsidRPr="00B11706" w:rsidRDefault="00B11706" w:rsidP="0030569B">
      <w:pPr>
        <w:pStyle w:val="FootnoteText"/>
        <w:jc w:val="both"/>
        <w:rPr>
          <w:lang w:val="en-US"/>
        </w:rPr>
      </w:pPr>
      <w:r>
        <w:rPr>
          <w:rStyle w:val="FootnoteReference"/>
        </w:rPr>
        <w:footnoteRef/>
      </w:r>
      <w:r>
        <w:t xml:space="preserve"> </w:t>
      </w:r>
      <w:r>
        <w:rPr>
          <w:lang w:val="en-US"/>
        </w:rPr>
        <w:t>2014 (3) BCLR 333 (CC).</w:t>
      </w:r>
    </w:p>
  </w:footnote>
  <w:footnote w:id="37">
    <w:p w14:paraId="6E4D2D80" w14:textId="29D536A8" w:rsidR="002E7BBF" w:rsidRPr="002E7BBF" w:rsidRDefault="002E7BBF" w:rsidP="0030569B">
      <w:pPr>
        <w:pStyle w:val="FootnoteText"/>
        <w:jc w:val="both"/>
        <w:rPr>
          <w:lang w:val="en-US"/>
        </w:rPr>
      </w:pPr>
      <w:r>
        <w:rPr>
          <w:rStyle w:val="FootnoteReference"/>
        </w:rPr>
        <w:footnoteRef/>
      </w:r>
      <w:r>
        <w:t xml:space="preserve"> </w:t>
      </w:r>
      <w:r>
        <w:rPr>
          <w:lang w:val="en-US"/>
        </w:rPr>
        <w:t>At paragraph [4</w:t>
      </w:r>
      <w:r w:rsidR="008238C0">
        <w:rPr>
          <w:lang w:val="en-US"/>
        </w:rPr>
        <w:t>9</w:t>
      </w:r>
      <w:r>
        <w:rPr>
          <w:lang w:val="en-US"/>
        </w:rPr>
        <w:t>].</w:t>
      </w:r>
    </w:p>
  </w:footnote>
  <w:footnote w:id="38">
    <w:p w14:paraId="79996FB4" w14:textId="5652D1C9" w:rsidR="0037695A" w:rsidRPr="0037695A" w:rsidRDefault="0037695A" w:rsidP="0030569B">
      <w:pPr>
        <w:pStyle w:val="FootnoteText"/>
        <w:jc w:val="both"/>
        <w:rPr>
          <w:lang w:val="en-US"/>
        </w:rPr>
      </w:pPr>
      <w:r>
        <w:rPr>
          <w:rStyle w:val="FootnoteReference"/>
        </w:rPr>
        <w:footnoteRef/>
      </w:r>
      <w:r>
        <w:t xml:space="preserve"> </w:t>
      </w:r>
      <w:r w:rsidR="00A54C3E">
        <w:rPr>
          <w:lang w:val="en-US"/>
        </w:rPr>
        <w:t>2019 (6) BCLR 661 (CC).</w:t>
      </w:r>
    </w:p>
  </w:footnote>
  <w:footnote w:id="39">
    <w:p w14:paraId="5DB2F8FE" w14:textId="474314D5" w:rsidR="00775021" w:rsidRPr="00B444FD" w:rsidRDefault="00775021" w:rsidP="0030569B">
      <w:pPr>
        <w:pStyle w:val="FootnoteText"/>
        <w:jc w:val="both"/>
        <w:rPr>
          <w:lang w:val="en-US"/>
        </w:rPr>
      </w:pPr>
      <w:r>
        <w:rPr>
          <w:rStyle w:val="FootnoteReference"/>
        </w:rPr>
        <w:footnoteRef/>
      </w:r>
      <w:r>
        <w:t xml:space="preserve"> The court in </w:t>
      </w:r>
      <w:r w:rsidRPr="00B444FD">
        <w:rPr>
          <w:i/>
          <w:iCs/>
        </w:rPr>
        <w:t>Asla</w:t>
      </w:r>
      <w:r>
        <w:t xml:space="preserve"> held, at [48], that </w:t>
      </w:r>
      <w:r w:rsidRPr="00B444FD">
        <w:t>‘</w:t>
      </w:r>
      <w:r w:rsidR="0026501E">
        <w:t>F</w:t>
      </w:r>
      <w:r w:rsidR="007B1EA4" w:rsidRPr="00B444FD">
        <w:t>irstly</w:t>
      </w:r>
      <w:r w:rsidRPr="00B444FD">
        <w:t>, it must be determined whether the delay is unreasonable or undue.</w:t>
      </w:r>
      <w:r w:rsidR="0026501E">
        <w:t xml:space="preserve"> </w:t>
      </w:r>
      <w:r w:rsidRPr="00B444FD">
        <w:t>This is a factual enquiry upon which a value judgment is made, having regard to the circumstances of the matter. Secondly, if the delay is unreasonable, the question becomes whether the Court’s discretion should nevertheless be exercised to overlook the delay to entertain the application.’</w:t>
      </w:r>
    </w:p>
  </w:footnote>
  <w:footnote w:id="40">
    <w:p w14:paraId="36070E2D" w14:textId="7F6AF424" w:rsidR="00775021" w:rsidRPr="00375275" w:rsidRDefault="00775021" w:rsidP="0030569B">
      <w:pPr>
        <w:pStyle w:val="FootnoteText"/>
        <w:jc w:val="both"/>
        <w:rPr>
          <w:lang w:val="en-US"/>
        </w:rPr>
      </w:pPr>
      <w:r>
        <w:rPr>
          <w:rStyle w:val="FootnoteReference"/>
        </w:rPr>
        <w:footnoteRef/>
      </w:r>
      <w:r>
        <w:t xml:space="preserve"> The first of the differences is that PAJA contains a 180-day bar; there is no fixed period under a legality review. The second difference is that delay in terms of PAJA requires an application for condonation; there is no corresponding requirement under a legality review. For</w:t>
      </w:r>
      <w:r>
        <w:rPr>
          <w:lang w:val="en-US"/>
        </w:rPr>
        <w:t xml:space="preserve"> immediate purposes, the first of the </w:t>
      </w:r>
      <w:r w:rsidRPr="00375275">
        <w:rPr>
          <w:i/>
          <w:iCs/>
          <w:lang w:val="en-US"/>
        </w:rPr>
        <w:t>Asla</w:t>
      </w:r>
      <w:r>
        <w:rPr>
          <w:lang w:val="en-US"/>
        </w:rPr>
        <w:t xml:space="preserve"> principles, as described above is not relevant. </w:t>
      </w:r>
    </w:p>
  </w:footnote>
  <w:footnote w:id="41">
    <w:p w14:paraId="47B7AF63" w14:textId="77777777" w:rsidR="00775021" w:rsidRPr="00375275" w:rsidRDefault="00775021" w:rsidP="0030569B">
      <w:pPr>
        <w:pStyle w:val="FootnoteText"/>
        <w:jc w:val="both"/>
        <w:rPr>
          <w:lang w:val="en-US"/>
        </w:rPr>
      </w:pPr>
      <w:r>
        <w:rPr>
          <w:rStyle w:val="FootnoteReference"/>
        </w:rPr>
        <w:footnoteRef/>
      </w:r>
      <w:r>
        <w:t xml:space="preserve"> See the discussion in </w:t>
      </w:r>
      <w:r w:rsidRPr="00375275">
        <w:rPr>
          <w:i/>
          <w:iCs/>
        </w:rPr>
        <w:t>Asla</w:t>
      </w:r>
      <w:r>
        <w:t>, [44] to [72].</w:t>
      </w:r>
    </w:p>
  </w:footnote>
  <w:footnote w:id="42">
    <w:p w14:paraId="0756E33E" w14:textId="2C2E21C4" w:rsidR="007E4B32" w:rsidRPr="007E4B32" w:rsidRDefault="007E4B32" w:rsidP="0030569B">
      <w:pPr>
        <w:pStyle w:val="FootnoteText"/>
        <w:jc w:val="both"/>
        <w:rPr>
          <w:lang w:val="en-US"/>
        </w:rPr>
      </w:pPr>
      <w:r>
        <w:rPr>
          <w:rStyle w:val="FootnoteReference"/>
        </w:rPr>
        <w:footnoteRef/>
      </w:r>
      <w:r>
        <w:t xml:space="preserve"> </w:t>
      </w:r>
      <w:r w:rsidR="00636E39">
        <w:t xml:space="preserve">Referred to, </w:t>
      </w:r>
      <w:r w:rsidR="00636E39" w:rsidRPr="003E2519">
        <w:rPr>
          <w:i/>
          <w:iCs/>
        </w:rPr>
        <w:t>supra</w:t>
      </w:r>
      <w:r w:rsidR="00636E39">
        <w:t xml:space="preserve">, </w:t>
      </w:r>
      <w:r w:rsidR="00CE3F8C">
        <w:rPr>
          <w:lang w:val="en-US"/>
        </w:rPr>
        <w:t>at paragraph [20].</w:t>
      </w:r>
    </w:p>
  </w:footnote>
  <w:footnote w:id="43">
    <w:p w14:paraId="4FF12A5B" w14:textId="58A59BD4" w:rsidR="00383BA4" w:rsidRPr="00383BA4" w:rsidRDefault="00383BA4" w:rsidP="0030569B">
      <w:pPr>
        <w:pStyle w:val="FootnoteText"/>
        <w:jc w:val="both"/>
        <w:rPr>
          <w:lang w:val="en-US"/>
        </w:rPr>
      </w:pPr>
      <w:r>
        <w:rPr>
          <w:rStyle w:val="FootnoteReference"/>
        </w:rPr>
        <w:footnoteRef/>
      </w:r>
      <w:r>
        <w:t xml:space="preserve"> </w:t>
      </w:r>
      <w:r>
        <w:rPr>
          <w:lang w:val="en-US"/>
        </w:rPr>
        <w:t xml:space="preserve">[2016] 4 All SA </w:t>
      </w:r>
      <w:r w:rsidR="001D0330">
        <w:rPr>
          <w:lang w:val="en-US"/>
        </w:rPr>
        <w:t>332 (SCA).</w:t>
      </w:r>
    </w:p>
  </w:footnote>
  <w:footnote w:id="44">
    <w:p w14:paraId="6C9C4120" w14:textId="2BDDC265" w:rsidR="00252937" w:rsidRPr="00252937" w:rsidRDefault="00252937" w:rsidP="0030569B">
      <w:pPr>
        <w:pStyle w:val="FootnoteText"/>
        <w:jc w:val="both"/>
        <w:rPr>
          <w:lang w:val="en-US"/>
        </w:rPr>
      </w:pPr>
      <w:r>
        <w:rPr>
          <w:rStyle w:val="FootnoteReference"/>
        </w:rPr>
        <w:footnoteRef/>
      </w:r>
      <w:r>
        <w:t xml:space="preserve"> </w:t>
      </w:r>
      <w:r>
        <w:rPr>
          <w:lang w:val="en-US"/>
        </w:rPr>
        <w:t>At paragraph [81].</w:t>
      </w:r>
    </w:p>
  </w:footnote>
  <w:footnote w:id="45">
    <w:p w14:paraId="2BC1AF11" w14:textId="67533DC5" w:rsidR="00B712E9" w:rsidRPr="00B712E9" w:rsidRDefault="00B712E9" w:rsidP="0030569B">
      <w:pPr>
        <w:pStyle w:val="FootnoteText"/>
        <w:jc w:val="both"/>
        <w:rPr>
          <w:lang w:val="en-US"/>
        </w:rPr>
      </w:pPr>
      <w:r>
        <w:rPr>
          <w:rStyle w:val="FootnoteReference"/>
        </w:rPr>
        <w:footnoteRef/>
      </w:r>
      <w:r>
        <w:t xml:space="preserve"> </w:t>
      </w:r>
      <w:r>
        <w:rPr>
          <w:lang w:val="en-US"/>
        </w:rPr>
        <w:t xml:space="preserve">Jeannie van Wyk, ‘Land Use and Spatial Planning’, </w:t>
      </w:r>
      <w:r w:rsidRPr="00DF0C54">
        <w:rPr>
          <w:i/>
          <w:iCs/>
          <w:lang w:val="en-US"/>
        </w:rPr>
        <w:t>LAWSA</w:t>
      </w:r>
      <w:r>
        <w:rPr>
          <w:lang w:val="en-US"/>
        </w:rPr>
        <w:t xml:space="preserve"> (</w:t>
      </w:r>
      <w:r w:rsidR="00DF0C54">
        <w:rPr>
          <w:lang w:val="en-US"/>
        </w:rPr>
        <w:t xml:space="preserve">vol 25(2), 3ed), at para </w:t>
      </w:r>
      <w:r w:rsidR="00AD6F1D">
        <w:rPr>
          <w:lang w:val="en-US"/>
        </w:rPr>
        <w:t>14.</w:t>
      </w:r>
    </w:p>
  </w:footnote>
  <w:footnote w:id="46">
    <w:p w14:paraId="53A7BBF1" w14:textId="3BD8136F" w:rsidR="007F60EC" w:rsidRPr="007F60EC" w:rsidRDefault="007F60EC" w:rsidP="0030569B">
      <w:pPr>
        <w:pStyle w:val="FootnoteText"/>
        <w:jc w:val="both"/>
        <w:rPr>
          <w:lang w:val="en-US"/>
        </w:rPr>
      </w:pPr>
      <w:r>
        <w:rPr>
          <w:rStyle w:val="FootnoteReference"/>
        </w:rPr>
        <w:footnoteRef/>
      </w:r>
      <w:r>
        <w:t xml:space="preserve"> </w:t>
      </w:r>
      <w:r w:rsidRPr="007F60EC">
        <w:rPr>
          <w:i/>
          <w:iCs/>
          <w:lang w:val="en-US"/>
        </w:rPr>
        <w:t>Op cit</w:t>
      </w:r>
      <w:r>
        <w:rPr>
          <w:lang w:val="en-US"/>
        </w:rPr>
        <w:t>, at para 15.</w:t>
      </w:r>
    </w:p>
  </w:footnote>
  <w:footnote w:id="47">
    <w:p w14:paraId="44C8B698" w14:textId="748EB678" w:rsidR="00A072B7" w:rsidRPr="00A072B7" w:rsidRDefault="00A072B7" w:rsidP="0030569B">
      <w:pPr>
        <w:pStyle w:val="FootnoteText"/>
        <w:jc w:val="both"/>
        <w:rPr>
          <w:lang w:val="en-US"/>
        </w:rPr>
      </w:pPr>
      <w:r>
        <w:rPr>
          <w:rStyle w:val="FootnoteReference"/>
        </w:rPr>
        <w:footnoteRef/>
      </w:r>
      <w:r>
        <w:t xml:space="preserve"> </w:t>
      </w:r>
      <w:r w:rsidR="00EC5078">
        <w:t xml:space="preserve">See </w:t>
      </w:r>
      <w:r>
        <w:rPr>
          <w:lang w:val="en-US"/>
        </w:rPr>
        <w:t>Preamble</w:t>
      </w:r>
      <w:r w:rsidR="001D45C8">
        <w:rPr>
          <w:lang w:val="en-US"/>
        </w:rPr>
        <w:t>.</w:t>
      </w:r>
    </w:p>
  </w:footnote>
  <w:footnote w:id="48">
    <w:p w14:paraId="1DCA1D4F" w14:textId="177309F6" w:rsidR="00711461" w:rsidRPr="00711461" w:rsidRDefault="00711461" w:rsidP="0030569B">
      <w:pPr>
        <w:pStyle w:val="FootnoteText"/>
        <w:jc w:val="both"/>
        <w:rPr>
          <w:lang w:val="en-US"/>
        </w:rPr>
      </w:pPr>
      <w:r>
        <w:rPr>
          <w:rStyle w:val="FootnoteReference"/>
        </w:rPr>
        <w:footnoteRef/>
      </w:r>
      <w:r>
        <w:t xml:space="preserve"> </w:t>
      </w:r>
      <w:r w:rsidR="0084282E">
        <w:rPr>
          <w:lang w:val="en-US"/>
        </w:rPr>
        <w:t xml:space="preserve">LUPO was only repealed some five years after the introduction </w:t>
      </w:r>
      <w:r w:rsidR="00900E52">
        <w:rPr>
          <w:lang w:val="en-US"/>
        </w:rPr>
        <w:t xml:space="preserve">of SPLUMA, in terms of the </w:t>
      </w:r>
      <w:r w:rsidR="000C1D94">
        <w:rPr>
          <w:lang w:val="en-US"/>
        </w:rPr>
        <w:t>Repeal of Local Government Laws (Eastern Cape) Act 1 of 2020</w:t>
      </w:r>
      <w:r w:rsidR="007A1767">
        <w:rPr>
          <w:lang w:val="en-US"/>
        </w:rPr>
        <w:t>, which commenced on 17 December 2020.</w:t>
      </w:r>
    </w:p>
  </w:footnote>
  <w:footnote w:id="49">
    <w:p w14:paraId="14D82D90" w14:textId="28188F45" w:rsidR="002B3719" w:rsidRPr="002B3719" w:rsidRDefault="002B3719" w:rsidP="0030569B">
      <w:pPr>
        <w:pStyle w:val="FootnoteText"/>
        <w:jc w:val="both"/>
        <w:rPr>
          <w:lang w:val="en-US"/>
        </w:rPr>
      </w:pPr>
      <w:r>
        <w:rPr>
          <w:rStyle w:val="FootnoteReference"/>
        </w:rPr>
        <w:footnoteRef/>
      </w:r>
      <w:r>
        <w:t xml:space="preserve"> </w:t>
      </w:r>
      <w:r w:rsidR="001D4427">
        <w:rPr>
          <w:lang w:val="en-US"/>
        </w:rPr>
        <w:t>Section 11.</w:t>
      </w:r>
    </w:p>
  </w:footnote>
  <w:footnote w:id="50">
    <w:p w14:paraId="21266891" w14:textId="4061FEAD" w:rsidR="00421AE8" w:rsidRPr="00421AE8" w:rsidRDefault="00421AE8" w:rsidP="0030569B">
      <w:pPr>
        <w:pStyle w:val="FootnoteText"/>
        <w:jc w:val="both"/>
        <w:rPr>
          <w:lang w:val="en-US"/>
        </w:rPr>
      </w:pPr>
      <w:r>
        <w:rPr>
          <w:rStyle w:val="FootnoteReference"/>
        </w:rPr>
        <w:footnoteRef/>
      </w:r>
      <w:r>
        <w:t xml:space="preserve"> </w:t>
      </w:r>
      <w:r w:rsidR="003F1EBB">
        <w:rPr>
          <w:lang w:val="en-US"/>
        </w:rPr>
        <w:t>Section 25(1) of SPLUMA.</w:t>
      </w:r>
    </w:p>
  </w:footnote>
  <w:footnote w:id="51">
    <w:p w14:paraId="1F21F53A" w14:textId="28C3EA72" w:rsidR="00CB2297" w:rsidRPr="00CB2297" w:rsidRDefault="00CB2297" w:rsidP="0030569B">
      <w:pPr>
        <w:pStyle w:val="FootnoteText"/>
        <w:jc w:val="both"/>
        <w:rPr>
          <w:lang w:val="en-US"/>
        </w:rPr>
      </w:pPr>
      <w:r>
        <w:rPr>
          <w:rStyle w:val="FootnoteReference"/>
        </w:rPr>
        <w:footnoteRef/>
      </w:r>
      <w:r>
        <w:t xml:space="preserve"> </w:t>
      </w:r>
      <w:r w:rsidR="001F5E65">
        <w:rPr>
          <w:lang w:val="en-US"/>
        </w:rPr>
        <w:t>SPLUMA c</w:t>
      </w:r>
      <w:r w:rsidR="008E4684">
        <w:rPr>
          <w:lang w:val="en-US"/>
        </w:rPr>
        <w:t xml:space="preserve">ame into operation </w:t>
      </w:r>
      <w:r w:rsidR="001F5E65">
        <w:rPr>
          <w:lang w:val="en-US"/>
        </w:rPr>
        <w:t xml:space="preserve">on </w:t>
      </w:r>
      <w:r w:rsidR="008E4684">
        <w:rPr>
          <w:lang w:val="en-US"/>
        </w:rPr>
        <w:t>1 July 2015.</w:t>
      </w:r>
    </w:p>
  </w:footnote>
  <w:footnote w:id="52">
    <w:p w14:paraId="2B0AA847" w14:textId="56619E02" w:rsidR="00A17C3D" w:rsidRPr="00A17C3D" w:rsidRDefault="00A17C3D" w:rsidP="0030569B">
      <w:pPr>
        <w:pStyle w:val="FootnoteText"/>
        <w:jc w:val="both"/>
        <w:rPr>
          <w:lang w:val="en-US"/>
        </w:rPr>
      </w:pPr>
      <w:r>
        <w:rPr>
          <w:rStyle w:val="FootnoteReference"/>
        </w:rPr>
        <w:footnoteRef/>
      </w:r>
      <w:r>
        <w:t xml:space="preserve"> The SPLUM By-law was published </w:t>
      </w:r>
      <w:r w:rsidR="005F23B0">
        <w:t xml:space="preserve">under Local Authority Notice 23 of 2016, </w:t>
      </w:r>
      <w:r w:rsidR="008323AA">
        <w:t>in Provincial Gazette (Extraordina</w:t>
      </w:r>
      <w:r w:rsidR="004F7C58">
        <w:t>ry) No. 3613, 4 March 2016.</w:t>
      </w:r>
    </w:p>
  </w:footnote>
  <w:footnote w:id="53">
    <w:p w14:paraId="38CC4EAC" w14:textId="65935405" w:rsidR="000F33C1" w:rsidRPr="000F33C1" w:rsidRDefault="000F33C1">
      <w:pPr>
        <w:pStyle w:val="FootnoteText"/>
        <w:rPr>
          <w:lang w:val="en-US"/>
        </w:rPr>
      </w:pPr>
      <w:r>
        <w:rPr>
          <w:rStyle w:val="FootnoteReference"/>
        </w:rPr>
        <w:footnoteRef/>
      </w:r>
      <w:r>
        <w:t xml:space="preserve"> </w:t>
      </w:r>
      <w:r>
        <w:rPr>
          <w:lang w:val="en-US"/>
        </w:rPr>
        <w:t>Sic. Emphasis added.</w:t>
      </w:r>
    </w:p>
  </w:footnote>
  <w:footnote w:id="54">
    <w:p w14:paraId="2EF05D99" w14:textId="163925EA" w:rsidR="00E639EF" w:rsidRPr="00E639EF" w:rsidRDefault="00E639EF" w:rsidP="0030569B">
      <w:pPr>
        <w:pStyle w:val="FootnoteText"/>
        <w:jc w:val="both"/>
        <w:rPr>
          <w:lang w:val="en-US"/>
        </w:rPr>
      </w:pPr>
      <w:r>
        <w:rPr>
          <w:rStyle w:val="FootnoteReference"/>
        </w:rPr>
        <w:footnoteRef/>
      </w:r>
      <w:r>
        <w:t xml:space="preserve"> </w:t>
      </w:r>
      <w:r>
        <w:rPr>
          <w:lang w:val="en-US"/>
        </w:rPr>
        <w:t xml:space="preserve">Section 1 </w:t>
      </w:r>
      <w:r w:rsidR="00523152">
        <w:rPr>
          <w:lang w:val="en-US"/>
        </w:rPr>
        <w:t xml:space="preserve">of the Kenton-on-Sea </w:t>
      </w:r>
      <w:r w:rsidR="008A1CD7">
        <w:rPr>
          <w:lang w:val="en-US"/>
        </w:rPr>
        <w:t>s</w:t>
      </w:r>
      <w:r w:rsidR="00523152">
        <w:rPr>
          <w:lang w:val="en-US"/>
        </w:rPr>
        <w:t>cheme.</w:t>
      </w:r>
    </w:p>
  </w:footnote>
  <w:footnote w:id="55">
    <w:p w14:paraId="5F773CDF" w14:textId="56394BE8" w:rsidR="00856E5F" w:rsidRPr="00856E5F" w:rsidRDefault="00856E5F" w:rsidP="0030569B">
      <w:pPr>
        <w:pStyle w:val="FootnoteText"/>
        <w:jc w:val="both"/>
        <w:rPr>
          <w:lang w:val="en-US"/>
        </w:rPr>
      </w:pPr>
      <w:r>
        <w:rPr>
          <w:rStyle w:val="FootnoteReference"/>
        </w:rPr>
        <w:footnoteRef/>
      </w:r>
      <w:r>
        <w:t xml:space="preserve"> </w:t>
      </w:r>
      <w:r w:rsidR="000079EF">
        <w:t>Tables B</w:t>
      </w:r>
      <w:r w:rsidR="00FA3825">
        <w:t>.1 and B.2.</w:t>
      </w:r>
    </w:p>
  </w:footnote>
  <w:footnote w:id="56">
    <w:p w14:paraId="6159D941" w14:textId="614499B1" w:rsidR="006A5026" w:rsidRPr="006A5026" w:rsidRDefault="006A5026" w:rsidP="0030569B">
      <w:pPr>
        <w:pStyle w:val="FootnoteText"/>
        <w:jc w:val="both"/>
        <w:rPr>
          <w:lang w:val="en-US"/>
        </w:rPr>
      </w:pPr>
      <w:r>
        <w:rPr>
          <w:rStyle w:val="FootnoteReference"/>
        </w:rPr>
        <w:footnoteRef/>
      </w:r>
      <w:r>
        <w:t xml:space="preserve"> See the definitions </w:t>
      </w:r>
      <w:r w:rsidR="00FF3F09">
        <w:t xml:space="preserve">under </w:t>
      </w:r>
      <w:r>
        <w:rPr>
          <w:lang w:val="en-US"/>
        </w:rPr>
        <w:t>Chapte</w:t>
      </w:r>
      <w:r w:rsidR="00FF3F09">
        <w:rPr>
          <w:lang w:val="en-US"/>
        </w:rPr>
        <w:t xml:space="preserve">r 5 of the new scheme. </w:t>
      </w:r>
    </w:p>
  </w:footnote>
  <w:footnote w:id="57">
    <w:p w14:paraId="7CE80D11" w14:textId="77777777" w:rsidR="00C44EF6" w:rsidRPr="00A07712" w:rsidRDefault="00C44EF6" w:rsidP="0030569B">
      <w:pPr>
        <w:pStyle w:val="FootnoteText"/>
        <w:jc w:val="both"/>
        <w:rPr>
          <w:lang w:val="en-US"/>
        </w:rPr>
      </w:pPr>
      <w:r>
        <w:rPr>
          <w:rStyle w:val="FootnoteReference"/>
        </w:rPr>
        <w:footnoteRef/>
      </w:r>
      <w:r>
        <w:t xml:space="preserve"> </w:t>
      </w:r>
      <w:r>
        <w:rPr>
          <w:lang w:val="en-US"/>
        </w:rPr>
        <w:t>Under section 15(2) of the new scheme, land that was zoned in terms of any previous zoning scheme is ‘translated or reclassified’ to one of the use referred to in Schedule 3 and is depicted as such on the new zoning maps. To that effect, ‘Single Residential Zone’ land is translated or reclassified as ‘Residential Zone 1’.</w:t>
      </w:r>
    </w:p>
  </w:footnote>
  <w:footnote w:id="58">
    <w:p w14:paraId="0EFD5BFA" w14:textId="334900A1" w:rsidR="007214DB" w:rsidRPr="007214DB" w:rsidRDefault="007214DB" w:rsidP="0030569B">
      <w:pPr>
        <w:pStyle w:val="FootnoteText"/>
        <w:jc w:val="both"/>
        <w:rPr>
          <w:lang w:val="en-US"/>
        </w:rPr>
      </w:pPr>
      <w:r>
        <w:rPr>
          <w:rStyle w:val="FootnoteReference"/>
        </w:rPr>
        <w:footnoteRef/>
      </w:r>
      <w:r>
        <w:t xml:space="preserve"> </w:t>
      </w:r>
      <w:r w:rsidR="00B11759">
        <w:rPr>
          <w:lang w:val="en-US"/>
        </w:rPr>
        <w:t xml:space="preserve">Section </w:t>
      </w:r>
      <w:r w:rsidR="008E210D">
        <w:rPr>
          <w:lang w:val="en-US"/>
        </w:rPr>
        <w:t>9 of the new scheme, read with Chapter 5 thereof.</w:t>
      </w:r>
    </w:p>
  </w:footnote>
  <w:footnote w:id="59">
    <w:p w14:paraId="6B562960" w14:textId="3A6BCA85" w:rsidR="009164D1" w:rsidRPr="009164D1" w:rsidRDefault="009164D1" w:rsidP="0030569B">
      <w:pPr>
        <w:pStyle w:val="FootnoteText"/>
        <w:jc w:val="both"/>
        <w:rPr>
          <w:lang w:val="en-US"/>
        </w:rPr>
      </w:pPr>
      <w:r>
        <w:rPr>
          <w:rStyle w:val="FootnoteReference"/>
        </w:rPr>
        <w:footnoteRef/>
      </w:r>
      <w:r>
        <w:t xml:space="preserve"> </w:t>
      </w:r>
      <w:r>
        <w:rPr>
          <w:lang w:val="en-US"/>
        </w:rPr>
        <w:t xml:space="preserve">1996 (3) SA </w:t>
      </w:r>
      <w:r w:rsidR="00582807">
        <w:rPr>
          <w:lang w:val="en-US"/>
        </w:rPr>
        <w:t>745.</w:t>
      </w:r>
    </w:p>
  </w:footnote>
  <w:footnote w:id="60">
    <w:p w14:paraId="14CA9402" w14:textId="00E1289D" w:rsidR="00CE037B" w:rsidRPr="00CE037B" w:rsidRDefault="00CE037B" w:rsidP="0030569B">
      <w:pPr>
        <w:pStyle w:val="FootnoteText"/>
        <w:jc w:val="both"/>
        <w:rPr>
          <w:lang w:val="en-US"/>
        </w:rPr>
      </w:pPr>
      <w:r>
        <w:rPr>
          <w:rStyle w:val="FootnoteReference"/>
        </w:rPr>
        <w:footnoteRef/>
      </w:r>
      <w:r>
        <w:t xml:space="preserve"> </w:t>
      </w:r>
      <w:r>
        <w:rPr>
          <w:lang w:val="en-US"/>
        </w:rPr>
        <w:t>At 753B.</w:t>
      </w:r>
    </w:p>
  </w:footnote>
  <w:footnote w:id="61">
    <w:p w14:paraId="009483AE" w14:textId="59C99634" w:rsidR="00B40115" w:rsidRPr="00B40115" w:rsidRDefault="00B40115" w:rsidP="0030569B">
      <w:pPr>
        <w:pStyle w:val="FootnoteText"/>
        <w:jc w:val="both"/>
        <w:rPr>
          <w:lang w:val="en-US"/>
        </w:rPr>
      </w:pPr>
      <w:r>
        <w:rPr>
          <w:rStyle w:val="FootnoteReference"/>
        </w:rPr>
        <w:footnoteRef/>
      </w:r>
      <w:r>
        <w:t xml:space="preserve"> </w:t>
      </w:r>
      <w:r w:rsidR="00A12CDD">
        <w:rPr>
          <w:lang w:val="en-US"/>
        </w:rPr>
        <w:t>2005 (6) SA 248 (ECD).</w:t>
      </w:r>
      <w:r w:rsidR="00914FE6">
        <w:rPr>
          <w:lang w:val="en-US"/>
        </w:rPr>
        <w:t xml:space="preserve"> See, too, </w:t>
      </w:r>
      <w:r w:rsidR="00914FE6" w:rsidRPr="00385A89">
        <w:rPr>
          <w:i/>
          <w:iCs/>
          <w:lang w:val="en-US"/>
        </w:rPr>
        <w:t xml:space="preserve">Raumix Aggregates (Pty) Ltd v Richter Sand CC </w:t>
      </w:r>
      <w:r w:rsidR="006E29AA" w:rsidRPr="00385A89">
        <w:rPr>
          <w:i/>
          <w:iCs/>
          <w:lang w:val="en-US"/>
        </w:rPr>
        <w:t>and another, and similar matters</w:t>
      </w:r>
      <w:r w:rsidR="006E29AA">
        <w:rPr>
          <w:lang w:val="en-US"/>
        </w:rPr>
        <w:t xml:space="preserve"> 2020 (1) SA 623 (GJ)</w:t>
      </w:r>
      <w:r w:rsidR="00385A89">
        <w:rPr>
          <w:lang w:val="en-US"/>
        </w:rPr>
        <w:t>, at paragraphs [17] and [23].</w:t>
      </w:r>
    </w:p>
  </w:footnote>
  <w:footnote w:id="62">
    <w:p w14:paraId="2B4F6B28" w14:textId="2F1645D6" w:rsidR="0093245E" w:rsidRPr="0093245E" w:rsidRDefault="0093245E" w:rsidP="0030569B">
      <w:pPr>
        <w:pStyle w:val="FootnoteText"/>
        <w:jc w:val="both"/>
        <w:rPr>
          <w:lang w:val="en-US"/>
        </w:rPr>
      </w:pPr>
      <w:r>
        <w:rPr>
          <w:rStyle w:val="FootnoteReference"/>
        </w:rPr>
        <w:footnoteRef/>
      </w:r>
      <w:r>
        <w:t xml:space="preserve"> </w:t>
      </w:r>
      <w:r>
        <w:rPr>
          <w:lang w:val="en-US"/>
        </w:rPr>
        <w:t>At paragraph [37].</w:t>
      </w:r>
    </w:p>
  </w:footnote>
  <w:footnote w:id="63">
    <w:p w14:paraId="5E761398" w14:textId="2E8A1F2B" w:rsidR="00AA10B9" w:rsidRPr="00AA10B9" w:rsidRDefault="00AA10B9" w:rsidP="0030569B">
      <w:pPr>
        <w:pStyle w:val="FootnoteText"/>
        <w:jc w:val="both"/>
        <w:rPr>
          <w:lang w:val="en-US"/>
        </w:rPr>
      </w:pPr>
      <w:r>
        <w:rPr>
          <w:rStyle w:val="FootnoteReference"/>
        </w:rPr>
        <w:footnoteRef/>
      </w:r>
      <w:r>
        <w:t xml:space="preserve"> </w:t>
      </w:r>
      <w:r>
        <w:rPr>
          <w:lang w:val="en-US"/>
        </w:rPr>
        <w:t>Section 76(b)</w:t>
      </w:r>
      <w:r w:rsidR="009F51A0">
        <w:rPr>
          <w:lang w:val="en-US"/>
        </w:rPr>
        <w:t xml:space="preserve"> of the SPLUM By-law.</w:t>
      </w:r>
    </w:p>
  </w:footnote>
  <w:footnote w:id="64">
    <w:p w14:paraId="7B8D2DA2" w14:textId="5538CD40" w:rsidR="00713AA3" w:rsidRPr="00713AA3" w:rsidRDefault="00713AA3" w:rsidP="0030569B">
      <w:pPr>
        <w:pStyle w:val="FootnoteText"/>
        <w:jc w:val="both"/>
        <w:rPr>
          <w:lang w:val="en-US"/>
        </w:rPr>
      </w:pPr>
      <w:r>
        <w:rPr>
          <w:rStyle w:val="FootnoteReference"/>
        </w:rPr>
        <w:footnoteRef/>
      </w:r>
      <w:r>
        <w:t xml:space="preserve"> </w:t>
      </w:r>
      <w:r w:rsidR="00A47365">
        <w:t xml:space="preserve">Section 108 refers to any application submitted in terms of Chapter 6; </w:t>
      </w:r>
      <w:r w:rsidR="00D1148F">
        <w:t xml:space="preserve">section 83 makes it clear that this includes </w:t>
      </w:r>
      <w:r w:rsidR="00A1470F">
        <w:t>a departure application.</w:t>
      </w:r>
    </w:p>
  </w:footnote>
  <w:footnote w:id="65">
    <w:p w14:paraId="72760B68" w14:textId="19B77CAE" w:rsidR="00310C39" w:rsidRPr="00310C39" w:rsidRDefault="00310C39" w:rsidP="0030569B">
      <w:pPr>
        <w:pStyle w:val="FootnoteText"/>
        <w:jc w:val="both"/>
        <w:rPr>
          <w:lang w:val="en-US"/>
        </w:rPr>
      </w:pPr>
      <w:r>
        <w:rPr>
          <w:rStyle w:val="FootnoteReference"/>
        </w:rPr>
        <w:footnoteRef/>
      </w:r>
      <w:r>
        <w:t xml:space="preserve"> </w:t>
      </w:r>
      <w:r w:rsidR="00693649">
        <w:rPr>
          <w:lang w:val="en-US"/>
        </w:rPr>
        <w:t xml:space="preserve">Conditions of approval are addressed </w:t>
      </w:r>
      <w:r w:rsidR="00A9385E">
        <w:rPr>
          <w:lang w:val="en-US"/>
        </w:rPr>
        <w:t>under section 54.</w:t>
      </w:r>
    </w:p>
  </w:footnote>
  <w:footnote w:id="66">
    <w:p w14:paraId="4F3EBB0A" w14:textId="01F4A5BC" w:rsidR="0024142C" w:rsidRPr="0024142C" w:rsidRDefault="0024142C" w:rsidP="0030569B">
      <w:pPr>
        <w:pStyle w:val="FootnoteText"/>
        <w:jc w:val="both"/>
        <w:rPr>
          <w:lang w:val="en-US"/>
        </w:rPr>
      </w:pPr>
      <w:r>
        <w:rPr>
          <w:rStyle w:val="FootnoteReference"/>
        </w:rPr>
        <w:footnoteRef/>
      </w:r>
      <w:r>
        <w:t xml:space="preserve"> </w:t>
      </w:r>
      <w:r w:rsidR="007700E8">
        <w:rPr>
          <w:lang w:val="en-US"/>
        </w:rPr>
        <w:t>1988 (2) SA 12 (A).</w:t>
      </w:r>
    </w:p>
  </w:footnote>
  <w:footnote w:id="67">
    <w:p w14:paraId="16A94730" w14:textId="48D0E311" w:rsidR="001707D1" w:rsidRPr="001707D1" w:rsidRDefault="001707D1" w:rsidP="0030569B">
      <w:pPr>
        <w:pStyle w:val="FootnoteText"/>
        <w:jc w:val="both"/>
        <w:rPr>
          <w:lang w:val="en-US"/>
        </w:rPr>
      </w:pPr>
      <w:r>
        <w:rPr>
          <w:rStyle w:val="FootnoteReference"/>
        </w:rPr>
        <w:footnoteRef/>
      </w:r>
      <w:r>
        <w:t xml:space="preserve"> </w:t>
      </w:r>
      <w:r>
        <w:rPr>
          <w:lang w:val="en-US"/>
        </w:rPr>
        <w:t>At 40E.</w:t>
      </w:r>
    </w:p>
  </w:footnote>
  <w:footnote w:id="68">
    <w:p w14:paraId="5B31362D" w14:textId="16229CDC" w:rsidR="00241D2C" w:rsidRPr="00241D2C" w:rsidRDefault="00241D2C" w:rsidP="0030569B">
      <w:pPr>
        <w:pStyle w:val="FootnoteText"/>
        <w:jc w:val="both"/>
        <w:rPr>
          <w:lang w:val="en-US"/>
        </w:rPr>
      </w:pPr>
      <w:r>
        <w:rPr>
          <w:rStyle w:val="FootnoteReference"/>
        </w:rPr>
        <w:footnoteRef/>
      </w:r>
      <w:r>
        <w:t xml:space="preserve"> </w:t>
      </w:r>
      <w:r w:rsidR="00042109">
        <w:rPr>
          <w:lang w:val="en-US"/>
        </w:rPr>
        <w:t>2001 (4) SA 294 (CPD).</w:t>
      </w:r>
    </w:p>
  </w:footnote>
  <w:footnote w:id="69">
    <w:p w14:paraId="3787F6AB" w14:textId="152B6F3F" w:rsidR="008569F3" w:rsidRPr="008569F3" w:rsidRDefault="008569F3" w:rsidP="0030569B">
      <w:pPr>
        <w:pStyle w:val="FootnoteText"/>
        <w:jc w:val="both"/>
        <w:rPr>
          <w:lang w:val="en-US"/>
        </w:rPr>
      </w:pPr>
      <w:r>
        <w:rPr>
          <w:rStyle w:val="FootnoteReference"/>
        </w:rPr>
        <w:footnoteRef/>
      </w:r>
      <w:r>
        <w:t xml:space="preserve"> </w:t>
      </w:r>
      <w:r>
        <w:rPr>
          <w:lang w:val="en-US"/>
        </w:rPr>
        <w:t xml:space="preserve">At </w:t>
      </w:r>
      <w:r w:rsidR="00327E8F">
        <w:rPr>
          <w:lang w:val="en-US"/>
        </w:rPr>
        <w:t>324F-G.</w:t>
      </w:r>
      <w:r w:rsidR="00B142B8">
        <w:rPr>
          <w:lang w:val="en-US"/>
        </w:rPr>
        <w:t xml:space="preserve"> See, too, </w:t>
      </w:r>
      <w:r w:rsidR="005C4E67" w:rsidRPr="00787227">
        <w:rPr>
          <w:i/>
          <w:iCs/>
          <w:lang w:val="en-US"/>
        </w:rPr>
        <w:t xml:space="preserve">Van Rensburg and another NNO </w:t>
      </w:r>
      <w:r w:rsidR="00D37009" w:rsidRPr="00787227">
        <w:rPr>
          <w:i/>
          <w:iCs/>
          <w:lang w:val="en-US"/>
        </w:rPr>
        <w:t xml:space="preserve">v Nelson Mandela Metropolitan Municipality </w:t>
      </w:r>
      <w:r w:rsidR="00787227" w:rsidRPr="00787227">
        <w:rPr>
          <w:i/>
          <w:iCs/>
          <w:lang w:val="en-US"/>
        </w:rPr>
        <w:t>and others</w:t>
      </w:r>
      <w:r w:rsidR="00787227">
        <w:rPr>
          <w:lang w:val="en-US"/>
        </w:rPr>
        <w:t xml:space="preserve"> 2008 (2) SA 8 (SECLD)</w:t>
      </w:r>
      <w:r w:rsidR="00CF31A4">
        <w:rPr>
          <w:lang w:val="en-US"/>
        </w:rPr>
        <w:t xml:space="preserve">, where Froneman J </w:t>
      </w:r>
      <w:r w:rsidR="007819C8">
        <w:rPr>
          <w:lang w:val="en-US"/>
        </w:rPr>
        <w:t>foun</w:t>
      </w:r>
      <w:r w:rsidR="004E41BB">
        <w:rPr>
          <w:lang w:val="en-US"/>
        </w:rPr>
        <w:t>d</w:t>
      </w:r>
      <w:r w:rsidR="00D727FF">
        <w:rPr>
          <w:lang w:val="en-US"/>
        </w:rPr>
        <w:t>, at paragraph [8],</w:t>
      </w:r>
      <w:r w:rsidR="00CE696F">
        <w:rPr>
          <w:lang w:val="en-US"/>
        </w:rPr>
        <w:t xml:space="preserve"> that </w:t>
      </w:r>
      <w:r w:rsidR="005E50C3">
        <w:rPr>
          <w:lang w:val="en-US"/>
        </w:rPr>
        <w:t xml:space="preserve">a </w:t>
      </w:r>
      <w:r w:rsidR="00A23800">
        <w:rPr>
          <w:lang w:val="en-US"/>
        </w:rPr>
        <w:t xml:space="preserve">restrictive </w:t>
      </w:r>
      <w:r w:rsidR="00A360F4">
        <w:rPr>
          <w:lang w:val="en-US"/>
        </w:rPr>
        <w:t>condition</w:t>
      </w:r>
      <w:r w:rsidR="0037288E">
        <w:rPr>
          <w:lang w:val="en-US"/>
        </w:rPr>
        <w:t xml:space="preserve"> registered in favour of </w:t>
      </w:r>
      <w:r w:rsidR="00F30BA1">
        <w:rPr>
          <w:lang w:val="en-US"/>
        </w:rPr>
        <w:t xml:space="preserve">a </w:t>
      </w:r>
      <w:r w:rsidR="008C004A">
        <w:rPr>
          <w:lang w:val="en-US"/>
        </w:rPr>
        <w:t>local authority and any erf holder in a township</w:t>
      </w:r>
      <w:r w:rsidR="00271DAD">
        <w:rPr>
          <w:lang w:val="en-US"/>
        </w:rPr>
        <w:t xml:space="preserve">, stipulating that </w:t>
      </w:r>
      <w:r w:rsidR="00411D38">
        <w:rPr>
          <w:lang w:val="en-US"/>
        </w:rPr>
        <w:t xml:space="preserve">the erf in question be used for residential purposes only, </w:t>
      </w:r>
      <w:r w:rsidR="00F4056F">
        <w:rPr>
          <w:lang w:val="en-US"/>
        </w:rPr>
        <w:t>was characterized as a praedial servitude</w:t>
      </w:r>
      <w:r w:rsidR="008072D9">
        <w:rPr>
          <w:lang w:val="en-US"/>
        </w:rPr>
        <w:t xml:space="preserve"> in favour </w:t>
      </w:r>
      <w:r w:rsidR="000709CD">
        <w:rPr>
          <w:lang w:val="en-US"/>
        </w:rPr>
        <w:t>of such other erf holders.</w:t>
      </w:r>
      <w:r w:rsidR="00DD7903">
        <w:rPr>
          <w:lang w:val="en-US"/>
        </w:rPr>
        <w:t xml:space="preserve"> The Supreme Court of Appeal supported </w:t>
      </w:r>
      <w:r w:rsidR="007819C8">
        <w:rPr>
          <w:lang w:val="en-US"/>
        </w:rPr>
        <w:t xml:space="preserve">Froneman J’s finding in </w:t>
      </w:r>
      <w:r w:rsidR="005C2ABE" w:rsidRPr="00BD595E">
        <w:rPr>
          <w:i/>
          <w:iCs/>
          <w:lang w:val="en-US"/>
        </w:rPr>
        <w:t xml:space="preserve">Van Rensburg </w:t>
      </w:r>
      <w:r w:rsidR="007E59BC" w:rsidRPr="00BD595E">
        <w:rPr>
          <w:i/>
          <w:iCs/>
          <w:lang w:val="en-US"/>
        </w:rPr>
        <w:t>and another NNO v Naidoo and others NNO</w:t>
      </w:r>
      <w:r w:rsidR="00A6222A" w:rsidRPr="00BD595E">
        <w:rPr>
          <w:i/>
          <w:iCs/>
          <w:lang w:val="en-US"/>
        </w:rPr>
        <w:t>; Naidoo and others NNO v Van Rensburg NO and others</w:t>
      </w:r>
      <w:r w:rsidR="00A6222A">
        <w:rPr>
          <w:lang w:val="en-US"/>
        </w:rPr>
        <w:t xml:space="preserve"> 2011 (4) SA 149 (SCA).</w:t>
      </w:r>
    </w:p>
  </w:footnote>
  <w:footnote w:id="70">
    <w:p w14:paraId="6B83D687" w14:textId="33FB7E6C" w:rsidR="005C3E36" w:rsidRPr="005C3E36" w:rsidRDefault="005C3E36" w:rsidP="0030569B">
      <w:pPr>
        <w:pStyle w:val="FootnoteText"/>
        <w:jc w:val="both"/>
        <w:rPr>
          <w:lang w:val="en-US"/>
        </w:rPr>
      </w:pPr>
      <w:r>
        <w:rPr>
          <w:rStyle w:val="FootnoteReference"/>
        </w:rPr>
        <w:footnoteRef/>
      </w:r>
      <w:r>
        <w:t xml:space="preserve"> </w:t>
      </w:r>
      <w:r>
        <w:rPr>
          <w:lang w:val="en-US"/>
        </w:rPr>
        <w:t>Emphasis added.</w:t>
      </w:r>
    </w:p>
  </w:footnote>
  <w:footnote w:id="71">
    <w:p w14:paraId="4D2C3D03" w14:textId="77777777" w:rsidR="008F2014" w:rsidRPr="00DD349A" w:rsidRDefault="008F2014" w:rsidP="0030569B">
      <w:pPr>
        <w:pStyle w:val="FootnoteText"/>
        <w:jc w:val="both"/>
        <w:rPr>
          <w:lang w:val="en-US"/>
        </w:rPr>
      </w:pPr>
      <w:r>
        <w:rPr>
          <w:rStyle w:val="FootnoteReference"/>
        </w:rPr>
        <w:footnoteRef/>
      </w:r>
      <w:r>
        <w:t xml:space="preserve"> </w:t>
      </w:r>
      <w:r>
        <w:rPr>
          <w:lang w:val="en-US"/>
        </w:rPr>
        <w:t>2010 (6) SA 182 (CC).</w:t>
      </w:r>
    </w:p>
  </w:footnote>
  <w:footnote w:id="72">
    <w:p w14:paraId="352D81D8" w14:textId="77777777" w:rsidR="008F2014" w:rsidRPr="007516F3" w:rsidRDefault="008F2014" w:rsidP="0030569B">
      <w:pPr>
        <w:pStyle w:val="FootnoteText"/>
        <w:jc w:val="both"/>
        <w:rPr>
          <w:lang w:val="en-US"/>
        </w:rPr>
      </w:pPr>
      <w:r>
        <w:rPr>
          <w:rStyle w:val="FootnoteReference"/>
        </w:rPr>
        <w:footnoteRef/>
      </w:r>
      <w:r>
        <w:t xml:space="preserve"> </w:t>
      </w:r>
      <w:r>
        <w:rPr>
          <w:lang w:val="en-US"/>
        </w:rPr>
        <w:t xml:space="preserve">At paragraph [91]. See, too, </w:t>
      </w:r>
      <w:r w:rsidRPr="00E301CE">
        <w:rPr>
          <w:i/>
          <w:iCs/>
          <w:lang w:val="en-US"/>
        </w:rPr>
        <w:t>Minister of Local Government, Western Cape v Lagoonbay Lifestyle Estate (Pty) Ltd and others</w:t>
      </w:r>
      <w:r>
        <w:rPr>
          <w:lang w:val="en-US"/>
        </w:rPr>
        <w:t xml:space="preserve"> 2014 (1) SA 521 (CC), at paragraph [67].</w:t>
      </w:r>
    </w:p>
  </w:footnote>
  <w:footnote w:id="73">
    <w:p w14:paraId="4A3835E2" w14:textId="2DC49179" w:rsidR="002157BA" w:rsidRPr="002157BA" w:rsidRDefault="002157BA" w:rsidP="0030569B">
      <w:pPr>
        <w:pStyle w:val="FootnoteText"/>
        <w:jc w:val="both"/>
        <w:rPr>
          <w:lang w:val="en-US"/>
        </w:rPr>
      </w:pPr>
      <w:r>
        <w:rPr>
          <w:rStyle w:val="FootnoteReference"/>
        </w:rPr>
        <w:footnoteRef/>
      </w:r>
      <w:r>
        <w:t xml:space="preserve"> </w:t>
      </w:r>
      <w:r>
        <w:rPr>
          <w:lang w:val="en-US"/>
        </w:rPr>
        <w:t>It is common cause that the 180-day period expired on 3 January 2022; the review proceedings were instituted on 28 February 2022.</w:t>
      </w:r>
    </w:p>
  </w:footnote>
  <w:footnote w:id="74">
    <w:p w14:paraId="1D51FC36" w14:textId="3D4B6078" w:rsidR="00F14C1B" w:rsidRPr="00F14C1B" w:rsidRDefault="00F14C1B" w:rsidP="0030569B">
      <w:pPr>
        <w:pStyle w:val="FootnoteText"/>
        <w:jc w:val="both"/>
        <w:rPr>
          <w:lang w:val="en-US"/>
        </w:rPr>
      </w:pPr>
      <w:r>
        <w:rPr>
          <w:rStyle w:val="FootnoteReference"/>
        </w:rPr>
        <w:footnoteRef/>
      </w:r>
      <w:r>
        <w:t xml:space="preserve"> </w:t>
      </w:r>
      <w:r>
        <w:rPr>
          <w:lang w:val="en-US"/>
        </w:rPr>
        <w:t>Sic.</w:t>
      </w:r>
    </w:p>
  </w:footnote>
  <w:footnote w:id="75">
    <w:p w14:paraId="4C941954" w14:textId="1CC724D4" w:rsidR="00EA6ED3" w:rsidRPr="00EA6ED3" w:rsidRDefault="00EA6ED3" w:rsidP="0030569B">
      <w:pPr>
        <w:pStyle w:val="FootnoteText"/>
        <w:jc w:val="both"/>
        <w:rPr>
          <w:lang w:val="en-US"/>
        </w:rPr>
      </w:pPr>
      <w:r>
        <w:rPr>
          <w:rStyle w:val="FootnoteReference"/>
        </w:rPr>
        <w:footnoteRef/>
      </w:r>
      <w:r>
        <w:t xml:space="preserve"> </w:t>
      </w:r>
      <w:r w:rsidR="00F53CEC">
        <w:rPr>
          <w:lang w:val="en-US"/>
        </w:rPr>
        <w:t xml:space="preserve">Referred to, </w:t>
      </w:r>
      <w:r w:rsidR="00F53CEC" w:rsidRPr="00F53CEC">
        <w:rPr>
          <w:i/>
          <w:iCs/>
          <w:lang w:val="en-US"/>
        </w:rPr>
        <w:t>supra</w:t>
      </w:r>
      <w:r w:rsidR="00F53CEC">
        <w:rPr>
          <w:lang w:val="en-US"/>
        </w:rPr>
        <w:t>.</w:t>
      </w:r>
    </w:p>
  </w:footnote>
  <w:footnote w:id="76">
    <w:p w14:paraId="68AB1130" w14:textId="7525BA93" w:rsidR="00EF2BAC" w:rsidRPr="00EF2BAC" w:rsidRDefault="00EF2BAC" w:rsidP="0030569B">
      <w:pPr>
        <w:pStyle w:val="FootnoteText"/>
        <w:jc w:val="both"/>
        <w:rPr>
          <w:lang w:val="en-US"/>
        </w:rPr>
      </w:pPr>
      <w:r>
        <w:rPr>
          <w:rStyle w:val="FootnoteReference"/>
        </w:rPr>
        <w:footnoteRef/>
      </w:r>
      <w:r>
        <w:t xml:space="preserve"> </w:t>
      </w:r>
      <w:r>
        <w:rPr>
          <w:lang w:val="en-US"/>
        </w:rPr>
        <w:t>At paragraph [8].</w:t>
      </w:r>
      <w:r w:rsidR="009C569C">
        <w:rPr>
          <w:lang w:val="en-US"/>
        </w:rPr>
        <w:t xml:space="preserve"> See, too, </w:t>
      </w:r>
      <w:r w:rsidR="00A26D83" w:rsidRPr="00A26D83">
        <w:rPr>
          <w:i/>
          <w:iCs/>
        </w:rPr>
        <w:t>Nelson Mandela Bay Metro v Georgiou t/a Georgiou Guesthouse &amp; Spa and others</w:t>
      </w:r>
      <w:r w:rsidR="00A26D83">
        <w:t xml:space="preserve"> </w:t>
      </w:r>
      <w:r w:rsidR="00A1091C" w:rsidRPr="00A1091C">
        <w:rPr>
          <w:lang w:val="en-US"/>
        </w:rPr>
        <w:t>2016 (2) SA 394 (ECP)</w:t>
      </w:r>
      <w:r w:rsidR="00A1091C">
        <w:rPr>
          <w:lang w:val="en-US"/>
        </w:rPr>
        <w:t>.</w:t>
      </w:r>
    </w:p>
  </w:footnote>
  <w:footnote w:id="77">
    <w:p w14:paraId="6BCE38C8" w14:textId="1F6A2767" w:rsidR="00EC03E6" w:rsidRPr="00EC03E6" w:rsidRDefault="00EC03E6" w:rsidP="0030569B">
      <w:pPr>
        <w:pStyle w:val="FootnoteText"/>
        <w:jc w:val="both"/>
        <w:rPr>
          <w:lang w:val="en-US"/>
        </w:rPr>
      </w:pPr>
      <w:r>
        <w:rPr>
          <w:rStyle w:val="FootnoteReference"/>
        </w:rPr>
        <w:footnoteRef/>
      </w:r>
      <w:r>
        <w:t xml:space="preserve"> </w:t>
      </w:r>
      <w:r w:rsidR="00D63FB7">
        <w:rPr>
          <w:lang w:val="en-US"/>
        </w:rPr>
        <w:t>Section</w:t>
      </w:r>
      <w:r w:rsidR="00A117C2">
        <w:rPr>
          <w:lang w:val="en-US"/>
        </w:rPr>
        <w:t xml:space="preserve"> 9 of the new scheme.</w:t>
      </w:r>
    </w:p>
  </w:footnote>
  <w:footnote w:id="78">
    <w:p w14:paraId="07E8B117" w14:textId="18FA2DB9" w:rsidR="005D26B5" w:rsidRPr="005D26B5" w:rsidRDefault="005D26B5">
      <w:pPr>
        <w:pStyle w:val="FootnoteText"/>
        <w:rPr>
          <w:lang w:val="en-US"/>
        </w:rPr>
      </w:pPr>
      <w:r>
        <w:rPr>
          <w:rStyle w:val="FootnoteReference"/>
        </w:rPr>
        <w:footnoteRef/>
      </w:r>
      <w:r>
        <w:t xml:space="preserve"> </w:t>
      </w:r>
      <w:r>
        <w:rPr>
          <w:lang w:val="en-US"/>
        </w:rPr>
        <w:t xml:space="preserve">2007 (3) </w:t>
      </w:r>
      <w:r w:rsidR="005F2B45">
        <w:rPr>
          <w:lang w:val="en-US"/>
        </w:rPr>
        <w:t>SA 121 (CC).</w:t>
      </w:r>
    </w:p>
  </w:footnote>
  <w:footnote w:id="79">
    <w:p w14:paraId="71B7C988" w14:textId="52CAE426" w:rsidR="005D26B5" w:rsidRPr="005D26B5" w:rsidRDefault="005D26B5" w:rsidP="0030569B">
      <w:pPr>
        <w:pStyle w:val="FootnoteText"/>
        <w:jc w:val="both"/>
        <w:rPr>
          <w:lang w:val="en-US"/>
        </w:rPr>
      </w:pPr>
      <w:r>
        <w:rPr>
          <w:rStyle w:val="FootnoteReference"/>
        </w:rPr>
        <w:footnoteRef/>
      </w:r>
      <w:r>
        <w:t xml:space="preserve"> </w:t>
      </w:r>
      <w:r>
        <w:rPr>
          <w:lang w:val="en-US"/>
        </w:rPr>
        <w:t>At paragraph [29].</w:t>
      </w:r>
    </w:p>
  </w:footnote>
  <w:footnote w:id="80">
    <w:p w14:paraId="620A43C6" w14:textId="1A894AD7" w:rsidR="007132BB" w:rsidRDefault="007132BB" w:rsidP="0030569B">
      <w:pPr>
        <w:pStyle w:val="FootnoteText"/>
        <w:jc w:val="both"/>
      </w:pPr>
      <w:r>
        <w:rPr>
          <w:rStyle w:val="FootnoteReference"/>
        </w:rPr>
        <w:footnoteRef/>
      </w:r>
      <w:r>
        <w:t xml:space="preserve"> </w:t>
      </w:r>
      <w:r w:rsidR="007B763F">
        <w:rPr>
          <w:iCs/>
        </w:rPr>
        <w:t xml:space="preserve">At paragraph </w:t>
      </w:r>
      <w:r>
        <w:t>[30].</w:t>
      </w:r>
    </w:p>
  </w:footnote>
  <w:footnote w:id="81">
    <w:p w14:paraId="24FA2B92" w14:textId="60E03D74" w:rsidR="00417FA7" w:rsidRPr="00417FA7" w:rsidRDefault="00417FA7" w:rsidP="0030569B">
      <w:pPr>
        <w:pStyle w:val="FootnoteText"/>
        <w:jc w:val="both"/>
        <w:rPr>
          <w:lang w:val="en-US"/>
        </w:rPr>
      </w:pPr>
      <w:r>
        <w:rPr>
          <w:rStyle w:val="FootnoteReference"/>
        </w:rPr>
        <w:footnoteRef/>
      </w:r>
      <w:r>
        <w:t xml:space="preserve"> </w:t>
      </w:r>
      <w:r w:rsidR="000C0783">
        <w:t>2011 (4) SA 113 (CC).</w:t>
      </w:r>
    </w:p>
  </w:footnote>
  <w:footnote w:id="82">
    <w:p w14:paraId="63839E16" w14:textId="314C12CB" w:rsidR="002D34A3" w:rsidRPr="002D34A3" w:rsidRDefault="002D34A3" w:rsidP="0030569B">
      <w:pPr>
        <w:pStyle w:val="FootnoteText"/>
        <w:jc w:val="both"/>
        <w:rPr>
          <w:lang w:val="en-US"/>
        </w:rPr>
      </w:pPr>
      <w:r>
        <w:rPr>
          <w:rStyle w:val="FootnoteReference"/>
        </w:rPr>
        <w:footnoteRef/>
      </w:r>
      <w:r>
        <w:t xml:space="preserve"> </w:t>
      </w:r>
      <w:r>
        <w:rPr>
          <w:lang w:val="en-US"/>
        </w:rPr>
        <w:t>At paragraph [83].</w:t>
      </w:r>
    </w:p>
  </w:footnote>
  <w:footnote w:id="83">
    <w:p w14:paraId="557B6571" w14:textId="70B65FB5" w:rsidR="007C7ADC" w:rsidRPr="007C7ADC" w:rsidRDefault="007C7ADC" w:rsidP="0030569B">
      <w:pPr>
        <w:pStyle w:val="FootnoteText"/>
        <w:jc w:val="both"/>
        <w:rPr>
          <w:lang w:val="en-US"/>
        </w:rPr>
      </w:pPr>
      <w:r>
        <w:rPr>
          <w:rStyle w:val="FootnoteReference"/>
        </w:rPr>
        <w:footnoteRef/>
      </w:r>
      <w:r>
        <w:t xml:space="preserve"> </w:t>
      </w:r>
      <w:r>
        <w:rPr>
          <w:lang w:val="en-US"/>
        </w:rPr>
        <w:t xml:space="preserve">2014 (1) </w:t>
      </w:r>
      <w:r w:rsidR="001C78B6">
        <w:rPr>
          <w:lang w:val="en-US"/>
        </w:rPr>
        <w:t>SA 604</w:t>
      </w:r>
      <w:r>
        <w:rPr>
          <w:lang w:val="en-US"/>
        </w:rPr>
        <w:t xml:space="preserve"> (CC).</w:t>
      </w:r>
    </w:p>
  </w:footnote>
  <w:footnote w:id="84">
    <w:p w14:paraId="5E919E90" w14:textId="1AD04706" w:rsidR="00423ED0" w:rsidRPr="00423ED0" w:rsidRDefault="00423ED0">
      <w:pPr>
        <w:pStyle w:val="FootnoteText"/>
        <w:rPr>
          <w:lang w:val="en-US"/>
        </w:rPr>
      </w:pPr>
      <w:r>
        <w:rPr>
          <w:rStyle w:val="FootnoteReference"/>
        </w:rPr>
        <w:footnoteRef/>
      </w:r>
      <w:r>
        <w:t xml:space="preserve"> </w:t>
      </w:r>
      <w:r>
        <w:rPr>
          <w:lang w:val="en-US"/>
        </w:rPr>
        <w:t>At paragraph [25].</w:t>
      </w:r>
    </w:p>
  </w:footnote>
  <w:footnote w:id="85">
    <w:p w14:paraId="5BE4143C" w14:textId="1ED9268D" w:rsidR="00C94A13" w:rsidRPr="00C94A13" w:rsidRDefault="00C94A13">
      <w:pPr>
        <w:pStyle w:val="FootnoteText"/>
        <w:rPr>
          <w:lang w:val="en-US"/>
        </w:rPr>
      </w:pPr>
      <w:r>
        <w:rPr>
          <w:rStyle w:val="FootnoteReference"/>
        </w:rPr>
        <w:footnoteRef/>
      </w:r>
      <w:r>
        <w:t xml:space="preserve"> </w:t>
      </w:r>
      <w:r>
        <w:rPr>
          <w:lang w:val="en-US"/>
        </w:rPr>
        <w:t xml:space="preserve">See Heher JA’s remarks in </w:t>
      </w:r>
      <w:r w:rsidR="00D36744" w:rsidRPr="00D04DCF">
        <w:rPr>
          <w:i/>
          <w:iCs/>
          <w:lang w:val="en-US"/>
        </w:rPr>
        <w:t xml:space="preserve">Gauteng Gambling Board v Silverstar Development </w:t>
      </w:r>
      <w:r w:rsidR="00202194" w:rsidRPr="00D04DCF">
        <w:rPr>
          <w:i/>
          <w:iCs/>
          <w:lang w:val="en-US"/>
        </w:rPr>
        <w:t>Ltd</w:t>
      </w:r>
      <w:r w:rsidR="00202194">
        <w:rPr>
          <w:lang w:val="en-US"/>
        </w:rPr>
        <w:t xml:space="preserve"> 2005 (4) SA 67 (SCA), at paragraph </w:t>
      </w:r>
      <w:r w:rsidR="003638EA">
        <w:rPr>
          <w:lang w:val="en-US"/>
        </w:rPr>
        <w:t>[</w:t>
      </w:r>
      <w:r w:rsidR="00D04DCF">
        <w:rPr>
          <w:lang w:val="en-US"/>
        </w:rPr>
        <w:t>29</w:t>
      </w:r>
      <w:r w:rsidR="003638EA">
        <w:rPr>
          <w:lang w:val="en-US"/>
        </w:rPr>
        <w:t>]</w:t>
      </w:r>
      <w:r w:rsidR="00D04DCF">
        <w:rPr>
          <w:lang w:val="en-US"/>
        </w:rPr>
        <w:t>.</w:t>
      </w:r>
    </w:p>
  </w:footnote>
  <w:footnote w:id="86">
    <w:p w14:paraId="0F801664" w14:textId="4F3811E0" w:rsidR="001B0694" w:rsidRPr="001B0694" w:rsidRDefault="001B0694">
      <w:pPr>
        <w:pStyle w:val="FootnoteText"/>
        <w:rPr>
          <w:lang w:val="en-US"/>
        </w:rPr>
      </w:pPr>
      <w:r>
        <w:rPr>
          <w:rStyle w:val="FootnoteReference"/>
        </w:rPr>
        <w:footnoteRef/>
      </w:r>
      <w:r>
        <w:t xml:space="preserve"> </w:t>
      </w:r>
      <w:r w:rsidRPr="001B0694">
        <w:rPr>
          <w:lang w:val="en-GB"/>
        </w:rPr>
        <w:t>1969 (2) SA 72 (T)</w:t>
      </w:r>
      <w:r>
        <w:rPr>
          <w:lang w:val="en-GB"/>
        </w:rPr>
        <w:t>.</w:t>
      </w:r>
    </w:p>
  </w:footnote>
  <w:footnote w:id="87">
    <w:p w14:paraId="67DE46DB" w14:textId="1A7A28E5" w:rsidR="00B528DE" w:rsidRPr="00B528DE" w:rsidRDefault="00B528DE" w:rsidP="0030569B">
      <w:pPr>
        <w:pStyle w:val="FootnoteText"/>
        <w:jc w:val="both"/>
        <w:rPr>
          <w:lang w:val="en-US"/>
        </w:rPr>
      </w:pPr>
      <w:r>
        <w:rPr>
          <w:rStyle w:val="FootnoteReference"/>
        </w:rPr>
        <w:footnoteRef/>
      </w:r>
      <w:r>
        <w:t xml:space="preserve"> </w:t>
      </w:r>
      <w:r>
        <w:rPr>
          <w:lang w:val="en-US"/>
        </w:rPr>
        <w:t>At 76</w:t>
      </w:r>
      <w:r w:rsidR="00015409">
        <w:rPr>
          <w:lang w:val="en-US"/>
        </w:rPr>
        <w:t>D-G.</w:t>
      </w:r>
    </w:p>
  </w:footnote>
  <w:footnote w:id="88">
    <w:p w14:paraId="2B47B38A" w14:textId="16C46C86" w:rsidR="00104D9D" w:rsidRPr="00104D9D" w:rsidRDefault="00104D9D" w:rsidP="0030569B">
      <w:pPr>
        <w:pStyle w:val="FootnoteText"/>
        <w:jc w:val="both"/>
        <w:rPr>
          <w:lang w:val="en-US"/>
        </w:rPr>
      </w:pPr>
      <w:r>
        <w:rPr>
          <w:rStyle w:val="FootnoteReference"/>
        </w:rPr>
        <w:footnoteRef/>
      </w:r>
      <w:r>
        <w:t xml:space="preserve"> A similar situation arose in </w:t>
      </w:r>
      <w:r w:rsidR="008E384A" w:rsidRPr="00665C54">
        <w:rPr>
          <w:i/>
          <w:iCs/>
        </w:rPr>
        <w:t>Hartman v Chairman, Board for Religious Objection</w:t>
      </w:r>
      <w:r w:rsidR="008C083B">
        <w:t xml:space="preserve"> 1987 (1) SA 922 (O), discussed in </w:t>
      </w:r>
      <w:r w:rsidR="00DA6EA6">
        <w:t xml:space="preserve">Cora Hoexter, </w:t>
      </w:r>
      <w:r w:rsidR="00DA6EA6" w:rsidRPr="00665C54">
        <w:rPr>
          <w:i/>
          <w:iCs/>
        </w:rPr>
        <w:t>Administrative Law in South Africa</w:t>
      </w:r>
      <w:r w:rsidR="00DA6EA6">
        <w:t xml:space="preserve"> (</w:t>
      </w:r>
      <w:r w:rsidR="00A667EA">
        <w:t>Juta &amp; Co, 2007</w:t>
      </w:r>
      <w:r w:rsidR="00665C54">
        <w:t>), at 490.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85068"/>
      <w:docPartObj>
        <w:docPartGallery w:val="Page Numbers (Top of Page)"/>
        <w:docPartUnique/>
      </w:docPartObj>
    </w:sdtPr>
    <w:sdtEndPr>
      <w:rPr>
        <w:noProof/>
      </w:rPr>
    </w:sdtEndPr>
    <w:sdtContent>
      <w:p w14:paraId="6B6E4815" w14:textId="3ADEAF87" w:rsidR="00A763AA" w:rsidRDefault="00A763AA">
        <w:pPr>
          <w:pStyle w:val="Header"/>
          <w:jc w:val="center"/>
        </w:pPr>
        <w:r>
          <w:fldChar w:fldCharType="begin"/>
        </w:r>
        <w:r>
          <w:instrText xml:space="preserve"> PAGE   \* MERGEFORMAT </w:instrText>
        </w:r>
        <w:r>
          <w:fldChar w:fldCharType="separate"/>
        </w:r>
        <w:r w:rsidR="007B0231">
          <w:rPr>
            <w:noProof/>
          </w:rPr>
          <w:t>33</w:t>
        </w:r>
        <w:r>
          <w:rPr>
            <w:noProof/>
          </w:rPr>
          <w:fldChar w:fldCharType="end"/>
        </w:r>
      </w:p>
    </w:sdtContent>
  </w:sdt>
  <w:p w14:paraId="68E7C561" w14:textId="77777777" w:rsidR="00A763AA" w:rsidRDefault="00A763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ED0"/>
    <w:multiLevelType w:val="hybridMultilevel"/>
    <w:tmpl w:val="136C64A2"/>
    <w:lvl w:ilvl="0" w:tplc="2842DC4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5C4D80"/>
    <w:multiLevelType w:val="hybridMultilevel"/>
    <w:tmpl w:val="A0D6DA6A"/>
    <w:lvl w:ilvl="0" w:tplc="475A9856">
      <w:start w:val="27"/>
      <w:numFmt w:val="lowerLetter"/>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5FB1506"/>
    <w:multiLevelType w:val="hybridMultilevel"/>
    <w:tmpl w:val="9B347E9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E24B1"/>
    <w:multiLevelType w:val="hybridMultilevel"/>
    <w:tmpl w:val="8D626112"/>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D52C87"/>
    <w:multiLevelType w:val="hybridMultilevel"/>
    <w:tmpl w:val="181C437C"/>
    <w:lvl w:ilvl="0" w:tplc="EE1E9C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342FE"/>
    <w:multiLevelType w:val="hybridMultilevel"/>
    <w:tmpl w:val="9B7090E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903A76"/>
    <w:multiLevelType w:val="hybridMultilevel"/>
    <w:tmpl w:val="E05E2D38"/>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CF635DA"/>
    <w:multiLevelType w:val="hybridMultilevel"/>
    <w:tmpl w:val="6882C368"/>
    <w:lvl w:ilvl="0" w:tplc="4858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CC262B"/>
    <w:multiLevelType w:val="hybridMultilevel"/>
    <w:tmpl w:val="186E8246"/>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B3B270C"/>
    <w:multiLevelType w:val="hybridMultilevel"/>
    <w:tmpl w:val="EC5E723A"/>
    <w:lvl w:ilvl="0" w:tplc="A596EC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687F28"/>
    <w:multiLevelType w:val="hybridMultilevel"/>
    <w:tmpl w:val="F440DD9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A87B19"/>
    <w:multiLevelType w:val="hybridMultilevel"/>
    <w:tmpl w:val="635049EC"/>
    <w:lvl w:ilvl="0" w:tplc="E5082A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276C20"/>
    <w:multiLevelType w:val="hybridMultilevel"/>
    <w:tmpl w:val="5D38A108"/>
    <w:lvl w:ilvl="0" w:tplc="01A463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3277A0"/>
    <w:multiLevelType w:val="hybridMultilevel"/>
    <w:tmpl w:val="FE8005F4"/>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0F41E4"/>
    <w:multiLevelType w:val="hybridMultilevel"/>
    <w:tmpl w:val="052CAAC4"/>
    <w:lvl w:ilvl="0" w:tplc="B2E69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B1E26"/>
    <w:multiLevelType w:val="hybridMultilevel"/>
    <w:tmpl w:val="95A0A2BA"/>
    <w:lvl w:ilvl="0" w:tplc="C6C03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A5406B"/>
    <w:multiLevelType w:val="hybridMultilevel"/>
    <w:tmpl w:val="7778BA92"/>
    <w:lvl w:ilvl="0" w:tplc="9410A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C26A0"/>
    <w:multiLevelType w:val="hybridMultilevel"/>
    <w:tmpl w:val="6B6456C6"/>
    <w:lvl w:ilvl="0" w:tplc="9F04E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4C2320"/>
    <w:multiLevelType w:val="hybridMultilevel"/>
    <w:tmpl w:val="8D4AD9BE"/>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9C6A6A"/>
    <w:multiLevelType w:val="hybridMultilevel"/>
    <w:tmpl w:val="6158EF84"/>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0CF2A5B"/>
    <w:multiLevelType w:val="hybridMultilevel"/>
    <w:tmpl w:val="524231DA"/>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75A3420"/>
    <w:multiLevelType w:val="hybridMultilevel"/>
    <w:tmpl w:val="D9F65C82"/>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1C506F"/>
    <w:multiLevelType w:val="hybridMultilevel"/>
    <w:tmpl w:val="2DA6B42C"/>
    <w:lvl w:ilvl="0" w:tplc="824640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88714D"/>
    <w:multiLevelType w:val="hybridMultilevel"/>
    <w:tmpl w:val="D7D6EF5E"/>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EE87EC2"/>
    <w:multiLevelType w:val="hybridMultilevel"/>
    <w:tmpl w:val="7D8600B6"/>
    <w:lvl w:ilvl="0" w:tplc="46E2B1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141DB8"/>
    <w:multiLevelType w:val="hybridMultilevel"/>
    <w:tmpl w:val="A724B2F0"/>
    <w:lvl w:ilvl="0" w:tplc="313C30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24"/>
  </w:num>
  <w:num w:numId="3">
    <w:abstractNumId w:val="9"/>
  </w:num>
  <w:num w:numId="4">
    <w:abstractNumId w:val="7"/>
  </w:num>
  <w:num w:numId="5">
    <w:abstractNumId w:val="17"/>
  </w:num>
  <w:num w:numId="6">
    <w:abstractNumId w:val="15"/>
  </w:num>
  <w:num w:numId="7">
    <w:abstractNumId w:val="12"/>
  </w:num>
  <w:num w:numId="8">
    <w:abstractNumId w:val="16"/>
  </w:num>
  <w:num w:numId="9">
    <w:abstractNumId w:val="0"/>
  </w:num>
  <w:num w:numId="10">
    <w:abstractNumId w:val="14"/>
  </w:num>
  <w:num w:numId="11">
    <w:abstractNumId w:val="11"/>
  </w:num>
  <w:num w:numId="12">
    <w:abstractNumId w:val="4"/>
  </w:num>
  <w:num w:numId="13">
    <w:abstractNumId w:val="1"/>
  </w:num>
  <w:num w:numId="14">
    <w:abstractNumId w:val="3"/>
  </w:num>
  <w:num w:numId="15">
    <w:abstractNumId w:val="20"/>
  </w:num>
  <w:num w:numId="16">
    <w:abstractNumId w:val="23"/>
  </w:num>
  <w:num w:numId="17">
    <w:abstractNumId w:val="21"/>
  </w:num>
  <w:num w:numId="18">
    <w:abstractNumId w:val="8"/>
  </w:num>
  <w:num w:numId="19">
    <w:abstractNumId w:val="18"/>
  </w:num>
  <w:num w:numId="20">
    <w:abstractNumId w:val="13"/>
  </w:num>
  <w:num w:numId="21">
    <w:abstractNumId w:val="10"/>
  </w:num>
  <w:num w:numId="22">
    <w:abstractNumId w:val="5"/>
  </w:num>
  <w:num w:numId="23">
    <w:abstractNumId w:val="19"/>
  </w:num>
  <w:num w:numId="24">
    <w:abstractNumId w:val="6"/>
  </w:num>
  <w:num w:numId="25">
    <w:abstractNumId w:val="2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A7"/>
    <w:rsid w:val="00000156"/>
    <w:rsid w:val="00000CA1"/>
    <w:rsid w:val="00000D91"/>
    <w:rsid w:val="00000E76"/>
    <w:rsid w:val="00001AD1"/>
    <w:rsid w:val="00002009"/>
    <w:rsid w:val="00002625"/>
    <w:rsid w:val="00002734"/>
    <w:rsid w:val="00002791"/>
    <w:rsid w:val="000028EA"/>
    <w:rsid w:val="0000304D"/>
    <w:rsid w:val="00003945"/>
    <w:rsid w:val="0000479B"/>
    <w:rsid w:val="00005655"/>
    <w:rsid w:val="000057AF"/>
    <w:rsid w:val="00005982"/>
    <w:rsid w:val="00006732"/>
    <w:rsid w:val="000079EF"/>
    <w:rsid w:val="00010275"/>
    <w:rsid w:val="00010496"/>
    <w:rsid w:val="00012917"/>
    <w:rsid w:val="00013D84"/>
    <w:rsid w:val="0001423F"/>
    <w:rsid w:val="0001434B"/>
    <w:rsid w:val="00014DB5"/>
    <w:rsid w:val="00015409"/>
    <w:rsid w:val="00015F86"/>
    <w:rsid w:val="00016027"/>
    <w:rsid w:val="0002041F"/>
    <w:rsid w:val="0002111F"/>
    <w:rsid w:val="000213B3"/>
    <w:rsid w:val="00021B0D"/>
    <w:rsid w:val="0002335B"/>
    <w:rsid w:val="0002417F"/>
    <w:rsid w:val="00024493"/>
    <w:rsid w:val="0002454F"/>
    <w:rsid w:val="00024F76"/>
    <w:rsid w:val="00025ED7"/>
    <w:rsid w:val="00027371"/>
    <w:rsid w:val="00027736"/>
    <w:rsid w:val="00030689"/>
    <w:rsid w:val="00031D20"/>
    <w:rsid w:val="000322F4"/>
    <w:rsid w:val="000325D6"/>
    <w:rsid w:val="00032B02"/>
    <w:rsid w:val="00032EA9"/>
    <w:rsid w:val="00033870"/>
    <w:rsid w:val="0003552C"/>
    <w:rsid w:val="00036125"/>
    <w:rsid w:val="00037AD1"/>
    <w:rsid w:val="00040369"/>
    <w:rsid w:val="00040B7F"/>
    <w:rsid w:val="000410DC"/>
    <w:rsid w:val="00042109"/>
    <w:rsid w:val="000423BF"/>
    <w:rsid w:val="00042628"/>
    <w:rsid w:val="000445DF"/>
    <w:rsid w:val="00045563"/>
    <w:rsid w:val="000464C1"/>
    <w:rsid w:val="000465AE"/>
    <w:rsid w:val="000467A3"/>
    <w:rsid w:val="00047859"/>
    <w:rsid w:val="00047E57"/>
    <w:rsid w:val="0005057A"/>
    <w:rsid w:val="00050A03"/>
    <w:rsid w:val="00051C56"/>
    <w:rsid w:val="0005233E"/>
    <w:rsid w:val="000527DF"/>
    <w:rsid w:val="00052D4E"/>
    <w:rsid w:val="000536B3"/>
    <w:rsid w:val="00054BA6"/>
    <w:rsid w:val="00055FA0"/>
    <w:rsid w:val="000563D8"/>
    <w:rsid w:val="000573B1"/>
    <w:rsid w:val="000575F6"/>
    <w:rsid w:val="00057973"/>
    <w:rsid w:val="0006013B"/>
    <w:rsid w:val="00060879"/>
    <w:rsid w:val="00060B73"/>
    <w:rsid w:val="00061CFE"/>
    <w:rsid w:val="00063767"/>
    <w:rsid w:val="00063C70"/>
    <w:rsid w:val="000644B7"/>
    <w:rsid w:val="00065261"/>
    <w:rsid w:val="00065304"/>
    <w:rsid w:val="00066DBE"/>
    <w:rsid w:val="0006721B"/>
    <w:rsid w:val="000678EC"/>
    <w:rsid w:val="00067E46"/>
    <w:rsid w:val="000708E6"/>
    <w:rsid w:val="000709CD"/>
    <w:rsid w:val="00072CBD"/>
    <w:rsid w:val="00072EB0"/>
    <w:rsid w:val="0007304B"/>
    <w:rsid w:val="00074501"/>
    <w:rsid w:val="00074B20"/>
    <w:rsid w:val="00074E9E"/>
    <w:rsid w:val="00075977"/>
    <w:rsid w:val="00075C04"/>
    <w:rsid w:val="00075C6B"/>
    <w:rsid w:val="00076165"/>
    <w:rsid w:val="000773BC"/>
    <w:rsid w:val="00077BE2"/>
    <w:rsid w:val="00077DC6"/>
    <w:rsid w:val="0008095E"/>
    <w:rsid w:val="00081E12"/>
    <w:rsid w:val="000820DE"/>
    <w:rsid w:val="0008240E"/>
    <w:rsid w:val="000829D0"/>
    <w:rsid w:val="00082B2B"/>
    <w:rsid w:val="0008381C"/>
    <w:rsid w:val="00083A74"/>
    <w:rsid w:val="00083AB7"/>
    <w:rsid w:val="00083FAB"/>
    <w:rsid w:val="00084806"/>
    <w:rsid w:val="00085B0D"/>
    <w:rsid w:val="0008642E"/>
    <w:rsid w:val="000871DF"/>
    <w:rsid w:val="000877F1"/>
    <w:rsid w:val="0009042C"/>
    <w:rsid w:val="0009105E"/>
    <w:rsid w:val="00091704"/>
    <w:rsid w:val="00091D55"/>
    <w:rsid w:val="00092197"/>
    <w:rsid w:val="0009249A"/>
    <w:rsid w:val="00093594"/>
    <w:rsid w:val="000943FA"/>
    <w:rsid w:val="0009480D"/>
    <w:rsid w:val="000949DA"/>
    <w:rsid w:val="0009637A"/>
    <w:rsid w:val="00096C5B"/>
    <w:rsid w:val="000A00B9"/>
    <w:rsid w:val="000A13E7"/>
    <w:rsid w:val="000A1F14"/>
    <w:rsid w:val="000A2908"/>
    <w:rsid w:val="000A2F9C"/>
    <w:rsid w:val="000A305F"/>
    <w:rsid w:val="000A38C6"/>
    <w:rsid w:val="000A3E78"/>
    <w:rsid w:val="000A5F98"/>
    <w:rsid w:val="000A634E"/>
    <w:rsid w:val="000A6500"/>
    <w:rsid w:val="000A6545"/>
    <w:rsid w:val="000A68F7"/>
    <w:rsid w:val="000A6E9A"/>
    <w:rsid w:val="000A722E"/>
    <w:rsid w:val="000A72B0"/>
    <w:rsid w:val="000A7A3B"/>
    <w:rsid w:val="000B0633"/>
    <w:rsid w:val="000B20AA"/>
    <w:rsid w:val="000B2E19"/>
    <w:rsid w:val="000B3408"/>
    <w:rsid w:val="000B3753"/>
    <w:rsid w:val="000B43E2"/>
    <w:rsid w:val="000B4B98"/>
    <w:rsid w:val="000B4CC5"/>
    <w:rsid w:val="000B4D00"/>
    <w:rsid w:val="000B6A0A"/>
    <w:rsid w:val="000B6DE1"/>
    <w:rsid w:val="000B7003"/>
    <w:rsid w:val="000C0783"/>
    <w:rsid w:val="000C1D94"/>
    <w:rsid w:val="000C3277"/>
    <w:rsid w:val="000C3CD9"/>
    <w:rsid w:val="000C4EE3"/>
    <w:rsid w:val="000C5309"/>
    <w:rsid w:val="000C682E"/>
    <w:rsid w:val="000C6EB9"/>
    <w:rsid w:val="000C7563"/>
    <w:rsid w:val="000C7F95"/>
    <w:rsid w:val="000D0565"/>
    <w:rsid w:val="000D1B8D"/>
    <w:rsid w:val="000D3827"/>
    <w:rsid w:val="000D3B96"/>
    <w:rsid w:val="000D4533"/>
    <w:rsid w:val="000D5F6E"/>
    <w:rsid w:val="000D624D"/>
    <w:rsid w:val="000D6744"/>
    <w:rsid w:val="000E01CA"/>
    <w:rsid w:val="000E1EA5"/>
    <w:rsid w:val="000E267C"/>
    <w:rsid w:val="000E2BA2"/>
    <w:rsid w:val="000E3308"/>
    <w:rsid w:val="000E36BE"/>
    <w:rsid w:val="000E47CC"/>
    <w:rsid w:val="000E534F"/>
    <w:rsid w:val="000E5539"/>
    <w:rsid w:val="000E6453"/>
    <w:rsid w:val="000E7430"/>
    <w:rsid w:val="000F071C"/>
    <w:rsid w:val="000F1B75"/>
    <w:rsid w:val="000F2E63"/>
    <w:rsid w:val="000F31A6"/>
    <w:rsid w:val="000F33C1"/>
    <w:rsid w:val="000F3BC4"/>
    <w:rsid w:val="000F5390"/>
    <w:rsid w:val="000F544E"/>
    <w:rsid w:val="000F5A0B"/>
    <w:rsid w:val="000F5F4B"/>
    <w:rsid w:val="000F6DF1"/>
    <w:rsid w:val="000F7DC5"/>
    <w:rsid w:val="00100F26"/>
    <w:rsid w:val="00101F1A"/>
    <w:rsid w:val="00101F5B"/>
    <w:rsid w:val="00102339"/>
    <w:rsid w:val="001027A5"/>
    <w:rsid w:val="001027BD"/>
    <w:rsid w:val="00102BE3"/>
    <w:rsid w:val="00103060"/>
    <w:rsid w:val="0010429F"/>
    <w:rsid w:val="00104A61"/>
    <w:rsid w:val="00104D9D"/>
    <w:rsid w:val="001057B5"/>
    <w:rsid w:val="0010581F"/>
    <w:rsid w:val="001071A0"/>
    <w:rsid w:val="0011068F"/>
    <w:rsid w:val="0011123B"/>
    <w:rsid w:val="001114DC"/>
    <w:rsid w:val="001121A2"/>
    <w:rsid w:val="00112522"/>
    <w:rsid w:val="00112682"/>
    <w:rsid w:val="00112EFB"/>
    <w:rsid w:val="001140C2"/>
    <w:rsid w:val="00115540"/>
    <w:rsid w:val="00115730"/>
    <w:rsid w:val="00115DAB"/>
    <w:rsid w:val="00116901"/>
    <w:rsid w:val="001170C6"/>
    <w:rsid w:val="00117876"/>
    <w:rsid w:val="001206A5"/>
    <w:rsid w:val="00120F0B"/>
    <w:rsid w:val="0012152C"/>
    <w:rsid w:val="001216CB"/>
    <w:rsid w:val="00121CB7"/>
    <w:rsid w:val="00123699"/>
    <w:rsid w:val="001236CE"/>
    <w:rsid w:val="0012478F"/>
    <w:rsid w:val="0012517F"/>
    <w:rsid w:val="00125BD3"/>
    <w:rsid w:val="00125D87"/>
    <w:rsid w:val="00126013"/>
    <w:rsid w:val="001262E5"/>
    <w:rsid w:val="001264E2"/>
    <w:rsid w:val="00126BD0"/>
    <w:rsid w:val="00130A73"/>
    <w:rsid w:val="00130F46"/>
    <w:rsid w:val="0013221A"/>
    <w:rsid w:val="001322ED"/>
    <w:rsid w:val="001327F6"/>
    <w:rsid w:val="0013307E"/>
    <w:rsid w:val="00133264"/>
    <w:rsid w:val="001332E4"/>
    <w:rsid w:val="00133545"/>
    <w:rsid w:val="00134729"/>
    <w:rsid w:val="00135241"/>
    <w:rsid w:val="001366F9"/>
    <w:rsid w:val="00136EEA"/>
    <w:rsid w:val="00136FB6"/>
    <w:rsid w:val="00140054"/>
    <w:rsid w:val="00142030"/>
    <w:rsid w:val="001423A7"/>
    <w:rsid w:val="00142A05"/>
    <w:rsid w:val="00143222"/>
    <w:rsid w:val="001442C7"/>
    <w:rsid w:val="00144597"/>
    <w:rsid w:val="001447D4"/>
    <w:rsid w:val="00144E3A"/>
    <w:rsid w:val="00144F6C"/>
    <w:rsid w:val="001457E3"/>
    <w:rsid w:val="0014658F"/>
    <w:rsid w:val="00146C8B"/>
    <w:rsid w:val="0014742E"/>
    <w:rsid w:val="0014785C"/>
    <w:rsid w:val="00147A6C"/>
    <w:rsid w:val="001505A1"/>
    <w:rsid w:val="00150917"/>
    <w:rsid w:val="00150DD8"/>
    <w:rsid w:val="00150FEC"/>
    <w:rsid w:val="00151EB9"/>
    <w:rsid w:val="00151F40"/>
    <w:rsid w:val="001532E4"/>
    <w:rsid w:val="001539AE"/>
    <w:rsid w:val="00154C70"/>
    <w:rsid w:val="00154FF5"/>
    <w:rsid w:val="00157E80"/>
    <w:rsid w:val="001609AA"/>
    <w:rsid w:val="00161AF9"/>
    <w:rsid w:val="00162162"/>
    <w:rsid w:val="00162347"/>
    <w:rsid w:val="00162400"/>
    <w:rsid w:val="00162E8F"/>
    <w:rsid w:val="00163906"/>
    <w:rsid w:val="00163951"/>
    <w:rsid w:val="001639DC"/>
    <w:rsid w:val="00164634"/>
    <w:rsid w:val="00164706"/>
    <w:rsid w:val="00165404"/>
    <w:rsid w:val="00165843"/>
    <w:rsid w:val="00166206"/>
    <w:rsid w:val="00166EA6"/>
    <w:rsid w:val="00167A99"/>
    <w:rsid w:val="001707D1"/>
    <w:rsid w:val="001719FB"/>
    <w:rsid w:val="00171AC9"/>
    <w:rsid w:val="00172F6C"/>
    <w:rsid w:val="00173132"/>
    <w:rsid w:val="00173D48"/>
    <w:rsid w:val="00173D88"/>
    <w:rsid w:val="001744E2"/>
    <w:rsid w:val="00174DA6"/>
    <w:rsid w:val="001751D5"/>
    <w:rsid w:val="00177423"/>
    <w:rsid w:val="00180ACB"/>
    <w:rsid w:val="00180D47"/>
    <w:rsid w:val="00181235"/>
    <w:rsid w:val="00181F16"/>
    <w:rsid w:val="00182A50"/>
    <w:rsid w:val="001831A3"/>
    <w:rsid w:val="00183594"/>
    <w:rsid w:val="00183F28"/>
    <w:rsid w:val="00186A2D"/>
    <w:rsid w:val="00186E7B"/>
    <w:rsid w:val="00187407"/>
    <w:rsid w:val="0018764E"/>
    <w:rsid w:val="001901D8"/>
    <w:rsid w:val="00191973"/>
    <w:rsid w:val="00191E52"/>
    <w:rsid w:val="0019230E"/>
    <w:rsid w:val="00193560"/>
    <w:rsid w:val="00193561"/>
    <w:rsid w:val="00193BAE"/>
    <w:rsid w:val="00195A94"/>
    <w:rsid w:val="001960CB"/>
    <w:rsid w:val="001961B9"/>
    <w:rsid w:val="00196722"/>
    <w:rsid w:val="001967F2"/>
    <w:rsid w:val="00196E11"/>
    <w:rsid w:val="00196FFE"/>
    <w:rsid w:val="00197F2D"/>
    <w:rsid w:val="001A0E95"/>
    <w:rsid w:val="001A1A79"/>
    <w:rsid w:val="001A1CEC"/>
    <w:rsid w:val="001A25AF"/>
    <w:rsid w:val="001A2746"/>
    <w:rsid w:val="001A334D"/>
    <w:rsid w:val="001A3A33"/>
    <w:rsid w:val="001A3F86"/>
    <w:rsid w:val="001A409A"/>
    <w:rsid w:val="001A4342"/>
    <w:rsid w:val="001A6024"/>
    <w:rsid w:val="001A6C1D"/>
    <w:rsid w:val="001A773A"/>
    <w:rsid w:val="001B0694"/>
    <w:rsid w:val="001B13AD"/>
    <w:rsid w:val="001B212B"/>
    <w:rsid w:val="001B22E1"/>
    <w:rsid w:val="001B272A"/>
    <w:rsid w:val="001B2900"/>
    <w:rsid w:val="001B2F0E"/>
    <w:rsid w:val="001B339D"/>
    <w:rsid w:val="001B46F4"/>
    <w:rsid w:val="001B5821"/>
    <w:rsid w:val="001B6B79"/>
    <w:rsid w:val="001B6D2B"/>
    <w:rsid w:val="001B6F05"/>
    <w:rsid w:val="001C017A"/>
    <w:rsid w:val="001C06D8"/>
    <w:rsid w:val="001C0D44"/>
    <w:rsid w:val="001C1F68"/>
    <w:rsid w:val="001C2512"/>
    <w:rsid w:val="001C2EEB"/>
    <w:rsid w:val="001C3F72"/>
    <w:rsid w:val="001C480B"/>
    <w:rsid w:val="001C499C"/>
    <w:rsid w:val="001C52BF"/>
    <w:rsid w:val="001C67D1"/>
    <w:rsid w:val="001C71EB"/>
    <w:rsid w:val="001C7250"/>
    <w:rsid w:val="001C72F2"/>
    <w:rsid w:val="001C72FF"/>
    <w:rsid w:val="001C7653"/>
    <w:rsid w:val="001C789C"/>
    <w:rsid w:val="001C78B6"/>
    <w:rsid w:val="001D024D"/>
    <w:rsid w:val="001D0330"/>
    <w:rsid w:val="001D0B5C"/>
    <w:rsid w:val="001D151B"/>
    <w:rsid w:val="001D21B3"/>
    <w:rsid w:val="001D2431"/>
    <w:rsid w:val="001D4427"/>
    <w:rsid w:val="001D45A2"/>
    <w:rsid w:val="001D45C8"/>
    <w:rsid w:val="001D488F"/>
    <w:rsid w:val="001D4E46"/>
    <w:rsid w:val="001D5182"/>
    <w:rsid w:val="001D7341"/>
    <w:rsid w:val="001D7A80"/>
    <w:rsid w:val="001E0F3B"/>
    <w:rsid w:val="001E2679"/>
    <w:rsid w:val="001E3B57"/>
    <w:rsid w:val="001E4128"/>
    <w:rsid w:val="001E44A9"/>
    <w:rsid w:val="001E51F8"/>
    <w:rsid w:val="001E73C9"/>
    <w:rsid w:val="001E755D"/>
    <w:rsid w:val="001E7620"/>
    <w:rsid w:val="001E7734"/>
    <w:rsid w:val="001E7F44"/>
    <w:rsid w:val="001F02FB"/>
    <w:rsid w:val="001F1E7F"/>
    <w:rsid w:val="001F2735"/>
    <w:rsid w:val="001F3679"/>
    <w:rsid w:val="001F3CD7"/>
    <w:rsid w:val="001F45F8"/>
    <w:rsid w:val="001F4E4D"/>
    <w:rsid w:val="001F5E65"/>
    <w:rsid w:val="001F67F1"/>
    <w:rsid w:val="001F7151"/>
    <w:rsid w:val="0020025E"/>
    <w:rsid w:val="00200899"/>
    <w:rsid w:val="002009A7"/>
    <w:rsid w:val="00200F51"/>
    <w:rsid w:val="002016F7"/>
    <w:rsid w:val="00201E9C"/>
    <w:rsid w:val="00202194"/>
    <w:rsid w:val="002022AF"/>
    <w:rsid w:val="002026FF"/>
    <w:rsid w:val="00204200"/>
    <w:rsid w:val="00204545"/>
    <w:rsid w:val="002066CD"/>
    <w:rsid w:val="002100EE"/>
    <w:rsid w:val="002102B1"/>
    <w:rsid w:val="002102D5"/>
    <w:rsid w:val="00211FEF"/>
    <w:rsid w:val="00212908"/>
    <w:rsid w:val="00212A7E"/>
    <w:rsid w:val="002143CF"/>
    <w:rsid w:val="002146AF"/>
    <w:rsid w:val="002157BA"/>
    <w:rsid w:val="00216448"/>
    <w:rsid w:val="0021694F"/>
    <w:rsid w:val="00216BF3"/>
    <w:rsid w:val="00216FCA"/>
    <w:rsid w:val="00220405"/>
    <w:rsid w:val="00220D98"/>
    <w:rsid w:val="002217B0"/>
    <w:rsid w:val="002218F1"/>
    <w:rsid w:val="002218FD"/>
    <w:rsid w:val="002227C5"/>
    <w:rsid w:val="00222E07"/>
    <w:rsid w:val="0022697F"/>
    <w:rsid w:val="00227163"/>
    <w:rsid w:val="00227B0B"/>
    <w:rsid w:val="00227B0C"/>
    <w:rsid w:val="00227CF2"/>
    <w:rsid w:val="00232FCA"/>
    <w:rsid w:val="00233C1D"/>
    <w:rsid w:val="00234746"/>
    <w:rsid w:val="00234A8F"/>
    <w:rsid w:val="00234F47"/>
    <w:rsid w:val="0023504B"/>
    <w:rsid w:val="002352C3"/>
    <w:rsid w:val="00235555"/>
    <w:rsid w:val="00235DF5"/>
    <w:rsid w:val="0023620D"/>
    <w:rsid w:val="002362B6"/>
    <w:rsid w:val="0023665D"/>
    <w:rsid w:val="00236CE4"/>
    <w:rsid w:val="002375C7"/>
    <w:rsid w:val="0023781D"/>
    <w:rsid w:val="00237AD0"/>
    <w:rsid w:val="002401C9"/>
    <w:rsid w:val="00240506"/>
    <w:rsid w:val="0024142C"/>
    <w:rsid w:val="0024143F"/>
    <w:rsid w:val="00241CB1"/>
    <w:rsid w:val="00241D2C"/>
    <w:rsid w:val="0024268C"/>
    <w:rsid w:val="00242B04"/>
    <w:rsid w:val="00242CB8"/>
    <w:rsid w:val="002433D0"/>
    <w:rsid w:val="00244E0D"/>
    <w:rsid w:val="00244F1A"/>
    <w:rsid w:val="002473B4"/>
    <w:rsid w:val="00250667"/>
    <w:rsid w:val="0025150A"/>
    <w:rsid w:val="002517F5"/>
    <w:rsid w:val="00252719"/>
    <w:rsid w:val="00252937"/>
    <w:rsid w:val="00255F14"/>
    <w:rsid w:val="00256354"/>
    <w:rsid w:val="002563C1"/>
    <w:rsid w:val="00256A9A"/>
    <w:rsid w:val="00256B7B"/>
    <w:rsid w:val="00257000"/>
    <w:rsid w:val="0025709C"/>
    <w:rsid w:val="002579FF"/>
    <w:rsid w:val="00257B6F"/>
    <w:rsid w:val="00260799"/>
    <w:rsid w:val="00260AC0"/>
    <w:rsid w:val="0026100C"/>
    <w:rsid w:val="002619DC"/>
    <w:rsid w:val="002625F7"/>
    <w:rsid w:val="002630DA"/>
    <w:rsid w:val="002632E1"/>
    <w:rsid w:val="00263C0F"/>
    <w:rsid w:val="00264214"/>
    <w:rsid w:val="0026501E"/>
    <w:rsid w:val="00265CCB"/>
    <w:rsid w:val="00265CE2"/>
    <w:rsid w:val="00265F5F"/>
    <w:rsid w:val="00266B4E"/>
    <w:rsid w:val="00270D25"/>
    <w:rsid w:val="00271C5A"/>
    <w:rsid w:val="00271DAD"/>
    <w:rsid w:val="002745E4"/>
    <w:rsid w:val="0027467F"/>
    <w:rsid w:val="00275546"/>
    <w:rsid w:val="00275771"/>
    <w:rsid w:val="0027690A"/>
    <w:rsid w:val="00276DEC"/>
    <w:rsid w:val="002774AA"/>
    <w:rsid w:val="00277D01"/>
    <w:rsid w:val="00280E28"/>
    <w:rsid w:val="00282093"/>
    <w:rsid w:val="00283656"/>
    <w:rsid w:val="0028396A"/>
    <w:rsid w:val="00283A35"/>
    <w:rsid w:val="00284310"/>
    <w:rsid w:val="00285BF7"/>
    <w:rsid w:val="002860E7"/>
    <w:rsid w:val="002861BD"/>
    <w:rsid w:val="00286718"/>
    <w:rsid w:val="0028721E"/>
    <w:rsid w:val="00290188"/>
    <w:rsid w:val="00290319"/>
    <w:rsid w:val="002911FF"/>
    <w:rsid w:val="00292282"/>
    <w:rsid w:val="00292AC0"/>
    <w:rsid w:val="002938FC"/>
    <w:rsid w:val="002943E6"/>
    <w:rsid w:val="00294C06"/>
    <w:rsid w:val="00294DAC"/>
    <w:rsid w:val="002952E1"/>
    <w:rsid w:val="00295A1F"/>
    <w:rsid w:val="00296AC2"/>
    <w:rsid w:val="0029708F"/>
    <w:rsid w:val="002A079D"/>
    <w:rsid w:val="002A14C5"/>
    <w:rsid w:val="002A19F4"/>
    <w:rsid w:val="002A1ED9"/>
    <w:rsid w:val="002A2889"/>
    <w:rsid w:val="002A293A"/>
    <w:rsid w:val="002A2D87"/>
    <w:rsid w:val="002A3702"/>
    <w:rsid w:val="002A3CBE"/>
    <w:rsid w:val="002A471F"/>
    <w:rsid w:val="002A5856"/>
    <w:rsid w:val="002A607A"/>
    <w:rsid w:val="002A63E4"/>
    <w:rsid w:val="002A6698"/>
    <w:rsid w:val="002A69EE"/>
    <w:rsid w:val="002A6B81"/>
    <w:rsid w:val="002A7296"/>
    <w:rsid w:val="002A777D"/>
    <w:rsid w:val="002A7B4E"/>
    <w:rsid w:val="002A7BA4"/>
    <w:rsid w:val="002A7D90"/>
    <w:rsid w:val="002A7F6C"/>
    <w:rsid w:val="002B0043"/>
    <w:rsid w:val="002B00C3"/>
    <w:rsid w:val="002B0FB8"/>
    <w:rsid w:val="002B298C"/>
    <w:rsid w:val="002B3619"/>
    <w:rsid w:val="002B3719"/>
    <w:rsid w:val="002B4F71"/>
    <w:rsid w:val="002B6E05"/>
    <w:rsid w:val="002B79C8"/>
    <w:rsid w:val="002C0F1F"/>
    <w:rsid w:val="002C12EA"/>
    <w:rsid w:val="002C28C0"/>
    <w:rsid w:val="002C37C0"/>
    <w:rsid w:val="002C3FFC"/>
    <w:rsid w:val="002C451C"/>
    <w:rsid w:val="002C526E"/>
    <w:rsid w:val="002C529F"/>
    <w:rsid w:val="002C5736"/>
    <w:rsid w:val="002C6AE1"/>
    <w:rsid w:val="002C73F2"/>
    <w:rsid w:val="002C7E40"/>
    <w:rsid w:val="002D09A5"/>
    <w:rsid w:val="002D1328"/>
    <w:rsid w:val="002D1AB6"/>
    <w:rsid w:val="002D1ABC"/>
    <w:rsid w:val="002D1D1A"/>
    <w:rsid w:val="002D2FAE"/>
    <w:rsid w:val="002D34A3"/>
    <w:rsid w:val="002D54E9"/>
    <w:rsid w:val="002D675A"/>
    <w:rsid w:val="002D7067"/>
    <w:rsid w:val="002D71AC"/>
    <w:rsid w:val="002D7241"/>
    <w:rsid w:val="002E02C0"/>
    <w:rsid w:val="002E0556"/>
    <w:rsid w:val="002E21EB"/>
    <w:rsid w:val="002E230D"/>
    <w:rsid w:val="002E2359"/>
    <w:rsid w:val="002E2BAB"/>
    <w:rsid w:val="002E3260"/>
    <w:rsid w:val="002E4C0C"/>
    <w:rsid w:val="002E4CF7"/>
    <w:rsid w:val="002E4D5E"/>
    <w:rsid w:val="002E5E42"/>
    <w:rsid w:val="002E5F2E"/>
    <w:rsid w:val="002E638B"/>
    <w:rsid w:val="002E7BBF"/>
    <w:rsid w:val="002F004B"/>
    <w:rsid w:val="002F1451"/>
    <w:rsid w:val="002F14DA"/>
    <w:rsid w:val="002F15C1"/>
    <w:rsid w:val="002F16ED"/>
    <w:rsid w:val="002F1765"/>
    <w:rsid w:val="002F176F"/>
    <w:rsid w:val="002F1950"/>
    <w:rsid w:val="002F1DCE"/>
    <w:rsid w:val="002F27E0"/>
    <w:rsid w:val="002F285F"/>
    <w:rsid w:val="002F3B56"/>
    <w:rsid w:val="002F3F8A"/>
    <w:rsid w:val="002F468D"/>
    <w:rsid w:val="002F51E0"/>
    <w:rsid w:val="002F59CA"/>
    <w:rsid w:val="002F5BC4"/>
    <w:rsid w:val="002F6D34"/>
    <w:rsid w:val="002F7FCC"/>
    <w:rsid w:val="00300C50"/>
    <w:rsid w:val="00301801"/>
    <w:rsid w:val="003018EA"/>
    <w:rsid w:val="00302038"/>
    <w:rsid w:val="003026D7"/>
    <w:rsid w:val="003030B1"/>
    <w:rsid w:val="0030310D"/>
    <w:rsid w:val="003032AE"/>
    <w:rsid w:val="003036C1"/>
    <w:rsid w:val="0030569B"/>
    <w:rsid w:val="003071E0"/>
    <w:rsid w:val="003074CA"/>
    <w:rsid w:val="00310C39"/>
    <w:rsid w:val="0031164B"/>
    <w:rsid w:val="0031265D"/>
    <w:rsid w:val="00312F70"/>
    <w:rsid w:val="003134D2"/>
    <w:rsid w:val="00313CAD"/>
    <w:rsid w:val="00315022"/>
    <w:rsid w:val="003150A9"/>
    <w:rsid w:val="00315138"/>
    <w:rsid w:val="00315C27"/>
    <w:rsid w:val="00317267"/>
    <w:rsid w:val="00317A3C"/>
    <w:rsid w:val="00317C9C"/>
    <w:rsid w:val="00320241"/>
    <w:rsid w:val="00320598"/>
    <w:rsid w:val="003211BA"/>
    <w:rsid w:val="00322F72"/>
    <w:rsid w:val="0032308C"/>
    <w:rsid w:val="00323092"/>
    <w:rsid w:val="0032334C"/>
    <w:rsid w:val="00324DDC"/>
    <w:rsid w:val="00326523"/>
    <w:rsid w:val="003266EE"/>
    <w:rsid w:val="00327086"/>
    <w:rsid w:val="0032713E"/>
    <w:rsid w:val="00327A11"/>
    <w:rsid w:val="00327E8F"/>
    <w:rsid w:val="00330225"/>
    <w:rsid w:val="0033135E"/>
    <w:rsid w:val="00331C9B"/>
    <w:rsid w:val="003324E4"/>
    <w:rsid w:val="0033251B"/>
    <w:rsid w:val="00332945"/>
    <w:rsid w:val="00332CC8"/>
    <w:rsid w:val="00334E38"/>
    <w:rsid w:val="00335567"/>
    <w:rsid w:val="00335A83"/>
    <w:rsid w:val="00335BD9"/>
    <w:rsid w:val="003366AF"/>
    <w:rsid w:val="00336916"/>
    <w:rsid w:val="00336B9B"/>
    <w:rsid w:val="00336E16"/>
    <w:rsid w:val="00340925"/>
    <w:rsid w:val="00340ADB"/>
    <w:rsid w:val="00343C6A"/>
    <w:rsid w:val="00343FFC"/>
    <w:rsid w:val="00344869"/>
    <w:rsid w:val="00345C12"/>
    <w:rsid w:val="00351A8D"/>
    <w:rsid w:val="0035396D"/>
    <w:rsid w:val="00353B09"/>
    <w:rsid w:val="003542B5"/>
    <w:rsid w:val="00354342"/>
    <w:rsid w:val="00354B92"/>
    <w:rsid w:val="0035574F"/>
    <w:rsid w:val="003573D1"/>
    <w:rsid w:val="00357629"/>
    <w:rsid w:val="00361442"/>
    <w:rsid w:val="00361764"/>
    <w:rsid w:val="003617F6"/>
    <w:rsid w:val="0036231F"/>
    <w:rsid w:val="003628B4"/>
    <w:rsid w:val="00362B67"/>
    <w:rsid w:val="003634F6"/>
    <w:rsid w:val="0036385F"/>
    <w:rsid w:val="003638EA"/>
    <w:rsid w:val="003639FE"/>
    <w:rsid w:val="00364F3D"/>
    <w:rsid w:val="003654A5"/>
    <w:rsid w:val="00365688"/>
    <w:rsid w:val="003668FC"/>
    <w:rsid w:val="00366C93"/>
    <w:rsid w:val="00366E96"/>
    <w:rsid w:val="00370538"/>
    <w:rsid w:val="0037103A"/>
    <w:rsid w:val="00371318"/>
    <w:rsid w:val="0037282A"/>
    <w:rsid w:val="0037285D"/>
    <w:rsid w:val="0037288E"/>
    <w:rsid w:val="003734C4"/>
    <w:rsid w:val="00374715"/>
    <w:rsid w:val="003752E4"/>
    <w:rsid w:val="00375906"/>
    <w:rsid w:val="0037695A"/>
    <w:rsid w:val="003773B3"/>
    <w:rsid w:val="003778AA"/>
    <w:rsid w:val="00377D47"/>
    <w:rsid w:val="003811C7"/>
    <w:rsid w:val="00381CB6"/>
    <w:rsid w:val="00382144"/>
    <w:rsid w:val="0038229C"/>
    <w:rsid w:val="00382F54"/>
    <w:rsid w:val="00383BA4"/>
    <w:rsid w:val="003854A1"/>
    <w:rsid w:val="003856D1"/>
    <w:rsid w:val="00385A89"/>
    <w:rsid w:val="00386944"/>
    <w:rsid w:val="00387A93"/>
    <w:rsid w:val="003901A7"/>
    <w:rsid w:val="00391A68"/>
    <w:rsid w:val="0039220F"/>
    <w:rsid w:val="003929C3"/>
    <w:rsid w:val="00393D81"/>
    <w:rsid w:val="00394D11"/>
    <w:rsid w:val="003959A2"/>
    <w:rsid w:val="00395C52"/>
    <w:rsid w:val="00395FFB"/>
    <w:rsid w:val="00397FCE"/>
    <w:rsid w:val="003A01BE"/>
    <w:rsid w:val="003A0C27"/>
    <w:rsid w:val="003A12B5"/>
    <w:rsid w:val="003A1532"/>
    <w:rsid w:val="003A20E9"/>
    <w:rsid w:val="003A21D6"/>
    <w:rsid w:val="003A2D40"/>
    <w:rsid w:val="003A3F22"/>
    <w:rsid w:val="003A60AA"/>
    <w:rsid w:val="003A6166"/>
    <w:rsid w:val="003A6ABB"/>
    <w:rsid w:val="003A7138"/>
    <w:rsid w:val="003A729D"/>
    <w:rsid w:val="003A7BA2"/>
    <w:rsid w:val="003A7D64"/>
    <w:rsid w:val="003B0A83"/>
    <w:rsid w:val="003B2699"/>
    <w:rsid w:val="003B2AC9"/>
    <w:rsid w:val="003B39B9"/>
    <w:rsid w:val="003B3DF6"/>
    <w:rsid w:val="003B431A"/>
    <w:rsid w:val="003B4890"/>
    <w:rsid w:val="003B4D08"/>
    <w:rsid w:val="003B5209"/>
    <w:rsid w:val="003B52FA"/>
    <w:rsid w:val="003B5734"/>
    <w:rsid w:val="003B6185"/>
    <w:rsid w:val="003B7CE4"/>
    <w:rsid w:val="003C07B1"/>
    <w:rsid w:val="003C0F0F"/>
    <w:rsid w:val="003C1DEE"/>
    <w:rsid w:val="003C26A3"/>
    <w:rsid w:val="003C2DA7"/>
    <w:rsid w:val="003C4552"/>
    <w:rsid w:val="003C5274"/>
    <w:rsid w:val="003C5F04"/>
    <w:rsid w:val="003C74E9"/>
    <w:rsid w:val="003C7DEA"/>
    <w:rsid w:val="003D2915"/>
    <w:rsid w:val="003D3DFF"/>
    <w:rsid w:val="003D4172"/>
    <w:rsid w:val="003D45DF"/>
    <w:rsid w:val="003D4ABC"/>
    <w:rsid w:val="003D4C56"/>
    <w:rsid w:val="003D4E27"/>
    <w:rsid w:val="003D5EDE"/>
    <w:rsid w:val="003D6962"/>
    <w:rsid w:val="003D7D2B"/>
    <w:rsid w:val="003E1220"/>
    <w:rsid w:val="003E142A"/>
    <w:rsid w:val="003E1EF2"/>
    <w:rsid w:val="003E2208"/>
    <w:rsid w:val="003E2519"/>
    <w:rsid w:val="003E2BB4"/>
    <w:rsid w:val="003E4C6D"/>
    <w:rsid w:val="003E568C"/>
    <w:rsid w:val="003E5AE8"/>
    <w:rsid w:val="003E6A72"/>
    <w:rsid w:val="003E6E04"/>
    <w:rsid w:val="003E79EF"/>
    <w:rsid w:val="003F0DA7"/>
    <w:rsid w:val="003F13DB"/>
    <w:rsid w:val="003F1568"/>
    <w:rsid w:val="003F19F9"/>
    <w:rsid w:val="003F1DC8"/>
    <w:rsid w:val="003F1EBB"/>
    <w:rsid w:val="003F1F36"/>
    <w:rsid w:val="003F4307"/>
    <w:rsid w:val="003F45FB"/>
    <w:rsid w:val="003F5A84"/>
    <w:rsid w:val="00402B19"/>
    <w:rsid w:val="00403205"/>
    <w:rsid w:val="00403685"/>
    <w:rsid w:val="00403F2C"/>
    <w:rsid w:val="004049CE"/>
    <w:rsid w:val="00405756"/>
    <w:rsid w:val="00406C07"/>
    <w:rsid w:val="00407277"/>
    <w:rsid w:val="00407A19"/>
    <w:rsid w:val="00411D38"/>
    <w:rsid w:val="0041201F"/>
    <w:rsid w:val="00412AEA"/>
    <w:rsid w:val="00412C15"/>
    <w:rsid w:val="0041304E"/>
    <w:rsid w:val="004143B9"/>
    <w:rsid w:val="00414976"/>
    <w:rsid w:val="0041551C"/>
    <w:rsid w:val="00415FA6"/>
    <w:rsid w:val="004171C7"/>
    <w:rsid w:val="004176A2"/>
    <w:rsid w:val="00417FA7"/>
    <w:rsid w:val="00417FA9"/>
    <w:rsid w:val="00420701"/>
    <w:rsid w:val="0042079F"/>
    <w:rsid w:val="00421AE8"/>
    <w:rsid w:val="00421F13"/>
    <w:rsid w:val="00422618"/>
    <w:rsid w:val="00423ED0"/>
    <w:rsid w:val="00423F35"/>
    <w:rsid w:val="004244C7"/>
    <w:rsid w:val="00425D7E"/>
    <w:rsid w:val="00426042"/>
    <w:rsid w:val="00426357"/>
    <w:rsid w:val="00426A69"/>
    <w:rsid w:val="00426EF1"/>
    <w:rsid w:val="00427E16"/>
    <w:rsid w:val="00430340"/>
    <w:rsid w:val="00430C58"/>
    <w:rsid w:val="00430E22"/>
    <w:rsid w:val="0043123D"/>
    <w:rsid w:val="004326A9"/>
    <w:rsid w:val="00433DA4"/>
    <w:rsid w:val="004364B5"/>
    <w:rsid w:val="00436911"/>
    <w:rsid w:val="00436DC0"/>
    <w:rsid w:val="00437143"/>
    <w:rsid w:val="00437596"/>
    <w:rsid w:val="00440620"/>
    <w:rsid w:val="0044251B"/>
    <w:rsid w:val="00443219"/>
    <w:rsid w:val="004446BA"/>
    <w:rsid w:val="00446AAE"/>
    <w:rsid w:val="00447703"/>
    <w:rsid w:val="00450056"/>
    <w:rsid w:val="004500C3"/>
    <w:rsid w:val="00450592"/>
    <w:rsid w:val="00450D3B"/>
    <w:rsid w:val="00451AFB"/>
    <w:rsid w:val="0045205C"/>
    <w:rsid w:val="00452B83"/>
    <w:rsid w:val="004530C1"/>
    <w:rsid w:val="0045363E"/>
    <w:rsid w:val="0045403A"/>
    <w:rsid w:val="00454AA4"/>
    <w:rsid w:val="00454EC2"/>
    <w:rsid w:val="00455153"/>
    <w:rsid w:val="00460861"/>
    <w:rsid w:val="004613DF"/>
    <w:rsid w:val="004634F8"/>
    <w:rsid w:val="0046422C"/>
    <w:rsid w:val="00464FFE"/>
    <w:rsid w:val="00465FF8"/>
    <w:rsid w:val="0046687A"/>
    <w:rsid w:val="00467399"/>
    <w:rsid w:val="00470A66"/>
    <w:rsid w:val="004721C2"/>
    <w:rsid w:val="00472AA6"/>
    <w:rsid w:val="00472BCC"/>
    <w:rsid w:val="00472D65"/>
    <w:rsid w:val="004735A5"/>
    <w:rsid w:val="004741FF"/>
    <w:rsid w:val="00474C18"/>
    <w:rsid w:val="00474D4B"/>
    <w:rsid w:val="004754D6"/>
    <w:rsid w:val="00475FE5"/>
    <w:rsid w:val="00476549"/>
    <w:rsid w:val="00476644"/>
    <w:rsid w:val="004766F8"/>
    <w:rsid w:val="004779C0"/>
    <w:rsid w:val="00477B3A"/>
    <w:rsid w:val="00477F64"/>
    <w:rsid w:val="00481B15"/>
    <w:rsid w:val="00481DFF"/>
    <w:rsid w:val="00483474"/>
    <w:rsid w:val="00483B1F"/>
    <w:rsid w:val="004850BF"/>
    <w:rsid w:val="004858AD"/>
    <w:rsid w:val="00485CE9"/>
    <w:rsid w:val="00486049"/>
    <w:rsid w:val="00490A29"/>
    <w:rsid w:val="00490F32"/>
    <w:rsid w:val="00491CB5"/>
    <w:rsid w:val="00491DC4"/>
    <w:rsid w:val="00492143"/>
    <w:rsid w:val="004921B4"/>
    <w:rsid w:val="00494C19"/>
    <w:rsid w:val="00495200"/>
    <w:rsid w:val="00495749"/>
    <w:rsid w:val="00495BB6"/>
    <w:rsid w:val="00497250"/>
    <w:rsid w:val="00497977"/>
    <w:rsid w:val="004A0541"/>
    <w:rsid w:val="004A0581"/>
    <w:rsid w:val="004A0C42"/>
    <w:rsid w:val="004A23DB"/>
    <w:rsid w:val="004A2C70"/>
    <w:rsid w:val="004A2C95"/>
    <w:rsid w:val="004A32AA"/>
    <w:rsid w:val="004A3B1A"/>
    <w:rsid w:val="004A40CF"/>
    <w:rsid w:val="004A44C5"/>
    <w:rsid w:val="004A5989"/>
    <w:rsid w:val="004A59CC"/>
    <w:rsid w:val="004A6344"/>
    <w:rsid w:val="004A667D"/>
    <w:rsid w:val="004A6A7B"/>
    <w:rsid w:val="004A769A"/>
    <w:rsid w:val="004A7ACA"/>
    <w:rsid w:val="004A7BDD"/>
    <w:rsid w:val="004B02FB"/>
    <w:rsid w:val="004B130B"/>
    <w:rsid w:val="004B2213"/>
    <w:rsid w:val="004B2379"/>
    <w:rsid w:val="004B2B8E"/>
    <w:rsid w:val="004B2F70"/>
    <w:rsid w:val="004B554E"/>
    <w:rsid w:val="004B59C2"/>
    <w:rsid w:val="004B5ED7"/>
    <w:rsid w:val="004B6FFE"/>
    <w:rsid w:val="004B7987"/>
    <w:rsid w:val="004C1171"/>
    <w:rsid w:val="004C304F"/>
    <w:rsid w:val="004C5019"/>
    <w:rsid w:val="004C5614"/>
    <w:rsid w:val="004C6D37"/>
    <w:rsid w:val="004C70AD"/>
    <w:rsid w:val="004C750C"/>
    <w:rsid w:val="004C7513"/>
    <w:rsid w:val="004C77C6"/>
    <w:rsid w:val="004D01C4"/>
    <w:rsid w:val="004D0BD2"/>
    <w:rsid w:val="004D2029"/>
    <w:rsid w:val="004D26C6"/>
    <w:rsid w:val="004D4260"/>
    <w:rsid w:val="004D433D"/>
    <w:rsid w:val="004D57F9"/>
    <w:rsid w:val="004D5A04"/>
    <w:rsid w:val="004D694F"/>
    <w:rsid w:val="004D6AC8"/>
    <w:rsid w:val="004D75F4"/>
    <w:rsid w:val="004E012B"/>
    <w:rsid w:val="004E02FE"/>
    <w:rsid w:val="004E09CA"/>
    <w:rsid w:val="004E0C4C"/>
    <w:rsid w:val="004E1566"/>
    <w:rsid w:val="004E1D5F"/>
    <w:rsid w:val="004E203B"/>
    <w:rsid w:val="004E23FB"/>
    <w:rsid w:val="004E3371"/>
    <w:rsid w:val="004E412C"/>
    <w:rsid w:val="004E41BB"/>
    <w:rsid w:val="004E6950"/>
    <w:rsid w:val="004E6FB9"/>
    <w:rsid w:val="004E7E91"/>
    <w:rsid w:val="004E7EC7"/>
    <w:rsid w:val="004E7FAF"/>
    <w:rsid w:val="004F0868"/>
    <w:rsid w:val="004F2D43"/>
    <w:rsid w:val="004F2DD0"/>
    <w:rsid w:val="004F342A"/>
    <w:rsid w:val="004F34AF"/>
    <w:rsid w:val="004F3748"/>
    <w:rsid w:val="004F4443"/>
    <w:rsid w:val="004F46C5"/>
    <w:rsid w:val="004F4EA5"/>
    <w:rsid w:val="004F50CC"/>
    <w:rsid w:val="004F59ED"/>
    <w:rsid w:val="004F5C02"/>
    <w:rsid w:val="004F5C87"/>
    <w:rsid w:val="004F6D00"/>
    <w:rsid w:val="004F7133"/>
    <w:rsid w:val="004F7218"/>
    <w:rsid w:val="004F7C58"/>
    <w:rsid w:val="00500E34"/>
    <w:rsid w:val="00501454"/>
    <w:rsid w:val="0050170D"/>
    <w:rsid w:val="00501E78"/>
    <w:rsid w:val="00501FA1"/>
    <w:rsid w:val="00502103"/>
    <w:rsid w:val="00502884"/>
    <w:rsid w:val="00505032"/>
    <w:rsid w:val="00505FDE"/>
    <w:rsid w:val="005071D0"/>
    <w:rsid w:val="00507C0A"/>
    <w:rsid w:val="00512844"/>
    <w:rsid w:val="00512D14"/>
    <w:rsid w:val="00513686"/>
    <w:rsid w:val="005141DB"/>
    <w:rsid w:val="005143F2"/>
    <w:rsid w:val="00514CC1"/>
    <w:rsid w:val="005151EC"/>
    <w:rsid w:val="0051524E"/>
    <w:rsid w:val="00515941"/>
    <w:rsid w:val="005219EC"/>
    <w:rsid w:val="00521AC8"/>
    <w:rsid w:val="00522585"/>
    <w:rsid w:val="00522CBA"/>
    <w:rsid w:val="00522E4B"/>
    <w:rsid w:val="00523152"/>
    <w:rsid w:val="00523A31"/>
    <w:rsid w:val="00525346"/>
    <w:rsid w:val="00525DE3"/>
    <w:rsid w:val="00526539"/>
    <w:rsid w:val="005278F2"/>
    <w:rsid w:val="00527A9E"/>
    <w:rsid w:val="00530500"/>
    <w:rsid w:val="00530548"/>
    <w:rsid w:val="0053063E"/>
    <w:rsid w:val="00530662"/>
    <w:rsid w:val="0053083D"/>
    <w:rsid w:val="0053117D"/>
    <w:rsid w:val="00532BC4"/>
    <w:rsid w:val="00532D89"/>
    <w:rsid w:val="005332C7"/>
    <w:rsid w:val="00534220"/>
    <w:rsid w:val="005346C7"/>
    <w:rsid w:val="00535269"/>
    <w:rsid w:val="00535D43"/>
    <w:rsid w:val="005364BF"/>
    <w:rsid w:val="00536BFB"/>
    <w:rsid w:val="00537098"/>
    <w:rsid w:val="00537568"/>
    <w:rsid w:val="0053796A"/>
    <w:rsid w:val="00537A4F"/>
    <w:rsid w:val="00537C37"/>
    <w:rsid w:val="00537F8F"/>
    <w:rsid w:val="005420FC"/>
    <w:rsid w:val="00542865"/>
    <w:rsid w:val="00542A1E"/>
    <w:rsid w:val="005444C2"/>
    <w:rsid w:val="00544FD4"/>
    <w:rsid w:val="005466AE"/>
    <w:rsid w:val="005478F8"/>
    <w:rsid w:val="00547B94"/>
    <w:rsid w:val="00550BFC"/>
    <w:rsid w:val="00550DBE"/>
    <w:rsid w:val="00551102"/>
    <w:rsid w:val="005517BE"/>
    <w:rsid w:val="005525E9"/>
    <w:rsid w:val="00552AFB"/>
    <w:rsid w:val="00553372"/>
    <w:rsid w:val="0055513A"/>
    <w:rsid w:val="005564E3"/>
    <w:rsid w:val="00556D12"/>
    <w:rsid w:val="005601C6"/>
    <w:rsid w:val="00560CA8"/>
    <w:rsid w:val="005613D5"/>
    <w:rsid w:val="00562971"/>
    <w:rsid w:val="005634E5"/>
    <w:rsid w:val="0056387B"/>
    <w:rsid w:val="00563BEA"/>
    <w:rsid w:val="00563C2B"/>
    <w:rsid w:val="005642CC"/>
    <w:rsid w:val="00565823"/>
    <w:rsid w:val="005658B3"/>
    <w:rsid w:val="00565F1A"/>
    <w:rsid w:val="005662C7"/>
    <w:rsid w:val="00566A94"/>
    <w:rsid w:val="00566CFC"/>
    <w:rsid w:val="005671A3"/>
    <w:rsid w:val="00567C83"/>
    <w:rsid w:val="00570AF8"/>
    <w:rsid w:val="00571D85"/>
    <w:rsid w:val="00571DBB"/>
    <w:rsid w:val="0057341A"/>
    <w:rsid w:val="0057341F"/>
    <w:rsid w:val="005734E2"/>
    <w:rsid w:val="0057377E"/>
    <w:rsid w:val="0057394F"/>
    <w:rsid w:val="00574821"/>
    <w:rsid w:val="00574C1D"/>
    <w:rsid w:val="00575111"/>
    <w:rsid w:val="00575988"/>
    <w:rsid w:val="00576656"/>
    <w:rsid w:val="005775D8"/>
    <w:rsid w:val="00577941"/>
    <w:rsid w:val="00577F29"/>
    <w:rsid w:val="005809DA"/>
    <w:rsid w:val="0058141D"/>
    <w:rsid w:val="00581C5F"/>
    <w:rsid w:val="00582807"/>
    <w:rsid w:val="005829F4"/>
    <w:rsid w:val="00582D47"/>
    <w:rsid w:val="00582FD9"/>
    <w:rsid w:val="00583FE5"/>
    <w:rsid w:val="005844F2"/>
    <w:rsid w:val="00585DDE"/>
    <w:rsid w:val="00586966"/>
    <w:rsid w:val="00586B78"/>
    <w:rsid w:val="0058760E"/>
    <w:rsid w:val="00587763"/>
    <w:rsid w:val="00587D84"/>
    <w:rsid w:val="00590912"/>
    <w:rsid w:val="00590DCE"/>
    <w:rsid w:val="0059171C"/>
    <w:rsid w:val="00594762"/>
    <w:rsid w:val="00594FB0"/>
    <w:rsid w:val="0059614D"/>
    <w:rsid w:val="00596423"/>
    <w:rsid w:val="00596475"/>
    <w:rsid w:val="00597574"/>
    <w:rsid w:val="00597634"/>
    <w:rsid w:val="00597B13"/>
    <w:rsid w:val="00597D63"/>
    <w:rsid w:val="005A13C6"/>
    <w:rsid w:val="005A21D6"/>
    <w:rsid w:val="005A223C"/>
    <w:rsid w:val="005A3386"/>
    <w:rsid w:val="005A3F0C"/>
    <w:rsid w:val="005A441E"/>
    <w:rsid w:val="005A5094"/>
    <w:rsid w:val="005A51B8"/>
    <w:rsid w:val="005A6122"/>
    <w:rsid w:val="005A73FD"/>
    <w:rsid w:val="005B01D3"/>
    <w:rsid w:val="005B0672"/>
    <w:rsid w:val="005B0D90"/>
    <w:rsid w:val="005B0E1E"/>
    <w:rsid w:val="005B1F4C"/>
    <w:rsid w:val="005B21E3"/>
    <w:rsid w:val="005B27C5"/>
    <w:rsid w:val="005B2955"/>
    <w:rsid w:val="005B3E29"/>
    <w:rsid w:val="005B45CF"/>
    <w:rsid w:val="005B4842"/>
    <w:rsid w:val="005B6742"/>
    <w:rsid w:val="005B6CD6"/>
    <w:rsid w:val="005B71B8"/>
    <w:rsid w:val="005B7379"/>
    <w:rsid w:val="005C0F66"/>
    <w:rsid w:val="005C2506"/>
    <w:rsid w:val="005C2518"/>
    <w:rsid w:val="005C2ABE"/>
    <w:rsid w:val="005C3E36"/>
    <w:rsid w:val="005C4E67"/>
    <w:rsid w:val="005C5131"/>
    <w:rsid w:val="005C74FE"/>
    <w:rsid w:val="005D03F7"/>
    <w:rsid w:val="005D093C"/>
    <w:rsid w:val="005D1F0A"/>
    <w:rsid w:val="005D217A"/>
    <w:rsid w:val="005D26B5"/>
    <w:rsid w:val="005D2BCD"/>
    <w:rsid w:val="005D3176"/>
    <w:rsid w:val="005D5D40"/>
    <w:rsid w:val="005D76C7"/>
    <w:rsid w:val="005D7C59"/>
    <w:rsid w:val="005E0211"/>
    <w:rsid w:val="005E2D7A"/>
    <w:rsid w:val="005E34D1"/>
    <w:rsid w:val="005E3A12"/>
    <w:rsid w:val="005E3C79"/>
    <w:rsid w:val="005E50C3"/>
    <w:rsid w:val="005E52D2"/>
    <w:rsid w:val="005E5FC8"/>
    <w:rsid w:val="005E5FCE"/>
    <w:rsid w:val="005E6673"/>
    <w:rsid w:val="005E7D36"/>
    <w:rsid w:val="005E7ED9"/>
    <w:rsid w:val="005E7F41"/>
    <w:rsid w:val="005F132F"/>
    <w:rsid w:val="005F1BE6"/>
    <w:rsid w:val="005F23B0"/>
    <w:rsid w:val="005F2B2F"/>
    <w:rsid w:val="005F2B45"/>
    <w:rsid w:val="005F355D"/>
    <w:rsid w:val="005F3967"/>
    <w:rsid w:val="005F44EB"/>
    <w:rsid w:val="005F5C63"/>
    <w:rsid w:val="005F6022"/>
    <w:rsid w:val="005F725B"/>
    <w:rsid w:val="005F7643"/>
    <w:rsid w:val="005F7D7B"/>
    <w:rsid w:val="005F7F2B"/>
    <w:rsid w:val="00600C38"/>
    <w:rsid w:val="00600C43"/>
    <w:rsid w:val="00600C89"/>
    <w:rsid w:val="00600D5B"/>
    <w:rsid w:val="00600FB5"/>
    <w:rsid w:val="006013CF"/>
    <w:rsid w:val="00601498"/>
    <w:rsid w:val="006023B5"/>
    <w:rsid w:val="00602D6E"/>
    <w:rsid w:val="006037AB"/>
    <w:rsid w:val="00603A1A"/>
    <w:rsid w:val="00604AF9"/>
    <w:rsid w:val="0060593F"/>
    <w:rsid w:val="00605CC2"/>
    <w:rsid w:val="00606156"/>
    <w:rsid w:val="00606350"/>
    <w:rsid w:val="006071F0"/>
    <w:rsid w:val="00607A5C"/>
    <w:rsid w:val="00607CFF"/>
    <w:rsid w:val="006101D2"/>
    <w:rsid w:val="0061109D"/>
    <w:rsid w:val="0061184C"/>
    <w:rsid w:val="006122C3"/>
    <w:rsid w:val="00612A30"/>
    <w:rsid w:val="006133E6"/>
    <w:rsid w:val="00613989"/>
    <w:rsid w:val="00613EBF"/>
    <w:rsid w:val="00614024"/>
    <w:rsid w:val="006143B8"/>
    <w:rsid w:val="006165AB"/>
    <w:rsid w:val="006174AF"/>
    <w:rsid w:val="00617792"/>
    <w:rsid w:val="00620B5C"/>
    <w:rsid w:val="006210CA"/>
    <w:rsid w:val="00621551"/>
    <w:rsid w:val="0062156C"/>
    <w:rsid w:val="006215FE"/>
    <w:rsid w:val="006220A8"/>
    <w:rsid w:val="00622112"/>
    <w:rsid w:val="006222E3"/>
    <w:rsid w:val="00622BC4"/>
    <w:rsid w:val="00622C58"/>
    <w:rsid w:val="00623168"/>
    <w:rsid w:val="00624228"/>
    <w:rsid w:val="006245D8"/>
    <w:rsid w:val="00624F0D"/>
    <w:rsid w:val="0062532E"/>
    <w:rsid w:val="0062592B"/>
    <w:rsid w:val="006272BC"/>
    <w:rsid w:val="006272BF"/>
    <w:rsid w:val="00630425"/>
    <w:rsid w:val="00630C72"/>
    <w:rsid w:val="006323AD"/>
    <w:rsid w:val="0063397D"/>
    <w:rsid w:val="00634449"/>
    <w:rsid w:val="00635590"/>
    <w:rsid w:val="00636E39"/>
    <w:rsid w:val="0063723A"/>
    <w:rsid w:val="00637492"/>
    <w:rsid w:val="00637A3F"/>
    <w:rsid w:val="00637D06"/>
    <w:rsid w:val="0064032C"/>
    <w:rsid w:val="00640A67"/>
    <w:rsid w:val="00640D3D"/>
    <w:rsid w:val="00640EFC"/>
    <w:rsid w:val="0064234B"/>
    <w:rsid w:val="006424B7"/>
    <w:rsid w:val="006433AA"/>
    <w:rsid w:val="006441AE"/>
    <w:rsid w:val="0064634E"/>
    <w:rsid w:val="006466C7"/>
    <w:rsid w:val="00646CD6"/>
    <w:rsid w:val="006474AB"/>
    <w:rsid w:val="0064756C"/>
    <w:rsid w:val="00647795"/>
    <w:rsid w:val="0064779E"/>
    <w:rsid w:val="00647D14"/>
    <w:rsid w:val="00647DCD"/>
    <w:rsid w:val="00651558"/>
    <w:rsid w:val="0065197F"/>
    <w:rsid w:val="0065199D"/>
    <w:rsid w:val="006519DB"/>
    <w:rsid w:val="00651ED0"/>
    <w:rsid w:val="00652293"/>
    <w:rsid w:val="00653932"/>
    <w:rsid w:val="00653F27"/>
    <w:rsid w:val="00656940"/>
    <w:rsid w:val="00656DC9"/>
    <w:rsid w:val="00657D7F"/>
    <w:rsid w:val="006603F4"/>
    <w:rsid w:val="00661275"/>
    <w:rsid w:val="006620E2"/>
    <w:rsid w:val="0066347B"/>
    <w:rsid w:val="0066437F"/>
    <w:rsid w:val="00664452"/>
    <w:rsid w:val="00664BCD"/>
    <w:rsid w:val="00664BDB"/>
    <w:rsid w:val="00664EA1"/>
    <w:rsid w:val="00665C54"/>
    <w:rsid w:val="00666404"/>
    <w:rsid w:val="006670C0"/>
    <w:rsid w:val="006672E4"/>
    <w:rsid w:val="00670EFC"/>
    <w:rsid w:val="00671208"/>
    <w:rsid w:val="006712AB"/>
    <w:rsid w:val="006718F7"/>
    <w:rsid w:val="00672E87"/>
    <w:rsid w:val="00673C39"/>
    <w:rsid w:val="00673CD4"/>
    <w:rsid w:val="006740EC"/>
    <w:rsid w:val="0067689C"/>
    <w:rsid w:val="00676F11"/>
    <w:rsid w:val="00677902"/>
    <w:rsid w:val="00677A66"/>
    <w:rsid w:val="0068048D"/>
    <w:rsid w:val="00681082"/>
    <w:rsid w:val="00681607"/>
    <w:rsid w:val="00681D78"/>
    <w:rsid w:val="00681FE7"/>
    <w:rsid w:val="006833F7"/>
    <w:rsid w:val="0068389E"/>
    <w:rsid w:val="006838BD"/>
    <w:rsid w:val="0068392A"/>
    <w:rsid w:val="00684201"/>
    <w:rsid w:val="00684682"/>
    <w:rsid w:val="0068541E"/>
    <w:rsid w:val="00685C53"/>
    <w:rsid w:val="00685F91"/>
    <w:rsid w:val="00687003"/>
    <w:rsid w:val="00687DE0"/>
    <w:rsid w:val="00687FDC"/>
    <w:rsid w:val="00692EC3"/>
    <w:rsid w:val="00693472"/>
    <w:rsid w:val="00693649"/>
    <w:rsid w:val="00694629"/>
    <w:rsid w:val="006947B0"/>
    <w:rsid w:val="0069561B"/>
    <w:rsid w:val="00695E0B"/>
    <w:rsid w:val="0069798C"/>
    <w:rsid w:val="00697C75"/>
    <w:rsid w:val="006A17BA"/>
    <w:rsid w:val="006A22CF"/>
    <w:rsid w:val="006A27A1"/>
    <w:rsid w:val="006A4206"/>
    <w:rsid w:val="006A495A"/>
    <w:rsid w:val="006A49B6"/>
    <w:rsid w:val="006A5026"/>
    <w:rsid w:val="006A5703"/>
    <w:rsid w:val="006A5AC8"/>
    <w:rsid w:val="006A682F"/>
    <w:rsid w:val="006A6AE2"/>
    <w:rsid w:val="006A6CC4"/>
    <w:rsid w:val="006B06F4"/>
    <w:rsid w:val="006B126A"/>
    <w:rsid w:val="006B17B2"/>
    <w:rsid w:val="006B19E4"/>
    <w:rsid w:val="006B25C3"/>
    <w:rsid w:val="006B2668"/>
    <w:rsid w:val="006B2E9A"/>
    <w:rsid w:val="006B2EED"/>
    <w:rsid w:val="006B32D2"/>
    <w:rsid w:val="006B397B"/>
    <w:rsid w:val="006B43A1"/>
    <w:rsid w:val="006B4BD8"/>
    <w:rsid w:val="006B77AD"/>
    <w:rsid w:val="006B7B11"/>
    <w:rsid w:val="006C011F"/>
    <w:rsid w:val="006C1997"/>
    <w:rsid w:val="006C1C46"/>
    <w:rsid w:val="006C1CE3"/>
    <w:rsid w:val="006C376A"/>
    <w:rsid w:val="006C3C5A"/>
    <w:rsid w:val="006C3D8F"/>
    <w:rsid w:val="006C6553"/>
    <w:rsid w:val="006C69F1"/>
    <w:rsid w:val="006C6BEA"/>
    <w:rsid w:val="006C725F"/>
    <w:rsid w:val="006C7349"/>
    <w:rsid w:val="006C750A"/>
    <w:rsid w:val="006C7AD0"/>
    <w:rsid w:val="006C7D12"/>
    <w:rsid w:val="006D0384"/>
    <w:rsid w:val="006D0508"/>
    <w:rsid w:val="006D0CC1"/>
    <w:rsid w:val="006D0D96"/>
    <w:rsid w:val="006D115F"/>
    <w:rsid w:val="006D138E"/>
    <w:rsid w:val="006D1480"/>
    <w:rsid w:val="006D14E9"/>
    <w:rsid w:val="006D2143"/>
    <w:rsid w:val="006D263F"/>
    <w:rsid w:val="006D4DED"/>
    <w:rsid w:val="006D5A8D"/>
    <w:rsid w:val="006D6C1A"/>
    <w:rsid w:val="006E2960"/>
    <w:rsid w:val="006E29AA"/>
    <w:rsid w:val="006E3E41"/>
    <w:rsid w:val="006E3E6E"/>
    <w:rsid w:val="006E52AA"/>
    <w:rsid w:val="006E5C24"/>
    <w:rsid w:val="006E7094"/>
    <w:rsid w:val="006E7EED"/>
    <w:rsid w:val="006F15C7"/>
    <w:rsid w:val="006F17CE"/>
    <w:rsid w:val="006F1945"/>
    <w:rsid w:val="006F29A8"/>
    <w:rsid w:val="006F2F6D"/>
    <w:rsid w:val="006F3397"/>
    <w:rsid w:val="006F347B"/>
    <w:rsid w:val="006F5365"/>
    <w:rsid w:val="006F54F6"/>
    <w:rsid w:val="006F583A"/>
    <w:rsid w:val="006F59BF"/>
    <w:rsid w:val="006F62BE"/>
    <w:rsid w:val="006F67DC"/>
    <w:rsid w:val="006F6868"/>
    <w:rsid w:val="006F6A50"/>
    <w:rsid w:val="0070075D"/>
    <w:rsid w:val="007013FF"/>
    <w:rsid w:val="00701BAD"/>
    <w:rsid w:val="00702491"/>
    <w:rsid w:val="00702E65"/>
    <w:rsid w:val="00703C79"/>
    <w:rsid w:val="00706A2C"/>
    <w:rsid w:val="007076AA"/>
    <w:rsid w:val="00707AE2"/>
    <w:rsid w:val="00707CE8"/>
    <w:rsid w:val="00707E9A"/>
    <w:rsid w:val="00707FB2"/>
    <w:rsid w:val="007102F0"/>
    <w:rsid w:val="00711461"/>
    <w:rsid w:val="007117D5"/>
    <w:rsid w:val="00711A0E"/>
    <w:rsid w:val="0071291C"/>
    <w:rsid w:val="00712E38"/>
    <w:rsid w:val="007132BB"/>
    <w:rsid w:val="00713AA3"/>
    <w:rsid w:val="00713B22"/>
    <w:rsid w:val="00713FEF"/>
    <w:rsid w:val="007146CA"/>
    <w:rsid w:val="0071545D"/>
    <w:rsid w:val="00715C7B"/>
    <w:rsid w:val="007160B3"/>
    <w:rsid w:val="00716E1C"/>
    <w:rsid w:val="00717758"/>
    <w:rsid w:val="007205E0"/>
    <w:rsid w:val="00721222"/>
    <w:rsid w:val="007214DB"/>
    <w:rsid w:val="00721810"/>
    <w:rsid w:val="007219EB"/>
    <w:rsid w:val="00722D96"/>
    <w:rsid w:val="00723C89"/>
    <w:rsid w:val="00723D52"/>
    <w:rsid w:val="007254DB"/>
    <w:rsid w:val="00726053"/>
    <w:rsid w:val="0072624F"/>
    <w:rsid w:val="007267C9"/>
    <w:rsid w:val="00726B8F"/>
    <w:rsid w:val="00727213"/>
    <w:rsid w:val="0072777C"/>
    <w:rsid w:val="00727AEE"/>
    <w:rsid w:val="00727E20"/>
    <w:rsid w:val="00727FE6"/>
    <w:rsid w:val="00730591"/>
    <w:rsid w:val="00730E08"/>
    <w:rsid w:val="00730E3C"/>
    <w:rsid w:val="007317D1"/>
    <w:rsid w:val="00732129"/>
    <w:rsid w:val="00732ACE"/>
    <w:rsid w:val="007338BD"/>
    <w:rsid w:val="00733B2E"/>
    <w:rsid w:val="00733B95"/>
    <w:rsid w:val="007351D2"/>
    <w:rsid w:val="007358A3"/>
    <w:rsid w:val="007366B5"/>
    <w:rsid w:val="00736796"/>
    <w:rsid w:val="00736C8E"/>
    <w:rsid w:val="007370C4"/>
    <w:rsid w:val="00740313"/>
    <w:rsid w:val="007403EB"/>
    <w:rsid w:val="00740F4F"/>
    <w:rsid w:val="00740FE0"/>
    <w:rsid w:val="007414BA"/>
    <w:rsid w:val="007421FD"/>
    <w:rsid w:val="00742371"/>
    <w:rsid w:val="00742BF0"/>
    <w:rsid w:val="00742F06"/>
    <w:rsid w:val="00743A47"/>
    <w:rsid w:val="00744475"/>
    <w:rsid w:val="0074481E"/>
    <w:rsid w:val="00745465"/>
    <w:rsid w:val="007454D4"/>
    <w:rsid w:val="00745B1A"/>
    <w:rsid w:val="0074662D"/>
    <w:rsid w:val="007504A5"/>
    <w:rsid w:val="00751257"/>
    <w:rsid w:val="00751685"/>
    <w:rsid w:val="007516EA"/>
    <w:rsid w:val="007516F3"/>
    <w:rsid w:val="007517EB"/>
    <w:rsid w:val="00751AC1"/>
    <w:rsid w:val="00752836"/>
    <w:rsid w:val="00752962"/>
    <w:rsid w:val="007531E0"/>
    <w:rsid w:val="00753D91"/>
    <w:rsid w:val="007549EF"/>
    <w:rsid w:val="00754BBE"/>
    <w:rsid w:val="0075576C"/>
    <w:rsid w:val="0075693C"/>
    <w:rsid w:val="007604A0"/>
    <w:rsid w:val="00760C86"/>
    <w:rsid w:val="00760F1C"/>
    <w:rsid w:val="00760F87"/>
    <w:rsid w:val="007615A8"/>
    <w:rsid w:val="00761989"/>
    <w:rsid w:val="00762DAA"/>
    <w:rsid w:val="00762DCE"/>
    <w:rsid w:val="00762FBF"/>
    <w:rsid w:val="00763E9A"/>
    <w:rsid w:val="00763FCB"/>
    <w:rsid w:val="00764A79"/>
    <w:rsid w:val="00764D68"/>
    <w:rsid w:val="007657B4"/>
    <w:rsid w:val="00765846"/>
    <w:rsid w:val="00765865"/>
    <w:rsid w:val="0076686F"/>
    <w:rsid w:val="00767822"/>
    <w:rsid w:val="007700E8"/>
    <w:rsid w:val="00771261"/>
    <w:rsid w:val="007713DA"/>
    <w:rsid w:val="007714BC"/>
    <w:rsid w:val="0077221C"/>
    <w:rsid w:val="00773300"/>
    <w:rsid w:val="007733DB"/>
    <w:rsid w:val="00773B2A"/>
    <w:rsid w:val="00774D21"/>
    <w:rsid w:val="00775021"/>
    <w:rsid w:val="00775738"/>
    <w:rsid w:val="00775B0F"/>
    <w:rsid w:val="00777468"/>
    <w:rsid w:val="00780420"/>
    <w:rsid w:val="007816B5"/>
    <w:rsid w:val="00781877"/>
    <w:rsid w:val="007819A7"/>
    <w:rsid w:val="007819C8"/>
    <w:rsid w:val="00781D41"/>
    <w:rsid w:val="00781E5B"/>
    <w:rsid w:val="007822D8"/>
    <w:rsid w:val="00782BA0"/>
    <w:rsid w:val="0078309D"/>
    <w:rsid w:val="00783764"/>
    <w:rsid w:val="0078414D"/>
    <w:rsid w:val="00784583"/>
    <w:rsid w:val="00784CD5"/>
    <w:rsid w:val="007866FC"/>
    <w:rsid w:val="00787227"/>
    <w:rsid w:val="007907EE"/>
    <w:rsid w:val="00790B69"/>
    <w:rsid w:val="00790E82"/>
    <w:rsid w:val="00792C62"/>
    <w:rsid w:val="00792D69"/>
    <w:rsid w:val="00794AEE"/>
    <w:rsid w:val="00794B03"/>
    <w:rsid w:val="0079518B"/>
    <w:rsid w:val="007952CA"/>
    <w:rsid w:val="0079547D"/>
    <w:rsid w:val="00795583"/>
    <w:rsid w:val="00795A07"/>
    <w:rsid w:val="00795D86"/>
    <w:rsid w:val="007961E1"/>
    <w:rsid w:val="007A1089"/>
    <w:rsid w:val="007A1767"/>
    <w:rsid w:val="007A2917"/>
    <w:rsid w:val="007A347C"/>
    <w:rsid w:val="007A3BA6"/>
    <w:rsid w:val="007A4456"/>
    <w:rsid w:val="007A772A"/>
    <w:rsid w:val="007A7A30"/>
    <w:rsid w:val="007B0231"/>
    <w:rsid w:val="007B0297"/>
    <w:rsid w:val="007B0936"/>
    <w:rsid w:val="007B1053"/>
    <w:rsid w:val="007B1EA4"/>
    <w:rsid w:val="007B2380"/>
    <w:rsid w:val="007B3A03"/>
    <w:rsid w:val="007B4284"/>
    <w:rsid w:val="007B44E5"/>
    <w:rsid w:val="007B4DC9"/>
    <w:rsid w:val="007B61A7"/>
    <w:rsid w:val="007B6C95"/>
    <w:rsid w:val="007B729D"/>
    <w:rsid w:val="007B7487"/>
    <w:rsid w:val="007B763F"/>
    <w:rsid w:val="007C1B64"/>
    <w:rsid w:val="007C2092"/>
    <w:rsid w:val="007C2178"/>
    <w:rsid w:val="007C3046"/>
    <w:rsid w:val="007C39A5"/>
    <w:rsid w:val="007C50C6"/>
    <w:rsid w:val="007C5494"/>
    <w:rsid w:val="007C5562"/>
    <w:rsid w:val="007C5C9B"/>
    <w:rsid w:val="007C6632"/>
    <w:rsid w:val="007C6AFB"/>
    <w:rsid w:val="007C6B27"/>
    <w:rsid w:val="007C7158"/>
    <w:rsid w:val="007C7679"/>
    <w:rsid w:val="007C7ADC"/>
    <w:rsid w:val="007D0DDF"/>
    <w:rsid w:val="007D1D22"/>
    <w:rsid w:val="007D254A"/>
    <w:rsid w:val="007D2690"/>
    <w:rsid w:val="007D29DC"/>
    <w:rsid w:val="007D2B7F"/>
    <w:rsid w:val="007D2EAA"/>
    <w:rsid w:val="007D3351"/>
    <w:rsid w:val="007D3985"/>
    <w:rsid w:val="007D3ED5"/>
    <w:rsid w:val="007D43D1"/>
    <w:rsid w:val="007D4EE0"/>
    <w:rsid w:val="007D4EFE"/>
    <w:rsid w:val="007D53E2"/>
    <w:rsid w:val="007D5F80"/>
    <w:rsid w:val="007D62FC"/>
    <w:rsid w:val="007D6C00"/>
    <w:rsid w:val="007D6D92"/>
    <w:rsid w:val="007E0206"/>
    <w:rsid w:val="007E0886"/>
    <w:rsid w:val="007E11AD"/>
    <w:rsid w:val="007E1B71"/>
    <w:rsid w:val="007E2360"/>
    <w:rsid w:val="007E2557"/>
    <w:rsid w:val="007E2A45"/>
    <w:rsid w:val="007E30FD"/>
    <w:rsid w:val="007E33CF"/>
    <w:rsid w:val="007E3561"/>
    <w:rsid w:val="007E4064"/>
    <w:rsid w:val="007E428F"/>
    <w:rsid w:val="007E4291"/>
    <w:rsid w:val="007E4B32"/>
    <w:rsid w:val="007E4E70"/>
    <w:rsid w:val="007E543A"/>
    <w:rsid w:val="007E59BC"/>
    <w:rsid w:val="007E5D5B"/>
    <w:rsid w:val="007E5F32"/>
    <w:rsid w:val="007E6BD0"/>
    <w:rsid w:val="007E749C"/>
    <w:rsid w:val="007E7619"/>
    <w:rsid w:val="007E7753"/>
    <w:rsid w:val="007F05A8"/>
    <w:rsid w:val="007F1742"/>
    <w:rsid w:val="007F2509"/>
    <w:rsid w:val="007F25E8"/>
    <w:rsid w:val="007F2B5F"/>
    <w:rsid w:val="007F319D"/>
    <w:rsid w:val="007F32AF"/>
    <w:rsid w:val="007F3687"/>
    <w:rsid w:val="007F3E73"/>
    <w:rsid w:val="007F4A44"/>
    <w:rsid w:val="007F5B26"/>
    <w:rsid w:val="007F60EC"/>
    <w:rsid w:val="007F6693"/>
    <w:rsid w:val="007F7901"/>
    <w:rsid w:val="008012AE"/>
    <w:rsid w:val="008033EC"/>
    <w:rsid w:val="00803D8B"/>
    <w:rsid w:val="0080469A"/>
    <w:rsid w:val="0080576D"/>
    <w:rsid w:val="00806370"/>
    <w:rsid w:val="00806BF9"/>
    <w:rsid w:val="00806E17"/>
    <w:rsid w:val="008072D9"/>
    <w:rsid w:val="008078BF"/>
    <w:rsid w:val="00807E9C"/>
    <w:rsid w:val="0081246B"/>
    <w:rsid w:val="00813428"/>
    <w:rsid w:val="008140B1"/>
    <w:rsid w:val="00814108"/>
    <w:rsid w:val="008141C8"/>
    <w:rsid w:val="0081426F"/>
    <w:rsid w:val="008149A8"/>
    <w:rsid w:val="0081583D"/>
    <w:rsid w:val="00815901"/>
    <w:rsid w:val="00816303"/>
    <w:rsid w:val="00816846"/>
    <w:rsid w:val="00816936"/>
    <w:rsid w:val="008171D1"/>
    <w:rsid w:val="00817AD1"/>
    <w:rsid w:val="00820926"/>
    <w:rsid w:val="00820A64"/>
    <w:rsid w:val="00821FA3"/>
    <w:rsid w:val="008234D3"/>
    <w:rsid w:val="008238C0"/>
    <w:rsid w:val="00823B96"/>
    <w:rsid w:val="00823E34"/>
    <w:rsid w:val="008242D3"/>
    <w:rsid w:val="00824CBB"/>
    <w:rsid w:val="00824D99"/>
    <w:rsid w:val="00824D9F"/>
    <w:rsid w:val="0083015A"/>
    <w:rsid w:val="00831107"/>
    <w:rsid w:val="0083232B"/>
    <w:rsid w:val="008323AA"/>
    <w:rsid w:val="00833744"/>
    <w:rsid w:val="00833D16"/>
    <w:rsid w:val="0083505D"/>
    <w:rsid w:val="008353A3"/>
    <w:rsid w:val="00837C04"/>
    <w:rsid w:val="00837D56"/>
    <w:rsid w:val="008409D9"/>
    <w:rsid w:val="00840A0E"/>
    <w:rsid w:val="008414B6"/>
    <w:rsid w:val="008419E9"/>
    <w:rsid w:val="00841EFC"/>
    <w:rsid w:val="0084282E"/>
    <w:rsid w:val="00842ECF"/>
    <w:rsid w:val="0084341C"/>
    <w:rsid w:val="008437A3"/>
    <w:rsid w:val="00844DFB"/>
    <w:rsid w:val="00845B49"/>
    <w:rsid w:val="00846985"/>
    <w:rsid w:val="00846D26"/>
    <w:rsid w:val="008501C9"/>
    <w:rsid w:val="00851736"/>
    <w:rsid w:val="00852CBF"/>
    <w:rsid w:val="00852F6C"/>
    <w:rsid w:val="0085365F"/>
    <w:rsid w:val="00853B8A"/>
    <w:rsid w:val="00854880"/>
    <w:rsid w:val="00854E45"/>
    <w:rsid w:val="00855BD4"/>
    <w:rsid w:val="008569F3"/>
    <w:rsid w:val="00856E5F"/>
    <w:rsid w:val="0085782F"/>
    <w:rsid w:val="0085785D"/>
    <w:rsid w:val="00857873"/>
    <w:rsid w:val="00857A92"/>
    <w:rsid w:val="008622CC"/>
    <w:rsid w:val="008622F4"/>
    <w:rsid w:val="00862807"/>
    <w:rsid w:val="00862ED7"/>
    <w:rsid w:val="00862F66"/>
    <w:rsid w:val="008634D9"/>
    <w:rsid w:val="00864303"/>
    <w:rsid w:val="008655AD"/>
    <w:rsid w:val="008655B6"/>
    <w:rsid w:val="00865E4F"/>
    <w:rsid w:val="0086781C"/>
    <w:rsid w:val="00870F1E"/>
    <w:rsid w:val="008715BF"/>
    <w:rsid w:val="008720C4"/>
    <w:rsid w:val="008733DB"/>
    <w:rsid w:val="0087362B"/>
    <w:rsid w:val="008736D7"/>
    <w:rsid w:val="008744D7"/>
    <w:rsid w:val="00875384"/>
    <w:rsid w:val="00875391"/>
    <w:rsid w:val="0087579A"/>
    <w:rsid w:val="00876297"/>
    <w:rsid w:val="008763C0"/>
    <w:rsid w:val="00876AE1"/>
    <w:rsid w:val="008777DD"/>
    <w:rsid w:val="0088038F"/>
    <w:rsid w:val="008818DC"/>
    <w:rsid w:val="00883548"/>
    <w:rsid w:val="00883BF4"/>
    <w:rsid w:val="00884CFF"/>
    <w:rsid w:val="008856B2"/>
    <w:rsid w:val="00886B6D"/>
    <w:rsid w:val="00886EFC"/>
    <w:rsid w:val="0089031D"/>
    <w:rsid w:val="0089060C"/>
    <w:rsid w:val="00890EE9"/>
    <w:rsid w:val="00890FE2"/>
    <w:rsid w:val="008910A5"/>
    <w:rsid w:val="00891562"/>
    <w:rsid w:val="008915AB"/>
    <w:rsid w:val="00891E9A"/>
    <w:rsid w:val="008923ED"/>
    <w:rsid w:val="008930F6"/>
    <w:rsid w:val="008943F0"/>
    <w:rsid w:val="00896261"/>
    <w:rsid w:val="0089652F"/>
    <w:rsid w:val="00896844"/>
    <w:rsid w:val="008979BA"/>
    <w:rsid w:val="00897A5E"/>
    <w:rsid w:val="008A08AB"/>
    <w:rsid w:val="008A1BF1"/>
    <w:rsid w:val="008A1CD7"/>
    <w:rsid w:val="008A27A4"/>
    <w:rsid w:val="008A282A"/>
    <w:rsid w:val="008A290D"/>
    <w:rsid w:val="008A3016"/>
    <w:rsid w:val="008A389B"/>
    <w:rsid w:val="008A4AC9"/>
    <w:rsid w:val="008A4D54"/>
    <w:rsid w:val="008A5266"/>
    <w:rsid w:val="008A60A6"/>
    <w:rsid w:val="008A60DC"/>
    <w:rsid w:val="008A6686"/>
    <w:rsid w:val="008A712E"/>
    <w:rsid w:val="008A78D5"/>
    <w:rsid w:val="008B08BB"/>
    <w:rsid w:val="008B0CB8"/>
    <w:rsid w:val="008B185C"/>
    <w:rsid w:val="008B3942"/>
    <w:rsid w:val="008B43F1"/>
    <w:rsid w:val="008B46C4"/>
    <w:rsid w:val="008B5A80"/>
    <w:rsid w:val="008C004A"/>
    <w:rsid w:val="008C083B"/>
    <w:rsid w:val="008C1D00"/>
    <w:rsid w:val="008C2106"/>
    <w:rsid w:val="008C297A"/>
    <w:rsid w:val="008C2CE3"/>
    <w:rsid w:val="008C3BC5"/>
    <w:rsid w:val="008C52DA"/>
    <w:rsid w:val="008C5945"/>
    <w:rsid w:val="008C5FAD"/>
    <w:rsid w:val="008C700E"/>
    <w:rsid w:val="008C7500"/>
    <w:rsid w:val="008C7B49"/>
    <w:rsid w:val="008C7BED"/>
    <w:rsid w:val="008C7DDC"/>
    <w:rsid w:val="008D0514"/>
    <w:rsid w:val="008D0740"/>
    <w:rsid w:val="008D09D6"/>
    <w:rsid w:val="008D0E7E"/>
    <w:rsid w:val="008D1237"/>
    <w:rsid w:val="008D1587"/>
    <w:rsid w:val="008D18D9"/>
    <w:rsid w:val="008D1BD5"/>
    <w:rsid w:val="008D2509"/>
    <w:rsid w:val="008D35A8"/>
    <w:rsid w:val="008D382B"/>
    <w:rsid w:val="008D4C1D"/>
    <w:rsid w:val="008D6DE0"/>
    <w:rsid w:val="008D72C8"/>
    <w:rsid w:val="008E210D"/>
    <w:rsid w:val="008E2876"/>
    <w:rsid w:val="008E2C83"/>
    <w:rsid w:val="008E2D88"/>
    <w:rsid w:val="008E384A"/>
    <w:rsid w:val="008E4684"/>
    <w:rsid w:val="008E5D4F"/>
    <w:rsid w:val="008F0E2F"/>
    <w:rsid w:val="008F17C3"/>
    <w:rsid w:val="008F1DA5"/>
    <w:rsid w:val="008F2014"/>
    <w:rsid w:val="008F22C3"/>
    <w:rsid w:val="008F2B83"/>
    <w:rsid w:val="008F2C2D"/>
    <w:rsid w:val="008F30F7"/>
    <w:rsid w:val="008F371E"/>
    <w:rsid w:val="008F4252"/>
    <w:rsid w:val="008F4FF0"/>
    <w:rsid w:val="008F536D"/>
    <w:rsid w:val="008F7406"/>
    <w:rsid w:val="008F7A16"/>
    <w:rsid w:val="00900E52"/>
    <w:rsid w:val="00903007"/>
    <w:rsid w:val="009048DD"/>
    <w:rsid w:val="00904B7E"/>
    <w:rsid w:val="00904C8E"/>
    <w:rsid w:val="00905BAE"/>
    <w:rsid w:val="009069BF"/>
    <w:rsid w:val="0090776F"/>
    <w:rsid w:val="00910AA8"/>
    <w:rsid w:val="00911FD0"/>
    <w:rsid w:val="00912B30"/>
    <w:rsid w:val="00912D36"/>
    <w:rsid w:val="00912E06"/>
    <w:rsid w:val="00913D69"/>
    <w:rsid w:val="00913FBF"/>
    <w:rsid w:val="009144C2"/>
    <w:rsid w:val="00914FE6"/>
    <w:rsid w:val="00914FEE"/>
    <w:rsid w:val="00915B6C"/>
    <w:rsid w:val="00915E35"/>
    <w:rsid w:val="00915F91"/>
    <w:rsid w:val="009160B2"/>
    <w:rsid w:val="009164D1"/>
    <w:rsid w:val="0091694E"/>
    <w:rsid w:val="00916ADA"/>
    <w:rsid w:val="0091724D"/>
    <w:rsid w:val="0091771A"/>
    <w:rsid w:val="00920689"/>
    <w:rsid w:val="00921C44"/>
    <w:rsid w:val="00922C02"/>
    <w:rsid w:val="00922E9F"/>
    <w:rsid w:val="0092436E"/>
    <w:rsid w:val="00924C55"/>
    <w:rsid w:val="009250EB"/>
    <w:rsid w:val="009252AF"/>
    <w:rsid w:val="00925858"/>
    <w:rsid w:val="00925D35"/>
    <w:rsid w:val="00925E37"/>
    <w:rsid w:val="00926CB7"/>
    <w:rsid w:val="00926EE1"/>
    <w:rsid w:val="009309CD"/>
    <w:rsid w:val="00930C43"/>
    <w:rsid w:val="00932306"/>
    <w:rsid w:val="0093245E"/>
    <w:rsid w:val="00932AA0"/>
    <w:rsid w:val="009330C3"/>
    <w:rsid w:val="00933468"/>
    <w:rsid w:val="00933A34"/>
    <w:rsid w:val="00934912"/>
    <w:rsid w:val="00934C77"/>
    <w:rsid w:val="00936A2F"/>
    <w:rsid w:val="00936F14"/>
    <w:rsid w:val="009375B5"/>
    <w:rsid w:val="00937874"/>
    <w:rsid w:val="00940829"/>
    <w:rsid w:val="00940BD3"/>
    <w:rsid w:val="00941D46"/>
    <w:rsid w:val="009424DA"/>
    <w:rsid w:val="009426FE"/>
    <w:rsid w:val="00942EDB"/>
    <w:rsid w:val="00943354"/>
    <w:rsid w:val="0094423E"/>
    <w:rsid w:val="00944729"/>
    <w:rsid w:val="0094478D"/>
    <w:rsid w:val="00944AE6"/>
    <w:rsid w:val="00944B7C"/>
    <w:rsid w:val="0094596E"/>
    <w:rsid w:val="009466E8"/>
    <w:rsid w:val="009468B8"/>
    <w:rsid w:val="00946AA9"/>
    <w:rsid w:val="00946E9E"/>
    <w:rsid w:val="00946F44"/>
    <w:rsid w:val="009470E1"/>
    <w:rsid w:val="00947955"/>
    <w:rsid w:val="00950227"/>
    <w:rsid w:val="00950B1B"/>
    <w:rsid w:val="009521B7"/>
    <w:rsid w:val="009532AD"/>
    <w:rsid w:val="00953AB8"/>
    <w:rsid w:val="00953CD5"/>
    <w:rsid w:val="00954FAC"/>
    <w:rsid w:val="0095570C"/>
    <w:rsid w:val="00955885"/>
    <w:rsid w:val="00956ADA"/>
    <w:rsid w:val="00956CEB"/>
    <w:rsid w:val="00957B7A"/>
    <w:rsid w:val="00961914"/>
    <w:rsid w:val="00961ED9"/>
    <w:rsid w:val="0096220C"/>
    <w:rsid w:val="0096333A"/>
    <w:rsid w:val="00963C8F"/>
    <w:rsid w:val="00964255"/>
    <w:rsid w:val="00964282"/>
    <w:rsid w:val="009646BE"/>
    <w:rsid w:val="0096544F"/>
    <w:rsid w:val="009654B5"/>
    <w:rsid w:val="00966F29"/>
    <w:rsid w:val="00970D43"/>
    <w:rsid w:val="00970F43"/>
    <w:rsid w:val="00971F2E"/>
    <w:rsid w:val="00972E7B"/>
    <w:rsid w:val="00973593"/>
    <w:rsid w:val="00973960"/>
    <w:rsid w:val="00973A93"/>
    <w:rsid w:val="009754D6"/>
    <w:rsid w:val="009761D8"/>
    <w:rsid w:val="009768D2"/>
    <w:rsid w:val="00976CA3"/>
    <w:rsid w:val="00977A0E"/>
    <w:rsid w:val="009810CE"/>
    <w:rsid w:val="00981B98"/>
    <w:rsid w:val="0098284A"/>
    <w:rsid w:val="00982AB7"/>
    <w:rsid w:val="00983FAE"/>
    <w:rsid w:val="00984457"/>
    <w:rsid w:val="00985272"/>
    <w:rsid w:val="009852BE"/>
    <w:rsid w:val="00985C02"/>
    <w:rsid w:val="009867D0"/>
    <w:rsid w:val="00986FF2"/>
    <w:rsid w:val="0098764A"/>
    <w:rsid w:val="00987EA1"/>
    <w:rsid w:val="009900BE"/>
    <w:rsid w:val="00990C5E"/>
    <w:rsid w:val="00990FBF"/>
    <w:rsid w:val="009910F8"/>
    <w:rsid w:val="00991FCA"/>
    <w:rsid w:val="0099224A"/>
    <w:rsid w:val="009923D2"/>
    <w:rsid w:val="0099255A"/>
    <w:rsid w:val="00994020"/>
    <w:rsid w:val="00994B5C"/>
    <w:rsid w:val="009953FC"/>
    <w:rsid w:val="00996AAA"/>
    <w:rsid w:val="00996F85"/>
    <w:rsid w:val="009A139E"/>
    <w:rsid w:val="009A1D48"/>
    <w:rsid w:val="009A1D7B"/>
    <w:rsid w:val="009A3A6B"/>
    <w:rsid w:val="009A492D"/>
    <w:rsid w:val="009A54C7"/>
    <w:rsid w:val="009A5E71"/>
    <w:rsid w:val="009A64C4"/>
    <w:rsid w:val="009A665A"/>
    <w:rsid w:val="009A6E11"/>
    <w:rsid w:val="009A7349"/>
    <w:rsid w:val="009A77C2"/>
    <w:rsid w:val="009A7FBC"/>
    <w:rsid w:val="009B1D55"/>
    <w:rsid w:val="009B21C2"/>
    <w:rsid w:val="009B4404"/>
    <w:rsid w:val="009B4CCA"/>
    <w:rsid w:val="009B6C16"/>
    <w:rsid w:val="009B7AF8"/>
    <w:rsid w:val="009B7F7F"/>
    <w:rsid w:val="009C0345"/>
    <w:rsid w:val="009C048D"/>
    <w:rsid w:val="009C075E"/>
    <w:rsid w:val="009C0E6B"/>
    <w:rsid w:val="009C2ECA"/>
    <w:rsid w:val="009C4073"/>
    <w:rsid w:val="009C40D1"/>
    <w:rsid w:val="009C5105"/>
    <w:rsid w:val="009C569C"/>
    <w:rsid w:val="009C5727"/>
    <w:rsid w:val="009C6A8B"/>
    <w:rsid w:val="009C7CE7"/>
    <w:rsid w:val="009D02F6"/>
    <w:rsid w:val="009D0B45"/>
    <w:rsid w:val="009D0D5E"/>
    <w:rsid w:val="009D10E1"/>
    <w:rsid w:val="009D187A"/>
    <w:rsid w:val="009D187F"/>
    <w:rsid w:val="009D1A8A"/>
    <w:rsid w:val="009D1F43"/>
    <w:rsid w:val="009D2C85"/>
    <w:rsid w:val="009D3637"/>
    <w:rsid w:val="009D3D3E"/>
    <w:rsid w:val="009D3F74"/>
    <w:rsid w:val="009D50D4"/>
    <w:rsid w:val="009D54E4"/>
    <w:rsid w:val="009D5B65"/>
    <w:rsid w:val="009D61A2"/>
    <w:rsid w:val="009D67FC"/>
    <w:rsid w:val="009D6F02"/>
    <w:rsid w:val="009D788D"/>
    <w:rsid w:val="009D7D47"/>
    <w:rsid w:val="009D7DC5"/>
    <w:rsid w:val="009E02CB"/>
    <w:rsid w:val="009E2867"/>
    <w:rsid w:val="009E3989"/>
    <w:rsid w:val="009E3EFC"/>
    <w:rsid w:val="009E473E"/>
    <w:rsid w:val="009E490C"/>
    <w:rsid w:val="009E4C06"/>
    <w:rsid w:val="009E5BAA"/>
    <w:rsid w:val="009E5E41"/>
    <w:rsid w:val="009E5F78"/>
    <w:rsid w:val="009E6CC9"/>
    <w:rsid w:val="009E7D35"/>
    <w:rsid w:val="009F10C2"/>
    <w:rsid w:val="009F2078"/>
    <w:rsid w:val="009F2218"/>
    <w:rsid w:val="009F2657"/>
    <w:rsid w:val="009F308D"/>
    <w:rsid w:val="009F3B73"/>
    <w:rsid w:val="009F51A0"/>
    <w:rsid w:val="009F6C00"/>
    <w:rsid w:val="009F7C66"/>
    <w:rsid w:val="00A000A2"/>
    <w:rsid w:val="00A00C34"/>
    <w:rsid w:val="00A011CD"/>
    <w:rsid w:val="00A02C61"/>
    <w:rsid w:val="00A03189"/>
    <w:rsid w:val="00A03389"/>
    <w:rsid w:val="00A034CB"/>
    <w:rsid w:val="00A03846"/>
    <w:rsid w:val="00A0387C"/>
    <w:rsid w:val="00A03E2A"/>
    <w:rsid w:val="00A04947"/>
    <w:rsid w:val="00A049EA"/>
    <w:rsid w:val="00A04E62"/>
    <w:rsid w:val="00A05D8C"/>
    <w:rsid w:val="00A05FCD"/>
    <w:rsid w:val="00A06170"/>
    <w:rsid w:val="00A06F4A"/>
    <w:rsid w:val="00A072B7"/>
    <w:rsid w:val="00A07712"/>
    <w:rsid w:val="00A1091C"/>
    <w:rsid w:val="00A11438"/>
    <w:rsid w:val="00A1146E"/>
    <w:rsid w:val="00A115B5"/>
    <w:rsid w:val="00A117C2"/>
    <w:rsid w:val="00A12001"/>
    <w:rsid w:val="00A1251A"/>
    <w:rsid w:val="00A12873"/>
    <w:rsid w:val="00A12CDD"/>
    <w:rsid w:val="00A1470F"/>
    <w:rsid w:val="00A14EEE"/>
    <w:rsid w:val="00A15131"/>
    <w:rsid w:val="00A16C0B"/>
    <w:rsid w:val="00A17952"/>
    <w:rsid w:val="00A17ABA"/>
    <w:rsid w:val="00A17C3D"/>
    <w:rsid w:val="00A203CB"/>
    <w:rsid w:val="00A20C6F"/>
    <w:rsid w:val="00A21EE6"/>
    <w:rsid w:val="00A224A3"/>
    <w:rsid w:val="00A22A16"/>
    <w:rsid w:val="00A23074"/>
    <w:rsid w:val="00A23800"/>
    <w:rsid w:val="00A239E3"/>
    <w:rsid w:val="00A2503B"/>
    <w:rsid w:val="00A25948"/>
    <w:rsid w:val="00A25A58"/>
    <w:rsid w:val="00A263C2"/>
    <w:rsid w:val="00A26D83"/>
    <w:rsid w:val="00A26E6B"/>
    <w:rsid w:val="00A309BF"/>
    <w:rsid w:val="00A31150"/>
    <w:rsid w:val="00A327FE"/>
    <w:rsid w:val="00A32C6B"/>
    <w:rsid w:val="00A32CFF"/>
    <w:rsid w:val="00A3367E"/>
    <w:rsid w:val="00A33E18"/>
    <w:rsid w:val="00A3504F"/>
    <w:rsid w:val="00A355DC"/>
    <w:rsid w:val="00A35E8D"/>
    <w:rsid w:val="00A35F26"/>
    <w:rsid w:val="00A360F4"/>
    <w:rsid w:val="00A36346"/>
    <w:rsid w:val="00A367E7"/>
    <w:rsid w:val="00A36D4B"/>
    <w:rsid w:val="00A40ED8"/>
    <w:rsid w:val="00A41FF3"/>
    <w:rsid w:val="00A426E0"/>
    <w:rsid w:val="00A42808"/>
    <w:rsid w:val="00A432A7"/>
    <w:rsid w:val="00A43BFC"/>
    <w:rsid w:val="00A44036"/>
    <w:rsid w:val="00A44B14"/>
    <w:rsid w:val="00A455A3"/>
    <w:rsid w:val="00A47365"/>
    <w:rsid w:val="00A51831"/>
    <w:rsid w:val="00A51D22"/>
    <w:rsid w:val="00A51E9D"/>
    <w:rsid w:val="00A52C88"/>
    <w:rsid w:val="00A54304"/>
    <w:rsid w:val="00A545F5"/>
    <w:rsid w:val="00A546CB"/>
    <w:rsid w:val="00A5472C"/>
    <w:rsid w:val="00A54C3E"/>
    <w:rsid w:val="00A54F14"/>
    <w:rsid w:val="00A55209"/>
    <w:rsid w:val="00A557FD"/>
    <w:rsid w:val="00A5626D"/>
    <w:rsid w:val="00A565CE"/>
    <w:rsid w:val="00A60AC6"/>
    <w:rsid w:val="00A6157F"/>
    <w:rsid w:val="00A6184F"/>
    <w:rsid w:val="00A6222A"/>
    <w:rsid w:val="00A62552"/>
    <w:rsid w:val="00A644B8"/>
    <w:rsid w:val="00A64E9F"/>
    <w:rsid w:val="00A64EDE"/>
    <w:rsid w:val="00A658DA"/>
    <w:rsid w:val="00A66469"/>
    <w:rsid w:val="00A667EA"/>
    <w:rsid w:val="00A67A1A"/>
    <w:rsid w:val="00A67B7F"/>
    <w:rsid w:val="00A703FE"/>
    <w:rsid w:val="00A718CF"/>
    <w:rsid w:val="00A71943"/>
    <w:rsid w:val="00A721D3"/>
    <w:rsid w:val="00A72AB1"/>
    <w:rsid w:val="00A73D98"/>
    <w:rsid w:val="00A73F90"/>
    <w:rsid w:val="00A7452D"/>
    <w:rsid w:val="00A74BAF"/>
    <w:rsid w:val="00A74C79"/>
    <w:rsid w:val="00A74E79"/>
    <w:rsid w:val="00A75898"/>
    <w:rsid w:val="00A75DA7"/>
    <w:rsid w:val="00A763AA"/>
    <w:rsid w:val="00A76854"/>
    <w:rsid w:val="00A770E0"/>
    <w:rsid w:val="00A77436"/>
    <w:rsid w:val="00A77970"/>
    <w:rsid w:val="00A77C0A"/>
    <w:rsid w:val="00A8042B"/>
    <w:rsid w:val="00A81262"/>
    <w:rsid w:val="00A817EC"/>
    <w:rsid w:val="00A81F63"/>
    <w:rsid w:val="00A81FC4"/>
    <w:rsid w:val="00A82B77"/>
    <w:rsid w:val="00A82E58"/>
    <w:rsid w:val="00A840AF"/>
    <w:rsid w:val="00A84614"/>
    <w:rsid w:val="00A8507C"/>
    <w:rsid w:val="00A85629"/>
    <w:rsid w:val="00A864B0"/>
    <w:rsid w:val="00A86540"/>
    <w:rsid w:val="00A875FE"/>
    <w:rsid w:val="00A9236D"/>
    <w:rsid w:val="00A92760"/>
    <w:rsid w:val="00A9385E"/>
    <w:rsid w:val="00A93DC2"/>
    <w:rsid w:val="00A94B93"/>
    <w:rsid w:val="00A94BBA"/>
    <w:rsid w:val="00A94E71"/>
    <w:rsid w:val="00A9579D"/>
    <w:rsid w:val="00A96700"/>
    <w:rsid w:val="00A97420"/>
    <w:rsid w:val="00A97D4A"/>
    <w:rsid w:val="00AA024F"/>
    <w:rsid w:val="00AA0CE9"/>
    <w:rsid w:val="00AA10B9"/>
    <w:rsid w:val="00AA2132"/>
    <w:rsid w:val="00AA2417"/>
    <w:rsid w:val="00AA24DD"/>
    <w:rsid w:val="00AA2B9C"/>
    <w:rsid w:val="00AA2D99"/>
    <w:rsid w:val="00AA4B35"/>
    <w:rsid w:val="00AA5AAC"/>
    <w:rsid w:val="00AA67B2"/>
    <w:rsid w:val="00AB00B0"/>
    <w:rsid w:val="00AB043E"/>
    <w:rsid w:val="00AB0454"/>
    <w:rsid w:val="00AB1434"/>
    <w:rsid w:val="00AB188F"/>
    <w:rsid w:val="00AB234E"/>
    <w:rsid w:val="00AB2ABC"/>
    <w:rsid w:val="00AB2EEC"/>
    <w:rsid w:val="00AB4192"/>
    <w:rsid w:val="00AB4AF2"/>
    <w:rsid w:val="00AB5E45"/>
    <w:rsid w:val="00AB62F7"/>
    <w:rsid w:val="00AB698C"/>
    <w:rsid w:val="00AB6CEE"/>
    <w:rsid w:val="00AB6DD5"/>
    <w:rsid w:val="00AB7227"/>
    <w:rsid w:val="00AB7D4F"/>
    <w:rsid w:val="00AB7DE5"/>
    <w:rsid w:val="00AC0353"/>
    <w:rsid w:val="00AC09C6"/>
    <w:rsid w:val="00AC1C3D"/>
    <w:rsid w:val="00AC25FE"/>
    <w:rsid w:val="00AC2A45"/>
    <w:rsid w:val="00AC3916"/>
    <w:rsid w:val="00AC5101"/>
    <w:rsid w:val="00AC77FC"/>
    <w:rsid w:val="00AD0553"/>
    <w:rsid w:val="00AD0683"/>
    <w:rsid w:val="00AD3010"/>
    <w:rsid w:val="00AD32DE"/>
    <w:rsid w:val="00AD3331"/>
    <w:rsid w:val="00AD53D5"/>
    <w:rsid w:val="00AD6E6B"/>
    <w:rsid w:val="00AD6F1D"/>
    <w:rsid w:val="00AD7A78"/>
    <w:rsid w:val="00AD7E78"/>
    <w:rsid w:val="00AE032A"/>
    <w:rsid w:val="00AE0472"/>
    <w:rsid w:val="00AE19E6"/>
    <w:rsid w:val="00AE23CC"/>
    <w:rsid w:val="00AE2FF7"/>
    <w:rsid w:val="00AE3885"/>
    <w:rsid w:val="00AE3C04"/>
    <w:rsid w:val="00AE491E"/>
    <w:rsid w:val="00AE5070"/>
    <w:rsid w:val="00AE5105"/>
    <w:rsid w:val="00AE5817"/>
    <w:rsid w:val="00AE78B6"/>
    <w:rsid w:val="00AF04F7"/>
    <w:rsid w:val="00AF1043"/>
    <w:rsid w:val="00AF105C"/>
    <w:rsid w:val="00AF18CE"/>
    <w:rsid w:val="00AF1A7F"/>
    <w:rsid w:val="00AF209B"/>
    <w:rsid w:val="00AF24E6"/>
    <w:rsid w:val="00AF33F7"/>
    <w:rsid w:val="00AF3D0D"/>
    <w:rsid w:val="00AF4182"/>
    <w:rsid w:val="00AF428B"/>
    <w:rsid w:val="00AF5371"/>
    <w:rsid w:val="00AF5AC5"/>
    <w:rsid w:val="00AF7114"/>
    <w:rsid w:val="00B002DF"/>
    <w:rsid w:val="00B0030F"/>
    <w:rsid w:val="00B00A95"/>
    <w:rsid w:val="00B01B5A"/>
    <w:rsid w:val="00B04A05"/>
    <w:rsid w:val="00B04A6B"/>
    <w:rsid w:val="00B04D27"/>
    <w:rsid w:val="00B0632B"/>
    <w:rsid w:val="00B0636F"/>
    <w:rsid w:val="00B068FE"/>
    <w:rsid w:val="00B06E4E"/>
    <w:rsid w:val="00B10382"/>
    <w:rsid w:val="00B11706"/>
    <w:rsid w:val="00B11759"/>
    <w:rsid w:val="00B1236B"/>
    <w:rsid w:val="00B12B61"/>
    <w:rsid w:val="00B142B8"/>
    <w:rsid w:val="00B14551"/>
    <w:rsid w:val="00B14606"/>
    <w:rsid w:val="00B14793"/>
    <w:rsid w:val="00B15B93"/>
    <w:rsid w:val="00B1762B"/>
    <w:rsid w:val="00B176A5"/>
    <w:rsid w:val="00B17ABE"/>
    <w:rsid w:val="00B201D0"/>
    <w:rsid w:val="00B20AF2"/>
    <w:rsid w:val="00B20E14"/>
    <w:rsid w:val="00B21936"/>
    <w:rsid w:val="00B21F06"/>
    <w:rsid w:val="00B2250C"/>
    <w:rsid w:val="00B22E7C"/>
    <w:rsid w:val="00B23141"/>
    <w:rsid w:val="00B24469"/>
    <w:rsid w:val="00B244ED"/>
    <w:rsid w:val="00B25A4D"/>
    <w:rsid w:val="00B2654C"/>
    <w:rsid w:val="00B26DCE"/>
    <w:rsid w:val="00B27244"/>
    <w:rsid w:val="00B272E7"/>
    <w:rsid w:val="00B30DC4"/>
    <w:rsid w:val="00B30F99"/>
    <w:rsid w:val="00B31760"/>
    <w:rsid w:val="00B32570"/>
    <w:rsid w:val="00B329D0"/>
    <w:rsid w:val="00B333FD"/>
    <w:rsid w:val="00B33479"/>
    <w:rsid w:val="00B34661"/>
    <w:rsid w:val="00B3589A"/>
    <w:rsid w:val="00B366A9"/>
    <w:rsid w:val="00B37F0C"/>
    <w:rsid w:val="00B40115"/>
    <w:rsid w:val="00B40709"/>
    <w:rsid w:val="00B42322"/>
    <w:rsid w:val="00B4374C"/>
    <w:rsid w:val="00B44043"/>
    <w:rsid w:val="00B450A1"/>
    <w:rsid w:val="00B459E9"/>
    <w:rsid w:val="00B461A7"/>
    <w:rsid w:val="00B46573"/>
    <w:rsid w:val="00B46933"/>
    <w:rsid w:val="00B47495"/>
    <w:rsid w:val="00B4766E"/>
    <w:rsid w:val="00B476BC"/>
    <w:rsid w:val="00B47793"/>
    <w:rsid w:val="00B50404"/>
    <w:rsid w:val="00B51DE2"/>
    <w:rsid w:val="00B528DE"/>
    <w:rsid w:val="00B53E52"/>
    <w:rsid w:val="00B54B1C"/>
    <w:rsid w:val="00B55C2A"/>
    <w:rsid w:val="00B55D40"/>
    <w:rsid w:val="00B55ED7"/>
    <w:rsid w:val="00B561BC"/>
    <w:rsid w:val="00B56DAF"/>
    <w:rsid w:val="00B577D0"/>
    <w:rsid w:val="00B613C3"/>
    <w:rsid w:val="00B61E75"/>
    <w:rsid w:val="00B62122"/>
    <w:rsid w:val="00B63463"/>
    <w:rsid w:val="00B63D47"/>
    <w:rsid w:val="00B63E95"/>
    <w:rsid w:val="00B64847"/>
    <w:rsid w:val="00B64BC7"/>
    <w:rsid w:val="00B64F7C"/>
    <w:rsid w:val="00B65C86"/>
    <w:rsid w:val="00B66100"/>
    <w:rsid w:val="00B66B22"/>
    <w:rsid w:val="00B67642"/>
    <w:rsid w:val="00B67BD9"/>
    <w:rsid w:val="00B70BFC"/>
    <w:rsid w:val="00B712E9"/>
    <w:rsid w:val="00B71710"/>
    <w:rsid w:val="00B71A81"/>
    <w:rsid w:val="00B7207C"/>
    <w:rsid w:val="00B72B7B"/>
    <w:rsid w:val="00B7419F"/>
    <w:rsid w:val="00B74D7F"/>
    <w:rsid w:val="00B75F48"/>
    <w:rsid w:val="00B77188"/>
    <w:rsid w:val="00B7783F"/>
    <w:rsid w:val="00B803C9"/>
    <w:rsid w:val="00B8064C"/>
    <w:rsid w:val="00B810BF"/>
    <w:rsid w:val="00B81AEF"/>
    <w:rsid w:val="00B82EDE"/>
    <w:rsid w:val="00B8460E"/>
    <w:rsid w:val="00B85FAE"/>
    <w:rsid w:val="00B874D1"/>
    <w:rsid w:val="00B90442"/>
    <w:rsid w:val="00B90F4A"/>
    <w:rsid w:val="00B9152D"/>
    <w:rsid w:val="00B915C2"/>
    <w:rsid w:val="00B91613"/>
    <w:rsid w:val="00B9502D"/>
    <w:rsid w:val="00B972F7"/>
    <w:rsid w:val="00B976D2"/>
    <w:rsid w:val="00B97BD5"/>
    <w:rsid w:val="00B97DE5"/>
    <w:rsid w:val="00B97FBB"/>
    <w:rsid w:val="00BA0D24"/>
    <w:rsid w:val="00BA1207"/>
    <w:rsid w:val="00BA1FE5"/>
    <w:rsid w:val="00BA3B11"/>
    <w:rsid w:val="00BA3BBF"/>
    <w:rsid w:val="00BA3C9C"/>
    <w:rsid w:val="00BA41BB"/>
    <w:rsid w:val="00BA557F"/>
    <w:rsid w:val="00BA73CC"/>
    <w:rsid w:val="00BB0947"/>
    <w:rsid w:val="00BB0D8E"/>
    <w:rsid w:val="00BB1402"/>
    <w:rsid w:val="00BB2DFE"/>
    <w:rsid w:val="00BB2E04"/>
    <w:rsid w:val="00BB3199"/>
    <w:rsid w:val="00BB31EE"/>
    <w:rsid w:val="00BB3A53"/>
    <w:rsid w:val="00BB55C0"/>
    <w:rsid w:val="00BB7752"/>
    <w:rsid w:val="00BC0585"/>
    <w:rsid w:val="00BC06E2"/>
    <w:rsid w:val="00BC0BEE"/>
    <w:rsid w:val="00BC194E"/>
    <w:rsid w:val="00BC2677"/>
    <w:rsid w:val="00BC2E35"/>
    <w:rsid w:val="00BC31E6"/>
    <w:rsid w:val="00BC3351"/>
    <w:rsid w:val="00BC34BF"/>
    <w:rsid w:val="00BC3560"/>
    <w:rsid w:val="00BC4218"/>
    <w:rsid w:val="00BC68D5"/>
    <w:rsid w:val="00BC71BE"/>
    <w:rsid w:val="00BC7484"/>
    <w:rsid w:val="00BC767A"/>
    <w:rsid w:val="00BD1418"/>
    <w:rsid w:val="00BD217E"/>
    <w:rsid w:val="00BD32EC"/>
    <w:rsid w:val="00BD421A"/>
    <w:rsid w:val="00BD4377"/>
    <w:rsid w:val="00BD50E2"/>
    <w:rsid w:val="00BD5710"/>
    <w:rsid w:val="00BD595E"/>
    <w:rsid w:val="00BD5A59"/>
    <w:rsid w:val="00BD64EA"/>
    <w:rsid w:val="00BD6604"/>
    <w:rsid w:val="00BD6C11"/>
    <w:rsid w:val="00BD7206"/>
    <w:rsid w:val="00BE0975"/>
    <w:rsid w:val="00BE1AC4"/>
    <w:rsid w:val="00BE1D0F"/>
    <w:rsid w:val="00BE3411"/>
    <w:rsid w:val="00BE662C"/>
    <w:rsid w:val="00BE6669"/>
    <w:rsid w:val="00BE7332"/>
    <w:rsid w:val="00BE7B4B"/>
    <w:rsid w:val="00BF0A79"/>
    <w:rsid w:val="00BF1C3D"/>
    <w:rsid w:val="00BF4DB4"/>
    <w:rsid w:val="00BF5066"/>
    <w:rsid w:val="00BF5523"/>
    <w:rsid w:val="00BF5FB4"/>
    <w:rsid w:val="00BF6969"/>
    <w:rsid w:val="00C00F52"/>
    <w:rsid w:val="00C010EB"/>
    <w:rsid w:val="00C01DB0"/>
    <w:rsid w:val="00C022AA"/>
    <w:rsid w:val="00C023D5"/>
    <w:rsid w:val="00C0287F"/>
    <w:rsid w:val="00C028AA"/>
    <w:rsid w:val="00C02959"/>
    <w:rsid w:val="00C02F48"/>
    <w:rsid w:val="00C0311C"/>
    <w:rsid w:val="00C03237"/>
    <w:rsid w:val="00C04648"/>
    <w:rsid w:val="00C04779"/>
    <w:rsid w:val="00C059B6"/>
    <w:rsid w:val="00C059D7"/>
    <w:rsid w:val="00C06E44"/>
    <w:rsid w:val="00C077C7"/>
    <w:rsid w:val="00C078B3"/>
    <w:rsid w:val="00C10560"/>
    <w:rsid w:val="00C10BF9"/>
    <w:rsid w:val="00C1111D"/>
    <w:rsid w:val="00C11A41"/>
    <w:rsid w:val="00C12029"/>
    <w:rsid w:val="00C123BD"/>
    <w:rsid w:val="00C126C3"/>
    <w:rsid w:val="00C12C6B"/>
    <w:rsid w:val="00C13659"/>
    <w:rsid w:val="00C13F5C"/>
    <w:rsid w:val="00C14D41"/>
    <w:rsid w:val="00C14EAD"/>
    <w:rsid w:val="00C172B3"/>
    <w:rsid w:val="00C20026"/>
    <w:rsid w:val="00C20F0D"/>
    <w:rsid w:val="00C2254C"/>
    <w:rsid w:val="00C22A07"/>
    <w:rsid w:val="00C22C54"/>
    <w:rsid w:val="00C2395D"/>
    <w:rsid w:val="00C24F8A"/>
    <w:rsid w:val="00C25451"/>
    <w:rsid w:val="00C25910"/>
    <w:rsid w:val="00C25AB7"/>
    <w:rsid w:val="00C25EEE"/>
    <w:rsid w:val="00C267AD"/>
    <w:rsid w:val="00C274D1"/>
    <w:rsid w:val="00C27F91"/>
    <w:rsid w:val="00C30527"/>
    <w:rsid w:val="00C30B73"/>
    <w:rsid w:val="00C31D80"/>
    <w:rsid w:val="00C32140"/>
    <w:rsid w:val="00C32C81"/>
    <w:rsid w:val="00C32D92"/>
    <w:rsid w:val="00C336CF"/>
    <w:rsid w:val="00C3375D"/>
    <w:rsid w:val="00C34475"/>
    <w:rsid w:val="00C3528F"/>
    <w:rsid w:val="00C37568"/>
    <w:rsid w:val="00C40DA7"/>
    <w:rsid w:val="00C41115"/>
    <w:rsid w:val="00C42F8E"/>
    <w:rsid w:val="00C4431F"/>
    <w:rsid w:val="00C44391"/>
    <w:rsid w:val="00C44E0E"/>
    <w:rsid w:val="00C44EF6"/>
    <w:rsid w:val="00C46F42"/>
    <w:rsid w:val="00C50257"/>
    <w:rsid w:val="00C50C80"/>
    <w:rsid w:val="00C51E4D"/>
    <w:rsid w:val="00C52FBE"/>
    <w:rsid w:val="00C535C9"/>
    <w:rsid w:val="00C53F7D"/>
    <w:rsid w:val="00C54349"/>
    <w:rsid w:val="00C54AB3"/>
    <w:rsid w:val="00C55015"/>
    <w:rsid w:val="00C55192"/>
    <w:rsid w:val="00C565CC"/>
    <w:rsid w:val="00C56732"/>
    <w:rsid w:val="00C57258"/>
    <w:rsid w:val="00C57791"/>
    <w:rsid w:val="00C57DC5"/>
    <w:rsid w:val="00C6045B"/>
    <w:rsid w:val="00C62023"/>
    <w:rsid w:val="00C62194"/>
    <w:rsid w:val="00C624EB"/>
    <w:rsid w:val="00C627C5"/>
    <w:rsid w:val="00C63F5C"/>
    <w:rsid w:val="00C640A4"/>
    <w:rsid w:val="00C64123"/>
    <w:rsid w:val="00C64475"/>
    <w:rsid w:val="00C65219"/>
    <w:rsid w:val="00C652E2"/>
    <w:rsid w:val="00C6612A"/>
    <w:rsid w:val="00C66551"/>
    <w:rsid w:val="00C6684E"/>
    <w:rsid w:val="00C66967"/>
    <w:rsid w:val="00C702E3"/>
    <w:rsid w:val="00C71DB6"/>
    <w:rsid w:val="00C73620"/>
    <w:rsid w:val="00C73A0E"/>
    <w:rsid w:val="00C76ECF"/>
    <w:rsid w:val="00C7749B"/>
    <w:rsid w:val="00C7757E"/>
    <w:rsid w:val="00C8007A"/>
    <w:rsid w:val="00C80798"/>
    <w:rsid w:val="00C80BA7"/>
    <w:rsid w:val="00C81477"/>
    <w:rsid w:val="00C814B7"/>
    <w:rsid w:val="00C8354F"/>
    <w:rsid w:val="00C83A61"/>
    <w:rsid w:val="00C84D27"/>
    <w:rsid w:val="00C85286"/>
    <w:rsid w:val="00C863A8"/>
    <w:rsid w:val="00C909FD"/>
    <w:rsid w:val="00C91426"/>
    <w:rsid w:val="00C91573"/>
    <w:rsid w:val="00C91A82"/>
    <w:rsid w:val="00C92F70"/>
    <w:rsid w:val="00C931D2"/>
    <w:rsid w:val="00C9396A"/>
    <w:rsid w:val="00C93C9F"/>
    <w:rsid w:val="00C93D62"/>
    <w:rsid w:val="00C94A13"/>
    <w:rsid w:val="00C94B8B"/>
    <w:rsid w:val="00C97177"/>
    <w:rsid w:val="00C9774C"/>
    <w:rsid w:val="00C97E9B"/>
    <w:rsid w:val="00C97F07"/>
    <w:rsid w:val="00CA0FA3"/>
    <w:rsid w:val="00CA2029"/>
    <w:rsid w:val="00CA3E0E"/>
    <w:rsid w:val="00CA4B78"/>
    <w:rsid w:val="00CA5598"/>
    <w:rsid w:val="00CA56C4"/>
    <w:rsid w:val="00CA57B3"/>
    <w:rsid w:val="00CA628C"/>
    <w:rsid w:val="00CA6389"/>
    <w:rsid w:val="00CA6687"/>
    <w:rsid w:val="00CA7804"/>
    <w:rsid w:val="00CB099B"/>
    <w:rsid w:val="00CB0BA7"/>
    <w:rsid w:val="00CB1250"/>
    <w:rsid w:val="00CB1BFE"/>
    <w:rsid w:val="00CB2297"/>
    <w:rsid w:val="00CB2A2A"/>
    <w:rsid w:val="00CB326B"/>
    <w:rsid w:val="00CB3D72"/>
    <w:rsid w:val="00CB4111"/>
    <w:rsid w:val="00CB4123"/>
    <w:rsid w:val="00CB4DC2"/>
    <w:rsid w:val="00CB4EA5"/>
    <w:rsid w:val="00CB693E"/>
    <w:rsid w:val="00CB6A6E"/>
    <w:rsid w:val="00CB7550"/>
    <w:rsid w:val="00CB76A2"/>
    <w:rsid w:val="00CB7C4F"/>
    <w:rsid w:val="00CC0736"/>
    <w:rsid w:val="00CC199A"/>
    <w:rsid w:val="00CC1A7A"/>
    <w:rsid w:val="00CC2A64"/>
    <w:rsid w:val="00CC3AFF"/>
    <w:rsid w:val="00CC3FB9"/>
    <w:rsid w:val="00CC4943"/>
    <w:rsid w:val="00CC62EE"/>
    <w:rsid w:val="00CC78A7"/>
    <w:rsid w:val="00CC78EE"/>
    <w:rsid w:val="00CD0262"/>
    <w:rsid w:val="00CD1C8F"/>
    <w:rsid w:val="00CD25D7"/>
    <w:rsid w:val="00CD2F10"/>
    <w:rsid w:val="00CD4F7D"/>
    <w:rsid w:val="00CD7F69"/>
    <w:rsid w:val="00CE037B"/>
    <w:rsid w:val="00CE107F"/>
    <w:rsid w:val="00CE212D"/>
    <w:rsid w:val="00CE227A"/>
    <w:rsid w:val="00CE26D3"/>
    <w:rsid w:val="00CE399F"/>
    <w:rsid w:val="00CE3F8C"/>
    <w:rsid w:val="00CE585A"/>
    <w:rsid w:val="00CE654D"/>
    <w:rsid w:val="00CE696F"/>
    <w:rsid w:val="00CE74EC"/>
    <w:rsid w:val="00CE7FFE"/>
    <w:rsid w:val="00CF1E77"/>
    <w:rsid w:val="00CF1F56"/>
    <w:rsid w:val="00CF20F7"/>
    <w:rsid w:val="00CF2973"/>
    <w:rsid w:val="00CF31A4"/>
    <w:rsid w:val="00CF32C7"/>
    <w:rsid w:val="00CF33E0"/>
    <w:rsid w:val="00CF43B9"/>
    <w:rsid w:val="00CF48D8"/>
    <w:rsid w:val="00CF49BE"/>
    <w:rsid w:val="00CF534B"/>
    <w:rsid w:val="00CF7B56"/>
    <w:rsid w:val="00D006DC"/>
    <w:rsid w:val="00D00C0A"/>
    <w:rsid w:val="00D01A94"/>
    <w:rsid w:val="00D028B7"/>
    <w:rsid w:val="00D045C2"/>
    <w:rsid w:val="00D045D2"/>
    <w:rsid w:val="00D04DCF"/>
    <w:rsid w:val="00D04F7A"/>
    <w:rsid w:val="00D0546E"/>
    <w:rsid w:val="00D05582"/>
    <w:rsid w:val="00D06FB1"/>
    <w:rsid w:val="00D070BB"/>
    <w:rsid w:val="00D07337"/>
    <w:rsid w:val="00D07431"/>
    <w:rsid w:val="00D07D02"/>
    <w:rsid w:val="00D10B0F"/>
    <w:rsid w:val="00D111DA"/>
    <w:rsid w:val="00D1148F"/>
    <w:rsid w:val="00D126EB"/>
    <w:rsid w:val="00D12D1D"/>
    <w:rsid w:val="00D12E8C"/>
    <w:rsid w:val="00D1333F"/>
    <w:rsid w:val="00D134E4"/>
    <w:rsid w:val="00D13765"/>
    <w:rsid w:val="00D15504"/>
    <w:rsid w:val="00D15B38"/>
    <w:rsid w:val="00D15EBF"/>
    <w:rsid w:val="00D16D62"/>
    <w:rsid w:val="00D208BC"/>
    <w:rsid w:val="00D216C7"/>
    <w:rsid w:val="00D225CC"/>
    <w:rsid w:val="00D227AC"/>
    <w:rsid w:val="00D230EF"/>
    <w:rsid w:val="00D23D94"/>
    <w:rsid w:val="00D24016"/>
    <w:rsid w:val="00D2414B"/>
    <w:rsid w:val="00D24296"/>
    <w:rsid w:val="00D24D19"/>
    <w:rsid w:val="00D25346"/>
    <w:rsid w:val="00D26CD5"/>
    <w:rsid w:val="00D27167"/>
    <w:rsid w:val="00D27262"/>
    <w:rsid w:val="00D27874"/>
    <w:rsid w:val="00D27A87"/>
    <w:rsid w:val="00D27DD8"/>
    <w:rsid w:val="00D301E4"/>
    <w:rsid w:val="00D305A6"/>
    <w:rsid w:val="00D31DD0"/>
    <w:rsid w:val="00D32C06"/>
    <w:rsid w:val="00D33D8D"/>
    <w:rsid w:val="00D34408"/>
    <w:rsid w:val="00D34B13"/>
    <w:rsid w:val="00D356DE"/>
    <w:rsid w:val="00D365E9"/>
    <w:rsid w:val="00D36744"/>
    <w:rsid w:val="00D37009"/>
    <w:rsid w:val="00D3739C"/>
    <w:rsid w:val="00D37BCF"/>
    <w:rsid w:val="00D37F4B"/>
    <w:rsid w:val="00D40F0D"/>
    <w:rsid w:val="00D40FD6"/>
    <w:rsid w:val="00D4143A"/>
    <w:rsid w:val="00D41B71"/>
    <w:rsid w:val="00D422EE"/>
    <w:rsid w:val="00D42BE4"/>
    <w:rsid w:val="00D434AE"/>
    <w:rsid w:val="00D44886"/>
    <w:rsid w:val="00D44938"/>
    <w:rsid w:val="00D44A97"/>
    <w:rsid w:val="00D44C6C"/>
    <w:rsid w:val="00D45B20"/>
    <w:rsid w:val="00D4692D"/>
    <w:rsid w:val="00D47EB7"/>
    <w:rsid w:val="00D5032F"/>
    <w:rsid w:val="00D511E1"/>
    <w:rsid w:val="00D532EE"/>
    <w:rsid w:val="00D559C4"/>
    <w:rsid w:val="00D55CAF"/>
    <w:rsid w:val="00D55E55"/>
    <w:rsid w:val="00D56398"/>
    <w:rsid w:val="00D56F2D"/>
    <w:rsid w:val="00D57085"/>
    <w:rsid w:val="00D57B99"/>
    <w:rsid w:val="00D61003"/>
    <w:rsid w:val="00D6109A"/>
    <w:rsid w:val="00D614BE"/>
    <w:rsid w:val="00D61888"/>
    <w:rsid w:val="00D622E6"/>
    <w:rsid w:val="00D62496"/>
    <w:rsid w:val="00D62C6F"/>
    <w:rsid w:val="00D62D35"/>
    <w:rsid w:val="00D63E78"/>
    <w:rsid w:val="00D63FB7"/>
    <w:rsid w:val="00D6515A"/>
    <w:rsid w:val="00D660B9"/>
    <w:rsid w:val="00D70099"/>
    <w:rsid w:val="00D721A5"/>
    <w:rsid w:val="00D7240B"/>
    <w:rsid w:val="00D726E8"/>
    <w:rsid w:val="00D727DA"/>
    <w:rsid w:val="00D727FF"/>
    <w:rsid w:val="00D72E53"/>
    <w:rsid w:val="00D73D63"/>
    <w:rsid w:val="00D744D3"/>
    <w:rsid w:val="00D746A3"/>
    <w:rsid w:val="00D74B8C"/>
    <w:rsid w:val="00D74CFA"/>
    <w:rsid w:val="00D76C5C"/>
    <w:rsid w:val="00D77D7D"/>
    <w:rsid w:val="00D80791"/>
    <w:rsid w:val="00D81AF6"/>
    <w:rsid w:val="00D82A02"/>
    <w:rsid w:val="00D82C21"/>
    <w:rsid w:val="00D83407"/>
    <w:rsid w:val="00D85C15"/>
    <w:rsid w:val="00D85DD8"/>
    <w:rsid w:val="00D86C20"/>
    <w:rsid w:val="00D874DA"/>
    <w:rsid w:val="00D87B33"/>
    <w:rsid w:val="00D90610"/>
    <w:rsid w:val="00D91C63"/>
    <w:rsid w:val="00D91C8E"/>
    <w:rsid w:val="00D9254C"/>
    <w:rsid w:val="00D928F0"/>
    <w:rsid w:val="00D92E41"/>
    <w:rsid w:val="00D940DE"/>
    <w:rsid w:val="00D9415F"/>
    <w:rsid w:val="00D9429B"/>
    <w:rsid w:val="00D94928"/>
    <w:rsid w:val="00D9512B"/>
    <w:rsid w:val="00D95ED5"/>
    <w:rsid w:val="00D962E7"/>
    <w:rsid w:val="00D97E50"/>
    <w:rsid w:val="00DA0041"/>
    <w:rsid w:val="00DA1686"/>
    <w:rsid w:val="00DA16BB"/>
    <w:rsid w:val="00DA17E4"/>
    <w:rsid w:val="00DA1C85"/>
    <w:rsid w:val="00DA3C23"/>
    <w:rsid w:val="00DA3EC7"/>
    <w:rsid w:val="00DA3FCB"/>
    <w:rsid w:val="00DA4108"/>
    <w:rsid w:val="00DA54D7"/>
    <w:rsid w:val="00DA6523"/>
    <w:rsid w:val="00DA6EA6"/>
    <w:rsid w:val="00DA74C5"/>
    <w:rsid w:val="00DB047C"/>
    <w:rsid w:val="00DB2147"/>
    <w:rsid w:val="00DB22B2"/>
    <w:rsid w:val="00DB2E09"/>
    <w:rsid w:val="00DB3356"/>
    <w:rsid w:val="00DB5231"/>
    <w:rsid w:val="00DB608E"/>
    <w:rsid w:val="00DB660C"/>
    <w:rsid w:val="00DB6D6F"/>
    <w:rsid w:val="00DB799F"/>
    <w:rsid w:val="00DC068D"/>
    <w:rsid w:val="00DC0CE4"/>
    <w:rsid w:val="00DC21C7"/>
    <w:rsid w:val="00DC3C5B"/>
    <w:rsid w:val="00DC3DC9"/>
    <w:rsid w:val="00DC578C"/>
    <w:rsid w:val="00DC6540"/>
    <w:rsid w:val="00DC69B9"/>
    <w:rsid w:val="00DD01B7"/>
    <w:rsid w:val="00DD0379"/>
    <w:rsid w:val="00DD0C74"/>
    <w:rsid w:val="00DD116C"/>
    <w:rsid w:val="00DD1F39"/>
    <w:rsid w:val="00DD349A"/>
    <w:rsid w:val="00DD3D04"/>
    <w:rsid w:val="00DD3FE5"/>
    <w:rsid w:val="00DD45B6"/>
    <w:rsid w:val="00DD4946"/>
    <w:rsid w:val="00DD4CB7"/>
    <w:rsid w:val="00DD5040"/>
    <w:rsid w:val="00DD6A08"/>
    <w:rsid w:val="00DD75D4"/>
    <w:rsid w:val="00DD7903"/>
    <w:rsid w:val="00DD7E2D"/>
    <w:rsid w:val="00DE167D"/>
    <w:rsid w:val="00DE1803"/>
    <w:rsid w:val="00DE2ABB"/>
    <w:rsid w:val="00DE3762"/>
    <w:rsid w:val="00DE3A37"/>
    <w:rsid w:val="00DE3B1E"/>
    <w:rsid w:val="00DE49F9"/>
    <w:rsid w:val="00DE4E64"/>
    <w:rsid w:val="00DE5AE0"/>
    <w:rsid w:val="00DE6A7F"/>
    <w:rsid w:val="00DE6FEB"/>
    <w:rsid w:val="00DE7191"/>
    <w:rsid w:val="00DE74A9"/>
    <w:rsid w:val="00DE7A28"/>
    <w:rsid w:val="00DF0563"/>
    <w:rsid w:val="00DF0C54"/>
    <w:rsid w:val="00DF10A3"/>
    <w:rsid w:val="00DF2110"/>
    <w:rsid w:val="00DF2D52"/>
    <w:rsid w:val="00DF479A"/>
    <w:rsid w:val="00DF5399"/>
    <w:rsid w:val="00DF5E94"/>
    <w:rsid w:val="00DF68E9"/>
    <w:rsid w:val="00DF7DEB"/>
    <w:rsid w:val="00DF7ED3"/>
    <w:rsid w:val="00E0103D"/>
    <w:rsid w:val="00E01AC7"/>
    <w:rsid w:val="00E03670"/>
    <w:rsid w:val="00E036D3"/>
    <w:rsid w:val="00E03A0A"/>
    <w:rsid w:val="00E04865"/>
    <w:rsid w:val="00E05982"/>
    <w:rsid w:val="00E05E2E"/>
    <w:rsid w:val="00E07AB2"/>
    <w:rsid w:val="00E101FF"/>
    <w:rsid w:val="00E117C6"/>
    <w:rsid w:val="00E11B82"/>
    <w:rsid w:val="00E12127"/>
    <w:rsid w:val="00E126AC"/>
    <w:rsid w:val="00E13673"/>
    <w:rsid w:val="00E136A3"/>
    <w:rsid w:val="00E137E5"/>
    <w:rsid w:val="00E138A3"/>
    <w:rsid w:val="00E14315"/>
    <w:rsid w:val="00E1441D"/>
    <w:rsid w:val="00E14DE1"/>
    <w:rsid w:val="00E15E2D"/>
    <w:rsid w:val="00E22C2E"/>
    <w:rsid w:val="00E25477"/>
    <w:rsid w:val="00E26E3B"/>
    <w:rsid w:val="00E27D4F"/>
    <w:rsid w:val="00E301CE"/>
    <w:rsid w:val="00E30D8B"/>
    <w:rsid w:val="00E31479"/>
    <w:rsid w:val="00E31949"/>
    <w:rsid w:val="00E33620"/>
    <w:rsid w:val="00E3382B"/>
    <w:rsid w:val="00E33D7F"/>
    <w:rsid w:val="00E36162"/>
    <w:rsid w:val="00E362E6"/>
    <w:rsid w:val="00E36A6F"/>
    <w:rsid w:val="00E36A77"/>
    <w:rsid w:val="00E3711C"/>
    <w:rsid w:val="00E4039C"/>
    <w:rsid w:val="00E40AA8"/>
    <w:rsid w:val="00E40F69"/>
    <w:rsid w:val="00E4215E"/>
    <w:rsid w:val="00E42DE8"/>
    <w:rsid w:val="00E44007"/>
    <w:rsid w:val="00E442FA"/>
    <w:rsid w:val="00E44D05"/>
    <w:rsid w:val="00E45A53"/>
    <w:rsid w:val="00E45DD1"/>
    <w:rsid w:val="00E4658F"/>
    <w:rsid w:val="00E474C4"/>
    <w:rsid w:val="00E47DFD"/>
    <w:rsid w:val="00E50167"/>
    <w:rsid w:val="00E50F85"/>
    <w:rsid w:val="00E510E9"/>
    <w:rsid w:val="00E517DF"/>
    <w:rsid w:val="00E51813"/>
    <w:rsid w:val="00E51985"/>
    <w:rsid w:val="00E523BB"/>
    <w:rsid w:val="00E52835"/>
    <w:rsid w:val="00E53128"/>
    <w:rsid w:val="00E53995"/>
    <w:rsid w:val="00E53AC7"/>
    <w:rsid w:val="00E543C5"/>
    <w:rsid w:val="00E54F88"/>
    <w:rsid w:val="00E5568B"/>
    <w:rsid w:val="00E55E55"/>
    <w:rsid w:val="00E566ED"/>
    <w:rsid w:val="00E567D2"/>
    <w:rsid w:val="00E56C24"/>
    <w:rsid w:val="00E570C0"/>
    <w:rsid w:val="00E576A0"/>
    <w:rsid w:val="00E57AA6"/>
    <w:rsid w:val="00E57E83"/>
    <w:rsid w:val="00E601A2"/>
    <w:rsid w:val="00E6078A"/>
    <w:rsid w:val="00E60A97"/>
    <w:rsid w:val="00E613E3"/>
    <w:rsid w:val="00E62B26"/>
    <w:rsid w:val="00E62DAD"/>
    <w:rsid w:val="00E6362C"/>
    <w:rsid w:val="00E6391F"/>
    <w:rsid w:val="00E639EF"/>
    <w:rsid w:val="00E645D0"/>
    <w:rsid w:val="00E64969"/>
    <w:rsid w:val="00E64CB3"/>
    <w:rsid w:val="00E652D0"/>
    <w:rsid w:val="00E653F8"/>
    <w:rsid w:val="00E6646C"/>
    <w:rsid w:val="00E70196"/>
    <w:rsid w:val="00E71DA1"/>
    <w:rsid w:val="00E71E77"/>
    <w:rsid w:val="00E733FA"/>
    <w:rsid w:val="00E73791"/>
    <w:rsid w:val="00E74092"/>
    <w:rsid w:val="00E74C06"/>
    <w:rsid w:val="00E75F9E"/>
    <w:rsid w:val="00E760FB"/>
    <w:rsid w:val="00E77099"/>
    <w:rsid w:val="00E80C6A"/>
    <w:rsid w:val="00E80E32"/>
    <w:rsid w:val="00E8109D"/>
    <w:rsid w:val="00E81839"/>
    <w:rsid w:val="00E83222"/>
    <w:rsid w:val="00E846B7"/>
    <w:rsid w:val="00E85523"/>
    <w:rsid w:val="00E85C9B"/>
    <w:rsid w:val="00E8730D"/>
    <w:rsid w:val="00E9054F"/>
    <w:rsid w:val="00E908C3"/>
    <w:rsid w:val="00E91C7D"/>
    <w:rsid w:val="00E9289F"/>
    <w:rsid w:val="00E92CDB"/>
    <w:rsid w:val="00E92D4A"/>
    <w:rsid w:val="00E92FC8"/>
    <w:rsid w:val="00E9524C"/>
    <w:rsid w:val="00E970EC"/>
    <w:rsid w:val="00E9756A"/>
    <w:rsid w:val="00E97A54"/>
    <w:rsid w:val="00E97BB6"/>
    <w:rsid w:val="00EA04D3"/>
    <w:rsid w:val="00EA0745"/>
    <w:rsid w:val="00EA0C4B"/>
    <w:rsid w:val="00EA1022"/>
    <w:rsid w:val="00EA120F"/>
    <w:rsid w:val="00EA1A3C"/>
    <w:rsid w:val="00EA39EF"/>
    <w:rsid w:val="00EA4771"/>
    <w:rsid w:val="00EA49A2"/>
    <w:rsid w:val="00EA6ED3"/>
    <w:rsid w:val="00EA7462"/>
    <w:rsid w:val="00EA74B0"/>
    <w:rsid w:val="00EA75B6"/>
    <w:rsid w:val="00EB0510"/>
    <w:rsid w:val="00EB1095"/>
    <w:rsid w:val="00EB1258"/>
    <w:rsid w:val="00EB17B3"/>
    <w:rsid w:val="00EB1BB7"/>
    <w:rsid w:val="00EB1D02"/>
    <w:rsid w:val="00EB4058"/>
    <w:rsid w:val="00EB4624"/>
    <w:rsid w:val="00EB48C2"/>
    <w:rsid w:val="00EB49AF"/>
    <w:rsid w:val="00EB5562"/>
    <w:rsid w:val="00EB5E4A"/>
    <w:rsid w:val="00EB62B0"/>
    <w:rsid w:val="00EB68DC"/>
    <w:rsid w:val="00EB695B"/>
    <w:rsid w:val="00EB6AEE"/>
    <w:rsid w:val="00EC03E6"/>
    <w:rsid w:val="00EC04BB"/>
    <w:rsid w:val="00EC09E5"/>
    <w:rsid w:val="00EC0EFD"/>
    <w:rsid w:val="00EC17D8"/>
    <w:rsid w:val="00EC1ED6"/>
    <w:rsid w:val="00EC3306"/>
    <w:rsid w:val="00EC3435"/>
    <w:rsid w:val="00EC35E6"/>
    <w:rsid w:val="00EC4EC5"/>
    <w:rsid w:val="00EC5078"/>
    <w:rsid w:val="00EC52AD"/>
    <w:rsid w:val="00EC5515"/>
    <w:rsid w:val="00EC6153"/>
    <w:rsid w:val="00EC61AB"/>
    <w:rsid w:val="00EC67CA"/>
    <w:rsid w:val="00EC6B27"/>
    <w:rsid w:val="00EC71D9"/>
    <w:rsid w:val="00ED083E"/>
    <w:rsid w:val="00ED1013"/>
    <w:rsid w:val="00ED2E35"/>
    <w:rsid w:val="00ED35A3"/>
    <w:rsid w:val="00ED3C65"/>
    <w:rsid w:val="00ED424A"/>
    <w:rsid w:val="00ED67A0"/>
    <w:rsid w:val="00ED6B0E"/>
    <w:rsid w:val="00ED72AE"/>
    <w:rsid w:val="00ED743C"/>
    <w:rsid w:val="00EE17B0"/>
    <w:rsid w:val="00EE27B6"/>
    <w:rsid w:val="00EE3360"/>
    <w:rsid w:val="00EE36A6"/>
    <w:rsid w:val="00EE3E71"/>
    <w:rsid w:val="00EE4330"/>
    <w:rsid w:val="00EE4992"/>
    <w:rsid w:val="00EE4BE8"/>
    <w:rsid w:val="00EE4E5A"/>
    <w:rsid w:val="00EE510A"/>
    <w:rsid w:val="00EE51AC"/>
    <w:rsid w:val="00EE559D"/>
    <w:rsid w:val="00EE5B64"/>
    <w:rsid w:val="00EE5FCA"/>
    <w:rsid w:val="00EE6590"/>
    <w:rsid w:val="00EE6FCB"/>
    <w:rsid w:val="00EE76D3"/>
    <w:rsid w:val="00EF0247"/>
    <w:rsid w:val="00EF1484"/>
    <w:rsid w:val="00EF1F08"/>
    <w:rsid w:val="00EF2BAC"/>
    <w:rsid w:val="00EF37D9"/>
    <w:rsid w:val="00EF432C"/>
    <w:rsid w:val="00EF4D09"/>
    <w:rsid w:val="00EF50CC"/>
    <w:rsid w:val="00EF77A8"/>
    <w:rsid w:val="00EF7A67"/>
    <w:rsid w:val="00EF7AD8"/>
    <w:rsid w:val="00F005EE"/>
    <w:rsid w:val="00F00AE4"/>
    <w:rsid w:val="00F01242"/>
    <w:rsid w:val="00F01485"/>
    <w:rsid w:val="00F01620"/>
    <w:rsid w:val="00F016FA"/>
    <w:rsid w:val="00F01ACE"/>
    <w:rsid w:val="00F02654"/>
    <w:rsid w:val="00F028FB"/>
    <w:rsid w:val="00F03EE4"/>
    <w:rsid w:val="00F04848"/>
    <w:rsid w:val="00F04954"/>
    <w:rsid w:val="00F06790"/>
    <w:rsid w:val="00F06A98"/>
    <w:rsid w:val="00F06E36"/>
    <w:rsid w:val="00F10CB1"/>
    <w:rsid w:val="00F10F80"/>
    <w:rsid w:val="00F118BC"/>
    <w:rsid w:val="00F118FB"/>
    <w:rsid w:val="00F121B6"/>
    <w:rsid w:val="00F127EE"/>
    <w:rsid w:val="00F132C8"/>
    <w:rsid w:val="00F13744"/>
    <w:rsid w:val="00F13F72"/>
    <w:rsid w:val="00F14C1B"/>
    <w:rsid w:val="00F165AC"/>
    <w:rsid w:val="00F17B8B"/>
    <w:rsid w:val="00F207E9"/>
    <w:rsid w:val="00F20AAC"/>
    <w:rsid w:val="00F20DDF"/>
    <w:rsid w:val="00F20FF6"/>
    <w:rsid w:val="00F215A8"/>
    <w:rsid w:val="00F21BF2"/>
    <w:rsid w:val="00F223E8"/>
    <w:rsid w:val="00F22B99"/>
    <w:rsid w:val="00F238AC"/>
    <w:rsid w:val="00F23B8D"/>
    <w:rsid w:val="00F255A6"/>
    <w:rsid w:val="00F268BA"/>
    <w:rsid w:val="00F306AF"/>
    <w:rsid w:val="00F30B96"/>
    <w:rsid w:val="00F30BA1"/>
    <w:rsid w:val="00F30C21"/>
    <w:rsid w:val="00F30F16"/>
    <w:rsid w:val="00F31D48"/>
    <w:rsid w:val="00F322BB"/>
    <w:rsid w:val="00F32A08"/>
    <w:rsid w:val="00F33119"/>
    <w:rsid w:val="00F337B2"/>
    <w:rsid w:val="00F33A20"/>
    <w:rsid w:val="00F33A64"/>
    <w:rsid w:val="00F3583B"/>
    <w:rsid w:val="00F37A90"/>
    <w:rsid w:val="00F37D96"/>
    <w:rsid w:val="00F4056F"/>
    <w:rsid w:val="00F406A7"/>
    <w:rsid w:val="00F439FD"/>
    <w:rsid w:val="00F446E8"/>
    <w:rsid w:val="00F44D1B"/>
    <w:rsid w:val="00F45CA1"/>
    <w:rsid w:val="00F46281"/>
    <w:rsid w:val="00F468B5"/>
    <w:rsid w:val="00F47050"/>
    <w:rsid w:val="00F47661"/>
    <w:rsid w:val="00F476F1"/>
    <w:rsid w:val="00F47872"/>
    <w:rsid w:val="00F502D6"/>
    <w:rsid w:val="00F50420"/>
    <w:rsid w:val="00F51D01"/>
    <w:rsid w:val="00F51E4D"/>
    <w:rsid w:val="00F52BF7"/>
    <w:rsid w:val="00F53183"/>
    <w:rsid w:val="00F53AF1"/>
    <w:rsid w:val="00F53CEC"/>
    <w:rsid w:val="00F5433B"/>
    <w:rsid w:val="00F554ED"/>
    <w:rsid w:val="00F6149E"/>
    <w:rsid w:val="00F63470"/>
    <w:rsid w:val="00F6454F"/>
    <w:rsid w:val="00F650A8"/>
    <w:rsid w:val="00F65600"/>
    <w:rsid w:val="00F677AA"/>
    <w:rsid w:val="00F67C22"/>
    <w:rsid w:val="00F67F1F"/>
    <w:rsid w:val="00F70B40"/>
    <w:rsid w:val="00F72FA9"/>
    <w:rsid w:val="00F739DA"/>
    <w:rsid w:val="00F73BAB"/>
    <w:rsid w:val="00F74657"/>
    <w:rsid w:val="00F74A16"/>
    <w:rsid w:val="00F7643B"/>
    <w:rsid w:val="00F765F4"/>
    <w:rsid w:val="00F7695B"/>
    <w:rsid w:val="00F77CB3"/>
    <w:rsid w:val="00F77D73"/>
    <w:rsid w:val="00F80261"/>
    <w:rsid w:val="00F80441"/>
    <w:rsid w:val="00F81E11"/>
    <w:rsid w:val="00F82FBB"/>
    <w:rsid w:val="00F830D3"/>
    <w:rsid w:val="00F837EF"/>
    <w:rsid w:val="00F84274"/>
    <w:rsid w:val="00F842CB"/>
    <w:rsid w:val="00F855D9"/>
    <w:rsid w:val="00F85C34"/>
    <w:rsid w:val="00F93609"/>
    <w:rsid w:val="00F93B70"/>
    <w:rsid w:val="00F94EBE"/>
    <w:rsid w:val="00F95017"/>
    <w:rsid w:val="00F96618"/>
    <w:rsid w:val="00F96B7C"/>
    <w:rsid w:val="00F96E34"/>
    <w:rsid w:val="00F9746B"/>
    <w:rsid w:val="00F97679"/>
    <w:rsid w:val="00F97909"/>
    <w:rsid w:val="00F97A6E"/>
    <w:rsid w:val="00F97FDB"/>
    <w:rsid w:val="00FA0D92"/>
    <w:rsid w:val="00FA269A"/>
    <w:rsid w:val="00FA350A"/>
    <w:rsid w:val="00FA3646"/>
    <w:rsid w:val="00FA3825"/>
    <w:rsid w:val="00FA4E41"/>
    <w:rsid w:val="00FA6C54"/>
    <w:rsid w:val="00FA779E"/>
    <w:rsid w:val="00FB1DE9"/>
    <w:rsid w:val="00FB1E56"/>
    <w:rsid w:val="00FB3412"/>
    <w:rsid w:val="00FB37B9"/>
    <w:rsid w:val="00FB4EE2"/>
    <w:rsid w:val="00FB4F6B"/>
    <w:rsid w:val="00FB4FF8"/>
    <w:rsid w:val="00FB5620"/>
    <w:rsid w:val="00FB6572"/>
    <w:rsid w:val="00FB68C3"/>
    <w:rsid w:val="00FB68E1"/>
    <w:rsid w:val="00FB6E5D"/>
    <w:rsid w:val="00FB7644"/>
    <w:rsid w:val="00FB7CD0"/>
    <w:rsid w:val="00FB7F15"/>
    <w:rsid w:val="00FC018C"/>
    <w:rsid w:val="00FC190F"/>
    <w:rsid w:val="00FC23EF"/>
    <w:rsid w:val="00FC2CA5"/>
    <w:rsid w:val="00FC2D44"/>
    <w:rsid w:val="00FC2F61"/>
    <w:rsid w:val="00FC38EA"/>
    <w:rsid w:val="00FC3EE6"/>
    <w:rsid w:val="00FC446F"/>
    <w:rsid w:val="00FC4BAF"/>
    <w:rsid w:val="00FC61FF"/>
    <w:rsid w:val="00FC647D"/>
    <w:rsid w:val="00FC6938"/>
    <w:rsid w:val="00FC7F1C"/>
    <w:rsid w:val="00FD050C"/>
    <w:rsid w:val="00FD0D75"/>
    <w:rsid w:val="00FD20F6"/>
    <w:rsid w:val="00FD3C94"/>
    <w:rsid w:val="00FD498C"/>
    <w:rsid w:val="00FD500D"/>
    <w:rsid w:val="00FD56D9"/>
    <w:rsid w:val="00FD5BDA"/>
    <w:rsid w:val="00FD6781"/>
    <w:rsid w:val="00FD68C6"/>
    <w:rsid w:val="00FD7A90"/>
    <w:rsid w:val="00FE1116"/>
    <w:rsid w:val="00FE158E"/>
    <w:rsid w:val="00FE1D41"/>
    <w:rsid w:val="00FE28A0"/>
    <w:rsid w:val="00FE3A12"/>
    <w:rsid w:val="00FE48CA"/>
    <w:rsid w:val="00FE4E9C"/>
    <w:rsid w:val="00FE55FB"/>
    <w:rsid w:val="00FE5CF5"/>
    <w:rsid w:val="00FE5F14"/>
    <w:rsid w:val="00FE7042"/>
    <w:rsid w:val="00FE7185"/>
    <w:rsid w:val="00FE7785"/>
    <w:rsid w:val="00FF0F8B"/>
    <w:rsid w:val="00FF1679"/>
    <w:rsid w:val="00FF178E"/>
    <w:rsid w:val="00FF1DE5"/>
    <w:rsid w:val="00FF2100"/>
    <w:rsid w:val="00FF2687"/>
    <w:rsid w:val="00FF3F09"/>
    <w:rsid w:val="00FF466C"/>
    <w:rsid w:val="00FF4EAF"/>
    <w:rsid w:val="00FF58F5"/>
    <w:rsid w:val="00FF5DDF"/>
    <w:rsid w:val="00FF67D2"/>
    <w:rsid w:val="00FF7334"/>
    <w:rsid w:val="00FF743D"/>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132"/>
  <w15:chartTrackingRefBased/>
  <w15:docId w15:val="{CA580724-B7CA-4F66-A087-6FC0F1B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4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F6B"/>
    <w:rPr>
      <w:sz w:val="20"/>
      <w:szCs w:val="20"/>
      <w:lang w:val="en-ZA"/>
    </w:rPr>
  </w:style>
  <w:style w:type="character" w:styleId="FootnoteReference">
    <w:name w:val="footnote reference"/>
    <w:basedOn w:val="DefaultParagraphFont"/>
    <w:uiPriority w:val="99"/>
    <w:semiHidden/>
    <w:unhideWhenUsed/>
    <w:rsid w:val="00FB4F6B"/>
    <w:rPr>
      <w:vertAlign w:val="superscript"/>
    </w:rPr>
  </w:style>
  <w:style w:type="character" w:styleId="Hyperlink">
    <w:name w:val="Hyperlink"/>
    <w:basedOn w:val="DefaultParagraphFont"/>
    <w:uiPriority w:val="99"/>
    <w:unhideWhenUsed/>
    <w:rsid w:val="00142A05"/>
    <w:rPr>
      <w:color w:val="0563C1" w:themeColor="hyperlink"/>
      <w:u w:val="single"/>
    </w:rPr>
  </w:style>
  <w:style w:type="character" w:customStyle="1" w:styleId="UnresolvedMention">
    <w:name w:val="Unresolved Mention"/>
    <w:basedOn w:val="DefaultParagraphFont"/>
    <w:uiPriority w:val="99"/>
    <w:semiHidden/>
    <w:unhideWhenUsed/>
    <w:rsid w:val="00142A05"/>
    <w:rPr>
      <w:color w:val="605E5C"/>
      <w:shd w:val="clear" w:color="auto" w:fill="E1DFDD"/>
    </w:rPr>
  </w:style>
  <w:style w:type="paragraph" w:styleId="ListParagraph">
    <w:name w:val="List Paragraph"/>
    <w:basedOn w:val="Normal"/>
    <w:uiPriority w:val="34"/>
    <w:qFormat/>
    <w:rsid w:val="00BE7332"/>
    <w:pPr>
      <w:ind w:left="720"/>
      <w:contextualSpacing/>
    </w:pPr>
  </w:style>
  <w:style w:type="paragraph" w:styleId="Header">
    <w:name w:val="header"/>
    <w:basedOn w:val="Normal"/>
    <w:link w:val="HeaderChar"/>
    <w:uiPriority w:val="99"/>
    <w:unhideWhenUsed/>
    <w:rsid w:val="00485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CE9"/>
    <w:rPr>
      <w:lang w:val="en-ZA"/>
    </w:rPr>
  </w:style>
  <w:style w:type="paragraph" w:styleId="Footer">
    <w:name w:val="footer"/>
    <w:basedOn w:val="Normal"/>
    <w:link w:val="FooterChar"/>
    <w:uiPriority w:val="99"/>
    <w:unhideWhenUsed/>
    <w:rsid w:val="00485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CE9"/>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8CE3-DC87-43D6-9EF6-32168E2C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10438</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Mary Bruce</cp:lastModifiedBy>
  <cp:revision>3</cp:revision>
  <cp:lastPrinted>2023-11-20T12:46:00Z</cp:lastPrinted>
  <dcterms:created xsi:type="dcterms:W3CDTF">2023-11-21T10:41:00Z</dcterms:created>
  <dcterms:modified xsi:type="dcterms:W3CDTF">2023-11-24T15:51:00Z</dcterms:modified>
</cp:coreProperties>
</file>