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5C27E" w14:textId="77777777" w:rsidR="00D450B5" w:rsidRPr="00044B50" w:rsidRDefault="00D450B5" w:rsidP="00175A9F">
      <w:pPr>
        <w:ind w:right="-336"/>
        <w:jc w:val="center"/>
        <w:rPr>
          <w:lang w:val="en-GB"/>
        </w:rPr>
      </w:pPr>
      <w:r w:rsidRPr="00044B50">
        <w:rPr>
          <w:noProof/>
          <w:lang w:val="en-US"/>
        </w:rPr>
        <w:drawing>
          <wp:inline distT="0" distB="0" distL="0" distR="0" wp14:anchorId="072ABB33" wp14:editId="0D5C4B6D">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14:paraId="55436292" w14:textId="77777777" w:rsidR="00D450B5" w:rsidRPr="00044B50" w:rsidRDefault="00D450B5" w:rsidP="00772E4B">
      <w:pPr>
        <w:jc w:val="center"/>
        <w:rPr>
          <w:b/>
          <w:bCs/>
          <w:lang w:val="en-GB"/>
        </w:rPr>
      </w:pPr>
      <w:r w:rsidRPr="00044B50">
        <w:rPr>
          <w:b/>
          <w:bCs/>
          <w:lang w:val="en-GB"/>
        </w:rPr>
        <w:t>IN THE HIGH COURT OF SOUTH AFRICA</w:t>
      </w:r>
    </w:p>
    <w:p w14:paraId="15294C30" w14:textId="77777777" w:rsidR="00D450B5" w:rsidRPr="00044B50" w:rsidRDefault="007B002B" w:rsidP="00175A9F">
      <w:pPr>
        <w:ind w:right="-52"/>
        <w:jc w:val="center"/>
        <w:rPr>
          <w:b/>
          <w:bCs/>
          <w:lang w:val="en-GB"/>
        </w:rPr>
      </w:pPr>
      <w:r>
        <w:rPr>
          <w:b/>
          <w:bCs/>
          <w:lang w:val="en-GB"/>
        </w:rPr>
        <w:t>(</w:t>
      </w:r>
      <w:r w:rsidR="00D450B5" w:rsidRPr="00044B50">
        <w:rPr>
          <w:b/>
          <w:bCs/>
          <w:lang w:val="en-GB"/>
        </w:rPr>
        <w:t>EASTERN CAPE DIVISION,</w:t>
      </w:r>
      <w:r w:rsidR="00CA22C7">
        <w:rPr>
          <w:b/>
          <w:bCs/>
          <w:lang w:val="en-GB"/>
        </w:rPr>
        <w:t xml:space="preserve"> </w:t>
      </w:r>
      <w:r w:rsidR="0083640F">
        <w:rPr>
          <w:b/>
          <w:bCs/>
          <w:lang w:val="en-GB"/>
        </w:rPr>
        <w:t>MAKHANDA</w:t>
      </w:r>
      <w:r>
        <w:rPr>
          <w:b/>
          <w:bCs/>
          <w:lang w:val="en-GB"/>
        </w:rPr>
        <w:t>)</w:t>
      </w:r>
    </w:p>
    <w:p w14:paraId="6C5C9C69" w14:textId="77777777" w:rsidR="007B002B" w:rsidRPr="00044B50" w:rsidRDefault="007B002B" w:rsidP="007B002B">
      <w:pPr>
        <w:widowControl w:val="0"/>
        <w:jc w:val="both"/>
        <w:rPr>
          <w:spacing w:val="14"/>
          <w:kern w:val="2"/>
          <w:u w:val="single"/>
          <w:lang w:val="en-GB"/>
        </w:rPr>
      </w:pPr>
    </w:p>
    <w:p w14:paraId="37E95338" w14:textId="77777777" w:rsidR="007B002B" w:rsidRPr="00044B50" w:rsidRDefault="007B002B" w:rsidP="00175A9F">
      <w:pPr>
        <w:tabs>
          <w:tab w:val="left" w:pos="7797"/>
          <w:tab w:val="left" w:pos="8080"/>
        </w:tabs>
        <w:ind w:right="-336"/>
        <w:jc w:val="both"/>
        <w:rPr>
          <w:b/>
          <w:bCs/>
          <w:lang w:val="en-GB"/>
        </w:rPr>
      </w:pPr>
      <w:r w:rsidRPr="00044B50">
        <w:rPr>
          <w:lang w:val="en-GB"/>
        </w:rPr>
        <w:t xml:space="preserve">                                                                                           </w:t>
      </w:r>
      <w:r>
        <w:rPr>
          <w:lang w:val="en-GB"/>
        </w:rPr>
        <w:t xml:space="preserve">    </w:t>
      </w:r>
      <w:r w:rsidR="004B6DFC">
        <w:rPr>
          <w:lang w:val="en-GB"/>
        </w:rPr>
        <w:t xml:space="preserve">                          </w:t>
      </w:r>
      <w:r w:rsidRPr="00044B50">
        <w:rPr>
          <w:b/>
          <w:bCs/>
          <w:lang w:val="en-GB"/>
        </w:rPr>
        <w:t>R</w:t>
      </w:r>
      <w:r w:rsidR="004B6DFC" w:rsidRPr="00044B50">
        <w:rPr>
          <w:b/>
          <w:bCs/>
          <w:lang w:val="en-GB"/>
        </w:rPr>
        <w:t>eportable</w:t>
      </w:r>
      <w:r w:rsidRPr="00044B50">
        <w:rPr>
          <w:b/>
          <w:bCs/>
          <w:lang w:val="en-GB"/>
        </w:rPr>
        <w:t xml:space="preserve">                                     </w:t>
      </w:r>
    </w:p>
    <w:p w14:paraId="0D2A548D" w14:textId="77777777" w:rsidR="007B002B" w:rsidRPr="00044B50" w:rsidRDefault="007B002B" w:rsidP="00175A9F">
      <w:pPr>
        <w:ind w:right="-336"/>
        <w:jc w:val="both"/>
        <w:rPr>
          <w:lang w:val="en-GB"/>
        </w:rPr>
      </w:pPr>
      <w:r w:rsidRPr="00044B50">
        <w:rPr>
          <w:lang w:val="en-GB"/>
        </w:rPr>
        <w:t xml:space="preserve">                                                                                                 </w:t>
      </w:r>
      <w:r>
        <w:rPr>
          <w:lang w:val="en-GB"/>
        </w:rPr>
        <w:t xml:space="preserve">  </w:t>
      </w:r>
      <w:r w:rsidR="004B6DFC">
        <w:rPr>
          <w:lang w:val="en-GB"/>
        </w:rPr>
        <w:t xml:space="preserve">         </w:t>
      </w:r>
      <w:r w:rsidRPr="00044B50">
        <w:rPr>
          <w:lang w:val="en-GB"/>
        </w:rPr>
        <w:t xml:space="preserve">Case no: </w:t>
      </w:r>
      <w:r>
        <w:rPr>
          <w:lang w:val="en-GB"/>
        </w:rPr>
        <w:t>3668/2022</w:t>
      </w:r>
    </w:p>
    <w:p w14:paraId="2BFA6A75" w14:textId="77777777" w:rsidR="007B002B" w:rsidRPr="00044B50" w:rsidRDefault="007B002B" w:rsidP="004B6DFC">
      <w:pPr>
        <w:widowControl w:val="0"/>
        <w:tabs>
          <w:tab w:val="left" w:pos="8931"/>
        </w:tabs>
        <w:jc w:val="both"/>
        <w:rPr>
          <w:spacing w:val="14"/>
          <w:kern w:val="2"/>
          <w:lang w:val="en-GB"/>
        </w:rPr>
      </w:pPr>
    </w:p>
    <w:p w14:paraId="40D2DE0D" w14:textId="77777777" w:rsidR="007B002B" w:rsidRPr="00044B50" w:rsidRDefault="007B002B" w:rsidP="00175A9F">
      <w:pPr>
        <w:widowControl w:val="0"/>
        <w:tabs>
          <w:tab w:val="left" w:pos="8931"/>
        </w:tabs>
        <w:jc w:val="both"/>
        <w:rPr>
          <w:spacing w:val="14"/>
          <w:kern w:val="2"/>
          <w:lang w:val="en-GB"/>
        </w:rPr>
      </w:pPr>
      <w:r w:rsidRPr="00044B50">
        <w:rPr>
          <w:spacing w:val="14"/>
          <w:kern w:val="2"/>
          <w:lang w:val="en-GB"/>
        </w:rPr>
        <w:t>In the matter between:</w:t>
      </w:r>
    </w:p>
    <w:p w14:paraId="749D6080" w14:textId="77777777" w:rsidR="007B002B" w:rsidRPr="00044B50" w:rsidRDefault="007B002B" w:rsidP="00175A9F">
      <w:pPr>
        <w:widowControl w:val="0"/>
        <w:tabs>
          <w:tab w:val="right" w:pos="8198"/>
          <w:tab w:val="left" w:pos="8931"/>
        </w:tabs>
        <w:jc w:val="both"/>
        <w:rPr>
          <w:spacing w:val="14"/>
          <w:kern w:val="2"/>
          <w:lang w:val="en-GB"/>
        </w:rPr>
      </w:pPr>
    </w:p>
    <w:p w14:paraId="548C0F27" w14:textId="77777777" w:rsidR="007B002B" w:rsidRPr="00797E4E" w:rsidRDefault="007B002B" w:rsidP="00175A9F">
      <w:pPr>
        <w:tabs>
          <w:tab w:val="left" w:pos="7088"/>
        </w:tabs>
        <w:suppressAutoHyphens/>
        <w:ind w:right="-336"/>
        <w:jc w:val="both"/>
        <w:rPr>
          <w:b/>
          <w:bCs/>
          <w:lang w:val="en-GB"/>
        </w:rPr>
      </w:pPr>
      <w:r>
        <w:rPr>
          <w:b/>
          <w:bCs/>
          <w:lang w:val="en-GB"/>
        </w:rPr>
        <w:t>CHRIST THE KING PRIMARY SCHOOL CC</w:t>
      </w:r>
      <w:r w:rsidRPr="00797E4E">
        <w:rPr>
          <w:b/>
          <w:bCs/>
          <w:lang w:val="en-GB"/>
        </w:rPr>
        <w:t xml:space="preserve"> </w:t>
      </w:r>
      <w:r>
        <w:rPr>
          <w:b/>
          <w:bCs/>
          <w:lang w:val="en-GB"/>
        </w:rPr>
        <w:tab/>
      </w:r>
      <w:r w:rsidR="004B6DFC">
        <w:rPr>
          <w:b/>
          <w:bCs/>
          <w:lang w:val="en-GB"/>
        </w:rPr>
        <w:t xml:space="preserve">             </w:t>
      </w:r>
      <w:r w:rsidR="004B6DFC" w:rsidRPr="00797E4E">
        <w:rPr>
          <w:b/>
          <w:bCs/>
          <w:lang w:val="en-GB"/>
        </w:rPr>
        <w:t>APP</w:t>
      </w:r>
      <w:r w:rsidR="004B6DFC">
        <w:rPr>
          <w:b/>
          <w:bCs/>
          <w:lang w:val="en-GB"/>
        </w:rPr>
        <w:t>LIC</w:t>
      </w:r>
      <w:r w:rsidR="004B6DFC" w:rsidRPr="00797E4E">
        <w:rPr>
          <w:b/>
          <w:bCs/>
          <w:lang w:val="en-GB"/>
        </w:rPr>
        <w:t>ANT</w:t>
      </w:r>
    </w:p>
    <w:p w14:paraId="1C2E205D" w14:textId="77777777" w:rsidR="007B002B" w:rsidRPr="00044B50" w:rsidRDefault="007B002B" w:rsidP="00E8763E">
      <w:pPr>
        <w:tabs>
          <w:tab w:val="right" w:pos="9072"/>
        </w:tabs>
        <w:suppressAutoHyphens/>
        <w:ind w:right="-336"/>
        <w:jc w:val="both"/>
        <w:rPr>
          <w:lang w:val="en-GB"/>
        </w:rPr>
      </w:pPr>
    </w:p>
    <w:p w14:paraId="309C576B" w14:textId="77777777" w:rsidR="007B002B" w:rsidRPr="00044B50" w:rsidRDefault="007B002B" w:rsidP="00175A9F">
      <w:pPr>
        <w:tabs>
          <w:tab w:val="left" w:pos="8931"/>
        </w:tabs>
        <w:ind w:right="-336"/>
        <w:jc w:val="both"/>
        <w:rPr>
          <w:lang w:val="en-GB"/>
        </w:rPr>
      </w:pPr>
      <w:r w:rsidRPr="00044B50">
        <w:rPr>
          <w:lang w:val="en-GB"/>
        </w:rPr>
        <w:t>and</w:t>
      </w:r>
    </w:p>
    <w:p w14:paraId="78D27038" w14:textId="77777777" w:rsidR="007B002B" w:rsidRDefault="007B002B" w:rsidP="00175A9F">
      <w:pPr>
        <w:tabs>
          <w:tab w:val="left" w:pos="8931"/>
        </w:tabs>
        <w:ind w:right="-336"/>
        <w:jc w:val="both"/>
        <w:rPr>
          <w:lang w:val="en-GB"/>
        </w:rPr>
      </w:pPr>
    </w:p>
    <w:p w14:paraId="3C281811" w14:textId="4CB15E90" w:rsidR="007B002B" w:rsidRDefault="007B002B" w:rsidP="00175A9F">
      <w:pPr>
        <w:tabs>
          <w:tab w:val="left" w:pos="8931"/>
        </w:tabs>
        <w:ind w:right="-336"/>
        <w:jc w:val="both"/>
        <w:rPr>
          <w:b/>
          <w:bCs/>
          <w:lang w:val="en-GB"/>
        </w:rPr>
      </w:pPr>
      <w:r w:rsidRPr="007B002B">
        <w:rPr>
          <w:b/>
          <w:bCs/>
          <w:lang w:val="en-GB"/>
        </w:rPr>
        <w:t>V.F</w:t>
      </w:r>
      <w:r w:rsidR="00FE3255">
        <w:rPr>
          <w:b/>
          <w:bCs/>
          <w:lang w:val="en-GB"/>
        </w:rPr>
        <w:t>.</w:t>
      </w:r>
      <w:r>
        <w:rPr>
          <w:b/>
          <w:bCs/>
          <w:lang w:val="en-GB"/>
        </w:rPr>
        <w:t xml:space="preserve"> GROUP TRUST</w:t>
      </w:r>
    </w:p>
    <w:p w14:paraId="69302A9A" w14:textId="77777777" w:rsidR="007B002B" w:rsidRDefault="007B002B" w:rsidP="00175A9F">
      <w:pPr>
        <w:tabs>
          <w:tab w:val="left" w:pos="8931"/>
        </w:tabs>
        <w:ind w:right="-336"/>
        <w:jc w:val="both"/>
        <w:rPr>
          <w:b/>
          <w:bCs/>
          <w:lang w:val="en-GB"/>
        </w:rPr>
      </w:pPr>
      <w:r>
        <w:rPr>
          <w:b/>
          <w:bCs/>
          <w:lang w:val="en-GB"/>
        </w:rPr>
        <w:t>(Registration No</w:t>
      </w:r>
      <w:r w:rsidR="00FF2617">
        <w:rPr>
          <w:b/>
          <w:bCs/>
          <w:lang w:val="en-GB"/>
        </w:rPr>
        <w:t>.</w:t>
      </w:r>
      <w:r>
        <w:rPr>
          <w:b/>
          <w:bCs/>
          <w:lang w:val="en-GB"/>
        </w:rPr>
        <w:t>: IT29/2011</w:t>
      </w:r>
    </w:p>
    <w:p w14:paraId="77DF3B65" w14:textId="77777777" w:rsidR="007B002B" w:rsidRPr="007B002B" w:rsidRDefault="007B002B" w:rsidP="00175A9F">
      <w:pPr>
        <w:tabs>
          <w:tab w:val="left" w:pos="8931"/>
        </w:tabs>
        <w:ind w:right="-336"/>
        <w:jc w:val="both"/>
        <w:rPr>
          <w:b/>
          <w:bCs/>
          <w:lang w:val="en-GB"/>
        </w:rPr>
      </w:pPr>
    </w:p>
    <w:p w14:paraId="49F68FA5" w14:textId="588DFCE2" w:rsidR="007B002B" w:rsidRDefault="007B002B" w:rsidP="00175A9F">
      <w:pPr>
        <w:tabs>
          <w:tab w:val="left" w:pos="8931"/>
        </w:tabs>
        <w:ind w:right="-336"/>
        <w:jc w:val="both"/>
        <w:rPr>
          <w:lang w:val="en-GB"/>
        </w:rPr>
      </w:pPr>
      <w:r>
        <w:rPr>
          <w:lang w:val="en-GB"/>
        </w:rPr>
        <w:t>Represent</w:t>
      </w:r>
      <w:r w:rsidR="00FE3255">
        <w:rPr>
          <w:lang w:val="en-GB"/>
        </w:rPr>
        <w:t>ed</w:t>
      </w:r>
      <w:r>
        <w:rPr>
          <w:lang w:val="en-GB"/>
        </w:rPr>
        <w:t xml:space="preserve"> by:</w:t>
      </w:r>
    </w:p>
    <w:p w14:paraId="12F193D2" w14:textId="77777777" w:rsidR="007B002B" w:rsidRPr="00044B50" w:rsidRDefault="007B002B" w:rsidP="00175A9F">
      <w:pPr>
        <w:tabs>
          <w:tab w:val="left" w:pos="8931"/>
        </w:tabs>
        <w:ind w:right="-336"/>
        <w:jc w:val="both"/>
        <w:rPr>
          <w:lang w:val="en-GB"/>
        </w:rPr>
      </w:pPr>
    </w:p>
    <w:p w14:paraId="58C0A1D3" w14:textId="77777777" w:rsidR="007B002B" w:rsidRDefault="007B002B" w:rsidP="00175A9F">
      <w:pPr>
        <w:tabs>
          <w:tab w:val="left" w:pos="7088"/>
          <w:tab w:val="left" w:pos="8931"/>
        </w:tabs>
        <w:ind w:right="-336"/>
        <w:jc w:val="both"/>
        <w:rPr>
          <w:b/>
          <w:bCs/>
          <w:lang w:val="en-GB"/>
        </w:rPr>
      </w:pPr>
      <w:r>
        <w:rPr>
          <w:b/>
          <w:bCs/>
          <w:lang w:val="en-GB"/>
        </w:rPr>
        <w:t>PRAKASH VALLABH N.O</w:t>
      </w:r>
      <w:r w:rsidR="00FF2617">
        <w:rPr>
          <w:b/>
          <w:bCs/>
          <w:lang w:val="en-GB"/>
        </w:rPr>
        <w:t>.</w:t>
      </w:r>
      <w:r w:rsidR="004B6DFC">
        <w:rPr>
          <w:b/>
          <w:bCs/>
          <w:lang w:val="en-GB"/>
        </w:rPr>
        <w:t xml:space="preserve">                                                                    FIRST RESPONDENT</w:t>
      </w:r>
    </w:p>
    <w:p w14:paraId="710D00E1" w14:textId="77777777" w:rsidR="007B002B" w:rsidRDefault="007B002B" w:rsidP="00175A9F">
      <w:pPr>
        <w:tabs>
          <w:tab w:val="left" w:pos="7513"/>
          <w:tab w:val="left" w:pos="8931"/>
        </w:tabs>
        <w:ind w:right="-336"/>
        <w:jc w:val="both"/>
        <w:rPr>
          <w:b/>
          <w:bCs/>
          <w:lang w:val="en-GB"/>
        </w:rPr>
      </w:pPr>
    </w:p>
    <w:p w14:paraId="1AE7A0CA" w14:textId="77777777" w:rsidR="007B002B" w:rsidRDefault="007B002B" w:rsidP="00175A9F">
      <w:pPr>
        <w:tabs>
          <w:tab w:val="left" w:pos="4253"/>
          <w:tab w:val="left" w:pos="6663"/>
          <w:tab w:val="left" w:pos="8931"/>
        </w:tabs>
        <w:ind w:right="-336"/>
        <w:jc w:val="both"/>
        <w:rPr>
          <w:b/>
          <w:bCs/>
          <w:lang w:val="en-GB"/>
        </w:rPr>
      </w:pPr>
      <w:r>
        <w:rPr>
          <w:b/>
          <w:bCs/>
          <w:lang w:val="en-GB"/>
        </w:rPr>
        <w:t>RENUKA VALLABH N.O</w:t>
      </w:r>
      <w:r w:rsidR="00FF2617">
        <w:rPr>
          <w:b/>
          <w:bCs/>
          <w:lang w:val="en-GB"/>
        </w:rPr>
        <w:t>.</w:t>
      </w:r>
      <w:r>
        <w:rPr>
          <w:b/>
          <w:bCs/>
          <w:lang w:val="en-GB"/>
        </w:rPr>
        <w:t xml:space="preserve"> </w:t>
      </w:r>
      <w:r>
        <w:rPr>
          <w:b/>
          <w:bCs/>
          <w:lang w:val="en-GB"/>
        </w:rPr>
        <w:tab/>
      </w:r>
      <w:r w:rsidR="004B6DFC">
        <w:rPr>
          <w:b/>
          <w:bCs/>
          <w:lang w:val="en-GB"/>
        </w:rPr>
        <w:t xml:space="preserve">                                   SECOND RESPONDENT</w:t>
      </w:r>
    </w:p>
    <w:p w14:paraId="43103256" w14:textId="77777777" w:rsidR="007B002B" w:rsidRDefault="007B002B" w:rsidP="00175A9F">
      <w:pPr>
        <w:tabs>
          <w:tab w:val="left" w:pos="4253"/>
          <w:tab w:val="left" w:pos="6521"/>
          <w:tab w:val="left" w:pos="8931"/>
        </w:tabs>
        <w:ind w:right="-336"/>
        <w:jc w:val="both"/>
        <w:rPr>
          <w:b/>
          <w:bCs/>
          <w:lang w:val="en-GB"/>
        </w:rPr>
      </w:pPr>
    </w:p>
    <w:p w14:paraId="5F67D59F" w14:textId="77777777" w:rsidR="00C246F2" w:rsidRPr="00044B50" w:rsidRDefault="007B002B" w:rsidP="00175A9F">
      <w:pPr>
        <w:tabs>
          <w:tab w:val="left" w:pos="5553"/>
          <w:tab w:val="left" w:pos="6946"/>
          <w:tab w:val="left" w:pos="7938"/>
          <w:tab w:val="left" w:pos="8931"/>
        </w:tabs>
        <w:ind w:right="-336"/>
        <w:jc w:val="both"/>
        <w:rPr>
          <w:b/>
          <w:bCs/>
          <w:lang w:val="en-GB"/>
        </w:rPr>
      </w:pPr>
      <w:r>
        <w:rPr>
          <w:b/>
          <w:bCs/>
          <w:lang w:val="en-GB"/>
        </w:rPr>
        <w:t>BAREND JOHANNES SAHD N.O</w:t>
      </w:r>
      <w:r w:rsidR="00FF2617">
        <w:rPr>
          <w:b/>
          <w:bCs/>
          <w:lang w:val="en-GB"/>
        </w:rPr>
        <w:t>.</w:t>
      </w:r>
      <w:r>
        <w:rPr>
          <w:b/>
          <w:bCs/>
          <w:lang w:val="en-GB"/>
        </w:rPr>
        <w:t xml:space="preserve"> </w:t>
      </w:r>
      <w:r>
        <w:rPr>
          <w:b/>
          <w:bCs/>
          <w:lang w:val="en-GB"/>
        </w:rPr>
        <w:tab/>
      </w:r>
      <w:r w:rsidR="006F3C52">
        <w:rPr>
          <w:b/>
          <w:bCs/>
          <w:lang w:val="en-GB"/>
        </w:rPr>
        <w:t xml:space="preserve"> </w:t>
      </w:r>
      <w:r w:rsidR="004B6DFC">
        <w:rPr>
          <w:b/>
          <w:bCs/>
          <w:lang w:val="en-GB"/>
        </w:rPr>
        <w:t xml:space="preserve">                   THIRD RESPONDENT </w:t>
      </w:r>
    </w:p>
    <w:p w14:paraId="2D7B206F" w14:textId="77777777" w:rsidR="00D450B5" w:rsidRPr="00044B50" w:rsidRDefault="00D450B5" w:rsidP="00175A9F">
      <w:pPr>
        <w:tabs>
          <w:tab w:val="left" w:pos="8931"/>
        </w:tabs>
        <w:ind w:right="-336"/>
        <w:jc w:val="both"/>
        <w:rPr>
          <w:lang w:val="en-GB"/>
        </w:rPr>
      </w:pPr>
      <w:r w:rsidRPr="00044B50">
        <w:rPr>
          <w:lang w:val="en-GB"/>
        </w:rPr>
        <w:t>__________________________________________________________________</w:t>
      </w:r>
      <w:r w:rsidR="006B1DCE">
        <w:rPr>
          <w:lang w:val="en-GB"/>
        </w:rPr>
        <w:t>_</w:t>
      </w:r>
      <w:r w:rsidR="006F3C52">
        <w:rPr>
          <w:lang w:val="en-GB"/>
        </w:rPr>
        <w:t>_</w:t>
      </w:r>
      <w:r w:rsidR="00A4134A">
        <w:rPr>
          <w:lang w:val="en-GB"/>
        </w:rPr>
        <w:t>__</w:t>
      </w:r>
    </w:p>
    <w:p w14:paraId="67981CD6" w14:textId="77777777" w:rsidR="0009497C" w:rsidRPr="00044B50" w:rsidRDefault="0009497C" w:rsidP="00772E4B">
      <w:pPr>
        <w:jc w:val="center"/>
        <w:rPr>
          <w:lang w:val="en-GB"/>
        </w:rPr>
      </w:pPr>
    </w:p>
    <w:p w14:paraId="519727C4" w14:textId="77777777" w:rsidR="00D450B5" w:rsidRPr="00044B50" w:rsidRDefault="00D450B5" w:rsidP="00772E4B">
      <w:pPr>
        <w:jc w:val="center"/>
        <w:rPr>
          <w:b/>
          <w:bCs/>
          <w:lang w:val="en-GB"/>
        </w:rPr>
      </w:pPr>
      <w:r w:rsidRPr="00044B50">
        <w:rPr>
          <w:b/>
          <w:bCs/>
          <w:lang w:val="en-GB"/>
        </w:rPr>
        <w:t xml:space="preserve">JUDGMENT </w:t>
      </w:r>
    </w:p>
    <w:p w14:paraId="2EDD64DE" w14:textId="77777777" w:rsidR="00D450B5" w:rsidRPr="00044B50" w:rsidRDefault="00D450B5" w:rsidP="00175A9F">
      <w:pPr>
        <w:ind w:right="-336"/>
        <w:jc w:val="both"/>
        <w:rPr>
          <w:lang w:val="en-GB"/>
        </w:rPr>
      </w:pPr>
      <w:r w:rsidRPr="00044B50">
        <w:rPr>
          <w:lang w:val="en-GB"/>
        </w:rPr>
        <w:t>___________________________________________________________________</w:t>
      </w:r>
      <w:r w:rsidR="006F3C52">
        <w:rPr>
          <w:lang w:val="en-GB"/>
        </w:rPr>
        <w:t>_</w:t>
      </w:r>
      <w:r w:rsidR="00A4134A">
        <w:rPr>
          <w:lang w:val="en-GB"/>
        </w:rPr>
        <w:t>__</w:t>
      </w:r>
    </w:p>
    <w:p w14:paraId="7E736A3E" w14:textId="77777777" w:rsidR="00D450B5" w:rsidRPr="00044B50" w:rsidRDefault="00E57C72" w:rsidP="00772E4B">
      <w:pPr>
        <w:jc w:val="both"/>
        <w:rPr>
          <w:b/>
          <w:bCs/>
          <w:lang w:val="en-GB"/>
        </w:rPr>
      </w:pPr>
      <w:r w:rsidRPr="00044B50">
        <w:rPr>
          <w:b/>
          <w:bCs/>
          <w:lang w:val="en-GB"/>
        </w:rPr>
        <w:t>Govindjee</w:t>
      </w:r>
      <w:r w:rsidR="00D450B5" w:rsidRPr="00044B50">
        <w:rPr>
          <w:b/>
          <w:bCs/>
          <w:lang w:val="en-GB"/>
        </w:rPr>
        <w:t xml:space="preserve"> J</w:t>
      </w:r>
    </w:p>
    <w:p w14:paraId="2CBFC54F" w14:textId="77777777" w:rsidR="00103460" w:rsidRDefault="00A704FE" w:rsidP="004F1552">
      <w:pPr>
        <w:pStyle w:val="ListParagraph"/>
        <w:numPr>
          <w:ilvl w:val="0"/>
          <w:numId w:val="10"/>
        </w:numPr>
        <w:autoSpaceDE w:val="0"/>
        <w:autoSpaceDN w:val="0"/>
        <w:adjustRightInd w:val="0"/>
        <w:ind w:left="0" w:firstLine="0"/>
        <w:jc w:val="both"/>
        <w:rPr>
          <w:lang w:val="en-GB"/>
        </w:rPr>
      </w:pPr>
      <w:r w:rsidRPr="004F1552">
        <w:rPr>
          <w:lang w:val="en-GB"/>
        </w:rPr>
        <w:lastRenderedPageBreak/>
        <w:t>This application is premised on the provisions of the Alienation of Land Act 1981</w:t>
      </w:r>
      <w:r>
        <w:rPr>
          <w:rStyle w:val="FootnoteReference"/>
          <w:lang w:val="en-GB"/>
        </w:rPr>
        <w:footnoteReference w:id="1"/>
      </w:r>
      <w:r w:rsidR="00B21962" w:rsidRPr="004F1552">
        <w:rPr>
          <w:lang w:val="en-GB"/>
        </w:rPr>
        <w:t xml:space="preserve"> (‘the Act’)</w:t>
      </w:r>
      <w:r w:rsidR="00895FEC">
        <w:rPr>
          <w:lang w:val="en-GB"/>
        </w:rPr>
        <w:t>.</w:t>
      </w:r>
      <w:r w:rsidR="00F52729" w:rsidRPr="004F1552">
        <w:rPr>
          <w:lang w:val="en-GB"/>
        </w:rPr>
        <w:t xml:space="preserve"> </w:t>
      </w:r>
      <w:r w:rsidR="00895FEC">
        <w:rPr>
          <w:lang w:val="en-GB"/>
        </w:rPr>
        <w:t xml:space="preserve">It </w:t>
      </w:r>
      <w:r w:rsidR="00DF5A5C">
        <w:rPr>
          <w:lang w:val="en-GB"/>
        </w:rPr>
        <w:t>concerns</w:t>
      </w:r>
      <w:r w:rsidR="00F52729" w:rsidRPr="004F1552">
        <w:rPr>
          <w:lang w:val="en-GB"/>
        </w:rPr>
        <w:t xml:space="preserve"> </w:t>
      </w:r>
      <w:r w:rsidR="00DF5A5C">
        <w:rPr>
          <w:lang w:val="en-GB"/>
        </w:rPr>
        <w:t xml:space="preserve">the </w:t>
      </w:r>
      <w:r w:rsidR="00F52729" w:rsidRPr="004F1552">
        <w:rPr>
          <w:lang w:val="en-GB"/>
        </w:rPr>
        <w:t>purchase of land by way of instalments</w:t>
      </w:r>
      <w:r w:rsidR="00895FEC">
        <w:rPr>
          <w:lang w:val="en-GB"/>
        </w:rPr>
        <w:t xml:space="preserve"> and </w:t>
      </w:r>
      <w:r w:rsidR="00103460">
        <w:rPr>
          <w:lang w:val="en-GB"/>
        </w:rPr>
        <w:t xml:space="preserve">raises the following </w:t>
      </w:r>
      <w:r w:rsidR="007317A5">
        <w:rPr>
          <w:lang w:val="en-GB"/>
        </w:rPr>
        <w:t xml:space="preserve">key </w:t>
      </w:r>
      <w:r w:rsidR="00103460">
        <w:rPr>
          <w:lang w:val="en-GB"/>
        </w:rPr>
        <w:t xml:space="preserve">issues: can a purchaser who has paid more than 50 per cent of the purchase price demand transfer of the land from the seller </w:t>
      </w:r>
      <w:r w:rsidR="004D4ACD">
        <w:rPr>
          <w:lang w:val="en-GB"/>
        </w:rPr>
        <w:t xml:space="preserve">notwithstanding </w:t>
      </w:r>
      <w:r w:rsidR="00103460">
        <w:rPr>
          <w:lang w:val="en-GB"/>
        </w:rPr>
        <w:t>the seller</w:t>
      </w:r>
      <w:r w:rsidR="004D4ACD">
        <w:rPr>
          <w:lang w:val="en-GB"/>
        </w:rPr>
        <w:t>’s</w:t>
      </w:r>
      <w:r w:rsidR="00103460">
        <w:rPr>
          <w:lang w:val="en-GB"/>
        </w:rPr>
        <w:t xml:space="preserve"> purported cancel</w:t>
      </w:r>
      <w:r w:rsidR="004D4ACD">
        <w:rPr>
          <w:lang w:val="en-GB"/>
        </w:rPr>
        <w:t>lation of</w:t>
      </w:r>
      <w:r w:rsidR="00103460">
        <w:rPr>
          <w:lang w:val="en-GB"/>
        </w:rPr>
        <w:t xml:space="preserve"> the sale agreement due to the purchaser’s default? </w:t>
      </w:r>
      <w:r w:rsidR="004D4ACD">
        <w:rPr>
          <w:lang w:val="en-GB"/>
        </w:rPr>
        <w:t>If so, when does the demand for transfer prescribe, and is this affected by the seller’s acceptance of instalment payment</w:t>
      </w:r>
      <w:r w:rsidR="008F636F">
        <w:rPr>
          <w:lang w:val="en-GB"/>
        </w:rPr>
        <w:t>s</w:t>
      </w:r>
      <w:r w:rsidR="004D4ACD">
        <w:rPr>
          <w:lang w:val="en-GB"/>
        </w:rPr>
        <w:t xml:space="preserve"> subsequent to the purported cancellation?</w:t>
      </w:r>
    </w:p>
    <w:p w14:paraId="54013A0B" w14:textId="77777777" w:rsidR="00615AB7" w:rsidRDefault="00ED6387" w:rsidP="00103460">
      <w:pPr>
        <w:pStyle w:val="ListParagraph"/>
        <w:autoSpaceDE w:val="0"/>
        <w:autoSpaceDN w:val="0"/>
        <w:adjustRightInd w:val="0"/>
        <w:ind w:left="0"/>
        <w:jc w:val="both"/>
        <w:rPr>
          <w:lang w:val="en-GB"/>
        </w:rPr>
      </w:pPr>
      <w:r w:rsidRPr="004F1552">
        <w:rPr>
          <w:lang w:val="en-GB"/>
        </w:rPr>
        <w:t xml:space="preserve"> </w:t>
      </w:r>
    </w:p>
    <w:p w14:paraId="4E1CA9BD" w14:textId="77777777" w:rsidR="002F77BC" w:rsidRPr="004F1552" w:rsidRDefault="002A1CD6" w:rsidP="004F1552">
      <w:pPr>
        <w:pStyle w:val="ListParagraph"/>
        <w:numPr>
          <w:ilvl w:val="0"/>
          <w:numId w:val="10"/>
        </w:numPr>
        <w:autoSpaceDE w:val="0"/>
        <w:autoSpaceDN w:val="0"/>
        <w:adjustRightInd w:val="0"/>
        <w:ind w:left="0" w:firstLine="0"/>
        <w:jc w:val="both"/>
        <w:rPr>
          <w:lang w:val="en-GB"/>
        </w:rPr>
      </w:pPr>
      <w:r w:rsidRPr="004F1552">
        <w:rPr>
          <w:lang w:val="en-GB"/>
        </w:rPr>
        <w:t xml:space="preserve">The applicant is a duly registered and incorporated close corporation carrying on business as a primary school </w:t>
      </w:r>
      <w:r w:rsidR="00B60187">
        <w:rPr>
          <w:lang w:val="en-GB"/>
        </w:rPr>
        <w:t xml:space="preserve">(‘the school’) </w:t>
      </w:r>
      <w:r w:rsidRPr="004F1552">
        <w:rPr>
          <w:lang w:val="en-GB"/>
        </w:rPr>
        <w:t>in Komani (</w:t>
      </w:r>
      <w:r w:rsidR="00B60187">
        <w:rPr>
          <w:lang w:val="en-GB"/>
        </w:rPr>
        <w:t>formerly known as Queenstown</w:t>
      </w:r>
      <w:r w:rsidRPr="004F1552">
        <w:rPr>
          <w:lang w:val="en-GB"/>
        </w:rPr>
        <w:t xml:space="preserve">). </w:t>
      </w:r>
      <w:r w:rsidR="002F77BC" w:rsidRPr="004F1552">
        <w:rPr>
          <w:lang w:val="en-GB"/>
        </w:rPr>
        <w:t xml:space="preserve">It seeks to compel the respondent (‘the trust’) to comply with a </w:t>
      </w:r>
      <w:r w:rsidR="000E2579" w:rsidRPr="004F1552">
        <w:rPr>
          <w:lang w:val="en-GB"/>
        </w:rPr>
        <w:t>written</w:t>
      </w:r>
      <w:r w:rsidR="002F77BC" w:rsidRPr="004F1552">
        <w:rPr>
          <w:lang w:val="en-GB"/>
        </w:rPr>
        <w:t xml:space="preserve"> agreement entered into between the parties on 16 March 2016 (‘the agreement’). </w:t>
      </w:r>
      <w:r w:rsidR="00102E27" w:rsidRPr="004F1552">
        <w:rPr>
          <w:lang w:val="en-GB"/>
        </w:rPr>
        <w:t>It</w:t>
      </w:r>
      <w:r w:rsidR="00BB7F4D" w:rsidRPr="004F1552">
        <w:rPr>
          <w:lang w:val="en-GB"/>
        </w:rPr>
        <w:t xml:space="preserve"> seeks an order directing the trust to take steps to </w:t>
      </w:r>
      <w:r w:rsidR="0021603A" w:rsidRPr="004F1552">
        <w:rPr>
          <w:lang w:val="en-GB"/>
        </w:rPr>
        <w:t>cause transfer of</w:t>
      </w:r>
      <w:r w:rsidR="00BB7F4D" w:rsidRPr="004F1552">
        <w:rPr>
          <w:lang w:val="en-GB"/>
        </w:rPr>
        <w:t xml:space="preserve"> certain immovable property (‘the property’) </w:t>
      </w:r>
      <w:r w:rsidR="00A704FE" w:rsidRPr="004F1552">
        <w:rPr>
          <w:lang w:val="en-GB"/>
        </w:rPr>
        <w:t xml:space="preserve">in the name of the school, against tender of the balance of </w:t>
      </w:r>
      <w:r w:rsidR="00823FD5">
        <w:rPr>
          <w:lang w:val="en-GB"/>
        </w:rPr>
        <w:t xml:space="preserve">the </w:t>
      </w:r>
      <w:r w:rsidR="00A704FE" w:rsidRPr="004F1552">
        <w:rPr>
          <w:lang w:val="en-GB"/>
        </w:rPr>
        <w:t>purchase price.</w:t>
      </w:r>
      <w:r w:rsidR="00F42030">
        <w:rPr>
          <w:rStyle w:val="FootnoteReference"/>
          <w:lang w:val="en-GB"/>
        </w:rPr>
        <w:footnoteReference w:id="2"/>
      </w:r>
      <w:r w:rsidR="00A704FE" w:rsidRPr="004F1552">
        <w:rPr>
          <w:lang w:val="en-GB"/>
        </w:rPr>
        <w:t xml:space="preserve"> </w:t>
      </w:r>
    </w:p>
    <w:p w14:paraId="3CA88729" w14:textId="77777777" w:rsidR="003D420E" w:rsidRDefault="003D420E" w:rsidP="0057563A">
      <w:pPr>
        <w:autoSpaceDE w:val="0"/>
        <w:autoSpaceDN w:val="0"/>
        <w:adjustRightInd w:val="0"/>
        <w:jc w:val="both"/>
        <w:rPr>
          <w:lang w:val="en-GB"/>
        </w:rPr>
      </w:pPr>
    </w:p>
    <w:p w14:paraId="2855FF05" w14:textId="77777777" w:rsidR="006F3C52" w:rsidRDefault="006F3C52" w:rsidP="0057563A">
      <w:pPr>
        <w:autoSpaceDE w:val="0"/>
        <w:autoSpaceDN w:val="0"/>
        <w:adjustRightInd w:val="0"/>
        <w:jc w:val="both"/>
        <w:rPr>
          <w:lang w:val="en-GB"/>
        </w:rPr>
      </w:pPr>
    </w:p>
    <w:p w14:paraId="06253577" w14:textId="77777777" w:rsidR="006F3C52" w:rsidRDefault="006F3C52" w:rsidP="0057563A">
      <w:pPr>
        <w:autoSpaceDE w:val="0"/>
        <w:autoSpaceDN w:val="0"/>
        <w:adjustRightInd w:val="0"/>
        <w:jc w:val="both"/>
        <w:rPr>
          <w:lang w:val="en-GB"/>
        </w:rPr>
      </w:pPr>
    </w:p>
    <w:p w14:paraId="5C80D71E" w14:textId="77777777" w:rsidR="006F3C52" w:rsidRDefault="006F3C52" w:rsidP="0057563A">
      <w:pPr>
        <w:autoSpaceDE w:val="0"/>
        <w:autoSpaceDN w:val="0"/>
        <w:adjustRightInd w:val="0"/>
        <w:jc w:val="both"/>
        <w:rPr>
          <w:lang w:val="en-GB"/>
        </w:rPr>
      </w:pPr>
    </w:p>
    <w:p w14:paraId="55C97F47" w14:textId="77777777" w:rsidR="00102E27" w:rsidRDefault="00EA67BD" w:rsidP="0057563A">
      <w:pPr>
        <w:autoSpaceDE w:val="0"/>
        <w:autoSpaceDN w:val="0"/>
        <w:adjustRightInd w:val="0"/>
        <w:jc w:val="both"/>
        <w:rPr>
          <w:b/>
          <w:bCs/>
          <w:lang w:val="en-GB"/>
        </w:rPr>
      </w:pPr>
      <w:r>
        <w:rPr>
          <w:b/>
          <w:bCs/>
          <w:lang w:val="en-GB"/>
        </w:rPr>
        <w:t>The</w:t>
      </w:r>
      <w:r w:rsidR="00102E27">
        <w:rPr>
          <w:b/>
          <w:bCs/>
          <w:lang w:val="en-GB"/>
        </w:rPr>
        <w:t xml:space="preserve"> facts</w:t>
      </w:r>
    </w:p>
    <w:p w14:paraId="2E24976B" w14:textId="77777777" w:rsidR="00FF1969" w:rsidRDefault="00EA67BD" w:rsidP="00823CFE">
      <w:pPr>
        <w:pStyle w:val="ListParagraph"/>
        <w:numPr>
          <w:ilvl w:val="0"/>
          <w:numId w:val="10"/>
        </w:numPr>
        <w:autoSpaceDE w:val="0"/>
        <w:autoSpaceDN w:val="0"/>
        <w:adjustRightInd w:val="0"/>
        <w:ind w:left="0" w:firstLine="0"/>
        <w:jc w:val="both"/>
        <w:rPr>
          <w:lang w:val="en-GB"/>
        </w:rPr>
      </w:pPr>
      <w:r>
        <w:rPr>
          <w:lang w:val="en-GB"/>
        </w:rPr>
        <w:t xml:space="preserve">Most of the facts presented in the papers are common cause. </w:t>
      </w:r>
      <w:r w:rsidR="00102E27">
        <w:rPr>
          <w:lang w:val="en-GB"/>
        </w:rPr>
        <w:t xml:space="preserve">The parties </w:t>
      </w:r>
      <w:r w:rsidR="001B21D9">
        <w:rPr>
          <w:lang w:val="en-GB"/>
        </w:rPr>
        <w:t>entered</w:t>
      </w:r>
      <w:r w:rsidR="00102E27">
        <w:rPr>
          <w:lang w:val="en-GB"/>
        </w:rPr>
        <w:t xml:space="preserve"> </w:t>
      </w:r>
      <w:r w:rsidR="001B21D9">
        <w:rPr>
          <w:lang w:val="en-GB"/>
        </w:rPr>
        <w:t xml:space="preserve">into </w:t>
      </w:r>
      <w:r w:rsidR="00856BB7">
        <w:rPr>
          <w:lang w:val="en-GB"/>
        </w:rPr>
        <w:t>the agreement</w:t>
      </w:r>
      <w:r w:rsidR="00BD30C2">
        <w:rPr>
          <w:lang w:val="en-GB"/>
        </w:rPr>
        <w:t xml:space="preserve"> </w:t>
      </w:r>
      <w:r w:rsidR="001001B8">
        <w:rPr>
          <w:lang w:val="en-GB"/>
        </w:rPr>
        <w:t>during March 2016</w:t>
      </w:r>
      <w:r w:rsidR="001B21D9">
        <w:rPr>
          <w:lang w:val="en-GB"/>
        </w:rPr>
        <w:t xml:space="preserve">. </w:t>
      </w:r>
      <w:r w:rsidR="004B2848">
        <w:rPr>
          <w:lang w:val="en-GB"/>
        </w:rPr>
        <w:t>In terms of the agreement, the</w:t>
      </w:r>
      <w:r w:rsidR="00BD30C2">
        <w:rPr>
          <w:lang w:val="en-GB"/>
        </w:rPr>
        <w:t xml:space="preserve"> </w:t>
      </w:r>
      <w:r w:rsidR="001B21D9">
        <w:rPr>
          <w:lang w:val="en-GB"/>
        </w:rPr>
        <w:t>purchase price was R1,85 million. The school made payment of R500 000 on 14 March 2016 and took occupation</w:t>
      </w:r>
      <w:r w:rsidR="00A74784">
        <w:rPr>
          <w:lang w:val="en-GB"/>
        </w:rPr>
        <w:t>.</w:t>
      </w:r>
      <w:r w:rsidR="00091DD9">
        <w:rPr>
          <w:rStyle w:val="FootnoteReference"/>
          <w:lang w:val="en-GB"/>
        </w:rPr>
        <w:footnoteReference w:id="3"/>
      </w:r>
      <w:r w:rsidR="00A74784">
        <w:rPr>
          <w:lang w:val="en-GB"/>
        </w:rPr>
        <w:t xml:space="preserve"> The balance was to be paid by way of six half-yearly instalments of R225 000, commencing by no later than 31 August 2016.</w:t>
      </w:r>
      <w:r w:rsidR="001B21D9">
        <w:rPr>
          <w:lang w:val="en-GB"/>
        </w:rPr>
        <w:t xml:space="preserve"> </w:t>
      </w:r>
      <w:r w:rsidR="004D4E74">
        <w:rPr>
          <w:lang w:val="en-GB"/>
        </w:rPr>
        <w:t>The school paid</w:t>
      </w:r>
      <w:r w:rsidR="001B21D9">
        <w:rPr>
          <w:lang w:val="en-GB"/>
        </w:rPr>
        <w:t xml:space="preserve"> a total of some R1,175 million by 1</w:t>
      </w:r>
      <w:r w:rsidR="00A82FEF">
        <w:rPr>
          <w:lang w:val="en-GB"/>
        </w:rPr>
        <w:t>1</w:t>
      </w:r>
      <w:r w:rsidR="001B21D9">
        <w:rPr>
          <w:lang w:val="en-GB"/>
        </w:rPr>
        <w:t xml:space="preserve"> Ju</w:t>
      </w:r>
      <w:r w:rsidR="00A82FEF">
        <w:rPr>
          <w:lang w:val="en-GB"/>
        </w:rPr>
        <w:t>ne</w:t>
      </w:r>
      <w:r w:rsidR="001B21D9">
        <w:rPr>
          <w:lang w:val="en-GB"/>
        </w:rPr>
        <w:t xml:space="preserve"> 2018</w:t>
      </w:r>
      <w:r w:rsidR="007C715F">
        <w:rPr>
          <w:lang w:val="en-GB"/>
        </w:rPr>
        <w:t xml:space="preserve">. In terms of </w:t>
      </w:r>
      <w:r w:rsidR="00B9198D">
        <w:rPr>
          <w:lang w:val="en-GB"/>
        </w:rPr>
        <w:t>an</w:t>
      </w:r>
      <w:r w:rsidR="007C715F">
        <w:rPr>
          <w:lang w:val="en-GB"/>
        </w:rPr>
        <w:t xml:space="preserve"> </w:t>
      </w:r>
      <w:r w:rsidR="00527179">
        <w:rPr>
          <w:lang w:val="en-GB"/>
        </w:rPr>
        <w:t xml:space="preserve">express term of the </w:t>
      </w:r>
      <w:r w:rsidR="007C715F">
        <w:rPr>
          <w:lang w:val="en-GB"/>
        </w:rPr>
        <w:t xml:space="preserve">agreement, transfer of the property would only be registered in the school’s name once the purchase price and transfer costs had been </w:t>
      </w:r>
      <w:r w:rsidR="00644526">
        <w:rPr>
          <w:lang w:val="en-GB"/>
        </w:rPr>
        <w:t>paid in full.</w:t>
      </w:r>
    </w:p>
    <w:p w14:paraId="4CD1A86E" w14:textId="77777777" w:rsidR="00FF1969" w:rsidRDefault="00FF1969" w:rsidP="00FF1969">
      <w:pPr>
        <w:pStyle w:val="ListParagraph"/>
        <w:autoSpaceDE w:val="0"/>
        <w:autoSpaceDN w:val="0"/>
        <w:adjustRightInd w:val="0"/>
        <w:ind w:left="0"/>
        <w:jc w:val="both"/>
        <w:rPr>
          <w:lang w:val="en-GB"/>
        </w:rPr>
      </w:pPr>
    </w:p>
    <w:p w14:paraId="22376585" w14:textId="77777777" w:rsidR="00295D51" w:rsidRDefault="00D8279D" w:rsidP="00D01653">
      <w:pPr>
        <w:pStyle w:val="ListParagraph"/>
        <w:numPr>
          <w:ilvl w:val="0"/>
          <w:numId w:val="10"/>
        </w:numPr>
        <w:autoSpaceDE w:val="0"/>
        <w:autoSpaceDN w:val="0"/>
        <w:adjustRightInd w:val="0"/>
        <w:ind w:left="0" w:firstLine="0"/>
        <w:jc w:val="both"/>
        <w:rPr>
          <w:lang w:val="en-GB"/>
        </w:rPr>
      </w:pPr>
      <w:r>
        <w:rPr>
          <w:lang w:val="en-GB"/>
        </w:rPr>
        <w:t xml:space="preserve">It was </w:t>
      </w:r>
      <w:r w:rsidR="0036153D">
        <w:rPr>
          <w:lang w:val="en-GB"/>
        </w:rPr>
        <w:t xml:space="preserve">also </w:t>
      </w:r>
      <w:r>
        <w:rPr>
          <w:lang w:val="en-GB"/>
        </w:rPr>
        <w:t>an express term that, in the event of default on the part of the school, the trust was e</w:t>
      </w:r>
      <w:r w:rsidR="00C74DCC">
        <w:rPr>
          <w:lang w:val="en-GB"/>
        </w:rPr>
        <w:t xml:space="preserve">ntitled to cancel the agreement by way of notice and retain any monies that had already </w:t>
      </w:r>
      <w:r w:rsidR="00423757">
        <w:rPr>
          <w:lang w:val="en-GB"/>
        </w:rPr>
        <w:t xml:space="preserve">been </w:t>
      </w:r>
      <w:r w:rsidR="00C74DCC">
        <w:rPr>
          <w:lang w:val="en-GB"/>
        </w:rPr>
        <w:t xml:space="preserve">paid. </w:t>
      </w:r>
      <w:r w:rsidR="00635CB3">
        <w:rPr>
          <w:lang w:val="en-GB"/>
        </w:rPr>
        <w:t xml:space="preserve">It was then open to the trust to </w:t>
      </w:r>
      <w:r w:rsidR="00A82FEF">
        <w:rPr>
          <w:lang w:val="en-GB"/>
        </w:rPr>
        <w:t>act</w:t>
      </w:r>
      <w:r w:rsidR="00635CB3">
        <w:rPr>
          <w:lang w:val="en-GB"/>
        </w:rPr>
        <w:t xml:space="preserve"> against the school for the recovery of the whole of the purchase price together with any amount payable by the school in terms of the agreement. </w:t>
      </w:r>
    </w:p>
    <w:p w14:paraId="423E65D3" w14:textId="77777777" w:rsidR="00295D51" w:rsidRPr="00295D51" w:rsidRDefault="00295D51" w:rsidP="00295D51">
      <w:pPr>
        <w:pStyle w:val="ListParagraph"/>
        <w:rPr>
          <w:lang w:val="en-GB"/>
        </w:rPr>
      </w:pPr>
    </w:p>
    <w:p w14:paraId="6ED52691" w14:textId="77777777" w:rsidR="0083640F" w:rsidRPr="00D01653" w:rsidRDefault="00A82FEF" w:rsidP="00D01653">
      <w:pPr>
        <w:pStyle w:val="ListParagraph"/>
        <w:numPr>
          <w:ilvl w:val="0"/>
          <w:numId w:val="10"/>
        </w:numPr>
        <w:autoSpaceDE w:val="0"/>
        <w:autoSpaceDN w:val="0"/>
        <w:adjustRightInd w:val="0"/>
        <w:ind w:left="0" w:firstLine="0"/>
        <w:jc w:val="both"/>
        <w:rPr>
          <w:lang w:val="en-GB"/>
        </w:rPr>
      </w:pPr>
      <w:r>
        <w:rPr>
          <w:lang w:val="en-GB"/>
        </w:rPr>
        <w:t>The school admit</w:t>
      </w:r>
      <w:r w:rsidR="00B535DA">
        <w:rPr>
          <w:lang w:val="en-GB"/>
        </w:rPr>
        <w:t>ted</w:t>
      </w:r>
      <w:r w:rsidRPr="00D01653">
        <w:rPr>
          <w:lang w:val="en-GB"/>
        </w:rPr>
        <w:t xml:space="preserve"> defaulting on the last three payments due, resulting in </w:t>
      </w:r>
      <w:r w:rsidR="008C0574" w:rsidRPr="00D01653">
        <w:rPr>
          <w:lang w:val="en-GB"/>
        </w:rPr>
        <w:t>the trust delivering a</w:t>
      </w:r>
      <w:r w:rsidRPr="00D01653">
        <w:rPr>
          <w:lang w:val="en-GB"/>
        </w:rPr>
        <w:t xml:space="preserve"> </w:t>
      </w:r>
      <w:r w:rsidR="008C0574" w:rsidRPr="00D01653">
        <w:rPr>
          <w:lang w:val="en-GB"/>
        </w:rPr>
        <w:t>letter of</w:t>
      </w:r>
      <w:r w:rsidRPr="00D01653">
        <w:rPr>
          <w:lang w:val="en-GB"/>
        </w:rPr>
        <w:t xml:space="preserve"> demand</w:t>
      </w:r>
      <w:r w:rsidR="008C0574" w:rsidRPr="00D01653">
        <w:rPr>
          <w:lang w:val="en-GB"/>
        </w:rPr>
        <w:t xml:space="preserve">, dated 13 July 2018, and notice of cancellation of the agreement on 31 January 2019. </w:t>
      </w:r>
      <w:r w:rsidR="00295D51">
        <w:rPr>
          <w:lang w:val="en-GB"/>
        </w:rPr>
        <w:t xml:space="preserve">The validity of the trust’s cancellation of the agreement is in dispute. </w:t>
      </w:r>
      <w:r w:rsidR="00F952D0">
        <w:rPr>
          <w:lang w:val="en-GB"/>
        </w:rPr>
        <w:t>Of relevance is that t</w:t>
      </w:r>
      <w:r w:rsidR="003E370A" w:rsidRPr="00D01653">
        <w:rPr>
          <w:lang w:val="en-GB"/>
        </w:rPr>
        <w:t>he trust</w:t>
      </w:r>
      <w:r w:rsidR="00E70B24">
        <w:rPr>
          <w:lang w:val="en-GB"/>
        </w:rPr>
        <w:t>, despite purported cancellation,</w:t>
      </w:r>
      <w:r w:rsidR="00E52447">
        <w:rPr>
          <w:lang w:val="en-GB"/>
        </w:rPr>
        <w:t xml:space="preserve"> </w:t>
      </w:r>
      <w:r w:rsidR="003E370A" w:rsidRPr="00D01653">
        <w:rPr>
          <w:lang w:val="en-GB"/>
        </w:rPr>
        <w:t>accepted two further payments of R225 000 each, on 15 May 2019 and 3 December 2020.</w:t>
      </w:r>
    </w:p>
    <w:p w14:paraId="02357D7E" w14:textId="77777777" w:rsidR="008C3267" w:rsidRPr="008C3267" w:rsidRDefault="008C3267" w:rsidP="008C3267">
      <w:pPr>
        <w:pStyle w:val="ListParagraph"/>
        <w:rPr>
          <w:lang w:val="en-GB"/>
        </w:rPr>
      </w:pPr>
    </w:p>
    <w:p w14:paraId="591C0524" w14:textId="30A3D2E0" w:rsidR="008C3267" w:rsidRDefault="008C3267" w:rsidP="00823CFE">
      <w:pPr>
        <w:pStyle w:val="ListParagraph"/>
        <w:numPr>
          <w:ilvl w:val="0"/>
          <w:numId w:val="10"/>
        </w:numPr>
        <w:autoSpaceDE w:val="0"/>
        <w:autoSpaceDN w:val="0"/>
        <w:adjustRightInd w:val="0"/>
        <w:ind w:left="0" w:firstLine="0"/>
        <w:jc w:val="both"/>
        <w:rPr>
          <w:lang w:val="en-GB"/>
        </w:rPr>
      </w:pPr>
      <w:r>
        <w:rPr>
          <w:lang w:val="en-GB"/>
        </w:rPr>
        <w:t>The crux of the school’s claim is that the agreement falls within the ambit of the Act.</w:t>
      </w:r>
      <w:r w:rsidR="0054543D">
        <w:rPr>
          <w:lang w:val="en-GB"/>
        </w:rPr>
        <w:t xml:space="preserve"> As the agreement was never recorded with the Registrar of Deeds, the school’s </w:t>
      </w:r>
      <w:r w:rsidR="00A62509">
        <w:rPr>
          <w:lang w:val="en-GB"/>
        </w:rPr>
        <w:t xml:space="preserve">first </w:t>
      </w:r>
      <w:r w:rsidR="0054543D">
        <w:rPr>
          <w:lang w:val="en-GB"/>
        </w:rPr>
        <w:t>argument is that the trust</w:t>
      </w:r>
      <w:r w:rsidR="00DB3DDE">
        <w:rPr>
          <w:lang w:val="en-GB"/>
        </w:rPr>
        <w:t>’s</w:t>
      </w:r>
      <w:r w:rsidR="0054543D">
        <w:rPr>
          <w:lang w:val="en-GB"/>
        </w:rPr>
        <w:t xml:space="preserve"> </w:t>
      </w:r>
      <w:r w:rsidR="00DB3DDE">
        <w:rPr>
          <w:lang w:val="en-GB"/>
        </w:rPr>
        <w:t xml:space="preserve">actions were </w:t>
      </w:r>
      <w:r w:rsidR="009B5B4C">
        <w:rPr>
          <w:lang w:val="en-GB"/>
        </w:rPr>
        <w:t>premature and that the purported cancellation violated the provisions of the Act</w:t>
      </w:r>
      <w:r w:rsidR="00BC26F0">
        <w:rPr>
          <w:lang w:val="en-GB"/>
        </w:rPr>
        <w:t>. C</w:t>
      </w:r>
      <w:r w:rsidR="009B5B4C">
        <w:rPr>
          <w:lang w:val="en-GB"/>
        </w:rPr>
        <w:t>onsidering that some 85</w:t>
      </w:r>
      <w:r w:rsidR="00D8260E">
        <w:rPr>
          <w:lang w:val="en-GB"/>
        </w:rPr>
        <w:t xml:space="preserve"> per cent</w:t>
      </w:r>
      <w:r w:rsidR="009B5B4C">
        <w:rPr>
          <w:lang w:val="en-GB"/>
        </w:rPr>
        <w:t xml:space="preserve"> of the purchase price had been paid</w:t>
      </w:r>
      <w:r w:rsidR="00BC26F0">
        <w:rPr>
          <w:lang w:val="en-GB"/>
        </w:rPr>
        <w:t>, the school’s further argument is that it is entitled to registration of the property in its name.</w:t>
      </w:r>
      <w:r w:rsidR="009F4D0C">
        <w:rPr>
          <w:lang w:val="en-GB"/>
        </w:rPr>
        <w:t xml:space="preserve">  </w:t>
      </w:r>
    </w:p>
    <w:p w14:paraId="22FE2307" w14:textId="77777777" w:rsidR="00FF1969" w:rsidRDefault="00FF1969" w:rsidP="00FF1969">
      <w:pPr>
        <w:pStyle w:val="ListParagraph"/>
        <w:autoSpaceDE w:val="0"/>
        <w:autoSpaceDN w:val="0"/>
        <w:adjustRightInd w:val="0"/>
        <w:ind w:left="0"/>
        <w:jc w:val="both"/>
        <w:rPr>
          <w:lang w:val="en-GB"/>
        </w:rPr>
      </w:pPr>
    </w:p>
    <w:p w14:paraId="0A929212" w14:textId="77777777" w:rsidR="006F3C52" w:rsidRDefault="006F3C52" w:rsidP="00FF1969">
      <w:pPr>
        <w:pStyle w:val="ListParagraph"/>
        <w:autoSpaceDE w:val="0"/>
        <w:autoSpaceDN w:val="0"/>
        <w:adjustRightInd w:val="0"/>
        <w:ind w:left="0"/>
        <w:jc w:val="both"/>
        <w:rPr>
          <w:lang w:val="en-GB"/>
        </w:rPr>
      </w:pPr>
    </w:p>
    <w:p w14:paraId="33FA7DCD" w14:textId="77777777" w:rsidR="00DC451F" w:rsidRDefault="00A702A5" w:rsidP="00FF1969">
      <w:pPr>
        <w:pStyle w:val="ListParagraph"/>
        <w:autoSpaceDE w:val="0"/>
        <w:autoSpaceDN w:val="0"/>
        <w:adjustRightInd w:val="0"/>
        <w:ind w:left="0"/>
        <w:jc w:val="both"/>
        <w:rPr>
          <w:b/>
          <w:bCs/>
          <w:lang w:val="en-GB"/>
        </w:rPr>
      </w:pPr>
      <w:r>
        <w:rPr>
          <w:b/>
          <w:bCs/>
          <w:lang w:val="en-GB"/>
        </w:rPr>
        <w:t xml:space="preserve">Does </w:t>
      </w:r>
      <w:r w:rsidR="00BA2D9E">
        <w:rPr>
          <w:b/>
          <w:bCs/>
          <w:lang w:val="en-GB"/>
        </w:rPr>
        <w:t>C</w:t>
      </w:r>
      <w:r>
        <w:rPr>
          <w:b/>
          <w:bCs/>
          <w:lang w:val="en-GB"/>
        </w:rPr>
        <w:t>hapter II of the Act regulate the agreement?</w:t>
      </w:r>
    </w:p>
    <w:p w14:paraId="2BB90355" w14:textId="77777777" w:rsidR="00FF1969" w:rsidRDefault="00BA2D9E" w:rsidP="00823CFE">
      <w:pPr>
        <w:pStyle w:val="ListParagraph"/>
        <w:numPr>
          <w:ilvl w:val="0"/>
          <w:numId w:val="10"/>
        </w:numPr>
        <w:autoSpaceDE w:val="0"/>
        <w:autoSpaceDN w:val="0"/>
        <w:adjustRightInd w:val="0"/>
        <w:ind w:left="0" w:firstLine="0"/>
        <w:jc w:val="both"/>
        <w:rPr>
          <w:lang w:val="en-GB"/>
        </w:rPr>
      </w:pPr>
      <w:r>
        <w:rPr>
          <w:lang w:val="en-GB"/>
        </w:rPr>
        <w:t>The Act regulates the alienation of land in certain circumstances.</w:t>
      </w:r>
      <w:r w:rsidR="00C7418A">
        <w:rPr>
          <w:rStyle w:val="FootnoteReference"/>
          <w:lang w:val="en-GB"/>
        </w:rPr>
        <w:footnoteReference w:id="4"/>
      </w:r>
      <w:r>
        <w:rPr>
          <w:lang w:val="en-GB"/>
        </w:rPr>
        <w:t xml:space="preserve"> </w:t>
      </w:r>
      <w:r w:rsidR="000015EF">
        <w:rPr>
          <w:lang w:val="en-GB"/>
        </w:rPr>
        <w:t>Its purpose extends to ‘fulfil the need for protection of vulnerable purchasers and imbuing good faith and fairness into contractual relationships relating to land’.</w:t>
      </w:r>
      <w:r w:rsidR="00B1629F">
        <w:rPr>
          <w:rStyle w:val="FootnoteReference"/>
          <w:lang w:val="en-GB"/>
        </w:rPr>
        <w:footnoteReference w:id="5"/>
      </w:r>
      <w:r w:rsidR="000015EF">
        <w:rPr>
          <w:lang w:val="en-GB"/>
        </w:rPr>
        <w:t xml:space="preserve"> </w:t>
      </w:r>
      <w:r>
        <w:rPr>
          <w:lang w:val="en-GB"/>
        </w:rPr>
        <w:t>The notion of ‘land’ is defined. For purposes of s 3(2) and Chapter II, it ‘means any land used or intended to be used mainly for residential purposes’</w:t>
      </w:r>
      <w:r w:rsidR="00311CF9">
        <w:rPr>
          <w:lang w:val="en-GB"/>
        </w:rPr>
        <w:t>, excluding certain land regulated by other legislation.</w:t>
      </w:r>
      <w:r w:rsidR="009533EA">
        <w:rPr>
          <w:lang w:val="en-GB"/>
        </w:rPr>
        <w:t xml:space="preserve"> </w:t>
      </w:r>
      <w:r w:rsidR="003950C4">
        <w:rPr>
          <w:lang w:val="en-GB"/>
        </w:rPr>
        <w:t xml:space="preserve">The Act </w:t>
      </w:r>
      <w:r w:rsidR="009533EA">
        <w:rPr>
          <w:lang w:val="en-GB"/>
        </w:rPr>
        <w:t xml:space="preserve">includes </w:t>
      </w:r>
      <w:r w:rsidR="00090350">
        <w:rPr>
          <w:lang w:val="en-GB"/>
        </w:rPr>
        <w:t>the following section</w:t>
      </w:r>
      <w:r w:rsidR="003950C4">
        <w:rPr>
          <w:lang w:val="en-GB"/>
        </w:rPr>
        <w:t>s</w:t>
      </w:r>
      <w:r w:rsidR="007A0A44">
        <w:rPr>
          <w:lang w:val="en-GB"/>
        </w:rPr>
        <w:t>:</w:t>
      </w:r>
    </w:p>
    <w:p w14:paraId="73C18FE5" w14:textId="77777777" w:rsidR="00CE0210" w:rsidRDefault="00090350" w:rsidP="00CE0210">
      <w:pPr>
        <w:pStyle w:val="ListParagraph"/>
        <w:autoSpaceDE w:val="0"/>
        <w:autoSpaceDN w:val="0"/>
        <w:adjustRightInd w:val="0"/>
        <w:ind w:left="0"/>
        <w:jc w:val="both"/>
        <w:rPr>
          <w:sz w:val="22"/>
          <w:szCs w:val="22"/>
          <w:lang w:val="en-GB"/>
        </w:rPr>
      </w:pPr>
      <w:r>
        <w:rPr>
          <w:sz w:val="22"/>
          <w:szCs w:val="22"/>
          <w:lang w:val="en-GB"/>
        </w:rPr>
        <w:t>‘</w:t>
      </w:r>
      <w:r w:rsidR="007A0A44">
        <w:rPr>
          <w:sz w:val="22"/>
          <w:szCs w:val="22"/>
          <w:lang w:val="en-GB"/>
        </w:rPr>
        <w:t>20.</w:t>
      </w:r>
      <w:r w:rsidR="007A0A44">
        <w:rPr>
          <w:sz w:val="22"/>
          <w:szCs w:val="22"/>
          <w:lang w:val="en-GB"/>
        </w:rPr>
        <w:tab/>
        <w:t xml:space="preserve">Recording of contract. </w:t>
      </w:r>
    </w:p>
    <w:p w14:paraId="63BA30FC" w14:textId="77777777" w:rsidR="00CE0210" w:rsidRPr="00CE0210" w:rsidRDefault="00CE0210" w:rsidP="00CE0210">
      <w:pPr>
        <w:pStyle w:val="ListParagraph"/>
        <w:autoSpaceDE w:val="0"/>
        <w:autoSpaceDN w:val="0"/>
        <w:adjustRightInd w:val="0"/>
        <w:ind w:left="0"/>
        <w:jc w:val="both"/>
        <w:rPr>
          <w:sz w:val="22"/>
          <w:szCs w:val="22"/>
          <w:lang w:val="en-GB"/>
        </w:rPr>
      </w:pPr>
    </w:p>
    <w:p w14:paraId="78F629DB" w14:textId="77777777" w:rsidR="007A0A44" w:rsidRPr="00CE0210" w:rsidRDefault="00CE0210" w:rsidP="00CE0210">
      <w:pPr>
        <w:autoSpaceDE w:val="0"/>
        <w:autoSpaceDN w:val="0"/>
        <w:adjustRightInd w:val="0"/>
        <w:ind w:left="1440" w:hanging="1440"/>
        <w:jc w:val="both"/>
        <w:rPr>
          <w:sz w:val="22"/>
          <w:szCs w:val="22"/>
          <w:lang w:val="en-GB"/>
        </w:rPr>
      </w:pPr>
      <w:r>
        <w:rPr>
          <w:sz w:val="22"/>
          <w:szCs w:val="22"/>
          <w:lang w:val="en-GB"/>
        </w:rPr>
        <w:t xml:space="preserve">1.     </w:t>
      </w:r>
      <w:proofErr w:type="gramStart"/>
      <w:r>
        <w:rPr>
          <w:sz w:val="22"/>
          <w:szCs w:val="22"/>
          <w:lang w:val="en-GB"/>
        </w:rPr>
        <w:t xml:space="preserve"> </w:t>
      </w:r>
      <w:r w:rsidR="00B63031">
        <w:rPr>
          <w:sz w:val="22"/>
          <w:szCs w:val="22"/>
          <w:lang w:val="en-GB"/>
        </w:rPr>
        <w:t xml:space="preserve">  (</w:t>
      </w:r>
      <w:proofErr w:type="gramEnd"/>
      <w:r>
        <w:rPr>
          <w:i/>
          <w:iCs/>
          <w:sz w:val="22"/>
          <w:szCs w:val="22"/>
          <w:lang w:val="en-GB"/>
        </w:rPr>
        <w:t>a</w:t>
      </w:r>
      <w:r w:rsidRPr="007B7124">
        <w:rPr>
          <w:i/>
          <w:iCs/>
          <w:sz w:val="22"/>
          <w:szCs w:val="22"/>
          <w:lang w:val="en-GB"/>
        </w:rPr>
        <w:t>)</w:t>
      </w:r>
      <w:r w:rsidRPr="007B7124">
        <w:rPr>
          <w:sz w:val="22"/>
          <w:szCs w:val="22"/>
          <w:lang w:val="en-GB"/>
        </w:rPr>
        <w:t xml:space="preserve"> </w:t>
      </w:r>
      <w:r>
        <w:rPr>
          <w:sz w:val="22"/>
          <w:szCs w:val="22"/>
          <w:lang w:val="en-GB"/>
        </w:rPr>
        <w:tab/>
        <w:t xml:space="preserve">A seller, whether he is the owner of the land concerned or not, shall cause the contract to be recorded by the registrar concerned in the prescribed manner provided </w:t>
      </w:r>
      <w:r w:rsidR="007A0A44" w:rsidRPr="00CE0210">
        <w:rPr>
          <w:sz w:val="22"/>
          <w:szCs w:val="22"/>
          <w:lang w:val="en-GB"/>
        </w:rPr>
        <w:t>…</w:t>
      </w:r>
    </w:p>
    <w:p w14:paraId="16B0AF7F" w14:textId="77777777" w:rsidR="007A0A44" w:rsidRDefault="007A0A44" w:rsidP="007A0A44">
      <w:pPr>
        <w:pStyle w:val="ListParagraph"/>
        <w:autoSpaceDE w:val="0"/>
        <w:autoSpaceDN w:val="0"/>
        <w:adjustRightInd w:val="0"/>
        <w:ind w:left="0"/>
        <w:jc w:val="both"/>
        <w:rPr>
          <w:sz w:val="22"/>
          <w:szCs w:val="22"/>
          <w:lang w:val="en-GB"/>
        </w:rPr>
      </w:pPr>
    </w:p>
    <w:p w14:paraId="13495536" w14:textId="77777777" w:rsidR="007A0A44" w:rsidRDefault="007A0A44" w:rsidP="007A0A44">
      <w:pPr>
        <w:pStyle w:val="ListParagraph"/>
        <w:autoSpaceDE w:val="0"/>
        <w:autoSpaceDN w:val="0"/>
        <w:adjustRightInd w:val="0"/>
        <w:ind w:left="0"/>
        <w:jc w:val="both"/>
        <w:rPr>
          <w:sz w:val="22"/>
          <w:szCs w:val="22"/>
          <w:lang w:val="en-GB"/>
        </w:rPr>
      </w:pPr>
      <w:r>
        <w:rPr>
          <w:sz w:val="22"/>
          <w:szCs w:val="22"/>
          <w:lang w:val="en-GB"/>
        </w:rPr>
        <w:t>26.</w:t>
      </w:r>
      <w:r>
        <w:rPr>
          <w:sz w:val="22"/>
          <w:szCs w:val="22"/>
          <w:lang w:val="en-GB"/>
        </w:rPr>
        <w:tab/>
        <w:t xml:space="preserve">Restriction on the receipt of consideration by virtue of certain deeds of alienation.  </w:t>
      </w:r>
    </w:p>
    <w:p w14:paraId="7F56A353" w14:textId="77777777" w:rsidR="00CE0210" w:rsidRDefault="00CE0210" w:rsidP="007A0A44">
      <w:pPr>
        <w:pStyle w:val="ListParagraph"/>
        <w:autoSpaceDE w:val="0"/>
        <w:autoSpaceDN w:val="0"/>
        <w:adjustRightInd w:val="0"/>
        <w:ind w:left="0"/>
        <w:jc w:val="both"/>
        <w:rPr>
          <w:sz w:val="22"/>
          <w:szCs w:val="22"/>
          <w:lang w:val="en-GB"/>
        </w:rPr>
      </w:pPr>
    </w:p>
    <w:p w14:paraId="39C49586" w14:textId="77777777" w:rsidR="00BC5FF1" w:rsidRDefault="007A0A44" w:rsidP="00175A9F">
      <w:pPr>
        <w:pStyle w:val="ListParagraph"/>
        <w:numPr>
          <w:ilvl w:val="0"/>
          <w:numId w:val="20"/>
        </w:numPr>
        <w:autoSpaceDE w:val="0"/>
        <w:autoSpaceDN w:val="0"/>
        <w:adjustRightInd w:val="0"/>
        <w:jc w:val="both"/>
        <w:rPr>
          <w:sz w:val="22"/>
          <w:szCs w:val="22"/>
          <w:lang w:val="en-GB"/>
        </w:rPr>
      </w:pPr>
      <w:r>
        <w:rPr>
          <w:sz w:val="22"/>
          <w:szCs w:val="22"/>
          <w:lang w:val="en-GB"/>
        </w:rPr>
        <w:t>No person shall by virtue of a deed of alienation relating to an erf or a unit receive any consideration until</w:t>
      </w:r>
      <w:r w:rsidR="00BC5FF1">
        <w:rPr>
          <w:sz w:val="22"/>
          <w:szCs w:val="22"/>
          <w:lang w:val="en-GB"/>
        </w:rPr>
        <w:t>—</w:t>
      </w:r>
    </w:p>
    <w:p w14:paraId="45A8FE96" w14:textId="77777777" w:rsidR="007A0A44" w:rsidRDefault="007A0A44" w:rsidP="00175A9F">
      <w:pPr>
        <w:pStyle w:val="ListParagraph"/>
        <w:autoSpaceDE w:val="0"/>
        <w:autoSpaceDN w:val="0"/>
        <w:adjustRightInd w:val="0"/>
        <w:ind w:left="1080"/>
        <w:jc w:val="both"/>
        <w:rPr>
          <w:i/>
          <w:iCs/>
          <w:sz w:val="22"/>
          <w:szCs w:val="22"/>
          <w:lang w:val="en-GB"/>
        </w:rPr>
      </w:pPr>
      <w:r>
        <w:rPr>
          <w:sz w:val="22"/>
          <w:szCs w:val="22"/>
          <w:lang w:val="en-GB"/>
        </w:rPr>
        <w:t xml:space="preserve"> … </w:t>
      </w:r>
    </w:p>
    <w:p w14:paraId="7F3B9036" w14:textId="77777777" w:rsidR="007A0A44" w:rsidRDefault="007A0A44" w:rsidP="007B7124">
      <w:pPr>
        <w:autoSpaceDE w:val="0"/>
        <w:autoSpaceDN w:val="0"/>
        <w:adjustRightInd w:val="0"/>
        <w:ind w:left="1440" w:hanging="720"/>
        <w:jc w:val="both"/>
        <w:rPr>
          <w:sz w:val="22"/>
          <w:szCs w:val="22"/>
          <w:lang w:val="en-GB"/>
        </w:rPr>
      </w:pPr>
      <w:r w:rsidRPr="007B7124">
        <w:rPr>
          <w:i/>
          <w:iCs/>
          <w:sz w:val="22"/>
          <w:szCs w:val="22"/>
          <w:lang w:val="en-GB"/>
        </w:rPr>
        <w:t>(b)</w:t>
      </w:r>
      <w:r w:rsidRPr="007B7124">
        <w:rPr>
          <w:sz w:val="22"/>
          <w:szCs w:val="22"/>
          <w:lang w:val="en-GB"/>
        </w:rPr>
        <w:t xml:space="preserve"> </w:t>
      </w:r>
      <w:r w:rsidR="007B7124">
        <w:rPr>
          <w:sz w:val="22"/>
          <w:szCs w:val="22"/>
          <w:lang w:val="en-GB"/>
        </w:rPr>
        <w:tab/>
      </w:r>
      <w:r w:rsidRPr="007B7124">
        <w:rPr>
          <w:sz w:val="22"/>
          <w:szCs w:val="22"/>
          <w:lang w:val="en-GB"/>
        </w:rPr>
        <w:t>in case the deed of alienation is a contract required to be recorded in terms of section 20, such recording has been effected</w:t>
      </w:r>
      <w:r w:rsidR="00BC5FF1">
        <w:rPr>
          <w:sz w:val="22"/>
          <w:szCs w:val="22"/>
          <w:lang w:val="en-GB"/>
        </w:rPr>
        <w:t>.</w:t>
      </w:r>
      <w:r w:rsidR="00CE0210">
        <w:rPr>
          <w:sz w:val="22"/>
          <w:szCs w:val="22"/>
          <w:lang w:val="en-GB"/>
        </w:rPr>
        <w:t>’</w:t>
      </w:r>
    </w:p>
    <w:p w14:paraId="2B187203" w14:textId="77777777" w:rsidR="007B7124" w:rsidRPr="007B7124" w:rsidRDefault="007B7124" w:rsidP="007B7124">
      <w:pPr>
        <w:autoSpaceDE w:val="0"/>
        <w:autoSpaceDN w:val="0"/>
        <w:adjustRightInd w:val="0"/>
        <w:ind w:left="720"/>
        <w:jc w:val="both"/>
        <w:rPr>
          <w:sz w:val="22"/>
          <w:szCs w:val="22"/>
          <w:lang w:val="en-GB"/>
        </w:rPr>
      </w:pPr>
    </w:p>
    <w:p w14:paraId="63DAA372" w14:textId="77777777" w:rsidR="007A0A44" w:rsidRDefault="00CE0210" w:rsidP="00823CFE">
      <w:pPr>
        <w:pStyle w:val="ListParagraph"/>
        <w:numPr>
          <w:ilvl w:val="0"/>
          <w:numId w:val="10"/>
        </w:numPr>
        <w:autoSpaceDE w:val="0"/>
        <w:autoSpaceDN w:val="0"/>
        <w:adjustRightInd w:val="0"/>
        <w:ind w:left="0" w:firstLine="0"/>
        <w:jc w:val="both"/>
        <w:rPr>
          <w:lang w:val="en-GB"/>
        </w:rPr>
      </w:pPr>
      <w:r>
        <w:rPr>
          <w:lang w:val="en-GB"/>
        </w:rPr>
        <w:t>It is immediately apparent that the receipt of consideration prohibition in s 26(1) is restricted to a contract that, courtesy of s 20, is required to be recorded.</w:t>
      </w:r>
      <w:r w:rsidR="00D455AD">
        <w:rPr>
          <w:rStyle w:val="FootnoteReference"/>
          <w:lang w:val="en-GB"/>
        </w:rPr>
        <w:footnoteReference w:id="6"/>
      </w:r>
      <w:r w:rsidR="003F15F1">
        <w:rPr>
          <w:lang w:val="en-GB"/>
        </w:rPr>
        <w:t xml:space="preserve"> While s 26 of the Act forms part of Chapter III, s 20 is contained in Chapter II. </w:t>
      </w:r>
      <w:r w:rsidR="002C22CD">
        <w:rPr>
          <w:lang w:val="en-GB"/>
        </w:rPr>
        <w:t>As indicated,</w:t>
      </w:r>
      <w:r w:rsidR="005643C3">
        <w:rPr>
          <w:lang w:val="en-GB"/>
        </w:rPr>
        <w:t xml:space="preserve"> </w:t>
      </w:r>
      <w:r w:rsidR="002C22CD">
        <w:rPr>
          <w:lang w:val="en-GB"/>
        </w:rPr>
        <w:t>f</w:t>
      </w:r>
      <w:r w:rsidR="003F15F1">
        <w:rPr>
          <w:lang w:val="en-GB"/>
        </w:rPr>
        <w:t xml:space="preserve">or </w:t>
      </w:r>
      <w:r w:rsidR="003F15F1">
        <w:rPr>
          <w:lang w:val="en-GB"/>
        </w:rPr>
        <w:lastRenderedPageBreak/>
        <w:t>purposes of that chapter, ‘land’ is defined to mean any land used or intended to be used mainly for residential purposes.</w:t>
      </w:r>
      <w:r w:rsidR="00AB3B00">
        <w:rPr>
          <w:lang w:val="en-GB"/>
        </w:rPr>
        <w:t xml:space="preserve"> In other words, it is only a seller of such land, as defined, that is obliged to cause the registrar to record the contract in the prescribed manner, failing which no consideration shall be received.</w:t>
      </w:r>
      <w:r w:rsidR="001F668F">
        <w:rPr>
          <w:lang w:val="en-GB"/>
        </w:rPr>
        <w:t xml:space="preserve"> </w:t>
      </w:r>
    </w:p>
    <w:p w14:paraId="55BD3BC2" w14:textId="77777777" w:rsidR="0069617F" w:rsidRDefault="0069617F" w:rsidP="0069617F">
      <w:pPr>
        <w:pStyle w:val="ListParagraph"/>
        <w:autoSpaceDE w:val="0"/>
        <w:autoSpaceDN w:val="0"/>
        <w:adjustRightInd w:val="0"/>
        <w:ind w:left="0"/>
        <w:jc w:val="both"/>
        <w:rPr>
          <w:lang w:val="en-GB"/>
        </w:rPr>
      </w:pPr>
    </w:p>
    <w:p w14:paraId="57AA582B" w14:textId="77777777" w:rsidR="0069617F" w:rsidRDefault="0069617F" w:rsidP="00823CFE">
      <w:pPr>
        <w:pStyle w:val="ListParagraph"/>
        <w:numPr>
          <w:ilvl w:val="0"/>
          <w:numId w:val="10"/>
        </w:numPr>
        <w:autoSpaceDE w:val="0"/>
        <w:autoSpaceDN w:val="0"/>
        <w:adjustRightInd w:val="0"/>
        <w:ind w:left="0" w:firstLine="0"/>
        <w:jc w:val="both"/>
        <w:rPr>
          <w:lang w:val="en-GB"/>
        </w:rPr>
      </w:pPr>
      <w:r>
        <w:rPr>
          <w:lang w:val="en-GB"/>
        </w:rPr>
        <w:t xml:space="preserve">The difficulty for the school is that there is no allegation in the founding papers that the usage, or intended usage, of the property was for residential purposes. </w:t>
      </w:r>
      <w:r w:rsidR="0058163E">
        <w:rPr>
          <w:lang w:val="en-GB"/>
        </w:rPr>
        <w:t xml:space="preserve">The trust pertinently raised the point in its answering papers, </w:t>
      </w:r>
      <w:r w:rsidR="00B315EC">
        <w:rPr>
          <w:lang w:val="en-GB"/>
        </w:rPr>
        <w:t>indicating</w:t>
      </w:r>
      <w:r w:rsidR="0058163E">
        <w:rPr>
          <w:lang w:val="en-GB"/>
        </w:rPr>
        <w:t xml:space="preserve"> that the school operated for profit and conducted its business operations from the property</w:t>
      </w:r>
      <w:r w:rsidR="009E3D41">
        <w:rPr>
          <w:lang w:val="en-GB"/>
        </w:rPr>
        <w:t>, so that Chapter II of the Act was inapplicable</w:t>
      </w:r>
      <w:r w:rsidR="0058163E">
        <w:rPr>
          <w:lang w:val="en-GB"/>
        </w:rPr>
        <w:t xml:space="preserve">. </w:t>
      </w:r>
      <w:r w:rsidR="00CA03D8">
        <w:rPr>
          <w:lang w:val="en-GB"/>
        </w:rPr>
        <w:t xml:space="preserve">There was no reply to </w:t>
      </w:r>
      <w:r w:rsidR="00525723">
        <w:rPr>
          <w:lang w:val="en-GB"/>
        </w:rPr>
        <w:t>these</w:t>
      </w:r>
      <w:r w:rsidR="00CA03D8">
        <w:rPr>
          <w:lang w:val="en-GB"/>
        </w:rPr>
        <w:t xml:space="preserve"> averment</w:t>
      </w:r>
      <w:r w:rsidR="00AB3B00">
        <w:rPr>
          <w:lang w:val="en-GB"/>
        </w:rPr>
        <w:t>s</w:t>
      </w:r>
      <w:r w:rsidR="00CA03D8">
        <w:rPr>
          <w:lang w:val="en-GB"/>
        </w:rPr>
        <w:t>.</w:t>
      </w:r>
      <w:r w:rsidR="00AB3B00">
        <w:rPr>
          <w:lang w:val="en-GB"/>
        </w:rPr>
        <w:t xml:space="preserve"> </w:t>
      </w:r>
      <w:r w:rsidR="006241A4">
        <w:rPr>
          <w:lang w:val="en-GB"/>
        </w:rPr>
        <w:t>On</w:t>
      </w:r>
      <w:r w:rsidR="00AB3B00">
        <w:rPr>
          <w:lang w:val="en-GB"/>
        </w:rPr>
        <w:t xml:space="preserve"> the papers, </w:t>
      </w:r>
      <w:r w:rsidR="006241A4">
        <w:rPr>
          <w:lang w:val="en-GB"/>
        </w:rPr>
        <w:t xml:space="preserve">therefore, </w:t>
      </w:r>
      <w:r w:rsidR="00AB3B00">
        <w:rPr>
          <w:lang w:val="en-GB"/>
        </w:rPr>
        <w:t xml:space="preserve">it must be accepted that </w:t>
      </w:r>
      <w:r w:rsidR="001F668F">
        <w:rPr>
          <w:lang w:val="en-GB"/>
        </w:rPr>
        <w:t xml:space="preserve">the property was not used or intended to be used for residential purposes at the time of the agreement. </w:t>
      </w:r>
      <w:r w:rsidR="006241A4">
        <w:rPr>
          <w:lang w:val="en-GB"/>
        </w:rPr>
        <w:t xml:space="preserve">As such, there was no statutory obligation on the trust to cause the registrar to record the contract, and no prohibition in respect of receipt of consideration </w:t>
      </w:r>
      <w:r w:rsidR="00D2091F">
        <w:rPr>
          <w:lang w:val="en-GB"/>
        </w:rPr>
        <w:t>in terms of the agreement.</w:t>
      </w:r>
    </w:p>
    <w:p w14:paraId="3D054988" w14:textId="77777777" w:rsidR="00FF1969" w:rsidRPr="00FF1969" w:rsidRDefault="00FF1969" w:rsidP="00FF1969">
      <w:pPr>
        <w:pStyle w:val="ListParagraph"/>
        <w:rPr>
          <w:lang w:val="en-GB"/>
        </w:rPr>
      </w:pPr>
    </w:p>
    <w:p w14:paraId="0EE2AD11" w14:textId="77777777" w:rsidR="00FF1969" w:rsidRDefault="00542487" w:rsidP="00823CFE">
      <w:pPr>
        <w:pStyle w:val="ListParagraph"/>
        <w:numPr>
          <w:ilvl w:val="0"/>
          <w:numId w:val="10"/>
        </w:numPr>
        <w:autoSpaceDE w:val="0"/>
        <w:autoSpaceDN w:val="0"/>
        <w:adjustRightInd w:val="0"/>
        <w:ind w:left="0" w:firstLine="0"/>
        <w:jc w:val="both"/>
        <w:rPr>
          <w:lang w:val="en-GB"/>
        </w:rPr>
      </w:pPr>
      <w:r>
        <w:rPr>
          <w:lang w:val="en-GB"/>
        </w:rPr>
        <w:t>This approach to Chapter II of the Act</w:t>
      </w:r>
      <w:r w:rsidR="00B51DF3">
        <w:rPr>
          <w:lang w:val="en-GB"/>
        </w:rPr>
        <w:t>, and the proper approach to its interpretation,</w:t>
      </w:r>
      <w:r>
        <w:rPr>
          <w:lang w:val="en-GB"/>
        </w:rPr>
        <w:t xml:space="preserve"> has been confirmed by the SCA in </w:t>
      </w:r>
      <w:r>
        <w:rPr>
          <w:i/>
          <w:iCs/>
          <w:lang w:val="en-GB"/>
        </w:rPr>
        <w:t>Merry Hill (Pty) Ltd v Engelbrecht</w:t>
      </w:r>
      <w:r>
        <w:rPr>
          <w:lang w:val="en-GB"/>
        </w:rPr>
        <w:t>:</w:t>
      </w:r>
      <w:r>
        <w:rPr>
          <w:rStyle w:val="FootnoteReference"/>
          <w:lang w:val="en-GB"/>
        </w:rPr>
        <w:footnoteReference w:id="7"/>
      </w:r>
    </w:p>
    <w:p w14:paraId="291623AB" w14:textId="77777777" w:rsidR="00542487" w:rsidRDefault="00E952FD" w:rsidP="00BE5E39">
      <w:pPr>
        <w:jc w:val="both"/>
        <w:rPr>
          <w:sz w:val="22"/>
          <w:szCs w:val="22"/>
          <w:lang w:val="en-GB"/>
        </w:rPr>
      </w:pPr>
      <w:r>
        <w:rPr>
          <w:sz w:val="22"/>
          <w:szCs w:val="22"/>
          <w:lang w:val="en-GB"/>
        </w:rPr>
        <w:t>‘Let me start with a proposition which appears to be beyond contention, namely that the purpose of ch</w:t>
      </w:r>
      <w:r w:rsidR="00461CCF">
        <w:rPr>
          <w:sz w:val="22"/>
          <w:szCs w:val="22"/>
          <w:lang w:val="en-GB"/>
        </w:rPr>
        <w:t>apter</w:t>
      </w:r>
      <w:r>
        <w:rPr>
          <w:sz w:val="22"/>
          <w:szCs w:val="22"/>
          <w:lang w:val="en-GB"/>
        </w:rPr>
        <w:t xml:space="preserve"> 2 of the Act, which includes </w:t>
      </w:r>
      <w:r w:rsidR="00BE5E39">
        <w:rPr>
          <w:sz w:val="22"/>
          <w:szCs w:val="22"/>
          <w:lang w:val="en-GB"/>
        </w:rPr>
        <w:t>s 19, is to afford protection, in addition to what the contract may provide, to a particular type of purchaser – a purchaser who pays by instalments – of a particular type of land – land used or intended to be used mainly for residential purposes.</w:t>
      </w:r>
      <w:r w:rsidR="00CA6FEC">
        <w:rPr>
          <w:sz w:val="22"/>
          <w:szCs w:val="22"/>
          <w:lang w:val="en-GB"/>
        </w:rPr>
        <w:t xml:space="preserve"> In this sense, ch</w:t>
      </w:r>
      <w:r w:rsidR="00461CCF">
        <w:rPr>
          <w:sz w:val="22"/>
          <w:szCs w:val="22"/>
          <w:lang w:val="en-GB"/>
        </w:rPr>
        <w:t>apter</w:t>
      </w:r>
      <w:r w:rsidR="00CA6FEC">
        <w:rPr>
          <w:sz w:val="22"/>
          <w:szCs w:val="22"/>
          <w:lang w:val="en-GB"/>
        </w:rPr>
        <w:t xml:space="preserve"> 2, like its predecessor, the Sale of Land on Instalments Act 72 of 1971, can be described as a typical piece of consumer protection legislation … The reason why the legislature thought this additional statutory protection necessary is not difficult to perceive. It is because experience has shown this type of purchaser, generally, to be the vulnerable, uninformed small buyer of residential property who is no match for the large developer in a bargaining situation …’</w:t>
      </w:r>
    </w:p>
    <w:p w14:paraId="51631D54" w14:textId="77777777" w:rsidR="00CA6FEC" w:rsidRPr="00542487" w:rsidRDefault="00CA6FEC" w:rsidP="00BE5E39">
      <w:pPr>
        <w:jc w:val="both"/>
        <w:rPr>
          <w:sz w:val="22"/>
          <w:szCs w:val="22"/>
          <w:lang w:val="en-GB"/>
        </w:rPr>
      </w:pPr>
    </w:p>
    <w:p w14:paraId="626900EC" w14:textId="23EA5759" w:rsidR="00F65271" w:rsidRDefault="00E34B98" w:rsidP="00823CFE">
      <w:pPr>
        <w:pStyle w:val="ListParagraph"/>
        <w:numPr>
          <w:ilvl w:val="0"/>
          <w:numId w:val="10"/>
        </w:numPr>
        <w:autoSpaceDE w:val="0"/>
        <w:autoSpaceDN w:val="0"/>
        <w:adjustRightInd w:val="0"/>
        <w:ind w:left="0" w:firstLine="0"/>
        <w:jc w:val="both"/>
        <w:rPr>
          <w:lang w:val="en-GB"/>
        </w:rPr>
      </w:pPr>
      <w:r>
        <w:rPr>
          <w:lang w:val="en-GB"/>
        </w:rPr>
        <w:t>These sentiments were endorsed by i</w:t>
      </w:r>
      <w:r w:rsidR="00B25094">
        <w:rPr>
          <w:lang w:val="en-GB"/>
        </w:rPr>
        <w:t xml:space="preserve">n </w:t>
      </w:r>
      <w:proofErr w:type="spellStart"/>
      <w:r w:rsidR="00B25094">
        <w:rPr>
          <w:i/>
          <w:iCs/>
          <w:lang w:val="en-GB"/>
        </w:rPr>
        <w:t>Sarrahwitz</w:t>
      </w:r>
      <w:proofErr w:type="spellEnd"/>
      <w:r w:rsidR="00B25094">
        <w:rPr>
          <w:i/>
          <w:iCs/>
          <w:lang w:val="en-GB"/>
        </w:rPr>
        <w:t xml:space="preserve"> v Maritz NO</w:t>
      </w:r>
      <w:r>
        <w:rPr>
          <w:lang w:val="en-GB"/>
        </w:rPr>
        <w:t>.</w:t>
      </w:r>
      <w:r>
        <w:rPr>
          <w:rStyle w:val="FootnoteReference"/>
          <w:lang w:val="en-GB"/>
        </w:rPr>
        <w:footnoteReference w:id="8"/>
      </w:r>
      <w:r w:rsidR="00B25094">
        <w:rPr>
          <w:lang w:val="en-GB"/>
        </w:rPr>
        <w:t xml:space="preserve"> </w:t>
      </w:r>
      <w:r>
        <w:rPr>
          <w:lang w:val="en-GB"/>
        </w:rPr>
        <w:t>T</w:t>
      </w:r>
      <w:r w:rsidR="00B25094">
        <w:rPr>
          <w:lang w:val="en-GB"/>
        </w:rPr>
        <w:t xml:space="preserve">he Constitutional Court </w:t>
      </w:r>
      <w:r w:rsidR="00F65271">
        <w:rPr>
          <w:lang w:val="en-GB"/>
        </w:rPr>
        <w:t>highlighted</w:t>
      </w:r>
      <w:r w:rsidR="00B25094">
        <w:rPr>
          <w:lang w:val="en-GB"/>
        </w:rPr>
        <w:t xml:space="preserve"> that </w:t>
      </w:r>
      <w:r w:rsidR="00F65271">
        <w:rPr>
          <w:lang w:val="en-GB"/>
        </w:rPr>
        <w:t>aspect</w:t>
      </w:r>
      <w:r w:rsidR="00B25094">
        <w:rPr>
          <w:lang w:val="en-GB"/>
        </w:rPr>
        <w:t xml:space="preserve"> of the definition of ‘land’ that entitled any instalment purchaser, however wealthy, to benefit from the Act’s protection when purchasing residential property.</w:t>
      </w:r>
      <w:r w:rsidR="00F65271">
        <w:rPr>
          <w:lang w:val="en-GB"/>
        </w:rPr>
        <w:t xml:space="preserve"> The majority </w:t>
      </w:r>
      <w:r w:rsidR="00F43067">
        <w:rPr>
          <w:lang w:val="en-GB"/>
        </w:rPr>
        <w:t>added</w:t>
      </w:r>
      <w:r w:rsidR="00F65271">
        <w:rPr>
          <w:lang w:val="en-GB"/>
        </w:rPr>
        <w:t xml:space="preserve"> that the statutory confinement of </w:t>
      </w:r>
      <w:r w:rsidR="00F65271">
        <w:rPr>
          <w:lang w:val="en-GB"/>
        </w:rPr>
        <w:lastRenderedPageBreak/>
        <w:t xml:space="preserve">protection from hardship to ‘residential property’ was a strong pointer that only </w:t>
      </w:r>
      <w:r w:rsidR="00F43067">
        <w:rPr>
          <w:lang w:val="en-GB"/>
        </w:rPr>
        <w:t>‘vulnerable purchasers’ were the targeted beneficiaries of the legislative intervention</w:t>
      </w:r>
      <w:r w:rsidR="00176F8D">
        <w:rPr>
          <w:lang w:val="en-GB"/>
        </w:rPr>
        <w:t>, and that the Act probabl</w:t>
      </w:r>
      <w:r w:rsidR="001423A1">
        <w:rPr>
          <w:lang w:val="en-GB"/>
        </w:rPr>
        <w:t>y</w:t>
      </w:r>
      <w:r w:rsidR="00176F8D">
        <w:rPr>
          <w:lang w:val="en-GB"/>
        </w:rPr>
        <w:t xml:space="preserve"> required amendment.</w:t>
      </w:r>
      <w:r w:rsidR="00525319">
        <w:rPr>
          <w:rStyle w:val="FootnoteReference"/>
          <w:lang w:val="en-GB"/>
        </w:rPr>
        <w:footnoteReference w:id="9"/>
      </w:r>
    </w:p>
    <w:p w14:paraId="71553CAA" w14:textId="77777777" w:rsidR="00F65271" w:rsidRPr="00F65271" w:rsidRDefault="00B25094" w:rsidP="00F65271">
      <w:pPr>
        <w:pStyle w:val="ListParagraph"/>
        <w:autoSpaceDE w:val="0"/>
        <w:autoSpaceDN w:val="0"/>
        <w:adjustRightInd w:val="0"/>
        <w:ind w:left="0"/>
        <w:jc w:val="both"/>
        <w:rPr>
          <w:lang w:val="en-GB"/>
        </w:rPr>
      </w:pPr>
      <w:r>
        <w:rPr>
          <w:i/>
          <w:iCs/>
          <w:lang w:val="en-GB"/>
        </w:rPr>
        <w:t xml:space="preserve"> </w:t>
      </w:r>
    </w:p>
    <w:p w14:paraId="6E054B47" w14:textId="77777777" w:rsidR="00926593" w:rsidRDefault="007D289A" w:rsidP="00044031">
      <w:pPr>
        <w:pStyle w:val="ListParagraph"/>
        <w:numPr>
          <w:ilvl w:val="0"/>
          <w:numId w:val="10"/>
        </w:numPr>
        <w:autoSpaceDE w:val="0"/>
        <w:autoSpaceDN w:val="0"/>
        <w:adjustRightInd w:val="0"/>
        <w:ind w:left="0" w:firstLine="0"/>
        <w:jc w:val="both"/>
        <w:rPr>
          <w:lang w:val="en-GB"/>
        </w:rPr>
      </w:pPr>
      <w:r w:rsidRPr="0049471F">
        <w:rPr>
          <w:lang w:val="en-GB"/>
        </w:rPr>
        <w:t xml:space="preserve">As Mr </w:t>
      </w:r>
      <w:r w:rsidRPr="0049471F">
        <w:rPr>
          <w:i/>
          <w:iCs/>
          <w:lang w:val="en-GB"/>
        </w:rPr>
        <w:t>Smith</w:t>
      </w:r>
      <w:r w:rsidRPr="0049471F">
        <w:rPr>
          <w:lang w:val="en-GB"/>
        </w:rPr>
        <w:t xml:space="preserve">, for the trust, pointed out, there is </w:t>
      </w:r>
      <w:r w:rsidR="001C7DCC" w:rsidRPr="0049471F">
        <w:rPr>
          <w:lang w:val="en-GB"/>
        </w:rPr>
        <w:t xml:space="preserve">also </w:t>
      </w:r>
      <w:r w:rsidRPr="0049471F">
        <w:rPr>
          <w:lang w:val="en-GB"/>
        </w:rPr>
        <w:t xml:space="preserve">authority from </w:t>
      </w:r>
      <w:r w:rsidR="00D208A2" w:rsidRPr="0049471F">
        <w:rPr>
          <w:lang w:val="en-GB"/>
        </w:rPr>
        <w:t>other Divisions</w:t>
      </w:r>
      <w:r w:rsidRPr="0049471F">
        <w:rPr>
          <w:lang w:val="en-GB"/>
        </w:rPr>
        <w:t xml:space="preserve"> confirming the position in respect of the interplay between both sections relied upon by the school.</w:t>
      </w:r>
      <w:r w:rsidR="00A303C7" w:rsidRPr="0049471F">
        <w:rPr>
          <w:i/>
          <w:iCs/>
          <w:lang w:val="en-GB"/>
        </w:rPr>
        <w:t xml:space="preserve"> </w:t>
      </w:r>
      <w:r w:rsidR="000B5B83" w:rsidRPr="0049471F">
        <w:rPr>
          <w:lang w:val="en-GB"/>
        </w:rPr>
        <w:t>Th</w:t>
      </w:r>
      <w:r w:rsidR="00537C92" w:rsidRPr="0049471F">
        <w:rPr>
          <w:lang w:val="en-GB"/>
        </w:rPr>
        <w:t xml:space="preserve">ose judgments confirm </w:t>
      </w:r>
      <w:r w:rsidR="001C7DCC" w:rsidRPr="0049471F">
        <w:rPr>
          <w:lang w:val="en-GB"/>
        </w:rPr>
        <w:t>that ‘…the purpose of the relevant sections, such as ss 20 and 26, is to protect vulnerable, financially disadvantaged and relatively unsophisticated purchasers from private companies …’</w:t>
      </w:r>
      <w:r w:rsidR="009D7C51" w:rsidRPr="0049471F">
        <w:rPr>
          <w:lang w:val="en-GB"/>
        </w:rPr>
        <w:t>.</w:t>
      </w:r>
      <w:r w:rsidR="00926593">
        <w:rPr>
          <w:rStyle w:val="FootnoteReference"/>
          <w:lang w:val="en-GB"/>
        </w:rPr>
        <w:footnoteReference w:id="10"/>
      </w:r>
      <w:r w:rsidR="00926593" w:rsidRPr="0049471F">
        <w:rPr>
          <w:lang w:val="en-GB"/>
        </w:rPr>
        <w:t xml:space="preserve"> </w:t>
      </w:r>
      <w:r w:rsidR="009A5AC2" w:rsidRPr="0049471F">
        <w:rPr>
          <w:lang w:val="en-GB"/>
        </w:rPr>
        <w:t>What is decisive</w:t>
      </w:r>
      <w:r w:rsidR="009D7C51" w:rsidRPr="0049471F">
        <w:rPr>
          <w:lang w:val="en-GB"/>
        </w:rPr>
        <w:t>, for purposes of determining whether the sale to the school constituted a ‘contract’ in terms of the Act,</w:t>
      </w:r>
      <w:r w:rsidR="009A5AC2" w:rsidRPr="0049471F">
        <w:rPr>
          <w:lang w:val="en-GB"/>
        </w:rPr>
        <w:t xml:space="preserve"> is the intended use of the property by the purchaser at the time the agreement was entered into.</w:t>
      </w:r>
      <w:r w:rsidR="009A5AC2">
        <w:rPr>
          <w:rStyle w:val="FootnoteReference"/>
          <w:lang w:val="en-GB"/>
        </w:rPr>
        <w:footnoteReference w:id="11"/>
      </w:r>
      <w:r w:rsidR="009A5AC2" w:rsidRPr="0049471F">
        <w:rPr>
          <w:lang w:val="en-GB"/>
        </w:rPr>
        <w:t xml:space="preserve"> </w:t>
      </w:r>
      <w:r w:rsidR="00D76166" w:rsidRPr="0049471F">
        <w:rPr>
          <w:lang w:val="en-GB"/>
        </w:rPr>
        <w:t>On the papers, the ineluctable conclusion is that the school, as purchaser, did not propose to use the property for any residential purpose.</w:t>
      </w:r>
      <w:r w:rsidR="00AE37C7">
        <w:rPr>
          <w:rStyle w:val="FootnoteReference"/>
          <w:lang w:val="en-GB"/>
        </w:rPr>
        <w:footnoteReference w:id="12"/>
      </w:r>
      <w:r w:rsidR="00942CAC" w:rsidRPr="0049471F">
        <w:rPr>
          <w:lang w:val="en-GB"/>
        </w:rPr>
        <w:t xml:space="preserve"> </w:t>
      </w:r>
      <w:r w:rsidR="00352AFD" w:rsidRPr="0049471F">
        <w:rPr>
          <w:lang w:val="en-GB"/>
        </w:rPr>
        <w:t xml:space="preserve">There is </w:t>
      </w:r>
      <w:r w:rsidR="008F665A" w:rsidRPr="0049471F">
        <w:rPr>
          <w:lang w:val="en-GB"/>
        </w:rPr>
        <w:t xml:space="preserve">also </w:t>
      </w:r>
      <w:r w:rsidR="00627D52" w:rsidRPr="0049471F">
        <w:rPr>
          <w:lang w:val="en-GB"/>
        </w:rPr>
        <w:t>no reference</w:t>
      </w:r>
      <w:r w:rsidR="00352AFD" w:rsidRPr="0049471F">
        <w:rPr>
          <w:lang w:val="en-GB"/>
        </w:rPr>
        <w:t xml:space="preserve"> on the papers to suggest that it was being used for residential purposes at the time of sale. </w:t>
      </w:r>
      <w:r w:rsidR="00942CAC" w:rsidRPr="0049471F">
        <w:rPr>
          <w:lang w:val="en-GB"/>
        </w:rPr>
        <w:t xml:space="preserve">Following the cited authorities, the result is that </w:t>
      </w:r>
      <w:r w:rsidR="00801819" w:rsidRPr="0049471F">
        <w:rPr>
          <w:lang w:val="en-GB"/>
        </w:rPr>
        <w:t>the agreement is not regulated by Chapter II of the Act</w:t>
      </w:r>
      <w:r w:rsidR="00AB5FB4" w:rsidRPr="0049471F">
        <w:rPr>
          <w:lang w:val="en-GB"/>
        </w:rPr>
        <w:t xml:space="preserve"> and that the school’s arguments in that respect are rejected.</w:t>
      </w:r>
      <w:r w:rsidR="00740ADA">
        <w:rPr>
          <w:rStyle w:val="FootnoteReference"/>
          <w:lang w:val="en-GB"/>
        </w:rPr>
        <w:footnoteReference w:id="13"/>
      </w:r>
    </w:p>
    <w:p w14:paraId="5C25D701" w14:textId="77777777" w:rsidR="0049471F" w:rsidRPr="0049471F" w:rsidRDefault="0049471F" w:rsidP="0049471F">
      <w:pPr>
        <w:pStyle w:val="ListParagraph"/>
        <w:autoSpaceDE w:val="0"/>
        <w:autoSpaceDN w:val="0"/>
        <w:adjustRightInd w:val="0"/>
        <w:ind w:left="0"/>
        <w:jc w:val="both"/>
        <w:rPr>
          <w:lang w:val="en-GB"/>
        </w:rPr>
      </w:pPr>
    </w:p>
    <w:p w14:paraId="32B63714" w14:textId="77777777" w:rsidR="0049471F" w:rsidRDefault="00044031" w:rsidP="00BC5B3C">
      <w:pPr>
        <w:rPr>
          <w:b/>
          <w:bCs/>
          <w:lang w:val="en-GB"/>
        </w:rPr>
      </w:pPr>
      <w:r>
        <w:rPr>
          <w:b/>
          <w:bCs/>
          <w:lang w:val="en-GB"/>
        </w:rPr>
        <w:t xml:space="preserve">Should </w:t>
      </w:r>
      <w:r w:rsidR="00582DF7">
        <w:rPr>
          <w:b/>
          <w:bCs/>
          <w:lang w:val="en-GB"/>
        </w:rPr>
        <w:t>the Court order transfer of the property to the school?</w:t>
      </w:r>
    </w:p>
    <w:p w14:paraId="136BBB75" w14:textId="77777777" w:rsidR="00E93967" w:rsidRDefault="00E93967" w:rsidP="00823CFE">
      <w:pPr>
        <w:pStyle w:val="ListParagraph"/>
        <w:numPr>
          <w:ilvl w:val="0"/>
          <w:numId w:val="10"/>
        </w:numPr>
        <w:autoSpaceDE w:val="0"/>
        <w:autoSpaceDN w:val="0"/>
        <w:adjustRightInd w:val="0"/>
        <w:ind w:left="0" w:firstLine="0"/>
        <w:jc w:val="both"/>
        <w:rPr>
          <w:lang w:val="en-GB"/>
        </w:rPr>
      </w:pPr>
      <w:r>
        <w:rPr>
          <w:lang w:val="en-GB"/>
        </w:rPr>
        <w:t xml:space="preserve">The remaining issue to be addressed is whether, notwithstanding </w:t>
      </w:r>
      <w:r w:rsidR="00416497">
        <w:rPr>
          <w:lang w:val="en-GB"/>
        </w:rPr>
        <w:t>purported</w:t>
      </w:r>
      <w:r>
        <w:rPr>
          <w:lang w:val="en-GB"/>
        </w:rPr>
        <w:t xml:space="preserve"> cancellation, the school is entitled to the relief premised on s 27 of the Act.</w:t>
      </w:r>
      <w:r w:rsidR="00470C78">
        <w:rPr>
          <w:lang w:val="en-GB"/>
        </w:rPr>
        <w:t xml:space="preserve"> That section provides as follows:</w:t>
      </w:r>
      <w:r w:rsidR="00A445B7">
        <w:rPr>
          <w:rStyle w:val="FootnoteReference"/>
          <w:lang w:val="en-GB"/>
        </w:rPr>
        <w:footnoteReference w:id="14"/>
      </w:r>
    </w:p>
    <w:p w14:paraId="27032C08" w14:textId="77777777" w:rsidR="00470C78" w:rsidRDefault="00470C78" w:rsidP="00470C78">
      <w:pPr>
        <w:pStyle w:val="ListParagraph"/>
        <w:autoSpaceDE w:val="0"/>
        <w:autoSpaceDN w:val="0"/>
        <w:adjustRightInd w:val="0"/>
        <w:ind w:left="0"/>
        <w:jc w:val="both"/>
        <w:rPr>
          <w:lang w:val="en-GB"/>
        </w:rPr>
      </w:pPr>
    </w:p>
    <w:p w14:paraId="3FBCEF0C" w14:textId="77777777" w:rsidR="00470C78" w:rsidRDefault="00470C78" w:rsidP="00470C78">
      <w:pPr>
        <w:pStyle w:val="ListParagraph"/>
        <w:autoSpaceDE w:val="0"/>
        <w:autoSpaceDN w:val="0"/>
        <w:adjustRightInd w:val="0"/>
        <w:ind w:left="0"/>
        <w:jc w:val="both"/>
        <w:rPr>
          <w:sz w:val="22"/>
          <w:szCs w:val="22"/>
          <w:lang w:val="en-GB"/>
        </w:rPr>
      </w:pPr>
      <w:r>
        <w:rPr>
          <w:sz w:val="22"/>
          <w:szCs w:val="22"/>
          <w:lang w:val="en-GB"/>
        </w:rPr>
        <w:t>‘27. Rights of purchaser who has partially paid the purchase price of land.</w:t>
      </w:r>
    </w:p>
    <w:p w14:paraId="4E2B656B" w14:textId="77777777" w:rsidR="00470C78" w:rsidRDefault="00470C78" w:rsidP="00470C78">
      <w:pPr>
        <w:pStyle w:val="ListParagraph"/>
        <w:autoSpaceDE w:val="0"/>
        <w:autoSpaceDN w:val="0"/>
        <w:adjustRightInd w:val="0"/>
        <w:ind w:left="0"/>
        <w:jc w:val="both"/>
        <w:rPr>
          <w:sz w:val="22"/>
          <w:szCs w:val="22"/>
          <w:lang w:val="en-GB"/>
        </w:rPr>
      </w:pPr>
    </w:p>
    <w:p w14:paraId="71DE8D57" w14:textId="77777777" w:rsidR="00470C78" w:rsidRDefault="00470C78" w:rsidP="00470C78">
      <w:pPr>
        <w:autoSpaceDE w:val="0"/>
        <w:autoSpaceDN w:val="0"/>
        <w:adjustRightInd w:val="0"/>
        <w:ind w:left="720" w:hanging="720"/>
        <w:jc w:val="both"/>
        <w:rPr>
          <w:sz w:val="22"/>
          <w:szCs w:val="22"/>
          <w:lang w:val="en-GB"/>
        </w:rPr>
      </w:pPr>
      <w:r>
        <w:rPr>
          <w:sz w:val="22"/>
          <w:szCs w:val="22"/>
          <w:lang w:val="en-GB"/>
        </w:rPr>
        <w:t>(1)</w:t>
      </w:r>
      <w:r>
        <w:rPr>
          <w:sz w:val="22"/>
          <w:szCs w:val="22"/>
          <w:lang w:val="en-GB"/>
        </w:rPr>
        <w:tab/>
        <w:t>Any purchaser who in terms of a deed of alienation has undertaken to pay the purchase price of land in specified instalments over a period in the future and who has paid to the seller in such instalments not less than 50 per cent of the purchase price, shall, if the land is registrable, be entitled to demand from the seller transfer of the land on condition that simultaneously with the registration of the transfer there shall be registered in favour of the seller a first mortgage bond over the land to secure the balance of the purchase price and interest in terms of the deed of alienation.</w:t>
      </w:r>
    </w:p>
    <w:p w14:paraId="01E129C9" w14:textId="77777777" w:rsidR="00470C78" w:rsidRDefault="00470C78" w:rsidP="00470C78">
      <w:pPr>
        <w:autoSpaceDE w:val="0"/>
        <w:autoSpaceDN w:val="0"/>
        <w:adjustRightInd w:val="0"/>
        <w:ind w:left="720" w:hanging="720"/>
        <w:jc w:val="both"/>
        <w:rPr>
          <w:sz w:val="22"/>
          <w:szCs w:val="22"/>
          <w:lang w:val="en-GB"/>
        </w:rPr>
      </w:pPr>
      <w:r>
        <w:rPr>
          <w:sz w:val="22"/>
          <w:szCs w:val="22"/>
          <w:lang w:val="en-GB"/>
        </w:rPr>
        <w:t>…</w:t>
      </w:r>
    </w:p>
    <w:p w14:paraId="360CBC24" w14:textId="77777777" w:rsidR="00470C78" w:rsidRPr="00470C78" w:rsidRDefault="00470C78" w:rsidP="00470C78">
      <w:pPr>
        <w:autoSpaceDE w:val="0"/>
        <w:autoSpaceDN w:val="0"/>
        <w:adjustRightInd w:val="0"/>
        <w:ind w:left="720" w:hanging="720"/>
        <w:jc w:val="both"/>
        <w:rPr>
          <w:sz w:val="22"/>
          <w:szCs w:val="22"/>
          <w:lang w:val="en-GB"/>
        </w:rPr>
      </w:pPr>
      <w:r>
        <w:rPr>
          <w:sz w:val="22"/>
          <w:szCs w:val="22"/>
          <w:lang w:val="en-GB"/>
        </w:rPr>
        <w:t>(3)</w:t>
      </w:r>
      <w:r>
        <w:rPr>
          <w:sz w:val="22"/>
          <w:szCs w:val="22"/>
          <w:lang w:val="en-GB"/>
        </w:rPr>
        <w:tab/>
        <w:t>If for whatever reason the seller is unable, fails or refuses to tender transfer within three months of the receipt of the demand referred to in subsection (1), the purchaser may cancel the relevant deed of alienation, in which case the parties are entitled to the relief provided for in section 28(1): Provided that nothing contained in this subsection shall detract from any additional claim for damages which the purchaser may have.</w:t>
      </w:r>
      <w:r w:rsidR="00B1223F">
        <w:rPr>
          <w:sz w:val="22"/>
          <w:szCs w:val="22"/>
          <w:lang w:val="en-GB"/>
        </w:rPr>
        <w:t>’</w:t>
      </w:r>
    </w:p>
    <w:p w14:paraId="219A8CCB" w14:textId="77777777" w:rsidR="00E93967" w:rsidRDefault="00E93967" w:rsidP="00E93967">
      <w:pPr>
        <w:pStyle w:val="ListParagraph"/>
        <w:autoSpaceDE w:val="0"/>
        <w:autoSpaceDN w:val="0"/>
        <w:adjustRightInd w:val="0"/>
        <w:ind w:left="0"/>
        <w:jc w:val="both"/>
        <w:rPr>
          <w:lang w:val="en-GB"/>
        </w:rPr>
      </w:pPr>
    </w:p>
    <w:p w14:paraId="41181ED0" w14:textId="5E4F4F28" w:rsidR="00E61E00" w:rsidRPr="00FB5953" w:rsidRDefault="00747B8E" w:rsidP="00FB5953">
      <w:pPr>
        <w:pStyle w:val="ListParagraph"/>
        <w:numPr>
          <w:ilvl w:val="0"/>
          <w:numId w:val="10"/>
        </w:numPr>
        <w:autoSpaceDE w:val="0"/>
        <w:autoSpaceDN w:val="0"/>
        <w:adjustRightInd w:val="0"/>
        <w:ind w:left="0" w:firstLine="0"/>
        <w:jc w:val="both"/>
        <w:rPr>
          <w:lang w:val="en-GB"/>
        </w:rPr>
      </w:pPr>
      <w:r>
        <w:rPr>
          <w:lang w:val="en-GB"/>
        </w:rPr>
        <w:t>Th</w:t>
      </w:r>
      <w:r w:rsidR="004F03A7">
        <w:rPr>
          <w:lang w:val="en-GB"/>
        </w:rPr>
        <w:t xml:space="preserve">e </w:t>
      </w:r>
      <w:r w:rsidR="00C772A6">
        <w:rPr>
          <w:lang w:val="en-GB"/>
        </w:rPr>
        <w:t>interpretation</w:t>
      </w:r>
      <w:r w:rsidR="004F03A7">
        <w:rPr>
          <w:lang w:val="en-GB"/>
        </w:rPr>
        <w:t xml:space="preserve"> </w:t>
      </w:r>
      <w:r w:rsidR="00C34EC0">
        <w:rPr>
          <w:lang w:val="en-GB"/>
        </w:rPr>
        <w:t>to be given to</w:t>
      </w:r>
      <w:r w:rsidR="004F03A7">
        <w:rPr>
          <w:lang w:val="en-GB"/>
        </w:rPr>
        <w:t xml:space="preserve"> this</w:t>
      </w:r>
      <w:r>
        <w:rPr>
          <w:lang w:val="en-GB"/>
        </w:rPr>
        <w:t xml:space="preserve"> section </w:t>
      </w:r>
      <w:r w:rsidR="00691E53">
        <w:rPr>
          <w:lang w:val="en-GB"/>
        </w:rPr>
        <w:t xml:space="preserve">has been authoritatively determined. In </w:t>
      </w:r>
      <w:r>
        <w:rPr>
          <w:i/>
          <w:iCs/>
          <w:lang w:val="en-GB"/>
        </w:rPr>
        <w:t>Botha and Another v Rich NO</w:t>
      </w:r>
      <w:r w:rsidRPr="00E572B6">
        <w:rPr>
          <w:rStyle w:val="FootnoteReference"/>
          <w:lang w:val="en-GB"/>
        </w:rPr>
        <w:footnoteReference w:id="15"/>
      </w:r>
      <w:r w:rsidR="00E572B6">
        <w:rPr>
          <w:lang w:val="en-GB"/>
        </w:rPr>
        <w:t xml:space="preserve"> (‘</w:t>
      </w:r>
      <w:r w:rsidR="00E572B6">
        <w:rPr>
          <w:i/>
          <w:iCs/>
          <w:lang w:val="en-GB"/>
        </w:rPr>
        <w:t>Botha</w:t>
      </w:r>
      <w:r w:rsidR="00E572B6">
        <w:rPr>
          <w:lang w:val="en-GB"/>
        </w:rPr>
        <w:t>’)</w:t>
      </w:r>
      <w:r w:rsidR="00691E53">
        <w:rPr>
          <w:lang w:val="en-GB"/>
        </w:rPr>
        <w:t>,</w:t>
      </w:r>
      <w:r>
        <w:rPr>
          <w:i/>
          <w:iCs/>
          <w:lang w:val="en-GB"/>
        </w:rPr>
        <w:t xml:space="preserve"> </w:t>
      </w:r>
      <w:r w:rsidR="00691E53">
        <w:rPr>
          <w:lang w:val="en-GB"/>
        </w:rPr>
        <w:t>t</w:t>
      </w:r>
      <w:r w:rsidR="00E61E00">
        <w:rPr>
          <w:lang w:val="en-GB"/>
        </w:rPr>
        <w:t>he applicants’ main contention was that the enforcement of the cancellation clause, where more than 50</w:t>
      </w:r>
      <w:r w:rsidR="00D8260E">
        <w:rPr>
          <w:lang w:val="en-GB"/>
        </w:rPr>
        <w:t xml:space="preserve"> per cent </w:t>
      </w:r>
      <w:r w:rsidR="00E61E00">
        <w:rPr>
          <w:lang w:val="en-GB"/>
        </w:rPr>
        <w:t>of the purchase price was paid, and in the face of a demand for a transfer pursuant to s 27, was contrary to public policy.</w:t>
      </w:r>
      <w:r w:rsidR="009F0A41">
        <w:rPr>
          <w:lang w:val="en-GB"/>
        </w:rPr>
        <w:t xml:space="preserve"> </w:t>
      </w:r>
      <w:r w:rsidR="000C4C81">
        <w:rPr>
          <w:lang w:val="en-GB"/>
        </w:rPr>
        <w:t xml:space="preserve">The </w:t>
      </w:r>
      <w:r w:rsidR="00C07EB3">
        <w:rPr>
          <w:lang w:val="en-GB"/>
        </w:rPr>
        <w:t>Constitutional Court</w:t>
      </w:r>
      <w:r w:rsidR="00FB5953">
        <w:rPr>
          <w:lang w:val="en-GB"/>
        </w:rPr>
        <w:t xml:space="preserve"> considered this to be an alternative enquiry, the </w:t>
      </w:r>
      <w:r w:rsidR="000C4C81">
        <w:rPr>
          <w:lang w:val="en-GB"/>
        </w:rPr>
        <w:t xml:space="preserve">primary issue </w:t>
      </w:r>
      <w:r w:rsidR="00FB5953">
        <w:rPr>
          <w:lang w:val="en-GB"/>
        </w:rPr>
        <w:t>being</w:t>
      </w:r>
      <w:r w:rsidR="000C4C81" w:rsidRPr="00FB5953">
        <w:rPr>
          <w:lang w:val="en-GB"/>
        </w:rPr>
        <w:t xml:space="preserve"> whether, under s 27(1), the respondent was obliged to register the property in the applicants’ name against registration of a mortgage bond in their favour.</w:t>
      </w:r>
      <w:r w:rsidR="00FB5953">
        <w:rPr>
          <w:rStyle w:val="FootnoteReference"/>
          <w:lang w:val="en-GB"/>
        </w:rPr>
        <w:footnoteReference w:id="16"/>
      </w:r>
      <w:r w:rsidR="000B069C">
        <w:rPr>
          <w:lang w:val="en-GB"/>
        </w:rPr>
        <w:t xml:space="preserve"> Answering that question required proper interpretation of the section.</w:t>
      </w:r>
    </w:p>
    <w:p w14:paraId="5562EDF3" w14:textId="77777777" w:rsidR="00E61E00" w:rsidRDefault="00E61E00" w:rsidP="00E61E00">
      <w:pPr>
        <w:pStyle w:val="ListParagraph"/>
        <w:autoSpaceDE w:val="0"/>
        <w:autoSpaceDN w:val="0"/>
        <w:adjustRightInd w:val="0"/>
        <w:ind w:left="0"/>
        <w:jc w:val="both"/>
        <w:rPr>
          <w:lang w:val="en-GB"/>
        </w:rPr>
      </w:pPr>
    </w:p>
    <w:p w14:paraId="4F4F5BB1" w14:textId="58314BC0" w:rsidR="00E61E00" w:rsidRDefault="003D42FF" w:rsidP="00823CFE">
      <w:pPr>
        <w:pStyle w:val="ListParagraph"/>
        <w:numPr>
          <w:ilvl w:val="0"/>
          <w:numId w:val="10"/>
        </w:numPr>
        <w:autoSpaceDE w:val="0"/>
        <w:autoSpaceDN w:val="0"/>
        <w:adjustRightInd w:val="0"/>
        <w:ind w:left="0" w:firstLine="0"/>
        <w:jc w:val="both"/>
        <w:rPr>
          <w:lang w:val="en-GB"/>
        </w:rPr>
      </w:pPr>
      <w:r>
        <w:rPr>
          <w:lang w:val="en-GB"/>
        </w:rPr>
        <w:t xml:space="preserve">It is unnecessary, for present purposes, to repeat the analysis of contractual obligations in the context of the Constitution as reflected in </w:t>
      </w:r>
      <w:r w:rsidR="00206406">
        <w:rPr>
          <w:i/>
          <w:iCs/>
          <w:lang w:val="en-GB"/>
        </w:rPr>
        <w:t>Botha</w:t>
      </w:r>
      <w:r w:rsidR="00206406">
        <w:rPr>
          <w:lang w:val="en-GB"/>
        </w:rPr>
        <w:t>.</w:t>
      </w:r>
      <w:r w:rsidR="00312CAB">
        <w:rPr>
          <w:lang w:val="en-GB"/>
        </w:rPr>
        <w:t xml:space="preserve"> </w:t>
      </w:r>
      <w:r w:rsidR="00BC5B3C">
        <w:rPr>
          <w:lang w:val="en-GB"/>
        </w:rPr>
        <w:t xml:space="preserve">It suffices to state that the Constitutional Court confirmed that s 27 must be interpreted in a manner that promotes the spirit, </w:t>
      </w:r>
      <w:proofErr w:type="gramStart"/>
      <w:r w:rsidR="00BC5B3C">
        <w:rPr>
          <w:lang w:val="en-GB"/>
        </w:rPr>
        <w:t>purport</w:t>
      </w:r>
      <w:proofErr w:type="gramEnd"/>
      <w:r w:rsidR="00BC5B3C">
        <w:rPr>
          <w:lang w:val="en-GB"/>
        </w:rPr>
        <w:t xml:space="preserve"> and objects of the Bill of Rights.</w:t>
      </w:r>
      <w:r w:rsidR="00BC5B3C">
        <w:rPr>
          <w:rStyle w:val="FootnoteReference"/>
          <w:lang w:val="en-GB"/>
        </w:rPr>
        <w:footnoteReference w:id="17"/>
      </w:r>
      <w:r w:rsidR="00BC5B3C">
        <w:rPr>
          <w:lang w:val="en-GB"/>
        </w:rPr>
        <w:t xml:space="preserve"> </w:t>
      </w:r>
      <w:r w:rsidR="00312CAB">
        <w:rPr>
          <w:lang w:val="en-GB"/>
        </w:rPr>
        <w:t>Nkabinde J</w:t>
      </w:r>
      <w:r w:rsidR="00E2722F">
        <w:rPr>
          <w:lang w:val="en-GB"/>
        </w:rPr>
        <w:t>, on behalf of the majority,</w:t>
      </w:r>
      <w:r w:rsidR="00312CAB">
        <w:rPr>
          <w:lang w:val="en-GB"/>
        </w:rPr>
        <w:t xml:space="preserve"> held that a plain reading of s 27(1) revealed that it sought to protect the right of a purchaser who had paid not less than half of the purchase price. </w:t>
      </w:r>
      <w:r w:rsidR="00312CAB">
        <w:rPr>
          <w:lang w:val="en-GB"/>
        </w:rPr>
        <w:lastRenderedPageBreak/>
        <w:t>Successful reliance on that subsection required the presence of the following jurisdictional facts:</w:t>
      </w:r>
      <w:r w:rsidR="00312CAB">
        <w:rPr>
          <w:rStyle w:val="FootnoteReference"/>
          <w:lang w:val="en-GB"/>
        </w:rPr>
        <w:footnoteReference w:id="18"/>
      </w:r>
    </w:p>
    <w:p w14:paraId="327D7C07" w14:textId="77777777" w:rsidR="00312CAB" w:rsidRDefault="00312CAB" w:rsidP="00D5736B">
      <w:pPr>
        <w:rPr>
          <w:lang w:val="en-GB"/>
        </w:rPr>
      </w:pPr>
    </w:p>
    <w:p w14:paraId="130BF382" w14:textId="77777777" w:rsidR="00D5736B" w:rsidRDefault="00D5736B" w:rsidP="00D5736B">
      <w:pPr>
        <w:pStyle w:val="ListParagraph"/>
        <w:numPr>
          <w:ilvl w:val="0"/>
          <w:numId w:val="17"/>
        </w:numPr>
        <w:rPr>
          <w:lang w:val="en-GB"/>
        </w:rPr>
      </w:pPr>
      <w:r>
        <w:rPr>
          <w:lang w:val="en-GB"/>
        </w:rPr>
        <w:t xml:space="preserve">First, the purchaser must have undertaken to pay the purchase price in specified </w:t>
      </w:r>
      <w:proofErr w:type="gramStart"/>
      <w:r>
        <w:rPr>
          <w:lang w:val="en-GB"/>
        </w:rPr>
        <w:t>instalments;</w:t>
      </w:r>
      <w:proofErr w:type="gramEnd"/>
    </w:p>
    <w:p w14:paraId="4C898955" w14:textId="2F4C103F" w:rsidR="00D5736B" w:rsidRDefault="00D5736B" w:rsidP="00D5736B">
      <w:pPr>
        <w:pStyle w:val="ListParagraph"/>
        <w:numPr>
          <w:ilvl w:val="0"/>
          <w:numId w:val="17"/>
        </w:numPr>
        <w:rPr>
          <w:lang w:val="en-GB"/>
        </w:rPr>
      </w:pPr>
      <w:r>
        <w:rPr>
          <w:lang w:val="en-GB"/>
        </w:rPr>
        <w:t>Second, the purchaser must have paid to the seller in such instalments not less than 50</w:t>
      </w:r>
      <w:r w:rsidR="00D8260E">
        <w:rPr>
          <w:lang w:val="en-GB"/>
        </w:rPr>
        <w:t xml:space="preserve"> per cent</w:t>
      </w:r>
      <w:r>
        <w:rPr>
          <w:lang w:val="en-GB"/>
        </w:rPr>
        <w:t xml:space="preserve"> of the purchase </w:t>
      </w:r>
      <w:proofErr w:type="gramStart"/>
      <w:r>
        <w:rPr>
          <w:lang w:val="en-GB"/>
        </w:rPr>
        <w:t>price;</w:t>
      </w:r>
      <w:proofErr w:type="gramEnd"/>
    </w:p>
    <w:p w14:paraId="53666A2E" w14:textId="77777777" w:rsidR="00D5736B" w:rsidRDefault="00D5736B" w:rsidP="00D5736B">
      <w:pPr>
        <w:pStyle w:val="ListParagraph"/>
        <w:numPr>
          <w:ilvl w:val="0"/>
          <w:numId w:val="17"/>
        </w:numPr>
        <w:rPr>
          <w:lang w:val="en-GB"/>
        </w:rPr>
      </w:pPr>
      <w:r>
        <w:rPr>
          <w:lang w:val="en-GB"/>
        </w:rPr>
        <w:t>Third, the property in question must be registrable.</w:t>
      </w:r>
    </w:p>
    <w:p w14:paraId="1B043A8F" w14:textId="77777777" w:rsidR="00D36CD4" w:rsidRPr="00D5736B" w:rsidRDefault="00D36CD4" w:rsidP="00D36CD4">
      <w:pPr>
        <w:pStyle w:val="ListParagraph"/>
        <w:rPr>
          <w:lang w:val="en-GB"/>
        </w:rPr>
      </w:pPr>
    </w:p>
    <w:p w14:paraId="0C473D3E" w14:textId="77777777" w:rsidR="00312CAB" w:rsidRDefault="0027312A" w:rsidP="00823CFE">
      <w:pPr>
        <w:pStyle w:val="ListParagraph"/>
        <w:numPr>
          <w:ilvl w:val="0"/>
          <w:numId w:val="10"/>
        </w:numPr>
        <w:autoSpaceDE w:val="0"/>
        <w:autoSpaceDN w:val="0"/>
        <w:adjustRightInd w:val="0"/>
        <w:ind w:left="0" w:firstLine="0"/>
        <w:jc w:val="both"/>
        <w:rPr>
          <w:lang w:val="en-GB"/>
        </w:rPr>
      </w:pPr>
      <w:r>
        <w:rPr>
          <w:lang w:val="en-GB"/>
        </w:rPr>
        <w:t>Reading s 27(1) together with s 27(3),</w:t>
      </w:r>
      <w:r w:rsidR="00397556">
        <w:rPr>
          <w:lang w:val="en-GB"/>
        </w:rPr>
        <w:t xml:space="preserve"> the learned judge held that a lower court had been incorrect to hold that specific performance, in the form of compelling the respondent to register the property and sign all documents necessary for transferring the property into the name of the applicant, was not an available remedy. Such a conclusion was held to be inconsistent with the </w:t>
      </w:r>
      <w:r w:rsidR="0047168F">
        <w:rPr>
          <w:lang w:val="en-GB"/>
        </w:rPr>
        <w:t>proper</w:t>
      </w:r>
      <w:r w:rsidR="004E389C">
        <w:rPr>
          <w:lang w:val="en-GB"/>
        </w:rPr>
        <w:t xml:space="preserve"> approach to interpret</w:t>
      </w:r>
      <w:r w:rsidR="0047168F">
        <w:rPr>
          <w:lang w:val="en-GB"/>
        </w:rPr>
        <w:t>ation of the section</w:t>
      </w:r>
      <w:r w:rsidR="00397556">
        <w:rPr>
          <w:lang w:val="en-GB"/>
        </w:rPr>
        <w:t>.</w:t>
      </w:r>
      <w:r w:rsidR="005F798E">
        <w:rPr>
          <w:rStyle w:val="FootnoteReference"/>
          <w:lang w:val="en-GB"/>
        </w:rPr>
        <w:footnoteReference w:id="19"/>
      </w:r>
    </w:p>
    <w:p w14:paraId="24053D54" w14:textId="77777777" w:rsidR="002C4E81" w:rsidRDefault="002C4E81" w:rsidP="006B51B8">
      <w:pPr>
        <w:pStyle w:val="ListParagraph"/>
        <w:autoSpaceDE w:val="0"/>
        <w:autoSpaceDN w:val="0"/>
        <w:adjustRightInd w:val="0"/>
        <w:ind w:left="0"/>
        <w:jc w:val="both"/>
        <w:rPr>
          <w:lang w:val="en-GB"/>
        </w:rPr>
      </w:pPr>
    </w:p>
    <w:p w14:paraId="780E9621" w14:textId="78A8E7E2" w:rsidR="006B51B8" w:rsidRDefault="006B51B8" w:rsidP="00823CFE">
      <w:pPr>
        <w:pStyle w:val="ListParagraph"/>
        <w:numPr>
          <w:ilvl w:val="0"/>
          <w:numId w:val="10"/>
        </w:numPr>
        <w:autoSpaceDE w:val="0"/>
        <w:autoSpaceDN w:val="0"/>
        <w:adjustRightInd w:val="0"/>
        <w:ind w:left="0" w:firstLine="0"/>
        <w:jc w:val="both"/>
        <w:rPr>
          <w:lang w:val="en-GB"/>
        </w:rPr>
      </w:pPr>
      <w:r>
        <w:rPr>
          <w:i/>
          <w:iCs/>
          <w:lang w:val="en-GB"/>
        </w:rPr>
        <w:t>Botha</w:t>
      </w:r>
      <w:r>
        <w:rPr>
          <w:lang w:val="en-GB"/>
        </w:rPr>
        <w:t xml:space="preserve"> also considered whether a party was entitled to claim specific performance, in the context of the Act, despite being in arrears</w:t>
      </w:r>
      <w:r w:rsidR="00455F11">
        <w:rPr>
          <w:lang w:val="en-GB"/>
        </w:rPr>
        <w:t xml:space="preserve">, and whether the respondent could raise the </w:t>
      </w:r>
      <w:proofErr w:type="spellStart"/>
      <w:r w:rsidR="00455F11">
        <w:rPr>
          <w:i/>
          <w:iCs/>
          <w:lang w:val="en-GB"/>
        </w:rPr>
        <w:t>exceptio</w:t>
      </w:r>
      <w:proofErr w:type="spellEnd"/>
      <w:r w:rsidR="00455F11">
        <w:rPr>
          <w:i/>
          <w:iCs/>
          <w:lang w:val="en-GB"/>
        </w:rPr>
        <w:t xml:space="preserve"> non </w:t>
      </w:r>
      <w:proofErr w:type="spellStart"/>
      <w:r w:rsidR="00455F11">
        <w:rPr>
          <w:i/>
          <w:iCs/>
          <w:lang w:val="en-GB"/>
        </w:rPr>
        <w:t>adimpleti</w:t>
      </w:r>
      <w:proofErr w:type="spellEnd"/>
      <w:r w:rsidR="00455F11">
        <w:rPr>
          <w:i/>
          <w:iCs/>
          <w:lang w:val="en-GB"/>
        </w:rPr>
        <w:t xml:space="preserve"> </w:t>
      </w:r>
      <w:proofErr w:type="spellStart"/>
      <w:r w:rsidR="00455F11">
        <w:rPr>
          <w:i/>
          <w:iCs/>
          <w:lang w:val="en-GB"/>
        </w:rPr>
        <w:t>contractus</w:t>
      </w:r>
      <w:proofErr w:type="spellEnd"/>
      <w:r w:rsidR="00455F11">
        <w:rPr>
          <w:lang w:val="en-GB"/>
        </w:rPr>
        <w:t xml:space="preserve"> as a defence to the demand for transfer.</w:t>
      </w:r>
      <w:r w:rsidR="00455F11">
        <w:rPr>
          <w:rStyle w:val="FootnoteReference"/>
          <w:lang w:val="en-GB"/>
        </w:rPr>
        <w:footnoteReference w:id="20"/>
      </w:r>
      <w:r w:rsidR="00455F11">
        <w:rPr>
          <w:lang w:val="en-GB"/>
        </w:rPr>
        <w:t xml:space="preserve"> The court held that they could, but that a rigid application of the principle of reciprocity</w:t>
      </w:r>
      <w:r w:rsidR="00C630D3">
        <w:rPr>
          <w:lang w:val="en-GB"/>
        </w:rPr>
        <w:t xml:space="preserve"> </w:t>
      </w:r>
      <w:r w:rsidR="00F64D44">
        <w:rPr>
          <w:lang w:val="en-GB"/>
        </w:rPr>
        <w:t xml:space="preserve">may result in injustice in certain circumstances. </w:t>
      </w:r>
      <w:r w:rsidR="00DC6C13">
        <w:rPr>
          <w:lang w:val="en-GB"/>
        </w:rPr>
        <w:t xml:space="preserve">The law of contract, based as it is on the principle of good faith, contained the necessary flexibility to ensure fairness. This was achieved in </w:t>
      </w:r>
      <w:r w:rsidR="00DC6C13">
        <w:rPr>
          <w:i/>
          <w:iCs/>
          <w:lang w:val="en-GB"/>
        </w:rPr>
        <w:t>Botha</w:t>
      </w:r>
      <w:r w:rsidR="00DC6C13">
        <w:rPr>
          <w:lang w:val="en-GB"/>
        </w:rPr>
        <w:t xml:space="preserve"> as follows:</w:t>
      </w:r>
      <w:r w:rsidR="008F0220">
        <w:rPr>
          <w:rStyle w:val="FootnoteReference"/>
          <w:lang w:val="en-GB"/>
        </w:rPr>
        <w:footnoteReference w:id="21"/>
      </w:r>
    </w:p>
    <w:p w14:paraId="62A26F4A" w14:textId="77777777" w:rsidR="00DC6C13" w:rsidRDefault="00DC6C13" w:rsidP="00DC6C13">
      <w:pPr>
        <w:rPr>
          <w:lang w:val="en-GB"/>
        </w:rPr>
      </w:pPr>
    </w:p>
    <w:p w14:paraId="0C945B1A" w14:textId="77777777" w:rsidR="001B09EF" w:rsidRDefault="008F0220" w:rsidP="008F0220">
      <w:pPr>
        <w:jc w:val="both"/>
        <w:rPr>
          <w:sz w:val="22"/>
          <w:szCs w:val="22"/>
          <w:lang w:val="en-GB"/>
        </w:rPr>
      </w:pPr>
      <w:r>
        <w:rPr>
          <w:sz w:val="22"/>
          <w:szCs w:val="22"/>
          <w:lang w:val="en-GB"/>
        </w:rPr>
        <w:t xml:space="preserve">‘In my view, to deprive Ms Botha of the opportunity to have the property transferred to her under section 27(1) and in the process cure her breach in regard to the arrears, would be a </w:t>
      </w:r>
      <w:r>
        <w:rPr>
          <w:sz w:val="22"/>
          <w:szCs w:val="22"/>
          <w:lang w:val="en-GB"/>
        </w:rPr>
        <w:lastRenderedPageBreak/>
        <w:t xml:space="preserve">disproportionate sanction in relation to the considerable portion of the purchase price she has already paid and would thus be unfair. The other side of the coin is, however, that it would be equally disproportionate to allow registration of transfer, without making that registration conditional upon payment of the arrears and the outstanding amounts levied in municipal rates, </w:t>
      </w:r>
      <w:proofErr w:type="gramStart"/>
      <w:r>
        <w:rPr>
          <w:sz w:val="22"/>
          <w:szCs w:val="22"/>
          <w:lang w:val="en-GB"/>
        </w:rPr>
        <w:t>taxes</w:t>
      </w:r>
      <w:proofErr w:type="gramEnd"/>
      <w:r>
        <w:rPr>
          <w:sz w:val="22"/>
          <w:szCs w:val="22"/>
          <w:lang w:val="en-GB"/>
        </w:rPr>
        <w:t xml:space="preserve"> and service fee</w:t>
      </w:r>
      <w:r w:rsidR="005C1A16">
        <w:rPr>
          <w:sz w:val="22"/>
          <w:szCs w:val="22"/>
          <w:lang w:val="en-GB"/>
        </w:rPr>
        <w:t>s.</w:t>
      </w:r>
      <w:r>
        <w:rPr>
          <w:sz w:val="22"/>
          <w:szCs w:val="22"/>
          <w:lang w:val="en-GB"/>
        </w:rPr>
        <w:t xml:space="preserve"> Accordingly, an appropriate order in this regard will be made. The condition that Ms Botha must pay the arrears and all municipal balances, set out in our order, on top of the statutory requirement that a bond be registered, constitutes an equitable exercise of the discretion a court has to avoid undue hardship to the Trustees.</w:t>
      </w:r>
      <w:r w:rsidR="001B09EF">
        <w:rPr>
          <w:sz w:val="22"/>
          <w:szCs w:val="22"/>
          <w:lang w:val="en-GB"/>
        </w:rPr>
        <w:t>’</w:t>
      </w:r>
    </w:p>
    <w:p w14:paraId="3277B988" w14:textId="77777777" w:rsidR="001B09EF" w:rsidRPr="008F0220" w:rsidRDefault="001B09EF" w:rsidP="008F0220">
      <w:pPr>
        <w:jc w:val="both"/>
        <w:rPr>
          <w:sz w:val="22"/>
          <w:szCs w:val="22"/>
          <w:lang w:val="en-GB"/>
        </w:rPr>
      </w:pPr>
    </w:p>
    <w:p w14:paraId="36155C04" w14:textId="77777777" w:rsidR="00DC6C13" w:rsidRDefault="00957E66" w:rsidP="00823CFE">
      <w:pPr>
        <w:pStyle w:val="ListParagraph"/>
        <w:numPr>
          <w:ilvl w:val="0"/>
          <w:numId w:val="10"/>
        </w:numPr>
        <w:autoSpaceDE w:val="0"/>
        <w:autoSpaceDN w:val="0"/>
        <w:adjustRightInd w:val="0"/>
        <w:ind w:left="0" w:firstLine="0"/>
        <w:jc w:val="both"/>
        <w:rPr>
          <w:lang w:val="en-GB"/>
        </w:rPr>
      </w:pPr>
      <w:r>
        <w:rPr>
          <w:lang w:val="en-GB"/>
        </w:rPr>
        <w:t>In refusing the respondent’s prayer for</w:t>
      </w:r>
      <w:r w:rsidR="001B09EF">
        <w:rPr>
          <w:lang w:val="en-GB"/>
        </w:rPr>
        <w:t xml:space="preserve"> cancellation, the court added as follows:</w:t>
      </w:r>
      <w:r w:rsidR="001B09EF">
        <w:rPr>
          <w:rStyle w:val="FootnoteReference"/>
          <w:lang w:val="en-GB"/>
        </w:rPr>
        <w:footnoteReference w:id="22"/>
      </w:r>
    </w:p>
    <w:p w14:paraId="6C77D579" w14:textId="77777777" w:rsidR="00306FDC" w:rsidRDefault="00306FDC" w:rsidP="00306FDC">
      <w:pPr>
        <w:pStyle w:val="ListParagraph"/>
        <w:autoSpaceDE w:val="0"/>
        <w:autoSpaceDN w:val="0"/>
        <w:adjustRightInd w:val="0"/>
        <w:ind w:left="0"/>
        <w:jc w:val="both"/>
        <w:rPr>
          <w:lang w:val="en-GB"/>
        </w:rPr>
      </w:pPr>
    </w:p>
    <w:p w14:paraId="4C4582DC" w14:textId="77777777" w:rsidR="00306FDC" w:rsidRDefault="00306FDC" w:rsidP="00306FDC">
      <w:pPr>
        <w:pStyle w:val="ListParagraph"/>
        <w:autoSpaceDE w:val="0"/>
        <w:autoSpaceDN w:val="0"/>
        <w:adjustRightInd w:val="0"/>
        <w:ind w:left="0"/>
        <w:jc w:val="both"/>
        <w:rPr>
          <w:sz w:val="22"/>
          <w:szCs w:val="22"/>
          <w:lang w:val="en-GB"/>
        </w:rPr>
      </w:pPr>
      <w:r w:rsidRPr="00306FDC">
        <w:rPr>
          <w:sz w:val="22"/>
          <w:szCs w:val="22"/>
          <w:lang w:val="en-GB"/>
        </w:rPr>
        <w:t xml:space="preserve">‘For the same </w:t>
      </w:r>
      <w:r>
        <w:rPr>
          <w:sz w:val="22"/>
          <w:szCs w:val="22"/>
          <w:lang w:val="en-GB"/>
        </w:rPr>
        <w:t>reasons mentioned above, granting cancellation – and therefore, in this case, forfeiture – in circumstances where three-quarters of the purchase price has already been paid would be a disproportionate penalty for the breach</w:t>
      </w:r>
      <w:r w:rsidR="001C3329">
        <w:rPr>
          <w:sz w:val="22"/>
          <w:szCs w:val="22"/>
          <w:lang w:val="en-GB"/>
        </w:rPr>
        <w:t>.’</w:t>
      </w:r>
    </w:p>
    <w:p w14:paraId="21BA0E29" w14:textId="77777777" w:rsidR="00957E66" w:rsidRPr="00306FDC" w:rsidRDefault="00957E66" w:rsidP="00306FDC">
      <w:pPr>
        <w:pStyle w:val="ListParagraph"/>
        <w:autoSpaceDE w:val="0"/>
        <w:autoSpaceDN w:val="0"/>
        <w:adjustRightInd w:val="0"/>
        <w:ind w:left="0"/>
        <w:jc w:val="both"/>
        <w:rPr>
          <w:sz w:val="22"/>
          <w:szCs w:val="22"/>
          <w:lang w:val="en-GB"/>
        </w:rPr>
      </w:pPr>
    </w:p>
    <w:p w14:paraId="79BE055F" w14:textId="2B294423" w:rsidR="00C33395" w:rsidRDefault="00287C89" w:rsidP="00823CFE">
      <w:pPr>
        <w:pStyle w:val="ListParagraph"/>
        <w:numPr>
          <w:ilvl w:val="0"/>
          <w:numId w:val="10"/>
        </w:numPr>
        <w:autoSpaceDE w:val="0"/>
        <w:autoSpaceDN w:val="0"/>
        <w:adjustRightInd w:val="0"/>
        <w:ind w:left="0" w:firstLine="0"/>
        <w:jc w:val="both"/>
        <w:rPr>
          <w:lang w:val="en-GB"/>
        </w:rPr>
      </w:pPr>
      <w:r>
        <w:rPr>
          <w:lang w:val="en-GB"/>
        </w:rPr>
        <w:t xml:space="preserve">Mr </w:t>
      </w:r>
      <w:r>
        <w:rPr>
          <w:i/>
          <w:iCs/>
          <w:lang w:val="en-GB"/>
        </w:rPr>
        <w:t>Smith</w:t>
      </w:r>
      <w:r>
        <w:rPr>
          <w:lang w:val="en-GB"/>
        </w:rPr>
        <w:t xml:space="preserve"> sought to distinguish </w:t>
      </w:r>
      <w:r>
        <w:rPr>
          <w:i/>
          <w:iCs/>
          <w:lang w:val="en-GB"/>
        </w:rPr>
        <w:t>Botha</w:t>
      </w:r>
      <w:r>
        <w:rPr>
          <w:lang w:val="en-GB"/>
        </w:rPr>
        <w:t xml:space="preserve"> on the basis that</w:t>
      </w:r>
      <w:r w:rsidR="000121E0">
        <w:rPr>
          <w:lang w:val="en-GB"/>
        </w:rPr>
        <w:t>:</w:t>
      </w:r>
      <w:r w:rsidR="002A4EEC">
        <w:rPr>
          <w:lang w:val="en-GB"/>
        </w:rPr>
        <w:t xml:space="preserve"> firstly, </w:t>
      </w:r>
      <w:r>
        <w:rPr>
          <w:lang w:val="en-GB"/>
        </w:rPr>
        <w:t>the school had invoked a term implied by law only after the cancellation of the agreement of sale</w:t>
      </w:r>
      <w:r w:rsidR="000121E0">
        <w:rPr>
          <w:lang w:val="en-GB"/>
        </w:rPr>
        <w:t>;</w:t>
      </w:r>
      <w:r w:rsidR="00B77E36">
        <w:rPr>
          <w:lang w:val="en-GB"/>
        </w:rPr>
        <w:t xml:space="preserve"> and secondly, the enforcement of the implied term was conditional on a preced</w:t>
      </w:r>
      <w:r w:rsidR="003612F6">
        <w:rPr>
          <w:lang w:val="en-GB"/>
        </w:rPr>
        <w:t>ing</w:t>
      </w:r>
      <w:r w:rsidR="00B77E36">
        <w:rPr>
          <w:lang w:val="en-GB"/>
        </w:rPr>
        <w:t xml:space="preserve"> demand.</w:t>
      </w:r>
      <w:r w:rsidR="000E3FE7">
        <w:rPr>
          <w:lang w:val="en-GB"/>
        </w:rPr>
        <w:t xml:space="preserve"> </w:t>
      </w:r>
    </w:p>
    <w:p w14:paraId="09E0FC7C" w14:textId="77777777" w:rsidR="00C33395" w:rsidRDefault="00C33395" w:rsidP="00C33395">
      <w:pPr>
        <w:pStyle w:val="ListParagraph"/>
        <w:autoSpaceDE w:val="0"/>
        <w:autoSpaceDN w:val="0"/>
        <w:adjustRightInd w:val="0"/>
        <w:ind w:left="0"/>
        <w:jc w:val="both"/>
        <w:rPr>
          <w:lang w:val="en-GB"/>
        </w:rPr>
      </w:pPr>
    </w:p>
    <w:p w14:paraId="1742D4FA" w14:textId="77777777" w:rsidR="000E0A34" w:rsidRDefault="000E3FE7" w:rsidP="00823CFE">
      <w:pPr>
        <w:pStyle w:val="ListParagraph"/>
        <w:numPr>
          <w:ilvl w:val="0"/>
          <w:numId w:val="10"/>
        </w:numPr>
        <w:autoSpaceDE w:val="0"/>
        <w:autoSpaceDN w:val="0"/>
        <w:adjustRightInd w:val="0"/>
        <w:ind w:left="0" w:firstLine="0"/>
        <w:jc w:val="both"/>
        <w:rPr>
          <w:lang w:val="en-GB"/>
        </w:rPr>
      </w:pPr>
      <w:r>
        <w:rPr>
          <w:lang w:val="en-GB"/>
        </w:rPr>
        <w:t xml:space="preserve">These arguments appear to be without merit. </w:t>
      </w:r>
      <w:r w:rsidR="00780F68">
        <w:rPr>
          <w:lang w:val="en-GB"/>
        </w:rPr>
        <w:t xml:space="preserve">It is so that a paragraph of the contract in </w:t>
      </w:r>
      <w:r w:rsidR="00780F68">
        <w:rPr>
          <w:i/>
          <w:iCs/>
          <w:lang w:val="en-GB"/>
        </w:rPr>
        <w:t xml:space="preserve">Botha </w:t>
      </w:r>
      <w:r w:rsidR="00780F68">
        <w:rPr>
          <w:lang w:val="en-GB"/>
        </w:rPr>
        <w:t>expressly</w:t>
      </w:r>
      <w:r w:rsidR="00780F68">
        <w:rPr>
          <w:i/>
          <w:iCs/>
          <w:lang w:val="en-GB"/>
        </w:rPr>
        <w:t xml:space="preserve"> </w:t>
      </w:r>
      <w:r w:rsidR="00780F68">
        <w:rPr>
          <w:lang w:val="en-GB"/>
        </w:rPr>
        <w:t>incorporated s 27(1). Considering that s 27(1) has been held to create a contractual right implied by law, this feature of the case is immaterial</w:t>
      </w:r>
      <w:r w:rsidR="008C2E64">
        <w:rPr>
          <w:lang w:val="en-GB"/>
        </w:rPr>
        <w:t xml:space="preserve"> for present purposes</w:t>
      </w:r>
      <w:r w:rsidR="00780F68">
        <w:rPr>
          <w:lang w:val="en-GB"/>
        </w:rPr>
        <w:t>.</w:t>
      </w:r>
      <w:r w:rsidR="00780F68">
        <w:rPr>
          <w:rStyle w:val="FootnoteReference"/>
          <w:lang w:val="en-GB"/>
        </w:rPr>
        <w:footnoteReference w:id="23"/>
      </w:r>
      <w:r w:rsidR="00780F68">
        <w:rPr>
          <w:lang w:val="en-GB"/>
        </w:rPr>
        <w:t xml:space="preserve"> </w:t>
      </w:r>
      <w:r w:rsidR="00F234B4">
        <w:rPr>
          <w:lang w:val="en-GB"/>
        </w:rPr>
        <w:t xml:space="preserve">Our law recognises that the terms of the contract – express, </w:t>
      </w:r>
      <w:proofErr w:type="gramStart"/>
      <w:r w:rsidR="00F234B4">
        <w:rPr>
          <w:lang w:val="en-GB"/>
        </w:rPr>
        <w:t>tacit</w:t>
      </w:r>
      <w:proofErr w:type="gramEnd"/>
      <w:r w:rsidR="00F234B4">
        <w:rPr>
          <w:lang w:val="en-GB"/>
        </w:rPr>
        <w:t xml:space="preserve"> or implied – determine the obligations parties to a contract owe to each other.</w:t>
      </w:r>
      <w:r w:rsidR="00F234B4">
        <w:rPr>
          <w:rStyle w:val="FootnoteReference"/>
          <w:lang w:val="en-GB"/>
        </w:rPr>
        <w:footnoteReference w:id="24"/>
      </w:r>
      <w:r w:rsidR="00F234B4">
        <w:rPr>
          <w:lang w:val="en-GB"/>
        </w:rPr>
        <w:t xml:space="preserve"> </w:t>
      </w:r>
    </w:p>
    <w:p w14:paraId="79F12993" w14:textId="77777777" w:rsidR="000E0A34" w:rsidRPr="000E0A34" w:rsidRDefault="000E0A34" w:rsidP="000E0A34">
      <w:pPr>
        <w:pStyle w:val="ListParagraph"/>
        <w:rPr>
          <w:lang w:val="en-GB"/>
        </w:rPr>
      </w:pPr>
    </w:p>
    <w:p w14:paraId="33D4D36E" w14:textId="4EB663DE" w:rsidR="00FB539D" w:rsidRDefault="00CD4D0B" w:rsidP="00823CFE">
      <w:pPr>
        <w:pStyle w:val="ListParagraph"/>
        <w:numPr>
          <w:ilvl w:val="0"/>
          <w:numId w:val="10"/>
        </w:numPr>
        <w:autoSpaceDE w:val="0"/>
        <w:autoSpaceDN w:val="0"/>
        <w:adjustRightInd w:val="0"/>
        <w:ind w:left="0" w:firstLine="0"/>
        <w:jc w:val="both"/>
        <w:rPr>
          <w:lang w:val="en-GB"/>
        </w:rPr>
      </w:pPr>
      <w:r>
        <w:rPr>
          <w:lang w:val="en-GB"/>
        </w:rPr>
        <w:t xml:space="preserve">On the facts in </w:t>
      </w:r>
      <w:r>
        <w:rPr>
          <w:i/>
          <w:iCs/>
          <w:lang w:val="en-GB"/>
        </w:rPr>
        <w:t>Botha</w:t>
      </w:r>
      <w:r>
        <w:rPr>
          <w:lang w:val="en-GB"/>
        </w:rPr>
        <w:t xml:space="preserve">, the respondent had successfully instituted proceedings against the applicants in the </w:t>
      </w:r>
      <w:r w:rsidR="000121E0">
        <w:rPr>
          <w:lang w:val="en-GB"/>
        </w:rPr>
        <w:t>m</w:t>
      </w:r>
      <w:r>
        <w:rPr>
          <w:lang w:val="en-GB"/>
        </w:rPr>
        <w:t>agistrate</w:t>
      </w:r>
      <w:r w:rsidR="00C9016B">
        <w:rPr>
          <w:lang w:val="en-GB"/>
        </w:rPr>
        <w:t>’</w:t>
      </w:r>
      <w:r>
        <w:rPr>
          <w:lang w:val="en-GB"/>
        </w:rPr>
        <w:t xml:space="preserve">s </w:t>
      </w:r>
      <w:r w:rsidR="000121E0">
        <w:rPr>
          <w:lang w:val="en-GB"/>
        </w:rPr>
        <w:t>c</w:t>
      </w:r>
      <w:r>
        <w:rPr>
          <w:lang w:val="en-GB"/>
        </w:rPr>
        <w:t>ourt for cancellation of the contract</w:t>
      </w:r>
      <w:r w:rsidR="006D4929">
        <w:rPr>
          <w:lang w:val="en-GB"/>
        </w:rPr>
        <w:t>,</w:t>
      </w:r>
      <w:r w:rsidR="00C9016B">
        <w:rPr>
          <w:lang w:val="en-GB"/>
        </w:rPr>
        <w:t xml:space="preserve"> eviction and forfeiture of amounts already paid</w:t>
      </w:r>
      <w:r w:rsidR="00C71DEC">
        <w:rPr>
          <w:lang w:val="en-GB"/>
        </w:rPr>
        <w:t xml:space="preserve"> by the applicants</w:t>
      </w:r>
      <w:r w:rsidR="00C9016B">
        <w:rPr>
          <w:lang w:val="en-GB"/>
        </w:rPr>
        <w:t>,</w:t>
      </w:r>
      <w:r w:rsidR="006D4929">
        <w:rPr>
          <w:lang w:val="en-GB"/>
        </w:rPr>
        <w:t xml:space="preserve"> obtaining judgment on 3 April 2008.</w:t>
      </w:r>
      <w:r w:rsidR="00C421D8">
        <w:rPr>
          <w:lang w:val="en-GB"/>
        </w:rPr>
        <w:t xml:space="preserve"> Only on 21 May 2008 did the applicant exercise her rights by demanding transfer </w:t>
      </w:r>
      <w:r w:rsidR="00C421D8">
        <w:rPr>
          <w:lang w:val="en-GB"/>
        </w:rPr>
        <w:lastRenderedPageBreak/>
        <w:t>in terms of s 27(1) of the Act.</w:t>
      </w:r>
      <w:r w:rsidR="00BA592A">
        <w:rPr>
          <w:rStyle w:val="FootnoteReference"/>
          <w:lang w:val="en-GB"/>
        </w:rPr>
        <w:footnoteReference w:id="25"/>
      </w:r>
      <w:r w:rsidR="00C421D8">
        <w:rPr>
          <w:lang w:val="en-GB"/>
        </w:rPr>
        <w:t xml:space="preserve"> </w:t>
      </w:r>
      <w:r w:rsidR="0078683E">
        <w:rPr>
          <w:lang w:val="en-GB"/>
        </w:rPr>
        <w:t xml:space="preserve">In other words, as in the present circumstances, a term implied by law was invoked </w:t>
      </w:r>
      <w:r w:rsidR="001C131E">
        <w:rPr>
          <w:lang w:val="en-GB"/>
        </w:rPr>
        <w:t xml:space="preserve">only </w:t>
      </w:r>
      <w:r w:rsidR="00F13F13">
        <w:rPr>
          <w:lang w:val="en-GB"/>
        </w:rPr>
        <w:t>after the purported cancellation of the agreement of sale.</w:t>
      </w:r>
      <w:r w:rsidR="00B359ED">
        <w:rPr>
          <w:lang w:val="en-GB"/>
        </w:rPr>
        <w:t xml:space="preserve"> </w:t>
      </w:r>
      <w:r w:rsidR="00911469">
        <w:rPr>
          <w:lang w:val="en-GB"/>
        </w:rPr>
        <w:t xml:space="preserve">The Constitutional Court’s views as to the cancellation itself support </w:t>
      </w:r>
      <w:r w:rsidR="00A343CE">
        <w:rPr>
          <w:lang w:val="en-GB"/>
        </w:rPr>
        <w:t>the</w:t>
      </w:r>
      <w:r w:rsidR="00911469">
        <w:rPr>
          <w:lang w:val="en-GB"/>
        </w:rPr>
        <w:t xml:space="preserve"> conclusion</w:t>
      </w:r>
      <w:r w:rsidR="00A343CE">
        <w:rPr>
          <w:lang w:val="en-GB"/>
        </w:rPr>
        <w:t xml:space="preserve"> that </w:t>
      </w:r>
      <w:r w:rsidR="00FB539D">
        <w:rPr>
          <w:lang w:val="en-GB"/>
        </w:rPr>
        <w:t>whether</w:t>
      </w:r>
      <w:r w:rsidR="00A343CE">
        <w:rPr>
          <w:lang w:val="en-GB"/>
        </w:rPr>
        <w:t xml:space="preserve"> the s 27(1) right was invoked before or after purported cancellation is </w:t>
      </w:r>
      <w:r w:rsidR="00C0755D">
        <w:rPr>
          <w:lang w:val="en-GB"/>
        </w:rPr>
        <w:t>not determinative</w:t>
      </w:r>
      <w:r w:rsidR="00A343CE">
        <w:rPr>
          <w:lang w:val="en-GB"/>
        </w:rPr>
        <w:t xml:space="preserve"> of the issue.</w:t>
      </w:r>
      <w:r w:rsidR="00C33395">
        <w:rPr>
          <w:lang w:val="en-GB"/>
        </w:rPr>
        <w:t xml:space="preserve"> </w:t>
      </w:r>
    </w:p>
    <w:p w14:paraId="06BFF383" w14:textId="77777777" w:rsidR="00FB539D" w:rsidRPr="00FB539D" w:rsidRDefault="00FB539D" w:rsidP="00FB539D">
      <w:pPr>
        <w:pStyle w:val="ListParagraph"/>
        <w:rPr>
          <w:lang w:val="en-GB"/>
        </w:rPr>
      </w:pPr>
    </w:p>
    <w:p w14:paraId="0CEDA62F" w14:textId="280A3DDC" w:rsidR="00BF026D" w:rsidRPr="002921E9" w:rsidRDefault="00C33395" w:rsidP="002921E9">
      <w:pPr>
        <w:pStyle w:val="ListParagraph"/>
        <w:numPr>
          <w:ilvl w:val="0"/>
          <w:numId w:val="10"/>
        </w:numPr>
        <w:autoSpaceDE w:val="0"/>
        <w:autoSpaceDN w:val="0"/>
        <w:adjustRightInd w:val="0"/>
        <w:ind w:left="0" w:firstLine="0"/>
        <w:jc w:val="both"/>
        <w:rPr>
          <w:lang w:val="en-GB"/>
        </w:rPr>
      </w:pPr>
      <w:r w:rsidRPr="002921E9">
        <w:rPr>
          <w:lang w:val="en-GB"/>
        </w:rPr>
        <w:t>As for the second argument raised,</w:t>
      </w:r>
      <w:r w:rsidR="002921E9">
        <w:rPr>
          <w:lang w:val="en-GB"/>
        </w:rPr>
        <w:t xml:space="preserve"> </w:t>
      </w:r>
      <w:r w:rsidR="004629FC">
        <w:rPr>
          <w:lang w:val="en-GB"/>
        </w:rPr>
        <w:t xml:space="preserve">there is authority that the right to specific performance flows from the contract itself, so that a creditor in the position of the school may, therefore, institute proceedings by summons or notice of motion claiming such performance without first putting the debtor </w:t>
      </w:r>
      <w:r w:rsidR="004629FC" w:rsidRPr="0069390B">
        <w:rPr>
          <w:lang w:val="en-GB"/>
        </w:rPr>
        <w:t>in</w:t>
      </w:r>
      <w:r w:rsidR="004629FC">
        <w:rPr>
          <w:i/>
          <w:iCs/>
          <w:lang w:val="en-GB"/>
        </w:rPr>
        <w:t xml:space="preserve"> mora</w:t>
      </w:r>
      <w:r w:rsidR="004979E7">
        <w:rPr>
          <w:i/>
          <w:iCs/>
          <w:lang w:val="en-GB"/>
        </w:rPr>
        <w:t xml:space="preserve"> </w:t>
      </w:r>
      <w:r w:rsidR="004979E7">
        <w:rPr>
          <w:lang w:val="en-GB"/>
        </w:rPr>
        <w:t>by way of a separate notice</w:t>
      </w:r>
      <w:r w:rsidR="004629FC">
        <w:rPr>
          <w:lang w:val="en-GB"/>
        </w:rPr>
        <w:t>.</w:t>
      </w:r>
      <w:r w:rsidR="004629FC">
        <w:rPr>
          <w:rStyle w:val="FootnoteReference"/>
          <w:lang w:val="en-GB"/>
        </w:rPr>
        <w:footnoteReference w:id="26"/>
      </w:r>
      <w:r w:rsidR="004629FC">
        <w:rPr>
          <w:lang w:val="en-GB"/>
        </w:rPr>
        <w:t xml:space="preserve"> </w:t>
      </w:r>
      <w:r w:rsidR="00353696">
        <w:rPr>
          <w:lang w:val="en-GB"/>
        </w:rPr>
        <w:t>Accepting that authority as correct, the need for a ‘demand’</w:t>
      </w:r>
      <w:r w:rsidR="006E0ECE">
        <w:rPr>
          <w:lang w:val="en-GB"/>
        </w:rPr>
        <w:t xml:space="preserve"> in the form of a notice</w:t>
      </w:r>
      <w:r w:rsidR="00353696">
        <w:rPr>
          <w:lang w:val="en-GB"/>
        </w:rPr>
        <w:t xml:space="preserve">, as </w:t>
      </w:r>
      <w:r w:rsidR="006E0ECE">
        <w:rPr>
          <w:lang w:val="en-GB"/>
        </w:rPr>
        <w:t>seemingly argued by the trust</w:t>
      </w:r>
      <w:r w:rsidR="00353696">
        <w:rPr>
          <w:lang w:val="en-GB"/>
        </w:rPr>
        <w:t xml:space="preserve">, may be read to relate only to the other possible remedies, as flowing from s 27(3) and s 28(1) of the Act. </w:t>
      </w:r>
      <w:r w:rsidR="00E503CD">
        <w:rPr>
          <w:lang w:val="en-GB"/>
        </w:rPr>
        <w:t>The decision</w:t>
      </w:r>
      <w:r w:rsidR="003A5865" w:rsidRPr="002921E9">
        <w:rPr>
          <w:lang w:val="en-GB"/>
        </w:rPr>
        <w:t xml:space="preserve"> in </w:t>
      </w:r>
      <w:r w:rsidR="003A5865" w:rsidRPr="002921E9">
        <w:rPr>
          <w:i/>
          <w:iCs/>
          <w:lang w:val="en-GB"/>
        </w:rPr>
        <w:t xml:space="preserve">Chetty v Erf 311, </w:t>
      </w:r>
      <w:proofErr w:type="spellStart"/>
      <w:r w:rsidR="003A5865" w:rsidRPr="002921E9">
        <w:rPr>
          <w:i/>
          <w:iCs/>
          <w:lang w:val="en-GB"/>
        </w:rPr>
        <w:t>Southcrest</w:t>
      </w:r>
      <w:proofErr w:type="spellEnd"/>
      <w:r w:rsidR="003A5865" w:rsidRPr="002921E9">
        <w:rPr>
          <w:i/>
          <w:iCs/>
          <w:lang w:val="en-GB"/>
        </w:rPr>
        <w:t xml:space="preserve"> CC</w:t>
      </w:r>
      <w:r w:rsidR="003A5865" w:rsidRPr="002921E9">
        <w:rPr>
          <w:lang w:val="en-GB"/>
        </w:rPr>
        <w:t xml:space="preserve"> is direct authority for the proposition that a </w:t>
      </w:r>
      <w:r w:rsidR="00A417B4">
        <w:rPr>
          <w:lang w:val="en-GB"/>
        </w:rPr>
        <w:t>‘</w:t>
      </w:r>
      <w:r w:rsidR="003A5865" w:rsidRPr="002921E9">
        <w:rPr>
          <w:lang w:val="en-GB"/>
        </w:rPr>
        <w:t>demand</w:t>
      </w:r>
      <w:r w:rsidR="00A417B4">
        <w:rPr>
          <w:lang w:val="en-GB"/>
        </w:rPr>
        <w:t>’</w:t>
      </w:r>
      <w:r w:rsidR="003A5865" w:rsidRPr="002921E9">
        <w:rPr>
          <w:lang w:val="en-GB"/>
        </w:rPr>
        <w:t xml:space="preserve"> for transfer in terms of s 27(1) may be made for the first time in a notice of motion</w:t>
      </w:r>
      <w:r w:rsidR="0003113F">
        <w:rPr>
          <w:lang w:val="en-GB"/>
        </w:rPr>
        <w:t>, and without a preceding notice</w:t>
      </w:r>
      <w:r w:rsidR="008D21E2">
        <w:rPr>
          <w:lang w:val="en-GB"/>
        </w:rPr>
        <w:t>, thereby interrupting prescription</w:t>
      </w:r>
      <w:r w:rsidR="004C5DB3" w:rsidRPr="002921E9">
        <w:rPr>
          <w:lang w:val="en-GB"/>
        </w:rPr>
        <w:t xml:space="preserve">. Following a survey of decided cases, the court in that matter concluded that there was no reason why a claim for specific performance without a prior demand </w:t>
      </w:r>
      <w:r w:rsidR="00C805E9">
        <w:rPr>
          <w:lang w:val="en-GB"/>
        </w:rPr>
        <w:t>(</w:t>
      </w:r>
      <w:proofErr w:type="gramStart"/>
      <w:r w:rsidR="00C805E9">
        <w:rPr>
          <w:lang w:val="en-GB"/>
        </w:rPr>
        <w:t>i.e.</w:t>
      </w:r>
      <w:proofErr w:type="gramEnd"/>
      <w:r w:rsidR="00C805E9">
        <w:rPr>
          <w:lang w:val="en-GB"/>
        </w:rPr>
        <w:t xml:space="preserve"> </w:t>
      </w:r>
      <w:proofErr w:type="spellStart"/>
      <w:r w:rsidR="00C805E9">
        <w:rPr>
          <w:i/>
          <w:iCs/>
          <w:lang w:val="en-GB"/>
        </w:rPr>
        <w:t>interpellatio</w:t>
      </w:r>
      <w:proofErr w:type="spellEnd"/>
      <w:r w:rsidR="00C805E9">
        <w:rPr>
          <w:i/>
          <w:iCs/>
          <w:lang w:val="en-GB"/>
        </w:rPr>
        <w:t xml:space="preserve"> extra </w:t>
      </w:r>
      <w:proofErr w:type="spellStart"/>
      <w:r w:rsidR="00C805E9">
        <w:rPr>
          <w:i/>
          <w:iCs/>
          <w:lang w:val="en-GB"/>
        </w:rPr>
        <w:t>iudicialis</w:t>
      </w:r>
      <w:proofErr w:type="spellEnd"/>
      <w:r w:rsidR="00C805E9">
        <w:rPr>
          <w:lang w:val="en-GB"/>
        </w:rPr>
        <w:t>)</w:t>
      </w:r>
      <w:r w:rsidR="00C805E9">
        <w:rPr>
          <w:i/>
          <w:iCs/>
          <w:lang w:val="en-GB"/>
        </w:rPr>
        <w:t xml:space="preserve"> </w:t>
      </w:r>
      <w:r w:rsidR="004C5DB3" w:rsidRPr="002921E9">
        <w:rPr>
          <w:lang w:val="en-GB"/>
        </w:rPr>
        <w:t xml:space="preserve">would be prohibited where such </w:t>
      </w:r>
      <w:r w:rsidR="00A018CB">
        <w:rPr>
          <w:lang w:val="en-GB"/>
        </w:rPr>
        <w:t>‘</w:t>
      </w:r>
      <w:r w:rsidR="004C5DB3" w:rsidRPr="002921E9">
        <w:rPr>
          <w:lang w:val="en-GB"/>
        </w:rPr>
        <w:t>demand</w:t>
      </w:r>
      <w:r w:rsidR="00A018CB">
        <w:rPr>
          <w:lang w:val="en-GB"/>
        </w:rPr>
        <w:t>’</w:t>
      </w:r>
      <w:r w:rsidR="004C5DB3" w:rsidRPr="002921E9">
        <w:rPr>
          <w:lang w:val="en-GB"/>
        </w:rPr>
        <w:t xml:space="preserve"> is contained in the notice of motion itself.</w:t>
      </w:r>
      <w:r w:rsidR="004C5DB3">
        <w:rPr>
          <w:rStyle w:val="FootnoteReference"/>
          <w:lang w:val="en-GB"/>
        </w:rPr>
        <w:footnoteReference w:id="27"/>
      </w:r>
      <w:r w:rsidR="00A22D42" w:rsidRPr="002921E9">
        <w:rPr>
          <w:lang w:val="en-GB"/>
        </w:rPr>
        <w:t xml:space="preserve"> </w:t>
      </w:r>
    </w:p>
    <w:p w14:paraId="140D1864" w14:textId="77777777" w:rsidR="00BF026D" w:rsidRPr="00BF026D" w:rsidRDefault="00BF026D" w:rsidP="00BF026D">
      <w:pPr>
        <w:pStyle w:val="ListParagraph"/>
        <w:rPr>
          <w:lang w:val="en-GB"/>
        </w:rPr>
      </w:pPr>
    </w:p>
    <w:p w14:paraId="556D7A76" w14:textId="77777777" w:rsidR="00151385" w:rsidRDefault="00D66AD5" w:rsidP="000E0A34">
      <w:pPr>
        <w:pStyle w:val="ListParagraph"/>
        <w:numPr>
          <w:ilvl w:val="0"/>
          <w:numId w:val="10"/>
        </w:numPr>
        <w:autoSpaceDE w:val="0"/>
        <w:autoSpaceDN w:val="0"/>
        <w:adjustRightInd w:val="0"/>
        <w:ind w:left="0" w:firstLine="0"/>
        <w:jc w:val="both"/>
        <w:rPr>
          <w:lang w:val="en-GB"/>
        </w:rPr>
      </w:pPr>
      <w:r w:rsidRPr="000E0A34">
        <w:rPr>
          <w:lang w:val="en-GB"/>
        </w:rPr>
        <w:t>Service of t</w:t>
      </w:r>
      <w:r w:rsidR="00A22D42" w:rsidRPr="000E0A34">
        <w:rPr>
          <w:lang w:val="en-GB"/>
        </w:rPr>
        <w:t xml:space="preserve">he notice of motion, in other words, constitutes </w:t>
      </w:r>
      <w:r w:rsidR="009112B1" w:rsidRPr="000E0A34">
        <w:rPr>
          <w:lang w:val="en-GB"/>
        </w:rPr>
        <w:t xml:space="preserve">a </w:t>
      </w:r>
      <w:r w:rsidR="00A22D42" w:rsidRPr="000E0A34">
        <w:rPr>
          <w:lang w:val="en-GB"/>
        </w:rPr>
        <w:t xml:space="preserve">demand </w:t>
      </w:r>
      <w:r w:rsidR="00E22906" w:rsidRPr="000E0A34">
        <w:rPr>
          <w:lang w:val="en-GB"/>
        </w:rPr>
        <w:t xml:space="preserve">for purposes of s 27(1) </w:t>
      </w:r>
      <w:r w:rsidR="009112B1" w:rsidRPr="000E0A34">
        <w:rPr>
          <w:lang w:val="en-GB"/>
        </w:rPr>
        <w:t xml:space="preserve">based on the contractual right implied by </w:t>
      </w:r>
      <w:r w:rsidR="00E22906" w:rsidRPr="000E0A34">
        <w:rPr>
          <w:lang w:val="en-GB"/>
        </w:rPr>
        <w:t xml:space="preserve">that </w:t>
      </w:r>
      <w:r w:rsidR="00E071E8" w:rsidRPr="000E0A34">
        <w:rPr>
          <w:lang w:val="en-GB"/>
        </w:rPr>
        <w:t>section</w:t>
      </w:r>
      <w:r w:rsidR="009112B1" w:rsidRPr="000E0A34">
        <w:rPr>
          <w:lang w:val="en-GB"/>
        </w:rPr>
        <w:t>.</w:t>
      </w:r>
      <w:r w:rsidR="000E0A34">
        <w:rPr>
          <w:lang w:val="en-GB"/>
        </w:rPr>
        <w:t xml:space="preserve"> That occurred on or about 20 October 2022. </w:t>
      </w:r>
      <w:r w:rsidR="009112B1" w:rsidRPr="000E0A34">
        <w:rPr>
          <w:lang w:val="en-GB"/>
        </w:rPr>
        <w:t xml:space="preserve"> T</w:t>
      </w:r>
      <w:r w:rsidR="00A22D42" w:rsidRPr="000E0A34">
        <w:rPr>
          <w:lang w:val="en-GB"/>
        </w:rPr>
        <w:t xml:space="preserve">here </w:t>
      </w:r>
      <w:r w:rsidR="009112B1" w:rsidRPr="000E0A34">
        <w:rPr>
          <w:lang w:val="en-GB"/>
        </w:rPr>
        <w:t>wa</w:t>
      </w:r>
      <w:r w:rsidR="00A22D42" w:rsidRPr="000E0A34">
        <w:rPr>
          <w:lang w:val="en-GB"/>
        </w:rPr>
        <w:t>s no need for an extrajudicial notice of demand absent a contractual or statutory basis for this.</w:t>
      </w:r>
      <w:r w:rsidR="00324A31">
        <w:rPr>
          <w:rStyle w:val="FootnoteReference"/>
          <w:lang w:val="en-GB"/>
        </w:rPr>
        <w:footnoteReference w:id="28"/>
      </w:r>
      <w:r w:rsidR="00C70128" w:rsidRPr="000E0A34">
        <w:rPr>
          <w:lang w:val="en-GB"/>
        </w:rPr>
        <w:t xml:space="preserve"> </w:t>
      </w:r>
    </w:p>
    <w:p w14:paraId="63FFDB4E" w14:textId="77777777" w:rsidR="000E0A34" w:rsidRPr="000E0A34" w:rsidRDefault="000E0A34" w:rsidP="000E0A34">
      <w:pPr>
        <w:pStyle w:val="ListParagraph"/>
        <w:autoSpaceDE w:val="0"/>
        <w:autoSpaceDN w:val="0"/>
        <w:adjustRightInd w:val="0"/>
        <w:ind w:left="0"/>
        <w:jc w:val="both"/>
        <w:rPr>
          <w:lang w:val="en-GB"/>
        </w:rPr>
      </w:pPr>
    </w:p>
    <w:p w14:paraId="698D2264" w14:textId="77777777" w:rsidR="00C616B5" w:rsidRDefault="00BF026D" w:rsidP="00823CFE">
      <w:pPr>
        <w:pStyle w:val="ListParagraph"/>
        <w:numPr>
          <w:ilvl w:val="0"/>
          <w:numId w:val="10"/>
        </w:numPr>
        <w:autoSpaceDE w:val="0"/>
        <w:autoSpaceDN w:val="0"/>
        <w:adjustRightInd w:val="0"/>
        <w:ind w:left="0" w:firstLine="0"/>
        <w:jc w:val="both"/>
        <w:rPr>
          <w:lang w:val="en-GB"/>
        </w:rPr>
      </w:pPr>
      <w:r>
        <w:rPr>
          <w:lang w:val="en-GB"/>
        </w:rPr>
        <w:t>In my view, the wording of the Act</w:t>
      </w:r>
      <w:r w:rsidR="00E96990">
        <w:rPr>
          <w:lang w:val="en-GB"/>
        </w:rPr>
        <w:t xml:space="preserve">, and the decision in </w:t>
      </w:r>
      <w:r w:rsidR="00E96990">
        <w:rPr>
          <w:i/>
          <w:iCs/>
          <w:lang w:val="en-GB"/>
        </w:rPr>
        <w:t>Botha</w:t>
      </w:r>
      <w:r w:rsidR="00E96990">
        <w:rPr>
          <w:lang w:val="en-GB"/>
        </w:rPr>
        <w:t>,</w:t>
      </w:r>
      <w:r w:rsidR="00E96990">
        <w:rPr>
          <w:i/>
          <w:iCs/>
          <w:lang w:val="en-GB"/>
        </w:rPr>
        <w:t xml:space="preserve"> </w:t>
      </w:r>
      <w:r>
        <w:rPr>
          <w:lang w:val="en-GB"/>
        </w:rPr>
        <w:t>supports this interpretation.</w:t>
      </w:r>
      <w:r w:rsidR="00D07BB5">
        <w:rPr>
          <w:lang w:val="en-GB"/>
        </w:rPr>
        <w:t xml:space="preserve"> For example, unlike s 19</w:t>
      </w:r>
      <w:r w:rsidR="00EF1D99">
        <w:rPr>
          <w:lang w:val="en-GB"/>
        </w:rPr>
        <w:t xml:space="preserve"> of the Act, s 27(1) makes no provision for the </w:t>
      </w:r>
      <w:r w:rsidR="00EF1D99">
        <w:rPr>
          <w:lang w:val="en-GB"/>
        </w:rPr>
        <w:lastRenderedPageBreak/>
        <w:t>‘demand’ to be issued by way of ‘letter’ or ‘notice</w:t>
      </w:r>
      <w:proofErr w:type="gramStart"/>
      <w:r w:rsidR="00EF1D99">
        <w:rPr>
          <w:lang w:val="en-GB"/>
        </w:rPr>
        <w:t>’, and</w:t>
      </w:r>
      <w:proofErr w:type="gramEnd"/>
      <w:r w:rsidR="00EF1D99">
        <w:rPr>
          <w:lang w:val="en-GB"/>
        </w:rPr>
        <w:t xml:space="preserve"> does not refer to any specific manner of communication.</w:t>
      </w:r>
      <w:r w:rsidR="00445C32">
        <w:rPr>
          <w:rStyle w:val="FootnoteReference"/>
          <w:lang w:val="en-GB"/>
        </w:rPr>
        <w:footnoteReference w:id="29"/>
      </w:r>
      <w:r w:rsidR="00176BD0">
        <w:rPr>
          <w:lang w:val="en-GB"/>
        </w:rPr>
        <w:t xml:space="preserve"> </w:t>
      </w:r>
      <w:r w:rsidR="00176BD0">
        <w:rPr>
          <w:i/>
          <w:iCs/>
          <w:lang w:val="en-GB"/>
        </w:rPr>
        <w:t>Botha</w:t>
      </w:r>
      <w:r w:rsidR="00176BD0">
        <w:rPr>
          <w:lang w:val="en-GB"/>
        </w:rPr>
        <w:t>, in detailing the necessary jurisdictional prerequisites,</w:t>
      </w:r>
      <w:r w:rsidR="00176BD0">
        <w:rPr>
          <w:i/>
          <w:iCs/>
          <w:lang w:val="en-GB"/>
        </w:rPr>
        <w:t xml:space="preserve"> </w:t>
      </w:r>
      <w:r w:rsidR="00176BD0">
        <w:rPr>
          <w:lang w:val="en-GB"/>
        </w:rPr>
        <w:t xml:space="preserve">makes no reference to a </w:t>
      </w:r>
      <w:r w:rsidR="005654A6">
        <w:rPr>
          <w:lang w:val="en-GB"/>
        </w:rPr>
        <w:t>separate, preceding demand.</w:t>
      </w:r>
      <w:r w:rsidR="00C616B5">
        <w:rPr>
          <w:lang w:val="en-GB"/>
        </w:rPr>
        <w:t xml:space="preserve"> </w:t>
      </w:r>
    </w:p>
    <w:p w14:paraId="666D351C" w14:textId="77777777" w:rsidR="00C616B5" w:rsidRPr="00C616B5" w:rsidRDefault="00C616B5" w:rsidP="00C616B5">
      <w:pPr>
        <w:pStyle w:val="ListParagraph"/>
        <w:rPr>
          <w:lang w:val="en-GB"/>
        </w:rPr>
      </w:pPr>
    </w:p>
    <w:p w14:paraId="069B6AC3" w14:textId="2E8554F5" w:rsidR="00C616B5" w:rsidRPr="00C616B5" w:rsidRDefault="00C616B5" w:rsidP="00C616B5">
      <w:pPr>
        <w:pStyle w:val="ListParagraph"/>
        <w:numPr>
          <w:ilvl w:val="0"/>
          <w:numId w:val="10"/>
        </w:numPr>
        <w:autoSpaceDE w:val="0"/>
        <w:autoSpaceDN w:val="0"/>
        <w:adjustRightInd w:val="0"/>
        <w:ind w:left="0" w:firstLine="0"/>
        <w:jc w:val="both"/>
        <w:rPr>
          <w:lang w:val="en-GB"/>
        </w:rPr>
      </w:pPr>
      <w:r>
        <w:rPr>
          <w:lang w:val="en-GB"/>
        </w:rPr>
        <w:t xml:space="preserve">It might be added that the trust noted, in </w:t>
      </w:r>
      <w:r w:rsidR="00370E14">
        <w:rPr>
          <w:lang w:val="en-GB"/>
        </w:rPr>
        <w:t xml:space="preserve">a single </w:t>
      </w:r>
      <w:r w:rsidR="007D5178">
        <w:rPr>
          <w:lang w:val="en-GB"/>
        </w:rPr>
        <w:t>sentence</w:t>
      </w:r>
      <w:r w:rsidR="00370E14">
        <w:rPr>
          <w:lang w:val="en-GB"/>
        </w:rPr>
        <w:t xml:space="preserve"> contained in </w:t>
      </w:r>
      <w:r>
        <w:rPr>
          <w:lang w:val="en-GB"/>
        </w:rPr>
        <w:t xml:space="preserve">supplementary heads of argument, </w:t>
      </w:r>
      <w:r w:rsidRPr="00C616B5">
        <w:rPr>
          <w:lang w:val="en-US"/>
        </w:rPr>
        <w:t>that the</w:t>
      </w:r>
      <w:r w:rsidR="00B92533">
        <w:rPr>
          <w:lang w:val="en-US"/>
        </w:rPr>
        <w:t xml:space="preserve"> third jurisdictional </w:t>
      </w:r>
      <w:r w:rsidR="00A82011">
        <w:rPr>
          <w:lang w:val="en-US"/>
        </w:rPr>
        <w:t xml:space="preserve">fact </w:t>
      </w:r>
      <w:r w:rsidR="00B92533">
        <w:rPr>
          <w:lang w:val="en-US"/>
        </w:rPr>
        <w:t>(</w:t>
      </w:r>
      <w:proofErr w:type="gramStart"/>
      <w:r w:rsidR="00A82011">
        <w:rPr>
          <w:lang w:val="en-US"/>
        </w:rPr>
        <w:t>i.e.</w:t>
      </w:r>
      <w:proofErr w:type="gramEnd"/>
      <w:r w:rsidR="00A82011">
        <w:rPr>
          <w:lang w:val="en-US"/>
        </w:rPr>
        <w:t xml:space="preserve"> </w:t>
      </w:r>
      <w:r w:rsidR="00B92533">
        <w:rPr>
          <w:lang w:val="en-US"/>
        </w:rPr>
        <w:t>that the property was registrable)</w:t>
      </w:r>
      <w:r w:rsidRPr="00C616B5">
        <w:rPr>
          <w:lang w:val="en-US"/>
        </w:rPr>
        <w:t xml:space="preserve"> ha</w:t>
      </w:r>
      <w:r w:rsidR="00DC69DA">
        <w:rPr>
          <w:lang w:val="en-US"/>
        </w:rPr>
        <w:t>d</w:t>
      </w:r>
      <w:r w:rsidRPr="00C616B5">
        <w:rPr>
          <w:lang w:val="en-US"/>
        </w:rPr>
        <w:t xml:space="preserve"> not been pleaded</w:t>
      </w:r>
      <w:r w:rsidR="00ED775D">
        <w:rPr>
          <w:lang w:val="en-US"/>
        </w:rPr>
        <w:t>.</w:t>
      </w:r>
      <w:r w:rsidRPr="00C616B5">
        <w:rPr>
          <w:lang w:val="en-US"/>
        </w:rPr>
        <w:t xml:space="preserve"> </w:t>
      </w:r>
      <w:r w:rsidR="00225E70">
        <w:rPr>
          <w:lang w:val="en-US"/>
        </w:rPr>
        <w:t xml:space="preserve">In my view it is </w:t>
      </w:r>
      <w:r w:rsidR="00EC180B">
        <w:rPr>
          <w:lang w:val="en-US"/>
        </w:rPr>
        <w:t>unsurprising</w:t>
      </w:r>
      <w:r w:rsidR="00225E70">
        <w:rPr>
          <w:lang w:val="en-US"/>
        </w:rPr>
        <w:t xml:space="preserve"> that the point was not pressed. </w:t>
      </w:r>
      <w:r w:rsidR="00ED775D">
        <w:rPr>
          <w:lang w:val="en-US"/>
        </w:rPr>
        <w:t>T</w:t>
      </w:r>
      <w:r w:rsidRPr="00C616B5">
        <w:rPr>
          <w:lang w:val="en-US"/>
        </w:rPr>
        <w:t>here is nothing on the papers to suggest that the property in question is not registrable</w:t>
      </w:r>
      <w:r w:rsidR="0094716C">
        <w:rPr>
          <w:lang w:val="en-US"/>
        </w:rPr>
        <w:t>. I</w:t>
      </w:r>
      <w:r w:rsidRPr="00C616B5">
        <w:rPr>
          <w:lang w:val="en-US"/>
        </w:rPr>
        <w:t xml:space="preserve">t would </w:t>
      </w:r>
      <w:r w:rsidR="00211975">
        <w:rPr>
          <w:lang w:val="en-US"/>
        </w:rPr>
        <w:t xml:space="preserve">be </w:t>
      </w:r>
      <w:r w:rsidRPr="00C616B5">
        <w:rPr>
          <w:lang w:val="en-US"/>
        </w:rPr>
        <w:t>wholly inappropriate to construe the pleadings strictly so as to deprive the school</w:t>
      </w:r>
      <w:r w:rsidR="00854080">
        <w:rPr>
          <w:lang w:val="en-US"/>
        </w:rPr>
        <w:t xml:space="preserve"> of the relief it seeks purely on this basis</w:t>
      </w:r>
      <w:r w:rsidR="00A22E25">
        <w:rPr>
          <w:lang w:val="en-US"/>
        </w:rPr>
        <w:t xml:space="preserve">, and in circumstances where it has paid, and would </w:t>
      </w:r>
      <w:r w:rsidR="0040656C">
        <w:rPr>
          <w:lang w:val="en-US"/>
        </w:rPr>
        <w:t xml:space="preserve">likely </w:t>
      </w:r>
      <w:r w:rsidR="00A22E25">
        <w:rPr>
          <w:lang w:val="en-US"/>
        </w:rPr>
        <w:t>forfeit, some 85</w:t>
      </w:r>
      <w:r w:rsidR="00D8260E">
        <w:rPr>
          <w:lang w:val="en-US"/>
        </w:rPr>
        <w:t xml:space="preserve"> per cent</w:t>
      </w:r>
      <w:r w:rsidR="00A22E25">
        <w:rPr>
          <w:lang w:val="en-US"/>
        </w:rPr>
        <w:t xml:space="preserve"> of the purchase price</w:t>
      </w:r>
      <w:r w:rsidR="0040656C">
        <w:rPr>
          <w:lang w:val="en-US"/>
        </w:rPr>
        <w:t>.</w:t>
      </w:r>
    </w:p>
    <w:p w14:paraId="135B6A6C" w14:textId="77777777" w:rsidR="006A314F" w:rsidRDefault="006A314F" w:rsidP="006A314F">
      <w:pPr>
        <w:pStyle w:val="ListParagraph"/>
        <w:autoSpaceDE w:val="0"/>
        <w:autoSpaceDN w:val="0"/>
        <w:adjustRightInd w:val="0"/>
        <w:ind w:left="0"/>
        <w:jc w:val="both"/>
        <w:rPr>
          <w:lang w:val="en-GB"/>
        </w:rPr>
      </w:pPr>
    </w:p>
    <w:p w14:paraId="350E71D3" w14:textId="77777777" w:rsidR="0094164C" w:rsidRDefault="006A314F" w:rsidP="00823CFE">
      <w:pPr>
        <w:pStyle w:val="ListParagraph"/>
        <w:numPr>
          <w:ilvl w:val="0"/>
          <w:numId w:val="10"/>
        </w:numPr>
        <w:autoSpaceDE w:val="0"/>
        <w:autoSpaceDN w:val="0"/>
        <w:adjustRightInd w:val="0"/>
        <w:ind w:left="0" w:firstLine="0"/>
        <w:jc w:val="both"/>
        <w:rPr>
          <w:lang w:val="en-GB"/>
        </w:rPr>
      </w:pPr>
      <w:r>
        <w:rPr>
          <w:lang w:val="en-GB"/>
        </w:rPr>
        <w:t xml:space="preserve">The decision in </w:t>
      </w:r>
      <w:r>
        <w:rPr>
          <w:i/>
          <w:iCs/>
          <w:lang w:val="en-GB"/>
        </w:rPr>
        <w:t>Botha</w:t>
      </w:r>
      <w:r>
        <w:rPr>
          <w:lang w:val="en-GB"/>
        </w:rPr>
        <w:t xml:space="preserve"> has been the subject of extensive </w:t>
      </w:r>
      <w:r w:rsidR="002D673E">
        <w:rPr>
          <w:lang w:val="en-GB"/>
        </w:rPr>
        <w:t>consideration</w:t>
      </w:r>
      <w:r>
        <w:rPr>
          <w:lang w:val="en-GB"/>
        </w:rPr>
        <w:t xml:space="preserve">, also by the Constitutional Court itself. </w:t>
      </w:r>
      <w:proofErr w:type="spellStart"/>
      <w:r w:rsidR="006C439B">
        <w:rPr>
          <w:i/>
          <w:iCs/>
          <w:lang w:val="en-GB"/>
        </w:rPr>
        <w:t>Beadica</w:t>
      </w:r>
      <w:proofErr w:type="spellEnd"/>
      <w:r w:rsidR="006C439B">
        <w:rPr>
          <w:i/>
          <w:iCs/>
          <w:lang w:val="en-GB"/>
        </w:rPr>
        <w:t xml:space="preserve"> 231 CC and </w:t>
      </w:r>
      <w:proofErr w:type="gramStart"/>
      <w:r w:rsidR="006C439B">
        <w:rPr>
          <w:i/>
          <w:iCs/>
          <w:lang w:val="en-GB"/>
        </w:rPr>
        <w:t>Others v</w:t>
      </w:r>
      <w:proofErr w:type="gramEnd"/>
      <w:r w:rsidR="006C439B">
        <w:rPr>
          <w:i/>
          <w:iCs/>
          <w:lang w:val="en-GB"/>
        </w:rPr>
        <w:t xml:space="preserve"> Trustees, Oregon Trust and Others</w:t>
      </w:r>
      <w:r w:rsidR="006C439B" w:rsidRPr="00B67AD5">
        <w:rPr>
          <w:rStyle w:val="FootnoteReference"/>
          <w:lang w:val="en-GB"/>
        </w:rPr>
        <w:footnoteReference w:id="30"/>
      </w:r>
      <w:r w:rsidR="001E32E6">
        <w:rPr>
          <w:lang w:val="en-GB"/>
        </w:rPr>
        <w:t xml:space="preserve"> (‘</w:t>
      </w:r>
      <w:proofErr w:type="spellStart"/>
      <w:r w:rsidR="001E32E6">
        <w:rPr>
          <w:i/>
          <w:iCs/>
          <w:lang w:val="en-GB"/>
        </w:rPr>
        <w:t>Beadica</w:t>
      </w:r>
      <w:proofErr w:type="spellEnd"/>
      <w:r w:rsidR="001E32E6">
        <w:rPr>
          <w:lang w:val="en-GB"/>
        </w:rPr>
        <w:t>’)</w:t>
      </w:r>
      <w:r w:rsidR="00B67AD5">
        <w:rPr>
          <w:lang w:val="en-GB"/>
        </w:rPr>
        <w:t xml:space="preserve"> concerned the proper constitutional approach to the judicial enforcement of contractual terms and</w:t>
      </w:r>
      <w:r w:rsidR="00953611">
        <w:rPr>
          <w:lang w:val="en-GB"/>
        </w:rPr>
        <w:t xml:space="preserve"> the</w:t>
      </w:r>
      <w:r w:rsidR="00B67AD5">
        <w:rPr>
          <w:lang w:val="en-GB"/>
        </w:rPr>
        <w:t xml:space="preserve"> public policy grounds upon which a court may refuse to enforce these terms.</w:t>
      </w:r>
      <w:r w:rsidR="00A8347C">
        <w:rPr>
          <w:rStyle w:val="FootnoteReference"/>
          <w:lang w:val="en-GB"/>
        </w:rPr>
        <w:footnoteReference w:id="31"/>
      </w:r>
      <w:r w:rsidR="00953611">
        <w:rPr>
          <w:lang w:val="en-GB"/>
        </w:rPr>
        <w:t xml:space="preserve"> Theron J, on behalf of the majority, noted that </w:t>
      </w:r>
      <w:r w:rsidR="00953611">
        <w:rPr>
          <w:i/>
          <w:iCs/>
          <w:lang w:val="en-GB"/>
        </w:rPr>
        <w:t>Botha</w:t>
      </w:r>
      <w:r w:rsidR="00953611">
        <w:rPr>
          <w:lang w:val="en-GB"/>
        </w:rPr>
        <w:t xml:space="preserve"> had caused some controversy, and </w:t>
      </w:r>
      <w:r w:rsidR="009846C9">
        <w:rPr>
          <w:lang w:val="en-GB"/>
        </w:rPr>
        <w:t xml:space="preserve">therefore </w:t>
      </w:r>
      <w:r w:rsidR="00E92F23">
        <w:rPr>
          <w:lang w:val="en-GB"/>
        </w:rPr>
        <w:t>considered</w:t>
      </w:r>
      <w:r w:rsidR="00953611">
        <w:rPr>
          <w:lang w:val="en-GB"/>
        </w:rPr>
        <w:t xml:space="preserve"> th</w:t>
      </w:r>
      <w:r w:rsidR="009846C9">
        <w:rPr>
          <w:lang w:val="en-GB"/>
        </w:rPr>
        <w:t xml:space="preserve">at </w:t>
      </w:r>
      <w:r w:rsidR="005B0022">
        <w:rPr>
          <w:lang w:val="en-GB"/>
        </w:rPr>
        <w:t>judgment</w:t>
      </w:r>
      <w:r w:rsidR="00E92F23">
        <w:rPr>
          <w:lang w:val="en-GB"/>
        </w:rPr>
        <w:t xml:space="preserve"> in detail</w:t>
      </w:r>
      <w:r w:rsidR="00953611">
        <w:rPr>
          <w:lang w:val="en-GB"/>
        </w:rPr>
        <w:t>.</w:t>
      </w:r>
      <w:r w:rsidR="00E92F23">
        <w:rPr>
          <w:lang w:val="en-GB"/>
        </w:rPr>
        <w:t xml:space="preserve"> </w:t>
      </w:r>
    </w:p>
    <w:p w14:paraId="06317529" w14:textId="77777777" w:rsidR="0094164C" w:rsidRPr="0094164C" w:rsidRDefault="0094164C" w:rsidP="0094164C">
      <w:pPr>
        <w:pStyle w:val="ListParagraph"/>
        <w:rPr>
          <w:lang w:val="en-GB"/>
        </w:rPr>
      </w:pPr>
    </w:p>
    <w:p w14:paraId="326860A4" w14:textId="749A7AE4" w:rsidR="006A314F" w:rsidRDefault="00E92F23" w:rsidP="00823CFE">
      <w:pPr>
        <w:pStyle w:val="ListParagraph"/>
        <w:numPr>
          <w:ilvl w:val="0"/>
          <w:numId w:val="10"/>
        </w:numPr>
        <w:autoSpaceDE w:val="0"/>
        <w:autoSpaceDN w:val="0"/>
        <w:adjustRightInd w:val="0"/>
        <w:ind w:left="0" w:firstLine="0"/>
        <w:jc w:val="both"/>
        <w:rPr>
          <w:lang w:val="en-GB"/>
        </w:rPr>
      </w:pPr>
      <w:r>
        <w:rPr>
          <w:lang w:val="en-GB"/>
        </w:rPr>
        <w:t xml:space="preserve">The summary of </w:t>
      </w:r>
      <w:r>
        <w:rPr>
          <w:i/>
          <w:iCs/>
          <w:lang w:val="en-GB"/>
        </w:rPr>
        <w:t>Botha</w:t>
      </w:r>
      <w:r>
        <w:rPr>
          <w:lang w:val="en-GB"/>
        </w:rPr>
        <w:t xml:space="preserve"> in </w:t>
      </w:r>
      <w:proofErr w:type="spellStart"/>
      <w:r>
        <w:rPr>
          <w:i/>
          <w:iCs/>
          <w:lang w:val="en-GB"/>
        </w:rPr>
        <w:t>Beadica</w:t>
      </w:r>
      <w:proofErr w:type="spellEnd"/>
      <w:r>
        <w:rPr>
          <w:lang w:val="en-GB"/>
        </w:rPr>
        <w:t xml:space="preserve"> confirms that the present matter fit</w:t>
      </w:r>
      <w:r w:rsidR="00965463">
        <w:rPr>
          <w:lang w:val="en-GB"/>
        </w:rPr>
        <w:t>s</w:t>
      </w:r>
      <w:r>
        <w:rPr>
          <w:lang w:val="en-GB"/>
        </w:rPr>
        <w:t xml:space="preserve"> closely with the circumstances that persuaded the court in </w:t>
      </w:r>
      <w:r>
        <w:rPr>
          <w:i/>
          <w:iCs/>
          <w:lang w:val="en-GB"/>
        </w:rPr>
        <w:t xml:space="preserve">Botha </w:t>
      </w:r>
      <w:r>
        <w:rPr>
          <w:lang w:val="en-GB"/>
        </w:rPr>
        <w:t>to rule as it did.</w:t>
      </w:r>
      <w:r w:rsidR="00965463">
        <w:rPr>
          <w:lang w:val="en-GB"/>
        </w:rPr>
        <w:t xml:space="preserve"> </w:t>
      </w:r>
      <w:r w:rsidR="0010556E">
        <w:rPr>
          <w:lang w:val="en-GB"/>
        </w:rPr>
        <w:t xml:space="preserve">That decision offers a rich basis for approaching the present application. </w:t>
      </w:r>
      <w:r w:rsidR="00965463">
        <w:rPr>
          <w:lang w:val="en-GB"/>
        </w:rPr>
        <w:t>This is because of the school’s attempt to rely on the statutory regime created by s 27(1) of the Act</w:t>
      </w:r>
      <w:r w:rsidR="00C7338B">
        <w:rPr>
          <w:lang w:val="en-GB"/>
        </w:rPr>
        <w:t>, rather than placing reliance on s 27(3),</w:t>
      </w:r>
      <w:r w:rsidR="00965463">
        <w:rPr>
          <w:lang w:val="en-GB"/>
        </w:rPr>
        <w:t xml:space="preserve"> in circumstances where there had been default of payment of purchase price, and where the contract contained a cancellation clause coupled with forfeiture of any payments already made.</w:t>
      </w:r>
      <w:r w:rsidR="005A7E29">
        <w:rPr>
          <w:rStyle w:val="FootnoteReference"/>
          <w:lang w:val="en-GB"/>
        </w:rPr>
        <w:footnoteReference w:id="32"/>
      </w:r>
      <w:r w:rsidR="00A4035D">
        <w:rPr>
          <w:lang w:val="en-GB"/>
        </w:rPr>
        <w:t xml:space="preserve"> </w:t>
      </w:r>
      <w:r w:rsidR="008B1B41">
        <w:rPr>
          <w:i/>
          <w:iCs/>
          <w:lang w:val="en-GB"/>
        </w:rPr>
        <w:t>Botha</w:t>
      </w:r>
      <w:r w:rsidR="008B1B41">
        <w:rPr>
          <w:lang w:val="en-GB"/>
        </w:rPr>
        <w:t xml:space="preserve"> confirms that </w:t>
      </w:r>
      <w:r w:rsidR="00BE350E">
        <w:rPr>
          <w:lang w:val="en-GB"/>
        </w:rPr>
        <w:t xml:space="preserve">the </w:t>
      </w:r>
      <w:r w:rsidR="00BE350E">
        <w:rPr>
          <w:lang w:val="en-GB"/>
        </w:rPr>
        <w:lastRenderedPageBreak/>
        <w:t>section</w:t>
      </w:r>
      <w:r w:rsidR="008B1B41">
        <w:rPr>
          <w:lang w:val="en-GB"/>
        </w:rPr>
        <w:t xml:space="preserve"> affords </w:t>
      </w:r>
      <w:r w:rsidR="00E14781">
        <w:rPr>
          <w:lang w:val="en-GB"/>
        </w:rPr>
        <w:t xml:space="preserve">the school </w:t>
      </w:r>
      <w:r w:rsidR="008B1B41">
        <w:rPr>
          <w:lang w:val="en-GB"/>
        </w:rPr>
        <w:t xml:space="preserve">that </w:t>
      </w:r>
      <w:r w:rsidR="004F7A19">
        <w:rPr>
          <w:lang w:val="en-GB"/>
        </w:rPr>
        <w:t>relief</w:t>
      </w:r>
      <w:r w:rsidR="008B1B41">
        <w:rPr>
          <w:lang w:val="en-GB"/>
        </w:rPr>
        <w:t>.</w:t>
      </w:r>
      <w:r w:rsidR="008B1B41">
        <w:rPr>
          <w:rStyle w:val="FootnoteReference"/>
          <w:lang w:val="en-GB"/>
        </w:rPr>
        <w:footnoteReference w:id="33"/>
      </w:r>
      <w:r w:rsidR="008B1B41">
        <w:rPr>
          <w:lang w:val="en-GB"/>
        </w:rPr>
        <w:t xml:space="preserve"> </w:t>
      </w:r>
      <w:r w:rsidR="00A4035D">
        <w:rPr>
          <w:lang w:val="en-GB"/>
        </w:rPr>
        <w:t xml:space="preserve">As was the case in </w:t>
      </w:r>
      <w:r w:rsidR="00A4035D">
        <w:rPr>
          <w:i/>
          <w:iCs/>
          <w:lang w:val="en-GB"/>
        </w:rPr>
        <w:t>Botha</w:t>
      </w:r>
      <w:r w:rsidR="00A4035D">
        <w:rPr>
          <w:lang w:val="en-GB"/>
        </w:rPr>
        <w:t>, a substantial part of the purchase price, more than 50</w:t>
      </w:r>
      <w:r w:rsidR="00D8260E">
        <w:rPr>
          <w:lang w:val="en-GB"/>
        </w:rPr>
        <w:t xml:space="preserve"> per cent</w:t>
      </w:r>
      <w:r w:rsidR="00A4035D">
        <w:rPr>
          <w:lang w:val="en-GB"/>
        </w:rPr>
        <w:t>, had been paid prior to the litigation. The present matter is different in that two payments of R225 000 each had been made subsequent to the purported cancellation</w:t>
      </w:r>
      <w:r w:rsidR="00E132C4">
        <w:rPr>
          <w:lang w:val="en-GB"/>
        </w:rPr>
        <w:t xml:space="preserve">, and </w:t>
      </w:r>
      <w:r w:rsidR="00B3751F">
        <w:rPr>
          <w:lang w:val="en-GB"/>
        </w:rPr>
        <w:t>because the trust relies on prescription</w:t>
      </w:r>
      <w:r w:rsidR="00A4035D">
        <w:rPr>
          <w:lang w:val="en-GB"/>
        </w:rPr>
        <w:t>.</w:t>
      </w:r>
    </w:p>
    <w:p w14:paraId="695036A3" w14:textId="77777777" w:rsidR="00ED6B61" w:rsidRDefault="00ED6B61" w:rsidP="00ED6B61">
      <w:pPr>
        <w:pStyle w:val="ListParagraph"/>
        <w:autoSpaceDE w:val="0"/>
        <w:autoSpaceDN w:val="0"/>
        <w:adjustRightInd w:val="0"/>
        <w:ind w:left="0"/>
        <w:jc w:val="both"/>
        <w:rPr>
          <w:lang w:val="en-GB"/>
        </w:rPr>
      </w:pPr>
    </w:p>
    <w:p w14:paraId="454CFADC" w14:textId="77777777" w:rsidR="006505A7" w:rsidRDefault="006505A7" w:rsidP="00ED6B61">
      <w:pPr>
        <w:pStyle w:val="ListParagraph"/>
        <w:autoSpaceDE w:val="0"/>
        <w:autoSpaceDN w:val="0"/>
        <w:adjustRightInd w:val="0"/>
        <w:ind w:left="0"/>
        <w:jc w:val="both"/>
        <w:rPr>
          <w:b/>
          <w:bCs/>
          <w:lang w:val="en-GB"/>
        </w:rPr>
      </w:pPr>
      <w:r>
        <w:rPr>
          <w:b/>
          <w:bCs/>
          <w:lang w:val="en-GB"/>
        </w:rPr>
        <w:t>Prescription</w:t>
      </w:r>
    </w:p>
    <w:p w14:paraId="35409620" w14:textId="77777777" w:rsidR="00E07473" w:rsidRDefault="0000003A" w:rsidP="00E07473">
      <w:pPr>
        <w:pStyle w:val="ListParagraph"/>
        <w:numPr>
          <w:ilvl w:val="0"/>
          <w:numId w:val="10"/>
        </w:numPr>
        <w:autoSpaceDE w:val="0"/>
        <w:autoSpaceDN w:val="0"/>
        <w:adjustRightInd w:val="0"/>
        <w:ind w:left="0" w:firstLine="0"/>
        <w:jc w:val="both"/>
        <w:rPr>
          <w:lang w:val="en-GB"/>
        </w:rPr>
      </w:pPr>
      <w:r>
        <w:rPr>
          <w:lang w:val="en-GB"/>
        </w:rPr>
        <w:t xml:space="preserve">What remains is to consider the timing of the s 27(1) demand, in the context of prescription. </w:t>
      </w:r>
      <w:r w:rsidR="00E07473">
        <w:rPr>
          <w:lang w:val="en-GB"/>
        </w:rPr>
        <w:t>It is the party relying on prescription that must allege and prove the date of the inception of the period of prescription.</w:t>
      </w:r>
      <w:r w:rsidR="00E07473">
        <w:rPr>
          <w:rStyle w:val="FootnoteReference"/>
          <w:lang w:val="en-GB"/>
        </w:rPr>
        <w:footnoteReference w:id="34"/>
      </w:r>
      <w:r w:rsidR="00E07473">
        <w:rPr>
          <w:lang w:val="en-GB"/>
        </w:rPr>
        <w:t xml:space="preserve"> The trust alleges the date of purported cancellation of the contract, namely 31 January 2019</w:t>
      </w:r>
      <w:r w:rsidR="00540665">
        <w:rPr>
          <w:lang w:val="en-GB"/>
        </w:rPr>
        <w:t>, as the date of inception</w:t>
      </w:r>
      <w:r w:rsidR="00E07473">
        <w:rPr>
          <w:lang w:val="en-GB"/>
        </w:rPr>
        <w:t xml:space="preserve">. </w:t>
      </w:r>
    </w:p>
    <w:p w14:paraId="09CC190D" w14:textId="77777777" w:rsidR="00E07473" w:rsidRDefault="00E07473" w:rsidP="00E07473">
      <w:pPr>
        <w:pStyle w:val="ListParagraph"/>
        <w:autoSpaceDE w:val="0"/>
        <w:autoSpaceDN w:val="0"/>
        <w:adjustRightInd w:val="0"/>
        <w:ind w:left="0"/>
        <w:jc w:val="both"/>
        <w:rPr>
          <w:lang w:val="en-GB"/>
        </w:rPr>
      </w:pPr>
    </w:p>
    <w:p w14:paraId="75E9CFE0" w14:textId="3FF4D613" w:rsidR="00E07473" w:rsidRDefault="008A0FFD" w:rsidP="00044B4C">
      <w:pPr>
        <w:pStyle w:val="ListParagraph"/>
        <w:numPr>
          <w:ilvl w:val="0"/>
          <w:numId w:val="10"/>
        </w:numPr>
        <w:autoSpaceDE w:val="0"/>
        <w:autoSpaceDN w:val="0"/>
        <w:adjustRightInd w:val="0"/>
        <w:ind w:left="0" w:firstLine="0"/>
        <w:jc w:val="both"/>
        <w:rPr>
          <w:lang w:val="en-GB"/>
        </w:rPr>
      </w:pPr>
      <w:r>
        <w:rPr>
          <w:lang w:val="en-GB"/>
        </w:rPr>
        <w:t xml:space="preserve">While the act of cancellation is frequently performed by the non-defaulting party absent judicial involvement, a </w:t>
      </w:r>
      <w:r w:rsidR="00CA40E6">
        <w:rPr>
          <w:lang w:val="en-GB"/>
        </w:rPr>
        <w:t>prayer claiming cancellation is normal when this remedy is relied upon. As Bradfield notes, the desirability of having an order of cancellation so that the status of the contract is not in doubt is well recognised.</w:t>
      </w:r>
      <w:r w:rsidR="00CA40E6">
        <w:rPr>
          <w:rStyle w:val="FootnoteReference"/>
          <w:lang w:val="en-GB"/>
        </w:rPr>
        <w:footnoteReference w:id="35"/>
      </w:r>
      <w:r w:rsidR="003B5A8D">
        <w:rPr>
          <w:lang w:val="en-GB"/>
        </w:rPr>
        <w:t xml:space="preserve"> </w:t>
      </w:r>
      <w:r w:rsidR="0079477F">
        <w:rPr>
          <w:lang w:val="en-GB"/>
        </w:rPr>
        <w:t xml:space="preserve">There is good reason for this approach, as evinced by the facts and judgment in </w:t>
      </w:r>
      <w:r w:rsidR="0079477F">
        <w:rPr>
          <w:i/>
          <w:iCs/>
          <w:lang w:val="en-GB"/>
        </w:rPr>
        <w:t>Botha</w:t>
      </w:r>
      <w:r w:rsidR="0079477F">
        <w:rPr>
          <w:lang w:val="en-GB"/>
        </w:rPr>
        <w:t xml:space="preserve">. While cancellation </w:t>
      </w:r>
      <w:r w:rsidR="0049613F">
        <w:rPr>
          <w:lang w:val="en-GB"/>
        </w:rPr>
        <w:t>without the need for</w:t>
      </w:r>
      <w:r w:rsidR="0079477F">
        <w:rPr>
          <w:lang w:val="en-GB"/>
        </w:rPr>
        <w:t xml:space="preserve"> a court order may be </w:t>
      </w:r>
      <w:r w:rsidR="0049613F">
        <w:rPr>
          <w:lang w:val="en-GB"/>
        </w:rPr>
        <w:t xml:space="preserve">a practical approach to </w:t>
      </w:r>
      <w:r w:rsidR="00FF1623">
        <w:rPr>
          <w:lang w:val="en-GB"/>
        </w:rPr>
        <w:t xml:space="preserve">enable </w:t>
      </w:r>
      <w:r w:rsidR="0049613F">
        <w:rPr>
          <w:lang w:val="en-GB"/>
        </w:rPr>
        <w:t xml:space="preserve">the </w:t>
      </w:r>
      <w:r w:rsidR="00FF1623">
        <w:rPr>
          <w:lang w:val="en-GB"/>
        </w:rPr>
        <w:t xml:space="preserve">general </w:t>
      </w:r>
      <w:r w:rsidR="0049613F">
        <w:rPr>
          <w:lang w:val="en-GB"/>
        </w:rPr>
        <w:t>flow of commerc</w:t>
      </w:r>
      <w:r w:rsidR="00FF1623">
        <w:rPr>
          <w:lang w:val="en-GB"/>
        </w:rPr>
        <w:t xml:space="preserve">e, </w:t>
      </w:r>
      <w:r w:rsidR="003C2221">
        <w:rPr>
          <w:lang w:val="en-GB"/>
        </w:rPr>
        <w:t>various</w:t>
      </w:r>
      <w:r w:rsidR="00FF1623">
        <w:rPr>
          <w:lang w:val="en-GB"/>
        </w:rPr>
        <w:t xml:space="preserve"> authorities</w:t>
      </w:r>
      <w:r w:rsidR="009B4183">
        <w:rPr>
          <w:lang w:val="en-GB"/>
        </w:rPr>
        <w:t xml:space="preserve"> confirm that court</w:t>
      </w:r>
      <w:r w:rsidR="00D955C6">
        <w:rPr>
          <w:lang w:val="en-GB"/>
        </w:rPr>
        <w:t>s</w:t>
      </w:r>
      <w:r w:rsidR="009B4183">
        <w:rPr>
          <w:lang w:val="en-GB"/>
        </w:rPr>
        <w:t xml:space="preserve"> would be asked to declare that the cancellation was effective </w:t>
      </w:r>
      <w:r w:rsidR="00072480">
        <w:rPr>
          <w:lang w:val="en-GB"/>
        </w:rPr>
        <w:t>if litigation ensued.</w:t>
      </w:r>
      <w:r w:rsidR="0088381D">
        <w:rPr>
          <w:rStyle w:val="FootnoteReference"/>
          <w:lang w:val="en-GB"/>
        </w:rPr>
        <w:footnoteReference w:id="36"/>
      </w:r>
      <w:r w:rsidR="00C9016B">
        <w:rPr>
          <w:lang w:val="en-GB"/>
        </w:rPr>
        <w:t xml:space="preserve"> </w:t>
      </w:r>
      <w:r w:rsidR="00B255A5">
        <w:rPr>
          <w:lang w:val="en-GB"/>
        </w:rPr>
        <w:t>It must be reiterated that</w:t>
      </w:r>
      <w:r w:rsidR="008F2762">
        <w:rPr>
          <w:lang w:val="en-GB"/>
        </w:rPr>
        <w:t xml:space="preserve"> in </w:t>
      </w:r>
      <w:r w:rsidR="00C9016B">
        <w:rPr>
          <w:i/>
          <w:iCs/>
          <w:lang w:val="en-GB"/>
        </w:rPr>
        <w:t>Botha</w:t>
      </w:r>
      <w:r w:rsidR="00B255A5">
        <w:rPr>
          <w:lang w:val="en-GB"/>
        </w:rPr>
        <w:t xml:space="preserve"> </w:t>
      </w:r>
      <w:r w:rsidR="00C9016B">
        <w:rPr>
          <w:lang w:val="en-GB"/>
        </w:rPr>
        <w:t xml:space="preserve">the respondent had successfully instituted proceedings against the applicants in the </w:t>
      </w:r>
      <w:r w:rsidR="00DC1478">
        <w:rPr>
          <w:lang w:val="en-GB"/>
        </w:rPr>
        <w:t>m</w:t>
      </w:r>
      <w:r w:rsidR="00C9016B">
        <w:rPr>
          <w:lang w:val="en-GB"/>
        </w:rPr>
        <w:t xml:space="preserve">agistrate’s </w:t>
      </w:r>
      <w:r w:rsidR="00DC1478">
        <w:rPr>
          <w:lang w:val="en-GB"/>
        </w:rPr>
        <w:t>c</w:t>
      </w:r>
      <w:r w:rsidR="00C9016B">
        <w:rPr>
          <w:lang w:val="en-GB"/>
        </w:rPr>
        <w:t xml:space="preserve">ourt for cancellation, </w:t>
      </w:r>
      <w:proofErr w:type="gramStart"/>
      <w:r w:rsidR="00C9016B">
        <w:rPr>
          <w:lang w:val="en-GB"/>
        </w:rPr>
        <w:t>eviction</w:t>
      </w:r>
      <w:proofErr w:type="gramEnd"/>
      <w:r w:rsidR="00C9016B">
        <w:rPr>
          <w:lang w:val="en-GB"/>
        </w:rPr>
        <w:t xml:space="preserve"> and forfeiture</w:t>
      </w:r>
      <w:r w:rsidR="00B255A5">
        <w:rPr>
          <w:lang w:val="en-GB"/>
        </w:rPr>
        <w:t xml:space="preserve">. </w:t>
      </w:r>
      <w:r w:rsidR="00396E82">
        <w:rPr>
          <w:lang w:val="en-GB"/>
        </w:rPr>
        <w:t>F</w:t>
      </w:r>
      <w:r w:rsidR="006B3767">
        <w:rPr>
          <w:lang w:val="en-GB"/>
        </w:rPr>
        <w:t>o</w:t>
      </w:r>
      <w:r w:rsidR="00B255A5">
        <w:rPr>
          <w:lang w:val="en-GB"/>
        </w:rPr>
        <w:t xml:space="preserve">llowing the </w:t>
      </w:r>
      <w:r w:rsidR="0062200D">
        <w:rPr>
          <w:lang w:val="en-GB"/>
        </w:rPr>
        <w:t>Constitutional Court’s approach</w:t>
      </w:r>
      <w:r w:rsidR="00B255A5">
        <w:rPr>
          <w:lang w:val="en-GB"/>
        </w:rPr>
        <w:t>,</w:t>
      </w:r>
      <w:r w:rsidR="008F2762">
        <w:rPr>
          <w:lang w:val="en-GB"/>
        </w:rPr>
        <w:t xml:space="preserve"> </w:t>
      </w:r>
      <w:r w:rsidR="00396E82">
        <w:rPr>
          <w:lang w:val="en-GB"/>
        </w:rPr>
        <w:t xml:space="preserve">and for reasons that follow, </w:t>
      </w:r>
      <w:r w:rsidR="008F2762">
        <w:rPr>
          <w:lang w:val="en-GB"/>
        </w:rPr>
        <w:t xml:space="preserve">it would be expected of </w:t>
      </w:r>
      <w:r w:rsidR="00527587">
        <w:rPr>
          <w:lang w:val="en-GB"/>
        </w:rPr>
        <w:t xml:space="preserve">future </w:t>
      </w:r>
      <w:r w:rsidR="008F2762">
        <w:rPr>
          <w:lang w:val="en-GB"/>
        </w:rPr>
        <w:t xml:space="preserve">litigants in the position of trust to </w:t>
      </w:r>
      <w:r w:rsidR="00B255A5">
        <w:rPr>
          <w:lang w:val="en-GB"/>
        </w:rPr>
        <w:t>consider issues of cancellation and forfeiture together</w:t>
      </w:r>
      <w:r w:rsidR="00C52403">
        <w:rPr>
          <w:lang w:val="en-GB"/>
        </w:rPr>
        <w:t xml:space="preserve">, and </w:t>
      </w:r>
      <w:r w:rsidR="00BE3481">
        <w:rPr>
          <w:lang w:val="en-GB"/>
        </w:rPr>
        <w:t xml:space="preserve">to </w:t>
      </w:r>
      <w:r w:rsidR="0091058F">
        <w:rPr>
          <w:lang w:val="en-GB"/>
        </w:rPr>
        <w:t>seek</w:t>
      </w:r>
      <w:r w:rsidR="00C52403">
        <w:rPr>
          <w:lang w:val="en-GB"/>
        </w:rPr>
        <w:t xml:space="preserve"> </w:t>
      </w:r>
      <w:r w:rsidR="005F1A45">
        <w:rPr>
          <w:lang w:val="en-GB"/>
        </w:rPr>
        <w:t>an order from this court confirming</w:t>
      </w:r>
      <w:r w:rsidR="00C52403">
        <w:rPr>
          <w:lang w:val="en-GB"/>
        </w:rPr>
        <w:t xml:space="preserve"> </w:t>
      </w:r>
      <w:r w:rsidR="00BE3481">
        <w:rPr>
          <w:lang w:val="en-GB"/>
        </w:rPr>
        <w:t xml:space="preserve">cancellation, so that any </w:t>
      </w:r>
      <w:r w:rsidR="00832582">
        <w:rPr>
          <w:lang w:val="en-GB"/>
        </w:rPr>
        <w:t>possible issues of</w:t>
      </w:r>
      <w:r w:rsidR="00BE3481">
        <w:rPr>
          <w:lang w:val="en-GB"/>
        </w:rPr>
        <w:t xml:space="preserve"> disproportionality may be properly ventilated.</w:t>
      </w:r>
    </w:p>
    <w:p w14:paraId="25D8C182" w14:textId="77777777" w:rsidR="00CF6C5B" w:rsidRPr="00CF6C5B" w:rsidRDefault="00CF6C5B" w:rsidP="00CF6C5B">
      <w:pPr>
        <w:pStyle w:val="ListParagraph"/>
        <w:rPr>
          <w:lang w:val="en-GB"/>
        </w:rPr>
      </w:pPr>
    </w:p>
    <w:p w14:paraId="078458E5" w14:textId="3DF459BE" w:rsidR="00CF6C5B" w:rsidRDefault="00CF6C5B" w:rsidP="00044B4C">
      <w:pPr>
        <w:pStyle w:val="ListParagraph"/>
        <w:numPr>
          <w:ilvl w:val="0"/>
          <w:numId w:val="10"/>
        </w:numPr>
        <w:autoSpaceDE w:val="0"/>
        <w:autoSpaceDN w:val="0"/>
        <w:adjustRightInd w:val="0"/>
        <w:ind w:left="0" w:firstLine="0"/>
        <w:jc w:val="both"/>
        <w:rPr>
          <w:lang w:val="en-GB"/>
        </w:rPr>
      </w:pPr>
      <w:r>
        <w:rPr>
          <w:lang w:val="en-GB"/>
        </w:rPr>
        <w:lastRenderedPageBreak/>
        <w:t>The trust rightly acknowledged that the validity of its purported cancellation remained in issue.</w:t>
      </w:r>
      <w:r w:rsidR="004E5A92">
        <w:rPr>
          <w:rStyle w:val="FootnoteReference"/>
          <w:lang w:val="en-GB"/>
        </w:rPr>
        <w:footnoteReference w:id="37"/>
      </w:r>
      <w:r>
        <w:rPr>
          <w:lang w:val="en-GB"/>
        </w:rPr>
        <w:t xml:space="preserve"> </w:t>
      </w:r>
      <w:r w:rsidR="009F663C">
        <w:rPr>
          <w:lang w:val="en-GB"/>
        </w:rPr>
        <w:t>Its papers are silent as to forfeiture of the amounts it has received. It does not dispute the payments allegedly made by the school, that it accepted two payments of R225 000 each after the purported cancellation</w:t>
      </w:r>
      <w:r w:rsidR="009D6A51">
        <w:rPr>
          <w:lang w:val="en-GB"/>
        </w:rPr>
        <w:t>, and that the consequence of such acceptance was that the school had made payments in the amount of R1,625 million, constituting over 85</w:t>
      </w:r>
      <w:r w:rsidR="00D8260E">
        <w:rPr>
          <w:lang w:val="en-GB"/>
        </w:rPr>
        <w:t xml:space="preserve"> per cent</w:t>
      </w:r>
      <w:r w:rsidR="009D6A51">
        <w:rPr>
          <w:lang w:val="en-GB"/>
        </w:rPr>
        <w:t xml:space="preserve"> of the purchase price.</w:t>
      </w:r>
      <w:r w:rsidR="00FE202A">
        <w:rPr>
          <w:lang w:val="en-GB"/>
        </w:rPr>
        <w:t xml:space="preserve"> The school relies on this, in its founding papers, to argue that the purported cancellation violated the provisions of the Act.</w:t>
      </w:r>
      <w:r w:rsidR="00F8012D">
        <w:rPr>
          <w:rStyle w:val="FootnoteReference"/>
          <w:lang w:val="en-GB"/>
        </w:rPr>
        <w:footnoteReference w:id="38"/>
      </w:r>
    </w:p>
    <w:p w14:paraId="7B52F34C" w14:textId="77777777" w:rsidR="00BE11F8" w:rsidRPr="00BE11F8" w:rsidRDefault="00BE11F8" w:rsidP="00BE11F8">
      <w:pPr>
        <w:pStyle w:val="ListParagraph"/>
        <w:rPr>
          <w:lang w:val="en-GB"/>
        </w:rPr>
      </w:pPr>
    </w:p>
    <w:p w14:paraId="384CADF6" w14:textId="60D16ECA" w:rsidR="00BE11F8" w:rsidRDefault="0083124F" w:rsidP="00044B4C">
      <w:pPr>
        <w:pStyle w:val="ListParagraph"/>
        <w:numPr>
          <w:ilvl w:val="0"/>
          <w:numId w:val="10"/>
        </w:numPr>
        <w:autoSpaceDE w:val="0"/>
        <w:autoSpaceDN w:val="0"/>
        <w:adjustRightInd w:val="0"/>
        <w:ind w:left="0" w:firstLine="0"/>
        <w:jc w:val="both"/>
        <w:rPr>
          <w:lang w:val="en-GB"/>
        </w:rPr>
      </w:pPr>
      <w:r>
        <w:rPr>
          <w:lang w:val="en-GB"/>
        </w:rPr>
        <w:t xml:space="preserve">That argument finds strong support in </w:t>
      </w:r>
      <w:r>
        <w:rPr>
          <w:i/>
          <w:iCs/>
          <w:lang w:val="en-GB"/>
        </w:rPr>
        <w:t>Botha</w:t>
      </w:r>
      <w:r>
        <w:rPr>
          <w:lang w:val="en-GB"/>
        </w:rPr>
        <w:t xml:space="preserve">. On that authority, </w:t>
      </w:r>
      <w:r w:rsidR="00926E7F">
        <w:rPr>
          <w:lang w:val="en-GB"/>
        </w:rPr>
        <w:t>it is fundamentally erroneous to de-link questions of forfeiture and restitution from the question of the fairness of upholding the cancellation.</w:t>
      </w:r>
      <w:r w:rsidR="00F613B6">
        <w:rPr>
          <w:rStyle w:val="FootnoteReference"/>
          <w:lang w:val="en-GB"/>
        </w:rPr>
        <w:footnoteReference w:id="39"/>
      </w:r>
      <w:r w:rsidR="00F23726">
        <w:rPr>
          <w:lang w:val="en-GB"/>
        </w:rPr>
        <w:t xml:space="preserve"> The question of forfeiture and restitution is not independent of, and logically anterior to, the question of cancellation.</w:t>
      </w:r>
      <w:r w:rsidR="00863EDD">
        <w:rPr>
          <w:rStyle w:val="FootnoteReference"/>
          <w:lang w:val="en-GB"/>
        </w:rPr>
        <w:footnoteReference w:id="40"/>
      </w:r>
      <w:r w:rsidR="00B82A87">
        <w:rPr>
          <w:lang w:val="en-GB"/>
        </w:rPr>
        <w:t xml:space="preserve"> </w:t>
      </w:r>
      <w:r w:rsidR="00C933EA">
        <w:rPr>
          <w:lang w:val="en-GB"/>
        </w:rPr>
        <w:t xml:space="preserve">There is no suggestion on the papers that the right to claim forfeiture has been waived. </w:t>
      </w:r>
      <w:r w:rsidR="00B82A87">
        <w:rPr>
          <w:lang w:val="en-GB"/>
        </w:rPr>
        <w:t xml:space="preserve">Accepting </w:t>
      </w:r>
      <w:r w:rsidR="00EC341C">
        <w:rPr>
          <w:lang w:val="en-GB"/>
        </w:rPr>
        <w:t xml:space="preserve">a valid cancellation on </w:t>
      </w:r>
      <w:r w:rsidR="00B82A87">
        <w:rPr>
          <w:lang w:val="en-GB"/>
        </w:rPr>
        <w:t xml:space="preserve">the purported date in </w:t>
      </w:r>
      <w:r w:rsidR="00C933EA">
        <w:rPr>
          <w:lang w:val="en-GB"/>
        </w:rPr>
        <w:t xml:space="preserve">such </w:t>
      </w:r>
      <w:r w:rsidR="00B82A87">
        <w:rPr>
          <w:lang w:val="en-GB"/>
        </w:rPr>
        <w:t>circumstances</w:t>
      </w:r>
      <w:r w:rsidR="00C933EA">
        <w:rPr>
          <w:lang w:val="en-GB"/>
        </w:rPr>
        <w:t xml:space="preserve">, and </w:t>
      </w:r>
      <w:r w:rsidR="00B82A87">
        <w:rPr>
          <w:lang w:val="en-GB"/>
        </w:rPr>
        <w:t>where over 85</w:t>
      </w:r>
      <w:r w:rsidR="00D8260E">
        <w:rPr>
          <w:lang w:val="en-GB"/>
        </w:rPr>
        <w:t xml:space="preserve"> per cent </w:t>
      </w:r>
      <w:r w:rsidR="00B82A87">
        <w:rPr>
          <w:lang w:val="en-GB"/>
        </w:rPr>
        <w:t>of the purchase price has been paid</w:t>
      </w:r>
      <w:r w:rsidR="00856CC1">
        <w:rPr>
          <w:lang w:val="en-GB"/>
        </w:rPr>
        <w:t>, would be ‘a disproportionate penalty for the breach’.</w:t>
      </w:r>
      <w:r w:rsidR="00E41D46">
        <w:rPr>
          <w:rStyle w:val="FootnoteReference"/>
          <w:lang w:val="en-GB"/>
        </w:rPr>
        <w:footnoteReference w:id="41"/>
      </w:r>
      <w:r w:rsidR="00BC6D37">
        <w:rPr>
          <w:lang w:val="en-GB"/>
        </w:rPr>
        <w:t xml:space="preserve"> Absent a valid cancellation on 31 January 2019, the plea of prescription, which </w:t>
      </w:r>
      <w:r w:rsidR="004066E7">
        <w:rPr>
          <w:lang w:val="en-GB"/>
        </w:rPr>
        <w:t>is centred on</w:t>
      </w:r>
      <w:r w:rsidR="00BC6D37">
        <w:rPr>
          <w:lang w:val="en-GB"/>
        </w:rPr>
        <w:t xml:space="preserve"> cancellation on that date, must fail.</w:t>
      </w:r>
      <w:r w:rsidR="00AE4DA5">
        <w:rPr>
          <w:rStyle w:val="FootnoteReference"/>
          <w:lang w:val="en-GB"/>
        </w:rPr>
        <w:footnoteReference w:id="42"/>
      </w:r>
    </w:p>
    <w:p w14:paraId="70BA79E0" w14:textId="77777777" w:rsidR="00BC6D37" w:rsidRPr="00BC6D37" w:rsidRDefault="00BC6D37" w:rsidP="00BC6D37">
      <w:pPr>
        <w:pStyle w:val="ListParagraph"/>
        <w:rPr>
          <w:lang w:val="en-GB"/>
        </w:rPr>
      </w:pPr>
    </w:p>
    <w:p w14:paraId="3CE27977" w14:textId="77777777" w:rsidR="0089146E" w:rsidRPr="00C978E2" w:rsidRDefault="0050079A" w:rsidP="0089146E">
      <w:pPr>
        <w:pStyle w:val="ListParagraph"/>
        <w:numPr>
          <w:ilvl w:val="0"/>
          <w:numId w:val="10"/>
        </w:numPr>
        <w:autoSpaceDE w:val="0"/>
        <w:autoSpaceDN w:val="0"/>
        <w:adjustRightInd w:val="0"/>
        <w:ind w:left="0" w:firstLine="0"/>
        <w:jc w:val="both"/>
        <w:rPr>
          <w:lang w:val="en-GB"/>
        </w:rPr>
      </w:pPr>
      <w:r>
        <w:rPr>
          <w:lang w:val="en-GB"/>
        </w:rPr>
        <w:t xml:space="preserve">In the event that this conclusion is erroneous, or that a more relaxed approach is required in respect of the pleaded date of prescription, </w:t>
      </w:r>
      <w:r w:rsidR="00742A57">
        <w:rPr>
          <w:lang w:val="en-GB"/>
        </w:rPr>
        <w:t>t</w:t>
      </w:r>
      <w:r w:rsidR="00E02DB9">
        <w:rPr>
          <w:lang w:val="en-GB"/>
        </w:rPr>
        <w:t xml:space="preserve">here appear to be </w:t>
      </w:r>
      <w:r w:rsidR="00A0471E">
        <w:rPr>
          <w:lang w:val="en-GB"/>
        </w:rPr>
        <w:t>three</w:t>
      </w:r>
      <w:r w:rsidR="0082281B">
        <w:rPr>
          <w:lang w:val="en-GB"/>
        </w:rPr>
        <w:t xml:space="preserve"> </w:t>
      </w:r>
      <w:r w:rsidR="00A0471E">
        <w:rPr>
          <w:lang w:val="en-GB"/>
        </w:rPr>
        <w:t>separate pathways</w:t>
      </w:r>
      <w:r w:rsidR="0082281B">
        <w:rPr>
          <w:lang w:val="en-GB"/>
        </w:rPr>
        <w:t xml:space="preserve"> for arriv</w:t>
      </w:r>
      <w:r w:rsidR="003E555D">
        <w:rPr>
          <w:lang w:val="en-GB"/>
        </w:rPr>
        <w:t>ing</w:t>
      </w:r>
      <w:r w:rsidR="0082281B">
        <w:rPr>
          <w:lang w:val="en-GB"/>
        </w:rPr>
        <w:t xml:space="preserve"> at </w:t>
      </w:r>
      <w:r w:rsidR="009151DC">
        <w:rPr>
          <w:lang w:val="en-GB"/>
        </w:rPr>
        <w:t>th</w:t>
      </w:r>
      <w:r w:rsidR="006D5AE6">
        <w:rPr>
          <w:lang w:val="en-GB"/>
        </w:rPr>
        <w:t>e same</w:t>
      </w:r>
      <w:r w:rsidR="009151DC">
        <w:rPr>
          <w:lang w:val="en-GB"/>
        </w:rPr>
        <w:t xml:space="preserve"> conclusion</w:t>
      </w:r>
      <w:r w:rsidR="003E555D">
        <w:rPr>
          <w:lang w:val="en-GB"/>
        </w:rPr>
        <w:t>.</w:t>
      </w:r>
      <w:r w:rsidR="003D181B">
        <w:rPr>
          <w:lang w:val="en-GB"/>
        </w:rPr>
        <w:t xml:space="preserve"> </w:t>
      </w:r>
    </w:p>
    <w:p w14:paraId="575AA412" w14:textId="77777777" w:rsidR="003202DF" w:rsidRPr="00634536" w:rsidRDefault="003202DF" w:rsidP="00FE7F38">
      <w:pPr>
        <w:rPr>
          <w:lang w:val="en-GB"/>
        </w:rPr>
      </w:pPr>
    </w:p>
    <w:p w14:paraId="4B551836" w14:textId="53260361" w:rsidR="00C42673" w:rsidRDefault="007E2010" w:rsidP="001C7480">
      <w:pPr>
        <w:pStyle w:val="ListParagraph"/>
        <w:numPr>
          <w:ilvl w:val="0"/>
          <w:numId w:val="10"/>
        </w:numPr>
        <w:autoSpaceDE w:val="0"/>
        <w:autoSpaceDN w:val="0"/>
        <w:adjustRightInd w:val="0"/>
        <w:ind w:left="0" w:firstLine="0"/>
        <w:jc w:val="both"/>
        <w:rPr>
          <w:lang w:val="en-GB"/>
        </w:rPr>
      </w:pPr>
      <w:r w:rsidRPr="00634536">
        <w:rPr>
          <w:lang w:val="en-GB"/>
        </w:rPr>
        <w:t>F</w:t>
      </w:r>
      <w:r w:rsidR="0030660D" w:rsidRPr="00634536">
        <w:rPr>
          <w:lang w:val="en-GB"/>
        </w:rPr>
        <w:t>irstly, f</w:t>
      </w:r>
      <w:r w:rsidRPr="00634536">
        <w:rPr>
          <w:lang w:val="en-GB"/>
        </w:rPr>
        <w:t xml:space="preserve">ollowing </w:t>
      </w:r>
      <w:proofErr w:type="spellStart"/>
      <w:r w:rsidRPr="00634536">
        <w:rPr>
          <w:i/>
          <w:iCs/>
          <w:lang w:val="en-GB"/>
        </w:rPr>
        <w:t>Ethekwini</w:t>
      </w:r>
      <w:proofErr w:type="spellEnd"/>
      <w:r w:rsidRPr="00634536">
        <w:rPr>
          <w:i/>
          <w:iCs/>
          <w:lang w:val="en-GB"/>
        </w:rPr>
        <w:t xml:space="preserve"> Municipality v </w:t>
      </w:r>
      <w:proofErr w:type="spellStart"/>
      <w:r w:rsidRPr="00634536">
        <w:rPr>
          <w:i/>
          <w:iCs/>
          <w:lang w:val="en-GB"/>
        </w:rPr>
        <w:t>Mounthaven</w:t>
      </w:r>
      <w:proofErr w:type="spellEnd"/>
      <w:r w:rsidR="00634536" w:rsidRPr="00634536">
        <w:rPr>
          <w:lang w:val="en-GB"/>
        </w:rPr>
        <w:t>,</w:t>
      </w:r>
      <w:r w:rsidR="00E26660" w:rsidRPr="00634536">
        <w:rPr>
          <w:rStyle w:val="FootnoteReference"/>
          <w:lang w:val="en-GB"/>
        </w:rPr>
        <w:footnoteReference w:id="43"/>
      </w:r>
      <w:r w:rsidRPr="00634536">
        <w:rPr>
          <w:lang w:val="en-GB"/>
        </w:rPr>
        <w:t xml:space="preserve"> the</w:t>
      </w:r>
      <w:r w:rsidRPr="0000003A">
        <w:rPr>
          <w:lang w:val="en-GB"/>
        </w:rPr>
        <w:t xml:space="preserve"> school’s claim for transfer of the property in the name of the trust is a claim to deliver goods in the form </w:t>
      </w:r>
      <w:r w:rsidRPr="0000003A">
        <w:rPr>
          <w:lang w:val="en-GB"/>
        </w:rPr>
        <w:lastRenderedPageBreak/>
        <w:t xml:space="preserve">of immovable property, </w:t>
      </w:r>
      <w:r>
        <w:rPr>
          <w:lang w:val="en-GB"/>
        </w:rPr>
        <w:t>which</w:t>
      </w:r>
      <w:r w:rsidRPr="0000003A">
        <w:rPr>
          <w:lang w:val="en-GB"/>
        </w:rPr>
        <w:t xml:space="preserve"> qualifies as a ‘debt’.</w:t>
      </w:r>
      <w:r w:rsidRPr="00040163">
        <w:rPr>
          <w:rStyle w:val="FootnoteReference"/>
          <w:lang w:val="en-GB"/>
        </w:rPr>
        <w:footnoteReference w:id="44"/>
      </w:r>
      <w:r w:rsidR="007D3BC4">
        <w:rPr>
          <w:lang w:val="en-GB"/>
        </w:rPr>
        <w:t xml:space="preserve"> </w:t>
      </w:r>
      <w:r w:rsidR="00FA5C92">
        <w:rPr>
          <w:lang w:val="en-GB"/>
        </w:rPr>
        <w:t>T</w:t>
      </w:r>
      <w:r w:rsidR="00FA5C92" w:rsidRPr="0026034E">
        <w:rPr>
          <w:lang w:val="en-GB"/>
        </w:rPr>
        <w:t>he running of prescription commence</w:t>
      </w:r>
      <w:r w:rsidR="00FA5C92">
        <w:rPr>
          <w:lang w:val="en-GB"/>
        </w:rPr>
        <w:t>d</w:t>
      </w:r>
      <w:r w:rsidR="00FA5C92" w:rsidRPr="0026034E">
        <w:rPr>
          <w:lang w:val="en-GB"/>
        </w:rPr>
        <w:t xml:space="preserve"> only as soon as the debt ‘is due’.</w:t>
      </w:r>
      <w:r w:rsidR="00FA5C92">
        <w:rPr>
          <w:rStyle w:val="FootnoteReference"/>
          <w:lang w:val="en-GB"/>
        </w:rPr>
        <w:footnoteReference w:id="45"/>
      </w:r>
      <w:r w:rsidR="00FA5C92" w:rsidRPr="0026034E">
        <w:rPr>
          <w:lang w:val="en-GB"/>
        </w:rPr>
        <w:t xml:space="preserve"> The Prescription Act does not define this notion, </w:t>
      </w:r>
      <w:r w:rsidR="00FE6E5A">
        <w:rPr>
          <w:lang w:val="en-GB"/>
        </w:rPr>
        <w:t>so that the implied term requires</w:t>
      </w:r>
      <w:r w:rsidR="00FA5C92" w:rsidRPr="0026034E">
        <w:rPr>
          <w:lang w:val="en-GB"/>
        </w:rPr>
        <w:t xml:space="preserve"> interpretation in the usual manner</w:t>
      </w:r>
      <w:r w:rsidR="00447968">
        <w:rPr>
          <w:lang w:val="en-GB"/>
        </w:rPr>
        <w:t>, including the unitary exercise of consideration of the words of the statute in combination with context and apparent purpose</w:t>
      </w:r>
      <w:r w:rsidR="00FA5C92" w:rsidRPr="0026034E">
        <w:rPr>
          <w:lang w:val="en-GB"/>
        </w:rPr>
        <w:t>.</w:t>
      </w:r>
      <w:r w:rsidR="00FA5C92">
        <w:rPr>
          <w:rStyle w:val="FootnoteReference"/>
          <w:lang w:val="en-GB"/>
        </w:rPr>
        <w:footnoteReference w:id="46"/>
      </w:r>
    </w:p>
    <w:p w14:paraId="1A8EA902" w14:textId="77777777" w:rsidR="00AF2E53" w:rsidRPr="009203CE" w:rsidRDefault="00AF2E53" w:rsidP="009203CE">
      <w:pPr>
        <w:rPr>
          <w:lang w:val="en-GB"/>
        </w:rPr>
      </w:pPr>
    </w:p>
    <w:p w14:paraId="6DF67FF3" w14:textId="16469F14" w:rsidR="006020BB" w:rsidRDefault="00FE7F38" w:rsidP="00311306">
      <w:pPr>
        <w:pStyle w:val="ListParagraph"/>
        <w:numPr>
          <w:ilvl w:val="0"/>
          <w:numId w:val="10"/>
        </w:numPr>
        <w:autoSpaceDE w:val="0"/>
        <w:autoSpaceDN w:val="0"/>
        <w:adjustRightInd w:val="0"/>
        <w:ind w:left="0" w:firstLine="0"/>
        <w:jc w:val="both"/>
        <w:rPr>
          <w:lang w:val="en-GB"/>
        </w:rPr>
      </w:pPr>
      <w:r>
        <w:rPr>
          <w:lang w:val="en-GB"/>
        </w:rPr>
        <w:t>On an ordinary interpretation, s 27 affords the purchaser of land by way of instalments an important right.</w:t>
      </w:r>
      <w:r>
        <w:rPr>
          <w:rStyle w:val="FootnoteReference"/>
          <w:lang w:val="en-GB"/>
        </w:rPr>
        <w:footnoteReference w:id="47"/>
      </w:r>
      <w:r>
        <w:rPr>
          <w:lang w:val="en-GB"/>
        </w:rPr>
        <w:t xml:space="preserve"> Provided the land is registrable, and that at least 50 per cent of the purchase price has been paid, any such purchaser ‘shall … be entitled to demand’ transfer of the land from the seller. The stipulated condition is registration of a first mortgage bond over the land in favour of the seller, to secure the balance of the purchase price and interest, simultaneous with the registration of transfer. </w:t>
      </w:r>
      <w:r w:rsidR="002D7C9F" w:rsidRPr="00311306">
        <w:rPr>
          <w:lang w:val="en-GB"/>
        </w:rPr>
        <w:t xml:space="preserve">Properly </w:t>
      </w:r>
      <w:r w:rsidR="00447968" w:rsidRPr="00311306">
        <w:rPr>
          <w:lang w:val="en-GB"/>
        </w:rPr>
        <w:t>construed, t</w:t>
      </w:r>
      <w:r w:rsidR="004A11FF" w:rsidRPr="00311306">
        <w:rPr>
          <w:lang w:val="en-GB"/>
        </w:rPr>
        <w:t>he earliest possible time that the debt became ‘due’, for purposes of prescription, was the moment that 50</w:t>
      </w:r>
      <w:r w:rsidR="00D8260E">
        <w:rPr>
          <w:lang w:val="en-GB"/>
        </w:rPr>
        <w:t xml:space="preserve"> per cent</w:t>
      </w:r>
      <w:r w:rsidR="004A11FF" w:rsidRPr="00311306">
        <w:rPr>
          <w:lang w:val="en-GB"/>
        </w:rPr>
        <w:t xml:space="preserve"> of the purchase price was paid by the school.</w:t>
      </w:r>
      <w:r w:rsidR="0021287B">
        <w:rPr>
          <w:rStyle w:val="FootnoteReference"/>
          <w:lang w:val="en-GB"/>
        </w:rPr>
        <w:footnoteReference w:id="48"/>
      </w:r>
      <w:r w:rsidR="004A11FF" w:rsidRPr="00311306">
        <w:rPr>
          <w:lang w:val="en-GB"/>
        </w:rPr>
        <w:t xml:space="preserve"> </w:t>
      </w:r>
      <w:proofErr w:type="gramStart"/>
      <w:r w:rsidR="006020BB">
        <w:rPr>
          <w:lang w:val="en-GB"/>
        </w:rPr>
        <w:t>This accords</w:t>
      </w:r>
      <w:proofErr w:type="gramEnd"/>
      <w:r w:rsidR="006020BB">
        <w:rPr>
          <w:lang w:val="en-GB"/>
        </w:rPr>
        <w:t xml:space="preserve"> with the authority that where the day on which a debt becomes due may be unilaterally determined by the creditor, the debt is deemed to be due on the earliest day which the creditor may determine.</w:t>
      </w:r>
      <w:r w:rsidR="006020BB">
        <w:rPr>
          <w:rStyle w:val="FootnoteReference"/>
          <w:lang w:val="en-GB"/>
        </w:rPr>
        <w:footnoteReference w:id="49"/>
      </w:r>
    </w:p>
    <w:p w14:paraId="24977F65" w14:textId="77777777" w:rsidR="006020BB" w:rsidRPr="006020BB" w:rsidRDefault="006020BB" w:rsidP="006020BB">
      <w:pPr>
        <w:pStyle w:val="ListParagraph"/>
        <w:rPr>
          <w:lang w:val="en-GB"/>
        </w:rPr>
      </w:pPr>
    </w:p>
    <w:p w14:paraId="62FF11BE" w14:textId="77777777" w:rsidR="007B48B3" w:rsidRPr="00311306" w:rsidRDefault="00ED2040" w:rsidP="00311306">
      <w:pPr>
        <w:pStyle w:val="ListParagraph"/>
        <w:numPr>
          <w:ilvl w:val="0"/>
          <w:numId w:val="10"/>
        </w:numPr>
        <w:autoSpaceDE w:val="0"/>
        <w:autoSpaceDN w:val="0"/>
        <w:adjustRightInd w:val="0"/>
        <w:ind w:left="0" w:firstLine="0"/>
        <w:jc w:val="both"/>
        <w:rPr>
          <w:lang w:val="en-GB"/>
        </w:rPr>
      </w:pPr>
      <w:r w:rsidRPr="00311306">
        <w:rPr>
          <w:lang w:val="en-GB"/>
        </w:rPr>
        <w:lastRenderedPageBreak/>
        <w:t>Even assuming, in favour of the trust, that this is the position,</w:t>
      </w:r>
      <w:r w:rsidR="005F0EE7">
        <w:rPr>
          <w:rStyle w:val="FootnoteReference"/>
          <w:lang w:val="en-GB"/>
        </w:rPr>
        <w:footnoteReference w:id="50"/>
      </w:r>
      <w:r w:rsidR="002245EC" w:rsidRPr="00311306">
        <w:rPr>
          <w:lang w:val="en-GB"/>
        </w:rPr>
        <w:t xml:space="preserve"> the acceptance of instalment payments had the effect of interrupting the running of prescription. </w:t>
      </w:r>
      <w:r w:rsidR="007B48B3" w:rsidRPr="00311306">
        <w:rPr>
          <w:lang w:val="en-GB"/>
        </w:rPr>
        <w:t xml:space="preserve">The views expressed in </w:t>
      </w:r>
      <w:r w:rsidR="007B48B3" w:rsidRPr="00311306">
        <w:rPr>
          <w:i/>
          <w:iCs/>
          <w:lang w:val="en-GB"/>
        </w:rPr>
        <w:t xml:space="preserve">Lamprecht v Lyttleton Township (Pty) Ltd </w:t>
      </w:r>
      <w:r w:rsidR="007B48B3" w:rsidRPr="00311306">
        <w:rPr>
          <w:lang w:val="en-GB"/>
        </w:rPr>
        <w:t xml:space="preserve">clarify the </w:t>
      </w:r>
      <w:r w:rsidR="000A1D0C">
        <w:rPr>
          <w:lang w:val="en-GB"/>
        </w:rPr>
        <w:t>point</w:t>
      </w:r>
      <w:r w:rsidR="007B48B3" w:rsidRPr="00311306">
        <w:rPr>
          <w:lang w:val="en-GB"/>
        </w:rPr>
        <w:t>:</w:t>
      </w:r>
      <w:r w:rsidR="007B48B3">
        <w:rPr>
          <w:rStyle w:val="FootnoteReference"/>
          <w:lang w:val="en-GB"/>
        </w:rPr>
        <w:footnoteReference w:id="51"/>
      </w:r>
    </w:p>
    <w:p w14:paraId="6E588DDF" w14:textId="77777777" w:rsidR="007B48B3" w:rsidRDefault="007B48B3" w:rsidP="007B48B3">
      <w:pPr>
        <w:pStyle w:val="ListParagraph"/>
        <w:autoSpaceDE w:val="0"/>
        <w:autoSpaceDN w:val="0"/>
        <w:adjustRightInd w:val="0"/>
        <w:ind w:left="0"/>
        <w:jc w:val="both"/>
        <w:rPr>
          <w:lang w:val="en-GB"/>
        </w:rPr>
      </w:pPr>
    </w:p>
    <w:p w14:paraId="56479AC6" w14:textId="77777777" w:rsidR="007B48B3" w:rsidRDefault="007B48B3" w:rsidP="007B48B3">
      <w:pPr>
        <w:pStyle w:val="ListParagraph"/>
        <w:autoSpaceDE w:val="0"/>
        <w:autoSpaceDN w:val="0"/>
        <w:adjustRightInd w:val="0"/>
        <w:ind w:left="0"/>
        <w:jc w:val="both"/>
        <w:rPr>
          <w:sz w:val="22"/>
          <w:szCs w:val="22"/>
          <w:lang w:val="en-GB"/>
        </w:rPr>
      </w:pPr>
      <w:r>
        <w:rPr>
          <w:sz w:val="22"/>
          <w:szCs w:val="22"/>
          <w:lang w:val="en-GB"/>
        </w:rPr>
        <w:t xml:space="preserve">‘Where however a time is fixed for performance at a future date the position is altered. The seller, having given the purchaser credit, has no right to payment of the purchase price until the prescribed time, and prescription begins to run against him in respect of his action for such price only from the date fixed for payment – in the case where payment by instalments is agreed, in respect of each instalment from its appropriate date, not being bound (unless otherwise provided) to pass transfer or effect delivery until payment of the full price. On the other </w:t>
      </w:r>
      <w:proofErr w:type="gramStart"/>
      <w:r>
        <w:rPr>
          <w:sz w:val="22"/>
          <w:szCs w:val="22"/>
          <w:lang w:val="en-GB"/>
        </w:rPr>
        <w:t>hand</w:t>
      </w:r>
      <w:proofErr w:type="gramEnd"/>
      <w:r>
        <w:rPr>
          <w:sz w:val="22"/>
          <w:szCs w:val="22"/>
          <w:lang w:val="en-GB"/>
        </w:rPr>
        <w:t xml:space="preserve"> the purchaser, except in the infrequent case of the instalment arrangement being equally for the seller’s benefit, has the right to pay up the full price at any time and claim transfer or delivery, though not compellable so to do. It is consequently open to argument that extinctive prescription in respect of the purchaser’s action for transfer or delivery runs against him as from the date of </w:t>
      </w:r>
      <w:proofErr w:type="gramStart"/>
      <w:r>
        <w:rPr>
          <w:sz w:val="22"/>
          <w:szCs w:val="22"/>
          <w:lang w:val="en-GB"/>
        </w:rPr>
        <w:t xml:space="preserve">sale, </w:t>
      </w:r>
      <w:r w:rsidRPr="00F8784E">
        <w:rPr>
          <w:i/>
          <w:iCs/>
          <w:sz w:val="22"/>
          <w:szCs w:val="22"/>
          <w:lang w:val="en-GB"/>
        </w:rPr>
        <w:t>and</w:t>
      </w:r>
      <w:proofErr w:type="gramEnd"/>
      <w:r w:rsidRPr="00F8784E">
        <w:rPr>
          <w:i/>
          <w:iCs/>
          <w:sz w:val="22"/>
          <w:szCs w:val="22"/>
          <w:lang w:val="en-GB"/>
        </w:rPr>
        <w:t xml:space="preserve"> is only interrupted from time to time by a payment of an agreed instalment</w:t>
      </w:r>
      <w:r>
        <w:rPr>
          <w:sz w:val="22"/>
          <w:szCs w:val="22"/>
          <w:lang w:val="en-GB"/>
        </w:rPr>
        <w:t>…’</w:t>
      </w:r>
      <w:r w:rsidR="008B4923">
        <w:rPr>
          <w:sz w:val="22"/>
          <w:szCs w:val="22"/>
          <w:lang w:val="en-GB"/>
        </w:rPr>
        <w:t xml:space="preserve"> (Own emphasis.)</w:t>
      </w:r>
    </w:p>
    <w:p w14:paraId="14097406" w14:textId="77777777" w:rsidR="007B48B3" w:rsidRPr="00001E74" w:rsidRDefault="007B48B3" w:rsidP="007B48B3">
      <w:pPr>
        <w:pStyle w:val="ListParagraph"/>
        <w:autoSpaceDE w:val="0"/>
        <w:autoSpaceDN w:val="0"/>
        <w:adjustRightInd w:val="0"/>
        <w:ind w:left="0"/>
        <w:jc w:val="both"/>
        <w:rPr>
          <w:sz w:val="22"/>
          <w:szCs w:val="22"/>
          <w:lang w:val="en-GB"/>
        </w:rPr>
      </w:pPr>
    </w:p>
    <w:p w14:paraId="49B4D8B4" w14:textId="446C7DCC" w:rsidR="00E61115" w:rsidRPr="004A396C" w:rsidRDefault="0047652F" w:rsidP="004A396C">
      <w:pPr>
        <w:pStyle w:val="ListParagraph"/>
        <w:numPr>
          <w:ilvl w:val="0"/>
          <w:numId w:val="10"/>
        </w:numPr>
        <w:autoSpaceDE w:val="0"/>
        <w:autoSpaceDN w:val="0"/>
        <w:adjustRightInd w:val="0"/>
        <w:ind w:left="0" w:firstLine="0"/>
        <w:jc w:val="both"/>
        <w:rPr>
          <w:lang w:val="en-GB"/>
        </w:rPr>
      </w:pPr>
      <w:r>
        <w:rPr>
          <w:lang w:val="en-GB"/>
        </w:rPr>
        <w:t xml:space="preserve">A </w:t>
      </w:r>
      <w:r w:rsidR="004A11FF">
        <w:rPr>
          <w:lang w:val="en-GB"/>
        </w:rPr>
        <w:t xml:space="preserve">sensible interpretation, drawing on </w:t>
      </w:r>
      <w:r w:rsidR="00E93508">
        <w:rPr>
          <w:lang w:val="en-GB"/>
        </w:rPr>
        <w:t>this decision</w:t>
      </w:r>
      <w:r w:rsidR="004A11FF">
        <w:rPr>
          <w:lang w:val="en-GB"/>
        </w:rPr>
        <w:t>, would consider the debt to be due from the time that 50</w:t>
      </w:r>
      <w:r w:rsidR="00D8260E">
        <w:rPr>
          <w:lang w:val="en-GB"/>
        </w:rPr>
        <w:t xml:space="preserve"> per cent</w:t>
      </w:r>
      <w:r w:rsidR="004A11FF">
        <w:rPr>
          <w:lang w:val="en-GB"/>
        </w:rPr>
        <w:t xml:space="preserve"> of the purchase price has been paid, but interrupted from time to time by the seller’s acceptance of payment of an agreed instalment</w:t>
      </w:r>
      <w:r w:rsidR="00A83A53">
        <w:rPr>
          <w:lang w:val="en-GB"/>
        </w:rPr>
        <w:t>.</w:t>
      </w:r>
      <w:r w:rsidR="002F478F">
        <w:rPr>
          <w:rStyle w:val="FootnoteReference"/>
          <w:lang w:val="en-GB"/>
        </w:rPr>
        <w:footnoteReference w:id="52"/>
      </w:r>
      <w:r w:rsidR="00A83A53">
        <w:rPr>
          <w:lang w:val="en-GB"/>
        </w:rPr>
        <w:t xml:space="preserve"> </w:t>
      </w:r>
      <w:r w:rsidR="007901EE">
        <w:rPr>
          <w:lang w:val="en-GB"/>
        </w:rPr>
        <w:t xml:space="preserve">As Ms </w:t>
      </w:r>
      <w:r w:rsidR="007901EE">
        <w:rPr>
          <w:i/>
          <w:iCs/>
          <w:lang w:val="en-GB"/>
        </w:rPr>
        <w:t xml:space="preserve">Teko </w:t>
      </w:r>
      <w:r w:rsidR="007901EE">
        <w:rPr>
          <w:lang w:val="en-GB"/>
        </w:rPr>
        <w:t>emphasised in her s</w:t>
      </w:r>
      <w:r w:rsidR="00F0517D">
        <w:rPr>
          <w:lang w:val="en-GB"/>
        </w:rPr>
        <w:t>upplementary heads of argument,</w:t>
      </w:r>
      <w:r w:rsidR="004A11FF">
        <w:rPr>
          <w:lang w:val="en-GB"/>
        </w:rPr>
        <w:t xml:space="preserve"> the trust accepted two additional payments after purporting to cancel the contract. </w:t>
      </w:r>
      <w:r w:rsidR="00675A29">
        <w:rPr>
          <w:lang w:val="en-GB"/>
        </w:rPr>
        <w:t>T</w:t>
      </w:r>
      <w:r w:rsidR="00665E49">
        <w:rPr>
          <w:lang w:val="en-GB"/>
        </w:rPr>
        <w:t xml:space="preserve">he trust failed to deal with the legal effect of </w:t>
      </w:r>
      <w:r w:rsidR="005D5FC7">
        <w:rPr>
          <w:lang w:val="en-GB"/>
        </w:rPr>
        <w:t>this</w:t>
      </w:r>
      <w:r w:rsidR="00675A29">
        <w:rPr>
          <w:lang w:val="en-GB"/>
        </w:rPr>
        <w:t xml:space="preserve"> in its supplementary submissions.</w:t>
      </w:r>
      <w:r w:rsidR="005D5FC7">
        <w:rPr>
          <w:lang w:val="en-GB"/>
        </w:rPr>
        <w:t xml:space="preserve"> </w:t>
      </w:r>
      <w:r w:rsidR="004A11FF">
        <w:rPr>
          <w:lang w:val="en-GB"/>
        </w:rPr>
        <w:t xml:space="preserve">Those payments could only have been accepted in terms of </w:t>
      </w:r>
      <w:r w:rsidR="00C87502">
        <w:rPr>
          <w:lang w:val="en-GB"/>
        </w:rPr>
        <w:t>an extant</w:t>
      </w:r>
      <w:r w:rsidR="004A11FF">
        <w:rPr>
          <w:lang w:val="en-GB"/>
        </w:rPr>
        <w:t xml:space="preserve"> agreement</w:t>
      </w:r>
      <w:r w:rsidR="00CE7D93">
        <w:rPr>
          <w:lang w:val="en-GB"/>
        </w:rPr>
        <w:t xml:space="preserve"> and as part</w:t>
      </w:r>
      <w:r w:rsidR="00D9323C">
        <w:rPr>
          <w:lang w:val="en-GB"/>
        </w:rPr>
        <w:t>ial</w:t>
      </w:r>
      <w:r w:rsidR="00CE7D93">
        <w:rPr>
          <w:lang w:val="en-GB"/>
        </w:rPr>
        <w:t xml:space="preserve">-payment of the </w:t>
      </w:r>
      <w:r w:rsidR="00CE2EBC">
        <w:rPr>
          <w:lang w:val="en-GB"/>
        </w:rPr>
        <w:t xml:space="preserve">purchase </w:t>
      </w:r>
      <w:proofErr w:type="gramStart"/>
      <w:r w:rsidR="00CE2EBC">
        <w:rPr>
          <w:lang w:val="en-GB"/>
        </w:rPr>
        <w:t>price</w:t>
      </w:r>
      <w:r w:rsidR="004A11FF">
        <w:rPr>
          <w:lang w:val="en-GB"/>
        </w:rPr>
        <w:t>, and</w:t>
      </w:r>
      <w:proofErr w:type="gramEnd"/>
      <w:r w:rsidR="004A11FF">
        <w:rPr>
          <w:lang w:val="en-GB"/>
        </w:rPr>
        <w:t xml:space="preserve"> belie the purported </w:t>
      </w:r>
      <w:r w:rsidR="000A1D0C">
        <w:rPr>
          <w:lang w:val="en-GB"/>
        </w:rPr>
        <w:t xml:space="preserve">preceding </w:t>
      </w:r>
      <w:r w:rsidR="004A11FF">
        <w:rPr>
          <w:lang w:val="en-GB"/>
        </w:rPr>
        <w:t xml:space="preserve">cancellation. </w:t>
      </w:r>
      <w:r w:rsidR="004A11FF">
        <w:rPr>
          <w:lang w:val="en-GB"/>
        </w:rPr>
        <w:lastRenderedPageBreak/>
        <w:t>On the facts, that is an additional basis for rejecting both the trust’s reliance on its purported cancellation, as well as the claim of prescription.</w:t>
      </w:r>
      <w:r w:rsidR="004A11FF">
        <w:rPr>
          <w:rStyle w:val="FootnoteReference"/>
          <w:lang w:val="en-GB"/>
        </w:rPr>
        <w:footnoteReference w:id="53"/>
      </w:r>
      <w:r w:rsidR="004A11FF">
        <w:rPr>
          <w:lang w:val="en-GB"/>
        </w:rPr>
        <w:t xml:space="preserve"> </w:t>
      </w:r>
      <w:r w:rsidR="00E61115" w:rsidRPr="004A396C">
        <w:rPr>
          <w:lang w:val="en-GB"/>
        </w:rPr>
        <w:t>Considering the agreement in its proper context and subsequent events, including the payments made and received, also after the purported cancellation, it cannot be said that the claim had prescribed at the time of the demand.</w:t>
      </w:r>
      <w:r w:rsidR="00E61115">
        <w:rPr>
          <w:rStyle w:val="FootnoteReference"/>
          <w:lang w:val="en-GB"/>
        </w:rPr>
        <w:footnoteReference w:id="54"/>
      </w:r>
      <w:r w:rsidR="006A3241">
        <w:rPr>
          <w:lang w:val="en-GB"/>
        </w:rPr>
        <w:t xml:space="preserve"> </w:t>
      </w:r>
    </w:p>
    <w:p w14:paraId="39EA5904" w14:textId="77777777" w:rsidR="00E61115" w:rsidRDefault="00E61115" w:rsidP="00E61115">
      <w:pPr>
        <w:pStyle w:val="ListParagraph"/>
        <w:autoSpaceDE w:val="0"/>
        <w:autoSpaceDN w:val="0"/>
        <w:adjustRightInd w:val="0"/>
        <w:ind w:left="0"/>
        <w:jc w:val="both"/>
        <w:rPr>
          <w:lang w:val="en-GB"/>
        </w:rPr>
      </w:pPr>
    </w:p>
    <w:p w14:paraId="6E65D04F" w14:textId="77777777" w:rsidR="00D92DF1" w:rsidRDefault="0030660D" w:rsidP="00D92DF1">
      <w:pPr>
        <w:pStyle w:val="ListParagraph"/>
        <w:numPr>
          <w:ilvl w:val="0"/>
          <w:numId w:val="10"/>
        </w:numPr>
        <w:autoSpaceDE w:val="0"/>
        <w:autoSpaceDN w:val="0"/>
        <w:adjustRightInd w:val="0"/>
        <w:ind w:left="0" w:firstLine="0"/>
        <w:jc w:val="both"/>
        <w:rPr>
          <w:lang w:val="en-GB"/>
        </w:rPr>
      </w:pPr>
      <w:r>
        <w:rPr>
          <w:lang w:val="en-GB"/>
        </w:rPr>
        <w:t>Secondly</w:t>
      </w:r>
      <w:r w:rsidR="00D92DF1">
        <w:rPr>
          <w:lang w:val="en-GB"/>
        </w:rPr>
        <w:t>, s 14(1) of the Prescription Act provides that the running of prescription is interrupted by an express or tacit acknowledgement of liability by the debtor.</w:t>
      </w:r>
      <w:r w:rsidR="00D92DF1">
        <w:rPr>
          <w:rStyle w:val="FootnoteReference"/>
          <w:lang w:val="en-GB"/>
        </w:rPr>
        <w:footnoteReference w:id="55"/>
      </w:r>
      <w:r w:rsidR="00D92DF1">
        <w:rPr>
          <w:lang w:val="en-GB"/>
        </w:rPr>
        <w:t xml:space="preserve"> There is authority as to the proper weight to be given to ‘tacit’:</w:t>
      </w:r>
      <w:r w:rsidR="00D92DF1">
        <w:rPr>
          <w:rStyle w:val="FootnoteReference"/>
          <w:lang w:val="en-GB"/>
        </w:rPr>
        <w:footnoteReference w:id="56"/>
      </w:r>
    </w:p>
    <w:p w14:paraId="52F54914" w14:textId="77777777" w:rsidR="00D92DF1" w:rsidRDefault="00D92DF1" w:rsidP="00D92DF1">
      <w:pPr>
        <w:jc w:val="both"/>
        <w:rPr>
          <w:lang w:val="en-GB"/>
        </w:rPr>
      </w:pPr>
    </w:p>
    <w:p w14:paraId="27017123" w14:textId="733C9188" w:rsidR="00D92DF1" w:rsidRDefault="00D92DF1" w:rsidP="00D92DF1">
      <w:pPr>
        <w:jc w:val="both"/>
        <w:rPr>
          <w:sz w:val="22"/>
          <w:szCs w:val="22"/>
          <w:lang w:val="en-GB"/>
        </w:rPr>
      </w:pPr>
      <w:r>
        <w:rPr>
          <w:sz w:val="22"/>
          <w:szCs w:val="22"/>
          <w:lang w:val="en-GB"/>
        </w:rPr>
        <w:t xml:space="preserve">‘…full weight must be given to the Legislature’s use of the word “tacit” in s 14(1) of the Act. In other words, one must have regard not only to the debtor’s words, but also to his conduct. In one’s quest for an acknowledgement of liability. That, in turn, opens the door to various possibilities. One may have a case in which the act of the </w:t>
      </w:r>
      <w:proofErr w:type="gramStart"/>
      <w:r>
        <w:rPr>
          <w:sz w:val="22"/>
          <w:szCs w:val="22"/>
          <w:lang w:val="en-GB"/>
        </w:rPr>
        <w:t>debtor</w:t>
      </w:r>
      <w:proofErr w:type="gramEnd"/>
      <w:r>
        <w:rPr>
          <w:sz w:val="22"/>
          <w:szCs w:val="22"/>
          <w:lang w:val="en-GB"/>
        </w:rPr>
        <w:t xml:space="preserve"> which is said to be an acknowledgement of liability, is plain and unambiguous. His prior conduct would then be academic. On the other hand, one may have a case where the particular act or conduct which is said to be an acknowledgement of liability is not as plain and unambiguous. In that event, I see no reason why it should be regarded </w:t>
      </w:r>
      <w:r>
        <w:rPr>
          <w:i/>
          <w:iCs/>
          <w:sz w:val="22"/>
          <w:szCs w:val="22"/>
          <w:lang w:val="en-GB"/>
        </w:rPr>
        <w:t>in vacuo</w:t>
      </w:r>
      <w:r>
        <w:rPr>
          <w:sz w:val="22"/>
          <w:szCs w:val="22"/>
          <w:lang w:val="en-GB"/>
        </w:rPr>
        <w:t xml:space="preserve"> and without </w:t>
      </w:r>
      <w:proofErr w:type="gramStart"/>
      <w:r>
        <w:rPr>
          <w:sz w:val="22"/>
          <w:szCs w:val="22"/>
          <w:lang w:val="en-GB"/>
        </w:rPr>
        <w:t>taking into account</w:t>
      </w:r>
      <w:proofErr w:type="gramEnd"/>
      <w:r>
        <w:rPr>
          <w:sz w:val="22"/>
          <w:szCs w:val="22"/>
          <w:lang w:val="en-GB"/>
        </w:rPr>
        <w:t xml:space="preserve"> the conduct of the debtor which preceded it. If the preceding conduct throws light upon the interpretation which should be accorded to the later act or conduct which is said to be an acknowledgement of liability, it would be wrong to insist upon the later act or conduct being viewed in isolation. In the end, of course, one must also be able to say when the acknowledgement of liability was </w:t>
      </w:r>
      <w:r>
        <w:rPr>
          <w:sz w:val="22"/>
          <w:szCs w:val="22"/>
          <w:lang w:val="en-GB"/>
        </w:rPr>
        <w:lastRenderedPageBreak/>
        <w:t>made, for otherwise it would not be possible to say from what day prescription commenced to run afresh … Thirdly, the test is objective. What did the debtor’s conduct convey</w:t>
      </w:r>
      <w:r w:rsidR="000A531E">
        <w:rPr>
          <w:sz w:val="22"/>
          <w:szCs w:val="22"/>
          <w:lang w:val="en-GB"/>
        </w:rPr>
        <w:t>?</w:t>
      </w:r>
      <w:r>
        <w:rPr>
          <w:sz w:val="22"/>
          <w:szCs w:val="22"/>
          <w:lang w:val="en-GB"/>
        </w:rPr>
        <w:t>’</w:t>
      </w:r>
    </w:p>
    <w:p w14:paraId="7D5E22A1" w14:textId="77777777" w:rsidR="00D92DF1" w:rsidRPr="002F29C9" w:rsidRDefault="00D92DF1" w:rsidP="00D92DF1">
      <w:pPr>
        <w:jc w:val="both"/>
        <w:rPr>
          <w:sz w:val="22"/>
          <w:szCs w:val="22"/>
          <w:lang w:val="en-GB"/>
        </w:rPr>
      </w:pPr>
    </w:p>
    <w:p w14:paraId="1F636F4E" w14:textId="77777777" w:rsidR="000F7C27" w:rsidRPr="004B6A93" w:rsidRDefault="004B6A93" w:rsidP="004B6A93">
      <w:pPr>
        <w:pStyle w:val="ListParagraph"/>
        <w:numPr>
          <w:ilvl w:val="0"/>
          <w:numId w:val="10"/>
        </w:numPr>
        <w:autoSpaceDE w:val="0"/>
        <w:autoSpaceDN w:val="0"/>
        <w:adjustRightInd w:val="0"/>
        <w:ind w:left="0" w:firstLine="0"/>
        <w:jc w:val="both"/>
        <w:rPr>
          <w:lang w:val="en-GB"/>
        </w:rPr>
      </w:pPr>
      <w:r>
        <w:rPr>
          <w:lang w:val="en-GB"/>
        </w:rPr>
        <w:t>Any sort of conduct may provide the necessary material to reveal the debtor’s state of mind as one intending to admit the existence of the debt and liability therefore.</w:t>
      </w:r>
      <w:r>
        <w:rPr>
          <w:rStyle w:val="FootnoteReference"/>
          <w:lang w:val="en-GB"/>
        </w:rPr>
        <w:footnoteReference w:id="57"/>
      </w:r>
      <w:r>
        <w:rPr>
          <w:lang w:val="en-GB"/>
        </w:rPr>
        <w:t xml:space="preserve"> It must be emphasised that the context in which the payments were made, and accepted, was the agreement to sell the property and the </w:t>
      </w:r>
      <w:r w:rsidR="003F7787">
        <w:rPr>
          <w:lang w:val="en-GB"/>
        </w:rPr>
        <w:t xml:space="preserve">express </w:t>
      </w:r>
      <w:r>
        <w:rPr>
          <w:lang w:val="en-GB"/>
        </w:rPr>
        <w:t>undertaking to transfer same once the purchase price and transfer costs had been paid in full.</w:t>
      </w:r>
      <w:r>
        <w:rPr>
          <w:rStyle w:val="FootnoteReference"/>
          <w:lang w:val="en-GB"/>
        </w:rPr>
        <w:footnoteReference w:id="58"/>
      </w:r>
      <w:r>
        <w:rPr>
          <w:lang w:val="en-GB"/>
        </w:rPr>
        <w:t xml:space="preserve"> </w:t>
      </w:r>
      <w:r w:rsidR="00D92DF1" w:rsidRPr="004B6A93">
        <w:rPr>
          <w:lang w:val="en-GB"/>
        </w:rPr>
        <w:t>If the school’s payment of instalments towards the agreed purchase price constituted a series of tacit acknowledgements of liability, so that prescription was interrupted on the date of each payment and commenced running again from those dates,</w:t>
      </w:r>
      <w:r w:rsidR="00D92DF1">
        <w:rPr>
          <w:rStyle w:val="FootnoteReference"/>
          <w:lang w:val="en-GB"/>
        </w:rPr>
        <w:footnoteReference w:id="59"/>
      </w:r>
      <w:r w:rsidR="00D92DF1" w:rsidRPr="004B6A93">
        <w:rPr>
          <w:lang w:val="en-GB"/>
        </w:rPr>
        <w:t xml:space="preserve"> the trust’s continued acceptance of such payments must operate with similar effect in the context of the agreement, including the term implied by s 27(1). </w:t>
      </w:r>
    </w:p>
    <w:p w14:paraId="44B1BDB5" w14:textId="77777777" w:rsidR="004B6A93" w:rsidRPr="004B6A93" w:rsidRDefault="004B6A93" w:rsidP="004B6A93">
      <w:pPr>
        <w:pStyle w:val="ListParagraph"/>
        <w:autoSpaceDE w:val="0"/>
        <w:autoSpaceDN w:val="0"/>
        <w:adjustRightInd w:val="0"/>
        <w:ind w:left="0"/>
        <w:jc w:val="both"/>
        <w:rPr>
          <w:lang w:val="en-GB"/>
        </w:rPr>
      </w:pPr>
    </w:p>
    <w:p w14:paraId="71C78F55" w14:textId="77777777" w:rsidR="000F7C27" w:rsidRDefault="00B857E3" w:rsidP="000F7C27">
      <w:pPr>
        <w:pStyle w:val="ListParagraph"/>
        <w:numPr>
          <w:ilvl w:val="0"/>
          <w:numId w:val="10"/>
        </w:numPr>
        <w:autoSpaceDE w:val="0"/>
        <w:autoSpaceDN w:val="0"/>
        <w:adjustRightInd w:val="0"/>
        <w:ind w:left="0" w:firstLine="0"/>
        <w:jc w:val="both"/>
        <w:rPr>
          <w:lang w:val="en-GB"/>
        </w:rPr>
      </w:pPr>
      <w:r>
        <w:rPr>
          <w:lang w:val="en-GB"/>
        </w:rPr>
        <w:t>Finally</w:t>
      </w:r>
      <w:r w:rsidR="000F7C27">
        <w:rPr>
          <w:lang w:val="en-GB"/>
        </w:rPr>
        <w:t>, completion of the period of prescription is also delayed in certain circumstances</w:t>
      </w:r>
      <w:r w:rsidR="004B127E">
        <w:rPr>
          <w:lang w:val="en-GB"/>
        </w:rPr>
        <w:t xml:space="preserve"> in terms of the provisions of the Prescription Act</w:t>
      </w:r>
      <w:r w:rsidR="000F7C27">
        <w:rPr>
          <w:lang w:val="en-GB"/>
        </w:rPr>
        <w:t>. Section 13(2) reads as follows:</w:t>
      </w:r>
    </w:p>
    <w:p w14:paraId="0FD2B421" w14:textId="77777777" w:rsidR="000572F6" w:rsidRDefault="000572F6" w:rsidP="000572F6">
      <w:pPr>
        <w:jc w:val="both"/>
        <w:rPr>
          <w:sz w:val="22"/>
          <w:szCs w:val="22"/>
          <w:lang w:val="en-GB"/>
        </w:rPr>
      </w:pPr>
      <w:r>
        <w:rPr>
          <w:sz w:val="22"/>
          <w:szCs w:val="22"/>
          <w:lang w:val="en-GB"/>
        </w:rPr>
        <w:t xml:space="preserve">‘A debt which arises from a </w:t>
      </w:r>
      <w:proofErr w:type="gramStart"/>
      <w:r>
        <w:rPr>
          <w:sz w:val="22"/>
          <w:szCs w:val="22"/>
          <w:lang w:val="en-GB"/>
        </w:rPr>
        <w:t>contract</w:t>
      </w:r>
      <w:proofErr w:type="gramEnd"/>
      <w:r>
        <w:rPr>
          <w:sz w:val="22"/>
          <w:szCs w:val="22"/>
          <w:lang w:val="en-GB"/>
        </w:rPr>
        <w:t xml:space="preserve"> and which would, but for the provisions of this subsection, become prescribed before a reciprocal debt which arises from the same contract becomes prescribed, shall not become prescribed before the reciprocal debt becomes prescribed.’</w:t>
      </w:r>
    </w:p>
    <w:p w14:paraId="21552065" w14:textId="77777777" w:rsidR="000572F6" w:rsidRDefault="000572F6" w:rsidP="000572F6">
      <w:pPr>
        <w:pStyle w:val="ListParagraph"/>
        <w:autoSpaceDE w:val="0"/>
        <w:autoSpaceDN w:val="0"/>
        <w:adjustRightInd w:val="0"/>
        <w:ind w:left="0"/>
        <w:jc w:val="both"/>
        <w:rPr>
          <w:lang w:val="en-GB"/>
        </w:rPr>
      </w:pPr>
      <w:r w:rsidRPr="00F3432E">
        <w:rPr>
          <w:lang w:val="en-GB"/>
        </w:rPr>
        <w:t xml:space="preserve">It is clear that in the case of a contract for a sale of land with the purchase price payable by instalments, the seller’s debt to the purchaser to transfer the property and the purchaser’s debt to the seller to pay the price are ‘reciprocal </w:t>
      </w:r>
      <w:proofErr w:type="gramStart"/>
      <w:r w:rsidRPr="00F3432E">
        <w:rPr>
          <w:lang w:val="en-GB"/>
        </w:rPr>
        <w:t>debts’</w:t>
      </w:r>
      <w:proofErr w:type="gramEnd"/>
      <w:r w:rsidRPr="00F3432E">
        <w:rPr>
          <w:lang w:val="en-GB"/>
        </w:rPr>
        <w:t>.</w:t>
      </w:r>
      <w:r>
        <w:rPr>
          <w:rStyle w:val="FootnoteReference"/>
          <w:lang w:val="en-GB"/>
        </w:rPr>
        <w:footnoteReference w:id="60"/>
      </w:r>
      <w:r>
        <w:rPr>
          <w:lang w:val="en-GB"/>
        </w:rPr>
        <w:t xml:space="preserve"> </w:t>
      </w:r>
      <w:r>
        <w:rPr>
          <w:i/>
          <w:iCs/>
          <w:lang w:val="en-GB"/>
        </w:rPr>
        <w:t>Botha</w:t>
      </w:r>
      <w:r>
        <w:rPr>
          <w:lang w:val="en-GB"/>
        </w:rPr>
        <w:t xml:space="preserve"> confirms the position:</w:t>
      </w:r>
    </w:p>
    <w:p w14:paraId="59C88454" w14:textId="77777777" w:rsidR="000572F6" w:rsidRPr="000572F6" w:rsidRDefault="000572F6" w:rsidP="000572F6">
      <w:pPr>
        <w:pStyle w:val="ListParagraph"/>
        <w:autoSpaceDE w:val="0"/>
        <w:autoSpaceDN w:val="0"/>
        <w:adjustRightInd w:val="0"/>
        <w:ind w:left="0"/>
        <w:jc w:val="both"/>
        <w:rPr>
          <w:sz w:val="22"/>
          <w:szCs w:val="22"/>
          <w:lang w:val="en-GB"/>
        </w:rPr>
      </w:pPr>
      <w:r>
        <w:rPr>
          <w:sz w:val="22"/>
          <w:szCs w:val="22"/>
          <w:lang w:val="en-GB"/>
        </w:rPr>
        <w:t>‘…there is a presumption that obligations in bilateral contracts are reciprocal. The presumption is not rebutted here. If anything, section 27(1) indicates that the seller’s obligation to give transfer and the purchaser’s obligation to pay instalments timeously are intimately interconnected</w:t>
      </w:r>
      <w:r w:rsidR="006F6943">
        <w:rPr>
          <w:sz w:val="22"/>
          <w:szCs w:val="22"/>
          <w:lang w:val="en-GB"/>
        </w:rPr>
        <w:t xml:space="preserve">. That is why the purchaser is entitled to transfer only “on condition that simultaneously with the registration of transfer there shall be registered in favour of the seller a first mortgage bond over the land to secure the balance of the purchaser price and interest”. </w:t>
      </w:r>
      <w:r>
        <w:rPr>
          <w:sz w:val="22"/>
          <w:szCs w:val="22"/>
          <w:lang w:val="en-GB"/>
        </w:rPr>
        <w:t xml:space="preserve">The section thus recognises that it would be unfair for the purchaser to maintain her rights in </w:t>
      </w:r>
      <w:r>
        <w:rPr>
          <w:sz w:val="22"/>
          <w:szCs w:val="22"/>
          <w:lang w:val="en-GB"/>
        </w:rPr>
        <w:lastRenderedPageBreak/>
        <w:t>the property if she falls into arrears. It follows inexorably that the provision does not allow the purchaser to obtain rights in the property unless she first purges her arrears.’</w:t>
      </w:r>
    </w:p>
    <w:p w14:paraId="7C8968D9" w14:textId="77777777" w:rsidR="00DF6CAD" w:rsidRPr="00DF6CAD" w:rsidRDefault="00DF6CAD" w:rsidP="00DF6CAD">
      <w:pPr>
        <w:pStyle w:val="ListParagraph"/>
        <w:rPr>
          <w:lang w:val="en-GB"/>
        </w:rPr>
      </w:pPr>
    </w:p>
    <w:p w14:paraId="3E8840F9" w14:textId="77777777" w:rsidR="00DF6CAD" w:rsidRPr="000572F6" w:rsidRDefault="00DF6CAD" w:rsidP="00DF6CAD">
      <w:pPr>
        <w:pStyle w:val="ListParagraph"/>
        <w:numPr>
          <w:ilvl w:val="0"/>
          <w:numId w:val="10"/>
        </w:numPr>
        <w:autoSpaceDE w:val="0"/>
        <w:autoSpaceDN w:val="0"/>
        <w:adjustRightInd w:val="0"/>
        <w:ind w:left="0" w:firstLine="0"/>
        <w:jc w:val="both"/>
        <w:rPr>
          <w:lang w:val="en-GB"/>
        </w:rPr>
      </w:pPr>
      <w:r w:rsidRPr="000572F6">
        <w:rPr>
          <w:lang w:val="en-GB"/>
        </w:rPr>
        <w:t>In the case of debts payable in instalments, prescription runs in respect of each instalment as it falls due.</w:t>
      </w:r>
      <w:r>
        <w:rPr>
          <w:rStyle w:val="FootnoteReference"/>
          <w:lang w:val="en-GB"/>
        </w:rPr>
        <w:footnoteReference w:id="61"/>
      </w:r>
      <w:r w:rsidRPr="000572F6">
        <w:rPr>
          <w:lang w:val="en-GB"/>
        </w:rPr>
        <w:t xml:space="preserve"> Leaving aside the purported cancellation, having accepted the final payment made by the school on 3 December 2020, the trust’s entitlement to claim the outstanding balance, or subsequent instalment, would not have prescribed for a three-year period from that date, at the earliest. In the normal course of events, a debt is due when it is ‘claimable’ by a creditor, and as the corollary thereof, is payable by the debtor.</w:t>
      </w:r>
      <w:r>
        <w:rPr>
          <w:rStyle w:val="FootnoteReference"/>
          <w:lang w:val="en-GB"/>
        </w:rPr>
        <w:footnoteReference w:id="62"/>
      </w:r>
      <w:r w:rsidRPr="000572F6">
        <w:rPr>
          <w:lang w:val="en-GB"/>
        </w:rPr>
        <w:t xml:space="preserve"> The effect of s 13(2) is that the reciprocal debt to transfer the property, an implied contractual term relied upon by the school, does not prescribe until that point in time.</w:t>
      </w:r>
      <w:r>
        <w:rPr>
          <w:rStyle w:val="FootnoteReference"/>
          <w:lang w:val="en-GB"/>
        </w:rPr>
        <w:footnoteReference w:id="63"/>
      </w:r>
    </w:p>
    <w:p w14:paraId="0C3158EB" w14:textId="77777777" w:rsidR="00DF6CAD" w:rsidRDefault="00DF6CAD" w:rsidP="00DF6CAD">
      <w:pPr>
        <w:pStyle w:val="ListParagraph"/>
        <w:autoSpaceDE w:val="0"/>
        <w:autoSpaceDN w:val="0"/>
        <w:adjustRightInd w:val="0"/>
        <w:ind w:left="0"/>
        <w:jc w:val="both"/>
        <w:rPr>
          <w:lang w:val="en-GB"/>
        </w:rPr>
      </w:pPr>
    </w:p>
    <w:p w14:paraId="5C2CD549" w14:textId="5EA040CF" w:rsidR="00C503E4" w:rsidRDefault="006836E1" w:rsidP="000F7C27">
      <w:pPr>
        <w:pStyle w:val="ListParagraph"/>
        <w:numPr>
          <w:ilvl w:val="0"/>
          <w:numId w:val="10"/>
        </w:numPr>
        <w:autoSpaceDE w:val="0"/>
        <w:autoSpaceDN w:val="0"/>
        <w:adjustRightInd w:val="0"/>
        <w:ind w:left="0" w:firstLine="0"/>
        <w:jc w:val="both"/>
        <w:rPr>
          <w:lang w:val="en-GB"/>
        </w:rPr>
      </w:pPr>
      <w:r>
        <w:rPr>
          <w:lang w:val="en-GB"/>
        </w:rPr>
        <w:t>In conclusion, i</w:t>
      </w:r>
      <w:r w:rsidR="00185244">
        <w:rPr>
          <w:lang w:val="en-GB"/>
        </w:rPr>
        <w:t>t may be added</w:t>
      </w:r>
      <w:r>
        <w:rPr>
          <w:lang w:val="en-GB"/>
        </w:rPr>
        <w:t xml:space="preserve"> </w:t>
      </w:r>
      <w:r w:rsidR="00185244">
        <w:rPr>
          <w:lang w:val="en-GB"/>
        </w:rPr>
        <w:t>that t</w:t>
      </w:r>
      <w:r w:rsidR="00EF7DDD">
        <w:rPr>
          <w:lang w:val="en-GB"/>
        </w:rPr>
        <w:t>his is not one of the cases where a creditor seeks to postpone the commencement of prescription based on their own failure to perform in order to delay the running of prescription.</w:t>
      </w:r>
      <w:r w:rsidR="00EF7DDD">
        <w:rPr>
          <w:rStyle w:val="FootnoteReference"/>
          <w:lang w:val="en-GB"/>
        </w:rPr>
        <w:footnoteReference w:id="64"/>
      </w:r>
      <w:r w:rsidR="00EF7DDD">
        <w:rPr>
          <w:lang w:val="en-GB"/>
        </w:rPr>
        <w:t xml:space="preserve"> </w:t>
      </w:r>
      <w:r w:rsidR="00340556">
        <w:rPr>
          <w:lang w:val="en-GB"/>
        </w:rPr>
        <w:t>Prescription, it must be remembered, is aimed at penalising negligent inaction, rather than innocent inaction.</w:t>
      </w:r>
      <w:r w:rsidR="00340556">
        <w:rPr>
          <w:rStyle w:val="FootnoteReference"/>
          <w:lang w:val="en-GB"/>
        </w:rPr>
        <w:footnoteReference w:id="65"/>
      </w:r>
      <w:r w:rsidR="00340556">
        <w:rPr>
          <w:lang w:val="en-GB"/>
        </w:rPr>
        <w:t xml:space="preserve"> </w:t>
      </w:r>
      <w:r w:rsidR="00EF7DDD">
        <w:rPr>
          <w:lang w:val="en-GB"/>
        </w:rPr>
        <w:t>The continued attempts at payment distinguish the matter from cases where a negligent creditor ‘failed to take or initiate any steps’ to satisfy its reciprocal obligations.</w:t>
      </w:r>
      <w:r w:rsidR="00EF7DDD">
        <w:rPr>
          <w:rStyle w:val="FootnoteReference"/>
          <w:lang w:val="en-GB"/>
        </w:rPr>
        <w:footnoteReference w:id="66"/>
      </w:r>
      <w:r w:rsidR="00EF7DDD">
        <w:rPr>
          <w:lang w:val="en-GB"/>
        </w:rPr>
        <w:t xml:space="preserve"> </w:t>
      </w:r>
      <w:r w:rsidR="000F7C27">
        <w:rPr>
          <w:lang w:val="en-GB"/>
        </w:rPr>
        <w:t xml:space="preserve">The acceptance of the instalments paid on 15 May 2019 and 3 December 2020 must be viewed in the context of an invalid attempt to cancel the agreement on 31 January 2019. The demand for transfer of the land, based on the contractual right implied by s 27(1), occurred on or about 20 October 2022, when the </w:t>
      </w:r>
      <w:r w:rsidR="000F7C27">
        <w:rPr>
          <w:lang w:val="en-GB"/>
        </w:rPr>
        <w:lastRenderedPageBreak/>
        <w:t>application was served on the respondent’s attorneys.</w:t>
      </w:r>
      <w:r w:rsidR="000F7C27">
        <w:rPr>
          <w:rStyle w:val="FootnoteReference"/>
          <w:lang w:val="en-GB"/>
        </w:rPr>
        <w:footnoteReference w:id="67"/>
      </w:r>
      <w:r w:rsidR="000F7C27">
        <w:rPr>
          <w:lang w:val="en-GB"/>
        </w:rPr>
        <w:t xml:space="preserve"> </w:t>
      </w:r>
      <w:r w:rsidR="000F7C27">
        <w:rPr>
          <w:i/>
          <w:iCs/>
          <w:lang w:val="en-GB"/>
        </w:rPr>
        <w:t>Botha</w:t>
      </w:r>
      <w:r w:rsidR="000F7C27">
        <w:rPr>
          <w:lang w:val="en-GB"/>
        </w:rPr>
        <w:t xml:space="preserve"> explains that, in terms of s 27(3), the school enjoyed the option to cancel the deed of alienation in terms of s 27(3) and to claim the relief included in s 28(1) of the Act, should the seller be ‘unable, fails or refuses to tender transfer within three months of the receipt of the demand’. In addition, based on that authority, it was entitled to invoke s 27(1) directly and demand transfer of the property</w:t>
      </w:r>
      <w:r w:rsidR="00F9159F">
        <w:rPr>
          <w:lang w:val="en-GB"/>
        </w:rPr>
        <w:t>, as it did</w:t>
      </w:r>
      <w:r w:rsidR="000F7C27">
        <w:rPr>
          <w:lang w:val="en-GB"/>
        </w:rPr>
        <w:t>.</w:t>
      </w:r>
      <w:r w:rsidR="000F7C27">
        <w:rPr>
          <w:rStyle w:val="FootnoteReference"/>
          <w:lang w:val="en-GB"/>
        </w:rPr>
        <w:footnoteReference w:id="68"/>
      </w:r>
      <w:r w:rsidR="008D20A4">
        <w:rPr>
          <w:lang w:val="en-GB"/>
        </w:rPr>
        <w:t xml:space="preserve"> </w:t>
      </w:r>
      <w:r w:rsidR="00460EC3">
        <w:rPr>
          <w:lang w:val="en-GB"/>
        </w:rPr>
        <w:t>There is no basis to refuse to exercise the discretion to award specific performance in the circumstances.</w:t>
      </w:r>
    </w:p>
    <w:p w14:paraId="3EFF27EA" w14:textId="77777777" w:rsidR="00C503E4" w:rsidRDefault="00C503E4" w:rsidP="00C503E4">
      <w:pPr>
        <w:pStyle w:val="ListParagraph"/>
        <w:autoSpaceDE w:val="0"/>
        <w:autoSpaceDN w:val="0"/>
        <w:adjustRightInd w:val="0"/>
        <w:ind w:left="0"/>
        <w:jc w:val="both"/>
        <w:rPr>
          <w:lang w:val="en-GB"/>
        </w:rPr>
      </w:pPr>
    </w:p>
    <w:p w14:paraId="5DAB000B" w14:textId="77777777" w:rsidR="000F7C27" w:rsidRPr="00720770" w:rsidRDefault="000F7C27" w:rsidP="00720770">
      <w:pPr>
        <w:pStyle w:val="ListParagraph"/>
        <w:numPr>
          <w:ilvl w:val="0"/>
          <w:numId w:val="10"/>
        </w:numPr>
        <w:autoSpaceDE w:val="0"/>
        <w:autoSpaceDN w:val="0"/>
        <w:adjustRightInd w:val="0"/>
        <w:ind w:left="0" w:firstLine="0"/>
        <w:jc w:val="both"/>
        <w:rPr>
          <w:lang w:val="en-GB"/>
        </w:rPr>
      </w:pPr>
      <w:r>
        <w:rPr>
          <w:lang w:val="en-GB"/>
        </w:rPr>
        <w:t xml:space="preserve"> </w:t>
      </w:r>
      <w:r w:rsidR="008D20A4">
        <w:rPr>
          <w:lang w:val="en-GB"/>
        </w:rPr>
        <w:t xml:space="preserve">In all the circumstances, </w:t>
      </w:r>
      <w:r w:rsidR="009734F5">
        <w:rPr>
          <w:lang w:val="en-GB"/>
        </w:rPr>
        <w:t xml:space="preserve">the school is entitled to the relief it seeks, modified in accordance with </w:t>
      </w:r>
      <w:r w:rsidR="009734F5">
        <w:rPr>
          <w:i/>
          <w:iCs/>
          <w:lang w:val="en-GB"/>
        </w:rPr>
        <w:t>Botha</w:t>
      </w:r>
      <w:r w:rsidR="009734F5">
        <w:rPr>
          <w:lang w:val="en-GB"/>
        </w:rPr>
        <w:t xml:space="preserve"> to ensure that the trust is not disproportionately affected as a result.</w:t>
      </w:r>
      <w:r w:rsidR="00E6368D">
        <w:rPr>
          <w:lang w:val="en-GB"/>
        </w:rPr>
        <w:t xml:space="preserve"> </w:t>
      </w:r>
      <w:r w:rsidR="00E6368D" w:rsidRPr="00720770">
        <w:rPr>
          <w:lang w:val="en-GB"/>
        </w:rPr>
        <w:t>The usual order as to costs is appropriate.</w:t>
      </w:r>
      <w:r w:rsidR="0028273F" w:rsidRPr="00720770">
        <w:rPr>
          <w:lang w:val="en-GB"/>
        </w:rPr>
        <w:t xml:space="preserve"> </w:t>
      </w:r>
      <w:r w:rsidR="00720770" w:rsidRPr="00720770">
        <w:rPr>
          <w:lang w:val="en-GB"/>
        </w:rPr>
        <w:t xml:space="preserve">Although counsel </w:t>
      </w:r>
      <w:proofErr w:type="gramStart"/>
      <w:r w:rsidR="00720770" w:rsidRPr="00720770">
        <w:rPr>
          <w:lang w:val="en-GB"/>
        </w:rPr>
        <w:t>were</w:t>
      </w:r>
      <w:proofErr w:type="gramEnd"/>
      <w:r w:rsidR="00720770" w:rsidRPr="00720770">
        <w:rPr>
          <w:lang w:val="en-GB"/>
        </w:rPr>
        <w:t xml:space="preserve"> directed to furnish further heads, this was primarily due to the failure to address the</w:t>
      </w:r>
      <w:r w:rsidR="00D40B86">
        <w:rPr>
          <w:lang w:val="en-GB"/>
        </w:rPr>
        <w:t xml:space="preserve"> </w:t>
      </w:r>
      <w:r w:rsidR="00D40B86">
        <w:rPr>
          <w:i/>
          <w:iCs/>
          <w:lang w:val="en-GB"/>
        </w:rPr>
        <w:t>Botha</w:t>
      </w:r>
      <w:r w:rsidR="00720770" w:rsidRPr="00720770">
        <w:rPr>
          <w:lang w:val="en-GB"/>
        </w:rPr>
        <w:t xml:space="preserve"> judgment </w:t>
      </w:r>
      <w:r w:rsidR="00720770">
        <w:rPr>
          <w:lang w:val="en-GB"/>
        </w:rPr>
        <w:t>in earlier heads of argument</w:t>
      </w:r>
      <w:r w:rsidR="00CD38F8">
        <w:rPr>
          <w:lang w:val="en-GB"/>
        </w:rPr>
        <w:t>. N</w:t>
      </w:r>
      <w:r w:rsidR="00720770">
        <w:rPr>
          <w:lang w:val="en-GB"/>
        </w:rPr>
        <w:t xml:space="preserve">o special direction </w:t>
      </w:r>
      <w:r w:rsidR="00CD38F8">
        <w:rPr>
          <w:lang w:val="en-GB"/>
        </w:rPr>
        <w:t xml:space="preserve">in that respect </w:t>
      </w:r>
      <w:r w:rsidR="00720770">
        <w:rPr>
          <w:lang w:val="en-GB"/>
        </w:rPr>
        <w:t>is warranted.</w:t>
      </w:r>
    </w:p>
    <w:p w14:paraId="042D7D24" w14:textId="77777777" w:rsidR="007A2E53" w:rsidRDefault="007A2E53" w:rsidP="00D73B81">
      <w:pPr>
        <w:rPr>
          <w:lang w:val="en-GB"/>
        </w:rPr>
      </w:pPr>
    </w:p>
    <w:p w14:paraId="60268B11" w14:textId="72A1C3A3" w:rsidR="00D73B81" w:rsidRDefault="00D73B81" w:rsidP="00D73B81">
      <w:pPr>
        <w:rPr>
          <w:b/>
          <w:bCs/>
          <w:lang w:val="en-GB"/>
        </w:rPr>
      </w:pPr>
      <w:r>
        <w:rPr>
          <w:b/>
          <w:bCs/>
          <w:lang w:val="en-GB"/>
        </w:rPr>
        <w:t>Order</w:t>
      </w:r>
    </w:p>
    <w:p w14:paraId="42DB30C9" w14:textId="77777777" w:rsidR="00F0517D" w:rsidRDefault="00F0517D" w:rsidP="00D73B81">
      <w:pPr>
        <w:rPr>
          <w:b/>
          <w:bCs/>
          <w:lang w:val="en-GB"/>
        </w:rPr>
      </w:pPr>
    </w:p>
    <w:p w14:paraId="41B205D5" w14:textId="60883FEE" w:rsidR="007A2E53" w:rsidRDefault="00D73B81" w:rsidP="000F7C27">
      <w:pPr>
        <w:pStyle w:val="ListParagraph"/>
        <w:numPr>
          <w:ilvl w:val="0"/>
          <w:numId w:val="10"/>
        </w:numPr>
        <w:autoSpaceDE w:val="0"/>
        <w:autoSpaceDN w:val="0"/>
        <w:adjustRightInd w:val="0"/>
        <w:ind w:left="0" w:firstLine="0"/>
        <w:jc w:val="both"/>
        <w:rPr>
          <w:lang w:val="en-GB"/>
        </w:rPr>
      </w:pPr>
      <w:r>
        <w:rPr>
          <w:lang w:val="en-GB"/>
        </w:rPr>
        <w:t>The following order is made:</w:t>
      </w:r>
    </w:p>
    <w:p w14:paraId="66098379" w14:textId="77777777" w:rsidR="00F0517D" w:rsidRDefault="00F0517D" w:rsidP="00F0517D">
      <w:pPr>
        <w:pStyle w:val="ListParagraph"/>
        <w:autoSpaceDE w:val="0"/>
        <w:autoSpaceDN w:val="0"/>
        <w:adjustRightInd w:val="0"/>
        <w:ind w:left="0"/>
        <w:jc w:val="both"/>
        <w:rPr>
          <w:lang w:val="en-GB"/>
        </w:rPr>
      </w:pPr>
    </w:p>
    <w:p w14:paraId="6596A37A" w14:textId="77777777" w:rsidR="00D73B81" w:rsidRDefault="00D73B81" w:rsidP="000A531E">
      <w:pPr>
        <w:pStyle w:val="ListParagraph"/>
        <w:numPr>
          <w:ilvl w:val="0"/>
          <w:numId w:val="18"/>
        </w:numPr>
        <w:tabs>
          <w:tab w:val="left" w:pos="851"/>
        </w:tabs>
        <w:autoSpaceDE w:val="0"/>
        <w:autoSpaceDN w:val="0"/>
        <w:adjustRightInd w:val="0"/>
        <w:ind w:hanging="720"/>
        <w:jc w:val="both"/>
        <w:rPr>
          <w:lang w:val="en-GB"/>
        </w:rPr>
      </w:pPr>
      <w:r>
        <w:rPr>
          <w:lang w:val="en-GB"/>
        </w:rPr>
        <w:t>The respondents (‘the Trustees’) are ordered to sign all necessary documents to effect the registration and transfer of the remainder of Erf 4793 Queenstown and remainder of Erf 1140 Queenstown, held by deed transfer number T5603/2012 (‘the property’) into the name of the applicant, against the simultaneous:</w:t>
      </w:r>
    </w:p>
    <w:p w14:paraId="5F0A7D20" w14:textId="77777777" w:rsidR="00D73B81" w:rsidRPr="00D73B81" w:rsidRDefault="00D73B81" w:rsidP="000A531E">
      <w:pPr>
        <w:pStyle w:val="ListParagraph"/>
        <w:numPr>
          <w:ilvl w:val="0"/>
          <w:numId w:val="19"/>
        </w:numPr>
        <w:autoSpaceDE w:val="0"/>
        <w:autoSpaceDN w:val="0"/>
        <w:adjustRightInd w:val="0"/>
        <w:ind w:left="1134" w:hanging="567"/>
        <w:jc w:val="both"/>
        <w:rPr>
          <w:lang w:val="en-GB"/>
        </w:rPr>
      </w:pPr>
      <w:r>
        <w:rPr>
          <w:lang w:val="en-GB"/>
        </w:rPr>
        <w:t>Payment of any arrears owing and outstanding amounts levied in respect of municipal rates, taxes and service fees under the instalment sale agreement, by the applicant to the VF Group Trust IT29/2011 (‘Trust’</w:t>
      </w:r>
      <w:proofErr w:type="gramStart"/>
      <w:r>
        <w:rPr>
          <w:lang w:val="en-GB"/>
        </w:rPr>
        <w:t>);</w:t>
      </w:r>
      <w:proofErr w:type="gramEnd"/>
      <w:r>
        <w:rPr>
          <w:lang w:val="en-GB"/>
        </w:rPr>
        <w:t xml:space="preserve"> </w:t>
      </w:r>
    </w:p>
    <w:p w14:paraId="306F0D7E" w14:textId="77777777" w:rsidR="00D73B81" w:rsidRDefault="00D73B81" w:rsidP="000A531E">
      <w:pPr>
        <w:pStyle w:val="ListParagraph"/>
        <w:numPr>
          <w:ilvl w:val="0"/>
          <w:numId w:val="19"/>
        </w:numPr>
        <w:autoSpaceDE w:val="0"/>
        <w:autoSpaceDN w:val="0"/>
        <w:adjustRightInd w:val="0"/>
        <w:ind w:left="1134" w:hanging="567"/>
        <w:jc w:val="both"/>
        <w:rPr>
          <w:lang w:val="en-GB"/>
        </w:rPr>
      </w:pPr>
      <w:r>
        <w:rPr>
          <w:lang w:val="en-GB"/>
        </w:rPr>
        <w:lastRenderedPageBreak/>
        <w:t>Registration of a first mortgage bond over the property in favour of the Trust to secure the balance of the purchase price and interest thereon in terms of the agreement; and</w:t>
      </w:r>
    </w:p>
    <w:p w14:paraId="2F655E96" w14:textId="77777777" w:rsidR="00D73B81" w:rsidRDefault="00D73B81" w:rsidP="000A531E">
      <w:pPr>
        <w:pStyle w:val="ListParagraph"/>
        <w:numPr>
          <w:ilvl w:val="0"/>
          <w:numId w:val="19"/>
        </w:numPr>
        <w:autoSpaceDE w:val="0"/>
        <w:autoSpaceDN w:val="0"/>
        <w:adjustRightInd w:val="0"/>
        <w:ind w:left="1134" w:hanging="567"/>
        <w:jc w:val="both"/>
        <w:rPr>
          <w:lang w:val="en-GB"/>
        </w:rPr>
      </w:pPr>
      <w:r>
        <w:rPr>
          <w:lang w:val="en-GB"/>
        </w:rPr>
        <w:t>Payment of all costs of transfer.</w:t>
      </w:r>
    </w:p>
    <w:p w14:paraId="5EEA62BA" w14:textId="77777777" w:rsidR="001A640B" w:rsidRDefault="001A640B" w:rsidP="001A640B">
      <w:pPr>
        <w:pStyle w:val="ListParagraph"/>
        <w:autoSpaceDE w:val="0"/>
        <w:autoSpaceDN w:val="0"/>
        <w:adjustRightInd w:val="0"/>
        <w:ind w:left="2160"/>
        <w:jc w:val="both"/>
        <w:rPr>
          <w:lang w:val="en-GB"/>
        </w:rPr>
      </w:pPr>
    </w:p>
    <w:p w14:paraId="60DA6949" w14:textId="77777777" w:rsidR="00D73B81" w:rsidRDefault="001A640B" w:rsidP="00D73B81">
      <w:pPr>
        <w:pStyle w:val="ListParagraph"/>
        <w:numPr>
          <w:ilvl w:val="0"/>
          <w:numId w:val="18"/>
        </w:numPr>
        <w:autoSpaceDE w:val="0"/>
        <w:autoSpaceDN w:val="0"/>
        <w:adjustRightInd w:val="0"/>
        <w:jc w:val="both"/>
        <w:rPr>
          <w:lang w:val="en-GB"/>
        </w:rPr>
      </w:pPr>
      <w:r>
        <w:rPr>
          <w:lang w:val="en-GB"/>
        </w:rPr>
        <w:t>The Trustees are ordered to pay the applicant’s costs.</w:t>
      </w:r>
    </w:p>
    <w:p w14:paraId="36060F0E" w14:textId="77777777" w:rsidR="00DF765B" w:rsidRPr="005F13AE" w:rsidRDefault="00DF765B" w:rsidP="005F13AE">
      <w:pPr>
        <w:rPr>
          <w:lang w:val="en-GB"/>
        </w:rPr>
      </w:pPr>
    </w:p>
    <w:p w14:paraId="217C5764" w14:textId="77777777" w:rsidR="0009148C" w:rsidRPr="0009148C" w:rsidRDefault="0009148C" w:rsidP="0009148C">
      <w:pPr>
        <w:pStyle w:val="ListParagraph"/>
        <w:rPr>
          <w:lang w:val="en-GB"/>
        </w:rPr>
      </w:pPr>
    </w:p>
    <w:p w14:paraId="3A315FDC" w14:textId="77777777" w:rsidR="003C3BC6" w:rsidRPr="00044B50" w:rsidRDefault="003C3BC6" w:rsidP="00AF6DF0">
      <w:pPr>
        <w:autoSpaceDE w:val="0"/>
        <w:autoSpaceDN w:val="0"/>
        <w:adjustRightInd w:val="0"/>
        <w:jc w:val="both"/>
        <w:rPr>
          <w:lang w:val="en-GB"/>
        </w:rPr>
      </w:pPr>
    </w:p>
    <w:p w14:paraId="13374E2C" w14:textId="77777777" w:rsidR="003C3BC6" w:rsidRPr="00044B50" w:rsidRDefault="003C3BC6" w:rsidP="00682CE5">
      <w:pPr>
        <w:autoSpaceDE w:val="0"/>
        <w:autoSpaceDN w:val="0"/>
        <w:adjustRightInd w:val="0"/>
        <w:jc w:val="both"/>
        <w:rPr>
          <w:lang w:val="en-GB"/>
        </w:rPr>
      </w:pPr>
    </w:p>
    <w:p w14:paraId="4BBE99E4" w14:textId="77777777" w:rsidR="00D450B5" w:rsidRPr="00044B50" w:rsidRDefault="00D450B5" w:rsidP="00CA056D">
      <w:pPr>
        <w:jc w:val="both"/>
        <w:rPr>
          <w:lang w:val="en-GB"/>
        </w:rPr>
      </w:pPr>
      <w:r w:rsidRPr="00044B50">
        <w:rPr>
          <w:lang w:val="en-GB"/>
        </w:rPr>
        <w:t>_______________</w:t>
      </w:r>
      <w:r w:rsidR="00276100" w:rsidRPr="00044B50">
        <w:rPr>
          <w:lang w:val="en-GB"/>
        </w:rPr>
        <w:t>__________</w:t>
      </w:r>
      <w:r w:rsidRPr="00044B50">
        <w:rPr>
          <w:lang w:val="en-GB"/>
        </w:rPr>
        <w:t xml:space="preserve"> </w:t>
      </w:r>
    </w:p>
    <w:p w14:paraId="6A22AA99" w14:textId="77777777" w:rsidR="00D450B5" w:rsidRPr="00044B50" w:rsidRDefault="00D450B5" w:rsidP="00CA056D">
      <w:pPr>
        <w:jc w:val="both"/>
        <w:rPr>
          <w:b/>
          <w:bCs/>
          <w:lang w:val="en-GB"/>
        </w:rPr>
      </w:pPr>
      <w:r w:rsidRPr="00044B50">
        <w:rPr>
          <w:b/>
          <w:bCs/>
          <w:lang w:val="en-GB"/>
        </w:rPr>
        <w:t xml:space="preserve">A GOVINDJEE                                                                                                                                                       </w:t>
      </w:r>
    </w:p>
    <w:p w14:paraId="4EF7A991" w14:textId="77777777" w:rsidR="00D450B5" w:rsidRPr="00044B50" w:rsidRDefault="00D450B5" w:rsidP="00CA056D">
      <w:pPr>
        <w:jc w:val="both"/>
        <w:rPr>
          <w:b/>
          <w:bCs/>
          <w:lang w:val="en-GB"/>
        </w:rPr>
      </w:pPr>
      <w:r w:rsidRPr="00044B50">
        <w:rPr>
          <w:b/>
          <w:bCs/>
          <w:lang w:val="en-GB"/>
        </w:rPr>
        <w:t>JUDGE OF THE HIGH COURT</w:t>
      </w:r>
    </w:p>
    <w:p w14:paraId="0E30EE6E" w14:textId="77777777" w:rsidR="00AA32DA" w:rsidRDefault="00AA32DA" w:rsidP="004A5151">
      <w:pPr>
        <w:autoSpaceDE w:val="0"/>
        <w:autoSpaceDN w:val="0"/>
        <w:adjustRightInd w:val="0"/>
        <w:jc w:val="both"/>
        <w:rPr>
          <w:lang w:val="en-GB"/>
        </w:rPr>
      </w:pPr>
    </w:p>
    <w:p w14:paraId="0637A1C5" w14:textId="77777777" w:rsidR="008A75F3" w:rsidRDefault="008A75F3" w:rsidP="008A75F3">
      <w:pPr>
        <w:widowControl w:val="0"/>
        <w:jc w:val="center"/>
        <w:rPr>
          <w:spacing w:val="14"/>
          <w:kern w:val="2"/>
          <w:lang w:val="en-GB"/>
        </w:rPr>
      </w:pPr>
    </w:p>
    <w:p w14:paraId="1F45B1B3" w14:textId="77777777" w:rsidR="007A7BBE" w:rsidRPr="00A87D38" w:rsidRDefault="007A7BBE" w:rsidP="00CA056D">
      <w:pPr>
        <w:widowControl w:val="0"/>
        <w:ind w:right="656"/>
        <w:rPr>
          <w:spacing w:val="14"/>
          <w:kern w:val="2"/>
          <w:lang w:val="en-GB"/>
        </w:rPr>
      </w:pPr>
      <w:r w:rsidRPr="006F3C52">
        <w:rPr>
          <w:b/>
          <w:bCs/>
          <w:spacing w:val="14"/>
          <w:kern w:val="2"/>
          <w:lang w:val="en-GB"/>
        </w:rPr>
        <w:t>Heard:</w:t>
      </w:r>
      <w:r w:rsidR="006F3C52">
        <w:rPr>
          <w:spacing w:val="14"/>
          <w:kern w:val="2"/>
          <w:lang w:val="en-GB"/>
        </w:rPr>
        <w:t xml:space="preserve"> 07 September 2023</w:t>
      </w:r>
    </w:p>
    <w:p w14:paraId="4FBEDD2B" w14:textId="77777777" w:rsidR="00CA056D" w:rsidRDefault="00CA056D" w:rsidP="000D4C7F">
      <w:pPr>
        <w:widowControl w:val="0"/>
        <w:ind w:left="4320" w:right="656" w:firstLine="720"/>
        <w:jc w:val="right"/>
        <w:rPr>
          <w:spacing w:val="14"/>
          <w:kern w:val="2"/>
          <w:lang w:val="en-GB"/>
        </w:rPr>
      </w:pPr>
    </w:p>
    <w:p w14:paraId="68379CDA" w14:textId="2F957F4E" w:rsidR="007A7BBE" w:rsidRPr="00A87D38" w:rsidRDefault="007A7BBE" w:rsidP="00CA056D">
      <w:pPr>
        <w:widowControl w:val="0"/>
        <w:ind w:right="656"/>
        <w:rPr>
          <w:spacing w:val="14"/>
          <w:kern w:val="2"/>
          <w:lang w:val="en-GB"/>
        </w:rPr>
      </w:pPr>
      <w:r w:rsidRPr="006F3C52">
        <w:rPr>
          <w:b/>
          <w:bCs/>
          <w:spacing w:val="14"/>
          <w:kern w:val="2"/>
          <w:lang w:val="en-GB"/>
        </w:rPr>
        <w:t>Delivered:</w:t>
      </w:r>
      <w:r w:rsidR="006F3C52">
        <w:rPr>
          <w:spacing w:val="14"/>
          <w:kern w:val="2"/>
          <w:lang w:val="en-GB"/>
        </w:rPr>
        <w:t xml:space="preserve"> 2</w:t>
      </w:r>
      <w:r w:rsidR="00024122">
        <w:rPr>
          <w:spacing w:val="14"/>
          <w:kern w:val="2"/>
          <w:lang w:val="en-GB"/>
        </w:rPr>
        <w:t>8</w:t>
      </w:r>
      <w:r w:rsidR="006F3C52">
        <w:rPr>
          <w:spacing w:val="14"/>
          <w:kern w:val="2"/>
          <w:lang w:val="en-GB"/>
        </w:rPr>
        <w:t xml:space="preserve"> November 2023</w:t>
      </w:r>
    </w:p>
    <w:p w14:paraId="3889360E" w14:textId="77777777" w:rsidR="007A7BBE" w:rsidRDefault="007A7BBE" w:rsidP="004A5151">
      <w:pPr>
        <w:autoSpaceDE w:val="0"/>
        <w:autoSpaceDN w:val="0"/>
        <w:adjustRightInd w:val="0"/>
        <w:jc w:val="both"/>
        <w:rPr>
          <w:lang w:val="en-GB"/>
        </w:rPr>
      </w:pPr>
    </w:p>
    <w:p w14:paraId="02EB8F48" w14:textId="77777777" w:rsidR="006F3C52" w:rsidRDefault="006F3C52" w:rsidP="004A5151">
      <w:pPr>
        <w:autoSpaceDE w:val="0"/>
        <w:autoSpaceDN w:val="0"/>
        <w:adjustRightInd w:val="0"/>
        <w:jc w:val="both"/>
        <w:rPr>
          <w:lang w:val="en-GB"/>
        </w:rPr>
      </w:pPr>
    </w:p>
    <w:p w14:paraId="21E4689E" w14:textId="77777777" w:rsidR="006F3C52" w:rsidRDefault="006F3C52" w:rsidP="004A5151">
      <w:pPr>
        <w:autoSpaceDE w:val="0"/>
        <w:autoSpaceDN w:val="0"/>
        <w:adjustRightInd w:val="0"/>
        <w:jc w:val="both"/>
        <w:rPr>
          <w:lang w:val="en-GB"/>
        </w:rPr>
      </w:pPr>
    </w:p>
    <w:p w14:paraId="528E365D" w14:textId="77777777" w:rsidR="006F3C52" w:rsidRDefault="006F3C52" w:rsidP="004A5151">
      <w:pPr>
        <w:autoSpaceDE w:val="0"/>
        <w:autoSpaceDN w:val="0"/>
        <w:adjustRightInd w:val="0"/>
        <w:jc w:val="both"/>
        <w:rPr>
          <w:lang w:val="en-GB"/>
        </w:rPr>
      </w:pPr>
    </w:p>
    <w:p w14:paraId="34C86AC6" w14:textId="77777777" w:rsidR="006F3C52" w:rsidRDefault="006F3C52" w:rsidP="004A5151">
      <w:pPr>
        <w:autoSpaceDE w:val="0"/>
        <w:autoSpaceDN w:val="0"/>
        <w:adjustRightInd w:val="0"/>
        <w:jc w:val="both"/>
        <w:rPr>
          <w:lang w:val="en-GB"/>
        </w:rPr>
      </w:pPr>
    </w:p>
    <w:p w14:paraId="07B4F15E" w14:textId="77777777" w:rsidR="006F3C52" w:rsidRDefault="006F3C52" w:rsidP="004A5151">
      <w:pPr>
        <w:autoSpaceDE w:val="0"/>
        <w:autoSpaceDN w:val="0"/>
        <w:adjustRightInd w:val="0"/>
        <w:jc w:val="both"/>
        <w:rPr>
          <w:lang w:val="en-GB"/>
        </w:rPr>
      </w:pPr>
    </w:p>
    <w:p w14:paraId="439C68E8" w14:textId="77777777" w:rsidR="006F3C52" w:rsidRDefault="006F3C52" w:rsidP="004A5151">
      <w:pPr>
        <w:autoSpaceDE w:val="0"/>
        <w:autoSpaceDN w:val="0"/>
        <w:adjustRightInd w:val="0"/>
        <w:jc w:val="both"/>
        <w:rPr>
          <w:lang w:val="en-GB"/>
        </w:rPr>
      </w:pPr>
    </w:p>
    <w:p w14:paraId="62716A3D" w14:textId="77777777" w:rsidR="006F3C52" w:rsidRDefault="006F3C52" w:rsidP="004A5151">
      <w:pPr>
        <w:autoSpaceDE w:val="0"/>
        <w:autoSpaceDN w:val="0"/>
        <w:adjustRightInd w:val="0"/>
        <w:jc w:val="both"/>
        <w:rPr>
          <w:lang w:val="en-GB"/>
        </w:rPr>
      </w:pPr>
    </w:p>
    <w:p w14:paraId="34059DD2" w14:textId="77777777" w:rsidR="006F3C52" w:rsidRDefault="006F3C52" w:rsidP="00175A9F">
      <w:pPr>
        <w:autoSpaceDE w:val="0"/>
        <w:autoSpaceDN w:val="0"/>
        <w:adjustRightInd w:val="0"/>
        <w:ind w:right="-336"/>
        <w:jc w:val="both"/>
        <w:rPr>
          <w:lang w:val="en-GB"/>
        </w:rPr>
      </w:pPr>
    </w:p>
    <w:p w14:paraId="56845E33" w14:textId="77777777" w:rsidR="006F3C52" w:rsidRDefault="006F3C52" w:rsidP="004A5151">
      <w:pPr>
        <w:autoSpaceDE w:val="0"/>
        <w:autoSpaceDN w:val="0"/>
        <w:adjustRightInd w:val="0"/>
        <w:jc w:val="both"/>
        <w:rPr>
          <w:lang w:val="en-GB"/>
        </w:rPr>
      </w:pPr>
    </w:p>
    <w:p w14:paraId="2F1EAD5C" w14:textId="77777777" w:rsidR="006F3C52" w:rsidRDefault="006F3C52" w:rsidP="004A5151">
      <w:pPr>
        <w:autoSpaceDE w:val="0"/>
        <w:autoSpaceDN w:val="0"/>
        <w:adjustRightInd w:val="0"/>
        <w:jc w:val="both"/>
        <w:rPr>
          <w:lang w:val="en-GB"/>
        </w:rPr>
      </w:pPr>
    </w:p>
    <w:p w14:paraId="46ED6C4D" w14:textId="77777777" w:rsidR="006F3C52" w:rsidRDefault="006F3C52" w:rsidP="004A5151">
      <w:pPr>
        <w:autoSpaceDE w:val="0"/>
        <w:autoSpaceDN w:val="0"/>
        <w:adjustRightInd w:val="0"/>
        <w:jc w:val="both"/>
        <w:rPr>
          <w:lang w:val="en-GB"/>
        </w:rPr>
      </w:pPr>
    </w:p>
    <w:p w14:paraId="1D60A38F" w14:textId="77777777" w:rsidR="006F3C52" w:rsidRDefault="006F3C52" w:rsidP="004A5151">
      <w:pPr>
        <w:autoSpaceDE w:val="0"/>
        <w:autoSpaceDN w:val="0"/>
        <w:adjustRightInd w:val="0"/>
        <w:jc w:val="both"/>
        <w:rPr>
          <w:lang w:val="en-GB"/>
        </w:rPr>
      </w:pPr>
    </w:p>
    <w:p w14:paraId="1F6F79C5" w14:textId="77777777" w:rsidR="006F3C52" w:rsidRDefault="006F3C52" w:rsidP="004A5151">
      <w:pPr>
        <w:autoSpaceDE w:val="0"/>
        <w:autoSpaceDN w:val="0"/>
        <w:adjustRightInd w:val="0"/>
        <w:jc w:val="both"/>
        <w:rPr>
          <w:lang w:val="en-GB"/>
        </w:rPr>
      </w:pPr>
    </w:p>
    <w:p w14:paraId="129F45B9" w14:textId="77777777" w:rsidR="006F3C52" w:rsidRDefault="006F3C52" w:rsidP="004A5151">
      <w:pPr>
        <w:autoSpaceDE w:val="0"/>
        <w:autoSpaceDN w:val="0"/>
        <w:adjustRightInd w:val="0"/>
        <w:jc w:val="both"/>
        <w:rPr>
          <w:lang w:val="en-GB"/>
        </w:rPr>
      </w:pPr>
    </w:p>
    <w:p w14:paraId="034284CE" w14:textId="77777777" w:rsidR="00047042" w:rsidRDefault="00047042" w:rsidP="004A5151">
      <w:pPr>
        <w:autoSpaceDE w:val="0"/>
        <w:autoSpaceDN w:val="0"/>
        <w:adjustRightInd w:val="0"/>
        <w:jc w:val="both"/>
        <w:rPr>
          <w:lang w:val="en-GB"/>
        </w:rPr>
      </w:pPr>
    </w:p>
    <w:p w14:paraId="54D9FA8E" w14:textId="77777777" w:rsidR="007C247A" w:rsidRDefault="00047042" w:rsidP="00772E4B">
      <w:pPr>
        <w:jc w:val="both"/>
        <w:rPr>
          <w:lang w:val="en-GB"/>
        </w:rPr>
      </w:pPr>
      <w:r w:rsidRPr="00044B50">
        <w:rPr>
          <w:lang w:val="en-GB"/>
        </w:rPr>
        <w:lastRenderedPageBreak/>
        <w:t>APPEARANCES:</w:t>
      </w:r>
    </w:p>
    <w:p w14:paraId="496DEBB5" w14:textId="77777777" w:rsidR="00C33845" w:rsidRDefault="00C33845" w:rsidP="00772E4B">
      <w:pPr>
        <w:jc w:val="both"/>
        <w:rPr>
          <w:lang w:val="en-GB"/>
        </w:rPr>
      </w:pPr>
    </w:p>
    <w:p w14:paraId="18F85B98" w14:textId="77777777" w:rsidR="00C33845" w:rsidRDefault="00C33845" w:rsidP="00772E4B">
      <w:pPr>
        <w:jc w:val="both"/>
        <w:rPr>
          <w:lang w:val="en-GB"/>
        </w:rPr>
      </w:pPr>
      <w:r>
        <w:rPr>
          <w:lang w:val="en-GB"/>
        </w:rPr>
        <w:t xml:space="preserve">For </w:t>
      </w:r>
      <w:r w:rsidR="006F3C52">
        <w:rPr>
          <w:lang w:val="en-GB"/>
        </w:rPr>
        <w:t>the Applicant</w:t>
      </w:r>
      <w:r>
        <w:rPr>
          <w:lang w:val="en-GB"/>
        </w:rPr>
        <w:t>:</w:t>
      </w:r>
      <w:r>
        <w:rPr>
          <w:lang w:val="en-GB"/>
        </w:rPr>
        <w:tab/>
      </w:r>
      <w:r>
        <w:rPr>
          <w:lang w:val="en-GB"/>
        </w:rPr>
        <w:tab/>
      </w:r>
      <w:r>
        <w:rPr>
          <w:lang w:val="en-GB"/>
        </w:rPr>
        <w:tab/>
      </w:r>
      <w:r>
        <w:rPr>
          <w:lang w:val="en-GB"/>
        </w:rPr>
        <w:tab/>
      </w:r>
      <w:r w:rsidR="006F3C52">
        <w:rPr>
          <w:lang w:val="en-GB"/>
        </w:rPr>
        <w:t>Adv A E Teko</w:t>
      </w:r>
    </w:p>
    <w:p w14:paraId="0ADE8BB9" w14:textId="77777777" w:rsidR="006F3C52" w:rsidRDefault="006F3C52" w:rsidP="00772E4B">
      <w:pPr>
        <w:jc w:val="both"/>
        <w:rPr>
          <w:lang w:val="en-GB"/>
        </w:rPr>
      </w:pPr>
      <w:r>
        <w:rPr>
          <w:lang w:val="en-GB"/>
        </w:rPr>
        <w:tab/>
      </w:r>
      <w:r>
        <w:rPr>
          <w:lang w:val="en-GB"/>
        </w:rPr>
        <w:tab/>
      </w:r>
      <w:r>
        <w:rPr>
          <w:lang w:val="en-GB"/>
        </w:rPr>
        <w:tab/>
      </w:r>
      <w:r>
        <w:rPr>
          <w:lang w:val="en-GB"/>
        </w:rPr>
        <w:tab/>
      </w:r>
      <w:r>
        <w:rPr>
          <w:lang w:val="en-GB"/>
        </w:rPr>
        <w:tab/>
      </w:r>
      <w:r>
        <w:rPr>
          <w:lang w:val="en-GB"/>
        </w:rPr>
        <w:tab/>
        <w:t xml:space="preserve">St George’s Chambers, </w:t>
      </w:r>
      <w:proofErr w:type="spellStart"/>
      <w:r>
        <w:rPr>
          <w:lang w:val="en-GB"/>
        </w:rPr>
        <w:t>Makhanda</w:t>
      </w:r>
      <w:proofErr w:type="spellEnd"/>
    </w:p>
    <w:p w14:paraId="16A2DFD9" w14:textId="77777777" w:rsidR="006F3C52" w:rsidRDefault="006F3C52" w:rsidP="00772E4B">
      <w:pPr>
        <w:jc w:val="both"/>
        <w:rPr>
          <w:lang w:val="en-GB"/>
        </w:rPr>
      </w:pPr>
    </w:p>
    <w:p w14:paraId="01723EAF" w14:textId="77777777" w:rsidR="006F3C52" w:rsidRDefault="006F3C52" w:rsidP="00772E4B">
      <w:pPr>
        <w:jc w:val="both"/>
        <w:rPr>
          <w:lang w:val="en-GB"/>
        </w:rPr>
      </w:pPr>
      <w:r>
        <w:rPr>
          <w:lang w:val="en-GB"/>
        </w:rPr>
        <w:t>Instructed by:</w:t>
      </w:r>
      <w:r>
        <w:rPr>
          <w:lang w:val="en-GB"/>
        </w:rPr>
        <w:tab/>
      </w:r>
      <w:r>
        <w:rPr>
          <w:lang w:val="en-GB"/>
        </w:rPr>
        <w:tab/>
      </w:r>
      <w:r>
        <w:rPr>
          <w:lang w:val="en-GB"/>
        </w:rPr>
        <w:tab/>
      </w:r>
      <w:r>
        <w:rPr>
          <w:lang w:val="en-GB"/>
        </w:rPr>
        <w:tab/>
        <w:t xml:space="preserve">Z E </w:t>
      </w:r>
      <w:proofErr w:type="spellStart"/>
      <w:r>
        <w:rPr>
          <w:lang w:val="en-GB"/>
        </w:rPr>
        <w:t>Sontshi</w:t>
      </w:r>
      <w:proofErr w:type="spellEnd"/>
      <w:r>
        <w:rPr>
          <w:lang w:val="en-GB"/>
        </w:rPr>
        <w:t xml:space="preserve"> &amp; Associates</w:t>
      </w:r>
    </w:p>
    <w:p w14:paraId="16DB718E" w14:textId="77777777" w:rsidR="006F3C52" w:rsidRDefault="006F3C52" w:rsidP="00772E4B">
      <w:pPr>
        <w:jc w:val="both"/>
        <w:rPr>
          <w:lang w:val="en-GB"/>
        </w:rPr>
      </w:pPr>
      <w:r>
        <w:rPr>
          <w:lang w:val="en-GB"/>
        </w:rPr>
        <w:tab/>
      </w:r>
      <w:r>
        <w:rPr>
          <w:lang w:val="en-GB"/>
        </w:rPr>
        <w:tab/>
      </w:r>
      <w:r>
        <w:rPr>
          <w:lang w:val="en-GB"/>
        </w:rPr>
        <w:tab/>
      </w:r>
      <w:r>
        <w:rPr>
          <w:lang w:val="en-GB"/>
        </w:rPr>
        <w:tab/>
      </w:r>
      <w:r>
        <w:rPr>
          <w:lang w:val="en-GB"/>
        </w:rPr>
        <w:tab/>
      </w:r>
      <w:r>
        <w:rPr>
          <w:lang w:val="en-GB"/>
        </w:rPr>
        <w:tab/>
        <w:t>Applicant’s Attorneys</w:t>
      </w:r>
    </w:p>
    <w:p w14:paraId="7BA00DFB" w14:textId="77777777" w:rsidR="006F3C52" w:rsidRDefault="006F3C52" w:rsidP="00772E4B">
      <w:pPr>
        <w:jc w:val="both"/>
        <w:rPr>
          <w:lang w:val="en-GB"/>
        </w:rPr>
      </w:pPr>
      <w:r>
        <w:rPr>
          <w:lang w:val="en-GB"/>
        </w:rPr>
        <w:tab/>
      </w:r>
      <w:r>
        <w:rPr>
          <w:lang w:val="en-GB"/>
        </w:rPr>
        <w:tab/>
      </w:r>
      <w:r>
        <w:rPr>
          <w:lang w:val="en-GB"/>
        </w:rPr>
        <w:tab/>
      </w:r>
      <w:r>
        <w:rPr>
          <w:lang w:val="en-GB"/>
        </w:rPr>
        <w:tab/>
      </w:r>
      <w:r>
        <w:rPr>
          <w:lang w:val="en-GB"/>
        </w:rPr>
        <w:tab/>
      </w:r>
      <w:r>
        <w:rPr>
          <w:lang w:val="en-GB"/>
        </w:rPr>
        <w:tab/>
        <w:t>Suite 1, 14 Prince Alfred</w:t>
      </w:r>
    </w:p>
    <w:p w14:paraId="464540C5" w14:textId="77777777" w:rsidR="006F3C52" w:rsidRDefault="006F3C52" w:rsidP="00772E4B">
      <w:pPr>
        <w:jc w:val="both"/>
        <w:rPr>
          <w:lang w:val="en-GB"/>
        </w:rPr>
      </w:pPr>
      <w:r>
        <w:rPr>
          <w:lang w:val="en-GB"/>
        </w:rPr>
        <w:tab/>
      </w:r>
      <w:r>
        <w:rPr>
          <w:lang w:val="en-GB"/>
        </w:rPr>
        <w:tab/>
      </w:r>
      <w:r>
        <w:rPr>
          <w:lang w:val="en-GB"/>
        </w:rPr>
        <w:tab/>
      </w:r>
      <w:r>
        <w:rPr>
          <w:lang w:val="en-GB"/>
        </w:rPr>
        <w:tab/>
      </w:r>
      <w:r>
        <w:rPr>
          <w:lang w:val="en-GB"/>
        </w:rPr>
        <w:tab/>
      </w:r>
      <w:r>
        <w:rPr>
          <w:lang w:val="en-GB"/>
        </w:rPr>
        <w:tab/>
        <w:t>Komani</w:t>
      </w:r>
    </w:p>
    <w:p w14:paraId="69D29B0F" w14:textId="77777777" w:rsidR="006F3C52" w:rsidRDefault="006F3C52" w:rsidP="00772E4B">
      <w:pPr>
        <w:jc w:val="both"/>
        <w:rPr>
          <w:lang w:val="en-GB"/>
        </w:rPr>
      </w:pPr>
      <w:r>
        <w:rPr>
          <w:lang w:val="en-GB"/>
        </w:rPr>
        <w:tab/>
      </w:r>
      <w:r>
        <w:rPr>
          <w:lang w:val="en-GB"/>
        </w:rPr>
        <w:tab/>
      </w:r>
      <w:r>
        <w:rPr>
          <w:lang w:val="en-GB"/>
        </w:rPr>
        <w:tab/>
      </w:r>
      <w:r>
        <w:rPr>
          <w:lang w:val="en-GB"/>
        </w:rPr>
        <w:tab/>
      </w:r>
      <w:r>
        <w:rPr>
          <w:lang w:val="en-GB"/>
        </w:rPr>
        <w:tab/>
      </w:r>
      <w:r>
        <w:rPr>
          <w:lang w:val="en-GB"/>
        </w:rPr>
        <w:tab/>
        <w:t>Tel: 045 838 3460</w:t>
      </w:r>
    </w:p>
    <w:p w14:paraId="4F9371F4" w14:textId="77777777" w:rsidR="006F3C52" w:rsidRDefault="006F3C52" w:rsidP="00772E4B">
      <w:pPr>
        <w:jc w:val="both"/>
        <w:rPr>
          <w:lang w:val="en-GB"/>
        </w:rPr>
      </w:pPr>
      <w:r>
        <w:rPr>
          <w:lang w:val="en-GB"/>
        </w:rPr>
        <w:tab/>
      </w:r>
      <w:r>
        <w:rPr>
          <w:lang w:val="en-GB"/>
        </w:rPr>
        <w:tab/>
      </w:r>
      <w:r>
        <w:rPr>
          <w:lang w:val="en-GB"/>
        </w:rPr>
        <w:tab/>
      </w:r>
      <w:r>
        <w:rPr>
          <w:lang w:val="en-GB"/>
        </w:rPr>
        <w:tab/>
      </w:r>
      <w:r>
        <w:rPr>
          <w:lang w:val="en-GB"/>
        </w:rPr>
        <w:tab/>
      </w:r>
      <w:r>
        <w:rPr>
          <w:lang w:val="en-GB"/>
        </w:rPr>
        <w:tab/>
        <w:t xml:space="preserve">Email: </w:t>
      </w:r>
      <w:hyperlink r:id="rId9" w:history="1">
        <w:r w:rsidR="00A278BA" w:rsidRPr="00517DDB">
          <w:rPr>
            <w:rStyle w:val="Hyperlink"/>
            <w:lang w:val="en-GB"/>
          </w:rPr>
          <w:t>sontshize2@gmail.com</w:t>
        </w:r>
      </w:hyperlink>
    </w:p>
    <w:p w14:paraId="66877FDF" w14:textId="77777777" w:rsidR="00A278BA" w:rsidRDefault="00A278BA" w:rsidP="00772E4B">
      <w:pPr>
        <w:jc w:val="both"/>
        <w:rPr>
          <w:lang w:val="en-GB"/>
        </w:rPr>
      </w:pPr>
    </w:p>
    <w:p w14:paraId="77416CDE" w14:textId="77777777" w:rsidR="00A278BA" w:rsidRDefault="00A278BA" w:rsidP="00772E4B">
      <w:pPr>
        <w:jc w:val="both"/>
        <w:rPr>
          <w:lang w:val="en-GB"/>
        </w:rPr>
      </w:pPr>
      <w:r>
        <w:rPr>
          <w:lang w:val="en-GB"/>
        </w:rPr>
        <w:t>C/O:</w:t>
      </w:r>
      <w:r>
        <w:rPr>
          <w:lang w:val="en-GB"/>
        </w:rPr>
        <w:tab/>
      </w:r>
      <w:r>
        <w:rPr>
          <w:lang w:val="en-GB"/>
        </w:rPr>
        <w:tab/>
      </w:r>
      <w:r>
        <w:rPr>
          <w:lang w:val="en-GB"/>
        </w:rPr>
        <w:tab/>
      </w:r>
      <w:r>
        <w:rPr>
          <w:lang w:val="en-GB"/>
        </w:rPr>
        <w:tab/>
      </w:r>
      <w:r>
        <w:rPr>
          <w:lang w:val="en-GB"/>
        </w:rPr>
        <w:tab/>
      </w:r>
      <w:r>
        <w:rPr>
          <w:lang w:val="en-GB"/>
        </w:rPr>
        <w:tab/>
      </w:r>
      <w:proofErr w:type="spellStart"/>
      <w:r>
        <w:rPr>
          <w:lang w:val="en-GB"/>
        </w:rPr>
        <w:t>Yokwana</w:t>
      </w:r>
      <w:proofErr w:type="spellEnd"/>
      <w:r>
        <w:rPr>
          <w:lang w:val="en-GB"/>
        </w:rPr>
        <w:t xml:space="preserve"> Attorneys </w:t>
      </w:r>
    </w:p>
    <w:p w14:paraId="23FA7F34" w14:textId="77777777" w:rsidR="00A278BA" w:rsidRDefault="00A278BA" w:rsidP="00772E4B">
      <w:pPr>
        <w:jc w:val="both"/>
        <w:rPr>
          <w:lang w:val="en-GB"/>
        </w:rPr>
      </w:pPr>
      <w:r>
        <w:rPr>
          <w:lang w:val="en-GB"/>
        </w:rPr>
        <w:tab/>
      </w:r>
      <w:r>
        <w:rPr>
          <w:lang w:val="en-GB"/>
        </w:rPr>
        <w:tab/>
      </w:r>
      <w:r>
        <w:rPr>
          <w:lang w:val="en-GB"/>
        </w:rPr>
        <w:tab/>
      </w:r>
      <w:r>
        <w:rPr>
          <w:lang w:val="en-GB"/>
        </w:rPr>
        <w:tab/>
      </w:r>
      <w:r>
        <w:rPr>
          <w:lang w:val="en-GB"/>
        </w:rPr>
        <w:tab/>
      </w:r>
      <w:r>
        <w:rPr>
          <w:lang w:val="en-GB"/>
        </w:rPr>
        <w:tab/>
        <w:t>New Street</w:t>
      </w:r>
    </w:p>
    <w:p w14:paraId="5BEEBFC9" w14:textId="77777777" w:rsidR="00A278BA" w:rsidRDefault="00A278BA" w:rsidP="00772E4B">
      <w:pPr>
        <w:jc w:val="both"/>
        <w:rPr>
          <w:lang w:val="en-GB"/>
        </w:rPr>
      </w:pPr>
      <w:r>
        <w:rPr>
          <w:lang w:val="en-GB"/>
        </w:rPr>
        <w:tab/>
      </w:r>
      <w:r>
        <w:rPr>
          <w:lang w:val="en-GB"/>
        </w:rPr>
        <w:tab/>
      </w:r>
      <w:r>
        <w:rPr>
          <w:lang w:val="en-GB"/>
        </w:rPr>
        <w:tab/>
      </w:r>
      <w:r>
        <w:rPr>
          <w:lang w:val="en-GB"/>
        </w:rPr>
        <w:tab/>
      </w:r>
      <w:r>
        <w:rPr>
          <w:lang w:val="en-GB"/>
        </w:rPr>
        <w:tab/>
      </w:r>
      <w:r>
        <w:rPr>
          <w:lang w:val="en-GB"/>
        </w:rPr>
        <w:tab/>
      </w:r>
      <w:proofErr w:type="spellStart"/>
      <w:r>
        <w:rPr>
          <w:lang w:val="en-GB"/>
        </w:rPr>
        <w:t>Makhanda</w:t>
      </w:r>
      <w:proofErr w:type="spellEnd"/>
    </w:p>
    <w:p w14:paraId="71407050" w14:textId="77777777" w:rsidR="00C33845" w:rsidRDefault="00C33845" w:rsidP="00772E4B">
      <w:pPr>
        <w:jc w:val="both"/>
        <w:rPr>
          <w:lang w:val="en-GB"/>
        </w:rPr>
      </w:pPr>
    </w:p>
    <w:p w14:paraId="50219549" w14:textId="77777777" w:rsidR="00C33845" w:rsidRDefault="00C33845" w:rsidP="00772E4B">
      <w:pPr>
        <w:jc w:val="both"/>
        <w:rPr>
          <w:lang w:val="en-GB"/>
        </w:rPr>
      </w:pPr>
    </w:p>
    <w:p w14:paraId="336904D6" w14:textId="77777777" w:rsidR="00A278BA" w:rsidRDefault="00C33845" w:rsidP="00772E4B">
      <w:pPr>
        <w:jc w:val="both"/>
        <w:rPr>
          <w:lang w:val="en-GB"/>
        </w:rPr>
      </w:pPr>
      <w:r>
        <w:rPr>
          <w:lang w:val="en-GB"/>
        </w:rPr>
        <w:t xml:space="preserve">For </w:t>
      </w:r>
      <w:r w:rsidR="00A278BA">
        <w:rPr>
          <w:lang w:val="en-GB"/>
        </w:rPr>
        <w:t>the Respondent</w:t>
      </w:r>
      <w:r>
        <w:rPr>
          <w:lang w:val="en-GB"/>
        </w:rPr>
        <w:t>:</w:t>
      </w:r>
      <w:r>
        <w:rPr>
          <w:lang w:val="en-GB"/>
        </w:rPr>
        <w:tab/>
      </w:r>
      <w:r>
        <w:rPr>
          <w:lang w:val="en-GB"/>
        </w:rPr>
        <w:tab/>
      </w:r>
      <w:r>
        <w:rPr>
          <w:lang w:val="en-GB"/>
        </w:rPr>
        <w:tab/>
      </w:r>
      <w:r w:rsidR="00A278BA">
        <w:rPr>
          <w:lang w:val="en-GB"/>
        </w:rPr>
        <w:t xml:space="preserve">Adv D.A Smith </w:t>
      </w:r>
    </w:p>
    <w:p w14:paraId="5EEB4E1F" w14:textId="77777777" w:rsidR="00A278BA" w:rsidRDefault="00A278BA" w:rsidP="00772E4B">
      <w:pPr>
        <w:jc w:val="both"/>
        <w:rPr>
          <w:lang w:val="en-GB"/>
        </w:rPr>
      </w:pPr>
      <w:r>
        <w:rPr>
          <w:lang w:val="en-GB"/>
        </w:rPr>
        <w:tab/>
      </w:r>
      <w:r>
        <w:rPr>
          <w:lang w:val="en-GB"/>
        </w:rPr>
        <w:tab/>
      </w:r>
      <w:r>
        <w:rPr>
          <w:lang w:val="en-GB"/>
        </w:rPr>
        <w:tab/>
      </w:r>
      <w:r>
        <w:rPr>
          <w:lang w:val="en-GB"/>
        </w:rPr>
        <w:tab/>
      </w:r>
      <w:r>
        <w:rPr>
          <w:lang w:val="en-GB"/>
        </w:rPr>
        <w:tab/>
      </w:r>
      <w:r>
        <w:rPr>
          <w:lang w:val="en-GB"/>
        </w:rPr>
        <w:tab/>
        <w:t xml:space="preserve">Chambers, </w:t>
      </w:r>
      <w:proofErr w:type="spellStart"/>
      <w:r>
        <w:rPr>
          <w:lang w:val="en-GB"/>
        </w:rPr>
        <w:t>Gqeberha</w:t>
      </w:r>
      <w:proofErr w:type="spellEnd"/>
    </w:p>
    <w:p w14:paraId="0420E6F0" w14:textId="77777777" w:rsidR="00A278BA" w:rsidRDefault="00A278BA" w:rsidP="00772E4B">
      <w:pPr>
        <w:jc w:val="both"/>
        <w:rPr>
          <w:lang w:val="en-GB"/>
        </w:rPr>
      </w:pPr>
    </w:p>
    <w:p w14:paraId="7D483956" w14:textId="77777777" w:rsidR="00A278BA" w:rsidRDefault="00A278BA" w:rsidP="00772E4B">
      <w:pPr>
        <w:jc w:val="both"/>
        <w:rPr>
          <w:lang w:val="en-GB"/>
        </w:rPr>
      </w:pPr>
      <w:r>
        <w:rPr>
          <w:lang w:val="en-GB"/>
        </w:rPr>
        <w:t>Instructed by:</w:t>
      </w:r>
      <w:r>
        <w:rPr>
          <w:lang w:val="en-GB"/>
        </w:rPr>
        <w:tab/>
      </w:r>
      <w:r>
        <w:rPr>
          <w:lang w:val="en-GB"/>
        </w:rPr>
        <w:tab/>
      </w:r>
      <w:r>
        <w:rPr>
          <w:lang w:val="en-GB"/>
        </w:rPr>
        <w:tab/>
      </w:r>
      <w:r>
        <w:rPr>
          <w:lang w:val="en-GB"/>
        </w:rPr>
        <w:tab/>
        <w:t>Mr Wesley Hayes Incorporated</w:t>
      </w:r>
    </w:p>
    <w:p w14:paraId="56CC8244" w14:textId="77777777" w:rsidR="00A278BA" w:rsidRDefault="00A278BA" w:rsidP="00772E4B">
      <w:pPr>
        <w:jc w:val="both"/>
        <w:rPr>
          <w:lang w:val="en-GB"/>
        </w:rPr>
      </w:pPr>
      <w:r>
        <w:rPr>
          <w:lang w:val="en-GB"/>
        </w:rPr>
        <w:tab/>
      </w:r>
      <w:r>
        <w:rPr>
          <w:lang w:val="en-GB"/>
        </w:rPr>
        <w:tab/>
      </w:r>
      <w:r>
        <w:rPr>
          <w:lang w:val="en-GB"/>
        </w:rPr>
        <w:tab/>
      </w:r>
      <w:r>
        <w:rPr>
          <w:lang w:val="en-GB"/>
        </w:rPr>
        <w:tab/>
      </w:r>
      <w:r>
        <w:rPr>
          <w:lang w:val="en-GB"/>
        </w:rPr>
        <w:tab/>
      </w:r>
      <w:r>
        <w:rPr>
          <w:lang w:val="en-GB"/>
        </w:rPr>
        <w:tab/>
        <w:t>5 Gray Street</w:t>
      </w:r>
    </w:p>
    <w:p w14:paraId="7EAE4570" w14:textId="77777777" w:rsidR="00A278BA" w:rsidRDefault="00A278BA" w:rsidP="00772E4B">
      <w:pPr>
        <w:jc w:val="both"/>
        <w:rPr>
          <w:lang w:val="en-GB"/>
        </w:rPr>
      </w:pPr>
      <w:r>
        <w:rPr>
          <w:lang w:val="en-GB"/>
        </w:rPr>
        <w:tab/>
      </w:r>
      <w:r>
        <w:rPr>
          <w:lang w:val="en-GB"/>
        </w:rPr>
        <w:tab/>
      </w:r>
      <w:r>
        <w:rPr>
          <w:lang w:val="en-GB"/>
        </w:rPr>
        <w:tab/>
      </w:r>
      <w:r>
        <w:rPr>
          <w:lang w:val="en-GB"/>
        </w:rPr>
        <w:tab/>
      </w:r>
      <w:r>
        <w:rPr>
          <w:lang w:val="en-GB"/>
        </w:rPr>
        <w:tab/>
      </w:r>
      <w:r>
        <w:rPr>
          <w:lang w:val="en-GB"/>
        </w:rPr>
        <w:tab/>
        <w:t>Komani</w:t>
      </w:r>
    </w:p>
    <w:p w14:paraId="7EAAD89D" w14:textId="77777777" w:rsidR="00A278BA" w:rsidRDefault="00A278BA" w:rsidP="00772E4B">
      <w:pPr>
        <w:jc w:val="both"/>
        <w:rPr>
          <w:lang w:val="en-GB"/>
        </w:rPr>
      </w:pPr>
      <w:r>
        <w:rPr>
          <w:lang w:val="en-GB"/>
        </w:rPr>
        <w:tab/>
      </w:r>
      <w:r>
        <w:rPr>
          <w:lang w:val="en-GB"/>
        </w:rPr>
        <w:tab/>
      </w:r>
      <w:r>
        <w:rPr>
          <w:lang w:val="en-GB"/>
        </w:rPr>
        <w:tab/>
      </w:r>
      <w:r>
        <w:rPr>
          <w:lang w:val="en-GB"/>
        </w:rPr>
        <w:tab/>
      </w:r>
      <w:r>
        <w:rPr>
          <w:lang w:val="en-GB"/>
        </w:rPr>
        <w:tab/>
      </w:r>
      <w:r>
        <w:rPr>
          <w:lang w:val="en-GB"/>
        </w:rPr>
        <w:tab/>
        <w:t>Tel: 045 805 0081</w:t>
      </w:r>
    </w:p>
    <w:p w14:paraId="7B44F3D8" w14:textId="77777777" w:rsidR="00A278BA" w:rsidRDefault="00A278BA" w:rsidP="00772E4B">
      <w:pPr>
        <w:jc w:val="both"/>
        <w:rPr>
          <w:lang w:val="en-GB"/>
        </w:rPr>
      </w:pPr>
      <w:r>
        <w:rPr>
          <w:lang w:val="en-GB"/>
        </w:rPr>
        <w:tab/>
      </w:r>
      <w:r>
        <w:rPr>
          <w:lang w:val="en-GB"/>
        </w:rPr>
        <w:tab/>
      </w:r>
      <w:r>
        <w:rPr>
          <w:lang w:val="en-GB"/>
        </w:rPr>
        <w:tab/>
      </w:r>
      <w:r>
        <w:rPr>
          <w:lang w:val="en-GB"/>
        </w:rPr>
        <w:tab/>
      </w:r>
      <w:r>
        <w:rPr>
          <w:lang w:val="en-GB"/>
        </w:rPr>
        <w:tab/>
      </w:r>
      <w:r>
        <w:rPr>
          <w:lang w:val="en-GB"/>
        </w:rPr>
        <w:tab/>
        <w:t xml:space="preserve">Email: </w:t>
      </w:r>
      <w:hyperlink r:id="rId10" w:history="1">
        <w:r w:rsidRPr="00517DDB">
          <w:rPr>
            <w:rStyle w:val="Hyperlink"/>
            <w:lang w:val="en-GB"/>
          </w:rPr>
          <w:t>sec1@wrhlaw.co.za</w:t>
        </w:r>
      </w:hyperlink>
    </w:p>
    <w:p w14:paraId="1F4BAC91" w14:textId="77777777" w:rsidR="00A278BA" w:rsidRDefault="00A278BA" w:rsidP="00772E4B">
      <w:pPr>
        <w:jc w:val="both"/>
        <w:rPr>
          <w:lang w:val="en-GB"/>
        </w:rPr>
      </w:pPr>
    </w:p>
    <w:p w14:paraId="3527FD56" w14:textId="77777777" w:rsidR="00A278BA" w:rsidRDefault="00A278BA" w:rsidP="00772E4B">
      <w:pPr>
        <w:jc w:val="both"/>
        <w:rPr>
          <w:lang w:val="en-GB"/>
        </w:rPr>
      </w:pPr>
      <w:r>
        <w:rPr>
          <w:lang w:val="en-GB"/>
        </w:rPr>
        <w:t>C/O:</w:t>
      </w:r>
      <w:r>
        <w:rPr>
          <w:lang w:val="en-GB"/>
        </w:rPr>
        <w:tab/>
      </w:r>
      <w:r>
        <w:rPr>
          <w:lang w:val="en-GB"/>
        </w:rPr>
        <w:tab/>
      </w:r>
      <w:r>
        <w:rPr>
          <w:lang w:val="en-GB"/>
        </w:rPr>
        <w:tab/>
      </w:r>
      <w:r>
        <w:rPr>
          <w:lang w:val="en-GB"/>
        </w:rPr>
        <w:tab/>
      </w:r>
      <w:r>
        <w:rPr>
          <w:lang w:val="en-GB"/>
        </w:rPr>
        <w:tab/>
      </w:r>
      <w:r>
        <w:rPr>
          <w:lang w:val="en-GB"/>
        </w:rPr>
        <w:tab/>
        <w:t>Neville Borman &amp; Botha Inc.</w:t>
      </w:r>
    </w:p>
    <w:p w14:paraId="5A2E8ABB" w14:textId="77777777" w:rsidR="00A278BA" w:rsidRDefault="00A278BA" w:rsidP="00772E4B">
      <w:pPr>
        <w:jc w:val="both"/>
        <w:rPr>
          <w:lang w:val="en-GB"/>
        </w:rPr>
      </w:pPr>
      <w:r>
        <w:rPr>
          <w:lang w:val="en-GB"/>
        </w:rPr>
        <w:tab/>
      </w:r>
      <w:r>
        <w:rPr>
          <w:lang w:val="en-GB"/>
        </w:rPr>
        <w:tab/>
      </w:r>
      <w:r>
        <w:rPr>
          <w:lang w:val="en-GB"/>
        </w:rPr>
        <w:tab/>
      </w:r>
      <w:r>
        <w:rPr>
          <w:lang w:val="en-GB"/>
        </w:rPr>
        <w:tab/>
      </w:r>
      <w:r>
        <w:rPr>
          <w:lang w:val="en-GB"/>
        </w:rPr>
        <w:tab/>
      </w:r>
      <w:r>
        <w:rPr>
          <w:lang w:val="en-GB"/>
        </w:rPr>
        <w:tab/>
        <w:t xml:space="preserve">22 Hill Street </w:t>
      </w:r>
    </w:p>
    <w:p w14:paraId="468D1481" w14:textId="77777777" w:rsidR="00A278BA" w:rsidRDefault="00A278BA" w:rsidP="00772E4B">
      <w:pPr>
        <w:jc w:val="both"/>
        <w:rPr>
          <w:lang w:val="en-GB"/>
        </w:rPr>
      </w:pPr>
      <w:r>
        <w:rPr>
          <w:lang w:val="en-GB"/>
        </w:rPr>
        <w:tab/>
      </w:r>
      <w:r>
        <w:rPr>
          <w:lang w:val="en-GB"/>
        </w:rPr>
        <w:tab/>
      </w:r>
      <w:r>
        <w:rPr>
          <w:lang w:val="en-GB"/>
        </w:rPr>
        <w:tab/>
      </w:r>
      <w:r>
        <w:rPr>
          <w:lang w:val="en-GB"/>
        </w:rPr>
        <w:tab/>
      </w:r>
      <w:r>
        <w:rPr>
          <w:lang w:val="en-GB"/>
        </w:rPr>
        <w:tab/>
      </w:r>
      <w:r>
        <w:rPr>
          <w:lang w:val="en-GB"/>
        </w:rPr>
        <w:tab/>
      </w:r>
      <w:proofErr w:type="spellStart"/>
      <w:r>
        <w:rPr>
          <w:lang w:val="en-GB"/>
        </w:rPr>
        <w:t>Makhanda</w:t>
      </w:r>
      <w:proofErr w:type="spellEnd"/>
    </w:p>
    <w:p w14:paraId="2D587A46" w14:textId="77777777" w:rsidR="00C33845" w:rsidRPr="00044B50" w:rsidRDefault="00A278BA" w:rsidP="00772E4B">
      <w:pPr>
        <w:jc w:val="both"/>
        <w:rPr>
          <w:lang w:val="en-GB"/>
        </w:rPr>
      </w:pPr>
      <w:r>
        <w:rPr>
          <w:lang w:val="en-GB"/>
        </w:rPr>
        <w:tab/>
      </w:r>
      <w:r>
        <w:rPr>
          <w:lang w:val="en-GB"/>
        </w:rPr>
        <w:tab/>
      </w:r>
      <w:r>
        <w:rPr>
          <w:lang w:val="en-GB"/>
        </w:rPr>
        <w:tab/>
      </w:r>
      <w:r>
        <w:rPr>
          <w:lang w:val="en-GB"/>
        </w:rPr>
        <w:tab/>
      </w:r>
      <w:r>
        <w:rPr>
          <w:lang w:val="en-GB"/>
        </w:rPr>
        <w:tab/>
      </w:r>
      <w:r>
        <w:rPr>
          <w:lang w:val="en-GB"/>
        </w:rPr>
        <w:tab/>
      </w:r>
      <w:r w:rsidR="00C33845">
        <w:rPr>
          <w:lang w:val="en-GB"/>
        </w:rPr>
        <w:tab/>
      </w:r>
      <w:r w:rsidR="00C33845">
        <w:rPr>
          <w:lang w:val="en-GB"/>
        </w:rPr>
        <w:tab/>
      </w:r>
      <w:r w:rsidR="00C33845">
        <w:rPr>
          <w:lang w:val="en-GB"/>
        </w:rPr>
        <w:tab/>
      </w:r>
      <w:r w:rsidR="00C33845">
        <w:rPr>
          <w:lang w:val="en-GB"/>
        </w:rPr>
        <w:tab/>
      </w:r>
      <w:r w:rsidR="00C33845">
        <w:rPr>
          <w:lang w:val="en-GB"/>
        </w:rPr>
        <w:tab/>
      </w:r>
    </w:p>
    <w:p w14:paraId="69A557EB" w14:textId="67D3DB8C" w:rsidR="008677E3" w:rsidRPr="00044B50" w:rsidRDefault="008677E3" w:rsidP="00654397">
      <w:pPr>
        <w:tabs>
          <w:tab w:val="left" w:pos="3402"/>
          <w:tab w:val="center" w:pos="3989"/>
        </w:tabs>
        <w:jc w:val="both"/>
        <w:rPr>
          <w:lang w:val="en-GB"/>
        </w:rPr>
      </w:pPr>
    </w:p>
    <w:sectPr w:rsidR="008677E3" w:rsidRPr="00044B50" w:rsidSect="00146BA3">
      <w:headerReference w:type="even" r:id="rId11"/>
      <w:headerReference w:type="default" r:id="rId12"/>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D7BEE" w14:textId="77777777" w:rsidR="00F65CCB" w:rsidRDefault="00F65CCB" w:rsidP="00005691">
      <w:r>
        <w:separator/>
      </w:r>
    </w:p>
  </w:endnote>
  <w:endnote w:type="continuationSeparator" w:id="0">
    <w:p w14:paraId="16833DC0" w14:textId="77777777" w:rsidR="00F65CCB" w:rsidRDefault="00F65CCB" w:rsidP="0000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A6F47" w14:textId="77777777" w:rsidR="00F65CCB" w:rsidRDefault="00F65CCB" w:rsidP="00005691">
      <w:r>
        <w:separator/>
      </w:r>
    </w:p>
  </w:footnote>
  <w:footnote w:type="continuationSeparator" w:id="0">
    <w:p w14:paraId="780B1333" w14:textId="77777777" w:rsidR="00F65CCB" w:rsidRDefault="00F65CCB" w:rsidP="00005691">
      <w:r>
        <w:continuationSeparator/>
      </w:r>
    </w:p>
  </w:footnote>
  <w:footnote w:id="1">
    <w:p w14:paraId="350CE16A" w14:textId="77777777" w:rsidR="00A704FE" w:rsidRPr="003A0ACF" w:rsidRDefault="00A704FE" w:rsidP="003A0ACF">
      <w:pPr>
        <w:pStyle w:val="FootnoteText"/>
        <w:spacing w:line="240" w:lineRule="auto"/>
        <w:jc w:val="both"/>
        <w:rPr>
          <w:lang w:val="en-US"/>
        </w:rPr>
      </w:pPr>
      <w:r w:rsidRPr="003A0ACF">
        <w:rPr>
          <w:rStyle w:val="FootnoteReference"/>
        </w:rPr>
        <w:footnoteRef/>
      </w:r>
      <w:r w:rsidRPr="003A0ACF">
        <w:t xml:space="preserve"> </w:t>
      </w:r>
      <w:r w:rsidRPr="003A0ACF">
        <w:rPr>
          <w:lang w:val="en-US"/>
        </w:rPr>
        <w:t>Act 68 of 1981.</w:t>
      </w:r>
    </w:p>
  </w:footnote>
  <w:footnote w:id="2">
    <w:p w14:paraId="4A307FB7" w14:textId="77777777" w:rsidR="00F42030" w:rsidRPr="003A0ACF" w:rsidRDefault="00F42030" w:rsidP="003A0ACF">
      <w:pPr>
        <w:pStyle w:val="FootnoteText"/>
        <w:spacing w:line="240" w:lineRule="auto"/>
        <w:jc w:val="both"/>
        <w:rPr>
          <w:lang w:val="en-US"/>
        </w:rPr>
      </w:pPr>
      <w:r w:rsidRPr="003A0ACF">
        <w:rPr>
          <w:rStyle w:val="FootnoteReference"/>
        </w:rPr>
        <w:footnoteRef/>
      </w:r>
      <w:r w:rsidRPr="003A0ACF">
        <w:t xml:space="preserve"> </w:t>
      </w:r>
      <w:r w:rsidRPr="003A0ACF">
        <w:rPr>
          <w:lang w:val="en-US"/>
        </w:rPr>
        <w:t>The order was sought in the following terms:</w:t>
      </w:r>
    </w:p>
    <w:p w14:paraId="41A07203" w14:textId="77777777" w:rsidR="00F42030" w:rsidRPr="003A0ACF" w:rsidRDefault="00F42030" w:rsidP="003A0ACF">
      <w:pPr>
        <w:pStyle w:val="ListParagraph"/>
        <w:autoSpaceDE w:val="0"/>
        <w:autoSpaceDN w:val="0"/>
        <w:adjustRightInd w:val="0"/>
        <w:spacing w:line="240" w:lineRule="auto"/>
        <w:ind w:left="0"/>
        <w:jc w:val="both"/>
        <w:rPr>
          <w:sz w:val="20"/>
          <w:szCs w:val="20"/>
          <w:lang w:val="en-GB"/>
        </w:rPr>
      </w:pPr>
    </w:p>
    <w:p w14:paraId="4342B176" w14:textId="77777777" w:rsidR="00F42030" w:rsidRPr="003A0ACF" w:rsidRDefault="00527179" w:rsidP="003A0ACF">
      <w:pPr>
        <w:pStyle w:val="ListParagraph"/>
        <w:numPr>
          <w:ilvl w:val="0"/>
          <w:numId w:val="12"/>
        </w:numPr>
        <w:autoSpaceDE w:val="0"/>
        <w:autoSpaceDN w:val="0"/>
        <w:adjustRightInd w:val="0"/>
        <w:spacing w:line="240" w:lineRule="auto"/>
        <w:jc w:val="both"/>
        <w:rPr>
          <w:sz w:val="20"/>
          <w:szCs w:val="20"/>
          <w:lang w:val="en-GB"/>
        </w:rPr>
      </w:pPr>
      <w:r w:rsidRPr="003A0ACF">
        <w:rPr>
          <w:sz w:val="20"/>
          <w:szCs w:val="20"/>
          <w:lang w:val="en-GB"/>
        </w:rPr>
        <w:t>‘</w:t>
      </w:r>
      <w:r w:rsidR="00F42030" w:rsidRPr="003A0ACF">
        <w:rPr>
          <w:sz w:val="20"/>
          <w:szCs w:val="20"/>
          <w:lang w:val="en-GB"/>
        </w:rPr>
        <w:t>The Trust be compelled to comply with the written agreement entered into between the Applicant and the Trust on 16 March 2016, to purchase the immovable property known as:</w:t>
      </w:r>
    </w:p>
    <w:p w14:paraId="709EC392" w14:textId="77777777" w:rsidR="00F42030" w:rsidRPr="003A0ACF" w:rsidRDefault="00F42030" w:rsidP="003A0ACF">
      <w:pPr>
        <w:autoSpaceDE w:val="0"/>
        <w:autoSpaceDN w:val="0"/>
        <w:adjustRightInd w:val="0"/>
        <w:spacing w:line="240" w:lineRule="auto"/>
        <w:jc w:val="both"/>
        <w:rPr>
          <w:sz w:val="20"/>
          <w:szCs w:val="20"/>
          <w:lang w:val="en-GB"/>
        </w:rPr>
      </w:pPr>
    </w:p>
    <w:p w14:paraId="15C1B1BA" w14:textId="77777777" w:rsidR="00F42030" w:rsidRPr="003A0ACF" w:rsidRDefault="00F42030" w:rsidP="003A0ACF">
      <w:pPr>
        <w:autoSpaceDE w:val="0"/>
        <w:autoSpaceDN w:val="0"/>
        <w:adjustRightInd w:val="0"/>
        <w:spacing w:line="240" w:lineRule="auto"/>
        <w:ind w:left="360"/>
        <w:jc w:val="both"/>
        <w:rPr>
          <w:sz w:val="20"/>
          <w:szCs w:val="20"/>
          <w:lang w:val="en-GB"/>
        </w:rPr>
      </w:pPr>
      <w:r w:rsidRPr="003A0ACF">
        <w:rPr>
          <w:sz w:val="20"/>
          <w:szCs w:val="20"/>
          <w:lang w:val="en-GB"/>
        </w:rPr>
        <w:t>1.</w:t>
      </w:r>
      <w:r w:rsidRPr="003A0ACF">
        <w:rPr>
          <w:sz w:val="20"/>
          <w:szCs w:val="20"/>
          <w:lang w:val="en-GB"/>
        </w:rPr>
        <w:tab/>
        <w:t>Remainder of Erf 4793 Queenstown</w:t>
      </w:r>
    </w:p>
    <w:p w14:paraId="42CBDF72" w14:textId="77777777" w:rsidR="00F42030" w:rsidRPr="003A0ACF" w:rsidRDefault="00F42030" w:rsidP="003A0ACF">
      <w:pPr>
        <w:autoSpaceDE w:val="0"/>
        <w:autoSpaceDN w:val="0"/>
        <w:adjustRightInd w:val="0"/>
        <w:spacing w:line="240" w:lineRule="auto"/>
        <w:ind w:left="360" w:firstLine="360"/>
        <w:jc w:val="both"/>
        <w:rPr>
          <w:sz w:val="20"/>
          <w:szCs w:val="20"/>
          <w:lang w:val="en-GB"/>
        </w:rPr>
      </w:pPr>
      <w:r w:rsidRPr="003A0ACF">
        <w:rPr>
          <w:sz w:val="20"/>
          <w:szCs w:val="20"/>
          <w:lang w:val="en-GB"/>
        </w:rPr>
        <w:t xml:space="preserve">Situate in the </w:t>
      </w:r>
      <w:proofErr w:type="spellStart"/>
      <w:r w:rsidRPr="003A0ACF">
        <w:rPr>
          <w:sz w:val="20"/>
          <w:szCs w:val="20"/>
          <w:lang w:val="en-GB"/>
        </w:rPr>
        <w:t>Lukhanji</w:t>
      </w:r>
      <w:proofErr w:type="spellEnd"/>
      <w:r w:rsidRPr="003A0ACF">
        <w:rPr>
          <w:sz w:val="20"/>
          <w:szCs w:val="20"/>
          <w:lang w:val="en-GB"/>
        </w:rPr>
        <w:t xml:space="preserve"> Municipality</w:t>
      </w:r>
    </w:p>
    <w:p w14:paraId="2247FF11" w14:textId="77777777" w:rsidR="00F42030" w:rsidRPr="003A0ACF" w:rsidRDefault="00F42030" w:rsidP="003A0ACF">
      <w:pPr>
        <w:pStyle w:val="ListParagraph"/>
        <w:autoSpaceDE w:val="0"/>
        <w:autoSpaceDN w:val="0"/>
        <w:adjustRightInd w:val="0"/>
        <w:spacing w:line="240" w:lineRule="auto"/>
        <w:jc w:val="both"/>
        <w:rPr>
          <w:sz w:val="20"/>
          <w:szCs w:val="20"/>
          <w:lang w:val="en-GB"/>
        </w:rPr>
      </w:pPr>
      <w:r w:rsidRPr="003A0ACF">
        <w:rPr>
          <w:sz w:val="20"/>
          <w:szCs w:val="20"/>
          <w:lang w:val="en-GB"/>
        </w:rPr>
        <w:t>Division of Queenstown</w:t>
      </w:r>
    </w:p>
    <w:p w14:paraId="3F11032C" w14:textId="77777777" w:rsidR="00F42030" w:rsidRPr="003A0ACF" w:rsidRDefault="00F42030" w:rsidP="003A0ACF">
      <w:pPr>
        <w:pStyle w:val="ListParagraph"/>
        <w:autoSpaceDE w:val="0"/>
        <w:autoSpaceDN w:val="0"/>
        <w:adjustRightInd w:val="0"/>
        <w:spacing w:line="240" w:lineRule="auto"/>
        <w:jc w:val="both"/>
        <w:rPr>
          <w:sz w:val="20"/>
          <w:szCs w:val="20"/>
          <w:lang w:val="en-GB"/>
        </w:rPr>
      </w:pPr>
      <w:r w:rsidRPr="003A0ACF">
        <w:rPr>
          <w:sz w:val="20"/>
          <w:szCs w:val="20"/>
          <w:lang w:val="en-GB"/>
        </w:rPr>
        <w:t>Province of the Eastern Cape</w:t>
      </w:r>
    </w:p>
    <w:p w14:paraId="0AB37A37" w14:textId="3F675786" w:rsidR="00F42030" w:rsidRPr="003A0ACF" w:rsidRDefault="00F42030" w:rsidP="003A0ACF">
      <w:pPr>
        <w:pStyle w:val="ListParagraph"/>
        <w:autoSpaceDE w:val="0"/>
        <w:autoSpaceDN w:val="0"/>
        <w:adjustRightInd w:val="0"/>
        <w:spacing w:line="240" w:lineRule="auto"/>
        <w:jc w:val="both"/>
        <w:rPr>
          <w:sz w:val="20"/>
          <w:szCs w:val="20"/>
          <w:lang w:val="en-GB"/>
        </w:rPr>
      </w:pPr>
      <w:r w:rsidRPr="003A0ACF">
        <w:rPr>
          <w:sz w:val="20"/>
          <w:szCs w:val="20"/>
          <w:lang w:val="en-GB"/>
        </w:rPr>
        <w:t xml:space="preserve">In Extent: 455 (four hundred and </w:t>
      </w:r>
      <w:r w:rsidR="00C204D2" w:rsidRPr="003A0ACF">
        <w:rPr>
          <w:sz w:val="20"/>
          <w:szCs w:val="20"/>
          <w:lang w:val="en-GB"/>
        </w:rPr>
        <w:t>fifty</w:t>
      </w:r>
      <w:r w:rsidR="00634536">
        <w:rPr>
          <w:sz w:val="20"/>
          <w:szCs w:val="20"/>
          <w:lang w:val="en-GB"/>
        </w:rPr>
        <w:t>-</w:t>
      </w:r>
      <w:r w:rsidR="00C204D2" w:rsidRPr="003A0ACF">
        <w:rPr>
          <w:sz w:val="20"/>
          <w:szCs w:val="20"/>
          <w:lang w:val="en-GB"/>
        </w:rPr>
        <w:t>five</w:t>
      </w:r>
      <w:r w:rsidRPr="003A0ACF">
        <w:rPr>
          <w:sz w:val="20"/>
          <w:szCs w:val="20"/>
          <w:lang w:val="en-GB"/>
        </w:rPr>
        <w:t>) square metres</w:t>
      </w:r>
    </w:p>
    <w:p w14:paraId="2264518B" w14:textId="77777777" w:rsidR="00F42030" w:rsidRPr="003A0ACF" w:rsidRDefault="00F42030" w:rsidP="003A0ACF">
      <w:pPr>
        <w:autoSpaceDE w:val="0"/>
        <w:autoSpaceDN w:val="0"/>
        <w:adjustRightInd w:val="0"/>
        <w:spacing w:line="240" w:lineRule="auto"/>
        <w:jc w:val="both"/>
        <w:rPr>
          <w:sz w:val="20"/>
          <w:szCs w:val="20"/>
          <w:lang w:val="en-GB"/>
        </w:rPr>
      </w:pPr>
    </w:p>
    <w:p w14:paraId="7D9918DC" w14:textId="77777777" w:rsidR="00F42030" w:rsidRPr="003A0ACF" w:rsidRDefault="00F42030" w:rsidP="003A0ACF">
      <w:pPr>
        <w:autoSpaceDE w:val="0"/>
        <w:autoSpaceDN w:val="0"/>
        <w:adjustRightInd w:val="0"/>
        <w:spacing w:line="240" w:lineRule="auto"/>
        <w:ind w:firstLine="426"/>
        <w:jc w:val="both"/>
        <w:rPr>
          <w:sz w:val="20"/>
          <w:szCs w:val="20"/>
          <w:lang w:val="en-GB"/>
        </w:rPr>
      </w:pPr>
      <w:r w:rsidRPr="003A0ACF">
        <w:rPr>
          <w:sz w:val="20"/>
          <w:szCs w:val="20"/>
          <w:lang w:val="en-GB"/>
        </w:rPr>
        <w:t>2.</w:t>
      </w:r>
      <w:r w:rsidRPr="003A0ACF">
        <w:rPr>
          <w:sz w:val="20"/>
          <w:szCs w:val="20"/>
          <w:lang w:val="en-GB"/>
        </w:rPr>
        <w:tab/>
        <w:t>Remainder of Erf 1140 Queenstown</w:t>
      </w:r>
    </w:p>
    <w:p w14:paraId="755BA82E" w14:textId="77777777" w:rsidR="00F42030" w:rsidRPr="003A0ACF" w:rsidRDefault="00F42030" w:rsidP="003A0ACF">
      <w:pPr>
        <w:pStyle w:val="ListParagraph"/>
        <w:autoSpaceDE w:val="0"/>
        <w:autoSpaceDN w:val="0"/>
        <w:adjustRightInd w:val="0"/>
        <w:spacing w:line="240" w:lineRule="auto"/>
        <w:jc w:val="both"/>
        <w:rPr>
          <w:sz w:val="20"/>
          <w:szCs w:val="20"/>
          <w:lang w:val="en-GB"/>
        </w:rPr>
      </w:pPr>
      <w:r w:rsidRPr="003A0ACF">
        <w:rPr>
          <w:sz w:val="20"/>
          <w:szCs w:val="20"/>
          <w:lang w:val="en-GB"/>
        </w:rPr>
        <w:t xml:space="preserve">Situate in the </w:t>
      </w:r>
      <w:proofErr w:type="spellStart"/>
      <w:r w:rsidRPr="003A0ACF">
        <w:rPr>
          <w:sz w:val="20"/>
          <w:szCs w:val="20"/>
          <w:lang w:val="en-GB"/>
        </w:rPr>
        <w:t>Lukhanji</w:t>
      </w:r>
      <w:proofErr w:type="spellEnd"/>
      <w:r w:rsidRPr="003A0ACF">
        <w:rPr>
          <w:sz w:val="20"/>
          <w:szCs w:val="20"/>
          <w:lang w:val="en-GB"/>
        </w:rPr>
        <w:t xml:space="preserve"> Municipality</w:t>
      </w:r>
    </w:p>
    <w:p w14:paraId="584FDB14" w14:textId="77777777" w:rsidR="00F42030" w:rsidRPr="003A0ACF" w:rsidRDefault="00F42030" w:rsidP="003A0ACF">
      <w:pPr>
        <w:pStyle w:val="ListParagraph"/>
        <w:autoSpaceDE w:val="0"/>
        <w:autoSpaceDN w:val="0"/>
        <w:adjustRightInd w:val="0"/>
        <w:spacing w:line="240" w:lineRule="auto"/>
        <w:jc w:val="both"/>
        <w:rPr>
          <w:sz w:val="20"/>
          <w:szCs w:val="20"/>
          <w:lang w:val="en-GB"/>
        </w:rPr>
      </w:pPr>
      <w:r w:rsidRPr="003A0ACF">
        <w:rPr>
          <w:sz w:val="20"/>
          <w:szCs w:val="20"/>
          <w:lang w:val="en-GB"/>
        </w:rPr>
        <w:t>Division of Queenstown</w:t>
      </w:r>
    </w:p>
    <w:p w14:paraId="0A947D8A" w14:textId="77777777" w:rsidR="00F42030" w:rsidRPr="003A0ACF" w:rsidRDefault="00F42030" w:rsidP="003A0ACF">
      <w:pPr>
        <w:pStyle w:val="ListParagraph"/>
        <w:autoSpaceDE w:val="0"/>
        <w:autoSpaceDN w:val="0"/>
        <w:adjustRightInd w:val="0"/>
        <w:spacing w:line="240" w:lineRule="auto"/>
        <w:jc w:val="both"/>
        <w:rPr>
          <w:sz w:val="20"/>
          <w:szCs w:val="20"/>
          <w:lang w:val="en-GB"/>
        </w:rPr>
      </w:pPr>
      <w:r w:rsidRPr="003A0ACF">
        <w:rPr>
          <w:sz w:val="20"/>
          <w:szCs w:val="20"/>
          <w:lang w:val="en-GB"/>
        </w:rPr>
        <w:t>Province of the Eastern Cape</w:t>
      </w:r>
    </w:p>
    <w:p w14:paraId="7DA0C07D" w14:textId="77777777" w:rsidR="00F42030" w:rsidRPr="003A0ACF" w:rsidRDefault="00F42030" w:rsidP="003A0ACF">
      <w:pPr>
        <w:pStyle w:val="ListParagraph"/>
        <w:autoSpaceDE w:val="0"/>
        <w:autoSpaceDN w:val="0"/>
        <w:adjustRightInd w:val="0"/>
        <w:spacing w:line="240" w:lineRule="auto"/>
        <w:jc w:val="both"/>
        <w:rPr>
          <w:sz w:val="20"/>
          <w:szCs w:val="20"/>
          <w:lang w:val="en-GB"/>
        </w:rPr>
      </w:pPr>
      <w:r w:rsidRPr="003A0ACF">
        <w:rPr>
          <w:sz w:val="20"/>
          <w:szCs w:val="20"/>
          <w:lang w:val="en-GB"/>
        </w:rPr>
        <w:t xml:space="preserve">In Extent: 169 (one hundred and </w:t>
      </w:r>
      <w:r w:rsidR="00C204D2" w:rsidRPr="003A0ACF">
        <w:rPr>
          <w:sz w:val="20"/>
          <w:szCs w:val="20"/>
          <w:lang w:val="en-GB"/>
        </w:rPr>
        <w:t>sixty-nine</w:t>
      </w:r>
      <w:r w:rsidRPr="003A0ACF">
        <w:rPr>
          <w:sz w:val="20"/>
          <w:szCs w:val="20"/>
          <w:lang w:val="en-GB"/>
        </w:rPr>
        <w:t>) square metres</w:t>
      </w:r>
    </w:p>
    <w:p w14:paraId="1B0585CE" w14:textId="77777777" w:rsidR="00F42030" w:rsidRPr="003A0ACF" w:rsidRDefault="00F42030" w:rsidP="003A0ACF">
      <w:pPr>
        <w:pStyle w:val="ListParagraph"/>
        <w:autoSpaceDE w:val="0"/>
        <w:autoSpaceDN w:val="0"/>
        <w:adjustRightInd w:val="0"/>
        <w:spacing w:line="240" w:lineRule="auto"/>
        <w:jc w:val="both"/>
        <w:rPr>
          <w:sz w:val="20"/>
          <w:szCs w:val="20"/>
          <w:lang w:val="en-GB"/>
        </w:rPr>
      </w:pPr>
    </w:p>
    <w:p w14:paraId="3DEAF632" w14:textId="77777777" w:rsidR="00F42030" w:rsidRPr="003A0ACF" w:rsidRDefault="00F42030" w:rsidP="003A0ACF">
      <w:pPr>
        <w:pStyle w:val="ListParagraph"/>
        <w:autoSpaceDE w:val="0"/>
        <w:autoSpaceDN w:val="0"/>
        <w:adjustRightInd w:val="0"/>
        <w:spacing w:line="240" w:lineRule="auto"/>
        <w:jc w:val="both"/>
        <w:rPr>
          <w:sz w:val="20"/>
          <w:szCs w:val="20"/>
          <w:lang w:val="en-GB"/>
        </w:rPr>
      </w:pPr>
      <w:r w:rsidRPr="003A0ACF">
        <w:rPr>
          <w:sz w:val="20"/>
          <w:szCs w:val="20"/>
          <w:lang w:val="en-GB"/>
        </w:rPr>
        <w:t>The 2 (two) properties held by deed transfer number T5603/2012 (‘the property’)’</w:t>
      </w:r>
    </w:p>
    <w:p w14:paraId="79F3A524" w14:textId="77777777" w:rsidR="00F42030" w:rsidRPr="003A0ACF" w:rsidRDefault="00F42030" w:rsidP="003A0ACF">
      <w:pPr>
        <w:pStyle w:val="ListParagraph"/>
        <w:autoSpaceDE w:val="0"/>
        <w:autoSpaceDN w:val="0"/>
        <w:adjustRightInd w:val="0"/>
        <w:spacing w:line="240" w:lineRule="auto"/>
        <w:jc w:val="both"/>
        <w:rPr>
          <w:sz w:val="20"/>
          <w:szCs w:val="20"/>
          <w:lang w:val="en-GB"/>
        </w:rPr>
      </w:pPr>
    </w:p>
    <w:p w14:paraId="13135323" w14:textId="77777777" w:rsidR="00F42030" w:rsidRPr="003A0ACF" w:rsidRDefault="00F42030" w:rsidP="003A0ACF">
      <w:pPr>
        <w:pStyle w:val="ListParagraph"/>
        <w:numPr>
          <w:ilvl w:val="0"/>
          <w:numId w:val="12"/>
        </w:numPr>
        <w:autoSpaceDE w:val="0"/>
        <w:autoSpaceDN w:val="0"/>
        <w:adjustRightInd w:val="0"/>
        <w:spacing w:line="240" w:lineRule="auto"/>
        <w:jc w:val="both"/>
        <w:rPr>
          <w:sz w:val="20"/>
          <w:szCs w:val="20"/>
          <w:lang w:val="en-GB"/>
        </w:rPr>
      </w:pPr>
      <w:r w:rsidRPr="003A0ACF">
        <w:rPr>
          <w:sz w:val="20"/>
          <w:szCs w:val="20"/>
          <w:lang w:val="en-GB"/>
        </w:rPr>
        <w:t>An order directing the Trust to cause the transfer of the property to be effected in the name of the Applicant against payment by the Applicant of the balance of R200 000,00 to the respondent, with interest, and all costs of transfer.</w:t>
      </w:r>
    </w:p>
    <w:p w14:paraId="67691F55" w14:textId="77777777" w:rsidR="00F42030" w:rsidRPr="003A0ACF" w:rsidRDefault="00F42030" w:rsidP="003A0ACF">
      <w:pPr>
        <w:autoSpaceDE w:val="0"/>
        <w:autoSpaceDN w:val="0"/>
        <w:adjustRightInd w:val="0"/>
        <w:spacing w:line="240" w:lineRule="auto"/>
        <w:ind w:left="360"/>
        <w:jc w:val="both"/>
        <w:rPr>
          <w:sz w:val="20"/>
          <w:szCs w:val="20"/>
          <w:lang w:val="en-GB"/>
        </w:rPr>
      </w:pPr>
    </w:p>
    <w:p w14:paraId="46E3F3DE" w14:textId="77777777" w:rsidR="00F42030" w:rsidRPr="003A0ACF" w:rsidRDefault="00F42030" w:rsidP="003A0ACF">
      <w:pPr>
        <w:pStyle w:val="ListParagraph"/>
        <w:numPr>
          <w:ilvl w:val="0"/>
          <w:numId w:val="12"/>
        </w:numPr>
        <w:autoSpaceDE w:val="0"/>
        <w:autoSpaceDN w:val="0"/>
        <w:adjustRightInd w:val="0"/>
        <w:spacing w:line="240" w:lineRule="auto"/>
        <w:jc w:val="both"/>
        <w:rPr>
          <w:sz w:val="20"/>
          <w:szCs w:val="20"/>
          <w:lang w:val="en-GB"/>
        </w:rPr>
      </w:pPr>
      <w:r w:rsidRPr="003A0ACF">
        <w:rPr>
          <w:sz w:val="20"/>
          <w:szCs w:val="20"/>
          <w:lang w:val="en-GB"/>
        </w:rPr>
        <w:t>Costs of the application on the scale as between attorney and client.’</w:t>
      </w:r>
    </w:p>
    <w:p w14:paraId="320F6C62" w14:textId="77777777" w:rsidR="00F42030" w:rsidRPr="003A0ACF" w:rsidRDefault="00F42030" w:rsidP="003A0ACF">
      <w:pPr>
        <w:pStyle w:val="FootnoteText"/>
        <w:spacing w:line="240" w:lineRule="auto"/>
        <w:jc w:val="both"/>
        <w:rPr>
          <w:lang w:val="en-US"/>
        </w:rPr>
      </w:pPr>
    </w:p>
  </w:footnote>
  <w:footnote w:id="3">
    <w:p w14:paraId="14BDB230" w14:textId="17FE6E1B" w:rsidR="00091DD9" w:rsidRPr="003A0ACF" w:rsidRDefault="00091DD9" w:rsidP="003A0ACF">
      <w:pPr>
        <w:pStyle w:val="FootnoteText"/>
        <w:spacing w:line="240" w:lineRule="auto"/>
        <w:jc w:val="both"/>
        <w:rPr>
          <w:lang w:val="en-US"/>
        </w:rPr>
      </w:pPr>
      <w:r w:rsidRPr="003A0ACF">
        <w:rPr>
          <w:rStyle w:val="FootnoteReference"/>
        </w:rPr>
        <w:footnoteRef/>
      </w:r>
      <w:r w:rsidRPr="003A0ACF">
        <w:t xml:space="preserve"> </w:t>
      </w:r>
      <w:r w:rsidRPr="003A0ACF">
        <w:rPr>
          <w:lang w:val="en-US"/>
        </w:rPr>
        <w:t xml:space="preserve">It may be noted, for the sake of completion, that the school has since been evicted from the </w:t>
      </w:r>
      <w:r w:rsidR="00DE038D" w:rsidRPr="003A0ACF">
        <w:rPr>
          <w:lang w:val="en-US"/>
        </w:rPr>
        <w:t>property</w:t>
      </w:r>
      <w:r w:rsidR="00FC0EE9">
        <w:rPr>
          <w:lang w:val="en-US"/>
        </w:rPr>
        <w:t xml:space="preserve"> by the magistrate’s court</w:t>
      </w:r>
      <w:r w:rsidR="00FC0EE9" w:rsidRPr="003A0ACF">
        <w:rPr>
          <w:lang w:val="en-US"/>
        </w:rPr>
        <w:t>.</w:t>
      </w:r>
      <w:r w:rsidR="00FC0EE9">
        <w:rPr>
          <w:lang w:val="en-US"/>
        </w:rPr>
        <w:t xml:space="preserve"> An appeal against that decision was unsuccessful. A petition for leave to appeal to the SCA is pending.</w:t>
      </w:r>
    </w:p>
  </w:footnote>
  <w:footnote w:id="4">
    <w:p w14:paraId="4C6992F5" w14:textId="77777777" w:rsidR="00C7418A" w:rsidRPr="003A0ACF" w:rsidRDefault="00C7418A" w:rsidP="003A0ACF">
      <w:pPr>
        <w:pStyle w:val="FootnoteText"/>
        <w:spacing w:line="240" w:lineRule="auto"/>
        <w:jc w:val="both"/>
        <w:rPr>
          <w:lang w:val="en-US"/>
        </w:rPr>
      </w:pPr>
      <w:r w:rsidRPr="003A0ACF">
        <w:rPr>
          <w:rStyle w:val="FootnoteReference"/>
        </w:rPr>
        <w:footnoteRef/>
      </w:r>
      <w:r w:rsidRPr="003A0ACF">
        <w:t xml:space="preserve"> </w:t>
      </w:r>
      <w:r w:rsidRPr="003A0ACF">
        <w:rPr>
          <w:lang w:val="en-US"/>
        </w:rPr>
        <w:t>Preamble to the Act.</w:t>
      </w:r>
    </w:p>
  </w:footnote>
  <w:footnote w:id="5">
    <w:p w14:paraId="0937B1B3" w14:textId="77777777" w:rsidR="00B1629F" w:rsidRPr="003A0ACF" w:rsidRDefault="00B1629F" w:rsidP="003A0ACF">
      <w:pPr>
        <w:pStyle w:val="FootnoteText"/>
        <w:spacing w:line="240" w:lineRule="auto"/>
        <w:jc w:val="both"/>
        <w:rPr>
          <w:lang w:val="en-US"/>
        </w:rPr>
      </w:pPr>
      <w:r w:rsidRPr="003A0ACF">
        <w:rPr>
          <w:rStyle w:val="FootnoteReference"/>
        </w:rPr>
        <w:footnoteRef/>
      </w:r>
      <w:r w:rsidRPr="003A0ACF">
        <w:t xml:space="preserve"> </w:t>
      </w:r>
      <w:proofErr w:type="spellStart"/>
      <w:r w:rsidRPr="003A0ACF">
        <w:rPr>
          <w:i/>
          <w:iCs/>
          <w:lang w:val="en-US"/>
        </w:rPr>
        <w:t>Amardien</w:t>
      </w:r>
      <w:proofErr w:type="spellEnd"/>
      <w:r w:rsidRPr="003A0ACF">
        <w:rPr>
          <w:lang w:val="en-US"/>
        </w:rPr>
        <w:t xml:space="preserve"> </w:t>
      </w:r>
      <w:r w:rsidR="003A0ACF">
        <w:rPr>
          <w:i/>
          <w:iCs/>
          <w:lang w:val="en-US"/>
        </w:rPr>
        <w:t xml:space="preserve">and Others v Registrar of Deeds and Others </w:t>
      </w:r>
      <w:r w:rsidR="00C204D2" w:rsidRPr="00175A9F">
        <w:rPr>
          <w:iCs/>
          <w:lang w:val="en-US"/>
        </w:rPr>
        <w:t>[2018] ZACC 47; 2019 (2) BCLR 193 (CC</w:t>
      </w:r>
      <w:r w:rsidR="00C204D2" w:rsidRPr="00C204D2">
        <w:rPr>
          <w:i/>
          <w:iCs/>
          <w:lang w:val="en-US"/>
        </w:rPr>
        <w:t xml:space="preserve">) </w:t>
      </w:r>
      <w:r w:rsidR="003A0ACF">
        <w:rPr>
          <w:lang w:val="en-US"/>
        </w:rPr>
        <w:t xml:space="preserve">2019 (3) SA 341 (CC) </w:t>
      </w:r>
      <w:r w:rsidRPr="003A0ACF">
        <w:rPr>
          <w:lang w:val="en-US"/>
        </w:rPr>
        <w:t>para 10.</w:t>
      </w:r>
    </w:p>
  </w:footnote>
  <w:footnote w:id="6">
    <w:p w14:paraId="40DAC11F" w14:textId="0425D83F" w:rsidR="00D455AD" w:rsidRPr="003A0ACF" w:rsidRDefault="00D455AD" w:rsidP="003A0ACF">
      <w:pPr>
        <w:pStyle w:val="FootnoteText"/>
        <w:spacing w:line="240" w:lineRule="auto"/>
        <w:jc w:val="both"/>
        <w:rPr>
          <w:lang w:val="en-US"/>
        </w:rPr>
      </w:pPr>
      <w:r w:rsidRPr="003A0ACF">
        <w:rPr>
          <w:rStyle w:val="FootnoteReference"/>
        </w:rPr>
        <w:footnoteRef/>
      </w:r>
      <w:r w:rsidRPr="003A0ACF">
        <w:t xml:space="preserve"> </w:t>
      </w:r>
      <w:r w:rsidRPr="003A0ACF">
        <w:rPr>
          <w:lang w:val="en-US"/>
        </w:rPr>
        <w:t>Both the notions of ‘</w:t>
      </w:r>
      <w:r w:rsidR="00E11415" w:rsidRPr="003A0ACF">
        <w:rPr>
          <w:lang w:val="en-US"/>
        </w:rPr>
        <w:t>consideration’</w:t>
      </w:r>
      <w:r w:rsidRPr="003A0ACF">
        <w:rPr>
          <w:lang w:val="en-US"/>
        </w:rPr>
        <w:t xml:space="preserve"> and ‘</w:t>
      </w:r>
      <w:r w:rsidR="00E11415" w:rsidRPr="003A0ACF">
        <w:rPr>
          <w:lang w:val="en-US"/>
        </w:rPr>
        <w:t>contract’</w:t>
      </w:r>
      <w:r w:rsidRPr="003A0ACF">
        <w:rPr>
          <w:lang w:val="en-US"/>
        </w:rPr>
        <w:t xml:space="preserve"> are defined in s 1 of the Act.</w:t>
      </w:r>
      <w:r w:rsidR="00E11415" w:rsidRPr="003A0ACF">
        <w:rPr>
          <w:lang w:val="en-US"/>
        </w:rPr>
        <w:t xml:space="preserve"> ‘Consideration’, in relation to a sale of land under any deed of alienation, means the purchase price and interest thereon, excluding rent or occupational interest constituting a reasonable compensation for the use and enjoyment of the land by the purchaser. ‘Contract’ means a deed of alienation under which land is sold against payment by the purchase to, or to any person on behalf of, the seller of an amount of money in more than two instalments over a period exceeding one year</w:t>
      </w:r>
      <w:r w:rsidR="00F40705" w:rsidRPr="003A0ACF">
        <w:rPr>
          <w:lang w:val="en-US"/>
        </w:rPr>
        <w:t>. It is defined to include any agreement or agreements which together have the same import, whatever form the agreement or agreements may take.</w:t>
      </w:r>
      <w:r w:rsidR="0061375B" w:rsidRPr="003A0ACF">
        <w:rPr>
          <w:lang w:val="en-US"/>
        </w:rPr>
        <w:t xml:space="preserve"> In </w:t>
      </w:r>
      <w:proofErr w:type="spellStart"/>
      <w:r w:rsidR="0061375B" w:rsidRPr="003A0ACF">
        <w:rPr>
          <w:i/>
          <w:iCs/>
          <w:lang w:val="en-US"/>
        </w:rPr>
        <w:t>Sarrahwitz</w:t>
      </w:r>
      <w:proofErr w:type="spellEnd"/>
      <w:r w:rsidR="0061375B" w:rsidRPr="003A0ACF">
        <w:rPr>
          <w:i/>
          <w:iCs/>
          <w:lang w:val="en-US"/>
        </w:rPr>
        <w:t xml:space="preserve"> v Maritz NO and Another</w:t>
      </w:r>
      <w:r w:rsidR="0061375B" w:rsidRPr="003A0ACF">
        <w:rPr>
          <w:lang w:val="en-US"/>
        </w:rPr>
        <w:t xml:space="preserve"> </w:t>
      </w:r>
      <w:r w:rsidR="00C204D2" w:rsidRPr="00C204D2">
        <w:rPr>
          <w:lang w:val="en-US"/>
        </w:rPr>
        <w:t>[2015] ZACC 14;</w:t>
      </w:r>
      <w:r w:rsidR="00C204D2">
        <w:rPr>
          <w:lang w:val="en-US"/>
        </w:rPr>
        <w:t xml:space="preserve"> </w:t>
      </w:r>
      <w:r w:rsidR="0061375B" w:rsidRPr="003A0ACF">
        <w:rPr>
          <w:lang w:val="en-US"/>
        </w:rPr>
        <w:t>2015 (4) SA 491 (CC)</w:t>
      </w:r>
      <w:r w:rsidR="00C204D2">
        <w:rPr>
          <w:lang w:val="en-US"/>
        </w:rPr>
        <w:t xml:space="preserve">; </w:t>
      </w:r>
      <w:r w:rsidR="00C204D2" w:rsidRPr="00C204D2">
        <w:rPr>
          <w:lang w:val="en-US"/>
        </w:rPr>
        <w:t>2015 (8) BCLR 925 (CC</w:t>
      </w:r>
      <w:r w:rsidR="00BC5FF1" w:rsidRPr="00C204D2">
        <w:rPr>
          <w:lang w:val="en-US"/>
        </w:rPr>
        <w:t>)</w:t>
      </w:r>
      <w:r w:rsidR="00BC5FF1">
        <w:rPr>
          <w:lang w:val="en-US"/>
        </w:rPr>
        <w:t xml:space="preserve"> </w:t>
      </w:r>
      <w:r w:rsidR="00BC5FF1" w:rsidRPr="003A0ACF">
        <w:rPr>
          <w:lang w:val="en-US"/>
        </w:rPr>
        <w:t>(</w:t>
      </w:r>
      <w:r w:rsidR="00A7584F">
        <w:rPr>
          <w:lang w:val="en-US"/>
        </w:rPr>
        <w:t>‘</w:t>
      </w:r>
      <w:proofErr w:type="spellStart"/>
      <w:r w:rsidR="00A7584F">
        <w:rPr>
          <w:i/>
          <w:iCs/>
          <w:lang w:val="en-US"/>
        </w:rPr>
        <w:t>Sarrahwitz</w:t>
      </w:r>
      <w:proofErr w:type="spellEnd"/>
      <w:r w:rsidR="00A7584F">
        <w:rPr>
          <w:lang w:val="en-US"/>
        </w:rPr>
        <w:t>’)</w:t>
      </w:r>
      <w:r w:rsidR="00A7584F">
        <w:rPr>
          <w:i/>
          <w:iCs/>
          <w:lang w:val="en-US"/>
        </w:rPr>
        <w:t xml:space="preserve"> </w:t>
      </w:r>
      <w:r w:rsidR="0087210B" w:rsidRPr="003A0ACF">
        <w:rPr>
          <w:lang w:val="en-US"/>
        </w:rPr>
        <w:t>para 78</w:t>
      </w:r>
      <w:r w:rsidR="0061375B" w:rsidRPr="003A0ACF">
        <w:rPr>
          <w:lang w:val="en-US"/>
        </w:rPr>
        <w:t>, the Constitutional Court read the words ‘including residential property paid for in full within one year of the contract, by a vulnerable purchaser’ into the definition of ‘contract’ at the end of s 1(a)</w:t>
      </w:r>
      <w:r w:rsidR="0092612C" w:rsidRPr="003A0ACF">
        <w:rPr>
          <w:lang w:val="en-US"/>
        </w:rPr>
        <w:t>, adding the following definition: ‘vulnerable purchaser’ means a purchaser who runs the risk of being rendered homeless by a seller’s insolvency.’</w:t>
      </w:r>
    </w:p>
  </w:footnote>
  <w:footnote w:id="7">
    <w:p w14:paraId="232F8FAA" w14:textId="77777777" w:rsidR="00542487" w:rsidRPr="003A0ACF" w:rsidRDefault="00542487" w:rsidP="003A0ACF">
      <w:pPr>
        <w:pStyle w:val="FootnoteText"/>
        <w:spacing w:line="240" w:lineRule="auto"/>
        <w:jc w:val="both"/>
        <w:rPr>
          <w:lang w:val="en-US"/>
        </w:rPr>
      </w:pPr>
      <w:r w:rsidRPr="003A0ACF">
        <w:rPr>
          <w:rStyle w:val="FootnoteReference"/>
        </w:rPr>
        <w:footnoteRef/>
      </w:r>
      <w:r w:rsidRPr="003A0ACF">
        <w:t xml:space="preserve"> </w:t>
      </w:r>
      <w:r w:rsidRPr="003A0ACF">
        <w:rPr>
          <w:i/>
          <w:iCs/>
          <w:lang w:val="en-US"/>
        </w:rPr>
        <w:t>Merry Hill (Pty) Ltd v Engelbrecht</w:t>
      </w:r>
      <w:r w:rsidRPr="003A0ACF">
        <w:rPr>
          <w:lang w:val="en-US"/>
        </w:rPr>
        <w:t xml:space="preserve"> </w:t>
      </w:r>
      <w:r w:rsidR="00461CCF" w:rsidRPr="00461CCF">
        <w:rPr>
          <w:lang w:val="en-US"/>
        </w:rPr>
        <w:t xml:space="preserve">[2007] ZASCA 60; </w:t>
      </w:r>
      <w:r w:rsidRPr="003A0ACF">
        <w:rPr>
          <w:lang w:val="en-US"/>
        </w:rPr>
        <w:t>2008 (2) SA 544 (SCA) para 13.</w:t>
      </w:r>
    </w:p>
  </w:footnote>
  <w:footnote w:id="8">
    <w:p w14:paraId="72A73895" w14:textId="77777777" w:rsidR="00E34B98" w:rsidRPr="003A0ACF" w:rsidRDefault="00E34B98" w:rsidP="003A0ACF">
      <w:pPr>
        <w:pStyle w:val="FootnoteText"/>
        <w:spacing w:line="240" w:lineRule="auto"/>
        <w:jc w:val="both"/>
        <w:rPr>
          <w:lang w:val="en-US"/>
        </w:rPr>
      </w:pPr>
      <w:r w:rsidRPr="003A0ACF">
        <w:rPr>
          <w:rStyle w:val="FootnoteReference"/>
        </w:rPr>
        <w:footnoteRef/>
      </w:r>
      <w:r w:rsidRPr="003A0ACF">
        <w:t xml:space="preserve"> </w:t>
      </w:r>
      <w:proofErr w:type="spellStart"/>
      <w:r w:rsidRPr="003A0ACF">
        <w:rPr>
          <w:i/>
          <w:iCs/>
          <w:lang w:val="en-US"/>
        </w:rPr>
        <w:t>Sarrahwitz</w:t>
      </w:r>
      <w:proofErr w:type="spellEnd"/>
      <w:r w:rsidRPr="003A0ACF">
        <w:rPr>
          <w:i/>
          <w:iCs/>
          <w:lang w:val="en-US"/>
        </w:rPr>
        <w:t xml:space="preserve"> </w:t>
      </w:r>
      <w:r w:rsidR="004559B9">
        <w:rPr>
          <w:lang w:val="en-US"/>
        </w:rPr>
        <w:t>above n 6</w:t>
      </w:r>
      <w:r w:rsidRPr="003A0ACF">
        <w:rPr>
          <w:lang w:val="en-US"/>
        </w:rPr>
        <w:t xml:space="preserve"> para</w:t>
      </w:r>
      <w:r w:rsidR="00B05343" w:rsidRPr="003A0ACF">
        <w:rPr>
          <w:lang w:val="en-US"/>
        </w:rPr>
        <w:t>s</w:t>
      </w:r>
      <w:r w:rsidRPr="003A0ACF">
        <w:rPr>
          <w:lang w:val="en-US"/>
        </w:rPr>
        <w:t xml:space="preserve"> 34</w:t>
      </w:r>
      <w:r w:rsidR="00B05343" w:rsidRPr="003A0ACF">
        <w:rPr>
          <w:lang w:val="en-US"/>
        </w:rPr>
        <w:t>, 39</w:t>
      </w:r>
      <w:r w:rsidRPr="003A0ACF">
        <w:rPr>
          <w:lang w:val="en-US"/>
        </w:rPr>
        <w:t>.</w:t>
      </w:r>
    </w:p>
  </w:footnote>
  <w:footnote w:id="9">
    <w:p w14:paraId="1432A571" w14:textId="46D44196" w:rsidR="00525319" w:rsidRPr="003A0ACF" w:rsidRDefault="00525319" w:rsidP="003A0ACF">
      <w:pPr>
        <w:pStyle w:val="FootnoteText"/>
        <w:spacing w:line="240" w:lineRule="auto"/>
        <w:jc w:val="both"/>
        <w:rPr>
          <w:lang w:val="en-US"/>
        </w:rPr>
      </w:pPr>
      <w:r w:rsidRPr="003A0ACF">
        <w:rPr>
          <w:rStyle w:val="FootnoteReference"/>
        </w:rPr>
        <w:footnoteRef/>
      </w:r>
      <w:r w:rsidRPr="003A0ACF">
        <w:t xml:space="preserve"> </w:t>
      </w:r>
      <w:r w:rsidRPr="003A0ACF">
        <w:rPr>
          <w:lang w:val="en-US"/>
        </w:rPr>
        <w:t>Ibid para 35.</w:t>
      </w:r>
      <w:r w:rsidR="007D289A" w:rsidRPr="003A0ACF">
        <w:rPr>
          <w:lang w:val="en-US"/>
        </w:rPr>
        <w:t xml:space="preserve"> </w:t>
      </w:r>
      <w:r w:rsidR="005123C1">
        <w:rPr>
          <w:lang w:val="en-US"/>
        </w:rPr>
        <w:t xml:space="preserve">See G Muller, R Brits, JM Pienaar and ZT </w:t>
      </w:r>
      <w:proofErr w:type="spellStart"/>
      <w:r w:rsidR="005123C1">
        <w:rPr>
          <w:lang w:val="en-US"/>
        </w:rPr>
        <w:t>Boggenpoel</w:t>
      </w:r>
      <w:proofErr w:type="spellEnd"/>
      <w:r w:rsidR="005123C1">
        <w:rPr>
          <w:lang w:val="en-US"/>
        </w:rPr>
        <w:t xml:space="preserve"> </w:t>
      </w:r>
      <w:r w:rsidR="005123C1">
        <w:rPr>
          <w:i/>
          <w:iCs/>
          <w:lang w:val="en-US"/>
        </w:rPr>
        <w:t xml:space="preserve">Silberberg and Schoeman’s </w:t>
      </w:r>
      <w:proofErr w:type="gramStart"/>
      <w:r w:rsidR="005123C1">
        <w:rPr>
          <w:i/>
          <w:iCs/>
          <w:lang w:val="en-US"/>
        </w:rPr>
        <w:t>The</w:t>
      </w:r>
      <w:proofErr w:type="gramEnd"/>
      <w:r w:rsidR="005123C1">
        <w:rPr>
          <w:i/>
          <w:iCs/>
          <w:lang w:val="en-US"/>
        </w:rPr>
        <w:t xml:space="preserve"> Law of Property</w:t>
      </w:r>
      <w:r w:rsidR="005123C1">
        <w:rPr>
          <w:lang w:val="en-US"/>
        </w:rPr>
        <w:t xml:space="preserve"> (6</w:t>
      </w:r>
      <w:r w:rsidR="005123C1" w:rsidRPr="00D21DF8">
        <w:rPr>
          <w:vertAlign w:val="superscript"/>
          <w:lang w:val="en-US"/>
        </w:rPr>
        <w:t>th</w:t>
      </w:r>
      <w:r w:rsidR="005123C1">
        <w:rPr>
          <w:lang w:val="en-US"/>
        </w:rPr>
        <w:t xml:space="preserve"> Ed) (2019) at 484.</w:t>
      </w:r>
    </w:p>
  </w:footnote>
  <w:footnote w:id="10">
    <w:p w14:paraId="76019685" w14:textId="77777777" w:rsidR="00926593" w:rsidRPr="003A0ACF" w:rsidRDefault="00926593" w:rsidP="009E1925">
      <w:pPr>
        <w:pStyle w:val="FootnoteText"/>
        <w:spacing w:line="240" w:lineRule="auto"/>
        <w:ind w:right="-336"/>
        <w:jc w:val="both"/>
        <w:rPr>
          <w:lang w:val="en-US"/>
        </w:rPr>
      </w:pPr>
      <w:r w:rsidRPr="003A0ACF">
        <w:rPr>
          <w:rStyle w:val="FootnoteReference"/>
        </w:rPr>
        <w:footnoteRef/>
      </w:r>
      <w:r w:rsidRPr="003A0ACF">
        <w:t xml:space="preserve"> </w:t>
      </w:r>
      <w:proofErr w:type="spellStart"/>
      <w:r w:rsidR="00271885" w:rsidRPr="003A0ACF">
        <w:rPr>
          <w:i/>
          <w:iCs/>
          <w:lang w:val="en-US"/>
        </w:rPr>
        <w:t>Katshwa</w:t>
      </w:r>
      <w:proofErr w:type="spellEnd"/>
      <w:r w:rsidR="00271885" w:rsidRPr="003A0ACF">
        <w:rPr>
          <w:i/>
          <w:iCs/>
          <w:lang w:val="en-US"/>
        </w:rPr>
        <w:t xml:space="preserve"> and Others v Cape Town Community Housing Co (Pty) Ltd and Four Similar Cases</w:t>
      </w:r>
      <w:r w:rsidR="00271885" w:rsidRPr="003A0ACF">
        <w:rPr>
          <w:lang w:val="en-US"/>
        </w:rPr>
        <w:t xml:space="preserve"> 2014 (2) SA 128 (WCC) </w:t>
      </w:r>
      <w:r w:rsidRPr="003A0ACF">
        <w:rPr>
          <w:lang w:val="en-US"/>
        </w:rPr>
        <w:t>para 45.</w:t>
      </w:r>
    </w:p>
  </w:footnote>
  <w:footnote w:id="11">
    <w:p w14:paraId="35F86E8B" w14:textId="7ED0FE89" w:rsidR="009A5AC2" w:rsidRPr="003A0ACF" w:rsidRDefault="009A5AC2" w:rsidP="003A0ACF">
      <w:pPr>
        <w:pStyle w:val="FootnoteText"/>
        <w:spacing w:line="240" w:lineRule="auto"/>
        <w:jc w:val="both"/>
        <w:rPr>
          <w:lang w:val="en-US"/>
        </w:rPr>
      </w:pPr>
      <w:r w:rsidRPr="003A0ACF">
        <w:rPr>
          <w:rStyle w:val="FootnoteReference"/>
        </w:rPr>
        <w:footnoteRef/>
      </w:r>
      <w:r w:rsidRPr="003A0ACF">
        <w:t xml:space="preserve"> </w:t>
      </w:r>
      <w:r w:rsidRPr="003A0ACF">
        <w:rPr>
          <w:i/>
          <w:iCs/>
          <w:lang w:val="en-US"/>
        </w:rPr>
        <w:t xml:space="preserve">Bouwer v Aurae (Pty) Ltd </w:t>
      </w:r>
      <w:r w:rsidRPr="003A0ACF">
        <w:rPr>
          <w:lang w:val="en-US"/>
        </w:rPr>
        <w:t>1991 (4) SA 622 (W) at 626H</w:t>
      </w:r>
      <w:r w:rsidRPr="003A0ACF">
        <w:rPr>
          <w:lang w:val="en-US"/>
        </w:rPr>
        <w:softHyphen/>
      </w:r>
      <w:r w:rsidR="00B3517D">
        <w:rPr>
          <w:lang w:val="en-US"/>
        </w:rPr>
        <w:t>–</w:t>
      </w:r>
      <w:r w:rsidRPr="003A0ACF">
        <w:rPr>
          <w:lang w:val="en-US"/>
        </w:rPr>
        <w:t>I.</w:t>
      </w:r>
    </w:p>
  </w:footnote>
  <w:footnote w:id="12">
    <w:p w14:paraId="16B598A6" w14:textId="4F5B22F6" w:rsidR="00AE37C7" w:rsidRPr="003A0ACF" w:rsidRDefault="00AE37C7" w:rsidP="003A0ACF">
      <w:pPr>
        <w:pStyle w:val="FootnoteText"/>
        <w:spacing w:line="240" w:lineRule="auto"/>
        <w:jc w:val="both"/>
        <w:rPr>
          <w:lang w:val="en-US"/>
        </w:rPr>
      </w:pPr>
      <w:r w:rsidRPr="003A0ACF">
        <w:rPr>
          <w:rStyle w:val="FootnoteReference"/>
        </w:rPr>
        <w:footnoteRef/>
      </w:r>
      <w:r w:rsidRPr="003A0ACF">
        <w:t xml:space="preserve"> </w:t>
      </w:r>
      <w:r w:rsidRPr="003A0ACF">
        <w:rPr>
          <w:lang w:val="en-US"/>
        </w:rPr>
        <w:t>Ibid at 626I</w:t>
      </w:r>
      <w:r w:rsidR="00B3517D">
        <w:rPr>
          <w:lang w:val="en-US"/>
        </w:rPr>
        <w:t>–</w:t>
      </w:r>
      <w:r w:rsidRPr="003A0ACF">
        <w:rPr>
          <w:lang w:val="en-US"/>
        </w:rPr>
        <w:t>627D.</w:t>
      </w:r>
    </w:p>
  </w:footnote>
  <w:footnote w:id="13">
    <w:p w14:paraId="4FADDD17" w14:textId="30BDE7A1" w:rsidR="00740ADA" w:rsidRPr="003A0ACF" w:rsidRDefault="00740ADA" w:rsidP="003A0ACF">
      <w:pPr>
        <w:pStyle w:val="FootnoteText"/>
        <w:spacing w:line="240" w:lineRule="auto"/>
        <w:jc w:val="both"/>
        <w:rPr>
          <w:lang w:val="en-US"/>
        </w:rPr>
      </w:pPr>
      <w:r w:rsidRPr="003A0ACF">
        <w:rPr>
          <w:rStyle w:val="FootnoteReference"/>
        </w:rPr>
        <w:footnoteRef/>
      </w:r>
      <w:r w:rsidRPr="003A0ACF">
        <w:t xml:space="preserve"> </w:t>
      </w:r>
      <w:r w:rsidRPr="003A0ACF">
        <w:rPr>
          <w:lang w:val="en-US"/>
        </w:rPr>
        <w:t xml:space="preserve">Cf </w:t>
      </w:r>
      <w:proofErr w:type="spellStart"/>
      <w:r w:rsidRPr="003A0ACF">
        <w:rPr>
          <w:i/>
          <w:iCs/>
          <w:lang w:val="en-US"/>
        </w:rPr>
        <w:t>Amardien</w:t>
      </w:r>
      <w:proofErr w:type="spellEnd"/>
      <w:r w:rsidRPr="003A0ACF">
        <w:rPr>
          <w:i/>
          <w:iCs/>
          <w:lang w:val="en-US"/>
        </w:rPr>
        <w:t xml:space="preserve"> </w:t>
      </w:r>
      <w:r w:rsidR="001922F1">
        <w:rPr>
          <w:lang w:val="en-US"/>
        </w:rPr>
        <w:t xml:space="preserve">above n 5 </w:t>
      </w:r>
      <w:r w:rsidRPr="003A0ACF">
        <w:rPr>
          <w:lang w:val="en-US"/>
        </w:rPr>
        <w:t>paras 45-46</w:t>
      </w:r>
      <w:r w:rsidR="00B3517D">
        <w:rPr>
          <w:lang w:val="en-US"/>
        </w:rPr>
        <w:t xml:space="preserve"> and</w:t>
      </w:r>
      <w:r w:rsidRPr="003A0ACF">
        <w:rPr>
          <w:lang w:val="en-US"/>
        </w:rPr>
        <w:t xml:space="preserve"> </w:t>
      </w:r>
      <w:r w:rsidRPr="003A0ACF">
        <w:rPr>
          <w:i/>
          <w:iCs/>
          <w:lang w:val="en-US"/>
        </w:rPr>
        <w:t xml:space="preserve">Chetty v Erf 311, </w:t>
      </w:r>
      <w:proofErr w:type="spellStart"/>
      <w:r w:rsidRPr="003A0ACF">
        <w:rPr>
          <w:i/>
          <w:iCs/>
          <w:lang w:val="en-US"/>
        </w:rPr>
        <w:t>Southcrest</w:t>
      </w:r>
      <w:proofErr w:type="spellEnd"/>
      <w:r w:rsidRPr="003A0ACF">
        <w:rPr>
          <w:i/>
          <w:iCs/>
          <w:lang w:val="en-US"/>
        </w:rPr>
        <w:t xml:space="preserve"> CC</w:t>
      </w:r>
      <w:r w:rsidRPr="003A0ACF">
        <w:rPr>
          <w:lang w:val="en-US"/>
        </w:rPr>
        <w:t xml:space="preserve"> 2020 (3) SA 181 (GJ) </w:t>
      </w:r>
      <w:r w:rsidR="00D60A65">
        <w:rPr>
          <w:lang w:val="en-US"/>
        </w:rPr>
        <w:t>(‘</w:t>
      </w:r>
      <w:r w:rsidR="00D60A65">
        <w:rPr>
          <w:i/>
          <w:iCs/>
          <w:lang w:val="en-US"/>
        </w:rPr>
        <w:t>Chetty</w:t>
      </w:r>
      <w:r w:rsidR="00D60A65">
        <w:rPr>
          <w:lang w:val="en-US"/>
        </w:rPr>
        <w:t>’)</w:t>
      </w:r>
      <w:r w:rsidR="00D60A65">
        <w:rPr>
          <w:i/>
          <w:iCs/>
          <w:lang w:val="en-US"/>
        </w:rPr>
        <w:t xml:space="preserve"> </w:t>
      </w:r>
      <w:r w:rsidRPr="003A0ACF">
        <w:rPr>
          <w:lang w:val="en-US"/>
        </w:rPr>
        <w:t>paras 10-13.</w:t>
      </w:r>
    </w:p>
  </w:footnote>
  <w:footnote w:id="14">
    <w:p w14:paraId="5C078B74" w14:textId="77777777" w:rsidR="00A445B7" w:rsidRPr="003A0ACF" w:rsidRDefault="00A445B7" w:rsidP="003A0ACF">
      <w:pPr>
        <w:pStyle w:val="FootnoteText"/>
        <w:spacing w:line="240" w:lineRule="auto"/>
        <w:jc w:val="both"/>
        <w:rPr>
          <w:lang w:val="en-US"/>
        </w:rPr>
      </w:pPr>
      <w:r w:rsidRPr="003A0ACF">
        <w:rPr>
          <w:rStyle w:val="FootnoteReference"/>
        </w:rPr>
        <w:footnoteRef/>
      </w:r>
      <w:r w:rsidRPr="003A0ACF">
        <w:t xml:space="preserve"> </w:t>
      </w:r>
      <w:r w:rsidRPr="003A0ACF">
        <w:rPr>
          <w:lang w:val="en-US"/>
        </w:rPr>
        <w:t xml:space="preserve">S 28 deals with consequences of deeds of alienation which are void or are terminated, </w:t>
      </w:r>
      <w:r w:rsidR="00856B95" w:rsidRPr="003A0ACF">
        <w:rPr>
          <w:lang w:val="en-US"/>
        </w:rPr>
        <w:t xml:space="preserve">in part, </w:t>
      </w:r>
      <w:r w:rsidRPr="003A0ACF">
        <w:rPr>
          <w:lang w:val="en-US"/>
        </w:rPr>
        <w:t>as follows:</w:t>
      </w:r>
    </w:p>
    <w:p w14:paraId="287DC1A6" w14:textId="77777777" w:rsidR="00A445B7" w:rsidRPr="003A0ACF" w:rsidRDefault="00A445B7" w:rsidP="003A0ACF">
      <w:pPr>
        <w:pStyle w:val="FootnoteText"/>
        <w:spacing w:line="240" w:lineRule="auto"/>
        <w:jc w:val="both"/>
        <w:rPr>
          <w:lang w:val="en-US"/>
        </w:rPr>
      </w:pPr>
      <w:r w:rsidRPr="003A0ACF">
        <w:rPr>
          <w:lang w:val="en-US"/>
        </w:rPr>
        <w:t>‘(1) Subject to the provisions of subsection (2), any person who has performed partially or in full in terms of an alienation of land which is of no force or effect in terms of section 2(1), or a contract which has been declared void in terms of the provisions of section 24(1)(c), or has been cancelled under this Act, is entitled to recover from the other party that which he has performed under the alienation or contract …’</w:t>
      </w:r>
    </w:p>
  </w:footnote>
  <w:footnote w:id="15">
    <w:p w14:paraId="7B7AD558" w14:textId="77777777" w:rsidR="00747B8E" w:rsidRPr="003A0ACF" w:rsidRDefault="00747B8E" w:rsidP="003A0ACF">
      <w:pPr>
        <w:pStyle w:val="FootnoteText"/>
        <w:spacing w:line="240" w:lineRule="auto"/>
        <w:jc w:val="both"/>
        <w:rPr>
          <w:lang w:val="en-US"/>
        </w:rPr>
      </w:pPr>
      <w:r w:rsidRPr="003A0ACF">
        <w:rPr>
          <w:rStyle w:val="FootnoteReference"/>
        </w:rPr>
        <w:footnoteRef/>
      </w:r>
      <w:r w:rsidRPr="003A0ACF">
        <w:t xml:space="preserve"> </w:t>
      </w:r>
      <w:r w:rsidRPr="003A0ACF">
        <w:rPr>
          <w:i/>
          <w:iCs/>
          <w:lang w:val="en-US"/>
        </w:rPr>
        <w:t>Botha and Another v Rich NO and Others</w:t>
      </w:r>
      <w:r w:rsidRPr="003A0ACF">
        <w:rPr>
          <w:lang w:val="en-US"/>
        </w:rPr>
        <w:t xml:space="preserve"> </w:t>
      </w:r>
      <w:r w:rsidR="00BD6276" w:rsidRPr="00BD6276">
        <w:rPr>
          <w:lang w:val="en-US"/>
        </w:rPr>
        <w:t>[2014] ZACC 11; 2014 (4) SA 124 (CC);</w:t>
      </w:r>
      <w:r w:rsidR="00BD6276">
        <w:rPr>
          <w:lang w:val="en-US"/>
        </w:rPr>
        <w:t xml:space="preserve"> </w:t>
      </w:r>
      <w:r w:rsidRPr="003A0ACF">
        <w:rPr>
          <w:lang w:val="en-US"/>
        </w:rPr>
        <w:t>2014 (7) BCLR 741 (CC) (‘</w:t>
      </w:r>
      <w:r w:rsidRPr="00FE3255">
        <w:rPr>
          <w:i/>
          <w:lang w:val="en-US"/>
        </w:rPr>
        <w:t>Botha</w:t>
      </w:r>
      <w:r w:rsidRPr="003A0ACF">
        <w:rPr>
          <w:lang w:val="en-US"/>
        </w:rPr>
        <w:t>’).</w:t>
      </w:r>
    </w:p>
  </w:footnote>
  <w:footnote w:id="16">
    <w:p w14:paraId="32577B38" w14:textId="60FA37A6" w:rsidR="00FB5953" w:rsidRPr="003A0ACF" w:rsidRDefault="00FB5953" w:rsidP="003A0ACF">
      <w:pPr>
        <w:pStyle w:val="FootnoteText"/>
        <w:spacing w:line="240" w:lineRule="auto"/>
        <w:jc w:val="both"/>
        <w:rPr>
          <w:lang w:val="en-US"/>
        </w:rPr>
      </w:pPr>
      <w:r w:rsidRPr="003A0ACF">
        <w:rPr>
          <w:rStyle w:val="FootnoteReference"/>
        </w:rPr>
        <w:footnoteRef/>
      </w:r>
      <w:r w:rsidRPr="003A0ACF">
        <w:t xml:space="preserve"> </w:t>
      </w:r>
      <w:r w:rsidRPr="003A0ACF">
        <w:rPr>
          <w:i/>
          <w:iCs/>
          <w:lang w:val="en-US"/>
        </w:rPr>
        <w:t>Botha</w:t>
      </w:r>
      <w:r w:rsidRPr="003A0ACF">
        <w:rPr>
          <w:lang w:val="en-US"/>
        </w:rPr>
        <w:t xml:space="preserve"> above n </w:t>
      </w:r>
      <w:r w:rsidR="00325568">
        <w:rPr>
          <w:lang w:val="en-US"/>
        </w:rPr>
        <w:t>15</w:t>
      </w:r>
      <w:r w:rsidRPr="003A0ACF">
        <w:rPr>
          <w:lang w:val="en-US"/>
        </w:rPr>
        <w:t xml:space="preserve"> para</w:t>
      </w:r>
      <w:r w:rsidR="000A18B9" w:rsidRPr="003A0ACF">
        <w:rPr>
          <w:lang w:val="en-US"/>
        </w:rPr>
        <w:t>s 21</w:t>
      </w:r>
      <w:r w:rsidR="00011EF6">
        <w:rPr>
          <w:lang w:val="en-US"/>
        </w:rPr>
        <w:t xml:space="preserve"> and</w:t>
      </w:r>
      <w:r w:rsidR="000A18B9" w:rsidRPr="003A0ACF">
        <w:rPr>
          <w:lang w:val="en-US"/>
        </w:rPr>
        <w:t xml:space="preserve"> 23.</w:t>
      </w:r>
      <w:r w:rsidR="00BD6276">
        <w:rPr>
          <w:lang w:val="en-US"/>
        </w:rPr>
        <w:t xml:space="preserve"> </w:t>
      </w:r>
    </w:p>
  </w:footnote>
  <w:footnote w:id="17">
    <w:p w14:paraId="611EDCB2" w14:textId="77777777" w:rsidR="00BC5B3C" w:rsidRPr="003A0ACF" w:rsidRDefault="00BC5B3C" w:rsidP="003A0ACF">
      <w:pPr>
        <w:pStyle w:val="FootnoteText"/>
        <w:spacing w:line="240" w:lineRule="auto"/>
        <w:jc w:val="both"/>
        <w:rPr>
          <w:lang w:val="en-US"/>
        </w:rPr>
      </w:pPr>
      <w:r w:rsidRPr="003A0ACF">
        <w:rPr>
          <w:rStyle w:val="FootnoteReference"/>
        </w:rPr>
        <w:footnoteRef/>
      </w:r>
      <w:r w:rsidRPr="003A0ACF">
        <w:t xml:space="preserve"> </w:t>
      </w:r>
      <w:r w:rsidRPr="003A0ACF">
        <w:rPr>
          <w:i/>
          <w:iCs/>
          <w:lang w:val="en-US"/>
        </w:rPr>
        <w:t>Botha</w:t>
      </w:r>
      <w:r w:rsidRPr="003A0ACF">
        <w:rPr>
          <w:lang w:val="en-US"/>
        </w:rPr>
        <w:t xml:space="preserve"> above n </w:t>
      </w:r>
      <w:r w:rsidR="00325568">
        <w:rPr>
          <w:lang w:val="en-US"/>
        </w:rPr>
        <w:t>15</w:t>
      </w:r>
      <w:r w:rsidRPr="003A0ACF">
        <w:rPr>
          <w:lang w:val="en-US"/>
        </w:rPr>
        <w:t xml:space="preserve"> para 28.</w:t>
      </w:r>
    </w:p>
  </w:footnote>
  <w:footnote w:id="18">
    <w:p w14:paraId="78059232" w14:textId="77777777" w:rsidR="00312CAB" w:rsidRPr="003A0ACF" w:rsidRDefault="00312CAB" w:rsidP="003A0ACF">
      <w:pPr>
        <w:pStyle w:val="FootnoteText"/>
        <w:spacing w:line="240" w:lineRule="auto"/>
        <w:jc w:val="both"/>
        <w:rPr>
          <w:lang w:val="en-US"/>
        </w:rPr>
      </w:pPr>
      <w:r w:rsidRPr="003A0ACF">
        <w:rPr>
          <w:rStyle w:val="FootnoteReference"/>
        </w:rPr>
        <w:footnoteRef/>
      </w:r>
      <w:r w:rsidRPr="003A0ACF">
        <w:t xml:space="preserve"> </w:t>
      </w:r>
      <w:r w:rsidRPr="003A0ACF">
        <w:rPr>
          <w:i/>
          <w:iCs/>
          <w:lang w:val="en-US"/>
        </w:rPr>
        <w:t>Botha</w:t>
      </w:r>
      <w:r w:rsidRPr="003A0ACF">
        <w:rPr>
          <w:lang w:val="en-US"/>
        </w:rPr>
        <w:t xml:space="preserve"> above n </w:t>
      </w:r>
      <w:r w:rsidR="00325568">
        <w:rPr>
          <w:lang w:val="en-US"/>
        </w:rPr>
        <w:t>15</w:t>
      </w:r>
      <w:r w:rsidRPr="003A0ACF">
        <w:rPr>
          <w:lang w:val="en-US"/>
        </w:rPr>
        <w:t xml:space="preserve"> para 34.</w:t>
      </w:r>
      <w:r w:rsidR="00C616B5" w:rsidRPr="003A0ACF">
        <w:rPr>
          <w:lang w:val="en-US"/>
        </w:rPr>
        <w:t xml:space="preserve"> </w:t>
      </w:r>
    </w:p>
  </w:footnote>
  <w:footnote w:id="19">
    <w:p w14:paraId="08C679D5" w14:textId="2CB39927" w:rsidR="005F798E" w:rsidRPr="003A0ACF" w:rsidRDefault="005F798E" w:rsidP="003A0ACF">
      <w:pPr>
        <w:pStyle w:val="FootnoteText"/>
        <w:spacing w:line="240" w:lineRule="auto"/>
        <w:jc w:val="both"/>
        <w:rPr>
          <w:lang w:val="en-US"/>
        </w:rPr>
      </w:pPr>
      <w:r w:rsidRPr="003A0ACF">
        <w:rPr>
          <w:rStyle w:val="FootnoteReference"/>
        </w:rPr>
        <w:footnoteRef/>
      </w:r>
      <w:r w:rsidRPr="003A0ACF">
        <w:t xml:space="preserve"> </w:t>
      </w:r>
      <w:r w:rsidRPr="003A0ACF">
        <w:rPr>
          <w:i/>
          <w:iCs/>
          <w:lang w:val="en-US"/>
        </w:rPr>
        <w:t>Botha</w:t>
      </w:r>
      <w:r w:rsidRPr="003A0ACF">
        <w:rPr>
          <w:lang w:val="en-US"/>
        </w:rPr>
        <w:t xml:space="preserve"> above n </w:t>
      </w:r>
      <w:r w:rsidR="008C1E58">
        <w:rPr>
          <w:lang w:val="en-US"/>
        </w:rPr>
        <w:t>15</w:t>
      </w:r>
      <w:r w:rsidRPr="003A0ACF">
        <w:rPr>
          <w:lang w:val="en-US"/>
        </w:rPr>
        <w:t xml:space="preserve"> para 41.</w:t>
      </w:r>
      <w:r w:rsidR="002C4E81" w:rsidRPr="003A0ACF">
        <w:rPr>
          <w:lang w:val="en-US"/>
        </w:rPr>
        <w:t xml:space="preserve"> </w:t>
      </w:r>
      <w:r w:rsidR="002C4E81" w:rsidRPr="003A0ACF">
        <w:rPr>
          <w:i/>
          <w:iCs/>
          <w:lang w:val="en-US"/>
        </w:rPr>
        <w:t xml:space="preserve">Botha </w:t>
      </w:r>
      <w:r w:rsidR="002C4E81" w:rsidRPr="003A0ACF">
        <w:rPr>
          <w:lang w:val="en-US"/>
        </w:rPr>
        <w:t xml:space="preserve">considered and rejected the argument that cancellation, in terms of s 27(3), followed by the relief in s 28(1), was the only remedy when demand for </w:t>
      </w:r>
      <w:r w:rsidR="00FE3255">
        <w:rPr>
          <w:lang w:val="en-US"/>
        </w:rPr>
        <w:t xml:space="preserve">transfer was refused: paras 36 and </w:t>
      </w:r>
      <w:r w:rsidR="002C4E81" w:rsidRPr="003A0ACF">
        <w:rPr>
          <w:lang w:val="en-US"/>
        </w:rPr>
        <w:t>37.</w:t>
      </w:r>
      <w:r w:rsidR="00C806F9" w:rsidRPr="003A0ACF">
        <w:rPr>
          <w:lang w:val="en-US"/>
        </w:rPr>
        <w:t xml:space="preserve"> This was due to the common law entitlement to specific performance in respect of any contractual right, coupled with the creation of an implied contractual right, courtesy of s 27(1), in circumstances where there was no indication that the legislature intended to depart from the common-law position. That a purchaser ‘may cancel’ the contract of sale, in terms of s 27(3), was not to be construed to exclude specific performance, especially when considering the legislature’s demonstrated concern for the protection of the rights of a purchaser who had partially paid the purchase price of immovable property: paras 39</w:t>
      </w:r>
      <w:r w:rsidR="00B43636">
        <w:rPr>
          <w:lang w:val="en-US"/>
        </w:rPr>
        <w:t xml:space="preserve"> and </w:t>
      </w:r>
      <w:r w:rsidR="00C806F9" w:rsidRPr="003A0ACF">
        <w:rPr>
          <w:lang w:val="en-US"/>
        </w:rPr>
        <w:t>40.</w:t>
      </w:r>
    </w:p>
  </w:footnote>
  <w:footnote w:id="20">
    <w:p w14:paraId="413CA8FC" w14:textId="77777777" w:rsidR="00455F11" w:rsidRPr="003A0ACF" w:rsidRDefault="00455F11" w:rsidP="003A0ACF">
      <w:pPr>
        <w:pStyle w:val="FootnoteText"/>
        <w:spacing w:line="240" w:lineRule="auto"/>
        <w:jc w:val="both"/>
        <w:rPr>
          <w:lang w:val="en-US"/>
        </w:rPr>
      </w:pPr>
      <w:r w:rsidRPr="003A0ACF">
        <w:rPr>
          <w:rStyle w:val="FootnoteReference"/>
        </w:rPr>
        <w:footnoteRef/>
      </w:r>
      <w:r w:rsidRPr="003A0ACF">
        <w:t xml:space="preserve"> </w:t>
      </w:r>
      <w:r w:rsidRPr="003A0ACF">
        <w:rPr>
          <w:i/>
          <w:iCs/>
          <w:lang w:val="en-US"/>
        </w:rPr>
        <w:t>Botha</w:t>
      </w:r>
      <w:r w:rsidRPr="003A0ACF">
        <w:rPr>
          <w:lang w:val="en-US"/>
        </w:rPr>
        <w:t xml:space="preserve"> above n </w:t>
      </w:r>
      <w:r w:rsidR="000E3BDD">
        <w:rPr>
          <w:lang w:val="en-US"/>
        </w:rPr>
        <w:t>15</w:t>
      </w:r>
      <w:r w:rsidRPr="003A0ACF">
        <w:rPr>
          <w:lang w:val="en-US"/>
        </w:rPr>
        <w:t xml:space="preserve"> para 43.</w:t>
      </w:r>
    </w:p>
  </w:footnote>
  <w:footnote w:id="21">
    <w:p w14:paraId="4F2BA5C3" w14:textId="77777777" w:rsidR="008F0220" w:rsidRPr="003A0ACF" w:rsidRDefault="008F0220" w:rsidP="003A0ACF">
      <w:pPr>
        <w:pStyle w:val="FootnoteText"/>
        <w:spacing w:line="240" w:lineRule="auto"/>
        <w:jc w:val="both"/>
        <w:rPr>
          <w:lang w:val="en-US"/>
        </w:rPr>
      </w:pPr>
      <w:r w:rsidRPr="003A0ACF">
        <w:rPr>
          <w:rStyle w:val="FootnoteReference"/>
        </w:rPr>
        <w:footnoteRef/>
      </w:r>
      <w:r w:rsidRPr="003A0ACF">
        <w:t xml:space="preserve"> </w:t>
      </w:r>
      <w:r w:rsidRPr="003A0ACF">
        <w:rPr>
          <w:i/>
          <w:iCs/>
          <w:lang w:val="en-US"/>
        </w:rPr>
        <w:t>Botha</w:t>
      </w:r>
      <w:r w:rsidRPr="003A0ACF">
        <w:rPr>
          <w:lang w:val="en-US"/>
        </w:rPr>
        <w:t xml:space="preserve"> above n </w:t>
      </w:r>
      <w:r w:rsidR="000E3BDD">
        <w:rPr>
          <w:lang w:val="en-US"/>
        </w:rPr>
        <w:t>15</w:t>
      </w:r>
      <w:r w:rsidRPr="003A0ACF">
        <w:rPr>
          <w:lang w:val="en-US"/>
        </w:rPr>
        <w:t xml:space="preserve"> para 49</w:t>
      </w:r>
      <w:r w:rsidR="007262EB">
        <w:rPr>
          <w:lang w:val="en-US"/>
        </w:rPr>
        <w:t xml:space="preserve"> footnotes excluded</w:t>
      </w:r>
      <w:r w:rsidRPr="003A0ACF">
        <w:rPr>
          <w:lang w:val="en-US"/>
        </w:rPr>
        <w:t>.</w:t>
      </w:r>
    </w:p>
  </w:footnote>
  <w:footnote w:id="22">
    <w:p w14:paraId="5882F7FD" w14:textId="77777777" w:rsidR="001B09EF" w:rsidRPr="003A0ACF" w:rsidRDefault="001B09EF" w:rsidP="003A0ACF">
      <w:pPr>
        <w:pStyle w:val="FootnoteText"/>
        <w:spacing w:line="240" w:lineRule="auto"/>
        <w:jc w:val="both"/>
        <w:rPr>
          <w:lang w:val="en-US"/>
        </w:rPr>
      </w:pPr>
      <w:r w:rsidRPr="003A0ACF">
        <w:rPr>
          <w:rStyle w:val="FootnoteReference"/>
        </w:rPr>
        <w:footnoteRef/>
      </w:r>
      <w:r w:rsidRPr="003A0ACF">
        <w:t xml:space="preserve"> </w:t>
      </w:r>
      <w:r w:rsidRPr="003A0ACF">
        <w:rPr>
          <w:i/>
          <w:iCs/>
          <w:lang w:val="en-US"/>
        </w:rPr>
        <w:t>Botha</w:t>
      </w:r>
      <w:r w:rsidRPr="003A0ACF">
        <w:rPr>
          <w:lang w:val="en-US"/>
        </w:rPr>
        <w:t xml:space="preserve"> above n </w:t>
      </w:r>
      <w:r w:rsidR="000E3BDD">
        <w:rPr>
          <w:lang w:val="en-US"/>
        </w:rPr>
        <w:t>15</w:t>
      </w:r>
      <w:r w:rsidRPr="003A0ACF">
        <w:rPr>
          <w:lang w:val="en-US"/>
        </w:rPr>
        <w:t xml:space="preserve"> para 51.</w:t>
      </w:r>
    </w:p>
  </w:footnote>
  <w:footnote w:id="23">
    <w:p w14:paraId="3370900F" w14:textId="77777777" w:rsidR="00780F68" w:rsidRPr="003A0ACF" w:rsidRDefault="00780F68" w:rsidP="003A0ACF">
      <w:pPr>
        <w:pStyle w:val="FootnoteText"/>
        <w:spacing w:line="240" w:lineRule="auto"/>
        <w:jc w:val="both"/>
        <w:rPr>
          <w:lang w:val="en-US"/>
        </w:rPr>
      </w:pPr>
      <w:r w:rsidRPr="003A0ACF">
        <w:rPr>
          <w:rStyle w:val="FootnoteReference"/>
        </w:rPr>
        <w:footnoteRef/>
      </w:r>
      <w:r w:rsidRPr="003A0ACF">
        <w:t xml:space="preserve"> </w:t>
      </w:r>
      <w:r w:rsidRPr="003A0ACF">
        <w:rPr>
          <w:i/>
          <w:iCs/>
          <w:lang w:val="en-US"/>
        </w:rPr>
        <w:t>Botha</w:t>
      </w:r>
      <w:r w:rsidRPr="003A0ACF">
        <w:rPr>
          <w:lang w:val="en-US"/>
        </w:rPr>
        <w:t xml:space="preserve"> above n </w:t>
      </w:r>
      <w:r w:rsidR="000E3BDD">
        <w:rPr>
          <w:lang w:val="en-US"/>
        </w:rPr>
        <w:t>15</w:t>
      </w:r>
      <w:r w:rsidRPr="003A0ACF">
        <w:rPr>
          <w:lang w:val="en-US"/>
        </w:rPr>
        <w:t xml:space="preserve"> para 37.</w:t>
      </w:r>
    </w:p>
  </w:footnote>
  <w:footnote w:id="24">
    <w:p w14:paraId="00535F8D" w14:textId="77777777" w:rsidR="00F234B4" w:rsidRPr="003A0ACF" w:rsidRDefault="00F234B4" w:rsidP="003A0ACF">
      <w:pPr>
        <w:pStyle w:val="FootnoteText"/>
        <w:spacing w:line="240" w:lineRule="auto"/>
        <w:jc w:val="both"/>
        <w:rPr>
          <w:lang w:val="en-US"/>
        </w:rPr>
      </w:pPr>
      <w:r w:rsidRPr="003A0ACF">
        <w:rPr>
          <w:rStyle w:val="FootnoteReference"/>
        </w:rPr>
        <w:footnoteRef/>
      </w:r>
      <w:r w:rsidRPr="003A0ACF">
        <w:t xml:space="preserve"> </w:t>
      </w:r>
      <w:r w:rsidRPr="003A0ACF">
        <w:rPr>
          <w:lang w:val="en-US"/>
        </w:rPr>
        <w:t xml:space="preserve">See the judgment of </w:t>
      </w:r>
      <w:proofErr w:type="spellStart"/>
      <w:r w:rsidRPr="003A0ACF">
        <w:rPr>
          <w:lang w:val="en-US"/>
        </w:rPr>
        <w:t>Froneman</w:t>
      </w:r>
      <w:proofErr w:type="spellEnd"/>
      <w:r w:rsidRPr="003A0ACF">
        <w:rPr>
          <w:lang w:val="en-US"/>
        </w:rPr>
        <w:t xml:space="preserve"> J in </w:t>
      </w:r>
      <w:r w:rsidR="000E3BDD" w:rsidRPr="003A0ACF">
        <w:rPr>
          <w:i/>
          <w:iCs/>
          <w:lang w:val="en-US"/>
        </w:rPr>
        <w:t>Trinity Asset Management (Pty) Ltd v Grindstone Investments 132 (Pty) Ltd</w:t>
      </w:r>
      <w:r w:rsidR="000E3BDD" w:rsidRPr="003A0ACF">
        <w:rPr>
          <w:lang w:val="en-US"/>
        </w:rPr>
        <w:t xml:space="preserve"> [2017] ZACC 32</w:t>
      </w:r>
      <w:r w:rsidR="009B022C">
        <w:rPr>
          <w:lang w:val="en-US"/>
        </w:rPr>
        <w:t xml:space="preserve">; </w:t>
      </w:r>
      <w:r w:rsidR="009B022C" w:rsidRPr="009B022C">
        <w:rPr>
          <w:lang w:val="en-US"/>
        </w:rPr>
        <w:t>2017 (12) BCLR 1562 (CC); 2018 (1) SA 94 (CC)</w:t>
      </w:r>
      <w:r w:rsidR="000E3BDD">
        <w:rPr>
          <w:lang w:val="en-US"/>
        </w:rPr>
        <w:t xml:space="preserve"> (‘</w:t>
      </w:r>
      <w:r w:rsidR="000E3BDD">
        <w:rPr>
          <w:i/>
          <w:iCs/>
          <w:lang w:val="en-US"/>
        </w:rPr>
        <w:t>Trinity</w:t>
      </w:r>
      <w:r w:rsidR="000E3BDD">
        <w:rPr>
          <w:lang w:val="en-US"/>
        </w:rPr>
        <w:t>’)</w:t>
      </w:r>
      <w:r w:rsidR="000E3BDD">
        <w:rPr>
          <w:i/>
          <w:iCs/>
          <w:lang w:val="en-US"/>
        </w:rPr>
        <w:t xml:space="preserve"> </w:t>
      </w:r>
      <w:r w:rsidRPr="003A0ACF">
        <w:rPr>
          <w:lang w:val="en-US"/>
        </w:rPr>
        <w:t>para 157, and the authorities cited</w:t>
      </w:r>
      <w:r w:rsidR="003B3A4D" w:rsidRPr="003A0ACF">
        <w:rPr>
          <w:lang w:val="en-US"/>
        </w:rPr>
        <w:t xml:space="preserve"> there.</w:t>
      </w:r>
    </w:p>
  </w:footnote>
  <w:footnote w:id="25">
    <w:p w14:paraId="19855E5F" w14:textId="1F08B369" w:rsidR="00BA592A" w:rsidRPr="003A0ACF" w:rsidRDefault="00BA592A" w:rsidP="003A0ACF">
      <w:pPr>
        <w:pStyle w:val="FootnoteText"/>
        <w:spacing w:line="240" w:lineRule="auto"/>
        <w:jc w:val="both"/>
        <w:rPr>
          <w:lang w:val="en-US"/>
        </w:rPr>
      </w:pPr>
      <w:r w:rsidRPr="003A0ACF">
        <w:rPr>
          <w:rStyle w:val="FootnoteReference"/>
        </w:rPr>
        <w:footnoteRef/>
      </w:r>
      <w:r w:rsidRPr="003A0ACF">
        <w:t xml:space="preserve"> </w:t>
      </w:r>
      <w:r w:rsidRPr="003A0ACF">
        <w:rPr>
          <w:i/>
          <w:iCs/>
          <w:lang w:val="en-US"/>
        </w:rPr>
        <w:t>Botha</w:t>
      </w:r>
      <w:r w:rsidRPr="003A0ACF">
        <w:rPr>
          <w:lang w:val="en-US"/>
        </w:rPr>
        <w:t xml:space="preserve"> above n </w:t>
      </w:r>
      <w:r w:rsidR="00764906">
        <w:rPr>
          <w:lang w:val="en-US"/>
        </w:rPr>
        <w:t>15</w:t>
      </w:r>
      <w:r w:rsidRPr="003A0ACF">
        <w:rPr>
          <w:lang w:val="en-US"/>
        </w:rPr>
        <w:t xml:space="preserve"> paras 6</w:t>
      </w:r>
      <w:r w:rsidR="00130683">
        <w:rPr>
          <w:lang w:val="en-US"/>
        </w:rPr>
        <w:t xml:space="preserve"> and</w:t>
      </w:r>
      <w:r w:rsidRPr="003A0ACF">
        <w:rPr>
          <w:lang w:val="en-US"/>
        </w:rPr>
        <w:t xml:space="preserve"> 8.</w:t>
      </w:r>
      <w:r w:rsidR="006425A1" w:rsidRPr="003A0ACF">
        <w:rPr>
          <w:lang w:val="en-US"/>
        </w:rPr>
        <w:t xml:space="preserve"> By that time, she had already paid instalments in excess of half of the purchase price.</w:t>
      </w:r>
    </w:p>
  </w:footnote>
  <w:footnote w:id="26">
    <w:p w14:paraId="2C821431" w14:textId="52AB5B9B" w:rsidR="004629FC" w:rsidRPr="003A0ACF" w:rsidRDefault="004629FC" w:rsidP="003A0ACF">
      <w:pPr>
        <w:pStyle w:val="FootnoteText"/>
        <w:spacing w:line="240" w:lineRule="auto"/>
        <w:jc w:val="both"/>
        <w:rPr>
          <w:lang w:val="en-US"/>
        </w:rPr>
      </w:pPr>
      <w:r w:rsidRPr="003A0ACF">
        <w:rPr>
          <w:rStyle w:val="FootnoteReference"/>
        </w:rPr>
        <w:footnoteRef/>
      </w:r>
      <w:r w:rsidRPr="003A0ACF">
        <w:t xml:space="preserve"> </w:t>
      </w:r>
      <w:r w:rsidR="00E833B8" w:rsidRPr="003A0ACF">
        <w:t>ADJ Van Rensburg et al ‘Contract’ (3</w:t>
      </w:r>
      <w:r w:rsidR="00E833B8" w:rsidRPr="003A0ACF">
        <w:rPr>
          <w:vertAlign w:val="superscript"/>
        </w:rPr>
        <w:t>rd</w:t>
      </w:r>
      <w:r w:rsidR="00E833B8" w:rsidRPr="003A0ACF">
        <w:t xml:space="preserve"> ed) in </w:t>
      </w:r>
      <w:r w:rsidR="00E833B8">
        <w:t xml:space="preserve">WA Joubert and JA Faris </w:t>
      </w:r>
      <w:r w:rsidR="00E833B8" w:rsidRPr="003A0ACF">
        <w:rPr>
          <w:i/>
          <w:iCs/>
          <w:lang w:val="en-US"/>
        </w:rPr>
        <w:t>LAWSA</w:t>
      </w:r>
      <w:r w:rsidR="00E833B8" w:rsidRPr="003A0ACF">
        <w:rPr>
          <w:lang w:val="en-US"/>
        </w:rPr>
        <w:t xml:space="preserve"> </w:t>
      </w:r>
      <w:r w:rsidR="00E833B8">
        <w:rPr>
          <w:lang w:val="en-US"/>
        </w:rPr>
        <w:t>(3</w:t>
      </w:r>
      <w:r w:rsidR="00E833B8" w:rsidRPr="00FF06AE">
        <w:rPr>
          <w:vertAlign w:val="superscript"/>
          <w:lang w:val="en-US"/>
        </w:rPr>
        <w:t>rd</w:t>
      </w:r>
      <w:r w:rsidR="00E833B8">
        <w:rPr>
          <w:lang w:val="en-US"/>
        </w:rPr>
        <w:t xml:space="preserve"> ed) </w:t>
      </w:r>
      <w:r w:rsidR="00E833B8" w:rsidRPr="003A0ACF">
        <w:rPr>
          <w:lang w:val="en-US"/>
        </w:rPr>
        <w:t>(vol 9) (2014) para 391</w:t>
      </w:r>
      <w:r w:rsidRPr="003A0ACF">
        <w:rPr>
          <w:lang w:val="en-US"/>
        </w:rPr>
        <w:t>. In other words, the need for a ‘demand’, referenced in s 27(1), may be read to relate only to the possible remedies flowing from ss 27(3) and 28(1).</w:t>
      </w:r>
      <w:r w:rsidR="000441E3" w:rsidRPr="003A0ACF">
        <w:rPr>
          <w:lang w:val="en-US"/>
        </w:rPr>
        <w:t xml:space="preserve"> Also see the judgment of Corbett J in </w:t>
      </w:r>
      <w:r w:rsidR="000441E3" w:rsidRPr="003A0ACF">
        <w:rPr>
          <w:i/>
          <w:iCs/>
          <w:lang w:val="en-US"/>
        </w:rPr>
        <w:t>Theron v Theron</w:t>
      </w:r>
      <w:r w:rsidR="000441E3" w:rsidRPr="003A0ACF">
        <w:rPr>
          <w:lang w:val="en-US"/>
        </w:rPr>
        <w:t xml:space="preserve"> 1973 (3) SA 667 (C).</w:t>
      </w:r>
    </w:p>
  </w:footnote>
  <w:footnote w:id="27">
    <w:p w14:paraId="154D6E0E" w14:textId="77777777" w:rsidR="004C5DB3" w:rsidRPr="003A0ACF" w:rsidRDefault="004C5DB3" w:rsidP="003A0ACF">
      <w:pPr>
        <w:pStyle w:val="FootnoteText"/>
        <w:spacing w:line="240" w:lineRule="auto"/>
        <w:jc w:val="both"/>
        <w:rPr>
          <w:lang w:val="en-US"/>
        </w:rPr>
      </w:pPr>
      <w:r w:rsidRPr="003A0ACF">
        <w:rPr>
          <w:rStyle w:val="FootnoteReference"/>
        </w:rPr>
        <w:footnoteRef/>
      </w:r>
      <w:r w:rsidRPr="003A0ACF">
        <w:t xml:space="preserve"> </w:t>
      </w:r>
      <w:r w:rsidRPr="003A0ACF">
        <w:rPr>
          <w:i/>
          <w:iCs/>
          <w:lang w:val="en-US"/>
        </w:rPr>
        <w:t>Chetty</w:t>
      </w:r>
      <w:r w:rsidRPr="003A0ACF">
        <w:rPr>
          <w:lang w:val="en-US"/>
        </w:rPr>
        <w:t xml:space="preserve"> above n </w:t>
      </w:r>
      <w:r w:rsidR="00F05DFF">
        <w:rPr>
          <w:lang w:val="en-US"/>
        </w:rPr>
        <w:t>13</w:t>
      </w:r>
      <w:r w:rsidRPr="003A0ACF">
        <w:rPr>
          <w:lang w:val="en-US"/>
        </w:rPr>
        <w:t xml:space="preserve"> para 17.</w:t>
      </w:r>
    </w:p>
  </w:footnote>
  <w:footnote w:id="28">
    <w:p w14:paraId="5683DB5D" w14:textId="557F6730" w:rsidR="00324A31" w:rsidRPr="003A0ACF" w:rsidRDefault="00324A31" w:rsidP="003A0ACF">
      <w:pPr>
        <w:pStyle w:val="FootnoteText"/>
        <w:spacing w:line="240" w:lineRule="auto"/>
        <w:jc w:val="both"/>
        <w:rPr>
          <w:lang w:val="en-US"/>
        </w:rPr>
      </w:pPr>
      <w:r w:rsidRPr="003A0ACF">
        <w:rPr>
          <w:rStyle w:val="FootnoteReference"/>
        </w:rPr>
        <w:footnoteRef/>
      </w:r>
      <w:r w:rsidRPr="003A0ACF">
        <w:t xml:space="preserve"> </w:t>
      </w:r>
      <w:r w:rsidRPr="003A0ACF">
        <w:rPr>
          <w:i/>
          <w:iCs/>
          <w:lang w:val="en-US"/>
        </w:rPr>
        <w:t>Chetty</w:t>
      </w:r>
      <w:r w:rsidRPr="003A0ACF">
        <w:rPr>
          <w:lang w:val="en-US"/>
        </w:rPr>
        <w:t xml:space="preserve"> above n </w:t>
      </w:r>
      <w:r w:rsidR="00F05DFF">
        <w:rPr>
          <w:lang w:val="en-US"/>
        </w:rPr>
        <w:t>13</w:t>
      </w:r>
      <w:r w:rsidRPr="003A0ACF">
        <w:rPr>
          <w:lang w:val="en-US"/>
        </w:rPr>
        <w:t xml:space="preserve"> para 16.</w:t>
      </w:r>
      <w:r w:rsidR="00381247" w:rsidRPr="003A0ACF">
        <w:rPr>
          <w:lang w:val="en-US"/>
        </w:rPr>
        <w:t xml:space="preserve"> Also see </w:t>
      </w:r>
      <w:r w:rsidR="00381247" w:rsidRPr="003A0ACF">
        <w:rPr>
          <w:i/>
          <w:iCs/>
          <w:lang w:val="en-US"/>
        </w:rPr>
        <w:t xml:space="preserve">Win Twice Properties (Pty) Ltd v </w:t>
      </w:r>
      <w:proofErr w:type="spellStart"/>
      <w:r w:rsidR="00381247" w:rsidRPr="003A0ACF">
        <w:rPr>
          <w:i/>
          <w:iCs/>
          <w:lang w:val="en-US"/>
        </w:rPr>
        <w:t>Binos</w:t>
      </w:r>
      <w:proofErr w:type="spellEnd"/>
      <w:r w:rsidR="00381247" w:rsidRPr="003A0ACF">
        <w:rPr>
          <w:i/>
          <w:iCs/>
          <w:lang w:val="en-US"/>
        </w:rPr>
        <w:t xml:space="preserve"> and Another</w:t>
      </w:r>
      <w:r w:rsidR="00381247" w:rsidRPr="003A0ACF">
        <w:rPr>
          <w:lang w:val="en-US"/>
        </w:rPr>
        <w:t xml:space="preserve"> 2004 (4) SA 436 (W) at 441C</w:t>
      </w:r>
      <w:r w:rsidR="00B3517D">
        <w:rPr>
          <w:lang w:val="en-US"/>
        </w:rPr>
        <w:t>–</w:t>
      </w:r>
      <w:r w:rsidR="00381247" w:rsidRPr="003A0ACF">
        <w:rPr>
          <w:lang w:val="en-US"/>
        </w:rPr>
        <w:t>444B.</w:t>
      </w:r>
    </w:p>
  </w:footnote>
  <w:footnote w:id="29">
    <w:p w14:paraId="1B83552E" w14:textId="0FCA4699" w:rsidR="00445C32" w:rsidRPr="003A0ACF" w:rsidRDefault="00445C32" w:rsidP="003A0ACF">
      <w:pPr>
        <w:pStyle w:val="FootnoteText"/>
        <w:spacing w:line="240" w:lineRule="auto"/>
        <w:jc w:val="both"/>
        <w:rPr>
          <w:lang w:val="en-US"/>
        </w:rPr>
      </w:pPr>
      <w:r w:rsidRPr="003A0ACF">
        <w:rPr>
          <w:rStyle w:val="FootnoteReference"/>
        </w:rPr>
        <w:footnoteRef/>
      </w:r>
      <w:r w:rsidRPr="003A0ACF">
        <w:t xml:space="preserve"> </w:t>
      </w:r>
      <w:r w:rsidRPr="003A0ACF">
        <w:rPr>
          <w:lang w:val="en-US"/>
        </w:rPr>
        <w:t xml:space="preserve">What constitutes a valid demand in law is a question of fact: see </w:t>
      </w:r>
      <w:r w:rsidRPr="003A0ACF">
        <w:rPr>
          <w:i/>
          <w:iCs/>
          <w:lang w:val="en-US"/>
        </w:rPr>
        <w:t>Kragga Kamma Estates CC v Flanagan</w:t>
      </w:r>
      <w:r w:rsidRPr="003A0ACF">
        <w:rPr>
          <w:lang w:val="en-US"/>
        </w:rPr>
        <w:t xml:space="preserve"> [1994] ZASCA 137; 1995 (2) SA 367 (A) </w:t>
      </w:r>
      <w:r w:rsidR="007D6627">
        <w:rPr>
          <w:lang w:val="en-US"/>
        </w:rPr>
        <w:t>(‘</w:t>
      </w:r>
      <w:r w:rsidR="007D6627">
        <w:rPr>
          <w:i/>
          <w:iCs/>
          <w:lang w:val="en-US"/>
        </w:rPr>
        <w:t>Kragga Kamma Estates</w:t>
      </w:r>
      <w:r w:rsidR="007D6627">
        <w:rPr>
          <w:lang w:val="en-US"/>
        </w:rPr>
        <w:t>’)</w:t>
      </w:r>
      <w:r w:rsidR="007D6627">
        <w:rPr>
          <w:i/>
          <w:iCs/>
          <w:lang w:val="en-US"/>
        </w:rPr>
        <w:t xml:space="preserve"> </w:t>
      </w:r>
      <w:r w:rsidRPr="003A0ACF">
        <w:rPr>
          <w:lang w:val="en-US"/>
        </w:rPr>
        <w:t>at 374E</w:t>
      </w:r>
      <w:r w:rsidR="00B3517D">
        <w:rPr>
          <w:lang w:val="en-US"/>
        </w:rPr>
        <w:t>–</w:t>
      </w:r>
      <w:r w:rsidRPr="003A0ACF">
        <w:rPr>
          <w:lang w:val="en-US"/>
        </w:rPr>
        <w:t xml:space="preserve">G, cited with approval in </w:t>
      </w:r>
      <w:r w:rsidR="000E3BDD">
        <w:rPr>
          <w:i/>
          <w:iCs/>
          <w:lang w:val="en-US"/>
        </w:rPr>
        <w:t xml:space="preserve">Trinity </w:t>
      </w:r>
      <w:r w:rsidR="000E3BDD">
        <w:rPr>
          <w:lang w:val="en-US"/>
        </w:rPr>
        <w:t xml:space="preserve">above n </w:t>
      </w:r>
      <w:r w:rsidR="00DF51F1">
        <w:rPr>
          <w:lang w:val="en-US"/>
        </w:rPr>
        <w:t>24</w:t>
      </w:r>
      <w:r w:rsidR="000E3BDD">
        <w:rPr>
          <w:lang w:val="en-US"/>
        </w:rPr>
        <w:t xml:space="preserve"> </w:t>
      </w:r>
      <w:r w:rsidRPr="003A0ACF">
        <w:rPr>
          <w:lang w:val="en-US"/>
        </w:rPr>
        <w:t>para 74.</w:t>
      </w:r>
    </w:p>
  </w:footnote>
  <w:footnote w:id="30">
    <w:p w14:paraId="186789C0" w14:textId="77777777" w:rsidR="006C439B" w:rsidRPr="003A0ACF" w:rsidRDefault="006C439B" w:rsidP="003A0ACF">
      <w:pPr>
        <w:pStyle w:val="FootnoteText"/>
        <w:spacing w:line="240" w:lineRule="auto"/>
        <w:jc w:val="both"/>
        <w:rPr>
          <w:lang w:val="en-US"/>
        </w:rPr>
      </w:pPr>
      <w:r w:rsidRPr="003A0ACF">
        <w:rPr>
          <w:rStyle w:val="FootnoteReference"/>
        </w:rPr>
        <w:footnoteRef/>
      </w:r>
      <w:r w:rsidRPr="003A0ACF">
        <w:t xml:space="preserve"> </w:t>
      </w:r>
      <w:proofErr w:type="spellStart"/>
      <w:r w:rsidRPr="003A0ACF">
        <w:rPr>
          <w:i/>
          <w:iCs/>
          <w:lang w:val="en-US"/>
        </w:rPr>
        <w:t>Beadica</w:t>
      </w:r>
      <w:proofErr w:type="spellEnd"/>
      <w:r w:rsidRPr="003A0ACF">
        <w:rPr>
          <w:i/>
          <w:iCs/>
          <w:lang w:val="en-US"/>
        </w:rPr>
        <w:t xml:space="preserve"> 231 CC and </w:t>
      </w:r>
      <w:proofErr w:type="gramStart"/>
      <w:r w:rsidRPr="003A0ACF">
        <w:rPr>
          <w:i/>
          <w:iCs/>
          <w:lang w:val="en-US"/>
        </w:rPr>
        <w:t>Others v</w:t>
      </w:r>
      <w:proofErr w:type="gramEnd"/>
      <w:r w:rsidRPr="003A0ACF">
        <w:rPr>
          <w:i/>
          <w:iCs/>
          <w:lang w:val="en-US"/>
        </w:rPr>
        <w:t xml:space="preserve"> Trustees, Oregon Trust and Others</w:t>
      </w:r>
      <w:r w:rsidRPr="003A0ACF">
        <w:rPr>
          <w:lang w:val="en-US"/>
        </w:rPr>
        <w:t xml:space="preserve"> </w:t>
      </w:r>
      <w:r w:rsidR="009B022C" w:rsidRPr="009B022C">
        <w:rPr>
          <w:lang w:val="en-US"/>
        </w:rPr>
        <w:t>[2020] ZACC 13; 2020 (9) BCLR 1098 (CC)</w:t>
      </w:r>
      <w:r w:rsidR="009B022C">
        <w:rPr>
          <w:lang w:val="en-US"/>
        </w:rPr>
        <w:t>;</w:t>
      </w:r>
      <w:r w:rsidR="009B022C" w:rsidRPr="009B022C">
        <w:rPr>
          <w:lang w:val="en-US"/>
        </w:rPr>
        <w:t xml:space="preserve"> </w:t>
      </w:r>
      <w:r w:rsidRPr="003A0ACF">
        <w:rPr>
          <w:lang w:val="en-US"/>
        </w:rPr>
        <w:t>2020 (5) SA 247 (CC)</w:t>
      </w:r>
      <w:r w:rsidR="00F17A8A" w:rsidRPr="003A0ACF">
        <w:rPr>
          <w:lang w:val="en-US"/>
        </w:rPr>
        <w:t xml:space="preserve"> (‘</w:t>
      </w:r>
      <w:proofErr w:type="spellStart"/>
      <w:r w:rsidR="00F17A8A" w:rsidRPr="003A0ACF">
        <w:rPr>
          <w:i/>
          <w:iCs/>
          <w:lang w:val="en-US"/>
        </w:rPr>
        <w:t>Beadica</w:t>
      </w:r>
      <w:proofErr w:type="spellEnd"/>
      <w:r w:rsidR="00727DFE" w:rsidRPr="003A0ACF">
        <w:rPr>
          <w:lang w:val="en-US"/>
        </w:rPr>
        <w:t>’</w:t>
      </w:r>
      <w:r w:rsidR="00F17A8A" w:rsidRPr="003A0ACF">
        <w:rPr>
          <w:lang w:val="en-US"/>
        </w:rPr>
        <w:t>)</w:t>
      </w:r>
      <w:r w:rsidRPr="003A0ACF">
        <w:rPr>
          <w:lang w:val="en-US"/>
        </w:rPr>
        <w:t>.</w:t>
      </w:r>
    </w:p>
  </w:footnote>
  <w:footnote w:id="31">
    <w:p w14:paraId="571C3B87" w14:textId="77777777" w:rsidR="00A8347C" w:rsidRPr="003A0ACF" w:rsidRDefault="00A8347C" w:rsidP="003A0ACF">
      <w:pPr>
        <w:pStyle w:val="FootnoteText"/>
        <w:spacing w:line="240" w:lineRule="auto"/>
        <w:jc w:val="both"/>
        <w:rPr>
          <w:lang w:val="en-US"/>
        </w:rPr>
      </w:pPr>
      <w:r w:rsidRPr="003A0ACF">
        <w:rPr>
          <w:rStyle w:val="FootnoteReference"/>
        </w:rPr>
        <w:footnoteRef/>
      </w:r>
      <w:r w:rsidRPr="003A0ACF">
        <w:t xml:space="preserve"> </w:t>
      </w:r>
      <w:proofErr w:type="spellStart"/>
      <w:r w:rsidRPr="003A0ACF">
        <w:rPr>
          <w:i/>
          <w:iCs/>
          <w:lang w:val="en-US"/>
        </w:rPr>
        <w:t>Beadica</w:t>
      </w:r>
      <w:proofErr w:type="spellEnd"/>
      <w:r w:rsidRPr="003A0ACF">
        <w:rPr>
          <w:lang w:val="en-US"/>
        </w:rPr>
        <w:t xml:space="preserve"> above n </w:t>
      </w:r>
      <w:r w:rsidR="00D0182A">
        <w:rPr>
          <w:lang w:val="en-US"/>
        </w:rPr>
        <w:t xml:space="preserve">30 </w:t>
      </w:r>
      <w:r w:rsidRPr="003A0ACF">
        <w:rPr>
          <w:lang w:val="en-US"/>
        </w:rPr>
        <w:t>para 1.</w:t>
      </w:r>
    </w:p>
  </w:footnote>
  <w:footnote w:id="32">
    <w:p w14:paraId="71248D65" w14:textId="77777777" w:rsidR="005A7E29" w:rsidRPr="003A0ACF" w:rsidRDefault="005A7E29" w:rsidP="003A0ACF">
      <w:pPr>
        <w:pStyle w:val="FootnoteText"/>
        <w:spacing w:line="240" w:lineRule="auto"/>
        <w:jc w:val="both"/>
        <w:rPr>
          <w:lang w:val="en-US"/>
        </w:rPr>
      </w:pPr>
      <w:r w:rsidRPr="003A0ACF">
        <w:rPr>
          <w:rStyle w:val="FootnoteReference"/>
        </w:rPr>
        <w:footnoteRef/>
      </w:r>
      <w:r w:rsidRPr="003A0ACF">
        <w:t xml:space="preserve"> </w:t>
      </w:r>
      <w:r w:rsidRPr="003A0ACF">
        <w:rPr>
          <w:lang w:val="en-US"/>
        </w:rPr>
        <w:t>Clause 6 of the agreement provides as follows: ‘In the event of this sale being cancelled by reason off any default on the part of the purchaser, all amounts paid by the purchaser up to the point of cancellation shall be forfeited by and not be refundable to the purchaser. The seller retains the right to claim damages from the purchaser for breach of contract in terms of clause 18 hereof.’</w:t>
      </w:r>
      <w:r w:rsidR="00D96EEB" w:rsidRPr="003A0ACF">
        <w:rPr>
          <w:lang w:val="en-US"/>
        </w:rPr>
        <w:t xml:space="preserve"> See </w:t>
      </w:r>
      <w:proofErr w:type="spellStart"/>
      <w:r w:rsidR="00D96EEB" w:rsidRPr="003A0ACF">
        <w:rPr>
          <w:i/>
          <w:iCs/>
          <w:lang w:val="en-US"/>
        </w:rPr>
        <w:t>Beadica</w:t>
      </w:r>
      <w:proofErr w:type="spellEnd"/>
      <w:r w:rsidR="00D96EEB" w:rsidRPr="003A0ACF">
        <w:rPr>
          <w:lang w:val="en-US"/>
        </w:rPr>
        <w:t xml:space="preserve"> above n </w:t>
      </w:r>
      <w:r w:rsidR="00F2291B">
        <w:rPr>
          <w:lang w:val="en-US"/>
        </w:rPr>
        <w:t>30</w:t>
      </w:r>
      <w:r w:rsidR="00D96EEB" w:rsidRPr="003A0ACF">
        <w:rPr>
          <w:lang w:val="en-US"/>
        </w:rPr>
        <w:t xml:space="preserve"> para 49: </w:t>
      </w:r>
      <w:r w:rsidR="00D96EEB" w:rsidRPr="00087CE6">
        <w:rPr>
          <w:i/>
          <w:iCs/>
          <w:lang w:val="en-US"/>
        </w:rPr>
        <w:t>Botha</w:t>
      </w:r>
      <w:r w:rsidR="00D96EEB" w:rsidRPr="003A0ACF">
        <w:rPr>
          <w:lang w:val="en-US"/>
        </w:rPr>
        <w:t xml:space="preserve"> principally concerned the interpretation and application of s 27 in the context of a contract of an instalment sale, in particular a contract of sale that contained a cancellation clause, which provided for forfeiture.</w:t>
      </w:r>
    </w:p>
  </w:footnote>
  <w:footnote w:id="33">
    <w:p w14:paraId="2251565A" w14:textId="77777777" w:rsidR="008B1B41" w:rsidRPr="003A0ACF" w:rsidRDefault="008B1B41" w:rsidP="003A0ACF">
      <w:pPr>
        <w:pStyle w:val="FootnoteText"/>
        <w:spacing w:line="240" w:lineRule="auto"/>
        <w:jc w:val="both"/>
        <w:rPr>
          <w:lang w:val="en-US"/>
        </w:rPr>
      </w:pPr>
      <w:r w:rsidRPr="003A0ACF">
        <w:rPr>
          <w:rStyle w:val="FootnoteReference"/>
        </w:rPr>
        <w:footnoteRef/>
      </w:r>
      <w:r w:rsidRPr="003A0ACF">
        <w:t xml:space="preserve"> </w:t>
      </w:r>
      <w:r w:rsidRPr="003A0ACF">
        <w:rPr>
          <w:i/>
          <w:iCs/>
          <w:lang w:val="en-US"/>
        </w:rPr>
        <w:t>Botha</w:t>
      </w:r>
      <w:r w:rsidRPr="003A0ACF">
        <w:rPr>
          <w:lang w:val="en-US"/>
        </w:rPr>
        <w:t xml:space="preserve"> above n </w:t>
      </w:r>
      <w:r w:rsidR="006313B5">
        <w:rPr>
          <w:lang w:val="en-US"/>
        </w:rPr>
        <w:t>15</w:t>
      </w:r>
      <w:r w:rsidRPr="003A0ACF">
        <w:rPr>
          <w:lang w:val="en-US"/>
        </w:rPr>
        <w:t xml:space="preserve"> para 41.</w:t>
      </w:r>
    </w:p>
  </w:footnote>
  <w:footnote w:id="34">
    <w:p w14:paraId="256A7B83" w14:textId="36A1E168" w:rsidR="00E07473" w:rsidRPr="003A0ACF" w:rsidRDefault="00E07473" w:rsidP="003A0ACF">
      <w:pPr>
        <w:pStyle w:val="FootnoteText"/>
        <w:spacing w:line="240" w:lineRule="auto"/>
        <w:jc w:val="both"/>
        <w:rPr>
          <w:lang w:val="en-US"/>
        </w:rPr>
      </w:pPr>
      <w:r w:rsidRPr="003A0ACF">
        <w:rPr>
          <w:rStyle w:val="FootnoteReference"/>
        </w:rPr>
        <w:footnoteRef/>
      </w:r>
      <w:r w:rsidRPr="003A0ACF">
        <w:t xml:space="preserve"> </w:t>
      </w:r>
      <w:r w:rsidRPr="003A0ACF">
        <w:rPr>
          <w:i/>
          <w:iCs/>
          <w:lang w:val="en-US"/>
        </w:rPr>
        <w:t>Gericke v Sack</w:t>
      </w:r>
      <w:r w:rsidRPr="003A0ACF">
        <w:rPr>
          <w:lang w:val="en-US"/>
        </w:rPr>
        <w:t xml:space="preserve"> 1978 (1) SA 821 (A) at 827H</w:t>
      </w:r>
      <w:r w:rsidR="00B3517D">
        <w:rPr>
          <w:lang w:val="en-US"/>
        </w:rPr>
        <w:t>–</w:t>
      </w:r>
      <w:r w:rsidRPr="003A0ACF">
        <w:rPr>
          <w:lang w:val="en-US"/>
        </w:rPr>
        <w:t>828A.</w:t>
      </w:r>
    </w:p>
  </w:footnote>
  <w:footnote w:id="35">
    <w:p w14:paraId="011108A4" w14:textId="77777777" w:rsidR="00CA40E6" w:rsidRPr="003A0ACF" w:rsidRDefault="00CA40E6" w:rsidP="003A0ACF">
      <w:pPr>
        <w:pStyle w:val="FootnoteText"/>
        <w:spacing w:line="240" w:lineRule="auto"/>
        <w:jc w:val="both"/>
        <w:rPr>
          <w:lang w:val="en-US"/>
        </w:rPr>
      </w:pPr>
      <w:r w:rsidRPr="003A0ACF">
        <w:rPr>
          <w:rStyle w:val="FootnoteReference"/>
        </w:rPr>
        <w:footnoteRef/>
      </w:r>
      <w:r w:rsidRPr="003A0ACF">
        <w:t xml:space="preserve"> </w:t>
      </w:r>
      <w:r w:rsidRPr="003A0ACF">
        <w:rPr>
          <w:lang w:val="en-US"/>
        </w:rPr>
        <w:t xml:space="preserve">See GB Bradfield </w:t>
      </w:r>
      <w:r w:rsidRPr="003A0ACF">
        <w:rPr>
          <w:i/>
          <w:iCs/>
          <w:lang w:val="en-US"/>
        </w:rPr>
        <w:t>Christie’s The Law of Contract in South Africa</w:t>
      </w:r>
      <w:r w:rsidRPr="003A0ACF">
        <w:rPr>
          <w:lang w:val="en-US"/>
        </w:rPr>
        <w:t xml:space="preserve"> (8</w:t>
      </w:r>
      <w:r w:rsidRPr="003A0ACF">
        <w:rPr>
          <w:vertAlign w:val="superscript"/>
          <w:lang w:val="en-US"/>
        </w:rPr>
        <w:t>th</w:t>
      </w:r>
      <w:r w:rsidRPr="003A0ACF">
        <w:rPr>
          <w:lang w:val="en-US"/>
        </w:rPr>
        <w:t xml:space="preserve"> Ed) (2022) at 673</w:t>
      </w:r>
      <w:r w:rsidR="0088381D" w:rsidRPr="003A0ACF">
        <w:rPr>
          <w:lang w:val="en-US"/>
        </w:rPr>
        <w:t>.</w:t>
      </w:r>
    </w:p>
  </w:footnote>
  <w:footnote w:id="36">
    <w:p w14:paraId="058529F6" w14:textId="77777777" w:rsidR="0088381D" w:rsidRPr="003A0ACF" w:rsidRDefault="0088381D" w:rsidP="003A0ACF">
      <w:pPr>
        <w:pStyle w:val="FootnoteText"/>
        <w:spacing w:line="240" w:lineRule="auto"/>
        <w:jc w:val="both"/>
        <w:rPr>
          <w:lang w:val="en-US"/>
        </w:rPr>
      </w:pPr>
      <w:r w:rsidRPr="003A0ACF">
        <w:rPr>
          <w:rStyle w:val="FootnoteReference"/>
        </w:rPr>
        <w:footnoteRef/>
      </w:r>
      <w:r w:rsidRPr="003A0ACF">
        <w:t xml:space="preserve"> </w:t>
      </w:r>
      <w:r w:rsidRPr="003A0ACF">
        <w:rPr>
          <w:i/>
          <w:iCs/>
          <w:lang w:val="en-US"/>
        </w:rPr>
        <w:t>Sonia (Pty) Ltd v Wheeler</w:t>
      </w:r>
      <w:r w:rsidRPr="003A0ACF">
        <w:rPr>
          <w:lang w:val="en-US"/>
        </w:rPr>
        <w:t xml:space="preserve"> [1958] 2 All SA 38; 1958 (1) SA 555 (A) at 560-561</w:t>
      </w:r>
      <w:r w:rsidR="00871D86" w:rsidRPr="003A0ACF">
        <w:rPr>
          <w:lang w:val="en-US"/>
        </w:rPr>
        <w:t xml:space="preserve">, citing </w:t>
      </w:r>
      <w:proofErr w:type="spellStart"/>
      <w:r w:rsidR="00871D86" w:rsidRPr="003A0ACF">
        <w:rPr>
          <w:i/>
          <w:iCs/>
          <w:lang w:val="en-US"/>
        </w:rPr>
        <w:t>Lebedina</w:t>
      </w:r>
      <w:proofErr w:type="spellEnd"/>
      <w:r w:rsidR="00871D86" w:rsidRPr="003A0ACF">
        <w:rPr>
          <w:i/>
          <w:iCs/>
          <w:lang w:val="en-US"/>
        </w:rPr>
        <w:t xml:space="preserve"> v Schechter and Haskell </w:t>
      </w:r>
      <w:r w:rsidR="00871D86" w:rsidRPr="003A0ACF">
        <w:rPr>
          <w:lang w:val="en-US"/>
        </w:rPr>
        <w:t>1931 WLD 247</w:t>
      </w:r>
      <w:r w:rsidR="0003153D" w:rsidRPr="003A0ACF">
        <w:rPr>
          <w:lang w:val="en-US"/>
        </w:rPr>
        <w:t>.</w:t>
      </w:r>
    </w:p>
  </w:footnote>
  <w:footnote w:id="37">
    <w:p w14:paraId="60A7868D" w14:textId="77777777" w:rsidR="004E5A92" w:rsidRPr="003A0ACF" w:rsidRDefault="004E5A92" w:rsidP="003A0ACF">
      <w:pPr>
        <w:pStyle w:val="FootnoteText"/>
        <w:spacing w:line="240" w:lineRule="auto"/>
        <w:jc w:val="both"/>
        <w:rPr>
          <w:lang w:val="en-US"/>
        </w:rPr>
      </w:pPr>
      <w:r w:rsidRPr="003A0ACF">
        <w:rPr>
          <w:rStyle w:val="FootnoteReference"/>
        </w:rPr>
        <w:footnoteRef/>
      </w:r>
      <w:r w:rsidRPr="003A0ACF">
        <w:t xml:space="preserve"> </w:t>
      </w:r>
      <w:r w:rsidRPr="003A0ACF">
        <w:rPr>
          <w:lang w:val="en-US"/>
        </w:rPr>
        <w:t>Para 3.1 of the answering affidavit.</w:t>
      </w:r>
    </w:p>
  </w:footnote>
  <w:footnote w:id="38">
    <w:p w14:paraId="15E1BFCD" w14:textId="77777777" w:rsidR="00F8012D" w:rsidRPr="003A0ACF" w:rsidRDefault="00F8012D" w:rsidP="003A0ACF">
      <w:pPr>
        <w:pStyle w:val="FootnoteText"/>
        <w:spacing w:line="240" w:lineRule="auto"/>
        <w:jc w:val="both"/>
        <w:rPr>
          <w:lang w:val="en-US"/>
        </w:rPr>
      </w:pPr>
      <w:r w:rsidRPr="003A0ACF">
        <w:rPr>
          <w:rStyle w:val="FootnoteReference"/>
        </w:rPr>
        <w:footnoteRef/>
      </w:r>
      <w:r w:rsidRPr="003A0ACF">
        <w:t xml:space="preserve"> </w:t>
      </w:r>
      <w:r w:rsidRPr="003A0ACF">
        <w:rPr>
          <w:lang w:val="en-US"/>
        </w:rPr>
        <w:t>The trust’s supplementary heads of argument appear to suggest that the school had failed to plead a justiciable right of action for which it was obliged to answer</w:t>
      </w:r>
      <w:r w:rsidR="00665E49" w:rsidRPr="003A0ACF">
        <w:rPr>
          <w:lang w:val="en-US"/>
        </w:rPr>
        <w:t>.</w:t>
      </w:r>
      <w:r w:rsidRPr="003A0ACF">
        <w:rPr>
          <w:lang w:val="en-US"/>
        </w:rPr>
        <w:t xml:space="preserve"> </w:t>
      </w:r>
      <w:r w:rsidR="00665E49" w:rsidRPr="003A0ACF">
        <w:rPr>
          <w:lang w:val="en-US"/>
        </w:rPr>
        <w:t>T</w:t>
      </w:r>
      <w:r w:rsidRPr="003A0ACF">
        <w:rPr>
          <w:lang w:val="en-US"/>
        </w:rPr>
        <w:t>hat submission is factually incorrect</w:t>
      </w:r>
      <w:r w:rsidR="0099280C" w:rsidRPr="003A0ACF">
        <w:rPr>
          <w:lang w:val="en-US"/>
        </w:rPr>
        <w:t>.</w:t>
      </w:r>
      <w:r w:rsidR="005E3931" w:rsidRPr="003A0ACF">
        <w:rPr>
          <w:lang w:val="en-US"/>
        </w:rPr>
        <w:t xml:space="preserve"> The founding affidavit specifically pleaded reliance on chapter 3 of the </w:t>
      </w:r>
      <w:proofErr w:type="gramStart"/>
      <w:r w:rsidR="005E3931" w:rsidRPr="003A0ACF">
        <w:rPr>
          <w:lang w:val="en-US"/>
        </w:rPr>
        <w:t>Act, and</w:t>
      </w:r>
      <w:proofErr w:type="gramEnd"/>
      <w:r w:rsidR="00203F70" w:rsidRPr="003A0ACF">
        <w:rPr>
          <w:lang w:val="en-US"/>
        </w:rPr>
        <w:t xml:space="preserve"> went so far as to</w:t>
      </w:r>
      <w:r w:rsidR="005E3931" w:rsidRPr="003A0ACF">
        <w:rPr>
          <w:lang w:val="en-US"/>
        </w:rPr>
        <w:t xml:space="preserve"> quote s 27(1).</w:t>
      </w:r>
    </w:p>
  </w:footnote>
  <w:footnote w:id="39">
    <w:p w14:paraId="1087D745" w14:textId="77777777" w:rsidR="00F613B6" w:rsidRPr="003A0ACF" w:rsidRDefault="00F613B6" w:rsidP="003A0ACF">
      <w:pPr>
        <w:pStyle w:val="FootnoteText"/>
        <w:spacing w:line="240" w:lineRule="auto"/>
        <w:jc w:val="both"/>
        <w:rPr>
          <w:lang w:val="en-US"/>
        </w:rPr>
      </w:pPr>
      <w:r w:rsidRPr="003A0ACF">
        <w:rPr>
          <w:rStyle w:val="FootnoteReference"/>
        </w:rPr>
        <w:footnoteRef/>
      </w:r>
      <w:r w:rsidRPr="003A0ACF">
        <w:t xml:space="preserve"> </w:t>
      </w:r>
      <w:r w:rsidRPr="003A0ACF">
        <w:rPr>
          <w:i/>
          <w:iCs/>
          <w:lang w:val="en-US"/>
        </w:rPr>
        <w:t>Botha</w:t>
      </w:r>
      <w:r w:rsidRPr="003A0ACF">
        <w:rPr>
          <w:lang w:val="en-US"/>
        </w:rPr>
        <w:t xml:space="preserve"> above n </w:t>
      </w:r>
      <w:r w:rsidR="00EB354F">
        <w:rPr>
          <w:lang w:val="en-US"/>
        </w:rPr>
        <w:t>15</w:t>
      </w:r>
      <w:r w:rsidRPr="003A0ACF">
        <w:rPr>
          <w:lang w:val="en-US"/>
        </w:rPr>
        <w:t xml:space="preserve"> para 51.</w:t>
      </w:r>
    </w:p>
  </w:footnote>
  <w:footnote w:id="40">
    <w:p w14:paraId="465A2398" w14:textId="77777777" w:rsidR="00863EDD" w:rsidRPr="003A0ACF" w:rsidRDefault="00863EDD" w:rsidP="003A0ACF">
      <w:pPr>
        <w:pStyle w:val="FootnoteText"/>
        <w:spacing w:line="240" w:lineRule="auto"/>
        <w:jc w:val="both"/>
        <w:rPr>
          <w:lang w:val="en-US"/>
        </w:rPr>
      </w:pPr>
      <w:r w:rsidRPr="003A0ACF">
        <w:rPr>
          <w:rStyle w:val="FootnoteReference"/>
        </w:rPr>
        <w:footnoteRef/>
      </w:r>
      <w:r w:rsidRPr="003A0ACF">
        <w:t xml:space="preserve"> </w:t>
      </w:r>
      <w:r w:rsidRPr="003A0ACF">
        <w:rPr>
          <w:lang w:val="en-US"/>
        </w:rPr>
        <w:t>Ibid.</w:t>
      </w:r>
    </w:p>
  </w:footnote>
  <w:footnote w:id="41">
    <w:p w14:paraId="0B145A89" w14:textId="77777777" w:rsidR="00E41D46" w:rsidRPr="003A0ACF" w:rsidRDefault="00E41D46" w:rsidP="003A0ACF">
      <w:pPr>
        <w:pStyle w:val="FootnoteText"/>
        <w:spacing w:line="240" w:lineRule="auto"/>
        <w:jc w:val="both"/>
        <w:rPr>
          <w:lang w:val="en-US"/>
        </w:rPr>
      </w:pPr>
      <w:r w:rsidRPr="003A0ACF">
        <w:rPr>
          <w:rStyle w:val="FootnoteReference"/>
        </w:rPr>
        <w:footnoteRef/>
      </w:r>
      <w:r w:rsidRPr="003A0ACF">
        <w:t xml:space="preserve"> </w:t>
      </w:r>
      <w:r w:rsidRPr="003A0ACF">
        <w:rPr>
          <w:i/>
          <w:iCs/>
          <w:lang w:val="en-US"/>
        </w:rPr>
        <w:t>Botha</w:t>
      </w:r>
      <w:r w:rsidRPr="003A0ACF">
        <w:rPr>
          <w:lang w:val="en-US"/>
        </w:rPr>
        <w:t xml:space="preserve"> above n </w:t>
      </w:r>
      <w:r w:rsidR="002A587B">
        <w:rPr>
          <w:lang w:val="en-US"/>
        </w:rPr>
        <w:t>15</w:t>
      </w:r>
      <w:r w:rsidRPr="003A0ACF">
        <w:rPr>
          <w:lang w:val="en-US"/>
        </w:rPr>
        <w:t xml:space="preserve"> para 51.</w:t>
      </w:r>
    </w:p>
  </w:footnote>
  <w:footnote w:id="42">
    <w:p w14:paraId="26E1E4DB" w14:textId="729FD326" w:rsidR="00AE4DA5" w:rsidRPr="003A0ACF" w:rsidRDefault="00AE4DA5" w:rsidP="00634536">
      <w:pPr>
        <w:pStyle w:val="FootnoteText"/>
        <w:spacing w:line="240" w:lineRule="auto"/>
        <w:jc w:val="both"/>
        <w:rPr>
          <w:lang w:val="en-US"/>
        </w:rPr>
      </w:pPr>
      <w:r w:rsidRPr="003A0ACF">
        <w:rPr>
          <w:rStyle w:val="FootnoteReference"/>
        </w:rPr>
        <w:footnoteRef/>
      </w:r>
      <w:r w:rsidRPr="003A0ACF">
        <w:t xml:space="preserve"> </w:t>
      </w:r>
      <w:r w:rsidRPr="003A0ACF">
        <w:rPr>
          <w:i/>
          <w:iCs/>
          <w:lang w:val="en-US"/>
        </w:rPr>
        <w:t xml:space="preserve">Santam Ltd v </w:t>
      </w:r>
      <w:proofErr w:type="spellStart"/>
      <w:r w:rsidRPr="003A0ACF">
        <w:rPr>
          <w:i/>
          <w:iCs/>
          <w:lang w:val="en-US"/>
        </w:rPr>
        <w:t>Ethwar</w:t>
      </w:r>
      <w:proofErr w:type="spellEnd"/>
      <w:r w:rsidRPr="003A0ACF">
        <w:rPr>
          <w:lang w:val="en-US"/>
        </w:rPr>
        <w:t xml:space="preserve"> </w:t>
      </w:r>
      <w:r w:rsidR="00CD60BC" w:rsidRPr="00CD60BC">
        <w:rPr>
          <w:lang w:val="en-US"/>
        </w:rPr>
        <w:t>[1998] ZASCA 102;</w:t>
      </w:r>
      <w:r w:rsidRPr="003A0ACF">
        <w:rPr>
          <w:lang w:val="en-US"/>
        </w:rPr>
        <w:t>1999 (2) SA 244 (SCA) at 256F</w:t>
      </w:r>
      <w:r w:rsidR="00B3517D">
        <w:rPr>
          <w:lang w:val="en-US"/>
        </w:rPr>
        <w:t>–</w:t>
      </w:r>
      <w:r w:rsidRPr="003A0ACF">
        <w:rPr>
          <w:lang w:val="en-US"/>
        </w:rPr>
        <w:t>H</w:t>
      </w:r>
      <w:r w:rsidR="009B022C">
        <w:rPr>
          <w:lang w:val="en-US"/>
        </w:rPr>
        <w:t>;</w:t>
      </w:r>
      <w:r w:rsidR="009B022C" w:rsidRPr="009B022C">
        <w:t xml:space="preserve"> </w:t>
      </w:r>
      <w:r w:rsidR="009B022C" w:rsidRPr="009B022C">
        <w:rPr>
          <w:lang w:val="en-US"/>
        </w:rPr>
        <w:t>[1999] 1 All SA 252 (A)</w:t>
      </w:r>
      <w:r w:rsidRPr="003A0ACF">
        <w:rPr>
          <w:lang w:val="en-US"/>
        </w:rPr>
        <w:t>.</w:t>
      </w:r>
    </w:p>
  </w:footnote>
  <w:footnote w:id="43">
    <w:p w14:paraId="43156A0B" w14:textId="55E894D7" w:rsidR="00E26660" w:rsidRPr="00634536" w:rsidRDefault="00E26660" w:rsidP="00634536">
      <w:pPr>
        <w:pStyle w:val="FootnoteText"/>
        <w:spacing w:line="240" w:lineRule="auto"/>
        <w:rPr>
          <w:lang w:val="en-US"/>
        </w:rPr>
      </w:pPr>
      <w:r>
        <w:rPr>
          <w:rStyle w:val="FootnoteReference"/>
        </w:rPr>
        <w:footnoteRef/>
      </w:r>
      <w:r>
        <w:t xml:space="preserve"> </w:t>
      </w:r>
      <w:proofErr w:type="spellStart"/>
      <w:r w:rsidRPr="00175A9F">
        <w:rPr>
          <w:i/>
        </w:rPr>
        <w:t>Ethekwini</w:t>
      </w:r>
      <w:proofErr w:type="spellEnd"/>
      <w:r w:rsidRPr="00175A9F">
        <w:rPr>
          <w:i/>
        </w:rPr>
        <w:t xml:space="preserve"> Municipality v </w:t>
      </w:r>
      <w:proofErr w:type="spellStart"/>
      <w:r w:rsidRPr="00175A9F">
        <w:rPr>
          <w:i/>
        </w:rPr>
        <w:t>Mounthaven</w:t>
      </w:r>
      <w:proofErr w:type="spellEnd"/>
      <w:r w:rsidRPr="00175A9F">
        <w:rPr>
          <w:i/>
        </w:rPr>
        <w:t xml:space="preserve"> (Pty) Ltd</w:t>
      </w:r>
      <w:r w:rsidRPr="00E26660">
        <w:t xml:space="preserve"> 2019 (4) SA 394 (CC)</w:t>
      </w:r>
      <w:r w:rsidR="00634536">
        <w:t xml:space="preserve"> (‘</w:t>
      </w:r>
      <w:proofErr w:type="spellStart"/>
      <w:r w:rsidR="00634536">
        <w:rPr>
          <w:i/>
          <w:iCs/>
        </w:rPr>
        <w:t>Ethekwini</w:t>
      </w:r>
      <w:proofErr w:type="spellEnd"/>
      <w:r w:rsidR="00634536">
        <w:t>’).</w:t>
      </w:r>
    </w:p>
  </w:footnote>
  <w:footnote w:id="44">
    <w:p w14:paraId="27920296" w14:textId="385EF0CC" w:rsidR="007E2010" w:rsidRPr="003A0ACF" w:rsidRDefault="007E2010" w:rsidP="00634536">
      <w:pPr>
        <w:pStyle w:val="FootnoteText"/>
        <w:spacing w:line="240" w:lineRule="auto"/>
        <w:jc w:val="both"/>
        <w:rPr>
          <w:lang w:val="en-US"/>
        </w:rPr>
      </w:pPr>
      <w:r w:rsidRPr="003A0ACF">
        <w:rPr>
          <w:rStyle w:val="FootnoteReference"/>
        </w:rPr>
        <w:footnoteRef/>
      </w:r>
      <w:r w:rsidRPr="003A0ACF">
        <w:t xml:space="preserve"> </w:t>
      </w:r>
      <w:proofErr w:type="spellStart"/>
      <w:r w:rsidRPr="003A0ACF">
        <w:rPr>
          <w:i/>
          <w:iCs/>
          <w:lang w:val="en-US"/>
        </w:rPr>
        <w:t>Ethekwini</w:t>
      </w:r>
      <w:proofErr w:type="spellEnd"/>
      <w:r w:rsidRPr="003A0ACF">
        <w:rPr>
          <w:i/>
          <w:iCs/>
          <w:lang w:val="en-US"/>
        </w:rPr>
        <w:t xml:space="preserve"> </w:t>
      </w:r>
      <w:r w:rsidR="00723D43">
        <w:rPr>
          <w:iCs/>
          <w:lang w:val="en-US"/>
        </w:rPr>
        <w:t>above n 43</w:t>
      </w:r>
      <w:r w:rsidR="00E26660">
        <w:rPr>
          <w:lang w:val="en-US"/>
        </w:rPr>
        <w:t xml:space="preserve"> </w:t>
      </w:r>
      <w:r w:rsidRPr="003A0ACF">
        <w:rPr>
          <w:lang w:val="en-US"/>
        </w:rPr>
        <w:t>para 8.</w:t>
      </w:r>
    </w:p>
  </w:footnote>
  <w:footnote w:id="45">
    <w:p w14:paraId="2779FF1F" w14:textId="30168666" w:rsidR="00FA5C92" w:rsidRPr="003A0ACF" w:rsidRDefault="00FA5C92" w:rsidP="00634536">
      <w:pPr>
        <w:pStyle w:val="FootnoteText"/>
        <w:spacing w:line="240" w:lineRule="auto"/>
        <w:jc w:val="both"/>
        <w:rPr>
          <w:lang w:val="en-US"/>
        </w:rPr>
      </w:pPr>
      <w:r w:rsidRPr="003A0ACF">
        <w:rPr>
          <w:rStyle w:val="FootnoteReference"/>
        </w:rPr>
        <w:footnoteRef/>
      </w:r>
      <w:r w:rsidRPr="003A0ACF">
        <w:t xml:space="preserve"> </w:t>
      </w:r>
      <w:r w:rsidRPr="003A0ACF">
        <w:rPr>
          <w:lang w:val="en-US"/>
        </w:rPr>
        <w:t>S 12(3) of the Prescription Act</w:t>
      </w:r>
      <w:r w:rsidR="00B0633D">
        <w:rPr>
          <w:lang w:val="en-US"/>
        </w:rPr>
        <w:t xml:space="preserve"> 68 of</w:t>
      </w:r>
      <w:r w:rsidRPr="003A0ACF">
        <w:rPr>
          <w:lang w:val="en-US"/>
        </w:rPr>
        <w:t xml:space="preserve"> 1969</w:t>
      </w:r>
      <w:r w:rsidR="008009A2">
        <w:rPr>
          <w:lang w:val="en-US"/>
        </w:rPr>
        <w:t xml:space="preserve"> (‘the Prescription Act’)</w:t>
      </w:r>
      <w:r w:rsidRPr="003A0ACF">
        <w:rPr>
          <w:lang w:val="en-US"/>
        </w:rPr>
        <w:t>.</w:t>
      </w:r>
      <w:r w:rsidR="00C22550" w:rsidRPr="003A0ACF">
        <w:rPr>
          <w:lang w:val="en-US"/>
        </w:rPr>
        <w:t xml:space="preserve"> </w:t>
      </w:r>
    </w:p>
  </w:footnote>
  <w:footnote w:id="46">
    <w:p w14:paraId="0E3D1ECF" w14:textId="77777777" w:rsidR="00FA5C92" w:rsidRPr="003A0ACF" w:rsidRDefault="00FA5C92" w:rsidP="003A0ACF">
      <w:pPr>
        <w:pStyle w:val="FootnoteText"/>
        <w:spacing w:line="240" w:lineRule="auto"/>
        <w:jc w:val="both"/>
        <w:rPr>
          <w:lang w:val="en-US"/>
        </w:rPr>
      </w:pPr>
      <w:r w:rsidRPr="003A0ACF">
        <w:rPr>
          <w:rStyle w:val="FootnoteReference"/>
        </w:rPr>
        <w:footnoteRef/>
      </w:r>
      <w:r w:rsidRPr="003A0ACF">
        <w:t xml:space="preserve"> See </w:t>
      </w:r>
      <w:r w:rsidRPr="003A0ACF">
        <w:rPr>
          <w:i/>
          <w:iCs/>
          <w:lang w:val="en-US"/>
        </w:rPr>
        <w:t xml:space="preserve">Natal Joint Municipal Pension Fund v </w:t>
      </w:r>
      <w:proofErr w:type="spellStart"/>
      <w:r w:rsidRPr="003A0ACF">
        <w:rPr>
          <w:i/>
          <w:iCs/>
          <w:lang w:val="en-US"/>
        </w:rPr>
        <w:t>Endumeni</w:t>
      </w:r>
      <w:proofErr w:type="spellEnd"/>
      <w:r w:rsidRPr="003A0ACF">
        <w:rPr>
          <w:i/>
          <w:iCs/>
          <w:lang w:val="en-US"/>
        </w:rPr>
        <w:t xml:space="preserve"> Municipality</w:t>
      </w:r>
      <w:r w:rsidRPr="003A0ACF">
        <w:rPr>
          <w:lang w:val="en-US"/>
        </w:rPr>
        <w:t xml:space="preserve"> [2012] 2 All SA 262; 2012 (4) SA 593 (SCA) para 8.</w:t>
      </w:r>
      <w:r w:rsidR="00C22550" w:rsidRPr="003A0ACF">
        <w:rPr>
          <w:lang w:val="en-US"/>
        </w:rPr>
        <w:t xml:space="preserve"> A debt to perform contractual obligations generally becomes due in accordance with the provisions of the contract, properly interpreted: Bradfield above n </w:t>
      </w:r>
      <w:r w:rsidR="000573D3">
        <w:rPr>
          <w:lang w:val="en-US"/>
        </w:rPr>
        <w:t>35</w:t>
      </w:r>
      <w:r w:rsidR="00C22550" w:rsidRPr="003A0ACF">
        <w:rPr>
          <w:lang w:val="en-US"/>
        </w:rPr>
        <w:t xml:space="preserve"> at 594.</w:t>
      </w:r>
    </w:p>
  </w:footnote>
  <w:footnote w:id="47">
    <w:p w14:paraId="59D396CE" w14:textId="7B61654E" w:rsidR="00FE7F38" w:rsidRPr="003A0ACF" w:rsidRDefault="00FE7F38" w:rsidP="003A0ACF">
      <w:pPr>
        <w:pStyle w:val="FootnoteText"/>
        <w:spacing w:line="240" w:lineRule="auto"/>
        <w:jc w:val="both"/>
        <w:rPr>
          <w:lang w:val="en-US"/>
        </w:rPr>
      </w:pPr>
      <w:r w:rsidRPr="003A0ACF">
        <w:rPr>
          <w:rStyle w:val="FootnoteReference"/>
        </w:rPr>
        <w:footnoteRef/>
      </w:r>
      <w:r w:rsidRPr="003A0ACF">
        <w:t xml:space="preserve"> </w:t>
      </w:r>
      <w:r w:rsidRPr="003A0ACF">
        <w:rPr>
          <w:lang w:val="en-US"/>
        </w:rPr>
        <w:t xml:space="preserve">On the benefits afforded to purchasers, and the corresponding burdens or restrictions on the rights of sellers, in terms of the Act, in general, see </w:t>
      </w:r>
      <w:r w:rsidRPr="003A0ACF">
        <w:rPr>
          <w:i/>
          <w:iCs/>
          <w:lang w:val="en-US"/>
        </w:rPr>
        <w:t>Van Niekerk and Another v Favel and Another</w:t>
      </w:r>
      <w:r w:rsidRPr="003A0ACF">
        <w:rPr>
          <w:lang w:val="en-US"/>
        </w:rPr>
        <w:t xml:space="preserve"> 2008 (3) SA 175 (SCA) para 10. As already indicated, following </w:t>
      </w:r>
      <w:r w:rsidRPr="003A0ACF">
        <w:rPr>
          <w:i/>
          <w:iCs/>
          <w:lang w:val="en-US"/>
        </w:rPr>
        <w:t>Botha</w:t>
      </w:r>
      <w:r w:rsidRPr="003A0ACF">
        <w:rPr>
          <w:lang w:val="en-US"/>
        </w:rPr>
        <w:t>, the remedy for specific performance remained available to the school notwithstanding the provisions of s 27(3) of the Act. In accordance with the general principles applicable to reciprocal obligations, an applicant claiming specific performance must perform, or, as in the present instance, tender to perform, its own reciprocal obligations: Bradfield</w:t>
      </w:r>
      <w:r w:rsidRPr="003A0ACF">
        <w:rPr>
          <w:i/>
          <w:iCs/>
          <w:lang w:val="en-US"/>
        </w:rPr>
        <w:t xml:space="preserve"> </w:t>
      </w:r>
      <w:r w:rsidRPr="003A0ACF">
        <w:rPr>
          <w:lang w:val="en-US"/>
        </w:rPr>
        <w:t xml:space="preserve">above n </w:t>
      </w:r>
      <w:r w:rsidR="00E73F0E">
        <w:rPr>
          <w:lang w:val="en-US"/>
        </w:rPr>
        <w:t>35</w:t>
      </w:r>
      <w:r w:rsidR="00FE3255">
        <w:rPr>
          <w:lang w:val="en-US"/>
        </w:rPr>
        <w:t xml:space="preserve"> at 664 and </w:t>
      </w:r>
      <w:r w:rsidRPr="003A0ACF">
        <w:rPr>
          <w:lang w:val="en-US"/>
        </w:rPr>
        <w:t>665</w:t>
      </w:r>
      <w:r w:rsidR="008350FC" w:rsidRPr="003A0ACF">
        <w:rPr>
          <w:lang w:val="en-US"/>
        </w:rPr>
        <w:t xml:space="preserve">; </w:t>
      </w:r>
      <w:proofErr w:type="spellStart"/>
      <w:r w:rsidR="008350FC" w:rsidRPr="003A0ACF">
        <w:rPr>
          <w:i/>
          <w:iCs/>
          <w:lang w:val="en-US"/>
        </w:rPr>
        <w:t>Crispette</w:t>
      </w:r>
      <w:proofErr w:type="spellEnd"/>
      <w:r w:rsidR="008350FC" w:rsidRPr="003A0ACF">
        <w:rPr>
          <w:i/>
          <w:iCs/>
          <w:lang w:val="en-US"/>
        </w:rPr>
        <w:t xml:space="preserve"> and Candy Co Ltd v Michaelis NO and Another</w:t>
      </w:r>
      <w:r w:rsidR="008350FC" w:rsidRPr="003A0ACF">
        <w:rPr>
          <w:lang w:val="en-US"/>
        </w:rPr>
        <w:t xml:space="preserve"> 1947 (4) SA 521 (A).</w:t>
      </w:r>
      <w:r w:rsidR="005C0DAB">
        <w:rPr>
          <w:lang w:val="en-US"/>
        </w:rPr>
        <w:t xml:space="preserve"> Also see Muller et al above n 9 at 484.</w:t>
      </w:r>
    </w:p>
  </w:footnote>
  <w:footnote w:id="48">
    <w:p w14:paraId="254D521A" w14:textId="180899D9" w:rsidR="0021287B" w:rsidRPr="003A0ACF" w:rsidRDefault="0021287B" w:rsidP="003A0ACF">
      <w:pPr>
        <w:pStyle w:val="FootnoteText"/>
        <w:spacing w:line="240" w:lineRule="auto"/>
        <w:jc w:val="both"/>
        <w:rPr>
          <w:lang w:val="en-US"/>
        </w:rPr>
      </w:pPr>
      <w:r w:rsidRPr="003A0ACF">
        <w:rPr>
          <w:rStyle w:val="FootnoteReference"/>
        </w:rPr>
        <w:footnoteRef/>
      </w:r>
      <w:r w:rsidRPr="003A0ACF">
        <w:t xml:space="preserve"> </w:t>
      </w:r>
      <w:r w:rsidRPr="003A0ACF">
        <w:rPr>
          <w:lang w:val="en-US"/>
        </w:rPr>
        <w:t>The Constitutional Court has upheld as a ‘fundamental principle of prescription</w:t>
      </w:r>
      <w:proofErr w:type="gramStart"/>
      <w:r w:rsidRPr="003A0ACF">
        <w:rPr>
          <w:lang w:val="en-US"/>
        </w:rPr>
        <w:t>’, and</w:t>
      </w:r>
      <w:proofErr w:type="gramEnd"/>
      <w:r w:rsidRPr="003A0ACF">
        <w:rPr>
          <w:lang w:val="en-US"/>
        </w:rPr>
        <w:t xml:space="preserve"> based on the wording of the current act in comparison to the 1943 legislation, that ‘it will begin to run only when the creditor is in a position to enforce his right in law, not necessarily when that right arises</w:t>
      </w:r>
      <w:r w:rsidR="00782356" w:rsidRPr="003A0ACF">
        <w:rPr>
          <w:lang w:val="en-US"/>
        </w:rPr>
        <w:t xml:space="preserve">: </w:t>
      </w:r>
      <w:r w:rsidR="00782356" w:rsidRPr="003A0ACF">
        <w:rPr>
          <w:i/>
          <w:iCs/>
          <w:lang w:val="en-US"/>
        </w:rPr>
        <w:t>Trinity</w:t>
      </w:r>
      <w:r w:rsidR="00782356" w:rsidRPr="003A0ACF">
        <w:rPr>
          <w:lang w:val="en-US"/>
        </w:rPr>
        <w:t xml:space="preserve"> above n </w:t>
      </w:r>
      <w:r w:rsidR="00E746E8">
        <w:rPr>
          <w:lang w:val="en-US"/>
        </w:rPr>
        <w:t>24</w:t>
      </w:r>
      <w:r w:rsidR="00782356" w:rsidRPr="003A0ACF">
        <w:rPr>
          <w:lang w:val="en-US"/>
        </w:rPr>
        <w:t xml:space="preserve"> para 40, read with paras 95, 99 and 100. The Prescription Act provides that prescription ‘shall commence to run as soon as the debt is due’, to be contrasted with the earlier legislation that prescription shall run ‘from the date on which the right of action first accrued against the debtor’:  s 5 of the Prescription Act 18 of 194</w:t>
      </w:r>
      <w:r w:rsidR="005C0DAB">
        <w:rPr>
          <w:lang w:val="en-US"/>
        </w:rPr>
        <w:t>3</w:t>
      </w:r>
      <w:r w:rsidR="00782356" w:rsidRPr="003A0ACF">
        <w:rPr>
          <w:lang w:val="en-US"/>
        </w:rPr>
        <w:t xml:space="preserve">. Also see </w:t>
      </w:r>
      <w:r w:rsidR="00782356" w:rsidRPr="003A0ACF">
        <w:rPr>
          <w:i/>
          <w:iCs/>
          <w:lang w:val="en-US"/>
        </w:rPr>
        <w:t>Phasha v Southern Metropolitan Local Council of the Greater Johannesburg Metropolitan Council</w:t>
      </w:r>
      <w:r w:rsidR="00782356" w:rsidRPr="003A0ACF">
        <w:rPr>
          <w:lang w:val="en-US"/>
        </w:rPr>
        <w:t xml:space="preserve"> 2000 (2) SA 455 (W) </w:t>
      </w:r>
      <w:r w:rsidR="0053658B">
        <w:rPr>
          <w:lang w:val="en-US"/>
        </w:rPr>
        <w:t>(‘</w:t>
      </w:r>
      <w:r w:rsidR="0053658B">
        <w:rPr>
          <w:i/>
          <w:iCs/>
          <w:lang w:val="en-US"/>
        </w:rPr>
        <w:t>Phasha</w:t>
      </w:r>
      <w:r w:rsidR="0053658B">
        <w:rPr>
          <w:lang w:val="en-US"/>
        </w:rPr>
        <w:t>’)</w:t>
      </w:r>
      <w:r w:rsidR="0053658B">
        <w:rPr>
          <w:i/>
          <w:iCs/>
          <w:lang w:val="en-US"/>
        </w:rPr>
        <w:t xml:space="preserve"> </w:t>
      </w:r>
      <w:r w:rsidR="00782356" w:rsidRPr="003A0ACF">
        <w:rPr>
          <w:lang w:val="en-US"/>
        </w:rPr>
        <w:t>at 463G</w:t>
      </w:r>
      <w:r w:rsidR="00B3517D">
        <w:rPr>
          <w:lang w:val="en-US"/>
        </w:rPr>
        <w:t>–</w:t>
      </w:r>
      <w:r w:rsidR="00782356" w:rsidRPr="003A0ACF">
        <w:rPr>
          <w:lang w:val="en-US"/>
        </w:rPr>
        <w:t>464A; 468H</w:t>
      </w:r>
      <w:r w:rsidR="00B3517D">
        <w:rPr>
          <w:lang w:val="en-US"/>
        </w:rPr>
        <w:t>–</w:t>
      </w:r>
      <w:r w:rsidR="00782356" w:rsidRPr="003A0ACF">
        <w:rPr>
          <w:lang w:val="en-US"/>
        </w:rPr>
        <w:t>469C.</w:t>
      </w:r>
      <w:r w:rsidR="00810094">
        <w:rPr>
          <w:lang w:val="en-US"/>
        </w:rPr>
        <w:t xml:space="preserve"> </w:t>
      </w:r>
      <w:r w:rsidR="00782356" w:rsidRPr="003A0ACF">
        <w:rPr>
          <w:lang w:val="en-US"/>
        </w:rPr>
        <w:t xml:space="preserve">See, for example, </w:t>
      </w:r>
      <w:proofErr w:type="spellStart"/>
      <w:r w:rsidR="00782356" w:rsidRPr="003A0ACF">
        <w:rPr>
          <w:i/>
          <w:iCs/>
          <w:lang w:val="en-US"/>
        </w:rPr>
        <w:t>Dongwe</w:t>
      </w:r>
      <w:proofErr w:type="spellEnd"/>
      <w:r w:rsidR="00782356" w:rsidRPr="003A0ACF">
        <w:rPr>
          <w:i/>
          <w:iCs/>
          <w:lang w:val="en-US"/>
        </w:rPr>
        <w:t xml:space="preserve"> NO v Slater-Kinghorn NO and Another</w:t>
      </w:r>
      <w:r w:rsidR="00782356" w:rsidRPr="003A0ACF">
        <w:rPr>
          <w:lang w:val="en-US"/>
        </w:rPr>
        <w:t xml:space="preserve"> 2009 JDR 1341 (KZP) (‘</w:t>
      </w:r>
      <w:proofErr w:type="spellStart"/>
      <w:r w:rsidR="00782356" w:rsidRPr="003A0ACF">
        <w:rPr>
          <w:i/>
          <w:iCs/>
          <w:lang w:val="en-US"/>
        </w:rPr>
        <w:t>Dongwe</w:t>
      </w:r>
      <w:proofErr w:type="spellEnd"/>
      <w:r w:rsidR="00782356" w:rsidRPr="003A0ACF">
        <w:rPr>
          <w:lang w:val="en-US"/>
        </w:rPr>
        <w:t>’)</w:t>
      </w:r>
      <w:r w:rsidR="00782356" w:rsidRPr="003A0ACF">
        <w:rPr>
          <w:i/>
          <w:iCs/>
          <w:lang w:val="en-US"/>
        </w:rPr>
        <w:t xml:space="preserve"> </w:t>
      </w:r>
      <w:r w:rsidR="00782356" w:rsidRPr="003A0ACF">
        <w:rPr>
          <w:lang w:val="en-US"/>
        </w:rPr>
        <w:t>para 2.</w:t>
      </w:r>
    </w:p>
  </w:footnote>
  <w:footnote w:id="49">
    <w:p w14:paraId="22536D30" w14:textId="71CDC776" w:rsidR="006020BB" w:rsidRPr="003A0ACF" w:rsidRDefault="006020BB" w:rsidP="003A0ACF">
      <w:pPr>
        <w:pStyle w:val="FootnoteText"/>
        <w:spacing w:line="240" w:lineRule="auto"/>
        <w:jc w:val="both"/>
        <w:rPr>
          <w:lang w:val="en-US"/>
        </w:rPr>
      </w:pPr>
      <w:r w:rsidRPr="003A0ACF">
        <w:rPr>
          <w:rStyle w:val="FootnoteReference"/>
        </w:rPr>
        <w:footnoteRef/>
      </w:r>
      <w:r w:rsidRPr="003A0ACF">
        <w:t xml:space="preserve"> </w:t>
      </w:r>
      <w:r w:rsidRPr="003A0ACF">
        <w:rPr>
          <w:lang w:val="en-US"/>
        </w:rPr>
        <w:t xml:space="preserve">See the judgment of Van den Heever J in </w:t>
      </w:r>
      <w:r w:rsidRPr="003A0ACF">
        <w:rPr>
          <w:i/>
          <w:iCs/>
          <w:lang w:val="en-US"/>
        </w:rPr>
        <w:t>Benson and Another v Walters and Others</w:t>
      </w:r>
      <w:r w:rsidRPr="003A0ACF">
        <w:rPr>
          <w:lang w:val="en-US"/>
        </w:rPr>
        <w:t xml:space="preserve"> 1981 (4) SA 42 (C)</w:t>
      </w:r>
      <w:r w:rsidR="00E43500">
        <w:rPr>
          <w:lang w:val="en-US"/>
        </w:rPr>
        <w:t xml:space="preserve"> (‘</w:t>
      </w:r>
      <w:r w:rsidR="00E43500">
        <w:rPr>
          <w:i/>
          <w:iCs/>
          <w:lang w:val="en-US"/>
        </w:rPr>
        <w:t>Benson</w:t>
      </w:r>
      <w:r w:rsidR="00E43500">
        <w:rPr>
          <w:lang w:val="en-US"/>
        </w:rPr>
        <w:t>’)</w:t>
      </w:r>
      <w:r w:rsidRPr="003A0ACF">
        <w:rPr>
          <w:lang w:val="en-US"/>
        </w:rPr>
        <w:t xml:space="preserve">, cited with approval in </w:t>
      </w:r>
      <w:r w:rsidRPr="003A0ACF">
        <w:rPr>
          <w:i/>
          <w:iCs/>
          <w:lang w:val="en-US"/>
        </w:rPr>
        <w:t xml:space="preserve">Santam Ltd v </w:t>
      </w:r>
      <w:proofErr w:type="spellStart"/>
      <w:r w:rsidRPr="003A0ACF">
        <w:rPr>
          <w:i/>
          <w:iCs/>
          <w:lang w:val="en-US"/>
        </w:rPr>
        <w:t>Ethwar</w:t>
      </w:r>
      <w:proofErr w:type="spellEnd"/>
      <w:r w:rsidRPr="003A0ACF">
        <w:rPr>
          <w:i/>
          <w:iCs/>
          <w:lang w:val="en-US"/>
        </w:rPr>
        <w:t xml:space="preserve"> </w:t>
      </w:r>
      <w:r w:rsidR="00787039">
        <w:rPr>
          <w:lang w:val="en-US"/>
        </w:rPr>
        <w:t>above n 42</w:t>
      </w:r>
      <w:r w:rsidR="00B64171" w:rsidRPr="003A0ACF">
        <w:rPr>
          <w:lang w:val="en-US"/>
        </w:rPr>
        <w:t xml:space="preserve"> at 256A</w:t>
      </w:r>
      <w:r w:rsidR="00B3517D">
        <w:rPr>
          <w:lang w:val="en-US"/>
        </w:rPr>
        <w:t>–</w:t>
      </w:r>
      <w:r w:rsidR="00B64171" w:rsidRPr="003A0ACF">
        <w:rPr>
          <w:lang w:val="en-US"/>
        </w:rPr>
        <w:t>B.</w:t>
      </w:r>
    </w:p>
  </w:footnote>
  <w:footnote w:id="50">
    <w:p w14:paraId="759097B0" w14:textId="77777777" w:rsidR="005F0EE7" w:rsidRPr="003A0ACF" w:rsidRDefault="005F0EE7" w:rsidP="003A0ACF">
      <w:pPr>
        <w:pStyle w:val="FootnoteText"/>
        <w:spacing w:line="240" w:lineRule="auto"/>
        <w:jc w:val="both"/>
        <w:rPr>
          <w:lang w:val="en-US"/>
        </w:rPr>
      </w:pPr>
      <w:r w:rsidRPr="003A0ACF">
        <w:rPr>
          <w:rStyle w:val="FootnoteReference"/>
        </w:rPr>
        <w:footnoteRef/>
      </w:r>
      <w:r w:rsidRPr="003A0ACF">
        <w:t xml:space="preserve"> </w:t>
      </w:r>
      <w:r w:rsidR="00E90DA9" w:rsidRPr="003A0ACF">
        <w:t xml:space="preserve">The SCA has confirmed that there is a difference between the coming into existence of a debt, on the one hand, and the recoverability thereof, on the other: </w:t>
      </w:r>
      <w:r w:rsidR="00E90DA9" w:rsidRPr="003A0ACF">
        <w:rPr>
          <w:i/>
          <w:iCs/>
          <w:lang w:val="en-US"/>
        </w:rPr>
        <w:t>Standard Bank of South Africa Ltd v Miracle Mile Investments 67 (Pty) Ltd</w:t>
      </w:r>
      <w:r w:rsidR="00E90DA9" w:rsidRPr="003A0ACF">
        <w:rPr>
          <w:lang w:val="en-US"/>
        </w:rPr>
        <w:t xml:space="preserve"> [2016] ZASCA 91; 2017 (1) SA 185 (SCA) para 24. </w:t>
      </w:r>
      <w:r w:rsidR="00EC200D" w:rsidRPr="003A0ACF">
        <w:rPr>
          <w:lang w:val="en-US"/>
        </w:rPr>
        <w:t xml:space="preserve">There is also authority that a debt may only be due after the occurrence of some future event: </w:t>
      </w:r>
      <w:proofErr w:type="spellStart"/>
      <w:r w:rsidR="00EC200D" w:rsidRPr="003A0ACF">
        <w:rPr>
          <w:i/>
          <w:iCs/>
          <w:lang w:val="en-US"/>
        </w:rPr>
        <w:t>Mtati</w:t>
      </w:r>
      <w:proofErr w:type="spellEnd"/>
      <w:r w:rsidR="00EC200D" w:rsidRPr="003A0ACF">
        <w:rPr>
          <w:i/>
          <w:iCs/>
          <w:lang w:val="en-US"/>
        </w:rPr>
        <w:t xml:space="preserve"> v Whitesides Attorneys </w:t>
      </w:r>
      <w:r w:rsidR="00EC200D" w:rsidRPr="003A0ACF">
        <w:rPr>
          <w:lang w:val="en-US"/>
        </w:rPr>
        <w:t xml:space="preserve">[2018] ZAECGHC 32 para 17. </w:t>
      </w:r>
      <w:r w:rsidR="0012089B" w:rsidRPr="003A0ACF">
        <w:rPr>
          <w:lang w:val="en-US"/>
        </w:rPr>
        <w:t xml:space="preserve">Based on such decisions, and the general approach in </w:t>
      </w:r>
      <w:r w:rsidR="0012089B" w:rsidRPr="003A0ACF">
        <w:rPr>
          <w:i/>
          <w:iCs/>
          <w:lang w:val="en-US"/>
        </w:rPr>
        <w:t>Botha</w:t>
      </w:r>
      <w:r w:rsidR="0012089B" w:rsidRPr="003A0ACF">
        <w:rPr>
          <w:lang w:val="en-US"/>
        </w:rPr>
        <w:t>,</w:t>
      </w:r>
      <w:r w:rsidR="0012089B" w:rsidRPr="003A0ACF">
        <w:rPr>
          <w:i/>
          <w:iCs/>
          <w:lang w:val="en-US"/>
        </w:rPr>
        <w:t xml:space="preserve"> </w:t>
      </w:r>
      <w:r w:rsidR="0061287B" w:rsidRPr="003A0ACF">
        <w:rPr>
          <w:lang w:val="en-US"/>
        </w:rPr>
        <w:t>i</w:t>
      </w:r>
      <w:r w:rsidRPr="003A0ACF">
        <w:rPr>
          <w:lang w:val="en-US"/>
        </w:rPr>
        <w:t>t may, for example, be open to argument that</w:t>
      </w:r>
      <w:r w:rsidR="00DF6B24" w:rsidRPr="003A0ACF">
        <w:rPr>
          <w:lang w:val="en-US"/>
        </w:rPr>
        <w:t xml:space="preserve"> a purchaser was not in a position to claim transfer.</w:t>
      </w:r>
      <w:r w:rsidRPr="003A0ACF">
        <w:rPr>
          <w:lang w:val="en-US"/>
        </w:rPr>
        <w:t xml:space="preserve"> </w:t>
      </w:r>
      <w:r w:rsidR="00DF6B24" w:rsidRPr="003A0ACF">
        <w:rPr>
          <w:lang w:val="en-US"/>
        </w:rPr>
        <w:t>B</w:t>
      </w:r>
      <w:r w:rsidRPr="003A0ACF">
        <w:rPr>
          <w:lang w:val="en-US"/>
        </w:rPr>
        <w:t xml:space="preserve">earing in mind the </w:t>
      </w:r>
      <w:proofErr w:type="spellStart"/>
      <w:r w:rsidRPr="003A0ACF">
        <w:rPr>
          <w:i/>
          <w:iCs/>
          <w:lang w:val="en-US"/>
        </w:rPr>
        <w:t>exceptio</w:t>
      </w:r>
      <w:proofErr w:type="spellEnd"/>
      <w:r w:rsidRPr="003A0ACF">
        <w:rPr>
          <w:i/>
          <w:iCs/>
          <w:lang w:val="en-US"/>
        </w:rPr>
        <w:t xml:space="preserve"> non </w:t>
      </w:r>
      <w:proofErr w:type="spellStart"/>
      <w:r w:rsidRPr="003A0ACF">
        <w:rPr>
          <w:i/>
          <w:iCs/>
          <w:lang w:val="en-US"/>
        </w:rPr>
        <w:t>adimpleti</w:t>
      </w:r>
      <w:proofErr w:type="spellEnd"/>
      <w:r w:rsidRPr="003A0ACF">
        <w:rPr>
          <w:i/>
          <w:iCs/>
          <w:lang w:val="en-US"/>
        </w:rPr>
        <w:t xml:space="preserve"> </w:t>
      </w:r>
      <w:proofErr w:type="spellStart"/>
      <w:r w:rsidRPr="003A0ACF">
        <w:rPr>
          <w:i/>
          <w:iCs/>
          <w:lang w:val="en-US"/>
        </w:rPr>
        <w:t>contractus</w:t>
      </w:r>
      <w:proofErr w:type="spellEnd"/>
      <w:r w:rsidRPr="003A0ACF">
        <w:rPr>
          <w:lang w:val="en-US"/>
        </w:rPr>
        <w:t xml:space="preserve">, and the specified condition of registration of a mortgage bond in s 27(1) of the Act, the debt </w:t>
      </w:r>
      <w:r w:rsidR="00DF6B24" w:rsidRPr="003A0ACF">
        <w:rPr>
          <w:lang w:val="en-US"/>
        </w:rPr>
        <w:t>would then</w:t>
      </w:r>
      <w:r w:rsidRPr="003A0ACF">
        <w:rPr>
          <w:lang w:val="en-US"/>
        </w:rPr>
        <w:t xml:space="preserve"> not</w:t>
      </w:r>
      <w:r w:rsidR="00DF6B24" w:rsidRPr="003A0ACF">
        <w:rPr>
          <w:lang w:val="en-US"/>
        </w:rPr>
        <w:t xml:space="preserve"> be</w:t>
      </w:r>
      <w:r w:rsidRPr="003A0ACF">
        <w:rPr>
          <w:lang w:val="en-US"/>
        </w:rPr>
        <w:t xml:space="preserve"> ‘due’ in terms of s 12(1) of the Prescription Act.</w:t>
      </w:r>
      <w:r w:rsidR="00E90DA9" w:rsidRPr="003A0ACF">
        <w:rPr>
          <w:lang w:val="en-US"/>
        </w:rPr>
        <w:t xml:space="preserve"> </w:t>
      </w:r>
    </w:p>
  </w:footnote>
  <w:footnote w:id="51">
    <w:p w14:paraId="47181F31" w14:textId="717CEE5F" w:rsidR="007B48B3" w:rsidRPr="003A0ACF" w:rsidRDefault="007B48B3" w:rsidP="003A0ACF">
      <w:pPr>
        <w:pStyle w:val="FootnoteText"/>
        <w:spacing w:line="240" w:lineRule="auto"/>
        <w:jc w:val="both"/>
        <w:rPr>
          <w:lang w:val="en-US"/>
        </w:rPr>
      </w:pPr>
      <w:r w:rsidRPr="003A0ACF">
        <w:rPr>
          <w:rStyle w:val="FootnoteReference"/>
        </w:rPr>
        <w:footnoteRef/>
      </w:r>
      <w:r w:rsidRPr="003A0ACF">
        <w:t xml:space="preserve"> </w:t>
      </w:r>
      <w:r w:rsidRPr="003A0ACF">
        <w:rPr>
          <w:i/>
          <w:iCs/>
          <w:lang w:val="en-US"/>
        </w:rPr>
        <w:t>Lamprecht v Lyttleton Township (Pty) Ltd</w:t>
      </w:r>
      <w:r w:rsidRPr="003A0ACF">
        <w:rPr>
          <w:lang w:val="en-US"/>
        </w:rPr>
        <w:t xml:space="preserve"> 1948 (4) SA 526 (T) at 530</w:t>
      </w:r>
      <w:r w:rsidR="00B3517D">
        <w:rPr>
          <w:lang w:val="en-US"/>
        </w:rPr>
        <w:t>–</w:t>
      </w:r>
      <w:r w:rsidRPr="003A0ACF">
        <w:rPr>
          <w:lang w:val="en-US"/>
        </w:rPr>
        <w:t>531.</w:t>
      </w:r>
      <w:r w:rsidR="006A406D">
        <w:rPr>
          <w:lang w:val="en-US"/>
        </w:rPr>
        <w:t xml:space="preserve"> Also see MM Loubser </w:t>
      </w:r>
      <w:r w:rsidR="006A406D">
        <w:rPr>
          <w:i/>
          <w:iCs/>
          <w:lang w:val="en-US"/>
        </w:rPr>
        <w:t>Extinctive Prescription</w:t>
      </w:r>
      <w:r w:rsidR="006A406D">
        <w:rPr>
          <w:lang w:val="en-US"/>
        </w:rPr>
        <w:t xml:space="preserve"> (2</w:t>
      </w:r>
      <w:r w:rsidR="006A406D" w:rsidRPr="0070377F">
        <w:rPr>
          <w:vertAlign w:val="superscript"/>
          <w:lang w:val="en-US"/>
        </w:rPr>
        <w:t>nd</w:t>
      </w:r>
      <w:r w:rsidR="006A406D">
        <w:rPr>
          <w:lang w:val="en-US"/>
        </w:rPr>
        <w:t xml:space="preserve"> Ed) (2019) at 139.</w:t>
      </w:r>
    </w:p>
  </w:footnote>
  <w:footnote w:id="52">
    <w:p w14:paraId="03717624" w14:textId="3E3EC93E" w:rsidR="002F478F" w:rsidRPr="003A0ACF" w:rsidRDefault="002F478F" w:rsidP="003A0ACF">
      <w:pPr>
        <w:pStyle w:val="FootnoteText"/>
        <w:spacing w:line="240" w:lineRule="auto"/>
        <w:jc w:val="both"/>
        <w:rPr>
          <w:lang w:val="en-US"/>
        </w:rPr>
      </w:pPr>
      <w:r w:rsidRPr="003A0ACF">
        <w:rPr>
          <w:rStyle w:val="FootnoteReference"/>
        </w:rPr>
        <w:footnoteRef/>
      </w:r>
      <w:r w:rsidRPr="003A0ACF">
        <w:t xml:space="preserve"> </w:t>
      </w:r>
      <w:r w:rsidRPr="003A0ACF">
        <w:rPr>
          <w:lang w:val="en-US"/>
        </w:rPr>
        <w:t>The benefit afforded by the section would be negated if a purchaser wa</w:t>
      </w:r>
      <w:r w:rsidR="00B3517D">
        <w:rPr>
          <w:lang w:val="en-US"/>
        </w:rPr>
        <w:t>s</w:t>
      </w:r>
      <w:r w:rsidRPr="003A0ACF">
        <w:rPr>
          <w:lang w:val="en-US"/>
        </w:rPr>
        <w:t xml:space="preserve"> not able to decide when to trigger its </w:t>
      </w:r>
      <w:proofErr w:type="gramStart"/>
      <w:r w:rsidRPr="003A0ACF">
        <w:rPr>
          <w:lang w:val="en-US"/>
        </w:rPr>
        <w:t>effect, and</w:t>
      </w:r>
      <w:proofErr w:type="gramEnd"/>
      <w:r w:rsidRPr="003A0ACF">
        <w:rPr>
          <w:lang w:val="en-US"/>
        </w:rPr>
        <w:t xml:space="preserve"> was restricted to claiming the entitlement at the moment that 50</w:t>
      </w:r>
      <w:r w:rsidR="00D8260E">
        <w:rPr>
          <w:lang w:val="en-US"/>
        </w:rPr>
        <w:t xml:space="preserve"> per cent</w:t>
      </w:r>
      <w:r w:rsidRPr="003A0ACF">
        <w:rPr>
          <w:lang w:val="en-US"/>
        </w:rPr>
        <w:t xml:space="preserve"> of the purchase price was paid. There may be various reasons for invoking the implied term at a much later point in time, for example once the purchaser was able to secure the necessary </w:t>
      </w:r>
      <w:r w:rsidR="003B5515" w:rsidRPr="003A0ACF">
        <w:rPr>
          <w:lang w:val="en-US"/>
        </w:rPr>
        <w:t>financial backing to comply with the stipulated condition of simultaneous registration of a first mortgage bond.</w:t>
      </w:r>
    </w:p>
  </w:footnote>
  <w:footnote w:id="53">
    <w:p w14:paraId="32CE06AA" w14:textId="77777777" w:rsidR="004A11FF" w:rsidRPr="003A0ACF" w:rsidRDefault="004A11FF" w:rsidP="003A0ACF">
      <w:pPr>
        <w:pStyle w:val="FootnoteText"/>
        <w:spacing w:line="240" w:lineRule="auto"/>
        <w:jc w:val="both"/>
        <w:rPr>
          <w:lang w:val="en-US"/>
        </w:rPr>
      </w:pPr>
      <w:r w:rsidRPr="003A0ACF">
        <w:rPr>
          <w:rStyle w:val="FootnoteReference"/>
        </w:rPr>
        <w:footnoteRef/>
      </w:r>
      <w:r w:rsidRPr="003A0ACF">
        <w:t xml:space="preserve"> It may be noted that the agreement included the following waiver clause</w:t>
      </w:r>
      <w:r w:rsidRPr="003A0ACF">
        <w:rPr>
          <w:lang w:val="en-US"/>
        </w:rPr>
        <w:t>: ‘No indulgence, latitude or extension of time which may be allowed by the seller to the purchaser in respect of any payment provided for herein or any matter or anything which the purchaser is bound to perform in terms hereof, shall be deemed to be a waiver of the seller’s right at any time and without any notice to require strict and punctual compliance with each provision and term hereof.’ No arguments were advanced in respect of the relevance of this, if at all, for the issues under consideration.</w:t>
      </w:r>
    </w:p>
  </w:footnote>
  <w:footnote w:id="54">
    <w:p w14:paraId="24E27B74" w14:textId="77777777" w:rsidR="00E61115" w:rsidRPr="003A0ACF" w:rsidRDefault="00E61115" w:rsidP="003A0ACF">
      <w:pPr>
        <w:pStyle w:val="FootnoteText"/>
        <w:spacing w:line="240" w:lineRule="auto"/>
        <w:jc w:val="both"/>
        <w:rPr>
          <w:lang w:val="en-US"/>
        </w:rPr>
      </w:pPr>
      <w:r w:rsidRPr="003A0ACF">
        <w:rPr>
          <w:rStyle w:val="FootnoteReference"/>
        </w:rPr>
        <w:footnoteRef/>
      </w:r>
      <w:r w:rsidRPr="003A0ACF">
        <w:t xml:space="preserve"> </w:t>
      </w:r>
      <w:r w:rsidRPr="003A0ACF">
        <w:rPr>
          <w:lang w:val="en-US"/>
        </w:rPr>
        <w:t xml:space="preserve">On the role of context, including the parties’ subsequent conduct in implementing their agreement, in interpretation of a contract, see the judgment of Wallis JA in </w:t>
      </w:r>
      <w:r w:rsidRPr="003A0ACF">
        <w:rPr>
          <w:i/>
          <w:iCs/>
          <w:lang w:val="en-US"/>
        </w:rPr>
        <w:t>Bothma-Batho Transport (</w:t>
      </w:r>
      <w:proofErr w:type="spellStart"/>
      <w:r w:rsidRPr="003A0ACF">
        <w:rPr>
          <w:i/>
          <w:iCs/>
          <w:lang w:val="en-US"/>
        </w:rPr>
        <w:t>Edms</w:t>
      </w:r>
      <w:proofErr w:type="spellEnd"/>
      <w:r w:rsidRPr="003A0ACF">
        <w:rPr>
          <w:i/>
          <w:iCs/>
          <w:lang w:val="en-US"/>
        </w:rPr>
        <w:t xml:space="preserve">) </w:t>
      </w:r>
      <w:proofErr w:type="spellStart"/>
      <w:r w:rsidRPr="003A0ACF">
        <w:rPr>
          <w:i/>
          <w:iCs/>
          <w:lang w:val="en-US"/>
        </w:rPr>
        <w:t>Bpk</w:t>
      </w:r>
      <w:proofErr w:type="spellEnd"/>
      <w:r w:rsidRPr="003A0ACF">
        <w:rPr>
          <w:i/>
          <w:iCs/>
          <w:lang w:val="en-US"/>
        </w:rPr>
        <w:t xml:space="preserve"> v S Bothma </w:t>
      </w:r>
      <w:proofErr w:type="spellStart"/>
      <w:r w:rsidRPr="003A0ACF">
        <w:rPr>
          <w:i/>
          <w:iCs/>
          <w:lang w:val="en-US"/>
        </w:rPr>
        <w:t>en</w:t>
      </w:r>
      <w:proofErr w:type="spellEnd"/>
      <w:r w:rsidRPr="003A0ACF">
        <w:rPr>
          <w:i/>
          <w:iCs/>
          <w:lang w:val="en-US"/>
        </w:rPr>
        <w:t xml:space="preserve"> Seun Transports (</w:t>
      </w:r>
      <w:proofErr w:type="spellStart"/>
      <w:r w:rsidRPr="003A0ACF">
        <w:rPr>
          <w:i/>
          <w:iCs/>
          <w:lang w:val="en-US"/>
        </w:rPr>
        <w:t>Edms</w:t>
      </w:r>
      <w:proofErr w:type="spellEnd"/>
      <w:r w:rsidRPr="003A0ACF">
        <w:rPr>
          <w:i/>
          <w:iCs/>
          <w:lang w:val="en-US"/>
        </w:rPr>
        <w:t xml:space="preserve">) </w:t>
      </w:r>
      <w:proofErr w:type="spellStart"/>
      <w:r w:rsidRPr="003A0ACF">
        <w:rPr>
          <w:i/>
          <w:iCs/>
          <w:lang w:val="en-US"/>
        </w:rPr>
        <w:t>Bpk</w:t>
      </w:r>
      <w:proofErr w:type="spellEnd"/>
      <w:r w:rsidRPr="003A0ACF">
        <w:rPr>
          <w:lang w:val="en-US"/>
        </w:rPr>
        <w:t xml:space="preserve"> [2013] ZASCA 176; 2014 (2) SA 494 (SCA); [2014] 1 All SA 517 (SCA) para 12 and </w:t>
      </w:r>
      <w:proofErr w:type="spellStart"/>
      <w:r w:rsidRPr="003A0ACF">
        <w:rPr>
          <w:i/>
          <w:iCs/>
          <w:lang w:val="en-US"/>
        </w:rPr>
        <w:t>Comwezi</w:t>
      </w:r>
      <w:proofErr w:type="spellEnd"/>
      <w:r w:rsidRPr="003A0ACF">
        <w:rPr>
          <w:i/>
          <w:iCs/>
          <w:lang w:val="en-US"/>
        </w:rPr>
        <w:t xml:space="preserve"> Security Services (Pty) Ltd and Another v Cape Empowerment Trust Ltd</w:t>
      </w:r>
      <w:r w:rsidRPr="003A0ACF">
        <w:rPr>
          <w:lang w:val="en-US"/>
        </w:rPr>
        <w:t xml:space="preserve"> [2012] ZASCA 126 para 15.</w:t>
      </w:r>
    </w:p>
  </w:footnote>
  <w:footnote w:id="55">
    <w:p w14:paraId="1FA6E6DC" w14:textId="62D38C91" w:rsidR="00D92DF1" w:rsidRPr="003A0ACF" w:rsidRDefault="00D92DF1" w:rsidP="003A0ACF">
      <w:pPr>
        <w:pStyle w:val="FootnoteText"/>
        <w:spacing w:line="240" w:lineRule="auto"/>
        <w:jc w:val="both"/>
        <w:rPr>
          <w:lang w:val="en-US"/>
        </w:rPr>
      </w:pPr>
      <w:r w:rsidRPr="003A0ACF">
        <w:rPr>
          <w:rStyle w:val="FootnoteReference"/>
        </w:rPr>
        <w:footnoteRef/>
      </w:r>
      <w:r w:rsidRPr="003A0ACF">
        <w:t xml:space="preserve"> </w:t>
      </w:r>
      <w:r w:rsidRPr="003A0ACF">
        <w:rPr>
          <w:lang w:val="en-US"/>
        </w:rPr>
        <w:t xml:space="preserve">S 14(2) provides: ‘If the running of prescription is interrupted as contemplated in subsection (1), prescription shall commence to run </w:t>
      </w:r>
      <w:proofErr w:type="spellStart"/>
      <w:r w:rsidRPr="003A0ACF">
        <w:rPr>
          <w:lang w:val="en-US"/>
        </w:rPr>
        <w:t>afresh</w:t>
      </w:r>
      <w:proofErr w:type="spellEnd"/>
      <w:r w:rsidRPr="003A0ACF">
        <w:rPr>
          <w:lang w:val="en-US"/>
        </w:rPr>
        <w:t xml:space="preserve"> from the day on which the interruption takes place or, if at the time of the interruption or at any time thereafter the parties postpone the due date of the debt, from the date upon which the debt again becomes due.’ </w:t>
      </w:r>
      <w:r w:rsidR="00EC0B74">
        <w:rPr>
          <w:lang w:val="en-US"/>
        </w:rPr>
        <w:t>See Loubser above n 5</w:t>
      </w:r>
      <w:r w:rsidR="006836E1">
        <w:rPr>
          <w:lang w:val="en-US"/>
        </w:rPr>
        <w:t>1</w:t>
      </w:r>
      <w:r w:rsidR="00EC0B74">
        <w:rPr>
          <w:lang w:val="en-US"/>
        </w:rPr>
        <w:t xml:space="preserve"> at 225.</w:t>
      </w:r>
    </w:p>
  </w:footnote>
  <w:footnote w:id="56">
    <w:p w14:paraId="60F357F7" w14:textId="15281E3E" w:rsidR="00D92DF1" w:rsidRPr="003A0ACF" w:rsidRDefault="00D92DF1" w:rsidP="003A0ACF">
      <w:pPr>
        <w:pStyle w:val="FootnoteText"/>
        <w:spacing w:line="240" w:lineRule="auto"/>
        <w:jc w:val="both"/>
        <w:rPr>
          <w:lang w:val="en-US"/>
        </w:rPr>
      </w:pPr>
      <w:r w:rsidRPr="003A0ACF">
        <w:rPr>
          <w:rStyle w:val="FootnoteReference"/>
        </w:rPr>
        <w:footnoteRef/>
      </w:r>
      <w:r w:rsidRPr="003A0ACF">
        <w:t xml:space="preserve"> </w:t>
      </w:r>
      <w:r w:rsidRPr="003A0ACF">
        <w:rPr>
          <w:i/>
          <w:iCs/>
          <w:lang w:val="en-US"/>
        </w:rPr>
        <w:t xml:space="preserve">Cape Town Municipality v Allie NO </w:t>
      </w:r>
      <w:r w:rsidRPr="003A0ACF">
        <w:rPr>
          <w:lang w:val="en-US"/>
        </w:rPr>
        <w:t>1981 (2) SA 1 (C) at 5G</w:t>
      </w:r>
      <w:r w:rsidR="00B3517D">
        <w:rPr>
          <w:lang w:val="en-US"/>
        </w:rPr>
        <w:t>–</w:t>
      </w:r>
      <w:r w:rsidRPr="003A0ACF">
        <w:rPr>
          <w:lang w:val="en-US"/>
        </w:rPr>
        <w:t xml:space="preserve">H, cited with approval in </w:t>
      </w:r>
      <w:r w:rsidRPr="003A0ACF">
        <w:rPr>
          <w:i/>
          <w:iCs/>
          <w:lang w:val="en-US"/>
        </w:rPr>
        <w:t xml:space="preserve">Investec Bank Limited v Erf 436 </w:t>
      </w:r>
      <w:proofErr w:type="spellStart"/>
      <w:r w:rsidRPr="003A0ACF">
        <w:rPr>
          <w:i/>
          <w:iCs/>
          <w:lang w:val="en-US"/>
        </w:rPr>
        <w:t>Elandspoort</w:t>
      </w:r>
      <w:proofErr w:type="spellEnd"/>
      <w:r w:rsidRPr="003A0ACF">
        <w:rPr>
          <w:i/>
          <w:iCs/>
          <w:lang w:val="en-US"/>
        </w:rPr>
        <w:t xml:space="preserve"> (Pty) Ltd and Others </w:t>
      </w:r>
      <w:r w:rsidRPr="003A0ACF">
        <w:rPr>
          <w:lang w:val="en-US"/>
        </w:rPr>
        <w:t>[2020] ZASCA 104 (‘</w:t>
      </w:r>
      <w:r w:rsidRPr="003A0ACF">
        <w:rPr>
          <w:i/>
          <w:iCs/>
          <w:lang w:val="en-US"/>
        </w:rPr>
        <w:t>Investec</w:t>
      </w:r>
      <w:r w:rsidRPr="003A0ACF">
        <w:rPr>
          <w:lang w:val="en-US"/>
        </w:rPr>
        <w:t>’)</w:t>
      </w:r>
      <w:r w:rsidR="00B77A80">
        <w:rPr>
          <w:lang w:val="en-US"/>
        </w:rPr>
        <w:t xml:space="preserve">; </w:t>
      </w:r>
      <w:r w:rsidR="00B77A80" w:rsidRPr="00B77A80">
        <w:rPr>
          <w:lang w:val="en-US"/>
        </w:rPr>
        <w:t>2021 (1) SA 28 (SCA)</w:t>
      </w:r>
      <w:r w:rsidRPr="003A0ACF">
        <w:rPr>
          <w:lang w:val="en-US"/>
        </w:rPr>
        <w:t xml:space="preserve"> para 29.</w:t>
      </w:r>
    </w:p>
  </w:footnote>
  <w:footnote w:id="57">
    <w:p w14:paraId="72829AF5" w14:textId="55C1FEE0" w:rsidR="004B6A93" w:rsidRPr="003A0ACF" w:rsidRDefault="004B6A93" w:rsidP="003A0ACF">
      <w:pPr>
        <w:pStyle w:val="FootnoteText"/>
        <w:spacing w:line="240" w:lineRule="auto"/>
        <w:jc w:val="both"/>
        <w:rPr>
          <w:lang w:val="en-US"/>
        </w:rPr>
      </w:pPr>
      <w:r w:rsidRPr="003A0ACF">
        <w:rPr>
          <w:rStyle w:val="FootnoteReference"/>
        </w:rPr>
        <w:footnoteRef/>
      </w:r>
      <w:r w:rsidRPr="003A0ACF">
        <w:t xml:space="preserve"> </w:t>
      </w:r>
      <w:r w:rsidRPr="003A0ACF">
        <w:rPr>
          <w:i/>
          <w:iCs/>
          <w:lang w:val="en-US"/>
        </w:rPr>
        <w:t>Benson</w:t>
      </w:r>
      <w:r w:rsidRPr="003A0ACF">
        <w:rPr>
          <w:lang w:val="en-US"/>
        </w:rPr>
        <w:t xml:space="preserve"> above n </w:t>
      </w:r>
      <w:r w:rsidR="00EE1C5E">
        <w:rPr>
          <w:lang w:val="en-US"/>
        </w:rPr>
        <w:t>4</w:t>
      </w:r>
      <w:r w:rsidR="00CF463C">
        <w:rPr>
          <w:lang w:val="en-US"/>
        </w:rPr>
        <w:t>9</w:t>
      </w:r>
      <w:r w:rsidRPr="003A0ACF">
        <w:rPr>
          <w:lang w:val="en-US"/>
        </w:rPr>
        <w:t xml:space="preserve"> at 50F</w:t>
      </w:r>
      <w:r w:rsidR="00B3517D">
        <w:rPr>
          <w:lang w:val="en-US"/>
        </w:rPr>
        <w:t>–</w:t>
      </w:r>
      <w:r w:rsidRPr="003A0ACF">
        <w:rPr>
          <w:lang w:val="en-US"/>
        </w:rPr>
        <w:t>H.</w:t>
      </w:r>
    </w:p>
  </w:footnote>
  <w:footnote w:id="58">
    <w:p w14:paraId="177FAF5A" w14:textId="16392A59" w:rsidR="004B6A93" w:rsidRPr="003A0ACF" w:rsidRDefault="004B6A93" w:rsidP="003A0ACF">
      <w:pPr>
        <w:pStyle w:val="FootnoteText"/>
        <w:spacing w:line="240" w:lineRule="auto"/>
        <w:jc w:val="both"/>
        <w:rPr>
          <w:lang w:val="en-US"/>
        </w:rPr>
      </w:pPr>
      <w:r w:rsidRPr="003A0ACF">
        <w:rPr>
          <w:rStyle w:val="FootnoteReference"/>
        </w:rPr>
        <w:footnoteRef/>
      </w:r>
      <w:r w:rsidRPr="003A0ACF">
        <w:t xml:space="preserve"> </w:t>
      </w:r>
      <w:r w:rsidRPr="003A0ACF">
        <w:rPr>
          <w:lang w:val="en-US"/>
        </w:rPr>
        <w:t xml:space="preserve">On the importance of context, see </w:t>
      </w:r>
      <w:r w:rsidRPr="003A0ACF">
        <w:rPr>
          <w:i/>
          <w:iCs/>
          <w:lang w:val="en-US"/>
        </w:rPr>
        <w:t>Investec</w:t>
      </w:r>
      <w:r w:rsidRPr="003A0ACF">
        <w:rPr>
          <w:lang w:val="en-US"/>
        </w:rPr>
        <w:t xml:space="preserve"> above n </w:t>
      </w:r>
      <w:r w:rsidR="002876EA">
        <w:rPr>
          <w:lang w:val="en-US"/>
        </w:rPr>
        <w:t>5</w:t>
      </w:r>
      <w:r w:rsidR="00CF463C">
        <w:rPr>
          <w:lang w:val="en-US"/>
        </w:rPr>
        <w:t>6</w:t>
      </w:r>
      <w:r w:rsidR="002876EA">
        <w:rPr>
          <w:lang w:val="en-US"/>
        </w:rPr>
        <w:t xml:space="preserve"> </w:t>
      </w:r>
      <w:r w:rsidRPr="003A0ACF">
        <w:rPr>
          <w:lang w:val="en-US"/>
        </w:rPr>
        <w:t>para 43.</w:t>
      </w:r>
    </w:p>
  </w:footnote>
  <w:footnote w:id="59">
    <w:p w14:paraId="1876DD66" w14:textId="28F48DE7" w:rsidR="00D92DF1" w:rsidRPr="003A0ACF" w:rsidRDefault="00D92DF1" w:rsidP="003A0ACF">
      <w:pPr>
        <w:pStyle w:val="FootnoteText"/>
        <w:spacing w:line="240" w:lineRule="auto"/>
        <w:jc w:val="both"/>
        <w:rPr>
          <w:lang w:val="en-US"/>
        </w:rPr>
      </w:pPr>
      <w:r w:rsidRPr="003A0ACF">
        <w:rPr>
          <w:rStyle w:val="FootnoteReference"/>
        </w:rPr>
        <w:footnoteRef/>
      </w:r>
      <w:r w:rsidRPr="003A0ACF">
        <w:t xml:space="preserve"> </w:t>
      </w:r>
      <w:r w:rsidRPr="003A0ACF">
        <w:rPr>
          <w:lang w:val="en-US"/>
        </w:rPr>
        <w:t xml:space="preserve">See </w:t>
      </w:r>
      <w:r w:rsidRPr="003A0ACF">
        <w:rPr>
          <w:i/>
          <w:iCs/>
          <w:lang w:val="en-US"/>
        </w:rPr>
        <w:t>Investec</w:t>
      </w:r>
      <w:r w:rsidRPr="003A0ACF">
        <w:rPr>
          <w:lang w:val="en-US"/>
        </w:rPr>
        <w:t xml:space="preserve"> above n </w:t>
      </w:r>
      <w:r w:rsidR="00675F2A">
        <w:rPr>
          <w:lang w:val="en-US"/>
        </w:rPr>
        <w:t>5</w:t>
      </w:r>
      <w:r w:rsidR="00C70101">
        <w:rPr>
          <w:lang w:val="en-US"/>
        </w:rPr>
        <w:t>6</w:t>
      </w:r>
      <w:r w:rsidRPr="003A0ACF">
        <w:rPr>
          <w:lang w:val="en-US"/>
        </w:rPr>
        <w:t xml:space="preserve"> para 33.</w:t>
      </w:r>
    </w:p>
  </w:footnote>
  <w:footnote w:id="60">
    <w:p w14:paraId="23185365" w14:textId="6D871BA6" w:rsidR="000572F6" w:rsidRPr="003A0ACF" w:rsidRDefault="000572F6" w:rsidP="003A0ACF">
      <w:pPr>
        <w:pStyle w:val="FootnoteText"/>
        <w:spacing w:line="240" w:lineRule="auto"/>
        <w:jc w:val="both"/>
        <w:rPr>
          <w:lang w:val="en-US"/>
        </w:rPr>
      </w:pPr>
      <w:r w:rsidRPr="003A0ACF">
        <w:rPr>
          <w:rStyle w:val="FootnoteReference"/>
        </w:rPr>
        <w:footnoteRef/>
      </w:r>
      <w:r w:rsidRPr="003A0ACF">
        <w:t xml:space="preserve"> </w:t>
      </w:r>
      <w:proofErr w:type="spellStart"/>
      <w:r w:rsidRPr="003A0ACF">
        <w:rPr>
          <w:i/>
          <w:iCs/>
          <w:lang w:val="en-US"/>
        </w:rPr>
        <w:t>Dongwe</w:t>
      </w:r>
      <w:proofErr w:type="spellEnd"/>
      <w:r w:rsidRPr="003A0ACF">
        <w:rPr>
          <w:lang w:val="en-US"/>
        </w:rPr>
        <w:t xml:space="preserve"> above n </w:t>
      </w:r>
      <w:r w:rsidR="00675F2A">
        <w:rPr>
          <w:lang w:val="en-US"/>
        </w:rPr>
        <w:t>4</w:t>
      </w:r>
      <w:r w:rsidR="00C70101">
        <w:rPr>
          <w:lang w:val="en-US"/>
        </w:rPr>
        <w:t>8</w:t>
      </w:r>
      <w:r w:rsidRPr="003A0ACF">
        <w:rPr>
          <w:lang w:val="en-US"/>
        </w:rPr>
        <w:t xml:space="preserve"> para 27, and the authorities cited there.</w:t>
      </w:r>
    </w:p>
  </w:footnote>
  <w:footnote w:id="61">
    <w:p w14:paraId="77440C26" w14:textId="77777777" w:rsidR="00DF6CAD" w:rsidRPr="003A0ACF" w:rsidRDefault="00DF6CAD" w:rsidP="003A0ACF">
      <w:pPr>
        <w:pStyle w:val="FootnoteText"/>
        <w:spacing w:line="240" w:lineRule="auto"/>
        <w:jc w:val="both"/>
        <w:rPr>
          <w:lang w:val="en-US"/>
        </w:rPr>
      </w:pPr>
      <w:r w:rsidRPr="003A0ACF">
        <w:rPr>
          <w:rStyle w:val="FootnoteReference"/>
        </w:rPr>
        <w:footnoteRef/>
      </w:r>
      <w:r w:rsidRPr="003A0ACF">
        <w:t xml:space="preserve"> </w:t>
      </w:r>
      <w:r w:rsidRPr="003A0ACF">
        <w:rPr>
          <w:lang w:val="en-US"/>
        </w:rPr>
        <w:t xml:space="preserve">Bradfield above n </w:t>
      </w:r>
      <w:r w:rsidR="0053658B">
        <w:rPr>
          <w:lang w:val="en-US"/>
        </w:rPr>
        <w:t>35</w:t>
      </w:r>
      <w:r w:rsidRPr="003A0ACF">
        <w:rPr>
          <w:lang w:val="en-US"/>
        </w:rPr>
        <w:t xml:space="preserve"> at 595.</w:t>
      </w:r>
    </w:p>
  </w:footnote>
  <w:footnote w:id="62">
    <w:p w14:paraId="0893126E" w14:textId="4DB84B68" w:rsidR="00DF6CAD" w:rsidRPr="003A0ACF" w:rsidRDefault="00DF6CAD" w:rsidP="003A0ACF">
      <w:pPr>
        <w:pStyle w:val="FootnoteText"/>
        <w:spacing w:line="240" w:lineRule="auto"/>
        <w:jc w:val="both"/>
        <w:rPr>
          <w:lang w:val="en-US"/>
        </w:rPr>
      </w:pPr>
      <w:r w:rsidRPr="003A0ACF">
        <w:rPr>
          <w:rStyle w:val="FootnoteReference"/>
        </w:rPr>
        <w:footnoteRef/>
      </w:r>
      <w:r w:rsidRPr="003A0ACF">
        <w:t xml:space="preserve"> </w:t>
      </w:r>
      <w:r w:rsidRPr="003A0ACF">
        <w:rPr>
          <w:i/>
          <w:iCs/>
          <w:lang w:val="en-US"/>
        </w:rPr>
        <w:t>Standard Bank v Miracle Mile Investments</w:t>
      </w:r>
      <w:r w:rsidRPr="003A0ACF">
        <w:rPr>
          <w:lang w:val="en-US"/>
        </w:rPr>
        <w:t xml:space="preserve"> [201</w:t>
      </w:r>
      <w:r w:rsidR="00C044EE">
        <w:rPr>
          <w:lang w:val="en-US"/>
        </w:rPr>
        <w:t>6</w:t>
      </w:r>
      <w:r w:rsidRPr="003A0ACF">
        <w:rPr>
          <w:lang w:val="en-US"/>
        </w:rPr>
        <w:t>] ZASCA 91</w:t>
      </w:r>
      <w:r w:rsidR="00F130E7">
        <w:rPr>
          <w:lang w:val="en-US"/>
        </w:rPr>
        <w:t xml:space="preserve">; </w:t>
      </w:r>
      <w:r w:rsidR="00F130E7" w:rsidRPr="00F130E7">
        <w:rPr>
          <w:lang w:val="en-US"/>
        </w:rPr>
        <w:t>[2016] 3 All SA 487 (SCA); 2017 (1) SA 185 (SCA)</w:t>
      </w:r>
      <w:r w:rsidRPr="003A0ACF">
        <w:rPr>
          <w:lang w:val="en-US"/>
        </w:rPr>
        <w:t xml:space="preserve"> para 24. A debt is due when the creditor acquires a complete cause of action for the recovery of the debt, </w:t>
      </w:r>
      <w:r w:rsidR="00F130E7" w:rsidRPr="003A0ACF">
        <w:rPr>
          <w:lang w:val="en-US"/>
        </w:rPr>
        <w:t>i.e.</w:t>
      </w:r>
      <w:r w:rsidRPr="003A0ACF">
        <w:rPr>
          <w:lang w:val="en-US"/>
        </w:rPr>
        <w:t xml:space="preserve"> when the entire set of facts which the creditor must prove in order to succeed with their claim against the debtor is in place or, in other words, when everything has happened which would entitle the creditor to institute action and to pursue their claim: </w:t>
      </w:r>
      <w:r w:rsidRPr="003A0ACF">
        <w:rPr>
          <w:i/>
          <w:iCs/>
          <w:lang w:val="en-US"/>
        </w:rPr>
        <w:t xml:space="preserve">Truter and Another v </w:t>
      </w:r>
      <w:proofErr w:type="spellStart"/>
      <w:r w:rsidRPr="003A0ACF">
        <w:rPr>
          <w:i/>
          <w:iCs/>
          <w:lang w:val="en-US"/>
        </w:rPr>
        <w:t>Deysel</w:t>
      </w:r>
      <w:proofErr w:type="spellEnd"/>
      <w:r w:rsidRPr="003A0ACF">
        <w:rPr>
          <w:lang w:val="en-US"/>
        </w:rPr>
        <w:t xml:space="preserve"> [2006] ZASCA 16; 2006 (4) SA 168 (SCA) para 16.</w:t>
      </w:r>
    </w:p>
  </w:footnote>
  <w:footnote w:id="63">
    <w:p w14:paraId="0D36CCEC" w14:textId="77777777" w:rsidR="00DF6CAD" w:rsidRPr="003A0ACF" w:rsidRDefault="00DF6CAD" w:rsidP="003A0ACF">
      <w:pPr>
        <w:pStyle w:val="FootnoteText"/>
        <w:spacing w:line="240" w:lineRule="auto"/>
        <w:jc w:val="both"/>
        <w:rPr>
          <w:lang w:val="en-US"/>
        </w:rPr>
      </w:pPr>
      <w:r w:rsidRPr="003A0ACF">
        <w:rPr>
          <w:rStyle w:val="FootnoteReference"/>
        </w:rPr>
        <w:footnoteRef/>
      </w:r>
      <w:r w:rsidRPr="003A0ACF">
        <w:t xml:space="preserve"> </w:t>
      </w:r>
      <w:r w:rsidRPr="003A0ACF">
        <w:rPr>
          <w:i/>
          <w:iCs/>
        </w:rPr>
        <w:t>BBS Empangeni (formerly ZTC Cashbuild CC) v Phoenix Industrial Park (Pty) Ltd and Another</w:t>
      </w:r>
      <w:r w:rsidRPr="003A0ACF">
        <w:t xml:space="preserve"> [2011] ZAKZDHC 1 para 11.2. Also see </w:t>
      </w:r>
      <w:proofErr w:type="spellStart"/>
      <w:r w:rsidRPr="003A0ACF">
        <w:rPr>
          <w:i/>
          <w:iCs/>
        </w:rPr>
        <w:t>Dongwe</w:t>
      </w:r>
      <w:proofErr w:type="spellEnd"/>
      <w:r w:rsidRPr="003A0ACF">
        <w:t xml:space="preserve"> above n </w:t>
      </w:r>
      <w:r w:rsidR="00675F2A">
        <w:t>47</w:t>
      </w:r>
      <w:r w:rsidRPr="003A0ACF">
        <w:t xml:space="preserve"> para 32: the claim for transfer is enforceable as soon as a tender of payment can be made, but prescription will not set in until the reciprocal claim for payment of the instalments has prescribed.</w:t>
      </w:r>
    </w:p>
  </w:footnote>
  <w:footnote w:id="64">
    <w:p w14:paraId="0A602DBD" w14:textId="6D4BAC6D" w:rsidR="00EF7DDD" w:rsidRPr="003A0ACF" w:rsidRDefault="00EF7DDD" w:rsidP="003A0ACF">
      <w:pPr>
        <w:pStyle w:val="FootnoteText"/>
        <w:spacing w:line="240" w:lineRule="auto"/>
        <w:jc w:val="both"/>
        <w:rPr>
          <w:lang w:val="en-US"/>
        </w:rPr>
      </w:pPr>
      <w:r w:rsidRPr="003A0ACF">
        <w:rPr>
          <w:rStyle w:val="FootnoteReference"/>
        </w:rPr>
        <w:footnoteRef/>
      </w:r>
      <w:r w:rsidRPr="003A0ACF">
        <w:t xml:space="preserve"> </w:t>
      </w:r>
      <w:r w:rsidRPr="003A0ACF">
        <w:rPr>
          <w:lang w:val="en-US"/>
        </w:rPr>
        <w:t xml:space="preserve">See </w:t>
      </w:r>
      <w:r w:rsidRPr="003A0ACF">
        <w:rPr>
          <w:i/>
          <w:iCs/>
          <w:lang w:val="en-US"/>
        </w:rPr>
        <w:t xml:space="preserve">Benson </w:t>
      </w:r>
      <w:r w:rsidR="00675F2A">
        <w:rPr>
          <w:lang w:val="en-US"/>
        </w:rPr>
        <w:t xml:space="preserve">above </w:t>
      </w:r>
      <w:proofErr w:type="spellStart"/>
      <w:r w:rsidR="00675F2A">
        <w:rPr>
          <w:lang w:val="en-US"/>
        </w:rPr>
        <w:t>n</w:t>
      </w:r>
      <w:proofErr w:type="spellEnd"/>
      <w:r w:rsidR="00675F2A">
        <w:rPr>
          <w:lang w:val="en-US"/>
        </w:rPr>
        <w:t xml:space="preserve"> 48 </w:t>
      </w:r>
      <w:r w:rsidRPr="003A0ACF">
        <w:rPr>
          <w:lang w:val="en-US"/>
        </w:rPr>
        <w:t xml:space="preserve">and the authorities cited therein, as cited in </w:t>
      </w:r>
      <w:r w:rsidRPr="003A0ACF">
        <w:rPr>
          <w:i/>
          <w:iCs/>
          <w:lang w:val="en-US"/>
        </w:rPr>
        <w:t>Phasha</w:t>
      </w:r>
      <w:r w:rsidRPr="003A0ACF">
        <w:rPr>
          <w:lang w:val="en-US"/>
        </w:rPr>
        <w:t xml:space="preserve"> above n </w:t>
      </w:r>
      <w:r w:rsidR="006908C7">
        <w:rPr>
          <w:lang w:val="en-US"/>
        </w:rPr>
        <w:t>47</w:t>
      </w:r>
      <w:r w:rsidRPr="003A0ACF">
        <w:rPr>
          <w:lang w:val="en-US"/>
        </w:rPr>
        <w:t xml:space="preserve"> at 469E</w:t>
      </w:r>
      <w:r w:rsidR="00B3517D">
        <w:rPr>
          <w:lang w:val="en-US"/>
        </w:rPr>
        <w:t>–</w:t>
      </w:r>
      <w:r w:rsidRPr="003A0ACF">
        <w:rPr>
          <w:lang w:val="en-US"/>
        </w:rPr>
        <w:t>470A.</w:t>
      </w:r>
    </w:p>
  </w:footnote>
  <w:footnote w:id="65">
    <w:p w14:paraId="26C76163" w14:textId="77777777" w:rsidR="00340556" w:rsidRPr="003A0ACF" w:rsidRDefault="00340556" w:rsidP="003A0ACF">
      <w:pPr>
        <w:pStyle w:val="FootnoteText"/>
        <w:spacing w:line="240" w:lineRule="auto"/>
        <w:jc w:val="both"/>
        <w:rPr>
          <w:lang w:val="en-US"/>
        </w:rPr>
      </w:pPr>
      <w:r w:rsidRPr="003A0ACF">
        <w:rPr>
          <w:rStyle w:val="FootnoteReference"/>
        </w:rPr>
        <w:footnoteRef/>
      </w:r>
      <w:r w:rsidRPr="003A0ACF">
        <w:t xml:space="preserve"> </w:t>
      </w:r>
      <w:r w:rsidRPr="003A0ACF">
        <w:rPr>
          <w:i/>
          <w:iCs/>
          <w:lang w:val="en-US"/>
        </w:rPr>
        <w:t xml:space="preserve">Macleod v </w:t>
      </w:r>
      <w:proofErr w:type="spellStart"/>
      <w:r w:rsidRPr="003A0ACF">
        <w:rPr>
          <w:i/>
          <w:iCs/>
          <w:lang w:val="en-US"/>
        </w:rPr>
        <w:t>Kweyiya</w:t>
      </w:r>
      <w:proofErr w:type="spellEnd"/>
      <w:r w:rsidRPr="003A0ACF">
        <w:rPr>
          <w:i/>
          <w:iCs/>
          <w:lang w:val="en-US"/>
        </w:rPr>
        <w:t xml:space="preserve"> </w:t>
      </w:r>
      <w:r w:rsidR="000375D9" w:rsidRPr="00175A9F">
        <w:rPr>
          <w:iCs/>
          <w:lang w:val="en-US"/>
        </w:rPr>
        <w:t>[2013] ZASCA 28</w:t>
      </w:r>
      <w:r w:rsidR="000375D9" w:rsidRPr="000375D9">
        <w:rPr>
          <w:i/>
          <w:iCs/>
          <w:lang w:val="en-US"/>
        </w:rPr>
        <w:t>;</w:t>
      </w:r>
      <w:r w:rsidR="000375D9">
        <w:rPr>
          <w:i/>
          <w:iCs/>
          <w:lang w:val="en-US"/>
        </w:rPr>
        <w:t xml:space="preserve"> </w:t>
      </w:r>
      <w:r w:rsidRPr="003A0ACF">
        <w:rPr>
          <w:lang w:val="en-US"/>
        </w:rPr>
        <w:t>2013 (6) SA 1 (SCA) para 13.</w:t>
      </w:r>
    </w:p>
  </w:footnote>
  <w:footnote w:id="66">
    <w:p w14:paraId="49EFCF82" w14:textId="35F58891" w:rsidR="00EF7DDD" w:rsidRPr="003A0ACF" w:rsidRDefault="00EF7DDD" w:rsidP="003A0ACF">
      <w:pPr>
        <w:pStyle w:val="FootnoteText"/>
        <w:spacing w:line="240" w:lineRule="auto"/>
        <w:jc w:val="both"/>
        <w:rPr>
          <w:lang w:val="en-US"/>
        </w:rPr>
      </w:pPr>
      <w:r w:rsidRPr="003A0ACF">
        <w:rPr>
          <w:rStyle w:val="FootnoteReference"/>
        </w:rPr>
        <w:footnoteRef/>
      </w:r>
      <w:r w:rsidRPr="003A0ACF">
        <w:t xml:space="preserve"> </w:t>
      </w:r>
      <w:r w:rsidRPr="003A0ACF">
        <w:rPr>
          <w:lang w:val="en-US"/>
        </w:rPr>
        <w:t xml:space="preserve">See </w:t>
      </w:r>
      <w:r w:rsidRPr="003A0ACF">
        <w:rPr>
          <w:i/>
          <w:iCs/>
          <w:lang w:val="en-US"/>
        </w:rPr>
        <w:t>Uitenhage Municipality v Molloy</w:t>
      </w:r>
      <w:r w:rsidRPr="003A0ACF">
        <w:rPr>
          <w:lang w:val="en-US"/>
        </w:rPr>
        <w:t xml:space="preserve"> </w:t>
      </w:r>
      <w:r w:rsidR="00D15BDB" w:rsidRPr="00D15BDB">
        <w:rPr>
          <w:lang w:val="en-US"/>
        </w:rPr>
        <w:t>[1997] ZASCA 112</w:t>
      </w:r>
      <w:proofErr w:type="gramStart"/>
      <w:r w:rsidR="00D15BDB" w:rsidRPr="00D15BDB">
        <w:rPr>
          <w:lang w:val="en-US"/>
        </w:rPr>
        <w:t>;</w:t>
      </w:r>
      <w:r w:rsidR="00D15BDB" w:rsidRPr="00D15BDB">
        <w:t xml:space="preserve"> </w:t>
      </w:r>
      <w:r w:rsidR="00D15BDB" w:rsidRPr="00D15BDB">
        <w:rPr>
          <w:lang w:val="en-US"/>
        </w:rPr>
        <w:t>)</w:t>
      </w:r>
      <w:proofErr w:type="gramEnd"/>
      <w:r w:rsidR="00D15BDB" w:rsidRPr="00D15BDB">
        <w:rPr>
          <w:lang w:val="en-US"/>
        </w:rPr>
        <w:t xml:space="preserve">; [1998] 1 All SA 140 (A) </w:t>
      </w:r>
      <w:r w:rsidRPr="003A0ACF">
        <w:rPr>
          <w:lang w:val="en-US"/>
        </w:rPr>
        <w:t>1998 (2) SA 735 (SCA</w:t>
      </w:r>
      <w:r w:rsidR="00F0517D">
        <w:rPr>
          <w:lang w:val="en-US"/>
        </w:rPr>
        <w:t>)</w:t>
      </w:r>
      <w:r w:rsidR="00D15BDB">
        <w:rPr>
          <w:lang w:val="en-US"/>
        </w:rPr>
        <w:t xml:space="preserve"> </w:t>
      </w:r>
      <w:r w:rsidRPr="003A0ACF">
        <w:rPr>
          <w:lang w:val="en-US"/>
        </w:rPr>
        <w:t xml:space="preserve">at 743B. Cf </w:t>
      </w:r>
      <w:r w:rsidRPr="003A0ACF">
        <w:rPr>
          <w:i/>
          <w:iCs/>
          <w:lang w:val="en-US"/>
        </w:rPr>
        <w:t>Phasha</w:t>
      </w:r>
      <w:r w:rsidRPr="003A0ACF">
        <w:rPr>
          <w:lang w:val="en-US"/>
        </w:rPr>
        <w:t xml:space="preserve"> above n </w:t>
      </w:r>
      <w:r w:rsidR="006908C7">
        <w:rPr>
          <w:lang w:val="en-US"/>
        </w:rPr>
        <w:t>47</w:t>
      </w:r>
      <w:r w:rsidRPr="003A0ACF">
        <w:rPr>
          <w:lang w:val="en-US"/>
        </w:rPr>
        <w:t xml:space="preserve"> at 473D</w:t>
      </w:r>
      <w:r w:rsidR="00B3517D">
        <w:rPr>
          <w:lang w:val="en-US"/>
        </w:rPr>
        <w:t>–</w:t>
      </w:r>
      <w:r w:rsidRPr="003A0ACF">
        <w:rPr>
          <w:lang w:val="en-US"/>
        </w:rPr>
        <w:t>G.</w:t>
      </w:r>
    </w:p>
  </w:footnote>
  <w:footnote w:id="67">
    <w:p w14:paraId="0FF87F14" w14:textId="564FF03A" w:rsidR="000F7C27" w:rsidRPr="003A0ACF" w:rsidRDefault="000F7C27" w:rsidP="003A0ACF">
      <w:pPr>
        <w:pStyle w:val="FootnoteText"/>
        <w:spacing w:line="240" w:lineRule="auto"/>
        <w:jc w:val="both"/>
        <w:rPr>
          <w:lang w:val="en-US"/>
        </w:rPr>
      </w:pPr>
      <w:r w:rsidRPr="003A0ACF">
        <w:rPr>
          <w:rStyle w:val="FootnoteReference"/>
        </w:rPr>
        <w:footnoteRef/>
      </w:r>
      <w:r w:rsidRPr="003A0ACF">
        <w:t xml:space="preserve"> </w:t>
      </w:r>
      <w:r w:rsidRPr="003A0ACF">
        <w:rPr>
          <w:lang w:val="en-US"/>
        </w:rPr>
        <w:t>It may be noted that, unlike s 19 of the Act, s 27(1) makes no provision for the ‘demand’ to be issued by way of ‘letter’ or ‘notice</w:t>
      </w:r>
      <w:proofErr w:type="gramStart"/>
      <w:r w:rsidRPr="003A0ACF">
        <w:rPr>
          <w:lang w:val="en-US"/>
        </w:rPr>
        <w:t>’, and</w:t>
      </w:r>
      <w:proofErr w:type="gramEnd"/>
      <w:r w:rsidRPr="003A0ACF">
        <w:rPr>
          <w:lang w:val="en-US"/>
        </w:rPr>
        <w:t xml:space="preserve"> does not refer to any specific manner of communication. What constitutes a valid demand in law is a question of fact: see </w:t>
      </w:r>
      <w:r w:rsidRPr="003A0ACF">
        <w:rPr>
          <w:i/>
          <w:iCs/>
          <w:lang w:val="en-US"/>
        </w:rPr>
        <w:t xml:space="preserve">Kragga Kamma Estates </w:t>
      </w:r>
      <w:r w:rsidR="00E746E8">
        <w:rPr>
          <w:lang w:val="en-US"/>
        </w:rPr>
        <w:t xml:space="preserve">above n 29 </w:t>
      </w:r>
      <w:r w:rsidRPr="003A0ACF">
        <w:rPr>
          <w:lang w:val="en-US"/>
        </w:rPr>
        <w:t>at 374E</w:t>
      </w:r>
      <w:r w:rsidR="00B3517D">
        <w:rPr>
          <w:lang w:val="en-US"/>
        </w:rPr>
        <w:t>–</w:t>
      </w:r>
      <w:r w:rsidRPr="003A0ACF">
        <w:rPr>
          <w:lang w:val="en-US"/>
        </w:rPr>
        <w:t xml:space="preserve">G, cited with approval in </w:t>
      </w:r>
      <w:r w:rsidRPr="003A0ACF">
        <w:rPr>
          <w:i/>
          <w:iCs/>
          <w:lang w:val="en-US"/>
        </w:rPr>
        <w:t xml:space="preserve">Trinity </w:t>
      </w:r>
      <w:r w:rsidR="00E746E8">
        <w:rPr>
          <w:lang w:val="en-US"/>
        </w:rPr>
        <w:t xml:space="preserve">above </w:t>
      </w:r>
      <w:r w:rsidR="00DF771A">
        <w:rPr>
          <w:lang w:val="en-US"/>
        </w:rPr>
        <w:t>24</w:t>
      </w:r>
      <w:r w:rsidR="00E746E8">
        <w:rPr>
          <w:lang w:val="en-US"/>
        </w:rPr>
        <w:t xml:space="preserve"> </w:t>
      </w:r>
      <w:r w:rsidRPr="003A0ACF">
        <w:rPr>
          <w:lang w:val="en-US"/>
        </w:rPr>
        <w:t>para 74.</w:t>
      </w:r>
    </w:p>
  </w:footnote>
  <w:footnote w:id="68">
    <w:p w14:paraId="4B2FD55E" w14:textId="77777777" w:rsidR="000F7C27" w:rsidRPr="003A0ACF" w:rsidRDefault="000F7C27" w:rsidP="003A0ACF">
      <w:pPr>
        <w:pStyle w:val="FootnoteText"/>
        <w:spacing w:line="240" w:lineRule="auto"/>
        <w:jc w:val="both"/>
        <w:rPr>
          <w:lang w:val="en-US"/>
        </w:rPr>
      </w:pPr>
      <w:r w:rsidRPr="003A0ACF">
        <w:rPr>
          <w:rStyle w:val="FootnoteReference"/>
        </w:rPr>
        <w:footnoteRef/>
      </w:r>
      <w:r w:rsidRPr="003A0ACF">
        <w:t xml:space="preserve"> </w:t>
      </w:r>
      <w:r w:rsidRPr="003A0ACF">
        <w:rPr>
          <w:i/>
          <w:iCs/>
          <w:lang w:val="en-US"/>
        </w:rPr>
        <w:t>Botha</w:t>
      </w:r>
      <w:r w:rsidRPr="003A0ACF">
        <w:rPr>
          <w:lang w:val="en-US"/>
        </w:rPr>
        <w:t xml:space="preserve"> above n </w:t>
      </w:r>
      <w:r w:rsidR="00DF771A">
        <w:rPr>
          <w:lang w:val="en-US"/>
        </w:rPr>
        <w:t xml:space="preserve">15 </w:t>
      </w:r>
      <w:r w:rsidRPr="003A0ACF">
        <w:rPr>
          <w:lang w:val="en-US"/>
        </w:rPr>
        <w:t>para 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0537942"/>
      <w:docPartObj>
        <w:docPartGallery w:val="Page Numbers (Top of Page)"/>
        <w:docPartUnique/>
      </w:docPartObj>
    </w:sdtPr>
    <w:sdtContent>
      <w:p w14:paraId="48C8C3AD" w14:textId="77777777" w:rsidR="00146BA3" w:rsidRDefault="00146BA3" w:rsidP="006F26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07ACD2" w14:textId="77777777" w:rsidR="00146BA3" w:rsidRDefault="00146BA3" w:rsidP="00146BA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4796027"/>
      <w:docPartObj>
        <w:docPartGallery w:val="Page Numbers (Top of Page)"/>
        <w:docPartUnique/>
      </w:docPartObj>
    </w:sdtPr>
    <w:sdtContent>
      <w:p w14:paraId="7619D9F9" w14:textId="4AD6F969" w:rsidR="00146BA3" w:rsidRDefault="00146BA3" w:rsidP="006F26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91C32">
          <w:rPr>
            <w:rStyle w:val="PageNumber"/>
            <w:noProof/>
          </w:rPr>
          <w:t>4</w:t>
        </w:r>
        <w:r>
          <w:rPr>
            <w:rStyle w:val="PageNumber"/>
          </w:rPr>
          <w:fldChar w:fldCharType="end"/>
        </w:r>
      </w:p>
    </w:sdtContent>
  </w:sdt>
  <w:p w14:paraId="58CC18FF" w14:textId="77777777" w:rsidR="00146BA3" w:rsidRDefault="00146BA3" w:rsidP="00146BA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5CB"/>
    <w:multiLevelType w:val="hybridMultilevel"/>
    <w:tmpl w:val="9CB4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70A16"/>
    <w:multiLevelType w:val="hybridMultilevel"/>
    <w:tmpl w:val="34A86E54"/>
    <w:lvl w:ilvl="0" w:tplc="892E53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43A58AB"/>
    <w:multiLevelType w:val="hybridMultilevel"/>
    <w:tmpl w:val="40E01E54"/>
    <w:lvl w:ilvl="0" w:tplc="ECFE918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364C61"/>
    <w:multiLevelType w:val="hybridMultilevel"/>
    <w:tmpl w:val="80082AD4"/>
    <w:lvl w:ilvl="0" w:tplc="2E7CD16A">
      <w:start w:val="1"/>
      <w:numFmt w:val="lowerLetter"/>
      <w:lvlText w:val="(%1)"/>
      <w:lvlJc w:val="left"/>
      <w:pPr>
        <w:ind w:left="1080" w:hanging="360"/>
      </w:pPr>
      <w:rPr>
        <w:rFonts w:hint="default"/>
        <w:i/>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FDB7C98"/>
    <w:multiLevelType w:val="hybridMultilevel"/>
    <w:tmpl w:val="5A34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112B71"/>
    <w:multiLevelType w:val="hybridMultilevel"/>
    <w:tmpl w:val="181A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EB3A42"/>
    <w:multiLevelType w:val="hybridMultilevel"/>
    <w:tmpl w:val="565E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A06456"/>
    <w:multiLevelType w:val="hybridMultilevel"/>
    <w:tmpl w:val="F1B2C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E5112E"/>
    <w:multiLevelType w:val="hybridMultilevel"/>
    <w:tmpl w:val="75384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B0435B"/>
    <w:multiLevelType w:val="hybridMultilevel"/>
    <w:tmpl w:val="2D6E251C"/>
    <w:lvl w:ilvl="0" w:tplc="1F5E9D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4E4C9B"/>
    <w:multiLevelType w:val="hybridMultilevel"/>
    <w:tmpl w:val="D170431A"/>
    <w:lvl w:ilvl="0" w:tplc="B69E61C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E25C94"/>
    <w:multiLevelType w:val="hybridMultilevel"/>
    <w:tmpl w:val="A8426E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A21C9D"/>
    <w:multiLevelType w:val="hybridMultilevel"/>
    <w:tmpl w:val="5832E0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6F6589"/>
    <w:multiLevelType w:val="hybridMultilevel"/>
    <w:tmpl w:val="98FA5C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625CD4"/>
    <w:multiLevelType w:val="hybridMultilevel"/>
    <w:tmpl w:val="3BE88930"/>
    <w:lvl w:ilvl="0" w:tplc="3B524D3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BB72152"/>
    <w:multiLevelType w:val="hybridMultilevel"/>
    <w:tmpl w:val="FFFA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D61B24"/>
    <w:multiLevelType w:val="hybridMultilevel"/>
    <w:tmpl w:val="C8C85390"/>
    <w:lvl w:ilvl="0" w:tplc="D67618DA">
      <w:start w:val="1"/>
      <w:numFmt w:val="lowerRoman"/>
      <w:lvlText w:val="(%1)"/>
      <w:lvlJc w:val="left"/>
      <w:pPr>
        <w:ind w:left="4995" w:hanging="720"/>
      </w:pPr>
      <w:rPr>
        <w:rFonts w:hint="default"/>
      </w:rPr>
    </w:lvl>
    <w:lvl w:ilvl="1" w:tplc="08090019" w:tentative="1">
      <w:start w:val="1"/>
      <w:numFmt w:val="lowerLetter"/>
      <w:lvlText w:val="%2."/>
      <w:lvlJc w:val="left"/>
      <w:pPr>
        <w:ind w:left="5355" w:hanging="360"/>
      </w:pPr>
    </w:lvl>
    <w:lvl w:ilvl="2" w:tplc="0809001B" w:tentative="1">
      <w:start w:val="1"/>
      <w:numFmt w:val="lowerRoman"/>
      <w:lvlText w:val="%3."/>
      <w:lvlJc w:val="right"/>
      <w:pPr>
        <w:ind w:left="6075" w:hanging="180"/>
      </w:pPr>
    </w:lvl>
    <w:lvl w:ilvl="3" w:tplc="0809000F" w:tentative="1">
      <w:start w:val="1"/>
      <w:numFmt w:val="decimal"/>
      <w:lvlText w:val="%4."/>
      <w:lvlJc w:val="left"/>
      <w:pPr>
        <w:ind w:left="6795" w:hanging="360"/>
      </w:pPr>
    </w:lvl>
    <w:lvl w:ilvl="4" w:tplc="08090019" w:tentative="1">
      <w:start w:val="1"/>
      <w:numFmt w:val="lowerLetter"/>
      <w:lvlText w:val="%5."/>
      <w:lvlJc w:val="left"/>
      <w:pPr>
        <w:ind w:left="7515" w:hanging="360"/>
      </w:pPr>
    </w:lvl>
    <w:lvl w:ilvl="5" w:tplc="0809001B" w:tentative="1">
      <w:start w:val="1"/>
      <w:numFmt w:val="lowerRoman"/>
      <w:lvlText w:val="%6."/>
      <w:lvlJc w:val="right"/>
      <w:pPr>
        <w:ind w:left="8235" w:hanging="180"/>
      </w:pPr>
    </w:lvl>
    <w:lvl w:ilvl="6" w:tplc="0809000F" w:tentative="1">
      <w:start w:val="1"/>
      <w:numFmt w:val="decimal"/>
      <w:lvlText w:val="%7."/>
      <w:lvlJc w:val="left"/>
      <w:pPr>
        <w:ind w:left="8955" w:hanging="360"/>
      </w:pPr>
    </w:lvl>
    <w:lvl w:ilvl="7" w:tplc="08090019" w:tentative="1">
      <w:start w:val="1"/>
      <w:numFmt w:val="lowerLetter"/>
      <w:lvlText w:val="%8."/>
      <w:lvlJc w:val="left"/>
      <w:pPr>
        <w:ind w:left="9675" w:hanging="360"/>
      </w:pPr>
    </w:lvl>
    <w:lvl w:ilvl="8" w:tplc="0809001B" w:tentative="1">
      <w:start w:val="1"/>
      <w:numFmt w:val="lowerRoman"/>
      <w:lvlText w:val="%9."/>
      <w:lvlJc w:val="right"/>
      <w:pPr>
        <w:ind w:left="10395" w:hanging="180"/>
      </w:pPr>
    </w:lvl>
  </w:abstractNum>
  <w:abstractNum w:abstractNumId="17" w15:restartNumberingAfterBreak="0">
    <w:nsid w:val="77B22FAD"/>
    <w:multiLevelType w:val="hybridMultilevel"/>
    <w:tmpl w:val="ECD42B76"/>
    <w:lvl w:ilvl="0" w:tplc="14766D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766ACE"/>
    <w:multiLevelType w:val="hybridMultilevel"/>
    <w:tmpl w:val="69FC5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CB6D84"/>
    <w:multiLevelType w:val="hybridMultilevel"/>
    <w:tmpl w:val="4FA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6228311">
    <w:abstractNumId w:val="4"/>
  </w:num>
  <w:num w:numId="2" w16cid:durableId="793795396">
    <w:abstractNumId w:val="0"/>
  </w:num>
  <w:num w:numId="3" w16cid:durableId="1173838711">
    <w:abstractNumId w:val="6"/>
  </w:num>
  <w:num w:numId="4" w16cid:durableId="1534925959">
    <w:abstractNumId w:val="5"/>
  </w:num>
  <w:num w:numId="5" w16cid:durableId="1922252258">
    <w:abstractNumId w:val="15"/>
  </w:num>
  <w:num w:numId="6" w16cid:durableId="1211267858">
    <w:abstractNumId w:val="8"/>
  </w:num>
  <w:num w:numId="7" w16cid:durableId="696078796">
    <w:abstractNumId w:val="19"/>
  </w:num>
  <w:num w:numId="8" w16cid:durableId="850217675">
    <w:abstractNumId w:val="1"/>
  </w:num>
  <w:num w:numId="9" w16cid:durableId="215629040">
    <w:abstractNumId w:val="7"/>
  </w:num>
  <w:num w:numId="10" w16cid:durableId="669915296">
    <w:abstractNumId w:val="10"/>
  </w:num>
  <w:num w:numId="11" w16cid:durableId="1630432819">
    <w:abstractNumId w:val="18"/>
  </w:num>
  <w:num w:numId="12" w16cid:durableId="37901745">
    <w:abstractNumId w:val="2"/>
  </w:num>
  <w:num w:numId="13" w16cid:durableId="2022118027">
    <w:abstractNumId w:val="13"/>
  </w:num>
  <w:num w:numId="14" w16cid:durableId="1197545200">
    <w:abstractNumId w:val="17"/>
  </w:num>
  <w:num w:numId="15" w16cid:durableId="800610126">
    <w:abstractNumId w:val="9"/>
  </w:num>
  <w:num w:numId="16" w16cid:durableId="1397557361">
    <w:abstractNumId w:val="3"/>
  </w:num>
  <w:num w:numId="17" w16cid:durableId="2125339898">
    <w:abstractNumId w:val="12"/>
  </w:num>
  <w:num w:numId="18" w16cid:durableId="91902344">
    <w:abstractNumId w:val="11"/>
  </w:num>
  <w:num w:numId="19" w16cid:durableId="1461803026">
    <w:abstractNumId w:val="16"/>
  </w:num>
  <w:num w:numId="20" w16cid:durableId="2135400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1A4"/>
    <w:rsid w:val="0000003A"/>
    <w:rsid w:val="00000935"/>
    <w:rsid w:val="000015EF"/>
    <w:rsid w:val="00001E74"/>
    <w:rsid w:val="0000206B"/>
    <w:rsid w:val="0000217A"/>
    <w:rsid w:val="00004E1E"/>
    <w:rsid w:val="00005072"/>
    <w:rsid w:val="00005691"/>
    <w:rsid w:val="00005ABB"/>
    <w:rsid w:val="00005BC2"/>
    <w:rsid w:val="0000642E"/>
    <w:rsid w:val="00006EF3"/>
    <w:rsid w:val="00007087"/>
    <w:rsid w:val="00007904"/>
    <w:rsid w:val="000109B4"/>
    <w:rsid w:val="00011EF6"/>
    <w:rsid w:val="000121E0"/>
    <w:rsid w:val="00012A2F"/>
    <w:rsid w:val="000141DE"/>
    <w:rsid w:val="00014437"/>
    <w:rsid w:val="00014770"/>
    <w:rsid w:val="00016FDA"/>
    <w:rsid w:val="000220C3"/>
    <w:rsid w:val="00022804"/>
    <w:rsid w:val="00024122"/>
    <w:rsid w:val="00027DA3"/>
    <w:rsid w:val="00030A25"/>
    <w:rsid w:val="0003113F"/>
    <w:rsid w:val="0003153D"/>
    <w:rsid w:val="000318A0"/>
    <w:rsid w:val="000323B0"/>
    <w:rsid w:val="00033578"/>
    <w:rsid w:val="00033FE1"/>
    <w:rsid w:val="000341AF"/>
    <w:rsid w:val="00034B32"/>
    <w:rsid w:val="0003553E"/>
    <w:rsid w:val="00035938"/>
    <w:rsid w:val="000375D9"/>
    <w:rsid w:val="00040163"/>
    <w:rsid w:val="0004040E"/>
    <w:rsid w:val="00040F79"/>
    <w:rsid w:val="000422CD"/>
    <w:rsid w:val="00042BDF"/>
    <w:rsid w:val="0004347D"/>
    <w:rsid w:val="0004373B"/>
    <w:rsid w:val="00044031"/>
    <w:rsid w:val="000441E3"/>
    <w:rsid w:val="00044B4C"/>
    <w:rsid w:val="00044B50"/>
    <w:rsid w:val="000451D0"/>
    <w:rsid w:val="00047035"/>
    <w:rsid w:val="00047042"/>
    <w:rsid w:val="000478E8"/>
    <w:rsid w:val="00047CBE"/>
    <w:rsid w:val="000502ED"/>
    <w:rsid w:val="0005061D"/>
    <w:rsid w:val="000516EF"/>
    <w:rsid w:val="00051F6C"/>
    <w:rsid w:val="00052121"/>
    <w:rsid w:val="000536DD"/>
    <w:rsid w:val="00053D81"/>
    <w:rsid w:val="00054DEC"/>
    <w:rsid w:val="00055C33"/>
    <w:rsid w:val="00056042"/>
    <w:rsid w:val="00056FBA"/>
    <w:rsid w:val="000572F6"/>
    <w:rsid w:val="000573D3"/>
    <w:rsid w:val="000574BF"/>
    <w:rsid w:val="000605DB"/>
    <w:rsid w:val="00061952"/>
    <w:rsid w:val="00063188"/>
    <w:rsid w:val="00063C6E"/>
    <w:rsid w:val="00063D5A"/>
    <w:rsid w:val="0007050F"/>
    <w:rsid w:val="00071067"/>
    <w:rsid w:val="00071A14"/>
    <w:rsid w:val="00071ACF"/>
    <w:rsid w:val="000721A4"/>
    <w:rsid w:val="0007234C"/>
    <w:rsid w:val="00072480"/>
    <w:rsid w:val="00072C0D"/>
    <w:rsid w:val="00073EFC"/>
    <w:rsid w:val="00077613"/>
    <w:rsid w:val="000778A4"/>
    <w:rsid w:val="00077F13"/>
    <w:rsid w:val="00080D4E"/>
    <w:rsid w:val="000815F5"/>
    <w:rsid w:val="000819F4"/>
    <w:rsid w:val="00083322"/>
    <w:rsid w:val="00083386"/>
    <w:rsid w:val="000833DB"/>
    <w:rsid w:val="00084C6F"/>
    <w:rsid w:val="00085242"/>
    <w:rsid w:val="00086278"/>
    <w:rsid w:val="00086A06"/>
    <w:rsid w:val="00087CE6"/>
    <w:rsid w:val="0009015D"/>
    <w:rsid w:val="00090350"/>
    <w:rsid w:val="000910CD"/>
    <w:rsid w:val="0009148C"/>
    <w:rsid w:val="00091DD9"/>
    <w:rsid w:val="00091F8C"/>
    <w:rsid w:val="00093B10"/>
    <w:rsid w:val="0009497C"/>
    <w:rsid w:val="00096BC1"/>
    <w:rsid w:val="000976CA"/>
    <w:rsid w:val="000A18B9"/>
    <w:rsid w:val="000A1D0C"/>
    <w:rsid w:val="000A50CB"/>
    <w:rsid w:val="000A531E"/>
    <w:rsid w:val="000A59DC"/>
    <w:rsid w:val="000A6E2C"/>
    <w:rsid w:val="000B069C"/>
    <w:rsid w:val="000B0946"/>
    <w:rsid w:val="000B0DC8"/>
    <w:rsid w:val="000B16E5"/>
    <w:rsid w:val="000B26AE"/>
    <w:rsid w:val="000B26CF"/>
    <w:rsid w:val="000B41E3"/>
    <w:rsid w:val="000B5790"/>
    <w:rsid w:val="000B57AC"/>
    <w:rsid w:val="000B5B83"/>
    <w:rsid w:val="000B5FBC"/>
    <w:rsid w:val="000B6309"/>
    <w:rsid w:val="000B643B"/>
    <w:rsid w:val="000B78EC"/>
    <w:rsid w:val="000C2D21"/>
    <w:rsid w:val="000C2D68"/>
    <w:rsid w:val="000C3531"/>
    <w:rsid w:val="000C3620"/>
    <w:rsid w:val="000C39A5"/>
    <w:rsid w:val="000C450C"/>
    <w:rsid w:val="000C4C81"/>
    <w:rsid w:val="000C57BE"/>
    <w:rsid w:val="000C7746"/>
    <w:rsid w:val="000C7A27"/>
    <w:rsid w:val="000D085B"/>
    <w:rsid w:val="000D0D78"/>
    <w:rsid w:val="000D22FB"/>
    <w:rsid w:val="000D487F"/>
    <w:rsid w:val="000D4BFA"/>
    <w:rsid w:val="000D4C7F"/>
    <w:rsid w:val="000D667A"/>
    <w:rsid w:val="000E0A34"/>
    <w:rsid w:val="000E1C45"/>
    <w:rsid w:val="000E2444"/>
    <w:rsid w:val="000E2579"/>
    <w:rsid w:val="000E2672"/>
    <w:rsid w:val="000E3BDD"/>
    <w:rsid w:val="000E3E15"/>
    <w:rsid w:val="000E3FE7"/>
    <w:rsid w:val="000E4F0D"/>
    <w:rsid w:val="000E5100"/>
    <w:rsid w:val="000E7ECD"/>
    <w:rsid w:val="000F05E0"/>
    <w:rsid w:val="000F1A95"/>
    <w:rsid w:val="000F2257"/>
    <w:rsid w:val="000F4632"/>
    <w:rsid w:val="000F53F3"/>
    <w:rsid w:val="000F6BFE"/>
    <w:rsid w:val="000F7BEC"/>
    <w:rsid w:val="000F7C27"/>
    <w:rsid w:val="000F7DF4"/>
    <w:rsid w:val="001001B8"/>
    <w:rsid w:val="0010068E"/>
    <w:rsid w:val="00100F9A"/>
    <w:rsid w:val="0010218C"/>
    <w:rsid w:val="00102D5B"/>
    <w:rsid w:val="00102E27"/>
    <w:rsid w:val="00103460"/>
    <w:rsid w:val="00103736"/>
    <w:rsid w:val="00103A3C"/>
    <w:rsid w:val="001044DB"/>
    <w:rsid w:val="0010556E"/>
    <w:rsid w:val="00105E0D"/>
    <w:rsid w:val="00105EB6"/>
    <w:rsid w:val="0010622C"/>
    <w:rsid w:val="001078B5"/>
    <w:rsid w:val="00107A5F"/>
    <w:rsid w:val="0011026A"/>
    <w:rsid w:val="00110EF0"/>
    <w:rsid w:val="001124A5"/>
    <w:rsid w:val="0011253F"/>
    <w:rsid w:val="00116EB9"/>
    <w:rsid w:val="0012089B"/>
    <w:rsid w:val="00120E93"/>
    <w:rsid w:val="00121B6F"/>
    <w:rsid w:val="00121ED7"/>
    <w:rsid w:val="001226DE"/>
    <w:rsid w:val="00123296"/>
    <w:rsid w:val="0012621C"/>
    <w:rsid w:val="0012760F"/>
    <w:rsid w:val="00130228"/>
    <w:rsid w:val="00130683"/>
    <w:rsid w:val="00130B3E"/>
    <w:rsid w:val="00131984"/>
    <w:rsid w:val="00131A28"/>
    <w:rsid w:val="001337CC"/>
    <w:rsid w:val="001347AC"/>
    <w:rsid w:val="00134C11"/>
    <w:rsid w:val="001353BF"/>
    <w:rsid w:val="00135C81"/>
    <w:rsid w:val="00137E08"/>
    <w:rsid w:val="001423A1"/>
    <w:rsid w:val="00142F79"/>
    <w:rsid w:val="001435EB"/>
    <w:rsid w:val="00143FD6"/>
    <w:rsid w:val="00144974"/>
    <w:rsid w:val="00146BA3"/>
    <w:rsid w:val="00147A76"/>
    <w:rsid w:val="00151385"/>
    <w:rsid w:val="001517E0"/>
    <w:rsid w:val="001534EF"/>
    <w:rsid w:val="00157785"/>
    <w:rsid w:val="00157898"/>
    <w:rsid w:val="00157C19"/>
    <w:rsid w:val="00157C52"/>
    <w:rsid w:val="001605A4"/>
    <w:rsid w:val="00160EBC"/>
    <w:rsid w:val="00160F58"/>
    <w:rsid w:val="0016320F"/>
    <w:rsid w:val="001636FD"/>
    <w:rsid w:val="00163A58"/>
    <w:rsid w:val="00164B7B"/>
    <w:rsid w:val="00170639"/>
    <w:rsid w:val="00171414"/>
    <w:rsid w:val="00172B5C"/>
    <w:rsid w:val="00173547"/>
    <w:rsid w:val="00174B6D"/>
    <w:rsid w:val="00175A9F"/>
    <w:rsid w:val="0017614D"/>
    <w:rsid w:val="00176BD0"/>
    <w:rsid w:val="00176F8D"/>
    <w:rsid w:val="00177F15"/>
    <w:rsid w:val="0018006A"/>
    <w:rsid w:val="00180F4E"/>
    <w:rsid w:val="00181665"/>
    <w:rsid w:val="00181923"/>
    <w:rsid w:val="00181BDF"/>
    <w:rsid w:val="00181E6D"/>
    <w:rsid w:val="00181E7E"/>
    <w:rsid w:val="00182175"/>
    <w:rsid w:val="00182C07"/>
    <w:rsid w:val="00182D10"/>
    <w:rsid w:val="001831AF"/>
    <w:rsid w:val="00184625"/>
    <w:rsid w:val="00185244"/>
    <w:rsid w:val="00186769"/>
    <w:rsid w:val="001870AF"/>
    <w:rsid w:val="00191768"/>
    <w:rsid w:val="00191792"/>
    <w:rsid w:val="00191994"/>
    <w:rsid w:val="001922F1"/>
    <w:rsid w:val="00192869"/>
    <w:rsid w:val="001943D2"/>
    <w:rsid w:val="00194979"/>
    <w:rsid w:val="001954F0"/>
    <w:rsid w:val="00195571"/>
    <w:rsid w:val="001955AB"/>
    <w:rsid w:val="00195D4D"/>
    <w:rsid w:val="00196742"/>
    <w:rsid w:val="00196B42"/>
    <w:rsid w:val="00196F5B"/>
    <w:rsid w:val="001A058D"/>
    <w:rsid w:val="001A4F33"/>
    <w:rsid w:val="001A5B38"/>
    <w:rsid w:val="001A640B"/>
    <w:rsid w:val="001B09EF"/>
    <w:rsid w:val="001B0D01"/>
    <w:rsid w:val="001B217B"/>
    <w:rsid w:val="001B21D9"/>
    <w:rsid w:val="001B252E"/>
    <w:rsid w:val="001B2578"/>
    <w:rsid w:val="001B2815"/>
    <w:rsid w:val="001B2FE4"/>
    <w:rsid w:val="001B3C8E"/>
    <w:rsid w:val="001B505F"/>
    <w:rsid w:val="001B69E3"/>
    <w:rsid w:val="001C04BC"/>
    <w:rsid w:val="001C131E"/>
    <w:rsid w:val="001C2DD7"/>
    <w:rsid w:val="001C3329"/>
    <w:rsid w:val="001C48A5"/>
    <w:rsid w:val="001C7061"/>
    <w:rsid w:val="001C7480"/>
    <w:rsid w:val="001C7BBA"/>
    <w:rsid w:val="001C7DCC"/>
    <w:rsid w:val="001D0962"/>
    <w:rsid w:val="001D1BED"/>
    <w:rsid w:val="001D214B"/>
    <w:rsid w:val="001D4C5E"/>
    <w:rsid w:val="001D5A9D"/>
    <w:rsid w:val="001D5F83"/>
    <w:rsid w:val="001D61C8"/>
    <w:rsid w:val="001E0F36"/>
    <w:rsid w:val="001E1834"/>
    <w:rsid w:val="001E1B07"/>
    <w:rsid w:val="001E24E0"/>
    <w:rsid w:val="001E32E6"/>
    <w:rsid w:val="001E4824"/>
    <w:rsid w:val="001E640A"/>
    <w:rsid w:val="001E6A6E"/>
    <w:rsid w:val="001E701F"/>
    <w:rsid w:val="001E7844"/>
    <w:rsid w:val="001E78D5"/>
    <w:rsid w:val="001E7C8F"/>
    <w:rsid w:val="001E7DC2"/>
    <w:rsid w:val="001F136E"/>
    <w:rsid w:val="001F2276"/>
    <w:rsid w:val="001F335C"/>
    <w:rsid w:val="001F397C"/>
    <w:rsid w:val="001F3A41"/>
    <w:rsid w:val="001F59AB"/>
    <w:rsid w:val="001F668F"/>
    <w:rsid w:val="001F7C92"/>
    <w:rsid w:val="001F7CCA"/>
    <w:rsid w:val="00201DC6"/>
    <w:rsid w:val="00201F12"/>
    <w:rsid w:val="002036AA"/>
    <w:rsid w:val="00203F70"/>
    <w:rsid w:val="00206406"/>
    <w:rsid w:val="00206D6C"/>
    <w:rsid w:val="00207573"/>
    <w:rsid w:val="00207F80"/>
    <w:rsid w:val="00210250"/>
    <w:rsid w:val="002115FE"/>
    <w:rsid w:val="00211975"/>
    <w:rsid w:val="00212529"/>
    <w:rsid w:val="0021287B"/>
    <w:rsid w:val="00213565"/>
    <w:rsid w:val="0021430F"/>
    <w:rsid w:val="00215EBC"/>
    <w:rsid w:val="0021603A"/>
    <w:rsid w:val="0021730A"/>
    <w:rsid w:val="00217399"/>
    <w:rsid w:val="002203EC"/>
    <w:rsid w:val="00220BD6"/>
    <w:rsid w:val="00222854"/>
    <w:rsid w:val="002232CD"/>
    <w:rsid w:val="00224363"/>
    <w:rsid w:val="002245EC"/>
    <w:rsid w:val="0022594E"/>
    <w:rsid w:val="00225E42"/>
    <w:rsid w:val="00225E70"/>
    <w:rsid w:val="00226444"/>
    <w:rsid w:val="00226ADA"/>
    <w:rsid w:val="00227379"/>
    <w:rsid w:val="00230B10"/>
    <w:rsid w:val="00231325"/>
    <w:rsid w:val="00231E35"/>
    <w:rsid w:val="002327AF"/>
    <w:rsid w:val="00233143"/>
    <w:rsid w:val="0023410F"/>
    <w:rsid w:val="0023677B"/>
    <w:rsid w:val="00236B9D"/>
    <w:rsid w:val="0023768E"/>
    <w:rsid w:val="002402F6"/>
    <w:rsid w:val="00243CA0"/>
    <w:rsid w:val="00245504"/>
    <w:rsid w:val="00245BEB"/>
    <w:rsid w:val="00247551"/>
    <w:rsid w:val="00250530"/>
    <w:rsid w:val="0025056A"/>
    <w:rsid w:val="00252FC1"/>
    <w:rsid w:val="00253273"/>
    <w:rsid w:val="00253CBB"/>
    <w:rsid w:val="00255112"/>
    <w:rsid w:val="00256208"/>
    <w:rsid w:val="00256797"/>
    <w:rsid w:val="00256FCC"/>
    <w:rsid w:val="00257A15"/>
    <w:rsid w:val="0026034E"/>
    <w:rsid w:val="002606D8"/>
    <w:rsid w:val="00260A94"/>
    <w:rsid w:val="00260B67"/>
    <w:rsid w:val="002612A5"/>
    <w:rsid w:val="00261583"/>
    <w:rsid w:val="0026158F"/>
    <w:rsid w:val="002617D8"/>
    <w:rsid w:val="00262D2A"/>
    <w:rsid w:val="002635B7"/>
    <w:rsid w:val="00263B8D"/>
    <w:rsid w:val="0026495C"/>
    <w:rsid w:val="00265010"/>
    <w:rsid w:val="00265180"/>
    <w:rsid w:val="00265AEB"/>
    <w:rsid w:val="0026634E"/>
    <w:rsid w:val="0026645C"/>
    <w:rsid w:val="00266FB9"/>
    <w:rsid w:val="00267C6B"/>
    <w:rsid w:val="002705E9"/>
    <w:rsid w:val="00270E8B"/>
    <w:rsid w:val="00271885"/>
    <w:rsid w:val="0027312A"/>
    <w:rsid w:val="00273903"/>
    <w:rsid w:val="00274836"/>
    <w:rsid w:val="00274C64"/>
    <w:rsid w:val="00275410"/>
    <w:rsid w:val="00276100"/>
    <w:rsid w:val="00277EB6"/>
    <w:rsid w:val="0028182D"/>
    <w:rsid w:val="0028273F"/>
    <w:rsid w:val="002852C4"/>
    <w:rsid w:val="00285664"/>
    <w:rsid w:val="002876EA"/>
    <w:rsid w:val="00287A18"/>
    <w:rsid w:val="00287A26"/>
    <w:rsid w:val="00287C89"/>
    <w:rsid w:val="00290DC6"/>
    <w:rsid w:val="00290E92"/>
    <w:rsid w:val="00291483"/>
    <w:rsid w:val="0029160D"/>
    <w:rsid w:val="002921E9"/>
    <w:rsid w:val="0029395B"/>
    <w:rsid w:val="00293964"/>
    <w:rsid w:val="00294129"/>
    <w:rsid w:val="00294313"/>
    <w:rsid w:val="00295B57"/>
    <w:rsid w:val="00295D51"/>
    <w:rsid w:val="002960D0"/>
    <w:rsid w:val="002A01B5"/>
    <w:rsid w:val="002A080F"/>
    <w:rsid w:val="002A0EB5"/>
    <w:rsid w:val="002A157A"/>
    <w:rsid w:val="002A1950"/>
    <w:rsid w:val="002A1CD6"/>
    <w:rsid w:val="002A1D97"/>
    <w:rsid w:val="002A1E2F"/>
    <w:rsid w:val="002A21AF"/>
    <w:rsid w:val="002A2AA4"/>
    <w:rsid w:val="002A3836"/>
    <w:rsid w:val="002A3C5C"/>
    <w:rsid w:val="002A4161"/>
    <w:rsid w:val="002A4EEC"/>
    <w:rsid w:val="002A587B"/>
    <w:rsid w:val="002A61D9"/>
    <w:rsid w:val="002A6332"/>
    <w:rsid w:val="002A6593"/>
    <w:rsid w:val="002A6B82"/>
    <w:rsid w:val="002A6FAD"/>
    <w:rsid w:val="002A73A7"/>
    <w:rsid w:val="002A7D2D"/>
    <w:rsid w:val="002B0DEA"/>
    <w:rsid w:val="002B31B7"/>
    <w:rsid w:val="002B3FE3"/>
    <w:rsid w:val="002B4FB7"/>
    <w:rsid w:val="002B54B7"/>
    <w:rsid w:val="002B6730"/>
    <w:rsid w:val="002B7874"/>
    <w:rsid w:val="002C11AF"/>
    <w:rsid w:val="002C1ECF"/>
    <w:rsid w:val="002C1ED3"/>
    <w:rsid w:val="002C22CD"/>
    <w:rsid w:val="002C3A0D"/>
    <w:rsid w:val="002C458D"/>
    <w:rsid w:val="002C45D8"/>
    <w:rsid w:val="002C4E81"/>
    <w:rsid w:val="002C7128"/>
    <w:rsid w:val="002D10BA"/>
    <w:rsid w:val="002D1A7C"/>
    <w:rsid w:val="002D4CBC"/>
    <w:rsid w:val="002D673E"/>
    <w:rsid w:val="002D6C0A"/>
    <w:rsid w:val="002D6D70"/>
    <w:rsid w:val="002D70E7"/>
    <w:rsid w:val="002D7292"/>
    <w:rsid w:val="002D7C9F"/>
    <w:rsid w:val="002E0CCA"/>
    <w:rsid w:val="002E141A"/>
    <w:rsid w:val="002E1B95"/>
    <w:rsid w:val="002E3EC7"/>
    <w:rsid w:val="002E4697"/>
    <w:rsid w:val="002E4808"/>
    <w:rsid w:val="002E483E"/>
    <w:rsid w:val="002E6D7C"/>
    <w:rsid w:val="002E7045"/>
    <w:rsid w:val="002E7199"/>
    <w:rsid w:val="002F012F"/>
    <w:rsid w:val="002F0513"/>
    <w:rsid w:val="002F0990"/>
    <w:rsid w:val="002F0C58"/>
    <w:rsid w:val="002F13D1"/>
    <w:rsid w:val="002F213A"/>
    <w:rsid w:val="002F29C9"/>
    <w:rsid w:val="002F37F8"/>
    <w:rsid w:val="002F478F"/>
    <w:rsid w:val="002F4EDB"/>
    <w:rsid w:val="002F60D3"/>
    <w:rsid w:val="002F7574"/>
    <w:rsid w:val="002F77BC"/>
    <w:rsid w:val="00300914"/>
    <w:rsid w:val="003009C8"/>
    <w:rsid w:val="00300A59"/>
    <w:rsid w:val="0030214A"/>
    <w:rsid w:val="00302E78"/>
    <w:rsid w:val="003035F7"/>
    <w:rsid w:val="00304CB9"/>
    <w:rsid w:val="00306288"/>
    <w:rsid w:val="003065FB"/>
    <w:rsid w:val="0030660D"/>
    <w:rsid w:val="00306FDC"/>
    <w:rsid w:val="00311306"/>
    <w:rsid w:val="00311CF9"/>
    <w:rsid w:val="003120C3"/>
    <w:rsid w:val="00312CAB"/>
    <w:rsid w:val="00313A2F"/>
    <w:rsid w:val="003140F9"/>
    <w:rsid w:val="003148EA"/>
    <w:rsid w:val="003150CA"/>
    <w:rsid w:val="00315CB8"/>
    <w:rsid w:val="00315D8D"/>
    <w:rsid w:val="00315F93"/>
    <w:rsid w:val="003168ED"/>
    <w:rsid w:val="003172EB"/>
    <w:rsid w:val="00317AB4"/>
    <w:rsid w:val="003202DF"/>
    <w:rsid w:val="00321B31"/>
    <w:rsid w:val="00321E11"/>
    <w:rsid w:val="0032288D"/>
    <w:rsid w:val="003228A7"/>
    <w:rsid w:val="003244A2"/>
    <w:rsid w:val="00324A31"/>
    <w:rsid w:val="00324CE8"/>
    <w:rsid w:val="00325568"/>
    <w:rsid w:val="003259B1"/>
    <w:rsid w:val="00325BD4"/>
    <w:rsid w:val="00326A33"/>
    <w:rsid w:val="0032785C"/>
    <w:rsid w:val="00327E36"/>
    <w:rsid w:val="00327E53"/>
    <w:rsid w:val="00330795"/>
    <w:rsid w:val="00330E85"/>
    <w:rsid w:val="0033219D"/>
    <w:rsid w:val="00333B13"/>
    <w:rsid w:val="00334624"/>
    <w:rsid w:val="00335693"/>
    <w:rsid w:val="00335897"/>
    <w:rsid w:val="00335ACD"/>
    <w:rsid w:val="0033634C"/>
    <w:rsid w:val="0033669D"/>
    <w:rsid w:val="003367DD"/>
    <w:rsid w:val="00340556"/>
    <w:rsid w:val="0034206E"/>
    <w:rsid w:val="00342E53"/>
    <w:rsid w:val="00343E5D"/>
    <w:rsid w:val="0034439B"/>
    <w:rsid w:val="003455A7"/>
    <w:rsid w:val="003469BB"/>
    <w:rsid w:val="00347032"/>
    <w:rsid w:val="00350743"/>
    <w:rsid w:val="00350A47"/>
    <w:rsid w:val="003513CA"/>
    <w:rsid w:val="00351FAC"/>
    <w:rsid w:val="003529AF"/>
    <w:rsid w:val="00352AFD"/>
    <w:rsid w:val="00353652"/>
    <w:rsid w:val="00353696"/>
    <w:rsid w:val="003564CA"/>
    <w:rsid w:val="0035756C"/>
    <w:rsid w:val="00357751"/>
    <w:rsid w:val="00360101"/>
    <w:rsid w:val="003601F1"/>
    <w:rsid w:val="00360810"/>
    <w:rsid w:val="00360BFC"/>
    <w:rsid w:val="003612F6"/>
    <w:rsid w:val="0036153D"/>
    <w:rsid w:val="00362A40"/>
    <w:rsid w:val="00363BF3"/>
    <w:rsid w:val="003649E8"/>
    <w:rsid w:val="00365DFE"/>
    <w:rsid w:val="00366631"/>
    <w:rsid w:val="003679D5"/>
    <w:rsid w:val="00367B79"/>
    <w:rsid w:val="003700BB"/>
    <w:rsid w:val="0037015D"/>
    <w:rsid w:val="00370E14"/>
    <w:rsid w:val="00371054"/>
    <w:rsid w:val="0037217E"/>
    <w:rsid w:val="003737BE"/>
    <w:rsid w:val="00373BB6"/>
    <w:rsid w:val="00374F02"/>
    <w:rsid w:val="00375614"/>
    <w:rsid w:val="003776CE"/>
    <w:rsid w:val="00380E60"/>
    <w:rsid w:val="00381247"/>
    <w:rsid w:val="00381483"/>
    <w:rsid w:val="00381C36"/>
    <w:rsid w:val="00381D62"/>
    <w:rsid w:val="00382ADF"/>
    <w:rsid w:val="00385752"/>
    <w:rsid w:val="003869D5"/>
    <w:rsid w:val="003905B9"/>
    <w:rsid w:val="0039206E"/>
    <w:rsid w:val="00392A4B"/>
    <w:rsid w:val="00392AA2"/>
    <w:rsid w:val="00393BA3"/>
    <w:rsid w:val="003950C4"/>
    <w:rsid w:val="0039527F"/>
    <w:rsid w:val="00395A71"/>
    <w:rsid w:val="0039682A"/>
    <w:rsid w:val="00396E82"/>
    <w:rsid w:val="00397556"/>
    <w:rsid w:val="003A0ACF"/>
    <w:rsid w:val="003A37F4"/>
    <w:rsid w:val="003A4F1D"/>
    <w:rsid w:val="003A4F95"/>
    <w:rsid w:val="003A5865"/>
    <w:rsid w:val="003A6F71"/>
    <w:rsid w:val="003A7337"/>
    <w:rsid w:val="003A745C"/>
    <w:rsid w:val="003A7AA6"/>
    <w:rsid w:val="003A7BAA"/>
    <w:rsid w:val="003B01D4"/>
    <w:rsid w:val="003B10EC"/>
    <w:rsid w:val="003B1570"/>
    <w:rsid w:val="003B15C9"/>
    <w:rsid w:val="003B21BF"/>
    <w:rsid w:val="003B2F38"/>
    <w:rsid w:val="003B3A4D"/>
    <w:rsid w:val="003B3C31"/>
    <w:rsid w:val="003B43B8"/>
    <w:rsid w:val="003B5515"/>
    <w:rsid w:val="003B5A8D"/>
    <w:rsid w:val="003B5FEE"/>
    <w:rsid w:val="003B76D9"/>
    <w:rsid w:val="003C019E"/>
    <w:rsid w:val="003C04AA"/>
    <w:rsid w:val="003C07A4"/>
    <w:rsid w:val="003C0CEB"/>
    <w:rsid w:val="003C2221"/>
    <w:rsid w:val="003C351A"/>
    <w:rsid w:val="003C3BC6"/>
    <w:rsid w:val="003C3C19"/>
    <w:rsid w:val="003C592A"/>
    <w:rsid w:val="003C5934"/>
    <w:rsid w:val="003C7080"/>
    <w:rsid w:val="003D11D0"/>
    <w:rsid w:val="003D177D"/>
    <w:rsid w:val="003D181B"/>
    <w:rsid w:val="003D239A"/>
    <w:rsid w:val="003D2C74"/>
    <w:rsid w:val="003D420E"/>
    <w:rsid w:val="003D42FF"/>
    <w:rsid w:val="003D49A9"/>
    <w:rsid w:val="003D4C21"/>
    <w:rsid w:val="003D5245"/>
    <w:rsid w:val="003D5507"/>
    <w:rsid w:val="003D5A10"/>
    <w:rsid w:val="003D5E6D"/>
    <w:rsid w:val="003D61F2"/>
    <w:rsid w:val="003D753C"/>
    <w:rsid w:val="003D7CB9"/>
    <w:rsid w:val="003E0387"/>
    <w:rsid w:val="003E0F4D"/>
    <w:rsid w:val="003E0F7C"/>
    <w:rsid w:val="003E2B73"/>
    <w:rsid w:val="003E2F03"/>
    <w:rsid w:val="003E3173"/>
    <w:rsid w:val="003E32B3"/>
    <w:rsid w:val="003E370A"/>
    <w:rsid w:val="003E3BBF"/>
    <w:rsid w:val="003E424A"/>
    <w:rsid w:val="003E555D"/>
    <w:rsid w:val="003E75F3"/>
    <w:rsid w:val="003F0D6A"/>
    <w:rsid w:val="003F0D9E"/>
    <w:rsid w:val="003F15F1"/>
    <w:rsid w:val="003F1974"/>
    <w:rsid w:val="003F2109"/>
    <w:rsid w:val="003F2790"/>
    <w:rsid w:val="003F2867"/>
    <w:rsid w:val="003F4055"/>
    <w:rsid w:val="003F50FF"/>
    <w:rsid w:val="003F51FE"/>
    <w:rsid w:val="003F54E9"/>
    <w:rsid w:val="003F5900"/>
    <w:rsid w:val="003F6355"/>
    <w:rsid w:val="003F6997"/>
    <w:rsid w:val="003F7787"/>
    <w:rsid w:val="00400266"/>
    <w:rsid w:val="00401A9A"/>
    <w:rsid w:val="00402EEA"/>
    <w:rsid w:val="00403A18"/>
    <w:rsid w:val="00404201"/>
    <w:rsid w:val="00405CEF"/>
    <w:rsid w:val="00406337"/>
    <w:rsid w:val="0040656C"/>
    <w:rsid w:val="004066E7"/>
    <w:rsid w:val="00406A00"/>
    <w:rsid w:val="004074B3"/>
    <w:rsid w:val="004075EA"/>
    <w:rsid w:val="00410C82"/>
    <w:rsid w:val="0041108E"/>
    <w:rsid w:val="00412DF2"/>
    <w:rsid w:val="004138F5"/>
    <w:rsid w:val="00413D22"/>
    <w:rsid w:val="00414C90"/>
    <w:rsid w:val="00415C47"/>
    <w:rsid w:val="00416497"/>
    <w:rsid w:val="004165B0"/>
    <w:rsid w:val="004165D6"/>
    <w:rsid w:val="0042163E"/>
    <w:rsid w:val="0042232B"/>
    <w:rsid w:val="004227BD"/>
    <w:rsid w:val="00423163"/>
    <w:rsid w:val="0042366E"/>
    <w:rsid w:val="00423757"/>
    <w:rsid w:val="004244A5"/>
    <w:rsid w:val="00427318"/>
    <w:rsid w:val="004276CD"/>
    <w:rsid w:val="0042778E"/>
    <w:rsid w:val="00427843"/>
    <w:rsid w:val="004302B6"/>
    <w:rsid w:val="00430A6B"/>
    <w:rsid w:val="004313BA"/>
    <w:rsid w:val="0043230A"/>
    <w:rsid w:val="00434C92"/>
    <w:rsid w:val="0043511C"/>
    <w:rsid w:val="00435538"/>
    <w:rsid w:val="00437E88"/>
    <w:rsid w:val="00437F87"/>
    <w:rsid w:val="00440672"/>
    <w:rsid w:val="00441E70"/>
    <w:rsid w:val="00443779"/>
    <w:rsid w:val="00443CCC"/>
    <w:rsid w:val="004441E4"/>
    <w:rsid w:val="004448E8"/>
    <w:rsid w:val="0044495E"/>
    <w:rsid w:val="00445C32"/>
    <w:rsid w:val="004473B3"/>
    <w:rsid w:val="004474FB"/>
    <w:rsid w:val="00447968"/>
    <w:rsid w:val="004479F6"/>
    <w:rsid w:val="004528CC"/>
    <w:rsid w:val="004529C3"/>
    <w:rsid w:val="00454F66"/>
    <w:rsid w:val="004559B9"/>
    <w:rsid w:val="00455F11"/>
    <w:rsid w:val="0045608B"/>
    <w:rsid w:val="00460EC3"/>
    <w:rsid w:val="00461CCF"/>
    <w:rsid w:val="004629FC"/>
    <w:rsid w:val="004652FD"/>
    <w:rsid w:val="004657F4"/>
    <w:rsid w:val="00465CC7"/>
    <w:rsid w:val="00466140"/>
    <w:rsid w:val="00466979"/>
    <w:rsid w:val="00466D17"/>
    <w:rsid w:val="00467E20"/>
    <w:rsid w:val="00470C78"/>
    <w:rsid w:val="0047168F"/>
    <w:rsid w:val="00472A4C"/>
    <w:rsid w:val="00472B05"/>
    <w:rsid w:val="00472E85"/>
    <w:rsid w:val="00473068"/>
    <w:rsid w:val="004735D5"/>
    <w:rsid w:val="0047556B"/>
    <w:rsid w:val="00475C2D"/>
    <w:rsid w:val="0047652F"/>
    <w:rsid w:val="00476719"/>
    <w:rsid w:val="00477226"/>
    <w:rsid w:val="004813E8"/>
    <w:rsid w:val="004827F3"/>
    <w:rsid w:val="004829F2"/>
    <w:rsid w:val="00484C78"/>
    <w:rsid w:val="00486114"/>
    <w:rsid w:val="004863E4"/>
    <w:rsid w:val="004864EE"/>
    <w:rsid w:val="00487264"/>
    <w:rsid w:val="00490518"/>
    <w:rsid w:val="00490D2A"/>
    <w:rsid w:val="0049105D"/>
    <w:rsid w:val="004918C4"/>
    <w:rsid w:val="004932A2"/>
    <w:rsid w:val="0049471F"/>
    <w:rsid w:val="00495D59"/>
    <w:rsid w:val="0049613F"/>
    <w:rsid w:val="00496E8C"/>
    <w:rsid w:val="00496EAA"/>
    <w:rsid w:val="004979E7"/>
    <w:rsid w:val="004A00B9"/>
    <w:rsid w:val="004A08D7"/>
    <w:rsid w:val="004A11FF"/>
    <w:rsid w:val="004A1708"/>
    <w:rsid w:val="004A396C"/>
    <w:rsid w:val="004A5151"/>
    <w:rsid w:val="004A5DB1"/>
    <w:rsid w:val="004A687F"/>
    <w:rsid w:val="004A7359"/>
    <w:rsid w:val="004B127E"/>
    <w:rsid w:val="004B2848"/>
    <w:rsid w:val="004B2AD9"/>
    <w:rsid w:val="004B3161"/>
    <w:rsid w:val="004B530A"/>
    <w:rsid w:val="004B5BAF"/>
    <w:rsid w:val="004B5CB4"/>
    <w:rsid w:val="004B632A"/>
    <w:rsid w:val="004B6A93"/>
    <w:rsid w:val="004B6DFC"/>
    <w:rsid w:val="004B7ADD"/>
    <w:rsid w:val="004B7E82"/>
    <w:rsid w:val="004C06AD"/>
    <w:rsid w:val="004C0946"/>
    <w:rsid w:val="004C0C08"/>
    <w:rsid w:val="004C0C80"/>
    <w:rsid w:val="004C13CF"/>
    <w:rsid w:val="004C25D0"/>
    <w:rsid w:val="004C5DB3"/>
    <w:rsid w:val="004C61A1"/>
    <w:rsid w:val="004C7EB2"/>
    <w:rsid w:val="004D0163"/>
    <w:rsid w:val="004D0AC5"/>
    <w:rsid w:val="004D19EB"/>
    <w:rsid w:val="004D1AAF"/>
    <w:rsid w:val="004D3210"/>
    <w:rsid w:val="004D35C6"/>
    <w:rsid w:val="004D4ACD"/>
    <w:rsid w:val="004D4D67"/>
    <w:rsid w:val="004D4E74"/>
    <w:rsid w:val="004D7A4E"/>
    <w:rsid w:val="004E06B4"/>
    <w:rsid w:val="004E189A"/>
    <w:rsid w:val="004E1A28"/>
    <w:rsid w:val="004E2076"/>
    <w:rsid w:val="004E2F8E"/>
    <w:rsid w:val="004E318F"/>
    <w:rsid w:val="004E389C"/>
    <w:rsid w:val="004E5A0A"/>
    <w:rsid w:val="004E5A92"/>
    <w:rsid w:val="004E6694"/>
    <w:rsid w:val="004E6764"/>
    <w:rsid w:val="004E791F"/>
    <w:rsid w:val="004F021C"/>
    <w:rsid w:val="004F03A7"/>
    <w:rsid w:val="004F1552"/>
    <w:rsid w:val="004F1757"/>
    <w:rsid w:val="004F1D20"/>
    <w:rsid w:val="004F326C"/>
    <w:rsid w:val="004F385E"/>
    <w:rsid w:val="004F38A6"/>
    <w:rsid w:val="004F38F5"/>
    <w:rsid w:val="004F444A"/>
    <w:rsid w:val="004F5575"/>
    <w:rsid w:val="004F787D"/>
    <w:rsid w:val="004F79D9"/>
    <w:rsid w:val="004F7A19"/>
    <w:rsid w:val="0050002B"/>
    <w:rsid w:val="0050079A"/>
    <w:rsid w:val="005014BC"/>
    <w:rsid w:val="00501617"/>
    <w:rsid w:val="00501C84"/>
    <w:rsid w:val="00502229"/>
    <w:rsid w:val="005030DE"/>
    <w:rsid w:val="00504BCF"/>
    <w:rsid w:val="0050634D"/>
    <w:rsid w:val="005078B2"/>
    <w:rsid w:val="005079C1"/>
    <w:rsid w:val="00507BBF"/>
    <w:rsid w:val="00511260"/>
    <w:rsid w:val="00511565"/>
    <w:rsid w:val="0051172C"/>
    <w:rsid w:val="00511D0D"/>
    <w:rsid w:val="005123C1"/>
    <w:rsid w:val="0051380C"/>
    <w:rsid w:val="00514878"/>
    <w:rsid w:val="0051706E"/>
    <w:rsid w:val="00520E7F"/>
    <w:rsid w:val="00521C41"/>
    <w:rsid w:val="00523DBC"/>
    <w:rsid w:val="005244E9"/>
    <w:rsid w:val="00525319"/>
    <w:rsid w:val="00525723"/>
    <w:rsid w:val="00525DF3"/>
    <w:rsid w:val="00526ABB"/>
    <w:rsid w:val="00527179"/>
    <w:rsid w:val="00527587"/>
    <w:rsid w:val="00530509"/>
    <w:rsid w:val="00532080"/>
    <w:rsid w:val="00535EA5"/>
    <w:rsid w:val="0053609F"/>
    <w:rsid w:val="0053658B"/>
    <w:rsid w:val="00537C92"/>
    <w:rsid w:val="00540665"/>
    <w:rsid w:val="00542487"/>
    <w:rsid w:val="00543760"/>
    <w:rsid w:val="00543C4C"/>
    <w:rsid w:val="00545009"/>
    <w:rsid w:val="00545140"/>
    <w:rsid w:val="0054543D"/>
    <w:rsid w:val="00545668"/>
    <w:rsid w:val="0055032C"/>
    <w:rsid w:val="00550810"/>
    <w:rsid w:val="0055098F"/>
    <w:rsid w:val="005517B9"/>
    <w:rsid w:val="00553E7D"/>
    <w:rsid w:val="005542BD"/>
    <w:rsid w:val="00556489"/>
    <w:rsid w:val="00556EDA"/>
    <w:rsid w:val="00556FC7"/>
    <w:rsid w:val="005573D6"/>
    <w:rsid w:val="0056029F"/>
    <w:rsid w:val="00563D8D"/>
    <w:rsid w:val="005643C3"/>
    <w:rsid w:val="0056509F"/>
    <w:rsid w:val="00565133"/>
    <w:rsid w:val="00565326"/>
    <w:rsid w:val="0056542C"/>
    <w:rsid w:val="005654A6"/>
    <w:rsid w:val="00565F57"/>
    <w:rsid w:val="0056633E"/>
    <w:rsid w:val="00567FE0"/>
    <w:rsid w:val="005703D6"/>
    <w:rsid w:val="00570A0D"/>
    <w:rsid w:val="00570E2C"/>
    <w:rsid w:val="00571C8F"/>
    <w:rsid w:val="00572B6D"/>
    <w:rsid w:val="0057315C"/>
    <w:rsid w:val="00573D94"/>
    <w:rsid w:val="005754FC"/>
    <w:rsid w:val="0057563A"/>
    <w:rsid w:val="00575F9C"/>
    <w:rsid w:val="00576979"/>
    <w:rsid w:val="00577D50"/>
    <w:rsid w:val="00580D85"/>
    <w:rsid w:val="005811E4"/>
    <w:rsid w:val="005813AC"/>
    <w:rsid w:val="0058163E"/>
    <w:rsid w:val="00582DF7"/>
    <w:rsid w:val="0058354A"/>
    <w:rsid w:val="00583A45"/>
    <w:rsid w:val="00584395"/>
    <w:rsid w:val="00584BA7"/>
    <w:rsid w:val="00586CFB"/>
    <w:rsid w:val="00587D29"/>
    <w:rsid w:val="00591072"/>
    <w:rsid w:val="00591CCF"/>
    <w:rsid w:val="005928B0"/>
    <w:rsid w:val="005934B8"/>
    <w:rsid w:val="00594C9D"/>
    <w:rsid w:val="0059569F"/>
    <w:rsid w:val="00595C65"/>
    <w:rsid w:val="005964E5"/>
    <w:rsid w:val="005969E2"/>
    <w:rsid w:val="00597705"/>
    <w:rsid w:val="005A2449"/>
    <w:rsid w:val="005A2AB2"/>
    <w:rsid w:val="005A2C73"/>
    <w:rsid w:val="005A2CC6"/>
    <w:rsid w:val="005A3E4D"/>
    <w:rsid w:val="005A4FC0"/>
    <w:rsid w:val="005A6C12"/>
    <w:rsid w:val="005A71F7"/>
    <w:rsid w:val="005A7E29"/>
    <w:rsid w:val="005B0022"/>
    <w:rsid w:val="005B0994"/>
    <w:rsid w:val="005B10B4"/>
    <w:rsid w:val="005B1333"/>
    <w:rsid w:val="005B1872"/>
    <w:rsid w:val="005B609D"/>
    <w:rsid w:val="005B649F"/>
    <w:rsid w:val="005B7922"/>
    <w:rsid w:val="005B7923"/>
    <w:rsid w:val="005B7CEE"/>
    <w:rsid w:val="005C0DAB"/>
    <w:rsid w:val="005C1439"/>
    <w:rsid w:val="005C15DC"/>
    <w:rsid w:val="005C1A16"/>
    <w:rsid w:val="005C1A89"/>
    <w:rsid w:val="005C1DEC"/>
    <w:rsid w:val="005C28AE"/>
    <w:rsid w:val="005C36E4"/>
    <w:rsid w:val="005C4FDA"/>
    <w:rsid w:val="005C5C47"/>
    <w:rsid w:val="005C6A41"/>
    <w:rsid w:val="005C738C"/>
    <w:rsid w:val="005D0320"/>
    <w:rsid w:val="005D0B78"/>
    <w:rsid w:val="005D25D6"/>
    <w:rsid w:val="005D3407"/>
    <w:rsid w:val="005D3941"/>
    <w:rsid w:val="005D411A"/>
    <w:rsid w:val="005D428B"/>
    <w:rsid w:val="005D47C3"/>
    <w:rsid w:val="005D5034"/>
    <w:rsid w:val="005D5E9D"/>
    <w:rsid w:val="005D5FC7"/>
    <w:rsid w:val="005D6BF3"/>
    <w:rsid w:val="005D6D77"/>
    <w:rsid w:val="005E0834"/>
    <w:rsid w:val="005E2F30"/>
    <w:rsid w:val="005E3541"/>
    <w:rsid w:val="005E3931"/>
    <w:rsid w:val="005E411E"/>
    <w:rsid w:val="005E560B"/>
    <w:rsid w:val="005E601A"/>
    <w:rsid w:val="005F03D5"/>
    <w:rsid w:val="005F04A5"/>
    <w:rsid w:val="005F0EE7"/>
    <w:rsid w:val="005F13AE"/>
    <w:rsid w:val="005F158C"/>
    <w:rsid w:val="005F16B1"/>
    <w:rsid w:val="005F1A45"/>
    <w:rsid w:val="005F1F37"/>
    <w:rsid w:val="005F236B"/>
    <w:rsid w:val="005F597C"/>
    <w:rsid w:val="005F6D85"/>
    <w:rsid w:val="005F77BC"/>
    <w:rsid w:val="005F798E"/>
    <w:rsid w:val="00600269"/>
    <w:rsid w:val="0060138F"/>
    <w:rsid w:val="006020BB"/>
    <w:rsid w:val="0060391E"/>
    <w:rsid w:val="0060443D"/>
    <w:rsid w:val="0060486E"/>
    <w:rsid w:val="006058FC"/>
    <w:rsid w:val="006062FB"/>
    <w:rsid w:val="00606302"/>
    <w:rsid w:val="00606867"/>
    <w:rsid w:val="00607419"/>
    <w:rsid w:val="006101AF"/>
    <w:rsid w:val="00612393"/>
    <w:rsid w:val="00612735"/>
    <w:rsid w:val="0061287B"/>
    <w:rsid w:val="00612ACF"/>
    <w:rsid w:val="0061375B"/>
    <w:rsid w:val="00613E36"/>
    <w:rsid w:val="00614A7A"/>
    <w:rsid w:val="00615314"/>
    <w:rsid w:val="00615AB7"/>
    <w:rsid w:val="00616B35"/>
    <w:rsid w:val="00617271"/>
    <w:rsid w:val="00617A30"/>
    <w:rsid w:val="00617F99"/>
    <w:rsid w:val="006215E6"/>
    <w:rsid w:val="00621B4B"/>
    <w:rsid w:val="00621FEC"/>
    <w:rsid w:val="0062200D"/>
    <w:rsid w:val="006232F1"/>
    <w:rsid w:val="00623DDE"/>
    <w:rsid w:val="006241A4"/>
    <w:rsid w:val="00624695"/>
    <w:rsid w:val="006249C3"/>
    <w:rsid w:val="00624E90"/>
    <w:rsid w:val="00625D0D"/>
    <w:rsid w:val="00625D2D"/>
    <w:rsid w:val="006271A4"/>
    <w:rsid w:val="00627D52"/>
    <w:rsid w:val="00630138"/>
    <w:rsid w:val="006313B5"/>
    <w:rsid w:val="006313FC"/>
    <w:rsid w:val="006332F2"/>
    <w:rsid w:val="00634536"/>
    <w:rsid w:val="00634B17"/>
    <w:rsid w:val="00635CB3"/>
    <w:rsid w:val="00637A17"/>
    <w:rsid w:val="00641035"/>
    <w:rsid w:val="00641661"/>
    <w:rsid w:val="006425A1"/>
    <w:rsid w:val="00642AA2"/>
    <w:rsid w:val="00644526"/>
    <w:rsid w:val="00644FB0"/>
    <w:rsid w:val="006476E6"/>
    <w:rsid w:val="006505A7"/>
    <w:rsid w:val="00650EE2"/>
    <w:rsid w:val="006511A4"/>
    <w:rsid w:val="006513E2"/>
    <w:rsid w:val="00651916"/>
    <w:rsid w:val="0065195E"/>
    <w:rsid w:val="00651DE7"/>
    <w:rsid w:val="006531C9"/>
    <w:rsid w:val="006535E1"/>
    <w:rsid w:val="00654397"/>
    <w:rsid w:val="0066025E"/>
    <w:rsid w:val="00661D64"/>
    <w:rsid w:val="00662682"/>
    <w:rsid w:val="006639A0"/>
    <w:rsid w:val="00663D7F"/>
    <w:rsid w:val="00664CD0"/>
    <w:rsid w:val="00665D94"/>
    <w:rsid w:val="00665E49"/>
    <w:rsid w:val="006668FE"/>
    <w:rsid w:val="00667591"/>
    <w:rsid w:val="00667F9F"/>
    <w:rsid w:val="006704F0"/>
    <w:rsid w:val="006710E7"/>
    <w:rsid w:val="00671A0B"/>
    <w:rsid w:val="0067210D"/>
    <w:rsid w:val="00675A29"/>
    <w:rsid w:val="00675C81"/>
    <w:rsid w:val="00675F2A"/>
    <w:rsid w:val="0068034D"/>
    <w:rsid w:val="00681152"/>
    <w:rsid w:val="00682987"/>
    <w:rsid w:val="00682CE5"/>
    <w:rsid w:val="006836E1"/>
    <w:rsid w:val="006841DC"/>
    <w:rsid w:val="0068468E"/>
    <w:rsid w:val="006852D5"/>
    <w:rsid w:val="00685DAD"/>
    <w:rsid w:val="0068615D"/>
    <w:rsid w:val="0068675A"/>
    <w:rsid w:val="006908C7"/>
    <w:rsid w:val="0069106B"/>
    <w:rsid w:val="00691AF2"/>
    <w:rsid w:val="00691C32"/>
    <w:rsid w:val="00691CB2"/>
    <w:rsid w:val="00691E53"/>
    <w:rsid w:val="00693712"/>
    <w:rsid w:val="0069390B"/>
    <w:rsid w:val="00694527"/>
    <w:rsid w:val="0069550C"/>
    <w:rsid w:val="0069617F"/>
    <w:rsid w:val="00697465"/>
    <w:rsid w:val="00697EB1"/>
    <w:rsid w:val="006A147D"/>
    <w:rsid w:val="006A2310"/>
    <w:rsid w:val="006A2706"/>
    <w:rsid w:val="006A314F"/>
    <w:rsid w:val="006A3241"/>
    <w:rsid w:val="006A3C67"/>
    <w:rsid w:val="006A406D"/>
    <w:rsid w:val="006A498B"/>
    <w:rsid w:val="006A60EB"/>
    <w:rsid w:val="006A7DA6"/>
    <w:rsid w:val="006B150C"/>
    <w:rsid w:val="006B1DCE"/>
    <w:rsid w:val="006B295D"/>
    <w:rsid w:val="006B3767"/>
    <w:rsid w:val="006B42B2"/>
    <w:rsid w:val="006B51B8"/>
    <w:rsid w:val="006B6180"/>
    <w:rsid w:val="006B692B"/>
    <w:rsid w:val="006C0E3D"/>
    <w:rsid w:val="006C177A"/>
    <w:rsid w:val="006C1B13"/>
    <w:rsid w:val="006C32C4"/>
    <w:rsid w:val="006C439B"/>
    <w:rsid w:val="006D067F"/>
    <w:rsid w:val="006D07FB"/>
    <w:rsid w:val="006D2CD2"/>
    <w:rsid w:val="006D3A79"/>
    <w:rsid w:val="006D4929"/>
    <w:rsid w:val="006D5A67"/>
    <w:rsid w:val="006D5AE6"/>
    <w:rsid w:val="006D762E"/>
    <w:rsid w:val="006D7DFD"/>
    <w:rsid w:val="006E0ECE"/>
    <w:rsid w:val="006E16D1"/>
    <w:rsid w:val="006E262A"/>
    <w:rsid w:val="006E2B6D"/>
    <w:rsid w:val="006E3906"/>
    <w:rsid w:val="006E3C88"/>
    <w:rsid w:val="006E4C1C"/>
    <w:rsid w:val="006E6516"/>
    <w:rsid w:val="006F09D8"/>
    <w:rsid w:val="006F1624"/>
    <w:rsid w:val="006F2791"/>
    <w:rsid w:val="006F3052"/>
    <w:rsid w:val="006F31BD"/>
    <w:rsid w:val="006F3259"/>
    <w:rsid w:val="006F3C00"/>
    <w:rsid w:val="006F3C52"/>
    <w:rsid w:val="006F6867"/>
    <w:rsid w:val="006F6943"/>
    <w:rsid w:val="006F78DB"/>
    <w:rsid w:val="00700696"/>
    <w:rsid w:val="00702C42"/>
    <w:rsid w:val="00704A2E"/>
    <w:rsid w:val="007057AB"/>
    <w:rsid w:val="00705F57"/>
    <w:rsid w:val="00707343"/>
    <w:rsid w:val="007073FB"/>
    <w:rsid w:val="00710C28"/>
    <w:rsid w:val="00711C08"/>
    <w:rsid w:val="00711CC1"/>
    <w:rsid w:val="00712ED3"/>
    <w:rsid w:val="007144BC"/>
    <w:rsid w:val="00714697"/>
    <w:rsid w:val="00714783"/>
    <w:rsid w:val="00714ACA"/>
    <w:rsid w:val="00714C9E"/>
    <w:rsid w:val="00715651"/>
    <w:rsid w:val="00717903"/>
    <w:rsid w:val="00717B10"/>
    <w:rsid w:val="00720770"/>
    <w:rsid w:val="0072209B"/>
    <w:rsid w:val="00722113"/>
    <w:rsid w:val="00723D43"/>
    <w:rsid w:val="00724B29"/>
    <w:rsid w:val="00726246"/>
    <w:rsid w:val="007262EB"/>
    <w:rsid w:val="00727A78"/>
    <w:rsid w:val="00727DFE"/>
    <w:rsid w:val="00730A5A"/>
    <w:rsid w:val="00731207"/>
    <w:rsid w:val="007317A5"/>
    <w:rsid w:val="00734430"/>
    <w:rsid w:val="00737D32"/>
    <w:rsid w:val="0074053C"/>
    <w:rsid w:val="00740ADA"/>
    <w:rsid w:val="00740D10"/>
    <w:rsid w:val="00742A57"/>
    <w:rsid w:val="00743D4D"/>
    <w:rsid w:val="00743EB1"/>
    <w:rsid w:val="0074485F"/>
    <w:rsid w:val="007451A8"/>
    <w:rsid w:val="0074527C"/>
    <w:rsid w:val="00745BF2"/>
    <w:rsid w:val="00745E2B"/>
    <w:rsid w:val="00746757"/>
    <w:rsid w:val="00747233"/>
    <w:rsid w:val="00747784"/>
    <w:rsid w:val="00747B8E"/>
    <w:rsid w:val="00747C55"/>
    <w:rsid w:val="007516DC"/>
    <w:rsid w:val="00751ADD"/>
    <w:rsid w:val="007520F6"/>
    <w:rsid w:val="007532C0"/>
    <w:rsid w:val="0075572A"/>
    <w:rsid w:val="00756020"/>
    <w:rsid w:val="00756098"/>
    <w:rsid w:val="00757F3C"/>
    <w:rsid w:val="00760B96"/>
    <w:rsid w:val="007631E0"/>
    <w:rsid w:val="00763628"/>
    <w:rsid w:val="00763BF3"/>
    <w:rsid w:val="00764906"/>
    <w:rsid w:val="00764F87"/>
    <w:rsid w:val="00766F41"/>
    <w:rsid w:val="00767A6B"/>
    <w:rsid w:val="00771094"/>
    <w:rsid w:val="00771421"/>
    <w:rsid w:val="00772E4B"/>
    <w:rsid w:val="007744D5"/>
    <w:rsid w:val="0077459E"/>
    <w:rsid w:val="00774B5B"/>
    <w:rsid w:val="00775448"/>
    <w:rsid w:val="0077676B"/>
    <w:rsid w:val="007775FB"/>
    <w:rsid w:val="00780F68"/>
    <w:rsid w:val="00782356"/>
    <w:rsid w:val="00782782"/>
    <w:rsid w:val="00782BB3"/>
    <w:rsid w:val="007841E0"/>
    <w:rsid w:val="0078444F"/>
    <w:rsid w:val="007863FC"/>
    <w:rsid w:val="007866DC"/>
    <w:rsid w:val="0078683E"/>
    <w:rsid w:val="00786CD6"/>
    <w:rsid w:val="00787039"/>
    <w:rsid w:val="00787ED5"/>
    <w:rsid w:val="007901EE"/>
    <w:rsid w:val="00791465"/>
    <w:rsid w:val="0079184E"/>
    <w:rsid w:val="0079276A"/>
    <w:rsid w:val="0079477F"/>
    <w:rsid w:val="00794AA8"/>
    <w:rsid w:val="00796986"/>
    <w:rsid w:val="00796C4F"/>
    <w:rsid w:val="00796F39"/>
    <w:rsid w:val="00796F7A"/>
    <w:rsid w:val="00797A49"/>
    <w:rsid w:val="007A0A44"/>
    <w:rsid w:val="007A1488"/>
    <w:rsid w:val="007A1A81"/>
    <w:rsid w:val="007A2884"/>
    <w:rsid w:val="007A2E53"/>
    <w:rsid w:val="007A3705"/>
    <w:rsid w:val="007A39B0"/>
    <w:rsid w:val="007A7BBE"/>
    <w:rsid w:val="007B002B"/>
    <w:rsid w:val="007B196E"/>
    <w:rsid w:val="007B1F09"/>
    <w:rsid w:val="007B3B4F"/>
    <w:rsid w:val="007B48B3"/>
    <w:rsid w:val="007B566C"/>
    <w:rsid w:val="007B686F"/>
    <w:rsid w:val="007B6CEF"/>
    <w:rsid w:val="007B7124"/>
    <w:rsid w:val="007C17AD"/>
    <w:rsid w:val="007C247A"/>
    <w:rsid w:val="007C4731"/>
    <w:rsid w:val="007C546A"/>
    <w:rsid w:val="007C7131"/>
    <w:rsid w:val="007C715F"/>
    <w:rsid w:val="007D0644"/>
    <w:rsid w:val="007D0A2D"/>
    <w:rsid w:val="007D289A"/>
    <w:rsid w:val="007D3525"/>
    <w:rsid w:val="007D3ACE"/>
    <w:rsid w:val="007D3BC4"/>
    <w:rsid w:val="007D5178"/>
    <w:rsid w:val="007D64EC"/>
    <w:rsid w:val="007D6627"/>
    <w:rsid w:val="007D7E1F"/>
    <w:rsid w:val="007E05A2"/>
    <w:rsid w:val="007E1089"/>
    <w:rsid w:val="007E1B26"/>
    <w:rsid w:val="007E1F8D"/>
    <w:rsid w:val="007E2010"/>
    <w:rsid w:val="007E2B17"/>
    <w:rsid w:val="007E4AC9"/>
    <w:rsid w:val="007E5E24"/>
    <w:rsid w:val="007E64B4"/>
    <w:rsid w:val="007F05AE"/>
    <w:rsid w:val="007F1189"/>
    <w:rsid w:val="007F1E72"/>
    <w:rsid w:val="007F2565"/>
    <w:rsid w:val="007F2C37"/>
    <w:rsid w:val="007F4798"/>
    <w:rsid w:val="007F67A6"/>
    <w:rsid w:val="007F78D6"/>
    <w:rsid w:val="00800118"/>
    <w:rsid w:val="00800438"/>
    <w:rsid w:val="008009A2"/>
    <w:rsid w:val="00801819"/>
    <w:rsid w:val="008019A5"/>
    <w:rsid w:val="008020C2"/>
    <w:rsid w:val="008020CD"/>
    <w:rsid w:val="00803543"/>
    <w:rsid w:val="00803917"/>
    <w:rsid w:val="00806AFC"/>
    <w:rsid w:val="00807134"/>
    <w:rsid w:val="00810094"/>
    <w:rsid w:val="00810336"/>
    <w:rsid w:val="0081156D"/>
    <w:rsid w:val="00811B30"/>
    <w:rsid w:val="00812D95"/>
    <w:rsid w:val="00813448"/>
    <w:rsid w:val="00814EDE"/>
    <w:rsid w:val="00815E52"/>
    <w:rsid w:val="0081612B"/>
    <w:rsid w:val="00816ED1"/>
    <w:rsid w:val="00817F95"/>
    <w:rsid w:val="00821D82"/>
    <w:rsid w:val="0082281B"/>
    <w:rsid w:val="008230F2"/>
    <w:rsid w:val="00823442"/>
    <w:rsid w:val="00823CFE"/>
    <w:rsid w:val="00823FD5"/>
    <w:rsid w:val="008242ED"/>
    <w:rsid w:val="008252E0"/>
    <w:rsid w:val="008276BB"/>
    <w:rsid w:val="00830F6A"/>
    <w:rsid w:val="0083124F"/>
    <w:rsid w:val="0083240D"/>
    <w:rsid w:val="00832582"/>
    <w:rsid w:val="0083291E"/>
    <w:rsid w:val="00832EA6"/>
    <w:rsid w:val="00832FD6"/>
    <w:rsid w:val="0083315C"/>
    <w:rsid w:val="0083336E"/>
    <w:rsid w:val="00834066"/>
    <w:rsid w:val="008343B4"/>
    <w:rsid w:val="008350FC"/>
    <w:rsid w:val="0083640F"/>
    <w:rsid w:val="00837A55"/>
    <w:rsid w:val="00837B9A"/>
    <w:rsid w:val="00837E1F"/>
    <w:rsid w:val="008405CE"/>
    <w:rsid w:val="008405CF"/>
    <w:rsid w:val="00840C90"/>
    <w:rsid w:val="00841726"/>
    <w:rsid w:val="008417D1"/>
    <w:rsid w:val="008426AA"/>
    <w:rsid w:val="0084295A"/>
    <w:rsid w:val="0084393F"/>
    <w:rsid w:val="008455D8"/>
    <w:rsid w:val="00846269"/>
    <w:rsid w:val="00846871"/>
    <w:rsid w:val="00851511"/>
    <w:rsid w:val="008536CA"/>
    <w:rsid w:val="00854080"/>
    <w:rsid w:val="008547C2"/>
    <w:rsid w:val="00854A89"/>
    <w:rsid w:val="00854EFF"/>
    <w:rsid w:val="00855355"/>
    <w:rsid w:val="008557C2"/>
    <w:rsid w:val="00855F97"/>
    <w:rsid w:val="008562BF"/>
    <w:rsid w:val="00856B95"/>
    <w:rsid w:val="00856BB7"/>
    <w:rsid w:val="00856CC1"/>
    <w:rsid w:val="00860333"/>
    <w:rsid w:val="0086080D"/>
    <w:rsid w:val="008634DE"/>
    <w:rsid w:val="00863EDD"/>
    <w:rsid w:val="008647BD"/>
    <w:rsid w:val="00865C1E"/>
    <w:rsid w:val="008665C4"/>
    <w:rsid w:val="00867475"/>
    <w:rsid w:val="0086751C"/>
    <w:rsid w:val="008677E3"/>
    <w:rsid w:val="0087010D"/>
    <w:rsid w:val="00870B41"/>
    <w:rsid w:val="0087195C"/>
    <w:rsid w:val="00871D86"/>
    <w:rsid w:val="0087210B"/>
    <w:rsid w:val="008735D2"/>
    <w:rsid w:val="00873C6E"/>
    <w:rsid w:val="00873CC9"/>
    <w:rsid w:val="00873EB9"/>
    <w:rsid w:val="008753B7"/>
    <w:rsid w:val="00875D5A"/>
    <w:rsid w:val="00875F1E"/>
    <w:rsid w:val="00880351"/>
    <w:rsid w:val="0088086C"/>
    <w:rsid w:val="00880A9D"/>
    <w:rsid w:val="008825BB"/>
    <w:rsid w:val="00882735"/>
    <w:rsid w:val="0088275A"/>
    <w:rsid w:val="00882EFE"/>
    <w:rsid w:val="0088381D"/>
    <w:rsid w:val="00885C05"/>
    <w:rsid w:val="00885F6F"/>
    <w:rsid w:val="008902D3"/>
    <w:rsid w:val="00890F28"/>
    <w:rsid w:val="0089146E"/>
    <w:rsid w:val="00892541"/>
    <w:rsid w:val="0089372D"/>
    <w:rsid w:val="00893E14"/>
    <w:rsid w:val="0089533C"/>
    <w:rsid w:val="00895554"/>
    <w:rsid w:val="008957A8"/>
    <w:rsid w:val="00895A54"/>
    <w:rsid w:val="00895FEC"/>
    <w:rsid w:val="00896B6A"/>
    <w:rsid w:val="00897C33"/>
    <w:rsid w:val="008A0454"/>
    <w:rsid w:val="008A04A1"/>
    <w:rsid w:val="008A0FFD"/>
    <w:rsid w:val="008A1381"/>
    <w:rsid w:val="008A1A60"/>
    <w:rsid w:val="008A26E3"/>
    <w:rsid w:val="008A3B56"/>
    <w:rsid w:val="008A4281"/>
    <w:rsid w:val="008A537D"/>
    <w:rsid w:val="008A7240"/>
    <w:rsid w:val="008A75F3"/>
    <w:rsid w:val="008A7BFC"/>
    <w:rsid w:val="008A7CF7"/>
    <w:rsid w:val="008A7FAD"/>
    <w:rsid w:val="008B0A80"/>
    <w:rsid w:val="008B100F"/>
    <w:rsid w:val="008B1B41"/>
    <w:rsid w:val="008B1DA6"/>
    <w:rsid w:val="008B3660"/>
    <w:rsid w:val="008B4923"/>
    <w:rsid w:val="008C0574"/>
    <w:rsid w:val="008C1E58"/>
    <w:rsid w:val="008C210D"/>
    <w:rsid w:val="008C2E64"/>
    <w:rsid w:val="008C3267"/>
    <w:rsid w:val="008C3E59"/>
    <w:rsid w:val="008C40F3"/>
    <w:rsid w:val="008C480D"/>
    <w:rsid w:val="008C4C45"/>
    <w:rsid w:val="008C5A7C"/>
    <w:rsid w:val="008C651B"/>
    <w:rsid w:val="008C7138"/>
    <w:rsid w:val="008D031D"/>
    <w:rsid w:val="008D136B"/>
    <w:rsid w:val="008D20A4"/>
    <w:rsid w:val="008D21E2"/>
    <w:rsid w:val="008D2564"/>
    <w:rsid w:val="008D28CC"/>
    <w:rsid w:val="008D3C26"/>
    <w:rsid w:val="008D6678"/>
    <w:rsid w:val="008E1626"/>
    <w:rsid w:val="008E1970"/>
    <w:rsid w:val="008E270C"/>
    <w:rsid w:val="008E51D4"/>
    <w:rsid w:val="008E66F8"/>
    <w:rsid w:val="008E74EF"/>
    <w:rsid w:val="008E7904"/>
    <w:rsid w:val="008E7DE2"/>
    <w:rsid w:val="008E7EFA"/>
    <w:rsid w:val="008F0220"/>
    <w:rsid w:val="008F051D"/>
    <w:rsid w:val="008F0FC5"/>
    <w:rsid w:val="008F0FD2"/>
    <w:rsid w:val="008F127A"/>
    <w:rsid w:val="008F17A3"/>
    <w:rsid w:val="008F2762"/>
    <w:rsid w:val="008F4376"/>
    <w:rsid w:val="008F59AF"/>
    <w:rsid w:val="008F5B07"/>
    <w:rsid w:val="008F5E59"/>
    <w:rsid w:val="008F61FC"/>
    <w:rsid w:val="008F636F"/>
    <w:rsid w:val="008F665A"/>
    <w:rsid w:val="008F6A4F"/>
    <w:rsid w:val="008F74A5"/>
    <w:rsid w:val="00901474"/>
    <w:rsid w:val="009014FD"/>
    <w:rsid w:val="00902AA7"/>
    <w:rsid w:val="00902C55"/>
    <w:rsid w:val="00903496"/>
    <w:rsid w:val="00903A37"/>
    <w:rsid w:val="009041F8"/>
    <w:rsid w:val="00904CF1"/>
    <w:rsid w:val="00904D53"/>
    <w:rsid w:val="009057C0"/>
    <w:rsid w:val="00905C49"/>
    <w:rsid w:val="00906C53"/>
    <w:rsid w:val="0090737A"/>
    <w:rsid w:val="0091058F"/>
    <w:rsid w:val="009112B1"/>
    <w:rsid w:val="00911469"/>
    <w:rsid w:val="0091491D"/>
    <w:rsid w:val="0091517B"/>
    <w:rsid w:val="009151DC"/>
    <w:rsid w:val="009203CE"/>
    <w:rsid w:val="00921597"/>
    <w:rsid w:val="00921696"/>
    <w:rsid w:val="009225E7"/>
    <w:rsid w:val="0092525C"/>
    <w:rsid w:val="009257EE"/>
    <w:rsid w:val="0092612C"/>
    <w:rsid w:val="009262E3"/>
    <w:rsid w:val="00926593"/>
    <w:rsid w:val="00926E7F"/>
    <w:rsid w:val="00927E7F"/>
    <w:rsid w:val="009300E6"/>
    <w:rsid w:val="0093021F"/>
    <w:rsid w:val="00931856"/>
    <w:rsid w:val="00931957"/>
    <w:rsid w:val="00932259"/>
    <w:rsid w:val="00933AA3"/>
    <w:rsid w:val="00934D96"/>
    <w:rsid w:val="00937B2D"/>
    <w:rsid w:val="00937F6E"/>
    <w:rsid w:val="00940113"/>
    <w:rsid w:val="00940225"/>
    <w:rsid w:val="0094164C"/>
    <w:rsid w:val="009417FA"/>
    <w:rsid w:val="00942069"/>
    <w:rsid w:val="009429D4"/>
    <w:rsid w:val="00942CAC"/>
    <w:rsid w:val="00943D4D"/>
    <w:rsid w:val="00944464"/>
    <w:rsid w:val="00945BC4"/>
    <w:rsid w:val="0094716C"/>
    <w:rsid w:val="009503FE"/>
    <w:rsid w:val="00952225"/>
    <w:rsid w:val="0095291D"/>
    <w:rsid w:val="009533EA"/>
    <w:rsid w:val="00953611"/>
    <w:rsid w:val="00954778"/>
    <w:rsid w:val="00955175"/>
    <w:rsid w:val="0095687B"/>
    <w:rsid w:val="00956BCE"/>
    <w:rsid w:val="00957730"/>
    <w:rsid w:val="00957CF6"/>
    <w:rsid w:val="00957E66"/>
    <w:rsid w:val="00960CDB"/>
    <w:rsid w:val="00962E0E"/>
    <w:rsid w:val="00964882"/>
    <w:rsid w:val="009648F1"/>
    <w:rsid w:val="00964C44"/>
    <w:rsid w:val="00964DFA"/>
    <w:rsid w:val="00965463"/>
    <w:rsid w:val="0096634B"/>
    <w:rsid w:val="0097136D"/>
    <w:rsid w:val="00971D2F"/>
    <w:rsid w:val="009729D1"/>
    <w:rsid w:val="009734F5"/>
    <w:rsid w:val="009737E6"/>
    <w:rsid w:val="0097492C"/>
    <w:rsid w:val="00974E2D"/>
    <w:rsid w:val="00974F41"/>
    <w:rsid w:val="00975228"/>
    <w:rsid w:val="0097585E"/>
    <w:rsid w:val="00975DB5"/>
    <w:rsid w:val="00976DCD"/>
    <w:rsid w:val="00976F0D"/>
    <w:rsid w:val="0098066C"/>
    <w:rsid w:val="00980EBE"/>
    <w:rsid w:val="009812F2"/>
    <w:rsid w:val="009814B0"/>
    <w:rsid w:val="00981871"/>
    <w:rsid w:val="00981D66"/>
    <w:rsid w:val="00984181"/>
    <w:rsid w:val="009846C9"/>
    <w:rsid w:val="009855FE"/>
    <w:rsid w:val="0098571F"/>
    <w:rsid w:val="00987780"/>
    <w:rsid w:val="0099005D"/>
    <w:rsid w:val="0099280C"/>
    <w:rsid w:val="00992B0D"/>
    <w:rsid w:val="009949C6"/>
    <w:rsid w:val="00995B7F"/>
    <w:rsid w:val="009963FD"/>
    <w:rsid w:val="009969E0"/>
    <w:rsid w:val="00996B5C"/>
    <w:rsid w:val="009A0545"/>
    <w:rsid w:val="009A0AA6"/>
    <w:rsid w:val="009A0B4E"/>
    <w:rsid w:val="009A1EC2"/>
    <w:rsid w:val="009A2F77"/>
    <w:rsid w:val="009A36AF"/>
    <w:rsid w:val="009A3E97"/>
    <w:rsid w:val="009A591E"/>
    <w:rsid w:val="009A5AC2"/>
    <w:rsid w:val="009A77E7"/>
    <w:rsid w:val="009B022C"/>
    <w:rsid w:val="009B1B5C"/>
    <w:rsid w:val="009B306D"/>
    <w:rsid w:val="009B4183"/>
    <w:rsid w:val="009B4B79"/>
    <w:rsid w:val="009B5983"/>
    <w:rsid w:val="009B5B4C"/>
    <w:rsid w:val="009B7B65"/>
    <w:rsid w:val="009C052D"/>
    <w:rsid w:val="009C09A0"/>
    <w:rsid w:val="009C2135"/>
    <w:rsid w:val="009C321B"/>
    <w:rsid w:val="009C323D"/>
    <w:rsid w:val="009C36F1"/>
    <w:rsid w:val="009C3B51"/>
    <w:rsid w:val="009C3E3C"/>
    <w:rsid w:val="009C4F54"/>
    <w:rsid w:val="009C5271"/>
    <w:rsid w:val="009C63A4"/>
    <w:rsid w:val="009C63D5"/>
    <w:rsid w:val="009C656C"/>
    <w:rsid w:val="009C6B5F"/>
    <w:rsid w:val="009C787C"/>
    <w:rsid w:val="009C7FC6"/>
    <w:rsid w:val="009D0B63"/>
    <w:rsid w:val="009D161A"/>
    <w:rsid w:val="009D1693"/>
    <w:rsid w:val="009D1BCC"/>
    <w:rsid w:val="009D2725"/>
    <w:rsid w:val="009D3959"/>
    <w:rsid w:val="009D3D26"/>
    <w:rsid w:val="009D3DC3"/>
    <w:rsid w:val="009D4AB7"/>
    <w:rsid w:val="009D5302"/>
    <w:rsid w:val="009D55A6"/>
    <w:rsid w:val="009D62F3"/>
    <w:rsid w:val="009D63D1"/>
    <w:rsid w:val="009D6A51"/>
    <w:rsid w:val="009D754F"/>
    <w:rsid w:val="009D7C51"/>
    <w:rsid w:val="009E1181"/>
    <w:rsid w:val="009E123D"/>
    <w:rsid w:val="009E1301"/>
    <w:rsid w:val="009E1896"/>
    <w:rsid w:val="009E1925"/>
    <w:rsid w:val="009E1980"/>
    <w:rsid w:val="009E1ACC"/>
    <w:rsid w:val="009E20B0"/>
    <w:rsid w:val="009E2833"/>
    <w:rsid w:val="009E2BB3"/>
    <w:rsid w:val="009E325E"/>
    <w:rsid w:val="009E3484"/>
    <w:rsid w:val="009E3D41"/>
    <w:rsid w:val="009E569F"/>
    <w:rsid w:val="009E5FDA"/>
    <w:rsid w:val="009E646F"/>
    <w:rsid w:val="009E776E"/>
    <w:rsid w:val="009F0A41"/>
    <w:rsid w:val="009F1760"/>
    <w:rsid w:val="009F3951"/>
    <w:rsid w:val="009F4396"/>
    <w:rsid w:val="009F4D0C"/>
    <w:rsid w:val="009F5BAA"/>
    <w:rsid w:val="009F5D93"/>
    <w:rsid w:val="009F663C"/>
    <w:rsid w:val="009F6F14"/>
    <w:rsid w:val="009F7433"/>
    <w:rsid w:val="00A00F3C"/>
    <w:rsid w:val="00A0144A"/>
    <w:rsid w:val="00A016D3"/>
    <w:rsid w:val="00A018CB"/>
    <w:rsid w:val="00A01BA2"/>
    <w:rsid w:val="00A027EA"/>
    <w:rsid w:val="00A02844"/>
    <w:rsid w:val="00A034F2"/>
    <w:rsid w:val="00A042CC"/>
    <w:rsid w:val="00A0471E"/>
    <w:rsid w:val="00A0561D"/>
    <w:rsid w:val="00A06BF5"/>
    <w:rsid w:val="00A076B8"/>
    <w:rsid w:val="00A07E9C"/>
    <w:rsid w:val="00A11066"/>
    <w:rsid w:val="00A1196D"/>
    <w:rsid w:val="00A11A36"/>
    <w:rsid w:val="00A122F8"/>
    <w:rsid w:val="00A1243E"/>
    <w:rsid w:val="00A12914"/>
    <w:rsid w:val="00A12EEB"/>
    <w:rsid w:val="00A14173"/>
    <w:rsid w:val="00A15555"/>
    <w:rsid w:val="00A167B8"/>
    <w:rsid w:val="00A16F09"/>
    <w:rsid w:val="00A17060"/>
    <w:rsid w:val="00A17ED7"/>
    <w:rsid w:val="00A20492"/>
    <w:rsid w:val="00A2185E"/>
    <w:rsid w:val="00A21919"/>
    <w:rsid w:val="00A22D42"/>
    <w:rsid w:val="00A22E25"/>
    <w:rsid w:val="00A26381"/>
    <w:rsid w:val="00A278BA"/>
    <w:rsid w:val="00A303C7"/>
    <w:rsid w:val="00A31C08"/>
    <w:rsid w:val="00A32889"/>
    <w:rsid w:val="00A32B5C"/>
    <w:rsid w:val="00A331C2"/>
    <w:rsid w:val="00A343CE"/>
    <w:rsid w:val="00A36A40"/>
    <w:rsid w:val="00A36D42"/>
    <w:rsid w:val="00A37016"/>
    <w:rsid w:val="00A4035D"/>
    <w:rsid w:val="00A4134A"/>
    <w:rsid w:val="00A414A1"/>
    <w:rsid w:val="00A417B4"/>
    <w:rsid w:val="00A41BC0"/>
    <w:rsid w:val="00A42348"/>
    <w:rsid w:val="00A4260E"/>
    <w:rsid w:val="00A42893"/>
    <w:rsid w:val="00A42906"/>
    <w:rsid w:val="00A43E5D"/>
    <w:rsid w:val="00A445B7"/>
    <w:rsid w:val="00A45490"/>
    <w:rsid w:val="00A4723D"/>
    <w:rsid w:val="00A47250"/>
    <w:rsid w:val="00A50260"/>
    <w:rsid w:val="00A5180C"/>
    <w:rsid w:val="00A521EE"/>
    <w:rsid w:val="00A5427C"/>
    <w:rsid w:val="00A5457C"/>
    <w:rsid w:val="00A56241"/>
    <w:rsid w:val="00A603C3"/>
    <w:rsid w:val="00A61267"/>
    <w:rsid w:val="00A62509"/>
    <w:rsid w:val="00A63829"/>
    <w:rsid w:val="00A63C36"/>
    <w:rsid w:val="00A63C4C"/>
    <w:rsid w:val="00A64250"/>
    <w:rsid w:val="00A64FD8"/>
    <w:rsid w:val="00A6550F"/>
    <w:rsid w:val="00A67C97"/>
    <w:rsid w:val="00A67F1F"/>
    <w:rsid w:val="00A702A5"/>
    <w:rsid w:val="00A704FE"/>
    <w:rsid w:val="00A711F9"/>
    <w:rsid w:val="00A71783"/>
    <w:rsid w:val="00A719FE"/>
    <w:rsid w:val="00A74784"/>
    <w:rsid w:val="00A74937"/>
    <w:rsid w:val="00A7584F"/>
    <w:rsid w:val="00A75B8E"/>
    <w:rsid w:val="00A80111"/>
    <w:rsid w:val="00A8097A"/>
    <w:rsid w:val="00A81DF8"/>
    <w:rsid w:val="00A82011"/>
    <w:rsid w:val="00A82B55"/>
    <w:rsid w:val="00A82FEF"/>
    <w:rsid w:val="00A8347C"/>
    <w:rsid w:val="00A83A53"/>
    <w:rsid w:val="00A83F39"/>
    <w:rsid w:val="00A84210"/>
    <w:rsid w:val="00A84B32"/>
    <w:rsid w:val="00A84C82"/>
    <w:rsid w:val="00A85465"/>
    <w:rsid w:val="00A866AE"/>
    <w:rsid w:val="00A878A5"/>
    <w:rsid w:val="00A87B35"/>
    <w:rsid w:val="00A87D38"/>
    <w:rsid w:val="00A91C01"/>
    <w:rsid w:val="00A92225"/>
    <w:rsid w:val="00A9381F"/>
    <w:rsid w:val="00A958D5"/>
    <w:rsid w:val="00A95B9A"/>
    <w:rsid w:val="00A95CB4"/>
    <w:rsid w:val="00A976E6"/>
    <w:rsid w:val="00AA00D8"/>
    <w:rsid w:val="00AA32DA"/>
    <w:rsid w:val="00AA45A4"/>
    <w:rsid w:val="00AA4712"/>
    <w:rsid w:val="00AA4FAB"/>
    <w:rsid w:val="00AA5A7F"/>
    <w:rsid w:val="00AA65F4"/>
    <w:rsid w:val="00AA7A71"/>
    <w:rsid w:val="00AB01B3"/>
    <w:rsid w:val="00AB1B2B"/>
    <w:rsid w:val="00AB3B00"/>
    <w:rsid w:val="00AB43EE"/>
    <w:rsid w:val="00AB4C38"/>
    <w:rsid w:val="00AB4F07"/>
    <w:rsid w:val="00AB5121"/>
    <w:rsid w:val="00AB51EA"/>
    <w:rsid w:val="00AB5FB4"/>
    <w:rsid w:val="00AB6F0C"/>
    <w:rsid w:val="00AB6F95"/>
    <w:rsid w:val="00AB711F"/>
    <w:rsid w:val="00AB77EE"/>
    <w:rsid w:val="00AC1EC5"/>
    <w:rsid w:val="00AC4AC4"/>
    <w:rsid w:val="00AC7F40"/>
    <w:rsid w:val="00AC7FDF"/>
    <w:rsid w:val="00AD0544"/>
    <w:rsid w:val="00AD061A"/>
    <w:rsid w:val="00AD1C15"/>
    <w:rsid w:val="00AD35F0"/>
    <w:rsid w:val="00AD37FD"/>
    <w:rsid w:val="00AD6B3C"/>
    <w:rsid w:val="00AE099A"/>
    <w:rsid w:val="00AE154F"/>
    <w:rsid w:val="00AE18E1"/>
    <w:rsid w:val="00AE1EE1"/>
    <w:rsid w:val="00AE207E"/>
    <w:rsid w:val="00AE2782"/>
    <w:rsid w:val="00AE2C20"/>
    <w:rsid w:val="00AE2D65"/>
    <w:rsid w:val="00AE3698"/>
    <w:rsid w:val="00AE37C7"/>
    <w:rsid w:val="00AE3DAE"/>
    <w:rsid w:val="00AE412E"/>
    <w:rsid w:val="00AE4DA5"/>
    <w:rsid w:val="00AE5925"/>
    <w:rsid w:val="00AE5E46"/>
    <w:rsid w:val="00AF05EC"/>
    <w:rsid w:val="00AF06F9"/>
    <w:rsid w:val="00AF252E"/>
    <w:rsid w:val="00AF2A67"/>
    <w:rsid w:val="00AF2AE0"/>
    <w:rsid w:val="00AF2E53"/>
    <w:rsid w:val="00AF399D"/>
    <w:rsid w:val="00AF3B7B"/>
    <w:rsid w:val="00AF3D6B"/>
    <w:rsid w:val="00AF4917"/>
    <w:rsid w:val="00AF4DC9"/>
    <w:rsid w:val="00AF6292"/>
    <w:rsid w:val="00AF680F"/>
    <w:rsid w:val="00AF6DF0"/>
    <w:rsid w:val="00B00504"/>
    <w:rsid w:val="00B00514"/>
    <w:rsid w:val="00B00C04"/>
    <w:rsid w:val="00B01109"/>
    <w:rsid w:val="00B01C2D"/>
    <w:rsid w:val="00B01FAF"/>
    <w:rsid w:val="00B024B0"/>
    <w:rsid w:val="00B04260"/>
    <w:rsid w:val="00B04A4E"/>
    <w:rsid w:val="00B0511A"/>
    <w:rsid w:val="00B05343"/>
    <w:rsid w:val="00B05D39"/>
    <w:rsid w:val="00B0633D"/>
    <w:rsid w:val="00B100BE"/>
    <w:rsid w:val="00B10C49"/>
    <w:rsid w:val="00B11284"/>
    <w:rsid w:val="00B11F80"/>
    <w:rsid w:val="00B1223F"/>
    <w:rsid w:val="00B12BA9"/>
    <w:rsid w:val="00B1375B"/>
    <w:rsid w:val="00B13A6B"/>
    <w:rsid w:val="00B13B95"/>
    <w:rsid w:val="00B14012"/>
    <w:rsid w:val="00B14FF9"/>
    <w:rsid w:val="00B15D9A"/>
    <w:rsid w:val="00B160F4"/>
    <w:rsid w:val="00B1629F"/>
    <w:rsid w:val="00B1684F"/>
    <w:rsid w:val="00B1722F"/>
    <w:rsid w:val="00B17CCB"/>
    <w:rsid w:val="00B207AC"/>
    <w:rsid w:val="00B20D36"/>
    <w:rsid w:val="00B21512"/>
    <w:rsid w:val="00B21962"/>
    <w:rsid w:val="00B21FA2"/>
    <w:rsid w:val="00B227B0"/>
    <w:rsid w:val="00B235FF"/>
    <w:rsid w:val="00B24486"/>
    <w:rsid w:val="00B24846"/>
    <w:rsid w:val="00B25094"/>
    <w:rsid w:val="00B255A5"/>
    <w:rsid w:val="00B26963"/>
    <w:rsid w:val="00B26AA4"/>
    <w:rsid w:val="00B30BDA"/>
    <w:rsid w:val="00B30C98"/>
    <w:rsid w:val="00B315EC"/>
    <w:rsid w:val="00B32AE8"/>
    <w:rsid w:val="00B3323A"/>
    <w:rsid w:val="00B349CC"/>
    <w:rsid w:val="00B34ECD"/>
    <w:rsid w:val="00B3517D"/>
    <w:rsid w:val="00B359ED"/>
    <w:rsid w:val="00B36696"/>
    <w:rsid w:val="00B3751F"/>
    <w:rsid w:val="00B418D6"/>
    <w:rsid w:val="00B42948"/>
    <w:rsid w:val="00B43636"/>
    <w:rsid w:val="00B446F9"/>
    <w:rsid w:val="00B46ADF"/>
    <w:rsid w:val="00B46CCC"/>
    <w:rsid w:val="00B50382"/>
    <w:rsid w:val="00B512A3"/>
    <w:rsid w:val="00B51DF3"/>
    <w:rsid w:val="00B51F04"/>
    <w:rsid w:val="00B53331"/>
    <w:rsid w:val="00B535DA"/>
    <w:rsid w:val="00B5383A"/>
    <w:rsid w:val="00B557A7"/>
    <w:rsid w:val="00B559B2"/>
    <w:rsid w:val="00B565D4"/>
    <w:rsid w:val="00B56BAF"/>
    <w:rsid w:val="00B56D2F"/>
    <w:rsid w:val="00B56DA8"/>
    <w:rsid w:val="00B56DC9"/>
    <w:rsid w:val="00B57BF8"/>
    <w:rsid w:val="00B60187"/>
    <w:rsid w:val="00B60E51"/>
    <w:rsid w:val="00B63031"/>
    <w:rsid w:val="00B63F7F"/>
    <w:rsid w:val="00B64171"/>
    <w:rsid w:val="00B6537F"/>
    <w:rsid w:val="00B65433"/>
    <w:rsid w:val="00B65D0C"/>
    <w:rsid w:val="00B65DEE"/>
    <w:rsid w:val="00B669A0"/>
    <w:rsid w:val="00B673D7"/>
    <w:rsid w:val="00B67AD5"/>
    <w:rsid w:val="00B70938"/>
    <w:rsid w:val="00B71571"/>
    <w:rsid w:val="00B715B1"/>
    <w:rsid w:val="00B7619E"/>
    <w:rsid w:val="00B76F7C"/>
    <w:rsid w:val="00B77677"/>
    <w:rsid w:val="00B77A80"/>
    <w:rsid w:val="00B77BF3"/>
    <w:rsid w:val="00B77E36"/>
    <w:rsid w:val="00B82A87"/>
    <w:rsid w:val="00B83257"/>
    <w:rsid w:val="00B8381D"/>
    <w:rsid w:val="00B83E32"/>
    <w:rsid w:val="00B84964"/>
    <w:rsid w:val="00B849F3"/>
    <w:rsid w:val="00B857E3"/>
    <w:rsid w:val="00B85AC8"/>
    <w:rsid w:val="00B85F87"/>
    <w:rsid w:val="00B85FC1"/>
    <w:rsid w:val="00B9092D"/>
    <w:rsid w:val="00B91527"/>
    <w:rsid w:val="00B9198D"/>
    <w:rsid w:val="00B92470"/>
    <w:rsid w:val="00B92533"/>
    <w:rsid w:val="00B929D1"/>
    <w:rsid w:val="00B93AC6"/>
    <w:rsid w:val="00B95349"/>
    <w:rsid w:val="00B955C0"/>
    <w:rsid w:val="00B95B9C"/>
    <w:rsid w:val="00B961E2"/>
    <w:rsid w:val="00B9660E"/>
    <w:rsid w:val="00BA0067"/>
    <w:rsid w:val="00BA0F9A"/>
    <w:rsid w:val="00BA2169"/>
    <w:rsid w:val="00BA2179"/>
    <w:rsid w:val="00BA2D9E"/>
    <w:rsid w:val="00BA592A"/>
    <w:rsid w:val="00BA65AC"/>
    <w:rsid w:val="00BB2985"/>
    <w:rsid w:val="00BB7E4E"/>
    <w:rsid w:val="00BB7F4D"/>
    <w:rsid w:val="00BC0A20"/>
    <w:rsid w:val="00BC156D"/>
    <w:rsid w:val="00BC1BEC"/>
    <w:rsid w:val="00BC21A0"/>
    <w:rsid w:val="00BC26F0"/>
    <w:rsid w:val="00BC4EF3"/>
    <w:rsid w:val="00BC5B3C"/>
    <w:rsid w:val="00BC5FF1"/>
    <w:rsid w:val="00BC6AB5"/>
    <w:rsid w:val="00BC6D37"/>
    <w:rsid w:val="00BC7550"/>
    <w:rsid w:val="00BC77C0"/>
    <w:rsid w:val="00BC797D"/>
    <w:rsid w:val="00BD0B25"/>
    <w:rsid w:val="00BD2016"/>
    <w:rsid w:val="00BD234D"/>
    <w:rsid w:val="00BD2561"/>
    <w:rsid w:val="00BD2DD5"/>
    <w:rsid w:val="00BD30C2"/>
    <w:rsid w:val="00BD3ECA"/>
    <w:rsid w:val="00BD5DCD"/>
    <w:rsid w:val="00BD616D"/>
    <w:rsid w:val="00BD6276"/>
    <w:rsid w:val="00BD6C4D"/>
    <w:rsid w:val="00BE0997"/>
    <w:rsid w:val="00BE11F8"/>
    <w:rsid w:val="00BE1907"/>
    <w:rsid w:val="00BE1A97"/>
    <w:rsid w:val="00BE3481"/>
    <w:rsid w:val="00BE350E"/>
    <w:rsid w:val="00BE3AF3"/>
    <w:rsid w:val="00BE485B"/>
    <w:rsid w:val="00BE5E39"/>
    <w:rsid w:val="00BE6A74"/>
    <w:rsid w:val="00BE7D08"/>
    <w:rsid w:val="00BF026D"/>
    <w:rsid w:val="00BF0840"/>
    <w:rsid w:val="00BF0DFF"/>
    <w:rsid w:val="00BF22B8"/>
    <w:rsid w:val="00BF2603"/>
    <w:rsid w:val="00BF51CE"/>
    <w:rsid w:val="00BF5A57"/>
    <w:rsid w:val="00BF6541"/>
    <w:rsid w:val="00C01A0D"/>
    <w:rsid w:val="00C028D9"/>
    <w:rsid w:val="00C036E4"/>
    <w:rsid w:val="00C038B8"/>
    <w:rsid w:val="00C03B35"/>
    <w:rsid w:val="00C044EE"/>
    <w:rsid w:val="00C06574"/>
    <w:rsid w:val="00C06F31"/>
    <w:rsid w:val="00C0755D"/>
    <w:rsid w:val="00C07EB3"/>
    <w:rsid w:val="00C11EE9"/>
    <w:rsid w:val="00C11F7B"/>
    <w:rsid w:val="00C12B8C"/>
    <w:rsid w:val="00C155D9"/>
    <w:rsid w:val="00C17A20"/>
    <w:rsid w:val="00C204D2"/>
    <w:rsid w:val="00C2211D"/>
    <w:rsid w:val="00C22550"/>
    <w:rsid w:val="00C2344F"/>
    <w:rsid w:val="00C246F2"/>
    <w:rsid w:val="00C247A1"/>
    <w:rsid w:val="00C26707"/>
    <w:rsid w:val="00C27719"/>
    <w:rsid w:val="00C31BCD"/>
    <w:rsid w:val="00C320EB"/>
    <w:rsid w:val="00C329E1"/>
    <w:rsid w:val="00C32F7B"/>
    <w:rsid w:val="00C33395"/>
    <w:rsid w:val="00C33845"/>
    <w:rsid w:val="00C34EC0"/>
    <w:rsid w:val="00C3513F"/>
    <w:rsid w:val="00C355AA"/>
    <w:rsid w:val="00C36223"/>
    <w:rsid w:val="00C3670B"/>
    <w:rsid w:val="00C36F14"/>
    <w:rsid w:val="00C40725"/>
    <w:rsid w:val="00C4207E"/>
    <w:rsid w:val="00C421D8"/>
    <w:rsid w:val="00C42673"/>
    <w:rsid w:val="00C451A3"/>
    <w:rsid w:val="00C4577E"/>
    <w:rsid w:val="00C503E4"/>
    <w:rsid w:val="00C50C8F"/>
    <w:rsid w:val="00C50D41"/>
    <w:rsid w:val="00C51156"/>
    <w:rsid w:val="00C51909"/>
    <w:rsid w:val="00C51CC4"/>
    <w:rsid w:val="00C52403"/>
    <w:rsid w:val="00C5352E"/>
    <w:rsid w:val="00C53FD7"/>
    <w:rsid w:val="00C55A39"/>
    <w:rsid w:val="00C55C61"/>
    <w:rsid w:val="00C566FC"/>
    <w:rsid w:val="00C57047"/>
    <w:rsid w:val="00C5722E"/>
    <w:rsid w:val="00C616B5"/>
    <w:rsid w:val="00C630D3"/>
    <w:rsid w:val="00C64F44"/>
    <w:rsid w:val="00C650ED"/>
    <w:rsid w:val="00C65132"/>
    <w:rsid w:val="00C65AA7"/>
    <w:rsid w:val="00C65F6A"/>
    <w:rsid w:val="00C67F3E"/>
    <w:rsid w:val="00C70101"/>
    <w:rsid w:val="00C70128"/>
    <w:rsid w:val="00C70CD5"/>
    <w:rsid w:val="00C7194E"/>
    <w:rsid w:val="00C71DEC"/>
    <w:rsid w:val="00C7216F"/>
    <w:rsid w:val="00C730E4"/>
    <w:rsid w:val="00C7338B"/>
    <w:rsid w:val="00C73BB8"/>
    <w:rsid w:val="00C7418A"/>
    <w:rsid w:val="00C74CC5"/>
    <w:rsid w:val="00C74DCC"/>
    <w:rsid w:val="00C751CA"/>
    <w:rsid w:val="00C75628"/>
    <w:rsid w:val="00C76B48"/>
    <w:rsid w:val="00C76CC4"/>
    <w:rsid w:val="00C772A6"/>
    <w:rsid w:val="00C7774D"/>
    <w:rsid w:val="00C77815"/>
    <w:rsid w:val="00C804E1"/>
    <w:rsid w:val="00C805E9"/>
    <w:rsid w:val="00C806F9"/>
    <w:rsid w:val="00C823C5"/>
    <w:rsid w:val="00C82D42"/>
    <w:rsid w:val="00C8322A"/>
    <w:rsid w:val="00C83583"/>
    <w:rsid w:val="00C84B12"/>
    <w:rsid w:val="00C869BC"/>
    <w:rsid w:val="00C8737E"/>
    <w:rsid w:val="00C87502"/>
    <w:rsid w:val="00C9016B"/>
    <w:rsid w:val="00C90444"/>
    <w:rsid w:val="00C9243B"/>
    <w:rsid w:val="00C933EA"/>
    <w:rsid w:val="00C93D94"/>
    <w:rsid w:val="00C952BF"/>
    <w:rsid w:val="00C953C0"/>
    <w:rsid w:val="00C969E5"/>
    <w:rsid w:val="00C96E5A"/>
    <w:rsid w:val="00C978E2"/>
    <w:rsid w:val="00C97ACC"/>
    <w:rsid w:val="00CA03D8"/>
    <w:rsid w:val="00CA056D"/>
    <w:rsid w:val="00CA181F"/>
    <w:rsid w:val="00CA22C7"/>
    <w:rsid w:val="00CA2A54"/>
    <w:rsid w:val="00CA3219"/>
    <w:rsid w:val="00CA3D4E"/>
    <w:rsid w:val="00CA40E6"/>
    <w:rsid w:val="00CA461D"/>
    <w:rsid w:val="00CA4A01"/>
    <w:rsid w:val="00CA5872"/>
    <w:rsid w:val="00CA6B89"/>
    <w:rsid w:val="00CA6C6E"/>
    <w:rsid w:val="00CA6FEC"/>
    <w:rsid w:val="00CA7966"/>
    <w:rsid w:val="00CB01EB"/>
    <w:rsid w:val="00CB0253"/>
    <w:rsid w:val="00CB0DFA"/>
    <w:rsid w:val="00CB153C"/>
    <w:rsid w:val="00CB250C"/>
    <w:rsid w:val="00CB34D5"/>
    <w:rsid w:val="00CB6CB0"/>
    <w:rsid w:val="00CB75A4"/>
    <w:rsid w:val="00CB7DCA"/>
    <w:rsid w:val="00CC134C"/>
    <w:rsid w:val="00CC304D"/>
    <w:rsid w:val="00CC36F9"/>
    <w:rsid w:val="00CC3E8F"/>
    <w:rsid w:val="00CC4B4F"/>
    <w:rsid w:val="00CC6245"/>
    <w:rsid w:val="00CD02C4"/>
    <w:rsid w:val="00CD0BA2"/>
    <w:rsid w:val="00CD18DE"/>
    <w:rsid w:val="00CD2E30"/>
    <w:rsid w:val="00CD38F8"/>
    <w:rsid w:val="00CD4D0B"/>
    <w:rsid w:val="00CD60BC"/>
    <w:rsid w:val="00CD643B"/>
    <w:rsid w:val="00CD7B7F"/>
    <w:rsid w:val="00CE0210"/>
    <w:rsid w:val="00CE0D42"/>
    <w:rsid w:val="00CE19D1"/>
    <w:rsid w:val="00CE23EF"/>
    <w:rsid w:val="00CE2AE6"/>
    <w:rsid w:val="00CE2EBC"/>
    <w:rsid w:val="00CE3F93"/>
    <w:rsid w:val="00CE59E4"/>
    <w:rsid w:val="00CE6197"/>
    <w:rsid w:val="00CE6490"/>
    <w:rsid w:val="00CE6B29"/>
    <w:rsid w:val="00CE6BEE"/>
    <w:rsid w:val="00CE702E"/>
    <w:rsid w:val="00CE732C"/>
    <w:rsid w:val="00CE7723"/>
    <w:rsid w:val="00CE7D93"/>
    <w:rsid w:val="00CF088A"/>
    <w:rsid w:val="00CF0D2F"/>
    <w:rsid w:val="00CF1AEC"/>
    <w:rsid w:val="00CF2633"/>
    <w:rsid w:val="00CF3639"/>
    <w:rsid w:val="00CF38F2"/>
    <w:rsid w:val="00CF463C"/>
    <w:rsid w:val="00CF5CD7"/>
    <w:rsid w:val="00CF6C5B"/>
    <w:rsid w:val="00CF79DF"/>
    <w:rsid w:val="00D00702"/>
    <w:rsid w:val="00D01653"/>
    <w:rsid w:val="00D0182A"/>
    <w:rsid w:val="00D01E61"/>
    <w:rsid w:val="00D02296"/>
    <w:rsid w:val="00D02B56"/>
    <w:rsid w:val="00D02B99"/>
    <w:rsid w:val="00D0306C"/>
    <w:rsid w:val="00D0337F"/>
    <w:rsid w:val="00D034FA"/>
    <w:rsid w:val="00D06027"/>
    <w:rsid w:val="00D0751A"/>
    <w:rsid w:val="00D078F8"/>
    <w:rsid w:val="00D07BB5"/>
    <w:rsid w:val="00D07D25"/>
    <w:rsid w:val="00D110F0"/>
    <w:rsid w:val="00D116BA"/>
    <w:rsid w:val="00D11F63"/>
    <w:rsid w:val="00D12852"/>
    <w:rsid w:val="00D13010"/>
    <w:rsid w:val="00D133F0"/>
    <w:rsid w:val="00D143ED"/>
    <w:rsid w:val="00D15BDB"/>
    <w:rsid w:val="00D16C5A"/>
    <w:rsid w:val="00D16DAA"/>
    <w:rsid w:val="00D17B71"/>
    <w:rsid w:val="00D17E12"/>
    <w:rsid w:val="00D208A2"/>
    <w:rsid w:val="00D2091F"/>
    <w:rsid w:val="00D20F59"/>
    <w:rsid w:val="00D21B84"/>
    <w:rsid w:val="00D22495"/>
    <w:rsid w:val="00D22983"/>
    <w:rsid w:val="00D25359"/>
    <w:rsid w:val="00D25866"/>
    <w:rsid w:val="00D25E7D"/>
    <w:rsid w:val="00D261EA"/>
    <w:rsid w:val="00D26D6A"/>
    <w:rsid w:val="00D27732"/>
    <w:rsid w:val="00D27842"/>
    <w:rsid w:val="00D30628"/>
    <w:rsid w:val="00D30CEE"/>
    <w:rsid w:val="00D31D6C"/>
    <w:rsid w:val="00D32B3D"/>
    <w:rsid w:val="00D33C8D"/>
    <w:rsid w:val="00D33D84"/>
    <w:rsid w:val="00D36CD4"/>
    <w:rsid w:val="00D36F25"/>
    <w:rsid w:val="00D37148"/>
    <w:rsid w:val="00D37A00"/>
    <w:rsid w:val="00D404D3"/>
    <w:rsid w:val="00D40860"/>
    <w:rsid w:val="00D40B86"/>
    <w:rsid w:val="00D4280D"/>
    <w:rsid w:val="00D42B76"/>
    <w:rsid w:val="00D43787"/>
    <w:rsid w:val="00D447D8"/>
    <w:rsid w:val="00D447FF"/>
    <w:rsid w:val="00D450B5"/>
    <w:rsid w:val="00D455AD"/>
    <w:rsid w:val="00D45623"/>
    <w:rsid w:val="00D45942"/>
    <w:rsid w:val="00D45968"/>
    <w:rsid w:val="00D468AF"/>
    <w:rsid w:val="00D470FA"/>
    <w:rsid w:val="00D47F57"/>
    <w:rsid w:val="00D50983"/>
    <w:rsid w:val="00D536E6"/>
    <w:rsid w:val="00D53B35"/>
    <w:rsid w:val="00D5648F"/>
    <w:rsid w:val="00D56E3B"/>
    <w:rsid w:val="00D5736B"/>
    <w:rsid w:val="00D576E6"/>
    <w:rsid w:val="00D5776B"/>
    <w:rsid w:val="00D57CC2"/>
    <w:rsid w:val="00D60A65"/>
    <w:rsid w:val="00D616EC"/>
    <w:rsid w:val="00D625B8"/>
    <w:rsid w:val="00D648BA"/>
    <w:rsid w:val="00D65CB1"/>
    <w:rsid w:val="00D66709"/>
    <w:rsid w:val="00D66A4D"/>
    <w:rsid w:val="00D66AD5"/>
    <w:rsid w:val="00D71D36"/>
    <w:rsid w:val="00D724E1"/>
    <w:rsid w:val="00D72E04"/>
    <w:rsid w:val="00D73796"/>
    <w:rsid w:val="00D73B81"/>
    <w:rsid w:val="00D73D52"/>
    <w:rsid w:val="00D74BC9"/>
    <w:rsid w:val="00D76166"/>
    <w:rsid w:val="00D76A95"/>
    <w:rsid w:val="00D76E94"/>
    <w:rsid w:val="00D801E1"/>
    <w:rsid w:val="00D81A6A"/>
    <w:rsid w:val="00D82515"/>
    <w:rsid w:val="00D8260E"/>
    <w:rsid w:val="00D82682"/>
    <w:rsid w:val="00D8279D"/>
    <w:rsid w:val="00D82E21"/>
    <w:rsid w:val="00D840E2"/>
    <w:rsid w:val="00D846FE"/>
    <w:rsid w:val="00D85451"/>
    <w:rsid w:val="00D860CB"/>
    <w:rsid w:val="00D87C68"/>
    <w:rsid w:val="00D92783"/>
    <w:rsid w:val="00D92B70"/>
    <w:rsid w:val="00D92D3B"/>
    <w:rsid w:val="00D92DF1"/>
    <w:rsid w:val="00D9323C"/>
    <w:rsid w:val="00D9456A"/>
    <w:rsid w:val="00D94B4E"/>
    <w:rsid w:val="00D94DBD"/>
    <w:rsid w:val="00D955C0"/>
    <w:rsid w:val="00D955C6"/>
    <w:rsid w:val="00D96EEB"/>
    <w:rsid w:val="00DA00BB"/>
    <w:rsid w:val="00DA38F9"/>
    <w:rsid w:val="00DA776D"/>
    <w:rsid w:val="00DA7AAB"/>
    <w:rsid w:val="00DB0815"/>
    <w:rsid w:val="00DB151D"/>
    <w:rsid w:val="00DB1859"/>
    <w:rsid w:val="00DB3ABE"/>
    <w:rsid w:val="00DB3DDE"/>
    <w:rsid w:val="00DB6676"/>
    <w:rsid w:val="00DC04F9"/>
    <w:rsid w:val="00DC1478"/>
    <w:rsid w:val="00DC278B"/>
    <w:rsid w:val="00DC2ABE"/>
    <w:rsid w:val="00DC3F71"/>
    <w:rsid w:val="00DC451F"/>
    <w:rsid w:val="00DC59DE"/>
    <w:rsid w:val="00DC69DA"/>
    <w:rsid w:val="00DC6C13"/>
    <w:rsid w:val="00DC7217"/>
    <w:rsid w:val="00DC79BB"/>
    <w:rsid w:val="00DC7A21"/>
    <w:rsid w:val="00DD061D"/>
    <w:rsid w:val="00DD11EB"/>
    <w:rsid w:val="00DD1B8B"/>
    <w:rsid w:val="00DD1F32"/>
    <w:rsid w:val="00DD23D6"/>
    <w:rsid w:val="00DD4855"/>
    <w:rsid w:val="00DD75C4"/>
    <w:rsid w:val="00DE038D"/>
    <w:rsid w:val="00DE1FBA"/>
    <w:rsid w:val="00DE28CC"/>
    <w:rsid w:val="00DE4550"/>
    <w:rsid w:val="00DE52C9"/>
    <w:rsid w:val="00DE52CF"/>
    <w:rsid w:val="00DE55DE"/>
    <w:rsid w:val="00DE5968"/>
    <w:rsid w:val="00DE6A2A"/>
    <w:rsid w:val="00DF1227"/>
    <w:rsid w:val="00DF131F"/>
    <w:rsid w:val="00DF1F35"/>
    <w:rsid w:val="00DF2C98"/>
    <w:rsid w:val="00DF51F1"/>
    <w:rsid w:val="00DF5979"/>
    <w:rsid w:val="00DF5A5C"/>
    <w:rsid w:val="00DF6B24"/>
    <w:rsid w:val="00DF6CAD"/>
    <w:rsid w:val="00DF765B"/>
    <w:rsid w:val="00DF771A"/>
    <w:rsid w:val="00DF77FD"/>
    <w:rsid w:val="00DF7AB6"/>
    <w:rsid w:val="00E002A0"/>
    <w:rsid w:val="00E00BE9"/>
    <w:rsid w:val="00E00DCA"/>
    <w:rsid w:val="00E02DB9"/>
    <w:rsid w:val="00E033B7"/>
    <w:rsid w:val="00E038DB"/>
    <w:rsid w:val="00E04FFB"/>
    <w:rsid w:val="00E05EEE"/>
    <w:rsid w:val="00E065DD"/>
    <w:rsid w:val="00E071E8"/>
    <w:rsid w:val="00E07473"/>
    <w:rsid w:val="00E075A8"/>
    <w:rsid w:val="00E07C4E"/>
    <w:rsid w:val="00E07D5A"/>
    <w:rsid w:val="00E105EE"/>
    <w:rsid w:val="00E107F3"/>
    <w:rsid w:val="00E10D91"/>
    <w:rsid w:val="00E11415"/>
    <w:rsid w:val="00E132C4"/>
    <w:rsid w:val="00E134FC"/>
    <w:rsid w:val="00E13C80"/>
    <w:rsid w:val="00E1436B"/>
    <w:rsid w:val="00E14781"/>
    <w:rsid w:val="00E14F22"/>
    <w:rsid w:val="00E151BD"/>
    <w:rsid w:val="00E170FA"/>
    <w:rsid w:val="00E2020E"/>
    <w:rsid w:val="00E20D15"/>
    <w:rsid w:val="00E22906"/>
    <w:rsid w:val="00E22FC3"/>
    <w:rsid w:val="00E23BAA"/>
    <w:rsid w:val="00E2513F"/>
    <w:rsid w:val="00E25A13"/>
    <w:rsid w:val="00E25E1A"/>
    <w:rsid w:val="00E26660"/>
    <w:rsid w:val="00E26F75"/>
    <w:rsid w:val="00E2722F"/>
    <w:rsid w:val="00E3064C"/>
    <w:rsid w:val="00E33007"/>
    <w:rsid w:val="00E34483"/>
    <w:rsid w:val="00E3456D"/>
    <w:rsid w:val="00E34B98"/>
    <w:rsid w:val="00E35543"/>
    <w:rsid w:val="00E35975"/>
    <w:rsid w:val="00E366A1"/>
    <w:rsid w:val="00E37686"/>
    <w:rsid w:val="00E406B2"/>
    <w:rsid w:val="00E4190D"/>
    <w:rsid w:val="00E41D46"/>
    <w:rsid w:val="00E43500"/>
    <w:rsid w:val="00E44987"/>
    <w:rsid w:val="00E44EB9"/>
    <w:rsid w:val="00E44F34"/>
    <w:rsid w:val="00E45859"/>
    <w:rsid w:val="00E45C52"/>
    <w:rsid w:val="00E47666"/>
    <w:rsid w:val="00E47C2B"/>
    <w:rsid w:val="00E503CD"/>
    <w:rsid w:val="00E504E9"/>
    <w:rsid w:val="00E507A9"/>
    <w:rsid w:val="00E52447"/>
    <w:rsid w:val="00E5253D"/>
    <w:rsid w:val="00E53860"/>
    <w:rsid w:val="00E554E7"/>
    <w:rsid w:val="00E56166"/>
    <w:rsid w:val="00E5688C"/>
    <w:rsid w:val="00E572B6"/>
    <w:rsid w:val="00E579E3"/>
    <w:rsid w:val="00E57C72"/>
    <w:rsid w:val="00E60AEE"/>
    <w:rsid w:val="00E61115"/>
    <w:rsid w:val="00E61E00"/>
    <w:rsid w:val="00E6368D"/>
    <w:rsid w:val="00E6547E"/>
    <w:rsid w:val="00E65E36"/>
    <w:rsid w:val="00E669A1"/>
    <w:rsid w:val="00E67625"/>
    <w:rsid w:val="00E700D9"/>
    <w:rsid w:val="00E70B24"/>
    <w:rsid w:val="00E71982"/>
    <w:rsid w:val="00E71A80"/>
    <w:rsid w:val="00E73F0E"/>
    <w:rsid w:val="00E74578"/>
    <w:rsid w:val="00E746E8"/>
    <w:rsid w:val="00E75CD5"/>
    <w:rsid w:val="00E75FF6"/>
    <w:rsid w:val="00E76B19"/>
    <w:rsid w:val="00E77A41"/>
    <w:rsid w:val="00E77A6F"/>
    <w:rsid w:val="00E77D96"/>
    <w:rsid w:val="00E833B8"/>
    <w:rsid w:val="00E8390A"/>
    <w:rsid w:val="00E83A3B"/>
    <w:rsid w:val="00E84CF6"/>
    <w:rsid w:val="00E8763E"/>
    <w:rsid w:val="00E901D7"/>
    <w:rsid w:val="00E908F0"/>
    <w:rsid w:val="00E90A06"/>
    <w:rsid w:val="00E90DA9"/>
    <w:rsid w:val="00E9172D"/>
    <w:rsid w:val="00E91BD8"/>
    <w:rsid w:val="00E922BE"/>
    <w:rsid w:val="00E9258D"/>
    <w:rsid w:val="00E9268E"/>
    <w:rsid w:val="00E92B00"/>
    <w:rsid w:val="00E92F23"/>
    <w:rsid w:val="00E93508"/>
    <w:rsid w:val="00E9368B"/>
    <w:rsid w:val="00E93967"/>
    <w:rsid w:val="00E94D9A"/>
    <w:rsid w:val="00E951CA"/>
    <w:rsid w:val="00E952FD"/>
    <w:rsid w:val="00E953FA"/>
    <w:rsid w:val="00E96990"/>
    <w:rsid w:val="00E971C7"/>
    <w:rsid w:val="00E97D0F"/>
    <w:rsid w:val="00E97E28"/>
    <w:rsid w:val="00EA43FE"/>
    <w:rsid w:val="00EA460B"/>
    <w:rsid w:val="00EA484D"/>
    <w:rsid w:val="00EA4A96"/>
    <w:rsid w:val="00EA5197"/>
    <w:rsid w:val="00EA61DA"/>
    <w:rsid w:val="00EA67BD"/>
    <w:rsid w:val="00EA6B89"/>
    <w:rsid w:val="00EB1839"/>
    <w:rsid w:val="00EB1A14"/>
    <w:rsid w:val="00EB1C95"/>
    <w:rsid w:val="00EB354F"/>
    <w:rsid w:val="00EB3B0A"/>
    <w:rsid w:val="00EB3DAC"/>
    <w:rsid w:val="00EB4093"/>
    <w:rsid w:val="00EB46F3"/>
    <w:rsid w:val="00EB4958"/>
    <w:rsid w:val="00EB52B2"/>
    <w:rsid w:val="00EB6A1F"/>
    <w:rsid w:val="00EB7061"/>
    <w:rsid w:val="00EC0814"/>
    <w:rsid w:val="00EC09FB"/>
    <w:rsid w:val="00EC0B74"/>
    <w:rsid w:val="00EC1371"/>
    <w:rsid w:val="00EC180B"/>
    <w:rsid w:val="00EC1E86"/>
    <w:rsid w:val="00EC200D"/>
    <w:rsid w:val="00EC2445"/>
    <w:rsid w:val="00EC33B2"/>
    <w:rsid w:val="00EC341C"/>
    <w:rsid w:val="00EC3796"/>
    <w:rsid w:val="00EC41A4"/>
    <w:rsid w:val="00EC5D78"/>
    <w:rsid w:val="00EC6563"/>
    <w:rsid w:val="00EC6EE9"/>
    <w:rsid w:val="00EC7294"/>
    <w:rsid w:val="00EC7555"/>
    <w:rsid w:val="00EC7728"/>
    <w:rsid w:val="00ED0109"/>
    <w:rsid w:val="00ED0680"/>
    <w:rsid w:val="00ED10A6"/>
    <w:rsid w:val="00ED2040"/>
    <w:rsid w:val="00ED27B9"/>
    <w:rsid w:val="00ED2905"/>
    <w:rsid w:val="00ED3D65"/>
    <w:rsid w:val="00ED4D50"/>
    <w:rsid w:val="00ED6387"/>
    <w:rsid w:val="00ED6B61"/>
    <w:rsid w:val="00ED75F4"/>
    <w:rsid w:val="00ED775D"/>
    <w:rsid w:val="00ED7E7A"/>
    <w:rsid w:val="00EE0D8C"/>
    <w:rsid w:val="00EE125D"/>
    <w:rsid w:val="00EE149D"/>
    <w:rsid w:val="00EE1545"/>
    <w:rsid w:val="00EE172B"/>
    <w:rsid w:val="00EE1C5E"/>
    <w:rsid w:val="00EE39AF"/>
    <w:rsid w:val="00EE3F56"/>
    <w:rsid w:val="00EE4BB2"/>
    <w:rsid w:val="00EE5353"/>
    <w:rsid w:val="00EE560A"/>
    <w:rsid w:val="00EE6B47"/>
    <w:rsid w:val="00EE733B"/>
    <w:rsid w:val="00EE7B6D"/>
    <w:rsid w:val="00EF0C03"/>
    <w:rsid w:val="00EF13A5"/>
    <w:rsid w:val="00EF1724"/>
    <w:rsid w:val="00EF1AA9"/>
    <w:rsid w:val="00EF1B4E"/>
    <w:rsid w:val="00EF1CC2"/>
    <w:rsid w:val="00EF1D99"/>
    <w:rsid w:val="00EF3963"/>
    <w:rsid w:val="00EF5079"/>
    <w:rsid w:val="00EF7A77"/>
    <w:rsid w:val="00EF7DDD"/>
    <w:rsid w:val="00EF7DE3"/>
    <w:rsid w:val="00F006C9"/>
    <w:rsid w:val="00F00D28"/>
    <w:rsid w:val="00F02F54"/>
    <w:rsid w:val="00F03638"/>
    <w:rsid w:val="00F039ED"/>
    <w:rsid w:val="00F03F16"/>
    <w:rsid w:val="00F0517D"/>
    <w:rsid w:val="00F05DFF"/>
    <w:rsid w:val="00F0620D"/>
    <w:rsid w:val="00F07ECC"/>
    <w:rsid w:val="00F10116"/>
    <w:rsid w:val="00F11B23"/>
    <w:rsid w:val="00F12004"/>
    <w:rsid w:val="00F130E7"/>
    <w:rsid w:val="00F1344F"/>
    <w:rsid w:val="00F13850"/>
    <w:rsid w:val="00F13A34"/>
    <w:rsid w:val="00F13F13"/>
    <w:rsid w:val="00F146CB"/>
    <w:rsid w:val="00F14B1E"/>
    <w:rsid w:val="00F15D92"/>
    <w:rsid w:val="00F17A8A"/>
    <w:rsid w:val="00F220EF"/>
    <w:rsid w:val="00F2291B"/>
    <w:rsid w:val="00F2298C"/>
    <w:rsid w:val="00F23130"/>
    <w:rsid w:val="00F23342"/>
    <w:rsid w:val="00F234B4"/>
    <w:rsid w:val="00F23726"/>
    <w:rsid w:val="00F24CF2"/>
    <w:rsid w:val="00F25235"/>
    <w:rsid w:val="00F254F6"/>
    <w:rsid w:val="00F3022D"/>
    <w:rsid w:val="00F30708"/>
    <w:rsid w:val="00F31317"/>
    <w:rsid w:val="00F31B3B"/>
    <w:rsid w:val="00F31E35"/>
    <w:rsid w:val="00F3228A"/>
    <w:rsid w:val="00F3395E"/>
    <w:rsid w:val="00F33A72"/>
    <w:rsid w:val="00F3415D"/>
    <w:rsid w:val="00F3432E"/>
    <w:rsid w:val="00F34897"/>
    <w:rsid w:val="00F363F1"/>
    <w:rsid w:val="00F36713"/>
    <w:rsid w:val="00F37256"/>
    <w:rsid w:val="00F40705"/>
    <w:rsid w:val="00F42030"/>
    <w:rsid w:val="00F43067"/>
    <w:rsid w:val="00F43DFC"/>
    <w:rsid w:val="00F45E5A"/>
    <w:rsid w:val="00F47B15"/>
    <w:rsid w:val="00F50172"/>
    <w:rsid w:val="00F52729"/>
    <w:rsid w:val="00F54740"/>
    <w:rsid w:val="00F565D0"/>
    <w:rsid w:val="00F57A3E"/>
    <w:rsid w:val="00F602E2"/>
    <w:rsid w:val="00F613B6"/>
    <w:rsid w:val="00F62899"/>
    <w:rsid w:val="00F637A9"/>
    <w:rsid w:val="00F6394E"/>
    <w:rsid w:val="00F63A4A"/>
    <w:rsid w:val="00F63E31"/>
    <w:rsid w:val="00F645AE"/>
    <w:rsid w:val="00F64D44"/>
    <w:rsid w:val="00F64FD7"/>
    <w:rsid w:val="00F65271"/>
    <w:rsid w:val="00F653E5"/>
    <w:rsid w:val="00F655D5"/>
    <w:rsid w:val="00F65CCB"/>
    <w:rsid w:val="00F66E9F"/>
    <w:rsid w:val="00F6713C"/>
    <w:rsid w:val="00F67D00"/>
    <w:rsid w:val="00F67D2C"/>
    <w:rsid w:val="00F70011"/>
    <w:rsid w:val="00F720FA"/>
    <w:rsid w:val="00F733B2"/>
    <w:rsid w:val="00F75DF6"/>
    <w:rsid w:val="00F772EA"/>
    <w:rsid w:val="00F77698"/>
    <w:rsid w:val="00F8012D"/>
    <w:rsid w:val="00F83BC2"/>
    <w:rsid w:val="00F84296"/>
    <w:rsid w:val="00F84ED2"/>
    <w:rsid w:val="00F87051"/>
    <w:rsid w:val="00F87374"/>
    <w:rsid w:val="00F8784E"/>
    <w:rsid w:val="00F87AC1"/>
    <w:rsid w:val="00F90290"/>
    <w:rsid w:val="00F903A8"/>
    <w:rsid w:val="00F9159F"/>
    <w:rsid w:val="00F915B8"/>
    <w:rsid w:val="00F91B3B"/>
    <w:rsid w:val="00F925D0"/>
    <w:rsid w:val="00F94EC0"/>
    <w:rsid w:val="00F952D0"/>
    <w:rsid w:val="00F976C6"/>
    <w:rsid w:val="00FA0C52"/>
    <w:rsid w:val="00FA1417"/>
    <w:rsid w:val="00FA1CFB"/>
    <w:rsid w:val="00FA215D"/>
    <w:rsid w:val="00FA2451"/>
    <w:rsid w:val="00FA2726"/>
    <w:rsid w:val="00FA3FB9"/>
    <w:rsid w:val="00FA457D"/>
    <w:rsid w:val="00FA4A7B"/>
    <w:rsid w:val="00FA5C92"/>
    <w:rsid w:val="00FA6E33"/>
    <w:rsid w:val="00FA6F73"/>
    <w:rsid w:val="00FA72B1"/>
    <w:rsid w:val="00FB117E"/>
    <w:rsid w:val="00FB1EBB"/>
    <w:rsid w:val="00FB1F5B"/>
    <w:rsid w:val="00FB2247"/>
    <w:rsid w:val="00FB282C"/>
    <w:rsid w:val="00FB292D"/>
    <w:rsid w:val="00FB539D"/>
    <w:rsid w:val="00FB5953"/>
    <w:rsid w:val="00FC0EE9"/>
    <w:rsid w:val="00FC10C9"/>
    <w:rsid w:val="00FC194C"/>
    <w:rsid w:val="00FC3583"/>
    <w:rsid w:val="00FC479C"/>
    <w:rsid w:val="00FC6E57"/>
    <w:rsid w:val="00FC7151"/>
    <w:rsid w:val="00FD0560"/>
    <w:rsid w:val="00FD0C02"/>
    <w:rsid w:val="00FD1FCF"/>
    <w:rsid w:val="00FD282F"/>
    <w:rsid w:val="00FD39F9"/>
    <w:rsid w:val="00FD40EF"/>
    <w:rsid w:val="00FD60F5"/>
    <w:rsid w:val="00FD6EAA"/>
    <w:rsid w:val="00FE0ABB"/>
    <w:rsid w:val="00FE141F"/>
    <w:rsid w:val="00FE202A"/>
    <w:rsid w:val="00FE20F0"/>
    <w:rsid w:val="00FE3255"/>
    <w:rsid w:val="00FE51CF"/>
    <w:rsid w:val="00FE6E5A"/>
    <w:rsid w:val="00FE6EDE"/>
    <w:rsid w:val="00FE7911"/>
    <w:rsid w:val="00FE7F38"/>
    <w:rsid w:val="00FF1623"/>
    <w:rsid w:val="00FF1735"/>
    <w:rsid w:val="00FF1969"/>
    <w:rsid w:val="00FF2617"/>
    <w:rsid w:val="00FF31C9"/>
    <w:rsid w:val="00FF3D51"/>
    <w:rsid w:val="00FF5DB9"/>
    <w:rsid w:val="00FF5F53"/>
    <w:rsid w:val="00FF663F"/>
    <w:rsid w:val="00FF7AE0"/>
    <w:rsid w:val="00FF7A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5474C"/>
  <w15:chartTrackingRefBased/>
  <w15:docId w15:val="{E63524B8-8CBB-964F-9110-200DCF77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themeColor="text1"/>
        <w:sz w:val="24"/>
        <w:szCs w:val="24"/>
        <w:lang w:val="en-ZA"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51"/>
    <w:pPr>
      <w:ind w:left="720"/>
      <w:contextualSpacing/>
    </w:pPr>
  </w:style>
  <w:style w:type="paragraph" w:styleId="FootnoteText">
    <w:name w:val="footnote text"/>
    <w:basedOn w:val="Normal"/>
    <w:link w:val="FootnoteTextChar"/>
    <w:uiPriority w:val="99"/>
    <w:semiHidden/>
    <w:unhideWhenUsed/>
    <w:rsid w:val="00005691"/>
    <w:rPr>
      <w:sz w:val="20"/>
      <w:szCs w:val="20"/>
    </w:rPr>
  </w:style>
  <w:style w:type="character" w:customStyle="1" w:styleId="FootnoteTextChar">
    <w:name w:val="Footnote Text Char"/>
    <w:basedOn w:val="DefaultParagraphFont"/>
    <w:link w:val="FootnoteText"/>
    <w:uiPriority w:val="99"/>
    <w:semiHidden/>
    <w:rsid w:val="00005691"/>
    <w:rPr>
      <w:sz w:val="20"/>
      <w:szCs w:val="20"/>
    </w:rPr>
  </w:style>
  <w:style w:type="character" w:styleId="FootnoteReference">
    <w:name w:val="footnote reference"/>
    <w:basedOn w:val="DefaultParagraphFont"/>
    <w:uiPriority w:val="99"/>
    <w:semiHidden/>
    <w:unhideWhenUsed/>
    <w:rsid w:val="00005691"/>
    <w:rPr>
      <w:vertAlign w:val="superscript"/>
    </w:rPr>
  </w:style>
  <w:style w:type="paragraph" w:styleId="Header">
    <w:name w:val="header"/>
    <w:basedOn w:val="Normal"/>
    <w:link w:val="HeaderChar"/>
    <w:uiPriority w:val="99"/>
    <w:unhideWhenUsed/>
    <w:rsid w:val="00146BA3"/>
    <w:pPr>
      <w:tabs>
        <w:tab w:val="center" w:pos="4513"/>
        <w:tab w:val="right" w:pos="9026"/>
      </w:tabs>
    </w:pPr>
  </w:style>
  <w:style w:type="character" w:customStyle="1" w:styleId="HeaderChar">
    <w:name w:val="Header Char"/>
    <w:basedOn w:val="DefaultParagraphFont"/>
    <w:link w:val="Header"/>
    <w:uiPriority w:val="99"/>
    <w:rsid w:val="00146BA3"/>
  </w:style>
  <w:style w:type="character" w:styleId="PageNumber">
    <w:name w:val="page number"/>
    <w:basedOn w:val="DefaultParagraphFont"/>
    <w:uiPriority w:val="99"/>
    <w:semiHidden/>
    <w:unhideWhenUsed/>
    <w:rsid w:val="00146BA3"/>
  </w:style>
  <w:style w:type="character" w:styleId="Hyperlink">
    <w:name w:val="Hyperlink"/>
    <w:basedOn w:val="DefaultParagraphFont"/>
    <w:uiPriority w:val="99"/>
    <w:unhideWhenUsed/>
    <w:rsid w:val="00A278BA"/>
    <w:rPr>
      <w:color w:val="0563C1" w:themeColor="hyperlink"/>
      <w:u w:val="single"/>
    </w:rPr>
  </w:style>
  <w:style w:type="character" w:customStyle="1" w:styleId="UnresolvedMention1">
    <w:name w:val="Unresolved Mention1"/>
    <w:basedOn w:val="DefaultParagraphFont"/>
    <w:uiPriority w:val="99"/>
    <w:semiHidden/>
    <w:unhideWhenUsed/>
    <w:rsid w:val="00A278BA"/>
    <w:rPr>
      <w:color w:val="605E5C"/>
      <w:shd w:val="clear" w:color="auto" w:fill="E1DFDD"/>
    </w:rPr>
  </w:style>
  <w:style w:type="paragraph" w:styleId="BalloonText">
    <w:name w:val="Balloon Text"/>
    <w:basedOn w:val="Normal"/>
    <w:link w:val="BalloonTextChar"/>
    <w:uiPriority w:val="99"/>
    <w:semiHidden/>
    <w:unhideWhenUsed/>
    <w:rsid w:val="004B6DF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D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c1@wrhlaw.co.za" TargetMode="External"/><Relationship Id="rId4" Type="http://schemas.openxmlformats.org/officeDocument/2006/relationships/settings" Target="settings.xml"/><Relationship Id="rId9" Type="http://schemas.openxmlformats.org/officeDocument/2006/relationships/hyperlink" Target="mailto:sontshize2@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CEF3F-CDD4-4FA2-A07C-DC1DD0031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5174</Words>
  <Characters>29494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Govindjee, Avinash (Prof) (Summerstrand Campus South)</dc:creator>
  <cp:keywords/>
  <dc:description/>
  <cp:lastModifiedBy>Nomakorinte Ntliziywana</cp:lastModifiedBy>
  <cp:revision>2</cp:revision>
  <cp:lastPrinted>2023-11-23T13:27:00Z</cp:lastPrinted>
  <dcterms:created xsi:type="dcterms:W3CDTF">2023-11-29T09:59:00Z</dcterms:created>
  <dcterms:modified xsi:type="dcterms:W3CDTF">2023-11-29T09:59:00Z</dcterms:modified>
</cp:coreProperties>
</file>