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94300A">
      <w:pPr>
        <w:autoSpaceDE w:val="0"/>
        <w:autoSpaceDN w:val="0"/>
        <w:adjustRightInd w:val="0"/>
        <w:ind w:right="373"/>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0953298E" w:rsidR="00D450B5" w:rsidRPr="00044B50" w:rsidRDefault="00D450B5" w:rsidP="006E466A">
      <w:pPr>
        <w:ind w:right="89"/>
        <w:jc w:val="center"/>
        <w:rPr>
          <w:b/>
          <w:bCs/>
          <w:lang w:val="en-GB"/>
        </w:rPr>
      </w:pPr>
      <w:r w:rsidRPr="00044B50">
        <w:rPr>
          <w:lang w:val="en-GB"/>
        </w:rPr>
        <w:t xml:space="preserve">                                                                                           </w:t>
      </w:r>
      <w:r w:rsidR="0094300A">
        <w:rPr>
          <w:lang w:val="en-GB"/>
        </w:rPr>
        <w:t xml:space="preserve">        </w:t>
      </w:r>
      <w:r w:rsidR="006E466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56EAD0A5" w:rsidR="00E44987" w:rsidRPr="00044B50" w:rsidRDefault="006E466A" w:rsidP="006E466A">
      <w:pPr>
        <w:ind w:left="5954" w:right="89" w:firstLine="142"/>
        <w:rPr>
          <w:lang w:val="en-GB"/>
        </w:rPr>
      </w:pPr>
      <w:r>
        <w:rPr>
          <w:lang w:val="en-GB"/>
        </w:rPr>
        <w:t xml:space="preserve">  </w:t>
      </w:r>
      <w:r w:rsidR="00E44987" w:rsidRPr="00044B50">
        <w:rPr>
          <w:lang w:val="en-GB"/>
        </w:rPr>
        <w:t xml:space="preserve">Case no: </w:t>
      </w:r>
      <w:r>
        <w:rPr>
          <w:lang w:val="en-GB"/>
        </w:rPr>
        <w:t>CA&amp;R161/2023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7B92074D" w:rsidR="00D450B5" w:rsidRPr="00797E4E" w:rsidRDefault="006E466A" w:rsidP="0094300A">
      <w:pPr>
        <w:tabs>
          <w:tab w:val="left" w:pos="6946"/>
        </w:tabs>
        <w:suppressAutoHyphens/>
        <w:ind w:right="-52"/>
        <w:jc w:val="both"/>
        <w:rPr>
          <w:b/>
          <w:bCs/>
          <w:lang w:val="en-GB"/>
        </w:rPr>
      </w:pPr>
      <w:r>
        <w:rPr>
          <w:b/>
          <w:bCs/>
          <w:lang w:val="en-GB"/>
        </w:rPr>
        <w:t>SICELO MBULAWA</w:t>
      </w:r>
      <w:r w:rsidR="00797E4E" w:rsidRPr="00797E4E">
        <w:rPr>
          <w:b/>
          <w:bCs/>
          <w:lang w:val="en-GB"/>
        </w:rPr>
        <w:t xml:space="preserve"> </w:t>
      </w:r>
      <w:r w:rsidR="00797E4E">
        <w:rPr>
          <w:b/>
          <w:bCs/>
          <w:lang w:val="en-GB"/>
        </w:rPr>
        <w:tab/>
      </w:r>
      <w:r w:rsidR="00797E4E">
        <w:rPr>
          <w:b/>
          <w:bCs/>
          <w:lang w:val="en-GB"/>
        </w:rPr>
        <w:tab/>
      </w:r>
      <w:r w:rsidR="0094300A">
        <w:rPr>
          <w:b/>
          <w:bCs/>
          <w:lang w:val="en-GB"/>
        </w:rPr>
        <w:t xml:space="preserve">         </w:t>
      </w:r>
      <w:r w:rsidR="00797E4E" w:rsidRPr="00797E4E">
        <w:rPr>
          <w:b/>
          <w:bCs/>
          <w:lang w:val="en-GB"/>
        </w:rPr>
        <w:t>Appellant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5A49DB77" w:rsidR="00C246F2" w:rsidRPr="00797E4E" w:rsidRDefault="006E466A" w:rsidP="0094300A">
      <w:pPr>
        <w:tabs>
          <w:tab w:val="left" w:pos="7513"/>
        </w:tabs>
        <w:ind w:right="-52"/>
        <w:jc w:val="both"/>
        <w:rPr>
          <w:b/>
          <w:bCs/>
          <w:lang w:val="en-GB"/>
        </w:rPr>
      </w:pPr>
      <w:r>
        <w:rPr>
          <w:b/>
          <w:bCs/>
          <w:lang w:val="en-GB"/>
        </w:rPr>
        <w:t>THE STATE</w:t>
      </w:r>
      <w:r w:rsidR="00C246F2" w:rsidRPr="00797E4E">
        <w:rPr>
          <w:b/>
          <w:bCs/>
          <w:lang w:val="en-GB"/>
        </w:rPr>
        <w:tab/>
      </w:r>
      <w:r w:rsidR="00797E4E">
        <w:rPr>
          <w:b/>
          <w:bCs/>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359DD1D9" w:rsidR="00D468AF" w:rsidRDefault="00D468AF" w:rsidP="00682CE5">
      <w:pPr>
        <w:autoSpaceDE w:val="0"/>
        <w:autoSpaceDN w:val="0"/>
        <w:adjustRightInd w:val="0"/>
        <w:jc w:val="both"/>
        <w:rPr>
          <w:lang w:val="en-GB"/>
        </w:rPr>
      </w:pPr>
    </w:p>
    <w:p w14:paraId="02884D53" w14:textId="59272BB5" w:rsidR="000278EB" w:rsidRDefault="000278EB" w:rsidP="00682CE5">
      <w:pPr>
        <w:autoSpaceDE w:val="0"/>
        <w:autoSpaceDN w:val="0"/>
        <w:adjustRightInd w:val="0"/>
        <w:jc w:val="both"/>
        <w:rPr>
          <w:b/>
          <w:bCs/>
          <w:lang w:val="en-GB"/>
        </w:rPr>
      </w:pPr>
      <w:r>
        <w:rPr>
          <w:b/>
          <w:bCs/>
          <w:lang w:val="en-GB"/>
        </w:rPr>
        <w:t>Background</w:t>
      </w:r>
    </w:p>
    <w:p w14:paraId="4EC49BE4" w14:textId="77777777" w:rsidR="000278EB" w:rsidRPr="000278EB" w:rsidRDefault="000278EB" w:rsidP="00682CE5">
      <w:pPr>
        <w:autoSpaceDE w:val="0"/>
        <w:autoSpaceDN w:val="0"/>
        <w:adjustRightInd w:val="0"/>
        <w:jc w:val="both"/>
        <w:rPr>
          <w:b/>
          <w:bCs/>
          <w:lang w:val="en-GB"/>
        </w:rPr>
      </w:pPr>
    </w:p>
    <w:p w14:paraId="29827DF4" w14:textId="7AE48575" w:rsidR="000C67E0" w:rsidRPr="006C3201" w:rsidRDefault="006C3201" w:rsidP="006C3201">
      <w:pPr>
        <w:autoSpaceDE w:val="0"/>
        <w:autoSpaceDN w:val="0"/>
        <w:adjustRightInd w:val="0"/>
        <w:jc w:val="both"/>
        <w:rPr>
          <w:lang w:val="en-GB"/>
        </w:rPr>
      </w:pPr>
      <w:r w:rsidRPr="000278EB">
        <w:rPr>
          <w:lang w:val="en-GB"/>
        </w:rPr>
        <w:t>[1]</w:t>
      </w:r>
      <w:r w:rsidRPr="000278EB">
        <w:rPr>
          <w:lang w:val="en-GB"/>
        </w:rPr>
        <w:tab/>
      </w:r>
      <w:r w:rsidR="000278EB" w:rsidRPr="006C3201">
        <w:rPr>
          <w:lang w:val="en-GB"/>
        </w:rPr>
        <w:t>The appellant stands arraigned</w:t>
      </w:r>
      <w:r w:rsidR="00986482" w:rsidRPr="006C3201">
        <w:rPr>
          <w:lang w:val="en-GB"/>
        </w:rPr>
        <w:t xml:space="preserve">, together with four other accused persons, in the Magistrate’s Court at Alice on various charges under Case No: A80/23 (‘the case’). The appellant is accused no. 2 in the case. The charges include various counts of </w:t>
      </w:r>
      <w:r w:rsidR="00986482" w:rsidRPr="006C3201">
        <w:rPr>
          <w:lang w:val="en-GB"/>
        </w:rPr>
        <w:lastRenderedPageBreak/>
        <w:t xml:space="preserve">murder and attempted murder, as well as alternative charges in respect of conspiracy to commit murder in contravention of </w:t>
      </w:r>
      <w:r w:rsidR="0079311F" w:rsidRPr="006C3201">
        <w:rPr>
          <w:lang w:val="en-GB"/>
        </w:rPr>
        <w:t>the Riotous Assemblies Act, 1956.</w:t>
      </w:r>
      <w:r w:rsidR="0079311F">
        <w:rPr>
          <w:rStyle w:val="FootnoteReference"/>
          <w:lang w:val="en-GB"/>
        </w:rPr>
        <w:footnoteReference w:id="1"/>
      </w:r>
    </w:p>
    <w:p w14:paraId="2D33BEE4" w14:textId="77777777" w:rsidR="00C8111D" w:rsidRPr="000278EB" w:rsidRDefault="00C8111D" w:rsidP="00C8111D">
      <w:pPr>
        <w:pStyle w:val="ListParagraph"/>
        <w:autoSpaceDE w:val="0"/>
        <w:autoSpaceDN w:val="0"/>
        <w:adjustRightInd w:val="0"/>
        <w:ind w:left="0"/>
        <w:jc w:val="both"/>
        <w:rPr>
          <w:lang w:val="en-GB"/>
        </w:rPr>
      </w:pPr>
    </w:p>
    <w:p w14:paraId="79AD7F8D" w14:textId="6DCC5D48" w:rsidR="00C8111D" w:rsidRPr="006C3201" w:rsidRDefault="006C3201" w:rsidP="006C3201">
      <w:pPr>
        <w:autoSpaceDE w:val="0"/>
        <w:autoSpaceDN w:val="0"/>
        <w:adjustRightInd w:val="0"/>
        <w:jc w:val="both"/>
        <w:rPr>
          <w:lang w:val="en-GB"/>
        </w:rPr>
      </w:pPr>
      <w:r>
        <w:rPr>
          <w:lang w:val="en-GB"/>
        </w:rPr>
        <w:t>[2]</w:t>
      </w:r>
      <w:r>
        <w:rPr>
          <w:lang w:val="en-GB"/>
        </w:rPr>
        <w:tab/>
      </w:r>
      <w:r w:rsidR="003C3C37" w:rsidRPr="006C3201">
        <w:rPr>
          <w:lang w:val="en-GB"/>
        </w:rPr>
        <w:t xml:space="preserve">An opposed application to be released on bail was dismissed by the court </w:t>
      </w:r>
      <w:r w:rsidR="003C3C37" w:rsidRPr="006C3201">
        <w:rPr>
          <w:i/>
          <w:iCs/>
          <w:lang w:val="en-GB"/>
        </w:rPr>
        <w:t>a quo</w:t>
      </w:r>
      <w:r w:rsidR="003C3C37" w:rsidRPr="006C3201">
        <w:rPr>
          <w:lang w:val="en-GB"/>
        </w:rPr>
        <w:t xml:space="preserve"> on 12 June 2023. The grounds of appeal include that court’s alleged </w:t>
      </w:r>
      <w:r w:rsidR="00B34905" w:rsidRPr="006C3201">
        <w:rPr>
          <w:lang w:val="en-GB"/>
        </w:rPr>
        <w:t xml:space="preserve">misdirection in treating the charge(s) as a Schedule 6 offence, and the </w:t>
      </w:r>
      <w:r w:rsidR="003C3C37" w:rsidRPr="006C3201">
        <w:rPr>
          <w:lang w:val="en-GB"/>
        </w:rPr>
        <w:t>failure:</w:t>
      </w:r>
    </w:p>
    <w:p w14:paraId="218F6B5A" w14:textId="2639F90A" w:rsidR="003C3C37" w:rsidRDefault="003C3C37" w:rsidP="003C3C37">
      <w:pPr>
        <w:rPr>
          <w:lang w:val="en-GB"/>
        </w:rPr>
      </w:pPr>
    </w:p>
    <w:p w14:paraId="1913B9A5" w14:textId="023F2B5B" w:rsidR="003C3C37" w:rsidRPr="006C3201" w:rsidRDefault="006C3201" w:rsidP="006C3201">
      <w:pPr>
        <w:ind w:left="720" w:hanging="360"/>
        <w:rPr>
          <w:lang w:val="en-GB"/>
        </w:rPr>
      </w:pPr>
      <w:r>
        <w:rPr>
          <w:lang w:val="en-GB"/>
        </w:rPr>
        <w:t>a)</w:t>
      </w:r>
      <w:r>
        <w:rPr>
          <w:lang w:val="en-GB"/>
        </w:rPr>
        <w:tab/>
      </w:r>
      <w:r w:rsidR="003C3C37" w:rsidRPr="006C3201">
        <w:rPr>
          <w:lang w:val="en-GB"/>
        </w:rPr>
        <w:t>to have proper regard to all the evidence adduced in support of bail;</w:t>
      </w:r>
    </w:p>
    <w:p w14:paraId="583C7C53" w14:textId="7E94CBF3" w:rsidR="003C3C37" w:rsidRPr="006C3201" w:rsidRDefault="006C3201" w:rsidP="006C3201">
      <w:pPr>
        <w:ind w:left="720" w:hanging="360"/>
        <w:rPr>
          <w:lang w:val="en-GB"/>
        </w:rPr>
      </w:pPr>
      <w:r>
        <w:rPr>
          <w:lang w:val="en-GB"/>
        </w:rPr>
        <w:t>b)</w:t>
      </w:r>
      <w:r>
        <w:rPr>
          <w:lang w:val="en-GB"/>
        </w:rPr>
        <w:tab/>
      </w:r>
      <w:r w:rsidR="003C3C37" w:rsidRPr="006C3201">
        <w:rPr>
          <w:lang w:val="en-GB"/>
        </w:rPr>
        <w:t>to attach due weight to the appellant’s personal circumstances;</w:t>
      </w:r>
    </w:p>
    <w:p w14:paraId="31099573" w14:textId="6A24D15D" w:rsidR="003C3C37" w:rsidRPr="006C3201" w:rsidRDefault="006C3201" w:rsidP="006C3201">
      <w:pPr>
        <w:ind w:left="720" w:hanging="360"/>
        <w:rPr>
          <w:lang w:val="en-GB"/>
        </w:rPr>
      </w:pPr>
      <w:r>
        <w:rPr>
          <w:lang w:val="en-GB"/>
        </w:rPr>
        <w:t>c)</w:t>
      </w:r>
      <w:r>
        <w:rPr>
          <w:lang w:val="en-GB"/>
        </w:rPr>
        <w:tab/>
      </w:r>
      <w:r w:rsidR="003C3C37" w:rsidRPr="006C3201">
        <w:rPr>
          <w:lang w:val="en-GB"/>
        </w:rPr>
        <w:t xml:space="preserve">to find that none of the likelihoods set out in s 60(4) of the Criminal Procedure Act, 1977 (‘the CPA’) existed </w:t>
      </w:r>
      <w:r w:rsidR="003C3C37" w:rsidRPr="006C3201">
        <w:rPr>
          <w:i/>
          <w:iCs/>
          <w:lang w:val="en-GB"/>
        </w:rPr>
        <w:t>in casu</w:t>
      </w:r>
      <w:r w:rsidR="003C3C37" w:rsidRPr="006C3201">
        <w:rPr>
          <w:lang w:val="en-GB"/>
        </w:rPr>
        <w:t>;</w:t>
      </w:r>
    </w:p>
    <w:p w14:paraId="07EF4C48" w14:textId="524EA189" w:rsidR="003C3C37" w:rsidRDefault="003C3C37" w:rsidP="003C3C37">
      <w:pPr>
        <w:rPr>
          <w:lang w:val="en-GB"/>
        </w:rPr>
      </w:pPr>
    </w:p>
    <w:p w14:paraId="2D97ECC5" w14:textId="1CE27865" w:rsidR="003C3C37" w:rsidRDefault="003C3C37" w:rsidP="003C3C37">
      <w:pPr>
        <w:rPr>
          <w:b/>
          <w:bCs/>
          <w:lang w:val="en-GB"/>
        </w:rPr>
      </w:pPr>
      <w:r>
        <w:rPr>
          <w:b/>
          <w:bCs/>
          <w:lang w:val="en-GB"/>
        </w:rPr>
        <w:t>Was the magistrate’s discretion wrongly exercised?</w:t>
      </w:r>
    </w:p>
    <w:p w14:paraId="373186E5" w14:textId="77777777" w:rsidR="003C3C37" w:rsidRPr="003C3C37" w:rsidRDefault="003C3C37" w:rsidP="003C3C37">
      <w:pPr>
        <w:rPr>
          <w:b/>
          <w:bCs/>
          <w:lang w:val="en-GB"/>
        </w:rPr>
      </w:pPr>
    </w:p>
    <w:p w14:paraId="63C89881" w14:textId="3855E62C" w:rsidR="003C3C37" w:rsidRPr="006C3201" w:rsidRDefault="006C3201" w:rsidP="006C3201">
      <w:pPr>
        <w:autoSpaceDE w:val="0"/>
        <w:autoSpaceDN w:val="0"/>
        <w:adjustRightInd w:val="0"/>
        <w:jc w:val="both"/>
        <w:rPr>
          <w:lang w:val="en-GB"/>
        </w:rPr>
      </w:pPr>
      <w:r>
        <w:rPr>
          <w:lang w:val="en-GB"/>
        </w:rPr>
        <w:t>[3]</w:t>
      </w:r>
      <w:r>
        <w:rPr>
          <w:lang w:val="en-GB"/>
        </w:rPr>
        <w:tab/>
      </w:r>
      <w:r w:rsidR="005E0E0E" w:rsidRPr="006C3201">
        <w:rPr>
          <w:lang w:val="en-GB"/>
        </w:rPr>
        <w:t xml:space="preserve">It has been held that a bail appeal goes to the question of deprivation of personal liberty, thereby implicating constitutional rights, so that an appeal court’s competence to determine the exercise of the court </w:t>
      </w:r>
      <w:r w:rsidR="005E0E0E" w:rsidRPr="006C3201">
        <w:rPr>
          <w:i/>
          <w:iCs/>
          <w:lang w:val="en-GB"/>
        </w:rPr>
        <w:t>a quo’s</w:t>
      </w:r>
      <w:r w:rsidR="005E0E0E" w:rsidRPr="006C3201">
        <w:rPr>
          <w:lang w:val="en-GB"/>
        </w:rPr>
        <w:t xml:space="preserve"> discretion ought not to be unduly restricted.</w:t>
      </w:r>
      <w:r w:rsidR="0028373E">
        <w:rPr>
          <w:rStyle w:val="FootnoteReference"/>
          <w:lang w:val="en-GB"/>
        </w:rPr>
        <w:footnoteReference w:id="2"/>
      </w:r>
      <w:r w:rsidR="005E0E0E" w:rsidRPr="006C3201">
        <w:rPr>
          <w:i/>
          <w:iCs/>
          <w:lang w:val="en-GB"/>
        </w:rPr>
        <w:t xml:space="preserve"> </w:t>
      </w:r>
      <w:r w:rsidR="00512667" w:rsidRPr="006C3201">
        <w:rPr>
          <w:lang w:val="en-GB"/>
        </w:rPr>
        <w:t>Section 65(4) of the CPA provides:</w:t>
      </w:r>
    </w:p>
    <w:p w14:paraId="41169AB5" w14:textId="25CD0C01" w:rsidR="00512667" w:rsidRDefault="00512667" w:rsidP="00512667">
      <w:pPr>
        <w:pStyle w:val="ListParagraph"/>
        <w:autoSpaceDE w:val="0"/>
        <w:autoSpaceDN w:val="0"/>
        <w:adjustRightInd w:val="0"/>
        <w:ind w:left="0"/>
        <w:jc w:val="both"/>
        <w:rPr>
          <w:lang w:val="en-GB"/>
        </w:rPr>
      </w:pPr>
    </w:p>
    <w:p w14:paraId="465242F4" w14:textId="40446E97" w:rsidR="00512667" w:rsidRPr="00512667" w:rsidRDefault="00512667" w:rsidP="00512667">
      <w:pPr>
        <w:pStyle w:val="ListParagraph"/>
        <w:autoSpaceDE w:val="0"/>
        <w:autoSpaceDN w:val="0"/>
        <w:adjustRightInd w:val="0"/>
        <w:ind w:left="0"/>
        <w:jc w:val="both"/>
        <w:rPr>
          <w:sz w:val="22"/>
          <w:szCs w:val="22"/>
          <w:lang w:val="en-GB"/>
        </w:rPr>
      </w:pPr>
      <w:r>
        <w:rPr>
          <w:sz w:val="22"/>
          <w:szCs w:val="22"/>
          <w:lang w:val="en-GB"/>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14:paraId="18CDAF5C" w14:textId="77777777" w:rsidR="00512667" w:rsidRDefault="00512667" w:rsidP="00512667">
      <w:pPr>
        <w:pStyle w:val="ListParagraph"/>
        <w:autoSpaceDE w:val="0"/>
        <w:autoSpaceDN w:val="0"/>
        <w:adjustRightInd w:val="0"/>
        <w:ind w:left="0"/>
        <w:jc w:val="both"/>
        <w:rPr>
          <w:lang w:val="en-GB"/>
        </w:rPr>
      </w:pPr>
    </w:p>
    <w:p w14:paraId="1F8C04C0" w14:textId="0327DCE5" w:rsidR="00512667" w:rsidRPr="006C3201" w:rsidRDefault="006C3201" w:rsidP="006C3201">
      <w:pPr>
        <w:autoSpaceDE w:val="0"/>
        <w:autoSpaceDN w:val="0"/>
        <w:adjustRightInd w:val="0"/>
        <w:jc w:val="both"/>
        <w:rPr>
          <w:lang w:val="en-GB"/>
        </w:rPr>
      </w:pPr>
      <w:r>
        <w:rPr>
          <w:lang w:val="en-GB"/>
        </w:rPr>
        <w:t>[4]</w:t>
      </w:r>
      <w:r>
        <w:rPr>
          <w:lang w:val="en-GB"/>
        </w:rPr>
        <w:tab/>
      </w:r>
      <w:r w:rsidR="00855352" w:rsidRPr="006C3201">
        <w:rPr>
          <w:lang w:val="en-GB"/>
        </w:rPr>
        <w:t xml:space="preserve">A court of appeal may consider the issue of bail afresh where the court </w:t>
      </w:r>
      <w:r w:rsidR="00855352" w:rsidRPr="006C3201">
        <w:rPr>
          <w:i/>
          <w:iCs/>
          <w:lang w:val="en-GB"/>
        </w:rPr>
        <w:t>a quo</w:t>
      </w:r>
      <w:r w:rsidR="00855352" w:rsidRPr="006C3201">
        <w:rPr>
          <w:lang w:val="en-GB"/>
        </w:rPr>
        <w:t xml:space="preserve"> misdirected itself materially on the facts or legal principles.</w:t>
      </w:r>
      <w:r w:rsidR="00225D6E" w:rsidRPr="006C3201">
        <w:rPr>
          <w:lang w:val="en-GB"/>
        </w:rPr>
        <w:t xml:space="preserve"> It will not interfere merely because it holds a different view to the court </w:t>
      </w:r>
      <w:r w:rsidR="00225D6E" w:rsidRPr="006C3201">
        <w:rPr>
          <w:i/>
          <w:iCs/>
          <w:lang w:val="en-GB"/>
        </w:rPr>
        <w:t>a quo</w:t>
      </w:r>
      <w:r w:rsidR="00225D6E" w:rsidRPr="006C3201">
        <w:rPr>
          <w:lang w:val="en-GB"/>
        </w:rPr>
        <w:t xml:space="preserve">, </w:t>
      </w:r>
      <w:r w:rsidR="004918C7" w:rsidRPr="006C3201">
        <w:rPr>
          <w:lang w:val="en-GB"/>
        </w:rPr>
        <w:t xml:space="preserve">or even in cases </w:t>
      </w:r>
      <w:r w:rsidR="002E4EB7" w:rsidRPr="006C3201">
        <w:rPr>
          <w:lang w:val="en-GB"/>
        </w:rPr>
        <w:t xml:space="preserve">where there is doubt about </w:t>
      </w:r>
      <w:r w:rsidR="00ED0C54" w:rsidRPr="006C3201">
        <w:rPr>
          <w:lang w:val="en-GB"/>
        </w:rPr>
        <w:t>whether</w:t>
      </w:r>
      <w:r w:rsidR="002E4EB7" w:rsidRPr="006C3201">
        <w:rPr>
          <w:lang w:val="en-GB"/>
        </w:rPr>
        <w:t xml:space="preserve"> to </w:t>
      </w:r>
      <w:r w:rsidR="002244E1" w:rsidRPr="006C3201">
        <w:rPr>
          <w:lang w:val="en-GB"/>
        </w:rPr>
        <w:t xml:space="preserve">interfere. On the assumption that the decision of the court </w:t>
      </w:r>
      <w:r w:rsidR="002244E1" w:rsidRPr="006C3201">
        <w:rPr>
          <w:i/>
          <w:iCs/>
          <w:lang w:val="en-GB"/>
        </w:rPr>
        <w:t xml:space="preserve">a quo </w:t>
      </w:r>
      <w:r w:rsidR="002244E1" w:rsidRPr="006C3201">
        <w:rPr>
          <w:lang w:val="en-GB"/>
        </w:rPr>
        <w:t xml:space="preserve">is ‘correct’, </w:t>
      </w:r>
      <w:r w:rsidR="00A644CB" w:rsidRPr="006C3201">
        <w:rPr>
          <w:lang w:val="en-GB"/>
        </w:rPr>
        <w:t xml:space="preserve">an appeal court </w:t>
      </w:r>
      <w:r w:rsidR="00225D6E" w:rsidRPr="006C3201">
        <w:rPr>
          <w:lang w:val="en-GB"/>
        </w:rPr>
        <w:t>must be persuaded that the magistrate exercised their decision wrongly.</w:t>
      </w:r>
      <w:r w:rsidR="00B13934">
        <w:rPr>
          <w:rStyle w:val="FootnoteReference"/>
          <w:lang w:val="en-GB"/>
        </w:rPr>
        <w:footnoteReference w:id="3"/>
      </w:r>
    </w:p>
    <w:p w14:paraId="23318BD2" w14:textId="77777777" w:rsidR="00ED0C54" w:rsidRDefault="00ED0C54" w:rsidP="00ED0C54">
      <w:pPr>
        <w:pStyle w:val="ListParagraph"/>
        <w:autoSpaceDE w:val="0"/>
        <w:autoSpaceDN w:val="0"/>
        <w:adjustRightInd w:val="0"/>
        <w:ind w:left="0"/>
        <w:jc w:val="both"/>
        <w:rPr>
          <w:lang w:val="en-GB"/>
        </w:rPr>
      </w:pPr>
    </w:p>
    <w:p w14:paraId="2DC95872" w14:textId="4616D143" w:rsidR="00ED0C54" w:rsidRPr="006C3201" w:rsidRDefault="006C3201" w:rsidP="006C3201">
      <w:pPr>
        <w:autoSpaceDE w:val="0"/>
        <w:autoSpaceDN w:val="0"/>
        <w:adjustRightInd w:val="0"/>
        <w:jc w:val="both"/>
        <w:rPr>
          <w:lang w:val="en-GB"/>
        </w:rPr>
      </w:pPr>
      <w:r>
        <w:rPr>
          <w:lang w:val="en-GB"/>
        </w:rPr>
        <w:t>[5]</w:t>
      </w:r>
      <w:r>
        <w:rPr>
          <w:lang w:val="en-GB"/>
        </w:rPr>
        <w:tab/>
      </w:r>
      <w:r w:rsidR="00ED0C54" w:rsidRPr="006C3201">
        <w:rPr>
          <w:lang w:val="en-GB"/>
        </w:rPr>
        <w:t xml:space="preserve">The record reveals that the court </w:t>
      </w:r>
      <w:r w:rsidR="00ED0C54" w:rsidRPr="006C3201">
        <w:rPr>
          <w:i/>
          <w:iCs/>
          <w:lang w:val="en-GB"/>
        </w:rPr>
        <w:t>a quo</w:t>
      </w:r>
      <w:r w:rsidR="00ED0C54" w:rsidRPr="006C3201">
        <w:rPr>
          <w:lang w:val="en-GB"/>
        </w:rPr>
        <w:t xml:space="preserve"> relied on a concession from the legal representative who appeared on behalf of the appellant at the bail application, </w:t>
      </w:r>
      <w:r w:rsidR="000F175B" w:rsidRPr="006C3201">
        <w:rPr>
          <w:lang w:val="en-GB"/>
        </w:rPr>
        <w:t xml:space="preserve">following submissions from the prosecutor, </w:t>
      </w:r>
      <w:r w:rsidR="00ED0C54" w:rsidRPr="006C3201">
        <w:rPr>
          <w:lang w:val="en-GB"/>
        </w:rPr>
        <w:t xml:space="preserve">in respect of </w:t>
      </w:r>
      <w:r w:rsidR="000F175B" w:rsidRPr="006C3201">
        <w:rPr>
          <w:lang w:val="en-GB"/>
        </w:rPr>
        <w:t>the applicability of schedule 6 of the CPA to certain of the charges</w:t>
      </w:r>
      <w:r w:rsidR="00ED0C54" w:rsidRPr="006C3201">
        <w:rPr>
          <w:lang w:val="en-GB"/>
        </w:rPr>
        <w:t>.</w:t>
      </w:r>
      <w:r w:rsidR="00B34A10">
        <w:rPr>
          <w:rStyle w:val="FootnoteReference"/>
          <w:lang w:val="en-GB"/>
        </w:rPr>
        <w:footnoteReference w:id="4"/>
      </w:r>
      <w:r w:rsidR="00ED0C54" w:rsidRPr="006C3201">
        <w:rPr>
          <w:lang w:val="en-GB"/>
        </w:rPr>
        <w:t xml:space="preserve"> </w:t>
      </w:r>
      <w:r w:rsidR="000F175B" w:rsidRPr="006C3201">
        <w:rPr>
          <w:lang w:val="en-GB"/>
        </w:rPr>
        <w:t xml:space="preserve">That approach ignored the salutary remarks of Opperman J in </w:t>
      </w:r>
      <w:r w:rsidR="000F175B" w:rsidRPr="006C3201">
        <w:rPr>
          <w:i/>
          <w:iCs/>
          <w:lang w:val="en-GB"/>
        </w:rPr>
        <w:t>S v Modise</w:t>
      </w:r>
      <w:r w:rsidR="000F175B" w:rsidRPr="006C3201">
        <w:rPr>
          <w:lang w:val="en-GB"/>
        </w:rPr>
        <w:t>:</w:t>
      </w:r>
      <w:r w:rsidR="000F175B">
        <w:rPr>
          <w:rStyle w:val="FootnoteReference"/>
          <w:lang w:val="en-GB"/>
        </w:rPr>
        <w:footnoteReference w:id="5"/>
      </w:r>
    </w:p>
    <w:p w14:paraId="1B723DDD" w14:textId="4FF0E71F" w:rsidR="000F175B" w:rsidRDefault="000F175B" w:rsidP="003D4462">
      <w:pPr>
        <w:rPr>
          <w:lang w:val="en-GB"/>
        </w:rPr>
      </w:pPr>
    </w:p>
    <w:p w14:paraId="67DF72A4" w14:textId="04E82637" w:rsidR="003D4462" w:rsidRDefault="00852308" w:rsidP="009908A9">
      <w:pPr>
        <w:jc w:val="both"/>
        <w:rPr>
          <w:sz w:val="22"/>
          <w:szCs w:val="22"/>
          <w:lang w:val="en-GB"/>
        </w:rPr>
      </w:pPr>
      <w:r>
        <w:rPr>
          <w:sz w:val="22"/>
          <w:szCs w:val="22"/>
          <w:lang w:val="en-GB"/>
        </w:rPr>
        <w:t>‘There is not a bail application that can commence without the schedule applicable; and the onus prescribed therefor, having been determined … all bail applications must start with the establishment of the schedule applicable, and the applicant must have a clear understanding of the issue.</w:t>
      </w:r>
    </w:p>
    <w:p w14:paraId="590EC7FF" w14:textId="59269848" w:rsidR="00852308" w:rsidRDefault="00852308" w:rsidP="009908A9">
      <w:pPr>
        <w:jc w:val="both"/>
        <w:rPr>
          <w:sz w:val="22"/>
          <w:szCs w:val="22"/>
          <w:lang w:val="en-GB"/>
        </w:rPr>
      </w:pPr>
      <w:r>
        <w:rPr>
          <w:sz w:val="22"/>
          <w:szCs w:val="22"/>
          <w:lang w:val="en-GB"/>
        </w:rPr>
        <w:t>…</w:t>
      </w:r>
    </w:p>
    <w:p w14:paraId="38ACEBA8" w14:textId="1A29A3FD" w:rsidR="00852308" w:rsidRDefault="00852308" w:rsidP="009908A9">
      <w:pPr>
        <w:jc w:val="both"/>
        <w:rPr>
          <w:sz w:val="22"/>
          <w:szCs w:val="22"/>
          <w:lang w:val="en-GB"/>
        </w:rPr>
      </w:pPr>
      <w:r>
        <w:rPr>
          <w:sz w:val="22"/>
          <w:szCs w:val="22"/>
          <w:lang w:val="en-GB"/>
        </w:rPr>
        <w:t xml:space="preserve">In practice the court will have to probe the schedule applicable from both parties, rule on it and explain the onus to the applicant. Then and then only may the hearing commence. </w:t>
      </w:r>
      <w:r w:rsidRPr="00B124BD">
        <w:rPr>
          <w:i/>
          <w:iCs/>
          <w:sz w:val="22"/>
          <w:szCs w:val="22"/>
          <w:lang w:val="en-GB"/>
        </w:rPr>
        <w:t>The court must rule on the schedule because the parties might have it wrong. Bail applications are completely in the hands of the court</w:t>
      </w:r>
      <w:r>
        <w:rPr>
          <w:sz w:val="22"/>
          <w:szCs w:val="22"/>
          <w:lang w:val="en-GB"/>
        </w:rPr>
        <w:t>.’</w:t>
      </w:r>
      <w:r w:rsidR="00B124BD">
        <w:rPr>
          <w:sz w:val="22"/>
          <w:szCs w:val="22"/>
          <w:lang w:val="en-GB"/>
        </w:rPr>
        <w:t xml:space="preserve"> (Own emphasis.)</w:t>
      </w:r>
    </w:p>
    <w:p w14:paraId="62686845" w14:textId="77777777" w:rsidR="00852308" w:rsidRPr="00852308" w:rsidRDefault="00852308" w:rsidP="003D4462">
      <w:pPr>
        <w:rPr>
          <w:sz w:val="22"/>
          <w:szCs w:val="22"/>
          <w:lang w:val="en-GB"/>
        </w:rPr>
      </w:pPr>
    </w:p>
    <w:p w14:paraId="03A5DCEA" w14:textId="4C34B7FC" w:rsidR="008C20AB" w:rsidRPr="006C3201" w:rsidRDefault="006C3201" w:rsidP="006C3201">
      <w:pPr>
        <w:autoSpaceDE w:val="0"/>
        <w:autoSpaceDN w:val="0"/>
        <w:adjustRightInd w:val="0"/>
        <w:jc w:val="both"/>
        <w:rPr>
          <w:lang w:val="en-GB"/>
        </w:rPr>
      </w:pPr>
      <w:r>
        <w:rPr>
          <w:lang w:val="en-GB"/>
        </w:rPr>
        <w:t>[6]</w:t>
      </w:r>
      <w:r>
        <w:rPr>
          <w:lang w:val="en-GB"/>
        </w:rPr>
        <w:tab/>
      </w:r>
      <w:r w:rsidR="00FC5714" w:rsidRPr="006C3201">
        <w:rPr>
          <w:lang w:val="en-GB"/>
        </w:rPr>
        <w:t>As was the case in that matter, the magistrate’s decision to apply schedule 6 was erroneous. This is because there was no reference in the charge sheet to the crime of murder ‘when planned or premeditated’ or when ‘committed by a person, group of persons or syndicate acting in the execution or furtherance of a common purpose or conspiracy’.</w:t>
      </w:r>
      <w:r w:rsidR="00B34905" w:rsidRPr="006C3201">
        <w:rPr>
          <w:lang w:val="en-GB"/>
        </w:rPr>
        <w:t xml:space="preserve"> </w:t>
      </w:r>
      <w:r w:rsidR="008C20AB" w:rsidRPr="006C3201">
        <w:rPr>
          <w:lang w:val="en-GB"/>
        </w:rPr>
        <w:t>T</w:t>
      </w:r>
      <w:r w:rsidR="00B34905" w:rsidRPr="006C3201">
        <w:rPr>
          <w:lang w:val="en-GB"/>
        </w:rPr>
        <w:t xml:space="preserve">he State argued that this might be implied from the bail proceedings and </w:t>
      </w:r>
      <w:r w:rsidR="008C20AB" w:rsidRPr="006C3201">
        <w:rPr>
          <w:lang w:val="en-GB"/>
        </w:rPr>
        <w:t xml:space="preserve">from the very fact that the appellant was charged together with other accused. It was also submitted that the </w:t>
      </w:r>
      <w:r w:rsidR="00BC1D21" w:rsidRPr="006C3201">
        <w:rPr>
          <w:lang w:val="en-GB"/>
        </w:rPr>
        <w:t>appellant</w:t>
      </w:r>
      <w:r w:rsidR="008C20AB" w:rsidRPr="006C3201">
        <w:rPr>
          <w:lang w:val="en-GB"/>
        </w:rPr>
        <w:t xml:space="preserve"> had not suffered any prejudice because of the charge sheet omissions. </w:t>
      </w:r>
    </w:p>
    <w:p w14:paraId="09034208" w14:textId="77777777" w:rsidR="008C20AB" w:rsidRDefault="008C20AB" w:rsidP="008C20AB">
      <w:pPr>
        <w:pStyle w:val="ListParagraph"/>
        <w:autoSpaceDE w:val="0"/>
        <w:autoSpaceDN w:val="0"/>
        <w:adjustRightInd w:val="0"/>
        <w:ind w:left="0"/>
        <w:jc w:val="both"/>
        <w:rPr>
          <w:lang w:val="en-GB"/>
        </w:rPr>
      </w:pPr>
    </w:p>
    <w:p w14:paraId="4AC37550" w14:textId="6A49931F" w:rsidR="00AF0416" w:rsidRPr="006C3201" w:rsidRDefault="006C3201" w:rsidP="006C3201">
      <w:pPr>
        <w:autoSpaceDE w:val="0"/>
        <w:autoSpaceDN w:val="0"/>
        <w:adjustRightInd w:val="0"/>
        <w:jc w:val="both"/>
        <w:rPr>
          <w:lang w:val="en-GB"/>
        </w:rPr>
      </w:pPr>
      <w:r>
        <w:rPr>
          <w:lang w:val="en-GB"/>
        </w:rPr>
        <w:t>[7]</w:t>
      </w:r>
      <w:r>
        <w:rPr>
          <w:lang w:val="en-GB"/>
        </w:rPr>
        <w:tab/>
      </w:r>
      <w:r w:rsidR="008C20AB" w:rsidRPr="006C3201">
        <w:rPr>
          <w:lang w:val="en-GB"/>
        </w:rPr>
        <w:t>Those arguments are, in my view, without merit. A similar occurrence was recently pronounced upon by my brother, Laing J. The learned judge relied on the constitutional right to be released from detention if the interests of justice permit, subject to reasonable conditions, the accused person’s fair trial rights, including the right to be informed of the charge with sufficient detail to answer i</w:t>
      </w:r>
      <w:r w:rsidR="000D305B" w:rsidRPr="006C3201">
        <w:rPr>
          <w:lang w:val="en-GB"/>
        </w:rPr>
        <w:t xml:space="preserve">t, and the essentials </w:t>
      </w:r>
      <w:r w:rsidR="000D305B" w:rsidRPr="006C3201">
        <w:rPr>
          <w:lang w:val="en-GB"/>
        </w:rPr>
        <w:lastRenderedPageBreak/>
        <w:t>of the charge as described in s 84(1) of the CPA.</w:t>
      </w:r>
      <w:r w:rsidR="000D305B">
        <w:rPr>
          <w:rStyle w:val="FootnoteReference"/>
          <w:lang w:val="en-GB"/>
        </w:rPr>
        <w:footnoteReference w:id="6"/>
      </w:r>
      <w:r w:rsidR="008C20AB" w:rsidRPr="006C3201">
        <w:rPr>
          <w:lang w:val="en-GB"/>
        </w:rPr>
        <w:t xml:space="preserve"> </w:t>
      </w:r>
      <w:r w:rsidR="00934C7D" w:rsidRPr="006C3201">
        <w:rPr>
          <w:lang w:val="en-GB"/>
        </w:rPr>
        <w:t xml:space="preserve">The court added that these rights extended to </w:t>
      </w:r>
      <w:r w:rsidR="001F5499" w:rsidRPr="006C3201">
        <w:rPr>
          <w:lang w:val="en-GB"/>
        </w:rPr>
        <w:t>bail application proceedings, so that an accused person could respond appropriately to enable the court to determine whether the interests of justice permitted release.</w:t>
      </w:r>
      <w:r w:rsidR="00AF0416" w:rsidRPr="006C3201">
        <w:rPr>
          <w:lang w:val="en-GB"/>
        </w:rPr>
        <w:t xml:space="preserve"> </w:t>
      </w:r>
    </w:p>
    <w:p w14:paraId="4778586D" w14:textId="77777777" w:rsidR="00AF0416" w:rsidRPr="00AF0416" w:rsidRDefault="00AF0416" w:rsidP="00AF0416">
      <w:pPr>
        <w:pStyle w:val="ListParagraph"/>
        <w:rPr>
          <w:lang w:val="en-GB"/>
        </w:rPr>
      </w:pPr>
    </w:p>
    <w:p w14:paraId="6FC51356" w14:textId="580497A5" w:rsidR="008C20AB" w:rsidRPr="006C3201" w:rsidRDefault="006C3201" w:rsidP="006C3201">
      <w:pPr>
        <w:autoSpaceDE w:val="0"/>
        <w:autoSpaceDN w:val="0"/>
        <w:adjustRightInd w:val="0"/>
        <w:jc w:val="both"/>
        <w:rPr>
          <w:lang w:val="en-GB"/>
        </w:rPr>
      </w:pPr>
      <w:r w:rsidRPr="00934C7D">
        <w:rPr>
          <w:lang w:val="en-GB"/>
        </w:rPr>
        <w:t>[8]</w:t>
      </w:r>
      <w:r w:rsidRPr="00934C7D">
        <w:rPr>
          <w:lang w:val="en-GB"/>
        </w:rPr>
        <w:tab/>
      </w:r>
      <w:r w:rsidR="00AF0416" w:rsidRPr="006C3201">
        <w:rPr>
          <w:lang w:val="en-GB"/>
        </w:rPr>
        <w:t>Following that approach, the starting point is the charge sheet itself, which is an official form. Nothing prevented the state from amending or supplementing the charges, on application where necessary, in advance of the bail application in such a manner as not to infringe the accused’s right to a fair trial.</w:t>
      </w:r>
      <w:r w:rsidR="006B1536">
        <w:rPr>
          <w:rStyle w:val="FootnoteReference"/>
          <w:lang w:val="en-GB"/>
        </w:rPr>
        <w:footnoteReference w:id="7"/>
      </w:r>
      <w:r w:rsidR="00223D75" w:rsidRPr="006C3201">
        <w:rPr>
          <w:lang w:val="en-GB"/>
        </w:rPr>
        <w:t xml:space="preserve"> As it stands, the absence of reference to planning, premeditation, common purpose or conspiracy in explaining the murder charges resulted in the court </w:t>
      </w:r>
      <w:r w:rsidR="00223D75" w:rsidRPr="006C3201">
        <w:rPr>
          <w:i/>
          <w:iCs/>
          <w:lang w:val="en-GB"/>
        </w:rPr>
        <w:t>a quo</w:t>
      </w:r>
      <w:r w:rsidR="00223D75" w:rsidRPr="006C3201">
        <w:rPr>
          <w:lang w:val="en-GB"/>
        </w:rPr>
        <w:t xml:space="preserve"> erring in respect of its treatment of the matter in terms of schedule 6. Absent further detail</w:t>
      </w:r>
      <w:r w:rsidR="00231352" w:rsidRPr="006C3201">
        <w:rPr>
          <w:lang w:val="en-GB"/>
        </w:rPr>
        <w:t xml:space="preserve"> in the charge sheet</w:t>
      </w:r>
      <w:r w:rsidR="00223D75" w:rsidRPr="006C3201">
        <w:rPr>
          <w:lang w:val="en-GB"/>
        </w:rPr>
        <w:t>, the bail application was governed by the approach to Schedule 5 offences.</w:t>
      </w:r>
    </w:p>
    <w:p w14:paraId="206C5B35" w14:textId="77777777" w:rsidR="008C20AB" w:rsidRPr="008C20AB" w:rsidRDefault="008C20AB" w:rsidP="008C20AB">
      <w:pPr>
        <w:rPr>
          <w:lang w:val="en-GB"/>
        </w:rPr>
      </w:pPr>
    </w:p>
    <w:p w14:paraId="1DC6D423" w14:textId="3695C97A" w:rsidR="008C20AB" w:rsidRPr="006C3201" w:rsidRDefault="006C3201" w:rsidP="006C3201">
      <w:pPr>
        <w:autoSpaceDE w:val="0"/>
        <w:autoSpaceDN w:val="0"/>
        <w:adjustRightInd w:val="0"/>
        <w:jc w:val="both"/>
        <w:rPr>
          <w:lang w:val="en-GB"/>
        </w:rPr>
      </w:pPr>
      <w:r>
        <w:rPr>
          <w:lang w:val="en-GB"/>
        </w:rPr>
        <w:t>[9]</w:t>
      </w:r>
      <w:r>
        <w:rPr>
          <w:lang w:val="en-GB"/>
        </w:rPr>
        <w:tab/>
      </w:r>
      <w:r w:rsidR="00125270" w:rsidRPr="006C3201">
        <w:rPr>
          <w:lang w:val="en-GB"/>
        </w:rPr>
        <w:t xml:space="preserve">The magistrate’s exercise of discretion accordingly commenced off the wrong foot and necessitates this court’s own </w:t>
      </w:r>
      <w:r w:rsidR="00F64D7C" w:rsidRPr="006C3201">
        <w:rPr>
          <w:lang w:val="en-GB"/>
        </w:rPr>
        <w:t>enquiry</w:t>
      </w:r>
      <w:r w:rsidR="002A2382" w:rsidRPr="006C3201">
        <w:rPr>
          <w:lang w:val="en-GB"/>
        </w:rPr>
        <w:t xml:space="preserve"> </w:t>
      </w:r>
      <w:r w:rsidR="00F64D7C" w:rsidRPr="006C3201">
        <w:rPr>
          <w:lang w:val="en-GB"/>
        </w:rPr>
        <w:t>as to whether the interests of justice permit the granting of bail</w:t>
      </w:r>
      <w:r w:rsidR="002D2A45" w:rsidRPr="006C3201">
        <w:rPr>
          <w:lang w:val="en-GB"/>
        </w:rPr>
        <w:t>.</w:t>
      </w:r>
      <w:r w:rsidR="00B474C0" w:rsidRPr="006C3201">
        <w:rPr>
          <w:lang w:val="en-GB"/>
        </w:rPr>
        <w:t xml:space="preserve"> The authorities submitted by the state, which deal mainly with appeal court decisions at the culmination of trials where the charge sheet was inadequate,</w:t>
      </w:r>
      <w:r w:rsidR="006B624D" w:rsidRPr="006C3201">
        <w:rPr>
          <w:lang w:val="en-GB"/>
        </w:rPr>
        <w:t xml:space="preserve"> also in respect of minimum sentence provisioning,</w:t>
      </w:r>
      <w:r w:rsidR="00640FB4" w:rsidRPr="006C3201">
        <w:rPr>
          <w:lang w:val="en-GB"/>
        </w:rPr>
        <w:t xml:space="preserve"> and which consider the issue of</w:t>
      </w:r>
      <w:r w:rsidR="00581B37" w:rsidRPr="006C3201">
        <w:rPr>
          <w:lang w:val="en-GB"/>
        </w:rPr>
        <w:t xml:space="preserve"> possible</w:t>
      </w:r>
      <w:r w:rsidR="00640FB4" w:rsidRPr="006C3201">
        <w:rPr>
          <w:lang w:val="en-GB"/>
        </w:rPr>
        <w:t xml:space="preserve"> prejudice to the accused</w:t>
      </w:r>
      <w:r w:rsidR="000E5AC0" w:rsidRPr="006C3201">
        <w:rPr>
          <w:lang w:val="en-GB"/>
        </w:rPr>
        <w:t xml:space="preserve"> in that context</w:t>
      </w:r>
      <w:r w:rsidR="00640FB4" w:rsidRPr="006C3201">
        <w:rPr>
          <w:lang w:val="en-GB"/>
        </w:rPr>
        <w:t>,</w:t>
      </w:r>
      <w:r w:rsidR="00B474C0" w:rsidRPr="006C3201">
        <w:rPr>
          <w:lang w:val="en-GB"/>
        </w:rPr>
        <w:t xml:space="preserve"> take the issue no further.</w:t>
      </w:r>
    </w:p>
    <w:p w14:paraId="233DF399" w14:textId="77777777" w:rsidR="002A2382" w:rsidRPr="002A2382" w:rsidRDefault="002A2382" w:rsidP="002A2382">
      <w:pPr>
        <w:pStyle w:val="ListParagraph"/>
        <w:rPr>
          <w:lang w:val="en-GB"/>
        </w:rPr>
      </w:pPr>
    </w:p>
    <w:p w14:paraId="3B5621F6" w14:textId="4961980A" w:rsidR="000278EB" w:rsidRPr="006C3201" w:rsidRDefault="006C3201" w:rsidP="006C3201">
      <w:pPr>
        <w:autoSpaceDE w:val="0"/>
        <w:autoSpaceDN w:val="0"/>
        <w:adjustRightInd w:val="0"/>
        <w:jc w:val="both"/>
        <w:rPr>
          <w:lang w:val="en-GB"/>
        </w:rPr>
      </w:pPr>
      <w:r w:rsidRPr="00A90C15">
        <w:rPr>
          <w:lang w:val="en-GB"/>
        </w:rPr>
        <w:t>[10]</w:t>
      </w:r>
      <w:r w:rsidRPr="00A90C15">
        <w:rPr>
          <w:lang w:val="en-GB"/>
        </w:rPr>
        <w:tab/>
      </w:r>
      <w:r w:rsidR="000278EB" w:rsidRPr="006C3201">
        <w:rPr>
          <w:lang w:val="en-US"/>
        </w:rPr>
        <w:t>Section 60(11)</w:t>
      </w:r>
      <w:r w:rsidR="000278EB" w:rsidRPr="006C3201">
        <w:rPr>
          <w:i/>
          <w:iCs/>
          <w:lang w:val="en-US"/>
        </w:rPr>
        <w:t xml:space="preserve">(b) </w:t>
      </w:r>
      <w:r w:rsidR="000278EB" w:rsidRPr="006C3201">
        <w:rPr>
          <w:lang w:val="en-US"/>
        </w:rPr>
        <w:t>of the CPA sets out that:</w:t>
      </w:r>
    </w:p>
    <w:p w14:paraId="1840711D" w14:textId="77777777" w:rsidR="00A90C15" w:rsidRPr="002A2382" w:rsidRDefault="00A90C15" w:rsidP="00A90C15">
      <w:pPr>
        <w:pStyle w:val="ListParagraph"/>
        <w:autoSpaceDE w:val="0"/>
        <w:autoSpaceDN w:val="0"/>
        <w:adjustRightInd w:val="0"/>
        <w:ind w:left="0"/>
        <w:jc w:val="both"/>
        <w:rPr>
          <w:lang w:val="en-GB"/>
        </w:rPr>
      </w:pPr>
    </w:p>
    <w:p w14:paraId="59FC08BE" w14:textId="77777777" w:rsidR="002A2382" w:rsidRPr="002A2382" w:rsidRDefault="002A2382" w:rsidP="002A2382">
      <w:pPr>
        <w:jc w:val="both"/>
        <w:rPr>
          <w:rFonts w:eastAsia="Times New Roman"/>
          <w:sz w:val="22"/>
          <w:szCs w:val="22"/>
          <w:lang w:eastAsia="en-GB"/>
        </w:rPr>
      </w:pPr>
      <w:r w:rsidRPr="002A2382">
        <w:rPr>
          <w:rFonts w:eastAsia="Times New Roman"/>
          <w:sz w:val="22"/>
          <w:szCs w:val="22"/>
          <w:lang w:eastAsia="en-GB"/>
        </w:rPr>
        <w:t>‘(11) Notwithstanding any provision of this Act, where an accused is charged with an offence referred to—</w:t>
      </w:r>
    </w:p>
    <w:p w14:paraId="34E8511E" w14:textId="64271C1B" w:rsidR="002A2382" w:rsidRPr="002A2382" w:rsidRDefault="002A2382" w:rsidP="002A2382">
      <w:pPr>
        <w:jc w:val="both"/>
        <w:rPr>
          <w:rFonts w:eastAsia="Times New Roman"/>
          <w:sz w:val="22"/>
          <w:szCs w:val="22"/>
          <w:lang w:eastAsia="en-GB"/>
        </w:rPr>
      </w:pPr>
      <w:r w:rsidRPr="002A2382">
        <w:rPr>
          <w:rFonts w:eastAsia="Times New Roman"/>
          <w:sz w:val="22"/>
          <w:szCs w:val="22"/>
          <w:lang w:eastAsia="en-GB"/>
        </w:rPr>
        <w:t>…</w:t>
      </w:r>
    </w:p>
    <w:p w14:paraId="20143640" w14:textId="627612CA" w:rsidR="00A90C15" w:rsidRPr="00A90C15" w:rsidRDefault="002A2382" w:rsidP="00A90C15">
      <w:pPr>
        <w:jc w:val="both"/>
        <w:rPr>
          <w:rFonts w:eastAsia="Times New Roman"/>
          <w:sz w:val="22"/>
          <w:szCs w:val="22"/>
          <w:lang w:eastAsia="en-GB"/>
        </w:rPr>
      </w:pPr>
      <w:r w:rsidRPr="002A2382">
        <w:rPr>
          <w:rFonts w:eastAsia="Times New Roman"/>
          <w:sz w:val="22"/>
          <w:szCs w:val="22"/>
          <w:lang w:eastAsia="en-GB"/>
        </w:rPr>
        <w:t>(b)   in Schedule 5, but not in Schedule 6, the court 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p>
    <w:p w14:paraId="2B227467" w14:textId="77777777" w:rsidR="00A90C15" w:rsidRPr="00A90C15" w:rsidRDefault="00A90C15" w:rsidP="00A90C15">
      <w:pPr>
        <w:pStyle w:val="ListParagraph"/>
        <w:autoSpaceDE w:val="0"/>
        <w:autoSpaceDN w:val="0"/>
        <w:adjustRightInd w:val="0"/>
        <w:ind w:left="0"/>
        <w:jc w:val="both"/>
        <w:rPr>
          <w:lang w:val="en-GB"/>
        </w:rPr>
      </w:pPr>
    </w:p>
    <w:p w14:paraId="1C982B45" w14:textId="13C93C1D" w:rsidR="000278EB" w:rsidRPr="006C3201" w:rsidRDefault="006C3201" w:rsidP="006C3201">
      <w:pPr>
        <w:autoSpaceDE w:val="0"/>
        <w:autoSpaceDN w:val="0"/>
        <w:adjustRightInd w:val="0"/>
        <w:jc w:val="both"/>
        <w:rPr>
          <w:lang w:val="en-GB"/>
        </w:rPr>
      </w:pPr>
      <w:r w:rsidRPr="00A90C15">
        <w:rPr>
          <w:lang w:val="en-GB"/>
        </w:rPr>
        <w:t>[11]</w:t>
      </w:r>
      <w:r w:rsidRPr="00A90C15">
        <w:rPr>
          <w:lang w:val="en-GB"/>
        </w:rPr>
        <w:tab/>
      </w:r>
      <w:r w:rsidR="000278EB" w:rsidRPr="006C3201">
        <w:rPr>
          <w:lang w:val="en-US"/>
        </w:rPr>
        <w:t>Section 60(4</w:t>
      </w:r>
      <w:r w:rsidR="00911933" w:rsidRPr="006C3201">
        <w:rPr>
          <w:lang w:val="en-US"/>
        </w:rPr>
        <w:t>)</w:t>
      </w:r>
      <w:r w:rsidR="000278EB" w:rsidRPr="006C3201">
        <w:rPr>
          <w:lang w:val="en-US"/>
        </w:rPr>
        <w:t xml:space="preserve"> of the CPA</w:t>
      </w:r>
      <w:r w:rsidR="00FF1A2D" w:rsidRPr="006C3201">
        <w:rPr>
          <w:lang w:val="en-US"/>
        </w:rPr>
        <w:t xml:space="preserve"> sets out the circumstances where the interests of justice do not permit the granting of bail, including </w:t>
      </w:r>
      <w:r w:rsidR="0081025F" w:rsidRPr="006C3201">
        <w:rPr>
          <w:lang w:val="en-US"/>
        </w:rPr>
        <w:t xml:space="preserve">when there is </w:t>
      </w:r>
      <w:r w:rsidR="00FF1A2D" w:rsidRPr="006C3201">
        <w:rPr>
          <w:lang w:val="en-US"/>
        </w:rPr>
        <w:t>the likelihood of the accused evading trial</w:t>
      </w:r>
      <w:r w:rsidR="00911933" w:rsidRPr="006C3201">
        <w:rPr>
          <w:lang w:val="en-US"/>
        </w:rPr>
        <w:t>,</w:t>
      </w:r>
      <w:r w:rsidR="00932190">
        <w:rPr>
          <w:rStyle w:val="FootnoteReference"/>
          <w:lang w:val="en-US"/>
        </w:rPr>
        <w:footnoteReference w:id="8"/>
      </w:r>
      <w:r w:rsidR="00911933" w:rsidRPr="006C3201">
        <w:rPr>
          <w:lang w:val="en-US"/>
        </w:rPr>
        <w:t xml:space="preserve"> endangering </w:t>
      </w:r>
      <w:r w:rsidR="002577EA" w:rsidRPr="006C3201">
        <w:rPr>
          <w:lang w:val="en-US"/>
        </w:rPr>
        <w:t>the safety of the public or any particular person,</w:t>
      </w:r>
      <w:r w:rsidR="008C7314">
        <w:rPr>
          <w:rStyle w:val="FootnoteReference"/>
          <w:lang w:val="en-US"/>
        </w:rPr>
        <w:footnoteReference w:id="9"/>
      </w:r>
      <w:r w:rsidR="002577EA" w:rsidRPr="006C3201">
        <w:rPr>
          <w:lang w:val="en-US"/>
        </w:rPr>
        <w:t xml:space="preserve"> attempting to influence or intimidate witnesses or to conceal or destroy evidence,</w:t>
      </w:r>
      <w:r w:rsidR="003F17E0">
        <w:rPr>
          <w:rStyle w:val="FootnoteReference"/>
          <w:lang w:val="en-US"/>
        </w:rPr>
        <w:footnoteReference w:id="10"/>
      </w:r>
      <w:r w:rsidR="002577EA" w:rsidRPr="006C3201">
        <w:rPr>
          <w:lang w:val="en-US"/>
        </w:rPr>
        <w:t xml:space="preserve"> or undermining the proper functioning of the criminal justice system</w:t>
      </w:r>
      <w:r w:rsidR="00776263" w:rsidRPr="006C3201">
        <w:rPr>
          <w:lang w:val="en-US"/>
        </w:rPr>
        <w:t>, including the bail system</w:t>
      </w:r>
      <w:r w:rsidR="002577EA" w:rsidRPr="006C3201">
        <w:rPr>
          <w:lang w:val="en-US"/>
        </w:rPr>
        <w:t>.</w:t>
      </w:r>
      <w:r w:rsidR="00776263">
        <w:rPr>
          <w:rStyle w:val="FootnoteReference"/>
          <w:lang w:val="en-US"/>
        </w:rPr>
        <w:footnoteReference w:id="11"/>
      </w:r>
      <w:r w:rsidR="00776263" w:rsidRPr="006C3201">
        <w:rPr>
          <w:lang w:val="en-US"/>
        </w:rPr>
        <w:t xml:space="preserve"> </w:t>
      </w:r>
      <w:r w:rsidR="00F4599A" w:rsidRPr="006C3201">
        <w:rPr>
          <w:lang w:val="en-US"/>
        </w:rPr>
        <w:t>In determining the core issue (‘interest of justice’) in the light of the various considerations noted in s 60, this court is obliged to decide the matter by weighing the interests of justice against the right of the appellant to his personal freedom. In particular, the likely prejudice to be suffered if the appellant were to be detained in custody, including any financial loss that may be suffered due to continued detention, and the probable period of detention until the disposal or conclusion of the trial</w:t>
      </w:r>
      <w:r w:rsidR="007E25B5" w:rsidRPr="006C3201">
        <w:rPr>
          <w:lang w:val="en-US"/>
        </w:rPr>
        <w:t>, must be considered.</w:t>
      </w:r>
      <w:r w:rsidR="005B3C30">
        <w:rPr>
          <w:rStyle w:val="FootnoteReference"/>
          <w:lang w:val="en-US"/>
        </w:rPr>
        <w:footnoteReference w:id="12"/>
      </w:r>
    </w:p>
    <w:p w14:paraId="73DE9E15" w14:textId="77777777" w:rsidR="00A90C15" w:rsidRPr="00A90C15" w:rsidRDefault="00A90C15" w:rsidP="00A90C15">
      <w:pPr>
        <w:pStyle w:val="ListParagraph"/>
        <w:autoSpaceDE w:val="0"/>
        <w:autoSpaceDN w:val="0"/>
        <w:adjustRightInd w:val="0"/>
        <w:ind w:left="0"/>
        <w:jc w:val="both"/>
        <w:rPr>
          <w:lang w:val="en-GB"/>
        </w:rPr>
      </w:pPr>
    </w:p>
    <w:p w14:paraId="62C9DF07" w14:textId="7D48EFFA" w:rsidR="00A90C15" w:rsidRPr="006C3201" w:rsidRDefault="006C3201" w:rsidP="006C3201">
      <w:pPr>
        <w:autoSpaceDE w:val="0"/>
        <w:autoSpaceDN w:val="0"/>
        <w:adjustRightInd w:val="0"/>
        <w:jc w:val="both"/>
        <w:rPr>
          <w:lang w:val="en-GB"/>
        </w:rPr>
      </w:pPr>
      <w:r>
        <w:rPr>
          <w:lang w:val="en-GB"/>
        </w:rPr>
        <w:t>[12]</w:t>
      </w:r>
      <w:r>
        <w:rPr>
          <w:lang w:val="en-GB"/>
        </w:rPr>
        <w:tab/>
      </w:r>
      <w:r w:rsidR="00A90C15" w:rsidRPr="006C3201">
        <w:rPr>
          <w:lang w:val="en-GB"/>
        </w:rPr>
        <w:t xml:space="preserve">The </w:t>
      </w:r>
      <w:r w:rsidR="001902C3" w:rsidRPr="006C3201">
        <w:rPr>
          <w:lang w:val="en-GB"/>
        </w:rPr>
        <w:t xml:space="preserve">prima facie </w:t>
      </w:r>
      <w:r w:rsidR="00A90C15" w:rsidRPr="006C3201">
        <w:rPr>
          <w:lang w:val="en-GB"/>
        </w:rPr>
        <w:t>strength or weakness of the state’s case is a relevant consideration for purposes of determining where the interests of justice lie for the purpose of s 60(11)</w:t>
      </w:r>
      <w:r w:rsidR="00A90C15" w:rsidRPr="006C3201">
        <w:rPr>
          <w:i/>
          <w:iCs/>
          <w:lang w:val="en-GB"/>
        </w:rPr>
        <w:t>(b)</w:t>
      </w:r>
      <w:r w:rsidR="00A90C15" w:rsidRPr="006C3201">
        <w:rPr>
          <w:lang w:val="en-GB"/>
        </w:rPr>
        <w:t>.</w:t>
      </w:r>
      <w:r w:rsidR="00D25CB1">
        <w:rPr>
          <w:rStyle w:val="FootnoteReference"/>
          <w:lang w:val="en-GB"/>
        </w:rPr>
        <w:footnoteReference w:id="13"/>
      </w:r>
      <w:r w:rsidR="0054146C" w:rsidRPr="006C3201">
        <w:rPr>
          <w:lang w:val="en-GB"/>
        </w:rPr>
        <w:t xml:space="preserve"> This enquiry must include consideration of matters which influenced the magistrate in deciding to refuse the bail application.</w:t>
      </w:r>
      <w:r w:rsidR="0054146C">
        <w:rPr>
          <w:rStyle w:val="FootnoteReference"/>
          <w:lang w:val="en-GB"/>
        </w:rPr>
        <w:footnoteReference w:id="14"/>
      </w:r>
    </w:p>
    <w:p w14:paraId="1DB408EF" w14:textId="77777777" w:rsidR="001902C3" w:rsidRDefault="001902C3" w:rsidP="001902C3">
      <w:pPr>
        <w:pStyle w:val="ListParagraph"/>
        <w:autoSpaceDE w:val="0"/>
        <w:autoSpaceDN w:val="0"/>
        <w:adjustRightInd w:val="0"/>
        <w:ind w:left="0"/>
        <w:jc w:val="both"/>
        <w:rPr>
          <w:lang w:val="en-GB"/>
        </w:rPr>
      </w:pPr>
    </w:p>
    <w:p w14:paraId="27715EBF" w14:textId="21B15163" w:rsidR="006C7F5C" w:rsidRPr="006C3201" w:rsidRDefault="006C3201" w:rsidP="006C3201">
      <w:pPr>
        <w:autoSpaceDE w:val="0"/>
        <w:autoSpaceDN w:val="0"/>
        <w:adjustRightInd w:val="0"/>
        <w:jc w:val="both"/>
        <w:rPr>
          <w:lang w:val="en-GB"/>
        </w:rPr>
      </w:pPr>
      <w:r>
        <w:rPr>
          <w:lang w:val="en-GB"/>
        </w:rPr>
        <w:t>[13]</w:t>
      </w:r>
      <w:r>
        <w:rPr>
          <w:lang w:val="en-GB"/>
        </w:rPr>
        <w:tab/>
      </w:r>
      <w:r w:rsidR="00F45CA2" w:rsidRPr="006C3201">
        <w:rPr>
          <w:lang w:val="en-GB"/>
        </w:rPr>
        <w:t xml:space="preserve">The court </w:t>
      </w:r>
      <w:r w:rsidR="00F45CA2" w:rsidRPr="006C3201">
        <w:rPr>
          <w:i/>
          <w:iCs/>
          <w:lang w:val="en-GB"/>
        </w:rPr>
        <w:t xml:space="preserve">a quo </w:t>
      </w:r>
      <w:r w:rsidR="0081025F" w:rsidRPr="006C3201">
        <w:rPr>
          <w:lang w:val="en-GB"/>
        </w:rPr>
        <w:t>placed considerable emphasis on a</w:t>
      </w:r>
      <w:r w:rsidR="00F45CA2" w:rsidRPr="006C3201">
        <w:rPr>
          <w:lang w:val="en-GB"/>
        </w:rPr>
        <w:t xml:space="preserve"> disputed</w:t>
      </w:r>
      <w:r w:rsidR="0081025F" w:rsidRPr="006C3201">
        <w:rPr>
          <w:lang w:val="en-GB"/>
        </w:rPr>
        <w:t xml:space="preserve"> confession in refusing bail. </w:t>
      </w:r>
      <w:r w:rsidR="00F45CA2" w:rsidRPr="006C3201">
        <w:rPr>
          <w:lang w:val="en-GB"/>
        </w:rPr>
        <w:t>This aspect was considered as part of the erroneous enquiry in respect of ‘exceptional circumstances’, on the basis that the charge(s) were covered by Schedule 6</w:t>
      </w:r>
      <w:r w:rsidR="006C7F5C" w:rsidRPr="006C3201">
        <w:rPr>
          <w:lang w:val="en-GB"/>
        </w:rPr>
        <w:t>. T</w:t>
      </w:r>
      <w:r w:rsidR="00EE20C5" w:rsidRPr="006C3201">
        <w:rPr>
          <w:lang w:val="en-GB"/>
        </w:rPr>
        <w:t>he magistrate conclud</w:t>
      </w:r>
      <w:r w:rsidR="000A1E28" w:rsidRPr="006C3201">
        <w:rPr>
          <w:lang w:val="en-GB"/>
        </w:rPr>
        <w:t>ed</w:t>
      </w:r>
      <w:r w:rsidR="00EE20C5" w:rsidRPr="006C3201">
        <w:rPr>
          <w:lang w:val="en-GB"/>
        </w:rPr>
        <w:t xml:space="preserve"> that this high threshold had not been met</w:t>
      </w:r>
      <w:r w:rsidR="006C7F5C" w:rsidRPr="006C3201">
        <w:rPr>
          <w:lang w:val="en-GB"/>
        </w:rPr>
        <w:t>, and focused their enquiry to that question alone</w:t>
      </w:r>
      <w:r w:rsidR="00EE20C5" w:rsidRPr="006C3201">
        <w:rPr>
          <w:lang w:val="en-GB"/>
        </w:rPr>
        <w:t>.</w:t>
      </w:r>
      <w:r w:rsidR="00F45CA2" w:rsidRPr="006C3201">
        <w:rPr>
          <w:lang w:val="en-GB"/>
        </w:rPr>
        <w:t xml:space="preserve"> </w:t>
      </w:r>
      <w:r w:rsidR="006C7F5C" w:rsidRPr="006C3201">
        <w:rPr>
          <w:lang w:val="en-GB"/>
        </w:rPr>
        <w:t>The applicants for bail were also, at various times during the judgment, treated as a collective, for example in support of findings that there was a likelihood of witnesses being influenced. The magistrate consi</w:t>
      </w:r>
      <w:r w:rsidR="000B61ED" w:rsidRPr="006C3201">
        <w:rPr>
          <w:lang w:val="en-GB"/>
        </w:rPr>
        <w:t>dered the education level of all applicants as a factor that counted against them, based on ‘a pattern of proper planning and execution shown in the commission [of] the alleged offences’.</w:t>
      </w:r>
    </w:p>
    <w:p w14:paraId="1EF78936" w14:textId="77777777" w:rsidR="00EC5D00" w:rsidRPr="00EC5D00" w:rsidRDefault="00EC5D00" w:rsidP="00EC5D00">
      <w:pPr>
        <w:pStyle w:val="ListParagraph"/>
        <w:rPr>
          <w:lang w:val="en-GB"/>
        </w:rPr>
      </w:pPr>
    </w:p>
    <w:p w14:paraId="52584262" w14:textId="5A810E9F" w:rsidR="00EC5D00" w:rsidRPr="006C3201" w:rsidRDefault="006C3201" w:rsidP="006C3201">
      <w:pPr>
        <w:autoSpaceDE w:val="0"/>
        <w:autoSpaceDN w:val="0"/>
        <w:adjustRightInd w:val="0"/>
        <w:jc w:val="both"/>
        <w:rPr>
          <w:lang w:val="en-GB"/>
        </w:rPr>
      </w:pPr>
      <w:r>
        <w:rPr>
          <w:lang w:val="en-GB"/>
        </w:rPr>
        <w:t>[14]</w:t>
      </w:r>
      <w:r>
        <w:rPr>
          <w:lang w:val="en-GB"/>
        </w:rPr>
        <w:tab/>
      </w:r>
      <w:r w:rsidR="008C7314" w:rsidRPr="006C3201">
        <w:rPr>
          <w:lang w:val="en-GB"/>
        </w:rPr>
        <w:t xml:space="preserve">Those conclusions were </w:t>
      </w:r>
      <w:r w:rsidR="00872022" w:rsidRPr="006C3201">
        <w:rPr>
          <w:lang w:val="en-GB"/>
        </w:rPr>
        <w:t>based on the investigating officer’s affidavit in opposition to bail, which was the only evidence relied upon by the state. It is convenient to deal with that evidence before considering the appellant’s affidavit, bearing in mind that the burden of proof in these proceedings is on the appellant</w:t>
      </w:r>
      <w:r w:rsidR="00103AFF" w:rsidRPr="006C3201">
        <w:rPr>
          <w:lang w:val="en-GB"/>
        </w:rPr>
        <w:t>, with reference to the civil standard of proof.</w:t>
      </w:r>
      <w:r w:rsidR="00303BE3">
        <w:rPr>
          <w:rStyle w:val="FootnoteReference"/>
          <w:lang w:val="en-GB"/>
        </w:rPr>
        <w:footnoteReference w:id="15"/>
      </w:r>
    </w:p>
    <w:p w14:paraId="4E92A186" w14:textId="77777777" w:rsidR="00F251EF" w:rsidRPr="00F251EF" w:rsidRDefault="00F251EF" w:rsidP="00F251EF">
      <w:pPr>
        <w:pStyle w:val="ListParagraph"/>
        <w:rPr>
          <w:lang w:val="en-GB"/>
        </w:rPr>
      </w:pPr>
    </w:p>
    <w:p w14:paraId="39F38719" w14:textId="0905C9C7" w:rsidR="00F251EF" w:rsidRPr="006C3201" w:rsidRDefault="006C3201" w:rsidP="006C3201">
      <w:pPr>
        <w:autoSpaceDE w:val="0"/>
        <w:autoSpaceDN w:val="0"/>
        <w:adjustRightInd w:val="0"/>
        <w:jc w:val="both"/>
        <w:rPr>
          <w:lang w:val="en-GB"/>
        </w:rPr>
      </w:pPr>
      <w:r>
        <w:rPr>
          <w:lang w:val="en-GB"/>
        </w:rPr>
        <w:t>[15]</w:t>
      </w:r>
      <w:r>
        <w:rPr>
          <w:lang w:val="en-GB"/>
        </w:rPr>
        <w:tab/>
      </w:r>
      <w:r w:rsidR="00D3586A" w:rsidRPr="006C3201">
        <w:rPr>
          <w:lang w:val="en-GB"/>
        </w:rPr>
        <w:t>The investigating officer’s affidavit in opposition to bail details multiple shooting incidents that occurred between March 2022 and January 2023,</w:t>
      </w:r>
      <w:r w:rsidR="008B7D05" w:rsidRPr="006C3201">
        <w:rPr>
          <w:lang w:val="en-GB"/>
        </w:rPr>
        <w:t xml:space="preserve"> including the shooting, execution style, of Mr Petrus Roets on 19 May 2022,</w:t>
      </w:r>
      <w:r w:rsidR="00D3586A" w:rsidRPr="006C3201">
        <w:rPr>
          <w:lang w:val="en-GB"/>
        </w:rPr>
        <w:t xml:space="preserve"> </w:t>
      </w:r>
      <w:r w:rsidR="008B7D05" w:rsidRPr="006C3201">
        <w:rPr>
          <w:lang w:val="en-GB"/>
        </w:rPr>
        <w:t xml:space="preserve">and the murder of Mr Vesele, </w:t>
      </w:r>
      <w:r w:rsidR="00D3586A" w:rsidRPr="006C3201">
        <w:rPr>
          <w:lang w:val="en-GB"/>
        </w:rPr>
        <w:t xml:space="preserve">as well as </w:t>
      </w:r>
      <w:r w:rsidR="008B7D05" w:rsidRPr="006C3201">
        <w:rPr>
          <w:lang w:val="en-GB"/>
        </w:rPr>
        <w:t>kidnapping of a University of Fort Hare electrician. An abandoned vehicle seemingly contained clues that led to the arrest of the accused. In particular, the police found a hitlist with all the names of the victims of the various shooting incidents or attempted shooting incidents</w:t>
      </w:r>
      <w:r w:rsidR="009340B2" w:rsidRPr="006C3201">
        <w:rPr>
          <w:lang w:val="en-GB"/>
        </w:rPr>
        <w:t>. Various inferences are drawn from the inclusion of a cellular phone number of one of the accused persons</w:t>
      </w:r>
      <w:r w:rsidR="007512B0" w:rsidRPr="006C3201">
        <w:rPr>
          <w:lang w:val="en-GB"/>
        </w:rPr>
        <w:t xml:space="preserve"> (</w:t>
      </w:r>
      <w:r w:rsidR="004E09EB" w:rsidRPr="006C3201">
        <w:rPr>
          <w:lang w:val="en-GB"/>
        </w:rPr>
        <w:t xml:space="preserve">Mr </w:t>
      </w:r>
      <w:r w:rsidR="007512B0" w:rsidRPr="006C3201">
        <w:rPr>
          <w:lang w:val="en-GB"/>
        </w:rPr>
        <w:t>Bongani Peter)</w:t>
      </w:r>
      <w:r w:rsidR="009340B2" w:rsidRPr="006C3201">
        <w:rPr>
          <w:lang w:val="en-GB"/>
        </w:rPr>
        <w:t xml:space="preserve"> at the back of some A4-size photographs of victims found inside the vehicle. </w:t>
      </w:r>
    </w:p>
    <w:p w14:paraId="1DD14DDE" w14:textId="77777777" w:rsidR="007512B0" w:rsidRPr="007512B0" w:rsidRDefault="007512B0" w:rsidP="007512B0">
      <w:pPr>
        <w:pStyle w:val="ListParagraph"/>
        <w:rPr>
          <w:lang w:val="en-GB"/>
        </w:rPr>
      </w:pPr>
    </w:p>
    <w:p w14:paraId="73BFBD62" w14:textId="19C4DB37" w:rsidR="007512B0" w:rsidRPr="006C3201" w:rsidRDefault="006C3201" w:rsidP="006C3201">
      <w:pPr>
        <w:autoSpaceDE w:val="0"/>
        <w:autoSpaceDN w:val="0"/>
        <w:adjustRightInd w:val="0"/>
        <w:jc w:val="both"/>
        <w:rPr>
          <w:lang w:val="en-GB"/>
        </w:rPr>
      </w:pPr>
      <w:r>
        <w:rPr>
          <w:lang w:val="en-GB"/>
        </w:rPr>
        <w:lastRenderedPageBreak/>
        <w:t>[16]</w:t>
      </w:r>
      <w:r>
        <w:rPr>
          <w:lang w:val="en-GB"/>
        </w:rPr>
        <w:tab/>
      </w:r>
      <w:r w:rsidR="004E09EB" w:rsidRPr="006C3201">
        <w:rPr>
          <w:lang w:val="en-GB"/>
        </w:rPr>
        <w:t xml:space="preserve">Mr Peter </w:t>
      </w:r>
      <w:r w:rsidR="0019026B" w:rsidRPr="006C3201">
        <w:rPr>
          <w:lang w:val="en-GB"/>
        </w:rPr>
        <w:t>was, according to the investigating officer’s affidavit, employed as a chief transport officer serving under Mr Roets. The affidavit alleges a conspiracy including the appellant and Mr Peter, and that the appellant was tasked with organising hitmen. He ‘promised to bring his Mthatha guys’ and ‘all three have confessed about [the] killing of Roets’.</w:t>
      </w:r>
      <w:r w:rsidR="00264E9D" w:rsidRPr="006C3201">
        <w:rPr>
          <w:lang w:val="en-GB"/>
        </w:rPr>
        <w:t xml:space="preserve"> Reliance is placed on a payment made by </w:t>
      </w:r>
      <w:r w:rsidR="003264C7" w:rsidRPr="006C3201">
        <w:rPr>
          <w:lang w:val="en-GB"/>
        </w:rPr>
        <w:t xml:space="preserve">Mr </w:t>
      </w:r>
      <w:r w:rsidR="00264E9D" w:rsidRPr="006C3201">
        <w:rPr>
          <w:lang w:val="en-GB"/>
        </w:rPr>
        <w:t>Peter to the appellant’s company four days after Mr Roets was killed, the allegation being that this was an amount that Mr Roets had ‘refused to pay’</w:t>
      </w:r>
      <w:r w:rsidR="003264C7" w:rsidRPr="006C3201">
        <w:rPr>
          <w:lang w:val="en-GB"/>
        </w:rPr>
        <w:t xml:space="preserve"> and that Mr Peter and the appellant were linked against those ‘closing the “financial tap”’ they had managed to open.</w:t>
      </w:r>
      <w:r w:rsidR="00893409" w:rsidRPr="006C3201">
        <w:rPr>
          <w:lang w:val="en-GB"/>
        </w:rPr>
        <w:t xml:space="preserve"> </w:t>
      </w:r>
    </w:p>
    <w:p w14:paraId="5956937C" w14:textId="77777777" w:rsidR="008B7D05" w:rsidRPr="008B7D05" w:rsidRDefault="008B7D05" w:rsidP="008B7D05">
      <w:pPr>
        <w:pStyle w:val="ListParagraph"/>
        <w:rPr>
          <w:lang w:val="en-GB"/>
        </w:rPr>
      </w:pPr>
    </w:p>
    <w:p w14:paraId="39A60B39" w14:textId="3265749F" w:rsidR="00AF3625" w:rsidRPr="006C3201" w:rsidRDefault="006C3201" w:rsidP="006C3201">
      <w:pPr>
        <w:autoSpaceDE w:val="0"/>
        <w:autoSpaceDN w:val="0"/>
        <w:adjustRightInd w:val="0"/>
        <w:jc w:val="both"/>
        <w:rPr>
          <w:lang w:val="en-GB"/>
        </w:rPr>
      </w:pPr>
      <w:r>
        <w:rPr>
          <w:lang w:val="en-GB"/>
        </w:rPr>
        <w:t>[17]</w:t>
      </w:r>
      <w:r>
        <w:rPr>
          <w:lang w:val="en-GB"/>
        </w:rPr>
        <w:tab/>
      </w:r>
      <w:r w:rsidR="00893409" w:rsidRPr="006C3201">
        <w:rPr>
          <w:lang w:val="en-GB"/>
        </w:rPr>
        <w:t xml:space="preserve">It may be accepted that the appellant is unmarried and has </w:t>
      </w:r>
      <w:r w:rsidR="00E01AF3" w:rsidRPr="006C3201">
        <w:rPr>
          <w:lang w:val="en-GB"/>
        </w:rPr>
        <w:t xml:space="preserve">three </w:t>
      </w:r>
      <w:r w:rsidR="00893409" w:rsidRPr="006C3201">
        <w:rPr>
          <w:lang w:val="en-GB"/>
        </w:rPr>
        <w:t xml:space="preserve">children, owning motor vehicles but no fixed property. </w:t>
      </w:r>
      <w:r w:rsidR="00E01AF3" w:rsidRPr="006C3201">
        <w:rPr>
          <w:lang w:val="en-GB"/>
        </w:rPr>
        <w:t xml:space="preserve">He is a final-year Bachelor of Laws student at the University of Fort Hare. </w:t>
      </w:r>
      <w:r w:rsidR="00893409" w:rsidRPr="006C3201">
        <w:rPr>
          <w:lang w:val="en-GB"/>
        </w:rPr>
        <w:t xml:space="preserve">He rents accommodation </w:t>
      </w:r>
      <w:r w:rsidR="00E01AF3" w:rsidRPr="006C3201">
        <w:rPr>
          <w:lang w:val="en-GB"/>
        </w:rPr>
        <w:t xml:space="preserve">since 2019 </w:t>
      </w:r>
      <w:r w:rsidR="00893409" w:rsidRPr="006C3201">
        <w:rPr>
          <w:lang w:val="en-GB"/>
        </w:rPr>
        <w:t xml:space="preserve">and </w:t>
      </w:r>
      <w:r w:rsidR="00C64FEB" w:rsidRPr="006C3201">
        <w:rPr>
          <w:lang w:val="en-GB"/>
        </w:rPr>
        <w:t>voluntarily</w:t>
      </w:r>
      <w:r w:rsidR="00893409" w:rsidRPr="006C3201">
        <w:rPr>
          <w:lang w:val="en-GB"/>
        </w:rPr>
        <w:t xml:space="preserve"> surrendered his passport to the authorities. </w:t>
      </w:r>
      <w:r w:rsidR="00285B1F" w:rsidRPr="006C3201">
        <w:rPr>
          <w:lang w:val="en-GB"/>
        </w:rPr>
        <w:t xml:space="preserve">He established various legitimate businesses to support his family, and registered various companies. </w:t>
      </w:r>
      <w:r w:rsidR="003539EC" w:rsidRPr="006C3201">
        <w:rPr>
          <w:lang w:val="en-GB"/>
        </w:rPr>
        <w:t>He alleges company assets and household goods in excess of R1 million</w:t>
      </w:r>
      <w:r w:rsidR="00C92779" w:rsidRPr="006C3201">
        <w:rPr>
          <w:lang w:val="en-GB"/>
        </w:rPr>
        <w:t>, with a monthly income of between R50 000 and R100 000</w:t>
      </w:r>
      <w:r w:rsidR="003539EC" w:rsidRPr="006C3201">
        <w:rPr>
          <w:lang w:val="en-GB"/>
        </w:rPr>
        <w:t xml:space="preserve">. </w:t>
      </w:r>
      <w:r w:rsidR="00AF3625" w:rsidRPr="006C3201">
        <w:rPr>
          <w:lang w:val="en-GB"/>
        </w:rPr>
        <w:t>The appellant has been in custody since 9 April 2023</w:t>
      </w:r>
      <w:r w:rsidR="00A3046E" w:rsidRPr="006C3201">
        <w:rPr>
          <w:lang w:val="en-GB"/>
        </w:rPr>
        <w:t xml:space="preserve">, alleging brutal treatment, including interrogation and violation of rights. </w:t>
      </w:r>
      <w:r w:rsidR="0024761E" w:rsidRPr="006C3201">
        <w:rPr>
          <w:lang w:val="en-GB"/>
        </w:rPr>
        <w:t>He has no previous convictions or pending cases</w:t>
      </w:r>
      <w:r w:rsidR="003B1B8E" w:rsidRPr="006C3201">
        <w:rPr>
          <w:lang w:val="en-GB"/>
        </w:rPr>
        <w:t xml:space="preserve"> and there is nothing to suggest that he knows any of the possible witnesses in the matter</w:t>
      </w:r>
      <w:r w:rsidR="00262855" w:rsidRPr="006C3201">
        <w:rPr>
          <w:lang w:val="en-GB"/>
        </w:rPr>
        <w:t>, or the location of any evidential material</w:t>
      </w:r>
      <w:r w:rsidR="003B1B8E" w:rsidRPr="006C3201">
        <w:rPr>
          <w:lang w:val="en-GB"/>
        </w:rPr>
        <w:t xml:space="preserve">. </w:t>
      </w:r>
      <w:r w:rsidR="00391701" w:rsidRPr="006C3201">
        <w:rPr>
          <w:lang w:val="en-GB"/>
        </w:rPr>
        <w:t>He is legally represented and indicates that he will leave matters in respect of state witnesses to his legal team</w:t>
      </w:r>
      <w:r w:rsidR="009C73F5" w:rsidRPr="006C3201">
        <w:rPr>
          <w:lang w:val="en-GB"/>
        </w:rPr>
        <w:t>, and strictly comply with any bail conditions set</w:t>
      </w:r>
      <w:r w:rsidR="00B972FF" w:rsidRPr="006C3201">
        <w:rPr>
          <w:lang w:val="en-GB"/>
        </w:rPr>
        <w:t>.</w:t>
      </w:r>
    </w:p>
    <w:p w14:paraId="30F4BEB6" w14:textId="77777777" w:rsidR="008C0208" w:rsidRPr="008C0208" w:rsidRDefault="008C0208" w:rsidP="008C0208">
      <w:pPr>
        <w:pStyle w:val="ListParagraph"/>
        <w:rPr>
          <w:lang w:val="en-GB"/>
        </w:rPr>
      </w:pPr>
    </w:p>
    <w:p w14:paraId="78D8D1C7" w14:textId="654D59B3" w:rsidR="008C0208" w:rsidRPr="006C3201" w:rsidRDefault="006C3201" w:rsidP="006C3201">
      <w:pPr>
        <w:autoSpaceDE w:val="0"/>
        <w:autoSpaceDN w:val="0"/>
        <w:adjustRightInd w:val="0"/>
        <w:jc w:val="both"/>
        <w:rPr>
          <w:lang w:val="en-GB"/>
        </w:rPr>
      </w:pPr>
      <w:r>
        <w:rPr>
          <w:lang w:val="en-GB"/>
        </w:rPr>
        <w:t>[18]</w:t>
      </w:r>
      <w:r>
        <w:rPr>
          <w:lang w:val="en-GB"/>
        </w:rPr>
        <w:tab/>
      </w:r>
      <w:r w:rsidR="008C0208" w:rsidRPr="006C3201">
        <w:rPr>
          <w:lang w:val="en-GB"/>
        </w:rPr>
        <w:t>The appellant highlights that not standing trial would jeopardise his chance of obtaining his law degree, in circumstances where he is on the verge of obtaining same. His affidavit explains a close connection to his children, including strong financial support</w:t>
      </w:r>
      <w:r w:rsidR="00C64FEB" w:rsidRPr="006C3201">
        <w:rPr>
          <w:lang w:val="en-GB"/>
        </w:rPr>
        <w:t>, and the negative implications for his business should he fail to stand trial.</w:t>
      </w:r>
      <w:r w:rsidR="009015DD" w:rsidRPr="006C3201">
        <w:rPr>
          <w:lang w:val="en-GB"/>
        </w:rPr>
        <w:t xml:space="preserve"> </w:t>
      </w:r>
      <w:r w:rsidR="00391701" w:rsidRPr="006C3201">
        <w:rPr>
          <w:lang w:val="en-GB"/>
        </w:rPr>
        <w:t>T</w:t>
      </w:r>
      <w:r w:rsidR="009015DD" w:rsidRPr="006C3201">
        <w:rPr>
          <w:lang w:val="en-GB"/>
        </w:rPr>
        <w:t xml:space="preserve">he appellant considers the state’s case against him as weak and states that he does not fear attending trial </w:t>
      </w:r>
      <w:r w:rsidR="006A27A0" w:rsidRPr="006C3201">
        <w:rPr>
          <w:lang w:val="en-GB"/>
        </w:rPr>
        <w:t>to</w:t>
      </w:r>
      <w:r w:rsidR="009015DD" w:rsidRPr="006C3201">
        <w:rPr>
          <w:lang w:val="en-GB"/>
        </w:rPr>
        <w:t xml:space="preserve"> be vindicated</w:t>
      </w:r>
      <w:r w:rsidR="006A27A0" w:rsidRPr="006C3201">
        <w:rPr>
          <w:lang w:val="en-GB"/>
        </w:rPr>
        <w:t>, intending to enter a plea of ‘not guilty’.</w:t>
      </w:r>
    </w:p>
    <w:p w14:paraId="32094EF1" w14:textId="77777777" w:rsidR="00AF3625" w:rsidRPr="00AF3625" w:rsidRDefault="00AF3625" w:rsidP="00AF3625">
      <w:pPr>
        <w:pStyle w:val="ListParagraph"/>
        <w:rPr>
          <w:lang w:val="en-GB"/>
        </w:rPr>
      </w:pPr>
    </w:p>
    <w:p w14:paraId="13846655" w14:textId="600F19DB" w:rsidR="008B7D05" w:rsidRPr="006C3201" w:rsidRDefault="006C3201" w:rsidP="006C3201">
      <w:pPr>
        <w:autoSpaceDE w:val="0"/>
        <w:autoSpaceDN w:val="0"/>
        <w:adjustRightInd w:val="0"/>
        <w:jc w:val="both"/>
        <w:rPr>
          <w:lang w:val="en-GB"/>
        </w:rPr>
      </w:pPr>
      <w:r>
        <w:rPr>
          <w:lang w:val="en-GB"/>
        </w:rPr>
        <w:t>[19]</w:t>
      </w:r>
      <w:r>
        <w:rPr>
          <w:lang w:val="en-GB"/>
        </w:rPr>
        <w:tab/>
      </w:r>
      <w:r w:rsidR="00893409" w:rsidRPr="006C3201">
        <w:rPr>
          <w:lang w:val="en-GB"/>
        </w:rPr>
        <w:t xml:space="preserve">The state avers that he would be in a financial position to obtain a false passport and leave the country. </w:t>
      </w:r>
      <w:r w:rsidR="00721905" w:rsidRPr="006C3201">
        <w:rPr>
          <w:lang w:val="en-GB"/>
        </w:rPr>
        <w:t xml:space="preserve">The state highlights the </w:t>
      </w:r>
      <w:r w:rsidR="00057DBC" w:rsidRPr="006C3201">
        <w:rPr>
          <w:lang w:val="en-GB"/>
        </w:rPr>
        <w:t>disconcerting nature of the crimes and notes that an unnamed state witness was recently the victim of a hit-and-run</w:t>
      </w:r>
      <w:r w:rsidR="007A2294" w:rsidRPr="006C3201">
        <w:rPr>
          <w:lang w:val="en-GB"/>
        </w:rPr>
        <w:t xml:space="preserve"> incident.</w:t>
      </w:r>
      <w:r w:rsidR="009639E4" w:rsidRPr="006C3201">
        <w:rPr>
          <w:lang w:val="en-GB"/>
        </w:rPr>
        <w:t xml:space="preserve"> The outstanding investigations require two months to be completed.</w:t>
      </w:r>
      <w:r w:rsidR="00B529F4" w:rsidRPr="006C3201">
        <w:rPr>
          <w:lang w:val="en-GB"/>
        </w:rPr>
        <w:t xml:space="preserve"> Those aspects </w:t>
      </w:r>
      <w:r w:rsidR="00B529F4" w:rsidRPr="006C3201">
        <w:rPr>
          <w:lang w:val="en-GB"/>
        </w:rPr>
        <w:lastRenderedPageBreak/>
        <w:t xml:space="preserve">aside, the appellant’s evidence on affidavit </w:t>
      </w:r>
      <w:r w:rsidR="00BC6A3B" w:rsidRPr="006C3201">
        <w:rPr>
          <w:lang w:val="en-GB"/>
        </w:rPr>
        <w:t xml:space="preserve">as to his personal circumstances </w:t>
      </w:r>
      <w:r w:rsidR="00B529F4" w:rsidRPr="006C3201">
        <w:rPr>
          <w:lang w:val="en-GB"/>
        </w:rPr>
        <w:t>stands uncontested.</w:t>
      </w:r>
    </w:p>
    <w:p w14:paraId="11B88F5F" w14:textId="718B86B4" w:rsidR="00705179" w:rsidRDefault="00705179" w:rsidP="00C82413">
      <w:pPr>
        <w:rPr>
          <w:lang w:val="en-GB"/>
        </w:rPr>
      </w:pPr>
    </w:p>
    <w:p w14:paraId="10BB8CC6" w14:textId="347AED5F" w:rsidR="00C82413" w:rsidRDefault="00C82413" w:rsidP="00C82413">
      <w:pPr>
        <w:rPr>
          <w:b/>
          <w:bCs/>
          <w:lang w:val="en-GB"/>
        </w:rPr>
      </w:pPr>
      <w:r>
        <w:rPr>
          <w:b/>
          <w:bCs/>
          <w:lang w:val="en-GB"/>
        </w:rPr>
        <w:t>Analysis</w:t>
      </w:r>
    </w:p>
    <w:p w14:paraId="6AF12DB3" w14:textId="77777777" w:rsidR="00C82413" w:rsidRPr="00C82413" w:rsidRDefault="00C82413" w:rsidP="00C82413">
      <w:pPr>
        <w:rPr>
          <w:b/>
          <w:bCs/>
          <w:lang w:val="en-GB"/>
        </w:rPr>
      </w:pPr>
    </w:p>
    <w:p w14:paraId="597251CA" w14:textId="2DEBCA54" w:rsidR="00705179" w:rsidRPr="006C3201" w:rsidRDefault="006C3201" w:rsidP="006C3201">
      <w:pPr>
        <w:autoSpaceDE w:val="0"/>
        <w:autoSpaceDN w:val="0"/>
        <w:adjustRightInd w:val="0"/>
        <w:jc w:val="both"/>
        <w:rPr>
          <w:lang w:val="en-GB"/>
        </w:rPr>
      </w:pPr>
      <w:r>
        <w:rPr>
          <w:lang w:val="en-GB"/>
        </w:rPr>
        <w:t>[20]</w:t>
      </w:r>
      <w:r>
        <w:rPr>
          <w:lang w:val="en-GB"/>
        </w:rPr>
        <w:tab/>
      </w:r>
      <w:r w:rsidR="003B3544" w:rsidRPr="006C3201">
        <w:rPr>
          <w:lang w:val="en-GB"/>
        </w:rPr>
        <w:t>Each bail-related case should be considered on its merits and the court is obliged to consider the ‘totality of the evidence’.</w:t>
      </w:r>
      <w:r w:rsidR="003B3544">
        <w:rPr>
          <w:rStyle w:val="FootnoteReference"/>
          <w:lang w:val="en-GB"/>
        </w:rPr>
        <w:footnoteReference w:id="16"/>
      </w:r>
      <w:r w:rsidR="003B3544" w:rsidRPr="006C3201">
        <w:rPr>
          <w:lang w:val="en-GB"/>
        </w:rPr>
        <w:t xml:space="preserve"> </w:t>
      </w:r>
      <w:r w:rsidR="00C82413" w:rsidRPr="006C3201">
        <w:rPr>
          <w:lang w:val="en-GB"/>
        </w:rPr>
        <w:t>It has been accepted in this division that courts should always grant bail where possible and should lean in favour of the liberty of the subject provided that the interests of justice will not be prejudiced.</w:t>
      </w:r>
      <w:r w:rsidR="00C82413">
        <w:rPr>
          <w:rStyle w:val="FootnoteReference"/>
          <w:lang w:val="en-GB"/>
        </w:rPr>
        <w:footnoteReference w:id="17"/>
      </w:r>
    </w:p>
    <w:p w14:paraId="1E80EE69" w14:textId="77777777" w:rsidR="009C0FA5" w:rsidRDefault="009C0FA5" w:rsidP="009C0FA5">
      <w:pPr>
        <w:pStyle w:val="ListParagraph"/>
        <w:autoSpaceDE w:val="0"/>
        <w:autoSpaceDN w:val="0"/>
        <w:adjustRightInd w:val="0"/>
        <w:ind w:left="0"/>
        <w:jc w:val="both"/>
        <w:rPr>
          <w:lang w:val="en-GB"/>
        </w:rPr>
      </w:pPr>
    </w:p>
    <w:p w14:paraId="51EB62BD" w14:textId="57FDF0F8" w:rsidR="00106347" w:rsidRPr="006C3201" w:rsidRDefault="006C3201" w:rsidP="006C3201">
      <w:pPr>
        <w:autoSpaceDE w:val="0"/>
        <w:autoSpaceDN w:val="0"/>
        <w:adjustRightInd w:val="0"/>
        <w:jc w:val="both"/>
        <w:rPr>
          <w:lang w:val="en-GB"/>
        </w:rPr>
      </w:pPr>
      <w:r>
        <w:rPr>
          <w:lang w:val="en-GB"/>
        </w:rPr>
        <w:t>[21]</w:t>
      </w:r>
      <w:r>
        <w:rPr>
          <w:lang w:val="en-GB"/>
        </w:rPr>
        <w:tab/>
      </w:r>
      <w:r w:rsidR="009C0FA5" w:rsidRPr="006C3201">
        <w:rPr>
          <w:lang w:val="en-GB"/>
        </w:rPr>
        <w:t>It is correct that the offences with which the appellant has been charged are serious. There is, however, little evidence of the strength of the state’s case in respect of the appellant, who intends denying the charge.</w:t>
      </w:r>
      <w:r w:rsidR="008F02B2" w:rsidRPr="006C3201">
        <w:rPr>
          <w:lang w:val="en-GB"/>
        </w:rPr>
        <w:t xml:space="preserve"> That affects the assessment of the probabilities in respect of the s 60(4) considerations. </w:t>
      </w:r>
      <w:r w:rsidR="006E3E8E" w:rsidRPr="006C3201">
        <w:rPr>
          <w:lang w:val="en-GB"/>
        </w:rPr>
        <w:t xml:space="preserve">On the probabilities, the appellant stands to lose a great deal, personal and financial, in the event that he fails to stand trial. </w:t>
      </w:r>
      <w:r w:rsidR="00893D94" w:rsidRPr="006C3201">
        <w:rPr>
          <w:lang w:val="en-GB"/>
        </w:rPr>
        <w:t xml:space="preserve">While one cannot predict future behaviour with any degree of certainty, </w:t>
      </w:r>
      <w:r w:rsidR="00734FA9" w:rsidRPr="006C3201">
        <w:rPr>
          <w:lang w:val="en-GB"/>
        </w:rPr>
        <w:t xml:space="preserve">a mere possibility of the appellant acting contrary to the dictates of s 60 is insfficient basis to refuse the appeal. In the present circumstances, especially when considering the limited material contained in the investigating officer’s affidavit pertaining specifically </w:t>
      </w:r>
      <w:r w:rsidR="004B7DC7" w:rsidRPr="006C3201">
        <w:rPr>
          <w:lang w:val="en-GB"/>
        </w:rPr>
        <w:t xml:space="preserve">and directly </w:t>
      </w:r>
      <w:r w:rsidR="00734FA9" w:rsidRPr="006C3201">
        <w:rPr>
          <w:lang w:val="en-GB"/>
        </w:rPr>
        <w:t>to the appellant, t</w:t>
      </w:r>
      <w:r w:rsidR="00893D94" w:rsidRPr="006C3201">
        <w:rPr>
          <w:lang w:val="en-GB"/>
        </w:rPr>
        <w:t xml:space="preserve">he factors presented in support of the application, and this appeal, are compelling. </w:t>
      </w:r>
      <w:r w:rsidR="00F27B81" w:rsidRPr="006C3201">
        <w:rPr>
          <w:lang w:val="en-GB"/>
        </w:rPr>
        <w:t>Reliance on the disputed confession was also inappropriate in the present circumstances</w:t>
      </w:r>
      <w:r w:rsidR="00106347" w:rsidRPr="006C3201">
        <w:rPr>
          <w:lang w:val="en-GB"/>
        </w:rPr>
        <w:t>, and there is little beyond this suggestive of a strong case against the appellant</w:t>
      </w:r>
      <w:r w:rsidR="00F27B81" w:rsidRPr="006C3201">
        <w:rPr>
          <w:lang w:val="en-GB"/>
        </w:rPr>
        <w:t>.</w:t>
      </w:r>
      <w:r w:rsidR="00106347" w:rsidRPr="006C3201">
        <w:rPr>
          <w:lang w:val="en-GB"/>
        </w:rPr>
        <w:t xml:space="preserve"> </w:t>
      </w:r>
      <w:r w:rsidR="00F27B81" w:rsidRPr="006C3201">
        <w:rPr>
          <w:lang w:val="en-GB"/>
        </w:rPr>
        <w:t xml:space="preserve"> </w:t>
      </w:r>
    </w:p>
    <w:p w14:paraId="4E37C66C" w14:textId="77777777" w:rsidR="00106347" w:rsidRPr="00106347" w:rsidRDefault="00106347" w:rsidP="00106347">
      <w:pPr>
        <w:pStyle w:val="ListParagraph"/>
        <w:rPr>
          <w:lang w:val="en-GB"/>
        </w:rPr>
      </w:pPr>
    </w:p>
    <w:p w14:paraId="66B229F5" w14:textId="0778BF5C" w:rsidR="009C0FA5" w:rsidRPr="006C3201" w:rsidRDefault="006C3201" w:rsidP="006C3201">
      <w:pPr>
        <w:autoSpaceDE w:val="0"/>
        <w:autoSpaceDN w:val="0"/>
        <w:adjustRightInd w:val="0"/>
        <w:jc w:val="both"/>
        <w:rPr>
          <w:lang w:val="en-GB"/>
        </w:rPr>
      </w:pPr>
      <w:r>
        <w:rPr>
          <w:lang w:val="en-GB"/>
        </w:rPr>
        <w:t>[22]</w:t>
      </w:r>
      <w:r>
        <w:rPr>
          <w:lang w:val="en-GB"/>
        </w:rPr>
        <w:tab/>
      </w:r>
      <w:r w:rsidR="00112A37" w:rsidRPr="006C3201">
        <w:rPr>
          <w:lang w:val="en-GB"/>
        </w:rPr>
        <w:t>In the final analysis, t</w:t>
      </w:r>
      <w:r w:rsidR="006E3E8E" w:rsidRPr="006C3201">
        <w:rPr>
          <w:lang w:val="en-GB"/>
        </w:rPr>
        <w:t xml:space="preserve">he probabilities do not support a finding that </w:t>
      </w:r>
      <w:r w:rsidR="00112A37" w:rsidRPr="006C3201">
        <w:rPr>
          <w:lang w:val="en-GB"/>
        </w:rPr>
        <w:t>the appellant</w:t>
      </w:r>
      <w:r w:rsidR="006E3E8E" w:rsidRPr="006C3201">
        <w:rPr>
          <w:lang w:val="en-GB"/>
        </w:rPr>
        <w:t xml:space="preserve"> is likely to endanger the safety of others, </w:t>
      </w:r>
      <w:r w:rsidR="00F03B0D" w:rsidRPr="006C3201">
        <w:rPr>
          <w:lang w:val="en-GB"/>
        </w:rPr>
        <w:t>attempt to evade trial</w:t>
      </w:r>
      <w:r w:rsidR="00F6624D" w:rsidRPr="006C3201">
        <w:rPr>
          <w:lang w:val="en-GB"/>
        </w:rPr>
        <w:t>, attempt to influence or intimidate witnesses or the like</w:t>
      </w:r>
      <w:r w:rsidR="009411BD" w:rsidRPr="006C3201">
        <w:rPr>
          <w:lang w:val="en-GB"/>
        </w:rPr>
        <w:t xml:space="preserve">, thereby undermining the criminal justice system. </w:t>
      </w:r>
      <w:r w:rsidR="00DC1CBE" w:rsidRPr="006C3201">
        <w:rPr>
          <w:lang w:val="en-GB"/>
        </w:rPr>
        <w:t xml:space="preserve">Absent plausible rebuttal, the evidence in favour of granting bail outweighs </w:t>
      </w:r>
      <w:r w:rsidR="000B01EF" w:rsidRPr="006C3201">
        <w:rPr>
          <w:lang w:val="en-GB"/>
        </w:rPr>
        <w:t xml:space="preserve">the </w:t>
      </w:r>
      <w:r w:rsidR="00DC1CBE" w:rsidRPr="006C3201">
        <w:rPr>
          <w:lang w:val="en-GB"/>
        </w:rPr>
        <w:t xml:space="preserve">evidence to the contrary. </w:t>
      </w:r>
      <w:r w:rsidR="008F559D" w:rsidRPr="006C3201">
        <w:rPr>
          <w:lang w:val="en-GB"/>
        </w:rPr>
        <w:t xml:space="preserve">The imposition of stringent bail conditions, including an appropriate financial amount, will further limit any risk that the appellant may not stand trial. </w:t>
      </w:r>
      <w:r w:rsidR="00F271C1" w:rsidRPr="006C3201">
        <w:rPr>
          <w:lang w:val="en-GB"/>
        </w:rPr>
        <w:t xml:space="preserve">The inevitable conclusion is that the appellant has succeeded in demonstrating, </w:t>
      </w:r>
      <w:r w:rsidR="00F271C1" w:rsidRPr="006C3201">
        <w:rPr>
          <w:lang w:val="en-GB"/>
        </w:rPr>
        <w:lastRenderedPageBreak/>
        <w:t>on the probabilities, that it is in the interests of justice for the appellant’s release on bail.</w:t>
      </w:r>
    </w:p>
    <w:p w14:paraId="2A812376" w14:textId="77777777" w:rsidR="00AC08B5" w:rsidRPr="00AC08B5" w:rsidRDefault="00AC08B5" w:rsidP="00AC08B5">
      <w:pPr>
        <w:pStyle w:val="ListParagraph"/>
        <w:rPr>
          <w:lang w:val="en-GB"/>
        </w:rPr>
      </w:pPr>
    </w:p>
    <w:p w14:paraId="54BE7AFD" w14:textId="0011900A" w:rsidR="00AC08B5" w:rsidRPr="006C3201" w:rsidRDefault="006C3201" w:rsidP="006C3201">
      <w:pPr>
        <w:autoSpaceDE w:val="0"/>
        <w:autoSpaceDN w:val="0"/>
        <w:adjustRightInd w:val="0"/>
        <w:jc w:val="both"/>
        <w:rPr>
          <w:lang w:val="en-GB"/>
        </w:rPr>
      </w:pPr>
      <w:r>
        <w:rPr>
          <w:lang w:val="en-GB"/>
        </w:rPr>
        <w:t>[23]</w:t>
      </w:r>
      <w:r>
        <w:rPr>
          <w:lang w:val="en-GB"/>
        </w:rPr>
        <w:tab/>
      </w:r>
      <w:r w:rsidR="00AC08B5" w:rsidRPr="006C3201">
        <w:rPr>
          <w:lang w:val="en-GB"/>
        </w:rPr>
        <w:t>Bearing in mind the caution that the amount of bail should not be merely nominal, and is a factor contributing to the appellant facing trial, I intend to grant bail in the amount of R75 000, subject to various conditions contained in the draft order submitted during the bail appeal proceedings.</w:t>
      </w:r>
    </w:p>
    <w:p w14:paraId="2F0F6569" w14:textId="77777777" w:rsidR="006E466A" w:rsidRPr="006E466A" w:rsidRDefault="006E466A" w:rsidP="006E466A">
      <w:pPr>
        <w:pStyle w:val="ListParagraph"/>
        <w:rPr>
          <w:lang w:val="en-GB"/>
        </w:rPr>
      </w:pPr>
    </w:p>
    <w:p w14:paraId="051E2EC1" w14:textId="77777777" w:rsidR="006E466A" w:rsidRDefault="006E466A" w:rsidP="00CA056D">
      <w:pPr>
        <w:jc w:val="both"/>
        <w:rPr>
          <w:lang w:val="en-GB"/>
        </w:rPr>
      </w:pPr>
    </w:p>
    <w:p w14:paraId="363DCE68" w14:textId="7635B2ED"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04EEEF0A" w14:textId="579719E5"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6E466A" w:rsidRPr="006E466A">
        <w:rPr>
          <w:spacing w:val="14"/>
          <w:kern w:val="2"/>
          <w:lang w:val="en-GB"/>
        </w:rPr>
        <w:t>03 November 2023</w:t>
      </w:r>
    </w:p>
    <w:p w14:paraId="299C01BC" w14:textId="77777777" w:rsidR="00CA056D" w:rsidRDefault="00CA056D" w:rsidP="000D4C7F">
      <w:pPr>
        <w:widowControl w:val="0"/>
        <w:ind w:left="4320" w:right="656" w:firstLine="720"/>
        <w:jc w:val="right"/>
        <w:rPr>
          <w:spacing w:val="14"/>
          <w:kern w:val="2"/>
          <w:lang w:val="en-GB"/>
        </w:rPr>
      </w:pPr>
    </w:p>
    <w:p w14:paraId="5D550954" w14:textId="097CE8B9" w:rsidR="007A7BBE" w:rsidRPr="006E466A"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6E466A" w:rsidRPr="006E466A">
        <w:rPr>
          <w:spacing w:val="14"/>
          <w:kern w:val="2"/>
          <w:lang w:val="en-GB"/>
        </w:rPr>
        <w:t>03 November 2023</w:t>
      </w:r>
    </w:p>
    <w:p w14:paraId="6B6D74ED" w14:textId="77777777" w:rsidR="009908A9" w:rsidRDefault="009908A9" w:rsidP="00772E4B">
      <w:pPr>
        <w:jc w:val="both"/>
        <w:rPr>
          <w:lang w:val="en-GB"/>
        </w:rPr>
      </w:pPr>
    </w:p>
    <w:p w14:paraId="0BAE84DD" w14:textId="58FFE127" w:rsidR="007C247A" w:rsidRDefault="007C247A" w:rsidP="00772E4B">
      <w:pPr>
        <w:jc w:val="both"/>
        <w:rPr>
          <w:lang w:val="en-GB"/>
        </w:rPr>
      </w:pPr>
      <w:r w:rsidRPr="00044B50">
        <w:rPr>
          <w:lang w:val="en-GB"/>
        </w:rPr>
        <w:t>A</w:t>
      </w:r>
      <w:r w:rsidR="006E466A">
        <w:rPr>
          <w:lang w:val="en-GB"/>
        </w:rPr>
        <w:t>PPEAR</w:t>
      </w:r>
      <w:r w:rsidR="00A906CB">
        <w:rPr>
          <w:lang w:val="en-GB"/>
        </w:rPr>
        <w:t>A</w:t>
      </w:r>
      <w:r w:rsidR="006E466A">
        <w:rPr>
          <w:lang w:val="en-GB"/>
        </w:rPr>
        <w:t>N</w:t>
      </w:r>
      <w:r w:rsidR="00A906CB">
        <w:rPr>
          <w:lang w:val="en-GB"/>
        </w:rPr>
        <w:t>CES</w:t>
      </w:r>
      <w:r w:rsidRPr="00044B50">
        <w:rPr>
          <w:lang w:val="en-GB"/>
        </w:rPr>
        <w:t>:</w:t>
      </w:r>
    </w:p>
    <w:p w14:paraId="66837056" w14:textId="5B798FD9" w:rsidR="00C33845" w:rsidRDefault="00C33845" w:rsidP="00772E4B">
      <w:pPr>
        <w:jc w:val="both"/>
        <w:rPr>
          <w:lang w:val="en-GB"/>
        </w:rPr>
      </w:pPr>
    </w:p>
    <w:p w14:paraId="42BB0BFC" w14:textId="77777777" w:rsidR="00A906CB" w:rsidRDefault="00A906CB" w:rsidP="00A906CB">
      <w:pPr>
        <w:jc w:val="both"/>
        <w:rPr>
          <w:lang w:val="en-GB"/>
        </w:rPr>
      </w:pPr>
      <w:r>
        <w:rPr>
          <w:lang w:val="en-GB"/>
        </w:rPr>
        <w:t>For the Applicant:</w:t>
      </w:r>
      <w:r>
        <w:rPr>
          <w:lang w:val="en-GB"/>
        </w:rPr>
        <w:tab/>
      </w:r>
      <w:r>
        <w:rPr>
          <w:lang w:val="en-GB"/>
        </w:rPr>
        <w:tab/>
      </w:r>
      <w:r>
        <w:rPr>
          <w:lang w:val="en-GB"/>
        </w:rPr>
        <w:tab/>
      </w:r>
      <w:r>
        <w:rPr>
          <w:lang w:val="en-GB"/>
        </w:rPr>
        <w:tab/>
        <w:t>Mr P Daubermann</w:t>
      </w:r>
    </w:p>
    <w:p w14:paraId="1CC799EA" w14:textId="20E493AA" w:rsidR="00A906CB" w:rsidRDefault="00A906CB" w:rsidP="00A906CB">
      <w:pPr>
        <w:jc w:val="both"/>
        <w:rPr>
          <w:lang w:val="en-GB"/>
        </w:rPr>
      </w:pPr>
      <w:r>
        <w:rPr>
          <w:lang w:val="en-GB"/>
        </w:rPr>
        <w:tab/>
      </w:r>
      <w:r>
        <w:rPr>
          <w:lang w:val="en-GB"/>
        </w:rPr>
        <w:tab/>
      </w:r>
      <w:r>
        <w:rPr>
          <w:lang w:val="en-GB"/>
        </w:rPr>
        <w:tab/>
      </w:r>
      <w:r>
        <w:rPr>
          <w:lang w:val="en-GB"/>
        </w:rPr>
        <w:tab/>
      </w:r>
      <w:r>
        <w:rPr>
          <w:lang w:val="en-GB"/>
        </w:rPr>
        <w:tab/>
      </w:r>
      <w:r>
        <w:rPr>
          <w:lang w:val="en-GB"/>
        </w:rPr>
        <w:tab/>
        <w:t>64 3 Avenue</w:t>
      </w:r>
    </w:p>
    <w:p w14:paraId="54F50E3A" w14:textId="65042060" w:rsidR="00A906CB" w:rsidRDefault="00A906CB" w:rsidP="00A906CB">
      <w:pPr>
        <w:jc w:val="both"/>
        <w:rPr>
          <w:lang w:val="en-GB"/>
        </w:rPr>
      </w:pPr>
      <w:r>
        <w:rPr>
          <w:lang w:val="en-GB"/>
        </w:rPr>
        <w:tab/>
      </w:r>
      <w:r>
        <w:rPr>
          <w:lang w:val="en-GB"/>
        </w:rPr>
        <w:tab/>
      </w:r>
      <w:r>
        <w:rPr>
          <w:lang w:val="en-GB"/>
        </w:rPr>
        <w:tab/>
      </w:r>
      <w:r>
        <w:rPr>
          <w:lang w:val="en-GB"/>
        </w:rPr>
        <w:tab/>
      </w:r>
      <w:r>
        <w:rPr>
          <w:lang w:val="en-GB"/>
        </w:rPr>
        <w:tab/>
      </w:r>
      <w:r>
        <w:rPr>
          <w:lang w:val="en-GB"/>
        </w:rPr>
        <w:tab/>
        <w:t>Newton Park</w:t>
      </w:r>
    </w:p>
    <w:p w14:paraId="457D9ED3" w14:textId="4F1A0C3F" w:rsidR="00A906CB" w:rsidRDefault="00A906CB" w:rsidP="00A906C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3E644107" w14:textId="4F59D6D8" w:rsidR="00A906CB" w:rsidRDefault="00A906CB" w:rsidP="00A906CB">
      <w:pPr>
        <w:jc w:val="both"/>
        <w:rPr>
          <w:lang w:val="en-GB"/>
        </w:rPr>
      </w:pPr>
      <w:r>
        <w:rPr>
          <w:lang w:val="en-GB"/>
        </w:rPr>
        <w:tab/>
      </w:r>
      <w:r>
        <w:rPr>
          <w:lang w:val="en-GB"/>
        </w:rPr>
        <w:tab/>
      </w:r>
      <w:r>
        <w:rPr>
          <w:lang w:val="en-GB"/>
        </w:rPr>
        <w:tab/>
      </w:r>
      <w:r>
        <w:rPr>
          <w:lang w:val="en-GB"/>
        </w:rPr>
        <w:tab/>
      </w:r>
      <w:r>
        <w:rPr>
          <w:lang w:val="en-GB"/>
        </w:rPr>
        <w:tab/>
      </w:r>
      <w:r>
        <w:rPr>
          <w:lang w:val="en-GB"/>
        </w:rPr>
        <w:tab/>
        <w:t>Email: lawyer.za@gmail.com</w:t>
      </w:r>
    </w:p>
    <w:p w14:paraId="306877E8" w14:textId="77777777" w:rsidR="00A906CB" w:rsidRDefault="00A906CB" w:rsidP="00A906CB">
      <w:pPr>
        <w:jc w:val="both"/>
        <w:rPr>
          <w:lang w:val="en-GB"/>
        </w:rPr>
      </w:pPr>
    </w:p>
    <w:p w14:paraId="3530DEF2" w14:textId="6699B8AD" w:rsidR="00A906CB" w:rsidRDefault="00A906CB" w:rsidP="00A906CB">
      <w:pPr>
        <w:jc w:val="both"/>
        <w:rPr>
          <w:lang w:val="en-GB"/>
        </w:rPr>
      </w:pPr>
      <w:r>
        <w:rPr>
          <w:lang w:val="en-GB"/>
        </w:rPr>
        <w:t>For the Respondent:</w:t>
      </w:r>
      <w:r>
        <w:rPr>
          <w:lang w:val="en-GB"/>
        </w:rPr>
        <w:tab/>
      </w:r>
      <w:r>
        <w:rPr>
          <w:lang w:val="en-GB"/>
        </w:rPr>
        <w:tab/>
      </w:r>
      <w:r>
        <w:rPr>
          <w:lang w:val="en-GB"/>
        </w:rPr>
        <w:tab/>
        <w:t xml:space="preserve"> Adv N Ntelwa</w:t>
      </w:r>
    </w:p>
    <w:p w14:paraId="3BF8DE4D" w14:textId="62402FFB" w:rsidR="00A906CB" w:rsidRDefault="00A906CB" w:rsidP="00A906C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Deputy Director of Public Prosecutions Unit</w:t>
      </w:r>
    </w:p>
    <w:p w14:paraId="13F684E7" w14:textId="6143A15E" w:rsidR="00A906CB" w:rsidRDefault="00A906CB" w:rsidP="00A906C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Bhisho</w:t>
      </w:r>
    </w:p>
    <w:p w14:paraId="6009E4F5" w14:textId="2AAE5F2B" w:rsidR="00A906CB" w:rsidRDefault="00A906CB" w:rsidP="00A906C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Email: </w:t>
      </w:r>
      <w:hyperlink r:id="rId9" w:history="1">
        <w:r w:rsidR="00727B57">
          <w:rPr>
            <w:rStyle w:val="Hyperlink"/>
            <w:lang w:val="en-US"/>
          </w:rPr>
          <w:t>nntelwa@npa.gov.za</w:t>
        </w:r>
      </w:hyperlink>
    </w:p>
    <w:p w14:paraId="23C9F21C" w14:textId="4EDB789D" w:rsidR="007C247A" w:rsidRPr="00044B50" w:rsidRDefault="00A906CB" w:rsidP="00727B57">
      <w:pPr>
        <w:jc w:val="both"/>
        <w:rPr>
          <w:lang w:val="en-GB"/>
        </w:rPr>
      </w:pPr>
      <w:r>
        <w:rPr>
          <w:lang w:val="en-GB"/>
        </w:rPr>
        <w:tab/>
        <w:t xml:space="preserve"> </w:t>
      </w:r>
    </w:p>
    <w:sectPr w:rsidR="007C247A"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02E3" w14:textId="77777777" w:rsidR="00B61005" w:rsidRDefault="00B61005" w:rsidP="00005691">
      <w:r>
        <w:separator/>
      </w:r>
    </w:p>
  </w:endnote>
  <w:endnote w:type="continuationSeparator" w:id="0">
    <w:p w14:paraId="566A2F16" w14:textId="77777777" w:rsidR="00B61005" w:rsidRDefault="00B6100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D1AD" w14:textId="77777777" w:rsidR="00B61005" w:rsidRDefault="00B61005" w:rsidP="00005691">
      <w:r>
        <w:separator/>
      </w:r>
    </w:p>
  </w:footnote>
  <w:footnote w:type="continuationSeparator" w:id="0">
    <w:p w14:paraId="47371FB9" w14:textId="77777777" w:rsidR="00B61005" w:rsidRDefault="00B61005" w:rsidP="00005691">
      <w:r>
        <w:continuationSeparator/>
      </w:r>
    </w:p>
  </w:footnote>
  <w:footnote w:id="1">
    <w:p w14:paraId="70320840" w14:textId="4A737077" w:rsidR="0079311F" w:rsidRPr="0079311F" w:rsidRDefault="0079311F" w:rsidP="009908A9">
      <w:pPr>
        <w:pStyle w:val="FootnoteText"/>
        <w:spacing w:line="240" w:lineRule="auto"/>
        <w:jc w:val="both"/>
        <w:rPr>
          <w:lang w:val="en-US"/>
        </w:rPr>
      </w:pPr>
      <w:r>
        <w:rPr>
          <w:rStyle w:val="FootnoteReference"/>
        </w:rPr>
        <w:footnoteRef/>
      </w:r>
      <w:r>
        <w:t xml:space="preserve"> </w:t>
      </w:r>
      <w:r>
        <w:rPr>
          <w:lang w:val="en-US"/>
        </w:rPr>
        <w:t>Act 17 of 1956.</w:t>
      </w:r>
    </w:p>
  </w:footnote>
  <w:footnote w:id="2">
    <w:p w14:paraId="065434AC" w14:textId="2971FCC3" w:rsidR="0028373E" w:rsidRPr="0028373E" w:rsidRDefault="0028373E" w:rsidP="009908A9">
      <w:pPr>
        <w:pStyle w:val="FootnoteText"/>
        <w:spacing w:line="240" w:lineRule="auto"/>
        <w:jc w:val="both"/>
        <w:rPr>
          <w:lang w:val="en-US"/>
        </w:rPr>
      </w:pPr>
      <w:r>
        <w:rPr>
          <w:rStyle w:val="FootnoteReference"/>
        </w:rPr>
        <w:footnoteRef/>
      </w:r>
      <w:r>
        <w:t xml:space="preserve"> </w:t>
      </w:r>
      <w:r>
        <w:rPr>
          <w:i/>
          <w:iCs/>
          <w:lang w:val="en-US"/>
        </w:rPr>
        <w:t>S v Porthen &amp; Others</w:t>
      </w:r>
      <w:r>
        <w:rPr>
          <w:lang w:val="en-US"/>
        </w:rPr>
        <w:t xml:space="preserve"> 2004 (2) SACR 242 (C) para 17.</w:t>
      </w:r>
    </w:p>
  </w:footnote>
  <w:footnote w:id="3">
    <w:p w14:paraId="7358C52D" w14:textId="5D52D58A" w:rsidR="00B13934" w:rsidRPr="00A644CB" w:rsidRDefault="00B13934" w:rsidP="009908A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Barber</w:t>
      </w:r>
      <w:r>
        <w:rPr>
          <w:lang w:val="en-US"/>
        </w:rPr>
        <w:t xml:space="preserve"> 1979 (4) SA 218 (D) at 220E.</w:t>
      </w:r>
      <w:r w:rsidR="00F44E4F">
        <w:rPr>
          <w:lang w:val="en-US"/>
        </w:rPr>
        <w:t xml:space="preserve"> Cf </w:t>
      </w:r>
      <w:r w:rsidR="00F44E4F">
        <w:rPr>
          <w:i/>
          <w:iCs/>
          <w:lang w:val="en-US"/>
        </w:rPr>
        <w:t>S v Porthen &amp; Others</w:t>
      </w:r>
      <w:r w:rsidR="00F44E4F">
        <w:rPr>
          <w:lang w:val="en-US"/>
        </w:rPr>
        <w:t xml:space="preserve"> 2004 (2) SACR 242 (C) para</w:t>
      </w:r>
      <w:r w:rsidR="00B60D74">
        <w:rPr>
          <w:lang w:val="en-US"/>
        </w:rPr>
        <w:t xml:space="preserve"> 7.</w:t>
      </w:r>
      <w:r w:rsidR="001054DA">
        <w:rPr>
          <w:lang w:val="en-US"/>
        </w:rPr>
        <w:t xml:space="preserve"> Also see </w:t>
      </w:r>
      <w:r w:rsidR="001054DA">
        <w:rPr>
          <w:i/>
          <w:iCs/>
          <w:lang w:val="en-US"/>
        </w:rPr>
        <w:t>S v Sesing</w:t>
      </w:r>
      <w:r w:rsidR="001054DA">
        <w:rPr>
          <w:lang w:val="en-US"/>
        </w:rPr>
        <w:t xml:space="preserve"> (unreported, FSB case no A11/2019, 25 January 2019) para 8</w:t>
      </w:r>
      <w:r w:rsidR="00A644CB">
        <w:rPr>
          <w:lang w:val="en-US"/>
        </w:rPr>
        <w:t xml:space="preserve">; </w:t>
      </w:r>
      <w:r w:rsidR="00A644CB">
        <w:rPr>
          <w:i/>
          <w:iCs/>
          <w:lang w:val="en-US"/>
        </w:rPr>
        <w:t>S v Sewpersad</w:t>
      </w:r>
      <w:r w:rsidR="00A644CB">
        <w:rPr>
          <w:lang w:val="en-US"/>
        </w:rPr>
        <w:t xml:space="preserve"> (unreported, KZD case no D13878/18, 18 January 2019) para 20.</w:t>
      </w:r>
    </w:p>
  </w:footnote>
  <w:footnote w:id="4">
    <w:p w14:paraId="73469E4C" w14:textId="3B348513" w:rsidR="00B34A10" w:rsidRPr="00B34A10" w:rsidRDefault="00B34A10" w:rsidP="009908A9">
      <w:pPr>
        <w:pStyle w:val="FootnoteText"/>
        <w:spacing w:line="240" w:lineRule="auto"/>
        <w:jc w:val="both"/>
        <w:rPr>
          <w:lang w:val="en-US"/>
        </w:rPr>
      </w:pPr>
      <w:r>
        <w:rPr>
          <w:rStyle w:val="FootnoteReference"/>
        </w:rPr>
        <w:footnoteRef/>
      </w:r>
      <w:r>
        <w:t xml:space="preserve"> </w:t>
      </w:r>
      <w:r>
        <w:rPr>
          <w:lang w:val="en-US"/>
        </w:rPr>
        <w:t>Cf s 60(11A) of the CPA.</w:t>
      </w:r>
    </w:p>
  </w:footnote>
  <w:footnote w:id="5">
    <w:p w14:paraId="58BDC7D4" w14:textId="22E86A7F" w:rsidR="000F175B" w:rsidRPr="000F175B" w:rsidRDefault="000F175B" w:rsidP="009908A9">
      <w:pPr>
        <w:pStyle w:val="FootnoteText"/>
        <w:spacing w:line="240" w:lineRule="auto"/>
        <w:jc w:val="both"/>
        <w:rPr>
          <w:lang w:val="en-US"/>
        </w:rPr>
      </w:pPr>
      <w:r>
        <w:rPr>
          <w:rStyle w:val="FootnoteReference"/>
        </w:rPr>
        <w:footnoteRef/>
      </w:r>
      <w:r>
        <w:t xml:space="preserve"> </w:t>
      </w:r>
      <w:r>
        <w:rPr>
          <w:i/>
          <w:iCs/>
          <w:lang w:val="en-US"/>
        </w:rPr>
        <w:t>S v Modise</w:t>
      </w:r>
      <w:r>
        <w:rPr>
          <w:lang w:val="en-US"/>
        </w:rPr>
        <w:t xml:space="preserve"> 2021 (2) SACR 218 (FB) paras 11, 12.</w:t>
      </w:r>
    </w:p>
  </w:footnote>
  <w:footnote w:id="6">
    <w:p w14:paraId="1B1E6AA0" w14:textId="1DFB6583" w:rsidR="000D305B" w:rsidRPr="000D305B" w:rsidRDefault="000D305B" w:rsidP="009908A9">
      <w:pPr>
        <w:pStyle w:val="FootnoteText"/>
        <w:spacing w:line="240" w:lineRule="auto"/>
        <w:jc w:val="both"/>
        <w:rPr>
          <w:lang w:val="en-US"/>
        </w:rPr>
      </w:pPr>
      <w:r>
        <w:rPr>
          <w:rStyle w:val="FootnoteReference"/>
        </w:rPr>
        <w:footnoteRef/>
      </w:r>
      <w:r>
        <w:t xml:space="preserve"> </w:t>
      </w:r>
      <w:r>
        <w:rPr>
          <w:lang w:val="en-US"/>
        </w:rPr>
        <w:t>S 84(1) of the CPA: ‘Subject to the provisions of this Act and of any other law relating to any particular offence, a charge shall set forth the relevant offence in such manner and with such particulars as to the time and place at which the offence is alleged to have been committed, as may be reasonably sufficient to inform the accused of the nature of the charge.’</w:t>
      </w:r>
    </w:p>
  </w:footnote>
  <w:footnote w:id="7">
    <w:p w14:paraId="60B12660" w14:textId="6D70E8EB" w:rsidR="006B1536" w:rsidRPr="006B1536" w:rsidRDefault="006B1536" w:rsidP="009908A9">
      <w:pPr>
        <w:pStyle w:val="FootnoteText"/>
        <w:spacing w:line="240" w:lineRule="auto"/>
        <w:jc w:val="both"/>
        <w:rPr>
          <w:lang w:val="en-US"/>
        </w:rPr>
      </w:pPr>
      <w:r>
        <w:rPr>
          <w:rStyle w:val="FootnoteReference"/>
        </w:rPr>
        <w:footnoteRef/>
      </w:r>
      <w:r>
        <w:t xml:space="preserve"> </w:t>
      </w:r>
      <w:r>
        <w:rPr>
          <w:i/>
          <w:iCs/>
          <w:lang w:val="en-US"/>
        </w:rPr>
        <w:t>Cele v The State</w:t>
      </w:r>
      <w:r>
        <w:rPr>
          <w:lang w:val="en-US"/>
        </w:rPr>
        <w:t xml:space="preserve"> (unreported ECD, case no. CA&amp;R 38/2002) para 10.</w:t>
      </w:r>
    </w:p>
  </w:footnote>
  <w:footnote w:id="8">
    <w:p w14:paraId="48A7CBA2" w14:textId="4780D1E5" w:rsidR="00932190" w:rsidRPr="00932190" w:rsidRDefault="00932190" w:rsidP="009908A9">
      <w:pPr>
        <w:pStyle w:val="FootnoteText"/>
        <w:spacing w:line="240" w:lineRule="auto"/>
        <w:jc w:val="both"/>
        <w:rPr>
          <w:lang w:val="en-US"/>
        </w:rPr>
      </w:pPr>
      <w:r>
        <w:rPr>
          <w:rStyle w:val="FootnoteReference"/>
        </w:rPr>
        <w:footnoteRef/>
      </w:r>
      <w:r>
        <w:t xml:space="preserve"> </w:t>
      </w:r>
      <w:r>
        <w:rPr>
          <w:lang w:val="en-US"/>
        </w:rPr>
        <w:t>S 60(6) must be read together with s 60(4)</w:t>
      </w:r>
      <w:r>
        <w:rPr>
          <w:i/>
          <w:iCs/>
          <w:lang w:val="en-US"/>
        </w:rPr>
        <w:t>(b</w:t>
      </w:r>
      <w:r>
        <w:rPr>
          <w:lang w:val="en-US"/>
        </w:rPr>
        <w:t>)</w:t>
      </w:r>
      <w:r w:rsidR="002352DE">
        <w:rPr>
          <w:lang w:val="en-US"/>
        </w:rPr>
        <w:t>. This includes consideration of</w:t>
      </w:r>
      <w:r>
        <w:rPr>
          <w:lang w:val="en-US"/>
        </w:rPr>
        <w:t xml:space="preserve"> the ties of the accused to the place where he is to be tried</w:t>
      </w:r>
      <w:r w:rsidR="00E9444C">
        <w:rPr>
          <w:lang w:val="en-US"/>
        </w:rPr>
        <w:t xml:space="preserve">; </w:t>
      </w:r>
      <w:r>
        <w:rPr>
          <w:lang w:val="en-US"/>
        </w:rPr>
        <w:t>his assets, and the location of those assets</w:t>
      </w:r>
      <w:r w:rsidR="00E9444C">
        <w:rPr>
          <w:lang w:val="en-US"/>
        </w:rPr>
        <w:t>;</w:t>
      </w:r>
      <w:r>
        <w:rPr>
          <w:lang w:val="en-US"/>
        </w:rPr>
        <w:t xml:space="preserve"> the means, and travel documents held by the appellant, which may enable him to leave the country</w:t>
      </w:r>
      <w:r w:rsidR="00E9444C">
        <w:rPr>
          <w:lang w:val="en-US"/>
        </w:rPr>
        <w:t>; the extent to which he may be able to forfeit any bail amount set; the nature and the gravity of the charges against him; the strength of the state’s case and the incentives to evade trial in the circumstances; the nature and gravity of the punishment likely to be imposed; the ease with which any set conditions could be breached.</w:t>
      </w:r>
    </w:p>
  </w:footnote>
  <w:footnote w:id="9">
    <w:p w14:paraId="611A30F6" w14:textId="1BAD6C91" w:rsidR="008C7314" w:rsidRPr="008C7314" w:rsidRDefault="008C7314" w:rsidP="009908A9">
      <w:pPr>
        <w:pStyle w:val="FootnoteText"/>
        <w:spacing w:line="240" w:lineRule="auto"/>
        <w:jc w:val="both"/>
        <w:rPr>
          <w:lang w:val="en-US"/>
        </w:rPr>
      </w:pPr>
      <w:r>
        <w:rPr>
          <w:rStyle w:val="FootnoteReference"/>
        </w:rPr>
        <w:footnoteRef/>
      </w:r>
      <w:r>
        <w:t xml:space="preserve"> </w:t>
      </w:r>
      <w:r>
        <w:rPr>
          <w:lang w:val="en-US"/>
        </w:rPr>
        <w:t>This must be considered together with the provisions of s 60(5), noting</w:t>
      </w:r>
      <w:r w:rsidR="0046757B">
        <w:rPr>
          <w:lang w:val="en-US"/>
        </w:rPr>
        <w:t xml:space="preserve"> particularly</w:t>
      </w:r>
      <w:r>
        <w:rPr>
          <w:lang w:val="en-US"/>
        </w:rPr>
        <w:t>, in the present circumstances, the degree of violence towards others implicit in the charges against the appellant</w:t>
      </w:r>
      <w:r w:rsidR="00125229">
        <w:rPr>
          <w:lang w:val="en-US"/>
        </w:rPr>
        <w:t>, and the prevalence of those crimes.</w:t>
      </w:r>
    </w:p>
  </w:footnote>
  <w:footnote w:id="10">
    <w:p w14:paraId="0C6AAE48" w14:textId="48617AED" w:rsidR="003F17E0" w:rsidRDefault="003F17E0" w:rsidP="009908A9">
      <w:pPr>
        <w:pStyle w:val="FootnoteText"/>
        <w:spacing w:line="240" w:lineRule="auto"/>
        <w:jc w:val="both"/>
        <w:rPr>
          <w:lang w:val="en-US"/>
        </w:rPr>
      </w:pPr>
      <w:r>
        <w:rPr>
          <w:rStyle w:val="FootnoteReference"/>
        </w:rPr>
        <w:footnoteRef/>
      </w:r>
      <w:r>
        <w:t xml:space="preserve"> </w:t>
      </w:r>
      <w:r>
        <w:rPr>
          <w:lang w:val="en-US"/>
        </w:rPr>
        <w:t>In terms of s 60(7), the following factors may</w:t>
      </w:r>
      <w:r w:rsidR="00FA4BFF">
        <w:rPr>
          <w:lang w:val="en-US"/>
        </w:rPr>
        <w:t xml:space="preserve">, </w:t>
      </w:r>
      <w:r w:rsidR="00FA4BFF">
        <w:rPr>
          <w:i/>
          <w:iCs/>
          <w:lang w:val="en-US"/>
        </w:rPr>
        <w:t>inter alia</w:t>
      </w:r>
      <w:r w:rsidR="00FA4BFF">
        <w:rPr>
          <w:lang w:val="en-US"/>
        </w:rPr>
        <w:t>,</w:t>
      </w:r>
      <w:r>
        <w:rPr>
          <w:lang w:val="en-US"/>
        </w:rPr>
        <w:t xml:space="preserve"> be considered as part of this enquiry: </w:t>
      </w:r>
    </w:p>
    <w:p w14:paraId="55DC187D" w14:textId="02CD22C4" w:rsidR="003F17E0" w:rsidRDefault="006C3201" w:rsidP="006C3201">
      <w:pPr>
        <w:pStyle w:val="FootnoteText"/>
        <w:spacing w:line="240" w:lineRule="auto"/>
        <w:ind w:left="720" w:hanging="360"/>
        <w:jc w:val="both"/>
        <w:rPr>
          <w:lang w:val="en-US"/>
        </w:rPr>
      </w:pPr>
      <w:r>
        <w:rPr>
          <w:i/>
          <w:lang w:val="en-US"/>
        </w:rPr>
        <w:t>(a)</w:t>
      </w:r>
      <w:r>
        <w:rPr>
          <w:i/>
          <w:lang w:val="en-US"/>
        </w:rPr>
        <w:tab/>
      </w:r>
      <w:r w:rsidR="003F17E0">
        <w:rPr>
          <w:lang w:val="en-US"/>
        </w:rPr>
        <w:t>The appellant’s familiarity with the identity of witnesses and with the evidence they may lead;</w:t>
      </w:r>
    </w:p>
    <w:p w14:paraId="4CC4B4A7" w14:textId="5181FCD4" w:rsidR="003F17E0" w:rsidRDefault="006C3201" w:rsidP="006C3201">
      <w:pPr>
        <w:pStyle w:val="FootnoteText"/>
        <w:spacing w:line="240" w:lineRule="auto"/>
        <w:ind w:left="720" w:hanging="360"/>
        <w:jc w:val="both"/>
        <w:rPr>
          <w:lang w:val="en-US"/>
        </w:rPr>
      </w:pPr>
      <w:r>
        <w:rPr>
          <w:i/>
          <w:lang w:val="en-US"/>
        </w:rPr>
        <w:t>(b)</w:t>
      </w:r>
      <w:r>
        <w:rPr>
          <w:i/>
          <w:lang w:val="en-US"/>
        </w:rPr>
        <w:tab/>
      </w:r>
      <w:r w:rsidR="003F17E0">
        <w:rPr>
          <w:lang w:val="en-US"/>
        </w:rPr>
        <w:t>Whether the witnesses have already made statements and agreed to testify;</w:t>
      </w:r>
    </w:p>
    <w:p w14:paraId="1E39A75A" w14:textId="27D5D610" w:rsidR="003F17E0" w:rsidRDefault="006C3201" w:rsidP="006C3201">
      <w:pPr>
        <w:pStyle w:val="FootnoteText"/>
        <w:spacing w:line="240" w:lineRule="auto"/>
        <w:ind w:left="720" w:hanging="360"/>
        <w:jc w:val="both"/>
        <w:rPr>
          <w:lang w:val="en-US"/>
        </w:rPr>
      </w:pPr>
      <w:r>
        <w:rPr>
          <w:i/>
          <w:lang w:val="en-US"/>
        </w:rPr>
        <w:t>(c)</w:t>
      </w:r>
      <w:r>
        <w:rPr>
          <w:i/>
          <w:lang w:val="en-US"/>
        </w:rPr>
        <w:tab/>
      </w:r>
      <w:r w:rsidR="003F17E0">
        <w:rPr>
          <w:lang w:val="en-US"/>
        </w:rPr>
        <w:t>Whether the investigation against the appellant has been completed;</w:t>
      </w:r>
    </w:p>
    <w:p w14:paraId="1D79CA81" w14:textId="5D3DD309" w:rsidR="003F17E0" w:rsidRDefault="006C3201" w:rsidP="006C3201">
      <w:pPr>
        <w:pStyle w:val="FootnoteText"/>
        <w:spacing w:line="240" w:lineRule="auto"/>
        <w:ind w:left="720" w:hanging="360"/>
        <w:jc w:val="both"/>
        <w:rPr>
          <w:lang w:val="en-US"/>
        </w:rPr>
      </w:pPr>
      <w:r>
        <w:rPr>
          <w:i/>
          <w:lang w:val="en-US"/>
        </w:rPr>
        <w:t>(d)</w:t>
      </w:r>
      <w:r>
        <w:rPr>
          <w:i/>
          <w:lang w:val="en-US"/>
        </w:rPr>
        <w:tab/>
      </w:r>
      <w:r w:rsidR="003F17E0">
        <w:rPr>
          <w:lang w:val="en-US"/>
        </w:rPr>
        <w:t>The relationship of the appellant with the various witnesses and the extent to which they could be influenced or intimidated;</w:t>
      </w:r>
    </w:p>
    <w:p w14:paraId="11C62BCD" w14:textId="68F36A31" w:rsidR="003F17E0" w:rsidRDefault="006C3201" w:rsidP="006C3201">
      <w:pPr>
        <w:pStyle w:val="FootnoteText"/>
        <w:spacing w:line="240" w:lineRule="auto"/>
        <w:ind w:left="720" w:hanging="360"/>
        <w:jc w:val="both"/>
        <w:rPr>
          <w:lang w:val="en-US"/>
        </w:rPr>
      </w:pPr>
      <w:r>
        <w:rPr>
          <w:i/>
          <w:lang w:val="en-US"/>
        </w:rPr>
        <w:t>(e)</w:t>
      </w:r>
      <w:r>
        <w:rPr>
          <w:i/>
          <w:lang w:val="en-US"/>
        </w:rPr>
        <w:tab/>
      </w:r>
      <w:r w:rsidR="00BF6ED6">
        <w:rPr>
          <w:lang w:val="en-US"/>
        </w:rPr>
        <w:t xml:space="preserve">How effective and enforceable bail conditions prohibiting </w:t>
      </w:r>
      <w:r w:rsidR="00AD5446">
        <w:rPr>
          <w:lang w:val="en-US"/>
        </w:rPr>
        <w:t>communication between the appellant and witnesses are likely to be;</w:t>
      </w:r>
      <w:r w:rsidR="009B54E6">
        <w:rPr>
          <w:lang w:val="en-US"/>
        </w:rPr>
        <w:t xml:space="preserve"> and</w:t>
      </w:r>
    </w:p>
    <w:p w14:paraId="171CA96C" w14:textId="2BE0C507" w:rsidR="00AD5446" w:rsidRPr="00AD5446" w:rsidRDefault="006C3201" w:rsidP="006C3201">
      <w:pPr>
        <w:pStyle w:val="FootnoteText"/>
        <w:spacing w:line="240" w:lineRule="auto"/>
        <w:ind w:left="720" w:hanging="360"/>
        <w:jc w:val="both"/>
        <w:rPr>
          <w:lang w:val="en-US"/>
        </w:rPr>
      </w:pPr>
      <w:r w:rsidRPr="00AD5446">
        <w:rPr>
          <w:i/>
          <w:lang w:val="en-US"/>
        </w:rPr>
        <w:t>(f)</w:t>
      </w:r>
      <w:r w:rsidRPr="00AD5446">
        <w:rPr>
          <w:i/>
          <w:lang w:val="en-US"/>
        </w:rPr>
        <w:tab/>
      </w:r>
      <w:r w:rsidR="00AD5446">
        <w:rPr>
          <w:lang w:val="en-US"/>
        </w:rPr>
        <w:t>Whether the appellant has access to evidentiary material to be presented at his trial and the ease with which this could be concealed or destroyed.</w:t>
      </w:r>
    </w:p>
  </w:footnote>
  <w:footnote w:id="11">
    <w:p w14:paraId="09BA0D5F" w14:textId="43F8620E" w:rsidR="00776263" w:rsidRPr="00776263" w:rsidRDefault="00776263" w:rsidP="009908A9">
      <w:pPr>
        <w:pStyle w:val="FootnoteText"/>
        <w:spacing w:line="240" w:lineRule="auto"/>
        <w:jc w:val="both"/>
        <w:rPr>
          <w:lang w:val="en-US"/>
        </w:rPr>
      </w:pPr>
      <w:r>
        <w:rPr>
          <w:rStyle w:val="FootnoteReference"/>
        </w:rPr>
        <w:footnoteRef/>
      </w:r>
      <w:r>
        <w:t xml:space="preserve"> </w:t>
      </w:r>
      <w:r>
        <w:rPr>
          <w:lang w:val="en-US"/>
        </w:rPr>
        <w:t>See the various factors listed in s 60(8).</w:t>
      </w:r>
    </w:p>
  </w:footnote>
  <w:footnote w:id="12">
    <w:p w14:paraId="153F9A93" w14:textId="3381109E" w:rsidR="005B3C30" w:rsidRPr="005B3C30" w:rsidRDefault="005B3C30" w:rsidP="009908A9">
      <w:pPr>
        <w:pStyle w:val="FootnoteText"/>
        <w:spacing w:line="240" w:lineRule="auto"/>
        <w:jc w:val="both"/>
        <w:rPr>
          <w:lang w:val="en-US"/>
        </w:rPr>
      </w:pPr>
      <w:r>
        <w:rPr>
          <w:rStyle w:val="FootnoteReference"/>
        </w:rPr>
        <w:footnoteRef/>
      </w:r>
      <w:r>
        <w:t xml:space="preserve"> </w:t>
      </w:r>
      <w:r>
        <w:rPr>
          <w:lang w:val="en-US"/>
        </w:rPr>
        <w:t>S 60(9) of the CPA.</w:t>
      </w:r>
    </w:p>
  </w:footnote>
  <w:footnote w:id="13">
    <w:p w14:paraId="0250EF50" w14:textId="01328236" w:rsidR="00D25CB1" w:rsidRPr="001902C3" w:rsidRDefault="00D25CB1" w:rsidP="009908A9">
      <w:pPr>
        <w:pStyle w:val="FootnoteText"/>
        <w:spacing w:line="240" w:lineRule="auto"/>
        <w:jc w:val="both"/>
        <w:rPr>
          <w:lang w:val="en-US"/>
        </w:rPr>
      </w:pPr>
      <w:r>
        <w:rPr>
          <w:rStyle w:val="FootnoteReference"/>
        </w:rPr>
        <w:footnoteRef/>
      </w:r>
      <w:r>
        <w:t xml:space="preserve"> </w:t>
      </w:r>
      <w:r>
        <w:rPr>
          <w:lang w:val="en-US"/>
        </w:rPr>
        <w:t xml:space="preserve">When the state has either failed to make a case or has relied on one which is so lacking in detail or persuasion that a court hearing a bail application cannot express even a prima facie view as to its strength or weakness the accused must receive the benefit of the doubt: </w:t>
      </w:r>
      <w:r>
        <w:rPr>
          <w:i/>
          <w:iCs/>
          <w:lang w:val="en-US"/>
        </w:rPr>
        <w:t>S v Kock</w:t>
      </w:r>
      <w:r>
        <w:rPr>
          <w:lang w:val="en-US"/>
        </w:rPr>
        <w:t xml:space="preserve"> 2003 (2) SACR 5 (SCA) at 11</w:t>
      </w:r>
      <w:r>
        <w:rPr>
          <w:i/>
          <w:iCs/>
          <w:lang w:val="en-US"/>
        </w:rPr>
        <w:t>i</w:t>
      </w:r>
      <w:r>
        <w:rPr>
          <w:lang w:val="en-US"/>
        </w:rPr>
        <w:t>—12</w:t>
      </w:r>
      <w:r>
        <w:rPr>
          <w:i/>
          <w:iCs/>
          <w:lang w:val="en-US"/>
        </w:rPr>
        <w:t>a</w:t>
      </w:r>
      <w:r>
        <w:rPr>
          <w:lang w:val="en-US"/>
        </w:rPr>
        <w:t>.</w:t>
      </w:r>
      <w:r w:rsidR="001902C3">
        <w:rPr>
          <w:lang w:val="en-US"/>
        </w:rPr>
        <w:t xml:space="preserve"> Also see </w:t>
      </w:r>
      <w:r w:rsidR="001902C3">
        <w:rPr>
          <w:i/>
          <w:iCs/>
          <w:lang w:val="en-US"/>
        </w:rPr>
        <w:t>S v Van Wyk</w:t>
      </w:r>
      <w:r w:rsidR="001902C3">
        <w:rPr>
          <w:lang w:val="en-US"/>
        </w:rPr>
        <w:t xml:space="preserve"> 2005 (1) SACR 41 (SCA) para 6.</w:t>
      </w:r>
    </w:p>
  </w:footnote>
  <w:footnote w:id="14">
    <w:p w14:paraId="1567170C" w14:textId="6A2D86D4" w:rsidR="0054146C" w:rsidRPr="0054146C" w:rsidRDefault="0054146C" w:rsidP="009908A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Kock</w:t>
      </w:r>
      <w:r>
        <w:rPr>
          <w:lang w:val="en-US"/>
        </w:rPr>
        <w:t xml:space="preserve"> 2003 (2) SACR 5 para 16.</w:t>
      </w:r>
    </w:p>
  </w:footnote>
  <w:footnote w:id="15">
    <w:p w14:paraId="54595A9B" w14:textId="4277F58D" w:rsidR="00303BE3" w:rsidRPr="00315BDC" w:rsidRDefault="00303BE3" w:rsidP="009908A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S v Dlamini; </w:t>
      </w:r>
      <w:r w:rsidRPr="00430A1E">
        <w:rPr>
          <w:rFonts w:cstheme="minorHAnsi"/>
          <w:i/>
          <w:iCs/>
        </w:rPr>
        <w:t>S</w:t>
      </w:r>
      <w:r w:rsidRPr="00430A1E">
        <w:rPr>
          <w:rStyle w:val="apple-converted-space"/>
          <w:rFonts w:cstheme="minorHAnsi"/>
          <w:i/>
          <w:iCs/>
        </w:rPr>
        <w:t> </w:t>
      </w:r>
      <w:r w:rsidRPr="00430A1E">
        <w:rPr>
          <w:rFonts w:cstheme="minorHAnsi"/>
          <w:i/>
          <w:iCs/>
        </w:rPr>
        <w:t>v</w:t>
      </w:r>
      <w:r w:rsidRPr="00430A1E">
        <w:rPr>
          <w:rStyle w:val="apple-converted-space"/>
          <w:rFonts w:cstheme="minorHAnsi"/>
          <w:i/>
          <w:iCs/>
        </w:rPr>
        <w:t> </w:t>
      </w:r>
      <w:r w:rsidRPr="00430A1E">
        <w:rPr>
          <w:rFonts w:cstheme="minorHAnsi"/>
          <w:i/>
          <w:iCs/>
        </w:rPr>
        <w:t>Dladla and Others;</w:t>
      </w:r>
      <w:r w:rsidRPr="00430A1E">
        <w:rPr>
          <w:rStyle w:val="apple-converted-space"/>
          <w:rFonts w:cstheme="minorHAnsi"/>
          <w:i/>
          <w:iCs/>
        </w:rPr>
        <w:t> </w:t>
      </w:r>
      <w:r w:rsidRPr="00430A1E">
        <w:rPr>
          <w:rFonts w:cstheme="minorHAnsi"/>
          <w:i/>
          <w:iCs/>
        </w:rPr>
        <w:t>S</w:t>
      </w:r>
      <w:r w:rsidRPr="00430A1E">
        <w:rPr>
          <w:rStyle w:val="apple-converted-space"/>
          <w:rFonts w:cstheme="minorHAnsi"/>
          <w:i/>
          <w:iCs/>
        </w:rPr>
        <w:t> </w:t>
      </w:r>
      <w:r w:rsidRPr="00430A1E">
        <w:rPr>
          <w:rFonts w:cstheme="minorHAnsi"/>
          <w:i/>
          <w:iCs/>
        </w:rPr>
        <w:t>v</w:t>
      </w:r>
      <w:r w:rsidRPr="00430A1E">
        <w:rPr>
          <w:rStyle w:val="apple-converted-space"/>
          <w:rFonts w:cstheme="minorHAnsi"/>
          <w:i/>
          <w:iCs/>
        </w:rPr>
        <w:t> </w:t>
      </w:r>
      <w:r w:rsidRPr="00430A1E">
        <w:rPr>
          <w:rFonts w:cstheme="minorHAnsi"/>
          <w:i/>
          <w:iCs/>
        </w:rPr>
        <w:t>Joubert;</w:t>
      </w:r>
      <w:r w:rsidRPr="00430A1E">
        <w:rPr>
          <w:rStyle w:val="apple-converted-space"/>
          <w:rFonts w:cstheme="minorHAnsi"/>
          <w:i/>
          <w:iCs/>
        </w:rPr>
        <w:t> </w:t>
      </w:r>
      <w:r w:rsidRPr="00430A1E">
        <w:rPr>
          <w:rFonts w:cstheme="minorHAnsi"/>
          <w:i/>
          <w:iCs/>
        </w:rPr>
        <w:t>S</w:t>
      </w:r>
      <w:r w:rsidRPr="00430A1E">
        <w:rPr>
          <w:rStyle w:val="apple-converted-space"/>
          <w:rFonts w:cstheme="minorHAnsi"/>
          <w:i/>
          <w:iCs/>
        </w:rPr>
        <w:t> </w:t>
      </w:r>
      <w:r w:rsidRPr="00430A1E">
        <w:rPr>
          <w:rFonts w:cstheme="minorHAnsi"/>
          <w:i/>
          <w:iCs/>
        </w:rPr>
        <w:t>v</w:t>
      </w:r>
      <w:r w:rsidRPr="00430A1E">
        <w:rPr>
          <w:rStyle w:val="apple-converted-space"/>
          <w:rFonts w:cstheme="minorHAnsi"/>
          <w:i/>
          <w:iCs/>
        </w:rPr>
        <w:t> </w:t>
      </w:r>
      <w:r w:rsidRPr="00430A1E">
        <w:rPr>
          <w:rFonts w:cstheme="minorHAnsi"/>
          <w:i/>
          <w:iCs/>
        </w:rPr>
        <w:t>Schietekat</w:t>
      </w:r>
      <w:r>
        <w:rPr>
          <w:rFonts w:cstheme="minorHAnsi"/>
        </w:rPr>
        <w:t xml:space="preserve"> </w:t>
      </w:r>
      <w:r w:rsidRPr="0014170F">
        <w:rPr>
          <w:rFonts w:eastAsia="Times New Roman" w:cstheme="minorHAnsi"/>
          <w:color w:val="2C3E50"/>
          <w:shd w:val="clear" w:color="auto" w:fill="FFFFFF"/>
          <w:lang w:eastAsia="en-GB"/>
        </w:rPr>
        <w:t>1999 (4) SA 623 (CC)</w:t>
      </w:r>
      <w:r>
        <w:rPr>
          <w:rFonts w:eastAsia="Times New Roman" w:cstheme="minorHAnsi"/>
          <w:color w:val="2C3E50"/>
          <w:shd w:val="clear" w:color="auto" w:fill="FFFFFF"/>
          <w:lang w:eastAsia="en-GB"/>
        </w:rPr>
        <w:t xml:space="preserve"> </w:t>
      </w:r>
      <w:r>
        <w:rPr>
          <w:rFonts w:cstheme="minorHAnsi"/>
        </w:rPr>
        <w:t>para 65</w:t>
      </w:r>
      <w:r w:rsidR="00F85491">
        <w:rPr>
          <w:rFonts w:cstheme="minorHAnsi"/>
        </w:rPr>
        <w:t xml:space="preserve">; </w:t>
      </w:r>
      <w:r w:rsidR="00F85491">
        <w:rPr>
          <w:rFonts w:cstheme="minorHAnsi"/>
          <w:i/>
          <w:iCs/>
        </w:rPr>
        <w:t xml:space="preserve">S v Tshabalala </w:t>
      </w:r>
      <w:r w:rsidR="00F85491">
        <w:rPr>
          <w:rFonts w:cstheme="minorHAnsi"/>
        </w:rPr>
        <w:t xml:space="preserve">1998 (2) SACR 259 (C) at </w:t>
      </w:r>
      <w:r w:rsidR="00F85491" w:rsidRPr="00F85491">
        <w:rPr>
          <w:rFonts w:cstheme="minorHAnsi"/>
          <w:i/>
          <w:iCs/>
        </w:rPr>
        <w:t>269</w:t>
      </w:r>
      <w:r w:rsidR="00F85491">
        <w:rPr>
          <w:rFonts w:cstheme="minorHAnsi"/>
          <w:i/>
          <w:iCs/>
        </w:rPr>
        <w:t>g—i</w:t>
      </w:r>
      <w:r w:rsidR="00F85491">
        <w:rPr>
          <w:rFonts w:cstheme="minorHAnsi"/>
        </w:rPr>
        <w:t>.</w:t>
      </w:r>
      <w:r w:rsidR="00F85491">
        <w:rPr>
          <w:rFonts w:cstheme="minorHAnsi"/>
          <w:i/>
          <w:iCs/>
        </w:rPr>
        <w:t xml:space="preserve"> </w:t>
      </w:r>
      <w:r w:rsidR="00315BDC" w:rsidRPr="00F85491">
        <w:rPr>
          <w:rFonts w:cstheme="minorHAnsi"/>
          <w:i/>
          <w:iCs/>
        </w:rPr>
        <w:t>When</w:t>
      </w:r>
      <w:r w:rsidR="00315BDC">
        <w:rPr>
          <w:rFonts w:cstheme="minorHAnsi"/>
        </w:rPr>
        <w:t xml:space="preserve"> an accused, taking into account what is already on record, does not even make out a prima facie case, there is authority that there is no duty on the prosecution to present any evidence in rebuttal: </w:t>
      </w:r>
      <w:r w:rsidR="00315BDC">
        <w:rPr>
          <w:rFonts w:cstheme="minorHAnsi"/>
          <w:i/>
          <w:iCs/>
        </w:rPr>
        <w:t>S v Mabusela &amp; Another</w:t>
      </w:r>
      <w:r w:rsidR="00315BDC">
        <w:rPr>
          <w:rFonts w:cstheme="minorHAnsi"/>
        </w:rPr>
        <w:t xml:space="preserve"> (unreported, GP case no A909/2015, 9 February 2016) para 8.</w:t>
      </w:r>
    </w:p>
  </w:footnote>
  <w:footnote w:id="16">
    <w:p w14:paraId="70EC00C3" w14:textId="4A12DA8F" w:rsidR="003B3544" w:rsidRPr="003B3544" w:rsidRDefault="003B3544" w:rsidP="009908A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S v Nkuna</w:t>
      </w:r>
      <w:r>
        <w:rPr>
          <w:lang w:val="en-US"/>
        </w:rPr>
        <w:t xml:space="preserve"> (unreported, GNP case no A82/2013, 22 February 2013) para 9.</w:t>
      </w:r>
    </w:p>
  </w:footnote>
  <w:footnote w:id="17">
    <w:p w14:paraId="6A4F6D06" w14:textId="6E193B05" w:rsidR="00C82413" w:rsidRPr="00C82413" w:rsidRDefault="00C82413" w:rsidP="009908A9">
      <w:pPr>
        <w:pStyle w:val="FootnoteText"/>
        <w:spacing w:line="240" w:lineRule="auto"/>
        <w:jc w:val="both"/>
        <w:rPr>
          <w:lang w:val="en-US"/>
        </w:rPr>
      </w:pPr>
      <w:r>
        <w:rPr>
          <w:rStyle w:val="FootnoteReference"/>
        </w:rPr>
        <w:footnoteRef/>
      </w:r>
      <w:r>
        <w:t xml:space="preserve"> </w:t>
      </w:r>
      <w:r>
        <w:rPr>
          <w:i/>
          <w:iCs/>
          <w:lang w:val="en-US"/>
        </w:rPr>
        <w:t>S v Mququ</w:t>
      </w:r>
      <w:r>
        <w:rPr>
          <w:lang w:val="en-US"/>
        </w:rPr>
        <w:t xml:space="preserve"> 2019 (2) SACR 207 (ECG) para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565EBB6F"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3201">
          <w:rPr>
            <w:rStyle w:val="PageNumber"/>
            <w:noProof/>
          </w:rPr>
          <w:t>9</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516DF"/>
    <w:multiLevelType w:val="multilevel"/>
    <w:tmpl w:val="1A462FD6"/>
    <w:lvl w:ilvl="0">
      <w:start w:val="1"/>
      <w:numFmt w:val="decimal"/>
      <w:lvlText w:val="%1."/>
      <w:lvlJc w:val="left"/>
      <w:pPr>
        <w:ind w:left="720" w:hanging="360"/>
      </w:pPr>
      <w:rPr>
        <w:rFonts w:hint="default"/>
        <w:b w:val="0"/>
        <w:i w:val="0"/>
        <w:iCs w:val="0"/>
        <w:u w:val="none"/>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D77CC"/>
    <w:multiLevelType w:val="hybridMultilevel"/>
    <w:tmpl w:val="EC889C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E61D1"/>
    <w:multiLevelType w:val="hybridMultilevel"/>
    <w:tmpl w:val="A8289FC0"/>
    <w:lvl w:ilvl="0" w:tplc="4F4680C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02834"/>
    <w:multiLevelType w:val="hybridMultilevel"/>
    <w:tmpl w:val="19006B68"/>
    <w:lvl w:ilvl="0" w:tplc="534A9A40">
      <w:start w:val="1"/>
      <w:numFmt w:val="lowerLetter"/>
      <w:lvlText w:val="(%1)"/>
      <w:lvlJc w:val="left"/>
      <w:pPr>
        <w:ind w:left="1860" w:hanging="42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1286BA4"/>
    <w:multiLevelType w:val="hybridMultilevel"/>
    <w:tmpl w:val="8C0E8AA8"/>
    <w:lvl w:ilvl="0" w:tplc="206AFA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4"/>
  </w:num>
  <w:num w:numId="6">
    <w:abstractNumId w:val="7"/>
  </w:num>
  <w:num w:numId="7">
    <w:abstractNumId w:val="19"/>
  </w:num>
  <w:num w:numId="8">
    <w:abstractNumId w:val="1"/>
  </w:num>
  <w:num w:numId="9">
    <w:abstractNumId w:val="6"/>
  </w:num>
  <w:num w:numId="10">
    <w:abstractNumId w:val="10"/>
  </w:num>
  <w:num w:numId="11">
    <w:abstractNumId w:val="18"/>
  </w:num>
  <w:num w:numId="12">
    <w:abstractNumId w:val="9"/>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3C0F"/>
    <w:rsid w:val="00004E1E"/>
    <w:rsid w:val="00005691"/>
    <w:rsid w:val="00005ABB"/>
    <w:rsid w:val="00005BC2"/>
    <w:rsid w:val="0000642E"/>
    <w:rsid w:val="00006A5F"/>
    <w:rsid w:val="00006D19"/>
    <w:rsid w:val="00006EF3"/>
    <w:rsid w:val="00007087"/>
    <w:rsid w:val="00007904"/>
    <w:rsid w:val="000109B4"/>
    <w:rsid w:val="00012A2F"/>
    <w:rsid w:val="00013C4F"/>
    <w:rsid w:val="00014437"/>
    <w:rsid w:val="00014770"/>
    <w:rsid w:val="000161E8"/>
    <w:rsid w:val="00016FDA"/>
    <w:rsid w:val="000172B5"/>
    <w:rsid w:val="000220C3"/>
    <w:rsid w:val="00022804"/>
    <w:rsid w:val="0002365D"/>
    <w:rsid w:val="000243CC"/>
    <w:rsid w:val="000278EB"/>
    <w:rsid w:val="00027DA3"/>
    <w:rsid w:val="00030A25"/>
    <w:rsid w:val="000323B0"/>
    <w:rsid w:val="00033C59"/>
    <w:rsid w:val="000341AF"/>
    <w:rsid w:val="00034B32"/>
    <w:rsid w:val="0003553E"/>
    <w:rsid w:val="0004040E"/>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36DD"/>
    <w:rsid w:val="00053D81"/>
    <w:rsid w:val="00054DEC"/>
    <w:rsid w:val="00055059"/>
    <w:rsid w:val="00055C33"/>
    <w:rsid w:val="00056042"/>
    <w:rsid w:val="00056FBA"/>
    <w:rsid w:val="000574BF"/>
    <w:rsid w:val="00057DBC"/>
    <w:rsid w:val="00063188"/>
    <w:rsid w:val="00063C6E"/>
    <w:rsid w:val="00063D5A"/>
    <w:rsid w:val="0006762A"/>
    <w:rsid w:val="0007050F"/>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1E28"/>
    <w:rsid w:val="000A39A5"/>
    <w:rsid w:val="000A59DC"/>
    <w:rsid w:val="000B01EF"/>
    <w:rsid w:val="000B0946"/>
    <w:rsid w:val="000B0DC8"/>
    <w:rsid w:val="000B26AE"/>
    <w:rsid w:val="000B26CF"/>
    <w:rsid w:val="000B3DFD"/>
    <w:rsid w:val="000B5790"/>
    <w:rsid w:val="000B5FBC"/>
    <w:rsid w:val="000B61ED"/>
    <w:rsid w:val="000B6309"/>
    <w:rsid w:val="000B643B"/>
    <w:rsid w:val="000B690B"/>
    <w:rsid w:val="000B78EC"/>
    <w:rsid w:val="000C0413"/>
    <w:rsid w:val="000C2D21"/>
    <w:rsid w:val="000C3531"/>
    <w:rsid w:val="000C3620"/>
    <w:rsid w:val="000C39A5"/>
    <w:rsid w:val="000C3A6D"/>
    <w:rsid w:val="000C450C"/>
    <w:rsid w:val="000C599B"/>
    <w:rsid w:val="000C67E0"/>
    <w:rsid w:val="000C6FB4"/>
    <w:rsid w:val="000C7746"/>
    <w:rsid w:val="000C7A27"/>
    <w:rsid w:val="000D085B"/>
    <w:rsid w:val="000D0D78"/>
    <w:rsid w:val="000D17EF"/>
    <w:rsid w:val="000D22FB"/>
    <w:rsid w:val="000D305B"/>
    <w:rsid w:val="000D487F"/>
    <w:rsid w:val="000D4BFA"/>
    <w:rsid w:val="000D4C7F"/>
    <w:rsid w:val="000D667A"/>
    <w:rsid w:val="000E1C45"/>
    <w:rsid w:val="000E2444"/>
    <w:rsid w:val="000E3A93"/>
    <w:rsid w:val="000E3E15"/>
    <w:rsid w:val="000E4F0D"/>
    <w:rsid w:val="000E5100"/>
    <w:rsid w:val="000E5AC0"/>
    <w:rsid w:val="000E7ECD"/>
    <w:rsid w:val="000F05E0"/>
    <w:rsid w:val="000F16BA"/>
    <w:rsid w:val="000F175B"/>
    <w:rsid w:val="000F1A95"/>
    <w:rsid w:val="000F6BFE"/>
    <w:rsid w:val="000F7DF4"/>
    <w:rsid w:val="0010068E"/>
    <w:rsid w:val="00100F9A"/>
    <w:rsid w:val="0010218C"/>
    <w:rsid w:val="00102D5B"/>
    <w:rsid w:val="00103AFF"/>
    <w:rsid w:val="001044DB"/>
    <w:rsid w:val="001054DA"/>
    <w:rsid w:val="00105EB6"/>
    <w:rsid w:val="0010622C"/>
    <w:rsid w:val="00106347"/>
    <w:rsid w:val="001078B5"/>
    <w:rsid w:val="00107A5F"/>
    <w:rsid w:val="0011026A"/>
    <w:rsid w:val="00110EF0"/>
    <w:rsid w:val="001124A5"/>
    <w:rsid w:val="00112A37"/>
    <w:rsid w:val="001148E0"/>
    <w:rsid w:val="00116EB9"/>
    <w:rsid w:val="00120E93"/>
    <w:rsid w:val="001226DE"/>
    <w:rsid w:val="00123296"/>
    <w:rsid w:val="00125229"/>
    <w:rsid w:val="00125270"/>
    <w:rsid w:val="0012621C"/>
    <w:rsid w:val="00130228"/>
    <w:rsid w:val="00131984"/>
    <w:rsid w:val="00131A28"/>
    <w:rsid w:val="001337CC"/>
    <w:rsid w:val="00134276"/>
    <w:rsid w:val="00134C11"/>
    <w:rsid w:val="00134DA6"/>
    <w:rsid w:val="00135C81"/>
    <w:rsid w:val="00137E08"/>
    <w:rsid w:val="00142F79"/>
    <w:rsid w:val="001435EB"/>
    <w:rsid w:val="00144974"/>
    <w:rsid w:val="00146BA3"/>
    <w:rsid w:val="001517E0"/>
    <w:rsid w:val="001527A3"/>
    <w:rsid w:val="00153496"/>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8006A"/>
    <w:rsid w:val="00180F4E"/>
    <w:rsid w:val="00181923"/>
    <w:rsid w:val="00181B01"/>
    <w:rsid w:val="00181E7E"/>
    <w:rsid w:val="00182175"/>
    <w:rsid w:val="00184625"/>
    <w:rsid w:val="00186769"/>
    <w:rsid w:val="001870AF"/>
    <w:rsid w:val="0019026B"/>
    <w:rsid w:val="001902C3"/>
    <w:rsid w:val="00191768"/>
    <w:rsid w:val="00192869"/>
    <w:rsid w:val="001943D2"/>
    <w:rsid w:val="001954F0"/>
    <w:rsid w:val="00195571"/>
    <w:rsid w:val="001955AB"/>
    <w:rsid w:val="00196536"/>
    <w:rsid w:val="00196742"/>
    <w:rsid w:val="001A471C"/>
    <w:rsid w:val="001A4BE7"/>
    <w:rsid w:val="001A4F33"/>
    <w:rsid w:val="001B0D01"/>
    <w:rsid w:val="001B2578"/>
    <w:rsid w:val="001B2FE4"/>
    <w:rsid w:val="001B505F"/>
    <w:rsid w:val="001B69E3"/>
    <w:rsid w:val="001B7729"/>
    <w:rsid w:val="001C04BC"/>
    <w:rsid w:val="001C1478"/>
    <w:rsid w:val="001C232A"/>
    <w:rsid w:val="001C24AF"/>
    <w:rsid w:val="001C2DD7"/>
    <w:rsid w:val="001C48A5"/>
    <w:rsid w:val="001C7061"/>
    <w:rsid w:val="001D0962"/>
    <w:rsid w:val="001D214B"/>
    <w:rsid w:val="001D4C5E"/>
    <w:rsid w:val="001D57CD"/>
    <w:rsid w:val="001D5A9D"/>
    <w:rsid w:val="001D5F83"/>
    <w:rsid w:val="001D61C8"/>
    <w:rsid w:val="001D65C0"/>
    <w:rsid w:val="001E0F36"/>
    <w:rsid w:val="001E1834"/>
    <w:rsid w:val="001E1B07"/>
    <w:rsid w:val="001E1E07"/>
    <w:rsid w:val="001E24E0"/>
    <w:rsid w:val="001E2866"/>
    <w:rsid w:val="001E4824"/>
    <w:rsid w:val="001E640A"/>
    <w:rsid w:val="001E6A6E"/>
    <w:rsid w:val="001E701F"/>
    <w:rsid w:val="001E7844"/>
    <w:rsid w:val="001E78D5"/>
    <w:rsid w:val="001E7C8F"/>
    <w:rsid w:val="001F2276"/>
    <w:rsid w:val="001F335C"/>
    <w:rsid w:val="001F3A41"/>
    <w:rsid w:val="001F5499"/>
    <w:rsid w:val="001F59AB"/>
    <w:rsid w:val="001F7EF5"/>
    <w:rsid w:val="00201DC6"/>
    <w:rsid w:val="00201F12"/>
    <w:rsid w:val="00206D6C"/>
    <w:rsid w:val="00207573"/>
    <w:rsid w:val="002115FE"/>
    <w:rsid w:val="00213565"/>
    <w:rsid w:val="0021430F"/>
    <w:rsid w:val="002154D2"/>
    <w:rsid w:val="00215EBC"/>
    <w:rsid w:val="0021730A"/>
    <w:rsid w:val="00217399"/>
    <w:rsid w:val="002203EC"/>
    <w:rsid w:val="00220833"/>
    <w:rsid w:val="00222854"/>
    <w:rsid w:val="00223D75"/>
    <w:rsid w:val="00224363"/>
    <w:rsid w:val="002244E1"/>
    <w:rsid w:val="0022594E"/>
    <w:rsid w:val="00225D6E"/>
    <w:rsid w:val="00226444"/>
    <w:rsid w:val="00226ADA"/>
    <w:rsid w:val="00227379"/>
    <w:rsid w:val="00227580"/>
    <w:rsid w:val="00230B10"/>
    <w:rsid w:val="00231325"/>
    <w:rsid w:val="00231352"/>
    <w:rsid w:val="002327AF"/>
    <w:rsid w:val="0023410F"/>
    <w:rsid w:val="00234A6A"/>
    <w:rsid w:val="002352DE"/>
    <w:rsid w:val="0023677B"/>
    <w:rsid w:val="00236B9D"/>
    <w:rsid w:val="00237273"/>
    <w:rsid w:val="0023768E"/>
    <w:rsid w:val="002402F6"/>
    <w:rsid w:val="00245504"/>
    <w:rsid w:val="00245BEB"/>
    <w:rsid w:val="00246150"/>
    <w:rsid w:val="00247551"/>
    <w:rsid w:val="0024761E"/>
    <w:rsid w:val="00250530"/>
    <w:rsid w:val="0025056A"/>
    <w:rsid w:val="00251ACD"/>
    <w:rsid w:val="0025292B"/>
    <w:rsid w:val="00252FC1"/>
    <w:rsid w:val="00253273"/>
    <w:rsid w:val="00256208"/>
    <w:rsid w:val="00256FCC"/>
    <w:rsid w:val="002577EA"/>
    <w:rsid w:val="00257A15"/>
    <w:rsid w:val="002606D8"/>
    <w:rsid w:val="00260A94"/>
    <w:rsid w:val="00260B67"/>
    <w:rsid w:val="002612A5"/>
    <w:rsid w:val="00261583"/>
    <w:rsid w:val="0026158F"/>
    <w:rsid w:val="002617D8"/>
    <w:rsid w:val="00262855"/>
    <w:rsid w:val="00262C99"/>
    <w:rsid w:val="00262D2A"/>
    <w:rsid w:val="002635B7"/>
    <w:rsid w:val="00263B8D"/>
    <w:rsid w:val="0026495C"/>
    <w:rsid w:val="00264E9D"/>
    <w:rsid w:val="00265010"/>
    <w:rsid w:val="00265180"/>
    <w:rsid w:val="00265AEB"/>
    <w:rsid w:val="00265C6D"/>
    <w:rsid w:val="0026634E"/>
    <w:rsid w:val="0026645C"/>
    <w:rsid w:val="002705E9"/>
    <w:rsid w:val="00273903"/>
    <w:rsid w:val="00274C64"/>
    <w:rsid w:val="00275410"/>
    <w:rsid w:val="00276100"/>
    <w:rsid w:val="00277EB6"/>
    <w:rsid w:val="0028182D"/>
    <w:rsid w:val="0028373E"/>
    <w:rsid w:val="002852C4"/>
    <w:rsid w:val="00285664"/>
    <w:rsid w:val="00285B1F"/>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382"/>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5462"/>
    <w:rsid w:val="002C7128"/>
    <w:rsid w:val="002D20C4"/>
    <w:rsid w:val="002D2A45"/>
    <w:rsid w:val="002D2D96"/>
    <w:rsid w:val="002D4422"/>
    <w:rsid w:val="002D4CBC"/>
    <w:rsid w:val="002D6D70"/>
    <w:rsid w:val="002D7292"/>
    <w:rsid w:val="002E0CCA"/>
    <w:rsid w:val="002E0F57"/>
    <w:rsid w:val="002E141A"/>
    <w:rsid w:val="002E1B95"/>
    <w:rsid w:val="002E3EC7"/>
    <w:rsid w:val="002E4808"/>
    <w:rsid w:val="002E483E"/>
    <w:rsid w:val="002E4EB7"/>
    <w:rsid w:val="002E6855"/>
    <w:rsid w:val="002E6D7C"/>
    <w:rsid w:val="002E7045"/>
    <w:rsid w:val="002E7199"/>
    <w:rsid w:val="002F0070"/>
    <w:rsid w:val="002F012F"/>
    <w:rsid w:val="002F0513"/>
    <w:rsid w:val="002F0990"/>
    <w:rsid w:val="002F0C58"/>
    <w:rsid w:val="002F13D1"/>
    <w:rsid w:val="002F37F8"/>
    <w:rsid w:val="002F4EDB"/>
    <w:rsid w:val="002F60D3"/>
    <w:rsid w:val="002F7574"/>
    <w:rsid w:val="003007A7"/>
    <w:rsid w:val="00300A59"/>
    <w:rsid w:val="00300E3D"/>
    <w:rsid w:val="0030214A"/>
    <w:rsid w:val="00302E78"/>
    <w:rsid w:val="003035F7"/>
    <w:rsid w:val="00303BE3"/>
    <w:rsid w:val="00306288"/>
    <w:rsid w:val="0031225F"/>
    <w:rsid w:val="003140F9"/>
    <w:rsid w:val="003142B4"/>
    <w:rsid w:val="003148EA"/>
    <w:rsid w:val="003150CA"/>
    <w:rsid w:val="00315BDC"/>
    <w:rsid w:val="00315CB8"/>
    <w:rsid w:val="00315D8D"/>
    <w:rsid w:val="003168ED"/>
    <w:rsid w:val="003172EB"/>
    <w:rsid w:val="00317AB4"/>
    <w:rsid w:val="00320522"/>
    <w:rsid w:val="00321663"/>
    <w:rsid w:val="00321E11"/>
    <w:rsid w:val="003228A7"/>
    <w:rsid w:val="00322A16"/>
    <w:rsid w:val="00324CE8"/>
    <w:rsid w:val="00325BD4"/>
    <w:rsid w:val="003264C7"/>
    <w:rsid w:val="00326A33"/>
    <w:rsid w:val="0032785C"/>
    <w:rsid w:val="00327E36"/>
    <w:rsid w:val="00327E53"/>
    <w:rsid w:val="00330795"/>
    <w:rsid w:val="00330E85"/>
    <w:rsid w:val="0033219D"/>
    <w:rsid w:val="00333BEA"/>
    <w:rsid w:val="00333F69"/>
    <w:rsid w:val="00334624"/>
    <w:rsid w:val="00335693"/>
    <w:rsid w:val="00335897"/>
    <w:rsid w:val="0033634C"/>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652"/>
    <w:rsid w:val="003539EC"/>
    <w:rsid w:val="0035432E"/>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C87"/>
    <w:rsid w:val="003869D5"/>
    <w:rsid w:val="003905B9"/>
    <w:rsid w:val="003914E2"/>
    <w:rsid w:val="00391701"/>
    <w:rsid w:val="00391F26"/>
    <w:rsid w:val="00391FFC"/>
    <w:rsid w:val="0039206E"/>
    <w:rsid w:val="00392A4B"/>
    <w:rsid w:val="00392AA2"/>
    <w:rsid w:val="00393BA3"/>
    <w:rsid w:val="0039527F"/>
    <w:rsid w:val="00395A71"/>
    <w:rsid w:val="0039682A"/>
    <w:rsid w:val="003A37F4"/>
    <w:rsid w:val="003A4F1D"/>
    <w:rsid w:val="003A4F95"/>
    <w:rsid w:val="003A567D"/>
    <w:rsid w:val="003A6F71"/>
    <w:rsid w:val="003A745C"/>
    <w:rsid w:val="003A7AA6"/>
    <w:rsid w:val="003A7BAA"/>
    <w:rsid w:val="003B01D4"/>
    <w:rsid w:val="003B036C"/>
    <w:rsid w:val="003B10EC"/>
    <w:rsid w:val="003B1570"/>
    <w:rsid w:val="003B15C9"/>
    <w:rsid w:val="003B1B8E"/>
    <w:rsid w:val="003B21BF"/>
    <w:rsid w:val="003B3544"/>
    <w:rsid w:val="003B3C31"/>
    <w:rsid w:val="003B43B8"/>
    <w:rsid w:val="003B5522"/>
    <w:rsid w:val="003B5FEE"/>
    <w:rsid w:val="003B76D9"/>
    <w:rsid w:val="003C0CEB"/>
    <w:rsid w:val="003C1215"/>
    <w:rsid w:val="003C351A"/>
    <w:rsid w:val="003C3BC6"/>
    <w:rsid w:val="003C3C37"/>
    <w:rsid w:val="003C54AA"/>
    <w:rsid w:val="003C5934"/>
    <w:rsid w:val="003C7080"/>
    <w:rsid w:val="003D11D0"/>
    <w:rsid w:val="003D146E"/>
    <w:rsid w:val="003D1525"/>
    <w:rsid w:val="003D239A"/>
    <w:rsid w:val="003D2C74"/>
    <w:rsid w:val="003D4462"/>
    <w:rsid w:val="003D5245"/>
    <w:rsid w:val="003D5507"/>
    <w:rsid w:val="003D5A10"/>
    <w:rsid w:val="003D5E6D"/>
    <w:rsid w:val="003D7CB9"/>
    <w:rsid w:val="003E0F7C"/>
    <w:rsid w:val="003E1A50"/>
    <w:rsid w:val="003E2B73"/>
    <w:rsid w:val="003E2F03"/>
    <w:rsid w:val="003E3BBF"/>
    <w:rsid w:val="003E424A"/>
    <w:rsid w:val="003E4702"/>
    <w:rsid w:val="003E75F3"/>
    <w:rsid w:val="003F0D9E"/>
    <w:rsid w:val="003F12A3"/>
    <w:rsid w:val="003F17E0"/>
    <w:rsid w:val="003F1974"/>
    <w:rsid w:val="003F2109"/>
    <w:rsid w:val="003F2790"/>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973"/>
    <w:rsid w:val="0042163E"/>
    <w:rsid w:val="00422122"/>
    <w:rsid w:val="00423163"/>
    <w:rsid w:val="004244A5"/>
    <w:rsid w:val="00427318"/>
    <w:rsid w:val="004276CD"/>
    <w:rsid w:val="0042778E"/>
    <w:rsid w:val="00427843"/>
    <w:rsid w:val="00427A35"/>
    <w:rsid w:val="004302B6"/>
    <w:rsid w:val="00430A1E"/>
    <w:rsid w:val="0043230A"/>
    <w:rsid w:val="0043511C"/>
    <w:rsid w:val="00435538"/>
    <w:rsid w:val="00437E88"/>
    <w:rsid w:val="00440672"/>
    <w:rsid w:val="00440EDE"/>
    <w:rsid w:val="00441E70"/>
    <w:rsid w:val="00443779"/>
    <w:rsid w:val="00443CCC"/>
    <w:rsid w:val="004441E4"/>
    <w:rsid w:val="004448E8"/>
    <w:rsid w:val="004474FB"/>
    <w:rsid w:val="00447553"/>
    <w:rsid w:val="004528CC"/>
    <w:rsid w:val="004529C3"/>
    <w:rsid w:val="00453339"/>
    <w:rsid w:val="00454149"/>
    <w:rsid w:val="0045608B"/>
    <w:rsid w:val="00461504"/>
    <w:rsid w:val="00461701"/>
    <w:rsid w:val="004652FD"/>
    <w:rsid w:val="004657F4"/>
    <w:rsid w:val="00466979"/>
    <w:rsid w:val="00466D17"/>
    <w:rsid w:val="0046757B"/>
    <w:rsid w:val="00467E20"/>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7264"/>
    <w:rsid w:val="00490D2A"/>
    <w:rsid w:val="0049105D"/>
    <w:rsid w:val="004918C4"/>
    <w:rsid w:val="004918C7"/>
    <w:rsid w:val="004932A2"/>
    <w:rsid w:val="00496E8C"/>
    <w:rsid w:val="00496EAA"/>
    <w:rsid w:val="004A00B9"/>
    <w:rsid w:val="004A02BC"/>
    <w:rsid w:val="004A08D7"/>
    <w:rsid w:val="004A0E54"/>
    <w:rsid w:val="004A5151"/>
    <w:rsid w:val="004A5DB1"/>
    <w:rsid w:val="004A6745"/>
    <w:rsid w:val="004A687F"/>
    <w:rsid w:val="004A7359"/>
    <w:rsid w:val="004B124D"/>
    <w:rsid w:val="004B3161"/>
    <w:rsid w:val="004B5BAF"/>
    <w:rsid w:val="004B5CB4"/>
    <w:rsid w:val="004B632A"/>
    <w:rsid w:val="004B7DC7"/>
    <w:rsid w:val="004B7E82"/>
    <w:rsid w:val="004C06AD"/>
    <w:rsid w:val="004C0946"/>
    <w:rsid w:val="004C0C08"/>
    <w:rsid w:val="004C13CF"/>
    <w:rsid w:val="004C7C7E"/>
    <w:rsid w:val="004C7EB2"/>
    <w:rsid w:val="004D0163"/>
    <w:rsid w:val="004D0AC5"/>
    <w:rsid w:val="004D19EB"/>
    <w:rsid w:val="004D1AAF"/>
    <w:rsid w:val="004D3210"/>
    <w:rsid w:val="004D35C6"/>
    <w:rsid w:val="004E06B4"/>
    <w:rsid w:val="004E09EB"/>
    <w:rsid w:val="004E189A"/>
    <w:rsid w:val="004E1A28"/>
    <w:rsid w:val="004E2076"/>
    <w:rsid w:val="004E2F8E"/>
    <w:rsid w:val="004E318F"/>
    <w:rsid w:val="004E5A0A"/>
    <w:rsid w:val="004E6694"/>
    <w:rsid w:val="004E6764"/>
    <w:rsid w:val="004E76BC"/>
    <w:rsid w:val="004E791F"/>
    <w:rsid w:val="004F021C"/>
    <w:rsid w:val="004F1757"/>
    <w:rsid w:val="004F1D20"/>
    <w:rsid w:val="004F326C"/>
    <w:rsid w:val="004F38A6"/>
    <w:rsid w:val="004F3F3E"/>
    <w:rsid w:val="004F444A"/>
    <w:rsid w:val="004F5575"/>
    <w:rsid w:val="004F79D9"/>
    <w:rsid w:val="00500FC1"/>
    <w:rsid w:val="005014BC"/>
    <w:rsid w:val="00501617"/>
    <w:rsid w:val="00502229"/>
    <w:rsid w:val="005030DE"/>
    <w:rsid w:val="00504BCF"/>
    <w:rsid w:val="005056C1"/>
    <w:rsid w:val="0050634D"/>
    <w:rsid w:val="005078B2"/>
    <w:rsid w:val="005079C1"/>
    <w:rsid w:val="00507BBF"/>
    <w:rsid w:val="00511260"/>
    <w:rsid w:val="00511565"/>
    <w:rsid w:val="0051172C"/>
    <w:rsid w:val="00511D5A"/>
    <w:rsid w:val="00512667"/>
    <w:rsid w:val="0051380C"/>
    <w:rsid w:val="00514878"/>
    <w:rsid w:val="0051706E"/>
    <w:rsid w:val="00517CF3"/>
    <w:rsid w:val="00520E7F"/>
    <w:rsid w:val="00521389"/>
    <w:rsid w:val="00523DBC"/>
    <w:rsid w:val="005244E9"/>
    <w:rsid w:val="00525DF3"/>
    <w:rsid w:val="00530003"/>
    <w:rsid w:val="00530509"/>
    <w:rsid w:val="00532080"/>
    <w:rsid w:val="00532409"/>
    <w:rsid w:val="0054146C"/>
    <w:rsid w:val="00545009"/>
    <w:rsid w:val="00545140"/>
    <w:rsid w:val="00545668"/>
    <w:rsid w:val="0055098F"/>
    <w:rsid w:val="005517B9"/>
    <w:rsid w:val="0055282D"/>
    <w:rsid w:val="00553E7D"/>
    <w:rsid w:val="005542BD"/>
    <w:rsid w:val="00556489"/>
    <w:rsid w:val="00556EDA"/>
    <w:rsid w:val="00556FC7"/>
    <w:rsid w:val="005573D6"/>
    <w:rsid w:val="0056029F"/>
    <w:rsid w:val="00560779"/>
    <w:rsid w:val="00563CE1"/>
    <w:rsid w:val="0056509F"/>
    <w:rsid w:val="00565326"/>
    <w:rsid w:val="005703D6"/>
    <w:rsid w:val="00570A0D"/>
    <w:rsid w:val="005741BF"/>
    <w:rsid w:val="005754FC"/>
    <w:rsid w:val="00575F9C"/>
    <w:rsid w:val="00576979"/>
    <w:rsid w:val="00577D50"/>
    <w:rsid w:val="00580D85"/>
    <w:rsid w:val="005813AC"/>
    <w:rsid w:val="00581B37"/>
    <w:rsid w:val="00582985"/>
    <w:rsid w:val="0058354A"/>
    <w:rsid w:val="0058491A"/>
    <w:rsid w:val="00584BA7"/>
    <w:rsid w:val="0058542B"/>
    <w:rsid w:val="00586CFB"/>
    <w:rsid w:val="00587D29"/>
    <w:rsid w:val="00591072"/>
    <w:rsid w:val="005934B8"/>
    <w:rsid w:val="00594C9D"/>
    <w:rsid w:val="00595C65"/>
    <w:rsid w:val="005964E5"/>
    <w:rsid w:val="00596992"/>
    <w:rsid w:val="005969E2"/>
    <w:rsid w:val="00597705"/>
    <w:rsid w:val="00597D4A"/>
    <w:rsid w:val="005A2449"/>
    <w:rsid w:val="005A2C73"/>
    <w:rsid w:val="005A3E4D"/>
    <w:rsid w:val="005A4FC0"/>
    <w:rsid w:val="005A65B7"/>
    <w:rsid w:val="005A71F7"/>
    <w:rsid w:val="005B0623"/>
    <w:rsid w:val="005B1333"/>
    <w:rsid w:val="005B14E5"/>
    <w:rsid w:val="005B1872"/>
    <w:rsid w:val="005B3C30"/>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0E0E"/>
    <w:rsid w:val="005E22F9"/>
    <w:rsid w:val="005E2529"/>
    <w:rsid w:val="005E2F30"/>
    <w:rsid w:val="005E3541"/>
    <w:rsid w:val="005E411E"/>
    <w:rsid w:val="005E560B"/>
    <w:rsid w:val="005E601A"/>
    <w:rsid w:val="005F03D5"/>
    <w:rsid w:val="005F04A5"/>
    <w:rsid w:val="005F158C"/>
    <w:rsid w:val="005F236B"/>
    <w:rsid w:val="005F5D90"/>
    <w:rsid w:val="005F6D85"/>
    <w:rsid w:val="005F77BC"/>
    <w:rsid w:val="00600269"/>
    <w:rsid w:val="0060045E"/>
    <w:rsid w:val="0060138F"/>
    <w:rsid w:val="00603368"/>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71A4"/>
    <w:rsid w:val="00630138"/>
    <w:rsid w:val="006313FC"/>
    <w:rsid w:val="00632122"/>
    <w:rsid w:val="006332F2"/>
    <w:rsid w:val="00634AA2"/>
    <w:rsid w:val="00634B17"/>
    <w:rsid w:val="00635F99"/>
    <w:rsid w:val="00637A17"/>
    <w:rsid w:val="00640FB4"/>
    <w:rsid w:val="00641035"/>
    <w:rsid w:val="00641661"/>
    <w:rsid w:val="00641A2E"/>
    <w:rsid w:val="00644B6F"/>
    <w:rsid w:val="00644FB0"/>
    <w:rsid w:val="006476E6"/>
    <w:rsid w:val="00650EE2"/>
    <w:rsid w:val="006511A4"/>
    <w:rsid w:val="006513E2"/>
    <w:rsid w:val="00651916"/>
    <w:rsid w:val="00651DE7"/>
    <w:rsid w:val="006531C9"/>
    <w:rsid w:val="006535E1"/>
    <w:rsid w:val="00654EFA"/>
    <w:rsid w:val="0065507F"/>
    <w:rsid w:val="0066025E"/>
    <w:rsid w:val="00661D64"/>
    <w:rsid w:val="00662682"/>
    <w:rsid w:val="006639A0"/>
    <w:rsid w:val="00663D7F"/>
    <w:rsid w:val="00664CD0"/>
    <w:rsid w:val="00665D94"/>
    <w:rsid w:val="006668FE"/>
    <w:rsid w:val="00667591"/>
    <w:rsid w:val="0066769F"/>
    <w:rsid w:val="006678AE"/>
    <w:rsid w:val="00667F9F"/>
    <w:rsid w:val="006710E7"/>
    <w:rsid w:val="00671A0B"/>
    <w:rsid w:val="0067210D"/>
    <w:rsid w:val="006759C5"/>
    <w:rsid w:val="00675C81"/>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D2F"/>
    <w:rsid w:val="00697465"/>
    <w:rsid w:val="00697EB1"/>
    <w:rsid w:val="006A2310"/>
    <w:rsid w:val="006A2706"/>
    <w:rsid w:val="006A27A0"/>
    <w:rsid w:val="006A498B"/>
    <w:rsid w:val="006A7DA6"/>
    <w:rsid w:val="006B150C"/>
    <w:rsid w:val="006B1536"/>
    <w:rsid w:val="006B1DCE"/>
    <w:rsid w:val="006B2A93"/>
    <w:rsid w:val="006B42B2"/>
    <w:rsid w:val="006B6180"/>
    <w:rsid w:val="006B624D"/>
    <w:rsid w:val="006B692B"/>
    <w:rsid w:val="006C1045"/>
    <w:rsid w:val="006C1733"/>
    <w:rsid w:val="006C177A"/>
    <w:rsid w:val="006C1B13"/>
    <w:rsid w:val="006C3201"/>
    <w:rsid w:val="006C32C4"/>
    <w:rsid w:val="006C7F5C"/>
    <w:rsid w:val="006D067F"/>
    <w:rsid w:val="006D07FB"/>
    <w:rsid w:val="006D5A67"/>
    <w:rsid w:val="006D762E"/>
    <w:rsid w:val="006D7DFD"/>
    <w:rsid w:val="006E0983"/>
    <w:rsid w:val="006E16D1"/>
    <w:rsid w:val="006E2B6D"/>
    <w:rsid w:val="006E3C88"/>
    <w:rsid w:val="006E3E8E"/>
    <w:rsid w:val="006E466A"/>
    <w:rsid w:val="006E4C1C"/>
    <w:rsid w:val="006E5C79"/>
    <w:rsid w:val="006F0259"/>
    <w:rsid w:val="006F027C"/>
    <w:rsid w:val="006F09D8"/>
    <w:rsid w:val="006F1624"/>
    <w:rsid w:val="006F3052"/>
    <w:rsid w:val="006F31BD"/>
    <w:rsid w:val="006F3259"/>
    <w:rsid w:val="006F3C00"/>
    <w:rsid w:val="006F3F69"/>
    <w:rsid w:val="006F42AC"/>
    <w:rsid w:val="006F5D4A"/>
    <w:rsid w:val="006F78DB"/>
    <w:rsid w:val="00702C42"/>
    <w:rsid w:val="00704A2E"/>
    <w:rsid w:val="00705179"/>
    <w:rsid w:val="007057AB"/>
    <w:rsid w:val="00705F57"/>
    <w:rsid w:val="00707343"/>
    <w:rsid w:val="007073FB"/>
    <w:rsid w:val="00710C28"/>
    <w:rsid w:val="00711778"/>
    <w:rsid w:val="00711C08"/>
    <w:rsid w:val="00711CC1"/>
    <w:rsid w:val="00712ED3"/>
    <w:rsid w:val="00714697"/>
    <w:rsid w:val="00714C9E"/>
    <w:rsid w:val="00715651"/>
    <w:rsid w:val="00715A14"/>
    <w:rsid w:val="00717903"/>
    <w:rsid w:val="00717B10"/>
    <w:rsid w:val="00721905"/>
    <w:rsid w:val="00721ACF"/>
    <w:rsid w:val="00722136"/>
    <w:rsid w:val="00724B29"/>
    <w:rsid w:val="00727A78"/>
    <w:rsid w:val="00727B57"/>
    <w:rsid w:val="00730A5A"/>
    <w:rsid w:val="00731207"/>
    <w:rsid w:val="0073191F"/>
    <w:rsid w:val="00734430"/>
    <w:rsid w:val="00734C55"/>
    <w:rsid w:val="00734DBB"/>
    <w:rsid w:val="00734FA9"/>
    <w:rsid w:val="00736346"/>
    <w:rsid w:val="0074053C"/>
    <w:rsid w:val="007413AE"/>
    <w:rsid w:val="00741589"/>
    <w:rsid w:val="00743D4D"/>
    <w:rsid w:val="00743EB1"/>
    <w:rsid w:val="007443BD"/>
    <w:rsid w:val="0074485F"/>
    <w:rsid w:val="007451A8"/>
    <w:rsid w:val="0074527C"/>
    <w:rsid w:val="00745BF2"/>
    <w:rsid w:val="00745E2B"/>
    <w:rsid w:val="00746757"/>
    <w:rsid w:val="007512B0"/>
    <w:rsid w:val="00751ADD"/>
    <w:rsid w:val="007520F6"/>
    <w:rsid w:val="007532C0"/>
    <w:rsid w:val="0075434E"/>
    <w:rsid w:val="00756020"/>
    <w:rsid w:val="00756098"/>
    <w:rsid w:val="00757F3C"/>
    <w:rsid w:val="00761FC6"/>
    <w:rsid w:val="007631E0"/>
    <w:rsid w:val="00763628"/>
    <w:rsid w:val="00763BF3"/>
    <w:rsid w:val="00764F87"/>
    <w:rsid w:val="00766E11"/>
    <w:rsid w:val="00767A6B"/>
    <w:rsid w:val="00767DDB"/>
    <w:rsid w:val="00771094"/>
    <w:rsid w:val="00771421"/>
    <w:rsid w:val="00772E4B"/>
    <w:rsid w:val="007744D5"/>
    <w:rsid w:val="0077459E"/>
    <w:rsid w:val="00775448"/>
    <w:rsid w:val="00776263"/>
    <w:rsid w:val="0077676B"/>
    <w:rsid w:val="0078014A"/>
    <w:rsid w:val="00782782"/>
    <w:rsid w:val="007841E0"/>
    <w:rsid w:val="007863FC"/>
    <w:rsid w:val="007866DC"/>
    <w:rsid w:val="00791465"/>
    <w:rsid w:val="0079276A"/>
    <w:rsid w:val="0079311F"/>
    <w:rsid w:val="00794AA8"/>
    <w:rsid w:val="00796986"/>
    <w:rsid w:val="00796F39"/>
    <w:rsid w:val="00796F7A"/>
    <w:rsid w:val="00797A49"/>
    <w:rsid w:val="00797E4E"/>
    <w:rsid w:val="007A1488"/>
    <w:rsid w:val="007A1A81"/>
    <w:rsid w:val="007A2294"/>
    <w:rsid w:val="007A2884"/>
    <w:rsid w:val="007A3705"/>
    <w:rsid w:val="007A39B0"/>
    <w:rsid w:val="007A4C61"/>
    <w:rsid w:val="007A769F"/>
    <w:rsid w:val="007A7AD5"/>
    <w:rsid w:val="007A7BBE"/>
    <w:rsid w:val="007B196E"/>
    <w:rsid w:val="007B1F09"/>
    <w:rsid w:val="007B566C"/>
    <w:rsid w:val="007B686F"/>
    <w:rsid w:val="007B6CEF"/>
    <w:rsid w:val="007C17AD"/>
    <w:rsid w:val="007C247A"/>
    <w:rsid w:val="007C4731"/>
    <w:rsid w:val="007C4A26"/>
    <w:rsid w:val="007C546A"/>
    <w:rsid w:val="007D0644"/>
    <w:rsid w:val="007D0A2D"/>
    <w:rsid w:val="007D17DC"/>
    <w:rsid w:val="007D3ACE"/>
    <w:rsid w:val="007D64EC"/>
    <w:rsid w:val="007D7A96"/>
    <w:rsid w:val="007E040A"/>
    <w:rsid w:val="007E05A2"/>
    <w:rsid w:val="007E1089"/>
    <w:rsid w:val="007E11A7"/>
    <w:rsid w:val="007E1B26"/>
    <w:rsid w:val="007E1F8D"/>
    <w:rsid w:val="007E25B5"/>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25F"/>
    <w:rsid w:val="00810336"/>
    <w:rsid w:val="0081156D"/>
    <w:rsid w:val="00811B30"/>
    <w:rsid w:val="00812D95"/>
    <w:rsid w:val="00813448"/>
    <w:rsid w:val="00814EDE"/>
    <w:rsid w:val="0081612B"/>
    <w:rsid w:val="0081683E"/>
    <w:rsid w:val="00816ED1"/>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7310"/>
    <w:rsid w:val="00837B9A"/>
    <w:rsid w:val="00837E1F"/>
    <w:rsid w:val="008405CE"/>
    <w:rsid w:val="008405CF"/>
    <w:rsid w:val="0084081B"/>
    <w:rsid w:val="00841726"/>
    <w:rsid w:val="008417D1"/>
    <w:rsid w:val="008426AA"/>
    <w:rsid w:val="0084295A"/>
    <w:rsid w:val="0084393F"/>
    <w:rsid w:val="00846269"/>
    <w:rsid w:val="00851511"/>
    <w:rsid w:val="00852308"/>
    <w:rsid w:val="008536CA"/>
    <w:rsid w:val="008547C2"/>
    <w:rsid w:val="00854A89"/>
    <w:rsid w:val="00854DAC"/>
    <w:rsid w:val="00855352"/>
    <w:rsid w:val="00855355"/>
    <w:rsid w:val="008557C2"/>
    <w:rsid w:val="00855F97"/>
    <w:rsid w:val="008566EC"/>
    <w:rsid w:val="008579B6"/>
    <w:rsid w:val="0086080D"/>
    <w:rsid w:val="00861853"/>
    <w:rsid w:val="0086273D"/>
    <w:rsid w:val="008634DE"/>
    <w:rsid w:val="008647BD"/>
    <w:rsid w:val="00864943"/>
    <w:rsid w:val="008665C4"/>
    <w:rsid w:val="0086751C"/>
    <w:rsid w:val="008677E3"/>
    <w:rsid w:val="00870B41"/>
    <w:rsid w:val="0087195C"/>
    <w:rsid w:val="00872022"/>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409"/>
    <w:rsid w:val="0089372D"/>
    <w:rsid w:val="00893D94"/>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B7D05"/>
    <w:rsid w:val="008C0208"/>
    <w:rsid w:val="008C20AB"/>
    <w:rsid w:val="008C210D"/>
    <w:rsid w:val="008C3E59"/>
    <w:rsid w:val="008C480D"/>
    <w:rsid w:val="008C4C45"/>
    <w:rsid w:val="008C651B"/>
    <w:rsid w:val="008C7138"/>
    <w:rsid w:val="008C7314"/>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2B2"/>
    <w:rsid w:val="008F051D"/>
    <w:rsid w:val="008F0DD8"/>
    <w:rsid w:val="008F0FC5"/>
    <w:rsid w:val="008F0FD2"/>
    <w:rsid w:val="008F17A3"/>
    <w:rsid w:val="008F4376"/>
    <w:rsid w:val="008F559D"/>
    <w:rsid w:val="008F59AF"/>
    <w:rsid w:val="008F5B07"/>
    <w:rsid w:val="008F5E59"/>
    <w:rsid w:val="008F61FC"/>
    <w:rsid w:val="008F74A5"/>
    <w:rsid w:val="00901474"/>
    <w:rsid w:val="009014FD"/>
    <w:rsid w:val="009015DD"/>
    <w:rsid w:val="00902AA7"/>
    <w:rsid w:val="00902C55"/>
    <w:rsid w:val="00903496"/>
    <w:rsid w:val="00903A37"/>
    <w:rsid w:val="00903CF4"/>
    <w:rsid w:val="009041F8"/>
    <w:rsid w:val="00904D53"/>
    <w:rsid w:val="00905C49"/>
    <w:rsid w:val="00906C53"/>
    <w:rsid w:val="00906F12"/>
    <w:rsid w:val="0090737A"/>
    <w:rsid w:val="00907E2C"/>
    <w:rsid w:val="009118D6"/>
    <w:rsid w:val="00911933"/>
    <w:rsid w:val="0091491D"/>
    <w:rsid w:val="0091517B"/>
    <w:rsid w:val="00917061"/>
    <w:rsid w:val="00921597"/>
    <w:rsid w:val="00921696"/>
    <w:rsid w:val="009225B3"/>
    <w:rsid w:val="0092525C"/>
    <w:rsid w:val="009257EE"/>
    <w:rsid w:val="009262E3"/>
    <w:rsid w:val="00927E7F"/>
    <w:rsid w:val="009300E6"/>
    <w:rsid w:val="00931856"/>
    <w:rsid w:val="00931957"/>
    <w:rsid w:val="00932190"/>
    <w:rsid w:val="00932259"/>
    <w:rsid w:val="009340B2"/>
    <w:rsid w:val="0093440F"/>
    <w:rsid w:val="00934C7D"/>
    <w:rsid w:val="00937B2D"/>
    <w:rsid w:val="00937F6E"/>
    <w:rsid w:val="00940225"/>
    <w:rsid w:val="009411BD"/>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39E4"/>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B0"/>
    <w:rsid w:val="00981871"/>
    <w:rsid w:val="00984181"/>
    <w:rsid w:val="0098571F"/>
    <w:rsid w:val="00986482"/>
    <w:rsid w:val="00987780"/>
    <w:rsid w:val="0099005D"/>
    <w:rsid w:val="009908A9"/>
    <w:rsid w:val="00992504"/>
    <w:rsid w:val="00992B0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B0C7E"/>
    <w:rsid w:val="009B1B5C"/>
    <w:rsid w:val="009B306D"/>
    <w:rsid w:val="009B54E6"/>
    <w:rsid w:val="009B5983"/>
    <w:rsid w:val="009B7B65"/>
    <w:rsid w:val="009C052D"/>
    <w:rsid w:val="009C09A0"/>
    <w:rsid w:val="009C0FA5"/>
    <w:rsid w:val="009C2135"/>
    <w:rsid w:val="009C323D"/>
    <w:rsid w:val="009C36F1"/>
    <w:rsid w:val="009C3B51"/>
    <w:rsid w:val="009C3E3C"/>
    <w:rsid w:val="009C4E0E"/>
    <w:rsid w:val="009C4F54"/>
    <w:rsid w:val="009C5271"/>
    <w:rsid w:val="009C63A4"/>
    <w:rsid w:val="009C63D5"/>
    <w:rsid w:val="009C6B5F"/>
    <w:rsid w:val="009C73F5"/>
    <w:rsid w:val="009C787C"/>
    <w:rsid w:val="009C7FC6"/>
    <w:rsid w:val="009D00D9"/>
    <w:rsid w:val="009D161A"/>
    <w:rsid w:val="009D1693"/>
    <w:rsid w:val="009D1BCC"/>
    <w:rsid w:val="009D3D26"/>
    <w:rsid w:val="009D46C5"/>
    <w:rsid w:val="009D4AB7"/>
    <w:rsid w:val="009D5302"/>
    <w:rsid w:val="009D62F3"/>
    <w:rsid w:val="009D754F"/>
    <w:rsid w:val="009D7597"/>
    <w:rsid w:val="009D7AC5"/>
    <w:rsid w:val="009E1896"/>
    <w:rsid w:val="009E1980"/>
    <w:rsid w:val="009E1ACC"/>
    <w:rsid w:val="009E20B0"/>
    <w:rsid w:val="009E2833"/>
    <w:rsid w:val="009E2BB3"/>
    <w:rsid w:val="009E325E"/>
    <w:rsid w:val="009E3484"/>
    <w:rsid w:val="009E569F"/>
    <w:rsid w:val="009E5FDA"/>
    <w:rsid w:val="009E646F"/>
    <w:rsid w:val="009E776E"/>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5071"/>
    <w:rsid w:val="00A06BF5"/>
    <w:rsid w:val="00A07157"/>
    <w:rsid w:val="00A076B8"/>
    <w:rsid w:val="00A07E9C"/>
    <w:rsid w:val="00A11066"/>
    <w:rsid w:val="00A1196D"/>
    <w:rsid w:val="00A11A36"/>
    <w:rsid w:val="00A11B5F"/>
    <w:rsid w:val="00A122F8"/>
    <w:rsid w:val="00A1243E"/>
    <w:rsid w:val="00A12914"/>
    <w:rsid w:val="00A12EEB"/>
    <w:rsid w:val="00A13E45"/>
    <w:rsid w:val="00A14173"/>
    <w:rsid w:val="00A167B8"/>
    <w:rsid w:val="00A17060"/>
    <w:rsid w:val="00A17ED7"/>
    <w:rsid w:val="00A20492"/>
    <w:rsid w:val="00A2185E"/>
    <w:rsid w:val="00A21919"/>
    <w:rsid w:val="00A26381"/>
    <w:rsid w:val="00A2657F"/>
    <w:rsid w:val="00A3046E"/>
    <w:rsid w:val="00A31C08"/>
    <w:rsid w:val="00A32889"/>
    <w:rsid w:val="00A331C2"/>
    <w:rsid w:val="00A34948"/>
    <w:rsid w:val="00A363B2"/>
    <w:rsid w:val="00A36A40"/>
    <w:rsid w:val="00A36D42"/>
    <w:rsid w:val="00A414A1"/>
    <w:rsid w:val="00A41BC0"/>
    <w:rsid w:val="00A42893"/>
    <w:rsid w:val="00A42906"/>
    <w:rsid w:val="00A43E5D"/>
    <w:rsid w:val="00A45490"/>
    <w:rsid w:val="00A46E6A"/>
    <w:rsid w:val="00A4723D"/>
    <w:rsid w:val="00A47250"/>
    <w:rsid w:val="00A5180C"/>
    <w:rsid w:val="00A521EE"/>
    <w:rsid w:val="00A5427C"/>
    <w:rsid w:val="00A57BBF"/>
    <w:rsid w:val="00A603C3"/>
    <w:rsid w:val="00A61267"/>
    <w:rsid w:val="00A63829"/>
    <w:rsid w:val="00A64250"/>
    <w:rsid w:val="00A644CB"/>
    <w:rsid w:val="00A64CAF"/>
    <w:rsid w:val="00A64FD8"/>
    <w:rsid w:val="00A6550F"/>
    <w:rsid w:val="00A6688F"/>
    <w:rsid w:val="00A67C97"/>
    <w:rsid w:val="00A711F9"/>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06CB"/>
    <w:rsid w:val="00A90C15"/>
    <w:rsid w:val="00A92225"/>
    <w:rsid w:val="00A9381F"/>
    <w:rsid w:val="00A958D5"/>
    <w:rsid w:val="00A95B9A"/>
    <w:rsid w:val="00A95C76"/>
    <w:rsid w:val="00A95CB4"/>
    <w:rsid w:val="00A976E6"/>
    <w:rsid w:val="00AA00D8"/>
    <w:rsid w:val="00AA02DF"/>
    <w:rsid w:val="00AA20EC"/>
    <w:rsid w:val="00AA32DA"/>
    <w:rsid w:val="00AA3C62"/>
    <w:rsid w:val="00AA45A4"/>
    <w:rsid w:val="00AA4712"/>
    <w:rsid w:val="00AA4FAB"/>
    <w:rsid w:val="00AA65F4"/>
    <w:rsid w:val="00AA7A71"/>
    <w:rsid w:val="00AB01B3"/>
    <w:rsid w:val="00AB1B2B"/>
    <w:rsid w:val="00AB43EE"/>
    <w:rsid w:val="00AB4F07"/>
    <w:rsid w:val="00AB5121"/>
    <w:rsid w:val="00AB51EA"/>
    <w:rsid w:val="00AB6822"/>
    <w:rsid w:val="00AB6F0C"/>
    <w:rsid w:val="00AB73F3"/>
    <w:rsid w:val="00AC08B5"/>
    <w:rsid w:val="00AC1EC5"/>
    <w:rsid w:val="00AC2076"/>
    <w:rsid w:val="00AC4658"/>
    <w:rsid w:val="00AC4AC4"/>
    <w:rsid w:val="00AC4B01"/>
    <w:rsid w:val="00AC7F40"/>
    <w:rsid w:val="00AC7FDF"/>
    <w:rsid w:val="00AD0544"/>
    <w:rsid w:val="00AD061A"/>
    <w:rsid w:val="00AD1C15"/>
    <w:rsid w:val="00AD35F0"/>
    <w:rsid w:val="00AD5446"/>
    <w:rsid w:val="00AD5D92"/>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416"/>
    <w:rsid w:val="00AF05EC"/>
    <w:rsid w:val="00AF252E"/>
    <w:rsid w:val="00AF2AE0"/>
    <w:rsid w:val="00AF3625"/>
    <w:rsid w:val="00AF399D"/>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F80"/>
    <w:rsid w:val="00B124BD"/>
    <w:rsid w:val="00B13934"/>
    <w:rsid w:val="00B13A6B"/>
    <w:rsid w:val="00B14FA7"/>
    <w:rsid w:val="00B14FF9"/>
    <w:rsid w:val="00B15D9A"/>
    <w:rsid w:val="00B160F4"/>
    <w:rsid w:val="00B1673B"/>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905"/>
    <w:rsid w:val="00B34A10"/>
    <w:rsid w:val="00B34ECD"/>
    <w:rsid w:val="00B35DC5"/>
    <w:rsid w:val="00B36696"/>
    <w:rsid w:val="00B418D6"/>
    <w:rsid w:val="00B446F9"/>
    <w:rsid w:val="00B46ADF"/>
    <w:rsid w:val="00B474C0"/>
    <w:rsid w:val="00B500CB"/>
    <w:rsid w:val="00B50382"/>
    <w:rsid w:val="00B512A3"/>
    <w:rsid w:val="00B51F04"/>
    <w:rsid w:val="00B529F4"/>
    <w:rsid w:val="00B53331"/>
    <w:rsid w:val="00B54958"/>
    <w:rsid w:val="00B5529F"/>
    <w:rsid w:val="00B559B2"/>
    <w:rsid w:val="00B56321"/>
    <w:rsid w:val="00B565D4"/>
    <w:rsid w:val="00B56BAF"/>
    <w:rsid w:val="00B56D13"/>
    <w:rsid w:val="00B56D2F"/>
    <w:rsid w:val="00B56DA8"/>
    <w:rsid w:val="00B57BF8"/>
    <w:rsid w:val="00B60D74"/>
    <w:rsid w:val="00B60E51"/>
    <w:rsid w:val="00B61005"/>
    <w:rsid w:val="00B61677"/>
    <w:rsid w:val="00B63F7F"/>
    <w:rsid w:val="00B6537F"/>
    <w:rsid w:val="00B65433"/>
    <w:rsid w:val="00B65A2F"/>
    <w:rsid w:val="00B65D0C"/>
    <w:rsid w:val="00B65DEE"/>
    <w:rsid w:val="00B673D7"/>
    <w:rsid w:val="00B71571"/>
    <w:rsid w:val="00B715B1"/>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61E2"/>
    <w:rsid w:val="00B96D1A"/>
    <w:rsid w:val="00B972FF"/>
    <w:rsid w:val="00B97608"/>
    <w:rsid w:val="00BA0067"/>
    <w:rsid w:val="00BA0F9A"/>
    <w:rsid w:val="00BA2179"/>
    <w:rsid w:val="00BA3220"/>
    <w:rsid w:val="00BA65AC"/>
    <w:rsid w:val="00BB2985"/>
    <w:rsid w:val="00BB4314"/>
    <w:rsid w:val="00BC0A20"/>
    <w:rsid w:val="00BC1D21"/>
    <w:rsid w:val="00BC21A0"/>
    <w:rsid w:val="00BC4EF3"/>
    <w:rsid w:val="00BC6A3B"/>
    <w:rsid w:val="00BC76F8"/>
    <w:rsid w:val="00BC77C0"/>
    <w:rsid w:val="00BD0B25"/>
    <w:rsid w:val="00BD0D0E"/>
    <w:rsid w:val="00BD234D"/>
    <w:rsid w:val="00BD2561"/>
    <w:rsid w:val="00BD5DCD"/>
    <w:rsid w:val="00BD616D"/>
    <w:rsid w:val="00BD6C4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6ED6"/>
    <w:rsid w:val="00BF736D"/>
    <w:rsid w:val="00C01A0D"/>
    <w:rsid w:val="00C028D9"/>
    <w:rsid w:val="00C036E4"/>
    <w:rsid w:val="00C038B8"/>
    <w:rsid w:val="00C03B35"/>
    <w:rsid w:val="00C04802"/>
    <w:rsid w:val="00C06574"/>
    <w:rsid w:val="00C06F31"/>
    <w:rsid w:val="00C11EE9"/>
    <w:rsid w:val="00C12B8C"/>
    <w:rsid w:val="00C155D9"/>
    <w:rsid w:val="00C155E2"/>
    <w:rsid w:val="00C15958"/>
    <w:rsid w:val="00C2211D"/>
    <w:rsid w:val="00C22C9E"/>
    <w:rsid w:val="00C2344F"/>
    <w:rsid w:val="00C245F9"/>
    <w:rsid w:val="00C246F2"/>
    <w:rsid w:val="00C26707"/>
    <w:rsid w:val="00C27719"/>
    <w:rsid w:val="00C27877"/>
    <w:rsid w:val="00C31BCD"/>
    <w:rsid w:val="00C320EB"/>
    <w:rsid w:val="00C32799"/>
    <w:rsid w:val="00C32F7B"/>
    <w:rsid w:val="00C33845"/>
    <w:rsid w:val="00C34E6D"/>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4FEB"/>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1100"/>
    <w:rsid w:val="00C8111D"/>
    <w:rsid w:val="00C823C5"/>
    <w:rsid w:val="00C82413"/>
    <w:rsid w:val="00C82CD1"/>
    <w:rsid w:val="00C82D42"/>
    <w:rsid w:val="00C8322A"/>
    <w:rsid w:val="00C83583"/>
    <w:rsid w:val="00C83ECC"/>
    <w:rsid w:val="00C84B12"/>
    <w:rsid w:val="00C85239"/>
    <w:rsid w:val="00C869BC"/>
    <w:rsid w:val="00C8737E"/>
    <w:rsid w:val="00C90444"/>
    <w:rsid w:val="00C9243B"/>
    <w:rsid w:val="00C92779"/>
    <w:rsid w:val="00C95011"/>
    <w:rsid w:val="00C953C0"/>
    <w:rsid w:val="00C96E5A"/>
    <w:rsid w:val="00C97ACC"/>
    <w:rsid w:val="00CA056D"/>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BEE"/>
    <w:rsid w:val="00CE702E"/>
    <w:rsid w:val="00CE7723"/>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CB1"/>
    <w:rsid w:val="00D25E7D"/>
    <w:rsid w:val="00D261EA"/>
    <w:rsid w:val="00D26D6A"/>
    <w:rsid w:val="00D27732"/>
    <w:rsid w:val="00D27842"/>
    <w:rsid w:val="00D30628"/>
    <w:rsid w:val="00D30CEE"/>
    <w:rsid w:val="00D31D6C"/>
    <w:rsid w:val="00D32B3D"/>
    <w:rsid w:val="00D33C8D"/>
    <w:rsid w:val="00D34D49"/>
    <w:rsid w:val="00D3586A"/>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0E35"/>
    <w:rsid w:val="00D52347"/>
    <w:rsid w:val="00D53B35"/>
    <w:rsid w:val="00D5648F"/>
    <w:rsid w:val="00D56D45"/>
    <w:rsid w:val="00D56E3B"/>
    <w:rsid w:val="00D57CC2"/>
    <w:rsid w:val="00D616EC"/>
    <w:rsid w:val="00D625B8"/>
    <w:rsid w:val="00D648BA"/>
    <w:rsid w:val="00D66709"/>
    <w:rsid w:val="00D66A4D"/>
    <w:rsid w:val="00D724E1"/>
    <w:rsid w:val="00D762E6"/>
    <w:rsid w:val="00D76A95"/>
    <w:rsid w:val="00D801E1"/>
    <w:rsid w:val="00D80B56"/>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6676"/>
    <w:rsid w:val="00DC1CBE"/>
    <w:rsid w:val="00DC2ABE"/>
    <w:rsid w:val="00DC4F24"/>
    <w:rsid w:val="00DC59DE"/>
    <w:rsid w:val="00DC7217"/>
    <w:rsid w:val="00DC79BB"/>
    <w:rsid w:val="00DD11EB"/>
    <w:rsid w:val="00DD1B8B"/>
    <w:rsid w:val="00DD1F32"/>
    <w:rsid w:val="00DD23D6"/>
    <w:rsid w:val="00DD2D5F"/>
    <w:rsid w:val="00DD4855"/>
    <w:rsid w:val="00DD5378"/>
    <w:rsid w:val="00DD75C4"/>
    <w:rsid w:val="00DE10B9"/>
    <w:rsid w:val="00DE1FBA"/>
    <w:rsid w:val="00DE4550"/>
    <w:rsid w:val="00DE55DE"/>
    <w:rsid w:val="00DE5968"/>
    <w:rsid w:val="00DE5A73"/>
    <w:rsid w:val="00DE6A2A"/>
    <w:rsid w:val="00DF1227"/>
    <w:rsid w:val="00DF131F"/>
    <w:rsid w:val="00DF2C98"/>
    <w:rsid w:val="00DF73A5"/>
    <w:rsid w:val="00DF77FD"/>
    <w:rsid w:val="00DF7AB6"/>
    <w:rsid w:val="00E00DCA"/>
    <w:rsid w:val="00E01AF3"/>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F22"/>
    <w:rsid w:val="00E151BD"/>
    <w:rsid w:val="00E166F8"/>
    <w:rsid w:val="00E170FA"/>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5FF6"/>
    <w:rsid w:val="00E77A6F"/>
    <w:rsid w:val="00E8390A"/>
    <w:rsid w:val="00E83A3B"/>
    <w:rsid w:val="00E8425C"/>
    <w:rsid w:val="00E901D7"/>
    <w:rsid w:val="00E914E7"/>
    <w:rsid w:val="00E9172D"/>
    <w:rsid w:val="00E91BD8"/>
    <w:rsid w:val="00E922BE"/>
    <w:rsid w:val="00E9258D"/>
    <w:rsid w:val="00E9268E"/>
    <w:rsid w:val="00E92B00"/>
    <w:rsid w:val="00E9368B"/>
    <w:rsid w:val="00E9444C"/>
    <w:rsid w:val="00E94D9A"/>
    <w:rsid w:val="00E951CA"/>
    <w:rsid w:val="00E9538A"/>
    <w:rsid w:val="00E953FA"/>
    <w:rsid w:val="00E97913"/>
    <w:rsid w:val="00E97D0F"/>
    <w:rsid w:val="00E97E28"/>
    <w:rsid w:val="00EA484D"/>
    <w:rsid w:val="00EA4A96"/>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00"/>
    <w:rsid w:val="00EC5D78"/>
    <w:rsid w:val="00EC6563"/>
    <w:rsid w:val="00EC7294"/>
    <w:rsid w:val="00EC7555"/>
    <w:rsid w:val="00EC7728"/>
    <w:rsid w:val="00ED0109"/>
    <w:rsid w:val="00ED0680"/>
    <w:rsid w:val="00ED0C54"/>
    <w:rsid w:val="00ED10A6"/>
    <w:rsid w:val="00ED27B9"/>
    <w:rsid w:val="00ED2905"/>
    <w:rsid w:val="00ED328C"/>
    <w:rsid w:val="00ED3D65"/>
    <w:rsid w:val="00ED4017"/>
    <w:rsid w:val="00ED7083"/>
    <w:rsid w:val="00ED7E7A"/>
    <w:rsid w:val="00ED7E9F"/>
    <w:rsid w:val="00EE0D8C"/>
    <w:rsid w:val="00EE149D"/>
    <w:rsid w:val="00EE172B"/>
    <w:rsid w:val="00EE20C5"/>
    <w:rsid w:val="00EE3EDC"/>
    <w:rsid w:val="00EE3F56"/>
    <w:rsid w:val="00EE4BB2"/>
    <w:rsid w:val="00EE560A"/>
    <w:rsid w:val="00EE6084"/>
    <w:rsid w:val="00EE6B47"/>
    <w:rsid w:val="00EE733B"/>
    <w:rsid w:val="00EE7B6D"/>
    <w:rsid w:val="00EF13A5"/>
    <w:rsid w:val="00EF1724"/>
    <w:rsid w:val="00EF1AA9"/>
    <w:rsid w:val="00EF1B4E"/>
    <w:rsid w:val="00EF1CC2"/>
    <w:rsid w:val="00EF3963"/>
    <w:rsid w:val="00EF5079"/>
    <w:rsid w:val="00EF6C71"/>
    <w:rsid w:val="00EF6E78"/>
    <w:rsid w:val="00EF7A77"/>
    <w:rsid w:val="00EF7DE3"/>
    <w:rsid w:val="00F006C9"/>
    <w:rsid w:val="00F01483"/>
    <w:rsid w:val="00F02537"/>
    <w:rsid w:val="00F02F54"/>
    <w:rsid w:val="00F03638"/>
    <w:rsid w:val="00F039ED"/>
    <w:rsid w:val="00F03B0D"/>
    <w:rsid w:val="00F03F16"/>
    <w:rsid w:val="00F0620D"/>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CF2"/>
    <w:rsid w:val="00F251EF"/>
    <w:rsid w:val="00F25235"/>
    <w:rsid w:val="00F254F6"/>
    <w:rsid w:val="00F271C1"/>
    <w:rsid w:val="00F27B81"/>
    <w:rsid w:val="00F3022D"/>
    <w:rsid w:val="00F30708"/>
    <w:rsid w:val="00F31B3B"/>
    <w:rsid w:val="00F31E35"/>
    <w:rsid w:val="00F3228A"/>
    <w:rsid w:val="00F332B0"/>
    <w:rsid w:val="00F3395E"/>
    <w:rsid w:val="00F33A72"/>
    <w:rsid w:val="00F3415D"/>
    <w:rsid w:val="00F363F1"/>
    <w:rsid w:val="00F37256"/>
    <w:rsid w:val="00F43DFC"/>
    <w:rsid w:val="00F44E4F"/>
    <w:rsid w:val="00F4599A"/>
    <w:rsid w:val="00F45CA2"/>
    <w:rsid w:val="00F45E5A"/>
    <w:rsid w:val="00F4695D"/>
    <w:rsid w:val="00F50172"/>
    <w:rsid w:val="00F54740"/>
    <w:rsid w:val="00F565D0"/>
    <w:rsid w:val="00F57A3E"/>
    <w:rsid w:val="00F62899"/>
    <w:rsid w:val="00F637A9"/>
    <w:rsid w:val="00F63A4A"/>
    <w:rsid w:val="00F63E31"/>
    <w:rsid w:val="00F645AE"/>
    <w:rsid w:val="00F64D7C"/>
    <w:rsid w:val="00F654A6"/>
    <w:rsid w:val="00F6624D"/>
    <w:rsid w:val="00F67065"/>
    <w:rsid w:val="00F67D00"/>
    <w:rsid w:val="00F67D2C"/>
    <w:rsid w:val="00F70011"/>
    <w:rsid w:val="00F720FA"/>
    <w:rsid w:val="00F733B2"/>
    <w:rsid w:val="00F744F3"/>
    <w:rsid w:val="00F75DF6"/>
    <w:rsid w:val="00F772EA"/>
    <w:rsid w:val="00F77698"/>
    <w:rsid w:val="00F805A6"/>
    <w:rsid w:val="00F83BC2"/>
    <w:rsid w:val="00F83CBF"/>
    <w:rsid w:val="00F84ED2"/>
    <w:rsid w:val="00F85491"/>
    <w:rsid w:val="00F87223"/>
    <w:rsid w:val="00F87AC1"/>
    <w:rsid w:val="00F90290"/>
    <w:rsid w:val="00F915B8"/>
    <w:rsid w:val="00F91B3B"/>
    <w:rsid w:val="00F94EC0"/>
    <w:rsid w:val="00F95610"/>
    <w:rsid w:val="00F96012"/>
    <w:rsid w:val="00F976C6"/>
    <w:rsid w:val="00FA002E"/>
    <w:rsid w:val="00FA0C52"/>
    <w:rsid w:val="00FA1CFB"/>
    <w:rsid w:val="00FA215D"/>
    <w:rsid w:val="00FA2451"/>
    <w:rsid w:val="00FA2726"/>
    <w:rsid w:val="00FA3FB9"/>
    <w:rsid w:val="00FA457D"/>
    <w:rsid w:val="00FA4BFF"/>
    <w:rsid w:val="00FA6E33"/>
    <w:rsid w:val="00FA72B1"/>
    <w:rsid w:val="00FB4DF7"/>
    <w:rsid w:val="00FC3FD5"/>
    <w:rsid w:val="00FC479C"/>
    <w:rsid w:val="00FC5714"/>
    <w:rsid w:val="00FC6E57"/>
    <w:rsid w:val="00FC7151"/>
    <w:rsid w:val="00FD0560"/>
    <w:rsid w:val="00FD0A26"/>
    <w:rsid w:val="00FD0C02"/>
    <w:rsid w:val="00FD1FCF"/>
    <w:rsid w:val="00FD282F"/>
    <w:rsid w:val="00FD2992"/>
    <w:rsid w:val="00FD29BB"/>
    <w:rsid w:val="00FD4CB3"/>
    <w:rsid w:val="00FD6EAA"/>
    <w:rsid w:val="00FD79D2"/>
    <w:rsid w:val="00FE0ABB"/>
    <w:rsid w:val="00FE141F"/>
    <w:rsid w:val="00FE20F0"/>
    <w:rsid w:val="00FE7911"/>
    <w:rsid w:val="00FE7C1C"/>
    <w:rsid w:val="00FF1735"/>
    <w:rsid w:val="00FF1A2D"/>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78EB"/>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Heading2Char">
    <w:name w:val="Heading 2 Char"/>
    <w:basedOn w:val="DefaultParagraphFont"/>
    <w:link w:val="Heading2"/>
    <w:uiPriority w:val="9"/>
    <w:rsid w:val="000278EB"/>
    <w:rPr>
      <w:rFonts w:ascii="Times New Roman" w:eastAsia="Times New Roman" w:hAnsi="Times New Roman" w:cs="Times New Roman"/>
      <w:b/>
      <w:bCs/>
      <w:color w:val="auto"/>
      <w:sz w:val="36"/>
      <w:szCs w:val="36"/>
      <w:lang w:eastAsia="en-GB"/>
    </w:rPr>
  </w:style>
  <w:style w:type="character" w:customStyle="1" w:styleId="apple-converted-space">
    <w:name w:val="apple-converted-space"/>
    <w:basedOn w:val="DefaultParagraphFont"/>
    <w:rsid w:val="000278EB"/>
  </w:style>
  <w:style w:type="character" w:styleId="Hyperlink">
    <w:name w:val="Hyperlink"/>
    <w:basedOn w:val="DefaultParagraphFont"/>
    <w:uiPriority w:val="99"/>
    <w:semiHidden/>
    <w:unhideWhenUsed/>
    <w:rsid w:val="000278EB"/>
    <w:rPr>
      <w:color w:val="0000FF"/>
      <w:u w:val="single"/>
    </w:rPr>
  </w:style>
  <w:style w:type="paragraph" w:customStyle="1" w:styleId="lrpara">
    <w:name w:val="lrpara"/>
    <w:basedOn w:val="Normal"/>
    <w:rsid w:val="000278EB"/>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result-title">
    <w:name w:val="result-title"/>
    <w:basedOn w:val="DefaultParagraphFont"/>
    <w:rsid w:val="000278EB"/>
  </w:style>
  <w:style w:type="paragraph" w:customStyle="1" w:styleId="lrquoteindt2hang">
    <w:name w:val="lrquoteindt2hang"/>
    <w:basedOn w:val="Normal"/>
    <w:rsid w:val="000278EB"/>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ntelwa@np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37B1-F96A-469E-B3CD-32064B49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dcterms:created xsi:type="dcterms:W3CDTF">2023-11-29T15:03:00Z</dcterms:created>
  <dcterms:modified xsi:type="dcterms:W3CDTF">2023-12-04T16:58:00Z</dcterms:modified>
</cp:coreProperties>
</file>