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00D2" w14:textId="77777777" w:rsidR="00D66FCB" w:rsidRPr="00A32B6F" w:rsidRDefault="00D66FCB" w:rsidP="00D66FCB">
      <w:pPr>
        <w:pStyle w:val="Header"/>
        <w:widowControl w:val="0"/>
        <w:spacing w:line="360" w:lineRule="auto"/>
        <w:jc w:val="center"/>
        <w:rPr>
          <w:rFonts w:cs="Arial"/>
        </w:rPr>
      </w:pPr>
      <w:r w:rsidRPr="00A32B6F">
        <w:rPr>
          <w:rFonts w:cs="Arial"/>
          <w:noProof/>
          <w:lang w:eastAsia="en-ZA"/>
        </w:rPr>
        <w:drawing>
          <wp:inline distT="0" distB="0" distL="0" distR="0" wp14:anchorId="703A430F" wp14:editId="062B78C2">
            <wp:extent cx="987425" cy="9874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8532D" w14:textId="77777777" w:rsidR="00D66FCB" w:rsidRPr="00A32B6F" w:rsidRDefault="00D66FCB" w:rsidP="00D66FCB">
      <w:pPr>
        <w:pStyle w:val="Header"/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2B6F">
        <w:rPr>
          <w:rFonts w:ascii="Arial" w:hAnsi="Arial" w:cs="Arial"/>
          <w:b/>
          <w:sz w:val="24"/>
          <w:szCs w:val="24"/>
        </w:rPr>
        <w:t>IN THE HIGH COURT OF SOUTH AFRICA</w:t>
      </w:r>
    </w:p>
    <w:p w14:paraId="09EBCBDA" w14:textId="77A77EA0" w:rsidR="00D66FCB" w:rsidRDefault="00D66FCB" w:rsidP="00D66FCB">
      <w:pPr>
        <w:widowControl w:val="0"/>
        <w:tabs>
          <w:tab w:val="right" w:pos="921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A32B6F">
        <w:rPr>
          <w:rFonts w:ascii="Arial" w:hAnsi="Arial" w:cs="Arial"/>
          <w:b/>
          <w:sz w:val="24"/>
          <w:szCs w:val="24"/>
        </w:rPr>
        <w:t>EASTERN CAPE DIVISION, M</w:t>
      </w:r>
      <w:r>
        <w:rPr>
          <w:rFonts w:ascii="Arial" w:hAnsi="Arial" w:cs="Arial"/>
          <w:b/>
          <w:sz w:val="24"/>
          <w:szCs w:val="24"/>
        </w:rPr>
        <w:t>AKHANDA)</w:t>
      </w:r>
    </w:p>
    <w:p w14:paraId="020A69E6" w14:textId="77777777" w:rsidR="00D66FCB" w:rsidRDefault="00D66FCB" w:rsidP="00D66FCB">
      <w:pPr>
        <w:widowControl w:val="0"/>
        <w:tabs>
          <w:tab w:val="right" w:pos="921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F83041" w14:textId="710B7482" w:rsidR="00D66FCB" w:rsidRDefault="00D66FCB" w:rsidP="00D66FCB">
      <w:pPr>
        <w:widowControl w:val="0"/>
        <w:tabs>
          <w:tab w:val="right" w:pos="9213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Not Reportable</w:t>
      </w:r>
    </w:p>
    <w:p w14:paraId="0D600116" w14:textId="6CACC8DA" w:rsidR="00D66FCB" w:rsidRPr="00A32B6F" w:rsidRDefault="00D66FCB" w:rsidP="00D66FCB">
      <w:pPr>
        <w:widowControl w:val="0"/>
        <w:tabs>
          <w:tab w:val="right" w:pos="9213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32B6F">
        <w:rPr>
          <w:rFonts w:ascii="Arial" w:hAnsi="Arial" w:cs="Arial"/>
          <w:sz w:val="24"/>
          <w:szCs w:val="24"/>
        </w:rPr>
        <w:tab/>
        <w:t xml:space="preserve">CASE NO. </w:t>
      </w:r>
      <w:r>
        <w:rPr>
          <w:rFonts w:ascii="Arial" w:hAnsi="Arial" w:cs="Arial"/>
          <w:sz w:val="24"/>
          <w:szCs w:val="24"/>
        </w:rPr>
        <w:t>566/2017</w:t>
      </w:r>
    </w:p>
    <w:p w14:paraId="371669CE" w14:textId="77777777" w:rsidR="00D66FCB" w:rsidRPr="00A32B6F" w:rsidRDefault="00D66FCB" w:rsidP="00D66FC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</w:p>
    <w:p w14:paraId="71E5E23E" w14:textId="77777777" w:rsidR="00D66FCB" w:rsidRPr="00A32B6F" w:rsidRDefault="00D66FCB" w:rsidP="00D66FC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sz w:val="24"/>
          <w:szCs w:val="24"/>
        </w:rPr>
      </w:pPr>
      <w:r w:rsidRPr="00A32B6F">
        <w:rPr>
          <w:rFonts w:ascii="Arial" w:hAnsi="Arial" w:cs="Arial"/>
          <w:sz w:val="24"/>
          <w:szCs w:val="24"/>
        </w:rPr>
        <w:t>In the matter between:</w:t>
      </w:r>
    </w:p>
    <w:p w14:paraId="1B255FA2" w14:textId="7E4BA126" w:rsidR="00D66FCB" w:rsidRPr="00A32B6F" w:rsidRDefault="00D66FCB" w:rsidP="00D66FCB">
      <w:pPr>
        <w:widowControl w:val="0"/>
        <w:tabs>
          <w:tab w:val="right" w:pos="9356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AYANDA NB MANTANGA</w:t>
      </w:r>
      <w:r w:rsidRPr="00A32B6F">
        <w:rPr>
          <w:rFonts w:ascii="Arial" w:hAnsi="Arial" w:cs="Arial"/>
          <w:b/>
          <w:sz w:val="24"/>
          <w:szCs w:val="24"/>
        </w:rPr>
        <w:t xml:space="preserve"> </w:t>
      </w:r>
      <w:r w:rsidRPr="00A32B6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Plaintiff</w:t>
      </w:r>
    </w:p>
    <w:p w14:paraId="03D28E1E" w14:textId="77777777" w:rsidR="00D66FCB" w:rsidRPr="00A32B6F" w:rsidRDefault="00D66FCB" w:rsidP="00D66FCB">
      <w:pPr>
        <w:widowControl w:val="0"/>
        <w:tabs>
          <w:tab w:val="right" w:pos="9213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FA2B438" w14:textId="77777777" w:rsidR="00D66FCB" w:rsidRPr="000D4B66" w:rsidRDefault="00D66FCB" w:rsidP="00D66FCB">
      <w:pPr>
        <w:widowControl w:val="0"/>
        <w:tabs>
          <w:tab w:val="right" w:pos="9213"/>
        </w:tabs>
        <w:spacing w:line="600" w:lineRule="auto"/>
        <w:rPr>
          <w:rFonts w:ascii="Arial" w:hAnsi="Arial" w:cs="Arial"/>
          <w:sz w:val="24"/>
          <w:szCs w:val="24"/>
        </w:rPr>
      </w:pPr>
      <w:r w:rsidRPr="000D4B66">
        <w:rPr>
          <w:rFonts w:ascii="Arial" w:hAnsi="Arial" w:cs="Arial"/>
          <w:sz w:val="24"/>
          <w:szCs w:val="24"/>
        </w:rPr>
        <w:t>and</w:t>
      </w:r>
    </w:p>
    <w:p w14:paraId="5FE89F55" w14:textId="2045E995" w:rsidR="00D66FCB" w:rsidRPr="00A32B6F" w:rsidRDefault="00D66FCB" w:rsidP="00D66FCB">
      <w:pPr>
        <w:widowControl w:val="0"/>
        <w:tabs>
          <w:tab w:val="right" w:pos="9356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ACCIDENT FUND</w:t>
      </w:r>
      <w:r w:rsidRPr="00A32B6F">
        <w:rPr>
          <w:rFonts w:ascii="Arial" w:hAnsi="Arial" w:cs="Arial"/>
          <w:b/>
          <w:sz w:val="24"/>
          <w:szCs w:val="24"/>
        </w:rPr>
        <w:t xml:space="preserve"> </w:t>
      </w:r>
      <w:r w:rsidRPr="00A32B6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Defendant</w:t>
      </w:r>
    </w:p>
    <w:p w14:paraId="7A357BA8" w14:textId="77777777" w:rsidR="00D66FCB" w:rsidRPr="00A32B6F" w:rsidRDefault="00D66FCB" w:rsidP="00D66FCB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A32B6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  <w:lang w:val="en-GB"/>
        </w:rPr>
        <w:t>___</w:t>
      </w:r>
    </w:p>
    <w:p w14:paraId="70D5DEEE" w14:textId="77777777" w:rsidR="00D66FCB" w:rsidRDefault="00D66FCB" w:rsidP="00D66FC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7D636E3" w14:textId="77777777" w:rsidR="00D66FCB" w:rsidRPr="00A32B6F" w:rsidRDefault="00D66FCB" w:rsidP="00D66FC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A32B6F">
        <w:rPr>
          <w:rFonts w:ascii="Arial" w:hAnsi="Arial" w:cs="Arial"/>
          <w:b/>
          <w:sz w:val="24"/>
          <w:szCs w:val="24"/>
          <w:lang w:val="en-GB"/>
        </w:rPr>
        <w:t>JUDGMENT</w:t>
      </w:r>
    </w:p>
    <w:p w14:paraId="500487FE" w14:textId="77777777" w:rsidR="00D66FCB" w:rsidRPr="00A32B6F" w:rsidRDefault="00D66FCB" w:rsidP="00D66FCB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A32B6F">
        <w:rPr>
          <w:rFonts w:ascii="Arial" w:hAnsi="Arial" w:cs="Arial"/>
          <w:sz w:val="24"/>
          <w:szCs w:val="24"/>
          <w:lang w:val="en-GB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  <w:lang w:val="en-GB"/>
        </w:rPr>
        <w:t>___</w:t>
      </w:r>
    </w:p>
    <w:p w14:paraId="58E1F9D5" w14:textId="77777777" w:rsidR="00D66FCB" w:rsidRDefault="00D66FCB" w:rsidP="00D66F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1B63">
        <w:rPr>
          <w:rFonts w:ascii="Arial" w:hAnsi="Arial" w:cs="Arial"/>
          <w:b/>
          <w:bCs/>
          <w:sz w:val="24"/>
          <w:szCs w:val="24"/>
        </w:rPr>
        <w:t>LAING J</w:t>
      </w:r>
    </w:p>
    <w:p w14:paraId="3026CDCE" w14:textId="77777777" w:rsidR="00253F58" w:rsidRDefault="00253F58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15E0A264" w14:textId="076E8C81" w:rsidR="00253F58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[1]</w:t>
      </w:r>
      <w:r w:rsidRPr="00D66FCB">
        <w:rPr>
          <w:rFonts w:ascii="Arial" w:hAnsi="Arial" w:cs="Arial"/>
          <w:sz w:val="24"/>
          <w:szCs w:val="24"/>
        </w:rPr>
        <w:tab/>
      </w:r>
      <w:r w:rsidR="00253F58" w:rsidRPr="00260915">
        <w:rPr>
          <w:rFonts w:ascii="Arial" w:hAnsi="Arial" w:cs="Arial"/>
          <w:sz w:val="24"/>
          <w:szCs w:val="24"/>
        </w:rPr>
        <w:t>This is an application for default judgment in relation to the plaintiff’s claim for damages arising from a motor vehicle accident that occurred on 31 August 2008 in the vicinity of Komani (Queenstown).</w:t>
      </w:r>
    </w:p>
    <w:p w14:paraId="67562D9D" w14:textId="77777777" w:rsidR="00253F58" w:rsidRDefault="00253F58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37785F25" w14:textId="5F1659E0" w:rsidR="00253F58" w:rsidRPr="00253F58" w:rsidRDefault="00253F58" w:rsidP="00D66F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53F58">
        <w:rPr>
          <w:rFonts w:ascii="Arial" w:hAnsi="Arial" w:cs="Arial"/>
          <w:b/>
          <w:bCs/>
          <w:sz w:val="24"/>
          <w:szCs w:val="24"/>
        </w:rPr>
        <w:t>Background</w:t>
      </w:r>
    </w:p>
    <w:p w14:paraId="480DDD2B" w14:textId="3C720FEA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[2]</w:t>
      </w:r>
      <w:r>
        <w:rPr>
          <w:rFonts w:ascii="Arial" w:hAnsi="Arial" w:cs="Arial"/>
          <w:sz w:val="24"/>
          <w:szCs w:val="24"/>
        </w:rPr>
        <w:tab/>
      </w:r>
      <w:r w:rsidR="00253F58" w:rsidRPr="00260915">
        <w:rPr>
          <w:rFonts w:ascii="Arial" w:hAnsi="Arial" w:cs="Arial"/>
          <w:sz w:val="24"/>
          <w:szCs w:val="24"/>
        </w:rPr>
        <w:t xml:space="preserve">In her particulars of claim, the plaintiff alleges that she </w:t>
      </w:r>
      <w:r w:rsidR="00DF2F9E" w:rsidRPr="00260915">
        <w:rPr>
          <w:rFonts w:ascii="Arial" w:hAnsi="Arial" w:cs="Arial"/>
          <w:sz w:val="24"/>
          <w:szCs w:val="24"/>
        </w:rPr>
        <w:t>had been</w:t>
      </w:r>
      <w:r w:rsidR="00253F58" w:rsidRPr="00260915">
        <w:rPr>
          <w:rFonts w:ascii="Arial" w:hAnsi="Arial" w:cs="Arial"/>
          <w:sz w:val="24"/>
          <w:szCs w:val="24"/>
        </w:rPr>
        <w:t xml:space="preserve"> a passenger in a Toyota Hi-Ace </w:t>
      </w:r>
      <w:r w:rsidR="000F55DB" w:rsidRPr="00260915">
        <w:rPr>
          <w:rFonts w:ascii="Arial" w:hAnsi="Arial" w:cs="Arial"/>
          <w:sz w:val="24"/>
          <w:szCs w:val="24"/>
        </w:rPr>
        <w:t>motor vehicle</w:t>
      </w:r>
      <w:r w:rsidR="00253F58" w:rsidRPr="00260915">
        <w:rPr>
          <w:rFonts w:ascii="Arial" w:hAnsi="Arial" w:cs="Arial"/>
          <w:sz w:val="24"/>
          <w:szCs w:val="24"/>
        </w:rPr>
        <w:t xml:space="preserve">. She pleads that the driver </w:t>
      </w:r>
      <w:r w:rsidR="00C33968" w:rsidRPr="00260915">
        <w:rPr>
          <w:rFonts w:ascii="Arial" w:hAnsi="Arial" w:cs="Arial"/>
          <w:sz w:val="24"/>
          <w:szCs w:val="24"/>
        </w:rPr>
        <w:t>had been</w:t>
      </w:r>
      <w:r w:rsidR="00253F58" w:rsidRPr="00260915">
        <w:rPr>
          <w:rFonts w:ascii="Arial" w:hAnsi="Arial" w:cs="Arial"/>
          <w:sz w:val="24"/>
          <w:szCs w:val="24"/>
        </w:rPr>
        <w:t xml:space="preserve"> negligent because he, </w:t>
      </w:r>
      <w:r w:rsidR="00253F58" w:rsidRPr="00260915">
        <w:rPr>
          <w:rFonts w:ascii="Arial" w:hAnsi="Arial" w:cs="Arial"/>
          <w:i/>
          <w:iCs/>
          <w:sz w:val="24"/>
          <w:szCs w:val="24"/>
        </w:rPr>
        <w:t>inter alia</w:t>
      </w:r>
      <w:r w:rsidR="00253F58" w:rsidRPr="00260915">
        <w:rPr>
          <w:rFonts w:ascii="Arial" w:hAnsi="Arial" w:cs="Arial"/>
          <w:sz w:val="24"/>
          <w:szCs w:val="24"/>
        </w:rPr>
        <w:t>, failed to keep the motor vehicle under proper control and failed to avoid the accident when he could have done so by exercising reasonable care and skill.</w:t>
      </w:r>
      <w:r w:rsidR="00B45D21" w:rsidRPr="00260915">
        <w:rPr>
          <w:rFonts w:ascii="Arial" w:hAnsi="Arial" w:cs="Arial"/>
          <w:sz w:val="24"/>
          <w:szCs w:val="24"/>
        </w:rPr>
        <w:t xml:space="preserve"> The plaintiff </w:t>
      </w:r>
      <w:r w:rsidR="00210031" w:rsidRPr="00260915">
        <w:rPr>
          <w:rFonts w:ascii="Arial" w:hAnsi="Arial" w:cs="Arial"/>
          <w:sz w:val="24"/>
          <w:szCs w:val="24"/>
        </w:rPr>
        <w:t>was</w:t>
      </w:r>
      <w:r w:rsidR="00EF15E0" w:rsidRPr="00260915">
        <w:rPr>
          <w:rFonts w:ascii="Arial" w:hAnsi="Arial" w:cs="Arial"/>
          <w:sz w:val="24"/>
          <w:szCs w:val="24"/>
        </w:rPr>
        <w:t xml:space="preserve"> </w:t>
      </w:r>
      <w:r w:rsidR="00B45D21" w:rsidRPr="00260915">
        <w:rPr>
          <w:rFonts w:ascii="Arial" w:hAnsi="Arial" w:cs="Arial"/>
          <w:sz w:val="24"/>
          <w:szCs w:val="24"/>
        </w:rPr>
        <w:t>severely injured and claim</w:t>
      </w:r>
      <w:r w:rsidR="00210031" w:rsidRPr="00260915">
        <w:rPr>
          <w:rFonts w:ascii="Arial" w:hAnsi="Arial" w:cs="Arial"/>
          <w:sz w:val="24"/>
          <w:szCs w:val="24"/>
        </w:rPr>
        <w:t>s</w:t>
      </w:r>
      <w:r w:rsidR="00B45D21" w:rsidRPr="00260915">
        <w:rPr>
          <w:rFonts w:ascii="Arial" w:hAnsi="Arial" w:cs="Arial"/>
          <w:sz w:val="24"/>
          <w:szCs w:val="24"/>
        </w:rPr>
        <w:t xml:space="preserve"> R 3,000,000 for damages suffered. </w:t>
      </w:r>
    </w:p>
    <w:p w14:paraId="00FABCC9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0809D2" w14:textId="499CAB09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B45D21" w:rsidRPr="00260915">
        <w:rPr>
          <w:rFonts w:ascii="Arial" w:hAnsi="Arial" w:cs="Arial"/>
          <w:sz w:val="24"/>
          <w:szCs w:val="24"/>
        </w:rPr>
        <w:t>At the hearing of the application, the plaintiff testified that she had attended a church service in Komani (Queenstown) on the date in question. She later caught a taxi to Lady Frere. The ro</w:t>
      </w:r>
      <w:r w:rsidR="000F55DB" w:rsidRPr="00260915">
        <w:rPr>
          <w:rFonts w:ascii="Arial" w:hAnsi="Arial" w:cs="Arial"/>
          <w:sz w:val="24"/>
          <w:szCs w:val="24"/>
        </w:rPr>
        <w:t xml:space="preserve">ute </w:t>
      </w:r>
      <w:r w:rsidR="00247B5D" w:rsidRPr="00260915">
        <w:rPr>
          <w:rFonts w:ascii="Arial" w:hAnsi="Arial" w:cs="Arial"/>
          <w:sz w:val="24"/>
          <w:szCs w:val="24"/>
        </w:rPr>
        <w:t xml:space="preserve">had </w:t>
      </w:r>
      <w:r w:rsidR="00B45D21" w:rsidRPr="00260915">
        <w:rPr>
          <w:rFonts w:ascii="Arial" w:hAnsi="Arial" w:cs="Arial"/>
          <w:sz w:val="24"/>
          <w:szCs w:val="24"/>
        </w:rPr>
        <w:t xml:space="preserve">led through a mountainous area, with many </w:t>
      </w:r>
      <w:r w:rsidR="000F55DB" w:rsidRPr="00260915">
        <w:rPr>
          <w:rFonts w:ascii="Arial" w:hAnsi="Arial" w:cs="Arial"/>
          <w:sz w:val="24"/>
          <w:szCs w:val="24"/>
        </w:rPr>
        <w:t xml:space="preserve">curves, and it had been raining at the time. The plaintiff had been asleep when the accident occurred and had woken up to find herself </w:t>
      </w:r>
      <w:r w:rsidR="00C744FD" w:rsidRPr="00260915">
        <w:rPr>
          <w:rFonts w:ascii="Arial" w:hAnsi="Arial" w:cs="Arial"/>
          <w:sz w:val="24"/>
          <w:szCs w:val="24"/>
        </w:rPr>
        <w:t xml:space="preserve">lying </w:t>
      </w:r>
      <w:r w:rsidR="000F55DB" w:rsidRPr="00260915">
        <w:rPr>
          <w:rFonts w:ascii="Arial" w:hAnsi="Arial" w:cs="Arial"/>
          <w:sz w:val="24"/>
          <w:szCs w:val="24"/>
        </w:rPr>
        <w:t xml:space="preserve">on the ground, outside the taxi. She </w:t>
      </w:r>
      <w:r w:rsidR="00A63803" w:rsidRPr="00260915">
        <w:rPr>
          <w:rFonts w:ascii="Arial" w:hAnsi="Arial" w:cs="Arial"/>
          <w:sz w:val="24"/>
          <w:szCs w:val="24"/>
        </w:rPr>
        <w:t xml:space="preserve">had been </w:t>
      </w:r>
      <w:r w:rsidR="000F55DB" w:rsidRPr="00260915">
        <w:rPr>
          <w:rFonts w:ascii="Arial" w:hAnsi="Arial" w:cs="Arial"/>
          <w:sz w:val="24"/>
          <w:szCs w:val="24"/>
        </w:rPr>
        <w:t>taken to hospital and informed by a doctor that she had been involved in an accident.</w:t>
      </w:r>
    </w:p>
    <w:p w14:paraId="356D8BE4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7AD573E2" w14:textId="5BABB651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32576C" w:rsidRPr="00260915">
        <w:rPr>
          <w:rFonts w:ascii="Arial" w:hAnsi="Arial" w:cs="Arial"/>
          <w:sz w:val="24"/>
          <w:szCs w:val="24"/>
        </w:rPr>
        <w:t xml:space="preserve">To questions put to her by the court, the plaintiff </w:t>
      </w:r>
      <w:r w:rsidR="00B433DD" w:rsidRPr="00260915">
        <w:rPr>
          <w:rFonts w:ascii="Arial" w:hAnsi="Arial" w:cs="Arial"/>
          <w:sz w:val="24"/>
          <w:szCs w:val="24"/>
        </w:rPr>
        <w:t xml:space="preserve">said that the driver had told her that </w:t>
      </w:r>
      <w:r w:rsidR="0062360F" w:rsidRPr="00260915">
        <w:rPr>
          <w:rFonts w:ascii="Arial" w:hAnsi="Arial" w:cs="Arial"/>
          <w:sz w:val="24"/>
          <w:szCs w:val="24"/>
        </w:rPr>
        <w:t>the taxi had collided with another motor vehicle. She never saw the other</w:t>
      </w:r>
      <w:r w:rsidR="0036588B" w:rsidRPr="00260915">
        <w:rPr>
          <w:rFonts w:ascii="Arial" w:hAnsi="Arial" w:cs="Arial"/>
          <w:sz w:val="24"/>
          <w:szCs w:val="24"/>
        </w:rPr>
        <w:t xml:space="preserve"> vehicle, however, and could not say what damage had been caused to the taxi</w:t>
      </w:r>
      <w:r w:rsidR="00C45D4A" w:rsidRPr="00260915">
        <w:rPr>
          <w:rFonts w:ascii="Arial" w:hAnsi="Arial" w:cs="Arial"/>
          <w:sz w:val="24"/>
          <w:szCs w:val="24"/>
        </w:rPr>
        <w:t>. She could not say how the accident occurred, where the taxi had come to a rest</w:t>
      </w:r>
      <w:r w:rsidR="00A03AF6" w:rsidRPr="00260915">
        <w:rPr>
          <w:rFonts w:ascii="Arial" w:hAnsi="Arial" w:cs="Arial"/>
          <w:sz w:val="24"/>
          <w:szCs w:val="24"/>
        </w:rPr>
        <w:t xml:space="preserve">, </w:t>
      </w:r>
      <w:r w:rsidR="00C80B69" w:rsidRPr="00260915">
        <w:rPr>
          <w:rFonts w:ascii="Arial" w:hAnsi="Arial" w:cs="Arial"/>
          <w:sz w:val="24"/>
          <w:szCs w:val="24"/>
        </w:rPr>
        <w:t xml:space="preserve">and </w:t>
      </w:r>
      <w:r w:rsidR="00A03AF6" w:rsidRPr="00260915">
        <w:rPr>
          <w:rFonts w:ascii="Arial" w:hAnsi="Arial" w:cs="Arial"/>
          <w:sz w:val="24"/>
          <w:szCs w:val="24"/>
        </w:rPr>
        <w:t xml:space="preserve">whether it </w:t>
      </w:r>
      <w:r w:rsidR="00C80B69" w:rsidRPr="00260915">
        <w:rPr>
          <w:rFonts w:ascii="Arial" w:hAnsi="Arial" w:cs="Arial"/>
          <w:sz w:val="24"/>
          <w:szCs w:val="24"/>
        </w:rPr>
        <w:t>had remained</w:t>
      </w:r>
      <w:r w:rsidR="00A03AF6" w:rsidRPr="00260915">
        <w:rPr>
          <w:rFonts w:ascii="Arial" w:hAnsi="Arial" w:cs="Arial"/>
          <w:sz w:val="24"/>
          <w:szCs w:val="24"/>
        </w:rPr>
        <w:t xml:space="preserve"> in an upright position</w:t>
      </w:r>
      <w:r w:rsidR="00C80B69" w:rsidRPr="00260915">
        <w:rPr>
          <w:rFonts w:ascii="Arial" w:hAnsi="Arial" w:cs="Arial"/>
          <w:sz w:val="24"/>
          <w:szCs w:val="24"/>
        </w:rPr>
        <w:t>.</w:t>
      </w:r>
      <w:r w:rsidR="00E31FC0" w:rsidRPr="00260915">
        <w:rPr>
          <w:rFonts w:ascii="Arial" w:hAnsi="Arial" w:cs="Arial"/>
          <w:sz w:val="24"/>
          <w:szCs w:val="24"/>
        </w:rPr>
        <w:t xml:space="preserve"> </w:t>
      </w:r>
      <w:r w:rsidR="00AA2E69" w:rsidRPr="00260915">
        <w:rPr>
          <w:rFonts w:ascii="Arial" w:hAnsi="Arial" w:cs="Arial"/>
          <w:sz w:val="24"/>
          <w:szCs w:val="24"/>
        </w:rPr>
        <w:t xml:space="preserve">She could also not </w:t>
      </w:r>
      <w:r w:rsidR="00152D2D" w:rsidRPr="00260915">
        <w:rPr>
          <w:rFonts w:ascii="Arial" w:hAnsi="Arial" w:cs="Arial"/>
          <w:sz w:val="24"/>
          <w:szCs w:val="24"/>
        </w:rPr>
        <w:t>explain</w:t>
      </w:r>
      <w:r w:rsidR="00A11F97" w:rsidRPr="00260915">
        <w:rPr>
          <w:rFonts w:ascii="Arial" w:hAnsi="Arial" w:cs="Arial"/>
          <w:sz w:val="24"/>
          <w:szCs w:val="24"/>
        </w:rPr>
        <w:t xml:space="preserve"> why </w:t>
      </w:r>
      <w:r w:rsidR="00152D2D" w:rsidRPr="00260915">
        <w:rPr>
          <w:rFonts w:ascii="Arial" w:hAnsi="Arial" w:cs="Arial"/>
          <w:sz w:val="24"/>
          <w:szCs w:val="24"/>
        </w:rPr>
        <w:t>she had pleaded that the driver of the taxi had been negligent</w:t>
      </w:r>
      <w:r w:rsidR="0074264D" w:rsidRPr="00260915">
        <w:rPr>
          <w:rFonts w:ascii="Arial" w:hAnsi="Arial" w:cs="Arial"/>
          <w:sz w:val="24"/>
          <w:szCs w:val="24"/>
        </w:rPr>
        <w:t xml:space="preserve">, </w:t>
      </w:r>
      <w:r w:rsidR="00941E1A" w:rsidRPr="00260915">
        <w:rPr>
          <w:rFonts w:ascii="Arial" w:hAnsi="Arial" w:cs="Arial"/>
          <w:sz w:val="24"/>
          <w:szCs w:val="24"/>
        </w:rPr>
        <w:t>intimating</w:t>
      </w:r>
      <w:r w:rsidR="0074264D" w:rsidRPr="00260915">
        <w:rPr>
          <w:rFonts w:ascii="Arial" w:hAnsi="Arial" w:cs="Arial"/>
          <w:sz w:val="24"/>
          <w:szCs w:val="24"/>
        </w:rPr>
        <w:t xml:space="preserve"> </w:t>
      </w:r>
      <w:r w:rsidR="00571AEB" w:rsidRPr="00260915">
        <w:rPr>
          <w:rFonts w:ascii="Arial" w:hAnsi="Arial" w:cs="Arial"/>
          <w:sz w:val="24"/>
          <w:szCs w:val="24"/>
        </w:rPr>
        <w:t xml:space="preserve">only that </w:t>
      </w:r>
      <w:r w:rsidR="00A11F97" w:rsidRPr="00260915">
        <w:rPr>
          <w:rFonts w:ascii="Arial" w:hAnsi="Arial" w:cs="Arial"/>
          <w:sz w:val="24"/>
          <w:szCs w:val="24"/>
        </w:rPr>
        <w:t xml:space="preserve">this had been done </w:t>
      </w:r>
      <w:r w:rsidR="00941E1A" w:rsidRPr="00260915">
        <w:rPr>
          <w:rFonts w:ascii="Arial" w:hAnsi="Arial" w:cs="Arial"/>
          <w:sz w:val="24"/>
          <w:szCs w:val="24"/>
        </w:rPr>
        <w:t>based on</w:t>
      </w:r>
      <w:r w:rsidR="00A11F97" w:rsidRPr="00260915">
        <w:rPr>
          <w:rFonts w:ascii="Arial" w:hAnsi="Arial" w:cs="Arial"/>
          <w:sz w:val="24"/>
          <w:szCs w:val="24"/>
        </w:rPr>
        <w:t xml:space="preserve"> the police investigation </w:t>
      </w:r>
      <w:r w:rsidR="00941E1A" w:rsidRPr="00260915">
        <w:rPr>
          <w:rFonts w:ascii="Arial" w:hAnsi="Arial" w:cs="Arial"/>
          <w:sz w:val="24"/>
          <w:szCs w:val="24"/>
        </w:rPr>
        <w:t xml:space="preserve">and the advice of her attorneys. </w:t>
      </w:r>
      <w:r w:rsidR="00633FA4" w:rsidRPr="00260915">
        <w:rPr>
          <w:rFonts w:ascii="Arial" w:hAnsi="Arial" w:cs="Arial"/>
          <w:sz w:val="24"/>
          <w:szCs w:val="24"/>
        </w:rPr>
        <w:t xml:space="preserve">She had no witnesses to </w:t>
      </w:r>
      <w:r w:rsidR="00387DAC" w:rsidRPr="00260915">
        <w:rPr>
          <w:rFonts w:ascii="Arial" w:hAnsi="Arial" w:cs="Arial"/>
          <w:sz w:val="24"/>
          <w:szCs w:val="24"/>
        </w:rPr>
        <w:t>co</w:t>
      </w:r>
      <w:r w:rsidR="001A1E86" w:rsidRPr="00260915">
        <w:rPr>
          <w:rFonts w:ascii="Arial" w:hAnsi="Arial" w:cs="Arial"/>
          <w:sz w:val="24"/>
          <w:szCs w:val="24"/>
        </w:rPr>
        <w:t xml:space="preserve">rroborate </w:t>
      </w:r>
      <w:r w:rsidR="00387DAC" w:rsidRPr="00260915">
        <w:rPr>
          <w:rFonts w:ascii="Arial" w:hAnsi="Arial" w:cs="Arial"/>
          <w:sz w:val="24"/>
          <w:szCs w:val="24"/>
        </w:rPr>
        <w:t>her version of what had happened.</w:t>
      </w:r>
    </w:p>
    <w:p w14:paraId="69CB9B56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4A91CABE" w14:textId="18FFC32D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163D70" w:rsidRPr="00260915">
        <w:rPr>
          <w:rFonts w:ascii="Arial" w:hAnsi="Arial" w:cs="Arial"/>
          <w:sz w:val="24"/>
          <w:szCs w:val="24"/>
        </w:rPr>
        <w:t xml:space="preserve">In relation to the nature of her injuries, the plaintiff testified that </w:t>
      </w:r>
      <w:r w:rsidR="00125DEE" w:rsidRPr="00260915">
        <w:rPr>
          <w:rFonts w:ascii="Arial" w:hAnsi="Arial" w:cs="Arial"/>
          <w:sz w:val="24"/>
          <w:szCs w:val="24"/>
        </w:rPr>
        <w:t xml:space="preserve">she </w:t>
      </w:r>
      <w:r w:rsidR="0063320E" w:rsidRPr="00260915">
        <w:rPr>
          <w:rFonts w:ascii="Arial" w:hAnsi="Arial" w:cs="Arial"/>
          <w:sz w:val="24"/>
          <w:szCs w:val="24"/>
        </w:rPr>
        <w:t>had sustained serious injur</w:t>
      </w:r>
      <w:r w:rsidR="007A6B1F" w:rsidRPr="00260915">
        <w:rPr>
          <w:rFonts w:ascii="Arial" w:hAnsi="Arial" w:cs="Arial"/>
          <w:sz w:val="24"/>
          <w:szCs w:val="24"/>
        </w:rPr>
        <w:t>ies</w:t>
      </w:r>
      <w:r w:rsidR="0063320E" w:rsidRPr="00260915">
        <w:rPr>
          <w:rFonts w:ascii="Arial" w:hAnsi="Arial" w:cs="Arial"/>
          <w:sz w:val="24"/>
          <w:szCs w:val="24"/>
        </w:rPr>
        <w:t xml:space="preserve"> to her shoulder</w:t>
      </w:r>
      <w:r w:rsidR="002248E4" w:rsidRPr="00260915">
        <w:rPr>
          <w:rFonts w:ascii="Arial" w:hAnsi="Arial" w:cs="Arial"/>
          <w:sz w:val="24"/>
          <w:szCs w:val="24"/>
        </w:rPr>
        <w:t>, arm,</w:t>
      </w:r>
      <w:r w:rsidR="007A6B1F" w:rsidRPr="00260915">
        <w:rPr>
          <w:rFonts w:ascii="Arial" w:hAnsi="Arial" w:cs="Arial"/>
          <w:sz w:val="24"/>
          <w:szCs w:val="24"/>
        </w:rPr>
        <w:t xml:space="preserve"> and hip, which had limited her mobility. She had also sustained a </w:t>
      </w:r>
      <w:r w:rsidR="007A535F" w:rsidRPr="00260915">
        <w:rPr>
          <w:rFonts w:ascii="Arial" w:hAnsi="Arial" w:cs="Arial"/>
          <w:sz w:val="24"/>
          <w:szCs w:val="24"/>
        </w:rPr>
        <w:t>cut on her head.</w:t>
      </w:r>
      <w:r w:rsidR="00374FFB" w:rsidRPr="00260915">
        <w:rPr>
          <w:rFonts w:ascii="Arial" w:hAnsi="Arial" w:cs="Arial"/>
          <w:sz w:val="24"/>
          <w:szCs w:val="24"/>
        </w:rPr>
        <w:t xml:space="preserve"> The accident had </w:t>
      </w:r>
      <w:r w:rsidR="002E3511" w:rsidRPr="00260915">
        <w:rPr>
          <w:rFonts w:ascii="Arial" w:hAnsi="Arial" w:cs="Arial"/>
          <w:sz w:val="24"/>
          <w:szCs w:val="24"/>
        </w:rPr>
        <w:t xml:space="preserve">confined her to </w:t>
      </w:r>
      <w:r w:rsidR="00B1160D" w:rsidRPr="00260915">
        <w:rPr>
          <w:rFonts w:ascii="Arial" w:hAnsi="Arial" w:cs="Arial"/>
          <w:sz w:val="24"/>
          <w:szCs w:val="24"/>
        </w:rPr>
        <w:t>hospital, after which she had spent three months at home, unable to work.</w:t>
      </w:r>
      <w:r w:rsidR="00925BDE" w:rsidRPr="00260915">
        <w:rPr>
          <w:rFonts w:ascii="Arial" w:hAnsi="Arial" w:cs="Arial"/>
          <w:sz w:val="24"/>
          <w:szCs w:val="24"/>
        </w:rPr>
        <w:t xml:space="preserve"> </w:t>
      </w:r>
      <w:r w:rsidR="00B3144C" w:rsidRPr="00260915">
        <w:rPr>
          <w:rFonts w:ascii="Arial" w:hAnsi="Arial" w:cs="Arial"/>
          <w:sz w:val="24"/>
          <w:szCs w:val="24"/>
        </w:rPr>
        <w:t>She is presently employed</w:t>
      </w:r>
      <w:r w:rsidR="00DE176F" w:rsidRPr="00260915">
        <w:rPr>
          <w:rFonts w:ascii="Arial" w:hAnsi="Arial" w:cs="Arial"/>
          <w:sz w:val="24"/>
          <w:szCs w:val="24"/>
        </w:rPr>
        <w:t xml:space="preserve"> as a secretary in the </w:t>
      </w:r>
      <w:r w:rsidR="00054074" w:rsidRPr="00260915">
        <w:rPr>
          <w:rFonts w:ascii="Arial" w:hAnsi="Arial" w:cs="Arial"/>
          <w:sz w:val="24"/>
          <w:szCs w:val="24"/>
        </w:rPr>
        <w:t>Eastern Cape Department of Education</w:t>
      </w:r>
      <w:r w:rsidR="006F28CB" w:rsidRPr="00260915">
        <w:rPr>
          <w:rFonts w:ascii="Arial" w:hAnsi="Arial" w:cs="Arial"/>
          <w:sz w:val="24"/>
          <w:szCs w:val="24"/>
        </w:rPr>
        <w:t>.</w:t>
      </w:r>
    </w:p>
    <w:p w14:paraId="561BA859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04FB1F0E" w14:textId="08C7EADB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[6]</w:t>
      </w:r>
      <w:r>
        <w:rPr>
          <w:rFonts w:ascii="Arial" w:hAnsi="Arial" w:cs="Arial"/>
          <w:sz w:val="24"/>
          <w:szCs w:val="24"/>
        </w:rPr>
        <w:tab/>
      </w:r>
      <w:r w:rsidR="00E31FC0" w:rsidRPr="00260915">
        <w:rPr>
          <w:rFonts w:ascii="Arial" w:hAnsi="Arial" w:cs="Arial"/>
          <w:sz w:val="24"/>
          <w:szCs w:val="24"/>
        </w:rPr>
        <w:t xml:space="preserve">The plaintiff </w:t>
      </w:r>
      <w:r w:rsidR="00FE0CA4" w:rsidRPr="00260915">
        <w:rPr>
          <w:rFonts w:ascii="Arial" w:hAnsi="Arial" w:cs="Arial"/>
          <w:sz w:val="24"/>
          <w:szCs w:val="24"/>
        </w:rPr>
        <w:t>indicat</w:t>
      </w:r>
      <w:r w:rsidR="00E31FC0" w:rsidRPr="00260915">
        <w:rPr>
          <w:rFonts w:ascii="Arial" w:hAnsi="Arial" w:cs="Arial"/>
          <w:sz w:val="24"/>
          <w:szCs w:val="24"/>
        </w:rPr>
        <w:t>ed that she</w:t>
      </w:r>
      <w:r w:rsidR="00BF5C79" w:rsidRPr="00260915">
        <w:rPr>
          <w:rFonts w:ascii="Arial" w:hAnsi="Arial" w:cs="Arial"/>
          <w:sz w:val="24"/>
          <w:szCs w:val="24"/>
        </w:rPr>
        <w:t>, personally,</w:t>
      </w:r>
      <w:r w:rsidR="00E31FC0" w:rsidRPr="00260915">
        <w:rPr>
          <w:rFonts w:ascii="Arial" w:hAnsi="Arial" w:cs="Arial"/>
          <w:sz w:val="24"/>
          <w:szCs w:val="24"/>
        </w:rPr>
        <w:t xml:space="preserve"> had submitted a claim</w:t>
      </w:r>
      <w:r w:rsidR="00BF5C79" w:rsidRPr="00260915">
        <w:rPr>
          <w:rFonts w:ascii="Arial" w:hAnsi="Arial" w:cs="Arial"/>
          <w:sz w:val="24"/>
          <w:szCs w:val="24"/>
        </w:rPr>
        <w:t>, which the defendant had acknowledged</w:t>
      </w:r>
      <w:r w:rsidR="00CB500B" w:rsidRPr="00260915">
        <w:rPr>
          <w:rFonts w:ascii="Arial" w:hAnsi="Arial" w:cs="Arial"/>
          <w:sz w:val="24"/>
          <w:szCs w:val="24"/>
        </w:rPr>
        <w:t xml:space="preserve"> </w:t>
      </w:r>
      <w:r w:rsidR="00796B7C" w:rsidRPr="00260915">
        <w:rPr>
          <w:rFonts w:ascii="Arial" w:hAnsi="Arial" w:cs="Arial"/>
          <w:sz w:val="24"/>
          <w:szCs w:val="24"/>
        </w:rPr>
        <w:t>on 10 March 2010</w:t>
      </w:r>
      <w:r w:rsidR="006132F5" w:rsidRPr="00260915">
        <w:rPr>
          <w:rFonts w:ascii="Arial" w:hAnsi="Arial" w:cs="Arial"/>
          <w:sz w:val="24"/>
          <w:szCs w:val="24"/>
        </w:rPr>
        <w:t xml:space="preserve">. </w:t>
      </w:r>
      <w:r w:rsidR="00D8349E" w:rsidRPr="00260915">
        <w:rPr>
          <w:rFonts w:ascii="Arial" w:hAnsi="Arial" w:cs="Arial"/>
          <w:sz w:val="24"/>
          <w:szCs w:val="24"/>
        </w:rPr>
        <w:t xml:space="preserve">She </w:t>
      </w:r>
      <w:r w:rsidR="00D55400" w:rsidRPr="00260915">
        <w:rPr>
          <w:rFonts w:ascii="Arial" w:hAnsi="Arial" w:cs="Arial"/>
          <w:sz w:val="24"/>
          <w:szCs w:val="24"/>
        </w:rPr>
        <w:t xml:space="preserve">later received </w:t>
      </w:r>
      <w:r w:rsidR="004C0B00" w:rsidRPr="00260915">
        <w:rPr>
          <w:rFonts w:ascii="Arial" w:hAnsi="Arial" w:cs="Arial"/>
          <w:sz w:val="24"/>
          <w:szCs w:val="24"/>
        </w:rPr>
        <w:t xml:space="preserve">an </w:t>
      </w:r>
      <w:r w:rsidR="00D8349E" w:rsidRPr="00260915">
        <w:rPr>
          <w:rFonts w:ascii="Arial" w:hAnsi="Arial" w:cs="Arial"/>
          <w:sz w:val="24"/>
          <w:szCs w:val="24"/>
        </w:rPr>
        <w:t xml:space="preserve">offer </w:t>
      </w:r>
      <w:r w:rsidR="004C0B00" w:rsidRPr="00260915">
        <w:rPr>
          <w:rFonts w:ascii="Arial" w:hAnsi="Arial" w:cs="Arial"/>
          <w:sz w:val="24"/>
          <w:szCs w:val="24"/>
        </w:rPr>
        <w:t xml:space="preserve">from the defendant </w:t>
      </w:r>
      <w:r w:rsidR="00D8349E" w:rsidRPr="00260915">
        <w:rPr>
          <w:rFonts w:ascii="Arial" w:hAnsi="Arial" w:cs="Arial"/>
          <w:sz w:val="24"/>
          <w:szCs w:val="24"/>
        </w:rPr>
        <w:t>on 3 March 2015</w:t>
      </w:r>
      <w:r w:rsidR="00AA2E69" w:rsidRPr="00260915">
        <w:rPr>
          <w:rFonts w:ascii="Arial" w:hAnsi="Arial" w:cs="Arial"/>
          <w:sz w:val="24"/>
          <w:szCs w:val="24"/>
        </w:rPr>
        <w:t>, which she rejected.</w:t>
      </w:r>
      <w:r w:rsidR="00DC5B38" w:rsidRPr="00260915">
        <w:rPr>
          <w:rFonts w:ascii="Arial" w:hAnsi="Arial" w:cs="Arial"/>
          <w:sz w:val="24"/>
          <w:szCs w:val="24"/>
        </w:rPr>
        <w:t xml:space="preserve"> Her </w:t>
      </w:r>
      <w:r w:rsidR="00520D67" w:rsidRPr="00260915">
        <w:rPr>
          <w:rFonts w:ascii="Arial" w:hAnsi="Arial" w:cs="Arial"/>
          <w:sz w:val="24"/>
          <w:szCs w:val="24"/>
        </w:rPr>
        <w:t>attorneys</w:t>
      </w:r>
      <w:r w:rsidR="00EC4F1C" w:rsidRPr="00260915">
        <w:rPr>
          <w:rFonts w:ascii="Arial" w:hAnsi="Arial" w:cs="Arial"/>
          <w:sz w:val="24"/>
          <w:szCs w:val="24"/>
        </w:rPr>
        <w:t xml:space="preserve"> </w:t>
      </w:r>
      <w:r w:rsidR="00520D67" w:rsidRPr="00260915">
        <w:rPr>
          <w:rFonts w:ascii="Arial" w:hAnsi="Arial" w:cs="Arial"/>
          <w:sz w:val="24"/>
          <w:szCs w:val="24"/>
        </w:rPr>
        <w:t xml:space="preserve">instituted action on her behalf on </w:t>
      </w:r>
      <w:r w:rsidR="00E12834" w:rsidRPr="00260915">
        <w:rPr>
          <w:rFonts w:ascii="Arial" w:hAnsi="Arial" w:cs="Arial"/>
          <w:sz w:val="24"/>
          <w:szCs w:val="24"/>
        </w:rPr>
        <w:t>7 February 2017</w:t>
      </w:r>
      <w:r w:rsidR="00C759B9" w:rsidRPr="00260915">
        <w:rPr>
          <w:rFonts w:ascii="Arial" w:hAnsi="Arial" w:cs="Arial"/>
          <w:sz w:val="24"/>
          <w:szCs w:val="24"/>
        </w:rPr>
        <w:t>.</w:t>
      </w:r>
      <w:r w:rsidR="004824D4" w:rsidRPr="00260915">
        <w:rPr>
          <w:rFonts w:ascii="Arial" w:hAnsi="Arial" w:cs="Arial"/>
          <w:sz w:val="24"/>
          <w:szCs w:val="24"/>
        </w:rPr>
        <w:t xml:space="preserve"> The defendant</w:t>
      </w:r>
      <w:r w:rsidR="00A06827" w:rsidRPr="00260915">
        <w:rPr>
          <w:rFonts w:ascii="Arial" w:hAnsi="Arial" w:cs="Arial"/>
          <w:sz w:val="24"/>
          <w:szCs w:val="24"/>
        </w:rPr>
        <w:t>’s attorneys</w:t>
      </w:r>
      <w:r w:rsidR="00EC4F1C" w:rsidRPr="00260915">
        <w:rPr>
          <w:rFonts w:ascii="Arial" w:hAnsi="Arial" w:cs="Arial"/>
          <w:sz w:val="24"/>
          <w:szCs w:val="24"/>
        </w:rPr>
        <w:t xml:space="preserve"> </w:t>
      </w:r>
      <w:r w:rsidR="004824D4" w:rsidRPr="00260915">
        <w:rPr>
          <w:rFonts w:ascii="Arial" w:hAnsi="Arial" w:cs="Arial"/>
          <w:sz w:val="24"/>
          <w:szCs w:val="24"/>
        </w:rPr>
        <w:t xml:space="preserve">entered an appearance to defend on </w:t>
      </w:r>
      <w:r w:rsidR="005C32E4" w:rsidRPr="00260915">
        <w:rPr>
          <w:rFonts w:ascii="Arial" w:hAnsi="Arial" w:cs="Arial"/>
          <w:sz w:val="24"/>
          <w:szCs w:val="24"/>
        </w:rPr>
        <w:t>28 February 2017</w:t>
      </w:r>
      <w:r w:rsidR="008C680E" w:rsidRPr="00260915">
        <w:rPr>
          <w:rFonts w:ascii="Arial" w:hAnsi="Arial" w:cs="Arial"/>
          <w:sz w:val="24"/>
          <w:szCs w:val="24"/>
        </w:rPr>
        <w:t xml:space="preserve"> and simultaneously requested copies of the plaintiff’s </w:t>
      </w:r>
      <w:r w:rsidR="00165181" w:rsidRPr="00260915">
        <w:rPr>
          <w:rFonts w:ascii="Arial" w:hAnsi="Arial" w:cs="Arial"/>
          <w:sz w:val="24"/>
          <w:szCs w:val="24"/>
        </w:rPr>
        <w:t>medical records, accident report</w:t>
      </w:r>
      <w:r w:rsidR="0039416B" w:rsidRPr="00260915">
        <w:rPr>
          <w:rFonts w:ascii="Arial" w:hAnsi="Arial" w:cs="Arial"/>
          <w:sz w:val="24"/>
          <w:szCs w:val="24"/>
        </w:rPr>
        <w:t>, witness statements, claim forms, and related documents, under rule</w:t>
      </w:r>
      <w:r w:rsidR="008F320F" w:rsidRPr="00260915">
        <w:rPr>
          <w:rFonts w:ascii="Arial" w:hAnsi="Arial" w:cs="Arial"/>
          <w:sz w:val="24"/>
          <w:szCs w:val="24"/>
        </w:rPr>
        <w:t>s 35(14) and 36(4) of the Uniform Rules of Court (‘URC’)</w:t>
      </w:r>
      <w:r w:rsidR="006C6CF0" w:rsidRPr="00260915">
        <w:rPr>
          <w:rFonts w:ascii="Arial" w:hAnsi="Arial" w:cs="Arial"/>
          <w:sz w:val="24"/>
          <w:szCs w:val="24"/>
        </w:rPr>
        <w:t>, to which the plaintiff</w:t>
      </w:r>
      <w:r w:rsidR="00924882" w:rsidRPr="00260915">
        <w:rPr>
          <w:rFonts w:ascii="Arial" w:hAnsi="Arial" w:cs="Arial"/>
          <w:sz w:val="24"/>
          <w:szCs w:val="24"/>
        </w:rPr>
        <w:t xml:space="preserve">’s attorneys </w:t>
      </w:r>
      <w:r w:rsidR="006C6CF0" w:rsidRPr="00260915">
        <w:rPr>
          <w:rFonts w:ascii="Arial" w:hAnsi="Arial" w:cs="Arial"/>
          <w:sz w:val="24"/>
          <w:szCs w:val="24"/>
        </w:rPr>
        <w:t>replied on 15 March 2018.</w:t>
      </w:r>
      <w:r w:rsidR="002A0592" w:rsidRPr="00260915">
        <w:rPr>
          <w:rFonts w:ascii="Arial" w:hAnsi="Arial" w:cs="Arial"/>
          <w:sz w:val="24"/>
          <w:szCs w:val="24"/>
        </w:rPr>
        <w:t xml:space="preserve"> </w:t>
      </w:r>
      <w:r w:rsidR="006C6CF0" w:rsidRPr="00260915">
        <w:rPr>
          <w:rFonts w:ascii="Arial" w:hAnsi="Arial" w:cs="Arial"/>
          <w:sz w:val="24"/>
          <w:szCs w:val="24"/>
        </w:rPr>
        <w:t xml:space="preserve">Thereafter followed </w:t>
      </w:r>
      <w:r w:rsidR="00342D84" w:rsidRPr="00260915">
        <w:rPr>
          <w:rFonts w:ascii="Arial" w:hAnsi="Arial" w:cs="Arial"/>
          <w:sz w:val="24"/>
          <w:szCs w:val="24"/>
        </w:rPr>
        <w:t xml:space="preserve">a hiatus of some </w:t>
      </w:r>
      <w:r w:rsidR="00924882" w:rsidRPr="00260915">
        <w:rPr>
          <w:rFonts w:ascii="Arial" w:hAnsi="Arial" w:cs="Arial"/>
          <w:sz w:val="24"/>
          <w:szCs w:val="24"/>
        </w:rPr>
        <w:t>four years</w:t>
      </w:r>
      <w:r w:rsidR="002A0592" w:rsidRPr="00260915">
        <w:rPr>
          <w:rFonts w:ascii="Arial" w:hAnsi="Arial" w:cs="Arial"/>
          <w:sz w:val="24"/>
          <w:szCs w:val="24"/>
        </w:rPr>
        <w:t xml:space="preserve"> where no further steps were taken by either side to advance the matter</w:t>
      </w:r>
      <w:r w:rsidR="00924882" w:rsidRPr="00260915">
        <w:rPr>
          <w:rFonts w:ascii="Arial" w:hAnsi="Arial" w:cs="Arial"/>
          <w:sz w:val="24"/>
          <w:szCs w:val="24"/>
        </w:rPr>
        <w:t xml:space="preserve">. </w:t>
      </w:r>
    </w:p>
    <w:p w14:paraId="30E2FCD5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3800536A" w14:textId="41CCCD42" w:rsidR="006C6CF0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[7]</w:t>
      </w:r>
      <w:r w:rsidRPr="00D66FCB">
        <w:rPr>
          <w:rFonts w:ascii="Arial" w:hAnsi="Arial" w:cs="Arial"/>
          <w:sz w:val="24"/>
          <w:szCs w:val="24"/>
        </w:rPr>
        <w:tab/>
      </w:r>
      <w:r w:rsidR="00BF1797" w:rsidRPr="00260915">
        <w:rPr>
          <w:rFonts w:ascii="Arial" w:hAnsi="Arial" w:cs="Arial"/>
          <w:sz w:val="24"/>
          <w:szCs w:val="24"/>
        </w:rPr>
        <w:t xml:space="preserve">On 18 May 2022, </w:t>
      </w:r>
      <w:r w:rsidR="00CF3BE1" w:rsidRPr="00260915">
        <w:rPr>
          <w:rFonts w:ascii="Arial" w:hAnsi="Arial" w:cs="Arial"/>
          <w:sz w:val="24"/>
          <w:szCs w:val="24"/>
        </w:rPr>
        <w:t>the plaintiff’s attorneys</w:t>
      </w:r>
      <w:r w:rsidR="00CE0AFB" w:rsidRPr="00260915">
        <w:rPr>
          <w:rFonts w:ascii="Arial" w:hAnsi="Arial" w:cs="Arial"/>
          <w:sz w:val="24"/>
          <w:szCs w:val="24"/>
        </w:rPr>
        <w:t xml:space="preserve"> </w:t>
      </w:r>
      <w:r w:rsidR="00367782" w:rsidRPr="00260915">
        <w:rPr>
          <w:rFonts w:ascii="Arial" w:hAnsi="Arial" w:cs="Arial"/>
          <w:sz w:val="24"/>
          <w:szCs w:val="24"/>
        </w:rPr>
        <w:t>withdrew,</w:t>
      </w:r>
      <w:r w:rsidR="00CE0AFB" w:rsidRPr="00260915">
        <w:rPr>
          <w:rFonts w:ascii="Arial" w:hAnsi="Arial" w:cs="Arial"/>
          <w:sz w:val="24"/>
          <w:szCs w:val="24"/>
        </w:rPr>
        <w:t xml:space="preserve"> </w:t>
      </w:r>
      <w:r w:rsidR="00CF3BE1" w:rsidRPr="00260915">
        <w:rPr>
          <w:rFonts w:ascii="Arial" w:hAnsi="Arial" w:cs="Arial"/>
          <w:sz w:val="24"/>
          <w:szCs w:val="24"/>
        </w:rPr>
        <w:t>and</w:t>
      </w:r>
      <w:r w:rsidR="009E5F4D" w:rsidRPr="00260915">
        <w:rPr>
          <w:rFonts w:ascii="Arial" w:hAnsi="Arial" w:cs="Arial"/>
          <w:sz w:val="24"/>
          <w:szCs w:val="24"/>
        </w:rPr>
        <w:t xml:space="preserve"> </w:t>
      </w:r>
      <w:r w:rsidR="00CF3BE1" w:rsidRPr="00260915">
        <w:rPr>
          <w:rFonts w:ascii="Arial" w:hAnsi="Arial" w:cs="Arial"/>
          <w:sz w:val="24"/>
          <w:szCs w:val="24"/>
        </w:rPr>
        <w:t xml:space="preserve">new </w:t>
      </w:r>
      <w:r w:rsidR="009E5F4D" w:rsidRPr="00260915">
        <w:rPr>
          <w:rFonts w:ascii="Arial" w:hAnsi="Arial" w:cs="Arial"/>
          <w:sz w:val="24"/>
          <w:szCs w:val="24"/>
        </w:rPr>
        <w:t xml:space="preserve">attorneys </w:t>
      </w:r>
      <w:r w:rsidR="00CE0AFB" w:rsidRPr="00260915">
        <w:rPr>
          <w:rFonts w:ascii="Arial" w:hAnsi="Arial" w:cs="Arial"/>
          <w:sz w:val="24"/>
          <w:szCs w:val="24"/>
        </w:rPr>
        <w:t>took over the instruction</w:t>
      </w:r>
      <w:r w:rsidR="007A0A92" w:rsidRPr="00260915">
        <w:rPr>
          <w:rFonts w:ascii="Arial" w:hAnsi="Arial" w:cs="Arial"/>
          <w:sz w:val="24"/>
          <w:szCs w:val="24"/>
        </w:rPr>
        <w:t xml:space="preserve">, requesting </w:t>
      </w:r>
      <w:r w:rsidR="00C02260" w:rsidRPr="00260915">
        <w:rPr>
          <w:rFonts w:ascii="Arial" w:hAnsi="Arial" w:cs="Arial"/>
          <w:sz w:val="24"/>
          <w:szCs w:val="24"/>
        </w:rPr>
        <w:t xml:space="preserve">that the matter be enrolled for trial. </w:t>
      </w:r>
      <w:r w:rsidR="00F45326" w:rsidRPr="00260915">
        <w:rPr>
          <w:rFonts w:ascii="Arial" w:hAnsi="Arial" w:cs="Arial"/>
          <w:sz w:val="24"/>
          <w:szCs w:val="24"/>
        </w:rPr>
        <w:t xml:space="preserve">From the </w:t>
      </w:r>
      <w:r w:rsidR="006031BB" w:rsidRPr="00260915">
        <w:rPr>
          <w:rFonts w:ascii="Arial" w:hAnsi="Arial" w:cs="Arial"/>
          <w:sz w:val="24"/>
          <w:szCs w:val="24"/>
        </w:rPr>
        <w:t xml:space="preserve">court file, it is apparent that the plaintiff’s new attorneys </w:t>
      </w:r>
      <w:r w:rsidR="00B77B4B" w:rsidRPr="00260915">
        <w:rPr>
          <w:rFonts w:ascii="Arial" w:hAnsi="Arial" w:cs="Arial"/>
          <w:sz w:val="24"/>
          <w:szCs w:val="24"/>
        </w:rPr>
        <w:t>arranged for the referral of the plaintiff to various experts for assessment and the preparation of medical-legal reports</w:t>
      </w:r>
      <w:r w:rsidR="00102A78" w:rsidRPr="00260915">
        <w:rPr>
          <w:rFonts w:ascii="Arial" w:hAnsi="Arial" w:cs="Arial"/>
          <w:sz w:val="24"/>
          <w:szCs w:val="24"/>
        </w:rPr>
        <w:t xml:space="preserve">. </w:t>
      </w:r>
      <w:r w:rsidR="00C02260" w:rsidRPr="00260915">
        <w:rPr>
          <w:rFonts w:ascii="Arial" w:hAnsi="Arial" w:cs="Arial"/>
          <w:sz w:val="24"/>
          <w:szCs w:val="24"/>
        </w:rPr>
        <w:t xml:space="preserve">On </w:t>
      </w:r>
      <w:r w:rsidR="009F3AE7" w:rsidRPr="00260915">
        <w:rPr>
          <w:rFonts w:ascii="Arial" w:hAnsi="Arial" w:cs="Arial"/>
          <w:sz w:val="24"/>
          <w:szCs w:val="24"/>
        </w:rPr>
        <w:t xml:space="preserve">11 January 2023, </w:t>
      </w:r>
      <w:r w:rsidR="00367782" w:rsidRPr="00260915">
        <w:rPr>
          <w:rFonts w:ascii="Arial" w:hAnsi="Arial" w:cs="Arial"/>
          <w:sz w:val="24"/>
          <w:szCs w:val="24"/>
        </w:rPr>
        <w:t xml:space="preserve">the defendant’s attorneys </w:t>
      </w:r>
      <w:r w:rsidR="009F3AE7" w:rsidRPr="00260915">
        <w:rPr>
          <w:rFonts w:ascii="Arial" w:hAnsi="Arial" w:cs="Arial"/>
          <w:sz w:val="24"/>
          <w:szCs w:val="24"/>
        </w:rPr>
        <w:t>withdrew</w:t>
      </w:r>
      <w:r w:rsidR="00FF1A2B" w:rsidRPr="00260915">
        <w:rPr>
          <w:rFonts w:ascii="Arial" w:hAnsi="Arial" w:cs="Arial"/>
          <w:sz w:val="24"/>
          <w:szCs w:val="24"/>
        </w:rPr>
        <w:t xml:space="preserve">, which </w:t>
      </w:r>
      <w:r w:rsidR="000B7ED6" w:rsidRPr="00260915">
        <w:rPr>
          <w:rFonts w:ascii="Arial" w:hAnsi="Arial" w:cs="Arial"/>
          <w:sz w:val="24"/>
          <w:szCs w:val="24"/>
        </w:rPr>
        <w:t xml:space="preserve">led to the </w:t>
      </w:r>
      <w:r w:rsidR="003B69BE" w:rsidRPr="00260915">
        <w:rPr>
          <w:rFonts w:ascii="Arial" w:hAnsi="Arial" w:cs="Arial"/>
          <w:sz w:val="24"/>
          <w:szCs w:val="24"/>
        </w:rPr>
        <w:t>delivery</w:t>
      </w:r>
      <w:r w:rsidR="000B7ED6" w:rsidRPr="00260915">
        <w:rPr>
          <w:rFonts w:ascii="Arial" w:hAnsi="Arial" w:cs="Arial"/>
          <w:sz w:val="24"/>
          <w:szCs w:val="24"/>
        </w:rPr>
        <w:t xml:space="preserve"> of </w:t>
      </w:r>
      <w:r w:rsidR="00702292" w:rsidRPr="00260915">
        <w:rPr>
          <w:rFonts w:ascii="Arial" w:hAnsi="Arial" w:cs="Arial"/>
          <w:sz w:val="24"/>
          <w:szCs w:val="24"/>
        </w:rPr>
        <w:t>a notice of bar</w:t>
      </w:r>
      <w:r w:rsidR="00A64ED6" w:rsidRPr="00260915">
        <w:rPr>
          <w:rFonts w:ascii="Arial" w:hAnsi="Arial" w:cs="Arial"/>
          <w:sz w:val="24"/>
          <w:szCs w:val="24"/>
        </w:rPr>
        <w:t xml:space="preserve">. No plea was </w:t>
      </w:r>
      <w:r w:rsidR="00DE2D1D" w:rsidRPr="00260915">
        <w:rPr>
          <w:rFonts w:ascii="Arial" w:hAnsi="Arial" w:cs="Arial"/>
          <w:sz w:val="24"/>
          <w:szCs w:val="24"/>
        </w:rPr>
        <w:t>forthcoming</w:t>
      </w:r>
      <w:r w:rsidR="00A64ED6" w:rsidRPr="00260915">
        <w:rPr>
          <w:rFonts w:ascii="Arial" w:hAnsi="Arial" w:cs="Arial"/>
          <w:sz w:val="24"/>
          <w:szCs w:val="24"/>
        </w:rPr>
        <w:t>.</w:t>
      </w:r>
      <w:r w:rsidR="002A0592" w:rsidRPr="00260915">
        <w:rPr>
          <w:rFonts w:ascii="Arial" w:hAnsi="Arial" w:cs="Arial"/>
          <w:sz w:val="24"/>
          <w:szCs w:val="24"/>
        </w:rPr>
        <w:t xml:space="preserve"> </w:t>
      </w:r>
      <w:r w:rsidR="00E161C4" w:rsidRPr="00260915">
        <w:rPr>
          <w:rFonts w:ascii="Arial" w:hAnsi="Arial" w:cs="Arial"/>
          <w:sz w:val="24"/>
          <w:szCs w:val="24"/>
        </w:rPr>
        <w:t xml:space="preserve">The plaintiff’s attorneys </w:t>
      </w:r>
      <w:r w:rsidR="00F62DC8" w:rsidRPr="00260915">
        <w:rPr>
          <w:rFonts w:ascii="Arial" w:hAnsi="Arial" w:cs="Arial"/>
          <w:sz w:val="24"/>
          <w:szCs w:val="24"/>
        </w:rPr>
        <w:t xml:space="preserve">filed an application for default judgment on 27 February 2023 and </w:t>
      </w:r>
      <w:r w:rsidR="00EA0E4D" w:rsidRPr="00260915">
        <w:rPr>
          <w:rFonts w:ascii="Arial" w:hAnsi="Arial" w:cs="Arial"/>
          <w:sz w:val="24"/>
          <w:szCs w:val="24"/>
        </w:rPr>
        <w:t>complied with the necessary case management requirements, indicating that they had received no cooperation from the defendant</w:t>
      </w:r>
      <w:r w:rsidR="00F62DC8" w:rsidRPr="00260915">
        <w:rPr>
          <w:rFonts w:ascii="Arial" w:hAnsi="Arial" w:cs="Arial"/>
          <w:sz w:val="24"/>
          <w:szCs w:val="24"/>
        </w:rPr>
        <w:t xml:space="preserve">. On </w:t>
      </w:r>
      <w:r w:rsidR="00DA69DC" w:rsidRPr="00260915">
        <w:rPr>
          <w:rFonts w:ascii="Arial" w:hAnsi="Arial" w:cs="Arial"/>
          <w:sz w:val="24"/>
          <w:szCs w:val="24"/>
        </w:rPr>
        <w:t xml:space="preserve">14 April 2023, the registrar was directed to allocate a date for the hearing of oral evidence in support of the </w:t>
      </w:r>
      <w:r w:rsidR="002C3F66" w:rsidRPr="00260915">
        <w:rPr>
          <w:rFonts w:ascii="Arial" w:hAnsi="Arial" w:cs="Arial"/>
          <w:sz w:val="24"/>
          <w:szCs w:val="24"/>
        </w:rPr>
        <w:t>plaintiff’s application. The matter came before</w:t>
      </w:r>
      <w:r w:rsidR="00075828" w:rsidRPr="00260915">
        <w:rPr>
          <w:rFonts w:ascii="Arial" w:hAnsi="Arial" w:cs="Arial"/>
          <w:sz w:val="24"/>
          <w:szCs w:val="24"/>
        </w:rPr>
        <w:t xml:space="preserve"> </w:t>
      </w:r>
      <w:r w:rsidR="002C3F66" w:rsidRPr="00260915">
        <w:rPr>
          <w:rFonts w:ascii="Arial" w:hAnsi="Arial" w:cs="Arial"/>
          <w:sz w:val="24"/>
          <w:szCs w:val="24"/>
        </w:rPr>
        <w:t xml:space="preserve">court on </w:t>
      </w:r>
      <w:r w:rsidR="000814F7" w:rsidRPr="00260915">
        <w:rPr>
          <w:rFonts w:ascii="Arial" w:hAnsi="Arial" w:cs="Arial"/>
          <w:sz w:val="24"/>
          <w:szCs w:val="24"/>
        </w:rPr>
        <w:t>10 August 2023.</w:t>
      </w:r>
    </w:p>
    <w:p w14:paraId="292D991E" w14:textId="77777777" w:rsidR="00E12834" w:rsidRDefault="00E12834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24B931D7" w14:textId="5D3D3B13" w:rsidR="00E12834" w:rsidRPr="00304B46" w:rsidRDefault="00E12834" w:rsidP="00D66F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04B46">
        <w:rPr>
          <w:rFonts w:ascii="Arial" w:hAnsi="Arial" w:cs="Arial"/>
          <w:b/>
          <w:bCs/>
          <w:sz w:val="24"/>
          <w:szCs w:val="24"/>
        </w:rPr>
        <w:t>Issues to be decided</w:t>
      </w:r>
    </w:p>
    <w:p w14:paraId="69DBC5AF" w14:textId="5D620D46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E12834" w:rsidRPr="00260915">
        <w:rPr>
          <w:rFonts w:ascii="Arial" w:hAnsi="Arial" w:cs="Arial"/>
          <w:sz w:val="24"/>
          <w:szCs w:val="24"/>
        </w:rPr>
        <w:t xml:space="preserve">The </w:t>
      </w:r>
      <w:r w:rsidR="00304B46" w:rsidRPr="00260915">
        <w:rPr>
          <w:rFonts w:ascii="Arial" w:hAnsi="Arial" w:cs="Arial"/>
          <w:sz w:val="24"/>
          <w:szCs w:val="24"/>
        </w:rPr>
        <w:t xml:space="preserve">main issue to be decided is whether </w:t>
      </w:r>
      <w:r w:rsidR="009C1334" w:rsidRPr="00260915">
        <w:rPr>
          <w:rFonts w:ascii="Arial" w:hAnsi="Arial" w:cs="Arial"/>
          <w:sz w:val="24"/>
          <w:szCs w:val="24"/>
        </w:rPr>
        <w:t xml:space="preserve">to grant </w:t>
      </w:r>
      <w:r w:rsidR="00B10084" w:rsidRPr="00260915">
        <w:rPr>
          <w:rFonts w:ascii="Arial" w:hAnsi="Arial" w:cs="Arial"/>
          <w:sz w:val="24"/>
          <w:szCs w:val="24"/>
        </w:rPr>
        <w:t xml:space="preserve">default judgment in favour of the plaintiff. </w:t>
      </w:r>
      <w:r w:rsidR="002F692D" w:rsidRPr="00260915">
        <w:rPr>
          <w:rFonts w:ascii="Arial" w:hAnsi="Arial" w:cs="Arial"/>
          <w:sz w:val="24"/>
          <w:szCs w:val="24"/>
        </w:rPr>
        <w:t xml:space="preserve">Before doing so, however, </w:t>
      </w:r>
      <w:r w:rsidR="00075828" w:rsidRPr="00260915">
        <w:rPr>
          <w:rFonts w:ascii="Arial" w:hAnsi="Arial" w:cs="Arial"/>
          <w:sz w:val="24"/>
          <w:szCs w:val="24"/>
        </w:rPr>
        <w:t xml:space="preserve">it is necessary to deal with </w:t>
      </w:r>
      <w:r w:rsidR="002F692D" w:rsidRPr="00260915">
        <w:rPr>
          <w:rFonts w:ascii="Arial" w:hAnsi="Arial" w:cs="Arial"/>
          <w:sz w:val="24"/>
          <w:szCs w:val="24"/>
        </w:rPr>
        <w:t>two issues</w:t>
      </w:r>
      <w:r w:rsidR="006C4463" w:rsidRPr="00260915">
        <w:rPr>
          <w:rFonts w:ascii="Arial" w:hAnsi="Arial" w:cs="Arial"/>
          <w:sz w:val="24"/>
          <w:szCs w:val="24"/>
        </w:rPr>
        <w:t xml:space="preserve"> that</w:t>
      </w:r>
      <w:r w:rsidR="002F692D" w:rsidRPr="00260915">
        <w:rPr>
          <w:rFonts w:ascii="Arial" w:hAnsi="Arial" w:cs="Arial"/>
          <w:sz w:val="24"/>
          <w:szCs w:val="24"/>
        </w:rPr>
        <w:t xml:space="preserve"> arose during the hearing</w:t>
      </w:r>
      <w:r w:rsidR="001E050D" w:rsidRPr="00260915">
        <w:rPr>
          <w:rFonts w:ascii="Arial" w:hAnsi="Arial" w:cs="Arial"/>
          <w:sz w:val="24"/>
          <w:szCs w:val="24"/>
        </w:rPr>
        <w:t>: (a) the application or otherwise of the principle</w:t>
      </w:r>
      <w:r w:rsidR="00EF1A0A" w:rsidRPr="00260915">
        <w:rPr>
          <w:rFonts w:ascii="Arial" w:hAnsi="Arial" w:cs="Arial"/>
          <w:sz w:val="24"/>
          <w:szCs w:val="24"/>
        </w:rPr>
        <w:t>s</w:t>
      </w:r>
      <w:r w:rsidR="00904540" w:rsidRPr="00260915">
        <w:rPr>
          <w:rFonts w:ascii="Arial" w:hAnsi="Arial" w:cs="Arial"/>
          <w:sz w:val="24"/>
          <w:szCs w:val="24"/>
        </w:rPr>
        <w:t xml:space="preserve"> pertaining to the </w:t>
      </w:r>
      <w:r w:rsidR="00A777A0" w:rsidRPr="00260915">
        <w:rPr>
          <w:rFonts w:ascii="Arial" w:hAnsi="Arial" w:cs="Arial"/>
          <w:sz w:val="24"/>
          <w:szCs w:val="24"/>
        </w:rPr>
        <w:t xml:space="preserve">possible </w:t>
      </w:r>
      <w:r w:rsidR="001E050D" w:rsidRPr="00260915">
        <w:rPr>
          <w:rFonts w:ascii="Arial" w:hAnsi="Arial" w:cs="Arial"/>
          <w:sz w:val="24"/>
          <w:szCs w:val="24"/>
        </w:rPr>
        <w:t xml:space="preserve">superannuation </w:t>
      </w:r>
      <w:r w:rsidR="00904540" w:rsidRPr="00260915">
        <w:rPr>
          <w:rFonts w:ascii="Arial" w:hAnsi="Arial" w:cs="Arial"/>
          <w:sz w:val="24"/>
          <w:szCs w:val="24"/>
        </w:rPr>
        <w:t xml:space="preserve">of the plaintiff’s </w:t>
      </w:r>
      <w:r w:rsidR="00815E45" w:rsidRPr="00260915">
        <w:rPr>
          <w:rFonts w:ascii="Arial" w:hAnsi="Arial" w:cs="Arial"/>
          <w:sz w:val="24"/>
          <w:szCs w:val="24"/>
        </w:rPr>
        <w:t xml:space="preserve">summons; and (b) the defendant’s liability </w:t>
      </w:r>
      <w:r w:rsidR="00AD4FC8" w:rsidRPr="00260915">
        <w:rPr>
          <w:rFonts w:ascii="Arial" w:hAnsi="Arial" w:cs="Arial"/>
          <w:sz w:val="24"/>
          <w:szCs w:val="24"/>
        </w:rPr>
        <w:t>considering</w:t>
      </w:r>
      <w:r w:rsidR="001E51FF" w:rsidRPr="00260915">
        <w:rPr>
          <w:rFonts w:ascii="Arial" w:hAnsi="Arial" w:cs="Arial"/>
          <w:sz w:val="24"/>
          <w:szCs w:val="24"/>
        </w:rPr>
        <w:t xml:space="preserve"> the evidence</w:t>
      </w:r>
      <w:r w:rsidR="00A777A0" w:rsidRPr="00260915">
        <w:rPr>
          <w:rFonts w:ascii="Arial" w:hAnsi="Arial" w:cs="Arial"/>
          <w:sz w:val="24"/>
          <w:szCs w:val="24"/>
        </w:rPr>
        <w:t xml:space="preserve"> presented</w:t>
      </w:r>
      <w:r w:rsidR="001E51FF" w:rsidRPr="00260915">
        <w:rPr>
          <w:rFonts w:ascii="Arial" w:hAnsi="Arial" w:cs="Arial"/>
          <w:sz w:val="24"/>
          <w:szCs w:val="24"/>
        </w:rPr>
        <w:t>.</w:t>
      </w:r>
      <w:r w:rsidR="00AD4FC8" w:rsidRPr="00260915">
        <w:rPr>
          <w:rFonts w:ascii="Arial" w:hAnsi="Arial" w:cs="Arial"/>
          <w:sz w:val="24"/>
          <w:szCs w:val="24"/>
        </w:rPr>
        <w:t xml:space="preserve"> </w:t>
      </w:r>
    </w:p>
    <w:p w14:paraId="21DF5CFD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84F8CA4" w14:textId="25EAC530" w:rsidR="00AD4FC8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lastRenderedPageBreak/>
        <w:t>[9]</w:t>
      </w:r>
      <w:r w:rsidRPr="00D66FCB">
        <w:rPr>
          <w:rFonts w:ascii="Arial" w:hAnsi="Arial" w:cs="Arial"/>
          <w:sz w:val="24"/>
          <w:szCs w:val="24"/>
        </w:rPr>
        <w:tab/>
      </w:r>
      <w:r w:rsidR="00AD4FC8" w:rsidRPr="00260915">
        <w:rPr>
          <w:rFonts w:ascii="Arial" w:hAnsi="Arial" w:cs="Arial"/>
          <w:sz w:val="24"/>
          <w:szCs w:val="24"/>
        </w:rPr>
        <w:t xml:space="preserve">The </w:t>
      </w:r>
      <w:r w:rsidR="009F76AB" w:rsidRPr="00260915">
        <w:rPr>
          <w:rFonts w:ascii="Arial" w:hAnsi="Arial" w:cs="Arial"/>
          <w:sz w:val="24"/>
          <w:szCs w:val="24"/>
        </w:rPr>
        <w:t>issues require closer examination within the relevant legal framework, as set out below.</w:t>
      </w:r>
    </w:p>
    <w:p w14:paraId="0AE1F520" w14:textId="77777777" w:rsidR="009F76AB" w:rsidRDefault="009F76AB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33760CC3" w14:textId="23699331" w:rsidR="009F76AB" w:rsidRPr="009F76AB" w:rsidRDefault="009F76AB" w:rsidP="00D66F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76AB">
        <w:rPr>
          <w:rFonts w:ascii="Arial" w:hAnsi="Arial" w:cs="Arial"/>
          <w:b/>
          <w:bCs/>
          <w:sz w:val="24"/>
          <w:szCs w:val="24"/>
        </w:rPr>
        <w:t>Legal framework</w:t>
      </w:r>
    </w:p>
    <w:p w14:paraId="145FB053" w14:textId="49DDE8E2" w:rsidR="009B613A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[10]</w:t>
      </w:r>
      <w:r w:rsidRPr="00D66FCB">
        <w:rPr>
          <w:rFonts w:ascii="Arial" w:hAnsi="Arial" w:cs="Arial"/>
          <w:sz w:val="24"/>
          <w:szCs w:val="24"/>
        </w:rPr>
        <w:tab/>
      </w:r>
      <w:r w:rsidR="00DC77B2" w:rsidRPr="00260915">
        <w:rPr>
          <w:rFonts w:ascii="Arial" w:hAnsi="Arial" w:cs="Arial"/>
          <w:sz w:val="24"/>
          <w:szCs w:val="24"/>
        </w:rPr>
        <w:t xml:space="preserve">The </w:t>
      </w:r>
      <w:r w:rsidR="00934D8F" w:rsidRPr="00260915">
        <w:rPr>
          <w:rFonts w:ascii="Arial" w:hAnsi="Arial" w:cs="Arial"/>
          <w:sz w:val="24"/>
          <w:szCs w:val="24"/>
        </w:rPr>
        <w:t>issues in question will be addressed separa</w:t>
      </w:r>
      <w:r w:rsidR="009B613A" w:rsidRPr="00260915">
        <w:rPr>
          <w:rFonts w:ascii="Arial" w:hAnsi="Arial" w:cs="Arial"/>
          <w:sz w:val="24"/>
          <w:szCs w:val="24"/>
        </w:rPr>
        <w:t>tely, in accordance with the</w:t>
      </w:r>
      <w:r w:rsidR="008D13C9" w:rsidRPr="00260915">
        <w:rPr>
          <w:rFonts w:ascii="Arial" w:hAnsi="Arial" w:cs="Arial"/>
          <w:sz w:val="24"/>
          <w:szCs w:val="24"/>
        </w:rPr>
        <w:t>ir respective</w:t>
      </w:r>
      <w:r w:rsidR="009B613A" w:rsidRPr="00260915">
        <w:rPr>
          <w:rFonts w:ascii="Arial" w:hAnsi="Arial" w:cs="Arial"/>
          <w:sz w:val="24"/>
          <w:szCs w:val="24"/>
        </w:rPr>
        <w:t xml:space="preserve"> sub-headings.</w:t>
      </w:r>
    </w:p>
    <w:p w14:paraId="4A3E10B6" w14:textId="77777777" w:rsidR="00B554A3" w:rsidRDefault="00B554A3" w:rsidP="00D66FC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A15FD95" w14:textId="279640BB" w:rsidR="009B613A" w:rsidRPr="008D13C9" w:rsidRDefault="009B613A" w:rsidP="00D66FC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D13C9">
        <w:rPr>
          <w:rFonts w:ascii="Arial" w:hAnsi="Arial" w:cs="Arial"/>
          <w:i/>
          <w:iCs/>
          <w:sz w:val="24"/>
          <w:szCs w:val="24"/>
        </w:rPr>
        <w:t>Superannuation</w:t>
      </w:r>
    </w:p>
    <w:p w14:paraId="03CB0327" w14:textId="7E9A5A8F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9B613A" w:rsidRPr="00260915">
        <w:rPr>
          <w:rFonts w:ascii="Arial" w:hAnsi="Arial" w:cs="Arial"/>
          <w:sz w:val="24"/>
          <w:szCs w:val="24"/>
        </w:rPr>
        <w:t xml:space="preserve">The </w:t>
      </w:r>
      <w:r w:rsidR="00DC77B2" w:rsidRPr="00260915">
        <w:rPr>
          <w:rFonts w:ascii="Arial" w:hAnsi="Arial" w:cs="Arial"/>
          <w:sz w:val="24"/>
          <w:szCs w:val="24"/>
        </w:rPr>
        <w:t>superannuation</w:t>
      </w:r>
      <w:r w:rsidR="005560CF" w:rsidRPr="00260915">
        <w:rPr>
          <w:rFonts w:ascii="Arial" w:hAnsi="Arial" w:cs="Arial"/>
          <w:sz w:val="24"/>
          <w:szCs w:val="24"/>
        </w:rPr>
        <w:t xml:space="preserve"> of a summons</w:t>
      </w:r>
      <w:r w:rsidR="00F55F1C" w:rsidRPr="00260915">
        <w:rPr>
          <w:rFonts w:ascii="Arial" w:hAnsi="Arial" w:cs="Arial"/>
          <w:sz w:val="24"/>
          <w:szCs w:val="24"/>
        </w:rPr>
        <w:t xml:space="preserve"> could be said to occur when it becomes </w:t>
      </w:r>
      <w:r w:rsidR="00763A0F" w:rsidRPr="00260915">
        <w:rPr>
          <w:rFonts w:ascii="Arial" w:hAnsi="Arial" w:cs="Arial"/>
          <w:sz w:val="24"/>
          <w:szCs w:val="24"/>
        </w:rPr>
        <w:t>too outdated or stale to be effective.</w:t>
      </w:r>
      <w:r w:rsidR="00DC77B2" w:rsidRPr="00260915">
        <w:rPr>
          <w:rFonts w:ascii="Arial" w:hAnsi="Arial" w:cs="Arial"/>
          <w:sz w:val="24"/>
          <w:szCs w:val="24"/>
        </w:rPr>
        <w:t xml:space="preserve"> </w:t>
      </w:r>
      <w:r w:rsidR="00883C09" w:rsidRPr="00260915">
        <w:rPr>
          <w:rFonts w:ascii="Arial" w:hAnsi="Arial" w:cs="Arial"/>
          <w:sz w:val="24"/>
          <w:szCs w:val="24"/>
        </w:rPr>
        <w:t xml:space="preserve">The relevant principles </w:t>
      </w:r>
      <w:r w:rsidR="002624D1" w:rsidRPr="00260915">
        <w:rPr>
          <w:rFonts w:ascii="Arial" w:hAnsi="Arial" w:cs="Arial"/>
          <w:sz w:val="24"/>
          <w:szCs w:val="24"/>
        </w:rPr>
        <w:t xml:space="preserve">can be summarised as follows: </w:t>
      </w:r>
      <w:r w:rsidR="00056E7F" w:rsidRPr="00260915">
        <w:rPr>
          <w:rFonts w:ascii="Arial" w:hAnsi="Arial" w:cs="Arial"/>
          <w:sz w:val="24"/>
          <w:szCs w:val="24"/>
        </w:rPr>
        <w:t xml:space="preserve">if the plaintiff institutes action which the defendant simply ignores, then </w:t>
      </w:r>
      <w:r w:rsidR="004F1275" w:rsidRPr="00260915">
        <w:rPr>
          <w:rFonts w:ascii="Arial" w:hAnsi="Arial" w:cs="Arial"/>
          <w:sz w:val="24"/>
          <w:szCs w:val="24"/>
        </w:rPr>
        <w:t>the plaintiff must nevertheless proceed with the action within a reasonable time</w:t>
      </w:r>
      <w:r w:rsidR="0057102F" w:rsidRPr="00260915">
        <w:rPr>
          <w:rFonts w:ascii="Arial" w:hAnsi="Arial" w:cs="Arial"/>
          <w:sz w:val="24"/>
          <w:szCs w:val="24"/>
        </w:rPr>
        <w:t xml:space="preserve">, to be determined by </w:t>
      </w:r>
      <w:r w:rsidR="00706ECB" w:rsidRPr="00260915">
        <w:rPr>
          <w:rFonts w:ascii="Arial" w:hAnsi="Arial" w:cs="Arial"/>
          <w:sz w:val="24"/>
          <w:szCs w:val="24"/>
        </w:rPr>
        <w:t>all the relevant facts of the matter</w:t>
      </w:r>
      <w:r w:rsidR="00D66042" w:rsidRPr="00260915">
        <w:rPr>
          <w:rFonts w:ascii="Arial" w:hAnsi="Arial" w:cs="Arial"/>
          <w:sz w:val="24"/>
          <w:szCs w:val="24"/>
        </w:rPr>
        <w:t>.</w:t>
      </w:r>
      <w:r w:rsidR="00140200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DC77B2" w:rsidRPr="00260915">
        <w:rPr>
          <w:rFonts w:ascii="Arial" w:hAnsi="Arial" w:cs="Arial"/>
          <w:sz w:val="24"/>
          <w:szCs w:val="24"/>
        </w:rPr>
        <w:t xml:space="preserve"> </w:t>
      </w:r>
      <w:r w:rsidR="009F76AB" w:rsidRPr="00260915">
        <w:rPr>
          <w:rFonts w:ascii="Arial" w:hAnsi="Arial" w:cs="Arial"/>
          <w:sz w:val="24"/>
          <w:szCs w:val="24"/>
        </w:rPr>
        <w:t>The</w:t>
      </w:r>
      <w:r w:rsidR="008F118E" w:rsidRPr="00260915">
        <w:rPr>
          <w:rFonts w:ascii="Arial" w:hAnsi="Arial" w:cs="Arial"/>
          <w:sz w:val="24"/>
          <w:szCs w:val="24"/>
        </w:rPr>
        <w:t>re is</w:t>
      </w:r>
      <w:r w:rsidR="002C5B41" w:rsidRPr="00260915">
        <w:rPr>
          <w:rFonts w:ascii="Arial" w:hAnsi="Arial" w:cs="Arial"/>
          <w:sz w:val="24"/>
          <w:szCs w:val="24"/>
        </w:rPr>
        <w:t>, currently,</w:t>
      </w:r>
      <w:r w:rsidR="008F118E" w:rsidRPr="00260915">
        <w:rPr>
          <w:rFonts w:ascii="Arial" w:hAnsi="Arial" w:cs="Arial"/>
          <w:sz w:val="24"/>
          <w:szCs w:val="24"/>
        </w:rPr>
        <w:t xml:space="preserve"> no </w:t>
      </w:r>
      <w:r w:rsidR="00555A35" w:rsidRPr="00260915">
        <w:rPr>
          <w:rFonts w:ascii="Arial" w:hAnsi="Arial" w:cs="Arial"/>
          <w:sz w:val="24"/>
          <w:szCs w:val="24"/>
        </w:rPr>
        <w:t xml:space="preserve">rule of court </w:t>
      </w:r>
      <w:r w:rsidR="00A93B01" w:rsidRPr="00260915">
        <w:rPr>
          <w:rFonts w:ascii="Arial" w:hAnsi="Arial" w:cs="Arial"/>
          <w:sz w:val="24"/>
          <w:szCs w:val="24"/>
        </w:rPr>
        <w:t xml:space="preserve">or practice </w:t>
      </w:r>
      <w:r w:rsidR="002C5B41" w:rsidRPr="00260915">
        <w:rPr>
          <w:rFonts w:ascii="Arial" w:hAnsi="Arial" w:cs="Arial"/>
          <w:sz w:val="24"/>
          <w:szCs w:val="24"/>
        </w:rPr>
        <w:t>which</w:t>
      </w:r>
      <w:r w:rsidR="00A93B01" w:rsidRPr="00260915">
        <w:rPr>
          <w:rFonts w:ascii="Arial" w:hAnsi="Arial" w:cs="Arial"/>
          <w:sz w:val="24"/>
          <w:szCs w:val="24"/>
        </w:rPr>
        <w:t xml:space="preserve"> </w:t>
      </w:r>
      <w:r w:rsidR="00142CF7" w:rsidRPr="00260915">
        <w:rPr>
          <w:rFonts w:ascii="Arial" w:hAnsi="Arial" w:cs="Arial"/>
          <w:sz w:val="24"/>
          <w:szCs w:val="24"/>
        </w:rPr>
        <w:t xml:space="preserve">provides </w:t>
      </w:r>
      <w:r w:rsidR="002C5B41" w:rsidRPr="00260915">
        <w:rPr>
          <w:rFonts w:ascii="Arial" w:hAnsi="Arial" w:cs="Arial"/>
          <w:sz w:val="24"/>
          <w:szCs w:val="24"/>
        </w:rPr>
        <w:t xml:space="preserve">that </w:t>
      </w:r>
      <w:r w:rsidR="00142CF7" w:rsidRPr="00260915">
        <w:rPr>
          <w:rFonts w:ascii="Arial" w:hAnsi="Arial" w:cs="Arial"/>
          <w:sz w:val="24"/>
          <w:szCs w:val="24"/>
        </w:rPr>
        <w:t xml:space="preserve">any summons or procedural step lapses merely because </w:t>
      </w:r>
      <w:r w:rsidR="00B23830" w:rsidRPr="00260915">
        <w:rPr>
          <w:rFonts w:ascii="Arial" w:hAnsi="Arial" w:cs="Arial"/>
          <w:sz w:val="24"/>
          <w:szCs w:val="24"/>
        </w:rPr>
        <w:t>the plaintiff fails to proceed with the action.</w:t>
      </w:r>
      <w:r w:rsidR="00B23830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400155" w:rsidRPr="00260915">
        <w:rPr>
          <w:rFonts w:ascii="Arial" w:hAnsi="Arial" w:cs="Arial"/>
          <w:sz w:val="24"/>
          <w:szCs w:val="24"/>
        </w:rPr>
        <w:t xml:space="preserve"> </w:t>
      </w:r>
    </w:p>
    <w:p w14:paraId="4AEC7C6E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28CB466" w14:textId="0A03AE09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[12]</w:t>
      </w:r>
      <w:r>
        <w:rPr>
          <w:rFonts w:ascii="Arial" w:hAnsi="Arial" w:cs="Arial"/>
          <w:sz w:val="24"/>
          <w:szCs w:val="24"/>
        </w:rPr>
        <w:tab/>
      </w:r>
      <w:r w:rsidR="009A2732" w:rsidRPr="00260915">
        <w:rPr>
          <w:rFonts w:ascii="Arial" w:hAnsi="Arial" w:cs="Arial"/>
          <w:sz w:val="24"/>
          <w:szCs w:val="24"/>
        </w:rPr>
        <w:t xml:space="preserve">There is old authority for the contention that it is unreasonable to delay beyond the period of prescription </w:t>
      </w:r>
      <w:r w:rsidR="00024174" w:rsidRPr="00260915">
        <w:rPr>
          <w:rFonts w:ascii="Arial" w:hAnsi="Arial" w:cs="Arial"/>
          <w:sz w:val="24"/>
          <w:szCs w:val="24"/>
        </w:rPr>
        <w:t xml:space="preserve">of the debt on which an action is based. A court </w:t>
      </w:r>
      <w:r w:rsidR="00A75BC5" w:rsidRPr="00260915">
        <w:rPr>
          <w:rFonts w:ascii="Arial" w:hAnsi="Arial" w:cs="Arial"/>
          <w:sz w:val="24"/>
          <w:szCs w:val="24"/>
        </w:rPr>
        <w:t>is entitled to refuse to grant judgment in such circumstances and may grant leave to the plaintiff to issue a fresh summons.</w:t>
      </w:r>
      <w:r w:rsidR="004D22C4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A75BC5" w:rsidRPr="00260915">
        <w:rPr>
          <w:rFonts w:ascii="Arial" w:hAnsi="Arial" w:cs="Arial"/>
          <w:sz w:val="24"/>
          <w:szCs w:val="24"/>
        </w:rPr>
        <w:t xml:space="preserve"> </w:t>
      </w:r>
      <w:r w:rsidR="00DF477B" w:rsidRPr="00260915">
        <w:rPr>
          <w:rFonts w:ascii="Arial" w:hAnsi="Arial" w:cs="Arial"/>
          <w:sz w:val="24"/>
          <w:szCs w:val="24"/>
        </w:rPr>
        <w:t>No consistent approach is evident from earlier case law. For example, a court granted default judgment despite the lapse of 21 months between the date of issue of summons and the application itself</w:t>
      </w:r>
      <w:r w:rsidR="00547533" w:rsidRPr="00260915">
        <w:rPr>
          <w:rFonts w:ascii="Arial" w:hAnsi="Arial" w:cs="Arial"/>
          <w:sz w:val="24"/>
          <w:szCs w:val="24"/>
        </w:rPr>
        <w:t>;</w:t>
      </w:r>
      <w:r w:rsidR="00547533">
        <w:rPr>
          <w:rStyle w:val="FootnoteReference"/>
          <w:rFonts w:ascii="Arial" w:hAnsi="Arial" w:cs="Arial"/>
          <w:sz w:val="24"/>
          <w:szCs w:val="24"/>
        </w:rPr>
        <w:footnoteReference w:id="5"/>
      </w:r>
      <w:r w:rsidR="005B4677" w:rsidRPr="00260915">
        <w:rPr>
          <w:rFonts w:ascii="Arial" w:hAnsi="Arial" w:cs="Arial"/>
          <w:sz w:val="24"/>
          <w:szCs w:val="24"/>
        </w:rPr>
        <w:t xml:space="preserve"> however, a court in a</w:t>
      </w:r>
      <w:r w:rsidR="005D3225" w:rsidRPr="00260915">
        <w:rPr>
          <w:rFonts w:ascii="Arial" w:hAnsi="Arial" w:cs="Arial"/>
          <w:sz w:val="24"/>
          <w:szCs w:val="24"/>
        </w:rPr>
        <w:t xml:space="preserve"> different matter ordered fresh service of the summons where five years had lapsed.</w:t>
      </w:r>
      <w:r w:rsidR="00610258">
        <w:rPr>
          <w:rStyle w:val="FootnoteReference"/>
          <w:rFonts w:ascii="Arial" w:hAnsi="Arial" w:cs="Arial"/>
          <w:sz w:val="24"/>
          <w:szCs w:val="24"/>
        </w:rPr>
        <w:footnoteReference w:id="6"/>
      </w:r>
    </w:p>
    <w:p w14:paraId="4AF198A7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6040FCDE" w14:textId="2ED44EB7" w:rsidR="009F76A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[13]</w:t>
      </w:r>
      <w:r w:rsidRPr="00D66FCB">
        <w:rPr>
          <w:rFonts w:ascii="Arial" w:hAnsi="Arial" w:cs="Arial"/>
          <w:sz w:val="24"/>
          <w:szCs w:val="24"/>
        </w:rPr>
        <w:tab/>
      </w:r>
      <w:r w:rsidR="00A20F92" w:rsidRPr="00260915">
        <w:rPr>
          <w:rFonts w:ascii="Arial" w:hAnsi="Arial" w:cs="Arial"/>
          <w:sz w:val="24"/>
          <w:szCs w:val="24"/>
        </w:rPr>
        <w:t xml:space="preserve">In </w:t>
      </w:r>
      <w:r w:rsidR="00A20F92" w:rsidRPr="00260915">
        <w:rPr>
          <w:rFonts w:ascii="Arial" w:hAnsi="Arial" w:cs="Arial"/>
          <w:i/>
          <w:iCs/>
          <w:sz w:val="24"/>
          <w:szCs w:val="24"/>
        </w:rPr>
        <w:t>Molala v Minister of Law and Order and another</w:t>
      </w:r>
      <w:r w:rsidR="00A20F92" w:rsidRPr="00260915">
        <w:rPr>
          <w:rFonts w:ascii="Arial" w:hAnsi="Arial" w:cs="Arial"/>
          <w:sz w:val="24"/>
          <w:szCs w:val="24"/>
        </w:rPr>
        <w:t>,</w:t>
      </w:r>
      <w:r w:rsidR="00A20F92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7F53F8" w:rsidRPr="00260915">
        <w:rPr>
          <w:rFonts w:ascii="Arial" w:hAnsi="Arial" w:cs="Arial"/>
          <w:sz w:val="24"/>
          <w:szCs w:val="24"/>
        </w:rPr>
        <w:t xml:space="preserve"> the </w:t>
      </w:r>
      <w:r w:rsidR="006311A7" w:rsidRPr="00260915">
        <w:rPr>
          <w:rFonts w:ascii="Arial" w:hAnsi="Arial" w:cs="Arial"/>
          <w:sz w:val="24"/>
          <w:szCs w:val="24"/>
        </w:rPr>
        <w:t>plaintiff issued summons on 3 March 1987</w:t>
      </w:r>
      <w:r w:rsidR="007C1A3B" w:rsidRPr="00260915">
        <w:rPr>
          <w:rFonts w:ascii="Arial" w:hAnsi="Arial" w:cs="Arial"/>
          <w:sz w:val="24"/>
          <w:szCs w:val="24"/>
        </w:rPr>
        <w:t xml:space="preserve">, to which the defendant filed a request for further particulars on </w:t>
      </w:r>
      <w:r w:rsidR="00782351" w:rsidRPr="00260915">
        <w:rPr>
          <w:rFonts w:ascii="Arial" w:hAnsi="Arial" w:cs="Arial"/>
          <w:sz w:val="24"/>
          <w:szCs w:val="24"/>
        </w:rPr>
        <w:t>16 April 1987</w:t>
      </w:r>
      <w:r w:rsidR="00637986" w:rsidRPr="00260915">
        <w:rPr>
          <w:rFonts w:ascii="Arial" w:hAnsi="Arial" w:cs="Arial"/>
          <w:sz w:val="24"/>
          <w:szCs w:val="24"/>
        </w:rPr>
        <w:t>. Besides a change of attorneys, nothing further happened until 23 September 1</w:t>
      </w:r>
      <w:r w:rsidR="00A2183A" w:rsidRPr="00260915">
        <w:rPr>
          <w:rFonts w:ascii="Arial" w:hAnsi="Arial" w:cs="Arial"/>
          <w:sz w:val="24"/>
          <w:szCs w:val="24"/>
        </w:rPr>
        <w:t xml:space="preserve">991, when the plaintiff furnished </w:t>
      </w:r>
      <w:r w:rsidR="00341700" w:rsidRPr="00260915">
        <w:rPr>
          <w:rFonts w:ascii="Arial" w:hAnsi="Arial" w:cs="Arial"/>
          <w:sz w:val="24"/>
          <w:szCs w:val="24"/>
        </w:rPr>
        <w:t xml:space="preserve">such </w:t>
      </w:r>
      <w:r w:rsidR="00A2183A" w:rsidRPr="00260915">
        <w:rPr>
          <w:rFonts w:ascii="Arial" w:hAnsi="Arial" w:cs="Arial"/>
          <w:sz w:val="24"/>
          <w:szCs w:val="24"/>
        </w:rPr>
        <w:t>further particulars</w:t>
      </w:r>
      <w:r w:rsidR="00341700" w:rsidRPr="00260915">
        <w:rPr>
          <w:rFonts w:ascii="Arial" w:hAnsi="Arial" w:cs="Arial"/>
          <w:sz w:val="24"/>
          <w:szCs w:val="24"/>
        </w:rPr>
        <w:t xml:space="preserve">. The </w:t>
      </w:r>
      <w:r w:rsidR="008611E6" w:rsidRPr="00260915">
        <w:rPr>
          <w:rFonts w:ascii="Arial" w:hAnsi="Arial" w:cs="Arial"/>
          <w:sz w:val="24"/>
          <w:szCs w:val="24"/>
        </w:rPr>
        <w:t xml:space="preserve">defendant subsequently applied for the dismissal of the action on the </w:t>
      </w:r>
      <w:r w:rsidR="00D409F4" w:rsidRPr="00260915">
        <w:rPr>
          <w:rFonts w:ascii="Arial" w:hAnsi="Arial" w:cs="Arial"/>
          <w:sz w:val="24"/>
          <w:szCs w:val="24"/>
        </w:rPr>
        <w:t xml:space="preserve">ground of abuse of process, caused by </w:t>
      </w:r>
      <w:r w:rsidR="00532B07" w:rsidRPr="00260915">
        <w:rPr>
          <w:rFonts w:ascii="Arial" w:hAnsi="Arial" w:cs="Arial"/>
          <w:sz w:val="24"/>
          <w:szCs w:val="24"/>
        </w:rPr>
        <w:t xml:space="preserve">the plaintiff’s </w:t>
      </w:r>
      <w:r w:rsidR="00D409F4" w:rsidRPr="00260915">
        <w:rPr>
          <w:rFonts w:ascii="Arial" w:hAnsi="Arial" w:cs="Arial"/>
          <w:sz w:val="24"/>
          <w:szCs w:val="24"/>
        </w:rPr>
        <w:t>unreasonable delay</w:t>
      </w:r>
      <w:r w:rsidR="00532B07" w:rsidRPr="00260915">
        <w:rPr>
          <w:rFonts w:ascii="Arial" w:hAnsi="Arial" w:cs="Arial"/>
          <w:sz w:val="24"/>
          <w:szCs w:val="24"/>
        </w:rPr>
        <w:t xml:space="preserve"> in taking further steps. The</w:t>
      </w:r>
      <w:r w:rsidR="00D409F4" w:rsidRPr="00260915">
        <w:rPr>
          <w:rFonts w:ascii="Arial" w:hAnsi="Arial" w:cs="Arial"/>
          <w:sz w:val="24"/>
          <w:szCs w:val="24"/>
        </w:rPr>
        <w:t xml:space="preserve"> </w:t>
      </w:r>
      <w:r w:rsidR="007F53F8" w:rsidRPr="00260915">
        <w:rPr>
          <w:rFonts w:ascii="Arial" w:hAnsi="Arial" w:cs="Arial"/>
          <w:sz w:val="24"/>
          <w:szCs w:val="24"/>
        </w:rPr>
        <w:t xml:space="preserve">court remarked that it seemed to be generally accepted </w:t>
      </w:r>
      <w:r w:rsidR="003A248F" w:rsidRPr="00260915">
        <w:rPr>
          <w:rFonts w:ascii="Arial" w:hAnsi="Arial" w:cs="Arial"/>
          <w:sz w:val="24"/>
          <w:szCs w:val="24"/>
        </w:rPr>
        <w:t>that, in the absence of any express provision</w:t>
      </w:r>
      <w:r w:rsidR="00594BF7" w:rsidRPr="00260915">
        <w:rPr>
          <w:rFonts w:ascii="Arial" w:hAnsi="Arial" w:cs="Arial"/>
          <w:sz w:val="24"/>
          <w:szCs w:val="24"/>
        </w:rPr>
        <w:t xml:space="preserve">, </w:t>
      </w:r>
      <w:r w:rsidR="00993687" w:rsidRPr="00260915">
        <w:rPr>
          <w:rFonts w:ascii="Arial" w:hAnsi="Arial" w:cs="Arial"/>
          <w:sz w:val="24"/>
          <w:szCs w:val="24"/>
        </w:rPr>
        <w:t xml:space="preserve">there was no principle that </w:t>
      </w:r>
      <w:r w:rsidR="00594BF7" w:rsidRPr="00260915">
        <w:rPr>
          <w:rFonts w:ascii="Arial" w:hAnsi="Arial" w:cs="Arial"/>
          <w:sz w:val="24"/>
          <w:szCs w:val="24"/>
        </w:rPr>
        <w:t xml:space="preserve">a High Court summons </w:t>
      </w:r>
      <w:r w:rsidR="00993687" w:rsidRPr="00260915">
        <w:rPr>
          <w:rFonts w:ascii="Arial" w:hAnsi="Arial" w:cs="Arial"/>
          <w:sz w:val="24"/>
          <w:szCs w:val="24"/>
        </w:rPr>
        <w:t xml:space="preserve">loses its validity merely because </w:t>
      </w:r>
      <w:proofErr w:type="gramStart"/>
      <w:r w:rsidR="00740CD8" w:rsidRPr="00260915">
        <w:rPr>
          <w:rFonts w:ascii="Arial" w:hAnsi="Arial" w:cs="Arial"/>
          <w:sz w:val="24"/>
          <w:szCs w:val="24"/>
        </w:rPr>
        <w:t>a period</w:t>
      </w:r>
      <w:r w:rsidR="00993687" w:rsidRPr="00260915">
        <w:rPr>
          <w:rFonts w:ascii="Arial" w:hAnsi="Arial" w:cs="Arial"/>
          <w:sz w:val="24"/>
          <w:szCs w:val="24"/>
        </w:rPr>
        <w:t xml:space="preserve"> </w:t>
      </w:r>
      <w:r w:rsidR="00F117DC" w:rsidRPr="00260915">
        <w:rPr>
          <w:rFonts w:ascii="Arial" w:hAnsi="Arial" w:cs="Arial"/>
          <w:sz w:val="24"/>
          <w:szCs w:val="24"/>
        </w:rPr>
        <w:t>of time</w:t>
      </w:r>
      <w:proofErr w:type="gramEnd"/>
      <w:r w:rsidR="00F117DC" w:rsidRPr="00260915">
        <w:rPr>
          <w:rFonts w:ascii="Arial" w:hAnsi="Arial" w:cs="Arial"/>
          <w:sz w:val="24"/>
          <w:szCs w:val="24"/>
        </w:rPr>
        <w:t xml:space="preserve"> </w:t>
      </w:r>
      <w:r w:rsidR="00993687" w:rsidRPr="00260915">
        <w:rPr>
          <w:rFonts w:ascii="Arial" w:hAnsi="Arial" w:cs="Arial"/>
          <w:sz w:val="24"/>
          <w:szCs w:val="24"/>
        </w:rPr>
        <w:t>has passed.</w:t>
      </w:r>
      <w:r w:rsidR="00C533B5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BD3C01" w:rsidRPr="00260915">
        <w:rPr>
          <w:rFonts w:ascii="Arial" w:hAnsi="Arial" w:cs="Arial"/>
          <w:sz w:val="24"/>
          <w:szCs w:val="24"/>
        </w:rPr>
        <w:t xml:space="preserve"> Flemming DJP went on to hold that:</w:t>
      </w:r>
    </w:p>
    <w:p w14:paraId="14B31889" w14:textId="4FF1578C" w:rsidR="00BD3C01" w:rsidRPr="00C364F9" w:rsidRDefault="00BD3C01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C364F9">
        <w:rPr>
          <w:rFonts w:ascii="Arial" w:hAnsi="Arial" w:cs="Arial"/>
        </w:rPr>
        <w:t>‘</w:t>
      </w:r>
      <w:r w:rsidR="00E85D13" w:rsidRPr="00C364F9">
        <w:rPr>
          <w:rFonts w:ascii="Arial" w:hAnsi="Arial" w:cs="Arial"/>
        </w:rPr>
        <w:t>The approach which I am bound to apply</w:t>
      </w:r>
      <w:r w:rsidR="00740CD8" w:rsidRPr="00C364F9">
        <w:rPr>
          <w:rFonts w:ascii="Arial" w:hAnsi="Arial" w:cs="Arial"/>
        </w:rPr>
        <w:t xml:space="preserve"> is therefore not simply whether more than a reasonable time has elapsed.</w:t>
      </w:r>
      <w:r w:rsidR="00F117DC" w:rsidRPr="00C364F9">
        <w:rPr>
          <w:rFonts w:ascii="Arial" w:hAnsi="Arial" w:cs="Arial"/>
        </w:rPr>
        <w:t xml:space="preserve"> It should be assessed whether</w:t>
      </w:r>
      <w:r w:rsidR="0074283B" w:rsidRPr="00C364F9">
        <w:rPr>
          <w:rFonts w:ascii="Arial" w:hAnsi="Arial" w:cs="Arial"/>
        </w:rPr>
        <w:t xml:space="preserve"> a facility which is undoubtedly available to a party </w:t>
      </w:r>
      <w:r w:rsidR="00803D2B" w:rsidRPr="00C364F9">
        <w:rPr>
          <w:rFonts w:ascii="Arial" w:hAnsi="Arial" w:cs="Arial"/>
        </w:rPr>
        <w:t xml:space="preserve">was used, not as an aid to the airing of disputes </w:t>
      </w:r>
      <w:r w:rsidR="00DE1C32" w:rsidRPr="00C364F9">
        <w:rPr>
          <w:rFonts w:ascii="Arial" w:hAnsi="Arial" w:cs="Arial"/>
        </w:rPr>
        <w:t xml:space="preserve">and in that sense moving towards the administration of justice, but knowingly in such a fashion that </w:t>
      </w:r>
      <w:r w:rsidR="00EF5A86" w:rsidRPr="00C364F9">
        <w:rPr>
          <w:rFonts w:ascii="Arial" w:hAnsi="Arial" w:cs="Arial"/>
        </w:rPr>
        <w:t>the manner of exercise of that right would cause injustice.</w:t>
      </w:r>
      <w:r w:rsidR="00C01A93" w:rsidRPr="00C364F9">
        <w:rPr>
          <w:rFonts w:ascii="Arial" w:hAnsi="Arial" w:cs="Arial"/>
        </w:rPr>
        <w:t xml:space="preserve"> The issue is whether there is behaviour which oversteps the threshold </w:t>
      </w:r>
      <w:r w:rsidR="0066389C" w:rsidRPr="00C364F9">
        <w:rPr>
          <w:rFonts w:ascii="Arial" w:hAnsi="Arial" w:cs="Arial"/>
        </w:rPr>
        <w:t>of legitimacy.</w:t>
      </w:r>
      <w:r w:rsidR="00BC4CEE" w:rsidRPr="00C364F9">
        <w:rPr>
          <w:rFonts w:ascii="Arial" w:hAnsi="Arial" w:cs="Arial"/>
        </w:rPr>
        <w:t xml:space="preserve"> Nor, in the premises, can plaintiff be barred </w:t>
      </w:r>
      <w:r w:rsidR="00790D8F" w:rsidRPr="00C364F9">
        <w:rPr>
          <w:rFonts w:ascii="Arial" w:hAnsi="Arial" w:cs="Arial"/>
        </w:rPr>
        <w:t xml:space="preserve">simply because defendants were prejudiced. The increasingly difficult position </w:t>
      </w:r>
      <w:r w:rsidR="00E924B8" w:rsidRPr="00C364F9">
        <w:rPr>
          <w:rFonts w:ascii="Arial" w:hAnsi="Arial" w:cs="Arial"/>
        </w:rPr>
        <w:t xml:space="preserve">of the defendants is a factor which may or may not assist in justifying </w:t>
      </w:r>
      <w:r w:rsidR="004F32AF" w:rsidRPr="00C364F9">
        <w:rPr>
          <w:rFonts w:ascii="Arial" w:hAnsi="Arial" w:cs="Arial"/>
        </w:rPr>
        <w:t xml:space="preserve">an inference that plaintiff’s intentions were directed to causing </w:t>
      </w:r>
      <w:r w:rsidR="00BB4238" w:rsidRPr="00C364F9">
        <w:rPr>
          <w:rFonts w:ascii="Arial" w:hAnsi="Arial" w:cs="Arial"/>
        </w:rPr>
        <w:t>or to increasing such difficulties. But the enquiry must remain directed towards what plaintiff intended</w:t>
      </w:r>
      <w:r w:rsidR="002C5B2C" w:rsidRPr="00C364F9">
        <w:rPr>
          <w:rFonts w:ascii="Arial" w:hAnsi="Arial" w:cs="Arial"/>
        </w:rPr>
        <w:t xml:space="preserve">, albeit in part by way of </w:t>
      </w:r>
      <w:r w:rsidR="002C5B2C" w:rsidRPr="00C364F9">
        <w:rPr>
          <w:rFonts w:ascii="Arial" w:hAnsi="Arial" w:cs="Arial"/>
          <w:i/>
          <w:iCs/>
        </w:rPr>
        <w:t>dolus eventualis</w:t>
      </w:r>
      <w:r w:rsidR="002C5B2C" w:rsidRPr="00C364F9">
        <w:rPr>
          <w:rFonts w:ascii="Arial" w:hAnsi="Arial" w:cs="Arial"/>
        </w:rPr>
        <w:t>.</w:t>
      </w:r>
      <w:r w:rsidR="000D278C" w:rsidRPr="00C364F9">
        <w:rPr>
          <w:rFonts w:ascii="Arial" w:hAnsi="Arial" w:cs="Arial"/>
        </w:rPr>
        <w:t xml:space="preserve"> The increase in defendants’ problems is, secondly, a factor insofar as the Court</w:t>
      </w:r>
      <w:r w:rsidR="00740099" w:rsidRPr="00C364F9">
        <w:rPr>
          <w:rFonts w:ascii="Arial" w:hAnsi="Arial" w:cs="Arial"/>
        </w:rPr>
        <w:t xml:space="preserve">, on an overall view of the case, is to exercise a discretion about how to deal with </w:t>
      </w:r>
      <w:r w:rsidR="00B6773C" w:rsidRPr="00C364F9">
        <w:rPr>
          <w:rFonts w:ascii="Arial" w:hAnsi="Arial" w:cs="Arial"/>
        </w:rPr>
        <w:t>a proven abuse of process.’</w:t>
      </w:r>
      <w:r w:rsidR="00B6773C" w:rsidRPr="00C364F9">
        <w:rPr>
          <w:rStyle w:val="FootnoteReference"/>
          <w:rFonts w:ascii="Arial" w:hAnsi="Arial" w:cs="Arial"/>
        </w:rPr>
        <w:footnoteReference w:id="9"/>
      </w:r>
    </w:p>
    <w:p w14:paraId="39D1D60B" w14:textId="77777777" w:rsidR="00C364F9" w:rsidRDefault="00C364F9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2EB1094C" w14:textId="00DACC4A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C364F9" w:rsidRPr="00260915">
        <w:rPr>
          <w:rFonts w:ascii="Arial" w:hAnsi="Arial" w:cs="Arial"/>
          <w:sz w:val="24"/>
          <w:szCs w:val="24"/>
        </w:rPr>
        <w:t xml:space="preserve">The </w:t>
      </w:r>
      <w:r w:rsidR="00BB6B96" w:rsidRPr="00260915">
        <w:rPr>
          <w:rFonts w:ascii="Arial" w:hAnsi="Arial" w:cs="Arial"/>
          <w:sz w:val="24"/>
          <w:szCs w:val="24"/>
        </w:rPr>
        <w:t xml:space="preserve">above approach </w:t>
      </w:r>
      <w:r w:rsidR="00367C3D" w:rsidRPr="00260915">
        <w:rPr>
          <w:rFonts w:ascii="Arial" w:hAnsi="Arial" w:cs="Arial"/>
          <w:sz w:val="24"/>
          <w:szCs w:val="24"/>
        </w:rPr>
        <w:t>emphasises the conduct of the plaintiff</w:t>
      </w:r>
      <w:r w:rsidR="0046570A" w:rsidRPr="00260915">
        <w:rPr>
          <w:rFonts w:ascii="Arial" w:hAnsi="Arial" w:cs="Arial"/>
          <w:sz w:val="24"/>
          <w:szCs w:val="24"/>
        </w:rPr>
        <w:t xml:space="preserve">. If a court finds that it was </w:t>
      </w:r>
      <w:r w:rsidR="004C0C17" w:rsidRPr="00260915">
        <w:rPr>
          <w:rFonts w:ascii="Arial" w:hAnsi="Arial" w:cs="Arial"/>
          <w:sz w:val="24"/>
          <w:szCs w:val="24"/>
        </w:rPr>
        <w:t xml:space="preserve">not </w:t>
      </w:r>
      <w:r w:rsidR="004C0C17" w:rsidRPr="00260915">
        <w:rPr>
          <w:rFonts w:ascii="Arial" w:hAnsi="Arial" w:cs="Arial"/>
          <w:i/>
          <w:iCs/>
          <w:sz w:val="24"/>
          <w:szCs w:val="24"/>
        </w:rPr>
        <w:t>bona fide</w:t>
      </w:r>
      <w:r w:rsidR="004C0C17" w:rsidRPr="00260915">
        <w:rPr>
          <w:rFonts w:ascii="Arial" w:hAnsi="Arial" w:cs="Arial"/>
          <w:sz w:val="24"/>
          <w:szCs w:val="24"/>
        </w:rPr>
        <w:t xml:space="preserve"> then it should exercise its discretion accordingly. </w:t>
      </w:r>
    </w:p>
    <w:p w14:paraId="1BC833AE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70F1387" w14:textId="328B2B36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[15]</w:t>
      </w:r>
      <w:r>
        <w:rPr>
          <w:rFonts w:ascii="Arial" w:hAnsi="Arial" w:cs="Arial"/>
          <w:sz w:val="24"/>
          <w:szCs w:val="24"/>
        </w:rPr>
        <w:tab/>
      </w:r>
      <w:r w:rsidR="00726A85" w:rsidRPr="00260915">
        <w:rPr>
          <w:rFonts w:ascii="Arial" w:hAnsi="Arial" w:cs="Arial"/>
          <w:sz w:val="24"/>
          <w:szCs w:val="24"/>
        </w:rPr>
        <w:t>Subsequent</w:t>
      </w:r>
      <w:r w:rsidR="004C0C17" w:rsidRPr="00260915">
        <w:rPr>
          <w:rFonts w:ascii="Arial" w:hAnsi="Arial" w:cs="Arial"/>
          <w:sz w:val="24"/>
          <w:szCs w:val="24"/>
        </w:rPr>
        <w:t xml:space="preserve">ly, in </w:t>
      </w:r>
      <w:r w:rsidR="00726A85" w:rsidRPr="00260915">
        <w:rPr>
          <w:rFonts w:ascii="Arial" w:hAnsi="Arial" w:cs="Arial"/>
          <w:i/>
          <w:iCs/>
          <w:sz w:val="24"/>
          <w:szCs w:val="24"/>
        </w:rPr>
        <w:t>Gopaul v Subbamah</w:t>
      </w:r>
      <w:r w:rsidR="00834B10" w:rsidRPr="00260915">
        <w:rPr>
          <w:rFonts w:ascii="Arial" w:hAnsi="Arial" w:cs="Arial"/>
          <w:sz w:val="24"/>
          <w:szCs w:val="24"/>
        </w:rPr>
        <w:t>,</w:t>
      </w:r>
      <w:r w:rsidR="00834B10">
        <w:rPr>
          <w:rStyle w:val="FootnoteReference"/>
          <w:rFonts w:ascii="Arial" w:hAnsi="Arial" w:cs="Arial"/>
          <w:sz w:val="24"/>
          <w:szCs w:val="24"/>
        </w:rPr>
        <w:footnoteReference w:id="10"/>
      </w:r>
      <w:r w:rsidR="00834B10" w:rsidRPr="00260915">
        <w:rPr>
          <w:rFonts w:ascii="Arial" w:hAnsi="Arial" w:cs="Arial"/>
          <w:sz w:val="24"/>
          <w:szCs w:val="24"/>
        </w:rPr>
        <w:t xml:space="preserve"> </w:t>
      </w:r>
      <w:r w:rsidR="00D868A0" w:rsidRPr="00260915">
        <w:rPr>
          <w:rFonts w:ascii="Arial" w:hAnsi="Arial" w:cs="Arial"/>
          <w:sz w:val="24"/>
          <w:szCs w:val="24"/>
        </w:rPr>
        <w:t xml:space="preserve">Richings AJ found that </w:t>
      </w:r>
      <w:r w:rsidR="00834B10" w:rsidRPr="00260915">
        <w:rPr>
          <w:rFonts w:ascii="Arial" w:hAnsi="Arial" w:cs="Arial"/>
          <w:sz w:val="24"/>
          <w:szCs w:val="24"/>
        </w:rPr>
        <w:t xml:space="preserve">the </w:t>
      </w:r>
      <w:r w:rsidR="00520E7C" w:rsidRPr="00260915">
        <w:rPr>
          <w:rFonts w:ascii="Arial" w:hAnsi="Arial" w:cs="Arial"/>
          <w:sz w:val="24"/>
          <w:szCs w:val="24"/>
        </w:rPr>
        <w:t xml:space="preserve">proper approach entailed </w:t>
      </w:r>
      <w:r w:rsidR="003A2F54" w:rsidRPr="00260915">
        <w:rPr>
          <w:rFonts w:ascii="Arial" w:hAnsi="Arial" w:cs="Arial"/>
          <w:sz w:val="24"/>
          <w:szCs w:val="24"/>
        </w:rPr>
        <w:t>weighing up the delay and the reasons therefor, on the one hand, and the prejudice caused to the defendant, if any, on the other.</w:t>
      </w:r>
      <w:r w:rsidR="008A4B31">
        <w:rPr>
          <w:rStyle w:val="FootnoteReference"/>
          <w:rFonts w:ascii="Arial" w:hAnsi="Arial" w:cs="Arial"/>
          <w:sz w:val="24"/>
          <w:szCs w:val="24"/>
        </w:rPr>
        <w:footnoteReference w:id="11"/>
      </w:r>
      <w:r w:rsidR="00834B10" w:rsidRPr="00260915">
        <w:rPr>
          <w:rFonts w:ascii="Arial" w:hAnsi="Arial" w:cs="Arial"/>
          <w:sz w:val="24"/>
          <w:szCs w:val="24"/>
        </w:rPr>
        <w:t xml:space="preserve"> </w:t>
      </w:r>
      <w:r w:rsidR="008F12BC" w:rsidRPr="00260915">
        <w:rPr>
          <w:rFonts w:ascii="Arial" w:hAnsi="Arial" w:cs="Arial"/>
          <w:sz w:val="24"/>
          <w:szCs w:val="24"/>
        </w:rPr>
        <w:t>The learned judge also found that the reasons for the defendant’s inactivity had to be taken into account</w:t>
      </w:r>
      <w:r w:rsidR="00BB1F9A" w:rsidRPr="00260915">
        <w:rPr>
          <w:rFonts w:ascii="Arial" w:hAnsi="Arial" w:cs="Arial"/>
          <w:sz w:val="24"/>
          <w:szCs w:val="24"/>
        </w:rPr>
        <w:t xml:space="preserve">, especially considering the many procedural devices available to </w:t>
      </w:r>
      <w:r w:rsidR="00CC442A" w:rsidRPr="00260915">
        <w:rPr>
          <w:rFonts w:ascii="Arial" w:hAnsi="Arial" w:cs="Arial"/>
          <w:sz w:val="24"/>
          <w:szCs w:val="24"/>
        </w:rPr>
        <w:t>force a dilatory plaintiff to bring his or her action to finality.</w:t>
      </w:r>
      <w:r w:rsidR="00CC442A">
        <w:rPr>
          <w:rStyle w:val="FootnoteReference"/>
          <w:rFonts w:ascii="Arial" w:hAnsi="Arial" w:cs="Arial"/>
          <w:sz w:val="24"/>
          <w:szCs w:val="24"/>
        </w:rPr>
        <w:footnoteReference w:id="12"/>
      </w:r>
    </w:p>
    <w:p w14:paraId="486D0553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264415DC" w14:textId="7A81BDE6" w:rsidR="004816A6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[16]</w:t>
      </w:r>
      <w:r w:rsidRPr="00D66FCB">
        <w:rPr>
          <w:rFonts w:ascii="Arial" w:hAnsi="Arial" w:cs="Arial"/>
          <w:sz w:val="24"/>
          <w:szCs w:val="24"/>
        </w:rPr>
        <w:tab/>
      </w:r>
      <w:r w:rsidR="004816A6" w:rsidRPr="00260915">
        <w:rPr>
          <w:rFonts w:ascii="Arial" w:hAnsi="Arial" w:cs="Arial"/>
          <w:sz w:val="24"/>
          <w:szCs w:val="24"/>
        </w:rPr>
        <w:t xml:space="preserve">Counsel for the plaintiff in the present matter also drew attention to the decision in </w:t>
      </w:r>
      <w:r w:rsidR="00D24758" w:rsidRPr="00260915">
        <w:rPr>
          <w:rFonts w:ascii="Arial" w:hAnsi="Arial" w:cs="Arial"/>
          <w:i/>
          <w:iCs/>
          <w:sz w:val="24"/>
          <w:szCs w:val="24"/>
        </w:rPr>
        <w:t>Cassimjee v Minister of Finance</w:t>
      </w:r>
      <w:r w:rsidR="009352AC" w:rsidRPr="00260915">
        <w:rPr>
          <w:rFonts w:ascii="Arial" w:hAnsi="Arial" w:cs="Arial"/>
          <w:sz w:val="24"/>
          <w:szCs w:val="24"/>
        </w:rPr>
        <w:t>,</w:t>
      </w:r>
      <w:r w:rsidR="00E66A91">
        <w:rPr>
          <w:rStyle w:val="FootnoteReference"/>
          <w:rFonts w:ascii="Arial" w:hAnsi="Arial" w:cs="Arial"/>
          <w:sz w:val="24"/>
          <w:szCs w:val="24"/>
        </w:rPr>
        <w:footnoteReference w:id="13"/>
      </w:r>
      <w:r w:rsidR="009352AC" w:rsidRPr="00260915">
        <w:rPr>
          <w:rFonts w:ascii="Arial" w:hAnsi="Arial" w:cs="Arial"/>
          <w:sz w:val="24"/>
          <w:szCs w:val="24"/>
        </w:rPr>
        <w:t xml:space="preserve"> </w:t>
      </w:r>
      <w:r w:rsidR="001D7B27" w:rsidRPr="00260915">
        <w:rPr>
          <w:rFonts w:ascii="Arial" w:hAnsi="Arial" w:cs="Arial"/>
          <w:sz w:val="24"/>
          <w:szCs w:val="24"/>
        </w:rPr>
        <w:t xml:space="preserve">involving a period of </w:t>
      </w:r>
      <w:r w:rsidR="00D4019B" w:rsidRPr="00260915">
        <w:rPr>
          <w:rFonts w:ascii="Arial" w:hAnsi="Arial" w:cs="Arial"/>
          <w:sz w:val="24"/>
          <w:szCs w:val="24"/>
        </w:rPr>
        <w:t xml:space="preserve">some 20 years where neither party took steps to advance the matter. Boruchowitz AJA </w:t>
      </w:r>
      <w:r w:rsidR="009179EB" w:rsidRPr="00260915">
        <w:rPr>
          <w:rFonts w:ascii="Arial" w:hAnsi="Arial" w:cs="Arial"/>
          <w:sz w:val="24"/>
          <w:szCs w:val="24"/>
        </w:rPr>
        <w:t>observed as follows:</w:t>
      </w:r>
    </w:p>
    <w:p w14:paraId="4F6CE3F0" w14:textId="1071EA75" w:rsidR="009179EB" w:rsidRPr="008D13C9" w:rsidRDefault="002A2D99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8D13C9">
        <w:rPr>
          <w:rFonts w:ascii="Arial" w:hAnsi="Arial" w:cs="Arial"/>
        </w:rPr>
        <w:t xml:space="preserve">‘There are no hard-and-fast rules as to the </w:t>
      </w:r>
      <w:proofErr w:type="gramStart"/>
      <w:r w:rsidRPr="008D13C9">
        <w:rPr>
          <w:rFonts w:ascii="Arial" w:hAnsi="Arial" w:cs="Arial"/>
        </w:rPr>
        <w:t>manner in which</w:t>
      </w:r>
      <w:proofErr w:type="gramEnd"/>
      <w:r w:rsidRPr="008D13C9">
        <w:rPr>
          <w:rFonts w:ascii="Arial" w:hAnsi="Arial" w:cs="Arial"/>
        </w:rPr>
        <w:t xml:space="preserve"> the discretion to dismiss an action </w:t>
      </w:r>
      <w:r w:rsidR="00E3525C" w:rsidRPr="008D13C9">
        <w:rPr>
          <w:rFonts w:ascii="Arial" w:hAnsi="Arial" w:cs="Arial"/>
        </w:rPr>
        <w:t>for want of prosecution is to be exercised. But the following requirements have been recognised</w:t>
      </w:r>
      <w:r w:rsidR="00A607A3" w:rsidRPr="008D13C9">
        <w:rPr>
          <w:rFonts w:ascii="Arial" w:hAnsi="Arial" w:cs="Arial"/>
        </w:rPr>
        <w:t xml:space="preserve">. First, there should be a delay in the prosecution of the action; second, the delay must be inexcusable; </w:t>
      </w:r>
      <w:proofErr w:type="gramStart"/>
      <w:r w:rsidR="00FC3A6B" w:rsidRPr="008D13C9">
        <w:rPr>
          <w:rFonts w:ascii="Arial" w:hAnsi="Arial" w:cs="Arial"/>
        </w:rPr>
        <w:t>and,</w:t>
      </w:r>
      <w:proofErr w:type="gramEnd"/>
      <w:r w:rsidR="00FC3A6B" w:rsidRPr="008D13C9">
        <w:rPr>
          <w:rFonts w:ascii="Arial" w:hAnsi="Arial" w:cs="Arial"/>
        </w:rPr>
        <w:t xml:space="preserve"> third, the defendant must be seriously prejudiced thereby.</w:t>
      </w:r>
      <w:r w:rsidR="00C06418" w:rsidRPr="008D13C9">
        <w:rPr>
          <w:rFonts w:ascii="Arial" w:hAnsi="Arial" w:cs="Arial"/>
        </w:rPr>
        <w:t xml:space="preserve"> Ultimately, the enquiry will involve a close and careful examination of all </w:t>
      </w:r>
      <w:r w:rsidR="0099368B" w:rsidRPr="008D13C9">
        <w:rPr>
          <w:rFonts w:ascii="Arial" w:hAnsi="Arial" w:cs="Arial"/>
        </w:rPr>
        <w:t>the relevant circumstances, including the period of the delay, the reasons therefor</w:t>
      </w:r>
      <w:r w:rsidR="00B7605C" w:rsidRPr="008D13C9">
        <w:rPr>
          <w:rFonts w:ascii="Arial" w:hAnsi="Arial" w:cs="Arial"/>
        </w:rPr>
        <w:t xml:space="preserve"> and the prejudice</w:t>
      </w:r>
      <w:r w:rsidR="00A25955" w:rsidRPr="008D13C9">
        <w:rPr>
          <w:rFonts w:ascii="Arial" w:hAnsi="Arial" w:cs="Arial"/>
        </w:rPr>
        <w:t>, if any, caused to the defendant.’</w:t>
      </w:r>
      <w:r w:rsidR="00A25955" w:rsidRPr="008D13C9">
        <w:rPr>
          <w:rStyle w:val="FootnoteReference"/>
          <w:rFonts w:ascii="Arial" w:hAnsi="Arial" w:cs="Arial"/>
        </w:rPr>
        <w:footnoteReference w:id="14"/>
      </w:r>
    </w:p>
    <w:p w14:paraId="347EDAA7" w14:textId="77777777" w:rsidR="00357C5B" w:rsidRDefault="00357C5B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2BE8949E" w14:textId="377CFB25" w:rsidR="00162ED7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[17]</w:t>
      </w:r>
      <w:r w:rsidRPr="00D66FCB">
        <w:rPr>
          <w:rFonts w:ascii="Arial" w:hAnsi="Arial" w:cs="Arial"/>
          <w:sz w:val="24"/>
          <w:szCs w:val="24"/>
        </w:rPr>
        <w:tab/>
      </w:r>
      <w:r w:rsidR="00162ED7" w:rsidRPr="00260915">
        <w:rPr>
          <w:rFonts w:ascii="Arial" w:hAnsi="Arial" w:cs="Arial"/>
          <w:sz w:val="24"/>
          <w:szCs w:val="24"/>
        </w:rPr>
        <w:t xml:space="preserve">The </w:t>
      </w:r>
      <w:r w:rsidR="00357C5B" w:rsidRPr="00260915">
        <w:rPr>
          <w:rFonts w:ascii="Arial" w:hAnsi="Arial" w:cs="Arial"/>
          <w:sz w:val="24"/>
          <w:szCs w:val="24"/>
        </w:rPr>
        <w:t xml:space="preserve">principles that </w:t>
      </w:r>
      <w:r w:rsidR="00BB7CE3" w:rsidRPr="00260915">
        <w:rPr>
          <w:rFonts w:ascii="Arial" w:hAnsi="Arial" w:cs="Arial"/>
          <w:sz w:val="24"/>
          <w:szCs w:val="24"/>
        </w:rPr>
        <w:t xml:space="preserve">have </w:t>
      </w:r>
      <w:r w:rsidR="00357C5B" w:rsidRPr="00260915">
        <w:rPr>
          <w:rFonts w:ascii="Arial" w:hAnsi="Arial" w:cs="Arial"/>
          <w:sz w:val="24"/>
          <w:szCs w:val="24"/>
        </w:rPr>
        <w:t xml:space="preserve">emerged in </w:t>
      </w:r>
      <w:r w:rsidR="00BB7CE3" w:rsidRPr="00260915">
        <w:rPr>
          <w:rFonts w:ascii="Arial" w:hAnsi="Arial" w:cs="Arial"/>
          <w:sz w:val="24"/>
          <w:szCs w:val="24"/>
        </w:rPr>
        <w:t xml:space="preserve">relation to the superannuation of a summons must, finally, be applied </w:t>
      </w:r>
      <w:r w:rsidR="00787A28" w:rsidRPr="00260915">
        <w:rPr>
          <w:rFonts w:ascii="Arial" w:hAnsi="Arial" w:cs="Arial"/>
          <w:sz w:val="24"/>
          <w:szCs w:val="24"/>
        </w:rPr>
        <w:t xml:space="preserve">subject to </w:t>
      </w:r>
      <w:r w:rsidR="00130212" w:rsidRPr="00260915">
        <w:rPr>
          <w:rFonts w:ascii="Arial" w:hAnsi="Arial" w:cs="Arial"/>
          <w:sz w:val="24"/>
          <w:szCs w:val="24"/>
        </w:rPr>
        <w:t xml:space="preserve">a litigant’s right of access to the courts. </w:t>
      </w:r>
      <w:r w:rsidR="00BD1691" w:rsidRPr="00260915">
        <w:rPr>
          <w:rFonts w:ascii="Arial" w:hAnsi="Arial" w:cs="Arial"/>
          <w:sz w:val="24"/>
          <w:szCs w:val="24"/>
        </w:rPr>
        <w:t xml:space="preserve">In that regard, section 34 of the Constitution </w:t>
      </w:r>
      <w:r w:rsidR="001051CC" w:rsidRPr="00260915">
        <w:rPr>
          <w:rFonts w:ascii="Arial" w:hAnsi="Arial" w:cs="Arial"/>
          <w:sz w:val="24"/>
          <w:szCs w:val="24"/>
        </w:rPr>
        <w:t xml:space="preserve">provides that everyone has the right to have a dispute </w:t>
      </w:r>
      <w:r w:rsidR="0088566F" w:rsidRPr="00260915">
        <w:rPr>
          <w:rFonts w:ascii="Arial" w:hAnsi="Arial" w:cs="Arial"/>
          <w:sz w:val="24"/>
          <w:szCs w:val="24"/>
        </w:rPr>
        <w:t xml:space="preserve">that can be resolved by application of the law to be decided in a fair public hearing </w:t>
      </w:r>
      <w:r w:rsidR="00766864" w:rsidRPr="00260915">
        <w:rPr>
          <w:rFonts w:ascii="Arial" w:hAnsi="Arial" w:cs="Arial"/>
          <w:sz w:val="24"/>
          <w:szCs w:val="24"/>
        </w:rPr>
        <w:t xml:space="preserve">before a court or </w:t>
      </w:r>
      <w:r w:rsidR="00357D65" w:rsidRPr="00260915">
        <w:rPr>
          <w:rFonts w:ascii="Arial" w:hAnsi="Arial" w:cs="Arial"/>
          <w:sz w:val="24"/>
          <w:szCs w:val="24"/>
        </w:rPr>
        <w:t>before another independent and impartial tribunal or forum.</w:t>
      </w:r>
      <w:r w:rsidR="002D45B5" w:rsidRPr="00260915">
        <w:rPr>
          <w:rFonts w:ascii="Arial" w:hAnsi="Arial" w:cs="Arial"/>
          <w:sz w:val="24"/>
          <w:szCs w:val="24"/>
        </w:rPr>
        <w:t xml:space="preserve"> </w:t>
      </w:r>
    </w:p>
    <w:p w14:paraId="1DA193C9" w14:textId="77777777" w:rsidR="001C3699" w:rsidRDefault="001C3699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760AAF0D" w14:textId="437293EC" w:rsidR="001C3699" w:rsidRPr="001C3699" w:rsidRDefault="001C3699" w:rsidP="00D66FC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C3699">
        <w:rPr>
          <w:rFonts w:ascii="Arial" w:hAnsi="Arial" w:cs="Arial"/>
          <w:i/>
          <w:iCs/>
          <w:sz w:val="24"/>
          <w:szCs w:val="24"/>
        </w:rPr>
        <w:t>Liability of the defendant</w:t>
      </w:r>
    </w:p>
    <w:p w14:paraId="45AADC7F" w14:textId="625313DD" w:rsidR="001C3699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lastRenderedPageBreak/>
        <w:t>[18]</w:t>
      </w:r>
      <w:r w:rsidRPr="00D66FCB">
        <w:rPr>
          <w:rFonts w:ascii="Arial" w:hAnsi="Arial" w:cs="Arial"/>
          <w:sz w:val="24"/>
          <w:szCs w:val="24"/>
        </w:rPr>
        <w:tab/>
      </w:r>
      <w:r w:rsidR="001C3699" w:rsidRPr="00260915">
        <w:rPr>
          <w:rFonts w:ascii="Arial" w:hAnsi="Arial" w:cs="Arial"/>
          <w:sz w:val="24"/>
          <w:szCs w:val="24"/>
        </w:rPr>
        <w:t xml:space="preserve">In terms </w:t>
      </w:r>
      <w:r w:rsidR="0023648A" w:rsidRPr="00260915">
        <w:rPr>
          <w:rFonts w:ascii="Arial" w:hAnsi="Arial" w:cs="Arial"/>
          <w:sz w:val="24"/>
          <w:szCs w:val="24"/>
        </w:rPr>
        <w:t xml:space="preserve">of the </w:t>
      </w:r>
      <w:r w:rsidR="00321CD9" w:rsidRPr="00260915">
        <w:rPr>
          <w:rFonts w:ascii="Arial" w:hAnsi="Arial" w:cs="Arial"/>
          <w:sz w:val="24"/>
          <w:szCs w:val="24"/>
        </w:rPr>
        <w:t xml:space="preserve">Road Accident Fund Act 56 of 1996, </w:t>
      </w:r>
      <w:r w:rsidR="007B5F71" w:rsidRPr="00260915">
        <w:rPr>
          <w:rFonts w:ascii="Arial" w:hAnsi="Arial" w:cs="Arial"/>
          <w:sz w:val="24"/>
          <w:szCs w:val="24"/>
        </w:rPr>
        <w:t>the liability of the defendant is addressed under section 17(1), which provides that</w:t>
      </w:r>
      <w:r w:rsidR="00BE78F9" w:rsidRPr="00260915">
        <w:rPr>
          <w:rFonts w:ascii="Arial" w:hAnsi="Arial" w:cs="Arial"/>
          <w:sz w:val="24"/>
          <w:szCs w:val="24"/>
        </w:rPr>
        <w:t>:</w:t>
      </w:r>
    </w:p>
    <w:p w14:paraId="73948210" w14:textId="4A387307" w:rsidR="00BE78F9" w:rsidRPr="00110B79" w:rsidRDefault="00BE78F9" w:rsidP="00D66FCB">
      <w:pPr>
        <w:spacing w:line="360" w:lineRule="auto"/>
        <w:jc w:val="both"/>
        <w:rPr>
          <w:rFonts w:ascii="Arial" w:hAnsi="Arial" w:cs="Arial"/>
        </w:rPr>
      </w:pPr>
      <w:r w:rsidRPr="00110B79">
        <w:rPr>
          <w:rFonts w:ascii="Arial" w:hAnsi="Arial" w:cs="Arial"/>
        </w:rPr>
        <w:tab/>
        <w:t>‘(1)</w:t>
      </w:r>
      <w:r w:rsidRPr="00110B79">
        <w:rPr>
          <w:rFonts w:ascii="Arial" w:hAnsi="Arial" w:cs="Arial"/>
        </w:rPr>
        <w:tab/>
        <w:t>The Fund or an agent shall</w:t>
      </w:r>
      <w:r w:rsidR="003C7B27" w:rsidRPr="00110B79">
        <w:rPr>
          <w:rFonts w:ascii="Arial" w:hAnsi="Arial" w:cs="Arial"/>
        </w:rPr>
        <w:t>–</w:t>
      </w:r>
    </w:p>
    <w:p w14:paraId="3E4EE83E" w14:textId="61178D7D" w:rsidR="003C7B27" w:rsidRPr="00260915" w:rsidRDefault="00260915" w:rsidP="00260915">
      <w:pPr>
        <w:spacing w:line="360" w:lineRule="auto"/>
        <w:ind w:left="1800" w:hanging="360"/>
        <w:jc w:val="both"/>
        <w:rPr>
          <w:rFonts w:ascii="Arial" w:hAnsi="Arial" w:cs="Arial"/>
        </w:rPr>
      </w:pPr>
      <w:r w:rsidRPr="00110B79">
        <w:rPr>
          <w:rFonts w:ascii="Arial" w:hAnsi="Arial" w:cs="Arial"/>
        </w:rPr>
        <w:t>(a)</w:t>
      </w:r>
      <w:r w:rsidRPr="00110B79">
        <w:rPr>
          <w:rFonts w:ascii="Arial" w:hAnsi="Arial" w:cs="Arial"/>
        </w:rPr>
        <w:tab/>
      </w:r>
      <w:r w:rsidR="003C7B27" w:rsidRPr="00260915">
        <w:rPr>
          <w:rFonts w:ascii="Arial" w:hAnsi="Arial" w:cs="Arial"/>
        </w:rPr>
        <w:t>…</w:t>
      </w:r>
    </w:p>
    <w:p w14:paraId="3438F9E3" w14:textId="4E96D1D1" w:rsidR="003C7B27" w:rsidRPr="00260915" w:rsidRDefault="00260915" w:rsidP="00260915">
      <w:pPr>
        <w:spacing w:line="360" w:lineRule="auto"/>
        <w:ind w:left="1800" w:hanging="360"/>
        <w:jc w:val="both"/>
        <w:rPr>
          <w:rFonts w:ascii="Arial" w:hAnsi="Arial" w:cs="Arial"/>
        </w:rPr>
      </w:pPr>
      <w:r w:rsidRPr="00110B79">
        <w:rPr>
          <w:rFonts w:ascii="Arial" w:hAnsi="Arial" w:cs="Arial"/>
        </w:rPr>
        <w:t>(b)</w:t>
      </w:r>
      <w:r w:rsidRPr="00110B79">
        <w:rPr>
          <w:rFonts w:ascii="Arial" w:hAnsi="Arial" w:cs="Arial"/>
        </w:rPr>
        <w:tab/>
      </w:r>
      <w:r w:rsidR="003C7B27" w:rsidRPr="00260915">
        <w:rPr>
          <w:rFonts w:ascii="Arial" w:hAnsi="Arial" w:cs="Arial"/>
        </w:rPr>
        <w:t>…</w:t>
      </w:r>
    </w:p>
    <w:p w14:paraId="5AB5A2C4" w14:textId="09BB4D3A" w:rsidR="003C7B27" w:rsidRPr="00110B79" w:rsidRDefault="00E207E7" w:rsidP="00D66FCB">
      <w:pPr>
        <w:spacing w:line="360" w:lineRule="auto"/>
        <w:ind w:left="1440"/>
        <w:jc w:val="both"/>
        <w:rPr>
          <w:rFonts w:ascii="Arial" w:hAnsi="Arial" w:cs="Arial"/>
        </w:rPr>
      </w:pPr>
      <w:r w:rsidRPr="00110B79">
        <w:rPr>
          <w:rFonts w:ascii="Arial" w:hAnsi="Arial" w:cs="Arial"/>
        </w:rPr>
        <w:t xml:space="preserve">Be obliged to compensate any person (the third party) for any loss or damage </w:t>
      </w:r>
      <w:r w:rsidR="003579AA" w:rsidRPr="00110B79">
        <w:rPr>
          <w:rFonts w:ascii="Arial" w:hAnsi="Arial" w:cs="Arial"/>
        </w:rPr>
        <w:t>which the third party has suffered as a result of any bodily injury to himself or herself</w:t>
      </w:r>
      <w:r w:rsidR="001D09C5" w:rsidRPr="00110B79">
        <w:rPr>
          <w:rFonts w:ascii="Arial" w:hAnsi="Arial" w:cs="Arial"/>
        </w:rPr>
        <w:t xml:space="preserve"> or the death of or any bodily injury to any other person</w:t>
      </w:r>
      <w:r w:rsidR="003707E0" w:rsidRPr="00110B79">
        <w:rPr>
          <w:rFonts w:ascii="Arial" w:hAnsi="Arial" w:cs="Arial"/>
        </w:rPr>
        <w:t>, caused by or arising from the driving of a motor vehicle by any person at any place</w:t>
      </w:r>
      <w:r w:rsidR="004C32B6" w:rsidRPr="00110B79">
        <w:rPr>
          <w:rFonts w:ascii="Arial" w:hAnsi="Arial" w:cs="Arial"/>
        </w:rPr>
        <w:t xml:space="preserve"> within the Republic, if the injury or death is due to the negligence or </w:t>
      </w:r>
      <w:r w:rsidR="001B27D1" w:rsidRPr="00110B79">
        <w:rPr>
          <w:rFonts w:ascii="Arial" w:hAnsi="Arial" w:cs="Arial"/>
        </w:rPr>
        <w:t>other wrongful act of the driver or of the owner of the motor vehicle</w:t>
      </w:r>
      <w:r w:rsidR="00213A42" w:rsidRPr="00110B79">
        <w:rPr>
          <w:rFonts w:ascii="Arial" w:hAnsi="Arial" w:cs="Arial"/>
        </w:rPr>
        <w:t xml:space="preserve"> or of his or her employee in the performance of </w:t>
      </w:r>
      <w:r w:rsidR="001824B8" w:rsidRPr="00110B79">
        <w:rPr>
          <w:rFonts w:ascii="Arial" w:hAnsi="Arial" w:cs="Arial"/>
        </w:rPr>
        <w:t>the employee’s duties as employee</w:t>
      </w:r>
      <w:r w:rsidR="000A47B9" w:rsidRPr="00110B79">
        <w:rPr>
          <w:rFonts w:ascii="Arial" w:hAnsi="Arial" w:cs="Arial"/>
        </w:rPr>
        <w:t>…’</w:t>
      </w:r>
    </w:p>
    <w:p w14:paraId="79A23491" w14:textId="77777777" w:rsidR="008849C3" w:rsidRDefault="008849C3" w:rsidP="00253F58">
      <w:pPr>
        <w:spacing w:line="360" w:lineRule="auto"/>
        <w:rPr>
          <w:rFonts w:ascii="Arial" w:hAnsi="Arial" w:cs="Arial"/>
          <w:sz w:val="24"/>
          <w:szCs w:val="24"/>
        </w:rPr>
      </w:pPr>
    </w:p>
    <w:p w14:paraId="2C2A833C" w14:textId="5415B1E3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[19]</w:t>
      </w:r>
      <w:r>
        <w:rPr>
          <w:rFonts w:ascii="Arial" w:hAnsi="Arial" w:cs="Arial"/>
          <w:sz w:val="24"/>
          <w:szCs w:val="24"/>
        </w:rPr>
        <w:tab/>
      </w:r>
      <w:r w:rsidR="008849C3" w:rsidRPr="00260915">
        <w:rPr>
          <w:rFonts w:ascii="Arial" w:hAnsi="Arial" w:cs="Arial"/>
          <w:sz w:val="24"/>
          <w:szCs w:val="24"/>
        </w:rPr>
        <w:t xml:space="preserve">A claimant is required to demonstrate that </w:t>
      </w:r>
      <w:r w:rsidR="00D7067B" w:rsidRPr="00260915">
        <w:rPr>
          <w:rFonts w:ascii="Arial" w:hAnsi="Arial" w:cs="Arial"/>
          <w:sz w:val="24"/>
          <w:szCs w:val="24"/>
        </w:rPr>
        <w:t xml:space="preserve">the injury or death that forms the subject of his or her </w:t>
      </w:r>
      <w:r w:rsidR="009823FC" w:rsidRPr="00260915">
        <w:rPr>
          <w:rFonts w:ascii="Arial" w:hAnsi="Arial" w:cs="Arial"/>
          <w:sz w:val="24"/>
          <w:szCs w:val="24"/>
        </w:rPr>
        <w:t xml:space="preserve">claim for compensation was </w:t>
      </w:r>
      <w:r w:rsidR="00ED756C" w:rsidRPr="00260915">
        <w:rPr>
          <w:rFonts w:ascii="Arial" w:hAnsi="Arial" w:cs="Arial"/>
          <w:sz w:val="24"/>
          <w:szCs w:val="24"/>
        </w:rPr>
        <w:t xml:space="preserve">because of negligence or </w:t>
      </w:r>
      <w:r w:rsidR="00C22A86" w:rsidRPr="00260915">
        <w:rPr>
          <w:rFonts w:ascii="Arial" w:hAnsi="Arial" w:cs="Arial"/>
          <w:sz w:val="24"/>
          <w:szCs w:val="24"/>
        </w:rPr>
        <w:t>an</w:t>
      </w:r>
      <w:r w:rsidR="00ED756C" w:rsidRPr="00260915">
        <w:rPr>
          <w:rFonts w:ascii="Arial" w:hAnsi="Arial" w:cs="Arial"/>
          <w:sz w:val="24"/>
          <w:szCs w:val="24"/>
        </w:rPr>
        <w:t xml:space="preserve">other wrongful act. </w:t>
      </w:r>
      <w:r w:rsidR="000F4DB9" w:rsidRPr="00260915">
        <w:rPr>
          <w:rFonts w:ascii="Arial" w:hAnsi="Arial" w:cs="Arial"/>
          <w:sz w:val="24"/>
          <w:szCs w:val="24"/>
        </w:rPr>
        <w:t>The law of delict applies.</w:t>
      </w:r>
    </w:p>
    <w:p w14:paraId="7CB47948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BAB14ED" w14:textId="2099E40F" w:rsidR="00B45D21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[20]</w:t>
      </w:r>
      <w:r w:rsidRPr="00D66FCB">
        <w:rPr>
          <w:rFonts w:ascii="Arial" w:hAnsi="Arial" w:cs="Arial"/>
          <w:sz w:val="24"/>
          <w:szCs w:val="24"/>
        </w:rPr>
        <w:tab/>
      </w:r>
      <w:r w:rsidR="00221E86" w:rsidRPr="00260915">
        <w:rPr>
          <w:rFonts w:ascii="Arial" w:hAnsi="Arial" w:cs="Arial"/>
          <w:sz w:val="24"/>
          <w:szCs w:val="24"/>
        </w:rPr>
        <w:t>In</w:t>
      </w:r>
      <w:r w:rsidR="005D5B2E" w:rsidRPr="00260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4C2" w:rsidRPr="00260915">
        <w:rPr>
          <w:rFonts w:ascii="Arial" w:hAnsi="Arial" w:cs="Arial"/>
          <w:i/>
          <w:iCs/>
          <w:sz w:val="24"/>
          <w:szCs w:val="24"/>
        </w:rPr>
        <w:t>Septoo</w:t>
      </w:r>
      <w:proofErr w:type="spellEnd"/>
      <w:r w:rsidR="004174C2" w:rsidRPr="00260915">
        <w:rPr>
          <w:rFonts w:ascii="Arial" w:hAnsi="Arial" w:cs="Arial"/>
          <w:i/>
          <w:iCs/>
          <w:sz w:val="24"/>
          <w:szCs w:val="24"/>
        </w:rPr>
        <w:t xml:space="preserve"> v The Road Accident Fund</w:t>
      </w:r>
      <w:r w:rsidR="004174C2" w:rsidRPr="00260915">
        <w:rPr>
          <w:rFonts w:ascii="Arial" w:hAnsi="Arial" w:cs="Arial"/>
          <w:sz w:val="24"/>
          <w:szCs w:val="24"/>
        </w:rPr>
        <w:t>,</w:t>
      </w:r>
      <w:r w:rsidR="004174C2">
        <w:rPr>
          <w:rStyle w:val="FootnoteReference"/>
          <w:rFonts w:ascii="Arial" w:hAnsi="Arial" w:cs="Arial"/>
          <w:sz w:val="24"/>
          <w:szCs w:val="24"/>
        </w:rPr>
        <w:footnoteReference w:id="15"/>
      </w:r>
      <w:r w:rsidR="00221E86" w:rsidRPr="00260915">
        <w:rPr>
          <w:rFonts w:ascii="Arial" w:hAnsi="Arial" w:cs="Arial"/>
          <w:sz w:val="24"/>
          <w:szCs w:val="24"/>
        </w:rPr>
        <w:t xml:space="preserve"> the Supreme Court of Appeal confirmed</w:t>
      </w:r>
      <w:r w:rsidR="00B272D5" w:rsidRPr="00260915">
        <w:rPr>
          <w:rFonts w:ascii="Arial" w:hAnsi="Arial" w:cs="Arial"/>
          <w:sz w:val="24"/>
          <w:szCs w:val="24"/>
        </w:rPr>
        <w:t>, per Mbatha AJA, that</w:t>
      </w:r>
      <w:r w:rsidR="00185A27" w:rsidRPr="00260915">
        <w:rPr>
          <w:rFonts w:ascii="Arial" w:hAnsi="Arial" w:cs="Arial"/>
          <w:sz w:val="24"/>
          <w:szCs w:val="24"/>
        </w:rPr>
        <w:t>:</w:t>
      </w:r>
    </w:p>
    <w:p w14:paraId="1541DF81" w14:textId="72FD4CE3" w:rsidR="00185A27" w:rsidRPr="00301526" w:rsidRDefault="00185A27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301526">
        <w:rPr>
          <w:rFonts w:ascii="Arial" w:hAnsi="Arial" w:cs="Arial"/>
        </w:rPr>
        <w:t xml:space="preserve">‘The underlying basis for the </w:t>
      </w:r>
      <w:r w:rsidR="00654D9B" w:rsidRPr="00301526">
        <w:rPr>
          <w:rFonts w:ascii="Arial" w:hAnsi="Arial" w:cs="Arial"/>
        </w:rPr>
        <w:t>Act</w:t>
      </w:r>
      <w:r w:rsidR="00654D9B" w:rsidRPr="00301526">
        <w:rPr>
          <w:rStyle w:val="FootnoteReference"/>
          <w:rFonts w:ascii="Arial" w:hAnsi="Arial" w:cs="Arial"/>
        </w:rPr>
        <w:footnoteReference w:id="16"/>
      </w:r>
      <w:r w:rsidR="00C9464A" w:rsidRPr="00301526">
        <w:rPr>
          <w:rFonts w:ascii="Arial" w:hAnsi="Arial" w:cs="Arial"/>
        </w:rPr>
        <w:t xml:space="preserve"> is the common law principles of the law of delict. A claimant must therefore prove</w:t>
      </w:r>
      <w:r w:rsidR="007A7715" w:rsidRPr="00301526">
        <w:rPr>
          <w:rFonts w:ascii="Arial" w:hAnsi="Arial" w:cs="Arial"/>
        </w:rPr>
        <w:t xml:space="preserve"> all the elements of a delict before it can succeed with its claim in terms of the Act.’</w:t>
      </w:r>
      <w:r w:rsidR="007A7715" w:rsidRPr="00301526">
        <w:rPr>
          <w:rStyle w:val="FootnoteReference"/>
          <w:rFonts w:ascii="Arial" w:hAnsi="Arial" w:cs="Arial"/>
        </w:rPr>
        <w:footnoteReference w:id="17"/>
      </w:r>
    </w:p>
    <w:p w14:paraId="57CD0EA8" w14:textId="77777777" w:rsidR="001610A1" w:rsidRDefault="001610A1" w:rsidP="001610A1">
      <w:pPr>
        <w:spacing w:line="360" w:lineRule="auto"/>
        <w:rPr>
          <w:rFonts w:ascii="Arial" w:hAnsi="Arial" w:cs="Arial"/>
          <w:sz w:val="24"/>
          <w:szCs w:val="24"/>
        </w:rPr>
      </w:pPr>
    </w:p>
    <w:p w14:paraId="6623A6E9" w14:textId="5E6F9C3E" w:rsidR="001610A1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[21]</w:t>
      </w:r>
      <w:r w:rsidRPr="00D66FCB">
        <w:rPr>
          <w:rFonts w:ascii="Arial" w:hAnsi="Arial" w:cs="Arial"/>
          <w:sz w:val="24"/>
          <w:szCs w:val="24"/>
        </w:rPr>
        <w:tab/>
      </w:r>
      <w:r w:rsidR="001610A1" w:rsidRPr="00260915">
        <w:rPr>
          <w:rFonts w:ascii="Arial" w:hAnsi="Arial" w:cs="Arial"/>
          <w:sz w:val="24"/>
          <w:szCs w:val="24"/>
        </w:rPr>
        <w:t xml:space="preserve">Mindful of the </w:t>
      </w:r>
      <w:r w:rsidR="00110B79" w:rsidRPr="00260915">
        <w:rPr>
          <w:rFonts w:ascii="Arial" w:hAnsi="Arial" w:cs="Arial"/>
          <w:sz w:val="24"/>
          <w:szCs w:val="24"/>
        </w:rPr>
        <w:t xml:space="preserve">rudimentary </w:t>
      </w:r>
      <w:r w:rsidR="001610A1" w:rsidRPr="00260915">
        <w:rPr>
          <w:rFonts w:ascii="Arial" w:hAnsi="Arial" w:cs="Arial"/>
          <w:sz w:val="24"/>
          <w:szCs w:val="24"/>
        </w:rPr>
        <w:t>framework</w:t>
      </w:r>
      <w:r w:rsidR="00110B79" w:rsidRPr="00260915">
        <w:rPr>
          <w:rFonts w:ascii="Arial" w:hAnsi="Arial" w:cs="Arial"/>
          <w:sz w:val="24"/>
          <w:szCs w:val="24"/>
        </w:rPr>
        <w:t xml:space="preserve"> set out above, it is necessary to </w:t>
      </w:r>
      <w:r w:rsidR="00301526" w:rsidRPr="00260915">
        <w:rPr>
          <w:rFonts w:ascii="Arial" w:hAnsi="Arial" w:cs="Arial"/>
          <w:sz w:val="24"/>
          <w:szCs w:val="24"/>
        </w:rPr>
        <w:t>deal with the issues insofar as they pertain to the facts of this matter.</w:t>
      </w:r>
    </w:p>
    <w:p w14:paraId="74949217" w14:textId="77777777" w:rsidR="00F45B4F" w:rsidRDefault="00F45B4F" w:rsidP="001610A1">
      <w:pPr>
        <w:spacing w:line="360" w:lineRule="auto"/>
        <w:rPr>
          <w:rFonts w:ascii="Arial" w:hAnsi="Arial" w:cs="Arial"/>
          <w:sz w:val="24"/>
          <w:szCs w:val="24"/>
        </w:rPr>
      </w:pPr>
    </w:p>
    <w:p w14:paraId="074A4DC5" w14:textId="1B29DB50" w:rsidR="00F45B4F" w:rsidRPr="00F45B4F" w:rsidRDefault="00F45B4F" w:rsidP="00D66F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5B4F">
        <w:rPr>
          <w:rFonts w:ascii="Arial" w:hAnsi="Arial" w:cs="Arial"/>
          <w:b/>
          <w:bCs/>
          <w:sz w:val="24"/>
          <w:szCs w:val="24"/>
        </w:rPr>
        <w:t>Discussion</w:t>
      </w:r>
    </w:p>
    <w:p w14:paraId="28BB25E9" w14:textId="3B14427F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[22]</w:t>
      </w:r>
      <w:r>
        <w:rPr>
          <w:rFonts w:ascii="Arial" w:hAnsi="Arial" w:cs="Arial"/>
          <w:sz w:val="24"/>
          <w:szCs w:val="24"/>
        </w:rPr>
        <w:tab/>
      </w:r>
      <w:r w:rsidR="00F45B4F" w:rsidRPr="00260915">
        <w:rPr>
          <w:rFonts w:ascii="Arial" w:hAnsi="Arial" w:cs="Arial"/>
          <w:sz w:val="24"/>
          <w:szCs w:val="24"/>
        </w:rPr>
        <w:t>As a starting point,</w:t>
      </w:r>
      <w:r w:rsidR="001D14A4" w:rsidRPr="00260915">
        <w:rPr>
          <w:rFonts w:ascii="Arial" w:hAnsi="Arial" w:cs="Arial"/>
          <w:sz w:val="24"/>
          <w:szCs w:val="24"/>
        </w:rPr>
        <w:t xml:space="preserve"> it is </w:t>
      </w:r>
      <w:r w:rsidR="00E664AF" w:rsidRPr="00260915">
        <w:rPr>
          <w:rFonts w:ascii="Arial" w:hAnsi="Arial" w:cs="Arial"/>
          <w:sz w:val="24"/>
          <w:szCs w:val="24"/>
        </w:rPr>
        <w:t>important</w:t>
      </w:r>
      <w:r w:rsidR="00A03C41" w:rsidRPr="00260915">
        <w:rPr>
          <w:rFonts w:ascii="Arial" w:hAnsi="Arial" w:cs="Arial"/>
          <w:sz w:val="24"/>
          <w:szCs w:val="24"/>
        </w:rPr>
        <w:t xml:space="preserve"> to remark that the accident that forms the subject of the plaintiff’s claim</w:t>
      </w:r>
      <w:r w:rsidR="00D81535" w:rsidRPr="00260915">
        <w:rPr>
          <w:rFonts w:ascii="Arial" w:hAnsi="Arial" w:cs="Arial"/>
          <w:sz w:val="24"/>
          <w:szCs w:val="24"/>
        </w:rPr>
        <w:t xml:space="preserve"> happened on </w:t>
      </w:r>
      <w:r w:rsidR="002E77CE" w:rsidRPr="00260915">
        <w:rPr>
          <w:rFonts w:ascii="Arial" w:hAnsi="Arial" w:cs="Arial"/>
          <w:sz w:val="24"/>
          <w:szCs w:val="24"/>
        </w:rPr>
        <w:t>31 August 2008</w:t>
      </w:r>
      <w:r w:rsidR="00E664AF" w:rsidRPr="00260915">
        <w:rPr>
          <w:rFonts w:ascii="Arial" w:hAnsi="Arial" w:cs="Arial"/>
          <w:sz w:val="24"/>
          <w:szCs w:val="24"/>
        </w:rPr>
        <w:t xml:space="preserve">, some </w:t>
      </w:r>
      <w:r w:rsidR="000D6EBC" w:rsidRPr="00260915">
        <w:rPr>
          <w:rFonts w:ascii="Arial" w:hAnsi="Arial" w:cs="Arial"/>
          <w:sz w:val="24"/>
          <w:szCs w:val="24"/>
        </w:rPr>
        <w:t>15 years ago</w:t>
      </w:r>
      <w:r w:rsidR="002E77CE" w:rsidRPr="00260915">
        <w:rPr>
          <w:rFonts w:ascii="Arial" w:hAnsi="Arial" w:cs="Arial"/>
          <w:sz w:val="24"/>
          <w:szCs w:val="24"/>
        </w:rPr>
        <w:t xml:space="preserve">. </w:t>
      </w:r>
      <w:r w:rsidR="000D6EBC" w:rsidRPr="00260915">
        <w:rPr>
          <w:rFonts w:ascii="Arial" w:hAnsi="Arial" w:cs="Arial"/>
          <w:sz w:val="24"/>
          <w:szCs w:val="24"/>
        </w:rPr>
        <w:t>It was not clear from e</w:t>
      </w:r>
      <w:r w:rsidR="002E77CE" w:rsidRPr="00260915">
        <w:rPr>
          <w:rFonts w:ascii="Arial" w:hAnsi="Arial" w:cs="Arial"/>
          <w:sz w:val="24"/>
          <w:szCs w:val="24"/>
        </w:rPr>
        <w:t>i</w:t>
      </w:r>
      <w:r w:rsidR="000D6EBC" w:rsidRPr="00260915">
        <w:rPr>
          <w:rFonts w:ascii="Arial" w:hAnsi="Arial" w:cs="Arial"/>
          <w:sz w:val="24"/>
          <w:szCs w:val="24"/>
        </w:rPr>
        <w:t xml:space="preserve">ther the plaintiff’s evidence </w:t>
      </w:r>
      <w:r w:rsidR="000310A2" w:rsidRPr="00260915">
        <w:rPr>
          <w:rFonts w:ascii="Arial" w:hAnsi="Arial" w:cs="Arial"/>
          <w:sz w:val="24"/>
          <w:szCs w:val="24"/>
        </w:rPr>
        <w:t xml:space="preserve">or the court file </w:t>
      </w:r>
      <w:r w:rsidR="004E5EA5" w:rsidRPr="00260915">
        <w:rPr>
          <w:rFonts w:ascii="Arial" w:hAnsi="Arial" w:cs="Arial"/>
          <w:sz w:val="24"/>
          <w:szCs w:val="24"/>
        </w:rPr>
        <w:t xml:space="preserve">why </w:t>
      </w:r>
      <w:r w:rsidR="005C1AFE" w:rsidRPr="00260915">
        <w:rPr>
          <w:rFonts w:ascii="Arial" w:hAnsi="Arial" w:cs="Arial"/>
          <w:sz w:val="24"/>
          <w:szCs w:val="24"/>
        </w:rPr>
        <w:t>it took</w:t>
      </w:r>
      <w:r w:rsidR="00BD3DA7" w:rsidRPr="00260915">
        <w:rPr>
          <w:rFonts w:ascii="Arial" w:hAnsi="Arial" w:cs="Arial"/>
          <w:sz w:val="24"/>
          <w:szCs w:val="24"/>
        </w:rPr>
        <w:t xml:space="preserve"> eight-and-a-half </w:t>
      </w:r>
      <w:r w:rsidR="00FE1393" w:rsidRPr="00260915">
        <w:rPr>
          <w:rFonts w:ascii="Arial" w:hAnsi="Arial" w:cs="Arial"/>
          <w:sz w:val="24"/>
          <w:szCs w:val="24"/>
        </w:rPr>
        <w:t xml:space="preserve">years </w:t>
      </w:r>
      <w:r w:rsidR="00BD3DA7" w:rsidRPr="00260915">
        <w:rPr>
          <w:rFonts w:ascii="Arial" w:hAnsi="Arial" w:cs="Arial"/>
          <w:sz w:val="24"/>
          <w:szCs w:val="24"/>
        </w:rPr>
        <w:t xml:space="preserve">before </w:t>
      </w:r>
      <w:r w:rsidR="00DE0FFE" w:rsidRPr="00260915">
        <w:rPr>
          <w:rFonts w:ascii="Arial" w:hAnsi="Arial" w:cs="Arial"/>
          <w:sz w:val="24"/>
          <w:szCs w:val="24"/>
        </w:rPr>
        <w:t xml:space="preserve">summons was issued and why </w:t>
      </w:r>
      <w:r w:rsidR="004E5EA5" w:rsidRPr="00260915">
        <w:rPr>
          <w:rFonts w:ascii="Arial" w:hAnsi="Arial" w:cs="Arial"/>
          <w:sz w:val="24"/>
          <w:szCs w:val="24"/>
        </w:rPr>
        <w:t xml:space="preserve">the matter was </w:t>
      </w:r>
      <w:r w:rsidR="00DE0FFE" w:rsidRPr="00260915">
        <w:rPr>
          <w:rFonts w:ascii="Arial" w:hAnsi="Arial" w:cs="Arial"/>
          <w:sz w:val="24"/>
          <w:szCs w:val="24"/>
        </w:rPr>
        <w:t xml:space="preserve">then </w:t>
      </w:r>
      <w:r w:rsidR="004E5EA5" w:rsidRPr="00260915">
        <w:rPr>
          <w:rFonts w:ascii="Arial" w:hAnsi="Arial" w:cs="Arial"/>
          <w:sz w:val="24"/>
          <w:szCs w:val="24"/>
        </w:rPr>
        <w:t>allowed to</w:t>
      </w:r>
      <w:r w:rsidR="00DE0FFE" w:rsidRPr="00260915">
        <w:rPr>
          <w:rFonts w:ascii="Arial" w:hAnsi="Arial" w:cs="Arial"/>
          <w:sz w:val="24"/>
          <w:szCs w:val="24"/>
        </w:rPr>
        <w:t xml:space="preserve"> lie dormant for a further </w:t>
      </w:r>
      <w:r w:rsidR="00F518AE" w:rsidRPr="00260915">
        <w:rPr>
          <w:rFonts w:ascii="Arial" w:hAnsi="Arial" w:cs="Arial"/>
          <w:sz w:val="24"/>
          <w:szCs w:val="24"/>
        </w:rPr>
        <w:t xml:space="preserve">four years after </w:t>
      </w:r>
      <w:r w:rsidR="00EF7563" w:rsidRPr="00260915">
        <w:rPr>
          <w:rFonts w:ascii="Arial" w:hAnsi="Arial" w:cs="Arial"/>
          <w:sz w:val="24"/>
          <w:szCs w:val="24"/>
        </w:rPr>
        <w:t>the plaintiff’s delivery of medical records and related documents</w:t>
      </w:r>
      <w:r w:rsidR="003853AC" w:rsidRPr="00260915">
        <w:rPr>
          <w:rFonts w:ascii="Arial" w:hAnsi="Arial" w:cs="Arial"/>
          <w:sz w:val="24"/>
          <w:szCs w:val="24"/>
        </w:rPr>
        <w:t xml:space="preserve"> to the defendant</w:t>
      </w:r>
      <w:r w:rsidR="00EF7563" w:rsidRPr="00260915">
        <w:rPr>
          <w:rFonts w:ascii="Arial" w:hAnsi="Arial" w:cs="Arial"/>
          <w:sz w:val="24"/>
          <w:szCs w:val="24"/>
        </w:rPr>
        <w:t>.</w:t>
      </w:r>
      <w:r w:rsidR="00101F6F" w:rsidRPr="00260915">
        <w:rPr>
          <w:rFonts w:ascii="Arial" w:hAnsi="Arial" w:cs="Arial"/>
          <w:sz w:val="24"/>
          <w:szCs w:val="24"/>
        </w:rPr>
        <w:t xml:space="preserve"> Whereas the plaintiff was previously unrepresented, </w:t>
      </w:r>
      <w:r w:rsidR="00790C32" w:rsidRPr="00260915">
        <w:rPr>
          <w:rFonts w:ascii="Arial" w:hAnsi="Arial" w:cs="Arial"/>
          <w:sz w:val="24"/>
          <w:szCs w:val="24"/>
        </w:rPr>
        <w:t xml:space="preserve">which </w:t>
      </w:r>
      <w:r w:rsidR="006F2B11" w:rsidRPr="00260915">
        <w:rPr>
          <w:rFonts w:ascii="Arial" w:hAnsi="Arial" w:cs="Arial"/>
          <w:sz w:val="24"/>
          <w:szCs w:val="24"/>
        </w:rPr>
        <w:t>c</w:t>
      </w:r>
      <w:r w:rsidR="00790C32" w:rsidRPr="00260915">
        <w:rPr>
          <w:rFonts w:ascii="Arial" w:hAnsi="Arial" w:cs="Arial"/>
          <w:sz w:val="24"/>
          <w:szCs w:val="24"/>
        </w:rPr>
        <w:t xml:space="preserve">ould have made the </w:t>
      </w:r>
      <w:r w:rsidR="00F83CB6" w:rsidRPr="00260915">
        <w:rPr>
          <w:rFonts w:ascii="Arial" w:hAnsi="Arial" w:cs="Arial"/>
          <w:sz w:val="24"/>
          <w:szCs w:val="24"/>
        </w:rPr>
        <w:t xml:space="preserve">pursuit of her claim more difficult, </w:t>
      </w:r>
      <w:r w:rsidR="00101F6F" w:rsidRPr="00260915">
        <w:rPr>
          <w:rFonts w:ascii="Arial" w:hAnsi="Arial" w:cs="Arial"/>
          <w:sz w:val="24"/>
          <w:szCs w:val="24"/>
        </w:rPr>
        <w:t xml:space="preserve">it is </w:t>
      </w:r>
      <w:r w:rsidR="00F83CB6" w:rsidRPr="00260915">
        <w:rPr>
          <w:rFonts w:ascii="Arial" w:hAnsi="Arial" w:cs="Arial"/>
          <w:sz w:val="24"/>
          <w:szCs w:val="24"/>
        </w:rPr>
        <w:t xml:space="preserve">inexplicable </w:t>
      </w:r>
      <w:r w:rsidR="00D0754B" w:rsidRPr="00260915">
        <w:rPr>
          <w:rFonts w:ascii="Arial" w:hAnsi="Arial" w:cs="Arial"/>
          <w:sz w:val="24"/>
          <w:szCs w:val="24"/>
        </w:rPr>
        <w:t xml:space="preserve">why she did not </w:t>
      </w:r>
      <w:r w:rsidR="00DD6E62" w:rsidRPr="00260915">
        <w:rPr>
          <w:rFonts w:ascii="Arial" w:hAnsi="Arial" w:cs="Arial"/>
          <w:sz w:val="24"/>
          <w:szCs w:val="24"/>
        </w:rPr>
        <w:t xml:space="preserve">take steps to </w:t>
      </w:r>
      <w:r w:rsidR="0014131F" w:rsidRPr="00260915">
        <w:rPr>
          <w:rFonts w:ascii="Arial" w:hAnsi="Arial" w:cs="Arial"/>
          <w:sz w:val="24"/>
          <w:szCs w:val="24"/>
        </w:rPr>
        <w:t xml:space="preserve">ensure that the matter was brought to finality once she </w:t>
      </w:r>
      <w:r w:rsidR="00AA57D9" w:rsidRPr="00260915">
        <w:rPr>
          <w:rFonts w:ascii="Arial" w:hAnsi="Arial" w:cs="Arial"/>
          <w:sz w:val="24"/>
          <w:szCs w:val="24"/>
        </w:rPr>
        <w:t xml:space="preserve">was </w:t>
      </w:r>
      <w:r w:rsidR="00DB1367" w:rsidRPr="00260915">
        <w:rPr>
          <w:rFonts w:ascii="Arial" w:hAnsi="Arial" w:cs="Arial"/>
          <w:sz w:val="24"/>
          <w:szCs w:val="24"/>
        </w:rPr>
        <w:t>properly represented</w:t>
      </w:r>
      <w:r w:rsidR="0014131F" w:rsidRPr="00260915">
        <w:rPr>
          <w:rFonts w:ascii="Arial" w:hAnsi="Arial" w:cs="Arial"/>
          <w:sz w:val="24"/>
          <w:szCs w:val="24"/>
        </w:rPr>
        <w:t xml:space="preserve">. </w:t>
      </w:r>
      <w:r w:rsidR="00764FC3" w:rsidRPr="00260915">
        <w:rPr>
          <w:rFonts w:ascii="Arial" w:hAnsi="Arial" w:cs="Arial"/>
          <w:sz w:val="24"/>
          <w:szCs w:val="24"/>
        </w:rPr>
        <w:t xml:space="preserve">The </w:t>
      </w:r>
      <w:r w:rsidR="00BC3B3D" w:rsidRPr="00260915">
        <w:rPr>
          <w:rFonts w:ascii="Arial" w:hAnsi="Arial" w:cs="Arial"/>
          <w:sz w:val="24"/>
          <w:szCs w:val="24"/>
        </w:rPr>
        <w:t xml:space="preserve">ensuing </w:t>
      </w:r>
      <w:r w:rsidR="00AA57D9" w:rsidRPr="00260915">
        <w:rPr>
          <w:rFonts w:ascii="Arial" w:hAnsi="Arial" w:cs="Arial"/>
          <w:sz w:val="24"/>
          <w:szCs w:val="24"/>
        </w:rPr>
        <w:t>inactivity</w:t>
      </w:r>
      <w:r w:rsidR="00BC3B3D" w:rsidRPr="00260915">
        <w:rPr>
          <w:rFonts w:ascii="Arial" w:hAnsi="Arial" w:cs="Arial"/>
          <w:sz w:val="24"/>
          <w:szCs w:val="24"/>
        </w:rPr>
        <w:t xml:space="preserve"> cannot be attributed entirely to her </w:t>
      </w:r>
      <w:r w:rsidR="00DB1367" w:rsidRPr="00260915">
        <w:rPr>
          <w:rFonts w:ascii="Arial" w:hAnsi="Arial" w:cs="Arial"/>
          <w:sz w:val="24"/>
          <w:szCs w:val="24"/>
        </w:rPr>
        <w:t>erstwhile attorneys</w:t>
      </w:r>
      <w:r w:rsidR="002E3282" w:rsidRPr="00260915">
        <w:rPr>
          <w:rFonts w:ascii="Arial" w:hAnsi="Arial" w:cs="Arial"/>
          <w:sz w:val="24"/>
          <w:szCs w:val="24"/>
        </w:rPr>
        <w:t>, t</w:t>
      </w:r>
      <w:r w:rsidR="00BC3B3D" w:rsidRPr="00260915">
        <w:rPr>
          <w:rFonts w:ascii="Arial" w:hAnsi="Arial" w:cs="Arial"/>
          <w:sz w:val="24"/>
          <w:szCs w:val="24"/>
        </w:rPr>
        <w:t>he plaintiff must share some of the blame.</w:t>
      </w:r>
      <w:r w:rsidR="008A4B15" w:rsidRPr="00260915">
        <w:rPr>
          <w:rFonts w:ascii="Arial" w:hAnsi="Arial" w:cs="Arial"/>
          <w:sz w:val="24"/>
          <w:szCs w:val="24"/>
        </w:rPr>
        <w:t xml:space="preserve"> There is </w:t>
      </w:r>
      <w:r w:rsidR="0026246E" w:rsidRPr="00260915">
        <w:rPr>
          <w:rFonts w:ascii="Arial" w:hAnsi="Arial" w:cs="Arial"/>
          <w:sz w:val="24"/>
          <w:szCs w:val="24"/>
        </w:rPr>
        <w:t xml:space="preserve">simply </w:t>
      </w:r>
      <w:r w:rsidR="008A4B15" w:rsidRPr="00260915">
        <w:rPr>
          <w:rFonts w:ascii="Arial" w:hAnsi="Arial" w:cs="Arial"/>
          <w:sz w:val="24"/>
          <w:szCs w:val="24"/>
        </w:rPr>
        <w:t xml:space="preserve">no </w:t>
      </w:r>
      <w:r w:rsidR="00A635BF" w:rsidRPr="00260915">
        <w:rPr>
          <w:rFonts w:ascii="Arial" w:hAnsi="Arial" w:cs="Arial"/>
          <w:sz w:val="24"/>
          <w:szCs w:val="24"/>
        </w:rPr>
        <w:t>explanation</w:t>
      </w:r>
      <w:r w:rsidR="0013148F" w:rsidRPr="00260915">
        <w:rPr>
          <w:rFonts w:ascii="Arial" w:hAnsi="Arial" w:cs="Arial"/>
          <w:sz w:val="24"/>
          <w:szCs w:val="24"/>
        </w:rPr>
        <w:t xml:space="preserve"> </w:t>
      </w:r>
      <w:r w:rsidR="00EA3578" w:rsidRPr="00260915">
        <w:rPr>
          <w:rFonts w:ascii="Arial" w:hAnsi="Arial" w:cs="Arial"/>
          <w:sz w:val="24"/>
          <w:szCs w:val="24"/>
        </w:rPr>
        <w:t>for the delay</w:t>
      </w:r>
      <w:r w:rsidR="0013148F" w:rsidRPr="00260915">
        <w:rPr>
          <w:rFonts w:ascii="Arial" w:hAnsi="Arial" w:cs="Arial"/>
          <w:sz w:val="24"/>
          <w:szCs w:val="24"/>
        </w:rPr>
        <w:t>.</w:t>
      </w:r>
    </w:p>
    <w:p w14:paraId="4E7FF982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2A4D314" w14:textId="59DB4FF4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[23]</w:t>
      </w:r>
      <w:r>
        <w:rPr>
          <w:rFonts w:ascii="Arial" w:hAnsi="Arial" w:cs="Arial"/>
          <w:sz w:val="24"/>
          <w:szCs w:val="24"/>
        </w:rPr>
        <w:tab/>
      </w:r>
      <w:r w:rsidR="002752B1" w:rsidRPr="00260915">
        <w:rPr>
          <w:rFonts w:ascii="Arial" w:hAnsi="Arial" w:cs="Arial"/>
          <w:sz w:val="24"/>
          <w:szCs w:val="24"/>
        </w:rPr>
        <w:t xml:space="preserve">The </w:t>
      </w:r>
      <w:r w:rsidR="00C84627" w:rsidRPr="00260915">
        <w:rPr>
          <w:rFonts w:ascii="Arial" w:hAnsi="Arial" w:cs="Arial"/>
          <w:sz w:val="24"/>
          <w:szCs w:val="24"/>
        </w:rPr>
        <w:t xml:space="preserve">prejudice to the defendant </w:t>
      </w:r>
      <w:r w:rsidR="00CF4564" w:rsidRPr="00260915">
        <w:rPr>
          <w:rFonts w:ascii="Arial" w:hAnsi="Arial" w:cs="Arial"/>
          <w:sz w:val="24"/>
          <w:szCs w:val="24"/>
        </w:rPr>
        <w:t>is patent</w:t>
      </w:r>
      <w:r w:rsidR="00C84627" w:rsidRPr="00260915">
        <w:rPr>
          <w:rFonts w:ascii="Arial" w:hAnsi="Arial" w:cs="Arial"/>
          <w:sz w:val="24"/>
          <w:szCs w:val="24"/>
        </w:rPr>
        <w:t xml:space="preserve">. </w:t>
      </w:r>
      <w:r w:rsidR="001361E2" w:rsidRPr="00260915">
        <w:rPr>
          <w:rFonts w:ascii="Arial" w:hAnsi="Arial" w:cs="Arial"/>
          <w:sz w:val="24"/>
          <w:szCs w:val="24"/>
        </w:rPr>
        <w:t xml:space="preserve">It would be </w:t>
      </w:r>
      <w:r w:rsidR="00A50DAF" w:rsidRPr="00260915">
        <w:rPr>
          <w:rFonts w:ascii="Arial" w:hAnsi="Arial" w:cs="Arial"/>
          <w:sz w:val="24"/>
          <w:szCs w:val="24"/>
        </w:rPr>
        <w:t xml:space="preserve">extremely difficult </w:t>
      </w:r>
      <w:r w:rsidR="001361E2" w:rsidRPr="00260915">
        <w:rPr>
          <w:rFonts w:ascii="Arial" w:hAnsi="Arial" w:cs="Arial"/>
          <w:sz w:val="24"/>
          <w:szCs w:val="24"/>
        </w:rPr>
        <w:t xml:space="preserve">for the defendant to </w:t>
      </w:r>
      <w:r w:rsidR="00CC13B4" w:rsidRPr="00260915">
        <w:rPr>
          <w:rFonts w:ascii="Arial" w:hAnsi="Arial" w:cs="Arial"/>
          <w:sz w:val="24"/>
          <w:szCs w:val="24"/>
        </w:rPr>
        <w:t xml:space="preserve">identify and locate witnesses who </w:t>
      </w:r>
      <w:r w:rsidR="001D0116" w:rsidRPr="00260915">
        <w:rPr>
          <w:rFonts w:ascii="Arial" w:hAnsi="Arial" w:cs="Arial"/>
          <w:sz w:val="24"/>
          <w:szCs w:val="24"/>
        </w:rPr>
        <w:t xml:space="preserve">would be able to </w:t>
      </w:r>
      <w:r w:rsidR="00A50DAF" w:rsidRPr="00260915">
        <w:rPr>
          <w:rFonts w:ascii="Arial" w:hAnsi="Arial" w:cs="Arial"/>
          <w:sz w:val="24"/>
          <w:szCs w:val="24"/>
        </w:rPr>
        <w:t xml:space="preserve">testify </w:t>
      </w:r>
      <w:r w:rsidR="007B42EC" w:rsidRPr="00260915">
        <w:rPr>
          <w:rFonts w:ascii="Arial" w:hAnsi="Arial" w:cs="Arial"/>
          <w:sz w:val="24"/>
          <w:szCs w:val="24"/>
        </w:rPr>
        <w:t xml:space="preserve">about what caused the accident, assuming that they could, at this stage, still remember the </w:t>
      </w:r>
      <w:r w:rsidR="002B7B6C" w:rsidRPr="00260915">
        <w:rPr>
          <w:rFonts w:ascii="Arial" w:hAnsi="Arial" w:cs="Arial"/>
          <w:sz w:val="24"/>
          <w:szCs w:val="24"/>
        </w:rPr>
        <w:t>details.</w:t>
      </w:r>
      <w:r w:rsidR="00A00089" w:rsidRPr="00260915">
        <w:rPr>
          <w:rFonts w:ascii="Arial" w:hAnsi="Arial" w:cs="Arial"/>
          <w:sz w:val="24"/>
          <w:szCs w:val="24"/>
        </w:rPr>
        <w:t xml:space="preserve"> Whereas the defendant has </w:t>
      </w:r>
      <w:r w:rsidR="008A2535" w:rsidRPr="00260915">
        <w:rPr>
          <w:rFonts w:ascii="Arial" w:hAnsi="Arial" w:cs="Arial"/>
          <w:sz w:val="24"/>
          <w:szCs w:val="24"/>
        </w:rPr>
        <w:t>fail</w:t>
      </w:r>
      <w:r w:rsidR="00B87B6D" w:rsidRPr="00260915">
        <w:rPr>
          <w:rFonts w:ascii="Arial" w:hAnsi="Arial" w:cs="Arial"/>
          <w:sz w:val="24"/>
          <w:szCs w:val="24"/>
        </w:rPr>
        <w:t>ed</w:t>
      </w:r>
      <w:r w:rsidR="008A2535" w:rsidRPr="00260915">
        <w:rPr>
          <w:rFonts w:ascii="Arial" w:hAnsi="Arial" w:cs="Arial"/>
          <w:sz w:val="24"/>
          <w:szCs w:val="24"/>
        </w:rPr>
        <w:t xml:space="preserve"> to </w:t>
      </w:r>
      <w:r w:rsidR="00191291" w:rsidRPr="00260915">
        <w:rPr>
          <w:rFonts w:ascii="Arial" w:hAnsi="Arial" w:cs="Arial"/>
          <w:sz w:val="24"/>
          <w:szCs w:val="24"/>
        </w:rPr>
        <w:t xml:space="preserve">oppose </w:t>
      </w:r>
      <w:r w:rsidR="0090399D" w:rsidRPr="00260915">
        <w:rPr>
          <w:rFonts w:ascii="Arial" w:hAnsi="Arial" w:cs="Arial"/>
          <w:sz w:val="24"/>
          <w:szCs w:val="24"/>
        </w:rPr>
        <w:t xml:space="preserve">the plaintiff’s </w:t>
      </w:r>
      <w:r w:rsidR="00DE7157" w:rsidRPr="00260915">
        <w:rPr>
          <w:rFonts w:ascii="Arial" w:hAnsi="Arial" w:cs="Arial"/>
          <w:sz w:val="24"/>
          <w:szCs w:val="24"/>
        </w:rPr>
        <w:t>application</w:t>
      </w:r>
      <w:r w:rsidR="00CF54F6" w:rsidRPr="00260915">
        <w:rPr>
          <w:rFonts w:ascii="Arial" w:hAnsi="Arial" w:cs="Arial"/>
          <w:sz w:val="24"/>
          <w:szCs w:val="24"/>
        </w:rPr>
        <w:t xml:space="preserve">, </w:t>
      </w:r>
      <w:r w:rsidR="00A131E0" w:rsidRPr="00260915">
        <w:rPr>
          <w:rFonts w:ascii="Arial" w:hAnsi="Arial" w:cs="Arial"/>
          <w:sz w:val="24"/>
          <w:szCs w:val="24"/>
        </w:rPr>
        <w:t>it remains responsible for the management of public funds</w:t>
      </w:r>
      <w:r w:rsidR="00613946" w:rsidRPr="00260915">
        <w:rPr>
          <w:rFonts w:ascii="Arial" w:hAnsi="Arial" w:cs="Arial"/>
          <w:sz w:val="24"/>
          <w:szCs w:val="24"/>
        </w:rPr>
        <w:t xml:space="preserve">. </w:t>
      </w:r>
      <w:r w:rsidR="00085A83" w:rsidRPr="00260915">
        <w:rPr>
          <w:rFonts w:ascii="Arial" w:hAnsi="Arial" w:cs="Arial"/>
          <w:sz w:val="24"/>
          <w:szCs w:val="24"/>
        </w:rPr>
        <w:t xml:space="preserve">To allow the plaintiff to proceed, notwithstanding </w:t>
      </w:r>
      <w:r w:rsidR="00E90D3E" w:rsidRPr="00260915">
        <w:rPr>
          <w:rFonts w:ascii="Arial" w:hAnsi="Arial" w:cs="Arial"/>
          <w:sz w:val="24"/>
          <w:szCs w:val="24"/>
        </w:rPr>
        <w:t xml:space="preserve">her delay, </w:t>
      </w:r>
      <w:r w:rsidR="005E0CC1" w:rsidRPr="00260915">
        <w:rPr>
          <w:rFonts w:ascii="Arial" w:hAnsi="Arial" w:cs="Arial"/>
          <w:sz w:val="24"/>
          <w:szCs w:val="24"/>
        </w:rPr>
        <w:t>compel</w:t>
      </w:r>
      <w:r w:rsidR="003705E8" w:rsidRPr="00260915">
        <w:rPr>
          <w:rFonts w:ascii="Arial" w:hAnsi="Arial" w:cs="Arial"/>
          <w:sz w:val="24"/>
          <w:szCs w:val="24"/>
        </w:rPr>
        <w:t>s the defendant to</w:t>
      </w:r>
      <w:r w:rsidR="00855398" w:rsidRPr="00260915">
        <w:rPr>
          <w:rFonts w:ascii="Arial" w:hAnsi="Arial" w:cs="Arial"/>
          <w:sz w:val="24"/>
          <w:szCs w:val="24"/>
        </w:rPr>
        <w:t xml:space="preserve"> incur unnecessary costs </w:t>
      </w:r>
      <w:r w:rsidR="00191291" w:rsidRPr="00260915">
        <w:rPr>
          <w:rFonts w:ascii="Arial" w:hAnsi="Arial" w:cs="Arial"/>
          <w:sz w:val="24"/>
          <w:szCs w:val="24"/>
        </w:rPr>
        <w:t xml:space="preserve">in </w:t>
      </w:r>
      <w:r w:rsidR="00AD2109" w:rsidRPr="00260915">
        <w:rPr>
          <w:rFonts w:ascii="Arial" w:hAnsi="Arial" w:cs="Arial"/>
          <w:sz w:val="24"/>
          <w:szCs w:val="24"/>
        </w:rPr>
        <w:t xml:space="preserve">the continued </w:t>
      </w:r>
      <w:r w:rsidR="00EE07D2" w:rsidRPr="00260915">
        <w:rPr>
          <w:rFonts w:ascii="Arial" w:hAnsi="Arial" w:cs="Arial"/>
          <w:sz w:val="24"/>
          <w:szCs w:val="24"/>
        </w:rPr>
        <w:t xml:space="preserve">defence of the claim, as poorly as this may have been </w:t>
      </w:r>
      <w:r w:rsidR="00AA7C5E" w:rsidRPr="00260915">
        <w:rPr>
          <w:rFonts w:ascii="Arial" w:hAnsi="Arial" w:cs="Arial"/>
          <w:sz w:val="24"/>
          <w:szCs w:val="24"/>
        </w:rPr>
        <w:t>done</w:t>
      </w:r>
      <w:r w:rsidR="00EE07D2" w:rsidRPr="00260915">
        <w:rPr>
          <w:rFonts w:ascii="Arial" w:hAnsi="Arial" w:cs="Arial"/>
          <w:sz w:val="24"/>
          <w:szCs w:val="24"/>
        </w:rPr>
        <w:t xml:space="preserve"> to date, and in </w:t>
      </w:r>
      <w:r w:rsidR="00A33E1A" w:rsidRPr="00260915">
        <w:rPr>
          <w:rFonts w:ascii="Arial" w:hAnsi="Arial" w:cs="Arial"/>
          <w:sz w:val="24"/>
          <w:szCs w:val="24"/>
        </w:rPr>
        <w:t>possible rescission or appeal proceedings.</w:t>
      </w:r>
      <w:r w:rsidR="003705E8" w:rsidRPr="00260915">
        <w:rPr>
          <w:rFonts w:ascii="Arial" w:hAnsi="Arial" w:cs="Arial"/>
          <w:sz w:val="24"/>
          <w:szCs w:val="24"/>
        </w:rPr>
        <w:t xml:space="preserve"> </w:t>
      </w:r>
    </w:p>
    <w:p w14:paraId="08424AE9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3C81E6DD" w14:textId="79963D2A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[24]</w:t>
      </w:r>
      <w:r>
        <w:rPr>
          <w:rFonts w:ascii="Arial" w:hAnsi="Arial" w:cs="Arial"/>
          <w:sz w:val="24"/>
          <w:szCs w:val="24"/>
        </w:rPr>
        <w:tab/>
      </w:r>
      <w:r w:rsidR="008F68CC" w:rsidRPr="00260915">
        <w:rPr>
          <w:rFonts w:ascii="Arial" w:hAnsi="Arial" w:cs="Arial"/>
          <w:sz w:val="24"/>
          <w:szCs w:val="24"/>
        </w:rPr>
        <w:t>Of more concern</w:t>
      </w:r>
      <w:r w:rsidR="00262D83" w:rsidRPr="00260915">
        <w:rPr>
          <w:rFonts w:ascii="Arial" w:hAnsi="Arial" w:cs="Arial"/>
          <w:sz w:val="24"/>
          <w:szCs w:val="24"/>
        </w:rPr>
        <w:t xml:space="preserve">, however, is the paucity of evidence upon which the plaintiff </w:t>
      </w:r>
      <w:r w:rsidR="00235EAF" w:rsidRPr="00260915">
        <w:rPr>
          <w:rFonts w:ascii="Arial" w:hAnsi="Arial" w:cs="Arial"/>
          <w:sz w:val="24"/>
          <w:szCs w:val="24"/>
        </w:rPr>
        <w:t>bases</w:t>
      </w:r>
      <w:r w:rsidR="00262D83" w:rsidRPr="00260915">
        <w:rPr>
          <w:rFonts w:ascii="Arial" w:hAnsi="Arial" w:cs="Arial"/>
          <w:sz w:val="24"/>
          <w:szCs w:val="24"/>
        </w:rPr>
        <w:t xml:space="preserve"> her claim. </w:t>
      </w:r>
      <w:r w:rsidR="00EE788C" w:rsidRPr="00260915">
        <w:rPr>
          <w:rFonts w:ascii="Arial" w:hAnsi="Arial" w:cs="Arial"/>
          <w:sz w:val="24"/>
          <w:szCs w:val="24"/>
        </w:rPr>
        <w:t xml:space="preserve">She </w:t>
      </w:r>
      <w:r w:rsidR="00235EAF" w:rsidRPr="00260915">
        <w:rPr>
          <w:rFonts w:ascii="Arial" w:hAnsi="Arial" w:cs="Arial"/>
          <w:sz w:val="24"/>
          <w:szCs w:val="24"/>
        </w:rPr>
        <w:t xml:space="preserve">relies, essentially, on the </w:t>
      </w:r>
      <w:r w:rsidR="005F1D0D" w:rsidRPr="00260915">
        <w:rPr>
          <w:rFonts w:ascii="Arial" w:hAnsi="Arial" w:cs="Arial"/>
          <w:sz w:val="24"/>
          <w:szCs w:val="24"/>
        </w:rPr>
        <w:t xml:space="preserve">following </w:t>
      </w:r>
      <w:r w:rsidR="00235EAF" w:rsidRPr="00260915">
        <w:rPr>
          <w:rFonts w:ascii="Arial" w:hAnsi="Arial" w:cs="Arial"/>
          <w:sz w:val="24"/>
          <w:szCs w:val="24"/>
        </w:rPr>
        <w:t>fact</w:t>
      </w:r>
      <w:r w:rsidR="005F1D0D" w:rsidRPr="00260915">
        <w:rPr>
          <w:rFonts w:ascii="Arial" w:hAnsi="Arial" w:cs="Arial"/>
          <w:sz w:val="24"/>
          <w:szCs w:val="24"/>
        </w:rPr>
        <w:t>s</w:t>
      </w:r>
      <w:r w:rsidR="00310960" w:rsidRPr="00260915">
        <w:rPr>
          <w:rFonts w:ascii="Arial" w:hAnsi="Arial" w:cs="Arial"/>
          <w:sz w:val="24"/>
          <w:szCs w:val="24"/>
        </w:rPr>
        <w:t xml:space="preserve">: she had been a passenger in a taxi that was involved in an accident </w:t>
      </w:r>
      <w:r w:rsidR="000B7616" w:rsidRPr="00260915">
        <w:rPr>
          <w:rFonts w:ascii="Arial" w:hAnsi="Arial" w:cs="Arial"/>
          <w:sz w:val="24"/>
          <w:szCs w:val="24"/>
        </w:rPr>
        <w:t xml:space="preserve">which </w:t>
      </w:r>
      <w:r w:rsidR="00A22AFC" w:rsidRPr="00260915">
        <w:rPr>
          <w:rFonts w:ascii="Arial" w:hAnsi="Arial" w:cs="Arial"/>
          <w:sz w:val="24"/>
          <w:szCs w:val="24"/>
        </w:rPr>
        <w:t xml:space="preserve">led to her </w:t>
      </w:r>
      <w:r w:rsidR="00E6111F" w:rsidRPr="00260915">
        <w:rPr>
          <w:rFonts w:ascii="Arial" w:hAnsi="Arial" w:cs="Arial"/>
          <w:sz w:val="24"/>
          <w:szCs w:val="24"/>
        </w:rPr>
        <w:t>sustain</w:t>
      </w:r>
      <w:r w:rsidR="00A22AFC" w:rsidRPr="00260915">
        <w:rPr>
          <w:rFonts w:ascii="Arial" w:hAnsi="Arial" w:cs="Arial"/>
          <w:sz w:val="24"/>
          <w:szCs w:val="24"/>
        </w:rPr>
        <w:t>ing</w:t>
      </w:r>
      <w:r w:rsidR="00450313" w:rsidRPr="00260915">
        <w:rPr>
          <w:rFonts w:ascii="Arial" w:hAnsi="Arial" w:cs="Arial"/>
          <w:sz w:val="24"/>
          <w:szCs w:val="24"/>
        </w:rPr>
        <w:t xml:space="preserve"> </w:t>
      </w:r>
      <w:r w:rsidR="00E6111F" w:rsidRPr="00260915">
        <w:rPr>
          <w:rFonts w:ascii="Arial" w:hAnsi="Arial" w:cs="Arial"/>
          <w:sz w:val="24"/>
          <w:szCs w:val="24"/>
        </w:rPr>
        <w:t>serious injuries</w:t>
      </w:r>
      <w:r w:rsidR="00450313" w:rsidRPr="00260915">
        <w:rPr>
          <w:rFonts w:ascii="Arial" w:hAnsi="Arial" w:cs="Arial"/>
          <w:sz w:val="24"/>
          <w:szCs w:val="24"/>
        </w:rPr>
        <w:t>.</w:t>
      </w:r>
      <w:r w:rsidR="00A22AFC" w:rsidRPr="00260915">
        <w:rPr>
          <w:rFonts w:ascii="Arial" w:hAnsi="Arial" w:cs="Arial"/>
          <w:sz w:val="24"/>
          <w:szCs w:val="24"/>
        </w:rPr>
        <w:t xml:space="preserve"> She presented </w:t>
      </w:r>
      <w:r w:rsidR="00FF6922" w:rsidRPr="00260915">
        <w:rPr>
          <w:rFonts w:ascii="Arial" w:hAnsi="Arial" w:cs="Arial"/>
          <w:sz w:val="24"/>
          <w:szCs w:val="24"/>
        </w:rPr>
        <w:t xml:space="preserve">absolutely </w:t>
      </w:r>
      <w:r w:rsidR="00A22AFC" w:rsidRPr="00260915">
        <w:rPr>
          <w:rFonts w:ascii="Arial" w:hAnsi="Arial" w:cs="Arial"/>
          <w:sz w:val="24"/>
          <w:szCs w:val="24"/>
        </w:rPr>
        <w:t>no evidence regarding the negligence of the driver, as pleaded.</w:t>
      </w:r>
    </w:p>
    <w:p w14:paraId="5E8273C4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15F7FF02" w14:textId="2ED1CCB0" w:rsidR="0087197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lastRenderedPageBreak/>
        <w:t>[25]</w:t>
      </w:r>
      <w:r w:rsidRPr="00D66FCB">
        <w:rPr>
          <w:rFonts w:ascii="Arial" w:hAnsi="Arial" w:cs="Arial"/>
          <w:sz w:val="24"/>
          <w:szCs w:val="24"/>
        </w:rPr>
        <w:tab/>
      </w:r>
      <w:r w:rsidR="003B117C" w:rsidRPr="00260915">
        <w:rPr>
          <w:rFonts w:ascii="Arial" w:hAnsi="Arial" w:cs="Arial"/>
          <w:sz w:val="24"/>
          <w:szCs w:val="24"/>
        </w:rPr>
        <w:t>C</w:t>
      </w:r>
      <w:r w:rsidR="00B13E3E" w:rsidRPr="00260915">
        <w:rPr>
          <w:rFonts w:ascii="Arial" w:hAnsi="Arial" w:cs="Arial"/>
          <w:sz w:val="24"/>
          <w:szCs w:val="24"/>
        </w:rPr>
        <w:t xml:space="preserve">ounsel </w:t>
      </w:r>
      <w:r w:rsidR="003370B7" w:rsidRPr="00260915">
        <w:rPr>
          <w:rFonts w:ascii="Arial" w:hAnsi="Arial" w:cs="Arial"/>
          <w:sz w:val="24"/>
          <w:szCs w:val="24"/>
        </w:rPr>
        <w:t xml:space="preserve">invoked the </w:t>
      </w:r>
      <w:r w:rsidR="000B0CFD" w:rsidRPr="00260915">
        <w:rPr>
          <w:rFonts w:ascii="Arial" w:hAnsi="Arial" w:cs="Arial"/>
          <w:sz w:val="24"/>
          <w:szCs w:val="24"/>
        </w:rPr>
        <w:t xml:space="preserve">maxim, </w:t>
      </w:r>
      <w:r w:rsidR="000B0CFD" w:rsidRPr="00260915">
        <w:rPr>
          <w:rFonts w:ascii="Arial" w:hAnsi="Arial" w:cs="Arial"/>
          <w:i/>
          <w:iCs/>
          <w:sz w:val="24"/>
          <w:szCs w:val="24"/>
        </w:rPr>
        <w:t>res ipsa loq</w:t>
      </w:r>
      <w:r w:rsidR="006A7B9E" w:rsidRPr="00260915">
        <w:rPr>
          <w:rFonts w:ascii="Arial" w:hAnsi="Arial" w:cs="Arial"/>
          <w:i/>
          <w:iCs/>
          <w:sz w:val="24"/>
          <w:szCs w:val="24"/>
        </w:rPr>
        <w:t>u</w:t>
      </w:r>
      <w:r w:rsidR="000B0CFD" w:rsidRPr="00260915">
        <w:rPr>
          <w:rFonts w:ascii="Arial" w:hAnsi="Arial" w:cs="Arial"/>
          <w:i/>
          <w:iCs/>
          <w:sz w:val="24"/>
          <w:szCs w:val="24"/>
        </w:rPr>
        <w:t>itu</w:t>
      </w:r>
      <w:r w:rsidR="006A7B9E" w:rsidRPr="00260915">
        <w:rPr>
          <w:rFonts w:ascii="Arial" w:hAnsi="Arial" w:cs="Arial"/>
          <w:i/>
          <w:iCs/>
          <w:sz w:val="24"/>
          <w:szCs w:val="24"/>
        </w:rPr>
        <w:t>r</w:t>
      </w:r>
      <w:r w:rsidR="006A7B9E" w:rsidRPr="00260915">
        <w:rPr>
          <w:rFonts w:ascii="Arial" w:hAnsi="Arial" w:cs="Arial"/>
          <w:sz w:val="24"/>
          <w:szCs w:val="24"/>
        </w:rPr>
        <w:t xml:space="preserve">, </w:t>
      </w:r>
      <w:r w:rsidR="00655219" w:rsidRPr="00260915">
        <w:rPr>
          <w:rFonts w:ascii="Arial" w:hAnsi="Arial" w:cs="Arial"/>
          <w:sz w:val="24"/>
          <w:szCs w:val="24"/>
        </w:rPr>
        <w:t xml:space="preserve">as discussed in </w:t>
      </w:r>
      <w:r w:rsidR="00DE45C1" w:rsidRPr="00260915">
        <w:rPr>
          <w:rFonts w:ascii="Arial" w:hAnsi="Arial" w:cs="Arial"/>
          <w:i/>
          <w:iCs/>
          <w:sz w:val="24"/>
          <w:szCs w:val="24"/>
        </w:rPr>
        <w:t>Road Accident Fund v Mehlomakulu</w:t>
      </w:r>
      <w:r w:rsidR="00C7595D" w:rsidRPr="00260915">
        <w:rPr>
          <w:rFonts w:ascii="Arial" w:hAnsi="Arial" w:cs="Arial"/>
          <w:sz w:val="24"/>
          <w:szCs w:val="24"/>
        </w:rPr>
        <w:t>,</w:t>
      </w:r>
      <w:r w:rsidR="00C7595D">
        <w:rPr>
          <w:rStyle w:val="FootnoteReference"/>
          <w:rFonts w:ascii="Arial" w:hAnsi="Arial" w:cs="Arial"/>
          <w:sz w:val="24"/>
          <w:szCs w:val="24"/>
        </w:rPr>
        <w:footnoteReference w:id="18"/>
      </w:r>
      <w:r w:rsidR="001303FC" w:rsidRPr="00260915">
        <w:rPr>
          <w:rFonts w:ascii="Arial" w:hAnsi="Arial" w:cs="Arial"/>
          <w:sz w:val="24"/>
          <w:szCs w:val="24"/>
        </w:rPr>
        <w:t xml:space="preserve"> and applied in</w:t>
      </w:r>
      <w:r w:rsidR="00A712B5" w:rsidRPr="00260915">
        <w:rPr>
          <w:rFonts w:ascii="Arial" w:hAnsi="Arial" w:cs="Arial"/>
          <w:sz w:val="24"/>
          <w:szCs w:val="24"/>
        </w:rPr>
        <w:t xml:space="preserve"> </w:t>
      </w:r>
      <w:r w:rsidR="00D13ED3" w:rsidRPr="00260915">
        <w:rPr>
          <w:rFonts w:ascii="Arial" w:hAnsi="Arial" w:cs="Arial"/>
          <w:i/>
          <w:iCs/>
          <w:sz w:val="24"/>
          <w:szCs w:val="24"/>
        </w:rPr>
        <w:t xml:space="preserve">Janse van Vuuren NO v </w:t>
      </w:r>
      <w:r w:rsidR="00A712B5" w:rsidRPr="00260915">
        <w:rPr>
          <w:rFonts w:ascii="Arial" w:hAnsi="Arial" w:cs="Arial"/>
          <w:i/>
          <w:iCs/>
          <w:sz w:val="24"/>
          <w:szCs w:val="24"/>
        </w:rPr>
        <w:t>Road Accident Fund</w:t>
      </w:r>
      <w:r w:rsidR="00BE2F80" w:rsidRPr="00260915">
        <w:rPr>
          <w:rFonts w:ascii="Arial" w:hAnsi="Arial" w:cs="Arial"/>
          <w:sz w:val="24"/>
          <w:szCs w:val="24"/>
        </w:rPr>
        <w:t>,</w:t>
      </w:r>
      <w:r w:rsidR="00A712B5">
        <w:rPr>
          <w:rStyle w:val="FootnoteReference"/>
          <w:rFonts w:ascii="Arial" w:hAnsi="Arial" w:cs="Arial"/>
          <w:sz w:val="24"/>
          <w:szCs w:val="24"/>
        </w:rPr>
        <w:footnoteReference w:id="19"/>
      </w:r>
      <w:r w:rsidR="00450589" w:rsidRPr="00260915">
        <w:rPr>
          <w:rFonts w:ascii="Arial" w:hAnsi="Arial" w:cs="Arial"/>
          <w:sz w:val="24"/>
          <w:szCs w:val="24"/>
        </w:rPr>
        <w:t xml:space="preserve"> to contend that it found application in the present matter.</w:t>
      </w:r>
      <w:r w:rsidR="00255413" w:rsidRPr="00260915">
        <w:rPr>
          <w:rFonts w:ascii="Arial" w:hAnsi="Arial" w:cs="Arial"/>
          <w:sz w:val="24"/>
          <w:szCs w:val="24"/>
        </w:rPr>
        <w:t xml:space="preserve"> The maxim</w:t>
      </w:r>
      <w:r w:rsidR="00505875" w:rsidRPr="00260915">
        <w:rPr>
          <w:rFonts w:ascii="Arial" w:hAnsi="Arial" w:cs="Arial"/>
          <w:sz w:val="24"/>
          <w:szCs w:val="24"/>
        </w:rPr>
        <w:t xml:space="preserve">, loosely </w:t>
      </w:r>
      <w:r w:rsidR="008C671D" w:rsidRPr="00260915">
        <w:rPr>
          <w:rFonts w:ascii="Arial" w:hAnsi="Arial" w:cs="Arial"/>
          <w:sz w:val="24"/>
          <w:szCs w:val="24"/>
        </w:rPr>
        <w:t>translated as ‘the thing speaks for itself’,</w:t>
      </w:r>
      <w:r w:rsidR="00255413" w:rsidRPr="00260915">
        <w:rPr>
          <w:rFonts w:ascii="Arial" w:hAnsi="Arial" w:cs="Arial"/>
          <w:sz w:val="24"/>
          <w:szCs w:val="24"/>
        </w:rPr>
        <w:t xml:space="preserve"> has been summarised </w:t>
      </w:r>
      <w:r w:rsidR="00C60F7C" w:rsidRPr="00260915">
        <w:rPr>
          <w:rFonts w:ascii="Arial" w:hAnsi="Arial" w:cs="Arial"/>
          <w:sz w:val="24"/>
          <w:szCs w:val="24"/>
        </w:rPr>
        <w:t>as:</w:t>
      </w:r>
    </w:p>
    <w:p w14:paraId="0CFA6585" w14:textId="01B4E2B9" w:rsidR="00C60F7C" w:rsidRPr="003423ED" w:rsidRDefault="00C60F7C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3423ED">
        <w:rPr>
          <w:rFonts w:ascii="Arial" w:hAnsi="Arial" w:cs="Arial"/>
        </w:rPr>
        <w:t>‘</w:t>
      </w:r>
      <w:r w:rsidR="00CD4518" w:rsidRPr="003423ED">
        <w:rPr>
          <w:rFonts w:ascii="Arial" w:hAnsi="Arial" w:cs="Arial"/>
        </w:rPr>
        <w:t>a convenient Latin phrase</w:t>
      </w:r>
      <w:r w:rsidR="00125B78" w:rsidRPr="003423ED">
        <w:rPr>
          <w:rFonts w:ascii="Arial" w:hAnsi="Arial" w:cs="Arial"/>
        </w:rPr>
        <w:t xml:space="preserve"> used to describe </w:t>
      </w:r>
      <w:r w:rsidR="0006072E" w:rsidRPr="003423ED">
        <w:rPr>
          <w:rFonts w:ascii="Arial" w:hAnsi="Arial" w:cs="Arial"/>
        </w:rPr>
        <w:t>the proof of facts</w:t>
      </w:r>
      <w:r w:rsidR="00896F8A" w:rsidRPr="003423ED">
        <w:rPr>
          <w:rFonts w:ascii="Arial" w:hAnsi="Arial" w:cs="Arial"/>
        </w:rPr>
        <w:t xml:space="preserve"> which are sufficient to </w:t>
      </w:r>
      <w:r w:rsidR="001A7CEC" w:rsidRPr="003423ED">
        <w:rPr>
          <w:rFonts w:ascii="Arial" w:hAnsi="Arial" w:cs="Arial"/>
        </w:rPr>
        <w:t xml:space="preserve">support an inference that a defendant was negligent </w:t>
      </w:r>
      <w:r w:rsidR="00F04A4B" w:rsidRPr="003423ED">
        <w:rPr>
          <w:rFonts w:ascii="Arial" w:hAnsi="Arial" w:cs="Arial"/>
        </w:rPr>
        <w:t xml:space="preserve">and thereby to establish a </w:t>
      </w:r>
      <w:r w:rsidR="00F04A4B" w:rsidRPr="003423ED">
        <w:rPr>
          <w:rFonts w:ascii="Arial" w:hAnsi="Arial" w:cs="Arial"/>
          <w:i/>
          <w:iCs/>
        </w:rPr>
        <w:t>prima facie</w:t>
      </w:r>
      <w:r w:rsidR="00F04A4B" w:rsidRPr="003423ED">
        <w:rPr>
          <w:rFonts w:ascii="Arial" w:hAnsi="Arial" w:cs="Arial"/>
        </w:rPr>
        <w:t xml:space="preserve"> case against him.’</w:t>
      </w:r>
      <w:r w:rsidR="00F04A4B" w:rsidRPr="003423ED">
        <w:rPr>
          <w:rStyle w:val="FootnoteReference"/>
          <w:rFonts w:ascii="Arial" w:hAnsi="Arial" w:cs="Arial"/>
        </w:rPr>
        <w:footnoteReference w:id="20"/>
      </w:r>
    </w:p>
    <w:p w14:paraId="425B3F3D" w14:textId="77777777" w:rsidR="00DE36A5" w:rsidRDefault="00DE36A5" w:rsidP="00DE36A5">
      <w:pPr>
        <w:spacing w:line="360" w:lineRule="auto"/>
        <w:rPr>
          <w:rFonts w:ascii="Arial" w:hAnsi="Arial" w:cs="Arial"/>
          <w:sz w:val="24"/>
          <w:szCs w:val="24"/>
        </w:rPr>
      </w:pPr>
    </w:p>
    <w:p w14:paraId="2D41B60B" w14:textId="010869C2" w:rsidR="00DE36A5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[26]</w:t>
      </w:r>
      <w:r w:rsidRPr="00D66FCB">
        <w:rPr>
          <w:rFonts w:ascii="Arial" w:hAnsi="Arial" w:cs="Arial"/>
          <w:sz w:val="24"/>
          <w:szCs w:val="24"/>
        </w:rPr>
        <w:tab/>
      </w:r>
      <w:r w:rsidR="00DA3B9D" w:rsidRPr="00260915">
        <w:rPr>
          <w:rFonts w:ascii="Arial" w:hAnsi="Arial" w:cs="Arial"/>
          <w:sz w:val="24"/>
          <w:szCs w:val="24"/>
        </w:rPr>
        <w:t xml:space="preserve">It </w:t>
      </w:r>
      <w:r w:rsidR="0052588A" w:rsidRPr="00260915">
        <w:rPr>
          <w:rFonts w:ascii="Arial" w:hAnsi="Arial" w:cs="Arial"/>
          <w:sz w:val="24"/>
          <w:szCs w:val="24"/>
        </w:rPr>
        <w:t xml:space="preserve">may be applied when the occurrence itself </w:t>
      </w:r>
      <w:r w:rsidR="007A1C70" w:rsidRPr="00260915">
        <w:rPr>
          <w:rFonts w:ascii="Arial" w:hAnsi="Arial" w:cs="Arial"/>
          <w:sz w:val="24"/>
          <w:szCs w:val="24"/>
        </w:rPr>
        <w:t xml:space="preserve">is the only known fact from which a conclusion of negligence </w:t>
      </w:r>
      <w:r w:rsidR="00345C73" w:rsidRPr="00260915">
        <w:rPr>
          <w:rFonts w:ascii="Arial" w:hAnsi="Arial" w:cs="Arial"/>
          <w:sz w:val="24"/>
          <w:szCs w:val="24"/>
        </w:rPr>
        <w:t>can be drawn.</w:t>
      </w:r>
      <w:r w:rsidR="00905512">
        <w:rPr>
          <w:rStyle w:val="FootnoteReference"/>
          <w:rFonts w:ascii="Arial" w:hAnsi="Arial" w:cs="Arial"/>
          <w:sz w:val="24"/>
          <w:szCs w:val="24"/>
        </w:rPr>
        <w:footnoteReference w:id="21"/>
      </w:r>
      <w:r w:rsidR="00905512" w:rsidRPr="00260915">
        <w:rPr>
          <w:rFonts w:ascii="Arial" w:hAnsi="Arial" w:cs="Arial"/>
          <w:sz w:val="24"/>
          <w:szCs w:val="24"/>
        </w:rPr>
        <w:t xml:space="preserve"> The occurrence</w:t>
      </w:r>
      <w:r w:rsidR="00F354E6" w:rsidRPr="00260915">
        <w:rPr>
          <w:rFonts w:ascii="Arial" w:hAnsi="Arial" w:cs="Arial"/>
          <w:sz w:val="24"/>
          <w:szCs w:val="24"/>
        </w:rPr>
        <w:t>, more</w:t>
      </w:r>
      <w:r w:rsidR="003423ED" w:rsidRPr="00260915">
        <w:rPr>
          <w:rFonts w:ascii="Arial" w:hAnsi="Arial" w:cs="Arial"/>
          <w:sz w:val="24"/>
          <w:szCs w:val="24"/>
        </w:rPr>
        <w:t>over</w:t>
      </w:r>
      <w:r w:rsidR="00F354E6" w:rsidRPr="00260915">
        <w:rPr>
          <w:rFonts w:ascii="Arial" w:hAnsi="Arial" w:cs="Arial"/>
          <w:sz w:val="24"/>
          <w:szCs w:val="24"/>
        </w:rPr>
        <w:t>,</w:t>
      </w:r>
      <w:r w:rsidR="00905512" w:rsidRPr="00260915">
        <w:rPr>
          <w:rFonts w:ascii="Arial" w:hAnsi="Arial" w:cs="Arial"/>
          <w:sz w:val="24"/>
          <w:szCs w:val="24"/>
        </w:rPr>
        <w:t xml:space="preserve"> </w:t>
      </w:r>
      <w:r w:rsidR="00DA1480" w:rsidRPr="00260915">
        <w:rPr>
          <w:rFonts w:ascii="Arial" w:hAnsi="Arial" w:cs="Arial"/>
          <w:sz w:val="24"/>
          <w:szCs w:val="24"/>
        </w:rPr>
        <w:t xml:space="preserve">must </w:t>
      </w:r>
      <w:r w:rsidR="008E692B" w:rsidRPr="00260915">
        <w:rPr>
          <w:rFonts w:ascii="Arial" w:hAnsi="Arial" w:cs="Arial"/>
          <w:sz w:val="24"/>
          <w:szCs w:val="24"/>
        </w:rPr>
        <w:t>not ordinarily take place in the absence of negligent conduct</w:t>
      </w:r>
      <w:r w:rsidR="00F354E6" w:rsidRPr="00260915">
        <w:rPr>
          <w:rFonts w:ascii="Arial" w:hAnsi="Arial" w:cs="Arial"/>
          <w:sz w:val="24"/>
          <w:szCs w:val="24"/>
        </w:rPr>
        <w:t>.</w:t>
      </w:r>
      <w:r w:rsidR="006B2F25">
        <w:rPr>
          <w:rStyle w:val="FootnoteReference"/>
          <w:rFonts w:ascii="Arial" w:hAnsi="Arial" w:cs="Arial"/>
          <w:sz w:val="24"/>
          <w:szCs w:val="24"/>
        </w:rPr>
        <w:footnoteReference w:id="22"/>
      </w:r>
      <w:r w:rsidR="00033831" w:rsidRPr="00260915">
        <w:rPr>
          <w:rFonts w:ascii="Arial" w:hAnsi="Arial" w:cs="Arial"/>
          <w:sz w:val="24"/>
          <w:szCs w:val="24"/>
        </w:rPr>
        <w:t xml:space="preserve"> </w:t>
      </w:r>
      <w:r w:rsidR="003441D0" w:rsidRPr="00260915">
        <w:rPr>
          <w:rFonts w:ascii="Arial" w:hAnsi="Arial" w:cs="Arial"/>
          <w:sz w:val="24"/>
          <w:szCs w:val="24"/>
        </w:rPr>
        <w:t>The maxim must be used with ca</w:t>
      </w:r>
      <w:r w:rsidR="000B3041" w:rsidRPr="00260915">
        <w:rPr>
          <w:rFonts w:ascii="Arial" w:hAnsi="Arial" w:cs="Arial"/>
          <w:sz w:val="24"/>
          <w:szCs w:val="24"/>
        </w:rPr>
        <w:t>ution</w:t>
      </w:r>
      <w:r w:rsidR="003441D0" w:rsidRPr="00260915">
        <w:rPr>
          <w:rFonts w:ascii="Arial" w:hAnsi="Arial" w:cs="Arial"/>
          <w:sz w:val="24"/>
          <w:szCs w:val="24"/>
        </w:rPr>
        <w:t xml:space="preserve">, and does not </w:t>
      </w:r>
      <w:r w:rsidR="00AC690C" w:rsidRPr="00260915">
        <w:rPr>
          <w:rFonts w:ascii="Arial" w:hAnsi="Arial" w:cs="Arial"/>
          <w:sz w:val="24"/>
          <w:szCs w:val="24"/>
        </w:rPr>
        <w:t>remove</w:t>
      </w:r>
      <w:r w:rsidR="005E02EC" w:rsidRPr="00260915">
        <w:rPr>
          <w:rFonts w:ascii="Arial" w:hAnsi="Arial" w:cs="Arial"/>
          <w:sz w:val="24"/>
          <w:szCs w:val="24"/>
        </w:rPr>
        <w:t xml:space="preserve"> in any way the </w:t>
      </w:r>
      <w:r w:rsidR="00AC690C" w:rsidRPr="00260915">
        <w:rPr>
          <w:rFonts w:ascii="Arial" w:hAnsi="Arial" w:cs="Arial"/>
          <w:sz w:val="24"/>
          <w:szCs w:val="24"/>
        </w:rPr>
        <w:t xml:space="preserve">burden of proof that rests on a plaintiff. </w:t>
      </w:r>
      <w:r w:rsidR="002C234B" w:rsidRPr="00260915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C234B" w:rsidRPr="00260915">
        <w:rPr>
          <w:rFonts w:ascii="Arial" w:hAnsi="Arial" w:cs="Arial"/>
          <w:i/>
          <w:iCs/>
          <w:sz w:val="24"/>
          <w:szCs w:val="24"/>
        </w:rPr>
        <w:t>Mehlomakulu</w:t>
      </w:r>
      <w:proofErr w:type="spellEnd"/>
      <w:r w:rsidR="002C234B" w:rsidRPr="00260915">
        <w:rPr>
          <w:rFonts w:ascii="Arial" w:hAnsi="Arial" w:cs="Arial"/>
          <w:sz w:val="24"/>
          <w:szCs w:val="24"/>
        </w:rPr>
        <w:t xml:space="preserve">, Jones J </w:t>
      </w:r>
      <w:r w:rsidR="00037504" w:rsidRPr="00260915">
        <w:rPr>
          <w:rFonts w:ascii="Arial" w:hAnsi="Arial" w:cs="Arial"/>
          <w:sz w:val="24"/>
          <w:szCs w:val="24"/>
        </w:rPr>
        <w:t>remark</w:t>
      </w:r>
      <w:r w:rsidR="00080EC5" w:rsidRPr="00260915">
        <w:rPr>
          <w:rFonts w:ascii="Arial" w:hAnsi="Arial" w:cs="Arial"/>
          <w:sz w:val="24"/>
          <w:szCs w:val="24"/>
        </w:rPr>
        <w:t>ed</w:t>
      </w:r>
      <w:r w:rsidR="00037504" w:rsidRPr="00260915">
        <w:rPr>
          <w:rFonts w:ascii="Arial" w:hAnsi="Arial" w:cs="Arial"/>
          <w:sz w:val="24"/>
          <w:szCs w:val="24"/>
        </w:rPr>
        <w:t>:</w:t>
      </w:r>
    </w:p>
    <w:p w14:paraId="0E728525" w14:textId="77A9458F" w:rsidR="00037504" w:rsidRPr="00514113" w:rsidRDefault="00037504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514113">
        <w:rPr>
          <w:rFonts w:ascii="Arial" w:hAnsi="Arial" w:cs="Arial"/>
        </w:rPr>
        <w:t xml:space="preserve">‘The case illustrates the difficulty </w:t>
      </w:r>
      <w:r w:rsidR="00DF70E5" w:rsidRPr="00514113">
        <w:rPr>
          <w:rFonts w:ascii="Arial" w:hAnsi="Arial" w:cs="Arial"/>
        </w:rPr>
        <w:t>in applying the maxim correctly in the correct circumstances.</w:t>
      </w:r>
      <w:r w:rsidR="00B83F4C" w:rsidRPr="00514113">
        <w:rPr>
          <w:rFonts w:ascii="Arial" w:hAnsi="Arial" w:cs="Arial"/>
        </w:rPr>
        <w:t xml:space="preserve"> The first collision was not a case where the plaintiff can establish</w:t>
      </w:r>
      <w:r w:rsidR="00DE204D" w:rsidRPr="00514113">
        <w:rPr>
          <w:rFonts w:ascii="Arial" w:hAnsi="Arial" w:cs="Arial"/>
        </w:rPr>
        <w:t xml:space="preserve"> a prima facie case of negligence </w:t>
      </w:r>
      <w:r w:rsidR="0088728F" w:rsidRPr="00514113">
        <w:rPr>
          <w:rFonts w:ascii="Arial" w:hAnsi="Arial" w:cs="Arial"/>
        </w:rPr>
        <w:t>by merely proving the occurrence of the first collision.</w:t>
      </w:r>
      <w:r w:rsidR="00FB43A6" w:rsidRPr="00514113">
        <w:rPr>
          <w:rFonts w:ascii="Arial" w:hAnsi="Arial" w:cs="Arial"/>
        </w:rPr>
        <w:t xml:space="preserve"> It is neither proper nor logical to infer negligence merely </w:t>
      </w:r>
      <w:r w:rsidR="00BB6231" w:rsidRPr="00514113">
        <w:rPr>
          <w:rFonts w:ascii="Arial" w:hAnsi="Arial" w:cs="Arial"/>
        </w:rPr>
        <w:t>because two motor vehicles collided on a national road</w:t>
      </w:r>
      <w:r w:rsidR="00AB4310" w:rsidRPr="00514113">
        <w:rPr>
          <w:rFonts w:ascii="Arial" w:hAnsi="Arial" w:cs="Arial"/>
        </w:rPr>
        <w:t xml:space="preserve">, and certainly not by invoking the </w:t>
      </w:r>
      <w:r w:rsidR="00AB4310" w:rsidRPr="00514113">
        <w:rPr>
          <w:rFonts w:ascii="Arial" w:hAnsi="Arial" w:cs="Arial"/>
          <w:i/>
          <w:iCs/>
        </w:rPr>
        <w:t>res ipsa loquitur</w:t>
      </w:r>
      <w:r w:rsidR="00AB4310" w:rsidRPr="00514113">
        <w:rPr>
          <w:rFonts w:ascii="Arial" w:hAnsi="Arial" w:cs="Arial"/>
        </w:rPr>
        <w:t xml:space="preserve"> maxim.</w:t>
      </w:r>
      <w:r w:rsidR="007964EC" w:rsidRPr="00514113">
        <w:rPr>
          <w:rFonts w:ascii="Arial" w:hAnsi="Arial" w:cs="Arial"/>
        </w:rPr>
        <w:t xml:space="preserve"> This is one of “the many classes of occurrence</w:t>
      </w:r>
      <w:r w:rsidR="006B2EDC" w:rsidRPr="00514113">
        <w:rPr>
          <w:rFonts w:ascii="Arial" w:hAnsi="Arial" w:cs="Arial"/>
        </w:rPr>
        <w:t xml:space="preserve"> where the mere happening of an accident </w:t>
      </w:r>
      <w:r w:rsidR="00ED24EF" w:rsidRPr="00514113">
        <w:rPr>
          <w:rFonts w:ascii="Arial" w:hAnsi="Arial" w:cs="Arial"/>
        </w:rPr>
        <w:t xml:space="preserve">is not relevant to infer </w:t>
      </w:r>
      <w:r w:rsidR="00304E5E" w:rsidRPr="00514113">
        <w:rPr>
          <w:rFonts w:ascii="Arial" w:hAnsi="Arial" w:cs="Arial"/>
        </w:rPr>
        <w:t>negligence” …</w:t>
      </w:r>
      <w:r w:rsidR="00836CBF" w:rsidRPr="00514113">
        <w:rPr>
          <w:rStyle w:val="FootnoteReference"/>
          <w:rFonts w:ascii="Arial" w:hAnsi="Arial" w:cs="Arial"/>
        </w:rPr>
        <w:footnoteReference w:id="23"/>
      </w:r>
      <w:r w:rsidR="005D4489" w:rsidRPr="00514113">
        <w:rPr>
          <w:rFonts w:ascii="Arial" w:hAnsi="Arial" w:cs="Arial"/>
        </w:rPr>
        <w:t xml:space="preserve"> Applying the maxim in a case such as this </w:t>
      </w:r>
      <w:r w:rsidR="00E41E01" w:rsidRPr="00514113">
        <w:rPr>
          <w:rFonts w:ascii="Arial" w:hAnsi="Arial" w:cs="Arial"/>
        </w:rPr>
        <w:t xml:space="preserve">would in effect be giving it </w:t>
      </w:r>
      <w:r w:rsidR="0069712D" w:rsidRPr="00514113">
        <w:rPr>
          <w:rFonts w:ascii="Arial" w:hAnsi="Arial" w:cs="Arial"/>
        </w:rPr>
        <w:t>general application, which is contrary to principle;</w:t>
      </w:r>
      <w:r w:rsidR="00331662" w:rsidRPr="00514113">
        <w:rPr>
          <w:rFonts w:ascii="Arial" w:hAnsi="Arial" w:cs="Arial"/>
        </w:rPr>
        <w:t xml:space="preserve"> to use again the language of Erasmus J </w:t>
      </w:r>
      <w:r w:rsidR="00C0697E" w:rsidRPr="00514113">
        <w:rPr>
          <w:rFonts w:ascii="Arial" w:hAnsi="Arial" w:cs="Arial"/>
        </w:rPr>
        <w:t xml:space="preserve">in </w:t>
      </w:r>
      <w:r w:rsidR="00C0697E" w:rsidRPr="00514113">
        <w:rPr>
          <w:rFonts w:ascii="Arial" w:hAnsi="Arial" w:cs="Arial"/>
          <w:i/>
          <w:iCs/>
        </w:rPr>
        <w:t>Macleod v Rens</w:t>
      </w:r>
      <w:r w:rsidR="00C0697E" w:rsidRPr="00514113">
        <w:rPr>
          <w:rFonts w:ascii="Arial" w:hAnsi="Arial" w:cs="Arial"/>
        </w:rPr>
        <w:t>…</w:t>
      </w:r>
      <w:r w:rsidR="006E5871" w:rsidRPr="00514113">
        <w:rPr>
          <w:rStyle w:val="FootnoteReference"/>
          <w:rFonts w:ascii="Arial" w:hAnsi="Arial" w:cs="Arial"/>
        </w:rPr>
        <w:footnoteReference w:id="24"/>
      </w:r>
      <w:r w:rsidR="0060206A" w:rsidRPr="00514113">
        <w:rPr>
          <w:rFonts w:ascii="Arial" w:hAnsi="Arial" w:cs="Arial"/>
        </w:rPr>
        <w:t xml:space="preserve"> “the maxim </w:t>
      </w:r>
      <w:r w:rsidR="0060206A" w:rsidRPr="00514113">
        <w:rPr>
          <w:rFonts w:ascii="Arial" w:hAnsi="Arial" w:cs="Arial"/>
          <w:i/>
          <w:iCs/>
        </w:rPr>
        <w:t>res ipsa loquitur</w:t>
      </w:r>
      <w:r w:rsidR="00304E5E" w:rsidRPr="00514113">
        <w:rPr>
          <w:rFonts w:ascii="Arial" w:hAnsi="Arial" w:cs="Arial"/>
        </w:rPr>
        <w:t xml:space="preserve"> has no general application</w:t>
      </w:r>
      <w:r w:rsidR="00F03F79" w:rsidRPr="00514113">
        <w:rPr>
          <w:rFonts w:ascii="Arial" w:hAnsi="Arial" w:cs="Arial"/>
        </w:rPr>
        <w:t xml:space="preserve"> to highway collisions” although it may,</w:t>
      </w:r>
      <w:r w:rsidR="00D225B6" w:rsidRPr="00514113">
        <w:rPr>
          <w:rFonts w:ascii="Arial" w:hAnsi="Arial" w:cs="Arial"/>
        </w:rPr>
        <w:t xml:space="preserve"> “in a restrictive class of cases, sometimes apply”</w:t>
      </w:r>
      <w:r w:rsidR="003C176F" w:rsidRPr="00514113">
        <w:rPr>
          <w:rStyle w:val="FootnoteReference"/>
          <w:rFonts w:ascii="Arial" w:hAnsi="Arial" w:cs="Arial"/>
        </w:rPr>
        <w:footnoteReference w:id="25"/>
      </w:r>
      <w:r w:rsidR="00690144" w:rsidRPr="00514113">
        <w:rPr>
          <w:rFonts w:ascii="Arial" w:hAnsi="Arial" w:cs="Arial"/>
        </w:rPr>
        <w:t>’</w:t>
      </w:r>
    </w:p>
    <w:p w14:paraId="79B54D6E" w14:textId="77777777" w:rsidR="009E7929" w:rsidRDefault="009E7929" w:rsidP="009E7929">
      <w:pPr>
        <w:spacing w:line="360" w:lineRule="auto"/>
        <w:rPr>
          <w:rFonts w:ascii="Arial" w:hAnsi="Arial" w:cs="Arial"/>
          <w:sz w:val="24"/>
          <w:szCs w:val="24"/>
        </w:rPr>
      </w:pPr>
    </w:p>
    <w:p w14:paraId="09CC05C0" w14:textId="711CDC5B" w:rsidR="009E7929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lastRenderedPageBreak/>
        <w:t>[27]</w:t>
      </w:r>
      <w:r w:rsidRPr="00D66FCB">
        <w:rPr>
          <w:rFonts w:ascii="Arial" w:hAnsi="Arial" w:cs="Arial"/>
          <w:sz w:val="24"/>
          <w:szCs w:val="24"/>
        </w:rPr>
        <w:tab/>
      </w:r>
      <w:r w:rsidR="009E7929" w:rsidRPr="00260915">
        <w:rPr>
          <w:rFonts w:ascii="Arial" w:hAnsi="Arial" w:cs="Arial"/>
          <w:sz w:val="24"/>
          <w:szCs w:val="24"/>
        </w:rPr>
        <w:t xml:space="preserve">The court went on to </w:t>
      </w:r>
      <w:r w:rsidR="00A61A9C" w:rsidRPr="00260915">
        <w:rPr>
          <w:rFonts w:ascii="Arial" w:hAnsi="Arial" w:cs="Arial"/>
          <w:sz w:val="24"/>
          <w:szCs w:val="24"/>
        </w:rPr>
        <w:t xml:space="preserve">quote, at some length, the decision in </w:t>
      </w:r>
      <w:r w:rsidR="00A61A9C" w:rsidRPr="00260915">
        <w:rPr>
          <w:rFonts w:ascii="Arial" w:hAnsi="Arial" w:cs="Arial"/>
          <w:i/>
          <w:iCs/>
          <w:sz w:val="24"/>
          <w:szCs w:val="24"/>
        </w:rPr>
        <w:t>Macleod</w:t>
      </w:r>
      <w:r w:rsidR="00432254" w:rsidRPr="00260915">
        <w:rPr>
          <w:rFonts w:ascii="Arial" w:hAnsi="Arial" w:cs="Arial"/>
          <w:sz w:val="24"/>
          <w:szCs w:val="24"/>
        </w:rPr>
        <w:t>,</w:t>
      </w:r>
      <w:r w:rsidR="00432254">
        <w:rPr>
          <w:rStyle w:val="FootnoteReference"/>
          <w:rFonts w:ascii="Arial" w:hAnsi="Arial" w:cs="Arial"/>
          <w:sz w:val="24"/>
          <w:szCs w:val="24"/>
        </w:rPr>
        <w:footnoteReference w:id="26"/>
      </w:r>
      <w:r w:rsidR="00432254" w:rsidRPr="00260915">
        <w:rPr>
          <w:rFonts w:ascii="Arial" w:hAnsi="Arial" w:cs="Arial"/>
          <w:sz w:val="24"/>
          <w:szCs w:val="24"/>
        </w:rPr>
        <w:t xml:space="preserve"> where </w:t>
      </w:r>
      <w:r w:rsidR="00514113" w:rsidRPr="00260915">
        <w:rPr>
          <w:rFonts w:ascii="Arial" w:hAnsi="Arial" w:cs="Arial"/>
          <w:sz w:val="24"/>
          <w:szCs w:val="24"/>
        </w:rPr>
        <w:t>Erasmus J held as follows:</w:t>
      </w:r>
    </w:p>
    <w:p w14:paraId="3A422C58" w14:textId="1E118E0D" w:rsidR="00514113" w:rsidRPr="006553E3" w:rsidRDefault="00514113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6553E3">
        <w:rPr>
          <w:rFonts w:ascii="Arial" w:hAnsi="Arial" w:cs="Arial"/>
        </w:rPr>
        <w:t>‘</w:t>
      </w:r>
      <w:r w:rsidR="001A7B63" w:rsidRPr="006553E3">
        <w:rPr>
          <w:rFonts w:ascii="Arial" w:hAnsi="Arial" w:cs="Arial"/>
        </w:rPr>
        <w:t>Proof by a plaintiff of an event properly falling within the maxim</w:t>
      </w:r>
      <w:r w:rsidR="006E54F8" w:rsidRPr="006553E3">
        <w:rPr>
          <w:rFonts w:ascii="Arial" w:hAnsi="Arial" w:cs="Arial"/>
        </w:rPr>
        <w:t>- that is to say, proof of an event</w:t>
      </w:r>
      <w:r w:rsidR="00E86B7B" w:rsidRPr="006553E3">
        <w:rPr>
          <w:rFonts w:ascii="Arial" w:hAnsi="Arial" w:cs="Arial"/>
        </w:rPr>
        <w:t xml:space="preserve"> which, in the absence of anything to the contrary, tells its own story- </w:t>
      </w:r>
      <w:r w:rsidR="00F76CD2" w:rsidRPr="006553E3">
        <w:rPr>
          <w:rFonts w:ascii="Arial" w:hAnsi="Arial" w:cs="Arial"/>
        </w:rPr>
        <w:t>may justify an inference of negligence against the defendant.</w:t>
      </w:r>
      <w:r w:rsidR="00ED285A" w:rsidRPr="006553E3">
        <w:rPr>
          <w:rFonts w:ascii="Arial" w:hAnsi="Arial" w:cs="Arial"/>
        </w:rPr>
        <w:t xml:space="preserve"> That inference may be displaced by the remainder of the story</w:t>
      </w:r>
      <w:r w:rsidR="00E06FB7" w:rsidRPr="006553E3">
        <w:rPr>
          <w:rFonts w:ascii="Arial" w:hAnsi="Arial" w:cs="Arial"/>
        </w:rPr>
        <w:t xml:space="preserve">: if it does not do so, then the inference remains- </w:t>
      </w:r>
      <w:r w:rsidR="00E06FB7" w:rsidRPr="006553E3">
        <w:rPr>
          <w:rFonts w:ascii="Arial" w:hAnsi="Arial" w:cs="Arial"/>
          <w:i/>
          <w:iCs/>
        </w:rPr>
        <w:t>res ipsa loquitur</w:t>
      </w:r>
      <w:r w:rsidR="00E06FB7" w:rsidRPr="006553E3">
        <w:rPr>
          <w:rFonts w:ascii="Arial" w:hAnsi="Arial" w:cs="Arial"/>
        </w:rPr>
        <w:t>.</w:t>
      </w:r>
      <w:r w:rsidR="006553E3" w:rsidRPr="006553E3">
        <w:rPr>
          <w:rFonts w:ascii="Arial" w:hAnsi="Arial" w:cs="Arial"/>
        </w:rPr>
        <w:t>’</w:t>
      </w:r>
      <w:r w:rsidR="00D509A0" w:rsidRPr="006553E3">
        <w:rPr>
          <w:rStyle w:val="FootnoteReference"/>
          <w:rFonts w:ascii="Arial" w:hAnsi="Arial" w:cs="Arial"/>
        </w:rPr>
        <w:footnoteReference w:id="27"/>
      </w:r>
    </w:p>
    <w:p w14:paraId="73DB4A70" w14:textId="77777777" w:rsidR="006553E3" w:rsidRDefault="006553E3" w:rsidP="006553E3">
      <w:pPr>
        <w:spacing w:line="360" w:lineRule="auto"/>
        <w:rPr>
          <w:rFonts w:ascii="Arial" w:hAnsi="Arial" w:cs="Arial"/>
          <w:sz w:val="24"/>
          <w:szCs w:val="24"/>
        </w:rPr>
      </w:pPr>
    </w:p>
    <w:p w14:paraId="258B0F68" w14:textId="39D7E4C0" w:rsidR="006553E3" w:rsidRDefault="006553E3" w:rsidP="00D66F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learned judge continued:</w:t>
      </w:r>
    </w:p>
    <w:p w14:paraId="492B97D1" w14:textId="4780C243" w:rsidR="00020033" w:rsidRPr="00811E82" w:rsidRDefault="00FE04BC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811E82">
        <w:rPr>
          <w:rFonts w:ascii="Arial" w:hAnsi="Arial" w:cs="Arial"/>
        </w:rPr>
        <w:t>‘As a particular form of inferential reasoning</w:t>
      </w:r>
      <w:r w:rsidR="00195D89" w:rsidRPr="00811E82">
        <w:rPr>
          <w:rFonts w:ascii="Arial" w:hAnsi="Arial" w:cs="Arial"/>
        </w:rPr>
        <w:t xml:space="preserve">, </w:t>
      </w:r>
      <w:r w:rsidR="00195D89" w:rsidRPr="00811E82">
        <w:rPr>
          <w:rFonts w:ascii="Arial" w:hAnsi="Arial" w:cs="Arial"/>
          <w:i/>
          <w:iCs/>
        </w:rPr>
        <w:t>res ipsa loquitur</w:t>
      </w:r>
      <w:r w:rsidR="00195D89" w:rsidRPr="00811E82">
        <w:rPr>
          <w:rFonts w:ascii="Arial" w:hAnsi="Arial" w:cs="Arial"/>
        </w:rPr>
        <w:t xml:space="preserve"> requires careful handling.</w:t>
      </w:r>
      <w:r w:rsidR="000220C3" w:rsidRPr="00811E82">
        <w:rPr>
          <w:rFonts w:ascii="Arial" w:hAnsi="Arial" w:cs="Arial"/>
        </w:rPr>
        <w:t xml:space="preserve"> It is not a doctrine, as it is sometimes referred to.</w:t>
      </w:r>
      <w:r w:rsidR="00352508" w:rsidRPr="00811E82">
        <w:rPr>
          <w:rFonts w:ascii="Arial" w:hAnsi="Arial" w:cs="Arial"/>
        </w:rPr>
        <w:t xml:space="preserve"> It propounds no principle </w:t>
      </w:r>
      <w:r w:rsidR="007F1A21" w:rsidRPr="00811E82">
        <w:rPr>
          <w:rFonts w:ascii="Arial" w:hAnsi="Arial" w:cs="Arial"/>
        </w:rPr>
        <w:t xml:space="preserve">and is therefore strictly speaking not even a maxim. </w:t>
      </w:r>
      <w:r w:rsidR="00F413AD" w:rsidRPr="00811E82">
        <w:rPr>
          <w:rFonts w:ascii="Arial" w:hAnsi="Arial" w:cs="Arial"/>
        </w:rPr>
        <w:t xml:space="preserve">What it does do is pithily state a method of reasoning for the </w:t>
      </w:r>
      <w:r w:rsidR="00223F07" w:rsidRPr="00811E82">
        <w:rPr>
          <w:rFonts w:ascii="Arial" w:hAnsi="Arial" w:cs="Arial"/>
        </w:rPr>
        <w:t>particular circumstance where the only available evidence is that of the accident.</w:t>
      </w:r>
      <w:r w:rsidR="00FD30AD" w:rsidRPr="00811E82">
        <w:rPr>
          <w:rFonts w:ascii="Arial" w:hAnsi="Arial" w:cs="Arial"/>
        </w:rPr>
        <w:t xml:space="preserve"> It boils down to the notion that in a proper case it can be self-evident</w:t>
      </w:r>
      <w:r w:rsidR="00B53D87" w:rsidRPr="00811E82">
        <w:rPr>
          <w:rFonts w:ascii="Arial" w:hAnsi="Arial" w:cs="Arial"/>
        </w:rPr>
        <w:t xml:space="preserve"> that the accident was caused by the negligence of the person in control of the object </w:t>
      </w:r>
      <w:r w:rsidR="00900C82" w:rsidRPr="00811E82">
        <w:rPr>
          <w:rFonts w:ascii="Arial" w:hAnsi="Arial" w:cs="Arial"/>
        </w:rPr>
        <w:t>involved in the accident. As such it is not a magic formula.</w:t>
      </w:r>
      <w:r w:rsidR="007A6F8C" w:rsidRPr="00811E82">
        <w:rPr>
          <w:rFonts w:ascii="Arial" w:hAnsi="Arial" w:cs="Arial"/>
        </w:rPr>
        <w:t xml:space="preserve"> It does not permit the Court to side-step or gloss over a deficiency </w:t>
      </w:r>
      <w:r w:rsidR="004E0A82" w:rsidRPr="00811E82">
        <w:rPr>
          <w:rFonts w:ascii="Arial" w:hAnsi="Arial" w:cs="Arial"/>
        </w:rPr>
        <w:t xml:space="preserve">in the plaintiff’s evidence; it is no short cut to a </w:t>
      </w:r>
      <w:r w:rsidR="00643989" w:rsidRPr="00811E82">
        <w:rPr>
          <w:rFonts w:ascii="Arial" w:hAnsi="Arial" w:cs="Arial"/>
        </w:rPr>
        <w:t xml:space="preserve">finding of negligence: these are real dangers in the application of </w:t>
      </w:r>
      <w:r w:rsidR="00D8525F" w:rsidRPr="00811E82">
        <w:rPr>
          <w:rFonts w:ascii="Arial" w:hAnsi="Arial" w:cs="Arial"/>
        </w:rPr>
        <w:t>the expression. It seems to tempt Courts into speculation.</w:t>
      </w:r>
      <w:r w:rsidR="008B5213" w:rsidRPr="00811E82">
        <w:rPr>
          <w:rFonts w:ascii="Arial" w:hAnsi="Arial" w:cs="Arial"/>
        </w:rPr>
        <w:t xml:space="preserve"> Expressions such as in ordinary human experience, common sense dictates,</w:t>
      </w:r>
      <w:r w:rsidR="00F308DB" w:rsidRPr="00811E82">
        <w:rPr>
          <w:rFonts w:ascii="Arial" w:hAnsi="Arial" w:cs="Arial"/>
        </w:rPr>
        <w:t xml:space="preserve"> and obviously, which are regularly employed in reasoning along the lines of the maxim</w:t>
      </w:r>
      <w:r w:rsidR="00ED47A9" w:rsidRPr="00811E82">
        <w:rPr>
          <w:rFonts w:ascii="Arial" w:hAnsi="Arial" w:cs="Arial"/>
        </w:rPr>
        <w:t xml:space="preserve">, sometimes only serve to disguise conjecture. </w:t>
      </w:r>
      <w:r w:rsidR="002703E2" w:rsidRPr="00811E82">
        <w:rPr>
          <w:rFonts w:ascii="Arial" w:hAnsi="Arial" w:cs="Arial"/>
        </w:rPr>
        <w:t>Moreover, there is a risk of false syllogism inherent in reasoning that</w:t>
      </w:r>
      <w:r w:rsidR="007C147B" w:rsidRPr="00811E82">
        <w:rPr>
          <w:rFonts w:ascii="Arial" w:hAnsi="Arial" w:cs="Arial"/>
        </w:rPr>
        <w:t>, as the accident would ordinarily not have occurred without negligence on the part of</w:t>
      </w:r>
      <w:r w:rsidR="009A5719" w:rsidRPr="00811E82">
        <w:rPr>
          <w:rFonts w:ascii="Arial" w:hAnsi="Arial" w:cs="Arial"/>
        </w:rPr>
        <w:t xml:space="preserve"> the driver of the vehicle, the defendant, having been the driver,</w:t>
      </w:r>
      <w:r w:rsidR="00065FF0" w:rsidRPr="00811E82">
        <w:rPr>
          <w:rFonts w:ascii="Arial" w:hAnsi="Arial" w:cs="Arial"/>
        </w:rPr>
        <w:t xml:space="preserve"> was therefore negligent. Finally, reasoning along the lines of </w:t>
      </w:r>
      <w:r w:rsidR="00065FF0" w:rsidRPr="00811E82">
        <w:rPr>
          <w:rFonts w:ascii="Arial" w:hAnsi="Arial" w:cs="Arial"/>
          <w:i/>
          <w:iCs/>
        </w:rPr>
        <w:t>res ipsa loquitur</w:t>
      </w:r>
      <w:r w:rsidR="00C44585" w:rsidRPr="00811E82">
        <w:rPr>
          <w:rFonts w:ascii="Arial" w:hAnsi="Arial" w:cs="Arial"/>
        </w:rPr>
        <w:t xml:space="preserve"> leads to the somewhat unsatisfactory finding that the defendant was negligent </w:t>
      </w:r>
      <w:r w:rsidR="00666515" w:rsidRPr="00811E82">
        <w:rPr>
          <w:rFonts w:ascii="Arial" w:hAnsi="Arial" w:cs="Arial"/>
        </w:rPr>
        <w:t>in some general or unspecific manner.’</w:t>
      </w:r>
      <w:r w:rsidR="00666515" w:rsidRPr="00811E82">
        <w:rPr>
          <w:rStyle w:val="FootnoteReference"/>
          <w:rFonts w:ascii="Arial" w:hAnsi="Arial" w:cs="Arial"/>
        </w:rPr>
        <w:footnoteReference w:id="28"/>
      </w:r>
    </w:p>
    <w:p w14:paraId="4838CBC6" w14:textId="77777777" w:rsidR="00020033" w:rsidRDefault="00020033" w:rsidP="00020033">
      <w:pPr>
        <w:spacing w:line="360" w:lineRule="auto"/>
        <w:rPr>
          <w:rFonts w:ascii="Arial" w:hAnsi="Arial" w:cs="Arial"/>
          <w:sz w:val="24"/>
          <w:szCs w:val="24"/>
        </w:rPr>
      </w:pPr>
    </w:p>
    <w:p w14:paraId="5533DCEE" w14:textId="2325F8CF" w:rsidR="000E1F59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[28]</w:t>
      </w:r>
      <w:r w:rsidRPr="00D66FCB">
        <w:rPr>
          <w:rFonts w:ascii="Arial" w:hAnsi="Arial" w:cs="Arial"/>
          <w:sz w:val="24"/>
          <w:szCs w:val="24"/>
        </w:rPr>
        <w:tab/>
      </w:r>
      <w:r w:rsidR="00020033" w:rsidRPr="00260915">
        <w:rPr>
          <w:rFonts w:ascii="Arial" w:hAnsi="Arial" w:cs="Arial"/>
          <w:sz w:val="24"/>
          <w:szCs w:val="24"/>
        </w:rPr>
        <w:t>In the present matter,</w:t>
      </w:r>
      <w:r w:rsidR="006A6086" w:rsidRPr="00260915">
        <w:rPr>
          <w:rFonts w:ascii="Arial" w:hAnsi="Arial" w:cs="Arial"/>
          <w:sz w:val="24"/>
          <w:szCs w:val="24"/>
        </w:rPr>
        <w:t xml:space="preserve"> the plaintiff</w:t>
      </w:r>
      <w:r w:rsidR="009115DA" w:rsidRPr="00260915">
        <w:rPr>
          <w:rFonts w:ascii="Arial" w:hAnsi="Arial" w:cs="Arial"/>
          <w:sz w:val="24"/>
          <w:szCs w:val="24"/>
        </w:rPr>
        <w:t xml:space="preserve">’s case depends strongly on the </w:t>
      </w:r>
      <w:r w:rsidR="004556A4" w:rsidRPr="00260915">
        <w:rPr>
          <w:rFonts w:ascii="Arial" w:hAnsi="Arial" w:cs="Arial"/>
          <w:sz w:val="24"/>
          <w:szCs w:val="24"/>
        </w:rPr>
        <w:t xml:space="preserve">mere </w:t>
      </w:r>
      <w:r w:rsidR="009115DA" w:rsidRPr="00260915">
        <w:rPr>
          <w:rFonts w:ascii="Arial" w:hAnsi="Arial" w:cs="Arial"/>
          <w:sz w:val="24"/>
          <w:szCs w:val="24"/>
        </w:rPr>
        <w:t>fact tha</w:t>
      </w:r>
      <w:r w:rsidR="005730BB" w:rsidRPr="00260915">
        <w:rPr>
          <w:rFonts w:ascii="Arial" w:hAnsi="Arial" w:cs="Arial"/>
          <w:sz w:val="24"/>
          <w:szCs w:val="24"/>
        </w:rPr>
        <w:t xml:space="preserve">t she was </w:t>
      </w:r>
      <w:r w:rsidR="004556A4" w:rsidRPr="00260915">
        <w:rPr>
          <w:rFonts w:ascii="Arial" w:hAnsi="Arial" w:cs="Arial"/>
          <w:sz w:val="24"/>
          <w:szCs w:val="24"/>
        </w:rPr>
        <w:t xml:space="preserve">injured in a motor vehicle accident, as a passenger. </w:t>
      </w:r>
      <w:r w:rsidR="00146691" w:rsidRPr="00260915">
        <w:rPr>
          <w:rFonts w:ascii="Arial" w:hAnsi="Arial" w:cs="Arial"/>
          <w:sz w:val="24"/>
          <w:szCs w:val="24"/>
        </w:rPr>
        <w:t xml:space="preserve">This </w:t>
      </w:r>
      <w:r w:rsidR="000E1F59" w:rsidRPr="00260915">
        <w:rPr>
          <w:rFonts w:ascii="Arial" w:hAnsi="Arial" w:cs="Arial"/>
          <w:sz w:val="24"/>
          <w:szCs w:val="24"/>
        </w:rPr>
        <w:t xml:space="preserve">triggered the application </w:t>
      </w:r>
      <w:r w:rsidR="000E1F59" w:rsidRPr="00260915">
        <w:rPr>
          <w:rFonts w:ascii="Arial" w:hAnsi="Arial" w:cs="Arial"/>
          <w:sz w:val="24"/>
          <w:szCs w:val="24"/>
        </w:rPr>
        <w:lastRenderedPageBreak/>
        <w:t>of</w:t>
      </w:r>
      <w:r w:rsidR="00E962BE" w:rsidRPr="00260915">
        <w:rPr>
          <w:rFonts w:ascii="Arial" w:hAnsi="Arial" w:cs="Arial"/>
          <w:sz w:val="24"/>
          <w:szCs w:val="24"/>
        </w:rPr>
        <w:t xml:space="preserve"> the maxim, argues the plaintiff</w:t>
      </w:r>
      <w:r w:rsidR="000E1F59" w:rsidRPr="00260915">
        <w:rPr>
          <w:rFonts w:ascii="Arial" w:hAnsi="Arial" w:cs="Arial"/>
          <w:sz w:val="24"/>
          <w:szCs w:val="24"/>
        </w:rPr>
        <w:t xml:space="preserve">. </w:t>
      </w:r>
      <w:r w:rsidR="00E962BE" w:rsidRPr="00260915">
        <w:rPr>
          <w:rFonts w:ascii="Arial" w:hAnsi="Arial" w:cs="Arial"/>
          <w:sz w:val="24"/>
          <w:szCs w:val="24"/>
        </w:rPr>
        <w:t>To that effect, c</w:t>
      </w:r>
      <w:r w:rsidR="004556A4" w:rsidRPr="00260915">
        <w:rPr>
          <w:rFonts w:ascii="Arial" w:hAnsi="Arial" w:cs="Arial"/>
          <w:sz w:val="24"/>
          <w:szCs w:val="24"/>
        </w:rPr>
        <w:t xml:space="preserve">ounsel referred to </w:t>
      </w:r>
      <w:r w:rsidR="00E9512C" w:rsidRPr="00260915">
        <w:rPr>
          <w:rFonts w:ascii="Arial" w:hAnsi="Arial" w:cs="Arial"/>
          <w:i/>
          <w:iCs/>
          <w:sz w:val="24"/>
          <w:szCs w:val="24"/>
        </w:rPr>
        <w:t>Janse van Vuuren NO</w:t>
      </w:r>
      <w:r w:rsidR="00E9512C" w:rsidRPr="00260915">
        <w:rPr>
          <w:rFonts w:ascii="Arial" w:hAnsi="Arial" w:cs="Arial"/>
          <w:sz w:val="24"/>
          <w:szCs w:val="24"/>
        </w:rPr>
        <w:t>,</w:t>
      </w:r>
      <w:r w:rsidR="00A86506">
        <w:rPr>
          <w:rStyle w:val="FootnoteReference"/>
          <w:rFonts w:ascii="Arial" w:hAnsi="Arial" w:cs="Arial"/>
          <w:sz w:val="24"/>
          <w:szCs w:val="24"/>
        </w:rPr>
        <w:footnoteReference w:id="29"/>
      </w:r>
      <w:r w:rsidR="00E9512C" w:rsidRPr="00260915">
        <w:rPr>
          <w:rFonts w:ascii="Arial" w:hAnsi="Arial" w:cs="Arial"/>
          <w:sz w:val="24"/>
          <w:szCs w:val="24"/>
        </w:rPr>
        <w:t xml:space="preserve"> where</w:t>
      </w:r>
      <w:r w:rsidR="004A00EE" w:rsidRPr="00260915">
        <w:rPr>
          <w:rFonts w:ascii="Arial" w:hAnsi="Arial" w:cs="Arial"/>
          <w:sz w:val="24"/>
          <w:szCs w:val="24"/>
        </w:rPr>
        <w:t>, on appeal,</w:t>
      </w:r>
      <w:r w:rsidR="00E9512C" w:rsidRPr="00260915">
        <w:rPr>
          <w:rFonts w:ascii="Arial" w:hAnsi="Arial" w:cs="Arial"/>
          <w:sz w:val="24"/>
          <w:szCs w:val="24"/>
        </w:rPr>
        <w:t xml:space="preserve"> </w:t>
      </w:r>
      <w:r w:rsidR="00A86506" w:rsidRPr="00260915">
        <w:rPr>
          <w:rFonts w:ascii="Arial" w:hAnsi="Arial" w:cs="Arial"/>
          <w:sz w:val="24"/>
          <w:szCs w:val="24"/>
        </w:rPr>
        <w:t xml:space="preserve">Tolmay J </w:t>
      </w:r>
      <w:r w:rsidR="004B3834" w:rsidRPr="00260915">
        <w:rPr>
          <w:rFonts w:ascii="Arial" w:hAnsi="Arial" w:cs="Arial"/>
          <w:sz w:val="24"/>
          <w:szCs w:val="24"/>
        </w:rPr>
        <w:t>held</w:t>
      </w:r>
      <w:r w:rsidR="000E1F59" w:rsidRPr="00260915">
        <w:rPr>
          <w:rFonts w:ascii="Arial" w:hAnsi="Arial" w:cs="Arial"/>
          <w:sz w:val="24"/>
          <w:szCs w:val="24"/>
        </w:rPr>
        <w:t>:</w:t>
      </w:r>
    </w:p>
    <w:p w14:paraId="5F80BA5E" w14:textId="11EFE0DC" w:rsidR="00020033" w:rsidRPr="00391A9A" w:rsidRDefault="000E1F59" w:rsidP="00D66FCB">
      <w:pPr>
        <w:spacing w:line="360" w:lineRule="auto"/>
        <w:ind w:left="720"/>
        <w:jc w:val="both"/>
        <w:rPr>
          <w:rFonts w:ascii="Arial" w:hAnsi="Arial" w:cs="Arial"/>
        </w:rPr>
      </w:pPr>
      <w:r w:rsidRPr="00391A9A">
        <w:rPr>
          <w:rFonts w:ascii="Arial" w:hAnsi="Arial" w:cs="Arial"/>
        </w:rPr>
        <w:t>‘</w:t>
      </w:r>
      <w:r w:rsidR="00E77DEC" w:rsidRPr="00391A9A">
        <w:rPr>
          <w:rFonts w:ascii="Arial" w:hAnsi="Arial" w:cs="Arial"/>
        </w:rPr>
        <w:t>T</w:t>
      </w:r>
      <w:r w:rsidR="00C117C3" w:rsidRPr="00391A9A">
        <w:rPr>
          <w:rFonts w:ascii="Arial" w:hAnsi="Arial" w:cs="Arial"/>
        </w:rPr>
        <w:t xml:space="preserve">he court </w:t>
      </w:r>
      <w:r w:rsidR="00C117C3" w:rsidRPr="00391A9A">
        <w:rPr>
          <w:rFonts w:ascii="Arial" w:hAnsi="Arial" w:cs="Arial"/>
          <w:i/>
          <w:iCs/>
        </w:rPr>
        <w:t>a quo</w:t>
      </w:r>
      <w:r w:rsidR="00C117C3" w:rsidRPr="00391A9A">
        <w:rPr>
          <w:rFonts w:ascii="Arial" w:hAnsi="Arial" w:cs="Arial"/>
        </w:rPr>
        <w:t xml:space="preserve"> </w:t>
      </w:r>
      <w:r w:rsidR="00800BD2" w:rsidRPr="00391A9A">
        <w:rPr>
          <w:rFonts w:ascii="Arial" w:hAnsi="Arial" w:cs="Arial"/>
        </w:rPr>
        <w:t xml:space="preserve">misdirected itself in postulating </w:t>
      </w:r>
      <w:r w:rsidR="00C5671F" w:rsidRPr="00391A9A">
        <w:rPr>
          <w:rFonts w:ascii="Arial" w:hAnsi="Arial" w:cs="Arial"/>
        </w:rPr>
        <w:t>that one cannot by the mere conduct of the overturning of a vehicle</w:t>
      </w:r>
      <w:r w:rsidR="003B64B9" w:rsidRPr="00391A9A">
        <w:rPr>
          <w:rFonts w:ascii="Arial" w:hAnsi="Arial" w:cs="Arial"/>
        </w:rPr>
        <w:t xml:space="preserve"> draw an inference of negligence against a driver</w:t>
      </w:r>
      <w:r w:rsidR="00146691" w:rsidRPr="00391A9A">
        <w:rPr>
          <w:rFonts w:ascii="Arial" w:hAnsi="Arial" w:cs="Arial"/>
        </w:rPr>
        <w:t>.</w:t>
      </w:r>
      <w:r w:rsidR="00E77DEC" w:rsidRPr="00391A9A">
        <w:rPr>
          <w:rFonts w:ascii="Arial" w:hAnsi="Arial" w:cs="Arial"/>
        </w:rPr>
        <w:t xml:space="preserve"> </w:t>
      </w:r>
      <w:r w:rsidR="00951C6C" w:rsidRPr="00391A9A">
        <w:rPr>
          <w:rFonts w:ascii="Arial" w:hAnsi="Arial" w:cs="Arial"/>
        </w:rPr>
        <w:t xml:space="preserve">A vehicle which is driven properly and without negligence </w:t>
      </w:r>
      <w:r w:rsidR="00962C2A" w:rsidRPr="00391A9A">
        <w:rPr>
          <w:rFonts w:ascii="Arial" w:hAnsi="Arial" w:cs="Arial"/>
        </w:rPr>
        <w:t>does not normally overturn whilst travelling along a roadway.</w:t>
      </w:r>
      <w:r w:rsidR="00BC2E0F" w:rsidRPr="00391A9A">
        <w:rPr>
          <w:rFonts w:ascii="Arial" w:hAnsi="Arial" w:cs="Arial"/>
        </w:rPr>
        <w:t xml:space="preserve"> The principle of </w:t>
      </w:r>
      <w:r w:rsidR="00BC2E0F" w:rsidRPr="00B75778">
        <w:rPr>
          <w:rFonts w:ascii="Arial" w:hAnsi="Arial" w:cs="Arial"/>
          <w:i/>
          <w:iCs/>
        </w:rPr>
        <w:t>res ipsa loquitur</w:t>
      </w:r>
      <w:r w:rsidR="00BC2E0F" w:rsidRPr="00391A9A">
        <w:rPr>
          <w:rFonts w:ascii="Arial" w:hAnsi="Arial" w:cs="Arial"/>
        </w:rPr>
        <w:t xml:space="preserve"> finds application.</w:t>
      </w:r>
      <w:r w:rsidR="00FA27BD" w:rsidRPr="00391A9A">
        <w:rPr>
          <w:rFonts w:ascii="Arial" w:hAnsi="Arial" w:cs="Arial"/>
        </w:rPr>
        <w:t xml:space="preserve"> The evidence points to an inference of negligence </w:t>
      </w:r>
      <w:r w:rsidR="00937AB1" w:rsidRPr="00391A9A">
        <w:rPr>
          <w:rFonts w:ascii="Arial" w:hAnsi="Arial" w:cs="Arial"/>
        </w:rPr>
        <w:t xml:space="preserve">on the part of the first insured driver. There exists no evidence on which </w:t>
      </w:r>
      <w:r w:rsidR="000B18B5" w:rsidRPr="00391A9A">
        <w:rPr>
          <w:rFonts w:ascii="Arial" w:hAnsi="Arial" w:cs="Arial"/>
        </w:rPr>
        <w:t xml:space="preserve">it could be held that the deceased was negligent </w:t>
      </w:r>
      <w:r w:rsidR="003C557B" w:rsidRPr="00391A9A">
        <w:rPr>
          <w:rFonts w:ascii="Arial" w:hAnsi="Arial" w:cs="Arial"/>
        </w:rPr>
        <w:t>even if he might not have made the right decision in the agony of the moment.’</w:t>
      </w:r>
      <w:r w:rsidR="003C557B" w:rsidRPr="00391A9A">
        <w:rPr>
          <w:rStyle w:val="FootnoteReference"/>
          <w:rFonts w:ascii="Arial" w:hAnsi="Arial" w:cs="Arial"/>
        </w:rPr>
        <w:footnoteReference w:id="30"/>
      </w:r>
    </w:p>
    <w:p w14:paraId="56D83A93" w14:textId="55D3621B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[29]</w:t>
      </w:r>
      <w:r>
        <w:rPr>
          <w:rFonts w:ascii="Arial" w:hAnsi="Arial" w:cs="Arial"/>
          <w:sz w:val="24"/>
          <w:szCs w:val="24"/>
        </w:rPr>
        <w:tab/>
      </w:r>
      <w:r w:rsidR="00391A9A" w:rsidRPr="00260915">
        <w:rPr>
          <w:rFonts w:ascii="Arial" w:hAnsi="Arial" w:cs="Arial"/>
          <w:sz w:val="24"/>
          <w:szCs w:val="24"/>
        </w:rPr>
        <w:t xml:space="preserve">As already stated, however, </w:t>
      </w:r>
      <w:r w:rsidR="00B75778" w:rsidRPr="00260915">
        <w:rPr>
          <w:rFonts w:ascii="Arial" w:hAnsi="Arial" w:cs="Arial"/>
          <w:sz w:val="24"/>
          <w:szCs w:val="24"/>
        </w:rPr>
        <w:t xml:space="preserve">the plaintiff </w:t>
      </w:r>
      <w:r w:rsidR="00F40DE5" w:rsidRPr="00260915">
        <w:rPr>
          <w:rFonts w:ascii="Arial" w:hAnsi="Arial" w:cs="Arial"/>
          <w:sz w:val="24"/>
          <w:szCs w:val="24"/>
        </w:rPr>
        <w:t>is still required to d</w:t>
      </w:r>
      <w:r w:rsidR="00244054" w:rsidRPr="00260915">
        <w:rPr>
          <w:rFonts w:ascii="Arial" w:hAnsi="Arial" w:cs="Arial"/>
          <w:sz w:val="24"/>
          <w:szCs w:val="24"/>
        </w:rPr>
        <w:t xml:space="preserve">ischarge the onus. She </w:t>
      </w:r>
      <w:r w:rsidR="004108CC" w:rsidRPr="00260915">
        <w:rPr>
          <w:rFonts w:ascii="Arial" w:hAnsi="Arial" w:cs="Arial"/>
          <w:sz w:val="24"/>
          <w:szCs w:val="24"/>
        </w:rPr>
        <w:t>must</w:t>
      </w:r>
      <w:r w:rsidR="00051404" w:rsidRPr="00260915">
        <w:rPr>
          <w:rFonts w:ascii="Arial" w:hAnsi="Arial" w:cs="Arial"/>
          <w:sz w:val="24"/>
          <w:szCs w:val="24"/>
        </w:rPr>
        <w:t>, in the end,</w:t>
      </w:r>
      <w:r w:rsidR="00244054" w:rsidRPr="00260915">
        <w:rPr>
          <w:rFonts w:ascii="Arial" w:hAnsi="Arial" w:cs="Arial"/>
          <w:sz w:val="24"/>
          <w:szCs w:val="24"/>
        </w:rPr>
        <w:t xml:space="preserve"> demonstrate that the </w:t>
      </w:r>
      <w:r w:rsidR="00051404" w:rsidRPr="00260915">
        <w:rPr>
          <w:rFonts w:ascii="Arial" w:hAnsi="Arial" w:cs="Arial"/>
          <w:sz w:val="24"/>
          <w:szCs w:val="24"/>
        </w:rPr>
        <w:t xml:space="preserve">driver </w:t>
      </w:r>
      <w:r w:rsidR="00DC26DE" w:rsidRPr="00260915">
        <w:rPr>
          <w:rFonts w:ascii="Arial" w:hAnsi="Arial" w:cs="Arial"/>
          <w:sz w:val="24"/>
          <w:szCs w:val="24"/>
        </w:rPr>
        <w:t xml:space="preserve">of the taxi </w:t>
      </w:r>
      <w:r w:rsidR="00051404" w:rsidRPr="00260915">
        <w:rPr>
          <w:rFonts w:ascii="Arial" w:hAnsi="Arial" w:cs="Arial"/>
          <w:sz w:val="24"/>
          <w:szCs w:val="24"/>
        </w:rPr>
        <w:t>was negligent. She cannot rely on the maxim</w:t>
      </w:r>
      <w:r w:rsidR="006801C2" w:rsidRPr="00260915">
        <w:rPr>
          <w:rFonts w:ascii="Arial" w:hAnsi="Arial" w:cs="Arial"/>
          <w:sz w:val="24"/>
          <w:szCs w:val="24"/>
        </w:rPr>
        <w:t xml:space="preserve"> alone</w:t>
      </w:r>
      <w:r w:rsidR="00051404" w:rsidRPr="00260915">
        <w:rPr>
          <w:rFonts w:ascii="Arial" w:hAnsi="Arial" w:cs="Arial"/>
          <w:sz w:val="24"/>
          <w:szCs w:val="24"/>
        </w:rPr>
        <w:t xml:space="preserve">. </w:t>
      </w:r>
    </w:p>
    <w:p w14:paraId="404E9A33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0E212ED" w14:textId="4BC4A477" w:rsidR="00FE2E29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[30]</w:t>
      </w:r>
      <w:r w:rsidRPr="00D66FCB">
        <w:rPr>
          <w:rFonts w:ascii="Arial" w:hAnsi="Arial" w:cs="Arial"/>
          <w:sz w:val="24"/>
          <w:szCs w:val="24"/>
        </w:rPr>
        <w:tab/>
      </w:r>
      <w:r w:rsidR="00981FC9" w:rsidRPr="00260915">
        <w:rPr>
          <w:rFonts w:ascii="Arial" w:hAnsi="Arial" w:cs="Arial"/>
          <w:sz w:val="24"/>
          <w:szCs w:val="24"/>
        </w:rPr>
        <w:t xml:space="preserve">The </w:t>
      </w:r>
      <w:r w:rsidR="00981FC9" w:rsidRPr="00260915">
        <w:rPr>
          <w:rFonts w:ascii="Arial" w:hAnsi="Arial" w:cs="Arial"/>
          <w:i/>
          <w:iCs/>
          <w:sz w:val="24"/>
          <w:szCs w:val="24"/>
        </w:rPr>
        <w:t>locus classicus</w:t>
      </w:r>
      <w:r w:rsidR="00981FC9" w:rsidRPr="00260915">
        <w:rPr>
          <w:rFonts w:ascii="Arial" w:hAnsi="Arial" w:cs="Arial"/>
          <w:sz w:val="24"/>
          <w:szCs w:val="24"/>
        </w:rPr>
        <w:t xml:space="preserve"> </w:t>
      </w:r>
      <w:r w:rsidR="00FE2E29" w:rsidRPr="00260915">
        <w:rPr>
          <w:rFonts w:ascii="Arial" w:hAnsi="Arial" w:cs="Arial"/>
          <w:sz w:val="24"/>
          <w:szCs w:val="24"/>
        </w:rPr>
        <w:t>for negligence (</w:t>
      </w:r>
      <w:r w:rsidR="00FE2E29" w:rsidRPr="00260915">
        <w:rPr>
          <w:rFonts w:ascii="Arial" w:hAnsi="Arial" w:cs="Arial"/>
          <w:i/>
          <w:iCs/>
          <w:sz w:val="24"/>
          <w:szCs w:val="24"/>
        </w:rPr>
        <w:t>culpa</w:t>
      </w:r>
      <w:r w:rsidR="00FE2E29" w:rsidRPr="00260915">
        <w:rPr>
          <w:rFonts w:ascii="Arial" w:hAnsi="Arial" w:cs="Arial"/>
          <w:sz w:val="24"/>
          <w:szCs w:val="24"/>
        </w:rPr>
        <w:t>) remains th</w:t>
      </w:r>
      <w:r w:rsidR="006801C2" w:rsidRPr="00260915">
        <w:rPr>
          <w:rFonts w:ascii="Arial" w:hAnsi="Arial" w:cs="Arial"/>
          <w:sz w:val="24"/>
          <w:szCs w:val="24"/>
        </w:rPr>
        <w:t xml:space="preserve">e decision in </w:t>
      </w:r>
      <w:r w:rsidR="00FE2E29" w:rsidRPr="00260915">
        <w:rPr>
          <w:rFonts w:ascii="Arial" w:hAnsi="Arial" w:cs="Arial"/>
          <w:i/>
          <w:iCs/>
          <w:sz w:val="24"/>
          <w:szCs w:val="24"/>
        </w:rPr>
        <w:t>Kruger v Coetzee</w:t>
      </w:r>
      <w:r w:rsidR="00FE2E29" w:rsidRPr="00260915">
        <w:rPr>
          <w:rFonts w:ascii="Arial" w:hAnsi="Arial" w:cs="Arial"/>
          <w:sz w:val="24"/>
          <w:szCs w:val="24"/>
        </w:rPr>
        <w:t>,</w:t>
      </w:r>
      <w:r w:rsidR="00FE2E29" w:rsidRPr="00FE2E29">
        <w:rPr>
          <w:vertAlign w:val="superscript"/>
        </w:rPr>
        <w:footnoteReference w:id="31"/>
      </w:r>
      <w:r w:rsidR="00FE2E29" w:rsidRPr="00260915">
        <w:rPr>
          <w:rFonts w:ascii="Arial" w:hAnsi="Arial" w:cs="Arial"/>
          <w:sz w:val="24"/>
          <w:szCs w:val="24"/>
        </w:rPr>
        <w:t xml:space="preserve"> where </w:t>
      </w:r>
      <w:r w:rsidR="0007336E" w:rsidRPr="00260915">
        <w:rPr>
          <w:rFonts w:ascii="Arial" w:hAnsi="Arial" w:cs="Arial"/>
          <w:sz w:val="24"/>
          <w:szCs w:val="24"/>
        </w:rPr>
        <w:t>Holmes JA held</w:t>
      </w:r>
      <w:r w:rsidR="00FE2E29" w:rsidRPr="00260915">
        <w:rPr>
          <w:rFonts w:ascii="Arial" w:hAnsi="Arial" w:cs="Arial"/>
          <w:sz w:val="24"/>
          <w:szCs w:val="24"/>
        </w:rPr>
        <w:t>:</w:t>
      </w:r>
    </w:p>
    <w:p w14:paraId="7BFCCFCE" w14:textId="77777777" w:rsidR="00FE2E29" w:rsidRPr="00FE2E29" w:rsidRDefault="00FE2E29" w:rsidP="00D66FCB">
      <w:pPr>
        <w:spacing w:line="360" w:lineRule="auto"/>
        <w:jc w:val="both"/>
        <w:rPr>
          <w:rFonts w:ascii="Arial" w:hAnsi="Arial" w:cs="Arial"/>
        </w:rPr>
      </w:pPr>
      <w:r w:rsidRPr="00FE2E29">
        <w:rPr>
          <w:rFonts w:ascii="Arial" w:hAnsi="Arial" w:cs="Arial"/>
        </w:rPr>
        <w:tab/>
        <w:t xml:space="preserve">‘For the purposes of liability </w:t>
      </w:r>
      <w:r w:rsidRPr="00FE2E29">
        <w:rPr>
          <w:rFonts w:ascii="Arial" w:hAnsi="Arial" w:cs="Arial"/>
          <w:i/>
          <w:iCs/>
        </w:rPr>
        <w:t>culpa</w:t>
      </w:r>
      <w:r w:rsidRPr="00FE2E29">
        <w:rPr>
          <w:rFonts w:ascii="Arial" w:hAnsi="Arial" w:cs="Arial"/>
        </w:rPr>
        <w:t xml:space="preserve"> arises if–</w:t>
      </w:r>
    </w:p>
    <w:p w14:paraId="2CBD1D81" w14:textId="60BD6CB8" w:rsidR="00FE2E29" w:rsidRPr="00FE2E29" w:rsidRDefault="00260915" w:rsidP="00260915">
      <w:pPr>
        <w:spacing w:line="360" w:lineRule="auto"/>
        <w:ind w:left="1800" w:hanging="360"/>
        <w:jc w:val="both"/>
        <w:rPr>
          <w:rFonts w:ascii="Arial" w:hAnsi="Arial" w:cs="Arial"/>
        </w:rPr>
      </w:pPr>
      <w:r w:rsidRPr="00FE2E29">
        <w:rPr>
          <w:rFonts w:ascii="Arial" w:hAnsi="Arial" w:cs="Arial"/>
        </w:rPr>
        <w:t>(a)</w:t>
      </w:r>
      <w:r w:rsidRPr="00FE2E29">
        <w:rPr>
          <w:rFonts w:ascii="Arial" w:hAnsi="Arial" w:cs="Arial"/>
        </w:rPr>
        <w:tab/>
      </w:r>
      <w:r w:rsidR="00FE2E29" w:rsidRPr="00FE2E29">
        <w:rPr>
          <w:rFonts w:ascii="Arial" w:hAnsi="Arial" w:cs="Arial"/>
        </w:rPr>
        <w:t xml:space="preserve">a </w:t>
      </w:r>
      <w:proofErr w:type="spellStart"/>
      <w:r w:rsidR="00FE2E29" w:rsidRPr="00FE2E29">
        <w:rPr>
          <w:rFonts w:ascii="Arial" w:hAnsi="Arial" w:cs="Arial"/>
          <w:i/>
          <w:iCs/>
        </w:rPr>
        <w:t>diligens</w:t>
      </w:r>
      <w:proofErr w:type="spellEnd"/>
      <w:r w:rsidR="00FE2E29" w:rsidRPr="00FE2E29">
        <w:rPr>
          <w:rFonts w:ascii="Arial" w:hAnsi="Arial" w:cs="Arial"/>
          <w:i/>
          <w:iCs/>
        </w:rPr>
        <w:t xml:space="preserve"> paterfamilias</w:t>
      </w:r>
      <w:r w:rsidR="00FE2E29" w:rsidRPr="00FE2E29">
        <w:rPr>
          <w:rFonts w:ascii="Arial" w:hAnsi="Arial" w:cs="Arial"/>
        </w:rPr>
        <w:t xml:space="preserve"> in the position of the defendant–</w:t>
      </w:r>
    </w:p>
    <w:p w14:paraId="1DDF0E15" w14:textId="6222810B" w:rsidR="00FE2E29" w:rsidRPr="00FE2E29" w:rsidRDefault="00260915" w:rsidP="00260915">
      <w:pPr>
        <w:spacing w:line="360" w:lineRule="auto"/>
        <w:ind w:left="2880" w:hanging="720"/>
        <w:jc w:val="both"/>
        <w:rPr>
          <w:rFonts w:ascii="Arial" w:hAnsi="Arial" w:cs="Arial"/>
        </w:rPr>
      </w:pPr>
      <w:r w:rsidRPr="00FE2E29">
        <w:rPr>
          <w:rFonts w:ascii="Arial" w:hAnsi="Arial" w:cs="Arial"/>
        </w:rPr>
        <w:t>(</w:t>
      </w:r>
      <w:proofErr w:type="spellStart"/>
      <w:r w:rsidRPr="00FE2E29">
        <w:rPr>
          <w:rFonts w:ascii="Arial" w:hAnsi="Arial" w:cs="Arial"/>
        </w:rPr>
        <w:t>i</w:t>
      </w:r>
      <w:proofErr w:type="spellEnd"/>
      <w:r w:rsidRPr="00FE2E29">
        <w:rPr>
          <w:rFonts w:ascii="Arial" w:hAnsi="Arial" w:cs="Arial"/>
        </w:rPr>
        <w:t>)</w:t>
      </w:r>
      <w:r w:rsidRPr="00FE2E29">
        <w:rPr>
          <w:rFonts w:ascii="Arial" w:hAnsi="Arial" w:cs="Arial"/>
        </w:rPr>
        <w:tab/>
      </w:r>
      <w:r w:rsidR="00FE2E29" w:rsidRPr="00FE2E29">
        <w:rPr>
          <w:rFonts w:ascii="Arial" w:hAnsi="Arial" w:cs="Arial"/>
        </w:rPr>
        <w:t>would foresee the reasonable possibility of his conduct injuring another in his person or property and causing him patrimonial loss; and</w:t>
      </w:r>
    </w:p>
    <w:p w14:paraId="613B058B" w14:textId="215C046D" w:rsidR="00FE2E29" w:rsidRPr="00FE2E29" w:rsidRDefault="00260915" w:rsidP="00260915">
      <w:pPr>
        <w:spacing w:line="360" w:lineRule="auto"/>
        <w:ind w:left="2880" w:hanging="720"/>
        <w:jc w:val="both"/>
        <w:rPr>
          <w:rFonts w:ascii="Arial" w:hAnsi="Arial" w:cs="Arial"/>
        </w:rPr>
      </w:pPr>
      <w:r w:rsidRPr="00FE2E29">
        <w:rPr>
          <w:rFonts w:ascii="Arial" w:hAnsi="Arial" w:cs="Arial"/>
        </w:rPr>
        <w:t>(ii)</w:t>
      </w:r>
      <w:r w:rsidRPr="00FE2E29">
        <w:rPr>
          <w:rFonts w:ascii="Arial" w:hAnsi="Arial" w:cs="Arial"/>
        </w:rPr>
        <w:tab/>
      </w:r>
      <w:r w:rsidR="00FE2E29" w:rsidRPr="00FE2E29">
        <w:rPr>
          <w:rFonts w:ascii="Arial" w:hAnsi="Arial" w:cs="Arial"/>
        </w:rPr>
        <w:t xml:space="preserve">would take reasonable steps to guard against such occurrence; and </w:t>
      </w:r>
    </w:p>
    <w:p w14:paraId="1D0F0273" w14:textId="5E05D8D3" w:rsidR="00FE2E29" w:rsidRPr="004001D9" w:rsidRDefault="00260915" w:rsidP="00260915">
      <w:pPr>
        <w:spacing w:line="360" w:lineRule="auto"/>
        <w:ind w:left="1800" w:hanging="360"/>
        <w:jc w:val="both"/>
        <w:rPr>
          <w:rFonts w:ascii="Arial" w:hAnsi="Arial" w:cs="Arial"/>
        </w:rPr>
      </w:pPr>
      <w:r w:rsidRPr="004001D9">
        <w:rPr>
          <w:rFonts w:ascii="Arial" w:hAnsi="Arial" w:cs="Arial"/>
        </w:rPr>
        <w:t>(b)</w:t>
      </w:r>
      <w:r w:rsidRPr="004001D9">
        <w:rPr>
          <w:rFonts w:ascii="Arial" w:hAnsi="Arial" w:cs="Arial"/>
        </w:rPr>
        <w:tab/>
      </w:r>
      <w:r w:rsidR="00FE2E29" w:rsidRPr="00FE2E29">
        <w:rPr>
          <w:rFonts w:ascii="Arial" w:hAnsi="Arial" w:cs="Arial"/>
        </w:rPr>
        <w:t>the defendant failed to take such steps.’</w:t>
      </w:r>
      <w:r w:rsidR="00FE2E29" w:rsidRPr="00FE2E29">
        <w:rPr>
          <w:rFonts w:ascii="Arial" w:hAnsi="Arial" w:cs="Arial"/>
          <w:vertAlign w:val="superscript"/>
        </w:rPr>
        <w:footnoteReference w:id="32"/>
      </w:r>
    </w:p>
    <w:p w14:paraId="5805C214" w14:textId="77777777" w:rsidR="00842DAC" w:rsidRDefault="00842DAC" w:rsidP="00842DAC">
      <w:pPr>
        <w:spacing w:line="360" w:lineRule="auto"/>
        <w:rPr>
          <w:rFonts w:ascii="Arial" w:hAnsi="Arial" w:cs="Arial"/>
          <w:sz w:val="24"/>
          <w:szCs w:val="24"/>
        </w:rPr>
      </w:pPr>
    </w:p>
    <w:p w14:paraId="3A85017D" w14:textId="5E57813D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[31]</w:t>
      </w:r>
      <w:r>
        <w:rPr>
          <w:rFonts w:ascii="Arial" w:hAnsi="Arial" w:cs="Arial"/>
          <w:sz w:val="24"/>
          <w:szCs w:val="24"/>
        </w:rPr>
        <w:tab/>
      </w:r>
      <w:r w:rsidR="002B0A6D" w:rsidRPr="00260915">
        <w:rPr>
          <w:rFonts w:ascii="Arial" w:hAnsi="Arial" w:cs="Arial"/>
          <w:sz w:val="24"/>
          <w:szCs w:val="24"/>
        </w:rPr>
        <w:t xml:space="preserve">The plaintiff testified that </w:t>
      </w:r>
      <w:r w:rsidR="00285B5C" w:rsidRPr="00260915">
        <w:rPr>
          <w:rFonts w:ascii="Arial" w:hAnsi="Arial" w:cs="Arial"/>
          <w:sz w:val="24"/>
          <w:szCs w:val="24"/>
        </w:rPr>
        <w:t xml:space="preserve">she boarded the </w:t>
      </w:r>
      <w:r w:rsidR="002D59F8" w:rsidRPr="00260915">
        <w:rPr>
          <w:rFonts w:ascii="Arial" w:hAnsi="Arial" w:cs="Arial"/>
          <w:sz w:val="24"/>
          <w:szCs w:val="24"/>
        </w:rPr>
        <w:t xml:space="preserve">taxi on 31 August 2008. </w:t>
      </w:r>
      <w:r w:rsidR="00A24682" w:rsidRPr="00260915">
        <w:rPr>
          <w:rFonts w:ascii="Arial" w:hAnsi="Arial" w:cs="Arial"/>
          <w:sz w:val="24"/>
          <w:szCs w:val="24"/>
        </w:rPr>
        <w:t>The accident happened at about 18h00 in a mountainous area</w:t>
      </w:r>
      <w:r w:rsidR="00540A80" w:rsidRPr="00260915">
        <w:rPr>
          <w:rFonts w:ascii="Arial" w:hAnsi="Arial" w:cs="Arial"/>
          <w:sz w:val="24"/>
          <w:szCs w:val="24"/>
        </w:rPr>
        <w:t xml:space="preserve">, with </w:t>
      </w:r>
      <w:r w:rsidR="00B249D3" w:rsidRPr="00260915">
        <w:rPr>
          <w:rFonts w:ascii="Arial" w:hAnsi="Arial" w:cs="Arial"/>
          <w:sz w:val="24"/>
          <w:szCs w:val="24"/>
        </w:rPr>
        <w:t>many curves in the road</w:t>
      </w:r>
      <w:r w:rsidR="00A24682" w:rsidRPr="00260915">
        <w:rPr>
          <w:rFonts w:ascii="Arial" w:hAnsi="Arial" w:cs="Arial"/>
          <w:sz w:val="24"/>
          <w:szCs w:val="24"/>
        </w:rPr>
        <w:t xml:space="preserve">, </w:t>
      </w:r>
      <w:r w:rsidR="0054088C" w:rsidRPr="00260915">
        <w:rPr>
          <w:rFonts w:ascii="Arial" w:hAnsi="Arial" w:cs="Arial"/>
          <w:sz w:val="24"/>
          <w:szCs w:val="24"/>
        </w:rPr>
        <w:t xml:space="preserve">and </w:t>
      </w:r>
      <w:r w:rsidR="00A24682" w:rsidRPr="00260915">
        <w:rPr>
          <w:rFonts w:ascii="Arial" w:hAnsi="Arial" w:cs="Arial"/>
          <w:sz w:val="24"/>
          <w:szCs w:val="24"/>
        </w:rPr>
        <w:t xml:space="preserve">it </w:t>
      </w:r>
      <w:r w:rsidR="00A24682" w:rsidRPr="00260915">
        <w:rPr>
          <w:rFonts w:ascii="Arial" w:hAnsi="Arial" w:cs="Arial"/>
          <w:sz w:val="24"/>
          <w:szCs w:val="24"/>
        </w:rPr>
        <w:lastRenderedPageBreak/>
        <w:t xml:space="preserve">had been </w:t>
      </w:r>
      <w:r w:rsidR="00184AFE" w:rsidRPr="00260915">
        <w:rPr>
          <w:rFonts w:ascii="Arial" w:hAnsi="Arial" w:cs="Arial"/>
          <w:sz w:val="24"/>
          <w:szCs w:val="24"/>
        </w:rPr>
        <w:t>raining</w:t>
      </w:r>
      <w:r w:rsidR="00EA6251" w:rsidRPr="00260915">
        <w:rPr>
          <w:rFonts w:ascii="Arial" w:hAnsi="Arial" w:cs="Arial"/>
          <w:sz w:val="24"/>
          <w:szCs w:val="24"/>
        </w:rPr>
        <w:t xml:space="preserve">. She presented no evidence regarding </w:t>
      </w:r>
      <w:r w:rsidR="00472648" w:rsidRPr="00260915">
        <w:rPr>
          <w:rFonts w:ascii="Arial" w:hAnsi="Arial" w:cs="Arial"/>
          <w:sz w:val="24"/>
          <w:szCs w:val="24"/>
        </w:rPr>
        <w:t xml:space="preserve">the </w:t>
      </w:r>
      <w:r w:rsidR="003B6C3E" w:rsidRPr="00260915">
        <w:rPr>
          <w:rFonts w:ascii="Arial" w:hAnsi="Arial" w:cs="Arial"/>
          <w:sz w:val="24"/>
          <w:szCs w:val="24"/>
        </w:rPr>
        <w:t xml:space="preserve">driver’s </w:t>
      </w:r>
      <w:r w:rsidR="00472648" w:rsidRPr="00260915">
        <w:rPr>
          <w:rFonts w:ascii="Arial" w:hAnsi="Arial" w:cs="Arial"/>
          <w:sz w:val="24"/>
          <w:szCs w:val="24"/>
        </w:rPr>
        <w:t>conduct</w:t>
      </w:r>
      <w:r w:rsidR="008D63C8" w:rsidRPr="00260915">
        <w:rPr>
          <w:rFonts w:ascii="Arial" w:hAnsi="Arial" w:cs="Arial"/>
          <w:sz w:val="24"/>
          <w:szCs w:val="24"/>
        </w:rPr>
        <w:t xml:space="preserve">, </w:t>
      </w:r>
      <w:r w:rsidR="0033798F" w:rsidRPr="00260915">
        <w:rPr>
          <w:rFonts w:ascii="Arial" w:hAnsi="Arial" w:cs="Arial"/>
          <w:sz w:val="24"/>
          <w:szCs w:val="24"/>
        </w:rPr>
        <w:t>how it</w:t>
      </w:r>
      <w:r w:rsidR="008D63C8" w:rsidRPr="00260915">
        <w:rPr>
          <w:rFonts w:ascii="Arial" w:hAnsi="Arial" w:cs="Arial"/>
          <w:sz w:val="24"/>
          <w:szCs w:val="24"/>
        </w:rPr>
        <w:t xml:space="preserve"> would have </w:t>
      </w:r>
      <w:r w:rsidR="003F72E6" w:rsidRPr="00260915">
        <w:rPr>
          <w:rFonts w:ascii="Arial" w:hAnsi="Arial" w:cs="Arial"/>
          <w:sz w:val="24"/>
          <w:szCs w:val="24"/>
        </w:rPr>
        <w:t>given rise to the reasonable possibility of causing injury</w:t>
      </w:r>
      <w:r w:rsidR="00090B5C" w:rsidRPr="00260915">
        <w:rPr>
          <w:rFonts w:ascii="Arial" w:hAnsi="Arial" w:cs="Arial"/>
          <w:sz w:val="24"/>
          <w:szCs w:val="24"/>
        </w:rPr>
        <w:t xml:space="preserve"> to her</w:t>
      </w:r>
      <w:r w:rsidR="003F72E6" w:rsidRPr="00260915">
        <w:rPr>
          <w:rFonts w:ascii="Arial" w:hAnsi="Arial" w:cs="Arial"/>
          <w:sz w:val="24"/>
          <w:szCs w:val="24"/>
        </w:rPr>
        <w:t xml:space="preserve">, </w:t>
      </w:r>
      <w:r w:rsidR="00540291" w:rsidRPr="00260915">
        <w:rPr>
          <w:rFonts w:ascii="Arial" w:hAnsi="Arial" w:cs="Arial"/>
          <w:sz w:val="24"/>
          <w:szCs w:val="24"/>
        </w:rPr>
        <w:t xml:space="preserve">what steps could have been taken </w:t>
      </w:r>
      <w:r w:rsidR="00007BB3" w:rsidRPr="00260915">
        <w:rPr>
          <w:rFonts w:ascii="Arial" w:hAnsi="Arial" w:cs="Arial"/>
          <w:sz w:val="24"/>
          <w:szCs w:val="24"/>
        </w:rPr>
        <w:t xml:space="preserve">to avoid this, </w:t>
      </w:r>
      <w:r w:rsidR="00090B5C" w:rsidRPr="00260915">
        <w:rPr>
          <w:rFonts w:ascii="Arial" w:hAnsi="Arial" w:cs="Arial"/>
          <w:sz w:val="24"/>
          <w:szCs w:val="24"/>
        </w:rPr>
        <w:t>and</w:t>
      </w:r>
      <w:r w:rsidR="00007BB3" w:rsidRPr="00260915">
        <w:rPr>
          <w:rFonts w:ascii="Arial" w:hAnsi="Arial" w:cs="Arial"/>
          <w:sz w:val="24"/>
          <w:szCs w:val="24"/>
        </w:rPr>
        <w:t xml:space="preserve"> whether the driver</w:t>
      </w:r>
      <w:r w:rsidR="00440106" w:rsidRPr="00260915">
        <w:rPr>
          <w:rFonts w:ascii="Arial" w:hAnsi="Arial" w:cs="Arial"/>
          <w:sz w:val="24"/>
          <w:szCs w:val="24"/>
        </w:rPr>
        <w:t xml:space="preserve"> had</w:t>
      </w:r>
      <w:r w:rsidR="00007BB3" w:rsidRPr="00260915">
        <w:rPr>
          <w:rFonts w:ascii="Arial" w:hAnsi="Arial" w:cs="Arial"/>
          <w:sz w:val="24"/>
          <w:szCs w:val="24"/>
        </w:rPr>
        <w:t xml:space="preserve"> failed to do so</w:t>
      </w:r>
      <w:r w:rsidR="00090B5C" w:rsidRPr="00260915">
        <w:rPr>
          <w:rFonts w:ascii="Arial" w:hAnsi="Arial" w:cs="Arial"/>
          <w:sz w:val="24"/>
          <w:szCs w:val="24"/>
        </w:rPr>
        <w:t>.</w:t>
      </w:r>
      <w:r w:rsidR="00E6032C" w:rsidRPr="00260915">
        <w:rPr>
          <w:rFonts w:ascii="Arial" w:hAnsi="Arial" w:cs="Arial"/>
          <w:sz w:val="24"/>
          <w:szCs w:val="24"/>
        </w:rPr>
        <w:t xml:space="preserve"> The plaintiff merely points to the accident and </w:t>
      </w:r>
      <w:r w:rsidR="00A72A96" w:rsidRPr="00260915">
        <w:rPr>
          <w:rFonts w:ascii="Arial" w:hAnsi="Arial" w:cs="Arial"/>
          <w:sz w:val="24"/>
          <w:szCs w:val="24"/>
        </w:rPr>
        <w:t>asserts that</w:t>
      </w:r>
      <w:r w:rsidR="00000D8F" w:rsidRPr="00260915">
        <w:rPr>
          <w:rFonts w:ascii="Arial" w:hAnsi="Arial" w:cs="Arial"/>
          <w:sz w:val="24"/>
          <w:szCs w:val="24"/>
        </w:rPr>
        <w:t xml:space="preserve"> </w:t>
      </w:r>
      <w:r w:rsidR="000F22C9" w:rsidRPr="00260915">
        <w:rPr>
          <w:rFonts w:ascii="Arial" w:hAnsi="Arial" w:cs="Arial"/>
          <w:sz w:val="24"/>
          <w:szCs w:val="24"/>
        </w:rPr>
        <w:t>the driver was negligent</w:t>
      </w:r>
      <w:r w:rsidR="00000D8F" w:rsidRPr="00260915">
        <w:rPr>
          <w:rFonts w:ascii="Arial" w:hAnsi="Arial" w:cs="Arial"/>
          <w:sz w:val="24"/>
          <w:szCs w:val="24"/>
        </w:rPr>
        <w:t xml:space="preserve"> </w:t>
      </w:r>
      <w:r w:rsidR="00576C26" w:rsidRPr="00260915">
        <w:rPr>
          <w:rFonts w:ascii="Arial" w:hAnsi="Arial" w:cs="Arial"/>
          <w:sz w:val="24"/>
          <w:szCs w:val="24"/>
        </w:rPr>
        <w:t>based on</w:t>
      </w:r>
      <w:r w:rsidR="00000D8F" w:rsidRPr="00260915">
        <w:rPr>
          <w:rFonts w:ascii="Arial" w:hAnsi="Arial" w:cs="Arial"/>
          <w:sz w:val="24"/>
          <w:szCs w:val="24"/>
        </w:rPr>
        <w:t xml:space="preserve"> inferential reasoning, </w:t>
      </w:r>
      <w:r w:rsidR="00576C26" w:rsidRPr="00260915">
        <w:rPr>
          <w:rFonts w:ascii="Arial" w:hAnsi="Arial" w:cs="Arial"/>
          <w:i/>
          <w:iCs/>
          <w:sz w:val="24"/>
          <w:szCs w:val="24"/>
        </w:rPr>
        <w:t xml:space="preserve">res </w:t>
      </w:r>
      <w:proofErr w:type="spellStart"/>
      <w:r w:rsidR="00576C26" w:rsidRPr="00260915">
        <w:rPr>
          <w:rFonts w:ascii="Arial" w:hAnsi="Arial" w:cs="Arial"/>
          <w:i/>
          <w:iCs/>
          <w:sz w:val="24"/>
          <w:szCs w:val="24"/>
        </w:rPr>
        <w:t>ipsa</w:t>
      </w:r>
      <w:proofErr w:type="spellEnd"/>
      <w:r w:rsidR="00576C26" w:rsidRPr="00260915">
        <w:rPr>
          <w:rFonts w:ascii="Arial" w:hAnsi="Arial" w:cs="Arial"/>
          <w:i/>
          <w:iCs/>
          <w:sz w:val="24"/>
          <w:szCs w:val="24"/>
        </w:rPr>
        <w:t xml:space="preserve"> loquitur</w:t>
      </w:r>
      <w:r w:rsidR="000F22C9" w:rsidRPr="00260915">
        <w:rPr>
          <w:rFonts w:ascii="Arial" w:hAnsi="Arial" w:cs="Arial"/>
          <w:sz w:val="24"/>
          <w:szCs w:val="24"/>
        </w:rPr>
        <w:t>.</w:t>
      </w:r>
    </w:p>
    <w:p w14:paraId="083D19E9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A48BCA3" w14:textId="299623F0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[32]</w:t>
      </w:r>
      <w:r>
        <w:rPr>
          <w:rFonts w:ascii="Arial" w:hAnsi="Arial" w:cs="Arial"/>
          <w:sz w:val="24"/>
          <w:szCs w:val="24"/>
        </w:rPr>
        <w:tab/>
      </w:r>
      <w:r w:rsidR="00576C26" w:rsidRPr="00260915">
        <w:rPr>
          <w:rFonts w:ascii="Arial" w:hAnsi="Arial" w:cs="Arial"/>
          <w:sz w:val="24"/>
          <w:szCs w:val="24"/>
        </w:rPr>
        <w:t>There are</w:t>
      </w:r>
      <w:r w:rsidR="008A1636" w:rsidRPr="00260915">
        <w:rPr>
          <w:rFonts w:ascii="Arial" w:hAnsi="Arial" w:cs="Arial"/>
          <w:sz w:val="24"/>
          <w:szCs w:val="24"/>
        </w:rPr>
        <w:t>, however,</w:t>
      </w:r>
      <w:r w:rsidR="00576C26" w:rsidRPr="00260915">
        <w:rPr>
          <w:rFonts w:ascii="Arial" w:hAnsi="Arial" w:cs="Arial"/>
          <w:sz w:val="24"/>
          <w:szCs w:val="24"/>
        </w:rPr>
        <w:t xml:space="preserve"> any number of other inferences that can be drawn. </w:t>
      </w:r>
      <w:r w:rsidR="004F2F21" w:rsidRPr="00260915">
        <w:rPr>
          <w:rFonts w:ascii="Arial" w:hAnsi="Arial" w:cs="Arial"/>
          <w:sz w:val="24"/>
          <w:szCs w:val="24"/>
        </w:rPr>
        <w:t xml:space="preserve">It is probable that </w:t>
      </w:r>
      <w:r w:rsidR="006A00F6" w:rsidRPr="00260915">
        <w:rPr>
          <w:rFonts w:ascii="Arial" w:hAnsi="Arial" w:cs="Arial"/>
          <w:sz w:val="24"/>
          <w:szCs w:val="24"/>
        </w:rPr>
        <w:t>driving</w:t>
      </w:r>
      <w:r w:rsidR="004F2F21" w:rsidRPr="00260915">
        <w:rPr>
          <w:rFonts w:ascii="Arial" w:hAnsi="Arial" w:cs="Arial"/>
          <w:sz w:val="24"/>
          <w:szCs w:val="24"/>
        </w:rPr>
        <w:t xml:space="preserve"> conditions </w:t>
      </w:r>
      <w:r w:rsidR="006A00F6" w:rsidRPr="00260915">
        <w:rPr>
          <w:rFonts w:ascii="Arial" w:hAnsi="Arial" w:cs="Arial"/>
          <w:sz w:val="24"/>
          <w:szCs w:val="24"/>
        </w:rPr>
        <w:t xml:space="preserve">were far from ideal </w:t>
      </w:r>
      <w:r w:rsidR="00C015EE" w:rsidRPr="00260915">
        <w:rPr>
          <w:rFonts w:ascii="Arial" w:hAnsi="Arial" w:cs="Arial"/>
          <w:sz w:val="24"/>
          <w:szCs w:val="24"/>
        </w:rPr>
        <w:t>since</w:t>
      </w:r>
      <w:r w:rsidR="006A00F6" w:rsidRPr="00260915">
        <w:rPr>
          <w:rFonts w:ascii="Arial" w:hAnsi="Arial" w:cs="Arial"/>
          <w:sz w:val="24"/>
          <w:szCs w:val="24"/>
        </w:rPr>
        <w:t xml:space="preserve"> it would have been </w:t>
      </w:r>
      <w:r w:rsidR="008A1636" w:rsidRPr="00260915">
        <w:rPr>
          <w:rFonts w:ascii="Arial" w:hAnsi="Arial" w:cs="Arial"/>
          <w:sz w:val="24"/>
          <w:szCs w:val="24"/>
        </w:rPr>
        <w:t>dark,</w:t>
      </w:r>
      <w:r w:rsidR="006A00F6" w:rsidRPr="00260915">
        <w:rPr>
          <w:rFonts w:ascii="Arial" w:hAnsi="Arial" w:cs="Arial"/>
          <w:sz w:val="24"/>
          <w:szCs w:val="24"/>
        </w:rPr>
        <w:t xml:space="preserve"> and the road would have been wet.</w:t>
      </w:r>
      <w:r w:rsidR="008A1636" w:rsidRPr="00260915">
        <w:rPr>
          <w:rFonts w:ascii="Arial" w:hAnsi="Arial" w:cs="Arial"/>
          <w:sz w:val="24"/>
          <w:szCs w:val="24"/>
        </w:rPr>
        <w:t xml:space="preserve"> Nevertheless, the </w:t>
      </w:r>
      <w:r w:rsidR="005F78ED" w:rsidRPr="00260915">
        <w:rPr>
          <w:rFonts w:ascii="Arial" w:hAnsi="Arial" w:cs="Arial"/>
          <w:sz w:val="24"/>
          <w:szCs w:val="24"/>
        </w:rPr>
        <w:t xml:space="preserve">taxi could have been in perfect working order and the </w:t>
      </w:r>
      <w:r w:rsidR="008A1636" w:rsidRPr="00260915">
        <w:rPr>
          <w:rFonts w:ascii="Arial" w:hAnsi="Arial" w:cs="Arial"/>
          <w:sz w:val="24"/>
          <w:szCs w:val="24"/>
        </w:rPr>
        <w:t xml:space="preserve">driver could have </w:t>
      </w:r>
      <w:r w:rsidR="005F78ED" w:rsidRPr="00260915">
        <w:rPr>
          <w:rFonts w:ascii="Arial" w:hAnsi="Arial" w:cs="Arial"/>
          <w:sz w:val="24"/>
          <w:szCs w:val="24"/>
        </w:rPr>
        <w:t xml:space="preserve">been </w:t>
      </w:r>
      <w:r w:rsidR="00AD6689" w:rsidRPr="00260915">
        <w:rPr>
          <w:rFonts w:ascii="Arial" w:hAnsi="Arial" w:cs="Arial"/>
          <w:sz w:val="24"/>
          <w:szCs w:val="24"/>
        </w:rPr>
        <w:t>immense</w:t>
      </w:r>
      <w:r w:rsidR="00EB384C" w:rsidRPr="00260915">
        <w:rPr>
          <w:rFonts w:ascii="Arial" w:hAnsi="Arial" w:cs="Arial"/>
          <w:sz w:val="24"/>
          <w:szCs w:val="24"/>
        </w:rPr>
        <w:t xml:space="preserve">ly skilful and </w:t>
      </w:r>
      <w:r w:rsidR="005F78ED" w:rsidRPr="00260915">
        <w:rPr>
          <w:rFonts w:ascii="Arial" w:hAnsi="Arial" w:cs="Arial"/>
          <w:sz w:val="24"/>
          <w:szCs w:val="24"/>
        </w:rPr>
        <w:t>vigilant</w:t>
      </w:r>
      <w:r w:rsidR="001C7888" w:rsidRPr="00260915">
        <w:rPr>
          <w:rFonts w:ascii="Arial" w:hAnsi="Arial" w:cs="Arial"/>
          <w:sz w:val="24"/>
          <w:szCs w:val="24"/>
        </w:rPr>
        <w:t xml:space="preserve">, yet still collided with another vehicle </w:t>
      </w:r>
      <w:r w:rsidR="00591879" w:rsidRPr="00260915">
        <w:rPr>
          <w:rFonts w:ascii="Arial" w:hAnsi="Arial" w:cs="Arial"/>
          <w:sz w:val="24"/>
          <w:szCs w:val="24"/>
        </w:rPr>
        <w:t xml:space="preserve">approaching from the wrong side of the road </w:t>
      </w:r>
      <w:r w:rsidR="004A5538" w:rsidRPr="00260915">
        <w:rPr>
          <w:rFonts w:ascii="Arial" w:hAnsi="Arial" w:cs="Arial"/>
          <w:sz w:val="24"/>
          <w:szCs w:val="24"/>
        </w:rPr>
        <w:t>at</w:t>
      </w:r>
      <w:r w:rsidR="00591879" w:rsidRPr="00260915">
        <w:rPr>
          <w:rFonts w:ascii="Arial" w:hAnsi="Arial" w:cs="Arial"/>
          <w:sz w:val="24"/>
          <w:szCs w:val="24"/>
        </w:rPr>
        <w:t xml:space="preserve"> a corner or on a blind rise.</w:t>
      </w:r>
      <w:r w:rsidR="00AD4462" w:rsidRPr="00260915">
        <w:rPr>
          <w:rFonts w:ascii="Arial" w:hAnsi="Arial" w:cs="Arial"/>
          <w:sz w:val="24"/>
          <w:szCs w:val="24"/>
        </w:rPr>
        <w:t xml:space="preserve"> </w:t>
      </w:r>
      <w:r w:rsidR="00B05960" w:rsidRPr="00260915">
        <w:rPr>
          <w:rFonts w:ascii="Arial" w:hAnsi="Arial" w:cs="Arial"/>
          <w:sz w:val="24"/>
          <w:szCs w:val="24"/>
        </w:rPr>
        <w:t xml:space="preserve">A child could have dashed </w:t>
      </w:r>
      <w:r w:rsidR="00833C52" w:rsidRPr="00260915">
        <w:rPr>
          <w:rFonts w:ascii="Arial" w:hAnsi="Arial" w:cs="Arial"/>
          <w:sz w:val="24"/>
          <w:szCs w:val="24"/>
        </w:rPr>
        <w:t xml:space="preserve">across the </w:t>
      </w:r>
      <w:r w:rsidR="00C5590F" w:rsidRPr="00260915">
        <w:rPr>
          <w:rFonts w:ascii="Arial" w:hAnsi="Arial" w:cs="Arial"/>
          <w:sz w:val="24"/>
          <w:szCs w:val="24"/>
        </w:rPr>
        <w:t>road</w:t>
      </w:r>
      <w:r w:rsidR="000D3EC9" w:rsidRPr="00260915">
        <w:rPr>
          <w:rFonts w:ascii="Arial" w:hAnsi="Arial" w:cs="Arial"/>
          <w:sz w:val="24"/>
          <w:szCs w:val="24"/>
        </w:rPr>
        <w:t xml:space="preserve"> </w:t>
      </w:r>
      <w:r w:rsidR="00B05960" w:rsidRPr="00260915">
        <w:rPr>
          <w:rFonts w:ascii="Arial" w:hAnsi="Arial" w:cs="Arial"/>
          <w:sz w:val="24"/>
          <w:szCs w:val="24"/>
        </w:rPr>
        <w:t xml:space="preserve">in the gloom. </w:t>
      </w:r>
      <w:r w:rsidR="00804E6C" w:rsidRPr="00260915">
        <w:rPr>
          <w:rFonts w:ascii="Arial" w:hAnsi="Arial" w:cs="Arial"/>
          <w:sz w:val="24"/>
          <w:szCs w:val="24"/>
        </w:rPr>
        <w:t xml:space="preserve">The taxi </w:t>
      </w:r>
      <w:r w:rsidR="00472409" w:rsidRPr="00260915">
        <w:rPr>
          <w:rFonts w:ascii="Arial" w:hAnsi="Arial" w:cs="Arial"/>
          <w:sz w:val="24"/>
          <w:szCs w:val="24"/>
        </w:rPr>
        <w:t>could</w:t>
      </w:r>
      <w:r w:rsidR="00804E6C" w:rsidRPr="00260915">
        <w:rPr>
          <w:rFonts w:ascii="Arial" w:hAnsi="Arial" w:cs="Arial"/>
          <w:sz w:val="24"/>
          <w:szCs w:val="24"/>
        </w:rPr>
        <w:t xml:space="preserve"> have struck a</w:t>
      </w:r>
      <w:r w:rsidR="00AA0B14" w:rsidRPr="00260915">
        <w:rPr>
          <w:rFonts w:ascii="Arial" w:hAnsi="Arial" w:cs="Arial"/>
          <w:sz w:val="24"/>
          <w:szCs w:val="24"/>
        </w:rPr>
        <w:t xml:space="preserve"> </w:t>
      </w:r>
      <w:r w:rsidR="00091AC6" w:rsidRPr="00260915">
        <w:rPr>
          <w:rFonts w:ascii="Arial" w:hAnsi="Arial" w:cs="Arial"/>
          <w:sz w:val="24"/>
          <w:szCs w:val="24"/>
        </w:rPr>
        <w:t xml:space="preserve">flock of </w:t>
      </w:r>
      <w:r w:rsidR="00AA0B14" w:rsidRPr="00260915">
        <w:rPr>
          <w:rFonts w:ascii="Arial" w:hAnsi="Arial" w:cs="Arial"/>
          <w:sz w:val="24"/>
          <w:szCs w:val="24"/>
        </w:rPr>
        <w:t>sheep</w:t>
      </w:r>
      <w:r w:rsidR="00AD4462" w:rsidRPr="00260915">
        <w:rPr>
          <w:rFonts w:ascii="Arial" w:hAnsi="Arial" w:cs="Arial"/>
          <w:sz w:val="24"/>
          <w:szCs w:val="24"/>
        </w:rPr>
        <w:t xml:space="preserve"> </w:t>
      </w:r>
      <w:r w:rsidR="00472409" w:rsidRPr="00260915">
        <w:rPr>
          <w:rFonts w:ascii="Arial" w:hAnsi="Arial" w:cs="Arial"/>
          <w:sz w:val="24"/>
          <w:szCs w:val="24"/>
        </w:rPr>
        <w:t xml:space="preserve">huddled together, </w:t>
      </w:r>
      <w:r w:rsidR="00C26E11" w:rsidRPr="00260915">
        <w:rPr>
          <w:rFonts w:ascii="Arial" w:hAnsi="Arial" w:cs="Arial"/>
          <w:sz w:val="24"/>
          <w:szCs w:val="24"/>
        </w:rPr>
        <w:t>motionless</w:t>
      </w:r>
      <w:r w:rsidR="00472409" w:rsidRPr="00260915">
        <w:rPr>
          <w:rFonts w:ascii="Arial" w:hAnsi="Arial" w:cs="Arial"/>
          <w:sz w:val="24"/>
          <w:szCs w:val="24"/>
        </w:rPr>
        <w:t>,</w:t>
      </w:r>
      <w:r w:rsidR="003D122B" w:rsidRPr="00260915">
        <w:rPr>
          <w:rFonts w:ascii="Arial" w:hAnsi="Arial" w:cs="Arial"/>
          <w:sz w:val="24"/>
          <w:szCs w:val="24"/>
        </w:rPr>
        <w:t xml:space="preserve"> </w:t>
      </w:r>
      <w:r w:rsidR="005B7CE3" w:rsidRPr="00260915">
        <w:rPr>
          <w:rFonts w:ascii="Arial" w:hAnsi="Arial" w:cs="Arial"/>
          <w:sz w:val="24"/>
          <w:szCs w:val="24"/>
        </w:rPr>
        <w:t>in the cold</w:t>
      </w:r>
      <w:r w:rsidR="003D122B" w:rsidRPr="00260915">
        <w:rPr>
          <w:rFonts w:ascii="Arial" w:hAnsi="Arial" w:cs="Arial"/>
          <w:sz w:val="24"/>
          <w:szCs w:val="24"/>
        </w:rPr>
        <w:t xml:space="preserve">. </w:t>
      </w:r>
      <w:r w:rsidR="00021945" w:rsidRPr="00260915">
        <w:rPr>
          <w:rFonts w:ascii="Arial" w:hAnsi="Arial" w:cs="Arial"/>
          <w:sz w:val="24"/>
          <w:szCs w:val="24"/>
        </w:rPr>
        <w:t xml:space="preserve">The driver </w:t>
      </w:r>
      <w:r w:rsidR="00FB0493" w:rsidRPr="00260915">
        <w:rPr>
          <w:rFonts w:ascii="Arial" w:hAnsi="Arial" w:cs="Arial"/>
          <w:sz w:val="24"/>
          <w:szCs w:val="24"/>
        </w:rPr>
        <w:t xml:space="preserve">could </w:t>
      </w:r>
      <w:r w:rsidR="00021945" w:rsidRPr="00260915">
        <w:rPr>
          <w:rFonts w:ascii="Arial" w:hAnsi="Arial" w:cs="Arial"/>
          <w:sz w:val="24"/>
          <w:szCs w:val="24"/>
        </w:rPr>
        <w:t xml:space="preserve">have suffered a sudden </w:t>
      </w:r>
      <w:r w:rsidR="00FB0493" w:rsidRPr="00260915">
        <w:rPr>
          <w:rFonts w:ascii="Arial" w:hAnsi="Arial" w:cs="Arial"/>
          <w:sz w:val="24"/>
          <w:szCs w:val="24"/>
        </w:rPr>
        <w:t xml:space="preserve">and unexpected </w:t>
      </w:r>
      <w:r w:rsidR="00021945" w:rsidRPr="00260915">
        <w:rPr>
          <w:rFonts w:ascii="Arial" w:hAnsi="Arial" w:cs="Arial"/>
          <w:sz w:val="24"/>
          <w:szCs w:val="24"/>
        </w:rPr>
        <w:t>heart attack</w:t>
      </w:r>
      <w:r w:rsidR="007D2EA4" w:rsidRPr="00260915">
        <w:rPr>
          <w:rFonts w:ascii="Arial" w:hAnsi="Arial" w:cs="Arial"/>
          <w:sz w:val="24"/>
          <w:szCs w:val="24"/>
        </w:rPr>
        <w:t xml:space="preserve">. A </w:t>
      </w:r>
      <w:r w:rsidR="000E1899" w:rsidRPr="00260915">
        <w:rPr>
          <w:rFonts w:ascii="Arial" w:hAnsi="Arial" w:cs="Arial"/>
          <w:sz w:val="24"/>
          <w:szCs w:val="24"/>
        </w:rPr>
        <w:t xml:space="preserve">speeding vehicle, without lights, </w:t>
      </w:r>
      <w:r w:rsidR="00FB0493" w:rsidRPr="00260915">
        <w:rPr>
          <w:rFonts w:ascii="Arial" w:hAnsi="Arial" w:cs="Arial"/>
          <w:sz w:val="24"/>
          <w:szCs w:val="24"/>
        </w:rPr>
        <w:t xml:space="preserve">could </w:t>
      </w:r>
      <w:r w:rsidR="000E1899" w:rsidRPr="00260915">
        <w:rPr>
          <w:rFonts w:ascii="Arial" w:hAnsi="Arial" w:cs="Arial"/>
          <w:sz w:val="24"/>
          <w:szCs w:val="24"/>
        </w:rPr>
        <w:t xml:space="preserve">have clipped the side of the taxi as it </w:t>
      </w:r>
      <w:r w:rsidR="007258D4" w:rsidRPr="00260915">
        <w:rPr>
          <w:rFonts w:ascii="Arial" w:hAnsi="Arial" w:cs="Arial"/>
          <w:sz w:val="24"/>
          <w:szCs w:val="24"/>
        </w:rPr>
        <w:t>overtook</w:t>
      </w:r>
      <w:r w:rsidR="000E1899" w:rsidRPr="00260915">
        <w:rPr>
          <w:rFonts w:ascii="Arial" w:hAnsi="Arial" w:cs="Arial"/>
          <w:sz w:val="24"/>
          <w:szCs w:val="24"/>
        </w:rPr>
        <w:t>.</w:t>
      </w:r>
      <w:r w:rsidR="007258D4" w:rsidRPr="00260915">
        <w:rPr>
          <w:rFonts w:ascii="Arial" w:hAnsi="Arial" w:cs="Arial"/>
          <w:sz w:val="24"/>
          <w:szCs w:val="24"/>
        </w:rPr>
        <w:t xml:space="preserve"> The </w:t>
      </w:r>
      <w:r w:rsidR="00396F8F" w:rsidRPr="00260915">
        <w:rPr>
          <w:rFonts w:ascii="Arial" w:hAnsi="Arial" w:cs="Arial"/>
          <w:sz w:val="24"/>
          <w:szCs w:val="24"/>
        </w:rPr>
        <w:t>p</w:t>
      </w:r>
      <w:r w:rsidR="00E84119" w:rsidRPr="00260915">
        <w:rPr>
          <w:rFonts w:ascii="Arial" w:hAnsi="Arial" w:cs="Arial"/>
          <w:sz w:val="24"/>
          <w:szCs w:val="24"/>
        </w:rPr>
        <w:t xml:space="preserve">aucity of facts </w:t>
      </w:r>
      <w:r w:rsidR="002F0A9D" w:rsidRPr="00260915">
        <w:rPr>
          <w:rFonts w:ascii="Arial" w:hAnsi="Arial" w:cs="Arial"/>
          <w:sz w:val="24"/>
          <w:szCs w:val="24"/>
        </w:rPr>
        <w:t>draws the matter</w:t>
      </w:r>
      <w:r w:rsidR="00C650C1" w:rsidRPr="00260915">
        <w:rPr>
          <w:rFonts w:ascii="Arial" w:hAnsi="Arial" w:cs="Arial"/>
          <w:sz w:val="24"/>
          <w:szCs w:val="24"/>
        </w:rPr>
        <w:t xml:space="preserve">, ineluctably, </w:t>
      </w:r>
      <w:r w:rsidR="002F0A9D" w:rsidRPr="00260915">
        <w:rPr>
          <w:rFonts w:ascii="Arial" w:hAnsi="Arial" w:cs="Arial"/>
          <w:sz w:val="24"/>
          <w:szCs w:val="24"/>
        </w:rPr>
        <w:t xml:space="preserve">into </w:t>
      </w:r>
      <w:r w:rsidR="007258D4" w:rsidRPr="00260915">
        <w:rPr>
          <w:rFonts w:ascii="Arial" w:hAnsi="Arial" w:cs="Arial"/>
          <w:sz w:val="24"/>
          <w:szCs w:val="24"/>
        </w:rPr>
        <w:t xml:space="preserve">a </w:t>
      </w:r>
      <w:r w:rsidR="006349A2" w:rsidRPr="00260915">
        <w:rPr>
          <w:rFonts w:ascii="Arial" w:hAnsi="Arial" w:cs="Arial"/>
          <w:sz w:val="24"/>
          <w:szCs w:val="24"/>
        </w:rPr>
        <w:t xml:space="preserve">wide </w:t>
      </w:r>
      <w:r w:rsidR="007258D4" w:rsidRPr="00260915">
        <w:rPr>
          <w:rFonts w:ascii="Arial" w:hAnsi="Arial" w:cs="Arial"/>
          <w:sz w:val="24"/>
          <w:szCs w:val="24"/>
        </w:rPr>
        <w:t>sea of conjecture.</w:t>
      </w:r>
      <w:r w:rsidR="000E1899" w:rsidRPr="00260915">
        <w:rPr>
          <w:rFonts w:ascii="Arial" w:hAnsi="Arial" w:cs="Arial"/>
          <w:sz w:val="24"/>
          <w:szCs w:val="24"/>
        </w:rPr>
        <w:t xml:space="preserve"> </w:t>
      </w:r>
    </w:p>
    <w:p w14:paraId="33798F75" w14:textId="77777777" w:rsidR="00D66FCB" w:rsidRPr="00D66FCB" w:rsidRDefault="00D66FCB" w:rsidP="00D66FCB">
      <w:pPr>
        <w:pStyle w:val="ListParagraph"/>
        <w:rPr>
          <w:rFonts w:ascii="Arial" w:hAnsi="Arial" w:cs="Arial"/>
          <w:sz w:val="24"/>
          <w:szCs w:val="24"/>
        </w:rPr>
      </w:pPr>
    </w:p>
    <w:p w14:paraId="609CF7F1" w14:textId="51D466F4" w:rsidR="00391A9A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[33]</w:t>
      </w:r>
      <w:r w:rsidRPr="00D66FCB">
        <w:rPr>
          <w:rFonts w:ascii="Arial" w:hAnsi="Arial" w:cs="Arial"/>
          <w:sz w:val="24"/>
          <w:szCs w:val="24"/>
        </w:rPr>
        <w:tab/>
      </w:r>
      <w:r w:rsidR="00EB2CD3" w:rsidRPr="00260915">
        <w:rPr>
          <w:rFonts w:ascii="Arial" w:hAnsi="Arial" w:cs="Arial"/>
          <w:sz w:val="24"/>
          <w:szCs w:val="24"/>
        </w:rPr>
        <w:t xml:space="preserve">It is of no assistance to the plaintiff to </w:t>
      </w:r>
      <w:r w:rsidR="007850D1" w:rsidRPr="00260915">
        <w:rPr>
          <w:rFonts w:ascii="Arial" w:hAnsi="Arial" w:cs="Arial"/>
          <w:sz w:val="24"/>
          <w:szCs w:val="24"/>
        </w:rPr>
        <w:t xml:space="preserve">contend that she only needs to </w:t>
      </w:r>
      <w:r w:rsidR="00345B36" w:rsidRPr="00260915">
        <w:rPr>
          <w:rFonts w:ascii="Arial" w:hAnsi="Arial" w:cs="Arial"/>
          <w:sz w:val="24"/>
          <w:szCs w:val="24"/>
        </w:rPr>
        <w:t>prove ‘the proverbial 1% negligence’</w:t>
      </w:r>
      <w:r w:rsidR="00DA0613">
        <w:rPr>
          <w:rStyle w:val="FootnoteReference"/>
          <w:rFonts w:ascii="Arial" w:hAnsi="Arial" w:cs="Arial"/>
          <w:sz w:val="24"/>
          <w:szCs w:val="24"/>
        </w:rPr>
        <w:footnoteReference w:id="33"/>
      </w:r>
      <w:r w:rsidR="00DA0613" w:rsidRPr="00260915">
        <w:rPr>
          <w:rFonts w:ascii="Arial" w:hAnsi="Arial" w:cs="Arial"/>
          <w:sz w:val="24"/>
          <w:szCs w:val="24"/>
        </w:rPr>
        <w:t xml:space="preserve"> on the part of the driver to be successful in her claim.</w:t>
      </w:r>
      <w:r w:rsidR="00E7342C" w:rsidRPr="00260915">
        <w:rPr>
          <w:rFonts w:ascii="Arial" w:hAnsi="Arial" w:cs="Arial"/>
          <w:sz w:val="24"/>
          <w:szCs w:val="24"/>
        </w:rPr>
        <w:t xml:space="preserve"> Whereas this is a useful ratio that expresses the </w:t>
      </w:r>
      <w:r w:rsidR="005F6656" w:rsidRPr="00260915">
        <w:rPr>
          <w:rFonts w:ascii="Arial" w:hAnsi="Arial" w:cs="Arial"/>
          <w:sz w:val="24"/>
          <w:szCs w:val="24"/>
        </w:rPr>
        <w:t xml:space="preserve">practical </w:t>
      </w:r>
      <w:r w:rsidR="00555886" w:rsidRPr="00260915">
        <w:rPr>
          <w:rFonts w:ascii="Arial" w:hAnsi="Arial" w:cs="Arial"/>
          <w:sz w:val="24"/>
          <w:szCs w:val="24"/>
        </w:rPr>
        <w:t xml:space="preserve">effect of </w:t>
      </w:r>
      <w:r w:rsidR="005B4FF8" w:rsidRPr="00260915">
        <w:rPr>
          <w:rFonts w:ascii="Arial" w:hAnsi="Arial" w:cs="Arial"/>
          <w:sz w:val="24"/>
          <w:szCs w:val="24"/>
        </w:rPr>
        <w:t>section 17(1)</w:t>
      </w:r>
      <w:r w:rsidR="005F6656" w:rsidRPr="00260915">
        <w:rPr>
          <w:rFonts w:ascii="Arial" w:hAnsi="Arial" w:cs="Arial"/>
          <w:sz w:val="24"/>
          <w:szCs w:val="24"/>
        </w:rPr>
        <w:t xml:space="preserve"> </w:t>
      </w:r>
      <w:r w:rsidR="005B4FF8" w:rsidRPr="00260915">
        <w:rPr>
          <w:rFonts w:ascii="Arial" w:hAnsi="Arial" w:cs="Arial"/>
          <w:sz w:val="24"/>
          <w:szCs w:val="24"/>
        </w:rPr>
        <w:t xml:space="preserve">of the </w:t>
      </w:r>
      <w:r w:rsidR="005F6656" w:rsidRPr="00260915">
        <w:rPr>
          <w:rFonts w:ascii="Arial" w:hAnsi="Arial" w:cs="Arial"/>
          <w:sz w:val="24"/>
          <w:szCs w:val="24"/>
        </w:rPr>
        <w:t xml:space="preserve">Road Accident Fund Act 56 of 1996, </w:t>
      </w:r>
      <w:r w:rsidR="00C31570" w:rsidRPr="00260915">
        <w:rPr>
          <w:rFonts w:ascii="Arial" w:hAnsi="Arial" w:cs="Arial"/>
          <w:sz w:val="24"/>
          <w:szCs w:val="24"/>
        </w:rPr>
        <w:t xml:space="preserve">it </w:t>
      </w:r>
      <w:r w:rsidR="00B82F4B" w:rsidRPr="00260915">
        <w:rPr>
          <w:rFonts w:ascii="Arial" w:hAnsi="Arial" w:cs="Arial"/>
          <w:sz w:val="24"/>
          <w:szCs w:val="24"/>
        </w:rPr>
        <w:t xml:space="preserve">also </w:t>
      </w:r>
      <w:r w:rsidR="00C31570" w:rsidRPr="00260915">
        <w:rPr>
          <w:rFonts w:ascii="Arial" w:hAnsi="Arial" w:cs="Arial"/>
          <w:sz w:val="24"/>
          <w:szCs w:val="24"/>
        </w:rPr>
        <w:t xml:space="preserve">reflects the extent of the driver’s </w:t>
      </w:r>
      <w:r w:rsidR="00273657" w:rsidRPr="00260915">
        <w:rPr>
          <w:rFonts w:ascii="Arial" w:hAnsi="Arial" w:cs="Arial"/>
          <w:sz w:val="24"/>
          <w:szCs w:val="24"/>
        </w:rPr>
        <w:t xml:space="preserve">negligence </w:t>
      </w:r>
      <w:r w:rsidR="005A0F4B" w:rsidRPr="00260915">
        <w:rPr>
          <w:rFonts w:ascii="Arial" w:hAnsi="Arial" w:cs="Arial"/>
          <w:sz w:val="24"/>
          <w:szCs w:val="24"/>
        </w:rPr>
        <w:t xml:space="preserve">only </w:t>
      </w:r>
      <w:r w:rsidR="00273657" w:rsidRPr="00260915">
        <w:rPr>
          <w:rFonts w:ascii="Arial" w:hAnsi="Arial" w:cs="Arial"/>
          <w:sz w:val="24"/>
          <w:szCs w:val="24"/>
        </w:rPr>
        <w:t xml:space="preserve">in proportion to the sum of the negligence involved </w:t>
      </w:r>
      <w:r w:rsidR="00B92445" w:rsidRPr="00260915">
        <w:rPr>
          <w:rFonts w:ascii="Arial" w:hAnsi="Arial" w:cs="Arial"/>
          <w:sz w:val="24"/>
          <w:szCs w:val="24"/>
        </w:rPr>
        <w:t>overall</w:t>
      </w:r>
      <w:r w:rsidR="007436A7" w:rsidRPr="00260915">
        <w:rPr>
          <w:rFonts w:ascii="Arial" w:hAnsi="Arial" w:cs="Arial"/>
          <w:sz w:val="24"/>
          <w:szCs w:val="24"/>
        </w:rPr>
        <w:t xml:space="preserve">. It may, relatively speaking, be </w:t>
      </w:r>
      <w:r w:rsidR="00AE35D8" w:rsidRPr="00260915">
        <w:rPr>
          <w:rFonts w:ascii="Arial" w:hAnsi="Arial" w:cs="Arial"/>
          <w:sz w:val="24"/>
          <w:szCs w:val="24"/>
        </w:rPr>
        <w:t xml:space="preserve">a small share of the </w:t>
      </w:r>
      <w:r w:rsidR="00AE35D8" w:rsidRPr="00260915">
        <w:rPr>
          <w:rFonts w:ascii="Arial" w:hAnsi="Arial" w:cs="Arial"/>
          <w:i/>
          <w:iCs/>
          <w:sz w:val="24"/>
          <w:szCs w:val="24"/>
        </w:rPr>
        <w:t>culpa</w:t>
      </w:r>
      <w:r w:rsidR="00AE35D8" w:rsidRPr="00260915">
        <w:rPr>
          <w:rFonts w:ascii="Arial" w:hAnsi="Arial" w:cs="Arial"/>
          <w:sz w:val="24"/>
          <w:szCs w:val="24"/>
        </w:rPr>
        <w:t xml:space="preserve"> </w:t>
      </w:r>
      <w:r w:rsidR="00411A91" w:rsidRPr="00260915">
        <w:rPr>
          <w:rFonts w:ascii="Arial" w:hAnsi="Arial" w:cs="Arial"/>
          <w:sz w:val="24"/>
          <w:szCs w:val="24"/>
        </w:rPr>
        <w:t xml:space="preserve">attached to </w:t>
      </w:r>
      <w:r w:rsidR="007D7CF6" w:rsidRPr="00260915">
        <w:rPr>
          <w:rFonts w:ascii="Arial" w:hAnsi="Arial" w:cs="Arial"/>
          <w:sz w:val="24"/>
          <w:szCs w:val="24"/>
        </w:rPr>
        <w:t>the delict</w:t>
      </w:r>
      <w:r w:rsidR="00411A91" w:rsidRPr="00260915">
        <w:rPr>
          <w:rFonts w:ascii="Arial" w:hAnsi="Arial" w:cs="Arial"/>
          <w:sz w:val="24"/>
          <w:szCs w:val="24"/>
        </w:rPr>
        <w:t>ual</w:t>
      </w:r>
      <w:r w:rsidR="007D7CF6" w:rsidRPr="00260915">
        <w:rPr>
          <w:rFonts w:ascii="Arial" w:hAnsi="Arial" w:cs="Arial"/>
          <w:sz w:val="24"/>
          <w:szCs w:val="24"/>
        </w:rPr>
        <w:t xml:space="preserve"> </w:t>
      </w:r>
      <w:r w:rsidR="00FE1BB1" w:rsidRPr="00260915">
        <w:rPr>
          <w:rFonts w:ascii="Arial" w:hAnsi="Arial" w:cs="Arial"/>
          <w:sz w:val="24"/>
          <w:szCs w:val="24"/>
        </w:rPr>
        <w:t>action in question, it may be a large</w:t>
      </w:r>
      <w:r w:rsidR="00DC3999" w:rsidRPr="00260915">
        <w:rPr>
          <w:rFonts w:ascii="Arial" w:hAnsi="Arial" w:cs="Arial"/>
          <w:sz w:val="24"/>
          <w:szCs w:val="24"/>
        </w:rPr>
        <w:t xml:space="preserve"> share. But even if it is only 0.01% of the whole, the plaintiff </w:t>
      </w:r>
      <w:r w:rsidR="0077090D" w:rsidRPr="00260915">
        <w:rPr>
          <w:rFonts w:ascii="Arial" w:hAnsi="Arial" w:cs="Arial"/>
          <w:sz w:val="24"/>
          <w:szCs w:val="24"/>
        </w:rPr>
        <w:t xml:space="preserve">must </w:t>
      </w:r>
      <w:r w:rsidR="00414536" w:rsidRPr="00260915">
        <w:rPr>
          <w:rFonts w:ascii="Arial" w:hAnsi="Arial" w:cs="Arial"/>
          <w:sz w:val="24"/>
          <w:szCs w:val="24"/>
        </w:rPr>
        <w:t xml:space="preserve">still </w:t>
      </w:r>
      <w:r w:rsidR="00B30FB9" w:rsidRPr="00260915">
        <w:rPr>
          <w:rFonts w:ascii="Arial" w:hAnsi="Arial" w:cs="Arial"/>
          <w:sz w:val="24"/>
          <w:szCs w:val="24"/>
        </w:rPr>
        <w:t xml:space="preserve">prove </w:t>
      </w:r>
      <w:r w:rsidR="00414536" w:rsidRPr="00260915">
        <w:rPr>
          <w:rFonts w:ascii="Arial" w:hAnsi="Arial" w:cs="Arial"/>
          <w:sz w:val="24"/>
          <w:szCs w:val="24"/>
        </w:rPr>
        <w:t>this.</w:t>
      </w:r>
    </w:p>
    <w:p w14:paraId="7C0CD32E" w14:textId="77777777" w:rsidR="00414536" w:rsidRDefault="00414536" w:rsidP="00391A9A">
      <w:pPr>
        <w:spacing w:line="360" w:lineRule="auto"/>
        <w:rPr>
          <w:rFonts w:ascii="Arial" w:hAnsi="Arial" w:cs="Arial"/>
          <w:sz w:val="24"/>
          <w:szCs w:val="24"/>
        </w:rPr>
      </w:pPr>
    </w:p>
    <w:p w14:paraId="2F5F8A3D" w14:textId="7FE6450B" w:rsidR="00414536" w:rsidRPr="00765925" w:rsidRDefault="00414536" w:rsidP="00D66F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5925">
        <w:rPr>
          <w:rFonts w:ascii="Arial" w:hAnsi="Arial" w:cs="Arial"/>
          <w:b/>
          <w:bCs/>
          <w:sz w:val="24"/>
          <w:szCs w:val="24"/>
        </w:rPr>
        <w:t>Relief and order</w:t>
      </w:r>
    </w:p>
    <w:p w14:paraId="133A87A7" w14:textId="23E8376B" w:rsidR="00D66FCB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[34]</w:t>
      </w:r>
      <w:r>
        <w:rPr>
          <w:rFonts w:ascii="Arial" w:hAnsi="Arial" w:cs="Arial"/>
          <w:sz w:val="24"/>
          <w:szCs w:val="24"/>
        </w:rPr>
        <w:tab/>
      </w:r>
      <w:r w:rsidR="00414536" w:rsidRPr="00260915">
        <w:rPr>
          <w:rFonts w:ascii="Arial" w:hAnsi="Arial" w:cs="Arial"/>
          <w:sz w:val="24"/>
          <w:szCs w:val="24"/>
        </w:rPr>
        <w:t>The court</w:t>
      </w:r>
      <w:r w:rsidR="00765925" w:rsidRPr="00260915">
        <w:rPr>
          <w:rFonts w:ascii="Arial" w:hAnsi="Arial" w:cs="Arial"/>
          <w:sz w:val="24"/>
          <w:szCs w:val="24"/>
        </w:rPr>
        <w:t xml:space="preserve"> has authority</w:t>
      </w:r>
      <w:r w:rsidR="00DE3BF9" w:rsidRPr="00260915">
        <w:rPr>
          <w:rFonts w:ascii="Arial" w:hAnsi="Arial" w:cs="Arial"/>
          <w:sz w:val="24"/>
          <w:szCs w:val="24"/>
        </w:rPr>
        <w:t>, in terms of section 173 of the Constitution</w:t>
      </w:r>
      <w:r w:rsidR="00510F06" w:rsidRPr="00260915">
        <w:rPr>
          <w:rFonts w:ascii="Arial" w:hAnsi="Arial" w:cs="Arial"/>
          <w:sz w:val="24"/>
          <w:szCs w:val="24"/>
        </w:rPr>
        <w:t>,</w:t>
      </w:r>
      <w:r w:rsidR="00765925" w:rsidRPr="00260915">
        <w:rPr>
          <w:rFonts w:ascii="Arial" w:hAnsi="Arial" w:cs="Arial"/>
          <w:sz w:val="24"/>
          <w:szCs w:val="24"/>
        </w:rPr>
        <w:t xml:space="preserve"> to </w:t>
      </w:r>
      <w:r w:rsidR="00510F06" w:rsidRPr="00260915">
        <w:rPr>
          <w:rFonts w:ascii="Arial" w:hAnsi="Arial" w:cs="Arial"/>
          <w:sz w:val="24"/>
          <w:szCs w:val="24"/>
        </w:rPr>
        <w:t xml:space="preserve">protect and regulate its own process. </w:t>
      </w:r>
      <w:r w:rsidR="00456C3E" w:rsidRPr="00260915">
        <w:rPr>
          <w:rFonts w:ascii="Arial" w:hAnsi="Arial" w:cs="Arial"/>
          <w:sz w:val="24"/>
          <w:szCs w:val="24"/>
        </w:rPr>
        <w:t>With reference to the</w:t>
      </w:r>
      <w:r w:rsidR="006A2EEC" w:rsidRPr="00260915">
        <w:rPr>
          <w:rFonts w:ascii="Arial" w:hAnsi="Arial" w:cs="Arial"/>
          <w:sz w:val="24"/>
          <w:szCs w:val="24"/>
        </w:rPr>
        <w:t xml:space="preserve"> principles set out in </w:t>
      </w:r>
      <w:r w:rsidR="006A2EEC" w:rsidRPr="00260915">
        <w:rPr>
          <w:rFonts w:ascii="Arial" w:hAnsi="Arial" w:cs="Arial"/>
          <w:i/>
          <w:iCs/>
          <w:sz w:val="24"/>
          <w:szCs w:val="24"/>
        </w:rPr>
        <w:t>Cassimjee</w:t>
      </w:r>
      <w:r w:rsidR="006A2EEC" w:rsidRPr="00260915">
        <w:rPr>
          <w:rFonts w:ascii="Arial" w:hAnsi="Arial" w:cs="Arial"/>
          <w:sz w:val="24"/>
          <w:szCs w:val="24"/>
        </w:rPr>
        <w:t xml:space="preserve">, the court is satisfied that </w:t>
      </w:r>
      <w:r w:rsidR="00456C3E" w:rsidRPr="00260915">
        <w:rPr>
          <w:rFonts w:ascii="Arial" w:hAnsi="Arial" w:cs="Arial"/>
          <w:sz w:val="24"/>
          <w:szCs w:val="24"/>
        </w:rPr>
        <w:t xml:space="preserve">it can, and </w:t>
      </w:r>
      <w:r w:rsidR="003D0DB3" w:rsidRPr="00260915">
        <w:rPr>
          <w:rFonts w:ascii="Arial" w:hAnsi="Arial" w:cs="Arial"/>
          <w:sz w:val="24"/>
          <w:szCs w:val="24"/>
        </w:rPr>
        <w:t xml:space="preserve">should, dismiss the plaintiff’s application </w:t>
      </w:r>
      <w:r w:rsidR="00C32D2C" w:rsidRPr="00260915">
        <w:rPr>
          <w:rFonts w:ascii="Arial" w:hAnsi="Arial" w:cs="Arial"/>
          <w:sz w:val="24"/>
          <w:szCs w:val="24"/>
        </w:rPr>
        <w:t xml:space="preserve">because of the superannuation of her </w:t>
      </w:r>
      <w:r w:rsidR="00510F06" w:rsidRPr="00260915">
        <w:rPr>
          <w:rFonts w:ascii="Arial" w:hAnsi="Arial" w:cs="Arial"/>
          <w:sz w:val="24"/>
          <w:szCs w:val="24"/>
        </w:rPr>
        <w:t>summons</w:t>
      </w:r>
      <w:r w:rsidR="001E43BC" w:rsidRPr="00260915">
        <w:rPr>
          <w:rFonts w:ascii="Arial" w:hAnsi="Arial" w:cs="Arial"/>
          <w:sz w:val="24"/>
          <w:szCs w:val="24"/>
        </w:rPr>
        <w:t xml:space="preserve">. This is so, notwithstanding the </w:t>
      </w:r>
      <w:r w:rsidR="002F5F4A" w:rsidRPr="00260915">
        <w:rPr>
          <w:rFonts w:ascii="Arial" w:hAnsi="Arial" w:cs="Arial"/>
          <w:sz w:val="24"/>
          <w:szCs w:val="24"/>
        </w:rPr>
        <w:t>right of access to court afforded to the plaintiff under section 34 of the Constitution. A delay of four years</w:t>
      </w:r>
      <w:r w:rsidR="00B159FA" w:rsidRPr="00260915">
        <w:rPr>
          <w:rFonts w:ascii="Arial" w:hAnsi="Arial" w:cs="Arial"/>
          <w:sz w:val="24"/>
          <w:szCs w:val="24"/>
        </w:rPr>
        <w:t>, following a period of some eight-and-a-half years</w:t>
      </w:r>
      <w:r w:rsidR="003F6F00" w:rsidRPr="00260915">
        <w:rPr>
          <w:rFonts w:ascii="Arial" w:hAnsi="Arial" w:cs="Arial"/>
          <w:sz w:val="24"/>
          <w:szCs w:val="24"/>
        </w:rPr>
        <w:t xml:space="preserve"> since the date of the accident, is inexcusable and </w:t>
      </w:r>
      <w:r w:rsidR="00BE1A80" w:rsidRPr="00260915">
        <w:rPr>
          <w:rFonts w:ascii="Arial" w:hAnsi="Arial" w:cs="Arial"/>
          <w:sz w:val="24"/>
          <w:szCs w:val="24"/>
        </w:rPr>
        <w:t>seriously prejudices the defendant.</w:t>
      </w:r>
    </w:p>
    <w:p w14:paraId="191BCCF4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D10BFA9" w14:textId="5A9D0FFF" w:rsidR="003D163D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[35]</w:t>
      </w:r>
      <w:r w:rsidRPr="00D66FCB">
        <w:rPr>
          <w:rFonts w:ascii="Arial" w:hAnsi="Arial" w:cs="Arial"/>
          <w:sz w:val="24"/>
          <w:szCs w:val="24"/>
        </w:rPr>
        <w:tab/>
      </w:r>
      <w:r w:rsidR="00BE1A80" w:rsidRPr="00260915">
        <w:rPr>
          <w:rFonts w:ascii="Arial" w:hAnsi="Arial" w:cs="Arial"/>
          <w:sz w:val="24"/>
          <w:szCs w:val="24"/>
        </w:rPr>
        <w:t xml:space="preserve">The </w:t>
      </w:r>
      <w:r w:rsidR="0079236E" w:rsidRPr="00260915">
        <w:rPr>
          <w:rFonts w:ascii="Arial" w:hAnsi="Arial" w:cs="Arial"/>
          <w:sz w:val="24"/>
          <w:szCs w:val="24"/>
        </w:rPr>
        <w:t xml:space="preserve">more formidable obstacle in the way of the plaintiff’s claim, however, is </w:t>
      </w:r>
      <w:r w:rsidR="00620D53" w:rsidRPr="00260915">
        <w:rPr>
          <w:rFonts w:ascii="Arial" w:hAnsi="Arial" w:cs="Arial"/>
          <w:sz w:val="24"/>
          <w:szCs w:val="24"/>
        </w:rPr>
        <w:t>her</w:t>
      </w:r>
      <w:r w:rsidR="0079236E" w:rsidRPr="00260915">
        <w:rPr>
          <w:rFonts w:ascii="Arial" w:hAnsi="Arial" w:cs="Arial"/>
          <w:sz w:val="24"/>
          <w:szCs w:val="24"/>
        </w:rPr>
        <w:t xml:space="preserve"> </w:t>
      </w:r>
      <w:r w:rsidR="00620D53" w:rsidRPr="00260915">
        <w:rPr>
          <w:rFonts w:ascii="Arial" w:hAnsi="Arial" w:cs="Arial"/>
          <w:sz w:val="24"/>
          <w:szCs w:val="24"/>
        </w:rPr>
        <w:t xml:space="preserve">lack of evidence in relation to the alleged negligence of the driver. </w:t>
      </w:r>
      <w:r w:rsidR="004B2284" w:rsidRPr="00260915">
        <w:rPr>
          <w:rFonts w:ascii="Arial" w:hAnsi="Arial" w:cs="Arial"/>
          <w:sz w:val="24"/>
          <w:szCs w:val="24"/>
        </w:rPr>
        <w:t>There w</w:t>
      </w:r>
      <w:r w:rsidR="009D09F3" w:rsidRPr="00260915">
        <w:rPr>
          <w:rFonts w:ascii="Arial" w:hAnsi="Arial" w:cs="Arial"/>
          <w:sz w:val="24"/>
          <w:szCs w:val="24"/>
        </w:rPr>
        <w:t>ere</w:t>
      </w:r>
      <w:r w:rsidR="004B2284" w:rsidRPr="00260915">
        <w:rPr>
          <w:rFonts w:ascii="Arial" w:hAnsi="Arial" w:cs="Arial"/>
          <w:sz w:val="24"/>
          <w:szCs w:val="24"/>
        </w:rPr>
        <w:t xml:space="preserve"> simply </w:t>
      </w:r>
      <w:r w:rsidR="009D09F3" w:rsidRPr="00260915">
        <w:rPr>
          <w:rFonts w:ascii="Arial" w:hAnsi="Arial" w:cs="Arial"/>
          <w:sz w:val="24"/>
          <w:szCs w:val="24"/>
        </w:rPr>
        <w:t xml:space="preserve">not enough </w:t>
      </w:r>
      <w:r w:rsidR="008E2E0E" w:rsidRPr="00260915">
        <w:rPr>
          <w:rFonts w:ascii="Arial" w:hAnsi="Arial" w:cs="Arial"/>
          <w:sz w:val="24"/>
          <w:szCs w:val="24"/>
        </w:rPr>
        <w:t xml:space="preserve">facts presented to the court to permit the invocation of </w:t>
      </w:r>
      <w:r w:rsidR="00C2315E" w:rsidRPr="00260915">
        <w:rPr>
          <w:rFonts w:ascii="Arial" w:hAnsi="Arial" w:cs="Arial"/>
          <w:i/>
          <w:iCs/>
          <w:sz w:val="24"/>
          <w:szCs w:val="24"/>
        </w:rPr>
        <w:t>res ipsa loquitur</w:t>
      </w:r>
      <w:r w:rsidR="00C2315E" w:rsidRPr="00260915">
        <w:rPr>
          <w:rFonts w:ascii="Arial" w:hAnsi="Arial" w:cs="Arial"/>
          <w:sz w:val="24"/>
          <w:szCs w:val="24"/>
        </w:rPr>
        <w:t xml:space="preserve"> and to find that the negligent conduct of the driver had </w:t>
      </w:r>
      <w:r w:rsidR="00DA57B0" w:rsidRPr="00260915">
        <w:rPr>
          <w:rFonts w:ascii="Arial" w:hAnsi="Arial" w:cs="Arial"/>
          <w:sz w:val="24"/>
          <w:szCs w:val="24"/>
        </w:rPr>
        <w:t>been the cause of the accident and the resulting injuries suffered by the plaintiff.</w:t>
      </w:r>
    </w:p>
    <w:p w14:paraId="041D046D" w14:textId="77777777" w:rsidR="00D66FCB" w:rsidRDefault="00D66FCB" w:rsidP="00D66FCB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EEB2B4" w14:textId="139B12A1" w:rsidR="000614CA" w:rsidRPr="00260915" w:rsidRDefault="00260915" w:rsidP="002609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[36]</w:t>
      </w:r>
      <w:r w:rsidRPr="00D66FCB">
        <w:rPr>
          <w:rFonts w:ascii="Arial" w:hAnsi="Arial" w:cs="Arial"/>
          <w:sz w:val="24"/>
          <w:szCs w:val="24"/>
        </w:rPr>
        <w:tab/>
      </w:r>
      <w:r w:rsidR="000614CA" w:rsidRPr="00260915">
        <w:rPr>
          <w:rFonts w:ascii="Arial" w:hAnsi="Arial" w:cs="Arial"/>
          <w:sz w:val="24"/>
          <w:szCs w:val="24"/>
        </w:rPr>
        <w:t>The following order is made:</w:t>
      </w:r>
    </w:p>
    <w:p w14:paraId="0DABCCA3" w14:textId="77777777" w:rsidR="008401FF" w:rsidRDefault="008401FF" w:rsidP="008401F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126DBBF" w14:textId="368F40EB" w:rsidR="000614CA" w:rsidRPr="00260915" w:rsidRDefault="00260915" w:rsidP="00260915">
      <w:pPr>
        <w:spacing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="000614CA" w:rsidRPr="00260915">
        <w:rPr>
          <w:rFonts w:ascii="Arial" w:hAnsi="Arial" w:cs="Arial"/>
          <w:sz w:val="24"/>
          <w:szCs w:val="24"/>
        </w:rPr>
        <w:t xml:space="preserve">the application for default judgment is dismissed; and </w:t>
      </w:r>
    </w:p>
    <w:p w14:paraId="4A571803" w14:textId="77777777" w:rsidR="00D66FCB" w:rsidRDefault="00D66FCB" w:rsidP="00D66FC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70B590" w14:textId="2E6BEE20" w:rsidR="000614CA" w:rsidRPr="00260915" w:rsidRDefault="00260915" w:rsidP="00260915">
      <w:pPr>
        <w:spacing w:line="36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D66FCB">
        <w:rPr>
          <w:rFonts w:ascii="Arial" w:hAnsi="Arial" w:cs="Arial"/>
          <w:sz w:val="24"/>
          <w:szCs w:val="24"/>
        </w:rPr>
        <w:t>(b)</w:t>
      </w:r>
      <w:r w:rsidRPr="00D66FCB">
        <w:rPr>
          <w:rFonts w:ascii="Arial" w:hAnsi="Arial" w:cs="Arial"/>
          <w:sz w:val="24"/>
          <w:szCs w:val="24"/>
        </w:rPr>
        <w:tab/>
      </w:r>
      <w:r w:rsidR="000614CA" w:rsidRPr="00260915">
        <w:rPr>
          <w:rFonts w:ascii="Arial" w:hAnsi="Arial" w:cs="Arial"/>
          <w:sz w:val="24"/>
          <w:szCs w:val="24"/>
        </w:rPr>
        <w:t xml:space="preserve">the plaintiff is directed to </w:t>
      </w:r>
      <w:r w:rsidR="00227621" w:rsidRPr="00260915">
        <w:rPr>
          <w:rFonts w:ascii="Arial" w:hAnsi="Arial" w:cs="Arial"/>
          <w:sz w:val="24"/>
          <w:szCs w:val="24"/>
        </w:rPr>
        <w:t>bear her own costs.</w:t>
      </w:r>
    </w:p>
    <w:p w14:paraId="12807A12" w14:textId="77777777" w:rsidR="00227621" w:rsidRDefault="00227621" w:rsidP="00227621">
      <w:pPr>
        <w:spacing w:line="360" w:lineRule="auto"/>
        <w:rPr>
          <w:rFonts w:ascii="Arial" w:hAnsi="Arial" w:cs="Arial"/>
          <w:sz w:val="24"/>
          <w:szCs w:val="24"/>
        </w:rPr>
      </w:pPr>
    </w:p>
    <w:p w14:paraId="0DB22A67" w14:textId="77777777" w:rsidR="00227621" w:rsidRDefault="00227621" w:rsidP="00227621">
      <w:pPr>
        <w:spacing w:line="360" w:lineRule="auto"/>
        <w:rPr>
          <w:rFonts w:ascii="Arial" w:hAnsi="Arial" w:cs="Arial"/>
          <w:sz w:val="24"/>
          <w:szCs w:val="24"/>
        </w:rPr>
      </w:pPr>
    </w:p>
    <w:p w14:paraId="4058A260" w14:textId="7647BDA1" w:rsidR="00227621" w:rsidRDefault="00227621" w:rsidP="003E2B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1BD6CB6E" w14:textId="09FE6688" w:rsidR="00227621" w:rsidRPr="00227621" w:rsidRDefault="00227621" w:rsidP="003E2B9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7621">
        <w:rPr>
          <w:rFonts w:ascii="Arial" w:hAnsi="Arial" w:cs="Arial"/>
          <w:b/>
          <w:bCs/>
          <w:sz w:val="24"/>
          <w:szCs w:val="24"/>
        </w:rPr>
        <w:t>JGA LAING</w:t>
      </w:r>
    </w:p>
    <w:p w14:paraId="241A1F8F" w14:textId="24E7E75C" w:rsidR="00227621" w:rsidRDefault="00227621" w:rsidP="003E2B9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7621">
        <w:rPr>
          <w:rFonts w:ascii="Arial" w:hAnsi="Arial" w:cs="Arial"/>
          <w:b/>
          <w:bCs/>
          <w:sz w:val="24"/>
          <w:szCs w:val="24"/>
        </w:rPr>
        <w:t>JUDGE OF THE HIGH COURT</w:t>
      </w:r>
    </w:p>
    <w:p w14:paraId="55A5337E" w14:textId="77777777" w:rsidR="003F6B1A" w:rsidRDefault="003F6B1A" w:rsidP="003E2B9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30F98F" w14:textId="77777777" w:rsidR="003F6B1A" w:rsidRDefault="003F6B1A" w:rsidP="003E2B9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A56028" w14:textId="77777777" w:rsidR="003F6B1A" w:rsidRDefault="003F6B1A" w:rsidP="003E2B9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BB1058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00F5">
        <w:rPr>
          <w:rFonts w:ascii="Arial" w:hAnsi="Arial" w:cs="Arial"/>
          <w:sz w:val="24"/>
          <w:szCs w:val="24"/>
        </w:rPr>
        <w:lastRenderedPageBreak/>
        <w:t>APPEARANCE</w:t>
      </w:r>
    </w:p>
    <w:p w14:paraId="786EEF16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00F5">
        <w:rPr>
          <w:rFonts w:ascii="Arial" w:hAnsi="Arial" w:cs="Arial"/>
          <w:sz w:val="24"/>
          <w:szCs w:val="24"/>
        </w:rPr>
        <w:t>For the plaintiff:</w:t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 xml:space="preserve">Adv </w:t>
      </w:r>
      <w:proofErr w:type="spellStart"/>
      <w:r w:rsidRPr="004000F5">
        <w:rPr>
          <w:rFonts w:ascii="Arial" w:hAnsi="Arial" w:cs="Arial"/>
          <w:sz w:val="24"/>
          <w:szCs w:val="24"/>
        </w:rPr>
        <w:t>Mlalandle</w:t>
      </w:r>
      <w:proofErr w:type="spellEnd"/>
      <w:r w:rsidRPr="004000F5">
        <w:rPr>
          <w:rFonts w:ascii="Arial" w:hAnsi="Arial" w:cs="Arial"/>
          <w:sz w:val="24"/>
          <w:szCs w:val="24"/>
        </w:rPr>
        <w:t xml:space="preserve"> </w:t>
      </w:r>
    </w:p>
    <w:p w14:paraId="52D70724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00F5">
        <w:rPr>
          <w:rFonts w:ascii="Arial" w:hAnsi="Arial" w:cs="Arial"/>
          <w:sz w:val="24"/>
          <w:szCs w:val="24"/>
        </w:rPr>
        <w:t>Instructed by:</w:t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>S Booi &amp; Sons</w:t>
      </w:r>
    </w:p>
    <w:p w14:paraId="1E39DC80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 xml:space="preserve">c/o Cloete &amp; Co </w:t>
      </w:r>
    </w:p>
    <w:p w14:paraId="2CCCEDF9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 xml:space="preserve">112A High Street </w:t>
      </w:r>
    </w:p>
    <w:p w14:paraId="4CD22A45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000F5">
        <w:rPr>
          <w:rFonts w:ascii="Arial" w:hAnsi="Arial" w:cs="Arial"/>
          <w:sz w:val="24"/>
          <w:szCs w:val="24"/>
        </w:rPr>
        <w:t>Makhanda</w:t>
      </w:r>
      <w:proofErr w:type="spellEnd"/>
    </w:p>
    <w:p w14:paraId="35AC777A" w14:textId="77777777" w:rsidR="007D4A1B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000F5">
        <w:rPr>
          <w:rFonts w:ascii="Arial" w:hAnsi="Arial" w:cs="Arial"/>
          <w:sz w:val="24"/>
          <w:szCs w:val="24"/>
        </w:rPr>
        <w:t>(Ref: SBO2/0002/AB)</w:t>
      </w:r>
    </w:p>
    <w:p w14:paraId="34705811" w14:textId="77777777" w:rsidR="007D4A1B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EF485C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defendant: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 appearance </w:t>
      </w:r>
    </w:p>
    <w:p w14:paraId="7AB7D67F" w14:textId="77777777" w:rsidR="007D4A1B" w:rsidRDefault="007D4A1B" w:rsidP="007D4A1B">
      <w:pPr>
        <w:spacing w:line="240" w:lineRule="auto"/>
        <w:ind w:left="2880" w:hanging="2880"/>
        <w:jc w:val="both"/>
        <w:rPr>
          <w:rFonts w:ascii="Arial" w:hAnsi="Arial" w:cs="Arial"/>
          <w:bCs/>
          <w:sz w:val="24"/>
          <w:szCs w:val="24"/>
        </w:rPr>
      </w:pPr>
    </w:p>
    <w:p w14:paraId="79ACC79C" w14:textId="77777777" w:rsidR="007D4A1B" w:rsidRDefault="007D4A1B" w:rsidP="007D4A1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Date of submission of </w:t>
      </w:r>
    </w:p>
    <w:p w14:paraId="7472A713" w14:textId="77777777" w:rsidR="007D4A1B" w:rsidRDefault="007D4A1B" w:rsidP="007D4A1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heads of argument: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29 September 2023.</w:t>
      </w:r>
    </w:p>
    <w:p w14:paraId="6D808A65" w14:textId="77777777" w:rsidR="007D4A1B" w:rsidRDefault="007D4A1B" w:rsidP="007D4A1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 of delivery of judgment:</w:t>
      </w:r>
      <w:r>
        <w:rPr>
          <w:rFonts w:ascii="Arial" w:hAnsi="Arial" w:cs="Arial"/>
          <w:bCs/>
          <w:sz w:val="24"/>
          <w:szCs w:val="24"/>
        </w:rPr>
        <w:tab/>
        <w:t>05 December 2023.</w:t>
      </w:r>
    </w:p>
    <w:p w14:paraId="774A46B0" w14:textId="77777777" w:rsidR="007D4A1B" w:rsidRPr="004000F5" w:rsidRDefault="007D4A1B" w:rsidP="007D4A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F16AB6C" w14:textId="178B6554" w:rsidR="003F6B1A" w:rsidRPr="00227621" w:rsidRDefault="003F6B1A" w:rsidP="007D4A1B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3F6B1A" w:rsidRPr="00227621" w:rsidSect="00D66FCB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549F" w14:textId="77777777" w:rsidR="00CB0C54" w:rsidRDefault="00CB0C54" w:rsidP="00B23830">
      <w:pPr>
        <w:spacing w:after="0" w:line="240" w:lineRule="auto"/>
      </w:pPr>
      <w:r>
        <w:separator/>
      </w:r>
    </w:p>
  </w:endnote>
  <w:endnote w:type="continuationSeparator" w:id="0">
    <w:p w14:paraId="77C479A7" w14:textId="77777777" w:rsidR="00CB0C54" w:rsidRDefault="00CB0C54" w:rsidP="00B23830">
      <w:pPr>
        <w:spacing w:after="0" w:line="240" w:lineRule="auto"/>
      </w:pPr>
      <w:r>
        <w:continuationSeparator/>
      </w:r>
    </w:p>
  </w:endnote>
  <w:endnote w:type="continuationNotice" w:id="1">
    <w:p w14:paraId="7BF5DAAF" w14:textId="77777777" w:rsidR="00CB0C54" w:rsidRDefault="00CB0C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72C3" w14:textId="77777777" w:rsidR="00CB0C54" w:rsidRDefault="00CB0C54" w:rsidP="00B23830">
      <w:pPr>
        <w:spacing w:after="0" w:line="240" w:lineRule="auto"/>
      </w:pPr>
      <w:r>
        <w:separator/>
      </w:r>
    </w:p>
  </w:footnote>
  <w:footnote w:type="continuationSeparator" w:id="0">
    <w:p w14:paraId="7BAD502D" w14:textId="77777777" w:rsidR="00CB0C54" w:rsidRDefault="00CB0C54" w:rsidP="00B23830">
      <w:pPr>
        <w:spacing w:after="0" w:line="240" w:lineRule="auto"/>
      </w:pPr>
      <w:r>
        <w:continuationSeparator/>
      </w:r>
    </w:p>
  </w:footnote>
  <w:footnote w:type="continuationNotice" w:id="1">
    <w:p w14:paraId="1E8ECA02" w14:textId="77777777" w:rsidR="00CB0C54" w:rsidRDefault="00CB0C54">
      <w:pPr>
        <w:spacing w:after="0" w:line="240" w:lineRule="auto"/>
      </w:pPr>
    </w:p>
  </w:footnote>
  <w:footnote w:id="2">
    <w:p w14:paraId="2300EA8F" w14:textId="71A977C1" w:rsidR="00140200" w:rsidRPr="00140200" w:rsidRDefault="00140200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AC Cilliers (</w:t>
      </w:r>
      <w:r w:rsidRPr="000F1E9E">
        <w:rPr>
          <w:i/>
          <w:iCs/>
          <w:lang w:val="en-US"/>
        </w:rPr>
        <w:t>et al</w:t>
      </w:r>
      <w:r>
        <w:rPr>
          <w:lang w:val="en-US"/>
        </w:rPr>
        <w:t xml:space="preserve">), </w:t>
      </w:r>
      <w:r w:rsidR="000A77B3" w:rsidRPr="000F1E9E">
        <w:rPr>
          <w:i/>
          <w:iCs/>
          <w:lang w:val="en-US"/>
        </w:rPr>
        <w:t xml:space="preserve">Herbstein and Van Winsen: Civil Practice of the High Courts </w:t>
      </w:r>
      <w:r w:rsidR="00694209" w:rsidRPr="000F1E9E">
        <w:rPr>
          <w:i/>
          <w:iCs/>
          <w:lang w:val="en-US"/>
        </w:rPr>
        <w:t>and the Supreme Court of Appeal of South Africa</w:t>
      </w:r>
      <w:r w:rsidR="00EC030D">
        <w:rPr>
          <w:lang w:val="en-US"/>
        </w:rPr>
        <w:t xml:space="preserve"> (Jutastat e-publications, 5ed 2009</w:t>
      </w:r>
      <w:r w:rsidR="00483011">
        <w:rPr>
          <w:lang w:val="en-US"/>
        </w:rPr>
        <w:t xml:space="preserve"> </w:t>
      </w:r>
      <w:r w:rsidR="00EC030D">
        <w:rPr>
          <w:lang w:val="en-US"/>
        </w:rPr>
        <w:t>ch15</w:t>
      </w:r>
      <w:r w:rsidR="000F1E9E">
        <w:rPr>
          <w:lang w:val="en-US"/>
        </w:rPr>
        <w:t>)</w:t>
      </w:r>
      <w:r w:rsidR="00483011">
        <w:rPr>
          <w:lang w:val="en-US"/>
        </w:rPr>
        <w:t>, at 506.</w:t>
      </w:r>
    </w:p>
  </w:footnote>
  <w:footnote w:id="3">
    <w:p w14:paraId="58E523FC" w14:textId="21FB87A9" w:rsidR="00B23830" w:rsidRPr="00B23830" w:rsidRDefault="00B23830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25A68">
        <w:rPr>
          <w:i/>
          <w:iCs/>
          <w:lang w:val="en-US"/>
        </w:rPr>
        <w:t>Morgan-Smith</w:t>
      </w:r>
      <w:r w:rsidR="00B760B0" w:rsidRPr="00325A68">
        <w:rPr>
          <w:i/>
          <w:iCs/>
          <w:lang w:val="en-US"/>
        </w:rPr>
        <w:t xml:space="preserve"> v Elektro Vroomen (Pty) Ltd </w:t>
      </w:r>
      <w:r w:rsidR="004034FE" w:rsidRPr="00325A68">
        <w:rPr>
          <w:i/>
          <w:iCs/>
          <w:lang w:val="en-US"/>
        </w:rPr>
        <w:t>en ‘n ander, NO</w:t>
      </w:r>
      <w:r w:rsidR="004034FE">
        <w:rPr>
          <w:lang w:val="en-US"/>
        </w:rPr>
        <w:t xml:space="preserve"> 1977 (2) SA 191 (O), at 194</w:t>
      </w:r>
      <w:r w:rsidR="00325A68">
        <w:rPr>
          <w:lang w:val="en-US"/>
        </w:rPr>
        <w:t>A</w:t>
      </w:r>
      <w:r w:rsidR="004034FE">
        <w:rPr>
          <w:lang w:val="en-US"/>
        </w:rPr>
        <w:t>.</w:t>
      </w:r>
    </w:p>
  </w:footnote>
  <w:footnote w:id="4">
    <w:p w14:paraId="14D12757" w14:textId="2F55FFA4" w:rsidR="004D22C4" w:rsidRPr="004D22C4" w:rsidRDefault="004D22C4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F2D99">
        <w:rPr>
          <w:i/>
          <w:iCs/>
          <w:lang w:val="en-US"/>
        </w:rPr>
        <w:t>Hunt v Engers</w:t>
      </w:r>
      <w:r>
        <w:rPr>
          <w:lang w:val="en-US"/>
        </w:rPr>
        <w:t xml:space="preserve"> 1921 CPD 754.</w:t>
      </w:r>
    </w:p>
  </w:footnote>
  <w:footnote w:id="5">
    <w:p w14:paraId="292B322D" w14:textId="15BD59DF" w:rsidR="00547533" w:rsidRPr="00547533" w:rsidRDefault="00547533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C6890">
        <w:rPr>
          <w:i/>
          <w:iCs/>
          <w:lang w:val="en-US"/>
        </w:rPr>
        <w:t xml:space="preserve">Chernotzsky </w:t>
      </w:r>
      <w:r w:rsidR="000C6890" w:rsidRPr="000C6890">
        <w:rPr>
          <w:i/>
          <w:iCs/>
          <w:lang w:val="en-US"/>
        </w:rPr>
        <w:t>&amp; Lewis v Mulder</w:t>
      </w:r>
      <w:r w:rsidR="000C6890">
        <w:rPr>
          <w:lang w:val="en-US"/>
        </w:rPr>
        <w:t xml:space="preserve"> 1922 JDR 383.</w:t>
      </w:r>
    </w:p>
  </w:footnote>
  <w:footnote w:id="6">
    <w:p w14:paraId="280CD895" w14:textId="40936B62" w:rsidR="00610258" w:rsidRPr="00610258" w:rsidRDefault="00610258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84D36">
        <w:rPr>
          <w:i/>
          <w:iCs/>
          <w:lang w:val="en-US"/>
        </w:rPr>
        <w:t>Commercial Bank of SA</w:t>
      </w:r>
      <w:r w:rsidR="00C67EEB" w:rsidRPr="00184D36">
        <w:rPr>
          <w:i/>
          <w:iCs/>
          <w:lang w:val="en-US"/>
        </w:rPr>
        <w:t xml:space="preserve"> v Schneider</w:t>
      </w:r>
      <w:r w:rsidR="00C67EEB">
        <w:rPr>
          <w:lang w:val="en-US"/>
        </w:rPr>
        <w:t xml:space="preserve"> 1929 SWA </w:t>
      </w:r>
    </w:p>
  </w:footnote>
  <w:footnote w:id="7">
    <w:p w14:paraId="4555B822" w14:textId="1BEFCD36" w:rsidR="00A20F92" w:rsidRPr="00A20F92" w:rsidRDefault="00A20F92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A48FF">
        <w:rPr>
          <w:lang w:val="en-US"/>
        </w:rPr>
        <w:t>1993 (1) SA 673 (W).</w:t>
      </w:r>
    </w:p>
  </w:footnote>
  <w:footnote w:id="8">
    <w:p w14:paraId="6CF22FD7" w14:textId="549F0948" w:rsidR="00C533B5" w:rsidRPr="00C533B5" w:rsidRDefault="00C533B5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676C.</w:t>
      </w:r>
    </w:p>
  </w:footnote>
  <w:footnote w:id="9">
    <w:p w14:paraId="294644C7" w14:textId="753F124F" w:rsidR="00B6773C" w:rsidRPr="00B6773C" w:rsidRDefault="00B6773C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677C-E.</w:t>
      </w:r>
    </w:p>
  </w:footnote>
  <w:footnote w:id="10">
    <w:p w14:paraId="03C0E66C" w14:textId="68467DA2" w:rsidR="00834B10" w:rsidRPr="00834B10" w:rsidRDefault="00834B10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2002 (6) SA 551 (D).</w:t>
      </w:r>
    </w:p>
  </w:footnote>
  <w:footnote w:id="11">
    <w:p w14:paraId="4842EA56" w14:textId="1C24F376" w:rsidR="008A4B31" w:rsidRPr="008A4B31" w:rsidRDefault="008A4B31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558A.</w:t>
      </w:r>
    </w:p>
  </w:footnote>
  <w:footnote w:id="12">
    <w:p w14:paraId="1C3C6159" w14:textId="59E25C37" w:rsidR="00CC442A" w:rsidRPr="00CC442A" w:rsidRDefault="00CC442A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At </w:t>
      </w:r>
      <w:r w:rsidR="00F01CE1">
        <w:rPr>
          <w:lang w:val="en-US"/>
        </w:rPr>
        <w:t>558F-G.</w:t>
      </w:r>
    </w:p>
  </w:footnote>
  <w:footnote w:id="13">
    <w:p w14:paraId="776824E5" w14:textId="592E738F" w:rsidR="00E66A91" w:rsidRPr="00E66A91" w:rsidRDefault="00E66A91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2014 (3) SA 198 (SCA).</w:t>
      </w:r>
    </w:p>
  </w:footnote>
  <w:footnote w:id="14">
    <w:p w14:paraId="1C505728" w14:textId="3389FFDE" w:rsidR="00A25955" w:rsidRPr="00A25955" w:rsidRDefault="00A25955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paragraph [11].</w:t>
      </w:r>
    </w:p>
  </w:footnote>
  <w:footnote w:id="15">
    <w:p w14:paraId="402E3A6C" w14:textId="7991673E" w:rsidR="004174C2" w:rsidRPr="004174C2" w:rsidRDefault="004174C2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D4302">
        <w:rPr>
          <w:lang w:val="en-US"/>
        </w:rPr>
        <w:t>2017 JDR 1913 (SCA).</w:t>
      </w:r>
    </w:p>
  </w:footnote>
  <w:footnote w:id="16">
    <w:p w14:paraId="4BC89F31" w14:textId="49BD269D" w:rsidR="00654D9B" w:rsidRPr="00654D9B" w:rsidRDefault="00654D9B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Road Accident Fund Act 56 of 1996.</w:t>
      </w:r>
    </w:p>
  </w:footnote>
  <w:footnote w:id="17">
    <w:p w14:paraId="7DDC60A2" w14:textId="7BA13864" w:rsidR="007A7715" w:rsidRPr="007A7715" w:rsidRDefault="007A7715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20229" w:rsidRPr="00D20229">
        <w:rPr>
          <w:i/>
          <w:iCs/>
          <w:lang w:val="en-US"/>
        </w:rPr>
        <w:t>Septoo</w:t>
      </w:r>
      <w:r w:rsidR="00D20229">
        <w:rPr>
          <w:lang w:val="en-US"/>
        </w:rPr>
        <w:t xml:space="preserve">, </w:t>
      </w:r>
      <w:r w:rsidR="00D20229" w:rsidRPr="00D20229">
        <w:rPr>
          <w:i/>
          <w:iCs/>
          <w:lang w:val="en-US"/>
        </w:rPr>
        <w:t>supra</w:t>
      </w:r>
      <w:r w:rsidR="00D20229">
        <w:rPr>
          <w:lang w:val="en-US"/>
        </w:rPr>
        <w:t>, at paragraph [3].</w:t>
      </w:r>
    </w:p>
  </w:footnote>
  <w:footnote w:id="18">
    <w:p w14:paraId="7386110E" w14:textId="5FF872BB" w:rsidR="00C7595D" w:rsidRPr="00C7595D" w:rsidRDefault="00C7595D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2009 (5) SA 390 (E).</w:t>
      </w:r>
    </w:p>
  </w:footnote>
  <w:footnote w:id="19">
    <w:p w14:paraId="791B1C95" w14:textId="2A0DD13B" w:rsidR="00A712B5" w:rsidRPr="00A712B5" w:rsidRDefault="00A712B5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041AF">
        <w:rPr>
          <w:lang w:val="en-US"/>
        </w:rPr>
        <w:t xml:space="preserve">(A525/2015) [2017] </w:t>
      </w:r>
      <w:r w:rsidR="007008F6">
        <w:rPr>
          <w:lang w:val="en-US"/>
        </w:rPr>
        <w:t>ZAGPPHC 838 (28 March 2017).</w:t>
      </w:r>
    </w:p>
  </w:footnote>
  <w:footnote w:id="20">
    <w:p w14:paraId="1B036E84" w14:textId="22AA7E1D" w:rsidR="00F04A4B" w:rsidRPr="00F04A4B" w:rsidRDefault="00F04A4B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F44BE2" w:rsidRPr="006E76F5">
        <w:rPr>
          <w:i/>
          <w:iCs/>
          <w:lang w:val="en-US"/>
        </w:rPr>
        <w:t>Goliath v MEC for Health, Eastern Cape</w:t>
      </w:r>
      <w:r w:rsidR="00F44BE2">
        <w:rPr>
          <w:lang w:val="en-US"/>
        </w:rPr>
        <w:t xml:space="preserve"> 2015 (2) SA </w:t>
      </w:r>
      <w:r w:rsidR="006E76F5">
        <w:rPr>
          <w:lang w:val="en-US"/>
        </w:rPr>
        <w:t>97 (SCA), at paragraph [10].</w:t>
      </w:r>
    </w:p>
  </w:footnote>
  <w:footnote w:id="21">
    <w:p w14:paraId="50E4C076" w14:textId="60E1610A" w:rsidR="00905512" w:rsidRPr="00905512" w:rsidRDefault="00905512" w:rsidP="00D66F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F6317" w:rsidRPr="00A400CC">
        <w:rPr>
          <w:i/>
          <w:iCs/>
          <w:lang w:val="en-US"/>
        </w:rPr>
        <w:t>Groenewald v Conradie</w:t>
      </w:r>
      <w:r w:rsidR="00572895" w:rsidRPr="00A400CC">
        <w:rPr>
          <w:i/>
          <w:iCs/>
          <w:lang w:val="en-US"/>
        </w:rPr>
        <w:t>; Groenewald v Auto Protection Insurance Co Ltd</w:t>
      </w:r>
      <w:r w:rsidR="00A400CC">
        <w:rPr>
          <w:lang w:val="en-US"/>
        </w:rPr>
        <w:t xml:space="preserve"> 1965 (1) SA 184 (A), at 187.</w:t>
      </w:r>
    </w:p>
  </w:footnote>
  <w:footnote w:id="22">
    <w:p w14:paraId="7615FD00" w14:textId="5C05EFAE" w:rsidR="006B2F25" w:rsidRPr="006B2F25" w:rsidRDefault="006B2F25" w:rsidP="00D66F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F2F25">
        <w:rPr>
          <w:i/>
          <w:iCs/>
          <w:lang w:val="en-US"/>
        </w:rPr>
        <w:t>Mostert v Cape Town City Council</w:t>
      </w:r>
      <w:r w:rsidR="00BF2F25">
        <w:rPr>
          <w:lang w:val="en-US"/>
        </w:rPr>
        <w:t xml:space="preserve"> 2001 (1) SA 105 (SCA), at paragraph [40].</w:t>
      </w:r>
    </w:p>
  </w:footnote>
  <w:footnote w:id="23">
    <w:p w14:paraId="33C9845C" w14:textId="07251232" w:rsidR="00836CBF" w:rsidRPr="00836CBF" w:rsidRDefault="00836CBF" w:rsidP="00D66F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36CBF">
        <w:rPr>
          <w:i/>
          <w:iCs/>
          <w:lang w:val="en-US"/>
        </w:rPr>
        <w:t>Groenewald</w:t>
      </w:r>
      <w:r>
        <w:rPr>
          <w:lang w:val="en-US"/>
        </w:rPr>
        <w:t>, supra, at 187D.</w:t>
      </w:r>
    </w:p>
  </w:footnote>
  <w:footnote w:id="24">
    <w:p w14:paraId="23213DC0" w14:textId="679C62EE" w:rsidR="006E5871" w:rsidRPr="006E5871" w:rsidRDefault="006E5871" w:rsidP="00D66F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1997 (3) SA 1039 (E).</w:t>
      </w:r>
    </w:p>
  </w:footnote>
  <w:footnote w:id="25">
    <w:p w14:paraId="6705FAFB" w14:textId="0B89191E" w:rsidR="003C176F" w:rsidRPr="003C176F" w:rsidRDefault="003C176F" w:rsidP="00D66F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At 1046D.</w:t>
      </w:r>
    </w:p>
  </w:footnote>
  <w:footnote w:id="26">
    <w:p w14:paraId="49A273EA" w14:textId="7C925C18" w:rsidR="00432254" w:rsidRPr="00432254" w:rsidRDefault="00432254" w:rsidP="00D66F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32254">
        <w:rPr>
          <w:i/>
          <w:iCs/>
          <w:lang w:val="en-US"/>
        </w:rPr>
        <w:t>Supra</w:t>
      </w:r>
      <w:r>
        <w:rPr>
          <w:lang w:val="en-US"/>
        </w:rPr>
        <w:t>.</w:t>
      </w:r>
    </w:p>
  </w:footnote>
  <w:footnote w:id="27">
    <w:p w14:paraId="0C905390" w14:textId="527FDBCF" w:rsidR="00D509A0" w:rsidRPr="00D509A0" w:rsidRDefault="00D509A0" w:rsidP="00D66FC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1046E-F.</w:t>
      </w:r>
    </w:p>
  </w:footnote>
  <w:footnote w:id="28">
    <w:p w14:paraId="494AC4FA" w14:textId="6987F192" w:rsidR="00666515" w:rsidRPr="00666515" w:rsidRDefault="00666515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At </w:t>
      </w:r>
      <w:r w:rsidR="00FA09A0">
        <w:rPr>
          <w:lang w:val="en-US"/>
        </w:rPr>
        <w:t>1048E-I.</w:t>
      </w:r>
    </w:p>
  </w:footnote>
  <w:footnote w:id="29">
    <w:p w14:paraId="6AC8824C" w14:textId="61CB9F40" w:rsidR="00A86506" w:rsidRPr="00A86506" w:rsidRDefault="00A86506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86506">
        <w:rPr>
          <w:i/>
          <w:iCs/>
          <w:lang w:val="en-US"/>
        </w:rPr>
        <w:t>Supra</w:t>
      </w:r>
      <w:r>
        <w:rPr>
          <w:lang w:val="en-US"/>
        </w:rPr>
        <w:t>.</w:t>
      </w:r>
    </w:p>
  </w:footnote>
  <w:footnote w:id="30">
    <w:p w14:paraId="0615FDE0" w14:textId="512FCCBD" w:rsidR="003C557B" w:rsidRPr="003C557B" w:rsidRDefault="003C557B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At </w:t>
      </w:r>
      <w:r w:rsidR="00D14EC5">
        <w:rPr>
          <w:lang w:val="en-US"/>
        </w:rPr>
        <w:t>paragraph [10].</w:t>
      </w:r>
    </w:p>
  </w:footnote>
  <w:footnote w:id="31">
    <w:p w14:paraId="67538529" w14:textId="77777777" w:rsidR="00FE2E29" w:rsidRPr="00647713" w:rsidRDefault="00FE2E29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1966 (2) SA 428 (A).</w:t>
      </w:r>
    </w:p>
  </w:footnote>
  <w:footnote w:id="32">
    <w:p w14:paraId="0A286218" w14:textId="77777777" w:rsidR="00FE2E29" w:rsidRPr="00CB7C12" w:rsidRDefault="00FE2E29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 430E-F.</w:t>
      </w:r>
    </w:p>
  </w:footnote>
  <w:footnote w:id="33">
    <w:p w14:paraId="7DC46C88" w14:textId="40A61886" w:rsidR="00DA0613" w:rsidRPr="00DA0613" w:rsidRDefault="00DA0613" w:rsidP="00D66FC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Counsel referred to </w:t>
      </w:r>
      <w:r w:rsidR="00077A8F" w:rsidRPr="00CE7673">
        <w:rPr>
          <w:i/>
          <w:iCs/>
          <w:lang w:val="en-US"/>
        </w:rPr>
        <w:t>Prins v Road Accident Fund</w:t>
      </w:r>
      <w:r w:rsidR="00DF4173">
        <w:rPr>
          <w:lang w:val="en-US"/>
        </w:rPr>
        <w:t xml:space="preserve"> 2013 JDR 0358 (GSJ), at </w:t>
      </w:r>
      <w:r w:rsidR="00CE7673">
        <w:rPr>
          <w:lang w:val="en-US"/>
        </w:rPr>
        <w:t>paragraph [4].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021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BA215C" w14:textId="0ECCA02B" w:rsidR="00D66FCB" w:rsidRDefault="00D66F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69C86" w14:textId="77777777" w:rsidR="00D66FCB" w:rsidRDefault="00D66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EBC"/>
    <w:multiLevelType w:val="hybridMultilevel"/>
    <w:tmpl w:val="3C8E614C"/>
    <w:lvl w:ilvl="0" w:tplc="7A4C595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F900CF"/>
    <w:multiLevelType w:val="hybridMultilevel"/>
    <w:tmpl w:val="4D922F90"/>
    <w:lvl w:ilvl="0" w:tplc="313C30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25D6"/>
    <w:multiLevelType w:val="hybridMultilevel"/>
    <w:tmpl w:val="94563B84"/>
    <w:lvl w:ilvl="0" w:tplc="313C30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B4D80"/>
    <w:multiLevelType w:val="hybridMultilevel"/>
    <w:tmpl w:val="AE742C0E"/>
    <w:lvl w:ilvl="0" w:tplc="A2760E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B91908"/>
    <w:multiLevelType w:val="hybridMultilevel"/>
    <w:tmpl w:val="1C16FF32"/>
    <w:lvl w:ilvl="0" w:tplc="313C30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440E"/>
    <w:multiLevelType w:val="hybridMultilevel"/>
    <w:tmpl w:val="A2E0E24A"/>
    <w:lvl w:ilvl="0" w:tplc="92C63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1B6C"/>
    <w:multiLevelType w:val="hybridMultilevel"/>
    <w:tmpl w:val="3314E270"/>
    <w:lvl w:ilvl="0" w:tplc="313C30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071"/>
    <w:multiLevelType w:val="hybridMultilevel"/>
    <w:tmpl w:val="C0422DEC"/>
    <w:lvl w:ilvl="0" w:tplc="2B76AAB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505402"/>
    <w:multiLevelType w:val="hybridMultilevel"/>
    <w:tmpl w:val="0EECBBB4"/>
    <w:lvl w:ilvl="0" w:tplc="313C30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D01A8"/>
    <w:multiLevelType w:val="hybridMultilevel"/>
    <w:tmpl w:val="84E60CB0"/>
    <w:lvl w:ilvl="0" w:tplc="313C304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77522">
    <w:abstractNumId w:val="7"/>
  </w:num>
  <w:num w:numId="2" w16cid:durableId="1111047684">
    <w:abstractNumId w:val="3"/>
  </w:num>
  <w:num w:numId="3" w16cid:durableId="1448966450">
    <w:abstractNumId w:val="0"/>
  </w:num>
  <w:num w:numId="4" w16cid:durableId="2001735448">
    <w:abstractNumId w:val="5"/>
  </w:num>
  <w:num w:numId="5" w16cid:durableId="56129161">
    <w:abstractNumId w:val="6"/>
  </w:num>
  <w:num w:numId="6" w16cid:durableId="435908245">
    <w:abstractNumId w:val="4"/>
  </w:num>
  <w:num w:numId="7" w16cid:durableId="1675523507">
    <w:abstractNumId w:val="2"/>
  </w:num>
  <w:num w:numId="8" w16cid:durableId="1262756372">
    <w:abstractNumId w:val="1"/>
  </w:num>
  <w:num w:numId="9" w16cid:durableId="661156230">
    <w:abstractNumId w:val="9"/>
  </w:num>
  <w:num w:numId="10" w16cid:durableId="421877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58"/>
    <w:rsid w:val="00000D8F"/>
    <w:rsid w:val="00007BB3"/>
    <w:rsid w:val="00020033"/>
    <w:rsid w:val="0002107B"/>
    <w:rsid w:val="00021945"/>
    <w:rsid w:val="000220C3"/>
    <w:rsid w:val="00024174"/>
    <w:rsid w:val="000258D4"/>
    <w:rsid w:val="00025CBE"/>
    <w:rsid w:val="000310A2"/>
    <w:rsid w:val="00033831"/>
    <w:rsid w:val="00037504"/>
    <w:rsid w:val="00051404"/>
    <w:rsid w:val="00054074"/>
    <w:rsid w:val="00056E7F"/>
    <w:rsid w:val="0006072E"/>
    <w:rsid w:val="000614CA"/>
    <w:rsid w:val="00065FF0"/>
    <w:rsid w:val="00066DEC"/>
    <w:rsid w:val="0007336E"/>
    <w:rsid w:val="00075828"/>
    <w:rsid w:val="00077A8F"/>
    <w:rsid w:val="00080837"/>
    <w:rsid w:val="00080EC5"/>
    <w:rsid w:val="000814F7"/>
    <w:rsid w:val="00085A83"/>
    <w:rsid w:val="00090B5C"/>
    <w:rsid w:val="00091AC6"/>
    <w:rsid w:val="000A47B9"/>
    <w:rsid w:val="000A77B3"/>
    <w:rsid w:val="000B0CFD"/>
    <w:rsid w:val="000B18B5"/>
    <w:rsid w:val="000B3041"/>
    <w:rsid w:val="000B7616"/>
    <w:rsid w:val="000B7ED6"/>
    <w:rsid w:val="000C5B41"/>
    <w:rsid w:val="000C6890"/>
    <w:rsid w:val="000D278C"/>
    <w:rsid w:val="000D3EC9"/>
    <w:rsid w:val="000D6EBC"/>
    <w:rsid w:val="000E1899"/>
    <w:rsid w:val="000E1F59"/>
    <w:rsid w:val="000F1E9E"/>
    <w:rsid w:val="000F22C9"/>
    <w:rsid w:val="000F2D99"/>
    <w:rsid w:val="000F4DB9"/>
    <w:rsid w:val="000F55DB"/>
    <w:rsid w:val="00101F6F"/>
    <w:rsid w:val="00102A78"/>
    <w:rsid w:val="001051CC"/>
    <w:rsid w:val="00110B79"/>
    <w:rsid w:val="00125B78"/>
    <w:rsid w:val="00125DEE"/>
    <w:rsid w:val="00130212"/>
    <w:rsid w:val="001303FC"/>
    <w:rsid w:val="0013148F"/>
    <w:rsid w:val="001361E2"/>
    <w:rsid w:val="00140200"/>
    <w:rsid w:val="00140E92"/>
    <w:rsid w:val="0014112D"/>
    <w:rsid w:val="0014131F"/>
    <w:rsid w:val="00142CF7"/>
    <w:rsid w:val="00146691"/>
    <w:rsid w:val="00152D2D"/>
    <w:rsid w:val="001610A1"/>
    <w:rsid w:val="00162ED7"/>
    <w:rsid w:val="00163D70"/>
    <w:rsid w:val="00165181"/>
    <w:rsid w:val="001824B8"/>
    <w:rsid w:val="00184AFE"/>
    <w:rsid w:val="00184D36"/>
    <w:rsid w:val="00185A27"/>
    <w:rsid w:val="00191291"/>
    <w:rsid w:val="00195D89"/>
    <w:rsid w:val="001A1B4B"/>
    <w:rsid w:val="001A1E86"/>
    <w:rsid w:val="001A72E2"/>
    <w:rsid w:val="001A7B63"/>
    <w:rsid w:val="001A7CEC"/>
    <w:rsid w:val="001B27D1"/>
    <w:rsid w:val="001B446B"/>
    <w:rsid w:val="001C3699"/>
    <w:rsid w:val="001C4FCA"/>
    <w:rsid w:val="001C7888"/>
    <w:rsid w:val="001D0116"/>
    <w:rsid w:val="001D09C5"/>
    <w:rsid w:val="001D14A4"/>
    <w:rsid w:val="001D7B27"/>
    <w:rsid w:val="001E050D"/>
    <w:rsid w:val="001E43BC"/>
    <w:rsid w:val="001E51FF"/>
    <w:rsid w:val="00204F64"/>
    <w:rsid w:val="00210031"/>
    <w:rsid w:val="00213A42"/>
    <w:rsid w:val="00221E86"/>
    <w:rsid w:val="00223F07"/>
    <w:rsid w:val="002248E4"/>
    <w:rsid w:val="00227621"/>
    <w:rsid w:val="00235EAF"/>
    <w:rsid w:val="0023648A"/>
    <w:rsid w:val="00243C99"/>
    <w:rsid w:val="00244054"/>
    <w:rsid w:val="00244A8C"/>
    <w:rsid w:val="00247B5D"/>
    <w:rsid w:val="00253F58"/>
    <w:rsid w:val="002549D6"/>
    <w:rsid w:val="00255413"/>
    <w:rsid w:val="00260915"/>
    <w:rsid w:val="0026246E"/>
    <w:rsid w:val="002624D1"/>
    <w:rsid w:val="00262D83"/>
    <w:rsid w:val="00264F59"/>
    <w:rsid w:val="002703E2"/>
    <w:rsid w:val="00273657"/>
    <w:rsid w:val="002752B1"/>
    <w:rsid w:val="00285B5C"/>
    <w:rsid w:val="002A0592"/>
    <w:rsid w:val="002A2D99"/>
    <w:rsid w:val="002B0A6D"/>
    <w:rsid w:val="002B7B6C"/>
    <w:rsid w:val="002C234B"/>
    <w:rsid w:val="002C3F66"/>
    <w:rsid w:val="002C5B2C"/>
    <w:rsid w:val="002C5B41"/>
    <w:rsid w:val="002D45B5"/>
    <w:rsid w:val="002D59F8"/>
    <w:rsid w:val="002E3282"/>
    <w:rsid w:val="002E3511"/>
    <w:rsid w:val="002E77CE"/>
    <w:rsid w:val="002F0A9D"/>
    <w:rsid w:val="002F5F4A"/>
    <w:rsid w:val="002F692D"/>
    <w:rsid w:val="00301526"/>
    <w:rsid w:val="00303EB2"/>
    <w:rsid w:val="00304B46"/>
    <w:rsid w:val="00304E5E"/>
    <w:rsid w:val="00310960"/>
    <w:rsid w:val="00321CD9"/>
    <w:rsid w:val="003254CD"/>
    <w:rsid w:val="0032576C"/>
    <w:rsid w:val="00325A68"/>
    <w:rsid w:val="00331662"/>
    <w:rsid w:val="00334C6F"/>
    <w:rsid w:val="003370B7"/>
    <w:rsid w:val="0033798F"/>
    <w:rsid w:val="00341700"/>
    <w:rsid w:val="003423ED"/>
    <w:rsid w:val="00342D84"/>
    <w:rsid w:val="003441D0"/>
    <w:rsid w:val="00345B36"/>
    <w:rsid w:val="00345C73"/>
    <w:rsid w:val="00347DD9"/>
    <w:rsid w:val="003501BA"/>
    <w:rsid w:val="00352508"/>
    <w:rsid w:val="00355E1E"/>
    <w:rsid w:val="003579AA"/>
    <w:rsid w:val="00357C5B"/>
    <w:rsid w:val="00357D65"/>
    <w:rsid w:val="0036588B"/>
    <w:rsid w:val="00367782"/>
    <w:rsid w:val="00367C3D"/>
    <w:rsid w:val="003705E8"/>
    <w:rsid w:val="003707E0"/>
    <w:rsid w:val="00374FFB"/>
    <w:rsid w:val="003828A1"/>
    <w:rsid w:val="003853AC"/>
    <w:rsid w:val="00387DAC"/>
    <w:rsid w:val="00391A9A"/>
    <w:rsid w:val="0039416B"/>
    <w:rsid w:val="00396F8F"/>
    <w:rsid w:val="003A248F"/>
    <w:rsid w:val="003A2F54"/>
    <w:rsid w:val="003B117C"/>
    <w:rsid w:val="003B64B9"/>
    <w:rsid w:val="003B69BE"/>
    <w:rsid w:val="003B6C3E"/>
    <w:rsid w:val="003C10FE"/>
    <w:rsid w:val="003C176F"/>
    <w:rsid w:val="003C557B"/>
    <w:rsid w:val="003C7B27"/>
    <w:rsid w:val="003D09B7"/>
    <w:rsid w:val="003D0DB3"/>
    <w:rsid w:val="003D122B"/>
    <w:rsid w:val="003D163D"/>
    <w:rsid w:val="003E2B94"/>
    <w:rsid w:val="003F1CF3"/>
    <w:rsid w:val="003F6B1A"/>
    <w:rsid w:val="003F6F00"/>
    <w:rsid w:val="003F72E6"/>
    <w:rsid w:val="00400155"/>
    <w:rsid w:val="004001D9"/>
    <w:rsid w:val="004034FE"/>
    <w:rsid w:val="004108CC"/>
    <w:rsid w:val="00411A91"/>
    <w:rsid w:val="00414536"/>
    <w:rsid w:val="0041742F"/>
    <w:rsid w:val="004174C2"/>
    <w:rsid w:val="00432254"/>
    <w:rsid w:val="00440106"/>
    <w:rsid w:val="00450313"/>
    <w:rsid w:val="00450589"/>
    <w:rsid w:val="004556A4"/>
    <w:rsid w:val="00456C3E"/>
    <w:rsid w:val="0046570A"/>
    <w:rsid w:val="00472409"/>
    <w:rsid w:val="00472648"/>
    <w:rsid w:val="004816A6"/>
    <w:rsid w:val="004824D4"/>
    <w:rsid w:val="00483011"/>
    <w:rsid w:val="004A00EE"/>
    <w:rsid w:val="004A5538"/>
    <w:rsid w:val="004B2284"/>
    <w:rsid w:val="004B3834"/>
    <w:rsid w:val="004C0B00"/>
    <w:rsid w:val="004C0C17"/>
    <w:rsid w:val="004C32B6"/>
    <w:rsid w:val="004D22C4"/>
    <w:rsid w:val="004D3526"/>
    <w:rsid w:val="004E0A82"/>
    <w:rsid w:val="004E5EA5"/>
    <w:rsid w:val="004F1275"/>
    <w:rsid w:val="004F2F21"/>
    <w:rsid w:val="004F32AF"/>
    <w:rsid w:val="00505875"/>
    <w:rsid w:val="00510F06"/>
    <w:rsid w:val="00514113"/>
    <w:rsid w:val="00520D67"/>
    <w:rsid w:val="00520E7C"/>
    <w:rsid w:val="0052588A"/>
    <w:rsid w:val="00532B07"/>
    <w:rsid w:val="00532C65"/>
    <w:rsid w:val="00540291"/>
    <w:rsid w:val="0054088C"/>
    <w:rsid w:val="00540A80"/>
    <w:rsid w:val="00547533"/>
    <w:rsid w:val="00555886"/>
    <w:rsid w:val="00555A35"/>
    <w:rsid w:val="005560CF"/>
    <w:rsid w:val="00556B76"/>
    <w:rsid w:val="0056664A"/>
    <w:rsid w:val="0057102F"/>
    <w:rsid w:val="00571AEB"/>
    <w:rsid w:val="00572895"/>
    <w:rsid w:val="005730BB"/>
    <w:rsid w:val="00576C26"/>
    <w:rsid w:val="00576FC7"/>
    <w:rsid w:val="00580F22"/>
    <w:rsid w:val="00591879"/>
    <w:rsid w:val="00594BF7"/>
    <w:rsid w:val="005A0F4B"/>
    <w:rsid w:val="005B4677"/>
    <w:rsid w:val="005B4FF8"/>
    <w:rsid w:val="005B7CE3"/>
    <w:rsid w:val="005C1AFE"/>
    <w:rsid w:val="005C32E4"/>
    <w:rsid w:val="005C5D3B"/>
    <w:rsid w:val="005D3225"/>
    <w:rsid w:val="005D4489"/>
    <w:rsid w:val="005D5B2E"/>
    <w:rsid w:val="005E02EC"/>
    <w:rsid w:val="005E0CC1"/>
    <w:rsid w:val="005F1D0D"/>
    <w:rsid w:val="005F6656"/>
    <w:rsid w:val="005F78ED"/>
    <w:rsid w:val="0060206A"/>
    <w:rsid w:val="006031BB"/>
    <w:rsid w:val="00610258"/>
    <w:rsid w:val="006132F5"/>
    <w:rsid w:val="00613946"/>
    <w:rsid w:val="00620D53"/>
    <w:rsid w:val="0062360F"/>
    <w:rsid w:val="006311A7"/>
    <w:rsid w:val="0063320E"/>
    <w:rsid w:val="00633FA4"/>
    <w:rsid w:val="006349A2"/>
    <w:rsid w:val="00637986"/>
    <w:rsid w:val="00643989"/>
    <w:rsid w:val="00644053"/>
    <w:rsid w:val="00654D9B"/>
    <w:rsid w:val="00655219"/>
    <w:rsid w:val="006553E3"/>
    <w:rsid w:val="0066389C"/>
    <w:rsid w:val="00666515"/>
    <w:rsid w:val="00671C4C"/>
    <w:rsid w:val="00675DCA"/>
    <w:rsid w:val="006801C2"/>
    <w:rsid w:val="00690144"/>
    <w:rsid w:val="00694209"/>
    <w:rsid w:val="0069712D"/>
    <w:rsid w:val="006A00F6"/>
    <w:rsid w:val="006A2EEC"/>
    <w:rsid w:val="006A3444"/>
    <w:rsid w:val="006A6086"/>
    <w:rsid w:val="006A6A14"/>
    <w:rsid w:val="006A7B9E"/>
    <w:rsid w:val="006B2EDC"/>
    <w:rsid w:val="006B2F25"/>
    <w:rsid w:val="006C4463"/>
    <w:rsid w:val="006C6382"/>
    <w:rsid w:val="006C6CF0"/>
    <w:rsid w:val="006E54F8"/>
    <w:rsid w:val="006E5871"/>
    <w:rsid w:val="006E76F5"/>
    <w:rsid w:val="006F167A"/>
    <w:rsid w:val="006F28CB"/>
    <w:rsid w:val="006F2B11"/>
    <w:rsid w:val="006F6317"/>
    <w:rsid w:val="007008F6"/>
    <w:rsid w:val="00702292"/>
    <w:rsid w:val="00706ECB"/>
    <w:rsid w:val="00712B13"/>
    <w:rsid w:val="00717135"/>
    <w:rsid w:val="00723C63"/>
    <w:rsid w:val="007258D4"/>
    <w:rsid w:val="00726A85"/>
    <w:rsid w:val="00740099"/>
    <w:rsid w:val="00740CD8"/>
    <w:rsid w:val="0074264D"/>
    <w:rsid w:val="0074283B"/>
    <w:rsid w:val="007436A7"/>
    <w:rsid w:val="00743862"/>
    <w:rsid w:val="007631C8"/>
    <w:rsid w:val="00763A0F"/>
    <w:rsid w:val="00764FC3"/>
    <w:rsid w:val="00765925"/>
    <w:rsid w:val="00766864"/>
    <w:rsid w:val="0077090D"/>
    <w:rsid w:val="00782351"/>
    <w:rsid w:val="007850D1"/>
    <w:rsid w:val="00787A28"/>
    <w:rsid w:val="00790C32"/>
    <w:rsid w:val="00790D8F"/>
    <w:rsid w:val="0079236E"/>
    <w:rsid w:val="007964EC"/>
    <w:rsid w:val="00796B7C"/>
    <w:rsid w:val="007A0A92"/>
    <w:rsid w:val="007A1C70"/>
    <w:rsid w:val="007A535F"/>
    <w:rsid w:val="007A6B1F"/>
    <w:rsid w:val="007A6F8C"/>
    <w:rsid w:val="007A7715"/>
    <w:rsid w:val="007B42EC"/>
    <w:rsid w:val="007B5F71"/>
    <w:rsid w:val="007C147B"/>
    <w:rsid w:val="007C1A3B"/>
    <w:rsid w:val="007D2EA4"/>
    <w:rsid w:val="007D4A1B"/>
    <w:rsid w:val="007D7CF6"/>
    <w:rsid w:val="007F1A21"/>
    <w:rsid w:val="007F53F8"/>
    <w:rsid w:val="00800BD2"/>
    <w:rsid w:val="00803D2B"/>
    <w:rsid w:val="00804E6C"/>
    <w:rsid w:val="00811E82"/>
    <w:rsid w:val="00815E45"/>
    <w:rsid w:val="00833C52"/>
    <w:rsid w:val="00834B10"/>
    <w:rsid w:val="00836CBF"/>
    <w:rsid w:val="008401FF"/>
    <w:rsid w:val="00842DAC"/>
    <w:rsid w:val="00855398"/>
    <w:rsid w:val="008611E6"/>
    <w:rsid w:val="0087197B"/>
    <w:rsid w:val="008727A7"/>
    <w:rsid w:val="00883C09"/>
    <w:rsid w:val="00883DA8"/>
    <w:rsid w:val="008849C3"/>
    <w:rsid w:val="0088566F"/>
    <w:rsid w:val="0088728F"/>
    <w:rsid w:val="008873A8"/>
    <w:rsid w:val="00896F8A"/>
    <w:rsid w:val="008A1636"/>
    <w:rsid w:val="008A1F81"/>
    <w:rsid w:val="008A2535"/>
    <w:rsid w:val="008A4B15"/>
    <w:rsid w:val="008A4B31"/>
    <w:rsid w:val="008B5213"/>
    <w:rsid w:val="008C671D"/>
    <w:rsid w:val="008C680E"/>
    <w:rsid w:val="008D13C9"/>
    <w:rsid w:val="008D1C5A"/>
    <w:rsid w:val="008D2008"/>
    <w:rsid w:val="008D63C8"/>
    <w:rsid w:val="008E2E0E"/>
    <w:rsid w:val="008E692B"/>
    <w:rsid w:val="008F118E"/>
    <w:rsid w:val="008F12BC"/>
    <w:rsid w:val="008F320F"/>
    <w:rsid w:val="008F68CC"/>
    <w:rsid w:val="00900C82"/>
    <w:rsid w:val="0090399D"/>
    <w:rsid w:val="00904540"/>
    <w:rsid w:val="00905512"/>
    <w:rsid w:val="009115DA"/>
    <w:rsid w:val="009179EB"/>
    <w:rsid w:val="00924882"/>
    <w:rsid w:val="00925BDE"/>
    <w:rsid w:val="00934D8F"/>
    <w:rsid w:val="009352AC"/>
    <w:rsid w:val="00937AB1"/>
    <w:rsid w:val="00941E1A"/>
    <w:rsid w:val="00943A7F"/>
    <w:rsid w:val="00951C6C"/>
    <w:rsid w:val="00962C2A"/>
    <w:rsid w:val="009772F1"/>
    <w:rsid w:val="00981FC9"/>
    <w:rsid w:val="009823FC"/>
    <w:rsid w:val="009877E7"/>
    <w:rsid w:val="00993687"/>
    <w:rsid w:val="0099368B"/>
    <w:rsid w:val="009A2732"/>
    <w:rsid w:val="009A5719"/>
    <w:rsid w:val="009B613A"/>
    <w:rsid w:val="009C1334"/>
    <w:rsid w:val="009D09F3"/>
    <w:rsid w:val="009E5F4D"/>
    <w:rsid w:val="009E62C1"/>
    <w:rsid w:val="009E7929"/>
    <w:rsid w:val="009F3AE7"/>
    <w:rsid w:val="009F76AB"/>
    <w:rsid w:val="00A00089"/>
    <w:rsid w:val="00A01194"/>
    <w:rsid w:val="00A03AF6"/>
    <w:rsid w:val="00A03C41"/>
    <w:rsid w:val="00A06827"/>
    <w:rsid w:val="00A11F97"/>
    <w:rsid w:val="00A131E0"/>
    <w:rsid w:val="00A20F92"/>
    <w:rsid w:val="00A2183A"/>
    <w:rsid w:val="00A22AFC"/>
    <w:rsid w:val="00A24682"/>
    <w:rsid w:val="00A25955"/>
    <w:rsid w:val="00A33E1A"/>
    <w:rsid w:val="00A400CC"/>
    <w:rsid w:val="00A50DAF"/>
    <w:rsid w:val="00A607A3"/>
    <w:rsid w:val="00A61A9C"/>
    <w:rsid w:val="00A635BF"/>
    <w:rsid w:val="00A63803"/>
    <w:rsid w:val="00A64ED6"/>
    <w:rsid w:val="00A70EDB"/>
    <w:rsid w:val="00A712B5"/>
    <w:rsid w:val="00A72A96"/>
    <w:rsid w:val="00A75BC5"/>
    <w:rsid w:val="00A777A0"/>
    <w:rsid w:val="00A86506"/>
    <w:rsid w:val="00A93B01"/>
    <w:rsid w:val="00AA0B14"/>
    <w:rsid w:val="00AA2E69"/>
    <w:rsid w:val="00AA57D9"/>
    <w:rsid w:val="00AA7C5E"/>
    <w:rsid w:val="00AB4310"/>
    <w:rsid w:val="00AC690C"/>
    <w:rsid w:val="00AD2109"/>
    <w:rsid w:val="00AD4462"/>
    <w:rsid w:val="00AD4FC8"/>
    <w:rsid w:val="00AD6689"/>
    <w:rsid w:val="00AE35D8"/>
    <w:rsid w:val="00B05960"/>
    <w:rsid w:val="00B10084"/>
    <w:rsid w:val="00B1160D"/>
    <w:rsid w:val="00B13E3E"/>
    <w:rsid w:val="00B159FA"/>
    <w:rsid w:val="00B23830"/>
    <w:rsid w:val="00B249D3"/>
    <w:rsid w:val="00B272D5"/>
    <w:rsid w:val="00B30FB9"/>
    <w:rsid w:val="00B3144C"/>
    <w:rsid w:val="00B433DD"/>
    <w:rsid w:val="00B45D21"/>
    <w:rsid w:val="00B53D87"/>
    <w:rsid w:val="00B554A3"/>
    <w:rsid w:val="00B647D2"/>
    <w:rsid w:val="00B64E51"/>
    <w:rsid w:val="00B6773C"/>
    <w:rsid w:val="00B75778"/>
    <w:rsid w:val="00B7605C"/>
    <w:rsid w:val="00B760B0"/>
    <w:rsid w:val="00B77B4B"/>
    <w:rsid w:val="00B82F4B"/>
    <w:rsid w:val="00B83F4C"/>
    <w:rsid w:val="00B86092"/>
    <w:rsid w:val="00B87B6D"/>
    <w:rsid w:val="00B92445"/>
    <w:rsid w:val="00BB1F9A"/>
    <w:rsid w:val="00BB4238"/>
    <w:rsid w:val="00BB6231"/>
    <w:rsid w:val="00BB6B96"/>
    <w:rsid w:val="00BB7CE3"/>
    <w:rsid w:val="00BC2E0F"/>
    <w:rsid w:val="00BC3B3D"/>
    <w:rsid w:val="00BC4CEE"/>
    <w:rsid w:val="00BD1691"/>
    <w:rsid w:val="00BD3C01"/>
    <w:rsid w:val="00BD3DA7"/>
    <w:rsid w:val="00BD7CAE"/>
    <w:rsid w:val="00BE1A80"/>
    <w:rsid w:val="00BE2F80"/>
    <w:rsid w:val="00BE78F9"/>
    <w:rsid w:val="00BF1797"/>
    <w:rsid w:val="00BF2F25"/>
    <w:rsid w:val="00BF5C79"/>
    <w:rsid w:val="00C015EE"/>
    <w:rsid w:val="00C01A93"/>
    <w:rsid w:val="00C02260"/>
    <w:rsid w:val="00C05F58"/>
    <w:rsid w:val="00C06418"/>
    <w:rsid w:val="00C0697E"/>
    <w:rsid w:val="00C117C3"/>
    <w:rsid w:val="00C22A86"/>
    <w:rsid w:val="00C2315E"/>
    <w:rsid w:val="00C23234"/>
    <w:rsid w:val="00C26E11"/>
    <w:rsid w:val="00C31570"/>
    <w:rsid w:val="00C32D2C"/>
    <w:rsid w:val="00C33968"/>
    <w:rsid w:val="00C364F9"/>
    <w:rsid w:val="00C4431F"/>
    <w:rsid w:val="00C44585"/>
    <w:rsid w:val="00C45D4A"/>
    <w:rsid w:val="00C46610"/>
    <w:rsid w:val="00C46A1F"/>
    <w:rsid w:val="00C477CC"/>
    <w:rsid w:val="00C533B5"/>
    <w:rsid w:val="00C53921"/>
    <w:rsid w:val="00C5590F"/>
    <w:rsid w:val="00C5671F"/>
    <w:rsid w:val="00C60F7C"/>
    <w:rsid w:val="00C650B2"/>
    <w:rsid w:val="00C650C1"/>
    <w:rsid w:val="00C67EEB"/>
    <w:rsid w:val="00C744FD"/>
    <w:rsid w:val="00C7595D"/>
    <w:rsid w:val="00C759B9"/>
    <w:rsid w:val="00C80B69"/>
    <w:rsid w:val="00C84627"/>
    <w:rsid w:val="00C9464A"/>
    <w:rsid w:val="00CA4330"/>
    <w:rsid w:val="00CA48FF"/>
    <w:rsid w:val="00CA4A60"/>
    <w:rsid w:val="00CB0C54"/>
    <w:rsid w:val="00CB34C4"/>
    <w:rsid w:val="00CB500B"/>
    <w:rsid w:val="00CB6F4E"/>
    <w:rsid w:val="00CB712B"/>
    <w:rsid w:val="00CC13B4"/>
    <w:rsid w:val="00CC442A"/>
    <w:rsid w:val="00CD4518"/>
    <w:rsid w:val="00CE0AFB"/>
    <w:rsid w:val="00CE7673"/>
    <w:rsid w:val="00CF3BE1"/>
    <w:rsid w:val="00CF4564"/>
    <w:rsid w:val="00CF54F6"/>
    <w:rsid w:val="00D02A18"/>
    <w:rsid w:val="00D0754B"/>
    <w:rsid w:val="00D13ED3"/>
    <w:rsid w:val="00D14EC5"/>
    <w:rsid w:val="00D20229"/>
    <w:rsid w:val="00D225B6"/>
    <w:rsid w:val="00D24758"/>
    <w:rsid w:val="00D4019B"/>
    <w:rsid w:val="00D409F4"/>
    <w:rsid w:val="00D509A0"/>
    <w:rsid w:val="00D51A68"/>
    <w:rsid w:val="00D55400"/>
    <w:rsid w:val="00D66042"/>
    <w:rsid w:val="00D66FCB"/>
    <w:rsid w:val="00D7067B"/>
    <w:rsid w:val="00D81535"/>
    <w:rsid w:val="00D8349E"/>
    <w:rsid w:val="00D8525F"/>
    <w:rsid w:val="00D868A0"/>
    <w:rsid w:val="00DA04DE"/>
    <w:rsid w:val="00DA0613"/>
    <w:rsid w:val="00DA0D3E"/>
    <w:rsid w:val="00DA1480"/>
    <w:rsid w:val="00DA3B9D"/>
    <w:rsid w:val="00DA57B0"/>
    <w:rsid w:val="00DA69DC"/>
    <w:rsid w:val="00DA7D5D"/>
    <w:rsid w:val="00DB1367"/>
    <w:rsid w:val="00DC1DF2"/>
    <w:rsid w:val="00DC26DE"/>
    <w:rsid w:val="00DC3999"/>
    <w:rsid w:val="00DC5B38"/>
    <w:rsid w:val="00DC77B2"/>
    <w:rsid w:val="00DD6E62"/>
    <w:rsid w:val="00DE0FFE"/>
    <w:rsid w:val="00DE176F"/>
    <w:rsid w:val="00DE1C32"/>
    <w:rsid w:val="00DE204D"/>
    <w:rsid w:val="00DE2D1D"/>
    <w:rsid w:val="00DE36A5"/>
    <w:rsid w:val="00DE3BF9"/>
    <w:rsid w:val="00DE45C1"/>
    <w:rsid w:val="00DE6AFE"/>
    <w:rsid w:val="00DE7157"/>
    <w:rsid w:val="00DF2F9E"/>
    <w:rsid w:val="00DF4173"/>
    <w:rsid w:val="00DF477B"/>
    <w:rsid w:val="00DF70E5"/>
    <w:rsid w:val="00E041AF"/>
    <w:rsid w:val="00E06FB7"/>
    <w:rsid w:val="00E12834"/>
    <w:rsid w:val="00E161C4"/>
    <w:rsid w:val="00E207E7"/>
    <w:rsid w:val="00E31FC0"/>
    <w:rsid w:val="00E3525C"/>
    <w:rsid w:val="00E41E01"/>
    <w:rsid w:val="00E4465B"/>
    <w:rsid w:val="00E54098"/>
    <w:rsid w:val="00E57622"/>
    <w:rsid w:val="00E6032C"/>
    <w:rsid w:val="00E6111F"/>
    <w:rsid w:val="00E664AF"/>
    <w:rsid w:val="00E66A91"/>
    <w:rsid w:val="00E7342C"/>
    <w:rsid w:val="00E77DEC"/>
    <w:rsid w:val="00E84119"/>
    <w:rsid w:val="00E85D13"/>
    <w:rsid w:val="00E86B7B"/>
    <w:rsid w:val="00E90D3E"/>
    <w:rsid w:val="00E924B8"/>
    <w:rsid w:val="00E9512C"/>
    <w:rsid w:val="00E95F13"/>
    <w:rsid w:val="00E962BE"/>
    <w:rsid w:val="00EA0E4D"/>
    <w:rsid w:val="00EA3578"/>
    <w:rsid w:val="00EA6251"/>
    <w:rsid w:val="00EB2CD3"/>
    <w:rsid w:val="00EB384C"/>
    <w:rsid w:val="00EC030D"/>
    <w:rsid w:val="00EC4F1C"/>
    <w:rsid w:val="00ED24EF"/>
    <w:rsid w:val="00ED285A"/>
    <w:rsid w:val="00ED47A9"/>
    <w:rsid w:val="00ED756C"/>
    <w:rsid w:val="00EE07D2"/>
    <w:rsid w:val="00EE788C"/>
    <w:rsid w:val="00EF15E0"/>
    <w:rsid w:val="00EF1A0A"/>
    <w:rsid w:val="00EF5A86"/>
    <w:rsid w:val="00EF7563"/>
    <w:rsid w:val="00F01CE1"/>
    <w:rsid w:val="00F03F79"/>
    <w:rsid w:val="00F04A4B"/>
    <w:rsid w:val="00F117DC"/>
    <w:rsid w:val="00F308DB"/>
    <w:rsid w:val="00F354E6"/>
    <w:rsid w:val="00F40DE5"/>
    <w:rsid w:val="00F413AD"/>
    <w:rsid w:val="00F44BE2"/>
    <w:rsid w:val="00F45326"/>
    <w:rsid w:val="00F45903"/>
    <w:rsid w:val="00F45B4F"/>
    <w:rsid w:val="00F518AE"/>
    <w:rsid w:val="00F54FA1"/>
    <w:rsid w:val="00F55F1C"/>
    <w:rsid w:val="00F62DC8"/>
    <w:rsid w:val="00F76CD2"/>
    <w:rsid w:val="00F83CB6"/>
    <w:rsid w:val="00F90EB0"/>
    <w:rsid w:val="00F97B2D"/>
    <w:rsid w:val="00FA09A0"/>
    <w:rsid w:val="00FA27BD"/>
    <w:rsid w:val="00FB0493"/>
    <w:rsid w:val="00FB43A6"/>
    <w:rsid w:val="00FC3A6B"/>
    <w:rsid w:val="00FD30AD"/>
    <w:rsid w:val="00FD4302"/>
    <w:rsid w:val="00FE04BC"/>
    <w:rsid w:val="00FE0CA4"/>
    <w:rsid w:val="00FE1393"/>
    <w:rsid w:val="00FE1BB1"/>
    <w:rsid w:val="00FE2E29"/>
    <w:rsid w:val="00FF1A2B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57FFA"/>
  <w15:chartTrackingRefBased/>
  <w15:docId w15:val="{7A768144-1270-4084-A5FF-4623BBD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238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830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B238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7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CB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66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CB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 Justin Laing</dc:creator>
  <cp:keywords/>
  <dc:description/>
  <cp:lastModifiedBy>Fundisiwe Ntsebesha</cp:lastModifiedBy>
  <cp:revision>4</cp:revision>
  <dcterms:created xsi:type="dcterms:W3CDTF">2023-12-12T10:15:00Z</dcterms:created>
  <dcterms:modified xsi:type="dcterms:W3CDTF">2023-12-21T12:34:00Z</dcterms:modified>
</cp:coreProperties>
</file>