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50F3" w14:textId="77777777" w:rsidR="005B59AA" w:rsidRPr="0065230D" w:rsidRDefault="0065230D" w:rsidP="0065230D">
      <w:pPr>
        <w:jc w:val="center"/>
        <w:rPr>
          <w:rFonts w:ascii="Arial" w:hAnsi="Arial" w:cs="Arial"/>
        </w:rPr>
      </w:pPr>
      <w:bookmarkStart w:id="0" w:name="_GoBack"/>
      <w:bookmarkEnd w:id="0"/>
      <w:r>
        <w:rPr>
          <w:noProof/>
          <w:lang w:val="en-ZA" w:eastAsia="en-ZA"/>
        </w:rPr>
        <w:drawing>
          <wp:inline distT="0" distB="0" distL="0" distR="0" wp14:anchorId="371E83F7" wp14:editId="28B95C25">
            <wp:extent cx="1444625" cy="1274445"/>
            <wp:effectExtent l="0" t="0" r="317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CB84270" w14:textId="77777777" w:rsidR="0065230D" w:rsidRPr="0065230D" w:rsidRDefault="0065230D" w:rsidP="0065230D">
      <w:pPr>
        <w:jc w:val="center"/>
        <w:rPr>
          <w:rFonts w:ascii="Arial" w:hAnsi="Arial" w:cs="Arial"/>
          <w:b/>
        </w:rPr>
      </w:pPr>
      <w:r w:rsidRPr="0065230D">
        <w:rPr>
          <w:rFonts w:ascii="Arial" w:hAnsi="Arial" w:cs="Arial"/>
          <w:b/>
        </w:rPr>
        <w:t>IN THE HIGH COURT OF SOUTH AFRICA</w:t>
      </w:r>
    </w:p>
    <w:p w14:paraId="03D98A19" w14:textId="77777777" w:rsidR="0065230D" w:rsidRPr="0065230D" w:rsidRDefault="0065230D" w:rsidP="0065230D">
      <w:pPr>
        <w:jc w:val="center"/>
        <w:rPr>
          <w:rFonts w:ascii="Arial" w:hAnsi="Arial" w:cs="Arial"/>
          <w:b/>
        </w:rPr>
      </w:pPr>
      <w:r w:rsidRPr="0065230D">
        <w:rPr>
          <w:rFonts w:ascii="Arial" w:hAnsi="Arial" w:cs="Arial"/>
          <w:b/>
        </w:rPr>
        <w:t>[EASTERN CAPE DIVISION – MAKHANDA]</w:t>
      </w:r>
    </w:p>
    <w:p w14:paraId="4B939887" w14:textId="77777777" w:rsidR="00806464" w:rsidRDefault="00806464" w:rsidP="001C55E0">
      <w:pPr>
        <w:spacing w:after="0" w:line="360" w:lineRule="auto"/>
        <w:jc w:val="both"/>
        <w:rPr>
          <w:rFonts w:ascii="Arial" w:hAnsi="Arial" w:cs="Arial"/>
        </w:rPr>
      </w:pPr>
    </w:p>
    <w:p w14:paraId="784F5CC4" w14:textId="77777777" w:rsidR="0065230D" w:rsidRPr="0065230D" w:rsidRDefault="00E057F2" w:rsidP="001C55E0">
      <w:pPr>
        <w:spacing w:after="0" w:line="360" w:lineRule="auto"/>
        <w:jc w:val="right"/>
        <w:rPr>
          <w:rFonts w:ascii="Arial" w:hAnsi="Arial" w:cs="Arial"/>
          <w:b/>
        </w:rPr>
      </w:pPr>
      <w:r>
        <w:rPr>
          <w:rFonts w:ascii="Arial" w:hAnsi="Arial" w:cs="Arial"/>
          <w:b/>
        </w:rPr>
        <w:t xml:space="preserve">CASE NO: </w:t>
      </w:r>
      <w:r w:rsidR="0065230D" w:rsidRPr="0065230D">
        <w:rPr>
          <w:rFonts w:ascii="Arial" w:hAnsi="Arial" w:cs="Arial"/>
          <w:b/>
        </w:rPr>
        <w:t>CA 221/2021</w:t>
      </w:r>
    </w:p>
    <w:p w14:paraId="17A6B05C" w14:textId="77777777" w:rsidR="007A5E16" w:rsidRPr="00AC584B" w:rsidRDefault="007A5E16" w:rsidP="007A5E16">
      <w:pPr>
        <w:spacing w:after="0" w:line="360" w:lineRule="auto"/>
        <w:jc w:val="right"/>
        <w:rPr>
          <w:rFonts w:ascii="Arial" w:hAnsi="Arial" w:cs="Arial"/>
          <w:b/>
        </w:rPr>
      </w:pPr>
      <w:r w:rsidRPr="007A5E16">
        <w:rPr>
          <w:rFonts w:ascii="Arial" w:hAnsi="Arial" w:cs="Arial"/>
          <w:b/>
        </w:rPr>
        <w:t>D</w:t>
      </w:r>
      <w:r>
        <w:rPr>
          <w:rFonts w:ascii="Arial" w:hAnsi="Arial" w:cs="Arial"/>
          <w:b/>
        </w:rPr>
        <w:t xml:space="preserve">ate </w:t>
      </w:r>
      <w:r w:rsidRPr="00AC584B">
        <w:rPr>
          <w:rFonts w:ascii="Arial" w:hAnsi="Arial" w:cs="Arial"/>
          <w:b/>
        </w:rPr>
        <w:t>Heard: 29 A</w:t>
      </w:r>
      <w:r w:rsidR="00B1637C" w:rsidRPr="00AC584B">
        <w:rPr>
          <w:rFonts w:ascii="Arial" w:hAnsi="Arial" w:cs="Arial"/>
          <w:b/>
        </w:rPr>
        <w:t>ugust</w:t>
      </w:r>
      <w:r w:rsidRPr="00AC584B">
        <w:rPr>
          <w:rFonts w:ascii="Arial" w:hAnsi="Arial" w:cs="Arial"/>
          <w:b/>
        </w:rPr>
        <w:t xml:space="preserve"> 2022</w:t>
      </w:r>
    </w:p>
    <w:p w14:paraId="70C87549" w14:textId="71842848" w:rsidR="007A5E16" w:rsidRPr="007A5E16" w:rsidRDefault="007A5E16" w:rsidP="007A5E16">
      <w:pPr>
        <w:spacing w:after="0" w:line="360" w:lineRule="auto"/>
        <w:ind w:left="2160" w:firstLine="720"/>
        <w:jc w:val="right"/>
        <w:rPr>
          <w:rFonts w:ascii="Arial" w:hAnsi="Arial" w:cs="Arial"/>
          <w:b/>
        </w:rPr>
      </w:pPr>
      <w:r w:rsidRPr="00AC584B">
        <w:rPr>
          <w:rFonts w:ascii="Arial" w:hAnsi="Arial" w:cs="Arial"/>
          <w:b/>
        </w:rPr>
        <w:t xml:space="preserve">Date Delivered: </w:t>
      </w:r>
      <w:r w:rsidR="000A3006">
        <w:rPr>
          <w:rFonts w:ascii="Arial" w:hAnsi="Arial" w:cs="Arial"/>
          <w:b/>
        </w:rPr>
        <w:t>24</w:t>
      </w:r>
      <w:r w:rsidR="001A194E">
        <w:rPr>
          <w:rFonts w:ascii="Arial" w:hAnsi="Arial" w:cs="Arial"/>
          <w:b/>
        </w:rPr>
        <w:t xml:space="preserve"> January 2023</w:t>
      </w:r>
    </w:p>
    <w:p w14:paraId="554876BE" w14:textId="77777777" w:rsidR="007A5E16" w:rsidRDefault="007A5E16" w:rsidP="001C55E0">
      <w:pPr>
        <w:spacing w:after="0" w:line="360" w:lineRule="auto"/>
        <w:jc w:val="both"/>
        <w:rPr>
          <w:rFonts w:ascii="Arial" w:hAnsi="Arial" w:cs="Arial"/>
          <w:b/>
        </w:rPr>
      </w:pPr>
      <w:r>
        <w:rPr>
          <w:rFonts w:ascii="Arial" w:hAnsi="Arial" w:cs="Arial"/>
          <w:b/>
        </w:rPr>
        <w:t xml:space="preserve">In the matter between: </w:t>
      </w:r>
    </w:p>
    <w:p w14:paraId="58002F5D" w14:textId="77777777" w:rsidR="007A5E16" w:rsidRDefault="007A5E16" w:rsidP="001C55E0">
      <w:pPr>
        <w:spacing w:after="0" w:line="360" w:lineRule="auto"/>
        <w:jc w:val="both"/>
        <w:rPr>
          <w:rFonts w:ascii="Arial" w:hAnsi="Arial" w:cs="Arial"/>
          <w:b/>
        </w:rPr>
      </w:pPr>
    </w:p>
    <w:p w14:paraId="1A25E28C" w14:textId="77777777" w:rsidR="0065230D" w:rsidRPr="0054347A" w:rsidRDefault="0054347A" w:rsidP="001C55E0">
      <w:pPr>
        <w:spacing w:after="0" w:line="360" w:lineRule="auto"/>
        <w:jc w:val="both"/>
        <w:rPr>
          <w:rFonts w:ascii="Arial" w:hAnsi="Arial" w:cs="Arial"/>
          <w:b/>
        </w:rPr>
      </w:pPr>
      <w:r w:rsidRPr="0054347A">
        <w:rPr>
          <w:rFonts w:ascii="Arial" w:hAnsi="Arial" w:cs="Arial"/>
          <w:b/>
        </w:rPr>
        <w:t>BLUE CRANE ROUTE MUNICIPALITY</w:t>
      </w:r>
      <w:r w:rsidRPr="0054347A">
        <w:rPr>
          <w:rFonts w:ascii="Arial" w:hAnsi="Arial" w:cs="Arial"/>
          <w:b/>
        </w:rPr>
        <w:tab/>
      </w:r>
      <w:r w:rsidRPr="0054347A">
        <w:rPr>
          <w:rFonts w:ascii="Arial" w:hAnsi="Arial" w:cs="Arial"/>
          <w:b/>
        </w:rPr>
        <w:tab/>
      </w:r>
      <w:r w:rsidRPr="0054347A">
        <w:rPr>
          <w:rFonts w:ascii="Arial" w:hAnsi="Arial" w:cs="Arial"/>
          <w:b/>
        </w:rPr>
        <w:tab/>
      </w:r>
      <w:r w:rsidRPr="0054347A">
        <w:rPr>
          <w:rFonts w:ascii="Arial" w:hAnsi="Arial" w:cs="Arial"/>
          <w:b/>
        </w:rPr>
        <w:tab/>
      </w:r>
      <w:r w:rsidRPr="0054347A">
        <w:rPr>
          <w:rFonts w:ascii="Arial" w:hAnsi="Arial" w:cs="Arial"/>
          <w:b/>
        </w:rPr>
        <w:tab/>
      </w:r>
      <w:r w:rsidRPr="0054347A">
        <w:rPr>
          <w:rFonts w:ascii="Arial" w:hAnsi="Arial" w:cs="Arial"/>
          <w:b/>
        </w:rPr>
        <w:tab/>
        <w:t>App</w:t>
      </w:r>
      <w:r w:rsidR="008D3FCA">
        <w:rPr>
          <w:rFonts w:ascii="Arial" w:hAnsi="Arial" w:cs="Arial"/>
          <w:b/>
        </w:rPr>
        <w:t>ell</w:t>
      </w:r>
      <w:r w:rsidRPr="0054347A">
        <w:rPr>
          <w:rFonts w:ascii="Arial" w:hAnsi="Arial" w:cs="Arial"/>
          <w:b/>
        </w:rPr>
        <w:t>ant</w:t>
      </w:r>
    </w:p>
    <w:p w14:paraId="3A70CD95" w14:textId="77777777" w:rsidR="0065230D" w:rsidRPr="0054347A" w:rsidRDefault="0065230D" w:rsidP="001C55E0">
      <w:pPr>
        <w:spacing w:after="0" w:line="360" w:lineRule="auto"/>
        <w:jc w:val="both"/>
        <w:rPr>
          <w:rFonts w:ascii="Arial" w:hAnsi="Arial" w:cs="Arial"/>
          <w:b/>
        </w:rPr>
      </w:pPr>
    </w:p>
    <w:p w14:paraId="148B93DD" w14:textId="77777777" w:rsidR="0065230D" w:rsidRPr="0054347A" w:rsidRDefault="0054347A" w:rsidP="001C55E0">
      <w:pPr>
        <w:spacing w:after="0" w:line="360" w:lineRule="auto"/>
        <w:jc w:val="both"/>
        <w:rPr>
          <w:rFonts w:ascii="Arial" w:hAnsi="Arial" w:cs="Arial"/>
          <w:b/>
        </w:rPr>
      </w:pPr>
      <w:r w:rsidRPr="0054347A">
        <w:rPr>
          <w:rFonts w:ascii="Arial" w:hAnsi="Arial" w:cs="Arial"/>
          <w:b/>
        </w:rPr>
        <w:t>and</w:t>
      </w:r>
    </w:p>
    <w:p w14:paraId="49B44ABE" w14:textId="77777777" w:rsidR="0065230D" w:rsidRPr="0054347A" w:rsidRDefault="0065230D" w:rsidP="001C55E0">
      <w:pPr>
        <w:spacing w:after="0" w:line="360" w:lineRule="auto"/>
        <w:jc w:val="both"/>
        <w:rPr>
          <w:rFonts w:ascii="Arial" w:hAnsi="Arial" w:cs="Arial"/>
          <w:b/>
        </w:rPr>
      </w:pPr>
    </w:p>
    <w:p w14:paraId="24A4437A" w14:textId="77777777" w:rsidR="0065230D" w:rsidRPr="0054347A" w:rsidRDefault="0054347A" w:rsidP="001C55E0">
      <w:pPr>
        <w:spacing w:after="0" w:line="360" w:lineRule="auto"/>
        <w:jc w:val="both"/>
        <w:rPr>
          <w:rFonts w:ascii="Arial" w:hAnsi="Arial" w:cs="Arial"/>
          <w:b/>
        </w:rPr>
      </w:pPr>
      <w:r w:rsidRPr="0054347A">
        <w:rPr>
          <w:rFonts w:ascii="Arial" w:hAnsi="Arial" w:cs="Arial"/>
          <w:b/>
        </w:rPr>
        <w:t>THE MUNICIPAL WORKERS RETIREMENT FUND</w:t>
      </w:r>
      <w:r w:rsidRPr="0054347A">
        <w:rPr>
          <w:rFonts w:ascii="Arial" w:hAnsi="Arial" w:cs="Arial"/>
          <w:b/>
        </w:rPr>
        <w:tab/>
      </w:r>
      <w:r w:rsidRPr="0054347A">
        <w:rPr>
          <w:rFonts w:ascii="Arial" w:hAnsi="Arial" w:cs="Arial"/>
          <w:b/>
        </w:rPr>
        <w:tab/>
      </w:r>
      <w:r w:rsidRPr="0054347A">
        <w:rPr>
          <w:rFonts w:ascii="Arial" w:hAnsi="Arial" w:cs="Arial"/>
          <w:b/>
        </w:rPr>
        <w:tab/>
      </w:r>
      <w:r w:rsidRPr="0054347A">
        <w:rPr>
          <w:rFonts w:ascii="Arial" w:hAnsi="Arial" w:cs="Arial"/>
          <w:b/>
        </w:rPr>
        <w:tab/>
        <w:t>Respondent</w:t>
      </w:r>
    </w:p>
    <w:p w14:paraId="4CBD5ABD" w14:textId="77777777" w:rsidR="0065230D" w:rsidRPr="0065230D" w:rsidRDefault="0065230D" w:rsidP="001C55E0">
      <w:pPr>
        <w:spacing w:after="0" w:line="360" w:lineRule="auto"/>
        <w:jc w:val="both"/>
        <w:rPr>
          <w:rFonts w:ascii="Arial" w:hAnsi="Arial" w:cs="Arial"/>
        </w:rPr>
      </w:pPr>
    </w:p>
    <w:p w14:paraId="174EE013" w14:textId="77777777" w:rsidR="0065230D" w:rsidRDefault="0054347A" w:rsidP="001C55E0">
      <w:pPr>
        <w:spacing w:after="0" w:line="360" w:lineRule="auto"/>
        <w:jc w:val="both"/>
        <w:rPr>
          <w:rFonts w:ascii="Arial" w:hAnsi="Arial" w:cs="Arial"/>
        </w:rPr>
      </w:pPr>
      <w:r>
        <w:rPr>
          <w:rFonts w:ascii="Arial" w:hAnsi="Arial" w:cs="Arial"/>
        </w:rPr>
        <w:t>____________________________________________________________________________</w:t>
      </w:r>
    </w:p>
    <w:p w14:paraId="47F70375" w14:textId="77777777" w:rsidR="0054347A" w:rsidRDefault="0054347A" w:rsidP="001C55E0">
      <w:pPr>
        <w:spacing w:after="0" w:line="360" w:lineRule="auto"/>
        <w:jc w:val="both"/>
        <w:rPr>
          <w:rFonts w:ascii="Arial" w:hAnsi="Arial" w:cs="Arial"/>
        </w:rPr>
      </w:pPr>
    </w:p>
    <w:p w14:paraId="6A4C6F13" w14:textId="77777777" w:rsidR="0054347A" w:rsidRDefault="0054347A" w:rsidP="001C55E0">
      <w:pPr>
        <w:spacing w:after="0" w:line="360" w:lineRule="auto"/>
        <w:jc w:val="center"/>
        <w:rPr>
          <w:rFonts w:ascii="Arial" w:hAnsi="Arial" w:cs="Arial"/>
          <w:b/>
        </w:rPr>
      </w:pPr>
      <w:r w:rsidRPr="0054347A">
        <w:rPr>
          <w:rFonts w:ascii="Arial" w:hAnsi="Arial" w:cs="Arial"/>
          <w:b/>
        </w:rPr>
        <w:t>JUDGMENT</w:t>
      </w:r>
    </w:p>
    <w:p w14:paraId="114E285D" w14:textId="77777777" w:rsidR="0054347A" w:rsidRPr="0054347A" w:rsidRDefault="0054347A" w:rsidP="001C55E0">
      <w:pPr>
        <w:spacing w:after="0" w:line="360" w:lineRule="auto"/>
        <w:jc w:val="center"/>
        <w:rPr>
          <w:rFonts w:ascii="Arial" w:hAnsi="Arial" w:cs="Arial"/>
          <w:b/>
        </w:rPr>
      </w:pPr>
    </w:p>
    <w:p w14:paraId="7E6F1FF1" w14:textId="77777777" w:rsidR="0054347A" w:rsidRDefault="0054347A" w:rsidP="001C55E0">
      <w:pPr>
        <w:spacing w:after="0" w:line="360" w:lineRule="auto"/>
        <w:jc w:val="both"/>
        <w:rPr>
          <w:rFonts w:ascii="Arial" w:hAnsi="Arial" w:cs="Arial"/>
        </w:rPr>
      </w:pPr>
      <w:r>
        <w:rPr>
          <w:rFonts w:ascii="Arial" w:hAnsi="Arial" w:cs="Arial"/>
        </w:rPr>
        <w:t>____________________________________________________________________________</w:t>
      </w:r>
    </w:p>
    <w:p w14:paraId="08296E8B" w14:textId="77777777" w:rsidR="0054347A" w:rsidRDefault="0054347A" w:rsidP="001C55E0">
      <w:pPr>
        <w:spacing w:after="0" w:line="360" w:lineRule="auto"/>
        <w:jc w:val="both"/>
        <w:rPr>
          <w:rFonts w:ascii="Arial" w:hAnsi="Arial" w:cs="Arial"/>
        </w:rPr>
      </w:pPr>
    </w:p>
    <w:p w14:paraId="38828611" w14:textId="77777777" w:rsidR="0054347A" w:rsidRPr="0054347A" w:rsidRDefault="0054347A" w:rsidP="0054347A">
      <w:pPr>
        <w:spacing w:after="0" w:line="360" w:lineRule="auto"/>
        <w:jc w:val="both"/>
        <w:rPr>
          <w:rFonts w:ascii="Arial" w:hAnsi="Arial" w:cs="Arial"/>
          <w:b/>
        </w:rPr>
      </w:pPr>
      <w:r w:rsidRPr="0054347A">
        <w:rPr>
          <w:rFonts w:ascii="Arial" w:hAnsi="Arial" w:cs="Arial"/>
          <w:b/>
        </w:rPr>
        <w:t>NTLAMA-MAKHANYA AJ</w:t>
      </w:r>
    </w:p>
    <w:p w14:paraId="025DFD2A" w14:textId="77777777" w:rsidR="0054347A" w:rsidRPr="000367F1" w:rsidRDefault="0054347A" w:rsidP="000367F1">
      <w:pPr>
        <w:spacing w:after="0" w:line="360" w:lineRule="auto"/>
        <w:jc w:val="both"/>
        <w:rPr>
          <w:rFonts w:ascii="Arial" w:hAnsi="Arial" w:cs="Arial"/>
        </w:rPr>
      </w:pPr>
    </w:p>
    <w:p w14:paraId="6AC5F691" w14:textId="77777777" w:rsidR="00727BBC" w:rsidRPr="000367F1" w:rsidRDefault="001F4132" w:rsidP="000367F1">
      <w:pPr>
        <w:spacing w:after="0" w:line="360" w:lineRule="auto"/>
        <w:ind w:left="720" w:hanging="720"/>
        <w:jc w:val="both"/>
        <w:rPr>
          <w:rFonts w:ascii="Arial" w:hAnsi="Arial" w:cs="Arial"/>
        </w:rPr>
      </w:pPr>
      <w:r w:rsidRPr="000367F1">
        <w:rPr>
          <w:rFonts w:ascii="Arial" w:hAnsi="Arial" w:cs="Arial"/>
        </w:rPr>
        <w:t>[</w:t>
      </w:r>
      <w:r w:rsidR="0054347A" w:rsidRPr="000367F1">
        <w:rPr>
          <w:rFonts w:ascii="Arial" w:hAnsi="Arial" w:cs="Arial"/>
        </w:rPr>
        <w:t>1</w:t>
      </w:r>
      <w:r w:rsidRPr="000367F1">
        <w:rPr>
          <w:rFonts w:ascii="Arial" w:hAnsi="Arial" w:cs="Arial"/>
        </w:rPr>
        <w:t>]</w:t>
      </w:r>
      <w:r w:rsidR="0054347A" w:rsidRPr="000367F1">
        <w:rPr>
          <w:rFonts w:ascii="Arial" w:hAnsi="Arial" w:cs="Arial"/>
        </w:rPr>
        <w:tab/>
      </w:r>
      <w:r w:rsidR="00B1356C" w:rsidRPr="000367F1">
        <w:rPr>
          <w:rFonts w:ascii="Arial" w:hAnsi="Arial" w:cs="Arial"/>
        </w:rPr>
        <w:t xml:space="preserve">The </w:t>
      </w:r>
      <w:r w:rsidR="00C6508A">
        <w:rPr>
          <w:rFonts w:ascii="Arial" w:hAnsi="Arial" w:cs="Arial"/>
        </w:rPr>
        <w:t>a</w:t>
      </w:r>
      <w:r w:rsidR="00B1356C" w:rsidRPr="000367F1">
        <w:rPr>
          <w:rFonts w:ascii="Arial" w:hAnsi="Arial" w:cs="Arial"/>
        </w:rPr>
        <w:t>pp</w:t>
      </w:r>
      <w:r w:rsidR="00565FC7" w:rsidRPr="000367F1">
        <w:rPr>
          <w:rFonts w:ascii="Arial" w:hAnsi="Arial" w:cs="Arial"/>
        </w:rPr>
        <w:t>ellant</w:t>
      </w:r>
      <w:r w:rsidR="000F6017">
        <w:rPr>
          <w:rFonts w:ascii="Arial" w:hAnsi="Arial" w:cs="Arial"/>
        </w:rPr>
        <w:t>,</w:t>
      </w:r>
      <w:r w:rsidR="00B1356C" w:rsidRPr="000367F1">
        <w:rPr>
          <w:rFonts w:ascii="Arial" w:hAnsi="Arial" w:cs="Arial"/>
        </w:rPr>
        <w:t xml:space="preserve"> </w:t>
      </w:r>
      <w:r w:rsidR="003C261C">
        <w:rPr>
          <w:rFonts w:ascii="Arial" w:hAnsi="Arial" w:cs="Arial"/>
        </w:rPr>
        <w:t xml:space="preserve">the </w:t>
      </w:r>
      <w:r w:rsidR="00B1356C" w:rsidRPr="000367F1">
        <w:rPr>
          <w:rFonts w:ascii="Arial" w:hAnsi="Arial" w:cs="Arial"/>
        </w:rPr>
        <w:t>Blue Crane Municipality</w:t>
      </w:r>
      <w:r w:rsidR="009608F1" w:rsidRPr="000367F1">
        <w:rPr>
          <w:rFonts w:ascii="Arial" w:hAnsi="Arial" w:cs="Arial"/>
        </w:rPr>
        <w:t xml:space="preserve"> (</w:t>
      </w:r>
      <w:r w:rsidR="000F6017">
        <w:rPr>
          <w:rFonts w:ascii="Arial" w:hAnsi="Arial" w:cs="Arial"/>
        </w:rPr>
        <w:t xml:space="preserve">the </w:t>
      </w:r>
      <w:r w:rsidR="009608F1" w:rsidRPr="000367F1">
        <w:rPr>
          <w:rFonts w:ascii="Arial" w:hAnsi="Arial" w:cs="Arial"/>
        </w:rPr>
        <w:t>Municipality)</w:t>
      </w:r>
      <w:r w:rsidR="003C261C">
        <w:rPr>
          <w:rFonts w:ascii="Arial" w:hAnsi="Arial" w:cs="Arial"/>
        </w:rPr>
        <w:t>,</w:t>
      </w:r>
      <w:r w:rsidR="00B1356C" w:rsidRPr="000367F1">
        <w:rPr>
          <w:rFonts w:ascii="Arial" w:hAnsi="Arial" w:cs="Arial"/>
        </w:rPr>
        <w:t xml:space="preserve"> appeals </w:t>
      </w:r>
      <w:r w:rsidR="000F6017">
        <w:rPr>
          <w:rFonts w:ascii="Arial" w:hAnsi="Arial" w:cs="Arial"/>
        </w:rPr>
        <w:t>against the</w:t>
      </w:r>
      <w:r w:rsidR="00B1356C" w:rsidRPr="000367F1">
        <w:rPr>
          <w:rFonts w:ascii="Arial" w:hAnsi="Arial" w:cs="Arial"/>
        </w:rPr>
        <w:t xml:space="preserve"> whole </w:t>
      </w:r>
      <w:r w:rsidR="00E37FCD">
        <w:rPr>
          <w:rFonts w:ascii="Arial" w:hAnsi="Arial" w:cs="Arial"/>
        </w:rPr>
        <w:t xml:space="preserve">of the </w:t>
      </w:r>
      <w:r w:rsidR="00B1356C" w:rsidRPr="000367F1">
        <w:rPr>
          <w:rFonts w:ascii="Arial" w:hAnsi="Arial" w:cs="Arial"/>
        </w:rPr>
        <w:t xml:space="preserve">judgment granted in favour of the </w:t>
      </w:r>
      <w:r w:rsidR="00BE17CB">
        <w:rPr>
          <w:rFonts w:ascii="Arial" w:hAnsi="Arial" w:cs="Arial"/>
        </w:rPr>
        <w:t>r</w:t>
      </w:r>
      <w:r w:rsidR="00B1356C" w:rsidRPr="000367F1">
        <w:rPr>
          <w:rFonts w:ascii="Arial" w:hAnsi="Arial" w:cs="Arial"/>
        </w:rPr>
        <w:t>espondent</w:t>
      </w:r>
      <w:r w:rsidR="000F6017">
        <w:rPr>
          <w:rFonts w:ascii="Arial" w:hAnsi="Arial" w:cs="Arial"/>
        </w:rPr>
        <w:t xml:space="preserve">, </w:t>
      </w:r>
      <w:r w:rsidR="003C261C">
        <w:rPr>
          <w:rFonts w:ascii="Arial" w:hAnsi="Arial" w:cs="Arial"/>
        </w:rPr>
        <w:t xml:space="preserve">the </w:t>
      </w:r>
      <w:r w:rsidR="00B1356C" w:rsidRPr="000367F1">
        <w:rPr>
          <w:rFonts w:ascii="Arial" w:hAnsi="Arial" w:cs="Arial"/>
        </w:rPr>
        <w:t>Municipal Worker’s Retirement Fund</w:t>
      </w:r>
      <w:r w:rsidR="000F6017">
        <w:rPr>
          <w:rFonts w:ascii="Arial" w:hAnsi="Arial" w:cs="Arial"/>
        </w:rPr>
        <w:t>,</w:t>
      </w:r>
      <w:r w:rsidR="00B1356C" w:rsidRPr="000367F1">
        <w:rPr>
          <w:rFonts w:ascii="Arial" w:hAnsi="Arial" w:cs="Arial"/>
        </w:rPr>
        <w:t xml:space="preserve"> (</w:t>
      </w:r>
      <w:r w:rsidR="000F6017">
        <w:rPr>
          <w:rFonts w:ascii="Arial" w:hAnsi="Arial" w:cs="Arial"/>
        </w:rPr>
        <w:t xml:space="preserve">the </w:t>
      </w:r>
      <w:r w:rsidR="00B1356C" w:rsidRPr="000367F1">
        <w:rPr>
          <w:rFonts w:ascii="Arial" w:hAnsi="Arial" w:cs="Arial"/>
        </w:rPr>
        <w:t>Fund) on 08 October 20</w:t>
      </w:r>
      <w:r w:rsidR="007347DE">
        <w:rPr>
          <w:rFonts w:ascii="Arial" w:hAnsi="Arial" w:cs="Arial"/>
        </w:rPr>
        <w:t>20</w:t>
      </w:r>
      <w:r w:rsidR="00F64215">
        <w:rPr>
          <w:rFonts w:ascii="Arial" w:hAnsi="Arial" w:cs="Arial"/>
        </w:rPr>
        <w:t>, dismissing its a</w:t>
      </w:r>
      <w:r w:rsidR="003C261C">
        <w:rPr>
          <w:rFonts w:ascii="Arial" w:hAnsi="Arial" w:cs="Arial"/>
        </w:rPr>
        <w:t>pplication</w:t>
      </w:r>
      <w:r w:rsidR="00F64215">
        <w:rPr>
          <w:rFonts w:ascii="Arial" w:hAnsi="Arial" w:cs="Arial"/>
        </w:rPr>
        <w:t xml:space="preserve"> for rescission of the default judgment granted on 26 November 2019</w:t>
      </w:r>
      <w:r w:rsidR="00DE4EA1" w:rsidRPr="000367F1">
        <w:rPr>
          <w:rFonts w:ascii="Arial" w:hAnsi="Arial" w:cs="Arial"/>
        </w:rPr>
        <w:t>.</w:t>
      </w:r>
      <w:r w:rsidR="003649C2" w:rsidRPr="000367F1">
        <w:rPr>
          <w:rFonts w:ascii="Arial" w:hAnsi="Arial" w:cs="Arial"/>
        </w:rPr>
        <w:t xml:space="preserve"> </w:t>
      </w:r>
    </w:p>
    <w:p w14:paraId="47910F5D" w14:textId="77777777" w:rsidR="00727BBC" w:rsidRPr="000367F1" w:rsidRDefault="00727BBC" w:rsidP="000367F1">
      <w:pPr>
        <w:spacing w:after="0" w:line="360" w:lineRule="auto"/>
        <w:ind w:left="720" w:hanging="720"/>
        <w:jc w:val="both"/>
        <w:rPr>
          <w:rFonts w:ascii="Arial" w:hAnsi="Arial" w:cs="Arial"/>
        </w:rPr>
      </w:pPr>
    </w:p>
    <w:p w14:paraId="230748EA" w14:textId="77777777" w:rsidR="00B34326" w:rsidRPr="000367F1" w:rsidRDefault="001F4132" w:rsidP="000367F1">
      <w:pPr>
        <w:spacing w:after="0" w:line="360" w:lineRule="auto"/>
        <w:ind w:left="720" w:hanging="720"/>
        <w:jc w:val="both"/>
        <w:rPr>
          <w:rFonts w:ascii="Arial" w:hAnsi="Arial" w:cs="Arial"/>
        </w:rPr>
      </w:pPr>
      <w:r w:rsidRPr="000367F1">
        <w:rPr>
          <w:rFonts w:ascii="Arial" w:hAnsi="Arial" w:cs="Arial"/>
        </w:rPr>
        <w:lastRenderedPageBreak/>
        <w:t>[</w:t>
      </w:r>
      <w:r w:rsidR="00727BBC" w:rsidRPr="000367F1">
        <w:rPr>
          <w:rFonts w:ascii="Arial" w:hAnsi="Arial" w:cs="Arial"/>
        </w:rPr>
        <w:t>2</w:t>
      </w:r>
      <w:r w:rsidRPr="000367F1">
        <w:rPr>
          <w:rFonts w:ascii="Arial" w:hAnsi="Arial" w:cs="Arial"/>
        </w:rPr>
        <w:t>]</w:t>
      </w:r>
      <w:r w:rsidR="00727BBC" w:rsidRPr="000367F1">
        <w:rPr>
          <w:rFonts w:ascii="Arial" w:hAnsi="Arial" w:cs="Arial"/>
        </w:rPr>
        <w:tab/>
      </w:r>
      <w:r w:rsidR="008B08DC">
        <w:rPr>
          <w:rFonts w:ascii="Arial" w:hAnsi="Arial" w:cs="Arial"/>
        </w:rPr>
        <w:t>The M</w:t>
      </w:r>
      <w:r w:rsidR="00C101D7">
        <w:rPr>
          <w:rFonts w:ascii="Arial" w:hAnsi="Arial" w:cs="Arial"/>
        </w:rPr>
        <w:t>unicipality</w:t>
      </w:r>
      <w:r w:rsidR="0064541F" w:rsidRPr="000367F1">
        <w:rPr>
          <w:rFonts w:ascii="Arial" w:hAnsi="Arial" w:cs="Arial"/>
        </w:rPr>
        <w:t xml:space="preserve"> is a Category B Municipality</w:t>
      </w:r>
      <w:r w:rsidR="008D09E9" w:rsidRPr="000367F1">
        <w:rPr>
          <w:rStyle w:val="FootnoteReference"/>
          <w:rFonts w:ascii="Arial" w:hAnsi="Arial" w:cs="Arial"/>
        </w:rPr>
        <w:footnoteReference w:id="1"/>
      </w:r>
      <w:r w:rsidR="00C101D7">
        <w:rPr>
          <w:rFonts w:ascii="Arial" w:hAnsi="Arial" w:cs="Arial"/>
        </w:rPr>
        <w:t xml:space="preserve">, </w:t>
      </w:r>
      <w:r w:rsidR="00727BBC" w:rsidRPr="000367F1">
        <w:rPr>
          <w:rFonts w:ascii="Arial" w:hAnsi="Arial" w:cs="Arial"/>
        </w:rPr>
        <w:t xml:space="preserve">established in terms of </w:t>
      </w:r>
      <w:r w:rsidR="008D09E9" w:rsidRPr="000367F1">
        <w:rPr>
          <w:rFonts w:ascii="Arial" w:hAnsi="Arial" w:cs="Arial"/>
        </w:rPr>
        <w:t xml:space="preserve">section 12 of </w:t>
      </w:r>
      <w:r w:rsidR="00727BBC" w:rsidRPr="000367F1">
        <w:rPr>
          <w:rFonts w:ascii="Arial" w:hAnsi="Arial" w:cs="Arial"/>
        </w:rPr>
        <w:t xml:space="preserve">the Local Government </w:t>
      </w:r>
      <w:r w:rsidR="0010705F" w:rsidRPr="000367F1">
        <w:rPr>
          <w:rFonts w:ascii="Arial" w:hAnsi="Arial" w:cs="Arial"/>
        </w:rPr>
        <w:t xml:space="preserve">Municipal </w:t>
      </w:r>
      <w:r w:rsidR="00727BBC" w:rsidRPr="000367F1">
        <w:rPr>
          <w:rFonts w:ascii="Arial" w:hAnsi="Arial" w:cs="Arial"/>
        </w:rPr>
        <w:t>Structures Act</w:t>
      </w:r>
      <w:r w:rsidR="003736E1">
        <w:rPr>
          <w:rFonts w:ascii="Arial" w:hAnsi="Arial" w:cs="Arial"/>
        </w:rPr>
        <w:t>,</w:t>
      </w:r>
      <w:r w:rsidR="00727BBC" w:rsidRPr="000367F1">
        <w:rPr>
          <w:rFonts w:ascii="Arial" w:hAnsi="Arial" w:cs="Arial"/>
        </w:rPr>
        <w:t xml:space="preserve"> 117 of 1998</w:t>
      </w:r>
      <w:r w:rsidR="003736E1">
        <w:rPr>
          <w:rFonts w:ascii="Arial" w:hAnsi="Arial" w:cs="Arial"/>
        </w:rPr>
        <w:t>,</w:t>
      </w:r>
      <w:r w:rsidR="00727BBC" w:rsidRPr="000367F1">
        <w:rPr>
          <w:rFonts w:ascii="Arial" w:hAnsi="Arial" w:cs="Arial"/>
        </w:rPr>
        <w:t xml:space="preserve"> </w:t>
      </w:r>
      <w:r w:rsidR="0064541F" w:rsidRPr="000367F1">
        <w:rPr>
          <w:rFonts w:ascii="Arial" w:hAnsi="Arial" w:cs="Arial"/>
        </w:rPr>
        <w:t xml:space="preserve">situated in the Sarah Baartman District Municipality in the Eastern Cape Province. </w:t>
      </w:r>
      <w:r w:rsidR="008B08DC">
        <w:rPr>
          <w:rFonts w:ascii="Arial" w:hAnsi="Arial" w:cs="Arial"/>
        </w:rPr>
        <w:t>It</w:t>
      </w:r>
      <w:r w:rsidR="00727BBC" w:rsidRPr="000367F1">
        <w:rPr>
          <w:rFonts w:ascii="Arial" w:hAnsi="Arial" w:cs="Arial"/>
        </w:rPr>
        <w:t xml:space="preserve"> </w:t>
      </w:r>
      <w:r w:rsidR="00C101D7">
        <w:rPr>
          <w:rFonts w:ascii="Arial" w:hAnsi="Arial" w:cs="Arial"/>
        </w:rPr>
        <w:t>was</w:t>
      </w:r>
      <w:r w:rsidR="00727BBC" w:rsidRPr="000367F1">
        <w:rPr>
          <w:rFonts w:ascii="Arial" w:hAnsi="Arial" w:cs="Arial"/>
        </w:rPr>
        <w:t xml:space="preserve"> represented by </w:t>
      </w:r>
      <w:r w:rsidR="003C5D45">
        <w:rPr>
          <w:rFonts w:ascii="Arial" w:hAnsi="Arial" w:cs="Arial"/>
        </w:rPr>
        <w:t xml:space="preserve">Mr </w:t>
      </w:r>
      <w:r w:rsidR="00727BBC" w:rsidRPr="008229CF">
        <w:rPr>
          <w:rFonts w:ascii="Arial" w:hAnsi="Arial" w:cs="Arial"/>
          <w:i/>
        </w:rPr>
        <w:t>Buchanan</w:t>
      </w:r>
      <w:r w:rsidR="00727BBC" w:rsidRPr="000367F1">
        <w:rPr>
          <w:rFonts w:ascii="Arial" w:hAnsi="Arial" w:cs="Arial"/>
        </w:rPr>
        <w:t xml:space="preserve"> </w:t>
      </w:r>
      <w:r w:rsidR="003C5D45">
        <w:rPr>
          <w:rFonts w:ascii="Arial" w:hAnsi="Arial" w:cs="Arial"/>
        </w:rPr>
        <w:t xml:space="preserve">SC </w:t>
      </w:r>
      <w:r w:rsidR="00727BBC" w:rsidRPr="000367F1">
        <w:rPr>
          <w:rFonts w:ascii="Arial" w:hAnsi="Arial" w:cs="Arial"/>
        </w:rPr>
        <w:t>in</w:t>
      </w:r>
      <w:r w:rsidR="00481057">
        <w:rPr>
          <w:rFonts w:ascii="Arial" w:hAnsi="Arial" w:cs="Arial"/>
        </w:rPr>
        <w:t xml:space="preserve"> these proceedings</w:t>
      </w:r>
      <w:r w:rsidR="00727BBC" w:rsidRPr="000367F1">
        <w:rPr>
          <w:rFonts w:ascii="Arial" w:hAnsi="Arial" w:cs="Arial"/>
        </w:rPr>
        <w:t xml:space="preserve">. </w:t>
      </w:r>
      <w:r w:rsidR="009608F1" w:rsidRPr="000367F1">
        <w:rPr>
          <w:rFonts w:ascii="Arial" w:hAnsi="Arial" w:cs="Arial"/>
        </w:rPr>
        <w:t>The</w:t>
      </w:r>
      <w:r w:rsidR="00C6508A">
        <w:rPr>
          <w:rFonts w:ascii="Arial" w:hAnsi="Arial" w:cs="Arial"/>
        </w:rPr>
        <w:t xml:space="preserve"> Fund</w:t>
      </w:r>
      <w:r w:rsidR="009608F1" w:rsidRPr="000367F1">
        <w:rPr>
          <w:rFonts w:ascii="Arial" w:hAnsi="Arial" w:cs="Arial"/>
        </w:rPr>
        <w:t xml:space="preserve"> </w:t>
      </w:r>
      <w:r w:rsidR="005F1287" w:rsidRPr="000367F1">
        <w:rPr>
          <w:rFonts w:ascii="Arial" w:hAnsi="Arial" w:cs="Arial"/>
        </w:rPr>
        <w:t xml:space="preserve">is a pension fund, duly registered in terms of section 4 of the Pension Funds Act 24 of 1956 (the </w:t>
      </w:r>
      <w:r w:rsidR="008B08DC">
        <w:rPr>
          <w:rFonts w:ascii="Arial" w:hAnsi="Arial" w:cs="Arial"/>
        </w:rPr>
        <w:t xml:space="preserve">Pension Fund </w:t>
      </w:r>
      <w:r w:rsidR="005F1287" w:rsidRPr="000367F1">
        <w:rPr>
          <w:rFonts w:ascii="Arial" w:hAnsi="Arial" w:cs="Arial"/>
        </w:rPr>
        <w:t>Act)</w:t>
      </w:r>
      <w:r w:rsidR="009608F1" w:rsidRPr="000367F1">
        <w:rPr>
          <w:rFonts w:ascii="Arial" w:hAnsi="Arial" w:cs="Arial"/>
        </w:rPr>
        <w:t xml:space="preserve"> </w:t>
      </w:r>
      <w:r w:rsidR="00A85DFA" w:rsidRPr="000367F1">
        <w:rPr>
          <w:rFonts w:ascii="Arial" w:hAnsi="Arial" w:cs="Arial"/>
        </w:rPr>
        <w:t>with effect from 23 June 1994</w:t>
      </w:r>
      <w:r w:rsidR="008229CF">
        <w:rPr>
          <w:rFonts w:ascii="Arial" w:hAnsi="Arial" w:cs="Arial"/>
        </w:rPr>
        <w:t>.</w:t>
      </w:r>
      <w:r w:rsidR="00A85DFA" w:rsidRPr="000367F1">
        <w:rPr>
          <w:rStyle w:val="FootnoteReference"/>
          <w:rFonts w:ascii="Arial" w:hAnsi="Arial" w:cs="Arial"/>
        </w:rPr>
        <w:footnoteReference w:id="2"/>
      </w:r>
      <w:r w:rsidR="00A85DFA" w:rsidRPr="000367F1">
        <w:rPr>
          <w:rFonts w:ascii="Arial" w:hAnsi="Arial" w:cs="Arial"/>
        </w:rPr>
        <w:t xml:space="preserve"> </w:t>
      </w:r>
      <w:r w:rsidR="00640D04" w:rsidRPr="000367F1">
        <w:rPr>
          <w:rFonts w:ascii="Arial" w:hAnsi="Arial" w:cs="Arial"/>
        </w:rPr>
        <w:t>Its purpose is ‘</w:t>
      </w:r>
      <w:r w:rsidR="009608F1" w:rsidRPr="000367F1">
        <w:rPr>
          <w:rFonts w:ascii="Arial" w:hAnsi="Arial" w:cs="Arial"/>
        </w:rPr>
        <w:t xml:space="preserve">to provide </w:t>
      </w:r>
      <w:r w:rsidR="004E3DED" w:rsidRPr="000367F1">
        <w:rPr>
          <w:rFonts w:ascii="Arial" w:hAnsi="Arial" w:cs="Arial"/>
        </w:rPr>
        <w:t xml:space="preserve">its </w:t>
      </w:r>
      <w:r w:rsidR="009608F1" w:rsidRPr="000367F1">
        <w:rPr>
          <w:rFonts w:ascii="Arial" w:hAnsi="Arial" w:cs="Arial"/>
        </w:rPr>
        <w:t xml:space="preserve">members that are </w:t>
      </w:r>
      <w:r w:rsidR="0064541F" w:rsidRPr="000367F1">
        <w:rPr>
          <w:rFonts w:ascii="Arial" w:hAnsi="Arial" w:cs="Arial"/>
        </w:rPr>
        <w:t xml:space="preserve">employed by the Municipality and </w:t>
      </w:r>
      <w:r w:rsidR="009608F1" w:rsidRPr="000367F1">
        <w:rPr>
          <w:rFonts w:ascii="Arial" w:hAnsi="Arial" w:cs="Arial"/>
        </w:rPr>
        <w:t xml:space="preserve">mostly disadvantage with </w:t>
      </w:r>
      <w:r w:rsidR="00F175FE" w:rsidRPr="000367F1">
        <w:rPr>
          <w:rFonts w:ascii="Arial" w:hAnsi="Arial" w:cs="Arial"/>
        </w:rPr>
        <w:t>‘</w:t>
      </w:r>
      <w:r w:rsidR="009608F1" w:rsidRPr="000367F1">
        <w:rPr>
          <w:rFonts w:ascii="Arial" w:hAnsi="Arial" w:cs="Arial"/>
        </w:rPr>
        <w:t>reasonable and competitive retirement, resignation and risk benefits’.</w:t>
      </w:r>
      <w:r w:rsidR="00E771D2" w:rsidRPr="000367F1">
        <w:rPr>
          <w:rStyle w:val="FootnoteReference"/>
          <w:rFonts w:ascii="Arial" w:hAnsi="Arial" w:cs="Arial"/>
        </w:rPr>
        <w:footnoteReference w:id="3"/>
      </w:r>
      <w:r w:rsidR="009608F1" w:rsidRPr="000367F1">
        <w:rPr>
          <w:rFonts w:ascii="Arial" w:hAnsi="Arial" w:cs="Arial"/>
        </w:rPr>
        <w:t xml:space="preserve"> </w:t>
      </w:r>
      <w:r w:rsidR="00727BBC" w:rsidRPr="000367F1">
        <w:rPr>
          <w:rFonts w:ascii="Arial" w:hAnsi="Arial" w:cs="Arial"/>
        </w:rPr>
        <w:t xml:space="preserve">It </w:t>
      </w:r>
      <w:r w:rsidR="003C5D45">
        <w:rPr>
          <w:rFonts w:ascii="Arial" w:hAnsi="Arial" w:cs="Arial"/>
        </w:rPr>
        <w:t>was</w:t>
      </w:r>
      <w:r w:rsidR="00727BBC" w:rsidRPr="000367F1">
        <w:rPr>
          <w:rFonts w:ascii="Arial" w:hAnsi="Arial" w:cs="Arial"/>
        </w:rPr>
        <w:t xml:space="preserve"> represented by</w:t>
      </w:r>
      <w:r w:rsidR="003C5D45">
        <w:rPr>
          <w:rFonts w:ascii="Arial" w:hAnsi="Arial" w:cs="Arial"/>
        </w:rPr>
        <w:t xml:space="preserve"> Mr</w:t>
      </w:r>
      <w:r w:rsidR="00727BBC" w:rsidRPr="000367F1">
        <w:rPr>
          <w:rFonts w:ascii="Arial" w:hAnsi="Arial" w:cs="Arial"/>
        </w:rPr>
        <w:t xml:space="preserve"> </w:t>
      </w:r>
      <w:r w:rsidR="00727BBC" w:rsidRPr="008229CF">
        <w:rPr>
          <w:rFonts w:ascii="Arial" w:hAnsi="Arial" w:cs="Arial"/>
          <w:i/>
        </w:rPr>
        <w:t>Van der Berg</w:t>
      </w:r>
      <w:r w:rsidR="00B434F6">
        <w:rPr>
          <w:rFonts w:ascii="Arial" w:hAnsi="Arial" w:cs="Arial"/>
        </w:rPr>
        <w:t xml:space="preserve"> SC</w:t>
      </w:r>
      <w:r w:rsidR="00727BBC" w:rsidRPr="000367F1">
        <w:rPr>
          <w:rFonts w:ascii="Arial" w:hAnsi="Arial" w:cs="Arial"/>
        </w:rPr>
        <w:t>.</w:t>
      </w:r>
    </w:p>
    <w:p w14:paraId="69850296" w14:textId="77777777" w:rsidR="005F1287" w:rsidRPr="000367F1" w:rsidRDefault="005F1287" w:rsidP="000367F1">
      <w:pPr>
        <w:spacing w:after="0" w:line="360" w:lineRule="auto"/>
        <w:ind w:left="720" w:hanging="720"/>
        <w:jc w:val="both"/>
        <w:rPr>
          <w:rFonts w:ascii="Arial" w:hAnsi="Arial" w:cs="Arial"/>
        </w:rPr>
      </w:pPr>
    </w:p>
    <w:p w14:paraId="2EC11C92" w14:textId="77777777" w:rsidR="003B19A7" w:rsidRPr="000367F1" w:rsidRDefault="001F4132" w:rsidP="000367F1">
      <w:pPr>
        <w:spacing w:after="0" w:line="360" w:lineRule="auto"/>
        <w:ind w:left="720" w:hanging="720"/>
        <w:jc w:val="both"/>
        <w:rPr>
          <w:rFonts w:ascii="Arial" w:hAnsi="Arial" w:cs="Arial"/>
        </w:rPr>
      </w:pPr>
      <w:r w:rsidRPr="000367F1">
        <w:rPr>
          <w:rFonts w:ascii="Arial" w:hAnsi="Arial" w:cs="Arial"/>
        </w:rPr>
        <w:t>[</w:t>
      </w:r>
      <w:r w:rsidR="00D6498B" w:rsidRPr="000367F1">
        <w:rPr>
          <w:rFonts w:ascii="Arial" w:hAnsi="Arial" w:cs="Arial"/>
        </w:rPr>
        <w:t>3</w:t>
      </w:r>
      <w:r w:rsidRPr="000367F1">
        <w:rPr>
          <w:rFonts w:ascii="Arial" w:hAnsi="Arial" w:cs="Arial"/>
        </w:rPr>
        <w:t>]</w:t>
      </w:r>
      <w:r w:rsidR="003B19A7" w:rsidRPr="000367F1">
        <w:rPr>
          <w:rFonts w:ascii="Arial" w:hAnsi="Arial" w:cs="Arial"/>
        </w:rPr>
        <w:tab/>
        <w:t xml:space="preserve">The leave to appeal was granted by the </w:t>
      </w:r>
      <w:r w:rsidR="00DF5553" w:rsidRPr="000367F1">
        <w:rPr>
          <w:rFonts w:ascii="Arial" w:hAnsi="Arial" w:cs="Arial"/>
        </w:rPr>
        <w:t>c</w:t>
      </w:r>
      <w:r w:rsidR="003B19A7" w:rsidRPr="000367F1">
        <w:rPr>
          <w:rFonts w:ascii="Arial" w:hAnsi="Arial" w:cs="Arial"/>
        </w:rPr>
        <w:t>ourt</w:t>
      </w:r>
      <w:r w:rsidR="00DF5553" w:rsidRPr="000367F1">
        <w:rPr>
          <w:rFonts w:ascii="Arial" w:hAnsi="Arial" w:cs="Arial"/>
          <w:i/>
        </w:rPr>
        <w:t xml:space="preserve"> a quo</w:t>
      </w:r>
      <w:r w:rsidR="003B19A7" w:rsidRPr="000367F1">
        <w:rPr>
          <w:rFonts w:ascii="Arial" w:hAnsi="Arial" w:cs="Arial"/>
        </w:rPr>
        <w:t xml:space="preserve"> on 26 July 2021</w:t>
      </w:r>
      <w:r w:rsidR="00E86D4C">
        <w:rPr>
          <w:rFonts w:ascii="Arial" w:hAnsi="Arial" w:cs="Arial"/>
        </w:rPr>
        <w:t>,</w:t>
      </w:r>
      <w:r w:rsidR="003B19A7" w:rsidRPr="000367F1">
        <w:rPr>
          <w:rFonts w:ascii="Arial" w:hAnsi="Arial" w:cs="Arial"/>
        </w:rPr>
        <w:t xml:space="preserve"> having been persuaded that there </w:t>
      </w:r>
      <w:r w:rsidR="00E86D4C">
        <w:rPr>
          <w:rFonts w:ascii="Arial" w:hAnsi="Arial" w:cs="Arial"/>
        </w:rPr>
        <w:t>are</w:t>
      </w:r>
      <w:r w:rsidR="003B19A7" w:rsidRPr="000367F1">
        <w:rPr>
          <w:rFonts w:ascii="Arial" w:hAnsi="Arial" w:cs="Arial"/>
        </w:rPr>
        <w:t xml:space="preserve"> reasonable prospect</w:t>
      </w:r>
      <w:r w:rsidR="00E86D4C">
        <w:rPr>
          <w:rFonts w:ascii="Arial" w:hAnsi="Arial" w:cs="Arial"/>
        </w:rPr>
        <w:t>s</w:t>
      </w:r>
      <w:r w:rsidR="003B19A7" w:rsidRPr="000367F1">
        <w:rPr>
          <w:rFonts w:ascii="Arial" w:hAnsi="Arial" w:cs="Arial"/>
        </w:rPr>
        <w:t xml:space="preserve"> of success.</w:t>
      </w:r>
    </w:p>
    <w:p w14:paraId="4171CBFB" w14:textId="77777777" w:rsidR="00E771D2" w:rsidRPr="000367F1" w:rsidRDefault="00E771D2" w:rsidP="000367F1">
      <w:pPr>
        <w:spacing w:after="0" w:line="360" w:lineRule="auto"/>
        <w:ind w:left="720" w:hanging="720"/>
        <w:jc w:val="both"/>
        <w:rPr>
          <w:rFonts w:ascii="Arial" w:hAnsi="Arial" w:cs="Arial"/>
        </w:rPr>
      </w:pPr>
    </w:p>
    <w:p w14:paraId="45AB25D7" w14:textId="77777777" w:rsidR="00056686" w:rsidRPr="000367F1" w:rsidRDefault="00056686" w:rsidP="000367F1">
      <w:pPr>
        <w:spacing w:after="0" w:line="360" w:lineRule="auto"/>
        <w:ind w:left="720" w:hanging="720"/>
        <w:jc w:val="both"/>
        <w:rPr>
          <w:rFonts w:ascii="Arial" w:hAnsi="Arial" w:cs="Arial"/>
          <w:b/>
        </w:rPr>
      </w:pPr>
      <w:r w:rsidRPr="000367F1">
        <w:rPr>
          <w:rFonts w:ascii="Arial" w:hAnsi="Arial" w:cs="Arial"/>
          <w:b/>
        </w:rPr>
        <w:t>Background</w:t>
      </w:r>
    </w:p>
    <w:p w14:paraId="51D771C9" w14:textId="77777777" w:rsidR="004A389E" w:rsidRPr="000367F1" w:rsidRDefault="004A389E" w:rsidP="000367F1">
      <w:pPr>
        <w:spacing w:after="0" w:line="360" w:lineRule="auto"/>
        <w:ind w:left="720" w:hanging="720"/>
        <w:jc w:val="both"/>
        <w:rPr>
          <w:rFonts w:ascii="Arial" w:hAnsi="Arial" w:cs="Arial"/>
        </w:rPr>
      </w:pPr>
    </w:p>
    <w:p w14:paraId="51350D33" w14:textId="77777777" w:rsidR="005F1287" w:rsidRPr="000367F1" w:rsidRDefault="005F1287"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4</w:t>
      </w:r>
      <w:r w:rsidRPr="000367F1">
        <w:rPr>
          <w:rFonts w:ascii="Arial" w:hAnsi="Arial" w:cs="Arial"/>
        </w:rPr>
        <w:t>]</w:t>
      </w:r>
      <w:r w:rsidRPr="000367F1">
        <w:rPr>
          <w:rFonts w:ascii="Arial" w:hAnsi="Arial" w:cs="Arial"/>
        </w:rPr>
        <w:tab/>
        <w:t>The Fund instituted proceedings against the Municipality for an order compelling the latter to pay to it the sum of R3</w:t>
      </w:r>
      <w:r w:rsidR="005F392F" w:rsidRPr="000367F1">
        <w:rPr>
          <w:rFonts w:ascii="Arial" w:hAnsi="Arial" w:cs="Arial"/>
        </w:rPr>
        <w:t xml:space="preserve"> </w:t>
      </w:r>
      <w:r w:rsidRPr="000367F1">
        <w:rPr>
          <w:rFonts w:ascii="Arial" w:hAnsi="Arial" w:cs="Arial"/>
        </w:rPr>
        <w:t xml:space="preserve">805 608.68. According to the Fund, the liability arose as a consequence of the </w:t>
      </w:r>
      <w:r w:rsidR="001F4132" w:rsidRPr="000367F1">
        <w:rPr>
          <w:rFonts w:ascii="Arial" w:hAnsi="Arial" w:cs="Arial"/>
        </w:rPr>
        <w:t>M</w:t>
      </w:r>
      <w:r w:rsidRPr="000367F1">
        <w:rPr>
          <w:rFonts w:ascii="Arial" w:hAnsi="Arial" w:cs="Arial"/>
        </w:rPr>
        <w:t xml:space="preserve">unicipality failing to pay contributions in accordance with the Fund rules. It alleged that for the period </w:t>
      </w:r>
      <w:r w:rsidR="00CA47F3" w:rsidRPr="000367F1">
        <w:rPr>
          <w:rFonts w:ascii="Arial" w:hAnsi="Arial" w:cs="Arial"/>
        </w:rPr>
        <w:t xml:space="preserve">of </w:t>
      </w:r>
      <w:r w:rsidRPr="000367F1">
        <w:rPr>
          <w:rFonts w:ascii="Arial" w:hAnsi="Arial" w:cs="Arial"/>
        </w:rPr>
        <w:t xml:space="preserve">July 2007 to June 2013, the </w:t>
      </w:r>
      <w:r w:rsidR="001F4132" w:rsidRPr="000367F1">
        <w:rPr>
          <w:rFonts w:ascii="Arial" w:hAnsi="Arial" w:cs="Arial"/>
        </w:rPr>
        <w:t>M</w:t>
      </w:r>
      <w:r w:rsidRPr="000367F1">
        <w:rPr>
          <w:rFonts w:ascii="Arial" w:hAnsi="Arial" w:cs="Arial"/>
        </w:rPr>
        <w:t>unicipality was deducting and contributing at the rate of 5% in respect of members’ contributions, whereas the prevailing rate was 7.5%, and in respect of employers’ contributions at the rate of 12%, when it should have contributed 18%.</w:t>
      </w:r>
    </w:p>
    <w:p w14:paraId="7B484DEB" w14:textId="77777777" w:rsidR="005F1287" w:rsidRPr="000367F1" w:rsidRDefault="005F1287" w:rsidP="000367F1">
      <w:pPr>
        <w:spacing w:after="0" w:line="360" w:lineRule="auto"/>
        <w:ind w:left="720" w:hanging="720"/>
        <w:jc w:val="both"/>
        <w:rPr>
          <w:rFonts w:ascii="Arial" w:hAnsi="Arial" w:cs="Arial"/>
        </w:rPr>
      </w:pPr>
    </w:p>
    <w:p w14:paraId="1FE21BE5" w14:textId="77777777" w:rsidR="00975E10" w:rsidRPr="000367F1" w:rsidRDefault="00975E10"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5</w:t>
      </w:r>
      <w:r w:rsidRPr="000367F1">
        <w:rPr>
          <w:rFonts w:ascii="Arial" w:hAnsi="Arial" w:cs="Arial"/>
        </w:rPr>
        <w:t>]</w:t>
      </w:r>
      <w:r w:rsidR="00C8542A" w:rsidRPr="000367F1">
        <w:rPr>
          <w:rFonts w:ascii="Arial" w:hAnsi="Arial" w:cs="Arial"/>
        </w:rPr>
        <w:tab/>
      </w:r>
      <w:r w:rsidR="006B4FA8" w:rsidRPr="000367F1">
        <w:rPr>
          <w:rFonts w:ascii="Arial" w:hAnsi="Arial" w:cs="Arial"/>
        </w:rPr>
        <w:t xml:space="preserve">The Municipality elected not to oppose </w:t>
      </w:r>
      <w:r w:rsidR="006E3D5F">
        <w:rPr>
          <w:rFonts w:ascii="Arial" w:hAnsi="Arial" w:cs="Arial"/>
        </w:rPr>
        <w:t xml:space="preserve">the rescission </w:t>
      </w:r>
      <w:r w:rsidR="006B4FA8" w:rsidRPr="000367F1">
        <w:rPr>
          <w:rFonts w:ascii="Arial" w:hAnsi="Arial" w:cs="Arial"/>
        </w:rPr>
        <w:t xml:space="preserve">application </w:t>
      </w:r>
      <w:r w:rsidR="006E3D5F">
        <w:rPr>
          <w:rFonts w:ascii="Arial" w:hAnsi="Arial" w:cs="Arial"/>
        </w:rPr>
        <w:t>despite</w:t>
      </w:r>
      <w:r w:rsidR="005D7F2D" w:rsidRPr="000367F1">
        <w:rPr>
          <w:rFonts w:ascii="Arial" w:hAnsi="Arial" w:cs="Arial"/>
        </w:rPr>
        <w:t xml:space="preserve"> </w:t>
      </w:r>
      <w:r w:rsidR="006B4FA8" w:rsidRPr="000367F1">
        <w:rPr>
          <w:rFonts w:ascii="Arial" w:hAnsi="Arial" w:cs="Arial"/>
        </w:rPr>
        <w:t xml:space="preserve">being aware of the date of the hearing. </w:t>
      </w:r>
      <w:r w:rsidR="00AE37C4" w:rsidRPr="000367F1">
        <w:rPr>
          <w:rFonts w:ascii="Arial" w:hAnsi="Arial" w:cs="Arial"/>
        </w:rPr>
        <w:t xml:space="preserve">Consequently, the Fund obtained judgment in terms of its notice of motion </w:t>
      </w:r>
      <w:r w:rsidR="00AE37C4" w:rsidRPr="00590466">
        <w:rPr>
          <w:rFonts w:ascii="Arial" w:hAnsi="Arial" w:cs="Arial"/>
        </w:rPr>
        <w:t xml:space="preserve">on </w:t>
      </w:r>
      <w:r w:rsidR="002E2806" w:rsidRPr="00590466">
        <w:rPr>
          <w:rFonts w:ascii="Arial" w:hAnsi="Arial" w:cs="Arial"/>
        </w:rPr>
        <w:t xml:space="preserve">26 </w:t>
      </w:r>
      <w:r w:rsidR="00AE37C4" w:rsidRPr="00590466">
        <w:rPr>
          <w:rFonts w:ascii="Arial" w:hAnsi="Arial" w:cs="Arial"/>
        </w:rPr>
        <w:t>November 2019</w:t>
      </w:r>
      <w:r w:rsidR="00AE37C4" w:rsidRPr="000367F1">
        <w:rPr>
          <w:rFonts w:ascii="Arial" w:hAnsi="Arial" w:cs="Arial"/>
        </w:rPr>
        <w:t>.</w:t>
      </w:r>
    </w:p>
    <w:p w14:paraId="4054ECD8" w14:textId="77777777" w:rsidR="00AE37C4" w:rsidRPr="000367F1" w:rsidRDefault="00AE37C4" w:rsidP="000367F1">
      <w:pPr>
        <w:spacing w:after="0" w:line="360" w:lineRule="auto"/>
        <w:ind w:left="720" w:hanging="720"/>
        <w:jc w:val="both"/>
        <w:rPr>
          <w:rFonts w:ascii="Arial" w:hAnsi="Arial" w:cs="Arial"/>
        </w:rPr>
      </w:pPr>
    </w:p>
    <w:p w14:paraId="150EED58" w14:textId="77777777" w:rsidR="005F1287" w:rsidRPr="000367F1" w:rsidRDefault="005F1287"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6</w:t>
      </w:r>
      <w:r w:rsidRPr="000367F1">
        <w:rPr>
          <w:rFonts w:ascii="Arial" w:hAnsi="Arial" w:cs="Arial"/>
        </w:rPr>
        <w:t>]</w:t>
      </w:r>
      <w:r w:rsidRPr="000367F1">
        <w:rPr>
          <w:rFonts w:ascii="Arial" w:hAnsi="Arial" w:cs="Arial"/>
        </w:rPr>
        <w:tab/>
        <w:t xml:space="preserve">During March 2020, the </w:t>
      </w:r>
      <w:r w:rsidR="00E82D4D" w:rsidRPr="000367F1">
        <w:rPr>
          <w:rFonts w:ascii="Arial" w:hAnsi="Arial" w:cs="Arial"/>
        </w:rPr>
        <w:t>M</w:t>
      </w:r>
      <w:r w:rsidRPr="000367F1">
        <w:rPr>
          <w:rFonts w:ascii="Arial" w:hAnsi="Arial" w:cs="Arial"/>
        </w:rPr>
        <w:t xml:space="preserve">unicipality filed an application for rescission of the aforesaid order and ancillary relief. That application was heard by Rugunanan J </w:t>
      </w:r>
      <w:r w:rsidR="009E1B4C">
        <w:rPr>
          <w:rFonts w:ascii="Arial" w:hAnsi="Arial" w:cs="Arial"/>
        </w:rPr>
        <w:t xml:space="preserve">who </w:t>
      </w:r>
      <w:r w:rsidRPr="000367F1">
        <w:rPr>
          <w:rFonts w:ascii="Arial" w:hAnsi="Arial" w:cs="Arial"/>
        </w:rPr>
        <w:t xml:space="preserve">dismissed the application, with costs. </w:t>
      </w:r>
    </w:p>
    <w:p w14:paraId="78B3F865" w14:textId="77777777" w:rsidR="005F1287" w:rsidRDefault="005F1287" w:rsidP="000367F1">
      <w:pPr>
        <w:spacing w:after="0" w:line="360" w:lineRule="auto"/>
        <w:ind w:left="720" w:hanging="720"/>
        <w:jc w:val="both"/>
        <w:rPr>
          <w:rFonts w:ascii="Arial" w:hAnsi="Arial" w:cs="Arial"/>
        </w:rPr>
      </w:pPr>
    </w:p>
    <w:p w14:paraId="2B4D3A12" w14:textId="77777777" w:rsidR="00CD6FEC" w:rsidRPr="000367F1" w:rsidRDefault="00CD6FEC" w:rsidP="000367F1">
      <w:pPr>
        <w:spacing w:after="0" w:line="360" w:lineRule="auto"/>
        <w:ind w:left="720" w:hanging="720"/>
        <w:jc w:val="both"/>
        <w:rPr>
          <w:rFonts w:ascii="Arial" w:hAnsi="Arial" w:cs="Arial"/>
        </w:rPr>
      </w:pPr>
    </w:p>
    <w:p w14:paraId="4CB99649" w14:textId="77777777" w:rsidR="00E37FCD" w:rsidRPr="008229CF" w:rsidRDefault="00E37FCD" w:rsidP="000367F1">
      <w:pPr>
        <w:spacing w:after="0" w:line="360" w:lineRule="auto"/>
        <w:ind w:left="720" w:hanging="720"/>
        <w:jc w:val="both"/>
        <w:rPr>
          <w:rFonts w:ascii="Arial" w:hAnsi="Arial" w:cs="Arial"/>
          <w:b/>
        </w:rPr>
      </w:pPr>
      <w:r w:rsidRPr="008229CF">
        <w:rPr>
          <w:rFonts w:ascii="Arial" w:hAnsi="Arial" w:cs="Arial"/>
          <w:b/>
        </w:rPr>
        <w:lastRenderedPageBreak/>
        <w:t xml:space="preserve">The </w:t>
      </w:r>
      <w:r w:rsidRPr="00E37FCD">
        <w:rPr>
          <w:rFonts w:ascii="Arial" w:hAnsi="Arial" w:cs="Arial"/>
          <w:b/>
        </w:rPr>
        <w:t>Municipality’s</w:t>
      </w:r>
      <w:r w:rsidRPr="008229CF">
        <w:rPr>
          <w:rFonts w:ascii="Arial" w:hAnsi="Arial" w:cs="Arial"/>
          <w:b/>
        </w:rPr>
        <w:t xml:space="preserve"> contentions</w:t>
      </w:r>
    </w:p>
    <w:p w14:paraId="06C74EE2" w14:textId="77777777" w:rsidR="00E37FCD" w:rsidRDefault="00E37FCD" w:rsidP="008229CF">
      <w:pPr>
        <w:spacing w:after="0" w:line="360" w:lineRule="auto"/>
        <w:jc w:val="both"/>
        <w:rPr>
          <w:rFonts w:ascii="Arial" w:hAnsi="Arial" w:cs="Arial"/>
        </w:rPr>
      </w:pPr>
    </w:p>
    <w:p w14:paraId="2729D7D8" w14:textId="77777777" w:rsidR="00C136A6" w:rsidRPr="000367F1" w:rsidRDefault="00E37FCD" w:rsidP="000367F1">
      <w:pPr>
        <w:spacing w:after="0" w:line="360" w:lineRule="auto"/>
        <w:ind w:left="720" w:hanging="720"/>
        <w:jc w:val="both"/>
        <w:rPr>
          <w:rFonts w:ascii="Arial" w:hAnsi="Arial" w:cs="Arial"/>
        </w:rPr>
      </w:pPr>
      <w:r>
        <w:rPr>
          <w:rFonts w:ascii="Arial" w:hAnsi="Arial" w:cs="Arial"/>
        </w:rPr>
        <w:t>[</w:t>
      </w:r>
      <w:r w:rsidR="00CD6FEC">
        <w:rPr>
          <w:rFonts w:ascii="Arial" w:hAnsi="Arial" w:cs="Arial"/>
        </w:rPr>
        <w:t>7</w:t>
      </w:r>
      <w:r>
        <w:rPr>
          <w:rFonts w:ascii="Arial" w:hAnsi="Arial" w:cs="Arial"/>
        </w:rPr>
        <w:t>]</w:t>
      </w:r>
      <w:r w:rsidR="008229CF">
        <w:rPr>
          <w:rFonts w:ascii="Arial" w:hAnsi="Arial" w:cs="Arial"/>
        </w:rPr>
        <w:tab/>
      </w:r>
      <w:r w:rsidR="00496815">
        <w:rPr>
          <w:rFonts w:ascii="Arial" w:hAnsi="Arial" w:cs="Arial"/>
        </w:rPr>
        <w:t>T</w:t>
      </w:r>
      <w:r w:rsidR="00E00D2B" w:rsidRPr="000367F1">
        <w:rPr>
          <w:rFonts w:ascii="Arial" w:hAnsi="Arial" w:cs="Arial"/>
        </w:rPr>
        <w:t xml:space="preserve">he </w:t>
      </w:r>
      <w:r w:rsidR="00046E7D">
        <w:rPr>
          <w:rFonts w:ascii="Arial" w:hAnsi="Arial" w:cs="Arial"/>
        </w:rPr>
        <w:t>M</w:t>
      </w:r>
      <w:r w:rsidR="00496815">
        <w:rPr>
          <w:rFonts w:ascii="Arial" w:hAnsi="Arial" w:cs="Arial"/>
        </w:rPr>
        <w:t>unicipality,</w:t>
      </w:r>
      <w:r w:rsidR="00E00D2B" w:rsidRPr="000367F1">
        <w:rPr>
          <w:rFonts w:ascii="Arial" w:hAnsi="Arial" w:cs="Arial"/>
        </w:rPr>
        <w:t xml:space="preserve"> </w:t>
      </w:r>
      <w:r w:rsidR="00056686" w:rsidRPr="000367F1">
        <w:rPr>
          <w:rFonts w:ascii="Arial" w:hAnsi="Arial" w:cs="Arial"/>
        </w:rPr>
        <w:t xml:space="preserve">in </w:t>
      </w:r>
      <w:r w:rsidR="00496815">
        <w:rPr>
          <w:rFonts w:ascii="Arial" w:hAnsi="Arial" w:cs="Arial"/>
        </w:rPr>
        <w:t>its</w:t>
      </w:r>
      <w:r w:rsidR="00056686" w:rsidRPr="000367F1">
        <w:rPr>
          <w:rFonts w:ascii="Arial" w:hAnsi="Arial" w:cs="Arial"/>
        </w:rPr>
        <w:t xml:space="preserve"> </w:t>
      </w:r>
      <w:r w:rsidR="00382B20">
        <w:rPr>
          <w:rFonts w:ascii="Arial" w:hAnsi="Arial" w:cs="Arial"/>
        </w:rPr>
        <w:t>founding papers</w:t>
      </w:r>
      <w:r w:rsidR="00056686" w:rsidRPr="000367F1">
        <w:rPr>
          <w:rFonts w:ascii="Arial" w:hAnsi="Arial" w:cs="Arial"/>
        </w:rPr>
        <w:t xml:space="preserve">, </w:t>
      </w:r>
      <w:r w:rsidR="00C136A6" w:rsidRPr="000367F1">
        <w:rPr>
          <w:rFonts w:ascii="Arial" w:hAnsi="Arial" w:cs="Arial"/>
        </w:rPr>
        <w:t>asserted in terms of Uniform Rule 42(1)(</w:t>
      </w:r>
      <w:r w:rsidR="00C136A6" w:rsidRPr="000367F1">
        <w:rPr>
          <w:rFonts w:ascii="Arial" w:hAnsi="Arial" w:cs="Arial"/>
          <w:i/>
        </w:rPr>
        <w:t>c</w:t>
      </w:r>
      <w:r w:rsidR="00C136A6" w:rsidRPr="000367F1">
        <w:rPr>
          <w:rFonts w:ascii="Arial" w:hAnsi="Arial" w:cs="Arial"/>
        </w:rPr>
        <w:t>) that the judgment was obtained as a result of a mistake common to the parties. It also contended that good cause existed for the rescission of the order in terms of the common law.</w:t>
      </w:r>
      <w:r w:rsidR="00C849C9" w:rsidRPr="000367F1">
        <w:rPr>
          <w:rFonts w:ascii="Arial" w:hAnsi="Arial" w:cs="Arial"/>
        </w:rPr>
        <w:t xml:space="preserve"> </w:t>
      </w:r>
    </w:p>
    <w:p w14:paraId="0B4A4599" w14:textId="77777777" w:rsidR="00C136A6" w:rsidRPr="000367F1" w:rsidRDefault="00C136A6" w:rsidP="000367F1">
      <w:pPr>
        <w:spacing w:after="0" w:line="360" w:lineRule="auto"/>
        <w:jc w:val="both"/>
        <w:rPr>
          <w:rFonts w:ascii="Arial" w:hAnsi="Arial" w:cs="Arial"/>
        </w:rPr>
      </w:pPr>
    </w:p>
    <w:p w14:paraId="3B5CC70A"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8</w:t>
      </w:r>
      <w:r w:rsidRPr="000367F1">
        <w:rPr>
          <w:rFonts w:ascii="Arial" w:hAnsi="Arial" w:cs="Arial"/>
        </w:rPr>
        <w:t>]</w:t>
      </w:r>
      <w:r w:rsidRPr="000367F1">
        <w:rPr>
          <w:rFonts w:ascii="Arial" w:hAnsi="Arial" w:cs="Arial"/>
        </w:rPr>
        <w:tab/>
      </w:r>
      <w:r w:rsidR="001341EB">
        <w:rPr>
          <w:rFonts w:ascii="Arial" w:hAnsi="Arial" w:cs="Arial"/>
        </w:rPr>
        <w:t>Furthermore, t</w:t>
      </w:r>
      <w:r w:rsidRPr="000367F1">
        <w:rPr>
          <w:rFonts w:ascii="Arial" w:hAnsi="Arial" w:cs="Arial"/>
        </w:rPr>
        <w:t xml:space="preserve">he </w:t>
      </w:r>
      <w:r w:rsidR="00046E7D">
        <w:rPr>
          <w:rFonts w:ascii="Arial" w:hAnsi="Arial" w:cs="Arial"/>
        </w:rPr>
        <w:t>M</w:t>
      </w:r>
      <w:r w:rsidRPr="000367F1">
        <w:rPr>
          <w:rFonts w:ascii="Arial" w:hAnsi="Arial" w:cs="Arial"/>
        </w:rPr>
        <w:t>unicipality asserted that at the time the Fund’s application was served on it, it was under the bona fide - but mistaken belief - that it was indebted to the Fund in respect of contributions at the respective rates of 7.5% and 18 % from 2007, onwards. However, it has since ascertained that, upon a proper interpretation of the Fund rules, it only became obliged to give effect to an employee contribution of 7, 5% as from 1 November 2011 and to an increased employer’s contribution of 18%, as from 1 July 2013.</w:t>
      </w:r>
    </w:p>
    <w:p w14:paraId="714C96E8" w14:textId="77777777" w:rsidR="00C136A6" w:rsidRPr="000367F1" w:rsidRDefault="00C136A6" w:rsidP="000367F1">
      <w:pPr>
        <w:spacing w:after="0" w:line="360" w:lineRule="auto"/>
        <w:ind w:left="720" w:hanging="720"/>
        <w:jc w:val="both"/>
        <w:rPr>
          <w:rFonts w:ascii="Arial" w:hAnsi="Arial" w:cs="Arial"/>
        </w:rPr>
      </w:pPr>
    </w:p>
    <w:p w14:paraId="22463F0A"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9</w:t>
      </w:r>
      <w:r w:rsidRPr="000367F1">
        <w:rPr>
          <w:rFonts w:ascii="Arial" w:hAnsi="Arial" w:cs="Arial"/>
        </w:rPr>
        <w:t>]</w:t>
      </w:r>
      <w:r w:rsidRPr="000367F1">
        <w:rPr>
          <w:rFonts w:ascii="Arial" w:hAnsi="Arial" w:cs="Arial"/>
        </w:rPr>
        <w:tab/>
        <w:t xml:space="preserve">It </w:t>
      </w:r>
      <w:r w:rsidR="001341EB">
        <w:rPr>
          <w:rFonts w:ascii="Arial" w:hAnsi="Arial" w:cs="Arial"/>
        </w:rPr>
        <w:t xml:space="preserve">also </w:t>
      </w:r>
      <w:r w:rsidRPr="000367F1">
        <w:rPr>
          <w:rFonts w:ascii="Arial" w:hAnsi="Arial" w:cs="Arial"/>
        </w:rPr>
        <w:t>contended that while the Fund in its application, placed reliance on rule 11.1.2, which enjoins members to contribute at the rate of 7.5% and 18% respectively, it did not draw attention to paragraph 11.1.3</w:t>
      </w:r>
      <w:r w:rsidR="00C849C9" w:rsidRPr="000367F1">
        <w:rPr>
          <w:rFonts w:ascii="Arial" w:hAnsi="Arial" w:cs="Arial"/>
        </w:rPr>
        <w:t>(b)</w:t>
      </w:r>
      <w:r w:rsidRPr="000367F1">
        <w:rPr>
          <w:rFonts w:ascii="Arial" w:hAnsi="Arial" w:cs="Arial"/>
        </w:rPr>
        <w:t xml:space="preserve"> of the rules which provides, inter alia, that: ‘</w:t>
      </w:r>
      <w:r w:rsidRPr="000367F1">
        <w:rPr>
          <w:rFonts w:ascii="Arial" w:hAnsi="Arial" w:cs="Arial"/>
          <w:i/>
        </w:rPr>
        <w:t>any amendment which relates to the employer contribution shall be subject to the employer’s agreement with the union</w:t>
      </w:r>
      <w:r w:rsidRPr="000367F1">
        <w:rPr>
          <w:rFonts w:ascii="Arial" w:hAnsi="Arial" w:cs="Arial"/>
        </w:rPr>
        <w:t>’</w:t>
      </w:r>
      <w:r w:rsidR="00C849C9" w:rsidRPr="000367F1">
        <w:rPr>
          <w:rFonts w:ascii="Arial" w:hAnsi="Arial" w:cs="Arial"/>
        </w:rPr>
        <w:t>, (my emphasis)</w:t>
      </w:r>
      <w:r w:rsidRPr="000367F1">
        <w:rPr>
          <w:rFonts w:ascii="Arial" w:hAnsi="Arial" w:cs="Arial"/>
        </w:rPr>
        <w:t>.</w:t>
      </w:r>
    </w:p>
    <w:p w14:paraId="7BED26BD" w14:textId="77777777" w:rsidR="00C136A6" w:rsidRPr="000367F1" w:rsidRDefault="00C136A6" w:rsidP="000367F1">
      <w:pPr>
        <w:spacing w:after="0" w:line="360" w:lineRule="auto"/>
        <w:ind w:left="720" w:hanging="720"/>
        <w:jc w:val="both"/>
        <w:rPr>
          <w:rFonts w:ascii="Arial" w:hAnsi="Arial" w:cs="Arial"/>
        </w:rPr>
      </w:pPr>
    </w:p>
    <w:p w14:paraId="53F42522"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0</w:t>
      </w:r>
      <w:r w:rsidRPr="000367F1">
        <w:rPr>
          <w:rFonts w:ascii="Arial" w:hAnsi="Arial" w:cs="Arial"/>
        </w:rPr>
        <w:t>]</w:t>
      </w:r>
      <w:r w:rsidRPr="000367F1">
        <w:rPr>
          <w:rFonts w:ascii="Arial" w:hAnsi="Arial" w:cs="Arial"/>
        </w:rPr>
        <w:tab/>
        <w:t>The Fund’s failure to draw attention to the abovementioned rule resulted in it failing to allege in its founding affidavit that the precondition for requiring a higher rate of employer contribution, namely agreement with the union, had not been fulfilled. That omission had left the court under the mistaken impression that all necessary requirements for the implementation of contributions at the higher rates had been fulfilled, otherwise the court would not have granted the order.</w:t>
      </w:r>
    </w:p>
    <w:p w14:paraId="58416896" w14:textId="77777777" w:rsidR="005B65FC" w:rsidRDefault="005B65FC" w:rsidP="000367F1">
      <w:pPr>
        <w:spacing w:after="0" w:line="360" w:lineRule="auto"/>
        <w:ind w:left="720" w:hanging="720"/>
        <w:jc w:val="both"/>
        <w:rPr>
          <w:rFonts w:ascii="Arial" w:hAnsi="Arial" w:cs="Arial"/>
        </w:rPr>
      </w:pPr>
    </w:p>
    <w:p w14:paraId="60561729"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1</w:t>
      </w:r>
      <w:r w:rsidRPr="000367F1">
        <w:rPr>
          <w:rFonts w:ascii="Arial" w:hAnsi="Arial" w:cs="Arial"/>
        </w:rPr>
        <w:t>]</w:t>
      </w:r>
      <w:r w:rsidRPr="000367F1">
        <w:rPr>
          <w:rFonts w:ascii="Arial" w:hAnsi="Arial" w:cs="Arial"/>
        </w:rPr>
        <w:tab/>
        <w:t>The effect of clause 11.1.3</w:t>
      </w:r>
      <w:r w:rsidR="001341EB">
        <w:rPr>
          <w:rFonts w:ascii="Arial" w:hAnsi="Arial" w:cs="Arial"/>
        </w:rPr>
        <w:t>(b)</w:t>
      </w:r>
      <w:r w:rsidRPr="000367F1">
        <w:rPr>
          <w:rFonts w:ascii="Arial" w:hAnsi="Arial" w:cs="Arial"/>
        </w:rPr>
        <w:t xml:space="preserve"> of the rules is that an individual participating employer must reach agreement with the union regarding the proposed increased contribution and the rules can only thereafter be amended accordingly. Thus</w:t>
      </w:r>
      <w:r w:rsidR="00C849C9" w:rsidRPr="000367F1">
        <w:rPr>
          <w:rFonts w:ascii="Arial" w:hAnsi="Arial" w:cs="Arial"/>
        </w:rPr>
        <w:t>,</w:t>
      </w:r>
      <w:r w:rsidRPr="000367F1">
        <w:rPr>
          <w:rFonts w:ascii="Arial" w:hAnsi="Arial" w:cs="Arial"/>
        </w:rPr>
        <w:t xml:space="preserve"> an amendment to the rate at which an employer must contribute towards the Fund for the benefit of members of the Fund employed by it, can only become effective as from the date the employer agrees to contribute at a higher rate. The Fund can therefore not unilaterally decide to increase the rate of employers’ contributions in respect of its members. Failing an employer agreeing </w:t>
      </w:r>
      <w:r w:rsidRPr="000367F1">
        <w:rPr>
          <w:rFonts w:ascii="Arial" w:hAnsi="Arial" w:cs="Arial"/>
        </w:rPr>
        <w:lastRenderedPageBreak/>
        <w:t xml:space="preserve">with the union to contribute at a higher rate, the Fund is not at liberty to amend its rules to that effect. In the case of the </w:t>
      </w:r>
      <w:r w:rsidR="001341EB">
        <w:rPr>
          <w:rFonts w:ascii="Arial" w:hAnsi="Arial" w:cs="Arial"/>
        </w:rPr>
        <w:t>A</w:t>
      </w:r>
      <w:r w:rsidRPr="000367F1">
        <w:rPr>
          <w:rFonts w:ascii="Arial" w:hAnsi="Arial" w:cs="Arial"/>
        </w:rPr>
        <w:t>ppellant such an agreement to contribute at a higher rate only came about in 2013.</w:t>
      </w:r>
    </w:p>
    <w:p w14:paraId="61C36379" w14:textId="77777777" w:rsidR="00C849C9" w:rsidRPr="000367F1" w:rsidRDefault="00C849C9" w:rsidP="000367F1">
      <w:pPr>
        <w:spacing w:after="0" w:line="360" w:lineRule="auto"/>
        <w:ind w:left="720" w:hanging="720"/>
        <w:jc w:val="both"/>
        <w:rPr>
          <w:rFonts w:ascii="Arial" w:hAnsi="Arial" w:cs="Arial"/>
        </w:rPr>
      </w:pPr>
    </w:p>
    <w:p w14:paraId="1FCC0229"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2</w:t>
      </w:r>
      <w:r w:rsidRPr="000367F1">
        <w:rPr>
          <w:rFonts w:ascii="Arial" w:hAnsi="Arial" w:cs="Arial"/>
        </w:rPr>
        <w:t>]</w:t>
      </w:r>
      <w:r w:rsidRPr="000367F1">
        <w:rPr>
          <w:rFonts w:ascii="Arial" w:hAnsi="Arial" w:cs="Arial"/>
        </w:rPr>
        <w:tab/>
        <w:t>The effective date of the rule was therefore 1 November 2011 and, at best for the Fund, it had the power to require employee contributions at the increased rate from that date. The municipality’s council only resolved during September 2013 to contribute at a higher rate, with retrospective effect from 1 July 2013.</w:t>
      </w:r>
    </w:p>
    <w:p w14:paraId="707B9344" w14:textId="77777777" w:rsidR="00C849C9" w:rsidRPr="000367F1" w:rsidRDefault="00C849C9" w:rsidP="000367F1">
      <w:pPr>
        <w:spacing w:after="0" w:line="360" w:lineRule="auto"/>
        <w:ind w:left="720" w:hanging="720"/>
        <w:jc w:val="both"/>
        <w:rPr>
          <w:rFonts w:ascii="Arial" w:hAnsi="Arial" w:cs="Arial"/>
        </w:rPr>
      </w:pPr>
    </w:p>
    <w:p w14:paraId="4FCD96A2" w14:textId="77777777" w:rsidR="00C136A6" w:rsidRPr="000367F1" w:rsidRDefault="00C136A6"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3</w:t>
      </w:r>
      <w:r w:rsidRPr="000367F1">
        <w:rPr>
          <w:rFonts w:ascii="Arial" w:hAnsi="Arial" w:cs="Arial"/>
        </w:rPr>
        <w:t>]</w:t>
      </w:r>
      <w:r w:rsidRPr="000367F1">
        <w:rPr>
          <w:rFonts w:ascii="Arial" w:hAnsi="Arial" w:cs="Arial"/>
        </w:rPr>
        <w:tab/>
        <w:t xml:space="preserve">The </w:t>
      </w:r>
      <w:r w:rsidR="00C849C9" w:rsidRPr="000367F1">
        <w:rPr>
          <w:rFonts w:ascii="Arial" w:hAnsi="Arial" w:cs="Arial"/>
        </w:rPr>
        <w:t>M</w:t>
      </w:r>
      <w:r w:rsidRPr="000367F1">
        <w:rPr>
          <w:rFonts w:ascii="Arial" w:hAnsi="Arial" w:cs="Arial"/>
        </w:rPr>
        <w:t xml:space="preserve">unicipality never passed a resolution agreeing with the union or the Fund to pay arrear contributions at the increased rate for the period July 2007 to November 2011. Although representatives of the </w:t>
      </w:r>
      <w:r w:rsidR="008611C2">
        <w:rPr>
          <w:rFonts w:ascii="Arial" w:hAnsi="Arial" w:cs="Arial"/>
        </w:rPr>
        <w:t>M</w:t>
      </w:r>
      <w:r w:rsidRPr="000367F1">
        <w:rPr>
          <w:rFonts w:ascii="Arial" w:hAnsi="Arial" w:cs="Arial"/>
        </w:rPr>
        <w:t>unicipality had negotiations with the Fund regarding the possibility of paying the arrear contributions claimed by it at the increased rate for the period July 2007 to November 2011, it had never agreed to do so.</w:t>
      </w:r>
    </w:p>
    <w:p w14:paraId="1D18934E" w14:textId="77777777" w:rsidR="00C849C9" w:rsidRPr="000367F1" w:rsidRDefault="00C849C9" w:rsidP="000367F1">
      <w:pPr>
        <w:spacing w:after="0" w:line="360" w:lineRule="auto"/>
        <w:ind w:left="720" w:hanging="720"/>
        <w:jc w:val="both"/>
        <w:rPr>
          <w:rFonts w:ascii="Arial" w:hAnsi="Arial" w:cs="Arial"/>
        </w:rPr>
      </w:pPr>
    </w:p>
    <w:p w14:paraId="52D7D1A1" w14:textId="77777777" w:rsidR="00C136A6" w:rsidRDefault="00C136A6"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4</w:t>
      </w:r>
      <w:r w:rsidRPr="000367F1">
        <w:rPr>
          <w:rFonts w:ascii="Arial" w:hAnsi="Arial" w:cs="Arial"/>
        </w:rPr>
        <w:t>]</w:t>
      </w:r>
      <w:r w:rsidRPr="000367F1">
        <w:rPr>
          <w:rFonts w:ascii="Arial" w:hAnsi="Arial" w:cs="Arial"/>
        </w:rPr>
        <w:tab/>
        <w:t xml:space="preserve">The </w:t>
      </w:r>
      <w:r w:rsidR="00C849C9" w:rsidRPr="000367F1">
        <w:rPr>
          <w:rFonts w:ascii="Arial" w:hAnsi="Arial" w:cs="Arial"/>
        </w:rPr>
        <w:t>M</w:t>
      </w:r>
      <w:r w:rsidRPr="000367F1">
        <w:rPr>
          <w:rFonts w:ascii="Arial" w:hAnsi="Arial" w:cs="Arial"/>
        </w:rPr>
        <w:t>unicipality was thus under the mistaken belief that it was obliged by law to pay increased contributions as from July 2007 onwards. It was for that reason that it did not oppose the application that resulted in the impugned order. It has discharged its obligations regarding the increased deductions as from 1 July 2013 in full, and is accordingly not indebted to the Fund at all. It therefore has a complete defence to the Fund’s claim.</w:t>
      </w:r>
    </w:p>
    <w:p w14:paraId="3C91F377" w14:textId="77777777" w:rsidR="00202A7B" w:rsidRDefault="00202A7B" w:rsidP="000367F1">
      <w:pPr>
        <w:spacing w:after="0" w:line="360" w:lineRule="auto"/>
        <w:ind w:left="720" w:hanging="720"/>
        <w:jc w:val="both"/>
        <w:rPr>
          <w:rFonts w:ascii="Arial" w:hAnsi="Arial" w:cs="Arial"/>
        </w:rPr>
      </w:pPr>
    </w:p>
    <w:p w14:paraId="4635FE3D" w14:textId="77777777" w:rsidR="00202A7B" w:rsidRPr="008229CF" w:rsidRDefault="00202A7B" w:rsidP="000367F1">
      <w:pPr>
        <w:spacing w:after="0" w:line="360" w:lineRule="auto"/>
        <w:ind w:left="720" w:hanging="720"/>
        <w:jc w:val="both"/>
        <w:rPr>
          <w:rFonts w:ascii="Arial" w:hAnsi="Arial" w:cs="Arial"/>
          <w:b/>
        </w:rPr>
      </w:pPr>
      <w:r w:rsidRPr="008229CF">
        <w:rPr>
          <w:rFonts w:ascii="Arial" w:hAnsi="Arial" w:cs="Arial"/>
          <w:b/>
        </w:rPr>
        <w:t>The Fund’s contentions</w:t>
      </w:r>
    </w:p>
    <w:p w14:paraId="2067341E" w14:textId="77777777" w:rsidR="00C849C9" w:rsidRPr="000367F1" w:rsidRDefault="00C849C9" w:rsidP="000367F1">
      <w:pPr>
        <w:spacing w:after="0" w:line="360" w:lineRule="auto"/>
        <w:ind w:left="720" w:hanging="720"/>
        <w:jc w:val="both"/>
        <w:rPr>
          <w:rFonts w:ascii="Arial" w:hAnsi="Arial" w:cs="Arial"/>
        </w:rPr>
      </w:pPr>
    </w:p>
    <w:p w14:paraId="32472117" w14:textId="77777777" w:rsidR="00C849C9" w:rsidRPr="000367F1" w:rsidRDefault="00C849C9" w:rsidP="000367F1">
      <w:pPr>
        <w:spacing w:after="0" w:line="360" w:lineRule="auto"/>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5</w:t>
      </w:r>
      <w:r w:rsidRPr="000367F1">
        <w:rPr>
          <w:rFonts w:ascii="Arial" w:hAnsi="Arial" w:cs="Arial"/>
        </w:rPr>
        <w:t>]</w:t>
      </w:r>
      <w:r w:rsidRPr="000367F1">
        <w:rPr>
          <w:rFonts w:ascii="Arial" w:hAnsi="Arial" w:cs="Arial"/>
        </w:rPr>
        <w:tab/>
        <w:t>The appeal is opposed by the Fund contending that:</w:t>
      </w:r>
    </w:p>
    <w:p w14:paraId="6DCD400D" w14:textId="77777777" w:rsidR="00C849C9" w:rsidRPr="000367F1" w:rsidRDefault="00C849C9" w:rsidP="000367F1">
      <w:pPr>
        <w:spacing w:after="0" w:line="360" w:lineRule="auto"/>
        <w:ind w:left="720" w:hanging="720"/>
        <w:jc w:val="both"/>
        <w:rPr>
          <w:rFonts w:ascii="Arial" w:hAnsi="Arial" w:cs="Arial"/>
        </w:rPr>
      </w:pPr>
    </w:p>
    <w:p w14:paraId="761F249C" w14:textId="77777777" w:rsidR="00C849C9" w:rsidRPr="000367F1" w:rsidRDefault="004F484F" w:rsidP="000367F1">
      <w:pPr>
        <w:spacing w:after="0" w:line="360" w:lineRule="auto"/>
        <w:ind w:left="216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5</w:t>
      </w:r>
      <w:r w:rsidR="00C849C9" w:rsidRPr="000367F1">
        <w:rPr>
          <w:rFonts w:ascii="Arial" w:hAnsi="Arial" w:cs="Arial"/>
        </w:rPr>
        <w:t>.1</w:t>
      </w:r>
      <w:r w:rsidRPr="000367F1">
        <w:rPr>
          <w:rFonts w:ascii="Arial" w:hAnsi="Arial" w:cs="Arial"/>
        </w:rPr>
        <w:t>]</w:t>
      </w:r>
      <w:r w:rsidR="00C849C9" w:rsidRPr="000367F1">
        <w:rPr>
          <w:rFonts w:ascii="Arial" w:hAnsi="Arial" w:cs="Arial"/>
        </w:rPr>
        <w:tab/>
        <w:t xml:space="preserve">the </w:t>
      </w:r>
      <w:r w:rsidR="00510C0D">
        <w:rPr>
          <w:rFonts w:ascii="Arial" w:hAnsi="Arial" w:cs="Arial"/>
        </w:rPr>
        <w:t xml:space="preserve">municipality </w:t>
      </w:r>
      <w:r w:rsidR="00C849C9" w:rsidRPr="000367F1">
        <w:rPr>
          <w:rFonts w:ascii="Arial" w:hAnsi="Arial" w:cs="Arial"/>
        </w:rPr>
        <w:t>decided not to oppose the main application as set out in the notice of motion whilst it had full knowledge of such application and hearing date which meant that it:</w:t>
      </w:r>
    </w:p>
    <w:p w14:paraId="23CC7879" w14:textId="77777777" w:rsidR="004F484F" w:rsidRPr="000367F1" w:rsidRDefault="004F484F" w:rsidP="0000750E">
      <w:pPr>
        <w:spacing w:after="0" w:line="360" w:lineRule="auto"/>
        <w:jc w:val="both"/>
        <w:rPr>
          <w:rFonts w:ascii="Arial" w:hAnsi="Arial" w:cs="Arial"/>
        </w:rPr>
      </w:pPr>
    </w:p>
    <w:p w14:paraId="763680E9" w14:textId="77777777" w:rsidR="00C849C9" w:rsidRPr="000367F1" w:rsidRDefault="00C849C9" w:rsidP="000367F1">
      <w:pPr>
        <w:spacing w:after="0" w:line="360" w:lineRule="auto"/>
        <w:ind w:left="2880" w:firstLine="720"/>
        <w:jc w:val="both"/>
        <w:rPr>
          <w:rFonts w:ascii="Arial" w:hAnsi="Arial" w:cs="Arial"/>
        </w:rPr>
      </w:pPr>
      <w:r w:rsidRPr="000367F1">
        <w:rPr>
          <w:rFonts w:ascii="Arial" w:hAnsi="Arial" w:cs="Arial"/>
        </w:rPr>
        <w:t>(a)</w:t>
      </w:r>
      <w:r w:rsidRPr="000367F1">
        <w:rPr>
          <w:rFonts w:ascii="Arial" w:hAnsi="Arial" w:cs="Arial"/>
        </w:rPr>
        <w:tab/>
        <w:t>waived the right to apply for rescission; and</w:t>
      </w:r>
    </w:p>
    <w:p w14:paraId="23FC6B60" w14:textId="77777777" w:rsidR="00C849C9" w:rsidRDefault="00C849C9" w:rsidP="000367F1">
      <w:pPr>
        <w:spacing w:after="0" w:line="360" w:lineRule="auto"/>
        <w:ind w:left="4320" w:hanging="720"/>
        <w:jc w:val="both"/>
        <w:rPr>
          <w:rFonts w:ascii="Arial" w:hAnsi="Arial" w:cs="Arial"/>
        </w:rPr>
      </w:pPr>
      <w:r w:rsidRPr="000367F1">
        <w:rPr>
          <w:rFonts w:ascii="Arial" w:hAnsi="Arial" w:cs="Arial"/>
        </w:rPr>
        <w:t>(b)</w:t>
      </w:r>
      <w:r w:rsidRPr="000367F1">
        <w:rPr>
          <w:rFonts w:ascii="Arial" w:hAnsi="Arial" w:cs="Arial"/>
        </w:rPr>
        <w:tab/>
        <w:t>intentionally defaulted and has not met the requirements of common law rescission.</w:t>
      </w:r>
    </w:p>
    <w:p w14:paraId="25AFF7C0" w14:textId="77777777" w:rsidR="00510C0D" w:rsidRPr="000367F1" w:rsidRDefault="00510C0D" w:rsidP="000367F1">
      <w:pPr>
        <w:spacing w:after="0" w:line="360" w:lineRule="auto"/>
        <w:ind w:left="4320" w:hanging="720"/>
        <w:jc w:val="both"/>
        <w:rPr>
          <w:rFonts w:ascii="Arial" w:hAnsi="Arial" w:cs="Arial"/>
        </w:rPr>
      </w:pPr>
    </w:p>
    <w:p w14:paraId="6AC04B3A" w14:textId="77777777" w:rsidR="00C849C9" w:rsidRPr="000367F1" w:rsidRDefault="004F484F" w:rsidP="000367F1">
      <w:pPr>
        <w:spacing w:after="0" w:line="360" w:lineRule="auto"/>
        <w:ind w:left="2160" w:hanging="720"/>
        <w:jc w:val="both"/>
        <w:rPr>
          <w:rFonts w:ascii="Arial" w:hAnsi="Arial" w:cs="Arial"/>
        </w:rPr>
      </w:pPr>
      <w:r w:rsidRPr="000367F1">
        <w:rPr>
          <w:rFonts w:ascii="Arial" w:hAnsi="Arial" w:cs="Arial"/>
        </w:rPr>
        <w:lastRenderedPageBreak/>
        <w:t>[</w:t>
      </w:r>
      <w:r w:rsidR="00CD6FEC" w:rsidRPr="000367F1">
        <w:rPr>
          <w:rFonts w:ascii="Arial" w:hAnsi="Arial" w:cs="Arial"/>
        </w:rPr>
        <w:t>1</w:t>
      </w:r>
      <w:r w:rsidR="00CD6FEC">
        <w:rPr>
          <w:rFonts w:ascii="Arial" w:hAnsi="Arial" w:cs="Arial"/>
        </w:rPr>
        <w:t>5</w:t>
      </w:r>
      <w:r w:rsidR="00C849C9" w:rsidRPr="000367F1">
        <w:rPr>
          <w:rFonts w:ascii="Arial" w:hAnsi="Arial" w:cs="Arial"/>
        </w:rPr>
        <w:t>.2</w:t>
      </w:r>
      <w:r w:rsidRPr="000367F1">
        <w:rPr>
          <w:rFonts w:ascii="Arial" w:hAnsi="Arial" w:cs="Arial"/>
        </w:rPr>
        <w:t>]</w:t>
      </w:r>
      <w:r w:rsidR="00C849C9" w:rsidRPr="000367F1">
        <w:rPr>
          <w:rFonts w:ascii="Arial" w:hAnsi="Arial" w:cs="Arial"/>
        </w:rPr>
        <w:tab/>
        <w:t xml:space="preserve">The </w:t>
      </w:r>
      <w:r w:rsidRPr="000367F1">
        <w:rPr>
          <w:rFonts w:ascii="Arial" w:hAnsi="Arial" w:cs="Arial"/>
        </w:rPr>
        <w:t xml:space="preserve">Fund </w:t>
      </w:r>
      <w:r w:rsidR="00C849C9" w:rsidRPr="000367F1">
        <w:rPr>
          <w:rFonts w:ascii="Arial" w:hAnsi="Arial" w:cs="Arial"/>
        </w:rPr>
        <w:t>argues that the rule remains binding until set aside by a court or other competent tribunal. There</w:t>
      </w:r>
      <w:r w:rsidR="008B14A7">
        <w:rPr>
          <w:rFonts w:ascii="Arial" w:hAnsi="Arial" w:cs="Arial"/>
        </w:rPr>
        <w:t>fore</w:t>
      </w:r>
      <w:r w:rsidR="00C849C9" w:rsidRPr="000367F1">
        <w:rPr>
          <w:rFonts w:ascii="Arial" w:hAnsi="Arial" w:cs="Arial"/>
        </w:rPr>
        <w:t>, there are no proceedings to set aside the relevant rules and accordingly:</w:t>
      </w:r>
    </w:p>
    <w:p w14:paraId="6E12DF09" w14:textId="77777777" w:rsidR="004F484F" w:rsidRPr="000367F1" w:rsidRDefault="004F484F" w:rsidP="008229CF">
      <w:pPr>
        <w:spacing w:after="0" w:line="360" w:lineRule="auto"/>
        <w:jc w:val="both"/>
        <w:rPr>
          <w:rFonts w:ascii="Arial" w:hAnsi="Arial" w:cs="Arial"/>
        </w:rPr>
      </w:pPr>
    </w:p>
    <w:p w14:paraId="65035CD8" w14:textId="77777777" w:rsidR="00C849C9" w:rsidRPr="000367F1" w:rsidRDefault="00C849C9" w:rsidP="000367F1">
      <w:pPr>
        <w:spacing w:after="0" w:line="360" w:lineRule="auto"/>
        <w:ind w:left="4320" w:hanging="720"/>
        <w:jc w:val="both"/>
        <w:rPr>
          <w:rFonts w:ascii="Arial" w:hAnsi="Arial" w:cs="Arial"/>
        </w:rPr>
      </w:pPr>
      <w:r w:rsidRPr="000367F1">
        <w:rPr>
          <w:rFonts w:ascii="Arial" w:hAnsi="Arial" w:cs="Arial"/>
        </w:rPr>
        <w:t>(a)</w:t>
      </w:r>
      <w:r w:rsidRPr="000367F1">
        <w:rPr>
          <w:rFonts w:ascii="Arial" w:hAnsi="Arial" w:cs="Arial"/>
        </w:rPr>
        <w:tab/>
        <w:t>there is no error or mistake within the meaning of Rule 42; and</w:t>
      </w:r>
    </w:p>
    <w:p w14:paraId="4D0DBEFB" w14:textId="77777777" w:rsidR="00C849C9" w:rsidRPr="000367F1" w:rsidRDefault="00C849C9" w:rsidP="000367F1">
      <w:pPr>
        <w:spacing w:after="0" w:line="360" w:lineRule="auto"/>
        <w:ind w:left="4320" w:hanging="720"/>
        <w:jc w:val="both"/>
        <w:rPr>
          <w:rFonts w:ascii="Arial" w:hAnsi="Arial" w:cs="Arial"/>
        </w:rPr>
      </w:pPr>
      <w:r w:rsidRPr="000367F1">
        <w:rPr>
          <w:rFonts w:ascii="Arial" w:hAnsi="Arial" w:cs="Arial"/>
        </w:rPr>
        <w:t>(b)</w:t>
      </w:r>
      <w:r w:rsidRPr="000367F1">
        <w:rPr>
          <w:rFonts w:ascii="Arial" w:hAnsi="Arial" w:cs="Arial"/>
        </w:rPr>
        <w:tab/>
        <w:t xml:space="preserve">the </w:t>
      </w:r>
      <w:r w:rsidR="008B14A7">
        <w:rPr>
          <w:rFonts w:ascii="Arial" w:hAnsi="Arial" w:cs="Arial"/>
        </w:rPr>
        <w:t>municipality</w:t>
      </w:r>
      <w:r w:rsidRPr="000367F1">
        <w:rPr>
          <w:rFonts w:ascii="Arial" w:hAnsi="Arial" w:cs="Arial"/>
        </w:rPr>
        <w:t xml:space="preserve"> has not been able to raise a </w:t>
      </w:r>
      <w:r w:rsidRPr="000367F1">
        <w:rPr>
          <w:rFonts w:ascii="Arial" w:hAnsi="Arial" w:cs="Arial"/>
          <w:i/>
        </w:rPr>
        <w:t>bona fide</w:t>
      </w:r>
      <w:r w:rsidRPr="000367F1">
        <w:rPr>
          <w:rFonts w:ascii="Arial" w:hAnsi="Arial" w:cs="Arial"/>
        </w:rPr>
        <w:t xml:space="preserve"> defence which is a common law requirement for rescission.</w:t>
      </w:r>
    </w:p>
    <w:p w14:paraId="23648E55" w14:textId="77777777" w:rsidR="00977994" w:rsidRPr="005B65FC" w:rsidRDefault="00977994" w:rsidP="000367F1">
      <w:pPr>
        <w:spacing w:after="0" w:line="360" w:lineRule="auto"/>
        <w:ind w:left="720" w:hanging="720"/>
        <w:jc w:val="both"/>
        <w:rPr>
          <w:rFonts w:ascii="Arial" w:hAnsi="Arial" w:cs="Arial"/>
        </w:rPr>
      </w:pPr>
    </w:p>
    <w:p w14:paraId="63B522FA" w14:textId="77777777" w:rsidR="005B65FC" w:rsidRPr="005B65FC" w:rsidRDefault="005B65FC" w:rsidP="005B65FC">
      <w:pPr>
        <w:spacing w:line="360" w:lineRule="auto"/>
        <w:ind w:left="720" w:hanging="720"/>
        <w:jc w:val="both"/>
        <w:rPr>
          <w:rFonts w:ascii="Arial" w:hAnsi="Arial" w:cs="Arial"/>
        </w:rPr>
      </w:pPr>
      <w:r w:rsidRPr="005B65FC">
        <w:rPr>
          <w:rFonts w:ascii="Arial" w:hAnsi="Arial" w:cs="Arial"/>
        </w:rPr>
        <w:t>[</w:t>
      </w:r>
      <w:r w:rsidR="00CD6FEC" w:rsidRPr="005B65FC">
        <w:rPr>
          <w:rFonts w:ascii="Arial" w:hAnsi="Arial" w:cs="Arial"/>
        </w:rPr>
        <w:t>1</w:t>
      </w:r>
      <w:r w:rsidR="00CD6FEC">
        <w:rPr>
          <w:rFonts w:ascii="Arial" w:hAnsi="Arial" w:cs="Arial"/>
        </w:rPr>
        <w:t>6</w:t>
      </w:r>
      <w:r w:rsidRPr="005B65FC">
        <w:rPr>
          <w:rFonts w:ascii="Arial" w:hAnsi="Arial" w:cs="Arial"/>
        </w:rPr>
        <w:t>]</w:t>
      </w:r>
      <w:r w:rsidRPr="005B65FC">
        <w:rPr>
          <w:rFonts w:ascii="Arial" w:hAnsi="Arial" w:cs="Arial"/>
        </w:rPr>
        <w:tab/>
        <w:t xml:space="preserve">In his judgment, Rugunanan J found that since the </w:t>
      </w:r>
      <w:r>
        <w:rPr>
          <w:rFonts w:ascii="Arial" w:hAnsi="Arial" w:cs="Arial"/>
        </w:rPr>
        <w:t>M</w:t>
      </w:r>
      <w:r w:rsidRPr="005B65FC">
        <w:rPr>
          <w:rFonts w:ascii="Arial" w:hAnsi="Arial" w:cs="Arial"/>
        </w:rPr>
        <w:t xml:space="preserve">unicipality unequivocally elected not to oppose the main application, having been aware that default judgment would be taken against it, did not take any steps to oppose, but allowed the </w:t>
      </w:r>
      <w:r>
        <w:rPr>
          <w:rFonts w:ascii="Arial" w:hAnsi="Arial" w:cs="Arial"/>
        </w:rPr>
        <w:t>Fund</w:t>
      </w:r>
      <w:r w:rsidRPr="005B65FC">
        <w:rPr>
          <w:rFonts w:ascii="Arial" w:hAnsi="Arial" w:cs="Arial"/>
        </w:rPr>
        <w:t xml:space="preserve"> to take its chosen course, it is presumed to have been in wi</w:t>
      </w:r>
      <w:r w:rsidR="0000750E">
        <w:rPr>
          <w:rFonts w:ascii="Arial" w:hAnsi="Arial" w:cs="Arial"/>
        </w:rPr>
        <w:t>l</w:t>
      </w:r>
      <w:r w:rsidRPr="005B65FC">
        <w:rPr>
          <w:rFonts w:ascii="Arial" w:hAnsi="Arial" w:cs="Arial"/>
        </w:rPr>
        <w:t xml:space="preserve">ful default and is consequently not entitled to rescission of the order. The learned judge thus concluded that ‘[o]bjectively considered, the </w:t>
      </w:r>
      <w:r>
        <w:rPr>
          <w:rFonts w:ascii="Arial" w:hAnsi="Arial" w:cs="Arial"/>
        </w:rPr>
        <w:t>[</w:t>
      </w:r>
      <w:r w:rsidR="001D1760">
        <w:rPr>
          <w:rFonts w:ascii="Arial" w:hAnsi="Arial" w:cs="Arial"/>
        </w:rPr>
        <w:t>Municipality</w:t>
      </w:r>
      <w:r>
        <w:rPr>
          <w:rFonts w:ascii="Arial" w:hAnsi="Arial" w:cs="Arial"/>
        </w:rPr>
        <w:t>]</w:t>
      </w:r>
      <w:r w:rsidRPr="005B65FC">
        <w:rPr>
          <w:rFonts w:ascii="Arial" w:hAnsi="Arial" w:cs="Arial"/>
        </w:rPr>
        <w:t xml:space="preserve"> waived or perempted its right to rescind’. The learned judge also found that the </w:t>
      </w:r>
      <w:r>
        <w:rPr>
          <w:rFonts w:ascii="Arial" w:hAnsi="Arial" w:cs="Arial"/>
        </w:rPr>
        <w:t>M</w:t>
      </w:r>
      <w:r w:rsidRPr="005B65FC">
        <w:rPr>
          <w:rFonts w:ascii="Arial" w:hAnsi="Arial" w:cs="Arial"/>
        </w:rPr>
        <w:t xml:space="preserve">unicipality’s defence, which is based on its assertion that the amended rule relating to the rate of contributions did not become effective on 1 November 2006 has no merit, particularly in the light of the fact that </w:t>
      </w:r>
      <w:r w:rsidR="0033003E">
        <w:rPr>
          <w:rFonts w:ascii="Arial" w:hAnsi="Arial" w:cs="Arial"/>
        </w:rPr>
        <w:t>it</w:t>
      </w:r>
      <w:r w:rsidRPr="005B65FC">
        <w:rPr>
          <w:rFonts w:ascii="Arial" w:hAnsi="Arial" w:cs="Arial"/>
        </w:rPr>
        <w:t xml:space="preserve"> did not take any steps to set aside the amended rule. </w:t>
      </w:r>
    </w:p>
    <w:p w14:paraId="370BB154" w14:textId="77777777" w:rsidR="005B65FC" w:rsidRDefault="005B65FC" w:rsidP="000367F1">
      <w:pPr>
        <w:spacing w:after="0" w:line="360" w:lineRule="auto"/>
        <w:ind w:left="720" w:hanging="720"/>
        <w:jc w:val="both"/>
        <w:rPr>
          <w:rFonts w:ascii="Arial" w:hAnsi="Arial" w:cs="Arial"/>
        </w:rPr>
      </w:pPr>
    </w:p>
    <w:p w14:paraId="569EBB8E" w14:textId="643AEE3F" w:rsidR="000F6F80" w:rsidRPr="000367F1" w:rsidRDefault="009D1FCD"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7</w:t>
      </w:r>
      <w:r w:rsidRPr="000367F1">
        <w:rPr>
          <w:rFonts w:ascii="Arial" w:hAnsi="Arial" w:cs="Arial"/>
        </w:rPr>
        <w:t>]</w:t>
      </w:r>
      <w:r w:rsidR="008D2216" w:rsidRPr="000367F1">
        <w:rPr>
          <w:rFonts w:ascii="Arial" w:hAnsi="Arial" w:cs="Arial"/>
        </w:rPr>
        <w:tab/>
      </w:r>
      <w:r w:rsidR="004F484F" w:rsidRPr="000367F1">
        <w:rPr>
          <w:rFonts w:ascii="Arial" w:hAnsi="Arial" w:cs="Arial"/>
        </w:rPr>
        <w:t>Therefore</w:t>
      </w:r>
      <w:r w:rsidR="000F6F80" w:rsidRPr="000367F1">
        <w:rPr>
          <w:rFonts w:ascii="Arial" w:hAnsi="Arial" w:cs="Arial"/>
        </w:rPr>
        <w:t>, th</w:t>
      </w:r>
      <w:r w:rsidR="00B156C5">
        <w:rPr>
          <w:rFonts w:ascii="Arial" w:hAnsi="Arial" w:cs="Arial"/>
        </w:rPr>
        <w:t>is Court</w:t>
      </w:r>
      <w:r w:rsidR="000F6F80" w:rsidRPr="000367F1">
        <w:rPr>
          <w:rFonts w:ascii="Arial" w:hAnsi="Arial" w:cs="Arial"/>
        </w:rPr>
        <w:t xml:space="preserve"> is required to consider the merits of the appeal in the determination of the ‘alleged common mistake’ which, as contended by the </w:t>
      </w:r>
      <w:r w:rsidR="00B330AE">
        <w:rPr>
          <w:rFonts w:ascii="Arial" w:hAnsi="Arial" w:cs="Arial"/>
        </w:rPr>
        <w:t>a</w:t>
      </w:r>
      <w:r w:rsidR="000F6F80" w:rsidRPr="000367F1">
        <w:rPr>
          <w:rFonts w:ascii="Arial" w:hAnsi="Arial" w:cs="Arial"/>
        </w:rPr>
        <w:t>pp</w:t>
      </w:r>
      <w:r w:rsidR="00293926" w:rsidRPr="000367F1">
        <w:rPr>
          <w:rFonts w:ascii="Arial" w:hAnsi="Arial" w:cs="Arial"/>
        </w:rPr>
        <w:t>ellant,</w:t>
      </w:r>
      <w:r w:rsidR="000F6F80" w:rsidRPr="000367F1">
        <w:rPr>
          <w:rFonts w:ascii="Arial" w:hAnsi="Arial" w:cs="Arial"/>
        </w:rPr>
        <w:t xml:space="preserve"> constituted a misapprehension of the obligation for the payment of the </w:t>
      </w:r>
      <w:r w:rsidR="003319CB" w:rsidRPr="000367F1">
        <w:rPr>
          <w:rFonts w:ascii="Arial" w:hAnsi="Arial" w:cs="Arial"/>
        </w:rPr>
        <w:t xml:space="preserve">increased </w:t>
      </w:r>
      <w:r w:rsidR="000F6F80" w:rsidRPr="000367F1">
        <w:rPr>
          <w:rFonts w:ascii="Arial" w:hAnsi="Arial" w:cs="Arial"/>
        </w:rPr>
        <w:t xml:space="preserve">fees by both </w:t>
      </w:r>
      <w:r w:rsidR="00350A20" w:rsidRPr="000367F1">
        <w:rPr>
          <w:rFonts w:ascii="Arial" w:hAnsi="Arial" w:cs="Arial"/>
        </w:rPr>
        <w:t>parties</w:t>
      </w:r>
      <w:r w:rsidR="000F6F80" w:rsidRPr="000367F1">
        <w:rPr>
          <w:rFonts w:ascii="Arial" w:hAnsi="Arial" w:cs="Arial"/>
        </w:rPr>
        <w:t>.</w:t>
      </w:r>
    </w:p>
    <w:p w14:paraId="228E20D6" w14:textId="77777777" w:rsidR="005B65FC" w:rsidRPr="008611C2" w:rsidRDefault="005B65FC" w:rsidP="008229CF">
      <w:pPr>
        <w:spacing w:after="0" w:line="360" w:lineRule="auto"/>
        <w:jc w:val="both"/>
        <w:rPr>
          <w:rFonts w:ascii="Arial" w:hAnsi="Arial" w:cs="Arial"/>
        </w:rPr>
      </w:pPr>
    </w:p>
    <w:p w14:paraId="418E7AF3" w14:textId="77777777" w:rsidR="00221A5F" w:rsidRPr="000367F1" w:rsidRDefault="00202A7B" w:rsidP="000367F1">
      <w:pPr>
        <w:spacing w:after="0" w:line="360" w:lineRule="auto"/>
        <w:ind w:left="720" w:hanging="720"/>
        <w:jc w:val="both"/>
        <w:rPr>
          <w:rFonts w:ascii="Arial" w:hAnsi="Arial" w:cs="Arial"/>
          <w:b/>
        </w:rPr>
      </w:pPr>
      <w:r>
        <w:rPr>
          <w:rFonts w:ascii="Arial" w:hAnsi="Arial" w:cs="Arial"/>
          <w:b/>
        </w:rPr>
        <w:t>T</w:t>
      </w:r>
      <w:r w:rsidR="0010705F" w:rsidRPr="000367F1">
        <w:rPr>
          <w:rFonts w:ascii="Arial" w:hAnsi="Arial" w:cs="Arial"/>
          <w:b/>
        </w:rPr>
        <w:t xml:space="preserve">he </w:t>
      </w:r>
      <w:r>
        <w:rPr>
          <w:rFonts w:ascii="Arial" w:hAnsi="Arial" w:cs="Arial"/>
          <w:b/>
        </w:rPr>
        <w:t>applicable legal principles</w:t>
      </w:r>
    </w:p>
    <w:p w14:paraId="120F8184" w14:textId="77777777" w:rsidR="0010705F" w:rsidRPr="000367F1" w:rsidRDefault="0010705F" w:rsidP="000367F1">
      <w:pPr>
        <w:spacing w:after="0" w:line="360" w:lineRule="auto"/>
        <w:ind w:left="720" w:hanging="720"/>
        <w:jc w:val="both"/>
        <w:rPr>
          <w:rFonts w:ascii="Arial" w:hAnsi="Arial" w:cs="Arial"/>
        </w:rPr>
      </w:pPr>
    </w:p>
    <w:p w14:paraId="77E85222" w14:textId="77777777" w:rsidR="006829F6" w:rsidRPr="000367F1" w:rsidRDefault="000418DC"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1</w:t>
      </w:r>
      <w:r w:rsidR="00CD6FEC">
        <w:rPr>
          <w:rFonts w:ascii="Arial" w:hAnsi="Arial" w:cs="Arial"/>
        </w:rPr>
        <w:t>8</w:t>
      </w:r>
      <w:r w:rsidRPr="000367F1">
        <w:rPr>
          <w:rFonts w:ascii="Arial" w:hAnsi="Arial" w:cs="Arial"/>
        </w:rPr>
        <w:t>]</w:t>
      </w:r>
      <w:r w:rsidR="006829F6" w:rsidRPr="000367F1">
        <w:rPr>
          <w:rFonts w:ascii="Arial" w:hAnsi="Arial" w:cs="Arial"/>
        </w:rPr>
        <w:tab/>
        <w:t>With the</w:t>
      </w:r>
      <w:r w:rsidR="000F6F80" w:rsidRPr="000367F1">
        <w:rPr>
          <w:rFonts w:ascii="Arial" w:hAnsi="Arial" w:cs="Arial"/>
        </w:rPr>
        <w:t xml:space="preserve"> above</w:t>
      </w:r>
      <w:r w:rsidR="006829F6" w:rsidRPr="000367F1">
        <w:rPr>
          <w:rFonts w:ascii="Arial" w:hAnsi="Arial" w:cs="Arial"/>
        </w:rPr>
        <w:t xml:space="preserve"> grounds in mind, the requirements for a successful rescission application in Rule 42 of the Uniform Rules of the Court </w:t>
      </w:r>
      <w:r w:rsidR="004F14CE">
        <w:rPr>
          <w:rFonts w:ascii="Arial" w:hAnsi="Arial" w:cs="Arial"/>
        </w:rPr>
        <w:t>are</w:t>
      </w:r>
      <w:r w:rsidR="006829F6" w:rsidRPr="000367F1">
        <w:rPr>
          <w:rFonts w:ascii="Arial" w:hAnsi="Arial" w:cs="Arial"/>
        </w:rPr>
        <w:t xml:space="preserve">: </w:t>
      </w:r>
    </w:p>
    <w:p w14:paraId="26A3D07F" w14:textId="77777777" w:rsidR="006829F6" w:rsidRPr="000367F1" w:rsidRDefault="006829F6" w:rsidP="000367F1">
      <w:pPr>
        <w:spacing w:after="0" w:line="360" w:lineRule="auto"/>
        <w:ind w:left="720" w:hanging="720"/>
        <w:jc w:val="both"/>
        <w:rPr>
          <w:rFonts w:ascii="Arial" w:hAnsi="Arial" w:cs="Arial"/>
        </w:rPr>
      </w:pPr>
    </w:p>
    <w:p w14:paraId="75827292" w14:textId="77777777" w:rsidR="006829F6" w:rsidRPr="000367F1" w:rsidRDefault="006829F6" w:rsidP="000367F1">
      <w:pPr>
        <w:spacing w:after="0" w:line="360" w:lineRule="auto"/>
        <w:ind w:left="2160" w:hanging="720"/>
        <w:jc w:val="both"/>
        <w:rPr>
          <w:rFonts w:ascii="Arial" w:hAnsi="Arial" w:cs="Arial"/>
        </w:rPr>
      </w:pPr>
      <w:r w:rsidRPr="000367F1">
        <w:rPr>
          <w:rFonts w:ascii="Arial" w:hAnsi="Arial" w:cs="Arial"/>
        </w:rPr>
        <w:t>(1)</w:t>
      </w:r>
      <w:r w:rsidRPr="000367F1">
        <w:rPr>
          <w:rFonts w:ascii="Arial" w:hAnsi="Arial" w:cs="Arial"/>
        </w:rPr>
        <w:tab/>
        <w:t xml:space="preserve">The court </w:t>
      </w:r>
      <w:r w:rsidRPr="009C6D2F">
        <w:rPr>
          <w:rFonts w:ascii="Arial" w:hAnsi="Arial" w:cs="Arial"/>
          <w:i/>
        </w:rPr>
        <w:t>may</w:t>
      </w:r>
      <w:r w:rsidRPr="000367F1">
        <w:rPr>
          <w:rFonts w:ascii="Arial" w:hAnsi="Arial" w:cs="Arial"/>
        </w:rPr>
        <w:t xml:space="preserve">, in addition to any other powers it may have, </w:t>
      </w:r>
      <w:r w:rsidRPr="000367F1">
        <w:rPr>
          <w:rFonts w:ascii="Arial" w:hAnsi="Arial" w:cs="Arial"/>
          <w:i/>
        </w:rPr>
        <w:t>mero motu</w:t>
      </w:r>
      <w:r w:rsidRPr="000367F1">
        <w:rPr>
          <w:rFonts w:ascii="Arial" w:hAnsi="Arial" w:cs="Arial"/>
        </w:rPr>
        <w:t xml:space="preserve"> or upon the application of any party affected, rescind or vary (my emphasis): </w:t>
      </w:r>
    </w:p>
    <w:p w14:paraId="28725476" w14:textId="77777777" w:rsidR="006829F6" w:rsidRPr="000367F1" w:rsidRDefault="006829F6" w:rsidP="000367F1">
      <w:pPr>
        <w:spacing w:after="0" w:line="360" w:lineRule="auto"/>
        <w:ind w:left="3600" w:hanging="720"/>
        <w:jc w:val="both"/>
        <w:rPr>
          <w:rFonts w:ascii="Arial" w:hAnsi="Arial" w:cs="Arial"/>
        </w:rPr>
      </w:pPr>
      <w:r w:rsidRPr="000367F1">
        <w:rPr>
          <w:rFonts w:ascii="Arial" w:hAnsi="Arial" w:cs="Arial"/>
        </w:rPr>
        <w:t>(a)</w:t>
      </w:r>
      <w:r w:rsidRPr="000367F1">
        <w:rPr>
          <w:rFonts w:ascii="Arial" w:hAnsi="Arial" w:cs="Arial"/>
        </w:rPr>
        <w:tab/>
        <w:t xml:space="preserve">an order or judgment erroneously sought or erroneously granted in the absence of any party affected thereby; </w:t>
      </w:r>
    </w:p>
    <w:p w14:paraId="451EEB70" w14:textId="77777777" w:rsidR="006829F6" w:rsidRPr="000367F1" w:rsidRDefault="006829F6" w:rsidP="000367F1">
      <w:pPr>
        <w:spacing w:after="0" w:line="360" w:lineRule="auto"/>
        <w:ind w:left="3600" w:hanging="720"/>
        <w:jc w:val="both"/>
        <w:rPr>
          <w:rFonts w:ascii="Arial" w:hAnsi="Arial" w:cs="Arial"/>
        </w:rPr>
      </w:pPr>
      <w:r w:rsidRPr="000367F1">
        <w:rPr>
          <w:rFonts w:ascii="Arial" w:hAnsi="Arial" w:cs="Arial"/>
        </w:rPr>
        <w:lastRenderedPageBreak/>
        <w:t>(b)</w:t>
      </w:r>
      <w:r w:rsidRPr="000367F1">
        <w:rPr>
          <w:rFonts w:ascii="Arial" w:hAnsi="Arial" w:cs="Arial"/>
        </w:rPr>
        <w:tab/>
        <w:t>an order or judgment in which there is an ambiguity, or a patent error or omission, but only to the extent of such ambiguity, error or omission;</w:t>
      </w:r>
    </w:p>
    <w:p w14:paraId="4E3B06D9" w14:textId="77777777" w:rsidR="006829F6" w:rsidRPr="000367F1" w:rsidRDefault="006829F6" w:rsidP="000367F1">
      <w:pPr>
        <w:spacing w:after="0" w:line="360" w:lineRule="auto"/>
        <w:ind w:left="3600" w:hanging="720"/>
        <w:jc w:val="both"/>
        <w:rPr>
          <w:rFonts w:ascii="Arial" w:hAnsi="Arial" w:cs="Arial"/>
        </w:rPr>
      </w:pPr>
      <w:r w:rsidRPr="000367F1">
        <w:rPr>
          <w:rFonts w:ascii="Arial" w:hAnsi="Arial" w:cs="Arial"/>
        </w:rPr>
        <w:t>(c)</w:t>
      </w:r>
      <w:r w:rsidRPr="000367F1">
        <w:rPr>
          <w:rFonts w:ascii="Arial" w:hAnsi="Arial" w:cs="Arial"/>
        </w:rPr>
        <w:tab/>
      </w:r>
      <w:r w:rsidRPr="000367F1">
        <w:rPr>
          <w:rFonts w:ascii="Arial" w:hAnsi="Arial" w:cs="Arial"/>
          <w:i/>
        </w:rPr>
        <w:t>an order or judgment granted as the result of a mistake common to the parties</w:t>
      </w:r>
      <w:r w:rsidRPr="000367F1">
        <w:rPr>
          <w:rFonts w:ascii="Arial" w:hAnsi="Arial" w:cs="Arial"/>
        </w:rPr>
        <w:t>, (my emphasis).</w:t>
      </w:r>
    </w:p>
    <w:p w14:paraId="49828088" w14:textId="43D2D901" w:rsidR="006829F6" w:rsidRPr="000367F1" w:rsidRDefault="006829F6" w:rsidP="000367F1">
      <w:pPr>
        <w:spacing w:after="0" w:line="360" w:lineRule="auto"/>
        <w:ind w:left="2160" w:hanging="720"/>
        <w:jc w:val="both"/>
        <w:rPr>
          <w:rFonts w:ascii="Arial" w:hAnsi="Arial" w:cs="Arial"/>
        </w:rPr>
      </w:pPr>
      <w:r w:rsidRPr="000367F1">
        <w:rPr>
          <w:rFonts w:ascii="Arial" w:hAnsi="Arial" w:cs="Arial"/>
        </w:rPr>
        <w:t>(2)</w:t>
      </w:r>
      <w:r w:rsidRPr="000367F1">
        <w:rPr>
          <w:rFonts w:ascii="Arial" w:hAnsi="Arial" w:cs="Arial"/>
        </w:rPr>
        <w:tab/>
        <w:t xml:space="preserve">Any party desiring any relief under this rule shall make application therefor upon notice to all parties whose interests may be affected by any variation sought. </w:t>
      </w:r>
    </w:p>
    <w:p w14:paraId="2E89C91C" w14:textId="77777777" w:rsidR="006829F6" w:rsidRPr="000367F1" w:rsidRDefault="006829F6" w:rsidP="008229CF">
      <w:pPr>
        <w:spacing w:after="0" w:line="360" w:lineRule="auto"/>
        <w:ind w:left="2160" w:hanging="720"/>
        <w:jc w:val="both"/>
        <w:rPr>
          <w:rFonts w:ascii="Arial" w:hAnsi="Arial" w:cs="Arial"/>
        </w:rPr>
      </w:pPr>
      <w:r w:rsidRPr="000367F1">
        <w:rPr>
          <w:rFonts w:ascii="Arial" w:hAnsi="Arial" w:cs="Arial"/>
        </w:rPr>
        <w:t>(3)</w:t>
      </w:r>
      <w:r w:rsidRPr="000367F1">
        <w:rPr>
          <w:rFonts w:ascii="Arial" w:hAnsi="Arial" w:cs="Arial"/>
        </w:rPr>
        <w:tab/>
        <w:t>The court shall not make any order rescinding or varying any order or judgment unless satisfied that all parties whose interests may be affected have notice of the order proposed.</w:t>
      </w:r>
    </w:p>
    <w:p w14:paraId="76F4F9A1" w14:textId="77777777" w:rsidR="00221A5F" w:rsidRPr="000367F1" w:rsidRDefault="00221A5F" w:rsidP="000367F1">
      <w:pPr>
        <w:spacing w:after="0" w:line="360" w:lineRule="auto"/>
        <w:ind w:left="720" w:hanging="720"/>
        <w:jc w:val="both"/>
        <w:rPr>
          <w:rFonts w:ascii="Arial" w:hAnsi="Arial" w:cs="Arial"/>
        </w:rPr>
      </w:pPr>
    </w:p>
    <w:p w14:paraId="2F199A1D" w14:textId="77777777" w:rsidR="000A28A1" w:rsidRPr="000367F1" w:rsidRDefault="000A28A1"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19</w:t>
      </w:r>
      <w:r w:rsidRPr="000367F1">
        <w:rPr>
          <w:rFonts w:ascii="Arial" w:hAnsi="Arial" w:cs="Arial"/>
        </w:rPr>
        <w:t>]</w:t>
      </w:r>
      <w:r w:rsidRPr="000367F1">
        <w:rPr>
          <w:rFonts w:ascii="Arial" w:hAnsi="Arial" w:cs="Arial"/>
        </w:rPr>
        <w:tab/>
        <w:t xml:space="preserve">In order to show good cause for rescission at common law, the </w:t>
      </w:r>
      <w:r w:rsidR="005D0B19" w:rsidRPr="000367F1">
        <w:rPr>
          <w:rFonts w:ascii="Arial" w:hAnsi="Arial" w:cs="Arial"/>
        </w:rPr>
        <w:t>M</w:t>
      </w:r>
      <w:r w:rsidRPr="000367F1">
        <w:rPr>
          <w:rFonts w:ascii="Arial" w:hAnsi="Arial" w:cs="Arial"/>
        </w:rPr>
        <w:t xml:space="preserve">unicipality was required to provide a reasonable explanation for the default and show that it has a </w:t>
      </w:r>
      <w:r w:rsidRPr="000367F1">
        <w:rPr>
          <w:rFonts w:ascii="Arial" w:hAnsi="Arial" w:cs="Arial"/>
          <w:i/>
        </w:rPr>
        <w:t>bona fide</w:t>
      </w:r>
      <w:r w:rsidRPr="000367F1">
        <w:rPr>
          <w:rFonts w:ascii="Arial" w:hAnsi="Arial" w:cs="Arial"/>
        </w:rPr>
        <w:t xml:space="preserve"> defence to the Fund’s claim.</w:t>
      </w:r>
      <w:r w:rsidR="002E453D" w:rsidRPr="000367F1">
        <w:rPr>
          <w:rStyle w:val="FootnoteReference"/>
          <w:rFonts w:ascii="Arial" w:hAnsi="Arial" w:cs="Arial"/>
        </w:rPr>
        <w:footnoteReference w:id="4"/>
      </w:r>
    </w:p>
    <w:p w14:paraId="043A117F" w14:textId="77777777" w:rsidR="003B5888" w:rsidRPr="000367F1" w:rsidRDefault="003B5888" w:rsidP="000367F1">
      <w:pPr>
        <w:spacing w:after="0" w:line="360" w:lineRule="auto"/>
        <w:ind w:left="720" w:hanging="720"/>
        <w:jc w:val="both"/>
        <w:rPr>
          <w:rFonts w:ascii="Arial" w:hAnsi="Arial" w:cs="Arial"/>
        </w:rPr>
      </w:pPr>
    </w:p>
    <w:p w14:paraId="42BDE923" w14:textId="77777777" w:rsidR="0007776F" w:rsidRPr="000367F1" w:rsidRDefault="0007776F" w:rsidP="000367F1">
      <w:pPr>
        <w:spacing w:after="0" w:line="360" w:lineRule="auto"/>
        <w:ind w:left="720" w:hanging="720"/>
        <w:jc w:val="both"/>
        <w:rPr>
          <w:rFonts w:ascii="Arial" w:hAnsi="Arial" w:cs="Arial"/>
        </w:rPr>
      </w:pPr>
      <w:r w:rsidRPr="000367F1">
        <w:rPr>
          <w:rFonts w:ascii="Arial" w:hAnsi="Arial" w:cs="Arial"/>
        </w:rPr>
        <w:t>[</w:t>
      </w:r>
      <w:r w:rsidR="00CD6FEC">
        <w:rPr>
          <w:rFonts w:ascii="Arial" w:hAnsi="Arial" w:cs="Arial"/>
        </w:rPr>
        <w:t>20</w:t>
      </w:r>
      <w:r w:rsidRPr="000367F1">
        <w:rPr>
          <w:rFonts w:ascii="Arial" w:hAnsi="Arial" w:cs="Arial"/>
        </w:rPr>
        <w:t>]</w:t>
      </w:r>
      <w:r w:rsidRPr="000367F1">
        <w:rPr>
          <w:rFonts w:ascii="Arial" w:hAnsi="Arial" w:cs="Arial"/>
        </w:rPr>
        <w:tab/>
      </w:r>
      <w:r w:rsidR="003B2F9F" w:rsidRPr="000367F1">
        <w:rPr>
          <w:rFonts w:ascii="Arial" w:hAnsi="Arial" w:cs="Arial"/>
        </w:rPr>
        <w:t>It is common cause that t</w:t>
      </w:r>
      <w:r w:rsidR="005D0B19" w:rsidRPr="000367F1">
        <w:rPr>
          <w:rFonts w:ascii="Arial" w:hAnsi="Arial" w:cs="Arial"/>
        </w:rPr>
        <w:t>he success of a rescission application</w:t>
      </w:r>
      <w:r w:rsidRPr="000367F1">
        <w:rPr>
          <w:rFonts w:ascii="Arial" w:hAnsi="Arial" w:cs="Arial"/>
        </w:rPr>
        <w:t xml:space="preserve"> is grounded on its purpose as emphasized in </w:t>
      </w:r>
      <w:r w:rsidRPr="000367F1">
        <w:rPr>
          <w:rFonts w:ascii="Arial" w:hAnsi="Arial" w:cs="Arial"/>
          <w:b/>
          <w:i/>
        </w:rPr>
        <w:t>Saphula v Nedcor Bank Ltd</w:t>
      </w:r>
      <w:r w:rsidRPr="000367F1">
        <w:rPr>
          <w:rStyle w:val="FootnoteReference"/>
          <w:rFonts w:ascii="Arial" w:hAnsi="Arial" w:cs="Arial"/>
        </w:rPr>
        <w:footnoteReference w:id="5"/>
      </w:r>
      <w:r w:rsidRPr="000367F1">
        <w:rPr>
          <w:rFonts w:ascii="Arial" w:hAnsi="Arial" w:cs="Arial"/>
        </w:rPr>
        <w:t xml:space="preserve">, </w:t>
      </w:r>
      <w:r w:rsidR="002A3332">
        <w:rPr>
          <w:rFonts w:ascii="Arial" w:hAnsi="Arial" w:cs="Arial"/>
        </w:rPr>
        <w:t xml:space="preserve">that </w:t>
      </w:r>
      <w:r w:rsidRPr="000367F1">
        <w:rPr>
          <w:rFonts w:ascii="Arial" w:hAnsi="Arial" w:cs="Arial"/>
        </w:rPr>
        <w:t>the ‘object of rescinding judgment is to restore a chance to air a real dispute [and for the] … defendant [to] honestly … pursue before a Court a set of facts which, if true, will constitute a defence’.</w:t>
      </w:r>
      <w:r w:rsidRPr="000367F1">
        <w:rPr>
          <w:rStyle w:val="FootnoteReference"/>
          <w:rFonts w:ascii="Arial" w:hAnsi="Arial" w:cs="Arial"/>
        </w:rPr>
        <w:footnoteReference w:id="6"/>
      </w:r>
    </w:p>
    <w:p w14:paraId="0AA5BFCE" w14:textId="77777777" w:rsidR="005F392F" w:rsidRPr="000367F1" w:rsidRDefault="005F392F" w:rsidP="000367F1">
      <w:pPr>
        <w:spacing w:after="0" w:line="360" w:lineRule="auto"/>
        <w:ind w:left="720" w:hanging="720"/>
        <w:jc w:val="both"/>
        <w:rPr>
          <w:rFonts w:ascii="Arial" w:hAnsi="Arial" w:cs="Arial"/>
        </w:rPr>
      </w:pPr>
    </w:p>
    <w:p w14:paraId="13BBFE62" w14:textId="77777777" w:rsidR="00026000" w:rsidRPr="000367F1" w:rsidRDefault="00026000" w:rsidP="000367F1">
      <w:pPr>
        <w:spacing w:after="0" w:line="360" w:lineRule="auto"/>
        <w:ind w:left="720" w:hanging="720"/>
        <w:jc w:val="both"/>
        <w:rPr>
          <w:rFonts w:ascii="Arial" w:hAnsi="Arial" w:cs="Arial"/>
        </w:rPr>
      </w:pPr>
      <w:r w:rsidRPr="000367F1">
        <w:rPr>
          <w:rFonts w:ascii="Arial" w:hAnsi="Arial" w:cs="Arial"/>
        </w:rPr>
        <w:t>[</w:t>
      </w:r>
      <w:r w:rsidR="00CD6FEC" w:rsidRPr="000367F1">
        <w:rPr>
          <w:rFonts w:ascii="Arial" w:hAnsi="Arial" w:cs="Arial"/>
        </w:rPr>
        <w:t>2</w:t>
      </w:r>
      <w:r w:rsidR="00CD6FEC">
        <w:rPr>
          <w:rFonts w:ascii="Arial" w:hAnsi="Arial" w:cs="Arial"/>
        </w:rPr>
        <w:t>1</w:t>
      </w:r>
      <w:r w:rsidRPr="000367F1">
        <w:rPr>
          <w:rFonts w:ascii="Arial" w:hAnsi="Arial" w:cs="Arial"/>
        </w:rPr>
        <w:t>]</w:t>
      </w:r>
      <w:r w:rsidR="0007776F" w:rsidRPr="000367F1">
        <w:rPr>
          <w:rFonts w:ascii="Arial" w:hAnsi="Arial" w:cs="Arial"/>
        </w:rPr>
        <w:tab/>
      </w:r>
      <w:r w:rsidRPr="000367F1">
        <w:rPr>
          <w:rFonts w:ascii="Arial" w:hAnsi="Arial" w:cs="Arial"/>
        </w:rPr>
        <w:t xml:space="preserve">The purpose which encapsulates the test for a successful rescission application has recently been articulated in </w:t>
      </w:r>
      <w:r w:rsidRPr="000367F1">
        <w:rPr>
          <w:rFonts w:ascii="Arial" w:hAnsi="Arial" w:cs="Arial"/>
          <w:b/>
          <w:i/>
        </w:rPr>
        <w:t>Gangat v Akoon</w:t>
      </w:r>
      <w:r w:rsidR="00893CBE">
        <w:rPr>
          <w:rFonts w:ascii="Arial" w:hAnsi="Arial" w:cs="Arial"/>
          <w:b/>
          <w:i/>
        </w:rPr>
        <w:t>.</w:t>
      </w:r>
      <w:r w:rsidRPr="000367F1">
        <w:rPr>
          <w:rStyle w:val="FootnoteReference"/>
          <w:rFonts w:ascii="Arial" w:hAnsi="Arial" w:cs="Arial"/>
        </w:rPr>
        <w:footnoteReference w:id="7"/>
      </w:r>
      <w:r w:rsidRPr="000367F1">
        <w:rPr>
          <w:rFonts w:ascii="Arial" w:hAnsi="Arial" w:cs="Arial"/>
        </w:rPr>
        <w:t xml:space="preserve"> The Court in this case held that the ‘[the appellant] must show that there is a reasonable and satisfactory explanation as to the default. Secondly, there is a </w:t>
      </w:r>
      <w:r w:rsidRPr="000367F1">
        <w:rPr>
          <w:rFonts w:ascii="Arial" w:hAnsi="Arial" w:cs="Arial"/>
          <w:i/>
        </w:rPr>
        <w:t>bona fide</w:t>
      </w:r>
      <w:r w:rsidRPr="000367F1">
        <w:rPr>
          <w:rFonts w:ascii="Arial" w:hAnsi="Arial" w:cs="Arial"/>
        </w:rPr>
        <w:t xml:space="preserve"> defence on the merits of the case which carries the prospect of success in the action’.</w:t>
      </w:r>
      <w:r w:rsidRPr="000367F1">
        <w:rPr>
          <w:rStyle w:val="FootnoteReference"/>
          <w:rFonts w:ascii="Arial" w:hAnsi="Arial" w:cs="Arial"/>
        </w:rPr>
        <w:footnoteReference w:id="8"/>
      </w:r>
      <w:r w:rsidRPr="000367F1">
        <w:rPr>
          <w:rFonts w:ascii="Arial" w:hAnsi="Arial" w:cs="Arial"/>
        </w:rPr>
        <w:t xml:space="preserve"> </w:t>
      </w:r>
    </w:p>
    <w:p w14:paraId="2E1AA016" w14:textId="77777777" w:rsidR="000773B7" w:rsidRDefault="000773B7" w:rsidP="00375055">
      <w:pPr>
        <w:spacing w:after="0" w:line="360" w:lineRule="auto"/>
        <w:jc w:val="both"/>
        <w:rPr>
          <w:rFonts w:ascii="Arial" w:hAnsi="Arial" w:cs="Arial"/>
        </w:rPr>
      </w:pPr>
    </w:p>
    <w:p w14:paraId="4E7C4575" w14:textId="0ADBC758" w:rsidR="008B0C7D" w:rsidRDefault="008B0C7D" w:rsidP="00375055">
      <w:pPr>
        <w:spacing w:after="0" w:line="360" w:lineRule="auto"/>
        <w:jc w:val="both"/>
        <w:rPr>
          <w:rFonts w:ascii="Arial" w:hAnsi="Arial" w:cs="Arial"/>
        </w:rPr>
      </w:pPr>
    </w:p>
    <w:p w14:paraId="2C7B357D" w14:textId="0DBFD0EF" w:rsidR="00195B40" w:rsidRDefault="00195B40" w:rsidP="00375055">
      <w:pPr>
        <w:spacing w:after="0" w:line="360" w:lineRule="auto"/>
        <w:jc w:val="both"/>
        <w:rPr>
          <w:rFonts w:ascii="Arial" w:hAnsi="Arial" w:cs="Arial"/>
        </w:rPr>
      </w:pPr>
    </w:p>
    <w:p w14:paraId="12BF101B" w14:textId="77777777" w:rsidR="00195B40" w:rsidRPr="000367F1" w:rsidRDefault="00195B40" w:rsidP="00375055">
      <w:pPr>
        <w:spacing w:after="0" w:line="360" w:lineRule="auto"/>
        <w:jc w:val="both"/>
        <w:rPr>
          <w:rFonts w:ascii="Arial" w:hAnsi="Arial" w:cs="Arial"/>
        </w:rPr>
      </w:pPr>
    </w:p>
    <w:p w14:paraId="10816EB3" w14:textId="77777777" w:rsidR="00056686" w:rsidRPr="000367F1" w:rsidRDefault="00056686" w:rsidP="000367F1">
      <w:pPr>
        <w:spacing w:after="0" w:line="360" w:lineRule="auto"/>
        <w:ind w:left="720" w:hanging="720"/>
        <w:jc w:val="both"/>
        <w:rPr>
          <w:rFonts w:ascii="Arial" w:hAnsi="Arial" w:cs="Arial"/>
          <w:b/>
        </w:rPr>
      </w:pPr>
      <w:r w:rsidRPr="000367F1">
        <w:rPr>
          <w:rFonts w:ascii="Arial" w:hAnsi="Arial" w:cs="Arial"/>
          <w:b/>
        </w:rPr>
        <w:lastRenderedPageBreak/>
        <w:t>Issues for determination</w:t>
      </w:r>
    </w:p>
    <w:p w14:paraId="508090A8" w14:textId="77777777" w:rsidR="00D60AC5" w:rsidRDefault="00D60AC5" w:rsidP="00D60AC5">
      <w:pPr>
        <w:spacing w:after="0" w:line="360" w:lineRule="auto"/>
        <w:ind w:left="720" w:hanging="720"/>
        <w:jc w:val="both"/>
        <w:rPr>
          <w:rFonts w:ascii="Arial" w:hAnsi="Arial" w:cs="Arial"/>
        </w:rPr>
      </w:pPr>
    </w:p>
    <w:p w14:paraId="6F3A6FBE" w14:textId="77777777" w:rsidR="00D60AC5" w:rsidRDefault="00D60AC5" w:rsidP="00D60AC5">
      <w:pPr>
        <w:spacing w:after="0" w:line="360" w:lineRule="auto"/>
        <w:ind w:left="720" w:hanging="720"/>
        <w:jc w:val="both"/>
        <w:rPr>
          <w:rFonts w:ascii="Arial" w:hAnsi="Arial" w:cs="Arial"/>
        </w:rPr>
      </w:pPr>
      <w:r>
        <w:rPr>
          <w:rFonts w:ascii="Arial" w:hAnsi="Arial" w:cs="Arial"/>
        </w:rPr>
        <w:t>[</w:t>
      </w:r>
      <w:r w:rsidR="00893CBE">
        <w:rPr>
          <w:rFonts w:ascii="Arial" w:hAnsi="Arial" w:cs="Arial"/>
        </w:rPr>
        <w:t>22</w:t>
      </w:r>
      <w:r>
        <w:rPr>
          <w:rFonts w:ascii="Arial" w:hAnsi="Arial" w:cs="Arial"/>
        </w:rPr>
        <w:t>]</w:t>
      </w:r>
      <w:r>
        <w:rPr>
          <w:rFonts w:ascii="Arial" w:hAnsi="Arial" w:cs="Arial"/>
        </w:rPr>
        <w:tab/>
      </w:r>
      <w:r w:rsidRPr="000367F1">
        <w:rPr>
          <w:rFonts w:ascii="Arial" w:hAnsi="Arial" w:cs="Arial"/>
        </w:rPr>
        <w:t>Before us, it was contended on behalf of the Fund that the Municipality’s right to apply for rescission has been perempted or waived, in that it acquiesced in the judgment. This submission was based on the fact that the Municipality had, with full knowledge of the application and the hearing date, decided not to oppose the application. The Municipality was accordingly in wilful default and has consequently not met the requirements for common law rescission.</w:t>
      </w:r>
    </w:p>
    <w:p w14:paraId="2FDDCFC0" w14:textId="77777777" w:rsidR="00D60AC5" w:rsidRPr="000367F1" w:rsidRDefault="00D60AC5" w:rsidP="00D60AC5">
      <w:pPr>
        <w:spacing w:after="0" w:line="360" w:lineRule="auto"/>
        <w:ind w:left="720" w:hanging="720"/>
        <w:jc w:val="both"/>
        <w:rPr>
          <w:rFonts w:ascii="Arial" w:hAnsi="Arial" w:cs="Arial"/>
        </w:rPr>
      </w:pPr>
    </w:p>
    <w:p w14:paraId="6B77B8D0"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23</w:t>
      </w:r>
      <w:r w:rsidRPr="000367F1">
        <w:rPr>
          <w:rFonts w:ascii="Arial" w:hAnsi="Arial" w:cs="Arial"/>
        </w:rPr>
        <w:t>]</w:t>
      </w:r>
      <w:r w:rsidRPr="000367F1">
        <w:rPr>
          <w:rFonts w:ascii="Arial" w:hAnsi="Arial" w:cs="Arial"/>
        </w:rPr>
        <w:tab/>
        <w:t xml:space="preserve">In addition, the Fund contended that until such time as the amended rule had been set aside by a competent court or tribunal, it remains binding. The Municipality’s defence, namely, that the increased rates of the contributions have not become effective and that the order was accordingly granted in error, is untenable. The Municipality has therefore not been able to establish that there was an error or mistake within the meaning of Rule 42, and has consequently not been able to raise a </w:t>
      </w:r>
      <w:r w:rsidRPr="00A91C4C">
        <w:rPr>
          <w:rFonts w:ascii="Arial" w:hAnsi="Arial" w:cs="Arial"/>
          <w:i/>
        </w:rPr>
        <w:t>bona fide</w:t>
      </w:r>
      <w:r w:rsidRPr="000367F1">
        <w:rPr>
          <w:rFonts w:ascii="Arial" w:hAnsi="Arial" w:cs="Arial"/>
        </w:rPr>
        <w:t xml:space="preserve"> defence, which is a requirement for common law rescission.</w:t>
      </w:r>
    </w:p>
    <w:p w14:paraId="6AF9E903" w14:textId="77777777" w:rsidR="00D60AC5" w:rsidRPr="000367F1" w:rsidRDefault="00D60AC5" w:rsidP="00D60AC5">
      <w:pPr>
        <w:spacing w:after="0" w:line="360" w:lineRule="auto"/>
        <w:ind w:left="720" w:hanging="720"/>
        <w:jc w:val="both"/>
        <w:rPr>
          <w:rFonts w:ascii="Arial" w:hAnsi="Arial" w:cs="Arial"/>
        </w:rPr>
      </w:pPr>
    </w:p>
    <w:p w14:paraId="106D1633"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24</w:t>
      </w:r>
      <w:r w:rsidRPr="000367F1">
        <w:rPr>
          <w:rFonts w:ascii="Arial" w:hAnsi="Arial" w:cs="Arial"/>
        </w:rPr>
        <w:t>]</w:t>
      </w:r>
      <w:r w:rsidRPr="000367F1">
        <w:rPr>
          <w:rFonts w:ascii="Arial" w:hAnsi="Arial" w:cs="Arial"/>
        </w:rPr>
        <w:tab/>
        <w:t xml:space="preserve">In terms of section 12 of the Act, a pension fund may alter or rescind any rule or make any additional rule, but the alteration, rescission or addition shall only be valid, </w:t>
      </w:r>
      <w:r w:rsidRPr="007A7B97">
        <w:rPr>
          <w:rFonts w:ascii="Arial" w:hAnsi="Arial" w:cs="Arial"/>
          <w:i/>
        </w:rPr>
        <w:t>inter alia</w:t>
      </w:r>
      <w:r w:rsidRPr="000367F1">
        <w:rPr>
          <w:rFonts w:ascii="Arial" w:hAnsi="Arial" w:cs="Arial"/>
        </w:rPr>
        <w:t>, once it has been approved by the Registrar and shall take effect as from the date determined by the Fund, or if no date has been determined, as from the date of registration.</w:t>
      </w:r>
    </w:p>
    <w:p w14:paraId="43F94A9D" w14:textId="77777777" w:rsidR="00D60AC5" w:rsidRPr="000367F1" w:rsidRDefault="00D60AC5" w:rsidP="00D60AC5">
      <w:pPr>
        <w:spacing w:after="0" w:line="360" w:lineRule="auto"/>
        <w:ind w:left="720" w:hanging="720"/>
        <w:jc w:val="both"/>
        <w:rPr>
          <w:rFonts w:ascii="Arial" w:hAnsi="Arial" w:cs="Arial"/>
        </w:rPr>
      </w:pPr>
    </w:p>
    <w:p w14:paraId="4DB049B1"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25</w:t>
      </w:r>
      <w:r w:rsidRPr="000367F1">
        <w:rPr>
          <w:rFonts w:ascii="Arial" w:hAnsi="Arial" w:cs="Arial"/>
        </w:rPr>
        <w:t>]</w:t>
      </w:r>
      <w:r w:rsidRPr="000367F1">
        <w:rPr>
          <w:rFonts w:ascii="Arial" w:hAnsi="Arial" w:cs="Arial"/>
        </w:rPr>
        <w:tab/>
        <w:t xml:space="preserve">It was common cause that the amended rule had been duly registered and approved by the Registrar in terms of section 12 of the Act and had accordingly come into operation on 1 November 2006. </w:t>
      </w:r>
    </w:p>
    <w:p w14:paraId="7F07F146" w14:textId="77777777" w:rsidR="00D60AC5" w:rsidRPr="000367F1" w:rsidRDefault="00D60AC5" w:rsidP="00D60AC5">
      <w:pPr>
        <w:spacing w:after="0" w:line="360" w:lineRule="auto"/>
        <w:ind w:left="720" w:hanging="720"/>
        <w:jc w:val="both"/>
        <w:rPr>
          <w:rFonts w:ascii="Arial" w:hAnsi="Arial" w:cs="Arial"/>
        </w:rPr>
      </w:pPr>
    </w:p>
    <w:p w14:paraId="6EC012CC"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26</w:t>
      </w:r>
      <w:r w:rsidRPr="000367F1">
        <w:rPr>
          <w:rFonts w:ascii="Arial" w:hAnsi="Arial" w:cs="Arial"/>
        </w:rPr>
        <w:t>]</w:t>
      </w:r>
      <w:r w:rsidRPr="000367F1">
        <w:rPr>
          <w:rFonts w:ascii="Arial" w:hAnsi="Arial" w:cs="Arial"/>
        </w:rPr>
        <w:tab/>
        <w:t xml:space="preserve">It is established law that the rules of a pension fund </w:t>
      </w:r>
      <w:r>
        <w:rPr>
          <w:rFonts w:ascii="Arial" w:hAnsi="Arial" w:cs="Arial"/>
        </w:rPr>
        <w:t>are</w:t>
      </w:r>
      <w:r w:rsidRPr="000367F1">
        <w:rPr>
          <w:rFonts w:ascii="Arial" w:hAnsi="Arial" w:cs="Arial"/>
        </w:rPr>
        <w:t xml:space="preserve"> binding on the trustees of the Fund, employers, employees and participating and members with effect from that date of operation on 1 November 2006. In terms of section 13 of the Act, the rights and obligations of members and participating employees are governed by the rules. The trustees of the fund are accordingly bound to observe and implement the Fund rules.</w:t>
      </w:r>
    </w:p>
    <w:p w14:paraId="599E0C6D" w14:textId="77777777" w:rsidR="00D60AC5" w:rsidRPr="000367F1" w:rsidRDefault="00D60AC5" w:rsidP="00D60AC5">
      <w:pPr>
        <w:spacing w:after="0" w:line="360" w:lineRule="auto"/>
        <w:ind w:left="720" w:hanging="720"/>
        <w:jc w:val="both"/>
        <w:rPr>
          <w:rFonts w:ascii="Arial" w:hAnsi="Arial" w:cs="Arial"/>
        </w:rPr>
      </w:pPr>
    </w:p>
    <w:p w14:paraId="1F4F963B"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27</w:t>
      </w:r>
      <w:r w:rsidRPr="000367F1">
        <w:rPr>
          <w:rFonts w:ascii="Arial" w:hAnsi="Arial" w:cs="Arial"/>
        </w:rPr>
        <w:t>]</w:t>
      </w:r>
      <w:r w:rsidRPr="000367F1">
        <w:rPr>
          <w:rFonts w:ascii="Arial" w:hAnsi="Arial" w:cs="Arial"/>
        </w:rPr>
        <w:tab/>
        <w:t xml:space="preserve">The Municipality’s argument that the amended rule only became effective once its council had resolved to agree to the increased rates, is founded upon its interpretation of rule </w:t>
      </w:r>
      <w:r w:rsidRPr="000367F1">
        <w:rPr>
          <w:rFonts w:ascii="Arial" w:hAnsi="Arial" w:cs="Arial"/>
        </w:rPr>
        <w:lastRenderedPageBreak/>
        <w:t xml:space="preserve">11.1.3, which provides that any amendment relating to employer’s contributions shall be subject to the employer’s agreement with the union. The </w:t>
      </w:r>
      <w:r>
        <w:rPr>
          <w:rFonts w:ascii="Arial" w:hAnsi="Arial" w:cs="Arial"/>
        </w:rPr>
        <w:t>M</w:t>
      </w:r>
      <w:r w:rsidRPr="000367F1">
        <w:rPr>
          <w:rFonts w:ascii="Arial" w:hAnsi="Arial" w:cs="Arial"/>
        </w:rPr>
        <w:t>unicipality contends that the effect of that provision is that the amendment only became effective once it had communicated its agreement to the increased rates to the union.</w:t>
      </w:r>
    </w:p>
    <w:p w14:paraId="4B4306BC" w14:textId="77777777" w:rsidR="00D60AC5" w:rsidRPr="000367F1" w:rsidRDefault="00D60AC5" w:rsidP="00D60AC5">
      <w:pPr>
        <w:spacing w:after="0" w:line="360" w:lineRule="auto"/>
        <w:ind w:left="720" w:hanging="720"/>
        <w:jc w:val="both"/>
        <w:rPr>
          <w:rFonts w:ascii="Arial" w:hAnsi="Arial" w:cs="Arial"/>
        </w:rPr>
      </w:pPr>
    </w:p>
    <w:p w14:paraId="65664811"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28</w:t>
      </w:r>
      <w:r w:rsidRPr="000367F1">
        <w:rPr>
          <w:rFonts w:ascii="Arial" w:hAnsi="Arial" w:cs="Arial"/>
        </w:rPr>
        <w:t>]</w:t>
      </w:r>
      <w:r w:rsidRPr="000367F1">
        <w:rPr>
          <w:rFonts w:ascii="Arial" w:hAnsi="Arial" w:cs="Arial"/>
        </w:rPr>
        <w:tab/>
        <w:t>I do not agree with this submission. Rule 11.1.3 envisages that the negotiations between an employer and the union in respect of proposed increased rates would take place before the amendment is submitted to the Registrar for approval and registration in terms of section 13 of the Act. Once the amendment had been approved and registered by the Registrar, it becomes a binding rule as defined in terms of the Act, and must be implemented by the trustees.</w:t>
      </w:r>
    </w:p>
    <w:p w14:paraId="1FE791FD" w14:textId="77777777" w:rsidR="00D60AC5" w:rsidRPr="000367F1" w:rsidRDefault="00D60AC5" w:rsidP="00D60AC5">
      <w:pPr>
        <w:spacing w:after="0" w:line="360" w:lineRule="auto"/>
        <w:ind w:left="720" w:hanging="720"/>
        <w:jc w:val="both"/>
        <w:rPr>
          <w:rFonts w:ascii="Arial" w:hAnsi="Arial" w:cs="Arial"/>
        </w:rPr>
      </w:pPr>
    </w:p>
    <w:p w14:paraId="11D85A46"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29</w:t>
      </w:r>
      <w:r w:rsidRPr="000367F1">
        <w:rPr>
          <w:rFonts w:ascii="Arial" w:hAnsi="Arial" w:cs="Arial"/>
        </w:rPr>
        <w:t>]</w:t>
      </w:r>
      <w:r w:rsidRPr="000367F1">
        <w:rPr>
          <w:rFonts w:ascii="Arial" w:hAnsi="Arial" w:cs="Arial"/>
        </w:rPr>
        <w:tab/>
        <w:t>Any employer or affected member who wishes to assail the process that led to the adoption of the rule cannot simply ignore the rule, but is constrained to institute proceedings for its review and setting aside. It is an established principle of our law that invalid administrative action cannot simply be ignored, but may be valid and effectual and continue to have legal consequences until set aside by proper process.</w:t>
      </w:r>
      <w:r w:rsidRPr="000367F1">
        <w:rPr>
          <w:rStyle w:val="FootnoteReference"/>
          <w:rFonts w:ascii="Arial" w:hAnsi="Arial" w:cs="Arial"/>
        </w:rPr>
        <w:footnoteReference w:id="9"/>
      </w:r>
    </w:p>
    <w:p w14:paraId="340BEE38" w14:textId="77777777" w:rsidR="00D60AC5" w:rsidRPr="000367F1" w:rsidRDefault="00D60AC5" w:rsidP="00D60AC5">
      <w:pPr>
        <w:spacing w:after="0" w:line="360" w:lineRule="auto"/>
        <w:ind w:left="720" w:hanging="720"/>
        <w:jc w:val="both"/>
        <w:rPr>
          <w:rFonts w:ascii="Arial" w:hAnsi="Arial" w:cs="Arial"/>
        </w:rPr>
      </w:pPr>
    </w:p>
    <w:p w14:paraId="48BEBC6D" w14:textId="77777777" w:rsidR="00D60AC5" w:rsidRPr="000367F1" w:rsidRDefault="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30</w:t>
      </w:r>
      <w:r w:rsidRPr="000367F1">
        <w:rPr>
          <w:rFonts w:ascii="Arial" w:hAnsi="Arial" w:cs="Arial"/>
        </w:rPr>
        <w:t>]</w:t>
      </w:r>
      <w:r w:rsidRPr="000367F1">
        <w:rPr>
          <w:rFonts w:ascii="Arial" w:hAnsi="Arial" w:cs="Arial"/>
        </w:rPr>
        <w:tab/>
        <w:t xml:space="preserve">In </w:t>
      </w:r>
      <w:r w:rsidRPr="000367F1">
        <w:rPr>
          <w:rFonts w:ascii="Arial" w:hAnsi="Arial" w:cs="Arial"/>
          <w:i/>
        </w:rPr>
        <w:t>MEC for Health Eastern Cape v Kirland Investments (Pty) Ltd</w:t>
      </w:r>
      <w:r w:rsidRPr="000367F1">
        <w:rPr>
          <w:rStyle w:val="FootnoteReference"/>
          <w:rFonts w:ascii="Arial" w:hAnsi="Arial" w:cs="Arial"/>
          <w:i/>
        </w:rPr>
        <w:footnoteReference w:id="10"/>
      </w:r>
      <w:r w:rsidRPr="000367F1">
        <w:rPr>
          <w:rFonts w:ascii="Arial" w:hAnsi="Arial" w:cs="Arial"/>
          <w:i/>
        </w:rPr>
        <w:t xml:space="preserve"> </w:t>
      </w:r>
      <w:r w:rsidRPr="000367F1">
        <w:rPr>
          <w:rFonts w:ascii="Arial" w:hAnsi="Arial" w:cs="Arial"/>
        </w:rPr>
        <w:t>Cameron J warned about the ‘vortex of uncertainty, unpredictability and irrationality which may arise should irregular administrative action simply be ignored on the basis that it is a nullity, without a legal challenge to its validity’.</w:t>
      </w:r>
      <w:r>
        <w:rPr>
          <w:rStyle w:val="FootnoteReference"/>
          <w:rFonts w:ascii="Arial" w:hAnsi="Arial" w:cs="Arial"/>
        </w:rPr>
        <w:footnoteReference w:id="11"/>
      </w:r>
      <w:r w:rsidRPr="000367F1">
        <w:rPr>
          <w:rFonts w:ascii="Arial" w:hAnsi="Arial" w:cs="Arial"/>
        </w:rPr>
        <w:t xml:space="preserve"> It is not difficult to conceive of the confusion and prejudicial consequences for other participating employers and members of a Fund if any affected party can simply ignore a rule depending on the view that he or she takes regarding the validity of that rule, without instituting proceedings to have it reviewed and set aside.</w:t>
      </w:r>
    </w:p>
    <w:p w14:paraId="584F7285" w14:textId="77777777" w:rsidR="00D60AC5" w:rsidRPr="000367F1" w:rsidRDefault="00D60AC5" w:rsidP="008B0C7D">
      <w:pPr>
        <w:spacing w:after="0" w:line="360" w:lineRule="auto"/>
        <w:jc w:val="both"/>
        <w:rPr>
          <w:rFonts w:ascii="Arial" w:hAnsi="Arial" w:cs="Arial"/>
        </w:rPr>
      </w:pPr>
    </w:p>
    <w:p w14:paraId="7AE938BF"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31</w:t>
      </w:r>
      <w:r w:rsidRPr="000367F1">
        <w:rPr>
          <w:rFonts w:ascii="Arial" w:hAnsi="Arial" w:cs="Arial"/>
        </w:rPr>
        <w:t>]</w:t>
      </w:r>
      <w:r w:rsidRPr="000367F1">
        <w:rPr>
          <w:rFonts w:ascii="Arial" w:hAnsi="Arial" w:cs="Arial"/>
        </w:rPr>
        <w:tab/>
        <w:t xml:space="preserve">Without challenging the rule in the proper manner, the Fund, the Registrar or any other person with an interest in the matter, were also denied an opportunity to oppose and raise defences against the claim. By way of example, the issue of not opposing the application, prejudicial consequences for other members, the possibility of reduction in benefits and </w:t>
      </w:r>
      <w:r w:rsidRPr="000367F1">
        <w:rPr>
          <w:rFonts w:ascii="Arial" w:hAnsi="Arial" w:cs="Arial"/>
        </w:rPr>
        <w:lastRenderedPageBreak/>
        <w:t>repayment by members of the retirement benefits or death benefits already paid to beneficiaries, may be raised by parties who wish to oppose the relief sought.</w:t>
      </w:r>
    </w:p>
    <w:p w14:paraId="6032EED2" w14:textId="77777777" w:rsidR="00D60AC5" w:rsidRPr="000367F1" w:rsidRDefault="00D60AC5" w:rsidP="00D60AC5">
      <w:pPr>
        <w:spacing w:after="0" w:line="360" w:lineRule="auto"/>
        <w:ind w:left="720" w:hanging="720"/>
        <w:jc w:val="both"/>
        <w:rPr>
          <w:rFonts w:ascii="Arial" w:hAnsi="Arial" w:cs="Arial"/>
        </w:rPr>
      </w:pPr>
    </w:p>
    <w:p w14:paraId="1D00DCD0"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32</w:t>
      </w:r>
      <w:r w:rsidRPr="000367F1">
        <w:rPr>
          <w:rFonts w:ascii="Arial" w:hAnsi="Arial" w:cs="Arial"/>
        </w:rPr>
        <w:t>]</w:t>
      </w:r>
      <w:r w:rsidRPr="000367F1">
        <w:rPr>
          <w:rFonts w:ascii="Arial" w:hAnsi="Arial" w:cs="Arial"/>
        </w:rPr>
        <w:tab/>
        <w:t xml:space="preserve">There is, in addition, the issue raised by the Fund regarding the obligation on the </w:t>
      </w:r>
      <w:r>
        <w:rPr>
          <w:rFonts w:ascii="Arial" w:hAnsi="Arial" w:cs="Arial"/>
        </w:rPr>
        <w:t>M</w:t>
      </w:r>
      <w:r w:rsidRPr="000367F1">
        <w:rPr>
          <w:rFonts w:ascii="Arial" w:hAnsi="Arial" w:cs="Arial"/>
        </w:rPr>
        <w:t>unicipality first to exhaust internal remedies before approaching the High Court for a review as a tribunal of first instance. In terms of the Financial Sector Regulation Act, 9 of 2017, a person aggrieved by a decision to approve or register a rule or rule amendment must to approach the Financial Services Tribunal for a reconsideration such a decision.</w:t>
      </w:r>
    </w:p>
    <w:p w14:paraId="4523C7F7" w14:textId="77777777" w:rsidR="00D60AC5" w:rsidRPr="000367F1" w:rsidRDefault="00D60AC5" w:rsidP="00D60AC5">
      <w:pPr>
        <w:spacing w:after="0" w:line="360" w:lineRule="auto"/>
        <w:ind w:left="720" w:hanging="720"/>
        <w:jc w:val="both"/>
        <w:rPr>
          <w:rFonts w:ascii="Arial" w:hAnsi="Arial" w:cs="Arial"/>
        </w:rPr>
      </w:pPr>
    </w:p>
    <w:p w14:paraId="08BB359C" w14:textId="7777777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33</w:t>
      </w:r>
      <w:r w:rsidRPr="000367F1">
        <w:rPr>
          <w:rFonts w:ascii="Arial" w:hAnsi="Arial" w:cs="Arial"/>
        </w:rPr>
        <w:t>]</w:t>
      </w:r>
      <w:r w:rsidRPr="000367F1">
        <w:rPr>
          <w:rFonts w:ascii="Arial" w:hAnsi="Arial" w:cs="Arial"/>
        </w:rPr>
        <w:tab/>
        <w:t>The Fund has correctly asserted that without the amended rule being set aside</w:t>
      </w:r>
      <w:r>
        <w:rPr>
          <w:rFonts w:ascii="Arial" w:hAnsi="Arial" w:cs="Arial"/>
        </w:rPr>
        <w:t>,</w:t>
      </w:r>
      <w:r w:rsidRPr="000367F1">
        <w:rPr>
          <w:rFonts w:ascii="Arial" w:hAnsi="Arial" w:cs="Arial"/>
        </w:rPr>
        <w:t xml:space="preserve"> the rescission will have no practical effect as the rule remains extant and the Municipality will remain liable to perform in accordance with it.</w:t>
      </w:r>
    </w:p>
    <w:p w14:paraId="11046436" w14:textId="77777777" w:rsidR="00D60AC5" w:rsidRPr="000367F1" w:rsidRDefault="00D60AC5" w:rsidP="00D60AC5">
      <w:pPr>
        <w:spacing w:after="0" w:line="360" w:lineRule="auto"/>
        <w:ind w:left="720" w:hanging="720"/>
        <w:jc w:val="both"/>
        <w:rPr>
          <w:rFonts w:ascii="Arial" w:hAnsi="Arial" w:cs="Arial"/>
        </w:rPr>
      </w:pPr>
    </w:p>
    <w:p w14:paraId="70852A7B" w14:textId="2D060848"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34</w:t>
      </w:r>
      <w:r w:rsidRPr="000367F1">
        <w:rPr>
          <w:rFonts w:ascii="Arial" w:hAnsi="Arial" w:cs="Arial"/>
        </w:rPr>
        <w:t>]</w:t>
      </w:r>
      <w:r w:rsidRPr="000367F1">
        <w:rPr>
          <w:rFonts w:ascii="Arial" w:hAnsi="Arial" w:cs="Arial"/>
        </w:rPr>
        <w:tab/>
        <w:t xml:space="preserve">A litigant, such as the Municipality in the present case, who is absent from the court process </w:t>
      </w:r>
      <w:r w:rsidR="00792949">
        <w:rPr>
          <w:rFonts w:ascii="Arial" w:hAnsi="Arial" w:cs="Arial"/>
        </w:rPr>
        <w:t xml:space="preserve">and fails </w:t>
      </w:r>
      <w:r w:rsidRPr="000367F1">
        <w:rPr>
          <w:rFonts w:ascii="Arial" w:hAnsi="Arial" w:cs="Arial"/>
        </w:rPr>
        <w:t>to show reasonable cause that will justify such absence</w:t>
      </w:r>
      <w:r w:rsidR="00792949">
        <w:rPr>
          <w:rFonts w:ascii="Arial" w:hAnsi="Arial" w:cs="Arial"/>
        </w:rPr>
        <w:t>,</w:t>
      </w:r>
      <w:r w:rsidRPr="000367F1">
        <w:rPr>
          <w:rFonts w:ascii="Arial" w:hAnsi="Arial" w:cs="Arial"/>
        </w:rPr>
        <w:t xml:space="preserve"> missed an opportunity that could have enabled the Court to take cognisance of the merits of the main application before-hand of the rule amendment and the effect it has on the parties. </w:t>
      </w:r>
    </w:p>
    <w:p w14:paraId="3FBB99BC" w14:textId="77777777" w:rsidR="00D60AC5" w:rsidRPr="000367F1" w:rsidRDefault="00D60AC5" w:rsidP="008B0C7D">
      <w:pPr>
        <w:spacing w:after="0" w:line="360" w:lineRule="auto"/>
        <w:jc w:val="both"/>
        <w:rPr>
          <w:rFonts w:ascii="Arial" w:hAnsi="Arial" w:cs="Arial"/>
        </w:rPr>
      </w:pPr>
    </w:p>
    <w:p w14:paraId="1B058E40" w14:textId="77777777" w:rsidR="00D60AC5"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35</w:t>
      </w:r>
      <w:r w:rsidRPr="000367F1">
        <w:rPr>
          <w:rFonts w:ascii="Arial" w:hAnsi="Arial" w:cs="Arial"/>
        </w:rPr>
        <w:t>]</w:t>
      </w:r>
      <w:r w:rsidRPr="000367F1">
        <w:rPr>
          <w:rFonts w:ascii="Arial" w:hAnsi="Arial" w:cs="Arial"/>
        </w:rPr>
        <w:tab/>
        <w:t>The order granted in the main application was not erroneous as envisaged in terms of Rule 42(1)(a) or ambiguous in terms of Rule 42(1)(b).</w:t>
      </w:r>
      <w:r w:rsidRPr="000367F1">
        <w:rPr>
          <w:rStyle w:val="FootnoteReference"/>
          <w:rFonts w:ascii="Arial" w:hAnsi="Arial" w:cs="Arial"/>
        </w:rPr>
        <w:footnoteReference w:id="12"/>
      </w:r>
      <w:r w:rsidRPr="000367F1">
        <w:rPr>
          <w:rFonts w:ascii="Arial" w:hAnsi="Arial" w:cs="Arial"/>
        </w:rPr>
        <w:t xml:space="preserve"> </w:t>
      </w:r>
      <w:r>
        <w:rPr>
          <w:rFonts w:ascii="Arial" w:hAnsi="Arial" w:cs="Arial"/>
        </w:rPr>
        <w:t xml:space="preserve">It </w:t>
      </w:r>
      <w:r w:rsidRPr="000367F1">
        <w:rPr>
          <w:rFonts w:ascii="Arial" w:hAnsi="Arial" w:cs="Arial"/>
        </w:rPr>
        <w:t xml:space="preserve">is explicit and its effect reflects the true purpose of the reasoning of the Presiding Judge. I find no reason of the court </w:t>
      </w:r>
      <w:r w:rsidRPr="000367F1">
        <w:rPr>
          <w:rFonts w:ascii="Arial" w:hAnsi="Arial" w:cs="Arial"/>
          <w:i/>
        </w:rPr>
        <w:t>a quo</w:t>
      </w:r>
      <w:r w:rsidRPr="000367F1">
        <w:rPr>
          <w:rFonts w:ascii="Arial" w:hAnsi="Arial" w:cs="Arial"/>
        </w:rPr>
        <w:t xml:space="preserve"> for not granting the order in the absence of an opposing affidavit.</w:t>
      </w:r>
    </w:p>
    <w:p w14:paraId="3F2EF5A2" w14:textId="77777777" w:rsidR="00D60AC5" w:rsidRDefault="00D60AC5" w:rsidP="00D60AC5">
      <w:pPr>
        <w:spacing w:after="0" w:line="360" w:lineRule="auto"/>
        <w:ind w:left="720" w:hanging="720"/>
        <w:jc w:val="both"/>
        <w:rPr>
          <w:rFonts w:ascii="Arial" w:hAnsi="Arial" w:cs="Arial"/>
        </w:rPr>
      </w:pPr>
    </w:p>
    <w:p w14:paraId="07920D2A" w14:textId="5B788F97" w:rsidR="00D60AC5" w:rsidRPr="000367F1" w:rsidRDefault="00D60AC5" w:rsidP="00D60AC5">
      <w:pPr>
        <w:spacing w:after="0" w:line="360" w:lineRule="auto"/>
        <w:ind w:left="720" w:hanging="720"/>
        <w:jc w:val="both"/>
        <w:rPr>
          <w:rFonts w:ascii="Arial" w:hAnsi="Arial" w:cs="Arial"/>
        </w:rPr>
      </w:pPr>
      <w:r w:rsidRPr="000367F1">
        <w:rPr>
          <w:rFonts w:ascii="Arial" w:hAnsi="Arial" w:cs="Arial"/>
        </w:rPr>
        <w:t>[</w:t>
      </w:r>
      <w:r w:rsidR="00893CBE">
        <w:rPr>
          <w:rFonts w:ascii="Arial" w:hAnsi="Arial" w:cs="Arial"/>
        </w:rPr>
        <w:t>36</w:t>
      </w:r>
      <w:r w:rsidRPr="000367F1">
        <w:rPr>
          <w:rFonts w:ascii="Arial" w:hAnsi="Arial" w:cs="Arial"/>
        </w:rPr>
        <w:t>]</w:t>
      </w:r>
      <w:r w:rsidRPr="000367F1">
        <w:rPr>
          <w:rFonts w:ascii="Arial" w:hAnsi="Arial" w:cs="Arial"/>
        </w:rPr>
        <w:tab/>
        <w:t xml:space="preserve">I am accordingly in respectful agreement with Rugunanan J’s finding that the Municipality has failed to establish a </w:t>
      </w:r>
      <w:r w:rsidRPr="000367F1">
        <w:rPr>
          <w:rFonts w:ascii="Arial" w:hAnsi="Arial" w:cs="Arial"/>
          <w:i/>
        </w:rPr>
        <w:t>bona fide</w:t>
      </w:r>
      <w:r w:rsidRPr="000367F1">
        <w:rPr>
          <w:rFonts w:ascii="Arial" w:hAnsi="Arial" w:cs="Arial"/>
        </w:rPr>
        <w:t xml:space="preserve"> defence to the Fund’s claim. This finding is fatal to its case since it means that it has failed to establish that there has been an error as envisaged by Uniform Court Rule 42(1)(c), neither has it established good cause required for rescission at common law. It is accordingly not necessary for us to decide the issue of the Municipality’s waiver or peremption of its right to apply for rescission. Suffice it to say that the argument presented by the Fund in respect of that issue is equally compelling. It is established law that a defendant </w:t>
      </w:r>
      <w:r>
        <w:rPr>
          <w:rFonts w:ascii="Arial" w:hAnsi="Arial" w:cs="Arial"/>
        </w:rPr>
        <w:t xml:space="preserve">whilst aware of an application against him or her and does nothing to oppose it, allows the plaintiff to take his or her course with a potential of a </w:t>
      </w:r>
      <w:r>
        <w:rPr>
          <w:rFonts w:ascii="Arial" w:hAnsi="Arial" w:cs="Arial"/>
        </w:rPr>
        <w:lastRenderedPageBreak/>
        <w:t>default judgment to be taken, is presumed to be in willful default and not entitled to rescission judgment.</w:t>
      </w:r>
      <w:r w:rsidRPr="000367F1">
        <w:rPr>
          <w:rFonts w:ascii="Arial" w:hAnsi="Arial" w:cs="Arial"/>
        </w:rPr>
        <w:t xml:space="preserve"> In the result, the appeal must fail as it is evident that an injustice will be done towards the Fund and its members should the relief sought by the </w:t>
      </w:r>
      <w:r w:rsidR="00C137B3">
        <w:rPr>
          <w:rFonts w:ascii="Arial" w:hAnsi="Arial" w:cs="Arial"/>
        </w:rPr>
        <w:t>a</w:t>
      </w:r>
      <w:r w:rsidRPr="000367F1">
        <w:rPr>
          <w:rFonts w:ascii="Arial" w:hAnsi="Arial" w:cs="Arial"/>
        </w:rPr>
        <w:t>ppellant be granted.</w:t>
      </w:r>
    </w:p>
    <w:p w14:paraId="090FB869" w14:textId="77777777" w:rsidR="00D60AC5" w:rsidRPr="000367F1" w:rsidRDefault="00D60AC5" w:rsidP="00D60AC5">
      <w:pPr>
        <w:spacing w:after="0" w:line="360" w:lineRule="auto"/>
        <w:jc w:val="both"/>
        <w:rPr>
          <w:rFonts w:ascii="Arial" w:hAnsi="Arial" w:cs="Arial"/>
        </w:rPr>
      </w:pPr>
    </w:p>
    <w:p w14:paraId="3B2257CE" w14:textId="77777777" w:rsidR="00D60AC5" w:rsidRPr="000367F1" w:rsidRDefault="00D60AC5" w:rsidP="00D60AC5">
      <w:pPr>
        <w:spacing w:after="0" w:line="360" w:lineRule="auto"/>
        <w:jc w:val="both"/>
        <w:rPr>
          <w:rFonts w:ascii="Arial" w:hAnsi="Arial" w:cs="Arial"/>
        </w:rPr>
      </w:pPr>
      <w:r w:rsidRPr="000367F1">
        <w:rPr>
          <w:rFonts w:ascii="Arial" w:hAnsi="Arial" w:cs="Arial"/>
        </w:rPr>
        <w:t>[</w:t>
      </w:r>
      <w:r w:rsidR="00893CBE">
        <w:rPr>
          <w:rFonts w:ascii="Arial" w:hAnsi="Arial" w:cs="Arial"/>
        </w:rPr>
        <w:t>37</w:t>
      </w:r>
      <w:r w:rsidRPr="000367F1">
        <w:rPr>
          <w:rFonts w:ascii="Arial" w:hAnsi="Arial" w:cs="Arial"/>
        </w:rPr>
        <w:t>]</w:t>
      </w:r>
      <w:r w:rsidRPr="000367F1">
        <w:rPr>
          <w:rFonts w:ascii="Arial" w:hAnsi="Arial" w:cs="Arial"/>
        </w:rPr>
        <w:tab/>
        <w:t>In the result, the appeal is dismissed with costs.</w:t>
      </w:r>
    </w:p>
    <w:p w14:paraId="2F8F5480" w14:textId="77777777" w:rsidR="004C3266" w:rsidRDefault="004C3266" w:rsidP="00375055">
      <w:pPr>
        <w:spacing w:after="0" w:line="360" w:lineRule="auto"/>
        <w:jc w:val="both"/>
        <w:rPr>
          <w:rFonts w:ascii="Arial" w:hAnsi="Arial" w:cs="Arial"/>
        </w:rPr>
      </w:pPr>
    </w:p>
    <w:p w14:paraId="28A98419" w14:textId="77777777" w:rsidR="004C3266" w:rsidRDefault="004C3266" w:rsidP="000367F1">
      <w:pPr>
        <w:spacing w:after="0" w:line="360" w:lineRule="auto"/>
        <w:ind w:left="720" w:hanging="720"/>
        <w:jc w:val="both"/>
        <w:rPr>
          <w:rFonts w:ascii="Arial" w:hAnsi="Arial" w:cs="Arial"/>
        </w:rPr>
      </w:pPr>
    </w:p>
    <w:p w14:paraId="0A3D8582" w14:textId="77777777" w:rsidR="00A44B1A" w:rsidRPr="000367F1" w:rsidRDefault="00A44B1A" w:rsidP="000367F1">
      <w:pPr>
        <w:spacing w:after="0" w:line="360" w:lineRule="auto"/>
        <w:ind w:left="720" w:hanging="720"/>
        <w:jc w:val="both"/>
        <w:rPr>
          <w:rFonts w:ascii="Arial" w:hAnsi="Arial" w:cs="Arial"/>
        </w:rPr>
      </w:pPr>
    </w:p>
    <w:p w14:paraId="75377835" w14:textId="77777777" w:rsidR="00A44B1A" w:rsidRPr="000367F1" w:rsidRDefault="00A44B1A" w:rsidP="000367F1">
      <w:pPr>
        <w:spacing w:after="0" w:line="360" w:lineRule="auto"/>
        <w:ind w:left="720" w:hanging="720"/>
        <w:jc w:val="both"/>
        <w:rPr>
          <w:rFonts w:ascii="Arial" w:hAnsi="Arial" w:cs="Arial"/>
        </w:rPr>
      </w:pPr>
      <w:r w:rsidRPr="000367F1">
        <w:rPr>
          <w:rFonts w:ascii="Arial" w:hAnsi="Arial" w:cs="Arial"/>
        </w:rPr>
        <w:t>_________________________________________</w:t>
      </w:r>
    </w:p>
    <w:p w14:paraId="6C0B7AFE" w14:textId="77777777" w:rsidR="00A44B1A" w:rsidRPr="000367F1" w:rsidRDefault="00A44B1A" w:rsidP="000367F1">
      <w:pPr>
        <w:spacing w:after="0" w:line="360" w:lineRule="auto"/>
        <w:ind w:left="720" w:hanging="720"/>
        <w:jc w:val="both"/>
        <w:rPr>
          <w:rFonts w:ascii="Arial" w:hAnsi="Arial" w:cs="Arial"/>
          <w:b/>
        </w:rPr>
      </w:pPr>
      <w:r w:rsidRPr="000367F1">
        <w:rPr>
          <w:rFonts w:ascii="Arial" w:hAnsi="Arial" w:cs="Arial"/>
          <w:b/>
        </w:rPr>
        <w:t>N Ntlama-Makhanya</w:t>
      </w:r>
    </w:p>
    <w:p w14:paraId="0F7A584A" w14:textId="77777777" w:rsidR="00A44B1A" w:rsidRPr="000367F1" w:rsidRDefault="00B13B6B" w:rsidP="000367F1">
      <w:pPr>
        <w:spacing w:after="0" w:line="360" w:lineRule="auto"/>
        <w:ind w:left="720" w:hanging="720"/>
        <w:jc w:val="both"/>
        <w:rPr>
          <w:rFonts w:ascii="Arial" w:hAnsi="Arial" w:cs="Arial"/>
        </w:rPr>
      </w:pPr>
      <w:r>
        <w:rPr>
          <w:rFonts w:ascii="Arial" w:hAnsi="Arial" w:cs="Arial"/>
          <w:b/>
        </w:rPr>
        <w:t>Acting Judge of the High Court</w:t>
      </w:r>
    </w:p>
    <w:p w14:paraId="6399C5A7" w14:textId="77777777" w:rsidR="002563C3" w:rsidRDefault="002563C3" w:rsidP="000367F1">
      <w:pPr>
        <w:spacing w:after="0" w:line="360" w:lineRule="auto"/>
        <w:ind w:left="720" w:hanging="720"/>
        <w:jc w:val="both"/>
        <w:rPr>
          <w:rFonts w:ascii="Arial" w:hAnsi="Arial" w:cs="Arial"/>
        </w:rPr>
      </w:pPr>
      <w:r w:rsidRPr="000367F1">
        <w:rPr>
          <w:rFonts w:ascii="Arial" w:hAnsi="Arial" w:cs="Arial"/>
        </w:rPr>
        <w:t>I agree</w:t>
      </w:r>
      <w:r w:rsidR="00202A7B">
        <w:rPr>
          <w:rFonts w:ascii="Arial" w:hAnsi="Arial" w:cs="Arial"/>
        </w:rPr>
        <w:t>.</w:t>
      </w:r>
    </w:p>
    <w:p w14:paraId="1D408F68" w14:textId="77777777" w:rsidR="00202A7B" w:rsidRPr="000367F1" w:rsidRDefault="00202A7B" w:rsidP="000367F1">
      <w:pPr>
        <w:spacing w:after="0" w:line="360" w:lineRule="auto"/>
        <w:ind w:left="720" w:hanging="720"/>
        <w:jc w:val="both"/>
        <w:rPr>
          <w:rFonts w:ascii="Arial" w:hAnsi="Arial" w:cs="Arial"/>
        </w:rPr>
      </w:pPr>
    </w:p>
    <w:p w14:paraId="50CA464C" w14:textId="77777777" w:rsidR="002563C3" w:rsidRDefault="002563C3" w:rsidP="000367F1">
      <w:pPr>
        <w:spacing w:after="0" w:line="360" w:lineRule="auto"/>
        <w:ind w:left="720" w:hanging="720"/>
        <w:jc w:val="both"/>
        <w:rPr>
          <w:rFonts w:ascii="Arial" w:hAnsi="Arial" w:cs="Arial"/>
        </w:rPr>
      </w:pPr>
    </w:p>
    <w:p w14:paraId="7AF7B051" w14:textId="77777777" w:rsidR="00202A7B" w:rsidRDefault="00202A7B" w:rsidP="000367F1">
      <w:pPr>
        <w:spacing w:after="0" w:line="360" w:lineRule="auto"/>
        <w:ind w:left="720" w:hanging="720"/>
        <w:jc w:val="both"/>
        <w:rPr>
          <w:rFonts w:ascii="Arial" w:hAnsi="Arial" w:cs="Arial"/>
        </w:rPr>
      </w:pPr>
      <w:r>
        <w:rPr>
          <w:rFonts w:ascii="Arial" w:hAnsi="Arial" w:cs="Arial"/>
        </w:rPr>
        <w:t>___________________________________________</w:t>
      </w:r>
    </w:p>
    <w:p w14:paraId="0B34040C" w14:textId="77777777" w:rsidR="00202A7B" w:rsidRPr="000367F1" w:rsidRDefault="00202A7B" w:rsidP="000367F1">
      <w:pPr>
        <w:spacing w:after="0" w:line="360" w:lineRule="auto"/>
        <w:ind w:left="720" w:hanging="720"/>
        <w:jc w:val="both"/>
        <w:rPr>
          <w:rFonts w:ascii="Arial" w:hAnsi="Arial" w:cs="Arial"/>
        </w:rPr>
      </w:pPr>
    </w:p>
    <w:p w14:paraId="658BF422" w14:textId="424A95D7" w:rsidR="008B67B8" w:rsidRPr="000367F1" w:rsidRDefault="006944FB" w:rsidP="000367F1">
      <w:pPr>
        <w:spacing w:after="0" w:line="360" w:lineRule="auto"/>
        <w:jc w:val="both"/>
        <w:rPr>
          <w:rFonts w:ascii="Arial" w:hAnsi="Arial" w:cs="Arial"/>
          <w:b/>
        </w:rPr>
      </w:pPr>
      <w:r w:rsidRPr="000367F1">
        <w:rPr>
          <w:rFonts w:ascii="Arial" w:hAnsi="Arial" w:cs="Arial"/>
          <w:b/>
        </w:rPr>
        <w:t>N</w:t>
      </w:r>
      <w:r w:rsidR="00A8559A">
        <w:rPr>
          <w:rFonts w:ascii="Arial" w:hAnsi="Arial" w:cs="Arial"/>
          <w:b/>
        </w:rPr>
        <w:t>G</w:t>
      </w:r>
      <w:r w:rsidRPr="000367F1">
        <w:rPr>
          <w:rFonts w:ascii="Arial" w:hAnsi="Arial" w:cs="Arial"/>
          <w:b/>
        </w:rPr>
        <w:t xml:space="preserve"> </w:t>
      </w:r>
      <w:r w:rsidR="008B67B8" w:rsidRPr="000367F1">
        <w:rPr>
          <w:rFonts w:ascii="Arial" w:hAnsi="Arial" w:cs="Arial"/>
          <w:b/>
        </w:rPr>
        <w:t>B</w:t>
      </w:r>
      <w:r w:rsidRPr="000367F1">
        <w:rPr>
          <w:rFonts w:ascii="Arial" w:hAnsi="Arial" w:cs="Arial"/>
          <w:b/>
        </w:rPr>
        <w:t>eshe</w:t>
      </w:r>
      <w:r w:rsidR="008B67B8" w:rsidRPr="000367F1">
        <w:rPr>
          <w:rFonts w:ascii="Arial" w:hAnsi="Arial" w:cs="Arial"/>
          <w:b/>
        </w:rPr>
        <w:t xml:space="preserve"> </w:t>
      </w:r>
    </w:p>
    <w:p w14:paraId="4521A9E6" w14:textId="77777777" w:rsidR="002563C3" w:rsidRPr="000367F1" w:rsidRDefault="002563C3" w:rsidP="000367F1">
      <w:pPr>
        <w:spacing w:after="0" w:line="360" w:lineRule="auto"/>
        <w:jc w:val="both"/>
        <w:rPr>
          <w:rFonts w:ascii="Arial" w:hAnsi="Arial" w:cs="Arial"/>
          <w:b/>
        </w:rPr>
      </w:pPr>
      <w:r w:rsidRPr="000367F1">
        <w:rPr>
          <w:rFonts w:ascii="Arial" w:hAnsi="Arial" w:cs="Arial"/>
          <w:b/>
        </w:rPr>
        <w:t xml:space="preserve">Judge of the </w:t>
      </w:r>
      <w:r w:rsidR="00202A7B" w:rsidRPr="000367F1">
        <w:rPr>
          <w:rFonts w:ascii="Arial" w:hAnsi="Arial" w:cs="Arial"/>
          <w:b/>
        </w:rPr>
        <w:t>High</w:t>
      </w:r>
      <w:r w:rsidRPr="000367F1">
        <w:rPr>
          <w:rFonts w:ascii="Arial" w:hAnsi="Arial" w:cs="Arial"/>
          <w:b/>
        </w:rPr>
        <w:t xml:space="preserve"> Court</w:t>
      </w:r>
    </w:p>
    <w:p w14:paraId="377FA576" w14:textId="77777777" w:rsidR="00202A7B" w:rsidRDefault="00202A7B" w:rsidP="000367F1">
      <w:pPr>
        <w:spacing w:after="0" w:line="360" w:lineRule="auto"/>
        <w:jc w:val="both"/>
        <w:rPr>
          <w:rFonts w:ascii="Arial" w:hAnsi="Arial" w:cs="Arial"/>
          <w:b/>
        </w:rPr>
      </w:pPr>
    </w:p>
    <w:p w14:paraId="36FB6F97" w14:textId="77777777" w:rsidR="00202A7B" w:rsidRDefault="00202A7B" w:rsidP="000367F1">
      <w:pPr>
        <w:spacing w:after="0" w:line="360" w:lineRule="auto"/>
        <w:jc w:val="both"/>
        <w:rPr>
          <w:rFonts w:ascii="Arial" w:hAnsi="Arial" w:cs="Arial"/>
          <w:b/>
        </w:rPr>
      </w:pPr>
    </w:p>
    <w:p w14:paraId="66F4D7E2" w14:textId="77777777" w:rsidR="00202A7B" w:rsidRPr="008B0C7D" w:rsidRDefault="00202A7B" w:rsidP="00202A7B">
      <w:pPr>
        <w:spacing w:after="0" w:line="360" w:lineRule="auto"/>
        <w:jc w:val="both"/>
        <w:rPr>
          <w:rFonts w:ascii="Arial" w:hAnsi="Arial" w:cs="Arial"/>
        </w:rPr>
      </w:pPr>
      <w:r w:rsidRPr="008B0C7D">
        <w:rPr>
          <w:rFonts w:ascii="Arial" w:hAnsi="Arial" w:cs="Arial"/>
        </w:rPr>
        <w:t>I agree.</w:t>
      </w:r>
    </w:p>
    <w:p w14:paraId="5A0AE5BF" w14:textId="77777777" w:rsidR="00202A7B" w:rsidRDefault="00202A7B" w:rsidP="000367F1">
      <w:pPr>
        <w:spacing w:after="0" w:line="360" w:lineRule="auto"/>
        <w:jc w:val="both"/>
        <w:rPr>
          <w:rFonts w:ascii="Arial" w:hAnsi="Arial" w:cs="Arial"/>
          <w:b/>
        </w:rPr>
      </w:pPr>
    </w:p>
    <w:p w14:paraId="6F1CB8C2" w14:textId="77777777" w:rsidR="008B67B8" w:rsidRPr="000367F1" w:rsidRDefault="008B67B8" w:rsidP="000367F1">
      <w:pPr>
        <w:spacing w:after="0" w:line="360" w:lineRule="auto"/>
        <w:jc w:val="both"/>
        <w:rPr>
          <w:rFonts w:ascii="Arial" w:hAnsi="Arial" w:cs="Arial"/>
          <w:b/>
        </w:rPr>
      </w:pPr>
    </w:p>
    <w:p w14:paraId="3BE8EBA7" w14:textId="77777777" w:rsidR="004708F4" w:rsidRPr="000367F1" w:rsidRDefault="004708F4" w:rsidP="000367F1">
      <w:pPr>
        <w:spacing w:after="0" w:line="360" w:lineRule="auto"/>
        <w:jc w:val="both"/>
        <w:rPr>
          <w:rFonts w:ascii="Arial" w:hAnsi="Arial" w:cs="Arial"/>
          <w:b/>
        </w:rPr>
      </w:pPr>
      <w:r w:rsidRPr="000367F1">
        <w:rPr>
          <w:rFonts w:ascii="Arial" w:hAnsi="Arial" w:cs="Arial"/>
          <w:b/>
        </w:rPr>
        <w:t>_______________________</w:t>
      </w:r>
    </w:p>
    <w:p w14:paraId="71A54533" w14:textId="77777777" w:rsidR="004708F4" w:rsidRPr="000367F1" w:rsidRDefault="004708F4" w:rsidP="000367F1">
      <w:pPr>
        <w:spacing w:after="0" w:line="360" w:lineRule="auto"/>
        <w:jc w:val="both"/>
        <w:rPr>
          <w:rFonts w:ascii="Arial" w:hAnsi="Arial" w:cs="Arial"/>
          <w:b/>
        </w:rPr>
      </w:pPr>
    </w:p>
    <w:p w14:paraId="6C5CA611" w14:textId="77777777" w:rsidR="00A44B1A" w:rsidRPr="000367F1" w:rsidRDefault="006944FB" w:rsidP="000367F1">
      <w:pPr>
        <w:spacing w:after="0" w:line="360" w:lineRule="auto"/>
        <w:jc w:val="both"/>
        <w:rPr>
          <w:rFonts w:ascii="Arial" w:hAnsi="Arial" w:cs="Arial"/>
        </w:rPr>
      </w:pPr>
      <w:r w:rsidRPr="000367F1">
        <w:rPr>
          <w:rFonts w:ascii="Arial" w:hAnsi="Arial" w:cs="Arial"/>
          <w:b/>
        </w:rPr>
        <w:t>J</w:t>
      </w:r>
      <w:r w:rsidR="00BA09D7">
        <w:rPr>
          <w:rFonts w:ascii="Arial" w:hAnsi="Arial" w:cs="Arial"/>
          <w:b/>
        </w:rPr>
        <w:t>E</w:t>
      </w:r>
      <w:r w:rsidRPr="000367F1">
        <w:rPr>
          <w:rFonts w:ascii="Arial" w:hAnsi="Arial" w:cs="Arial"/>
          <w:b/>
        </w:rPr>
        <w:t xml:space="preserve"> </w:t>
      </w:r>
      <w:r w:rsidR="008B67B8" w:rsidRPr="000367F1">
        <w:rPr>
          <w:rFonts w:ascii="Arial" w:hAnsi="Arial" w:cs="Arial"/>
          <w:b/>
        </w:rPr>
        <w:t>S</w:t>
      </w:r>
      <w:r w:rsidRPr="000367F1">
        <w:rPr>
          <w:rFonts w:ascii="Arial" w:hAnsi="Arial" w:cs="Arial"/>
          <w:b/>
        </w:rPr>
        <w:t xml:space="preserve">mith </w:t>
      </w:r>
    </w:p>
    <w:p w14:paraId="395BD3C9" w14:textId="77777777" w:rsidR="002563C3" w:rsidRPr="000367F1" w:rsidRDefault="002563C3" w:rsidP="000367F1">
      <w:pPr>
        <w:spacing w:after="0" w:line="360" w:lineRule="auto"/>
        <w:jc w:val="both"/>
        <w:rPr>
          <w:rFonts w:ascii="Arial" w:hAnsi="Arial" w:cs="Arial"/>
          <w:b/>
        </w:rPr>
      </w:pPr>
      <w:r w:rsidRPr="000367F1">
        <w:rPr>
          <w:rFonts w:ascii="Arial" w:hAnsi="Arial" w:cs="Arial"/>
          <w:b/>
        </w:rPr>
        <w:t>Judge of the High Court</w:t>
      </w:r>
    </w:p>
    <w:p w14:paraId="12D8985E" w14:textId="77777777" w:rsidR="00202A7B" w:rsidRDefault="00202A7B" w:rsidP="000367F1">
      <w:pPr>
        <w:spacing w:after="0" w:line="360" w:lineRule="auto"/>
        <w:jc w:val="both"/>
        <w:rPr>
          <w:rFonts w:ascii="Arial" w:hAnsi="Arial" w:cs="Arial"/>
          <w:b/>
        </w:rPr>
      </w:pPr>
    </w:p>
    <w:p w14:paraId="1A5A1987" w14:textId="77777777" w:rsidR="002563C3" w:rsidRPr="000367F1" w:rsidRDefault="00AA5531" w:rsidP="000367F1">
      <w:pPr>
        <w:spacing w:after="0" w:line="360" w:lineRule="auto"/>
        <w:jc w:val="both"/>
        <w:rPr>
          <w:rFonts w:ascii="Arial" w:hAnsi="Arial" w:cs="Arial"/>
          <w:b/>
        </w:rPr>
      </w:pPr>
      <w:r w:rsidRPr="000367F1">
        <w:rPr>
          <w:rFonts w:ascii="Arial" w:hAnsi="Arial" w:cs="Arial"/>
          <w:b/>
        </w:rPr>
        <w:t xml:space="preserve">Appearances: </w:t>
      </w:r>
    </w:p>
    <w:p w14:paraId="0D921F8C" w14:textId="77777777" w:rsidR="004708F4" w:rsidRPr="000367F1" w:rsidRDefault="004708F4" w:rsidP="000367F1">
      <w:pPr>
        <w:spacing w:after="0" w:line="360" w:lineRule="auto"/>
        <w:jc w:val="both"/>
        <w:rPr>
          <w:rFonts w:ascii="Arial" w:hAnsi="Arial" w:cs="Arial"/>
        </w:rPr>
      </w:pPr>
    </w:p>
    <w:p w14:paraId="39D0E69F" w14:textId="77777777" w:rsidR="00A44B1A" w:rsidRPr="000367F1" w:rsidRDefault="00AA5531" w:rsidP="000367F1">
      <w:pPr>
        <w:spacing w:after="0" w:line="360" w:lineRule="auto"/>
        <w:jc w:val="both"/>
        <w:rPr>
          <w:rFonts w:ascii="Arial" w:hAnsi="Arial" w:cs="Arial"/>
        </w:rPr>
      </w:pPr>
      <w:r w:rsidRPr="000367F1">
        <w:rPr>
          <w:rFonts w:ascii="Arial" w:hAnsi="Arial" w:cs="Arial"/>
        </w:rPr>
        <w:t xml:space="preserve">Counsel </w:t>
      </w:r>
      <w:r w:rsidR="00277136" w:rsidRPr="000367F1">
        <w:rPr>
          <w:rFonts w:ascii="Arial" w:hAnsi="Arial" w:cs="Arial"/>
        </w:rPr>
        <w:t>for the Applicant:</w:t>
      </w:r>
      <w:r w:rsidR="00277136" w:rsidRPr="000367F1">
        <w:rPr>
          <w:rFonts w:ascii="Arial" w:hAnsi="Arial" w:cs="Arial"/>
        </w:rPr>
        <w:tab/>
      </w:r>
      <w:r w:rsidR="00277136" w:rsidRPr="000367F1">
        <w:rPr>
          <w:rFonts w:ascii="Arial" w:hAnsi="Arial" w:cs="Arial"/>
        </w:rPr>
        <w:tab/>
      </w:r>
      <w:r w:rsidR="00277136" w:rsidRPr="000367F1">
        <w:rPr>
          <w:rFonts w:ascii="Arial" w:hAnsi="Arial" w:cs="Arial"/>
        </w:rPr>
        <w:tab/>
      </w:r>
      <w:r w:rsidR="00277136" w:rsidRPr="000367F1">
        <w:rPr>
          <w:rFonts w:ascii="Arial" w:hAnsi="Arial" w:cs="Arial"/>
        </w:rPr>
        <w:tab/>
      </w:r>
      <w:r w:rsidR="00C759AB" w:rsidRPr="000367F1">
        <w:rPr>
          <w:rFonts w:ascii="Arial" w:hAnsi="Arial" w:cs="Arial"/>
        </w:rPr>
        <w:t xml:space="preserve">Advocate </w:t>
      </w:r>
      <w:r w:rsidR="006877E8" w:rsidRPr="000367F1">
        <w:rPr>
          <w:rFonts w:ascii="Arial" w:hAnsi="Arial" w:cs="Arial"/>
        </w:rPr>
        <w:t xml:space="preserve">RG </w:t>
      </w:r>
      <w:r w:rsidR="00C759AB" w:rsidRPr="000367F1">
        <w:rPr>
          <w:rFonts w:ascii="Arial" w:hAnsi="Arial" w:cs="Arial"/>
        </w:rPr>
        <w:t>Buchanan SC</w:t>
      </w:r>
    </w:p>
    <w:p w14:paraId="1E2C3469" w14:textId="77777777" w:rsidR="00277136" w:rsidRPr="000367F1" w:rsidRDefault="006877E8"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Cloete &amp; Company</w:t>
      </w:r>
    </w:p>
    <w:p w14:paraId="20E36109" w14:textId="77777777" w:rsidR="00AA5531" w:rsidRPr="000367F1" w:rsidRDefault="00AA5531" w:rsidP="000367F1">
      <w:pPr>
        <w:spacing w:after="0" w:line="360" w:lineRule="auto"/>
        <w:ind w:left="720" w:firstLine="720"/>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112A High Street</w:t>
      </w:r>
    </w:p>
    <w:p w14:paraId="4E0E5549" w14:textId="77777777" w:rsidR="00AA5531" w:rsidRPr="000367F1" w:rsidRDefault="00AA5531" w:rsidP="000367F1">
      <w:pPr>
        <w:spacing w:after="0" w:line="360" w:lineRule="auto"/>
        <w:jc w:val="both"/>
        <w:rPr>
          <w:rFonts w:ascii="Arial" w:hAnsi="Arial" w:cs="Arial"/>
        </w:rPr>
      </w:pPr>
      <w:r w:rsidRPr="000367F1">
        <w:rPr>
          <w:rFonts w:ascii="Arial" w:hAnsi="Arial" w:cs="Arial"/>
        </w:rPr>
        <w:lastRenderedPageBreak/>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Makhanda</w:t>
      </w:r>
    </w:p>
    <w:p w14:paraId="16EAA225" w14:textId="77777777" w:rsidR="00277136" w:rsidRPr="000367F1" w:rsidRDefault="001739DF"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(Ref: M Kemp)</w:t>
      </w:r>
    </w:p>
    <w:p w14:paraId="425B2A00" w14:textId="77777777" w:rsidR="001739DF" w:rsidRPr="000367F1" w:rsidRDefault="001739DF" w:rsidP="000367F1">
      <w:pPr>
        <w:spacing w:after="0" w:line="360" w:lineRule="auto"/>
        <w:jc w:val="both"/>
        <w:rPr>
          <w:rFonts w:ascii="Arial" w:hAnsi="Arial" w:cs="Arial"/>
        </w:rPr>
      </w:pPr>
    </w:p>
    <w:p w14:paraId="3E67238F" w14:textId="77777777" w:rsidR="00277136" w:rsidRPr="000367F1" w:rsidRDefault="00AA5531" w:rsidP="000367F1">
      <w:pPr>
        <w:spacing w:after="0" w:line="360" w:lineRule="auto"/>
        <w:jc w:val="both"/>
        <w:rPr>
          <w:rFonts w:ascii="Arial" w:hAnsi="Arial" w:cs="Arial"/>
        </w:rPr>
      </w:pPr>
      <w:r w:rsidRPr="000367F1">
        <w:rPr>
          <w:rFonts w:ascii="Arial" w:hAnsi="Arial" w:cs="Arial"/>
        </w:rPr>
        <w:t>Counsel</w:t>
      </w:r>
      <w:r w:rsidR="00277136" w:rsidRPr="000367F1">
        <w:rPr>
          <w:rFonts w:ascii="Arial" w:hAnsi="Arial" w:cs="Arial"/>
        </w:rPr>
        <w:t xml:space="preserve"> for the Respondent:</w:t>
      </w:r>
      <w:r w:rsidR="00277136" w:rsidRPr="000367F1">
        <w:rPr>
          <w:rFonts w:ascii="Arial" w:hAnsi="Arial" w:cs="Arial"/>
        </w:rPr>
        <w:tab/>
      </w:r>
      <w:r w:rsidR="00277136" w:rsidRPr="000367F1">
        <w:rPr>
          <w:rFonts w:ascii="Arial" w:hAnsi="Arial" w:cs="Arial"/>
        </w:rPr>
        <w:tab/>
      </w:r>
      <w:r w:rsidR="00277136" w:rsidRPr="000367F1">
        <w:rPr>
          <w:rFonts w:ascii="Arial" w:hAnsi="Arial" w:cs="Arial"/>
        </w:rPr>
        <w:tab/>
      </w:r>
      <w:r w:rsidRPr="000367F1">
        <w:rPr>
          <w:rFonts w:ascii="Arial" w:hAnsi="Arial" w:cs="Arial"/>
        </w:rPr>
        <w:tab/>
      </w:r>
      <w:r w:rsidR="00C759AB" w:rsidRPr="000367F1">
        <w:rPr>
          <w:rFonts w:ascii="Arial" w:hAnsi="Arial" w:cs="Arial"/>
        </w:rPr>
        <w:t xml:space="preserve">Advocate </w:t>
      </w:r>
      <w:r w:rsidR="003059D4" w:rsidRPr="000367F1">
        <w:rPr>
          <w:rFonts w:ascii="Arial" w:hAnsi="Arial" w:cs="Arial"/>
        </w:rPr>
        <w:t>P v</w:t>
      </w:r>
      <w:r w:rsidR="00C759AB" w:rsidRPr="000367F1">
        <w:rPr>
          <w:rFonts w:ascii="Arial" w:hAnsi="Arial" w:cs="Arial"/>
        </w:rPr>
        <w:t>an der Berg SC</w:t>
      </w:r>
    </w:p>
    <w:p w14:paraId="15CBEB76" w14:textId="77777777" w:rsidR="00A44B1A" w:rsidRPr="000367F1" w:rsidRDefault="00AA5531"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Shepstone &amp; Wylie Attorneys</w:t>
      </w:r>
    </w:p>
    <w:p w14:paraId="4B14BE6C" w14:textId="77777777" w:rsidR="00AA5531" w:rsidRPr="000367F1" w:rsidRDefault="00AA5531"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c/o Netteltons</w:t>
      </w:r>
    </w:p>
    <w:p w14:paraId="75DA03AE" w14:textId="77777777" w:rsidR="00AA5531" w:rsidRPr="000367F1" w:rsidRDefault="00AA5531"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118A High Street</w:t>
      </w:r>
    </w:p>
    <w:p w14:paraId="47CC313B" w14:textId="77777777" w:rsidR="00AA5531" w:rsidRPr="000367F1" w:rsidRDefault="00AA5531"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Makhanda</w:t>
      </w:r>
    </w:p>
    <w:p w14:paraId="7F898A8F" w14:textId="77777777" w:rsidR="006B22A3" w:rsidRPr="000367F1" w:rsidRDefault="001739DF" w:rsidP="000367F1">
      <w:pPr>
        <w:spacing w:after="0" w:line="360" w:lineRule="auto"/>
        <w:jc w:val="both"/>
        <w:rPr>
          <w:rFonts w:ascii="Arial" w:hAnsi="Arial" w:cs="Arial"/>
        </w:rPr>
      </w:pP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r>
      <w:r w:rsidRPr="000367F1">
        <w:rPr>
          <w:rFonts w:ascii="Arial" w:hAnsi="Arial" w:cs="Arial"/>
        </w:rPr>
        <w:tab/>
        <w:t>Ref: (Nettelton/Liza)</w:t>
      </w:r>
    </w:p>
    <w:p w14:paraId="5A957FE4" w14:textId="77777777" w:rsidR="006B22A3" w:rsidRPr="000367F1" w:rsidRDefault="006B22A3" w:rsidP="000367F1">
      <w:pPr>
        <w:spacing w:after="0" w:line="360" w:lineRule="auto"/>
        <w:jc w:val="both"/>
        <w:rPr>
          <w:rFonts w:ascii="Arial" w:hAnsi="Arial" w:cs="Arial"/>
        </w:rPr>
      </w:pPr>
    </w:p>
    <w:p w14:paraId="3458360E" w14:textId="77777777" w:rsidR="006B22A3" w:rsidRPr="000367F1" w:rsidRDefault="006B22A3" w:rsidP="000367F1">
      <w:pPr>
        <w:spacing w:after="0" w:line="360" w:lineRule="auto"/>
        <w:jc w:val="both"/>
        <w:rPr>
          <w:rFonts w:ascii="Arial" w:hAnsi="Arial" w:cs="Arial"/>
        </w:rPr>
      </w:pPr>
    </w:p>
    <w:sectPr w:rsidR="006B22A3" w:rsidRPr="000367F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C9F5" w14:textId="77777777" w:rsidR="004F2987" w:rsidRDefault="004F2987" w:rsidP="001B3B63">
      <w:pPr>
        <w:spacing w:after="0" w:line="240" w:lineRule="auto"/>
      </w:pPr>
      <w:r>
        <w:separator/>
      </w:r>
    </w:p>
  </w:endnote>
  <w:endnote w:type="continuationSeparator" w:id="0">
    <w:p w14:paraId="3306F0D6" w14:textId="77777777" w:rsidR="004F2987" w:rsidRDefault="004F2987" w:rsidP="001B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6086"/>
      <w:docPartObj>
        <w:docPartGallery w:val="Page Numbers (Bottom of Page)"/>
        <w:docPartUnique/>
      </w:docPartObj>
    </w:sdtPr>
    <w:sdtEndPr>
      <w:rPr>
        <w:noProof/>
      </w:rPr>
    </w:sdtEndPr>
    <w:sdtContent>
      <w:p w14:paraId="45B32DAA" w14:textId="5C3942A1" w:rsidR="00516282" w:rsidRDefault="00516282" w:rsidP="003D1DA6">
        <w:pPr>
          <w:pStyle w:val="Footer"/>
          <w:tabs>
            <w:tab w:val="left" w:pos="1275"/>
          </w:tabs>
          <w:jc w:val="right"/>
        </w:pPr>
        <w:r>
          <w:fldChar w:fldCharType="begin"/>
        </w:r>
        <w:r>
          <w:instrText xml:space="preserve"> PAGE   \* MERGEFORMAT </w:instrText>
        </w:r>
        <w:r>
          <w:fldChar w:fldCharType="separate"/>
        </w:r>
        <w:r w:rsidR="00D6112A">
          <w:rPr>
            <w:noProof/>
          </w:rPr>
          <w:t>4</w:t>
        </w:r>
        <w:r>
          <w:rPr>
            <w:noProof/>
          </w:rPr>
          <w:fldChar w:fldCharType="end"/>
        </w:r>
      </w:p>
    </w:sdtContent>
  </w:sdt>
  <w:p w14:paraId="05EBB37E" w14:textId="77777777" w:rsidR="00516282" w:rsidRDefault="00516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4366" w14:textId="77777777" w:rsidR="004F2987" w:rsidRDefault="004F2987" w:rsidP="001B3B63">
      <w:pPr>
        <w:spacing w:after="0" w:line="240" w:lineRule="auto"/>
      </w:pPr>
      <w:r>
        <w:separator/>
      </w:r>
    </w:p>
  </w:footnote>
  <w:footnote w:type="continuationSeparator" w:id="0">
    <w:p w14:paraId="21742A8B" w14:textId="77777777" w:rsidR="004F2987" w:rsidRDefault="004F2987" w:rsidP="001B3B63">
      <w:pPr>
        <w:spacing w:after="0" w:line="240" w:lineRule="auto"/>
      </w:pPr>
      <w:r>
        <w:continuationSeparator/>
      </w:r>
    </w:p>
  </w:footnote>
  <w:footnote w:id="1">
    <w:p w14:paraId="3026F53F" w14:textId="77777777" w:rsidR="008D09E9" w:rsidRPr="00E771D2" w:rsidRDefault="008D09E9" w:rsidP="00E771D2">
      <w:pPr>
        <w:pStyle w:val="FootnoteText"/>
        <w:jc w:val="both"/>
        <w:rPr>
          <w:rFonts w:ascii="Arial" w:hAnsi="Arial" w:cs="Arial"/>
        </w:rPr>
      </w:pPr>
      <w:r w:rsidRPr="00E771D2">
        <w:rPr>
          <w:rStyle w:val="FootnoteReference"/>
          <w:rFonts w:ascii="Arial" w:hAnsi="Arial" w:cs="Arial"/>
        </w:rPr>
        <w:footnoteRef/>
      </w:r>
      <w:r w:rsidRPr="00E771D2">
        <w:rPr>
          <w:rFonts w:ascii="Arial" w:hAnsi="Arial" w:cs="Arial"/>
        </w:rPr>
        <w:t xml:space="preserve"> See section 13 on the Guidelines on the </w:t>
      </w:r>
      <w:r w:rsidR="00FD2282" w:rsidRPr="00E771D2">
        <w:rPr>
          <w:rFonts w:ascii="Arial" w:hAnsi="Arial" w:cs="Arial"/>
        </w:rPr>
        <w:t xml:space="preserve">selection of types </w:t>
      </w:r>
      <w:r w:rsidRPr="00E771D2">
        <w:rPr>
          <w:rFonts w:ascii="Arial" w:hAnsi="Arial" w:cs="Arial"/>
        </w:rPr>
        <w:t xml:space="preserve">in terms of the Structures Act. </w:t>
      </w:r>
    </w:p>
  </w:footnote>
  <w:footnote w:id="2">
    <w:p w14:paraId="619B2C8E" w14:textId="77777777" w:rsidR="00A85DFA" w:rsidRPr="00E771D2" w:rsidRDefault="00A85DFA" w:rsidP="00E771D2">
      <w:pPr>
        <w:pStyle w:val="FootnoteText"/>
        <w:jc w:val="both"/>
        <w:rPr>
          <w:rFonts w:ascii="Arial" w:hAnsi="Arial" w:cs="Arial"/>
        </w:rPr>
      </w:pPr>
      <w:r w:rsidRPr="00E771D2">
        <w:rPr>
          <w:rStyle w:val="FootnoteReference"/>
          <w:rFonts w:ascii="Arial" w:hAnsi="Arial" w:cs="Arial"/>
        </w:rPr>
        <w:footnoteRef/>
      </w:r>
      <w:r w:rsidRPr="00E771D2">
        <w:rPr>
          <w:rFonts w:ascii="Arial" w:hAnsi="Arial" w:cs="Arial"/>
        </w:rPr>
        <w:t xml:space="preserve"> See the Consolidated Rules in terms of the Pension Fund Act 25 of 1956</w:t>
      </w:r>
      <w:r w:rsidR="00E771D2" w:rsidRPr="00E771D2">
        <w:rPr>
          <w:rFonts w:ascii="Arial" w:hAnsi="Arial" w:cs="Arial"/>
        </w:rPr>
        <w:t>.</w:t>
      </w:r>
    </w:p>
  </w:footnote>
  <w:footnote w:id="3">
    <w:p w14:paraId="1909260B" w14:textId="77777777" w:rsidR="00E771D2" w:rsidRPr="00E771D2" w:rsidRDefault="00E771D2" w:rsidP="00E771D2">
      <w:pPr>
        <w:pStyle w:val="FootnoteText"/>
        <w:jc w:val="both"/>
        <w:rPr>
          <w:rFonts w:ascii="Arial" w:hAnsi="Arial" w:cs="Arial"/>
        </w:rPr>
      </w:pPr>
      <w:r w:rsidRPr="00E771D2">
        <w:rPr>
          <w:rStyle w:val="FootnoteReference"/>
          <w:rFonts w:ascii="Arial" w:hAnsi="Arial" w:cs="Arial"/>
        </w:rPr>
        <w:footnoteRef/>
      </w:r>
      <w:r w:rsidRPr="00E771D2">
        <w:rPr>
          <w:rFonts w:ascii="Arial" w:hAnsi="Arial" w:cs="Arial"/>
        </w:rPr>
        <w:t xml:space="preserve"> Available at </w:t>
      </w:r>
      <w:hyperlink r:id="rId1" w:history="1">
        <w:r w:rsidRPr="00E771D2">
          <w:rPr>
            <w:rStyle w:val="Hyperlink"/>
            <w:rFonts w:ascii="Arial" w:hAnsi="Arial" w:cs="Arial"/>
          </w:rPr>
          <w:t>http://mwrfund.org.za/</w:t>
        </w:r>
      </w:hyperlink>
      <w:r w:rsidRPr="00E771D2">
        <w:rPr>
          <w:rFonts w:ascii="Arial" w:hAnsi="Arial" w:cs="Arial"/>
        </w:rPr>
        <w:t>, (accessed 20 October 2022).</w:t>
      </w:r>
    </w:p>
  </w:footnote>
  <w:footnote w:id="4">
    <w:p w14:paraId="0F054166" w14:textId="77777777" w:rsidR="002E453D" w:rsidRPr="002E453D" w:rsidRDefault="002E453D">
      <w:pPr>
        <w:pStyle w:val="FootnoteText"/>
        <w:rPr>
          <w:rFonts w:ascii="Arial" w:hAnsi="Arial" w:cs="Arial"/>
        </w:rPr>
      </w:pPr>
      <w:r w:rsidRPr="002E453D">
        <w:rPr>
          <w:rStyle w:val="FootnoteReference"/>
          <w:rFonts w:ascii="Arial" w:hAnsi="Arial" w:cs="Arial"/>
        </w:rPr>
        <w:footnoteRef/>
      </w:r>
      <w:r w:rsidRPr="002E453D">
        <w:rPr>
          <w:rFonts w:ascii="Arial" w:hAnsi="Arial" w:cs="Arial"/>
        </w:rPr>
        <w:t xml:space="preserve"> </w:t>
      </w:r>
      <w:r w:rsidR="003E459C">
        <w:rPr>
          <w:rFonts w:ascii="Arial" w:hAnsi="Arial" w:cs="Arial"/>
        </w:rPr>
        <w:t xml:space="preserve">See </w:t>
      </w:r>
      <w:r w:rsidRPr="002E453D">
        <w:rPr>
          <w:rFonts w:ascii="Arial" w:hAnsi="Arial" w:cs="Arial"/>
          <w:i/>
        </w:rPr>
        <w:t>Colyn v Tiger Food Industries</w:t>
      </w:r>
      <w:r w:rsidRPr="002E453D">
        <w:rPr>
          <w:rFonts w:ascii="Arial" w:hAnsi="Arial" w:cs="Arial"/>
        </w:rPr>
        <w:t xml:space="preserve"> Ltd 2003 (6) SA 1 (SCA) para 9.</w:t>
      </w:r>
    </w:p>
  </w:footnote>
  <w:footnote w:id="5">
    <w:p w14:paraId="57AAB1E2" w14:textId="77777777" w:rsidR="0007776F" w:rsidRPr="002E453D" w:rsidRDefault="0007776F" w:rsidP="0007776F">
      <w:pPr>
        <w:pStyle w:val="FootnoteText"/>
        <w:rPr>
          <w:rFonts w:ascii="Arial" w:hAnsi="Arial" w:cs="Arial"/>
        </w:rPr>
      </w:pPr>
      <w:r w:rsidRPr="002E453D">
        <w:rPr>
          <w:rStyle w:val="FootnoteReference"/>
          <w:rFonts w:ascii="Arial" w:hAnsi="Arial" w:cs="Arial"/>
        </w:rPr>
        <w:footnoteRef/>
      </w:r>
      <w:r w:rsidRPr="002E453D">
        <w:rPr>
          <w:rFonts w:ascii="Arial" w:hAnsi="Arial" w:cs="Arial"/>
        </w:rPr>
        <w:t xml:space="preserve"> 1999 (2) SA 76.</w:t>
      </w:r>
    </w:p>
  </w:footnote>
  <w:footnote w:id="6">
    <w:p w14:paraId="4A76FE0C" w14:textId="77777777" w:rsidR="0007776F" w:rsidRPr="002E453D" w:rsidRDefault="0007776F" w:rsidP="0007776F">
      <w:pPr>
        <w:pStyle w:val="FootnoteText"/>
        <w:rPr>
          <w:rFonts w:ascii="Arial" w:hAnsi="Arial" w:cs="Arial"/>
        </w:rPr>
      </w:pPr>
      <w:r w:rsidRPr="002E453D">
        <w:rPr>
          <w:rStyle w:val="FootnoteReference"/>
          <w:rFonts w:ascii="Arial" w:hAnsi="Arial" w:cs="Arial"/>
        </w:rPr>
        <w:footnoteRef/>
      </w:r>
      <w:r w:rsidRPr="002E453D">
        <w:rPr>
          <w:rFonts w:ascii="Arial" w:hAnsi="Arial" w:cs="Arial"/>
        </w:rPr>
        <w:t xml:space="preserve"> </w:t>
      </w:r>
      <w:r w:rsidRPr="002E453D">
        <w:rPr>
          <w:rFonts w:ascii="Arial" w:hAnsi="Arial" w:cs="Arial"/>
          <w:i/>
        </w:rPr>
        <w:t>Saphula</w:t>
      </w:r>
      <w:r w:rsidRPr="002E453D">
        <w:rPr>
          <w:rFonts w:ascii="Arial" w:hAnsi="Arial" w:cs="Arial"/>
        </w:rPr>
        <w:t xml:space="preserve"> 79 C-D.</w:t>
      </w:r>
    </w:p>
  </w:footnote>
  <w:footnote w:id="7">
    <w:p w14:paraId="51FCEF1F" w14:textId="77777777" w:rsidR="00026000" w:rsidRPr="004E63BB" w:rsidRDefault="00026000" w:rsidP="00026000">
      <w:pPr>
        <w:pStyle w:val="FootnoteText"/>
        <w:jc w:val="both"/>
        <w:rPr>
          <w:rFonts w:ascii="Arial" w:hAnsi="Arial" w:cs="Arial"/>
        </w:rPr>
      </w:pPr>
      <w:r w:rsidRPr="004E63BB">
        <w:rPr>
          <w:rStyle w:val="FootnoteReference"/>
          <w:rFonts w:ascii="Arial" w:hAnsi="Arial" w:cs="Arial"/>
        </w:rPr>
        <w:footnoteRef/>
      </w:r>
      <w:r w:rsidRPr="004E63BB">
        <w:rPr>
          <w:rFonts w:ascii="Arial" w:hAnsi="Arial" w:cs="Arial"/>
        </w:rPr>
        <w:t xml:space="preserve"> [2021] ZAGPJHC 431.</w:t>
      </w:r>
    </w:p>
  </w:footnote>
  <w:footnote w:id="8">
    <w:p w14:paraId="6F6E4D27" w14:textId="77777777" w:rsidR="00026000" w:rsidRPr="004E63BB" w:rsidRDefault="00026000" w:rsidP="00026000">
      <w:pPr>
        <w:pStyle w:val="FootnoteText"/>
        <w:jc w:val="both"/>
        <w:rPr>
          <w:rFonts w:ascii="Arial" w:hAnsi="Arial" w:cs="Arial"/>
          <w:color w:val="000000" w:themeColor="text1"/>
        </w:rPr>
      </w:pPr>
      <w:r w:rsidRPr="004E63BB">
        <w:rPr>
          <w:rStyle w:val="FootnoteReference"/>
          <w:rFonts w:ascii="Arial" w:hAnsi="Arial" w:cs="Arial"/>
          <w:color w:val="000000" w:themeColor="text1"/>
        </w:rPr>
        <w:footnoteRef/>
      </w:r>
      <w:r w:rsidRPr="004E63BB">
        <w:rPr>
          <w:rFonts w:ascii="Arial" w:hAnsi="Arial" w:cs="Arial"/>
          <w:color w:val="000000" w:themeColor="text1"/>
        </w:rPr>
        <w:t xml:space="preserve"> </w:t>
      </w:r>
      <w:r w:rsidRPr="004E63BB">
        <w:rPr>
          <w:rFonts w:ascii="Arial" w:hAnsi="Arial" w:cs="Arial"/>
          <w:i/>
          <w:color w:val="000000" w:themeColor="text1"/>
        </w:rPr>
        <w:t>Gangat</w:t>
      </w:r>
      <w:r w:rsidRPr="004E63BB">
        <w:rPr>
          <w:rFonts w:ascii="Arial" w:hAnsi="Arial" w:cs="Arial"/>
          <w:color w:val="000000" w:themeColor="text1"/>
        </w:rPr>
        <w:t xml:space="preserve"> para 27 quoting </w:t>
      </w:r>
      <w:r w:rsidRPr="004E63BB">
        <w:rPr>
          <w:rFonts w:ascii="Arial" w:hAnsi="Arial" w:cs="Arial"/>
          <w:i/>
          <w:iCs/>
          <w:color w:val="000000" w:themeColor="text1"/>
          <w:shd w:val="clear" w:color="auto" w:fill="FFFFFF"/>
          <w:lang w:val="en-ZA"/>
        </w:rPr>
        <w:t xml:space="preserve">Government of the Republic of Zimbabwe v Fick </w:t>
      </w:r>
      <w:hyperlink r:id="rId2" w:tooltip="View LawCiteRecord" w:history="1">
        <w:r w:rsidRPr="004E63BB">
          <w:rPr>
            <w:rStyle w:val="Hyperlink"/>
            <w:rFonts w:ascii="Arial" w:hAnsi="Arial" w:cs="Arial"/>
            <w:color w:val="000000" w:themeColor="text1"/>
            <w:u w:val="none"/>
            <w:lang w:val="en-ZA"/>
          </w:rPr>
          <w:t>2013 (5) SA 325</w:t>
        </w:r>
      </w:hyperlink>
      <w:r w:rsidRPr="004E63BB">
        <w:rPr>
          <w:rStyle w:val="Hyperlink"/>
          <w:rFonts w:ascii="Arial" w:hAnsi="Arial" w:cs="Arial"/>
          <w:color w:val="000000" w:themeColor="text1"/>
          <w:u w:val="none"/>
          <w:shd w:val="clear" w:color="auto" w:fill="FFFFFF"/>
          <w:lang w:val="en-ZA"/>
        </w:rPr>
        <w:t xml:space="preserve"> </w:t>
      </w:r>
      <w:r w:rsidRPr="004E63BB">
        <w:rPr>
          <w:rFonts w:ascii="Arial" w:hAnsi="Arial" w:cs="Arial"/>
          <w:color w:val="000000" w:themeColor="text1"/>
          <w:shd w:val="clear" w:color="auto" w:fill="FFFFFF"/>
          <w:lang w:val="en-ZA"/>
        </w:rPr>
        <w:t>(CC) para 85</w:t>
      </w:r>
      <w:r w:rsidRPr="004E63BB">
        <w:rPr>
          <w:rFonts w:ascii="Arial" w:hAnsi="Arial" w:cs="Arial"/>
          <w:color w:val="000000" w:themeColor="text1"/>
        </w:rPr>
        <w:t>.</w:t>
      </w:r>
    </w:p>
  </w:footnote>
  <w:footnote w:id="9">
    <w:p w14:paraId="7592C9A6" w14:textId="77777777" w:rsidR="00D60AC5" w:rsidRPr="002A21F0" w:rsidRDefault="00D60AC5" w:rsidP="00D60AC5">
      <w:pPr>
        <w:pStyle w:val="FootnoteText"/>
        <w:rPr>
          <w:rFonts w:ascii="Arial" w:hAnsi="Arial" w:cs="Arial"/>
        </w:rPr>
      </w:pPr>
      <w:r w:rsidRPr="002A21F0">
        <w:rPr>
          <w:rStyle w:val="FootnoteReference"/>
          <w:rFonts w:ascii="Arial" w:hAnsi="Arial" w:cs="Arial"/>
        </w:rPr>
        <w:footnoteRef/>
      </w:r>
      <w:r w:rsidRPr="002A21F0">
        <w:rPr>
          <w:rFonts w:ascii="Arial" w:hAnsi="Arial" w:cs="Arial"/>
        </w:rPr>
        <w:t xml:space="preserve"> See </w:t>
      </w:r>
      <w:r w:rsidRPr="002A21F0">
        <w:rPr>
          <w:rFonts w:ascii="Arial" w:hAnsi="Arial" w:cs="Arial"/>
          <w:i/>
        </w:rPr>
        <w:t>Oudekraal Estates (Pty) Ltd v City of Cape Town</w:t>
      </w:r>
      <w:r w:rsidRPr="002A21F0">
        <w:rPr>
          <w:rFonts w:ascii="Arial" w:hAnsi="Arial" w:cs="Arial"/>
        </w:rPr>
        <w:t xml:space="preserve"> 2004 (6) SA 222 (SCA)</w:t>
      </w:r>
      <w:r>
        <w:rPr>
          <w:rFonts w:ascii="Arial" w:hAnsi="Arial" w:cs="Arial"/>
        </w:rPr>
        <w:t xml:space="preserve"> </w:t>
      </w:r>
      <w:r w:rsidRPr="002A21F0">
        <w:rPr>
          <w:rFonts w:ascii="Arial" w:hAnsi="Arial" w:cs="Arial"/>
        </w:rPr>
        <w:t>para 26</w:t>
      </w:r>
      <w:r>
        <w:rPr>
          <w:rFonts w:ascii="Arial" w:hAnsi="Arial" w:cs="Arial"/>
        </w:rPr>
        <w:t>.</w:t>
      </w:r>
    </w:p>
  </w:footnote>
  <w:footnote w:id="10">
    <w:p w14:paraId="1B4EE882" w14:textId="77777777" w:rsidR="00D60AC5" w:rsidRPr="002A21F0" w:rsidRDefault="00D60AC5" w:rsidP="00D60AC5">
      <w:pPr>
        <w:pStyle w:val="FootnoteText"/>
        <w:rPr>
          <w:rFonts w:ascii="Arial" w:hAnsi="Arial" w:cs="Arial"/>
        </w:rPr>
      </w:pPr>
      <w:r w:rsidRPr="002A21F0">
        <w:rPr>
          <w:rStyle w:val="FootnoteReference"/>
          <w:rFonts w:ascii="Arial" w:hAnsi="Arial" w:cs="Arial"/>
        </w:rPr>
        <w:footnoteRef/>
      </w:r>
      <w:r w:rsidRPr="002A21F0">
        <w:rPr>
          <w:rFonts w:ascii="Arial" w:hAnsi="Arial" w:cs="Arial"/>
        </w:rPr>
        <w:t xml:space="preserve"> 2014 (3) SA 481 (CC).</w:t>
      </w:r>
    </w:p>
  </w:footnote>
  <w:footnote w:id="11">
    <w:p w14:paraId="3D3A78CD" w14:textId="77777777" w:rsidR="00D60AC5" w:rsidRPr="002516D0" w:rsidRDefault="00D60AC5" w:rsidP="00D60AC5">
      <w:pPr>
        <w:pStyle w:val="FootnoteText"/>
        <w:jc w:val="both"/>
        <w:rPr>
          <w:rFonts w:ascii="Arial" w:hAnsi="Arial" w:cs="Arial"/>
        </w:rPr>
      </w:pPr>
      <w:r w:rsidRPr="002516D0">
        <w:rPr>
          <w:rStyle w:val="FootnoteReference"/>
          <w:rFonts w:ascii="Arial" w:hAnsi="Arial" w:cs="Arial"/>
        </w:rPr>
        <w:footnoteRef/>
      </w:r>
      <w:r w:rsidRPr="002516D0">
        <w:rPr>
          <w:rFonts w:ascii="Arial" w:hAnsi="Arial" w:cs="Arial"/>
        </w:rPr>
        <w:t xml:space="preserve"> </w:t>
      </w:r>
      <w:r w:rsidRPr="002516D0">
        <w:rPr>
          <w:rFonts w:ascii="Arial" w:hAnsi="Arial" w:cs="Arial"/>
          <w:i/>
        </w:rPr>
        <w:t>Kirland</w:t>
      </w:r>
      <w:r w:rsidRPr="002516D0">
        <w:rPr>
          <w:rFonts w:ascii="Arial" w:hAnsi="Arial" w:cs="Arial"/>
        </w:rPr>
        <w:t xml:space="preserve"> Para 98.</w:t>
      </w:r>
    </w:p>
  </w:footnote>
  <w:footnote w:id="12">
    <w:p w14:paraId="07392572" w14:textId="77777777" w:rsidR="00D60AC5" w:rsidRPr="00397321" w:rsidRDefault="00D60AC5" w:rsidP="00D60AC5">
      <w:pPr>
        <w:spacing w:after="0" w:line="360" w:lineRule="auto"/>
        <w:ind w:left="720" w:hanging="720"/>
        <w:jc w:val="both"/>
        <w:rPr>
          <w:rFonts w:ascii="Arial" w:hAnsi="Arial" w:cs="Arial"/>
          <w:sz w:val="20"/>
          <w:szCs w:val="20"/>
        </w:rPr>
      </w:pPr>
      <w:r w:rsidRPr="00397321">
        <w:rPr>
          <w:rStyle w:val="FootnoteReference"/>
          <w:rFonts w:ascii="Arial" w:hAnsi="Arial" w:cs="Arial"/>
          <w:sz w:val="20"/>
          <w:szCs w:val="20"/>
        </w:rPr>
        <w:footnoteRef/>
      </w:r>
      <w:r w:rsidRPr="00397321">
        <w:rPr>
          <w:rFonts w:ascii="Arial" w:hAnsi="Arial" w:cs="Arial"/>
          <w:sz w:val="20"/>
          <w:szCs w:val="20"/>
        </w:rPr>
        <w:t xml:space="preserve"> See </w:t>
      </w:r>
      <w:r w:rsidRPr="00397321">
        <w:rPr>
          <w:rFonts w:ascii="Arial" w:hAnsi="Arial" w:cs="Arial"/>
          <w:i/>
          <w:sz w:val="20"/>
          <w:szCs w:val="20"/>
        </w:rPr>
        <w:t>Colyn v Tiger Food Industries Ltd t/a Meadow Feed Mills (Cape)</w:t>
      </w:r>
      <w:r w:rsidRPr="00397321">
        <w:rPr>
          <w:rFonts w:ascii="Arial" w:hAnsi="Arial" w:cs="Arial"/>
          <w:sz w:val="20"/>
          <w:szCs w:val="20"/>
        </w:rPr>
        <w:t xml:space="preserve"> 2003 (6) SA 1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6F88"/>
    <w:multiLevelType w:val="hybridMultilevel"/>
    <w:tmpl w:val="51B4B51E"/>
    <w:lvl w:ilvl="0" w:tplc="DDD4C7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sLC0NLU0sDQzMjRW0lEKTi0uzszPAykwNawFAJi/j+4tAAAA"/>
    <w:docVar w:name="dgnword-docGUID" w:val="{1C555DDB-1A41-41CB-ACAC-F241E4ABC23D}"/>
    <w:docVar w:name="dgnword-eventsink" w:val="181906136"/>
  </w:docVars>
  <w:rsids>
    <w:rsidRoot w:val="006F21B8"/>
    <w:rsid w:val="00006F79"/>
    <w:rsid w:val="0000750E"/>
    <w:rsid w:val="00010E69"/>
    <w:rsid w:val="00026000"/>
    <w:rsid w:val="00034EAE"/>
    <w:rsid w:val="000367F1"/>
    <w:rsid w:val="000418DC"/>
    <w:rsid w:val="00042719"/>
    <w:rsid w:val="00043D03"/>
    <w:rsid w:val="00046E7D"/>
    <w:rsid w:val="00054AD2"/>
    <w:rsid w:val="0005535B"/>
    <w:rsid w:val="00056686"/>
    <w:rsid w:val="0006642F"/>
    <w:rsid w:val="00071D71"/>
    <w:rsid w:val="000773B7"/>
    <w:rsid w:val="0007776F"/>
    <w:rsid w:val="00084F7D"/>
    <w:rsid w:val="00095637"/>
    <w:rsid w:val="000A02CC"/>
    <w:rsid w:val="000A2468"/>
    <w:rsid w:val="000A28A1"/>
    <w:rsid w:val="000A2984"/>
    <w:rsid w:val="000A3006"/>
    <w:rsid w:val="000B0EDE"/>
    <w:rsid w:val="000D4400"/>
    <w:rsid w:val="000D4D91"/>
    <w:rsid w:val="000E13A6"/>
    <w:rsid w:val="000F4AAB"/>
    <w:rsid w:val="000F5CC9"/>
    <w:rsid w:val="000F6017"/>
    <w:rsid w:val="000F676E"/>
    <w:rsid w:val="000F6F80"/>
    <w:rsid w:val="00101DAB"/>
    <w:rsid w:val="00103604"/>
    <w:rsid w:val="0010705F"/>
    <w:rsid w:val="00111153"/>
    <w:rsid w:val="00117A4E"/>
    <w:rsid w:val="00117CD7"/>
    <w:rsid w:val="001341EB"/>
    <w:rsid w:val="00137294"/>
    <w:rsid w:val="00142EDF"/>
    <w:rsid w:val="001473FB"/>
    <w:rsid w:val="001502CB"/>
    <w:rsid w:val="0015038F"/>
    <w:rsid w:val="00153E38"/>
    <w:rsid w:val="00156524"/>
    <w:rsid w:val="001578D1"/>
    <w:rsid w:val="00157D2E"/>
    <w:rsid w:val="001739DF"/>
    <w:rsid w:val="00180F4E"/>
    <w:rsid w:val="001810AA"/>
    <w:rsid w:val="0018470E"/>
    <w:rsid w:val="00192C16"/>
    <w:rsid w:val="00195B40"/>
    <w:rsid w:val="001A0A28"/>
    <w:rsid w:val="001A194E"/>
    <w:rsid w:val="001A6072"/>
    <w:rsid w:val="001A619D"/>
    <w:rsid w:val="001B32A3"/>
    <w:rsid w:val="001B3B63"/>
    <w:rsid w:val="001B5255"/>
    <w:rsid w:val="001C127E"/>
    <w:rsid w:val="001C2309"/>
    <w:rsid w:val="001C2D02"/>
    <w:rsid w:val="001C55E0"/>
    <w:rsid w:val="001D1760"/>
    <w:rsid w:val="001D4374"/>
    <w:rsid w:val="001F4132"/>
    <w:rsid w:val="001F4B36"/>
    <w:rsid w:val="00202A05"/>
    <w:rsid w:val="00202A7B"/>
    <w:rsid w:val="00204103"/>
    <w:rsid w:val="00204BA3"/>
    <w:rsid w:val="00205E17"/>
    <w:rsid w:val="00207C3D"/>
    <w:rsid w:val="00207C8B"/>
    <w:rsid w:val="00216CA2"/>
    <w:rsid w:val="00221789"/>
    <w:rsid w:val="00221A5F"/>
    <w:rsid w:val="00221E32"/>
    <w:rsid w:val="00221F9C"/>
    <w:rsid w:val="00230FC1"/>
    <w:rsid w:val="00232C52"/>
    <w:rsid w:val="00233AA0"/>
    <w:rsid w:val="002357F1"/>
    <w:rsid w:val="002362FE"/>
    <w:rsid w:val="002375FF"/>
    <w:rsid w:val="002411C7"/>
    <w:rsid w:val="00241714"/>
    <w:rsid w:val="00242C0E"/>
    <w:rsid w:val="00247BF3"/>
    <w:rsid w:val="002516D0"/>
    <w:rsid w:val="002563C3"/>
    <w:rsid w:val="00262066"/>
    <w:rsid w:val="00266B2F"/>
    <w:rsid w:val="00273392"/>
    <w:rsid w:val="00277136"/>
    <w:rsid w:val="002771EA"/>
    <w:rsid w:val="00285620"/>
    <w:rsid w:val="00293926"/>
    <w:rsid w:val="002A177B"/>
    <w:rsid w:val="002A21F0"/>
    <w:rsid w:val="002A3332"/>
    <w:rsid w:val="002A3C1D"/>
    <w:rsid w:val="002C0815"/>
    <w:rsid w:val="002C2BA0"/>
    <w:rsid w:val="002E0AB7"/>
    <w:rsid w:val="002E2671"/>
    <w:rsid w:val="002E2806"/>
    <w:rsid w:val="002E2D30"/>
    <w:rsid w:val="002E453D"/>
    <w:rsid w:val="002F600C"/>
    <w:rsid w:val="002F689D"/>
    <w:rsid w:val="00301C04"/>
    <w:rsid w:val="003025EB"/>
    <w:rsid w:val="00302D1B"/>
    <w:rsid w:val="003059D4"/>
    <w:rsid w:val="003202F7"/>
    <w:rsid w:val="00320404"/>
    <w:rsid w:val="00321548"/>
    <w:rsid w:val="00322C60"/>
    <w:rsid w:val="0032327D"/>
    <w:rsid w:val="00323F4B"/>
    <w:rsid w:val="00327708"/>
    <w:rsid w:val="0033003E"/>
    <w:rsid w:val="003306E8"/>
    <w:rsid w:val="003319CB"/>
    <w:rsid w:val="0033538F"/>
    <w:rsid w:val="00343DFC"/>
    <w:rsid w:val="00346928"/>
    <w:rsid w:val="00350A20"/>
    <w:rsid w:val="003512EF"/>
    <w:rsid w:val="0035325D"/>
    <w:rsid w:val="00361803"/>
    <w:rsid w:val="003649C2"/>
    <w:rsid w:val="00367BB8"/>
    <w:rsid w:val="00367BF0"/>
    <w:rsid w:val="003736E1"/>
    <w:rsid w:val="00374D05"/>
    <w:rsid w:val="00375055"/>
    <w:rsid w:val="00382B20"/>
    <w:rsid w:val="0038769C"/>
    <w:rsid w:val="00397321"/>
    <w:rsid w:val="003A2FBA"/>
    <w:rsid w:val="003B19A7"/>
    <w:rsid w:val="003B2F9F"/>
    <w:rsid w:val="003B437A"/>
    <w:rsid w:val="003B5888"/>
    <w:rsid w:val="003B6F27"/>
    <w:rsid w:val="003C261C"/>
    <w:rsid w:val="003C2ABE"/>
    <w:rsid w:val="003C5D45"/>
    <w:rsid w:val="003D1DA6"/>
    <w:rsid w:val="003E459C"/>
    <w:rsid w:val="003E46EF"/>
    <w:rsid w:val="003F0B96"/>
    <w:rsid w:val="003F5831"/>
    <w:rsid w:val="00405CD8"/>
    <w:rsid w:val="00412FAF"/>
    <w:rsid w:val="00416BD2"/>
    <w:rsid w:val="0043443B"/>
    <w:rsid w:val="00441C6E"/>
    <w:rsid w:val="004460D0"/>
    <w:rsid w:val="00451939"/>
    <w:rsid w:val="004564B6"/>
    <w:rsid w:val="00460187"/>
    <w:rsid w:val="00465110"/>
    <w:rsid w:val="00467BE1"/>
    <w:rsid w:val="004708F4"/>
    <w:rsid w:val="004720F0"/>
    <w:rsid w:val="00481057"/>
    <w:rsid w:val="004850C9"/>
    <w:rsid w:val="00496815"/>
    <w:rsid w:val="004A389E"/>
    <w:rsid w:val="004A5390"/>
    <w:rsid w:val="004B2289"/>
    <w:rsid w:val="004B4DFB"/>
    <w:rsid w:val="004C1EF7"/>
    <w:rsid w:val="004C3266"/>
    <w:rsid w:val="004D27BD"/>
    <w:rsid w:val="004D2813"/>
    <w:rsid w:val="004D5F57"/>
    <w:rsid w:val="004E39B0"/>
    <w:rsid w:val="004E3DED"/>
    <w:rsid w:val="004E63BB"/>
    <w:rsid w:val="004E6428"/>
    <w:rsid w:val="004F14CE"/>
    <w:rsid w:val="004F2987"/>
    <w:rsid w:val="004F484F"/>
    <w:rsid w:val="005003A4"/>
    <w:rsid w:val="00502879"/>
    <w:rsid w:val="00504AEE"/>
    <w:rsid w:val="00507D8A"/>
    <w:rsid w:val="00510C0D"/>
    <w:rsid w:val="00511371"/>
    <w:rsid w:val="0051615C"/>
    <w:rsid w:val="00516282"/>
    <w:rsid w:val="005236B6"/>
    <w:rsid w:val="00533C54"/>
    <w:rsid w:val="0054347A"/>
    <w:rsid w:val="0054359A"/>
    <w:rsid w:val="0054636D"/>
    <w:rsid w:val="00546DD2"/>
    <w:rsid w:val="00551C11"/>
    <w:rsid w:val="00565FC7"/>
    <w:rsid w:val="00566538"/>
    <w:rsid w:val="00570756"/>
    <w:rsid w:val="00590466"/>
    <w:rsid w:val="005A3157"/>
    <w:rsid w:val="005A46F3"/>
    <w:rsid w:val="005A5091"/>
    <w:rsid w:val="005A64E1"/>
    <w:rsid w:val="005A7A37"/>
    <w:rsid w:val="005B4D5E"/>
    <w:rsid w:val="005B59AA"/>
    <w:rsid w:val="005B65FC"/>
    <w:rsid w:val="005C414B"/>
    <w:rsid w:val="005C7DC9"/>
    <w:rsid w:val="005D0B19"/>
    <w:rsid w:val="005D3DAC"/>
    <w:rsid w:val="005D48C8"/>
    <w:rsid w:val="005D75E4"/>
    <w:rsid w:val="005D7F2D"/>
    <w:rsid w:val="005F1287"/>
    <w:rsid w:val="005F392F"/>
    <w:rsid w:val="005F4C80"/>
    <w:rsid w:val="005F5C65"/>
    <w:rsid w:val="006004B4"/>
    <w:rsid w:val="00603E6A"/>
    <w:rsid w:val="006163AC"/>
    <w:rsid w:val="00640D04"/>
    <w:rsid w:val="0064541F"/>
    <w:rsid w:val="00651FF6"/>
    <w:rsid w:val="0065230D"/>
    <w:rsid w:val="00654F7E"/>
    <w:rsid w:val="00662580"/>
    <w:rsid w:val="0066664F"/>
    <w:rsid w:val="00666C7C"/>
    <w:rsid w:val="006671F6"/>
    <w:rsid w:val="006753BC"/>
    <w:rsid w:val="006829D8"/>
    <w:rsid w:val="006829F6"/>
    <w:rsid w:val="00687583"/>
    <w:rsid w:val="006877E8"/>
    <w:rsid w:val="00687A74"/>
    <w:rsid w:val="00690F07"/>
    <w:rsid w:val="0069148D"/>
    <w:rsid w:val="006944FB"/>
    <w:rsid w:val="006A5333"/>
    <w:rsid w:val="006A72D6"/>
    <w:rsid w:val="006B22A3"/>
    <w:rsid w:val="006B4FA8"/>
    <w:rsid w:val="006B5DF0"/>
    <w:rsid w:val="006B7244"/>
    <w:rsid w:val="006C122C"/>
    <w:rsid w:val="006E2576"/>
    <w:rsid w:val="006E3C59"/>
    <w:rsid w:val="006E3D5F"/>
    <w:rsid w:val="006F21B8"/>
    <w:rsid w:val="006F4131"/>
    <w:rsid w:val="006F41CE"/>
    <w:rsid w:val="00701434"/>
    <w:rsid w:val="00714DAA"/>
    <w:rsid w:val="00725B5D"/>
    <w:rsid w:val="00727BBC"/>
    <w:rsid w:val="007347DE"/>
    <w:rsid w:val="00735A79"/>
    <w:rsid w:val="00743E41"/>
    <w:rsid w:val="00765AC8"/>
    <w:rsid w:val="00767658"/>
    <w:rsid w:val="00773A74"/>
    <w:rsid w:val="007752BA"/>
    <w:rsid w:val="00775AEB"/>
    <w:rsid w:val="00776D5A"/>
    <w:rsid w:val="007805AA"/>
    <w:rsid w:val="0078773F"/>
    <w:rsid w:val="00790D94"/>
    <w:rsid w:val="007915CE"/>
    <w:rsid w:val="00792949"/>
    <w:rsid w:val="00794B42"/>
    <w:rsid w:val="00796CC5"/>
    <w:rsid w:val="007A1D69"/>
    <w:rsid w:val="007A5524"/>
    <w:rsid w:val="007A5E16"/>
    <w:rsid w:val="007A7B97"/>
    <w:rsid w:val="007B112D"/>
    <w:rsid w:val="007B272B"/>
    <w:rsid w:val="007C2E28"/>
    <w:rsid w:val="007D1CBB"/>
    <w:rsid w:val="007D2B1F"/>
    <w:rsid w:val="007D2F3C"/>
    <w:rsid w:val="007E3FAF"/>
    <w:rsid w:val="007E6A15"/>
    <w:rsid w:val="007F040D"/>
    <w:rsid w:val="007F0D4B"/>
    <w:rsid w:val="007F349D"/>
    <w:rsid w:val="008018E6"/>
    <w:rsid w:val="00806464"/>
    <w:rsid w:val="00810730"/>
    <w:rsid w:val="00810FE5"/>
    <w:rsid w:val="00820D49"/>
    <w:rsid w:val="008210EB"/>
    <w:rsid w:val="008229CF"/>
    <w:rsid w:val="00826B96"/>
    <w:rsid w:val="008277B0"/>
    <w:rsid w:val="008332D0"/>
    <w:rsid w:val="008466F3"/>
    <w:rsid w:val="008536AE"/>
    <w:rsid w:val="0086077F"/>
    <w:rsid w:val="008611C2"/>
    <w:rsid w:val="00882629"/>
    <w:rsid w:val="00893CBE"/>
    <w:rsid w:val="008A0E2D"/>
    <w:rsid w:val="008B08DC"/>
    <w:rsid w:val="008B0C7D"/>
    <w:rsid w:val="008B14A7"/>
    <w:rsid w:val="008B3470"/>
    <w:rsid w:val="008B67B8"/>
    <w:rsid w:val="008C5D3D"/>
    <w:rsid w:val="008C726B"/>
    <w:rsid w:val="008C7D26"/>
    <w:rsid w:val="008D09E9"/>
    <w:rsid w:val="008D0F76"/>
    <w:rsid w:val="008D2216"/>
    <w:rsid w:val="008D3FCA"/>
    <w:rsid w:val="008E0BBC"/>
    <w:rsid w:val="008F173E"/>
    <w:rsid w:val="00904F84"/>
    <w:rsid w:val="00906254"/>
    <w:rsid w:val="00911A5C"/>
    <w:rsid w:val="009149FD"/>
    <w:rsid w:val="009217A3"/>
    <w:rsid w:val="0092215D"/>
    <w:rsid w:val="0092387A"/>
    <w:rsid w:val="00926F9E"/>
    <w:rsid w:val="009335B6"/>
    <w:rsid w:val="00936D7E"/>
    <w:rsid w:val="009370C4"/>
    <w:rsid w:val="0094438A"/>
    <w:rsid w:val="009608F1"/>
    <w:rsid w:val="00961D60"/>
    <w:rsid w:val="009634EC"/>
    <w:rsid w:val="00965143"/>
    <w:rsid w:val="00975AD1"/>
    <w:rsid w:val="00975E10"/>
    <w:rsid w:val="00977994"/>
    <w:rsid w:val="00982080"/>
    <w:rsid w:val="009821EF"/>
    <w:rsid w:val="009841B8"/>
    <w:rsid w:val="00985123"/>
    <w:rsid w:val="00992F04"/>
    <w:rsid w:val="009A152C"/>
    <w:rsid w:val="009A21F8"/>
    <w:rsid w:val="009A2BA5"/>
    <w:rsid w:val="009A5F85"/>
    <w:rsid w:val="009C3816"/>
    <w:rsid w:val="009C68D6"/>
    <w:rsid w:val="009C6D2F"/>
    <w:rsid w:val="009C76C2"/>
    <w:rsid w:val="009D1902"/>
    <w:rsid w:val="009D1FCD"/>
    <w:rsid w:val="009D450E"/>
    <w:rsid w:val="009D66DA"/>
    <w:rsid w:val="009E1B4C"/>
    <w:rsid w:val="009E6393"/>
    <w:rsid w:val="009F2935"/>
    <w:rsid w:val="009F33D8"/>
    <w:rsid w:val="00A01586"/>
    <w:rsid w:val="00A015D8"/>
    <w:rsid w:val="00A0714C"/>
    <w:rsid w:val="00A077CE"/>
    <w:rsid w:val="00A07F15"/>
    <w:rsid w:val="00A15EFD"/>
    <w:rsid w:val="00A169B0"/>
    <w:rsid w:val="00A20FD5"/>
    <w:rsid w:val="00A22931"/>
    <w:rsid w:val="00A26E8C"/>
    <w:rsid w:val="00A32F34"/>
    <w:rsid w:val="00A33DF9"/>
    <w:rsid w:val="00A35E78"/>
    <w:rsid w:val="00A361E7"/>
    <w:rsid w:val="00A44B1A"/>
    <w:rsid w:val="00A451D4"/>
    <w:rsid w:val="00A50C88"/>
    <w:rsid w:val="00A56BC6"/>
    <w:rsid w:val="00A76C4D"/>
    <w:rsid w:val="00A804B0"/>
    <w:rsid w:val="00A82642"/>
    <w:rsid w:val="00A82D45"/>
    <w:rsid w:val="00A8559A"/>
    <w:rsid w:val="00A85DFA"/>
    <w:rsid w:val="00A91C4C"/>
    <w:rsid w:val="00A92F01"/>
    <w:rsid w:val="00A9356C"/>
    <w:rsid w:val="00A96D15"/>
    <w:rsid w:val="00AA5531"/>
    <w:rsid w:val="00AB2DE1"/>
    <w:rsid w:val="00AB3BE1"/>
    <w:rsid w:val="00AB55F7"/>
    <w:rsid w:val="00AC36B9"/>
    <w:rsid w:val="00AC584B"/>
    <w:rsid w:val="00AD4CEF"/>
    <w:rsid w:val="00AD5F96"/>
    <w:rsid w:val="00AD7A31"/>
    <w:rsid w:val="00AE37C4"/>
    <w:rsid w:val="00B010B8"/>
    <w:rsid w:val="00B01FBA"/>
    <w:rsid w:val="00B04AE1"/>
    <w:rsid w:val="00B1356C"/>
    <w:rsid w:val="00B13B6B"/>
    <w:rsid w:val="00B156C5"/>
    <w:rsid w:val="00B1637C"/>
    <w:rsid w:val="00B23FD3"/>
    <w:rsid w:val="00B24CDA"/>
    <w:rsid w:val="00B25A0E"/>
    <w:rsid w:val="00B31653"/>
    <w:rsid w:val="00B3259E"/>
    <w:rsid w:val="00B330AE"/>
    <w:rsid w:val="00B34326"/>
    <w:rsid w:val="00B36BB3"/>
    <w:rsid w:val="00B37F27"/>
    <w:rsid w:val="00B434F6"/>
    <w:rsid w:val="00B479AA"/>
    <w:rsid w:val="00B53A22"/>
    <w:rsid w:val="00B80AD4"/>
    <w:rsid w:val="00B8219D"/>
    <w:rsid w:val="00B839AE"/>
    <w:rsid w:val="00B852A8"/>
    <w:rsid w:val="00BA09D7"/>
    <w:rsid w:val="00BB24E1"/>
    <w:rsid w:val="00BB3935"/>
    <w:rsid w:val="00BB7620"/>
    <w:rsid w:val="00BC1D1E"/>
    <w:rsid w:val="00BC20F3"/>
    <w:rsid w:val="00BC6540"/>
    <w:rsid w:val="00BD1933"/>
    <w:rsid w:val="00BD219C"/>
    <w:rsid w:val="00BD5E50"/>
    <w:rsid w:val="00BD6686"/>
    <w:rsid w:val="00BE17CB"/>
    <w:rsid w:val="00BE6FCF"/>
    <w:rsid w:val="00C0109F"/>
    <w:rsid w:val="00C02545"/>
    <w:rsid w:val="00C02898"/>
    <w:rsid w:val="00C037F6"/>
    <w:rsid w:val="00C101D7"/>
    <w:rsid w:val="00C136A6"/>
    <w:rsid w:val="00C137B3"/>
    <w:rsid w:val="00C14BC5"/>
    <w:rsid w:val="00C21C38"/>
    <w:rsid w:val="00C22444"/>
    <w:rsid w:val="00C238C9"/>
    <w:rsid w:val="00C273FE"/>
    <w:rsid w:val="00C32D81"/>
    <w:rsid w:val="00C433F8"/>
    <w:rsid w:val="00C6508A"/>
    <w:rsid w:val="00C66828"/>
    <w:rsid w:val="00C73A6A"/>
    <w:rsid w:val="00C759AB"/>
    <w:rsid w:val="00C849C9"/>
    <w:rsid w:val="00C85170"/>
    <w:rsid w:val="00C8542A"/>
    <w:rsid w:val="00C93C57"/>
    <w:rsid w:val="00C94E1A"/>
    <w:rsid w:val="00CA14D8"/>
    <w:rsid w:val="00CA362E"/>
    <w:rsid w:val="00CA47F3"/>
    <w:rsid w:val="00CB1B8D"/>
    <w:rsid w:val="00CB42A1"/>
    <w:rsid w:val="00CB69CB"/>
    <w:rsid w:val="00CD6FEC"/>
    <w:rsid w:val="00CE619D"/>
    <w:rsid w:val="00CE7497"/>
    <w:rsid w:val="00CF0ADB"/>
    <w:rsid w:val="00D02EB0"/>
    <w:rsid w:val="00D0542F"/>
    <w:rsid w:val="00D119C7"/>
    <w:rsid w:val="00D11B72"/>
    <w:rsid w:val="00D159C0"/>
    <w:rsid w:val="00D17E76"/>
    <w:rsid w:val="00D21223"/>
    <w:rsid w:val="00D216E8"/>
    <w:rsid w:val="00D2234D"/>
    <w:rsid w:val="00D305BB"/>
    <w:rsid w:val="00D3084E"/>
    <w:rsid w:val="00D60AC5"/>
    <w:rsid w:val="00D6112A"/>
    <w:rsid w:val="00D637D3"/>
    <w:rsid w:val="00D6498B"/>
    <w:rsid w:val="00D64B76"/>
    <w:rsid w:val="00D86FD2"/>
    <w:rsid w:val="00D95F99"/>
    <w:rsid w:val="00D9624C"/>
    <w:rsid w:val="00DA22A8"/>
    <w:rsid w:val="00DB0535"/>
    <w:rsid w:val="00DC71B8"/>
    <w:rsid w:val="00DE2219"/>
    <w:rsid w:val="00DE4EA1"/>
    <w:rsid w:val="00DE62F8"/>
    <w:rsid w:val="00DF0C66"/>
    <w:rsid w:val="00DF2A61"/>
    <w:rsid w:val="00DF4AA3"/>
    <w:rsid w:val="00DF5553"/>
    <w:rsid w:val="00DF7157"/>
    <w:rsid w:val="00E00D2B"/>
    <w:rsid w:val="00E018E7"/>
    <w:rsid w:val="00E057F2"/>
    <w:rsid w:val="00E14DCC"/>
    <w:rsid w:val="00E20461"/>
    <w:rsid w:val="00E226E3"/>
    <w:rsid w:val="00E270EC"/>
    <w:rsid w:val="00E37FCD"/>
    <w:rsid w:val="00E52D2E"/>
    <w:rsid w:val="00E5657D"/>
    <w:rsid w:val="00E62758"/>
    <w:rsid w:val="00E771D2"/>
    <w:rsid w:val="00E82D4D"/>
    <w:rsid w:val="00E84939"/>
    <w:rsid w:val="00E85473"/>
    <w:rsid w:val="00E86D4C"/>
    <w:rsid w:val="00E91DD3"/>
    <w:rsid w:val="00EA51A1"/>
    <w:rsid w:val="00EE064B"/>
    <w:rsid w:val="00EE1259"/>
    <w:rsid w:val="00EE1687"/>
    <w:rsid w:val="00EE1B7C"/>
    <w:rsid w:val="00EE71D0"/>
    <w:rsid w:val="00F11890"/>
    <w:rsid w:val="00F119F6"/>
    <w:rsid w:val="00F12F64"/>
    <w:rsid w:val="00F1654C"/>
    <w:rsid w:val="00F175FE"/>
    <w:rsid w:val="00F31CEA"/>
    <w:rsid w:val="00F36679"/>
    <w:rsid w:val="00F46681"/>
    <w:rsid w:val="00F501E1"/>
    <w:rsid w:val="00F517D8"/>
    <w:rsid w:val="00F54A2A"/>
    <w:rsid w:val="00F64215"/>
    <w:rsid w:val="00F65C82"/>
    <w:rsid w:val="00F67153"/>
    <w:rsid w:val="00F71F7E"/>
    <w:rsid w:val="00F751BB"/>
    <w:rsid w:val="00F75E76"/>
    <w:rsid w:val="00F84235"/>
    <w:rsid w:val="00F851C7"/>
    <w:rsid w:val="00FA25DF"/>
    <w:rsid w:val="00FA4F20"/>
    <w:rsid w:val="00FA5B13"/>
    <w:rsid w:val="00FA5C34"/>
    <w:rsid w:val="00FB4522"/>
    <w:rsid w:val="00FD2282"/>
    <w:rsid w:val="00FF589A"/>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1FB"/>
  <w15:chartTrackingRefBased/>
  <w15:docId w15:val="{B88E687B-FF1D-4A08-AADD-72197C82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3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3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B63"/>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1B3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B63"/>
    <w:rPr>
      <w:sz w:val="20"/>
      <w:szCs w:val="20"/>
    </w:rPr>
  </w:style>
  <w:style w:type="character" w:styleId="FootnoteReference">
    <w:name w:val="footnote reference"/>
    <w:basedOn w:val="DefaultParagraphFont"/>
    <w:uiPriority w:val="99"/>
    <w:semiHidden/>
    <w:unhideWhenUsed/>
    <w:rsid w:val="001B3B63"/>
    <w:rPr>
      <w:vertAlign w:val="superscript"/>
    </w:rPr>
  </w:style>
  <w:style w:type="character" w:styleId="Hyperlink">
    <w:name w:val="Hyperlink"/>
    <w:basedOn w:val="DefaultParagraphFont"/>
    <w:uiPriority w:val="99"/>
    <w:unhideWhenUsed/>
    <w:rsid w:val="00A92F01"/>
    <w:rPr>
      <w:color w:val="0000FF"/>
      <w:u w:val="single"/>
    </w:rPr>
  </w:style>
  <w:style w:type="paragraph" w:styleId="Header">
    <w:name w:val="header"/>
    <w:basedOn w:val="Normal"/>
    <w:link w:val="HeaderChar"/>
    <w:uiPriority w:val="99"/>
    <w:unhideWhenUsed/>
    <w:rsid w:val="0051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82"/>
  </w:style>
  <w:style w:type="paragraph" w:styleId="Footer">
    <w:name w:val="footer"/>
    <w:basedOn w:val="Normal"/>
    <w:link w:val="FooterChar"/>
    <w:uiPriority w:val="99"/>
    <w:unhideWhenUsed/>
    <w:rsid w:val="0051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82"/>
  </w:style>
  <w:style w:type="paragraph" w:styleId="NormalWeb">
    <w:name w:val="Normal (Web)"/>
    <w:basedOn w:val="Normal"/>
    <w:uiPriority w:val="99"/>
    <w:semiHidden/>
    <w:unhideWhenUsed/>
    <w:rsid w:val="00101D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1DAB"/>
    <w:rPr>
      <w:i/>
      <w:iCs/>
    </w:rPr>
  </w:style>
  <w:style w:type="paragraph" w:styleId="ListParagraph">
    <w:name w:val="List Paragraph"/>
    <w:basedOn w:val="Normal"/>
    <w:uiPriority w:val="34"/>
    <w:qFormat/>
    <w:rsid w:val="004C1EF7"/>
    <w:pPr>
      <w:ind w:left="720"/>
      <w:contextualSpacing/>
    </w:pPr>
  </w:style>
  <w:style w:type="character" w:customStyle="1" w:styleId="Heading2Char">
    <w:name w:val="Heading 2 Char"/>
    <w:basedOn w:val="DefaultParagraphFont"/>
    <w:link w:val="Heading2"/>
    <w:uiPriority w:val="9"/>
    <w:semiHidden/>
    <w:rsid w:val="00603E6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E771D2"/>
    <w:rPr>
      <w:color w:val="605E5C"/>
      <w:shd w:val="clear" w:color="auto" w:fill="E1DFDD"/>
    </w:rPr>
  </w:style>
  <w:style w:type="paragraph" w:styleId="BalloonText">
    <w:name w:val="Balloon Text"/>
    <w:basedOn w:val="Normal"/>
    <w:link w:val="BalloonTextChar"/>
    <w:uiPriority w:val="99"/>
    <w:semiHidden/>
    <w:unhideWhenUsed/>
    <w:rsid w:val="005F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182">
      <w:bodyDiv w:val="1"/>
      <w:marLeft w:val="0"/>
      <w:marRight w:val="0"/>
      <w:marTop w:val="0"/>
      <w:marBottom w:val="0"/>
      <w:divBdr>
        <w:top w:val="none" w:sz="0" w:space="0" w:color="auto"/>
        <w:left w:val="none" w:sz="0" w:space="0" w:color="auto"/>
        <w:bottom w:val="none" w:sz="0" w:space="0" w:color="auto"/>
        <w:right w:val="none" w:sz="0" w:space="0" w:color="auto"/>
      </w:divBdr>
    </w:div>
    <w:div w:id="1564825746">
      <w:bodyDiv w:val="1"/>
      <w:marLeft w:val="0"/>
      <w:marRight w:val="0"/>
      <w:marTop w:val="0"/>
      <w:marBottom w:val="0"/>
      <w:divBdr>
        <w:top w:val="none" w:sz="0" w:space="0" w:color="auto"/>
        <w:left w:val="none" w:sz="0" w:space="0" w:color="auto"/>
        <w:bottom w:val="none" w:sz="0" w:space="0" w:color="auto"/>
        <w:right w:val="none" w:sz="0" w:space="0" w:color="auto"/>
      </w:divBdr>
    </w:div>
    <w:div w:id="1661733895">
      <w:bodyDiv w:val="1"/>
      <w:marLeft w:val="0"/>
      <w:marRight w:val="0"/>
      <w:marTop w:val="0"/>
      <w:marBottom w:val="0"/>
      <w:divBdr>
        <w:top w:val="none" w:sz="0" w:space="0" w:color="auto"/>
        <w:left w:val="none" w:sz="0" w:space="0" w:color="auto"/>
        <w:bottom w:val="none" w:sz="0" w:space="0" w:color="auto"/>
        <w:right w:val="none" w:sz="0" w:space="0" w:color="auto"/>
      </w:divBdr>
    </w:div>
    <w:div w:id="16704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3%20%285%29%20SA%20325" TargetMode="External"/><Relationship Id="rId1" Type="http://schemas.openxmlformats.org/officeDocument/2006/relationships/hyperlink" Target="http://mwrfund.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C822DC642644F94978CBEB8F6094B" ma:contentTypeVersion="13" ma:contentTypeDescription="Create a new document." ma:contentTypeScope="" ma:versionID="b186f58eb60813862df96c3295c32764">
  <xsd:schema xmlns:xsd="http://www.w3.org/2001/XMLSchema" xmlns:xs="http://www.w3.org/2001/XMLSchema" xmlns:p="http://schemas.microsoft.com/office/2006/metadata/properties" xmlns:ns3="78d87410-f2b2-4d90-a328-1d537bf1108c" xmlns:ns4="bfd7b122-4b0b-40e0-a2c3-5bc360aa713d" targetNamespace="http://schemas.microsoft.com/office/2006/metadata/properties" ma:root="true" ma:fieldsID="e994550ea24887cf64e58c29801968fb" ns3:_="" ns4:_="">
    <xsd:import namespace="78d87410-f2b2-4d90-a328-1d537bf1108c"/>
    <xsd:import namespace="bfd7b122-4b0b-40e0-a2c3-5bc360aa7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7410-f2b2-4d90-a328-1d537bf11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7b122-4b0b-40e0-a2c3-5bc360aa7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33CF-36D2-45F8-97CF-A7C5100F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7410-f2b2-4d90-a328-1d537bf1108c"/>
    <ds:schemaRef ds:uri="bfd7b122-4b0b-40e0-a2c3-5bc360aa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A007D-876F-40F5-978F-B6EBBD6F3D44}">
  <ds:schemaRefs>
    <ds:schemaRef ds:uri="http://schemas.microsoft.com/sharepoint/v3/contenttype/forms"/>
  </ds:schemaRefs>
</ds:datastoreItem>
</file>

<file path=customXml/itemProps3.xml><?xml version="1.0" encoding="utf-8"?>
<ds:datastoreItem xmlns:ds="http://schemas.openxmlformats.org/officeDocument/2006/customXml" ds:itemID="{E030B64C-3820-4712-91AF-2AFFD0765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3E1F2-7191-4FC8-B846-5908F3A2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Ntlama, Nomthandazo</dc:creator>
  <cp:keywords/>
  <dc:description/>
  <cp:lastModifiedBy>Nomakorinte Ntliziywana</cp:lastModifiedBy>
  <cp:revision>2</cp:revision>
  <dcterms:created xsi:type="dcterms:W3CDTF">2023-01-24T15:33:00Z</dcterms:created>
  <dcterms:modified xsi:type="dcterms:W3CDTF">2023-01-24T15:33:00Z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0x01010098AC822DC642644F94978CBEB8F6094B</vt:lpwstr>
  </property>
</Properties>
</file>