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91F0" w14:textId="77777777" w:rsidR="00D450B5" w:rsidRPr="00044B50" w:rsidRDefault="00D450B5" w:rsidP="0094300A">
      <w:pPr>
        <w:autoSpaceDE w:val="0"/>
        <w:autoSpaceDN w:val="0"/>
        <w:adjustRightInd w:val="0"/>
        <w:ind w:right="373"/>
        <w:jc w:val="right"/>
        <w:rPr>
          <w:lang w:val="en-GB"/>
        </w:rPr>
      </w:pPr>
      <w:bookmarkStart w:id="0" w:name="_GoBack"/>
      <w:bookmarkEnd w:id="0"/>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6D266B19" w:rsidR="00D450B5" w:rsidRPr="00044B50" w:rsidRDefault="00797E4E" w:rsidP="00772E4B">
      <w:pPr>
        <w:jc w:val="center"/>
        <w:rPr>
          <w:b/>
          <w:bCs/>
          <w:lang w:val="en-GB"/>
        </w:rPr>
      </w:pPr>
      <w:r>
        <w:rPr>
          <w:b/>
          <w:bCs/>
          <w:lang w:val="en-GB"/>
        </w:rPr>
        <w:t>(</w:t>
      </w:r>
      <w:r w:rsidR="00D450B5" w:rsidRPr="00044B50">
        <w:rPr>
          <w:b/>
          <w:bCs/>
          <w:lang w:val="en-GB"/>
        </w:rPr>
        <w:t>EASTERN CAPE DIVISION,</w:t>
      </w:r>
      <w:r w:rsidR="00CA22C7">
        <w:rPr>
          <w:b/>
          <w:bCs/>
          <w:lang w:val="en-GB"/>
        </w:rPr>
        <w:t xml:space="preserve"> </w:t>
      </w:r>
      <w:r>
        <w:rPr>
          <w:b/>
          <w:bCs/>
          <w:lang w:val="en-GB"/>
        </w:rPr>
        <w:t>MAKHANDA)</w:t>
      </w:r>
    </w:p>
    <w:p w14:paraId="260381A7" w14:textId="77777777" w:rsidR="00D450B5" w:rsidRPr="00044B50" w:rsidRDefault="00D450B5" w:rsidP="00772E4B">
      <w:pPr>
        <w:widowControl w:val="0"/>
        <w:jc w:val="both"/>
        <w:rPr>
          <w:spacing w:val="14"/>
          <w:kern w:val="2"/>
          <w:u w:val="single"/>
          <w:lang w:val="en-GB"/>
        </w:rPr>
      </w:pPr>
    </w:p>
    <w:p w14:paraId="434E4AD9" w14:textId="7A7CD0DF" w:rsidR="00D450B5" w:rsidRPr="00044B50" w:rsidRDefault="00D450B5" w:rsidP="00462F66">
      <w:pPr>
        <w:tabs>
          <w:tab w:val="left" w:pos="8789"/>
        </w:tabs>
        <w:ind w:right="-194"/>
        <w:jc w:val="center"/>
        <w:rPr>
          <w:b/>
          <w:bCs/>
          <w:lang w:val="en-GB"/>
        </w:rPr>
      </w:pPr>
      <w:r w:rsidRPr="00044B50">
        <w:rPr>
          <w:lang w:val="en-GB"/>
        </w:rPr>
        <w:t xml:space="preserve">                                                                                           </w:t>
      </w:r>
      <w:r w:rsidR="0094300A">
        <w:rPr>
          <w:lang w:val="en-GB"/>
        </w:rPr>
        <w:t xml:space="preserve">        </w:t>
      </w:r>
      <w:r w:rsidR="00462F66">
        <w:rPr>
          <w:lang w:val="en-GB"/>
        </w:rPr>
        <w:t xml:space="preserve">   </w:t>
      </w:r>
      <w:r w:rsidRPr="00044B50">
        <w:rPr>
          <w:b/>
          <w:bCs/>
          <w:lang w:val="en-GB"/>
        </w:rPr>
        <w:t xml:space="preserve">NOT REPORTABLE                                     </w:t>
      </w:r>
    </w:p>
    <w:p w14:paraId="101AD6EF" w14:textId="77777777" w:rsidR="008A75F3" w:rsidRDefault="00E44987" w:rsidP="008A75F3">
      <w:pPr>
        <w:jc w:val="center"/>
        <w:rPr>
          <w:lang w:val="en-GB"/>
        </w:rPr>
      </w:pPr>
      <w:r w:rsidRPr="00044B50">
        <w:rPr>
          <w:lang w:val="en-GB"/>
        </w:rPr>
        <w:t xml:space="preserve">                                                                                                  </w:t>
      </w:r>
    </w:p>
    <w:p w14:paraId="4934DB4B" w14:textId="5DDCFB3E" w:rsidR="00E44987" w:rsidRPr="00044B50" w:rsidRDefault="0094300A" w:rsidP="00462F66">
      <w:pPr>
        <w:ind w:left="5760" w:right="-194" w:firstLine="720"/>
        <w:rPr>
          <w:lang w:val="en-GB"/>
        </w:rPr>
      </w:pPr>
      <w:r>
        <w:rPr>
          <w:lang w:val="en-GB"/>
        </w:rPr>
        <w:t xml:space="preserve">   </w:t>
      </w:r>
      <w:r w:rsidR="00462F66">
        <w:rPr>
          <w:lang w:val="en-GB"/>
        </w:rPr>
        <w:t xml:space="preserve">    </w:t>
      </w:r>
      <w:r w:rsidR="00E44987" w:rsidRPr="00044B50">
        <w:rPr>
          <w:lang w:val="en-GB"/>
        </w:rPr>
        <w:t xml:space="preserve">Case no: </w:t>
      </w:r>
      <w:r w:rsidR="00462F66">
        <w:rPr>
          <w:lang w:val="en-GB"/>
        </w:rPr>
        <w:t>4495/2023</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6C36C589" w:rsidR="00D450B5" w:rsidRPr="00797E4E" w:rsidRDefault="00462F66" w:rsidP="00462F66">
      <w:pPr>
        <w:tabs>
          <w:tab w:val="left" w:pos="7088"/>
        </w:tabs>
        <w:suppressAutoHyphens/>
        <w:ind w:right="-194"/>
        <w:jc w:val="both"/>
        <w:rPr>
          <w:b/>
          <w:bCs/>
          <w:lang w:val="en-GB"/>
        </w:rPr>
      </w:pPr>
      <w:r>
        <w:rPr>
          <w:b/>
          <w:bCs/>
          <w:lang w:val="en-GB"/>
        </w:rPr>
        <w:t>ZEN JV</w:t>
      </w:r>
      <w:r w:rsidR="00797E4E">
        <w:rPr>
          <w:b/>
          <w:bCs/>
          <w:lang w:val="en-GB"/>
        </w:rPr>
        <w:tab/>
      </w:r>
      <w:r w:rsidR="00797E4E">
        <w:rPr>
          <w:b/>
          <w:bCs/>
          <w:lang w:val="en-GB"/>
        </w:rPr>
        <w:tab/>
      </w:r>
      <w:r w:rsidR="0094300A">
        <w:rPr>
          <w:b/>
          <w:bCs/>
          <w:lang w:val="en-GB"/>
        </w:rPr>
        <w:t xml:space="preserve">         </w:t>
      </w:r>
      <w:r>
        <w:rPr>
          <w:b/>
          <w:bCs/>
          <w:lang w:val="en-GB"/>
        </w:rPr>
        <w:t xml:space="preserve">  </w:t>
      </w:r>
      <w:r w:rsidR="00797E4E" w:rsidRPr="00797E4E">
        <w:rPr>
          <w:b/>
          <w:bCs/>
          <w:lang w:val="en-GB"/>
        </w:rPr>
        <w:t>App</w:t>
      </w:r>
      <w:r w:rsidR="00F2377C">
        <w:rPr>
          <w:b/>
          <w:bCs/>
          <w:lang w:val="en-GB"/>
        </w:rPr>
        <w:t>lican</w:t>
      </w:r>
      <w:r w:rsidR="00797E4E" w:rsidRPr="00797E4E">
        <w:rPr>
          <w:b/>
          <w:bCs/>
          <w:lang w:val="en-GB"/>
        </w:rPr>
        <w:t>t</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2203702E" w:rsidR="00C246F2" w:rsidRDefault="00462F66" w:rsidP="00462F66">
      <w:pPr>
        <w:tabs>
          <w:tab w:val="left" w:pos="6379"/>
        </w:tabs>
        <w:ind w:right="-478"/>
        <w:jc w:val="both"/>
        <w:rPr>
          <w:b/>
          <w:bCs/>
          <w:lang w:val="en-GB"/>
        </w:rPr>
      </w:pPr>
      <w:r>
        <w:rPr>
          <w:b/>
          <w:bCs/>
          <w:lang w:val="en-GB"/>
        </w:rPr>
        <w:t xml:space="preserve">DEPARTMENT OF TRANSPORT: PROVINCE </w:t>
      </w:r>
      <w:r>
        <w:rPr>
          <w:b/>
          <w:bCs/>
          <w:lang w:val="en-GB"/>
        </w:rPr>
        <w:tab/>
      </w:r>
      <w:r>
        <w:rPr>
          <w:b/>
          <w:bCs/>
          <w:lang w:val="en-GB"/>
        </w:rPr>
        <w:tab/>
        <w:t xml:space="preserve">        First </w:t>
      </w:r>
      <w:r w:rsidR="00797E4E">
        <w:rPr>
          <w:b/>
          <w:bCs/>
          <w:lang w:val="en-GB"/>
        </w:rPr>
        <w:t>Respondent</w:t>
      </w:r>
    </w:p>
    <w:p w14:paraId="01DC3838" w14:textId="0D50DB6D" w:rsidR="00462F66" w:rsidRDefault="00462F66" w:rsidP="00462F66">
      <w:pPr>
        <w:tabs>
          <w:tab w:val="left" w:pos="6379"/>
        </w:tabs>
        <w:ind w:right="-478"/>
        <w:jc w:val="both"/>
        <w:rPr>
          <w:b/>
          <w:bCs/>
          <w:lang w:val="en-GB"/>
        </w:rPr>
      </w:pPr>
      <w:r>
        <w:rPr>
          <w:b/>
          <w:bCs/>
          <w:lang w:val="en-GB"/>
        </w:rPr>
        <w:t xml:space="preserve">OF THE EASTERN CAPE </w:t>
      </w:r>
    </w:p>
    <w:p w14:paraId="04AC5B43" w14:textId="77777777" w:rsidR="00462F66" w:rsidRDefault="00462F66" w:rsidP="00462F66">
      <w:pPr>
        <w:tabs>
          <w:tab w:val="left" w:pos="6379"/>
        </w:tabs>
        <w:ind w:right="-478"/>
        <w:jc w:val="both"/>
        <w:rPr>
          <w:b/>
          <w:bCs/>
          <w:lang w:val="en-GB"/>
        </w:rPr>
      </w:pPr>
    </w:p>
    <w:p w14:paraId="05270E73" w14:textId="2019025C" w:rsidR="00462F66" w:rsidRDefault="00462F66" w:rsidP="00462F66">
      <w:pPr>
        <w:tabs>
          <w:tab w:val="left" w:pos="6663"/>
        </w:tabs>
        <w:ind w:right="-478"/>
        <w:jc w:val="both"/>
        <w:rPr>
          <w:b/>
          <w:bCs/>
          <w:lang w:val="en-GB"/>
        </w:rPr>
      </w:pPr>
      <w:r>
        <w:rPr>
          <w:b/>
          <w:bCs/>
          <w:lang w:val="en-GB"/>
        </w:rPr>
        <w:t xml:space="preserve">THE MEC OF THE EASTERN CAPE PROVINCE </w:t>
      </w:r>
      <w:r>
        <w:rPr>
          <w:b/>
          <w:bCs/>
          <w:lang w:val="en-GB"/>
        </w:rPr>
        <w:tab/>
        <w:t>Second Respondent</w:t>
      </w:r>
    </w:p>
    <w:p w14:paraId="78A0C866" w14:textId="4178A9D8" w:rsidR="00462F66" w:rsidRDefault="00462F66" w:rsidP="00462F66">
      <w:pPr>
        <w:tabs>
          <w:tab w:val="left" w:pos="6663"/>
        </w:tabs>
        <w:ind w:right="-478"/>
        <w:jc w:val="both"/>
        <w:rPr>
          <w:b/>
          <w:bCs/>
          <w:lang w:val="en-GB"/>
        </w:rPr>
      </w:pPr>
      <w:r>
        <w:rPr>
          <w:b/>
          <w:bCs/>
          <w:lang w:val="en-GB"/>
        </w:rPr>
        <w:t xml:space="preserve">DEPARTMENT OF TRANSPORT AND COMMUNITY </w:t>
      </w:r>
    </w:p>
    <w:p w14:paraId="455785DC" w14:textId="2C73A1FB" w:rsidR="00462F66" w:rsidRDefault="00462F66" w:rsidP="00462F66">
      <w:pPr>
        <w:tabs>
          <w:tab w:val="left" w:pos="6663"/>
        </w:tabs>
        <w:ind w:right="-478"/>
        <w:jc w:val="both"/>
        <w:rPr>
          <w:b/>
          <w:bCs/>
          <w:lang w:val="en-GB"/>
        </w:rPr>
      </w:pPr>
      <w:r>
        <w:rPr>
          <w:b/>
          <w:bCs/>
          <w:lang w:val="en-GB"/>
        </w:rPr>
        <w:t>SAFETY</w:t>
      </w:r>
    </w:p>
    <w:p w14:paraId="1F309FEE" w14:textId="77777777" w:rsidR="00462F66" w:rsidRDefault="00462F66" w:rsidP="00462F66">
      <w:pPr>
        <w:tabs>
          <w:tab w:val="left" w:pos="6663"/>
        </w:tabs>
        <w:ind w:right="-478"/>
        <w:jc w:val="both"/>
        <w:rPr>
          <w:b/>
          <w:bCs/>
          <w:lang w:val="en-GB"/>
        </w:rPr>
      </w:pPr>
    </w:p>
    <w:p w14:paraId="5BC21239" w14:textId="2D456572" w:rsidR="00462F66" w:rsidRPr="00797E4E" w:rsidRDefault="00462F66" w:rsidP="00462F66">
      <w:pPr>
        <w:tabs>
          <w:tab w:val="left" w:pos="6804"/>
        </w:tabs>
        <w:ind w:right="-478"/>
        <w:jc w:val="both"/>
        <w:rPr>
          <w:b/>
          <w:bCs/>
          <w:lang w:val="en-GB"/>
        </w:rPr>
      </w:pPr>
      <w:r>
        <w:rPr>
          <w:b/>
          <w:bCs/>
          <w:lang w:val="en-GB"/>
        </w:rPr>
        <w:t xml:space="preserve">DOWN TOUCH INVESTMENTS (PTY) LTD </w:t>
      </w:r>
      <w:r>
        <w:rPr>
          <w:b/>
          <w:bCs/>
          <w:lang w:val="en-GB"/>
        </w:rPr>
        <w:tab/>
        <w:t xml:space="preserve"> Third Respondent</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17C1CC63" w:rsidR="00D468AF" w:rsidRDefault="00D468AF" w:rsidP="00682CE5">
      <w:pPr>
        <w:autoSpaceDE w:val="0"/>
        <w:autoSpaceDN w:val="0"/>
        <w:adjustRightInd w:val="0"/>
        <w:jc w:val="both"/>
        <w:rPr>
          <w:lang w:val="en-GB"/>
        </w:rPr>
      </w:pPr>
    </w:p>
    <w:p w14:paraId="29827DF4" w14:textId="31C56572" w:rsidR="000C67E0" w:rsidRPr="00A171D8" w:rsidRDefault="00A171D8" w:rsidP="00A171D8">
      <w:pPr>
        <w:autoSpaceDE w:val="0"/>
        <w:autoSpaceDN w:val="0"/>
        <w:adjustRightInd w:val="0"/>
        <w:jc w:val="both"/>
        <w:rPr>
          <w:lang w:val="en-GB"/>
        </w:rPr>
      </w:pPr>
      <w:r>
        <w:rPr>
          <w:lang w:val="en-GB"/>
        </w:rPr>
        <w:lastRenderedPageBreak/>
        <w:t>[1]</w:t>
      </w:r>
      <w:r>
        <w:rPr>
          <w:lang w:val="en-GB"/>
        </w:rPr>
        <w:tab/>
      </w:r>
      <w:r w:rsidR="002E787B" w:rsidRPr="00A171D8">
        <w:rPr>
          <w:lang w:val="en-GB"/>
        </w:rPr>
        <w:t>This is an urgent application to interdict the first respondent (‘the Department’) from implementing its decisions relating to a tender for the appointment of a civil engineering contractor for the upgrading of a road. The Department awarded the tender to the third respondent</w:t>
      </w:r>
      <w:r w:rsidR="004C7B69" w:rsidRPr="00A171D8">
        <w:rPr>
          <w:lang w:val="en-GB"/>
        </w:rPr>
        <w:t xml:space="preserve"> (‘Down Touch’)</w:t>
      </w:r>
      <w:r w:rsidR="002E787B" w:rsidRPr="00A171D8">
        <w:rPr>
          <w:lang w:val="en-GB"/>
        </w:rPr>
        <w:t>.</w:t>
      </w:r>
    </w:p>
    <w:p w14:paraId="16FC916F" w14:textId="77777777" w:rsidR="002E787B" w:rsidRDefault="002E787B" w:rsidP="002E787B">
      <w:pPr>
        <w:pStyle w:val="ListParagraph"/>
        <w:autoSpaceDE w:val="0"/>
        <w:autoSpaceDN w:val="0"/>
        <w:adjustRightInd w:val="0"/>
        <w:ind w:left="0"/>
        <w:jc w:val="both"/>
        <w:rPr>
          <w:lang w:val="en-GB"/>
        </w:rPr>
      </w:pPr>
    </w:p>
    <w:p w14:paraId="0FC186B4" w14:textId="58873A07" w:rsidR="002E787B" w:rsidRPr="00A171D8" w:rsidRDefault="00A171D8" w:rsidP="00A171D8">
      <w:pPr>
        <w:autoSpaceDE w:val="0"/>
        <w:autoSpaceDN w:val="0"/>
        <w:adjustRightInd w:val="0"/>
        <w:jc w:val="both"/>
        <w:rPr>
          <w:lang w:val="en-GB"/>
        </w:rPr>
      </w:pPr>
      <w:r>
        <w:rPr>
          <w:lang w:val="en-GB"/>
        </w:rPr>
        <w:t>[2]</w:t>
      </w:r>
      <w:r>
        <w:rPr>
          <w:lang w:val="en-GB"/>
        </w:rPr>
        <w:tab/>
      </w:r>
      <w:r w:rsidR="008F1C48" w:rsidRPr="00A171D8">
        <w:rPr>
          <w:lang w:val="en-GB"/>
        </w:rPr>
        <w:t xml:space="preserve">Two main issues require determination. The first is whether the matter was properly launched in accordance with the provision of the Uniform Rules in respect of urgency. Secondly, whether the applicant </w:t>
      </w:r>
      <w:r w:rsidR="00001146" w:rsidRPr="00A171D8">
        <w:rPr>
          <w:lang w:val="en-GB"/>
        </w:rPr>
        <w:t>(‘Zen JV’) has established the requirements for interim relief.</w:t>
      </w:r>
    </w:p>
    <w:p w14:paraId="2D33BEE4" w14:textId="67072B1A" w:rsidR="00C8111D" w:rsidRDefault="00C8111D" w:rsidP="00C8111D">
      <w:pPr>
        <w:pStyle w:val="ListParagraph"/>
        <w:autoSpaceDE w:val="0"/>
        <w:autoSpaceDN w:val="0"/>
        <w:adjustRightInd w:val="0"/>
        <w:ind w:left="0"/>
        <w:jc w:val="both"/>
        <w:rPr>
          <w:lang w:val="en-GB"/>
        </w:rPr>
      </w:pPr>
    </w:p>
    <w:p w14:paraId="190D61E2" w14:textId="0359926A" w:rsidR="009E0452" w:rsidRDefault="009E0452" w:rsidP="00C8111D">
      <w:pPr>
        <w:pStyle w:val="ListParagraph"/>
        <w:autoSpaceDE w:val="0"/>
        <w:autoSpaceDN w:val="0"/>
        <w:adjustRightInd w:val="0"/>
        <w:ind w:left="0"/>
        <w:jc w:val="both"/>
        <w:rPr>
          <w:b/>
          <w:bCs/>
          <w:lang w:val="en-GB"/>
        </w:rPr>
      </w:pPr>
      <w:r>
        <w:rPr>
          <w:b/>
          <w:bCs/>
          <w:lang w:val="en-GB"/>
        </w:rPr>
        <w:t>Urgency</w:t>
      </w:r>
    </w:p>
    <w:p w14:paraId="1E52AD9F" w14:textId="77777777" w:rsidR="009E0452" w:rsidRPr="009E0452" w:rsidRDefault="009E0452" w:rsidP="00C8111D">
      <w:pPr>
        <w:pStyle w:val="ListParagraph"/>
        <w:autoSpaceDE w:val="0"/>
        <w:autoSpaceDN w:val="0"/>
        <w:adjustRightInd w:val="0"/>
        <w:ind w:left="0"/>
        <w:jc w:val="both"/>
        <w:rPr>
          <w:b/>
          <w:bCs/>
          <w:lang w:val="en-GB"/>
        </w:rPr>
      </w:pPr>
    </w:p>
    <w:p w14:paraId="79AD7F8D" w14:textId="36428601" w:rsidR="00C8111D" w:rsidRPr="00A171D8" w:rsidRDefault="00A171D8" w:rsidP="00A171D8">
      <w:pPr>
        <w:autoSpaceDE w:val="0"/>
        <w:autoSpaceDN w:val="0"/>
        <w:adjustRightInd w:val="0"/>
        <w:jc w:val="both"/>
        <w:rPr>
          <w:lang w:val="en-GB"/>
        </w:rPr>
      </w:pPr>
      <w:r>
        <w:rPr>
          <w:lang w:val="en-GB"/>
        </w:rPr>
        <w:t>[3]</w:t>
      </w:r>
      <w:r>
        <w:rPr>
          <w:lang w:val="en-GB"/>
        </w:rPr>
        <w:tab/>
      </w:r>
      <w:r w:rsidR="00175DF8" w:rsidRPr="00A171D8">
        <w:rPr>
          <w:lang w:val="en-GB"/>
        </w:rPr>
        <w:t>Uniform Rule 6(12) provides that a court may dispense with the forms and service provided for in the rules and may dispose of such matter at such time and place and in such manner and in accordance with such procedure (which shall as far as practicable be in terms of the rules) as it deems fit.</w:t>
      </w:r>
    </w:p>
    <w:p w14:paraId="0F835D8C" w14:textId="77777777" w:rsidR="00630250" w:rsidRDefault="00630250" w:rsidP="00630250">
      <w:pPr>
        <w:pStyle w:val="ListParagraph"/>
        <w:autoSpaceDE w:val="0"/>
        <w:autoSpaceDN w:val="0"/>
        <w:adjustRightInd w:val="0"/>
        <w:ind w:left="0"/>
        <w:jc w:val="both"/>
        <w:rPr>
          <w:lang w:val="en-GB"/>
        </w:rPr>
      </w:pPr>
    </w:p>
    <w:p w14:paraId="0DF76AAE" w14:textId="20288071" w:rsidR="00630250" w:rsidRPr="00A171D8" w:rsidRDefault="00A171D8" w:rsidP="00A171D8">
      <w:pPr>
        <w:autoSpaceDE w:val="0"/>
        <w:autoSpaceDN w:val="0"/>
        <w:adjustRightInd w:val="0"/>
        <w:jc w:val="both"/>
        <w:rPr>
          <w:lang w:val="en-GB"/>
        </w:rPr>
      </w:pPr>
      <w:r w:rsidRPr="00630250">
        <w:rPr>
          <w:lang w:val="en-GB"/>
        </w:rPr>
        <w:t>[4]</w:t>
      </w:r>
      <w:r w:rsidRPr="00630250">
        <w:rPr>
          <w:lang w:val="en-GB"/>
        </w:rPr>
        <w:tab/>
      </w:r>
      <w:r w:rsidR="00175DF8" w:rsidRPr="00A171D8">
        <w:rPr>
          <w:lang w:val="en-GB"/>
        </w:rPr>
        <w:t>It is for the applicant to establish, in explicit fashion, the circumstances</w:t>
      </w:r>
      <w:r w:rsidR="0012081E" w:rsidRPr="00A171D8">
        <w:rPr>
          <w:lang w:val="en-GB"/>
        </w:rPr>
        <w:t xml:space="preserve"> which is averred render the matter urgent and the reasons why the applicant claims that it could not be afforded substantial redress at a hearing in due course.</w:t>
      </w:r>
      <w:r w:rsidR="0090245F" w:rsidRPr="00A171D8">
        <w:rPr>
          <w:lang w:val="en-GB"/>
        </w:rPr>
        <w:t xml:space="preserve"> The degree of relaxation should not be greater than the exigency of the case demands.</w:t>
      </w:r>
      <w:r w:rsidR="00630250" w:rsidRPr="00A171D8">
        <w:rPr>
          <w:lang w:val="en-GB"/>
        </w:rPr>
        <w:t xml:space="preserve"> The major considerations in deciding whether or not to exercise the court’s power to abridge the times prescribed and to accelerate the hearing of a matter are the following:</w:t>
      </w:r>
      <w:r w:rsidR="00630250" w:rsidRPr="009625E6">
        <w:rPr>
          <w:rStyle w:val="FootnoteReference"/>
          <w:lang w:val="en-GB"/>
        </w:rPr>
        <w:footnoteReference w:id="1"/>
      </w:r>
    </w:p>
    <w:p w14:paraId="67C45233" w14:textId="6B34A84E" w:rsidR="00630250" w:rsidRPr="00A171D8" w:rsidRDefault="00A171D8" w:rsidP="00A171D8">
      <w:pPr>
        <w:ind w:left="1440" w:hanging="360"/>
        <w:jc w:val="both"/>
        <w:rPr>
          <w:lang w:val="en-GB"/>
        </w:rPr>
      </w:pPr>
      <w:r w:rsidRPr="009625E6">
        <w:rPr>
          <w:rFonts w:ascii="Symbol" w:hAnsi="Symbol"/>
          <w:lang w:val="en-GB"/>
        </w:rPr>
        <w:t></w:t>
      </w:r>
      <w:r w:rsidRPr="009625E6">
        <w:rPr>
          <w:rFonts w:ascii="Symbol" w:hAnsi="Symbol"/>
          <w:lang w:val="en-GB"/>
        </w:rPr>
        <w:tab/>
      </w:r>
      <w:r w:rsidR="00630250" w:rsidRPr="00A171D8">
        <w:rPr>
          <w:lang w:val="en-GB"/>
        </w:rPr>
        <w:t>The prejudice that the applicants might suffer by having to wait for a hearing in the ordinary course;</w:t>
      </w:r>
    </w:p>
    <w:p w14:paraId="7192692F" w14:textId="03AD5567" w:rsidR="00630250" w:rsidRPr="00A171D8" w:rsidRDefault="00A171D8" w:rsidP="00A171D8">
      <w:pPr>
        <w:ind w:left="1440" w:hanging="360"/>
        <w:jc w:val="both"/>
        <w:rPr>
          <w:lang w:val="en-GB"/>
        </w:rPr>
      </w:pPr>
      <w:r w:rsidRPr="009625E6">
        <w:rPr>
          <w:rFonts w:ascii="Symbol" w:hAnsi="Symbol"/>
          <w:lang w:val="en-GB"/>
        </w:rPr>
        <w:t></w:t>
      </w:r>
      <w:r w:rsidRPr="009625E6">
        <w:rPr>
          <w:rFonts w:ascii="Symbol" w:hAnsi="Symbol"/>
          <w:lang w:val="en-GB"/>
        </w:rPr>
        <w:tab/>
      </w:r>
      <w:r w:rsidR="00630250" w:rsidRPr="00A171D8">
        <w:rPr>
          <w:lang w:val="en-GB"/>
        </w:rPr>
        <w:t>The prejudice that other litigants might suffer if the applicant is given preference; and</w:t>
      </w:r>
    </w:p>
    <w:p w14:paraId="2C9716B8" w14:textId="262E8CB3" w:rsidR="00175DF8" w:rsidRPr="00A171D8" w:rsidRDefault="00A171D8" w:rsidP="00A171D8">
      <w:pPr>
        <w:ind w:left="1440" w:hanging="360"/>
        <w:jc w:val="both"/>
        <w:rPr>
          <w:lang w:val="en-GB"/>
        </w:rPr>
      </w:pPr>
      <w:r w:rsidRPr="0019535E">
        <w:rPr>
          <w:rFonts w:ascii="Symbol" w:hAnsi="Symbol"/>
          <w:lang w:val="en-GB"/>
        </w:rPr>
        <w:t></w:t>
      </w:r>
      <w:r w:rsidRPr="0019535E">
        <w:rPr>
          <w:rFonts w:ascii="Symbol" w:hAnsi="Symbol"/>
          <w:lang w:val="en-GB"/>
        </w:rPr>
        <w:tab/>
      </w:r>
      <w:r w:rsidR="00630250" w:rsidRPr="00A171D8">
        <w:rPr>
          <w:lang w:val="en-GB"/>
        </w:rPr>
        <w:t>The prejudice that respondents might suffer by the abridgment of the prescribed times and an early hearing.</w:t>
      </w:r>
    </w:p>
    <w:p w14:paraId="5F166E0D" w14:textId="77777777" w:rsidR="0053682F" w:rsidRPr="0053682F" w:rsidRDefault="0053682F" w:rsidP="0053682F">
      <w:pPr>
        <w:pStyle w:val="ListParagraph"/>
        <w:rPr>
          <w:lang w:val="en-GB"/>
        </w:rPr>
      </w:pPr>
    </w:p>
    <w:p w14:paraId="2E146293" w14:textId="32D1FB93" w:rsidR="0053682F" w:rsidRPr="00A171D8" w:rsidRDefault="00A171D8" w:rsidP="00A171D8">
      <w:pPr>
        <w:autoSpaceDE w:val="0"/>
        <w:autoSpaceDN w:val="0"/>
        <w:adjustRightInd w:val="0"/>
        <w:jc w:val="both"/>
        <w:rPr>
          <w:lang w:val="en-GB"/>
        </w:rPr>
      </w:pPr>
      <w:r>
        <w:rPr>
          <w:lang w:val="en-GB"/>
        </w:rPr>
        <w:lastRenderedPageBreak/>
        <w:t>[5]</w:t>
      </w:r>
      <w:r>
        <w:rPr>
          <w:lang w:val="en-GB"/>
        </w:rPr>
        <w:tab/>
      </w:r>
      <w:r w:rsidR="009E2AF4" w:rsidRPr="00A171D8">
        <w:rPr>
          <w:lang w:val="en-GB"/>
        </w:rPr>
        <w:t>Zen JV’s explanation as to the degree of urgency is premised on it discovering</w:t>
      </w:r>
      <w:r w:rsidR="00C14BFA" w:rsidRPr="00A171D8">
        <w:rPr>
          <w:lang w:val="en-GB"/>
        </w:rPr>
        <w:t xml:space="preserve"> on 7 December 2023</w:t>
      </w:r>
      <w:r w:rsidR="009E2AF4" w:rsidRPr="00A171D8">
        <w:rPr>
          <w:lang w:val="en-GB"/>
        </w:rPr>
        <w:t xml:space="preserve">, by way of an internet site, that the Department had awarded the tender to </w:t>
      </w:r>
      <w:r w:rsidR="00A9241D" w:rsidRPr="00A171D8">
        <w:rPr>
          <w:lang w:val="en-GB"/>
        </w:rPr>
        <w:t>Down Touch</w:t>
      </w:r>
      <w:r w:rsidR="009E2AF4" w:rsidRPr="00A171D8">
        <w:rPr>
          <w:lang w:val="en-GB"/>
        </w:rPr>
        <w:t xml:space="preserve">. </w:t>
      </w:r>
      <w:r w:rsidR="002A0FB9" w:rsidRPr="00A171D8">
        <w:rPr>
          <w:lang w:val="en-GB"/>
        </w:rPr>
        <w:t xml:space="preserve">Papers were drafted over the weekend of 8 and 9 December 2023 and issued soon thereafter. The basis for this haste was the concern that the award of the tender would be followed by the conclusion of a formal contract as well as the incurring of costs in preparation for the commencement of the works, as well as the execution of the works. </w:t>
      </w:r>
      <w:r w:rsidR="00AD6353" w:rsidRPr="00A171D8">
        <w:rPr>
          <w:lang w:val="en-GB"/>
        </w:rPr>
        <w:t xml:space="preserve">Zen JV was of the view that the matter should be heard as soon as was reasonably possible to avoid possible prejudice and irreparable harm. </w:t>
      </w:r>
    </w:p>
    <w:p w14:paraId="0CE2A1E8" w14:textId="77777777" w:rsidR="004D4851" w:rsidRPr="004D4851" w:rsidRDefault="004D4851" w:rsidP="004D4851">
      <w:pPr>
        <w:pStyle w:val="ListParagraph"/>
        <w:rPr>
          <w:lang w:val="en-GB"/>
        </w:rPr>
      </w:pPr>
    </w:p>
    <w:p w14:paraId="25BADDFB" w14:textId="32C6E133" w:rsidR="004D4851" w:rsidRPr="00A171D8" w:rsidRDefault="00A171D8" w:rsidP="00A171D8">
      <w:pPr>
        <w:autoSpaceDE w:val="0"/>
        <w:autoSpaceDN w:val="0"/>
        <w:adjustRightInd w:val="0"/>
        <w:jc w:val="both"/>
        <w:rPr>
          <w:lang w:val="en-GB"/>
        </w:rPr>
      </w:pPr>
      <w:r>
        <w:rPr>
          <w:lang w:val="en-GB"/>
        </w:rPr>
        <w:t>[6]</w:t>
      </w:r>
      <w:r>
        <w:rPr>
          <w:lang w:val="en-GB"/>
        </w:rPr>
        <w:tab/>
      </w:r>
      <w:r w:rsidR="004D4851" w:rsidRPr="00A171D8">
        <w:rPr>
          <w:lang w:val="en-GB"/>
        </w:rPr>
        <w:t>Zen JV was alive to the so-called ‘builders’ holiday’. Absent any departmental undertaking to cease further implementation of the award, it proceeded on selected time-periods, having obtained a directive from the duty judge to have the matter heard on 22 December 2023. It may be emphasised that the directive in question rightly reserved the question of urgency for this court’s determination.</w:t>
      </w:r>
      <w:r w:rsidR="00F076F6" w:rsidRPr="00A171D8">
        <w:rPr>
          <w:lang w:val="en-GB"/>
        </w:rPr>
        <w:t xml:space="preserve"> Papers were served on the respondents on 12 December 2023. </w:t>
      </w:r>
      <w:r w:rsidR="00A30FF0" w:rsidRPr="00A171D8">
        <w:rPr>
          <w:lang w:val="en-GB"/>
        </w:rPr>
        <w:t xml:space="preserve">The state attorney seemingly only became aware of the application that afternoon. </w:t>
      </w:r>
      <w:r w:rsidR="00F076F6" w:rsidRPr="00A171D8">
        <w:rPr>
          <w:lang w:val="en-GB"/>
        </w:rPr>
        <w:t xml:space="preserve">In essence, the respondents were afforded a period of </w:t>
      </w:r>
      <w:r w:rsidR="008B43C1" w:rsidRPr="00A171D8">
        <w:rPr>
          <w:lang w:val="en-GB"/>
        </w:rPr>
        <w:t xml:space="preserve">approximately </w:t>
      </w:r>
      <w:r w:rsidR="00F076F6" w:rsidRPr="00A171D8">
        <w:rPr>
          <w:lang w:val="en-GB"/>
        </w:rPr>
        <w:t>a week to deliver answering affidavits</w:t>
      </w:r>
      <w:r w:rsidR="0086469C" w:rsidRPr="00A171D8">
        <w:rPr>
          <w:lang w:val="en-GB"/>
        </w:rPr>
        <w:t>, and the department was able to do so on 21 December 2023</w:t>
      </w:r>
      <w:r w:rsidR="00BA6019" w:rsidRPr="00A171D8">
        <w:rPr>
          <w:lang w:val="en-GB"/>
        </w:rPr>
        <w:t>, a day prior to the hearing of the matter</w:t>
      </w:r>
      <w:r w:rsidR="0086469C" w:rsidRPr="00A171D8">
        <w:rPr>
          <w:lang w:val="en-GB"/>
        </w:rPr>
        <w:t>.</w:t>
      </w:r>
      <w:r w:rsidR="00BA6019" w:rsidRPr="00A171D8">
        <w:rPr>
          <w:lang w:val="en-GB"/>
        </w:rPr>
        <w:t xml:space="preserve"> </w:t>
      </w:r>
    </w:p>
    <w:p w14:paraId="1531FCC8" w14:textId="77777777" w:rsidR="00891885" w:rsidRPr="00891885" w:rsidRDefault="00891885" w:rsidP="00891885">
      <w:pPr>
        <w:rPr>
          <w:lang w:val="en-GB"/>
        </w:rPr>
      </w:pPr>
    </w:p>
    <w:p w14:paraId="0EEEEED2" w14:textId="1218AD68" w:rsidR="00B42F47" w:rsidRPr="00A171D8" w:rsidRDefault="00A171D8" w:rsidP="00A171D8">
      <w:pPr>
        <w:autoSpaceDE w:val="0"/>
        <w:autoSpaceDN w:val="0"/>
        <w:adjustRightInd w:val="0"/>
        <w:jc w:val="both"/>
        <w:rPr>
          <w:lang w:val="en-GB"/>
        </w:rPr>
      </w:pPr>
      <w:r>
        <w:rPr>
          <w:lang w:val="en-GB"/>
        </w:rPr>
        <w:t>[7]</w:t>
      </w:r>
      <w:r>
        <w:rPr>
          <w:lang w:val="en-GB"/>
        </w:rPr>
        <w:tab/>
      </w:r>
      <w:r w:rsidR="00891885" w:rsidRPr="00A171D8">
        <w:rPr>
          <w:lang w:val="en-GB"/>
        </w:rPr>
        <w:t>The</w:t>
      </w:r>
      <w:r w:rsidR="009229CD" w:rsidRPr="00A171D8">
        <w:rPr>
          <w:lang w:val="en-GB"/>
        </w:rPr>
        <w:t xml:space="preserve"> correspondence from Zen JV’s legal representatives on the morning of 11 December 2023</w:t>
      </w:r>
      <w:r w:rsidR="00891885" w:rsidRPr="00A171D8">
        <w:rPr>
          <w:lang w:val="en-GB"/>
        </w:rPr>
        <w:t xml:space="preserve"> is also </w:t>
      </w:r>
      <w:r w:rsidR="00E50065" w:rsidRPr="00A171D8">
        <w:rPr>
          <w:lang w:val="en-GB"/>
        </w:rPr>
        <w:t>noteworthy</w:t>
      </w:r>
      <w:r w:rsidR="009229CD" w:rsidRPr="00A171D8">
        <w:rPr>
          <w:lang w:val="en-GB"/>
        </w:rPr>
        <w:t>. In addition to requesting reasons for the Department’s decision, an undertaking was sought that the Department would not proceed further with the implementation of the award of the tender pending the review application</w:t>
      </w:r>
      <w:r w:rsidR="009071AE" w:rsidRPr="00A171D8">
        <w:rPr>
          <w:lang w:val="en-GB"/>
        </w:rPr>
        <w:t xml:space="preserve"> to be launched. </w:t>
      </w:r>
      <w:r w:rsidR="00ED39D6" w:rsidRPr="00A171D8">
        <w:rPr>
          <w:lang w:val="en-GB"/>
        </w:rPr>
        <w:t>The correspondence included a covering letter emphasising that urgent attention was required, made reference to the intended urgent interdict application and, in the final sentence, exhorted the Department to afford the matter urgent attention.</w:t>
      </w:r>
      <w:r w:rsidR="00D2353F" w:rsidRPr="00A171D8">
        <w:rPr>
          <w:lang w:val="en-GB"/>
        </w:rPr>
        <w:t xml:space="preserve"> Suffice to say that no undertaking to stall the implementation of the awarded tender was provided when the Office of the State Attorney engaged in correspondence on 13 December 2023. On 18 December 2023, </w:t>
      </w:r>
      <w:r w:rsidR="0012615C" w:rsidRPr="00A171D8">
        <w:rPr>
          <w:lang w:val="en-GB"/>
        </w:rPr>
        <w:t>that office</w:t>
      </w:r>
      <w:r w:rsidR="00D2353F" w:rsidRPr="00A171D8">
        <w:rPr>
          <w:lang w:val="en-GB"/>
        </w:rPr>
        <w:t xml:space="preserve"> indicated that its instructions were to oppose the urgent application</w:t>
      </w:r>
      <w:r w:rsidR="00883FEC" w:rsidRPr="00A171D8">
        <w:rPr>
          <w:lang w:val="en-GB"/>
        </w:rPr>
        <w:t>, appending correspondence from the Department which still failed to explain the precise reason for Zen JV’s failure to be awarded the bid.</w:t>
      </w:r>
      <w:r w:rsidR="004B0F04" w:rsidRPr="00A171D8">
        <w:rPr>
          <w:lang w:val="en-GB"/>
        </w:rPr>
        <w:t xml:space="preserve"> The matter followed a predictable course given that approach. </w:t>
      </w:r>
    </w:p>
    <w:p w14:paraId="17ADCFDA" w14:textId="77777777" w:rsidR="00AB0949" w:rsidRPr="00AB0949" w:rsidRDefault="00AB0949" w:rsidP="00AB0949">
      <w:pPr>
        <w:pStyle w:val="ListParagraph"/>
        <w:rPr>
          <w:lang w:val="en-GB"/>
        </w:rPr>
      </w:pPr>
    </w:p>
    <w:p w14:paraId="56076C25" w14:textId="745030B3" w:rsidR="003A23BF" w:rsidRPr="00A171D8" w:rsidRDefault="00A171D8" w:rsidP="00A171D8">
      <w:pPr>
        <w:autoSpaceDE w:val="0"/>
        <w:autoSpaceDN w:val="0"/>
        <w:adjustRightInd w:val="0"/>
        <w:jc w:val="both"/>
        <w:rPr>
          <w:lang w:val="en-GB"/>
        </w:rPr>
      </w:pPr>
      <w:r>
        <w:rPr>
          <w:lang w:val="en-GB"/>
        </w:rPr>
        <w:lastRenderedPageBreak/>
        <w:t>[8]</w:t>
      </w:r>
      <w:r>
        <w:rPr>
          <w:lang w:val="en-GB"/>
        </w:rPr>
        <w:tab/>
      </w:r>
      <w:r w:rsidR="003A23BF" w:rsidRPr="00A171D8">
        <w:rPr>
          <w:lang w:val="en-GB"/>
        </w:rPr>
        <w:t xml:space="preserve">A judicial discretion must be exercised in determining which deviations a court will tolerate in a specific case. </w:t>
      </w:r>
      <w:r w:rsidR="005D0C84" w:rsidRPr="00A171D8">
        <w:rPr>
          <w:lang w:val="en-GB"/>
        </w:rPr>
        <w:t>E</w:t>
      </w:r>
      <w:r w:rsidR="003A23BF" w:rsidRPr="00A171D8">
        <w:rPr>
          <w:lang w:val="en-GB"/>
        </w:rPr>
        <w:t xml:space="preserve">ach case depends on its special facts and circumstances, as recognised by Kroon J in </w:t>
      </w:r>
      <w:r w:rsidR="003A23BF" w:rsidRPr="00A171D8">
        <w:rPr>
          <w:i/>
          <w:iCs/>
          <w:lang w:val="en-GB"/>
        </w:rPr>
        <w:t>Caledon Street Restaurants</w:t>
      </w:r>
      <w:r w:rsidR="003A23BF" w:rsidRPr="00A171D8">
        <w:rPr>
          <w:lang w:val="en-GB"/>
        </w:rPr>
        <w:t>.</w:t>
      </w:r>
      <w:r w:rsidR="001152C5">
        <w:rPr>
          <w:rStyle w:val="FootnoteReference"/>
          <w:lang w:val="en-GB"/>
        </w:rPr>
        <w:footnoteReference w:id="2"/>
      </w:r>
      <w:r w:rsidR="003A23BF" w:rsidRPr="00A171D8">
        <w:rPr>
          <w:lang w:val="en-GB"/>
        </w:rPr>
        <w:t xml:space="preserve"> The rules are designed to ensure a fair hearing and should be interpreted in such a way as to advance the scope of the entrenched constitutional right to a fair hearing.</w:t>
      </w:r>
    </w:p>
    <w:p w14:paraId="463D30DE" w14:textId="77777777" w:rsidR="003A23BF" w:rsidRDefault="003A23BF" w:rsidP="003A23BF">
      <w:pPr>
        <w:pStyle w:val="ListParagraph"/>
        <w:autoSpaceDE w:val="0"/>
        <w:autoSpaceDN w:val="0"/>
        <w:adjustRightInd w:val="0"/>
        <w:ind w:left="0"/>
        <w:jc w:val="both"/>
        <w:rPr>
          <w:lang w:val="en-GB"/>
        </w:rPr>
      </w:pPr>
    </w:p>
    <w:p w14:paraId="72117B04" w14:textId="7A66F0E7" w:rsidR="00194115" w:rsidRPr="00A171D8" w:rsidRDefault="00A171D8" w:rsidP="00A171D8">
      <w:pPr>
        <w:autoSpaceDE w:val="0"/>
        <w:autoSpaceDN w:val="0"/>
        <w:adjustRightInd w:val="0"/>
        <w:jc w:val="both"/>
        <w:rPr>
          <w:lang w:val="en-GB"/>
        </w:rPr>
      </w:pPr>
      <w:r>
        <w:rPr>
          <w:lang w:val="en-GB"/>
        </w:rPr>
        <w:t>[9]</w:t>
      </w:r>
      <w:r>
        <w:rPr>
          <w:lang w:val="en-GB"/>
        </w:rPr>
        <w:tab/>
      </w:r>
      <w:r w:rsidR="006B224B" w:rsidRPr="00A171D8">
        <w:rPr>
          <w:lang w:val="en-GB"/>
        </w:rPr>
        <w:t xml:space="preserve">Zen JV seeks to exercise the constitutional right to lawful, reasonable and procedurally fair administrative action and to hold the Department, as an organ of state, to the procurement of goods and services in accordance with a system which is fair, equitable, transparent, competitive and cost-effective. </w:t>
      </w:r>
      <w:r w:rsidR="00194115" w:rsidRPr="00A171D8">
        <w:rPr>
          <w:lang w:val="en-GB"/>
        </w:rPr>
        <w:t xml:space="preserve">This is clearly not a case where urgency was self-created as a result of any delay in launching proceedings on the part of the applicant. If anything, and bearing in mind the vagaries associated with launching proceedings during the end-of-year recess, Zen JV erred on the side of rapidity. Nonetheless, considering that what may have been expected of the Department in opposing the proceedings would </w:t>
      </w:r>
      <w:r w:rsidR="00E6160F" w:rsidRPr="00A171D8">
        <w:rPr>
          <w:lang w:val="en-GB"/>
        </w:rPr>
        <w:t xml:space="preserve">simply </w:t>
      </w:r>
      <w:r w:rsidR="00194115" w:rsidRPr="00A171D8">
        <w:rPr>
          <w:lang w:val="en-GB"/>
        </w:rPr>
        <w:t xml:space="preserve">be disclosure of its reason(s) for favouring Down Touch, it afforded the respondents adequate opportunity to present an opposing case. Other than the usual inconveniences associated with urgent applications, it cannot be said that there was other prejudice to the respondents or the administration of justice. It might be added that Zen JV’s case is a strong one, as will be illustrated. While it may have been brief in explaining the circumstances which rendered the matter so urgent as to proceed by way of the truncated time-frames described, the risks of loss of substantial redress in the event that it is successful but forced to wait in the queue to argue part B of the motion, is apparent. </w:t>
      </w:r>
    </w:p>
    <w:p w14:paraId="2CEB4E18" w14:textId="77777777" w:rsidR="00194115" w:rsidRDefault="00194115" w:rsidP="00194115">
      <w:pPr>
        <w:pStyle w:val="ListParagraph"/>
        <w:autoSpaceDE w:val="0"/>
        <w:autoSpaceDN w:val="0"/>
        <w:adjustRightInd w:val="0"/>
        <w:ind w:left="0"/>
        <w:jc w:val="both"/>
        <w:rPr>
          <w:lang w:val="en-GB"/>
        </w:rPr>
      </w:pPr>
    </w:p>
    <w:p w14:paraId="5E7EFCA0" w14:textId="0E8AB8A4" w:rsidR="00C429A3" w:rsidRPr="00A171D8" w:rsidRDefault="00A171D8" w:rsidP="00A171D8">
      <w:pPr>
        <w:autoSpaceDE w:val="0"/>
        <w:autoSpaceDN w:val="0"/>
        <w:adjustRightInd w:val="0"/>
        <w:jc w:val="both"/>
        <w:rPr>
          <w:lang w:val="en-GB"/>
        </w:rPr>
      </w:pPr>
      <w:r>
        <w:rPr>
          <w:lang w:val="en-GB"/>
        </w:rPr>
        <w:t>[10]</w:t>
      </w:r>
      <w:r>
        <w:rPr>
          <w:lang w:val="en-GB"/>
        </w:rPr>
        <w:tab/>
      </w:r>
      <w:r w:rsidR="00C429A3" w:rsidRPr="00A171D8">
        <w:rPr>
          <w:lang w:val="en-GB"/>
        </w:rPr>
        <w:t xml:space="preserve">Considering the papers in their entirety, I am satisfied that the relief sought in Part A is urgent, and that the truncated time-frames imposed was commensurate, appropriate and reasonable in the circumstances. While there are certainly times where, by way of non-suiting an applicant, a court may wish to emphasise strict adherence to the rules, and maximum consideration of the interests of the other party and its legal representatives, this </w:t>
      </w:r>
      <w:r w:rsidR="00004CC9" w:rsidRPr="00A171D8">
        <w:rPr>
          <w:lang w:val="en-GB"/>
        </w:rPr>
        <w:t>is not</w:t>
      </w:r>
      <w:r w:rsidR="00C429A3" w:rsidRPr="00A171D8">
        <w:rPr>
          <w:lang w:val="en-GB"/>
        </w:rPr>
        <w:t xml:space="preserve"> such </w:t>
      </w:r>
      <w:r w:rsidR="00004CC9" w:rsidRPr="00A171D8">
        <w:rPr>
          <w:lang w:val="en-GB"/>
        </w:rPr>
        <w:t>an instance</w:t>
      </w:r>
      <w:r w:rsidR="00C429A3" w:rsidRPr="00A171D8">
        <w:rPr>
          <w:lang w:val="en-GB"/>
        </w:rPr>
        <w:t xml:space="preserve">. </w:t>
      </w:r>
    </w:p>
    <w:p w14:paraId="0A5BC914" w14:textId="7F7C927C" w:rsidR="004910A6" w:rsidRDefault="004910A6" w:rsidP="00C429A3">
      <w:pPr>
        <w:pStyle w:val="ListParagraph"/>
        <w:autoSpaceDE w:val="0"/>
        <w:autoSpaceDN w:val="0"/>
        <w:adjustRightInd w:val="0"/>
        <w:ind w:left="0"/>
        <w:jc w:val="both"/>
        <w:rPr>
          <w:lang w:val="en-GB"/>
        </w:rPr>
      </w:pPr>
    </w:p>
    <w:p w14:paraId="690C96DB" w14:textId="153CF7F5" w:rsidR="007A7D66" w:rsidRDefault="00B119FD" w:rsidP="00C429A3">
      <w:pPr>
        <w:pStyle w:val="ListParagraph"/>
        <w:autoSpaceDE w:val="0"/>
        <w:autoSpaceDN w:val="0"/>
        <w:adjustRightInd w:val="0"/>
        <w:ind w:left="0"/>
        <w:jc w:val="both"/>
        <w:rPr>
          <w:b/>
          <w:bCs/>
          <w:lang w:val="en-GB"/>
        </w:rPr>
      </w:pPr>
      <w:r>
        <w:rPr>
          <w:b/>
          <w:bCs/>
          <w:lang w:val="en-GB"/>
        </w:rPr>
        <w:t>The requirements for an interim interdict</w:t>
      </w:r>
    </w:p>
    <w:p w14:paraId="44C9D842" w14:textId="77777777" w:rsidR="007A7D66" w:rsidRPr="007A7D66" w:rsidRDefault="007A7D66" w:rsidP="00C429A3">
      <w:pPr>
        <w:pStyle w:val="ListParagraph"/>
        <w:autoSpaceDE w:val="0"/>
        <w:autoSpaceDN w:val="0"/>
        <w:adjustRightInd w:val="0"/>
        <w:ind w:left="0"/>
        <w:jc w:val="both"/>
        <w:rPr>
          <w:b/>
          <w:bCs/>
          <w:lang w:val="en-GB"/>
        </w:rPr>
      </w:pPr>
    </w:p>
    <w:p w14:paraId="3FF69EE9" w14:textId="0AAD9A62" w:rsidR="00CC1330" w:rsidRPr="00A171D8" w:rsidRDefault="00A171D8" w:rsidP="00A171D8">
      <w:pPr>
        <w:autoSpaceDE w:val="0"/>
        <w:autoSpaceDN w:val="0"/>
        <w:adjustRightInd w:val="0"/>
        <w:jc w:val="both"/>
        <w:rPr>
          <w:lang w:val="en-GB"/>
        </w:rPr>
      </w:pPr>
      <w:r>
        <w:rPr>
          <w:lang w:val="en-GB"/>
        </w:rPr>
        <w:t>[11]</w:t>
      </w:r>
      <w:r>
        <w:rPr>
          <w:lang w:val="en-GB"/>
        </w:rPr>
        <w:tab/>
      </w:r>
      <w:r w:rsidR="00D2352C" w:rsidRPr="00A171D8">
        <w:rPr>
          <w:lang w:val="en-GB"/>
        </w:rPr>
        <w:t xml:space="preserve">Zen JV </w:t>
      </w:r>
      <w:r w:rsidR="00CC1330" w:rsidRPr="00A171D8">
        <w:rPr>
          <w:lang w:val="en-GB"/>
        </w:rPr>
        <w:t>seek</w:t>
      </w:r>
      <w:r w:rsidR="00D2352C" w:rsidRPr="00A171D8">
        <w:rPr>
          <w:lang w:val="en-GB"/>
        </w:rPr>
        <w:t>s</w:t>
      </w:r>
      <w:r w:rsidR="00CC1330" w:rsidRPr="00A171D8">
        <w:rPr>
          <w:lang w:val="en-GB"/>
        </w:rPr>
        <w:t xml:space="preserve"> interim relief, </w:t>
      </w:r>
      <w:r w:rsidR="00D2352C" w:rsidRPr="00A171D8">
        <w:rPr>
          <w:lang w:val="en-GB"/>
        </w:rPr>
        <w:t xml:space="preserve">pending review proceedings, </w:t>
      </w:r>
      <w:r w:rsidR="00CC1330" w:rsidRPr="00A171D8">
        <w:rPr>
          <w:lang w:val="en-GB"/>
        </w:rPr>
        <w:t>and must therefore establish:</w:t>
      </w:r>
      <w:r w:rsidR="00CC1330" w:rsidRPr="009625E6">
        <w:rPr>
          <w:rStyle w:val="FootnoteReference"/>
          <w:lang w:val="en-GB"/>
        </w:rPr>
        <w:footnoteReference w:id="3"/>
      </w:r>
    </w:p>
    <w:p w14:paraId="279A86AA" w14:textId="503CEC29" w:rsidR="007D1EB3" w:rsidRPr="00A171D8" w:rsidRDefault="00A171D8" w:rsidP="00A171D8">
      <w:pPr>
        <w:ind w:left="1080" w:hanging="720"/>
        <w:jc w:val="both"/>
        <w:rPr>
          <w:lang w:val="en-GB"/>
        </w:rPr>
      </w:pPr>
      <w:r w:rsidRPr="00FA307E">
        <w:rPr>
          <w:lang w:val="en-GB"/>
        </w:rPr>
        <w:t>(a)</w:t>
      </w:r>
      <w:r w:rsidRPr="00FA307E">
        <w:rPr>
          <w:lang w:val="en-GB"/>
        </w:rPr>
        <w:tab/>
      </w:r>
      <w:r w:rsidR="00D2352C" w:rsidRPr="00A171D8">
        <w:rPr>
          <w:lang w:val="en-GB"/>
        </w:rPr>
        <w:t xml:space="preserve">that the right which is the subject-matter of the main application and which </w:t>
      </w:r>
      <w:r w:rsidR="0098415B" w:rsidRPr="00A171D8">
        <w:rPr>
          <w:lang w:val="en-GB"/>
        </w:rPr>
        <w:t>it</w:t>
      </w:r>
      <w:r w:rsidR="00D2352C" w:rsidRPr="00A171D8">
        <w:rPr>
          <w:lang w:val="en-GB"/>
        </w:rPr>
        <w:t xml:space="preserve"> seeks to protect by means of interim relief is clear or, if not clear, </w:t>
      </w:r>
      <w:r w:rsidR="007D1EB3" w:rsidRPr="00A171D8">
        <w:rPr>
          <w:lang w:val="en-GB"/>
        </w:rPr>
        <w:t>is prima facie established, though open to some doubt;</w:t>
      </w:r>
    </w:p>
    <w:p w14:paraId="6DCC92C0" w14:textId="122D8590" w:rsidR="00DE12A5" w:rsidRPr="00A171D8" w:rsidRDefault="00A171D8" w:rsidP="00A171D8">
      <w:pPr>
        <w:ind w:left="1080" w:hanging="720"/>
        <w:jc w:val="both"/>
        <w:rPr>
          <w:lang w:val="en-GB"/>
        </w:rPr>
      </w:pPr>
      <w:r>
        <w:rPr>
          <w:lang w:val="en-GB"/>
        </w:rPr>
        <w:t>(b)</w:t>
      </w:r>
      <w:r>
        <w:rPr>
          <w:lang w:val="en-GB"/>
        </w:rPr>
        <w:tab/>
      </w:r>
      <w:r w:rsidR="00DE12A5" w:rsidRPr="00A171D8">
        <w:rPr>
          <w:lang w:val="en-GB"/>
        </w:rPr>
        <w:t xml:space="preserve">That, if the right is only </w:t>
      </w:r>
      <w:r w:rsidR="00DE12A5" w:rsidRPr="00A171D8">
        <w:rPr>
          <w:i/>
          <w:iCs/>
          <w:lang w:val="en-GB"/>
        </w:rPr>
        <w:t xml:space="preserve">prima facie </w:t>
      </w:r>
      <w:r w:rsidR="00DE12A5" w:rsidRPr="00A171D8">
        <w:rPr>
          <w:lang w:val="en-GB"/>
        </w:rPr>
        <w:t xml:space="preserve">established, there is a well-grounded apprehension of irreparable harm if the interim relief is not granted and </w:t>
      </w:r>
      <w:r w:rsidR="00993DC9" w:rsidRPr="00A171D8">
        <w:rPr>
          <w:lang w:val="en-GB"/>
        </w:rPr>
        <w:t>it ultimately succeeds in establishing its right</w:t>
      </w:r>
      <w:r w:rsidR="00DE12A5" w:rsidRPr="00A171D8">
        <w:rPr>
          <w:lang w:val="en-GB"/>
        </w:rPr>
        <w:t>;</w:t>
      </w:r>
    </w:p>
    <w:p w14:paraId="5C26D3EC" w14:textId="0C6D03C1" w:rsidR="00DE12A5" w:rsidRPr="00A171D8" w:rsidRDefault="00A171D8" w:rsidP="00A171D8">
      <w:pPr>
        <w:ind w:left="1080" w:hanging="720"/>
        <w:jc w:val="both"/>
        <w:rPr>
          <w:lang w:val="en-GB"/>
        </w:rPr>
      </w:pPr>
      <w:r>
        <w:rPr>
          <w:lang w:val="en-GB"/>
        </w:rPr>
        <w:t>(c)</w:t>
      </w:r>
      <w:r>
        <w:rPr>
          <w:lang w:val="en-GB"/>
        </w:rPr>
        <w:tab/>
      </w:r>
      <w:r w:rsidR="00DE12A5" w:rsidRPr="00A171D8">
        <w:rPr>
          <w:lang w:val="en-GB"/>
        </w:rPr>
        <w:t>That the balance of convenience favours the grant</w:t>
      </w:r>
      <w:r w:rsidR="006B310D" w:rsidRPr="00A171D8">
        <w:rPr>
          <w:lang w:val="en-GB"/>
        </w:rPr>
        <w:t>ing</w:t>
      </w:r>
      <w:r w:rsidR="00DE12A5" w:rsidRPr="00A171D8">
        <w:rPr>
          <w:lang w:val="en-GB"/>
        </w:rPr>
        <w:t xml:space="preserve"> of interim </w:t>
      </w:r>
      <w:r w:rsidR="006B310D" w:rsidRPr="00A171D8">
        <w:rPr>
          <w:lang w:val="en-GB"/>
        </w:rPr>
        <w:t>relief</w:t>
      </w:r>
      <w:r w:rsidR="00DE12A5" w:rsidRPr="00A171D8">
        <w:rPr>
          <w:lang w:val="en-GB"/>
        </w:rPr>
        <w:t>; and</w:t>
      </w:r>
    </w:p>
    <w:p w14:paraId="589CEE75" w14:textId="1F919227" w:rsidR="00DE12A5" w:rsidRPr="00A171D8" w:rsidRDefault="00A171D8" w:rsidP="00A171D8">
      <w:pPr>
        <w:ind w:left="1080" w:hanging="720"/>
        <w:jc w:val="both"/>
        <w:rPr>
          <w:lang w:val="en-GB"/>
        </w:rPr>
      </w:pPr>
      <w:r w:rsidRPr="00FA307E">
        <w:rPr>
          <w:lang w:val="en-GB"/>
        </w:rPr>
        <w:t>(d)</w:t>
      </w:r>
      <w:r w:rsidRPr="00FA307E">
        <w:rPr>
          <w:lang w:val="en-GB"/>
        </w:rPr>
        <w:tab/>
      </w:r>
      <w:r w:rsidR="00DE12A5" w:rsidRPr="00A171D8">
        <w:rPr>
          <w:lang w:val="en-GB"/>
        </w:rPr>
        <w:t xml:space="preserve">That </w:t>
      </w:r>
      <w:r w:rsidR="006B310D" w:rsidRPr="00A171D8">
        <w:rPr>
          <w:lang w:val="en-GB"/>
        </w:rPr>
        <w:t>the applicant</w:t>
      </w:r>
      <w:r w:rsidR="00DE12A5" w:rsidRPr="00A171D8">
        <w:rPr>
          <w:lang w:val="en-GB"/>
        </w:rPr>
        <w:t xml:space="preserve"> ha</w:t>
      </w:r>
      <w:r w:rsidR="006B310D" w:rsidRPr="00A171D8">
        <w:rPr>
          <w:lang w:val="en-GB"/>
        </w:rPr>
        <w:t>s</w:t>
      </w:r>
      <w:r w:rsidR="00DE12A5" w:rsidRPr="00A171D8">
        <w:rPr>
          <w:lang w:val="en-GB"/>
        </w:rPr>
        <w:t xml:space="preserve"> no other satisfactory remedy.</w:t>
      </w:r>
    </w:p>
    <w:p w14:paraId="5F0508AB" w14:textId="1198A0C5" w:rsidR="00DE12A5" w:rsidRDefault="00DE12A5" w:rsidP="00DE12A5">
      <w:pPr>
        <w:pStyle w:val="ListParagraph"/>
        <w:autoSpaceDE w:val="0"/>
        <w:autoSpaceDN w:val="0"/>
        <w:adjustRightInd w:val="0"/>
        <w:ind w:left="0"/>
        <w:jc w:val="both"/>
        <w:rPr>
          <w:lang w:val="en-GB"/>
        </w:rPr>
      </w:pPr>
    </w:p>
    <w:p w14:paraId="686AF4EC" w14:textId="4013BB4D" w:rsidR="00D65A74" w:rsidRPr="00A171D8" w:rsidRDefault="00A171D8" w:rsidP="00A171D8">
      <w:pPr>
        <w:autoSpaceDE w:val="0"/>
        <w:autoSpaceDN w:val="0"/>
        <w:adjustRightInd w:val="0"/>
        <w:jc w:val="both"/>
        <w:rPr>
          <w:lang w:val="en-GB"/>
        </w:rPr>
      </w:pPr>
      <w:r>
        <w:rPr>
          <w:lang w:val="en-GB"/>
        </w:rPr>
        <w:t>[12]</w:t>
      </w:r>
      <w:r>
        <w:rPr>
          <w:lang w:val="en-GB"/>
        </w:rPr>
        <w:tab/>
      </w:r>
      <w:r w:rsidR="00D65A74" w:rsidRPr="00A171D8">
        <w:rPr>
          <w:lang w:val="en-GB"/>
        </w:rPr>
        <w:t xml:space="preserve">In cases where a clear right is not established, there is authority going back to Van der Linden’s </w:t>
      </w:r>
      <w:r w:rsidR="00D65A74" w:rsidRPr="00A171D8">
        <w:rPr>
          <w:i/>
          <w:iCs/>
          <w:lang w:val="en-GB"/>
        </w:rPr>
        <w:t>Institutes</w:t>
      </w:r>
      <w:r w:rsidR="00D65A74" w:rsidRPr="00A171D8">
        <w:rPr>
          <w:lang w:val="en-GB"/>
        </w:rPr>
        <w:t xml:space="preserve">, and entering our law via </w:t>
      </w:r>
      <w:proofErr w:type="spellStart"/>
      <w:r w:rsidR="00D65A74" w:rsidRPr="00A171D8">
        <w:rPr>
          <w:i/>
          <w:iCs/>
          <w:lang w:val="en-GB"/>
        </w:rPr>
        <w:t>Setlogelo</w:t>
      </w:r>
      <w:proofErr w:type="spellEnd"/>
      <w:r w:rsidR="00D65A74" w:rsidRPr="00A171D8">
        <w:rPr>
          <w:i/>
          <w:iCs/>
          <w:lang w:val="en-GB"/>
        </w:rPr>
        <w:t xml:space="preserve"> v </w:t>
      </w:r>
      <w:proofErr w:type="spellStart"/>
      <w:r w:rsidR="00D65A74" w:rsidRPr="00A171D8">
        <w:rPr>
          <w:i/>
          <w:iCs/>
          <w:lang w:val="en-GB"/>
        </w:rPr>
        <w:t>Setlogelo</w:t>
      </w:r>
      <w:proofErr w:type="spellEnd"/>
      <w:r w:rsidR="00D65A74" w:rsidRPr="00A171D8">
        <w:rPr>
          <w:lang w:val="en-GB"/>
        </w:rPr>
        <w:t xml:space="preserve"> in 1914, that explains the correct approach.</w:t>
      </w:r>
      <w:r w:rsidR="00D65A74" w:rsidRPr="009625E6">
        <w:rPr>
          <w:rStyle w:val="FootnoteReference"/>
          <w:lang w:val="en-GB"/>
        </w:rPr>
        <w:footnoteReference w:id="4"/>
      </w:r>
      <w:r w:rsidR="00D65A74" w:rsidRPr="00A171D8">
        <w:rPr>
          <w:lang w:val="en-GB"/>
        </w:rPr>
        <w:t xml:space="preserve"> Applicants for interim relief are required to establish at least a </w:t>
      </w:r>
      <w:r w:rsidR="00D65A74" w:rsidRPr="00A171D8">
        <w:rPr>
          <w:i/>
          <w:iCs/>
          <w:lang w:val="en-GB"/>
        </w:rPr>
        <w:t>prima facie</w:t>
      </w:r>
      <w:r w:rsidR="00D65A74" w:rsidRPr="00A171D8">
        <w:rPr>
          <w:lang w:val="en-GB"/>
        </w:rPr>
        <w:t xml:space="preserve"> right to relief, even if open to some doubt. They need not establish that right on a balance of probabilities. </w:t>
      </w:r>
    </w:p>
    <w:p w14:paraId="6A42E04B" w14:textId="77777777" w:rsidR="00D65A74" w:rsidRDefault="00D65A74" w:rsidP="00D65A74">
      <w:pPr>
        <w:pStyle w:val="ListParagraph"/>
        <w:autoSpaceDE w:val="0"/>
        <w:autoSpaceDN w:val="0"/>
        <w:adjustRightInd w:val="0"/>
        <w:ind w:left="0"/>
        <w:jc w:val="both"/>
        <w:rPr>
          <w:lang w:val="en-GB"/>
        </w:rPr>
      </w:pPr>
    </w:p>
    <w:p w14:paraId="22A37FEE" w14:textId="61CAE4AE" w:rsidR="00D65A74" w:rsidRPr="00A171D8" w:rsidRDefault="00A171D8" w:rsidP="00A171D8">
      <w:pPr>
        <w:autoSpaceDE w:val="0"/>
        <w:autoSpaceDN w:val="0"/>
        <w:adjustRightInd w:val="0"/>
        <w:jc w:val="both"/>
        <w:rPr>
          <w:lang w:val="en-GB"/>
        </w:rPr>
      </w:pPr>
      <w:r>
        <w:rPr>
          <w:lang w:val="en-GB"/>
        </w:rPr>
        <w:t>[13]</w:t>
      </w:r>
      <w:r>
        <w:rPr>
          <w:lang w:val="en-GB"/>
        </w:rPr>
        <w:tab/>
      </w:r>
      <w:r w:rsidR="00D65A74" w:rsidRPr="00A171D8">
        <w:rPr>
          <w:lang w:val="en-GB"/>
        </w:rPr>
        <w:t xml:space="preserve">The oft-quoted passage from </w:t>
      </w:r>
      <w:r w:rsidR="00D65A74" w:rsidRPr="00A171D8">
        <w:rPr>
          <w:i/>
          <w:iCs/>
          <w:lang w:val="en-GB"/>
        </w:rPr>
        <w:t xml:space="preserve">Webster v Mitchell </w:t>
      </w:r>
      <w:r w:rsidR="00D65A74" w:rsidRPr="00A171D8">
        <w:rPr>
          <w:lang w:val="en-GB"/>
        </w:rPr>
        <w:t>explains the enquiry as follows:</w:t>
      </w:r>
      <w:r w:rsidR="00D65A74" w:rsidRPr="009625E6">
        <w:rPr>
          <w:rStyle w:val="FootnoteReference"/>
          <w:lang w:val="en-GB"/>
        </w:rPr>
        <w:footnoteReference w:id="5"/>
      </w:r>
    </w:p>
    <w:p w14:paraId="756F8967" w14:textId="77777777" w:rsidR="00D65A74" w:rsidRPr="005C53F5" w:rsidRDefault="00D65A74" w:rsidP="00D65A74">
      <w:pPr>
        <w:ind w:right="89"/>
        <w:jc w:val="both"/>
        <w:rPr>
          <w:sz w:val="22"/>
          <w:szCs w:val="22"/>
          <w:lang w:val="en-GB"/>
        </w:rPr>
      </w:pPr>
      <w:r w:rsidRPr="005C53F5">
        <w:rPr>
          <w:sz w:val="22"/>
          <w:szCs w:val="22"/>
          <w:lang w:val="en-GB"/>
        </w:rPr>
        <w:t xml:space="preserve">‘In the grant of a temporary interdict, apart from prejudice involved, the first question for the Court…is whether, if interim protection is given, the applicant could ever obtain the rights he seeks to protect. </w:t>
      </w:r>
      <w:r w:rsidRPr="005C53F5">
        <w:rPr>
          <w:i/>
          <w:iCs/>
          <w:sz w:val="22"/>
          <w:szCs w:val="22"/>
          <w:lang w:val="en-GB"/>
        </w:rPr>
        <w:t>Prima facie</w:t>
      </w:r>
      <w:r w:rsidRPr="005C53F5">
        <w:rPr>
          <w:sz w:val="22"/>
          <w:szCs w:val="22"/>
          <w:lang w:val="en-GB"/>
        </w:rPr>
        <w:t xml:space="preserve"> that has to be shown. The use of the phrase “</w:t>
      </w:r>
      <w:r w:rsidRPr="005C53F5">
        <w:rPr>
          <w:i/>
          <w:iCs/>
          <w:sz w:val="22"/>
          <w:szCs w:val="22"/>
          <w:lang w:val="en-GB"/>
        </w:rPr>
        <w:t xml:space="preserve">prima facie </w:t>
      </w:r>
      <w:r w:rsidRPr="005C53F5">
        <w:rPr>
          <w:sz w:val="22"/>
          <w:szCs w:val="22"/>
          <w:lang w:val="en-GB"/>
        </w:rPr>
        <w:t xml:space="preserve">established though open to some doubt” indicates…that more is required than merely to look at the allegations of the applicant, but something short of a weighing up of the probabilities of conflicting versions is required. The proper manner of approach…is to take the facts as set out by the applicant, together with any facts set out by the respondent which the applicant cannot dispute, and to consider whether, having regard to the inherent probabilities, the applicant could on those facts obtain final relief…The facts set up in contradiction by the respondent should then be considered. If serious doubt is thrown on the case of the applicant he could not succeed in obtaining temporary relief…But if there is mere contradiction, or </w:t>
      </w:r>
      <w:r w:rsidRPr="005C53F5">
        <w:rPr>
          <w:sz w:val="22"/>
          <w:szCs w:val="22"/>
          <w:lang w:val="en-GB"/>
        </w:rPr>
        <w:lastRenderedPageBreak/>
        <w:t>unconvincing explanation, the matter should be left to trial and the right be protected in the meanwhile, subject of course to the respective prejudice in the grant or refusal of interim relief…the position of the respondent is protected because…the test whether or not temporary relief is to be granted is the harm which will be done…’</w:t>
      </w:r>
    </w:p>
    <w:p w14:paraId="52F71A3F" w14:textId="77777777" w:rsidR="00D65A74" w:rsidRPr="00D272A3" w:rsidRDefault="00D65A74" w:rsidP="00D65A74">
      <w:pPr>
        <w:pStyle w:val="ListParagraph"/>
        <w:rPr>
          <w:lang w:val="en-GB"/>
        </w:rPr>
      </w:pPr>
    </w:p>
    <w:p w14:paraId="6CB6B707" w14:textId="5550D340" w:rsidR="00D65A74" w:rsidRPr="00A171D8" w:rsidRDefault="00A171D8" w:rsidP="00A171D8">
      <w:pPr>
        <w:autoSpaceDE w:val="0"/>
        <w:autoSpaceDN w:val="0"/>
        <w:adjustRightInd w:val="0"/>
        <w:jc w:val="both"/>
        <w:rPr>
          <w:lang w:val="en-GB"/>
        </w:rPr>
      </w:pPr>
      <w:r>
        <w:rPr>
          <w:lang w:val="en-GB"/>
        </w:rPr>
        <w:t>[14]</w:t>
      </w:r>
      <w:r>
        <w:rPr>
          <w:lang w:val="en-GB"/>
        </w:rPr>
        <w:tab/>
      </w:r>
      <w:r w:rsidR="00D65A74" w:rsidRPr="00A171D8">
        <w:rPr>
          <w:lang w:val="en-GB"/>
        </w:rPr>
        <w:t xml:space="preserve">That enquiry has subsequently been refined, so that the test is now whether the applicant </w:t>
      </w:r>
      <w:r w:rsidR="00D65A74" w:rsidRPr="00A171D8">
        <w:rPr>
          <w:i/>
          <w:iCs/>
          <w:lang w:val="en-GB"/>
        </w:rPr>
        <w:t xml:space="preserve">should </w:t>
      </w:r>
      <w:r w:rsidR="00D65A74" w:rsidRPr="00A171D8">
        <w:rPr>
          <w:lang w:val="en-GB"/>
        </w:rPr>
        <w:t>(not could) obtain final relief on those facts.</w:t>
      </w:r>
      <w:r w:rsidR="00D65A74" w:rsidRPr="009625E6">
        <w:rPr>
          <w:rStyle w:val="FootnoteReference"/>
          <w:lang w:val="en-GB"/>
        </w:rPr>
        <w:footnoteReference w:id="6"/>
      </w:r>
    </w:p>
    <w:p w14:paraId="38988712" w14:textId="77777777" w:rsidR="00D65A74" w:rsidRDefault="00D65A74" w:rsidP="00D65A74">
      <w:pPr>
        <w:pStyle w:val="ListParagraph"/>
        <w:autoSpaceDE w:val="0"/>
        <w:autoSpaceDN w:val="0"/>
        <w:adjustRightInd w:val="0"/>
        <w:ind w:left="0"/>
        <w:jc w:val="both"/>
        <w:rPr>
          <w:lang w:val="en-GB"/>
        </w:rPr>
      </w:pPr>
    </w:p>
    <w:p w14:paraId="4D75EF45" w14:textId="577965B7" w:rsidR="0059752F" w:rsidRPr="00A171D8" w:rsidRDefault="00A171D8" w:rsidP="00A171D8">
      <w:pPr>
        <w:autoSpaceDE w:val="0"/>
        <w:autoSpaceDN w:val="0"/>
        <w:adjustRightInd w:val="0"/>
        <w:jc w:val="both"/>
        <w:rPr>
          <w:lang w:val="en-GB"/>
        </w:rPr>
      </w:pPr>
      <w:r>
        <w:rPr>
          <w:lang w:val="en-GB"/>
        </w:rPr>
        <w:t>[15]</w:t>
      </w:r>
      <w:r>
        <w:rPr>
          <w:lang w:val="en-GB"/>
        </w:rPr>
        <w:tab/>
      </w:r>
      <w:r w:rsidR="00D65A74" w:rsidRPr="00A171D8">
        <w:rPr>
          <w:lang w:val="en-GB"/>
        </w:rPr>
        <w:t xml:space="preserve">Irreparable harm is an element in cases where the right asserted by the applicants, though </w:t>
      </w:r>
      <w:r w:rsidR="00D65A74" w:rsidRPr="00A171D8">
        <w:rPr>
          <w:i/>
          <w:iCs/>
          <w:lang w:val="en-GB"/>
        </w:rPr>
        <w:t xml:space="preserve">prima facie </w:t>
      </w:r>
      <w:r w:rsidR="00D65A74" w:rsidRPr="00A171D8">
        <w:rPr>
          <w:lang w:val="en-GB"/>
        </w:rPr>
        <w:t>established, is open to some doubt. In such cases, the accepted test to be applied is whether the continuance of the thing against which an interdict is sought would cause irreparable injury to the applicant. If so, the better course is to grant the relief, but only if the discontinuance of the act complained of would not involve irreparable injury to the respondent.</w:t>
      </w:r>
      <w:r w:rsidR="00D65A74" w:rsidRPr="009625E6">
        <w:rPr>
          <w:rStyle w:val="FootnoteReference"/>
          <w:lang w:val="en-GB"/>
        </w:rPr>
        <w:footnoteReference w:id="7"/>
      </w:r>
      <w:r w:rsidR="00D65A74" w:rsidRPr="00A171D8">
        <w:rPr>
          <w:lang w:val="en-GB"/>
        </w:rPr>
        <w:t xml:space="preserve"> </w:t>
      </w:r>
    </w:p>
    <w:p w14:paraId="40690BC6" w14:textId="77777777" w:rsidR="0059752F" w:rsidRPr="0059752F" w:rsidRDefault="0059752F" w:rsidP="0059752F">
      <w:pPr>
        <w:pStyle w:val="ListParagraph"/>
        <w:rPr>
          <w:lang w:val="en-GB"/>
        </w:rPr>
      </w:pPr>
    </w:p>
    <w:p w14:paraId="5D4923C4" w14:textId="01BBC898" w:rsidR="009E1A6A" w:rsidRPr="00A171D8" w:rsidRDefault="00A171D8" w:rsidP="00A171D8">
      <w:pPr>
        <w:autoSpaceDE w:val="0"/>
        <w:autoSpaceDN w:val="0"/>
        <w:adjustRightInd w:val="0"/>
        <w:jc w:val="both"/>
        <w:rPr>
          <w:lang w:val="en-GB"/>
        </w:rPr>
      </w:pPr>
      <w:r w:rsidRPr="0059752F">
        <w:rPr>
          <w:lang w:val="en-GB"/>
        </w:rPr>
        <w:t>[16]</w:t>
      </w:r>
      <w:r w:rsidRPr="0059752F">
        <w:rPr>
          <w:lang w:val="en-GB"/>
        </w:rPr>
        <w:tab/>
      </w:r>
      <w:r w:rsidR="00D65A74" w:rsidRPr="00A171D8">
        <w:rPr>
          <w:lang w:val="en-GB"/>
        </w:rPr>
        <w:t xml:space="preserve">As to the balance of convenience, </w:t>
      </w:r>
      <w:r w:rsidR="00D65A74" w:rsidRPr="00A171D8">
        <w:rPr>
          <w:i/>
          <w:iCs/>
          <w:lang w:val="en-GB"/>
        </w:rPr>
        <w:t>Webster v Mitchell</w:t>
      </w:r>
      <w:r w:rsidR="00D65A74" w:rsidRPr="00A171D8">
        <w:rPr>
          <w:lang w:val="en-GB"/>
        </w:rPr>
        <w:t xml:space="preserve"> goes as far as to state that if there is greater possible prejudice to the respondent an interim interdict will be refused.</w:t>
      </w:r>
      <w:r w:rsidR="00D65A74" w:rsidRPr="009625E6">
        <w:rPr>
          <w:rStyle w:val="FootnoteReference"/>
          <w:lang w:val="en-GB"/>
        </w:rPr>
        <w:footnoteReference w:id="8"/>
      </w:r>
      <w:r w:rsidR="00D65A74" w:rsidRPr="00A171D8">
        <w:rPr>
          <w:lang w:val="en-GB"/>
        </w:rPr>
        <w:t xml:space="preserve"> </w:t>
      </w:r>
      <w:r w:rsidR="008D6900" w:rsidRPr="00A171D8">
        <w:rPr>
          <w:lang w:val="en-GB"/>
        </w:rPr>
        <w:t xml:space="preserve">The </w:t>
      </w:r>
      <w:r w:rsidR="00562FB0" w:rsidRPr="00A171D8">
        <w:rPr>
          <w:lang w:val="en-GB"/>
        </w:rPr>
        <w:t>balance of convenience enquiry</w:t>
      </w:r>
      <w:r w:rsidR="006C1ECB" w:rsidRPr="00A171D8">
        <w:rPr>
          <w:lang w:val="en-GB"/>
        </w:rPr>
        <w:t xml:space="preserve"> </w:t>
      </w:r>
      <w:r w:rsidR="008D6900" w:rsidRPr="00A171D8">
        <w:rPr>
          <w:lang w:val="en-GB"/>
        </w:rPr>
        <w:t>must be applied cognisant of the normative scheme and democratic principles that underpin the Constitution.</w:t>
      </w:r>
      <w:r w:rsidR="00126CCB">
        <w:rPr>
          <w:rStyle w:val="FootnoteReference"/>
          <w:lang w:val="en-GB"/>
        </w:rPr>
        <w:footnoteReference w:id="9"/>
      </w:r>
      <w:r w:rsidR="008D6900" w:rsidRPr="00A171D8">
        <w:rPr>
          <w:lang w:val="en-GB"/>
        </w:rPr>
        <w:t xml:space="preserve"> In other words, when a court considers whether to grant an interim interdict it must do so in a way that promotes the objects, spirit and purport of the Constitution</w:t>
      </w:r>
      <w:r w:rsidR="0042026F" w:rsidRPr="00A171D8">
        <w:rPr>
          <w:lang w:val="en-GB"/>
        </w:rPr>
        <w:t>.</w:t>
      </w:r>
      <w:r w:rsidR="0042026F">
        <w:rPr>
          <w:rStyle w:val="FootnoteReference"/>
          <w:lang w:val="en-GB"/>
        </w:rPr>
        <w:footnoteReference w:id="10"/>
      </w:r>
      <w:r w:rsidR="00426A33" w:rsidRPr="00A171D8">
        <w:rPr>
          <w:lang w:val="en-GB"/>
        </w:rPr>
        <w:t xml:space="preserve"> According to </w:t>
      </w:r>
      <w:r w:rsidR="00426A33" w:rsidRPr="00A171D8">
        <w:rPr>
          <w:i/>
          <w:iCs/>
          <w:lang w:val="en-GB"/>
        </w:rPr>
        <w:t>EFF</w:t>
      </w:r>
      <w:r w:rsidR="00426A33" w:rsidRPr="00A171D8">
        <w:rPr>
          <w:lang w:val="en-GB"/>
        </w:rPr>
        <w:t xml:space="preserve">, this invariably attracts various constitutional issues into </w:t>
      </w:r>
      <w:r w:rsidR="001A4A67" w:rsidRPr="00A171D8">
        <w:rPr>
          <w:lang w:val="en-GB"/>
        </w:rPr>
        <w:t xml:space="preserve">the </w:t>
      </w:r>
      <w:r w:rsidR="00426A33" w:rsidRPr="00A171D8">
        <w:rPr>
          <w:lang w:val="en-GB"/>
        </w:rPr>
        <w:t>adjudication</w:t>
      </w:r>
      <w:r w:rsidR="001A4A67" w:rsidRPr="00A171D8">
        <w:rPr>
          <w:lang w:val="en-GB"/>
        </w:rPr>
        <w:t xml:space="preserve"> process</w:t>
      </w:r>
      <w:r w:rsidR="00426A33" w:rsidRPr="00A171D8">
        <w:rPr>
          <w:lang w:val="en-GB"/>
        </w:rPr>
        <w:t>, including possible issues regarding separation of powers, the constitutional duties of the parties that may be frustrated by the order and any constitutional rights implicated in the matter</w:t>
      </w:r>
      <w:r w:rsidR="006E3853" w:rsidRPr="00A171D8">
        <w:rPr>
          <w:lang w:val="en-GB"/>
        </w:rPr>
        <w:t>.</w:t>
      </w:r>
      <w:r w:rsidR="00857D0C" w:rsidRPr="00A171D8">
        <w:rPr>
          <w:lang w:val="en-GB"/>
        </w:rPr>
        <w:t xml:space="preserve"> </w:t>
      </w:r>
    </w:p>
    <w:p w14:paraId="1F5D6843" w14:textId="77777777" w:rsidR="008D567D" w:rsidRDefault="008D567D" w:rsidP="008D567D">
      <w:pPr>
        <w:pStyle w:val="ListParagraph"/>
        <w:autoSpaceDE w:val="0"/>
        <w:autoSpaceDN w:val="0"/>
        <w:adjustRightInd w:val="0"/>
        <w:ind w:left="0"/>
        <w:jc w:val="both"/>
        <w:rPr>
          <w:lang w:val="en-GB"/>
        </w:rPr>
      </w:pPr>
    </w:p>
    <w:p w14:paraId="4EA9F90B" w14:textId="75E84E5A" w:rsidR="00D65A74" w:rsidRPr="00A171D8" w:rsidRDefault="00A171D8" w:rsidP="00A171D8">
      <w:pPr>
        <w:autoSpaceDE w:val="0"/>
        <w:autoSpaceDN w:val="0"/>
        <w:adjustRightInd w:val="0"/>
        <w:jc w:val="both"/>
        <w:rPr>
          <w:rFonts w:cstheme="minorHAnsi"/>
          <w:sz w:val="22"/>
          <w:szCs w:val="22"/>
          <w:lang w:val="en-US"/>
        </w:rPr>
      </w:pPr>
      <w:r w:rsidRPr="00D65A74">
        <w:rPr>
          <w:rFonts w:cstheme="minorHAnsi"/>
          <w:sz w:val="22"/>
          <w:szCs w:val="22"/>
          <w:lang w:val="en-US"/>
        </w:rPr>
        <w:t>[17]</w:t>
      </w:r>
      <w:r w:rsidRPr="00D65A74">
        <w:rPr>
          <w:rFonts w:cstheme="minorHAnsi"/>
          <w:sz w:val="22"/>
          <w:szCs w:val="22"/>
          <w:lang w:val="en-US"/>
        </w:rPr>
        <w:tab/>
      </w:r>
      <w:r w:rsidR="0071506B" w:rsidRPr="00A171D8">
        <w:rPr>
          <w:rFonts w:cstheme="minorHAnsi"/>
          <w:lang w:val="en-US"/>
        </w:rPr>
        <w:t xml:space="preserve">Where legislative or executive power will be ‘transgressed and thwarted’ by an interim interdict, it should only be granted ‘in the clearest of cases and after careful </w:t>
      </w:r>
      <w:r w:rsidR="0071506B" w:rsidRPr="00A171D8">
        <w:rPr>
          <w:rFonts w:cstheme="minorHAnsi"/>
          <w:lang w:val="en-US"/>
        </w:rPr>
        <w:lastRenderedPageBreak/>
        <w:t>consideration of the possible harm to the separation of powers principle’.</w:t>
      </w:r>
      <w:r w:rsidR="00C44B8C">
        <w:rPr>
          <w:rStyle w:val="FootnoteReference"/>
          <w:rFonts w:cstheme="minorHAnsi"/>
          <w:lang w:val="en-US"/>
        </w:rPr>
        <w:footnoteReference w:id="11"/>
      </w:r>
      <w:r w:rsidR="0071506B" w:rsidRPr="00A171D8">
        <w:rPr>
          <w:rFonts w:cstheme="minorHAnsi"/>
          <w:lang w:val="en-US"/>
        </w:rPr>
        <w:t xml:space="preserve"> In </w:t>
      </w:r>
      <w:r w:rsidR="0071506B" w:rsidRPr="00A171D8">
        <w:rPr>
          <w:rFonts w:cstheme="minorHAnsi"/>
          <w:i/>
          <w:iCs/>
          <w:lang w:val="en-US"/>
        </w:rPr>
        <w:t>EFF</w:t>
      </w:r>
      <w:r w:rsidR="0071506B" w:rsidRPr="00A171D8">
        <w:rPr>
          <w:rFonts w:cstheme="minorHAnsi"/>
          <w:lang w:val="en-US"/>
        </w:rPr>
        <w:t xml:space="preserve">, </w:t>
      </w:r>
      <w:proofErr w:type="spellStart"/>
      <w:r w:rsidR="0071506B" w:rsidRPr="00A171D8">
        <w:rPr>
          <w:rFonts w:cstheme="minorHAnsi"/>
          <w:lang w:val="en-US"/>
        </w:rPr>
        <w:t>Khampepe</w:t>
      </w:r>
      <w:proofErr w:type="spellEnd"/>
      <w:r w:rsidR="0071506B" w:rsidRPr="00A171D8">
        <w:rPr>
          <w:rFonts w:cstheme="minorHAnsi"/>
          <w:lang w:val="en-US"/>
        </w:rPr>
        <w:t xml:space="preserve"> J explained that a court must carefully scrutinize whether granting an interdict will disrupt executive or legislative functions, thus implicating the separation and distribution of power as envisaged by law.</w:t>
      </w:r>
      <w:r w:rsidR="0090442E">
        <w:rPr>
          <w:rStyle w:val="FootnoteReference"/>
          <w:rFonts w:cstheme="minorHAnsi"/>
          <w:lang w:val="en-US"/>
        </w:rPr>
        <w:footnoteReference w:id="12"/>
      </w:r>
      <w:r w:rsidR="0071506B" w:rsidRPr="00A171D8">
        <w:rPr>
          <w:rFonts w:cstheme="minorHAnsi"/>
          <w:lang w:val="en-US"/>
        </w:rPr>
        <w:t xml:space="preserve"> It is in that instance that an interim interdict would only be granted in ‘exceptional cases in which a strong case for that relief has been made out’.</w:t>
      </w:r>
      <w:r w:rsidR="0071506B">
        <w:rPr>
          <w:rStyle w:val="FootnoteReference"/>
          <w:rFonts w:cstheme="minorHAnsi"/>
          <w:lang w:val="en-US"/>
        </w:rPr>
        <w:footnoteReference w:id="13"/>
      </w:r>
      <w:r w:rsidR="0071506B" w:rsidRPr="00A171D8">
        <w:rPr>
          <w:rFonts w:cstheme="minorHAnsi"/>
          <w:lang w:val="en-US"/>
        </w:rPr>
        <w:t xml:space="preserve"> </w:t>
      </w:r>
      <w:r w:rsidR="0071506B" w:rsidRPr="00A171D8">
        <w:rPr>
          <w:rFonts w:cstheme="minorHAnsi"/>
          <w:i/>
          <w:iCs/>
          <w:lang w:val="en-US"/>
        </w:rPr>
        <w:t xml:space="preserve"> </w:t>
      </w:r>
    </w:p>
    <w:p w14:paraId="69C3FE20" w14:textId="77777777" w:rsidR="00D65A74" w:rsidRPr="00D65A74" w:rsidRDefault="00D65A74" w:rsidP="00D65A74">
      <w:pPr>
        <w:pStyle w:val="ListParagraph"/>
        <w:rPr>
          <w:rFonts w:cstheme="minorHAnsi"/>
          <w:lang w:val="en-US"/>
        </w:rPr>
      </w:pPr>
    </w:p>
    <w:p w14:paraId="47730B62" w14:textId="7EC3B9FA" w:rsidR="008D567D" w:rsidRPr="00A171D8" w:rsidRDefault="00A171D8" w:rsidP="00A171D8">
      <w:pPr>
        <w:autoSpaceDE w:val="0"/>
        <w:autoSpaceDN w:val="0"/>
        <w:adjustRightInd w:val="0"/>
        <w:jc w:val="both"/>
        <w:rPr>
          <w:rFonts w:cstheme="minorHAnsi"/>
          <w:sz w:val="22"/>
          <w:szCs w:val="22"/>
          <w:lang w:val="en-US"/>
        </w:rPr>
      </w:pPr>
      <w:r w:rsidRPr="00D65A74">
        <w:rPr>
          <w:rFonts w:cstheme="minorHAnsi"/>
          <w:sz w:val="22"/>
          <w:szCs w:val="22"/>
          <w:lang w:val="en-US"/>
        </w:rPr>
        <w:t>[18]</w:t>
      </w:r>
      <w:r w:rsidRPr="00D65A74">
        <w:rPr>
          <w:rFonts w:cstheme="minorHAnsi"/>
          <w:sz w:val="22"/>
          <w:szCs w:val="22"/>
          <w:lang w:val="en-US"/>
        </w:rPr>
        <w:tab/>
      </w:r>
      <w:r w:rsidR="00D26945" w:rsidRPr="00A171D8">
        <w:rPr>
          <w:rFonts w:cstheme="minorHAnsi"/>
          <w:lang w:val="en-US"/>
        </w:rPr>
        <w:t xml:space="preserve">In </w:t>
      </w:r>
      <w:r w:rsidR="00D26945" w:rsidRPr="00A171D8">
        <w:rPr>
          <w:rFonts w:cstheme="minorHAnsi"/>
          <w:i/>
          <w:iCs/>
          <w:lang w:val="en-US"/>
        </w:rPr>
        <w:t>Eskom</w:t>
      </w:r>
      <w:r w:rsidR="00D26945" w:rsidRPr="00A171D8">
        <w:rPr>
          <w:rFonts w:cstheme="minorHAnsi"/>
          <w:lang w:val="en-US"/>
        </w:rPr>
        <w:t xml:space="preserve">, </w:t>
      </w:r>
      <w:proofErr w:type="spellStart"/>
      <w:r w:rsidR="00D26945" w:rsidRPr="00A171D8">
        <w:rPr>
          <w:rFonts w:cstheme="minorHAnsi"/>
          <w:lang w:val="en-US"/>
        </w:rPr>
        <w:t>Madlanga</w:t>
      </w:r>
      <w:proofErr w:type="spellEnd"/>
      <w:r w:rsidR="00D26945" w:rsidRPr="00A171D8">
        <w:rPr>
          <w:rFonts w:cstheme="minorHAnsi"/>
          <w:lang w:val="en-US"/>
        </w:rPr>
        <w:t xml:space="preserve"> J </w:t>
      </w:r>
      <w:r w:rsidR="001E33FD" w:rsidRPr="00A171D8">
        <w:rPr>
          <w:rFonts w:cstheme="minorHAnsi"/>
          <w:lang w:val="en-US"/>
        </w:rPr>
        <w:t xml:space="preserve">also </w:t>
      </w:r>
      <w:r w:rsidR="00D26945" w:rsidRPr="00A171D8">
        <w:rPr>
          <w:rFonts w:cstheme="minorHAnsi"/>
          <w:lang w:val="en-US"/>
        </w:rPr>
        <w:t xml:space="preserve">considered </w:t>
      </w:r>
      <w:r w:rsidR="0059752F" w:rsidRPr="00A171D8">
        <w:rPr>
          <w:rFonts w:cstheme="minorHAnsi"/>
          <w:i/>
          <w:iCs/>
          <w:lang w:val="en-US"/>
        </w:rPr>
        <w:t>National Treasury</w:t>
      </w:r>
      <w:r w:rsidR="00D26945" w:rsidRPr="00A171D8">
        <w:rPr>
          <w:rFonts w:cstheme="minorHAnsi"/>
          <w:lang w:val="en-US"/>
        </w:rPr>
        <w:t xml:space="preserve"> and </w:t>
      </w:r>
      <w:r w:rsidR="00D26945" w:rsidRPr="00A171D8">
        <w:rPr>
          <w:rFonts w:cstheme="minorHAnsi"/>
          <w:i/>
          <w:iCs/>
          <w:lang w:val="en-US"/>
        </w:rPr>
        <w:t>EFF</w:t>
      </w:r>
      <w:r w:rsidR="00D26945" w:rsidRPr="00A171D8">
        <w:rPr>
          <w:rFonts w:cstheme="minorHAnsi"/>
          <w:lang w:val="en-US"/>
        </w:rPr>
        <w:t xml:space="preserve"> as part of the enquiry as to the ‘balance of convenience’.</w:t>
      </w:r>
      <w:r w:rsidR="00BD2543">
        <w:rPr>
          <w:rStyle w:val="FootnoteReference"/>
          <w:rFonts w:cstheme="minorHAnsi"/>
          <w:lang w:val="en-US"/>
        </w:rPr>
        <w:footnoteReference w:id="14"/>
      </w:r>
      <w:r w:rsidR="00D65A74" w:rsidRPr="00A171D8">
        <w:rPr>
          <w:rFonts w:cstheme="minorHAnsi"/>
          <w:sz w:val="22"/>
          <w:szCs w:val="22"/>
          <w:lang w:val="en-US"/>
        </w:rPr>
        <w:t xml:space="preserve"> </w:t>
      </w:r>
      <w:r w:rsidR="008D567D" w:rsidRPr="00A171D8">
        <w:rPr>
          <w:lang w:val="en-GB"/>
        </w:rPr>
        <w:t>Considering the submissions advanced by counsel for both sides in respect of the applicability of the test</w:t>
      </w:r>
      <w:r w:rsidR="008C5B37" w:rsidRPr="00A171D8">
        <w:rPr>
          <w:lang w:val="en-GB"/>
        </w:rPr>
        <w:t xml:space="preserve"> described in </w:t>
      </w:r>
      <w:r w:rsidR="008C5B37" w:rsidRPr="00A171D8">
        <w:rPr>
          <w:i/>
          <w:iCs/>
          <w:lang w:val="en-GB"/>
        </w:rPr>
        <w:t>National Treasury</w:t>
      </w:r>
      <w:r w:rsidR="008D567D" w:rsidRPr="00A171D8">
        <w:rPr>
          <w:lang w:val="en-GB"/>
        </w:rPr>
        <w:t xml:space="preserve">, it may be useful to highlight the distinction drawn in </w:t>
      </w:r>
      <w:r w:rsidR="008D567D" w:rsidRPr="00A171D8">
        <w:rPr>
          <w:i/>
          <w:iCs/>
          <w:lang w:val="en-GB"/>
        </w:rPr>
        <w:t>EFF</w:t>
      </w:r>
      <w:r w:rsidR="008D567D" w:rsidRPr="00A171D8">
        <w:rPr>
          <w:lang w:val="en-GB"/>
        </w:rPr>
        <w:t xml:space="preserve"> as to its applicability:</w:t>
      </w:r>
    </w:p>
    <w:p w14:paraId="23887DF4" w14:textId="13FF7869" w:rsidR="008D567D" w:rsidRDefault="008D567D" w:rsidP="008D567D">
      <w:pPr>
        <w:pStyle w:val="ListParagraph"/>
        <w:autoSpaceDE w:val="0"/>
        <w:autoSpaceDN w:val="0"/>
        <w:adjustRightInd w:val="0"/>
        <w:ind w:left="0"/>
        <w:jc w:val="both"/>
        <w:rPr>
          <w:sz w:val="22"/>
          <w:szCs w:val="22"/>
          <w:lang w:val="en-GB"/>
        </w:rPr>
      </w:pPr>
      <w:r>
        <w:rPr>
          <w:sz w:val="22"/>
          <w:szCs w:val="22"/>
          <w:lang w:val="en-GB"/>
        </w:rPr>
        <w:t>‘How would an interim interdict hinder the Public Protector in the exercise of her powers, or prevent her from exercising her functions once the report is released and in the public domain? … The Public Protector is not rendered ineffective since the investigation has been completed, the SARS Report has been finalised and published and the interim interdict is sought merely to protect the prima facie rights of an applicant</w:t>
      </w:r>
      <w:r w:rsidR="00834DDC">
        <w:rPr>
          <w:sz w:val="22"/>
          <w:szCs w:val="22"/>
          <w:lang w:val="en-GB"/>
        </w:rPr>
        <w:t>…</w:t>
      </w:r>
    </w:p>
    <w:p w14:paraId="4654BAD4" w14:textId="77777777" w:rsidR="008D567D" w:rsidRDefault="008D567D" w:rsidP="008D567D">
      <w:pPr>
        <w:pStyle w:val="ListParagraph"/>
        <w:autoSpaceDE w:val="0"/>
        <w:autoSpaceDN w:val="0"/>
        <w:adjustRightInd w:val="0"/>
        <w:ind w:left="0"/>
        <w:jc w:val="both"/>
        <w:rPr>
          <w:sz w:val="22"/>
          <w:szCs w:val="22"/>
          <w:lang w:val="en-GB"/>
        </w:rPr>
      </w:pPr>
    </w:p>
    <w:p w14:paraId="3B9031E7" w14:textId="77777777" w:rsidR="008D567D" w:rsidRDefault="008D567D" w:rsidP="008D567D">
      <w:pPr>
        <w:pStyle w:val="ListParagraph"/>
        <w:autoSpaceDE w:val="0"/>
        <w:autoSpaceDN w:val="0"/>
        <w:adjustRightInd w:val="0"/>
        <w:ind w:left="0"/>
        <w:jc w:val="both"/>
        <w:rPr>
          <w:sz w:val="22"/>
          <w:szCs w:val="22"/>
          <w:lang w:val="en-GB"/>
        </w:rPr>
      </w:pPr>
      <w:r>
        <w:rPr>
          <w:sz w:val="22"/>
          <w:szCs w:val="22"/>
          <w:lang w:val="en-GB"/>
        </w:rPr>
        <w:t xml:space="preserve">[59] While I acknowledge that </w:t>
      </w:r>
      <w:r>
        <w:rPr>
          <w:i/>
          <w:iCs/>
          <w:sz w:val="22"/>
          <w:szCs w:val="22"/>
          <w:lang w:val="en-GB"/>
        </w:rPr>
        <w:t xml:space="preserve">OUTA </w:t>
      </w:r>
      <w:r>
        <w:rPr>
          <w:sz w:val="22"/>
          <w:szCs w:val="22"/>
          <w:lang w:val="en-GB"/>
        </w:rPr>
        <w:t xml:space="preserve">is distinguishable on the facts from the present matter, it is this very distinction that highlights the lack of prospects of success in the present case … </w:t>
      </w:r>
    </w:p>
    <w:p w14:paraId="25D7516C" w14:textId="77777777" w:rsidR="008D567D" w:rsidRDefault="008D567D" w:rsidP="008D567D">
      <w:pPr>
        <w:pStyle w:val="ListParagraph"/>
        <w:autoSpaceDE w:val="0"/>
        <w:autoSpaceDN w:val="0"/>
        <w:adjustRightInd w:val="0"/>
        <w:ind w:left="0"/>
        <w:jc w:val="both"/>
        <w:rPr>
          <w:sz w:val="22"/>
          <w:szCs w:val="22"/>
          <w:lang w:val="en-GB"/>
        </w:rPr>
      </w:pPr>
    </w:p>
    <w:p w14:paraId="520BC909" w14:textId="45833FCB" w:rsidR="008D567D" w:rsidRPr="008D567D" w:rsidRDefault="008D567D" w:rsidP="008D567D">
      <w:pPr>
        <w:pStyle w:val="ListParagraph"/>
        <w:autoSpaceDE w:val="0"/>
        <w:autoSpaceDN w:val="0"/>
        <w:adjustRightInd w:val="0"/>
        <w:ind w:left="0"/>
        <w:jc w:val="both"/>
        <w:rPr>
          <w:sz w:val="22"/>
          <w:szCs w:val="22"/>
          <w:lang w:val="en-GB"/>
        </w:rPr>
      </w:pPr>
      <w:r>
        <w:rPr>
          <w:sz w:val="22"/>
          <w:szCs w:val="22"/>
          <w:lang w:val="en-GB"/>
        </w:rPr>
        <w:t xml:space="preserve">[60] What is evident from the above is that the interim order sought in </w:t>
      </w:r>
      <w:r>
        <w:rPr>
          <w:i/>
          <w:iCs/>
          <w:sz w:val="22"/>
          <w:szCs w:val="22"/>
          <w:lang w:val="en-GB"/>
        </w:rPr>
        <w:t>OUTA</w:t>
      </w:r>
      <w:r>
        <w:rPr>
          <w:sz w:val="22"/>
          <w:szCs w:val="22"/>
          <w:lang w:val="en-GB"/>
        </w:rPr>
        <w:t xml:space="preserve"> would thwart the executive from carrying out its statutory and budgetary duties as required by statute [to raise revenue through tolls, a power vested by statute]. Plainly put, it would prevent the executive from doing what it was meant to do. Here, the interim interdict sought is different. The Public Protector has already performed the duties and functions that the Constitution requires of her. </w:t>
      </w:r>
      <w:r>
        <w:rPr>
          <w:sz w:val="22"/>
          <w:szCs w:val="22"/>
          <w:lang w:val="en-GB"/>
        </w:rPr>
        <w:lastRenderedPageBreak/>
        <w:t>As I have stated before, the SARS Report has been completed. Her powers have been exercised and the SARS Report has been published. The interim interdict sought in the High Court therefore did not have the effect of subverting her constitutional powers.’</w:t>
      </w:r>
    </w:p>
    <w:p w14:paraId="28CDEEEA" w14:textId="6BCD1006" w:rsidR="00C373FC" w:rsidRDefault="00C373FC" w:rsidP="00C373FC">
      <w:pPr>
        <w:pStyle w:val="ListParagraph"/>
        <w:autoSpaceDE w:val="0"/>
        <w:autoSpaceDN w:val="0"/>
        <w:adjustRightInd w:val="0"/>
        <w:ind w:left="0"/>
        <w:jc w:val="both"/>
        <w:rPr>
          <w:lang w:val="en-GB"/>
        </w:rPr>
      </w:pPr>
    </w:p>
    <w:p w14:paraId="34ECB569" w14:textId="420D12BA" w:rsidR="00BA1A6B" w:rsidRDefault="00BA1A6B" w:rsidP="00C373FC">
      <w:pPr>
        <w:pStyle w:val="ListParagraph"/>
        <w:autoSpaceDE w:val="0"/>
        <w:autoSpaceDN w:val="0"/>
        <w:adjustRightInd w:val="0"/>
        <w:ind w:left="0"/>
        <w:jc w:val="both"/>
        <w:rPr>
          <w:b/>
          <w:bCs/>
          <w:lang w:val="en-GB"/>
        </w:rPr>
      </w:pPr>
      <w:r>
        <w:rPr>
          <w:b/>
          <w:bCs/>
          <w:lang w:val="en-GB"/>
        </w:rPr>
        <w:t>A prima facie or clear right</w:t>
      </w:r>
    </w:p>
    <w:p w14:paraId="0A9436AD" w14:textId="77777777" w:rsidR="00BA1A6B" w:rsidRPr="00BA1A6B" w:rsidRDefault="00BA1A6B" w:rsidP="00C373FC">
      <w:pPr>
        <w:pStyle w:val="ListParagraph"/>
        <w:autoSpaceDE w:val="0"/>
        <w:autoSpaceDN w:val="0"/>
        <w:adjustRightInd w:val="0"/>
        <w:ind w:left="0"/>
        <w:jc w:val="both"/>
        <w:rPr>
          <w:b/>
          <w:bCs/>
          <w:lang w:val="en-GB"/>
        </w:rPr>
      </w:pPr>
    </w:p>
    <w:p w14:paraId="16D937B9" w14:textId="0A9C4A65" w:rsidR="008C2737" w:rsidRPr="00A171D8" w:rsidRDefault="00A171D8" w:rsidP="00A171D8">
      <w:pPr>
        <w:autoSpaceDE w:val="0"/>
        <w:autoSpaceDN w:val="0"/>
        <w:adjustRightInd w:val="0"/>
        <w:jc w:val="both"/>
        <w:rPr>
          <w:lang w:val="en-GB"/>
        </w:rPr>
      </w:pPr>
      <w:r w:rsidRPr="008C2737">
        <w:rPr>
          <w:lang w:val="en-GB"/>
        </w:rPr>
        <w:t>[19]</w:t>
      </w:r>
      <w:r w:rsidRPr="008C2737">
        <w:rPr>
          <w:lang w:val="en-GB"/>
        </w:rPr>
        <w:tab/>
      </w:r>
      <w:r w:rsidR="00CB4EB9" w:rsidRPr="00A171D8">
        <w:rPr>
          <w:lang w:val="en-GB"/>
        </w:rPr>
        <w:t xml:space="preserve">Zen JV is only required to prove a </w:t>
      </w:r>
      <w:r w:rsidR="00CB4EB9" w:rsidRPr="00A171D8">
        <w:rPr>
          <w:i/>
          <w:iCs/>
          <w:lang w:val="en-GB"/>
        </w:rPr>
        <w:t xml:space="preserve">prima facie </w:t>
      </w:r>
      <w:r w:rsidR="00CB4EB9" w:rsidRPr="00A171D8">
        <w:rPr>
          <w:lang w:val="en-GB"/>
        </w:rPr>
        <w:t xml:space="preserve">right that </w:t>
      </w:r>
      <w:r w:rsidR="00CB4EB9" w:rsidRPr="00A171D8">
        <w:rPr>
          <w:i/>
          <w:iCs/>
          <w:lang w:val="en-GB"/>
        </w:rPr>
        <w:t xml:space="preserve">may be open to some doubt </w:t>
      </w:r>
      <w:r w:rsidR="00CB4EB9" w:rsidRPr="00A171D8">
        <w:rPr>
          <w:lang w:val="en-GB"/>
        </w:rPr>
        <w:t>at this stage of proceedings.</w:t>
      </w:r>
      <w:r w:rsidR="00CB4EB9">
        <w:rPr>
          <w:rStyle w:val="FootnoteReference"/>
          <w:lang w:val="en-GB"/>
        </w:rPr>
        <w:footnoteReference w:id="15"/>
      </w:r>
      <w:r w:rsidR="00CB4EB9" w:rsidRPr="00A171D8">
        <w:rPr>
          <w:lang w:val="en-GB"/>
        </w:rPr>
        <w:t xml:space="preserve"> </w:t>
      </w:r>
      <w:r w:rsidR="008C2737" w:rsidRPr="00A171D8">
        <w:rPr>
          <w:lang w:val="en-GB"/>
        </w:rPr>
        <w:t xml:space="preserve">As Moseneke DCJ held in </w:t>
      </w:r>
      <w:r w:rsidR="00D75B91" w:rsidRPr="00A171D8">
        <w:rPr>
          <w:i/>
          <w:iCs/>
          <w:lang w:val="en-GB"/>
        </w:rPr>
        <w:t>National Treasury</w:t>
      </w:r>
      <w:r w:rsidR="008C2737" w:rsidRPr="00A171D8">
        <w:rPr>
          <w:lang w:val="en-GB"/>
        </w:rPr>
        <w:t>:</w:t>
      </w:r>
      <w:r w:rsidR="00D75B91">
        <w:rPr>
          <w:rStyle w:val="FootnoteReference"/>
          <w:lang w:val="en-GB"/>
        </w:rPr>
        <w:footnoteReference w:id="16"/>
      </w:r>
      <w:r w:rsidR="008C2737" w:rsidRPr="00A171D8">
        <w:rPr>
          <w:i/>
          <w:iCs/>
          <w:lang w:val="en-GB"/>
        </w:rPr>
        <w:t xml:space="preserve"> </w:t>
      </w:r>
    </w:p>
    <w:p w14:paraId="1F69FB84" w14:textId="71C4AAA0" w:rsidR="00AE2762" w:rsidRPr="008C2737" w:rsidRDefault="00AE2762" w:rsidP="008C2737">
      <w:pPr>
        <w:pStyle w:val="ListParagraph"/>
        <w:autoSpaceDE w:val="0"/>
        <w:autoSpaceDN w:val="0"/>
        <w:adjustRightInd w:val="0"/>
        <w:ind w:left="0"/>
        <w:jc w:val="both"/>
        <w:rPr>
          <w:sz w:val="22"/>
          <w:szCs w:val="22"/>
          <w:lang w:val="en-GB"/>
        </w:rPr>
      </w:pPr>
      <w:r w:rsidRPr="008C2737">
        <w:rPr>
          <w:sz w:val="22"/>
          <w:szCs w:val="22"/>
          <w:lang w:val="en-GB"/>
        </w:rPr>
        <w:t>‘The prima facie right a claimant must establish is not merely the right to approach a court in order to review an administrative decision. It is a right to which, if not protected by an interdict, irreparable harm would ensue. An interdict is meant to prevent future conduct and not decisions already made. Quite apart</w:t>
      </w:r>
      <w:r w:rsidR="005E7D99" w:rsidRPr="008C2737">
        <w:rPr>
          <w:sz w:val="22"/>
          <w:szCs w:val="22"/>
          <w:lang w:val="en-GB"/>
        </w:rPr>
        <w:t xml:space="preserve"> from the right to review and to set aside impugned decisions, the applicants should have demonstrated a </w:t>
      </w:r>
      <w:r w:rsidR="005E7D99" w:rsidRPr="00BE69A3">
        <w:rPr>
          <w:i/>
          <w:iCs/>
          <w:sz w:val="22"/>
          <w:szCs w:val="22"/>
          <w:lang w:val="en-GB"/>
        </w:rPr>
        <w:t>prima facie</w:t>
      </w:r>
      <w:r w:rsidR="005E7D99" w:rsidRPr="008C2737">
        <w:rPr>
          <w:sz w:val="22"/>
          <w:szCs w:val="22"/>
          <w:lang w:val="en-GB"/>
        </w:rPr>
        <w:t xml:space="preserve"> right that is threatened by an impending or imminent irreparable harm’.</w:t>
      </w:r>
    </w:p>
    <w:p w14:paraId="7CF5C4AD" w14:textId="77777777" w:rsidR="00336564" w:rsidRDefault="00336564" w:rsidP="00336564">
      <w:pPr>
        <w:pStyle w:val="ListParagraph"/>
        <w:autoSpaceDE w:val="0"/>
        <w:autoSpaceDN w:val="0"/>
        <w:adjustRightInd w:val="0"/>
        <w:ind w:left="0"/>
        <w:jc w:val="both"/>
        <w:rPr>
          <w:lang w:val="en-GB"/>
        </w:rPr>
      </w:pPr>
    </w:p>
    <w:p w14:paraId="002A4CA8" w14:textId="4C0762B4" w:rsidR="00336564" w:rsidRPr="00A171D8" w:rsidRDefault="00A171D8" w:rsidP="00A171D8">
      <w:pPr>
        <w:autoSpaceDE w:val="0"/>
        <w:autoSpaceDN w:val="0"/>
        <w:adjustRightInd w:val="0"/>
        <w:jc w:val="both"/>
        <w:rPr>
          <w:lang w:val="en-GB"/>
        </w:rPr>
      </w:pPr>
      <w:r>
        <w:rPr>
          <w:lang w:val="en-GB"/>
        </w:rPr>
        <w:t>[20]</w:t>
      </w:r>
      <w:r>
        <w:rPr>
          <w:lang w:val="en-GB"/>
        </w:rPr>
        <w:tab/>
      </w:r>
      <w:r w:rsidR="00595D3F" w:rsidRPr="00A171D8">
        <w:rPr>
          <w:lang w:val="en-GB"/>
        </w:rPr>
        <w:t>Generally, t</w:t>
      </w:r>
      <w:r w:rsidR="00336564" w:rsidRPr="00A171D8">
        <w:rPr>
          <w:lang w:val="en-GB"/>
        </w:rPr>
        <w:t xml:space="preserve">he threshold for an interim interdict in terms of a breached right or in terms of a threat of breach is not showing the </w:t>
      </w:r>
      <w:r w:rsidR="00336564" w:rsidRPr="00A171D8">
        <w:rPr>
          <w:i/>
          <w:iCs/>
          <w:lang w:val="en-GB"/>
        </w:rPr>
        <w:t>certain</w:t>
      </w:r>
      <w:r w:rsidR="00336564" w:rsidRPr="00A171D8">
        <w:rPr>
          <w:lang w:val="en-GB"/>
        </w:rPr>
        <w:t xml:space="preserve"> existence of the right. One need only show a right, though at the level of interim relief it may be ‘open to some doubt’.</w:t>
      </w:r>
      <w:r w:rsidR="00336564">
        <w:rPr>
          <w:rStyle w:val="FootnoteReference"/>
          <w:lang w:val="en-GB"/>
        </w:rPr>
        <w:footnoteReference w:id="17"/>
      </w:r>
    </w:p>
    <w:p w14:paraId="4CCA18EA" w14:textId="5E731645" w:rsidR="00336564" w:rsidRDefault="00336564" w:rsidP="00336564">
      <w:pPr>
        <w:pStyle w:val="ListParagraph"/>
        <w:autoSpaceDE w:val="0"/>
        <w:autoSpaceDN w:val="0"/>
        <w:adjustRightInd w:val="0"/>
        <w:ind w:left="0"/>
        <w:jc w:val="both"/>
        <w:rPr>
          <w:lang w:val="en-GB"/>
        </w:rPr>
      </w:pPr>
      <w:r>
        <w:rPr>
          <w:lang w:val="en-GB"/>
        </w:rPr>
        <w:t xml:space="preserve"> </w:t>
      </w:r>
    </w:p>
    <w:p w14:paraId="4571F5FC" w14:textId="65E642AC" w:rsidR="00CC1330" w:rsidRPr="00A171D8" w:rsidRDefault="00A171D8" w:rsidP="00A171D8">
      <w:pPr>
        <w:autoSpaceDE w:val="0"/>
        <w:autoSpaceDN w:val="0"/>
        <w:adjustRightInd w:val="0"/>
        <w:jc w:val="both"/>
        <w:rPr>
          <w:lang w:val="en-GB"/>
        </w:rPr>
      </w:pPr>
      <w:r>
        <w:rPr>
          <w:lang w:val="en-GB"/>
        </w:rPr>
        <w:t>[21]</w:t>
      </w:r>
      <w:r>
        <w:rPr>
          <w:lang w:val="en-GB"/>
        </w:rPr>
        <w:tab/>
      </w:r>
      <w:r w:rsidR="008F7119" w:rsidRPr="00A171D8">
        <w:rPr>
          <w:lang w:val="en-GB"/>
        </w:rPr>
        <w:t xml:space="preserve">Zen JV avers that its tender was, in all respects, competent. It may be accepted that its tendered price was the lowest – </w:t>
      </w:r>
      <w:r w:rsidR="00732080" w:rsidRPr="00A171D8">
        <w:rPr>
          <w:lang w:val="en-GB"/>
        </w:rPr>
        <w:t xml:space="preserve">more than </w:t>
      </w:r>
      <w:r w:rsidR="008F7119" w:rsidRPr="00A171D8">
        <w:rPr>
          <w:lang w:val="en-GB"/>
        </w:rPr>
        <w:t>R3</w:t>
      </w:r>
      <w:r w:rsidR="00732080" w:rsidRPr="00A171D8">
        <w:rPr>
          <w:lang w:val="en-GB"/>
        </w:rPr>
        <w:t>0</w:t>
      </w:r>
      <w:r w:rsidR="008F7119" w:rsidRPr="00A171D8">
        <w:rPr>
          <w:lang w:val="en-GB"/>
        </w:rPr>
        <w:t xml:space="preserve"> million less expensive than Down Touch.</w:t>
      </w:r>
      <w:r w:rsidR="007F2B8E" w:rsidRPr="00A171D8">
        <w:rPr>
          <w:lang w:val="en-GB"/>
        </w:rPr>
        <w:t xml:space="preserve"> The Department argues that Zen JV has conflated the requirements for the award of the tender, and that its bid was rightly eliminated at the ‘eli</w:t>
      </w:r>
      <w:r w:rsidR="00C23E1F" w:rsidRPr="00A171D8">
        <w:rPr>
          <w:lang w:val="en-GB"/>
        </w:rPr>
        <w:t>gi</w:t>
      </w:r>
      <w:r w:rsidR="007F2B8E" w:rsidRPr="00A171D8">
        <w:rPr>
          <w:lang w:val="en-GB"/>
        </w:rPr>
        <w:t>bility stage’</w:t>
      </w:r>
      <w:r w:rsidR="008F1C90" w:rsidRPr="00A171D8">
        <w:rPr>
          <w:lang w:val="en-GB"/>
        </w:rPr>
        <w:t xml:space="preserve"> or first phase of the process</w:t>
      </w:r>
      <w:r w:rsidR="007F2B8E" w:rsidRPr="00A171D8">
        <w:rPr>
          <w:lang w:val="en-GB"/>
        </w:rPr>
        <w:t xml:space="preserve">, </w:t>
      </w:r>
      <w:r w:rsidR="008F1C90" w:rsidRPr="00A171D8">
        <w:rPr>
          <w:lang w:val="en-GB"/>
        </w:rPr>
        <w:t xml:space="preserve">and </w:t>
      </w:r>
      <w:r w:rsidR="007F2B8E" w:rsidRPr="00A171D8">
        <w:rPr>
          <w:lang w:val="en-GB"/>
        </w:rPr>
        <w:t xml:space="preserve">prior to </w:t>
      </w:r>
      <w:r w:rsidR="006869FE" w:rsidRPr="00A171D8">
        <w:rPr>
          <w:lang w:val="en-GB"/>
        </w:rPr>
        <w:t xml:space="preserve">any </w:t>
      </w:r>
      <w:r w:rsidR="007F2B8E" w:rsidRPr="00A171D8">
        <w:rPr>
          <w:lang w:val="en-GB"/>
        </w:rPr>
        <w:t>consideration of price</w:t>
      </w:r>
      <w:r w:rsidR="00E03597" w:rsidRPr="00A171D8">
        <w:rPr>
          <w:lang w:val="en-GB"/>
        </w:rPr>
        <w:t>, which was accordingly irrelevant</w:t>
      </w:r>
      <w:r w:rsidR="007F2B8E" w:rsidRPr="00A171D8">
        <w:rPr>
          <w:lang w:val="en-GB"/>
        </w:rPr>
        <w:t>.</w:t>
      </w:r>
    </w:p>
    <w:p w14:paraId="0FFEC8F9" w14:textId="77777777" w:rsidR="00464BE9" w:rsidRDefault="00464BE9" w:rsidP="00464BE9">
      <w:pPr>
        <w:pStyle w:val="ListParagraph"/>
        <w:autoSpaceDE w:val="0"/>
        <w:autoSpaceDN w:val="0"/>
        <w:adjustRightInd w:val="0"/>
        <w:ind w:left="0"/>
        <w:jc w:val="both"/>
        <w:rPr>
          <w:lang w:val="en-GB"/>
        </w:rPr>
      </w:pPr>
    </w:p>
    <w:p w14:paraId="01847CE9" w14:textId="64107C5D" w:rsidR="00464BE9" w:rsidRPr="00A171D8" w:rsidRDefault="00A171D8" w:rsidP="00A171D8">
      <w:pPr>
        <w:autoSpaceDE w:val="0"/>
        <w:autoSpaceDN w:val="0"/>
        <w:adjustRightInd w:val="0"/>
        <w:jc w:val="both"/>
        <w:rPr>
          <w:lang w:val="en-GB"/>
        </w:rPr>
      </w:pPr>
      <w:r>
        <w:rPr>
          <w:lang w:val="en-GB"/>
        </w:rPr>
        <w:t>[22]</w:t>
      </w:r>
      <w:r>
        <w:rPr>
          <w:lang w:val="en-GB"/>
        </w:rPr>
        <w:tab/>
      </w:r>
      <w:r w:rsidR="00417AF2" w:rsidRPr="00A171D8">
        <w:rPr>
          <w:lang w:val="en-GB"/>
        </w:rPr>
        <w:t xml:space="preserve">In particular, the Department maintains that Zen JV’s tender did not comply with the following requirement that </w:t>
      </w:r>
      <w:r w:rsidR="005C53F5" w:rsidRPr="00A171D8">
        <w:rPr>
          <w:lang w:val="en-GB"/>
        </w:rPr>
        <w:t>Zen JV</w:t>
      </w:r>
      <w:r w:rsidR="00417AF2" w:rsidRPr="00A171D8">
        <w:rPr>
          <w:lang w:val="en-GB"/>
        </w:rPr>
        <w:t xml:space="preserve"> concedes was material:</w:t>
      </w:r>
    </w:p>
    <w:p w14:paraId="7DB55A5A" w14:textId="18C7E9E1" w:rsidR="00417AF2" w:rsidRDefault="00417AF2" w:rsidP="00D800E9">
      <w:pPr>
        <w:jc w:val="both"/>
        <w:rPr>
          <w:sz w:val="22"/>
          <w:szCs w:val="22"/>
          <w:lang w:val="en-GB"/>
        </w:rPr>
      </w:pPr>
      <w:r>
        <w:rPr>
          <w:sz w:val="22"/>
          <w:szCs w:val="22"/>
          <w:lang w:val="en-GB"/>
        </w:rPr>
        <w:t>‘A suitably qualified and experienced full time Construction Health and Safety Officer(s) to manage the contractor’s health and safety obligations on site who:</w:t>
      </w:r>
    </w:p>
    <w:p w14:paraId="48641502" w14:textId="6A257F20" w:rsidR="00417AF2" w:rsidRPr="00A171D8" w:rsidRDefault="00A171D8" w:rsidP="00A171D8">
      <w:pPr>
        <w:ind w:left="1080" w:hanging="720"/>
        <w:jc w:val="both"/>
        <w:rPr>
          <w:sz w:val="22"/>
          <w:szCs w:val="22"/>
          <w:lang w:val="en-GB"/>
        </w:rPr>
      </w:pPr>
      <w:r>
        <w:rPr>
          <w:sz w:val="22"/>
          <w:szCs w:val="22"/>
          <w:lang w:val="en-GB"/>
        </w:rPr>
        <w:lastRenderedPageBreak/>
        <w:t>(</w:t>
      </w:r>
      <w:proofErr w:type="spellStart"/>
      <w:r>
        <w:rPr>
          <w:sz w:val="22"/>
          <w:szCs w:val="22"/>
          <w:lang w:val="en-GB"/>
        </w:rPr>
        <w:t>i</w:t>
      </w:r>
      <w:proofErr w:type="spellEnd"/>
      <w:r>
        <w:rPr>
          <w:sz w:val="22"/>
          <w:szCs w:val="22"/>
          <w:lang w:val="en-GB"/>
        </w:rPr>
        <w:t>)</w:t>
      </w:r>
      <w:r>
        <w:rPr>
          <w:sz w:val="22"/>
          <w:szCs w:val="22"/>
          <w:lang w:val="en-GB"/>
        </w:rPr>
        <w:tab/>
      </w:r>
      <w:r w:rsidR="00417AF2" w:rsidRPr="00A171D8">
        <w:rPr>
          <w:sz w:val="22"/>
          <w:szCs w:val="22"/>
          <w:lang w:val="en-GB"/>
        </w:rPr>
        <w:t>Is registered with SACPCMP as a Professional Construction Health and Safety Agent (</w:t>
      </w:r>
      <w:proofErr w:type="spellStart"/>
      <w:r w:rsidR="00417AF2" w:rsidRPr="00A171D8">
        <w:rPr>
          <w:sz w:val="22"/>
          <w:szCs w:val="22"/>
          <w:lang w:val="en-GB"/>
        </w:rPr>
        <w:t>Pr</w:t>
      </w:r>
      <w:proofErr w:type="spellEnd"/>
      <w:r w:rsidR="00417AF2" w:rsidRPr="00A171D8">
        <w:rPr>
          <w:sz w:val="22"/>
          <w:szCs w:val="22"/>
          <w:lang w:val="en-GB"/>
        </w:rPr>
        <w:t xml:space="preserve"> CHSA) or Professional Construction Health and Safety Manager (</w:t>
      </w:r>
      <w:proofErr w:type="spellStart"/>
      <w:r w:rsidR="00417AF2" w:rsidRPr="00A171D8">
        <w:rPr>
          <w:sz w:val="22"/>
          <w:szCs w:val="22"/>
          <w:lang w:val="en-GB"/>
        </w:rPr>
        <w:t>Pr</w:t>
      </w:r>
      <w:proofErr w:type="spellEnd"/>
      <w:r w:rsidR="00417AF2" w:rsidRPr="00A171D8">
        <w:rPr>
          <w:sz w:val="22"/>
          <w:szCs w:val="22"/>
          <w:lang w:val="en-GB"/>
        </w:rPr>
        <w:t xml:space="preserve"> CHSM) or Professional Construction Health and Safety Officer (</w:t>
      </w:r>
      <w:proofErr w:type="spellStart"/>
      <w:r w:rsidR="00417AF2" w:rsidRPr="00A171D8">
        <w:rPr>
          <w:sz w:val="22"/>
          <w:szCs w:val="22"/>
          <w:lang w:val="en-GB"/>
        </w:rPr>
        <w:t>Pr</w:t>
      </w:r>
      <w:proofErr w:type="spellEnd"/>
      <w:r w:rsidR="00417AF2" w:rsidRPr="00A171D8">
        <w:rPr>
          <w:sz w:val="22"/>
          <w:szCs w:val="22"/>
          <w:lang w:val="en-GB"/>
        </w:rPr>
        <w:t xml:space="preserve"> CHSO);</w:t>
      </w:r>
    </w:p>
    <w:p w14:paraId="00C95C61" w14:textId="5DE30B53" w:rsidR="00417AF2" w:rsidRPr="00417AF2" w:rsidRDefault="00417AF2" w:rsidP="00D800E9">
      <w:pPr>
        <w:ind w:left="360"/>
        <w:jc w:val="both"/>
        <w:rPr>
          <w:sz w:val="22"/>
          <w:szCs w:val="22"/>
          <w:lang w:val="en-GB"/>
        </w:rPr>
      </w:pPr>
      <w:r>
        <w:rPr>
          <w:sz w:val="22"/>
          <w:szCs w:val="22"/>
          <w:lang w:val="en-GB"/>
        </w:rPr>
        <w:t>AND</w:t>
      </w:r>
    </w:p>
    <w:p w14:paraId="08F2369E" w14:textId="4A0B615B" w:rsidR="00417AF2" w:rsidRPr="00A171D8" w:rsidRDefault="00A171D8" w:rsidP="00A171D8">
      <w:pPr>
        <w:ind w:left="1080" w:hanging="720"/>
        <w:jc w:val="both"/>
        <w:rPr>
          <w:sz w:val="22"/>
          <w:szCs w:val="22"/>
          <w:lang w:val="en-GB"/>
        </w:rPr>
      </w:pPr>
      <w:r>
        <w:rPr>
          <w:sz w:val="22"/>
          <w:szCs w:val="22"/>
          <w:lang w:val="en-GB"/>
        </w:rPr>
        <w:t>(ii)</w:t>
      </w:r>
      <w:r>
        <w:rPr>
          <w:sz w:val="22"/>
          <w:szCs w:val="22"/>
          <w:lang w:val="en-GB"/>
        </w:rPr>
        <w:tab/>
      </w:r>
      <w:r w:rsidR="00417AF2" w:rsidRPr="00A171D8">
        <w:rPr>
          <w:sz w:val="22"/>
          <w:szCs w:val="22"/>
          <w:lang w:val="en-GB"/>
        </w:rPr>
        <w:t>Has a minimum of five (5) years’ experience as a Construction Health and Safety Officer on surfaced road construction projects.</w:t>
      </w:r>
    </w:p>
    <w:p w14:paraId="32C0A385" w14:textId="1C8A0BDB" w:rsidR="00417AF2" w:rsidRDefault="00417AF2" w:rsidP="00D800E9">
      <w:pPr>
        <w:jc w:val="both"/>
        <w:rPr>
          <w:sz w:val="22"/>
          <w:szCs w:val="22"/>
          <w:lang w:val="en-GB"/>
        </w:rPr>
      </w:pPr>
    </w:p>
    <w:p w14:paraId="76F59ABC" w14:textId="60B4E5C7" w:rsidR="00656036" w:rsidRDefault="00656036" w:rsidP="00D800E9">
      <w:pPr>
        <w:jc w:val="both"/>
        <w:rPr>
          <w:sz w:val="22"/>
          <w:szCs w:val="22"/>
          <w:lang w:val="en-GB"/>
        </w:rPr>
      </w:pPr>
      <w:r>
        <w:rPr>
          <w:sz w:val="22"/>
          <w:szCs w:val="22"/>
          <w:lang w:val="en-GB"/>
        </w:rPr>
        <w:t>A completed returnable schedule E: Tenderer’s Key Personnel to be provided. Attach to each schedule proof of indicated professional registration with the specified professional body</w:t>
      </w:r>
      <w:r w:rsidR="00EF7DDE">
        <w:rPr>
          <w:sz w:val="22"/>
          <w:szCs w:val="22"/>
          <w:lang w:val="en-GB"/>
        </w:rPr>
        <w:t xml:space="preserve"> … Failure to comply with the requirements of this clause and applicable returnable schedule will render the tender offer non-responsive.’</w:t>
      </w:r>
    </w:p>
    <w:p w14:paraId="16DFEC45" w14:textId="77777777" w:rsidR="00494204" w:rsidRPr="00656036" w:rsidRDefault="00494204" w:rsidP="00494204">
      <w:pPr>
        <w:jc w:val="both"/>
        <w:rPr>
          <w:sz w:val="22"/>
          <w:szCs w:val="22"/>
          <w:lang w:val="en-GB"/>
        </w:rPr>
      </w:pPr>
    </w:p>
    <w:p w14:paraId="334F2118" w14:textId="387147FB" w:rsidR="00417AF2" w:rsidRPr="00A171D8" w:rsidRDefault="00A171D8" w:rsidP="00A171D8">
      <w:pPr>
        <w:autoSpaceDE w:val="0"/>
        <w:autoSpaceDN w:val="0"/>
        <w:adjustRightInd w:val="0"/>
        <w:jc w:val="both"/>
        <w:rPr>
          <w:lang w:val="en-GB"/>
        </w:rPr>
      </w:pPr>
      <w:r>
        <w:rPr>
          <w:lang w:val="en-GB"/>
        </w:rPr>
        <w:t>[23]</w:t>
      </w:r>
      <w:r>
        <w:rPr>
          <w:lang w:val="en-GB"/>
        </w:rPr>
        <w:tab/>
      </w:r>
      <w:r w:rsidR="00D15BC4" w:rsidRPr="00A171D8">
        <w:rPr>
          <w:lang w:val="en-GB"/>
        </w:rPr>
        <w:t xml:space="preserve">The Department’s only stated basis for declaring Zen JV’s bid unresponsive was that its Construction Health and Safety Officer, Ms Ndamase, only had </w:t>
      </w:r>
      <w:r w:rsidR="008F42BF" w:rsidRPr="00A171D8">
        <w:rPr>
          <w:lang w:val="en-GB"/>
        </w:rPr>
        <w:t>four</w:t>
      </w:r>
      <w:r w:rsidR="00D15BC4" w:rsidRPr="00A171D8">
        <w:rPr>
          <w:lang w:val="en-GB"/>
        </w:rPr>
        <w:t xml:space="preserve"> years’ experience </w:t>
      </w:r>
      <w:r w:rsidR="00031B49" w:rsidRPr="00A171D8">
        <w:rPr>
          <w:lang w:val="en-GB"/>
        </w:rPr>
        <w:t xml:space="preserve">as such an officer, </w:t>
      </w:r>
      <w:r w:rsidR="00D15BC4" w:rsidRPr="00A171D8">
        <w:rPr>
          <w:lang w:val="en-GB"/>
        </w:rPr>
        <w:t>as opposed to the prescribed five years.</w:t>
      </w:r>
      <w:r w:rsidR="009E2416" w:rsidRPr="00A171D8">
        <w:rPr>
          <w:lang w:val="en-GB"/>
        </w:rPr>
        <w:t xml:space="preserve"> </w:t>
      </w:r>
      <w:r w:rsidR="00CD6E42" w:rsidRPr="00A171D8">
        <w:rPr>
          <w:lang w:val="en-GB"/>
        </w:rPr>
        <w:t>It may be accepted that if this were the case, the bid was properly excluded from further evaluation and / or adjudication.</w:t>
      </w:r>
    </w:p>
    <w:p w14:paraId="1C53CC2A" w14:textId="77777777" w:rsidR="00CD6E42" w:rsidRDefault="00CD6E42" w:rsidP="00CD6E42">
      <w:pPr>
        <w:pStyle w:val="ListParagraph"/>
        <w:autoSpaceDE w:val="0"/>
        <w:autoSpaceDN w:val="0"/>
        <w:adjustRightInd w:val="0"/>
        <w:ind w:left="0"/>
        <w:jc w:val="both"/>
        <w:rPr>
          <w:lang w:val="en-GB"/>
        </w:rPr>
      </w:pPr>
    </w:p>
    <w:p w14:paraId="382BF36C" w14:textId="10DF6066" w:rsidR="00CD6E42" w:rsidRPr="00A171D8" w:rsidRDefault="00A171D8" w:rsidP="00A171D8">
      <w:pPr>
        <w:autoSpaceDE w:val="0"/>
        <w:autoSpaceDN w:val="0"/>
        <w:adjustRightInd w:val="0"/>
        <w:jc w:val="both"/>
        <w:rPr>
          <w:lang w:val="en-GB"/>
        </w:rPr>
      </w:pPr>
      <w:r>
        <w:rPr>
          <w:lang w:val="en-GB"/>
        </w:rPr>
        <w:t>[24]</w:t>
      </w:r>
      <w:r>
        <w:rPr>
          <w:lang w:val="en-GB"/>
        </w:rPr>
        <w:tab/>
      </w:r>
      <w:r w:rsidR="00141840" w:rsidRPr="00A171D8">
        <w:rPr>
          <w:lang w:val="en-GB"/>
        </w:rPr>
        <w:t xml:space="preserve">But the submission is simply not borne out by an ordinary consideration of </w:t>
      </w:r>
      <w:r w:rsidR="00ED1757" w:rsidRPr="00A171D8">
        <w:rPr>
          <w:lang w:val="en-GB"/>
        </w:rPr>
        <w:t xml:space="preserve">various attachments to </w:t>
      </w:r>
      <w:r w:rsidR="00141840" w:rsidRPr="00A171D8">
        <w:rPr>
          <w:lang w:val="en-GB"/>
        </w:rPr>
        <w:t xml:space="preserve">Zen JV’s </w:t>
      </w:r>
      <w:r w:rsidR="00ED1757" w:rsidRPr="00A171D8">
        <w:rPr>
          <w:lang w:val="en-GB"/>
        </w:rPr>
        <w:t>papers. It is necessary to duplicate the relevant information</w:t>
      </w:r>
      <w:r w:rsidR="005F69E0" w:rsidRPr="00A171D8">
        <w:rPr>
          <w:lang w:val="en-GB"/>
        </w:rPr>
        <w:t xml:space="preserve"> submitted by Zen JV</w:t>
      </w:r>
      <w:r w:rsidR="00ED1757" w:rsidRPr="00A171D8">
        <w:rPr>
          <w:lang w:val="en-GB"/>
        </w:rPr>
        <w:t>, below:</w:t>
      </w:r>
    </w:p>
    <w:p w14:paraId="442CD973" w14:textId="77777777" w:rsidR="00ED1757" w:rsidRDefault="00ED1757" w:rsidP="00ED1757">
      <w:pPr>
        <w:pStyle w:val="ListParagraph"/>
        <w:autoSpaceDE w:val="0"/>
        <w:autoSpaceDN w:val="0"/>
        <w:adjustRightInd w:val="0"/>
        <w:ind w:left="0"/>
        <w:jc w:val="both"/>
        <w:rPr>
          <w:lang w:val="en-GB"/>
        </w:rPr>
      </w:pPr>
    </w:p>
    <w:p w14:paraId="0A3702A5" w14:textId="7F011DBE" w:rsidR="00ED1757" w:rsidRPr="00ED1E6B" w:rsidRDefault="00ED1757" w:rsidP="00ED1757">
      <w:pPr>
        <w:rPr>
          <w:sz w:val="22"/>
          <w:szCs w:val="22"/>
          <w:lang w:val="en-GB"/>
        </w:rPr>
      </w:pPr>
      <w:r w:rsidRPr="00ED1E6B">
        <w:rPr>
          <w:sz w:val="22"/>
          <w:szCs w:val="22"/>
          <w:lang w:val="en-GB"/>
        </w:rPr>
        <w:t>‘Table B: Tenderer’s Key Personnel (Construction Health and Safety Officer) For Returnable Schedule E</w:t>
      </w:r>
    </w:p>
    <w:tbl>
      <w:tblPr>
        <w:tblStyle w:val="TableGrid"/>
        <w:tblW w:w="0" w:type="auto"/>
        <w:tblLayout w:type="fixed"/>
        <w:tblLook w:val="04A0" w:firstRow="1" w:lastRow="0" w:firstColumn="1" w:lastColumn="0" w:noHBand="0" w:noVBand="1"/>
      </w:tblPr>
      <w:tblGrid>
        <w:gridCol w:w="1271"/>
        <w:gridCol w:w="1559"/>
        <w:gridCol w:w="1134"/>
        <w:gridCol w:w="1418"/>
        <w:gridCol w:w="1701"/>
        <w:gridCol w:w="1843"/>
      </w:tblGrid>
      <w:tr w:rsidR="003E1B6C" w:rsidRPr="00ED1E6B" w14:paraId="515F5E99" w14:textId="77777777" w:rsidTr="00A1259E">
        <w:tc>
          <w:tcPr>
            <w:tcW w:w="1271" w:type="dxa"/>
          </w:tcPr>
          <w:p w14:paraId="0536AE02" w14:textId="3844B809" w:rsidR="003E1B6C" w:rsidRPr="00ED1E6B" w:rsidRDefault="003E1B6C" w:rsidP="00ED1757">
            <w:pPr>
              <w:rPr>
                <w:sz w:val="22"/>
                <w:szCs w:val="22"/>
                <w:lang w:val="en-GB"/>
              </w:rPr>
            </w:pPr>
            <w:r w:rsidRPr="00ED1E6B">
              <w:rPr>
                <w:sz w:val="22"/>
                <w:szCs w:val="22"/>
                <w:lang w:val="en-GB"/>
              </w:rPr>
              <w:t>Name: Zandile Ndamase</w:t>
            </w:r>
          </w:p>
        </w:tc>
        <w:tc>
          <w:tcPr>
            <w:tcW w:w="1559" w:type="dxa"/>
          </w:tcPr>
          <w:p w14:paraId="1DBE3BAD" w14:textId="7ED20BE2" w:rsidR="003E1B6C" w:rsidRPr="00ED1E6B" w:rsidRDefault="003E1B6C" w:rsidP="00ED1757">
            <w:pPr>
              <w:rPr>
                <w:sz w:val="22"/>
                <w:szCs w:val="22"/>
                <w:lang w:val="en-GB"/>
              </w:rPr>
            </w:pPr>
            <w:r w:rsidRPr="00ED1E6B">
              <w:rPr>
                <w:sz w:val="22"/>
                <w:szCs w:val="22"/>
                <w:lang w:val="en-GB"/>
              </w:rPr>
              <w:t>Key Position: Construction Health and Safety Officer</w:t>
            </w:r>
          </w:p>
        </w:tc>
        <w:tc>
          <w:tcPr>
            <w:tcW w:w="1134" w:type="dxa"/>
          </w:tcPr>
          <w:p w14:paraId="5417660E" w14:textId="77777777" w:rsidR="003E1B6C" w:rsidRPr="00ED1E6B" w:rsidRDefault="003E1B6C" w:rsidP="00ED1757">
            <w:pPr>
              <w:rPr>
                <w:sz w:val="22"/>
                <w:szCs w:val="22"/>
                <w:lang w:val="en-GB"/>
              </w:rPr>
            </w:pPr>
            <w:r w:rsidRPr="00ED1E6B">
              <w:rPr>
                <w:sz w:val="22"/>
                <w:szCs w:val="22"/>
                <w:lang w:val="en-GB"/>
              </w:rPr>
              <w:t>SACMCMP Reg No</w:t>
            </w:r>
          </w:p>
          <w:p w14:paraId="26041120" w14:textId="20B308A5" w:rsidR="003E1B6C" w:rsidRPr="00ED1E6B" w:rsidRDefault="003E1B6C" w:rsidP="00ED1757">
            <w:pPr>
              <w:rPr>
                <w:sz w:val="22"/>
                <w:szCs w:val="22"/>
                <w:lang w:val="en-GB"/>
              </w:rPr>
            </w:pPr>
            <w:r w:rsidRPr="00ED1E6B">
              <w:rPr>
                <w:sz w:val="22"/>
                <w:szCs w:val="22"/>
                <w:lang w:val="en-GB"/>
              </w:rPr>
              <w:t>…</w:t>
            </w:r>
          </w:p>
        </w:tc>
        <w:tc>
          <w:tcPr>
            <w:tcW w:w="1418" w:type="dxa"/>
          </w:tcPr>
          <w:p w14:paraId="5A36DAB1" w14:textId="06FCC7C8" w:rsidR="003E1B6C" w:rsidRPr="00ED1E6B" w:rsidRDefault="003E1B6C" w:rsidP="00ED1757">
            <w:pPr>
              <w:rPr>
                <w:sz w:val="22"/>
                <w:szCs w:val="22"/>
                <w:lang w:val="en-GB"/>
              </w:rPr>
            </w:pPr>
            <w:r w:rsidRPr="00ED1E6B">
              <w:rPr>
                <w:sz w:val="22"/>
                <w:szCs w:val="22"/>
                <w:lang w:val="en-GB"/>
              </w:rPr>
              <w:t>SACPCMP Category</w:t>
            </w:r>
          </w:p>
          <w:p w14:paraId="0511B1B9" w14:textId="0570AD1E" w:rsidR="003E1B6C" w:rsidRPr="00ED1E6B" w:rsidRDefault="003E1B6C" w:rsidP="00ED1757">
            <w:pPr>
              <w:rPr>
                <w:sz w:val="22"/>
                <w:szCs w:val="22"/>
                <w:lang w:val="en-GB"/>
              </w:rPr>
            </w:pPr>
            <w:r w:rsidRPr="00ED1E6B">
              <w:rPr>
                <w:sz w:val="22"/>
                <w:szCs w:val="22"/>
                <w:lang w:val="en-GB"/>
              </w:rPr>
              <w:t>…</w:t>
            </w:r>
          </w:p>
        </w:tc>
        <w:tc>
          <w:tcPr>
            <w:tcW w:w="1701" w:type="dxa"/>
          </w:tcPr>
          <w:p w14:paraId="12DBC96C" w14:textId="452BC8E4" w:rsidR="003E1B6C" w:rsidRPr="00ED1E6B" w:rsidRDefault="003E1B6C" w:rsidP="00ED1757">
            <w:pPr>
              <w:rPr>
                <w:sz w:val="22"/>
                <w:szCs w:val="22"/>
                <w:lang w:val="en-GB"/>
              </w:rPr>
            </w:pPr>
            <w:r w:rsidRPr="00ED1E6B">
              <w:rPr>
                <w:sz w:val="22"/>
                <w:szCs w:val="22"/>
                <w:lang w:val="en-GB"/>
              </w:rPr>
              <w:t>Currently Employed by tenderer: Yes</w:t>
            </w:r>
          </w:p>
        </w:tc>
        <w:tc>
          <w:tcPr>
            <w:tcW w:w="1843" w:type="dxa"/>
          </w:tcPr>
          <w:p w14:paraId="14CAE517" w14:textId="16153692" w:rsidR="003E1B6C" w:rsidRPr="00ED1E6B" w:rsidRDefault="003E1B6C" w:rsidP="003E1B6C">
            <w:pPr>
              <w:ind w:right="-533"/>
              <w:rPr>
                <w:sz w:val="22"/>
                <w:szCs w:val="22"/>
                <w:lang w:val="en-GB"/>
              </w:rPr>
            </w:pPr>
            <w:r w:rsidRPr="00ED1E6B">
              <w:rPr>
                <w:sz w:val="22"/>
                <w:szCs w:val="22"/>
                <w:lang w:val="en-GB"/>
              </w:rPr>
              <w:t>No of Years Experience: 20</w:t>
            </w:r>
          </w:p>
        </w:tc>
      </w:tr>
      <w:tr w:rsidR="003E1B6C" w:rsidRPr="00ED1E6B" w14:paraId="41212FEF" w14:textId="77777777" w:rsidTr="00A1259E">
        <w:tc>
          <w:tcPr>
            <w:tcW w:w="1271" w:type="dxa"/>
          </w:tcPr>
          <w:p w14:paraId="1D03A7D4" w14:textId="3F1C3D9E" w:rsidR="003E1B6C" w:rsidRPr="00ED1E6B" w:rsidRDefault="003E1B6C" w:rsidP="00ED1757">
            <w:pPr>
              <w:rPr>
                <w:sz w:val="22"/>
                <w:szCs w:val="22"/>
                <w:lang w:val="en-GB"/>
              </w:rPr>
            </w:pPr>
            <w:r w:rsidRPr="00ED1E6B">
              <w:rPr>
                <w:sz w:val="22"/>
                <w:szCs w:val="22"/>
                <w:lang w:val="en-GB"/>
              </w:rPr>
              <w:t>Client and Project Name</w:t>
            </w:r>
          </w:p>
        </w:tc>
        <w:tc>
          <w:tcPr>
            <w:tcW w:w="1559" w:type="dxa"/>
          </w:tcPr>
          <w:p w14:paraId="304A21D8" w14:textId="2FFD3AD9" w:rsidR="003E1B6C" w:rsidRPr="00ED1E6B" w:rsidRDefault="003E1B6C" w:rsidP="00ED1757">
            <w:pPr>
              <w:rPr>
                <w:sz w:val="22"/>
                <w:szCs w:val="22"/>
                <w:lang w:val="en-GB"/>
              </w:rPr>
            </w:pPr>
            <w:r w:rsidRPr="00ED1E6B">
              <w:rPr>
                <w:sz w:val="22"/>
                <w:szCs w:val="22"/>
                <w:lang w:val="en-GB"/>
              </w:rPr>
              <w:t>Description of Project</w:t>
            </w:r>
          </w:p>
        </w:tc>
        <w:tc>
          <w:tcPr>
            <w:tcW w:w="1134" w:type="dxa"/>
          </w:tcPr>
          <w:p w14:paraId="27012D4B" w14:textId="5BFE88CF" w:rsidR="003E1B6C" w:rsidRPr="00ED1E6B" w:rsidRDefault="003E1B6C" w:rsidP="00ED1757">
            <w:pPr>
              <w:rPr>
                <w:sz w:val="22"/>
                <w:szCs w:val="22"/>
                <w:lang w:val="en-GB"/>
              </w:rPr>
            </w:pPr>
            <w:r w:rsidRPr="00ED1E6B">
              <w:rPr>
                <w:sz w:val="22"/>
                <w:szCs w:val="22"/>
                <w:lang w:val="en-GB"/>
              </w:rPr>
              <w:t>Project End Date and Duration on Project</w:t>
            </w:r>
          </w:p>
        </w:tc>
        <w:tc>
          <w:tcPr>
            <w:tcW w:w="1418" w:type="dxa"/>
          </w:tcPr>
          <w:p w14:paraId="73335735" w14:textId="0EDD78DC" w:rsidR="003E1B6C" w:rsidRPr="00ED1E6B" w:rsidRDefault="003E1B6C" w:rsidP="00ED1757">
            <w:pPr>
              <w:rPr>
                <w:sz w:val="22"/>
                <w:szCs w:val="22"/>
                <w:lang w:val="en-GB"/>
              </w:rPr>
            </w:pPr>
            <w:r w:rsidRPr="00ED1E6B">
              <w:rPr>
                <w:sz w:val="22"/>
                <w:szCs w:val="22"/>
                <w:lang w:val="en-GB"/>
              </w:rPr>
              <w:t>Value of Project</w:t>
            </w:r>
          </w:p>
        </w:tc>
        <w:tc>
          <w:tcPr>
            <w:tcW w:w="1701" w:type="dxa"/>
          </w:tcPr>
          <w:p w14:paraId="13A5789A" w14:textId="49838F33" w:rsidR="003E1B6C" w:rsidRPr="00ED1E6B" w:rsidRDefault="003E1B6C" w:rsidP="00ED1757">
            <w:pPr>
              <w:rPr>
                <w:sz w:val="22"/>
                <w:szCs w:val="22"/>
                <w:lang w:val="en-GB"/>
              </w:rPr>
            </w:pPr>
            <w:r w:rsidRPr="00ED1E6B">
              <w:rPr>
                <w:sz w:val="22"/>
                <w:szCs w:val="22"/>
                <w:lang w:val="en-GB"/>
              </w:rPr>
              <w:t>Position Held</w:t>
            </w:r>
          </w:p>
        </w:tc>
        <w:tc>
          <w:tcPr>
            <w:tcW w:w="1843" w:type="dxa"/>
          </w:tcPr>
          <w:p w14:paraId="4E107899" w14:textId="2EC8BEFD" w:rsidR="003E1B6C" w:rsidRPr="00ED1E6B" w:rsidRDefault="003E1B6C" w:rsidP="00ED1757">
            <w:pPr>
              <w:rPr>
                <w:sz w:val="22"/>
                <w:szCs w:val="22"/>
                <w:lang w:val="en-GB"/>
              </w:rPr>
            </w:pPr>
            <w:r w:rsidRPr="00ED1E6B">
              <w:rPr>
                <w:sz w:val="22"/>
                <w:szCs w:val="22"/>
                <w:lang w:val="en-GB"/>
              </w:rPr>
              <w:t>Contact Person and Firm</w:t>
            </w:r>
          </w:p>
        </w:tc>
      </w:tr>
      <w:tr w:rsidR="003E1B6C" w:rsidRPr="00ED1E6B" w14:paraId="3EBF1466" w14:textId="77777777" w:rsidTr="00A1259E">
        <w:tc>
          <w:tcPr>
            <w:tcW w:w="1271" w:type="dxa"/>
          </w:tcPr>
          <w:p w14:paraId="3138BCD7" w14:textId="4C81CEDC" w:rsidR="003E1B6C" w:rsidRPr="00ED1E6B" w:rsidRDefault="003E1B6C" w:rsidP="00ED1757">
            <w:pPr>
              <w:rPr>
                <w:sz w:val="22"/>
                <w:szCs w:val="22"/>
                <w:lang w:val="en-GB"/>
              </w:rPr>
            </w:pPr>
            <w:r w:rsidRPr="00ED1E6B">
              <w:rPr>
                <w:sz w:val="22"/>
                <w:szCs w:val="22"/>
                <w:lang w:val="en-GB"/>
              </w:rPr>
              <w:t>SANRAL</w:t>
            </w:r>
          </w:p>
        </w:tc>
        <w:tc>
          <w:tcPr>
            <w:tcW w:w="1559" w:type="dxa"/>
          </w:tcPr>
          <w:p w14:paraId="68B155DA" w14:textId="797A1068" w:rsidR="003E1B6C" w:rsidRPr="00ED1E6B" w:rsidRDefault="003E1B6C" w:rsidP="00ED1757">
            <w:pPr>
              <w:rPr>
                <w:sz w:val="22"/>
                <w:szCs w:val="22"/>
                <w:lang w:val="en-GB"/>
              </w:rPr>
            </w:pPr>
            <w:r w:rsidRPr="00ED1E6B">
              <w:rPr>
                <w:sz w:val="22"/>
                <w:szCs w:val="22"/>
                <w:lang w:val="en-GB"/>
              </w:rPr>
              <w:t>Upgrade of R63…</w:t>
            </w:r>
          </w:p>
        </w:tc>
        <w:tc>
          <w:tcPr>
            <w:tcW w:w="1134" w:type="dxa"/>
          </w:tcPr>
          <w:p w14:paraId="76376C8D" w14:textId="15F18884" w:rsidR="003E1B6C" w:rsidRPr="00ED1E6B" w:rsidRDefault="003E1B6C" w:rsidP="00ED1757">
            <w:pPr>
              <w:rPr>
                <w:sz w:val="22"/>
                <w:szCs w:val="22"/>
                <w:lang w:val="en-GB"/>
              </w:rPr>
            </w:pPr>
            <w:r w:rsidRPr="00ED1E6B">
              <w:rPr>
                <w:sz w:val="22"/>
                <w:szCs w:val="22"/>
                <w:lang w:val="en-GB"/>
              </w:rPr>
              <w:t>Current</w:t>
            </w:r>
          </w:p>
        </w:tc>
        <w:tc>
          <w:tcPr>
            <w:tcW w:w="1418" w:type="dxa"/>
          </w:tcPr>
          <w:p w14:paraId="474C4DB1" w14:textId="5CB81F9F" w:rsidR="003E1B6C" w:rsidRPr="00ED1E6B" w:rsidRDefault="003E1B6C" w:rsidP="00ED1757">
            <w:pPr>
              <w:rPr>
                <w:sz w:val="22"/>
                <w:szCs w:val="22"/>
                <w:lang w:val="en-GB"/>
              </w:rPr>
            </w:pPr>
            <w:r w:rsidRPr="00ED1E6B">
              <w:rPr>
                <w:sz w:val="22"/>
                <w:szCs w:val="22"/>
                <w:lang w:val="en-GB"/>
              </w:rPr>
              <w:t>R714 m</w:t>
            </w:r>
          </w:p>
        </w:tc>
        <w:tc>
          <w:tcPr>
            <w:tcW w:w="1701" w:type="dxa"/>
          </w:tcPr>
          <w:p w14:paraId="554D4B80" w14:textId="68DB7703" w:rsidR="003E1B6C" w:rsidRPr="00ED1E6B" w:rsidRDefault="003E1B6C" w:rsidP="00ED1757">
            <w:pPr>
              <w:rPr>
                <w:sz w:val="22"/>
                <w:szCs w:val="22"/>
                <w:lang w:val="en-GB"/>
              </w:rPr>
            </w:pPr>
            <w:r w:rsidRPr="00ED1E6B">
              <w:rPr>
                <w:sz w:val="22"/>
                <w:szCs w:val="22"/>
                <w:lang w:val="en-GB"/>
              </w:rPr>
              <w:t>Safety Environmental Officer</w:t>
            </w:r>
          </w:p>
        </w:tc>
        <w:tc>
          <w:tcPr>
            <w:tcW w:w="1843" w:type="dxa"/>
          </w:tcPr>
          <w:p w14:paraId="1156634A" w14:textId="4671A06E" w:rsidR="003E1B6C" w:rsidRPr="00ED1E6B" w:rsidRDefault="003E1B6C" w:rsidP="00ED1757">
            <w:pPr>
              <w:rPr>
                <w:sz w:val="22"/>
                <w:szCs w:val="22"/>
                <w:lang w:val="en-GB"/>
              </w:rPr>
            </w:pPr>
            <w:r w:rsidRPr="00ED1E6B">
              <w:rPr>
                <w:sz w:val="22"/>
                <w:szCs w:val="22"/>
                <w:lang w:val="en-GB"/>
              </w:rPr>
              <w:t>…</w:t>
            </w:r>
          </w:p>
        </w:tc>
      </w:tr>
      <w:tr w:rsidR="003E1B6C" w:rsidRPr="00ED1E6B" w14:paraId="0936D1E4" w14:textId="77777777" w:rsidTr="00A1259E">
        <w:tc>
          <w:tcPr>
            <w:tcW w:w="1271" w:type="dxa"/>
          </w:tcPr>
          <w:p w14:paraId="437E73EE" w14:textId="11BF3359" w:rsidR="003E1B6C" w:rsidRPr="00ED1E6B" w:rsidRDefault="003E1B6C" w:rsidP="00ED1757">
            <w:pPr>
              <w:rPr>
                <w:sz w:val="22"/>
                <w:szCs w:val="22"/>
                <w:lang w:val="en-GB"/>
              </w:rPr>
            </w:pPr>
            <w:r w:rsidRPr="00ED1E6B">
              <w:rPr>
                <w:sz w:val="22"/>
                <w:szCs w:val="22"/>
                <w:lang w:val="en-GB"/>
              </w:rPr>
              <w:t>SANRAL</w:t>
            </w:r>
          </w:p>
        </w:tc>
        <w:tc>
          <w:tcPr>
            <w:tcW w:w="1559" w:type="dxa"/>
          </w:tcPr>
          <w:p w14:paraId="65325A5C" w14:textId="314EA045" w:rsidR="003E1B6C" w:rsidRPr="00ED1E6B" w:rsidRDefault="003E1B6C" w:rsidP="00ED1757">
            <w:pPr>
              <w:rPr>
                <w:sz w:val="22"/>
                <w:szCs w:val="22"/>
                <w:lang w:val="en-GB"/>
              </w:rPr>
            </w:pPr>
            <w:r w:rsidRPr="00ED1E6B">
              <w:rPr>
                <w:sz w:val="22"/>
                <w:szCs w:val="22"/>
                <w:lang w:val="en-GB"/>
              </w:rPr>
              <w:t>Upgrade of N2 …</w:t>
            </w:r>
          </w:p>
        </w:tc>
        <w:tc>
          <w:tcPr>
            <w:tcW w:w="1134" w:type="dxa"/>
          </w:tcPr>
          <w:p w14:paraId="57C160A6" w14:textId="4CBE52A7" w:rsidR="003E1B6C" w:rsidRPr="00ED1E6B" w:rsidRDefault="003E1B6C" w:rsidP="00ED1757">
            <w:pPr>
              <w:rPr>
                <w:sz w:val="22"/>
                <w:szCs w:val="22"/>
                <w:lang w:val="en-GB"/>
              </w:rPr>
            </w:pPr>
            <w:r w:rsidRPr="00ED1E6B">
              <w:rPr>
                <w:sz w:val="22"/>
                <w:szCs w:val="22"/>
                <w:lang w:val="en-GB"/>
              </w:rPr>
              <w:t>Sept 2016 – April 2019</w:t>
            </w:r>
          </w:p>
        </w:tc>
        <w:tc>
          <w:tcPr>
            <w:tcW w:w="1418" w:type="dxa"/>
          </w:tcPr>
          <w:p w14:paraId="30A5A95B" w14:textId="27826A78" w:rsidR="003E1B6C" w:rsidRPr="00ED1E6B" w:rsidRDefault="003E1B6C" w:rsidP="00ED1757">
            <w:pPr>
              <w:rPr>
                <w:sz w:val="22"/>
                <w:szCs w:val="22"/>
                <w:lang w:val="en-GB"/>
              </w:rPr>
            </w:pPr>
            <w:r w:rsidRPr="00ED1E6B">
              <w:rPr>
                <w:sz w:val="22"/>
                <w:szCs w:val="22"/>
                <w:lang w:val="en-GB"/>
              </w:rPr>
              <w:t>R645 m</w:t>
            </w:r>
          </w:p>
        </w:tc>
        <w:tc>
          <w:tcPr>
            <w:tcW w:w="1701" w:type="dxa"/>
          </w:tcPr>
          <w:p w14:paraId="5E5ED4DC" w14:textId="6F9809F7" w:rsidR="003E1B6C" w:rsidRPr="00ED1E6B" w:rsidRDefault="003E1B6C" w:rsidP="00ED1757">
            <w:pPr>
              <w:rPr>
                <w:sz w:val="22"/>
                <w:szCs w:val="22"/>
                <w:lang w:val="en-GB"/>
              </w:rPr>
            </w:pPr>
            <w:r w:rsidRPr="00ED1E6B">
              <w:rPr>
                <w:sz w:val="22"/>
                <w:szCs w:val="22"/>
                <w:lang w:val="en-GB"/>
              </w:rPr>
              <w:t>“</w:t>
            </w:r>
          </w:p>
        </w:tc>
        <w:tc>
          <w:tcPr>
            <w:tcW w:w="1843" w:type="dxa"/>
          </w:tcPr>
          <w:p w14:paraId="7718DCBA" w14:textId="3C495D70" w:rsidR="003E1B6C" w:rsidRPr="00ED1E6B" w:rsidRDefault="003E1B6C" w:rsidP="00ED1757">
            <w:pPr>
              <w:rPr>
                <w:sz w:val="22"/>
                <w:szCs w:val="22"/>
                <w:lang w:val="en-GB"/>
              </w:rPr>
            </w:pPr>
            <w:r w:rsidRPr="00ED1E6B">
              <w:rPr>
                <w:sz w:val="22"/>
                <w:szCs w:val="22"/>
                <w:lang w:val="en-GB"/>
              </w:rPr>
              <w:t>…</w:t>
            </w:r>
            <w:r w:rsidR="005F69E0">
              <w:rPr>
                <w:sz w:val="22"/>
                <w:szCs w:val="22"/>
                <w:lang w:val="en-GB"/>
              </w:rPr>
              <w:t>’</w:t>
            </w:r>
          </w:p>
        </w:tc>
      </w:tr>
    </w:tbl>
    <w:p w14:paraId="5D39309A" w14:textId="46DB3669" w:rsidR="00ED1757" w:rsidRDefault="00ED1757" w:rsidP="00ED1757">
      <w:pPr>
        <w:rPr>
          <w:lang w:val="en-GB"/>
        </w:rPr>
      </w:pPr>
    </w:p>
    <w:p w14:paraId="1CDA045B" w14:textId="625D7181" w:rsidR="00ED1E6B" w:rsidRPr="00ED1E6B" w:rsidRDefault="00ED1E6B" w:rsidP="00ED1757">
      <w:pPr>
        <w:rPr>
          <w:sz w:val="22"/>
          <w:szCs w:val="22"/>
          <w:lang w:val="en-GB"/>
        </w:rPr>
      </w:pPr>
      <w:r w:rsidRPr="00ED1E6B">
        <w:rPr>
          <w:sz w:val="22"/>
          <w:szCs w:val="22"/>
          <w:lang w:val="en-GB"/>
        </w:rPr>
        <w:t>‘CV Summary</w:t>
      </w:r>
    </w:p>
    <w:p w14:paraId="35D85448" w14:textId="51FA739F" w:rsidR="00ED1E6B" w:rsidRPr="00ED1E6B" w:rsidRDefault="00ED1E6B" w:rsidP="00ED1757">
      <w:pPr>
        <w:rPr>
          <w:sz w:val="22"/>
          <w:szCs w:val="22"/>
          <w:lang w:val="en-GB"/>
        </w:rPr>
      </w:pPr>
      <w:r w:rsidRPr="00ED1E6B">
        <w:rPr>
          <w:sz w:val="22"/>
          <w:szCs w:val="22"/>
          <w:lang w:val="en-GB"/>
        </w:rPr>
        <w:t>Position: Construction Health and Safety Officer</w:t>
      </w:r>
    </w:p>
    <w:p w14:paraId="103277FA" w14:textId="5382027B" w:rsidR="00ED1E6B" w:rsidRPr="00ED1E6B" w:rsidRDefault="00ED1E6B" w:rsidP="00ED1757">
      <w:pPr>
        <w:rPr>
          <w:sz w:val="22"/>
          <w:szCs w:val="22"/>
          <w:lang w:val="en-GB"/>
        </w:rPr>
      </w:pPr>
      <w:r w:rsidRPr="00ED1E6B">
        <w:rPr>
          <w:sz w:val="22"/>
          <w:szCs w:val="22"/>
          <w:lang w:val="en-GB"/>
        </w:rPr>
        <w:t>Name: Zandile Ndamase …</w:t>
      </w:r>
    </w:p>
    <w:p w14:paraId="3DA5FD81" w14:textId="3C53FA8A" w:rsidR="00ED1E6B" w:rsidRPr="00ED1E6B" w:rsidRDefault="00ED1E6B" w:rsidP="00ED1757">
      <w:pPr>
        <w:rPr>
          <w:sz w:val="22"/>
          <w:szCs w:val="22"/>
          <w:lang w:val="en-GB"/>
        </w:rPr>
      </w:pPr>
      <w:r w:rsidRPr="00ED1E6B">
        <w:rPr>
          <w:sz w:val="22"/>
          <w:szCs w:val="22"/>
          <w:lang w:val="en-GB"/>
        </w:rPr>
        <w:t>Experience</w:t>
      </w:r>
    </w:p>
    <w:tbl>
      <w:tblPr>
        <w:tblStyle w:val="TableGrid"/>
        <w:tblW w:w="0" w:type="auto"/>
        <w:tblLook w:val="04A0" w:firstRow="1" w:lastRow="0" w:firstColumn="1" w:lastColumn="0" w:noHBand="0" w:noVBand="1"/>
      </w:tblPr>
      <w:tblGrid>
        <w:gridCol w:w="1478"/>
        <w:gridCol w:w="1479"/>
        <w:gridCol w:w="1623"/>
        <w:gridCol w:w="1477"/>
        <w:gridCol w:w="1464"/>
        <w:gridCol w:w="1489"/>
      </w:tblGrid>
      <w:tr w:rsidR="00ED1E6B" w:rsidRPr="00ED1E6B" w14:paraId="205A9ABA" w14:textId="77777777" w:rsidTr="00ED1E6B">
        <w:tc>
          <w:tcPr>
            <w:tcW w:w="1501" w:type="dxa"/>
          </w:tcPr>
          <w:p w14:paraId="14C4B059" w14:textId="553B0029" w:rsidR="00ED1E6B" w:rsidRPr="00ED1E6B" w:rsidRDefault="00ED1E6B" w:rsidP="00ED1757">
            <w:pPr>
              <w:rPr>
                <w:sz w:val="22"/>
                <w:szCs w:val="22"/>
                <w:lang w:val="en-GB"/>
              </w:rPr>
            </w:pPr>
            <w:r w:rsidRPr="00ED1E6B">
              <w:rPr>
                <w:sz w:val="22"/>
                <w:szCs w:val="22"/>
                <w:lang w:val="en-GB"/>
              </w:rPr>
              <w:t>Company name</w:t>
            </w:r>
          </w:p>
        </w:tc>
        <w:tc>
          <w:tcPr>
            <w:tcW w:w="1501" w:type="dxa"/>
          </w:tcPr>
          <w:p w14:paraId="58ADFC34" w14:textId="666AA5B8" w:rsidR="00ED1E6B" w:rsidRPr="00ED1E6B" w:rsidRDefault="00ED1E6B" w:rsidP="00ED1757">
            <w:pPr>
              <w:rPr>
                <w:sz w:val="22"/>
                <w:szCs w:val="22"/>
                <w:lang w:val="en-GB"/>
              </w:rPr>
            </w:pPr>
            <w:r w:rsidRPr="00ED1E6B">
              <w:rPr>
                <w:sz w:val="22"/>
                <w:szCs w:val="22"/>
                <w:lang w:val="en-GB"/>
              </w:rPr>
              <w:t>Dates Employed</w:t>
            </w:r>
          </w:p>
        </w:tc>
        <w:tc>
          <w:tcPr>
            <w:tcW w:w="1502" w:type="dxa"/>
          </w:tcPr>
          <w:p w14:paraId="25B147BC" w14:textId="2117DFA3" w:rsidR="00ED1E6B" w:rsidRPr="00ED1E6B" w:rsidRDefault="00ED1E6B" w:rsidP="00ED1757">
            <w:pPr>
              <w:rPr>
                <w:sz w:val="22"/>
                <w:szCs w:val="22"/>
                <w:lang w:val="en-GB"/>
              </w:rPr>
            </w:pPr>
            <w:r w:rsidRPr="00ED1E6B">
              <w:rPr>
                <w:sz w:val="22"/>
                <w:szCs w:val="22"/>
                <w:lang w:val="en-GB"/>
              </w:rPr>
              <w:t>Position of Employment</w:t>
            </w:r>
          </w:p>
        </w:tc>
        <w:tc>
          <w:tcPr>
            <w:tcW w:w="1502" w:type="dxa"/>
          </w:tcPr>
          <w:p w14:paraId="1D19BFE8" w14:textId="7B7610B1" w:rsidR="00ED1E6B" w:rsidRPr="00ED1E6B" w:rsidRDefault="00ED1E6B" w:rsidP="00ED1757">
            <w:pPr>
              <w:rPr>
                <w:sz w:val="22"/>
                <w:szCs w:val="22"/>
                <w:lang w:val="en-GB"/>
              </w:rPr>
            </w:pPr>
            <w:r w:rsidRPr="00ED1E6B">
              <w:rPr>
                <w:sz w:val="22"/>
                <w:szCs w:val="22"/>
                <w:lang w:val="en-GB"/>
              </w:rPr>
              <w:t>Major Contracts</w:t>
            </w:r>
          </w:p>
        </w:tc>
        <w:tc>
          <w:tcPr>
            <w:tcW w:w="1502" w:type="dxa"/>
          </w:tcPr>
          <w:p w14:paraId="7FE3DB21" w14:textId="64F8470F" w:rsidR="00ED1E6B" w:rsidRPr="00ED1E6B" w:rsidRDefault="00ED1E6B" w:rsidP="00ED1757">
            <w:pPr>
              <w:rPr>
                <w:sz w:val="22"/>
                <w:szCs w:val="22"/>
                <w:lang w:val="en-GB"/>
              </w:rPr>
            </w:pPr>
            <w:r w:rsidRPr="00ED1E6B">
              <w:rPr>
                <w:sz w:val="22"/>
                <w:szCs w:val="22"/>
                <w:lang w:val="en-GB"/>
              </w:rPr>
              <w:t>Approx. Value</w:t>
            </w:r>
          </w:p>
        </w:tc>
        <w:tc>
          <w:tcPr>
            <w:tcW w:w="1502" w:type="dxa"/>
          </w:tcPr>
          <w:p w14:paraId="635A7580" w14:textId="18A83DA3" w:rsidR="00ED1E6B" w:rsidRPr="00ED1E6B" w:rsidRDefault="00ED1E6B" w:rsidP="00ED1757">
            <w:pPr>
              <w:rPr>
                <w:sz w:val="22"/>
                <w:szCs w:val="22"/>
                <w:lang w:val="en-GB"/>
              </w:rPr>
            </w:pPr>
            <w:r w:rsidRPr="00ED1E6B">
              <w:rPr>
                <w:sz w:val="22"/>
                <w:szCs w:val="22"/>
                <w:lang w:val="en-GB"/>
              </w:rPr>
              <w:t>Brief Description of Contract</w:t>
            </w:r>
          </w:p>
        </w:tc>
      </w:tr>
      <w:tr w:rsidR="00ED1E6B" w:rsidRPr="00ED1E6B" w14:paraId="00BD4A78" w14:textId="77777777" w:rsidTr="00ED1E6B">
        <w:tc>
          <w:tcPr>
            <w:tcW w:w="1501" w:type="dxa"/>
          </w:tcPr>
          <w:p w14:paraId="4EEE8246" w14:textId="70FF56BB" w:rsidR="00ED1E6B" w:rsidRPr="00ED1E6B" w:rsidRDefault="00ED1E6B" w:rsidP="00ED1757">
            <w:pPr>
              <w:rPr>
                <w:sz w:val="22"/>
                <w:szCs w:val="22"/>
                <w:lang w:val="en-GB"/>
              </w:rPr>
            </w:pPr>
            <w:proofErr w:type="spellStart"/>
            <w:r w:rsidRPr="00ED1E6B">
              <w:rPr>
                <w:sz w:val="22"/>
                <w:szCs w:val="22"/>
                <w:lang w:val="en-GB"/>
              </w:rPr>
              <w:t>Rumdel</w:t>
            </w:r>
            <w:proofErr w:type="spellEnd"/>
            <w:r w:rsidRPr="00ED1E6B">
              <w:rPr>
                <w:sz w:val="22"/>
                <w:szCs w:val="22"/>
                <w:lang w:val="en-GB"/>
              </w:rPr>
              <w:t>…</w:t>
            </w:r>
          </w:p>
        </w:tc>
        <w:tc>
          <w:tcPr>
            <w:tcW w:w="1501" w:type="dxa"/>
          </w:tcPr>
          <w:p w14:paraId="2F0893D1" w14:textId="564F6D4A" w:rsidR="00ED1E6B" w:rsidRPr="00ED1E6B" w:rsidRDefault="00ED1E6B" w:rsidP="00ED1757">
            <w:pPr>
              <w:rPr>
                <w:sz w:val="22"/>
                <w:szCs w:val="22"/>
                <w:lang w:val="en-GB"/>
              </w:rPr>
            </w:pPr>
            <w:r w:rsidRPr="00ED1E6B">
              <w:rPr>
                <w:sz w:val="22"/>
                <w:szCs w:val="22"/>
                <w:lang w:val="en-GB"/>
              </w:rPr>
              <w:t>October 2016</w:t>
            </w:r>
          </w:p>
        </w:tc>
        <w:tc>
          <w:tcPr>
            <w:tcW w:w="1502" w:type="dxa"/>
          </w:tcPr>
          <w:p w14:paraId="771B9157" w14:textId="7EC3A64B" w:rsidR="00ED1E6B" w:rsidRPr="00ED1E6B" w:rsidRDefault="00ED1E6B" w:rsidP="00ED1757">
            <w:pPr>
              <w:rPr>
                <w:sz w:val="22"/>
                <w:szCs w:val="22"/>
                <w:lang w:val="en-GB"/>
              </w:rPr>
            </w:pPr>
            <w:r w:rsidRPr="00ED1E6B">
              <w:rPr>
                <w:sz w:val="22"/>
                <w:szCs w:val="22"/>
                <w:lang w:val="en-GB"/>
              </w:rPr>
              <w:t>Safety Environmental Officer</w:t>
            </w:r>
          </w:p>
        </w:tc>
        <w:tc>
          <w:tcPr>
            <w:tcW w:w="1502" w:type="dxa"/>
          </w:tcPr>
          <w:p w14:paraId="77A39D54" w14:textId="22B61345" w:rsidR="00ED1E6B" w:rsidRPr="00ED1E6B" w:rsidRDefault="00ED1E6B" w:rsidP="00ED1757">
            <w:pPr>
              <w:rPr>
                <w:sz w:val="22"/>
                <w:szCs w:val="22"/>
                <w:lang w:val="en-GB"/>
              </w:rPr>
            </w:pPr>
            <w:r w:rsidRPr="00ED1E6B">
              <w:rPr>
                <w:sz w:val="22"/>
                <w:szCs w:val="22"/>
                <w:lang w:val="en-GB"/>
              </w:rPr>
              <w:t>N2 Tetyana Site</w:t>
            </w:r>
          </w:p>
        </w:tc>
        <w:tc>
          <w:tcPr>
            <w:tcW w:w="1502" w:type="dxa"/>
          </w:tcPr>
          <w:p w14:paraId="5AD7A0EA" w14:textId="3E82916F" w:rsidR="00ED1E6B" w:rsidRPr="00ED1E6B" w:rsidRDefault="00ED1E6B" w:rsidP="00ED1757">
            <w:pPr>
              <w:rPr>
                <w:sz w:val="22"/>
                <w:szCs w:val="22"/>
                <w:lang w:val="en-GB"/>
              </w:rPr>
            </w:pPr>
            <w:r w:rsidRPr="00ED1E6B">
              <w:rPr>
                <w:sz w:val="22"/>
                <w:szCs w:val="22"/>
                <w:lang w:val="en-GB"/>
              </w:rPr>
              <w:t>488 Million</w:t>
            </w:r>
          </w:p>
        </w:tc>
        <w:tc>
          <w:tcPr>
            <w:tcW w:w="1502" w:type="dxa"/>
          </w:tcPr>
          <w:p w14:paraId="1D452586" w14:textId="494C02A0" w:rsidR="00ED1E6B" w:rsidRPr="00ED1E6B" w:rsidRDefault="00ED1E6B" w:rsidP="00ED1757">
            <w:pPr>
              <w:rPr>
                <w:sz w:val="22"/>
                <w:szCs w:val="22"/>
                <w:lang w:val="en-GB"/>
              </w:rPr>
            </w:pPr>
            <w:r w:rsidRPr="00ED1E6B">
              <w:rPr>
                <w:sz w:val="22"/>
                <w:szCs w:val="22"/>
                <w:lang w:val="en-GB"/>
              </w:rPr>
              <w:t>Upgrading of National Route N2 …</w:t>
            </w:r>
          </w:p>
        </w:tc>
      </w:tr>
      <w:tr w:rsidR="00ED1E6B" w:rsidRPr="00ED1E6B" w14:paraId="01FFCDC1" w14:textId="77777777" w:rsidTr="00ED1E6B">
        <w:tc>
          <w:tcPr>
            <w:tcW w:w="1501" w:type="dxa"/>
          </w:tcPr>
          <w:p w14:paraId="78DE8753" w14:textId="77496498" w:rsidR="00ED1E6B" w:rsidRPr="00ED1E6B" w:rsidRDefault="00ED1E6B" w:rsidP="00ED1757">
            <w:pPr>
              <w:rPr>
                <w:sz w:val="22"/>
                <w:szCs w:val="22"/>
                <w:lang w:val="en-GB"/>
              </w:rPr>
            </w:pPr>
            <w:proofErr w:type="spellStart"/>
            <w:r w:rsidRPr="00ED1E6B">
              <w:rPr>
                <w:sz w:val="22"/>
                <w:szCs w:val="22"/>
                <w:lang w:val="en-GB"/>
              </w:rPr>
              <w:t>Rumdel</w:t>
            </w:r>
            <w:proofErr w:type="spellEnd"/>
            <w:r w:rsidRPr="00ED1E6B">
              <w:rPr>
                <w:sz w:val="22"/>
                <w:szCs w:val="22"/>
                <w:lang w:val="en-GB"/>
              </w:rPr>
              <w:t xml:space="preserve"> …</w:t>
            </w:r>
          </w:p>
        </w:tc>
        <w:tc>
          <w:tcPr>
            <w:tcW w:w="1501" w:type="dxa"/>
          </w:tcPr>
          <w:p w14:paraId="0BFA8207" w14:textId="5BBDF036" w:rsidR="00ED1E6B" w:rsidRPr="00ED1E6B" w:rsidRDefault="00ED1E6B" w:rsidP="00ED1757">
            <w:pPr>
              <w:rPr>
                <w:sz w:val="22"/>
                <w:szCs w:val="22"/>
                <w:lang w:val="en-GB"/>
              </w:rPr>
            </w:pPr>
            <w:r w:rsidRPr="00ED1E6B">
              <w:rPr>
                <w:sz w:val="22"/>
                <w:szCs w:val="22"/>
                <w:lang w:val="en-GB"/>
              </w:rPr>
              <w:t>2019-2022</w:t>
            </w:r>
          </w:p>
        </w:tc>
        <w:tc>
          <w:tcPr>
            <w:tcW w:w="1502" w:type="dxa"/>
          </w:tcPr>
          <w:p w14:paraId="245B03C3" w14:textId="1B8FD80D" w:rsidR="00ED1E6B" w:rsidRPr="00ED1E6B" w:rsidRDefault="00ED1E6B" w:rsidP="00ED1757">
            <w:pPr>
              <w:rPr>
                <w:sz w:val="22"/>
                <w:szCs w:val="22"/>
                <w:lang w:val="en-GB"/>
              </w:rPr>
            </w:pPr>
            <w:r w:rsidRPr="00ED1E6B">
              <w:rPr>
                <w:sz w:val="22"/>
                <w:szCs w:val="22"/>
                <w:lang w:val="en-GB"/>
              </w:rPr>
              <w:t>Safety Environmental Officer</w:t>
            </w:r>
          </w:p>
        </w:tc>
        <w:tc>
          <w:tcPr>
            <w:tcW w:w="1502" w:type="dxa"/>
          </w:tcPr>
          <w:p w14:paraId="52AC12AD" w14:textId="53E43A2E" w:rsidR="00ED1E6B" w:rsidRPr="00ED1E6B" w:rsidRDefault="00ED1E6B" w:rsidP="00ED1757">
            <w:pPr>
              <w:rPr>
                <w:sz w:val="22"/>
                <w:szCs w:val="22"/>
                <w:lang w:val="en-GB"/>
              </w:rPr>
            </w:pPr>
            <w:r w:rsidRPr="00ED1E6B">
              <w:rPr>
                <w:sz w:val="22"/>
                <w:szCs w:val="22"/>
                <w:lang w:val="en-GB"/>
              </w:rPr>
              <w:t>R61</w:t>
            </w:r>
          </w:p>
        </w:tc>
        <w:tc>
          <w:tcPr>
            <w:tcW w:w="1502" w:type="dxa"/>
          </w:tcPr>
          <w:p w14:paraId="2E555196" w14:textId="2B3BC9CB" w:rsidR="00ED1E6B" w:rsidRPr="00ED1E6B" w:rsidRDefault="00ED1E6B" w:rsidP="00ED1757">
            <w:pPr>
              <w:rPr>
                <w:sz w:val="22"/>
                <w:szCs w:val="22"/>
                <w:lang w:val="en-GB"/>
              </w:rPr>
            </w:pPr>
            <w:r w:rsidRPr="00ED1E6B">
              <w:rPr>
                <w:sz w:val="22"/>
                <w:szCs w:val="22"/>
                <w:lang w:val="en-GB"/>
              </w:rPr>
              <w:t>214 Million</w:t>
            </w:r>
          </w:p>
        </w:tc>
        <w:tc>
          <w:tcPr>
            <w:tcW w:w="1502" w:type="dxa"/>
          </w:tcPr>
          <w:p w14:paraId="1A27C00F" w14:textId="4C3E348D" w:rsidR="00ED1E6B" w:rsidRPr="00ED1E6B" w:rsidRDefault="00ED1E6B" w:rsidP="00ED1757">
            <w:pPr>
              <w:rPr>
                <w:sz w:val="22"/>
                <w:szCs w:val="22"/>
                <w:lang w:val="en-GB"/>
              </w:rPr>
            </w:pPr>
            <w:r w:rsidRPr="00ED1E6B">
              <w:rPr>
                <w:sz w:val="22"/>
                <w:szCs w:val="22"/>
                <w:lang w:val="en-GB"/>
              </w:rPr>
              <w:t>Upgrading of the Road from R61 …</w:t>
            </w:r>
          </w:p>
        </w:tc>
      </w:tr>
      <w:tr w:rsidR="00ED1E6B" w:rsidRPr="00ED1E6B" w14:paraId="4271F679" w14:textId="77777777" w:rsidTr="00ED1E6B">
        <w:tc>
          <w:tcPr>
            <w:tcW w:w="1501" w:type="dxa"/>
          </w:tcPr>
          <w:p w14:paraId="4D851178" w14:textId="3C811608" w:rsidR="00ED1E6B" w:rsidRPr="00ED1E6B" w:rsidRDefault="00ED1E6B" w:rsidP="00ED1757">
            <w:pPr>
              <w:rPr>
                <w:sz w:val="22"/>
                <w:szCs w:val="22"/>
                <w:lang w:val="en-GB"/>
              </w:rPr>
            </w:pPr>
            <w:proofErr w:type="spellStart"/>
            <w:r w:rsidRPr="00ED1E6B">
              <w:rPr>
                <w:sz w:val="22"/>
                <w:szCs w:val="22"/>
                <w:lang w:val="en-GB"/>
              </w:rPr>
              <w:t>Rumdel</w:t>
            </w:r>
            <w:proofErr w:type="spellEnd"/>
          </w:p>
        </w:tc>
        <w:tc>
          <w:tcPr>
            <w:tcW w:w="1501" w:type="dxa"/>
          </w:tcPr>
          <w:p w14:paraId="04FC16D2" w14:textId="20B4FEA9" w:rsidR="00ED1E6B" w:rsidRPr="00ED1E6B" w:rsidRDefault="00ED1E6B" w:rsidP="00ED1757">
            <w:pPr>
              <w:rPr>
                <w:sz w:val="22"/>
                <w:szCs w:val="22"/>
                <w:lang w:val="en-GB"/>
              </w:rPr>
            </w:pPr>
            <w:r w:rsidRPr="00ED1E6B">
              <w:rPr>
                <w:sz w:val="22"/>
                <w:szCs w:val="22"/>
                <w:lang w:val="en-GB"/>
              </w:rPr>
              <w:t>2022 – present</w:t>
            </w:r>
          </w:p>
        </w:tc>
        <w:tc>
          <w:tcPr>
            <w:tcW w:w="1502" w:type="dxa"/>
          </w:tcPr>
          <w:p w14:paraId="560421D2" w14:textId="43936867" w:rsidR="00ED1E6B" w:rsidRPr="00ED1E6B" w:rsidRDefault="00ED1E6B" w:rsidP="00ED1757">
            <w:pPr>
              <w:rPr>
                <w:sz w:val="22"/>
                <w:szCs w:val="22"/>
                <w:lang w:val="en-GB"/>
              </w:rPr>
            </w:pPr>
            <w:r w:rsidRPr="00ED1E6B">
              <w:rPr>
                <w:sz w:val="22"/>
                <w:szCs w:val="22"/>
                <w:lang w:val="en-GB"/>
              </w:rPr>
              <w:t>Safety Environmental Officer</w:t>
            </w:r>
          </w:p>
        </w:tc>
        <w:tc>
          <w:tcPr>
            <w:tcW w:w="1502" w:type="dxa"/>
          </w:tcPr>
          <w:p w14:paraId="77926395" w14:textId="5E87BB7C" w:rsidR="00ED1E6B" w:rsidRPr="00ED1E6B" w:rsidRDefault="00ED1E6B" w:rsidP="00ED1757">
            <w:pPr>
              <w:rPr>
                <w:sz w:val="22"/>
                <w:szCs w:val="22"/>
                <w:lang w:val="en-GB"/>
              </w:rPr>
            </w:pPr>
            <w:r w:rsidRPr="00ED1E6B">
              <w:rPr>
                <w:sz w:val="22"/>
                <w:szCs w:val="22"/>
                <w:lang w:val="en-GB"/>
              </w:rPr>
              <w:t>R63</w:t>
            </w:r>
          </w:p>
        </w:tc>
        <w:tc>
          <w:tcPr>
            <w:tcW w:w="1502" w:type="dxa"/>
          </w:tcPr>
          <w:p w14:paraId="4603335B" w14:textId="2D90EDB8" w:rsidR="00ED1E6B" w:rsidRPr="00ED1E6B" w:rsidRDefault="00ED1E6B" w:rsidP="00ED1757">
            <w:pPr>
              <w:rPr>
                <w:sz w:val="22"/>
                <w:szCs w:val="22"/>
                <w:lang w:val="en-GB"/>
              </w:rPr>
            </w:pPr>
            <w:r w:rsidRPr="00ED1E6B">
              <w:rPr>
                <w:sz w:val="22"/>
                <w:szCs w:val="22"/>
                <w:lang w:val="en-GB"/>
              </w:rPr>
              <w:t>714 Million</w:t>
            </w:r>
          </w:p>
        </w:tc>
        <w:tc>
          <w:tcPr>
            <w:tcW w:w="1502" w:type="dxa"/>
          </w:tcPr>
          <w:p w14:paraId="03D5F704" w14:textId="2722AF4D" w:rsidR="00ED1E6B" w:rsidRPr="00ED1E6B" w:rsidRDefault="00ED1E6B" w:rsidP="00ED1757">
            <w:pPr>
              <w:rPr>
                <w:sz w:val="22"/>
                <w:szCs w:val="22"/>
                <w:lang w:val="en-GB"/>
              </w:rPr>
            </w:pPr>
            <w:r w:rsidRPr="00ED1E6B">
              <w:rPr>
                <w:sz w:val="22"/>
                <w:szCs w:val="22"/>
                <w:lang w:val="en-GB"/>
              </w:rPr>
              <w:t>Upgrading of R63…</w:t>
            </w:r>
            <w:r w:rsidR="005F69E0">
              <w:rPr>
                <w:sz w:val="22"/>
                <w:szCs w:val="22"/>
                <w:lang w:val="en-GB"/>
              </w:rPr>
              <w:t>’</w:t>
            </w:r>
          </w:p>
        </w:tc>
      </w:tr>
    </w:tbl>
    <w:p w14:paraId="783831AB" w14:textId="189759FB" w:rsidR="00ED1E6B" w:rsidRDefault="00ED1E6B" w:rsidP="00D800E9">
      <w:pPr>
        <w:rPr>
          <w:sz w:val="22"/>
          <w:szCs w:val="22"/>
          <w:lang w:val="en-GB"/>
        </w:rPr>
      </w:pPr>
    </w:p>
    <w:p w14:paraId="01639DF2" w14:textId="77777777" w:rsidR="00D800E9" w:rsidRPr="00ED1E6B" w:rsidRDefault="00D800E9" w:rsidP="00D800E9">
      <w:pPr>
        <w:rPr>
          <w:sz w:val="22"/>
          <w:szCs w:val="22"/>
          <w:lang w:val="en-GB"/>
        </w:rPr>
      </w:pPr>
    </w:p>
    <w:p w14:paraId="28C300B3" w14:textId="67B88235" w:rsidR="00681768" w:rsidRPr="00A171D8" w:rsidRDefault="00A171D8" w:rsidP="00A171D8">
      <w:pPr>
        <w:autoSpaceDE w:val="0"/>
        <w:autoSpaceDN w:val="0"/>
        <w:adjustRightInd w:val="0"/>
        <w:jc w:val="both"/>
        <w:rPr>
          <w:lang w:val="en-GB"/>
        </w:rPr>
      </w:pPr>
      <w:r>
        <w:rPr>
          <w:lang w:val="en-GB"/>
        </w:rPr>
        <w:t>[25]</w:t>
      </w:r>
      <w:r>
        <w:rPr>
          <w:lang w:val="en-GB"/>
        </w:rPr>
        <w:tab/>
      </w:r>
      <w:r w:rsidR="00A04834" w:rsidRPr="00A171D8">
        <w:rPr>
          <w:lang w:val="en-GB"/>
        </w:rPr>
        <w:t xml:space="preserve">There is no need to make a definitive finding as to the dispute of fact for present purposes. </w:t>
      </w:r>
      <w:r w:rsidR="009242A6" w:rsidRPr="00A171D8">
        <w:rPr>
          <w:lang w:val="en-GB"/>
        </w:rPr>
        <w:t xml:space="preserve">It bears emphasis that the papers must be read in the customary manner required for consideration of interdictory relief, in accordance with </w:t>
      </w:r>
      <w:r w:rsidR="009242A6" w:rsidRPr="00A171D8">
        <w:rPr>
          <w:i/>
          <w:iCs/>
          <w:lang w:val="en-GB"/>
        </w:rPr>
        <w:t>Webster v Mitchell</w:t>
      </w:r>
      <w:r w:rsidR="009242A6" w:rsidRPr="00A171D8">
        <w:rPr>
          <w:lang w:val="en-GB"/>
        </w:rPr>
        <w:t xml:space="preserve">, as modified by </w:t>
      </w:r>
      <w:r w:rsidR="009242A6" w:rsidRPr="00A171D8">
        <w:rPr>
          <w:i/>
          <w:iCs/>
          <w:lang w:val="en-GB"/>
        </w:rPr>
        <w:t>Gool</w:t>
      </w:r>
      <w:r w:rsidR="001E658D" w:rsidRPr="00A171D8">
        <w:rPr>
          <w:lang w:val="en-GB"/>
        </w:rPr>
        <w:t>.</w:t>
      </w:r>
      <w:r w:rsidR="009242A6" w:rsidRPr="00A171D8">
        <w:rPr>
          <w:lang w:val="en-GB"/>
        </w:rPr>
        <w:t xml:space="preserve"> </w:t>
      </w:r>
      <w:r w:rsidR="001E658D" w:rsidRPr="00A171D8">
        <w:rPr>
          <w:lang w:val="en-GB"/>
        </w:rPr>
        <w:t>That being the case, w</w:t>
      </w:r>
      <w:r w:rsidR="00A04834" w:rsidRPr="00A171D8">
        <w:rPr>
          <w:lang w:val="en-GB"/>
        </w:rPr>
        <w:t xml:space="preserve">hile there may be some doubt about Ms Ndamase’s years of relevant experience, </w:t>
      </w:r>
      <w:r w:rsidR="00A04834" w:rsidRPr="00A171D8">
        <w:rPr>
          <w:i/>
          <w:iCs/>
          <w:lang w:val="en-GB"/>
        </w:rPr>
        <w:t>prima facie</w:t>
      </w:r>
      <w:r w:rsidR="00A04834" w:rsidRPr="00A171D8">
        <w:rPr>
          <w:lang w:val="en-GB"/>
        </w:rPr>
        <w:t xml:space="preserve"> Zen JV has demonstrated</w:t>
      </w:r>
      <w:r w:rsidR="001E4119" w:rsidRPr="00A171D8">
        <w:rPr>
          <w:lang w:val="en-GB"/>
        </w:rPr>
        <w:t xml:space="preserve"> a right to the award of the tender</w:t>
      </w:r>
      <w:r w:rsidR="00A04834" w:rsidRPr="00A171D8">
        <w:rPr>
          <w:lang w:val="en-GB"/>
        </w:rPr>
        <w:t xml:space="preserve">. </w:t>
      </w:r>
      <w:r w:rsidR="004A243E" w:rsidRPr="00A171D8">
        <w:rPr>
          <w:lang w:val="en-GB"/>
        </w:rPr>
        <w:t xml:space="preserve">This is </w:t>
      </w:r>
      <w:r w:rsidR="005F69E0" w:rsidRPr="00A171D8">
        <w:rPr>
          <w:lang w:val="en-GB"/>
        </w:rPr>
        <w:t>its</w:t>
      </w:r>
      <w:r w:rsidR="004A243E" w:rsidRPr="00A171D8">
        <w:rPr>
          <w:lang w:val="en-GB"/>
        </w:rPr>
        <w:t xml:space="preserve"> case on the papers and that submission is not seriously cast in doubt by the </w:t>
      </w:r>
      <w:r w:rsidR="007B73AE" w:rsidRPr="00A171D8">
        <w:rPr>
          <w:lang w:val="en-GB"/>
        </w:rPr>
        <w:t>Department’s</w:t>
      </w:r>
      <w:r w:rsidR="004A243E" w:rsidRPr="00A171D8">
        <w:rPr>
          <w:lang w:val="en-GB"/>
        </w:rPr>
        <w:t xml:space="preserve"> version on its papers, also considering the inherent probabilities. </w:t>
      </w:r>
      <w:r w:rsidR="007B73AE" w:rsidRPr="00A171D8">
        <w:rPr>
          <w:lang w:val="en-GB"/>
        </w:rPr>
        <w:t>C</w:t>
      </w:r>
      <w:r w:rsidR="004A5B3B" w:rsidRPr="00A171D8">
        <w:rPr>
          <w:lang w:val="en-GB"/>
        </w:rPr>
        <w:t>onsideration</w:t>
      </w:r>
      <w:r w:rsidR="003E1B6C" w:rsidRPr="00A171D8">
        <w:rPr>
          <w:lang w:val="en-GB"/>
        </w:rPr>
        <w:t xml:space="preserve"> of ‘schedule E’ </w:t>
      </w:r>
      <w:r w:rsidR="00100B8E" w:rsidRPr="00A171D8">
        <w:rPr>
          <w:lang w:val="en-GB"/>
        </w:rPr>
        <w:t>together with</w:t>
      </w:r>
      <w:r w:rsidR="003E1B6C" w:rsidRPr="00A171D8">
        <w:rPr>
          <w:lang w:val="en-GB"/>
        </w:rPr>
        <w:t xml:space="preserve"> the ‘CV summary’ </w:t>
      </w:r>
      <w:r w:rsidR="00891F33" w:rsidRPr="00A171D8">
        <w:rPr>
          <w:i/>
          <w:iCs/>
          <w:lang w:val="en-GB"/>
        </w:rPr>
        <w:t>prima facie</w:t>
      </w:r>
      <w:r w:rsidR="00891F33" w:rsidRPr="00A171D8">
        <w:rPr>
          <w:lang w:val="en-GB"/>
        </w:rPr>
        <w:t xml:space="preserve"> </w:t>
      </w:r>
      <w:r w:rsidR="00734E66" w:rsidRPr="00A171D8">
        <w:rPr>
          <w:lang w:val="en-GB"/>
        </w:rPr>
        <w:t>supports Zen JV’s submission that Ms Ndamase</w:t>
      </w:r>
      <w:r w:rsidR="00852F63" w:rsidRPr="00A171D8">
        <w:rPr>
          <w:lang w:val="en-GB"/>
        </w:rPr>
        <w:t xml:space="preserve"> </w:t>
      </w:r>
      <w:r w:rsidR="00FE043C" w:rsidRPr="00A171D8">
        <w:rPr>
          <w:lang w:val="en-GB"/>
        </w:rPr>
        <w:t>compli</w:t>
      </w:r>
      <w:r w:rsidR="00734E66" w:rsidRPr="00A171D8">
        <w:rPr>
          <w:lang w:val="en-GB"/>
        </w:rPr>
        <w:t>ed</w:t>
      </w:r>
      <w:r w:rsidR="00100B8E" w:rsidRPr="00A171D8">
        <w:rPr>
          <w:lang w:val="en-GB"/>
        </w:rPr>
        <w:t xml:space="preserve"> with the stipulated five-year requirement.</w:t>
      </w:r>
      <w:r w:rsidR="00FB7E8F" w:rsidRPr="00A171D8">
        <w:rPr>
          <w:lang w:val="en-GB"/>
        </w:rPr>
        <w:t xml:space="preserve"> This is so even if a strict interpretation is afforded to the discrepancy between ‘September 2016’ and ‘October 2016’, so that the later date is utilised.</w:t>
      </w:r>
      <w:r w:rsidR="006A3BE2" w:rsidRPr="00A171D8">
        <w:rPr>
          <w:lang w:val="en-GB"/>
        </w:rPr>
        <w:t xml:space="preserve"> </w:t>
      </w:r>
      <w:r w:rsidR="008D56D8" w:rsidRPr="00A171D8">
        <w:rPr>
          <w:lang w:val="en-GB"/>
        </w:rPr>
        <w:t>That discrepancy certainly cannot, on its own, serve to disqualify the entire bid.</w:t>
      </w:r>
    </w:p>
    <w:p w14:paraId="760FBA09" w14:textId="77777777" w:rsidR="00267CFB" w:rsidRDefault="00267CFB" w:rsidP="00267CFB">
      <w:pPr>
        <w:pStyle w:val="ListParagraph"/>
        <w:autoSpaceDE w:val="0"/>
        <w:autoSpaceDN w:val="0"/>
        <w:adjustRightInd w:val="0"/>
        <w:ind w:left="0"/>
        <w:jc w:val="both"/>
        <w:rPr>
          <w:lang w:val="en-GB"/>
        </w:rPr>
      </w:pPr>
    </w:p>
    <w:p w14:paraId="46F84991" w14:textId="377DC074" w:rsidR="009E1A6A" w:rsidRPr="00267CFB" w:rsidRDefault="009E1A6A" w:rsidP="00267CFB">
      <w:pPr>
        <w:pStyle w:val="ListParagraph"/>
        <w:autoSpaceDE w:val="0"/>
        <w:autoSpaceDN w:val="0"/>
        <w:adjustRightInd w:val="0"/>
        <w:ind w:left="0"/>
        <w:jc w:val="both"/>
        <w:rPr>
          <w:lang w:val="en-GB"/>
        </w:rPr>
      </w:pPr>
      <w:r>
        <w:rPr>
          <w:b/>
          <w:bCs/>
          <w:lang w:val="en-GB"/>
        </w:rPr>
        <w:t>A well-grounded apprehension of irreparable harm</w:t>
      </w:r>
      <w:r w:rsidR="001D070F">
        <w:rPr>
          <w:b/>
          <w:bCs/>
          <w:lang w:val="en-GB"/>
        </w:rPr>
        <w:t xml:space="preserve"> </w:t>
      </w:r>
      <w:r w:rsidR="00FC1185">
        <w:rPr>
          <w:b/>
          <w:bCs/>
          <w:lang w:val="en-GB"/>
        </w:rPr>
        <w:t>and absence of an alternative remedy</w:t>
      </w:r>
    </w:p>
    <w:p w14:paraId="41FD8021" w14:textId="77777777" w:rsidR="00267CFB" w:rsidRPr="00267CFB" w:rsidRDefault="00267CFB" w:rsidP="00267CFB">
      <w:pPr>
        <w:pStyle w:val="ListParagraph"/>
        <w:rPr>
          <w:lang w:val="en-GB"/>
        </w:rPr>
      </w:pPr>
    </w:p>
    <w:p w14:paraId="2A70BC88" w14:textId="1B5F57D2" w:rsidR="00267CFB" w:rsidRPr="00A171D8" w:rsidRDefault="00A171D8" w:rsidP="00A171D8">
      <w:pPr>
        <w:autoSpaceDE w:val="0"/>
        <w:autoSpaceDN w:val="0"/>
        <w:adjustRightInd w:val="0"/>
        <w:jc w:val="both"/>
        <w:rPr>
          <w:lang w:val="en-GB"/>
        </w:rPr>
      </w:pPr>
      <w:r>
        <w:rPr>
          <w:lang w:val="en-GB"/>
        </w:rPr>
        <w:t>[26]</w:t>
      </w:r>
      <w:r>
        <w:rPr>
          <w:lang w:val="en-GB"/>
        </w:rPr>
        <w:tab/>
      </w:r>
      <w:r w:rsidR="00CE7C6C" w:rsidRPr="00A171D8">
        <w:rPr>
          <w:lang w:val="en-GB"/>
        </w:rPr>
        <w:t xml:space="preserve">Zen JV has </w:t>
      </w:r>
      <w:r w:rsidR="003329BA" w:rsidRPr="00A171D8">
        <w:rPr>
          <w:lang w:val="en-GB"/>
        </w:rPr>
        <w:t xml:space="preserve">also </w:t>
      </w:r>
      <w:r w:rsidR="00CE7C6C" w:rsidRPr="00A171D8">
        <w:rPr>
          <w:lang w:val="en-GB"/>
        </w:rPr>
        <w:t xml:space="preserve">established that, if a review is successful in due course, there may not be an appropriate remedy available as the </w:t>
      </w:r>
      <w:r w:rsidR="009846DE" w:rsidRPr="00A171D8">
        <w:rPr>
          <w:lang w:val="en-GB"/>
        </w:rPr>
        <w:t xml:space="preserve">work </w:t>
      </w:r>
      <w:r w:rsidR="007F37B4" w:rsidRPr="00A171D8">
        <w:rPr>
          <w:lang w:val="en-GB"/>
        </w:rPr>
        <w:t>that is the subject of the tender</w:t>
      </w:r>
      <w:r w:rsidR="00CE7C6C" w:rsidRPr="00A171D8">
        <w:rPr>
          <w:lang w:val="en-GB"/>
        </w:rPr>
        <w:t xml:space="preserve"> may have been performed. The consequence would be that the relief would </w:t>
      </w:r>
      <w:r w:rsidR="00CE7C6C" w:rsidRPr="00A171D8">
        <w:rPr>
          <w:lang w:val="en-GB"/>
        </w:rPr>
        <w:lastRenderedPageBreak/>
        <w:t xml:space="preserve">not have practical effect. </w:t>
      </w:r>
      <w:r w:rsidR="005070DE" w:rsidRPr="00A171D8">
        <w:rPr>
          <w:lang w:val="en-GB"/>
        </w:rPr>
        <w:t xml:space="preserve">Put differently, </w:t>
      </w:r>
      <w:r w:rsidR="005870D7" w:rsidRPr="00A171D8">
        <w:rPr>
          <w:lang w:val="en-GB"/>
        </w:rPr>
        <w:t xml:space="preserve">and as argued by Mr </w:t>
      </w:r>
      <w:r w:rsidR="005870D7" w:rsidRPr="00A171D8">
        <w:rPr>
          <w:i/>
          <w:iCs/>
          <w:lang w:val="en-GB"/>
        </w:rPr>
        <w:t>De La Harpe</w:t>
      </w:r>
      <w:r w:rsidR="005870D7" w:rsidRPr="00A171D8">
        <w:rPr>
          <w:lang w:val="en-GB"/>
        </w:rPr>
        <w:t>,</w:t>
      </w:r>
      <w:r w:rsidR="005870D7" w:rsidRPr="00A171D8">
        <w:rPr>
          <w:i/>
          <w:iCs/>
          <w:lang w:val="en-GB"/>
        </w:rPr>
        <w:t xml:space="preserve"> </w:t>
      </w:r>
      <w:r w:rsidR="005070DE" w:rsidRPr="00A171D8">
        <w:rPr>
          <w:lang w:val="en-GB"/>
        </w:rPr>
        <w:t>l</w:t>
      </w:r>
      <w:r w:rsidR="001D070F" w:rsidRPr="00A171D8">
        <w:rPr>
          <w:lang w:val="en-GB"/>
        </w:rPr>
        <w:t>apse of a significant period of time during which the tender is implemented in favour of Down Touch may result in Zen JV obtaining a hollow judgment</w:t>
      </w:r>
      <w:r w:rsidR="006641AF" w:rsidRPr="00A171D8">
        <w:rPr>
          <w:lang w:val="en-GB"/>
        </w:rPr>
        <w:t xml:space="preserve"> should it succeed with its review.</w:t>
      </w:r>
      <w:r w:rsidR="00F80290" w:rsidRPr="00A171D8">
        <w:rPr>
          <w:lang w:val="en-GB"/>
        </w:rPr>
        <w:t xml:space="preserve"> It may also be accepted that there is clearly no other remedy available to Zen JV pending the review of the Department’s decision.</w:t>
      </w:r>
      <w:r w:rsidR="00966ADA" w:rsidRPr="00A171D8">
        <w:rPr>
          <w:lang w:val="en-GB"/>
        </w:rPr>
        <w:t xml:space="preserve"> </w:t>
      </w:r>
    </w:p>
    <w:p w14:paraId="07A284C9" w14:textId="00CCBDF5" w:rsidR="00EE53F7" w:rsidRDefault="00EE53F7" w:rsidP="00EE53F7">
      <w:pPr>
        <w:pStyle w:val="ListParagraph"/>
        <w:autoSpaceDE w:val="0"/>
        <w:autoSpaceDN w:val="0"/>
        <w:adjustRightInd w:val="0"/>
        <w:ind w:left="0"/>
        <w:jc w:val="both"/>
        <w:rPr>
          <w:lang w:val="en-GB"/>
        </w:rPr>
      </w:pPr>
    </w:p>
    <w:p w14:paraId="49A0168D" w14:textId="3B3FE535" w:rsidR="00EE53F7" w:rsidRDefault="00EE53F7" w:rsidP="00EE53F7">
      <w:pPr>
        <w:pStyle w:val="ListParagraph"/>
        <w:autoSpaceDE w:val="0"/>
        <w:autoSpaceDN w:val="0"/>
        <w:adjustRightInd w:val="0"/>
        <w:ind w:left="0"/>
        <w:jc w:val="both"/>
        <w:rPr>
          <w:b/>
          <w:bCs/>
          <w:lang w:val="en-GB"/>
        </w:rPr>
      </w:pPr>
      <w:r>
        <w:rPr>
          <w:b/>
          <w:bCs/>
          <w:lang w:val="en-GB"/>
        </w:rPr>
        <w:t>Balance of convenience</w:t>
      </w:r>
    </w:p>
    <w:p w14:paraId="1D48FA26" w14:textId="77777777" w:rsidR="00EE53F7" w:rsidRPr="00EE53F7" w:rsidRDefault="00EE53F7" w:rsidP="00EE53F7">
      <w:pPr>
        <w:pStyle w:val="ListParagraph"/>
        <w:autoSpaceDE w:val="0"/>
        <w:autoSpaceDN w:val="0"/>
        <w:adjustRightInd w:val="0"/>
        <w:ind w:left="0"/>
        <w:jc w:val="both"/>
        <w:rPr>
          <w:b/>
          <w:bCs/>
          <w:lang w:val="en-GB"/>
        </w:rPr>
      </w:pPr>
    </w:p>
    <w:p w14:paraId="311F528C" w14:textId="4F925C9F" w:rsidR="00295A0A" w:rsidRPr="00A171D8" w:rsidRDefault="00A171D8" w:rsidP="00A171D8">
      <w:pPr>
        <w:autoSpaceDE w:val="0"/>
        <w:autoSpaceDN w:val="0"/>
        <w:adjustRightInd w:val="0"/>
        <w:jc w:val="both"/>
        <w:rPr>
          <w:lang w:val="en-GB"/>
        </w:rPr>
      </w:pPr>
      <w:r>
        <w:rPr>
          <w:lang w:val="en-GB"/>
        </w:rPr>
        <w:t>[27]</w:t>
      </w:r>
      <w:r>
        <w:rPr>
          <w:lang w:val="en-GB"/>
        </w:rPr>
        <w:tab/>
      </w:r>
      <w:r w:rsidR="003576F8" w:rsidRPr="00A171D8">
        <w:rPr>
          <w:lang w:val="en-GB"/>
        </w:rPr>
        <w:t>A</w:t>
      </w:r>
      <w:r w:rsidR="00C92566" w:rsidRPr="00A171D8">
        <w:rPr>
          <w:lang w:val="en-GB"/>
        </w:rPr>
        <w:t>s indicated, a</w:t>
      </w:r>
      <w:r w:rsidR="003576F8" w:rsidRPr="00A171D8">
        <w:rPr>
          <w:lang w:val="en-GB"/>
        </w:rPr>
        <w:t xml:space="preserve"> court may not fail to consider the probable impact of granting interdictory relief on the constitutional and statutory powers and duties of the state functionary or organ of state against which the interim order is sought. </w:t>
      </w:r>
    </w:p>
    <w:p w14:paraId="56791F55" w14:textId="77777777" w:rsidR="00295A0A" w:rsidRDefault="00295A0A" w:rsidP="00295A0A">
      <w:pPr>
        <w:pStyle w:val="ListParagraph"/>
        <w:autoSpaceDE w:val="0"/>
        <w:autoSpaceDN w:val="0"/>
        <w:adjustRightInd w:val="0"/>
        <w:ind w:left="0"/>
        <w:jc w:val="both"/>
        <w:rPr>
          <w:lang w:val="en-GB"/>
        </w:rPr>
      </w:pPr>
    </w:p>
    <w:p w14:paraId="6529F67C" w14:textId="5A7510EF" w:rsidR="0006181E" w:rsidRPr="00A171D8" w:rsidRDefault="00A171D8" w:rsidP="00A171D8">
      <w:pPr>
        <w:autoSpaceDE w:val="0"/>
        <w:autoSpaceDN w:val="0"/>
        <w:adjustRightInd w:val="0"/>
        <w:jc w:val="both"/>
        <w:rPr>
          <w:lang w:val="en-GB"/>
        </w:rPr>
      </w:pPr>
      <w:r>
        <w:rPr>
          <w:lang w:val="en-GB"/>
        </w:rPr>
        <w:t>[28]</w:t>
      </w:r>
      <w:r>
        <w:rPr>
          <w:lang w:val="en-GB"/>
        </w:rPr>
        <w:tab/>
      </w:r>
      <w:r w:rsidR="0006181E" w:rsidRPr="00A171D8">
        <w:rPr>
          <w:lang w:val="en-GB"/>
        </w:rPr>
        <w:t>That said, it must be acknowledged that interim interdicts against organ of state in tender disputes are commonplace, resulting in the suspension of tender awards pending judicial reviews</w:t>
      </w:r>
      <w:r w:rsidR="00133FD1" w:rsidRPr="00A171D8">
        <w:rPr>
          <w:lang w:val="en-GB"/>
        </w:rPr>
        <w:t>.</w:t>
      </w:r>
      <w:r w:rsidR="00133FD1">
        <w:rPr>
          <w:rStyle w:val="FootnoteReference"/>
          <w:lang w:val="en-GB"/>
        </w:rPr>
        <w:footnoteReference w:id="18"/>
      </w:r>
      <w:r w:rsidR="0006181E" w:rsidRPr="00A171D8">
        <w:rPr>
          <w:lang w:val="en-GB"/>
        </w:rPr>
        <w:t xml:space="preserve"> </w:t>
      </w:r>
    </w:p>
    <w:p w14:paraId="6141924F" w14:textId="77777777" w:rsidR="00B5793A" w:rsidRDefault="00B5793A" w:rsidP="00B5793A">
      <w:pPr>
        <w:pStyle w:val="ListParagraph"/>
        <w:autoSpaceDE w:val="0"/>
        <w:autoSpaceDN w:val="0"/>
        <w:adjustRightInd w:val="0"/>
        <w:ind w:left="0"/>
        <w:jc w:val="both"/>
        <w:rPr>
          <w:lang w:val="en-GB"/>
        </w:rPr>
      </w:pPr>
    </w:p>
    <w:p w14:paraId="736BC6FA" w14:textId="61253C81" w:rsidR="00B5793A" w:rsidRPr="00A171D8" w:rsidRDefault="00A171D8" w:rsidP="00A171D8">
      <w:pPr>
        <w:autoSpaceDE w:val="0"/>
        <w:autoSpaceDN w:val="0"/>
        <w:adjustRightInd w:val="0"/>
        <w:jc w:val="both"/>
        <w:rPr>
          <w:lang w:val="en-GB"/>
        </w:rPr>
      </w:pPr>
      <w:r w:rsidRPr="00095284">
        <w:rPr>
          <w:lang w:val="en-GB"/>
        </w:rPr>
        <w:t>[29]</w:t>
      </w:r>
      <w:r w:rsidRPr="00095284">
        <w:rPr>
          <w:lang w:val="en-GB"/>
        </w:rPr>
        <w:tab/>
      </w:r>
      <w:r w:rsidR="00B5793A" w:rsidRPr="00A171D8">
        <w:rPr>
          <w:lang w:val="en-GB"/>
        </w:rPr>
        <w:t>In the present circumstances, there is limited intrusion into the exclusive terrain of another branch of government</w:t>
      </w:r>
      <w:r w:rsidR="009E6868" w:rsidRPr="00A171D8">
        <w:rPr>
          <w:lang w:val="en-GB"/>
        </w:rPr>
        <w:t>, and correspondingly little cause for concern as to ‘separation of powers harm’.</w:t>
      </w:r>
      <w:r w:rsidR="00693329">
        <w:rPr>
          <w:rStyle w:val="FootnoteReference"/>
          <w:lang w:val="en-GB"/>
        </w:rPr>
        <w:footnoteReference w:id="19"/>
      </w:r>
      <w:r w:rsidR="00172E18" w:rsidRPr="00A171D8">
        <w:rPr>
          <w:lang w:val="en-GB"/>
        </w:rPr>
        <w:t xml:space="preserve"> The court is not required to intrude into a ‘policy laden and polycentric decision of the executive, as was the case in </w:t>
      </w:r>
      <w:r w:rsidR="003F7A40" w:rsidRPr="00A171D8">
        <w:rPr>
          <w:i/>
          <w:iCs/>
          <w:lang w:val="en-GB"/>
        </w:rPr>
        <w:t>National Treasury</w:t>
      </w:r>
      <w:r w:rsidR="00172E18" w:rsidRPr="00A171D8">
        <w:rPr>
          <w:lang w:val="en-GB"/>
        </w:rPr>
        <w:t>.</w:t>
      </w:r>
      <w:r w:rsidR="00172E18">
        <w:rPr>
          <w:rStyle w:val="FootnoteReference"/>
          <w:lang w:val="en-GB"/>
        </w:rPr>
        <w:footnoteReference w:id="20"/>
      </w:r>
      <w:r w:rsidR="000B6342" w:rsidRPr="00A171D8">
        <w:rPr>
          <w:lang w:val="en-GB"/>
        </w:rPr>
        <w:t xml:space="preserve"> In any event, the fact that the harm grounding the interim interdict sought amounts to a breach of a fundamental right to just administrative action </w:t>
      </w:r>
      <w:r w:rsidR="00F94340" w:rsidRPr="00A171D8">
        <w:rPr>
          <w:lang w:val="en-GB"/>
        </w:rPr>
        <w:t>‘tempers the impact of what may otherwise be too stringent a test’.</w:t>
      </w:r>
      <w:r w:rsidR="009A71B8">
        <w:rPr>
          <w:rStyle w:val="FootnoteReference"/>
          <w:lang w:val="en-GB"/>
        </w:rPr>
        <w:footnoteReference w:id="21"/>
      </w:r>
      <w:r w:rsidR="00876853" w:rsidRPr="00A171D8">
        <w:rPr>
          <w:lang w:val="en-GB"/>
        </w:rPr>
        <w:t xml:space="preserve"> Furthermore, </w:t>
      </w:r>
      <w:r w:rsidR="00834DDC" w:rsidRPr="00A171D8">
        <w:rPr>
          <w:lang w:val="en-GB"/>
        </w:rPr>
        <w:t xml:space="preserve">the exercise </w:t>
      </w:r>
      <w:r w:rsidR="002A5891" w:rsidRPr="00A171D8">
        <w:rPr>
          <w:lang w:val="en-GB"/>
        </w:rPr>
        <w:t>of the Department’s powers in respect of tender awards</w:t>
      </w:r>
      <w:r w:rsidR="00572670" w:rsidRPr="00A171D8">
        <w:rPr>
          <w:lang w:val="en-GB"/>
        </w:rPr>
        <w:t xml:space="preserve"> in general is not rendered ineffective should this particular tender be interdicted </w:t>
      </w:r>
      <w:r w:rsidR="00514F39" w:rsidRPr="00A171D8">
        <w:rPr>
          <w:lang w:val="en-GB"/>
        </w:rPr>
        <w:t>on an interim basis</w:t>
      </w:r>
      <w:r w:rsidR="00572670" w:rsidRPr="00A171D8">
        <w:rPr>
          <w:lang w:val="en-GB"/>
        </w:rPr>
        <w:t>.</w:t>
      </w:r>
      <w:r w:rsidR="005259D4" w:rsidRPr="00A171D8">
        <w:rPr>
          <w:lang w:val="en-GB"/>
        </w:rPr>
        <w:t xml:space="preserve"> The Department has already performed </w:t>
      </w:r>
      <w:r w:rsidR="00020460" w:rsidRPr="00A171D8">
        <w:rPr>
          <w:lang w:val="en-GB"/>
        </w:rPr>
        <w:t xml:space="preserve">an important component of </w:t>
      </w:r>
      <w:r w:rsidR="005259D4" w:rsidRPr="00A171D8">
        <w:rPr>
          <w:lang w:val="en-GB"/>
        </w:rPr>
        <w:t>its duties and functions</w:t>
      </w:r>
      <w:r w:rsidR="00A37944" w:rsidRPr="00A171D8">
        <w:rPr>
          <w:lang w:val="en-GB"/>
        </w:rPr>
        <w:t xml:space="preserve"> </w:t>
      </w:r>
      <w:r w:rsidR="00020460" w:rsidRPr="00A171D8">
        <w:rPr>
          <w:lang w:val="en-GB"/>
        </w:rPr>
        <w:t xml:space="preserve">in respect of this tender </w:t>
      </w:r>
      <w:r w:rsidR="00A37944" w:rsidRPr="00A171D8">
        <w:rPr>
          <w:lang w:val="en-GB"/>
        </w:rPr>
        <w:t>and granting the interim interdict would not have the effect of subverting its powers.</w:t>
      </w:r>
      <w:r w:rsidR="00D800E9" w:rsidRPr="00A171D8">
        <w:rPr>
          <w:lang w:val="en-GB"/>
        </w:rPr>
        <w:t xml:space="preserve"> The balance of convenience favours Zen JV in circumstances where the tender was awarded only recently and </w:t>
      </w:r>
      <w:r w:rsidR="00A7523B" w:rsidRPr="00A171D8">
        <w:rPr>
          <w:lang w:val="en-GB"/>
        </w:rPr>
        <w:t xml:space="preserve">the formalisation of the contract is only to occur on or about </w:t>
      </w:r>
      <w:r w:rsidR="00A7523B" w:rsidRPr="00A171D8">
        <w:rPr>
          <w:lang w:val="en-GB"/>
        </w:rPr>
        <w:lastRenderedPageBreak/>
        <w:t>15 January 2024</w:t>
      </w:r>
      <w:r w:rsidR="001B18EF" w:rsidRPr="00A171D8">
        <w:rPr>
          <w:lang w:val="en-GB"/>
        </w:rPr>
        <w:t>. The tender is for a period of 36 months.</w:t>
      </w:r>
      <w:r w:rsidR="007009E6" w:rsidRPr="00A171D8">
        <w:rPr>
          <w:lang w:val="en-GB"/>
        </w:rPr>
        <w:t xml:space="preserve"> The prejudice to Zen JV in the event that the implementation of the tender is not interdicted at this stage, considering the circumstances, outweighs any prejudice to the Department.</w:t>
      </w:r>
    </w:p>
    <w:p w14:paraId="6F7A8D8B" w14:textId="272382BD" w:rsidR="00C40B81" w:rsidRDefault="00C40B81" w:rsidP="005D1FFF">
      <w:pPr>
        <w:pStyle w:val="ListParagraph"/>
        <w:autoSpaceDE w:val="0"/>
        <w:autoSpaceDN w:val="0"/>
        <w:adjustRightInd w:val="0"/>
        <w:ind w:left="0"/>
        <w:jc w:val="both"/>
        <w:rPr>
          <w:rFonts w:cstheme="minorHAnsi"/>
          <w:sz w:val="22"/>
          <w:szCs w:val="22"/>
          <w:lang w:val="en-US"/>
        </w:rPr>
      </w:pPr>
    </w:p>
    <w:p w14:paraId="185B61B5" w14:textId="4683D5AC" w:rsidR="00CE5402" w:rsidRPr="00E503DF" w:rsidRDefault="00CE5402" w:rsidP="005D1FFF">
      <w:pPr>
        <w:pStyle w:val="ListParagraph"/>
        <w:autoSpaceDE w:val="0"/>
        <w:autoSpaceDN w:val="0"/>
        <w:adjustRightInd w:val="0"/>
        <w:ind w:left="0"/>
        <w:jc w:val="both"/>
        <w:rPr>
          <w:rFonts w:cstheme="minorHAnsi"/>
          <w:b/>
          <w:bCs/>
          <w:lang w:val="en-US"/>
        </w:rPr>
      </w:pPr>
      <w:r w:rsidRPr="00E503DF">
        <w:rPr>
          <w:rFonts w:cstheme="minorHAnsi"/>
          <w:b/>
          <w:bCs/>
          <w:lang w:val="en-US"/>
        </w:rPr>
        <w:t>Conclusion</w:t>
      </w:r>
    </w:p>
    <w:p w14:paraId="4AA90E5C" w14:textId="77777777" w:rsidR="00CE5402" w:rsidRPr="00CE5402" w:rsidRDefault="00CE5402" w:rsidP="005D1FFF">
      <w:pPr>
        <w:pStyle w:val="ListParagraph"/>
        <w:autoSpaceDE w:val="0"/>
        <w:autoSpaceDN w:val="0"/>
        <w:adjustRightInd w:val="0"/>
        <w:ind w:left="0"/>
        <w:jc w:val="both"/>
        <w:rPr>
          <w:rFonts w:cstheme="minorHAnsi"/>
          <w:b/>
          <w:bCs/>
          <w:sz w:val="22"/>
          <w:szCs w:val="22"/>
          <w:lang w:val="en-US"/>
        </w:rPr>
      </w:pPr>
    </w:p>
    <w:p w14:paraId="5E69C528" w14:textId="210600E9" w:rsidR="007E66F8" w:rsidRPr="00A171D8" w:rsidRDefault="00A171D8" w:rsidP="00A171D8">
      <w:pPr>
        <w:autoSpaceDE w:val="0"/>
        <w:autoSpaceDN w:val="0"/>
        <w:adjustRightInd w:val="0"/>
        <w:jc w:val="both"/>
        <w:rPr>
          <w:lang w:val="en-GB"/>
        </w:rPr>
      </w:pPr>
      <w:r>
        <w:rPr>
          <w:lang w:val="en-GB"/>
        </w:rPr>
        <w:t>[30]</w:t>
      </w:r>
      <w:r>
        <w:rPr>
          <w:lang w:val="en-GB"/>
        </w:rPr>
        <w:tab/>
      </w:r>
      <w:r w:rsidR="00063781" w:rsidRPr="00A171D8">
        <w:rPr>
          <w:lang w:val="en-GB"/>
        </w:rPr>
        <w:t>Considering the affidavits as a whole, the requirements for an interim interdict have been met.</w:t>
      </w:r>
      <w:r w:rsidR="004F49DE">
        <w:rPr>
          <w:rStyle w:val="FootnoteReference"/>
          <w:lang w:val="en-GB"/>
        </w:rPr>
        <w:footnoteReference w:id="22"/>
      </w:r>
      <w:r w:rsidR="00063781" w:rsidRPr="00A171D8">
        <w:rPr>
          <w:lang w:val="en-GB"/>
        </w:rPr>
        <w:t xml:space="preserve"> </w:t>
      </w:r>
      <w:r w:rsidR="009A5987" w:rsidRPr="00A171D8">
        <w:rPr>
          <w:lang w:val="en-GB"/>
        </w:rPr>
        <w:t xml:space="preserve">It is appropriate in those circumstances for the court to exercise its discretion and grant the interim relief sought. </w:t>
      </w:r>
      <w:r w:rsidR="00B76440" w:rsidRPr="00A171D8">
        <w:rPr>
          <w:lang w:val="en-GB"/>
        </w:rPr>
        <w:t xml:space="preserve">The public interest in </w:t>
      </w:r>
      <w:r w:rsidR="007701A5" w:rsidRPr="00A171D8">
        <w:rPr>
          <w:lang w:val="en-GB"/>
        </w:rPr>
        <w:t xml:space="preserve">ensuring </w:t>
      </w:r>
      <w:r w:rsidR="00B76440" w:rsidRPr="00A171D8">
        <w:rPr>
          <w:lang w:val="en-GB"/>
        </w:rPr>
        <w:t xml:space="preserve">cost-effective tender awards, and the </w:t>
      </w:r>
      <w:r w:rsidR="00AF718D" w:rsidRPr="00A171D8">
        <w:rPr>
          <w:lang w:val="en-GB"/>
        </w:rPr>
        <w:t>scrupulous</w:t>
      </w:r>
      <w:r w:rsidR="00B76440" w:rsidRPr="00A171D8">
        <w:rPr>
          <w:lang w:val="en-GB"/>
        </w:rPr>
        <w:t xml:space="preserve"> utilisation of public resources,</w:t>
      </w:r>
      <w:r w:rsidR="007D0429" w:rsidRPr="00A171D8">
        <w:rPr>
          <w:lang w:val="en-GB"/>
        </w:rPr>
        <w:t xml:space="preserve"> as required by the Constitution,</w:t>
      </w:r>
      <w:r w:rsidR="00B76440" w:rsidRPr="00A171D8">
        <w:rPr>
          <w:lang w:val="en-GB"/>
        </w:rPr>
        <w:t xml:space="preserve"> forms part of this decision. </w:t>
      </w:r>
      <w:r w:rsidR="007E66F8" w:rsidRPr="00A171D8">
        <w:rPr>
          <w:lang w:val="en-GB"/>
        </w:rPr>
        <w:t>It goes without saying</w:t>
      </w:r>
      <w:r w:rsidR="007D6E3A" w:rsidRPr="00A171D8">
        <w:rPr>
          <w:lang w:val="en-GB"/>
        </w:rPr>
        <w:t xml:space="preserve"> </w:t>
      </w:r>
      <w:r w:rsidR="007E66F8" w:rsidRPr="00A171D8">
        <w:rPr>
          <w:lang w:val="en-GB"/>
        </w:rPr>
        <w:t>that the grant of an interim interdict does not, and should not, affect the review court’s decision when making its final decision and should not have an effect on the determination of the rights in the main application.</w:t>
      </w:r>
      <w:r w:rsidR="007D6E3A">
        <w:rPr>
          <w:rStyle w:val="FootnoteReference"/>
          <w:lang w:val="en-GB"/>
        </w:rPr>
        <w:footnoteReference w:id="23"/>
      </w:r>
      <w:r w:rsidR="007E66F8" w:rsidRPr="00A171D8">
        <w:rPr>
          <w:lang w:val="en-GB"/>
        </w:rPr>
        <w:t xml:space="preserve"> </w:t>
      </w:r>
    </w:p>
    <w:p w14:paraId="19D9F180" w14:textId="77777777" w:rsidR="00E503DF" w:rsidRDefault="00E503DF" w:rsidP="00E503DF">
      <w:pPr>
        <w:pStyle w:val="ListParagraph"/>
        <w:autoSpaceDE w:val="0"/>
        <w:autoSpaceDN w:val="0"/>
        <w:adjustRightInd w:val="0"/>
        <w:ind w:left="0"/>
        <w:jc w:val="both"/>
        <w:rPr>
          <w:lang w:val="en-GB"/>
        </w:rPr>
      </w:pPr>
    </w:p>
    <w:p w14:paraId="229113AC" w14:textId="63449D34" w:rsidR="00E503DF" w:rsidRPr="00A171D8" w:rsidRDefault="00A171D8" w:rsidP="00A171D8">
      <w:pPr>
        <w:autoSpaceDE w:val="0"/>
        <w:autoSpaceDN w:val="0"/>
        <w:adjustRightInd w:val="0"/>
        <w:jc w:val="both"/>
        <w:rPr>
          <w:lang w:val="en-GB"/>
        </w:rPr>
      </w:pPr>
      <w:r>
        <w:rPr>
          <w:lang w:val="en-GB"/>
        </w:rPr>
        <w:t>[31]</w:t>
      </w:r>
      <w:r>
        <w:rPr>
          <w:lang w:val="en-GB"/>
        </w:rPr>
        <w:tab/>
      </w:r>
      <w:r w:rsidR="00040470" w:rsidRPr="00A171D8">
        <w:rPr>
          <w:lang w:val="en-GB"/>
        </w:rPr>
        <w:t xml:space="preserve">It follows that Zen JV is entitled to the costs of this application. </w:t>
      </w:r>
      <w:r w:rsidR="00A20200" w:rsidRPr="00A171D8">
        <w:rPr>
          <w:lang w:val="en-GB"/>
        </w:rPr>
        <w:t>I have considered the large amounts involved in the tender</w:t>
      </w:r>
      <w:r w:rsidR="003947EA" w:rsidRPr="00A171D8">
        <w:rPr>
          <w:lang w:val="en-GB"/>
        </w:rPr>
        <w:t>, and the extent of the papers</w:t>
      </w:r>
      <w:r w:rsidR="00F203B8" w:rsidRPr="00A171D8">
        <w:rPr>
          <w:lang w:val="en-GB"/>
        </w:rPr>
        <w:t xml:space="preserve"> in deciding whether to allow the costs of two counsel</w:t>
      </w:r>
      <w:r w:rsidR="00A20200" w:rsidRPr="00A171D8">
        <w:rPr>
          <w:lang w:val="en-GB"/>
        </w:rPr>
        <w:t>. The legal issues involved in the matter</w:t>
      </w:r>
      <w:r w:rsidR="0049477C" w:rsidRPr="00A171D8">
        <w:rPr>
          <w:lang w:val="en-GB"/>
        </w:rPr>
        <w:t>, although not without a level of complexity,</w:t>
      </w:r>
      <w:r w:rsidR="00A20200" w:rsidRPr="00A171D8">
        <w:rPr>
          <w:lang w:val="en-GB"/>
        </w:rPr>
        <w:t xml:space="preserve"> are typical of interim interdict applications involving a challenge to the award of a tender by an organ of state.</w:t>
      </w:r>
      <w:r w:rsidR="007E739F" w:rsidRPr="00A171D8">
        <w:rPr>
          <w:lang w:val="en-GB"/>
        </w:rPr>
        <w:t xml:space="preserve"> At the end of the day, the issues in dispute were narrow</w:t>
      </w:r>
      <w:r w:rsidR="006F6701" w:rsidRPr="00A171D8">
        <w:rPr>
          <w:lang w:val="en-GB"/>
        </w:rPr>
        <w:t xml:space="preserve"> and the arguments advanced suitably brief. I</w:t>
      </w:r>
      <w:r w:rsidR="007E739F" w:rsidRPr="00A171D8">
        <w:rPr>
          <w:lang w:val="en-GB"/>
        </w:rPr>
        <w:t xml:space="preserve">n my assessment, it cannot be said that the retention of two counsel </w:t>
      </w:r>
      <w:r w:rsidR="003F0619" w:rsidRPr="00A171D8">
        <w:rPr>
          <w:lang w:val="en-GB"/>
        </w:rPr>
        <w:t xml:space="preserve">was a </w:t>
      </w:r>
      <w:r w:rsidR="00F97B35" w:rsidRPr="00A171D8">
        <w:rPr>
          <w:lang w:val="en-GB"/>
        </w:rPr>
        <w:t>‘</w:t>
      </w:r>
      <w:r w:rsidR="003F0619" w:rsidRPr="00A171D8">
        <w:rPr>
          <w:lang w:val="en-GB"/>
        </w:rPr>
        <w:t>wise and reasonable precaution</w:t>
      </w:r>
      <w:r w:rsidR="00F97B35" w:rsidRPr="00A171D8">
        <w:rPr>
          <w:lang w:val="en-GB"/>
        </w:rPr>
        <w:t>’ so as to justify the costs of two counsel</w:t>
      </w:r>
      <w:r w:rsidR="003F0619" w:rsidRPr="00A171D8">
        <w:rPr>
          <w:lang w:val="en-GB"/>
        </w:rPr>
        <w:t>.</w:t>
      </w:r>
      <w:r w:rsidR="00A20200" w:rsidRPr="00A171D8">
        <w:rPr>
          <w:lang w:val="en-GB"/>
        </w:rPr>
        <w:t xml:space="preserve"> </w:t>
      </w:r>
    </w:p>
    <w:p w14:paraId="1B14AD72" w14:textId="55052BE9" w:rsidR="00B119FD" w:rsidRPr="00F56D1C" w:rsidRDefault="007E66F8" w:rsidP="00F56D1C">
      <w:pPr>
        <w:pStyle w:val="ListParagraph"/>
        <w:autoSpaceDE w:val="0"/>
        <w:autoSpaceDN w:val="0"/>
        <w:adjustRightInd w:val="0"/>
        <w:ind w:left="0"/>
        <w:jc w:val="both"/>
        <w:rPr>
          <w:lang w:val="en-GB"/>
        </w:rPr>
      </w:pPr>
      <w:r w:rsidRPr="00FB57C4">
        <w:rPr>
          <w:lang w:val="en-GB"/>
        </w:rPr>
        <w:t xml:space="preserve"> </w:t>
      </w:r>
    </w:p>
    <w:p w14:paraId="33E1DE41" w14:textId="5221B864" w:rsidR="00B119FD" w:rsidRPr="00E503DF" w:rsidRDefault="00E503DF" w:rsidP="00B119FD">
      <w:pPr>
        <w:jc w:val="both"/>
        <w:rPr>
          <w:rFonts w:cstheme="minorHAnsi"/>
          <w:b/>
          <w:bCs/>
          <w:lang w:val="en-US"/>
        </w:rPr>
      </w:pPr>
      <w:r>
        <w:rPr>
          <w:rFonts w:cstheme="minorHAnsi"/>
          <w:b/>
          <w:bCs/>
          <w:lang w:val="en-US"/>
        </w:rPr>
        <w:t>Order</w:t>
      </w:r>
    </w:p>
    <w:p w14:paraId="33635C8E" w14:textId="77777777" w:rsidR="00E503DF" w:rsidRPr="0099417C" w:rsidRDefault="00E503DF" w:rsidP="00B119FD">
      <w:pPr>
        <w:jc w:val="both"/>
        <w:rPr>
          <w:rFonts w:cstheme="minorHAnsi"/>
          <w:b/>
          <w:bCs/>
          <w:u w:val="single"/>
          <w:lang w:val="en-US"/>
        </w:rPr>
      </w:pPr>
    </w:p>
    <w:p w14:paraId="075FD6B1" w14:textId="1618E468" w:rsidR="00B119FD" w:rsidRPr="00A171D8" w:rsidRDefault="00A171D8" w:rsidP="00A171D8">
      <w:pPr>
        <w:autoSpaceDE w:val="0"/>
        <w:autoSpaceDN w:val="0"/>
        <w:adjustRightInd w:val="0"/>
        <w:jc w:val="both"/>
        <w:rPr>
          <w:lang w:val="en-GB"/>
        </w:rPr>
      </w:pPr>
      <w:r>
        <w:rPr>
          <w:lang w:val="en-GB"/>
        </w:rPr>
        <w:t>[32]</w:t>
      </w:r>
      <w:r>
        <w:rPr>
          <w:lang w:val="en-GB"/>
        </w:rPr>
        <w:tab/>
      </w:r>
      <w:r w:rsidR="00E503DF" w:rsidRPr="00A171D8">
        <w:rPr>
          <w:lang w:val="en-GB"/>
        </w:rPr>
        <w:t>The following order is issued:</w:t>
      </w:r>
    </w:p>
    <w:p w14:paraId="0F452B0B" w14:textId="6B9103A2" w:rsidR="00E503DF" w:rsidRDefault="00E503DF" w:rsidP="00E503DF">
      <w:pPr>
        <w:pStyle w:val="ListParagraph"/>
        <w:autoSpaceDE w:val="0"/>
        <w:autoSpaceDN w:val="0"/>
        <w:adjustRightInd w:val="0"/>
        <w:ind w:left="0"/>
        <w:jc w:val="both"/>
        <w:rPr>
          <w:lang w:val="en-GB"/>
        </w:rPr>
      </w:pPr>
    </w:p>
    <w:p w14:paraId="3545585C" w14:textId="70634875" w:rsidR="00E503DF" w:rsidRPr="00A171D8" w:rsidRDefault="00A171D8" w:rsidP="00A171D8">
      <w:pPr>
        <w:autoSpaceDE w:val="0"/>
        <w:autoSpaceDN w:val="0"/>
        <w:adjustRightInd w:val="0"/>
        <w:ind w:left="720" w:hanging="360"/>
        <w:jc w:val="both"/>
        <w:rPr>
          <w:lang w:val="en-GB"/>
        </w:rPr>
      </w:pPr>
      <w:r>
        <w:rPr>
          <w:lang w:val="en-GB"/>
        </w:rPr>
        <w:t>1.</w:t>
      </w:r>
      <w:r>
        <w:rPr>
          <w:lang w:val="en-GB"/>
        </w:rPr>
        <w:tab/>
      </w:r>
      <w:r w:rsidR="00E503DF" w:rsidRPr="00A171D8">
        <w:rPr>
          <w:lang w:val="en-GB"/>
        </w:rPr>
        <w:t>The court dispenses with the forms and service provided for in the Uniform Rules given the urgency of the matter.</w:t>
      </w:r>
    </w:p>
    <w:p w14:paraId="42936DFF" w14:textId="77777777" w:rsidR="00353165" w:rsidRDefault="00353165" w:rsidP="00353165">
      <w:pPr>
        <w:pStyle w:val="ListParagraph"/>
        <w:autoSpaceDE w:val="0"/>
        <w:autoSpaceDN w:val="0"/>
        <w:adjustRightInd w:val="0"/>
        <w:jc w:val="both"/>
        <w:rPr>
          <w:lang w:val="en-GB"/>
        </w:rPr>
      </w:pPr>
    </w:p>
    <w:p w14:paraId="31F90362" w14:textId="7DEB3A1A" w:rsidR="00E503DF" w:rsidRPr="00A171D8" w:rsidRDefault="00A171D8" w:rsidP="00A171D8">
      <w:pPr>
        <w:autoSpaceDE w:val="0"/>
        <w:autoSpaceDN w:val="0"/>
        <w:adjustRightInd w:val="0"/>
        <w:ind w:left="720" w:hanging="360"/>
        <w:jc w:val="both"/>
        <w:rPr>
          <w:lang w:val="en-GB"/>
        </w:rPr>
      </w:pPr>
      <w:r>
        <w:rPr>
          <w:lang w:val="en-GB"/>
        </w:rPr>
        <w:lastRenderedPageBreak/>
        <w:t>2.</w:t>
      </w:r>
      <w:r>
        <w:rPr>
          <w:lang w:val="en-GB"/>
        </w:rPr>
        <w:tab/>
      </w:r>
      <w:r w:rsidR="00E503DF" w:rsidRPr="00A171D8">
        <w:rPr>
          <w:lang w:val="en-GB"/>
        </w:rPr>
        <w:t xml:space="preserve">Pending the finalisation of the review of the First Respondent’s decisions relating to the tender for the appointment civil engineering contractor for the upgrading of road DR08034 from N2 to R61 via </w:t>
      </w:r>
      <w:proofErr w:type="spellStart"/>
      <w:r w:rsidR="00E503DF" w:rsidRPr="00A171D8">
        <w:rPr>
          <w:lang w:val="en-GB"/>
        </w:rPr>
        <w:t>Clarkebury</w:t>
      </w:r>
      <w:proofErr w:type="spellEnd"/>
      <w:r w:rsidR="00E503DF" w:rsidRPr="00A171D8">
        <w:rPr>
          <w:lang w:val="en-GB"/>
        </w:rPr>
        <w:t xml:space="preserve"> (20km) Phase 1, under tender number SCMU10-23/24-0001 (‘the Tender’)</w:t>
      </w:r>
      <w:r w:rsidR="00353165" w:rsidRPr="00A171D8">
        <w:rPr>
          <w:lang w:val="en-GB"/>
        </w:rPr>
        <w:t>.</w:t>
      </w:r>
    </w:p>
    <w:p w14:paraId="73102B65" w14:textId="129221D6" w:rsidR="00F33BDE" w:rsidRDefault="00F33BDE" w:rsidP="00F33BDE">
      <w:pPr>
        <w:pStyle w:val="ListParagraph"/>
        <w:jc w:val="both"/>
        <w:rPr>
          <w:lang w:val="en-GB"/>
        </w:rPr>
      </w:pPr>
    </w:p>
    <w:p w14:paraId="0B28DA46" w14:textId="72A29AB0" w:rsidR="00F33BDE" w:rsidRPr="00A171D8" w:rsidRDefault="00A171D8" w:rsidP="00A171D8">
      <w:pPr>
        <w:ind w:left="1440" w:hanging="720"/>
        <w:jc w:val="both"/>
        <w:rPr>
          <w:lang w:val="en-GB"/>
        </w:rPr>
      </w:pPr>
      <w:r>
        <w:rPr>
          <w:lang w:val="en-GB"/>
        </w:rPr>
        <w:t>2.1.</w:t>
      </w:r>
      <w:r>
        <w:rPr>
          <w:lang w:val="en-GB"/>
        </w:rPr>
        <w:tab/>
      </w:r>
      <w:r w:rsidR="00F33BDE" w:rsidRPr="00A171D8">
        <w:rPr>
          <w:lang w:val="en-GB"/>
        </w:rPr>
        <w:t>The First Respondent is interdicted and restrained from, in any way, further implementing its decision to award the Tender to the Third Respondent.</w:t>
      </w:r>
    </w:p>
    <w:p w14:paraId="5C0FB760" w14:textId="01DBE488" w:rsidR="00F33BDE" w:rsidRPr="00A171D8" w:rsidRDefault="00A171D8" w:rsidP="00A171D8">
      <w:pPr>
        <w:ind w:left="1440" w:hanging="720"/>
        <w:jc w:val="both"/>
        <w:rPr>
          <w:lang w:val="en-GB"/>
        </w:rPr>
      </w:pPr>
      <w:r>
        <w:rPr>
          <w:lang w:val="en-GB"/>
        </w:rPr>
        <w:t>2.2.</w:t>
      </w:r>
      <w:r>
        <w:rPr>
          <w:lang w:val="en-GB"/>
        </w:rPr>
        <w:tab/>
      </w:r>
      <w:r w:rsidR="00F33BDE" w:rsidRPr="00A171D8">
        <w:rPr>
          <w:lang w:val="en-GB"/>
        </w:rPr>
        <w:t>The First Respondent is interdicted from entering into any agreements relating to, or associated with, the award of the Tender to the Third Respondent.</w:t>
      </w:r>
    </w:p>
    <w:p w14:paraId="0E572D47" w14:textId="09231982" w:rsidR="00F33BDE" w:rsidRPr="00A171D8" w:rsidRDefault="00A171D8" w:rsidP="00A171D8">
      <w:pPr>
        <w:ind w:left="1440" w:hanging="720"/>
        <w:jc w:val="both"/>
        <w:rPr>
          <w:lang w:val="en-GB"/>
        </w:rPr>
      </w:pPr>
      <w:r>
        <w:rPr>
          <w:lang w:val="en-GB"/>
        </w:rPr>
        <w:t>2.3.</w:t>
      </w:r>
      <w:r>
        <w:rPr>
          <w:lang w:val="en-GB"/>
        </w:rPr>
        <w:tab/>
      </w:r>
      <w:r w:rsidR="00F33BDE" w:rsidRPr="00A171D8">
        <w:rPr>
          <w:lang w:val="en-GB"/>
        </w:rPr>
        <w:t>Should the First Respondent have entered into any agreements relating to, or associated with, the award of the Tender</w:t>
      </w:r>
      <w:r w:rsidR="00665EF5" w:rsidRPr="00A171D8">
        <w:rPr>
          <w:lang w:val="en-GB"/>
        </w:rPr>
        <w:t xml:space="preserve"> to the Third Respondent, the First Respondent is interdicted and restrained from implementing the terms of such agreements.</w:t>
      </w:r>
    </w:p>
    <w:p w14:paraId="221505EA" w14:textId="77777777" w:rsidR="00665EF5" w:rsidRPr="00F33BDE" w:rsidRDefault="00665EF5" w:rsidP="00665EF5">
      <w:pPr>
        <w:pStyle w:val="ListParagraph"/>
        <w:ind w:left="1440"/>
        <w:jc w:val="both"/>
        <w:rPr>
          <w:lang w:val="en-GB"/>
        </w:rPr>
      </w:pPr>
    </w:p>
    <w:p w14:paraId="1FD615D4" w14:textId="566E68CB" w:rsidR="00F33BDE" w:rsidRPr="00A171D8" w:rsidRDefault="00A171D8" w:rsidP="00A171D8">
      <w:pPr>
        <w:autoSpaceDE w:val="0"/>
        <w:autoSpaceDN w:val="0"/>
        <w:adjustRightInd w:val="0"/>
        <w:ind w:left="720" w:hanging="360"/>
        <w:jc w:val="both"/>
        <w:rPr>
          <w:lang w:val="en-GB"/>
        </w:rPr>
      </w:pPr>
      <w:r>
        <w:rPr>
          <w:lang w:val="en-GB"/>
        </w:rPr>
        <w:t>3.</w:t>
      </w:r>
      <w:r>
        <w:rPr>
          <w:lang w:val="en-GB"/>
        </w:rPr>
        <w:tab/>
      </w:r>
      <w:r w:rsidR="00B8781F" w:rsidRPr="00A171D8">
        <w:rPr>
          <w:lang w:val="en-GB"/>
        </w:rPr>
        <w:t>T</w:t>
      </w:r>
      <w:r w:rsidR="00665EF5" w:rsidRPr="00A171D8">
        <w:rPr>
          <w:lang w:val="en-GB"/>
        </w:rPr>
        <w:t>he orders contained in paragraph 2 above shall serve as an interim interdict, pending the finalisation of the review in Part B.</w:t>
      </w:r>
    </w:p>
    <w:p w14:paraId="6A8872D6" w14:textId="77777777" w:rsidR="00665EF5" w:rsidRDefault="00665EF5" w:rsidP="00665EF5">
      <w:pPr>
        <w:pStyle w:val="ListParagraph"/>
        <w:autoSpaceDE w:val="0"/>
        <w:autoSpaceDN w:val="0"/>
        <w:adjustRightInd w:val="0"/>
        <w:jc w:val="both"/>
        <w:rPr>
          <w:lang w:val="en-GB"/>
        </w:rPr>
      </w:pPr>
    </w:p>
    <w:p w14:paraId="109CF16A" w14:textId="51AF252A" w:rsidR="00665EF5" w:rsidRPr="00A171D8" w:rsidRDefault="00A171D8" w:rsidP="00A171D8">
      <w:pPr>
        <w:autoSpaceDE w:val="0"/>
        <w:autoSpaceDN w:val="0"/>
        <w:adjustRightInd w:val="0"/>
        <w:ind w:left="720" w:hanging="360"/>
        <w:jc w:val="both"/>
        <w:rPr>
          <w:lang w:val="en-GB"/>
        </w:rPr>
      </w:pPr>
      <w:r>
        <w:rPr>
          <w:lang w:val="en-GB"/>
        </w:rPr>
        <w:t>4.</w:t>
      </w:r>
      <w:r>
        <w:rPr>
          <w:lang w:val="en-GB"/>
        </w:rPr>
        <w:tab/>
      </w:r>
      <w:r w:rsidR="00665EF5" w:rsidRPr="00A171D8">
        <w:rPr>
          <w:lang w:val="en-GB"/>
        </w:rPr>
        <w:t>The First Respondent is to pay the costs of the application.</w:t>
      </w:r>
    </w:p>
    <w:p w14:paraId="4974E93F" w14:textId="77777777" w:rsidR="00C8111D" w:rsidRPr="00C8111D" w:rsidRDefault="00C8111D" w:rsidP="00C8111D">
      <w:pPr>
        <w:pStyle w:val="ListParagraph"/>
        <w:rPr>
          <w:lang w:val="en-GB"/>
        </w:rPr>
      </w:pPr>
    </w:p>
    <w:p w14:paraId="1517B484" w14:textId="77777777" w:rsidR="00C8111D" w:rsidRDefault="00C8111D" w:rsidP="00C8111D">
      <w:pPr>
        <w:pStyle w:val="ListParagraph"/>
        <w:autoSpaceDE w:val="0"/>
        <w:autoSpaceDN w:val="0"/>
        <w:adjustRightInd w:val="0"/>
        <w:ind w:left="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Default="00D450B5" w:rsidP="00CA056D">
      <w:pPr>
        <w:jc w:val="both"/>
        <w:rPr>
          <w:b/>
          <w:bCs/>
          <w:lang w:val="en-GB"/>
        </w:rPr>
      </w:pPr>
      <w:r w:rsidRPr="00044B50">
        <w:rPr>
          <w:b/>
          <w:bCs/>
          <w:lang w:val="en-GB"/>
        </w:rPr>
        <w:t>JUDGE OF THE HIGH COURT</w:t>
      </w:r>
    </w:p>
    <w:p w14:paraId="66B4BCC4" w14:textId="77777777" w:rsidR="00F01483" w:rsidRDefault="00F01483" w:rsidP="00CA056D">
      <w:pPr>
        <w:jc w:val="both"/>
        <w:rPr>
          <w:b/>
          <w:bCs/>
          <w:lang w:val="en-GB"/>
        </w:rPr>
      </w:pPr>
    </w:p>
    <w:p w14:paraId="6B5C0E06" w14:textId="77777777" w:rsidR="00F01483" w:rsidRDefault="00F01483" w:rsidP="00CA056D">
      <w:pPr>
        <w:jc w:val="both"/>
        <w:rPr>
          <w:b/>
          <w:bCs/>
          <w:lang w:val="en-GB"/>
        </w:rPr>
      </w:pPr>
    </w:p>
    <w:p w14:paraId="4E913372" w14:textId="77777777" w:rsidR="008A75F3" w:rsidRDefault="008A75F3" w:rsidP="008A75F3">
      <w:pPr>
        <w:widowControl w:val="0"/>
        <w:jc w:val="center"/>
        <w:rPr>
          <w:spacing w:val="14"/>
          <w:kern w:val="2"/>
          <w:lang w:val="en-GB"/>
        </w:rPr>
      </w:pPr>
    </w:p>
    <w:p w14:paraId="04EEEF0A" w14:textId="1366265C" w:rsidR="007A7BBE" w:rsidRPr="00F01483" w:rsidRDefault="007A7BBE" w:rsidP="00CA056D">
      <w:pPr>
        <w:widowControl w:val="0"/>
        <w:ind w:right="656"/>
        <w:rPr>
          <w:spacing w:val="14"/>
          <w:kern w:val="2"/>
          <w:lang w:val="en-GB"/>
        </w:rPr>
      </w:pPr>
      <w:r w:rsidRPr="00F01483">
        <w:rPr>
          <w:b/>
          <w:bCs/>
          <w:spacing w:val="14"/>
          <w:kern w:val="2"/>
          <w:lang w:val="en-GB"/>
        </w:rPr>
        <w:t>Heard:</w:t>
      </w:r>
      <w:r w:rsidR="00F01483">
        <w:rPr>
          <w:b/>
          <w:bCs/>
          <w:spacing w:val="14"/>
          <w:kern w:val="2"/>
          <w:lang w:val="en-GB"/>
        </w:rPr>
        <w:t xml:space="preserve"> </w:t>
      </w:r>
      <w:r w:rsidR="003D2105" w:rsidRPr="003D2105">
        <w:rPr>
          <w:spacing w:val="14"/>
          <w:kern w:val="2"/>
          <w:lang w:val="en-GB"/>
        </w:rPr>
        <w:t>22 December 2023</w:t>
      </w:r>
    </w:p>
    <w:p w14:paraId="299C01BC" w14:textId="77777777" w:rsidR="00CA056D" w:rsidRDefault="00CA056D" w:rsidP="000D4C7F">
      <w:pPr>
        <w:widowControl w:val="0"/>
        <w:ind w:left="4320" w:right="656" w:firstLine="720"/>
        <w:jc w:val="right"/>
        <w:rPr>
          <w:spacing w:val="14"/>
          <w:kern w:val="2"/>
          <w:lang w:val="en-GB"/>
        </w:rPr>
      </w:pPr>
    </w:p>
    <w:p w14:paraId="5D550954" w14:textId="2E51E429" w:rsidR="007A7BBE" w:rsidRDefault="007A7BBE" w:rsidP="00CA056D">
      <w:pPr>
        <w:widowControl w:val="0"/>
        <w:ind w:right="656"/>
        <w:rPr>
          <w:spacing w:val="14"/>
          <w:kern w:val="2"/>
          <w:lang w:val="en-GB"/>
        </w:rPr>
      </w:pPr>
      <w:r w:rsidRPr="00F01483">
        <w:rPr>
          <w:b/>
          <w:bCs/>
          <w:spacing w:val="14"/>
          <w:kern w:val="2"/>
          <w:lang w:val="en-GB"/>
        </w:rPr>
        <w:t>Delivered:</w:t>
      </w:r>
      <w:r w:rsidR="00F01483">
        <w:rPr>
          <w:b/>
          <w:bCs/>
          <w:spacing w:val="14"/>
          <w:kern w:val="2"/>
          <w:lang w:val="en-GB"/>
        </w:rPr>
        <w:t xml:space="preserve"> </w:t>
      </w:r>
      <w:r w:rsidR="003D2105" w:rsidRPr="003D2105">
        <w:rPr>
          <w:spacing w:val="14"/>
          <w:kern w:val="2"/>
          <w:lang w:val="en-GB"/>
        </w:rPr>
        <w:t>28 December 2023</w:t>
      </w:r>
    </w:p>
    <w:p w14:paraId="294A39F0" w14:textId="77777777" w:rsidR="00F01483" w:rsidRDefault="00F01483" w:rsidP="00CA056D">
      <w:pPr>
        <w:widowControl w:val="0"/>
        <w:ind w:right="656"/>
        <w:rPr>
          <w:spacing w:val="14"/>
          <w:kern w:val="2"/>
          <w:lang w:val="en-GB"/>
        </w:rPr>
      </w:pPr>
    </w:p>
    <w:p w14:paraId="7463034E" w14:textId="77777777" w:rsidR="00F01483" w:rsidRDefault="00F01483" w:rsidP="00CA056D">
      <w:pPr>
        <w:widowControl w:val="0"/>
        <w:ind w:right="656"/>
        <w:rPr>
          <w:spacing w:val="14"/>
          <w:kern w:val="2"/>
          <w:lang w:val="en-GB"/>
        </w:rPr>
      </w:pPr>
    </w:p>
    <w:p w14:paraId="53BDDB6F" w14:textId="77777777" w:rsidR="00F01483" w:rsidRDefault="00F01483" w:rsidP="00CA056D">
      <w:pPr>
        <w:widowControl w:val="0"/>
        <w:ind w:right="656"/>
        <w:rPr>
          <w:b/>
          <w:bCs/>
          <w:spacing w:val="14"/>
          <w:kern w:val="2"/>
          <w:lang w:val="en-GB"/>
        </w:rPr>
      </w:pPr>
    </w:p>
    <w:p w14:paraId="0BAE84DD" w14:textId="79950F93" w:rsidR="007C247A" w:rsidRDefault="007C247A" w:rsidP="00772E4B">
      <w:pPr>
        <w:jc w:val="both"/>
        <w:rPr>
          <w:lang w:val="en-GB"/>
        </w:rPr>
      </w:pPr>
      <w:r w:rsidRPr="00044B50">
        <w:rPr>
          <w:lang w:val="en-GB"/>
        </w:rPr>
        <w:lastRenderedPageBreak/>
        <w:t>Appearances:</w:t>
      </w:r>
    </w:p>
    <w:p w14:paraId="66837056" w14:textId="5B798FD9" w:rsidR="00C33845" w:rsidRDefault="00C33845" w:rsidP="00772E4B">
      <w:pPr>
        <w:jc w:val="both"/>
        <w:rPr>
          <w:lang w:val="en-GB"/>
        </w:rPr>
      </w:pPr>
    </w:p>
    <w:p w14:paraId="1A96B021" w14:textId="463DCE47" w:rsidR="00C33845" w:rsidRDefault="00C33845" w:rsidP="00772E4B">
      <w:pPr>
        <w:jc w:val="both"/>
        <w:rPr>
          <w:lang w:val="en-GB"/>
        </w:rPr>
      </w:pPr>
      <w:r>
        <w:rPr>
          <w:lang w:val="en-GB"/>
        </w:rPr>
        <w:t xml:space="preserve">For </w:t>
      </w:r>
      <w:r w:rsidR="00B97608">
        <w:rPr>
          <w:lang w:val="en-GB"/>
        </w:rPr>
        <w:t>the Applicant</w:t>
      </w:r>
      <w:r>
        <w:rPr>
          <w:lang w:val="en-GB"/>
        </w:rPr>
        <w:t>:</w:t>
      </w:r>
      <w:r>
        <w:rPr>
          <w:lang w:val="en-GB"/>
        </w:rPr>
        <w:tab/>
      </w:r>
      <w:r>
        <w:rPr>
          <w:lang w:val="en-GB"/>
        </w:rPr>
        <w:tab/>
      </w:r>
      <w:r>
        <w:rPr>
          <w:lang w:val="en-GB"/>
        </w:rPr>
        <w:tab/>
      </w:r>
      <w:r>
        <w:rPr>
          <w:lang w:val="en-GB"/>
        </w:rPr>
        <w:tab/>
      </w:r>
      <w:r w:rsidR="003D2105">
        <w:rPr>
          <w:lang w:val="en-GB"/>
        </w:rPr>
        <w:t>Adv D</w:t>
      </w:r>
      <w:r w:rsidR="000536A1">
        <w:rPr>
          <w:lang w:val="en-GB"/>
        </w:rPr>
        <w:t xml:space="preserve"> </w:t>
      </w:r>
      <w:r w:rsidR="003D2105">
        <w:rPr>
          <w:lang w:val="en-GB"/>
        </w:rPr>
        <w:t>H De La Harpe SC &amp; Adv K</w:t>
      </w:r>
      <w:r w:rsidR="00F2377C">
        <w:rPr>
          <w:lang w:val="en-GB"/>
        </w:rPr>
        <w:t xml:space="preserve"> </w:t>
      </w:r>
      <w:r w:rsidR="003D2105">
        <w:rPr>
          <w:lang w:val="en-GB"/>
        </w:rPr>
        <w:t>L Watt</w:t>
      </w:r>
    </w:p>
    <w:p w14:paraId="3A20D0D3" w14:textId="77777777" w:rsidR="003D2105" w:rsidRDefault="00B97608" w:rsidP="00772E4B">
      <w:pPr>
        <w:jc w:val="both"/>
        <w:rPr>
          <w:lang w:val="en-GB"/>
        </w:rPr>
      </w:pPr>
      <w:r>
        <w:rPr>
          <w:lang w:val="en-GB"/>
        </w:rPr>
        <w:tab/>
      </w:r>
      <w:r>
        <w:rPr>
          <w:lang w:val="en-GB"/>
        </w:rPr>
        <w:tab/>
      </w:r>
      <w:r w:rsidR="003D2105">
        <w:rPr>
          <w:lang w:val="en-GB"/>
        </w:rPr>
        <w:tab/>
      </w:r>
      <w:r w:rsidR="003D2105">
        <w:rPr>
          <w:lang w:val="en-GB"/>
        </w:rPr>
        <w:tab/>
      </w:r>
      <w:r w:rsidR="003D2105">
        <w:rPr>
          <w:lang w:val="en-GB"/>
        </w:rPr>
        <w:tab/>
      </w:r>
      <w:r w:rsidR="003D2105">
        <w:rPr>
          <w:lang w:val="en-GB"/>
        </w:rPr>
        <w:tab/>
        <w:t>Counsels for the Applicant</w:t>
      </w:r>
    </w:p>
    <w:p w14:paraId="2D8F71ED" w14:textId="17101CFA" w:rsidR="00B97608" w:rsidRDefault="003D2105" w:rsidP="00772E4B">
      <w:pPr>
        <w:jc w:val="both"/>
        <w:rPr>
          <w:lang w:val="en-GB"/>
        </w:rPr>
      </w:pPr>
      <w:r>
        <w:rPr>
          <w:lang w:val="en-GB"/>
        </w:rPr>
        <w:tab/>
      </w:r>
      <w:r>
        <w:rPr>
          <w:lang w:val="en-GB"/>
        </w:rPr>
        <w:tab/>
      </w:r>
      <w:r>
        <w:rPr>
          <w:lang w:val="en-GB"/>
        </w:rPr>
        <w:tab/>
      </w:r>
      <w:r>
        <w:rPr>
          <w:lang w:val="en-GB"/>
        </w:rPr>
        <w:tab/>
      </w:r>
      <w:r>
        <w:rPr>
          <w:lang w:val="en-GB"/>
        </w:rPr>
        <w:tab/>
      </w:r>
      <w:r>
        <w:rPr>
          <w:lang w:val="en-GB"/>
        </w:rPr>
        <w:tab/>
        <w:t>St George’s Chambers</w:t>
      </w:r>
      <w:r w:rsidR="000536A1">
        <w:rPr>
          <w:lang w:val="en-GB"/>
        </w:rPr>
        <w:t xml:space="preserve">, </w:t>
      </w:r>
      <w:proofErr w:type="spellStart"/>
      <w:r w:rsidR="000536A1">
        <w:rPr>
          <w:lang w:val="en-GB"/>
        </w:rPr>
        <w:t>Makhanda</w:t>
      </w:r>
      <w:proofErr w:type="spellEnd"/>
      <w:r w:rsidR="00B97608">
        <w:rPr>
          <w:lang w:val="en-GB"/>
        </w:rPr>
        <w:tab/>
      </w:r>
      <w:r w:rsidR="00B97608">
        <w:rPr>
          <w:lang w:val="en-GB"/>
        </w:rPr>
        <w:tab/>
      </w:r>
      <w:r w:rsidR="00B97608">
        <w:rPr>
          <w:lang w:val="en-GB"/>
        </w:rPr>
        <w:tab/>
      </w:r>
      <w:r w:rsidR="00B97608">
        <w:rPr>
          <w:lang w:val="en-GB"/>
        </w:rPr>
        <w:tab/>
      </w:r>
    </w:p>
    <w:p w14:paraId="384814B5" w14:textId="77777777" w:rsidR="00B97608" w:rsidRDefault="00B97608" w:rsidP="00772E4B">
      <w:pPr>
        <w:jc w:val="both"/>
        <w:rPr>
          <w:lang w:val="en-GB"/>
        </w:rPr>
      </w:pPr>
    </w:p>
    <w:p w14:paraId="3B623D3C" w14:textId="44E10102" w:rsidR="00B97608" w:rsidRDefault="00B97608" w:rsidP="00772E4B">
      <w:pPr>
        <w:jc w:val="both"/>
        <w:rPr>
          <w:lang w:val="en-GB"/>
        </w:rPr>
      </w:pPr>
      <w:r>
        <w:rPr>
          <w:lang w:val="en-GB"/>
        </w:rPr>
        <w:t>Instructed by:</w:t>
      </w:r>
      <w:r>
        <w:rPr>
          <w:lang w:val="en-GB"/>
        </w:rPr>
        <w:tab/>
      </w:r>
      <w:r>
        <w:rPr>
          <w:lang w:val="en-GB"/>
        </w:rPr>
        <w:tab/>
      </w:r>
      <w:r>
        <w:rPr>
          <w:lang w:val="en-GB"/>
        </w:rPr>
        <w:tab/>
      </w:r>
      <w:r>
        <w:rPr>
          <w:lang w:val="en-GB"/>
        </w:rPr>
        <w:tab/>
      </w:r>
      <w:r w:rsidR="000536A1">
        <w:rPr>
          <w:lang w:val="en-GB"/>
        </w:rPr>
        <w:t xml:space="preserve">Drake </w:t>
      </w:r>
      <w:proofErr w:type="spellStart"/>
      <w:r w:rsidR="000536A1">
        <w:rPr>
          <w:lang w:val="en-GB"/>
        </w:rPr>
        <w:t>Flemmer</w:t>
      </w:r>
      <w:proofErr w:type="spellEnd"/>
      <w:r w:rsidR="000536A1">
        <w:rPr>
          <w:lang w:val="en-GB"/>
        </w:rPr>
        <w:t xml:space="preserve"> &amp; </w:t>
      </w:r>
      <w:proofErr w:type="spellStart"/>
      <w:proofErr w:type="gramStart"/>
      <w:r w:rsidR="000536A1">
        <w:rPr>
          <w:lang w:val="en-GB"/>
        </w:rPr>
        <w:t>Orsmond</w:t>
      </w:r>
      <w:proofErr w:type="spellEnd"/>
      <w:r w:rsidR="000536A1">
        <w:rPr>
          <w:lang w:val="en-GB"/>
        </w:rPr>
        <w:t xml:space="preserve">  Inc.</w:t>
      </w:r>
      <w:proofErr w:type="gramEnd"/>
    </w:p>
    <w:p w14:paraId="51AC9D9A" w14:textId="46169A87" w:rsidR="000536A1" w:rsidRDefault="000536A1" w:rsidP="00772E4B">
      <w:pPr>
        <w:jc w:val="both"/>
        <w:rPr>
          <w:lang w:val="en-GB"/>
        </w:rPr>
      </w:pPr>
      <w:r>
        <w:rPr>
          <w:lang w:val="en-GB"/>
        </w:rPr>
        <w:tab/>
      </w:r>
      <w:r>
        <w:rPr>
          <w:lang w:val="en-GB"/>
        </w:rPr>
        <w:tab/>
      </w:r>
      <w:r>
        <w:rPr>
          <w:lang w:val="en-GB"/>
        </w:rPr>
        <w:tab/>
      </w:r>
      <w:r>
        <w:rPr>
          <w:lang w:val="en-GB"/>
        </w:rPr>
        <w:tab/>
      </w:r>
      <w:r>
        <w:rPr>
          <w:lang w:val="en-GB"/>
        </w:rPr>
        <w:tab/>
      </w:r>
      <w:r>
        <w:rPr>
          <w:lang w:val="en-GB"/>
        </w:rPr>
        <w:tab/>
        <w:t>Attorneys for the Applicant</w:t>
      </w:r>
    </w:p>
    <w:p w14:paraId="3DEA6305" w14:textId="0BE1522D" w:rsidR="000536A1" w:rsidRDefault="000536A1"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proofErr w:type="spellStart"/>
      <w:r>
        <w:rPr>
          <w:lang w:val="en-GB"/>
        </w:rPr>
        <w:t>Quenera</w:t>
      </w:r>
      <w:proofErr w:type="spellEnd"/>
      <w:r>
        <w:rPr>
          <w:lang w:val="en-GB"/>
        </w:rPr>
        <w:t xml:space="preserve"> Office Park</w:t>
      </w:r>
    </w:p>
    <w:p w14:paraId="2FD4BB0F" w14:textId="2970D9DB" w:rsidR="000536A1" w:rsidRDefault="000536A1" w:rsidP="00772E4B">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12 </w:t>
      </w:r>
      <w:proofErr w:type="spellStart"/>
      <w:r>
        <w:rPr>
          <w:lang w:val="en-GB"/>
        </w:rPr>
        <w:t>Quenera</w:t>
      </w:r>
      <w:proofErr w:type="spellEnd"/>
      <w:r>
        <w:rPr>
          <w:lang w:val="en-GB"/>
        </w:rPr>
        <w:t xml:space="preserve"> Drive</w:t>
      </w:r>
    </w:p>
    <w:p w14:paraId="023262C0" w14:textId="19EA5692" w:rsidR="000536A1" w:rsidRDefault="000536A1" w:rsidP="00772E4B">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 Beacon Bay</w:t>
      </w:r>
    </w:p>
    <w:p w14:paraId="20880813" w14:textId="46785CB1" w:rsidR="000536A1" w:rsidRDefault="000536A1" w:rsidP="00772E4B">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 East London</w:t>
      </w:r>
    </w:p>
    <w:p w14:paraId="60C4EEEC" w14:textId="77777777" w:rsidR="000536A1" w:rsidRDefault="000536A1" w:rsidP="00772E4B">
      <w:pPr>
        <w:jc w:val="both"/>
        <w:rPr>
          <w:lang w:val="en-GB"/>
        </w:rPr>
      </w:pPr>
    </w:p>
    <w:p w14:paraId="18DA2A47" w14:textId="62D56AB0" w:rsidR="000536A1" w:rsidRDefault="000536A1" w:rsidP="00772E4B">
      <w:pPr>
        <w:jc w:val="both"/>
        <w:rPr>
          <w:lang w:val="en-GB"/>
        </w:rPr>
      </w:pPr>
      <w:r>
        <w:rPr>
          <w:lang w:val="en-GB"/>
        </w:rPr>
        <w:t>C/o:</w:t>
      </w:r>
      <w:r>
        <w:rPr>
          <w:lang w:val="en-GB"/>
        </w:rPr>
        <w:tab/>
      </w:r>
      <w:r>
        <w:rPr>
          <w:lang w:val="en-GB"/>
        </w:rPr>
        <w:tab/>
      </w:r>
      <w:r>
        <w:rPr>
          <w:lang w:val="en-GB"/>
        </w:rPr>
        <w:tab/>
      </w:r>
      <w:r>
        <w:rPr>
          <w:lang w:val="en-GB"/>
        </w:rPr>
        <w:tab/>
      </w:r>
      <w:r>
        <w:rPr>
          <w:lang w:val="en-GB"/>
        </w:rPr>
        <w:tab/>
      </w:r>
      <w:r>
        <w:rPr>
          <w:lang w:val="en-GB"/>
        </w:rPr>
        <w:tab/>
        <w:t>De</w:t>
      </w:r>
      <w:r w:rsidR="00F2377C">
        <w:rPr>
          <w:lang w:val="en-GB"/>
        </w:rPr>
        <w:t xml:space="preserve"> J</w:t>
      </w:r>
      <w:r>
        <w:rPr>
          <w:lang w:val="en-GB"/>
        </w:rPr>
        <w:t>ager &amp; Lordan</w:t>
      </w:r>
    </w:p>
    <w:p w14:paraId="1CDBB9E4" w14:textId="0FDC0027" w:rsidR="000536A1" w:rsidRDefault="000536A1" w:rsidP="00772E4B">
      <w:pPr>
        <w:jc w:val="both"/>
        <w:rPr>
          <w:lang w:val="en-GB"/>
        </w:rPr>
      </w:pPr>
      <w:r>
        <w:rPr>
          <w:lang w:val="en-GB"/>
        </w:rPr>
        <w:tab/>
      </w:r>
      <w:r>
        <w:rPr>
          <w:lang w:val="en-GB"/>
        </w:rPr>
        <w:tab/>
      </w:r>
      <w:r>
        <w:rPr>
          <w:lang w:val="en-GB"/>
        </w:rPr>
        <w:tab/>
      </w:r>
      <w:r>
        <w:rPr>
          <w:lang w:val="en-GB"/>
        </w:rPr>
        <w:tab/>
      </w:r>
      <w:r>
        <w:rPr>
          <w:lang w:val="en-GB"/>
        </w:rPr>
        <w:tab/>
      </w:r>
      <w:r>
        <w:rPr>
          <w:lang w:val="en-GB"/>
        </w:rPr>
        <w:tab/>
        <w:t>2 Allen Street</w:t>
      </w:r>
    </w:p>
    <w:p w14:paraId="1076D3AB" w14:textId="45D6DDDB" w:rsidR="000536A1" w:rsidRDefault="000536A1"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proofErr w:type="spellStart"/>
      <w:r>
        <w:rPr>
          <w:lang w:val="en-GB"/>
        </w:rPr>
        <w:t>Makhanda</w:t>
      </w:r>
      <w:proofErr w:type="spellEnd"/>
    </w:p>
    <w:p w14:paraId="1C143D2D" w14:textId="0CF0E921" w:rsidR="000536A1" w:rsidRDefault="000536A1" w:rsidP="00772E4B">
      <w:pPr>
        <w:jc w:val="both"/>
        <w:rPr>
          <w:lang w:val="en-GB"/>
        </w:rPr>
      </w:pPr>
      <w:r>
        <w:rPr>
          <w:lang w:val="en-GB"/>
        </w:rPr>
        <w:tab/>
      </w:r>
      <w:r>
        <w:rPr>
          <w:lang w:val="en-GB"/>
        </w:rPr>
        <w:tab/>
      </w:r>
      <w:r>
        <w:rPr>
          <w:lang w:val="en-GB"/>
        </w:rPr>
        <w:tab/>
      </w:r>
      <w:r>
        <w:rPr>
          <w:lang w:val="en-GB"/>
        </w:rPr>
        <w:tab/>
      </w:r>
      <w:r>
        <w:rPr>
          <w:lang w:val="en-GB"/>
        </w:rPr>
        <w:tab/>
      </w:r>
      <w:r>
        <w:rPr>
          <w:lang w:val="en-GB"/>
        </w:rPr>
        <w:tab/>
        <w:t>Email: Marius@djlaw.co.za</w:t>
      </w:r>
    </w:p>
    <w:p w14:paraId="4876ED7B" w14:textId="2EBA4BEA" w:rsidR="00C8111D" w:rsidRDefault="00B97608" w:rsidP="00C8111D">
      <w:pPr>
        <w:jc w:val="both"/>
        <w:rPr>
          <w:lang w:val="en-GB"/>
        </w:rPr>
      </w:pPr>
      <w:r>
        <w:rPr>
          <w:lang w:val="en-GB"/>
        </w:rPr>
        <w:tab/>
      </w:r>
      <w:r>
        <w:rPr>
          <w:lang w:val="en-GB"/>
        </w:rPr>
        <w:tab/>
      </w:r>
      <w:r>
        <w:rPr>
          <w:lang w:val="en-GB"/>
        </w:rPr>
        <w:tab/>
      </w:r>
      <w:r>
        <w:rPr>
          <w:lang w:val="en-GB"/>
        </w:rPr>
        <w:tab/>
      </w:r>
      <w:r>
        <w:rPr>
          <w:lang w:val="en-GB"/>
        </w:rPr>
        <w:tab/>
      </w:r>
      <w:r>
        <w:rPr>
          <w:lang w:val="en-GB"/>
        </w:rPr>
        <w:tab/>
      </w:r>
    </w:p>
    <w:p w14:paraId="23A2D137" w14:textId="77777777" w:rsidR="00C33845" w:rsidRDefault="00C33845" w:rsidP="00772E4B">
      <w:pPr>
        <w:jc w:val="both"/>
        <w:rPr>
          <w:lang w:val="en-GB"/>
        </w:rPr>
      </w:pPr>
    </w:p>
    <w:p w14:paraId="62DB8C01" w14:textId="7E2F976A" w:rsidR="00B97608" w:rsidRDefault="00C33845" w:rsidP="00772E4B">
      <w:pPr>
        <w:jc w:val="both"/>
        <w:rPr>
          <w:lang w:val="en-GB"/>
        </w:rPr>
      </w:pPr>
      <w:r>
        <w:rPr>
          <w:lang w:val="en-GB"/>
        </w:rPr>
        <w:t xml:space="preserve">For </w:t>
      </w:r>
      <w:r w:rsidR="00B97608">
        <w:rPr>
          <w:lang w:val="en-GB"/>
        </w:rPr>
        <w:t>the Respondent</w:t>
      </w:r>
      <w:r>
        <w:rPr>
          <w:lang w:val="en-GB"/>
        </w:rPr>
        <w:t>:</w:t>
      </w:r>
      <w:r>
        <w:rPr>
          <w:lang w:val="en-GB"/>
        </w:rPr>
        <w:tab/>
      </w:r>
      <w:r>
        <w:rPr>
          <w:lang w:val="en-GB"/>
        </w:rPr>
        <w:tab/>
      </w:r>
      <w:r>
        <w:rPr>
          <w:lang w:val="en-GB"/>
        </w:rPr>
        <w:tab/>
      </w:r>
      <w:proofErr w:type="spellStart"/>
      <w:r w:rsidR="000536A1">
        <w:rPr>
          <w:lang w:val="en-GB"/>
        </w:rPr>
        <w:t>Adv</w:t>
      </w:r>
      <w:proofErr w:type="spellEnd"/>
      <w:r w:rsidR="000536A1">
        <w:rPr>
          <w:lang w:val="en-GB"/>
        </w:rPr>
        <w:t xml:space="preserve"> L N </w:t>
      </w:r>
      <w:proofErr w:type="spellStart"/>
      <w:r w:rsidR="000536A1">
        <w:rPr>
          <w:lang w:val="en-GB"/>
        </w:rPr>
        <w:t>Ntsepe</w:t>
      </w:r>
      <w:proofErr w:type="spellEnd"/>
    </w:p>
    <w:p w14:paraId="1D415E7C" w14:textId="4748D771" w:rsidR="000536A1" w:rsidRDefault="000536A1" w:rsidP="00772E4B">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Counsel for the </w:t>
      </w:r>
      <w:r w:rsidR="00F2377C">
        <w:rPr>
          <w:lang w:val="en-GB"/>
        </w:rPr>
        <w:t>1</w:t>
      </w:r>
      <w:r w:rsidR="00F2377C" w:rsidRPr="00F2377C">
        <w:rPr>
          <w:vertAlign w:val="superscript"/>
          <w:lang w:val="en-GB"/>
        </w:rPr>
        <w:t>st</w:t>
      </w:r>
      <w:r w:rsidR="00F2377C">
        <w:rPr>
          <w:lang w:val="en-GB"/>
        </w:rPr>
        <w:t xml:space="preserve"> &amp; 2</w:t>
      </w:r>
      <w:r w:rsidR="00F2377C" w:rsidRPr="00F2377C">
        <w:rPr>
          <w:vertAlign w:val="superscript"/>
          <w:lang w:val="en-GB"/>
        </w:rPr>
        <w:t>nd</w:t>
      </w:r>
      <w:r w:rsidR="00F2377C">
        <w:rPr>
          <w:lang w:val="en-GB"/>
        </w:rPr>
        <w:t xml:space="preserve"> </w:t>
      </w:r>
      <w:r>
        <w:rPr>
          <w:lang w:val="en-GB"/>
        </w:rPr>
        <w:t>Respondents</w:t>
      </w:r>
    </w:p>
    <w:p w14:paraId="4A8A14C6" w14:textId="3CD9C848" w:rsidR="000536A1" w:rsidRDefault="000536A1" w:rsidP="00772E4B">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Club Chambers, </w:t>
      </w:r>
      <w:proofErr w:type="spellStart"/>
      <w:r>
        <w:rPr>
          <w:lang w:val="en-GB"/>
        </w:rPr>
        <w:t>Gqeberha</w:t>
      </w:r>
      <w:proofErr w:type="spellEnd"/>
    </w:p>
    <w:p w14:paraId="1EE4EA0E" w14:textId="48EC01D2" w:rsidR="00B97608" w:rsidRDefault="00B97608"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p>
    <w:p w14:paraId="7CC93F24" w14:textId="77777777" w:rsidR="00B97608" w:rsidRDefault="00B97608" w:rsidP="00772E4B">
      <w:pPr>
        <w:jc w:val="both"/>
        <w:rPr>
          <w:lang w:val="en-GB"/>
        </w:rPr>
      </w:pPr>
    </w:p>
    <w:p w14:paraId="4B6DEDF2" w14:textId="77777777" w:rsidR="000536A1" w:rsidRDefault="00B97608" w:rsidP="00772E4B">
      <w:pPr>
        <w:jc w:val="both"/>
        <w:rPr>
          <w:lang w:val="en-GB"/>
        </w:rPr>
      </w:pPr>
      <w:r>
        <w:rPr>
          <w:lang w:val="en-GB"/>
        </w:rPr>
        <w:t>Instructed by:</w:t>
      </w:r>
      <w:r>
        <w:rPr>
          <w:lang w:val="en-GB"/>
        </w:rPr>
        <w:tab/>
      </w:r>
      <w:r w:rsidR="0088070D">
        <w:rPr>
          <w:lang w:val="en-GB"/>
        </w:rPr>
        <w:tab/>
      </w:r>
      <w:r w:rsidR="0088070D">
        <w:rPr>
          <w:lang w:val="en-GB"/>
        </w:rPr>
        <w:tab/>
      </w:r>
      <w:r w:rsidR="0088070D">
        <w:rPr>
          <w:lang w:val="en-GB"/>
        </w:rPr>
        <w:tab/>
      </w:r>
      <w:r w:rsidR="000536A1">
        <w:rPr>
          <w:lang w:val="en-GB"/>
        </w:rPr>
        <w:t>State Attorney</w:t>
      </w:r>
    </w:p>
    <w:p w14:paraId="02850CDF" w14:textId="540FC9E9" w:rsidR="000536A1" w:rsidRDefault="000536A1" w:rsidP="00772E4B">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Attorney for the </w:t>
      </w:r>
      <w:r w:rsidR="00F2377C">
        <w:rPr>
          <w:lang w:val="en-GB"/>
        </w:rPr>
        <w:t>1</w:t>
      </w:r>
      <w:r w:rsidR="00F2377C" w:rsidRPr="00F2377C">
        <w:rPr>
          <w:vertAlign w:val="superscript"/>
          <w:lang w:val="en-GB"/>
        </w:rPr>
        <w:t>st</w:t>
      </w:r>
      <w:r w:rsidR="00F2377C">
        <w:rPr>
          <w:lang w:val="en-GB"/>
        </w:rPr>
        <w:t xml:space="preserve"> &amp; 2</w:t>
      </w:r>
      <w:r w:rsidR="00F2377C" w:rsidRPr="00F2377C">
        <w:rPr>
          <w:vertAlign w:val="superscript"/>
          <w:lang w:val="en-GB"/>
        </w:rPr>
        <w:t>nd</w:t>
      </w:r>
      <w:r w:rsidR="00F2377C">
        <w:rPr>
          <w:lang w:val="en-GB"/>
        </w:rPr>
        <w:t xml:space="preserve"> </w:t>
      </w:r>
      <w:r>
        <w:rPr>
          <w:lang w:val="en-GB"/>
        </w:rPr>
        <w:t>Respondents</w:t>
      </w:r>
    </w:p>
    <w:p w14:paraId="6AA2FA42" w14:textId="77777777" w:rsidR="000536A1" w:rsidRDefault="000536A1" w:rsidP="00772E4B">
      <w:pPr>
        <w:jc w:val="both"/>
        <w:rPr>
          <w:lang w:val="en-GB"/>
        </w:rPr>
      </w:pPr>
      <w:r>
        <w:rPr>
          <w:lang w:val="en-GB"/>
        </w:rPr>
        <w:tab/>
      </w:r>
      <w:r>
        <w:rPr>
          <w:lang w:val="en-GB"/>
        </w:rPr>
        <w:tab/>
      </w:r>
      <w:r>
        <w:rPr>
          <w:lang w:val="en-GB"/>
        </w:rPr>
        <w:tab/>
      </w:r>
      <w:r>
        <w:rPr>
          <w:lang w:val="en-GB"/>
        </w:rPr>
        <w:tab/>
      </w:r>
      <w:r>
        <w:rPr>
          <w:lang w:val="en-GB"/>
        </w:rPr>
        <w:tab/>
      </w:r>
      <w:r>
        <w:rPr>
          <w:lang w:val="en-GB"/>
        </w:rPr>
        <w:tab/>
        <w:t>29 Western Road</w:t>
      </w:r>
    </w:p>
    <w:p w14:paraId="486DD9B3" w14:textId="77777777" w:rsidR="000536A1" w:rsidRDefault="000536A1" w:rsidP="00772E4B">
      <w:pPr>
        <w:jc w:val="both"/>
        <w:rPr>
          <w:lang w:val="en-GB"/>
        </w:rPr>
      </w:pPr>
      <w:r>
        <w:rPr>
          <w:lang w:val="en-GB"/>
        </w:rPr>
        <w:tab/>
      </w:r>
      <w:r>
        <w:rPr>
          <w:lang w:val="en-GB"/>
        </w:rPr>
        <w:tab/>
      </w:r>
      <w:r>
        <w:rPr>
          <w:lang w:val="en-GB"/>
        </w:rPr>
        <w:tab/>
      </w:r>
      <w:r>
        <w:rPr>
          <w:lang w:val="en-GB"/>
        </w:rPr>
        <w:tab/>
      </w:r>
      <w:r>
        <w:rPr>
          <w:lang w:val="en-GB"/>
        </w:rPr>
        <w:tab/>
      </w:r>
      <w:r>
        <w:rPr>
          <w:lang w:val="en-GB"/>
        </w:rPr>
        <w:tab/>
        <w:t>Central</w:t>
      </w:r>
    </w:p>
    <w:p w14:paraId="3B9D833B" w14:textId="77777777" w:rsidR="000536A1" w:rsidRDefault="000536A1"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proofErr w:type="spellStart"/>
      <w:r>
        <w:rPr>
          <w:lang w:val="en-GB"/>
        </w:rPr>
        <w:t>Gqeberha</w:t>
      </w:r>
      <w:proofErr w:type="spellEnd"/>
    </w:p>
    <w:p w14:paraId="1970E9F9" w14:textId="75B2786B" w:rsidR="0088070D" w:rsidRDefault="000536A1"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r w:rsidR="00F2377C">
        <w:rPr>
          <w:lang w:val="en-GB"/>
        </w:rPr>
        <w:t>Email: MSisilana@justice.gov.za</w:t>
      </w:r>
      <w:r w:rsidR="00B97608">
        <w:rPr>
          <w:lang w:val="en-GB"/>
        </w:rPr>
        <w:tab/>
      </w:r>
      <w:r w:rsidR="00B97608">
        <w:rPr>
          <w:lang w:val="en-GB"/>
        </w:rPr>
        <w:tab/>
      </w:r>
    </w:p>
    <w:p w14:paraId="23C9F21C" w14:textId="4DA053CC" w:rsidR="007C247A" w:rsidRPr="00044B50" w:rsidRDefault="00C33845" w:rsidP="0088070D">
      <w:pPr>
        <w:jc w:val="both"/>
        <w:rPr>
          <w:lang w:val="en-GB"/>
        </w:rPr>
      </w:pPr>
      <w:r>
        <w:rPr>
          <w:lang w:val="en-GB"/>
        </w:rPr>
        <w:tab/>
      </w:r>
      <w:r>
        <w:rPr>
          <w:lang w:val="en-GB"/>
        </w:rPr>
        <w:tab/>
      </w:r>
      <w:r>
        <w:rPr>
          <w:lang w:val="en-GB"/>
        </w:rPr>
        <w:tab/>
      </w:r>
      <w:r>
        <w:rPr>
          <w:lang w:val="en-GB"/>
        </w:rPr>
        <w:tab/>
      </w:r>
      <w:r>
        <w:rPr>
          <w:lang w:val="en-GB"/>
        </w:rPr>
        <w:tab/>
      </w:r>
    </w:p>
    <w:sectPr w:rsidR="007C247A" w:rsidRPr="00044B50" w:rsidSect="00487588">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AA98C" w14:textId="77777777" w:rsidR="00505EDC" w:rsidRDefault="00505EDC" w:rsidP="00005691">
      <w:r>
        <w:separator/>
      </w:r>
    </w:p>
  </w:endnote>
  <w:endnote w:type="continuationSeparator" w:id="0">
    <w:p w14:paraId="600A6F6D" w14:textId="77777777" w:rsidR="00505EDC" w:rsidRDefault="00505EDC"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92712" w14:textId="77777777" w:rsidR="00505EDC" w:rsidRDefault="00505EDC" w:rsidP="00005691">
      <w:r>
        <w:separator/>
      </w:r>
    </w:p>
  </w:footnote>
  <w:footnote w:type="continuationSeparator" w:id="0">
    <w:p w14:paraId="5FE860D4" w14:textId="77777777" w:rsidR="00505EDC" w:rsidRDefault="00505EDC" w:rsidP="00005691">
      <w:r>
        <w:continuationSeparator/>
      </w:r>
    </w:p>
  </w:footnote>
  <w:footnote w:id="1">
    <w:p w14:paraId="089D4E40" w14:textId="77777777" w:rsidR="00630250" w:rsidRPr="007C3B60" w:rsidRDefault="00630250" w:rsidP="00A23D4A">
      <w:pPr>
        <w:pStyle w:val="FootnoteText"/>
        <w:spacing w:line="240" w:lineRule="auto"/>
        <w:jc w:val="both"/>
        <w:rPr>
          <w:lang w:val="en-US"/>
        </w:rPr>
      </w:pPr>
      <w:r w:rsidRPr="007C3B60">
        <w:rPr>
          <w:rStyle w:val="FootnoteReference"/>
        </w:rPr>
        <w:footnoteRef/>
      </w:r>
      <w:r w:rsidRPr="007C3B60">
        <w:t xml:space="preserve"> </w:t>
      </w:r>
      <w:r w:rsidRPr="007C3B60">
        <w:rPr>
          <w:i/>
          <w:iCs/>
          <w:lang w:val="en-US"/>
        </w:rPr>
        <w:t xml:space="preserve">I L &amp; B </w:t>
      </w:r>
      <w:proofErr w:type="spellStart"/>
      <w:r w:rsidRPr="007C3B60">
        <w:rPr>
          <w:i/>
          <w:iCs/>
          <w:lang w:val="en-US"/>
        </w:rPr>
        <w:t>Marcow</w:t>
      </w:r>
      <w:proofErr w:type="spellEnd"/>
      <w:r w:rsidRPr="007C3B60">
        <w:rPr>
          <w:i/>
          <w:iCs/>
          <w:lang w:val="en-US"/>
        </w:rPr>
        <w:t xml:space="preserve"> Caterers (Pty) Ltd v </w:t>
      </w:r>
      <w:proofErr w:type="spellStart"/>
      <w:r w:rsidRPr="007C3B60">
        <w:rPr>
          <w:i/>
          <w:iCs/>
          <w:lang w:val="en-US"/>
        </w:rPr>
        <w:t>Greatermans</w:t>
      </w:r>
      <w:proofErr w:type="spellEnd"/>
      <w:r w:rsidRPr="007C3B60">
        <w:rPr>
          <w:i/>
          <w:iCs/>
          <w:lang w:val="en-US"/>
        </w:rPr>
        <w:t xml:space="preserve"> SA Ltd &amp; another; Aroma Inn (Pty) Ltd v Hypermarket (Pty) Ltd &amp; another</w:t>
      </w:r>
      <w:r w:rsidRPr="007C3B60">
        <w:rPr>
          <w:lang w:val="en-US"/>
        </w:rPr>
        <w:t xml:space="preserve"> 1981 (4) SA 108 (C) at 112H-113A.</w:t>
      </w:r>
    </w:p>
  </w:footnote>
  <w:footnote w:id="2">
    <w:p w14:paraId="1AE76612" w14:textId="0D053BDE" w:rsidR="001152C5" w:rsidRPr="001152C5" w:rsidRDefault="001152C5" w:rsidP="00A23D4A">
      <w:pPr>
        <w:pStyle w:val="FootnoteText"/>
        <w:spacing w:line="240" w:lineRule="auto"/>
        <w:rPr>
          <w:lang w:val="en-US"/>
        </w:rPr>
      </w:pPr>
      <w:r>
        <w:rPr>
          <w:rStyle w:val="FootnoteReference"/>
        </w:rPr>
        <w:footnoteRef/>
      </w:r>
      <w:r>
        <w:t xml:space="preserve"> </w:t>
      </w:r>
      <w:r>
        <w:rPr>
          <w:i/>
          <w:iCs/>
          <w:lang w:val="en-US"/>
        </w:rPr>
        <w:t xml:space="preserve">Caledon Street Restaurants CC v </w:t>
      </w:r>
      <w:proofErr w:type="spellStart"/>
      <w:r>
        <w:rPr>
          <w:i/>
          <w:iCs/>
          <w:lang w:val="en-US"/>
        </w:rPr>
        <w:t>D’Aviera</w:t>
      </w:r>
      <w:proofErr w:type="spellEnd"/>
      <w:r>
        <w:rPr>
          <w:lang w:val="en-US"/>
        </w:rPr>
        <w:t xml:space="preserve"> 1998 JOL 1832 (SE).</w:t>
      </w:r>
    </w:p>
  </w:footnote>
  <w:footnote w:id="3">
    <w:p w14:paraId="1A7B07D2" w14:textId="77777777" w:rsidR="00CC1330" w:rsidRPr="009A71E7" w:rsidRDefault="00CC1330" w:rsidP="00A23D4A">
      <w:pPr>
        <w:pStyle w:val="FootnoteText"/>
        <w:spacing w:line="240" w:lineRule="auto"/>
        <w:jc w:val="both"/>
        <w:rPr>
          <w:lang w:val="en-US"/>
        </w:rPr>
      </w:pPr>
      <w:r>
        <w:rPr>
          <w:rStyle w:val="FootnoteReference"/>
        </w:rPr>
        <w:footnoteRef/>
      </w:r>
      <w:r>
        <w:t xml:space="preserve"> </w:t>
      </w:r>
      <w:r>
        <w:rPr>
          <w:i/>
          <w:iCs/>
          <w:lang w:val="en-US"/>
        </w:rPr>
        <w:t xml:space="preserve">L F Boshoff Investments (Pty) Ltd v Cape Town Municipality; Cape Town Municipality v L F Boshoff Investments (Pty) Ltd </w:t>
      </w:r>
      <w:r>
        <w:rPr>
          <w:lang w:val="en-US"/>
        </w:rPr>
        <w:t>1969 (2) SA 256 (C) at 267B-E.</w:t>
      </w:r>
    </w:p>
  </w:footnote>
  <w:footnote w:id="4">
    <w:p w14:paraId="03DC2B91" w14:textId="686372EF" w:rsidR="00D65A74" w:rsidRPr="002C653E" w:rsidRDefault="00D65A74" w:rsidP="00A23D4A">
      <w:pPr>
        <w:pStyle w:val="FootnoteText"/>
        <w:spacing w:line="240" w:lineRule="auto"/>
        <w:jc w:val="both"/>
        <w:rPr>
          <w:lang w:val="en-US"/>
        </w:rPr>
      </w:pPr>
      <w:r>
        <w:rPr>
          <w:rStyle w:val="FootnoteReference"/>
        </w:rPr>
        <w:footnoteRef/>
      </w:r>
      <w:r>
        <w:t xml:space="preserve"> </w:t>
      </w:r>
      <w:proofErr w:type="spellStart"/>
      <w:r w:rsidR="00997B3A">
        <w:rPr>
          <w:i/>
          <w:iCs/>
        </w:rPr>
        <w:t>Setlogelo</w:t>
      </w:r>
      <w:proofErr w:type="spellEnd"/>
      <w:r w:rsidR="00997B3A">
        <w:rPr>
          <w:i/>
          <w:iCs/>
        </w:rPr>
        <w:t xml:space="preserve"> v </w:t>
      </w:r>
      <w:proofErr w:type="spellStart"/>
      <w:r w:rsidR="00997B3A">
        <w:rPr>
          <w:i/>
          <w:iCs/>
        </w:rPr>
        <w:t>Setlogelo</w:t>
      </w:r>
      <w:proofErr w:type="spellEnd"/>
      <w:r w:rsidR="00997B3A">
        <w:rPr>
          <w:i/>
          <w:iCs/>
        </w:rPr>
        <w:t xml:space="preserve"> </w:t>
      </w:r>
      <w:r>
        <w:rPr>
          <w:lang w:val="en-US"/>
        </w:rPr>
        <w:t>1914 AD 221.</w:t>
      </w:r>
    </w:p>
  </w:footnote>
  <w:footnote w:id="5">
    <w:p w14:paraId="30801C4A" w14:textId="3866AB81" w:rsidR="00D65A74" w:rsidRPr="000625E2" w:rsidRDefault="00D65A74" w:rsidP="00A23D4A">
      <w:pPr>
        <w:pStyle w:val="FootnoteText"/>
        <w:spacing w:line="240" w:lineRule="auto"/>
        <w:jc w:val="both"/>
        <w:rPr>
          <w:lang w:val="en-US"/>
        </w:rPr>
      </w:pPr>
      <w:r>
        <w:rPr>
          <w:rStyle w:val="FootnoteReference"/>
        </w:rPr>
        <w:footnoteRef/>
      </w:r>
      <w:r>
        <w:t xml:space="preserve"> </w:t>
      </w:r>
      <w:r w:rsidR="00997B3A">
        <w:rPr>
          <w:i/>
          <w:iCs/>
        </w:rPr>
        <w:t xml:space="preserve">Webster v Mitchell </w:t>
      </w:r>
      <w:r>
        <w:rPr>
          <w:lang w:val="en-US"/>
        </w:rPr>
        <w:t>1948 (1) SA 1186 (W) at 1189-1190.</w:t>
      </w:r>
    </w:p>
  </w:footnote>
  <w:footnote w:id="6">
    <w:p w14:paraId="3DCA08B7" w14:textId="77777777" w:rsidR="00D65A74" w:rsidRPr="00147580" w:rsidRDefault="00D65A74" w:rsidP="00A23D4A">
      <w:pPr>
        <w:pStyle w:val="FootnoteText"/>
        <w:spacing w:line="240" w:lineRule="auto"/>
        <w:jc w:val="both"/>
        <w:rPr>
          <w:lang w:val="en-US"/>
        </w:rPr>
      </w:pPr>
      <w:r>
        <w:rPr>
          <w:rStyle w:val="FootnoteReference"/>
        </w:rPr>
        <w:footnoteRef/>
      </w:r>
      <w:r>
        <w:t xml:space="preserve"> </w:t>
      </w:r>
      <w:r>
        <w:rPr>
          <w:i/>
          <w:iCs/>
          <w:lang w:val="en-US"/>
        </w:rPr>
        <w:t>Gool v Minister of Justice and Another</w:t>
      </w:r>
      <w:r>
        <w:rPr>
          <w:lang w:val="en-US"/>
        </w:rPr>
        <w:t xml:space="preserve"> [1955] 3 All SA 115 (C).</w:t>
      </w:r>
    </w:p>
  </w:footnote>
  <w:footnote w:id="7">
    <w:p w14:paraId="0ABD396A" w14:textId="1F9E84BD" w:rsidR="00D65A74" w:rsidRPr="007A0BE7" w:rsidRDefault="00D65A74" w:rsidP="00A23D4A">
      <w:pPr>
        <w:pStyle w:val="FootnoteText"/>
        <w:spacing w:line="240" w:lineRule="auto"/>
        <w:jc w:val="both"/>
        <w:rPr>
          <w:lang w:val="en-US"/>
        </w:rPr>
      </w:pPr>
      <w:r>
        <w:rPr>
          <w:rStyle w:val="FootnoteReference"/>
        </w:rPr>
        <w:footnoteRef/>
      </w:r>
      <w:r>
        <w:t xml:space="preserve"> </w:t>
      </w:r>
      <w:proofErr w:type="spellStart"/>
      <w:r>
        <w:rPr>
          <w:i/>
          <w:iCs/>
          <w:lang w:val="en-US"/>
        </w:rPr>
        <w:t>Setlogelo</w:t>
      </w:r>
      <w:proofErr w:type="spellEnd"/>
      <w:r>
        <w:rPr>
          <w:i/>
          <w:iCs/>
          <w:lang w:val="en-US"/>
        </w:rPr>
        <w:t xml:space="preserve"> </w:t>
      </w:r>
      <w:r w:rsidR="00EE36B4">
        <w:rPr>
          <w:lang w:val="en-US"/>
        </w:rPr>
        <w:t>above n 4</w:t>
      </w:r>
      <w:r>
        <w:rPr>
          <w:lang w:val="en-US"/>
        </w:rPr>
        <w:t xml:space="preserve"> at 227.</w:t>
      </w:r>
    </w:p>
  </w:footnote>
  <w:footnote w:id="8">
    <w:p w14:paraId="18503E53" w14:textId="48FC9F1B" w:rsidR="00D65A74" w:rsidRPr="00B1719B" w:rsidRDefault="00D65A74" w:rsidP="00A23D4A">
      <w:pPr>
        <w:pStyle w:val="FootnoteText"/>
        <w:spacing w:line="240" w:lineRule="auto"/>
        <w:jc w:val="both"/>
        <w:rPr>
          <w:lang w:val="en-US"/>
        </w:rPr>
      </w:pPr>
      <w:r>
        <w:rPr>
          <w:rStyle w:val="FootnoteReference"/>
        </w:rPr>
        <w:footnoteRef/>
      </w:r>
      <w:r>
        <w:t xml:space="preserve"> </w:t>
      </w:r>
      <w:r>
        <w:rPr>
          <w:i/>
          <w:iCs/>
          <w:lang w:val="en-US"/>
        </w:rPr>
        <w:t xml:space="preserve">Webster </w:t>
      </w:r>
      <w:r w:rsidR="00EE36B4">
        <w:rPr>
          <w:lang w:val="en-US"/>
        </w:rPr>
        <w:t>above n 5</w:t>
      </w:r>
      <w:r>
        <w:rPr>
          <w:lang w:val="en-US"/>
        </w:rPr>
        <w:t xml:space="preserve"> at 1192.</w:t>
      </w:r>
    </w:p>
  </w:footnote>
  <w:footnote w:id="9">
    <w:p w14:paraId="614A2292" w14:textId="43DAE9E3" w:rsidR="00126CCB" w:rsidRPr="00126CCB" w:rsidRDefault="00126CCB" w:rsidP="00A23D4A">
      <w:pPr>
        <w:pStyle w:val="FootnoteText"/>
        <w:spacing w:line="240" w:lineRule="auto"/>
        <w:jc w:val="both"/>
        <w:rPr>
          <w:lang w:val="en-US"/>
        </w:rPr>
      </w:pPr>
      <w:r>
        <w:rPr>
          <w:rStyle w:val="FootnoteReference"/>
        </w:rPr>
        <w:footnoteRef/>
      </w:r>
      <w:r>
        <w:t xml:space="preserve"> </w:t>
      </w:r>
      <w:r w:rsidR="00F720D1">
        <w:rPr>
          <w:i/>
          <w:iCs/>
          <w:lang w:val="en-US"/>
        </w:rPr>
        <w:t>National Treasury and Others v Opposition to Urban Tolling Alliance and Others</w:t>
      </w:r>
      <w:r w:rsidR="00F720D1">
        <w:rPr>
          <w:lang w:val="en-US"/>
        </w:rPr>
        <w:t xml:space="preserve"> 2012 (6) SA 223 (CC) (‘</w:t>
      </w:r>
      <w:r w:rsidR="00F720D1">
        <w:rPr>
          <w:i/>
          <w:iCs/>
          <w:lang w:val="en-US"/>
        </w:rPr>
        <w:t>National Treasury</w:t>
      </w:r>
      <w:r w:rsidR="00F720D1">
        <w:rPr>
          <w:lang w:val="en-US"/>
        </w:rPr>
        <w:t>’)</w:t>
      </w:r>
      <w:r w:rsidR="00F720D1">
        <w:rPr>
          <w:i/>
          <w:iCs/>
          <w:lang w:val="en-US"/>
        </w:rPr>
        <w:t xml:space="preserve"> </w:t>
      </w:r>
      <w:r>
        <w:rPr>
          <w:lang w:val="en-US"/>
        </w:rPr>
        <w:t>paras 46-47.</w:t>
      </w:r>
    </w:p>
  </w:footnote>
  <w:footnote w:id="10">
    <w:p w14:paraId="4B408181" w14:textId="14EB8E7B" w:rsidR="0042026F" w:rsidRPr="0042026F" w:rsidRDefault="0042026F" w:rsidP="00A23D4A">
      <w:pPr>
        <w:pStyle w:val="FootnoteText"/>
        <w:spacing w:line="240" w:lineRule="auto"/>
        <w:jc w:val="both"/>
        <w:rPr>
          <w:lang w:val="en-US"/>
        </w:rPr>
      </w:pPr>
      <w:r>
        <w:rPr>
          <w:rStyle w:val="FootnoteReference"/>
        </w:rPr>
        <w:footnoteRef/>
      </w:r>
      <w:r>
        <w:t xml:space="preserve"> </w:t>
      </w:r>
      <w:r w:rsidR="00E947B1">
        <w:rPr>
          <w:i/>
          <w:iCs/>
          <w:lang w:val="en-US"/>
        </w:rPr>
        <w:t>EFF v Gordhan and Others</w:t>
      </w:r>
      <w:r w:rsidR="00E947B1">
        <w:rPr>
          <w:lang w:val="en-US"/>
        </w:rPr>
        <w:t xml:space="preserve"> 2020 (6) SA 325 (CC) (‘</w:t>
      </w:r>
      <w:r>
        <w:rPr>
          <w:i/>
          <w:iCs/>
          <w:lang w:val="en-US"/>
        </w:rPr>
        <w:t>EFF</w:t>
      </w:r>
      <w:r w:rsidR="00E947B1">
        <w:rPr>
          <w:lang w:val="en-US"/>
        </w:rPr>
        <w:t>’)</w:t>
      </w:r>
      <w:r>
        <w:rPr>
          <w:i/>
          <w:iCs/>
          <w:lang w:val="en-US"/>
        </w:rPr>
        <w:t xml:space="preserve"> </w:t>
      </w:r>
      <w:r>
        <w:rPr>
          <w:lang w:val="en-US"/>
        </w:rPr>
        <w:t>para 40.</w:t>
      </w:r>
    </w:p>
  </w:footnote>
  <w:footnote w:id="11">
    <w:p w14:paraId="6D736AF6" w14:textId="2452A13B" w:rsidR="00C44B8C" w:rsidRPr="00C44B8C" w:rsidRDefault="00C44B8C" w:rsidP="00A23D4A">
      <w:pPr>
        <w:pStyle w:val="FootnoteText"/>
        <w:spacing w:line="240" w:lineRule="auto"/>
        <w:jc w:val="both"/>
        <w:rPr>
          <w:lang w:val="en-US"/>
        </w:rPr>
      </w:pPr>
      <w:r>
        <w:rPr>
          <w:rStyle w:val="FootnoteReference"/>
        </w:rPr>
        <w:footnoteRef/>
      </w:r>
      <w:r>
        <w:t xml:space="preserve"> </w:t>
      </w:r>
      <w:r>
        <w:rPr>
          <w:lang w:val="en-US"/>
        </w:rPr>
        <w:t xml:space="preserve">See </w:t>
      </w:r>
      <w:r w:rsidR="002B155D">
        <w:rPr>
          <w:i/>
          <w:iCs/>
          <w:lang w:val="en-US"/>
        </w:rPr>
        <w:t xml:space="preserve">National Treasury </w:t>
      </w:r>
      <w:r w:rsidR="002B155D">
        <w:rPr>
          <w:lang w:val="en-US"/>
        </w:rPr>
        <w:t>above n 9</w:t>
      </w:r>
      <w:r>
        <w:rPr>
          <w:lang w:val="en-US"/>
        </w:rPr>
        <w:t xml:space="preserve"> and </w:t>
      </w:r>
      <w:r>
        <w:rPr>
          <w:i/>
          <w:iCs/>
          <w:lang w:val="en-US"/>
        </w:rPr>
        <w:t>EFF</w:t>
      </w:r>
      <w:r>
        <w:rPr>
          <w:lang w:val="en-US"/>
        </w:rPr>
        <w:t xml:space="preserve"> </w:t>
      </w:r>
      <w:r w:rsidR="002B155D">
        <w:rPr>
          <w:lang w:val="en-US"/>
        </w:rPr>
        <w:t xml:space="preserve">above n 10 </w:t>
      </w:r>
      <w:r>
        <w:rPr>
          <w:lang w:val="en-US"/>
        </w:rPr>
        <w:t xml:space="preserve">para 110: the standard is applicable to constitutional matters and is triggered only where ‘the effect of the interdict is to prevent the exercise of public power. The standard may not be invoked in a commercial or contractual matter that has nothing to do with the exercise of public power: </w:t>
      </w:r>
      <w:r>
        <w:rPr>
          <w:i/>
          <w:iCs/>
          <w:lang w:val="en-US"/>
        </w:rPr>
        <w:t>EFF</w:t>
      </w:r>
      <w:r>
        <w:rPr>
          <w:lang w:val="en-US"/>
        </w:rPr>
        <w:t xml:space="preserve"> </w:t>
      </w:r>
      <w:r w:rsidR="00666C5F">
        <w:rPr>
          <w:lang w:val="en-US"/>
        </w:rPr>
        <w:t xml:space="preserve">above n 10 </w:t>
      </w:r>
      <w:r>
        <w:rPr>
          <w:lang w:val="en-US"/>
        </w:rPr>
        <w:t>para 110.</w:t>
      </w:r>
    </w:p>
  </w:footnote>
  <w:footnote w:id="12">
    <w:p w14:paraId="3275A686" w14:textId="7C2154D4" w:rsidR="0090442E" w:rsidRPr="0090442E" w:rsidRDefault="0090442E" w:rsidP="00A23D4A">
      <w:pPr>
        <w:pStyle w:val="FootnoteText"/>
        <w:spacing w:line="240" w:lineRule="auto"/>
        <w:jc w:val="both"/>
        <w:rPr>
          <w:lang w:val="en-US"/>
        </w:rPr>
      </w:pPr>
      <w:r>
        <w:rPr>
          <w:rStyle w:val="FootnoteReference"/>
        </w:rPr>
        <w:footnoteRef/>
      </w:r>
      <w:r>
        <w:t xml:space="preserve"> </w:t>
      </w:r>
      <w:r>
        <w:rPr>
          <w:lang w:val="en-US"/>
        </w:rPr>
        <w:t xml:space="preserve">The separation of powers doctrine, embedded in the architecture of the Constitution, requires courts to ensure that all branches of government act within the law. It also demands that courts must refrain from entering the exclusive terrain of the other branches of government unless the intrusion is mandated by the Constitution itself: </w:t>
      </w:r>
      <w:r w:rsidR="001E4C57">
        <w:rPr>
          <w:i/>
          <w:iCs/>
          <w:lang w:val="en-US"/>
        </w:rPr>
        <w:t xml:space="preserve">National Treasury </w:t>
      </w:r>
      <w:r w:rsidR="00217121">
        <w:rPr>
          <w:lang w:val="en-US"/>
        </w:rPr>
        <w:t xml:space="preserve">above n 9 </w:t>
      </w:r>
      <w:r>
        <w:rPr>
          <w:lang w:val="en-US"/>
        </w:rPr>
        <w:t>para 44.</w:t>
      </w:r>
    </w:p>
  </w:footnote>
  <w:footnote w:id="13">
    <w:p w14:paraId="6DBFBF49" w14:textId="08893566" w:rsidR="0071506B" w:rsidRPr="0071506B" w:rsidRDefault="0071506B" w:rsidP="00A23D4A">
      <w:pPr>
        <w:pStyle w:val="FootnoteText"/>
        <w:spacing w:line="240" w:lineRule="auto"/>
        <w:jc w:val="both"/>
        <w:rPr>
          <w:lang w:val="en-US"/>
        </w:rPr>
      </w:pPr>
      <w:r>
        <w:rPr>
          <w:rStyle w:val="FootnoteReference"/>
        </w:rPr>
        <w:footnoteRef/>
      </w:r>
      <w:r>
        <w:t xml:space="preserve"> </w:t>
      </w:r>
      <w:r>
        <w:rPr>
          <w:i/>
          <w:iCs/>
          <w:lang w:val="en-US"/>
        </w:rPr>
        <w:t>EFF</w:t>
      </w:r>
      <w:r>
        <w:rPr>
          <w:lang w:val="en-US"/>
        </w:rPr>
        <w:t xml:space="preserve"> </w:t>
      </w:r>
      <w:r w:rsidR="00501414">
        <w:rPr>
          <w:lang w:val="en-US"/>
        </w:rPr>
        <w:t xml:space="preserve">above n 10 </w:t>
      </w:r>
      <w:r>
        <w:rPr>
          <w:lang w:val="en-US"/>
        </w:rPr>
        <w:t xml:space="preserve">para 48 and </w:t>
      </w:r>
      <w:r w:rsidR="00501414">
        <w:rPr>
          <w:i/>
          <w:iCs/>
          <w:lang w:val="en-US"/>
        </w:rPr>
        <w:t>National Treasury</w:t>
      </w:r>
      <w:r w:rsidR="00501414">
        <w:rPr>
          <w:lang w:val="en-US"/>
        </w:rPr>
        <w:t xml:space="preserve"> above n 9</w:t>
      </w:r>
      <w:r>
        <w:rPr>
          <w:lang w:val="en-US"/>
        </w:rPr>
        <w:t xml:space="preserve"> para 47.</w:t>
      </w:r>
    </w:p>
  </w:footnote>
  <w:footnote w:id="14">
    <w:p w14:paraId="5324A80C" w14:textId="3E874388" w:rsidR="00BD2543" w:rsidRPr="00BD2543" w:rsidRDefault="00BD2543" w:rsidP="00A23D4A">
      <w:pPr>
        <w:pStyle w:val="FootnoteText"/>
        <w:spacing w:line="240" w:lineRule="auto"/>
        <w:jc w:val="both"/>
        <w:rPr>
          <w:lang w:val="en-US"/>
        </w:rPr>
      </w:pPr>
      <w:r>
        <w:rPr>
          <w:rStyle w:val="FootnoteReference"/>
        </w:rPr>
        <w:footnoteRef/>
      </w:r>
      <w:r>
        <w:t xml:space="preserve"> </w:t>
      </w:r>
      <w:r w:rsidR="00D76489">
        <w:rPr>
          <w:i/>
          <w:iCs/>
        </w:rPr>
        <w:t xml:space="preserve">Eskom Holdings SOC Ltd v Vaal River Development Association (Pty) Ltd and Others </w:t>
      </w:r>
      <w:r w:rsidR="00D76489">
        <w:t>[2022] ZACC 44 (‘</w:t>
      </w:r>
      <w:r>
        <w:rPr>
          <w:i/>
          <w:iCs/>
          <w:lang w:val="en-US"/>
        </w:rPr>
        <w:t>Eskom</w:t>
      </w:r>
      <w:r w:rsidR="00D76489">
        <w:rPr>
          <w:lang w:val="en-US"/>
        </w:rPr>
        <w:t>’)</w:t>
      </w:r>
      <w:r>
        <w:rPr>
          <w:lang w:val="en-US"/>
        </w:rPr>
        <w:t xml:space="preserve"> para 299.</w:t>
      </w:r>
      <w:r w:rsidR="005E6C36">
        <w:rPr>
          <w:lang w:val="en-US"/>
        </w:rPr>
        <w:t xml:space="preserve"> The majority indicated that a balancing exercise involving a sliding scale was applicable: the more policy laden or polycentric the decision, the more the role this ‘factor’ must play in influencing the outcome, and vice-versa</w:t>
      </w:r>
      <w:r w:rsidR="002A7797">
        <w:rPr>
          <w:lang w:val="en-US"/>
        </w:rPr>
        <w:t>. Affected fundamental rights would always play a critical role in the balancing exercise</w:t>
      </w:r>
      <w:r w:rsidR="005E6C36">
        <w:rPr>
          <w:lang w:val="en-US"/>
        </w:rPr>
        <w:t xml:space="preserve">: </w:t>
      </w:r>
      <w:r w:rsidR="005E6C36">
        <w:rPr>
          <w:i/>
          <w:iCs/>
          <w:lang w:val="en-US"/>
        </w:rPr>
        <w:t xml:space="preserve">Eskom </w:t>
      </w:r>
      <w:r w:rsidR="005E6C36">
        <w:rPr>
          <w:lang w:val="en-US"/>
        </w:rPr>
        <w:t>para 303.</w:t>
      </w:r>
    </w:p>
  </w:footnote>
  <w:footnote w:id="15">
    <w:p w14:paraId="2AED291F" w14:textId="0FA7FBFC" w:rsidR="00CB4EB9" w:rsidRPr="00CB4EB9" w:rsidRDefault="00CB4EB9" w:rsidP="00A23D4A">
      <w:pPr>
        <w:pStyle w:val="FootnoteText"/>
        <w:spacing w:line="240" w:lineRule="auto"/>
        <w:jc w:val="both"/>
        <w:rPr>
          <w:lang w:val="en-US"/>
        </w:rPr>
      </w:pPr>
      <w:r>
        <w:rPr>
          <w:rStyle w:val="FootnoteReference"/>
        </w:rPr>
        <w:footnoteRef/>
      </w:r>
      <w:r>
        <w:t xml:space="preserve"> </w:t>
      </w:r>
      <w:r>
        <w:rPr>
          <w:i/>
          <w:iCs/>
          <w:lang w:val="en-US"/>
        </w:rPr>
        <w:t>Eskom</w:t>
      </w:r>
      <w:r>
        <w:rPr>
          <w:lang w:val="en-US"/>
        </w:rPr>
        <w:t xml:space="preserve"> </w:t>
      </w:r>
      <w:r w:rsidR="00A23D4A">
        <w:rPr>
          <w:lang w:val="en-US"/>
        </w:rPr>
        <w:t xml:space="preserve">above n 14 </w:t>
      </w:r>
      <w:r>
        <w:rPr>
          <w:lang w:val="en-US"/>
        </w:rPr>
        <w:t>para 245.</w:t>
      </w:r>
    </w:p>
  </w:footnote>
  <w:footnote w:id="16">
    <w:p w14:paraId="1663167B" w14:textId="2C4B19A3" w:rsidR="00D75B91" w:rsidRPr="00D75B91" w:rsidRDefault="00D75B91" w:rsidP="00A23D4A">
      <w:pPr>
        <w:pStyle w:val="FootnoteText"/>
        <w:spacing w:line="240" w:lineRule="auto"/>
        <w:rPr>
          <w:lang w:val="en-US"/>
        </w:rPr>
      </w:pPr>
      <w:r>
        <w:rPr>
          <w:rStyle w:val="FootnoteReference"/>
        </w:rPr>
        <w:footnoteRef/>
      </w:r>
      <w:r>
        <w:t xml:space="preserve"> </w:t>
      </w:r>
      <w:r>
        <w:rPr>
          <w:i/>
          <w:iCs/>
          <w:lang w:val="en-US"/>
        </w:rPr>
        <w:t>National Treasury</w:t>
      </w:r>
      <w:r>
        <w:rPr>
          <w:lang w:val="en-US"/>
        </w:rPr>
        <w:t xml:space="preserve"> above n 9 para 50.</w:t>
      </w:r>
    </w:p>
  </w:footnote>
  <w:footnote w:id="17">
    <w:p w14:paraId="1B90901C" w14:textId="4152E5D9" w:rsidR="00336564" w:rsidRPr="00336564" w:rsidRDefault="00336564" w:rsidP="00A23D4A">
      <w:pPr>
        <w:pStyle w:val="FootnoteText"/>
        <w:spacing w:line="240" w:lineRule="auto"/>
        <w:jc w:val="both"/>
        <w:rPr>
          <w:lang w:val="en-US"/>
        </w:rPr>
      </w:pPr>
      <w:r>
        <w:rPr>
          <w:rStyle w:val="FootnoteReference"/>
        </w:rPr>
        <w:footnoteRef/>
      </w:r>
      <w:r>
        <w:t xml:space="preserve"> </w:t>
      </w:r>
      <w:r>
        <w:rPr>
          <w:i/>
          <w:iCs/>
          <w:lang w:val="en-US"/>
        </w:rPr>
        <w:t xml:space="preserve">Webster v Mitchell </w:t>
      </w:r>
      <w:r w:rsidR="00A23D4A">
        <w:rPr>
          <w:lang w:val="en-US"/>
        </w:rPr>
        <w:t xml:space="preserve">above n 5 </w:t>
      </w:r>
      <w:r>
        <w:rPr>
          <w:lang w:val="en-US"/>
        </w:rPr>
        <w:t xml:space="preserve">at 1189 and </w:t>
      </w:r>
      <w:r>
        <w:rPr>
          <w:i/>
          <w:iCs/>
          <w:lang w:val="en-US"/>
        </w:rPr>
        <w:t>Gool</w:t>
      </w:r>
      <w:r>
        <w:rPr>
          <w:lang w:val="en-US"/>
        </w:rPr>
        <w:t xml:space="preserve"> </w:t>
      </w:r>
      <w:r w:rsidR="00A23D4A">
        <w:rPr>
          <w:lang w:val="en-US"/>
        </w:rPr>
        <w:t xml:space="preserve">above n 6 </w:t>
      </w:r>
      <w:r>
        <w:rPr>
          <w:lang w:val="en-US"/>
        </w:rPr>
        <w:t xml:space="preserve">at 688A, cited with approval in </w:t>
      </w:r>
      <w:r>
        <w:rPr>
          <w:i/>
          <w:iCs/>
          <w:lang w:val="en-US"/>
        </w:rPr>
        <w:t>Eskom</w:t>
      </w:r>
      <w:r>
        <w:rPr>
          <w:lang w:val="en-US"/>
        </w:rPr>
        <w:t xml:space="preserve"> </w:t>
      </w:r>
      <w:r w:rsidR="00A23D4A">
        <w:rPr>
          <w:lang w:val="en-US"/>
        </w:rPr>
        <w:t>above n</w:t>
      </w:r>
      <w:r w:rsidR="007612D1">
        <w:rPr>
          <w:lang w:val="en-US"/>
        </w:rPr>
        <w:t xml:space="preserve"> 14</w:t>
      </w:r>
      <w:r w:rsidR="00A23D4A">
        <w:rPr>
          <w:lang w:val="en-US"/>
        </w:rPr>
        <w:t xml:space="preserve"> </w:t>
      </w:r>
      <w:r>
        <w:rPr>
          <w:lang w:val="en-US"/>
        </w:rPr>
        <w:t>para 293.</w:t>
      </w:r>
    </w:p>
  </w:footnote>
  <w:footnote w:id="18">
    <w:p w14:paraId="50C0553F" w14:textId="7866660E" w:rsidR="00133FD1" w:rsidRPr="00133FD1" w:rsidRDefault="00133FD1" w:rsidP="00A23D4A">
      <w:pPr>
        <w:pStyle w:val="FootnoteText"/>
        <w:spacing w:line="240" w:lineRule="auto"/>
        <w:jc w:val="both"/>
        <w:rPr>
          <w:lang w:val="en-US"/>
        </w:rPr>
      </w:pPr>
      <w:r>
        <w:rPr>
          <w:rStyle w:val="FootnoteReference"/>
        </w:rPr>
        <w:footnoteRef/>
      </w:r>
      <w:r>
        <w:t xml:space="preserve"> </w:t>
      </w:r>
      <w:r>
        <w:rPr>
          <w:lang w:val="en-US"/>
        </w:rPr>
        <w:t xml:space="preserve">Cf </w:t>
      </w:r>
      <w:r w:rsidR="00E947B1">
        <w:rPr>
          <w:i/>
          <w:iCs/>
          <w:lang w:val="en-US"/>
        </w:rPr>
        <w:t xml:space="preserve">EFF </w:t>
      </w:r>
      <w:r w:rsidR="00C45785">
        <w:rPr>
          <w:lang w:val="en-US"/>
        </w:rPr>
        <w:t xml:space="preserve">above n 10 </w:t>
      </w:r>
      <w:r>
        <w:rPr>
          <w:lang w:val="en-US"/>
        </w:rPr>
        <w:t>para 22.</w:t>
      </w:r>
    </w:p>
  </w:footnote>
  <w:footnote w:id="19">
    <w:p w14:paraId="79D75FFF" w14:textId="72789292" w:rsidR="00693329" w:rsidRPr="00ED5EBE" w:rsidRDefault="00693329" w:rsidP="00A23D4A">
      <w:pPr>
        <w:pStyle w:val="FootnoteText"/>
        <w:spacing w:line="240" w:lineRule="auto"/>
        <w:jc w:val="both"/>
        <w:rPr>
          <w:lang w:val="en-US"/>
        </w:rPr>
      </w:pPr>
      <w:r>
        <w:rPr>
          <w:rStyle w:val="FootnoteReference"/>
        </w:rPr>
        <w:footnoteRef/>
      </w:r>
      <w:r>
        <w:t xml:space="preserve"> </w:t>
      </w:r>
      <w:r>
        <w:rPr>
          <w:lang w:val="en-US"/>
        </w:rPr>
        <w:t xml:space="preserve">See </w:t>
      </w:r>
      <w:r w:rsidR="00364C02">
        <w:rPr>
          <w:i/>
          <w:iCs/>
          <w:lang w:val="en-US"/>
        </w:rPr>
        <w:t xml:space="preserve">National Treasury </w:t>
      </w:r>
      <w:r w:rsidR="00364C02">
        <w:rPr>
          <w:lang w:val="en-US"/>
        </w:rPr>
        <w:t>above n 9</w:t>
      </w:r>
      <w:r>
        <w:rPr>
          <w:lang w:val="en-US"/>
        </w:rPr>
        <w:t xml:space="preserve"> para 47.</w:t>
      </w:r>
      <w:r w:rsidR="00ED5EBE">
        <w:rPr>
          <w:lang w:val="en-US"/>
        </w:rPr>
        <w:t xml:space="preserve"> </w:t>
      </w:r>
      <w:r w:rsidR="00ED5EBE">
        <w:rPr>
          <w:i/>
          <w:iCs/>
          <w:lang w:val="en-US"/>
        </w:rPr>
        <w:t>Down Touch Investments (Pty) Ltd v The South National Road Agency Soc Limited</w:t>
      </w:r>
      <w:r w:rsidR="00ED5EBE">
        <w:rPr>
          <w:lang w:val="en-US"/>
        </w:rPr>
        <w:t xml:space="preserve"> 2020 JDR 2278 (ECG)</w:t>
      </w:r>
      <w:r w:rsidR="008E1256">
        <w:rPr>
          <w:lang w:val="en-US"/>
        </w:rPr>
        <w:t xml:space="preserve"> para 44.</w:t>
      </w:r>
    </w:p>
  </w:footnote>
  <w:footnote w:id="20">
    <w:p w14:paraId="263599EC" w14:textId="67CD5864" w:rsidR="00172E18" w:rsidRPr="00172E18" w:rsidRDefault="00172E18" w:rsidP="00A23D4A">
      <w:pPr>
        <w:pStyle w:val="FootnoteText"/>
        <w:spacing w:line="240" w:lineRule="auto"/>
        <w:jc w:val="both"/>
        <w:rPr>
          <w:lang w:val="en-US"/>
        </w:rPr>
      </w:pPr>
      <w:r>
        <w:rPr>
          <w:rStyle w:val="FootnoteReference"/>
        </w:rPr>
        <w:footnoteRef/>
      </w:r>
      <w:r>
        <w:t xml:space="preserve"> </w:t>
      </w:r>
      <w:r w:rsidR="0059183E">
        <w:rPr>
          <w:i/>
          <w:iCs/>
          <w:lang w:val="en-US"/>
        </w:rPr>
        <w:t>National Treasury</w:t>
      </w:r>
      <w:r w:rsidR="0059183E">
        <w:rPr>
          <w:lang w:val="en-US"/>
        </w:rPr>
        <w:t xml:space="preserve"> above n 9</w:t>
      </w:r>
      <w:r>
        <w:rPr>
          <w:lang w:val="en-US"/>
        </w:rPr>
        <w:t xml:space="preserve"> para 67-8.</w:t>
      </w:r>
    </w:p>
  </w:footnote>
  <w:footnote w:id="21">
    <w:p w14:paraId="726985CF" w14:textId="699D42D5" w:rsidR="009A71B8" w:rsidRPr="009A71B8" w:rsidRDefault="009A71B8" w:rsidP="00A23D4A">
      <w:pPr>
        <w:pStyle w:val="FootnoteText"/>
        <w:spacing w:line="240" w:lineRule="auto"/>
        <w:jc w:val="both"/>
        <w:rPr>
          <w:lang w:val="en-US"/>
        </w:rPr>
      </w:pPr>
      <w:r>
        <w:rPr>
          <w:rStyle w:val="FootnoteReference"/>
        </w:rPr>
        <w:footnoteRef/>
      </w:r>
      <w:r>
        <w:t xml:space="preserve"> </w:t>
      </w:r>
      <w:r>
        <w:rPr>
          <w:i/>
          <w:iCs/>
          <w:lang w:val="en-US"/>
        </w:rPr>
        <w:t>Eskom</w:t>
      </w:r>
      <w:r>
        <w:rPr>
          <w:lang w:val="en-US"/>
        </w:rPr>
        <w:t xml:space="preserve"> </w:t>
      </w:r>
      <w:r w:rsidR="00224CE2">
        <w:rPr>
          <w:lang w:val="en-US"/>
        </w:rPr>
        <w:t xml:space="preserve">above n 14 </w:t>
      </w:r>
      <w:r>
        <w:rPr>
          <w:lang w:val="en-US"/>
        </w:rPr>
        <w:t>para 302.</w:t>
      </w:r>
      <w:r w:rsidR="00BB571C">
        <w:rPr>
          <w:lang w:val="en-US"/>
        </w:rPr>
        <w:t xml:space="preserve"> </w:t>
      </w:r>
    </w:p>
  </w:footnote>
  <w:footnote w:id="22">
    <w:p w14:paraId="16FF449F" w14:textId="555D8356" w:rsidR="004F49DE" w:rsidRPr="004F49DE" w:rsidRDefault="004F49DE" w:rsidP="00A23D4A">
      <w:pPr>
        <w:pStyle w:val="FootnoteText"/>
        <w:spacing w:line="240" w:lineRule="auto"/>
        <w:jc w:val="both"/>
        <w:rPr>
          <w:lang w:val="en-US"/>
        </w:rPr>
      </w:pPr>
      <w:r>
        <w:rPr>
          <w:rStyle w:val="FootnoteReference"/>
        </w:rPr>
        <w:footnoteRef/>
      </w:r>
      <w:r>
        <w:t xml:space="preserve"> </w:t>
      </w:r>
      <w:r>
        <w:rPr>
          <w:i/>
          <w:iCs/>
          <w:lang w:val="en-US"/>
        </w:rPr>
        <w:t xml:space="preserve">Eriksen Ltd v Protea Motors and Another </w:t>
      </w:r>
      <w:r w:rsidRPr="007C3B60">
        <w:rPr>
          <w:lang w:val="en-US"/>
        </w:rPr>
        <w:t>1973 (3) SA 685 (A) at 691C-G</w:t>
      </w:r>
      <w:r w:rsidR="00A42EBA">
        <w:rPr>
          <w:lang w:val="en-US"/>
        </w:rPr>
        <w:t>.</w:t>
      </w:r>
    </w:p>
  </w:footnote>
  <w:footnote w:id="23">
    <w:p w14:paraId="043E58CE" w14:textId="73B90FE9" w:rsidR="007D6E3A" w:rsidRPr="007D6E3A" w:rsidRDefault="007D6E3A" w:rsidP="00A23D4A">
      <w:pPr>
        <w:pStyle w:val="FootnoteText"/>
        <w:spacing w:line="240" w:lineRule="auto"/>
        <w:jc w:val="both"/>
        <w:rPr>
          <w:lang w:val="en-US"/>
        </w:rPr>
      </w:pPr>
      <w:r>
        <w:rPr>
          <w:rStyle w:val="FootnoteReference"/>
        </w:rPr>
        <w:footnoteRef/>
      </w:r>
      <w:r>
        <w:t xml:space="preserve"> </w:t>
      </w:r>
      <w:r>
        <w:rPr>
          <w:i/>
          <w:iCs/>
          <w:lang w:val="en-US"/>
        </w:rPr>
        <w:t>EFF</w:t>
      </w:r>
      <w:r>
        <w:rPr>
          <w:lang w:val="en-US"/>
        </w:rPr>
        <w:t xml:space="preserve"> </w:t>
      </w:r>
      <w:r w:rsidR="00543DA7">
        <w:rPr>
          <w:lang w:val="en-US"/>
        </w:rPr>
        <w:t xml:space="preserve">above n 10 </w:t>
      </w:r>
      <w:r>
        <w:rPr>
          <w:lang w:val="en-US"/>
        </w:rPr>
        <w:t>para 47.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4796027"/>
      <w:docPartObj>
        <w:docPartGallery w:val="Page Numbers (Top of Page)"/>
        <w:docPartUnique/>
      </w:docPartObj>
    </w:sdtPr>
    <w:sdtEndPr>
      <w:rPr>
        <w:rStyle w:val="PageNumber"/>
      </w:rPr>
    </w:sdtEndPr>
    <w:sdtContent>
      <w:p w14:paraId="35370323" w14:textId="40F6C2C8"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171D8">
          <w:rPr>
            <w:rStyle w:val="PageNumber"/>
            <w:noProof/>
          </w:rPr>
          <w:t>14</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42618B"/>
    <w:multiLevelType w:val="hybridMultilevel"/>
    <w:tmpl w:val="84C84FEE"/>
    <w:lvl w:ilvl="0" w:tplc="26AAB8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85996"/>
    <w:multiLevelType w:val="hybridMultilevel"/>
    <w:tmpl w:val="069870B0"/>
    <w:lvl w:ilvl="0" w:tplc="B03A42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F7F86"/>
    <w:multiLevelType w:val="multilevel"/>
    <w:tmpl w:val="1C566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5F1397"/>
    <w:multiLevelType w:val="hybridMultilevel"/>
    <w:tmpl w:val="0F70BCAA"/>
    <w:lvl w:ilvl="0" w:tplc="228222E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A242B8"/>
    <w:multiLevelType w:val="hybridMultilevel"/>
    <w:tmpl w:val="393C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261E73"/>
    <w:multiLevelType w:val="multilevel"/>
    <w:tmpl w:val="D17043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C65DA3"/>
    <w:multiLevelType w:val="hybridMultilevel"/>
    <w:tmpl w:val="F78AFD0E"/>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BD3512"/>
    <w:multiLevelType w:val="hybridMultilevel"/>
    <w:tmpl w:val="4612B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963BAB"/>
    <w:multiLevelType w:val="hybridMultilevel"/>
    <w:tmpl w:val="6660EFC6"/>
    <w:lvl w:ilvl="0" w:tplc="F9189A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BC26CBB"/>
    <w:multiLevelType w:val="hybridMultilevel"/>
    <w:tmpl w:val="DB0841E6"/>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C5411A"/>
    <w:multiLevelType w:val="hybridMultilevel"/>
    <w:tmpl w:val="F0966638"/>
    <w:lvl w:ilvl="0" w:tplc="0A6882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8E0B15"/>
    <w:multiLevelType w:val="hybridMultilevel"/>
    <w:tmpl w:val="61BCD9D2"/>
    <w:lvl w:ilvl="0" w:tplc="A71C844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D53A4E"/>
    <w:multiLevelType w:val="hybridMultilevel"/>
    <w:tmpl w:val="F58A3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8"/>
  </w:num>
  <w:num w:numId="6">
    <w:abstractNumId w:val="9"/>
  </w:num>
  <w:num w:numId="7">
    <w:abstractNumId w:val="22"/>
  </w:num>
  <w:num w:numId="8">
    <w:abstractNumId w:val="1"/>
  </w:num>
  <w:num w:numId="9">
    <w:abstractNumId w:val="8"/>
  </w:num>
  <w:num w:numId="10">
    <w:abstractNumId w:val="11"/>
  </w:num>
  <w:num w:numId="11">
    <w:abstractNumId w:val="21"/>
  </w:num>
  <w:num w:numId="12">
    <w:abstractNumId w:val="10"/>
  </w:num>
  <w:num w:numId="13">
    <w:abstractNumId w:val="13"/>
  </w:num>
  <w:num w:numId="14">
    <w:abstractNumId w:val="1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0"/>
  </w:num>
  <w:num w:numId="18">
    <w:abstractNumId w:val="15"/>
  </w:num>
  <w:num w:numId="19">
    <w:abstractNumId w:val="23"/>
  </w:num>
  <w:num w:numId="20">
    <w:abstractNumId w:val="14"/>
  </w:num>
  <w:num w:numId="21">
    <w:abstractNumId w:val="2"/>
  </w:num>
  <w:num w:numId="22">
    <w:abstractNumId w:val="4"/>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1146"/>
    <w:rsid w:val="0000206B"/>
    <w:rsid w:val="0000217A"/>
    <w:rsid w:val="00003C0F"/>
    <w:rsid w:val="00004CC9"/>
    <w:rsid w:val="00004E1E"/>
    <w:rsid w:val="00005691"/>
    <w:rsid w:val="00005ABB"/>
    <w:rsid w:val="00005BC2"/>
    <w:rsid w:val="0000642E"/>
    <w:rsid w:val="00006A5F"/>
    <w:rsid w:val="00006B62"/>
    <w:rsid w:val="00006D19"/>
    <w:rsid w:val="00006EF3"/>
    <w:rsid w:val="00007087"/>
    <w:rsid w:val="00007904"/>
    <w:rsid w:val="000109B4"/>
    <w:rsid w:val="00012A2F"/>
    <w:rsid w:val="00013C4F"/>
    <w:rsid w:val="00014437"/>
    <w:rsid w:val="00014770"/>
    <w:rsid w:val="000161E8"/>
    <w:rsid w:val="00016FDA"/>
    <w:rsid w:val="000172B5"/>
    <w:rsid w:val="00020460"/>
    <w:rsid w:val="000220C3"/>
    <w:rsid w:val="00022804"/>
    <w:rsid w:val="0002365D"/>
    <w:rsid w:val="000243CC"/>
    <w:rsid w:val="00027DA3"/>
    <w:rsid w:val="00030A25"/>
    <w:rsid w:val="00031B49"/>
    <w:rsid w:val="000323B0"/>
    <w:rsid w:val="00033C59"/>
    <w:rsid w:val="000341AF"/>
    <w:rsid w:val="00034B32"/>
    <w:rsid w:val="0003553E"/>
    <w:rsid w:val="0004040E"/>
    <w:rsid w:val="00040470"/>
    <w:rsid w:val="00040F79"/>
    <w:rsid w:val="00041538"/>
    <w:rsid w:val="000422CD"/>
    <w:rsid w:val="0004347D"/>
    <w:rsid w:val="0004373B"/>
    <w:rsid w:val="00044B50"/>
    <w:rsid w:val="0004501B"/>
    <w:rsid w:val="000451D0"/>
    <w:rsid w:val="00047035"/>
    <w:rsid w:val="0004779D"/>
    <w:rsid w:val="000478E8"/>
    <w:rsid w:val="0005061D"/>
    <w:rsid w:val="00051AF2"/>
    <w:rsid w:val="00051F6C"/>
    <w:rsid w:val="000536A1"/>
    <w:rsid w:val="000536DD"/>
    <w:rsid w:val="00053D81"/>
    <w:rsid w:val="00054DEC"/>
    <w:rsid w:val="00055C33"/>
    <w:rsid w:val="00056042"/>
    <w:rsid w:val="00056FBA"/>
    <w:rsid w:val="000574BF"/>
    <w:rsid w:val="0006181E"/>
    <w:rsid w:val="00063188"/>
    <w:rsid w:val="00063781"/>
    <w:rsid w:val="00063C6E"/>
    <w:rsid w:val="00063D5A"/>
    <w:rsid w:val="0006762A"/>
    <w:rsid w:val="0007050F"/>
    <w:rsid w:val="0007234C"/>
    <w:rsid w:val="000723E8"/>
    <w:rsid w:val="0007399B"/>
    <w:rsid w:val="00073EFC"/>
    <w:rsid w:val="00075260"/>
    <w:rsid w:val="000778A4"/>
    <w:rsid w:val="00080D4E"/>
    <w:rsid w:val="000815F5"/>
    <w:rsid w:val="00081E7D"/>
    <w:rsid w:val="00083322"/>
    <w:rsid w:val="00083386"/>
    <w:rsid w:val="000833DB"/>
    <w:rsid w:val="00084C6F"/>
    <w:rsid w:val="00085D53"/>
    <w:rsid w:val="00086278"/>
    <w:rsid w:val="00086A06"/>
    <w:rsid w:val="0008715C"/>
    <w:rsid w:val="0009015D"/>
    <w:rsid w:val="000910CD"/>
    <w:rsid w:val="00091F8C"/>
    <w:rsid w:val="00093584"/>
    <w:rsid w:val="00094879"/>
    <w:rsid w:val="0009497C"/>
    <w:rsid w:val="00095284"/>
    <w:rsid w:val="00096BC1"/>
    <w:rsid w:val="000976CA"/>
    <w:rsid w:val="000A39A5"/>
    <w:rsid w:val="000A59DC"/>
    <w:rsid w:val="000B0946"/>
    <w:rsid w:val="000B0DC8"/>
    <w:rsid w:val="000B26AE"/>
    <w:rsid w:val="000B26CF"/>
    <w:rsid w:val="000B5790"/>
    <w:rsid w:val="000B5FBC"/>
    <w:rsid w:val="000B6309"/>
    <w:rsid w:val="000B6342"/>
    <w:rsid w:val="000B643B"/>
    <w:rsid w:val="000B690B"/>
    <w:rsid w:val="000B78EC"/>
    <w:rsid w:val="000C0413"/>
    <w:rsid w:val="000C2D21"/>
    <w:rsid w:val="000C3531"/>
    <w:rsid w:val="000C3620"/>
    <w:rsid w:val="000C39A5"/>
    <w:rsid w:val="000C3A6D"/>
    <w:rsid w:val="000C450C"/>
    <w:rsid w:val="000C599B"/>
    <w:rsid w:val="000C67E0"/>
    <w:rsid w:val="000C6FB4"/>
    <w:rsid w:val="000C7746"/>
    <w:rsid w:val="000C7A27"/>
    <w:rsid w:val="000D085B"/>
    <w:rsid w:val="000D0D78"/>
    <w:rsid w:val="000D17EF"/>
    <w:rsid w:val="000D22FB"/>
    <w:rsid w:val="000D487F"/>
    <w:rsid w:val="000D4BFA"/>
    <w:rsid w:val="000D4C7F"/>
    <w:rsid w:val="000D667A"/>
    <w:rsid w:val="000E1C45"/>
    <w:rsid w:val="000E2444"/>
    <w:rsid w:val="000E3A93"/>
    <w:rsid w:val="000E3E15"/>
    <w:rsid w:val="000E4F0D"/>
    <w:rsid w:val="000E5100"/>
    <w:rsid w:val="000E5E80"/>
    <w:rsid w:val="000E7ECD"/>
    <w:rsid w:val="000E7F7C"/>
    <w:rsid w:val="000F05E0"/>
    <w:rsid w:val="000F16BA"/>
    <w:rsid w:val="000F1A95"/>
    <w:rsid w:val="000F6BFE"/>
    <w:rsid w:val="000F7DF4"/>
    <w:rsid w:val="0010068E"/>
    <w:rsid w:val="00100B8E"/>
    <w:rsid w:val="00100F9A"/>
    <w:rsid w:val="0010218C"/>
    <w:rsid w:val="00102D5B"/>
    <w:rsid w:val="001044DB"/>
    <w:rsid w:val="00105EB6"/>
    <w:rsid w:val="0010622C"/>
    <w:rsid w:val="001078B5"/>
    <w:rsid w:val="00107A5F"/>
    <w:rsid w:val="0011026A"/>
    <w:rsid w:val="00110EF0"/>
    <w:rsid w:val="00112202"/>
    <w:rsid w:val="001124A5"/>
    <w:rsid w:val="001148E0"/>
    <w:rsid w:val="001152C5"/>
    <w:rsid w:val="00116EB9"/>
    <w:rsid w:val="0012081E"/>
    <w:rsid w:val="00120E93"/>
    <w:rsid w:val="001226DE"/>
    <w:rsid w:val="00123296"/>
    <w:rsid w:val="0012615C"/>
    <w:rsid w:val="0012621C"/>
    <w:rsid w:val="00126CCB"/>
    <w:rsid w:val="00130228"/>
    <w:rsid w:val="00131984"/>
    <w:rsid w:val="00131A28"/>
    <w:rsid w:val="001337CC"/>
    <w:rsid w:val="00133FD1"/>
    <w:rsid w:val="00134276"/>
    <w:rsid w:val="00134C11"/>
    <w:rsid w:val="00134DA6"/>
    <w:rsid w:val="00135C81"/>
    <w:rsid w:val="00137E08"/>
    <w:rsid w:val="00141840"/>
    <w:rsid w:val="00142F79"/>
    <w:rsid w:val="001435EB"/>
    <w:rsid w:val="00144974"/>
    <w:rsid w:val="00146249"/>
    <w:rsid w:val="00146BA3"/>
    <w:rsid w:val="0015098D"/>
    <w:rsid w:val="001517E0"/>
    <w:rsid w:val="001527A3"/>
    <w:rsid w:val="00153496"/>
    <w:rsid w:val="00157785"/>
    <w:rsid w:val="00157898"/>
    <w:rsid w:val="00157C19"/>
    <w:rsid w:val="00160EBC"/>
    <w:rsid w:val="00160F58"/>
    <w:rsid w:val="00162F7D"/>
    <w:rsid w:val="00163A58"/>
    <w:rsid w:val="0016477F"/>
    <w:rsid w:val="00164B7B"/>
    <w:rsid w:val="00164FAD"/>
    <w:rsid w:val="00166574"/>
    <w:rsid w:val="0016718B"/>
    <w:rsid w:val="00172B5C"/>
    <w:rsid w:val="00172E18"/>
    <w:rsid w:val="00173497"/>
    <w:rsid w:val="00173547"/>
    <w:rsid w:val="00174B6D"/>
    <w:rsid w:val="00175DF8"/>
    <w:rsid w:val="0017614D"/>
    <w:rsid w:val="0018006A"/>
    <w:rsid w:val="00180F4E"/>
    <w:rsid w:val="00181923"/>
    <w:rsid w:val="00181B01"/>
    <w:rsid w:val="00181E7E"/>
    <w:rsid w:val="00182175"/>
    <w:rsid w:val="00184625"/>
    <w:rsid w:val="00186769"/>
    <w:rsid w:val="001870AF"/>
    <w:rsid w:val="00191768"/>
    <w:rsid w:val="00192869"/>
    <w:rsid w:val="00194115"/>
    <w:rsid w:val="001943D2"/>
    <w:rsid w:val="0019535E"/>
    <w:rsid w:val="001954F0"/>
    <w:rsid w:val="00195571"/>
    <w:rsid w:val="001955AB"/>
    <w:rsid w:val="00196536"/>
    <w:rsid w:val="00196742"/>
    <w:rsid w:val="0019752F"/>
    <w:rsid w:val="001A4A67"/>
    <w:rsid w:val="001A4BE7"/>
    <w:rsid w:val="001A4F33"/>
    <w:rsid w:val="001B0D01"/>
    <w:rsid w:val="001B18EF"/>
    <w:rsid w:val="001B2578"/>
    <w:rsid w:val="001B2B91"/>
    <w:rsid w:val="001B2FE4"/>
    <w:rsid w:val="001B505F"/>
    <w:rsid w:val="001B69E3"/>
    <w:rsid w:val="001B7729"/>
    <w:rsid w:val="001C04BC"/>
    <w:rsid w:val="001C1478"/>
    <w:rsid w:val="001C232A"/>
    <w:rsid w:val="001C24AF"/>
    <w:rsid w:val="001C2DD7"/>
    <w:rsid w:val="001C48A5"/>
    <w:rsid w:val="001C7061"/>
    <w:rsid w:val="001D070F"/>
    <w:rsid w:val="001D0962"/>
    <w:rsid w:val="001D214B"/>
    <w:rsid w:val="001D4C5E"/>
    <w:rsid w:val="001D57CD"/>
    <w:rsid w:val="001D5A9D"/>
    <w:rsid w:val="001D5F83"/>
    <w:rsid w:val="001D61C8"/>
    <w:rsid w:val="001D65C0"/>
    <w:rsid w:val="001E0F36"/>
    <w:rsid w:val="001E1834"/>
    <w:rsid w:val="001E1B07"/>
    <w:rsid w:val="001E1E07"/>
    <w:rsid w:val="001E24E0"/>
    <w:rsid w:val="001E2601"/>
    <w:rsid w:val="001E33FD"/>
    <w:rsid w:val="001E4119"/>
    <w:rsid w:val="001E4824"/>
    <w:rsid w:val="001E4C57"/>
    <w:rsid w:val="001E640A"/>
    <w:rsid w:val="001E658D"/>
    <w:rsid w:val="001E6A6E"/>
    <w:rsid w:val="001E701F"/>
    <w:rsid w:val="001E7844"/>
    <w:rsid w:val="001E78D5"/>
    <w:rsid w:val="001E7C8F"/>
    <w:rsid w:val="001F2276"/>
    <w:rsid w:val="001F335C"/>
    <w:rsid w:val="001F3A41"/>
    <w:rsid w:val="001F59AB"/>
    <w:rsid w:val="001F5AFD"/>
    <w:rsid w:val="001F7EF5"/>
    <w:rsid w:val="00201DC6"/>
    <w:rsid w:val="00201F12"/>
    <w:rsid w:val="00206D6C"/>
    <w:rsid w:val="00207573"/>
    <w:rsid w:val="002115FE"/>
    <w:rsid w:val="00213565"/>
    <w:rsid w:val="0021430F"/>
    <w:rsid w:val="002154D2"/>
    <w:rsid w:val="00215EBC"/>
    <w:rsid w:val="00217121"/>
    <w:rsid w:val="0021730A"/>
    <w:rsid w:val="00217399"/>
    <w:rsid w:val="002203EC"/>
    <w:rsid w:val="00220833"/>
    <w:rsid w:val="00222854"/>
    <w:rsid w:val="00224363"/>
    <w:rsid w:val="00224CE2"/>
    <w:rsid w:val="0022594E"/>
    <w:rsid w:val="00226444"/>
    <w:rsid w:val="00226ADA"/>
    <w:rsid w:val="00227379"/>
    <w:rsid w:val="00227580"/>
    <w:rsid w:val="002275DD"/>
    <w:rsid w:val="00230B10"/>
    <w:rsid w:val="00231325"/>
    <w:rsid w:val="002327AF"/>
    <w:rsid w:val="0023410F"/>
    <w:rsid w:val="00234A6A"/>
    <w:rsid w:val="0023677B"/>
    <w:rsid w:val="00236B9D"/>
    <w:rsid w:val="00237273"/>
    <w:rsid w:val="0023768E"/>
    <w:rsid w:val="002402F6"/>
    <w:rsid w:val="00245504"/>
    <w:rsid w:val="00245BEB"/>
    <w:rsid w:val="00246150"/>
    <w:rsid w:val="00247551"/>
    <w:rsid w:val="00250530"/>
    <w:rsid w:val="0025056A"/>
    <w:rsid w:val="00251ACD"/>
    <w:rsid w:val="0025292B"/>
    <w:rsid w:val="00252FC1"/>
    <w:rsid w:val="00253273"/>
    <w:rsid w:val="002544D9"/>
    <w:rsid w:val="00256208"/>
    <w:rsid w:val="00256FCC"/>
    <w:rsid w:val="00257A15"/>
    <w:rsid w:val="002606D8"/>
    <w:rsid w:val="00260A94"/>
    <w:rsid w:val="00260B67"/>
    <w:rsid w:val="002611C7"/>
    <w:rsid w:val="002612A5"/>
    <w:rsid w:val="00261583"/>
    <w:rsid w:val="0026158F"/>
    <w:rsid w:val="002617D8"/>
    <w:rsid w:val="00262596"/>
    <w:rsid w:val="00262C99"/>
    <w:rsid w:val="00262D2A"/>
    <w:rsid w:val="002635B7"/>
    <w:rsid w:val="00263B8D"/>
    <w:rsid w:val="0026495C"/>
    <w:rsid w:val="00265010"/>
    <w:rsid w:val="00265180"/>
    <w:rsid w:val="00265AEB"/>
    <w:rsid w:val="00265C6D"/>
    <w:rsid w:val="0026634E"/>
    <w:rsid w:val="0026645C"/>
    <w:rsid w:val="00267CFB"/>
    <w:rsid w:val="002705E9"/>
    <w:rsid w:val="00273903"/>
    <w:rsid w:val="00274C64"/>
    <w:rsid w:val="00275410"/>
    <w:rsid w:val="00276100"/>
    <w:rsid w:val="00277EB6"/>
    <w:rsid w:val="0028182D"/>
    <w:rsid w:val="0028527C"/>
    <w:rsid w:val="002852C4"/>
    <w:rsid w:val="00285664"/>
    <w:rsid w:val="00287A18"/>
    <w:rsid w:val="00287A26"/>
    <w:rsid w:val="00290DC6"/>
    <w:rsid w:val="00290E92"/>
    <w:rsid w:val="0029395B"/>
    <w:rsid w:val="00294129"/>
    <w:rsid w:val="00294313"/>
    <w:rsid w:val="00295A0A"/>
    <w:rsid w:val="002960D0"/>
    <w:rsid w:val="002A01B5"/>
    <w:rsid w:val="002A080F"/>
    <w:rsid w:val="002A0EB5"/>
    <w:rsid w:val="002A0FB9"/>
    <w:rsid w:val="002A157A"/>
    <w:rsid w:val="002A1950"/>
    <w:rsid w:val="002A1D97"/>
    <w:rsid w:val="002A1E2F"/>
    <w:rsid w:val="002A21AF"/>
    <w:rsid w:val="002A2AA4"/>
    <w:rsid w:val="002A3836"/>
    <w:rsid w:val="002A3C5C"/>
    <w:rsid w:val="002A46C2"/>
    <w:rsid w:val="002A5305"/>
    <w:rsid w:val="002A5891"/>
    <w:rsid w:val="002A61D9"/>
    <w:rsid w:val="002A6332"/>
    <w:rsid w:val="002A6593"/>
    <w:rsid w:val="002A6B82"/>
    <w:rsid w:val="002A73A7"/>
    <w:rsid w:val="002A7797"/>
    <w:rsid w:val="002B0DEA"/>
    <w:rsid w:val="002B1390"/>
    <w:rsid w:val="002B155D"/>
    <w:rsid w:val="002B2268"/>
    <w:rsid w:val="002B31B7"/>
    <w:rsid w:val="002B3FE3"/>
    <w:rsid w:val="002B54B7"/>
    <w:rsid w:val="002B57C1"/>
    <w:rsid w:val="002B6730"/>
    <w:rsid w:val="002B7155"/>
    <w:rsid w:val="002B7874"/>
    <w:rsid w:val="002C1ECF"/>
    <w:rsid w:val="002C1ED3"/>
    <w:rsid w:val="002C3A0D"/>
    <w:rsid w:val="002C45D8"/>
    <w:rsid w:val="002C5462"/>
    <w:rsid w:val="002C7128"/>
    <w:rsid w:val="002D20C4"/>
    <w:rsid w:val="002D2D96"/>
    <w:rsid w:val="002D4422"/>
    <w:rsid w:val="002D4CBC"/>
    <w:rsid w:val="002D6D70"/>
    <w:rsid w:val="002D7292"/>
    <w:rsid w:val="002E011F"/>
    <w:rsid w:val="002E0CCA"/>
    <w:rsid w:val="002E0F57"/>
    <w:rsid w:val="002E141A"/>
    <w:rsid w:val="002E1B95"/>
    <w:rsid w:val="002E3EC7"/>
    <w:rsid w:val="002E4808"/>
    <w:rsid w:val="002E483E"/>
    <w:rsid w:val="002E6855"/>
    <w:rsid w:val="002E6D7C"/>
    <w:rsid w:val="002E7045"/>
    <w:rsid w:val="002E7199"/>
    <w:rsid w:val="002E787B"/>
    <w:rsid w:val="002F0070"/>
    <w:rsid w:val="002F012F"/>
    <w:rsid w:val="002F0513"/>
    <w:rsid w:val="002F0990"/>
    <w:rsid w:val="002F0C58"/>
    <w:rsid w:val="002F13D1"/>
    <w:rsid w:val="002F37F8"/>
    <w:rsid w:val="002F4EDB"/>
    <w:rsid w:val="002F60D3"/>
    <w:rsid w:val="002F7574"/>
    <w:rsid w:val="003007A7"/>
    <w:rsid w:val="00300A59"/>
    <w:rsid w:val="00300E3D"/>
    <w:rsid w:val="0030214A"/>
    <w:rsid w:val="00302B5C"/>
    <w:rsid w:val="00302E78"/>
    <w:rsid w:val="003035F7"/>
    <w:rsid w:val="00306288"/>
    <w:rsid w:val="003103C1"/>
    <w:rsid w:val="0031225F"/>
    <w:rsid w:val="003140F9"/>
    <w:rsid w:val="003142B4"/>
    <w:rsid w:val="003148EA"/>
    <w:rsid w:val="003150CA"/>
    <w:rsid w:val="00315CB8"/>
    <w:rsid w:val="00315D8D"/>
    <w:rsid w:val="003168ED"/>
    <w:rsid w:val="003172EB"/>
    <w:rsid w:val="00317AB4"/>
    <w:rsid w:val="00320522"/>
    <w:rsid w:val="00321663"/>
    <w:rsid w:val="00321E11"/>
    <w:rsid w:val="003228A7"/>
    <w:rsid w:val="00324CE8"/>
    <w:rsid w:val="00325BD4"/>
    <w:rsid w:val="00326A33"/>
    <w:rsid w:val="0032785C"/>
    <w:rsid w:val="00327E36"/>
    <w:rsid w:val="00327E53"/>
    <w:rsid w:val="00330795"/>
    <w:rsid w:val="00330E85"/>
    <w:rsid w:val="0033219D"/>
    <w:rsid w:val="003329BA"/>
    <w:rsid w:val="00333AF0"/>
    <w:rsid w:val="00333BEA"/>
    <w:rsid w:val="00333F69"/>
    <w:rsid w:val="00334624"/>
    <w:rsid w:val="00335693"/>
    <w:rsid w:val="00335897"/>
    <w:rsid w:val="0033634C"/>
    <w:rsid w:val="00336564"/>
    <w:rsid w:val="0033669D"/>
    <w:rsid w:val="003367DD"/>
    <w:rsid w:val="00336F34"/>
    <w:rsid w:val="00337DFE"/>
    <w:rsid w:val="00341497"/>
    <w:rsid w:val="0034206E"/>
    <w:rsid w:val="00343E5D"/>
    <w:rsid w:val="00343E84"/>
    <w:rsid w:val="0034439B"/>
    <w:rsid w:val="003455A7"/>
    <w:rsid w:val="003469BB"/>
    <w:rsid w:val="00350743"/>
    <w:rsid w:val="00350A47"/>
    <w:rsid w:val="003513CA"/>
    <w:rsid w:val="00351FAC"/>
    <w:rsid w:val="003529AF"/>
    <w:rsid w:val="00353165"/>
    <w:rsid w:val="00353652"/>
    <w:rsid w:val="0035432E"/>
    <w:rsid w:val="003564CA"/>
    <w:rsid w:val="0035756C"/>
    <w:rsid w:val="003576F8"/>
    <w:rsid w:val="00357751"/>
    <w:rsid w:val="003601F1"/>
    <w:rsid w:val="00360BFC"/>
    <w:rsid w:val="00362A40"/>
    <w:rsid w:val="00363BF3"/>
    <w:rsid w:val="003649E8"/>
    <w:rsid w:val="00364C02"/>
    <w:rsid w:val="00365A3A"/>
    <w:rsid w:val="00366631"/>
    <w:rsid w:val="0036668A"/>
    <w:rsid w:val="003679D5"/>
    <w:rsid w:val="00367B79"/>
    <w:rsid w:val="003700BB"/>
    <w:rsid w:val="0037015D"/>
    <w:rsid w:val="0037217E"/>
    <w:rsid w:val="003738E5"/>
    <w:rsid w:val="00373BB6"/>
    <w:rsid w:val="00374F02"/>
    <w:rsid w:val="00375614"/>
    <w:rsid w:val="00380E60"/>
    <w:rsid w:val="00381483"/>
    <w:rsid w:val="00381C36"/>
    <w:rsid w:val="00381D62"/>
    <w:rsid w:val="00382387"/>
    <w:rsid w:val="00382ADF"/>
    <w:rsid w:val="00384C87"/>
    <w:rsid w:val="003869D5"/>
    <w:rsid w:val="003905B9"/>
    <w:rsid w:val="003914E2"/>
    <w:rsid w:val="00391FFC"/>
    <w:rsid w:val="0039206E"/>
    <w:rsid w:val="00392A4B"/>
    <w:rsid w:val="00392AA2"/>
    <w:rsid w:val="00393BA3"/>
    <w:rsid w:val="003947EA"/>
    <w:rsid w:val="0039527F"/>
    <w:rsid w:val="00395A71"/>
    <w:rsid w:val="0039682A"/>
    <w:rsid w:val="003A23BF"/>
    <w:rsid w:val="003A37F4"/>
    <w:rsid w:val="003A4F1D"/>
    <w:rsid w:val="003A4F95"/>
    <w:rsid w:val="003A567D"/>
    <w:rsid w:val="003A6F71"/>
    <w:rsid w:val="003A745C"/>
    <w:rsid w:val="003A757E"/>
    <w:rsid w:val="003A7AA6"/>
    <w:rsid w:val="003A7BAA"/>
    <w:rsid w:val="003B01D4"/>
    <w:rsid w:val="003B036C"/>
    <w:rsid w:val="003B10EC"/>
    <w:rsid w:val="003B1570"/>
    <w:rsid w:val="003B15C9"/>
    <w:rsid w:val="003B21BF"/>
    <w:rsid w:val="003B3C31"/>
    <w:rsid w:val="003B43B8"/>
    <w:rsid w:val="003B5522"/>
    <w:rsid w:val="003B5FEE"/>
    <w:rsid w:val="003B6234"/>
    <w:rsid w:val="003B76D9"/>
    <w:rsid w:val="003C0CEB"/>
    <w:rsid w:val="003C1215"/>
    <w:rsid w:val="003C351A"/>
    <w:rsid w:val="003C3BC6"/>
    <w:rsid w:val="003C54AA"/>
    <w:rsid w:val="003C5934"/>
    <w:rsid w:val="003C7080"/>
    <w:rsid w:val="003C7BBD"/>
    <w:rsid w:val="003D11D0"/>
    <w:rsid w:val="003D146E"/>
    <w:rsid w:val="003D1525"/>
    <w:rsid w:val="003D2105"/>
    <w:rsid w:val="003D239A"/>
    <w:rsid w:val="003D2C74"/>
    <w:rsid w:val="003D5245"/>
    <w:rsid w:val="003D5507"/>
    <w:rsid w:val="003D5A10"/>
    <w:rsid w:val="003D5E6D"/>
    <w:rsid w:val="003D7CB9"/>
    <w:rsid w:val="003E0F7C"/>
    <w:rsid w:val="003E1A50"/>
    <w:rsid w:val="003E1B6C"/>
    <w:rsid w:val="003E2B73"/>
    <w:rsid w:val="003E2F03"/>
    <w:rsid w:val="003E3BBF"/>
    <w:rsid w:val="003E424A"/>
    <w:rsid w:val="003E4702"/>
    <w:rsid w:val="003E75F3"/>
    <w:rsid w:val="003F0619"/>
    <w:rsid w:val="003F0D9E"/>
    <w:rsid w:val="003F12A3"/>
    <w:rsid w:val="003F1974"/>
    <w:rsid w:val="003F2109"/>
    <w:rsid w:val="003F2790"/>
    <w:rsid w:val="003F3C4F"/>
    <w:rsid w:val="003F41EF"/>
    <w:rsid w:val="003F50FF"/>
    <w:rsid w:val="003F5900"/>
    <w:rsid w:val="003F6355"/>
    <w:rsid w:val="003F7A40"/>
    <w:rsid w:val="00400266"/>
    <w:rsid w:val="00400EA2"/>
    <w:rsid w:val="00401A9A"/>
    <w:rsid w:val="00402EEA"/>
    <w:rsid w:val="00404201"/>
    <w:rsid w:val="00405CEF"/>
    <w:rsid w:val="00406282"/>
    <w:rsid w:val="00406337"/>
    <w:rsid w:val="00406A00"/>
    <w:rsid w:val="004074B3"/>
    <w:rsid w:val="004075EA"/>
    <w:rsid w:val="00410C82"/>
    <w:rsid w:val="0041108E"/>
    <w:rsid w:val="00412658"/>
    <w:rsid w:val="00412DF2"/>
    <w:rsid w:val="004138F5"/>
    <w:rsid w:val="00413D22"/>
    <w:rsid w:val="00414C90"/>
    <w:rsid w:val="004165B0"/>
    <w:rsid w:val="004165D6"/>
    <w:rsid w:val="00417973"/>
    <w:rsid w:val="00417AF2"/>
    <w:rsid w:val="0042026F"/>
    <w:rsid w:val="0042163E"/>
    <w:rsid w:val="00422122"/>
    <w:rsid w:val="00423163"/>
    <w:rsid w:val="004244A5"/>
    <w:rsid w:val="00424B2E"/>
    <w:rsid w:val="004254F5"/>
    <w:rsid w:val="00426A33"/>
    <w:rsid w:val="00427318"/>
    <w:rsid w:val="004276CD"/>
    <w:rsid w:val="0042778E"/>
    <w:rsid w:val="00427843"/>
    <w:rsid w:val="00427A35"/>
    <w:rsid w:val="004302B6"/>
    <w:rsid w:val="0043230A"/>
    <w:rsid w:val="0043511C"/>
    <w:rsid w:val="00435538"/>
    <w:rsid w:val="00437E88"/>
    <w:rsid w:val="00440672"/>
    <w:rsid w:val="00440EDE"/>
    <w:rsid w:val="00441E70"/>
    <w:rsid w:val="00443779"/>
    <w:rsid w:val="00443CCC"/>
    <w:rsid w:val="004441E4"/>
    <w:rsid w:val="004448E8"/>
    <w:rsid w:val="004474FB"/>
    <w:rsid w:val="00447553"/>
    <w:rsid w:val="004528CC"/>
    <w:rsid w:val="004529C3"/>
    <w:rsid w:val="00453339"/>
    <w:rsid w:val="00454149"/>
    <w:rsid w:val="0045608B"/>
    <w:rsid w:val="00461504"/>
    <w:rsid w:val="00461701"/>
    <w:rsid w:val="00462F66"/>
    <w:rsid w:val="00464BE9"/>
    <w:rsid w:val="004652FD"/>
    <w:rsid w:val="004657F4"/>
    <w:rsid w:val="00466979"/>
    <w:rsid w:val="00466D17"/>
    <w:rsid w:val="00467E20"/>
    <w:rsid w:val="00472A4C"/>
    <w:rsid w:val="00472B05"/>
    <w:rsid w:val="00472E85"/>
    <w:rsid w:val="00473068"/>
    <w:rsid w:val="004735D5"/>
    <w:rsid w:val="004741DE"/>
    <w:rsid w:val="0047556B"/>
    <w:rsid w:val="00475C2D"/>
    <w:rsid w:val="00477226"/>
    <w:rsid w:val="004813E8"/>
    <w:rsid w:val="004827F3"/>
    <w:rsid w:val="004829F2"/>
    <w:rsid w:val="00486114"/>
    <w:rsid w:val="004863E4"/>
    <w:rsid w:val="00487264"/>
    <w:rsid w:val="00487588"/>
    <w:rsid w:val="00490D2A"/>
    <w:rsid w:val="0049105D"/>
    <w:rsid w:val="004910A6"/>
    <w:rsid w:val="004918C4"/>
    <w:rsid w:val="004932A2"/>
    <w:rsid w:val="00493F40"/>
    <w:rsid w:val="00494204"/>
    <w:rsid w:val="0049477C"/>
    <w:rsid w:val="00496E8C"/>
    <w:rsid w:val="00496EAA"/>
    <w:rsid w:val="004A00B9"/>
    <w:rsid w:val="004A02BC"/>
    <w:rsid w:val="004A08D7"/>
    <w:rsid w:val="004A0E54"/>
    <w:rsid w:val="004A243E"/>
    <w:rsid w:val="004A5151"/>
    <w:rsid w:val="004A5B3B"/>
    <w:rsid w:val="004A5DB1"/>
    <w:rsid w:val="004A6745"/>
    <w:rsid w:val="004A687F"/>
    <w:rsid w:val="004A7359"/>
    <w:rsid w:val="004A76EF"/>
    <w:rsid w:val="004A77E3"/>
    <w:rsid w:val="004B0F04"/>
    <w:rsid w:val="004B124D"/>
    <w:rsid w:val="004B3161"/>
    <w:rsid w:val="004B5BAF"/>
    <w:rsid w:val="004B5CB4"/>
    <w:rsid w:val="004B632A"/>
    <w:rsid w:val="004B7E82"/>
    <w:rsid w:val="004C06AD"/>
    <w:rsid w:val="004C0946"/>
    <w:rsid w:val="004C0C08"/>
    <w:rsid w:val="004C13CF"/>
    <w:rsid w:val="004C7B69"/>
    <w:rsid w:val="004C7C7E"/>
    <w:rsid w:val="004C7EB2"/>
    <w:rsid w:val="004D0163"/>
    <w:rsid w:val="004D0AC5"/>
    <w:rsid w:val="004D19EB"/>
    <w:rsid w:val="004D1AAF"/>
    <w:rsid w:val="004D3210"/>
    <w:rsid w:val="004D35C6"/>
    <w:rsid w:val="004D4851"/>
    <w:rsid w:val="004E06B4"/>
    <w:rsid w:val="004E189A"/>
    <w:rsid w:val="004E1A28"/>
    <w:rsid w:val="004E2076"/>
    <w:rsid w:val="004E2F8E"/>
    <w:rsid w:val="004E318F"/>
    <w:rsid w:val="004E5A0A"/>
    <w:rsid w:val="004E6694"/>
    <w:rsid w:val="004E6764"/>
    <w:rsid w:val="004E767C"/>
    <w:rsid w:val="004E76BC"/>
    <w:rsid w:val="004E791F"/>
    <w:rsid w:val="004F021C"/>
    <w:rsid w:val="004F1757"/>
    <w:rsid w:val="004F1D20"/>
    <w:rsid w:val="004F326C"/>
    <w:rsid w:val="004F38A6"/>
    <w:rsid w:val="004F3F3E"/>
    <w:rsid w:val="004F444A"/>
    <w:rsid w:val="004F49DE"/>
    <w:rsid w:val="004F5575"/>
    <w:rsid w:val="004F79D9"/>
    <w:rsid w:val="00500FC1"/>
    <w:rsid w:val="00501414"/>
    <w:rsid w:val="005014BC"/>
    <w:rsid w:val="00501617"/>
    <w:rsid w:val="00502229"/>
    <w:rsid w:val="00502E20"/>
    <w:rsid w:val="005030DE"/>
    <w:rsid w:val="00504BCF"/>
    <w:rsid w:val="005056C1"/>
    <w:rsid w:val="00505EDC"/>
    <w:rsid w:val="0050634D"/>
    <w:rsid w:val="005070DE"/>
    <w:rsid w:val="005078B2"/>
    <w:rsid w:val="005079C1"/>
    <w:rsid w:val="00507BBF"/>
    <w:rsid w:val="00511260"/>
    <w:rsid w:val="00511565"/>
    <w:rsid w:val="0051172C"/>
    <w:rsid w:val="00511D5A"/>
    <w:rsid w:val="0051380C"/>
    <w:rsid w:val="00514878"/>
    <w:rsid w:val="00514F39"/>
    <w:rsid w:val="0051706E"/>
    <w:rsid w:val="00517CF3"/>
    <w:rsid w:val="00520E7F"/>
    <w:rsid w:val="00521389"/>
    <w:rsid w:val="00523DBC"/>
    <w:rsid w:val="005244E9"/>
    <w:rsid w:val="005259D4"/>
    <w:rsid w:val="00525DF3"/>
    <w:rsid w:val="00530003"/>
    <w:rsid w:val="00530509"/>
    <w:rsid w:val="00532080"/>
    <w:rsid w:val="00532409"/>
    <w:rsid w:val="0053682F"/>
    <w:rsid w:val="00543DA7"/>
    <w:rsid w:val="00545009"/>
    <w:rsid w:val="00545140"/>
    <w:rsid w:val="00545668"/>
    <w:rsid w:val="0055098F"/>
    <w:rsid w:val="005517B9"/>
    <w:rsid w:val="0055282D"/>
    <w:rsid w:val="00553E7D"/>
    <w:rsid w:val="005542BD"/>
    <w:rsid w:val="00556489"/>
    <w:rsid w:val="00556EDA"/>
    <w:rsid w:val="00556FC7"/>
    <w:rsid w:val="005573D6"/>
    <w:rsid w:val="0056029F"/>
    <w:rsid w:val="00560779"/>
    <w:rsid w:val="00562FB0"/>
    <w:rsid w:val="00563CE1"/>
    <w:rsid w:val="0056509F"/>
    <w:rsid w:val="00565326"/>
    <w:rsid w:val="005703D6"/>
    <w:rsid w:val="00570A0D"/>
    <w:rsid w:val="00572670"/>
    <w:rsid w:val="005741BF"/>
    <w:rsid w:val="005754FC"/>
    <w:rsid w:val="00575F9C"/>
    <w:rsid w:val="00576979"/>
    <w:rsid w:val="00577D50"/>
    <w:rsid w:val="00580D85"/>
    <w:rsid w:val="005813AC"/>
    <w:rsid w:val="00582985"/>
    <w:rsid w:val="0058354A"/>
    <w:rsid w:val="0058491A"/>
    <w:rsid w:val="00584BA7"/>
    <w:rsid w:val="00585257"/>
    <w:rsid w:val="0058542B"/>
    <w:rsid w:val="00586CFB"/>
    <w:rsid w:val="005870D7"/>
    <w:rsid w:val="00587D29"/>
    <w:rsid w:val="00591072"/>
    <w:rsid w:val="0059183E"/>
    <w:rsid w:val="005934B8"/>
    <w:rsid w:val="00594C9D"/>
    <w:rsid w:val="00595C65"/>
    <w:rsid w:val="00595D3F"/>
    <w:rsid w:val="005964E5"/>
    <w:rsid w:val="00596992"/>
    <w:rsid w:val="005969E2"/>
    <w:rsid w:val="0059752F"/>
    <w:rsid w:val="00597705"/>
    <w:rsid w:val="005A2449"/>
    <w:rsid w:val="005A2C73"/>
    <w:rsid w:val="005A3E4D"/>
    <w:rsid w:val="005A4FC0"/>
    <w:rsid w:val="005A63F7"/>
    <w:rsid w:val="005A65B7"/>
    <w:rsid w:val="005A71F7"/>
    <w:rsid w:val="005B0623"/>
    <w:rsid w:val="005B1333"/>
    <w:rsid w:val="005B14E5"/>
    <w:rsid w:val="005B1872"/>
    <w:rsid w:val="005B5E09"/>
    <w:rsid w:val="005B649F"/>
    <w:rsid w:val="005B7922"/>
    <w:rsid w:val="005B7CEE"/>
    <w:rsid w:val="005C1439"/>
    <w:rsid w:val="005C15DC"/>
    <w:rsid w:val="005C1DEC"/>
    <w:rsid w:val="005C28AE"/>
    <w:rsid w:val="005C36E4"/>
    <w:rsid w:val="005C4FDA"/>
    <w:rsid w:val="005C53F5"/>
    <w:rsid w:val="005C5C47"/>
    <w:rsid w:val="005C6A41"/>
    <w:rsid w:val="005D0320"/>
    <w:rsid w:val="005D0404"/>
    <w:rsid w:val="005D0B78"/>
    <w:rsid w:val="005D0C84"/>
    <w:rsid w:val="005D1FFF"/>
    <w:rsid w:val="005D25D6"/>
    <w:rsid w:val="005D3407"/>
    <w:rsid w:val="005D3941"/>
    <w:rsid w:val="005D411A"/>
    <w:rsid w:val="005D47C3"/>
    <w:rsid w:val="005D5E9D"/>
    <w:rsid w:val="005D6BF3"/>
    <w:rsid w:val="005D6D77"/>
    <w:rsid w:val="005E22F9"/>
    <w:rsid w:val="005E2529"/>
    <w:rsid w:val="005E2F30"/>
    <w:rsid w:val="005E3541"/>
    <w:rsid w:val="005E411E"/>
    <w:rsid w:val="005E49B7"/>
    <w:rsid w:val="005E560B"/>
    <w:rsid w:val="005E601A"/>
    <w:rsid w:val="005E6C36"/>
    <w:rsid w:val="005E7D99"/>
    <w:rsid w:val="005F03D5"/>
    <w:rsid w:val="005F04A5"/>
    <w:rsid w:val="005F158C"/>
    <w:rsid w:val="005F236B"/>
    <w:rsid w:val="005F5D90"/>
    <w:rsid w:val="005F69E0"/>
    <w:rsid w:val="005F6D85"/>
    <w:rsid w:val="005F77BC"/>
    <w:rsid w:val="00600269"/>
    <w:rsid w:val="0060045E"/>
    <w:rsid w:val="0060138F"/>
    <w:rsid w:val="0060391E"/>
    <w:rsid w:val="0060443D"/>
    <w:rsid w:val="0060486E"/>
    <w:rsid w:val="006062FB"/>
    <w:rsid w:val="00606867"/>
    <w:rsid w:val="00607419"/>
    <w:rsid w:val="006101AF"/>
    <w:rsid w:val="00612393"/>
    <w:rsid w:val="00612ACF"/>
    <w:rsid w:val="00613E36"/>
    <w:rsid w:val="00614A7A"/>
    <w:rsid w:val="00616B35"/>
    <w:rsid w:val="00617A30"/>
    <w:rsid w:val="00617F99"/>
    <w:rsid w:val="006215E6"/>
    <w:rsid w:val="0062175A"/>
    <w:rsid w:val="00621B4B"/>
    <w:rsid w:val="006232F1"/>
    <w:rsid w:val="006233F2"/>
    <w:rsid w:val="00623DDE"/>
    <w:rsid w:val="00624695"/>
    <w:rsid w:val="006249C3"/>
    <w:rsid w:val="00624C27"/>
    <w:rsid w:val="00625D2D"/>
    <w:rsid w:val="00626420"/>
    <w:rsid w:val="006271A4"/>
    <w:rsid w:val="00630138"/>
    <w:rsid w:val="00630250"/>
    <w:rsid w:val="006313FC"/>
    <w:rsid w:val="00632122"/>
    <w:rsid w:val="006332F2"/>
    <w:rsid w:val="00634AA2"/>
    <w:rsid w:val="00634B17"/>
    <w:rsid w:val="00635F99"/>
    <w:rsid w:val="00637A17"/>
    <w:rsid w:val="00641035"/>
    <w:rsid w:val="00641661"/>
    <w:rsid w:val="00641A2E"/>
    <w:rsid w:val="00644B6F"/>
    <w:rsid w:val="00644C6C"/>
    <w:rsid w:val="00644FB0"/>
    <w:rsid w:val="006476E6"/>
    <w:rsid w:val="00650EE2"/>
    <w:rsid w:val="006511A4"/>
    <w:rsid w:val="006513E2"/>
    <w:rsid w:val="00651916"/>
    <w:rsid w:val="00651DE7"/>
    <w:rsid w:val="006531C9"/>
    <w:rsid w:val="006535E1"/>
    <w:rsid w:val="00654EFA"/>
    <w:rsid w:val="0065507F"/>
    <w:rsid w:val="00656036"/>
    <w:rsid w:val="006577E3"/>
    <w:rsid w:val="0066025E"/>
    <w:rsid w:val="00661D64"/>
    <w:rsid w:val="00662682"/>
    <w:rsid w:val="006639A0"/>
    <w:rsid w:val="00663D7F"/>
    <w:rsid w:val="006641AF"/>
    <w:rsid w:val="00664CD0"/>
    <w:rsid w:val="00665D94"/>
    <w:rsid w:val="00665EF5"/>
    <w:rsid w:val="006668FE"/>
    <w:rsid w:val="00666C5F"/>
    <w:rsid w:val="00667591"/>
    <w:rsid w:val="0066769F"/>
    <w:rsid w:val="006678AE"/>
    <w:rsid w:val="00667F9F"/>
    <w:rsid w:val="006710E7"/>
    <w:rsid w:val="00671A0B"/>
    <w:rsid w:val="0067210D"/>
    <w:rsid w:val="00675C81"/>
    <w:rsid w:val="0068034D"/>
    <w:rsid w:val="00681152"/>
    <w:rsid w:val="00681768"/>
    <w:rsid w:val="00682987"/>
    <w:rsid w:val="00682CE5"/>
    <w:rsid w:val="0068321F"/>
    <w:rsid w:val="00683D2C"/>
    <w:rsid w:val="006841DC"/>
    <w:rsid w:val="0068468E"/>
    <w:rsid w:val="00685DAD"/>
    <w:rsid w:val="0068615D"/>
    <w:rsid w:val="0068675A"/>
    <w:rsid w:val="006869FE"/>
    <w:rsid w:val="00690810"/>
    <w:rsid w:val="0069106B"/>
    <w:rsid w:val="00691AF2"/>
    <w:rsid w:val="00691CB2"/>
    <w:rsid w:val="00691FE8"/>
    <w:rsid w:val="00693329"/>
    <w:rsid w:val="00694527"/>
    <w:rsid w:val="00694F84"/>
    <w:rsid w:val="0069550C"/>
    <w:rsid w:val="00696D2F"/>
    <w:rsid w:val="00697465"/>
    <w:rsid w:val="00697EB1"/>
    <w:rsid w:val="006A2310"/>
    <w:rsid w:val="006A2706"/>
    <w:rsid w:val="006A3BE2"/>
    <w:rsid w:val="006A498B"/>
    <w:rsid w:val="006A7DA6"/>
    <w:rsid w:val="006B150C"/>
    <w:rsid w:val="006B1DCE"/>
    <w:rsid w:val="006B224B"/>
    <w:rsid w:val="006B2A93"/>
    <w:rsid w:val="006B310D"/>
    <w:rsid w:val="006B42B2"/>
    <w:rsid w:val="006B6180"/>
    <w:rsid w:val="006B692B"/>
    <w:rsid w:val="006C1045"/>
    <w:rsid w:val="006C1733"/>
    <w:rsid w:val="006C177A"/>
    <w:rsid w:val="006C1B13"/>
    <w:rsid w:val="006C1ECB"/>
    <w:rsid w:val="006C32C4"/>
    <w:rsid w:val="006D067F"/>
    <w:rsid w:val="006D07FB"/>
    <w:rsid w:val="006D234D"/>
    <w:rsid w:val="006D5A67"/>
    <w:rsid w:val="006D762E"/>
    <w:rsid w:val="006D7DFD"/>
    <w:rsid w:val="006E0983"/>
    <w:rsid w:val="006E16D1"/>
    <w:rsid w:val="006E2B6D"/>
    <w:rsid w:val="006E3853"/>
    <w:rsid w:val="006E3C88"/>
    <w:rsid w:val="006E4C1C"/>
    <w:rsid w:val="006E5C79"/>
    <w:rsid w:val="006F027C"/>
    <w:rsid w:val="006F09D8"/>
    <w:rsid w:val="006F1624"/>
    <w:rsid w:val="006F3052"/>
    <w:rsid w:val="006F31BD"/>
    <w:rsid w:val="006F3259"/>
    <w:rsid w:val="006F3C00"/>
    <w:rsid w:val="006F3F69"/>
    <w:rsid w:val="006F42AC"/>
    <w:rsid w:val="006F443D"/>
    <w:rsid w:val="006F5D4A"/>
    <w:rsid w:val="006F6701"/>
    <w:rsid w:val="006F78DB"/>
    <w:rsid w:val="007009E6"/>
    <w:rsid w:val="00702C42"/>
    <w:rsid w:val="00704A2E"/>
    <w:rsid w:val="007057AB"/>
    <w:rsid w:val="00705F57"/>
    <w:rsid w:val="00707343"/>
    <w:rsid w:val="007073FB"/>
    <w:rsid w:val="0071060F"/>
    <w:rsid w:val="00710C28"/>
    <w:rsid w:val="00711778"/>
    <w:rsid w:val="00711C08"/>
    <w:rsid w:val="00711CC1"/>
    <w:rsid w:val="00712ED3"/>
    <w:rsid w:val="0071336F"/>
    <w:rsid w:val="00714697"/>
    <w:rsid w:val="00714C9E"/>
    <w:rsid w:val="0071506B"/>
    <w:rsid w:val="00715651"/>
    <w:rsid w:val="00715A14"/>
    <w:rsid w:val="00717903"/>
    <w:rsid w:val="00717B10"/>
    <w:rsid w:val="00721ACF"/>
    <w:rsid w:val="00724B29"/>
    <w:rsid w:val="00727A78"/>
    <w:rsid w:val="00730A5A"/>
    <w:rsid w:val="00731207"/>
    <w:rsid w:val="0073191F"/>
    <w:rsid w:val="00732080"/>
    <w:rsid w:val="00734430"/>
    <w:rsid w:val="00734C55"/>
    <w:rsid w:val="00734DBB"/>
    <w:rsid w:val="00734E66"/>
    <w:rsid w:val="00736346"/>
    <w:rsid w:val="0074053C"/>
    <w:rsid w:val="007413AE"/>
    <w:rsid w:val="00741589"/>
    <w:rsid w:val="00743D4D"/>
    <w:rsid w:val="00743EB1"/>
    <w:rsid w:val="007443BD"/>
    <w:rsid w:val="0074485F"/>
    <w:rsid w:val="007451A8"/>
    <w:rsid w:val="0074527C"/>
    <w:rsid w:val="0074567C"/>
    <w:rsid w:val="00745BF2"/>
    <w:rsid w:val="00745E2B"/>
    <w:rsid w:val="00746757"/>
    <w:rsid w:val="00751ADD"/>
    <w:rsid w:val="007520F6"/>
    <w:rsid w:val="007532C0"/>
    <w:rsid w:val="0075434E"/>
    <w:rsid w:val="00756020"/>
    <w:rsid w:val="00756098"/>
    <w:rsid w:val="00757F3C"/>
    <w:rsid w:val="007612D1"/>
    <w:rsid w:val="00761FC6"/>
    <w:rsid w:val="007631E0"/>
    <w:rsid w:val="00763628"/>
    <w:rsid w:val="00763BF3"/>
    <w:rsid w:val="00764F87"/>
    <w:rsid w:val="00766E11"/>
    <w:rsid w:val="00767A6B"/>
    <w:rsid w:val="00767DDB"/>
    <w:rsid w:val="007701A5"/>
    <w:rsid w:val="00771094"/>
    <w:rsid w:val="00771421"/>
    <w:rsid w:val="00772E4B"/>
    <w:rsid w:val="007744D5"/>
    <w:rsid w:val="0077459E"/>
    <w:rsid w:val="00775448"/>
    <w:rsid w:val="0077676B"/>
    <w:rsid w:val="0078014A"/>
    <w:rsid w:val="00782782"/>
    <w:rsid w:val="007841E0"/>
    <w:rsid w:val="007863FC"/>
    <w:rsid w:val="007866DC"/>
    <w:rsid w:val="00791465"/>
    <w:rsid w:val="0079276A"/>
    <w:rsid w:val="00794AA8"/>
    <w:rsid w:val="00796986"/>
    <w:rsid w:val="00796F39"/>
    <w:rsid w:val="00796F7A"/>
    <w:rsid w:val="00797A49"/>
    <w:rsid w:val="00797E4E"/>
    <w:rsid w:val="007A00C3"/>
    <w:rsid w:val="007A1488"/>
    <w:rsid w:val="007A1A81"/>
    <w:rsid w:val="007A2884"/>
    <w:rsid w:val="007A3705"/>
    <w:rsid w:val="007A39B0"/>
    <w:rsid w:val="007A4C61"/>
    <w:rsid w:val="007A769F"/>
    <w:rsid w:val="007A7AD5"/>
    <w:rsid w:val="007A7BBE"/>
    <w:rsid w:val="007A7D66"/>
    <w:rsid w:val="007B196E"/>
    <w:rsid w:val="007B1F09"/>
    <w:rsid w:val="007B566C"/>
    <w:rsid w:val="007B686F"/>
    <w:rsid w:val="007B6CEF"/>
    <w:rsid w:val="007B73AE"/>
    <w:rsid w:val="007C17AD"/>
    <w:rsid w:val="007C247A"/>
    <w:rsid w:val="007C4731"/>
    <w:rsid w:val="007C546A"/>
    <w:rsid w:val="007C7FDA"/>
    <w:rsid w:val="007D0429"/>
    <w:rsid w:val="007D0644"/>
    <w:rsid w:val="007D0A2D"/>
    <w:rsid w:val="007D1EB3"/>
    <w:rsid w:val="007D3ACE"/>
    <w:rsid w:val="007D64EC"/>
    <w:rsid w:val="007D6E3A"/>
    <w:rsid w:val="007D7A96"/>
    <w:rsid w:val="007E040A"/>
    <w:rsid w:val="007E05A2"/>
    <w:rsid w:val="007E1089"/>
    <w:rsid w:val="007E11A7"/>
    <w:rsid w:val="007E1B26"/>
    <w:rsid w:val="007E1F8D"/>
    <w:rsid w:val="007E58D1"/>
    <w:rsid w:val="007E5E24"/>
    <w:rsid w:val="007E66F8"/>
    <w:rsid w:val="007E739F"/>
    <w:rsid w:val="007F0F84"/>
    <w:rsid w:val="007F1E72"/>
    <w:rsid w:val="007F2B8E"/>
    <w:rsid w:val="007F2C37"/>
    <w:rsid w:val="007F37B4"/>
    <w:rsid w:val="007F3C6F"/>
    <w:rsid w:val="007F4798"/>
    <w:rsid w:val="007F597F"/>
    <w:rsid w:val="007F5DE4"/>
    <w:rsid w:val="00800438"/>
    <w:rsid w:val="008019A5"/>
    <w:rsid w:val="008020C2"/>
    <w:rsid w:val="008020CD"/>
    <w:rsid w:val="00803543"/>
    <w:rsid w:val="00803CB1"/>
    <w:rsid w:val="00806AFC"/>
    <w:rsid w:val="00810336"/>
    <w:rsid w:val="0081156D"/>
    <w:rsid w:val="00811B30"/>
    <w:rsid w:val="00812D95"/>
    <w:rsid w:val="00813448"/>
    <w:rsid w:val="00813948"/>
    <w:rsid w:val="00814EDE"/>
    <w:rsid w:val="0081612B"/>
    <w:rsid w:val="00816ED1"/>
    <w:rsid w:val="00821D82"/>
    <w:rsid w:val="008230F2"/>
    <w:rsid w:val="00823442"/>
    <w:rsid w:val="00823CFE"/>
    <w:rsid w:val="008242ED"/>
    <w:rsid w:val="00824FF2"/>
    <w:rsid w:val="008276BB"/>
    <w:rsid w:val="00830F6A"/>
    <w:rsid w:val="00832AD6"/>
    <w:rsid w:val="00832EA6"/>
    <w:rsid w:val="00832FD6"/>
    <w:rsid w:val="0083336E"/>
    <w:rsid w:val="00834066"/>
    <w:rsid w:val="008343B4"/>
    <w:rsid w:val="00834DDC"/>
    <w:rsid w:val="00837310"/>
    <w:rsid w:val="00837B9A"/>
    <w:rsid w:val="00837E1F"/>
    <w:rsid w:val="008405CE"/>
    <w:rsid w:val="008405CF"/>
    <w:rsid w:val="0084081B"/>
    <w:rsid w:val="00841726"/>
    <w:rsid w:val="008417D1"/>
    <w:rsid w:val="008426AA"/>
    <w:rsid w:val="0084295A"/>
    <w:rsid w:val="0084393F"/>
    <w:rsid w:val="00846269"/>
    <w:rsid w:val="00851511"/>
    <w:rsid w:val="00852F63"/>
    <w:rsid w:val="008536CA"/>
    <w:rsid w:val="008547C2"/>
    <w:rsid w:val="00854A89"/>
    <w:rsid w:val="00854DAC"/>
    <w:rsid w:val="00855355"/>
    <w:rsid w:val="008557C2"/>
    <w:rsid w:val="00855F97"/>
    <w:rsid w:val="008566EC"/>
    <w:rsid w:val="008579B6"/>
    <w:rsid w:val="00857D0C"/>
    <w:rsid w:val="0086080D"/>
    <w:rsid w:val="00861853"/>
    <w:rsid w:val="0086273D"/>
    <w:rsid w:val="008634DE"/>
    <w:rsid w:val="0086469C"/>
    <w:rsid w:val="008647BD"/>
    <w:rsid w:val="00864943"/>
    <w:rsid w:val="00865E54"/>
    <w:rsid w:val="008665C4"/>
    <w:rsid w:val="0086751C"/>
    <w:rsid w:val="008677E3"/>
    <w:rsid w:val="00870B41"/>
    <w:rsid w:val="0087195C"/>
    <w:rsid w:val="00873896"/>
    <w:rsid w:val="00873C6E"/>
    <w:rsid w:val="00873EB9"/>
    <w:rsid w:val="00875D5A"/>
    <w:rsid w:val="00875F1E"/>
    <w:rsid w:val="00876853"/>
    <w:rsid w:val="00880351"/>
    <w:rsid w:val="0088070D"/>
    <w:rsid w:val="0088086C"/>
    <w:rsid w:val="0088182F"/>
    <w:rsid w:val="008825BB"/>
    <w:rsid w:val="00882735"/>
    <w:rsid w:val="0088275A"/>
    <w:rsid w:val="00882EFE"/>
    <w:rsid w:val="00883FEC"/>
    <w:rsid w:val="00885C05"/>
    <w:rsid w:val="00885F6F"/>
    <w:rsid w:val="00886FED"/>
    <w:rsid w:val="00890F28"/>
    <w:rsid w:val="00891885"/>
    <w:rsid w:val="00891C7D"/>
    <w:rsid w:val="00891F33"/>
    <w:rsid w:val="00892541"/>
    <w:rsid w:val="0089372D"/>
    <w:rsid w:val="00893E14"/>
    <w:rsid w:val="00894E7B"/>
    <w:rsid w:val="0089533C"/>
    <w:rsid w:val="00895554"/>
    <w:rsid w:val="008957A8"/>
    <w:rsid w:val="00895A54"/>
    <w:rsid w:val="00896B6A"/>
    <w:rsid w:val="008A0454"/>
    <w:rsid w:val="008A1381"/>
    <w:rsid w:val="008A1A60"/>
    <w:rsid w:val="008A288A"/>
    <w:rsid w:val="008A3B56"/>
    <w:rsid w:val="008A4281"/>
    <w:rsid w:val="008A537D"/>
    <w:rsid w:val="008A7240"/>
    <w:rsid w:val="008A75F3"/>
    <w:rsid w:val="008A7BFC"/>
    <w:rsid w:val="008A7CF7"/>
    <w:rsid w:val="008A7FAD"/>
    <w:rsid w:val="008B0A53"/>
    <w:rsid w:val="008B100F"/>
    <w:rsid w:val="008B1DA6"/>
    <w:rsid w:val="008B3660"/>
    <w:rsid w:val="008B43C1"/>
    <w:rsid w:val="008C210D"/>
    <w:rsid w:val="008C2737"/>
    <w:rsid w:val="008C3E59"/>
    <w:rsid w:val="008C480D"/>
    <w:rsid w:val="008C4C45"/>
    <w:rsid w:val="008C5B37"/>
    <w:rsid w:val="008C651B"/>
    <w:rsid w:val="008C7138"/>
    <w:rsid w:val="008D136B"/>
    <w:rsid w:val="008D1F83"/>
    <w:rsid w:val="008D2564"/>
    <w:rsid w:val="008D3C26"/>
    <w:rsid w:val="008D3CE7"/>
    <w:rsid w:val="008D567D"/>
    <w:rsid w:val="008D56D8"/>
    <w:rsid w:val="008D6900"/>
    <w:rsid w:val="008D6E8B"/>
    <w:rsid w:val="008E095F"/>
    <w:rsid w:val="008E1256"/>
    <w:rsid w:val="008E1626"/>
    <w:rsid w:val="008E18D0"/>
    <w:rsid w:val="008E270C"/>
    <w:rsid w:val="008E502E"/>
    <w:rsid w:val="008E51D4"/>
    <w:rsid w:val="008E66F8"/>
    <w:rsid w:val="008E74EF"/>
    <w:rsid w:val="008E7904"/>
    <w:rsid w:val="008E7EFA"/>
    <w:rsid w:val="008F051D"/>
    <w:rsid w:val="008F0DD8"/>
    <w:rsid w:val="008F0FC5"/>
    <w:rsid w:val="008F0FD2"/>
    <w:rsid w:val="008F17A3"/>
    <w:rsid w:val="008F1C48"/>
    <w:rsid w:val="008F1C90"/>
    <w:rsid w:val="008F1F29"/>
    <w:rsid w:val="008F42BF"/>
    <w:rsid w:val="008F4376"/>
    <w:rsid w:val="008F59AF"/>
    <w:rsid w:val="008F5B07"/>
    <w:rsid w:val="008F5E59"/>
    <w:rsid w:val="008F61FC"/>
    <w:rsid w:val="008F7119"/>
    <w:rsid w:val="008F74A5"/>
    <w:rsid w:val="00901474"/>
    <w:rsid w:val="009014FD"/>
    <w:rsid w:val="0090245F"/>
    <w:rsid w:val="00902AA7"/>
    <w:rsid w:val="00902C55"/>
    <w:rsid w:val="00903496"/>
    <w:rsid w:val="00903A37"/>
    <w:rsid w:val="00903CF4"/>
    <w:rsid w:val="009041F8"/>
    <w:rsid w:val="0090442E"/>
    <w:rsid w:val="00904D53"/>
    <w:rsid w:val="009057F5"/>
    <w:rsid w:val="00905C49"/>
    <w:rsid w:val="00906C53"/>
    <w:rsid w:val="00906F12"/>
    <w:rsid w:val="009071AE"/>
    <w:rsid w:val="0090737A"/>
    <w:rsid w:val="00907E2C"/>
    <w:rsid w:val="00910C2D"/>
    <w:rsid w:val="009118D6"/>
    <w:rsid w:val="0091491D"/>
    <w:rsid w:val="0091517B"/>
    <w:rsid w:val="00917061"/>
    <w:rsid w:val="00921597"/>
    <w:rsid w:val="00921696"/>
    <w:rsid w:val="009229CD"/>
    <w:rsid w:val="009242A6"/>
    <w:rsid w:val="0092525C"/>
    <w:rsid w:val="009257EE"/>
    <w:rsid w:val="009262E3"/>
    <w:rsid w:val="00927E7F"/>
    <w:rsid w:val="009300E6"/>
    <w:rsid w:val="00931856"/>
    <w:rsid w:val="00931957"/>
    <w:rsid w:val="00932259"/>
    <w:rsid w:val="0093440F"/>
    <w:rsid w:val="00937B2D"/>
    <w:rsid w:val="00937F6E"/>
    <w:rsid w:val="00940225"/>
    <w:rsid w:val="00941EB2"/>
    <w:rsid w:val="009429D4"/>
    <w:rsid w:val="0094300A"/>
    <w:rsid w:val="009433F4"/>
    <w:rsid w:val="00943D4D"/>
    <w:rsid w:val="00944464"/>
    <w:rsid w:val="00944E53"/>
    <w:rsid w:val="00945BC4"/>
    <w:rsid w:val="009503FE"/>
    <w:rsid w:val="00952753"/>
    <w:rsid w:val="0095291D"/>
    <w:rsid w:val="00954778"/>
    <w:rsid w:val="0095687B"/>
    <w:rsid w:val="00957730"/>
    <w:rsid w:val="00960CDB"/>
    <w:rsid w:val="00962E0E"/>
    <w:rsid w:val="00964882"/>
    <w:rsid w:val="009648F1"/>
    <w:rsid w:val="00964C44"/>
    <w:rsid w:val="00964DFA"/>
    <w:rsid w:val="0096634B"/>
    <w:rsid w:val="00966ADA"/>
    <w:rsid w:val="00966B45"/>
    <w:rsid w:val="00967205"/>
    <w:rsid w:val="0097136D"/>
    <w:rsid w:val="00971D2F"/>
    <w:rsid w:val="009722AD"/>
    <w:rsid w:val="009737E6"/>
    <w:rsid w:val="00973801"/>
    <w:rsid w:val="0097492C"/>
    <w:rsid w:val="00974E2D"/>
    <w:rsid w:val="00975DB5"/>
    <w:rsid w:val="009764FB"/>
    <w:rsid w:val="00976DCD"/>
    <w:rsid w:val="00976F0D"/>
    <w:rsid w:val="0097797A"/>
    <w:rsid w:val="0098066C"/>
    <w:rsid w:val="00981292"/>
    <w:rsid w:val="009812F2"/>
    <w:rsid w:val="009814B0"/>
    <w:rsid w:val="00981871"/>
    <w:rsid w:val="0098415B"/>
    <w:rsid w:val="00984181"/>
    <w:rsid w:val="009846DE"/>
    <w:rsid w:val="0098571F"/>
    <w:rsid w:val="00987780"/>
    <w:rsid w:val="0099005D"/>
    <w:rsid w:val="00992504"/>
    <w:rsid w:val="00992B0D"/>
    <w:rsid w:val="00993DC9"/>
    <w:rsid w:val="009946AA"/>
    <w:rsid w:val="009949C6"/>
    <w:rsid w:val="009965F7"/>
    <w:rsid w:val="009969E0"/>
    <w:rsid w:val="00996B5C"/>
    <w:rsid w:val="00996F3E"/>
    <w:rsid w:val="00997B3A"/>
    <w:rsid w:val="009A0545"/>
    <w:rsid w:val="009A0B4E"/>
    <w:rsid w:val="009A1EC2"/>
    <w:rsid w:val="009A2220"/>
    <w:rsid w:val="009A336F"/>
    <w:rsid w:val="009A36AF"/>
    <w:rsid w:val="009A3E97"/>
    <w:rsid w:val="009A591E"/>
    <w:rsid w:val="009A5987"/>
    <w:rsid w:val="009A71B8"/>
    <w:rsid w:val="009A77E7"/>
    <w:rsid w:val="009B11DA"/>
    <w:rsid w:val="009B1B5C"/>
    <w:rsid w:val="009B306D"/>
    <w:rsid w:val="009B3A79"/>
    <w:rsid w:val="009B5983"/>
    <w:rsid w:val="009B7B65"/>
    <w:rsid w:val="009C052D"/>
    <w:rsid w:val="009C09A0"/>
    <w:rsid w:val="009C2135"/>
    <w:rsid w:val="009C2DC3"/>
    <w:rsid w:val="009C323D"/>
    <w:rsid w:val="009C36F1"/>
    <w:rsid w:val="009C3B51"/>
    <w:rsid w:val="009C3E3C"/>
    <w:rsid w:val="009C4E0E"/>
    <w:rsid w:val="009C4F54"/>
    <w:rsid w:val="009C5271"/>
    <w:rsid w:val="009C63A4"/>
    <w:rsid w:val="009C63D5"/>
    <w:rsid w:val="009C6B5F"/>
    <w:rsid w:val="009C787C"/>
    <w:rsid w:val="009C7FC6"/>
    <w:rsid w:val="009D00D9"/>
    <w:rsid w:val="009D161A"/>
    <w:rsid w:val="009D1693"/>
    <w:rsid w:val="009D1BCC"/>
    <w:rsid w:val="009D3D26"/>
    <w:rsid w:val="009D46C5"/>
    <w:rsid w:val="009D4AB7"/>
    <w:rsid w:val="009D5302"/>
    <w:rsid w:val="009D62F3"/>
    <w:rsid w:val="009D754F"/>
    <w:rsid w:val="009D7597"/>
    <w:rsid w:val="009E0452"/>
    <w:rsid w:val="009E1896"/>
    <w:rsid w:val="009E1980"/>
    <w:rsid w:val="009E1A6A"/>
    <w:rsid w:val="009E1ACC"/>
    <w:rsid w:val="009E20B0"/>
    <w:rsid w:val="009E2416"/>
    <w:rsid w:val="009E2833"/>
    <w:rsid w:val="009E2AF4"/>
    <w:rsid w:val="009E2BB3"/>
    <w:rsid w:val="009E325E"/>
    <w:rsid w:val="009E3484"/>
    <w:rsid w:val="009E569F"/>
    <w:rsid w:val="009E5FDA"/>
    <w:rsid w:val="009E646F"/>
    <w:rsid w:val="009E6868"/>
    <w:rsid w:val="009E776E"/>
    <w:rsid w:val="009F11E8"/>
    <w:rsid w:val="009F1760"/>
    <w:rsid w:val="009F4396"/>
    <w:rsid w:val="009F5BAA"/>
    <w:rsid w:val="009F5D93"/>
    <w:rsid w:val="009F6F14"/>
    <w:rsid w:val="009F7433"/>
    <w:rsid w:val="00A00F3C"/>
    <w:rsid w:val="00A0144A"/>
    <w:rsid w:val="00A01C19"/>
    <w:rsid w:val="00A02844"/>
    <w:rsid w:val="00A034F2"/>
    <w:rsid w:val="00A03E67"/>
    <w:rsid w:val="00A042CC"/>
    <w:rsid w:val="00A044A1"/>
    <w:rsid w:val="00A04834"/>
    <w:rsid w:val="00A05071"/>
    <w:rsid w:val="00A06BF5"/>
    <w:rsid w:val="00A07157"/>
    <w:rsid w:val="00A076B8"/>
    <w:rsid w:val="00A07E9C"/>
    <w:rsid w:val="00A11066"/>
    <w:rsid w:val="00A1196D"/>
    <w:rsid w:val="00A11A36"/>
    <w:rsid w:val="00A11B5F"/>
    <w:rsid w:val="00A122F8"/>
    <w:rsid w:val="00A1243E"/>
    <w:rsid w:val="00A1259E"/>
    <w:rsid w:val="00A12914"/>
    <w:rsid w:val="00A12EEB"/>
    <w:rsid w:val="00A14173"/>
    <w:rsid w:val="00A167B8"/>
    <w:rsid w:val="00A17060"/>
    <w:rsid w:val="00A171D8"/>
    <w:rsid w:val="00A17ED7"/>
    <w:rsid w:val="00A20200"/>
    <w:rsid w:val="00A20492"/>
    <w:rsid w:val="00A2185E"/>
    <w:rsid w:val="00A21919"/>
    <w:rsid w:val="00A23D4A"/>
    <w:rsid w:val="00A26381"/>
    <w:rsid w:val="00A2657F"/>
    <w:rsid w:val="00A30FF0"/>
    <w:rsid w:val="00A31C08"/>
    <w:rsid w:val="00A32889"/>
    <w:rsid w:val="00A331C2"/>
    <w:rsid w:val="00A34948"/>
    <w:rsid w:val="00A34FC1"/>
    <w:rsid w:val="00A363B2"/>
    <w:rsid w:val="00A36A40"/>
    <w:rsid w:val="00A36D42"/>
    <w:rsid w:val="00A37944"/>
    <w:rsid w:val="00A414A1"/>
    <w:rsid w:val="00A41BC0"/>
    <w:rsid w:val="00A42893"/>
    <w:rsid w:val="00A42906"/>
    <w:rsid w:val="00A42EBA"/>
    <w:rsid w:val="00A43E5D"/>
    <w:rsid w:val="00A45490"/>
    <w:rsid w:val="00A46E6A"/>
    <w:rsid w:val="00A4723D"/>
    <w:rsid w:val="00A47250"/>
    <w:rsid w:val="00A5180C"/>
    <w:rsid w:val="00A521EE"/>
    <w:rsid w:val="00A5427C"/>
    <w:rsid w:val="00A57BBF"/>
    <w:rsid w:val="00A603C3"/>
    <w:rsid w:val="00A61267"/>
    <w:rsid w:val="00A63829"/>
    <w:rsid w:val="00A64250"/>
    <w:rsid w:val="00A64CAF"/>
    <w:rsid w:val="00A64FD8"/>
    <w:rsid w:val="00A6550F"/>
    <w:rsid w:val="00A6688F"/>
    <w:rsid w:val="00A67C97"/>
    <w:rsid w:val="00A711F9"/>
    <w:rsid w:val="00A71783"/>
    <w:rsid w:val="00A719FE"/>
    <w:rsid w:val="00A74937"/>
    <w:rsid w:val="00A74C42"/>
    <w:rsid w:val="00A7523B"/>
    <w:rsid w:val="00A75B8E"/>
    <w:rsid w:val="00A80111"/>
    <w:rsid w:val="00A81DF8"/>
    <w:rsid w:val="00A82B55"/>
    <w:rsid w:val="00A82BF6"/>
    <w:rsid w:val="00A83F39"/>
    <w:rsid w:val="00A84210"/>
    <w:rsid w:val="00A853CC"/>
    <w:rsid w:val="00A85465"/>
    <w:rsid w:val="00A866AE"/>
    <w:rsid w:val="00A86933"/>
    <w:rsid w:val="00A878A5"/>
    <w:rsid w:val="00A87D38"/>
    <w:rsid w:val="00A92225"/>
    <w:rsid w:val="00A9241D"/>
    <w:rsid w:val="00A9381F"/>
    <w:rsid w:val="00A958D5"/>
    <w:rsid w:val="00A95B9A"/>
    <w:rsid w:val="00A95C76"/>
    <w:rsid w:val="00A95CB4"/>
    <w:rsid w:val="00A976E6"/>
    <w:rsid w:val="00AA00D8"/>
    <w:rsid w:val="00AA02DF"/>
    <w:rsid w:val="00AA1418"/>
    <w:rsid w:val="00AA20EC"/>
    <w:rsid w:val="00AA32DA"/>
    <w:rsid w:val="00AA3C62"/>
    <w:rsid w:val="00AA45A4"/>
    <w:rsid w:val="00AA4712"/>
    <w:rsid w:val="00AA4FAB"/>
    <w:rsid w:val="00AA65F4"/>
    <w:rsid w:val="00AA7A71"/>
    <w:rsid w:val="00AB01B3"/>
    <w:rsid w:val="00AB0949"/>
    <w:rsid w:val="00AB1B2B"/>
    <w:rsid w:val="00AB43EE"/>
    <w:rsid w:val="00AB4F07"/>
    <w:rsid w:val="00AB5121"/>
    <w:rsid w:val="00AB51EA"/>
    <w:rsid w:val="00AB6822"/>
    <w:rsid w:val="00AB6F0C"/>
    <w:rsid w:val="00AB73F3"/>
    <w:rsid w:val="00AC0F1D"/>
    <w:rsid w:val="00AC1EC5"/>
    <w:rsid w:val="00AC2076"/>
    <w:rsid w:val="00AC4658"/>
    <w:rsid w:val="00AC4AC4"/>
    <w:rsid w:val="00AC4B01"/>
    <w:rsid w:val="00AC7F40"/>
    <w:rsid w:val="00AC7FDF"/>
    <w:rsid w:val="00AD0544"/>
    <w:rsid w:val="00AD061A"/>
    <w:rsid w:val="00AD1C15"/>
    <w:rsid w:val="00AD35F0"/>
    <w:rsid w:val="00AD5D92"/>
    <w:rsid w:val="00AD6353"/>
    <w:rsid w:val="00AD6B3C"/>
    <w:rsid w:val="00AE099A"/>
    <w:rsid w:val="00AE0D35"/>
    <w:rsid w:val="00AE0E91"/>
    <w:rsid w:val="00AE154F"/>
    <w:rsid w:val="00AE18E1"/>
    <w:rsid w:val="00AE1EE1"/>
    <w:rsid w:val="00AE207E"/>
    <w:rsid w:val="00AE2762"/>
    <w:rsid w:val="00AE2782"/>
    <w:rsid w:val="00AE2C20"/>
    <w:rsid w:val="00AE3DAE"/>
    <w:rsid w:val="00AE412E"/>
    <w:rsid w:val="00AE4248"/>
    <w:rsid w:val="00AE5E46"/>
    <w:rsid w:val="00AF05EC"/>
    <w:rsid w:val="00AF252E"/>
    <w:rsid w:val="00AF2AE0"/>
    <w:rsid w:val="00AF399D"/>
    <w:rsid w:val="00AF3D6B"/>
    <w:rsid w:val="00AF4917"/>
    <w:rsid w:val="00AF4DC9"/>
    <w:rsid w:val="00AF6292"/>
    <w:rsid w:val="00AF680F"/>
    <w:rsid w:val="00AF6DF0"/>
    <w:rsid w:val="00AF718D"/>
    <w:rsid w:val="00B00514"/>
    <w:rsid w:val="00B00575"/>
    <w:rsid w:val="00B00C04"/>
    <w:rsid w:val="00B01C2D"/>
    <w:rsid w:val="00B01FAF"/>
    <w:rsid w:val="00B04260"/>
    <w:rsid w:val="00B04A4E"/>
    <w:rsid w:val="00B04F06"/>
    <w:rsid w:val="00B0511A"/>
    <w:rsid w:val="00B05D39"/>
    <w:rsid w:val="00B100BE"/>
    <w:rsid w:val="00B11284"/>
    <w:rsid w:val="00B119FD"/>
    <w:rsid w:val="00B11F80"/>
    <w:rsid w:val="00B13A6B"/>
    <w:rsid w:val="00B14FF9"/>
    <w:rsid w:val="00B15D9A"/>
    <w:rsid w:val="00B160F4"/>
    <w:rsid w:val="00B1673B"/>
    <w:rsid w:val="00B1684F"/>
    <w:rsid w:val="00B1722F"/>
    <w:rsid w:val="00B17CCB"/>
    <w:rsid w:val="00B207AC"/>
    <w:rsid w:val="00B20D36"/>
    <w:rsid w:val="00B21512"/>
    <w:rsid w:val="00B21FA2"/>
    <w:rsid w:val="00B235FF"/>
    <w:rsid w:val="00B24486"/>
    <w:rsid w:val="00B24846"/>
    <w:rsid w:val="00B26963"/>
    <w:rsid w:val="00B26AA4"/>
    <w:rsid w:val="00B30BDA"/>
    <w:rsid w:val="00B30C98"/>
    <w:rsid w:val="00B32AE8"/>
    <w:rsid w:val="00B3323A"/>
    <w:rsid w:val="00B34ECD"/>
    <w:rsid w:val="00B35DC5"/>
    <w:rsid w:val="00B36696"/>
    <w:rsid w:val="00B418D6"/>
    <w:rsid w:val="00B42F47"/>
    <w:rsid w:val="00B446F9"/>
    <w:rsid w:val="00B46ADF"/>
    <w:rsid w:val="00B500CB"/>
    <w:rsid w:val="00B50382"/>
    <w:rsid w:val="00B512A3"/>
    <w:rsid w:val="00B51F04"/>
    <w:rsid w:val="00B53331"/>
    <w:rsid w:val="00B54958"/>
    <w:rsid w:val="00B559B2"/>
    <w:rsid w:val="00B56321"/>
    <w:rsid w:val="00B565D4"/>
    <w:rsid w:val="00B56BAF"/>
    <w:rsid w:val="00B56D13"/>
    <w:rsid w:val="00B56D2F"/>
    <w:rsid w:val="00B56DA8"/>
    <w:rsid w:val="00B5793A"/>
    <w:rsid w:val="00B57BF8"/>
    <w:rsid w:val="00B60E51"/>
    <w:rsid w:val="00B61677"/>
    <w:rsid w:val="00B63F7F"/>
    <w:rsid w:val="00B6537F"/>
    <w:rsid w:val="00B65433"/>
    <w:rsid w:val="00B65A2F"/>
    <w:rsid w:val="00B65D0C"/>
    <w:rsid w:val="00B65DEE"/>
    <w:rsid w:val="00B65E91"/>
    <w:rsid w:val="00B673D7"/>
    <w:rsid w:val="00B71571"/>
    <w:rsid w:val="00B715B1"/>
    <w:rsid w:val="00B75C4F"/>
    <w:rsid w:val="00B7619E"/>
    <w:rsid w:val="00B76440"/>
    <w:rsid w:val="00B77677"/>
    <w:rsid w:val="00B77BF3"/>
    <w:rsid w:val="00B81698"/>
    <w:rsid w:val="00B83257"/>
    <w:rsid w:val="00B8381D"/>
    <w:rsid w:val="00B84964"/>
    <w:rsid w:val="00B849F3"/>
    <w:rsid w:val="00B85F87"/>
    <w:rsid w:val="00B86B4C"/>
    <w:rsid w:val="00B8781F"/>
    <w:rsid w:val="00B9092D"/>
    <w:rsid w:val="00B91527"/>
    <w:rsid w:val="00B92470"/>
    <w:rsid w:val="00B92584"/>
    <w:rsid w:val="00B929D1"/>
    <w:rsid w:val="00B935F3"/>
    <w:rsid w:val="00B93AC6"/>
    <w:rsid w:val="00B94527"/>
    <w:rsid w:val="00B95349"/>
    <w:rsid w:val="00B955C0"/>
    <w:rsid w:val="00B95B9C"/>
    <w:rsid w:val="00B961E2"/>
    <w:rsid w:val="00B96D1A"/>
    <w:rsid w:val="00B97608"/>
    <w:rsid w:val="00BA0067"/>
    <w:rsid w:val="00BA0F9A"/>
    <w:rsid w:val="00BA1A6B"/>
    <w:rsid w:val="00BA2179"/>
    <w:rsid w:val="00BA3220"/>
    <w:rsid w:val="00BA6019"/>
    <w:rsid w:val="00BA65AC"/>
    <w:rsid w:val="00BB2985"/>
    <w:rsid w:val="00BB4314"/>
    <w:rsid w:val="00BB571C"/>
    <w:rsid w:val="00BC0A20"/>
    <w:rsid w:val="00BC21A0"/>
    <w:rsid w:val="00BC3568"/>
    <w:rsid w:val="00BC4EF3"/>
    <w:rsid w:val="00BC7404"/>
    <w:rsid w:val="00BC76F8"/>
    <w:rsid w:val="00BC77C0"/>
    <w:rsid w:val="00BD0B25"/>
    <w:rsid w:val="00BD0D0E"/>
    <w:rsid w:val="00BD234D"/>
    <w:rsid w:val="00BD2543"/>
    <w:rsid w:val="00BD2561"/>
    <w:rsid w:val="00BD5DCD"/>
    <w:rsid w:val="00BD616D"/>
    <w:rsid w:val="00BD6C4D"/>
    <w:rsid w:val="00BE01B4"/>
    <w:rsid w:val="00BE0997"/>
    <w:rsid w:val="00BE1907"/>
    <w:rsid w:val="00BE1A97"/>
    <w:rsid w:val="00BE3AF3"/>
    <w:rsid w:val="00BE485B"/>
    <w:rsid w:val="00BE69A3"/>
    <w:rsid w:val="00BE6A74"/>
    <w:rsid w:val="00BE7C12"/>
    <w:rsid w:val="00BE7D08"/>
    <w:rsid w:val="00BF01E2"/>
    <w:rsid w:val="00BF0840"/>
    <w:rsid w:val="00BF0DFF"/>
    <w:rsid w:val="00BF22B8"/>
    <w:rsid w:val="00BF2603"/>
    <w:rsid w:val="00BF377F"/>
    <w:rsid w:val="00BF51CE"/>
    <w:rsid w:val="00BF5E37"/>
    <w:rsid w:val="00BF6541"/>
    <w:rsid w:val="00BF736D"/>
    <w:rsid w:val="00C01A0D"/>
    <w:rsid w:val="00C028D9"/>
    <w:rsid w:val="00C036E4"/>
    <w:rsid w:val="00C038B8"/>
    <w:rsid w:val="00C03B35"/>
    <w:rsid w:val="00C04131"/>
    <w:rsid w:val="00C04802"/>
    <w:rsid w:val="00C06574"/>
    <w:rsid w:val="00C06F31"/>
    <w:rsid w:val="00C11EE9"/>
    <w:rsid w:val="00C12B8C"/>
    <w:rsid w:val="00C14BFA"/>
    <w:rsid w:val="00C155D9"/>
    <w:rsid w:val="00C155E2"/>
    <w:rsid w:val="00C15958"/>
    <w:rsid w:val="00C2211D"/>
    <w:rsid w:val="00C22C9E"/>
    <w:rsid w:val="00C2344F"/>
    <w:rsid w:val="00C23E1F"/>
    <w:rsid w:val="00C245F9"/>
    <w:rsid w:val="00C246F2"/>
    <w:rsid w:val="00C26707"/>
    <w:rsid w:val="00C27719"/>
    <w:rsid w:val="00C27877"/>
    <w:rsid w:val="00C31334"/>
    <w:rsid w:val="00C31852"/>
    <w:rsid w:val="00C31BCD"/>
    <w:rsid w:val="00C320EB"/>
    <w:rsid w:val="00C32799"/>
    <w:rsid w:val="00C32F7B"/>
    <w:rsid w:val="00C33845"/>
    <w:rsid w:val="00C34E6D"/>
    <w:rsid w:val="00C3513F"/>
    <w:rsid w:val="00C355AA"/>
    <w:rsid w:val="00C36223"/>
    <w:rsid w:val="00C373FC"/>
    <w:rsid w:val="00C40725"/>
    <w:rsid w:val="00C40B81"/>
    <w:rsid w:val="00C4207E"/>
    <w:rsid w:val="00C429A3"/>
    <w:rsid w:val="00C44B8C"/>
    <w:rsid w:val="00C451A3"/>
    <w:rsid w:val="00C4577E"/>
    <w:rsid w:val="00C45785"/>
    <w:rsid w:val="00C50C8F"/>
    <w:rsid w:val="00C50D41"/>
    <w:rsid w:val="00C51156"/>
    <w:rsid w:val="00C53FD7"/>
    <w:rsid w:val="00C55C61"/>
    <w:rsid w:val="00C57047"/>
    <w:rsid w:val="00C64F44"/>
    <w:rsid w:val="00C650ED"/>
    <w:rsid w:val="00C65132"/>
    <w:rsid w:val="00C65F6A"/>
    <w:rsid w:val="00C67F3E"/>
    <w:rsid w:val="00C70CD5"/>
    <w:rsid w:val="00C7194E"/>
    <w:rsid w:val="00C7216F"/>
    <w:rsid w:val="00C730E4"/>
    <w:rsid w:val="00C73BB8"/>
    <w:rsid w:val="00C74CC5"/>
    <w:rsid w:val="00C755E9"/>
    <w:rsid w:val="00C76B48"/>
    <w:rsid w:val="00C76CC4"/>
    <w:rsid w:val="00C77815"/>
    <w:rsid w:val="00C80DC4"/>
    <w:rsid w:val="00C81100"/>
    <w:rsid w:val="00C8111D"/>
    <w:rsid w:val="00C823C5"/>
    <w:rsid w:val="00C82CD1"/>
    <w:rsid w:val="00C82D42"/>
    <w:rsid w:val="00C8322A"/>
    <w:rsid w:val="00C83583"/>
    <w:rsid w:val="00C83ECC"/>
    <w:rsid w:val="00C84B12"/>
    <w:rsid w:val="00C85239"/>
    <w:rsid w:val="00C869BC"/>
    <w:rsid w:val="00C8737E"/>
    <w:rsid w:val="00C90444"/>
    <w:rsid w:val="00C9243B"/>
    <w:rsid w:val="00C92566"/>
    <w:rsid w:val="00C95011"/>
    <w:rsid w:val="00C953C0"/>
    <w:rsid w:val="00C96E5A"/>
    <w:rsid w:val="00C97ACC"/>
    <w:rsid w:val="00CA056D"/>
    <w:rsid w:val="00CA181F"/>
    <w:rsid w:val="00CA22C7"/>
    <w:rsid w:val="00CA26CB"/>
    <w:rsid w:val="00CA2A54"/>
    <w:rsid w:val="00CA3219"/>
    <w:rsid w:val="00CA519C"/>
    <w:rsid w:val="00CB01EB"/>
    <w:rsid w:val="00CB0DFA"/>
    <w:rsid w:val="00CB137D"/>
    <w:rsid w:val="00CB250C"/>
    <w:rsid w:val="00CB34D5"/>
    <w:rsid w:val="00CB352B"/>
    <w:rsid w:val="00CB4285"/>
    <w:rsid w:val="00CB4EB9"/>
    <w:rsid w:val="00CB6CB0"/>
    <w:rsid w:val="00CC06B8"/>
    <w:rsid w:val="00CC1252"/>
    <w:rsid w:val="00CC1330"/>
    <w:rsid w:val="00CC134C"/>
    <w:rsid w:val="00CC36F9"/>
    <w:rsid w:val="00CC3E8F"/>
    <w:rsid w:val="00CD0BA2"/>
    <w:rsid w:val="00CD18DE"/>
    <w:rsid w:val="00CD1CD5"/>
    <w:rsid w:val="00CD27CC"/>
    <w:rsid w:val="00CD2E30"/>
    <w:rsid w:val="00CD515A"/>
    <w:rsid w:val="00CD55A2"/>
    <w:rsid w:val="00CD5B58"/>
    <w:rsid w:val="00CD6256"/>
    <w:rsid w:val="00CD643B"/>
    <w:rsid w:val="00CD6E42"/>
    <w:rsid w:val="00CD7B7F"/>
    <w:rsid w:val="00CD7EA0"/>
    <w:rsid w:val="00CE0D42"/>
    <w:rsid w:val="00CE19D1"/>
    <w:rsid w:val="00CE23EF"/>
    <w:rsid w:val="00CE5402"/>
    <w:rsid w:val="00CE6197"/>
    <w:rsid w:val="00CE6490"/>
    <w:rsid w:val="00CE6BEE"/>
    <w:rsid w:val="00CE702E"/>
    <w:rsid w:val="00CE7723"/>
    <w:rsid w:val="00CE7C6C"/>
    <w:rsid w:val="00CF088A"/>
    <w:rsid w:val="00CF1AEC"/>
    <w:rsid w:val="00CF38F2"/>
    <w:rsid w:val="00CF43ED"/>
    <w:rsid w:val="00CF5CD7"/>
    <w:rsid w:val="00CF79DF"/>
    <w:rsid w:val="00D00702"/>
    <w:rsid w:val="00D01E61"/>
    <w:rsid w:val="00D02296"/>
    <w:rsid w:val="00D02B99"/>
    <w:rsid w:val="00D0306C"/>
    <w:rsid w:val="00D034FA"/>
    <w:rsid w:val="00D04FFC"/>
    <w:rsid w:val="00D05957"/>
    <w:rsid w:val="00D06027"/>
    <w:rsid w:val="00D0751A"/>
    <w:rsid w:val="00D078F8"/>
    <w:rsid w:val="00D07D25"/>
    <w:rsid w:val="00D110F0"/>
    <w:rsid w:val="00D116BA"/>
    <w:rsid w:val="00D12852"/>
    <w:rsid w:val="00D13010"/>
    <w:rsid w:val="00D133F0"/>
    <w:rsid w:val="00D143ED"/>
    <w:rsid w:val="00D14C65"/>
    <w:rsid w:val="00D15BC4"/>
    <w:rsid w:val="00D16C5A"/>
    <w:rsid w:val="00D16DAA"/>
    <w:rsid w:val="00D17E12"/>
    <w:rsid w:val="00D20F59"/>
    <w:rsid w:val="00D21B84"/>
    <w:rsid w:val="00D22983"/>
    <w:rsid w:val="00D2352C"/>
    <w:rsid w:val="00D2353F"/>
    <w:rsid w:val="00D25359"/>
    <w:rsid w:val="00D25AF8"/>
    <w:rsid w:val="00D25E7D"/>
    <w:rsid w:val="00D261EA"/>
    <w:rsid w:val="00D26945"/>
    <w:rsid w:val="00D26D6A"/>
    <w:rsid w:val="00D272A3"/>
    <w:rsid w:val="00D27732"/>
    <w:rsid w:val="00D27842"/>
    <w:rsid w:val="00D30628"/>
    <w:rsid w:val="00D30CEE"/>
    <w:rsid w:val="00D31D6C"/>
    <w:rsid w:val="00D32B3D"/>
    <w:rsid w:val="00D33C8D"/>
    <w:rsid w:val="00D34D49"/>
    <w:rsid w:val="00D37148"/>
    <w:rsid w:val="00D3754A"/>
    <w:rsid w:val="00D37A00"/>
    <w:rsid w:val="00D40860"/>
    <w:rsid w:val="00D4280D"/>
    <w:rsid w:val="00D42B76"/>
    <w:rsid w:val="00D43787"/>
    <w:rsid w:val="00D447D8"/>
    <w:rsid w:val="00D447FF"/>
    <w:rsid w:val="00D45006"/>
    <w:rsid w:val="00D450B5"/>
    <w:rsid w:val="00D45623"/>
    <w:rsid w:val="00D45651"/>
    <w:rsid w:val="00D45942"/>
    <w:rsid w:val="00D45968"/>
    <w:rsid w:val="00D468AF"/>
    <w:rsid w:val="00D470FA"/>
    <w:rsid w:val="00D47F57"/>
    <w:rsid w:val="00D50983"/>
    <w:rsid w:val="00D52347"/>
    <w:rsid w:val="00D53B35"/>
    <w:rsid w:val="00D5648F"/>
    <w:rsid w:val="00D56D45"/>
    <w:rsid w:val="00D56E3B"/>
    <w:rsid w:val="00D57B1A"/>
    <w:rsid w:val="00D57CC2"/>
    <w:rsid w:val="00D60D81"/>
    <w:rsid w:val="00D616EC"/>
    <w:rsid w:val="00D625B8"/>
    <w:rsid w:val="00D648BA"/>
    <w:rsid w:val="00D65A74"/>
    <w:rsid w:val="00D66709"/>
    <w:rsid w:val="00D66A4D"/>
    <w:rsid w:val="00D724E1"/>
    <w:rsid w:val="00D75B91"/>
    <w:rsid w:val="00D762E6"/>
    <w:rsid w:val="00D76489"/>
    <w:rsid w:val="00D76A95"/>
    <w:rsid w:val="00D800E9"/>
    <w:rsid w:val="00D801E1"/>
    <w:rsid w:val="00D80B56"/>
    <w:rsid w:val="00D82515"/>
    <w:rsid w:val="00D82682"/>
    <w:rsid w:val="00D82E21"/>
    <w:rsid w:val="00D840E2"/>
    <w:rsid w:val="00D846FE"/>
    <w:rsid w:val="00D860CB"/>
    <w:rsid w:val="00D87C68"/>
    <w:rsid w:val="00D92783"/>
    <w:rsid w:val="00D92B70"/>
    <w:rsid w:val="00D92D3B"/>
    <w:rsid w:val="00D9456A"/>
    <w:rsid w:val="00D94B4E"/>
    <w:rsid w:val="00D94DBD"/>
    <w:rsid w:val="00DA00BB"/>
    <w:rsid w:val="00DA31DF"/>
    <w:rsid w:val="00DA38F9"/>
    <w:rsid w:val="00DA3BAE"/>
    <w:rsid w:val="00DA776D"/>
    <w:rsid w:val="00DA7AAB"/>
    <w:rsid w:val="00DA7F99"/>
    <w:rsid w:val="00DB0815"/>
    <w:rsid w:val="00DB0C6F"/>
    <w:rsid w:val="00DB1859"/>
    <w:rsid w:val="00DB2D52"/>
    <w:rsid w:val="00DB34DF"/>
    <w:rsid w:val="00DB3ABE"/>
    <w:rsid w:val="00DB6676"/>
    <w:rsid w:val="00DC2ABE"/>
    <w:rsid w:val="00DC4F24"/>
    <w:rsid w:val="00DC59DE"/>
    <w:rsid w:val="00DC7217"/>
    <w:rsid w:val="00DC79BB"/>
    <w:rsid w:val="00DD11EB"/>
    <w:rsid w:val="00DD1B8B"/>
    <w:rsid w:val="00DD1F32"/>
    <w:rsid w:val="00DD23D6"/>
    <w:rsid w:val="00DD2D5F"/>
    <w:rsid w:val="00DD4855"/>
    <w:rsid w:val="00DD5378"/>
    <w:rsid w:val="00DD75C4"/>
    <w:rsid w:val="00DE10B9"/>
    <w:rsid w:val="00DE12A5"/>
    <w:rsid w:val="00DE1FBA"/>
    <w:rsid w:val="00DE4550"/>
    <w:rsid w:val="00DE55DE"/>
    <w:rsid w:val="00DE5968"/>
    <w:rsid w:val="00DE5A73"/>
    <w:rsid w:val="00DE6A2A"/>
    <w:rsid w:val="00DF1227"/>
    <w:rsid w:val="00DF131F"/>
    <w:rsid w:val="00DF2C98"/>
    <w:rsid w:val="00DF73A5"/>
    <w:rsid w:val="00DF77FD"/>
    <w:rsid w:val="00DF7AB6"/>
    <w:rsid w:val="00E00DCA"/>
    <w:rsid w:val="00E01C4F"/>
    <w:rsid w:val="00E033B7"/>
    <w:rsid w:val="00E03597"/>
    <w:rsid w:val="00E038DB"/>
    <w:rsid w:val="00E03BB5"/>
    <w:rsid w:val="00E04FFB"/>
    <w:rsid w:val="00E05EEE"/>
    <w:rsid w:val="00E065DD"/>
    <w:rsid w:val="00E075A8"/>
    <w:rsid w:val="00E07D5A"/>
    <w:rsid w:val="00E105EE"/>
    <w:rsid w:val="00E10D91"/>
    <w:rsid w:val="00E11AFF"/>
    <w:rsid w:val="00E11FCA"/>
    <w:rsid w:val="00E134FC"/>
    <w:rsid w:val="00E1436B"/>
    <w:rsid w:val="00E14F22"/>
    <w:rsid w:val="00E151BD"/>
    <w:rsid w:val="00E166F8"/>
    <w:rsid w:val="00E170FA"/>
    <w:rsid w:val="00E2020E"/>
    <w:rsid w:val="00E20D15"/>
    <w:rsid w:val="00E25A13"/>
    <w:rsid w:val="00E26F75"/>
    <w:rsid w:val="00E3064C"/>
    <w:rsid w:val="00E32CBA"/>
    <w:rsid w:val="00E33007"/>
    <w:rsid w:val="00E330A9"/>
    <w:rsid w:val="00E34483"/>
    <w:rsid w:val="00E3456D"/>
    <w:rsid w:val="00E35FB8"/>
    <w:rsid w:val="00E406B2"/>
    <w:rsid w:val="00E4190D"/>
    <w:rsid w:val="00E44987"/>
    <w:rsid w:val="00E44EB9"/>
    <w:rsid w:val="00E44F34"/>
    <w:rsid w:val="00E45859"/>
    <w:rsid w:val="00E46391"/>
    <w:rsid w:val="00E47666"/>
    <w:rsid w:val="00E47A2E"/>
    <w:rsid w:val="00E47B16"/>
    <w:rsid w:val="00E47C2B"/>
    <w:rsid w:val="00E50065"/>
    <w:rsid w:val="00E503DF"/>
    <w:rsid w:val="00E504E9"/>
    <w:rsid w:val="00E507A9"/>
    <w:rsid w:val="00E5253D"/>
    <w:rsid w:val="00E52A30"/>
    <w:rsid w:val="00E53860"/>
    <w:rsid w:val="00E54E23"/>
    <w:rsid w:val="00E554E7"/>
    <w:rsid w:val="00E5688C"/>
    <w:rsid w:val="00E57676"/>
    <w:rsid w:val="00E57C72"/>
    <w:rsid w:val="00E60AAF"/>
    <w:rsid w:val="00E60AEE"/>
    <w:rsid w:val="00E6160F"/>
    <w:rsid w:val="00E6547E"/>
    <w:rsid w:val="00E65AAE"/>
    <w:rsid w:val="00E65E36"/>
    <w:rsid w:val="00E669A1"/>
    <w:rsid w:val="00E67625"/>
    <w:rsid w:val="00E700D9"/>
    <w:rsid w:val="00E75FF6"/>
    <w:rsid w:val="00E77A6F"/>
    <w:rsid w:val="00E8390A"/>
    <w:rsid w:val="00E83A3B"/>
    <w:rsid w:val="00E8425C"/>
    <w:rsid w:val="00E901D7"/>
    <w:rsid w:val="00E914E7"/>
    <w:rsid w:val="00E9172D"/>
    <w:rsid w:val="00E91BD8"/>
    <w:rsid w:val="00E922BE"/>
    <w:rsid w:val="00E9258D"/>
    <w:rsid w:val="00E9268E"/>
    <w:rsid w:val="00E92B00"/>
    <w:rsid w:val="00E9368B"/>
    <w:rsid w:val="00E947B1"/>
    <w:rsid w:val="00E94D9A"/>
    <w:rsid w:val="00E951CA"/>
    <w:rsid w:val="00E9538A"/>
    <w:rsid w:val="00E953FA"/>
    <w:rsid w:val="00E97913"/>
    <w:rsid w:val="00E97D0F"/>
    <w:rsid w:val="00E97E28"/>
    <w:rsid w:val="00EA484D"/>
    <w:rsid w:val="00EA4A96"/>
    <w:rsid w:val="00EA6C52"/>
    <w:rsid w:val="00EB1A14"/>
    <w:rsid w:val="00EB1C95"/>
    <w:rsid w:val="00EB2A31"/>
    <w:rsid w:val="00EB3B0A"/>
    <w:rsid w:val="00EB3DAC"/>
    <w:rsid w:val="00EB4081"/>
    <w:rsid w:val="00EB4093"/>
    <w:rsid w:val="00EB46F3"/>
    <w:rsid w:val="00EB4958"/>
    <w:rsid w:val="00EB784C"/>
    <w:rsid w:val="00EC1371"/>
    <w:rsid w:val="00EC2445"/>
    <w:rsid w:val="00EC33B2"/>
    <w:rsid w:val="00EC3796"/>
    <w:rsid w:val="00EC41A4"/>
    <w:rsid w:val="00EC45E1"/>
    <w:rsid w:val="00EC5D78"/>
    <w:rsid w:val="00EC6563"/>
    <w:rsid w:val="00EC7294"/>
    <w:rsid w:val="00EC7555"/>
    <w:rsid w:val="00EC7728"/>
    <w:rsid w:val="00ED0109"/>
    <w:rsid w:val="00ED0680"/>
    <w:rsid w:val="00ED10A6"/>
    <w:rsid w:val="00ED1757"/>
    <w:rsid w:val="00ED1E6B"/>
    <w:rsid w:val="00ED27B9"/>
    <w:rsid w:val="00ED2905"/>
    <w:rsid w:val="00ED328C"/>
    <w:rsid w:val="00ED39D6"/>
    <w:rsid w:val="00ED3D65"/>
    <w:rsid w:val="00ED4017"/>
    <w:rsid w:val="00ED52BE"/>
    <w:rsid w:val="00ED5EBE"/>
    <w:rsid w:val="00ED7083"/>
    <w:rsid w:val="00ED7E7A"/>
    <w:rsid w:val="00ED7E9F"/>
    <w:rsid w:val="00EE0D8C"/>
    <w:rsid w:val="00EE149D"/>
    <w:rsid w:val="00EE172B"/>
    <w:rsid w:val="00EE25F0"/>
    <w:rsid w:val="00EE36B4"/>
    <w:rsid w:val="00EE3EDC"/>
    <w:rsid w:val="00EE3F56"/>
    <w:rsid w:val="00EE4BB2"/>
    <w:rsid w:val="00EE53F7"/>
    <w:rsid w:val="00EE560A"/>
    <w:rsid w:val="00EE6084"/>
    <w:rsid w:val="00EE6B47"/>
    <w:rsid w:val="00EE733B"/>
    <w:rsid w:val="00EE7B6D"/>
    <w:rsid w:val="00EF13A5"/>
    <w:rsid w:val="00EF1724"/>
    <w:rsid w:val="00EF1AA9"/>
    <w:rsid w:val="00EF1B4E"/>
    <w:rsid w:val="00EF1CC2"/>
    <w:rsid w:val="00EF3963"/>
    <w:rsid w:val="00EF5079"/>
    <w:rsid w:val="00EF6C71"/>
    <w:rsid w:val="00EF6E78"/>
    <w:rsid w:val="00EF7A77"/>
    <w:rsid w:val="00EF7DDE"/>
    <w:rsid w:val="00EF7DE3"/>
    <w:rsid w:val="00F00425"/>
    <w:rsid w:val="00F006C9"/>
    <w:rsid w:val="00F01483"/>
    <w:rsid w:val="00F02537"/>
    <w:rsid w:val="00F02F54"/>
    <w:rsid w:val="00F03638"/>
    <w:rsid w:val="00F039ED"/>
    <w:rsid w:val="00F03F16"/>
    <w:rsid w:val="00F0620D"/>
    <w:rsid w:val="00F076F6"/>
    <w:rsid w:val="00F07ECC"/>
    <w:rsid w:val="00F10116"/>
    <w:rsid w:val="00F1181F"/>
    <w:rsid w:val="00F11B23"/>
    <w:rsid w:val="00F123CE"/>
    <w:rsid w:val="00F1344F"/>
    <w:rsid w:val="00F13850"/>
    <w:rsid w:val="00F13A34"/>
    <w:rsid w:val="00F146CB"/>
    <w:rsid w:val="00F149E9"/>
    <w:rsid w:val="00F14B1E"/>
    <w:rsid w:val="00F1574B"/>
    <w:rsid w:val="00F15D92"/>
    <w:rsid w:val="00F203B8"/>
    <w:rsid w:val="00F20BE6"/>
    <w:rsid w:val="00F220EF"/>
    <w:rsid w:val="00F2298C"/>
    <w:rsid w:val="00F2377C"/>
    <w:rsid w:val="00F24CF2"/>
    <w:rsid w:val="00F25235"/>
    <w:rsid w:val="00F254F6"/>
    <w:rsid w:val="00F3022D"/>
    <w:rsid w:val="00F30708"/>
    <w:rsid w:val="00F31B3B"/>
    <w:rsid w:val="00F31E35"/>
    <w:rsid w:val="00F3228A"/>
    <w:rsid w:val="00F327D6"/>
    <w:rsid w:val="00F332B0"/>
    <w:rsid w:val="00F3395E"/>
    <w:rsid w:val="00F33A72"/>
    <w:rsid w:val="00F33BDE"/>
    <w:rsid w:val="00F3415D"/>
    <w:rsid w:val="00F363F1"/>
    <w:rsid w:val="00F37256"/>
    <w:rsid w:val="00F43DFC"/>
    <w:rsid w:val="00F45E5A"/>
    <w:rsid w:val="00F4695D"/>
    <w:rsid w:val="00F50172"/>
    <w:rsid w:val="00F54740"/>
    <w:rsid w:val="00F548B6"/>
    <w:rsid w:val="00F54BF3"/>
    <w:rsid w:val="00F565D0"/>
    <w:rsid w:val="00F56B4F"/>
    <w:rsid w:val="00F56D1C"/>
    <w:rsid w:val="00F57A3E"/>
    <w:rsid w:val="00F62899"/>
    <w:rsid w:val="00F6353A"/>
    <w:rsid w:val="00F637A9"/>
    <w:rsid w:val="00F63A4A"/>
    <w:rsid w:val="00F63E31"/>
    <w:rsid w:val="00F645AE"/>
    <w:rsid w:val="00F654A6"/>
    <w:rsid w:val="00F67065"/>
    <w:rsid w:val="00F67D00"/>
    <w:rsid w:val="00F67D2C"/>
    <w:rsid w:val="00F70011"/>
    <w:rsid w:val="00F720D1"/>
    <w:rsid w:val="00F720FA"/>
    <w:rsid w:val="00F733B2"/>
    <w:rsid w:val="00F744F3"/>
    <w:rsid w:val="00F758AD"/>
    <w:rsid w:val="00F75DF6"/>
    <w:rsid w:val="00F772EA"/>
    <w:rsid w:val="00F77698"/>
    <w:rsid w:val="00F80290"/>
    <w:rsid w:val="00F805A6"/>
    <w:rsid w:val="00F83BC2"/>
    <w:rsid w:val="00F83CBF"/>
    <w:rsid w:val="00F84ED2"/>
    <w:rsid w:val="00F87223"/>
    <w:rsid w:val="00F87AC1"/>
    <w:rsid w:val="00F90290"/>
    <w:rsid w:val="00F915B8"/>
    <w:rsid w:val="00F91B3B"/>
    <w:rsid w:val="00F94340"/>
    <w:rsid w:val="00F94EC0"/>
    <w:rsid w:val="00F95610"/>
    <w:rsid w:val="00F96012"/>
    <w:rsid w:val="00F976C6"/>
    <w:rsid w:val="00F97B35"/>
    <w:rsid w:val="00FA0C52"/>
    <w:rsid w:val="00FA1CFB"/>
    <w:rsid w:val="00FA215D"/>
    <w:rsid w:val="00FA2451"/>
    <w:rsid w:val="00FA2726"/>
    <w:rsid w:val="00FA307E"/>
    <w:rsid w:val="00FA3FB9"/>
    <w:rsid w:val="00FA457D"/>
    <w:rsid w:val="00FA6E33"/>
    <w:rsid w:val="00FA72B1"/>
    <w:rsid w:val="00FB4DF7"/>
    <w:rsid w:val="00FB57C4"/>
    <w:rsid w:val="00FB7E8F"/>
    <w:rsid w:val="00FC1185"/>
    <w:rsid w:val="00FC3FD5"/>
    <w:rsid w:val="00FC479C"/>
    <w:rsid w:val="00FC6E57"/>
    <w:rsid w:val="00FC7151"/>
    <w:rsid w:val="00FD0560"/>
    <w:rsid w:val="00FD0A26"/>
    <w:rsid w:val="00FD0C02"/>
    <w:rsid w:val="00FD1FCF"/>
    <w:rsid w:val="00FD282F"/>
    <w:rsid w:val="00FD2992"/>
    <w:rsid w:val="00FD29BB"/>
    <w:rsid w:val="00FD4CB3"/>
    <w:rsid w:val="00FD6EAA"/>
    <w:rsid w:val="00FD79D2"/>
    <w:rsid w:val="00FE043C"/>
    <w:rsid w:val="00FE0ABB"/>
    <w:rsid w:val="00FE141F"/>
    <w:rsid w:val="00FE20F0"/>
    <w:rsid w:val="00FE7911"/>
    <w:rsid w:val="00FE7C1C"/>
    <w:rsid w:val="00FF1735"/>
    <w:rsid w:val="00FF31C9"/>
    <w:rsid w:val="00FF3D51"/>
    <w:rsid w:val="00FF5A48"/>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docId w15:val="{EB63F7D5-A960-455F-9C24-05CD639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table" w:styleId="TableGrid">
    <w:name w:val="Table Grid"/>
    <w:basedOn w:val="TableNormal"/>
    <w:uiPriority w:val="39"/>
    <w:rsid w:val="00ED17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5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767D0-60D7-4A5C-8855-1243BB28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3693</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Mary Bruce</cp:lastModifiedBy>
  <cp:revision>3</cp:revision>
  <cp:lastPrinted>2023-12-27T10:34:00Z</cp:lastPrinted>
  <dcterms:created xsi:type="dcterms:W3CDTF">2024-01-29T15:18:00Z</dcterms:created>
  <dcterms:modified xsi:type="dcterms:W3CDTF">2024-01-30T14:45:00Z</dcterms:modified>
</cp:coreProperties>
</file>