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44259" w14:textId="68BB9884" w:rsidR="002B64D5" w:rsidRDefault="002B64D5" w:rsidP="002B64D5">
      <w:pPr>
        <w:jc w:val="center"/>
        <w:rPr>
          <w:rFonts w:ascii="Arial" w:hAnsi="Arial" w:cs="Arial"/>
          <w:b/>
          <w:sz w:val="26"/>
          <w:szCs w:val="26"/>
        </w:rPr>
      </w:pPr>
      <w:bookmarkStart w:id="0" w:name="_GoBack"/>
      <w:r>
        <w:rPr>
          <w:noProof/>
          <w:lang w:val="en-US" w:eastAsia="en-US"/>
        </w:rPr>
        <w:drawing>
          <wp:inline distT="0" distB="0" distL="0" distR="0" wp14:anchorId="7FD6E94C" wp14:editId="72C117A5">
            <wp:extent cx="1333500" cy="1095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inline>
        </w:drawing>
      </w:r>
    </w:p>
    <w:bookmarkEnd w:id="0"/>
    <w:p w14:paraId="042EFE7C" w14:textId="77777777" w:rsidR="002B64D5" w:rsidRDefault="002B64D5" w:rsidP="00BB28F4">
      <w:pPr>
        <w:rPr>
          <w:rFonts w:ascii="Arial" w:hAnsi="Arial" w:cs="Arial"/>
          <w:b/>
          <w:sz w:val="26"/>
          <w:szCs w:val="26"/>
        </w:rPr>
      </w:pPr>
    </w:p>
    <w:p w14:paraId="097FC87B" w14:textId="5C820CB9" w:rsidR="0057684C" w:rsidRPr="00A13945" w:rsidRDefault="0057684C" w:rsidP="002B64D5">
      <w:pPr>
        <w:jc w:val="center"/>
        <w:rPr>
          <w:rFonts w:ascii="Arial" w:hAnsi="Arial" w:cs="Arial"/>
          <w:b/>
          <w:sz w:val="26"/>
          <w:szCs w:val="26"/>
        </w:rPr>
      </w:pPr>
      <w:r w:rsidRPr="00A13945">
        <w:rPr>
          <w:rFonts w:ascii="Arial" w:hAnsi="Arial" w:cs="Arial"/>
          <w:b/>
          <w:sz w:val="26"/>
          <w:szCs w:val="26"/>
        </w:rPr>
        <w:t>IN THE HIGH COURT OF SOUTH AFRICA</w:t>
      </w:r>
    </w:p>
    <w:p w14:paraId="063ABCC0" w14:textId="4374F944" w:rsidR="00AF7575" w:rsidRPr="00A13945" w:rsidRDefault="00702F03" w:rsidP="002B64D5">
      <w:pPr>
        <w:jc w:val="center"/>
        <w:rPr>
          <w:rFonts w:ascii="Arial" w:hAnsi="Arial" w:cs="Arial"/>
          <w:b/>
          <w:sz w:val="26"/>
          <w:szCs w:val="26"/>
        </w:rPr>
      </w:pPr>
      <w:r>
        <w:rPr>
          <w:rFonts w:ascii="Arial" w:hAnsi="Arial" w:cs="Arial"/>
          <w:b/>
          <w:sz w:val="26"/>
          <w:szCs w:val="26"/>
        </w:rPr>
        <w:t>(EASTERN CAPE</w:t>
      </w:r>
      <w:r w:rsidR="00EB4A38">
        <w:rPr>
          <w:rFonts w:ascii="Arial" w:hAnsi="Arial" w:cs="Arial"/>
          <w:b/>
          <w:sz w:val="26"/>
          <w:szCs w:val="26"/>
        </w:rPr>
        <w:t xml:space="preserve"> </w:t>
      </w:r>
      <w:r w:rsidR="001D4B84" w:rsidRPr="00A13945">
        <w:rPr>
          <w:rFonts w:ascii="Arial" w:hAnsi="Arial" w:cs="Arial"/>
          <w:b/>
          <w:sz w:val="26"/>
          <w:szCs w:val="26"/>
        </w:rPr>
        <w:t xml:space="preserve">DIVISION, </w:t>
      </w:r>
      <w:r>
        <w:rPr>
          <w:rFonts w:ascii="Arial" w:hAnsi="Arial" w:cs="Arial"/>
          <w:b/>
          <w:sz w:val="26"/>
          <w:szCs w:val="26"/>
        </w:rPr>
        <w:t>MAKHANDA</w:t>
      </w:r>
      <w:r w:rsidR="0057684C" w:rsidRPr="00A13945">
        <w:rPr>
          <w:rFonts w:ascii="Arial" w:hAnsi="Arial" w:cs="Arial"/>
          <w:b/>
          <w:sz w:val="26"/>
          <w:szCs w:val="26"/>
        </w:rPr>
        <w:t>)</w:t>
      </w:r>
    </w:p>
    <w:p w14:paraId="54E5307C" w14:textId="77777777" w:rsidR="002B64D5" w:rsidRDefault="002B64D5" w:rsidP="002B64D5">
      <w:pPr>
        <w:ind w:left="5760" w:firstLine="720"/>
        <w:jc w:val="both"/>
        <w:rPr>
          <w:rFonts w:ascii="Arial" w:hAnsi="Arial" w:cs="Arial"/>
          <w:b/>
          <w:sz w:val="26"/>
          <w:szCs w:val="26"/>
          <w:lang w:val="en-ZA"/>
        </w:rPr>
      </w:pPr>
    </w:p>
    <w:p w14:paraId="595B2D4E" w14:textId="086760FA" w:rsidR="00824B71" w:rsidRPr="00A13945" w:rsidRDefault="00F50D78" w:rsidP="002B64D5">
      <w:pPr>
        <w:ind w:left="5760" w:firstLine="720"/>
        <w:jc w:val="both"/>
        <w:rPr>
          <w:rFonts w:ascii="Arial" w:hAnsi="Arial" w:cs="Arial"/>
          <w:sz w:val="26"/>
          <w:szCs w:val="26"/>
          <w:lang w:val="en-ZA"/>
        </w:rPr>
      </w:pPr>
      <w:r>
        <w:rPr>
          <w:rFonts w:ascii="Arial" w:hAnsi="Arial" w:cs="Arial"/>
          <w:b/>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205D81">
        <w:rPr>
          <w:rFonts w:ascii="Arial" w:hAnsi="Arial" w:cs="Arial"/>
          <w:b/>
          <w:sz w:val="26"/>
          <w:szCs w:val="26"/>
          <w:lang w:val="en-ZA"/>
        </w:rPr>
        <w:t>398</w:t>
      </w:r>
      <w:r w:rsidR="00A90FED">
        <w:rPr>
          <w:rFonts w:ascii="Arial" w:hAnsi="Arial" w:cs="Arial"/>
          <w:b/>
          <w:sz w:val="26"/>
          <w:szCs w:val="26"/>
          <w:lang w:val="en-ZA"/>
        </w:rPr>
        <w:t>/20</w:t>
      </w:r>
      <w:r w:rsidR="00790E8A">
        <w:rPr>
          <w:rFonts w:ascii="Arial" w:hAnsi="Arial" w:cs="Arial"/>
          <w:b/>
          <w:sz w:val="26"/>
          <w:szCs w:val="26"/>
          <w:lang w:val="en-ZA"/>
        </w:rPr>
        <w:t>2</w:t>
      </w:r>
      <w:r w:rsidR="00205D81">
        <w:rPr>
          <w:rFonts w:ascii="Arial" w:hAnsi="Arial" w:cs="Arial"/>
          <w:b/>
          <w:sz w:val="26"/>
          <w:szCs w:val="26"/>
          <w:lang w:val="en-ZA"/>
        </w:rPr>
        <w:t>3</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2B145443" w14:textId="43307640" w:rsidR="00BA3504" w:rsidRDefault="00205D81" w:rsidP="00BB28F4">
      <w:pPr>
        <w:jc w:val="both"/>
        <w:rPr>
          <w:rFonts w:ascii="Arial" w:hAnsi="Arial" w:cs="Arial"/>
          <w:b/>
          <w:sz w:val="26"/>
          <w:szCs w:val="26"/>
          <w:lang w:val="en-ZA"/>
        </w:rPr>
      </w:pPr>
      <w:r>
        <w:rPr>
          <w:rFonts w:ascii="Arial" w:hAnsi="Arial" w:cs="Arial"/>
          <w:b/>
          <w:sz w:val="26"/>
          <w:szCs w:val="26"/>
          <w:lang w:val="en-ZA"/>
        </w:rPr>
        <w:t>SIPHOKAZI MAFILIKA &amp; 5 OTHERS</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sidR="00790E8A">
        <w:rPr>
          <w:rFonts w:ascii="Arial" w:hAnsi="Arial" w:cs="Arial"/>
          <w:b/>
          <w:sz w:val="26"/>
          <w:szCs w:val="26"/>
          <w:lang w:val="en-ZA"/>
        </w:rPr>
        <w:tab/>
        <w:t xml:space="preserve">        Applicant</w:t>
      </w:r>
      <w:r w:rsidR="006E758A">
        <w:rPr>
          <w:rFonts w:ascii="Arial" w:hAnsi="Arial" w:cs="Arial"/>
          <w:b/>
          <w:sz w:val="26"/>
          <w:szCs w:val="26"/>
          <w:lang w:val="en-ZA"/>
        </w:rPr>
        <w:t xml:space="preserve"> </w:t>
      </w:r>
    </w:p>
    <w:p w14:paraId="3C03B6A0" w14:textId="77777777" w:rsidR="002B64D5" w:rsidRDefault="002B64D5"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3EFF8DC4" w14:textId="0279B1CF" w:rsidR="00E4301A" w:rsidRDefault="00205D81" w:rsidP="00BB28F4">
      <w:pPr>
        <w:jc w:val="both"/>
        <w:rPr>
          <w:rFonts w:ascii="Arial" w:hAnsi="Arial" w:cs="Arial"/>
          <w:b/>
          <w:sz w:val="26"/>
          <w:szCs w:val="26"/>
          <w:lang w:val="en-ZA"/>
        </w:rPr>
      </w:pPr>
      <w:r>
        <w:rPr>
          <w:rFonts w:ascii="Arial" w:hAnsi="Arial" w:cs="Arial"/>
          <w:b/>
          <w:sz w:val="26"/>
          <w:szCs w:val="26"/>
          <w:lang w:val="en-ZA"/>
        </w:rPr>
        <w:t>ELUNDINI MUNICIPALITY</w:t>
      </w:r>
      <w:r w:rsidR="009C58AD">
        <w:rPr>
          <w:rFonts w:ascii="Arial" w:hAnsi="Arial" w:cs="Arial"/>
          <w:b/>
          <w:sz w:val="26"/>
          <w:szCs w:val="26"/>
          <w:lang w:val="en-ZA"/>
        </w:rPr>
        <w:t xml:space="preserve"> </w:t>
      </w:r>
      <w:r w:rsidR="00790E8A">
        <w:rPr>
          <w:rFonts w:ascii="Arial" w:hAnsi="Arial" w:cs="Arial"/>
          <w:b/>
          <w:sz w:val="26"/>
          <w:szCs w:val="26"/>
          <w:lang w:val="en-ZA"/>
        </w:rPr>
        <w:tab/>
      </w:r>
      <w:r w:rsidR="00790E8A">
        <w:rPr>
          <w:rFonts w:ascii="Arial" w:hAnsi="Arial" w:cs="Arial"/>
          <w:b/>
          <w:sz w:val="26"/>
          <w:szCs w:val="26"/>
          <w:lang w:val="en-ZA"/>
        </w:rPr>
        <w:tab/>
      </w:r>
      <w:r w:rsidR="00790E8A">
        <w:rPr>
          <w:rFonts w:ascii="Arial" w:hAnsi="Arial" w:cs="Arial"/>
          <w:b/>
          <w:sz w:val="26"/>
          <w:szCs w:val="26"/>
          <w:lang w:val="en-ZA"/>
        </w:rPr>
        <w:tab/>
      </w:r>
      <w:r w:rsidR="00790E8A">
        <w:rPr>
          <w:rFonts w:ascii="Arial" w:hAnsi="Arial" w:cs="Arial"/>
          <w:b/>
          <w:sz w:val="26"/>
          <w:szCs w:val="26"/>
          <w:lang w:val="en-ZA"/>
        </w:rPr>
        <w:tab/>
      </w:r>
      <w:r w:rsidR="00790E8A">
        <w:rPr>
          <w:rFonts w:ascii="Arial" w:hAnsi="Arial" w:cs="Arial"/>
          <w:b/>
          <w:sz w:val="26"/>
          <w:szCs w:val="26"/>
          <w:lang w:val="en-ZA"/>
        </w:rPr>
        <w:tab/>
        <w:t xml:space="preserve">     First Respondent</w:t>
      </w:r>
      <w:r w:rsidR="006E758A">
        <w:rPr>
          <w:rFonts w:ascii="Arial" w:hAnsi="Arial" w:cs="Arial"/>
          <w:b/>
          <w:sz w:val="26"/>
          <w:szCs w:val="26"/>
          <w:lang w:val="en-ZA"/>
        </w:rPr>
        <w:t xml:space="preserve"> </w:t>
      </w:r>
    </w:p>
    <w:p w14:paraId="582049C2" w14:textId="05BAD5B4" w:rsidR="00790E8A" w:rsidRDefault="00790E8A" w:rsidP="00BB28F4">
      <w:pPr>
        <w:jc w:val="both"/>
        <w:rPr>
          <w:rFonts w:ascii="Arial" w:hAnsi="Arial" w:cs="Arial"/>
          <w:b/>
          <w:sz w:val="26"/>
          <w:szCs w:val="26"/>
          <w:lang w:val="en-ZA"/>
        </w:rPr>
      </w:pPr>
    </w:p>
    <w:p w14:paraId="14784D4D" w14:textId="77777777" w:rsidR="00205D81" w:rsidRDefault="00205D81" w:rsidP="00BB28F4">
      <w:pPr>
        <w:jc w:val="both"/>
        <w:rPr>
          <w:rFonts w:ascii="Arial" w:hAnsi="Arial" w:cs="Arial"/>
          <w:b/>
          <w:sz w:val="26"/>
          <w:szCs w:val="26"/>
          <w:lang w:val="en-ZA"/>
        </w:rPr>
      </w:pPr>
      <w:r>
        <w:rPr>
          <w:rFonts w:ascii="Arial" w:hAnsi="Arial" w:cs="Arial"/>
          <w:b/>
          <w:sz w:val="26"/>
          <w:szCs w:val="26"/>
          <w:lang w:val="en-ZA"/>
        </w:rPr>
        <w:t>THE MUNICIPAL MANAGER:</w:t>
      </w:r>
    </w:p>
    <w:p w14:paraId="6BA508EB" w14:textId="5942DE04" w:rsidR="00790E8A" w:rsidRDefault="00205D81" w:rsidP="00BB28F4">
      <w:pPr>
        <w:jc w:val="both"/>
        <w:rPr>
          <w:rFonts w:ascii="Arial" w:hAnsi="Arial" w:cs="Arial"/>
          <w:b/>
          <w:sz w:val="26"/>
          <w:szCs w:val="26"/>
          <w:lang w:val="en-ZA"/>
        </w:rPr>
      </w:pPr>
      <w:r>
        <w:rPr>
          <w:rFonts w:ascii="Arial" w:hAnsi="Arial" w:cs="Arial"/>
          <w:b/>
          <w:sz w:val="26"/>
          <w:szCs w:val="26"/>
          <w:lang w:val="en-ZA"/>
        </w:rPr>
        <w:t>ELUNDINI MUNICIPALITY</w:t>
      </w:r>
      <w:r>
        <w:rPr>
          <w:rFonts w:ascii="Arial" w:hAnsi="Arial" w:cs="Arial"/>
          <w:b/>
          <w:sz w:val="26"/>
          <w:szCs w:val="26"/>
          <w:lang w:val="en-ZA"/>
        </w:rPr>
        <w:tab/>
      </w:r>
      <w:r w:rsidR="00790E8A">
        <w:rPr>
          <w:rFonts w:ascii="Arial" w:hAnsi="Arial" w:cs="Arial"/>
          <w:b/>
          <w:sz w:val="26"/>
          <w:szCs w:val="26"/>
          <w:lang w:val="en-ZA"/>
        </w:rPr>
        <w:tab/>
      </w:r>
      <w:r w:rsidR="00790E8A">
        <w:rPr>
          <w:rFonts w:ascii="Arial" w:hAnsi="Arial" w:cs="Arial"/>
          <w:b/>
          <w:sz w:val="26"/>
          <w:szCs w:val="26"/>
          <w:lang w:val="en-ZA"/>
        </w:rPr>
        <w:tab/>
      </w:r>
      <w:r w:rsidR="00790E8A">
        <w:rPr>
          <w:rFonts w:ascii="Arial" w:hAnsi="Arial" w:cs="Arial"/>
          <w:b/>
          <w:sz w:val="26"/>
          <w:szCs w:val="26"/>
          <w:lang w:val="en-ZA"/>
        </w:rPr>
        <w:tab/>
      </w:r>
      <w:r w:rsidR="00790E8A">
        <w:rPr>
          <w:rFonts w:ascii="Arial" w:hAnsi="Arial" w:cs="Arial"/>
          <w:b/>
          <w:sz w:val="26"/>
          <w:szCs w:val="26"/>
          <w:lang w:val="en-ZA"/>
        </w:rPr>
        <w:tab/>
        <w:t>Second Respondent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154052A4" w:rsidR="00062BE1" w:rsidRPr="00A13945" w:rsidRDefault="00F50D78" w:rsidP="00BB28F4">
      <w:pPr>
        <w:jc w:val="both"/>
        <w:rPr>
          <w:rFonts w:ascii="Arial" w:hAnsi="Arial" w:cs="Arial"/>
          <w:b/>
          <w:sz w:val="26"/>
          <w:szCs w:val="26"/>
          <w:lang w:val="en-ZA"/>
        </w:rPr>
      </w:pPr>
      <w:r>
        <w:rPr>
          <w:rFonts w:ascii="Arial" w:hAnsi="Arial" w:cs="Arial"/>
          <w:b/>
          <w:sz w:val="26"/>
          <w:szCs w:val="26"/>
          <w:lang w:val="en-ZA"/>
        </w:rPr>
        <w:t xml:space="preserve"> </w:t>
      </w:r>
    </w:p>
    <w:p w14:paraId="132AC180" w14:textId="1D86F0E5" w:rsidR="001E63F9" w:rsidRPr="00A13945" w:rsidRDefault="00790E8A"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24F1B4EA" w:rsidR="00E910FD" w:rsidRDefault="00062BE1" w:rsidP="00901CEA">
      <w:pPr>
        <w:spacing w:before="240"/>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7B63991" w14:textId="78AC1F0C" w:rsidR="00901CEA" w:rsidRDefault="00901CEA" w:rsidP="00901CEA">
      <w:pPr>
        <w:spacing w:before="240"/>
        <w:jc w:val="both"/>
        <w:rPr>
          <w:rFonts w:ascii="Arial" w:hAnsi="Arial" w:cs="Arial"/>
          <w:b/>
          <w:sz w:val="26"/>
          <w:szCs w:val="26"/>
          <w:u w:val="single"/>
          <w:lang w:val="en-ZA"/>
        </w:rPr>
      </w:pPr>
      <w:r>
        <w:rPr>
          <w:rFonts w:ascii="Arial" w:hAnsi="Arial" w:cs="Arial"/>
          <w:b/>
          <w:sz w:val="26"/>
          <w:szCs w:val="26"/>
          <w:u w:val="single"/>
          <w:lang w:val="en-ZA"/>
        </w:rPr>
        <w:t xml:space="preserve"> </w:t>
      </w:r>
    </w:p>
    <w:p w14:paraId="70A2DB93" w14:textId="47B7EC0F" w:rsidR="00165024" w:rsidRPr="00205D81" w:rsidRDefault="00AB42B4" w:rsidP="00205D81">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205D81">
        <w:rPr>
          <w:rFonts w:ascii="Arial" w:hAnsi="Arial" w:cs="Arial"/>
          <w:sz w:val="26"/>
          <w:szCs w:val="26"/>
          <w:lang w:val="en-ZA"/>
        </w:rPr>
        <w:t xml:space="preserve">It is common </w:t>
      </w:r>
      <w:proofErr w:type="gramStart"/>
      <w:r w:rsidR="00205D81">
        <w:rPr>
          <w:rFonts w:ascii="Arial" w:hAnsi="Arial" w:cs="Arial"/>
          <w:sz w:val="26"/>
          <w:szCs w:val="26"/>
          <w:lang w:val="en-ZA"/>
        </w:rPr>
        <w:t>cause</w:t>
      </w:r>
      <w:proofErr w:type="gramEnd"/>
      <w:r w:rsidR="00205D81">
        <w:rPr>
          <w:rFonts w:ascii="Arial" w:hAnsi="Arial" w:cs="Arial"/>
          <w:sz w:val="26"/>
          <w:szCs w:val="26"/>
          <w:lang w:val="en-ZA"/>
        </w:rPr>
        <w:t xml:space="preserve"> that officials of first respondent disconnected or terminated the supply of electricity from </w:t>
      </w:r>
      <w:proofErr w:type="spellStart"/>
      <w:r w:rsidR="00205D81">
        <w:rPr>
          <w:rFonts w:ascii="Arial" w:hAnsi="Arial" w:cs="Arial"/>
          <w:sz w:val="26"/>
          <w:szCs w:val="26"/>
          <w:lang w:val="en-ZA"/>
        </w:rPr>
        <w:t>Erf</w:t>
      </w:r>
      <w:proofErr w:type="spellEnd"/>
      <w:r w:rsidR="00205D81">
        <w:rPr>
          <w:rFonts w:ascii="Arial" w:hAnsi="Arial" w:cs="Arial"/>
          <w:sz w:val="26"/>
          <w:szCs w:val="26"/>
          <w:lang w:val="en-ZA"/>
        </w:rPr>
        <w:t xml:space="preserve"> 3488 </w:t>
      </w:r>
      <w:proofErr w:type="spellStart"/>
      <w:r w:rsidR="00205D81">
        <w:rPr>
          <w:rFonts w:ascii="Arial" w:hAnsi="Arial" w:cs="Arial"/>
          <w:sz w:val="26"/>
          <w:szCs w:val="26"/>
          <w:lang w:val="en-ZA"/>
        </w:rPr>
        <w:t>Maclear</w:t>
      </w:r>
      <w:proofErr w:type="spellEnd"/>
      <w:r w:rsidR="00205D81">
        <w:rPr>
          <w:rFonts w:ascii="Arial" w:hAnsi="Arial" w:cs="Arial"/>
          <w:sz w:val="26"/>
          <w:szCs w:val="26"/>
          <w:lang w:val="en-ZA"/>
        </w:rPr>
        <w:t xml:space="preserve">, </w:t>
      </w:r>
      <w:r w:rsidR="00897A02">
        <w:rPr>
          <w:rFonts w:ascii="Arial" w:hAnsi="Arial" w:cs="Arial"/>
          <w:sz w:val="26"/>
          <w:szCs w:val="26"/>
          <w:lang w:val="en-ZA"/>
        </w:rPr>
        <w:t xml:space="preserve">which </w:t>
      </w:r>
      <w:r w:rsidR="00205D81">
        <w:rPr>
          <w:rFonts w:ascii="Arial" w:hAnsi="Arial" w:cs="Arial"/>
          <w:sz w:val="26"/>
          <w:szCs w:val="26"/>
          <w:lang w:val="en-ZA"/>
        </w:rPr>
        <w:t>fall</w:t>
      </w:r>
      <w:r w:rsidR="00897A02">
        <w:rPr>
          <w:rFonts w:ascii="Arial" w:hAnsi="Arial" w:cs="Arial"/>
          <w:sz w:val="26"/>
          <w:szCs w:val="26"/>
          <w:lang w:val="en-ZA"/>
        </w:rPr>
        <w:t>s</w:t>
      </w:r>
      <w:r w:rsidR="00205D81">
        <w:rPr>
          <w:rFonts w:ascii="Arial" w:hAnsi="Arial" w:cs="Arial"/>
          <w:sz w:val="26"/>
          <w:szCs w:val="26"/>
          <w:lang w:val="en-ZA"/>
        </w:rPr>
        <w:t xml:space="preserve"> under the </w:t>
      </w:r>
      <w:proofErr w:type="spellStart"/>
      <w:r w:rsidR="00205D81">
        <w:rPr>
          <w:rFonts w:ascii="Arial" w:hAnsi="Arial" w:cs="Arial"/>
          <w:sz w:val="26"/>
          <w:szCs w:val="26"/>
          <w:lang w:val="en-ZA"/>
        </w:rPr>
        <w:t>Elundini</w:t>
      </w:r>
      <w:proofErr w:type="spellEnd"/>
      <w:r w:rsidR="00205D81">
        <w:rPr>
          <w:rFonts w:ascii="Arial" w:hAnsi="Arial" w:cs="Arial"/>
          <w:sz w:val="26"/>
          <w:szCs w:val="26"/>
          <w:lang w:val="en-ZA"/>
        </w:rPr>
        <w:t xml:space="preserve"> Municipality. It is</w:t>
      </w:r>
      <w:r w:rsidR="00897A02">
        <w:rPr>
          <w:rFonts w:ascii="Arial" w:hAnsi="Arial" w:cs="Arial"/>
          <w:sz w:val="26"/>
          <w:szCs w:val="26"/>
          <w:lang w:val="en-ZA"/>
        </w:rPr>
        <w:t xml:space="preserve"> also</w:t>
      </w:r>
      <w:r w:rsidR="00205D81">
        <w:rPr>
          <w:rFonts w:ascii="Arial" w:hAnsi="Arial" w:cs="Arial"/>
          <w:sz w:val="26"/>
          <w:szCs w:val="26"/>
          <w:lang w:val="en-ZA"/>
        </w:rPr>
        <w:t xml:space="preserve"> common cause that the owner of the said premises is </w:t>
      </w:r>
      <w:r w:rsidR="00205D81">
        <w:rPr>
          <w:rFonts w:ascii="Arial" w:hAnsi="Arial" w:cs="Arial"/>
          <w:b/>
          <w:sz w:val="26"/>
          <w:szCs w:val="26"/>
          <w:lang w:val="en-ZA"/>
        </w:rPr>
        <w:t xml:space="preserve">Ms </w:t>
      </w:r>
      <w:proofErr w:type="spellStart"/>
      <w:r w:rsidR="00205D81">
        <w:rPr>
          <w:rFonts w:ascii="Arial" w:hAnsi="Arial" w:cs="Arial"/>
          <w:b/>
          <w:sz w:val="26"/>
          <w:szCs w:val="26"/>
          <w:lang w:val="en-ZA"/>
        </w:rPr>
        <w:t>Nosipho</w:t>
      </w:r>
      <w:proofErr w:type="spellEnd"/>
      <w:r w:rsidR="00205D81">
        <w:rPr>
          <w:rFonts w:ascii="Arial" w:hAnsi="Arial" w:cs="Arial"/>
          <w:b/>
          <w:sz w:val="26"/>
          <w:szCs w:val="26"/>
          <w:lang w:val="en-ZA"/>
        </w:rPr>
        <w:t xml:space="preserve"> Flora </w:t>
      </w:r>
      <w:proofErr w:type="spellStart"/>
      <w:r w:rsidR="00205D81">
        <w:rPr>
          <w:rFonts w:ascii="Arial" w:hAnsi="Arial" w:cs="Arial"/>
          <w:b/>
          <w:sz w:val="26"/>
          <w:szCs w:val="26"/>
          <w:lang w:val="en-ZA"/>
        </w:rPr>
        <w:t>Nyezi</w:t>
      </w:r>
      <w:proofErr w:type="spellEnd"/>
      <w:r w:rsidR="00205D81">
        <w:rPr>
          <w:rFonts w:ascii="Arial" w:hAnsi="Arial" w:cs="Arial"/>
          <w:sz w:val="26"/>
          <w:szCs w:val="26"/>
          <w:lang w:val="en-ZA"/>
        </w:rPr>
        <w:t>. Water supply was also disconnected albeit it not being common cause by whose officials it was disconnected. In this application, the applicants seek an order that pending Part B of the application, the respondents be directed to restore water and electricity within two hours of receipt of the court order</w:t>
      </w:r>
      <w:r w:rsidR="00897A02">
        <w:rPr>
          <w:rFonts w:ascii="Arial" w:hAnsi="Arial" w:cs="Arial"/>
          <w:sz w:val="26"/>
          <w:szCs w:val="26"/>
          <w:lang w:val="en-ZA"/>
        </w:rPr>
        <w:t>,</w:t>
      </w:r>
      <w:r w:rsidR="00205D81">
        <w:rPr>
          <w:rFonts w:ascii="Arial" w:hAnsi="Arial" w:cs="Arial"/>
          <w:sz w:val="26"/>
          <w:szCs w:val="26"/>
          <w:lang w:val="en-ZA"/>
        </w:rPr>
        <w:t xml:space="preserve"> at the said premises. That, they be interdicted and restrained from unlawfully terminating / disconnecting the supply of electricity to the premises pending the determination of Part B of the application. </w:t>
      </w:r>
    </w:p>
    <w:p w14:paraId="2200B73A" w14:textId="5871D656" w:rsidR="00C85A71" w:rsidRDefault="008C325E" w:rsidP="00702F03">
      <w:pPr>
        <w:spacing w:before="240" w:line="360" w:lineRule="auto"/>
        <w:jc w:val="both"/>
        <w:rPr>
          <w:rFonts w:ascii="Arial" w:hAnsi="Arial" w:cs="Arial"/>
          <w:sz w:val="26"/>
          <w:szCs w:val="26"/>
          <w:lang w:val="en-ZA"/>
        </w:rPr>
      </w:pPr>
      <w:r>
        <w:rPr>
          <w:rFonts w:ascii="Arial" w:hAnsi="Arial" w:cs="Arial"/>
          <w:sz w:val="26"/>
          <w:szCs w:val="26"/>
          <w:lang w:val="en-ZA"/>
        </w:rPr>
        <w:lastRenderedPageBreak/>
        <w:t xml:space="preserve">[2] </w:t>
      </w:r>
      <w:r>
        <w:rPr>
          <w:rFonts w:ascii="Arial" w:hAnsi="Arial" w:cs="Arial"/>
          <w:sz w:val="26"/>
          <w:szCs w:val="26"/>
          <w:lang w:val="en-ZA"/>
        </w:rPr>
        <w:tab/>
      </w:r>
      <w:r w:rsidR="00205D81">
        <w:rPr>
          <w:rFonts w:ascii="Arial" w:hAnsi="Arial" w:cs="Arial"/>
          <w:sz w:val="26"/>
          <w:szCs w:val="26"/>
          <w:lang w:val="en-ZA"/>
        </w:rPr>
        <w:t xml:space="preserve">As I understand their case, applicants’ complaint is that the electricity and water </w:t>
      </w:r>
      <w:r w:rsidR="00897A02">
        <w:rPr>
          <w:rFonts w:ascii="Arial" w:hAnsi="Arial" w:cs="Arial"/>
          <w:sz w:val="26"/>
          <w:szCs w:val="26"/>
          <w:lang w:val="en-ZA"/>
        </w:rPr>
        <w:t>supply was</w:t>
      </w:r>
      <w:r w:rsidR="00205D81">
        <w:rPr>
          <w:rFonts w:ascii="Arial" w:hAnsi="Arial" w:cs="Arial"/>
          <w:sz w:val="26"/>
          <w:szCs w:val="26"/>
          <w:lang w:val="en-ZA"/>
        </w:rPr>
        <w:t xml:space="preserve"> disconnected without prior notice and</w:t>
      </w:r>
      <w:r w:rsidR="00897A02">
        <w:rPr>
          <w:rFonts w:ascii="Arial" w:hAnsi="Arial" w:cs="Arial"/>
          <w:sz w:val="26"/>
          <w:szCs w:val="26"/>
          <w:lang w:val="en-ZA"/>
        </w:rPr>
        <w:t xml:space="preserve"> therefore</w:t>
      </w:r>
      <w:r w:rsidR="00205D81">
        <w:rPr>
          <w:rFonts w:ascii="Arial" w:hAnsi="Arial" w:cs="Arial"/>
          <w:sz w:val="26"/>
          <w:szCs w:val="26"/>
          <w:lang w:val="en-ZA"/>
        </w:rPr>
        <w:t xml:space="preserve"> unlawfully. Which I also understand to be the gist of the declaratory that will be sought in Part B of the application. Namely: That the conduct of the respondents in terminating the electricity supply and water </w:t>
      </w:r>
      <w:r w:rsidR="006C548A">
        <w:rPr>
          <w:rFonts w:ascii="Arial" w:hAnsi="Arial" w:cs="Arial"/>
          <w:sz w:val="26"/>
          <w:szCs w:val="26"/>
          <w:lang w:val="en-ZA"/>
        </w:rPr>
        <w:t>without notice be declared unlawful</w:t>
      </w:r>
      <w:r w:rsidR="00C8064C">
        <w:rPr>
          <w:rFonts w:ascii="Arial" w:hAnsi="Arial" w:cs="Arial"/>
          <w:sz w:val="26"/>
          <w:szCs w:val="26"/>
          <w:lang w:val="en-ZA"/>
        </w:rPr>
        <w:t>,</w:t>
      </w:r>
      <w:r w:rsidR="006C548A">
        <w:rPr>
          <w:rFonts w:ascii="Arial" w:hAnsi="Arial" w:cs="Arial"/>
          <w:sz w:val="26"/>
          <w:szCs w:val="26"/>
          <w:lang w:val="en-ZA"/>
        </w:rPr>
        <w:t xml:space="preserve"> null and void </w:t>
      </w:r>
      <w:proofErr w:type="spellStart"/>
      <w:r w:rsidR="006C548A">
        <w:rPr>
          <w:rFonts w:ascii="Arial" w:hAnsi="Arial" w:cs="Arial"/>
          <w:i/>
          <w:sz w:val="26"/>
          <w:szCs w:val="26"/>
          <w:lang w:val="en-ZA"/>
        </w:rPr>
        <w:t>ab</w:t>
      </w:r>
      <w:proofErr w:type="spellEnd"/>
      <w:r w:rsidR="006C548A">
        <w:rPr>
          <w:rFonts w:ascii="Arial" w:hAnsi="Arial" w:cs="Arial"/>
          <w:i/>
          <w:sz w:val="26"/>
          <w:szCs w:val="26"/>
          <w:lang w:val="en-ZA"/>
        </w:rPr>
        <w:t xml:space="preserve"> initio</w:t>
      </w:r>
      <w:r w:rsidR="006C548A">
        <w:rPr>
          <w:rFonts w:ascii="Arial" w:hAnsi="Arial" w:cs="Arial"/>
          <w:sz w:val="26"/>
          <w:szCs w:val="26"/>
          <w:lang w:val="en-ZA"/>
        </w:rPr>
        <w:t>.</w:t>
      </w:r>
      <w:r w:rsidR="00790E8A">
        <w:rPr>
          <w:rFonts w:ascii="Arial" w:hAnsi="Arial" w:cs="Arial"/>
          <w:sz w:val="26"/>
          <w:szCs w:val="26"/>
          <w:lang w:val="en-ZA"/>
        </w:rPr>
        <w:t xml:space="preserve"> </w:t>
      </w:r>
    </w:p>
    <w:p w14:paraId="2B0E8385" w14:textId="3B931E8D" w:rsidR="000110DD" w:rsidRPr="006C548A" w:rsidRDefault="00C85A71" w:rsidP="006C548A">
      <w:pPr>
        <w:spacing w:before="240" w:line="360" w:lineRule="auto"/>
        <w:jc w:val="both"/>
        <w:rPr>
          <w:rFonts w:ascii="Arial" w:hAnsi="Arial" w:cs="Arial"/>
          <w:sz w:val="26"/>
          <w:szCs w:val="26"/>
          <w:lang w:val="en-ZA"/>
        </w:rPr>
      </w:pPr>
      <w:r>
        <w:rPr>
          <w:rFonts w:ascii="Arial" w:hAnsi="Arial" w:cs="Arial"/>
          <w:sz w:val="26"/>
          <w:szCs w:val="26"/>
          <w:lang w:val="en-ZA"/>
        </w:rPr>
        <w:t xml:space="preserve">[3] </w:t>
      </w:r>
      <w:r>
        <w:rPr>
          <w:rFonts w:ascii="Arial" w:hAnsi="Arial" w:cs="Arial"/>
          <w:sz w:val="26"/>
          <w:szCs w:val="26"/>
          <w:lang w:val="en-ZA"/>
        </w:rPr>
        <w:tab/>
      </w:r>
      <w:r w:rsidR="00897A02">
        <w:rPr>
          <w:rFonts w:ascii="Arial" w:hAnsi="Arial" w:cs="Arial"/>
          <w:sz w:val="26"/>
          <w:szCs w:val="26"/>
          <w:lang w:val="en-ZA"/>
        </w:rPr>
        <w:t>T</w:t>
      </w:r>
      <w:r w:rsidR="006C548A">
        <w:rPr>
          <w:rFonts w:ascii="Arial" w:hAnsi="Arial" w:cs="Arial"/>
          <w:sz w:val="26"/>
          <w:szCs w:val="26"/>
          <w:lang w:val="en-ZA"/>
        </w:rPr>
        <w:t>he applicants</w:t>
      </w:r>
      <w:r w:rsidR="00897A02">
        <w:rPr>
          <w:rFonts w:ascii="Arial" w:hAnsi="Arial" w:cs="Arial"/>
          <w:sz w:val="26"/>
          <w:szCs w:val="26"/>
          <w:lang w:val="en-ZA"/>
        </w:rPr>
        <w:t>’ cas</w:t>
      </w:r>
      <w:r w:rsidR="006C548A">
        <w:rPr>
          <w:rFonts w:ascii="Arial" w:hAnsi="Arial" w:cs="Arial"/>
          <w:sz w:val="26"/>
          <w:szCs w:val="26"/>
          <w:lang w:val="en-ZA"/>
        </w:rPr>
        <w:t>e</w:t>
      </w:r>
      <w:r w:rsidR="00897A02">
        <w:rPr>
          <w:rFonts w:ascii="Arial" w:hAnsi="Arial" w:cs="Arial"/>
          <w:sz w:val="26"/>
          <w:szCs w:val="26"/>
          <w:lang w:val="en-ZA"/>
        </w:rPr>
        <w:t xml:space="preserve"> as would appear from </w:t>
      </w:r>
      <w:r w:rsidR="00897A02">
        <w:rPr>
          <w:rFonts w:ascii="Arial" w:hAnsi="Arial" w:cs="Arial"/>
          <w:b/>
          <w:sz w:val="26"/>
          <w:szCs w:val="26"/>
          <w:lang w:val="en-ZA"/>
        </w:rPr>
        <w:t xml:space="preserve">Ms </w:t>
      </w:r>
      <w:proofErr w:type="spellStart"/>
      <w:r w:rsidR="00897A02">
        <w:rPr>
          <w:rFonts w:ascii="Arial" w:hAnsi="Arial" w:cs="Arial"/>
          <w:b/>
          <w:sz w:val="26"/>
          <w:szCs w:val="26"/>
          <w:lang w:val="en-ZA"/>
        </w:rPr>
        <w:t>Mafilika’s</w:t>
      </w:r>
      <w:proofErr w:type="spellEnd"/>
      <w:r w:rsidR="00897A02">
        <w:rPr>
          <w:rFonts w:ascii="Arial" w:hAnsi="Arial" w:cs="Arial"/>
          <w:b/>
          <w:sz w:val="26"/>
          <w:szCs w:val="26"/>
          <w:lang w:val="en-ZA"/>
        </w:rPr>
        <w:t xml:space="preserve"> </w:t>
      </w:r>
      <w:r w:rsidR="00897A02">
        <w:rPr>
          <w:rFonts w:ascii="Arial" w:hAnsi="Arial" w:cs="Arial"/>
          <w:sz w:val="26"/>
          <w:szCs w:val="26"/>
          <w:lang w:val="en-ZA"/>
        </w:rPr>
        <w:t>affidavit,</w:t>
      </w:r>
      <w:r w:rsidR="006C548A">
        <w:rPr>
          <w:rFonts w:ascii="Arial" w:hAnsi="Arial" w:cs="Arial"/>
          <w:sz w:val="26"/>
          <w:szCs w:val="26"/>
          <w:lang w:val="en-ZA"/>
        </w:rPr>
        <w:t xml:space="preserve"> is that they reside in the said premises and their occupation of the premises is lawful as it stems from a rental agreement with their landlady/agent </w:t>
      </w:r>
      <w:r w:rsidR="006C548A">
        <w:rPr>
          <w:rFonts w:ascii="Arial" w:hAnsi="Arial" w:cs="Arial"/>
          <w:b/>
          <w:sz w:val="26"/>
          <w:szCs w:val="26"/>
          <w:lang w:val="en-ZA"/>
        </w:rPr>
        <w:t xml:space="preserve">Ms </w:t>
      </w:r>
      <w:proofErr w:type="spellStart"/>
      <w:r w:rsidR="006C548A">
        <w:rPr>
          <w:rFonts w:ascii="Arial" w:hAnsi="Arial" w:cs="Arial"/>
          <w:b/>
          <w:sz w:val="26"/>
          <w:szCs w:val="26"/>
          <w:lang w:val="en-ZA"/>
        </w:rPr>
        <w:t>Pinky</w:t>
      </w:r>
      <w:proofErr w:type="spellEnd"/>
      <w:r w:rsidR="006C548A">
        <w:rPr>
          <w:rFonts w:ascii="Arial" w:hAnsi="Arial" w:cs="Arial"/>
          <w:b/>
          <w:sz w:val="26"/>
          <w:szCs w:val="26"/>
          <w:lang w:val="en-ZA"/>
        </w:rPr>
        <w:t xml:space="preserve"> </w:t>
      </w:r>
      <w:proofErr w:type="spellStart"/>
      <w:r w:rsidR="006C548A">
        <w:rPr>
          <w:rFonts w:ascii="Arial" w:hAnsi="Arial" w:cs="Arial"/>
          <w:b/>
          <w:sz w:val="26"/>
          <w:szCs w:val="26"/>
          <w:lang w:val="en-ZA"/>
        </w:rPr>
        <w:t>Madikane</w:t>
      </w:r>
      <w:proofErr w:type="spellEnd"/>
      <w:r w:rsidR="006C548A">
        <w:rPr>
          <w:rFonts w:ascii="Arial" w:hAnsi="Arial" w:cs="Arial"/>
          <w:sz w:val="26"/>
          <w:szCs w:val="26"/>
          <w:lang w:val="en-ZA"/>
        </w:rPr>
        <w:t xml:space="preserve">. They also make the point that they purchase water and electricity from first respondent (municipality). On the 7 February 2023 two officials from the respondents’ office arrived at the premises concerned and informed </w:t>
      </w:r>
      <w:r w:rsidR="00897A02">
        <w:rPr>
          <w:rFonts w:ascii="Arial" w:hAnsi="Arial" w:cs="Arial"/>
          <w:b/>
          <w:sz w:val="26"/>
          <w:szCs w:val="26"/>
          <w:lang w:val="en-ZA"/>
        </w:rPr>
        <w:t xml:space="preserve">Ms </w:t>
      </w:r>
      <w:proofErr w:type="spellStart"/>
      <w:r w:rsidR="00897A02">
        <w:rPr>
          <w:rFonts w:ascii="Arial" w:hAnsi="Arial" w:cs="Arial"/>
          <w:b/>
          <w:sz w:val="26"/>
          <w:szCs w:val="26"/>
          <w:lang w:val="en-ZA"/>
        </w:rPr>
        <w:t>Mafilika</w:t>
      </w:r>
      <w:proofErr w:type="spellEnd"/>
      <w:r w:rsidR="006C548A">
        <w:rPr>
          <w:rFonts w:ascii="Arial" w:hAnsi="Arial" w:cs="Arial"/>
          <w:sz w:val="26"/>
          <w:szCs w:val="26"/>
          <w:lang w:val="en-ZA"/>
        </w:rPr>
        <w:t xml:space="preserve"> that they were from the office of the respondents with instructions there being to terminate the supply of electricity and effectively block them from usage thereof.</w:t>
      </w:r>
      <w:r w:rsidR="006C548A">
        <w:rPr>
          <w:rStyle w:val="FootnoteReference"/>
          <w:rFonts w:ascii="Arial" w:hAnsi="Arial" w:cs="Arial"/>
          <w:sz w:val="26"/>
          <w:szCs w:val="26"/>
          <w:lang w:val="en-ZA"/>
        </w:rPr>
        <w:footnoteReference w:id="1"/>
      </w:r>
      <w:r w:rsidR="006C548A">
        <w:rPr>
          <w:rFonts w:ascii="Arial" w:hAnsi="Arial" w:cs="Arial"/>
          <w:sz w:val="26"/>
          <w:szCs w:val="26"/>
          <w:lang w:val="en-ZA"/>
        </w:rPr>
        <w:t xml:space="preserve"> Attempts to establish the reason for the disconnection were not forthcoming f</w:t>
      </w:r>
      <w:r w:rsidR="0077707F">
        <w:rPr>
          <w:rFonts w:ascii="Arial" w:hAnsi="Arial" w:cs="Arial"/>
          <w:sz w:val="26"/>
          <w:szCs w:val="26"/>
          <w:lang w:val="en-ZA"/>
        </w:rPr>
        <w:t xml:space="preserve">rom the said officials. On the </w:t>
      </w:r>
      <w:r w:rsidR="006C548A">
        <w:rPr>
          <w:rFonts w:ascii="Arial" w:hAnsi="Arial" w:cs="Arial"/>
          <w:sz w:val="26"/>
          <w:szCs w:val="26"/>
          <w:lang w:val="en-ZA"/>
        </w:rPr>
        <w:t>8</w:t>
      </w:r>
      <w:r w:rsidR="006C548A" w:rsidRPr="006C548A">
        <w:rPr>
          <w:rFonts w:ascii="Arial" w:hAnsi="Arial" w:cs="Arial"/>
          <w:sz w:val="26"/>
          <w:szCs w:val="26"/>
          <w:vertAlign w:val="superscript"/>
          <w:lang w:val="en-ZA"/>
        </w:rPr>
        <w:t>th</w:t>
      </w:r>
      <w:r w:rsidR="006C548A">
        <w:rPr>
          <w:rFonts w:ascii="Arial" w:hAnsi="Arial" w:cs="Arial"/>
          <w:sz w:val="26"/>
          <w:szCs w:val="26"/>
          <w:lang w:val="en-ZA"/>
        </w:rPr>
        <w:t xml:space="preserve"> February 2023 officials from the municipality terminated the water supply without any </w:t>
      </w:r>
      <w:r w:rsidR="006C548A">
        <w:rPr>
          <w:rFonts w:ascii="Arial" w:hAnsi="Arial" w:cs="Arial"/>
          <w:sz w:val="26"/>
          <w:szCs w:val="26"/>
          <w:u w:val="single"/>
          <w:lang w:val="en-ZA"/>
        </w:rPr>
        <w:t>pre termination notice</w:t>
      </w:r>
      <w:r w:rsidR="006C548A">
        <w:rPr>
          <w:rFonts w:ascii="Arial" w:hAnsi="Arial" w:cs="Arial"/>
          <w:sz w:val="26"/>
          <w:szCs w:val="26"/>
          <w:lang w:val="en-ZA"/>
        </w:rPr>
        <w:t>. This, they assert</w:t>
      </w:r>
      <w:r w:rsidR="0077707F">
        <w:rPr>
          <w:rFonts w:ascii="Arial" w:hAnsi="Arial" w:cs="Arial"/>
          <w:sz w:val="26"/>
          <w:szCs w:val="26"/>
          <w:lang w:val="en-ZA"/>
        </w:rPr>
        <w:t>,</w:t>
      </w:r>
      <w:r w:rsidR="006C548A">
        <w:rPr>
          <w:rFonts w:ascii="Arial" w:hAnsi="Arial" w:cs="Arial"/>
          <w:sz w:val="26"/>
          <w:szCs w:val="26"/>
          <w:lang w:val="en-ZA"/>
        </w:rPr>
        <w:t xml:space="preserve"> </w:t>
      </w:r>
      <w:r w:rsidR="0077707F">
        <w:rPr>
          <w:rFonts w:ascii="Arial" w:hAnsi="Arial" w:cs="Arial"/>
          <w:sz w:val="26"/>
          <w:szCs w:val="26"/>
          <w:lang w:val="en-ZA"/>
        </w:rPr>
        <w:t>a</w:t>
      </w:r>
      <w:r w:rsidR="006C548A">
        <w:rPr>
          <w:rFonts w:ascii="Arial" w:hAnsi="Arial" w:cs="Arial"/>
          <w:sz w:val="26"/>
          <w:szCs w:val="26"/>
          <w:lang w:val="en-ZA"/>
        </w:rPr>
        <w:t>s based on the Constitution and the principles of natural justice as well as the municipal by</w:t>
      </w:r>
      <w:r w:rsidR="00897A02">
        <w:rPr>
          <w:rFonts w:ascii="Arial" w:hAnsi="Arial" w:cs="Arial"/>
          <w:sz w:val="26"/>
          <w:szCs w:val="26"/>
          <w:lang w:val="en-ZA"/>
        </w:rPr>
        <w:t>-</w:t>
      </w:r>
      <w:r w:rsidR="006C548A">
        <w:rPr>
          <w:rFonts w:ascii="Arial" w:hAnsi="Arial" w:cs="Arial"/>
          <w:sz w:val="26"/>
          <w:szCs w:val="26"/>
          <w:lang w:val="en-ZA"/>
        </w:rPr>
        <w:t>laws. I was however not referred to any such by</w:t>
      </w:r>
      <w:r w:rsidR="00897A02">
        <w:rPr>
          <w:rFonts w:ascii="Arial" w:hAnsi="Arial" w:cs="Arial"/>
          <w:sz w:val="26"/>
          <w:szCs w:val="26"/>
          <w:lang w:val="en-ZA"/>
        </w:rPr>
        <w:t>-</w:t>
      </w:r>
      <w:r w:rsidR="006C548A">
        <w:rPr>
          <w:rFonts w:ascii="Arial" w:hAnsi="Arial" w:cs="Arial"/>
          <w:sz w:val="26"/>
          <w:szCs w:val="26"/>
          <w:lang w:val="en-ZA"/>
        </w:rPr>
        <w:t>laws</w:t>
      </w:r>
      <w:r w:rsidR="000A4BE1">
        <w:rPr>
          <w:rFonts w:ascii="Arial" w:hAnsi="Arial" w:cs="Arial"/>
          <w:sz w:val="26"/>
          <w:szCs w:val="26"/>
          <w:lang w:val="en-ZA"/>
        </w:rPr>
        <w:t xml:space="preserve"> relevant to the first respondent. Applicants </w:t>
      </w:r>
      <w:r w:rsidR="00897A02">
        <w:rPr>
          <w:rFonts w:ascii="Arial" w:hAnsi="Arial" w:cs="Arial"/>
          <w:sz w:val="26"/>
          <w:szCs w:val="26"/>
          <w:lang w:val="en-ZA"/>
        </w:rPr>
        <w:t>go on</w:t>
      </w:r>
      <w:r w:rsidR="000A4BE1">
        <w:rPr>
          <w:rFonts w:ascii="Arial" w:hAnsi="Arial" w:cs="Arial"/>
          <w:sz w:val="26"/>
          <w:szCs w:val="26"/>
          <w:lang w:val="en-ZA"/>
        </w:rPr>
        <w:t xml:space="preserve"> to demonstrate how they have satisfied the requirement</w:t>
      </w:r>
      <w:r w:rsidR="0077707F">
        <w:rPr>
          <w:rFonts w:ascii="Arial" w:hAnsi="Arial" w:cs="Arial"/>
          <w:sz w:val="26"/>
          <w:szCs w:val="26"/>
          <w:lang w:val="en-ZA"/>
        </w:rPr>
        <w:t>s</w:t>
      </w:r>
      <w:r w:rsidR="000A4BE1">
        <w:rPr>
          <w:rFonts w:ascii="Arial" w:hAnsi="Arial" w:cs="Arial"/>
          <w:sz w:val="26"/>
          <w:szCs w:val="26"/>
          <w:lang w:val="en-ZA"/>
        </w:rPr>
        <w:t xml:space="preserve"> for the grant of an interim interdict / relief. </w:t>
      </w:r>
      <w:r w:rsidR="006C548A">
        <w:rPr>
          <w:rFonts w:ascii="Arial" w:hAnsi="Arial" w:cs="Arial"/>
          <w:sz w:val="26"/>
          <w:szCs w:val="26"/>
          <w:lang w:val="en-ZA"/>
        </w:rPr>
        <w:t xml:space="preserve"> </w:t>
      </w:r>
    </w:p>
    <w:p w14:paraId="5FA65CC8" w14:textId="029146AA" w:rsidR="00BD0DBE" w:rsidRPr="00F90DD6" w:rsidRDefault="00C85A71" w:rsidP="00702F03">
      <w:pPr>
        <w:spacing w:before="240" w:line="360" w:lineRule="auto"/>
        <w:jc w:val="both"/>
        <w:rPr>
          <w:rFonts w:ascii="Arial" w:hAnsi="Arial" w:cs="Arial"/>
          <w:sz w:val="22"/>
          <w:szCs w:val="22"/>
          <w:lang w:val="en-ZA"/>
        </w:rPr>
      </w:pPr>
      <w:r>
        <w:rPr>
          <w:rFonts w:ascii="Arial" w:hAnsi="Arial" w:cs="Arial"/>
          <w:sz w:val="26"/>
          <w:szCs w:val="26"/>
          <w:lang w:val="en-ZA"/>
        </w:rPr>
        <w:t xml:space="preserve">[4] </w:t>
      </w:r>
      <w:r>
        <w:rPr>
          <w:rFonts w:ascii="Arial" w:hAnsi="Arial" w:cs="Arial"/>
          <w:sz w:val="26"/>
          <w:szCs w:val="26"/>
          <w:lang w:val="en-ZA"/>
        </w:rPr>
        <w:tab/>
      </w:r>
      <w:r w:rsidR="000A4BE1">
        <w:rPr>
          <w:rFonts w:ascii="Arial" w:hAnsi="Arial" w:cs="Arial"/>
          <w:sz w:val="26"/>
          <w:szCs w:val="26"/>
          <w:lang w:val="en-ZA"/>
        </w:rPr>
        <w:t xml:space="preserve">Essentially the case of the respondents is that the owner or tittle holder in respect of the said premises, </w:t>
      </w:r>
      <w:r w:rsidR="000A4BE1">
        <w:rPr>
          <w:rFonts w:ascii="Arial" w:hAnsi="Arial" w:cs="Arial"/>
          <w:b/>
          <w:sz w:val="26"/>
          <w:szCs w:val="26"/>
          <w:lang w:val="en-ZA"/>
        </w:rPr>
        <w:t xml:space="preserve">Ms </w:t>
      </w:r>
      <w:proofErr w:type="spellStart"/>
      <w:r w:rsidR="000A4BE1">
        <w:rPr>
          <w:rFonts w:ascii="Arial" w:hAnsi="Arial" w:cs="Arial"/>
          <w:b/>
          <w:sz w:val="26"/>
          <w:szCs w:val="26"/>
          <w:lang w:val="en-ZA"/>
        </w:rPr>
        <w:t>Nosipho</w:t>
      </w:r>
      <w:proofErr w:type="spellEnd"/>
      <w:r w:rsidR="000A4BE1">
        <w:rPr>
          <w:rFonts w:ascii="Arial" w:hAnsi="Arial" w:cs="Arial"/>
          <w:b/>
          <w:sz w:val="26"/>
          <w:szCs w:val="26"/>
          <w:lang w:val="en-ZA"/>
        </w:rPr>
        <w:t xml:space="preserve"> Flora </w:t>
      </w:r>
      <w:proofErr w:type="spellStart"/>
      <w:r w:rsidR="000A4BE1">
        <w:rPr>
          <w:rFonts w:ascii="Arial" w:hAnsi="Arial" w:cs="Arial"/>
          <w:b/>
          <w:sz w:val="26"/>
          <w:szCs w:val="26"/>
          <w:lang w:val="en-ZA"/>
        </w:rPr>
        <w:t>Nyezi</w:t>
      </w:r>
      <w:proofErr w:type="spellEnd"/>
      <w:r w:rsidR="000A4BE1">
        <w:rPr>
          <w:rFonts w:ascii="Arial" w:hAnsi="Arial" w:cs="Arial"/>
          <w:sz w:val="26"/>
          <w:szCs w:val="26"/>
          <w:lang w:val="en-ZA"/>
        </w:rPr>
        <w:t xml:space="preserve">, with whom the municipality had contract to supply electricity and other services, addressed a letter to the municipality. The letter is dated 4 February 2023, but came to the Municipal Manager’s attention on the 6 February 2023. The letter was accompanied by all the relevant documents pertaining to the title holder as well as being account holder in respect of the property with the municipality wherein </w:t>
      </w:r>
      <w:r w:rsidR="000A4BE1">
        <w:rPr>
          <w:rFonts w:ascii="Arial" w:hAnsi="Arial" w:cs="Arial"/>
          <w:sz w:val="26"/>
          <w:szCs w:val="26"/>
          <w:lang w:val="en-ZA"/>
        </w:rPr>
        <w:lastRenderedPageBreak/>
        <w:t>she requested that the electricity to the property be disconnected.</w:t>
      </w:r>
      <w:r w:rsidR="004A5AB4">
        <w:rPr>
          <w:rFonts w:ascii="Arial" w:hAnsi="Arial" w:cs="Arial"/>
          <w:sz w:val="26"/>
          <w:szCs w:val="26"/>
          <w:lang w:val="en-ZA"/>
        </w:rPr>
        <w:t xml:space="preserve"> </w:t>
      </w:r>
      <w:r w:rsidR="004A5AB4" w:rsidRPr="004A5AB4">
        <w:rPr>
          <w:rFonts w:ascii="Arial" w:hAnsi="Arial" w:cs="Arial"/>
          <w:sz w:val="26"/>
          <w:szCs w:val="26"/>
          <w:lang w:val="en-US"/>
        </w:rPr>
        <w:t xml:space="preserve">The following documents are attached. Letter from </w:t>
      </w:r>
      <w:proofErr w:type="spellStart"/>
      <w:r w:rsidR="004A5AB4" w:rsidRPr="004A5AB4">
        <w:rPr>
          <w:rFonts w:ascii="Arial" w:hAnsi="Arial" w:cs="Arial"/>
          <w:sz w:val="26"/>
          <w:szCs w:val="26"/>
          <w:lang w:val="en-US"/>
        </w:rPr>
        <w:t>Ms</w:t>
      </w:r>
      <w:proofErr w:type="spellEnd"/>
      <w:r w:rsidR="004A5AB4" w:rsidRPr="004A5AB4">
        <w:rPr>
          <w:rFonts w:ascii="Arial" w:hAnsi="Arial" w:cs="Arial"/>
          <w:sz w:val="26"/>
          <w:szCs w:val="26"/>
          <w:lang w:val="en-US"/>
        </w:rPr>
        <w:t xml:space="preserve"> </w:t>
      </w:r>
      <w:proofErr w:type="spellStart"/>
      <w:r w:rsidR="004A5AB4" w:rsidRPr="004A5AB4">
        <w:rPr>
          <w:rFonts w:ascii="Arial" w:hAnsi="Arial" w:cs="Arial"/>
          <w:sz w:val="26"/>
          <w:szCs w:val="26"/>
          <w:lang w:val="en-US"/>
        </w:rPr>
        <w:t>Nyezi</w:t>
      </w:r>
      <w:proofErr w:type="spellEnd"/>
      <w:r w:rsidR="004A5AB4" w:rsidRPr="004A5AB4">
        <w:rPr>
          <w:rFonts w:ascii="Arial" w:hAnsi="Arial" w:cs="Arial"/>
          <w:sz w:val="26"/>
          <w:szCs w:val="26"/>
          <w:lang w:val="en-US"/>
        </w:rPr>
        <w:t xml:space="preserve"> wherein she requests second respondent to temporarily disconnect the power connection and issue her with the final electricity/rate bill. Copy of her ID. Copy of consumer statement. Copy of Title Deed and copy of local plan of the property.</w:t>
      </w:r>
      <w:r w:rsidR="00F90DD6">
        <w:rPr>
          <w:rFonts w:ascii="Arial" w:hAnsi="Arial" w:cs="Arial"/>
          <w:sz w:val="26"/>
          <w:szCs w:val="26"/>
          <w:lang w:val="en-ZA"/>
        </w:rPr>
        <w:t xml:space="preserve"> To this end, she paid the requisite disconnection fee. The request was complied with the municipality according to the Municipal Manager had no option but to action the request. The fact that the owner of the premises requested the disconnection obviated the need to give prior notice of disconnection. In addition, </w:t>
      </w:r>
      <w:r w:rsidR="00897A02">
        <w:rPr>
          <w:rFonts w:ascii="Arial" w:hAnsi="Arial" w:cs="Arial"/>
          <w:sz w:val="26"/>
          <w:szCs w:val="26"/>
          <w:lang w:val="en-ZA"/>
        </w:rPr>
        <w:t>previously</w:t>
      </w:r>
      <w:r w:rsidR="00F90DD6">
        <w:rPr>
          <w:rFonts w:ascii="Arial" w:hAnsi="Arial" w:cs="Arial"/>
          <w:sz w:val="26"/>
          <w:szCs w:val="26"/>
          <w:lang w:val="en-ZA"/>
        </w:rPr>
        <w:t xml:space="preserve"> all the communication has always been with </w:t>
      </w:r>
      <w:r w:rsidR="00F90DD6">
        <w:rPr>
          <w:rFonts w:ascii="Arial" w:hAnsi="Arial" w:cs="Arial"/>
          <w:b/>
          <w:sz w:val="26"/>
          <w:szCs w:val="26"/>
          <w:lang w:val="en-ZA"/>
        </w:rPr>
        <w:t xml:space="preserve">Ms </w:t>
      </w:r>
      <w:proofErr w:type="spellStart"/>
      <w:r w:rsidR="00F90DD6">
        <w:rPr>
          <w:rFonts w:ascii="Arial" w:hAnsi="Arial" w:cs="Arial"/>
          <w:b/>
          <w:sz w:val="26"/>
          <w:szCs w:val="26"/>
          <w:lang w:val="en-ZA"/>
        </w:rPr>
        <w:t>Nyezi</w:t>
      </w:r>
      <w:proofErr w:type="spellEnd"/>
      <w:r w:rsidR="00F90DD6">
        <w:rPr>
          <w:rFonts w:ascii="Arial" w:hAnsi="Arial" w:cs="Arial"/>
          <w:sz w:val="26"/>
          <w:szCs w:val="26"/>
          <w:lang w:val="en-ZA"/>
        </w:rPr>
        <w:t xml:space="preserve">. Respondents therefore deny that the disconnection of the electricity supply was unlawful. </w:t>
      </w:r>
    </w:p>
    <w:p w14:paraId="6B7E4D20" w14:textId="764C6D54" w:rsidR="00702F03" w:rsidRPr="00062D27" w:rsidRDefault="003F3EEA" w:rsidP="00560334">
      <w:pPr>
        <w:spacing w:before="240" w:line="360" w:lineRule="auto"/>
        <w:jc w:val="both"/>
        <w:rPr>
          <w:rFonts w:ascii="Arial" w:hAnsi="Arial" w:cs="Arial"/>
          <w:sz w:val="26"/>
          <w:szCs w:val="26"/>
          <w:lang w:val="en-ZA"/>
        </w:rPr>
      </w:pPr>
      <w:r>
        <w:rPr>
          <w:rFonts w:ascii="Arial" w:hAnsi="Arial" w:cs="Arial"/>
          <w:sz w:val="26"/>
          <w:szCs w:val="26"/>
          <w:lang w:val="en-ZA"/>
        </w:rPr>
        <w:t>[</w:t>
      </w:r>
      <w:r w:rsidR="00C85A71">
        <w:rPr>
          <w:rFonts w:ascii="Arial" w:hAnsi="Arial" w:cs="Arial"/>
          <w:sz w:val="26"/>
          <w:szCs w:val="26"/>
          <w:lang w:val="en-ZA"/>
        </w:rPr>
        <w:t>5</w:t>
      </w:r>
      <w:r>
        <w:rPr>
          <w:rFonts w:ascii="Arial" w:hAnsi="Arial" w:cs="Arial"/>
          <w:sz w:val="26"/>
          <w:szCs w:val="26"/>
          <w:lang w:val="en-ZA"/>
        </w:rPr>
        <w:t xml:space="preserve">] </w:t>
      </w:r>
      <w:r w:rsidR="00B71A90">
        <w:rPr>
          <w:rFonts w:ascii="Arial" w:hAnsi="Arial" w:cs="Arial"/>
          <w:sz w:val="26"/>
          <w:szCs w:val="26"/>
          <w:lang w:val="en-ZA"/>
        </w:rPr>
        <w:tab/>
      </w:r>
      <w:r w:rsidR="00F90DD6">
        <w:rPr>
          <w:rFonts w:ascii="Arial" w:hAnsi="Arial" w:cs="Arial"/>
          <w:sz w:val="26"/>
          <w:szCs w:val="26"/>
          <w:lang w:val="en-ZA"/>
        </w:rPr>
        <w:t>Respondents state that they do not know if the applicants purchase electricity and water from th</w:t>
      </w:r>
      <w:r w:rsidR="0077707F">
        <w:rPr>
          <w:rFonts w:ascii="Arial" w:hAnsi="Arial" w:cs="Arial"/>
          <w:sz w:val="26"/>
          <w:szCs w:val="26"/>
          <w:lang w:val="en-ZA"/>
        </w:rPr>
        <w:t>e first respondent. Further deny</w:t>
      </w:r>
      <w:r w:rsidR="00F90DD6">
        <w:rPr>
          <w:rFonts w:ascii="Arial" w:hAnsi="Arial" w:cs="Arial"/>
          <w:sz w:val="26"/>
          <w:szCs w:val="26"/>
          <w:lang w:val="en-ZA"/>
        </w:rPr>
        <w:t xml:space="preserve"> that the persons who were found on the premises were not informed of the reason for the disconnection of the electricity supply. </w:t>
      </w:r>
      <w:r w:rsidR="00F5785E">
        <w:rPr>
          <w:rFonts w:ascii="Arial" w:hAnsi="Arial" w:cs="Arial"/>
          <w:b/>
          <w:sz w:val="26"/>
          <w:szCs w:val="26"/>
          <w:lang w:val="en-ZA"/>
        </w:rPr>
        <w:t xml:space="preserve">Mr </w:t>
      </w:r>
      <w:proofErr w:type="spellStart"/>
      <w:r w:rsidR="00F5785E">
        <w:rPr>
          <w:rFonts w:ascii="Arial" w:hAnsi="Arial" w:cs="Arial"/>
          <w:b/>
          <w:sz w:val="26"/>
          <w:szCs w:val="26"/>
          <w:lang w:val="en-ZA"/>
        </w:rPr>
        <w:t>Faca</w:t>
      </w:r>
      <w:proofErr w:type="spellEnd"/>
      <w:r w:rsidR="00F5785E">
        <w:rPr>
          <w:rFonts w:ascii="Arial" w:hAnsi="Arial" w:cs="Arial"/>
          <w:sz w:val="26"/>
          <w:szCs w:val="26"/>
          <w:lang w:val="en-ZA"/>
        </w:rPr>
        <w:t xml:space="preserve"> who was responsible for the physical disconnection states that he told people who were outside the premises of the reason for his visit and even gave them the opportunity to read the letter that was received from the owner of the property.  </w:t>
      </w:r>
      <w:r w:rsidR="00A90E2A">
        <w:rPr>
          <w:rFonts w:ascii="Arial" w:hAnsi="Arial" w:cs="Arial"/>
          <w:sz w:val="26"/>
          <w:szCs w:val="26"/>
          <w:lang w:val="en-ZA"/>
        </w:rPr>
        <w:t xml:space="preserve"> </w:t>
      </w:r>
    </w:p>
    <w:p w14:paraId="7E5EE38D" w14:textId="3D507972" w:rsidR="00CB5342" w:rsidRDefault="00027193" w:rsidP="00D16656">
      <w:pPr>
        <w:spacing w:before="240" w:line="360" w:lineRule="auto"/>
        <w:jc w:val="both"/>
        <w:rPr>
          <w:rFonts w:ascii="Arial" w:hAnsi="Arial" w:cs="Arial"/>
          <w:sz w:val="26"/>
          <w:szCs w:val="26"/>
          <w:lang w:val="en-ZA"/>
        </w:rPr>
      </w:pPr>
      <w:r>
        <w:rPr>
          <w:rFonts w:ascii="Arial" w:hAnsi="Arial" w:cs="Arial"/>
          <w:sz w:val="26"/>
          <w:szCs w:val="26"/>
          <w:lang w:val="en-ZA"/>
        </w:rPr>
        <w:t>[</w:t>
      </w:r>
      <w:r w:rsidR="00C85A71">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F5785E">
        <w:rPr>
          <w:rFonts w:ascii="Arial" w:hAnsi="Arial" w:cs="Arial"/>
          <w:sz w:val="26"/>
          <w:szCs w:val="26"/>
          <w:lang w:val="en-ZA"/>
        </w:rPr>
        <w:t xml:space="preserve">In their reply the </w:t>
      </w:r>
      <w:r w:rsidR="00897A02">
        <w:rPr>
          <w:rFonts w:ascii="Arial" w:hAnsi="Arial" w:cs="Arial"/>
          <w:sz w:val="26"/>
          <w:szCs w:val="26"/>
          <w:lang w:val="en-ZA"/>
        </w:rPr>
        <w:t>applicants</w:t>
      </w:r>
      <w:r w:rsidR="00F5785E">
        <w:rPr>
          <w:rFonts w:ascii="Arial" w:hAnsi="Arial" w:cs="Arial"/>
          <w:sz w:val="26"/>
          <w:szCs w:val="26"/>
          <w:lang w:val="en-ZA"/>
        </w:rPr>
        <w:t xml:space="preserve"> insist that the respondents owed them a duty of procedural fairness by affording them an opportunity to make representations before taking the decision to disconnect the supply of electricity and water to the property or notify them of the reasons for doing so. </w:t>
      </w:r>
      <w:r w:rsidR="00F7693B">
        <w:rPr>
          <w:rFonts w:ascii="Arial" w:hAnsi="Arial" w:cs="Arial"/>
          <w:sz w:val="26"/>
          <w:szCs w:val="26"/>
          <w:lang w:val="en-ZA"/>
        </w:rPr>
        <w:t xml:space="preserve"> </w:t>
      </w:r>
    </w:p>
    <w:p w14:paraId="2C341B65" w14:textId="72198ABA" w:rsidR="00F7693B" w:rsidRPr="00353EF0" w:rsidRDefault="00C85A71" w:rsidP="00D16656">
      <w:pPr>
        <w:spacing w:before="240" w:line="360" w:lineRule="auto"/>
        <w:jc w:val="both"/>
        <w:rPr>
          <w:rFonts w:ascii="Arial" w:hAnsi="Arial" w:cs="Arial"/>
          <w:sz w:val="26"/>
          <w:szCs w:val="26"/>
          <w:lang w:val="en-ZA"/>
        </w:rPr>
      </w:pPr>
      <w:r>
        <w:rPr>
          <w:rFonts w:ascii="Arial" w:hAnsi="Arial" w:cs="Arial"/>
          <w:sz w:val="26"/>
          <w:szCs w:val="26"/>
          <w:lang w:val="en-ZA"/>
        </w:rPr>
        <w:t>[7</w:t>
      </w:r>
      <w:r w:rsidR="00F7693B">
        <w:rPr>
          <w:rFonts w:ascii="Arial" w:hAnsi="Arial" w:cs="Arial"/>
          <w:sz w:val="26"/>
          <w:szCs w:val="26"/>
          <w:lang w:val="en-ZA"/>
        </w:rPr>
        <w:t xml:space="preserve">] </w:t>
      </w:r>
      <w:r w:rsidR="00F7693B">
        <w:rPr>
          <w:rFonts w:ascii="Arial" w:hAnsi="Arial" w:cs="Arial"/>
          <w:sz w:val="26"/>
          <w:szCs w:val="26"/>
          <w:lang w:val="en-ZA"/>
        </w:rPr>
        <w:tab/>
      </w:r>
      <w:r w:rsidR="00F5785E">
        <w:rPr>
          <w:rFonts w:ascii="Arial" w:hAnsi="Arial" w:cs="Arial"/>
          <w:sz w:val="26"/>
          <w:szCs w:val="26"/>
          <w:lang w:val="en-ZA"/>
        </w:rPr>
        <w:t>It is trite that administrative action which materially and adversely affects the righ</w:t>
      </w:r>
      <w:r w:rsidR="00353EF0">
        <w:rPr>
          <w:rFonts w:ascii="Arial" w:hAnsi="Arial" w:cs="Arial"/>
          <w:sz w:val="26"/>
          <w:szCs w:val="26"/>
          <w:lang w:val="en-ZA"/>
        </w:rPr>
        <w:t>ts or legitimate expectations of</w:t>
      </w:r>
      <w:r w:rsidR="00F5785E">
        <w:rPr>
          <w:rFonts w:ascii="Arial" w:hAnsi="Arial" w:cs="Arial"/>
          <w:sz w:val="26"/>
          <w:szCs w:val="26"/>
          <w:lang w:val="en-ZA"/>
        </w:rPr>
        <w:t xml:space="preserve"> any person must be procedurally </w:t>
      </w:r>
      <w:r w:rsidR="00353EF0">
        <w:rPr>
          <w:rFonts w:ascii="Arial" w:hAnsi="Arial" w:cs="Arial"/>
          <w:sz w:val="26"/>
          <w:szCs w:val="26"/>
          <w:lang w:val="en-ZA"/>
        </w:rPr>
        <w:t>fair.</w:t>
      </w:r>
      <w:r w:rsidR="00353EF0">
        <w:rPr>
          <w:rStyle w:val="FootnoteReference"/>
          <w:rFonts w:ascii="Arial" w:hAnsi="Arial" w:cs="Arial"/>
          <w:sz w:val="26"/>
          <w:szCs w:val="26"/>
          <w:lang w:val="en-ZA"/>
        </w:rPr>
        <w:footnoteReference w:id="2"/>
      </w:r>
      <w:r w:rsidR="00353EF0">
        <w:rPr>
          <w:rFonts w:ascii="Arial" w:hAnsi="Arial" w:cs="Arial"/>
          <w:sz w:val="26"/>
          <w:szCs w:val="26"/>
          <w:lang w:val="en-ZA"/>
        </w:rPr>
        <w:t xml:space="preserve"> This entails </w:t>
      </w:r>
      <w:r w:rsidR="00353EF0">
        <w:rPr>
          <w:rFonts w:ascii="Arial" w:hAnsi="Arial" w:cs="Arial"/>
          <w:i/>
          <w:sz w:val="26"/>
          <w:szCs w:val="26"/>
          <w:lang w:val="en-ZA"/>
        </w:rPr>
        <w:t>inter alia</w:t>
      </w:r>
      <w:r w:rsidR="00353EF0">
        <w:rPr>
          <w:rFonts w:ascii="Arial" w:hAnsi="Arial" w:cs="Arial"/>
          <w:sz w:val="26"/>
          <w:szCs w:val="26"/>
          <w:lang w:val="en-ZA"/>
        </w:rPr>
        <w:t xml:space="preserve"> giving adequate notice of the nature and purpose of the administrative action. </w:t>
      </w:r>
    </w:p>
    <w:p w14:paraId="6D38FAD3" w14:textId="7944976E" w:rsidR="007E47EC" w:rsidRPr="00353EF0" w:rsidRDefault="00C85A71" w:rsidP="00D16656">
      <w:pPr>
        <w:spacing w:before="240" w:line="360" w:lineRule="auto"/>
        <w:jc w:val="both"/>
        <w:rPr>
          <w:rFonts w:ascii="Arial" w:hAnsi="Arial" w:cs="Arial"/>
          <w:sz w:val="26"/>
          <w:szCs w:val="26"/>
          <w:lang w:val="en-ZA"/>
        </w:rPr>
      </w:pPr>
      <w:r>
        <w:rPr>
          <w:rFonts w:ascii="Arial" w:hAnsi="Arial" w:cs="Arial"/>
          <w:sz w:val="26"/>
          <w:szCs w:val="26"/>
          <w:lang w:val="en-ZA"/>
        </w:rPr>
        <w:lastRenderedPageBreak/>
        <w:t>[8</w:t>
      </w:r>
      <w:r w:rsidR="007E47EC">
        <w:rPr>
          <w:rFonts w:ascii="Arial" w:hAnsi="Arial" w:cs="Arial"/>
          <w:sz w:val="26"/>
          <w:szCs w:val="26"/>
          <w:lang w:val="en-ZA"/>
        </w:rPr>
        <w:t xml:space="preserve">] </w:t>
      </w:r>
      <w:r w:rsidR="007E47EC">
        <w:rPr>
          <w:rFonts w:ascii="Arial" w:hAnsi="Arial" w:cs="Arial"/>
          <w:sz w:val="26"/>
          <w:szCs w:val="26"/>
          <w:lang w:val="en-ZA"/>
        </w:rPr>
        <w:tab/>
      </w:r>
      <w:r w:rsidR="00353EF0">
        <w:rPr>
          <w:rFonts w:ascii="Arial" w:hAnsi="Arial" w:cs="Arial"/>
          <w:sz w:val="26"/>
          <w:szCs w:val="26"/>
          <w:lang w:val="en-ZA"/>
        </w:rPr>
        <w:t xml:space="preserve">Administrative action is defined under </w:t>
      </w:r>
      <w:r w:rsidR="00353EF0">
        <w:rPr>
          <w:rFonts w:ascii="Arial" w:hAnsi="Arial" w:cs="Arial"/>
          <w:i/>
          <w:sz w:val="26"/>
          <w:szCs w:val="26"/>
          <w:lang w:val="en-ZA"/>
        </w:rPr>
        <w:t xml:space="preserve">Section 1 </w:t>
      </w:r>
      <w:r w:rsidR="00353EF0">
        <w:rPr>
          <w:rFonts w:ascii="Arial" w:hAnsi="Arial" w:cs="Arial"/>
          <w:sz w:val="26"/>
          <w:szCs w:val="26"/>
          <w:lang w:val="en-ZA"/>
        </w:rPr>
        <w:t xml:space="preserve">of </w:t>
      </w:r>
      <w:r w:rsidR="00353EF0" w:rsidRPr="00353EF0">
        <w:rPr>
          <w:rFonts w:ascii="Arial" w:hAnsi="Arial" w:cs="Arial"/>
          <w:i/>
          <w:sz w:val="26"/>
          <w:szCs w:val="26"/>
          <w:lang w:val="en-US"/>
        </w:rPr>
        <w:t>Promotion of Administrative Justice Act</w:t>
      </w:r>
      <w:r w:rsidR="00353EF0">
        <w:rPr>
          <w:rFonts w:ascii="Arial" w:hAnsi="Arial" w:cs="Arial"/>
          <w:sz w:val="26"/>
          <w:szCs w:val="26"/>
          <w:lang w:val="en-US"/>
        </w:rPr>
        <w:t xml:space="preserve">. The applicants move from the premise that the respondents were performing an administrative act in terminating the supply of electricity and water to the property.   </w:t>
      </w:r>
    </w:p>
    <w:p w14:paraId="4194DE6B" w14:textId="17EFDC9D" w:rsidR="00610ABA" w:rsidRPr="00353EF0" w:rsidRDefault="00C85A71" w:rsidP="002646AD">
      <w:pPr>
        <w:spacing w:before="240" w:line="360" w:lineRule="auto"/>
        <w:jc w:val="both"/>
        <w:rPr>
          <w:rFonts w:ascii="Arial" w:hAnsi="Arial" w:cs="Arial"/>
          <w:sz w:val="26"/>
          <w:szCs w:val="26"/>
          <w:lang w:val="en-ZA"/>
        </w:rPr>
      </w:pPr>
      <w:r>
        <w:rPr>
          <w:rFonts w:ascii="Arial" w:hAnsi="Arial" w:cs="Arial"/>
          <w:sz w:val="26"/>
          <w:szCs w:val="26"/>
          <w:lang w:val="en-ZA"/>
        </w:rPr>
        <w:t>[9</w:t>
      </w:r>
      <w:r w:rsidR="00DA122E">
        <w:rPr>
          <w:rFonts w:ascii="Arial" w:hAnsi="Arial" w:cs="Arial"/>
          <w:sz w:val="26"/>
          <w:szCs w:val="26"/>
          <w:lang w:val="en-ZA"/>
        </w:rPr>
        <w:t xml:space="preserve">] </w:t>
      </w:r>
      <w:r w:rsidR="00610ABA">
        <w:rPr>
          <w:rFonts w:ascii="Arial" w:hAnsi="Arial" w:cs="Arial"/>
          <w:sz w:val="26"/>
          <w:szCs w:val="26"/>
          <w:lang w:val="en-ZA"/>
        </w:rPr>
        <w:tab/>
      </w:r>
      <w:r w:rsidR="00353EF0">
        <w:rPr>
          <w:rFonts w:ascii="Arial" w:hAnsi="Arial" w:cs="Arial"/>
          <w:sz w:val="26"/>
          <w:szCs w:val="26"/>
          <w:lang w:val="en-ZA"/>
        </w:rPr>
        <w:t>Perhaps it is apposite that I deal with the issue of the disconnection of water supply</w:t>
      </w:r>
      <w:r w:rsidR="00897A02">
        <w:rPr>
          <w:rFonts w:ascii="Arial" w:hAnsi="Arial" w:cs="Arial"/>
          <w:sz w:val="26"/>
          <w:szCs w:val="26"/>
          <w:lang w:val="en-ZA"/>
        </w:rPr>
        <w:t xml:space="preserve"> at this stage</w:t>
      </w:r>
      <w:r w:rsidR="00353EF0">
        <w:rPr>
          <w:rFonts w:ascii="Arial" w:hAnsi="Arial" w:cs="Arial"/>
          <w:sz w:val="26"/>
          <w:szCs w:val="26"/>
          <w:lang w:val="en-ZA"/>
        </w:rPr>
        <w:t xml:space="preserve">. Respondents deny that they disconnected the supply of water and assert that the Joe </w:t>
      </w:r>
      <w:proofErr w:type="spellStart"/>
      <w:r w:rsidR="00353EF0">
        <w:rPr>
          <w:rFonts w:ascii="Arial" w:hAnsi="Arial" w:cs="Arial"/>
          <w:sz w:val="26"/>
          <w:szCs w:val="26"/>
          <w:lang w:val="en-ZA"/>
        </w:rPr>
        <w:t>Gqabi</w:t>
      </w:r>
      <w:proofErr w:type="spellEnd"/>
      <w:r w:rsidR="00353EF0">
        <w:rPr>
          <w:rFonts w:ascii="Arial" w:hAnsi="Arial" w:cs="Arial"/>
          <w:sz w:val="26"/>
          <w:szCs w:val="26"/>
          <w:lang w:val="en-ZA"/>
        </w:rPr>
        <w:t xml:space="preserve"> District is better placed to answer questions in this regard. It is common cause that the disconnection of e</w:t>
      </w:r>
      <w:r w:rsidR="00C26C72">
        <w:rPr>
          <w:rFonts w:ascii="Arial" w:hAnsi="Arial" w:cs="Arial"/>
          <w:sz w:val="26"/>
          <w:szCs w:val="26"/>
          <w:lang w:val="en-ZA"/>
        </w:rPr>
        <w:t>l</w:t>
      </w:r>
      <w:r w:rsidR="00353EF0">
        <w:rPr>
          <w:rFonts w:ascii="Arial" w:hAnsi="Arial" w:cs="Arial"/>
          <w:sz w:val="26"/>
          <w:szCs w:val="26"/>
          <w:lang w:val="en-ZA"/>
        </w:rPr>
        <w:t>ectricit</w:t>
      </w:r>
      <w:r w:rsidR="00C26C72">
        <w:rPr>
          <w:rFonts w:ascii="Arial" w:hAnsi="Arial" w:cs="Arial"/>
          <w:sz w:val="26"/>
          <w:szCs w:val="26"/>
          <w:lang w:val="en-ZA"/>
        </w:rPr>
        <w:t>y</w:t>
      </w:r>
      <w:r w:rsidR="00353EF0">
        <w:rPr>
          <w:rFonts w:ascii="Arial" w:hAnsi="Arial" w:cs="Arial"/>
          <w:sz w:val="26"/>
          <w:szCs w:val="26"/>
          <w:lang w:val="en-ZA"/>
        </w:rPr>
        <w:t xml:space="preserve"> and that of water did not occur on the same day. This in my view lends credence to the respondents’</w:t>
      </w:r>
      <w:r w:rsidR="00C26C72">
        <w:rPr>
          <w:rFonts w:ascii="Arial" w:hAnsi="Arial" w:cs="Arial"/>
          <w:sz w:val="26"/>
          <w:szCs w:val="26"/>
          <w:lang w:val="en-ZA"/>
        </w:rPr>
        <w:t xml:space="preserve"> </w:t>
      </w:r>
      <w:r w:rsidR="00353EF0">
        <w:rPr>
          <w:rFonts w:ascii="Arial" w:hAnsi="Arial" w:cs="Arial"/>
          <w:sz w:val="26"/>
          <w:szCs w:val="26"/>
          <w:lang w:val="en-ZA"/>
        </w:rPr>
        <w:t xml:space="preserve">assertion that the Joe </w:t>
      </w:r>
      <w:proofErr w:type="spellStart"/>
      <w:r w:rsidR="00353EF0">
        <w:rPr>
          <w:rFonts w:ascii="Arial" w:hAnsi="Arial" w:cs="Arial"/>
          <w:sz w:val="26"/>
          <w:szCs w:val="26"/>
          <w:lang w:val="en-ZA"/>
        </w:rPr>
        <w:t>Gqabi</w:t>
      </w:r>
      <w:proofErr w:type="spellEnd"/>
      <w:r w:rsidR="00353EF0">
        <w:rPr>
          <w:rFonts w:ascii="Arial" w:hAnsi="Arial" w:cs="Arial"/>
          <w:sz w:val="26"/>
          <w:szCs w:val="26"/>
          <w:lang w:val="en-ZA"/>
        </w:rPr>
        <w:t xml:space="preserve"> District Municipality was responsible for the</w:t>
      </w:r>
      <w:r w:rsidR="00C26C72">
        <w:rPr>
          <w:rFonts w:ascii="Arial" w:hAnsi="Arial" w:cs="Arial"/>
          <w:sz w:val="26"/>
          <w:szCs w:val="26"/>
          <w:lang w:val="en-ZA"/>
        </w:rPr>
        <w:t xml:space="preserve"> </w:t>
      </w:r>
      <w:r w:rsidR="00353EF0">
        <w:rPr>
          <w:rFonts w:ascii="Arial" w:hAnsi="Arial" w:cs="Arial"/>
          <w:sz w:val="26"/>
          <w:szCs w:val="26"/>
          <w:lang w:val="en-ZA"/>
        </w:rPr>
        <w:t>disconnection of water. It is my finding therefore that the respondents’</w:t>
      </w:r>
      <w:r w:rsidR="00C26C72">
        <w:rPr>
          <w:rFonts w:ascii="Arial" w:hAnsi="Arial" w:cs="Arial"/>
          <w:sz w:val="26"/>
          <w:szCs w:val="26"/>
          <w:lang w:val="en-ZA"/>
        </w:rPr>
        <w:t xml:space="preserve"> </w:t>
      </w:r>
      <w:r w:rsidR="00353EF0">
        <w:rPr>
          <w:rFonts w:ascii="Arial" w:hAnsi="Arial" w:cs="Arial"/>
          <w:sz w:val="26"/>
          <w:szCs w:val="26"/>
          <w:lang w:val="en-ZA"/>
        </w:rPr>
        <w:t xml:space="preserve">point </w:t>
      </w:r>
      <w:r w:rsidR="00353EF0">
        <w:rPr>
          <w:rFonts w:ascii="Arial" w:hAnsi="Arial" w:cs="Arial"/>
          <w:i/>
          <w:sz w:val="26"/>
          <w:szCs w:val="26"/>
          <w:lang w:val="en-ZA"/>
        </w:rPr>
        <w:t xml:space="preserve">in </w:t>
      </w:r>
      <w:proofErr w:type="spellStart"/>
      <w:r w:rsidR="00353EF0">
        <w:rPr>
          <w:rFonts w:ascii="Arial" w:hAnsi="Arial" w:cs="Arial"/>
          <w:i/>
          <w:sz w:val="26"/>
          <w:szCs w:val="26"/>
          <w:lang w:val="en-ZA"/>
        </w:rPr>
        <w:t>limine</w:t>
      </w:r>
      <w:proofErr w:type="spellEnd"/>
      <w:r w:rsidR="00353EF0">
        <w:rPr>
          <w:rFonts w:ascii="Arial" w:hAnsi="Arial" w:cs="Arial"/>
          <w:sz w:val="26"/>
          <w:szCs w:val="26"/>
          <w:lang w:val="en-ZA"/>
        </w:rPr>
        <w:t xml:space="preserve"> </w:t>
      </w:r>
      <w:r w:rsidR="00897A02">
        <w:rPr>
          <w:rFonts w:ascii="Arial" w:hAnsi="Arial" w:cs="Arial"/>
          <w:sz w:val="26"/>
          <w:szCs w:val="26"/>
          <w:lang w:val="en-ZA"/>
        </w:rPr>
        <w:t xml:space="preserve">of non-joinder </w:t>
      </w:r>
      <w:r w:rsidR="00353EF0">
        <w:rPr>
          <w:rFonts w:ascii="Arial" w:hAnsi="Arial" w:cs="Arial"/>
          <w:sz w:val="26"/>
          <w:szCs w:val="26"/>
          <w:lang w:val="en-ZA"/>
        </w:rPr>
        <w:t xml:space="preserve">in this regard ought to be upheld. </w:t>
      </w:r>
    </w:p>
    <w:p w14:paraId="765CFC6E" w14:textId="08BF4994" w:rsidR="00713D43" w:rsidRDefault="00C85A71" w:rsidP="002646AD">
      <w:pPr>
        <w:spacing w:before="240" w:line="360" w:lineRule="auto"/>
        <w:jc w:val="both"/>
        <w:rPr>
          <w:rFonts w:ascii="Arial" w:hAnsi="Arial" w:cs="Arial"/>
          <w:sz w:val="26"/>
          <w:szCs w:val="26"/>
          <w:lang w:val="en-ZA"/>
        </w:rPr>
      </w:pPr>
      <w:r>
        <w:rPr>
          <w:rFonts w:ascii="Arial" w:hAnsi="Arial" w:cs="Arial"/>
          <w:sz w:val="26"/>
          <w:szCs w:val="26"/>
          <w:lang w:val="en-ZA"/>
        </w:rPr>
        <w:t>[10</w:t>
      </w:r>
      <w:r w:rsidR="00610ABA">
        <w:rPr>
          <w:rFonts w:ascii="Arial" w:hAnsi="Arial" w:cs="Arial"/>
          <w:sz w:val="26"/>
          <w:szCs w:val="26"/>
          <w:lang w:val="en-ZA"/>
        </w:rPr>
        <w:t xml:space="preserve">] </w:t>
      </w:r>
      <w:r w:rsidR="00610ABA">
        <w:rPr>
          <w:rFonts w:ascii="Arial" w:hAnsi="Arial" w:cs="Arial"/>
          <w:sz w:val="26"/>
          <w:szCs w:val="26"/>
          <w:lang w:val="en-ZA"/>
        </w:rPr>
        <w:tab/>
      </w:r>
      <w:r w:rsidR="00C26C72">
        <w:rPr>
          <w:rFonts w:ascii="Arial" w:hAnsi="Arial" w:cs="Arial"/>
          <w:sz w:val="26"/>
          <w:szCs w:val="26"/>
          <w:lang w:val="en-ZA"/>
        </w:rPr>
        <w:t xml:space="preserve">Did the disconnecting the supply of electricity to the said property in the circumstances put forward by the respondents amount to administrative action or did they act in terms of a contract between the first respondent and </w:t>
      </w:r>
      <w:r w:rsidR="00C26C72">
        <w:rPr>
          <w:rFonts w:ascii="Arial" w:hAnsi="Arial" w:cs="Arial"/>
          <w:b/>
          <w:sz w:val="26"/>
          <w:szCs w:val="26"/>
          <w:lang w:val="en-ZA"/>
        </w:rPr>
        <w:t xml:space="preserve">Ms </w:t>
      </w:r>
      <w:proofErr w:type="spellStart"/>
      <w:r w:rsidR="00C26C72">
        <w:rPr>
          <w:rFonts w:ascii="Arial" w:hAnsi="Arial" w:cs="Arial"/>
          <w:b/>
          <w:sz w:val="26"/>
          <w:szCs w:val="26"/>
          <w:lang w:val="en-ZA"/>
        </w:rPr>
        <w:t>Nyezi</w:t>
      </w:r>
      <w:proofErr w:type="spellEnd"/>
      <w:r w:rsidR="00C26C72">
        <w:rPr>
          <w:rFonts w:ascii="Arial" w:hAnsi="Arial" w:cs="Arial"/>
          <w:b/>
          <w:sz w:val="26"/>
          <w:szCs w:val="26"/>
          <w:lang w:val="en-ZA"/>
        </w:rPr>
        <w:t xml:space="preserve"> </w:t>
      </w:r>
      <w:r w:rsidR="00C26C72">
        <w:rPr>
          <w:rFonts w:ascii="Arial" w:hAnsi="Arial" w:cs="Arial"/>
          <w:sz w:val="26"/>
          <w:szCs w:val="26"/>
          <w:lang w:val="en-ZA"/>
        </w:rPr>
        <w:t xml:space="preserve">and at </w:t>
      </w:r>
      <w:r w:rsidR="00C26C72">
        <w:rPr>
          <w:rFonts w:ascii="Arial" w:hAnsi="Arial" w:cs="Arial"/>
          <w:b/>
          <w:sz w:val="26"/>
          <w:szCs w:val="26"/>
          <w:lang w:val="en-ZA"/>
        </w:rPr>
        <w:t xml:space="preserve">Ms </w:t>
      </w:r>
      <w:proofErr w:type="spellStart"/>
      <w:r w:rsidR="00C26C72">
        <w:rPr>
          <w:rFonts w:ascii="Arial" w:hAnsi="Arial" w:cs="Arial"/>
          <w:b/>
          <w:sz w:val="26"/>
          <w:szCs w:val="26"/>
          <w:lang w:val="en-ZA"/>
        </w:rPr>
        <w:t>Nyezi’s</w:t>
      </w:r>
      <w:proofErr w:type="spellEnd"/>
      <w:r w:rsidR="00C26C72">
        <w:rPr>
          <w:rFonts w:ascii="Arial" w:hAnsi="Arial" w:cs="Arial"/>
          <w:sz w:val="26"/>
          <w:szCs w:val="26"/>
          <w:lang w:val="en-ZA"/>
        </w:rPr>
        <w:t xml:space="preserve"> instance? In </w:t>
      </w:r>
      <w:proofErr w:type="spellStart"/>
      <w:r w:rsidR="00C26C72">
        <w:rPr>
          <w:rFonts w:ascii="Arial" w:hAnsi="Arial" w:cs="Arial"/>
          <w:b/>
          <w:i/>
          <w:sz w:val="26"/>
          <w:szCs w:val="26"/>
          <w:lang w:val="en-ZA"/>
        </w:rPr>
        <w:t>Sanparks</w:t>
      </w:r>
      <w:proofErr w:type="spellEnd"/>
      <w:r w:rsidR="00C26C72">
        <w:rPr>
          <w:rFonts w:ascii="Arial" w:hAnsi="Arial" w:cs="Arial"/>
          <w:b/>
          <w:i/>
          <w:sz w:val="26"/>
          <w:szCs w:val="26"/>
          <w:lang w:val="en-ZA"/>
        </w:rPr>
        <w:t xml:space="preserve"> v </w:t>
      </w:r>
      <w:proofErr w:type="spellStart"/>
      <w:r w:rsidR="00C26C72">
        <w:rPr>
          <w:rFonts w:ascii="Arial" w:hAnsi="Arial" w:cs="Arial"/>
          <w:b/>
          <w:i/>
          <w:sz w:val="26"/>
          <w:szCs w:val="26"/>
          <w:lang w:val="en-ZA"/>
        </w:rPr>
        <w:t>Mto</w:t>
      </w:r>
      <w:proofErr w:type="spellEnd"/>
      <w:r w:rsidR="00C26C72">
        <w:rPr>
          <w:rFonts w:ascii="Arial" w:hAnsi="Arial" w:cs="Arial"/>
          <w:b/>
          <w:i/>
          <w:sz w:val="26"/>
          <w:szCs w:val="26"/>
          <w:lang w:val="en-ZA"/>
        </w:rPr>
        <w:t xml:space="preserve"> Forestry</w:t>
      </w:r>
      <w:r w:rsidR="00C26C72" w:rsidRPr="00C26C72">
        <w:rPr>
          <w:rStyle w:val="FootnoteReference"/>
          <w:rFonts w:ascii="Arial" w:hAnsi="Arial" w:cs="Arial"/>
          <w:sz w:val="26"/>
          <w:szCs w:val="26"/>
          <w:lang w:val="en-ZA"/>
        </w:rPr>
        <w:footnoteReference w:id="3"/>
      </w:r>
      <w:r w:rsidR="00C26C72">
        <w:rPr>
          <w:rFonts w:ascii="Arial" w:hAnsi="Arial" w:cs="Arial"/>
          <w:sz w:val="22"/>
          <w:szCs w:val="22"/>
          <w:lang w:val="en-ZA"/>
        </w:rPr>
        <w:t xml:space="preserve"> </w:t>
      </w:r>
      <w:r w:rsidR="00C26C72" w:rsidRPr="00C26C72">
        <w:rPr>
          <w:rFonts w:ascii="Arial" w:hAnsi="Arial" w:cs="Arial"/>
          <w:sz w:val="26"/>
          <w:szCs w:val="26"/>
          <w:lang w:val="en-ZA"/>
        </w:rPr>
        <w:t>the</w:t>
      </w:r>
      <w:r w:rsidR="0002784F" w:rsidRPr="00C26C72">
        <w:rPr>
          <w:rFonts w:ascii="Arial" w:hAnsi="Arial" w:cs="Arial"/>
          <w:sz w:val="26"/>
          <w:szCs w:val="26"/>
          <w:lang w:val="en-ZA"/>
        </w:rPr>
        <w:t xml:space="preserve"> </w:t>
      </w:r>
      <w:r w:rsidR="00C26C72" w:rsidRPr="00C26C72">
        <w:rPr>
          <w:rFonts w:ascii="Arial" w:hAnsi="Arial" w:cs="Arial"/>
          <w:sz w:val="26"/>
          <w:szCs w:val="26"/>
          <w:lang w:val="en-ZA"/>
        </w:rPr>
        <w:t>following was said in this regard:</w:t>
      </w:r>
    </w:p>
    <w:p w14:paraId="3C3C4657" w14:textId="40160B36" w:rsidR="00C26C72" w:rsidRPr="0081758E" w:rsidRDefault="00C26C72" w:rsidP="0081758E">
      <w:pPr>
        <w:spacing w:before="240" w:line="360" w:lineRule="auto"/>
        <w:jc w:val="both"/>
        <w:rPr>
          <w:rFonts w:ascii="Arial" w:hAnsi="Arial" w:cs="Arial"/>
          <w:sz w:val="22"/>
          <w:szCs w:val="22"/>
          <w:lang w:val="en-ZA"/>
        </w:rPr>
      </w:pPr>
      <w:r w:rsidRPr="0081758E">
        <w:rPr>
          <w:rFonts w:ascii="Arial" w:hAnsi="Arial" w:cs="Arial"/>
          <w:sz w:val="22"/>
          <w:szCs w:val="22"/>
          <w:lang w:val="en-ZA"/>
        </w:rPr>
        <w:t>“</w:t>
      </w:r>
      <w:r w:rsidR="0081758E" w:rsidRPr="0081758E">
        <w:rPr>
          <w:rFonts w:ascii="Arial" w:hAnsi="Arial" w:cs="Arial"/>
          <w:sz w:val="22"/>
          <w:szCs w:val="22"/>
        </w:rPr>
        <w:t>[37] There is no bright-line test for determining whether administrative principles intrude in relation to a contract involving an organ of state and a private party. However, there are indicators. One might rightly ask whether coercive state power can be brought to bear by a state organ on the private party. Further, one will be constrained to consider whether the public interest is affected by the exercise of the contractual right</w:t>
      </w:r>
      <w:r w:rsidRPr="0081758E">
        <w:rPr>
          <w:rFonts w:ascii="Arial" w:hAnsi="Arial" w:cs="Arial"/>
          <w:sz w:val="22"/>
          <w:szCs w:val="22"/>
          <w:lang w:val="en-ZA"/>
        </w:rPr>
        <w:t>”</w:t>
      </w:r>
    </w:p>
    <w:p w14:paraId="32781C66" w14:textId="56FCB29C" w:rsidR="00C26C72" w:rsidRPr="00C26C72" w:rsidRDefault="00C26C72" w:rsidP="002646AD">
      <w:pPr>
        <w:spacing w:before="240" w:line="360" w:lineRule="auto"/>
        <w:jc w:val="both"/>
        <w:rPr>
          <w:rFonts w:ascii="Arial" w:hAnsi="Arial" w:cs="Arial"/>
          <w:sz w:val="26"/>
          <w:szCs w:val="26"/>
          <w:lang w:val="en-ZA"/>
        </w:rPr>
      </w:pPr>
      <w:r w:rsidRPr="00C26C72">
        <w:rPr>
          <w:rFonts w:ascii="Arial" w:hAnsi="Arial" w:cs="Arial"/>
          <w:sz w:val="26"/>
          <w:szCs w:val="26"/>
          <w:lang w:val="en-ZA"/>
        </w:rPr>
        <w:t xml:space="preserve">In </w:t>
      </w:r>
      <w:proofErr w:type="spellStart"/>
      <w:r w:rsidRPr="00C26C72">
        <w:rPr>
          <w:rFonts w:ascii="Arial" w:hAnsi="Arial" w:cs="Arial"/>
          <w:b/>
          <w:i/>
          <w:sz w:val="26"/>
          <w:szCs w:val="26"/>
          <w:lang w:val="en-ZA"/>
        </w:rPr>
        <w:t>Chirwa</w:t>
      </w:r>
      <w:proofErr w:type="spellEnd"/>
      <w:r w:rsidRPr="00C26C72">
        <w:rPr>
          <w:rFonts w:ascii="Arial" w:hAnsi="Arial" w:cs="Arial"/>
          <w:b/>
          <w:i/>
          <w:sz w:val="26"/>
          <w:szCs w:val="26"/>
          <w:lang w:val="en-ZA"/>
        </w:rPr>
        <w:t xml:space="preserve"> v Transnet Ltd and Others</w:t>
      </w:r>
      <w:r w:rsidR="00AE53E8">
        <w:rPr>
          <w:rStyle w:val="FootnoteReference"/>
          <w:rFonts w:ascii="Arial" w:hAnsi="Arial" w:cs="Arial"/>
          <w:b/>
          <w:i/>
          <w:sz w:val="26"/>
          <w:szCs w:val="26"/>
          <w:lang w:val="en-ZA"/>
        </w:rPr>
        <w:footnoteReference w:id="4"/>
      </w:r>
      <w:r w:rsidRPr="00C26C72">
        <w:rPr>
          <w:rFonts w:ascii="Arial" w:hAnsi="Arial" w:cs="Arial"/>
          <w:sz w:val="26"/>
          <w:szCs w:val="26"/>
          <w:lang w:val="en-ZA"/>
        </w:rPr>
        <w:t xml:space="preserve"> the Constitutional Court had this to say:</w:t>
      </w:r>
    </w:p>
    <w:p w14:paraId="34214DA6" w14:textId="352EB57B" w:rsidR="00C20D61" w:rsidRPr="00C20D61" w:rsidRDefault="00C20D61" w:rsidP="00C20D61">
      <w:pPr>
        <w:pStyle w:val="JUGMENTNUMBERED"/>
        <w:numPr>
          <w:ilvl w:val="0"/>
          <w:numId w:val="0"/>
        </w:numPr>
        <w:spacing w:line="360" w:lineRule="auto"/>
        <w:rPr>
          <w:rFonts w:ascii="Arial" w:hAnsi="Arial" w:cs="Arial"/>
          <w:sz w:val="22"/>
          <w:szCs w:val="22"/>
        </w:rPr>
      </w:pPr>
      <w:r w:rsidRPr="00C20D61">
        <w:rPr>
          <w:rFonts w:ascii="Arial" w:hAnsi="Arial" w:cs="Arial"/>
          <w:sz w:val="22"/>
          <w:szCs w:val="22"/>
        </w:rPr>
        <w:t>“[139]</w:t>
      </w:r>
      <w:r w:rsidR="00C26C72" w:rsidRPr="00C20D61">
        <w:rPr>
          <w:rFonts w:ascii="Arial" w:hAnsi="Arial" w:cs="Arial"/>
          <w:sz w:val="22"/>
          <w:szCs w:val="22"/>
        </w:rPr>
        <w:t xml:space="preserve"> </w:t>
      </w:r>
      <w:r w:rsidRPr="00C20D61">
        <w:rPr>
          <w:rFonts w:ascii="Arial" w:hAnsi="Arial" w:cs="Arial"/>
          <w:sz w:val="22"/>
          <w:szCs w:val="22"/>
        </w:rPr>
        <w:t xml:space="preserve">However, the fact that the conduct of Transnet in terminating the applicant’s employment contract involves the exercise of public power is not decisive of the question whether the exercise of the power in question constitutes administrative action. The question whether particular conduct constitutes administrative action must be determined by reference to s 33 of the Constitution. Section 33 of the Constitution confines its operation to </w:t>
      </w:r>
      <w:r w:rsidRPr="00C20D61">
        <w:rPr>
          <w:rFonts w:ascii="Arial" w:hAnsi="Arial" w:cs="Arial"/>
          <w:sz w:val="22"/>
          <w:szCs w:val="22"/>
        </w:rPr>
        <w:lastRenderedPageBreak/>
        <w:t>‘administrative action’, as does PAJA. Therefore to determine whether conduct is subject to review under s 33 and thus under PAJA, the threshold question is whether the conduct under consideration constitutes administrative action. PAJA only comes into the picture once it is determined that the conduct in question constitutes administrative action under s 33. The appropriate starting point is to determine whether the conduct in question constitutes administrative action within the meaning of s 33 of the Constitution. The question therefore is whether the conduct of Transnet in terminating the applicant’s contract of employment constitutes administrative action under s 33.”</w:t>
      </w:r>
    </w:p>
    <w:p w14:paraId="1D51BB8E" w14:textId="52469342" w:rsidR="00C20D61" w:rsidRDefault="00C20D61" w:rsidP="00C20D61">
      <w:pPr>
        <w:spacing w:before="240" w:line="360" w:lineRule="auto"/>
        <w:jc w:val="both"/>
        <w:rPr>
          <w:rFonts w:ascii="Arial" w:hAnsi="Arial" w:cs="Arial"/>
          <w:sz w:val="26"/>
          <w:szCs w:val="26"/>
          <w:lang w:val="en-ZA"/>
        </w:rPr>
      </w:pPr>
      <w:r>
        <w:rPr>
          <w:rFonts w:ascii="Arial" w:hAnsi="Arial" w:cs="Arial"/>
          <w:sz w:val="26"/>
          <w:szCs w:val="26"/>
          <w:lang w:val="en-ZA"/>
        </w:rPr>
        <w:t>And later at paragraph 142 had this to say:</w:t>
      </w:r>
    </w:p>
    <w:p w14:paraId="7927844C" w14:textId="17B0EEE8" w:rsidR="00C20D61" w:rsidRPr="00AE53E8" w:rsidRDefault="00AE53E8" w:rsidP="00AE53E8">
      <w:pPr>
        <w:pStyle w:val="JUGMENTNUMBERED"/>
        <w:numPr>
          <w:ilvl w:val="0"/>
          <w:numId w:val="0"/>
        </w:numPr>
        <w:spacing w:line="360" w:lineRule="auto"/>
        <w:rPr>
          <w:rFonts w:ascii="Arial" w:hAnsi="Arial" w:cs="Arial"/>
          <w:sz w:val="22"/>
          <w:szCs w:val="22"/>
        </w:rPr>
      </w:pPr>
      <w:r w:rsidRPr="00AE53E8">
        <w:rPr>
          <w:rFonts w:ascii="Arial" w:hAnsi="Arial" w:cs="Arial"/>
          <w:sz w:val="22"/>
          <w:szCs w:val="22"/>
        </w:rPr>
        <w:t xml:space="preserve">“[142] </w:t>
      </w:r>
      <w:proofErr w:type="gramStart"/>
      <w:r w:rsidR="00C20D61" w:rsidRPr="00AE53E8">
        <w:rPr>
          <w:rFonts w:ascii="Arial" w:hAnsi="Arial" w:cs="Arial"/>
          <w:sz w:val="22"/>
          <w:szCs w:val="22"/>
        </w:rPr>
        <w:t>The</w:t>
      </w:r>
      <w:proofErr w:type="gramEnd"/>
      <w:r w:rsidR="00C20D61" w:rsidRPr="00AE53E8">
        <w:rPr>
          <w:rFonts w:ascii="Arial" w:hAnsi="Arial" w:cs="Arial"/>
          <w:sz w:val="22"/>
          <w:szCs w:val="22"/>
        </w:rPr>
        <w:t xml:space="preserve"> subject</w:t>
      </w:r>
      <w:r w:rsidRPr="00AE53E8">
        <w:rPr>
          <w:rFonts w:ascii="Arial" w:hAnsi="Arial" w:cs="Arial"/>
          <w:sz w:val="22"/>
          <w:szCs w:val="22"/>
        </w:rPr>
        <w:t>-</w:t>
      </w:r>
      <w:r w:rsidR="00C20D61" w:rsidRPr="00AE53E8">
        <w:rPr>
          <w:rFonts w:ascii="Arial" w:hAnsi="Arial" w:cs="Arial"/>
          <w:sz w:val="22"/>
          <w:szCs w:val="22"/>
        </w:rPr>
        <w:t>matter of the power involved here is the termination of a contract of employ</w:t>
      </w:r>
      <w:r w:rsidRPr="00AE53E8">
        <w:rPr>
          <w:rFonts w:ascii="Arial" w:hAnsi="Arial" w:cs="Arial"/>
          <w:sz w:val="22"/>
          <w:szCs w:val="22"/>
        </w:rPr>
        <w:t>ment for poor work performance.</w:t>
      </w:r>
      <w:r w:rsidR="00C20D61" w:rsidRPr="00AE53E8">
        <w:rPr>
          <w:rFonts w:ascii="Arial" w:hAnsi="Arial" w:cs="Arial"/>
          <w:sz w:val="22"/>
          <w:szCs w:val="22"/>
        </w:rPr>
        <w:t xml:space="preserve"> The source of the power is the employment contract betw</w:t>
      </w:r>
      <w:r w:rsidRPr="00AE53E8">
        <w:rPr>
          <w:rFonts w:ascii="Arial" w:hAnsi="Arial" w:cs="Arial"/>
          <w:sz w:val="22"/>
          <w:szCs w:val="22"/>
        </w:rPr>
        <w:t>een the applicant and Transnet.</w:t>
      </w:r>
      <w:r w:rsidR="00C20D61" w:rsidRPr="00AE53E8">
        <w:rPr>
          <w:rFonts w:ascii="Arial" w:hAnsi="Arial" w:cs="Arial"/>
          <w:sz w:val="22"/>
          <w:szCs w:val="22"/>
        </w:rPr>
        <w:t xml:space="preserve"> The nature of the power involved here is therefore contractual. The fact that Transnet is a creature of statute does not detract from the fact that in terminating the applicant’s contract of employment, it was exercising its contractual power. It does not involve the implementation of legislation which constitutes administrative action. The conduct of Transnet in terminating the employment contract does not in my view constitute administration. It is more concerned with labour and employment relations. The mere fact that Transnet is an organ of State which exercises public power does not transform its conduct in terminating the applicant’s employment contract into administrative action. Section 33 is not concerned with every act of administration performed by an organ of </w:t>
      </w:r>
      <w:r w:rsidRPr="00AE53E8">
        <w:rPr>
          <w:rFonts w:ascii="Arial" w:hAnsi="Arial" w:cs="Arial"/>
          <w:sz w:val="22"/>
          <w:szCs w:val="22"/>
        </w:rPr>
        <w:t>S</w:t>
      </w:r>
      <w:r w:rsidR="00C20D61" w:rsidRPr="00AE53E8">
        <w:rPr>
          <w:rFonts w:ascii="Arial" w:hAnsi="Arial" w:cs="Arial"/>
          <w:sz w:val="22"/>
          <w:szCs w:val="22"/>
        </w:rPr>
        <w:t>tate. It follows therefore that the conduct of Transnet did not constitute administrative action under s</w:t>
      </w:r>
      <w:r w:rsidRPr="00AE53E8">
        <w:rPr>
          <w:rFonts w:ascii="Arial" w:hAnsi="Arial" w:cs="Arial"/>
          <w:sz w:val="22"/>
          <w:szCs w:val="22"/>
        </w:rPr>
        <w:t xml:space="preserve"> </w:t>
      </w:r>
      <w:r w:rsidR="00C20D61" w:rsidRPr="00AE53E8">
        <w:rPr>
          <w:rFonts w:ascii="Arial" w:hAnsi="Arial" w:cs="Arial"/>
          <w:sz w:val="22"/>
          <w:szCs w:val="22"/>
        </w:rPr>
        <w:t>33.</w:t>
      </w:r>
      <w:r w:rsidRPr="00AE53E8">
        <w:rPr>
          <w:rFonts w:ascii="Arial" w:hAnsi="Arial" w:cs="Arial"/>
          <w:sz w:val="22"/>
          <w:szCs w:val="22"/>
        </w:rPr>
        <w:t>”</w:t>
      </w:r>
    </w:p>
    <w:p w14:paraId="6CCE88C0" w14:textId="6ABBDF76" w:rsidR="00C463B0" w:rsidRPr="00AE53E8" w:rsidRDefault="006072BE" w:rsidP="00AE0218">
      <w:pPr>
        <w:spacing w:before="240" w:line="360" w:lineRule="auto"/>
        <w:jc w:val="both"/>
        <w:rPr>
          <w:rFonts w:ascii="Arial" w:hAnsi="Arial" w:cs="Arial"/>
          <w:b/>
          <w:i/>
          <w:sz w:val="26"/>
          <w:szCs w:val="26"/>
          <w:lang w:val="en-ZA"/>
        </w:rPr>
      </w:pPr>
      <w:r>
        <w:rPr>
          <w:rFonts w:ascii="Arial" w:hAnsi="Arial" w:cs="Arial"/>
          <w:sz w:val="26"/>
          <w:szCs w:val="26"/>
          <w:lang w:val="en-ZA"/>
        </w:rPr>
        <w:t>[</w:t>
      </w:r>
      <w:r w:rsidR="003705F6">
        <w:rPr>
          <w:rFonts w:ascii="Arial" w:hAnsi="Arial" w:cs="Arial"/>
          <w:sz w:val="26"/>
          <w:szCs w:val="26"/>
          <w:lang w:val="en-ZA"/>
        </w:rPr>
        <w:t>11</w:t>
      </w:r>
      <w:r>
        <w:rPr>
          <w:rFonts w:ascii="Arial" w:hAnsi="Arial" w:cs="Arial"/>
          <w:sz w:val="26"/>
          <w:szCs w:val="26"/>
          <w:lang w:val="en-ZA"/>
        </w:rPr>
        <w:t xml:space="preserve">] </w:t>
      </w:r>
      <w:r>
        <w:rPr>
          <w:rFonts w:ascii="Arial" w:hAnsi="Arial" w:cs="Arial"/>
          <w:sz w:val="26"/>
          <w:szCs w:val="26"/>
          <w:lang w:val="en-ZA"/>
        </w:rPr>
        <w:tab/>
      </w:r>
      <w:r w:rsidR="00AE53E8">
        <w:rPr>
          <w:rFonts w:ascii="Arial" w:hAnsi="Arial" w:cs="Arial"/>
          <w:sz w:val="26"/>
          <w:szCs w:val="26"/>
          <w:lang w:val="en-ZA"/>
        </w:rPr>
        <w:t xml:space="preserve">Applicants placed a lot of reliance on the matter of </w:t>
      </w:r>
      <w:r w:rsidR="00AE53E8">
        <w:rPr>
          <w:rFonts w:ascii="Arial" w:hAnsi="Arial" w:cs="Arial"/>
          <w:b/>
          <w:i/>
          <w:sz w:val="26"/>
          <w:szCs w:val="26"/>
          <w:lang w:val="en-ZA"/>
        </w:rPr>
        <w:t>Joseph v City of Johannesburg</w:t>
      </w:r>
      <w:r w:rsidR="00AF4208">
        <w:rPr>
          <w:rFonts w:ascii="Arial" w:hAnsi="Arial" w:cs="Arial"/>
          <w:sz w:val="26"/>
          <w:szCs w:val="26"/>
          <w:lang w:val="en-ZA"/>
        </w:rPr>
        <w:t>.</w:t>
      </w:r>
      <w:r w:rsidR="00AE53E8" w:rsidRPr="00AE53E8">
        <w:rPr>
          <w:rStyle w:val="FootnoteReference"/>
          <w:rFonts w:ascii="Arial" w:hAnsi="Arial" w:cs="Arial"/>
          <w:sz w:val="26"/>
          <w:szCs w:val="26"/>
          <w:lang w:val="en-ZA"/>
        </w:rPr>
        <w:footnoteReference w:id="5"/>
      </w:r>
      <w:r w:rsidR="00AF4208">
        <w:rPr>
          <w:rFonts w:ascii="Arial" w:hAnsi="Arial" w:cs="Arial"/>
          <w:sz w:val="26"/>
          <w:szCs w:val="26"/>
          <w:lang w:val="en-ZA"/>
        </w:rPr>
        <w:t xml:space="preserve"> This matter also concerned the termination of the electricity supply to the applicants’ place of residence following the accumulation by the landlord</w:t>
      </w:r>
      <w:r w:rsidR="00AE0218">
        <w:rPr>
          <w:rFonts w:ascii="Arial" w:hAnsi="Arial" w:cs="Arial"/>
          <w:sz w:val="26"/>
          <w:szCs w:val="26"/>
          <w:lang w:val="en-ZA"/>
        </w:rPr>
        <w:t>,</w:t>
      </w:r>
      <w:r w:rsidR="00AF4208">
        <w:rPr>
          <w:rFonts w:ascii="Arial" w:hAnsi="Arial" w:cs="Arial"/>
          <w:sz w:val="26"/>
          <w:szCs w:val="26"/>
          <w:lang w:val="en-ZA"/>
        </w:rPr>
        <w:t xml:space="preserve"> of substantial arrears in payments to the respondent. The applicants were tenants in a block of 44 apartments. The court identified the difficulty that arose from the case as stemming from the fact that applicants are tenants who have no contractual right to receive electricity from City Power.</w:t>
      </w:r>
      <w:r w:rsidR="00AF4208">
        <w:rPr>
          <w:rStyle w:val="FootnoteReference"/>
          <w:rFonts w:ascii="Arial" w:hAnsi="Arial" w:cs="Arial"/>
          <w:sz w:val="26"/>
          <w:szCs w:val="26"/>
          <w:lang w:val="en-ZA"/>
        </w:rPr>
        <w:footnoteReference w:id="6"/>
      </w:r>
      <w:r w:rsidR="00AF4208">
        <w:rPr>
          <w:rFonts w:ascii="Arial" w:hAnsi="Arial" w:cs="Arial"/>
          <w:sz w:val="26"/>
          <w:szCs w:val="26"/>
          <w:lang w:val="en-ZA"/>
        </w:rPr>
        <w:t xml:space="preserve"> The issues in this matter concerned more than just the contractual relationship between the City Power and the lan</w:t>
      </w:r>
      <w:r w:rsidR="00AE0218">
        <w:rPr>
          <w:rFonts w:ascii="Arial" w:hAnsi="Arial" w:cs="Arial"/>
          <w:sz w:val="26"/>
          <w:szCs w:val="26"/>
          <w:lang w:val="en-ZA"/>
        </w:rPr>
        <w:t>dlord, but also concerned a by-</w:t>
      </w:r>
      <w:r w:rsidR="00AF4208">
        <w:rPr>
          <w:rFonts w:ascii="Arial" w:hAnsi="Arial" w:cs="Arial"/>
          <w:sz w:val="26"/>
          <w:szCs w:val="26"/>
          <w:lang w:val="en-ZA"/>
        </w:rPr>
        <w:t xml:space="preserve">law(s) in so far as they </w:t>
      </w:r>
      <w:r w:rsidR="00AF4208">
        <w:rPr>
          <w:rFonts w:ascii="Arial" w:hAnsi="Arial" w:cs="Arial"/>
          <w:sz w:val="26"/>
          <w:szCs w:val="26"/>
          <w:lang w:val="en-ZA"/>
        </w:rPr>
        <w:lastRenderedPageBreak/>
        <w:t xml:space="preserve">relate or </w:t>
      </w:r>
      <w:r w:rsidR="00AE0218">
        <w:rPr>
          <w:rFonts w:ascii="Arial" w:hAnsi="Arial" w:cs="Arial"/>
          <w:sz w:val="26"/>
          <w:szCs w:val="26"/>
          <w:lang w:val="en-ZA"/>
        </w:rPr>
        <w:t>define</w:t>
      </w:r>
      <w:r w:rsidR="00AF4208">
        <w:rPr>
          <w:rFonts w:ascii="Arial" w:hAnsi="Arial" w:cs="Arial"/>
          <w:sz w:val="26"/>
          <w:szCs w:val="26"/>
          <w:lang w:val="en-ZA"/>
        </w:rPr>
        <w:t xml:space="preserve"> customer and occupier. We have established that </w:t>
      </w:r>
      <w:r w:rsidR="00AF4208">
        <w:rPr>
          <w:rFonts w:ascii="Arial" w:hAnsi="Arial" w:cs="Arial"/>
          <w:i/>
          <w:sz w:val="26"/>
          <w:szCs w:val="26"/>
          <w:lang w:val="en-ZA"/>
        </w:rPr>
        <w:t xml:space="preserve">in </w:t>
      </w:r>
      <w:proofErr w:type="spellStart"/>
      <w:r w:rsidR="00AF4208">
        <w:rPr>
          <w:rFonts w:ascii="Arial" w:hAnsi="Arial" w:cs="Arial"/>
          <w:i/>
          <w:sz w:val="26"/>
          <w:szCs w:val="26"/>
          <w:lang w:val="en-ZA"/>
        </w:rPr>
        <w:t>casu</w:t>
      </w:r>
      <w:proofErr w:type="spellEnd"/>
      <w:r w:rsidR="00AF4208">
        <w:rPr>
          <w:rFonts w:ascii="Arial" w:hAnsi="Arial" w:cs="Arial"/>
          <w:sz w:val="26"/>
          <w:szCs w:val="26"/>
          <w:lang w:val="en-ZA"/>
        </w:rPr>
        <w:t xml:space="preserve"> we are not dealing with any municipal by</w:t>
      </w:r>
      <w:r w:rsidR="00AE0218">
        <w:rPr>
          <w:rFonts w:ascii="Arial" w:hAnsi="Arial" w:cs="Arial"/>
          <w:sz w:val="26"/>
          <w:szCs w:val="26"/>
          <w:lang w:val="en-ZA"/>
        </w:rPr>
        <w:t>-</w:t>
      </w:r>
      <w:r w:rsidR="00AF4208">
        <w:rPr>
          <w:rFonts w:ascii="Arial" w:hAnsi="Arial" w:cs="Arial"/>
          <w:sz w:val="26"/>
          <w:szCs w:val="26"/>
          <w:lang w:val="en-ZA"/>
        </w:rPr>
        <w:t xml:space="preserve">laws. </w:t>
      </w:r>
      <w:r w:rsidR="001E55FD">
        <w:rPr>
          <w:rFonts w:ascii="Arial" w:hAnsi="Arial" w:cs="Arial"/>
          <w:sz w:val="26"/>
          <w:szCs w:val="26"/>
          <w:lang w:val="en-ZA"/>
        </w:rPr>
        <w:t xml:space="preserve">This in my view distinguishes the case under consideration and the </w:t>
      </w:r>
      <w:r w:rsidR="001E55FD">
        <w:rPr>
          <w:rFonts w:ascii="Arial" w:hAnsi="Arial" w:cs="Arial"/>
          <w:b/>
          <w:i/>
          <w:sz w:val="26"/>
          <w:szCs w:val="26"/>
          <w:lang w:val="en-ZA"/>
        </w:rPr>
        <w:t>Joseph’s</w:t>
      </w:r>
      <w:r w:rsidR="001E55FD">
        <w:rPr>
          <w:rFonts w:ascii="Arial" w:hAnsi="Arial" w:cs="Arial"/>
          <w:sz w:val="26"/>
          <w:szCs w:val="26"/>
          <w:lang w:val="en-ZA"/>
        </w:rPr>
        <w:t xml:space="preserve"> case. This is one of the distinguishing features. I say so because at paragraph [17] of the </w:t>
      </w:r>
      <w:r w:rsidR="001E55FD">
        <w:rPr>
          <w:rFonts w:ascii="Arial" w:hAnsi="Arial" w:cs="Arial"/>
          <w:b/>
          <w:i/>
          <w:sz w:val="26"/>
          <w:szCs w:val="26"/>
          <w:lang w:val="en-ZA"/>
        </w:rPr>
        <w:t>Joseph’s</w:t>
      </w:r>
      <w:r w:rsidR="001E55FD">
        <w:rPr>
          <w:rFonts w:ascii="Arial" w:hAnsi="Arial" w:cs="Arial"/>
          <w:sz w:val="26"/>
          <w:szCs w:val="26"/>
          <w:lang w:val="en-ZA"/>
        </w:rPr>
        <w:t xml:space="preserve"> matter the court states that the case concerns the interpretation of </w:t>
      </w:r>
      <w:r w:rsidR="001E55FD">
        <w:rPr>
          <w:rFonts w:ascii="Arial" w:hAnsi="Arial" w:cs="Arial"/>
          <w:i/>
          <w:sz w:val="26"/>
          <w:szCs w:val="26"/>
          <w:lang w:val="en-ZA"/>
        </w:rPr>
        <w:t>PAJA</w:t>
      </w:r>
      <w:r w:rsidR="00AF4208">
        <w:rPr>
          <w:rFonts w:ascii="Arial" w:hAnsi="Arial" w:cs="Arial"/>
          <w:sz w:val="26"/>
          <w:szCs w:val="26"/>
          <w:lang w:val="en-ZA"/>
        </w:rPr>
        <w:t xml:space="preserve"> </w:t>
      </w:r>
      <w:r w:rsidR="001E55FD">
        <w:rPr>
          <w:rFonts w:ascii="Arial" w:hAnsi="Arial" w:cs="Arial"/>
          <w:sz w:val="26"/>
          <w:szCs w:val="26"/>
          <w:lang w:val="en-ZA"/>
        </w:rPr>
        <w:t xml:space="preserve">and its application to municipal bylaws – the credit bylaw. There are other distinguishing features between the two matters. Each case should be decided on its own unique facts.  </w:t>
      </w:r>
      <w:r w:rsidR="001E55FD" w:rsidRPr="00AE53E8">
        <w:rPr>
          <w:rFonts w:ascii="Arial" w:hAnsi="Arial" w:cs="Arial"/>
          <w:sz w:val="26"/>
          <w:szCs w:val="26"/>
          <w:lang w:val="en-ZA"/>
        </w:rPr>
        <w:t xml:space="preserve"> </w:t>
      </w:r>
    </w:p>
    <w:p w14:paraId="085D1FFA" w14:textId="064D38E1" w:rsidR="00C222DC" w:rsidRPr="001E55FD" w:rsidRDefault="00C463B0" w:rsidP="00F45C84">
      <w:pPr>
        <w:spacing w:before="240" w:line="360" w:lineRule="auto"/>
        <w:jc w:val="both"/>
        <w:rPr>
          <w:rFonts w:ascii="Arial" w:hAnsi="Arial" w:cs="Arial"/>
          <w:i/>
          <w:sz w:val="26"/>
          <w:szCs w:val="26"/>
          <w:lang w:val="en-ZA"/>
        </w:rPr>
      </w:pPr>
      <w:r w:rsidRPr="00C222DC">
        <w:rPr>
          <w:rFonts w:ascii="Arial" w:hAnsi="Arial" w:cs="Arial"/>
          <w:sz w:val="26"/>
          <w:szCs w:val="26"/>
          <w:lang w:val="en-ZA"/>
        </w:rPr>
        <w:t>[</w:t>
      </w:r>
      <w:r w:rsidR="003705F6">
        <w:rPr>
          <w:rFonts w:ascii="Arial" w:hAnsi="Arial" w:cs="Arial"/>
          <w:sz w:val="26"/>
          <w:szCs w:val="26"/>
          <w:lang w:val="en-ZA"/>
        </w:rPr>
        <w:t>12</w:t>
      </w:r>
      <w:r w:rsidRPr="00C222DC">
        <w:rPr>
          <w:rFonts w:ascii="Arial" w:hAnsi="Arial" w:cs="Arial"/>
          <w:sz w:val="26"/>
          <w:szCs w:val="26"/>
          <w:lang w:val="en-ZA"/>
        </w:rPr>
        <w:t xml:space="preserve">] </w:t>
      </w:r>
      <w:r w:rsidRPr="00C222DC">
        <w:rPr>
          <w:rFonts w:ascii="Arial" w:hAnsi="Arial" w:cs="Arial"/>
          <w:sz w:val="26"/>
          <w:szCs w:val="26"/>
          <w:lang w:val="en-ZA"/>
        </w:rPr>
        <w:tab/>
      </w:r>
      <w:r w:rsidR="001E55FD">
        <w:rPr>
          <w:rFonts w:ascii="Arial" w:hAnsi="Arial" w:cs="Arial"/>
          <w:sz w:val="26"/>
          <w:szCs w:val="26"/>
          <w:lang w:val="en-ZA"/>
        </w:rPr>
        <w:t xml:space="preserve">Another significant distinguishing feature in my view, is that unlike in the </w:t>
      </w:r>
      <w:r w:rsidR="001E55FD">
        <w:rPr>
          <w:rFonts w:ascii="Arial" w:hAnsi="Arial" w:cs="Arial"/>
          <w:b/>
          <w:sz w:val="26"/>
          <w:szCs w:val="26"/>
          <w:lang w:val="en-ZA"/>
        </w:rPr>
        <w:t>Joseph’s</w:t>
      </w:r>
      <w:r w:rsidR="001E55FD">
        <w:rPr>
          <w:rFonts w:ascii="Arial" w:hAnsi="Arial" w:cs="Arial"/>
          <w:i/>
          <w:sz w:val="26"/>
          <w:szCs w:val="26"/>
          <w:lang w:val="en-ZA"/>
        </w:rPr>
        <w:t xml:space="preserve"> </w:t>
      </w:r>
      <w:r w:rsidR="001E55FD" w:rsidRPr="001E55FD">
        <w:rPr>
          <w:rFonts w:ascii="Arial" w:hAnsi="Arial" w:cs="Arial"/>
          <w:sz w:val="26"/>
          <w:szCs w:val="26"/>
          <w:lang w:val="en-ZA"/>
        </w:rPr>
        <w:t>matter, the respondents did not</w:t>
      </w:r>
      <w:r w:rsidR="001E55FD">
        <w:rPr>
          <w:rFonts w:ascii="Arial" w:hAnsi="Arial" w:cs="Arial"/>
          <w:sz w:val="26"/>
          <w:szCs w:val="26"/>
          <w:lang w:val="en-ZA"/>
        </w:rPr>
        <w:t xml:space="preserve"> set out to disconnect the supply of electricity</w:t>
      </w:r>
      <w:r w:rsidR="00AE0218">
        <w:rPr>
          <w:rFonts w:ascii="Arial" w:hAnsi="Arial" w:cs="Arial"/>
          <w:sz w:val="26"/>
          <w:szCs w:val="26"/>
          <w:lang w:val="en-ZA"/>
        </w:rPr>
        <w:t xml:space="preserve"> on their own</w:t>
      </w:r>
      <w:r w:rsidR="001E55FD">
        <w:rPr>
          <w:rFonts w:ascii="Arial" w:hAnsi="Arial" w:cs="Arial"/>
          <w:sz w:val="26"/>
          <w:szCs w:val="26"/>
          <w:lang w:val="en-ZA"/>
        </w:rPr>
        <w:t xml:space="preserve">, did not strictly speaking take a decision, based on failure to pay for rates and services. The respondents were instructed by the title holder of </w:t>
      </w:r>
      <w:r w:rsidR="00AE0218">
        <w:rPr>
          <w:rFonts w:ascii="Arial" w:hAnsi="Arial" w:cs="Arial"/>
          <w:sz w:val="26"/>
          <w:szCs w:val="26"/>
          <w:lang w:val="en-ZA"/>
        </w:rPr>
        <w:t xml:space="preserve">the property, with whom </w:t>
      </w:r>
      <w:r w:rsidR="001E55FD">
        <w:rPr>
          <w:rFonts w:ascii="Arial" w:hAnsi="Arial" w:cs="Arial"/>
          <w:sz w:val="26"/>
          <w:szCs w:val="26"/>
          <w:lang w:val="en-ZA"/>
        </w:rPr>
        <w:t>they had a contract</w:t>
      </w:r>
      <w:r w:rsidR="00AE0218">
        <w:rPr>
          <w:rFonts w:ascii="Arial" w:hAnsi="Arial" w:cs="Arial"/>
          <w:sz w:val="26"/>
          <w:szCs w:val="26"/>
          <w:lang w:val="en-ZA"/>
        </w:rPr>
        <w:t>,</w:t>
      </w:r>
      <w:r w:rsidR="001E55FD">
        <w:rPr>
          <w:rFonts w:ascii="Arial" w:hAnsi="Arial" w:cs="Arial"/>
          <w:sz w:val="26"/>
          <w:szCs w:val="26"/>
          <w:lang w:val="en-ZA"/>
        </w:rPr>
        <w:t xml:space="preserve"> to do so. She certainly did not require</w:t>
      </w:r>
      <w:r w:rsidR="00AE0218">
        <w:rPr>
          <w:rFonts w:ascii="Arial" w:hAnsi="Arial" w:cs="Arial"/>
          <w:sz w:val="26"/>
          <w:szCs w:val="26"/>
          <w:lang w:val="en-ZA"/>
        </w:rPr>
        <w:t xml:space="preserve"> a</w:t>
      </w:r>
      <w:r w:rsidR="001E55FD">
        <w:rPr>
          <w:rFonts w:ascii="Arial" w:hAnsi="Arial" w:cs="Arial"/>
          <w:sz w:val="26"/>
          <w:szCs w:val="26"/>
          <w:lang w:val="en-ZA"/>
        </w:rPr>
        <w:t xml:space="preserve"> pre disconnection notice. </w:t>
      </w:r>
      <w:r w:rsidR="00AE0218">
        <w:rPr>
          <w:rFonts w:ascii="Arial" w:hAnsi="Arial" w:cs="Arial"/>
          <w:sz w:val="26"/>
          <w:szCs w:val="26"/>
          <w:lang w:val="en-ZA"/>
        </w:rPr>
        <w:t xml:space="preserve">Because </w:t>
      </w:r>
      <w:r w:rsidR="004A5AB4">
        <w:rPr>
          <w:rFonts w:ascii="Arial" w:hAnsi="Arial" w:cs="Arial"/>
          <w:sz w:val="26"/>
          <w:szCs w:val="26"/>
          <w:lang w:val="en-ZA"/>
        </w:rPr>
        <w:t>she</w:t>
      </w:r>
      <w:r w:rsidR="00AE0218">
        <w:rPr>
          <w:rFonts w:ascii="Arial" w:hAnsi="Arial" w:cs="Arial"/>
          <w:sz w:val="26"/>
          <w:szCs w:val="26"/>
          <w:lang w:val="en-ZA"/>
        </w:rPr>
        <w:t xml:space="preserve"> requested the disconnection of electricity to the premises. </w:t>
      </w:r>
      <w:r w:rsidR="001E55FD">
        <w:rPr>
          <w:rFonts w:ascii="Arial" w:hAnsi="Arial" w:cs="Arial"/>
          <w:sz w:val="26"/>
          <w:szCs w:val="26"/>
          <w:lang w:val="en-ZA"/>
        </w:rPr>
        <w:t>It is therefore my view that the respondents were not performing an administrative act but in compliance with an instruction by the title holder</w:t>
      </w:r>
      <w:r w:rsidR="00927D8A">
        <w:rPr>
          <w:rFonts w:ascii="Arial" w:hAnsi="Arial" w:cs="Arial"/>
          <w:sz w:val="26"/>
          <w:szCs w:val="26"/>
          <w:lang w:val="en-ZA"/>
        </w:rPr>
        <w:t xml:space="preserve"> to suspend the supply of electricity to the property. </w:t>
      </w:r>
      <w:r w:rsidR="001E55FD">
        <w:rPr>
          <w:rFonts w:ascii="Arial" w:hAnsi="Arial" w:cs="Arial"/>
          <w:i/>
          <w:sz w:val="26"/>
          <w:szCs w:val="26"/>
          <w:lang w:val="en-ZA"/>
        </w:rPr>
        <w:t xml:space="preserve"> </w:t>
      </w:r>
    </w:p>
    <w:p w14:paraId="74591ACD" w14:textId="0F1779E9" w:rsidR="00927D8A" w:rsidRDefault="003705F6" w:rsidP="00F45C84">
      <w:pPr>
        <w:spacing w:before="240" w:line="360" w:lineRule="auto"/>
        <w:jc w:val="both"/>
        <w:rPr>
          <w:rFonts w:ascii="Arial" w:hAnsi="Arial" w:cs="Arial"/>
          <w:sz w:val="26"/>
          <w:szCs w:val="26"/>
          <w:lang w:val="en-ZA"/>
        </w:rPr>
      </w:pPr>
      <w:r w:rsidRPr="00927D8A">
        <w:rPr>
          <w:rFonts w:ascii="Arial" w:hAnsi="Arial" w:cs="Arial"/>
          <w:sz w:val="26"/>
          <w:szCs w:val="26"/>
          <w:lang w:val="en-ZA"/>
        </w:rPr>
        <w:t>[1</w:t>
      </w:r>
      <w:r w:rsidR="00927D8A">
        <w:rPr>
          <w:rFonts w:ascii="Arial" w:hAnsi="Arial" w:cs="Arial"/>
          <w:sz w:val="26"/>
          <w:szCs w:val="26"/>
          <w:lang w:val="en-ZA"/>
        </w:rPr>
        <w:t>3</w:t>
      </w:r>
      <w:r w:rsidR="00225EDB" w:rsidRPr="00927D8A">
        <w:rPr>
          <w:rFonts w:ascii="Arial" w:hAnsi="Arial" w:cs="Arial"/>
          <w:sz w:val="26"/>
          <w:szCs w:val="26"/>
          <w:lang w:val="en-ZA"/>
        </w:rPr>
        <w:t xml:space="preserve">] </w:t>
      </w:r>
      <w:r w:rsidR="00225EDB" w:rsidRPr="00927D8A">
        <w:rPr>
          <w:rFonts w:ascii="Arial" w:hAnsi="Arial" w:cs="Arial"/>
          <w:sz w:val="26"/>
          <w:szCs w:val="26"/>
          <w:lang w:val="en-ZA"/>
        </w:rPr>
        <w:tab/>
      </w:r>
      <w:r w:rsidR="00927D8A">
        <w:rPr>
          <w:rFonts w:ascii="Arial" w:hAnsi="Arial" w:cs="Arial"/>
          <w:sz w:val="26"/>
          <w:szCs w:val="26"/>
          <w:lang w:val="en-ZA"/>
        </w:rPr>
        <w:t xml:space="preserve">Furthermore, those that were found in the premises were informed of the reason for the disconnection and shown the letter from </w:t>
      </w:r>
      <w:r w:rsidR="00927D8A">
        <w:rPr>
          <w:rFonts w:ascii="Arial" w:hAnsi="Arial" w:cs="Arial"/>
          <w:b/>
          <w:sz w:val="26"/>
          <w:szCs w:val="26"/>
          <w:lang w:val="en-ZA"/>
        </w:rPr>
        <w:t xml:space="preserve">Ms </w:t>
      </w:r>
      <w:proofErr w:type="spellStart"/>
      <w:r w:rsidR="00927D8A">
        <w:rPr>
          <w:rFonts w:ascii="Arial" w:hAnsi="Arial" w:cs="Arial"/>
          <w:b/>
          <w:sz w:val="26"/>
          <w:szCs w:val="26"/>
          <w:lang w:val="en-ZA"/>
        </w:rPr>
        <w:t>Nyezi</w:t>
      </w:r>
      <w:proofErr w:type="spellEnd"/>
      <w:r w:rsidR="00927D8A">
        <w:rPr>
          <w:rFonts w:ascii="Arial" w:hAnsi="Arial" w:cs="Arial"/>
          <w:sz w:val="26"/>
          <w:szCs w:val="26"/>
          <w:lang w:val="en-ZA"/>
        </w:rPr>
        <w:t>. The dispute of fact in this rega</w:t>
      </w:r>
      <w:r w:rsidR="00AE0218">
        <w:rPr>
          <w:rFonts w:ascii="Arial" w:hAnsi="Arial" w:cs="Arial"/>
          <w:sz w:val="26"/>
          <w:szCs w:val="26"/>
          <w:lang w:val="en-ZA"/>
        </w:rPr>
        <w:t>rd is resolved on the basis of what was stated in</w:t>
      </w:r>
      <w:r w:rsidR="00927D8A">
        <w:rPr>
          <w:rFonts w:ascii="Arial" w:hAnsi="Arial" w:cs="Arial"/>
          <w:sz w:val="26"/>
          <w:szCs w:val="26"/>
          <w:lang w:val="en-ZA"/>
        </w:rPr>
        <w:t xml:space="preserve"> </w:t>
      </w:r>
      <w:r w:rsidR="00927D8A">
        <w:rPr>
          <w:rFonts w:ascii="Arial" w:hAnsi="Arial" w:cs="Arial"/>
          <w:b/>
          <w:i/>
          <w:sz w:val="26"/>
          <w:szCs w:val="26"/>
          <w:lang w:val="en-ZA"/>
        </w:rPr>
        <w:t xml:space="preserve">NDPP v </w:t>
      </w:r>
      <w:proofErr w:type="spellStart"/>
      <w:r w:rsidR="00927D8A">
        <w:rPr>
          <w:rFonts w:ascii="Arial" w:hAnsi="Arial" w:cs="Arial"/>
          <w:b/>
          <w:i/>
          <w:sz w:val="26"/>
          <w:szCs w:val="26"/>
          <w:lang w:val="en-ZA"/>
        </w:rPr>
        <w:t>Zuma</w:t>
      </w:r>
      <w:proofErr w:type="spellEnd"/>
      <w:r w:rsidR="00AE0218" w:rsidRPr="00AE0218">
        <w:rPr>
          <w:rStyle w:val="FootnoteReference"/>
          <w:rFonts w:ascii="Arial" w:hAnsi="Arial" w:cs="Arial"/>
          <w:sz w:val="26"/>
          <w:szCs w:val="26"/>
          <w:lang w:val="en-ZA"/>
        </w:rPr>
        <w:footnoteReference w:id="7"/>
      </w:r>
      <w:r w:rsidR="00927D8A">
        <w:rPr>
          <w:rFonts w:ascii="Arial" w:hAnsi="Arial" w:cs="Arial"/>
          <w:sz w:val="26"/>
          <w:szCs w:val="26"/>
          <w:lang w:val="en-ZA"/>
        </w:rPr>
        <w:t xml:space="preserve"> regarding the dispute whether the appellants or some of them were informed of the reason for the disconnection of electricity</w:t>
      </w:r>
      <w:r w:rsidR="00AE0218">
        <w:rPr>
          <w:rFonts w:ascii="Arial" w:hAnsi="Arial" w:cs="Arial"/>
          <w:sz w:val="26"/>
          <w:szCs w:val="26"/>
          <w:lang w:val="en-ZA"/>
        </w:rPr>
        <w:t xml:space="preserve"> and whether there was a real dispute in this regard</w:t>
      </w:r>
      <w:r w:rsidR="00927D8A">
        <w:rPr>
          <w:rFonts w:ascii="Arial" w:hAnsi="Arial" w:cs="Arial"/>
          <w:sz w:val="26"/>
          <w:szCs w:val="26"/>
          <w:lang w:val="en-ZA"/>
        </w:rPr>
        <w:t xml:space="preserve">. In my view, the applicants have not succeeded in establishing that they have </w:t>
      </w:r>
      <w:r w:rsidR="00927D8A">
        <w:rPr>
          <w:rFonts w:ascii="Arial" w:hAnsi="Arial" w:cs="Arial"/>
          <w:i/>
          <w:sz w:val="26"/>
          <w:szCs w:val="26"/>
          <w:lang w:val="en-ZA"/>
        </w:rPr>
        <w:t>prima facie</w:t>
      </w:r>
      <w:r w:rsidR="00927D8A">
        <w:rPr>
          <w:rFonts w:ascii="Arial" w:hAnsi="Arial" w:cs="Arial"/>
          <w:sz w:val="26"/>
          <w:szCs w:val="26"/>
          <w:lang w:val="en-ZA"/>
        </w:rPr>
        <w:t xml:space="preserve"> right requiring protection </w:t>
      </w:r>
      <w:r w:rsidR="00927D8A">
        <w:rPr>
          <w:rFonts w:ascii="Arial" w:hAnsi="Arial" w:cs="Arial"/>
          <w:i/>
          <w:sz w:val="26"/>
          <w:szCs w:val="26"/>
          <w:lang w:val="en-ZA"/>
        </w:rPr>
        <w:t xml:space="preserve">vis-à-vis </w:t>
      </w:r>
      <w:r w:rsidR="00927D8A">
        <w:rPr>
          <w:rFonts w:ascii="Arial" w:hAnsi="Arial" w:cs="Arial"/>
          <w:sz w:val="26"/>
          <w:szCs w:val="26"/>
          <w:lang w:val="en-ZA"/>
        </w:rPr>
        <w:t>the respondents. I do not believe that the applicants enjoy prospects of success of being successful in Part B</w:t>
      </w:r>
      <w:r w:rsidR="00AE0218">
        <w:rPr>
          <w:rFonts w:ascii="Arial" w:hAnsi="Arial" w:cs="Arial"/>
          <w:sz w:val="26"/>
          <w:szCs w:val="26"/>
          <w:lang w:val="en-ZA"/>
        </w:rPr>
        <w:t xml:space="preserve"> of the application</w:t>
      </w:r>
      <w:r w:rsidR="00927D8A">
        <w:rPr>
          <w:rFonts w:ascii="Arial" w:hAnsi="Arial" w:cs="Arial"/>
          <w:sz w:val="26"/>
          <w:szCs w:val="26"/>
          <w:lang w:val="en-ZA"/>
        </w:rPr>
        <w:t xml:space="preserve">. </w:t>
      </w:r>
    </w:p>
    <w:p w14:paraId="0F4FFDA6" w14:textId="67B0113C" w:rsidR="00225EDB" w:rsidRPr="00927D8A" w:rsidRDefault="00927D8A" w:rsidP="00F45C84">
      <w:pPr>
        <w:spacing w:before="240" w:line="360" w:lineRule="auto"/>
        <w:jc w:val="both"/>
        <w:rPr>
          <w:rFonts w:ascii="Arial" w:hAnsi="Arial" w:cs="Arial"/>
          <w:b/>
          <w:sz w:val="26"/>
          <w:szCs w:val="26"/>
          <w:lang w:val="en-ZA"/>
        </w:rPr>
      </w:pPr>
      <w:r w:rsidRPr="00927D8A">
        <w:rPr>
          <w:rFonts w:ascii="Arial" w:hAnsi="Arial" w:cs="Arial"/>
          <w:b/>
          <w:sz w:val="26"/>
          <w:szCs w:val="26"/>
          <w:lang w:val="en-ZA"/>
        </w:rPr>
        <w:t xml:space="preserve">[14] </w:t>
      </w:r>
      <w:r w:rsidRPr="00927D8A">
        <w:rPr>
          <w:rFonts w:ascii="Arial" w:hAnsi="Arial" w:cs="Arial"/>
          <w:b/>
          <w:sz w:val="26"/>
          <w:szCs w:val="26"/>
          <w:lang w:val="en-ZA"/>
        </w:rPr>
        <w:tab/>
        <w:t xml:space="preserve">Accordingly, the application is dismissed with costs. </w:t>
      </w:r>
    </w:p>
    <w:p w14:paraId="15884299" w14:textId="44C8D673" w:rsidR="00C463B0" w:rsidRDefault="00C463B0" w:rsidP="00915CAF">
      <w:pPr>
        <w:jc w:val="both"/>
        <w:rPr>
          <w:rFonts w:ascii="Arial" w:hAnsi="Arial" w:cs="Arial"/>
          <w:b/>
          <w:sz w:val="26"/>
          <w:szCs w:val="26"/>
        </w:rPr>
      </w:pPr>
    </w:p>
    <w:p w14:paraId="67D7CA79" w14:textId="5F8B38A1" w:rsidR="00C463B0" w:rsidRDefault="00C463B0" w:rsidP="00915CAF">
      <w:pPr>
        <w:jc w:val="both"/>
        <w:rPr>
          <w:rFonts w:ascii="Arial" w:hAnsi="Arial" w:cs="Arial"/>
          <w:b/>
          <w:sz w:val="26"/>
          <w:szCs w:val="26"/>
        </w:rPr>
      </w:pPr>
    </w:p>
    <w:p w14:paraId="7B086727" w14:textId="4BB04BB7" w:rsidR="00225EDB" w:rsidRDefault="00225EDB" w:rsidP="00915CAF">
      <w:pPr>
        <w:jc w:val="both"/>
        <w:rPr>
          <w:rFonts w:ascii="Arial" w:hAnsi="Arial" w:cs="Arial"/>
          <w:b/>
          <w:sz w:val="26"/>
          <w:szCs w:val="26"/>
        </w:rPr>
      </w:pPr>
    </w:p>
    <w:p w14:paraId="0549FC48" w14:textId="4618A5BE"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7B2E1B" w:rsidRDefault="00370E10" w:rsidP="007B2E1B">
      <w:pPr>
        <w:jc w:val="both"/>
        <w:rPr>
          <w:rFonts w:ascii="Arial" w:hAnsi="Arial" w:cs="Arial"/>
          <w:b/>
          <w:sz w:val="22"/>
          <w:szCs w:val="22"/>
        </w:rPr>
      </w:pPr>
      <w:r w:rsidRPr="007B2E1B">
        <w:rPr>
          <w:rFonts w:ascii="Arial" w:hAnsi="Arial" w:cs="Arial"/>
          <w:b/>
          <w:sz w:val="22"/>
          <w:szCs w:val="22"/>
        </w:rPr>
        <w:t>N</w:t>
      </w:r>
      <w:r w:rsidR="005C1704" w:rsidRPr="007B2E1B">
        <w:rPr>
          <w:rFonts w:ascii="Arial" w:hAnsi="Arial" w:cs="Arial"/>
          <w:b/>
          <w:sz w:val="22"/>
          <w:szCs w:val="22"/>
        </w:rPr>
        <w:t xml:space="preserve"> </w:t>
      </w:r>
      <w:r w:rsidR="0057684C" w:rsidRPr="007B2E1B">
        <w:rPr>
          <w:rFonts w:ascii="Arial" w:hAnsi="Arial" w:cs="Arial"/>
          <w:b/>
          <w:sz w:val="22"/>
          <w:szCs w:val="22"/>
        </w:rPr>
        <w:t>G BESHE</w:t>
      </w:r>
    </w:p>
    <w:p w14:paraId="36929DBA" w14:textId="77777777" w:rsidR="00355F8B" w:rsidRPr="007B2E1B" w:rsidRDefault="0057684C" w:rsidP="007B2E1B">
      <w:pPr>
        <w:jc w:val="both"/>
        <w:rPr>
          <w:rFonts w:ascii="Arial" w:hAnsi="Arial" w:cs="Arial"/>
          <w:b/>
          <w:sz w:val="22"/>
          <w:szCs w:val="22"/>
        </w:rPr>
      </w:pPr>
      <w:r w:rsidRPr="007B2E1B">
        <w:rPr>
          <w:rFonts w:ascii="Arial" w:hAnsi="Arial" w:cs="Arial"/>
          <w:b/>
          <w:sz w:val="22"/>
          <w:szCs w:val="22"/>
        </w:rPr>
        <w:t>JUDGE OF THE HIGH COURT</w:t>
      </w:r>
    </w:p>
    <w:p w14:paraId="794D3947" w14:textId="77777777" w:rsidR="004A5AB4" w:rsidRDefault="004A5AB4" w:rsidP="00B4275B">
      <w:pPr>
        <w:jc w:val="both"/>
        <w:rPr>
          <w:b/>
          <w:sz w:val="22"/>
          <w:szCs w:val="22"/>
          <w:u w:val="single"/>
          <w:lang w:val="en-ZA"/>
        </w:rPr>
      </w:pPr>
    </w:p>
    <w:p w14:paraId="6271D83E" w14:textId="77777777" w:rsidR="004A5AB4" w:rsidRDefault="004A5AB4" w:rsidP="00B4275B">
      <w:pPr>
        <w:jc w:val="both"/>
        <w:rPr>
          <w:b/>
          <w:sz w:val="22"/>
          <w:szCs w:val="22"/>
          <w:u w:val="single"/>
          <w:lang w:val="en-ZA"/>
        </w:rPr>
      </w:pPr>
    </w:p>
    <w:p w14:paraId="31E401E3" w14:textId="77777777" w:rsidR="004A5AB4" w:rsidRDefault="004A5AB4" w:rsidP="00B4275B">
      <w:pPr>
        <w:jc w:val="both"/>
        <w:rPr>
          <w:b/>
          <w:sz w:val="22"/>
          <w:szCs w:val="22"/>
          <w:u w:val="single"/>
          <w:lang w:val="en-ZA"/>
        </w:rPr>
      </w:pPr>
    </w:p>
    <w:p w14:paraId="073C4FAE" w14:textId="77777777" w:rsidR="004A5AB4" w:rsidRDefault="004A5AB4" w:rsidP="00B4275B">
      <w:pPr>
        <w:jc w:val="both"/>
        <w:rPr>
          <w:b/>
          <w:sz w:val="22"/>
          <w:szCs w:val="22"/>
          <w:u w:val="single"/>
          <w:lang w:val="en-ZA"/>
        </w:rPr>
      </w:pPr>
    </w:p>
    <w:p w14:paraId="551345E1" w14:textId="77777777" w:rsidR="004A5AB4" w:rsidRDefault="004A5AB4" w:rsidP="00B4275B">
      <w:pPr>
        <w:jc w:val="both"/>
        <w:rPr>
          <w:b/>
          <w:sz w:val="22"/>
          <w:szCs w:val="22"/>
          <w:u w:val="single"/>
          <w:lang w:val="en-ZA"/>
        </w:rPr>
      </w:pPr>
    </w:p>
    <w:p w14:paraId="71AC311A" w14:textId="77777777" w:rsidR="004A5AB4" w:rsidRDefault="004A5AB4" w:rsidP="00B4275B">
      <w:pPr>
        <w:jc w:val="both"/>
        <w:rPr>
          <w:b/>
          <w:sz w:val="22"/>
          <w:szCs w:val="22"/>
          <w:u w:val="single"/>
          <w:lang w:val="en-ZA"/>
        </w:rPr>
      </w:pPr>
    </w:p>
    <w:p w14:paraId="77785A86" w14:textId="77777777" w:rsidR="004A5AB4" w:rsidRDefault="004A5AB4" w:rsidP="00B4275B">
      <w:pPr>
        <w:jc w:val="both"/>
        <w:rPr>
          <w:b/>
          <w:sz w:val="22"/>
          <w:szCs w:val="22"/>
          <w:u w:val="single"/>
          <w:lang w:val="en-ZA"/>
        </w:rPr>
      </w:pPr>
    </w:p>
    <w:p w14:paraId="613237C6" w14:textId="77777777" w:rsidR="004A5AB4" w:rsidRDefault="004A5AB4" w:rsidP="00B4275B">
      <w:pPr>
        <w:jc w:val="both"/>
        <w:rPr>
          <w:b/>
          <w:sz w:val="22"/>
          <w:szCs w:val="22"/>
          <w:u w:val="single"/>
          <w:lang w:val="en-ZA"/>
        </w:rPr>
      </w:pPr>
    </w:p>
    <w:p w14:paraId="0E395DC2" w14:textId="77777777" w:rsidR="004A5AB4" w:rsidRDefault="004A5AB4" w:rsidP="00B4275B">
      <w:pPr>
        <w:jc w:val="both"/>
        <w:rPr>
          <w:b/>
          <w:sz w:val="22"/>
          <w:szCs w:val="22"/>
          <w:u w:val="single"/>
          <w:lang w:val="en-ZA"/>
        </w:rPr>
      </w:pPr>
    </w:p>
    <w:p w14:paraId="37573C2C" w14:textId="77777777" w:rsidR="004A5AB4" w:rsidRDefault="004A5AB4" w:rsidP="00B4275B">
      <w:pPr>
        <w:jc w:val="both"/>
        <w:rPr>
          <w:b/>
          <w:sz w:val="22"/>
          <w:szCs w:val="22"/>
          <w:u w:val="single"/>
          <w:lang w:val="en-ZA"/>
        </w:rPr>
      </w:pPr>
    </w:p>
    <w:p w14:paraId="31A4EDAE" w14:textId="77777777" w:rsidR="004A5AB4" w:rsidRDefault="004A5AB4" w:rsidP="00B4275B">
      <w:pPr>
        <w:jc w:val="both"/>
        <w:rPr>
          <w:b/>
          <w:sz w:val="22"/>
          <w:szCs w:val="22"/>
          <w:u w:val="single"/>
          <w:lang w:val="en-ZA"/>
        </w:rPr>
      </w:pPr>
    </w:p>
    <w:p w14:paraId="285E1458" w14:textId="77777777" w:rsidR="004A5AB4" w:rsidRDefault="004A5AB4" w:rsidP="00B4275B">
      <w:pPr>
        <w:jc w:val="both"/>
        <w:rPr>
          <w:b/>
          <w:sz w:val="22"/>
          <w:szCs w:val="22"/>
          <w:u w:val="single"/>
          <w:lang w:val="en-ZA"/>
        </w:rPr>
      </w:pPr>
    </w:p>
    <w:p w14:paraId="1B05BEB0" w14:textId="77777777" w:rsidR="004A5AB4" w:rsidRDefault="004A5AB4" w:rsidP="00B4275B">
      <w:pPr>
        <w:jc w:val="both"/>
        <w:rPr>
          <w:b/>
          <w:sz w:val="22"/>
          <w:szCs w:val="22"/>
          <w:u w:val="single"/>
          <w:lang w:val="en-ZA"/>
        </w:rPr>
      </w:pPr>
    </w:p>
    <w:p w14:paraId="6613D381" w14:textId="77777777" w:rsidR="004A5AB4" w:rsidRDefault="004A5AB4" w:rsidP="00B4275B">
      <w:pPr>
        <w:jc w:val="both"/>
        <w:rPr>
          <w:b/>
          <w:sz w:val="22"/>
          <w:szCs w:val="22"/>
          <w:u w:val="single"/>
          <w:lang w:val="en-ZA"/>
        </w:rPr>
      </w:pPr>
    </w:p>
    <w:p w14:paraId="6D49CC25" w14:textId="77777777" w:rsidR="004A5AB4" w:rsidRDefault="004A5AB4" w:rsidP="00B4275B">
      <w:pPr>
        <w:jc w:val="both"/>
        <w:rPr>
          <w:b/>
          <w:sz w:val="22"/>
          <w:szCs w:val="22"/>
          <w:u w:val="single"/>
          <w:lang w:val="en-ZA"/>
        </w:rPr>
      </w:pPr>
    </w:p>
    <w:p w14:paraId="6970901E" w14:textId="77777777" w:rsidR="004A5AB4" w:rsidRDefault="004A5AB4" w:rsidP="00B4275B">
      <w:pPr>
        <w:jc w:val="both"/>
        <w:rPr>
          <w:b/>
          <w:sz w:val="22"/>
          <w:szCs w:val="22"/>
          <w:u w:val="single"/>
          <w:lang w:val="en-ZA"/>
        </w:rPr>
      </w:pPr>
    </w:p>
    <w:p w14:paraId="0DD5FB82" w14:textId="77777777" w:rsidR="004A5AB4" w:rsidRDefault="004A5AB4" w:rsidP="00B4275B">
      <w:pPr>
        <w:jc w:val="both"/>
        <w:rPr>
          <w:b/>
          <w:sz w:val="22"/>
          <w:szCs w:val="22"/>
          <w:u w:val="single"/>
          <w:lang w:val="en-ZA"/>
        </w:rPr>
      </w:pPr>
    </w:p>
    <w:p w14:paraId="12299B75" w14:textId="77777777" w:rsidR="004A5AB4" w:rsidRDefault="004A5AB4" w:rsidP="00B4275B">
      <w:pPr>
        <w:jc w:val="both"/>
        <w:rPr>
          <w:b/>
          <w:sz w:val="22"/>
          <w:szCs w:val="22"/>
          <w:u w:val="single"/>
          <w:lang w:val="en-ZA"/>
        </w:rPr>
      </w:pPr>
    </w:p>
    <w:p w14:paraId="680B389E" w14:textId="77777777" w:rsidR="004A5AB4" w:rsidRDefault="004A5AB4" w:rsidP="00B4275B">
      <w:pPr>
        <w:jc w:val="both"/>
        <w:rPr>
          <w:b/>
          <w:sz w:val="22"/>
          <w:szCs w:val="22"/>
          <w:u w:val="single"/>
          <w:lang w:val="en-ZA"/>
        </w:rPr>
      </w:pPr>
    </w:p>
    <w:p w14:paraId="4A0BB5CD" w14:textId="77777777" w:rsidR="004A5AB4" w:rsidRDefault="004A5AB4" w:rsidP="00B4275B">
      <w:pPr>
        <w:jc w:val="both"/>
        <w:rPr>
          <w:b/>
          <w:sz w:val="22"/>
          <w:szCs w:val="22"/>
          <w:u w:val="single"/>
          <w:lang w:val="en-ZA"/>
        </w:rPr>
      </w:pPr>
    </w:p>
    <w:p w14:paraId="76A0493D" w14:textId="77777777" w:rsidR="004A5AB4" w:rsidRDefault="004A5AB4" w:rsidP="00B4275B">
      <w:pPr>
        <w:jc w:val="both"/>
        <w:rPr>
          <w:b/>
          <w:sz w:val="22"/>
          <w:szCs w:val="22"/>
          <w:u w:val="single"/>
          <w:lang w:val="en-ZA"/>
        </w:rPr>
      </w:pPr>
    </w:p>
    <w:p w14:paraId="55AE945C" w14:textId="77777777" w:rsidR="004A5AB4" w:rsidRDefault="004A5AB4" w:rsidP="00B4275B">
      <w:pPr>
        <w:jc w:val="both"/>
        <w:rPr>
          <w:b/>
          <w:sz w:val="22"/>
          <w:szCs w:val="22"/>
          <w:u w:val="single"/>
          <w:lang w:val="en-ZA"/>
        </w:rPr>
      </w:pPr>
    </w:p>
    <w:p w14:paraId="672DAAFC" w14:textId="77777777" w:rsidR="004A5AB4" w:rsidRDefault="004A5AB4" w:rsidP="00B4275B">
      <w:pPr>
        <w:jc w:val="both"/>
        <w:rPr>
          <w:b/>
          <w:sz w:val="22"/>
          <w:szCs w:val="22"/>
          <w:u w:val="single"/>
          <w:lang w:val="en-ZA"/>
        </w:rPr>
      </w:pPr>
    </w:p>
    <w:p w14:paraId="50AF2529" w14:textId="77777777" w:rsidR="004A5AB4" w:rsidRDefault="004A5AB4" w:rsidP="00B4275B">
      <w:pPr>
        <w:jc w:val="both"/>
        <w:rPr>
          <w:b/>
          <w:sz w:val="22"/>
          <w:szCs w:val="22"/>
          <w:u w:val="single"/>
          <w:lang w:val="en-ZA"/>
        </w:rPr>
      </w:pPr>
    </w:p>
    <w:p w14:paraId="1D1747F7" w14:textId="77777777" w:rsidR="004A5AB4" w:rsidRDefault="004A5AB4" w:rsidP="00B4275B">
      <w:pPr>
        <w:jc w:val="both"/>
        <w:rPr>
          <w:b/>
          <w:sz w:val="22"/>
          <w:szCs w:val="22"/>
          <w:u w:val="single"/>
          <w:lang w:val="en-ZA"/>
        </w:rPr>
      </w:pPr>
    </w:p>
    <w:p w14:paraId="49E3BD3C" w14:textId="77777777" w:rsidR="004A5AB4" w:rsidRDefault="004A5AB4" w:rsidP="00B4275B">
      <w:pPr>
        <w:jc w:val="both"/>
        <w:rPr>
          <w:b/>
          <w:sz w:val="22"/>
          <w:szCs w:val="22"/>
          <w:u w:val="single"/>
          <w:lang w:val="en-ZA"/>
        </w:rPr>
      </w:pPr>
    </w:p>
    <w:p w14:paraId="4AEDBF06" w14:textId="77777777" w:rsidR="004A5AB4" w:rsidRDefault="004A5AB4" w:rsidP="00B4275B">
      <w:pPr>
        <w:jc w:val="both"/>
        <w:rPr>
          <w:b/>
          <w:sz w:val="22"/>
          <w:szCs w:val="22"/>
          <w:u w:val="single"/>
          <w:lang w:val="en-ZA"/>
        </w:rPr>
      </w:pPr>
    </w:p>
    <w:p w14:paraId="6F90ABB3" w14:textId="77777777" w:rsidR="004A5AB4" w:rsidRDefault="004A5AB4" w:rsidP="00B4275B">
      <w:pPr>
        <w:jc w:val="both"/>
        <w:rPr>
          <w:b/>
          <w:sz w:val="22"/>
          <w:szCs w:val="22"/>
          <w:u w:val="single"/>
          <w:lang w:val="en-ZA"/>
        </w:rPr>
      </w:pPr>
    </w:p>
    <w:p w14:paraId="59B430D8" w14:textId="77777777" w:rsidR="004A5AB4" w:rsidRDefault="004A5AB4" w:rsidP="00B4275B">
      <w:pPr>
        <w:jc w:val="both"/>
        <w:rPr>
          <w:b/>
          <w:sz w:val="22"/>
          <w:szCs w:val="22"/>
          <w:u w:val="single"/>
          <w:lang w:val="en-ZA"/>
        </w:rPr>
      </w:pPr>
    </w:p>
    <w:p w14:paraId="05D1019A" w14:textId="77777777" w:rsidR="004A5AB4" w:rsidRDefault="004A5AB4" w:rsidP="00B4275B">
      <w:pPr>
        <w:jc w:val="both"/>
        <w:rPr>
          <w:b/>
          <w:sz w:val="22"/>
          <w:szCs w:val="22"/>
          <w:u w:val="single"/>
          <w:lang w:val="en-ZA"/>
        </w:rPr>
      </w:pPr>
    </w:p>
    <w:p w14:paraId="75ACE311" w14:textId="77777777" w:rsidR="004A5AB4" w:rsidRDefault="004A5AB4" w:rsidP="00B4275B">
      <w:pPr>
        <w:jc w:val="both"/>
        <w:rPr>
          <w:b/>
          <w:sz w:val="22"/>
          <w:szCs w:val="22"/>
          <w:u w:val="single"/>
          <w:lang w:val="en-ZA"/>
        </w:rPr>
      </w:pPr>
    </w:p>
    <w:p w14:paraId="673354E5" w14:textId="00CDE3E8" w:rsidR="00B4275B" w:rsidRPr="00B4275B" w:rsidRDefault="00B4275B" w:rsidP="00B4275B">
      <w:pPr>
        <w:jc w:val="both"/>
        <w:rPr>
          <w:sz w:val="22"/>
          <w:szCs w:val="22"/>
          <w:lang w:val="en-ZA"/>
        </w:rPr>
      </w:pPr>
      <w:r w:rsidRPr="00B4275B">
        <w:rPr>
          <w:b/>
          <w:sz w:val="22"/>
          <w:szCs w:val="22"/>
          <w:u w:val="single"/>
          <w:lang w:val="en-ZA"/>
        </w:rPr>
        <w:t>APPEARANCES</w:t>
      </w:r>
    </w:p>
    <w:p w14:paraId="374CCE0D" w14:textId="77777777" w:rsidR="00B4275B" w:rsidRPr="00B4275B" w:rsidRDefault="00B4275B" w:rsidP="00B4275B">
      <w:pPr>
        <w:spacing w:line="360" w:lineRule="auto"/>
        <w:jc w:val="both"/>
        <w:rPr>
          <w:sz w:val="22"/>
          <w:szCs w:val="22"/>
          <w:lang w:val="en-ZA"/>
        </w:rPr>
      </w:pPr>
    </w:p>
    <w:p w14:paraId="1889A20A" w14:textId="684D1E6C" w:rsidR="00B4275B" w:rsidRPr="00B4275B" w:rsidRDefault="00B4275B" w:rsidP="00B4275B">
      <w:pPr>
        <w:spacing w:line="360" w:lineRule="auto"/>
        <w:jc w:val="both"/>
        <w:rPr>
          <w:sz w:val="22"/>
          <w:szCs w:val="22"/>
          <w:lang w:val="en-ZA"/>
        </w:rPr>
      </w:pPr>
      <w:r w:rsidRPr="00B4275B">
        <w:rPr>
          <w:sz w:val="22"/>
          <w:szCs w:val="22"/>
          <w:lang w:val="en-ZA"/>
        </w:rPr>
        <w:t xml:space="preserve">For the </w:t>
      </w:r>
      <w:r w:rsidR="00470CD7">
        <w:rPr>
          <w:sz w:val="22"/>
          <w:szCs w:val="22"/>
          <w:lang w:val="en-ZA"/>
        </w:rPr>
        <w:t>Applicant</w:t>
      </w:r>
      <w:r w:rsidR="0081758E">
        <w:rPr>
          <w:sz w:val="22"/>
          <w:szCs w:val="22"/>
          <w:lang w:val="en-ZA"/>
        </w:rPr>
        <w:t>s</w:t>
      </w:r>
      <w:r w:rsidR="00470CD7">
        <w:rPr>
          <w:sz w:val="22"/>
          <w:szCs w:val="22"/>
          <w:lang w:val="en-ZA"/>
        </w:rPr>
        <w:t xml:space="preserve"> </w:t>
      </w:r>
      <w:r w:rsidR="00F45C84">
        <w:rPr>
          <w:sz w:val="22"/>
          <w:szCs w:val="22"/>
          <w:lang w:val="en-ZA"/>
        </w:rPr>
        <w:tab/>
      </w:r>
      <w:r w:rsidRPr="00B4275B">
        <w:rPr>
          <w:sz w:val="22"/>
          <w:szCs w:val="22"/>
          <w:lang w:val="en-ZA"/>
        </w:rPr>
        <w:t xml:space="preserve">: </w:t>
      </w:r>
      <w:r w:rsidR="00D64129">
        <w:rPr>
          <w:sz w:val="22"/>
          <w:szCs w:val="22"/>
          <w:lang w:val="en-ZA"/>
        </w:rPr>
        <w:tab/>
      </w:r>
      <w:proofErr w:type="spellStart"/>
      <w:r w:rsidR="0081758E">
        <w:rPr>
          <w:sz w:val="22"/>
          <w:szCs w:val="22"/>
          <w:lang w:val="en-ZA"/>
        </w:rPr>
        <w:t>Adv</w:t>
      </w:r>
      <w:proofErr w:type="spellEnd"/>
      <w:r w:rsidR="0081758E">
        <w:rPr>
          <w:sz w:val="22"/>
          <w:szCs w:val="22"/>
          <w:lang w:val="en-ZA"/>
        </w:rPr>
        <w:t xml:space="preserve">: D </w:t>
      </w:r>
      <w:proofErr w:type="spellStart"/>
      <w:r w:rsidR="0081758E">
        <w:rPr>
          <w:sz w:val="22"/>
          <w:szCs w:val="22"/>
          <w:lang w:val="en-ZA"/>
        </w:rPr>
        <w:t>Skoti</w:t>
      </w:r>
      <w:proofErr w:type="spellEnd"/>
      <w:r w:rsidR="000C560F">
        <w:rPr>
          <w:sz w:val="22"/>
          <w:szCs w:val="22"/>
          <w:lang w:val="en-ZA"/>
        </w:rPr>
        <w:t xml:space="preserve"> </w:t>
      </w:r>
    </w:p>
    <w:p w14:paraId="7E3B9535" w14:textId="495BC688" w:rsidR="00CF26AD" w:rsidRDefault="00B4275B" w:rsidP="00CF26AD">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00470CD7">
        <w:rPr>
          <w:sz w:val="22"/>
          <w:szCs w:val="22"/>
          <w:lang w:val="en-ZA"/>
        </w:rPr>
        <w:tab/>
      </w:r>
      <w:r w:rsidRPr="00B4275B">
        <w:rPr>
          <w:sz w:val="22"/>
          <w:szCs w:val="22"/>
          <w:lang w:val="en-ZA"/>
        </w:rPr>
        <w:t>:</w:t>
      </w:r>
      <w:r w:rsidRPr="00B4275B">
        <w:rPr>
          <w:sz w:val="22"/>
          <w:szCs w:val="22"/>
          <w:lang w:val="en-ZA"/>
        </w:rPr>
        <w:tab/>
      </w:r>
      <w:r w:rsidR="00026917">
        <w:rPr>
          <w:sz w:val="22"/>
          <w:szCs w:val="22"/>
          <w:lang w:val="en-ZA"/>
        </w:rPr>
        <w:t>MESSRS SB BAVU ATT</w:t>
      </w:r>
      <w:r w:rsidR="00E94A34">
        <w:rPr>
          <w:sz w:val="22"/>
          <w:szCs w:val="22"/>
          <w:lang w:val="en-ZA"/>
        </w:rPr>
        <w:t>O</w:t>
      </w:r>
      <w:r w:rsidR="00026917">
        <w:rPr>
          <w:sz w:val="22"/>
          <w:szCs w:val="22"/>
          <w:lang w:val="en-ZA"/>
        </w:rPr>
        <w:t>RNEYS</w:t>
      </w:r>
    </w:p>
    <w:p w14:paraId="2130032F" w14:textId="59DA7A1C" w:rsidR="005C2563" w:rsidRPr="00F958F1" w:rsidRDefault="00CF26AD" w:rsidP="00CF26AD">
      <w:pPr>
        <w:spacing w:line="360" w:lineRule="auto"/>
        <w:ind w:left="2160" w:firstLine="720"/>
        <w:jc w:val="both"/>
        <w:rPr>
          <w:sz w:val="22"/>
          <w:szCs w:val="22"/>
          <w:lang w:val="en-ZA"/>
        </w:rPr>
      </w:pPr>
      <w:r>
        <w:rPr>
          <w:sz w:val="22"/>
          <w:szCs w:val="22"/>
          <w:lang w:val="en-ZA"/>
        </w:rPr>
        <w:t xml:space="preserve">C/o </w:t>
      </w:r>
      <w:r w:rsidR="00026917">
        <w:rPr>
          <w:sz w:val="22"/>
          <w:szCs w:val="22"/>
          <w:lang w:val="en-ZA"/>
        </w:rPr>
        <w:t>MGANGATHO</w:t>
      </w:r>
      <w:r>
        <w:rPr>
          <w:sz w:val="22"/>
          <w:szCs w:val="22"/>
          <w:lang w:val="en-ZA"/>
        </w:rPr>
        <w:t xml:space="preserve"> ATTORNEYS</w:t>
      </w:r>
    </w:p>
    <w:p w14:paraId="7C90A893" w14:textId="1B4414BD" w:rsidR="008C325E" w:rsidRDefault="00026917" w:rsidP="00CF26AD">
      <w:pPr>
        <w:spacing w:line="360" w:lineRule="auto"/>
        <w:ind w:left="2160" w:firstLine="720"/>
        <w:jc w:val="both"/>
        <w:rPr>
          <w:sz w:val="22"/>
          <w:szCs w:val="22"/>
          <w:lang w:val="en-ZA"/>
        </w:rPr>
      </w:pPr>
      <w:r>
        <w:rPr>
          <w:sz w:val="22"/>
          <w:szCs w:val="22"/>
          <w:lang w:val="en-ZA"/>
        </w:rPr>
        <w:t>7 Somerset Street</w:t>
      </w:r>
    </w:p>
    <w:p w14:paraId="071ABFC0" w14:textId="7AA370F6" w:rsidR="00B43D11" w:rsidRDefault="008C325E" w:rsidP="005C2563">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6E758A">
        <w:rPr>
          <w:sz w:val="22"/>
          <w:szCs w:val="22"/>
          <w:lang w:val="en-ZA"/>
        </w:rPr>
        <w:t>MAKHANDA</w:t>
      </w:r>
    </w:p>
    <w:p w14:paraId="283ACC0B" w14:textId="52236D3E"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proofErr w:type="spellStart"/>
      <w:r w:rsidR="00CF26AD">
        <w:rPr>
          <w:sz w:val="22"/>
          <w:szCs w:val="22"/>
          <w:lang w:val="en-ZA"/>
        </w:rPr>
        <w:t>Mr.</w:t>
      </w:r>
      <w:proofErr w:type="spellEnd"/>
      <w:r w:rsidR="00CF26AD">
        <w:rPr>
          <w:sz w:val="22"/>
          <w:szCs w:val="22"/>
          <w:lang w:val="en-ZA"/>
        </w:rPr>
        <w:t xml:space="preserve"> </w:t>
      </w:r>
      <w:proofErr w:type="spellStart"/>
      <w:r w:rsidR="00026917">
        <w:rPr>
          <w:sz w:val="22"/>
          <w:szCs w:val="22"/>
          <w:lang w:val="en-ZA"/>
        </w:rPr>
        <w:t>Mgangatho</w:t>
      </w:r>
      <w:proofErr w:type="spellEnd"/>
      <w:r w:rsidR="00026917">
        <w:rPr>
          <w:sz w:val="22"/>
          <w:szCs w:val="22"/>
          <w:lang w:val="en-ZA"/>
        </w:rPr>
        <w:t xml:space="preserve"> </w:t>
      </w:r>
    </w:p>
    <w:p w14:paraId="72B28AAC" w14:textId="63E9D4E7" w:rsidR="00B43D11" w:rsidRPr="00B4275B" w:rsidRDefault="00B43D11" w:rsidP="00B43D1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sidR="00CF26AD">
        <w:rPr>
          <w:sz w:val="22"/>
          <w:szCs w:val="22"/>
          <w:lang w:val="en-ZA"/>
        </w:rPr>
        <w:tab/>
      </w:r>
      <w:r>
        <w:rPr>
          <w:sz w:val="22"/>
          <w:szCs w:val="22"/>
          <w:lang w:val="en-ZA"/>
        </w:rPr>
        <w:t xml:space="preserve">Tel.: </w:t>
      </w:r>
      <w:r w:rsidR="00026917">
        <w:rPr>
          <w:sz w:val="22"/>
          <w:szCs w:val="22"/>
          <w:lang w:val="en-ZA"/>
        </w:rPr>
        <w:t>073 761 5551</w:t>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28C5E9C4" w14:textId="44ACEA00" w:rsidR="00CF26AD" w:rsidRDefault="000C560F" w:rsidP="009E2E37">
      <w:pPr>
        <w:spacing w:line="360" w:lineRule="auto"/>
        <w:jc w:val="both"/>
        <w:rPr>
          <w:sz w:val="22"/>
          <w:szCs w:val="22"/>
          <w:lang w:val="en-ZA"/>
        </w:rPr>
      </w:pPr>
      <w:r>
        <w:rPr>
          <w:sz w:val="22"/>
          <w:szCs w:val="22"/>
          <w:lang w:val="en-ZA"/>
        </w:rPr>
        <w:t>For the</w:t>
      </w:r>
      <w:r w:rsidR="009C2B95">
        <w:rPr>
          <w:sz w:val="22"/>
          <w:szCs w:val="22"/>
          <w:lang w:val="en-ZA"/>
        </w:rPr>
        <w:t xml:space="preserve"> </w:t>
      </w:r>
      <w:r w:rsidR="006E758A">
        <w:rPr>
          <w:sz w:val="22"/>
          <w:szCs w:val="22"/>
          <w:lang w:val="en-ZA"/>
        </w:rPr>
        <w:t>Respondent</w:t>
      </w:r>
      <w:r w:rsidR="00CF26AD">
        <w:rPr>
          <w:sz w:val="22"/>
          <w:szCs w:val="22"/>
          <w:lang w:val="en-ZA"/>
        </w:rPr>
        <w:t>s</w:t>
      </w:r>
      <w:r w:rsidR="00370E10">
        <w:rPr>
          <w:sz w:val="22"/>
          <w:szCs w:val="22"/>
          <w:lang w:val="en-ZA"/>
        </w:rPr>
        <w:tab/>
        <w:t>:</w:t>
      </w:r>
      <w:r w:rsidR="00370E10">
        <w:rPr>
          <w:sz w:val="22"/>
          <w:szCs w:val="22"/>
          <w:lang w:val="en-ZA"/>
        </w:rPr>
        <w:tab/>
      </w:r>
      <w:proofErr w:type="spellStart"/>
      <w:r w:rsidR="00B43D11">
        <w:rPr>
          <w:sz w:val="22"/>
          <w:szCs w:val="22"/>
          <w:lang w:val="en-ZA"/>
        </w:rPr>
        <w:t>Adv</w:t>
      </w:r>
      <w:proofErr w:type="spellEnd"/>
      <w:r w:rsidR="00B43D11">
        <w:rPr>
          <w:sz w:val="22"/>
          <w:szCs w:val="22"/>
          <w:lang w:val="en-ZA"/>
        </w:rPr>
        <w:t xml:space="preserve">: </w:t>
      </w:r>
      <w:r w:rsidR="00026917">
        <w:rPr>
          <w:sz w:val="22"/>
          <w:szCs w:val="22"/>
          <w:lang w:val="en-ZA"/>
        </w:rPr>
        <w:t xml:space="preserve">Miya </w:t>
      </w:r>
    </w:p>
    <w:p w14:paraId="58404966" w14:textId="09805600" w:rsidR="00B43D11" w:rsidRDefault="00D64129" w:rsidP="00CF26AD">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026917">
        <w:rPr>
          <w:sz w:val="22"/>
          <w:szCs w:val="22"/>
          <w:lang w:val="en-ZA"/>
        </w:rPr>
        <w:t>T L LUZIPHO ATTORNEYS</w:t>
      </w:r>
    </w:p>
    <w:p w14:paraId="24A5496C" w14:textId="1E2BA8FB" w:rsidR="008C0B69" w:rsidRDefault="00B43D11" w:rsidP="00F45C84">
      <w:pPr>
        <w:spacing w:line="360" w:lineRule="auto"/>
        <w:jc w:val="both"/>
        <w:rPr>
          <w:sz w:val="22"/>
          <w:szCs w:val="22"/>
          <w:lang w:val="en-ZA"/>
        </w:rPr>
      </w:pPr>
      <w:r>
        <w:rPr>
          <w:sz w:val="22"/>
          <w:szCs w:val="22"/>
          <w:lang w:val="en-ZA"/>
        </w:rPr>
        <w:lastRenderedPageBreak/>
        <w:tab/>
      </w:r>
      <w:r>
        <w:rPr>
          <w:sz w:val="22"/>
          <w:szCs w:val="22"/>
          <w:lang w:val="en-ZA"/>
        </w:rPr>
        <w:tab/>
      </w:r>
      <w:r w:rsidR="006E758A">
        <w:rPr>
          <w:sz w:val="22"/>
          <w:szCs w:val="22"/>
          <w:lang w:val="en-ZA"/>
        </w:rPr>
        <w:tab/>
      </w:r>
      <w:r>
        <w:rPr>
          <w:sz w:val="22"/>
          <w:szCs w:val="22"/>
          <w:lang w:val="en-ZA"/>
        </w:rPr>
        <w:tab/>
      </w:r>
      <w:r w:rsidR="00026917">
        <w:rPr>
          <w:sz w:val="22"/>
          <w:szCs w:val="22"/>
          <w:lang w:val="en-ZA"/>
        </w:rPr>
        <w:t>C/o YOKWANA ATTORNEYS</w:t>
      </w:r>
    </w:p>
    <w:p w14:paraId="5ACE96F9" w14:textId="735BF2DA" w:rsidR="00B43D11" w:rsidRDefault="00026917" w:rsidP="008C0B69">
      <w:pPr>
        <w:spacing w:line="360" w:lineRule="auto"/>
        <w:ind w:left="2160" w:firstLine="720"/>
        <w:jc w:val="both"/>
        <w:rPr>
          <w:sz w:val="22"/>
          <w:szCs w:val="22"/>
          <w:lang w:val="en-ZA"/>
        </w:rPr>
      </w:pPr>
      <w:r>
        <w:rPr>
          <w:sz w:val="22"/>
          <w:szCs w:val="22"/>
          <w:lang w:val="en-ZA"/>
        </w:rPr>
        <w:t>10 New Street</w:t>
      </w:r>
    </w:p>
    <w:p w14:paraId="2959DEF7" w14:textId="1A139610" w:rsidR="00B43D11" w:rsidRDefault="006E758A" w:rsidP="00B43D11">
      <w:pPr>
        <w:spacing w:line="360" w:lineRule="auto"/>
        <w:jc w:val="both"/>
        <w:rPr>
          <w:sz w:val="22"/>
          <w:szCs w:val="22"/>
          <w:lang w:val="en-ZA"/>
        </w:rPr>
      </w:pPr>
      <w:r>
        <w:rPr>
          <w:sz w:val="22"/>
          <w:szCs w:val="22"/>
          <w:lang w:val="en-ZA"/>
        </w:rPr>
        <w:tab/>
      </w:r>
      <w:r>
        <w:rPr>
          <w:sz w:val="22"/>
          <w:szCs w:val="22"/>
          <w:lang w:val="en-ZA"/>
        </w:rPr>
        <w:tab/>
      </w:r>
      <w:r w:rsidR="00B43D11">
        <w:rPr>
          <w:sz w:val="22"/>
          <w:szCs w:val="22"/>
          <w:lang w:val="en-ZA"/>
        </w:rPr>
        <w:tab/>
      </w:r>
      <w:r w:rsidR="00B43D11">
        <w:rPr>
          <w:sz w:val="22"/>
          <w:szCs w:val="22"/>
          <w:lang w:val="en-ZA"/>
        </w:rPr>
        <w:tab/>
      </w:r>
      <w:r w:rsidR="00026917">
        <w:rPr>
          <w:sz w:val="22"/>
          <w:szCs w:val="22"/>
          <w:lang w:val="en-ZA"/>
        </w:rPr>
        <w:t>MAKHANDA</w:t>
      </w:r>
    </w:p>
    <w:p w14:paraId="77CB6BF7" w14:textId="2CE4BD44"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6E758A">
        <w:rPr>
          <w:sz w:val="22"/>
          <w:szCs w:val="22"/>
          <w:lang w:val="en-ZA"/>
        </w:rPr>
        <w:tab/>
      </w:r>
      <w:r>
        <w:rPr>
          <w:sz w:val="22"/>
          <w:szCs w:val="22"/>
          <w:lang w:val="en-ZA"/>
        </w:rPr>
        <w:t xml:space="preserve">Ref: </w:t>
      </w:r>
      <w:r w:rsidR="00026917">
        <w:rPr>
          <w:sz w:val="22"/>
          <w:szCs w:val="22"/>
          <w:lang w:val="en-ZA"/>
        </w:rPr>
        <w:t xml:space="preserve">Mr </w:t>
      </w:r>
      <w:proofErr w:type="spellStart"/>
      <w:r w:rsidR="00026917">
        <w:rPr>
          <w:sz w:val="22"/>
          <w:szCs w:val="22"/>
          <w:lang w:val="en-ZA"/>
        </w:rPr>
        <w:t>Yokwana</w:t>
      </w:r>
      <w:proofErr w:type="spellEnd"/>
    </w:p>
    <w:p w14:paraId="6EC65514" w14:textId="7FCD18E0" w:rsidR="0077686B"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026917">
        <w:rPr>
          <w:sz w:val="22"/>
          <w:szCs w:val="22"/>
          <w:lang w:val="en-ZA"/>
        </w:rPr>
        <w:t>046 – 622 9928</w:t>
      </w:r>
    </w:p>
    <w:p w14:paraId="65BD1CE8" w14:textId="77777777" w:rsidR="00B4275B" w:rsidRPr="00B4275B" w:rsidRDefault="00B4275B" w:rsidP="00B4275B">
      <w:pPr>
        <w:tabs>
          <w:tab w:val="left" w:pos="4710"/>
        </w:tabs>
        <w:spacing w:line="360" w:lineRule="auto"/>
        <w:jc w:val="both"/>
        <w:rPr>
          <w:sz w:val="22"/>
          <w:szCs w:val="22"/>
          <w:lang w:val="en-ZA"/>
        </w:rPr>
      </w:pPr>
      <w:r w:rsidRPr="00B4275B">
        <w:rPr>
          <w:sz w:val="22"/>
          <w:szCs w:val="22"/>
          <w:lang w:val="en-ZA"/>
        </w:rPr>
        <w:tab/>
      </w:r>
    </w:p>
    <w:p w14:paraId="622F9BB6" w14:textId="54D3C4E3" w:rsidR="00B4275B" w:rsidRPr="00B4275B" w:rsidRDefault="00B4275B" w:rsidP="00B4275B">
      <w:pPr>
        <w:spacing w:line="360" w:lineRule="auto"/>
        <w:jc w:val="both"/>
        <w:rPr>
          <w:sz w:val="22"/>
          <w:szCs w:val="22"/>
          <w:lang w:val="en-ZA"/>
        </w:rPr>
      </w:pPr>
      <w:r w:rsidRPr="00B4275B">
        <w:rPr>
          <w:sz w:val="22"/>
          <w:szCs w:val="22"/>
          <w:lang w:val="en-ZA"/>
        </w:rPr>
        <w:t>Date Heard</w:t>
      </w:r>
      <w:r w:rsidR="006E758A">
        <w:rPr>
          <w:sz w:val="22"/>
          <w:szCs w:val="22"/>
          <w:lang w:val="en-ZA"/>
        </w:rPr>
        <w:tab/>
      </w:r>
      <w:r w:rsidR="006E758A">
        <w:rPr>
          <w:sz w:val="22"/>
          <w:szCs w:val="22"/>
          <w:lang w:val="en-ZA"/>
        </w:rPr>
        <w:tab/>
      </w:r>
      <w:r w:rsidRPr="00B4275B">
        <w:rPr>
          <w:sz w:val="22"/>
          <w:szCs w:val="22"/>
          <w:lang w:val="en-ZA"/>
        </w:rPr>
        <w:t>:</w:t>
      </w:r>
      <w:r w:rsidR="00D64129">
        <w:rPr>
          <w:sz w:val="22"/>
          <w:szCs w:val="22"/>
          <w:lang w:val="en-ZA"/>
        </w:rPr>
        <w:tab/>
      </w:r>
      <w:r w:rsidR="00026917">
        <w:rPr>
          <w:sz w:val="22"/>
          <w:szCs w:val="22"/>
          <w:lang w:val="en-ZA"/>
        </w:rPr>
        <w:t>17 February 2023</w:t>
      </w:r>
    </w:p>
    <w:p w14:paraId="577576AC" w14:textId="6DEFD45B" w:rsidR="00B4275B" w:rsidRPr="004A3DC7" w:rsidRDefault="00B4275B" w:rsidP="00B4275B">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026917">
        <w:rPr>
          <w:sz w:val="22"/>
          <w:szCs w:val="22"/>
          <w:lang w:val="en-ZA"/>
        </w:rPr>
        <w:t>17 February 2023</w:t>
      </w:r>
    </w:p>
    <w:p w14:paraId="241326FA" w14:textId="775679C3" w:rsidR="00B4275B" w:rsidRDefault="00B4275B" w:rsidP="00C64BA1">
      <w:pPr>
        <w:spacing w:line="360" w:lineRule="auto"/>
        <w:jc w:val="both"/>
        <w:rPr>
          <w:bCs/>
          <w:sz w:val="22"/>
          <w:szCs w:val="22"/>
          <w:lang w:val="en-ZA"/>
        </w:rPr>
      </w:pPr>
      <w:r w:rsidRPr="004A3DC7">
        <w:rPr>
          <w:sz w:val="22"/>
          <w:szCs w:val="22"/>
          <w:lang w:val="en-ZA"/>
        </w:rPr>
        <w:t>Date Delivered</w:t>
      </w:r>
      <w:r w:rsidR="00951A05">
        <w:rPr>
          <w:sz w:val="22"/>
          <w:szCs w:val="22"/>
          <w:lang w:val="en-ZA"/>
        </w:rPr>
        <w:t xml:space="preserve"> </w:t>
      </w:r>
      <w:r w:rsidRPr="004A3DC7">
        <w:rPr>
          <w:sz w:val="22"/>
          <w:szCs w:val="22"/>
          <w:lang w:val="en-ZA"/>
        </w:rPr>
        <w:tab/>
      </w:r>
      <w:r w:rsidRPr="004A3DC7">
        <w:rPr>
          <w:sz w:val="22"/>
          <w:szCs w:val="22"/>
          <w:lang w:val="en-ZA"/>
        </w:rPr>
        <w:tab/>
        <w:t>:</w:t>
      </w:r>
      <w:r w:rsidR="00B43D11">
        <w:rPr>
          <w:bCs/>
          <w:sz w:val="22"/>
          <w:szCs w:val="22"/>
          <w:lang w:val="en-ZA"/>
        </w:rPr>
        <w:tab/>
      </w:r>
      <w:r w:rsidR="00026917">
        <w:rPr>
          <w:bCs/>
          <w:sz w:val="22"/>
          <w:szCs w:val="22"/>
          <w:lang w:val="en-ZA"/>
        </w:rPr>
        <w:t>23 February 2023</w:t>
      </w:r>
      <w:r w:rsidR="00D64129" w:rsidRPr="004A3DC7">
        <w:rPr>
          <w:bCs/>
          <w:sz w:val="22"/>
          <w:szCs w:val="22"/>
          <w:lang w:val="en-ZA"/>
        </w:rPr>
        <w:t xml:space="preserve"> </w:t>
      </w:r>
    </w:p>
    <w:p w14:paraId="18927691" w14:textId="0B9831EF" w:rsidR="003A1577" w:rsidRDefault="003A1577" w:rsidP="00C64BA1">
      <w:pPr>
        <w:spacing w:line="360" w:lineRule="auto"/>
        <w:jc w:val="both"/>
        <w:rPr>
          <w:bCs/>
          <w:sz w:val="22"/>
          <w:szCs w:val="22"/>
          <w:lang w:val="en-ZA"/>
        </w:rPr>
      </w:pPr>
    </w:p>
    <w:p w14:paraId="68C0447C" w14:textId="3A45031B" w:rsidR="003A1577" w:rsidRDefault="003A1577" w:rsidP="00C64BA1">
      <w:pPr>
        <w:spacing w:line="360" w:lineRule="auto"/>
        <w:jc w:val="both"/>
        <w:rPr>
          <w:bCs/>
          <w:sz w:val="22"/>
          <w:szCs w:val="22"/>
          <w:lang w:val="en-ZA"/>
        </w:rPr>
      </w:pPr>
    </w:p>
    <w:p w14:paraId="04950651" w14:textId="0813EFC0" w:rsidR="003A1577" w:rsidRDefault="003A1577" w:rsidP="00C64BA1">
      <w:pPr>
        <w:spacing w:line="360" w:lineRule="auto"/>
        <w:jc w:val="both"/>
        <w:rPr>
          <w:bCs/>
          <w:sz w:val="22"/>
          <w:szCs w:val="22"/>
          <w:lang w:val="en-ZA"/>
        </w:rPr>
      </w:pPr>
    </w:p>
    <w:p w14:paraId="2784A125" w14:textId="045BC18A" w:rsidR="003A1577" w:rsidRPr="006D61CF" w:rsidRDefault="003A1577" w:rsidP="003A1577">
      <w:pPr>
        <w:spacing w:line="360" w:lineRule="auto"/>
        <w:jc w:val="both"/>
        <w:rPr>
          <w:rFonts w:ascii="Arial" w:hAnsi="Arial" w:cs="Arial"/>
          <w:b/>
          <w:sz w:val="28"/>
          <w:szCs w:val="28"/>
        </w:rPr>
      </w:pPr>
      <w:r>
        <w:rPr>
          <w:b/>
          <w:bCs/>
          <w:sz w:val="28"/>
          <w:szCs w:val="28"/>
          <w:lang w:val="en-ZA"/>
        </w:rPr>
        <w:t xml:space="preserve"> </w:t>
      </w:r>
    </w:p>
    <w:p w14:paraId="7FE15909" w14:textId="77777777" w:rsidR="003A1577" w:rsidRPr="004A3DC7" w:rsidRDefault="003A1577" w:rsidP="00C64BA1">
      <w:pPr>
        <w:spacing w:line="360" w:lineRule="auto"/>
        <w:jc w:val="both"/>
        <w:rPr>
          <w:rFonts w:ascii="Arial" w:hAnsi="Arial" w:cs="Arial"/>
          <w:b/>
          <w:sz w:val="22"/>
          <w:szCs w:val="22"/>
        </w:rPr>
      </w:pPr>
    </w:p>
    <w:sectPr w:rsidR="003A1577"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84B76" w14:textId="77777777" w:rsidR="001D6761" w:rsidRDefault="001D6761" w:rsidP="000710A7">
      <w:r>
        <w:separator/>
      </w:r>
    </w:p>
  </w:endnote>
  <w:endnote w:type="continuationSeparator" w:id="0">
    <w:p w14:paraId="0DF20FD4" w14:textId="77777777" w:rsidR="001D6761" w:rsidRDefault="001D6761"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7CE60" w14:textId="77777777" w:rsidR="001D6761" w:rsidRDefault="001D6761" w:rsidP="000710A7">
      <w:r>
        <w:separator/>
      </w:r>
    </w:p>
  </w:footnote>
  <w:footnote w:type="continuationSeparator" w:id="0">
    <w:p w14:paraId="3BA52035" w14:textId="77777777" w:rsidR="001D6761" w:rsidRDefault="001D6761" w:rsidP="000710A7">
      <w:r>
        <w:continuationSeparator/>
      </w:r>
    </w:p>
  </w:footnote>
  <w:footnote w:id="1">
    <w:p w14:paraId="5AE927F1" w14:textId="6F1BADED" w:rsidR="006C548A" w:rsidRPr="006C548A" w:rsidRDefault="006C548A">
      <w:pPr>
        <w:pStyle w:val="FootnoteText"/>
        <w:rPr>
          <w:lang w:val="en-US"/>
        </w:rPr>
      </w:pPr>
      <w:r>
        <w:rPr>
          <w:rStyle w:val="FootnoteReference"/>
        </w:rPr>
        <w:footnoteRef/>
      </w:r>
      <w:r>
        <w:t xml:space="preserve"> </w:t>
      </w:r>
      <w:r>
        <w:rPr>
          <w:lang w:val="en-US"/>
        </w:rPr>
        <w:t>Page 12 of the indexed papers paragraph [18].</w:t>
      </w:r>
    </w:p>
  </w:footnote>
  <w:footnote w:id="2">
    <w:p w14:paraId="079A998A" w14:textId="4B8B3C09" w:rsidR="00353EF0" w:rsidRPr="00353EF0" w:rsidRDefault="00353EF0">
      <w:pPr>
        <w:pStyle w:val="FootnoteText"/>
        <w:rPr>
          <w:lang w:val="en-US"/>
        </w:rPr>
      </w:pPr>
      <w:r>
        <w:rPr>
          <w:rStyle w:val="FootnoteReference"/>
        </w:rPr>
        <w:footnoteRef/>
      </w:r>
      <w:r>
        <w:t xml:space="preserve"> </w:t>
      </w:r>
      <w:r>
        <w:rPr>
          <w:lang w:val="en-US"/>
        </w:rPr>
        <w:t>Section 3 of the Promotion of Administrative Justice Act 3 of 2000 (PAJA).</w:t>
      </w:r>
    </w:p>
  </w:footnote>
  <w:footnote w:id="3">
    <w:p w14:paraId="6194E010" w14:textId="3760C3E6" w:rsidR="00C26C72" w:rsidRPr="00C26C72" w:rsidRDefault="00C26C72">
      <w:pPr>
        <w:pStyle w:val="FootnoteText"/>
        <w:rPr>
          <w:lang w:val="en-US"/>
        </w:rPr>
      </w:pPr>
      <w:r>
        <w:rPr>
          <w:rStyle w:val="FootnoteReference"/>
        </w:rPr>
        <w:footnoteRef/>
      </w:r>
      <w:r>
        <w:t xml:space="preserve"> </w:t>
      </w:r>
      <w:r>
        <w:rPr>
          <w:lang w:val="en-US"/>
        </w:rPr>
        <w:t>2018 (5) SA 177 SCA at 192 paragraph [37].</w:t>
      </w:r>
    </w:p>
  </w:footnote>
  <w:footnote w:id="4">
    <w:p w14:paraId="375CE57C" w14:textId="08522E66" w:rsidR="00AE53E8" w:rsidRPr="00AE53E8" w:rsidRDefault="00AE53E8">
      <w:pPr>
        <w:pStyle w:val="FootnoteText"/>
        <w:rPr>
          <w:lang w:val="en-US"/>
        </w:rPr>
      </w:pPr>
      <w:r>
        <w:rPr>
          <w:rStyle w:val="FootnoteReference"/>
        </w:rPr>
        <w:footnoteRef/>
      </w:r>
      <w:r>
        <w:t xml:space="preserve"> </w:t>
      </w:r>
      <w:r>
        <w:rPr>
          <w:lang w:val="en-US"/>
        </w:rPr>
        <w:t>2008 (4) SA 367 CC at 414 [139].</w:t>
      </w:r>
    </w:p>
  </w:footnote>
  <w:footnote w:id="5">
    <w:p w14:paraId="41AE7EDE" w14:textId="29DC5414" w:rsidR="00AE53E8" w:rsidRPr="00AE53E8" w:rsidRDefault="00AE53E8">
      <w:pPr>
        <w:pStyle w:val="FootnoteText"/>
        <w:rPr>
          <w:lang w:val="en-US"/>
        </w:rPr>
      </w:pPr>
      <w:r>
        <w:rPr>
          <w:rStyle w:val="FootnoteReference"/>
        </w:rPr>
        <w:footnoteRef/>
      </w:r>
      <w:r>
        <w:t xml:space="preserve"> 2010 (4) SA 56 CC.</w:t>
      </w:r>
    </w:p>
  </w:footnote>
  <w:footnote w:id="6">
    <w:p w14:paraId="617F5ABB" w14:textId="6366DBFB" w:rsidR="00AF4208" w:rsidRPr="00AF4208" w:rsidRDefault="00AF4208">
      <w:pPr>
        <w:pStyle w:val="FootnoteText"/>
        <w:rPr>
          <w:lang w:val="en-US"/>
        </w:rPr>
      </w:pPr>
      <w:r>
        <w:rPr>
          <w:rStyle w:val="FootnoteReference"/>
        </w:rPr>
        <w:footnoteRef/>
      </w:r>
      <w:r>
        <w:t xml:space="preserve"> </w:t>
      </w:r>
      <w:r>
        <w:rPr>
          <w:lang w:val="en-US"/>
        </w:rPr>
        <w:t xml:space="preserve">Joseph </w:t>
      </w:r>
      <w:r>
        <w:rPr>
          <w:i/>
          <w:lang w:val="en-US"/>
        </w:rPr>
        <w:t>supra</w:t>
      </w:r>
      <w:r>
        <w:rPr>
          <w:lang w:val="en-US"/>
        </w:rPr>
        <w:t xml:space="preserve"> paragraph [2].</w:t>
      </w:r>
    </w:p>
  </w:footnote>
  <w:footnote w:id="7">
    <w:p w14:paraId="44A0EB05" w14:textId="0D55282B" w:rsidR="00AE0218" w:rsidRPr="00AE0218" w:rsidRDefault="00AE0218">
      <w:pPr>
        <w:pStyle w:val="FootnoteText"/>
        <w:rPr>
          <w:lang w:val="en-US"/>
        </w:rPr>
      </w:pPr>
      <w:r>
        <w:rPr>
          <w:rStyle w:val="FootnoteReference"/>
        </w:rPr>
        <w:footnoteRef/>
      </w:r>
      <w:r>
        <w:t xml:space="preserve"> </w:t>
      </w:r>
      <w:r>
        <w:rPr>
          <w:lang w:val="en-US"/>
        </w:rPr>
        <w:t>2009 (2) SA 277.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7958CA" w:rsidRDefault="007958CA"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7958CA" w:rsidRDefault="007958CA">
    <w:pPr>
      <w:pStyle w:val="Header"/>
    </w:pPr>
  </w:p>
  <w:p w14:paraId="6C4AD895" w14:textId="77777777" w:rsidR="007958CA" w:rsidRDefault="007958CA"/>
  <w:p w14:paraId="0E63C6DD" w14:textId="77777777" w:rsidR="007958CA" w:rsidRDefault="007958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17A234CB" w:rsidR="007958CA" w:rsidRDefault="007958CA"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5A0">
      <w:rPr>
        <w:rStyle w:val="PageNumber"/>
        <w:noProof/>
      </w:rPr>
      <w:t>8</w:t>
    </w:r>
    <w:r>
      <w:rPr>
        <w:rStyle w:val="PageNumber"/>
      </w:rPr>
      <w:fldChar w:fldCharType="end"/>
    </w:r>
  </w:p>
  <w:p w14:paraId="679B963D" w14:textId="77777777" w:rsidR="007958CA" w:rsidRPr="004D0E6E" w:rsidRDefault="007958CA">
    <w:pPr>
      <w:pStyle w:val="Header"/>
      <w:jc w:val="right"/>
      <w:rPr>
        <w:rFonts w:ascii="Arial" w:hAnsi="Arial" w:cs="Arial"/>
        <w:sz w:val="16"/>
        <w:szCs w:val="16"/>
      </w:rPr>
    </w:pPr>
  </w:p>
  <w:p w14:paraId="56DF89A3" w14:textId="77777777" w:rsidR="007958CA" w:rsidRDefault="007958CA">
    <w:pPr>
      <w:pStyle w:val="Header"/>
    </w:pPr>
  </w:p>
  <w:p w14:paraId="58B00622" w14:textId="77777777" w:rsidR="007958CA" w:rsidRDefault="007958CA"/>
  <w:p w14:paraId="73E830F9" w14:textId="77777777" w:rsidR="007958CA" w:rsidRDefault="007958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01E04E7"/>
    <w:multiLevelType w:val="hybridMultilevel"/>
    <w:tmpl w:val="B322BA52"/>
    <w:lvl w:ilvl="0" w:tplc="E9808130">
      <w:start w:val="1"/>
      <w:numFmt w:val="decimal"/>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7F1762A"/>
    <w:multiLevelType w:val="hybridMultilevel"/>
    <w:tmpl w:val="F15AC05A"/>
    <w:lvl w:ilvl="0" w:tplc="E1BA5D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3370E0B"/>
    <w:multiLevelType w:val="hybridMultilevel"/>
    <w:tmpl w:val="6E2E33AC"/>
    <w:lvl w:ilvl="0" w:tplc="E8C43BD2">
      <w:start w:val="1"/>
      <w:numFmt w:val="lowerLetter"/>
      <w:lvlText w:val="(%1)"/>
      <w:lvlJc w:val="left"/>
      <w:pPr>
        <w:ind w:left="1140" w:hanging="360"/>
      </w:pPr>
      <w:rPr>
        <w:rFonts w:hint="default"/>
        <w:sz w:val="26"/>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1">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1">
    <w:nsid w:val="48175874"/>
    <w:multiLevelType w:val="hybridMultilevel"/>
    <w:tmpl w:val="4A949076"/>
    <w:lvl w:ilvl="0" w:tplc="4B345AA2">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2">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7A4BA0"/>
    <w:multiLevelType w:val="hybridMultilevel"/>
    <w:tmpl w:val="104A5202"/>
    <w:lvl w:ilvl="0" w:tplc="FF8AFC2E">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1">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4">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8">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2">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6"/>
  </w:num>
  <w:num w:numId="4">
    <w:abstractNumId w:val="24"/>
  </w:num>
  <w:num w:numId="5">
    <w:abstractNumId w:val="38"/>
  </w:num>
  <w:num w:numId="6">
    <w:abstractNumId w:val="0"/>
  </w:num>
  <w:num w:numId="7">
    <w:abstractNumId w:val="35"/>
  </w:num>
  <w:num w:numId="8">
    <w:abstractNumId w:val="34"/>
  </w:num>
  <w:num w:numId="9">
    <w:abstractNumId w:val="9"/>
  </w:num>
  <w:num w:numId="10">
    <w:abstractNumId w:val="33"/>
  </w:num>
  <w:num w:numId="11">
    <w:abstractNumId w:val="30"/>
  </w:num>
  <w:num w:numId="12">
    <w:abstractNumId w:val="32"/>
  </w:num>
  <w:num w:numId="13">
    <w:abstractNumId w:val="16"/>
  </w:num>
  <w:num w:numId="14">
    <w:abstractNumId w:val="31"/>
  </w:num>
  <w:num w:numId="15">
    <w:abstractNumId w:val="40"/>
  </w:num>
  <w:num w:numId="16">
    <w:abstractNumId w:val="15"/>
  </w:num>
  <w:num w:numId="17">
    <w:abstractNumId w:val="13"/>
  </w:num>
  <w:num w:numId="18">
    <w:abstractNumId w:val="3"/>
  </w:num>
  <w:num w:numId="19">
    <w:abstractNumId w:val="26"/>
  </w:num>
  <w:num w:numId="20">
    <w:abstractNumId w:val="22"/>
  </w:num>
  <w:num w:numId="21">
    <w:abstractNumId w:val="37"/>
  </w:num>
  <w:num w:numId="22">
    <w:abstractNumId w:val="39"/>
  </w:num>
  <w:num w:numId="23">
    <w:abstractNumId w:val="17"/>
  </w:num>
  <w:num w:numId="24">
    <w:abstractNumId w:val="42"/>
  </w:num>
  <w:num w:numId="25">
    <w:abstractNumId w:val="11"/>
  </w:num>
  <w:num w:numId="26">
    <w:abstractNumId w:val="5"/>
  </w:num>
  <w:num w:numId="27">
    <w:abstractNumId w:val="20"/>
  </w:num>
  <w:num w:numId="28">
    <w:abstractNumId w:val="14"/>
  </w:num>
  <w:num w:numId="29">
    <w:abstractNumId w:val="7"/>
  </w:num>
  <w:num w:numId="30">
    <w:abstractNumId w:val="41"/>
  </w:num>
  <w:num w:numId="31">
    <w:abstractNumId w:val="23"/>
  </w:num>
  <w:num w:numId="32">
    <w:abstractNumId w:val="12"/>
  </w:num>
  <w:num w:numId="33">
    <w:abstractNumId w:val="19"/>
  </w:num>
  <w:num w:numId="34">
    <w:abstractNumId w:val="6"/>
  </w:num>
  <w:num w:numId="35">
    <w:abstractNumId w:val="18"/>
  </w:num>
  <w:num w:numId="36">
    <w:abstractNumId w:val="4"/>
  </w:num>
  <w:num w:numId="37">
    <w:abstractNumId w:val="2"/>
  </w:num>
  <w:num w:numId="38">
    <w:abstractNumId w:val="25"/>
  </w:num>
  <w:num w:numId="39">
    <w:abstractNumId w:val="1"/>
  </w:num>
  <w:num w:numId="40">
    <w:abstractNumId w:val="21"/>
  </w:num>
  <w:num w:numId="41">
    <w:abstractNumId w:val="8"/>
  </w:num>
  <w:num w:numId="42">
    <w:abstractNumId w:val="2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3499"/>
    <w:rsid w:val="00005178"/>
    <w:rsid w:val="00005D03"/>
    <w:rsid w:val="00006C6F"/>
    <w:rsid w:val="00010359"/>
    <w:rsid w:val="000104BF"/>
    <w:rsid w:val="000110DD"/>
    <w:rsid w:val="00011B73"/>
    <w:rsid w:val="00014416"/>
    <w:rsid w:val="000150E0"/>
    <w:rsid w:val="00017B06"/>
    <w:rsid w:val="00021289"/>
    <w:rsid w:val="000212D0"/>
    <w:rsid w:val="00022DFC"/>
    <w:rsid w:val="00023EA9"/>
    <w:rsid w:val="00023F0C"/>
    <w:rsid w:val="00026917"/>
    <w:rsid w:val="00026972"/>
    <w:rsid w:val="00027193"/>
    <w:rsid w:val="000277DB"/>
    <w:rsid w:val="0002784F"/>
    <w:rsid w:val="00035C12"/>
    <w:rsid w:val="00036291"/>
    <w:rsid w:val="000426C2"/>
    <w:rsid w:val="00042988"/>
    <w:rsid w:val="0004308F"/>
    <w:rsid w:val="000430A2"/>
    <w:rsid w:val="00043463"/>
    <w:rsid w:val="00044831"/>
    <w:rsid w:val="000457E7"/>
    <w:rsid w:val="00046741"/>
    <w:rsid w:val="000467EA"/>
    <w:rsid w:val="00046E4C"/>
    <w:rsid w:val="0004769E"/>
    <w:rsid w:val="00047D55"/>
    <w:rsid w:val="000503D2"/>
    <w:rsid w:val="00051108"/>
    <w:rsid w:val="000512EA"/>
    <w:rsid w:val="00051BBD"/>
    <w:rsid w:val="00054F63"/>
    <w:rsid w:val="00056398"/>
    <w:rsid w:val="000573E0"/>
    <w:rsid w:val="000576A5"/>
    <w:rsid w:val="000577B6"/>
    <w:rsid w:val="00057899"/>
    <w:rsid w:val="00057EAB"/>
    <w:rsid w:val="00062BE1"/>
    <w:rsid w:val="00062D27"/>
    <w:rsid w:val="000710A7"/>
    <w:rsid w:val="00071262"/>
    <w:rsid w:val="00072103"/>
    <w:rsid w:val="00072B69"/>
    <w:rsid w:val="00072B6F"/>
    <w:rsid w:val="0007554C"/>
    <w:rsid w:val="00076026"/>
    <w:rsid w:val="000765D8"/>
    <w:rsid w:val="00077DA2"/>
    <w:rsid w:val="00080E2E"/>
    <w:rsid w:val="00081E73"/>
    <w:rsid w:val="00083B88"/>
    <w:rsid w:val="00085108"/>
    <w:rsid w:val="00085138"/>
    <w:rsid w:val="0008604D"/>
    <w:rsid w:val="00086137"/>
    <w:rsid w:val="000923C6"/>
    <w:rsid w:val="000936FD"/>
    <w:rsid w:val="00095CED"/>
    <w:rsid w:val="00095E56"/>
    <w:rsid w:val="00095E9F"/>
    <w:rsid w:val="0009718D"/>
    <w:rsid w:val="00097ACA"/>
    <w:rsid w:val="000A01CD"/>
    <w:rsid w:val="000A1EFE"/>
    <w:rsid w:val="000A2A02"/>
    <w:rsid w:val="000A3987"/>
    <w:rsid w:val="000A4BE1"/>
    <w:rsid w:val="000A4CE5"/>
    <w:rsid w:val="000A6457"/>
    <w:rsid w:val="000B0674"/>
    <w:rsid w:val="000B0BF3"/>
    <w:rsid w:val="000B0DE0"/>
    <w:rsid w:val="000B347E"/>
    <w:rsid w:val="000B4C36"/>
    <w:rsid w:val="000B4CA0"/>
    <w:rsid w:val="000B5154"/>
    <w:rsid w:val="000C41F1"/>
    <w:rsid w:val="000C560F"/>
    <w:rsid w:val="000C681B"/>
    <w:rsid w:val="000C7E37"/>
    <w:rsid w:val="000C7EE8"/>
    <w:rsid w:val="000D0A2D"/>
    <w:rsid w:val="000D11A9"/>
    <w:rsid w:val="000D15AB"/>
    <w:rsid w:val="000D2152"/>
    <w:rsid w:val="000D2166"/>
    <w:rsid w:val="000D2BC5"/>
    <w:rsid w:val="000D59DD"/>
    <w:rsid w:val="000D6339"/>
    <w:rsid w:val="000D7622"/>
    <w:rsid w:val="000E0E6F"/>
    <w:rsid w:val="000E182C"/>
    <w:rsid w:val="000E30CA"/>
    <w:rsid w:val="000E42BA"/>
    <w:rsid w:val="000E4A1C"/>
    <w:rsid w:val="000E4C23"/>
    <w:rsid w:val="000E624D"/>
    <w:rsid w:val="000E78A7"/>
    <w:rsid w:val="000F1C4D"/>
    <w:rsid w:val="000F3B21"/>
    <w:rsid w:val="000F490C"/>
    <w:rsid w:val="000F6431"/>
    <w:rsid w:val="000F6715"/>
    <w:rsid w:val="000F6D6C"/>
    <w:rsid w:val="001031B6"/>
    <w:rsid w:val="0010348F"/>
    <w:rsid w:val="0010661C"/>
    <w:rsid w:val="00106977"/>
    <w:rsid w:val="001102A0"/>
    <w:rsid w:val="00110D97"/>
    <w:rsid w:val="001111DD"/>
    <w:rsid w:val="001143AD"/>
    <w:rsid w:val="001147E6"/>
    <w:rsid w:val="0011606B"/>
    <w:rsid w:val="001174C9"/>
    <w:rsid w:val="00120051"/>
    <w:rsid w:val="00121DDC"/>
    <w:rsid w:val="00124933"/>
    <w:rsid w:val="001267BA"/>
    <w:rsid w:val="00132F75"/>
    <w:rsid w:val="00134A59"/>
    <w:rsid w:val="00135617"/>
    <w:rsid w:val="001364F2"/>
    <w:rsid w:val="00137020"/>
    <w:rsid w:val="001412E9"/>
    <w:rsid w:val="001414C8"/>
    <w:rsid w:val="0014238D"/>
    <w:rsid w:val="0014382B"/>
    <w:rsid w:val="00143CEC"/>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40EC"/>
    <w:rsid w:val="00164DAB"/>
    <w:rsid w:val="00165024"/>
    <w:rsid w:val="00166C4E"/>
    <w:rsid w:val="00170E1A"/>
    <w:rsid w:val="0017185D"/>
    <w:rsid w:val="00172032"/>
    <w:rsid w:val="0017262C"/>
    <w:rsid w:val="001727B1"/>
    <w:rsid w:val="00174DA5"/>
    <w:rsid w:val="00174EAD"/>
    <w:rsid w:val="001754B1"/>
    <w:rsid w:val="0017724C"/>
    <w:rsid w:val="00177417"/>
    <w:rsid w:val="00177972"/>
    <w:rsid w:val="00180679"/>
    <w:rsid w:val="00181AAA"/>
    <w:rsid w:val="001825C0"/>
    <w:rsid w:val="00182B59"/>
    <w:rsid w:val="00183586"/>
    <w:rsid w:val="00183A10"/>
    <w:rsid w:val="00184F55"/>
    <w:rsid w:val="0019099A"/>
    <w:rsid w:val="0019187C"/>
    <w:rsid w:val="001919D2"/>
    <w:rsid w:val="00191C09"/>
    <w:rsid w:val="00192369"/>
    <w:rsid w:val="00193955"/>
    <w:rsid w:val="00193D2B"/>
    <w:rsid w:val="001955A8"/>
    <w:rsid w:val="001A0502"/>
    <w:rsid w:val="001A1769"/>
    <w:rsid w:val="001A362F"/>
    <w:rsid w:val="001A5086"/>
    <w:rsid w:val="001A5D6B"/>
    <w:rsid w:val="001B2247"/>
    <w:rsid w:val="001B356D"/>
    <w:rsid w:val="001B4A46"/>
    <w:rsid w:val="001B6694"/>
    <w:rsid w:val="001C0B0C"/>
    <w:rsid w:val="001C12F8"/>
    <w:rsid w:val="001C28FF"/>
    <w:rsid w:val="001C37E0"/>
    <w:rsid w:val="001C5310"/>
    <w:rsid w:val="001C6802"/>
    <w:rsid w:val="001C6A0B"/>
    <w:rsid w:val="001C7E9F"/>
    <w:rsid w:val="001C7FA3"/>
    <w:rsid w:val="001D1231"/>
    <w:rsid w:val="001D4826"/>
    <w:rsid w:val="001D4B84"/>
    <w:rsid w:val="001D6761"/>
    <w:rsid w:val="001D72C6"/>
    <w:rsid w:val="001E050E"/>
    <w:rsid w:val="001E1322"/>
    <w:rsid w:val="001E1E5E"/>
    <w:rsid w:val="001E223E"/>
    <w:rsid w:val="001E247E"/>
    <w:rsid w:val="001E55FD"/>
    <w:rsid w:val="001E5F49"/>
    <w:rsid w:val="001E63F9"/>
    <w:rsid w:val="001E6A79"/>
    <w:rsid w:val="001E7651"/>
    <w:rsid w:val="001F122A"/>
    <w:rsid w:val="001F198F"/>
    <w:rsid w:val="001F2C0A"/>
    <w:rsid w:val="001F3D0F"/>
    <w:rsid w:val="001F4E45"/>
    <w:rsid w:val="001F62C7"/>
    <w:rsid w:val="0020058E"/>
    <w:rsid w:val="00202215"/>
    <w:rsid w:val="002028E2"/>
    <w:rsid w:val="00203397"/>
    <w:rsid w:val="00203826"/>
    <w:rsid w:val="00205D81"/>
    <w:rsid w:val="00206B84"/>
    <w:rsid w:val="00206FA4"/>
    <w:rsid w:val="00207C7A"/>
    <w:rsid w:val="002101B8"/>
    <w:rsid w:val="002150CA"/>
    <w:rsid w:val="00216A57"/>
    <w:rsid w:val="002172BA"/>
    <w:rsid w:val="00217D16"/>
    <w:rsid w:val="0022141F"/>
    <w:rsid w:val="002226D4"/>
    <w:rsid w:val="00224CFC"/>
    <w:rsid w:val="00225EDB"/>
    <w:rsid w:val="00225F6D"/>
    <w:rsid w:val="00226292"/>
    <w:rsid w:val="00226381"/>
    <w:rsid w:val="00230934"/>
    <w:rsid w:val="00232554"/>
    <w:rsid w:val="00232CE2"/>
    <w:rsid w:val="002355D0"/>
    <w:rsid w:val="00235A8B"/>
    <w:rsid w:val="002369E8"/>
    <w:rsid w:val="00237784"/>
    <w:rsid w:val="00237CC8"/>
    <w:rsid w:val="00244435"/>
    <w:rsid w:val="00245751"/>
    <w:rsid w:val="002459DB"/>
    <w:rsid w:val="00247A5B"/>
    <w:rsid w:val="00247EEF"/>
    <w:rsid w:val="0025071E"/>
    <w:rsid w:val="00255C54"/>
    <w:rsid w:val="00257881"/>
    <w:rsid w:val="00261DD3"/>
    <w:rsid w:val="00263BA9"/>
    <w:rsid w:val="002646AD"/>
    <w:rsid w:val="002664F2"/>
    <w:rsid w:val="00266831"/>
    <w:rsid w:val="00266D31"/>
    <w:rsid w:val="00267F8E"/>
    <w:rsid w:val="00270551"/>
    <w:rsid w:val="00270D38"/>
    <w:rsid w:val="002753F4"/>
    <w:rsid w:val="00276381"/>
    <w:rsid w:val="0028039F"/>
    <w:rsid w:val="00280E32"/>
    <w:rsid w:val="0028203B"/>
    <w:rsid w:val="00284AC2"/>
    <w:rsid w:val="00285BEF"/>
    <w:rsid w:val="0028741F"/>
    <w:rsid w:val="00287558"/>
    <w:rsid w:val="00291099"/>
    <w:rsid w:val="00291EBE"/>
    <w:rsid w:val="002920D3"/>
    <w:rsid w:val="0029438A"/>
    <w:rsid w:val="0029526B"/>
    <w:rsid w:val="0029574E"/>
    <w:rsid w:val="002958A6"/>
    <w:rsid w:val="00295942"/>
    <w:rsid w:val="00295B10"/>
    <w:rsid w:val="00296972"/>
    <w:rsid w:val="002971E1"/>
    <w:rsid w:val="002A0727"/>
    <w:rsid w:val="002A07A3"/>
    <w:rsid w:val="002A1818"/>
    <w:rsid w:val="002A18E9"/>
    <w:rsid w:val="002A2A75"/>
    <w:rsid w:val="002A4782"/>
    <w:rsid w:val="002A501C"/>
    <w:rsid w:val="002A5278"/>
    <w:rsid w:val="002A7FD4"/>
    <w:rsid w:val="002B0CC4"/>
    <w:rsid w:val="002B0E7A"/>
    <w:rsid w:val="002B10C2"/>
    <w:rsid w:val="002B2232"/>
    <w:rsid w:val="002B418A"/>
    <w:rsid w:val="002B47AA"/>
    <w:rsid w:val="002B4BF3"/>
    <w:rsid w:val="002B64A2"/>
    <w:rsid w:val="002B64D5"/>
    <w:rsid w:val="002C5683"/>
    <w:rsid w:val="002C6C0A"/>
    <w:rsid w:val="002C7971"/>
    <w:rsid w:val="002D03A0"/>
    <w:rsid w:val="002D0522"/>
    <w:rsid w:val="002D51CE"/>
    <w:rsid w:val="002D53F2"/>
    <w:rsid w:val="002D73F4"/>
    <w:rsid w:val="002E0526"/>
    <w:rsid w:val="002E12F5"/>
    <w:rsid w:val="002E413C"/>
    <w:rsid w:val="002E48B5"/>
    <w:rsid w:val="002E5737"/>
    <w:rsid w:val="002E5A5B"/>
    <w:rsid w:val="002F44D7"/>
    <w:rsid w:val="002F6411"/>
    <w:rsid w:val="002F70ED"/>
    <w:rsid w:val="002F73E7"/>
    <w:rsid w:val="0030157D"/>
    <w:rsid w:val="00303668"/>
    <w:rsid w:val="00303CF1"/>
    <w:rsid w:val="003043D2"/>
    <w:rsid w:val="00310156"/>
    <w:rsid w:val="00310D18"/>
    <w:rsid w:val="00311395"/>
    <w:rsid w:val="00312F7D"/>
    <w:rsid w:val="0031391D"/>
    <w:rsid w:val="003143D4"/>
    <w:rsid w:val="00314F0E"/>
    <w:rsid w:val="00315F55"/>
    <w:rsid w:val="00317280"/>
    <w:rsid w:val="003204F3"/>
    <w:rsid w:val="00322C93"/>
    <w:rsid w:val="00322EC3"/>
    <w:rsid w:val="0032469D"/>
    <w:rsid w:val="00324B04"/>
    <w:rsid w:val="00325E97"/>
    <w:rsid w:val="00325F21"/>
    <w:rsid w:val="00327634"/>
    <w:rsid w:val="00331CC1"/>
    <w:rsid w:val="00333642"/>
    <w:rsid w:val="00333D8F"/>
    <w:rsid w:val="00334FD9"/>
    <w:rsid w:val="00336EB6"/>
    <w:rsid w:val="0034410E"/>
    <w:rsid w:val="00346282"/>
    <w:rsid w:val="0034768B"/>
    <w:rsid w:val="00347A55"/>
    <w:rsid w:val="00351F18"/>
    <w:rsid w:val="00353333"/>
    <w:rsid w:val="00353EF0"/>
    <w:rsid w:val="00355F8B"/>
    <w:rsid w:val="00360BD8"/>
    <w:rsid w:val="00360F93"/>
    <w:rsid w:val="0036289E"/>
    <w:rsid w:val="00366B3B"/>
    <w:rsid w:val="00366F64"/>
    <w:rsid w:val="00367A09"/>
    <w:rsid w:val="003705F6"/>
    <w:rsid w:val="00370E10"/>
    <w:rsid w:val="003723A0"/>
    <w:rsid w:val="003725AF"/>
    <w:rsid w:val="00372BC5"/>
    <w:rsid w:val="00373195"/>
    <w:rsid w:val="0037396B"/>
    <w:rsid w:val="00375836"/>
    <w:rsid w:val="00375B67"/>
    <w:rsid w:val="00377E7B"/>
    <w:rsid w:val="00382D82"/>
    <w:rsid w:val="0038374C"/>
    <w:rsid w:val="00384160"/>
    <w:rsid w:val="003843C3"/>
    <w:rsid w:val="003867A3"/>
    <w:rsid w:val="00386939"/>
    <w:rsid w:val="003925A8"/>
    <w:rsid w:val="00393D77"/>
    <w:rsid w:val="00394691"/>
    <w:rsid w:val="003948A7"/>
    <w:rsid w:val="00394C4A"/>
    <w:rsid w:val="003A000D"/>
    <w:rsid w:val="003A0FD0"/>
    <w:rsid w:val="003A0FD9"/>
    <w:rsid w:val="003A1577"/>
    <w:rsid w:val="003A19A6"/>
    <w:rsid w:val="003A21B1"/>
    <w:rsid w:val="003A3755"/>
    <w:rsid w:val="003A37FE"/>
    <w:rsid w:val="003A4397"/>
    <w:rsid w:val="003A7272"/>
    <w:rsid w:val="003B0C53"/>
    <w:rsid w:val="003B0EC0"/>
    <w:rsid w:val="003B37F0"/>
    <w:rsid w:val="003B5082"/>
    <w:rsid w:val="003B50C0"/>
    <w:rsid w:val="003B55B4"/>
    <w:rsid w:val="003B6AD3"/>
    <w:rsid w:val="003C355A"/>
    <w:rsid w:val="003C493B"/>
    <w:rsid w:val="003C5CFD"/>
    <w:rsid w:val="003C7A52"/>
    <w:rsid w:val="003D00C8"/>
    <w:rsid w:val="003D0B04"/>
    <w:rsid w:val="003D1988"/>
    <w:rsid w:val="003D2C4B"/>
    <w:rsid w:val="003D3180"/>
    <w:rsid w:val="003D4446"/>
    <w:rsid w:val="003D5D3C"/>
    <w:rsid w:val="003D6428"/>
    <w:rsid w:val="003D6B69"/>
    <w:rsid w:val="003D7C40"/>
    <w:rsid w:val="003D7CE6"/>
    <w:rsid w:val="003E171A"/>
    <w:rsid w:val="003E2917"/>
    <w:rsid w:val="003E385B"/>
    <w:rsid w:val="003E40E4"/>
    <w:rsid w:val="003E61E3"/>
    <w:rsid w:val="003E6AFD"/>
    <w:rsid w:val="003E73B4"/>
    <w:rsid w:val="003F193B"/>
    <w:rsid w:val="003F3EEA"/>
    <w:rsid w:val="003F584F"/>
    <w:rsid w:val="003F6EFA"/>
    <w:rsid w:val="003F78F1"/>
    <w:rsid w:val="00400D2C"/>
    <w:rsid w:val="00401C01"/>
    <w:rsid w:val="00403390"/>
    <w:rsid w:val="00403770"/>
    <w:rsid w:val="00403EDA"/>
    <w:rsid w:val="00404A63"/>
    <w:rsid w:val="0040710F"/>
    <w:rsid w:val="004074F5"/>
    <w:rsid w:val="00410082"/>
    <w:rsid w:val="00410B5A"/>
    <w:rsid w:val="00410CDE"/>
    <w:rsid w:val="004120A9"/>
    <w:rsid w:val="00412B42"/>
    <w:rsid w:val="00415C10"/>
    <w:rsid w:val="00416EFD"/>
    <w:rsid w:val="00416F65"/>
    <w:rsid w:val="0042082F"/>
    <w:rsid w:val="004211B8"/>
    <w:rsid w:val="00421F62"/>
    <w:rsid w:val="004227F7"/>
    <w:rsid w:val="00422E4A"/>
    <w:rsid w:val="004230AF"/>
    <w:rsid w:val="00423770"/>
    <w:rsid w:val="004248C4"/>
    <w:rsid w:val="00424B44"/>
    <w:rsid w:val="004258A9"/>
    <w:rsid w:val="00426FCC"/>
    <w:rsid w:val="00427595"/>
    <w:rsid w:val="00434534"/>
    <w:rsid w:val="00436272"/>
    <w:rsid w:val="00436F81"/>
    <w:rsid w:val="00437FE2"/>
    <w:rsid w:val="00440607"/>
    <w:rsid w:val="00440E01"/>
    <w:rsid w:val="004443D1"/>
    <w:rsid w:val="00444DA8"/>
    <w:rsid w:val="00445644"/>
    <w:rsid w:val="0044618E"/>
    <w:rsid w:val="00450174"/>
    <w:rsid w:val="004507AA"/>
    <w:rsid w:val="00450CCB"/>
    <w:rsid w:val="0045291A"/>
    <w:rsid w:val="00453741"/>
    <w:rsid w:val="00455147"/>
    <w:rsid w:val="00455D9A"/>
    <w:rsid w:val="004578E1"/>
    <w:rsid w:val="00461463"/>
    <w:rsid w:val="00461ABC"/>
    <w:rsid w:val="00461C77"/>
    <w:rsid w:val="00462A48"/>
    <w:rsid w:val="004659DA"/>
    <w:rsid w:val="00466253"/>
    <w:rsid w:val="004677FC"/>
    <w:rsid w:val="00470512"/>
    <w:rsid w:val="00470CD7"/>
    <w:rsid w:val="00470EE1"/>
    <w:rsid w:val="00471BF5"/>
    <w:rsid w:val="00472794"/>
    <w:rsid w:val="004732EE"/>
    <w:rsid w:val="00474A85"/>
    <w:rsid w:val="00475A6C"/>
    <w:rsid w:val="0047785F"/>
    <w:rsid w:val="00480FB8"/>
    <w:rsid w:val="00481131"/>
    <w:rsid w:val="00481A2F"/>
    <w:rsid w:val="00482627"/>
    <w:rsid w:val="00483D28"/>
    <w:rsid w:val="00483F9A"/>
    <w:rsid w:val="00484A69"/>
    <w:rsid w:val="004851D6"/>
    <w:rsid w:val="00486AFF"/>
    <w:rsid w:val="004872C5"/>
    <w:rsid w:val="00487AC9"/>
    <w:rsid w:val="004924FA"/>
    <w:rsid w:val="00492854"/>
    <w:rsid w:val="00494307"/>
    <w:rsid w:val="00495BC4"/>
    <w:rsid w:val="00495BE3"/>
    <w:rsid w:val="004971D3"/>
    <w:rsid w:val="004A3677"/>
    <w:rsid w:val="004A3DC7"/>
    <w:rsid w:val="004A4911"/>
    <w:rsid w:val="004A4F6B"/>
    <w:rsid w:val="004A5891"/>
    <w:rsid w:val="004A5AB4"/>
    <w:rsid w:val="004A68FA"/>
    <w:rsid w:val="004A707F"/>
    <w:rsid w:val="004A7CFE"/>
    <w:rsid w:val="004B0A9B"/>
    <w:rsid w:val="004B3A8C"/>
    <w:rsid w:val="004B4C3D"/>
    <w:rsid w:val="004B534D"/>
    <w:rsid w:val="004B7BF4"/>
    <w:rsid w:val="004C0B52"/>
    <w:rsid w:val="004C0D85"/>
    <w:rsid w:val="004C34B3"/>
    <w:rsid w:val="004C4034"/>
    <w:rsid w:val="004C56F0"/>
    <w:rsid w:val="004C6A7C"/>
    <w:rsid w:val="004D19A8"/>
    <w:rsid w:val="004D2D83"/>
    <w:rsid w:val="004D2E2A"/>
    <w:rsid w:val="004D3C78"/>
    <w:rsid w:val="004D4DA9"/>
    <w:rsid w:val="004E07BD"/>
    <w:rsid w:val="004E0DF7"/>
    <w:rsid w:val="004E1E58"/>
    <w:rsid w:val="004E29BB"/>
    <w:rsid w:val="004E3E11"/>
    <w:rsid w:val="004E4316"/>
    <w:rsid w:val="004E52C8"/>
    <w:rsid w:val="004E5429"/>
    <w:rsid w:val="004E62A9"/>
    <w:rsid w:val="004E7FFE"/>
    <w:rsid w:val="004F0E56"/>
    <w:rsid w:val="004F40D8"/>
    <w:rsid w:val="004F4F29"/>
    <w:rsid w:val="004F6ADA"/>
    <w:rsid w:val="00500257"/>
    <w:rsid w:val="005005FB"/>
    <w:rsid w:val="0050320E"/>
    <w:rsid w:val="00504175"/>
    <w:rsid w:val="0050425C"/>
    <w:rsid w:val="0051068C"/>
    <w:rsid w:val="005136F5"/>
    <w:rsid w:val="005154A5"/>
    <w:rsid w:val="00515ED8"/>
    <w:rsid w:val="00515F39"/>
    <w:rsid w:val="00517A78"/>
    <w:rsid w:val="005223D2"/>
    <w:rsid w:val="00523099"/>
    <w:rsid w:val="00523137"/>
    <w:rsid w:val="00523E9E"/>
    <w:rsid w:val="00525509"/>
    <w:rsid w:val="0052586B"/>
    <w:rsid w:val="00530407"/>
    <w:rsid w:val="005313BC"/>
    <w:rsid w:val="00531799"/>
    <w:rsid w:val="00531931"/>
    <w:rsid w:val="00531A19"/>
    <w:rsid w:val="0053210C"/>
    <w:rsid w:val="005321C3"/>
    <w:rsid w:val="005337E8"/>
    <w:rsid w:val="00535AB9"/>
    <w:rsid w:val="00535D45"/>
    <w:rsid w:val="00536A91"/>
    <w:rsid w:val="00537CBD"/>
    <w:rsid w:val="00540532"/>
    <w:rsid w:val="0054131B"/>
    <w:rsid w:val="00542CC3"/>
    <w:rsid w:val="00542FCA"/>
    <w:rsid w:val="0054368E"/>
    <w:rsid w:val="00545DF8"/>
    <w:rsid w:val="00547DCD"/>
    <w:rsid w:val="00550433"/>
    <w:rsid w:val="00550F65"/>
    <w:rsid w:val="00553980"/>
    <w:rsid w:val="0055482E"/>
    <w:rsid w:val="00554C27"/>
    <w:rsid w:val="005568B7"/>
    <w:rsid w:val="00557324"/>
    <w:rsid w:val="00560334"/>
    <w:rsid w:val="00562691"/>
    <w:rsid w:val="00564730"/>
    <w:rsid w:val="00564DF1"/>
    <w:rsid w:val="00565004"/>
    <w:rsid w:val="00565C66"/>
    <w:rsid w:val="00566A6A"/>
    <w:rsid w:val="005706A2"/>
    <w:rsid w:val="005716D4"/>
    <w:rsid w:val="00572B91"/>
    <w:rsid w:val="00574DD2"/>
    <w:rsid w:val="00576499"/>
    <w:rsid w:val="0057684C"/>
    <w:rsid w:val="005769FE"/>
    <w:rsid w:val="00576C5D"/>
    <w:rsid w:val="00580A4B"/>
    <w:rsid w:val="005814ED"/>
    <w:rsid w:val="0058166E"/>
    <w:rsid w:val="00582901"/>
    <w:rsid w:val="005836A7"/>
    <w:rsid w:val="0058411F"/>
    <w:rsid w:val="00586382"/>
    <w:rsid w:val="00586DF5"/>
    <w:rsid w:val="00590098"/>
    <w:rsid w:val="00591201"/>
    <w:rsid w:val="00593202"/>
    <w:rsid w:val="0059332E"/>
    <w:rsid w:val="0059749B"/>
    <w:rsid w:val="005976C9"/>
    <w:rsid w:val="00597710"/>
    <w:rsid w:val="005A244E"/>
    <w:rsid w:val="005A31F0"/>
    <w:rsid w:val="005A38A3"/>
    <w:rsid w:val="005A49A8"/>
    <w:rsid w:val="005A4E7D"/>
    <w:rsid w:val="005B05EA"/>
    <w:rsid w:val="005B1A6C"/>
    <w:rsid w:val="005B260F"/>
    <w:rsid w:val="005B2E74"/>
    <w:rsid w:val="005B3AA4"/>
    <w:rsid w:val="005B4034"/>
    <w:rsid w:val="005B4F90"/>
    <w:rsid w:val="005B5B0B"/>
    <w:rsid w:val="005B5C35"/>
    <w:rsid w:val="005B6720"/>
    <w:rsid w:val="005B6787"/>
    <w:rsid w:val="005C0408"/>
    <w:rsid w:val="005C04EB"/>
    <w:rsid w:val="005C098B"/>
    <w:rsid w:val="005C1704"/>
    <w:rsid w:val="005C1C4E"/>
    <w:rsid w:val="005C1CFE"/>
    <w:rsid w:val="005C242B"/>
    <w:rsid w:val="005C2563"/>
    <w:rsid w:val="005C3934"/>
    <w:rsid w:val="005C7684"/>
    <w:rsid w:val="005C76AC"/>
    <w:rsid w:val="005C7B2F"/>
    <w:rsid w:val="005D032A"/>
    <w:rsid w:val="005D0C9E"/>
    <w:rsid w:val="005D0F23"/>
    <w:rsid w:val="005D1120"/>
    <w:rsid w:val="005D1509"/>
    <w:rsid w:val="005D1A34"/>
    <w:rsid w:val="005D428F"/>
    <w:rsid w:val="005D4706"/>
    <w:rsid w:val="005D48ED"/>
    <w:rsid w:val="005D505E"/>
    <w:rsid w:val="005D7449"/>
    <w:rsid w:val="005E0502"/>
    <w:rsid w:val="005E0D03"/>
    <w:rsid w:val="005E17B7"/>
    <w:rsid w:val="005E1A35"/>
    <w:rsid w:val="005E4705"/>
    <w:rsid w:val="005E488E"/>
    <w:rsid w:val="005E66F3"/>
    <w:rsid w:val="005E73FA"/>
    <w:rsid w:val="005F077D"/>
    <w:rsid w:val="005F16AE"/>
    <w:rsid w:val="005F2532"/>
    <w:rsid w:val="005F40E9"/>
    <w:rsid w:val="005F5865"/>
    <w:rsid w:val="005F6303"/>
    <w:rsid w:val="0060000E"/>
    <w:rsid w:val="00600462"/>
    <w:rsid w:val="00601B30"/>
    <w:rsid w:val="00604297"/>
    <w:rsid w:val="006072BE"/>
    <w:rsid w:val="00607B6F"/>
    <w:rsid w:val="00610790"/>
    <w:rsid w:val="00610ABA"/>
    <w:rsid w:val="00611557"/>
    <w:rsid w:val="00611B3E"/>
    <w:rsid w:val="00612B94"/>
    <w:rsid w:val="006146D7"/>
    <w:rsid w:val="00614786"/>
    <w:rsid w:val="006174C2"/>
    <w:rsid w:val="00621A0F"/>
    <w:rsid w:val="00621E95"/>
    <w:rsid w:val="00624B78"/>
    <w:rsid w:val="00624BCD"/>
    <w:rsid w:val="00625174"/>
    <w:rsid w:val="00625DA8"/>
    <w:rsid w:val="00625FDB"/>
    <w:rsid w:val="0062629A"/>
    <w:rsid w:val="00626409"/>
    <w:rsid w:val="00632B13"/>
    <w:rsid w:val="00633CEB"/>
    <w:rsid w:val="006346D8"/>
    <w:rsid w:val="00635A8A"/>
    <w:rsid w:val="00635ED3"/>
    <w:rsid w:val="006365B3"/>
    <w:rsid w:val="00637697"/>
    <w:rsid w:val="00637CD2"/>
    <w:rsid w:val="00637ECA"/>
    <w:rsid w:val="00637FD5"/>
    <w:rsid w:val="00640A0C"/>
    <w:rsid w:val="00641A58"/>
    <w:rsid w:val="00642041"/>
    <w:rsid w:val="00642081"/>
    <w:rsid w:val="00642438"/>
    <w:rsid w:val="006435AF"/>
    <w:rsid w:val="00650DB6"/>
    <w:rsid w:val="00650F22"/>
    <w:rsid w:val="0065160C"/>
    <w:rsid w:val="00653BBB"/>
    <w:rsid w:val="0065442C"/>
    <w:rsid w:val="0065566E"/>
    <w:rsid w:val="006562C9"/>
    <w:rsid w:val="00662924"/>
    <w:rsid w:val="00663B74"/>
    <w:rsid w:val="00664B44"/>
    <w:rsid w:val="006701C8"/>
    <w:rsid w:val="00670F2F"/>
    <w:rsid w:val="006711D1"/>
    <w:rsid w:val="00671670"/>
    <w:rsid w:val="00673BB8"/>
    <w:rsid w:val="00681FB5"/>
    <w:rsid w:val="00682410"/>
    <w:rsid w:val="00684774"/>
    <w:rsid w:val="00685D0E"/>
    <w:rsid w:val="0068638A"/>
    <w:rsid w:val="00687DC9"/>
    <w:rsid w:val="006921AD"/>
    <w:rsid w:val="0069288B"/>
    <w:rsid w:val="00692F84"/>
    <w:rsid w:val="00693977"/>
    <w:rsid w:val="00695161"/>
    <w:rsid w:val="00695A8D"/>
    <w:rsid w:val="00695D28"/>
    <w:rsid w:val="006962B8"/>
    <w:rsid w:val="006973CE"/>
    <w:rsid w:val="00697FF5"/>
    <w:rsid w:val="006A0B2F"/>
    <w:rsid w:val="006A18BA"/>
    <w:rsid w:val="006A1DE1"/>
    <w:rsid w:val="006A2E62"/>
    <w:rsid w:val="006A6234"/>
    <w:rsid w:val="006A679B"/>
    <w:rsid w:val="006A679D"/>
    <w:rsid w:val="006A6EE5"/>
    <w:rsid w:val="006B3EF6"/>
    <w:rsid w:val="006B41E6"/>
    <w:rsid w:val="006B47D7"/>
    <w:rsid w:val="006B60BA"/>
    <w:rsid w:val="006B60FE"/>
    <w:rsid w:val="006B6B18"/>
    <w:rsid w:val="006B7D06"/>
    <w:rsid w:val="006C01C0"/>
    <w:rsid w:val="006C548A"/>
    <w:rsid w:val="006C5AFE"/>
    <w:rsid w:val="006D0877"/>
    <w:rsid w:val="006D0FE8"/>
    <w:rsid w:val="006D201D"/>
    <w:rsid w:val="006D38C5"/>
    <w:rsid w:val="006D47CD"/>
    <w:rsid w:val="006D4DA0"/>
    <w:rsid w:val="006D7A00"/>
    <w:rsid w:val="006D7F81"/>
    <w:rsid w:val="006E560C"/>
    <w:rsid w:val="006E59C9"/>
    <w:rsid w:val="006E758A"/>
    <w:rsid w:val="006F100C"/>
    <w:rsid w:val="006F1BC1"/>
    <w:rsid w:val="006F435B"/>
    <w:rsid w:val="006F645F"/>
    <w:rsid w:val="007006FB"/>
    <w:rsid w:val="007008CA"/>
    <w:rsid w:val="00701268"/>
    <w:rsid w:val="007023D9"/>
    <w:rsid w:val="00702F03"/>
    <w:rsid w:val="00702F87"/>
    <w:rsid w:val="00704C44"/>
    <w:rsid w:val="0070706B"/>
    <w:rsid w:val="00707D7B"/>
    <w:rsid w:val="007104D8"/>
    <w:rsid w:val="0071211A"/>
    <w:rsid w:val="00712346"/>
    <w:rsid w:val="007139A4"/>
    <w:rsid w:val="00713D43"/>
    <w:rsid w:val="00714D3D"/>
    <w:rsid w:val="007167F5"/>
    <w:rsid w:val="0072085D"/>
    <w:rsid w:val="00720CC5"/>
    <w:rsid w:val="00721BCE"/>
    <w:rsid w:val="0072290C"/>
    <w:rsid w:val="00724902"/>
    <w:rsid w:val="00725062"/>
    <w:rsid w:val="00726157"/>
    <w:rsid w:val="00727A22"/>
    <w:rsid w:val="007304F5"/>
    <w:rsid w:val="0073132F"/>
    <w:rsid w:val="0073180B"/>
    <w:rsid w:val="0073280B"/>
    <w:rsid w:val="00735A91"/>
    <w:rsid w:val="00740EFC"/>
    <w:rsid w:val="007456CB"/>
    <w:rsid w:val="007475AB"/>
    <w:rsid w:val="00747883"/>
    <w:rsid w:val="00750426"/>
    <w:rsid w:val="0075100A"/>
    <w:rsid w:val="00753416"/>
    <w:rsid w:val="00754C65"/>
    <w:rsid w:val="007562F7"/>
    <w:rsid w:val="0076083E"/>
    <w:rsid w:val="00761D98"/>
    <w:rsid w:val="0076360E"/>
    <w:rsid w:val="00763CA8"/>
    <w:rsid w:val="00763E85"/>
    <w:rsid w:val="00765692"/>
    <w:rsid w:val="00766368"/>
    <w:rsid w:val="00767F8B"/>
    <w:rsid w:val="00770B07"/>
    <w:rsid w:val="00771810"/>
    <w:rsid w:val="00771C64"/>
    <w:rsid w:val="00772E29"/>
    <w:rsid w:val="00773050"/>
    <w:rsid w:val="00775235"/>
    <w:rsid w:val="00776241"/>
    <w:rsid w:val="0077686B"/>
    <w:rsid w:val="00776AB9"/>
    <w:rsid w:val="0077701B"/>
    <w:rsid w:val="0077707F"/>
    <w:rsid w:val="00777E26"/>
    <w:rsid w:val="007822B8"/>
    <w:rsid w:val="007826FF"/>
    <w:rsid w:val="007827AC"/>
    <w:rsid w:val="007858B5"/>
    <w:rsid w:val="007859F2"/>
    <w:rsid w:val="00786079"/>
    <w:rsid w:val="0078625E"/>
    <w:rsid w:val="00790E8A"/>
    <w:rsid w:val="007915A0"/>
    <w:rsid w:val="007918FD"/>
    <w:rsid w:val="0079287F"/>
    <w:rsid w:val="0079387D"/>
    <w:rsid w:val="00794136"/>
    <w:rsid w:val="0079426E"/>
    <w:rsid w:val="00794C98"/>
    <w:rsid w:val="007958CA"/>
    <w:rsid w:val="00796486"/>
    <w:rsid w:val="00797255"/>
    <w:rsid w:val="0079745B"/>
    <w:rsid w:val="007A0898"/>
    <w:rsid w:val="007A0DAA"/>
    <w:rsid w:val="007A435C"/>
    <w:rsid w:val="007A6727"/>
    <w:rsid w:val="007B0744"/>
    <w:rsid w:val="007B099E"/>
    <w:rsid w:val="007B158B"/>
    <w:rsid w:val="007B2214"/>
    <w:rsid w:val="007B2E1B"/>
    <w:rsid w:val="007B5768"/>
    <w:rsid w:val="007B5F5B"/>
    <w:rsid w:val="007B61B7"/>
    <w:rsid w:val="007B6769"/>
    <w:rsid w:val="007B6AF5"/>
    <w:rsid w:val="007B74E6"/>
    <w:rsid w:val="007C10EB"/>
    <w:rsid w:val="007C40E7"/>
    <w:rsid w:val="007D175D"/>
    <w:rsid w:val="007D2796"/>
    <w:rsid w:val="007D2A94"/>
    <w:rsid w:val="007D6DF4"/>
    <w:rsid w:val="007E02EC"/>
    <w:rsid w:val="007E127D"/>
    <w:rsid w:val="007E2676"/>
    <w:rsid w:val="007E47EC"/>
    <w:rsid w:val="007E4A9E"/>
    <w:rsid w:val="007F03AB"/>
    <w:rsid w:val="007F42AE"/>
    <w:rsid w:val="007F45D4"/>
    <w:rsid w:val="007F46F6"/>
    <w:rsid w:val="007F4BD8"/>
    <w:rsid w:val="007F571D"/>
    <w:rsid w:val="007F7D5A"/>
    <w:rsid w:val="0080128A"/>
    <w:rsid w:val="00802697"/>
    <w:rsid w:val="00802EBA"/>
    <w:rsid w:val="00803BCD"/>
    <w:rsid w:val="00805B29"/>
    <w:rsid w:val="00805D0F"/>
    <w:rsid w:val="00810069"/>
    <w:rsid w:val="00810DBB"/>
    <w:rsid w:val="00811845"/>
    <w:rsid w:val="008141D4"/>
    <w:rsid w:val="00815953"/>
    <w:rsid w:val="0081630D"/>
    <w:rsid w:val="0081758E"/>
    <w:rsid w:val="00817DFC"/>
    <w:rsid w:val="0082455A"/>
    <w:rsid w:val="00824B71"/>
    <w:rsid w:val="0082519A"/>
    <w:rsid w:val="00825354"/>
    <w:rsid w:val="00826155"/>
    <w:rsid w:val="008268D5"/>
    <w:rsid w:val="008269D8"/>
    <w:rsid w:val="00827973"/>
    <w:rsid w:val="008303AF"/>
    <w:rsid w:val="00830D6A"/>
    <w:rsid w:val="00830F5C"/>
    <w:rsid w:val="00833234"/>
    <w:rsid w:val="008370C0"/>
    <w:rsid w:val="008379F1"/>
    <w:rsid w:val="008409E2"/>
    <w:rsid w:val="008414C2"/>
    <w:rsid w:val="00842350"/>
    <w:rsid w:val="008428DB"/>
    <w:rsid w:val="00843257"/>
    <w:rsid w:val="008446BB"/>
    <w:rsid w:val="008454FA"/>
    <w:rsid w:val="008466C7"/>
    <w:rsid w:val="00847F37"/>
    <w:rsid w:val="00853201"/>
    <w:rsid w:val="00853822"/>
    <w:rsid w:val="00854C51"/>
    <w:rsid w:val="008604D8"/>
    <w:rsid w:val="008604EF"/>
    <w:rsid w:val="008617EA"/>
    <w:rsid w:val="00861B28"/>
    <w:rsid w:val="00862282"/>
    <w:rsid w:val="00862A65"/>
    <w:rsid w:val="00863FBE"/>
    <w:rsid w:val="0086466E"/>
    <w:rsid w:val="00864C29"/>
    <w:rsid w:val="0086579E"/>
    <w:rsid w:val="008657C0"/>
    <w:rsid w:val="00865DF7"/>
    <w:rsid w:val="00865E9D"/>
    <w:rsid w:val="00865F47"/>
    <w:rsid w:val="008663F4"/>
    <w:rsid w:val="00867186"/>
    <w:rsid w:val="008703B5"/>
    <w:rsid w:val="00870856"/>
    <w:rsid w:val="00872267"/>
    <w:rsid w:val="0087328E"/>
    <w:rsid w:val="008743E5"/>
    <w:rsid w:val="00874FC6"/>
    <w:rsid w:val="0087563B"/>
    <w:rsid w:val="00875A05"/>
    <w:rsid w:val="008767FA"/>
    <w:rsid w:val="0087780A"/>
    <w:rsid w:val="00880F81"/>
    <w:rsid w:val="008824BF"/>
    <w:rsid w:val="00882ECF"/>
    <w:rsid w:val="008857AC"/>
    <w:rsid w:val="00885901"/>
    <w:rsid w:val="00887274"/>
    <w:rsid w:val="008908D3"/>
    <w:rsid w:val="00893009"/>
    <w:rsid w:val="00895E1D"/>
    <w:rsid w:val="008960CF"/>
    <w:rsid w:val="008961A0"/>
    <w:rsid w:val="008972FB"/>
    <w:rsid w:val="0089730B"/>
    <w:rsid w:val="00897A02"/>
    <w:rsid w:val="008A3984"/>
    <w:rsid w:val="008A39C4"/>
    <w:rsid w:val="008A3D71"/>
    <w:rsid w:val="008A603D"/>
    <w:rsid w:val="008A64EC"/>
    <w:rsid w:val="008A747A"/>
    <w:rsid w:val="008B11BE"/>
    <w:rsid w:val="008B179A"/>
    <w:rsid w:val="008B48E5"/>
    <w:rsid w:val="008B4F5F"/>
    <w:rsid w:val="008B7EDD"/>
    <w:rsid w:val="008C093E"/>
    <w:rsid w:val="008C0B69"/>
    <w:rsid w:val="008C208D"/>
    <w:rsid w:val="008C325E"/>
    <w:rsid w:val="008C47F2"/>
    <w:rsid w:val="008C69F3"/>
    <w:rsid w:val="008D1A6D"/>
    <w:rsid w:val="008D221A"/>
    <w:rsid w:val="008D24DB"/>
    <w:rsid w:val="008D2868"/>
    <w:rsid w:val="008D2C33"/>
    <w:rsid w:val="008D2DE8"/>
    <w:rsid w:val="008D3CC2"/>
    <w:rsid w:val="008D7137"/>
    <w:rsid w:val="008E0001"/>
    <w:rsid w:val="008E3773"/>
    <w:rsid w:val="008E45C5"/>
    <w:rsid w:val="008E7AA2"/>
    <w:rsid w:val="008F01A9"/>
    <w:rsid w:val="008F42D9"/>
    <w:rsid w:val="008F4476"/>
    <w:rsid w:val="008F4B77"/>
    <w:rsid w:val="008F7AD0"/>
    <w:rsid w:val="009008BA"/>
    <w:rsid w:val="00901CEA"/>
    <w:rsid w:val="00904C81"/>
    <w:rsid w:val="00905602"/>
    <w:rsid w:val="009067C3"/>
    <w:rsid w:val="00907F6F"/>
    <w:rsid w:val="00911521"/>
    <w:rsid w:val="00911D2E"/>
    <w:rsid w:val="00912F64"/>
    <w:rsid w:val="0091344E"/>
    <w:rsid w:val="00913BD9"/>
    <w:rsid w:val="00913DE9"/>
    <w:rsid w:val="00915CAF"/>
    <w:rsid w:val="009163B1"/>
    <w:rsid w:val="00917B1C"/>
    <w:rsid w:val="00920E1E"/>
    <w:rsid w:val="00922793"/>
    <w:rsid w:val="009236A8"/>
    <w:rsid w:val="00923FF8"/>
    <w:rsid w:val="00924FC4"/>
    <w:rsid w:val="009252CC"/>
    <w:rsid w:val="009273C3"/>
    <w:rsid w:val="00927D8A"/>
    <w:rsid w:val="009319E7"/>
    <w:rsid w:val="00932015"/>
    <w:rsid w:val="00934714"/>
    <w:rsid w:val="00940545"/>
    <w:rsid w:val="009412A9"/>
    <w:rsid w:val="00941A71"/>
    <w:rsid w:val="00942689"/>
    <w:rsid w:val="009440E1"/>
    <w:rsid w:val="0094416A"/>
    <w:rsid w:val="009449BD"/>
    <w:rsid w:val="00946AEE"/>
    <w:rsid w:val="00947D33"/>
    <w:rsid w:val="009503D2"/>
    <w:rsid w:val="009505F5"/>
    <w:rsid w:val="00951A05"/>
    <w:rsid w:val="009525C7"/>
    <w:rsid w:val="009529A2"/>
    <w:rsid w:val="00953793"/>
    <w:rsid w:val="00954C7D"/>
    <w:rsid w:val="00955F78"/>
    <w:rsid w:val="00961E2E"/>
    <w:rsid w:val="00962CDB"/>
    <w:rsid w:val="009633A0"/>
    <w:rsid w:val="00966EDC"/>
    <w:rsid w:val="009672C4"/>
    <w:rsid w:val="00967445"/>
    <w:rsid w:val="00967583"/>
    <w:rsid w:val="0096774B"/>
    <w:rsid w:val="009709DE"/>
    <w:rsid w:val="00971EB2"/>
    <w:rsid w:val="00972002"/>
    <w:rsid w:val="00972213"/>
    <w:rsid w:val="0097221E"/>
    <w:rsid w:val="00973413"/>
    <w:rsid w:val="009737B6"/>
    <w:rsid w:val="009753D6"/>
    <w:rsid w:val="00980A46"/>
    <w:rsid w:val="00981315"/>
    <w:rsid w:val="009814F8"/>
    <w:rsid w:val="0098345C"/>
    <w:rsid w:val="0098596E"/>
    <w:rsid w:val="00986B3E"/>
    <w:rsid w:val="00990E25"/>
    <w:rsid w:val="00992A09"/>
    <w:rsid w:val="00994DB8"/>
    <w:rsid w:val="009954EE"/>
    <w:rsid w:val="00995EFF"/>
    <w:rsid w:val="00996865"/>
    <w:rsid w:val="00997565"/>
    <w:rsid w:val="009A0510"/>
    <w:rsid w:val="009A1FB7"/>
    <w:rsid w:val="009A26F8"/>
    <w:rsid w:val="009A2EF7"/>
    <w:rsid w:val="009A4461"/>
    <w:rsid w:val="009A568E"/>
    <w:rsid w:val="009A6ABA"/>
    <w:rsid w:val="009A6ED7"/>
    <w:rsid w:val="009A72D3"/>
    <w:rsid w:val="009A7CF0"/>
    <w:rsid w:val="009A7E6B"/>
    <w:rsid w:val="009B04E2"/>
    <w:rsid w:val="009B1BF8"/>
    <w:rsid w:val="009B27DE"/>
    <w:rsid w:val="009B4B42"/>
    <w:rsid w:val="009B53CB"/>
    <w:rsid w:val="009B5EBF"/>
    <w:rsid w:val="009B6E5A"/>
    <w:rsid w:val="009B7127"/>
    <w:rsid w:val="009B7478"/>
    <w:rsid w:val="009B7E46"/>
    <w:rsid w:val="009C024A"/>
    <w:rsid w:val="009C281C"/>
    <w:rsid w:val="009C29AD"/>
    <w:rsid w:val="009C2B95"/>
    <w:rsid w:val="009C2C0A"/>
    <w:rsid w:val="009C2F03"/>
    <w:rsid w:val="009C3478"/>
    <w:rsid w:val="009C36E7"/>
    <w:rsid w:val="009C5538"/>
    <w:rsid w:val="009C58AD"/>
    <w:rsid w:val="009C69FD"/>
    <w:rsid w:val="009C6D7D"/>
    <w:rsid w:val="009C75F5"/>
    <w:rsid w:val="009D0D7F"/>
    <w:rsid w:val="009D10B3"/>
    <w:rsid w:val="009D398C"/>
    <w:rsid w:val="009D40CD"/>
    <w:rsid w:val="009D4B7C"/>
    <w:rsid w:val="009D77C9"/>
    <w:rsid w:val="009D790F"/>
    <w:rsid w:val="009E0FED"/>
    <w:rsid w:val="009E2E37"/>
    <w:rsid w:val="009E3B47"/>
    <w:rsid w:val="009E4829"/>
    <w:rsid w:val="009E4898"/>
    <w:rsid w:val="009E62B9"/>
    <w:rsid w:val="009E772B"/>
    <w:rsid w:val="009E7788"/>
    <w:rsid w:val="009F1653"/>
    <w:rsid w:val="009F3B87"/>
    <w:rsid w:val="00A02734"/>
    <w:rsid w:val="00A02981"/>
    <w:rsid w:val="00A02D47"/>
    <w:rsid w:val="00A05E81"/>
    <w:rsid w:val="00A06364"/>
    <w:rsid w:val="00A06CD4"/>
    <w:rsid w:val="00A07D4A"/>
    <w:rsid w:val="00A10474"/>
    <w:rsid w:val="00A11AA0"/>
    <w:rsid w:val="00A12D89"/>
    <w:rsid w:val="00A1317C"/>
    <w:rsid w:val="00A13945"/>
    <w:rsid w:val="00A13BFD"/>
    <w:rsid w:val="00A14BBE"/>
    <w:rsid w:val="00A15021"/>
    <w:rsid w:val="00A169AD"/>
    <w:rsid w:val="00A210ED"/>
    <w:rsid w:val="00A212BF"/>
    <w:rsid w:val="00A220C9"/>
    <w:rsid w:val="00A223DA"/>
    <w:rsid w:val="00A22816"/>
    <w:rsid w:val="00A23BF1"/>
    <w:rsid w:val="00A2452A"/>
    <w:rsid w:val="00A24D0C"/>
    <w:rsid w:val="00A2667D"/>
    <w:rsid w:val="00A26D04"/>
    <w:rsid w:val="00A32DA5"/>
    <w:rsid w:val="00A3329D"/>
    <w:rsid w:val="00A347ED"/>
    <w:rsid w:val="00A36900"/>
    <w:rsid w:val="00A3724E"/>
    <w:rsid w:val="00A3797B"/>
    <w:rsid w:val="00A41034"/>
    <w:rsid w:val="00A447D0"/>
    <w:rsid w:val="00A463D9"/>
    <w:rsid w:val="00A46429"/>
    <w:rsid w:val="00A47BE3"/>
    <w:rsid w:val="00A52434"/>
    <w:rsid w:val="00A52533"/>
    <w:rsid w:val="00A56601"/>
    <w:rsid w:val="00A57533"/>
    <w:rsid w:val="00A620F1"/>
    <w:rsid w:val="00A6263B"/>
    <w:rsid w:val="00A6672B"/>
    <w:rsid w:val="00A70623"/>
    <w:rsid w:val="00A719C9"/>
    <w:rsid w:val="00A72AF9"/>
    <w:rsid w:val="00A768DA"/>
    <w:rsid w:val="00A77A94"/>
    <w:rsid w:val="00A81526"/>
    <w:rsid w:val="00A82AD5"/>
    <w:rsid w:val="00A83A48"/>
    <w:rsid w:val="00A84398"/>
    <w:rsid w:val="00A8597D"/>
    <w:rsid w:val="00A86046"/>
    <w:rsid w:val="00A861AF"/>
    <w:rsid w:val="00A864DD"/>
    <w:rsid w:val="00A86734"/>
    <w:rsid w:val="00A87A07"/>
    <w:rsid w:val="00A90B91"/>
    <w:rsid w:val="00A90E2A"/>
    <w:rsid w:val="00A90E90"/>
    <w:rsid w:val="00A90FED"/>
    <w:rsid w:val="00A921C7"/>
    <w:rsid w:val="00A93662"/>
    <w:rsid w:val="00A94000"/>
    <w:rsid w:val="00A970D7"/>
    <w:rsid w:val="00A976E9"/>
    <w:rsid w:val="00A9777E"/>
    <w:rsid w:val="00AA2524"/>
    <w:rsid w:val="00AA2C49"/>
    <w:rsid w:val="00AA3430"/>
    <w:rsid w:val="00AB0675"/>
    <w:rsid w:val="00AB07C6"/>
    <w:rsid w:val="00AB1063"/>
    <w:rsid w:val="00AB2B5D"/>
    <w:rsid w:val="00AB42B4"/>
    <w:rsid w:val="00AB5572"/>
    <w:rsid w:val="00AB5F03"/>
    <w:rsid w:val="00AB5FA4"/>
    <w:rsid w:val="00AB60AE"/>
    <w:rsid w:val="00AB6332"/>
    <w:rsid w:val="00AB6603"/>
    <w:rsid w:val="00AB7863"/>
    <w:rsid w:val="00AC102A"/>
    <w:rsid w:val="00AC1DC3"/>
    <w:rsid w:val="00AC266A"/>
    <w:rsid w:val="00AC2B7C"/>
    <w:rsid w:val="00AC35F1"/>
    <w:rsid w:val="00AC3C4A"/>
    <w:rsid w:val="00AC45DF"/>
    <w:rsid w:val="00AC507A"/>
    <w:rsid w:val="00AC5EEA"/>
    <w:rsid w:val="00AC609A"/>
    <w:rsid w:val="00AC628D"/>
    <w:rsid w:val="00AD0058"/>
    <w:rsid w:val="00AD0189"/>
    <w:rsid w:val="00AD309C"/>
    <w:rsid w:val="00AD6678"/>
    <w:rsid w:val="00AD7130"/>
    <w:rsid w:val="00AE0218"/>
    <w:rsid w:val="00AE164A"/>
    <w:rsid w:val="00AE35E9"/>
    <w:rsid w:val="00AE467F"/>
    <w:rsid w:val="00AE46DC"/>
    <w:rsid w:val="00AE49FC"/>
    <w:rsid w:val="00AE4AF2"/>
    <w:rsid w:val="00AE53E8"/>
    <w:rsid w:val="00AE7267"/>
    <w:rsid w:val="00AF12D2"/>
    <w:rsid w:val="00AF297B"/>
    <w:rsid w:val="00AF337D"/>
    <w:rsid w:val="00AF4208"/>
    <w:rsid w:val="00AF4C4D"/>
    <w:rsid w:val="00AF5931"/>
    <w:rsid w:val="00AF5C03"/>
    <w:rsid w:val="00AF65C0"/>
    <w:rsid w:val="00AF7264"/>
    <w:rsid w:val="00AF7575"/>
    <w:rsid w:val="00B00086"/>
    <w:rsid w:val="00B00330"/>
    <w:rsid w:val="00B00EEF"/>
    <w:rsid w:val="00B049DB"/>
    <w:rsid w:val="00B04B8B"/>
    <w:rsid w:val="00B04F3C"/>
    <w:rsid w:val="00B04FCA"/>
    <w:rsid w:val="00B05510"/>
    <w:rsid w:val="00B0740B"/>
    <w:rsid w:val="00B078B3"/>
    <w:rsid w:val="00B1039A"/>
    <w:rsid w:val="00B11685"/>
    <w:rsid w:val="00B11DE6"/>
    <w:rsid w:val="00B142F7"/>
    <w:rsid w:val="00B172E7"/>
    <w:rsid w:val="00B20E88"/>
    <w:rsid w:val="00B216F8"/>
    <w:rsid w:val="00B25948"/>
    <w:rsid w:val="00B2627E"/>
    <w:rsid w:val="00B26E18"/>
    <w:rsid w:val="00B27289"/>
    <w:rsid w:val="00B30FDF"/>
    <w:rsid w:val="00B3248F"/>
    <w:rsid w:val="00B32A2C"/>
    <w:rsid w:val="00B3548B"/>
    <w:rsid w:val="00B40094"/>
    <w:rsid w:val="00B404B1"/>
    <w:rsid w:val="00B4097B"/>
    <w:rsid w:val="00B4275B"/>
    <w:rsid w:val="00B42BEB"/>
    <w:rsid w:val="00B43C69"/>
    <w:rsid w:val="00B43D11"/>
    <w:rsid w:val="00B43E2B"/>
    <w:rsid w:val="00B44A45"/>
    <w:rsid w:val="00B46767"/>
    <w:rsid w:val="00B46BF3"/>
    <w:rsid w:val="00B47611"/>
    <w:rsid w:val="00B5069F"/>
    <w:rsid w:val="00B52A41"/>
    <w:rsid w:val="00B53F2E"/>
    <w:rsid w:val="00B573BC"/>
    <w:rsid w:val="00B57818"/>
    <w:rsid w:val="00B6358D"/>
    <w:rsid w:val="00B64F71"/>
    <w:rsid w:val="00B66E82"/>
    <w:rsid w:val="00B70939"/>
    <w:rsid w:val="00B711DA"/>
    <w:rsid w:val="00B71547"/>
    <w:rsid w:val="00B7154C"/>
    <w:rsid w:val="00B71A90"/>
    <w:rsid w:val="00B74803"/>
    <w:rsid w:val="00B75201"/>
    <w:rsid w:val="00B7559F"/>
    <w:rsid w:val="00B763D5"/>
    <w:rsid w:val="00B81514"/>
    <w:rsid w:val="00B81CA5"/>
    <w:rsid w:val="00B83981"/>
    <w:rsid w:val="00B8494B"/>
    <w:rsid w:val="00B859B8"/>
    <w:rsid w:val="00B876E2"/>
    <w:rsid w:val="00B90B9D"/>
    <w:rsid w:val="00B915D5"/>
    <w:rsid w:val="00B91D3C"/>
    <w:rsid w:val="00B9259C"/>
    <w:rsid w:val="00B96268"/>
    <w:rsid w:val="00B976D5"/>
    <w:rsid w:val="00BA1004"/>
    <w:rsid w:val="00BA13AD"/>
    <w:rsid w:val="00BA25EA"/>
    <w:rsid w:val="00BA33E1"/>
    <w:rsid w:val="00BA3504"/>
    <w:rsid w:val="00BA69E9"/>
    <w:rsid w:val="00BA75CD"/>
    <w:rsid w:val="00BA76E3"/>
    <w:rsid w:val="00BB0386"/>
    <w:rsid w:val="00BB0399"/>
    <w:rsid w:val="00BB12E5"/>
    <w:rsid w:val="00BB28F4"/>
    <w:rsid w:val="00BB2B68"/>
    <w:rsid w:val="00BB4431"/>
    <w:rsid w:val="00BB4A1F"/>
    <w:rsid w:val="00BB6B93"/>
    <w:rsid w:val="00BB7A98"/>
    <w:rsid w:val="00BB7E6E"/>
    <w:rsid w:val="00BC0AC9"/>
    <w:rsid w:val="00BC2C4D"/>
    <w:rsid w:val="00BC4C69"/>
    <w:rsid w:val="00BD0DBE"/>
    <w:rsid w:val="00BD189F"/>
    <w:rsid w:val="00BD1A2F"/>
    <w:rsid w:val="00BD2D5F"/>
    <w:rsid w:val="00BD4719"/>
    <w:rsid w:val="00BD4E6F"/>
    <w:rsid w:val="00BD5538"/>
    <w:rsid w:val="00BD6177"/>
    <w:rsid w:val="00BD757C"/>
    <w:rsid w:val="00BE11B8"/>
    <w:rsid w:val="00BE13FD"/>
    <w:rsid w:val="00BE4299"/>
    <w:rsid w:val="00BE465B"/>
    <w:rsid w:val="00BE56B5"/>
    <w:rsid w:val="00BE67F4"/>
    <w:rsid w:val="00BE7F07"/>
    <w:rsid w:val="00BF0402"/>
    <w:rsid w:val="00BF156A"/>
    <w:rsid w:val="00BF2AB7"/>
    <w:rsid w:val="00BF4B08"/>
    <w:rsid w:val="00BF5EEE"/>
    <w:rsid w:val="00BF671B"/>
    <w:rsid w:val="00C03378"/>
    <w:rsid w:val="00C037DE"/>
    <w:rsid w:val="00C04DD3"/>
    <w:rsid w:val="00C051CC"/>
    <w:rsid w:val="00C06228"/>
    <w:rsid w:val="00C06356"/>
    <w:rsid w:val="00C0697A"/>
    <w:rsid w:val="00C06BA3"/>
    <w:rsid w:val="00C06BAC"/>
    <w:rsid w:val="00C1054E"/>
    <w:rsid w:val="00C12DD1"/>
    <w:rsid w:val="00C1375C"/>
    <w:rsid w:val="00C208E0"/>
    <w:rsid w:val="00C20D61"/>
    <w:rsid w:val="00C222DC"/>
    <w:rsid w:val="00C2245B"/>
    <w:rsid w:val="00C23E3B"/>
    <w:rsid w:val="00C26C72"/>
    <w:rsid w:val="00C3077D"/>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3B0"/>
    <w:rsid w:val="00C464AB"/>
    <w:rsid w:val="00C46BBC"/>
    <w:rsid w:val="00C472A6"/>
    <w:rsid w:val="00C47FA6"/>
    <w:rsid w:val="00C51108"/>
    <w:rsid w:val="00C55588"/>
    <w:rsid w:val="00C559FF"/>
    <w:rsid w:val="00C603B7"/>
    <w:rsid w:val="00C61526"/>
    <w:rsid w:val="00C626FB"/>
    <w:rsid w:val="00C62EA4"/>
    <w:rsid w:val="00C64864"/>
    <w:rsid w:val="00C64884"/>
    <w:rsid w:val="00C64B57"/>
    <w:rsid w:val="00C64BA1"/>
    <w:rsid w:val="00C663D6"/>
    <w:rsid w:val="00C70EC6"/>
    <w:rsid w:val="00C7142B"/>
    <w:rsid w:val="00C715A5"/>
    <w:rsid w:val="00C74D60"/>
    <w:rsid w:val="00C76031"/>
    <w:rsid w:val="00C767FF"/>
    <w:rsid w:val="00C8064C"/>
    <w:rsid w:val="00C857A4"/>
    <w:rsid w:val="00C85A71"/>
    <w:rsid w:val="00C87D4F"/>
    <w:rsid w:val="00C87EEC"/>
    <w:rsid w:val="00C90C16"/>
    <w:rsid w:val="00C90EFF"/>
    <w:rsid w:val="00C9138A"/>
    <w:rsid w:val="00C940C7"/>
    <w:rsid w:val="00C95EB3"/>
    <w:rsid w:val="00C97C21"/>
    <w:rsid w:val="00CA0D1C"/>
    <w:rsid w:val="00CA159F"/>
    <w:rsid w:val="00CA166B"/>
    <w:rsid w:val="00CA17CF"/>
    <w:rsid w:val="00CA238B"/>
    <w:rsid w:val="00CA6C47"/>
    <w:rsid w:val="00CB01B6"/>
    <w:rsid w:val="00CB0711"/>
    <w:rsid w:val="00CB0E66"/>
    <w:rsid w:val="00CB12CC"/>
    <w:rsid w:val="00CB1835"/>
    <w:rsid w:val="00CB1CF4"/>
    <w:rsid w:val="00CB1F58"/>
    <w:rsid w:val="00CB3D28"/>
    <w:rsid w:val="00CB5235"/>
    <w:rsid w:val="00CB5342"/>
    <w:rsid w:val="00CB5943"/>
    <w:rsid w:val="00CB69F6"/>
    <w:rsid w:val="00CB7655"/>
    <w:rsid w:val="00CC03AF"/>
    <w:rsid w:val="00CC0652"/>
    <w:rsid w:val="00CC0C19"/>
    <w:rsid w:val="00CC23C0"/>
    <w:rsid w:val="00CC48B3"/>
    <w:rsid w:val="00CC5C38"/>
    <w:rsid w:val="00CC5D47"/>
    <w:rsid w:val="00CC6D45"/>
    <w:rsid w:val="00CC70BC"/>
    <w:rsid w:val="00CD141F"/>
    <w:rsid w:val="00CD2705"/>
    <w:rsid w:val="00CD34D7"/>
    <w:rsid w:val="00CD5472"/>
    <w:rsid w:val="00CD6793"/>
    <w:rsid w:val="00CD6A02"/>
    <w:rsid w:val="00CD6E2E"/>
    <w:rsid w:val="00CD70C4"/>
    <w:rsid w:val="00CD7172"/>
    <w:rsid w:val="00CD7509"/>
    <w:rsid w:val="00CD7C8A"/>
    <w:rsid w:val="00CE0EC0"/>
    <w:rsid w:val="00CE1E70"/>
    <w:rsid w:val="00CE229B"/>
    <w:rsid w:val="00CE520B"/>
    <w:rsid w:val="00CE5BD8"/>
    <w:rsid w:val="00CE7545"/>
    <w:rsid w:val="00CF0C6E"/>
    <w:rsid w:val="00CF26AD"/>
    <w:rsid w:val="00CF2EA9"/>
    <w:rsid w:val="00CF3F33"/>
    <w:rsid w:val="00CF41D1"/>
    <w:rsid w:val="00CF5D3B"/>
    <w:rsid w:val="00CF643C"/>
    <w:rsid w:val="00CF6496"/>
    <w:rsid w:val="00CF7C2B"/>
    <w:rsid w:val="00D00E8D"/>
    <w:rsid w:val="00D01528"/>
    <w:rsid w:val="00D029A3"/>
    <w:rsid w:val="00D04229"/>
    <w:rsid w:val="00D050B4"/>
    <w:rsid w:val="00D06088"/>
    <w:rsid w:val="00D06372"/>
    <w:rsid w:val="00D0667B"/>
    <w:rsid w:val="00D068E6"/>
    <w:rsid w:val="00D07807"/>
    <w:rsid w:val="00D10283"/>
    <w:rsid w:val="00D108ED"/>
    <w:rsid w:val="00D11302"/>
    <w:rsid w:val="00D1140D"/>
    <w:rsid w:val="00D11D56"/>
    <w:rsid w:val="00D136A0"/>
    <w:rsid w:val="00D1659D"/>
    <w:rsid w:val="00D16656"/>
    <w:rsid w:val="00D16B36"/>
    <w:rsid w:val="00D17554"/>
    <w:rsid w:val="00D175F5"/>
    <w:rsid w:val="00D21748"/>
    <w:rsid w:val="00D21E27"/>
    <w:rsid w:val="00D23D2D"/>
    <w:rsid w:val="00D241CD"/>
    <w:rsid w:val="00D25085"/>
    <w:rsid w:val="00D2646F"/>
    <w:rsid w:val="00D267D6"/>
    <w:rsid w:val="00D2718C"/>
    <w:rsid w:val="00D30753"/>
    <w:rsid w:val="00D3182B"/>
    <w:rsid w:val="00D33A36"/>
    <w:rsid w:val="00D34AFA"/>
    <w:rsid w:val="00D3565D"/>
    <w:rsid w:val="00D35A9E"/>
    <w:rsid w:val="00D37F82"/>
    <w:rsid w:val="00D414C8"/>
    <w:rsid w:val="00D42841"/>
    <w:rsid w:val="00D4302B"/>
    <w:rsid w:val="00D43D79"/>
    <w:rsid w:val="00D447A2"/>
    <w:rsid w:val="00D4528C"/>
    <w:rsid w:val="00D452B6"/>
    <w:rsid w:val="00D4544A"/>
    <w:rsid w:val="00D53C1D"/>
    <w:rsid w:val="00D53E23"/>
    <w:rsid w:val="00D548C4"/>
    <w:rsid w:val="00D54B86"/>
    <w:rsid w:val="00D54D5C"/>
    <w:rsid w:val="00D5698E"/>
    <w:rsid w:val="00D570F3"/>
    <w:rsid w:val="00D60A39"/>
    <w:rsid w:val="00D61753"/>
    <w:rsid w:val="00D62556"/>
    <w:rsid w:val="00D64129"/>
    <w:rsid w:val="00D66B7F"/>
    <w:rsid w:val="00D72025"/>
    <w:rsid w:val="00D723FC"/>
    <w:rsid w:val="00D72A3A"/>
    <w:rsid w:val="00D73BCB"/>
    <w:rsid w:val="00D73EBB"/>
    <w:rsid w:val="00D7459C"/>
    <w:rsid w:val="00D75E19"/>
    <w:rsid w:val="00D76F83"/>
    <w:rsid w:val="00D7745C"/>
    <w:rsid w:val="00D800A5"/>
    <w:rsid w:val="00D815B0"/>
    <w:rsid w:val="00D81F63"/>
    <w:rsid w:val="00D83B3B"/>
    <w:rsid w:val="00D85717"/>
    <w:rsid w:val="00D85A1F"/>
    <w:rsid w:val="00D8656C"/>
    <w:rsid w:val="00D869BD"/>
    <w:rsid w:val="00D86A80"/>
    <w:rsid w:val="00D86F43"/>
    <w:rsid w:val="00D86F90"/>
    <w:rsid w:val="00D87B2E"/>
    <w:rsid w:val="00D90D20"/>
    <w:rsid w:val="00D91396"/>
    <w:rsid w:val="00D925CD"/>
    <w:rsid w:val="00D93C11"/>
    <w:rsid w:val="00D93F4F"/>
    <w:rsid w:val="00D94FF3"/>
    <w:rsid w:val="00D954A1"/>
    <w:rsid w:val="00DA0856"/>
    <w:rsid w:val="00DA0B12"/>
    <w:rsid w:val="00DA122E"/>
    <w:rsid w:val="00DA127C"/>
    <w:rsid w:val="00DA21A4"/>
    <w:rsid w:val="00DA2649"/>
    <w:rsid w:val="00DA2748"/>
    <w:rsid w:val="00DA2ADD"/>
    <w:rsid w:val="00DA3EBD"/>
    <w:rsid w:val="00DA6741"/>
    <w:rsid w:val="00DA749F"/>
    <w:rsid w:val="00DB0673"/>
    <w:rsid w:val="00DB148E"/>
    <w:rsid w:val="00DB1791"/>
    <w:rsid w:val="00DB1E51"/>
    <w:rsid w:val="00DB2DD7"/>
    <w:rsid w:val="00DB410A"/>
    <w:rsid w:val="00DB4AEB"/>
    <w:rsid w:val="00DB5E7A"/>
    <w:rsid w:val="00DB6EF2"/>
    <w:rsid w:val="00DB7084"/>
    <w:rsid w:val="00DB70F5"/>
    <w:rsid w:val="00DB769F"/>
    <w:rsid w:val="00DC0203"/>
    <w:rsid w:val="00DC1285"/>
    <w:rsid w:val="00DC3A23"/>
    <w:rsid w:val="00DC4238"/>
    <w:rsid w:val="00DC43AF"/>
    <w:rsid w:val="00DC7AE2"/>
    <w:rsid w:val="00DD04CC"/>
    <w:rsid w:val="00DD4ABB"/>
    <w:rsid w:val="00DD5A32"/>
    <w:rsid w:val="00DD6D7E"/>
    <w:rsid w:val="00DD705D"/>
    <w:rsid w:val="00DD706E"/>
    <w:rsid w:val="00DD7723"/>
    <w:rsid w:val="00DE0D0D"/>
    <w:rsid w:val="00DE190B"/>
    <w:rsid w:val="00DE1ED7"/>
    <w:rsid w:val="00DE3FBE"/>
    <w:rsid w:val="00DE5A80"/>
    <w:rsid w:val="00DE5CB0"/>
    <w:rsid w:val="00DF0758"/>
    <w:rsid w:val="00DF1883"/>
    <w:rsid w:val="00DF3867"/>
    <w:rsid w:val="00DF3D3B"/>
    <w:rsid w:val="00E0251E"/>
    <w:rsid w:val="00E0256C"/>
    <w:rsid w:val="00E03285"/>
    <w:rsid w:val="00E06B34"/>
    <w:rsid w:val="00E106EF"/>
    <w:rsid w:val="00E1143D"/>
    <w:rsid w:val="00E13904"/>
    <w:rsid w:val="00E14D11"/>
    <w:rsid w:val="00E15477"/>
    <w:rsid w:val="00E17F80"/>
    <w:rsid w:val="00E2105A"/>
    <w:rsid w:val="00E21452"/>
    <w:rsid w:val="00E22649"/>
    <w:rsid w:val="00E22A7B"/>
    <w:rsid w:val="00E2523B"/>
    <w:rsid w:val="00E27689"/>
    <w:rsid w:val="00E27D42"/>
    <w:rsid w:val="00E304CD"/>
    <w:rsid w:val="00E30A92"/>
    <w:rsid w:val="00E30C7C"/>
    <w:rsid w:val="00E31C30"/>
    <w:rsid w:val="00E320F6"/>
    <w:rsid w:val="00E33C7C"/>
    <w:rsid w:val="00E34AB6"/>
    <w:rsid w:val="00E41256"/>
    <w:rsid w:val="00E4301A"/>
    <w:rsid w:val="00E43ADC"/>
    <w:rsid w:val="00E5131E"/>
    <w:rsid w:val="00E5195E"/>
    <w:rsid w:val="00E53075"/>
    <w:rsid w:val="00E543C4"/>
    <w:rsid w:val="00E54667"/>
    <w:rsid w:val="00E556E3"/>
    <w:rsid w:val="00E56C1F"/>
    <w:rsid w:val="00E56E51"/>
    <w:rsid w:val="00E57BA7"/>
    <w:rsid w:val="00E608ED"/>
    <w:rsid w:val="00E613A8"/>
    <w:rsid w:val="00E61817"/>
    <w:rsid w:val="00E64204"/>
    <w:rsid w:val="00E65088"/>
    <w:rsid w:val="00E6594E"/>
    <w:rsid w:val="00E70208"/>
    <w:rsid w:val="00E71886"/>
    <w:rsid w:val="00E7211C"/>
    <w:rsid w:val="00E72D8F"/>
    <w:rsid w:val="00E734D4"/>
    <w:rsid w:val="00E74529"/>
    <w:rsid w:val="00E757A9"/>
    <w:rsid w:val="00E76876"/>
    <w:rsid w:val="00E76EFD"/>
    <w:rsid w:val="00E804F7"/>
    <w:rsid w:val="00E8328B"/>
    <w:rsid w:val="00E844C5"/>
    <w:rsid w:val="00E85017"/>
    <w:rsid w:val="00E856F2"/>
    <w:rsid w:val="00E910FD"/>
    <w:rsid w:val="00E91EF9"/>
    <w:rsid w:val="00E924F9"/>
    <w:rsid w:val="00E927A9"/>
    <w:rsid w:val="00E94A34"/>
    <w:rsid w:val="00E95A7F"/>
    <w:rsid w:val="00E96D2B"/>
    <w:rsid w:val="00E976E5"/>
    <w:rsid w:val="00E97A5E"/>
    <w:rsid w:val="00E97ACD"/>
    <w:rsid w:val="00EA17D9"/>
    <w:rsid w:val="00EA1953"/>
    <w:rsid w:val="00EA20BE"/>
    <w:rsid w:val="00EA2471"/>
    <w:rsid w:val="00EA300C"/>
    <w:rsid w:val="00EA37D0"/>
    <w:rsid w:val="00EA528F"/>
    <w:rsid w:val="00EA55DF"/>
    <w:rsid w:val="00EB1959"/>
    <w:rsid w:val="00EB2019"/>
    <w:rsid w:val="00EB252A"/>
    <w:rsid w:val="00EB2773"/>
    <w:rsid w:val="00EB2CA1"/>
    <w:rsid w:val="00EB32EE"/>
    <w:rsid w:val="00EB4A38"/>
    <w:rsid w:val="00EB4D35"/>
    <w:rsid w:val="00EB4D92"/>
    <w:rsid w:val="00EB6EFB"/>
    <w:rsid w:val="00EB70B5"/>
    <w:rsid w:val="00EC0FB6"/>
    <w:rsid w:val="00EC178C"/>
    <w:rsid w:val="00EC1A6B"/>
    <w:rsid w:val="00EC2304"/>
    <w:rsid w:val="00EC301C"/>
    <w:rsid w:val="00EC374F"/>
    <w:rsid w:val="00EC5B24"/>
    <w:rsid w:val="00EC76C1"/>
    <w:rsid w:val="00EC77A5"/>
    <w:rsid w:val="00ED036B"/>
    <w:rsid w:val="00ED04AB"/>
    <w:rsid w:val="00ED200C"/>
    <w:rsid w:val="00ED3969"/>
    <w:rsid w:val="00ED4174"/>
    <w:rsid w:val="00ED4459"/>
    <w:rsid w:val="00ED5AE7"/>
    <w:rsid w:val="00ED5C2A"/>
    <w:rsid w:val="00ED66CC"/>
    <w:rsid w:val="00ED67BE"/>
    <w:rsid w:val="00ED67F7"/>
    <w:rsid w:val="00ED6F9F"/>
    <w:rsid w:val="00EE0466"/>
    <w:rsid w:val="00EE0A69"/>
    <w:rsid w:val="00EE2786"/>
    <w:rsid w:val="00EE43EF"/>
    <w:rsid w:val="00EE5BF8"/>
    <w:rsid w:val="00EE6A94"/>
    <w:rsid w:val="00EF0E81"/>
    <w:rsid w:val="00EF295E"/>
    <w:rsid w:val="00EF351C"/>
    <w:rsid w:val="00EF58EC"/>
    <w:rsid w:val="00EF5DDB"/>
    <w:rsid w:val="00EF5EDA"/>
    <w:rsid w:val="00EF6AC8"/>
    <w:rsid w:val="00EF7747"/>
    <w:rsid w:val="00F02EDA"/>
    <w:rsid w:val="00F02F52"/>
    <w:rsid w:val="00F03D5B"/>
    <w:rsid w:val="00F05211"/>
    <w:rsid w:val="00F05C80"/>
    <w:rsid w:val="00F06C4C"/>
    <w:rsid w:val="00F0737F"/>
    <w:rsid w:val="00F11BB6"/>
    <w:rsid w:val="00F12BEB"/>
    <w:rsid w:val="00F12CD6"/>
    <w:rsid w:val="00F1442D"/>
    <w:rsid w:val="00F14AC1"/>
    <w:rsid w:val="00F14BEC"/>
    <w:rsid w:val="00F1571F"/>
    <w:rsid w:val="00F17D16"/>
    <w:rsid w:val="00F26214"/>
    <w:rsid w:val="00F26806"/>
    <w:rsid w:val="00F27339"/>
    <w:rsid w:val="00F275BD"/>
    <w:rsid w:val="00F34A3B"/>
    <w:rsid w:val="00F35707"/>
    <w:rsid w:val="00F42243"/>
    <w:rsid w:val="00F44066"/>
    <w:rsid w:val="00F457E6"/>
    <w:rsid w:val="00F45C84"/>
    <w:rsid w:val="00F4626A"/>
    <w:rsid w:val="00F47FC6"/>
    <w:rsid w:val="00F50D78"/>
    <w:rsid w:val="00F51758"/>
    <w:rsid w:val="00F55FBF"/>
    <w:rsid w:val="00F5785E"/>
    <w:rsid w:val="00F6111C"/>
    <w:rsid w:val="00F618FF"/>
    <w:rsid w:val="00F6497B"/>
    <w:rsid w:val="00F650EC"/>
    <w:rsid w:val="00F67722"/>
    <w:rsid w:val="00F71162"/>
    <w:rsid w:val="00F7184D"/>
    <w:rsid w:val="00F71A58"/>
    <w:rsid w:val="00F71B46"/>
    <w:rsid w:val="00F72F0A"/>
    <w:rsid w:val="00F73477"/>
    <w:rsid w:val="00F73770"/>
    <w:rsid w:val="00F7382A"/>
    <w:rsid w:val="00F74B79"/>
    <w:rsid w:val="00F74D1E"/>
    <w:rsid w:val="00F74EDA"/>
    <w:rsid w:val="00F75969"/>
    <w:rsid w:val="00F75B84"/>
    <w:rsid w:val="00F76461"/>
    <w:rsid w:val="00F76927"/>
    <w:rsid w:val="00F7693B"/>
    <w:rsid w:val="00F77248"/>
    <w:rsid w:val="00F77B85"/>
    <w:rsid w:val="00F77C10"/>
    <w:rsid w:val="00F8093E"/>
    <w:rsid w:val="00F80D7E"/>
    <w:rsid w:val="00F81648"/>
    <w:rsid w:val="00F81E25"/>
    <w:rsid w:val="00F82850"/>
    <w:rsid w:val="00F83052"/>
    <w:rsid w:val="00F8463D"/>
    <w:rsid w:val="00F850D6"/>
    <w:rsid w:val="00F85533"/>
    <w:rsid w:val="00F86925"/>
    <w:rsid w:val="00F86C1F"/>
    <w:rsid w:val="00F86D1D"/>
    <w:rsid w:val="00F87279"/>
    <w:rsid w:val="00F90768"/>
    <w:rsid w:val="00F9080C"/>
    <w:rsid w:val="00F90DD6"/>
    <w:rsid w:val="00F9389D"/>
    <w:rsid w:val="00F947FD"/>
    <w:rsid w:val="00F958F1"/>
    <w:rsid w:val="00F96845"/>
    <w:rsid w:val="00FA1682"/>
    <w:rsid w:val="00FA16AB"/>
    <w:rsid w:val="00FA195A"/>
    <w:rsid w:val="00FA1B12"/>
    <w:rsid w:val="00FA1B37"/>
    <w:rsid w:val="00FA1B7F"/>
    <w:rsid w:val="00FA2F92"/>
    <w:rsid w:val="00FA40C4"/>
    <w:rsid w:val="00FA6447"/>
    <w:rsid w:val="00FA6D98"/>
    <w:rsid w:val="00FA73FC"/>
    <w:rsid w:val="00FA75CE"/>
    <w:rsid w:val="00FA782F"/>
    <w:rsid w:val="00FB0CAA"/>
    <w:rsid w:val="00FB1AA3"/>
    <w:rsid w:val="00FB259B"/>
    <w:rsid w:val="00FB4452"/>
    <w:rsid w:val="00FB6216"/>
    <w:rsid w:val="00FB7F09"/>
    <w:rsid w:val="00FC0B4F"/>
    <w:rsid w:val="00FC1415"/>
    <w:rsid w:val="00FC42E9"/>
    <w:rsid w:val="00FC4C4C"/>
    <w:rsid w:val="00FC4ED4"/>
    <w:rsid w:val="00FC70AF"/>
    <w:rsid w:val="00FD0444"/>
    <w:rsid w:val="00FD3C48"/>
    <w:rsid w:val="00FD4BC9"/>
    <w:rsid w:val="00FD648B"/>
    <w:rsid w:val="00FD747B"/>
    <w:rsid w:val="00FE0B01"/>
    <w:rsid w:val="00FE3464"/>
    <w:rsid w:val="00FE34A0"/>
    <w:rsid w:val="00FE3877"/>
    <w:rsid w:val="00FE3CC5"/>
    <w:rsid w:val="00FE576A"/>
    <w:rsid w:val="00FE6E42"/>
    <w:rsid w:val="00FF0184"/>
    <w:rsid w:val="00FF1612"/>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1C6303B0-13EC-4AC5-8E01-2EF3BF2B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semiHidden/>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aliases w:val="Char Char"/>
    <w:basedOn w:val="Normal"/>
    <w:link w:val="FootnoteTextChar"/>
    <w:uiPriority w:val="99"/>
    <w:semiHidden/>
    <w:unhideWhenUsed/>
    <w:rsid w:val="008454FA"/>
    <w:rPr>
      <w:sz w:val="20"/>
      <w:szCs w:val="20"/>
    </w:rPr>
  </w:style>
  <w:style w:type="character" w:customStyle="1" w:styleId="FootnoteTextChar">
    <w:name w:val="Footnote Text Char"/>
    <w:aliases w:val="Char Char Char"/>
    <w:basedOn w:val="DefaultParagraphFont"/>
    <w:link w:val="FootnoteText"/>
    <w:uiPriority w:val="99"/>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link w:val="JUGMENTNUMBEREDChar"/>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FootnoteText1">
    <w:name w:val="Footnote Text1"/>
    <w:basedOn w:val="Normal"/>
    <w:qFormat/>
    <w:rsid w:val="0036289E"/>
    <w:pPr>
      <w:spacing w:after="120"/>
      <w:jc w:val="both"/>
    </w:pPr>
    <w:rPr>
      <w:sz w:val="20"/>
      <w:szCs w:val="22"/>
      <w:lang w:val="en-ZA" w:eastAsia="en-US"/>
    </w:rPr>
  </w:style>
  <w:style w:type="paragraph" w:customStyle="1" w:styleId="QUOTEINFOOTNOTE">
    <w:name w:val="QUOTE IN FOOTNOTE"/>
    <w:basedOn w:val="FootnoteText1"/>
    <w:next w:val="FootnoteText1"/>
    <w:qFormat/>
    <w:rsid w:val="0036289E"/>
    <w:pPr>
      <w:ind w:left="720" w:right="720"/>
    </w:pPr>
  </w:style>
  <w:style w:type="character" w:customStyle="1" w:styleId="JUGMENTNUMBEREDChar">
    <w:name w:val="JUGMENT NUMBERED Char"/>
    <w:basedOn w:val="DefaultParagraphFont"/>
    <w:link w:val="JUGMENTNUMBERED"/>
    <w:locked/>
    <w:rsid w:val="00C06BAC"/>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196193401">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 w:id="183908915">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FB8F-2C4B-4D0F-9D89-3B2BE21D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creator>SAKHE</dc:creator>
  <cp:lastModifiedBy>Mokone</cp:lastModifiedBy>
  <cp:revision>2</cp:revision>
  <cp:lastPrinted>2023-02-22T09:05:00Z</cp:lastPrinted>
  <dcterms:created xsi:type="dcterms:W3CDTF">2023-03-01T10:25:00Z</dcterms:created>
  <dcterms:modified xsi:type="dcterms:W3CDTF">2023-03-01T10:25:00Z</dcterms:modified>
</cp:coreProperties>
</file>